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FC6875" w14:textId="77777777" w:rsidR="00311A05" w:rsidRPr="00F96AEB" w:rsidRDefault="00311A05" w:rsidP="00AB4D98">
      <w:pPr>
        <w:pStyle w:val="Heading1"/>
      </w:pPr>
      <w:bookmarkStart w:id="0" w:name="_Toc454450771"/>
      <w:bookmarkStart w:id="1" w:name="_Toc466638258"/>
      <w:bookmarkStart w:id="2" w:name="_Toc466638579"/>
      <w:bookmarkStart w:id="3" w:name="_Toc466639002"/>
      <w:bookmarkStart w:id="4" w:name="_Toc466639545"/>
      <w:bookmarkStart w:id="5" w:name="_Toc466639689"/>
      <w:bookmarkStart w:id="6" w:name="_Toc475974324"/>
      <w:bookmarkStart w:id="7" w:name="_Toc454450783"/>
      <w:bookmarkStart w:id="8" w:name="_Toc466638265"/>
      <w:bookmarkStart w:id="9" w:name="_Toc466638586"/>
      <w:bookmarkStart w:id="10" w:name="_Toc466639009"/>
      <w:bookmarkStart w:id="11" w:name="_Toc466639552"/>
      <w:bookmarkStart w:id="12" w:name="_Toc466639696"/>
      <w:bookmarkStart w:id="13" w:name="_Toc466644430"/>
      <w:bookmarkStart w:id="14" w:name="_Toc466644562"/>
      <w:bookmarkStart w:id="15" w:name="_Toc466710019"/>
      <w:bookmarkStart w:id="16" w:name="_Toc466710146"/>
      <w:bookmarkStart w:id="17" w:name="_Toc466710905"/>
      <w:bookmarkStart w:id="18" w:name="_Toc466711367"/>
      <w:bookmarkStart w:id="19" w:name="_Toc466712026"/>
      <w:bookmarkStart w:id="20" w:name="_Toc466712147"/>
      <w:bookmarkStart w:id="21" w:name="_Toc466712622"/>
      <w:bookmarkStart w:id="22" w:name="_Toc466715171"/>
      <w:bookmarkStart w:id="23" w:name="_GoBack"/>
      <w:bookmarkEnd w:id="23"/>
      <w:r w:rsidRPr="00F96AEB">
        <w:t>Cluster randomised controlled trial, economic and process evaluation to determine the effectiveness and cost effectiveness of a novel intervention (Healthy Lifestyles Programme, HeLP) to prevent obesity in school children.</w:t>
      </w:r>
      <w:bookmarkEnd w:id="0"/>
      <w:bookmarkEnd w:id="1"/>
      <w:bookmarkEnd w:id="2"/>
      <w:bookmarkEnd w:id="3"/>
      <w:bookmarkEnd w:id="4"/>
      <w:bookmarkEnd w:id="5"/>
      <w:bookmarkEnd w:id="6"/>
    </w:p>
    <w:p w14:paraId="0C402F11" w14:textId="77777777" w:rsidR="00311A05" w:rsidRPr="00311A05" w:rsidRDefault="00311A05" w:rsidP="00F96AEB">
      <w:pPr>
        <w:rPr>
          <w:rFonts w:eastAsiaTheme="majorEastAsia" w:cs="Times New Roman"/>
          <w:b/>
          <w:bCs/>
        </w:rPr>
      </w:pPr>
      <w:bookmarkStart w:id="24" w:name="_Toc454450772"/>
      <w:bookmarkStart w:id="25" w:name="_Toc466638259"/>
      <w:bookmarkStart w:id="26" w:name="_Toc466638580"/>
      <w:bookmarkStart w:id="27" w:name="_Toc466639003"/>
      <w:bookmarkStart w:id="28" w:name="_Toc466639546"/>
      <w:bookmarkStart w:id="29" w:name="_Toc466639690"/>
      <w:r w:rsidRPr="00311A05">
        <w:rPr>
          <w:rFonts w:eastAsiaTheme="majorEastAsia" w:cs="Times New Roman"/>
          <w:b/>
          <w:bCs/>
        </w:rPr>
        <w:t>Co-Applicants</w:t>
      </w:r>
      <w:bookmarkEnd w:id="24"/>
      <w:bookmarkEnd w:id="25"/>
      <w:bookmarkEnd w:id="26"/>
      <w:bookmarkEnd w:id="27"/>
      <w:bookmarkEnd w:id="28"/>
      <w:bookmarkEnd w:id="29"/>
    </w:p>
    <w:p w14:paraId="155A5B7F" w14:textId="77777777" w:rsidR="00311A05" w:rsidRPr="00311A05" w:rsidRDefault="00311A05" w:rsidP="00F96AEB">
      <w:pPr>
        <w:rPr>
          <w:rFonts w:cs="Times New Roman"/>
        </w:rPr>
      </w:pPr>
      <w:r w:rsidRPr="00311A05">
        <w:rPr>
          <w:rFonts w:cs="Times New Roman"/>
        </w:rPr>
        <w:t>Katrina Wyatt</w:t>
      </w:r>
      <w:r w:rsidRPr="00311A05">
        <w:rPr>
          <w:rFonts w:cs="Times New Roman"/>
          <w:vertAlign w:val="superscript"/>
        </w:rPr>
        <w:t>1</w:t>
      </w:r>
      <w:r w:rsidRPr="00311A05">
        <w:rPr>
          <w:rFonts w:cs="Times New Roman"/>
        </w:rPr>
        <w:t>*, Jenny Lloyd</w:t>
      </w:r>
      <w:r w:rsidRPr="00311A05">
        <w:rPr>
          <w:rFonts w:cs="Times New Roman"/>
          <w:vertAlign w:val="superscript"/>
        </w:rPr>
        <w:t>1</w:t>
      </w:r>
      <w:r w:rsidRPr="00311A05">
        <w:rPr>
          <w:rFonts w:cs="Times New Roman"/>
        </w:rPr>
        <w:t>, Siobhan Creanor</w:t>
      </w:r>
      <w:r w:rsidRPr="00311A05">
        <w:rPr>
          <w:rFonts w:cs="Times New Roman"/>
          <w:vertAlign w:val="superscript"/>
        </w:rPr>
        <w:t>2</w:t>
      </w:r>
      <w:r w:rsidRPr="00311A05">
        <w:rPr>
          <w:rFonts w:cs="Times New Roman"/>
        </w:rPr>
        <w:t>, Colin Green</w:t>
      </w:r>
      <w:r w:rsidRPr="00311A05">
        <w:rPr>
          <w:rFonts w:cs="Times New Roman"/>
          <w:vertAlign w:val="superscript"/>
        </w:rPr>
        <w:t>1</w:t>
      </w:r>
      <w:r w:rsidRPr="00311A05">
        <w:rPr>
          <w:rFonts w:cs="Times New Roman"/>
        </w:rPr>
        <w:t>, Sarah G Dean</w:t>
      </w:r>
      <w:r w:rsidRPr="00311A05">
        <w:rPr>
          <w:rFonts w:cs="Times New Roman"/>
          <w:vertAlign w:val="superscript"/>
        </w:rPr>
        <w:t>1</w:t>
      </w:r>
      <w:r w:rsidRPr="00311A05">
        <w:rPr>
          <w:rFonts w:cs="Times New Roman"/>
        </w:rPr>
        <w:t>, Melvyn Hillsdon</w:t>
      </w:r>
      <w:r w:rsidRPr="00311A05">
        <w:rPr>
          <w:rFonts w:cs="Times New Roman"/>
          <w:vertAlign w:val="superscript"/>
        </w:rPr>
        <w:t>3</w:t>
      </w:r>
      <w:r w:rsidRPr="00311A05">
        <w:rPr>
          <w:rFonts w:cs="Times New Roman"/>
        </w:rPr>
        <w:t>, Charles Abraham</w:t>
      </w:r>
      <w:r w:rsidRPr="00311A05">
        <w:rPr>
          <w:rFonts w:cs="Times New Roman"/>
          <w:vertAlign w:val="superscript"/>
        </w:rPr>
        <w:t>1</w:t>
      </w:r>
      <w:r w:rsidRPr="00311A05">
        <w:rPr>
          <w:rFonts w:cs="Times New Roman"/>
        </w:rPr>
        <w:t>, Richard Tomlinson</w:t>
      </w:r>
      <w:r w:rsidRPr="00311A05">
        <w:rPr>
          <w:rFonts w:cs="Times New Roman"/>
          <w:vertAlign w:val="superscript"/>
        </w:rPr>
        <w:t>4</w:t>
      </w:r>
      <w:r w:rsidRPr="00311A05">
        <w:rPr>
          <w:rFonts w:cs="Times New Roman"/>
        </w:rPr>
        <w:t>, Virginia Pearson</w:t>
      </w:r>
      <w:r w:rsidRPr="00311A05">
        <w:rPr>
          <w:rFonts w:cs="Times New Roman"/>
          <w:vertAlign w:val="superscript"/>
        </w:rPr>
        <w:t>5</w:t>
      </w:r>
      <w:r w:rsidRPr="00311A05">
        <w:rPr>
          <w:rFonts w:cs="Times New Roman"/>
        </w:rPr>
        <w:t>, Rod S Taylor</w:t>
      </w:r>
      <w:r w:rsidRPr="00311A05">
        <w:rPr>
          <w:rFonts w:cs="Times New Roman"/>
          <w:vertAlign w:val="superscript"/>
        </w:rPr>
        <w:t>1</w:t>
      </w:r>
      <w:r w:rsidRPr="00311A05">
        <w:rPr>
          <w:rFonts w:cs="Times New Roman"/>
        </w:rPr>
        <w:t>, Emma Ryan</w:t>
      </w:r>
      <w:r w:rsidRPr="00311A05">
        <w:rPr>
          <w:rFonts w:cs="Times New Roman"/>
          <w:vertAlign w:val="superscript"/>
        </w:rPr>
        <w:t>6</w:t>
      </w:r>
      <w:r w:rsidRPr="00311A05">
        <w:rPr>
          <w:rFonts w:cs="Times New Roman"/>
        </w:rPr>
        <w:t>, Adam Streeter</w:t>
      </w:r>
      <w:r w:rsidRPr="00311A05">
        <w:rPr>
          <w:rFonts w:cs="Times New Roman"/>
          <w:vertAlign w:val="superscript"/>
        </w:rPr>
        <w:t>2</w:t>
      </w:r>
      <w:r w:rsidRPr="00311A05">
        <w:rPr>
          <w:rFonts w:cs="Times New Roman"/>
        </w:rPr>
        <w:t>, Camilla McHugh</w:t>
      </w:r>
      <w:r w:rsidRPr="00311A05">
        <w:rPr>
          <w:rFonts w:cs="Times New Roman"/>
          <w:vertAlign w:val="superscript"/>
        </w:rPr>
        <w:t>1</w:t>
      </w:r>
      <w:r w:rsidRPr="00311A05">
        <w:rPr>
          <w:rFonts w:cs="Times New Roman"/>
        </w:rPr>
        <w:t>, Alison Hurst</w:t>
      </w:r>
      <w:r w:rsidRPr="00311A05">
        <w:rPr>
          <w:rFonts w:cs="Times New Roman"/>
          <w:vertAlign w:val="superscript"/>
        </w:rPr>
        <w:t>1</w:t>
      </w:r>
      <w:r w:rsidRPr="00311A05">
        <w:rPr>
          <w:rFonts w:cs="Times New Roman"/>
        </w:rPr>
        <w:t>, Lisa Price</w:t>
      </w:r>
      <w:r w:rsidRPr="00311A05">
        <w:rPr>
          <w:rFonts w:cs="Times New Roman"/>
          <w:vertAlign w:val="superscript"/>
        </w:rPr>
        <w:t>3</w:t>
      </w:r>
      <w:r w:rsidRPr="00311A05">
        <w:rPr>
          <w:rFonts w:cs="Times New Roman"/>
        </w:rPr>
        <w:t>, Louise Crathorne</w:t>
      </w:r>
      <w:r w:rsidRPr="00311A05">
        <w:rPr>
          <w:rFonts w:cs="Times New Roman"/>
          <w:vertAlign w:val="superscript"/>
        </w:rPr>
        <w:t>1</w:t>
      </w:r>
      <w:r w:rsidRPr="00311A05">
        <w:rPr>
          <w:rFonts w:cs="Times New Roman"/>
        </w:rPr>
        <w:t xml:space="preserve">, Chris </w:t>
      </w:r>
      <w:r w:rsidRPr="00311A05">
        <w:rPr>
          <w:rFonts w:cs="Tahoma"/>
          <w:lang w:val="en-US"/>
        </w:rPr>
        <w:t>Krägeloh</w:t>
      </w:r>
      <w:r w:rsidRPr="00311A05">
        <w:rPr>
          <w:rFonts w:cs="Tahoma"/>
          <w:vertAlign w:val="superscript"/>
          <w:lang w:val="en-US"/>
        </w:rPr>
        <w:t>7</w:t>
      </w:r>
      <w:r w:rsidRPr="00311A05">
        <w:rPr>
          <w:rFonts w:cs="Times New Roman"/>
        </w:rPr>
        <w:t>, Richard Siegert</w:t>
      </w:r>
      <w:r w:rsidRPr="00311A05">
        <w:rPr>
          <w:rFonts w:cs="Times New Roman"/>
          <w:vertAlign w:val="superscript"/>
        </w:rPr>
        <w:t>7</w:t>
      </w:r>
      <w:r w:rsidRPr="00311A05">
        <w:rPr>
          <w:rFonts w:cs="Times New Roman"/>
        </w:rPr>
        <w:t>, Stuart Logan</w:t>
      </w:r>
      <w:r w:rsidRPr="00311A05">
        <w:rPr>
          <w:rFonts w:cs="Times New Roman"/>
          <w:vertAlign w:val="superscript"/>
        </w:rPr>
        <w:t>1</w:t>
      </w:r>
    </w:p>
    <w:p w14:paraId="4674D314" w14:textId="4BA668EF" w:rsidR="00311A05" w:rsidRPr="00311A05" w:rsidRDefault="00311A05" w:rsidP="00F96AEB">
      <w:pPr>
        <w:rPr>
          <w:rFonts w:eastAsiaTheme="majorEastAsia" w:cs="Times New Roman"/>
          <w:b/>
          <w:bCs/>
        </w:rPr>
      </w:pPr>
      <w:bookmarkStart w:id="30" w:name="_Toc454450775"/>
      <w:bookmarkStart w:id="31" w:name="_Toc466638262"/>
      <w:bookmarkStart w:id="32" w:name="_Toc466638583"/>
      <w:bookmarkStart w:id="33" w:name="_Toc466639006"/>
      <w:bookmarkStart w:id="34" w:name="_Toc466639549"/>
      <w:bookmarkStart w:id="35" w:name="_Toc466639693"/>
      <w:r w:rsidRPr="00311A05">
        <w:rPr>
          <w:rFonts w:eastAsiaTheme="majorEastAsia" w:cs="Times New Roman"/>
          <w:b/>
          <w:bCs/>
        </w:rPr>
        <w:t>*Corresponding Author</w:t>
      </w:r>
      <w:bookmarkEnd w:id="30"/>
      <w:bookmarkEnd w:id="31"/>
      <w:bookmarkEnd w:id="32"/>
      <w:bookmarkEnd w:id="33"/>
      <w:bookmarkEnd w:id="34"/>
      <w:bookmarkEnd w:id="35"/>
      <w:r w:rsidR="00265466">
        <w:rPr>
          <w:rFonts w:eastAsiaTheme="majorEastAsia" w:cs="Times New Roman"/>
          <w:b/>
          <w:bCs/>
        </w:rPr>
        <w:t xml:space="preserve"> </w:t>
      </w:r>
      <w:r w:rsidR="00265466" w:rsidRPr="00A32FC9">
        <w:rPr>
          <w:rFonts w:eastAsiaTheme="majorEastAsia" w:cs="Times New Roman"/>
          <w:bCs/>
        </w:rPr>
        <w:t>k.m.wyatt@exeter.ac.uk</w:t>
      </w:r>
    </w:p>
    <w:p w14:paraId="0AD28C19" w14:textId="77777777" w:rsidR="00311A05" w:rsidRPr="00311A05" w:rsidRDefault="00311A05" w:rsidP="00F96AEB">
      <w:pPr>
        <w:rPr>
          <w:rFonts w:eastAsiaTheme="majorEastAsia" w:cs="Times New Roman"/>
          <w:bCs/>
        </w:rPr>
      </w:pPr>
      <w:bookmarkStart w:id="36" w:name="_Toc454450774"/>
      <w:bookmarkStart w:id="37" w:name="_Toc466638261"/>
      <w:bookmarkStart w:id="38" w:name="_Toc466638582"/>
      <w:bookmarkStart w:id="39" w:name="_Toc466639005"/>
      <w:bookmarkStart w:id="40" w:name="_Toc466639548"/>
      <w:bookmarkStart w:id="41" w:name="_Toc466639692"/>
      <w:r w:rsidRPr="00311A05">
        <w:rPr>
          <w:rFonts w:eastAsiaTheme="majorEastAsia" w:cs="Times New Roman"/>
          <w:b/>
          <w:bCs/>
        </w:rPr>
        <w:t>Address</w:t>
      </w:r>
      <w:bookmarkEnd w:id="36"/>
      <w:bookmarkEnd w:id="37"/>
      <w:bookmarkEnd w:id="38"/>
      <w:bookmarkEnd w:id="39"/>
      <w:bookmarkEnd w:id="40"/>
      <w:bookmarkEnd w:id="41"/>
      <w:r w:rsidRPr="00311A05">
        <w:rPr>
          <w:rFonts w:eastAsiaTheme="majorEastAsia" w:cs="Times New Roman"/>
          <w:b/>
          <w:bCs/>
        </w:rPr>
        <w:t xml:space="preserve"> of Corresponding Author: </w:t>
      </w:r>
      <w:r w:rsidRPr="00311A05">
        <w:rPr>
          <w:rFonts w:eastAsiaTheme="majorEastAsia" w:cs="Times New Roman"/>
          <w:b/>
          <w:bCs/>
          <w:vertAlign w:val="superscript"/>
        </w:rPr>
        <w:t>1</w:t>
      </w:r>
      <w:r w:rsidRPr="00311A05">
        <w:rPr>
          <w:rFonts w:eastAsiaTheme="majorEastAsia" w:cs="Times New Roman"/>
          <w:b/>
          <w:bCs/>
        </w:rPr>
        <w:t xml:space="preserve"> </w:t>
      </w:r>
      <w:r w:rsidRPr="00311A05">
        <w:rPr>
          <w:rFonts w:eastAsiaTheme="majorEastAsia" w:cs="Times New Roman"/>
          <w:bCs/>
        </w:rPr>
        <w:t>University of Exeter Medical School, South Cloisters, St Lukes, Exeter EX1 2LU</w:t>
      </w:r>
    </w:p>
    <w:p w14:paraId="4A5548CA" w14:textId="6226B461" w:rsidR="00311A05" w:rsidRPr="00311A05" w:rsidRDefault="00311A05" w:rsidP="00F96AEB">
      <w:pPr>
        <w:rPr>
          <w:vertAlign w:val="superscript"/>
        </w:rPr>
      </w:pPr>
      <w:r w:rsidRPr="00311A05">
        <w:rPr>
          <w:vertAlign w:val="superscript"/>
        </w:rPr>
        <w:t xml:space="preserve">2 </w:t>
      </w:r>
      <w:r w:rsidR="00003ED6">
        <w:rPr>
          <w:rFonts w:cs="Arial"/>
        </w:rPr>
        <w:t>Medical Statistics Group</w:t>
      </w:r>
      <w:r w:rsidRPr="00311A05">
        <w:rPr>
          <w:rFonts w:cs="Arial"/>
        </w:rPr>
        <w:t>, Plymouth University Peninsula Schools of Medicine &amp; Dentistry , ITTC Building, Plymouth Science Park, Plymouth, Devon, PL6 8BX</w:t>
      </w:r>
    </w:p>
    <w:p w14:paraId="44D63F94" w14:textId="74E21197" w:rsidR="00311A05" w:rsidRPr="00311A05" w:rsidRDefault="00003ED6" w:rsidP="00F96AEB">
      <w:pPr>
        <w:rPr>
          <w:rFonts w:cs="Times New Roman"/>
        </w:rPr>
      </w:pPr>
      <w:r>
        <w:rPr>
          <w:vertAlign w:val="superscript"/>
        </w:rPr>
        <w:t xml:space="preserve">3 </w:t>
      </w:r>
      <w:r w:rsidR="00311A05" w:rsidRPr="00311A05">
        <w:t>Sport and Health Sciences</w:t>
      </w:r>
      <w:r w:rsidR="00311A05" w:rsidRPr="00311A05">
        <w:rPr>
          <w:rFonts w:eastAsiaTheme="minorHAnsi" w:cs="Times New Roman"/>
          <w:lang w:eastAsia="en-US"/>
        </w:rPr>
        <w:t xml:space="preserve">, Richard's Building University of Exeter, St Luke's Campus, Heavitree Road, Exeter </w:t>
      </w:r>
      <w:r w:rsidR="00311A05" w:rsidRPr="00311A05">
        <w:rPr>
          <w:rFonts w:cs="Times New Roman"/>
        </w:rPr>
        <w:t>EX1 2LU</w:t>
      </w:r>
    </w:p>
    <w:p w14:paraId="6A51F491" w14:textId="77777777" w:rsidR="00311A05" w:rsidRPr="00311A05" w:rsidRDefault="00311A05" w:rsidP="00F96AEB">
      <w:pPr>
        <w:rPr>
          <w:rFonts w:eastAsia="Times New Roman" w:cs="Arial"/>
        </w:rPr>
      </w:pPr>
      <w:r w:rsidRPr="00311A05">
        <w:rPr>
          <w:rFonts w:eastAsia="Times New Roman" w:cs="Times New Roman"/>
          <w:vertAlign w:val="superscript"/>
        </w:rPr>
        <w:t xml:space="preserve">4 </w:t>
      </w:r>
      <w:r w:rsidRPr="00311A05">
        <w:rPr>
          <w:rFonts w:eastAsia="Times New Roman" w:cs="Arial"/>
        </w:rPr>
        <w:t>Royal Devon &amp; Exeter NHS Foundation Trust, Barrack Road, Exeter, EX2 5DW</w:t>
      </w:r>
    </w:p>
    <w:p w14:paraId="65205CC7" w14:textId="771F2D95" w:rsidR="00311A05" w:rsidRPr="00311A05" w:rsidRDefault="00311A05" w:rsidP="00F96AEB">
      <w:pPr>
        <w:rPr>
          <w:rFonts w:eastAsiaTheme="minorHAnsi" w:cs="Arial"/>
          <w:color w:val="000000"/>
          <w:lang w:eastAsia="en-US"/>
        </w:rPr>
      </w:pPr>
      <w:r w:rsidRPr="00311A05">
        <w:rPr>
          <w:rFonts w:eastAsiaTheme="minorHAnsi" w:cs="Arial"/>
          <w:color w:val="000000"/>
          <w:vertAlign w:val="superscript"/>
          <w:lang w:eastAsia="en-US"/>
        </w:rPr>
        <w:t>5</w:t>
      </w:r>
      <w:r w:rsidR="00AB4D98">
        <w:rPr>
          <w:rFonts w:eastAsiaTheme="minorHAnsi" w:cs="Arial"/>
          <w:color w:val="000000"/>
          <w:vertAlign w:val="superscript"/>
          <w:lang w:eastAsia="en-US"/>
        </w:rPr>
        <w:t xml:space="preserve"> </w:t>
      </w:r>
      <w:r w:rsidR="00E63DC5">
        <w:rPr>
          <w:rFonts w:eastAsiaTheme="minorHAnsi" w:cs="Arial"/>
          <w:color w:val="000000"/>
          <w:lang w:eastAsia="en-US"/>
        </w:rPr>
        <w:t>Devon County Council C</w:t>
      </w:r>
      <w:r w:rsidRPr="00311A05">
        <w:rPr>
          <w:rFonts w:eastAsiaTheme="minorHAnsi" w:cs="Arial"/>
          <w:color w:val="000000"/>
          <w:lang w:eastAsia="en-US"/>
        </w:rPr>
        <w:t xml:space="preserve">ommissioning Headquarters, County Hall Topsham Road, Exeter, EX2 4QL </w:t>
      </w:r>
    </w:p>
    <w:p w14:paraId="25943308" w14:textId="77777777" w:rsidR="00311A05" w:rsidRPr="00311A05" w:rsidRDefault="00311A05" w:rsidP="00F96AEB">
      <w:pPr>
        <w:rPr>
          <w:rFonts w:cs="Times New Roman"/>
        </w:rPr>
      </w:pPr>
      <w:r w:rsidRPr="00311A05">
        <w:rPr>
          <w:rFonts w:cs="Times New Roman"/>
          <w:vertAlign w:val="superscript"/>
        </w:rPr>
        <w:t xml:space="preserve">6 </w:t>
      </w:r>
      <w:r w:rsidRPr="00311A05">
        <w:rPr>
          <w:lang w:val="en"/>
        </w:rPr>
        <w:t>Isca Academy, Earl Richards Road South, Exeter, EX2 6AP</w:t>
      </w:r>
    </w:p>
    <w:p w14:paraId="41769398" w14:textId="5C5653CA" w:rsidR="00311A05" w:rsidRPr="00311A05" w:rsidRDefault="00311A05" w:rsidP="00F96AEB">
      <w:r w:rsidRPr="00311A05">
        <w:rPr>
          <w:vertAlign w:val="superscript"/>
        </w:rPr>
        <w:t xml:space="preserve">7 </w:t>
      </w:r>
      <w:r w:rsidRPr="00311A05">
        <w:t>Health</w:t>
      </w:r>
      <w:r w:rsidRPr="00311A05">
        <w:rPr>
          <w:vertAlign w:val="superscript"/>
        </w:rPr>
        <w:t xml:space="preserve"> </w:t>
      </w:r>
      <w:r w:rsidRPr="00311A05">
        <w:rPr>
          <w:rFonts w:cs="Arial"/>
          <w:bCs/>
          <w:color w:val="000000" w:themeColor="text1"/>
        </w:rPr>
        <w:t xml:space="preserve">Sciences,  Auckland University of Technology, </w:t>
      </w:r>
      <w:r w:rsidRPr="00311A05">
        <w:rPr>
          <w:rFonts w:cs="Arial"/>
          <w:b/>
          <w:color w:val="000000" w:themeColor="text1"/>
        </w:rPr>
        <w:t xml:space="preserve"> </w:t>
      </w:r>
      <w:r w:rsidRPr="00311A05">
        <w:rPr>
          <w:rFonts w:cs="Arial"/>
          <w:color w:val="000000" w:themeColor="text1"/>
        </w:rPr>
        <w:t>University North Shore Campus, 90 Akoranga Drive Northcote</w:t>
      </w:r>
      <w:r w:rsidRPr="00311A05">
        <w:rPr>
          <w:rFonts w:cs="Arial"/>
          <w:b/>
          <w:color w:val="000000" w:themeColor="text1"/>
        </w:rPr>
        <w:t xml:space="preserve">, </w:t>
      </w:r>
      <w:r w:rsidRPr="00311A05">
        <w:rPr>
          <w:rFonts w:cs="Arial"/>
          <w:bCs/>
          <w:color w:val="000000" w:themeColor="text1"/>
        </w:rPr>
        <w:t>Auckland, New Zealand</w:t>
      </w:r>
      <w:r w:rsidRPr="00311A05">
        <w:rPr>
          <w:rFonts w:cs="Arial"/>
          <w:color w:val="545454"/>
        </w:rPr>
        <w:t>.</w:t>
      </w:r>
    </w:p>
    <w:p w14:paraId="7D091850" w14:textId="77777777" w:rsidR="00311A05" w:rsidRDefault="00311A05" w:rsidP="00F96AEB">
      <w:pPr>
        <w:rPr>
          <w:rFonts w:eastAsiaTheme="majorEastAsia" w:cs="Times New Roman"/>
          <w:b/>
          <w:bCs/>
        </w:rPr>
      </w:pPr>
      <w:bookmarkStart w:id="42" w:name="_Toc454450773"/>
      <w:bookmarkStart w:id="43" w:name="_Toc466638260"/>
      <w:bookmarkStart w:id="44" w:name="_Toc466638581"/>
      <w:bookmarkStart w:id="45" w:name="_Toc466639004"/>
      <w:bookmarkStart w:id="46" w:name="_Toc466639547"/>
      <w:bookmarkStart w:id="47" w:name="_Toc466639691"/>
      <w:r w:rsidRPr="00311A05">
        <w:rPr>
          <w:rFonts w:eastAsiaTheme="majorEastAsia" w:cs="Times New Roman"/>
          <w:b/>
          <w:bCs/>
        </w:rPr>
        <w:t>Competing Interests</w:t>
      </w:r>
      <w:bookmarkEnd w:id="42"/>
      <w:bookmarkEnd w:id="43"/>
      <w:bookmarkEnd w:id="44"/>
      <w:bookmarkEnd w:id="45"/>
      <w:bookmarkEnd w:id="46"/>
      <w:bookmarkEnd w:id="47"/>
    </w:p>
    <w:p w14:paraId="3F05AFFB" w14:textId="3E1E7FF9" w:rsidR="00C93249" w:rsidRDefault="00C93249" w:rsidP="00C93249">
      <w:r>
        <w:t xml:space="preserve">Stuart Logan report grants from </w:t>
      </w:r>
      <w:r w:rsidR="00C435AE">
        <w:t xml:space="preserve">the </w:t>
      </w:r>
      <w:r>
        <w:t>N</w:t>
      </w:r>
      <w:r w:rsidR="00C435AE">
        <w:t xml:space="preserve">ational </w:t>
      </w:r>
      <w:r>
        <w:t>I</w:t>
      </w:r>
      <w:r w:rsidR="00C435AE">
        <w:t xml:space="preserve">nstitute for </w:t>
      </w:r>
      <w:r>
        <w:t>H</w:t>
      </w:r>
      <w:r w:rsidR="00C435AE">
        <w:t xml:space="preserve">ealth </w:t>
      </w:r>
      <w:r>
        <w:t>R</w:t>
      </w:r>
      <w:r w:rsidR="00C435AE">
        <w:t>esearch</w:t>
      </w:r>
      <w:r>
        <w:t xml:space="preserve"> Collaboration for Leadership in Applied Health, Research and Care. Stuart Logan, Colin Green and Siobhan Creanor report grants from NIHR Public Health Research during the conduct of the study.</w:t>
      </w:r>
      <w:r w:rsidR="000E62DF">
        <w:rPr>
          <w:color w:val="44546A"/>
        </w:rPr>
        <w:t>.</w:t>
      </w:r>
      <w:r>
        <w:t xml:space="preserve"> Colin Green served as a member of the funding panel for the NIHR Programme Grants for Applied Research 2009-2013. Colin Green (2007-2013) and Siobhan Creanor (2013 to date) served as members of the NIHR Research Funding Committee for the South West Region of the Research for Patient Benefit (RfPB) Programme. </w:t>
      </w:r>
    </w:p>
    <w:p w14:paraId="74BFB5FF" w14:textId="066073A8" w:rsidR="00311A05" w:rsidRPr="00311A05" w:rsidRDefault="00311A05" w:rsidP="00F96AEB">
      <w:pPr>
        <w:rPr>
          <w:rFonts w:eastAsiaTheme="minorHAnsi" w:cs="Myriad Pro"/>
          <w:lang w:eastAsia="en-US"/>
        </w:rPr>
      </w:pPr>
      <w:r w:rsidRPr="00311A05">
        <w:rPr>
          <w:rFonts w:eastAsiaTheme="minorHAnsi" w:cs="Myriad Pro"/>
          <w:lang w:eastAsia="en-US"/>
        </w:rPr>
        <w:t>Intervention costs for this study were paid for by the Peninsula College of Medicine and Dentistry.</w:t>
      </w:r>
    </w:p>
    <w:p w14:paraId="54EEE50E" w14:textId="31488B8F" w:rsidR="00311A05" w:rsidRPr="00311A05" w:rsidRDefault="00311A05" w:rsidP="00F96AEB">
      <w:r w:rsidRPr="00311A05">
        <w:t>Stuart Logan (NF-SI-0515-10062) and Rod Taylor (</w:t>
      </w:r>
      <w:r w:rsidRPr="00311A05">
        <w:rPr>
          <w:rFonts w:cs="Arial"/>
          <w:bCs/>
        </w:rPr>
        <w:t>NF-SI-0514-10155</w:t>
      </w:r>
      <w:r w:rsidRPr="00311A05">
        <w:t>) are NIHR senior investigators</w:t>
      </w:r>
      <w:r w:rsidR="00381830">
        <w:t>.</w:t>
      </w:r>
    </w:p>
    <w:p w14:paraId="6BD6359B" w14:textId="77777777" w:rsidR="00311A05" w:rsidRPr="00311A05" w:rsidRDefault="00311A05" w:rsidP="00F96AEB">
      <w:pPr>
        <w:rPr>
          <w:rFonts w:eastAsiaTheme="minorHAnsi" w:cs="AdvTTebabd7da"/>
          <w:lang w:eastAsia="en-US"/>
        </w:rPr>
      </w:pPr>
      <w:r w:rsidRPr="00311A05">
        <w:rPr>
          <w:rFonts w:eastAsiaTheme="minorHAnsi" w:cs="AdvTTebabd7da"/>
          <w:lang w:eastAsia="en-US"/>
        </w:rPr>
        <w:t xml:space="preserve">This study was undertaken in collaboration with the Peninsula Clinical Trials Unit, a UKCRC-registered clinical trials unit (CTU) in receipt of NIHR CTU support funding. </w:t>
      </w:r>
    </w:p>
    <w:p w14:paraId="13D36E40" w14:textId="1B46A423" w:rsidR="00311A05" w:rsidRPr="00311A05" w:rsidRDefault="00311A05" w:rsidP="00F96AEB">
      <w:r w:rsidRPr="00311A05">
        <w:rPr>
          <w:rFonts w:eastAsiaTheme="minorHAnsi" w:cs="AdvTTebabd7da"/>
          <w:lang w:eastAsia="en-US"/>
        </w:rPr>
        <w:lastRenderedPageBreak/>
        <w:t>None of the funders had involvement in the T</w:t>
      </w:r>
      <w:r w:rsidR="00381830">
        <w:rPr>
          <w:rFonts w:eastAsiaTheme="minorHAnsi" w:cs="AdvTTebabd7da"/>
          <w:lang w:eastAsia="en-US"/>
        </w:rPr>
        <w:t xml:space="preserve">rial </w:t>
      </w:r>
      <w:r w:rsidRPr="00311A05">
        <w:rPr>
          <w:rFonts w:eastAsiaTheme="minorHAnsi" w:cs="AdvTTebabd7da"/>
          <w:lang w:eastAsia="en-US"/>
        </w:rPr>
        <w:t>S</w:t>
      </w:r>
      <w:r w:rsidR="00381830">
        <w:rPr>
          <w:rFonts w:eastAsiaTheme="minorHAnsi" w:cs="AdvTTebabd7da"/>
          <w:lang w:eastAsia="en-US"/>
        </w:rPr>
        <w:t xml:space="preserve">teering </w:t>
      </w:r>
      <w:r w:rsidRPr="00311A05">
        <w:rPr>
          <w:rFonts w:eastAsiaTheme="minorHAnsi" w:cs="AdvTTebabd7da"/>
          <w:lang w:eastAsia="en-US"/>
        </w:rPr>
        <w:t>C</w:t>
      </w:r>
      <w:r w:rsidR="00381830">
        <w:rPr>
          <w:rFonts w:eastAsiaTheme="minorHAnsi" w:cs="AdvTTebabd7da"/>
          <w:lang w:eastAsia="en-US"/>
        </w:rPr>
        <w:t>ommittee</w:t>
      </w:r>
      <w:r w:rsidRPr="00311A05">
        <w:rPr>
          <w:rFonts w:eastAsiaTheme="minorHAnsi" w:cs="AdvTTebabd7da"/>
          <w:lang w:eastAsia="en-US"/>
        </w:rPr>
        <w:t>, the data analysis, data interpretation, data collection, or writing of the report.</w:t>
      </w:r>
    </w:p>
    <w:p w14:paraId="3139594E" w14:textId="19B95496" w:rsidR="00311A05" w:rsidRPr="00311A05" w:rsidRDefault="00311A05" w:rsidP="00F96AEB">
      <w:pPr>
        <w:rPr>
          <w:rFonts w:eastAsiaTheme="majorEastAsia" w:cs="Times New Roman"/>
          <w:bCs/>
        </w:rPr>
      </w:pPr>
      <w:bookmarkStart w:id="48" w:name="_Toc454450776"/>
      <w:bookmarkStart w:id="49" w:name="_Toc466638263"/>
      <w:bookmarkStart w:id="50" w:name="_Toc466638584"/>
      <w:bookmarkStart w:id="51" w:name="_Toc466639007"/>
      <w:bookmarkStart w:id="52" w:name="_Toc466639550"/>
      <w:bookmarkStart w:id="53" w:name="_Toc466639694"/>
      <w:r w:rsidRPr="00311A05">
        <w:rPr>
          <w:rFonts w:eastAsiaTheme="majorEastAsia" w:cs="Times New Roman"/>
          <w:b/>
          <w:bCs/>
        </w:rPr>
        <w:t>Keywords</w:t>
      </w:r>
      <w:bookmarkEnd w:id="48"/>
      <w:bookmarkEnd w:id="49"/>
      <w:bookmarkEnd w:id="50"/>
      <w:bookmarkEnd w:id="51"/>
      <w:bookmarkEnd w:id="52"/>
      <w:bookmarkEnd w:id="53"/>
      <w:r w:rsidRPr="00311A05">
        <w:rPr>
          <w:rFonts w:eastAsiaTheme="majorEastAsia" w:cs="Times New Roman"/>
          <w:b/>
          <w:bCs/>
        </w:rPr>
        <w:t xml:space="preserve">: </w:t>
      </w:r>
      <w:r w:rsidRPr="00311A05">
        <w:rPr>
          <w:rFonts w:eastAsiaTheme="majorEastAsia" w:cs="Times New Roman"/>
          <w:bCs/>
        </w:rPr>
        <w:t>Childhood obesity</w:t>
      </w:r>
      <w:r w:rsidR="008D2745">
        <w:rPr>
          <w:rFonts w:eastAsiaTheme="majorEastAsia" w:cs="Times New Roman"/>
          <w:bCs/>
        </w:rPr>
        <w:t>, obesity</w:t>
      </w:r>
      <w:r w:rsidRPr="00311A05">
        <w:rPr>
          <w:rFonts w:eastAsiaTheme="majorEastAsia" w:cs="Times New Roman"/>
          <w:bCs/>
        </w:rPr>
        <w:t xml:space="preserve"> prevention</w:t>
      </w:r>
      <w:r w:rsidR="008D2745">
        <w:rPr>
          <w:rFonts w:eastAsiaTheme="majorEastAsia" w:cs="Times New Roman"/>
          <w:bCs/>
        </w:rPr>
        <w:t>,</w:t>
      </w:r>
      <w:r w:rsidRPr="00311A05">
        <w:rPr>
          <w:rFonts w:eastAsiaTheme="majorEastAsia" w:cs="Times New Roman"/>
          <w:bCs/>
        </w:rPr>
        <w:t xml:space="preserve"> cluster randomised controlled trial, economic </w:t>
      </w:r>
      <w:r w:rsidR="0023575C">
        <w:rPr>
          <w:rFonts w:eastAsiaTheme="majorEastAsia" w:cs="Times New Roman"/>
          <w:bCs/>
        </w:rPr>
        <w:t xml:space="preserve">evaluation, </w:t>
      </w:r>
      <w:r w:rsidRPr="00311A05">
        <w:rPr>
          <w:rFonts w:eastAsiaTheme="majorEastAsia" w:cs="Times New Roman"/>
          <w:bCs/>
        </w:rPr>
        <w:t xml:space="preserve"> process evaluation, school-based</w:t>
      </w:r>
      <w:r w:rsidR="002F56DF">
        <w:rPr>
          <w:rFonts w:eastAsiaTheme="majorEastAsia" w:cs="Times New Roman"/>
          <w:bCs/>
        </w:rPr>
        <w:t xml:space="preserve"> intervention</w:t>
      </w:r>
      <w:r w:rsidR="0023575C">
        <w:rPr>
          <w:rFonts w:eastAsiaTheme="majorEastAsia" w:cs="Times New Roman"/>
          <w:bCs/>
        </w:rPr>
        <w:t>, healthy lifestyles programme</w:t>
      </w:r>
    </w:p>
    <w:p w14:paraId="0023C6D4" w14:textId="524EAEC1" w:rsidR="00311A05" w:rsidRPr="00311A05" w:rsidRDefault="00311A05" w:rsidP="00F96AEB">
      <w:pPr>
        <w:rPr>
          <w:rFonts w:eastAsiaTheme="majorEastAsia" w:cs="Times New Roman"/>
          <w:b/>
          <w:bCs/>
        </w:rPr>
      </w:pPr>
      <w:bookmarkStart w:id="54" w:name="_Toc454450777"/>
      <w:bookmarkStart w:id="55" w:name="_Toc466638264"/>
      <w:bookmarkStart w:id="56" w:name="_Toc466638585"/>
      <w:bookmarkStart w:id="57" w:name="_Toc466639008"/>
      <w:bookmarkStart w:id="58" w:name="_Toc466639551"/>
      <w:bookmarkStart w:id="59" w:name="_Toc466639695"/>
      <w:r w:rsidRPr="00311A05">
        <w:rPr>
          <w:rFonts w:eastAsiaTheme="majorEastAsia" w:cs="Times New Roman"/>
          <w:b/>
          <w:bCs/>
        </w:rPr>
        <w:t>Word count (excluding Reference list and appendices)</w:t>
      </w:r>
      <w:bookmarkEnd w:id="54"/>
      <w:bookmarkEnd w:id="55"/>
      <w:bookmarkEnd w:id="56"/>
      <w:bookmarkEnd w:id="57"/>
      <w:bookmarkEnd w:id="58"/>
      <w:bookmarkEnd w:id="59"/>
      <w:r w:rsidRPr="00311A05">
        <w:rPr>
          <w:rFonts w:eastAsiaTheme="majorEastAsia" w:cs="Times New Roman"/>
          <w:b/>
          <w:bCs/>
        </w:rPr>
        <w:t xml:space="preserve"> </w:t>
      </w:r>
      <w:r w:rsidR="00AF54EF">
        <w:rPr>
          <w:rFonts w:eastAsiaTheme="majorEastAsia" w:cs="Times New Roman"/>
          <w:b/>
          <w:bCs/>
        </w:rPr>
        <w:tab/>
      </w:r>
      <w:r w:rsidR="00AF54EF">
        <w:rPr>
          <w:rFonts w:eastAsiaTheme="majorEastAsia" w:cs="Times New Roman"/>
          <w:b/>
          <w:bCs/>
        </w:rPr>
        <w:tab/>
      </w:r>
      <w:r w:rsidR="00AF54EF">
        <w:rPr>
          <w:rFonts w:eastAsiaTheme="majorEastAsia" w:cs="Times New Roman"/>
          <w:b/>
          <w:bCs/>
        </w:rPr>
        <w:tab/>
      </w:r>
      <w:r w:rsidR="00AF54EF">
        <w:rPr>
          <w:rFonts w:eastAsiaTheme="majorEastAsia" w:cs="Times New Roman"/>
          <w:b/>
          <w:bCs/>
        </w:rPr>
        <w:tab/>
      </w:r>
      <w:r w:rsidR="00AF54EF" w:rsidRPr="00DC3B03">
        <w:rPr>
          <w:rFonts w:eastAsiaTheme="majorEastAsia" w:cs="Times New Roman"/>
          <w:bCs/>
        </w:rPr>
        <w:t>5</w:t>
      </w:r>
      <w:r w:rsidR="005125E5">
        <w:rPr>
          <w:rFonts w:eastAsiaTheme="majorEastAsia" w:cs="Times New Roman"/>
          <w:bCs/>
        </w:rPr>
        <w:t>2,749</w:t>
      </w:r>
      <w:r w:rsidR="00AF54EF">
        <w:rPr>
          <w:rFonts w:eastAsiaTheme="majorEastAsia" w:cs="Times New Roman"/>
          <w:bCs/>
        </w:rPr>
        <w:tab/>
      </w:r>
    </w:p>
    <w:p w14:paraId="76D10786" w14:textId="778F5D0C" w:rsidR="00E613AA" w:rsidRPr="00412E7A" w:rsidRDefault="00311A05" w:rsidP="00AB4D98">
      <w:pPr>
        <w:pStyle w:val="Heading1"/>
      </w:pPr>
      <w:r w:rsidRPr="00311A05">
        <w:rPr>
          <w:rFonts w:eastAsiaTheme="minorEastAsia"/>
          <w:bCs/>
        </w:rPr>
        <w:br w:type="page"/>
      </w:r>
      <w:bookmarkStart w:id="60" w:name="_Toc475974325"/>
      <w:r w:rsidR="008D5ADB" w:rsidRPr="00412E7A">
        <w:lastRenderedPageBreak/>
        <w:t>Abstract</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60"/>
    </w:p>
    <w:p w14:paraId="2AA785C0" w14:textId="77777777" w:rsidR="00AA2A81" w:rsidRPr="00B25B45" w:rsidRDefault="00AA2A81" w:rsidP="00480148">
      <w:pPr>
        <w:spacing w:after="0" w:line="360" w:lineRule="auto"/>
        <w:rPr>
          <w:rFonts w:eastAsiaTheme="majorEastAsia" w:cs="Times New Roman"/>
          <w:bCs/>
        </w:rPr>
      </w:pPr>
      <w:bookmarkStart w:id="61" w:name="_Toc454450784"/>
      <w:bookmarkStart w:id="62" w:name="_Toc466710020"/>
      <w:bookmarkStart w:id="63" w:name="_Toc466710147"/>
      <w:bookmarkStart w:id="64" w:name="_Toc466710906"/>
      <w:bookmarkStart w:id="65" w:name="_Toc466711368"/>
      <w:bookmarkStart w:id="66" w:name="_Toc466712027"/>
      <w:bookmarkStart w:id="67" w:name="_Toc466712148"/>
      <w:bookmarkStart w:id="68" w:name="_Toc466712623"/>
      <w:bookmarkStart w:id="69" w:name="_Toc466715172"/>
      <w:bookmarkStart w:id="70" w:name="_Toc454450787"/>
      <w:bookmarkStart w:id="71" w:name="_Toc466639708"/>
      <w:bookmarkStart w:id="72" w:name="_Toc466644442"/>
      <w:bookmarkStart w:id="73" w:name="_Toc466644574"/>
      <w:r w:rsidRPr="00B25B45">
        <w:rPr>
          <w:rFonts w:eastAsiaTheme="majorEastAsia" w:cs="Times New Roman"/>
          <w:b/>
          <w:bCs/>
        </w:rPr>
        <w:t>Background</w:t>
      </w:r>
      <w:bookmarkEnd w:id="61"/>
      <w:r w:rsidRPr="00B25B45">
        <w:rPr>
          <w:rFonts w:eastAsiaTheme="majorEastAsia" w:cs="Times New Roman"/>
          <w:b/>
          <w:bCs/>
        </w:rPr>
        <w:t xml:space="preserve">: </w:t>
      </w:r>
      <w:r w:rsidRPr="00B25B45">
        <w:rPr>
          <w:rFonts w:eastAsiaTheme="majorEastAsia" w:cs="Times New Roman"/>
          <w:bCs/>
        </w:rPr>
        <w:t>Approximately one third of children in England leave primary school overweight or obese. There is little evidence of effective obesity prevention programmes for this age group.</w:t>
      </w:r>
      <w:bookmarkEnd w:id="62"/>
      <w:bookmarkEnd w:id="63"/>
      <w:bookmarkEnd w:id="64"/>
      <w:bookmarkEnd w:id="65"/>
      <w:bookmarkEnd w:id="66"/>
      <w:bookmarkEnd w:id="67"/>
      <w:bookmarkEnd w:id="68"/>
      <w:bookmarkEnd w:id="69"/>
    </w:p>
    <w:p w14:paraId="77C2E3D9" w14:textId="77777777" w:rsidR="00AA2A81" w:rsidRPr="00B25B45" w:rsidRDefault="00AA2A81" w:rsidP="00480148">
      <w:pPr>
        <w:spacing w:after="0" w:line="360" w:lineRule="auto"/>
        <w:rPr>
          <w:rFonts w:eastAsiaTheme="majorEastAsia" w:cs="Times New Roman"/>
          <w:bCs/>
          <w:color w:val="231F20"/>
        </w:rPr>
      </w:pPr>
      <w:bookmarkStart w:id="74" w:name="_Toc466710021"/>
      <w:bookmarkStart w:id="75" w:name="_Toc466710148"/>
      <w:bookmarkStart w:id="76" w:name="_Toc466710907"/>
      <w:bookmarkStart w:id="77" w:name="_Toc466711369"/>
      <w:bookmarkStart w:id="78" w:name="_Toc466712028"/>
      <w:bookmarkStart w:id="79" w:name="_Toc466712149"/>
      <w:bookmarkStart w:id="80" w:name="_Toc466712624"/>
      <w:bookmarkStart w:id="81" w:name="_Toc466715173"/>
      <w:r w:rsidRPr="00B25B45">
        <w:rPr>
          <w:rFonts w:eastAsiaTheme="majorEastAsia" w:cs="Times New Roman"/>
          <w:b/>
          <w:bCs/>
          <w:color w:val="231F20"/>
        </w:rPr>
        <w:t xml:space="preserve">Objective: </w:t>
      </w:r>
      <w:r w:rsidRPr="00B25B45">
        <w:rPr>
          <w:rFonts w:eastAsiaTheme="majorEastAsia" w:cs="Times New Roman"/>
          <w:bCs/>
          <w:color w:val="231F20"/>
        </w:rPr>
        <w:t xml:space="preserve"> To determine the effectiveness and cost effectiveness of a school-based healthy lifestyles programme in preventing obesity in 9-10 year olds.</w:t>
      </w:r>
      <w:bookmarkEnd w:id="74"/>
      <w:bookmarkEnd w:id="75"/>
      <w:bookmarkEnd w:id="76"/>
      <w:bookmarkEnd w:id="77"/>
      <w:bookmarkEnd w:id="78"/>
      <w:bookmarkEnd w:id="79"/>
      <w:bookmarkEnd w:id="80"/>
      <w:bookmarkEnd w:id="81"/>
    </w:p>
    <w:p w14:paraId="0AABF884" w14:textId="77777777" w:rsidR="00AA2A81" w:rsidRPr="00B25B45" w:rsidRDefault="00AA2A81" w:rsidP="00480148">
      <w:pPr>
        <w:spacing w:after="0" w:line="360" w:lineRule="auto"/>
        <w:rPr>
          <w:rFonts w:eastAsiaTheme="majorEastAsia" w:cs="Times New Roman"/>
          <w:b/>
          <w:bCs/>
        </w:rPr>
      </w:pPr>
      <w:bookmarkStart w:id="82" w:name="_Toc454450785"/>
      <w:bookmarkStart w:id="83" w:name="_Toc466710022"/>
      <w:bookmarkStart w:id="84" w:name="_Toc466710149"/>
      <w:bookmarkStart w:id="85" w:name="_Toc466710908"/>
      <w:bookmarkStart w:id="86" w:name="_Toc466711370"/>
      <w:bookmarkStart w:id="87" w:name="_Toc466712029"/>
      <w:bookmarkStart w:id="88" w:name="_Toc466712150"/>
      <w:bookmarkStart w:id="89" w:name="_Toc466712625"/>
      <w:bookmarkStart w:id="90" w:name="_Toc466715174"/>
      <w:r w:rsidRPr="00B25B45">
        <w:rPr>
          <w:rFonts w:eastAsiaTheme="majorEastAsia" w:cs="Times New Roman"/>
          <w:b/>
          <w:bCs/>
        </w:rPr>
        <w:t>Design</w:t>
      </w:r>
      <w:bookmarkEnd w:id="82"/>
      <w:r w:rsidRPr="00B25B45">
        <w:rPr>
          <w:rFonts w:eastAsiaTheme="majorEastAsia" w:cs="Times New Roman"/>
          <w:b/>
          <w:bCs/>
        </w:rPr>
        <w:t xml:space="preserve">: </w:t>
      </w:r>
      <w:r w:rsidRPr="00B25B45">
        <w:rPr>
          <w:rFonts w:eastAsiaTheme="majorEastAsia" w:cs="Times New Roman"/>
          <w:bCs/>
        </w:rPr>
        <w:t>Cluster randomised controlled trial with economic and process evaluation.</w:t>
      </w:r>
      <w:bookmarkEnd w:id="83"/>
      <w:bookmarkEnd w:id="84"/>
      <w:bookmarkEnd w:id="85"/>
      <w:bookmarkEnd w:id="86"/>
      <w:bookmarkEnd w:id="87"/>
      <w:bookmarkEnd w:id="88"/>
      <w:bookmarkEnd w:id="89"/>
      <w:bookmarkEnd w:id="90"/>
    </w:p>
    <w:p w14:paraId="02699D06" w14:textId="77777777" w:rsidR="00AA2A81" w:rsidRPr="00B25B45" w:rsidRDefault="00AA2A81" w:rsidP="00480148">
      <w:pPr>
        <w:spacing w:after="0" w:line="360" w:lineRule="auto"/>
        <w:rPr>
          <w:rFonts w:eastAsiaTheme="majorEastAsia" w:cs="Times New Roman"/>
          <w:bCs/>
          <w:color w:val="231F20"/>
        </w:rPr>
      </w:pPr>
      <w:bookmarkStart w:id="91" w:name="_Toc466710023"/>
      <w:bookmarkStart w:id="92" w:name="_Toc466710150"/>
      <w:bookmarkStart w:id="93" w:name="_Toc466710909"/>
      <w:bookmarkStart w:id="94" w:name="_Toc466711371"/>
      <w:bookmarkStart w:id="95" w:name="_Toc466712030"/>
      <w:bookmarkStart w:id="96" w:name="_Toc466712151"/>
      <w:bookmarkStart w:id="97" w:name="_Toc466712626"/>
      <w:bookmarkStart w:id="98" w:name="_Toc466715175"/>
      <w:r w:rsidRPr="00B25B45">
        <w:rPr>
          <w:rFonts w:eastAsiaTheme="majorEastAsia" w:cs="Times New Roman"/>
          <w:b/>
          <w:bCs/>
          <w:color w:val="231F20"/>
        </w:rPr>
        <w:t xml:space="preserve">Setting: </w:t>
      </w:r>
      <w:r w:rsidRPr="00B25B45">
        <w:rPr>
          <w:rFonts w:eastAsiaTheme="majorEastAsia" w:cs="Times New Roman"/>
          <w:bCs/>
          <w:color w:val="231F20"/>
        </w:rPr>
        <w:t>Thirty two primary schools in Southwest England.</w:t>
      </w:r>
      <w:bookmarkEnd w:id="91"/>
      <w:bookmarkEnd w:id="92"/>
      <w:bookmarkEnd w:id="93"/>
      <w:bookmarkEnd w:id="94"/>
      <w:bookmarkEnd w:id="95"/>
      <w:bookmarkEnd w:id="96"/>
      <w:bookmarkEnd w:id="97"/>
      <w:bookmarkEnd w:id="98"/>
    </w:p>
    <w:p w14:paraId="28B9A415" w14:textId="77777777" w:rsidR="00AA2A81" w:rsidRPr="00B25B45" w:rsidRDefault="00AA2A81" w:rsidP="00480148">
      <w:pPr>
        <w:spacing w:after="0" w:line="360" w:lineRule="auto"/>
        <w:rPr>
          <w:rFonts w:eastAsiaTheme="majorEastAsia" w:cs="Times New Roman"/>
          <w:bCs/>
          <w:color w:val="231F20"/>
        </w:rPr>
      </w:pPr>
      <w:bookmarkStart w:id="99" w:name="_Toc466710024"/>
      <w:bookmarkStart w:id="100" w:name="_Toc466710151"/>
      <w:bookmarkStart w:id="101" w:name="_Toc466710910"/>
      <w:bookmarkStart w:id="102" w:name="_Toc466711372"/>
      <w:bookmarkStart w:id="103" w:name="_Toc466712031"/>
      <w:bookmarkStart w:id="104" w:name="_Toc466712152"/>
      <w:bookmarkStart w:id="105" w:name="_Toc466712627"/>
      <w:bookmarkStart w:id="106" w:name="_Toc466715176"/>
      <w:r w:rsidRPr="00B25B45">
        <w:rPr>
          <w:rFonts w:eastAsiaTheme="majorEastAsia" w:cs="Times New Roman"/>
          <w:b/>
          <w:bCs/>
          <w:color w:val="231F20"/>
        </w:rPr>
        <w:t xml:space="preserve">Participants: </w:t>
      </w:r>
      <w:r w:rsidRPr="00B25B45">
        <w:rPr>
          <w:rFonts w:eastAsiaTheme="majorEastAsia" w:cs="Times New Roman"/>
          <w:bCs/>
          <w:color w:val="231F20"/>
        </w:rPr>
        <w:t>Children in Year 5 (aged 9-10 years) at recruitment and Year 7 (aged 11-12 years) at 24 month post baseline follow up.</w:t>
      </w:r>
      <w:bookmarkEnd w:id="99"/>
      <w:bookmarkEnd w:id="100"/>
      <w:bookmarkEnd w:id="101"/>
      <w:bookmarkEnd w:id="102"/>
      <w:bookmarkEnd w:id="103"/>
      <w:bookmarkEnd w:id="104"/>
      <w:bookmarkEnd w:id="105"/>
      <w:bookmarkEnd w:id="106"/>
    </w:p>
    <w:p w14:paraId="74D8763F" w14:textId="77777777" w:rsidR="00AA2A81" w:rsidRPr="00B25B45" w:rsidRDefault="00AA2A81" w:rsidP="00480148">
      <w:pPr>
        <w:spacing w:after="0" w:line="360" w:lineRule="auto"/>
        <w:rPr>
          <w:rFonts w:eastAsiaTheme="majorEastAsia" w:cs="Times New Roman"/>
          <w:b/>
          <w:bCs/>
          <w:color w:val="231F20"/>
        </w:rPr>
      </w:pPr>
      <w:bookmarkStart w:id="107" w:name="_Toc466710025"/>
      <w:bookmarkStart w:id="108" w:name="_Toc466710152"/>
      <w:bookmarkStart w:id="109" w:name="_Toc466710911"/>
      <w:bookmarkStart w:id="110" w:name="_Toc466711373"/>
      <w:bookmarkStart w:id="111" w:name="_Toc466712032"/>
      <w:bookmarkStart w:id="112" w:name="_Toc466712153"/>
      <w:bookmarkStart w:id="113" w:name="_Toc466712628"/>
      <w:bookmarkStart w:id="114" w:name="_Toc466715177"/>
      <w:r w:rsidRPr="00B25B45">
        <w:rPr>
          <w:rFonts w:eastAsiaTheme="majorEastAsia" w:cs="Times New Roman"/>
          <w:b/>
          <w:bCs/>
          <w:color w:val="231F20"/>
        </w:rPr>
        <w:t xml:space="preserve">Intervention: </w:t>
      </w:r>
      <w:r w:rsidRPr="00B25B45">
        <w:rPr>
          <w:rFonts w:eastAsiaTheme="majorEastAsia" w:cs="Times New Roman"/>
          <w:bCs/>
          <w:color w:val="231F20"/>
        </w:rPr>
        <w:t>The Healthy Lifestyles Programme ran over the Spring term of Year 5 into the Autumn term of Year 6 and included four phases: building a receptive environment; a drama-based healthy lifestyles week; 1:1 goal setting and reinforcement activities.</w:t>
      </w:r>
      <w:bookmarkEnd w:id="107"/>
      <w:bookmarkEnd w:id="108"/>
      <w:bookmarkEnd w:id="109"/>
      <w:bookmarkEnd w:id="110"/>
      <w:bookmarkEnd w:id="111"/>
      <w:bookmarkEnd w:id="112"/>
      <w:bookmarkEnd w:id="113"/>
      <w:bookmarkEnd w:id="114"/>
    </w:p>
    <w:p w14:paraId="2F3D3DB5" w14:textId="24ABB98C" w:rsidR="00AA2A81" w:rsidRPr="00B25B45" w:rsidRDefault="00AA2A81" w:rsidP="00480148">
      <w:pPr>
        <w:spacing w:after="0" w:line="360" w:lineRule="auto"/>
        <w:rPr>
          <w:rFonts w:eastAsiaTheme="majorEastAsia" w:cs="Times New Roman"/>
          <w:bCs/>
          <w:color w:val="231F20"/>
        </w:rPr>
      </w:pPr>
      <w:bookmarkStart w:id="115" w:name="_Toc466710026"/>
      <w:bookmarkStart w:id="116" w:name="_Toc466710153"/>
      <w:bookmarkStart w:id="117" w:name="_Toc466710912"/>
      <w:bookmarkStart w:id="118" w:name="_Toc466711374"/>
      <w:bookmarkStart w:id="119" w:name="_Toc466712033"/>
      <w:bookmarkStart w:id="120" w:name="_Toc466712154"/>
      <w:bookmarkStart w:id="121" w:name="_Toc466712629"/>
      <w:bookmarkStart w:id="122" w:name="_Toc466715178"/>
      <w:r w:rsidRPr="00B25B45">
        <w:rPr>
          <w:rFonts w:eastAsiaTheme="majorEastAsia" w:cs="Times New Roman"/>
          <w:b/>
          <w:bCs/>
          <w:color w:val="231F20"/>
        </w:rPr>
        <w:t xml:space="preserve">Main outcome measures: </w:t>
      </w:r>
      <w:r w:rsidRPr="00B25B45">
        <w:rPr>
          <w:rFonts w:eastAsiaTheme="majorEastAsia" w:cs="Times New Roman"/>
          <w:bCs/>
          <w:color w:val="231F20"/>
        </w:rPr>
        <w:t xml:space="preserve">The primary outcome measure was </w:t>
      </w:r>
      <w:r w:rsidR="001F18A3">
        <w:rPr>
          <w:rFonts w:eastAsiaTheme="majorEastAsia" w:cs="Times New Roman"/>
          <w:bCs/>
          <w:color w:val="231F20"/>
        </w:rPr>
        <w:t>Body Mass Index Standard Deviation Score (</w:t>
      </w:r>
      <w:r w:rsidRPr="00B25B45">
        <w:rPr>
          <w:rFonts w:eastAsiaTheme="majorEastAsia" w:cs="Times New Roman"/>
          <w:bCs/>
          <w:color w:val="231F20"/>
        </w:rPr>
        <w:t>BMI SDS</w:t>
      </w:r>
      <w:r w:rsidR="001F18A3">
        <w:rPr>
          <w:rFonts w:eastAsiaTheme="majorEastAsia" w:cs="Times New Roman"/>
          <w:bCs/>
          <w:color w:val="231F20"/>
        </w:rPr>
        <w:t>)</w:t>
      </w:r>
      <w:r w:rsidRPr="00B25B45">
        <w:rPr>
          <w:rFonts w:eastAsiaTheme="majorEastAsia" w:cs="Times New Roman"/>
          <w:bCs/>
          <w:color w:val="231F20"/>
        </w:rPr>
        <w:t xml:space="preserve"> at</w:t>
      </w:r>
      <w:r w:rsidRPr="00B25B45">
        <w:rPr>
          <w:rFonts w:cs="Times New Roman"/>
          <w:color w:val="231F20"/>
        </w:rPr>
        <w:t xml:space="preserve"> 24 months post baseline measures (12 months post intervention)</w:t>
      </w:r>
      <w:r w:rsidRPr="00B25B45">
        <w:rPr>
          <w:rFonts w:eastAsiaTheme="majorEastAsia" w:cs="Times New Roman"/>
          <w:bCs/>
          <w:color w:val="231F20"/>
        </w:rPr>
        <w:t xml:space="preserve">. Secondary outcomes included waist circumference SDS, percent body fat SDS, proportion of children overweight and obese at 18 and 24 months, accelerometry assessed physical activity and </w:t>
      </w:r>
      <w:r w:rsidR="00A72676">
        <w:rPr>
          <w:rFonts w:eastAsiaTheme="majorEastAsia" w:cs="Times New Roman"/>
          <w:bCs/>
          <w:color w:val="231F20"/>
        </w:rPr>
        <w:t xml:space="preserve"> </w:t>
      </w:r>
      <w:r w:rsidR="00C8303F">
        <w:rPr>
          <w:rFonts w:eastAsiaTheme="majorEastAsia" w:cs="Times New Roman"/>
          <w:bCs/>
          <w:color w:val="231F20"/>
        </w:rPr>
        <w:t>food intake</w:t>
      </w:r>
      <w:r w:rsidRPr="00B25B45">
        <w:rPr>
          <w:rFonts w:eastAsiaTheme="majorEastAsia" w:cs="Times New Roman"/>
          <w:bCs/>
          <w:color w:val="231F20"/>
        </w:rPr>
        <w:t xml:space="preserve"> at 18 months, and cost effectiveness.</w:t>
      </w:r>
      <w:bookmarkEnd w:id="115"/>
      <w:bookmarkEnd w:id="116"/>
      <w:bookmarkEnd w:id="117"/>
      <w:bookmarkEnd w:id="118"/>
      <w:bookmarkEnd w:id="119"/>
      <w:bookmarkEnd w:id="120"/>
      <w:bookmarkEnd w:id="121"/>
      <w:bookmarkEnd w:id="122"/>
    </w:p>
    <w:p w14:paraId="5B75151B" w14:textId="09E50BBB" w:rsidR="00AA2A81" w:rsidRPr="00B25B45" w:rsidRDefault="00AA2A81" w:rsidP="00480148">
      <w:pPr>
        <w:spacing w:after="0" w:line="360" w:lineRule="auto"/>
        <w:rPr>
          <w:rFonts w:eastAsiaTheme="majorEastAsia" w:cs="Times New Roman"/>
          <w:b/>
          <w:bCs/>
        </w:rPr>
      </w:pPr>
      <w:bookmarkStart w:id="123" w:name="_Toc466710027"/>
      <w:bookmarkStart w:id="124" w:name="_Toc466710154"/>
      <w:bookmarkStart w:id="125" w:name="_Toc466710913"/>
      <w:bookmarkStart w:id="126" w:name="_Toc466711375"/>
      <w:bookmarkStart w:id="127" w:name="_Toc466712034"/>
      <w:bookmarkStart w:id="128" w:name="_Toc466712155"/>
      <w:bookmarkStart w:id="129" w:name="_Toc466712630"/>
      <w:bookmarkStart w:id="130" w:name="_Toc466715179"/>
      <w:r w:rsidRPr="00B25B45">
        <w:rPr>
          <w:rFonts w:eastAsiaTheme="majorEastAsia" w:cs="Times New Roman"/>
          <w:b/>
          <w:bCs/>
          <w:color w:val="231F20"/>
        </w:rPr>
        <w:t xml:space="preserve">Results: </w:t>
      </w:r>
      <w:r w:rsidRPr="00B25B45">
        <w:rPr>
          <w:rFonts w:eastAsiaTheme="majorEastAsia" w:cs="Times New Roman"/>
          <w:bCs/>
          <w:color w:val="231F20"/>
        </w:rPr>
        <w:t xml:space="preserve">We recruited 32 schools and 1324 children. We had 94% follow up for the primary outcome. No difference in BMI SDS was found at 24 months (mean difference -0.02 (95% CI: -0.09, 0.05)) or 18 months (mean difference </w:t>
      </w:r>
      <w:r w:rsidR="008002F8" w:rsidRPr="008002F8">
        <w:rPr>
          <w:rFonts w:eastAsiaTheme="majorEastAsia" w:cs="Times New Roman"/>
          <w:bCs/>
          <w:color w:val="231F20"/>
        </w:rPr>
        <w:t>-0.02 (95% CI: -0.08, 0.05</w:t>
      </w:r>
      <w:r w:rsidRPr="00B25B45">
        <w:rPr>
          <w:rFonts w:eastAsiaTheme="majorEastAsia" w:cs="Times New Roman"/>
          <w:bCs/>
          <w:color w:val="231F20"/>
        </w:rPr>
        <w:t xml:space="preserve">) between children in the intervention and control schools. No difference was found between intervention and control groups in waist circumference SDS or percent body fat SDS or physical activity levels. Self-reported dietary behaviours showed that at 18 months children in the intervention schools consumed fewer Energy Dense Snacks and had fewer Negative Food Markers than children in the control schools. The intervention effect </w:t>
      </w:r>
      <w:r w:rsidRPr="00B25B45">
        <w:rPr>
          <w:rFonts w:eastAsiaTheme="majorEastAsia" w:cs="Times New Roman"/>
          <w:bCs/>
        </w:rPr>
        <w:t>on Negative Food Markers was fully mediated by ‘knowledge‘  and three composite variables, ‘confidence and motivation’, ‘</w:t>
      </w:r>
      <w:r w:rsidRPr="00B25B45">
        <w:rPr>
          <w:rFonts w:eastAsia="Calibri" w:cs="Times New Roman"/>
          <w:bCs/>
        </w:rPr>
        <w:t>family approval / behaviours &amp; child attitudes’ and ‘behaviours and strategies’</w:t>
      </w:r>
      <w:r w:rsidRPr="00B25B45">
        <w:rPr>
          <w:rFonts w:eastAsiaTheme="majorEastAsia" w:cs="Times New Roman"/>
          <w:bCs/>
        </w:rPr>
        <w:t xml:space="preserve">. The intervention effect on Energy Dense Snacks was partially mediated by ‘knowledge’ and the same composite variables apart from ‘behaviours and strategies’. The cost of implementing the intervention was approximately £210 per child. The intervention was not cost effective compared to control. The </w:t>
      </w:r>
      <w:r w:rsidR="00E34A3B">
        <w:rPr>
          <w:rFonts w:eastAsiaTheme="majorEastAsia" w:cs="Times New Roman"/>
          <w:bCs/>
        </w:rPr>
        <w:t>p</w:t>
      </w:r>
      <w:r w:rsidRPr="00B25B45">
        <w:rPr>
          <w:rFonts w:eastAsiaTheme="majorEastAsia" w:cs="Times New Roman"/>
          <w:bCs/>
        </w:rPr>
        <w:t>rogramme was delivered with high fidelity and engaged children, schools and families across the socioeconomic spectrum.</w:t>
      </w:r>
      <w:bookmarkEnd w:id="123"/>
      <w:bookmarkEnd w:id="124"/>
      <w:bookmarkEnd w:id="125"/>
      <w:bookmarkEnd w:id="126"/>
      <w:bookmarkEnd w:id="127"/>
      <w:bookmarkEnd w:id="128"/>
      <w:bookmarkEnd w:id="129"/>
      <w:bookmarkEnd w:id="130"/>
      <w:r w:rsidRPr="00B25B45">
        <w:rPr>
          <w:rFonts w:eastAsiaTheme="majorEastAsia" w:cs="Times New Roman"/>
          <w:bCs/>
        </w:rPr>
        <w:t xml:space="preserve"> </w:t>
      </w:r>
    </w:p>
    <w:p w14:paraId="35B78A2C" w14:textId="77777777" w:rsidR="00AA2A81" w:rsidRPr="00B25B45" w:rsidRDefault="00AA2A81" w:rsidP="00480148">
      <w:pPr>
        <w:spacing w:after="0" w:line="360" w:lineRule="auto"/>
        <w:rPr>
          <w:rFonts w:eastAsiaTheme="majorEastAsia" w:cs="Times New Roman"/>
          <w:bCs/>
          <w:color w:val="231F20"/>
        </w:rPr>
      </w:pPr>
      <w:bookmarkStart w:id="131" w:name="_Toc466710028"/>
      <w:bookmarkStart w:id="132" w:name="_Toc466710155"/>
      <w:bookmarkStart w:id="133" w:name="_Toc466710914"/>
      <w:bookmarkStart w:id="134" w:name="_Toc466711376"/>
      <w:bookmarkStart w:id="135" w:name="_Toc466712035"/>
      <w:bookmarkStart w:id="136" w:name="_Toc466712156"/>
      <w:bookmarkStart w:id="137" w:name="_Toc466712631"/>
      <w:bookmarkStart w:id="138" w:name="_Toc466715180"/>
      <w:r w:rsidRPr="00B25B45">
        <w:rPr>
          <w:rFonts w:eastAsiaTheme="majorEastAsia" w:cs="Times New Roman"/>
          <w:b/>
          <w:bCs/>
          <w:color w:val="231F20"/>
        </w:rPr>
        <w:t xml:space="preserve">Limitations: </w:t>
      </w:r>
      <w:r w:rsidRPr="00B25B45">
        <w:rPr>
          <w:rFonts w:eastAsiaTheme="majorEastAsia" w:cs="Times New Roman"/>
          <w:bCs/>
          <w:color w:val="231F20"/>
        </w:rPr>
        <w:t xml:space="preserve">Responses to the parent questionnaire in the process evaluation were low. Although the schools in the HeLP study included a range of levels of socioeconomic deprivation, class sizes and </w:t>
      </w:r>
      <w:r w:rsidRPr="00B25B45">
        <w:rPr>
          <w:rFonts w:eastAsiaTheme="majorEastAsia" w:cs="Times New Roman"/>
          <w:bCs/>
          <w:color w:val="231F20"/>
        </w:rPr>
        <w:lastRenderedPageBreak/>
        <w:t>rural and urban settings, the number of children for whom English is an additional language was considerably lower than the national average.</w:t>
      </w:r>
      <w:bookmarkEnd w:id="131"/>
      <w:bookmarkEnd w:id="132"/>
      <w:bookmarkEnd w:id="133"/>
      <w:bookmarkEnd w:id="134"/>
      <w:bookmarkEnd w:id="135"/>
      <w:bookmarkEnd w:id="136"/>
      <w:bookmarkEnd w:id="137"/>
      <w:bookmarkEnd w:id="138"/>
      <w:r w:rsidRPr="00B25B45">
        <w:rPr>
          <w:rFonts w:eastAsiaTheme="majorEastAsia" w:cs="Times New Roman"/>
          <w:bCs/>
          <w:color w:val="231F20"/>
        </w:rPr>
        <w:t xml:space="preserve"> </w:t>
      </w:r>
    </w:p>
    <w:p w14:paraId="5D3C79E6" w14:textId="77777777" w:rsidR="00AA2A81" w:rsidRPr="00B25B45" w:rsidRDefault="00AA2A81" w:rsidP="00480148">
      <w:pPr>
        <w:spacing w:after="0" w:line="360" w:lineRule="auto"/>
        <w:rPr>
          <w:rFonts w:eastAsiaTheme="majorEastAsia" w:cs="Times New Roman"/>
          <w:bCs/>
          <w:color w:val="231F20"/>
        </w:rPr>
      </w:pPr>
      <w:bookmarkStart w:id="139" w:name="_Toc466710029"/>
      <w:bookmarkStart w:id="140" w:name="_Toc466710156"/>
      <w:bookmarkStart w:id="141" w:name="_Toc466710915"/>
      <w:bookmarkStart w:id="142" w:name="_Toc466711377"/>
      <w:bookmarkStart w:id="143" w:name="_Toc466712036"/>
      <w:bookmarkStart w:id="144" w:name="_Toc466712157"/>
      <w:bookmarkStart w:id="145" w:name="_Toc466712632"/>
      <w:bookmarkStart w:id="146" w:name="_Toc466715181"/>
      <w:r w:rsidRPr="00B25B45">
        <w:rPr>
          <w:rFonts w:eastAsiaTheme="majorEastAsia" w:cs="Times New Roman"/>
          <w:b/>
          <w:bCs/>
          <w:color w:val="231F20"/>
        </w:rPr>
        <w:t xml:space="preserve">Conclusions: </w:t>
      </w:r>
      <w:r w:rsidRPr="00B25B45">
        <w:rPr>
          <w:rFonts w:eastAsiaTheme="majorEastAsia" w:cs="Times New Roman"/>
          <w:bCs/>
          <w:color w:val="231F20"/>
        </w:rPr>
        <w:t>The Healthy Lifestyles Programme is not effective or cost effective in preventing overweight or obesity in 9-10 year olds.</w:t>
      </w:r>
      <w:bookmarkEnd w:id="139"/>
      <w:bookmarkEnd w:id="140"/>
      <w:bookmarkEnd w:id="141"/>
      <w:bookmarkEnd w:id="142"/>
      <w:bookmarkEnd w:id="143"/>
      <w:bookmarkEnd w:id="144"/>
      <w:bookmarkEnd w:id="145"/>
      <w:bookmarkEnd w:id="146"/>
    </w:p>
    <w:p w14:paraId="741D4411" w14:textId="408AEC1D" w:rsidR="00AA2A81" w:rsidRPr="00B25B45" w:rsidRDefault="00AA2A81" w:rsidP="00480148">
      <w:pPr>
        <w:spacing w:after="0" w:line="360" w:lineRule="auto"/>
        <w:rPr>
          <w:rFonts w:eastAsiaTheme="majorEastAsia" w:cs="Times New Roman"/>
          <w:bCs/>
          <w:color w:val="231F20"/>
        </w:rPr>
      </w:pPr>
      <w:bookmarkStart w:id="147" w:name="_Toc466710030"/>
      <w:bookmarkStart w:id="148" w:name="_Toc466710157"/>
      <w:bookmarkStart w:id="149" w:name="_Toc466710916"/>
      <w:bookmarkStart w:id="150" w:name="_Toc466711378"/>
      <w:bookmarkStart w:id="151" w:name="_Toc466712037"/>
      <w:bookmarkStart w:id="152" w:name="_Toc466712158"/>
      <w:bookmarkStart w:id="153" w:name="_Toc466712633"/>
      <w:bookmarkStart w:id="154" w:name="_Toc466715182"/>
      <w:r w:rsidRPr="00B25B45">
        <w:rPr>
          <w:rFonts w:eastAsiaTheme="majorEastAsia" w:cs="Times New Roman"/>
          <w:b/>
          <w:bCs/>
          <w:color w:val="231F20"/>
        </w:rPr>
        <w:t xml:space="preserve">Future work: </w:t>
      </w:r>
      <w:r w:rsidRPr="00B25B45">
        <w:rPr>
          <w:rFonts w:eastAsiaTheme="majorEastAsia" w:cs="Times New Roman"/>
          <w:bCs/>
          <w:color w:val="231F20"/>
        </w:rPr>
        <w:t>Ou</w:t>
      </w:r>
      <w:r w:rsidR="00480148">
        <w:rPr>
          <w:rFonts w:eastAsiaTheme="majorEastAsia" w:cs="Times New Roman"/>
          <w:bCs/>
          <w:color w:val="231F20"/>
        </w:rPr>
        <w:t>r very high levels of follow up and</w:t>
      </w:r>
      <w:r w:rsidRPr="00B25B45">
        <w:rPr>
          <w:rFonts w:eastAsiaTheme="majorEastAsia" w:cs="Times New Roman"/>
          <w:bCs/>
          <w:color w:val="231F20"/>
        </w:rPr>
        <w:t xml:space="preserve"> fidelity of intervention delivery lead us to conclude that it is unlikely that school-based programmes targeting a single age group can ever be sufficiently intense to affect weight status. New approaches are needed which affect the school, family and wider environment to prevent childhood obesity</w:t>
      </w:r>
      <w:bookmarkEnd w:id="147"/>
      <w:bookmarkEnd w:id="148"/>
      <w:bookmarkEnd w:id="149"/>
      <w:bookmarkEnd w:id="150"/>
      <w:bookmarkEnd w:id="151"/>
      <w:bookmarkEnd w:id="152"/>
      <w:bookmarkEnd w:id="153"/>
      <w:bookmarkEnd w:id="154"/>
      <w:r w:rsidR="00F80505">
        <w:rPr>
          <w:rFonts w:eastAsiaTheme="majorEastAsia" w:cs="Times New Roman"/>
          <w:bCs/>
          <w:color w:val="231F20"/>
        </w:rPr>
        <w:t>.</w:t>
      </w:r>
    </w:p>
    <w:p w14:paraId="68D7A979" w14:textId="1B24E6FB" w:rsidR="00E155EB" w:rsidRPr="00E92C3D" w:rsidRDefault="008D5ADB" w:rsidP="00F96AEB">
      <w:pPr>
        <w:rPr>
          <w:rFonts w:cs="Times New Roman"/>
          <w:b/>
        </w:rPr>
      </w:pPr>
      <w:bookmarkStart w:id="155" w:name="_Toc466710031"/>
      <w:bookmarkStart w:id="156" w:name="_Toc466710158"/>
      <w:bookmarkStart w:id="157" w:name="_Toc466710917"/>
      <w:bookmarkStart w:id="158" w:name="_Toc466711379"/>
      <w:bookmarkStart w:id="159" w:name="_Toc466712038"/>
      <w:bookmarkStart w:id="160" w:name="_Toc466712159"/>
      <w:bookmarkStart w:id="161" w:name="_Toc466712634"/>
      <w:bookmarkStart w:id="162" w:name="_Toc466715183"/>
      <w:r w:rsidRPr="00E92C3D">
        <w:rPr>
          <w:rFonts w:cs="Times New Roman"/>
          <w:b/>
        </w:rPr>
        <w:t>Trial registration</w:t>
      </w:r>
      <w:bookmarkEnd w:id="70"/>
      <w:bookmarkEnd w:id="71"/>
      <w:bookmarkEnd w:id="72"/>
      <w:bookmarkEnd w:id="73"/>
      <w:bookmarkEnd w:id="155"/>
      <w:bookmarkEnd w:id="156"/>
      <w:bookmarkEnd w:id="157"/>
      <w:bookmarkEnd w:id="158"/>
      <w:bookmarkEnd w:id="159"/>
      <w:bookmarkEnd w:id="160"/>
      <w:bookmarkEnd w:id="161"/>
      <w:bookmarkEnd w:id="162"/>
    </w:p>
    <w:p w14:paraId="348D6A8A" w14:textId="77777777" w:rsidR="00E155EB" w:rsidRPr="00B25B45" w:rsidRDefault="008D5ADB" w:rsidP="00F96AEB">
      <w:pPr>
        <w:rPr>
          <w:rFonts w:cs="Times New Roman"/>
          <w:color w:val="231F20"/>
        </w:rPr>
      </w:pPr>
      <w:r w:rsidRPr="00B25B45">
        <w:rPr>
          <w:rFonts w:cs="Times New Roman"/>
          <w:color w:val="231F20"/>
        </w:rPr>
        <w:t>Current controlled trials ISRCTN15811706</w:t>
      </w:r>
    </w:p>
    <w:p w14:paraId="303CF2F8" w14:textId="77777777" w:rsidR="00E155EB" w:rsidRPr="00E92C3D" w:rsidRDefault="008D5ADB" w:rsidP="00F96AEB">
      <w:pPr>
        <w:rPr>
          <w:rFonts w:cs="Times New Roman"/>
          <w:b/>
        </w:rPr>
      </w:pPr>
      <w:bookmarkStart w:id="163" w:name="_Toc454450790"/>
      <w:bookmarkStart w:id="164" w:name="_Toc466639709"/>
      <w:bookmarkStart w:id="165" w:name="_Toc466644443"/>
      <w:bookmarkStart w:id="166" w:name="_Toc466644575"/>
      <w:bookmarkStart w:id="167" w:name="_Toc466710032"/>
      <w:bookmarkStart w:id="168" w:name="_Toc466710159"/>
      <w:bookmarkStart w:id="169" w:name="_Toc466710918"/>
      <w:bookmarkStart w:id="170" w:name="_Toc466711380"/>
      <w:bookmarkStart w:id="171" w:name="_Toc466712039"/>
      <w:bookmarkStart w:id="172" w:name="_Toc466712160"/>
      <w:bookmarkStart w:id="173" w:name="_Toc466712635"/>
      <w:bookmarkStart w:id="174" w:name="_Toc466715184"/>
      <w:r w:rsidRPr="00E92C3D">
        <w:rPr>
          <w:rFonts w:cs="Times New Roman"/>
          <w:b/>
        </w:rPr>
        <w:t>Funding</w:t>
      </w:r>
      <w:bookmarkEnd w:id="163"/>
      <w:bookmarkEnd w:id="164"/>
      <w:bookmarkEnd w:id="165"/>
      <w:bookmarkEnd w:id="166"/>
      <w:bookmarkEnd w:id="167"/>
      <w:bookmarkEnd w:id="168"/>
      <w:bookmarkEnd w:id="169"/>
      <w:bookmarkEnd w:id="170"/>
      <w:bookmarkEnd w:id="171"/>
      <w:bookmarkEnd w:id="172"/>
      <w:bookmarkEnd w:id="173"/>
      <w:bookmarkEnd w:id="174"/>
    </w:p>
    <w:p w14:paraId="34F8FB2E" w14:textId="77777777" w:rsidR="00AB652F" w:rsidRDefault="008D5ADB" w:rsidP="00AB652F">
      <w:pPr>
        <w:spacing w:after="0" w:line="360" w:lineRule="auto"/>
        <w:rPr>
          <w:rFonts w:eastAsia="Times New Roman" w:cs="Times New Roman"/>
          <w:color w:val="000000"/>
        </w:rPr>
      </w:pPr>
      <w:r w:rsidRPr="00B25B45">
        <w:rPr>
          <w:rFonts w:cs="Times New Roman"/>
        </w:rPr>
        <w:t>This project was funded by the National Instit</w:t>
      </w:r>
      <w:r w:rsidR="00742A78" w:rsidRPr="00B25B45">
        <w:rPr>
          <w:rFonts w:cs="Times New Roman"/>
        </w:rPr>
        <w:t>ute for Health Research Public H</w:t>
      </w:r>
      <w:r w:rsidRPr="00B25B45">
        <w:rPr>
          <w:rFonts w:cs="Times New Roman"/>
        </w:rPr>
        <w:t xml:space="preserve">ealth Research Programme (project number </w:t>
      </w:r>
      <w:r w:rsidRPr="00B25B45">
        <w:rPr>
          <w:rFonts w:eastAsia="Times New Roman" w:cs="Times New Roman"/>
          <w:color w:val="000000"/>
        </w:rPr>
        <w:t>10/3010/01)</w:t>
      </w:r>
    </w:p>
    <w:p w14:paraId="11CBD22D" w14:textId="77777777" w:rsidR="00577A39" w:rsidRDefault="00AB652F" w:rsidP="00C82499">
      <w:pPr>
        <w:rPr>
          <w:rFonts w:eastAsia="Times New Roman" w:cs="Times New Roman"/>
          <w:color w:val="000000"/>
        </w:rPr>
      </w:pPr>
      <w:r>
        <w:rPr>
          <w:rFonts w:eastAsia="Times New Roman" w:cs="Times New Roman"/>
          <w:color w:val="000000"/>
        </w:rPr>
        <w:br w:type="page"/>
      </w:r>
      <w:bookmarkStart w:id="175" w:name="_Toc454450856"/>
      <w:bookmarkStart w:id="176" w:name="_Toc466638267"/>
      <w:bookmarkStart w:id="177" w:name="_Toc466638588"/>
      <w:bookmarkStart w:id="178" w:name="_Toc466639011"/>
      <w:bookmarkStart w:id="179" w:name="_Toc466639554"/>
      <w:bookmarkStart w:id="180" w:name="_Toc466710034"/>
      <w:bookmarkStart w:id="181" w:name="_Toc466711382"/>
      <w:bookmarkStart w:id="182" w:name="_Toc466712041"/>
      <w:bookmarkStart w:id="183" w:name="_Toc454450792"/>
    </w:p>
    <w:bookmarkStart w:id="184" w:name="_Toc475974326" w:displacedByCustomXml="next"/>
    <w:sdt>
      <w:sdtPr>
        <w:rPr>
          <w:rFonts w:eastAsiaTheme="minorEastAsia" w:cstheme="minorBidi"/>
          <w:b w:val="0"/>
          <w:sz w:val="22"/>
          <w:szCs w:val="22"/>
        </w:rPr>
        <w:id w:val="-518770456"/>
        <w:docPartObj>
          <w:docPartGallery w:val="Table of Contents"/>
          <w:docPartUnique/>
        </w:docPartObj>
      </w:sdtPr>
      <w:sdtEndPr>
        <w:rPr>
          <w:bCs/>
          <w:noProof/>
        </w:rPr>
      </w:sdtEndPr>
      <w:sdtContent>
        <w:p w14:paraId="4CE77D33" w14:textId="22938E6E" w:rsidR="00951FF2" w:rsidRPr="00951FF2" w:rsidRDefault="00951FF2" w:rsidP="00AB4D98">
          <w:pPr>
            <w:pStyle w:val="Heading1"/>
          </w:pPr>
          <w:r w:rsidRPr="00951FF2">
            <w:t>Contents</w:t>
          </w:r>
          <w:bookmarkEnd w:id="184"/>
        </w:p>
        <w:p w14:paraId="242A976D" w14:textId="77777777" w:rsidR="005D5D3E" w:rsidRPr="00DE3537" w:rsidRDefault="00951FF2">
          <w:pPr>
            <w:pStyle w:val="TOC1"/>
            <w:rPr>
              <w:noProof/>
            </w:rPr>
          </w:pPr>
          <w:r w:rsidRPr="005D5D3E">
            <w:rPr>
              <w:rFonts w:ascii="Gill Sans MT" w:eastAsia="Times New Roman" w:hAnsi="Gill Sans MT" w:cs="Segoe UI"/>
              <w:lang w:val="en-US" w:eastAsia="en-US"/>
            </w:rPr>
            <w:fldChar w:fldCharType="begin"/>
          </w:r>
          <w:r w:rsidRPr="00DE3537">
            <w:instrText xml:space="preserve"> TOC \o "1-3" \h \z \u </w:instrText>
          </w:r>
          <w:r w:rsidRPr="005D5D3E">
            <w:rPr>
              <w:rFonts w:ascii="Gill Sans MT" w:eastAsia="Times New Roman" w:hAnsi="Gill Sans MT" w:cs="Segoe UI"/>
              <w:lang w:val="en-US" w:eastAsia="en-US"/>
            </w:rPr>
            <w:fldChar w:fldCharType="separate"/>
          </w:r>
          <w:hyperlink w:anchor="_Toc475974324" w:history="1">
            <w:r w:rsidR="005D5D3E" w:rsidRPr="00DE3537">
              <w:rPr>
                <w:rStyle w:val="Hyperlink"/>
                <w:noProof/>
              </w:rPr>
              <w:t>Cluster randomised controlled trial, economic and process evaluation to determine the effectiveness and cost effectiveness of a novel intervention (Healthy Lifestyles Programme, HeLP) to prevent obesity in school children.</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_Toc475974324 \h </w:instrText>
            </w:r>
            <w:r w:rsidR="005D5D3E" w:rsidRPr="00DE3537">
              <w:rPr>
                <w:noProof/>
                <w:webHidden/>
              </w:rPr>
            </w:r>
            <w:r w:rsidR="005D5D3E" w:rsidRPr="00DE3537">
              <w:rPr>
                <w:noProof/>
                <w:webHidden/>
              </w:rPr>
              <w:fldChar w:fldCharType="separate"/>
            </w:r>
            <w:r w:rsidR="005D5D3E" w:rsidRPr="00DE3537">
              <w:rPr>
                <w:noProof/>
                <w:webHidden/>
              </w:rPr>
              <w:t>1</w:t>
            </w:r>
            <w:r w:rsidR="005D5D3E" w:rsidRPr="00DE3537">
              <w:rPr>
                <w:noProof/>
                <w:webHidden/>
              </w:rPr>
              <w:fldChar w:fldCharType="end"/>
            </w:r>
          </w:hyperlink>
        </w:p>
        <w:p w14:paraId="10FFF695" w14:textId="77777777" w:rsidR="005D5D3E" w:rsidRPr="00DE3537" w:rsidRDefault="00DA1C42">
          <w:pPr>
            <w:pStyle w:val="TOC1"/>
            <w:rPr>
              <w:noProof/>
            </w:rPr>
          </w:pPr>
          <w:hyperlink w:anchor="_Toc475974325" w:history="1">
            <w:r w:rsidR="005D5D3E" w:rsidRPr="00DE3537">
              <w:rPr>
                <w:rStyle w:val="Hyperlink"/>
                <w:noProof/>
              </w:rPr>
              <w:t>Abstract</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_Toc475974325 \h </w:instrText>
            </w:r>
            <w:r w:rsidR="005D5D3E" w:rsidRPr="00DE3537">
              <w:rPr>
                <w:noProof/>
                <w:webHidden/>
              </w:rPr>
            </w:r>
            <w:r w:rsidR="005D5D3E" w:rsidRPr="00DE3537">
              <w:rPr>
                <w:noProof/>
                <w:webHidden/>
              </w:rPr>
              <w:fldChar w:fldCharType="separate"/>
            </w:r>
            <w:r w:rsidR="005D5D3E" w:rsidRPr="00DE3537">
              <w:rPr>
                <w:noProof/>
                <w:webHidden/>
              </w:rPr>
              <w:t>3</w:t>
            </w:r>
            <w:r w:rsidR="005D5D3E" w:rsidRPr="00DE3537">
              <w:rPr>
                <w:noProof/>
                <w:webHidden/>
              </w:rPr>
              <w:fldChar w:fldCharType="end"/>
            </w:r>
          </w:hyperlink>
        </w:p>
        <w:p w14:paraId="46A37EA1" w14:textId="77777777" w:rsidR="005D5D3E" w:rsidRPr="00DE3537" w:rsidRDefault="00DA1C42">
          <w:pPr>
            <w:pStyle w:val="TOC1"/>
            <w:rPr>
              <w:noProof/>
            </w:rPr>
          </w:pPr>
          <w:hyperlink w:anchor="_Toc475974326" w:history="1">
            <w:r w:rsidR="005D5D3E" w:rsidRPr="00DE3537">
              <w:rPr>
                <w:rStyle w:val="Hyperlink"/>
                <w:noProof/>
              </w:rPr>
              <w:t>Contents</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_Toc475974326 \h </w:instrText>
            </w:r>
            <w:r w:rsidR="005D5D3E" w:rsidRPr="00DE3537">
              <w:rPr>
                <w:noProof/>
                <w:webHidden/>
              </w:rPr>
            </w:r>
            <w:r w:rsidR="005D5D3E" w:rsidRPr="00DE3537">
              <w:rPr>
                <w:noProof/>
                <w:webHidden/>
              </w:rPr>
              <w:fldChar w:fldCharType="separate"/>
            </w:r>
            <w:r w:rsidR="005D5D3E" w:rsidRPr="00DE3537">
              <w:rPr>
                <w:noProof/>
                <w:webHidden/>
              </w:rPr>
              <w:t>5</w:t>
            </w:r>
            <w:r w:rsidR="005D5D3E" w:rsidRPr="00DE3537">
              <w:rPr>
                <w:noProof/>
                <w:webHidden/>
              </w:rPr>
              <w:fldChar w:fldCharType="end"/>
            </w:r>
          </w:hyperlink>
        </w:p>
        <w:p w14:paraId="093DD1CA" w14:textId="77777777" w:rsidR="005D5D3E" w:rsidRPr="00DE3537" w:rsidRDefault="00DA1C42">
          <w:pPr>
            <w:pStyle w:val="TOC1"/>
            <w:rPr>
              <w:noProof/>
            </w:rPr>
          </w:pPr>
          <w:hyperlink w:anchor="_Toc475974327" w:history="1">
            <w:r w:rsidR="005D5D3E" w:rsidRPr="00DE3537">
              <w:rPr>
                <w:rStyle w:val="Hyperlink"/>
                <w:rFonts w:eastAsiaTheme="majorEastAsia" w:cs="Arial"/>
                <w:noProof/>
              </w:rPr>
              <w:t>List of Tables</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_Toc475974327 \h </w:instrText>
            </w:r>
            <w:r w:rsidR="005D5D3E" w:rsidRPr="00DE3537">
              <w:rPr>
                <w:noProof/>
                <w:webHidden/>
              </w:rPr>
            </w:r>
            <w:r w:rsidR="005D5D3E" w:rsidRPr="00DE3537">
              <w:rPr>
                <w:noProof/>
                <w:webHidden/>
              </w:rPr>
              <w:fldChar w:fldCharType="separate"/>
            </w:r>
            <w:r w:rsidR="005D5D3E" w:rsidRPr="00DE3537">
              <w:rPr>
                <w:noProof/>
                <w:webHidden/>
              </w:rPr>
              <w:t>9</w:t>
            </w:r>
            <w:r w:rsidR="005D5D3E" w:rsidRPr="00DE3537">
              <w:rPr>
                <w:noProof/>
                <w:webHidden/>
              </w:rPr>
              <w:fldChar w:fldCharType="end"/>
            </w:r>
          </w:hyperlink>
        </w:p>
        <w:p w14:paraId="23A5EA0E" w14:textId="77777777" w:rsidR="005D5D3E" w:rsidRPr="00DE3537" w:rsidRDefault="00DA1C42">
          <w:pPr>
            <w:pStyle w:val="TOC1"/>
            <w:rPr>
              <w:noProof/>
            </w:rPr>
          </w:pPr>
          <w:hyperlink w:anchor="_Toc475974328" w:history="1">
            <w:r w:rsidR="005D5D3E" w:rsidRPr="00DE3537">
              <w:rPr>
                <w:rStyle w:val="Hyperlink"/>
                <w:noProof/>
              </w:rPr>
              <w:t>List of Figures</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_Toc475974328 \h </w:instrText>
            </w:r>
            <w:r w:rsidR="005D5D3E" w:rsidRPr="00DE3537">
              <w:rPr>
                <w:noProof/>
                <w:webHidden/>
              </w:rPr>
            </w:r>
            <w:r w:rsidR="005D5D3E" w:rsidRPr="00DE3537">
              <w:rPr>
                <w:noProof/>
                <w:webHidden/>
              </w:rPr>
              <w:fldChar w:fldCharType="separate"/>
            </w:r>
            <w:r w:rsidR="005D5D3E" w:rsidRPr="00DE3537">
              <w:rPr>
                <w:noProof/>
                <w:webHidden/>
              </w:rPr>
              <w:t>12</w:t>
            </w:r>
            <w:r w:rsidR="005D5D3E" w:rsidRPr="00DE3537">
              <w:rPr>
                <w:noProof/>
                <w:webHidden/>
              </w:rPr>
              <w:fldChar w:fldCharType="end"/>
            </w:r>
          </w:hyperlink>
        </w:p>
        <w:p w14:paraId="2F10F35A" w14:textId="77777777" w:rsidR="005D5D3E" w:rsidRPr="00DE3537" w:rsidRDefault="00DA1C42">
          <w:pPr>
            <w:pStyle w:val="TOC1"/>
            <w:rPr>
              <w:noProof/>
            </w:rPr>
          </w:pPr>
          <w:hyperlink w:anchor="_Toc475974329" w:history="1">
            <w:r w:rsidR="005D5D3E" w:rsidRPr="00DE3537">
              <w:rPr>
                <w:rStyle w:val="Hyperlink"/>
                <w:rFonts w:eastAsiaTheme="majorEastAsia" w:cs="Arial"/>
                <w:noProof/>
              </w:rPr>
              <w:t>List of Boxes</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_Toc475974329 \h </w:instrText>
            </w:r>
            <w:r w:rsidR="005D5D3E" w:rsidRPr="00DE3537">
              <w:rPr>
                <w:noProof/>
                <w:webHidden/>
              </w:rPr>
            </w:r>
            <w:r w:rsidR="005D5D3E" w:rsidRPr="00DE3537">
              <w:rPr>
                <w:noProof/>
                <w:webHidden/>
              </w:rPr>
              <w:fldChar w:fldCharType="separate"/>
            </w:r>
            <w:r w:rsidR="005D5D3E" w:rsidRPr="00DE3537">
              <w:rPr>
                <w:noProof/>
                <w:webHidden/>
              </w:rPr>
              <w:t>12</w:t>
            </w:r>
            <w:r w:rsidR="005D5D3E" w:rsidRPr="00DE3537">
              <w:rPr>
                <w:noProof/>
                <w:webHidden/>
              </w:rPr>
              <w:fldChar w:fldCharType="end"/>
            </w:r>
          </w:hyperlink>
        </w:p>
        <w:p w14:paraId="38549C7C" w14:textId="77777777" w:rsidR="005D5D3E" w:rsidRPr="00DE3537" w:rsidRDefault="00DA1C42">
          <w:pPr>
            <w:pStyle w:val="TOC1"/>
            <w:rPr>
              <w:noProof/>
            </w:rPr>
          </w:pPr>
          <w:hyperlink w:anchor="_Toc475974330" w:history="1">
            <w:r w:rsidR="005D5D3E" w:rsidRPr="00DE3537">
              <w:rPr>
                <w:rStyle w:val="Hyperlink"/>
                <w:noProof/>
              </w:rPr>
              <w:t>List of Abbreviations</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_Toc475974330 \h </w:instrText>
            </w:r>
            <w:r w:rsidR="005D5D3E" w:rsidRPr="00DE3537">
              <w:rPr>
                <w:noProof/>
                <w:webHidden/>
              </w:rPr>
            </w:r>
            <w:r w:rsidR="005D5D3E" w:rsidRPr="00DE3537">
              <w:rPr>
                <w:noProof/>
                <w:webHidden/>
              </w:rPr>
              <w:fldChar w:fldCharType="separate"/>
            </w:r>
            <w:r w:rsidR="005D5D3E" w:rsidRPr="00DE3537">
              <w:rPr>
                <w:noProof/>
                <w:webHidden/>
              </w:rPr>
              <w:t>13</w:t>
            </w:r>
            <w:r w:rsidR="005D5D3E" w:rsidRPr="00DE3537">
              <w:rPr>
                <w:noProof/>
                <w:webHidden/>
              </w:rPr>
              <w:fldChar w:fldCharType="end"/>
            </w:r>
          </w:hyperlink>
        </w:p>
        <w:p w14:paraId="21042441" w14:textId="77777777" w:rsidR="005D5D3E" w:rsidRPr="00DE3537" w:rsidRDefault="00DA1C42">
          <w:pPr>
            <w:pStyle w:val="TOC1"/>
            <w:rPr>
              <w:noProof/>
            </w:rPr>
          </w:pPr>
          <w:hyperlink w:anchor="_Toc475974331" w:history="1">
            <w:r w:rsidR="005D5D3E" w:rsidRPr="00DE3537">
              <w:rPr>
                <w:rStyle w:val="Hyperlink"/>
                <w:noProof/>
              </w:rPr>
              <w:t>Scientific Summary</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_Toc475974331 \h </w:instrText>
            </w:r>
            <w:r w:rsidR="005D5D3E" w:rsidRPr="00DE3537">
              <w:rPr>
                <w:noProof/>
                <w:webHidden/>
              </w:rPr>
            </w:r>
            <w:r w:rsidR="005D5D3E" w:rsidRPr="00DE3537">
              <w:rPr>
                <w:noProof/>
                <w:webHidden/>
              </w:rPr>
              <w:fldChar w:fldCharType="separate"/>
            </w:r>
            <w:r w:rsidR="005D5D3E" w:rsidRPr="00DE3537">
              <w:rPr>
                <w:noProof/>
                <w:webHidden/>
              </w:rPr>
              <w:t>15</w:t>
            </w:r>
            <w:r w:rsidR="005D5D3E" w:rsidRPr="00DE3537">
              <w:rPr>
                <w:noProof/>
                <w:webHidden/>
              </w:rPr>
              <w:fldChar w:fldCharType="end"/>
            </w:r>
          </w:hyperlink>
        </w:p>
        <w:p w14:paraId="36EF97F9" w14:textId="77777777" w:rsidR="005D5D3E" w:rsidRPr="00DE3537" w:rsidRDefault="00DA1C42">
          <w:pPr>
            <w:pStyle w:val="TOC1"/>
            <w:rPr>
              <w:noProof/>
            </w:rPr>
          </w:pPr>
          <w:hyperlink w:anchor="_Toc475974332" w:history="1">
            <w:r w:rsidR="005D5D3E" w:rsidRPr="00DE3537">
              <w:rPr>
                <w:rStyle w:val="Hyperlink"/>
                <w:noProof/>
              </w:rPr>
              <w:t>Chapter 1 Introduction</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_Toc475974332 \h </w:instrText>
            </w:r>
            <w:r w:rsidR="005D5D3E" w:rsidRPr="00DE3537">
              <w:rPr>
                <w:noProof/>
                <w:webHidden/>
              </w:rPr>
            </w:r>
            <w:r w:rsidR="005D5D3E" w:rsidRPr="00DE3537">
              <w:rPr>
                <w:noProof/>
                <w:webHidden/>
              </w:rPr>
              <w:fldChar w:fldCharType="separate"/>
            </w:r>
            <w:r w:rsidR="005D5D3E" w:rsidRPr="00DE3537">
              <w:rPr>
                <w:noProof/>
                <w:webHidden/>
              </w:rPr>
              <w:t>20</w:t>
            </w:r>
            <w:r w:rsidR="005D5D3E" w:rsidRPr="00DE3537">
              <w:rPr>
                <w:noProof/>
                <w:webHidden/>
              </w:rPr>
              <w:fldChar w:fldCharType="end"/>
            </w:r>
          </w:hyperlink>
        </w:p>
        <w:p w14:paraId="20A5F470" w14:textId="77777777" w:rsidR="005D5D3E" w:rsidRPr="00DE3537" w:rsidRDefault="00DA1C42">
          <w:pPr>
            <w:pStyle w:val="TOC2"/>
            <w:rPr>
              <w:noProof/>
            </w:rPr>
          </w:pPr>
          <w:hyperlink w:anchor="_Toc475974333" w:history="1">
            <w:r w:rsidR="005D5D3E" w:rsidRPr="00DE3537">
              <w:rPr>
                <w:rStyle w:val="Hyperlink"/>
                <w:rFonts w:cs="Times New Roman"/>
                <w:noProof/>
              </w:rPr>
              <w:t>1.1 Scientific background</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_Toc475974333 \h </w:instrText>
            </w:r>
            <w:r w:rsidR="005D5D3E" w:rsidRPr="00DE3537">
              <w:rPr>
                <w:noProof/>
                <w:webHidden/>
              </w:rPr>
            </w:r>
            <w:r w:rsidR="005D5D3E" w:rsidRPr="00DE3537">
              <w:rPr>
                <w:noProof/>
                <w:webHidden/>
              </w:rPr>
              <w:fldChar w:fldCharType="separate"/>
            </w:r>
            <w:r w:rsidR="005D5D3E" w:rsidRPr="00DE3537">
              <w:rPr>
                <w:noProof/>
                <w:webHidden/>
              </w:rPr>
              <w:t>20</w:t>
            </w:r>
            <w:r w:rsidR="005D5D3E" w:rsidRPr="00DE3537">
              <w:rPr>
                <w:noProof/>
                <w:webHidden/>
              </w:rPr>
              <w:fldChar w:fldCharType="end"/>
            </w:r>
          </w:hyperlink>
        </w:p>
        <w:p w14:paraId="199F4362" w14:textId="77777777" w:rsidR="005D5D3E" w:rsidRPr="00DE3537" w:rsidRDefault="00DA1C42">
          <w:pPr>
            <w:pStyle w:val="TOC2"/>
            <w:rPr>
              <w:noProof/>
            </w:rPr>
          </w:pPr>
          <w:hyperlink w:anchor="_Toc475974334" w:history="1">
            <w:r w:rsidR="005D5D3E" w:rsidRPr="00DE3537">
              <w:rPr>
                <w:rStyle w:val="Hyperlink"/>
                <w:rFonts w:cs="Times New Roman"/>
                <w:noProof/>
              </w:rPr>
              <w:t>1.2 Evidence for the effectiveness of school-based obesity prevention programmes</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_Toc475974334 \h </w:instrText>
            </w:r>
            <w:r w:rsidR="005D5D3E" w:rsidRPr="00DE3537">
              <w:rPr>
                <w:noProof/>
                <w:webHidden/>
              </w:rPr>
            </w:r>
            <w:r w:rsidR="005D5D3E" w:rsidRPr="00DE3537">
              <w:rPr>
                <w:noProof/>
                <w:webHidden/>
              </w:rPr>
              <w:fldChar w:fldCharType="separate"/>
            </w:r>
            <w:r w:rsidR="005D5D3E" w:rsidRPr="00DE3537">
              <w:rPr>
                <w:noProof/>
                <w:webHidden/>
              </w:rPr>
              <w:t>20</w:t>
            </w:r>
            <w:r w:rsidR="005D5D3E" w:rsidRPr="00DE3537">
              <w:rPr>
                <w:noProof/>
                <w:webHidden/>
              </w:rPr>
              <w:fldChar w:fldCharType="end"/>
            </w:r>
          </w:hyperlink>
        </w:p>
        <w:p w14:paraId="0DE8C026" w14:textId="77777777" w:rsidR="005D5D3E" w:rsidRPr="00DE3537" w:rsidRDefault="00DA1C42">
          <w:pPr>
            <w:pStyle w:val="TOC2"/>
            <w:rPr>
              <w:noProof/>
            </w:rPr>
          </w:pPr>
          <w:hyperlink w:anchor="_Toc475974335" w:history="1">
            <w:r w:rsidR="005D5D3E" w:rsidRPr="00DE3537">
              <w:rPr>
                <w:rStyle w:val="Hyperlink"/>
                <w:noProof/>
              </w:rPr>
              <w:t>1.3 Rationale for the Healthy Lifestyles Programme (HeLP)</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_Toc475974335 \h </w:instrText>
            </w:r>
            <w:r w:rsidR="005D5D3E" w:rsidRPr="00DE3537">
              <w:rPr>
                <w:noProof/>
                <w:webHidden/>
              </w:rPr>
            </w:r>
            <w:r w:rsidR="005D5D3E" w:rsidRPr="00DE3537">
              <w:rPr>
                <w:noProof/>
                <w:webHidden/>
              </w:rPr>
              <w:fldChar w:fldCharType="separate"/>
            </w:r>
            <w:r w:rsidR="005D5D3E" w:rsidRPr="00DE3537">
              <w:rPr>
                <w:noProof/>
                <w:webHidden/>
              </w:rPr>
              <w:t>23</w:t>
            </w:r>
            <w:r w:rsidR="005D5D3E" w:rsidRPr="00DE3537">
              <w:rPr>
                <w:noProof/>
                <w:webHidden/>
              </w:rPr>
              <w:fldChar w:fldCharType="end"/>
            </w:r>
          </w:hyperlink>
        </w:p>
        <w:p w14:paraId="35203877" w14:textId="77777777" w:rsidR="005D5D3E" w:rsidRPr="00DE3537" w:rsidRDefault="00DA1C42">
          <w:pPr>
            <w:pStyle w:val="TOC2"/>
            <w:rPr>
              <w:noProof/>
            </w:rPr>
          </w:pPr>
          <w:hyperlink w:anchor="_Toc475974336" w:history="1">
            <w:r w:rsidR="005D5D3E" w:rsidRPr="00DE3537">
              <w:rPr>
                <w:rStyle w:val="Hyperlink"/>
                <w:noProof/>
              </w:rPr>
              <w:t>1.4 Rationale for our study design</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_Toc475974336 \h </w:instrText>
            </w:r>
            <w:r w:rsidR="005D5D3E" w:rsidRPr="00DE3537">
              <w:rPr>
                <w:noProof/>
                <w:webHidden/>
              </w:rPr>
            </w:r>
            <w:r w:rsidR="005D5D3E" w:rsidRPr="00DE3537">
              <w:rPr>
                <w:noProof/>
                <w:webHidden/>
              </w:rPr>
              <w:fldChar w:fldCharType="separate"/>
            </w:r>
            <w:r w:rsidR="005D5D3E" w:rsidRPr="00DE3537">
              <w:rPr>
                <w:noProof/>
                <w:webHidden/>
              </w:rPr>
              <w:t>25</w:t>
            </w:r>
            <w:r w:rsidR="005D5D3E" w:rsidRPr="00DE3537">
              <w:rPr>
                <w:noProof/>
                <w:webHidden/>
              </w:rPr>
              <w:fldChar w:fldCharType="end"/>
            </w:r>
          </w:hyperlink>
        </w:p>
        <w:p w14:paraId="3022EBB9" w14:textId="77777777" w:rsidR="005D5D3E" w:rsidRPr="00DE3537" w:rsidRDefault="00DA1C42">
          <w:pPr>
            <w:pStyle w:val="TOC2"/>
            <w:rPr>
              <w:noProof/>
            </w:rPr>
          </w:pPr>
          <w:hyperlink w:anchor="_Toc475974337" w:history="1">
            <w:r w:rsidR="005D5D3E" w:rsidRPr="00DE3537">
              <w:rPr>
                <w:rStyle w:val="Hyperlink"/>
                <w:noProof/>
              </w:rPr>
              <w:t>1.5 Aim and objectives</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_Toc475974337 \h </w:instrText>
            </w:r>
            <w:r w:rsidR="005D5D3E" w:rsidRPr="00DE3537">
              <w:rPr>
                <w:noProof/>
                <w:webHidden/>
              </w:rPr>
            </w:r>
            <w:r w:rsidR="005D5D3E" w:rsidRPr="00DE3537">
              <w:rPr>
                <w:noProof/>
                <w:webHidden/>
              </w:rPr>
              <w:fldChar w:fldCharType="separate"/>
            </w:r>
            <w:r w:rsidR="005D5D3E" w:rsidRPr="00DE3537">
              <w:rPr>
                <w:noProof/>
                <w:webHidden/>
              </w:rPr>
              <w:t>26</w:t>
            </w:r>
            <w:r w:rsidR="005D5D3E" w:rsidRPr="00DE3537">
              <w:rPr>
                <w:noProof/>
                <w:webHidden/>
              </w:rPr>
              <w:fldChar w:fldCharType="end"/>
            </w:r>
          </w:hyperlink>
        </w:p>
        <w:p w14:paraId="46B9DE6A" w14:textId="77777777" w:rsidR="005D5D3E" w:rsidRPr="00DE3537" w:rsidRDefault="00DA1C42">
          <w:pPr>
            <w:pStyle w:val="TOC1"/>
            <w:rPr>
              <w:noProof/>
            </w:rPr>
          </w:pPr>
          <w:hyperlink w:anchor="_Toc475974338" w:history="1">
            <w:r w:rsidR="005D5D3E" w:rsidRPr="00DE3537">
              <w:rPr>
                <w:rStyle w:val="Hyperlink"/>
                <w:rFonts w:eastAsiaTheme="majorEastAsia" w:cs="Times New Roman"/>
                <w:bCs/>
                <w:noProof/>
              </w:rPr>
              <w:t>Chapter 2 Trial design and methods</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_Toc475974338 \h </w:instrText>
            </w:r>
            <w:r w:rsidR="005D5D3E" w:rsidRPr="00DE3537">
              <w:rPr>
                <w:noProof/>
                <w:webHidden/>
              </w:rPr>
            </w:r>
            <w:r w:rsidR="005D5D3E" w:rsidRPr="00DE3537">
              <w:rPr>
                <w:noProof/>
                <w:webHidden/>
              </w:rPr>
              <w:fldChar w:fldCharType="separate"/>
            </w:r>
            <w:r w:rsidR="005D5D3E" w:rsidRPr="00DE3537">
              <w:rPr>
                <w:noProof/>
                <w:webHidden/>
              </w:rPr>
              <w:t>28</w:t>
            </w:r>
            <w:r w:rsidR="005D5D3E" w:rsidRPr="00DE3537">
              <w:rPr>
                <w:noProof/>
                <w:webHidden/>
              </w:rPr>
              <w:fldChar w:fldCharType="end"/>
            </w:r>
          </w:hyperlink>
        </w:p>
        <w:p w14:paraId="639669EA" w14:textId="77777777" w:rsidR="005D5D3E" w:rsidRPr="00DE3537" w:rsidRDefault="00DA1C42">
          <w:pPr>
            <w:pStyle w:val="TOC2"/>
            <w:rPr>
              <w:noProof/>
            </w:rPr>
          </w:pPr>
          <w:hyperlink w:anchor="_Toc475974339" w:history="1">
            <w:r w:rsidR="005D5D3E" w:rsidRPr="00DE3537">
              <w:rPr>
                <w:rStyle w:val="Hyperlink"/>
                <w:rFonts w:eastAsiaTheme="majorEastAsia" w:cs="Times New Roman"/>
                <w:bCs/>
                <w:noProof/>
              </w:rPr>
              <w:t>2.1 Study design</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_Toc475974339 \h </w:instrText>
            </w:r>
            <w:r w:rsidR="005D5D3E" w:rsidRPr="00DE3537">
              <w:rPr>
                <w:noProof/>
                <w:webHidden/>
              </w:rPr>
            </w:r>
            <w:r w:rsidR="005D5D3E" w:rsidRPr="00DE3537">
              <w:rPr>
                <w:noProof/>
                <w:webHidden/>
              </w:rPr>
              <w:fldChar w:fldCharType="separate"/>
            </w:r>
            <w:r w:rsidR="005D5D3E" w:rsidRPr="00DE3537">
              <w:rPr>
                <w:noProof/>
                <w:webHidden/>
              </w:rPr>
              <w:t>28</w:t>
            </w:r>
            <w:r w:rsidR="005D5D3E" w:rsidRPr="00DE3537">
              <w:rPr>
                <w:noProof/>
                <w:webHidden/>
              </w:rPr>
              <w:fldChar w:fldCharType="end"/>
            </w:r>
          </w:hyperlink>
        </w:p>
        <w:p w14:paraId="1C6A14F2" w14:textId="77777777" w:rsidR="005D5D3E" w:rsidRPr="00DE3537" w:rsidRDefault="00DA1C42">
          <w:pPr>
            <w:pStyle w:val="TOC3"/>
            <w:rPr>
              <w:noProof/>
            </w:rPr>
          </w:pPr>
          <w:hyperlink w:anchor="_Toc475974340" w:history="1">
            <w:r w:rsidR="005D5D3E" w:rsidRPr="00DE3537">
              <w:rPr>
                <w:rStyle w:val="Hyperlink"/>
                <w:rFonts w:eastAsiaTheme="majorEastAsia" w:cs="Times New Roman"/>
                <w:bCs/>
                <w:noProof/>
              </w:rPr>
              <w:t>2.1.1 Ethical approval and research governance</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_Toc475974340 \h </w:instrText>
            </w:r>
            <w:r w:rsidR="005D5D3E" w:rsidRPr="00DE3537">
              <w:rPr>
                <w:noProof/>
                <w:webHidden/>
              </w:rPr>
            </w:r>
            <w:r w:rsidR="005D5D3E" w:rsidRPr="00DE3537">
              <w:rPr>
                <w:noProof/>
                <w:webHidden/>
              </w:rPr>
              <w:fldChar w:fldCharType="separate"/>
            </w:r>
            <w:r w:rsidR="005D5D3E" w:rsidRPr="00DE3537">
              <w:rPr>
                <w:noProof/>
                <w:webHidden/>
              </w:rPr>
              <w:t>28</w:t>
            </w:r>
            <w:r w:rsidR="005D5D3E" w:rsidRPr="00DE3537">
              <w:rPr>
                <w:noProof/>
                <w:webHidden/>
              </w:rPr>
              <w:fldChar w:fldCharType="end"/>
            </w:r>
          </w:hyperlink>
        </w:p>
        <w:p w14:paraId="2CB240B6" w14:textId="77777777" w:rsidR="005D5D3E" w:rsidRPr="00DE3537" w:rsidRDefault="00DA1C42">
          <w:pPr>
            <w:pStyle w:val="TOC3"/>
            <w:rPr>
              <w:noProof/>
            </w:rPr>
          </w:pPr>
          <w:hyperlink w:anchor="_Toc475974341" w:history="1">
            <w:r w:rsidR="005D5D3E" w:rsidRPr="00DE3537">
              <w:rPr>
                <w:rStyle w:val="Hyperlink"/>
                <w:rFonts w:eastAsiaTheme="majorEastAsia" w:cs="Arial"/>
                <w:bCs/>
                <w:noProof/>
              </w:rPr>
              <w:t>2.1.2 Stakeholder involvement</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_Toc475974341 \h </w:instrText>
            </w:r>
            <w:r w:rsidR="005D5D3E" w:rsidRPr="00DE3537">
              <w:rPr>
                <w:noProof/>
                <w:webHidden/>
              </w:rPr>
            </w:r>
            <w:r w:rsidR="005D5D3E" w:rsidRPr="00DE3537">
              <w:rPr>
                <w:noProof/>
                <w:webHidden/>
              </w:rPr>
              <w:fldChar w:fldCharType="separate"/>
            </w:r>
            <w:r w:rsidR="005D5D3E" w:rsidRPr="00DE3537">
              <w:rPr>
                <w:noProof/>
                <w:webHidden/>
              </w:rPr>
              <w:t>28</w:t>
            </w:r>
            <w:r w:rsidR="005D5D3E" w:rsidRPr="00DE3537">
              <w:rPr>
                <w:noProof/>
                <w:webHidden/>
              </w:rPr>
              <w:fldChar w:fldCharType="end"/>
            </w:r>
          </w:hyperlink>
        </w:p>
        <w:p w14:paraId="4D6953D1" w14:textId="77777777" w:rsidR="005D5D3E" w:rsidRPr="00DE3537" w:rsidRDefault="00DA1C42">
          <w:pPr>
            <w:pStyle w:val="TOC3"/>
            <w:rPr>
              <w:noProof/>
            </w:rPr>
          </w:pPr>
          <w:hyperlink w:anchor="_Toc475974342" w:history="1">
            <w:r w:rsidR="005D5D3E" w:rsidRPr="00DE3537">
              <w:rPr>
                <w:rStyle w:val="Hyperlink"/>
                <w:rFonts w:eastAsiaTheme="majorEastAsia" w:cs="Times New Roman"/>
                <w:bCs/>
                <w:noProof/>
              </w:rPr>
              <w:t>2.1.3 Eligibility and recruitment of schools and children</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_Toc475974342 \h </w:instrText>
            </w:r>
            <w:r w:rsidR="005D5D3E" w:rsidRPr="00DE3537">
              <w:rPr>
                <w:noProof/>
                <w:webHidden/>
              </w:rPr>
            </w:r>
            <w:r w:rsidR="005D5D3E" w:rsidRPr="00DE3537">
              <w:rPr>
                <w:noProof/>
                <w:webHidden/>
              </w:rPr>
              <w:fldChar w:fldCharType="separate"/>
            </w:r>
            <w:r w:rsidR="005D5D3E" w:rsidRPr="00DE3537">
              <w:rPr>
                <w:noProof/>
                <w:webHidden/>
              </w:rPr>
              <w:t>29</w:t>
            </w:r>
            <w:r w:rsidR="005D5D3E" w:rsidRPr="00DE3537">
              <w:rPr>
                <w:noProof/>
                <w:webHidden/>
              </w:rPr>
              <w:fldChar w:fldCharType="end"/>
            </w:r>
          </w:hyperlink>
        </w:p>
        <w:p w14:paraId="5CC160A0" w14:textId="77777777" w:rsidR="005D5D3E" w:rsidRPr="00DE3537" w:rsidRDefault="00DA1C42">
          <w:pPr>
            <w:pStyle w:val="TOC3"/>
            <w:rPr>
              <w:noProof/>
            </w:rPr>
          </w:pPr>
          <w:hyperlink w:anchor="_Toc475974343" w:history="1">
            <w:r w:rsidR="005D5D3E" w:rsidRPr="00DE3537">
              <w:rPr>
                <w:rStyle w:val="Hyperlink"/>
                <w:rFonts w:eastAsiaTheme="majorEastAsia" w:cs="Times New Roman"/>
                <w:bCs/>
                <w:noProof/>
              </w:rPr>
              <w:t>2.1.4 Randomisation, allocation concealment and blinding</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_Toc475974343 \h </w:instrText>
            </w:r>
            <w:r w:rsidR="005D5D3E" w:rsidRPr="00DE3537">
              <w:rPr>
                <w:noProof/>
                <w:webHidden/>
              </w:rPr>
            </w:r>
            <w:r w:rsidR="005D5D3E" w:rsidRPr="00DE3537">
              <w:rPr>
                <w:noProof/>
                <w:webHidden/>
              </w:rPr>
              <w:fldChar w:fldCharType="separate"/>
            </w:r>
            <w:r w:rsidR="005D5D3E" w:rsidRPr="00DE3537">
              <w:rPr>
                <w:noProof/>
                <w:webHidden/>
              </w:rPr>
              <w:t>30</w:t>
            </w:r>
            <w:r w:rsidR="005D5D3E" w:rsidRPr="00DE3537">
              <w:rPr>
                <w:noProof/>
                <w:webHidden/>
              </w:rPr>
              <w:fldChar w:fldCharType="end"/>
            </w:r>
          </w:hyperlink>
        </w:p>
        <w:p w14:paraId="01A4C2F4" w14:textId="77777777" w:rsidR="005D5D3E" w:rsidRPr="00DE3537" w:rsidRDefault="00DA1C42">
          <w:pPr>
            <w:pStyle w:val="TOC3"/>
            <w:rPr>
              <w:noProof/>
            </w:rPr>
          </w:pPr>
          <w:hyperlink w:anchor="_Toc475974344" w:history="1">
            <w:r w:rsidR="005D5D3E" w:rsidRPr="00DE3537">
              <w:rPr>
                <w:rStyle w:val="Hyperlink"/>
                <w:rFonts w:eastAsiaTheme="majorEastAsia" w:cs="Times New Roman"/>
                <w:bCs/>
                <w:noProof/>
              </w:rPr>
              <w:t>2.1.5 Intervention</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_Toc475974344 \h </w:instrText>
            </w:r>
            <w:r w:rsidR="005D5D3E" w:rsidRPr="00DE3537">
              <w:rPr>
                <w:noProof/>
                <w:webHidden/>
              </w:rPr>
            </w:r>
            <w:r w:rsidR="005D5D3E" w:rsidRPr="00DE3537">
              <w:rPr>
                <w:noProof/>
                <w:webHidden/>
              </w:rPr>
              <w:fldChar w:fldCharType="separate"/>
            </w:r>
            <w:r w:rsidR="005D5D3E" w:rsidRPr="00DE3537">
              <w:rPr>
                <w:noProof/>
                <w:webHidden/>
              </w:rPr>
              <w:t>33</w:t>
            </w:r>
            <w:r w:rsidR="005D5D3E" w:rsidRPr="00DE3537">
              <w:rPr>
                <w:noProof/>
                <w:webHidden/>
              </w:rPr>
              <w:fldChar w:fldCharType="end"/>
            </w:r>
          </w:hyperlink>
        </w:p>
        <w:p w14:paraId="28D7C28A" w14:textId="77777777" w:rsidR="005D5D3E" w:rsidRPr="00DE3537" w:rsidRDefault="00DA1C42">
          <w:pPr>
            <w:pStyle w:val="TOC3"/>
            <w:rPr>
              <w:noProof/>
            </w:rPr>
          </w:pPr>
          <w:hyperlink w:anchor="_Toc475974345" w:history="1">
            <w:r w:rsidR="005D5D3E" w:rsidRPr="00DE3537">
              <w:rPr>
                <w:rStyle w:val="Hyperlink"/>
                <w:rFonts w:eastAsiaTheme="majorEastAsia" w:cstheme="majorBidi"/>
                <w:bCs/>
                <w:noProof/>
              </w:rPr>
              <w:t>2.1.6 Usual practice</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_Toc475974345 \h </w:instrText>
            </w:r>
            <w:r w:rsidR="005D5D3E" w:rsidRPr="00DE3537">
              <w:rPr>
                <w:noProof/>
                <w:webHidden/>
              </w:rPr>
            </w:r>
            <w:r w:rsidR="005D5D3E" w:rsidRPr="00DE3537">
              <w:rPr>
                <w:noProof/>
                <w:webHidden/>
              </w:rPr>
              <w:fldChar w:fldCharType="separate"/>
            </w:r>
            <w:r w:rsidR="005D5D3E" w:rsidRPr="00DE3537">
              <w:rPr>
                <w:noProof/>
                <w:webHidden/>
              </w:rPr>
              <w:t>37</w:t>
            </w:r>
            <w:r w:rsidR="005D5D3E" w:rsidRPr="00DE3537">
              <w:rPr>
                <w:noProof/>
                <w:webHidden/>
              </w:rPr>
              <w:fldChar w:fldCharType="end"/>
            </w:r>
          </w:hyperlink>
        </w:p>
        <w:p w14:paraId="784EEEF0" w14:textId="77777777" w:rsidR="005D5D3E" w:rsidRPr="00DE3537" w:rsidRDefault="00DA1C42">
          <w:pPr>
            <w:pStyle w:val="TOC3"/>
            <w:rPr>
              <w:noProof/>
            </w:rPr>
          </w:pPr>
          <w:hyperlink w:anchor="_Toc475974346" w:history="1">
            <w:r w:rsidR="005D5D3E" w:rsidRPr="00DE3537">
              <w:rPr>
                <w:rStyle w:val="Hyperlink"/>
                <w:rFonts w:eastAsiaTheme="majorEastAsia" w:cs="Times New Roman"/>
                <w:bCs/>
                <w:noProof/>
              </w:rPr>
              <w:t>2.1.7 Sample size calculation</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_Toc475974346 \h </w:instrText>
            </w:r>
            <w:r w:rsidR="005D5D3E" w:rsidRPr="00DE3537">
              <w:rPr>
                <w:noProof/>
                <w:webHidden/>
              </w:rPr>
            </w:r>
            <w:r w:rsidR="005D5D3E" w:rsidRPr="00DE3537">
              <w:rPr>
                <w:noProof/>
                <w:webHidden/>
              </w:rPr>
              <w:fldChar w:fldCharType="separate"/>
            </w:r>
            <w:r w:rsidR="005D5D3E" w:rsidRPr="00DE3537">
              <w:rPr>
                <w:noProof/>
                <w:webHidden/>
              </w:rPr>
              <w:t>40</w:t>
            </w:r>
            <w:r w:rsidR="005D5D3E" w:rsidRPr="00DE3537">
              <w:rPr>
                <w:noProof/>
                <w:webHidden/>
              </w:rPr>
              <w:fldChar w:fldCharType="end"/>
            </w:r>
          </w:hyperlink>
        </w:p>
        <w:p w14:paraId="07316B7C" w14:textId="77777777" w:rsidR="005D5D3E" w:rsidRPr="00DE3537" w:rsidRDefault="00DA1C42">
          <w:pPr>
            <w:pStyle w:val="TOC3"/>
            <w:rPr>
              <w:noProof/>
            </w:rPr>
          </w:pPr>
          <w:hyperlink w:anchor="_Toc475974347" w:history="1">
            <w:r w:rsidR="005D5D3E" w:rsidRPr="00DE3537">
              <w:rPr>
                <w:rStyle w:val="Hyperlink"/>
                <w:rFonts w:eastAsiaTheme="majorEastAsia" w:cs="Times New Roman"/>
                <w:bCs/>
                <w:noProof/>
              </w:rPr>
              <w:t>2.1.8 Outcome measures</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_Toc475974347 \h </w:instrText>
            </w:r>
            <w:r w:rsidR="005D5D3E" w:rsidRPr="00DE3537">
              <w:rPr>
                <w:noProof/>
                <w:webHidden/>
              </w:rPr>
            </w:r>
            <w:r w:rsidR="005D5D3E" w:rsidRPr="00DE3537">
              <w:rPr>
                <w:noProof/>
                <w:webHidden/>
              </w:rPr>
              <w:fldChar w:fldCharType="separate"/>
            </w:r>
            <w:r w:rsidR="005D5D3E" w:rsidRPr="00DE3537">
              <w:rPr>
                <w:noProof/>
                <w:webHidden/>
              </w:rPr>
              <w:t>40</w:t>
            </w:r>
            <w:r w:rsidR="005D5D3E" w:rsidRPr="00DE3537">
              <w:rPr>
                <w:noProof/>
                <w:webHidden/>
              </w:rPr>
              <w:fldChar w:fldCharType="end"/>
            </w:r>
          </w:hyperlink>
        </w:p>
        <w:p w14:paraId="0DF51A57" w14:textId="77777777" w:rsidR="005D5D3E" w:rsidRPr="00DE3537" w:rsidRDefault="00DA1C42">
          <w:pPr>
            <w:pStyle w:val="TOC3"/>
            <w:rPr>
              <w:noProof/>
            </w:rPr>
          </w:pPr>
          <w:hyperlink w:anchor="_Toc475974348" w:history="1">
            <w:r w:rsidR="005D5D3E" w:rsidRPr="00DE3537">
              <w:rPr>
                <w:rStyle w:val="Hyperlink"/>
                <w:rFonts w:eastAsiaTheme="majorEastAsia" w:cs="Times New Roman"/>
                <w:noProof/>
              </w:rPr>
              <w:t>2.1.9 School Assessment</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_Toc475974348 \h </w:instrText>
            </w:r>
            <w:r w:rsidR="005D5D3E" w:rsidRPr="00DE3537">
              <w:rPr>
                <w:noProof/>
                <w:webHidden/>
              </w:rPr>
            </w:r>
            <w:r w:rsidR="005D5D3E" w:rsidRPr="00DE3537">
              <w:rPr>
                <w:noProof/>
                <w:webHidden/>
              </w:rPr>
              <w:fldChar w:fldCharType="separate"/>
            </w:r>
            <w:r w:rsidR="005D5D3E" w:rsidRPr="00DE3537">
              <w:rPr>
                <w:noProof/>
                <w:webHidden/>
              </w:rPr>
              <w:t>43</w:t>
            </w:r>
            <w:r w:rsidR="005D5D3E" w:rsidRPr="00DE3537">
              <w:rPr>
                <w:noProof/>
                <w:webHidden/>
              </w:rPr>
              <w:fldChar w:fldCharType="end"/>
            </w:r>
          </w:hyperlink>
        </w:p>
        <w:p w14:paraId="0F00281E" w14:textId="77777777" w:rsidR="005D5D3E" w:rsidRPr="00DE3537" w:rsidRDefault="00DA1C42">
          <w:pPr>
            <w:pStyle w:val="TOC3"/>
            <w:rPr>
              <w:noProof/>
            </w:rPr>
          </w:pPr>
          <w:hyperlink w:anchor="_Toc475974349" w:history="1">
            <w:r w:rsidR="005D5D3E" w:rsidRPr="00DE3537">
              <w:rPr>
                <w:rStyle w:val="Hyperlink"/>
                <w:rFonts w:eastAsiaTheme="majorEastAsia" w:cs="Times New Roman"/>
                <w:bCs/>
                <w:noProof/>
              </w:rPr>
              <w:t>2.1.10 Changes to trial protocol</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_Toc475974349 \h </w:instrText>
            </w:r>
            <w:r w:rsidR="005D5D3E" w:rsidRPr="00DE3537">
              <w:rPr>
                <w:noProof/>
                <w:webHidden/>
              </w:rPr>
            </w:r>
            <w:r w:rsidR="005D5D3E" w:rsidRPr="00DE3537">
              <w:rPr>
                <w:noProof/>
                <w:webHidden/>
              </w:rPr>
              <w:fldChar w:fldCharType="separate"/>
            </w:r>
            <w:r w:rsidR="005D5D3E" w:rsidRPr="00DE3537">
              <w:rPr>
                <w:noProof/>
                <w:webHidden/>
              </w:rPr>
              <w:t>44</w:t>
            </w:r>
            <w:r w:rsidR="005D5D3E" w:rsidRPr="00DE3537">
              <w:rPr>
                <w:noProof/>
                <w:webHidden/>
              </w:rPr>
              <w:fldChar w:fldCharType="end"/>
            </w:r>
          </w:hyperlink>
        </w:p>
        <w:p w14:paraId="140FB655" w14:textId="77777777" w:rsidR="005D5D3E" w:rsidRPr="00DE3537" w:rsidRDefault="00DA1C42">
          <w:pPr>
            <w:pStyle w:val="TOC2"/>
            <w:rPr>
              <w:noProof/>
            </w:rPr>
          </w:pPr>
          <w:hyperlink w:anchor="_Toc475974350" w:history="1">
            <w:r w:rsidR="005D5D3E" w:rsidRPr="00DE3537">
              <w:rPr>
                <w:rStyle w:val="Hyperlink"/>
                <w:rFonts w:eastAsiaTheme="majorEastAsia" w:cstheme="majorBidi"/>
                <w:bCs/>
                <w:noProof/>
              </w:rPr>
              <w:t>2.2 Statistical analysis</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_Toc475974350 \h </w:instrText>
            </w:r>
            <w:r w:rsidR="005D5D3E" w:rsidRPr="00DE3537">
              <w:rPr>
                <w:noProof/>
                <w:webHidden/>
              </w:rPr>
            </w:r>
            <w:r w:rsidR="005D5D3E" w:rsidRPr="00DE3537">
              <w:rPr>
                <w:noProof/>
                <w:webHidden/>
              </w:rPr>
              <w:fldChar w:fldCharType="separate"/>
            </w:r>
            <w:r w:rsidR="005D5D3E" w:rsidRPr="00DE3537">
              <w:rPr>
                <w:noProof/>
                <w:webHidden/>
              </w:rPr>
              <w:t>44</w:t>
            </w:r>
            <w:r w:rsidR="005D5D3E" w:rsidRPr="00DE3537">
              <w:rPr>
                <w:noProof/>
                <w:webHidden/>
              </w:rPr>
              <w:fldChar w:fldCharType="end"/>
            </w:r>
          </w:hyperlink>
        </w:p>
        <w:p w14:paraId="39D28D88" w14:textId="77777777" w:rsidR="005D5D3E" w:rsidRPr="00DE3537" w:rsidRDefault="00DA1C42">
          <w:pPr>
            <w:pStyle w:val="TOC3"/>
            <w:rPr>
              <w:noProof/>
            </w:rPr>
          </w:pPr>
          <w:hyperlink w:anchor="_Toc475974351" w:history="1">
            <w:r w:rsidR="005D5D3E" w:rsidRPr="00DE3537">
              <w:rPr>
                <w:rStyle w:val="Hyperlink"/>
                <w:rFonts w:eastAsiaTheme="majorEastAsia" w:cstheme="majorBidi"/>
                <w:bCs/>
                <w:noProof/>
              </w:rPr>
              <w:t>2.2.1 General methods</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_Toc475974351 \h </w:instrText>
            </w:r>
            <w:r w:rsidR="005D5D3E" w:rsidRPr="00DE3537">
              <w:rPr>
                <w:noProof/>
                <w:webHidden/>
              </w:rPr>
            </w:r>
            <w:r w:rsidR="005D5D3E" w:rsidRPr="00DE3537">
              <w:rPr>
                <w:noProof/>
                <w:webHidden/>
              </w:rPr>
              <w:fldChar w:fldCharType="separate"/>
            </w:r>
            <w:r w:rsidR="005D5D3E" w:rsidRPr="00DE3537">
              <w:rPr>
                <w:noProof/>
                <w:webHidden/>
              </w:rPr>
              <w:t>45</w:t>
            </w:r>
            <w:r w:rsidR="005D5D3E" w:rsidRPr="00DE3537">
              <w:rPr>
                <w:noProof/>
                <w:webHidden/>
              </w:rPr>
              <w:fldChar w:fldCharType="end"/>
            </w:r>
          </w:hyperlink>
        </w:p>
        <w:p w14:paraId="5D8C6C27" w14:textId="77777777" w:rsidR="005D5D3E" w:rsidRPr="00DE3537" w:rsidRDefault="00DA1C42">
          <w:pPr>
            <w:pStyle w:val="TOC3"/>
            <w:rPr>
              <w:noProof/>
            </w:rPr>
          </w:pPr>
          <w:hyperlink w:anchor="_Toc475974352" w:history="1">
            <w:r w:rsidR="005D5D3E" w:rsidRPr="00DE3537">
              <w:rPr>
                <w:rStyle w:val="Hyperlink"/>
                <w:rFonts w:eastAsiaTheme="majorEastAsia" w:cs="Times New Roman"/>
                <w:bCs/>
                <w:noProof/>
              </w:rPr>
              <w:t>2.2.2 Data sources and data entry</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_Toc475974352 \h </w:instrText>
            </w:r>
            <w:r w:rsidR="005D5D3E" w:rsidRPr="00DE3537">
              <w:rPr>
                <w:noProof/>
                <w:webHidden/>
              </w:rPr>
            </w:r>
            <w:r w:rsidR="005D5D3E" w:rsidRPr="00DE3537">
              <w:rPr>
                <w:noProof/>
                <w:webHidden/>
              </w:rPr>
              <w:fldChar w:fldCharType="separate"/>
            </w:r>
            <w:r w:rsidR="005D5D3E" w:rsidRPr="00DE3537">
              <w:rPr>
                <w:noProof/>
                <w:webHidden/>
              </w:rPr>
              <w:t>46</w:t>
            </w:r>
            <w:r w:rsidR="005D5D3E" w:rsidRPr="00DE3537">
              <w:rPr>
                <w:noProof/>
                <w:webHidden/>
              </w:rPr>
              <w:fldChar w:fldCharType="end"/>
            </w:r>
          </w:hyperlink>
        </w:p>
        <w:p w14:paraId="6F1DF486" w14:textId="77777777" w:rsidR="005D5D3E" w:rsidRPr="00DE3537" w:rsidRDefault="00DA1C42">
          <w:pPr>
            <w:pStyle w:val="TOC3"/>
            <w:rPr>
              <w:noProof/>
            </w:rPr>
          </w:pPr>
          <w:hyperlink w:anchor="_Toc475974353" w:history="1">
            <w:r w:rsidR="005D5D3E" w:rsidRPr="00DE3537">
              <w:rPr>
                <w:rStyle w:val="Hyperlink"/>
                <w:rFonts w:eastAsiaTheme="majorEastAsia" w:cs="Times New Roman"/>
                <w:bCs/>
                <w:noProof/>
              </w:rPr>
              <w:t>2.2.3 Comparison of baseline characteristics</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_Toc475974353 \h </w:instrText>
            </w:r>
            <w:r w:rsidR="005D5D3E" w:rsidRPr="00DE3537">
              <w:rPr>
                <w:noProof/>
                <w:webHidden/>
              </w:rPr>
            </w:r>
            <w:r w:rsidR="005D5D3E" w:rsidRPr="00DE3537">
              <w:rPr>
                <w:noProof/>
                <w:webHidden/>
              </w:rPr>
              <w:fldChar w:fldCharType="separate"/>
            </w:r>
            <w:r w:rsidR="005D5D3E" w:rsidRPr="00DE3537">
              <w:rPr>
                <w:noProof/>
                <w:webHidden/>
              </w:rPr>
              <w:t>46</w:t>
            </w:r>
            <w:r w:rsidR="005D5D3E" w:rsidRPr="00DE3537">
              <w:rPr>
                <w:noProof/>
                <w:webHidden/>
              </w:rPr>
              <w:fldChar w:fldCharType="end"/>
            </w:r>
          </w:hyperlink>
        </w:p>
        <w:p w14:paraId="6B3AA925" w14:textId="77777777" w:rsidR="005D5D3E" w:rsidRPr="00DE3537" w:rsidRDefault="00DA1C42">
          <w:pPr>
            <w:pStyle w:val="TOC3"/>
            <w:rPr>
              <w:noProof/>
            </w:rPr>
          </w:pPr>
          <w:hyperlink w:anchor="_Toc475974354" w:history="1">
            <w:r w:rsidR="005D5D3E" w:rsidRPr="00DE3537">
              <w:rPr>
                <w:rStyle w:val="Hyperlink"/>
                <w:rFonts w:eastAsiaTheme="majorEastAsia" w:cs="Times New Roman"/>
                <w:bCs/>
                <w:noProof/>
              </w:rPr>
              <w:t>2.2.4 Primary analysis of primary outcome measure (BMI SDS at 24 months)</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_Toc475974354 \h </w:instrText>
            </w:r>
            <w:r w:rsidR="005D5D3E" w:rsidRPr="00DE3537">
              <w:rPr>
                <w:noProof/>
                <w:webHidden/>
              </w:rPr>
            </w:r>
            <w:r w:rsidR="005D5D3E" w:rsidRPr="00DE3537">
              <w:rPr>
                <w:noProof/>
                <w:webHidden/>
              </w:rPr>
              <w:fldChar w:fldCharType="separate"/>
            </w:r>
            <w:r w:rsidR="005D5D3E" w:rsidRPr="00DE3537">
              <w:rPr>
                <w:noProof/>
                <w:webHidden/>
              </w:rPr>
              <w:t>46</w:t>
            </w:r>
            <w:r w:rsidR="005D5D3E" w:rsidRPr="00DE3537">
              <w:rPr>
                <w:noProof/>
                <w:webHidden/>
              </w:rPr>
              <w:fldChar w:fldCharType="end"/>
            </w:r>
          </w:hyperlink>
        </w:p>
        <w:p w14:paraId="4477E302" w14:textId="77777777" w:rsidR="005D5D3E" w:rsidRPr="00DE3537" w:rsidRDefault="00DA1C42">
          <w:pPr>
            <w:pStyle w:val="TOC3"/>
            <w:rPr>
              <w:noProof/>
            </w:rPr>
          </w:pPr>
          <w:hyperlink w:anchor="_Toc475974355" w:history="1">
            <w:r w:rsidR="005D5D3E" w:rsidRPr="00DE3537">
              <w:rPr>
                <w:rStyle w:val="Hyperlink"/>
                <w:rFonts w:eastAsiaTheme="majorEastAsia" w:cs="Times New Roman"/>
                <w:bCs/>
                <w:noProof/>
              </w:rPr>
              <w:t>2.2.5 Secondary analyses of the primary outcome</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_Toc475974355 \h </w:instrText>
            </w:r>
            <w:r w:rsidR="005D5D3E" w:rsidRPr="00DE3537">
              <w:rPr>
                <w:noProof/>
                <w:webHidden/>
              </w:rPr>
            </w:r>
            <w:r w:rsidR="005D5D3E" w:rsidRPr="00DE3537">
              <w:rPr>
                <w:noProof/>
                <w:webHidden/>
              </w:rPr>
              <w:fldChar w:fldCharType="separate"/>
            </w:r>
            <w:r w:rsidR="005D5D3E" w:rsidRPr="00DE3537">
              <w:rPr>
                <w:noProof/>
                <w:webHidden/>
              </w:rPr>
              <w:t>47</w:t>
            </w:r>
            <w:r w:rsidR="005D5D3E" w:rsidRPr="00DE3537">
              <w:rPr>
                <w:noProof/>
                <w:webHidden/>
              </w:rPr>
              <w:fldChar w:fldCharType="end"/>
            </w:r>
          </w:hyperlink>
        </w:p>
        <w:p w14:paraId="464C933A" w14:textId="77777777" w:rsidR="005D5D3E" w:rsidRPr="00DE3537" w:rsidRDefault="00DA1C42">
          <w:pPr>
            <w:pStyle w:val="TOC3"/>
            <w:rPr>
              <w:noProof/>
            </w:rPr>
          </w:pPr>
          <w:hyperlink w:anchor="_Toc475974356" w:history="1">
            <w:r w:rsidR="005D5D3E" w:rsidRPr="00DE3537">
              <w:rPr>
                <w:rStyle w:val="Hyperlink"/>
                <w:rFonts w:eastAsiaTheme="majorEastAsia" w:cs="Times New Roman"/>
                <w:bCs/>
                <w:noProof/>
              </w:rPr>
              <w:t>2.2.6 Analysis of secondary outcomes</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_Toc475974356 \h </w:instrText>
            </w:r>
            <w:r w:rsidR="005D5D3E" w:rsidRPr="00DE3537">
              <w:rPr>
                <w:noProof/>
                <w:webHidden/>
              </w:rPr>
            </w:r>
            <w:r w:rsidR="005D5D3E" w:rsidRPr="00DE3537">
              <w:rPr>
                <w:noProof/>
                <w:webHidden/>
              </w:rPr>
              <w:fldChar w:fldCharType="separate"/>
            </w:r>
            <w:r w:rsidR="005D5D3E" w:rsidRPr="00DE3537">
              <w:rPr>
                <w:noProof/>
                <w:webHidden/>
              </w:rPr>
              <w:t>49</w:t>
            </w:r>
            <w:r w:rsidR="005D5D3E" w:rsidRPr="00DE3537">
              <w:rPr>
                <w:noProof/>
                <w:webHidden/>
              </w:rPr>
              <w:fldChar w:fldCharType="end"/>
            </w:r>
          </w:hyperlink>
        </w:p>
        <w:p w14:paraId="02B8E733" w14:textId="77777777" w:rsidR="005D5D3E" w:rsidRPr="00DE3537" w:rsidRDefault="00DA1C42">
          <w:pPr>
            <w:pStyle w:val="TOC3"/>
            <w:rPr>
              <w:noProof/>
            </w:rPr>
          </w:pPr>
          <w:hyperlink w:anchor="_Toc475974357" w:history="1">
            <w:r w:rsidR="005D5D3E" w:rsidRPr="00DE3537">
              <w:rPr>
                <w:rStyle w:val="Hyperlink"/>
                <w:rFonts w:eastAsiaTheme="majorEastAsia" w:cs="Times New Roman"/>
                <w:bCs/>
                <w:noProof/>
              </w:rPr>
              <w:t>2.2.7 Missing outcome data</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_Toc475974357 \h </w:instrText>
            </w:r>
            <w:r w:rsidR="005D5D3E" w:rsidRPr="00DE3537">
              <w:rPr>
                <w:noProof/>
                <w:webHidden/>
              </w:rPr>
            </w:r>
            <w:r w:rsidR="005D5D3E" w:rsidRPr="00DE3537">
              <w:rPr>
                <w:noProof/>
                <w:webHidden/>
              </w:rPr>
              <w:fldChar w:fldCharType="separate"/>
            </w:r>
            <w:r w:rsidR="005D5D3E" w:rsidRPr="00DE3537">
              <w:rPr>
                <w:noProof/>
                <w:webHidden/>
              </w:rPr>
              <w:t>50</w:t>
            </w:r>
            <w:r w:rsidR="005D5D3E" w:rsidRPr="00DE3537">
              <w:rPr>
                <w:noProof/>
                <w:webHidden/>
              </w:rPr>
              <w:fldChar w:fldCharType="end"/>
            </w:r>
          </w:hyperlink>
        </w:p>
        <w:p w14:paraId="0A8A3BD0" w14:textId="77777777" w:rsidR="005D5D3E" w:rsidRPr="00DE3537" w:rsidRDefault="00DA1C42">
          <w:pPr>
            <w:pStyle w:val="TOC3"/>
            <w:rPr>
              <w:noProof/>
            </w:rPr>
          </w:pPr>
          <w:hyperlink w:anchor="_Toc475974358" w:history="1">
            <w:r w:rsidR="005D5D3E" w:rsidRPr="00DE3537">
              <w:rPr>
                <w:rStyle w:val="Hyperlink"/>
                <w:rFonts w:eastAsiaTheme="majorEastAsia" w:cs="Times New Roman"/>
                <w:bCs/>
                <w:noProof/>
              </w:rPr>
              <w:t>2.2.8 Derived outcome variables</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_Toc475974358 \h </w:instrText>
            </w:r>
            <w:r w:rsidR="005D5D3E" w:rsidRPr="00DE3537">
              <w:rPr>
                <w:noProof/>
                <w:webHidden/>
              </w:rPr>
            </w:r>
            <w:r w:rsidR="005D5D3E" w:rsidRPr="00DE3537">
              <w:rPr>
                <w:noProof/>
                <w:webHidden/>
              </w:rPr>
              <w:fldChar w:fldCharType="separate"/>
            </w:r>
            <w:r w:rsidR="005D5D3E" w:rsidRPr="00DE3537">
              <w:rPr>
                <w:noProof/>
                <w:webHidden/>
              </w:rPr>
              <w:t>51</w:t>
            </w:r>
            <w:r w:rsidR="005D5D3E" w:rsidRPr="00DE3537">
              <w:rPr>
                <w:noProof/>
                <w:webHidden/>
              </w:rPr>
              <w:fldChar w:fldCharType="end"/>
            </w:r>
          </w:hyperlink>
        </w:p>
        <w:p w14:paraId="74255B73" w14:textId="77777777" w:rsidR="005D5D3E" w:rsidRPr="00DE3537" w:rsidRDefault="00DA1C42">
          <w:pPr>
            <w:pStyle w:val="TOC1"/>
            <w:rPr>
              <w:noProof/>
            </w:rPr>
          </w:pPr>
          <w:hyperlink w:anchor="_Toc475974359" w:history="1">
            <w:r w:rsidR="005D5D3E" w:rsidRPr="00DE3537">
              <w:rPr>
                <w:rStyle w:val="Hyperlink"/>
                <w:rFonts w:eastAsiaTheme="majorEastAsia" w:cs="Times New Roman"/>
                <w:bCs/>
                <w:noProof/>
              </w:rPr>
              <w:t>Chapter 3 Results (primary and secondary outcomes)</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_Toc475974359 \h </w:instrText>
            </w:r>
            <w:r w:rsidR="005D5D3E" w:rsidRPr="00DE3537">
              <w:rPr>
                <w:noProof/>
                <w:webHidden/>
              </w:rPr>
            </w:r>
            <w:r w:rsidR="005D5D3E" w:rsidRPr="00DE3537">
              <w:rPr>
                <w:noProof/>
                <w:webHidden/>
              </w:rPr>
              <w:fldChar w:fldCharType="separate"/>
            </w:r>
            <w:r w:rsidR="005D5D3E" w:rsidRPr="00DE3537">
              <w:rPr>
                <w:noProof/>
                <w:webHidden/>
              </w:rPr>
              <w:t>53</w:t>
            </w:r>
            <w:r w:rsidR="005D5D3E" w:rsidRPr="00DE3537">
              <w:rPr>
                <w:noProof/>
                <w:webHidden/>
              </w:rPr>
              <w:fldChar w:fldCharType="end"/>
            </w:r>
          </w:hyperlink>
        </w:p>
        <w:p w14:paraId="58324726" w14:textId="77777777" w:rsidR="005D5D3E" w:rsidRPr="00DE3537" w:rsidRDefault="00DA1C42">
          <w:pPr>
            <w:pStyle w:val="TOC2"/>
            <w:rPr>
              <w:noProof/>
            </w:rPr>
          </w:pPr>
          <w:hyperlink w:anchor="_Toc475974360" w:history="1">
            <w:r w:rsidR="005D5D3E" w:rsidRPr="00DE3537">
              <w:rPr>
                <w:rStyle w:val="Hyperlink"/>
                <w:rFonts w:eastAsiaTheme="majorEastAsia" w:cstheme="majorBidi"/>
                <w:bCs/>
                <w:noProof/>
              </w:rPr>
              <w:t>3.1 Participant numbers through the HeLP study</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_Toc475974360 \h </w:instrText>
            </w:r>
            <w:r w:rsidR="005D5D3E" w:rsidRPr="00DE3537">
              <w:rPr>
                <w:noProof/>
                <w:webHidden/>
              </w:rPr>
            </w:r>
            <w:r w:rsidR="005D5D3E" w:rsidRPr="00DE3537">
              <w:rPr>
                <w:noProof/>
                <w:webHidden/>
              </w:rPr>
              <w:fldChar w:fldCharType="separate"/>
            </w:r>
            <w:r w:rsidR="005D5D3E" w:rsidRPr="00DE3537">
              <w:rPr>
                <w:noProof/>
                <w:webHidden/>
              </w:rPr>
              <w:t>53</w:t>
            </w:r>
            <w:r w:rsidR="005D5D3E" w:rsidRPr="00DE3537">
              <w:rPr>
                <w:noProof/>
                <w:webHidden/>
              </w:rPr>
              <w:fldChar w:fldCharType="end"/>
            </w:r>
          </w:hyperlink>
        </w:p>
        <w:p w14:paraId="1BE05B97" w14:textId="77777777" w:rsidR="005D5D3E" w:rsidRPr="00DE3537" w:rsidRDefault="00DA1C42">
          <w:pPr>
            <w:pStyle w:val="TOC2"/>
            <w:rPr>
              <w:noProof/>
            </w:rPr>
          </w:pPr>
          <w:hyperlink w:anchor="_Toc475974361" w:history="1">
            <w:r w:rsidR="005D5D3E" w:rsidRPr="00DE3537">
              <w:rPr>
                <w:rStyle w:val="Hyperlink"/>
                <w:noProof/>
              </w:rPr>
              <w:t>3.2 Completeness of outcome measures through the HeLP study</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_Toc475974361 \h </w:instrText>
            </w:r>
            <w:r w:rsidR="005D5D3E" w:rsidRPr="00DE3537">
              <w:rPr>
                <w:noProof/>
                <w:webHidden/>
              </w:rPr>
            </w:r>
            <w:r w:rsidR="005D5D3E" w:rsidRPr="00DE3537">
              <w:rPr>
                <w:noProof/>
                <w:webHidden/>
              </w:rPr>
              <w:fldChar w:fldCharType="separate"/>
            </w:r>
            <w:r w:rsidR="005D5D3E" w:rsidRPr="00DE3537">
              <w:rPr>
                <w:noProof/>
                <w:webHidden/>
              </w:rPr>
              <w:t>55</w:t>
            </w:r>
            <w:r w:rsidR="005D5D3E" w:rsidRPr="00DE3537">
              <w:rPr>
                <w:noProof/>
                <w:webHidden/>
              </w:rPr>
              <w:fldChar w:fldCharType="end"/>
            </w:r>
          </w:hyperlink>
        </w:p>
        <w:p w14:paraId="09268115" w14:textId="77777777" w:rsidR="005D5D3E" w:rsidRPr="00DE3537" w:rsidRDefault="00DA1C42">
          <w:pPr>
            <w:pStyle w:val="TOC2"/>
            <w:rPr>
              <w:noProof/>
            </w:rPr>
          </w:pPr>
          <w:hyperlink w:anchor="_Toc475974362" w:history="1">
            <w:r w:rsidR="005D5D3E" w:rsidRPr="00DE3537">
              <w:rPr>
                <w:rStyle w:val="Hyperlink"/>
                <w:noProof/>
              </w:rPr>
              <w:t xml:space="preserve">3.3 </w:t>
            </w:r>
            <w:r w:rsidR="005D5D3E" w:rsidRPr="00DE3537">
              <w:rPr>
                <w:rStyle w:val="Hyperlink"/>
                <w:rFonts w:cs="Times New Roman"/>
                <w:noProof/>
              </w:rPr>
              <w:t>Baseline Characteristics</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_Toc475974362 \h </w:instrText>
            </w:r>
            <w:r w:rsidR="005D5D3E" w:rsidRPr="00DE3537">
              <w:rPr>
                <w:noProof/>
                <w:webHidden/>
              </w:rPr>
            </w:r>
            <w:r w:rsidR="005D5D3E" w:rsidRPr="00DE3537">
              <w:rPr>
                <w:noProof/>
                <w:webHidden/>
              </w:rPr>
              <w:fldChar w:fldCharType="separate"/>
            </w:r>
            <w:r w:rsidR="005D5D3E" w:rsidRPr="00DE3537">
              <w:rPr>
                <w:noProof/>
                <w:webHidden/>
              </w:rPr>
              <w:t>57</w:t>
            </w:r>
            <w:r w:rsidR="005D5D3E" w:rsidRPr="00DE3537">
              <w:rPr>
                <w:noProof/>
                <w:webHidden/>
              </w:rPr>
              <w:fldChar w:fldCharType="end"/>
            </w:r>
          </w:hyperlink>
        </w:p>
        <w:p w14:paraId="2532B236" w14:textId="77777777" w:rsidR="005D5D3E" w:rsidRPr="00DE3537" w:rsidRDefault="00DA1C42">
          <w:pPr>
            <w:pStyle w:val="TOC3"/>
            <w:rPr>
              <w:noProof/>
            </w:rPr>
          </w:pPr>
          <w:hyperlink w:anchor="_Toc475974363" w:history="1">
            <w:r w:rsidR="005D5D3E" w:rsidRPr="00DE3537">
              <w:rPr>
                <w:rStyle w:val="Hyperlink"/>
                <w:rFonts w:cs="Times New Roman"/>
                <w:noProof/>
              </w:rPr>
              <w:t>3.3.1 School level characteristics</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_Toc475974363 \h </w:instrText>
            </w:r>
            <w:r w:rsidR="005D5D3E" w:rsidRPr="00DE3537">
              <w:rPr>
                <w:noProof/>
                <w:webHidden/>
              </w:rPr>
            </w:r>
            <w:r w:rsidR="005D5D3E" w:rsidRPr="00DE3537">
              <w:rPr>
                <w:noProof/>
                <w:webHidden/>
              </w:rPr>
              <w:fldChar w:fldCharType="separate"/>
            </w:r>
            <w:r w:rsidR="005D5D3E" w:rsidRPr="00DE3537">
              <w:rPr>
                <w:noProof/>
                <w:webHidden/>
              </w:rPr>
              <w:t>57</w:t>
            </w:r>
            <w:r w:rsidR="005D5D3E" w:rsidRPr="00DE3537">
              <w:rPr>
                <w:noProof/>
                <w:webHidden/>
              </w:rPr>
              <w:fldChar w:fldCharType="end"/>
            </w:r>
          </w:hyperlink>
        </w:p>
        <w:p w14:paraId="24EB8235" w14:textId="77777777" w:rsidR="005D5D3E" w:rsidRPr="00DE3537" w:rsidRDefault="00DA1C42">
          <w:pPr>
            <w:pStyle w:val="TOC3"/>
            <w:rPr>
              <w:noProof/>
            </w:rPr>
          </w:pPr>
          <w:hyperlink w:anchor="_Toc475974364" w:history="1">
            <w:r w:rsidR="005D5D3E" w:rsidRPr="00DE3537">
              <w:rPr>
                <w:rStyle w:val="Hyperlink"/>
                <w:noProof/>
              </w:rPr>
              <w:t>3.3.2 Individual level characteristics</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_Toc475974364 \h </w:instrText>
            </w:r>
            <w:r w:rsidR="005D5D3E" w:rsidRPr="00DE3537">
              <w:rPr>
                <w:noProof/>
                <w:webHidden/>
              </w:rPr>
            </w:r>
            <w:r w:rsidR="005D5D3E" w:rsidRPr="00DE3537">
              <w:rPr>
                <w:noProof/>
                <w:webHidden/>
              </w:rPr>
              <w:fldChar w:fldCharType="separate"/>
            </w:r>
            <w:r w:rsidR="005D5D3E" w:rsidRPr="00DE3537">
              <w:rPr>
                <w:noProof/>
                <w:webHidden/>
              </w:rPr>
              <w:t>59</w:t>
            </w:r>
            <w:r w:rsidR="005D5D3E" w:rsidRPr="00DE3537">
              <w:rPr>
                <w:noProof/>
                <w:webHidden/>
              </w:rPr>
              <w:fldChar w:fldCharType="end"/>
            </w:r>
          </w:hyperlink>
        </w:p>
        <w:p w14:paraId="79EEF4C1" w14:textId="77777777" w:rsidR="005D5D3E" w:rsidRPr="00DE3537" w:rsidRDefault="00DA1C42">
          <w:pPr>
            <w:pStyle w:val="TOC2"/>
            <w:rPr>
              <w:noProof/>
            </w:rPr>
          </w:pPr>
          <w:hyperlink w:anchor="_Toc475974365" w:history="1">
            <w:r w:rsidR="005D5D3E" w:rsidRPr="00DE3537">
              <w:rPr>
                <w:rStyle w:val="Hyperlink"/>
                <w:rFonts w:eastAsiaTheme="majorEastAsia" w:cs="Times New Roman"/>
                <w:bCs/>
                <w:noProof/>
              </w:rPr>
              <w:t>3.4 Primary intention-to-treat analysis of BMI SDS at 24 months</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_Toc475974365 \h </w:instrText>
            </w:r>
            <w:r w:rsidR="005D5D3E" w:rsidRPr="00DE3537">
              <w:rPr>
                <w:noProof/>
                <w:webHidden/>
              </w:rPr>
            </w:r>
            <w:r w:rsidR="005D5D3E" w:rsidRPr="00DE3537">
              <w:rPr>
                <w:noProof/>
                <w:webHidden/>
              </w:rPr>
              <w:fldChar w:fldCharType="separate"/>
            </w:r>
            <w:r w:rsidR="005D5D3E" w:rsidRPr="00DE3537">
              <w:rPr>
                <w:noProof/>
                <w:webHidden/>
              </w:rPr>
              <w:t>62</w:t>
            </w:r>
            <w:r w:rsidR="005D5D3E" w:rsidRPr="00DE3537">
              <w:rPr>
                <w:noProof/>
                <w:webHidden/>
              </w:rPr>
              <w:fldChar w:fldCharType="end"/>
            </w:r>
          </w:hyperlink>
        </w:p>
        <w:p w14:paraId="5F309795" w14:textId="77777777" w:rsidR="005D5D3E" w:rsidRPr="00DE3537" w:rsidRDefault="00DA1C42">
          <w:pPr>
            <w:pStyle w:val="TOC2"/>
            <w:rPr>
              <w:noProof/>
            </w:rPr>
          </w:pPr>
          <w:hyperlink w:anchor="_Toc475974366" w:history="1">
            <w:r w:rsidR="005D5D3E" w:rsidRPr="00DE3537">
              <w:rPr>
                <w:rStyle w:val="Hyperlink"/>
                <w:rFonts w:eastAsiaTheme="majorEastAsia" w:cs="Times New Roman"/>
                <w:bCs/>
                <w:noProof/>
              </w:rPr>
              <w:t>3.5 Secondary analysis of BMI SDS at 24 months</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_Toc475974366 \h </w:instrText>
            </w:r>
            <w:r w:rsidR="005D5D3E" w:rsidRPr="00DE3537">
              <w:rPr>
                <w:noProof/>
                <w:webHidden/>
              </w:rPr>
            </w:r>
            <w:r w:rsidR="005D5D3E" w:rsidRPr="00DE3537">
              <w:rPr>
                <w:noProof/>
                <w:webHidden/>
              </w:rPr>
              <w:fldChar w:fldCharType="separate"/>
            </w:r>
            <w:r w:rsidR="005D5D3E" w:rsidRPr="00DE3537">
              <w:rPr>
                <w:noProof/>
                <w:webHidden/>
              </w:rPr>
              <w:t>62</w:t>
            </w:r>
            <w:r w:rsidR="005D5D3E" w:rsidRPr="00DE3537">
              <w:rPr>
                <w:noProof/>
                <w:webHidden/>
              </w:rPr>
              <w:fldChar w:fldCharType="end"/>
            </w:r>
          </w:hyperlink>
        </w:p>
        <w:p w14:paraId="6634188D" w14:textId="77777777" w:rsidR="005D5D3E" w:rsidRPr="00DE3537" w:rsidRDefault="00DA1C42">
          <w:pPr>
            <w:pStyle w:val="TOC2"/>
            <w:rPr>
              <w:noProof/>
            </w:rPr>
          </w:pPr>
          <w:hyperlink w:anchor="_Toc475974367" w:history="1">
            <w:r w:rsidR="005D5D3E" w:rsidRPr="00DE3537">
              <w:rPr>
                <w:rStyle w:val="Hyperlink"/>
                <w:iCs/>
                <w:noProof/>
              </w:rPr>
              <w:t>3.6 Longitudinal analysis of BMI SDS</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_Toc475974367 \h </w:instrText>
            </w:r>
            <w:r w:rsidR="005D5D3E" w:rsidRPr="00DE3537">
              <w:rPr>
                <w:noProof/>
                <w:webHidden/>
              </w:rPr>
            </w:r>
            <w:r w:rsidR="005D5D3E" w:rsidRPr="00DE3537">
              <w:rPr>
                <w:noProof/>
                <w:webHidden/>
              </w:rPr>
              <w:fldChar w:fldCharType="separate"/>
            </w:r>
            <w:r w:rsidR="005D5D3E" w:rsidRPr="00DE3537">
              <w:rPr>
                <w:noProof/>
                <w:webHidden/>
              </w:rPr>
              <w:t>66</w:t>
            </w:r>
            <w:r w:rsidR="005D5D3E" w:rsidRPr="00DE3537">
              <w:rPr>
                <w:noProof/>
                <w:webHidden/>
              </w:rPr>
              <w:fldChar w:fldCharType="end"/>
            </w:r>
          </w:hyperlink>
        </w:p>
        <w:p w14:paraId="779EC8DD" w14:textId="77777777" w:rsidR="005D5D3E" w:rsidRPr="00DE3537" w:rsidRDefault="00DA1C42">
          <w:pPr>
            <w:pStyle w:val="TOC2"/>
            <w:rPr>
              <w:noProof/>
            </w:rPr>
          </w:pPr>
          <w:hyperlink w:anchor="_Toc475974368" w:history="1">
            <w:r w:rsidR="005D5D3E" w:rsidRPr="00DE3537">
              <w:rPr>
                <w:rStyle w:val="Hyperlink"/>
                <w:rFonts w:eastAsiaTheme="majorEastAsia" w:cstheme="majorBidi"/>
                <w:bCs/>
                <w:noProof/>
              </w:rPr>
              <w:t>3.7 Primary analyses of secondary outcomes at 24 months (anthropometric measures only)</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_Toc475974368 \h </w:instrText>
            </w:r>
            <w:r w:rsidR="005D5D3E" w:rsidRPr="00DE3537">
              <w:rPr>
                <w:noProof/>
                <w:webHidden/>
              </w:rPr>
            </w:r>
            <w:r w:rsidR="005D5D3E" w:rsidRPr="00DE3537">
              <w:rPr>
                <w:noProof/>
                <w:webHidden/>
              </w:rPr>
              <w:fldChar w:fldCharType="separate"/>
            </w:r>
            <w:r w:rsidR="005D5D3E" w:rsidRPr="00DE3537">
              <w:rPr>
                <w:noProof/>
                <w:webHidden/>
              </w:rPr>
              <w:t>67</w:t>
            </w:r>
            <w:r w:rsidR="005D5D3E" w:rsidRPr="00DE3537">
              <w:rPr>
                <w:noProof/>
                <w:webHidden/>
              </w:rPr>
              <w:fldChar w:fldCharType="end"/>
            </w:r>
          </w:hyperlink>
        </w:p>
        <w:p w14:paraId="218CB8DA" w14:textId="77777777" w:rsidR="005D5D3E" w:rsidRPr="00DE3537" w:rsidRDefault="00DA1C42">
          <w:pPr>
            <w:pStyle w:val="TOC2"/>
            <w:rPr>
              <w:noProof/>
            </w:rPr>
          </w:pPr>
          <w:hyperlink w:anchor="_Toc475974369" w:history="1">
            <w:r w:rsidR="005D5D3E" w:rsidRPr="00DE3537">
              <w:rPr>
                <w:rStyle w:val="Hyperlink"/>
                <w:rFonts w:eastAsiaTheme="majorEastAsia" w:cstheme="majorBidi"/>
                <w:bCs/>
                <w:noProof/>
              </w:rPr>
              <w:t>3.8 Primary analyses of outcomes at 18 months</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_Toc475974369 \h </w:instrText>
            </w:r>
            <w:r w:rsidR="005D5D3E" w:rsidRPr="00DE3537">
              <w:rPr>
                <w:noProof/>
                <w:webHidden/>
              </w:rPr>
            </w:r>
            <w:r w:rsidR="005D5D3E" w:rsidRPr="00DE3537">
              <w:rPr>
                <w:noProof/>
                <w:webHidden/>
              </w:rPr>
              <w:fldChar w:fldCharType="separate"/>
            </w:r>
            <w:r w:rsidR="005D5D3E" w:rsidRPr="00DE3537">
              <w:rPr>
                <w:noProof/>
                <w:webHidden/>
              </w:rPr>
              <w:t>70</w:t>
            </w:r>
            <w:r w:rsidR="005D5D3E" w:rsidRPr="00DE3537">
              <w:rPr>
                <w:noProof/>
                <w:webHidden/>
              </w:rPr>
              <w:fldChar w:fldCharType="end"/>
            </w:r>
          </w:hyperlink>
        </w:p>
        <w:p w14:paraId="2E9C52B2" w14:textId="77777777" w:rsidR="005D5D3E" w:rsidRPr="00DE3537" w:rsidRDefault="00DA1C42">
          <w:pPr>
            <w:pStyle w:val="TOC1"/>
            <w:rPr>
              <w:noProof/>
            </w:rPr>
          </w:pPr>
          <w:hyperlink w:anchor="_Toc475974370" w:history="1">
            <w:r w:rsidR="005D5D3E" w:rsidRPr="00DE3537">
              <w:rPr>
                <w:rStyle w:val="Hyperlink"/>
                <w:noProof/>
              </w:rPr>
              <w:t>Chapter 4 Economic evaluation</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_Toc475974370 \h </w:instrText>
            </w:r>
            <w:r w:rsidR="005D5D3E" w:rsidRPr="00DE3537">
              <w:rPr>
                <w:noProof/>
                <w:webHidden/>
              </w:rPr>
            </w:r>
            <w:r w:rsidR="005D5D3E" w:rsidRPr="00DE3537">
              <w:rPr>
                <w:noProof/>
                <w:webHidden/>
              </w:rPr>
              <w:fldChar w:fldCharType="separate"/>
            </w:r>
            <w:r w:rsidR="005D5D3E" w:rsidRPr="00DE3537">
              <w:rPr>
                <w:noProof/>
                <w:webHidden/>
              </w:rPr>
              <w:t>80</w:t>
            </w:r>
            <w:r w:rsidR="005D5D3E" w:rsidRPr="00DE3537">
              <w:rPr>
                <w:noProof/>
                <w:webHidden/>
              </w:rPr>
              <w:fldChar w:fldCharType="end"/>
            </w:r>
          </w:hyperlink>
        </w:p>
        <w:p w14:paraId="3E1D45CA" w14:textId="77777777" w:rsidR="005D5D3E" w:rsidRPr="00DE3537" w:rsidRDefault="00DA1C42">
          <w:pPr>
            <w:pStyle w:val="TOC2"/>
            <w:rPr>
              <w:noProof/>
            </w:rPr>
          </w:pPr>
          <w:hyperlink w:anchor="_Toc475974371" w:history="1">
            <w:r w:rsidR="005D5D3E" w:rsidRPr="00DE3537">
              <w:rPr>
                <w:rStyle w:val="Hyperlink"/>
                <w:rFonts w:cs="Arial"/>
                <w:noProof/>
              </w:rPr>
              <w:t>4.1 Introduction</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_Toc475974371 \h </w:instrText>
            </w:r>
            <w:r w:rsidR="005D5D3E" w:rsidRPr="00DE3537">
              <w:rPr>
                <w:noProof/>
                <w:webHidden/>
              </w:rPr>
            </w:r>
            <w:r w:rsidR="005D5D3E" w:rsidRPr="00DE3537">
              <w:rPr>
                <w:noProof/>
                <w:webHidden/>
              </w:rPr>
              <w:fldChar w:fldCharType="separate"/>
            </w:r>
            <w:r w:rsidR="005D5D3E" w:rsidRPr="00DE3537">
              <w:rPr>
                <w:noProof/>
                <w:webHidden/>
              </w:rPr>
              <w:t>80</w:t>
            </w:r>
            <w:r w:rsidR="005D5D3E" w:rsidRPr="00DE3537">
              <w:rPr>
                <w:noProof/>
                <w:webHidden/>
              </w:rPr>
              <w:fldChar w:fldCharType="end"/>
            </w:r>
          </w:hyperlink>
        </w:p>
        <w:p w14:paraId="040B2908" w14:textId="77777777" w:rsidR="005D5D3E" w:rsidRPr="00DE3537" w:rsidRDefault="00DA1C42">
          <w:pPr>
            <w:pStyle w:val="TOC2"/>
            <w:rPr>
              <w:noProof/>
            </w:rPr>
          </w:pPr>
          <w:hyperlink w:anchor="_Toc475974372" w:history="1">
            <w:r w:rsidR="005D5D3E" w:rsidRPr="00DE3537">
              <w:rPr>
                <w:rStyle w:val="Hyperlink"/>
                <w:rFonts w:cs="Arial"/>
                <w:noProof/>
              </w:rPr>
              <w:t>4.2 Methods</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_Toc475974372 \h </w:instrText>
            </w:r>
            <w:r w:rsidR="005D5D3E" w:rsidRPr="00DE3537">
              <w:rPr>
                <w:noProof/>
                <w:webHidden/>
              </w:rPr>
            </w:r>
            <w:r w:rsidR="005D5D3E" w:rsidRPr="00DE3537">
              <w:rPr>
                <w:noProof/>
                <w:webHidden/>
              </w:rPr>
              <w:fldChar w:fldCharType="separate"/>
            </w:r>
            <w:r w:rsidR="005D5D3E" w:rsidRPr="00DE3537">
              <w:rPr>
                <w:noProof/>
                <w:webHidden/>
              </w:rPr>
              <w:t>80</w:t>
            </w:r>
            <w:r w:rsidR="005D5D3E" w:rsidRPr="00DE3537">
              <w:rPr>
                <w:noProof/>
                <w:webHidden/>
              </w:rPr>
              <w:fldChar w:fldCharType="end"/>
            </w:r>
          </w:hyperlink>
        </w:p>
        <w:p w14:paraId="3B31D8CB" w14:textId="77777777" w:rsidR="005D5D3E" w:rsidRPr="00DE3537" w:rsidRDefault="00DA1C42">
          <w:pPr>
            <w:pStyle w:val="TOC3"/>
            <w:rPr>
              <w:noProof/>
            </w:rPr>
          </w:pPr>
          <w:hyperlink w:anchor="_Toc475974373" w:history="1">
            <w:r w:rsidR="005D5D3E" w:rsidRPr="00DE3537">
              <w:rPr>
                <w:rStyle w:val="Hyperlink"/>
                <w:rFonts w:cs="Arial"/>
                <w:noProof/>
              </w:rPr>
              <w:t>4.2.1 Estimating resource use and costs for delivery of the HeLP intervention</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_Toc475974373 \h </w:instrText>
            </w:r>
            <w:r w:rsidR="005D5D3E" w:rsidRPr="00DE3537">
              <w:rPr>
                <w:noProof/>
                <w:webHidden/>
              </w:rPr>
            </w:r>
            <w:r w:rsidR="005D5D3E" w:rsidRPr="00DE3537">
              <w:rPr>
                <w:noProof/>
                <w:webHidden/>
              </w:rPr>
              <w:fldChar w:fldCharType="separate"/>
            </w:r>
            <w:r w:rsidR="005D5D3E" w:rsidRPr="00DE3537">
              <w:rPr>
                <w:noProof/>
                <w:webHidden/>
              </w:rPr>
              <w:t>80</w:t>
            </w:r>
            <w:r w:rsidR="005D5D3E" w:rsidRPr="00DE3537">
              <w:rPr>
                <w:noProof/>
                <w:webHidden/>
              </w:rPr>
              <w:fldChar w:fldCharType="end"/>
            </w:r>
          </w:hyperlink>
        </w:p>
        <w:p w14:paraId="0256C921" w14:textId="77777777" w:rsidR="005D5D3E" w:rsidRPr="00DE3537" w:rsidRDefault="00DA1C42">
          <w:pPr>
            <w:pStyle w:val="TOC3"/>
            <w:rPr>
              <w:noProof/>
            </w:rPr>
          </w:pPr>
          <w:hyperlink w:anchor="_Toc475974374" w:history="1">
            <w:r w:rsidR="005D5D3E" w:rsidRPr="00DE3537">
              <w:rPr>
                <w:rStyle w:val="Hyperlink"/>
                <w:rFonts w:cs="Arial"/>
                <w:noProof/>
              </w:rPr>
              <w:t>4.2.2 Development of modelling framework (Exeter Obesity Model) to estimate the cost effectiveness of the HeLP intervention versus usual practice</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_Toc475974374 \h </w:instrText>
            </w:r>
            <w:r w:rsidR="005D5D3E" w:rsidRPr="00DE3537">
              <w:rPr>
                <w:noProof/>
                <w:webHidden/>
              </w:rPr>
            </w:r>
            <w:r w:rsidR="005D5D3E" w:rsidRPr="00DE3537">
              <w:rPr>
                <w:noProof/>
                <w:webHidden/>
              </w:rPr>
              <w:fldChar w:fldCharType="separate"/>
            </w:r>
            <w:r w:rsidR="005D5D3E" w:rsidRPr="00DE3537">
              <w:rPr>
                <w:noProof/>
                <w:webHidden/>
              </w:rPr>
              <w:t>85</w:t>
            </w:r>
            <w:r w:rsidR="005D5D3E" w:rsidRPr="00DE3537">
              <w:rPr>
                <w:noProof/>
                <w:webHidden/>
              </w:rPr>
              <w:fldChar w:fldCharType="end"/>
            </w:r>
          </w:hyperlink>
        </w:p>
        <w:p w14:paraId="566EA13F" w14:textId="77777777" w:rsidR="005D5D3E" w:rsidRPr="00DE3537" w:rsidRDefault="00DA1C42">
          <w:pPr>
            <w:pStyle w:val="TOC2"/>
            <w:rPr>
              <w:noProof/>
            </w:rPr>
          </w:pPr>
          <w:hyperlink w:anchor="_Toc475974375" w:history="1">
            <w:r w:rsidR="005D5D3E" w:rsidRPr="00DE3537">
              <w:rPr>
                <w:rStyle w:val="Hyperlink"/>
                <w:rFonts w:cs="Arial"/>
                <w:noProof/>
              </w:rPr>
              <w:t>4.3 Results</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_Toc475974375 \h </w:instrText>
            </w:r>
            <w:r w:rsidR="005D5D3E" w:rsidRPr="00DE3537">
              <w:rPr>
                <w:noProof/>
                <w:webHidden/>
              </w:rPr>
            </w:r>
            <w:r w:rsidR="005D5D3E" w:rsidRPr="00DE3537">
              <w:rPr>
                <w:noProof/>
                <w:webHidden/>
              </w:rPr>
              <w:fldChar w:fldCharType="separate"/>
            </w:r>
            <w:r w:rsidR="005D5D3E" w:rsidRPr="00DE3537">
              <w:rPr>
                <w:noProof/>
                <w:webHidden/>
              </w:rPr>
              <w:t>86</w:t>
            </w:r>
            <w:r w:rsidR="005D5D3E" w:rsidRPr="00DE3537">
              <w:rPr>
                <w:noProof/>
                <w:webHidden/>
              </w:rPr>
              <w:fldChar w:fldCharType="end"/>
            </w:r>
          </w:hyperlink>
        </w:p>
        <w:p w14:paraId="6D2CD8CF" w14:textId="77777777" w:rsidR="005D5D3E" w:rsidRPr="00DE3537" w:rsidRDefault="00DA1C42">
          <w:pPr>
            <w:pStyle w:val="TOC3"/>
            <w:rPr>
              <w:noProof/>
            </w:rPr>
          </w:pPr>
          <w:hyperlink w:anchor="_Toc475974376" w:history="1">
            <w:r w:rsidR="005D5D3E" w:rsidRPr="00DE3537">
              <w:rPr>
                <w:rStyle w:val="Hyperlink"/>
                <w:rFonts w:cs="Arial"/>
                <w:noProof/>
              </w:rPr>
              <w:t>4.3.1 Estimating the resource use and cost of the HeLP intervention</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_Toc475974376 \h </w:instrText>
            </w:r>
            <w:r w:rsidR="005D5D3E" w:rsidRPr="00DE3537">
              <w:rPr>
                <w:noProof/>
                <w:webHidden/>
              </w:rPr>
            </w:r>
            <w:r w:rsidR="005D5D3E" w:rsidRPr="00DE3537">
              <w:rPr>
                <w:noProof/>
                <w:webHidden/>
              </w:rPr>
              <w:fldChar w:fldCharType="separate"/>
            </w:r>
            <w:r w:rsidR="005D5D3E" w:rsidRPr="00DE3537">
              <w:rPr>
                <w:noProof/>
                <w:webHidden/>
              </w:rPr>
              <w:t>86</w:t>
            </w:r>
            <w:r w:rsidR="005D5D3E" w:rsidRPr="00DE3537">
              <w:rPr>
                <w:noProof/>
                <w:webHidden/>
              </w:rPr>
              <w:fldChar w:fldCharType="end"/>
            </w:r>
          </w:hyperlink>
        </w:p>
        <w:p w14:paraId="6C8675C2" w14:textId="77777777" w:rsidR="005D5D3E" w:rsidRPr="00DE3537" w:rsidRDefault="00DA1C42">
          <w:pPr>
            <w:pStyle w:val="TOC3"/>
            <w:rPr>
              <w:noProof/>
            </w:rPr>
          </w:pPr>
          <w:hyperlink w:anchor="_Toc475974377" w:history="1">
            <w:r w:rsidR="005D5D3E" w:rsidRPr="00DE3537">
              <w:rPr>
                <w:rStyle w:val="Hyperlink"/>
                <w:rFonts w:cs="Arial"/>
                <w:noProof/>
              </w:rPr>
              <w:t>4.3.2 A framework for the economic evaluation of HeLP</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_Toc475974377 \h </w:instrText>
            </w:r>
            <w:r w:rsidR="005D5D3E" w:rsidRPr="00DE3537">
              <w:rPr>
                <w:noProof/>
                <w:webHidden/>
              </w:rPr>
            </w:r>
            <w:r w:rsidR="005D5D3E" w:rsidRPr="00DE3537">
              <w:rPr>
                <w:noProof/>
                <w:webHidden/>
              </w:rPr>
              <w:fldChar w:fldCharType="separate"/>
            </w:r>
            <w:r w:rsidR="005D5D3E" w:rsidRPr="00DE3537">
              <w:rPr>
                <w:noProof/>
                <w:webHidden/>
              </w:rPr>
              <w:t>92</w:t>
            </w:r>
            <w:r w:rsidR="005D5D3E" w:rsidRPr="00DE3537">
              <w:rPr>
                <w:noProof/>
                <w:webHidden/>
              </w:rPr>
              <w:fldChar w:fldCharType="end"/>
            </w:r>
          </w:hyperlink>
        </w:p>
        <w:p w14:paraId="7D60775A" w14:textId="77777777" w:rsidR="005D5D3E" w:rsidRPr="00DE3537" w:rsidRDefault="00DA1C42">
          <w:pPr>
            <w:pStyle w:val="TOC3"/>
            <w:rPr>
              <w:noProof/>
            </w:rPr>
          </w:pPr>
          <w:hyperlink w:anchor="_Toc475974378" w:history="1">
            <w:r w:rsidR="005D5D3E" w:rsidRPr="00DE3537">
              <w:rPr>
                <w:rStyle w:val="Hyperlink"/>
                <w:rFonts w:cs="Arial"/>
                <w:noProof/>
              </w:rPr>
              <w:t>4.3.3 Cost Effectiveness Analyses (HeLP versus Usual Practice)</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_Toc475974378 \h </w:instrText>
            </w:r>
            <w:r w:rsidR="005D5D3E" w:rsidRPr="00DE3537">
              <w:rPr>
                <w:noProof/>
                <w:webHidden/>
              </w:rPr>
            </w:r>
            <w:r w:rsidR="005D5D3E" w:rsidRPr="00DE3537">
              <w:rPr>
                <w:noProof/>
                <w:webHidden/>
              </w:rPr>
              <w:fldChar w:fldCharType="separate"/>
            </w:r>
            <w:r w:rsidR="005D5D3E" w:rsidRPr="00DE3537">
              <w:rPr>
                <w:noProof/>
                <w:webHidden/>
              </w:rPr>
              <w:t>117</w:t>
            </w:r>
            <w:r w:rsidR="005D5D3E" w:rsidRPr="00DE3537">
              <w:rPr>
                <w:noProof/>
                <w:webHidden/>
              </w:rPr>
              <w:fldChar w:fldCharType="end"/>
            </w:r>
          </w:hyperlink>
        </w:p>
        <w:p w14:paraId="78CFBCD7" w14:textId="77777777" w:rsidR="005D5D3E" w:rsidRPr="00DE3537" w:rsidRDefault="00DA1C42">
          <w:pPr>
            <w:pStyle w:val="TOC2"/>
            <w:rPr>
              <w:noProof/>
            </w:rPr>
          </w:pPr>
          <w:hyperlink w:anchor="_Toc475974379" w:history="1">
            <w:r w:rsidR="005D5D3E" w:rsidRPr="00DE3537">
              <w:rPr>
                <w:rStyle w:val="Hyperlink"/>
                <w:rFonts w:cs="Arial"/>
                <w:noProof/>
              </w:rPr>
              <w:t>4.4 Discussion</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_Toc475974379 \h </w:instrText>
            </w:r>
            <w:r w:rsidR="005D5D3E" w:rsidRPr="00DE3537">
              <w:rPr>
                <w:noProof/>
                <w:webHidden/>
              </w:rPr>
            </w:r>
            <w:r w:rsidR="005D5D3E" w:rsidRPr="00DE3537">
              <w:rPr>
                <w:noProof/>
                <w:webHidden/>
              </w:rPr>
              <w:fldChar w:fldCharType="separate"/>
            </w:r>
            <w:r w:rsidR="005D5D3E" w:rsidRPr="00DE3537">
              <w:rPr>
                <w:noProof/>
                <w:webHidden/>
              </w:rPr>
              <w:t>123</w:t>
            </w:r>
            <w:r w:rsidR="005D5D3E" w:rsidRPr="00DE3537">
              <w:rPr>
                <w:noProof/>
                <w:webHidden/>
              </w:rPr>
              <w:fldChar w:fldCharType="end"/>
            </w:r>
          </w:hyperlink>
        </w:p>
        <w:p w14:paraId="548C7BC4" w14:textId="77777777" w:rsidR="005D5D3E" w:rsidRPr="00DE3537" w:rsidRDefault="00DA1C42">
          <w:pPr>
            <w:pStyle w:val="TOC1"/>
            <w:rPr>
              <w:noProof/>
            </w:rPr>
          </w:pPr>
          <w:hyperlink w:anchor="_Toc475974380" w:history="1">
            <w:r w:rsidR="005D5D3E" w:rsidRPr="00DE3537">
              <w:rPr>
                <w:rStyle w:val="Hyperlink"/>
                <w:rFonts w:eastAsiaTheme="majorEastAsia" w:cs="Times New Roman"/>
                <w:bCs/>
                <w:noProof/>
              </w:rPr>
              <w:t>Chapter 5 Process evaluation</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_Toc475974380 \h </w:instrText>
            </w:r>
            <w:r w:rsidR="005D5D3E" w:rsidRPr="00DE3537">
              <w:rPr>
                <w:noProof/>
                <w:webHidden/>
              </w:rPr>
            </w:r>
            <w:r w:rsidR="005D5D3E" w:rsidRPr="00DE3537">
              <w:rPr>
                <w:noProof/>
                <w:webHidden/>
              </w:rPr>
              <w:fldChar w:fldCharType="separate"/>
            </w:r>
            <w:r w:rsidR="005D5D3E" w:rsidRPr="00DE3537">
              <w:rPr>
                <w:noProof/>
                <w:webHidden/>
              </w:rPr>
              <w:t>127</w:t>
            </w:r>
            <w:r w:rsidR="005D5D3E" w:rsidRPr="00DE3537">
              <w:rPr>
                <w:noProof/>
                <w:webHidden/>
              </w:rPr>
              <w:fldChar w:fldCharType="end"/>
            </w:r>
          </w:hyperlink>
        </w:p>
        <w:p w14:paraId="2C74EB31" w14:textId="77777777" w:rsidR="005D5D3E" w:rsidRPr="00DE3537" w:rsidRDefault="00DA1C42">
          <w:pPr>
            <w:pStyle w:val="TOC2"/>
            <w:rPr>
              <w:noProof/>
            </w:rPr>
          </w:pPr>
          <w:hyperlink w:anchor="_Toc475974381" w:history="1">
            <w:r w:rsidR="005D5D3E" w:rsidRPr="00DE3537">
              <w:rPr>
                <w:rStyle w:val="Hyperlink"/>
                <w:rFonts w:eastAsiaTheme="majorEastAsia" w:cs="Times New Roman"/>
                <w:bCs/>
                <w:noProof/>
              </w:rPr>
              <w:t>5.1 Introduction</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_Toc475974381 \h </w:instrText>
            </w:r>
            <w:r w:rsidR="005D5D3E" w:rsidRPr="00DE3537">
              <w:rPr>
                <w:noProof/>
                <w:webHidden/>
              </w:rPr>
            </w:r>
            <w:r w:rsidR="005D5D3E" w:rsidRPr="00DE3537">
              <w:rPr>
                <w:noProof/>
                <w:webHidden/>
              </w:rPr>
              <w:fldChar w:fldCharType="separate"/>
            </w:r>
            <w:r w:rsidR="005D5D3E" w:rsidRPr="00DE3537">
              <w:rPr>
                <w:noProof/>
                <w:webHidden/>
              </w:rPr>
              <w:t>127</w:t>
            </w:r>
            <w:r w:rsidR="005D5D3E" w:rsidRPr="00DE3537">
              <w:rPr>
                <w:noProof/>
                <w:webHidden/>
              </w:rPr>
              <w:fldChar w:fldCharType="end"/>
            </w:r>
          </w:hyperlink>
        </w:p>
        <w:p w14:paraId="1C6F7A3D" w14:textId="77777777" w:rsidR="005D5D3E" w:rsidRPr="00DE3537" w:rsidRDefault="00DA1C42">
          <w:pPr>
            <w:pStyle w:val="TOC3"/>
            <w:rPr>
              <w:noProof/>
            </w:rPr>
          </w:pPr>
          <w:hyperlink w:anchor="_Toc475974382" w:history="1">
            <w:r w:rsidR="005D5D3E" w:rsidRPr="00DE3537">
              <w:rPr>
                <w:rStyle w:val="Hyperlink"/>
                <w:rFonts w:eastAsiaTheme="majorEastAsia" w:cstheme="majorBidi"/>
                <w:bCs/>
                <w:noProof/>
              </w:rPr>
              <w:t>5.1.1 Aims</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_Toc475974382 \h </w:instrText>
            </w:r>
            <w:r w:rsidR="005D5D3E" w:rsidRPr="00DE3537">
              <w:rPr>
                <w:noProof/>
                <w:webHidden/>
              </w:rPr>
            </w:r>
            <w:r w:rsidR="005D5D3E" w:rsidRPr="00DE3537">
              <w:rPr>
                <w:noProof/>
                <w:webHidden/>
              </w:rPr>
              <w:fldChar w:fldCharType="separate"/>
            </w:r>
            <w:r w:rsidR="005D5D3E" w:rsidRPr="00DE3537">
              <w:rPr>
                <w:noProof/>
                <w:webHidden/>
              </w:rPr>
              <w:t>127</w:t>
            </w:r>
            <w:r w:rsidR="005D5D3E" w:rsidRPr="00DE3537">
              <w:rPr>
                <w:noProof/>
                <w:webHidden/>
              </w:rPr>
              <w:fldChar w:fldCharType="end"/>
            </w:r>
          </w:hyperlink>
        </w:p>
        <w:p w14:paraId="7BB13BEA" w14:textId="77777777" w:rsidR="005D5D3E" w:rsidRPr="00DE3537" w:rsidRDefault="00DA1C42">
          <w:pPr>
            <w:pStyle w:val="TOC3"/>
            <w:rPr>
              <w:noProof/>
            </w:rPr>
          </w:pPr>
          <w:hyperlink w:anchor="_Toc475974383" w:history="1">
            <w:r w:rsidR="005D5D3E" w:rsidRPr="00DE3537">
              <w:rPr>
                <w:rStyle w:val="Hyperlink"/>
                <w:rFonts w:eastAsiaTheme="majorEastAsia" w:cs="Times New Roman"/>
                <w:bCs/>
                <w:noProof/>
              </w:rPr>
              <w:t>5.1.2 Research Questions</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_Toc475974383 \h </w:instrText>
            </w:r>
            <w:r w:rsidR="005D5D3E" w:rsidRPr="00DE3537">
              <w:rPr>
                <w:noProof/>
                <w:webHidden/>
              </w:rPr>
            </w:r>
            <w:r w:rsidR="005D5D3E" w:rsidRPr="00DE3537">
              <w:rPr>
                <w:noProof/>
                <w:webHidden/>
              </w:rPr>
              <w:fldChar w:fldCharType="separate"/>
            </w:r>
            <w:r w:rsidR="005D5D3E" w:rsidRPr="00DE3537">
              <w:rPr>
                <w:noProof/>
                <w:webHidden/>
              </w:rPr>
              <w:t>127</w:t>
            </w:r>
            <w:r w:rsidR="005D5D3E" w:rsidRPr="00DE3537">
              <w:rPr>
                <w:noProof/>
                <w:webHidden/>
              </w:rPr>
              <w:fldChar w:fldCharType="end"/>
            </w:r>
          </w:hyperlink>
        </w:p>
        <w:p w14:paraId="59548454" w14:textId="77777777" w:rsidR="005D5D3E" w:rsidRPr="00DE3537" w:rsidRDefault="00DA1C42">
          <w:pPr>
            <w:pStyle w:val="TOC3"/>
            <w:rPr>
              <w:noProof/>
            </w:rPr>
          </w:pPr>
          <w:hyperlink w:anchor="_Toc475974384" w:history="1">
            <w:r w:rsidR="005D5D3E" w:rsidRPr="00DE3537">
              <w:rPr>
                <w:rStyle w:val="Hyperlink"/>
                <w:rFonts w:eastAsiaTheme="majorEastAsia" w:cs="Times New Roman"/>
                <w:bCs/>
                <w:noProof/>
              </w:rPr>
              <w:t>5.1.3 Logic Model</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_Toc475974384 \h </w:instrText>
            </w:r>
            <w:r w:rsidR="005D5D3E" w:rsidRPr="00DE3537">
              <w:rPr>
                <w:noProof/>
                <w:webHidden/>
              </w:rPr>
            </w:r>
            <w:r w:rsidR="005D5D3E" w:rsidRPr="00DE3537">
              <w:rPr>
                <w:noProof/>
                <w:webHidden/>
              </w:rPr>
              <w:fldChar w:fldCharType="separate"/>
            </w:r>
            <w:r w:rsidR="005D5D3E" w:rsidRPr="00DE3537">
              <w:rPr>
                <w:noProof/>
                <w:webHidden/>
              </w:rPr>
              <w:t>127</w:t>
            </w:r>
            <w:r w:rsidR="005D5D3E" w:rsidRPr="00DE3537">
              <w:rPr>
                <w:noProof/>
                <w:webHidden/>
              </w:rPr>
              <w:fldChar w:fldCharType="end"/>
            </w:r>
          </w:hyperlink>
        </w:p>
        <w:p w14:paraId="1A658254" w14:textId="77777777" w:rsidR="005D5D3E" w:rsidRPr="00DE3537" w:rsidRDefault="00DA1C42">
          <w:pPr>
            <w:pStyle w:val="TOC3"/>
            <w:rPr>
              <w:noProof/>
            </w:rPr>
          </w:pPr>
          <w:hyperlink w:anchor="_Toc475974385" w:history="1">
            <w:r w:rsidR="005D5D3E" w:rsidRPr="00DE3537">
              <w:rPr>
                <w:rStyle w:val="Hyperlink"/>
                <w:rFonts w:eastAsiaTheme="majorEastAsia" w:cs="Times New Roman"/>
                <w:bCs/>
                <w:noProof/>
              </w:rPr>
              <w:t>5.1.4 General Methods</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_Toc475974385 \h </w:instrText>
            </w:r>
            <w:r w:rsidR="005D5D3E" w:rsidRPr="00DE3537">
              <w:rPr>
                <w:noProof/>
                <w:webHidden/>
              </w:rPr>
            </w:r>
            <w:r w:rsidR="005D5D3E" w:rsidRPr="00DE3537">
              <w:rPr>
                <w:noProof/>
                <w:webHidden/>
              </w:rPr>
              <w:fldChar w:fldCharType="separate"/>
            </w:r>
            <w:r w:rsidR="005D5D3E" w:rsidRPr="00DE3537">
              <w:rPr>
                <w:noProof/>
                <w:webHidden/>
              </w:rPr>
              <w:t>130</w:t>
            </w:r>
            <w:r w:rsidR="005D5D3E" w:rsidRPr="00DE3537">
              <w:rPr>
                <w:noProof/>
                <w:webHidden/>
              </w:rPr>
              <w:fldChar w:fldCharType="end"/>
            </w:r>
          </w:hyperlink>
        </w:p>
        <w:p w14:paraId="43459500" w14:textId="77777777" w:rsidR="005D5D3E" w:rsidRPr="00DE3537" w:rsidRDefault="00DA1C42">
          <w:pPr>
            <w:pStyle w:val="TOC2"/>
            <w:rPr>
              <w:noProof/>
            </w:rPr>
          </w:pPr>
          <w:hyperlink w:anchor="_Toc475974386" w:history="1">
            <w:r w:rsidR="005D5D3E" w:rsidRPr="00DE3537">
              <w:rPr>
                <w:rStyle w:val="Hyperlink"/>
                <w:rFonts w:cs="Times New Roman"/>
                <w:noProof/>
              </w:rPr>
              <w:t>5.2 Section 1: Process data collected from the intervention arm of the trial</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_Toc475974386 \h </w:instrText>
            </w:r>
            <w:r w:rsidR="005D5D3E" w:rsidRPr="00DE3537">
              <w:rPr>
                <w:noProof/>
                <w:webHidden/>
              </w:rPr>
            </w:r>
            <w:r w:rsidR="005D5D3E" w:rsidRPr="00DE3537">
              <w:rPr>
                <w:noProof/>
                <w:webHidden/>
              </w:rPr>
              <w:fldChar w:fldCharType="separate"/>
            </w:r>
            <w:r w:rsidR="005D5D3E" w:rsidRPr="00DE3537">
              <w:rPr>
                <w:noProof/>
                <w:webHidden/>
              </w:rPr>
              <w:t>131</w:t>
            </w:r>
            <w:r w:rsidR="005D5D3E" w:rsidRPr="00DE3537">
              <w:rPr>
                <w:noProof/>
                <w:webHidden/>
              </w:rPr>
              <w:fldChar w:fldCharType="end"/>
            </w:r>
          </w:hyperlink>
        </w:p>
        <w:p w14:paraId="5F71FB96" w14:textId="77777777" w:rsidR="005D5D3E" w:rsidRPr="00DE3537" w:rsidRDefault="00DA1C42">
          <w:pPr>
            <w:pStyle w:val="TOC3"/>
            <w:rPr>
              <w:noProof/>
            </w:rPr>
          </w:pPr>
          <w:hyperlink w:anchor="_Toc475974387" w:history="1">
            <w:r w:rsidR="005D5D3E" w:rsidRPr="00DE3537">
              <w:rPr>
                <w:rStyle w:val="Hyperlink"/>
                <w:rFonts w:cs="Times New Roman"/>
                <w:noProof/>
              </w:rPr>
              <w:t>5.2.1 Methods</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_Toc475974387 \h </w:instrText>
            </w:r>
            <w:r w:rsidR="005D5D3E" w:rsidRPr="00DE3537">
              <w:rPr>
                <w:noProof/>
                <w:webHidden/>
              </w:rPr>
            </w:r>
            <w:r w:rsidR="005D5D3E" w:rsidRPr="00DE3537">
              <w:rPr>
                <w:noProof/>
                <w:webHidden/>
              </w:rPr>
              <w:fldChar w:fldCharType="separate"/>
            </w:r>
            <w:r w:rsidR="005D5D3E" w:rsidRPr="00DE3537">
              <w:rPr>
                <w:noProof/>
                <w:webHidden/>
              </w:rPr>
              <w:t>131</w:t>
            </w:r>
            <w:r w:rsidR="005D5D3E" w:rsidRPr="00DE3537">
              <w:rPr>
                <w:noProof/>
                <w:webHidden/>
              </w:rPr>
              <w:fldChar w:fldCharType="end"/>
            </w:r>
          </w:hyperlink>
        </w:p>
        <w:p w14:paraId="32CD9A7C" w14:textId="77777777" w:rsidR="005D5D3E" w:rsidRPr="00DE3537" w:rsidRDefault="00DA1C42">
          <w:pPr>
            <w:pStyle w:val="TOC3"/>
            <w:rPr>
              <w:noProof/>
            </w:rPr>
          </w:pPr>
          <w:hyperlink w:anchor="_Toc475974388" w:history="1">
            <w:r w:rsidR="005D5D3E" w:rsidRPr="00DE3537">
              <w:rPr>
                <w:rStyle w:val="Hyperlink"/>
                <w:rFonts w:eastAsiaTheme="majorEastAsia" w:cs="Times New Roman"/>
                <w:noProof/>
              </w:rPr>
              <w:t>5.2.2 Results</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_Toc475974388 \h </w:instrText>
            </w:r>
            <w:r w:rsidR="005D5D3E" w:rsidRPr="00DE3537">
              <w:rPr>
                <w:noProof/>
                <w:webHidden/>
              </w:rPr>
            </w:r>
            <w:r w:rsidR="005D5D3E" w:rsidRPr="00DE3537">
              <w:rPr>
                <w:noProof/>
                <w:webHidden/>
              </w:rPr>
              <w:fldChar w:fldCharType="separate"/>
            </w:r>
            <w:r w:rsidR="005D5D3E" w:rsidRPr="00DE3537">
              <w:rPr>
                <w:noProof/>
                <w:webHidden/>
              </w:rPr>
              <w:t>136</w:t>
            </w:r>
            <w:r w:rsidR="005D5D3E" w:rsidRPr="00DE3537">
              <w:rPr>
                <w:noProof/>
                <w:webHidden/>
              </w:rPr>
              <w:fldChar w:fldCharType="end"/>
            </w:r>
          </w:hyperlink>
        </w:p>
        <w:p w14:paraId="14AC5D98" w14:textId="77777777" w:rsidR="005D5D3E" w:rsidRPr="00DE3537" w:rsidRDefault="00DA1C42">
          <w:pPr>
            <w:pStyle w:val="TOC3"/>
            <w:rPr>
              <w:noProof/>
            </w:rPr>
          </w:pPr>
          <w:hyperlink w:anchor="_Toc475974389" w:history="1">
            <w:r w:rsidR="005D5D3E" w:rsidRPr="00DE3537">
              <w:rPr>
                <w:rStyle w:val="Hyperlink"/>
                <w:rFonts w:eastAsiaTheme="majorEastAsia" w:cstheme="majorBidi"/>
                <w:bCs/>
                <w:noProof/>
              </w:rPr>
              <w:t>5.2.3 Summary</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_Toc475974389 \h </w:instrText>
            </w:r>
            <w:r w:rsidR="005D5D3E" w:rsidRPr="00DE3537">
              <w:rPr>
                <w:noProof/>
                <w:webHidden/>
              </w:rPr>
            </w:r>
            <w:r w:rsidR="005D5D3E" w:rsidRPr="00DE3537">
              <w:rPr>
                <w:noProof/>
                <w:webHidden/>
              </w:rPr>
              <w:fldChar w:fldCharType="separate"/>
            </w:r>
            <w:r w:rsidR="005D5D3E" w:rsidRPr="00DE3537">
              <w:rPr>
                <w:noProof/>
                <w:webHidden/>
              </w:rPr>
              <w:t>155</w:t>
            </w:r>
            <w:r w:rsidR="005D5D3E" w:rsidRPr="00DE3537">
              <w:rPr>
                <w:noProof/>
                <w:webHidden/>
              </w:rPr>
              <w:fldChar w:fldCharType="end"/>
            </w:r>
          </w:hyperlink>
        </w:p>
        <w:p w14:paraId="338F3BD4" w14:textId="77777777" w:rsidR="005D5D3E" w:rsidRPr="00DE3537" w:rsidRDefault="00DA1C42">
          <w:pPr>
            <w:pStyle w:val="TOC2"/>
            <w:rPr>
              <w:noProof/>
            </w:rPr>
          </w:pPr>
          <w:hyperlink w:anchor="_Toc475974390" w:history="1">
            <w:r w:rsidR="005D5D3E" w:rsidRPr="00DE3537">
              <w:rPr>
                <w:rStyle w:val="Hyperlink"/>
                <w:rFonts w:eastAsia="Times New Roman" w:cs="Times New Roman"/>
                <w:bCs/>
                <w:noProof/>
              </w:rPr>
              <w:t>5.3 Section 2: Mediation Analyses</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_Toc475974390 \h </w:instrText>
            </w:r>
            <w:r w:rsidR="005D5D3E" w:rsidRPr="00DE3537">
              <w:rPr>
                <w:noProof/>
                <w:webHidden/>
              </w:rPr>
            </w:r>
            <w:r w:rsidR="005D5D3E" w:rsidRPr="00DE3537">
              <w:rPr>
                <w:noProof/>
                <w:webHidden/>
              </w:rPr>
              <w:fldChar w:fldCharType="separate"/>
            </w:r>
            <w:r w:rsidR="005D5D3E" w:rsidRPr="00DE3537">
              <w:rPr>
                <w:noProof/>
                <w:webHidden/>
              </w:rPr>
              <w:t>156</w:t>
            </w:r>
            <w:r w:rsidR="005D5D3E" w:rsidRPr="00DE3537">
              <w:rPr>
                <w:noProof/>
                <w:webHidden/>
              </w:rPr>
              <w:fldChar w:fldCharType="end"/>
            </w:r>
          </w:hyperlink>
        </w:p>
        <w:p w14:paraId="18F702EB" w14:textId="77777777" w:rsidR="005D5D3E" w:rsidRPr="00DE3537" w:rsidRDefault="00DA1C42">
          <w:pPr>
            <w:pStyle w:val="TOC3"/>
            <w:rPr>
              <w:noProof/>
            </w:rPr>
          </w:pPr>
          <w:hyperlink w:anchor="_Toc475974391" w:history="1">
            <w:r w:rsidR="005D5D3E" w:rsidRPr="00DE3537">
              <w:rPr>
                <w:rStyle w:val="Hyperlink"/>
                <w:rFonts w:eastAsia="Calibri" w:cs="Times New Roman"/>
                <w:noProof/>
              </w:rPr>
              <w:t>5.3.1 Background</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_Toc475974391 \h </w:instrText>
            </w:r>
            <w:r w:rsidR="005D5D3E" w:rsidRPr="00DE3537">
              <w:rPr>
                <w:noProof/>
                <w:webHidden/>
              </w:rPr>
            </w:r>
            <w:r w:rsidR="005D5D3E" w:rsidRPr="00DE3537">
              <w:rPr>
                <w:noProof/>
                <w:webHidden/>
              </w:rPr>
              <w:fldChar w:fldCharType="separate"/>
            </w:r>
            <w:r w:rsidR="005D5D3E" w:rsidRPr="00DE3537">
              <w:rPr>
                <w:noProof/>
                <w:webHidden/>
              </w:rPr>
              <w:t>156</w:t>
            </w:r>
            <w:r w:rsidR="005D5D3E" w:rsidRPr="00DE3537">
              <w:rPr>
                <w:noProof/>
                <w:webHidden/>
              </w:rPr>
              <w:fldChar w:fldCharType="end"/>
            </w:r>
          </w:hyperlink>
        </w:p>
        <w:p w14:paraId="5737AF1C" w14:textId="77777777" w:rsidR="005D5D3E" w:rsidRPr="00DE3537" w:rsidRDefault="00DA1C42">
          <w:pPr>
            <w:pStyle w:val="TOC3"/>
            <w:rPr>
              <w:noProof/>
            </w:rPr>
          </w:pPr>
          <w:hyperlink w:anchor="_Toc475974392" w:history="1">
            <w:r w:rsidR="005D5D3E" w:rsidRPr="00DE3537">
              <w:rPr>
                <w:rStyle w:val="Hyperlink"/>
                <w:rFonts w:eastAsia="Calibri" w:cs="Times New Roman"/>
                <w:noProof/>
              </w:rPr>
              <w:t>5.3.2 Methods</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_Toc475974392 \h </w:instrText>
            </w:r>
            <w:r w:rsidR="005D5D3E" w:rsidRPr="00DE3537">
              <w:rPr>
                <w:noProof/>
                <w:webHidden/>
              </w:rPr>
            </w:r>
            <w:r w:rsidR="005D5D3E" w:rsidRPr="00DE3537">
              <w:rPr>
                <w:noProof/>
                <w:webHidden/>
              </w:rPr>
              <w:fldChar w:fldCharType="separate"/>
            </w:r>
            <w:r w:rsidR="005D5D3E" w:rsidRPr="00DE3537">
              <w:rPr>
                <w:noProof/>
                <w:webHidden/>
              </w:rPr>
              <w:t>157</w:t>
            </w:r>
            <w:r w:rsidR="005D5D3E" w:rsidRPr="00DE3537">
              <w:rPr>
                <w:noProof/>
                <w:webHidden/>
              </w:rPr>
              <w:fldChar w:fldCharType="end"/>
            </w:r>
          </w:hyperlink>
        </w:p>
        <w:p w14:paraId="0E45B8CA" w14:textId="77777777" w:rsidR="005D5D3E" w:rsidRPr="00DE3537" w:rsidRDefault="00DA1C42">
          <w:pPr>
            <w:pStyle w:val="TOC3"/>
            <w:rPr>
              <w:noProof/>
            </w:rPr>
          </w:pPr>
          <w:hyperlink w:anchor="_Toc475974393" w:history="1">
            <w:r w:rsidR="005D5D3E" w:rsidRPr="00DE3537">
              <w:rPr>
                <w:rStyle w:val="Hyperlink"/>
                <w:rFonts w:eastAsia="Times New Roman" w:cs="Times New Roman"/>
                <w:noProof/>
              </w:rPr>
              <w:t>5.3.3 Results</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_Toc475974393 \h </w:instrText>
            </w:r>
            <w:r w:rsidR="005D5D3E" w:rsidRPr="00DE3537">
              <w:rPr>
                <w:noProof/>
                <w:webHidden/>
              </w:rPr>
            </w:r>
            <w:r w:rsidR="005D5D3E" w:rsidRPr="00DE3537">
              <w:rPr>
                <w:noProof/>
                <w:webHidden/>
              </w:rPr>
              <w:fldChar w:fldCharType="separate"/>
            </w:r>
            <w:r w:rsidR="005D5D3E" w:rsidRPr="00DE3537">
              <w:rPr>
                <w:noProof/>
                <w:webHidden/>
              </w:rPr>
              <w:t>161</w:t>
            </w:r>
            <w:r w:rsidR="005D5D3E" w:rsidRPr="00DE3537">
              <w:rPr>
                <w:noProof/>
                <w:webHidden/>
              </w:rPr>
              <w:fldChar w:fldCharType="end"/>
            </w:r>
          </w:hyperlink>
        </w:p>
        <w:p w14:paraId="23CEDB47" w14:textId="77777777" w:rsidR="005D5D3E" w:rsidRPr="00DE3537" w:rsidRDefault="00DA1C42">
          <w:pPr>
            <w:pStyle w:val="TOC3"/>
            <w:rPr>
              <w:noProof/>
            </w:rPr>
          </w:pPr>
          <w:hyperlink w:anchor="_Toc475974394" w:history="1">
            <w:r w:rsidR="005D5D3E" w:rsidRPr="00DE3537">
              <w:rPr>
                <w:rStyle w:val="Hyperlink"/>
                <w:rFonts w:eastAsia="Times New Roman" w:cs="Times New Roman"/>
                <w:noProof/>
              </w:rPr>
              <w:t>5.3.4 Summary</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_Toc475974394 \h </w:instrText>
            </w:r>
            <w:r w:rsidR="005D5D3E" w:rsidRPr="00DE3537">
              <w:rPr>
                <w:noProof/>
                <w:webHidden/>
              </w:rPr>
            </w:r>
            <w:r w:rsidR="005D5D3E" w:rsidRPr="00DE3537">
              <w:rPr>
                <w:noProof/>
                <w:webHidden/>
              </w:rPr>
              <w:fldChar w:fldCharType="separate"/>
            </w:r>
            <w:r w:rsidR="005D5D3E" w:rsidRPr="00DE3537">
              <w:rPr>
                <w:noProof/>
                <w:webHidden/>
              </w:rPr>
              <w:t>168</w:t>
            </w:r>
            <w:r w:rsidR="005D5D3E" w:rsidRPr="00DE3537">
              <w:rPr>
                <w:noProof/>
                <w:webHidden/>
              </w:rPr>
              <w:fldChar w:fldCharType="end"/>
            </w:r>
          </w:hyperlink>
        </w:p>
        <w:p w14:paraId="51BEE79E" w14:textId="77777777" w:rsidR="005D5D3E" w:rsidRPr="00DE3537" w:rsidRDefault="00DA1C42">
          <w:pPr>
            <w:pStyle w:val="TOC2"/>
            <w:rPr>
              <w:noProof/>
            </w:rPr>
          </w:pPr>
          <w:hyperlink w:anchor="_Toc475974395" w:history="1">
            <w:r w:rsidR="005D5D3E" w:rsidRPr="00DE3537">
              <w:rPr>
                <w:rStyle w:val="Hyperlink"/>
                <w:rFonts w:eastAsiaTheme="majorEastAsia" w:cstheme="minorHAnsi"/>
                <w:bCs/>
                <w:noProof/>
              </w:rPr>
              <w:t>5.4 Conclusions from the Process evaluation</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_Toc475974395 \h </w:instrText>
            </w:r>
            <w:r w:rsidR="005D5D3E" w:rsidRPr="00DE3537">
              <w:rPr>
                <w:noProof/>
                <w:webHidden/>
              </w:rPr>
            </w:r>
            <w:r w:rsidR="005D5D3E" w:rsidRPr="00DE3537">
              <w:rPr>
                <w:noProof/>
                <w:webHidden/>
              </w:rPr>
              <w:fldChar w:fldCharType="separate"/>
            </w:r>
            <w:r w:rsidR="005D5D3E" w:rsidRPr="00DE3537">
              <w:rPr>
                <w:noProof/>
                <w:webHidden/>
              </w:rPr>
              <w:t>169</w:t>
            </w:r>
            <w:r w:rsidR="005D5D3E" w:rsidRPr="00DE3537">
              <w:rPr>
                <w:noProof/>
                <w:webHidden/>
              </w:rPr>
              <w:fldChar w:fldCharType="end"/>
            </w:r>
          </w:hyperlink>
        </w:p>
        <w:p w14:paraId="23C8746A" w14:textId="77777777" w:rsidR="005D5D3E" w:rsidRPr="00DE3537" w:rsidRDefault="00DA1C42">
          <w:pPr>
            <w:pStyle w:val="TOC1"/>
            <w:rPr>
              <w:noProof/>
            </w:rPr>
          </w:pPr>
          <w:hyperlink w:anchor="_Toc475974396" w:history="1">
            <w:r w:rsidR="005D5D3E" w:rsidRPr="00DE3537">
              <w:rPr>
                <w:rStyle w:val="Hyperlink"/>
                <w:noProof/>
              </w:rPr>
              <w:t>Chapter 6 Discussion and Conclusions</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_Toc475974396 \h </w:instrText>
            </w:r>
            <w:r w:rsidR="005D5D3E" w:rsidRPr="00DE3537">
              <w:rPr>
                <w:noProof/>
                <w:webHidden/>
              </w:rPr>
            </w:r>
            <w:r w:rsidR="005D5D3E" w:rsidRPr="00DE3537">
              <w:rPr>
                <w:noProof/>
                <w:webHidden/>
              </w:rPr>
              <w:fldChar w:fldCharType="separate"/>
            </w:r>
            <w:r w:rsidR="005D5D3E" w:rsidRPr="00DE3537">
              <w:rPr>
                <w:noProof/>
                <w:webHidden/>
              </w:rPr>
              <w:t>170</w:t>
            </w:r>
            <w:r w:rsidR="005D5D3E" w:rsidRPr="00DE3537">
              <w:rPr>
                <w:noProof/>
                <w:webHidden/>
              </w:rPr>
              <w:fldChar w:fldCharType="end"/>
            </w:r>
          </w:hyperlink>
        </w:p>
        <w:p w14:paraId="5C26BC15" w14:textId="77777777" w:rsidR="005D5D3E" w:rsidRPr="00DE3537" w:rsidRDefault="00DA1C42">
          <w:pPr>
            <w:pStyle w:val="TOC2"/>
            <w:rPr>
              <w:noProof/>
            </w:rPr>
          </w:pPr>
          <w:hyperlink w:anchor="_Toc475974397" w:history="1">
            <w:r w:rsidR="005D5D3E" w:rsidRPr="00DE3537">
              <w:rPr>
                <w:rStyle w:val="Hyperlink"/>
                <w:rFonts w:cstheme="minorHAnsi"/>
                <w:noProof/>
              </w:rPr>
              <w:t>6.1 Summary of findings</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_Toc475974397 \h </w:instrText>
            </w:r>
            <w:r w:rsidR="005D5D3E" w:rsidRPr="00DE3537">
              <w:rPr>
                <w:noProof/>
                <w:webHidden/>
              </w:rPr>
            </w:r>
            <w:r w:rsidR="005D5D3E" w:rsidRPr="00DE3537">
              <w:rPr>
                <w:noProof/>
                <w:webHidden/>
              </w:rPr>
              <w:fldChar w:fldCharType="separate"/>
            </w:r>
            <w:r w:rsidR="005D5D3E" w:rsidRPr="00DE3537">
              <w:rPr>
                <w:noProof/>
                <w:webHidden/>
              </w:rPr>
              <w:t>170</w:t>
            </w:r>
            <w:r w:rsidR="005D5D3E" w:rsidRPr="00DE3537">
              <w:rPr>
                <w:noProof/>
                <w:webHidden/>
              </w:rPr>
              <w:fldChar w:fldCharType="end"/>
            </w:r>
          </w:hyperlink>
        </w:p>
        <w:p w14:paraId="550A4699" w14:textId="77777777" w:rsidR="005D5D3E" w:rsidRPr="00DE3537" w:rsidRDefault="00DA1C42">
          <w:pPr>
            <w:pStyle w:val="TOC2"/>
            <w:rPr>
              <w:noProof/>
            </w:rPr>
          </w:pPr>
          <w:hyperlink w:anchor="_Toc475974398" w:history="1">
            <w:r w:rsidR="005D5D3E" w:rsidRPr="00DE3537">
              <w:rPr>
                <w:rStyle w:val="Hyperlink"/>
                <w:rFonts w:cs="Times New Roman"/>
                <w:noProof/>
              </w:rPr>
              <w:t>6.2 Comparison with other studies</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_Toc475974398 \h </w:instrText>
            </w:r>
            <w:r w:rsidR="005D5D3E" w:rsidRPr="00DE3537">
              <w:rPr>
                <w:noProof/>
                <w:webHidden/>
              </w:rPr>
            </w:r>
            <w:r w:rsidR="005D5D3E" w:rsidRPr="00DE3537">
              <w:rPr>
                <w:noProof/>
                <w:webHidden/>
              </w:rPr>
              <w:fldChar w:fldCharType="separate"/>
            </w:r>
            <w:r w:rsidR="005D5D3E" w:rsidRPr="00DE3537">
              <w:rPr>
                <w:noProof/>
                <w:webHidden/>
              </w:rPr>
              <w:t>170</w:t>
            </w:r>
            <w:r w:rsidR="005D5D3E" w:rsidRPr="00DE3537">
              <w:rPr>
                <w:noProof/>
                <w:webHidden/>
              </w:rPr>
              <w:fldChar w:fldCharType="end"/>
            </w:r>
          </w:hyperlink>
        </w:p>
        <w:p w14:paraId="064334AD" w14:textId="77777777" w:rsidR="005D5D3E" w:rsidRPr="00DE3537" w:rsidRDefault="00DA1C42">
          <w:pPr>
            <w:pStyle w:val="TOC2"/>
            <w:rPr>
              <w:noProof/>
            </w:rPr>
          </w:pPr>
          <w:hyperlink w:anchor="_Toc475974399" w:history="1">
            <w:r w:rsidR="005D5D3E" w:rsidRPr="00DE3537">
              <w:rPr>
                <w:rStyle w:val="Hyperlink"/>
                <w:rFonts w:cs="Arial"/>
                <w:noProof/>
              </w:rPr>
              <w:t>6.3 Understanding the lack of effectiveness</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_Toc475974399 \h </w:instrText>
            </w:r>
            <w:r w:rsidR="005D5D3E" w:rsidRPr="00DE3537">
              <w:rPr>
                <w:noProof/>
                <w:webHidden/>
              </w:rPr>
            </w:r>
            <w:r w:rsidR="005D5D3E" w:rsidRPr="00DE3537">
              <w:rPr>
                <w:noProof/>
                <w:webHidden/>
              </w:rPr>
              <w:fldChar w:fldCharType="separate"/>
            </w:r>
            <w:r w:rsidR="005D5D3E" w:rsidRPr="00DE3537">
              <w:rPr>
                <w:noProof/>
                <w:webHidden/>
              </w:rPr>
              <w:t>171</w:t>
            </w:r>
            <w:r w:rsidR="005D5D3E" w:rsidRPr="00DE3537">
              <w:rPr>
                <w:noProof/>
                <w:webHidden/>
              </w:rPr>
              <w:fldChar w:fldCharType="end"/>
            </w:r>
          </w:hyperlink>
        </w:p>
        <w:p w14:paraId="5B488333" w14:textId="77777777" w:rsidR="005D5D3E" w:rsidRPr="00DE3537" w:rsidRDefault="00DA1C42">
          <w:pPr>
            <w:pStyle w:val="TOC2"/>
            <w:rPr>
              <w:noProof/>
            </w:rPr>
          </w:pPr>
          <w:hyperlink w:anchor="_Toc475974400" w:history="1">
            <w:r w:rsidR="005D5D3E" w:rsidRPr="00DE3537">
              <w:rPr>
                <w:rStyle w:val="Hyperlink"/>
                <w:noProof/>
              </w:rPr>
              <w:t>6.4 Trial strengths and limitations</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_Toc475974400 \h </w:instrText>
            </w:r>
            <w:r w:rsidR="005D5D3E" w:rsidRPr="00DE3537">
              <w:rPr>
                <w:noProof/>
                <w:webHidden/>
              </w:rPr>
            </w:r>
            <w:r w:rsidR="005D5D3E" w:rsidRPr="00DE3537">
              <w:rPr>
                <w:noProof/>
                <w:webHidden/>
              </w:rPr>
              <w:fldChar w:fldCharType="separate"/>
            </w:r>
            <w:r w:rsidR="005D5D3E" w:rsidRPr="00DE3537">
              <w:rPr>
                <w:noProof/>
                <w:webHidden/>
              </w:rPr>
              <w:t>174</w:t>
            </w:r>
            <w:r w:rsidR="005D5D3E" w:rsidRPr="00DE3537">
              <w:rPr>
                <w:noProof/>
                <w:webHidden/>
              </w:rPr>
              <w:fldChar w:fldCharType="end"/>
            </w:r>
          </w:hyperlink>
        </w:p>
        <w:p w14:paraId="07DE17C5" w14:textId="77777777" w:rsidR="005D5D3E" w:rsidRPr="00DE3537" w:rsidRDefault="00DA1C42">
          <w:pPr>
            <w:pStyle w:val="TOC2"/>
            <w:rPr>
              <w:noProof/>
            </w:rPr>
          </w:pPr>
          <w:hyperlink w:anchor="_Toc475974401" w:history="1">
            <w:r w:rsidR="005D5D3E" w:rsidRPr="00DE3537">
              <w:rPr>
                <w:rStyle w:val="Hyperlink"/>
                <w:rFonts w:cs="Times New Roman"/>
                <w:noProof/>
              </w:rPr>
              <w:t>6.5 Research recommendations</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_Toc475974401 \h </w:instrText>
            </w:r>
            <w:r w:rsidR="005D5D3E" w:rsidRPr="00DE3537">
              <w:rPr>
                <w:noProof/>
                <w:webHidden/>
              </w:rPr>
            </w:r>
            <w:r w:rsidR="005D5D3E" w:rsidRPr="00DE3537">
              <w:rPr>
                <w:noProof/>
                <w:webHidden/>
              </w:rPr>
              <w:fldChar w:fldCharType="separate"/>
            </w:r>
            <w:r w:rsidR="005D5D3E" w:rsidRPr="00DE3537">
              <w:rPr>
                <w:noProof/>
                <w:webHidden/>
              </w:rPr>
              <w:t>175</w:t>
            </w:r>
            <w:r w:rsidR="005D5D3E" w:rsidRPr="00DE3537">
              <w:rPr>
                <w:noProof/>
                <w:webHidden/>
              </w:rPr>
              <w:fldChar w:fldCharType="end"/>
            </w:r>
          </w:hyperlink>
        </w:p>
        <w:p w14:paraId="6E4284AE" w14:textId="77777777" w:rsidR="005D5D3E" w:rsidRPr="00DE3537" w:rsidRDefault="00DA1C42">
          <w:pPr>
            <w:pStyle w:val="TOC2"/>
            <w:rPr>
              <w:noProof/>
            </w:rPr>
          </w:pPr>
          <w:hyperlink w:anchor="_Toc475974402" w:history="1">
            <w:r w:rsidR="005D5D3E" w:rsidRPr="00DE3537">
              <w:rPr>
                <w:rStyle w:val="Hyperlink"/>
                <w:rFonts w:cs="Times New Roman"/>
                <w:noProof/>
              </w:rPr>
              <w:t>6.6 Conclusions</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_Toc475974402 \h </w:instrText>
            </w:r>
            <w:r w:rsidR="005D5D3E" w:rsidRPr="00DE3537">
              <w:rPr>
                <w:noProof/>
                <w:webHidden/>
              </w:rPr>
            </w:r>
            <w:r w:rsidR="005D5D3E" w:rsidRPr="00DE3537">
              <w:rPr>
                <w:noProof/>
                <w:webHidden/>
              </w:rPr>
              <w:fldChar w:fldCharType="separate"/>
            </w:r>
            <w:r w:rsidR="005D5D3E" w:rsidRPr="00DE3537">
              <w:rPr>
                <w:noProof/>
                <w:webHidden/>
              </w:rPr>
              <w:t>176</w:t>
            </w:r>
            <w:r w:rsidR="005D5D3E" w:rsidRPr="00DE3537">
              <w:rPr>
                <w:noProof/>
                <w:webHidden/>
              </w:rPr>
              <w:fldChar w:fldCharType="end"/>
            </w:r>
          </w:hyperlink>
        </w:p>
        <w:p w14:paraId="08E8F62F" w14:textId="77777777" w:rsidR="005D5D3E" w:rsidRPr="00DE3537" w:rsidRDefault="00DA1C42">
          <w:pPr>
            <w:pStyle w:val="TOC1"/>
            <w:rPr>
              <w:noProof/>
            </w:rPr>
          </w:pPr>
          <w:hyperlink w:anchor="_Toc475974403" w:history="1">
            <w:r w:rsidR="005D5D3E" w:rsidRPr="00DE3537">
              <w:rPr>
                <w:rStyle w:val="Hyperlink"/>
                <w:noProof/>
              </w:rPr>
              <w:t>Acknowledgements</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_Toc475974403 \h </w:instrText>
            </w:r>
            <w:r w:rsidR="005D5D3E" w:rsidRPr="00DE3537">
              <w:rPr>
                <w:noProof/>
                <w:webHidden/>
              </w:rPr>
            </w:r>
            <w:r w:rsidR="005D5D3E" w:rsidRPr="00DE3537">
              <w:rPr>
                <w:noProof/>
                <w:webHidden/>
              </w:rPr>
              <w:fldChar w:fldCharType="separate"/>
            </w:r>
            <w:r w:rsidR="005D5D3E" w:rsidRPr="00DE3537">
              <w:rPr>
                <w:noProof/>
                <w:webHidden/>
              </w:rPr>
              <w:t>178</w:t>
            </w:r>
            <w:r w:rsidR="005D5D3E" w:rsidRPr="00DE3537">
              <w:rPr>
                <w:noProof/>
                <w:webHidden/>
              </w:rPr>
              <w:fldChar w:fldCharType="end"/>
            </w:r>
          </w:hyperlink>
        </w:p>
        <w:p w14:paraId="6C391CFF" w14:textId="77777777" w:rsidR="005D5D3E" w:rsidRPr="00DE3537" w:rsidRDefault="00DA1C42">
          <w:pPr>
            <w:pStyle w:val="TOC1"/>
            <w:rPr>
              <w:noProof/>
            </w:rPr>
          </w:pPr>
          <w:hyperlink w:anchor="_Toc475974404" w:history="1">
            <w:r w:rsidR="005D5D3E" w:rsidRPr="00DE3537">
              <w:rPr>
                <w:rStyle w:val="Hyperlink"/>
                <w:noProof/>
              </w:rPr>
              <w:t>Trial Registration and ethics approval</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_Toc475974404 \h </w:instrText>
            </w:r>
            <w:r w:rsidR="005D5D3E" w:rsidRPr="00DE3537">
              <w:rPr>
                <w:noProof/>
                <w:webHidden/>
              </w:rPr>
            </w:r>
            <w:r w:rsidR="005D5D3E" w:rsidRPr="00DE3537">
              <w:rPr>
                <w:noProof/>
                <w:webHidden/>
              </w:rPr>
              <w:fldChar w:fldCharType="separate"/>
            </w:r>
            <w:r w:rsidR="005D5D3E" w:rsidRPr="00DE3537">
              <w:rPr>
                <w:noProof/>
                <w:webHidden/>
              </w:rPr>
              <w:t>178</w:t>
            </w:r>
            <w:r w:rsidR="005D5D3E" w:rsidRPr="00DE3537">
              <w:rPr>
                <w:noProof/>
                <w:webHidden/>
              </w:rPr>
              <w:fldChar w:fldCharType="end"/>
            </w:r>
          </w:hyperlink>
        </w:p>
        <w:p w14:paraId="661A5E1E" w14:textId="77777777" w:rsidR="005D5D3E" w:rsidRPr="00DE3537" w:rsidRDefault="00DA1C42">
          <w:pPr>
            <w:pStyle w:val="TOC1"/>
            <w:rPr>
              <w:noProof/>
            </w:rPr>
          </w:pPr>
          <w:hyperlink w:anchor="_Toc475974405" w:history="1">
            <w:r w:rsidR="005D5D3E" w:rsidRPr="00DE3537">
              <w:rPr>
                <w:rStyle w:val="Hyperlink"/>
                <w:noProof/>
              </w:rPr>
              <w:t>Funding</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_Toc475974405 \h </w:instrText>
            </w:r>
            <w:r w:rsidR="005D5D3E" w:rsidRPr="00DE3537">
              <w:rPr>
                <w:noProof/>
                <w:webHidden/>
              </w:rPr>
            </w:r>
            <w:r w:rsidR="005D5D3E" w:rsidRPr="00DE3537">
              <w:rPr>
                <w:noProof/>
                <w:webHidden/>
              </w:rPr>
              <w:fldChar w:fldCharType="separate"/>
            </w:r>
            <w:r w:rsidR="005D5D3E" w:rsidRPr="00DE3537">
              <w:rPr>
                <w:noProof/>
                <w:webHidden/>
              </w:rPr>
              <w:t>178</w:t>
            </w:r>
            <w:r w:rsidR="005D5D3E" w:rsidRPr="00DE3537">
              <w:rPr>
                <w:noProof/>
                <w:webHidden/>
              </w:rPr>
              <w:fldChar w:fldCharType="end"/>
            </w:r>
          </w:hyperlink>
        </w:p>
        <w:p w14:paraId="1C998BED" w14:textId="77777777" w:rsidR="005D5D3E" w:rsidRPr="00DE3537" w:rsidRDefault="00DA1C42">
          <w:pPr>
            <w:pStyle w:val="TOC1"/>
            <w:rPr>
              <w:noProof/>
            </w:rPr>
          </w:pPr>
          <w:hyperlink w:anchor="_Toc475974406" w:history="1">
            <w:r w:rsidR="005D5D3E" w:rsidRPr="00DE3537">
              <w:rPr>
                <w:rStyle w:val="Hyperlink"/>
                <w:noProof/>
              </w:rPr>
              <w:t>Contributions of authors</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_Toc475974406 \h </w:instrText>
            </w:r>
            <w:r w:rsidR="005D5D3E" w:rsidRPr="00DE3537">
              <w:rPr>
                <w:noProof/>
                <w:webHidden/>
              </w:rPr>
            </w:r>
            <w:r w:rsidR="005D5D3E" w:rsidRPr="00DE3537">
              <w:rPr>
                <w:noProof/>
                <w:webHidden/>
              </w:rPr>
              <w:fldChar w:fldCharType="separate"/>
            </w:r>
            <w:r w:rsidR="005D5D3E" w:rsidRPr="00DE3537">
              <w:rPr>
                <w:noProof/>
                <w:webHidden/>
              </w:rPr>
              <w:t>179</w:t>
            </w:r>
            <w:r w:rsidR="005D5D3E" w:rsidRPr="00DE3537">
              <w:rPr>
                <w:noProof/>
                <w:webHidden/>
              </w:rPr>
              <w:fldChar w:fldCharType="end"/>
            </w:r>
          </w:hyperlink>
        </w:p>
        <w:p w14:paraId="4999D392" w14:textId="77777777" w:rsidR="005D5D3E" w:rsidRPr="00DE3537" w:rsidRDefault="00DA1C42">
          <w:pPr>
            <w:pStyle w:val="TOC1"/>
            <w:rPr>
              <w:noProof/>
            </w:rPr>
          </w:pPr>
          <w:hyperlink w:anchor="_Toc475974407" w:history="1">
            <w:r w:rsidR="005D5D3E" w:rsidRPr="00DE3537">
              <w:rPr>
                <w:rStyle w:val="Hyperlink"/>
                <w:noProof/>
              </w:rPr>
              <w:t>Data sharing statement</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_Toc475974407 \h </w:instrText>
            </w:r>
            <w:r w:rsidR="005D5D3E" w:rsidRPr="00DE3537">
              <w:rPr>
                <w:noProof/>
                <w:webHidden/>
              </w:rPr>
            </w:r>
            <w:r w:rsidR="005D5D3E" w:rsidRPr="00DE3537">
              <w:rPr>
                <w:noProof/>
                <w:webHidden/>
              </w:rPr>
              <w:fldChar w:fldCharType="separate"/>
            </w:r>
            <w:r w:rsidR="005D5D3E" w:rsidRPr="00DE3537">
              <w:rPr>
                <w:noProof/>
                <w:webHidden/>
              </w:rPr>
              <w:t>181</w:t>
            </w:r>
            <w:r w:rsidR="005D5D3E" w:rsidRPr="00DE3537">
              <w:rPr>
                <w:noProof/>
                <w:webHidden/>
              </w:rPr>
              <w:fldChar w:fldCharType="end"/>
            </w:r>
          </w:hyperlink>
        </w:p>
        <w:p w14:paraId="2D566507" w14:textId="77777777" w:rsidR="005D5D3E" w:rsidRPr="00DE3537" w:rsidRDefault="00DA1C42">
          <w:pPr>
            <w:pStyle w:val="TOC1"/>
            <w:rPr>
              <w:noProof/>
            </w:rPr>
          </w:pPr>
          <w:hyperlink w:anchor="_Toc475974408" w:history="1">
            <w:r w:rsidR="005D5D3E" w:rsidRPr="00DE3537">
              <w:rPr>
                <w:rStyle w:val="Hyperlink"/>
                <w:rFonts w:cs="Arial"/>
                <w:noProof/>
              </w:rPr>
              <w:t>Appendix 1 Trial Steering Committee (TSC)</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_Toc475974408 \h </w:instrText>
            </w:r>
            <w:r w:rsidR="005D5D3E" w:rsidRPr="00DE3537">
              <w:rPr>
                <w:noProof/>
                <w:webHidden/>
              </w:rPr>
            </w:r>
            <w:r w:rsidR="005D5D3E" w:rsidRPr="00DE3537">
              <w:rPr>
                <w:noProof/>
                <w:webHidden/>
              </w:rPr>
              <w:fldChar w:fldCharType="separate"/>
            </w:r>
            <w:r w:rsidR="005D5D3E" w:rsidRPr="00DE3537">
              <w:rPr>
                <w:noProof/>
                <w:webHidden/>
              </w:rPr>
              <w:t>183</w:t>
            </w:r>
            <w:r w:rsidR="005D5D3E" w:rsidRPr="00DE3537">
              <w:rPr>
                <w:noProof/>
                <w:webHidden/>
              </w:rPr>
              <w:fldChar w:fldCharType="end"/>
            </w:r>
          </w:hyperlink>
        </w:p>
        <w:p w14:paraId="666E80FA" w14:textId="77777777" w:rsidR="005D5D3E" w:rsidRPr="00DE3537" w:rsidRDefault="00DA1C42">
          <w:pPr>
            <w:pStyle w:val="TOC1"/>
            <w:rPr>
              <w:noProof/>
            </w:rPr>
          </w:pPr>
          <w:hyperlink w:anchor="_Toc475974409" w:history="1">
            <w:r w:rsidR="005D5D3E" w:rsidRPr="00DE3537">
              <w:rPr>
                <w:rStyle w:val="Hyperlink"/>
                <w:noProof/>
              </w:rPr>
              <w:t>Appendix 2 Food Intake Questionnaires</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_Toc475974409 \h </w:instrText>
            </w:r>
            <w:r w:rsidR="005D5D3E" w:rsidRPr="00DE3537">
              <w:rPr>
                <w:noProof/>
                <w:webHidden/>
              </w:rPr>
            </w:r>
            <w:r w:rsidR="005D5D3E" w:rsidRPr="00DE3537">
              <w:rPr>
                <w:noProof/>
                <w:webHidden/>
              </w:rPr>
              <w:fldChar w:fldCharType="separate"/>
            </w:r>
            <w:r w:rsidR="005D5D3E" w:rsidRPr="00DE3537">
              <w:rPr>
                <w:noProof/>
                <w:webHidden/>
              </w:rPr>
              <w:t>184</w:t>
            </w:r>
            <w:r w:rsidR="005D5D3E" w:rsidRPr="00DE3537">
              <w:rPr>
                <w:noProof/>
                <w:webHidden/>
              </w:rPr>
              <w:fldChar w:fldCharType="end"/>
            </w:r>
          </w:hyperlink>
        </w:p>
        <w:p w14:paraId="3856E2F1" w14:textId="77777777" w:rsidR="005D5D3E" w:rsidRPr="00DE3537" w:rsidRDefault="00DA1C42">
          <w:pPr>
            <w:pStyle w:val="TOC1"/>
            <w:rPr>
              <w:noProof/>
            </w:rPr>
          </w:pPr>
          <w:hyperlink w:anchor="_Toc475974410" w:history="1">
            <w:r w:rsidR="005D5D3E" w:rsidRPr="00DE3537">
              <w:rPr>
                <w:rStyle w:val="Hyperlink"/>
                <w:rFonts w:cs="Arial"/>
                <w:noProof/>
              </w:rPr>
              <w:t>Appendix 3 My Lifestyle Questionnaire</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_Toc475974410 \h </w:instrText>
            </w:r>
            <w:r w:rsidR="005D5D3E" w:rsidRPr="00DE3537">
              <w:rPr>
                <w:noProof/>
                <w:webHidden/>
              </w:rPr>
            </w:r>
            <w:r w:rsidR="005D5D3E" w:rsidRPr="00DE3537">
              <w:rPr>
                <w:noProof/>
                <w:webHidden/>
              </w:rPr>
              <w:fldChar w:fldCharType="separate"/>
            </w:r>
            <w:r w:rsidR="005D5D3E" w:rsidRPr="00DE3537">
              <w:rPr>
                <w:noProof/>
                <w:webHidden/>
              </w:rPr>
              <w:t>198</w:t>
            </w:r>
            <w:r w:rsidR="005D5D3E" w:rsidRPr="00DE3537">
              <w:rPr>
                <w:noProof/>
                <w:webHidden/>
              </w:rPr>
              <w:fldChar w:fldCharType="end"/>
            </w:r>
          </w:hyperlink>
        </w:p>
        <w:p w14:paraId="784D1582" w14:textId="77777777" w:rsidR="005D5D3E" w:rsidRPr="00DE3537" w:rsidRDefault="00DA1C42">
          <w:pPr>
            <w:pStyle w:val="TOC1"/>
            <w:rPr>
              <w:noProof/>
            </w:rPr>
          </w:pPr>
          <w:hyperlink w:anchor="_Toc475974411" w:history="1">
            <w:r w:rsidR="005D5D3E" w:rsidRPr="00DE3537">
              <w:rPr>
                <w:rStyle w:val="Hyperlink"/>
                <w:noProof/>
              </w:rPr>
              <w:t>Appendix 4 School Characteristics and Policy Questionnaire</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_Toc475974411 \h </w:instrText>
            </w:r>
            <w:r w:rsidR="005D5D3E" w:rsidRPr="00DE3537">
              <w:rPr>
                <w:noProof/>
                <w:webHidden/>
              </w:rPr>
            </w:r>
            <w:r w:rsidR="005D5D3E" w:rsidRPr="00DE3537">
              <w:rPr>
                <w:noProof/>
                <w:webHidden/>
              </w:rPr>
              <w:fldChar w:fldCharType="separate"/>
            </w:r>
            <w:r w:rsidR="005D5D3E" w:rsidRPr="00DE3537">
              <w:rPr>
                <w:noProof/>
                <w:webHidden/>
              </w:rPr>
              <w:t>207</w:t>
            </w:r>
            <w:r w:rsidR="005D5D3E" w:rsidRPr="00DE3537">
              <w:rPr>
                <w:noProof/>
                <w:webHidden/>
              </w:rPr>
              <w:fldChar w:fldCharType="end"/>
            </w:r>
          </w:hyperlink>
        </w:p>
        <w:p w14:paraId="403F13E3" w14:textId="77777777" w:rsidR="005D5D3E" w:rsidRPr="00DE3537" w:rsidRDefault="00DA1C42">
          <w:pPr>
            <w:pStyle w:val="TOC1"/>
            <w:rPr>
              <w:noProof/>
            </w:rPr>
          </w:pPr>
          <w:hyperlink w:anchor="_Toc475974412" w:history="1">
            <w:r w:rsidR="005D5D3E" w:rsidRPr="00DE3537">
              <w:rPr>
                <w:rStyle w:val="Hyperlink"/>
                <w:rFonts w:cs="Arial"/>
                <w:noProof/>
              </w:rPr>
              <w:t>Appendix 5 Analysis Plan Amendment document</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_Toc475974412 \h </w:instrText>
            </w:r>
            <w:r w:rsidR="005D5D3E" w:rsidRPr="00DE3537">
              <w:rPr>
                <w:noProof/>
                <w:webHidden/>
              </w:rPr>
            </w:r>
            <w:r w:rsidR="005D5D3E" w:rsidRPr="00DE3537">
              <w:rPr>
                <w:noProof/>
                <w:webHidden/>
              </w:rPr>
              <w:fldChar w:fldCharType="separate"/>
            </w:r>
            <w:r w:rsidR="005D5D3E" w:rsidRPr="00DE3537">
              <w:rPr>
                <w:noProof/>
                <w:webHidden/>
              </w:rPr>
              <w:t>209</w:t>
            </w:r>
            <w:r w:rsidR="005D5D3E" w:rsidRPr="00DE3537">
              <w:rPr>
                <w:noProof/>
                <w:webHidden/>
              </w:rPr>
              <w:fldChar w:fldCharType="end"/>
            </w:r>
          </w:hyperlink>
        </w:p>
        <w:p w14:paraId="4EEAC873" w14:textId="77777777" w:rsidR="005D5D3E" w:rsidRPr="00DE3537" w:rsidRDefault="00DA1C42">
          <w:pPr>
            <w:pStyle w:val="TOC1"/>
            <w:rPr>
              <w:noProof/>
            </w:rPr>
          </w:pPr>
          <w:hyperlink w:anchor="_Toc475974413" w:history="1">
            <w:r w:rsidR="005D5D3E" w:rsidRPr="00DE3537">
              <w:rPr>
                <w:rStyle w:val="Hyperlink"/>
                <w:rFonts w:cs="Arial"/>
                <w:noProof/>
              </w:rPr>
              <w:t>Appendix 6 Group X Time repeated measures model</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_Toc475974413 \h </w:instrText>
            </w:r>
            <w:r w:rsidR="005D5D3E" w:rsidRPr="00DE3537">
              <w:rPr>
                <w:noProof/>
                <w:webHidden/>
              </w:rPr>
            </w:r>
            <w:r w:rsidR="005D5D3E" w:rsidRPr="00DE3537">
              <w:rPr>
                <w:noProof/>
                <w:webHidden/>
              </w:rPr>
              <w:fldChar w:fldCharType="separate"/>
            </w:r>
            <w:r w:rsidR="005D5D3E" w:rsidRPr="00DE3537">
              <w:rPr>
                <w:noProof/>
                <w:webHidden/>
              </w:rPr>
              <w:t>212</w:t>
            </w:r>
            <w:r w:rsidR="005D5D3E" w:rsidRPr="00DE3537">
              <w:rPr>
                <w:noProof/>
                <w:webHidden/>
              </w:rPr>
              <w:fldChar w:fldCharType="end"/>
            </w:r>
          </w:hyperlink>
        </w:p>
        <w:p w14:paraId="2018CD94" w14:textId="77777777" w:rsidR="005D5D3E" w:rsidRPr="00DE3537" w:rsidRDefault="00DA1C42">
          <w:pPr>
            <w:pStyle w:val="TOC1"/>
            <w:rPr>
              <w:noProof/>
            </w:rPr>
          </w:pPr>
          <w:hyperlink w:anchor="_Toc475974414" w:history="1">
            <w:r w:rsidR="005D5D3E" w:rsidRPr="00DE3537">
              <w:rPr>
                <w:rStyle w:val="Hyperlink"/>
                <w:rFonts w:cs="Arial"/>
                <w:noProof/>
              </w:rPr>
              <w:t>Appendix 7 Training costs for staff involved in the delivery of HeLP</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_Toc475974414 \h </w:instrText>
            </w:r>
            <w:r w:rsidR="005D5D3E" w:rsidRPr="00DE3537">
              <w:rPr>
                <w:noProof/>
                <w:webHidden/>
              </w:rPr>
            </w:r>
            <w:r w:rsidR="005D5D3E" w:rsidRPr="00DE3537">
              <w:rPr>
                <w:noProof/>
                <w:webHidden/>
              </w:rPr>
              <w:fldChar w:fldCharType="separate"/>
            </w:r>
            <w:r w:rsidR="005D5D3E" w:rsidRPr="00DE3537">
              <w:rPr>
                <w:noProof/>
                <w:webHidden/>
              </w:rPr>
              <w:t>213</w:t>
            </w:r>
            <w:r w:rsidR="005D5D3E" w:rsidRPr="00DE3537">
              <w:rPr>
                <w:noProof/>
                <w:webHidden/>
              </w:rPr>
              <w:fldChar w:fldCharType="end"/>
            </w:r>
          </w:hyperlink>
        </w:p>
        <w:p w14:paraId="72936C85" w14:textId="77777777" w:rsidR="005D5D3E" w:rsidRPr="00DE3537" w:rsidRDefault="00DA1C42">
          <w:pPr>
            <w:pStyle w:val="TOC1"/>
            <w:rPr>
              <w:noProof/>
            </w:rPr>
          </w:pPr>
          <w:hyperlink w:anchor="_Toc475974415" w:history="1">
            <w:r w:rsidR="005D5D3E" w:rsidRPr="00DE3537">
              <w:rPr>
                <w:rStyle w:val="Hyperlink"/>
                <w:rFonts w:cs="Arial"/>
                <w:noProof/>
              </w:rPr>
              <w:t>Appendix 8 Review of CEA Models – literature Search Strategy</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_Toc475974415 \h </w:instrText>
            </w:r>
            <w:r w:rsidR="005D5D3E" w:rsidRPr="00DE3537">
              <w:rPr>
                <w:noProof/>
                <w:webHidden/>
              </w:rPr>
            </w:r>
            <w:r w:rsidR="005D5D3E" w:rsidRPr="00DE3537">
              <w:rPr>
                <w:noProof/>
                <w:webHidden/>
              </w:rPr>
              <w:fldChar w:fldCharType="separate"/>
            </w:r>
            <w:r w:rsidR="005D5D3E" w:rsidRPr="00DE3537">
              <w:rPr>
                <w:noProof/>
                <w:webHidden/>
              </w:rPr>
              <w:t>215</w:t>
            </w:r>
            <w:r w:rsidR="005D5D3E" w:rsidRPr="00DE3537">
              <w:rPr>
                <w:noProof/>
                <w:webHidden/>
              </w:rPr>
              <w:fldChar w:fldCharType="end"/>
            </w:r>
          </w:hyperlink>
        </w:p>
        <w:p w14:paraId="1CB72EA4" w14:textId="77777777" w:rsidR="005D5D3E" w:rsidRPr="00DE3537" w:rsidRDefault="00DA1C42">
          <w:pPr>
            <w:pStyle w:val="TOC1"/>
            <w:rPr>
              <w:noProof/>
            </w:rPr>
          </w:pPr>
          <w:hyperlink w:anchor="_Toc475974416" w:history="1">
            <w:r w:rsidR="005D5D3E" w:rsidRPr="00DE3537">
              <w:rPr>
                <w:rStyle w:val="Hyperlink"/>
                <w:noProof/>
              </w:rPr>
              <w:t>Appendix 9 Summary of model input parameters, for base case Exeter Obesity Model</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_Toc475974416 \h </w:instrText>
            </w:r>
            <w:r w:rsidR="005D5D3E" w:rsidRPr="00DE3537">
              <w:rPr>
                <w:noProof/>
                <w:webHidden/>
              </w:rPr>
            </w:r>
            <w:r w:rsidR="005D5D3E" w:rsidRPr="00DE3537">
              <w:rPr>
                <w:noProof/>
                <w:webHidden/>
              </w:rPr>
              <w:fldChar w:fldCharType="separate"/>
            </w:r>
            <w:r w:rsidR="005D5D3E" w:rsidRPr="00DE3537">
              <w:rPr>
                <w:noProof/>
                <w:webHidden/>
              </w:rPr>
              <w:t>216</w:t>
            </w:r>
            <w:r w:rsidR="005D5D3E" w:rsidRPr="00DE3537">
              <w:rPr>
                <w:noProof/>
                <w:webHidden/>
              </w:rPr>
              <w:fldChar w:fldCharType="end"/>
            </w:r>
          </w:hyperlink>
        </w:p>
        <w:p w14:paraId="3A851B07" w14:textId="77777777" w:rsidR="005D5D3E" w:rsidRPr="00DE3537" w:rsidRDefault="00DA1C42">
          <w:pPr>
            <w:pStyle w:val="TOC1"/>
            <w:rPr>
              <w:noProof/>
            </w:rPr>
          </w:pPr>
          <w:hyperlink w:anchor="_Toc475974417" w:history="1">
            <w:r w:rsidR="005D5D3E" w:rsidRPr="00DE3537">
              <w:rPr>
                <w:rStyle w:val="Hyperlink"/>
                <w:noProof/>
              </w:rPr>
              <w:t>Appendix 10 Parent Questionnaire</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_Toc475974417 \h </w:instrText>
            </w:r>
            <w:r w:rsidR="005D5D3E" w:rsidRPr="00DE3537">
              <w:rPr>
                <w:noProof/>
                <w:webHidden/>
              </w:rPr>
            </w:r>
            <w:r w:rsidR="005D5D3E" w:rsidRPr="00DE3537">
              <w:rPr>
                <w:noProof/>
                <w:webHidden/>
              </w:rPr>
              <w:fldChar w:fldCharType="separate"/>
            </w:r>
            <w:r w:rsidR="005D5D3E" w:rsidRPr="00DE3537">
              <w:rPr>
                <w:noProof/>
                <w:webHidden/>
              </w:rPr>
              <w:t>217</w:t>
            </w:r>
            <w:r w:rsidR="005D5D3E" w:rsidRPr="00DE3537">
              <w:rPr>
                <w:noProof/>
                <w:webHidden/>
              </w:rPr>
              <w:fldChar w:fldCharType="end"/>
            </w:r>
          </w:hyperlink>
        </w:p>
        <w:p w14:paraId="1F6AA008" w14:textId="77777777" w:rsidR="005D5D3E" w:rsidRPr="00DE3537" w:rsidRDefault="00DA1C42">
          <w:pPr>
            <w:pStyle w:val="TOC1"/>
            <w:rPr>
              <w:noProof/>
            </w:rPr>
          </w:pPr>
          <w:hyperlink w:anchor="_Toc475974418" w:history="1">
            <w:r w:rsidR="005D5D3E" w:rsidRPr="00DE3537">
              <w:rPr>
                <w:rStyle w:val="Hyperlink"/>
                <w:noProof/>
              </w:rPr>
              <w:t>Appendix 11 Year 5 Teacher Interview Schedule</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_Toc475974418 \h </w:instrText>
            </w:r>
            <w:r w:rsidR="005D5D3E" w:rsidRPr="00DE3537">
              <w:rPr>
                <w:noProof/>
                <w:webHidden/>
              </w:rPr>
            </w:r>
            <w:r w:rsidR="005D5D3E" w:rsidRPr="00DE3537">
              <w:rPr>
                <w:noProof/>
                <w:webHidden/>
              </w:rPr>
              <w:fldChar w:fldCharType="separate"/>
            </w:r>
            <w:r w:rsidR="005D5D3E" w:rsidRPr="00DE3537">
              <w:rPr>
                <w:noProof/>
                <w:webHidden/>
              </w:rPr>
              <w:t>220</w:t>
            </w:r>
            <w:r w:rsidR="005D5D3E" w:rsidRPr="00DE3537">
              <w:rPr>
                <w:noProof/>
                <w:webHidden/>
              </w:rPr>
              <w:fldChar w:fldCharType="end"/>
            </w:r>
          </w:hyperlink>
        </w:p>
        <w:p w14:paraId="588A0721" w14:textId="77777777" w:rsidR="005D5D3E" w:rsidRPr="00DE3537" w:rsidRDefault="00DA1C42">
          <w:pPr>
            <w:pStyle w:val="TOC1"/>
            <w:rPr>
              <w:noProof/>
            </w:rPr>
          </w:pPr>
          <w:hyperlink w:anchor="_Toc475974419" w:history="1">
            <w:r w:rsidR="005D5D3E" w:rsidRPr="00DE3537">
              <w:rPr>
                <w:rStyle w:val="Hyperlink"/>
                <w:noProof/>
              </w:rPr>
              <w:t>Appendix 12 Parent Interview Schedule</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_Toc475974419 \h </w:instrText>
            </w:r>
            <w:r w:rsidR="005D5D3E" w:rsidRPr="00DE3537">
              <w:rPr>
                <w:noProof/>
                <w:webHidden/>
              </w:rPr>
            </w:r>
            <w:r w:rsidR="005D5D3E" w:rsidRPr="00DE3537">
              <w:rPr>
                <w:noProof/>
                <w:webHidden/>
              </w:rPr>
              <w:fldChar w:fldCharType="separate"/>
            </w:r>
            <w:r w:rsidR="005D5D3E" w:rsidRPr="00DE3537">
              <w:rPr>
                <w:noProof/>
                <w:webHidden/>
              </w:rPr>
              <w:t>222</w:t>
            </w:r>
            <w:r w:rsidR="005D5D3E" w:rsidRPr="00DE3537">
              <w:rPr>
                <w:noProof/>
                <w:webHidden/>
              </w:rPr>
              <w:fldChar w:fldCharType="end"/>
            </w:r>
          </w:hyperlink>
        </w:p>
        <w:p w14:paraId="42406DFB" w14:textId="77777777" w:rsidR="005D5D3E" w:rsidRPr="00DE3537" w:rsidRDefault="00DA1C42">
          <w:pPr>
            <w:pStyle w:val="TOC1"/>
            <w:rPr>
              <w:noProof/>
            </w:rPr>
          </w:pPr>
          <w:hyperlink w:anchor="_Toc475974420" w:history="1">
            <w:r w:rsidR="005D5D3E" w:rsidRPr="00DE3537">
              <w:rPr>
                <w:rStyle w:val="Hyperlink"/>
                <w:noProof/>
              </w:rPr>
              <w:t>Appendix 13 Focus Group Schedule</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_Toc475974420 \h </w:instrText>
            </w:r>
            <w:r w:rsidR="005D5D3E" w:rsidRPr="00DE3537">
              <w:rPr>
                <w:noProof/>
                <w:webHidden/>
              </w:rPr>
            </w:r>
            <w:r w:rsidR="005D5D3E" w:rsidRPr="00DE3537">
              <w:rPr>
                <w:noProof/>
                <w:webHidden/>
              </w:rPr>
              <w:fldChar w:fldCharType="separate"/>
            </w:r>
            <w:r w:rsidR="005D5D3E" w:rsidRPr="00DE3537">
              <w:rPr>
                <w:noProof/>
                <w:webHidden/>
              </w:rPr>
              <w:t>223</w:t>
            </w:r>
            <w:r w:rsidR="005D5D3E" w:rsidRPr="00DE3537">
              <w:rPr>
                <w:noProof/>
                <w:webHidden/>
              </w:rPr>
              <w:fldChar w:fldCharType="end"/>
            </w:r>
          </w:hyperlink>
        </w:p>
        <w:p w14:paraId="3CC80CBA" w14:textId="77777777" w:rsidR="005D5D3E" w:rsidRPr="00DE3537" w:rsidRDefault="00DA1C42">
          <w:pPr>
            <w:pStyle w:val="TOC1"/>
            <w:rPr>
              <w:noProof/>
            </w:rPr>
          </w:pPr>
          <w:hyperlink w:anchor="_Toc475974421" w:history="1">
            <w:r w:rsidR="005D5D3E" w:rsidRPr="00DE3537">
              <w:rPr>
                <w:rStyle w:val="Hyperlink"/>
                <w:rFonts w:cs="Arial"/>
                <w:noProof/>
              </w:rPr>
              <w:t>Appendix 14 Fidelity to Form example checklist</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_Toc475974421 \h </w:instrText>
            </w:r>
            <w:r w:rsidR="005D5D3E" w:rsidRPr="00DE3537">
              <w:rPr>
                <w:noProof/>
                <w:webHidden/>
              </w:rPr>
            </w:r>
            <w:r w:rsidR="005D5D3E" w:rsidRPr="00DE3537">
              <w:rPr>
                <w:noProof/>
                <w:webHidden/>
              </w:rPr>
              <w:fldChar w:fldCharType="separate"/>
            </w:r>
            <w:r w:rsidR="005D5D3E" w:rsidRPr="00DE3537">
              <w:rPr>
                <w:noProof/>
                <w:webHidden/>
              </w:rPr>
              <w:t>226</w:t>
            </w:r>
            <w:r w:rsidR="005D5D3E" w:rsidRPr="00DE3537">
              <w:rPr>
                <w:noProof/>
                <w:webHidden/>
              </w:rPr>
              <w:fldChar w:fldCharType="end"/>
            </w:r>
          </w:hyperlink>
        </w:p>
        <w:p w14:paraId="619D0D8A" w14:textId="77777777" w:rsidR="005D5D3E" w:rsidRPr="00DE3537" w:rsidRDefault="00DA1C42">
          <w:pPr>
            <w:pStyle w:val="TOC1"/>
            <w:rPr>
              <w:noProof/>
            </w:rPr>
          </w:pPr>
          <w:hyperlink w:anchor="_Toc475974422" w:history="1">
            <w:r w:rsidR="005D5D3E" w:rsidRPr="00DE3537">
              <w:rPr>
                <w:rStyle w:val="Hyperlink"/>
                <w:noProof/>
              </w:rPr>
              <w:t>Appendix 15 Fidelity to Function example checklist</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_Toc475974422 \h </w:instrText>
            </w:r>
            <w:r w:rsidR="005D5D3E" w:rsidRPr="00DE3537">
              <w:rPr>
                <w:noProof/>
                <w:webHidden/>
              </w:rPr>
            </w:r>
            <w:r w:rsidR="005D5D3E" w:rsidRPr="00DE3537">
              <w:rPr>
                <w:noProof/>
                <w:webHidden/>
              </w:rPr>
              <w:fldChar w:fldCharType="separate"/>
            </w:r>
            <w:r w:rsidR="005D5D3E" w:rsidRPr="00DE3537">
              <w:rPr>
                <w:noProof/>
                <w:webHidden/>
              </w:rPr>
              <w:t>238</w:t>
            </w:r>
            <w:r w:rsidR="005D5D3E" w:rsidRPr="00DE3537">
              <w:rPr>
                <w:noProof/>
                <w:webHidden/>
              </w:rPr>
              <w:fldChar w:fldCharType="end"/>
            </w:r>
          </w:hyperlink>
        </w:p>
        <w:p w14:paraId="611D5C65" w14:textId="77777777" w:rsidR="005D5D3E" w:rsidRPr="00DE3537" w:rsidRDefault="00DA1C42">
          <w:pPr>
            <w:pStyle w:val="TOC1"/>
            <w:rPr>
              <w:noProof/>
            </w:rPr>
          </w:pPr>
          <w:hyperlink w:anchor="_Toc475974423" w:history="1">
            <w:r w:rsidR="005D5D3E" w:rsidRPr="00DE3537">
              <w:rPr>
                <w:rStyle w:val="Hyperlink"/>
                <w:noProof/>
              </w:rPr>
              <w:t>Appendix 16 Schools in the HeLP Study (a) Baseline characteristics</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_Toc475974423 \h </w:instrText>
            </w:r>
            <w:r w:rsidR="005D5D3E" w:rsidRPr="00DE3537">
              <w:rPr>
                <w:noProof/>
                <w:webHidden/>
              </w:rPr>
            </w:r>
            <w:r w:rsidR="005D5D3E" w:rsidRPr="00DE3537">
              <w:rPr>
                <w:noProof/>
                <w:webHidden/>
              </w:rPr>
              <w:fldChar w:fldCharType="separate"/>
            </w:r>
            <w:r w:rsidR="005D5D3E" w:rsidRPr="00DE3537">
              <w:rPr>
                <w:noProof/>
                <w:webHidden/>
              </w:rPr>
              <w:t>241</w:t>
            </w:r>
            <w:r w:rsidR="005D5D3E" w:rsidRPr="00DE3537">
              <w:rPr>
                <w:noProof/>
                <w:webHidden/>
              </w:rPr>
              <w:fldChar w:fldCharType="end"/>
            </w:r>
          </w:hyperlink>
        </w:p>
        <w:p w14:paraId="3E6E72CC" w14:textId="77777777" w:rsidR="005D5D3E" w:rsidRPr="00DE3537" w:rsidRDefault="00DA1C42">
          <w:pPr>
            <w:pStyle w:val="TOC1"/>
            <w:rPr>
              <w:noProof/>
            </w:rPr>
          </w:pPr>
          <w:hyperlink w:anchor="_Toc475974424" w:history="1">
            <w:r w:rsidR="005D5D3E" w:rsidRPr="00DE3537">
              <w:rPr>
                <w:rStyle w:val="Hyperlink"/>
                <w:noProof/>
              </w:rPr>
              <w:t>Appendix 16 Schools in the HeLP Study (b) Physical activity and nutrition policies</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_Toc475974424 \h </w:instrText>
            </w:r>
            <w:r w:rsidR="005D5D3E" w:rsidRPr="00DE3537">
              <w:rPr>
                <w:noProof/>
                <w:webHidden/>
              </w:rPr>
            </w:r>
            <w:r w:rsidR="005D5D3E" w:rsidRPr="00DE3537">
              <w:rPr>
                <w:noProof/>
                <w:webHidden/>
              </w:rPr>
              <w:fldChar w:fldCharType="separate"/>
            </w:r>
            <w:r w:rsidR="005D5D3E" w:rsidRPr="00DE3537">
              <w:rPr>
                <w:noProof/>
                <w:webHidden/>
              </w:rPr>
              <w:t>242</w:t>
            </w:r>
            <w:r w:rsidR="005D5D3E" w:rsidRPr="00DE3537">
              <w:rPr>
                <w:noProof/>
                <w:webHidden/>
              </w:rPr>
              <w:fldChar w:fldCharType="end"/>
            </w:r>
          </w:hyperlink>
        </w:p>
        <w:p w14:paraId="2E36C95D" w14:textId="77777777" w:rsidR="005D5D3E" w:rsidRPr="00DE3537" w:rsidRDefault="00DA1C42">
          <w:pPr>
            <w:pStyle w:val="TOC1"/>
            <w:rPr>
              <w:noProof/>
            </w:rPr>
          </w:pPr>
          <w:hyperlink w:anchor="_Toc475974425" w:history="1">
            <w:r w:rsidR="005D5D3E" w:rsidRPr="00DE3537">
              <w:rPr>
                <w:rStyle w:val="Hyperlink"/>
                <w:noProof/>
              </w:rPr>
              <w:t>Appendix 17 Parent Questionnaire responses to the quantitative questions</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_Toc475974425 \h </w:instrText>
            </w:r>
            <w:r w:rsidR="005D5D3E" w:rsidRPr="00DE3537">
              <w:rPr>
                <w:noProof/>
                <w:webHidden/>
              </w:rPr>
            </w:r>
            <w:r w:rsidR="005D5D3E" w:rsidRPr="00DE3537">
              <w:rPr>
                <w:noProof/>
                <w:webHidden/>
              </w:rPr>
              <w:fldChar w:fldCharType="separate"/>
            </w:r>
            <w:r w:rsidR="005D5D3E" w:rsidRPr="00DE3537">
              <w:rPr>
                <w:noProof/>
                <w:webHidden/>
              </w:rPr>
              <w:t>245</w:t>
            </w:r>
            <w:r w:rsidR="005D5D3E" w:rsidRPr="00DE3537">
              <w:rPr>
                <w:noProof/>
                <w:webHidden/>
              </w:rPr>
              <w:fldChar w:fldCharType="end"/>
            </w:r>
          </w:hyperlink>
        </w:p>
        <w:p w14:paraId="06D7B2AE" w14:textId="77777777" w:rsidR="005D5D3E" w:rsidRPr="00DE3537" w:rsidRDefault="00DA1C42">
          <w:pPr>
            <w:pStyle w:val="TOC1"/>
            <w:rPr>
              <w:noProof/>
            </w:rPr>
          </w:pPr>
          <w:hyperlink w:anchor="_Toc475974426" w:history="1">
            <w:r w:rsidR="005D5D3E" w:rsidRPr="00DE3537">
              <w:rPr>
                <w:rStyle w:val="Hyperlink"/>
                <w:noProof/>
              </w:rPr>
              <w:t>Appendix 18 Development and evaluation of the My Lifestyle Questionnaire</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_Toc475974426 \h </w:instrText>
            </w:r>
            <w:r w:rsidR="005D5D3E" w:rsidRPr="00DE3537">
              <w:rPr>
                <w:noProof/>
                <w:webHidden/>
              </w:rPr>
            </w:r>
            <w:r w:rsidR="005D5D3E" w:rsidRPr="00DE3537">
              <w:rPr>
                <w:noProof/>
                <w:webHidden/>
              </w:rPr>
              <w:fldChar w:fldCharType="separate"/>
            </w:r>
            <w:r w:rsidR="005D5D3E" w:rsidRPr="00DE3537">
              <w:rPr>
                <w:noProof/>
                <w:webHidden/>
              </w:rPr>
              <w:t>246</w:t>
            </w:r>
            <w:r w:rsidR="005D5D3E" w:rsidRPr="00DE3537">
              <w:rPr>
                <w:noProof/>
                <w:webHidden/>
              </w:rPr>
              <w:fldChar w:fldCharType="end"/>
            </w:r>
          </w:hyperlink>
        </w:p>
        <w:p w14:paraId="1BEE720A" w14:textId="77777777" w:rsidR="005D5D3E" w:rsidRPr="00DE3537" w:rsidRDefault="00DA1C42">
          <w:pPr>
            <w:pStyle w:val="TOC1"/>
            <w:rPr>
              <w:noProof/>
            </w:rPr>
          </w:pPr>
          <w:hyperlink w:anchor="_Toc475974427" w:history="1">
            <w:r w:rsidR="005D5D3E" w:rsidRPr="00DE3537">
              <w:rPr>
                <w:rStyle w:val="Hyperlink"/>
                <w:noProof/>
              </w:rPr>
              <w:t>References</w:t>
            </w:r>
            <w:r w:rsidR="005D5D3E" w:rsidRPr="00DE3537">
              <w:rPr>
                <w:noProof/>
                <w:webHidden/>
              </w:rPr>
              <w:tab/>
            </w:r>
            <w:r w:rsidR="005D5D3E" w:rsidRPr="00DE3537">
              <w:rPr>
                <w:noProof/>
                <w:webHidden/>
              </w:rPr>
              <w:fldChar w:fldCharType="begin"/>
            </w:r>
            <w:r w:rsidR="005D5D3E" w:rsidRPr="00DE3537">
              <w:rPr>
                <w:noProof/>
                <w:webHidden/>
              </w:rPr>
              <w:instrText xml:space="preserve"> PAGEREF _Toc475974427 \h </w:instrText>
            </w:r>
            <w:r w:rsidR="005D5D3E" w:rsidRPr="00DE3537">
              <w:rPr>
                <w:noProof/>
                <w:webHidden/>
              </w:rPr>
            </w:r>
            <w:r w:rsidR="005D5D3E" w:rsidRPr="00DE3537">
              <w:rPr>
                <w:noProof/>
                <w:webHidden/>
              </w:rPr>
              <w:fldChar w:fldCharType="separate"/>
            </w:r>
            <w:r w:rsidR="005D5D3E" w:rsidRPr="00DE3537">
              <w:rPr>
                <w:noProof/>
                <w:webHidden/>
              </w:rPr>
              <w:t>266</w:t>
            </w:r>
            <w:r w:rsidR="005D5D3E" w:rsidRPr="00DE3537">
              <w:rPr>
                <w:noProof/>
                <w:webHidden/>
              </w:rPr>
              <w:fldChar w:fldCharType="end"/>
            </w:r>
          </w:hyperlink>
        </w:p>
        <w:p w14:paraId="67BAFED1" w14:textId="4CBDE2B4" w:rsidR="00951FF2" w:rsidRPr="005D5D3E" w:rsidRDefault="00951FF2">
          <w:r w:rsidRPr="005D5D3E">
            <w:rPr>
              <w:bCs/>
              <w:noProof/>
            </w:rPr>
            <w:fldChar w:fldCharType="end"/>
          </w:r>
        </w:p>
      </w:sdtContent>
    </w:sdt>
    <w:p w14:paraId="634D137E" w14:textId="77777777" w:rsidR="00CD00FF" w:rsidRPr="005D5D3E" w:rsidRDefault="00CD00FF">
      <w:pPr>
        <w:rPr>
          <w:rFonts w:eastAsiaTheme="majorEastAsia" w:cs="Times New Roman"/>
        </w:rPr>
      </w:pPr>
      <w:r w:rsidRPr="005D5D3E">
        <w:br w:type="page"/>
      </w:r>
    </w:p>
    <w:p w14:paraId="2EAFCF1D" w14:textId="03592874" w:rsidR="00D73936" w:rsidRDefault="00D73936" w:rsidP="00C82499">
      <w:pPr>
        <w:keepNext/>
        <w:keepLines/>
        <w:spacing w:before="480" w:after="0" w:line="240" w:lineRule="auto"/>
        <w:jc w:val="both"/>
        <w:outlineLvl w:val="0"/>
        <w:rPr>
          <w:rFonts w:eastAsiaTheme="majorEastAsia" w:cs="Arial"/>
          <w:b/>
          <w:sz w:val="24"/>
          <w:szCs w:val="24"/>
        </w:rPr>
      </w:pPr>
      <w:bookmarkStart w:id="185" w:name="_Toc466900416"/>
      <w:bookmarkStart w:id="186" w:name="_Toc475974327"/>
      <w:bookmarkEnd w:id="175"/>
      <w:bookmarkEnd w:id="176"/>
      <w:bookmarkEnd w:id="177"/>
      <w:bookmarkEnd w:id="178"/>
      <w:bookmarkEnd w:id="179"/>
      <w:bookmarkEnd w:id="180"/>
      <w:bookmarkEnd w:id="181"/>
      <w:bookmarkEnd w:id="182"/>
      <w:r w:rsidRPr="00D73936">
        <w:rPr>
          <w:rFonts w:eastAsiaTheme="majorEastAsia" w:cs="Arial"/>
          <w:b/>
          <w:sz w:val="24"/>
          <w:szCs w:val="24"/>
        </w:rPr>
        <w:lastRenderedPageBreak/>
        <w:t>List of Tables</w:t>
      </w:r>
      <w:bookmarkEnd w:id="185"/>
      <w:bookmarkEnd w:id="186"/>
      <w:r w:rsidRPr="00D73936">
        <w:rPr>
          <w:rFonts w:eastAsiaTheme="majorEastAsia" w:cs="Arial"/>
          <w:b/>
          <w:sz w:val="24"/>
          <w:szCs w:val="24"/>
        </w:rPr>
        <w:tab/>
      </w:r>
      <w:r w:rsidRPr="00D73936">
        <w:rPr>
          <w:rFonts w:eastAsiaTheme="majorEastAsia" w:cs="Arial"/>
          <w:b/>
          <w:sz w:val="24"/>
          <w:szCs w:val="24"/>
        </w:rPr>
        <w:tab/>
      </w:r>
      <w:r w:rsidRPr="00D73936">
        <w:rPr>
          <w:rFonts w:eastAsiaTheme="majorEastAsia" w:cs="Arial"/>
          <w:b/>
          <w:sz w:val="24"/>
          <w:szCs w:val="24"/>
        </w:rPr>
        <w:tab/>
      </w:r>
      <w:r w:rsidRPr="00D73936">
        <w:rPr>
          <w:rFonts w:eastAsiaTheme="majorEastAsia" w:cs="Arial"/>
          <w:b/>
          <w:sz w:val="24"/>
          <w:szCs w:val="24"/>
        </w:rPr>
        <w:tab/>
      </w:r>
      <w:r w:rsidRPr="00D73936">
        <w:rPr>
          <w:rFonts w:eastAsiaTheme="majorEastAsia" w:cs="Arial"/>
          <w:b/>
          <w:sz w:val="24"/>
          <w:szCs w:val="24"/>
        </w:rPr>
        <w:tab/>
      </w:r>
      <w:r w:rsidRPr="00D73936">
        <w:rPr>
          <w:rFonts w:eastAsiaTheme="majorEastAsia" w:cs="Arial"/>
          <w:b/>
          <w:sz w:val="24"/>
          <w:szCs w:val="24"/>
        </w:rPr>
        <w:tab/>
      </w:r>
      <w:r w:rsidRPr="00D73936">
        <w:rPr>
          <w:rFonts w:eastAsiaTheme="majorEastAsia" w:cs="Arial"/>
          <w:b/>
          <w:sz w:val="24"/>
          <w:szCs w:val="24"/>
        </w:rPr>
        <w:tab/>
      </w:r>
      <w:r w:rsidRPr="00D73936">
        <w:rPr>
          <w:rFonts w:eastAsiaTheme="majorEastAsia" w:cs="Arial"/>
          <w:b/>
          <w:sz w:val="24"/>
          <w:szCs w:val="24"/>
        </w:rPr>
        <w:tab/>
      </w:r>
      <w:r w:rsidRPr="00D73936">
        <w:rPr>
          <w:rFonts w:eastAsiaTheme="majorEastAsia" w:cs="Arial"/>
          <w:b/>
          <w:sz w:val="24"/>
          <w:szCs w:val="24"/>
        </w:rPr>
        <w:tab/>
      </w:r>
    </w:p>
    <w:p w14:paraId="0C1B171F" w14:textId="230D8F1D" w:rsidR="00D73936" w:rsidRPr="00D73936" w:rsidRDefault="0026785C" w:rsidP="00C82499">
      <w:pPr>
        <w:ind w:left="7200" w:firstLine="720"/>
        <w:rPr>
          <w:rFonts w:eastAsiaTheme="majorEastAsia" w:cs="Arial"/>
          <w:b/>
          <w:sz w:val="24"/>
          <w:szCs w:val="24"/>
        </w:rPr>
      </w:pPr>
      <w:r>
        <w:rPr>
          <w:rFonts w:eastAsiaTheme="majorEastAsia" w:cs="Arial"/>
          <w:b/>
          <w:sz w:val="24"/>
          <w:szCs w:val="24"/>
        </w:rPr>
        <w:t xml:space="preserve">   </w:t>
      </w:r>
      <w:r w:rsidR="00D73936" w:rsidRPr="00D73936">
        <w:rPr>
          <w:rFonts w:eastAsiaTheme="majorEastAsia" w:cs="Arial"/>
          <w:b/>
          <w:sz w:val="24"/>
          <w:szCs w:val="24"/>
        </w:rPr>
        <w:t>Page No</w:t>
      </w:r>
    </w:p>
    <w:p w14:paraId="0652C9EC" w14:textId="70FD7DFB" w:rsidR="00D73936" w:rsidRPr="00D73936" w:rsidRDefault="00D73936" w:rsidP="00D73936">
      <w:pPr>
        <w:spacing w:after="0" w:line="360" w:lineRule="auto"/>
        <w:ind w:left="1440" w:hanging="1440"/>
        <w:rPr>
          <w:rFonts w:cs="Arial"/>
        </w:rPr>
      </w:pPr>
      <w:r w:rsidRPr="00D73936">
        <w:rPr>
          <w:rFonts w:cs="Arial"/>
        </w:rPr>
        <w:t xml:space="preserve">TABLE 1 </w:t>
      </w:r>
      <w:r w:rsidRPr="00D73936">
        <w:rPr>
          <w:rFonts w:cs="Arial"/>
        </w:rPr>
        <w:tab/>
        <w:t>Learning objectives for each of the five education and drama sessions</w:t>
      </w:r>
      <w:r w:rsidRPr="00D73936">
        <w:rPr>
          <w:rFonts w:cs="Arial"/>
        </w:rPr>
        <w:tab/>
      </w:r>
      <w:r w:rsidRPr="00D73936">
        <w:rPr>
          <w:rFonts w:cs="Arial"/>
        </w:rPr>
        <w:tab/>
        <w:t>3</w:t>
      </w:r>
      <w:r w:rsidR="004C09B3">
        <w:rPr>
          <w:rFonts w:cs="Arial"/>
        </w:rPr>
        <w:t>5</w:t>
      </w:r>
    </w:p>
    <w:p w14:paraId="3119050E" w14:textId="35DE3D69" w:rsidR="00D73936" w:rsidRPr="00D73936" w:rsidRDefault="00D73936" w:rsidP="00D73936">
      <w:pPr>
        <w:tabs>
          <w:tab w:val="left" w:pos="8505"/>
        </w:tabs>
        <w:spacing w:after="0" w:line="360" w:lineRule="auto"/>
        <w:ind w:left="1440" w:hanging="1440"/>
        <w:rPr>
          <w:rFonts w:cs="Arial"/>
        </w:rPr>
      </w:pPr>
      <w:r w:rsidRPr="00D73936">
        <w:rPr>
          <w:rFonts w:cs="Arial"/>
        </w:rPr>
        <w:t xml:space="preserve">TABLE </w:t>
      </w:r>
      <w:r>
        <w:rPr>
          <w:rFonts w:cs="Arial"/>
        </w:rPr>
        <w:t>2</w:t>
      </w:r>
      <w:r w:rsidRPr="00D73936">
        <w:rPr>
          <w:rFonts w:cs="Arial"/>
        </w:rPr>
        <w:t xml:space="preserve"> </w:t>
      </w:r>
      <w:r w:rsidRPr="00D73936">
        <w:rPr>
          <w:rFonts w:cs="Arial"/>
        </w:rPr>
        <w:tab/>
        <w:t xml:space="preserve">Intervention phases 1 and 2, function, behaviour change techniques (BCTs), </w:t>
      </w:r>
      <w:r w:rsidRPr="00D73936">
        <w:rPr>
          <w:rFonts w:cs="Arial"/>
        </w:rPr>
        <w:tab/>
      </w:r>
      <w:r w:rsidRPr="00D73936">
        <w:rPr>
          <w:rFonts w:cs="Arial"/>
        </w:rPr>
        <w:tab/>
        <w:t>3</w:t>
      </w:r>
      <w:r w:rsidR="004C09B3">
        <w:rPr>
          <w:rFonts w:cs="Arial"/>
        </w:rPr>
        <w:t>8</w:t>
      </w:r>
    </w:p>
    <w:p w14:paraId="27E3A4E8" w14:textId="77777777" w:rsidR="00D73936" w:rsidRPr="00D73936" w:rsidRDefault="00D73936" w:rsidP="00D73936">
      <w:pPr>
        <w:spacing w:after="0" w:line="360" w:lineRule="auto"/>
        <w:ind w:left="1440"/>
        <w:rPr>
          <w:rFonts w:cs="Arial"/>
        </w:rPr>
      </w:pPr>
      <w:r w:rsidRPr="00D73936">
        <w:rPr>
          <w:rFonts w:cs="Arial"/>
        </w:rPr>
        <w:t>delivery methods and personnel</w:t>
      </w:r>
    </w:p>
    <w:p w14:paraId="633A224F" w14:textId="12930E3C" w:rsidR="00D73936" w:rsidRPr="00D73936" w:rsidRDefault="00D73936" w:rsidP="00D73936">
      <w:pPr>
        <w:spacing w:after="0" w:line="360" w:lineRule="auto"/>
        <w:ind w:left="1440" w:hanging="1440"/>
        <w:rPr>
          <w:rFonts w:cs="Arial"/>
        </w:rPr>
      </w:pPr>
      <w:r w:rsidRPr="00D73936">
        <w:rPr>
          <w:rFonts w:cs="Arial"/>
        </w:rPr>
        <w:t xml:space="preserve">TABLE </w:t>
      </w:r>
      <w:r>
        <w:rPr>
          <w:rFonts w:cs="Arial"/>
        </w:rPr>
        <w:t>3</w:t>
      </w:r>
      <w:r w:rsidRPr="00D73936">
        <w:rPr>
          <w:rFonts w:cs="Arial"/>
        </w:rPr>
        <w:t xml:space="preserve"> </w:t>
      </w:r>
      <w:r w:rsidRPr="00D73936">
        <w:rPr>
          <w:rFonts w:cs="Arial"/>
        </w:rPr>
        <w:tab/>
        <w:t>Intervention phases 3 and 4, function, behaviour change techniques (BCTs),</w:t>
      </w:r>
      <w:r w:rsidRPr="00D73936">
        <w:rPr>
          <w:rFonts w:cs="Arial"/>
        </w:rPr>
        <w:tab/>
        <w:t>3</w:t>
      </w:r>
      <w:r w:rsidR="004C09B3">
        <w:rPr>
          <w:rFonts w:cs="Arial"/>
        </w:rPr>
        <w:t>9</w:t>
      </w:r>
    </w:p>
    <w:p w14:paraId="48431C39" w14:textId="77777777" w:rsidR="00D73936" w:rsidRPr="00D73936" w:rsidRDefault="00D73936" w:rsidP="00D73936">
      <w:pPr>
        <w:spacing w:after="0" w:line="360" w:lineRule="auto"/>
        <w:ind w:left="1440" w:hanging="1440"/>
        <w:rPr>
          <w:rFonts w:cs="Arial"/>
          <w:b/>
        </w:rPr>
      </w:pPr>
      <w:r w:rsidRPr="00D73936">
        <w:rPr>
          <w:rFonts w:cs="Arial"/>
        </w:rPr>
        <w:t xml:space="preserve"> </w:t>
      </w:r>
      <w:r w:rsidRPr="00D73936">
        <w:rPr>
          <w:rFonts w:cs="Arial"/>
        </w:rPr>
        <w:tab/>
        <w:t>delivery methods and personnel</w:t>
      </w:r>
      <w:r w:rsidRPr="00D73936">
        <w:rPr>
          <w:rFonts w:cs="Arial"/>
        </w:rPr>
        <w:tab/>
      </w:r>
      <w:r w:rsidRPr="00D73936">
        <w:rPr>
          <w:rFonts w:cs="Arial"/>
        </w:rPr>
        <w:tab/>
      </w:r>
      <w:r w:rsidRPr="00D73936">
        <w:rPr>
          <w:rFonts w:cs="Arial"/>
        </w:rPr>
        <w:tab/>
      </w:r>
      <w:r w:rsidRPr="00D73936">
        <w:rPr>
          <w:rFonts w:cs="Arial"/>
        </w:rPr>
        <w:tab/>
      </w:r>
      <w:r w:rsidRPr="00D73936">
        <w:rPr>
          <w:rFonts w:cs="Arial"/>
        </w:rPr>
        <w:tab/>
      </w:r>
    </w:p>
    <w:p w14:paraId="519E8348" w14:textId="41C5C8B7" w:rsidR="00D73936" w:rsidRPr="00D73936" w:rsidRDefault="00D73936" w:rsidP="00D73936">
      <w:pPr>
        <w:spacing w:after="0" w:line="360" w:lineRule="auto"/>
        <w:rPr>
          <w:bCs/>
        </w:rPr>
      </w:pPr>
      <w:r w:rsidRPr="00D73936">
        <w:rPr>
          <w:rFonts w:cs="Arial"/>
        </w:rPr>
        <w:t>TABLE</w:t>
      </w:r>
      <w:r w:rsidRPr="00D73936">
        <w:rPr>
          <w:bCs/>
        </w:rPr>
        <w:t xml:space="preserve"> </w:t>
      </w:r>
      <w:r>
        <w:rPr>
          <w:bCs/>
        </w:rPr>
        <w:t>4</w:t>
      </w:r>
      <w:r w:rsidRPr="00D73936">
        <w:rPr>
          <w:bCs/>
        </w:rPr>
        <w:t xml:space="preserve"> </w:t>
      </w:r>
      <w:r w:rsidRPr="00D73936">
        <w:rPr>
          <w:bCs/>
        </w:rPr>
        <w:tab/>
        <w:t xml:space="preserve">Comparison of HeLP schools with Devon schools and all primary schools </w:t>
      </w:r>
      <w:r w:rsidRPr="00D73936">
        <w:rPr>
          <w:bCs/>
        </w:rPr>
        <w:tab/>
      </w:r>
      <w:r w:rsidRPr="00D73936">
        <w:rPr>
          <w:bCs/>
        </w:rPr>
        <w:tab/>
        <w:t>5</w:t>
      </w:r>
      <w:r w:rsidR="004C09B3">
        <w:rPr>
          <w:bCs/>
        </w:rPr>
        <w:t>7</w:t>
      </w:r>
    </w:p>
    <w:p w14:paraId="491F536C" w14:textId="77777777" w:rsidR="00D73936" w:rsidRPr="00D73936" w:rsidRDefault="00D73936" w:rsidP="00D73936">
      <w:pPr>
        <w:spacing w:after="0" w:line="360" w:lineRule="auto"/>
        <w:ind w:left="720" w:firstLine="720"/>
      </w:pPr>
      <w:r w:rsidRPr="00D73936">
        <w:rPr>
          <w:bCs/>
        </w:rPr>
        <w:t xml:space="preserve">in England </w:t>
      </w:r>
    </w:p>
    <w:p w14:paraId="51D03026" w14:textId="54CB690E" w:rsidR="00D73936" w:rsidRPr="00D73936" w:rsidRDefault="00D73936" w:rsidP="00D73936">
      <w:pPr>
        <w:spacing w:after="0" w:line="360" w:lineRule="auto"/>
        <w:rPr>
          <w:rFonts w:cs="Times New Roman"/>
        </w:rPr>
      </w:pPr>
      <w:r w:rsidRPr="00D73936">
        <w:rPr>
          <w:rFonts w:cs="Arial"/>
        </w:rPr>
        <w:t>TABLE</w:t>
      </w:r>
      <w:r w:rsidRPr="00D73936">
        <w:rPr>
          <w:rFonts w:cs="Times New Roman"/>
        </w:rPr>
        <w:t xml:space="preserve"> </w:t>
      </w:r>
      <w:r>
        <w:rPr>
          <w:rFonts w:cs="Times New Roman"/>
        </w:rPr>
        <w:t>5</w:t>
      </w:r>
      <w:r w:rsidRPr="00D73936">
        <w:rPr>
          <w:rFonts w:cs="Times New Roman"/>
        </w:rPr>
        <w:t xml:space="preserve"> </w:t>
      </w:r>
      <w:r w:rsidRPr="00D73936">
        <w:rPr>
          <w:rFonts w:cs="Times New Roman"/>
        </w:rPr>
        <w:tab/>
        <w:t>Comparison of school level baseline characteristics by randomised group</w:t>
      </w:r>
      <w:r w:rsidRPr="00D73936">
        <w:rPr>
          <w:rFonts w:cs="Times New Roman"/>
        </w:rPr>
        <w:tab/>
        <w:t>5</w:t>
      </w:r>
      <w:r w:rsidR="004C09B3">
        <w:rPr>
          <w:rFonts w:cs="Times New Roman"/>
        </w:rPr>
        <w:t>8</w:t>
      </w:r>
    </w:p>
    <w:p w14:paraId="3AD3FA72" w14:textId="3ECD5062" w:rsidR="00D73936" w:rsidRPr="00D73936" w:rsidRDefault="00D73936" w:rsidP="00D73936">
      <w:pPr>
        <w:spacing w:after="0" w:line="360" w:lineRule="auto"/>
        <w:ind w:left="1440" w:hanging="1440"/>
        <w:rPr>
          <w:rFonts w:cs="Times New Roman"/>
        </w:rPr>
      </w:pPr>
      <w:r w:rsidRPr="00D73936">
        <w:rPr>
          <w:rFonts w:cs="Arial"/>
        </w:rPr>
        <w:t>TABLE</w:t>
      </w:r>
      <w:r w:rsidRPr="00D73936">
        <w:rPr>
          <w:rFonts w:cs="Times New Roman"/>
        </w:rPr>
        <w:t xml:space="preserve"> </w:t>
      </w:r>
      <w:r>
        <w:rPr>
          <w:rFonts w:cs="Times New Roman"/>
        </w:rPr>
        <w:t>6</w:t>
      </w:r>
      <w:r w:rsidRPr="00D73936">
        <w:rPr>
          <w:rFonts w:cs="Times New Roman"/>
        </w:rPr>
        <w:t xml:space="preserve"> </w:t>
      </w:r>
      <w:r w:rsidRPr="00D73936">
        <w:rPr>
          <w:rFonts w:cs="Times New Roman"/>
        </w:rPr>
        <w:tab/>
        <w:t xml:space="preserve">Comparison of individual anthropometric baseline characteristics by </w:t>
      </w:r>
      <w:r w:rsidRPr="00D73936">
        <w:rPr>
          <w:rFonts w:cs="Times New Roman"/>
        </w:rPr>
        <w:tab/>
      </w:r>
      <w:r w:rsidRPr="00D73936">
        <w:rPr>
          <w:rFonts w:cs="Times New Roman"/>
        </w:rPr>
        <w:tab/>
        <w:t>5</w:t>
      </w:r>
      <w:r w:rsidR="004C09B3">
        <w:rPr>
          <w:rFonts w:cs="Times New Roman"/>
        </w:rPr>
        <w:t>9</w:t>
      </w:r>
    </w:p>
    <w:p w14:paraId="713BBCAE" w14:textId="77777777" w:rsidR="00D73936" w:rsidRPr="00D73936" w:rsidRDefault="00D73936" w:rsidP="00D73936">
      <w:pPr>
        <w:spacing w:after="0" w:line="360" w:lineRule="auto"/>
        <w:ind w:left="1440"/>
        <w:rPr>
          <w:rFonts w:cs="Times New Roman"/>
        </w:rPr>
      </w:pPr>
      <w:r w:rsidRPr="00D73936">
        <w:rPr>
          <w:rFonts w:cs="Times New Roman"/>
        </w:rPr>
        <w:t>randomised group</w:t>
      </w:r>
    </w:p>
    <w:p w14:paraId="1BC2542D" w14:textId="1BCCCBD7" w:rsidR="00D73936" w:rsidRPr="00D73936" w:rsidRDefault="00D73936" w:rsidP="00D73936">
      <w:pPr>
        <w:spacing w:after="0" w:line="360" w:lineRule="auto"/>
        <w:rPr>
          <w:rFonts w:cs="Times New Roman"/>
        </w:rPr>
      </w:pPr>
      <w:r w:rsidRPr="00D73936">
        <w:rPr>
          <w:rFonts w:cs="Arial"/>
        </w:rPr>
        <w:t>TABLE</w:t>
      </w:r>
      <w:r w:rsidRPr="00D73936">
        <w:rPr>
          <w:rFonts w:cs="Times New Roman"/>
        </w:rPr>
        <w:t xml:space="preserve"> </w:t>
      </w:r>
      <w:r>
        <w:rPr>
          <w:rFonts w:cs="Times New Roman"/>
        </w:rPr>
        <w:t>7</w:t>
      </w:r>
      <w:r w:rsidRPr="00D73936">
        <w:rPr>
          <w:rFonts w:cs="Times New Roman"/>
        </w:rPr>
        <w:t xml:space="preserve"> </w:t>
      </w:r>
      <w:r w:rsidRPr="00D73936">
        <w:rPr>
          <w:rFonts w:cs="Times New Roman"/>
        </w:rPr>
        <w:tab/>
        <w:t xml:space="preserve">Comparison of individual behavioural baseline characteristics by </w:t>
      </w:r>
      <w:r w:rsidRPr="00D73936">
        <w:rPr>
          <w:rFonts w:cs="Times New Roman"/>
        </w:rPr>
        <w:tab/>
      </w:r>
      <w:r w:rsidRPr="00D73936">
        <w:rPr>
          <w:rFonts w:cs="Times New Roman"/>
        </w:rPr>
        <w:tab/>
      </w:r>
      <w:r w:rsidR="004C09B3">
        <w:rPr>
          <w:rFonts w:cs="Times New Roman"/>
        </w:rPr>
        <w:t>60</w:t>
      </w:r>
    </w:p>
    <w:p w14:paraId="09240AA8" w14:textId="77777777" w:rsidR="00D73936" w:rsidRPr="00D73936" w:rsidRDefault="00D73936" w:rsidP="00D73936">
      <w:pPr>
        <w:spacing w:after="0" w:line="360" w:lineRule="auto"/>
        <w:ind w:left="720" w:firstLine="720"/>
        <w:rPr>
          <w:rFonts w:cs="Times New Roman"/>
        </w:rPr>
      </w:pPr>
      <w:r w:rsidRPr="00D73936">
        <w:rPr>
          <w:rFonts w:cs="Times New Roman"/>
        </w:rPr>
        <w:t>randomised group</w:t>
      </w:r>
    </w:p>
    <w:p w14:paraId="46B98D5F" w14:textId="321F2EDB" w:rsidR="00D73936" w:rsidRPr="00D73936" w:rsidRDefault="00D73936" w:rsidP="00D73936">
      <w:pPr>
        <w:spacing w:after="0" w:line="360" w:lineRule="auto"/>
        <w:ind w:left="1440" w:hanging="1440"/>
        <w:rPr>
          <w:rFonts w:cs="Times New Roman"/>
        </w:rPr>
      </w:pPr>
      <w:r w:rsidRPr="00D73936">
        <w:rPr>
          <w:rFonts w:cs="Arial"/>
        </w:rPr>
        <w:t>TABLE</w:t>
      </w:r>
      <w:r w:rsidRPr="00D73936">
        <w:rPr>
          <w:rFonts w:cs="Times New Roman"/>
        </w:rPr>
        <w:t xml:space="preserve"> </w:t>
      </w:r>
      <w:r>
        <w:rPr>
          <w:rFonts w:cs="Times New Roman"/>
        </w:rPr>
        <w:t>8</w:t>
      </w:r>
      <w:r w:rsidRPr="00D73936">
        <w:rPr>
          <w:rFonts w:cs="Times New Roman"/>
        </w:rPr>
        <w:tab/>
        <w:t>Primary ITT and sensitivity analyses of the effect of the HeLP intervention</w:t>
      </w:r>
      <w:r w:rsidRPr="00D73936">
        <w:rPr>
          <w:rFonts w:cs="Times New Roman"/>
        </w:rPr>
        <w:tab/>
        <w:t>6</w:t>
      </w:r>
      <w:r w:rsidR="00F92F8F">
        <w:rPr>
          <w:rFonts w:cs="Times New Roman"/>
        </w:rPr>
        <w:t>2</w:t>
      </w:r>
    </w:p>
    <w:p w14:paraId="57715425" w14:textId="71554D9D" w:rsidR="00D73936" w:rsidRPr="00D73936" w:rsidRDefault="00D73936" w:rsidP="00D73936">
      <w:pPr>
        <w:spacing w:after="0" w:line="360" w:lineRule="auto"/>
        <w:ind w:left="1440"/>
        <w:rPr>
          <w:rFonts w:cs="Times New Roman"/>
        </w:rPr>
      </w:pPr>
      <w:r w:rsidRPr="00D73936">
        <w:rPr>
          <w:rFonts w:cs="Times New Roman"/>
        </w:rPr>
        <w:t xml:space="preserve">on the primary outcome, BMI SDS, assessed at 24 months post baseline </w:t>
      </w:r>
    </w:p>
    <w:p w14:paraId="31B5F917" w14:textId="4B4320F9" w:rsidR="00D73936" w:rsidRPr="00D73936" w:rsidRDefault="00D73936" w:rsidP="00D73936">
      <w:pPr>
        <w:spacing w:after="0" w:line="360" w:lineRule="auto"/>
        <w:ind w:left="1440" w:hanging="1440"/>
        <w:rPr>
          <w:rFonts w:cs="Times New Roman"/>
        </w:rPr>
      </w:pPr>
      <w:r w:rsidRPr="00D73936">
        <w:rPr>
          <w:rFonts w:cs="Arial"/>
        </w:rPr>
        <w:t>TABLE</w:t>
      </w:r>
      <w:r w:rsidRPr="00D73936">
        <w:rPr>
          <w:rFonts w:cs="Times New Roman"/>
        </w:rPr>
        <w:t xml:space="preserve"> </w:t>
      </w:r>
      <w:r>
        <w:rPr>
          <w:rFonts w:cs="Times New Roman"/>
        </w:rPr>
        <w:t>9</w:t>
      </w:r>
      <w:r w:rsidRPr="00D73936">
        <w:rPr>
          <w:rFonts w:cs="Times New Roman"/>
        </w:rPr>
        <w:t xml:space="preserve"> </w:t>
      </w:r>
      <w:r w:rsidRPr="00D73936">
        <w:rPr>
          <w:rFonts w:cs="Times New Roman"/>
        </w:rPr>
        <w:tab/>
        <w:t>Primary ITT analyses of the effect of the HeLP intervention on the primary</w:t>
      </w:r>
      <w:r w:rsidRPr="00D73936">
        <w:rPr>
          <w:rFonts w:cs="Times New Roman"/>
        </w:rPr>
        <w:tab/>
        <w:t>6</w:t>
      </w:r>
      <w:r w:rsidR="00F92F8F">
        <w:rPr>
          <w:rFonts w:cs="Times New Roman"/>
        </w:rPr>
        <w:t>4</w:t>
      </w:r>
      <w:r w:rsidRPr="00D73936">
        <w:rPr>
          <w:rFonts w:cs="Times New Roman"/>
        </w:rPr>
        <w:t xml:space="preserve"> </w:t>
      </w:r>
    </w:p>
    <w:p w14:paraId="2D21C58B" w14:textId="77777777" w:rsidR="00D73936" w:rsidRPr="00D73936" w:rsidRDefault="00D73936" w:rsidP="00D73936">
      <w:pPr>
        <w:spacing w:after="0" w:line="360" w:lineRule="auto"/>
        <w:ind w:left="1440"/>
        <w:rPr>
          <w:rFonts w:cs="Times New Roman"/>
        </w:rPr>
      </w:pPr>
      <w:r w:rsidRPr="00D73936">
        <w:rPr>
          <w:rFonts w:cs="Times New Roman"/>
        </w:rPr>
        <w:t xml:space="preserve">outcome, BMI SDS, assessed at 24 months post baseline, in pre-specified </w:t>
      </w:r>
    </w:p>
    <w:p w14:paraId="03A42557" w14:textId="77777777" w:rsidR="00D73936" w:rsidRPr="00D73936" w:rsidRDefault="00D73936" w:rsidP="00D73936">
      <w:pPr>
        <w:spacing w:after="0" w:line="360" w:lineRule="auto"/>
        <w:ind w:left="1440"/>
        <w:rPr>
          <w:rFonts w:cs="Times New Roman"/>
        </w:rPr>
      </w:pPr>
      <w:r w:rsidRPr="00D73936">
        <w:rPr>
          <w:rFonts w:cs="Times New Roman"/>
        </w:rPr>
        <w:t>sub-groups</w:t>
      </w:r>
    </w:p>
    <w:p w14:paraId="4B3924CA" w14:textId="61AC136E" w:rsidR="00D73936" w:rsidRPr="00D73936" w:rsidRDefault="00D73936" w:rsidP="00D73936">
      <w:pPr>
        <w:keepNext/>
        <w:spacing w:after="0" w:line="360" w:lineRule="auto"/>
        <w:ind w:left="1440" w:hanging="1440"/>
        <w:rPr>
          <w:iCs/>
        </w:rPr>
      </w:pPr>
      <w:r w:rsidRPr="00D73936">
        <w:rPr>
          <w:rFonts w:cs="Arial"/>
        </w:rPr>
        <w:t>TABLE</w:t>
      </w:r>
      <w:r w:rsidRPr="00D73936">
        <w:rPr>
          <w:iCs/>
        </w:rPr>
        <w:t xml:space="preserve"> </w:t>
      </w:r>
      <w:r>
        <w:rPr>
          <w:iCs/>
        </w:rPr>
        <w:t>10</w:t>
      </w:r>
      <w:r w:rsidRPr="00D73936">
        <w:rPr>
          <w:i/>
          <w:iCs/>
        </w:rPr>
        <w:tab/>
      </w:r>
      <w:r w:rsidRPr="00D73936">
        <w:rPr>
          <w:iCs/>
        </w:rPr>
        <w:t>Primary analysis, both adjusted and unadjusted, for secondary outcomes</w:t>
      </w:r>
      <w:r w:rsidRPr="00D73936">
        <w:rPr>
          <w:iCs/>
        </w:rPr>
        <w:tab/>
        <w:t>6</w:t>
      </w:r>
      <w:r w:rsidR="00F92F8F">
        <w:rPr>
          <w:iCs/>
        </w:rPr>
        <w:t>8</w:t>
      </w:r>
      <w:r w:rsidRPr="00D73936">
        <w:rPr>
          <w:iCs/>
        </w:rPr>
        <w:t xml:space="preserve"> </w:t>
      </w:r>
    </w:p>
    <w:p w14:paraId="6A453D56" w14:textId="77777777" w:rsidR="00D73936" w:rsidRPr="00D73936" w:rsidRDefault="00D73936" w:rsidP="00D73936">
      <w:pPr>
        <w:keepNext/>
        <w:spacing w:after="0" w:line="360" w:lineRule="auto"/>
        <w:ind w:left="1440"/>
        <w:rPr>
          <w:iCs/>
        </w:rPr>
      </w:pPr>
      <w:r w:rsidRPr="00D73936">
        <w:rPr>
          <w:iCs/>
        </w:rPr>
        <w:t>at 24 months post baseline</w:t>
      </w:r>
    </w:p>
    <w:p w14:paraId="7D4EF1EB" w14:textId="37458E21" w:rsidR="00D73936" w:rsidRPr="00D73936" w:rsidRDefault="00D73936" w:rsidP="00D73936">
      <w:pPr>
        <w:keepNext/>
        <w:tabs>
          <w:tab w:val="left" w:pos="1215"/>
        </w:tabs>
        <w:spacing w:after="0" w:line="360" w:lineRule="auto"/>
        <w:ind w:left="1440" w:hanging="1440"/>
        <w:rPr>
          <w:iCs/>
        </w:rPr>
      </w:pPr>
      <w:r w:rsidRPr="00D73936">
        <w:rPr>
          <w:rFonts w:cs="Arial"/>
        </w:rPr>
        <w:t>TABLE</w:t>
      </w:r>
      <w:r w:rsidRPr="00D73936">
        <w:rPr>
          <w:iCs/>
        </w:rPr>
        <w:t xml:space="preserve"> </w:t>
      </w:r>
      <w:r>
        <w:rPr>
          <w:iCs/>
        </w:rPr>
        <w:t>11</w:t>
      </w:r>
      <w:r w:rsidRPr="00D73936">
        <w:rPr>
          <w:i/>
          <w:iCs/>
        </w:rPr>
        <w:t xml:space="preserve"> </w:t>
      </w:r>
      <w:r w:rsidRPr="00D73936">
        <w:rPr>
          <w:i/>
          <w:iCs/>
        </w:rPr>
        <w:tab/>
      </w:r>
      <w:r w:rsidRPr="00D73936">
        <w:rPr>
          <w:i/>
          <w:iCs/>
        </w:rPr>
        <w:tab/>
      </w:r>
      <w:r w:rsidRPr="00D73936">
        <w:rPr>
          <w:iCs/>
        </w:rPr>
        <w:t>Primary analysis, both adjusted and unadjusted, for weight status and other</w:t>
      </w:r>
      <w:r w:rsidRPr="00D73936">
        <w:rPr>
          <w:iCs/>
        </w:rPr>
        <w:tab/>
        <w:t>7</w:t>
      </w:r>
      <w:r w:rsidR="00F92F8F">
        <w:rPr>
          <w:iCs/>
        </w:rPr>
        <w:t>2</w:t>
      </w:r>
      <w:r w:rsidRPr="00D73936">
        <w:rPr>
          <w:iCs/>
        </w:rPr>
        <w:t xml:space="preserve"> anthropometric outcomes 18 months post baseline</w:t>
      </w:r>
    </w:p>
    <w:p w14:paraId="58A3B0DE" w14:textId="425B002D" w:rsidR="00D73936" w:rsidRPr="00D73936" w:rsidRDefault="00D73936" w:rsidP="00D73936">
      <w:pPr>
        <w:spacing w:after="0" w:line="360" w:lineRule="auto"/>
        <w:ind w:left="1440" w:hanging="1440"/>
        <w:rPr>
          <w:iCs/>
        </w:rPr>
      </w:pPr>
      <w:r w:rsidRPr="00D73936">
        <w:rPr>
          <w:rFonts w:cs="Arial"/>
        </w:rPr>
        <w:t>TABLE</w:t>
      </w:r>
      <w:r w:rsidRPr="00D73936">
        <w:rPr>
          <w:iCs/>
        </w:rPr>
        <w:t xml:space="preserve"> </w:t>
      </w:r>
      <w:r w:rsidR="0014276E">
        <w:rPr>
          <w:iCs/>
        </w:rPr>
        <w:t>12</w:t>
      </w:r>
      <w:r w:rsidRPr="00D73936">
        <w:rPr>
          <w:i/>
          <w:iCs/>
        </w:rPr>
        <w:t xml:space="preserve"> </w:t>
      </w:r>
      <w:r w:rsidRPr="00D73936">
        <w:rPr>
          <w:i/>
          <w:iCs/>
        </w:rPr>
        <w:tab/>
      </w:r>
      <w:r w:rsidRPr="00D73936">
        <w:rPr>
          <w:iCs/>
        </w:rPr>
        <w:t xml:space="preserve">Primary analysis, both adjusted and unadjusted, for Physical Activity </w:t>
      </w:r>
      <w:r w:rsidRPr="00D73936">
        <w:rPr>
          <w:iCs/>
        </w:rPr>
        <w:tab/>
      </w:r>
      <w:r w:rsidRPr="00D73936">
        <w:rPr>
          <w:iCs/>
        </w:rPr>
        <w:tab/>
        <w:t>7</w:t>
      </w:r>
      <w:r w:rsidR="00F92F8F">
        <w:rPr>
          <w:iCs/>
        </w:rPr>
        <w:t>3</w:t>
      </w:r>
    </w:p>
    <w:p w14:paraId="1AC50F17" w14:textId="77777777" w:rsidR="00D73936" w:rsidRPr="00D73936" w:rsidRDefault="00D73936" w:rsidP="00D73936">
      <w:pPr>
        <w:spacing w:after="0" w:line="360" w:lineRule="auto"/>
        <w:ind w:left="1440"/>
        <w:rPr>
          <w:iCs/>
        </w:rPr>
      </w:pPr>
      <w:r w:rsidRPr="00D73936">
        <w:rPr>
          <w:iCs/>
        </w:rPr>
        <w:t>outcomes at 18 months post baseline</w:t>
      </w:r>
    </w:p>
    <w:p w14:paraId="14E0A20D" w14:textId="21DF15FF" w:rsidR="00D73936" w:rsidRPr="00D73936" w:rsidRDefault="00D73936" w:rsidP="00D73936">
      <w:pPr>
        <w:spacing w:after="0" w:line="360" w:lineRule="auto"/>
        <w:ind w:left="1440" w:hanging="1440"/>
        <w:rPr>
          <w:iCs/>
        </w:rPr>
      </w:pPr>
      <w:r w:rsidRPr="00D73936">
        <w:rPr>
          <w:rFonts w:cs="Arial"/>
        </w:rPr>
        <w:t>TABLE</w:t>
      </w:r>
      <w:r w:rsidRPr="00D73936">
        <w:rPr>
          <w:iCs/>
        </w:rPr>
        <w:t xml:space="preserve"> </w:t>
      </w:r>
      <w:r w:rsidR="0014276E">
        <w:rPr>
          <w:iCs/>
        </w:rPr>
        <w:t>13</w:t>
      </w:r>
      <w:r w:rsidRPr="00D73936">
        <w:rPr>
          <w:i/>
          <w:iCs/>
        </w:rPr>
        <w:t xml:space="preserve"> </w:t>
      </w:r>
      <w:r w:rsidRPr="00D73936">
        <w:rPr>
          <w:i/>
          <w:iCs/>
        </w:rPr>
        <w:tab/>
      </w:r>
      <w:r w:rsidRPr="00D73936">
        <w:rPr>
          <w:iCs/>
        </w:rPr>
        <w:t>Primary analysis, both adjusted and unadjusted, for Food Intake</w:t>
      </w:r>
      <w:r w:rsidRPr="00D73936">
        <w:rPr>
          <w:iCs/>
        </w:rPr>
        <w:tab/>
      </w:r>
      <w:r w:rsidRPr="00D73936">
        <w:rPr>
          <w:iCs/>
        </w:rPr>
        <w:tab/>
      </w:r>
      <w:r w:rsidRPr="00D73936">
        <w:rPr>
          <w:iCs/>
        </w:rPr>
        <w:tab/>
        <w:t>7</w:t>
      </w:r>
      <w:r w:rsidR="00F92F8F">
        <w:rPr>
          <w:iCs/>
        </w:rPr>
        <w:t>4</w:t>
      </w:r>
    </w:p>
    <w:p w14:paraId="08B58526" w14:textId="77777777" w:rsidR="00D73936" w:rsidRPr="00D73936" w:rsidRDefault="00D73936" w:rsidP="00D73936">
      <w:pPr>
        <w:spacing w:after="0" w:line="360" w:lineRule="auto"/>
        <w:ind w:left="1440"/>
        <w:rPr>
          <w:iCs/>
        </w:rPr>
      </w:pPr>
      <w:r w:rsidRPr="00D73936">
        <w:rPr>
          <w:iCs/>
        </w:rPr>
        <w:t xml:space="preserve"> outcomes at 18 months post baseline</w:t>
      </w:r>
    </w:p>
    <w:p w14:paraId="36C1ADAA" w14:textId="00CF4AE4" w:rsidR="00D73936" w:rsidRPr="00D73936" w:rsidRDefault="00D73936" w:rsidP="00D73936">
      <w:pPr>
        <w:spacing w:after="0" w:line="360" w:lineRule="auto"/>
        <w:ind w:left="1440" w:hanging="1440"/>
        <w:rPr>
          <w:iCs/>
        </w:rPr>
      </w:pPr>
      <w:r w:rsidRPr="00D73936">
        <w:rPr>
          <w:rFonts w:cs="Arial"/>
        </w:rPr>
        <w:t>TABLE</w:t>
      </w:r>
      <w:r w:rsidRPr="00D73936">
        <w:rPr>
          <w:iCs/>
        </w:rPr>
        <w:t xml:space="preserve"> </w:t>
      </w:r>
      <w:r w:rsidR="0014276E">
        <w:rPr>
          <w:iCs/>
        </w:rPr>
        <w:t>14</w:t>
      </w:r>
      <w:r w:rsidRPr="00D73936">
        <w:rPr>
          <w:i/>
          <w:iCs/>
        </w:rPr>
        <w:t xml:space="preserve"> </w:t>
      </w:r>
      <w:r w:rsidRPr="00D73936">
        <w:rPr>
          <w:i/>
          <w:iCs/>
        </w:rPr>
        <w:tab/>
      </w:r>
      <w:r w:rsidRPr="00D73936">
        <w:rPr>
          <w:iCs/>
        </w:rPr>
        <w:t xml:space="preserve">Primary analysis, both adjusted and unadjusted, of Weekday and </w:t>
      </w:r>
      <w:r w:rsidRPr="00D73936">
        <w:rPr>
          <w:iCs/>
        </w:rPr>
        <w:tab/>
      </w:r>
      <w:r w:rsidRPr="00D73936">
        <w:rPr>
          <w:iCs/>
        </w:rPr>
        <w:tab/>
        <w:t>7</w:t>
      </w:r>
      <w:r w:rsidR="00F92F8F">
        <w:rPr>
          <w:iCs/>
        </w:rPr>
        <w:t>5</w:t>
      </w:r>
    </w:p>
    <w:p w14:paraId="3F3028B3" w14:textId="77777777" w:rsidR="00D73936" w:rsidRPr="00D73936" w:rsidRDefault="00D73936" w:rsidP="00D73936">
      <w:pPr>
        <w:spacing w:after="0" w:line="360" w:lineRule="auto"/>
        <w:ind w:left="1440"/>
        <w:rPr>
          <w:iCs/>
        </w:rPr>
      </w:pPr>
      <w:r w:rsidRPr="00D73936">
        <w:rPr>
          <w:iCs/>
        </w:rPr>
        <w:t xml:space="preserve">Weekend Food Intake Questionnaire Scores, modelled as ordinal </w:t>
      </w:r>
    </w:p>
    <w:p w14:paraId="359641FB" w14:textId="77777777" w:rsidR="00D73936" w:rsidRPr="00D73936" w:rsidRDefault="00D73936" w:rsidP="00D73936">
      <w:pPr>
        <w:spacing w:after="0" w:line="360" w:lineRule="auto"/>
        <w:ind w:left="1440"/>
        <w:rPr>
          <w:iCs/>
        </w:rPr>
      </w:pPr>
      <w:r w:rsidRPr="00D73936">
        <w:rPr>
          <w:iCs/>
        </w:rPr>
        <w:t>outcomes, at 18 months post baseline</w:t>
      </w:r>
    </w:p>
    <w:p w14:paraId="606E03B0" w14:textId="54AC8888" w:rsidR="00D73936" w:rsidRPr="00D73936" w:rsidRDefault="00D73936" w:rsidP="00D73936">
      <w:pPr>
        <w:spacing w:after="0" w:line="360" w:lineRule="auto"/>
        <w:ind w:left="1440" w:hanging="1440"/>
        <w:rPr>
          <w:iCs/>
        </w:rPr>
      </w:pPr>
      <w:r w:rsidRPr="00D73936">
        <w:rPr>
          <w:rFonts w:cs="Arial"/>
        </w:rPr>
        <w:t>TABLE</w:t>
      </w:r>
      <w:r w:rsidRPr="00D73936">
        <w:rPr>
          <w:iCs/>
        </w:rPr>
        <w:t xml:space="preserve"> </w:t>
      </w:r>
      <w:r w:rsidR="0014276E">
        <w:rPr>
          <w:iCs/>
        </w:rPr>
        <w:t>15</w:t>
      </w:r>
      <w:r w:rsidRPr="00D73936">
        <w:rPr>
          <w:iCs/>
        </w:rPr>
        <w:t xml:space="preserve"> </w:t>
      </w:r>
      <w:r w:rsidRPr="00D73936">
        <w:rPr>
          <w:iCs/>
        </w:rPr>
        <w:tab/>
        <w:t xml:space="preserve">Intra-class correlation coefficients from the random effects models for </w:t>
      </w:r>
      <w:r w:rsidRPr="00D73936">
        <w:rPr>
          <w:iCs/>
        </w:rPr>
        <w:tab/>
      </w:r>
      <w:r w:rsidRPr="00D73936">
        <w:rPr>
          <w:iCs/>
        </w:rPr>
        <w:tab/>
        <w:t>7</w:t>
      </w:r>
      <w:r w:rsidR="00F92F8F">
        <w:rPr>
          <w:iCs/>
        </w:rPr>
        <w:t>7</w:t>
      </w:r>
    </w:p>
    <w:p w14:paraId="7790580B" w14:textId="77777777" w:rsidR="00D73936" w:rsidRPr="00D73936" w:rsidRDefault="00D73936" w:rsidP="00D73936">
      <w:pPr>
        <w:spacing w:after="0" w:line="360" w:lineRule="auto"/>
        <w:ind w:left="1440"/>
        <w:rPr>
          <w:iCs/>
        </w:rPr>
      </w:pPr>
      <w:r w:rsidRPr="00D73936">
        <w:rPr>
          <w:iCs/>
        </w:rPr>
        <w:t>the outcomes at 18 and 24 months post baseline</w:t>
      </w:r>
    </w:p>
    <w:p w14:paraId="778E876B" w14:textId="6D057A59" w:rsidR="00D73936" w:rsidRPr="00D73936" w:rsidRDefault="00D73936" w:rsidP="00D73936">
      <w:pPr>
        <w:spacing w:after="0" w:line="360" w:lineRule="auto"/>
        <w:rPr>
          <w:rFonts w:cs="Arial"/>
        </w:rPr>
      </w:pPr>
      <w:r w:rsidRPr="00D73936">
        <w:rPr>
          <w:iCs/>
        </w:rPr>
        <w:t xml:space="preserve">TABLE </w:t>
      </w:r>
      <w:r w:rsidR="0014276E" w:rsidRPr="0014276E">
        <w:rPr>
          <w:rFonts w:cs="Arial"/>
        </w:rPr>
        <w:t>16</w:t>
      </w:r>
      <w:r w:rsidRPr="0014276E">
        <w:rPr>
          <w:rFonts w:cs="Arial"/>
        </w:rPr>
        <w:t xml:space="preserve"> </w:t>
      </w:r>
      <w:r w:rsidRPr="00D73936">
        <w:rPr>
          <w:rFonts w:cs="Arial"/>
        </w:rPr>
        <w:tab/>
        <w:t>Summary of the components of the HeLP intervention</w:t>
      </w:r>
      <w:r w:rsidRPr="00D73936">
        <w:rPr>
          <w:rFonts w:cs="Arial"/>
        </w:rPr>
        <w:tab/>
      </w:r>
      <w:r w:rsidRPr="00D73936">
        <w:rPr>
          <w:rFonts w:cs="Arial"/>
        </w:rPr>
        <w:tab/>
      </w:r>
      <w:r w:rsidRPr="00D73936">
        <w:rPr>
          <w:rFonts w:cs="Arial"/>
        </w:rPr>
        <w:tab/>
      </w:r>
      <w:r w:rsidRPr="00D73936">
        <w:rPr>
          <w:rFonts w:cs="Arial"/>
        </w:rPr>
        <w:tab/>
        <w:t>8</w:t>
      </w:r>
      <w:r w:rsidR="00F92F8F">
        <w:rPr>
          <w:rFonts w:cs="Arial"/>
        </w:rPr>
        <w:t>1</w:t>
      </w:r>
    </w:p>
    <w:p w14:paraId="31EE0397" w14:textId="0626097C" w:rsidR="00D73936" w:rsidRPr="00D73936" w:rsidRDefault="00D73936" w:rsidP="00D73936">
      <w:pPr>
        <w:spacing w:after="0" w:line="360" w:lineRule="auto"/>
        <w:rPr>
          <w:rFonts w:cs="Arial"/>
        </w:rPr>
      </w:pPr>
      <w:r w:rsidRPr="00D73936">
        <w:rPr>
          <w:rFonts w:cs="Arial"/>
        </w:rPr>
        <w:t xml:space="preserve">TABLE </w:t>
      </w:r>
      <w:r w:rsidR="0014276E">
        <w:rPr>
          <w:rFonts w:cs="Arial"/>
        </w:rPr>
        <w:t>17</w:t>
      </w:r>
      <w:r w:rsidRPr="00D73936">
        <w:rPr>
          <w:rFonts w:cs="Arial"/>
        </w:rPr>
        <w:t xml:space="preserve"> </w:t>
      </w:r>
      <w:r w:rsidRPr="00D73936">
        <w:rPr>
          <w:rFonts w:cs="Arial"/>
        </w:rPr>
        <w:tab/>
        <w:t>Unit costs used to estimate cost for delivery of HeLP intervention</w:t>
      </w:r>
      <w:r w:rsidRPr="00D73936">
        <w:rPr>
          <w:rFonts w:cs="Arial"/>
        </w:rPr>
        <w:tab/>
      </w:r>
      <w:r w:rsidRPr="00D73936">
        <w:rPr>
          <w:rFonts w:cs="Arial"/>
        </w:rPr>
        <w:tab/>
        <w:t>8</w:t>
      </w:r>
      <w:r w:rsidR="00F92F8F">
        <w:rPr>
          <w:rFonts w:cs="Arial"/>
        </w:rPr>
        <w:t>2</w:t>
      </w:r>
    </w:p>
    <w:p w14:paraId="130C8B1B" w14:textId="392345B0" w:rsidR="00D73936" w:rsidRPr="00D73936" w:rsidRDefault="00D73936" w:rsidP="00D73936">
      <w:pPr>
        <w:spacing w:after="0" w:line="360" w:lineRule="auto"/>
        <w:rPr>
          <w:rFonts w:cs="Arial"/>
        </w:rPr>
      </w:pPr>
      <w:r w:rsidRPr="00D73936">
        <w:rPr>
          <w:rFonts w:cs="Arial"/>
        </w:rPr>
        <w:lastRenderedPageBreak/>
        <w:t xml:space="preserve">TABLE </w:t>
      </w:r>
      <w:r w:rsidR="0014276E">
        <w:rPr>
          <w:rFonts w:cs="Arial"/>
        </w:rPr>
        <w:t>18</w:t>
      </w:r>
      <w:r w:rsidRPr="00D73936">
        <w:rPr>
          <w:rFonts w:cs="Arial"/>
        </w:rPr>
        <w:t xml:space="preserve"> </w:t>
      </w:r>
      <w:r w:rsidRPr="00D73936">
        <w:rPr>
          <w:rFonts w:cs="Arial"/>
        </w:rPr>
        <w:tab/>
        <w:t xml:space="preserve">Summary of school level characteristics for delivery of HeLP </w:t>
      </w:r>
      <w:r w:rsidRPr="00D73936">
        <w:rPr>
          <w:rFonts w:cs="Arial"/>
        </w:rPr>
        <w:tab/>
      </w:r>
      <w:r w:rsidRPr="00D73936">
        <w:rPr>
          <w:rFonts w:cs="Arial"/>
        </w:rPr>
        <w:tab/>
      </w:r>
      <w:r w:rsidRPr="00D73936">
        <w:rPr>
          <w:rFonts w:cs="Arial"/>
        </w:rPr>
        <w:tab/>
        <w:t>8</w:t>
      </w:r>
      <w:r w:rsidR="004B6CBF">
        <w:rPr>
          <w:rFonts w:cs="Arial"/>
        </w:rPr>
        <w:t>5</w:t>
      </w:r>
    </w:p>
    <w:p w14:paraId="634136B7" w14:textId="2DF83527" w:rsidR="00D73936" w:rsidRPr="00D73936" w:rsidRDefault="00D73936" w:rsidP="00D73936">
      <w:pPr>
        <w:spacing w:after="0" w:line="360" w:lineRule="auto"/>
        <w:ind w:left="1440" w:hanging="1440"/>
        <w:rPr>
          <w:rFonts w:cs="Arial"/>
        </w:rPr>
      </w:pPr>
      <w:r w:rsidRPr="00D73936">
        <w:rPr>
          <w:rFonts w:cs="Arial"/>
        </w:rPr>
        <w:t xml:space="preserve">TABLE </w:t>
      </w:r>
      <w:r w:rsidR="0014276E">
        <w:rPr>
          <w:rFonts w:cs="Arial"/>
        </w:rPr>
        <w:t>19</w:t>
      </w:r>
      <w:r w:rsidRPr="00D73936">
        <w:rPr>
          <w:rFonts w:cs="Arial"/>
        </w:rPr>
        <w:t xml:space="preserve"> </w:t>
      </w:r>
      <w:r w:rsidRPr="00D73936">
        <w:rPr>
          <w:rFonts w:cs="Arial"/>
        </w:rPr>
        <w:tab/>
        <w:t xml:space="preserve">Resource use by staff type by type of contact (preparation, task and travel): </w:t>
      </w:r>
      <w:r w:rsidRPr="00D73936">
        <w:rPr>
          <w:rFonts w:cs="Arial"/>
        </w:rPr>
        <w:tab/>
        <w:t>8</w:t>
      </w:r>
      <w:r w:rsidR="004B6CBF">
        <w:rPr>
          <w:rFonts w:cs="Arial"/>
        </w:rPr>
        <w:t>6</w:t>
      </w:r>
    </w:p>
    <w:p w14:paraId="57DCF541" w14:textId="77777777" w:rsidR="00D73936" w:rsidRPr="00D73936" w:rsidRDefault="00D73936" w:rsidP="00D73936">
      <w:pPr>
        <w:spacing w:after="0" w:line="360" w:lineRule="auto"/>
        <w:ind w:left="1440"/>
        <w:rPr>
          <w:rFonts w:cs="Arial"/>
        </w:rPr>
      </w:pPr>
      <w:r w:rsidRPr="00D73936">
        <w:rPr>
          <w:rFonts w:cs="Arial"/>
        </w:rPr>
        <w:t>Total across 16 schools, 27 classes</w:t>
      </w:r>
    </w:p>
    <w:p w14:paraId="52B9923C" w14:textId="1968E3D9" w:rsidR="00D73936" w:rsidRPr="00D73936" w:rsidRDefault="00D73936" w:rsidP="00D73936">
      <w:pPr>
        <w:spacing w:after="0" w:line="360" w:lineRule="auto"/>
        <w:ind w:left="1440" w:hanging="1440"/>
        <w:rPr>
          <w:rFonts w:cs="Arial"/>
        </w:rPr>
      </w:pPr>
      <w:r w:rsidRPr="00D73936">
        <w:rPr>
          <w:rFonts w:cs="Arial"/>
        </w:rPr>
        <w:t xml:space="preserve">TABLE </w:t>
      </w:r>
      <w:r w:rsidR="0014276E">
        <w:rPr>
          <w:rFonts w:cs="Arial"/>
        </w:rPr>
        <w:t>20</w:t>
      </w:r>
      <w:r w:rsidRPr="00D73936">
        <w:rPr>
          <w:rFonts w:cs="Arial"/>
        </w:rPr>
        <w:t xml:space="preserve"> </w:t>
      </w:r>
      <w:r w:rsidRPr="00D73936">
        <w:rPr>
          <w:rFonts w:cs="Arial"/>
        </w:rPr>
        <w:tab/>
        <w:t xml:space="preserve">Resource use by school-class configuration: resource use by staff type </w:t>
      </w:r>
      <w:r w:rsidRPr="00D73936">
        <w:rPr>
          <w:rFonts w:cs="Arial"/>
        </w:rPr>
        <w:tab/>
      </w:r>
      <w:r w:rsidRPr="00D73936">
        <w:rPr>
          <w:rFonts w:cs="Arial"/>
        </w:rPr>
        <w:tab/>
        <w:t>8</w:t>
      </w:r>
      <w:r w:rsidR="004B6CBF">
        <w:rPr>
          <w:rFonts w:cs="Arial"/>
        </w:rPr>
        <w:t>7</w:t>
      </w:r>
    </w:p>
    <w:p w14:paraId="342BD68C" w14:textId="77777777" w:rsidR="00D73936" w:rsidRPr="00D73936" w:rsidRDefault="00D73936" w:rsidP="00D73936">
      <w:pPr>
        <w:spacing w:after="0" w:line="360" w:lineRule="auto"/>
        <w:ind w:left="1440"/>
        <w:rPr>
          <w:rFonts w:cs="Arial"/>
        </w:rPr>
      </w:pPr>
      <w:r w:rsidRPr="00D73936">
        <w:rPr>
          <w:rFonts w:cs="Arial"/>
        </w:rPr>
        <w:t>by type of  contact (preparation, task and travel)</w:t>
      </w:r>
    </w:p>
    <w:p w14:paraId="10D28F08" w14:textId="74CC4D12" w:rsidR="00D73936" w:rsidRPr="00D73936" w:rsidRDefault="00D73936" w:rsidP="00D73936">
      <w:pPr>
        <w:keepNext/>
        <w:spacing w:after="0" w:line="360" w:lineRule="auto"/>
        <w:rPr>
          <w:rFonts w:cs="Arial"/>
        </w:rPr>
      </w:pPr>
      <w:r w:rsidRPr="00D73936">
        <w:rPr>
          <w:rFonts w:cs="Arial"/>
        </w:rPr>
        <w:t xml:space="preserve">TABLE </w:t>
      </w:r>
      <w:r w:rsidR="0014276E">
        <w:rPr>
          <w:rFonts w:cs="Arial"/>
        </w:rPr>
        <w:t>21</w:t>
      </w:r>
      <w:r w:rsidRPr="00D73936">
        <w:rPr>
          <w:rFonts w:cs="Arial"/>
        </w:rPr>
        <w:t xml:space="preserve"> </w:t>
      </w:r>
      <w:r w:rsidRPr="00D73936">
        <w:rPr>
          <w:rFonts w:cs="Arial"/>
        </w:rPr>
        <w:tab/>
        <w:t>Estimated cost for delivery of HeLP (total cost, across 16 schools, 27 classes)</w:t>
      </w:r>
      <w:r w:rsidRPr="00D73936">
        <w:rPr>
          <w:rFonts w:cs="Arial"/>
        </w:rPr>
        <w:tab/>
        <w:t>8</w:t>
      </w:r>
      <w:r w:rsidR="004B6CBF">
        <w:rPr>
          <w:rFonts w:cs="Arial"/>
        </w:rPr>
        <w:t>8</w:t>
      </w:r>
    </w:p>
    <w:p w14:paraId="78C5D508" w14:textId="3DD888CF" w:rsidR="00D73936" w:rsidRPr="00D73936" w:rsidRDefault="00D73936" w:rsidP="00D73936">
      <w:pPr>
        <w:keepNext/>
        <w:spacing w:after="0" w:line="360" w:lineRule="auto"/>
        <w:ind w:left="1440" w:hanging="1440"/>
        <w:rPr>
          <w:rFonts w:cs="Arial"/>
        </w:rPr>
      </w:pPr>
      <w:r w:rsidRPr="00D73936">
        <w:rPr>
          <w:rFonts w:cs="Arial"/>
        </w:rPr>
        <w:t xml:space="preserve">TABLE </w:t>
      </w:r>
      <w:r w:rsidR="0014276E">
        <w:rPr>
          <w:rFonts w:cs="Arial"/>
        </w:rPr>
        <w:t>22</w:t>
      </w:r>
      <w:r w:rsidRPr="00D73936">
        <w:rPr>
          <w:rFonts w:cs="Arial"/>
        </w:rPr>
        <w:t xml:space="preserve"> </w:t>
      </w:r>
      <w:r w:rsidRPr="00D73936">
        <w:rPr>
          <w:rFonts w:cs="Arial"/>
        </w:rPr>
        <w:tab/>
        <w:t xml:space="preserve">Estimated total cost for delivery of HeLP by school-class configuration: </w:t>
      </w:r>
      <w:r w:rsidRPr="00D73936">
        <w:rPr>
          <w:rFonts w:cs="Arial"/>
        </w:rPr>
        <w:tab/>
      </w:r>
      <w:r w:rsidRPr="00D73936">
        <w:rPr>
          <w:rFonts w:cs="Arial"/>
        </w:rPr>
        <w:tab/>
        <w:t>8</w:t>
      </w:r>
      <w:r w:rsidR="004B6CBF">
        <w:rPr>
          <w:rFonts w:cs="Arial"/>
        </w:rPr>
        <w:t>9</w:t>
      </w:r>
    </w:p>
    <w:p w14:paraId="588A9DC6" w14:textId="77777777" w:rsidR="00D73936" w:rsidRPr="00D73936" w:rsidRDefault="00D73936" w:rsidP="00D73936">
      <w:pPr>
        <w:keepNext/>
        <w:spacing w:after="0" w:line="360" w:lineRule="auto"/>
        <w:ind w:left="1440"/>
        <w:rPr>
          <w:rFonts w:cs="Arial"/>
        </w:rPr>
      </w:pPr>
      <w:r w:rsidRPr="00D73936">
        <w:rPr>
          <w:rFonts w:cs="Arial"/>
        </w:rPr>
        <w:t>1 school and 1, 2, 3 classes</w:t>
      </w:r>
    </w:p>
    <w:p w14:paraId="58D39729" w14:textId="603B3F89" w:rsidR="00D73936" w:rsidRPr="00D73936" w:rsidRDefault="00D73936" w:rsidP="00D73936">
      <w:pPr>
        <w:keepNext/>
        <w:spacing w:after="0" w:line="360" w:lineRule="auto"/>
        <w:ind w:left="1440" w:hanging="1440"/>
        <w:rPr>
          <w:rFonts w:cs="Arial"/>
        </w:rPr>
      </w:pPr>
      <w:r w:rsidRPr="00D73936">
        <w:rPr>
          <w:rFonts w:cs="Arial"/>
        </w:rPr>
        <w:t xml:space="preserve">TABLE </w:t>
      </w:r>
      <w:r w:rsidR="0014276E">
        <w:rPr>
          <w:rFonts w:cs="Arial"/>
        </w:rPr>
        <w:t>23</w:t>
      </w:r>
      <w:r w:rsidRPr="00D73936">
        <w:rPr>
          <w:rFonts w:cs="Arial"/>
        </w:rPr>
        <w:t xml:space="preserve"> </w:t>
      </w:r>
      <w:r w:rsidRPr="00D73936">
        <w:rPr>
          <w:rFonts w:cs="Arial"/>
        </w:rPr>
        <w:tab/>
        <w:t xml:space="preserve">Sensitivity Analysis (SA1): Estimated cost for delivery of HeLP </w:t>
      </w:r>
      <w:r w:rsidRPr="00D73936">
        <w:rPr>
          <w:rFonts w:cs="Arial"/>
        </w:rPr>
        <w:tab/>
      </w:r>
      <w:r w:rsidRPr="00D73936">
        <w:rPr>
          <w:rFonts w:cs="Arial"/>
        </w:rPr>
        <w:tab/>
      </w:r>
      <w:r w:rsidRPr="00D73936">
        <w:rPr>
          <w:rFonts w:cs="Arial"/>
        </w:rPr>
        <w:tab/>
        <w:t>9</w:t>
      </w:r>
      <w:r w:rsidR="004B6CBF">
        <w:rPr>
          <w:rFonts w:cs="Arial"/>
        </w:rPr>
        <w:t>0</w:t>
      </w:r>
    </w:p>
    <w:p w14:paraId="485ADEC1" w14:textId="77777777" w:rsidR="00D73936" w:rsidRPr="00D73936" w:rsidRDefault="00D73936" w:rsidP="00D73936">
      <w:pPr>
        <w:keepNext/>
        <w:spacing w:after="0" w:line="360" w:lineRule="auto"/>
        <w:ind w:left="1440"/>
        <w:rPr>
          <w:rFonts w:cs="Arial"/>
        </w:rPr>
      </w:pPr>
      <w:r w:rsidRPr="00D73936">
        <w:rPr>
          <w:rFonts w:cs="Arial"/>
        </w:rPr>
        <w:t xml:space="preserve">(total cost, across 16 schools, 27 classes) using higher unit cost (£25.34) </w:t>
      </w:r>
    </w:p>
    <w:p w14:paraId="61206A4D" w14:textId="77777777" w:rsidR="00D73936" w:rsidRPr="00D73936" w:rsidRDefault="00D73936" w:rsidP="00D73936">
      <w:pPr>
        <w:keepNext/>
        <w:spacing w:after="0" w:line="360" w:lineRule="auto"/>
        <w:ind w:left="1440"/>
        <w:rPr>
          <w:rFonts w:cs="Arial"/>
        </w:rPr>
      </w:pPr>
      <w:r w:rsidRPr="00D73936">
        <w:rPr>
          <w:rFonts w:cs="Arial"/>
        </w:rPr>
        <w:t>for Actor time</w:t>
      </w:r>
    </w:p>
    <w:p w14:paraId="339B0429" w14:textId="3B9199BA" w:rsidR="00D73936" w:rsidRPr="00D73936" w:rsidRDefault="00D73936" w:rsidP="00D73936">
      <w:pPr>
        <w:keepNext/>
        <w:spacing w:after="0" w:line="360" w:lineRule="auto"/>
        <w:ind w:left="1440" w:hanging="1440"/>
        <w:rPr>
          <w:rFonts w:cs="Arial"/>
        </w:rPr>
      </w:pPr>
      <w:r w:rsidRPr="00D73936">
        <w:rPr>
          <w:rFonts w:cs="Arial"/>
        </w:rPr>
        <w:t xml:space="preserve">TABLE </w:t>
      </w:r>
      <w:r w:rsidR="0014276E">
        <w:rPr>
          <w:rFonts w:cs="Arial"/>
        </w:rPr>
        <w:t>24</w:t>
      </w:r>
      <w:r w:rsidRPr="00D73936">
        <w:rPr>
          <w:rFonts w:cs="Arial"/>
        </w:rPr>
        <w:t xml:space="preserve"> </w:t>
      </w:r>
      <w:r w:rsidRPr="00D73936">
        <w:rPr>
          <w:rFonts w:cs="Arial"/>
        </w:rPr>
        <w:tab/>
        <w:t xml:space="preserve">Sensitivity Analysis: Estimated cost for delivery of HeLP </w:t>
      </w:r>
      <w:r w:rsidRPr="00D73936">
        <w:rPr>
          <w:rFonts w:cs="Arial"/>
        </w:rPr>
        <w:tab/>
      </w:r>
      <w:r w:rsidRPr="00D73936">
        <w:rPr>
          <w:rFonts w:cs="Arial"/>
        </w:rPr>
        <w:tab/>
      </w:r>
      <w:r w:rsidRPr="00D73936">
        <w:rPr>
          <w:rFonts w:cs="Arial"/>
        </w:rPr>
        <w:tab/>
      </w:r>
      <w:r w:rsidRPr="00D73936">
        <w:rPr>
          <w:rFonts w:cs="Arial"/>
        </w:rPr>
        <w:tab/>
        <w:t>9</w:t>
      </w:r>
      <w:r w:rsidR="004B6CBF">
        <w:rPr>
          <w:rFonts w:cs="Arial"/>
        </w:rPr>
        <w:t>1</w:t>
      </w:r>
    </w:p>
    <w:p w14:paraId="5CFB59DB" w14:textId="77777777" w:rsidR="00D73936" w:rsidRPr="00D73936" w:rsidRDefault="00D73936" w:rsidP="00D73936">
      <w:pPr>
        <w:keepNext/>
        <w:spacing w:after="0" w:line="360" w:lineRule="auto"/>
        <w:ind w:left="1440"/>
        <w:rPr>
          <w:rFonts w:cs="Arial"/>
        </w:rPr>
      </w:pPr>
      <w:r w:rsidRPr="00D73936">
        <w:rPr>
          <w:rFonts w:cs="Arial"/>
        </w:rPr>
        <w:t>(total cost, across 16 schools, 27 classes) including costs for Teacher time.</w:t>
      </w:r>
    </w:p>
    <w:p w14:paraId="31B312E8" w14:textId="6E398899" w:rsidR="00D73936" w:rsidRPr="00D73936" w:rsidRDefault="00D73936" w:rsidP="00D73936">
      <w:pPr>
        <w:keepNext/>
        <w:spacing w:after="0" w:line="360" w:lineRule="auto"/>
        <w:rPr>
          <w:rFonts w:cs="Arial"/>
        </w:rPr>
      </w:pPr>
      <w:r w:rsidRPr="00D73936">
        <w:rPr>
          <w:rFonts w:cs="Arial"/>
        </w:rPr>
        <w:t xml:space="preserve">TABLE </w:t>
      </w:r>
      <w:r w:rsidR="0014276E">
        <w:rPr>
          <w:rFonts w:cs="Arial"/>
        </w:rPr>
        <w:t>25</w:t>
      </w:r>
      <w:r w:rsidRPr="00D73936">
        <w:rPr>
          <w:rFonts w:cs="Arial"/>
        </w:rPr>
        <w:t xml:space="preserve"> </w:t>
      </w:r>
      <w:r w:rsidRPr="00D73936">
        <w:rPr>
          <w:rFonts w:cs="Arial"/>
        </w:rPr>
        <w:tab/>
        <w:t>Summary characteristics of the identified models</w:t>
      </w:r>
      <w:r w:rsidRPr="00D73936">
        <w:rPr>
          <w:rFonts w:cs="Arial"/>
        </w:rPr>
        <w:tab/>
      </w:r>
      <w:r w:rsidRPr="00D73936">
        <w:rPr>
          <w:rFonts w:cs="Arial"/>
        </w:rPr>
        <w:tab/>
      </w:r>
      <w:r w:rsidRPr="00D73936">
        <w:rPr>
          <w:rFonts w:cs="Arial"/>
        </w:rPr>
        <w:tab/>
      </w:r>
      <w:r w:rsidRPr="00D73936">
        <w:rPr>
          <w:rFonts w:cs="Arial"/>
        </w:rPr>
        <w:tab/>
        <w:t>9</w:t>
      </w:r>
      <w:r w:rsidR="004B6CBF">
        <w:rPr>
          <w:rFonts w:cs="Arial"/>
        </w:rPr>
        <w:t>5</w:t>
      </w:r>
    </w:p>
    <w:p w14:paraId="3DE91AC9" w14:textId="48C33426" w:rsidR="00D73936" w:rsidRPr="00D73936" w:rsidRDefault="00D73936" w:rsidP="00D73936">
      <w:pPr>
        <w:keepNext/>
        <w:spacing w:after="0" w:line="360" w:lineRule="auto"/>
        <w:rPr>
          <w:rFonts w:cs="Arial"/>
        </w:rPr>
      </w:pPr>
      <w:r w:rsidRPr="00D73936">
        <w:rPr>
          <w:rFonts w:cs="Arial"/>
        </w:rPr>
        <w:t xml:space="preserve">TABLE </w:t>
      </w:r>
      <w:r w:rsidR="0014276E">
        <w:rPr>
          <w:rFonts w:cs="Arial"/>
        </w:rPr>
        <w:t>26</w:t>
      </w:r>
      <w:r w:rsidRPr="00D73936">
        <w:rPr>
          <w:rFonts w:cs="Arial"/>
        </w:rPr>
        <w:t xml:space="preserve"> </w:t>
      </w:r>
      <w:r w:rsidRPr="00D73936">
        <w:rPr>
          <w:rFonts w:cs="Arial"/>
        </w:rPr>
        <w:tab/>
        <w:t>Study characteristics of the included weight status tracking studies</w:t>
      </w:r>
      <w:r w:rsidRPr="00D73936">
        <w:rPr>
          <w:rFonts w:cs="Arial"/>
        </w:rPr>
        <w:tab/>
      </w:r>
      <w:r w:rsidRPr="00D73936">
        <w:rPr>
          <w:rFonts w:cs="Arial"/>
        </w:rPr>
        <w:tab/>
        <w:t>10</w:t>
      </w:r>
      <w:r w:rsidR="004B6CBF">
        <w:rPr>
          <w:rFonts w:cs="Arial"/>
        </w:rPr>
        <w:t>6</w:t>
      </w:r>
    </w:p>
    <w:p w14:paraId="32B555F4" w14:textId="3C56FCAD" w:rsidR="00D73936" w:rsidRPr="00D73936" w:rsidRDefault="00D73936" w:rsidP="00D73936">
      <w:pPr>
        <w:spacing w:after="0" w:line="360" w:lineRule="auto"/>
        <w:rPr>
          <w:rFonts w:cs="Arial"/>
          <w:iCs/>
        </w:rPr>
      </w:pPr>
      <w:r w:rsidRPr="00D73936">
        <w:rPr>
          <w:rFonts w:cs="Arial"/>
          <w:iCs/>
        </w:rPr>
        <w:t xml:space="preserve">TABLE </w:t>
      </w:r>
      <w:r w:rsidR="0014276E">
        <w:rPr>
          <w:rFonts w:cs="Arial"/>
          <w:iCs/>
        </w:rPr>
        <w:t>27</w:t>
      </w:r>
      <w:r w:rsidRPr="00D73936">
        <w:rPr>
          <w:rFonts w:cs="Arial"/>
          <w:iCs/>
        </w:rPr>
        <w:t xml:space="preserve"> </w:t>
      </w:r>
      <w:r w:rsidRPr="00D73936">
        <w:rPr>
          <w:rFonts w:cs="Arial"/>
          <w:iCs/>
        </w:rPr>
        <w:tab/>
        <w:t>Predicted probabilities of adult weight status by child BMI centile category</w:t>
      </w:r>
      <w:r w:rsidRPr="00D73936">
        <w:rPr>
          <w:rFonts w:cs="Arial"/>
          <w:iCs/>
        </w:rPr>
        <w:tab/>
        <w:t>10</w:t>
      </w:r>
      <w:r w:rsidR="004B6CBF">
        <w:rPr>
          <w:rFonts w:cs="Arial"/>
          <w:iCs/>
        </w:rPr>
        <w:t>7</w:t>
      </w:r>
    </w:p>
    <w:p w14:paraId="71AF4FAC" w14:textId="526404DD" w:rsidR="00D73936" w:rsidRPr="00D73936" w:rsidRDefault="00D73936" w:rsidP="00D73936">
      <w:pPr>
        <w:spacing w:after="0" w:line="360" w:lineRule="auto"/>
        <w:ind w:left="1440" w:hanging="1440"/>
        <w:rPr>
          <w:rFonts w:cs="Arial"/>
          <w:iCs/>
        </w:rPr>
      </w:pPr>
      <w:r w:rsidRPr="00D73936">
        <w:rPr>
          <w:rFonts w:cs="Arial"/>
          <w:iCs/>
        </w:rPr>
        <w:t xml:space="preserve">TABLE </w:t>
      </w:r>
      <w:r w:rsidR="0014276E">
        <w:rPr>
          <w:rFonts w:cs="Arial"/>
          <w:iCs/>
        </w:rPr>
        <w:t>28</w:t>
      </w:r>
      <w:r w:rsidRPr="00D73936">
        <w:rPr>
          <w:rFonts w:cs="Arial"/>
          <w:iCs/>
        </w:rPr>
        <w:t xml:space="preserve"> </w:t>
      </w:r>
      <w:r w:rsidRPr="00D73936">
        <w:rPr>
          <w:rFonts w:cs="Arial"/>
          <w:iCs/>
        </w:rPr>
        <w:tab/>
        <w:t xml:space="preserve">Estimated incidence rate (probability) of adult weight-related </w:t>
      </w:r>
      <w:r w:rsidRPr="00D73936">
        <w:rPr>
          <w:rFonts w:cs="Arial"/>
          <w:iCs/>
        </w:rPr>
        <w:tab/>
      </w:r>
      <w:r w:rsidRPr="00D73936">
        <w:rPr>
          <w:rFonts w:cs="Arial"/>
          <w:iCs/>
        </w:rPr>
        <w:tab/>
      </w:r>
      <w:r w:rsidRPr="00D73936">
        <w:rPr>
          <w:rFonts w:cs="Arial"/>
          <w:iCs/>
        </w:rPr>
        <w:tab/>
        <w:t>10</w:t>
      </w:r>
      <w:r w:rsidR="004B6CBF">
        <w:rPr>
          <w:rFonts w:cs="Arial"/>
          <w:iCs/>
        </w:rPr>
        <w:t>9</w:t>
      </w:r>
    </w:p>
    <w:p w14:paraId="6D90781C" w14:textId="77777777" w:rsidR="00D73936" w:rsidRPr="00D73936" w:rsidRDefault="00D73936" w:rsidP="00D73936">
      <w:pPr>
        <w:spacing w:after="0" w:line="360" w:lineRule="auto"/>
        <w:ind w:left="1440"/>
        <w:rPr>
          <w:rFonts w:cs="Arial"/>
          <w:iCs/>
        </w:rPr>
      </w:pPr>
      <w:r w:rsidRPr="00D73936">
        <w:rPr>
          <w:rFonts w:cs="Arial"/>
          <w:iCs/>
        </w:rPr>
        <w:t>events by weight status, cases per 1,000 person years</w:t>
      </w:r>
    </w:p>
    <w:p w14:paraId="5A5CC979" w14:textId="528B483A" w:rsidR="00D73936" w:rsidRPr="00D73936" w:rsidRDefault="00D73936" w:rsidP="00D73936">
      <w:pPr>
        <w:spacing w:after="0" w:line="360" w:lineRule="auto"/>
        <w:rPr>
          <w:rFonts w:cs="Arial"/>
          <w:iCs/>
        </w:rPr>
      </w:pPr>
      <w:r w:rsidRPr="00D73936">
        <w:rPr>
          <w:rFonts w:cs="Arial"/>
          <w:iCs/>
        </w:rPr>
        <w:t xml:space="preserve">TABLE </w:t>
      </w:r>
      <w:r w:rsidR="0014276E">
        <w:rPr>
          <w:rFonts w:cs="Arial"/>
          <w:iCs/>
        </w:rPr>
        <w:t>29</w:t>
      </w:r>
      <w:r w:rsidRPr="00D73936">
        <w:rPr>
          <w:rFonts w:cs="Arial"/>
          <w:iCs/>
        </w:rPr>
        <w:t xml:space="preserve"> </w:t>
      </w:r>
      <w:r w:rsidRPr="00D73936">
        <w:rPr>
          <w:rFonts w:cs="Arial"/>
          <w:iCs/>
        </w:rPr>
        <w:tab/>
        <w:t>Mortality rates by condition of interest</w:t>
      </w:r>
      <w:r w:rsidRPr="00D73936">
        <w:rPr>
          <w:rFonts w:cs="Arial"/>
          <w:iCs/>
        </w:rPr>
        <w:tab/>
      </w:r>
      <w:r w:rsidRPr="00D73936">
        <w:rPr>
          <w:rFonts w:cs="Arial"/>
          <w:iCs/>
        </w:rPr>
        <w:tab/>
      </w:r>
      <w:r w:rsidRPr="00D73936">
        <w:rPr>
          <w:rFonts w:cs="Arial"/>
          <w:iCs/>
        </w:rPr>
        <w:tab/>
      </w:r>
      <w:r w:rsidRPr="00D73936">
        <w:rPr>
          <w:rFonts w:cs="Arial"/>
          <w:iCs/>
        </w:rPr>
        <w:tab/>
      </w:r>
      <w:r w:rsidRPr="00D73936">
        <w:rPr>
          <w:rFonts w:cs="Arial"/>
          <w:iCs/>
        </w:rPr>
        <w:tab/>
      </w:r>
      <w:r w:rsidRPr="00D73936">
        <w:rPr>
          <w:rFonts w:cs="Arial"/>
          <w:iCs/>
        </w:rPr>
        <w:tab/>
        <w:t>1</w:t>
      </w:r>
      <w:r w:rsidR="004B6CBF">
        <w:rPr>
          <w:rFonts w:cs="Arial"/>
          <w:iCs/>
        </w:rPr>
        <w:t>10</w:t>
      </w:r>
    </w:p>
    <w:p w14:paraId="34AA182D" w14:textId="7EE8B2FD" w:rsidR="00D73936" w:rsidRPr="00D73936" w:rsidRDefault="00D73936" w:rsidP="00D73936">
      <w:pPr>
        <w:spacing w:after="0" w:line="360" w:lineRule="auto"/>
        <w:rPr>
          <w:rFonts w:cs="Arial"/>
        </w:rPr>
      </w:pPr>
      <w:r w:rsidRPr="00D73936">
        <w:rPr>
          <w:rFonts w:cs="Arial"/>
        </w:rPr>
        <w:t xml:space="preserve">TABLE </w:t>
      </w:r>
      <w:r w:rsidR="0014276E">
        <w:rPr>
          <w:rFonts w:cs="Arial"/>
        </w:rPr>
        <w:t>30</w:t>
      </w:r>
      <w:r w:rsidRPr="00D73936">
        <w:rPr>
          <w:rFonts w:cs="Arial"/>
        </w:rPr>
        <w:t xml:space="preserve"> </w:t>
      </w:r>
      <w:r w:rsidRPr="00D73936">
        <w:rPr>
          <w:rFonts w:cs="Arial"/>
        </w:rPr>
        <w:tab/>
        <w:t>Health state values</w:t>
      </w:r>
      <w:r w:rsidRPr="00D73936">
        <w:rPr>
          <w:rFonts w:cs="Arial"/>
        </w:rPr>
        <w:tab/>
      </w:r>
      <w:r w:rsidRPr="00D73936">
        <w:rPr>
          <w:rFonts w:cs="Arial"/>
        </w:rPr>
        <w:tab/>
      </w:r>
      <w:r w:rsidRPr="00D73936">
        <w:rPr>
          <w:rFonts w:cs="Arial"/>
        </w:rPr>
        <w:tab/>
      </w:r>
      <w:r w:rsidRPr="00D73936">
        <w:rPr>
          <w:rFonts w:cs="Arial"/>
        </w:rPr>
        <w:tab/>
      </w:r>
      <w:r w:rsidRPr="00D73936">
        <w:rPr>
          <w:rFonts w:cs="Arial"/>
        </w:rPr>
        <w:tab/>
      </w:r>
      <w:r w:rsidRPr="00D73936">
        <w:rPr>
          <w:rFonts w:cs="Arial"/>
        </w:rPr>
        <w:tab/>
      </w:r>
      <w:r w:rsidRPr="00D73936">
        <w:rPr>
          <w:rFonts w:cs="Arial"/>
        </w:rPr>
        <w:tab/>
      </w:r>
      <w:r w:rsidRPr="00D73936">
        <w:rPr>
          <w:rFonts w:cs="Arial"/>
        </w:rPr>
        <w:tab/>
        <w:t>11</w:t>
      </w:r>
      <w:r w:rsidR="004B6CBF">
        <w:rPr>
          <w:rFonts w:cs="Arial"/>
        </w:rPr>
        <w:t>1</w:t>
      </w:r>
    </w:p>
    <w:p w14:paraId="7C6E3B6E" w14:textId="46A10E5B" w:rsidR="00D73936" w:rsidRPr="00D73936" w:rsidRDefault="00D73936" w:rsidP="00D73936">
      <w:pPr>
        <w:spacing w:after="0" w:line="360" w:lineRule="auto"/>
        <w:rPr>
          <w:rFonts w:cs="Arial"/>
        </w:rPr>
      </w:pPr>
      <w:r w:rsidRPr="00D73936">
        <w:rPr>
          <w:rFonts w:cs="Arial"/>
        </w:rPr>
        <w:t xml:space="preserve">TABLE </w:t>
      </w:r>
      <w:r w:rsidR="0014276E">
        <w:rPr>
          <w:rFonts w:cs="Arial"/>
        </w:rPr>
        <w:t>31</w:t>
      </w:r>
      <w:r w:rsidRPr="00D73936">
        <w:rPr>
          <w:rFonts w:cs="Arial"/>
        </w:rPr>
        <w:t xml:space="preserve"> </w:t>
      </w:r>
      <w:r w:rsidRPr="00D73936">
        <w:rPr>
          <w:rFonts w:cs="Arial"/>
        </w:rPr>
        <w:tab/>
        <w:t>Treatment costs per health state</w:t>
      </w:r>
      <w:r w:rsidRPr="00D73936">
        <w:rPr>
          <w:rFonts w:cs="Arial"/>
        </w:rPr>
        <w:tab/>
      </w:r>
      <w:r w:rsidRPr="00D73936">
        <w:rPr>
          <w:rFonts w:cs="Arial"/>
        </w:rPr>
        <w:tab/>
      </w:r>
      <w:r w:rsidRPr="00D73936">
        <w:rPr>
          <w:rFonts w:cs="Arial"/>
        </w:rPr>
        <w:tab/>
      </w:r>
      <w:r w:rsidRPr="00D73936">
        <w:rPr>
          <w:rFonts w:cs="Arial"/>
        </w:rPr>
        <w:tab/>
      </w:r>
      <w:r w:rsidRPr="00D73936">
        <w:rPr>
          <w:rFonts w:cs="Arial"/>
        </w:rPr>
        <w:tab/>
      </w:r>
      <w:r w:rsidRPr="00D73936">
        <w:rPr>
          <w:rFonts w:cs="Arial"/>
        </w:rPr>
        <w:tab/>
        <w:t>11</w:t>
      </w:r>
      <w:r w:rsidR="004B6CBF">
        <w:rPr>
          <w:rFonts w:cs="Arial"/>
        </w:rPr>
        <w:t>4</w:t>
      </w:r>
    </w:p>
    <w:p w14:paraId="2BEAD6EF" w14:textId="2EE97FC6" w:rsidR="00D73936" w:rsidRPr="00D73936" w:rsidRDefault="00D73936" w:rsidP="00D73936">
      <w:pPr>
        <w:spacing w:after="0" w:line="360" w:lineRule="auto"/>
        <w:rPr>
          <w:rFonts w:cs="Arial"/>
        </w:rPr>
      </w:pPr>
      <w:r w:rsidRPr="00D73936">
        <w:rPr>
          <w:rFonts w:cs="Arial"/>
        </w:rPr>
        <w:t xml:space="preserve">TABLE </w:t>
      </w:r>
      <w:r w:rsidR="0014276E">
        <w:rPr>
          <w:rFonts w:cs="Arial"/>
        </w:rPr>
        <w:t>32</w:t>
      </w:r>
      <w:r w:rsidRPr="00D73936">
        <w:rPr>
          <w:rFonts w:cs="Arial"/>
        </w:rPr>
        <w:t xml:space="preserve"> </w:t>
      </w:r>
      <w:r w:rsidRPr="00D73936">
        <w:rPr>
          <w:rFonts w:cs="Arial"/>
        </w:rPr>
        <w:tab/>
        <w:t>Summary of differences in outcomes and costs (HeLP treatment vs. control)</w:t>
      </w:r>
      <w:r w:rsidRPr="00D73936">
        <w:rPr>
          <w:rFonts w:cs="Arial"/>
        </w:rPr>
        <w:tab/>
        <w:t>11</w:t>
      </w:r>
      <w:r w:rsidR="004B6CBF">
        <w:rPr>
          <w:rFonts w:cs="Arial"/>
        </w:rPr>
        <w:t>7</w:t>
      </w:r>
    </w:p>
    <w:p w14:paraId="6B445EEC" w14:textId="3F0B666D" w:rsidR="00D73936" w:rsidRPr="00D73936" w:rsidRDefault="00D73936" w:rsidP="00D73936">
      <w:pPr>
        <w:spacing w:after="0" w:line="360" w:lineRule="auto"/>
        <w:ind w:left="1440" w:hanging="1440"/>
        <w:rPr>
          <w:rFonts w:cs="Arial"/>
        </w:rPr>
      </w:pPr>
      <w:r w:rsidRPr="00D73936">
        <w:rPr>
          <w:rFonts w:cs="Arial"/>
        </w:rPr>
        <w:t xml:space="preserve">TABLE </w:t>
      </w:r>
      <w:r w:rsidR="0014276E">
        <w:rPr>
          <w:rFonts w:cs="Arial"/>
        </w:rPr>
        <w:t>33</w:t>
      </w:r>
      <w:r w:rsidRPr="00D73936">
        <w:rPr>
          <w:rFonts w:cs="Arial"/>
        </w:rPr>
        <w:t xml:space="preserve"> </w:t>
      </w:r>
      <w:r w:rsidRPr="00D73936">
        <w:rPr>
          <w:rFonts w:cs="Arial"/>
        </w:rPr>
        <w:tab/>
        <w:t xml:space="preserve">Summary of weight status profile by group at childhood and by adult </w:t>
      </w:r>
      <w:r w:rsidRPr="00D73936">
        <w:rPr>
          <w:rFonts w:cs="Arial"/>
        </w:rPr>
        <w:tab/>
      </w:r>
      <w:r w:rsidRPr="00D73936">
        <w:rPr>
          <w:rFonts w:cs="Arial"/>
        </w:rPr>
        <w:tab/>
        <w:t>11</w:t>
      </w:r>
      <w:r w:rsidR="004B6CBF">
        <w:rPr>
          <w:rFonts w:cs="Arial"/>
        </w:rPr>
        <w:t>9</w:t>
      </w:r>
    </w:p>
    <w:p w14:paraId="38FA643E" w14:textId="77777777" w:rsidR="00D73936" w:rsidRPr="00D73936" w:rsidRDefault="00D73936" w:rsidP="00D73936">
      <w:pPr>
        <w:spacing w:after="0" w:line="360" w:lineRule="auto"/>
        <w:ind w:left="1440"/>
        <w:rPr>
          <w:rFonts w:cs="Arial"/>
        </w:rPr>
      </w:pPr>
      <w:r w:rsidRPr="00D73936">
        <w:rPr>
          <w:rFonts w:cs="Arial"/>
        </w:rPr>
        <w:t>predicted profile</w:t>
      </w:r>
    </w:p>
    <w:p w14:paraId="78E47690" w14:textId="4B498202" w:rsidR="00D73936" w:rsidRPr="00D73936" w:rsidRDefault="00D73936" w:rsidP="00D73936">
      <w:pPr>
        <w:spacing w:after="0" w:line="360" w:lineRule="auto"/>
        <w:ind w:left="1440" w:hanging="1440"/>
        <w:rPr>
          <w:rFonts w:cs="Arial"/>
        </w:rPr>
      </w:pPr>
      <w:r w:rsidRPr="00D73936">
        <w:rPr>
          <w:rFonts w:cs="Arial"/>
        </w:rPr>
        <w:t xml:space="preserve">TABLE </w:t>
      </w:r>
      <w:r w:rsidR="0014276E">
        <w:rPr>
          <w:rFonts w:cs="Arial"/>
        </w:rPr>
        <w:t>34</w:t>
      </w:r>
      <w:r w:rsidRPr="00D73936">
        <w:rPr>
          <w:rFonts w:cs="Arial"/>
        </w:rPr>
        <w:t xml:space="preserve"> </w:t>
      </w:r>
      <w:r w:rsidRPr="00D73936">
        <w:rPr>
          <w:rFonts w:cs="Arial"/>
        </w:rPr>
        <w:tab/>
        <w:t xml:space="preserve">Scenario analyses:  Controls (HeLP RCT) versus hypothetical comparison </w:t>
      </w:r>
      <w:r w:rsidRPr="00D73936">
        <w:rPr>
          <w:rFonts w:cs="Arial"/>
        </w:rPr>
        <w:tab/>
      </w:r>
      <w:r w:rsidRPr="00D73936">
        <w:rPr>
          <w:rFonts w:cs="Arial"/>
        </w:rPr>
        <w:tab/>
        <w:t>12</w:t>
      </w:r>
      <w:r w:rsidR="004B6CBF">
        <w:rPr>
          <w:rFonts w:cs="Arial"/>
        </w:rPr>
        <w:t>1</w:t>
      </w:r>
    </w:p>
    <w:p w14:paraId="6FA55C8F" w14:textId="77777777" w:rsidR="00D73936" w:rsidRPr="00D73936" w:rsidRDefault="00D73936" w:rsidP="00D73936">
      <w:pPr>
        <w:spacing w:after="0" w:line="360" w:lineRule="auto"/>
        <w:ind w:left="1440"/>
        <w:rPr>
          <w:rFonts w:cs="Arial"/>
        </w:rPr>
      </w:pPr>
      <w:r w:rsidRPr="00D73936">
        <w:rPr>
          <w:rFonts w:cs="Arial"/>
        </w:rPr>
        <w:t>scenarios for effectiveness</w:t>
      </w:r>
    </w:p>
    <w:p w14:paraId="35DCC9AB" w14:textId="44D0AEBB" w:rsidR="00D73936" w:rsidRPr="00D73936" w:rsidRDefault="00D73936" w:rsidP="00D73936">
      <w:pPr>
        <w:spacing w:after="0" w:line="360" w:lineRule="auto"/>
        <w:rPr>
          <w:rFonts w:cs="Times New Roman"/>
        </w:rPr>
      </w:pPr>
      <w:r w:rsidRPr="00D73936">
        <w:rPr>
          <w:rFonts w:cs="Times New Roman"/>
        </w:rPr>
        <w:t xml:space="preserve">TABLE </w:t>
      </w:r>
      <w:r w:rsidR="0014276E">
        <w:rPr>
          <w:rFonts w:cs="Times New Roman"/>
        </w:rPr>
        <w:t>35</w:t>
      </w:r>
      <w:r w:rsidRPr="00D73936">
        <w:rPr>
          <w:rFonts w:cs="Times New Roman"/>
        </w:rPr>
        <w:t xml:space="preserve"> </w:t>
      </w:r>
      <w:r w:rsidRPr="00D73936">
        <w:rPr>
          <w:rFonts w:cs="Times New Roman"/>
        </w:rPr>
        <w:tab/>
        <w:t>Summary of Research Questions for the Process Evaluation</w:t>
      </w:r>
      <w:r w:rsidRPr="00D73936">
        <w:rPr>
          <w:rFonts w:cs="Times New Roman"/>
        </w:rPr>
        <w:tab/>
      </w:r>
      <w:r w:rsidRPr="00D73936">
        <w:rPr>
          <w:rFonts w:cs="Times New Roman"/>
        </w:rPr>
        <w:tab/>
      </w:r>
      <w:r w:rsidRPr="00D73936">
        <w:rPr>
          <w:rFonts w:cs="Times New Roman"/>
        </w:rPr>
        <w:tab/>
        <w:t>1</w:t>
      </w:r>
      <w:r w:rsidR="004B6CBF">
        <w:rPr>
          <w:rFonts w:cs="Times New Roman"/>
        </w:rPr>
        <w:t>30</w:t>
      </w:r>
    </w:p>
    <w:p w14:paraId="7231785D" w14:textId="76A824DD" w:rsidR="00D73936" w:rsidRPr="00D73936" w:rsidRDefault="00D73936" w:rsidP="00D73936">
      <w:pPr>
        <w:spacing w:after="0" w:line="360" w:lineRule="auto"/>
      </w:pPr>
      <w:r w:rsidRPr="00D73936">
        <w:t xml:space="preserve">TABLE </w:t>
      </w:r>
      <w:r w:rsidR="0014276E">
        <w:t>36</w:t>
      </w:r>
      <w:r w:rsidRPr="00D73936">
        <w:t xml:space="preserve"> </w:t>
      </w:r>
      <w:r w:rsidRPr="00D73936">
        <w:tab/>
        <w:t>Uptake of HeLP</w:t>
      </w:r>
      <w:r w:rsidRPr="00D73936">
        <w:tab/>
      </w:r>
      <w:r w:rsidRPr="00D73936">
        <w:tab/>
      </w:r>
      <w:r w:rsidRPr="00D73936">
        <w:tab/>
      </w:r>
      <w:r w:rsidRPr="00D73936">
        <w:tab/>
      </w:r>
      <w:r w:rsidRPr="00D73936">
        <w:tab/>
      </w:r>
      <w:r w:rsidRPr="00D73936">
        <w:tab/>
      </w:r>
      <w:r w:rsidRPr="00D73936">
        <w:tab/>
      </w:r>
      <w:r w:rsidRPr="00D73936">
        <w:tab/>
      </w:r>
      <w:r w:rsidRPr="00D73936">
        <w:tab/>
        <w:t>13</w:t>
      </w:r>
      <w:r w:rsidR="004B6CBF">
        <w:t>6</w:t>
      </w:r>
    </w:p>
    <w:p w14:paraId="6EE3806B" w14:textId="58225020" w:rsidR="00D73936" w:rsidRPr="00D73936" w:rsidRDefault="00D73936" w:rsidP="00D73936">
      <w:pPr>
        <w:spacing w:after="0" w:line="360" w:lineRule="auto"/>
        <w:rPr>
          <w:rFonts w:cs="Arial"/>
        </w:rPr>
      </w:pPr>
      <w:r w:rsidRPr="00D73936">
        <w:rPr>
          <w:rFonts w:cs="Arial"/>
        </w:rPr>
        <w:t xml:space="preserve">TABLE </w:t>
      </w:r>
      <w:r w:rsidR="0014276E">
        <w:rPr>
          <w:rFonts w:cs="Arial"/>
        </w:rPr>
        <w:t>37</w:t>
      </w:r>
      <w:r w:rsidRPr="00D73936">
        <w:rPr>
          <w:rFonts w:cs="Arial"/>
        </w:rPr>
        <w:t xml:space="preserve"> </w:t>
      </w:r>
      <w:r w:rsidRPr="00D73936">
        <w:rPr>
          <w:rFonts w:cs="Arial"/>
        </w:rPr>
        <w:tab/>
        <w:t>Fidelity to</w:t>
      </w:r>
      <w:r w:rsidR="0014276E">
        <w:rPr>
          <w:rFonts w:cs="Arial"/>
        </w:rPr>
        <w:t xml:space="preserve"> delivery of HeLP (</w:t>
      </w:r>
      <w:r w:rsidRPr="00D73936">
        <w:rPr>
          <w:rFonts w:cs="Arial"/>
        </w:rPr>
        <w:t>form and function</w:t>
      </w:r>
      <w:r w:rsidR="0014276E">
        <w:rPr>
          <w:rFonts w:cs="Arial"/>
        </w:rPr>
        <w:t>)</w:t>
      </w:r>
      <w:r w:rsidR="0014276E">
        <w:rPr>
          <w:rFonts w:cs="Arial"/>
        </w:rPr>
        <w:tab/>
      </w:r>
      <w:r w:rsidR="0014276E">
        <w:rPr>
          <w:rFonts w:cs="Arial"/>
        </w:rPr>
        <w:tab/>
      </w:r>
      <w:r w:rsidR="0014276E">
        <w:rPr>
          <w:rFonts w:cs="Arial"/>
        </w:rPr>
        <w:tab/>
      </w:r>
      <w:r w:rsidR="0014276E">
        <w:rPr>
          <w:rFonts w:cs="Arial"/>
        </w:rPr>
        <w:tab/>
      </w:r>
      <w:r w:rsidR="0014276E">
        <w:rPr>
          <w:rFonts w:cs="Arial"/>
        </w:rPr>
        <w:tab/>
      </w:r>
      <w:r w:rsidRPr="00D73936">
        <w:rPr>
          <w:rFonts w:cs="Arial"/>
        </w:rPr>
        <w:t>13</w:t>
      </w:r>
      <w:r w:rsidR="004B6CBF">
        <w:rPr>
          <w:rFonts w:cs="Arial"/>
        </w:rPr>
        <w:t>7</w:t>
      </w:r>
    </w:p>
    <w:p w14:paraId="28C273CC" w14:textId="1E49E116" w:rsidR="00D73936" w:rsidRPr="00D73936" w:rsidRDefault="00D73936" w:rsidP="00D73936">
      <w:pPr>
        <w:spacing w:after="0" w:line="360" w:lineRule="auto"/>
      </w:pPr>
      <w:r w:rsidRPr="00D73936">
        <w:t xml:space="preserve">TABLE </w:t>
      </w:r>
      <w:r w:rsidR="0014276E">
        <w:t>38</w:t>
      </w:r>
      <w:r w:rsidRPr="00D73936">
        <w:t xml:space="preserve"> </w:t>
      </w:r>
      <w:r w:rsidRPr="00D73936">
        <w:tab/>
        <w:t>Child engagement by IMD rank</w:t>
      </w:r>
      <w:r w:rsidRPr="00D73936">
        <w:tab/>
      </w:r>
      <w:r w:rsidRPr="00D73936">
        <w:tab/>
      </w:r>
      <w:r w:rsidRPr="00D73936">
        <w:tab/>
      </w:r>
      <w:r w:rsidRPr="00D73936">
        <w:tab/>
      </w:r>
      <w:r w:rsidRPr="00D73936">
        <w:tab/>
      </w:r>
      <w:r w:rsidRPr="00D73936">
        <w:tab/>
      </w:r>
      <w:r w:rsidRPr="00D73936">
        <w:tab/>
        <w:t>13</w:t>
      </w:r>
      <w:r w:rsidR="004B6CBF">
        <w:t>9</w:t>
      </w:r>
    </w:p>
    <w:p w14:paraId="46E11461" w14:textId="07E86BE1" w:rsidR="00D73936" w:rsidRPr="00D73936" w:rsidRDefault="00D73936" w:rsidP="00D73936">
      <w:pPr>
        <w:spacing w:after="0" w:line="360" w:lineRule="auto"/>
      </w:pPr>
      <w:r w:rsidRPr="00D73936">
        <w:t xml:space="preserve">TABLE </w:t>
      </w:r>
      <w:r w:rsidR="0014276E">
        <w:t>39</w:t>
      </w:r>
      <w:r w:rsidRPr="00D73936">
        <w:t xml:space="preserve"> </w:t>
      </w:r>
      <w:r w:rsidRPr="00D73936">
        <w:tab/>
        <w:t>Parent engagement by IMD rank</w:t>
      </w:r>
      <w:r w:rsidRPr="00D73936">
        <w:tab/>
      </w:r>
      <w:r w:rsidRPr="00D73936">
        <w:tab/>
      </w:r>
      <w:r w:rsidRPr="00D73936">
        <w:tab/>
      </w:r>
      <w:r w:rsidRPr="00D73936">
        <w:tab/>
      </w:r>
      <w:r w:rsidRPr="00D73936">
        <w:tab/>
      </w:r>
      <w:r w:rsidRPr="00D73936">
        <w:tab/>
        <w:t>14</w:t>
      </w:r>
      <w:r w:rsidR="004B6CBF">
        <w:t>2</w:t>
      </w:r>
    </w:p>
    <w:p w14:paraId="43D79AB7" w14:textId="02461205" w:rsidR="00D73936" w:rsidRPr="00D73936" w:rsidRDefault="00D73936" w:rsidP="00D73936">
      <w:pPr>
        <w:spacing w:after="0" w:line="360" w:lineRule="auto"/>
        <w:rPr>
          <w:rFonts w:cs="Arial"/>
          <w:noProof/>
        </w:rPr>
      </w:pPr>
      <w:r w:rsidRPr="00D73936">
        <w:rPr>
          <w:rFonts w:cs="Arial"/>
          <w:noProof/>
        </w:rPr>
        <w:t xml:space="preserve">TABLE </w:t>
      </w:r>
      <w:r w:rsidR="0014276E">
        <w:rPr>
          <w:rFonts w:cs="Arial"/>
          <w:noProof/>
        </w:rPr>
        <w:t>40</w:t>
      </w:r>
      <w:r w:rsidRPr="00D73936">
        <w:rPr>
          <w:rFonts w:cs="Arial"/>
          <w:noProof/>
        </w:rPr>
        <w:t xml:space="preserve"> </w:t>
      </w:r>
      <w:r w:rsidRPr="00D73936">
        <w:rPr>
          <w:rFonts w:cs="Arial"/>
          <w:noProof/>
        </w:rPr>
        <w:tab/>
        <w:t>School engagement information</w:t>
      </w:r>
      <w:r w:rsidRPr="00D73936">
        <w:rPr>
          <w:rFonts w:cs="Arial"/>
          <w:noProof/>
        </w:rPr>
        <w:tab/>
      </w:r>
      <w:r w:rsidRPr="00D73936">
        <w:rPr>
          <w:rFonts w:cs="Arial"/>
          <w:noProof/>
        </w:rPr>
        <w:tab/>
      </w:r>
      <w:r w:rsidRPr="00D73936">
        <w:rPr>
          <w:rFonts w:cs="Arial"/>
          <w:noProof/>
        </w:rPr>
        <w:tab/>
      </w:r>
      <w:r w:rsidRPr="00D73936">
        <w:rPr>
          <w:rFonts w:cs="Arial"/>
          <w:noProof/>
        </w:rPr>
        <w:tab/>
      </w:r>
      <w:r w:rsidRPr="00D73936">
        <w:rPr>
          <w:rFonts w:cs="Arial"/>
          <w:noProof/>
        </w:rPr>
        <w:tab/>
      </w:r>
      <w:r w:rsidRPr="00D73936">
        <w:rPr>
          <w:rFonts w:cs="Arial"/>
          <w:noProof/>
        </w:rPr>
        <w:tab/>
      </w:r>
      <w:r w:rsidRPr="00D73936">
        <w:rPr>
          <w:rFonts w:cs="Arial"/>
          <w:noProof/>
        </w:rPr>
        <w:tab/>
        <w:t>14</w:t>
      </w:r>
      <w:r w:rsidR="004B6CBF">
        <w:rPr>
          <w:rFonts w:cs="Arial"/>
          <w:noProof/>
        </w:rPr>
        <w:t>5</w:t>
      </w:r>
    </w:p>
    <w:p w14:paraId="41573147" w14:textId="42BC6779" w:rsidR="00D73936" w:rsidRPr="00D73936" w:rsidRDefault="00D73936" w:rsidP="00D73936">
      <w:pPr>
        <w:spacing w:after="0" w:line="360" w:lineRule="auto"/>
        <w:rPr>
          <w:rFonts w:cs="Arial"/>
          <w:noProof/>
        </w:rPr>
      </w:pPr>
      <w:r w:rsidRPr="00D73936">
        <w:rPr>
          <w:rFonts w:cs="Arial"/>
          <w:noProof/>
        </w:rPr>
        <w:t xml:space="preserve">TABLE </w:t>
      </w:r>
      <w:r w:rsidR="0014276E">
        <w:rPr>
          <w:rFonts w:cs="Arial"/>
          <w:noProof/>
        </w:rPr>
        <w:t>41</w:t>
      </w:r>
      <w:r w:rsidRPr="00D73936">
        <w:rPr>
          <w:rFonts w:cs="Arial"/>
          <w:noProof/>
        </w:rPr>
        <w:t xml:space="preserve"> </w:t>
      </w:r>
      <w:r w:rsidRPr="00D73936">
        <w:rPr>
          <w:rFonts w:cs="Arial"/>
          <w:noProof/>
        </w:rPr>
        <w:tab/>
        <w:t xml:space="preserve">Number and </w:t>
      </w:r>
      <w:r w:rsidRPr="00D73936">
        <w:rPr>
          <w:color w:val="000000"/>
        </w:rPr>
        <w:t>percent of goals set for each target behaviour by gender</w:t>
      </w:r>
      <w:r w:rsidRPr="00D73936">
        <w:rPr>
          <w:color w:val="000000"/>
        </w:rPr>
        <w:tab/>
      </w:r>
      <w:r w:rsidRPr="00D73936">
        <w:rPr>
          <w:color w:val="000000"/>
        </w:rPr>
        <w:tab/>
        <w:t>14</w:t>
      </w:r>
      <w:r w:rsidR="004B6CBF">
        <w:rPr>
          <w:color w:val="000000"/>
        </w:rPr>
        <w:t>7</w:t>
      </w:r>
    </w:p>
    <w:p w14:paraId="490A3F9E" w14:textId="671C20F7" w:rsidR="00D73936" w:rsidRPr="00D73936" w:rsidRDefault="00D73936" w:rsidP="00D73936">
      <w:pPr>
        <w:spacing w:after="0" w:line="360" w:lineRule="auto"/>
        <w:rPr>
          <w:rFonts w:ascii="Calibri" w:eastAsia="Calibri" w:hAnsi="Calibri" w:cs="Times New Roman"/>
        </w:rPr>
      </w:pPr>
      <w:r w:rsidRPr="00D73936">
        <w:rPr>
          <w:rFonts w:ascii="Calibri" w:eastAsia="Calibri" w:hAnsi="Calibri" w:cs="Times New Roman"/>
        </w:rPr>
        <w:t>TABLE 4</w:t>
      </w:r>
      <w:r w:rsidR="0014276E">
        <w:rPr>
          <w:rFonts w:ascii="Calibri" w:eastAsia="Calibri" w:hAnsi="Calibri" w:cs="Times New Roman"/>
        </w:rPr>
        <w:t>2</w:t>
      </w:r>
      <w:r w:rsidRPr="00D73936">
        <w:rPr>
          <w:rFonts w:ascii="Calibri" w:eastAsia="Calibri" w:hAnsi="Calibri" w:cs="Times New Roman"/>
        </w:rPr>
        <w:t xml:space="preserve"> </w:t>
      </w:r>
      <w:r w:rsidRPr="00D73936">
        <w:rPr>
          <w:rFonts w:ascii="Calibri" w:eastAsia="Calibri" w:hAnsi="Calibri" w:cs="Times New Roman"/>
        </w:rPr>
        <w:tab/>
        <w:t xml:space="preserve">Derivation of MLQ composite variables </w:t>
      </w:r>
      <w:r w:rsidRPr="00D73936">
        <w:rPr>
          <w:rFonts w:ascii="Calibri" w:eastAsia="Calibri" w:hAnsi="Calibri" w:cs="Times New Roman"/>
        </w:rPr>
        <w:tab/>
      </w:r>
      <w:r w:rsidRPr="00D73936">
        <w:rPr>
          <w:rFonts w:ascii="Calibri" w:eastAsia="Calibri" w:hAnsi="Calibri" w:cs="Times New Roman"/>
        </w:rPr>
        <w:tab/>
      </w:r>
      <w:r w:rsidRPr="00D73936">
        <w:rPr>
          <w:rFonts w:ascii="Calibri" w:eastAsia="Calibri" w:hAnsi="Calibri" w:cs="Times New Roman"/>
        </w:rPr>
        <w:tab/>
      </w:r>
      <w:r w:rsidRPr="00D73936">
        <w:rPr>
          <w:rFonts w:ascii="Calibri" w:eastAsia="Calibri" w:hAnsi="Calibri" w:cs="Times New Roman"/>
        </w:rPr>
        <w:tab/>
      </w:r>
      <w:r w:rsidRPr="00D73936">
        <w:rPr>
          <w:rFonts w:ascii="Calibri" w:eastAsia="Calibri" w:hAnsi="Calibri" w:cs="Times New Roman"/>
        </w:rPr>
        <w:tab/>
      </w:r>
      <w:r w:rsidRPr="00D73936">
        <w:rPr>
          <w:rFonts w:ascii="Calibri" w:eastAsia="Calibri" w:hAnsi="Calibri" w:cs="Times New Roman"/>
        </w:rPr>
        <w:tab/>
        <w:t>15</w:t>
      </w:r>
      <w:r w:rsidR="004B6CBF">
        <w:rPr>
          <w:rFonts w:ascii="Calibri" w:eastAsia="Calibri" w:hAnsi="Calibri" w:cs="Times New Roman"/>
        </w:rPr>
        <w:t>7</w:t>
      </w:r>
    </w:p>
    <w:p w14:paraId="29376D89" w14:textId="01A557F3" w:rsidR="00D73936" w:rsidRPr="00D73936" w:rsidRDefault="00D73936" w:rsidP="00D73936">
      <w:pPr>
        <w:spacing w:after="0" w:line="360" w:lineRule="auto"/>
        <w:rPr>
          <w:rFonts w:ascii="Calibri" w:eastAsia="Calibri" w:hAnsi="Calibri" w:cs="Times New Roman"/>
        </w:rPr>
      </w:pPr>
      <w:r w:rsidRPr="00D73936">
        <w:rPr>
          <w:rFonts w:ascii="Calibri" w:eastAsia="Calibri" w:hAnsi="Calibri" w:cs="Times New Roman"/>
        </w:rPr>
        <w:lastRenderedPageBreak/>
        <w:t>TABLE 4</w:t>
      </w:r>
      <w:r w:rsidR="0014276E">
        <w:rPr>
          <w:rFonts w:ascii="Calibri" w:eastAsia="Calibri" w:hAnsi="Calibri" w:cs="Times New Roman"/>
        </w:rPr>
        <w:t>3</w:t>
      </w:r>
      <w:r w:rsidRPr="00D73936">
        <w:rPr>
          <w:rFonts w:ascii="Calibri" w:eastAsia="Calibri" w:hAnsi="Calibri" w:cs="Times New Roman"/>
        </w:rPr>
        <w:t xml:space="preserve"> </w:t>
      </w:r>
      <w:r w:rsidRPr="00D73936">
        <w:rPr>
          <w:rFonts w:ascii="Calibri" w:eastAsia="Calibri" w:hAnsi="Calibri" w:cs="Times New Roman"/>
        </w:rPr>
        <w:tab/>
        <w:t>Descriptive summary of the five composite variables at baseline</w:t>
      </w:r>
      <w:r w:rsidRPr="00D73936">
        <w:rPr>
          <w:rFonts w:ascii="Calibri" w:eastAsia="Calibri" w:hAnsi="Calibri" w:cs="Times New Roman"/>
        </w:rPr>
        <w:tab/>
      </w:r>
      <w:r w:rsidRPr="00D73936">
        <w:rPr>
          <w:rFonts w:ascii="Calibri" w:eastAsia="Calibri" w:hAnsi="Calibri" w:cs="Times New Roman"/>
        </w:rPr>
        <w:tab/>
      </w:r>
      <w:r w:rsidRPr="00D73936">
        <w:rPr>
          <w:rFonts w:ascii="Calibri" w:eastAsia="Calibri" w:hAnsi="Calibri" w:cs="Times New Roman"/>
        </w:rPr>
        <w:tab/>
        <w:t>16</w:t>
      </w:r>
      <w:r w:rsidR="004B6CBF">
        <w:rPr>
          <w:rFonts w:ascii="Calibri" w:eastAsia="Calibri" w:hAnsi="Calibri" w:cs="Times New Roman"/>
        </w:rPr>
        <w:t>1</w:t>
      </w:r>
    </w:p>
    <w:p w14:paraId="4E71F224" w14:textId="09A0E9B5" w:rsidR="00D73936" w:rsidRPr="00D73936" w:rsidRDefault="00D73936" w:rsidP="00D73936">
      <w:pPr>
        <w:spacing w:after="0" w:line="360" w:lineRule="auto"/>
        <w:rPr>
          <w:iCs/>
        </w:rPr>
      </w:pPr>
      <w:r w:rsidRPr="00D73936">
        <w:rPr>
          <w:iCs/>
        </w:rPr>
        <w:t>TABLE 4</w:t>
      </w:r>
      <w:r w:rsidR="0014276E">
        <w:rPr>
          <w:iCs/>
        </w:rPr>
        <w:t>4</w:t>
      </w:r>
      <w:r w:rsidRPr="00D73936">
        <w:rPr>
          <w:iCs/>
        </w:rPr>
        <w:t xml:space="preserve"> </w:t>
      </w:r>
      <w:r w:rsidRPr="00D73936">
        <w:rPr>
          <w:iCs/>
        </w:rPr>
        <w:tab/>
        <w:t>Descriptive summary of the five composite variables at 12 months</w:t>
      </w:r>
      <w:r w:rsidRPr="00D73936">
        <w:rPr>
          <w:iCs/>
        </w:rPr>
        <w:tab/>
      </w:r>
      <w:r w:rsidRPr="00D73936">
        <w:rPr>
          <w:iCs/>
        </w:rPr>
        <w:tab/>
        <w:t>16</w:t>
      </w:r>
      <w:r w:rsidR="004B6CBF">
        <w:rPr>
          <w:iCs/>
        </w:rPr>
        <w:t>1</w:t>
      </w:r>
    </w:p>
    <w:p w14:paraId="046332F6" w14:textId="13412C5C" w:rsidR="00D73936" w:rsidRPr="00D73936" w:rsidRDefault="00D73936" w:rsidP="00D73936">
      <w:pPr>
        <w:spacing w:after="0" w:line="360" w:lineRule="auto"/>
        <w:rPr>
          <w:rFonts w:ascii="Calibri" w:eastAsia="Calibri" w:hAnsi="Calibri" w:cs="Times New Roman"/>
        </w:rPr>
      </w:pPr>
      <w:r w:rsidRPr="00D73936">
        <w:rPr>
          <w:rFonts w:ascii="Calibri" w:eastAsia="Calibri" w:hAnsi="Calibri" w:cs="Times New Roman"/>
        </w:rPr>
        <w:t>TABLE 4</w:t>
      </w:r>
      <w:r w:rsidR="0014276E">
        <w:rPr>
          <w:rFonts w:ascii="Calibri" w:eastAsia="Calibri" w:hAnsi="Calibri" w:cs="Times New Roman"/>
        </w:rPr>
        <w:t>5</w:t>
      </w:r>
      <w:r w:rsidRPr="00D73936">
        <w:rPr>
          <w:rFonts w:ascii="Calibri" w:eastAsia="Calibri" w:hAnsi="Calibri" w:cs="Times New Roman"/>
        </w:rPr>
        <w:t xml:space="preserve"> </w:t>
      </w:r>
      <w:r w:rsidRPr="00D73936">
        <w:rPr>
          <w:rFonts w:ascii="Calibri" w:eastAsia="Calibri" w:hAnsi="Calibri" w:cs="Times New Roman"/>
        </w:rPr>
        <w:tab/>
        <w:t>Pearson correlation coefficients of the five composite variables at baseline</w:t>
      </w:r>
      <w:r w:rsidRPr="00D73936">
        <w:rPr>
          <w:rFonts w:ascii="Calibri" w:eastAsia="Calibri" w:hAnsi="Calibri" w:cs="Times New Roman"/>
        </w:rPr>
        <w:tab/>
        <w:t>16</w:t>
      </w:r>
      <w:r w:rsidR="004B6CBF">
        <w:rPr>
          <w:rFonts w:ascii="Calibri" w:eastAsia="Calibri" w:hAnsi="Calibri" w:cs="Times New Roman"/>
        </w:rPr>
        <w:t>2</w:t>
      </w:r>
    </w:p>
    <w:p w14:paraId="6CA6BFB6" w14:textId="73CC4AFB" w:rsidR="00D73936" w:rsidRPr="00D73936" w:rsidRDefault="00D73936" w:rsidP="00D73936">
      <w:pPr>
        <w:spacing w:after="0" w:line="360" w:lineRule="auto"/>
        <w:rPr>
          <w:rFonts w:ascii="Calibri" w:eastAsia="Calibri" w:hAnsi="Calibri" w:cs="Times New Roman"/>
        </w:rPr>
      </w:pPr>
      <w:r w:rsidRPr="00D73936">
        <w:rPr>
          <w:rFonts w:ascii="Calibri" w:eastAsia="Calibri" w:hAnsi="Calibri" w:cs="Times New Roman"/>
        </w:rPr>
        <w:t>TABLE 4</w:t>
      </w:r>
      <w:r w:rsidR="0014276E">
        <w:rPr>
          <w:rFonts w:ascii="Calibri" w:eastAsia="Calibri" w:hAnsi="Calibri" w:cs="Times New Roman"/>
        </w:rPr>
        <w:t>6</w:t>
      </w:r>
      <w:r w:rsidRPr="00D73936">
        <w:rPr>
          <w:rFonts w:ascii="Calibri" w:eastAsia="Calibri" w:hAnsi="Calibri" w:cs="Times New Roman"/>
        </w:rPr>
        <w:t xml:space="preserve"> </w:t>
      </w:r>
      <w:r w:rsidRPr="00D73936">
        <w:rPr>
          <w:rFonts w:ascii="Calibri" w:eastAsia="Calibri" w:hAnsi="Calibri" w:cs="Times New Roman"/>
        </w:rPr>
        <w:tab/>
        <w:t>Pearson correlation coefficients of the five composite variables at 12 months</w:t>
      </w:r>
      <w:r w:rsidRPr="00D73936">
        <w:rPr>
          <w:rFonts w:ascii="Calibri" w:eastAsia="Calibri" w:hAnsi="Calibri" w:cs="Times New Roman"/>
        </w:rPr>
        <w:tab/>
        <w:t>16</w:t>
      </w:r>
      <w:r w:rsidR="004B6CBF">
        <w:rPr>
          <w:rFonts w:ascii="Calibri" w:eastAsia="Calibri" w:hAnsi="Calibri" w:cs="Times New Roman"/>
        </w:rPr>
        <w:t>2</w:t>
      </w:r>
    </w:p>
    <w:p w14:paraId="541599BC" w14:textId="14AE1FE3" w:rsidR="00D73936" w:rsidRPr="00D73936" w:rsidRDefault="00D73936" w:rsidP="00D73936">
      <w:pPr>
        <w:spacing w:after="0" w:line="360" w:lineRule="auto"/>
        <w:ind w:left="1440" w:hanging="1440"/>
        <w:rPr>
          <w:rFonts w:ascii="Calibri" w:eastAsia="Calibri" w:hAnsi="Calibri" w:cs="Times New Roman"/>
        </w:rPr>
      </w:pPr>
      <w:r w:rsidRPr="00D73936">
        <w:rPr>
          <w:rFonts w:ascii="Calibri" w:eastAsia="Calibri" w:hAnsi="Calibri" w:cs="Times New Roman"/>
        </w:rPr>
        <w:t>TABLE 4</w:t>
      </w:r>
      <w:r w:rsidR="0014276E">
        <w:rPr>
          <w:rFonts w:ascii="Calibri" w:eastAsia="Calibri" w:hAnsi="Calibri" w:cs="Times New Roman"/>
        </w:rPr>
        <w:t>7</w:t>
      </w:r>
      <w:r w:rsidRPr="00D73936">
        <w:rPr>
          <w:rFonts w:ascii="Calibri" w:eastAsia="Calibri" w:hAnsi="Calibri" w:cs="Times New Roman"/>
        </w:rPr>
        <w:tab/>
        <w:t xml:space="preserve">Summary of Pearson correlation coefficient between the outcome variables </w:t>
      </w:r>
      <w:r w:rsidRPr="00D73936">
        <w:rPr>
          <w:rFonts w:ascii="Calibri" w:eastAsia="Calibri" w:hAnsi="Calibri" w:cs="Times New Roman"/>
        </w:rPr>
        <w:tab/>
        <w:t>16</w:t>
      </w:r>
      <w:r w:rsidR="004B6CBF">
        <w:rPr>
          <w:rFonts w:ascii="Calibri" w:eastAsia="Calibri" w:hAnsi="Calibri" w:cs="Times New Roman"/>
        </w:rPr>
        <w:t>3</w:t>
      </w:r>
    </w:p>
    <w:p w14:paraId="5BB79B6F" w14:textId="77777777" w:rsidR="00D73936" w:rsidRPr="00D73936" w:rsidRDefault="00D73936" w:rsidP="00D73936">
      <w:pPr>
        <w:spacing w:after="0" w:line="360" w:lineRule="auto"/>
        <w:ind w:left="1440"/>
        <w:rPr>
          <w:rFonts w:ascii="Calibri" w:eastAsia="Calibri" w:hAnsi="Calibri" w:cs="Times New Roman"/>
        </w:rPr>
      </w:pPr>
      <w:r w:rsidRPr="00D73936">
        <w:rPr>
          <w:rFonts w:ascii="Calibri" w:eastAsia="Calibri" w:hAnsi="Calibri" w:cs="Times New Roman"/>
        </w:rPr>
        <w:t>EDS and NFM with the mediating variables at 12 months</w:t>
      </w:r>
    </w:p>
    <w:p w14:paraId="2DD2DEDF" w14:textId="56D56B3C" w:rsidR="00D73936" w:rsidRPr="00D73936" w:rsidRDefault="00D73936" w:rsidP="00D73936">
      <w:pPr>
        <w:spacing w:after="0" w:line="360" w:lineRule="auto"/>
        <w:ind w:left="1440" w:hanging="1440"/>
        <w:rPr>
          <w:rFonts w:ascii="Calibri" w:eastAsia="Calibri" w:hAnsi="Calibri" w:cs="Times New Roman"/>
        </w:rPr>
      </w:pPr>
      <w:r w:rsidRPr="00D73936">
        <w:rPr>
          <w:rFonts w:ascii="Calibri" w:eastAsia="Calibri" w:hAnsi="Calibri" w:cs="Times New Roman"/>
        </w:rPr>
        <w:t>TABLE 4</w:t>
      </w:r>
      <w:r w:rsidR="0014276E">
        <w:rPr>
          <w:rFonts w:ascii="Calibri" w:eastAsia="Calibri" w:hAnsi="Calibri" w:cs="Times New Roman"/>
        </w:rPr>
        <w:t>8</w:t>
      </w:r>
      <w:r w:rsidRPr="00D73936">
        <w:rPr>
          <w:rFonts w:ascii="Calibri" w:eastAsia="Calibri" w:hAnsi="Calibri" w:cs="Times New Roman"/>
        </w:rPr>
        <w:t xml:space="preserve"> </w:t>
      </w:r>
      <w:r w:rsidRPr="00D73936">
        <w:rPr>
          <w:rFonts w:ascii="Calibri" w:eastAsia="Calibri" w:hAnsi="Calibri" w:cs="Times New Roman"/>
        </w:rPr>
        <w:tab/>
        <w:t>Goodness-of-fit indices for the longitudinal path analysis models with</w:t>
      </w:r>
      <w:r w:rsidRPr="00D73936">
        <w:rPr>
          <w:rFonts w:ascii="Calibri" w:eastAsia="Calibri" w:hAnsi="Calibri" w:cs="Times New Roman"/>
        </w:rPr>
        <w:tab/>
      </w:r>
      <w:r w:rsidRPr="00D73936">
        <w:rPr>
          <w:rFonts w:ascii="Calibri" w:eastAsia="Calibri" w:hAnsi="Calibri" w:cs="Times New Roman"/>
        </w:rPr>
        <w:tab/>
        <w:t>16</w:t>
      </w:r>
      <w:r w:rsidR="004B6CBF">
        <w:rPr>
          <w:rFonts w:ascii="Calibri" w:eastAsia="Calibri" w:hAnsi="Calibri" w:cs="Times New Roman"/>
        </w:rPr>
        <w:t>4</w:t>
      </w:r>
    </w:p>
    <w:p w14:paraId="0DBCD9EC" w14:textId="77777777" w:rsidR="00D73936" w:rsidRPr="00D73936" w:rsidRDefault="00D73936" w:rsidP="00D73936">
      <w:pPr>
        <w:spacing w:after="0" w:line="360" w:lineRule="auto"/>
        <w:ind w:left="1440"/>
        <w:rPr>
          <w:rFonts w:ascii="Calibri" w:eastAsia="Calibri" w:hAnsi="Calibri" w:cs="Times New Roman"/>
        </w:rPr>
      </w:pPr>
      <w:r w:rsidRPr="00D73936">
        <w:rPr>
          <w:rFonts w:ascii="Calibri" w:eastAsia="Calibri" w:hAnsi="Calibri" w:cs="Times New Roman"/>
        </w:rPr>
        <w:t>EDS and NFM at 18 months as outcome variables.</w:t>
      </w:r>
    </w:p>
    <w:p w14:paraId="1696D2F8" w14:textId="5E2A6C33" w:rsidR="0014276E" w:rsidRPr="0014276E" w:rsidRDefault="0014276E" w:rsidP="0014276E">
      <w:pPr>
        <w:rPr>
          <w:rFonts w:cs="Times New Roman"/>
        </w:rPr>
      </w:pPr>
      <w:r w:rsidRPr="0014276E">
        <w:rPr>
          <w:rFonts w:cs="Times New Roman"/>
        </w:rPr>
        <w:t>TABLE 49</w:t>
      </w:r>
      <w:r w:rsidRPr="0014276E">
        <w:rPr>
          <w:rFonts w:cs="Times New Roman"/>
        </w:rPr>
        <w:tab/>
        <w:t>Training Resources/costs: HeLP Coordinators</w:t>
      </w:r>
      <w:r w:rsidR="004B6CBF">
        <w:rPr>
          <w:rFonts w:cs="Times New Roman"/>
        </w:rPr>
        <w:tab/>
      </w:r>
      <w:r w:rsidR="004B6CBF">
        <w:rPr>
          <w:rFonts w:cs="Times New Roman"/>
        </w:rPr>
        <w:tab/>
      </w:r>
      <w:r w:rsidR="004B6CBF">
        <w:rPr>
          <w:rFonts w:cs="Times New Roman"/>
        </w:rPr>
        <w:tab/>
      </w:r>
      <w:r w:rsidR="004B6CBF">
        <w:rPr>
          <w:rFonts w:cs="Times New Roman"/>
        </w:rPr>
        <w:tab/>
      </w:r>
      <w:r w:rsidR="004B6CBF">
        <w:rPr>
          <w:rFonts w:cs="Times New Roman"/>
        </w:rPr>
        <w:tab/>
        <w:t>211</w:t>
      </w:r>
    </w:p>
    <w:p w14:paraId="33283A87" w14:textId="78C9E185" w:rsidR="0014276E" w:rsidRPr="0014276E" w:rsidRDefault="0014276E" w:rsidP="0014276E">
      <w:pPr>
        <w:rPr>
          <w:rFonts w:cs="Times New Roman"/>
        </w:rPr>
      </w:pPr>
      <w:r w:rsidRPr="0014276E">
        <w:rPr>
          <w:rFonts w:cs="Times New Roman"/>
        </w:rPr>
        <w:t>TABLE 50</w:t>
      </w:r>
      <w:r w:rsidRPr="0014276E">
        <w:rPr>
          <w:rFonts w:cs="Times New Roman"/>
        </w:rPr>
        <w:tab/>
        <w:t>Training Resources/costs: Drama Teams</w:t>
      </w:r>
      <w:r w:rsidR="004B6CBF">
        <w:rPr>
          <w:rFonts w:cs="Times New Roman"/>
        </w:rPr>
        <w:tab/>
      </w:r>
      <w:r w:rsidR="004B6CBF">
        <w:rPr>
          <w:rFonts w:cs="Times New Roman"/>
        </w:rPr>
        <w:tab/>
      </w:r>
      <w:r w:rsidR="004B6CBF">
        <w:rPr>
          <w:rFonts w:cs="Times New Roman"/>
        </w:rPr>
        <w:tab/>
      </w:r>
      <w:r w:rsidR="004B6CBF">
        <w:rPr>
          <w:rFonts w:cs="Times New Roman"/>
        </w:rPr>
        <w:tab/>
      </w:r>
      <w:r w:rsidR="004B6CBF">
        <w:rPr>
          <w:rFonts w:cs="Times New Roman"/>
        </w:rPr>
        <w:tab/>
      </w:r>
      <w:r w:rsidR="004B6CBF">
        <w:rPr>
          <w:rFonts w:cs="Times New Roman"/>
        </w:rPr>
        <w:tab/>
        <w:t>212</w:t>
      </w:r>
    </w:p>
    <w:p w14:paraId="295A1CFE" w14:textId="3EE04933" w:rsidR="0014276E" w:rsidRPr="0014276E" w:rsidRDefault="0014276E" w:rsidP="0014276E">
      <w:pPr>
        <w:ind w:left="1440" w:hanging="1440"/>
        <w:rPr>
          <w:rFonts w:ascii="Calibri" w:eastAsia="Calibri" w:hAnsi="Calibri" w:cs="Times New Roman"/>
        </w:rPr>
      </w:pPr>
      <w:r w:rsidRPr="0014276E">
        <w:rPr>
          <w:rFonts w:ascii="Calibri" w:eastAsia="Calibri" w:hAnsi="Calibri" w:cs="Times New Roman"/>
        </w:rPr>
        <w:t>TABLE 51</w:t>
      </w:r>
      <w:r w:rsidRPr="0014276E">
        <w:rPr>
          <w:rFonts w:ascii="Calibri" w:eastAsia="Calibri" w:hAnsi="Calibri" w:cs="Times New Roman"/>
        </w:rPr>
        <w:tab/>
        <w:t>Screening Summary of MLQ Likert Scale items for Baseline Datasets A &amp; B</w:t>
      </w:r>
      <w:r w:rsidR="002B3A6D">
        <w:rPr>
          <w:rFonts w:ascii="Calibri" w:eastAsia="Calibri" w:hAnsi="Calibri" w:cs="Times New Roman"/>
        </w:rPr>
        <w:tab/>
        <w:t>251</w:t>
      </w:r>
    </w:p>
    <w:p w14:paraId="01170ED9" w14:textId="77777777" w:rsidR="0014276E" w:rsidRPr="0014276E" w:rsidRDefault="0014276E" w:rsidP="0014276E">
      <w:pPr>
        <w:ind w:left="1440"/>
        <w:rPr>
          <w:rFonts w:ascii="Calibri" w:eastAsia="Calibri" w:hAnsi="Calibri" w:cs="Times New Roman"/>
        </w:rPr>
      </w:pPr>
      <w:r w:rsidRPr="0014276E">
        <w:rPr>
          <w:rFonts w:ascii="Calibri" w:eastAsia="Calibri" w:hAnsi="Calibri" w:cs="Times New Roman"/>
        </w:rPr>
        <w:t xml:space="preserve">and 12 months Datasets A &amp; B </w:t>
      </w:r>
    </w:p>
    <w:p w14:paraId="6CA154C0" w14:textId="3A79759F" w:rsidR="0014276E" w:rsidRPr="0014276E" w:rsidRDefault="0014276E" w:rsidP="0014276E">
      <w:pPr>
        <w:rPr>
          <w:rFonts w:ascii="Calibri" w:eastAsia="Calibri" w:hAnsi="Calibri" w:cs="Times New Roman"/>
        </w:rPr>
      </w:pPr>
      <w:r w:rsidRPr="0014276E">
        <w:rPr>
          <w:rFonts w:ascii="Calibri" w:eastAsia="Calibri" w:hAnsi="Calibri" w:cs="Times New Roman"/>
        </w:rPr>
        <w:t>TABLE 52</w:t>
      </w:r>
      <w:r w:rsidRPr="0014276E">
        <w:rPr>
          <w:rFonts w:ascii="Calibri" w:eastAsia="Calibri" w:hAnsi="Calibri" w:cs="Times New Roman"/>
        </w:rPr>
        <w:tab/>
        <w:t>Goodness-of-fit indices for the Confidence &amp; Motivation (C&amp;M) sub-scale</w:t>
      </w:r>
      <w:r w:rsidR="002B3A6D">
        <w:rPr>
          <w:rFonts w:ascii="Calibri" w:eastAsia="Calibri" w:hAnsi="Calibri" w:cs="Times New Roman"/>
        </w:rPr>
        <w:tab/>
        <w:t>256</w:t>
      </w:r>
    </w:p>
    <w:p w14:paraId="043D3341" w14:textId="5BB78FA5" w:rsidR="0014276E" w:rsidRPr="0014276E" w:rsidRDefault="0014276E" w:rsidP="0014276E">
      <w:pPr>
        <w:rPr>
          <w:rFonts w:ascii="Calibri" w:eastAsia="Calibri" w:hAnsi="Calibri" w:cs="Times New Roman"/>
        </w:rPr>
      </w:pPr>
      <w:r w:rsidRPr="0014276E">
        <w:rPr>
          <w:rFonts w:ascii="Calibri" w:eastAsia="Calibri" w:hAnsi="Calibri" w:cs="Times New Roman"/>
        </w:rPr>
        <w:t>TABLE 53</w:t>
      </w:r>
      <w:r w:rsidRPr="0014276E">
        <w:rPr>
          <w:rFonts w:ascii="Calibri" w:eastAsia="Calibri" w:hAnsi="Calibri" w:cs="Times New Roman"/>
        </w:rPr>
        <w:tab/>
        <w:t xml:space="preserve">Goodness-of-fit indices for the Peer Norms (PN) </w:t>
      </w:r>
      <w:r w:rsidR="002B3A6D">
        <w:rPr>
          <w:rFonts w:ascii="Calibri" w:eastAsia="Calibri" w:hAnsi="Calibri" w:cs="Times New Roman"/>
        </w:rPr>
        <w:t>sub-scale</w:t>
      </w:r>
      <w:r w:rsidR="002B3A6D">
        <w:rPr>
          <w:rFonts w:ascii="Calibri" w:eastAsia="Calibri" w:hAnsi="Calibri" w:cs="Times New Roman"/>
        </w:rPr>
        <w:tab/>
      </w:r>
      <w:r w:rsidR="002B3A6D">
        <w:rPr>
          <w:rFonts w:ascii="Calibri" w:eastAsia="Calibri" w:hAnsi="Calibri" w:cs="Times New Roman"/>
        </w:rPr>
        <w:tab/>
      </w:r>
      <w:r w:rsidR="002B3A6D">
        <w:rPr>
          <w:rFonts w:ascii="Calibri" w:eastAsia="Calibri" w:hAnsi="Calibri" w:cs="Times New Roman"/>
        </w:rPr>
        <w:tab/>
        <w:t>257</w:t>
      </w:r>
    </w:p>
    <w:p w14:paraId="3AE3FA0A" w14:textId="0AE8B572" w:rsidR="0014276E" w:rsidRPr="0014276E" w:rsidRDefault="0014276E" w:rsidP="0014276E">
      <w:pPr>
        <w:rPr>
          <w:rFonts w:ascii="Calibri" w:eastAsia="Calibri" w:hAnsi="Calibri" w:cs="Times New Roman"/>
        </w:rPr>
      </w:pPr>
      <w:r w:rsidRPr="0014276E">
        <w:rPr>
          <w:rFonts w:ascii="Calibri" w:eastAsia="Calibri" w:hAnsi="Calibri" w:cs="Times New Roman"/>
        </w:rPr>
        <w:t>TABLE 54</w:t>
      </w:r>
      <w:r w:rsidRPr="0014276E">
        <w:rPr>
          <w:rFonts w:ascii="Calibri" w:eastAsia="Calibri" w:hAnsi="Calibri" w:cs="Times New Roman"/>
        </w:rPr>
        <w:tab/>
        <w:t xml:space="preserve">Goodness-of-fit indices for the Family Approval/Behaviours and </w:t>
      </w:r>
      <w:r w:rsidR="004B6CBF">
        <w:rPr>
          <w:rFonts w:ascii="Calibri" w:eastAsia="Calibri" w:hAnsi="Calibri" w:cs="Times New Roman"/>
        </w:rPr>
        <w:tab/>
      </w:r>
      <w:r w:rsidR="004B6CBF">
        <w:rPr>
          <w:rFonts w:ascii="Calibri" w:eastAsia="Calibri" w:hAnsi="Calibri" w:cs="Times New Roman"/>
        </w:rPr>
        <w:tab/>
      </w:r>
      <w:r w:rsidR="004B6CBF">
        <w:rPr>
          <w:rFonts w:ascii="Calibri" w:eastAsia="Calibri" w:hAnsi="Calibri" w:cs="Times New Roman"/>
        </w:rPr>
        <w:tab/>
      </w:r>
      <w:r w:rsidR="002B3A6D">
        <w:rPr>
          <w:rFonts w:ascii="Calibri" w:eastAsia="Calibri" w:hAnsi="Calibri" w:cs="Times New Roman"/>
        </w:rPr>
        <w:t>258</w:t>
      </w:r>
    </w:p>
    <w:p w14:paraId="56FC18AA" w14:textId="77777777" w:rsidR="0014276E" w:rsidRPr="0014276E" w:rsidRDefault="0014276E" w:rsidP="0014276E">
      <w:pPr>
        <w:ind w:left="720" w:firstLine="720"/>
        <w:rPr>
          <w:rFonts w:ascii="Calibri" w:eastAsia="Calibri" w:hAnsi="Calibri" w:cs="Times New Roman"/>
        </w:rPr>
      </w:pPr>
      <w:r w:rsidRPr="0014276E">
        <w:rPr>
          <w:rFonts w:ascii="Calibri" w:eastAsia="Calibri" w:hAnsi="Calibri" w:cs="Times New Roman"/>
        </w:rPr>
        <w:t>Child Attitudes (FAB&amp;CA) sub-scale</w:t>
      </w:r>
    </w:p>
    <w:p w14:paraId="204B1318" w14:textId="4A210F89" w:rsidR="0014276E" w:rsidRPr="0014276E" w:rsidRDefault="0014276E" w:rsidP="0014276E">
      <w:pPr>
        <w:rPr>
          <w:rFonts w:ascii="Calibri" w:eastAsia="Calibri" w:hAnsi="Calibri" w:cs="Times New Roman"/>
        </w:rPr>
      </w:pPr>
      <w:r w:rsidRPr="0014276E">
        <w:rPr>
          <w:rFonts w:ascii="Calibri" w:eastAsia="Calibri" w:hAnsi="Calibri" w:cs="Times New Roman"/>
        </w:rPr>
        <w:t>TABLE 55</w:t>
      </w:r>
      <w:r w:rsidRPr="0014276E">
        <w:rPr>
          <w:rFonts w:ascii="Calibri" w:eastAsia="Calibri" w:hAnsi="Calibri" w:cs="Times New Roman"/>
        </w:rPr>
        <w:tab/>
        <w:t>Goodness-of-fit indices for the Behaviours &amp;</w:t>
      </w:r>
      <w:r w:rsidR="002B3A6D">
        <w:rPr>
          <w:rFonts w:ascii="Calibri" w:eastAsia="Calibri" w:hAnsi="Calibri" w:cs="Times New Roman"/>
        </w:rPr>
        <w:t xml:space="preserve"> Strategies (B&amp;S) sub-scale</w:t>
      </w:r>
      <w:r w:rsidR="002B3A6D">
        <w:rPr>
          <w:rFonts w:ascii="Calibri" w:eastAsia="Calibri" w:hAnsi="Calibri" w:cs="Times New Roman"/>
        </w:rPr>
        <w:tab/>
      </w:r>
      <w:r w:rsidR="002B3A6D">
        <w:rPr>
          <w:rFonts w:ascii="Calibri" w:eastAsia="Calibri" w:hAnsi="Calibri" w:cs="Times New Roman"/>
        </w:rPr>
        <w:tab/>
        <w:t>259</w:t>
      </w:r>
    </w:p>
    <w:p w14:paraId="7B283151" w14:textId="433FC4EF" w:rsidR="0014276E" w:rsidRPr="0014276E" w:rsidRDefault="0014276E" w:rsidP="0014276E">
      <w:pPr>
        <w:spacing w:line="360" w:lineRule="auto"/>
        <w:rPr>
          <w:rFonts w:ascii="Calibri" w:eastAsia="Calibri" w:hAnsi="Calibri" w:cs="Times New Roman"/>
        </w:rPr>
      </w:pPr>
      <w:r w:rsidRPr="0014276E">
        <w:rPr>
          <w:rFonts w:ascii="Calibri" w:eastAsia="Calibri" w:hAnsi="Calibri" w:cs="Times New Roman"/>
        </w:rPr>
        <w:t>TABLE 56</w:t>
      </w:r>
      <w:r w:rsidRPr="0014276E">
        <w:rPr>
          <w:rFonts w:ascii="Calibri" w:eastAsia="Calibri" w:hAnsi="Calibri" w:cs="Times New Roman"/>
        </w:rPr>
        <w:tab/>
        <w:t xml:space="preserve">Summary of the results from the measurement invariance test of </w:t>
      </w:r>
      <w:r w:rsidRPr="0014276E">
        <w:rPr>
          <w:rFonts w:ascii="Calibri" w:eastAsia="Calibri" w:hAnsi="Calibri" w:cs="Times New Roman"/>
        </w:rPr>
        <w:tab/>
      </w:r>
      <w:r w:rsidRPr="0014276E">
        <w:rPr>
          <w:rFonts w:ascii="Calibri" w:eastAsia="Calibri" w:hAnsi="Calibri" w:cs="Times New Roman"/>
        </w:rPr>
        <w:tab/>
      </w:r>
      <w:r w:rsidR="002B3A6D">
        <w:rPr>
          <w:rFonts w:ascii="Calibri" w:eastAsia="Calibri" w:hAnsi="Calibri" w:cs="Times New Roman"/>
        </w:rPr>
        <w:t>260</w:t>
      </w:r>
      <w:r w:rsidRPr="0014276E">
        <w:rPr>
          <w:rFonts w:ascii="Calibri" w:eastAsia="Calibri" w:hAnsi="Calibri" w:cs="Times New Roman"/>
        </w:rPr>
        <w:tab/>
      </w:r>
      <w:r w:rsidRPr="0014276E">
        <w:rPr>
          <w:rFonts w:ascii="Calibri" w:eastAsia="Calibri" w:hAnsi="Calibri" w:cs="Times New Roman"/>
        </w:rPr>
        <w:tab/>
        <w:t>the Confidence &amp; Motivation sub-scale</w:t>
      </w:r>
    </w:p>
    <w:p w14:paraId="4FF8FA12" w14:textId="637EC890" w:rsidR="0014276E" w:rsidRPr="0014276E" w:rsidRDefault="0014276E" w:rsidP="0014276E">
      <w:pPr>
        <w:rPr>
          <w:rFonts w:ascii="Calibri" w:eastAsia="Calibri" w:hAnsi="Calibri" w:cs="Times New Roman"/>
        </w:rPr>
      </w:pPr>
      <w:r w:rsidRPr="0014276E">
        <w:rPr>
          <w:rFonts w:ascii="Calibri" w:eastAsia="Calibri" w:hAnsi="Calibri" w:cs="Times New Roman"/>
        </w:rPr>
        <w:t>TABLE 57</w:t>
      </w:r>
      <w:r w:rsidRPr="0014276E">
        <w:rPr>
          <w:rFonts w:ascii="Calibri" w:eastAsia="Calibri" w:hAnsi="Calibri" w:cs="Times New Roman"/>
        </w:rPr>
        <w:tab/>
        <w:t xml:space="preserve">Summary of the results from the measurement invariance test of </w:t>
      </w:r>
      <w:r w:rsidRPr="0014276E">
        <w:rPr>
          <w:rFonts w:ascii="Calibri" w:eastAsia="Calibri" w:hAnsi="Calibri" w:cs="Times New Roman"/>
        </w:rPr>
        <w:tab/>
      </w:r>
      <w:r w:rsidRPr="0014276E">
        <w:rPr>
          <w:rFonts w:ascii="Calibri" w:eastAsia="Calibri" w:hAnsi="Calibri" w:cs="Times New Roman"/>
        </w:rPr>
        <w:tab/>
      </w:r>
      <w:r w:rsidR="002B3A6D">
        <w:rPr>
          <w:rFonts w:ascii="Calibri" w:eastAsia="Calibri" w:hAnsi="Calibri" w:cs="Times New Roman"/>
        </w:rPr>
        <w:t>260</w:t>
      </w:r>
    </w:p>
    <w:p w14:paraId="1D9E51F1" w14:textId="77777777" w:rsidR="0014276E" w:rsidRPr="0014276E" w:rsidRDefault="0014276E" w:rsidP="0014276E">
      <w:pPr>
        <w:ind w:left="720" w:firstLine="720"/>
        <w:rPr>
          <w:rFonts w:ascii="Calibri" w:eastAsia="Calibri" w:hAnsi="Calibri" w:cs="Times New Roman"/>
        </w:rPr>
      </w:pPr>
      <w:r w:rsidRPr="0014276E">
        <w:rPr>
          <w:rFonts w:ascii="Calibri" w:eastAsia="Calibri" w:hAnsi="Calibri" w:cs="Times New Roman"/>
        </w:rPr>
        <w:t>the Peer Norms sub-scale</w:t>
      </w:r>
    </w:p>
    <w:p w14:paraId="5DBA5660" w14:textId="437ECF5A" w:rsidR="0014276E" w:rsidRPr="0014276E" w:rsidRDefault="0014276E" w:rsidP="0014276E">
      <w:pPr>
        <w:rPr>
          <w:rFonts w:ascii="Calibri" w:eastAsia="Calibri" w:hAnsi="Calibri" w:cs="Times New Roman"/>
        </w:rPr>
      </w:pPr>
      <w:r w:rsidRPr="0014276E">
        <w:rPr>
          <w:rFonts w:ascii="Calibri" w:eastAsia="Calibri" w:hAnsi="Calibri" w:cs="Times New Roman"/>
        </w:rPr>
        <w:t>TABLE 58</w:t>
      </w:r>
      <w:r w:rsidRPr="0014276E">
        <w:rPr>
          <w:rFonts w:ascii="Calibri" w:eastAsia="Calibri" w:hAnsi="Calibri" w:cs="Times New Roman"/>
        </w:rPr>
        <w:tab/>
        <w:t xml:space="preserve">Summary of the results from the measurement invariance test of </w:t>
      </w:r>
      <w:r w:rsidRPr="0014276E">
        <w:rPr>
          <w:rFonts w:ascii="Calibri" w:eastAsia="Calibri" w:hAnsi="Calibri" w:cs="Times New Roman"/>
        </w:rPr>
        <w:tab/>
      </w:r>
      <w:r w:rsidRPr="0014276E">
        <w:rPr>
          <w:rFonts w:ascii="Calibri" w:eastAsia="Calibri" w:hAnsi="Calibri" w:cs="Times New Roman"/>
        </w:rPr>
        <w:tab/>
      </w:r>
      <w:r w:rsidR="002B3A6D">
        <w:rPr>
          <w:rFonts w:ascii="Calibri" w:eastAsia="Calibri" w:hAnsi="Calibri" w:cs="Times New Roman"/>
        </w:rPr>
        <w:t>261</w:t>
      </w:r>
    </w:p>
    <w:p w14:paraId="50909A2F" w14:textId="77777777" w:rsidR="0014276E" w:rsidRPr="0014276E" w:rsidRDefault="0014276E" w:rsidP="0014276E">
      <w:pPr>
        <w:ind w:left="720" w:firstLine="720"/>
        <w:rPr>
          <w:rFonts w:ascii="Calibri" w:eastAsia="Calibri" w:hAnsi="Calibri" w:cs="Times New Roman"/>
        </w:rPr>
      </w:pPr>
      <w:r w:rsidRPr="0014276E">
        <w:rPr>
          <w:rFonts w:ascii="Calibri" w:eastAsia="Calibri" w:hAnsi="Calibri" w:cs="Times New Roman"/>
        </w:rPr>
        <w:t>the Family Approval/Behaviours &amp; Child Attitudes sub-scale</w:t>
      </w:r>
    </w:p>
    <w:p w14:paraId="5677D9D6" w14:textId="186698A9" w:rsidR="0014276E" w:rsidRPr="0014276E" w:rsidRDefault="0014276E" w:rsidP="0014276E">
      <w:pPr>
        <w:ind w:left="1440" w:hanging="1440"/>
        <w:rPr>
          <w:rFonts w:ascii="Calibri" w:eastAsia="Calibri" w:hAnsi="Calibri" w:cs="Times New Roman"/>
        </w:rPr>
      </w:pPr>
      <w:r w:rsidRPr="0014276E">
        <w:rPr>
          <w:rFonts w:ascii="Calibri" w:eastAsia="Calibri" w:hAnsi="Calibri" w:cs="Times New Roman"/>
        </w:rPr>
        <w:t xml:space="preserve">TABLE 59 </w:t>
      </w:r>
      <w:r w:rsidRPr="0014276E">
        <w:rPr>
          <w:rFonts w:ascii="Calibri" w:eastAsia="Calibri" w:hAnsi="Calibri" w:cs="Times New Roman"/>
        </w:rPr>
        <w:tab/>
        <w:t>Summary of the results from the meas</w:t>
      </w:r>
      <w:r w:rsidR="002B3A6D">
        <w:rPr>
          <w:rFonts w:ascii="Calibri" w:eastAsia="Calibri" w:hAnsi="Calibri" w:cs="Times New Roman"/>
        </w:rPr>
        <w:t xml:space="preserve">urement invariance test of </w:t>
      </w:r>
      <w:r w:rsidR="002B3A6D">
        <w:rPr>
          <w:rFonts w:ascii="Calibri" w:eastAsia="Calibri" w:hAnsi="Calibri" w:cs="Times New Roman"/>
        </w:rPr>
        <w:tab/>
      </w:r>
      <w:r w:rsidR="002B3A6D">
        <w:rPr>
          <w:rFonts w:ascii="Calibri" w:eastAsia="Calibri" w:hAnsi="Calibri" w:cs="Times New Roman"/>
        </w:rPr>
        <w:tab/>
        <w:t>261</w:t>
      </w:r>
    </w:p>
    <w:p w14:paraId="4EECBBA3" w14:textId="77777777" w:rsidR="0014276E" w:rsidRPr="0014276E" w:rsidRDefault="0014276E" w:rsidP="0014276E">
      <w:pPr>
        <w:ind w:left="1440"/>
        <w:rPr>
          <w:rFonts w:ascii="Calibri" w:eastAsia="Calibri" w:hAnsi="Calibri" w:cs="Times New Roman"/>
        </w:rPr>
      </w:pPr>
      <w:r w:rsidRPr="0014276E">
        <w:rPr>
          <w:rFonts w:ascii="Calibri" w:eastAsia="Calibri" w:hAnsi="Calibri" w:cs="Times New Roman"/>
        </w:rPr>
        <w:t>the Behaviours &amp; Strategies sub-scale</w:t>
      </w:r>
    </w:p>
    <w:p w14:paraId="6AE72E55" w14:textId="77777777" w:rsidR="0014276E" w:rsidRPr="0014276E" w:rsidRDefault="0014276E" w:rsidP="0014276E">
      <w:pPr>
        <w:rPr>
          <w:rFonts w:ascii="Calibri" w:eastAsia="Calibri" w:hAnsi="Calibri" w:cs="Times New Roman"/>
        </w:rPr>
      </w:pPr>
    </w:p>
    <w:p w14:paraId="2100DC19" w14:textId="77777777" w:rsidR="00D73936" w:rsidRPr="00D73936" w:rsidRDefault="00D73936" w:rsidP="00D73936">
      <w:pPr>
        <w:rPr>
          <w:rFonts w:ascii="Calibri" w:eastAsia="Calibri" w:hAnsi="Calibri" w:cs="Times New Roman"/>
        </w:rPr>
      </w:pPr>
      <w:r w:rsidRPr="00D73936">
        <w:rPr>
          <w:rFonts w:ascii="Calibri" w:eastAsia="Calibri" w:hAnsi="Calibri" w:cs="Times New Roman"/>
        </w:rPr>
        <w:br w:type="page"/>
      </w:r>
    </w:p>
    <w:p w14:paraId="3A4BB9FA" w14:textId="77777777" w:rsidR="00643E1F" w:rsidRDefault="00D73936" w:rsidP="00AB4D98">
      <w:pPr>
        <w:pStyle w:val="Heading1"/>
      </w:pPr>
      <w:bookmarkStart w:id="187" w:name="_Toc466638268"/>
      <w:bookmarkStart w:id="188" w:name="_Toc466638589"/>
      <w:bookmarkStart w:id="189" w:name="_Toc466639012"/>
      <w:bookmarkStart w:id="190" w:name="_Toc466639555"/>
      <w:bookmarkStart w:id="191" w:name="_Toc466710035"/>
      <w:bookmarkStart w:id="192" w:name="_Toc466711383"/>
      <w:bookmarkStart w:id="193" w:name="_Toc466712042"/>
      <w:bookmarkStart w:id="194" w:name="_Toc466900417"/>
      <w:bookmarkStart w:id="195" w:name="_Toc475974328"/>
      <w:r w:rsidRPr="00D73936">
        <w:lastRenderedPageBreak/>
        <w:t>List of Figures</w:t>
      </w:r>
      <w:bookmarkEnd w:id="187"/>
      <w:bookmarkEnd w:id="188"/>
      <w:bookmarkEnd w:id="189"/>
      <w:bookmarkEnd w:id="190"/>
      <w:bookmarkEnd w:id="191"/>
      <w:bookmarkEnd w:id="192"/>
      <w:bookmarkEnd w:id="193"/>
      <w:bookmarkEnd w:id="194"/>
      <w:bookmarkEnd w:id="195"/>
    </w:p>
    <w:p w14:paraId="12A75409" w14:textId="46BBACC7" w:rsidR="00D73936" w:rsidRPr="00D73936" w:rsidRDefault="00D73936" w:rsidP="00C82499">
      <w:pPr>
        <w:rPr>
          <w:lang w:val="en-US"/>
        </w:rPr>
      </w:pPr>
      <w:r w:rsidRPr="00D73936">
        <w:rPr>
          <w:rFonts w:eastAsiaTheme="majorEastAsia"/>
          <w:b/>
        </w:rPr>
        <w:tab/>
      </w:r>
      <w:r w:rsidRPr="00D73936">
        <w:rPr>
          <w:rFonts w:eastAsiaTheme="majorEastAsia"/>
          <w:b/>
        </w:rPr>
        <w:tab/>
      </w:r>
      <w:r w:rsidRPr="00D73936">
        <w:rPr>
          <w:rFonts w:eastAsiaTheme="majorEastAsia"/>
          <w:b/>
        </w:rPr>
        <w:tab/>
      </w:r>
      <w:r w:rsidRPr="00D73936">
        <w:rPr>
          <w:rFonts w:eastAsiaTheme="majorEastAsia"/>
          <w:b/>
        </w:rPr>
        <w:tab/>
      </w:r>
      <w:r w:rsidRPr="00D73936">
        <w:rPr>
          <w:rFonts w:eastAsiaTheme="majorEastAsia"/>
          <w:b/>
        </w:rPr>
        <w:tab/>
      </w:r>
      <w:r w:rsidRPr="00D73936">
        <w:rPr>
          <w:rFonts w:eastAsiaTheme="majorEastAsia"/>
          <w:b/>
        </w:rPr>
        <w:tab/>
      </w:r>
      <w:r w:rsidRPr="00D73936">
        <w:rPr>
          <w:rFonts w:eastAsiaTheme="majorEastAsia"/>
          <w:b/>
        </w:rPr>
        <w:tab/>
      </w:r>
      <w:r w:rsidRPr="00D73936">
        <w:rPr>
          <w:rFonts w:eastAsiaTheme="majorEastAsia"/>
          <w:b/>
        </w:rPr>
        <w:tab/>
      </w:r>
      <w:r w:rsidRPr="00D73936">
        <w:rPr>
          <w:rFonts w:eastAsiaTheme="majorEastAsia"/>
          <w:b/>
        </w:rPr>
        <w:tab/>
      </w:r>
      <w:r w:rsidR="00643E1F">
        <w:rPr>
          <w:rFonts w:eastAsiaTheme="majorEastAsia"/>
          <w:b/>
        </w:rPr>
        <w:t xml:space="preserve">                    </w:t>
      </w:r>
      <w:r w:rsidR="00643E1F">
        <w:rPr>
          <w:rFonts w:eastAsiaTheme="majorEastAsia"/>
          <w:b/>
        </w:rPr>
        <w:tab/>
        <w:t xml:space="preserve">  </w:t>
      </w:r>
      <w:r w:rsidRPr="00D73936">
        <w:rPr>
          <w:rFonts w:eastAsiaTheme="majorEastAsia"/>
          <w:b/>
        </w:rPr>
        <w:t>Page No</w:t>
      </w:r>
    </w:p>
    <w:p w14:paraId="384F9F48" w14:textId="77777777" w:rsidR="00D73936" w:rsidRPr="00D73936" w:rsidRDefault="00D73936" w:rsidP="00D73936">
      <w:pPr>
        <w:spacing w:line="360" w:lineRule="auto"/>
        <w:rPr>
          <w:lang w:val="en-US"/>
        </w:rPr>
      </w:pPr>
      <w:r w:rsidRPr="00D73936">
        <w:rPr>
          <w:lang w:val="en-US"/>
        </w:rPr>
        <w:t xml:space="preserve">FIGURE 1 </w:t>
      </w:r>
      <w:r w:rsidRPr="00D73936">
        <w:rPr>
          <w:lang w:val="en-US"/>
        </w:rPr>
        <w:tab/>
        <w:t>Timeline Cluster Diagram for HeLP</w:t>
      </w:r>
      <w:r w:rsidRPr="00D73936">
        <w:rPr>
          <w:lang w:val="en-US"/>
        </w:rPr>
        <w:tab/>
      </w:r>
      <w:r w:rsidRPr="00D73936">
        <w:rPr>
          <w:lang w:val="en-US"/>
        </w:rPr>
        <w:tab/>
      </w:r>
      <w:r w:rsidRPr="00D73936">
        <w:rPr>
          <w:lang w:val="en-US"/>
        </w:rPr>
        <w:tab/>
      </w:r>
      <w:r w:rsidRPr="00D73936">
        <w:rPr>
          <w:lang w:val="en-US"/>
        </w:rPr>
        <w:tab/>
      </w:r>
      <w:r w:rsidRPr="00D73936">
        <w:rPr>
          <w:lang w:val="en-US"/>
        </w:rPr>
        <w:tab/>
      </w:r>
      <w:r w:rsidRPr="00D73936">
        <w:rPr>
          <w:lang w:val="en-US"/>
        </w:rPr>
        <w:tab/>
        <w:t>31</w:t>
      </w:r>
    </w:p>
    <w:p w14:paraId="619E67F8" w14:textId="28E0292F" w:rsidR="00D73936" w:rsidRPr="00D73936" w:rsidRDefault="00D73936" w:rsidP="00D73936">
      <w:pPr>
        <w:spacing w:line="360" w:lineRule="auto"/>
        <w:rPr>
          <w:bCs/>
        </w:rPr>
      </w:pPr>
      <w:r w:rsidRPr="00D73936">
        <w:rPr>
          <w:bCs/>
        </w:rPr>
        <w:t xml:space="preserve">FIGURE 2 </w:t>
      </w:r>
      <w:r w:rsidRPr="00D73936">
        <w:rPr>
          <w:bCs/>
        </w:rPr>
        <w:tab/>
        <w:t>Trial profile</w:t>
      </w:r>
      <w:r w:rsidRPr="00D73936">
        <w:rPr>
          <w:bCs/>
        </w:rPr>
        <w:tab/>
      </w:r>
      <w:r w:rsidRPr="00D73936">
        <w:rPr>
          <w:bCs/>
        </w:rPr>
        <w:tab/>
      </w:r>
      <w:r w:rsidRPr="00D73936">
        <w:rPr>
          <w:bCs/>
        </w:rPr>
        <w:tab/>
      </w:r>
      <w:r w:rsidRPr="00D73936">
        <w:rPr>
          <w:bCs/>
        </w:rPr>
        <w:tab/>
      </w:r>
      <w:r w:rsidRPr="00D73936">
        <w:rPr>
          <w:bCs/>
        </w:rPr>
        <w:tab/>
      </w:r>
      <w:r w:rsidRPr="00D73936">
        <w:rPr>
          <w:bCs/>
        </w:rPr>
        <w:tab/>
      </w:r>
      <w:r w:rsidRPr="00D73936">
        <w:rPr>
          <w:bCs/>
        </w:rPr>
        <w:tab/>
      </w:r>
      <w:r w:rsidRPr="00D73936">
        <w:rPr>
          <w:bCs/>
        </w:rPr>
        <w:tab/>
      </w:r>
      <w:r w:rsidRPr="00D73936">
        <w:rPr>
          <w:bCs/>
        </w:rPr>
        <w:tab/>
        <w:t>5</w:t>
      </w:r>
      <w:r w:rsidR="000A307D">
        <w:rPr>
          <w:bCs/>
        </w:rPr>
        <w:t>4</w:t>
      </w:r>
    </w:p>
    <w:p w14:paraId="150774A1" w14:textId="3A98B037" w:rsidR="00D73936" w:rsidRPr="00D73936" w:rsidRDefault="00D73936" w:rsidP="00D73936">
      <w:pPr>
        <w:spacing w:line="360" w:lineRule="auto"/>
        <w:rPr>
          <w:bCs/>
        </w:rPr>
      </w:pPr>
      <w:r w:rsidRPr="00D73936">
        <w:rPr>
          <w:bCs/>
        </w:rPr>
        <w:t xml:space="preserve">FIGURE 3 </w:t>
      </w:r>
      <w:r w:rsidRPr="00D73936">
        <w:rPr>
          <w:bCs/>
        </w:rPr>
        <w:tab/>
        <w:t>Completeness of measures across time points</w:t>
      </w:r>
      <w:r w:rsidRPr="00D73936">
        <w:rPr>
          <w:bCs/>
        </w:rPr>
        <w:tab/>
      </w:r>
      <w:r w:rsidRPr="00D73936">
        <w:rPr>
          <w:bCs/>
        </w:rPr>
        <w:tab/>
      </w:r>
      <w:r w:rsidRPr="00D73936">
        <w:rPr>
          <w:bCs/>
        </w:rPr>
        <w:tab/>
      </w:r>
      <w:r w:rsidRPr="00D73936">
        <w:rPr>
          <w:bCs/>
        </w:rPr>
        <w:tab/>
      </w:r>
      <w:r w:rsidRPr="00D73936">
        <w:rPr>
          <w:bCs/>
        </w:rPr>
        <w:tab/>
        <w:t>5</w:t>
      </w:r>
      <w:r w:rsidR="000A307D">
        <w:rPr>
          <w:bCs/>
        </w:rPr>
        <w:t>6</w:t>
      </w:r>
    </w:p>
    <w:p w14:paraId="5A120EAB" w14:textId="0EACF40B" w:rsidR="00D73936" w:rsidRPr="00D73936" w:rsidRDefault="00D73936" w:rsidP="00D73936">
      <w:pPr>
        <w:spacing w:line="240" w:lineRule="auto"/>
        <w:ind w:left="1440" w:hanging="1440"/>
      </w:pPr>
      <w:r w:rsidRPr="00D73936">
        <w:t xml:space="preserve">FIGURE 4 </w:t>
      </w:r>
      <w:r w:rsidRPr="00D73936">
        <w:tab/>
        <w:t xml:space="preserve">Predicted marginal BMI SDS with 95% confidence intervals </w:t>
      </w:r>
      <w:r w:rsidRPr="00D73936">
        <w:tab/>
      </w:r>
      <w:r w:rsidRPr="00D73936">
        <w:tab/>
      </w:r>
      <w:r w:rsidRPr="00D73936">
        <w:tab/>
        <w:t>6</w:t>
      </w:r>
      <w:r w:rsidR="0036024B">
        <w:t>6</w:t>
      </w:r>
    </w:p>
    <w:p w14:paraId="01C98938" w14:textId="77777777" w:rsidR="00D73936" w:rsidRPr="00D73936" w:rsidRDefault="00D73936" w:rsidP="00D73936">
      <w:pPr>
        <w:spacing w:line="240" w:lineRule="auto"/>
        <w:ind w:left="1440"/>
      </w:pPr>
      <w:r w:rsidRPr="00D73936">
        <w:t>in the intervention group and control group across time points</w:t>
      </w:r>
    </w:p>
    <w:p w14:paraId="2BA1EDAE" w14:textId="1C1AF71B" w:rsidR="00D73936" w:rsidRPr="00D73936" w:rsidRDefault="00D73936" w:rsidP="00D73936">
      <w:pPr>
        <w:spacing w:line="360" w:lineRule="auto"/>
        <w:rPr>
          <w:rFonts w:cs="Arial"/>
          <w:iCs/>
        </w:rPr>
      </w:pPr>
      <w:r w:rsidRPr="00D73936">
        <w:rPr>
          <w:rFonts w:cs="Arial"/>
          <w:iCs/>
        </w:rPr>
        <w:t xml:space="preserve">FIGURE 5 </w:t>
      </w:r>
      <w:r w:rsidRPr="00D73936">
        <w:rPr>
          <w:rFonts w:cs="Arial"/>
          <w:iCs/>
        </w:rPr>
        <w:tab/>
        <w:t>PRISMA flow diagram</w:t>
      </w:r>
      <w:r w:rsidRPr="00D73936">
        <w:rPr>
          <w:rFonts w:cs="Arial"/>
          <w:iCs/>
        </w:rPr>
        <w:tab/>
      </w:r>
      <w:r w:rsidRPr="00D73936">
        <w:rPr>
          <w:rFonts w:cs="Arial"/>
          <w:iCs/>
        </w:rPr>
        <w:tab/>
      </w:r>
      <w:r w:rsidRPr="00D73936">
        <w:rPr>
          <w:rFonts w:cs="Arial"/>
          <w:iCs/>
        </w:rPr>
        <w:tab/>
      </w:r>
      <w:r w:rsidRPr="00D73936">
        <w:rPr>
          <w:rFonts w:cs="Arial"/>
          <w:iCs/>
        </w:rPr>
        <w:tab/>
      </w:r>
      <w:r w:rsidRPr="00D73936">
        <w:rPr>
          <w:rFonts w:cs="Arial"/>
          <w:iCs/>
        </w:rPr>
        <w:tab/>
      </w:r>
      <w:r w:rsidRPr="00D73936">
        <w:rPr>
          <w:rFonts w:cs="Arial"/>
          <w:iCs/>
        </w:rPr>
        <w:tab/>
      </w:r>
      <w:r w:rsidRPr="00D73936">
        <w:rPr>
          <w:rFonts w:cs="Arial"/>
          <w:iCs/>
        </w:rPr>
        <w:tab/>
      </w:r>
      <w:r w:rsidRPr="00D73936">
        <w:rPr>
          <w:rFonts w:cs="Arial"/>
          <w:iCs/>
        </w:rPr>
        <w:tab/>
        <w:t>9</w:t>
      </w:r>
      <w:r w:rsidR="0036024B">
        <w:rPr>
          <w:rFonts w:cs="Arial"/>
          <w:iCs/>
        </w:rPr>
        <w:t>4</w:t>
      </w:r>
    </w:p>
    <w:p w14:paraId="7E27F8DD" w14:textId="5186879F" w:rsidR="00D73936" w:rsidRPr="00D73936" w:rsidRDefault="00D73936" w:rsidP="00D73936">
      <w:pPr>
        <w:spacing w:line="360" w:lineRule="auto"/>
        <w:rPr>
          <w:rFonts w:cs="Arial"/>
          <w:iCs/>
        </w:rPr>
      </w:pPr>
      <w:r w:rsidRPr="00D73936">
        <w:rPr>
          <w:rFonts w:cs="Arial"/>
          <w:iCs/>
        </w:rPr>
        <w:t xml:space="preserve">FIGURE 6 </w:t>
      </w:r>
      <w:r w:rsidRPr="00D73936">
        <w:rPr>
          <w:rFonts w:cs="Arial"/>
          <w:iCs/>
        </w:rPr>
        <w:tab/>
        <w:t>Model overview</w:t>
      </w:r>
      <w:r w:rsidRPr="00D73936">
        <w:rPr>
          <w:rFonts w:cs="Arial"/>
          <w:iCs/>
        </w:rPr>
        <w:tab/>
      </w:r>
      <w:r w:rsidRPr="00D73936">
        <w:rPr>
          <w:rFonts w:cs="Arial"/>
          <w:iCs/>
        </w:rPr>
        <w:tab/>
      </w:r>
      <w:r w:rsidRPr="00D73936">
        <w:rPr>
          <w:rFonts w:cs="Arial"/>
          <w:iCs/>
        </w:rPr>
        <w:tab/>
      </w:r>
      <w:r w:rsidRPr="00D73936">
        <w:rPr>
          <w:rFonts w:cs="Arial"/>
          <w:iCs/>
        </w:rPr>
        <w:tab/>
      </w:r>
      <w:r w:rsidRPr="00D73936">
        <w:rPr>
          <w:rFonts w:cs="Arial"/>
          <w:iCs/>
        </w:rPr>
        <w:tab/>
      </w:r>
      <w:r w:rsidRPr="00D73936">
        <w:rPr>
          <w:rFonts w:cs="Arial"/>
          <w:iCs/>
        </w:rPr>
        <w:tab/>
      </w:r>
      <w:r w:rsidRPr="00D73936">
        <w:rPr>
          <w:rFonts w:cs="Arial"/>
          <w:iCs/>
        </w:rPr>
        <w:tab/>
      </w:r>
      <w:r w:rsidRPr="00D73936">
        <w:rPr>
          <w:rFonts w:cs="Arial"/>
          <w:iCs/>
        </w:rPr>
        <w:tab/>
        <w:t>10</w:t>
      </w:r>
      <w:r w:rsidR="0036024B">
        <w:rPr>
          <w:rFonts w:cs="Arial"/>
          <w:iCs/>
        </w:rPr>
        <w:t>1</w:t>
      </w:r>
    </w:p>
    <w:p w14:paraId="5E832028" w14:textId="310DBD2C" w:rsidR="00D73936" w:rsidRPr="00D73936" w:rsidRDefault="00D73936" w:rsidP="00D73936">
      <w:pPr>
        <w:spacing w:line="360" w:lineRule="auto"/>
        <w:rPr>
          <w:rFonts w:cs="Arial"/>
          <w:iCs/>
        </w:rPr>
      </w:pPr>
      <w:r w:rsidRPr="00D73936">
        <w:rPr>
          <w:rFonts w:cs="Arial"/>
          <w:iCs/>
        </w:rPr>
        <w:t xml:space="preserve">FIGURE 7 </w:t>
      </w:r>
      <w:r w:rsidRPr="00D73936">
        <w:rPr>
          <w:rFonts w:cs="Arial"/>
          <w:iCs/>
        </w:rPr>
        <w:tab/>
        <w:t>Markov model structure</w:t>
      </w:r>
      <w:r w:rsidRPr="00D73936">
        <w:rPr>
          <w:rFonts w:cs="Arial"/>
          <w:iCs/>
        </w:rPr>
        <w:tab/>
      </w:r>
      <w:r w:rsidRPr="00D73936">
        <w:rPr>
          <w:rFonts w:cs="Arial"/>
          <w:iCs/>
        </w:rPr>
        <w:tab/>
      </w:r>
      <w:r w:rsidRPr="00D73936">
        <w:rPr>
          <w:rFonts w:cs="Arial"/>
          <w:iCs/>
        </w:rPr>
        <w:tab/>
      </w:r>
      <w:r w:rsidRPr="00D73936">
        <w:rPr>
          <w:rFonts w:cs="Arial"/>
          <w:iCs/>
        </w:rPr>
        <w:tab/>
      </w:r>
      <w:r w:rsidRPr="00D73936">
        <w:rPr>
          <w:rFonts w:cs="Arial"/>
          <w:iCs/>
        </w:rPr>
        <w:tab/>
      </w:r>
      <w:r w:rsidRPr="00D73936">
        <w:rPr>
          <w:rFonts w:cs="Arial"/>
          <w:iCs/>
        </w:rPr>
        <w:tab/>
      </w:r>
      <w:r w:rsidRPr="00D73936">
        <w:rPr>
          <w:rFonts w:cs="Arial"/>
          <w:iCs/>
        </w:rPr>
        <w:tab/>
        <w:t>10</w:t>
      </w:r>
      <w:r w:rsidR="0036024B">
        <w:rPr>
          <w:rFonts w:cs="Arial"/>
          <w:iCs/>
        </w:rPr>
        <w:t>3</w:t>
      </w:r>
    </w:p>
    <w:p w14:paraId="677591B2" w14:textId="771F15BA" w:rsidR="00D73936" w:rsidRPr="00D73936" w:rsidRDefault="00D73936" w:rsidP="00D73936">
      <w:pPr>
        <w:spacing w:line="360" w:lineRule="auto"/>
        <w:rPr>
          <w:iCs/>
        </w:rPr>
      </w:pPr>
      <w:r w:rsidRPr="00D73936">
        <w:rPr>
          <w:iCs/>
        </w:rPr>
        <w:t xml:space="preserve">FIGURE 8 </w:t>
      </w:r>
      <w:r w:rsidRPr="00D73936">
        <w:rPr>
          <w:iCs/>
        </w:rPr>
        <w:tab/>
        <w:t>The logic model for the Healthy Lifestyles Programme</w:t>
      </w:r>
      <w:r w:rsidRPr="00D73936">
        <w:rPr>
          <w:iCs/>
        </w:rPr>
        <w:tab/>
      </w:r>
      <w:r w:rsidRPr="00D73936">
        <w:rPr>
          <w:iCs/>
        </w:rPr>
        <w:tab/>
      </w:r>
      <w:r w:rsidRPr="00D73936">
        <w:rPr>
          <w:iCs/>
        </w:rPr>
        <w:tab/>
      </w:r>
      <w:r w:rsidRPr="00D73936">
        <w:rPr>
          <w:iCs/>
        </w:rPr>
        <w:tab/>
        <w:t>12</w:t>
      </w:r>
      <w:r w:rsidR="0036024B">
        <w:rPr>
          <w:iCs/>
        </w:rPr>
        <w:t>8</w:t>
      </w:r>
    </w:p>
    <w:p w14:paraId="24633A79" w14:textId="7E916B1D" w:rsidR="00D73936" w:rsidRPr="00D73936" w:rsidRDefault="00D73936" w:rsidP="00D73936">
      <w:pPr>
        <w:spacing w:line="360" w:lineRule="auto"/>
        <w:rPr>
          <w:rFonts w:ascii="Calibri" w:eastAsia="Calibri" w:hAnsi="Calibri" w:cs="Times New Roman"/>
          <w:iCs/>
        </w:rPr>
      </w:pPr>
      <w:r w:rsidRPr="00D73936">
        <w:rPr>
          <w:rFonts w:ascii="Calibri" w:eastAsia="Calibri" w:hAnsi="Calibri" w:cs="Times New Roman"/>
          <w:iCs/>
        </w:rPr>
        <w:t xml:space="preserve">FIGURE 9 </w:t>
      </w:r>
      <w:r w:rsidRPr="00D73936">
        <w:rPr>
          <w:rFonts w:ascii="Calibri" w:eastAsia="Calibri" w:hAnsi="Calibri" w:cs="Times New Roman"/>
          <w:iCs/>
        </w:rPr>
        <w:tab/>
        <w:t>Pathway analysis conceptual model</w:t>
      </w:r>
      <w:r w:rsidRPr="00D73936">
        <w:rPr>
          <w:rFonts w:ascii="Calibri" w:eastAsia="Calibri" w:hAnsi="Calibri" w:cs="Times New Roman"/>
          <w:iCs/>
        </w:rPr>
        <w:tab/>
      </w:r>
      <w:r w:rsidRPr="00D73936">
        <w:rPr>
          <w:rFonts w:ascii="Calibri" w:eastAsia="Calibri" w:hAnsi="Calibri" w:cs="Times New Roman"/>
          <w:iCs/>
        </w:rPr>
        <w:tab/>
      </w:r>
      <w:r w:rsidRPr="00D73936">
        <w:rPr>
          <w:rFonts w:ascii="Calibri" w:eastAsia="Calibri" w:hAnsi="Calibri" w:cs="Times New Roman"/>
          <w:iCs/>
        </w:rPr>
        <w:tab/>
      </w:r>
      <w:r w:rsidRPr="00D73936">
        <w:rPr>
          <w:rFonts w:ascii="Calibri" w:eastAsia="Calibri" w:hAnsi="Calibri" w:cs="Times New Roman"/>
          <w:iCs/>
        </w:rPr>
        <w:tab/>
      </w:r>
      <w:r w:rsidRPr="00D73936">
        <w:rPr>
          <w:rFonts w:ascii="Calibri" w:eastAsia="Calibri" w:hAnsi="Calibri" w:cs="Times New Roman"/>
          <w:iCs/>
        </w:rPr>
        <w:tab/>
      </w:r>
      <w:r w:rsidRPr="00D73936">
        <w:rPr>
          <w:rFonts w:ascii="Calibri" w:eastAsia="Calibri" w:hAnsi="Calibri" w:cs="Times New Roman"/>
          <w:iCs/>
        </w:rPr>
        <w:tab/>
        <w:t>15</w:t>
      </w:r>
      <w:r w:rsidR="0036024B">
        <w:rPr>
          <w:rFonts w:ascii="Calibri" w:eastAsia="Calibri" w:hAnsi="Calibri" w:cs="Times New Roman"/>
          <w:iCs/>
        </w:rPr>
        <w:t>9</w:t>
      </w:r>
    </w:p>
    <w:p w14:paraId="0DC70183" w14:textId="2BC74321" w:rsidR="00D73936" w:rsidRPr="00D73936" w:rsidRDefault="00D73936" w:rsidP="00D73936">
      <w:pPr>
        <w:spacing w:line="240" w:lineRule="auto"/>
        <w:ind w:left="1440" w:hanging="1440"/>
        <w:rPr>
          <w:rFonts w:ascii="Calibri" w:eastAsia="Calibri" w:hAnsi="Calibri" w:cs="Times New Roman"/>
          <w:iCs/>
        </w:rPr>
      </w:pPr>
      <w:r w:rsidRPr="00D73936">
        <w:rPr>
          <w:rFonts w:ascii="Calibri" w:eastAsia="Calibri" w:hAnsi="Calibri" w:cs="Times New Roman"/>
          <w:iCs/>
        </w:rPr>
        <w:t xml:space="preserve">FIGURE 10 </w:t>
      </w:r>
      <w:r w:rsidRPr="00D73936">
        <w:rPr>
          <w:rFonts w:ascii="Calibri" w:eastAsia="Calibri" w:hAnsi="Calibri" w:cs="Times New Roman"/>
          <w:iCs/>
        </w:rPr>
        <w:tab/>
        <w:t>Partial mediation model with significant standardised</w:t>
      </w:r>
      <w:r w:rsidRPr="00D73936">
        <w:rPr>
          <w:rFonts w:ascii="Calibri" w:eastAsia="Calibri" w:hAnsi="Calibri" w:cs="Times New Roman"/>
          <w:iCs/>
        </w:rPr>
        <w:tab/>
      </w:r>
      <w:r w:rsidRPr="00D73936">
        <w:rPr>
          <w:rFonts w:ascii="Calibri" w:eastAsia="Calibri" w:hAnsi="Calibri" w:cs="Times New Roman"/>
          <w:iCs/>
        </w:rPr>
        <w:tab/>
      </w:r>
      <w:r w:rsidRPr="00D73936">
        <w:rPr>
          <w:rFonts w:ascii="Calibri" w:eastAsia="Calibri" w:hAnsi="Calibri" w:cs="Times New Roman"/>
          <w:iCs/>
        </w:rPr>
        <w:tab/>
      </w:r>
      <w:r w:rsidRPr="00D73936">
        <w:rPr>
          <w:rFonts w:ascii="Calibri" w:eastAsia="Calibri" w:hAnsi="Calibri" w:cs="Times New Roman"/>
          <w:iCs/>
        </w:rPr>
        <w:tab/>
        <w:t>16</w:t>
      </w:r>
      <w:r w:rsidR="0036024B">
        <w:rPr>
          <w:rFonts w:ascii="Calibri" w:eastAsia="Calibri" w:hAnsi="Calibri" w:cs="Times New Roman"/>
          <w:iCs/>
        </w:rPr>
        <w:t>5</w:t>
      </w:r>
    </w:p>
    <w:p w14:paraId="2691B1FE" w14:textId="77777777" w:rsidR="00D73936" w:rsidRPr="00D73936" w:rsidRDefault="00D73936" w:rsidP="00D73936">
      <w:pPr>
        <w:spacing w:line="240" w:lineRule="auto"/>
        <w:ind w:left="1440"/>
        <w:rPr>
          <w:rFonts w:ascii="Calibri" w:eastAsia="Calibri" w:hAnsi="Calibri" w:cs="Times New Roman"/>
          <w:iCs/>
        </w:rPr>
      </w:pPr>
      <w:r w:rsidRPr="00D73936">
        <w:rPr>
          <w:rFonts w:ascii="Calibri" w:eastAsia="Calibri" w:hAnsi="Calibri" w:cs="Times New Roman"/>
          <w:iCs/>
        </w:rPr>
        <w:t>regression weights of pathways for weekday EDS at 18 months</w:t>
      </w:r>
    </w:p>
    <w:p w14:paraId="3E6627FA" w14:textId="16670BC1" w:rsidR="00D73936" w:rsidRPr="00D73936" w:rsidRDefault="00D73936" w:rsidP="00D73936">
      <w:pPr>
        <w:spacing w:line="240" w:lineRule="auto"/>
        <w:ind w:left="1440" w:hanging="1440"/>
        <w:rPr>
          <w:rFonts w:ascii="Calibri" w:eastAsia="Calibri" w:hAnsi="Calibri" w:cs="Times New Roman"/>
          <w:iCs/>
        </w:rPr>
      </w:pPr>
      <w:r w:rsidRPr="00D73936">
        <w:rPr>
          <w:rFonts w:ascii="Calibri" w:eastAsia="Calibri" w:hAnsi="Calibri" w:cs="Times New Roman"/>
          <w:iCs/>
        </w:rPr>
        <w:t xml:space="preserve">FIGURE 11 </w:t>
      </w:r>
      <w:r w:rsidRPr="00D73936">
        <w:rPr>
          <w:rFonts w:ascii="Calibri" w:eastAsia="Calibri" w:hAnsi="Calibri" w:cs="Times New Roman"/>
          <w:iCs/>
        </w:rPr>
        <w:tab/>
        <w:t xml:space="preserve">Full mediation model with significant standardised regression weights </w:t>
      </w:r>
      <w:r w:rsidRPr="00D73936">
        <w:rPr>
          <w:rFonts w:ascii="Calibri" w:eastAsia="Calibri" w:hAnsi="Calibri" w:cs="Times New Roman"/>
          <w:iCs/>
        </w:rPr>
        <w:tab/>
      </w:r>
      <w:r w:rsidRPr="00D73936">
        <w:rPr>
          <w:rFonts w:ascii="Calibri" w:eastAsia="Calibri" w:hAnsi="Calibri" w:cs="Times New Roman"/>
          <w:iCs/>
        </w:rPr>
        <w:tab/>
        <w:t>16</w:t>
      </w:r>
      <w:r w:rsidR="0036024B">
        <w:rPr>
          <w:rFonts w:ascii="Calibri" w:eastAsia="Calibri" w:hAnsi="Calibri" w:cs="Times New Roman"/>
          <w:iCs/>
        </w:rPr>
        <w:t>6</w:t>
      </w:r>
    </w:p>
    <w:p w14:paraId="70187F54" w14:textId="77777777" w:rsidR="00D73936" w:rsidRPr="00D73936" w:rsidRDefault="00D73936" w:rsidP="00D73936">
      <w:pPr>
        <w:spacing w:line="240" w:lineRule="auto"/>
        <w:ind w:left="1440"/>
        <w:rPr>
          <w:rFonts w:ascii="Calibri" w:eastAsia="Calibri" w:hAnsi="Calibri" w:cs="Times New Roman"/>
          <w:iCs/>
        </w:rPr>
      </w:pPr>
      <w:r w:rsidRPr="00D73936">
        <w:rPr>
          <w:rFonts w:ascii="Calibri" w:eastAsia="Calibri" w:hAnsi="Calibri" w:cs="Times New Roman"/>
          <w:iCs/>
        </w:rPr>
        <w:t>of pathways for weekday NFM at 18 months</w:t>
      </w:r>
    </w:p>
    <w:p w14:paraId="76D9ADBA" w14:textId="77777777" w:rsidR="00D73936" w:rsidRPr="00D73936" w:rsidRDefault="00D73936" w:rsidP="00D73936">
      <w:pPr>
        <w:spacing w:line="360" w:lineRule="auto"/>
      </w:pPr>
    </w:p>
    <w:p w14:paraId="40FB9342" w14:textId="77777777" w:rsidR="0014276E" w:rsidRPr="0014276E" w:rsidRDefault="0014276E" w:rsidP="0014276E">
      <w:pPr>
        <w:keepNext/>
        <w:keepLines/>
        <w:spacing w:before="480" w:after="0" w:line="360" w:lineRule="auto"/>
        <w:jc w:val="both"/>
        <w:outlineLvl w:val="0"/>
        <w:rPr>
          <w:rFonts w:eastAsiaTheme="majorEastAsia" w:cs="Arial"/>
          <w:b/>
          <w:sz w:val="24"/>
          <w:szCs w:val="24"/>
        </w:rPr>
      </w:pPr>
      <w:bookmarkStart w:id="196" w:name="_Toc473114341"/>
      <w:bookmarkStart w:id="197" w:name="_Toc475974329"/>
      <w:r w:rsidRPr="0014276E">
        <w:rPr>
          <w:rFonts w:eastAsiaTheme="majorEastAsia" w:cs="Arial"/>
          <w:b/>
          <w:sz w:val="24"/>
          <w:szCs w:val="24"/>
        </w:rPr>
        <w:t>List of Boxes</w:t>
      </w:r>
      <w:bookmarkEnd w:id="196"/>
      <w:bookmarkEnd w:id="197"/>
    </w:p>
    <w:p w14:paraId="0E4D14EF" w14:textId="77777777" w:rsidR="0014276E" w:rsidRPr="0014276E" w:rsidRDefault="0014276E" w:rsidP="0014276E"/>
    <w:p w14:paraId="3E28D304" w14:textId="7089D3EB" w:rsidR="0014276E" w:rsidRPr="0014276E" w:rsidRDefault="0014276E" w:rsidP="0014276E">
      <w:pPr>
        <w:spacing w:after="0" w:line="360" w:lineRule="auto"/>
        <w:rPr>
          <w:rFonts w:ascii="Calibri" w:eastAsia="Calibri" w:hAnsi="Calibri" w:cs="Times New Roman"/>
        </w:rPr>
      </w:pPr>
      <w:r w:rsidRPr="0014276E">
        <w:rPr>
          <w:rFonts w:ascii="Calibri" w:eastAsia="Calibri" w:hAnsi="Calibri" w:cs="Times New Roman"/>
        </w:rPr>
        <w:t xml:space="preserve">BOX 1  </w:t>
      </w:r>
      <w:r w:rsidRPr="0014276E">
        <w:rPr>
          <w:rFonts w:ascii="Calibri" w:eastAsia="Calibri" w:hAnsi="Calibri" w:cs="Times New Roman"/>
        </w:rPr>
        <w:tab/>
      </w:r>
      <w:r w:rsidRPr="0014276E">
        <w:rPr>
          <w:rFonts w:ascii="Calibri" w:eastAsia="Calibri" w:hAnsi="Calibri" w:cs="Times New Roman"/>
        </w:rPr>
        <w:tab/>
        <w:t>Sections of the My Lifestyle Questionnaire</w:t>
      </w:r>
      <w:r w:rsidRPr="0014276E">
        <w:rPr>
          <w:rFonts w:ascii="Calibri" w:eastAsia="Calibri" w:hAnsi="Calibri" w:cs="Times New Roman"/>
        </w:rPr>
        <w:tab/>
      </w:r>
      <w:r w:rsidRPr="0014276E">
        <w:rPr>
          <w:rFonts w:ascii="Calibri" w:eastAsia="Calibri" w:hAnsi="Calibri" w:cs="Times New Roman"/>
        </w:rPr>
        <w:tab/>
      </w:r>
      <w:r w:rsidRPr="0014276E">
        <w:rPr>
          <w:rFonts w:ascii="Calibri" w:eastAsia="Calibri" w:hAnsi="Calibri" w:cs="Times New Roman"/>
        </w:rPr>
        <w:tab/>
      </w:r>
      <w:r w:rsidRPr="0014276E">
        <w:rPr>
          <w:rFonts w:ascii="Calibri" w:eastAsia="Calibri" w:hAnsi="Calibri" w:cs="Times New Roman"/>
        </w:rPr>
        <w:tab/>
      </w:r>
      <w:r w:rsidRPr="0014276E">
        <w:rPr>
          <w:rFonts w:ascii="Calibri" w:eastAsia="Calibri" w:hAnsi="Calibri" w:cs="Times New Roman"/>
        </w:rPr>
        <w:tab/>
        <w:t>2</w:t>
      </w:r>
      <w:r w:rsidR="0026785C">
        <w:rPr>
          <w:rFonts w:ascii="Calibri" w:eastAsia="Calibri" w:hAnsi="Calibri" w:cs="Times New Roman"/>
        </w:rPr>
        <w:t>49</w:t>
      </w:r>
    </w:p>
    <w:p w14:paraId="17EAAE49" w14:textId="77777777" w:rsidR="00D73936" w:rsidRPr="00D73936" w:rsidRDefault="00D73936" w:rsidP="00D73936">
      <w:pPr>
        <w:spacing w:line="360" w:lineRule="auto"/>
      </w:pPr>
    </w:p>
    <w:p w14:paraId="212CE7C9" w14:textId="77777777" w:rsidR="00D73936" w:rsidRPr="00D73936" w:rsidRDefault="00D73936" w:rsidP="00D73936"/>
    <w:p w14:paraId="52C4C583" w14:textId="77777777" w:rsidR="00D73936" w:rsidRPr="00D73936" w:rsidRDefault="00D73936" w:rsidP="00D73936"/>
    <w:p w14:paraId="61DA14F8" w14:textId="77777777" w:rsidR="00D73936" w:rsidRPr="00D73936" w:rsidRDefault="00D73936" w:rsidP="00D73936"/>
    <w:p w14:paraId="51E6DDFA" w14:textId="77777777" w:rsidR="00C15FFE" w:rsidRPr="009D4948" w:rsidRDefault="00C15FFE" w:rsidP="00345F09"/>
    <w:p w14:paraId="7EB9766F" w14:textId="77777777" w:rsidR="003A38AA" w:rsidRPr="005653A5" w:rsidRDefault="003814F1" w:rsidP="00AB4D98">
      <w:pPr>
        <w:pStyle w:val="Heading1"/>
      </w:pPr>
      <w:bookmarkStart w:id="198" w:name="_Toc466638269"/>
      <w:bookmarkStart w:id="199" w:name="_Toc466638590"/>
      <w:bookmarkStart w:id="200" w:name="_Toc466639013"/>
      <w:bookmarkStart w:id="201" w:name="_Toc466639556"/>
      <w:bookmarkStart w:id="202" w:name="_Toc466710036"/>
      <w:bookmarkStart w:id="203" w:name="_Toc466711384"/>
      <w:bookmarkStart w:id="204" w:name="_Toc466712043"/>
      <w:bookmarkStart w:id="205" w:name="_Toc475974330"/>
      <w:r w:rsidRPr="005653A5">
        <w:lastRenderedPageBreak/>
        <w:t>List of Abbreviations</w:t>
      </w:r>
      <w:bookmarkEnd w:id="198"/>
      <w:bookmarkEnd w:id="199"/>
      <w:bookmarkEnd w:id="200"/>
      <w:bookmarkEnd w:id="201"/>
      <w:bookmarkEnd w:id="202"/>
      <w:bookmarkEnd w:id="203"/>
      <w:bookmarkEnd w:id="204"/>
      <w:bookmarkEnd w:id="20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3"/>
        <w:gridCol w:w="7103"/>
      </w:tblGrid>
      <w:tr w:rsidR="003814F1" w:rsidRPr="005653A5" w14:paraId="6CB149D7" w14:textId="77777777" w:rsidTr="008439E3">
        <w:tc>
          <w:tcPr>
            <w:tcW w:w="1951" w:type="dxa"/>
          </w:tcPr>
          <w:p w14:paraId="2C018E2A" w14:textId="77777777" w:rsidR="003814F1" w:rsidRPr="005653A5" w:rsidRDefault="003814F1" w:rsidP="005653A5">
            <w:pPr>
              <w:spacing w:line="360" w:lineRule="auto"/>
              <w:rPr>
                <w:rFonts w:cs="Times New Roman"/>
                <w:b/>
              </w:rPr>
            </w:pPr>
            <w:r w:rsidRPr="005653A5">
              <w:rPr>
                <w:rFonts w:cs="Times New Roman"/>
              </w:rPr>
              <w:t>AfLY5</w:t>
            </w:r>
          </w:p>
        </w:tc>
        <w:tc>
          <w:tcPr>
            <w:tcW w:w="7291" w:type="dxa"/>
          </w:tcPr>
          <w:p w14:paraId="52B7B540" w14:textId="77777777" w:rsidR="003814F1" w:rsidRPr="005653A5" w:rsidRDefault="003814F1" w:rsidP="005653A5">
            <w:pPr>
              <w:spacing w:line="360" w:lineRule="auto"/>
              <w:rPr>
                <w:rFonts w:cs="Times New Roman"/>
                <w:b/>
              </w:rPr>
            </w:pPr>
            <w:r w:rsidRPr="005653A5">
              <w:rPr>
                <w:rFonts w:cs="Times New Roman"/>
              </w:rPr>
              <w:t>Active for Life Year 5</w:t>
            </w:r>
          </w:p>
        </w:tc>
      </w:tr>
      <w:tr w:rsidR="003814F1" w:rsidRPr="005653A5" w14:paraId="573C5E32" w14:textId="77777777" w:rsidTr="008439E3">
        <w:tc>
          <w:tcPr>
            <w:tcW w:w="1951" w:type="dxa"/>
          </w:tcPr>
          <w:p w14:paraId="686AA507" w14:textId="77777777" w:rsidR="003814F1" w:rsidRPr="005653A5" w:rsidRDefault="003814F1" w:rsidP="001B2FDE">
            <w:pPr>
              <w:spacing w:line="360" w:lineRule="auto"/>
              <w:rPr>
                <w:rFonts w:cs="Times New Roman"/>
                <w:b/>
              </w:rPr>
            </w:pPr>
            <w:r w:rsidRPr="005653A5">
              <w:rPr>
                <w:rFonts w:cs="Times New Roman"/>
              </w:rPr>
              <w:t>ALSPAC</w:t>
            </w:r>
          </w:p>
        </w:tc>
        <w:tc>
          <w:tcPr>
            <w:tcW w:w="7291" w:type="dxa"/>
          </w:tcPr>
          <w:p w14:paraId="5E49FB59" w14:textId="77777777" w:rsidR="003814F1" w:rsidRPr="005653A5" w:rsidRDefault="003814F1" w:rsidP="001B2FDE">
            <w:pPr>
              <w:spacing w:line="360" w:lineRule="auto"/>
              <w:rPr>
                <w:rFonts w:cs="Times New Roman"/>
                <w:b/>
              </w:rPr>
            </w:pPr>
            <w:r w:rsidRPr="005653A5">
              <w:rPr>
                <w:rFonts w:cs="Times New Roman"/>
              </w:rPr>
              <w:t>Avon Longitudinal Study of Parents and Children</w:t>
            </w:r>
          </w:p>
        </w:tc>
      </w:tr>
      <w:tr w:rsidR="003814F1" w:rsidRPr="005653A5" w14:paraId="0B1964D4" w14:textId="77777777" w:rsidTr="008439E3">
        <w:tc>
          <w:tcPr>
            <w:tcW w:w="1951" w:type="dxa"/>
          </w:tcPr>
          <w:p w14:paraId="41F68E56" w14:textId="77777777" w:rsidR="003814F1" w:rsidRPr="005653A5" w:rsidRDefault="003814F1" w:rsidP="001B2FDE">
            <w:pPr>
              <w:spacing w:line="360" w:lineRule="auto"/>
              <w:rPr>
                <w:rFonts w:cs="Times New Roman"/>
                <w:b/>
              </w:rPr>
            </w:pPr>
            <w:r w:rsidRPr="005653A5">
              <w:rPr>
                <w:rFonts w:cs="Times New Roman"/>
                <w:lang w:val="fr-FR"/>
              </w:rPr>
              <w:t>BCTs</w:t>
            </w:r>
          </w:p>
        </w:tc>
        <w:tc>
          <w:tcPr>
            <w:tcW w:w="7291" w:type="dxa"/>
          </w:tcPr>
          <w:p w14:paraId="2ABF61D8" w14:textId="77777777" w:rsidR="003814F1" w:rsidRPr="005653A5" w:rsidRDefault="003814F1" w:rsidP="001B2FDE">
            <w:pPr>
              <w:spacing w:line="360" w:lineRule="auto"/>
              <w:rPr>
                <w:rFonts w:cs="Times New Roman"/>
                <w:b/>
              </w:rPr>
            </w:pPr>
            <w:r w:rsidRPr="005653A5">
              <w:rPr>
                <w:rFonts w:cs="Times New Roman"/>
                <w:lang w:val="fr-FR"/>
              </w:rPr>
              <w:t>Behaviour Change Techniques</w:t>
            </w:r>
          </w:p>
        </w:tc>
      </w:tr>
      <w:tr w:rsidR="003814F1" w:rsidRPr="005653A5" w14:paraId="7FDA5188" w14:textId="77777777" w:rsidTr="008439E3">
        <w:tc>
          <w:tcPr>
            <w:tcW w:w="1951" w:type="dxa"/>
          </w:tcPr>
          <w:p w14:paraId="683DC5D2" w14:textId="77777777" w:rsidR="003814F1" w:rsidRPr="005653A5" w:rsidRDefault="003814F1" w:rsidP="001B2FDE">
            <w:pPr>
              <w:spacing w:line="360" w:lineRule="auto"/>
              <w:rPr>
                <w:rFonts w:cs="Times New Roman"/>
                <w:b/>
              </w:rPr>
            </w:pPr>
            <w:r w:rsidRPr="005653A5">
              <w:rPr>
                <w:rFonts w:cs="Times New Roman"/>
                <w:lang w:val="fr-FR"/>
              </w:rPr>
              <w:t>BMI</w:t>
            </w:r>
          </w:p>
        </w:tc>
        <w:tc>
          <w:tcPr>
            <w:tcW w:w="7291" w:type="dxa"/>
          </w:tcPr>
          <w:p w14:paraId="24DAFAF5" w14:textId="77777777" w:rsidR="003814F1" w:rsidRPr="005653A5" w:rsidRDefault="003814F1" w:rsidP="001B2FDE">
            <w:pPr>
              <w:spacing w:line="360" w:lineRule="auto"/>
              <w:rPr>
                <w:rFonts w:cs="Times New Roman"/>
                <w:b/>
              </w:rPr>
            </w:pPr>
            <w:r w:rsidRPr="005653A5">
              <w:rPr>
                <w:rFonts w:cs="Times New Roman"/>
                <w:lang w:val="fr-FR"/>
              </w:rPr>
              <w:t>Body Mass Index</w:t>
            </w:r>
          </w:p>
        </w:tc>
      </w:tr>
      <w:tr w:rsidR="00D42955" w:rsidRPr="005653A5" w14:paraId="6C7412CA" w14:textId="77777777" w:rsidTr="008439E3">
        <w:tc>
          <w:tcPr>
            <w:tcW w:w="1951" w:type="dxa"/>
          </w:tcPr>
          <w:p w14:paraId="30F25E04" w14:textId="42B90CB8" w:rsidR="00D42955" w:rsidRPr="005653A5" w:rsidRDefault="00D42955" w:rsidP="001B2FDE">
            <w:pPr>
              <w:spacing w:line="360" w:lineRule="auto"/>
              <w:rPr>
                <w:rFonts w:cs="Times New Roman"/>
                <w:lang w:val="fr-FR"/>
              </w:rPr>
            </w:pPr>
            <w:r>
              <w:rPr>
                <w:rFonts w:cs="Times New Roman"/>
                <w:lang w:val="fr-FR"/>
              </w:rPr>
              <w:t>CEA</w:t>
            </w:r>
          </w:p>
        </w:tc>
        <w:tc>
          <w:tcPr>
            <w:tcW w:w="7291" w:type="dxa"/>
          </w:tcPr>
          <w:p w14:paraId="5D0D90AD" w14:textId="6FCFDA47" w:rsidR="00D42955" w:rsidRPr="005653A5" w:rsidRDefault="00D42955" w:rsidP="001B2FDE">
            <w:pPr>
              <w:spacing w:line="360" w:lineRule="auto"/>
              <w:rPr>
                <w:rFonts w:cs="Times New Roman"/>
                <w:lang w:val="fr-FR"/>
              </w:rPr>
            </w:pPr>
            <w:r>
              <w:rPr>
                <w:rFonts w:cs="Arial"/>
              </w:rPr>
              <w:t>Cost Effectiveness A</w:t>
            </w:r>
            <w:r w:rsidRPr="00861557">
              <w:rPr>
                <w:rFonts w:cs="Arial"/>
              </w:rPr>
              <w:t>nalysis</w:t>
            </w:r>
          </w:p>
        </w:tc>
      </w:tr>
      <w:tr w:rsidR="000912F1" w:rsidRPr="005653A5" w14:paraId="46DD727D" w14:textId="77777777" w:rsidTr="008439E3">
        <w:tc>
          <w:tcPr>
            <w:tcW w:w="1951" w:type="dxa"/>
          </w:tcPr>
          <w:p w14:paraId="6699F0A3" w14:textId="08ADBADA" w:rsidR="000912F1" w:rsidRDefault="000912F1" w:rsidP="001B2FDE">
            <w:pPr>
              <w:spacing w:line="360" w:lineRule="auto"/>
              <w:rPr>
                <w:rFonts w:cs="Times New Roman"/>
                <w:lang w:val="fr-FR"/>
              </w:rPr>
            </w:pPr>
            <w:r>
              <w:rPr>
                <w:rFonts w:cs="Times New Roman"/>
                <w:lang w:val="fr-FR"/>
              </w:rPr>
              <w:t>CACE</w:t>
            </w:r>
          </w:p>
        </w:tc>
        <w:tc>
          <w:tcPr>
            <w:tcW w:w="7291" w:type="dxa"/>
          </w:tcPr>
          <w:p w14:paraId="3AB18238" w14:textId="1D21975E" w:rsidR="000912F1" w:rsidRDefault="000912F1" w:rsidP="001B2FDE">
            <w:pPr>
              <w:spacing w:line="360" w:lineRule="auto"/>
              <w:rPr>
                <w:rFonts w:cs="Arial"/>
              </w:rPr>
            </w:pPr>
            <w:r>
              <w:rPr>
                <w:rFonts w:cs="Arial"/>
              </w:rPr>
              <w:t>Complier Average Causal Effect</w:t>
            </w:r>
          </w:p>
        </w:tc>
      </w:tr>
      <w:tr w:rsidR="00984CF4" w:rsidRPr="005653A5" w14:paraId="532CA183" w14:textId="77777777" w:rsidTr="008439E3">
        <w:tc>
          <w:tcPr>
            <w:tcW w:w="1951" w:type="dxa"/>
          </w:tcPr>
          <w:p w14:paraId="30B49A5A" w14:textId="723D108E" w:rsidR="00984CF4" w:rsidRPr="005653A5" w:rsidRDefault="00984CF4" w:rsidP="001B2FDE">
            <w:pPr>
              <w:spacing w:line="360" w:lineRule="auto"/>
              <w:rPr>
                <w:rFonts w:cs="Times New Roman"/>
              </w:rPr>
            </w:pPr>
            <w:r>
              <w:rPr>
                <w:rFonts w:cs="Times New Roman"/>
              </w:rPr>
              <w:t>CHD</w:t>
            </w:r>
          </w:p>
        </w:tc>
        <w:tc>
          <w:tcPr>
            <w:tcW w:w="7291" w:type="dxa"/>
          </w:tcPr>
          <w:p w14:paraId="1B9235F4" w14:textId="2BB0FBFE" w:rsidR="00984CF4" w:rsidRPr="005653A5" w:rsidRDefault="00984CF4" w:rsidP="001B2FDE">
            <w:pPr>
              <w:spacing w:line="360" w:lineRule="auto"/>
              <w:rPr>
                <w:rFonts w:cs="Times New Roman"/>
              </w:rPr>
            </w:pPr>
            <w:r>
              <w:rPr>
                <w:rFonts w:cs="Times New Roman"/>
              </w:rPr>
              <w:t>Coronary Heart Disease</w:t>
            </w:r>
          </w:p>
        </w:tc>
      </w:tr>
      <w:tr w:rsidR="000912F1" w:rsidRPr="005653A5" w14:paraId="5FFBBDC5" w14:textId="77777777" w:rsidTr="008439E3">
        <w:tc>
          <w:tcPr>
            <w:tcW w:w="1951" w:type="dxa"/>
          </w:tcPr>
          <w:p w14:paraId="69300DD4" w14:textId="5A16D5DB" w:rsidR="000912F1" w:rsidRDefault="000912F1" w:rsidP="000912F1">
            <w:pPr>
              <w:spacing w:line="360" w:lineRule="auto"/>
              <w:rPr>
                <w:rFonts w:cs="Times New Roman"/>
              </w:rPr>
            </w:pPr>
            <w:r>
              <w:rPr>
                <w:rFonts w:cs="Times New Roman"/>
              </w:rPr>
              <w:t>CONSORT</w:t>
            </w:r>
          </w:p>
        </w:tc>
        <w:tc>
          <w:tcPr>
            <w:tcW w:w="7291" w:type="dxa"/>
          </w:tcPr>
          <w:p w14:paraId="738F6AA9" w14:textId="39171371" w:rsidR="000912F1" w:rsidRDefault="000912F1" w:rsidP="000912F1">
            <w:pPr>
              <w:spacing w:line="360" w:lineRule="auto"/>
            </w:pPr>
            <w:r>
              <w:t>Consolidated Standards of Reporting Trials</w:t>
            </w:r>
          </w:p>
        </w:tc>
      </w:tr>
      <w:tr w:rsidR="000912F1" w:rsidRPr="005653A5" w14:paraId="41DDFC09" w14:textId="77777777" w:rsidTr="008439E3">
        <w:tc>
          <w:tcPr>
            <w:tcW w:w="1951" w:type="dxa"/>
          </w:tcPr>
          <w:p w14:paraId="565F741A" w14:textId="7C1ACC98" w:rsidR="000912F1" w:rsidRDefault="000912F1" w:rsidP="000912F1">
            <w:pPr>
              <w:spacing w:line="360" w:lineRule="auto"/>
              <w:rPr>
                <w:rFonts w:cs="Times New Roman"/>
              </w:rPr>
            </w:pPr>
            <w:r>
              <w:rPr>
                <w:rFonts w:cs="Times New Roman"/>
              </w:rPr>
              <w:t>CRC</w:t>
            </w:r>
          </w:p>
        </w:tc>
        <w:tc>
          <w:tcPr>
            <w:tcW w:w="7291" w:type="dxa"/>
          </w:tcPr>
          <w:p w14:paraId="26F5E1A3" w14:textId="371B3C85" w:rsidR="000912F1" w:rsidRDefault="000912F1" w:rsidP="000912F1">
            <w:pPr>
              <w:spacing w:line="360" w:lineRule="auto"/>
              <w:rPr>
                <w:rFonts w:cs="Times New Roman"/>
              </w:rPr>
            </w:pPr>
            <w:r>
              <w:t>C</w:t>
            </w:r>
            <w:r w:rsidRPr="00861557">
              <w:t xml:space="preserve">olorectal </w:t>
            </w:r>
            <w:r>
              <w:t>C</w:t>
            </w:r>
            <w:r w:rsidRPr="00861557">
              <w:t>ancer</w:t>
            </w:r>
          </w:p>
        </w:tc>
      </w:tr>
      <w:tr w:rsidR="000912F1" w:rsidRPr="005653A5" w14:paraId="304ED580" w14:textId="77777777" w:rsidTr="008439E3">
        <w:tc>
          <w:tcPr>
            <w:tcW w:w="1951" w:type="dxa"/>
          </w:tcPr>
          <w:p w14:paraId="2B55AD43" w14:textId="2E5BE2AA" w:rsidR="000912F1" w:rsidRDefault="000912F1" w:rsidP="000912F1">
            <w:pPr>
              <w:spacing w:line="360" w:lineRule="auto"/>
              <w:rPr>
                <w:rFonts w:cs="Times New Roman"/>
              </w:rPr>
            </w:pPr>
            <w:r>
              <w:rPr>
                <w:rFonts w:cs="Times New Roman"/>
              </w:rPr>
              <w:t>CVD</w:t>
            </w:r>
          </w:p>
        </w:tc>
        <w:tc>
          <w:tcPr>
            <w:tcW w:w="7291" w:type="dxa"/>
          </w:tcPr>
          <w:p w14:paraId="10E4B05F" w14:textId="574498E7" w:rsidR="000912F1" w:rsidRDefault="000912F1">
            <w:pPr>
              <w:spacing w:line="360" w:lineRule="auto"/>
            </w:pPr>
            <w:r>
              <w:t>Cardiovascular Disease</w:t>
            </w:r>
          </w:p>
        </w:tc>
      </w:tr>
      <w:tr w:rsidR="00157751" w:rsidRPr="005653A5" w14:paraId="20D10135" w14:textId="77777777" w:rsidTr="008439E3">
        <w:tc>
          <w:tcPr>
            <w:tcW w:w="1951" w:type="dxa"/>
          </w:tcPr>
          <w:p w14:paraId="5E6C9D0E" w14:textId="3C46C19A" w:rsidR="00157751" w:rsidRPr="005653A5" w:rsidRDefault="00157751" w:rsidP="000912F1">
            <w:pPr>
              <w:spacing w:line="360" w:lineRule="auto"/>
              <w:rPr>
                <w:rFonts w:cs="Times New Roman"/>
              </w:rPr>
            </w:pPr>
            <w:r>
              <w:rPr>
                <w:rFonts w:cs="Times New Roman"/>
              </w:rPr>
              <w:t>DALY</w:t>
            </w:r>
          </w:p>
        </w:tc>
        <w:tc>
          <w:tcPr>
            <w:tcW w:w="7291" w:type="dxa"/>
          </w:tcPr>
          <w:p w14:paraId="07D21089" w14:textId="3A95B4BB" w:rsidR="00157751" w:rsidRPr="005653A5" w:rsidRDefault="00157751">
            <w:pPr>
              <w:spacing w:line="360" w:lineRule="auto"/>
              <w:rPr>
                <w:rFonts w:cs="Times New Roman"/>
              </w:rPr>
            </w:pPr>
            <w:r>
              <w:rPr>
                <w:rFonts w:cs="Times New Roman"/>
              </w:rPr>
              <w:t>Disability Adjusted Life Years</w:t>
            </w:r>
          </w:p>
        </w:tc>
      </w:tr>
      <w:tr w:rsidR="000912F1" w:rsidRPr="005653A5" w14:paraId="10D86AEE" w14:textId="77777777" w:rsidTr="008439E3">
        <w:tc>
          <w:tcPr>
            <w:tcW w:w="1951" w:type="dxa"/>
          </w:tcPr>
          <w:p w14:paraId="7576C803" w14:textId="77777777" w:rsidR="000912F1" w:rsidRPr="005653A5" w:rsidRDefault="000912F1" w:rsidP="000912F1">
            <w:pPr>
              <w:spacing w:line="360" w:lineRule="auto"/>
              <w:rPr>
                <w:rFonts w:cs="Times New Roman"/>
                <w:b/>
              </w:rPr>
            </w:pPr>
            <w:r w:rsidRPr="005653A5">
              <w:rPr>
                <w:rFonts w:cs="Times New Roman"/>
              </w:rPr>
              <w:t>DAPH</w:t>
            </w:r>
          </w:p>
        </w:tc>
        <w:tc>
          <w:tcPr>
            <w:tcW w:w="7291" w:type="dxa"/>
          </w:tcPr>
          <w:p w14:paraId="68E413CC" w14:textId="77777777" w:rsidR="000912F1" w:rsidRPr="005653A5" w:rsidRDefault="000912F1" w:rsidP="000912F1">
            <w:pPr>
              <w:spacing w:line="360" w:lineRule="auto"/>
              <w:rPr>
                <w:rFonts w:cs="Times New Roman"/>
                <w:b/>
              </w:rPr>
            </w:pPr>
            <w:r w:rsidRPr="005653A5">
              <w:rPr>
                <w:rFonts w:cs="Times New Roman"/>
              </w:rPr>
              <w:t>Devon Association of Primary Head teachers</w:t>
            </w:r>
          </w:p>
        </w:tc>
      </w:tr>
      <w:tr w:rsidR="000912F1" w:rsidRPr="005653A5" w14:paraId="0CE1F33C" w14:textId="77777777" w:rsidTr="008439E3">
        <w:tc>
          <w:tcPr>
            <w:tcW w:w="1951" w:type="dxa"/>
          </w:tcPr>
          <w:p w14:paraId="598ADC90" w14:textId="77777777" w:rsidR="000912F1" w:rsidRPr="005653A5" w:rsidRDefault="000912F1" w:rsidP="000912F1">
            <w:pPr>
              <w:spacing w:line="360" w:lineRule="auto"/>
              <w:rPr>
                <w:rFonts w:cs="Times New Roman"/>
                <w:b/>
              </w:rPr>
            </w:pPr>
            <w:r w:rsidRPr="005653A5">
              <w:rPr>
                <w:rFonts w:cs="Times New Roman"/>
              </w:rPr>
              <w:t>DBS</w:t>
            </w:r>
          </w:p>
        </w:tc>
        <w:tc>
          <w:tcPr>
            <w:tcW w:w="7291" w:type="dxa"/>
          </w:tcPr>
          <w:p w14:paraId="3F3C71AE" w14:textId="77777777" w:rsidR="000912F1" w:rsidRPr="005653A5" w:rsidRDefault="000912F1" w:rsidP="000912F1">
            <w:pPr>
              <w:spacing w:line="360" w:lineRule="auto"/>
              <w:rPr>
                <w:rFonts w:cs="Times New Roman"/>
                <w:b/>
              </w:rPr>
            </w:pPr>
            <w:r w:rsidRPr="005653A5">
              <w:rPr>
                <w:rFonts w:cs="Times New Roman"/>
              </w:rPr>
              <w:t>Disclosure and Barring Service</w:t>
            </w:r>
          </w:p>
        </w:tc>
      </w:tr>
      <w:tr w:rsidR="00157751" w:rsidRPr="005653A5" w14:paraId="2E389BCD" w14:textId="77777777" w:rsidTr="008439E3">
        <w:tc>
          <w:tcPr>
            <w:tcW w:w="1951" w:type="dxa"/>
          </w:tcPr>
          <w:p w14:paraId="0B205752" w14:textId="70D3AE87" w:rsidR="00157751" w:rsidRPr="005653A5" w:rsidRDefault="00157751" w:rsidP="000912F1">
            <w:pPr>
              <w:spacing w:line="360" w:lineRule="auto"/>
              <w:rPr>
                <w:rFonts w:cs="Times New Roman"/>
              </w:rPr>
            </w:pPr>
            <w:r>
              <w:rPr>
                <w:rFonts w:cs="Times New Roman"/>
              </w:rPr>
              <w:t>DMC</w:t>
            </w:r>
          </w:p>
        </w:tc>
        <w:tc>
          <w:tcPr>
            <w:tcW w:w="7291" w:type="dxa"/>
          </w:tcPr>
          <w:p w14:paraId="72C29770" w14:textId="6A2E20DB" w:rsidR="00157751" w:rsidRPr="005653A5" w:rsidRDefault="00157751" w:rsidP="000912F1">
            <w:pPr>
              <w:spacing w:line="360" w:lineRule="auto"/>
              <w:rPr>
                <w:rFonts w:cs="Times New Roman"/>
              </w:rPr>
            </w:pPr>
            <w:r>
              <w:rPr>
                <w:rFonts w:cs="Times New Roman"/>
              </w:rPr>
              <w:t>Data Monitoring Committee</w:t>
            </w:r>
          </w:p>
        </w:tc>
      </w:tr>
      <w:tr w:rsidR="000912F1" w:rsidRPr="005653A5" w14:paraId="2A87C367" w14:textId="77777777" w:rsidTr="008439E3">
        <w:tc>
          <w:tcPr>
            <w:tcW w:w="1951" w:type="dxa"/>
          </w:tcPr>
          <w:p w14:paraId="533D022A" w14:textId="77777777" w:rsidR="000912F1" w:rsidRPr="005653A5" w:rsidRDefault="000912F1" w:rsidP="000912F1">
            <w:pPr>
              <w:spacing w:line="360" w:lineRule="auto"/>
              <w:rPr>
                <w:rFonts w:cs="Times New Roman"/>
                <w:b/>
              </w:rPr>
            </w:pPr>
            <w:r w:rsidRPr="005653A5">
              <w:rPr>
                <w:rFonts w:cs="Times New Roman"/>
              </w:rPr>
              <w:t>EDS</w:t>
            </w:r>
          </w:p>
        </w:tc>
        <w:tc>
          <w:tcPr>
            <w:tcW w:w="7291" w:type="dxa"/>
          </w:tcPr>
          <w:p w14:paraId="6688D607" w14:textId="77777777" w:rsidR="000912F1" w:rsidRPr="005653A5" w:rsidRDefault="000912F1" w:rsidP="000912F1">
            <w:pPr>
              <w:spacing w:line="360" w:lineRule="auto"/>
              <w:rPr>
                <w:rFonts w:cs="Times New Roman"/>
                <w:b/>
              </w:rPr>
            </w:pPr>
            <w:r w:rsidRPr="005653A5">
              <w:rPr>
                <w:rFonts w:cs="Times New Roman"/>
              </w:rPr>
              <w:t>Energy Dense Snack</w:t>
            </w:r>
          </w:p>
        </w:tc>
      </w:tr>
      <w:tr w:rsidR="000912F1" w:rsidRPr="005653A5" w14:paraId="0D6FB577" w14:textId="77777777" w:rsidTr="008439E3">
        <w:tc>
          <w:tcPr>
            <w:tcW w:w="1951" w:type="dxa"/>
          </w:tcPr>
          <w:p w14:paraId="35601FBC" w14:textId="77777777" w:rsidR="000912F1" w:rsidRPr="005653A5" w:rsidRDefault="000912F1" w:rsidP="000912F1">
            <w:pPr>
              <w:spacing w:line="360" w:lineRule="auto"/>
              <w:rPr>
                <w:rFonts w:cs="Times New Roman"/>
                <w:b/>
              </w:rPr>
            </w:pPr>
            <w:r w:rsidRPr="005653A5">
              <w:rPr>
                <w:rFonts w:cs="Times New Roman"/>
              </w:rPr>
              <w:t>ENMO</w:t>
            </w:r>
          </w:p>
        </w:tc>
        <w:tc>
          <w:tcPr>
            <w:tcW w:w="7291" w:type="dxa"/>
          </w:tcPr>
          <w:p w14:paraId="43AE368E" w14:textId="77777777" w:rsidR="000912F1" w:rsidRPr="005653A5" w:rsidRDefault="000912F1" w:rsidP="000912F1">
            <w:pPr>
              <w:spacing w:line="360" w:lineRule="auto"/>
              <w:rPr>
                <w:rFonts w:cs="Times New Roman"/>
                <w:b/>
              </w:rPr>
            </w:pPr>
            <w:r w:rsidRPr="005653A5">
              <w:rPr>
                <w:rFonts w:cs="Times New Roman"/>
              </w:rPr>
              <w:t>Euclidean Norm Minus One</w:t>
            </w:r>
          </w:p>
        </w:tc>
      </w:tr>
      <w:tr w:rsidR="000912F1" w:rsidRPr="005653A5" w14:paraId="131A75C4" w14:textId="77777777" w:rsidTr="008439E3">
        <w:tc>
          <w:tcPr>
            <w:tcW w:w="1951" w:type="dxa"/>
          </w:tcPr>
          <w:p w14:paraId="11913B79" w14:textId="77777777" w:rsidR="000912F1" w:rsidRPr="005653A5" w:rsidRDefault="000912F1" w:rsidP="000912F1">
            <w:pPr>
              <w:spacing w:line="360" w:lineRule="auto"/>
              <w:rPr>
                <w:rFonts w:cs="Times New Roman"/>
                <w:b/>
              </w:rPr>
            </w:pPr>
            <w:r w:rsidRPr="005653A5">
              <w:rPr>
                <w:rFonts w:cs="Times New Roman"/>
              </w:rPr>
              <w:t>FIQ</w:t>
            </w:r>
          </w:p>
        </w:tc>
        <w:tc>
          <w:tcPr>
            <w:tcW w:w="7291" w:type="dxa"/>
          </w:tcPr>
          <w:p w14:paraId="0BA34F00" w14:textId="77777777" w:rsidR="000912F1" w:rsidRPr="005653A5" w:rsidRDefault="000912F1" w:rsidP="000912F1">
            <w:pPr>
              <w:spacing w:line="360" w:lineRule="auto"/>
              <w:rPr>
                <w:rFonts w:cs="Times New Roman"/>
                <w:b/>
              </w:rPr>
            </w:pPr>
            <w:r w:rsidRPr="005653A5">
              <w:rPr>
                <w:rFonts w:cs="Times New Roman"/>
              </w:rPr>
              <w:t>Food Intake Questionnaire</w:t>
            </w:r>
          </w:p>
        </w:tc>
      </w:tr>
      <w:tr w:rsidR="000912F1" w:rsidRPr="005653A5" w14:paraId="251E756D" w14:textId="77777777" w:rsidTr="008439E3">
        <w:tc>
          <w:tcPr>
            <w:tcW w:w="1951" w:type="dxa"/>
          </w:tcPr>
          <w:p w14:paraId="79248D9B" w14:textId="77777777" w:rsidR="000912F1" w:rsidRPr="005653A5" w:rsidRDefault="000912F1" w:rsidP="000912F1">
            <w:pPr>
              <w:spacing w:line="360" w:lineRule="auto"/>
              <w:rPr>
                <w:rFonts w:cs="Times New Roman"/>
                <w:b/>
              </w:rPr>
            </w:pPr>
            <w:r w:rsidRPr="005653A5">
              <w:rPr>
                <w:rFonts w:cs="Times New Roman"/>
              </w:rPr>
              <w:t>FSM</w:t>
            </w:r>
          </w:p>
        </w:tc>
        <w:tc>
          <w:tcPr>
            <w:tcW w:w="7291" w:type="dxa"/>
          </w:tcPr>
          <w:p w14:paraId="0A59765D" w14:textId="77777777" w:rsidR="000912F1" w:rsidRPr="005653A5" w:rsidRDefault="000912F1" w:rsidP="000912F1">
            <w:pPr>
              <w:spacing w:line="360" w:lineRule="auto"/>
              <w:rPr>
                <w:rFonts w:cs="Times New Roman"/>
                <w:b/>
              </w:rPr>
            </w:pPr>
            <w:r w:rsidRPr="005653A5">
              <w:rPr>
                <w:rFonts w:cs="Times New Roman"/>
              </w:rPr>
              <w:t>Free School Meals</w:t>
            </w:r>
          </w:p>
        </w:tc>
      </w:tr>
      <w:tr w:rsidR="00157751" w:rsidRPr="005653A5" w14:paraId="0E35A3E7" w14:textId="77777777" w:rsidTr="008439E3">
        <w:tc>
          <w:tcPr>
            <w:tcW w:w="1951" w:type="dxa"/>
          </w:tcPr>
          <w:p w14:paraId="4C0ED5FB" w14:textId="776F3ED6" w:rsidR="00157751" w:rsidRPr="005653A5" w:rsidRDefault="00157751" w:rsidP="000912F1">
            <w:pPr>
              <w:spacing w:line="360" w:lineRule="auto"/>
              <w:rPr>
                <w:rFonts w:cs="Times New Roman"/>
              </w:rPr>
            </w:pPr>
            <w:r>
              <w:rPr>
                <w:rFonts w:cs="Times New Roman"/>
              </w:rPr>
              <w:t>HAPA</w:t>
            </w:r>
          </w:p>
        </w:tc>
        <w:tc>
          <w:tcPr>
            <w:tcW w:w="7291" w:type="dxa"/>
          </w:tcPr>
          <w:p w14:paraId="7033CC68" w14:textId="4FCD3373" w:rsidR="00157751" w:rsidRPr="005653A5" w:rsidRDefault="00157751" w:rsidP="000912F1">
            <w:pPr>
              <w:spacing w:line="360" w:lineRule="auto"/>
              <w:rPr>
                <w:rFonts w:cs="Times New Roman"/>
              </w:rPr>
            </w:pPr>
            <w:r>
              <w:rPr>
                <w:rFonts w:cs="Times New Roman"/>
              </w:rPr>
              <w:t>Health Action Process Model</w:t>
            </w:r>
          </w:p>
        </w:tc>
      </w:tr>
      <w:tr w:rsidR="000912F1" w:rsidRPr="005653A5" w14:paraId="09E199E0" w14:textId="77777777" w:rsidTr="008439E3">
        <w:tc>
          <w:tcPr>
            <w:tcW w:w="1951" w:type="dxa"/>
          </w:tcPr>
          <w:p w14:paraId="1C8B8D73" w14:textId="77777777" w:rsidR="000912F1" w:rsidRPr="005653A5" w:rsidRDefault="000912F1" w:rsidP="000912F1">
            <w:pPr>
              <w:spacing w:line="360" w:lineRule="auto"/>
              <w:rPr>
                <w:rFonts w:cs="Times New Roman"/>
                <w:b/>
              </w:rPr>
            </w:pPr>
            <w:r w:rsidRPr="005653A5">
              <w:rPr>
                <w:rFonts w:cs="Times New Roman"/>
              </w:rPr>
              <w:t>HC</w:t>
            </w:r>
          </w:p>
        </w:tc>
        <w:tc>
          <w:tcPr>
            <w:tcW w:w="7291" w:type="dxa"/>
          </w:tcPr>
          <w:p w14:paraId="30BE26C1" w14:textId="77777777" w:rsidR="000912F1" w:rsidRPr="005653A5" w:rsidRDefault="000912F1" w:rsidP="000912F1">
            <w:pPr>
              <w:spacing w:line="360" w:lineRule="auto"/>
              <w:rPr>
                <w:rFonts w:cs="Times New Roman"/>
                <w:b/>
              </w:rPr>
            </w:pPr>
            <w:r w:rsidRPr="005653A5">
              <w:rPr>
                <w:rFonts w:cs="Times New Roman"/>
              </w:rPr>
              <w:t>HeLP Coordinator</w:t>
            </w:r>
          </w:p>
        </w:tc>
      </w:tr>
      <w:tr w:rsidR="000912F1" w:rsidRPr="005653A5" w14:paraId="29D47F63" w14:textId="77777777" w:rsidTr="008439E3">
        <w:tc>
          <w:tcPr>
            <w:tcW w:w="1951" w:type="dxa"/>
          </w:tcPr>
          <w:p w14:paraId="2ED8DF19" w14:textId="77777777" w:rsidR="000912F1" w:rsidRPr="005653A5" w:rsidRDefault="000912F1" w:rsidP="000912F1">
            <w:pPr>
              <w:spacing w:line="360" w:lineRule="auto"/>
              <w:rPr>
                <w:rFonts w:cs="Times New Roman"/>
                <w:b/>
              </w:rPr>
            </w:pPr>
            <w:r w:rsidRPr="005653A5">
              <w:rPr>
                <w:rFonts w:cs="Times New Roman"/>
              </w:rPr>
              <w:t>HeLP</w:t>
            </w:r>
          </w:p>
        </w:tc>
        <w:tc>
          <w:tcPr>
            <w:tcW w:w="7291" w:type="dxa"/>
          </w:tcPr>
          <w:p w14:paraId="50F388D0" w14:textId="77777777" w:rsidR="000912F1" w:rsidRPr="005653A5" w:rsidRDefault="000912F1" w:rsidP="000912F1">
            <w:pPr>
              <w:spacing w:line="360" w:lineRule="auto"/>
              <w:rPr>
                <w:rFonts w:cs="Times New Roman"/>
                <w:b/>
              </w:rPr>
            </w:pPr>
            <w:r w:rsidRPr="005653A5">
              <w:rPr>
                <w:rFonts w:cs="Times New Roman"/>
              </w:rPr>
              <w:t>Healthy Lifestyles Programme</w:t>
            </w:r>
          </w:p>
        </w:tc>
      </w:tr>
      <w:tr w:rsidR="000912F1" w:rsidRPr="005653A5" w14:paraId="343C0747" w14:textId="77777777" w:rsidTr="008439E3">
        <w:tc>
          <w:tcPr>
            <w:tcW w:w="1951" w:type="dxa"/>
          </w:tcPr>
          <w:p w14:paraId="5827BB0D" w14:textId="77777777" w:rsidR="000912F1" w:rsidRPr="005653A5" w:rsidRDefault="000912F1" w:rsidP="000912F1">
            <w:pPr>
              <w:spacing w:line="360" w:lineRule="auto"/>
              <w:rPr>
                <w:rFonts w:cs="Times New Roman"/>
                <w:b/>
              </w:rPr>
            </w:pPr>
            <w:r w:rsidRPr="005653A5">
              <w:rPr>
                <w:rFonts w:cs="Times New Roman"/>
              </w:rPr>
              <w:t>HPS</w:t>
            </w:r>
          </w:p>
        </w:tc>
        <w:tc>
          <w:tcPr>
            <w:tcW w:w="7291" w:type="dxa"/>
          </w:tcPr>
          <w:p w14:paraId="073FC382" w14:textId="77777777" w:rsidR="000912F1" w:rsidRPr="005653A5" w:rsidRDefault="000912F1" w:rsidP="000912F1">
            <w:pPr>
              <w:spacing w:line="360" w:lineRule="auto"/>
              <w:rPr>
                <w:rFonts w:cs="Times New Roman"/>
                <w:b/>
              </w:rPr>
            </w:pPr>
            <w:r w:rsidRPr="005653A5">
              <w:rPr>
                <w:rFonts w:cs="Times New Roman"/>
              </w:rPr>
              <w:t>Health Promoting Schools</w:t>
            </w:r>
          </w:p>
        </w:tc>
      </w:tr>
      <w:tr w:rsidR="00157751" w:rsidRPr="005653A5" w14:paraId="7E1FB762" w14:textId="77777777" w:rsidTr="008439E3">
        <w:tc>
          <w:tcPr>
            <w:tcW w:w="1951" w:type="dxa"/>
          </w:tcPr>
          <w:p w14:paraId="0FB06217" w14:textId="34E7E05C" w:rsidR="00157751" w:rsidRPr="005653A5" w:rsidRDefault="00157751" w:rsidP="000912F1">
            <w:pPr>
              <w:spacing w:line="360" w:lineRule="auto"/>
              <w:rPr>
                <w:rFonts w:cs="Times New Roman"/>
              </w:rPr>
            </w:pPr>
            <w:r>
              <w:rPr>
                <w:rFonts w:cs="Times New Roman"/>
              </w:rPr>
              <w:t>HS</w:t>
            </w:r>
          </w:p>
        </w:tc>
        <w:tc>
          <w:tcPr>
            <w:tcW w:w="7291" w:type="dxa"/>
          </w:tcPr>
          <w:p w14:paraId="7CAFC4D9" w14:textId="3CF7BA02" w:rsidR="00157751" w:rsidRPr="00F721D0" w:rsidRDefault="00157751" w:rsidP="000912F1">
            <w:pPr>
              <w:spacing w:line="360" w:lineRule="auto"/>
              <w:rPr>
                <w:rFonts w:cs="Times New Roman"/>
              </w:rPr>
            </w:pPr>
            <w:r>
              <w:rPr>
                <w:rFonts w:cs="Times New Roman"/>
              </w:rPr>
              <w:t>Healthy Snack</w:t>
            </w:r>
          </w:p>
        </w:tc>
      </w:tr>
      <w:tr w:rsidR="000912F1" w:rsidRPr="005653A5" w14:paraId="2E689D55" w14:textId="77777777" w:rsidTr="008439E3">
        <w:tc>
          <w:tcPr>
            <w:tcW w:w="1951" w:type="dxa"/>
          </w:tcPr>
          <w:p w14:paraId="7DEFF958" w14:textId="0A3A9886" w:rsidR="000912F1" w:rsidRDefault="00157751" w:rsidP="000912F1">
            <w:pPr>
              <w:spacing w:line="360" w:lineRule="auto"/>
              <w:rPr>
                <w:rFonts w:cs="Times New Roman"/>
              </w:rPr>
            </w:pPr>
            <w:r>
              <w:rPr>
                <w:rFonts w:cs="Times New Roman"/>
              </w:rPr>
              <w:t>ICC</w:t>
            </w:r>
          </w:p>
          <w:p w14:paraId="7A3D9AE7" w14:textId="04FA0302" w:rsidR="000912F1" w:rsidRPr="005653A5" w:rsidRDefault="000912F1">
            <w:pPr>
              <w:spacing w:line="360" w:lineRule="auto"/>
              <w:rPr>
                <w:rFonts w:cs="Times New Roman"/>
                <w:b/>
              </w:rPr>
            </w:pPr>
            <w:r>
              <w:rPr>
                <w:rFonts w:cs="Times New Roman"/>
              </w:rPr>
              <w:t>I</w:t>
            </w:r>
            <w:r w:rsidR="00157751">
              <w:rPr>
                <w:rFonts w:cs="Times New Roman"/>
              </w:rPr>
              <w:t>HD</w:t>
            </w:r>
          </w:p>
        </w:tc>
        <w:tc>
          <w:tcPr>
            <w:tcW w:w="7291" w:type="dxa"/>
          </w:tcPr>
          <w:p w14:paraId="286C8C87" w14:textId="06520B4B" w:rsidR="000912F1" w:rsidRPr="00F721D0" w:rsidRDefault="00157751" w:rsidP="000912F1">
            <w:pPr>
              <w:spacing w:line="360" w:lineRule="auto"/>
              <w:rPr>
                <w:rFonts w:cs="Times New Roman"/>
              </w:rPr>
            </w:pPr>
            <w:r>
              <w:rPr>
                <w:rFonts w:cs="Times New Roman"/>
              </w:rPr>
              <w:t xml:space="preserve">Intra Class Correlation </w:t>
            </w:r>
            <w:r w:rsidR="00833B3F">
              <w:rPr>
                <w:rFonts w:cs="Times New Roman"/>
              </w:rPr>
              <w:t>coefficient</w:t>
            </w:r>
          </w:p>
          <w:p w14:paraId="6757CD37" w14:textId="3D7A6416" w:rsidR="000912F1" w:rsidRPr="00F721D0" w:rsidRDefault="000912F1">
            <w:pPr>
              <w:spacing w:line="360" w:lineRule="auto"/>
              <w:rPr>
                <w:rFonts w:cs="Times New Roman"/>
              </w:rPr>
            </w:pPr>
            <w:r w:rsidRPr="00F721D0">
              <w:rPr>
                <w:rFonts w:cs="Times New Roman"/>
              </w:rPr>
              <w:t>I</w:t>
            </w:r>
            <w:r w:rsidR="00157751">
              <w:rPr>
                <w:rFonts w:cs="Times New Roman"/>
              </w:rPr>
              <w:t>schemic Heart Disease</w:t>
            </w:r>
          </w:p>
        </w:tc>
      </w:tr>
      <w:tr w:rsidR="00157751" w:rsidRPr="005653A5" w14:paraId="645B9DE6" w14:textId="77777777" w:rsidTr="008439E3">
        <w:tc>
          <w:tcPr>
            <w:tcW w:w="1951" w:type="dxa"/>
          </w:tcPr>
          <w:p w14:paraId="6BEB7561" w14:textId="00EA446D" w:rsidR="00157751" w:rsidRPr="005653A5" w:rsidRDefault="00157751" w:rsidP="000912F1">
            <w:pPr>
              <w:spacing w:line="360" w:lineRule="auto"/>
              <w:rPr>
                <w:rFonts w:cs="Times New Roman"/>
              </w:rPr>
            </w:pPr>
            <w:r>
              <w:rPr>
                <w:rFonts w:cs="Times New Roman"/>
              </w:rPr>
              <w:t>IM</w:t>
            </w:r>
          </w:p>
        </w:tc>
        <w:tc>
          <w:tcPr>
            <w:tcW w:w="7291" w:type="dxa"/>
          </w:tcPr>
          <w:p w14:paraId="4302FAC8" w14:textId="1464A840" w:rsidR="00157751" w:rsidRPr="00F721D0" w:rsidRDefault="00157751" w:rsidP="000912F1">
            <w:pPr>
              <w:spacing w:line="360" w:lineRule="auto"/>
              <w:rPr>
                <w:rFonts w:cs="Times New Roman"/>
              </w:rPr>
            </w:pPr>
            <w:r>
              <w:rPr>
                <w:rFonts w:cs="Times New Roman"/>
              </w:rPr>
              <w:t>Intervention Mapping</w:t>
            </w:r>
          </w:p>
        </w:tc>
      </w:tr>
      <w:tr w:rsidR="000912F1" w:rsidRPr="005653A5" w14:paraId="63C0F833" w14:textId="77777777" w:rsidTr="008439E3">
        <w:tc>
          <w:tcPr>
            <w:tcW w:w="1951" w:type="dxa"/>
          </w:tcPr>
          <w:p w14:paraId="32FFDC79" w14:textId="77777777" w:rsidR="000912F1" w:rsidRDefault="000912F1" w:rsidP="000912F1">
            <w:pPr>
              <w:spacing w:line="360" w:lineRule="auto"/>
              <w:rPr>
                <w:rFonts w:cs="Times New Roman"/>
              </w:rPr>
            </w:pPr>
            <w:r>
              <w:rPr>
                <w:rFonts w:cs="Times New Roman"/>
              </w:rPr>
              <w:t>IMB model</w:t>
            </w:r>
          </w:p>
          <w:p w14:paraId="337F8337" w14:textId="1CB9E002" w:rsidR="000912F1" w:rsidRPr="005653A5" w:rsidRDefault="000912F1" w:rsidP="000912F1">
            <w:pPr>
              <w:spacing w:line="360" w:lineRule="auto"/>
              <w:rPr>
                <w:rFonts w:cs="Times New Roman"/>
              </w:rPr>
            </w:pPr>
            <w:r>
              <w:rPr>
                <w:rFonts w:cs="Times New Roman"/>
              </w:rPr>
              <w:t>IMD</w:t>
            </w:r>
          </w:p>
        </w:tc>
        <w:tc>
          <w:tcPr>
            <w:tcW w:w="7291" w:type="dxa"/>
          </w:tcPr>
          <w:p w14:paraId="3B0B13B5" w14:textId="77777777" w:rsidR="000912F1" w:rsidRDefault="000912F1" w:rsidP="000912F1">
            <w:pPr>
              <w:spacing w:line="360" w:lineRule="auto"/>
              <w:rPr>
                <w:rFonts w:cs="Times New Roman"/>
              </w:rPr>
            </w:pPr>
            <w:r>
              <w:rPr>
                <w:rFonts w:cs="Times New Roman"/>
              </w:rPr>
              <w:t>Information, Motivation, Behavioural skills model</w:t>
            </w:r>
          </w:p>
          <w:p w14:paraId="3DD9B351" w14:textId="02DE5B1C" w:rsidR="000912F1" w:rsidRPr="00F721D0" w:rsidRDefault="000912F1" w:rsidP="000912F1">
            <w:pPr>
              <w:spacing w:line="360" w:lineRule="auto"/>
              <w:rPr>
                <w:rFonts w:cs="Times New Roman"/>
              </w:rPr>
            </w:pPr>
            <w:r>
              <w:rPr>
                <w:rFonts w:cs="Times New Roman"/>
              </w:rPr>
              <w:t>Indices of Multiple Deprivation</w:t>
            </w:r>
          </w:p>
        </w:tc>
      </w:tr>
      <w:tr w:rsidR="000912F1" w:rsidRPr="005653A5" w14:paraId="4B3A7190" w14:textId="77777777" w:rsidTr="008439E3">
        <w:tc>
          <w:tcPr>
            <w:tcW w:w="1951" w:type="dxa"/>
          </w:tcPr>
          <w:p w14:paraId="7E68A45C" w14:textId="77777777" w:rsidR="000912F1" w:rsidRPr="005653A5" w:rsidRDefault="000912F1" w:rsidP="000912F1">
            <w:pPr>
              <w:spacing w:line="360" w:lineRule="auto"/>
              <w:rPr>
                <w:rFonts w:cs="Times New Roman"/>
                <w:b/>
              </w:rPr>
            </w:pPr>
            <w:r w:rsidRPr="005653A5">
              <w:rPr>
                <w:rFonts w:cs="Times New Roman"/>
                <w:lang w:val="fr-FR"/>
              </w:rPr>
              <w:t>IQR</w:t>
            </w:r>
          </w:p>
        </w:tc>
        <w:tc>
          <w:tcPr>
            <w:tcW w:w="7291" w:type="dxa"/>
          </w:tcPr>
          <w:p w14:paraId="0F765F80" w14:textId="39A3FEE4" w:rsidR="000912F1" w:rsidRPr="005653A5" w:rsidRDefault="000912F1" w:rsidP="000912F1">
            <w:pPr>
              <w:spacing w:line="360" w:lineRule="auto"/>
              <w:rPr>
                <w:rFonts w:cs="Times New Roman"/>
                <w:b/>
              </w:rPr>
            </w:pPr>
            <w:r w:rsidRPr="005653A5">
              <w:rPr>
                <w:rFonts w:cs="Times New Roman"/>
                <w:lang w:val="fr-FR"/>
              </w:rPr>
              <w:t>Inter Quartile Range</w:t>
            </w:r>
          </w:p>
        </w:tc>
      </w:tr>
      <w:tr w:rsidR="000912F1" w:rsidRPr="005653A5" w14:paraId="0FE42D93" w14:textId="77777777" w:rsidTr="00806B04">
        <w:tc>
          <w:tcPr>
            <w:tcW w:w="1951" w:type="dxa"/>
            <w:shd w:val="clear" w:color="auto" w:fill="auto"/>
          </w:tcPr>
          <w:p w14:paraId="4A528684" w14:textId="298DFDEA" w:rsidR="000912F1" w:rsidRPr="005653A5" w:rsidRDefault="000912F1" w:rsidP="000912F1">
            <w:pPr>
              <w:spacing w:line="360" w:lineRule="auto"/>
              <w:rPr>
                <w:rFonts w:cs="Times New Roman"/>
                <w:lang w:val="fr-FR"/>
              </w:rPr>
            </w:pPr>
            <w:r>
              <w:rPr>
                <w:rFonts w:cs="Times New Roman"/>
                <w:lang w:val="fr-FR"/>
              </w:rPr>
              <w:t>ITT</w:t>
            </w:r>
          </w:p>
        </w:tc>
        <w:tc>
          <w:tcPr>
            <w:tcW w:w="7291" w:type="dxa"/>
            <w:shd w:val="clear" w:color="auto" w:fill="auto"/>
          </w:tcPr>
          <w:p w14:paraId="5AFF5170" w14:textId="79FA72BC" w:rsidR="000912F1" w:rsidRPr="005653A5" w:rsidRDefault="000912F1" w:rsidP="000912F1">
            <w:pPr>
              <w:spacing w:line="360" w:lineRule="auto"/>
              <w:rPr>
                <w:rFonts w:cs="Times New Roman"/>
                <w:lang w:val="fr-FR"/>
              </w:rPr>
            </w:pPr>
            <w:r>
              <w:rPr>
                <w:rFonts w:cs="Times New Roman"/>
                <w:lang w:val="fr-FR"/>
              </w:rPr>
              <w:t>Intention To Treat</w:t>
            </w:r>
          </w:p>
        </w:tc>
      </w:tr>
      <w:tr w:rsidR="000912F1" w:rsidRPr="005653A5" w14:paraId="0957268D" w14:textId="77777777" w:rsidTr="008439E3">
        <w:tc>
          <w:tcPr>
            <w:tcW w:w="1951" w:type="dxa"/>
          </w:tcPr>
          <w:p w14:paraId="1C2386C5" w14:textId="77777777" w:rsidR="000912F1" w:rsidRPr="005653A5" w:rsidRDefault="000912F1" w:rsidP="000912F1">
            <w:pPr>
              <w:spacing w:line="360" w:lineRule="auto"/>
              <w:rPr>
                <w:rFonts w:cs="Times New Roman"/>
                <w:b/>
              </w:rPr>
            </w:pPr>
            <w:r w:rsidRPr="005653A5">
              <w:rPr>
                <w:rFonts w:cs="Times New Roman"/>
              </w:rPr>
              <w:t>LMS method</w:t>
            </w:r>
          </w:p>
        </w:tc>
        <w:tc>
          <w:tcPr>
            <w:tcW w:w="7291" w:type="dxa"/>
          </w:tcPr>
          <w:p w14:paraId="19F5E4CC" w14:textId="77777777" w:rsidR="000912F1" w:rsidRPr="005653A5" w:rsidRDefault="000912F1" w:rsidP="000912F1">
            <w:pPr>
              <w:spacing w:line="360" w:lineRule="auto"/>
              <w:rPr>
                <w:rFonts w:cs="Times New Roman"/>
                <w:b/>
              </w:rPr>
            </w:pPr>
            <w:r w:rsidRPr="005653A5">
              <w:rPr>
                <w:rFonts w:cs="Times New Roman"/>
              </w:rPr>
              <w:t>a statistical method to smooth BMI centile reference curves</w:t>
            </w:r>
          </w:p>
        </w:tc>
      </w:tr>
      <w:tr w:rsidR="00157751" w:rsidRPr="005653A5" w14:paraId="4199C99A" w14:textId="77777777" w:rsidTr="008439E3">
        <w:tc>
          <w:tcPr>
            <w:tcW w:w="1951" w:type="dxa"/>
          </w:tcPr>
          <w:p w14:paraId="2A6E3841" w14:textId="5D7280A7" w:rsidR="00157751" w:rsidRPr="005653A5" w:rsidRDefault="00157751" w:rsidP="000912F1">
            <w:pPr>
              <w:spacing w:line="360" w:lineRule="auto"/>
              <w:rPr>
                <w:rFonts w:cs="Times New Roman"/>
              </w:rPr>
            </w:pPr>
            <w:r>
              <w:rPr>
                <w:rFonts w:cs="Times New Roman"/>
              </w:rPr>
              <w:t>LYG</w:t>
            </w:r>
          </w:p>
        </w:tc>
        <w:tc>
          <w:tcPr>
            <w:tcW w:w="7291" w:type="dxa"/>
          </w:tcPr>
          <w:p w14:paraId="6170DB4B" w14:textId="2F1F86CD" w:rsidR="00157751" w:rsidRPr="005653A5" w:rsidRDefault="00157751">
            <w:pPr>
              <w:spacing w:line="360" w:lineRule="auto"/>
              <w:rPr>
                <w:rFonts w:cs="Times New Roman"/>
              </w:rPr>
            </w:pPr>
            <w:r>
              <w:rPr>
                <w:rFonts w:cs="Times New Roman"/>
              </w:rPr>
              <w:t>Life-Year Gained</w:t>
            </w:r>
          </w:p>
        </w:tc>
      </w:tr>
      <w:tr w:rsidR="00157751" w:rsidRPr="005653A5" w14:paraId="7520281F" w14:textId="77777777" w:rsidTr="008439E3">
        <w:tc>
          <w:tcPr>
            <w:tcW w:w="1951" w:type="dxa"/>
          </w:tcPr>
          <w:p w14:paraId="6B4DE9B2" w14:textId="24E6C1A0" w:rsidR="00157751" w:rsidRDefault="00157751" w:rsidP="000912F1">
            <w:pPr>
              <w:spacing w:line="360" w:lineRule="auto"/>
              <w:rPr>
                <w:rFonts w:cs="Times New Roman"/>
              </w:rPr>
            </w:pPr>
            <w:r>
              <w:rPr>
                <w:rFonts w:cs="Times New Roman"/>
              </w:rPr>
              <w:t>MeSH</w:t>
            </w:r>
          </w:p>
        </w:tc>
        <w:tc>
          <w:tcPr>
            <w:tcW w:w="7291" w:type="dxa"/>
          </w:tcPr>
          <w:p w14:paraId="270B3C97" w14:textId="73F812BE" w:rsidR="00157751" w:rsidRDefault="00157751">
            <w:pPr>
              <w:spacing w:line="360" w:lineRule="auto"/>
              <w:rPr>
                <w:rFonts w:cs="Times New Roman"/>
              </w:rPr>
            </w:pPr>
            <w:r>
              <w:rPr>
                <w:rFonts w:cs="Times New Roman"/>
              </w:rPr>
              <w:t>Medical Subject Headings</w:t>
            </w:r>
          </w:p>
        </w:tc>
      </w:tr>
      <w:tr w:rsidR="000912F1" w:rsidRPr="005653A5" w14:paraId="6A121EC2" w14:textId="77777777" w:rsidTr="008439E3">
        <w:tc>
          <w:tcPr>
            <w:tcW w:w="1951" w:type="dxa"/>
          </w:tcPr>
          <w:p w14:paraId="6F6EAACA" w14:textId="77777777" w:rsidR="000912F1" w:rsidRPr="005653A5" w:rsidRDefault="000912F1" w:rsidP="000912F1">
            <w:pPr>
              <w:spacing w:line="360" w:lineRule="auto"/>
              <w:rPr>
                <w:rFonts w:cs="Times New Roman"/>
                <w:b/>
              </w:rPr>
            </w:pPr>
            <w:r w:rsidRPr="005653A5">
              <w:rPr>
                <w:rFonts w:cs="Times New Roman"/>
              </w:rPr>
              <w:lastRenderedPageBreak/>
              <w:t>m</w:t>
            </w:r>
            <w:r w:rsidRPr="005653A5">
              <w:rPr>
                <w:rFonts w:cs="Times New Roman"/>
                <w:i/>
              </w:rPr>
              <w:t>g</w:t>
            </w:r>
          </w:p>
        </w:tc>
        <w:tc>
          <w:tcPr>
            <w:tcW w:w="7291" w:type="dxa"/>
          </w:tcPr>
          <w:p w14:paraId="039AF0BC" w14:textId="77777777" w:rsidR="000912F1" w:rsidRPr="005653A5" w:rsidRDefault="000912F1" w:rsidP="000912F1">
            <w:pPr>
              <w:spacing w:line="360" w:lineRule="auto"/>
              <w:rPr>
                <w:rFonts w:cs="Times New Roman"/>
                <w:b/>
              </w:rPr>
            </w:pPr>
            <w:r w:rsidRPr="005653A5">
              <w:rPr>
                <w:rFonts w:cs="Times New Roman"/>
              </w:rPr>
              <w:t>milligravity</w:t>
            </w:r>
          </w:p>
        </w:tc>
      </w:tr>
      <w:tr w:rsidR="000912F1" w:rsidRPr="005653A5" w14:paraId="60AAE305" w14:textId="77777777" w:rsidTr="008439E3">
        <w:tc>
          <w:tcPr>
            <w:tcW w:w="1951" w:type="dxa"/>
          </w:tcPr>
          <w:p w14:paraId="5432D6BC" w14:textId="77777777" w:rsidR="000912F1" w:rsidRPr="005653A5" w:rsidRDefault="000912F1" w:rsidP="000912F1">
            <w:pPr>
              <w:spacing w:line="360" w:lineRule="auto"/>
              <w:rPr>
                <w:rFonts w:cs="Times New Roman"/>
                <w:b/>
              </w:rPr>
            </w:pPr>
            <w:r w:rsidRPr="005653A5">
              <w:rPr>
                <w:rFonts w:cs="Times New Roman"/>
              </w:rPr>
              <w:t>MLQ</w:t>
            </w:r>
          </w:p>
        </w:tc>
        <w:tc>
          <w:tcPr>
            <w:tcW w:w="7291" w:type="dxa"/>
          </w:tcPr>
          <w:p w14:paraId="3D64D778" w14:textId="77777777" w:rsidR="000912F1" w:rsidRPr="005653A5" w:rsidRDefault="000912F1" w:rsidP="000912F1">
            <w:pPr>
              <w:spacing w:line="360" w:lineRule="auto"/>
              <w:rPr>
                <w:rFonts w:cs="Times New Roman"/>
                <w:b/>
              </w:rPr>
            </w:pPr>
            <w:r w:rsidRPr="005653A5">
              <w:rPr>
                <w:rFonts w:cs="Times New Roman"/>
              </w:rPr>
              <w:t>My Lifestyle Questionnaire</w:t>
            </w:r>
          </w:p>
        </w:tc>
      </w:tr>
      <w:tr w:rsidR="000912F1" w:rsidRPr="005653A5" w14:paraId="567B9179" w14:textId="77777777" w:rsidTr="008439E3">
        <w:tc>
          <w:tcPr>
            <w:tcW w:w="1951" w:type="dxa"/>
          </w:tcPr>
          <w:p w14:paraId="16D41B26" w14:textId="77777777" w:rsidR="000912F1" w:rsidRPr="005653A5" w:rsidRDefault="000912F1" w:rsidP="000912F1">
            <w:pPr>
              <w:spacing w:line="360" w:lineRule="auto"/>
              <w:rPr>
                <w:rFonts w:cs="Times New Roman"/>
                <w:b/>
              </w:rPr>
            </w:pPr>
            <w:r w:rsidRPr="005653A5">
              <w:rPr>
                <w:rFonts w:cs="Times New Roman"/>
              </w:rPr>
              <w:t>MRC</w:t>
            </w:r>
          </w:p>
        </w:tc>
        <w:tc>
          <w:tcPr>
            <w:tcW w:w="7291" w:type="dxa"/>
          </w:tcPr>
          <w:p w14:paraId="62223C99" w14:textId="77777777" w:rsidR="000912F1" w:rsidRPr="005653A5" w:rsidRDefault="000912F1" w:rsidP="000912F1">
            <w:pPr>
              <w:spacing w:line="360" w:lineRule="auto"/>
              <w:rPr>
                <w:rFonts w:cs="Times New Roman"/>
                <w:b/>
              </w:rPr>
            </w:pPr>
            <w:r w:rsidRPr="005653A5">
              <w:rPr>
                <w:rFonts w:cs="Times New Roman"/>
              </w:rPr>
              <w:t>Medical Research Council</w:t>
            </w:r>
          </w:p>
        </w:tc>
      </w:tr>
      <w:tr w:rsidR="000912F1" w:rsidRPr="005653A5" w14:paraId="4E075770" w14:textId="77777777" w:rsidTr="008439E3">
        <w:tc>
          <w:tcPr>
            <w:tcW w:w="1951" w:type="dxa"/>
          </w:tcPr>
          <w:p w14:paraId="5D88AB44" w14:textId="77777777" w:rsidR="000912F1" w:rsidRPr="005653A5" w:rsidRDefault="000912F1" w:rsidP="000912F1">
            <w:pPr>
              <w:spacing w:line="360" w:lineRule="auto"/>
              <w:rPr>
                <w:rFonts w:cs="Times New Roman"/>
                <w:b/>
              </w:rPr>
            </w:pPr>
            <w:r w:rsidRPr="005653A5">
              <w:rPr>
                <w:rFonts w:cs="Times New Roman"/>
              </w:rPr>
              <w:t>MVPA</w:t>
            </w:r>
          </w:p>
        </w:tc>
        <w:tc>
          <w:tcPr>
            <w:tcW w:w="7291" w:type="dxa"/>
          </w:tcPr>
          <w:p w14:paraId="5F1F4783" w14:textId="77777777" w:rsidR="000912F1" w:rsidRPr="005653A5" w:rsidRDefault="000912F1" w:rsidP="000912F1">
            <w:pPr>
              <w:spacing w:line="360" w:lineRule="auto"/>
              <w:rPr>
                <w:rFonts w:cs="Times New Roman"/>
                <w:b/>
              </w:rPr>
            </w:pPr>
            <w:r w:rsidRPr="005653A5">
              <w:rPr>
                <w:rFonts w:cs="Times New Roman"/>
              </w:rPr>
              <w:t>Moderate to Vigorous Physical Activity</w:t>
            </w:r>
          </w:p>
        </w:tc>
      </w:tr>
      <w:tr w:rsidR="00157751" w:rsidRPr="005653A5" w14:paraId="5F3F7605" w14:textId="77777777" w:rsidTr="008439E3">
        <w:tc>
          <w:tcPr>
            <w:tcW w:w="1951" w:type="dxa"/>
          </w:tcPr>
          <w:p w14:paraId="24D46EE9" w14:textId="1BAF5B84" w:rsidR="00157751" w:rsidRPr="005653A5" w:rsidRDefault="00157751" w:rsidP="000912F1">
            <w:pPr>
              <w:spacing w:line="360" w:lineRule="auto"/>
              <w:rPr>
                <w:rFonts w:cs="Times New Roman"/>
              </w:rPr>
            </w:pPr>
            <w:r>
              <w:rPr>
                <w:rFonts w:cs="Times New Roman"/>
              </w:rPr>
              <w:t>NASUWT</w:t>
            </w:r>
          </w:p>
        </w:tc>
        <w:tc>
          <w:tcPr>
            <w:tcW w:w="7291" w:type="dxa"/>
          </w:tcPr>
          <w:p w14:paraId="04AF96F9" w14:textId="080107E2" w:rsidR="00157751" w:rsidRPr="005653A5" w:rsidRDefault="00157751" w:rsidP="000912F1">
            <w:pPr>
              <w:spacing w:line="360" w:lineRule="auto"/>
              <w:rPr>
                <w:rFonts w:cs="Times New Roman"/>
              </w:rPr>
            </w:pPr>
            <w:r>
              <w:rPr>
                <w:rFonts w:cs="Times New Roman"/>
              </w:rPr>
              <w:t>National Association of Schoolmasters Union of Women Teachers</w:t>
            </w:r>
          </w:p>
        </w:tc>
      </w:tr>
      <w:tr w:rsidR="000912F1" w:rsidRPr="005653A5" w14:paraId="2CACA9C7" w14:textId="77777777" w:rsidTr="008439E3">
        <w:tc>
          <w:tcPr>
            <w:tcW w:w="1951" w:type="dxa"/>
          </w:tcPr>
          <w:p w14:paraId="0AB23E48" w14:textId="77777777" w:rsidR="000912F1" w:rsidRPr="005653A5" w:rsidRDefault="000912F1" w:rsidP="000912F1">
            <w:pPr>
              <w:spacing w:line="360" w:lineRule="auto"/>
              <w:rPr>
                <w:rFonts w:cs="Times New Roman"/>
                <w:b/>
              </w:rPr>
            </w:pPr>
            <w:r w:rsidRPr="005653A5">
              <w:rPr>
                <w:rFonts w:cs="Times New Roman"/>
              </w:rPr>
              <w:t>NCMP</w:t>
            </w:r>
          </w:p>
        </w:tc>
        <w:tc>
          <w:tcPr>
            <w:tcW w:w="7291" w:type="dxa"/>
          </w:tcPr>
          <w:p w14:paraId="730BF46B" w14:textId="77777777" w:rsidR="000912F1" w:rsidRPr="005653A5" w:rsidRDefault="000912F1" w:rsidP="000912F1">
            <w:pPr>
              <w:spacing w:line="360" w:lineRule="auto"/>
              <w:rPr>
                <w:rFonts w:cs="Times New Roman"/>
                <w:b/>
              </w:rPr>
            </w:pPr>
            <w:r w:rsidRPr="005653A5">
              <w:rPr>
                <w:rFonts w:cs="Times New Roman"/>
              </w:rPr>
              <w:t>National Child Measurement Programme</w:t>
            </w:r>
          </w:p>
        </w:tc>
      </w:tr>
      <w:tr w:rsidR="000912F1" w:rsidRPr="005653A5" w14:paraId="04951618" w14:textId="77777777" w:rsidTr="008439E3">
        <w:tc>
          <w:tcPr>
            <w:tcW w:w="1951" w:type="dxa"/>
          </w:tcPr>
          <w:p w14:paraId="76FA0956" w14:textId="77777777" w:rsidR="000912F1" w:rsidRPr="005653A5" w:rsidRDefault="000912F1" w:rsidP="000912F1">
            <w:pPr>
              <w:spacing w:line="360" w:lineRule="auto"/>
              <w:rPr>
                <w:rFonts w:cs="Times New Roman"/>
                <w:b/>
              </w:rPr>
            </w:pPr>
            <w:r w:rsidRPr="005653A5">
              <w:rPr>
                <w:rFonts w:cs="Times New Roman"/>
              </w:rPr>
              <w:t>NDNS</w:t>
            </w:r>
          </w:p>
        </w:tc>
        <w:tc>
          <w:tcPr>
            <w:tcW w:w="7291" w:type="dxa"/>
          </w:tcPr>
          <w:p w14:paraId="71452478" w14:textId="77777777" w:rsidR="000912F1" w:rsidRPr="005653A5" w:rsidRDefault="000912F1" w:rsidP="000912F1">
            <w:pPr>
              <w:spacing w:line="360" w:lineRule="auto"/>
              <w:rPr>
                <w:rFonts w:cs="Times New Roman"/>
                <w:b/>
              </w:rPr>
            </w:pPr>
            <w:r w:rsidRPr="005653A5">
              <w:rPr>
                <w:rFonts w:cs="Times New Roman"/>
              </w:rPr>
              <w:t>National Diet and Nutrition Survey</w:t>
            </w:r>
          </w:p>
        </w:tc>
      </w:tr>
      <w:tr w:rsidR="000912F1" w:rsidRPr="005653A5" w14:paraId="79E2A581" w14:textId="77777777" w:rsidTr="008439E3">
        <w:tc>
          <w:tcPr>
            <w:tcW w:w="1951" w:type="dxa"/>
          </w:tcPr>
          <w:p w14:paraId="667D4BFE" w14:textId="5CF731C7" w:rsidR="000912F1" w:rsidRPr="005653A5" w:rsidRDefault="000912F1" w:rsidP="000912F1">
            <w:pPr>
              <w:spacing w:line="360" w:lineRule="auto"/>
              <w:rPr>
                <w:rFonts w:cs="Times New Roman"/>
                <w:b/>
              </w:rPr>
            </w:pPr>
            <w:r w:rsidRPr="005653A5">
              <w:rPr>
                <w:rFonts w:cs="Times New Roman"/>
              </w:rPr>
              <w:t>N</w:t>
            </w:r>
            <w:r>
              <w:rPr>
                <w:rFonts w:cs="Times New Roman"/>
              </w:rPr>
              <w:t>F</w:t>
            </w:r>
            <w:r w:rsidRPr="005653A5">
              <w:rPr>
                <w:rFonts w:cs="Times New Roman"/>
              </w:rPr>
              <w:t>M</w:t>
            </w:r>
          </w:p>
        </w:tc>
        <w:tc>
          <w:tcPr>
            <w:tcW w:w="7291" w:type="dxa"/>
          </w:tcPr>
          <w:p w14:paraId="6FD92EBB" w14:textId="77777777" w:rsidR="000912F1" w:rsidRPr="005653A5" w:rsidRDefault="000912F1" w:rsidP="000912F1">
            <w:pPr>
              <w:spacing w:line="360" w:lineRule="auto"/>
              <w:rPr>
                <w:rFonts w:cs="Times New Roman"/>
                <w:b/>
              </w:rPr>
            </w:pPr>
            <w:r w:rsidRPr="005653A5">
              <w:rPr>
                <w:rFonts w:cs="Times New Roman"/>
              </w:rPr>
              <w:t>Negative Food Marker</w:t>
            </w:r>
          </w:p>
        </w:tc>
      </w:tr>
      <w:tr w:rsidR="000912F1" w:rsidRPr="005653A5" w14:paraId="19B1ECD0" w14:textId="77777777" w:rsidTr="008439E3">
        <w:tc>
          <w:tcPr>
            <w:tcW w:w="1951" w:type="dxa"/>
          </w:tcPr>
          <w:p w14:paraId="06F44386" w14:textId="77777777" w:rsidR="000912F1" w:rsidRPr="005653A5" w:rsidRDefault="000912F1" w:rsidP="000912F1">
            <w:pPr>
              <w:spacing w:line="360" w:lineRule="auto"/>
              <w:rPr>
                <w:rFonts w:cs="Times New Roman"/>
                <w:b/>
              </w:rPr>
            </w:pPr>
            <w:r w:rsidRPr="005653A5">
              <w:rPr>
                <w:rFonts w:cs="Times New Roman"/>
              </w:rPr>
              <w:t>NMES</w:t>
            </w:r>
          </w:p>
        </w:tc>
        <w:tc>
          <w:tcPr>
            <w:tcW w:w="7291" w:type="dxa"/>
          </w:tcPr>
          <w:p w14:paraId="63CF1051" w14:textId="77777777" w:rsidR="000912F1" w:rsidRPr="005653A5" w:rsidRDefault="000912F1" w:rsidP="000912F1">
            <w:pPr>
              <w:spacing w:line="360" w:lineRule="auto"/>
              <w:rPr>
                <w:rFonts w:cs="Times New Roman"/>
                <w:b/>
              </w:rPr>
            </w:pPr>
            <w:r w:rsidRPr="005653A5">
              <w:rPr>
                <w:rFonts w:cs="Times New Roman"/>
              </w:rPr>
              <w:t>Non Milk Extrinsic Sugars</w:t>
            </w:r>
          </w:p>
        </w:tc>
      </w:tr>
      <w:tr w:rsidR="00157751" w:rsidRPr="005653A5" w14:paraId="4EB3EAF9" w14:textId="77777777" w:rsidTr="008439E3">
        <w:tc>
          <w:tcPr>
            <w:tcW w:w="1951" w:type="dxa"/>
          </w:tcPr>
          <w:p w14:paraId="03A3AE6E" w14:textId="2BE5E66A" w:rsidR="00157751" w:rsidRPr="005653A5" w:rsidRDefault="00157751" w:rsidP="000912F1">
            <w:pPr>
              <w:spacing w:line="360" w:lineRule="auto"/>
              <w:rPr>
                <w:rFonts w:cs="Times New Roman"/>
              </w:rPr>
            </w:pPr>
            <w:r>
              <w:rPr>
                <w:rFonts w:cs="Times New Roman"/>
              </w:rPr>
              <w:t>PAG</w:t>
            </w:r>
          </w:p>
        </w:tc>
        <w:tc>
          <w:tcPr>
            <w:tcW w:w="7291" w:type="dxa"/>
          </w:tcPr>
          <w:p w14:paraId="396765AA" w14:textId="41CD4CB4" w:rsidR="00157751" w:rsidRPr="005653A5" w:rsidRDefault="00157751" w:rsidP="000912F1">
            <w:pPr>
              <w:spacing w:line="360" w:lineRule="auto"/>
              <w:rPr>
                <w:rFonts w:cs="Times New Roman"/>
              </w:rPr>
            </w:pPr>
            <w:r>
              <w:rPr>
                <w:rFonts w:cs="Times New Roman"/>
              </w:rPr>
              <w:t>Project Advisory Group</w:t>
            </w:r>
          </w:p>
        </w:tc>
      </w:tr>
      <w:tr w:rsidR="00157751" w:rsidRPr="005653A5" w14:paraId="1220AEA6" w14:textId="77777777" w:rsidTr="008439E3">
        <w:tc>
          <w:tcPr>
            <w:tcW w:w="1951" w:type="dxa"/>
          </w:tcPr>
          <w:p w14:paraId="1F73715A" w14:textId="715B00D6" w:rsidR="00157751" w:rsidRPr="005653A5" w:rsidRDefault="00157751" w:rsidP="000912F1">
            <w:pPr>
              <w:spacing w:line="360" w:lineRule="auto"/>
              <w:rPr>
                <w:rFonts w:cs="Times New Roman"/>
              </w:rPr>
            </w:pPr>
            <w:r>
              <w:rPr>
                <w:rFonts w:cs="Times New Roman"/>
              </w:rPr>
              <w:t>PE</w:t>
            </w:r>
          </w:p>
        </w:tc>
        <w:tc>
          <w:tcPr>
            <w:tcW w:w="7291" w:type="dxa"/>
          </w:tcPr>
          <w:p w14:paraId="2AD03F7F" w14:textId="1B74ED14" w:rsidR="00157751" w:rsidRPr="005653A5" w:rsidRDefault="00157751" w:rsidP="000912F1">
            <w:pPr>
              <w:spacing w:line="360" w:lineRule="auto"/>
              <w:rPr>
                <w:rFonts w:cs="Times New Roman"/>
              </w:rPr>
            </w:pPr>
            <w:r>
              <w:rPr>
                <w:rFonts w:cs="Times New Roman"/>
              </w:rPr>
              <w:t>Physical Education</w:t>
            </w:r>
          </w:p>
        </w:tc>
      </w:tr>
      <w:tr w:rsidR="000912F1" w:rsidRPr="005653A5" w14:paraId="0A8F434C" w14:textId="77777777" w:rsidTr="008439E3">
        <w:tc>
          <w:tcPr>
            <w:tcW w:w="1951" w:type="dxa"/>
          </w:tcPr>
          <w:p w14:paraId="59D6A4ED" w14:textId="1B5E7F61" w:rsidR="000912F1" w:rsidRPr="005653A5" w:rsidRDefault="000912F1" w:rsidP="00DC3B03">
            <w:pPr>
              <w:spacing w:line="360" w:lineRule="auto"/>
              <w:rPr>
                <w:rFonts w:cs="Times New Roman"/>
                <w:b/>
              </w:rPr>
            </w:pPr>
            <w:r w:rsidRPr="005653A5">
              <w:rPr>
                <w:rFonts w:cs="Times New Roman"/>
              </w:rPr>
              <w:t>PenCTU</w:t>
            </w:r>
          </w:p>
        </w:tc>
        <w:tc>
          <w:tcPr>
            <w:tcW w:w="7291" w:type="dxa"/>
          </w:tcPr>
          <w:p w14:paraId="1A820F3C" w14:textId="77777777" w:rsidR="000912F1" w:rsidRPr="005653A5" w:rsidRDefault="000912F1" w:rsidP="000912F1">
            <w:pPr>
              <w:spacing w:line="360" w:lineRule="auto"/>
              <w:rPr>
                <w:rFonts w:cs="Times New Roman"/>
                <w:b/>
              </w:rPr>
            </w:pPr>
            <w:r w:rsidRPr="005653A5">
              <w:rPr>
                <w:rFonts w:cs="Times New Roman"/>
              </w:rPr>
              <w:t>Peninsula Clinical Trials Unit</w:t>
            </w:r>
          </w:p>
        </w:tc>
      </w:tr>
      <w:tr w:rsidR="000912F1" w:rsidRPr="005653A5" w14:paraId="626B54E9" w14:textId="77777777" w:rsidTr="008439E3">
        <w:tc>
          <w:tcPr>
            <w:tcW w:w="1951" w:type="dxa"/>
          </w:tcPr>
          <w:p w14:paraId="35156D90" w14:textId="7BE24422" w:rsidR="000912F1" w:rsidRPr="005653A5" w:rsidRDefault="000912F1" w:rsidP="000912F1">
            <w:pPr>
              <w:spacing w:line="360" w:lineRule="auto"/>
              <w:rPr>
                <w:rFonts w:cs="Times New Roman"/>
                <w:b/>
              </w:rPr>
            </w:pPr>
            <w:r w:rsidRPr="005653A5">
              <w:rPr>
                <w:rFonts w:cs="Times New Roman"/>
              </w:rPr>
              <w:t>P</w:t>
            </w:r>
            <w:r>
              <w:rPr>
                <w:rFonts w:cs="Times New Roman"/>
              </w:rPr>
              <w:t>F</w:t>
            </w:r>
            <w:r w:rsidRPr="005653A5">
              <w:rPr>
                <w:rFonts w:cs="Times New Roman"/>
              </w:rPr>
              <w:t>M</w:t>
            </w:r>
          </w:p>
        </w:tc>
        <w:tc>
          <w:tcPr>
            <w:tcW w:w="7291" w:type="dxa"/>
          </w:tcPr>
          <w:p w14:paraId="1218F493" w14:textId="77777777" w:rsidR="000912F1" w:rsidRPr="005653A5" w:rsidRDefault="000912F1" w:rsidP="000912F1">
            <w:pPr>
              <w:spacing w:line="360" w:lineRule="auto"/>
              <w:rPr>
                <w:rFonts w:cs="Times New Roman"/>
                <w:b/>
              </w:rPr>
            </w:pPr>
            <w:r w:rsidRPr="005653A5">
              <w:rPr>
                <w:rFonts w:cs="Times New Roman"/>
              </w:rPr>
              <w:t>Positive Food Marker</w:t>
            </w:r>
          </w:p>
        </w:tc>
      </w:tr>
      <w:tr w:rsidR="003A073A" w:rsidRPr="005653A5" w14:paraId="68F56235" w14:textId="77777777" w:rsidTr="008439E3">
        <w:tc>
          <w:tcPr>
            <w:tcW w:w="1951" w:type="dxa"/>
          </w:tcPr>
          <w:p w14:paraId="2F96B181" w14:textId="3F13E35D" w:rsidR="003A073A" w:rsidRPr="005653A5" w:rsidRDefault="003A073A" w:rsidP="000912F1">
            <w:pPr>
              <w:spacing w:line="360" w:lineRule="auto"/>
              <w:rPr>
                <w:rFonts w:cs="Times New Roman"/>
              </w:rPr>
            </w:pPr>
            <w:r>
              <w:rPr>
                <w:rFonts w:cs="Times New Roman"/>
              </w:rPr>
              <w:t>PSHE</w:t>
            </w:r>
          </w:p>
        </w:tc>
        <w:tc>
          <w:tcPr>
            <w:tcW w:w="7291" w:type="dxa"/>
          </w:tcPr>
          <w:p w14:paraId="432476FB" w14:textId="26ADAE48" w:rsidR="003A073A" w:rsidRPr="005653A5" w:rsidRDefault="003A073A" w:rsidP="000912F1">
            <w:pPr>
              <w:spacing w:line="360" w:lineRule="auto"/>
              <w:rPr>
                <w:rFonts w:cs="Times New Roman"/>
              </w:rPr>
            </w:pPr>
            <w:r>
              <w:rPr>
                <w:rFonts w:cs="Times New Roman"/>
              </w:rPr>
              <w:t>Personal Social and Health Education</w:t>
            </w:r>
          </w:p>
        </w:tc>
      </w:tr>
      <w:tr w:rsidR="003A073A" w:rsidRPr="005653A5" w14:paraId="13987368" w14:textId="77777777" w:rsidTr="008439E3">
        <w:tc>
          <w:tcPr>
            <w:tcW w:w="1951" w:type="dxa"/>
          </w:tcPr>
          <w:p w14:paraId="090A4AD8" w14:textId="79298484" w:rsidR="003A073A" w:rsidRDefault="003A073A" w:rsidP="000912F1">
            <w:pPr>
              <w:spacing w:line="360" w:lineRule="auto"/>
              <w:rPr>
                <w:rFonts w:cs="Times New Roman"/>
              </w:rPr>
            </w:pPr>
            <w:r>
              <w:rPr>
                <w:rFonts w:cs="Times New Roman"/>
              </w:rPr>
              <w:t>PSSRU</w:t>
            </w:r>
          </w:p>
        </w:tc>
        <w:tc>
          <w:tcPr>
            <w:tcW w:w="7291" w:type="dxa"/>
          </w:tcPr>
          <w:p w14:paraId="6AE5F943" w14:textId="4265DB79" w:rsidR="003A073A" w:rsidRDefault="003A073A" w:rsidP="000912F1">
            <w:pPr>
              <w:spacing w:line="360" w:lineRule="auto"/>
              <w:rPr>
                <w:rFonts w:cs="Times New Roman"/>
              </w:rPr>
            </w:pPr>
            <w:r>
              <w:rPr>
                <w:rFonts w:cs="Times New Roman"/>
              </w:rPr>
              <w:t>Personal Social Services Research Unit</w:t>
            </w:r>
          </w:p>
        </w:tc>
      </w:tr>
      <w:tr w:rsidR="000912F1" w:rsidRPr="005653A5" w14:paraId="6ED57EF7" w14:textId="77777777" w:rsidTr="008439E3">
        <w:tc>
          <w:tcPr>
            <w:tcW w:w="1951" w:type="dxa"/>
          </w:tcPr>
          <w:p w14:paraId="26904FC1" w14:textId="0F74C464" w:rsidR="000912F1" w:rsidRPr="005653A5" w:rsidRDefault="000912F1" w:rsidP="000912F1">
            <w:pPr>
              <w:spacing w:line="360" w:lineRule="auto"/>
              <w:rPr>
                <w:rFonts w:cs="Times New Roman"/>
              </w:rPr>
            </w:pPr>
            <w:r>
              <w:rPr>
                <w:rFonts w:cs="Times New Roman"/>
              </w:rPr>
              <w:t>QALY</w:t>
            </w:r>
          </w:p>
        </w:tc>
        <w:tc>
          <w:tcPr>
            <w:tcW w:w="7291" w:type="dxa"/>
          </w:tcPr>
          <w:p w14:paraId="09507642" w14:textId="0D9EF125" w:rsidR="000912F1" w:rsidRPr="005653A5" w:rsidRDefault="000912F1" w:rsidP="000912F1">
            <w:pPr>
              <w:spacing w:line="360" w:lineRule="auto"/>
              <w:rPr>
                <w:rFonts w:cs="Times New Roman"/>
              </w:rPr>
            </w:pPr>
            <w:r>
              <w:rPr>
                <w:rFonts w:cs="Times New Roman"/>
              </w:rPr>
              <w:t>Quality-Adjusted Life-Year</w:t>
            </w:r>
          </w:p>
        </w:tc>
      </w:tr>
      <w:tr w:rsidR="003A073A" w:rsidRPr="005653A5" w14:paraId="573898A7" w14:textId="77777777" w:rsidTr="008439E3">
        <w:tc>
          <w:tcPr>
            <w:tcW w:w="1951" w:type="dxa"/>
          </w:tcPr>
          <w:p w14:paraId="5ADA30EA" w14:textId="23992B20" w:rsidR="003A073A" w:rsidRPr="005653A5" w:rsidRDefault="003A073A" w:rsidP="000912F1">
            <w:pPr>
              <w:spacing w:line="360" w:lineRule="auto"/>
              <w:rPr>
                <w:rFonts w:cs="Times New Roman"/>
              </w:rPr>
            </w:pPr>
            <w:r>
              <w:rPr>
                <w:rFonts w:cs="Times New Roman"/>
              </w:rPr>
              <w:t>RD&amp;E</w:t>
            </w:r>
          </w:p>
        </w:tc>
        <w:tc>
          <w:tcPr>
            <w:tcW w:w="7291" w:type="dxa"/>
          </w:tcPr>
          <w:p w14:paraId="7F937691" w14:textId="013513C7" w:rsidR="003A073A" w:rsidRPr="005653A5" w:rsidRDefault="003A073A" w:rsidP="000912F1">
            <w:pPr>
              <w:spacing w:line="360" w:lineRule="auto"/>
              <w:rPr>
                <w:rFonts w:cs="Times New Roman"/>
              </w:rPr>
            </w:pPr>
            <w:r>
              <w:rPr>
                <w:rFonts w:cs="Times New Roman"/>
              </w:rPr>
              <w:t>Royal Devon &amp; Exeter NHS Trust</w:t>
            </w:r>
          </w:p>
        </w:tc>
      </w:tr>
      <w:tr w:rsidR="000912F1" w:rsidRPr="005653A5" w14:paraId="2D333307" w14:textId="77777777" w:rsidTr="008439E3">
        <w:tc>
          <w:tcPr>
            <w:tcW w:w="1951" w:type="dxa"/>
          </w:tcPr>
          <w:p w14:paraId="1870750E" w14:textId="77777777" w:rsidR="000912F1" w:rsidRDefault="000912F1" w:rsidP="000912F1">
            <w:pPr>
              <w:spacing w:line="360" w:lineRule="auto"/>
              <w:rPr>
                <w:rFonts w:cs="Times New Roman"/>
              </w:rPr>
            </w:pPr>
            <w:r w:rsidRPr="005653A5">
              <w:rPr>
                <w:rFonts w:cs="Times New Roman"/>
              </w:rPr>
              <w:t>RCT</w:t>
            </w:r>
          </w:p>
          <w:p w14:paraId="4AA5609C" w14:textId="2D47591A" w:rsidR="000912F1" w:rsidRPr="005653A5" w:rsidRDefault="000912F1" w:rsidP="000912F1">
            <w:pPr>
              <w:spacing w:line="360" w:lineRule="auto"/>
              <w:rPr>
                <w:rFonts w:cs="Times New Roman"/>
              </w:rPr>
            </w:pPr>
            <w:r>
              <w:rPr>
                <w:rFonts w:cs="Times New Roman"/>
              </w:rPr>
              <w:t>RQ</w:t>
            </w:r>
          </w:p>
        </w:tc>
        <w:tc>
          <w:tcPr>
            <w:tcW w:w="7291" w:type="dxa"/>
          </w:tcPr>
          <w:p w14:paraId="09DDAE32" w14:textId="77777777" w:rsidR="000912F1" w:rsidRDefault="000912F1" w:rsidP="000912F1">
            <w:pPr>
              <w:spacing w:line="360" w:lineRule="auto"/>
              <w:rPr>
                <w:rFonts w:cs="Times New Roman"/>
              </w:rPr>
            </w:pPr>
            <w:r w:rsidRPr="005653A5">
              <w:rPr>
                <w:rFonts w:cs="Times New Roman"/>
              </w:rPr>
              <w:t>Randomised Control Trial</w:t>
            </w:r>
          </w:p>
          <w:p w14:paraId="45782513" w14:textId="25320B12" w:rsidR="000912F1" w:rsidRPr="005653A5" w:rsidRDefault="000912F1" w:rsidP="000912F1">
            <w:pPr>
              <w:spacing w:line="360" w:lineRule="auto"/>
              <w:rPr>
                <w:rFonts w:cs="Times New Roman"/>
              </w:rPr>
            </w:pPr>
            <w:r>
              <w:rPr>
                <w:rFonts w:cs="Times New Roman"/>
              </w:rPr>
              <w:t>Research Questions</w:t>
            </w:r>
          </w:p>
        </w:tc>
      </w:tr>
      <w:tr w:rsidR="000912F1" w:rsidRPr="005653A5" w14:paraId="624801A5" w14:textId="77777777" w:rsidTr="008439E3">
        <w:tc>
          <w:tcPr>
            <w:tcW w:w="1951" w:type="dxa"/>
          </w:tcPr>
          <w:p w14:paraId="121BE233" w14:textId="7F740A54" w:rsidR="000912F1" w:rsidRPr="005653A5" w:rsidRDefault="000912F1" w:rsidP="000912F1">
            <w:pPr>
              <w:spacing w:line="360" w:lineRule="auto"/>
              <w:rPr>
                <w:rFonts w:cs="Times New Roman"/>
                <w:lang w:val="fr-FR"/>
              </w:rPr>
            </w:pPr>
            <w:r>
              <w:rPr>
                <w:rFonts w:cs="Times New Roman"/>
                <w:lang w:val="fr-FR"/>
              </w:rPr>
              <w:t>RR</w:t>
            </w:r>
          </w:p>
        </w:tc>
        <w:tc>
          <w:tcPr>
            <w:tcW w:w="7291" w:type="dxa"/>
          </w:tcPr>
          <w:p w14:paraId="52C1723A" w14:textId="3575F8FC" w:rsidR="000912F1" w:rsidRPr="005653A5" w:rsidRDefault="000912F1" w:rsidP="000912F1">
            <w:pPr>
              <w:spacing w:line="360" w:lineRule="auto"/>
              <w:rPr>
                <w:rFonts w:cs="Times New Roman"/>
                <w:lang w:val="fr-FR"/>
              </w:rPr>
            </w:pPr>
            <w:r>
              <w:rPr>
                <w:rFonts w:cs="Times New Roman"/>
                <w:lang w:val="fr-FR"/>
              </w:rPr>
              <w:t>Relative Risk</w:t>
            </w:r>
          </w:p>
        </w:tc>
      </w:tr>
      <w:tr w:rsidR="003A073A" w:rsidRPr="005653A5" w14:paraId="4F10321D" w14:textId="77777777" w:rsidTr="008439E3">
        <w:tc>
          <w:tcPr>
            <w:tcW w:w="1951" w:type="dxa"/>
          </w:tcPr>
          <w:p w14:paraId="4D9A45E6" w14:textId="0A315E76" w:rsidR="003A073A" w:rsidRPr="005653A5" w:rsidRDefault="003A073A" w:rsidP="000912F1">
            <w:pPr>
              <w:spacing w:line="360" w:lineRule="auto"/>
              <w:rPr>
                <w:rFonts w:cs="Times New Roman"/>
                <w:lang w:val="fr-FR"/>
              </w:rPr>
            </w:pPr>
            <w:r>
              <w:rPr>
                <w:rFonts w:cs="Times New Roman"/>
                <w:lang w:val="fr-FR"/>
              </w:rPr>
              <w:t>SATs</w:t>
            </w:r>
          </w:p>
        </w:tc>
        <w:tc>
          <w:tcPr>
            <w:tcW w:w="7291" w:type="dxa"/>
          </w:tcPr>
          <w:p w14:paraId="32786039" w14:textId="3C442727" w:rsidR="003A073A" w:rsidRPr="005653A5" w:rsidRDefault="003A073A" w:rsidP="000912F1">
            <w:pPr>
              <w:spacing w:line="360" w:lineRule="auto"/>
              <w:rPr>
                <w:rFonts w:cs="Times New Roman"/>
                <w:lang w:val="fr-FR"/>
              </w:rPr>
            </w:pPr>
            <w:r>
              <w:rPr>
                <w:rFonts w:cs="Times New Roman"/>
                <w:lang w:val="fr-FR"/>
              </w:rPr>
              <w:t>Standard Assessment Tasks</w:t>
            </w:r>
          </w:p>
        </w:tc>
      </w:tr>
      <w:tr w:rsidR="003A073A" w:rsidRPr="005653A5" w14:paraId="3ED49E9B" w14:textId="77777777" w:rsidTr="008439E3">
        <w:tc>
          <w:tcPr>
            <w:tcW w:w="1951" w:type="dxa"/>
          </w:tcPr>
          <w:p w14:paraId="61ECD22C" w14:textId="01500F8F" w:rsidR="003A073A" w:rsidRPr="005653A5" w:rsidRDefault="003A073A" w:rsidP="000912F1">
            <w:pPr>
              <w:spacing w:line="360" w:lineRule="auto"/>
              <w:rPr>
                <w:rFonts w:cs="Times New Roman"/>
                <w:lang w:val="fr-FR"/>
              </w:rPr>
            </w:pPr>
            <w:r>
              <w:rPr>
                <w:rFonts w:cs="Times New Roman"/>
                <w:lang w:val="fr-FR"/>
              </w:rPr>
              <w:t>SCPQ</w:t>
            </w:r>
          </w:p>
        </w:tc>
        <w:tc>
          <w:tcPr>
            <w:tcW w:w="7291" w:type="dxa"/>
          </w:tcPr>
          <w:p w14:paraId="5547CEC7" w14:textId="7CC90B5A" w:rsidR="003A073A" w:rsidRPr="005653A5" w:rsidRDefault="003A073A" w:rsidP="000912F1">
            <w:pPr>
              <w:spacing w:line="360" w:lineRule="auto"/>
              <w:rPr>
                <w:rFonts w:cs="Times New Roman"/>
                <w:lang w:val="fr-FR"/>
              </w:rPr>
            </w:pPr>
            <w:r>
              <w:rPr>
                <w:rFonts w:cs="Times New Roman"/>
                <w:lang w:val="fr-FR"/>
              </w:rPr>
              <w:t xml:space="preserve">School </w:t>
            </w:r>
            <w:r w:rsidRPr="008808C7">
              <w:rPr>
                <w:rFonts w:cs="Times New Roman"/>
              </w:rPr>
              <w:t>Characteristics</w:t>
            </w:r>
            <w:r>
              <w:rPr>
                <w:rFonts w:cs="Times New Roman"/>
                <w:lang w:val="fr-FR"/>
              </w:rPr>
              <w:t xml:space="preserve"> and </w:t>
            </w:r>
            <w:r w:rsidRPr="008808C7">
              <w:rPr>
                <w:rFonts w:cs="Times New Roman"/>
              </w:rPr>
              <w:t>Policies</w:t>
            </w:r>
            <w:r>
              <w:rPr>
                <w:rFonts w:cs="Times New Roman"/>
                <w:lang w:val="fr-FR"/>
              </w:rPr>
              <w:t xml:space="preserve"> Questionnaire</w:t>
            </w:r>
          </w:p>
        </w:tc>
      </w:tr>
      <w:tr w:rsidR="000912F1" w:rsidRPr="005653A5" w14:paraId="2A8347AD" w14:textId="77777777" w:rsidTr="008439E3">
        <w:tc>
          <w:tcPr>
            <w:tcW w:w="1951" w:type="dxa"/>
          </w:tcPr>
          <w:p w14:paraId="20396751" w14:textId="77777777" w:rsidR="000912F1" w:rsidRPr="005653A5" w:rsidRDefault="000912F1" w:rsidP="000912F1">
            <w:pPr>
              <w:spacing w:line="360" w:lineRule="auto"/>
              <w:rPr>
                <w:rFonts w:cs="Times New Roman"/>
                <w:b/>
              </w:rPr>
            </w:pPr>
            <w:r w:rsidRPr="005653A5">
              <w:rPr>
                <w:rFonts w:cs="Times New Roman"/>
                <w:lang w:val="fr-FR"/>
              </w:rPr>
              <w:t>SD</w:t>
            </w:r>
          </w:p>
        </w:tc>
        <w:tc>
          <w:tcPr>
            <w:tcW w:w="7291" w:type="dxa"/>
          </w:tcPr>
          <w:p w14:paraId="553D44BF" w14:textId="77777777" w:rsidR="000912F1" w:rsidRPr="005653A5" w:rsidRDefault="000912F1" w:rsidP="000912F1">
            <w:pPr>
              <w:spacing w:line="360" w:lineRule="auto"/>
              <w:rPr>
                <w:rFonts w:cs="Times New Roman"/>
                <w:b/>
              </w:rPr>
            </w:pPr>
            <w:r w:rsidRPr="005653A5">
              <w:rPr>
                <w:rFonts w:cs="Times New Roman"/>
                <w:lang w:val="fr-FR"/>
              </w:rPr>
              <w:t>Standard Deviation</w:t>
            </w:r>
          </w:p>
        </w:tc>
      </w:tr>
      <w:tr w:rsidR="000912F1" w:rsidRPr="005653A5" w14:paraId="311B0550" w14:textId="77777777" w:rsidTr="008439E3">
        <w:tc>
          <w:tcPr>
            <w:tcW w:w="1951" w:type="dxa"/>
          </w:tcPr>
          <w:p w14:paraId="6D432CC4" w14:textId="77777777" w:rsidR="000912F1" w:rsidRDefault="000912F1" w:rsidP="000912F1">
            <w:pPr>
              <w:spacing w:line="360" w:lineRule="auto"/>
              <w:rPr>
                <w:rFonts w:cs="Times New Roman"/>
                <w:lang w:val="fr-FR"/>
              </w:rPr>
            </w:pPr>
            <w:r w:rsidRPr="005653A5">
              <w:rPr>
                <w:rFonts w:cs="Times New Roman"/>
                <w:lang w:val="fr-FR"/>
              </w:rPr>
              <w:t>SDS</w:t>
            </w:r>
          </w:p>
          <w:p w14:paraId="09618E18" w14:textId="1349687C" w:rsidR="000912F1" w:rsidRPr="005653A5" w:rsidRDefault="003A073A" w:rsidP="000912F1">
            <w:pPr>
              <w:spacing w:line="360" w:lineRule="auto"/>
              <w:rPr>
                <w:rFonts w:cs="Times New Roman"/>
                <w:b/>
              </w:rPr>
            </w:pPr>
            <w:r>
              <w:rPr>
                <w:rFonts w:cs="Times New Roman"/>
                <w:lang w:val="fr-FR"/>
              </w:rPr>
              <w:t>SEM</w:t>
            </w:r>
          </w:p>
        </w:tc>
        <w:tc>
          <w:tcPr>
            <w:tcW w:w="7291" w:type="dxa"/>
          </w:tcPr>
          <w:p w14:paraId="2BF218B0" w14:textId="77777777" w:rsidR="000912F1" w:rsidRDefault="000912F1" w:rsidP="000912F1">
            <w:pPr>
              <w:spacing w:line="360" w:lineRule="auto"/>
              <w:rPr>
                <w:rFonts w:cs="Times New Roman"/>
                <w:lang w:val="fr-FR"/>
              </w:rPr>
            </w:pPr>
            <w:r>
              <w:rPr>
                <w:rFonts w:cs="Times New Roman"/>
                <w:lang w:val="fr-FR"/>
              </w:rPr>
              <w:t>Standard Deviation Scores</w:t>
            </w:r>
          </w:p>
          <w:p w14:paraId="7E94E4D0" w14:textId="3A24A5CB" w:rsidR="000912F1" w:rsidRPr="00230360" w:rsidRDefault="003A073A" w:rsidP="000912F1">
            <w:pPr>
              <w:spacing w:line="360" w:lineRule="auto"/>
              <w:rPr>
                <w:rFonts w:cs="Times New Roman"/>
                <w:lang w:val="fr-FR"/>
              </w:rPr>
            </w:pPr>
            <w:r>
              <w:rPr>
                <w:rFonts w:cs="Times New Roman"/>
                <w:lang w:val="fr-FR"/>
              </w:rPr>
              <w:t>Structured Equation Modelling</w:t>
            </w:r>
          </w:p>
        </w:tc>
      </w:tr>
      <w:tr w:rsidR="000912F1" w:rsidRPr="005653A5" w14:paraId="151B66A6" w14:textId="77777777" w:rsidTr="008439E3">
        <w:tc>
          <w:tcPr>
            <w:tcW w:w="1951" w:type="dxa"/>
          </w:tcPr>
          <w:p w14:paraId="0E951B47" w14:textId="13A9FF1E" w:rsidR="000912F1" w:rsidRPr="005653A5" w:rsidRDefault="000912F1" w:rsidP="000912F1">
            <w:pPr>
              <w:spacing w:line="360" w:lineRule="auto"/>
              <w:rPr>
                <w:rFonts w:cs="Times New Roman"/>
                <w:lang w:val="fr-FR"/>
              </w:rPr>
            </w:pPr>
            <w:r>
              <w:rPr>
                <w:rFonts w:cs="Times New Roman"/>
                <w:lang w:val="fr-FR"/>
              </w:rPr>
              <w:t>SOP</w:t>
            </w:r>
          </w:p>
        </w:tc>
        <w:tc>
          <w:tcPr>
            <w:tcW w:w="7291" w:type="dxa"/>
          </w:tcPr>
          <w:p w14:paraId="09441D0E" w14:textId="3317B7CE" w:rsidR="000912F1" w:rsidRDefault="000912F1" w:rsidP="000912F1">
            <w:pPr>
              <w:spacing w:line="360" w:lineRule="auto"/>
              <w:rPr>
                <w:rFonts w:cs="Times New Roman"/>
                <w:lang w:val="fr-FR"/>
              </w:rPr>
            </w:pPr>
            <w:r>
              <w:rPr>
                <w:rFonts w:cs="Times New Roman"/>
                <w:lang w:val="fr-FR"/>
              </w:rPr>
              <w:t>Standard Operating Procedure</w:t>
            </w:r>
          </w:p>
        </w:tc>
      </w:tr>
      <w:tr w:rsidR="000912F1" w:rsidRPr="005653A5" w14:paraId="66C0BDBA" w14:textId="77777777" w:rsidTr="008439E3">
        <w:tc>
          <w:tcPr>
            <w:tcW w:w="1951" w:type="dxa"/>
          </w:tcPr>
          <w:p w14:paraId="63CE8221" w14:textId="065CEC3C" w:rsidR="000912F1" w:rsidRPr="005653A5" w:rsidRDefault="000912F1" w:rsidP="000912F1">
            <w:pPr>
              <w:spacing w:line="360" w:lineRule="auto"/>
              <w:rPr>
                <w:rFonts w:cs="Times New Roman"/>
              </w:rPr>
            </w:pPr>
            <w:r>
              <w:rPr>
                <w:rFonts w:cs="Times New Roman"/>
              </w:rPr>
              <w:t>SR</w:t>
            </w:r>
          </w:p>
        </w:tc>
        <w:tc>
          <w:tcPr>
            <w:tcW w:w="7291" w:type="dxa"/>
          </w:tcPr>
          <w:p w14:paraId="04630B9A" w14:textId="54BD2404" w:rsidR="000912F1" w:rsidRPr="005653A5" w:rsidRDefault="000912F1" w:rsidP="000912F1">
            <w:pPr>
              <w:spacing w:line="360" w:lineRule="auto"/>
              <w:rPr>
                <w:rFonts w:cs="Times New Roman"/>
              </w:rPr>
            </w:pPr>
            <w:r>
              <w:rPr>
                <w:rFonts w:cs="Times New Roman"/>
              </w:rPr>
              <w:t>Systematic Review</w:t>
            </w:r>
          </w:p>
        </w:tc>
      </w:tr>
      <w:tr w:rsidR="000912F1" w:rsidRPr="005653A5" w14:paraId="23E467E1" w14:textId="77777777" w:rsidTr="008439E3">
        <w:tc>
          <w:tcPr>
            <w:tcW w:w="1951" w:type="dxa"/>
          </w:tcPr>
          <w:p w14:paraId="721A62B7" w14:textId="39029181" w:rsidR="000912F1" w:rsidRDefault="000912F1" w:rsidP="000912F1">
            <w:pPr>
              <w:spacing w:line="360" w:lineRule="auto"/>
              <w:rPr>
                <w:rFonts w:cs="Times New Roman"/>
              </w:rPr>
            </w:pPr>
            <w:r>
              <w:rPr>
                <w:rFonts w:cs="Times New Roman"/>
              </w:rPr>
              <w:t>T2DM</w:t>
            </w:r>
          </w:p>
        </w:tc>
        <w:tc>
          <w:tcPr>
            <w:tcW w:w="7291" w:type="dxa"/>
          </w:tcPr>
          <w:p w14:paraId="7949EBB5" w14:textId="3294E658" w:rsidR="000912F1" w:rsidRDefault="000912F1" w:rsidP="000912F1">
            <w:pPr>
              <w:spacing w:line="360" w:lineRule="auto"/>
              <w:rPr>
                <w:rFonts w:cs="Times New Roman"/>
              </w:rPr>
            </w:pPr>
            <w:r>
              <w:rPr>
                <w:rFonts w:cs="Times New Roman"/>
              </w:rPr>
              <w:t>Type II Diabetes Mellitus</w:t>
            </w:r>
          </w:p>
        </w:tc>
      </w:tr>
      <w:tr w:rsidR="003A073A" w:rsidRPr="005653A5" w14:paraId="1BDC1ACB" w14:textId="77777777" w:rsidTr="008439E3">
        <w:tc>
          <w:tcPr>
            <w:tcW w:w="1951" w:type="dxa"/>
          </w:tcPr>
          <w:p w14:paraId="2036DB31" w14:textId="4FC3F61A" w:rsidR="003A073A" w:rsidRDefault="003A073A" w:rsidP="000912F1">
            <w:pPr>
              <w:spacing w:line="360" w:lineRule="auto"/>
              <w:rPr>
                <w:rFonts w:cs="Times New Roman"/>
              </w:rPr>
            </w:pPr>
            <w:r>
              <w:rPr>
                <w:rFonts w:cs="Times New Roman"/>
              </w:rPr>
              <w:t>TSC</w:t>
            </w:r>
          </w:p>
        </w:tc>
        <w:tc>
          <w:tcPr>
            <w:tcW w:w="7291" w:type="dxa"/>
          </w:tcPr>
          <w:p w14:paraId="7383A19E" w14:textId="012876AE" w:rsidR="003A073A" w:rsidRDefault="003A073A" w:rsidP="000912F1">
            <w:pPr>
              <w:spacing w:line="360" w:lineRule="auto"/>
              <w:rPr>
                <w:rFonts w:cs="Times New Roman"/>
              </w:rPr>
            </w:pPr>
            <w:r>
              <w:rPr>
                <w:rFonts w:cs="Times New Roman"/>
              </w:rPr>
              <w:t>Trial Steering Committee</w:t>
            </w:r>
          </w:p>
        </w:tc>
      </w:tr>
      <w:tr w:rsidR="000912F1" w:rsidRPr="005653A5" w14:paraId="503FC201" w14:textId="77777777" w:rsidTr="008439E3">
        <w:tc>
          <w:tcPr>
            <w:tcW w:w="1951" w:type="dxa"/>
          </w:tcPr>
          <w:p w14:paraId="233809D3" w14:textId="155587B3" w:rsidR="000912F1" w:rsidRDefault="000912F1" w:rsidP="000912F1">
            <w:pPr>
              <w:spacing w:line="360" w:lineRule="auto"/>
              <w:rPr>
                <w:rFonts w:cs="Times New Roman"/>
              </w:rPr>
            </w:pPr>
            <w:r>
              <w:rPr>
                <w:rFonts w:cs="Times New Roman"/>
              </w:rPr>
              <w:t>TTO</w:t>
            </w:r>
          </w:p>
        </w:tc>
        <w:tc>
          <w:tcPr>
            <w:tcW w:w="7291" w:type="dxa"/>
          </w:tcPr>
          <w:p w14:paraId="37DDBA45" w14:textId="0D43ADAE" w:rsidR="000912F1" w:rsidRDefault="000912F1" w:rsidP="000912F1">
            <w:pPr>
              <w:spacing w:line="360" w:lineRule="auto"/>
              <w:rPr>
                <w:rFonts w:cs="Times New Roman"/>
              </w:rPr>
            </w:pPr>
            <w:r>
              <w:rPr>
                <w:rFonts w:cs="Times New Roman"/>
              </w:rPr>
              <w:t>Time Trade-off</w:t>
            </w:r>
          </w:p>
        </w:tc>
      </w:tr>
      <w:tr w:rsidR="003A073A" w:rsidRPr="005653A5" w14:paraId="6D3EEB6F" w14:textId="77777777" w:rsidTr="008439E3">
        <w:tc>
          <w:tcPr>
            <w:tcW w:w="1951" w:type="dxa"/>
          </w:tcPr>
          <w:p w14:paraId="3D68C2D5" w14:textId="0D5F3557" w:rsidR="003A073A" w:rsidRPr="005653A5" w:rsidRDefault="003A073A" w:rsidP="000912F1">
            <w:pPr>
              <w:spacing w:line="360" w:lineRule="auto"/>
              <w:rPr>
                <w:rFonts w:cs="Times New Roman"/>
              </w:rPr>
            </w:pPr>
            <w:r>
              <w:rPr>
                <w:rFonts w:cs="Times New Roman"/>
              </w:rPr>
              <w:t>VAS</w:t>
            </w:r>
          </w:p>
        </w:tc>
        <w:tc>
          <w:tcPr>
            <w:tcW w:w="7291" w:type="dxa"/>
          </w:tcPr>
          <w:p w14:paraId="77074715" w14:textId="44D42397" w:rsidR="003A073A" w:rsidRPr="005653A5" w:rsidRDefault="003A073A">
            <w:pPr>
              <w:spacing w:line="360" w:lineRule="auto"/>
              <w:rPr>
                <w:rFonts w:cs="Times New Roman"/>
              </w:rPr>
            </w:pPr>
            <w:r>
              <w:rPr>
                <w:rFonts w:cs="Times New Roman"/>
              </w:rPr>
              <w:t>Visual Analogue Scale</w:t>
            </w:r>
          </w:p>
        </w:tc>
      </w:tr>
      <w:tr w:rsidR="000912F1" w:rsidRPr="005653A5" w14:paraId="4466F353" w14:textId="77777777" w:rsidTr="008439E3">
        <w:tc>
          <w:tcPr>
            <w:tcW w:w="1951" w:type="dxa"/>
          </w:tcPr>
          <w:p w14:paraId="74A78A60" w14:textId="77777777" w:rsidR="000912F1" w:rsidRPr="005653A5" w:rsidRDefault="000912F1" w:rsidP="000912F1">
            <w:pPr>
              <w:spacing w:line="360" w:lineRule="auto"/>
              <w:rPr>
                <w:rFonts w:cs="Times New Roman"/>
                <w:b/>
              </w:rPr>
            </w:pPr>
            <w:r w:rsidRPr="005653A5">
              <w:rPr>
                <w:rFonts w:cs="Times New Roman"/>
              </w:rPr>
              <w:t>WHO</w:t>
            </w:r>
          </w:p>
        </w:tc>
        <w:tc>
          <w:tcPr>
            <w:tcW w:w="7291" w:type="dxa"/>
          </w:tcPr>
          <w:p w14:paraId="5A748D8B" w14:textId="02924010" w:rsidR="000912F1" w:rsidRPr="00230360" w:rsidRDefault="000912F1" w:rsidP="000912F1">
            <w:pPr>
              <w:spacing w:line="360" w:lineRule="auto"/>
              <w:rPr>
                <w:rFonts w:cs="Times New Roman"/>
              </w:rPr>
            </w:pPr>
            <w:r w:rsidRPr="005653A5">
              <w:rPr>
                <w:rFonts w:cs="Times New Roman"/>
              </w:rPr>
              <w:t>World Health Organisation</w:t>
            </w:r>
          </w:p>
        </w:tc>
      </w:tr>
      <w:tr w:rsidR="003A073A" w:rsidRPr="005653A5" w14:paraId="1A0CDEC7" w14:textId="77777777" w:rsidTr="008439E3">
        <w:tc>
          <w:tcPr>
            <w:tcW w:w="1951" w:type="dxa"/>
          </w:tcPr>
          <w:p w14:paraId="0C6B0F7D" w14:textId="4E68F9E1" w:rsidR="003A073A" w:rsidRPr="005653A5" w:rsidRDefault="003A073A" w:rsidP="000912F1">
            <w:pPr>
              <w:spacing w:line="360" w:lineRule="auto"/>
              <w:rPr>
                <w:rFonts w:cs="Times New Roman"/>
              </w:rPr>
            </w:pPr>
            <w:r>
              <w:rPr>
                <w:rFonts w:cs="Times New Roman"/>
              </w:rPr>
              <w:t>WS</w:t>
            </w:r>
          </w:p>
        </w:tc>
        <w:tc>
          <w:tcPr>
            <w:tcW w:w="7291" w:type="dxa"/>
          </w:tcPr>
          <w:p w14:paraId="023DDB25" w14:textId="2C471950" w:rsidR="003A073A" w:rsidRPr="005653A5" w:rsidRDefault="003A073A" w:rsidP="000912F1">
            <w:pPr>
              <w:spacing w:line="360" w:lineRule="auto"/>
              <w:rPr>
                <w:rFonts w:cs="Times New Roman"/>
              </w:rPr>
            </w:pPr>
            <w:r>
              <w:rPr>
                <w:rFonts w:cs="Times New Roman"/>
              </w:rPr>
              <w:t>Weight Status</w:t>
            </w:r>
          </w:p>
        </w:tc>
      </w:tr>
      <w:tr w:rsidR="000912F1" w:rsidRPr="005653A5" w14:paraId="547F10B9" w14:textId="77777777" w:rsidTr="008439E3">
        <w:tc>
          <w:tcPr>
            <w:tcW w:w="1951" w:type="dxa"/>
          </w:tcPr>
          <w:p w14:paraId="3C918B39" w14:textId="77777777" w:rsidR="000912F1" w:rsidRPr="005653A5" w:rsidRDefault="000912F1" w:rsidP="000912F1">
            <w:pPr>
              <w:spacing w:line="360" w:lineRule="auto"/>
              <w:rPr>
                <w:rFonts w:cs="Times New Roman"/>
              </w:rPr>
            </w:pPr>
          </w:p>
        </w:tc>
        <w:tc>
          <w:tcPr>
            <w:tcW w:w="7291" w:type="dxa"/>
          </w:tcPr>
          <w:p w14:paraId="3696DBE7" w14:textId="77777777" w:rsidR="000912F1" w:rsidRPr="005653A5" w:rsidRDefault="000912F1" w:rsidP="000912F1">
            <w:pPr>
              <w:spacing w:line="360" w:lineRule="auto"/>
              <w:rPr>
                <w:rFonts w:cs="Times New Roman"/>
              </w:rPr>
            </w:pPr>
          </w:p>
        </w:tc>
      </w:tr>
    </w:tbl>
    <w:p w14:paraId="2E4A25BC" w14:textId="77777777" w:rsidR="004E1735" w:rsidRPr="00AB652F" w:rsidRDefault="004E1735" w:rsidP="00C82499">
      <w:pPr>
        <w:spacing w:line="360" w:lineRule="auto"/>
      </w:pPr>
      <w:bookmarkStart w:id="206" w:name="_Toc466638270"/>
      <w:bookmarkStart w:id="207" w:name="_Toc466638591"/>
      <w:bookmarkStart w:id="208" w:name="_Toc466639014"/>
      <w:bookmarkStart w:id="209" w:name="_Toc466639557"/>
      <w:bookmarkStart w:id="210" w:name="_Toc466710037"/>
      <w:bookmarkStart w:id="211" w:name="_Toc466711385"/>
      <w:bookmarkStart w:id="212" w:name="_Toc466712044"/>
      <w:r w:rsidRPr="00833B3F">
        <w:rPr>
          <w:b/>
        </w:rPr>
        <w:lastRenderedPageBreak/>
        <w:t>Plain English Summary</w:t>
      </w:r>
      <w:bookmarkEnd w:id="206"/>
      <w:bookmarkEnd w:id="207"/>
      <w:bookmarkEnd w:id="208"/>
      <w:bookmarkEnd w:id="209"/>
      <w:bookmarkEnd w:id="210"/>
      <w:bookmarkEnd w:id="211"/>
      <w:bookmarkEnd w:id="212"/>
    </w:p>
    <w:p w14:paraId="7F2D451C" w14:textId="2AF92966" w:rsidR="001A2575" w:rsidRPr="00D53E59" w:rsidRDefault="001A2575" w:rsidP="001A2575">
      <w:pPr>
        <w:autoSpaceDE w:val="0"/>
        <w:autoSpaceDN w:val="0"/>
        <w:spacing w:after="68" w:line="360" w:lineRule="auto"/>
        <w:rPr>
          <w:rFonts w:ascii="Calibri" w:eastAsia="Times New Roman" w:hAnsi="Calibri" w:cs="Times New Roman"/>
          <w:color w:val="000000"/>
        </w:rPr>
      </w:pPr>
      <w:r>
        <w:rPr>
          <w:rFonts w:ascii="Calibri" w:eastAsia="Times New Roman" w:hAnsi="Calibri" w:cs="Times New Roman"/>
          <w:color w:val="000000"/>
        </w:rPr>
        <w:t xml:space="preserve">Childhood obesity is an important health issue. </w:t>
      </w:r>
      <w:r w:rsidRPr="00D53E59">
        <w:rPr>
          <w:rFonts w:ascii="Calibri" w:eastAsia="Times New Roman" w:hAnsi="Calibri" w:cs="Times New Roman"/>
          <w:color w:val="000000"/>
        </w:rPr>
        <w:t xml:space="preserve">Working with teachers, families and children we have </w:t>
      </w:r>
      <w:r>
        <w:rPr>
          <w:rFonts w:ascii="Calibri" w:eastAsia="Times New Roman" w:hAnsi="Calibri" w:cs="Times New Roman"/>
          <w:color w:val="000000"/>
        </w:rPr>
        <w:t xml:space="preserve">the Healthy Lifestyles Programme (HeLP) </w:t>
      </w:r>
      <w:r w:rsidRPr="00D53E59">
        <w:rPr>
          <w:rFonts w:ascii="Calibri" w:eastAsia="Times New Roman" w:hAnsi="Calibri" w:cs="Times New Roman"/>
          <w:color w:val="000000"/>
        </w:rPr>
        <w:t xml:space="preserve">which aims to engage and support children and </w:t>
      </w:r>
      <w:r>
        <w:rPr>
          <w:rFonts w:ascii="Calibri" w:eastAsia="Times New Roman" w:hAnsi="Calibri" w:cs="Times New Roman"/>
          <w:color w:val="000000"/>
        </w:rPr>
        <w:t>families</w:t>
      </w:r>
      <w:r w:rsidRPr="00D53E59">
        <w:rPr>
          <w:rFonts w:ascii="Calibri" w:eastAsia="Times New Roman" w:hAnsi="Calibri" w:cs="Times New Roman"/>
          <w:color w:val="000000"/>
        </w:rPr>
        <w:t xml:space="preserve"> </w:t>
      </w:r>
      <w:r>
        <w:rPr>
          <w:rFonts w:ascii="Calibri" w:eastAsia="Times New Roman" w:hAnsi="Calibri" w:cs="Times New Roman"/>
          <w:color w:val="000000"/>
        </w:rPr>
        <w:t>to</w:t>
      </w:r>
      <w:r w:rsidRPr="00D53E59">
        <w:rPr>
          <w:rFonts w:ascii="Calibri" w:eastAsia="Times New Roman" w:hAnsi="Calibri" w:cs="Times New Roman"/>
          <w:color w:val="000000"/>
        </w:rPr>
        <w:t xml:space="preserve"> design a </w:t>
      </w:r>
      <w:r>
        <w:rPr>
          <w:rFonts w:ascii="Calibri" w:eastAsia="Times New Roman" w:hAnsi="Calibri" w:cs="Times New Roman"/>
          <w:color w:val="000000"/>
        </w:rPr>
        <w:t>study</w:t>
      </w:r>
      <w:r w:rsidRPr="00D53E59">
        <w:rPr>
          <w:rFonts w:ascii="Calibri" w:eastAsia="Times New Roman" w:hAnsi="Calibri" w:cs="Times New Roman"/>
          <w:color w:val="000000"/>
        </w:rPr>
        <w:t xml:space="preserve"> to understand whether </w:t>
      </w:r>
      <w:r>
        <w:rPr>
          <w:rFonts w:ascii="Calibri" w:eastAsia="Times New Roman" w:hAnsi="Calibri" w:cs="Times New Roman"/>
          <w:color w:val="000000"/>
        </w:rPr>
        <w:t>HeLP</w:t>
      </w:r>
      <w:r w:rsidRPr="00D53E59">
        <w:rPr>
          <w:rFonts w:ascii="Calibri" w:eastAsia="Times New Roman" w:hAnsi="Calibri" w:cs="Times New Roman"/>
          <w:color w:val="000000"/>
        </w:rPr>
        <w:t xml:space="preserve"> can prevent 9-10 year olds from becoming overweight or obese. The </w:t>
      </w:r>
      <w:r>
        <w:rPr>
          <w:rFonts w:ascii="Calibri" w:eastAsia="Times New Roman" w:hAnsi="Calibri" w:cs="Times New Roman"/>
          <w:color w:val="000000"/>
        </w:rPr>
        <w:t>study</w:t>
      </w:r>
      <w:r w:rsidRPr="00D53E59">
        <w:rPr>
          <w:rFonts w:ascii="Calibri" w:eastAsia="Times New Roman" w:hAnsi="Calibri" w:cs="Times New Roman"/>
          <w:color w:val="000000"/>
        </w:rPr>
        <w:t xml:space="preserve"> involved 32 </w:t>
      </w:r>
      <w:r>
        <w:rPr>
          <w:rFonts w:ascii="Calibri" w:eastAsia="Times New Roman" w:hAnsi="Calibri" w:cs="Times New Roman"/>
          <w:color w:val="000000"/>
        </w:rPr>
        <w:t xml:space="preserve">primary </w:t>
      </w:r>
      <w:r w:rsidRPr="00D53E59">
        <w:rPr>
          <w:rFonts w:ascii="Calibri" w:eastAsia="Times New Roman" w:hAnsi="Calibri" w:cs="Times New Roman"/>
          <w:color w:val="000000"/>
        </w:rPr>
        <w:t xml:space="preserve">schools from Devon, half of which were randomly selected to receive </w:t>
      </w:r>
      <w:r>
        <w:rPr>
          <w:rFonts w:ascii="Calibri" w:eastAsia="Times New Roman" w:hAnsi="Calibri" w:cs="Times New Roman"/>
          <w:color w:val="000000"/>
        </w:rPr>
        <w:t xml:space="preserve">the </w:t>
      </w:r>
      <w:r w:rsidR="00E34A3B">
        <w:rPr>
          <w:rFonts w:ascii="Calibri" w:eastAsia="Times New Roman" w:hAnsi="Calibri" w:cs="Times New Roman"/>
          <w:color w:val="000000"/>
        </w:rPr>
        <w:t>p</w:t>
      </w:r>
      <w:r>
        <w:rPr>
          <w:rFonts w:ascii="Calibri" w:eastAsia="Times New Roman" w:hAnsi="Calibri" w:cs="Times New Roman"/>
          <w:color w:val="000000"/>
        </w:rPr>
        <w:t>rogramme</w:t>
      </w:r>
      <w:r w:rsidRPr="00D53E59">
        <w:rPr>
          <w:rFonts w:ascii="Calibri" w:eastAsia="Times New Roman" w:hAnsi="Calibri" w:cs="Times New Roman"/>
          <w:color w:val="000000"/>
        </w:rPr>
        <w:t xml:space="preserve"> whilst the other half con</w:t>
      </w:r>
      <w:r>
        <w:rPr>
          <w:rFonts w:ascii="Calibri" w:eastAsia="Times New Roman" w:hAnsi="Calibri" w:cs="Times New Roman"/>
          <w:color w:val="000000"/>
        </w:rPr>
        <w:t>tinued as usual</w:t>
      </w:r>
      <w:r w:rsidRPr="00D53E59">
        <w:rPr>
          <w:rFonts w:ascii="Calibri" w:eastAsia="Times New Roman" w:hAnsi="Calibri" w:cs="Times New Roman"/>
          <w:color w:val="000000"/>
        </w:rPr>
        <w:t xml:space="preserve">. We measured </w:t>
      </w:r>
      <w:r>
        <w:rPr>
          <w:rFonts w:ascii="Calibri" w:eastAsia="Times New Roman" w:hAnsi="Calibri" w:cs="Times New Roman"/>
          <w:color w:val="000000"/>
        </w:rPr>
        <w:t>children’s</w:t>
      </w:r>
      <w:r w:rsidRPr="00D53E59">
        <w:rPr>
          <w:rFonts w:ascii="Calibri" w:eastAsia="Times New Roman" w:hAnsi="Calibri" w:cs="Times New Roman"/>
          <w:color w:val="000000"/>
        </w:rPr>
        <w:t xml:space="preserve"> weight and height, waist circumference and </w:t>
      </w:r>
      <w:r>
        <w:rPr>
          <w:rFonts w:ascii="Calibri" w:eastAsia="Times New Roman" w:hAnsi="Calibri" w:cs="Times New Roman"/>
          <w:color w:val="000000"/>
        </w:rPr>
        <w:t xml:space="preserve">percentage </w:t>
      </w:r>
      <w:r w:rsidRPr="00D53E59">
        <w:rPr>
          <w:rFonts w:ascii="Calibri" w:eastAsia="Times New Roman" w:hAnsi="Calibri" w:cs="Times New Roman"/>
          <w:color w:val="000000"/>
        </w:rPr>
        <w:t xml:space="preserve">body fat; how active they were; and used questionnaires to look at the types of food and drink they ate. We also asked what they understood about a healthy lifestyle and </w:t>
      </w:r>
      <w:r>
        <w:rPr>
          <w:rFonts w:ascii="Calibri" w:eastAsia="Times New Roman" w:hAnsi="Calibri" w:cs="Times New Roman"/>
          <w:color w:val="000000"/>
        </w:rPr>
        <w:t>how</w:t>
      </w:r>
      <w:r w:rsidRPr="00D53E59">
        <w:rPr>
          <w:rFonts w:ascii="Calibri" w:eastAsia="Times New Roman" w:hAnsi="Calibri" w:cs="Times New Roman"/>
          <w:color w:val="000000"/>
        </w:rPr>
        <w:t xml:space="preserve"> they felt about it. </w:t>
      </w:r>
    </w:p>
    <w:p w14:paraId="06C14E9E" w14:textId="77777777" w:rsidR="001A2575" w:rsidRPr="00D53E59" w:rsidRDefault="001A2575" w:rsidP="001A2575">
      <w:pPr>
        <w:autoSpaceDE w:val="0"/>
        <w:autoSpaceDN w:val="0"/>
        <w:spacing w:after="68" w:line="360" w:lineRule="auto"/>
        <w:rPr>
          <w:rFonts w:ascii="Calibri" w:eastAsia="Times New Roman" w:hAnsi="Calibri" w:cs="Times New Roman"/>
          <w:color w:val="000000"/>
        </w:rPr>
      </w:pPr>
      <w:r w:rsidRPr="00D53E59">
        <w:rPr>
          <w:rFonts w:ascii="Calibri" w:eastAsia="Times New Roman" w:hAnsi="Calibri" w:cs="Times New Roman"/>
          <w:color w:val="000000"/>
        </w:rPr>
        <w:t xml:space="preserve">The </w:t>
      </w:r>
      <w:r>
        <w:rPr>
          <w:rFonts w:ascii="Calibri" w:eastAsia="Times New Roman" w:hAnsi="Calibri" w:cs="Times New Roman"/>
          <w:color w:val="000000"/>
        </w:rPr>
        <w:t>study</w:t>
      </w:r>
      <w:r w:rsidRPr="00D53E59">
        <w:rPr>
          <w:rFonts w:ascii="Calibri" w:eastAsia="Times New Roman" w:hAnsi="Calibri" w:cs="Times New Roman"/>
          <w:color w:val="000000"/>
        </w:rPr>
        <w:t xml:space="preserve"> began </w:t>
      </w:r>
      <w:r>
        <w:rPr>
          <w:rFonts w:ascii="Calibri" w:eastAsia="Times New Roman" w:hAnsi="Calibri" w:cs="Times New Roman"/>
          <w:color w:val="000000"/>
        </w:rPr>
        <w:t>when the children were 9-10 years old, in Year 5, and HeLP was delivered in the Spring and S</w:t>
      </w:r>
      <w:r w:rsidRPr="00D53E59">
        <w:rPr>
          <w:rFonts w:ascii="Calibri" w:eastAsia="Times New Roman" w:hAnsi="Calibri" w:cs="Times New Roman"/>
          <w:color w:val="000000"/>
        </w:rPr>
        <w:t xml:space="preserve">ummer term of Year 5 and the </w:t>
      </w:r>
      <w:r>
        <w:rPr>
          <w:rFonts w:ascii="Calibri" w:eastAsia="Times New Roman" w:hAnsi="Calibri" w:cs="Times New Roman"/>
          <w:color w:val="000000"/>
        </w:rPr>
        <w:t>A</w:t>
      </w:r>
      <w:r w:rsidRPr="00D53E59">
        <w:rPr>
          <w:rFonts w:ascii="Calibri" w:eastAsia="Times New Roman" w:hAnsi="Calibri" w:cs="Times New Roman"/>
          <w:color w:val="000000"/>
        </w:rPr>
        <w:t>utumn term of Year 6. Children had their final set of measurements taken when they were at secondary school</w:t>
      </w:r>
      <w:r>
        <w:rPr>
          <w:rFonts w:ascii="Calibri" w:eastAsia="Times New Roman" w:hAnsi="Calibri" w:cs="Times New Roman"/>
          <w:color w:val="000000"/>
        </w:rPr>
        <w:t xml:space="preserve"> (aged 11-12 years)</w:t>
      </w:r>
      <w:r w:rsidRPr="00D53E59">
        <w:rPr>
          <w:rFonts w:ascii="Calibri" w:eastAsia="Times New Roman" w:hAnsi="Calibri" w:cs="Times New Roman"/>
          <w:color w:val="000000"/>
        </w:rPr>
        <w:t xml:space="preserve">. We were able to follow up 94% of children for their final set of measurements; an exceptionally high follow up rate which we think is due to schools, children and families helping us design the trial.  </w:t>
      </w:r>
    </w:p>
    <w:p w14:paraId="40F1B839" w14:textId="33B600ED" w:rsidR="001A2575" w:rsidRPr="00D53E59" w:rsidRDefault="001A2575" w:rsidP="001A2575">
      <w:pPr>
        <w:autoSpaceDE w:val="0"/>
        <w:autoSpaceDN w:val="0"/>
        <w:spacing w:after="68" w:line="360" w:lineRule="auto"/>
        <w:rPr>
          <w:rFonts w:ascii="Calibri" w:eastAsia="Times New Roman" w:hAnsi="Calibri" w:cs="Times New Roman"/>
          <w:color w:val="000000"/>
        </w:rPr>
      </w:pPr>
      <w:r>
        <w:rPr>
          <w:rFonts w:ascii="Calibri" w:eastAsia="Times New Roman" w:hAnsi="Calibri" w:cs="Times New Roman"/>
          <w:color w:val="000000"/>
        </w:rPr>
        <w:t xml:space="preserve">Despite engaging children, </w:t>
      </w:r>
      <w:r w:rsidRPr="00D53E59">
        <w:rPr>
          <w:rFonts w:ascii="Calibri" w:eastAsia="Times New Roman" w:hAnsi="Calibri" w:cs="Times New Roman"/>
          <w:color w:val="000000"/>
        </w:rPr>
        <w:t>families and teachers</w:t>
      </w:r>
      <w:r>
        <w:rPr>
          <w:rFonts w:ascii="Calibri" w:eastAsia="Times New Roman" w:hAnsi="Calibri" w:cs="Times New Roman"/>
          <w:color w:val="000000"/>
        </w:rPr>
        <w:t xml:space="preserve"> with HeLP</w:t>
      </w:r>
      <w:r w:rsidRPr="00D53E59">
        <w:rPr>
          <w:rFonts w:ascii="Calibri" w:eastAsia="Times New Roman" w:hAnsi="Calibri" w:cs="Times New Roman"/>
          <w:color w:val="000000"/>
        </w:rPr>
        <w:t xml:space="preserve">, there was no difference in weight status between children who received </w:t>
      </w:r>
      <w:r>
        <w:rPr>
          <w:rFonts w:ascii="Calibri" w:eastAsia="Times New Roman" w:hAnsi="Calibri" w:cs="Times New Roman"/>
          <w:color w:val="000000"/>
        </w:rPr>
        <w:t xml:space="preserve">the </w:t>
      </w:r>
      <w:r w:rsidR="00E34A3B">
        <w:rPr>
          <w:rFonts w:ascii="Calibri" w:eastAsia="Times New Roman" w:hAnsi="Calibri" w:cs="Times New Roman"/>
          <w:color w:val="000000"/>
        </w:rPr>
        <w:t>p</w:t>
      </w:r>
      <w:r>
        <w:rPr>
          <w:rFonts w:ascii="Calibri" w:eastAsia="Times New Roman" w:hAnsi="Calibri" w:cs="Times New Roman"/>
          <w:color w:val="000000"/>
        </w:rPr>
        <w:t>rogramme</w:t>
      </w:r>
      <w:r w:rsidRPr="00D53E59">
        <w:rPr>
          <w:rFonts w:ascii="Calibri" w:eastAsia="Times New Roman" w:hAnsi="Calibri" w:cs="Times New Roman"/>
          <w:color w:val="000000"/>
        </w:rPr>
        <w:t xml:space="preserve"> and those who had</w:t>
      </w:r>
      <w:r>
        <w:rPr>
          <w:rFonts w:ascii="Calibri" w:eastAsia="Times New Roman" w:hAnsi="Calibri" w:cs="Times New Roman"/>
          <w:color w:val="000000"/>
        </w:rPr>
        <w:t xml:space="preserve"> </w:t>
      </w:r>
      <w:r w:rsidRPr="00D53E59">
        <w:rPr>
          <w:rFonts w:ascii="Calibri" w:eastAsia="Times New Roman" w:hAnsi="Calibri" w:cs="Times New Roman"/>
          <w:color w:val="000000"/>
        </w:rPr>
        <w:t>n</w:t>
      </w:r>
      <w:r>
        <w:rPr>
          <w:rFonts w:ascii="Calibri" w:eastAsia="Times New Roman" w:hAnsi="Calibri" w:cs="Times New Roman"/>
          <w:color w:val="000000"/>
        </w:rPr>
        <w:t>o</w:t>
      </w:r>
      <w:r w:rsidRPr="00D53E59">
        <w:rPr>
          <w:rFonts w:ascii="Calibri" w:eastAsia="Times New Roman" w:hAnsi="Calibri" w:cs="Times New Roman"/>
          <w:color w:val="000000"/>
        </w:rPr>
        <w:t xml:space="preserve">t. There was no difference in the amount of physical activity children did or the amount of time </w:t>
      </w:r>
      <w:r>
        <w:rPr>
          <w:rFonts w:ascii="Calibri" w:eastAsia="Times New Roman" w:hAnsi="Calibri" w:cs="Times New Roman"/>
          <w:color w:val="000000"/>
        </w:rPr>
        <w:t xml:space="preserve">they </w:t>
      </w:r>
      <w:r w:rsidRPr="00D53E59">
        <w:rPr>
          <w:rFonts w:ascii="Calibri" w:eastAsia="Times New Roman" w:hAnsi="Calibri" w:cs="Times New Roman"/>
          <w:color w:val="000000"/>
        </w:rPr>
        <w:t xml:space="preserve">spent </w:t>
      </w:r>
      <w:r>
        <w:rPr>
          <w:rFonts w:ascii="Calibri" w:eastAsia="Times New Roman" w:hAnsi="Calibri" w:cs="Times New Roman"/>
          <w:color w:val="000000"/>
        </w:rPr>
        <w:t>not being active</w:t>
      </w:r>
      <w:r w:rsidRPr="00D53E59">
        <w:rPr>
          <w:rFonts w:ascii="Calibri" w:eastAsia="Times New Roman" w:hAnsi="Calibri" w:cs="Times New Roman"/>
          <w:color w:val="000000"/>
        </w:rPr>
        <w:t xml:space="preserve">. We </w:t>
      </w:r>
      <w:r>
        <w:rPr>
          <w:rFonts w:ascii="Calibri" w:eastAsia="Times New Roman" w:hAnsi="Calibri" w:cs="Times New Roman"/>
          <w:color w:val="000000"/>
        </w:rPr>
        <w:t>saw</w:t>
      </w:r>
      <w:r w:rsidRPr="00D53E59">
        <w:rPr>
          <w:rFonts w:ascii="Calibri" w:eastAsia="Times New Roman" w:hAnsi="Calibri" w:cs="Times New Roman"/>
          <w:color w:val="000000"/>
        </w:rPr>
        <w:t xml:space="preserve"> a positive difference in </w:t>
      </w:r>
      <w:r>
        <w:rPr>
          <w:rFonts w:ascii="Calibri" w:eastAsia="Times New Roman" w:hAnsi="Calibri" w:cs="Times New Roman"/>
          <w:color w:val="000000"/>
        </w:rPr>
        <w:t xml:space="preserve">some </w:t>
      </w:r>
      <w:r w:rsidRPr="00D53E59">
        <w:rPr>
          <w:rFonts w:ascii="Calibri" w:eastAsia="Times New Roman" w:hAnsi="Calibri" w:cs="Times New Roman"/>
          <w:color w:val="000000"/>
        </w:rPr>
        <w:t xml:space="preserve">snacking behaviours, with children who had taken part in </w:t>
      </w:r>
      <w:r>
        <w:rPr>
          <w:rFonts w:ascii="Calibri" w:eastAsia="Times New Roman" w:hAnsi="Calibri" w:cs="Times New Roman"/>
          <w:color w:val="000000"/>
        </w:rPr>
        <w:t>HeLP</w:t>
      </w:r>
      <w:r w:rsidRPr="00D53E59">
        <w:rPr>
          <w:rFonts w:ascii="Calibri" w:eastAsia="Times New Roman" w:hAnsi="Calibri" w:cs="Times New Roman"/>
          <w:color w:val="000000"/>
        </w:rPr>
        <w:t xml:space="preserve"> eating fewer unhealthy snacks and having less unhealthy foods generally. </w:t>
      </w:r>
    </w:p>
    <w:p w14:paraId="14353EB9" w14:textId="684E59E3" w:rsidR="001A2575" w:rsidRPr="00D53E59" w:rsidRDefault="001A2575" w:rsidP="001A2575">
      <w:pPr>
        <w:spacing w:after="0" w:line="360" w:lineRule="auto"/>
        <w:rPr>
          <w:rFonts w:ascii="Calibri" w:eastAsia="Times New Roman" w:hAnsi="Calibri" w:cs="Times New Roman"/>
          <w:lang w:eastAsia="en-US"/>
        </w:rPr>
      </w:pPr>
      <w:r>
        <w:rPr>
          <w:rFonts w:ascii="Calibri" w:eastAsia="Times New Roman" w:hAnsi="Calibri" w:cs="Times New Roman"/>
          <w:lang w:eastAsia="en-US"/>
        </w:rPr>
        <w:t>Given</w:t>
      </w:r>
      <w:r w:rsidRPr="00D53E59">
        <w:rPr>
          <w:rFonts w:ascii="Calibri" w:eastAsia="Times New Roman" w:hAnsi="Calibri" w:cs="Times New Roman"/>
          <w:lang w:eastAsia="en-US"/>
        </w:rPr>
        <w:t xml:space="preserve"> </w:t>
      </w:r>
      <w:r>
        <w:rPr>
          <w:rFonts w:ascii="Calibri" w:eastAsia="Times New Roman" w:hAnsi="Calibri" w:cs="Times New Roman"/>
          <w:lang w:eastAsia="en-US"/>
        </w:rPr>
        <w:t xml:space="preserve">the </w:t>
      </w:r>
      <w:r w:rsidR="00E34A3B">
        <w:rPr>
          <w:rFonts w:ascii="Calibri" w:eastAsia="Times New Roman" w:hAnsi="Calibri" w:cs="Times New Roman"/>
          <w:lang w:eastAsia="en-US"/>
        </w:rPr>
        <w:t>p</w:t>
      </w:r>
      <w:r>
        <w:rPr>
          <w:rFonts w:ascii="Calibri" w:eastAsia="Times New Roman" w:hAnsi="Calibri" w:cs="Times New Roman"/>
          <w:lang w:eastAsia="en-US"/>
        </w:rPr>
        <w:t>rogramme</w:t>
      </w:r>
      <w:r w:rsidRPr="00D53E59">
        <w:rPr>
          <w:rFonts w:ascii="Calibri" w:eastAsia="Times New Roman" w:hAnsi="Calibri" w:cs="Times New Roman"/>
          <w:lang w:eastAsia="en-US"/>
        </w:rPr>
        <w:t xml:space="preserve"> failed to achieve sufficient change in behaviour to prevent overweight or obesity</w:t>
      </w:r>
      <w:r>
        <w:rPr>
          <w:rFonts w:ascii="Calibri" w:eastAsia="Times New Roman" w:hAnsi="Calibri" w:cs="Times New Roman"/>
          <w:lang w:eastAsia="en-US"/>
        </w:rPr>
        <w:t xml:space="preserve"> we think new approaches are needed to</w:t>
      </w:r>
      <w:r w:rsidRPr="00D53E59">
        <w:rPr>
          <w:rFonts w:ascii="Calibri" w:eastAsia="Times New Roman" w:hAnsi="Calibri" w:cs="Times New Roman"/>
          <w:lang w:eastAsia="en-US"/>
        </w:rPr>
        <w:t xml:space="preserve"> support families and children in making healthy lifestyle choices.</w:t>
      </w:r>
    </w:p>
    <w:p w14:paraId="70EB9295" w14:textId="083A87DB" w:rsidR="006C4289" w:rsidRPr="00FD34DF" w:rsidRDefault="006C4289" w:rsidP="00AB4D98">
      <w:pPr>
        <w:pStyle w:val="Heading1"/>
        <w:rPr>
          <w:sz w:val="28"/>
          <w:szCs w:val="28"/>
        </w:rPr>
      </w:pPr>
      <w:bookmarkStart w:id="213" w:name="_Toc466638271"/>
      <w:bookmarkStart w:id="214" w:name="_Toc466638592"/>
      <w:bookmarkStart w:id="215" w:name="_Toc466639015"/>
      <w:bookmarkStart w:id="216" w:name="_Toc466639558"/>
      <w:bookmarkStart w:id="217" w:name="_Toc466710038"/>
      <w:bookmarkStart w:id="218" w:name="_Toc466711386"/>
      <w:bookmarkStart w:id="219" w:name="_Toc466712045"/>
      <w:bookmarkStart w:id="220" w:name="_Toc475974331"/>
      <w:r w:rsidRPr="001B2FDE">
        <w:t>Scientific Summary</w:t>
      </w:r>
      <w:bookmarkEnd w:id="213"/>
      <w:bookmarkEnd w:id="214"/>
      <w:bookmarkEnd w:id="215"/>
      <w:bookmarkEnd w:id="216"/>
      <w:bookmarkEnd w:id="217"/>
      <w:bookmarkEnd w:id="218"/>
      <w:bookmarkEnd w:id="219"/>
      <w:bookmarkEnd w:id="183"/>
      <w:bookmarkEnd w:id="220"/>
    </w:p>
    <w:p w14:paraId="18636334" w14:textId="30CABFF9" w:rsidR="007D47F0" w:rsidRDefault="007D47F0" w:rsidP="006A379C">
      <w:pPr>
        <w:spacing w:after="0" w:line="360" w:lineRule="auto"/>
        <w:rPr>
          <w:rFonts w:ascii="Calibri" w:hAnsi="Calibri"/>
          <w:b/>
          <w:bCs/>
        </w:rPr>
      </w:pPr>
      <w:bookmarkStart w:id="221" w:name="_Toc466638272"/>
      <w:bookmarkStart w:id="222" w:name="_Toc466638593"/>
      <w:bookmarkStart w:id="223" w:name="_Toc466639016"/>
      <w:bookmarkStart w:id="224" w:name="_Toc466639559"/>
      <w:r>
        <w:rPr>
          <w:rFonts w:ascii="Calibri" w:hAnsi="Calibri"/>
          <w:b/>
          <w:bCs/>
        </w:rPr>
        <w:t>Background</w:t>
      </w:r>
      <w:bookmarkEnd w:id="221"/>
      <w:bookmarkEnd w:id="222"/>
      <w:bookmarkEnd w:id="223"/>
      <w:bookmarkEnd w:id="224"/>
    </w:p>
    <w:p w14:paraId="37E18C25" w14:textId="3622F318" w:rsidR="007D47F0" w:rsidRDefault="007D47F0" w:rsidP="006A379C">
      <w:pPr>
        <w:spacing w:after="0" w:line="360" w:lineRule="auto"/>
      </w:pPr>
      <w:r>
        <w:t>The Healthy Lifestyles Programme (HeLP) is a school-based intervention designed to prevent overweight and obesity in children. The in</w:t>
      </w:r>
      <w:r w:rsidR="002D6575">
        <w:t>tervention was developed using Intervention M</w:t>
      </w:r>
      <w:r>
        <w:t>apping (involving extensive stakeholder involvement) and was guided by the Information, Motivation, and Behavioural Skills model. The intervention</w:t>
      </w:r>
      <w:r w:rsidR="004E457C">
        <w:t xml:space="preserve"> has four phases and</w:t>
      </w:r>
      <w:r>
        <w:t xml:space="preserve"> runs over three school terms with 9-10 year old children. HeLP aims to engage children, parents and schools through a mixture of educational activities, drama, goal setting and reinforcement activities to help children to increase healthy behaviours and reduce the risk of overweight and obesity.  </w:t>
      </w:r>
    </w:p>
    <w:p w14:paraId="62CA4181" w14:textId="77777777" w:rsidR="007D47F0" w:rsidRDefault="007D47F0" w:rsidP="006A379C">
      <w:pPr>
        <w:spacing w:after="0" w:line="360" w:lineRule="auto"/>
        <w:rPr>
          <w:rFonts w:ascii="Calibri" w:hAnsi="Calibri"/>
          <w:b/>
          <w:bCs/>
        </w:rPr>
      </w:pPr>
      <w:bookmarkStart w:id="225" w:name="_Toc466638273"/>
      <w:bookmarkStart w:id="226" w:name="_Toc466638594"/>
      <w:bookmarkStart w:id="227" w:name="_Toc466639017"/>
      <w:bookmarkStart w:id="228" w:name="_Toc466639560"/>
      <w:r>
        <w:rPr>
          <w:rFonts w:ascii="Calibri" w:hAnsi="Calibri"/>
          <w:b/>
          <w:bCs/>
        </w:rPr>
        <w:t>Objectives</w:t>
      </w:r>
      <w:bookmarkEnd w:id="225"/>
      <w:bookmarkEnd w:id="226"/>
      <w:bookmarkEnd w:id="227"/>
      <w:bookmarkEnd w:id="228"/>
    </w:p>
    <w:p w14:paraId="043FD872" w14:textId="5C6F28D4" w:rsidR="007D47F0" w:rsidRDefault="002E3323" w:rsidP="006A379C">
      <w:pPr>
        <w:spacing w:after="0" w:line="360" w:lineRule="auto"/>
        <w:rPr>
          <w:sz w:val="24"/>
          <w:szCs w:val="24"/>
        </w:rPr>
      </w:pPr>
      <w:r>
        <w:lastRenderedPageBreak/>
        <w:t>To</w:t>
      </w:r>
      <w:r w:rsidR="007D47F0">
        <w:t xml:space="preserve"> estimate the effectiveness and cost</w:t>
      </w:r>
      <w:r w:rsidR="00576BE5">
        <w:t xml:space="preserve"> </w:t>
      </w:r>
      <w:r w:rsidR="007D47F0">
        <w:t>effectiveness of the Healthy Lifestyles Programme (HeLP) in preventing overweight and obesity in children</w:t>
      </w:r>
      <w:r w:rsidR="007D47F0">
        <w:rPr>
          <w:sz w:val="24"/>
          <w:szCs w:val="24"/>
        </w:rPr>
        <w:t>.</w:t>
      </w:r>
    </w:p>
    <w:p w14:paraId="205F3414" w14:textId="77777777" w:rsidR="007D47F0" w:rsidRDefault="007D47F0" w:rsidP="006A379C">
      <w:pPr>
        <w:spacing w:after="0" w:line="360" w:lineRule="auto"/>
        <w:rPr>
          <w:rFonts w:ascii="Calibri" w:hAnsi="Calibri"/>
          <w:b/>
          <w:bCs/>
        </w:rPr>
      </w:pPr>
      <w:bookmarkStart w:id="229" w:name="_Toc431484149"/>
      <w:bookmarkStart w:id="230" w:name="_Toc466638274"/>
      <w:bookmarkStart w:id="231" w:name="_Toc466638595"/>
      <w:bookmarkStart w:id="232" w:name="_Toc466639018"/>
      <w:bookmarkStart w:id="233" w:name="_Toc466639561"/>
      <w:r>
        <w:rPr>
          <w:rFonts w:ascii="Calibri" w:hAnsi="Calibri"/>
          <w:b/>
          <w:bCs/>
        </w:rPr>
        <w:t>Specific objectives</w:t>
      </w:r>
      <w:bookmarkEnd w:id="229"/>
      <w:bookmarkEnd w:id="230"/>
      <w:bookmarkEnd w:id="231"/>
      <w:bookmarkEnd w:id="232"/>
      <w:bookmarkEnd w:id="233"/>
    </w:p>
    <w:p w14:paraId="7F5DB29C" w14:textId="77777777" w:rsidR="007D47F0" w:rsidRDefault="007D47F0" w:rsidP="006A379C">
      <w:pPr>
        <w:spacing w:after="0" w:line="360" w:lineRule="auto"/>
      </w:pPr>
      <w:r>
        <w:t>1. To assess the effectiveness of HeLP in children aged 9 to 10 years, by comparing between intervention and control schools:</w:t>
      </w:r>
    </w:p>
    <w:p w14:paraId="489A1896" w14:textId="77777777" w:rsidR="007D47F0" w:rsidRDefault="009D1C7F" w:rsidP="006A379C">
      <w:pPr>
        <w:spacing w:after="0" w:line="360" w:lineRule="auto"/>
      </w:pPr>
      <w:r>
        <w:t>BMI SDS</w:t>
      </w:r>
      <w:r w:rsidR="007D47F0">
        <w:t xml:space="preserve"> at 24 months (primary outcome)</w:t>
      </w:r>
    </w:p>
    <w:p w14:paraId="5AAE0D87" w14:textId="77777777" w:rsidR="007D47F0" w:rsidRDefault="009D1C7F" w:rsidP="006A379C">
      <w:pPr>
        <w:spacing w:after="0" w:line="360" w:lineRule="auto"/>
      </w:pPr>
      <w:r>
        <w:t>BMI SDS</w:t>
      </w:r>
      <w:r w:rsidR="007D47F0">
        <w:t xml:space="preserve"> at 18 months</w:t>
      </w:r>
    </w:p>
    <w:p w14:paraId="6249E87B" w14:textId="77777777" w:rsidR="007D47F0" w:rsidRDefault="007D47F0" w:rsidP="006A379C">
      <w:pPr>
        <w:spacing w:after="0" w:line="360" w:lineRule="auto"/>
      </w:pPr>
      <w:r>
        <w:t>Waist Circumference SDS at 18 and 24 months</w:t>
      </w:r>
    </w:p>
    <w:p w14:paraId="48689ADD" w14:textId="77777777" w:rsidR="007D47F0" w:rsidRDefault="007D47F0" w:rsidP="006A379C">
      <w:pPr>
        <w:spacing w:after="0" w:line="360" w:lineRule="auto"/>
      </w:pPr>
      <w:r>
        <w:t>Percentage Body Fat SDS at 18 and 24 months</w:t>
      </w:r>
    </w:p>
    <w:p w14:paraId="7009E480" w14:textId="77777777" w:rsidR="007D47F0" w:rsidRDefault="007D47F0" w:rsidP="006A379C">
      <w:pPr>
        <w:spacing w:after="0" w:line="360" w:lineRule="auto"/>
      </w:pPr>
      <w:r>
        <w:t>Proportion of children classified as underweight, overweight and obese at 18 and 24 months</w:t>
      </w:r>
    </w:p>
    <w:p w14:paraId="469008FF" w14:textId="64E2DB23" w:rsidR="007D47F0" w:rsidRDefault="007D47F0" w:rsidP="006A379C">
      <w:pPr>
        <w:spacing w:after="0" w:line="360" w:lineRule="auto"/>
      </w:pPr>
      <w:r>
        <w:t>Physical activity (time</w:t>
      </w:r>
      <w:r w:rsidR="00347F9B">
        <w:t>, average minutes per day,</w:t>
      </w:r>
      <w:r>
        <w:t xml:space="preserve"> spent in sedentary, light, moderate, moderate to vigorous</w:t>
      </w:r>
      <w:r w:rsidR="004E457C">
        <w:t xml:space="preserve">, vigorous physical activity and the average volume of physical activity in </w:t>
      </w:r>
      <w:r w:rsidR="004E457C" w:rsidRPr="0013487D">
        <w:t>milligravitional (</w:t>
      </w:r>
      <w:r w:rsidR="004E457C">
        <w:t>m</w:t>
      </w:r>
      <w:r w:rsidR="004E457C" w:rsidRPr="004E457C">
        <w:rPr>
          <w:i/>
        </w:rPr>
        <w:t>g</w:t>
      </w:r>
      <w:r w:rsidR="004E457C">
        <w:t>) units) at 18 months.</w:t>
      </w:r>
      <w:r>
        <w:t xml:space="preserve"> </w:t>
      </w:r>
    </w:p>
    <w:p w14:paraId="1EB5FA47" w14:textId="3845064D" w:rsidR="007D47F0" w:rsidRDefault="007D47F0" w:rsidP="006A379C">
      <w:pPr>
        <w:spacing w:after="0" w:line="360" w:lineRule="auto"/>
      </w:pPr>
      <w:r>
        <w:t xml:space="preserve">Food intake (number of </w:t>
      </w:r>
      <w:r w:rsidR="0099375E">
        <w:t>E</w:t>
      </w:r>
      <w:r>
        <w:t xml:space="preserve">nergy </w:t>
      </w:r>
      <w:r w:rsidR="0099375E">
        <w:t>D</w:t>
      </w:r>
      <w:r>
        <w:t xml:space="preserve">ense </w:t>
      </w:r>
      <w:r w:rsidR="0099375E">
        <w:t>S</w:t>
      </w:r>
      <w:r w:rsidR="002D6575">
        <w:t xml:space="preserve">nacks, </w:t>
      </w:r>
      <w:r w:rsidR="0099375E">
        <w:t>H</w:t>
      </w:r>
      <w:r>
        <w:t xml:space="preserve">ealthy </w:t>
      </w:r>
      <w:r w:rsidR="0099375E">
        <w:t>S</w:t>
      </w:r>
      <w:r w:rsidR="002D6575">
        <w:t xml:space="preserve">nacks, </w:t>
      </w:r>
      <w:r w:rsidR="0099375E">
        <w:t>N</w:t>
      </w:r>
      <w:r>
        <w:t xml:space="preserve">egative and </w:t>
      </w:r>
      <w:r w:rsidR="0099375E">
        <w:t>P</w:t>
      </w:r>
      <w:r>
        <w:t xml:space="preserve">ositive </w:t>
      </w:r>
      <w:r w:rsidR="0099375E">
        <w:t>F</w:t>
      </w:r>
      <w:r>
        <w:t xml:space="preserve">ood </w:t>
      </w:r>
      <w:r w:rsidR="0099375E">
        <w:t>M</w:t>
      </w:r>
      <w:r>
        <w:t>arkers) at 18 months.</w:t>
      </w:r>
    </w:p>
    <w:p w14:paraId="464F2EE3" w14:textId="17601D51" w:rsidR="007D47F0" w:rsidRDefault="007D47F0" w:rsidP="006A379C">
      <w:pPr>
        <w:spacing w:after="0" w:line="360" w:lineRule="auto"/>
      </w:pPr>
      <w:r>
        <w:t>2. To estimate the costs associated with the delivery of the</w:t>
      </w:r>
      <w:r w:rsidR="00576BE5">
        <w:t xml:space="preserve"> HeLP intervention and its cost </w:t>
      </w:r>
      <w:r>
        <w:t>effectiveness versus usual practice.</w:t>
      </w:r>
    </w:p>
    <w:p w14:paraId="66C6A409" w14:textId="76699DFA" w:rsidR="00974B3D" w:rsidRDefault="007D47F0" w:rsidP="006A379C">
      <w:pPr>
        <w:spacing w:after="0" w:line="360" w:lineRule="auto"/>
      </w:pPr>
      <w:r>
        <w:t>3. To conduct a mixed-methods process evaluation and mediational an</w:t>
      </w:r>
      <w:r w:rsidR="00B25E95">
        <w:t xml:space="preserve">alysis to explore the way </w:t>
      </w:r>
      <w:r w:rsidR="00FE6FD2">
        <w:t xml:space="preserve">the </w:t>
      </w:r>
      <w:r w:rsidR="00E34A3B">
        <w:t>p</w:t>
      </w:r>
      <w:r w:rsidR="00FE6FD2">
        <w:t>rogramme</w:t>
      </w:r>
      <w:r>
        <w:t xml:space="preserve"> worked (that is,</w:t>
      </w:r>
      <w:r w:rsidR="00675AB4">
        <w:t xml:space="preserve"> how it was delivered, taken up</w:t>
      </w:r>
      <w:r>
        <w:t xml:space="preserve"> and experienced, and what </w:t>
      </w:r>
      <w:r w:rsidR="002E3323">
        <w:t xml:space="preserve">are </w:t>
      </w:r>
      <w:r>
        <w:t xml:space="preserve">the </w:t>
      </w:r>
      <w:r w:rsidR="00FF0B79">
        <w:t>possible</w:t>
      </w:r>
      <w:r>
        <w:t xml:space="preserve"> mediators of change).</w:t>
      </w:r>
      <w:bookmarkStart w:id="234" w:name="_Toc454450795"/>
      <w:bookmarkEnd w:id="234"/>
    </w:p>
    <w:p w14:paraId="52A6D1B5" w14:textId="77777777" w:rsidR="00974B3D" w:rsidRDefault="00974B3D" w:rsidP="006A379C">
      <w:pPr>
        <w:spacing w:after="0" w:line="360" w:lineRule="auto"/>
      </w:pPr>
      <w:r>
        <w:br w:type="page"/>
      </w:r>
    </w:p>
    <w:p w14:paraId="14CEDBC8" w14:textId="77777777" w:rsidR="007D47F0" w:rsidRDefault="007D47F0" w:rsidP="006A379C">
      <w:pPr>
        <w:spacing w:after="0" w:line="360" w:lineRule="auto"/>
        <w:rPr>
          <w:b/>
          <w:bCs/>
        </w:rPr>
      </w:pPr>
      <w:r>
        <w:rPr>
          <w:b/>
          <w:bCs/>
        </w:rPr>
        <w:lastRenderedPageBreak/>
        <w:t>Methods</w:t>
      </w:r>
    </w:p>
    <w:p w14:paraId="5ED24FBC" w14:textId="4CDE7B60" w:rsidR="007D47F0" w:rsidRDefault="007D47F0" w:rsidP="006A379C">
      <w:pPr>
        <w:spacing w:after="0" w:line="360" w:lineRule="auto"/>
      </w:pPr>
      <w:r>
        <w:t>We undertook a cluster randomised controlled trial with follow up at 18 and 24 months pos</w:t>
      </w:r>
      <w:r w:rsidR="005F3786">
        <w:t>t baseline (six</w:t>
      </w:r>
      <w:r>
        <w:t xml:space="preserve"> and twelve months post intervention) in 32 primary schools in Devon</w:t>
      </w:r>
      <w:r w:rsidR="004E457C">
        <w:t xml:space="preserve"> that </w:t>
      </w:r>
      <w:r>
        <w:t xml:space="preserve">had at least 20 pupils in Year 5 (9-10 year olds). </w:t>
      </w:r>
      <w:r w:rsidR="002D6575">
        <w:t xml:space="preserve">We aimed to recruit half of the schools with </w:t>
      </w:r>
      <w:r w:rsidR="002D6575" w:rsidRPr="002D6575">
        <w:rPr>
          <w:u w:val="single"/>
        </w:rPr>
        <w:t>&gt;</w:t>
      </w:r>
      <w:r w:rsidR="002D6575">
        <w:t xml:space="preserve"> 19% pupils eligible for free school meals (the national average in 2012). </w:t>
      </w:r>
      <w:r>
        <w:t xml:space="preserve">Schools were randomised post collection of baseline measures. Schools allocated to receive HeLP started </w:t>
      </w:r>
      <w:r w:rsidR="00FE6FD2">
        <w:t xml:space="preserve">the </w:t>
      </w:r>
      <w:r w:rsidR="00AA7A6D">
        <w:t>p</w:t>
      </w:r>
      <w:r w:rsidR="00FE6FD2">
        <w:t>rogramme</w:t>
      </w:r>
      <w:r>
        <w:t xml:space="preserve"> in the Spring term of Year 5 with </w:t>
      </w:r>
      <w:r w:rsidR="004E457C">
        <w:t>Phase 1</w:t>
      </w:r>
      <w:r w:rsidR="00675AB4">
        <w:t xml:space="preserve"> </w:t>
      </w:r>
      <w:r>
        <w:t>activities to create a receptive context within school and engage the children and their families. Phases 2 and 3 (</w:t>
      </w:r>
      <w:r w:rsidR="00675AB4">
        <w:t>h</w:t>
      </w:r>
      <w:r>
        <w:t xml:space="preserve">ealthy </w:t>
      </w:r>
      <w:r w:rsidR="00675AB4">
        <w:t>l</w:t>
      </w:r>
      <w:r>
        <w:t xml:space="preserve">ifestyles </w:t>
      </w:r>
      <w:r w:rsidR="00675AB4">
        <w:t>w</w:t>
      </w:r>
      <w:r>
        <w:t>eek and goal setting) took place in the Summer term of Year 5 and reinforcement activities (</w:t>
      </w:r>
      <w:r w:rsidR="004E457C">
        <w:t>P</w:t>
      </w:r>
      <w:r>
        <w:t>hase 4) in the Autumn term of Year 5.</w:t>
      </w:r>
      <w:r w:rsidR="00DE0045">
        <w:t xml:space="preserve"> Schools allocated to the c</w:t>
      </w:r>
      <w:r>
        <w:t>ontrol</w:t>
      </w:r>
      <w:r w:rsidR="00DE0045">
        <w:t xml:space="preserve"> group</w:t>
      </w:r>
      <w:r>
        <w:t xml:space="preserve"> continued with their standard syllabus. For practical reasons the trial was run over two cohorts (each with 16 schools). The primary outcome was </w:t>
      </w:r>
      <w:r w:rsidR="002E3323">
        <w:t>Body Mass Index Standard Deviation Score (</w:t>
      </w:r>
      <w:r w:rsidR="009D1C7F">
        <w:t>BMI SDS</w:t>
      </w:r>
      <w:r w:rsidR="002E3323">
        <w:t>)</w:t>
      </w:r>
      <w:r>
        <w:t xml:space="preserve"> at 24 months post baseline. Secondary outcomes included </w:t>
      </w:r>
      <w:r w:rsidR="009D1C7F">
        <w:t>BMI SDS</w:t>
      </w:r>
      <w:r>
        <w:t xml:space="preserve"> at 18 mo</w:t>
      </w:r>
      <w:r w:rsidR="00A34951">
        <w:t>nths, waist circumference</w:t>
      </w:r>
      <w:r w:rsidR="00DE0045">
        <w:t xml:space="preserve"> SDS</w:t>
      </w:r>
      <w:r w:rsidR="00A34951">
        <w:t xml:space="preserve"> and percent </w:t>
      </w:r>
      <w:r>
        <w:t>body fat</w:t>
      </w:r>
      <w:r w:rsidR="00DE0045">
        <w:t xml:space="preserve"> SDS</w:t>
      </w:r>
      <w:r>
        <w:t xml:space="preserve">, </w:t>
      </w:r>
      <w:r w:rsidR="00DE0045">
        <w:t>weight status category</w:t>
      </w:r>
      <w:r>
        <w:t xml:space="preserve"> at 18 and 24 months, accelerometer assessed physical activity and child-reported consumption of food and drink (</w:t>
      </w:r>
      <w:r w:rsidR="00DE0045">
        <w:t>average</w:t>
      </w:r>
      <w:r w:rsidR="000D17A2">
        <w:t>d</w:t>
      </w:r>
      <w:r w:rsidR="00DE0045">
        <w:t xml:space="preserve"> across the week, as well as for </w:t>
      </w:r>
      <w:r>
        <w:t>weekday and weekend</w:t>
      </w:r>
      <w:r w:rsidR="00DE0045">
        <w:t xml:space="preserve"> separately</w:t>
      </w:r>
      <w:r>
        <w:t xml:space="preserve">). </w:t>
      </w:r>
      <w:r w:rsidR="004E457C">
        <w:t>Children had 18 month measures taken at the end of Year 6 (10-11 year olds) and in the Autumn term of Year 7 (11-12 year olds) when the children had moved to secondary school.</w:t>
      </w:r>
    </w:p>
    <w:p w14:paraId="4549D575" w14:textId="0E2FFFF3" w:rsidR="007D47F0" w:rsidRDefault="007D47F0" w:rsidP="006A379C">
      <w:pPr>
        <w:spacing w:after="0" w:line="360" w:lineRule="auto"/>
      </w:pPr>
      <w:r>
        <w:t>Potential mediators were assessed using a bespoke questionnaire which was</w:t>
      </w:r>
      <w:r w:rsidR="0079378E">
        <w:t xml:space="preserve"> underpinned by the Information, Motivation, </w:t>
      </w:r>
      <w:r>
        <w:t>Behaviour</w:t>
      </w:r>
      <w:r w:rsidR="0079378E">
        <w:t>al</w:t>
      </w:r>
      <w:r>
        <w:t xml:space="preserve"> Skills model and was developed to capture </w:t>
      </w:r>
      <w:r w:rsidR="003101D1">
        <w:t xml:space="preserve">knowledge, cognitions and </w:t>
      </w:r>
      <w:r>
        <w:t xml:space="preserve">behaviours which we anticipated would be related to changing diet and physical activity and hence weight status. </w:t>
      </w:r>
      <w:r w:rsidR="003101D1">
        <w:t>An exploratory factor analysis generated f</w:t>
      </w:r>
      <w:r w:rsidR="0013487D">
        <w:t>our</w:t>
      </w:r>
      <w:r w:rsidR="003101D1">
        <w:t xml:space="preserve"> composite variables; </w:t>
      </w:r>
      <w:r w:rsidR="003101D1" w:rsidRPr="003101D1">
        <w:rPr>
          <w:rFonts w:cs="Times New Roman"/>
        </w:rPr>
        <w:t xml:space="preserve"> ‘confidence and motivation’, ‘peer norms’, ‘</w:t>
      </w:r>
      <w:r w:rsidR="003101D1" w:rsidRPr="003101D1">
        <w:rPr>
          <w:rFonts w:ascii="Calibri" w:eastAsia="Calibri" w:hAnsi="Calibri" w:cs="Times New Roman"/>
        </w:rPr>
        <w:t>family approval / behaviours &amp; child attitudes’ and ‘behaviours and strategies’</w:t>
      </w:r>
      <w:r w:rsidR="00480148">
        <w:rPr>
          <w:rFonts w:ascii="Calibri" w:eastAsia="Calibri" w:hAnsi="Calibri" w:cs="Times New Roman"/>
        </w:rPr>
        <w:t xml:space="preserve">. These, as well as ‘knowledge’, </w:t>
      </w:r>
      <w:r w:rsidR="003101D1">
        <w:rPr>
          <w:rFonts w:ascii="Calibri" w:eastAsia="Calibri" w:hAnsi="Calibri" w:cs="Times New Roman"/>
        </w:rPr>
        <w:t>were used in the subsequent mediational analysis.</w:t>
      </w:r>
      <w:r w:rsidR="003101D1">
        <w:t xml:space="preserve"> </w:t>
      </w:r>
      <w:r>
        <w:t>Details on the cost of the intervention were collected</w:t>
      </w:r>
      <w:r w:rsidR="00984CF4">
        <w:t>, and a framework for estimating the cost effectiveness of the intervention was developed</w:t>
      </w:r>
      <w:r>
        <w:t>. Questionnaires, focus groups</w:t>
      </w:r>
      <w:r w:rsidR="002E3323">
        <w:t xml:space="preserve"> and</w:t>
      </w:r>
      <w:r>
        <w:t xml:space="preserve"> interviews were conducted with parents, teachers, head teachers and children and observations of intervention delivery were conducted to assess how HeLP was delivered, received and the experience of being part of </w:t>
      </w:r>
      <w:r w:rsidR="00FE6FD2">
        <w:t xml:space="preserve">the </w:t>
      </w:r>
      <w:r w:rsidR="00AA7A6D">
        <w:t>p</w:t>
      </w:r>
      <w:r w:rsidR="00FE6FD2">
        <w:t>rogramme</w:t>
      </w:r>
      <w:r>
        <w:t xml:space="preserve">. </w:t>
      </w:r>
    </w:p>
    <w:p w14:paraId="3C8ED481" w14:textId="77777777" w:rsidR="007D47F0" w:rsidRDefault="007D47F0" w:rsidP="006A379C">
      <w:pPr>
        <w:spacing w:after="0" w:line="360" w:lineRule="auto"/>
        <w:rPr>
          <w:rFonts w:ascii="Calibri" w:hAnsi="Calibri"/>
          <w:b/>
          <w:bCs/>
        </w:rPr>
      </w:pPr>
      <w:bookmarkStart w:id="235" w:name="_Toc466638275"/>
      <w:bookmarkStart w:id="236" w:name="_Toc466638596"/>
      <w:bookmarkStart w:id="237" w:name="_Toc466639019"/>
      <w:bookmarkStart w:id="238" w:name="_Toc466639562"/>
      <w:r>
        <w:rPr>
          <w:rFonts w:ascii="Calibri" w:hAnsi="Calibri"/>
          <w:b/>
          <w:bCs/>
        </w:rPr>
        <w:t>Results</w:t>
      </w:r>
      <w:bookmarkEnd w:id="235"/>
      <w:bookmarkEnd w:id="236"/>
      <w:bookmarkEnd w:id="237"/>
      <w:bookmarkEnd w:id="238"/>
    </w:p>
    <w:p w14:paraId="4E7B1B06" w14:textId="5821CB3D" w:rsidR="007D47F0" w:rsidRDefault="007D47F0" w:rsidP="006A379C">
      <w:pPr>
        <w:spacing w:after="0" w:line="360" w:lineRule="auto"/>
      </w:pPr>
      <w:r>
        <w:t xml:space="preserve">We recruited 32 schools and 1324 children. Only 34 eligible children opted out of the study and we had 94% follow up for our primary outcome at 24 months. No difference was found between children in the intervention and control schools at 24 months </w:t>
      </w:r>
      <w:r w:rsidR="0079378E">
        <w:t xml:space="preserve">for </w:t>
      </w:r>
      <w:r w:rsidR="009D1C7F">
        <w:t>BMI SDS</w:t>
      </w:r>
      <w:r w:rsidR="0079378E">
        <w:t xml:space="preserve"> </w:t>
      </w:r>
      <w:r w:rsidR="00293EEA" w:rsidRPr="00293EEA">
        <w:rPr>
          <w:rFonts w:cs="Times New Roman"/>
          <w:color w:val="231F20"/>
        </w:rPr>
        <w:t>(mean difference</w:t>
      </w:r>
      <w:r w:rsidR="005F3786">
        <w:rPr>
          <w:rFonts w:cs="Times New Roman"/>
          <w:color w:val="231F20"/>
        </w:rPr>
        <w:t xml:space="preserve"> (intervention minus control)</w:t>
      </w:r>
      <w:r w:rsidR="00293EEA" w:rsidRPr="00293EEA">
        <w:rPr>
          <w:rFonts w:cs="Times New Roman"/>
          <w:color w:val="231F20"/>
        </w:rPr>
        <w:t xml:space="preserve"> -0.02 (95% CI: -0.09, 0.05))</w:t>
      </w:r>
      <w:r w:rsidR="00293EEA">
        <w:rPr>
          <w:rFonts w:cs="Times New Roman"/>
          <w:b/>
          <w:color w:val="231F20"/>
        </w:rPr>
        <w:t xml:space="preserve"> </w:t>
      </w:r>
      <w:r>
        <w:t xml:space="preserve">on any anthropometric measure (all adjusted for baseline values) </w:t>
      </w:r>
      <w:r w:rsidR="0079378E">
        <w:t>at</w:t>
      </w:r>
      <w:r w:rsidR="00984CF4">
        <w:t xml:space="preserve"> </w:t>
      </w:r>
      <w:r w:rsidR="0079378E">
        <w:t xml:space="preserve">18 or 24 months </w:t>
      </w:r>
      <w:r>
        <w:t>or for physical activity</w:t>
      </w:r>
      <w:r w:rsidR="0079378E">
        <w:t xml:space="preserve"> at 18 months</w:t>
      </w:r>
      <w:r>
        <w:t xml:space="preserve">. </w:t>
      </w:r>
    </w:p>
    <w:p w14:paraId="63C89DED" w14:textId="6FE39910" w:rsidR="007D47F0" w:rsidRDefault="005F3786" w:rsidP="006A379C">
      <w:pPr>
        <w:spacing w:after="0" w:line="360" w:lineRule="auto"/>
      </w:pPr>
      <w:r>
        <w:lastRenderedPageBreak/>
        <w:t>Children from the intervention schools reported eating significantly fewer Energy Dense Snacks per day (-0.37, 95% CI</w:t>
      </w:r>
      <w:r w:rsidR="00AB4D98">
        <w:t>:</w:t>
      </w:r>
      <w:r>
        <w:t xml:space="preserve"> -0.66, -0.07) </w:t>
      </w:r>
      <w:r w:rsidR="007D47F0">
        <w:t xml:space="preserve">and fewer </w:t>
      </w:r>
      <w:r w:rsidR="0099375E">
        <w:t>N</w:t>
      </w:r>
      <w:r w:rsidR="007D47F0">
        <w:t xml:space="preserve">egative </w:t>
      </w:r>
      <w:r w:rsidR="0099375E">
        <w:t>F</w:t>
      </w:r>
      <w:r w:rsidR="007D47F0">
        <w:t xml:space="preserve">ood </w:t>
      </w:r>
      <w:r w:rsidR="0099375E">
        <w:t>M</w:t>
      </w:r>
      <w:r w:rsidR="007D47F0">
        <w:t>arkers per day (-0.</w:t>
      </w:r>
      <w:r w:rsidR="0079378E">
        <w:t>47</w:t>
      </w:r>
      <w:r w:rsidR="007D47F0">
        <w:t>, 95% CI</w:t>
      </w:r>
      <w:r w:rsidR="00AB4D98">
        <w:t>:</w:t>
      </w:r>
      <w:r w:rsidR="007D47F0">
        <w:t xml:space="preserve"> </w:t>
      </w:r>
      <w:r w:rsidR="0079378E">
        <w:t>-0.91</w:t>
      </w:r>
      <w:r w:rsidR="00AB4D98">
        <w:t>,</w:t>
      </w:r>
      <w:r w:rsidR="007D47F0">
        <w:t xml:space="preserve"> </w:t>
      </w:r>
      <w:r w:rsidR="0079378E">
        <w:t>-</w:t>
      </w:r>
      <w:r w:rsidR="007D47F0">
        <w:t>0.</w:t>
      </w:r>
      <w:r w:rsidR="0079378E">
        <w:t>02</w:t>
      </w:r>
      <w:r w:rsidR="007D47F0">
        <w:t>) than children in control schools</w:t>
      </w:r>
      <w:r w:rsidR="00DE0045">
        <w:t>,</w:t>
      </w:r>
      <w:r w:rsidR="00DE0045" w:rsidRPr="00DE0045">
        <w:t xml:space="preserve"> </w:t>
      </w:r>
      <w:r w:rsidR="00DE0045">
        <w:t xml:space="preserve">when averaged across the week. </w:t>
      </w:r>
      <w:r w:rsidR="00DE0045" w:rsidRPr="00DE0045">
        <w:rPr>
          <w:sz w:val="16"/>
          <w:szCs w:val="16"/>
        </w:rPr>
        <w:t xml:space="preserve"> </w:t>
      </w:r>
      <w:r w:rsidR="00DE0045" w:rsidRPr="00DE0045">
        <w:t xml:space="preserve">These differences were also evident for weekday, but not weekend, reporting of </w:t>
      </w:r>
      <w:r w:rsidR="009B2A17">
        <w:t>E</w:t>
      </w:r>
      <w:r w:rsidR="00DE0045" w:rsidRPr="00DE0045">
        <w:t xml:space="preserve">nergy </w:t>
      </w:r>
      <w:r w:rsidR="009B2A17">
        <w:t>Dense S</w:t>
      </w:r>
      <w:r w:rsidR="00DE0045" w:rsidRPr="00DE0045">
        <w:t xml:space="preserve">nacks and </w:t>
      </w:r>
      <w:r w:rsidR="009B2A17">
        <w:t>Negative Food M</w:t>
      </w:r>
      <w:r w:rsidR="00DE0045" w:rsidRPr="00DE0045">
        <w:t xml:space="preserve">arkers. </w:t>
      </w:r>
      <w:r w:rsidR="007D47F0" w:rsidRPr="00DE0045">
        <w:t>The</w:t>
      </w:r>
      <w:r w:rsidR="007D47F0">
        <w:t xml:space="preserve"> intervention increased children’s knowledge, </w:t>
      </w:r>
      <w:r w:rsidR="00F94FF7">
        <w:t>cognitions</w:t>
      </w:r>
      <w:r w:rsidR="007D47F0">
        <w:t xml:space="preserve"> and behavioural skills.  The effect of the intervention on reported weekday </w:t>
      </w:r>
      <w:r w:rsidR="0099375E">
        <w:t>N</w:t>
      </w:r>
      <w:r w:rsidR="007D47F0">
        <w:t xml:space="preserve">egative </w:t>
      </w:r>
      <w:r w:rsidR="0099375E">
        <w:t>F</w:t>
      </w:r>
      <w:r w:rsidR="007D47F0">
        <w:t xml:space="preserve">ood </w:t>
      </w:r>
      <w:r w:rsidR="0099375E">
        <w:t>M</w:t>
      </w:r>
      <w:r w:rsidR="007D47F0">
        <w:t xml:space="preserve">arkers was </w:t>
      </w:r>
      <w:r w:rsidR="00F94FF7">
        <w:t xml:space="preserve">fully </w:t>
      </w:r>
      <w:r w:rsidR="007D47F0">
        <w:t>mediated (</w:t>
      </w:r>
      <w:r w:rsidR="007D47F0" w:rsidRPr="0013487D">
        <w:rPr>
          <w:iCs/>
        </w:rPr>
        <w:t>p</w:t>
      </w:r>
      <w:r w:rsidR="007D47F0" w:rsidRPr="0013487D">
        <w:t xml:space="preserve"> </w:t>
      </w:r>
      <w:r w:rsidR="007D47F0">
        <w:t xml:space="preserve">= 0.059) by </w:t>
      </w:r>
      <w:r w:rsidR="00F94FF7">
        <w:t>th</w:t>
      </w:r>
      <w:r w:rsidR="0013487D">
        <w:t>ree</w:t>
      </w:r>
      <w:r w:rsidR="00F94FF7" w:rsidRPr="00F94FF7">
        <w:rPr>
          <w:rFonts w:cs="Times New Roman"/>
        </w:rPr>
        <w:t xml:space="preserve"> composite variables</w:t>
      </w:r>
      <w:r w:rsidR="0013487D">
        <w:rPr>
          <w:rFonts w:cs="Times New Roman"/>
        </w:rPr>
        <w:t>,</w:t>
      </w:r>
      <w:r w:rsidR="00F94FF7" w:rsidRPr="00F94FF7">
        <w:rPr>
          <w:rFonts w:cs="Times New Roman"/>
        </w:rPr>
        <w:t xml:space="preserve"> ‘confidence and motivation’, ‘</w:t>
      </w:r>
      <w:r w:rsidR="00F94FF7" w:rsidRPr="00F94FF7">
        <w:rPr>
          <w:rFonts w:ascii="Calibri" w:eastAsia="Calibri" w:hAnsi="Calibri" w:cs="Times New Roman"/>
        </w:rPr>
        <w:t>family approval / behaviours &amp; child attitudes’ and ‘behaviours and strategies’</w:t>
      </w:r>
      <w:r w:rsidR="0013487D">
        <w:rPr>
          <w:rFonts w:ascii="Calibri" w:eastAsia="Calibri" w:hAnsi="Calibri" w:cs="Times New Roman"/>
        </w:rPr>
        <w:t xml:space="preserve"> as well as ‘knowledge’</w:t>
      </w:r>
      <w:r w:rsidR="00F94FF7">
        <w:rPr>
          <w:rFonts w:ascii="Calibri" w:eastAsia="Calibri" w:hAnsi="Calibri" w:cs="Times New Roman"/>
        </w:rPr>
        <w:t>.</w:t>
      </w:r>
      <w:r w:rsidR="007D47F0">
        <w:t xml:space="preserve"> The intervention effect on weekday </w:t>
      </w:r>
      <w:r w:rsidR="00F94FF7">
        <w:t>E</w:t>
      </w:r>
      <w:r w:rsidR="007D47F0">
        <w:t xml:space="preserve">nergy </w:t>
      </w:r>
      <w:r w:rsidR="00F94FF7">
        <w:t>D</w:t>
      </w:r>
      <w:r w:rsidR="007D47F0">
        <w:t xml:space="preserve">ense </w:t>
      </w:r>
      <w:r w:rsidR="00F94FF7">
        <w:t>S</w:t>
      </w:r>
      <w:r w:rsidR="007D47F0">
        <w:t>nacks was partially mediated (</w:t>
      </w:r>
      <w:r w:rsidR="007D47F0" w:rsidRPr="0013487D">
        <w:rPr>
          <w:iCs/>
        </w:rPr>
        <w:t>p</w:t>
      </w:r>
      <w:r w:rsidR="007D47F0" w:rsidRPr="0013487D">
        <w:t xml:space="preserve"> </w:t>
      </w:r>
      <w:r w:rsidR="007D47F0">
        <w:t xml:space="preserve">= 0.041) by the same variables </w:t>
      </w:r>
      <w:r w:rsidR="00F94FF7">
        <w:t>apart from ‘behaviours and strategies’.</w:t>
      </w:r>
      <w:r w:rsidR="007D47F0">
        <w:t xml:space="preserve">  </w:t>
      </w:r>
    </w:p>
    <w:p w14:paraId="3333515B" w14:textId="1947690A" w:rsidR="00984CF4" w:rsidRDefault="005F3786" w:rsidP="006A379C">
      <w:pPr>
        <w:spacing w:after="0" w:line="360" w:lineRule="auto"/>
      </w:pPr>
      <w:r w:rsidRPr="003A7C0E">
        <w:t xml:space="preserve">The cost of implementing the intervention was </w:t>
      </w:r>
      <w:r>
        <w:t>estimated at approximately £21</w:t>
      </w:r>
      <w:r w:rsidRPr="003A7C0E">
        <w:t xml:space="preserve">0 per child.  </w:t>
      </w:r>
      <w:r>
        <w:t xml:space="preserve">Costs were predominantly those associated with the time inputs for the HeLP Coordinator and the drama components of </w:t>
      </w:r>
      <w:r w:rsidR="00FE6FD2">
        <w:t xml:space="preserve">the </w:t>
      </w:r>
      <w:r w:rsidR="00AA7A6D">
        <w:t>p</w:t>
      </w:r>
      <w:r w:rsidR="00FE6FD2">
        <w:t>rogramme</w:t>
      </w:r>
      <w:r>
        <w:t xml:space="preserve">.  Given the lack of effectiveness, </w:t>
      </w:r>
      <w:r w:rsidR="00FE6FD2">
        <w:t xml:space="preserve">the </w:t>
      </w:r>
      <w:r w:rsidR="00AA7A6D">
        <w:t>p</w:t>
      </w:r>
      <w:r w:rsidR="00FE6FD2">
        <w:t>rogramme</w:t>
      </w:r>
      <w:r>
        <w:t xml:space="preserve"> is not cost effective compared to the control group; results are unambiguous with no expected health gains </w:t>
      </w:r>
      <w:r w:rsidRPr="006D4937">
        <w:t>and</w:t>
      </w:r>
      <w:r w:rsidR="00FF60AF" w:rsidRPr="006D4937">
        <w:t xml:space="preserve"> schools usual </w:t>
      </w:r>
      <w:r w:rsidR="006D4937" w:rsidRPr="006D4937">
        <w:t>practice</w:t>
      </w:r>
      <w:r>
        <w:t xml:space="preserve"> being less costly. </w:t>
      </w:r>
      <w:r w:rsidRPr="003A7C0E">
        <w:t xml:space="preserve"> </w:t>
      </w:r>
    </w:p>
    <w:p w14:paraId="465AD90B" w14:textId="754D85BA" w:rsidR="007D47F0" w:rsidRDefault="007D47F0" w:rsidP="006A379C">
      <w:pPr>
        <w:spacing w:after="0" w:line="360" w:lineRule="auto"/>
      </w:pPr>
      <w:r>
        <w:t xml:space="preserve">The process evaluation showed that </w:t>
      </w:r>
      <w:r w:rsidR="00FE6FD2">
        <w:t xml:space="preserve">the </w:t>
      </w:r>
      <w:r w:rsidR="00AA7A6D">
        <w:t>p</w:t>
      </w:r>
      <w:r w:rsidR="00FE6FD2">
        <w:t>rogramme</w:t>
      </w:r>
      <w:r>
        <w:t xml:space="preserve"> was delivered with a high degree of fidelity both </w:t>
      </w:r>
      <w:r w:rsidR="00480148">
        <w:t>in respect of</w:t>
      </w:r>
      <w:r>
        <w:t xml:space="preserve"> the components of the intervention </w:t>
      </w:r>
      <w:r w:rsidR="00480148">
        <w:t>as well as</w:t>
      </w:r>
      <w:r>
        <w:t xml:space="preserve"> the manner in which the components were delivered. Over 95% children took part in at least 8 of the 10 sessions of healthy lifestyles week and set goals. Over 90% of children were considered to be actively engaged with </w:t>
      </w:r>
      <w:r w:rsidR="00FE6FD2">
        <w:t xml:space="preserve">the </w:t>
      </w:r>
      <w:r w:rsidR="00AA7A6D">
        <w:t>p</w:t>
      </w:r>
      <w:r w:rsidR="00FE6FD2">
        <w:t>rogramme</w:t>
      </w:r>
      <w:r>
        <w:t xml:space="preserve"> according to pre-specified criteria, with no differences across socioeconomic groups. Similarly, 75% of parents were considered engaged and all but three of the schools were deemed to be very engaged and enthusiastic. Parents and children reported changes they had made to diet and activity and the majority of barriers and/or facilitators to achieving goals were related to parental support or lack of it. </w:t>
      </w:r>
    </w:p>
    <w:p w14:paraId="2645470D" w14:textId="77777777" w:rsidR="007D47F0" w:rsidRDefault="007D47F0" w:rsidP="006A379C">
      <w:pPr>
        <w:spacing w:after="0" w:line="360" w:lineRule="auto"/>
        <w:rPr>
          <w:rFonts w:ascii="Calibri" w:hAnsi="Calibri"/>
          <w:b/>
          <w:bCs/>
        </w:rPr>
      </w:pPr>
      <w:bookmarkStart w:id="239" w:name="_Toc466638276"/>
      <w:bookmarkStart w:id="240" w:name="_Toc466638597"/>
      <w:bookmarkStart w:id="241" w:name="_Toc466639020"/>
      <w:bookmarkStart w:id="242" w:name="_Toc466639563"/>
      <w:r>
        <w:rPr>
          <w:rFonts w:ascii="Calibri" w:hAnsi="Calibri"/>
          <w:b/>
          <w:bCs/>
        </w:rPr>
        <w:t>Limitations</w:t>
      </w:r>
      <w:bookmarkEnd w:id="239"/>
      <w:bookmarkEnd w:id="240"/>
      <w:bookmarkEnd w:id="241"/>
      <w:bookmarkEnd w:id="242"/>
    </w:p>
    <w:p w14:paraId="4AC37F36" w14:textId="77777777" w:rsidR="007D47F0" w:rsidRDefault="007D47F0" w:rsidP="006A379C">
      <w:pPr>
        <w:spacing w:after="0" w:line="360" w:lineRule="auto"/>
      </w:pPr>
      <w:r>
        <w:t xml:space="preserve">We had a low response rate (25%) to the parental questionnaire which was part of the process evaluation. The schools involved in the trial were broadly similar to those in the South West and England in terms of socioeconomic deprivation, class sizes and both rural and urban settings but not in terms of ethnicity. </w:t>
      </w:r>
    </w:p>
    <w:p w14:paraId="48F40B04" w14:textId="77777777" w:rsidR="007D47F0" w:rsidRDefault="007D47F0" w:rsidP="006A379C">
      <w:pPr>
        <w:spacing w:after="0" w:line="360" w:lineRule="auto"/>
        <w:rPr>
          <w:rFonts w:ascii="Calibri" w:hAnsi="Calibri"/>
          <w:b/>
          <w:bCs/>
        </w:rPr>
      </w:pPr>
      <w:bookmarkStart w:id="243" w:name="_Toc466638277"/>
      <w:bookmarkStart w:id="244" w:name="_Toc466638598"/>
      <w:bookmarkStart w:id="245" w:name="_Toc466639021"/>
      <w:bookmarkStart w:id="246" w:name="_Toc466639564"/>
      <w:r>
        <w:rPr>
          <w:rFonts w:ascii="Calibri" w:hAnsi="Calibri"/>
          <w:b/>
          <w:bCs/>
        </w:rPr>
        <w:t>Conclusions</w:t>
      </w:r>
      <w:bookmarkEnd w:id="243"/>
      <w:bookmarkEnd w:id="244"/>
      <w:bookmarkEnd w:id="245"/>
      <w:bookmarkEnd w:id="246"/>
    </w:p>
    <w:p w14:paraId="55576E78" w14:textId="551C37A5" w:rsidR="007D47F0" w:rsidRDefault="007D47F0" w:rsidP="006A379C">
      <w:pPr>
        <w:spacing w:after="0" w:line="360" w:lineRule="auto"/>
      </w:pPr>
      <w:r>
        <w:t>The Healthy Lifestyles Programme is not effective</w:t>
      </w:r>
      <w:r w:rsidR="00984CF4">
        <w:t xml:space="preserve"> or cost effective</w:t>
      </w:r>
      <w:r>
        <w:t xml:space="preserve"> in </w:t>
      </w:r>
      <w:r w:rsidR="009B2A17">
        <w:t xml:space="preserve">affecting BMI SDS or </w:t>
      </w:r>
      <w:r>
        <w:t>preventing overweight and obesity in 9-10 year olds, nor is it effective in increasing physical activity. There is weak evidence</w:t>
      </w:r>
      <w:r w:rsidR="00730A80">
        <w:t xml:space="preserve"> of effectiveness</w:t>
      </w:r>
      <w:r>
        <w:t xml:space="preserve"> </w:t>
      </w:r>
      <w:r w:rsidR="00730A80">
        <w:t>in</w:t>
      </w:r>
      <w:r>
        <w:t xml:space="preserve"> reducing the consumption of </w:t>
      </w:r>
      <w:r w:rsidR="00AC7CF0">
        <w:t>unhealthy foods (</w:t>
      </w:r>
      <w:r w:rsidR="0099375E">
        <w:t>N</w:t>
      </w:r>
      <w:r>
        <w:t xml:space="preserve">egative </w:t>
      </w:r>
      <w:r w:rsidR="0099375E">
        <w:t>F</w:t>
      </w:r>
      <w:r>
        <w:t xml:space="preserve">ood </w:t>
      </w:r>
      <w:r w:rsidR="0099375E">
        <w:t>Markers and E</w:t>
      </w:r>
      <w:r>
        <w:t xml:space="preserve">nergy </w:t>
      </w:r>
      <w:r w:rsidR="0099375E">
        <w:t>D</w:t>
      </w:r>
      <w:r>
        <w:t xml:space="preserve">ense </w:t>
      </w:r>
      <w:r w:rsidR="0099375E">
        <w:t>S</w:t>
      </w:r>
      <w:r>
        <w:t>nacks</w:t>
      </w:r>
      <w:r w:rsidR="00AC7CF0">
        <w:t>)</w:t>
      </w:r>
      <w:r>
        <w:t>.</w:t>
      </w:r>
    </w:p>
    <w:p w14:paraId="1635DF84" w14:textId="77777777" w:rsidR="007D47F0" w:rsidRDefault="007D47F0" w:rsidP="00B90354">
      <w:pPr>
        <w:rPr>
          <w:rFonts w:ascii="Calibri" w:hAnsi="Calibri"/>
          <w:b/>
          <w:bCs/>
        </w:rPr>
      </w:pPr>
      <w:bookmarkStart w:id="247" w:name="_Toc466638278"/>
      <w:bookmarkStart w:id="248" w:name="_Toc466638599"/>
      <w:bookmarkStart w:id="249" w:name="_Toc466639022"/>
      <w:bookmarkStart w:id="250" w:name="_Toc466639565"/>
      <w:r>
        <w:rPr>
          <w:rFonts w:ascii="Calibri" w:hAnsi="Calibri"/>
          <w:b/>
          <w:bCs/>
        </w:rPr>
        <w:lastRenderedPageBreak/>
        <w:t>Future Research</w:t>
      </w:r>
      <w:bookmarkEnd w:id="247"/>
      <w:bookmarkEnd w:id="248"/>
      <w:bookmarkEnd w:id="249"/>
      <w:bookmarkEnd w:id="250"/>
    </w:p>
    <w:p w14:paraId="2BCC9057" w14:textId="077A16EE" w:rsidR="007D47F0" w:rsidRDefault="007D47F0" w:rsidP="00645172">
      <w:pPr>
        <w:spacing w:after="0" w:line="360" w:lineRule="auto"/>
      </w:pPr>
      <w:r>
        <w:t xml:space="preserve">Our findings show that, although HeLP is an intensive intervention that was able to engage schools, children and their families, it did not affect </w:t>
      </w:r>
      <w:r w:rsidR="00BF5BEE">
        <w:t xml:space="preserve">objectively measured </w:t>
      </w:r>
      <w:r>
        <w:t>physical activity or weight status. Schools are an obvious location for health promotion programmes but we consider it unlikely that any school-based programme that is not part of a wider coordinated whole systems approach will be able to prevent overweight and obesity in</w:t>
      </w:r>
      <w:r w:rsidR="005D4686">
        <w:t xml:space="preserve"> a single age group</w:t>
      </w:r>
      <w:r>
        <w:t>. Research should address the e</w:t>
      </w:r>
      <w:r w:rsidR="005D4686">
        <w:t xml:space="preserve">ffectiveness of programmes which </w:t>
      </w:r>
      <w:r>
        <w:t xml:space="preserve">incorporate whole systems approaches. </w:t>
      </w:r>
    </w:p>
    <w:p w14:paraId="61CA14B9" w14:textId="74E409AD" w:rsidR="007D47F0" w:rsidRDefault="007D47F0" w:rsidP="00645172">
      <w:pPr>
        <w:spacing w:after="0" w:line="360" w:lineRule="auto"/>
        <w:rPr>
          <w:rFonts w:ascii="Times New Roman" w:hAnsi="Times New Roman"/>
          <w:sz w:val="24"/>
          <w:szCs w:val="24"/>
        </w:rPr>
      </w:pPr>
      <w:r>
        <w:t>The failure of this intensive intervention</w:t>
      </w:r>
      <w:r w:rsidR="00BF5BEE">
        <w:t>, with high levels of engagement,</w:t>
      </w:r>
      <w:r>
        <w:t xml:space="preserve"> to sufficiently impact </w:t>
      </w:r>
      <w:r w:rsidR="005D4686">
        <w:t xml:space="preserve">objectively measured </w:t>
      </w:r>
      <w:r>
        <w:t>behaviours in 9-10 year old children still leaves open questions as to whether it is possible to de</w:t>
      </w:r>
      <w:r w:rsidR="005D4686">
        <w:t>sign</w:t>
      </w:r>
      <w:r>
        <w:t xml:space="preserve"> effective interventions aimed at very young children whose behaviours may be more malleable or at older children who may have greater autonomy than younger children</w:t>
      </w:r>
      <w:r w:rsidR="005D4686">
        <w:t xml:space="preserve"> in making healthy choices. </w:t>
      </w:r>
    </w:p>
    <w:p w14:paraId="07B3ECE1" w14:textId="77777777" w:rsidR="00B04C54" w:rsidRDefault="00B04C54" w:rsidP="00645172">
      <w:pPr>
        <w:spacing w:after="0" w:line="360" w:lineRule="auto"/>
        <w:rPr>
          <w:rFonts w:cs="Times New Roman"/>
        </w:rPr>
      </w:pPr>
      <w:bookmarkStart w:id="251" w:name="_Toc466638279"/>
      <w:bookmarkStart w:id="252" w:name="_Toc466638600"/>
      <w:bookmarkStart w:id="253" w:name="_Toc466639023"/>
      <w:bookmarkStart w:id="254" w:name="_Toc466639566"/>
    </w:p>
    <w:p w14:paraId="2089E31D" w14:textId="77777777" w:rsidR="00745A4D" w:rsidRPr="006A379C" w:rsidRDefault="00745A4D" w:rsidP="00645172">
      <w:pPr>
        <w:spacing w:after="0" w:line="360" w:lineRule="auto"/>
        <w:rPr>
          <w:rFonts w:cs="Times New Roman"/>
          <w:b/>
        </w:rPr>
      </w:pPr>
      <w:r w:rsidRPr="006A379C">
        <w:rPr>
          <w:rFonts w:cs="Times New Roman"/>
          <w:b/>
        </w:rPr>
        <w:t>Trial registration</w:t>
      </w:r>
      <w:bookmarkEnd w:id="251"/>
      <w:bookmarkEnd w:id="252"/>
      <w:bookmarkEnd w:id="253"/>
      <w:bookmarkEnd w:id="254"/>
    </w:p>
    <w:p w14:paraId="64DA8435" w14:textId="77777777" w:rsidR="000448D6" w:rsidRPr="000C1DEB" w:rsidRDefault="000448D6" w:rsidP="00645172">
      <w:pPr>
        <w:spacing w:after="0" w:line="360" w:lineRule="auto"/>
      </w:pPr>
      <w:r w:rsidRPr="000C1DEB">
        <w:t>The trial is registered as ISRCTN15811706</w:t>
      </w:r>
    </w:p>
    <w:p w14:paraId="1C9337ED" w14:textId="77777777" w:rsidR="00B04C54" w:rsidRDefault="00B04C54" w:rsidP="00645172">
      <w:pPr>
        <w:spacing w:after="0" w:line="360" w:lineRule="auto"/>
        <w:rPr>
          <w:rFonts w:cs="Times New Roman"/>
        </w:rPr>
      </w:pPr>
      <w:bookmarkStart w:id="255" w:name="_Toc466638280"/>
      <w:bookmarkStart w:id="256" w:name="_Toc466638601"/>
      <w:bookmarkStart w:id="257" w:name="_Toc466639024"/>
      <w:bookmarkStart w:id="258" w:name="_Toc466639567"/>
    </w:p>
    <w:p w14:paraId="2E0ED9B2" w14:textId="77777777" w:rsidR="00745A4D" w:rsidRPr="006A379C" w:rsidRDefault="00745A4D" w:rsidP="00645172">
      <w:pPr>
        <w:spacing w:after="0" w:line="360" w:lineRule="auto"/>
        <w:rPr>
          <w:rFonts w:cs="Times New Roman"/>
          <w:b/>
        </w:rPr>
      </w:pPr>
      <w:r w:rsidRPr="006A379C">
        <w:rPr>
          <w:rFonts w:cs="Times New Roman"/>
          <w:b/>
        </w:rPr>
        <w:t>Funding</w:t>
      </w:r>
      <w:bookmarkEnd w:id="255"/>
      <w:bookmarkEnd w:id="256"/>
      <w:bookmarkEnd w:id="257"/>
      <w:bookmarkEnd w:id="258"/>
    </w:p>
    <w:p w14:paraId="0AC23F7C" w14:textId="77777777" w:rsidR="000448D6" w:rsidRPr="000C1DEB" w:rsidRDefault="000448D6" w:rsidP="00645172">
      <w:pPr>
        <w:spacing w:after="0" w:line="360" w:lineRule="auto"/>
      </w:pPr>
      <w:r w:rsidRPr="000C1DEB">
        <w:t xml:space="preserve">This project was funded by the </w:t>
      </w:r>
      <w:r w:rsidR="005010B3">
        <w:t xml:space="preserve">Public Health Research Programme of the </w:t>
      </w:r>
      <w:r w:rsidRPr="000C1DEB">
        <w:t>National Institute for Health Research</w:t>
      </w:r>
    </w:p>
    <w:p w14:paraId="35774629" w14:textId="77777777" w:rsidR="002B1AB1" w:rsidRPr="000C1DEB" w:rsidRDefault="002B1AB1" w:rsidP="00B90354">
      <w:pPr>
        <w:rPr>
          <w:rFonts w:cs="Times New Roman"/>
        </w:rPr>
      </w:pPr>
    </w:p>
    <w:p w14:paraId="3BCB682A" w14:textId="66FFFE7F" w:rsidR="002B1AB1" w:rsidRPr="000C1DEB" w:rsidRDefault="002B1AB1" w:rsidP="00B90354">
      <w:pPr>
        <w:rPr>
          <w:rFonts w:cs="Times New Roman"/>
        </w:rPr>
      </w:pPr>
      <w:bookmarkStart w:id="259" w:name="_Toc454450803"/>
      <w:r w:rsidRPr="000C1DEB">
        <w:rPr>
          <w:rFonts w:cs="Times New Roman"/>
        </w:rPr>
        <w:t>Word Count</w:t>
      </w:r>
      <w:bookmarkEnd w:id="259"/>
      <w:r w:rsidR="00B04C54">
        <w:rPr>
          <w:rFonts w:cs="Times New Roman"/>
        </w:rPr>
        <w:t xml:space="preserve"> 13</w:t>
      </w:r>
      <w:r w:rsidR="005125E5">
        <w:rPr>
          <w:rFonts w:cs="Times New Roman"/>
        </w:rPr>
        <w:t>69</w:t>
      </w:r>
      <w:r w:rsidR="00B04C54">
        <w:rPr>
          <w:rFonts w:cs="Times New Roman"/>
        </w:rPr>
        <w:t xml:space="preserve"> words</w:t>
      </w:r>
    </w:p>
    <w:p w14:paraId="0567E1DD" w14:textId="77777777" w:rsidR="002B1AB1" w:rsidRPr="000C1DEB" w:rsidRDefault="002B1AB1" w:rsidP="00B90354">
      <w:pPr>
        <w:rPr>
          <w:rFonts w:eastAsiaTheme="majorEastAsia" w:cs="Times New Roman"/>
          <w:color w:val="4F81BD" w:themeColor="accent1"/>
        </w:rPr>
      </w:pPr>
      <w:r w:rsidRPr="000C1DEB">
        <w:rPr>
          <w:rFonts w:cs="Times New Roman"/>
        </w:rPr>
        <w:br w:type="page"/>
      </w:r>
    </w:p>
    <w:p w14:paraId="7D507D26" w14:textId="4DD5F803" w:rsidR="00BC39D9" w:rsidRPr="005653A5" w:rsidRDefault="008F6C17" w:rsidP="00AB4D98">
      <w:pPr>
        <w:pStyle w:val="Heading1"/>
      </w:pPr>
      <w:bookmarkStart w:id="260" w:name="_Toc454450805"/>
      <w:bookmarkStart w:id="261" w:name="_Toc475974332"/>
      <w:bookmarkStart w:id="262" w:name="_Toc466639025"/>
      <w:bookmarkStart w:id="263" w:name="_Toc466710039"/>
      <w:bookmarkStart w:id="264" w:name="_Toc466711387"/>
      <w:bookmarkStart w:id="265" w:name="_Toc466712046"/>
      <w:r w:rsidRPr="005653A5">
        <w:lastRenderedPageBreak/>
        <w:t xml:space="preserve">Chapter 1 </w:t>
      </w:r>
      <w:r w:rsidR="00BC39D9" w:rsidRPr="005653A5">
        <w:t>Introduction</w:t>
      </w:r>
      <w:bookmarkEnd w:id="260"/>
      <w:bookmarkEnd w:id="261"/>
      <w:r w:rsidR="00BC39D9" w:rsidRPr="005653A5">
        <w:t xml:space="preserve"> </w:t>
      </w:r>
      <w:bookmarkEnd w:id="262"/>
      <w:bookmarkEnd w:id="263"/>
      <w:bookmarkEnd w:id="264"/>
      <w:bookmarkEnd w:id="265"/>
    </w:p>
    <w:p w14:paraId="13DE1EE8" w14:textId="2D617C22" w:rsidR="00BC39D9" w:rsidRPr="005653A5" w:rsidRDefault="003A63D5" w:rsidP="005653A5">
      <w:pPr>
        <w:pStyle w:val="Heading2"/>
        <w:spacing w:line="360" w:lineRule="auto"/>
        <w:rPr>
          <w:rFonts w:asciiTheme="minorHAnsi" w:hAnsiTheme="minorHAnsi" w:cs="Times New Roman"/>
          <w:sz w:val="22"/>
          <w:szCs w:val="22"/>
        </w:rPr>
      </w:pPr>
      <w:bookmarkStart w:id="266" w:name="_Toc454450806"/>
      <w:bookmarkStart w:id="267" w:name="_Toc466639026"/>
      <w:bookmarkStart w:id="268" w:name="_Toc466710040"/>
      <w:bookmarkStart w:id="269" w:name="_Toc466711388"/>
      <w:bookmarkStart w:id="270" w:name="_Toc466712047"/>
      <w:bookmarkStart w:id="271" w:name="_Toc475974333"/>
      <w:r>
        <w:rPr>
          <w:rFonts w:asciiTheme="minorHAnsi" w:hAnsiTheme="minorHAnsi" w:cs="Times New Roman"/>
          <w:sz w:val="22"/>
          <w:szCs w:val="22"/>
        </w:rPr>
        <w:t xml:space="preserve">1.1 </w:t>
      </w:r>
      <w:r w:rsidR="00BC39D9" w:rsidRPr="005653A5">
        <w:rPr>
          <w:rFonts w:asciiTheme="minorHAnsi" w:hAnsiTheme="minorHAnsi" w:cs="Times New Roman"/>
          <w:sz w:val="22"/>
          <w:szCs w:val="22"/>
        </w:rPr>
        <w:t>Scientific background</w:t>
      </w:r>
      <w:bookmarkEnd w:id="266"/>
      <w:bookmarkEnd w:id="267"/>
      <w:bookmarkEnd w:id="268"/>
      <w:bookmarkEnd w:id="269"/>
      <w:bookmarkEnd w:id="270"/>
      <w:bookmarkEnd w:id="271"/>
    </w:p>
    <w:p w14:paraId="4B5466BF" w14:textId="3A10222A" w:rsidR="00B5432E" w:rsidRPr="005653A5" w:rsidRDefault="00BC39D9" w:rsidP="005653A5">
      <w:pPr>
        <w:autoSpaceDE w:val="0"/>
        <w:autoSpaceDN w:val="0"/>
        <w:adjustRightInd w:val="0"/>
        <w:spacing w:after="0" w:line="360" w:lineRule="auto"/>
        <w:rPr>
          <w:rFonts w:cs="Times New Roman"/>
        </w:rPr>
      </w:pPr>
      <w:r w:rsidRPr="005653A5">
        <w:rPr>
          <w:rFonts w:cs="Times New Roman"/>
        </w:rPr>
        <w:t>Obesity is considered to be one of the greatest challenges facing public health in the 21</w:t>
      </w:r>
      <w:r w:rsidRPr="005653A5">
        <w:rPr>
          <w:rFonts w:cs="Times New Roman"/>
          <w:vertAlign w:val="superscript"/>
        </w:rPr>
        <w:t>st</w:t>
      </w:r>
      <w:r w:rsidRPr="005653A5">
        <w:rPr>
          <w:rFonts w:cs="Times New Roman"/>
        </w:rPr>
        <w:t xml:space="preserve"> Century. Currently a </w:t>
      </w:r>
      <w:r w:rsidR="0041427C">
        <w:rPr>
          <w:rFonts w:cs="Times New Roman"/>
        </w:rPr>
        <w:t xml:space="preserve">fifth </w:t>
      </w:r>
      <w:r w:rsidRPr="005653A5">
        <w:rPr>
          <w:rFonts w:cs="Times New Roman"/>
        </w:rPr>
        <w:t xml:space="preserve">of boys and girls </w:t>
      </w:r>
      <w:r w:rsidR="00CF64AE" w:rsidRPr="005653A5">
        <w:rPr>
          <w:rFonts w:cs="Times New Roman"/>
        </w:rPr>
        <w:t xml:space="preserve">in England </w:t>
      </w:r>
      <w:r w:rsidRPr="005653A5">
        <w:rPr>
          <w:rFonts w:cs="Times New Roman"/>
        </w:rPr>
        <w:t>start school overweight or obese and one third of children leave primary school (aged 11) overweight or obese</w:t>
      </w:r>
      <w:r w:rsidR="00ED1F9E" w:rsidRPr="00ED1F9E">
        <w:t xml:space="preserve"> </w:t>
      </w:r>
      <w:r w:rsidR="00ED1F9E">
        <w:rPr>
          <w:rFonts w:cs="Times New Roman"/>
        </w:rPr>
        <w:fldChar w:fldCharType="begin"/>
      </w:r>
      <w:r w:rsidR="00931E9F">
        <w:rPr>
          <w:rFonts w:cs="Times New Roman"/>
        </w:rPr>
        <w:instrText xml:space="preserve"> ADDIN EN.CITE &lt;EndNote&gt;&lt;Cite ExcludeAuth="1"&gt;&lt;Year&gt;2016&lt;/Year&gt;&lt;RecNum&gt;5719&lt;/RecNum&gt;&lt;DisplayText&gt;&lt;style face="superscript"&gt;1&lt;/style&gt;&lt;/DisplayText&gt;&lt;record&gt;&lt;rec-number&gt;5719&lt;/rec-number&gt;&lt;foreign-keys&gt;&lt;key app="EN" db-id="2ewa9rrvjsdsawep2vpx5x97eedzzvxx5rta" timestamp="1478614119"&gt;5719&lt;/key&gt;&lt;/foreign-keys&gt;&lt;ref-type name="Government Document"&gt;46&lt;/ref-type&gt;&lt;contributors&gt;&lt;/contributors&gt;&lt;titles&gt;&lt;title&gt;National Child Measurement Programme England, 2015/16 school year, &lt;/title&gt;&lt;/titles&gt;&lt;dates&gt;&lt;year&gt;2016&lt;/year&gt;&lt;/dates&gt;&lt;publisher&gt;NHS Digital&lt;/publisher&gt;&lt;urls&gt;&lt;related-urls&gt;&lt;url&gt;http://content.digital.nhs.uk/catalogue/PUB22269/nati-chil-meas-prog-eng-2015-2016-rep.pdf&lt;/url&gt;&lt;/related-urls&gt;&lt;/urls&gt;&lt;access-date&gt;01 Oct 2016&lt;/access-date&gt;&lt;/record&gt;&lt;/Cite&gt;&lt;/EndNote&gt;</w:instrText>
      </w:r>
      <w:r w:rsidR="00ED1F9E">
        <w:rPr>
          <w:rFonts w:cs="Times New Roman"/>
        </w:rPr>
        <w:fldChar w:fldCharType="separate"/>
      </w:r>
      <w:r w:rsidR="006347BE" w:rsidRPr="006347BE">
        <w:rPr>
          <w:rFonts w:cs="Times New Roman"/>
          <w:noProof/>
          <w:vertAlign w:val="superscript"/>
        </w:rPr>
        <w:t>1</w:t>
      </w:r>
      <w:r w:rsidR="00ED1F9E">
        <w:rPr>
          <w:rFonts w:cs="Times New Roman"/>
        </w:rPr>
        <w:fldChar w:fldCharType="end"/>
      </w:r>
      <w:r w:rsidRPr="005653A5">
        <w:rPr>
          <w:rFonts w:cs="Times New Roman"/>
        </w:rPr>
        <w:t>. Childhood obesity is strongly associated with socioecon</w:t>
      </w:r>
      <w:r w:rsidR="00CF64AE" w:rsidRPr="005653A5">
        <w:rPr>
          <w:rFonts w:cs="Times New Roman"/>
        </w:rPr>
        <w:t>omic status</w:t>
      </w:r>
      <w:r w:rsidR="00E46F77" w:rsidRPr="005653A5">
        <w:rPr>
          <w:rFonts w:cs="Times New Roman"/>
        </w:rPr>
        <w:t>,</w:t>
      </w:r>
      <w:r w:rsidR="00CF64AE" w:rsidRPr="005653A5">
        <w:rPr>
          <w:rFonts w:cs="Times New Roman"/>
        </w:rPr>
        <w:t xml:space="preserve"> with children </w:t>
      </w:r>
      <w:r w:rsidRPr="005653A5">
        <w:rPr>
          <w:rFonts w:cs="Times New Roman"/>
        </w:rPr>
        <w:t>from the least affluent decile being twice as likely to be obese as children from the most affluent decile</w:t>
      </w:r>
      <w:r w:rsidR="00F6300C">
        <w:rPr>
          <w:rFonts w:cs="Times New Roman"/>
        </w:rPr>
        <w:t xml:space="preserve"> </w:t>
      </w:r>
      <w:r w:rsidR="00F6300C">
        <w:rPr>
          <w:rFonts w:cs="Times New Roman"/>
        </w:rPr>
        <w:fldChar w:fldCharType="begin"/>
      </w:r>
      <w:r w:rsidR="00931E9F">
        <w:rPr>
          <w:rFonts w:cs="Times New Roman"/>
        </w:rPr>
        <w:instrText xml:space="preserve"> ADDIN EN.CITE &lt;EndNote&gt;&lt;Cite&gt;&lt;Author&gt;Observatory&lt;/Author&gt;&lt;Year&gt;2012&lt;/Year&gt;&lt;RecNum&gt;5716&lt;/RecNum&gt;&lt;DisplayText&gt;&lt;style face="superscript"&gt;2&lt;/style&gt;&lt;/DisplayText&gt;&lt;record&gt;&lt;rec-number&gt;5716&lt;/rec-number&gt;&lt;foreign-keys&gt;&lt;key app="EN" db-id="2ewa9rrvjsdsawep2vpx5x97eedzzvxx5rta" timestamp="1478532946"&gt;5716&lt;/key&gt;&lt;/foreign-keys&gt;&lt;ref-type name="Government Document"&gt;46&lt;/ref-type&gt;&lt;contributors&gt;&lt;authors&gt;&lt;author&gt;NOO National Obesity Observatory,&lt;/author&gt;&lt;/authors&gt;&lt;secondary-authors&gt;&lt;author&gt;National Obesity Observatory&lt;/author&gt;&lt;/secondary-authors&gt;&lt;/contributors&gt;&lt;titles&gt;&lt;title&gt;Child Obesity and Socioeconomic Status&lt;/title&gt;&lt;/titles&gt;&lt;dates&gt;&lt;year&gt;2012&lt;/year&gt;&lt;/dates&gt;&lt;urls&gt;&lt;related-urls&gt;&lt;url&gt;http://www.noo.org.uk/uploads/doc/vid_16967_ChildSocioeconSep2012.pdf&lt;/url&gt;&lt;/related-urls&gt;&lt;/urls&gt;&lt;access-date&gt;03 Sept 2016&lt;/access-date&gt;&lt;/record&gt;&lt;/Cite&gt;&lt;/EndNote&gt;</w:instrText>
      </w:r>
      <w:r w:rsidR="00F6300C">
        <w:rPr>
          <w:rFonts w:cs="Times New Roman"/>
        </w:rPr>
        <w:fldChar w:fldCharType="separate"/>
      </w:r>
      <w:r w:rsidR="006347BE" w:rsidRPr="006347BE">
        <w:rPr>
          <w:rFonts w:cs="Times New Roman"/>
          <w:noProof/>
          <w:vertAlign w:val="superscript"/>
        </w:rPr>
        <w:t>2</w:t>
      </w:r>
      <w:r w:rsidR="00F6300C">
        <w:rPr>
          <w:rFonts w:cs="Times New Roman"/>
        </w:rPr>
        <w:fldChar w:fldCharType="end"/>
      </w:r>
      <w:r w:rsidRPr="005653A5">
        <w:rPr>
          <w:rFonts w:cs="Times New Roman"/>
        </w:rPr>
        <w:t xml:space="preserve">. Childhood obesity tracks into adulthood; a recent systematic review </w:t>
      </w:r>
      <w:r w:rsidR="006D547B">
        <w:rPr>
          <w:rFonts w:cs="Times New Roman"/>
        </w:rPr>
        <w:fldChar w:fldCharType="begin"/>
      </w:r>
      <w:r w:rsidR="00FF0067">
        <w:rPr>
          <w:rFonts w:cs="Times New Roman"/>
        </w:rPr>
        <w:instrText xml:space="preserve"> ADDIN EN.CITE &lt;EndNote&gt;&lt;Cite&gt;&lt;Author&gt;Simmonds&lt;/Author&gt;&lt;Year&gt;2016&lt;/Year&gt;&lt;RecNum&gt;5714&lt;/RecNum&gt;&lt;DisplayText&gt;&lt;style face="superscript"&gt;3&lt;/style&gt;&lt;/DisplayText&gt;&lt;record&gt;&lt;rec-number&gt;5714&lt;/rec-number&gt;&lt;foreign-keys&gt;&lt;key app="EN" db-id="2ewa9rrvjsdsawep2vpx5x97eedzzvxx5rta" timestamp="1478529019"&gt;5714&lt;/key&gt;&lt;/foreign-keys&gt;&lt;ref-type name="Journal Article"&gt;17&lt;/ref-type&gt;&lt;contributors&gt;&lt;authors&gt;&lt;author&gt;Simmonds, M.&lt;/author&gt;&lt;author&gt;Llewellyn, A.&lt;/author&gt;&lt;author&gt;Owen, C. G.&lt;/author&gt;&lt;author&gt;Woolacott, N.&lt;/author&gt;&lt;/authors&gt;&lt;/contributors&gt;&lt;titles&gt;&lt;title&gt;Predicting adult obesity from childhood obesity: a systematic review and meta-analysis&lt;/title&gt;&lt;secondary-title&gt;Obesity Reviews&lt;/secondary-title&gt;&lt;/titles&gt;&lt;periodical&gt;&lt;full-title&gt;Obesity Reviews&lt;/full-title&gt;&lt;abbr-1&gt;Obes. Rev.&lt;/abbr-1&gt;&lt;abbr-2&gt;Obes Rev&lt;/abbr-2&gt;&lt;/periodical&gt;&lt;pages&gt;95-107&lt;/pages&gt;&lt;volume&gt;17&lt;/volume&gt;&lt;number&gt;2&lt;/number&gt;&lt;keywords&gt;&lt;keyword&gt;Childhood obesity&lt;/keyword&gt;&lt;keyword&gt;meta-analysis&lt;/keyword&gt;&lt;keyword&gt;prediction&lt;/keyword&gt;&lt;keyword&gt;systematic review&lt;/keyword&gt;&lt;/keywords&gt;&lt;dates&gt;&lt;year&gt;2016&lt;/year&gt;&lt;/dates&gt;&lt;isbn&gt;1467-789X&lt;/isbn&gt;&lt;urls&gt;&lt;related-urls&gt;&lt;url&gt;http://dx.doi.org/10.1111/obr.12334&lt;/url&gt;&lt;/related-urls&gt;&lt;/urls&gt;&lt;electronic-resource-num&gt;10.1111/obr.12334&lt;/electronic-resource-num&gt;&lt;modified-date&gt;Obr-05-15-2260.r1&lt;/modified-date&gt;&lt;/record&gt;&lt;/Cite&gt;&lt;/EndNote&gt;</w:instrText>
      </w:r>
      <w:r w:rsidR="006D547B">
        <w:rPr>
          <w:rFonts w:cs="Times New Roman"/>
        </w:rPr>
        <w:fldChar w:fldCharType="separate"/>
      </w:r>
      <w:r w:rsidR="006347BE" w:rsidRPr="006347BE">
        <w:rPr>
          <w:rFonts w:cs="Times New Roman"/>
          <w:noProof/>
          <w:vertAlign w:val="superscript"/>
        </w:rPr>
        <w:t>3</w:t>
      </w:r>
      <w:r w:rsidR="006D547B">
        <w:rPr>
          <w:rFonts w:cs="Times New Roman"/>
        </w:rPr>
        <w:fldChar w:fldCharType="end"/>
      </w:r>
      <w:r w:rsidR="00F81633">
        <w:rPr>
          <w:rFonts w:cs="Times New Roman"/>
        </w:rPr>
        <w:t xml:space="preserve"> </w:t>
      </w:r>
      <w:r w:rsidR="00E46F77" w:rsidRPr="005653A5">
        <w:rPr>
          <w:rFonts w:cs="Times New Roman"/>
        </w:rPr>
        <w:t>reported</w:t>
      </w:r>
      <w:r w:rsidRPr="005653A5">
        <w:rPr>
          <w:rFonts w:cs="Times New Roman"/>
        </w:rPr>
        <w:t xml:space="preserve"> that obese children are five times more likely to be obese as adults than non-obese children and 80% of obese adolescents were still obese in adulthood. </w:t>
      </w:r>
    </w:p>
    <w:p w14:paraId="7FF69DA0" w14:textId="77777777" w:rsidR="003B46E5" w:rsidRPr="005653A5" w:rsidRDefault="003B46E5" w:rsidP="005653A5">
      <w:pPr>
        <w:autoSpaceDE w:val="0"/>
        <w:autoSpaceDN w:val="0"/>
        <w:adjustRightInd w:val="0"/>
        <w:spacing w:after="0" w:line="360" w:lineRule="auto"/>
        <w:rPr>
          <w:rFonts w:cs="Times New Roman"/>
        </w:rPr>
      </w:pPr>
    </w:p>
    <w:p w14:paraId="330A0713" w14:textId="64CB5747" w:rsidR="00244209" w:rsidRPr="005653A5" w:rsidRDefault="00ED0F74" w:rsidP="005653A5">
      <w:pPr>
        <w:autoSpaceDE w:val="0"/>
        <w:autoSpaceDN w:val="0"/>
        <w:adjustRightInd w:val="0"/>
        <w:spacing w:after="0" w:line="360" w:lineRule="auto"/>
        <w:rPr>
          <w:rFonts w:cs="Times New Roman"/>
        </w:rPr>
      </w:pPr>
      <w:r w:rsidRPr="005653A5">
        <w:rPr>
          <w:rFonts w:cs="Times New Roman"/>
        </w:rPr>
        <w:t>School</w:t>
      </w:r>
      <w:r w:rsidR="009050BA" w:rsidRPr="005653A5">
        <w:rPr>
          <w:rFonts w:cs="Times New Roman"/>
        </w:rPr>
        <w:t>-</w:t>
      </w:r>
      <w:r w:rsidRPr="005653A5">
        <w:rPr>
          <w:rFonts w:cs="Times New Roman"/>
        </w:rPr>
        <w:t xml:space="preserve">based </w:t>
      </w:r>
      <w:r w:rsidR="00780AF9">
        <w:rPr>
          <w:rFonts w:cs="Times New Roman"/>
        </w:rPr>
        <w:t xml:space="preserve">obesity </w:t>
      </w:r>
      <w:r w:rsidR="00CF64AE" w:rsidRPr="005653A5">
        <w:rPr>
          <w:rFonts w:cs="Times New Roman"/>
        </w:rPr>
        <w:t xml:space="preserve">preventative </w:t>
      </w:r>
      <w:r w:rsidRPr="005653A5">
        <w:rPr>
          <w:rFonts w:cs="Times New Roman"/>
        </w:rPr>
        <w:t>interventions have the potential to reach a large number of children</w:t>
      </w:r>
      <w:r w:rsidR="00D04AF9" w:rsidRPr="005653A5">
        <w:rPr>
          <w:rFonts w:cs="Times New Roman"/>
        </w:rPr>
        <w:t xml:space="preserve"> and families</w:t>
      </w:r>
      <w:r w:rsidRPr="005653A5">
        <w:rPr>
          <w:rFonts w:cs="Times New Roman"/>
        </w:rPr>
        <w:t xml:space="preserve"> across the socioeconomic spectrum and</w:t>
      </w:r>
      <w:r w:rsidR="005D4686">
        <w:rPr>
          <w:rFonts w:cs="Times New Roman"/>
        </w:rPr>
        <w:t xml:space="preserve"> schools</w:t>
      </w:r>
      <w:r w:rsidRPr="005653A5">
        <w:rPr>
          <w:rFonts w:cs="Times New Roman"/>
        </w:rPr>
        <w:t xml:space="preserve"> provide the organisational, social and communication structures</w:t>
      </w:r>
      <w:r w:rsidR="00D04AF9" w:rsidRPr="005653A5">
        <w:rPr>
          <w:rFonts w:cs="Times New Roman"/>
        </w:rPr>
        <w:t xml:space="preserve"> to educate children and parents about healthy lifestyles. </w:t>
      </w:r>
      <w:r w:rsidR="0007164D" w:rsidRPr="005653A5">
        <w:rPr>
          <w:rFonts w:cs="Times New Roman"/>
        </w:rPr>
        <w:t>Systematic reviews of school-based interventions to prevent obesity and/or increase physical activity and reduce sedentary behaviours show</w:t>
      </w:r>
      <w:r w:rsidR="0068360B" w:rsidRPr="005653A5">
        <w:rPr>
          <w:rFonts w:cs="Times New Roman"/>
        </w:rPr>
        <w:t>, at best,</w:t>
      </w:r>
      <w:r w:rsidR="0007164D" w:rsidRPr="005653A5">
        <w:rPr>
          <w:rFonts w:cs="Times New Roman"/>
        </w:rPr>
        <w:t xml:space="preserve"> </w:t>
      </w:r>
      <w:r w:rsidR="0068360B" w:rsidRPr="005653A5">
        <w:rPr>
          <w:rFonts w:cs="Times New Roman"/>
        </w:rPr>
        <w:t xml:space="preserve">moderate evidence of effectiveness, with the majority of </w:t>
      </w:r>
      <w:r w:rsidR="00DE0BD4" w:rsidRPr="005653A5">
        <w:rPr>
          <w:rFonts w:cs="Times New Roman"/>
        </w:rPr>
        <w:t xml:space="preserve">studies </w:t>
      </w:r>
      <w:r w:rsidR="0068360B" w:rsidRPr="005653A5">
        <w:rPr>
          <w:rFonts w:cs="Times New Roman"/>
        </w:rPr>
        <w:t xml:space="preserve">being </w:t>
      </w:r>
      <w:r w:rsidR="00DE0BD4" w:rsidRPr="005653A5">
        <w:rPr>
          <w:rFonts w:cs="Times New Roman"/>
        </w:rPr>
        <w:t xml:space="preserve">conducted in the United </w:t>
      </w:r>
      <w:r w:rsidR="000F7CF5">
        <w:rPr>
          <w:rFonts w:cs="Times New Roman"/>
        </w:rPr>
        <w:t>States</w:t>
      </w:r>
      <w:r w:rsidR="001A345A">
        <w:rPr>
          <w:rFonts w:cs="Times New Roman"/>
        </w:rPr>
        <w:t xml:space="preserve"> </w:t>
      </w:r>
      <w:r w:rsidR="00BB07E6">
        <w:rPr>
          <w:rFonts w:cs="Times New Roman"/>
        </w:rPr>
        <w:fldChar w:fldCharType="begin">
          <w:fldData xml:space="preserve">PEVuZE5vdGU+PENpdGU+PEF1dGhvcj5XYW5nPC9BdXRob3I+PFllYXI+MjAxNTwvWWVhcj48UmVj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==
</w:fldData>
        </w:fldChar>
      </w:r>
      <w:r w:rsidR="00FF0067">
        <w:rPr>
          <w:rFonts w:cs="Times New Roman"/>
        </w:rPr>
        <w:instrText xml:space="preserve"> ADDIN EN.CITE </w:instrText>
      </w:r>
      <w:r w:rsidR="00FF0067">
        <w:rPr>
          <w:rFonts w:cs="Times New Roman"/>
        </w:rPr>
        <w:fldChar w:fldCharType="begin">
          <w:fldData xml:space="preserve">PEVuZE5vdGU+PENpdGU+PEF1dGhvcj5XYW5nPC9BdXRob3I+PFllYXI+MjAxNTwvWWVhcj48UmVj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==
</w:fldData>
        </w:fldChar>
      </w:r>
      <w:r w:rsidR="00FF0067">
        <w:rPr>
          <w:rFonts w:cs="Times New Roman"/>
        </w:rPr>
        <w:instrText xml:space="preserve"> ADDIN EN.CITE.DATA </w:instrText>
      </w:r>
      <w:r w:rsidR="00FF0067">
        <w:rPr>
          <w:rFonts w:cs="Times New Roman"/>
        </w:rPr>
      </w:r>
      <w:r w:rsidR="00FF0067">
        <w:rPr>
          <w:rFonts w:cs="Times New Roman"/>
        </w:rPr>
        <w:fldChar w:fldCharType="end"/>
      </w:r>
      <w:r w:rsidR="00BB07E6">
        <w:rPr>
          <w:rFonts w:cs="Times New Roman"/>
        </w:rPr>
      </w:r>
      <w:r w:rsidR="00BB07E6">
        <w:rPr>
          <w:rFonts w:cs="Times New Roman"/>
        </w:rPr>
        <w:fldChar w:fldCharType="separate"/>
      </w:r>
      <w:r w:rsidR="006347BE" w:rsidRPr="006347BE">
        <w:rPr>
          <w:rFonts w:cs="Times New Roman"/>
          <w:noProof/>
          <w:vertAlign w:val="superscript"/>
        </w:rPr>
        <w:t>4</w:t>
      </w:r>
      <w:r w:rsidR="00BB07E6">
        <w:rPr>
          <w:rFonts w:cs="Times New Roman"/>
        </w:rPr>
        <w:fldChar w:fldCharType="end"/>
      </w:r>
      <w:r w:rsidR="000F7CF5">
        <w:rPr>
          <w:rFonts w:cs="Times New Roman"/>
        </w:rPr>
        <w:t>. S</w:t>
      </w:r>
      <w:r w:rsidR="004D0A07">
        <w:rPr>
          <w:rFonts w:cs="Times New Roman"/>
        </w:rPr>
        <w:t>everal m</w:t>
      </w:r>
      <w:r w:rsidR="00BE4374" w:rsidRPr="005653A5">
        <w:rPr>
          <w:rFonts w:cs="Times New Roman"/>
        </w:rPr>
        <w:t>ethodological short</w:t>
      </w:r>
      <w:r w:rsidR="00AD4303" w:rsidRPr="005653A5">
        <w:rPr>
          <w:rFonts w:cs="Times New Roman"/>
        </w:rPr>
        <w:t>-</w:t>
      </w:r>
      <w:r w:rsidR="00BE4374" w:rsidRPr="005653A5">
        <w:rPr>
          <w:rFonts w:cs="Times New Roman"/>
        </w:rPr>
        <w:t>comings have also been</w:t>
      </w:r>
      <w:r w:rsidR="00AD4303" w:rsidRPr="005653A5">
        <w:rPr>
          <w:rFonts w:cs="Times New Roman"/>
        </w:rPr>
        <w:t xml:space="preserve"> </w:t>
      </w:r>
      <w:r w:rsidR="004D0A07">
        <w:rPr>
          <w:rFonts w:cs="Times New Roman"/>
        </w:rPr>
        <w:t>identified</w:t>
      </w:r>
      <w:r w:rsidR="000F7CF5">
        <w:rPr>
          <w:rFonts w:cs="Times New Roman"/>
        </w:rPr>
        <w:t xml:space="preserve"> such as </w:t>
      </w:r>
      <w:r w:rsidR="004D0A07">
        <w:rPr>
          <w:rFonts w:cs="Times New Roman"/>
        </w:rPr>
        <w:t xml:space="preserve">differential loss to follow up, not having sufficient </w:t>
      </w:r>
      <w:r w:rsidR="005D4686">
        <w:rPr>
          <w:rFonts w:cs="Times New Roman"/>
        </w:rPr>
        <w:t xml:space="preserve">statistical </w:t>
      </w:r>
      <w:r w:rsidR="004D0A07">
        <w:rPr>
          <w:rFonts w:cs="Times New Roman"/>
        </w:rPr>
        <w:t xml:space="preserve">power </w:t>
      </w:r>
      <w:r w:rsidR="00924EA6" w:rsidRPr="005653A5">
        <w:rPr>
          <w:rFonts w:cs="Times New Roman"/>
        </w:rPr>
        <w:t xml:space="preserve">to detect </w:t>
      </w:r>
      <w:r w:rsidR="0016425E">
        <w:rPr>
          <w:rFonts w:cs="Times New Roman"/>
        </w:rPr>
        <w:t xml:space="preserve">clinically meaningful </w:t>
      </w:r>
      <w:r w:rsidR="00924EA6" w:rsidRPr="005653A5">
        <w:rPr>
          <w:rFonts w:cs="Times New Roman"/>
        </w:rPr>
        <w:t>differences between groups, particularly on adiposity outcomes</w:t>
      </w:r>
      <w:r w:rsidR="000F7CF5">
        <w:rPr>
          <w:rFonts w:cs="Times New Roman"/>
        </w:rPr>
        <w:t>,</w:t>
      </w:r>
      <w:r w:rsidR="004D0A07">
        <w:rPr>
          <w:rFonts w:cs="Times New Roman"/>
        </w:rPr>
        <w:t xml:space="preserve"> and short term follow up</w:t>
      </w:r>
      <w:r w:rsidR="001A345A">
        <w:rPr>
          <w:rFonts w:cs="Times New Roman"/>
        </w:rPr>
        <w:t xml:space="preserve"> </w:t>
      </w:r>
      <w:r w:rsidR="001A345A">
        <w:rPr>
          <w:rFonts w:cs="Times New Roman"/>
        </w:rPr>
        <w:fldChar w:fldCharType="begin">
          <w:fldData xml:space="preserve">PEVuZE5vdGU+PENpdGU+PEF1dGhvcj5XYW5nPC9BdXRob3I+PFllYXI+MjAxMzwvWWVhcj48UmVj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</w:fldData>
        </w:fldChar>
      </w:r>
      <w:r w:rsidR="00F01A09">
        <w:rPr>
          <w:rFonts w:cs="Times New Roman"/>
        </w:rPr>
        <w:instrText xml:space="preserve"> ADDIN EN.CITE </w:instrText>
      </w:r>
      <w:r w:rsidR="00F01A09">
        <w:rPr>
          <w:rFonts w:cs="Times New Roman"/>
        </w:rPr>
        <w:fldChar w:fldCharType="begin">
          <w:fldData xml:space="preserve">PEVuZE5vdGU+PENpdGU+PEF1dGhvcj5XYW5nPC9BdXRob3I+PFllYXI+MjAxMzwvWWVhcj48UmVj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</w:fldData>
        </w:fldChar>
      </w:r>
      <w:r w:rsidR="00F01A09">
        <w:rPr>
          <w:rFonts w:cs="Times New Roman"/>
        </w:rPr>
        <w:instrText xml:space="preserve"> ADDIN EN.CITE.DATA </w:instrText>
      </w:r>
      <w:r w:rsidR="00F01A09">
        <w:rPr>
          <w:rFonts w:cs="Times New Roman"/>
        </w:rPr>
      </w:r>
      <w:r w:rsidR="00F01A09">
        <w:rPr>
          <w:rFonts w:cs="Times New Roman"/>
        </w:rPr>
        <w:fldChar w:fldCharType="end"/>
      </w:r>
      <w:r w:rsidR="001A345A">
        <w:rPr>
          <w:rFonts w:cs="Times New Roman"/>
        </w:rPr>
      </w:r>
      <w:r w:rsidR="001A345A">
        <w:rPr>
          <w:rFonts w:cs="Times New Roman"/>
        </w:rPr>
        <w:fldChar w:fldCharType="separate"/>
      </w:r>
      <w:r w:rsidR="00F01A09" w:rsidRPr="00F01A09">
        <w:rPr>
          <w:rFonts w:cs="Times New Roman"/>
          <w:noProof/>
          <w:vertAlign w:val="superscript"/>
        </w:rPr>
        <w:t>5,6</w:t>
      </w:r>
      <w:r w:rsidR="001A345A">
        <w:rPr>
          <w:rFonts w:cs="Times New Roman"/>
        </w:rPr>
        <w:fldChar w:fldCharType="end"/>
      </w:r>
      <w:r w:rsidR="004D0A07">
        <w:rPr>
          <w:rFonts w:cs="Times New Roman"/>
        </w:rPr>
        <w:t>.</w:t>
      </w:r>
    </w:p>
    <w:p w14:paraId="22BE38CC" w14:textId="035C6BD7" w:rsidR="00FB1B51" w:rsidRPr="007A68D4" w:rsidRDefault="003A63D5" w:rsidP="007A68D4">
      <w:pPr>
        <w:pStyle w:val="Heading2"/>
        <w:rPr>
          <w:rFonts w:asciiTheme="minorHAnsi" w:hAnsiTheme="minorHAnsi" w:cs="Times New Roman"/>
          <w:sz w:val="22"/>
          <w:szCs w:val="22"/>
        </w:rPr>
      </w:pPr>
      <w:bookmarkStart w:id="272" w:name="_Toc466639027"/>
      <w:bookmarkStart w:id="273" w:name="_Toc466710041"/>
      <w:bookmarkStart w:id="274" w:name="_Toc466711389"/>
      <w:bookmarkStart w:id="275" w:name="_Toc466712048"/>
      <w:bookmarkStart w:id="276" w:name="_Toc475974334"/>
      <w:r w:rsidRPr="007A68D4">
        <w:rPr>
          <w:rFonts w:asciiTheme="minorHAnsi" w:hAnsiTheme="minorHAnsi" w:cs="Times New Roman"/>
          <w:sz w:val="22"/>
          <w:szCs w:val="22"/>
        </w:rPr>
        <w:t xml:space="preserve">1.2 </w:t>
      </w:r>
      <w:r w:rsidR="00FB1B51" w:rsidRPr="007A68D4">
        <w:rPr>
          <w:rFonts w:asciiTheme="minorHAnsi" w:hAnsiTheme="minorHAnsi" w:cs="Times New Roman"/>
          <w:sz w:val="22"/>
          <w:szCs w:val="22"/>
        </w:rPr>
        <w:t>Evidence for the effectiveness of school-based obesity prevention programmes</w:t>
      </w:r>
      <w:bookmarkEnd w:id="272"/>
      <w:bookmarkEnd w:id="273"/>
      <w:bookmarkEnd w:id="274"/>
      <w:bookmarkEnd w:id="275"/>
      <w:bookmarkEnd w:id="276"/>
    </w:p>
    <w:p w14:paraId="1BFD2C6F" w14:textId="6705F9CC" w:rsidR="00037D40" w:rsidRPr="00B460BE" w:rsidRDefault="00037D40" w:rsidP="00037D40">
      <w:pPr>
        <w:spacing w:line="360" w:lineRule="auto"/>
        <w:rPr>
          <w:rFonts w:eastAsia="Times New Roman" w:cs="Times New Roman"/>
        </w:rPr>
      </w:pPr>
      <w:r w:rsidRPr="00037D40">
        <w:rPr>
          <w:rFonts w:eastAsia="Times New Roman" w:cs="Times New Roman"/>
        </w:rPr>
        <w:t>In 2012, Khambalia and colleagues</w:t>
      </w:r>
      <w:r w:rsidR="00237D84">
        <w:rPr>
          <w:rFonts w:eastAsia="Times New Roman" w:cs="Times New Roman"/>
        </w:rPr>
        <w:t xml:space="preserve"> </w:t>
      </w:r>
      <w:r w:rsidR="00A11111">
        <w:rPr>
          <w:rFonts w:eastAsia="Times New Roman" w:cs="Times New Roman"/>
        </w:rPr>
        <w:fldChar w:fldCharType="begin">
          <w:fldData xml:space="preserve">PEVuZE5vdGU+PENpdGU+PEF1dGhvcj5LaGFtYmFsaWE8L0F1dGhvcj48WWVhcj4yMDEyPC9ZZWFy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</w:fldData>
        </w:fldChar>
      </w:r>
      <w:r w:rsidR="00FF0067">
        <w:rPr>
          <w:rFonts w:eastAsia="Times New Roman" w:cs="Times New Roman"/>
        </w:rPr>
        <w:instrText xml:space="preserve"> ADDIN EN.CITE </w:instrText>
      </w:r>
      <w:r w:rsidR="00FF0067">
        <w:rPr>
          <w:rFonts w:eastAsia="Times New Roman" w:cs="Times New Roman"/>
        </w:rPr>
        <w:fldChar w:fldCharType="begin">
          <w:fldData xml:space="preserve">PEVuZE5vdGU+PENpdGU+PEF1dGhvcj5LaGFtYmFsaWE8L0F1dGhvcj48WWVhcj4yMDEyPC9ZZWFy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</w:fldData>
        </w:fldChar>
      </w:r>
      <w:r w:rsidR="00FF0067">
        <w:rPr>
          <w:rFonts w:eastAsia="Times New Roman" w:cs="Times New Roman"/>
        </w:rPr>
        <w:instrText xml:space="preserve"> ADDIN EN.CITE.DATA </w:instrText>
      </w:r>
      <w:r w:rsidR="00FF0067">
        <w:rPr>
          <w:rFonts w:eastAsia="Times New Roman" w:cs="Times New Roman"/>
        </w:rPr>
      </w:r>
      <w:r w:rsidR="00FF0067">
        <w:rPr>
          <w:rFonts w:eastAsia="Times New Roman" w:cs="Times New Roman"/>
        </w:rPr>
        <w:fldChar w:fldCharType="end"/>
      </w:r>
      <w:r w:rsidR="00A11111">
        <w:rPr>
          <w:rFonts w:eastAsia="Times New Roman" w:cs="Times New Roman"/>
        </w:rPr>
      </w:r>
      <w:r w:rsidR="00A11111">
        <w:rPr>
          <w:rFonts w:eastAsia="Times New Roman" w:cs="Times New Roman"/>
        </w:rPr>
        <w:fldChar w:fldCharType="separate"/>
      </w:r>
      <w:r w:rsidR="006347BE" w:rsidRPr="006347BE">
        <w:rPr>
          <w:rFonts w:eastAsia="Times New Roman" w:cs="Times New Roman"/>
          <w:noProof/>
          <w:vertAlign w:val="superscript"/>
        </w:rPr>
        <w:t>7</w:t>
      </w:r>
      <w:r w:rsidR="00A11111">
        <w:rPr>
          <w:rFonts w:eastAsia="Times New Roman" w:cs="Times New Roman"/>
        </w:rPr>
        <w:fldChar w:fldCharType="end"/>
      </w:r>
      <w:r w:rsidR="00237D84">
        <w:rPr>
          <w:rFonts w:eastAsia="Times New Roman" w:cs="Times New Roman"/>
        </w:rPr>
        <w:t xml:space="preserve"> </w:t>
      </w:r>
      <w:r w:rsidRPr="00037D40">
        <w:rPr>
          <w:rFonts w:eastAsia="Times New Roman" w:cs="Times New Roman"/>
        </w:rPr>
        <w:t xml:space="preserve">examined the quality of evidence and findings from existing systematic reviews and meta-analyses of school-based programmes in the control and prevention of childhood obesity published between 1990 and 2010, eight reviews and 112 studies were examined in total with the most recent </w:t>
      </w:r>
      <w:r w:rsidR="0066005F">
        <w:rPr>
          <w:rFonts w:eastAsia="Times New Roman" w:cs="Times New Roman"/>
        </w:rPr>
        <w:t xml:space="preserve">literature search conducted in </w:t>
      </w:r>
      <w:r w:rsidRPr="00037D40">
        <w:rPr>
          <w:rFonts w:eastAsia="Times New Roman" w:cs="Times New Roman"/>
        </w:rPr>
        <w:t xml:space="preserve">2008. All eight reviews acknowledged that the studies they included had </w:t>
      </w:r>
      <w:r>
        <w:rPr>
          <w:rFonts w:eastAsia="Times New Roman" w:cs="Times New Roman"/>
        </w:rPr>
        <w:t>heterogeneous designs, outcomes</w:t>
      </w:r>
      <w:r w:rsidRPr="00037D40">
        <w:rPr>
          <w:rFonts w:eastAsia="Times New Roman" w:cs="Times New Roman"/>
        </w:rPr>
        <w:t xml:space="preserve"> and age of participants</w:t>
      </w:r>
      <w:r w:rsidRPr="00037D40">
        <w:rPr>
          <w:rFonts w:eastAsia="Times New Roman" w:cs="Times New Roman"/>
          <w:color w:val="1F497D"/>
        </w:rPr>
        <w:t xml:space="preserve">. </w:t>
      </w:r>
      <w:r w:rsidRPr="00237D84">
        <w:rPr>
          <w:rFonts w:eastAsia="Times New Roman" w:cs="Times New Roman"/>
        </w:rPr>
        <w:t>Th</w:t>
      </w:r>
      <w:r w:rsidRPr="00037D40">
        <w:rPr>
          <w:rFonts w:eastAsia="Times New Roman" w:cs="Times New Roman"/>
        </w:rPr>
        <w:t>e reviews were judge</w:t>
      </w:r>
      <w:r w:rsidR="0066005F">
        <w:rPr>
          <w:rFonts w:eastAsia="Times New Roman" w:cs="Times New Roman"/>
        </w:rPr>
        <w:t xml:space="preserve">d for their quality and </w:t>
      </w:r>
      <w:r w:rsidRPr="00037D40">
        <w:rPr>
          <w:rFonts w:eastAsia="Times New Roman" w:cs="Times New Roman"/>
        </w:rPr>
        <w:t>five were considered to be high quality according to their pre-specified criteria.</w:t>
      </w:r>
    </w:p>
    <w:p w14:paraId="5A9E70F8" w14:textId="0C1B1663" w:rsidR="00037D40" w:rsidRPr="00037D40" w:rsidRDefault="00037D40" w:rsidP="00037D40">
      <w:pPr>
        <w:spacing w:line="360" w:lineRule="auto"/>
        <w:rPr>
          <w:rFonts w:eastAsia="Times New Roman" w:cs="Times New Roman"/>
        </w:rPr>
      </w:pPr>
      <w:r w:rsidRPr="00037D40">
        <w:rPr>
          <w:rFonts w:eastAsia="Times New Roman" w:cs="Times New Roman"/>
        </w:rPr>
        <w:t xml:space="preserve">These five reviews included three meta analyses; Cook-Cottone et al (2009) </w:t>
      </w:r>
      <w:r w:rsidR="00A11111">
        <w:rPr>
          <w:rFonts w:eastAsia="Times New Roman" w:cs="Times New Roman"/>
        </w:rPr>
        <w:fldChar w:fldCharType="begin"/>
      </w:r>
      <w:r w:rsidR="00FF0067">
        <w:rPr>
          <w:rFonts w:eastAsia="Times New Roman" w:cs="Times New Roman"/>
        </w:rPr>
        <w:instrText xml:space="preserve"> ADDIN EN.CITE &lt;EndNote&gt;&lt;Cite&gt;&lt;Author&gt;Cook-Cottone&lt;/Author&gt;&lt;Year&gt;2009&lt;/Year&gt;&lt;RecNum&gt;3664&lt;/RecNum&gt;&lt;DisplayText&gt;&lt;style face="superscript"&gt;8&lt;/style&gt;&lt;/DisplayText&gt;&lt;record&gt;&lt;rec-number&gt;3664&lt;/rec-number&gt;&lt;foreign-keys&gt;&lt;key app="EN" db-id="2ewa9rrvjsdsawep2vpx5x97eedzzvxx5rta" timestamp="0"&gt;3664&lt;/key&gt;&lt;/foreign-keys&gt;&lt;ref-type name="Journal Article"&gt;17&lt;/ref-type&gt;&lt;contributors&gt;&lt;authors&gt;&lt;author&gt;Cook-Cottone, C&lt;/author&gt;&lt;author&gt;Casey, C.M.&lt;/author&gt;&lt;author&gt;Feeley, T.H.&lt;/author&gt;&lt;/authors&gt;&lt;/contributors&gt;&lt;titles&gt;&lt;title&gt;A meta-analytic review of obesity prevention in the schools 1997-2008&lt;/title&gt;&lt;secondary-title&gt;Psychology in the Schools&lt;/secondary-title&gt;&lt;/titles&gt;&lt;periodical&gt;&lt;full-title&gt;Psychology in the Schools&lt;/full-title&gt;&lt;abbr-1&gt;Psychol. Sch.&lt;/abbr-1&gt;&lt;abbr-2&gt;Psychol Sch&lt;/abbr-2&gt;&lt;/periodical&gt;&lt;pages&gt;695-719&lt;/pages&gt;&lt;volume&gt;46&lt;/volume&gt;&lt;dates&gt;&lt;year&gt;2009&lt;/year&gt;&lt;/dates&gt;&lt;urls&gt;&lt;/urls&gt;&lt;/record&gt;&lt;/Cite&gt;&lt;/EndNote&gt;</w:instrText>
      </w:r>
      <w:r w:rsidR="00A11111">
        <w:rPr>
          <w:rFonts w:eastAsia="Times New Roman" w:cs="Times New Roman"/>
        </w:rPr>
        <w:fldChar w:fldCharType="separate"/>
      </w:r>
      <w:r w:rsidR="006347BE" w:rsidRPr="006347BE">
        <w:rPr>
          <w:rFonts w:eastAsia="Times New Roman" w:cs="Times New Roman"/>
          <w:noProof/>
          <w:vertAlign w:val="superscript"/>
        </w:rPr>
        <w:t>8</w:t>
      </w:r>
      <w:r w:rsidR="00A11111">
        <w:rPr>
          <w:rFonts w:eastAsia="Times New Roman" w:cs="Times New Roman"/>
        </w:rPr>
        <w:fldChar w:fldCharType="end"/>
      </w:r>
      <w:r w:rsidR="00237D84">
        <w:rPr>
          <w:rFonts w:eastAsia="Times New Roman" w:cs="Times New Roman"/>
        </w:rPr>
        <w:t xml:space="preserve"> </w:t>
      </w:r>
      <w:r w:rsidRPr="00037D40">
        <w:rPr>
          <w:rFonts w:eastAsia="Times New Roman" w:cs="Times New Roman"/>
        </w:rPr>
        <w:t>which examined study factors and effect sizes in obesity prevention programmes in 6-12 year olds; Gonzalez-Suarez et al (2009)</w:t>
      </w:r>
      <w:r w:rsidR="00237D84">
        <w:rPr>
          <w:rFonts w:eastAsia="Times New Roman" w:cs="Times New Roman"/>
        </w:rPr>
        <w:t xml:space="preserve"> </w:t>
      </w:r>
      <w:r w:rsidR="00A11111">
        <w:rPr>
          <w:rFonts w:eastAsia="Times New Roman" w:cs="Times New Roman"/>
        </w:rPr>
        <w:fldChar w:fldCharType="begin"/>
      </w:r>
      <w:r w:rsidR="00D928C1">
        <w:rPr>
          <w:rFonts w:eastAsia="Times New Roman" w:cs="Times New Roman"/>
        </w:rPr>
        <w:instrText xml:space="preserve"> ADDIN EN.CITE &lt;EndNote&gt;&lt;Cite&gt;&lt;Author&gt;Gonzalez-Suarez&lt;/Author&gt;&lt;Year&gt;2009&lt;/Year&gt;&lt;RecNum&gt;249&lt;/RecNum&gt;&lt;DisplayText&gt;&lt;style face="superscript"&gt;9&lt;/style&gt;&lt;/DisplayText&gt;&lt;record&gt;&lt;rec-number&gt;249&lt;/rec-number&gt;&lt;foreign-keys&gt;&lt;key app="EN" db-id="2ewa9rrvjsdsawep2vpx5x97eedzzvxx5rta" timestamp="0"&gt;249&lt;/key&gt;&lt;/foreign-keys&gt;&lt;ref-type name="Journal Article"&gt;17&lt;/ref-type&gt;&lt;contributors&gt;&lt;authors&gt;&lt;author&gt;Gonzalez-Suarez, C.&lt;/author&gt;&lt;author&gt;Worley, A.&lt;/author&gt;&lt;author&gt;Grimmer-Somers, K.&lt;/author&gt;&lt;author&gt;Dones, V.&lt;/author&gt;&lt;/authors&gt;&lt;/contributors&gt;&lt;auth-address&gt;Centre for Allied Health Evidence, University of South Australia, Adelaide, Australia. cgsuarez@mnl.ust.edu.ph&lt;/auth-address&gt;&lt;titles&gt;&lt;title&gt;School-based interventions on childhood obesity: a meta-analysis&lt;/title&gt;&lt;secondary-title&gt;American Journal of Preventive Medicine&lt;/secondary-title&gt;&lt;/titles&gt;&lt;periodical&gt;&lt;full-title&gt;American Journal of Preventive Medicine&lt;/full-title&gt;&lt;abbr-1&gt;Am. J. Prev. Med.&lt;/abbr-1&gt;&lt;abbr-2&gt;Am J Prev Med&lt;/abbr-2&gt;&lt;/periodical&gt;&lt;pages&gt;418-27&lt;/pages&gt;&lt;volume&gt;37&lt;/volume&gt;&lt;number&gt;5&lt;/number&gt;&lt;edition&gt;2009/10/21&lt;/edition&gt;&lt;keywords&gt;&lt;keyword&gt;Adolescent&lt;/keyword&gt;&lt;keyword&gt;Body Mass Index&lt;/keyword&gt;&lt;keyword&gt;Child&lt;/keyword&gt;&lt;keyword&gt;Child, Preschool&lt;/keyword&gt;&lt;keyword&gt;Female&lt;/keyword&gt;&lt;keyword&gt;Humans&lt;/keyword&gt;&lt;keyword&gt;Male&lt;/keyword&gt;&lt;keyword&gt;Obesity/epidemiology/ prevention &amp;amp; control/therapy&lt;/keyword&gt;&lt;keyword&gt;Overweight/epidemiology/ prevention &amp;amp; control/therapy&lt;/keyword&gt;&lt;keyword&gt;Prevalence&lt;/keyword&gt;&lt;keyword&gt;School Health Services/ organization &amp;amp; administration&lt;/keyword&gt;&lt;keyword&gt;Time Factors&lt;/keyword&gt;&lt;/keywords&gt;&lt;dates&gt;&lt;year&gt;2009&lt;/year&gt;&lt;pub-dates&gt;&lt;date&gt;Nov&lt;/date&gt;&lt;/pub-dates&gt;&lt;/dates&gt;&lt;isbn&gt;1873-2607 (Electronic)&amp;#xD;0749-3797 (Linking)&lt;/isbn&gt;&lt;accession-num&gt;19840696&lt;/accession-num&gt;&lt;urls&gt;&lt;/urls&gt;&lt;electronic-resource-num&gt;S0749-3797(09)00525-X [pii]&amp;#xD;10.1016/j.amepre.2009.07.012 [doi]&lt;/electronic-resource-num&gt;&lt;remote-database-provider&gt;Nlm&lt;/remote-database-provider&gt;&lt;language&gt;eng&lt;/language&gt;&lt;/record&gt;&lt;/Cite&gt;&lt;/EndNote&gt;</w:instrText>
      </w:r>
      <w:r w:rsidR="00A11111">
        <w:rPr>
          <w:rFonts w:eastAsia="Times New Roman" w:cs="Times New Roman"/>
        </w:rPr>
        <w:fldChar w:fldCharType="separate"/>
      </w:r>
      <w:r w:rsidR="006347BE" w:rsidRPr="006347BE">
        <w:rPr>
          <w:rFonts w:eastAsia="Times New Roman" w:cs="Times New Roman"/>
          <w:noProof/>
          <w:vertAlign w:val="superscript"/>
        </w:rPr>
        <w:t>9</w:t>
      </w:r>
      <w:r w:rsidR="00A11111">
        <w:rPr>
          <w:rFonts w:eastAsia="Times New Roman" w:cs="Times New Roman"/>
        </w:rPr>
        <w:fldChar w:fldCharType="end"/>
      </w:r>
      <w:r w:rsidRPr="00037D40">
        <w:rPr>
          <w:rFonts w:eastAsia="Times New Roman" w:cs="Times New Roman"/>
        </w:rPr>
        <w:t>, which focused on the management of obesity in 11-18 year olds and Katz (2009)</w:t>
      </w:r>
      <w:r w:rsidR="00C67FA7">
        <w:rPr>
          <w:rFonts w:eastAsia="Times New Roman" w:cs="Times New Roman"/>
        </w:rPr>
        <w:t xml:space="preserve"> </w:t>
      </w:r>
      <w:r w:rsidR="00A11111">
        <w:rPr>
          <w:rFonts w:eastAsia="Times New Roman" w:cs="Times New Roman"/>
        </w:rPr>
        <w:fldChar w:fldCharType="begin"/>
      </w:r>
      <w:r w:rsidR="00FF0067">
        <w:rPr>
          <w:rFonts w:eastAsia="Times New Roman" w:cs="Times New Roman"/>
        </w:rPr>
        <w:instrText xml:space="preserve"> ADDIN EN.CITE &lt;EndNote&gt;&lt;Cite&gt;&lt;Author&gt;Katz&lt;/Author&gt;&lt;Year&gt;2009&lt;/Year&gt;&lt;RecNum&gt;3667&lt;/RecNum&gt;&lt;DisplayText&gt;&lt;style face="superscript"&gt;10&lt;/style&gt;&lt;/DisplayText&gt;&lt;record&gt;&lt;rec-number&gt;3667&lt;/rec-number&gt;&lt;foreign-keys&gt;&lt;key app="EN" db-id="2ewa9rrvjsdsawep2vpx5x97eedzzvxx5rta" timestamp="0"&gt;3667&lt;/key&gt;&lt;/foreign-keys&gt;&lt;ref-type name="Journal Article"&gt;17&lt;/ref-type&gt;&lt;contributors&gt;&lt;authors&gt;&lt;author&gt;Katz, D.&lt;/author&gt;&lt;/authors&gt;&lt;/contributors&gt;&lt;titles&gt;&lt;title&gt;School-based interventions for health promotion and weight control: not just waiting on the world to change&lt;/title&gt;&lt;secondary-title&gt;Annual Review of Public Health&lt;/secondary-title&gt;&lt;/titles&gt;&lt;periodical&gt;&lt;full-title&gt;Annual Review of Public Health&lt;/full-title&gt;&lt;abbr-1&gt;Annu. Rev. Public Health&lt;/abbr-1&gt;&lt;abbr-2&gt;Annu Rev Public Health&lt;/abbr-2&gt;&lt;/periodical&gt;&lt;pages&gt;253-272&lt;/pages&gt;&lt;volume&gt;30&lt;/volume&gt;&lt;dates&gt;&lt;year&gt;2009&lt;/year&gt;&lt;/dates&gt;&lt;urls&gt;&lt;/urls&gt;&lt;/record&gt;&lt;/Cite&gt;&lt;/EndNote&gt;</w:instrText>
      </w:r>
      <w:r w:rsidR="00A11111">
        <w:rPr>
          <w:rFonts w:eastAsia="Times New Roman" w:cs="Times New Roman"/>
        </w:rPr>
        <w:fldChar w:fldCharType="separate"/>
      </w:r>
      <w:r w:rsidR="006347BE" w:rsidRPr="006347BE">
        <w:rPr>
          <w:rFonts w:eastAsia="Times New Roman" w:cs="Times New Roman"/>
          <w:noProof/>
          <w:vertAlign w:val="superscript"/>
        </w:rPr>
        <w:t>10</w:t>
      </w:r>
      <w:r w:rsidR="00A11111">
        <w:rPr>
          <w:rFonts w:eastAsia="Times New Roman" w:cs="Times New Roman"/>
        </w:rPr>
        <w:fldChar w:fldCharType="end"/>
      </w:r>
      <w:r w:rsidRPr="00037D40">
        <w:rPr>
          <w:rFonts w:eastAsia="Times New Roman" w:cs="Times New Roman"/>
        </w:rPr>
        <w:t xml:space="preserve"> which determined the effectiveness of school-based strategies for both obesity prevention and management in 3-18 year olds. The other two reviews were qualitative s</w:t>
      </w:r>
      <w:r w:rsidR="0066005F">
        <w:rPr>
          <w:rFonts w:eastAsia="Times New Roman" w:cs="Times New Roman"/>
        </w:rPr>
        <w:t xml:space="preserve">ystematic reviews and </w:t>
      </w:r>
      <w:r w:rsidR="0066005F">
        <w:rPr>
          <w:rFonts w:eastAsia="Times New Roman" w:cs="Times New Roman"/>
        </w:rPr>
        <w:lastRenderedPageBreak/>
        <w:t xml:space="preserve">included </w:t>
      </w:r>
      <w:r w:rsidRPr="00037D40">
        <w:rPr>
          <w:rFonts w:eastAsia="Times New Roman" w:cs="Times New Roman"/>
        </w:rPr>
        <w:t>Brown and Summerbell (2009)</w:t>
      </w:r>
      <w:r w:rsidR="00237D84">
        <w:rPr>
          <w:rFonts w:eastAsia="Times New Roman" w:cs="Times New Roman"/>
        </w:rPr>
        <w:t xml:space="preserve"> </w:t>
      </w:r>
      <w:r w:rsidR="00A11111">
        <w:rPr>
          <w:rFonts w:eastAsia="Times New Roman" w:cs="Times New Roman"/>
        </w:rPr>
        <w:fldChar w:fldCharType="begin"/>
      </w:r>
      <w:r w:rsidR="00FF0067">
        <w:rPr>
          <w:rFonts w:eastAsia="Times New Roman" w:cs="Times New Roman"/>
        </w:rPr>
        <w:instrText xml:space="preserve"> ADDIN EN.CITE &lt;EndNote&gt;&lt;Cite&gt;&lt;Author&gt;Brown&lt;/Author&gt;&lt;Year&gt;2009&lt;/Year&gt;&lt;RecNum&gt;3036&lt;/RecNum&gt;&lt;DisplayText&gt;&lt;style face="superscript"&gt;11&lt;/style&gt;&lt;/DisplayText&gt;&lt;record&gt;&lt;rec-number&gt;3036&lt;/rec-number&gt;&lt;foreign-keys&gt;&lt;key app="EN" db-id="2ewa9rrvjsdsawep2vpx5x97eedzzvxx5rta" timestamp="0"&gt;3036&lt;/key&gt;&lt;/foreign-keys&gt;&lt;ref-type name="Journal Article"&gt;17&lt;/ref-type&gt;&lt;contributors&gt;&lt;authors&gt;&lt;author&gt;Brown, T.&lt;/author&gt;&lt;author&gt;Summerbell, C.&lt;/author&gt;&lt;/authors&gt;&lt;/contributors&gt;&lt;auth-address&gt;School of Health and Social Care, University of Teesside, Middlesbrough, UK.&lt;/auth-address&gt;&lt;titles&gt;&lt;title&gt;Systematic review of school-based interventions that focus on changing dietary intake and physical activity levels to prevent childhood obesity: an update to the obesity guidance produced by the National Institute for Health and Clinical Excellence&lt;/title&gt;&lt;secondary-title&gt;Obesity Reviews&lt;/secondary-title&gt;&lt;/titles&gt;&lt;periodical&gt;&lt;full-title&gt;Obesity Reviews&lt;/full-title&gt;&lt;abbr-1&gt;Obes. Rev.&lt;/abbr-1&gt;&lt;abbr-2&gt;Obes Rev&lt;/abbr-2&gt;&lt;/periodical&gt;&lt;pages&gt;110-41&lt;/pages&gt;&lt;volume&gt;10&lt;/volume&gt;&lt;number&gt;1&lt;/number&gt;&lt;edition&gt;2008/08/05&lt;/edition&gt;&lt;keywords&gt;&lt;keyword&gt;Age Factors&lt;/keyword&gt;&lt;keyword&gt;Child&lt;/keyword&gt;&lt;keyword&gt;Controlled Clinical Trials as Topic&lt;/keyword&gt;&lt;keyword&gt;Diet&lt;/keyword&gt;&lt;keyword&gt;Environment&lt;/keyword&gt;&lt;keyword&gt;Exercise&lt;/keyword&gt;&lt;keyword&gt;Health Behavior&lt;/keyword&gt;&lt;keyword&gt;Health Education&lt;/keyword&gt;&lt;keyword&gt;Humans&lt;/keyword&gt;&lt;keyword&gt;JL Intervention Review&lt;/keyword&gt;&lt;keyword&gt;Obesity/ prevention &amp;amp; control&lt;/keyword&gt;&lt;keyword&gt;Process Assessment (Health Care)&lt;/keyword&gt;&lt;keyword&gt;Schools&lt;/keyword&gt;&lt;keyword&gt;Sex Factors&lt;/keyword&gt;&lt;keyword&gt;Socioeconomic Factors&lt;/keyword&gt;&lt;keyword&gt;Students&lt;/keyword&gt;&lt;/keywords&gt;&lt;dates&gt;&lt;year&gt;2009&lt;/year&gt;&lt;pub-dates&gt;&lt;date&gt;Jan&lt;/date&gt;&lt;/pub-dates&gt;&lt;/dates&gt;&lt;isbn&gt;1467-789X (Electronic)&amp;#xD;1467-7881 (Linking)&lt;/isbn&gt;&lt;accession-num&gt;18673306&lt;/accession-num&gt;&lt;urls&gt;&lt;/urls&gt;&lt;electronic-resource-num&gt;OBR515 [pii]&amp;#xD;10.1111/j.1467-789X.2008.00515.x [doi]&lt;/electronic-resource-num&gt;&lt;remote-database-provider&gt;Nlm&lt;/remote-database-provider&gt;&lt;language&gt;eng&lt;/language&gt;&lt;/record&gt;&lt;/Cite&gt;&lt;/EndNote&gt;</w:instrText>
      </w:r>
      <w:r w:rsidR="00A11111">
        <w:rPr>
          <w:rFonts w:eastAsia="Times New Roman" w:cs="Times New Roman"/>
        </w:rPr>
        <w:fldChar w:fldCharType="separate"/>
      </w:r>
      <w:r w:rsidR="006347BE" w:rsidRPr="006347BE">
        <w:rPr>
          <w:rFonts w:eastAsia="Times New Roman" w:cs="Times New Roman"/>
          <w:noProof/>
          <w:vertAlign w:val="superscript"/>
        </w:rPr>
        <w:t>11</w:t>
      </w:r>
      <w:r w:rsidR="00A11111">
        <w:rPr>
          <w:rFonts w:eastAsia="Times New Roman" w:cs="Times New Roman"/>
        </w:rPr>
        <w:fldChar w:fldCharType="end"/>
      </w:r>
      <w:r w:rsidR="0066005F">
        <w:rPr>
          <w:rFonts w:eastAsia="Times New Roman" w:cs="Times New Roman"/>
        </w:rPr>
        <w:t>, which assessed</w:t>
      </w:r>
      <w:r w:rsidRPr="00037D40">
        <w:rPr>
          <w:rFonts w:eastAsia="Times New Roman" w:cs="Times New Roman"/>
        </w:rPr>
        <w:t xml:space="preserve"> the effectiveness of prevention programmes focussing on changing dietary intake and/or physical activity levels in 5-18 year olds and Kropski et al (2008) </w:t>
      </w:r>
      <w:r w:rsidR="00A11111">
        <w:rPr>
          <w:rFonts w:eastAsia="Times New Roman" w:cs="Times New Roman"/>
        </w:rPr>
        <w:fldChar w:fldCharType="begin"/>
      </w:r>
      <w:r w:rsidR="006347BE">
        <w:rPr>
          <w:rFonts w:eastAsia="Times New Roman" w:cs="Times New Roman"/>
        </w:rPr>
        <w:instrText xml:space="preserve"> ADDIN EN.CITE &lt;EndNote&gt;&lt;Cite&gt;&lt;Author&gt;Kropski&lt;/Author&gt;&lt;Year&gt;2008&lt;/Year&gt;&lt;RecNum&gt;1536&lt;/RecNum&gt;&lt;DisplayText&gt;&lt;style face="superscript"&gt;12&lt;/style&gt;&lt;/DisplayText&gt;&lt;record&gt;&lt;rec-number&gt;1536&lt;/rec-number&gt;&lt;foreign-keys&gt;&lt;key app="EN" db-id="2ewa9rrvjsdsawep2vpx5x97eedzzvxx5rta" timestamp="0"&gt;1536&lt;/key&gt;&lt;/foreign-keys&gt;&lt;ref-type name="Journal Article"&gt;17&lt;/ref-type&gt;&lt;contributors&gt;&lt;authors&gt;&lt;author&gt;Kropski, J. A.&lt;/author&gt;&lt;author&gt;Keckley, P. H.&lt;/author&gt;&lt;author&gt;Jensen, G. L.&lt;/author&gt;&lt;/authors&gt;&lt;/contributors&gt;&lt;titles&gt;&lt;title&gt;School-based obesity prevention programs: an evidence-based review&lt;/title&gt;&lt;secondary-title&gt;Obesity&lt;/secondary-title&gt;&lt;/titles&gt;&lt;pages&gt;1009-1018&lt;/pages&gt;&lt;volume&gt;16&lt;/volume&gt;&lt;number&gt;5&lt;/number&gt;&lt;reprint-edition&gt;NOT IN FILE&lt;/reprint-edition&gt;&lt;dates&gt;&lt;year&gt;2008&lt;/year&gt;&lt;/dates&gt;&lt;urls&gt;&lt;/urls&gt;&lt;/record&gt;&lt;/Cite&gt;&lt;/EndNote&gt;</w:instrText>
      </w:r>
      <w:r w:rsidR="00A11111">
        <w:rPr>
          <w:rFonts w:eastAsia="Times New Roman" w:cs="Times New Roman"/>
        </w:rPr>
        <w:fldChar w:fldCharType="separate"/>
      </w:r>
      <w:r w:rsidR="006347BE" w:rsidRPr="006347BE">
        <w:rPr>
          <w:rFonts w:eastAsia="Times New Roman" w:cs="Times New Roman"/>
          <w:noProof/>
          <w:vertAlign w:val="superscript"/>
        </w:rPr>
        <w:t>12</w:t>
      </w:r>
      <w:r w:rsidR="00A11111">
        <w:rPr>
          <w:rFonts w:eastAsia="Times New Roman" w:cs="Times New Roman"/>
        </w:rPr>
        <w:fldChar w:fldCharType="end"/>
      </w:r>
      <w:r w:rsidR="00262E4E">
        <w:rPr>
          <w:rFonts w:eastAsia="Times New Roman" w:cs="Times New Roman"/>
        </w:rPr>
        <w:t xml:space="preserve"> </w:t>
      </w:r>
      <w:r w:rsidRPr="00037D40">
        <w:rPr>
          <w:rFonts w:eastAsia="Times New Roman" w:cs="Times New Roman"/>
        </w:rPr>
        <w:t>which provided a focussed evaluation of the quality and results of long-term obesity prevention programmes in 2-19 year olds.</w:t>
      </w:r>
    </w:p>
    <w:p w14:paraId="19E63259" w14:textId="39FF1911" w:rsidR="00037D40" w:rsidRPr="00037D40" w:rsidRDefault="00037D40" w:rsidP="00037D40">
      <w:pPr>
        <w:spacing w:line="360" w:lineRule="auto"/>
        <w:rPr>
          <w:rFonts w:eastAsia="Times New Roman" w:cs="Times New Roman"/>
        </w:rPr>
      </w:pPr>
      <w:r w:rsidRPr="00037D40">
        <w:rPr>
          <w:rFonts w:eastAsia="Times New Roman" w:cs="Times New Roman"/>
        </w:rPr>
        <w:t>Despite the heterogeneity of studies</w:t>
      </w:r>
      <w:r w:rsidR="0066005F">
        <w:rPr>
          <w:rFonts w:eastAsia="Times New Roman" w:cs="Times New Roman"/>
        </w:rPr>
        <w:t xml:space="preserve"> included in these reviews,</w:t>
      </w:r>
      <w:r w:rsidRPr="00037D40">
        <w:rPr>
          <w:rFonts w:eastAsia="Times New Roman" w:cs="Times New Roman"/>
        </w:rPr>
        <w:t xml:space="preserve"> the authors concluded that there was evidence to recommend that school-based obesity prevention programmes include both diet and physical activity components, inv</w:t>
      </w:r>
      <w:r w:rsidR="0066005F">
        <w:rPr>
          <w:rFonts w:eastAsia="Times New Roman" w:cs="Times New Roman"/>
        </w:rPr>
        <w:t>olve the child’s family and should be</w:t>
      </w:r>
      <w:r w:rsidRPr="00037D40">
        <w:rPr>
          <w:rFonts w:eastAsia="Times New Roman" w:cs="Times New Roman"/>
        </w:rPr>
        <w:t xml:space="preserve"> of longer duration. However, they did suggest that given no one single intervention </w:t>
      </w:r>
      <w:r w:rsidR="0066005F">
        <w:rPr>
          <w:rFonts w:eastAsia="Times New Roman" w:cs="Times New Roman"/>
        </w:rPr>
        <w:t>will fit all school populations that</w:t>
      </w:r>
      <w:r w:rsidRPr="00037D40">
        <w:rPr>
          <w:rFonts w:eastAsia="Times New Roman" w:cs="Times New Roman"/>
        </w:rPr>
        <w:t xml:space="preserve"> further high quality research needs to focus on identifying specific programme characteristics and approaches predictive of success. </w:t>
      </w:r>
    </w:p>
    <w:p w14:paraId="622F226F" w14:textId="1EB5C7A9" w:rsidR="000E5AD3" w:rsidRPr="005653A5" w:rsidRDefault="00A06193" w:rsidP="005F67C8">
      <w:pPr>
        <w:autoSpaceDE w:val="0"/>
        <w:autoSpaceDN w:val="0"/>
        <w:adjustRightInd w:val="0"/>
        <w:spacing w:after="0" w:line="360" w:lineRule="auto"/>
        <w:rPr>
          <w:rFonts w:cs="Times New Roman"/>
        </w:rPr>
      </w:pPr>
      <w:r w:rsidRPr="005653A5">
        <w:rPr>
          <w:rFonts w:cs="Times New Roman"/>
        </w:rPr>
        <w:t>Wang et al (2015)</w:t>
      </w:r>
      <w:r w:rsidR="0028657F">
        <w:rPr>
          <w:rFonts w:cs="Times New Roman"/>
        </w:rPr>
        <w:t xml:space="preserve"> </w:t>
      </w:r>
      <w:r w:rsidR="0028657F">
        <w:rPr>
          <w:rFonts w:cs="Times New Roman"/>
        </w:rPr>
        <w:fldChar w:fldCharType="begin">
          <w:fldData xml:space="preserve">PEVuZE5vdGU+PENpdGU+PEF1dGhvcj5XYW5nPC9BdXRob3I+PFllYXI+MjAxNTwvWWVhcj48UmVj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==
</w:fldData>
        </w:fldChar>
      </w:r>
      <w:r w:rsidR="00FF0067">
        <w:rPr>
          <w:rFonts w:cs="Times New Roman"/>
        </w:rPr>
        <w:instrText xml:space="preserve"> ADDIN EN.CITE </w:instrText>
      </w:r>
      <w:r w:rsidR="00FF0067">
        <w:rPr>
          <w:rFonts w:cs="Times New Roman"/>
        </w:rPr>
        <w:fldChar w:fldCharType="begin">
          <w:fldData xml:space="preserve">PEVuZE5vdGU+PENpdGU+PEF1dGhvcj5XYW5nPC9BdXRob3I+PFllYXI+MjAxNTwvWWVhcj48UmVj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==
</w:fldData>
        </w:fldChar>
      </w:r>
      <w:r w:rsidR="00FF0067">
        <w:rPr>
          <w:rFonts w:cs="Times New Roman"/>
        </w:rPr>
        <w:instrText xml:space="preserve"> ADDIN EN.CITE.DATA </w:instrText>
      </w:r>
      <w:r w:rsidR="00FF0067">
        <w:rPr>
          <w:rFonts w:cs="Times New Roman"/>
        </w:rPr>
      </w:r>
      <w:r w:rsidR="00FF0067">
        <w:rPr>
          <w:rFonts w:cs="Times New Roman"/>
        </w:rPr>
        <w:fldChar w:fldCharType="end"/>
      </w:r>
      <w:r w:rsidR="0028657F">
        <w:rPr>
          <w:rFonts w:cs="Times New Roman"/>
        </w:rPr>
      </w:r>
      <w:r w:rsidR="0028657F">
        <w:rPr>
          <w:rFonts w:cs="Times New Roman"/>
        </w:rPr>
        <w:fldChar w:fldCharType="separate"/>
      </w:r>
      <w:r w:rsidR="006347BE" w:rsidRPr="006347BE">
        <w:rPr>
          <w:rFonts w:cs="Times New Roman"/>
          <w:noProof/>
          <w:vertAlign w:val="superscript"/>
        </w:rPr>
        <w:t>4</w:t>
      </w:r>
      <w:r w:rsidR="0028657F">
        <w:rPr>
          <w:rFonts w:cs="Times New Roman"/>
        </w:rPr>
        <w:fldChar w:fldCharType="end"/>
      </w:r>
      <w:r w:rsidRPr="005653A5">
        <w:rPr>
          <w:rFonts w:cs="Times New Roman"/>
        </w:rPr>
        <w:t xml:space="preserve"> is t</w:t>
      </w:r>
      <w:r w:rsidR="00244209" w:rsidRPr="005653A5">
        <w:rPr>
          <w:rFonts w:cs="Times New Roman"/>
        </w:rPr>
        <w:t xml:space="preserve">he </w:t>
      </w:r>
      <w:bookmarkStart w:id="277" w:name="_Toc454450807"/>
      <w:r w:rsidR="00244209" w:rsidRPr="005653A5">
        <w:rPr>
          <w:rFonts w:cs="Times New Roman"/>
        </w:rPr>
        <w:t>most recent systematic review and meta-analyses of childhood obesity prevention program</w:t>
      </w:r>
      <w:r w:rsidRPr="005653A5">
        <w:rPr>
          <w:rFonts w:cs="Times New Roman"/>
        </w:rPr>
        <w:t>mes</w:t>
      </w:r>
      <w:r w:rsidR="005D4686">
        <w:rPr>
          <w:rFonts w:cs="Times New Roman"/>
        </w:rPr>
        <w:t>. O</w:t>
      </w:r>
      <w:r w:rsidR="00244209" w:rsidRPr="005653A5">
        <w:rPr>
          <w:rFonts w:cs="Times New Roman"/>
        </w:rPr>
        <w:t>f the 139 intervention studies identified, 115</w:t>
      </w:r>
      <w:r w:rsidRPr="005653A5">
        <w:rPr>
          <w:rFonts w:cs="Times New Roman"/>
        </w:rPr>
        <w:t xml:space="preserve"> (83%)</w:t>
      </w:r>
      <w:r w:rsidR="00244209" w:rsidRPr="005653A5">
        <w:rPr>
          <w:rFonts w:cs="Times New Roman"/>
        </w:rPr>
        <w:t xml:space="preserve"> were </w:t>
      </w:r>
      <w:r w:rsidR="007C0206">
        <w:rPr>
          <w:rFonts w:cs="Times New Roman"/>
        </w:rPr>
        <w:t>located</w:t>
      </w:r>
      <w:r w:rsidR="007C0206" w:rsidRPr="005653A5">
        <w:rPr>
          <w:rFonts w:cs="Times New Roman"/>
        </w:rPr>
        <w:t xml:space="preserve"> </w:t>
      </w:r>
      <w:r w:rsidRPr="005653A5">
        <w:rPr>
          <w:rFonts w:cs="Times New Roman"/>
        </w:rPr>
        <w:t xml:space="preserve">in the </w:t>
      </w:r>
      <w:r w:rsidR="00244209" w:rsidRPr="005653A5">
        <w:rPr>
          <w:rFonts w:cs="Times New Roman"/>
        </w:rPr>
        <w:t>primary</w:t>
      </w:r>
      <w:r w:rsidR="00E65663" w:rsidRPr="005653A5">
        <w:rPr>
          <w:rFonts w:cs="Times New Roman"/>
        </w:rPr>
        <w:t xml:space="preserve"> school</w:t>
      </w:r>
      <w:r w:rsidR="007C0206">
        <w:rPr>
          <w:rFonts w:cs="Times New Roman"/>
        </w:rPr>
        <w:t xml:space="preserve"> of which 37 </w:t>
      </w:r>
      <w:r w:rsidR="00E65663" w:rsidRPr="005653A5">
        <w:rPr>
          <w:rFonts w:cs="Times New Roman"/>
        </w:rPr>
        <w:t>were school-based only</w:t>
      </w:r>
      <w:r w:rsidR="007C0206">
        <w:rPr>
          <w:rFonts w:cs="Times New Roman"/>
        </w:rPr>
        <w:t xml:space="preserve">. These studies </w:t>
      </w:r>
      <w:r w:rsidR="00E65663" w:rsidRPr="005653A5">
        <w:rPr>
          <w:rFonts w:cs="Times New Roman"/>
        </w:rPr>
        <w:t xml:space="preserve">assessed the effect of a combined diet and physical activity intervention on weight related outcomes. </w:t>
      </w:r>
      <w:r w:rsidR="006C2CAE" w:rsidRPr="005653A5">
        <w:rPr>
          <w:rFonts w:cs="Times New Roman"/>
        </w:rPr>
        <w:t xml:space="preserve">Approaches included intensive classroom physical activity lessons led by trained teachers, moderate to vigorous physical activity sessions, nutrition and education materials and promoting and providing a healthy diet. </w:t>
      </w:r>
      <w:r w:rsidR="00E65663" w:rsidRPr="005653A5">
        <w:rPr>
          <w:rFonts w:cs="Times New Roman"/>
        </w:rPr>
        <w:t xml:space="preserve">There was a low strength of evidence that these </w:t>
      </w:r>
      <w:r w:rsidR="0066005F">
        <w:rPr>
          <w:rFonts w:cs="Times New Roman"/>
        </w:rPr>
        <w:t xml:space="preserve">approaches </w:t>
      </w:r>
      <w:r w:rsidR="00E65663" w:rsidRPr="005653A5">
        <w:rPr>
          <w:rFonts w:cs="Times New Roman"/>
        </w:rPr>
        <w:t xml:space="preserve">were effective at reducing BMI, BMI </w:t>
      </w:r>
      <w:r w:rsidR="005D4686">
        <w:rPr>
          <w:rFonts w:cs="Times New Roman"/>
        </w:rPr>
        <w:t>SDS</w:t>
      </w:r>
      <w:r w:rsidR="00E65663" w:rsidRPr="005653A5">
        <w:rPr>
          <w:rFonts w:cs="Times New Roman"/>
        </w:rPr>
        <w:t xml:space="preserve">, prevalence of obesity and overweight, percentage body fat, waist circumference and skinfold thickness. </w:t>
      </w:r>
      <w:r w:rsidR="00CE3291">
        <w:rPr>
          <w:rFonts w:cs="Times New Roman"/>
        </w:rPr>
        <w:t>I</w:t>
      </w:r>
      <w:r w:rsidR="00374ACB" w:rsidRPr="005653A5">
        <w:rPr>
          <w:rFonts w:cs="Times New Roman"/>
        </w:rPr>
        <w:t>ntervention studie</w:t>
      </w:r>
      <w:r w:rsidR="00AA1721" w:rsidRPr="005653A5">
        <w:rPr>
          <w:rFonts w:cs="Times New Roman"/>
        </w:rPr>
        <w:t xml:space="preserve">s </w:t>
      </w:r>
      <w:r w:rsidR="00CE3291">
        <w:rPr>
          <w:rFonts w:cs="Times New Roman"/>
        </w:rPr>
        <w:t>which reported a</w:t>
      </w:r>
      <w:r w:rsidR="00AA1721" w:rsidRPr="005653A5">
        <w:rPr>
          <w:rFonts w:cs="Times New Roman"/>
        </w:rPr>
        <w:t xml:space="preserve"> significant </w:t>
      </w:r>
      <w:r w:rsidR="00CE3291">
        <w:rPr>
          <w:rFonts w:cs="Times New Roman"/>
        </w:rPr>
        <w:t xml:space="preserve">effect tended to be </w:t>
      </w:r>
      <w:r w:rsidR="00AA1721" w:rsidRPr="005653A5">
        <w:rPr>
          <w:rFonts w:cs="Times New Roman"/>
        </w:rPr>
        <w:t>of long</w:t>
      </w:r>
      <w:r w:rsidR="008327BA" w:rsidRPr="005653A5">
        <w:rPr>
          <w:rFonts w:cs="Times New Roman"/>
        </w:rPr>
        <w:t xml:space="preserve"> </w:t>
      </w:r>
      <w:r w:rsidR="008439E3" w:rsidRPr="005653A5">
        <w:rPr>
          <w:rFonts w:cs="Times New Roman"/>
        </w:rPr>
        <w:t>duration</w:t>
      </w:r>
      <w:r w:rsidR="00374ACB" w:rsidRPr="005653A5">
        <w:rPr>
          <w:rFonts w:cs="Times New Roman"/>
        </w:rPr>
        <w:t xml:space="preserve"> </w:t>
      </w:r>
      <w:r w:rsidR="00CE3291">
        <w:rPr>
          <w:rFonts w:cs="Times New Roman"/>
        </w:rPr>
        <w:t>(between</w:t>
      </w:r>
      <w:r w:rsidR="00CE3291" w:rsidRPr="005653A5">
        <w:rPr>
          <w:rFonts w:cs="Times New Roman"/>
        </w:rPr>
        <w:t xml:space="preserve"> </w:t>
      </w:r>
      <w:r w:rsidR="00374ACB" w:rsidRPr="005653A5">
        <w:rPr>
          <w:rFonts w:cs="Times New Roman"/>
        </w:rPr>
        <w:t>52 to 156</w:t>
      </w:r>
      <w:r w:rsidR="008439E3" w:rsidRPr="005653A5">
        <w:rPr>
          <w:rFonts w:cs="Times New Roman"/>
        </w:rPr>
        <w:t xml:space="preserve"> weeks</w:t>
      </w:r>
      <w:r w:rsidR="00CE3291">
        <w:rPr>
          <w:rFonts w:cs="Times New Roman"/>
        </w:rPr>
        <w:t>)</w:t>
      </w:r>
      <w:r w:rsidR="008439E3" w:rsidRPr="005653A5">
        <w:rPr>
          <w:rFonts w:cs="Times New Roman"/>
        </w:rPr>
        <w:t>, with the longer term programmes ha</w:t>
      </w:r>
      <w:r w:rsidR="00AA1721" w:rsidRPr="005653A5">
        <w:rPr>
          <w:rFonts w:cs="Times New Roman"/>
        </w:rPr>
        <w:t xml:space="preserve">ving greatest effect. </w:t>
      </w:r>
      <w:r w:rsidR="00CE3291">
        <w:rPr>
          <w:rFonts w:cs="Times New Roman"/>
        </w:rPr>
        <w:t>A further 28</w:t>
      </w:r>
      <w:r w:rsidR="008439E3" w:rsidRPr="005653A5">
        <w:rPr>
          <w:rFonts w:cs="Times New Roman"/>
        </w:rPr>
        <w:t xml:space="preserve"> studies were school-based with a home component</w:t>
      </w:r>
      <w:r w:rsidR="003D7172" w:rsidRPr="005653A5">
        <w:rPr>
          <w:rFonts w:cs="Times New Roman"/>
        </w:rPr>
        <w:t xml:space="preserve"> (e.g. family homework lessons, training and information sheets for parents, nutrition programme for children and family)</w:t>
      </w:r>
      <w:r w:rsidR="00CE3291">
        <w:rPr>
          <w:rFonts w:cs="Times New Roman"/>
        </w:rPr>
        <w:t>. These studies</w:t>
      </w:r>
      <w:r w:rsidR="008439E3" w:rsidRPr="005653A5">
        <w:rPr>
          <w:rFonts w:cs="Times New Roman"/>
        </w:rPr>
        <w:t xml:space="preserve"> </w:t>
      </w:r>
      <w:r w:rsidR="00AA1721" w:rsidRPr="005653A5">
        <w:rPr>
          <w:rFonts w:cs="Times New Roman"/>
        </w:rPr>
        <w:t>provided</w:t>
      </w:r>
      <w:r w:rsidR="008439E3" w:rsidRPr="005653A5">
        <w:rPr>
          <w:rFonts w:cs="Times New Roman"/>
        </w:rPr>
        <w:t xml:space="preserve"> moderate evidence of effectiveness </w:t>
      </w:r>
      <w:r w:rsidRPr="005653A5">
        <w:rPr>
          <w:rFonts w:cs="Times New Roman"/>
        </w:rPr>
        <w:t>with half reporting statistically significant beneficial intervention</w:t>
      </w:r>
      <w:r w:rsidR="008439E3" w:rsidRPr="005653A5">
        <w:rPr>
          <w:rFonts w:cs="Times New Roman"/>
        </w:rPr>
        <w:t xml:space="preserve"> effects. However</w:t>
      </w:r>
      <w:r w:rsidR="00F62B0C" w:rsidRPr="005653A5">
        <w:rPr>
          <w:rFonts w:cs="Times New Roman"/>
        </w:rPr>
        <w:t>,</w:t>
      </w:r>
      <w:r w:rsidR="008439E3" w:rsidRPr="005653A5">
        <w:rPr>
          <w:rFonts w:cs="Times New Roman"/>
        </w:rPr>
        <w:t xml:space="preserve"> in all studies, </w:t>
      </w:r>
      <w:r w:rsidRPr="005653A5">
        <w:rPr>
          <w:rFonts w:cs="Times New Roman"/>
        </w:rPr>
        <w:t xml:space="preserve">a range of </w:t>
      </w:r>
      <w:r w:rsidR="001F36EC" w:rsidRPr="005653A5">
        <w:rPr>
          <w:rFonts w:cs="Times New Roman"/>
        </w:rPr>
        <w:t>adiposity measure</w:t>
      </w:r>
      <w:r w:rsidR="008439E3" w:rsidRPr="005653A5">
        <w:rPr>
          <w:rFonts w:cs="Times New Roman"/>
        </w:rPr>
        <w:t xml:space="preserve">s were used and there was high study </w:t>
      </w:r>
      <w:r w:rsidR="001F36EC" w:rsidRPr="005653A5">
        <w:rPr>
          <w:rFonts w:cs="Times New Roman"/>
        </w:rPr>
        <w:t>heterogeneity in terms of setting, design, sample size, characteristics, intervention approach</w:t>
      </w:r>
      <w:r w:rsidR="001C69C5" w:rsidRPr="005653A5">
        <w:rPr>
          <w:rFonts w:cs="Times New Roman"/>
        </w:rPr>
        <w:t>, length of follow up</w:t>
      </w:r>
      <w:r w:rsidR="00FB28A8" w:rsidRPr="005653A5">
        <w:rPr>
          <w:rFonts w:cs="Times New Roman"/>
        </w:rPr>
        <w:t xml:space="preserve"> </w:t>
      </w:r>
      <w:r w:rsidR="00CE3291">
        <w:rPr>
          <w:rFonts w:cs="Times New Roman"/>
        </w:rPr>
        <w:t>which</w:t>
      </w:r>
      <w:r w:rsidR="001C69C5" w:rsidRPr="005653A5">
        <w:rPr>
          <w:rFonts w:cs="Times New Roman"/>
        </w:rPr>
        <w:t xml:space="preserve"> make cross comparisons</w:t>
      </w:r>
      <w:r w:rsidR="001F36EC" w:rsidRPr="005653A5">
        <w:rPr>
          <w:rFonts w:cs="Times New Roman"/>
        </w:rPr>
        <w:t xml:space="preserve"> </w:t>
      </w:r>
      <w:r w:rsidR="00AA1721" w:rsidRPr="005653A5">
        <w:rPr>
          <w:rFonts w:cs="Times New Roman"/>
        </w:rPr>
        <w:t>challenging</w:t>
      </w:r>
      <w:r w:rsidR="00CE3291">
        <w:rPr>
          <w:rFonts w:cs="Times New Roman"/>
        </w:rPr>
        <w:t>.</w:t>
      </w:r>
      <w:r w:rsidR="00AA1721" w:rsidRPr="005653A5">
        <w:rPr>
          <w:rFonts w:cs="Times New Roman"/>
        </w:rPr>
        <w:t xml:space="preserve"> </w:t>
      </w:r>
      <w:r w:rsidR="00CE3291">
        <w:rPr>
          <w:rFonts w:cs="Times New Roman"/>
        </w:rPr>
        <w:t xml:space="preserve"> The</w:t>
      </w:r>
      <w:r w:rsidR="000E5AD3" w:rsidRPr="005653A5">
        <w:rPr>
          <w:rFonts w:cs="Times New Roman"/>
        </w:rPr>
        <w:t xml:space="preserve"> review was unable to identify specific programme characteristics and approaches</w:t>
      </w:r>
      <w:r w:rsidR="000E5AD3" w:rsidRPr="005653A5">
        <w:rPr>
          <w:rFonts w:cs="Times New Roman"/>
          <w:i/>
        </w:rPr>
        <w:t xml:space="preserve"> </w:t>
      </w:r>
      <w:r w:rsidR="000E5AD3" w:rsidRPr="005653A5">
        <w:rPr>
          <w:rFonts w:cs="Times New Roman"/>
        </w:rPr>
        <w:t xml:space="preserve">predictive of success </w:t>
      </w:r>
      <w:r w:rsidR="005F1688">
        <w:rPr>
          <w:rFonts w:cs="Times New Roman"/>
        </w:rPr>
        <w:t>or</w:t>
      </w:r>
      <w:r w:rsidR="005F1688" w:rsidRPr="005653A5">
        <w:rPr>
          <w:rFonts w:cs="Times New Roman"/>
        </w:rPr>
        <w:t xml:space="preserve"> </w:t>
      </w:r>
      <w:r w:rsidR="000E5AD3" w:rsidRPr="005653A5">
        <w:rPr>
          <w:rFonts w:cs="Times New Roman"/>
        </w:rPr>
        <w:t xml:space="preserve">explore the comparative effectiveness of specific intervention approaches (e.g. educational interventions vs environmental intervention). </w:t>
      </w:r>
    </w:p>
    <w:p w14:paraId="4548ED2B" w14:textId="77777777" w:rsidR="005F67C8" w:rsidRDefault="005F67C8" w:rsidP="005F67C8">
      <w:pPr>
        <w:spacing w:after="0" w:line="360" w:lineRule="auto"/>
        <w:rPr>
          <w:rFonts w:cs="Times New Roman"/>
        </w:rPr>
      </w:pPr>
    </w:p>
    <w:p w14:paraId="19BF533B" w14:textId="7EE2EF75" w:rsidR="00283CBA" w:rsidRDefault="00283CBA" w:rsidP="005F67C8">
      <w:pPr>
        <w:spacing w:after="0" w:line="360" w:lineRule="auto"/>
        <w:rPr>
          <w:rFonts w:cs="Times New Roman"/>
        </w:rPr>
      </w:pPr>
      <w:r w:rsidRPr="005653A5">
        <w:rPr>
          <w:rFonts w:cs="Times New Roman"/>
        </w:rPr>
        <w:t>Since the</w:t>
      </w:r>
      <w:r w:rsidR="005D4686">
        <w:rPr>
          <w:rFonts w:cs="Times New Roman"/>
        </w:rPr>
        <w:t xml:space="preserve"> publication of the above </w:t>
      </w:r>
      <w:r w:rsidRPr="005653A5">
        <w:rPr>
          <w:rFonts w:cs="Times New Roman"/>
        </w:rPr>
        <w:t>reviews</w:t>
      </w:r>
      <w:r w:rsidR="005D4686">
        <w:rPr>
          <w:rFonts w:cs="Times New Roman"/>
        </w:rPr>
        <w:t>,</w:t>
      </w:r>
      <w:r w:rsidRPr="005653A5">
        <w:rPr>
          <w:rFonts w:cs="Times New Roman"/>
        </w:rPr>
        <w:t xml:space="preserve"> a number of </w:t>
      </w:r>
      <w:r w:rsidR="00495A24">
        <w:rPr>
          <w:rFonts w:cs="Times New Roman"/>
        </w:rPr>
        <w:t>additional evaluations of</w:t>
      </w:r>
      <w:r w:rsidRPr="005653A5">
        <w:rPr>
          <w:rFonts w:cs="Times New Roman"/>
        </w:rPr>
        <w:t xml:space="preserve"> school-based interventions </w:t>
      </w:r>
      <w:r w:rsidR="00F01A09">
        <w:rPr>
          <w:rFonts w:cs="Times New Roman"/>
        </w:rPr>
        <w:fldChar w:fldCharType="begin">
          <w:fldData xml:space="preserve">PEVuZE5vdGU+PENpdGU+PEF1dGhvcj5Gb3N0ZXI8L0F1dGhvcj48WWVhcj4yMDEwPC9ZZWFyPjxS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</w:fldData>
        </w:fldChar>
      </w:r>
      <w:r w:rsidR="00F01A09">
        <w:rPr>
          <w:rFonts w:cs="Times New Roman"/>
        </w:rPr>
        <w:instrText xml:space="preserve"> ADDIN EN.CITE </w:instrText>
      </w:r>
      <w:r w:rsidR="00F01A09">
        <w:rPr>
          <w:rFonts w:cs="Times New Roman"/>
        </w:rPr>
        <w:fldChar w:fldCharType="begin">
          <w:fldData xml:space="preserve">PEVuZE5vdGU+PENpdGU+PEF1dGhvcj5Gb3N0ZXI8L0F1dGhvcj48WWVhcj4yMDEwPC9ZZWFyPjxS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</w:fldData>
        </w:fldChar>
      </w:r>
      <w:r w:rsidR="00F01A09">
        <w:rPr>
          <w:rFonts w:cs="Times New Roman"/>
        </w:rPr>
        <w:instrText xml:space="preserve"> ADDIN EN.CITE.DATA </w:instrText>
      </w:r>
      <w:r w:rsidR="00F01A09">
        <w:rPr>
          <w:rFonts w:cs="Times New Roman"/>
        </w:rPr>
      </w:r>
      <w:r w:rsidR="00F01A09">
        <w:rPr>
          <w:rFonts w:cs="Times New Roman"/>
        </w:rPr>
        <w:fldChar w:fldCharType="end"/>
      </w:r>
      <w:r w:rsidR="00F01A09">
        <w:rPr>
          <w:rFonts w:cs="Times New Roman"/>
        </w:rPr>
      </w:r>
      <w:r w:rsidR="00F01A09">
        <w:rPr>
          <w:rFonts w:cs="Times New Roman"/>
        </w:rPr>
        <w:fldChar w:fldCharType="separate"/>
      </w:r>
      <w:r w:rsidR="00F01A09" w:rsidRPr="00F01A09">
        <w:rPr>
          <w:rFonts w:cs="Times New Roman"/>
          <w:noProof/>
          <w:vertAlign w:val="superscript"/>
        </w:rPr>
        <w:t>13-16</w:t>
      </w:r>
      <w:r w:rsidR="00F01A09">
        <w:rPr>
          <w:rFonts w:cs="Times New Roman"/>
        </w:rPr>
        <w:fldChar w:fldCharType="end"/>
      </w:r>
      <w:r w:rsidR="00F01A09">
        <w:rPr>
          <w:rFonts w:cs="Times New Roman"/>
        </w:rPr>
        <w:t xml:space="preserve"> </w:t>
      </w:r>
      <w:r w:rsidRPr="005653A5">
        <w:rPr>
          <w:rFonts w:cs="Times New Roman"/>
        </w:rPr>
        <w:t xml:space="preserve">have been </w:t>
      </w:r>
      <w:r w:rsidR="00F80523">
        <w:rPr>
          <w:rFonts w:cs="Times New Roman"/>
        </w:rPr>
        <w:t>published</w:t>
      </w:r>
      <w:r w:rsidRPr="005653A5">
        <w:rPr>
          <w:rFonts w:cs="Times New Roman"/>
        </w:rPr>
        <w:t xml:space="preserve">, </w:t>
      </w:r>
      <w:r w:rsidR="005F1688">
        <w:rPr>
          <w:rFonts w:cs="Times New Roman"/>
        </w:rPr>
        <w:t>involving</w:t>
      </w:r>
      <w:r w:rsidR="005F1688" w:rsidRPr="005653A5">
        <w:rPr>
          <w:rFonts w:cs="Times New Roman"/>
        </w:rPr>
        <w:t xml:space="preserve"> </w:t>
      </w:r>
      <w:r w:rsidR="009E19C3" w:rsidRPr="005653A5">
        <w:rPr>
          <w:rFonts w:cs="Times New Roman"/>
        </w:rPr>
        <w:t xml:space="preserve">children </w:t>
      </w:r>
      <w:r w:rsidR="005F1688">
        <w:rPr>
          <w:rFonts w:cs="Times New Roman"/>
        </w:rPr>
        <w:t>of a similar</w:t>
      </w:r>
      <w:r w:rsidR="001850F6">
        <w:rPr>
          <w:rFonts w:cs="Times New Roman"/>
        </w:rPr>
        <w:t xml:space="preserve"> age as those in the </w:t>
      </w:r>
      <w:r w:rsidR="009D1C7F">
        <w:rPr>
          <w:rFonts w:cs="Times New Roman"/>
        </w:rPr>
        <w:t>HeLP study</w:t>
      </w:r>
      <w:r w:rsidR="009E19C3" w:rsidRPr="005653A5">
        <w:rPr>
          <w:rFonts w:cs="Times New Roman"/>
        </w:rPr>
        <w:t xml:space="preserve">. </w:t>
      </w:r>
      <w:r w:rsidR="00D76772">
        <w:rPr>
          <w:rFonts w:cs="Times New Roman"/>
        </w:rPr>
        <w:lastRenderedPageBreak/>
        <w:t>However</w:t>
      </w:r>
      <w:r w:rsidR="009E19C3" w:rsidRPr="005653A5">
        <w:rPr>
          <w:rFonts w:cs="Times New Roman"/>
        </w:rPr>
        <w:t xml:space="preserve">, </w:t>
      </w:r>
      <w:r w:rsidRPr="005653A5">
        <w:rPr>
          <w:rFonts w:cs="Times New Roman"/>
        </w:rPr>
        <w:t>evidence of effectiveness in changing behaviours a</w:t>
      </w:r>
      <w:r w:rsidR="009E19C3" w:rsidRPr="005653A5">
        <w:rPr>
          <w:rFonts w:cs="Times New Roman"/>
        </w:rPr>
        <w:t xml:space="preserve">nd/or weight status of children </w:t>
      </w:r>
      <w:r w:rsidR="00F41C64" w:rsidRPr="005653A5">
        <w:rPr>
          <w:rFonts w:cs="Times New Roman"/>
        </w:rPr>
        <w:t>continues</w:t>
      </w:r>
      <w:r w:rsidR="009E19C3" w:rsidRPr="005653A5">
        <w:rPr>
          <w:rFonts w:cs="Times New Roman"/>
        </w:rPr>
        <w:t xml:space="preserve"> to be inconsistent and the content of the intervention varies greatly between studies.</w:t>
      </w:r>
    </w:p>
    <w:p w14:paraId="5BE8B248" w14:textId="77777777" w:rsidR="005F67C8" w:rsidRPr="005653A5" w:rsidRDefault="005F67C8" w:rsidP="005F67C8">
      <w:pPr>
        <w:spacing w:after="0" w:line="360" w:lineRule="auto"/>
        <w:rPr>
          <w:rFonts w:cs="Times New Roman"/>
        </w:rPr>
      </w:pPr>
    </w:p>
    <w:p w14:paraId="090C68AC" w14:textId="6A0DEA3B" w:rsidR="00376174" w:rsidRPr="005653A5" w:rsidRDefault="00056733" w:rsidP="005653A5">
      <w:pPr>
        <w:spacing w:line="360" w:lineRule="auto"/>
        <w:rPr>
          <w:rFonts w:cs="Times New Roman"/>
        </w:rPr>
      </w:pPr>
      <w:r w:rsidRPr="005653A5">
        <w:rPr>
          <w:rFonts w:cs="Times New Roman"/>
        </w:rPr>
        <w:t xml:space="preserve">In 2010, The Healthy Study Group </w:t>
      </w:r>
      <w:r w:rsidR="00230360">
        <w:rPr>
          <w:rFonts w:cs="Times New Roman"/>
        </w:rPr>
        <w:fldChar w:fldCharType="begin">
          <w:fldData xml:space="preserve">PEVuZE5vdGU+PENpdGU+PEF1dGhvcj5Gb3N0ZXI8L0F1dGhvcj48WWVhcj4yMDEwPC9ZZWFyPjxS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</w:fldData>
        </w:fldChar>
      </w:r>
      <w:r w:rsidR="00792AE1">
        <w:rPr>
          <w:rFonts w:cs="Times New Roman"/>
        </w:rPr>
        <w:instrText xml:space="preserve"> ADDIN EN.CITE </w:instrText>
      </w:r>
      <w:r w:rsidR="00792AE1">
        <w:rPr>
          <w:rFonts w:cs="Times New Roman"/>
        </w:rPr>
        <w:fldChar w:fldCharType="begin">
          <w:fldData xml:space="preserve">PEVuZE5vdGU+PENpdGU+PEF1dGhvcj5Gb3N0ZXI8L0F1dGhvcj48WWVhcj4yMDEwPC9ZZWFyPjxS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</w:fldData>
        </w:fldChar>
      </w:r>
      <w:r w:rsidR="00792AE1">
        <w:rPr>
          <w:rFonts w:cs="Times New Roman"/>
        </w:rPr>
        <w:instrText xml:space="preserve"> ADDIN EN.CITE.DATA </w:instrText>
      </w:r>
      <w:r w:rsidR="00792AE1">
        <w:rPr>
          <w:rFonts w:cs="Times New Roman"/>
        </w:rPr>
      </w:r>
      <w:r w:rsidR="00792AE1">
        <w:rPr>
          <w:rFonts w:cs="Times New Roman"/>
        </w:rPr>
        <w:fldChar w:fldCharType="end"/>
      </w:r>
      <w:r w:rsidR="00230360">
        <w:rPr>
          <w:rFonts w:cs="Times New Roman"/>
        </w:rPr>
      </w:r>
      <w:r w:rsidR="00230360">
        <w:rPr>
          <w:rFonts w:cs="Times New Roman"/>
        </w:rPr>
        <w:fldChar w:fldCharType="separate"/>
      </w:r>
      <w:r w:rsidR="006347BE" w:rsidRPr="006347BE">
        <w:rPr>
          <w:rFonts w:cs="Times New Roman"/>
          <w:noProof/>
          <w:vertAlign w:val="superscript"/>
        </w:rPr>
        <w:t>13</w:t>
      </w:r>
      <w:r w:rsidR="00230360">
        <w:rPr>
          <w:rFonts w:cs="Times New Roman"/>
        </w:rPr>
        <w:fldChar w:fldCharType="end"/>
      </w:r>
      <w:r w:rsidR="00F80523">
        <w:rPr>
          <w:rFonts w:cs="Times New Roman"/>
        </w:rPr>
        <w:t xml:space="preserve"> published their findings from </w:t>
      </w:r>
      <w:r w:rsidRPr="005653A5">
        <w:rPr>
          <w:rFonts w:cs="Times New Roman"/>
        </w:rPr>
        <w:t>a 3 year cluster</w:t>
      </w:r>
      <w:r w:rsidR="007D736F">
        <w:rPr>
          <w:rFonts w:cs="Times New Roman"/>
        </w:rPr>
        <w:t xml:space="preserve"> randomised controlled trial (</w:t>
      </w:r>
      <w:r w:rsidRPr="005653A5">
        <w:rPr>
          <w:rFonts w:cs="Times New Roman"/>
        </w:rPr>
        <w:t>RCT</w:t>
      </w:r>
      <w:r w:rsidR="007D736F">
        <w:rPr>
          <w:rFonts w:cs="Times New Roman"/>
        </w:rPr>
        <w:t>)</w:t>
      </w:r>
      <w:r w:rsidRPr="005653A5">
        <w:rPr>
          <w:rFonts w:cs="Times New Roman"/>
        </w:rPr>
        <w:t xml:space="preserve"> of a multi-component programme addressing risk factors for diabetes among </w:t>
      </w:r>
      <w:r w:rsidR="001850F6">
        <w:rPr>
          <w:rFonts w:cs="Times New Roman"/>
        </w:rPr>
        <w:t xml:space="preserve">American </w:t>
      </w:r>
      <w:r w:rsidRPr="005653A5">
        <w:rPr>
          <w:rFonts w:cs="Times New Roman"/>
        </w:rPr>
        <w:t>children whose</w:t>
      </w:r>
      <w:r w:rsidR="0097763A">
        <w:rPr>
          <w:rFonts w:cs="Times New Roman"/>
        </w:rPr>
        <w:t xml:space="preserve"> race or ethnic group and socio</w:t>
      </w:r>
      <w:r w:rsidRPr="005653A5">
        <w:rPr>
          <w:rFonts w:cs="Times New Roman"/>
        </w:rPr>
        <w:t xml:space="preserve">economic status placed them at high risk for obesity and type 2 diabetes. The intervention consisted of </w:t>
      </w:r>
      <w:r w:rsidR="0063685C">
        <w:rPr>
          <w:rFonts w:cs="Times New Roman"/>
        </w:rPr>
        <w:t>four</w:t>
      </w:r>
      <w:r w:rsidRPr="005653A5">
        <w:rPr>
          <w:rFonts w:cs="Times New Roman"/>
        </w:rPr>
        <w:t xml:space="preserve"> integrated components: nutrition, physical activity, be</w:t>
      </w:r>
      <w:r w:rsidR="004C7072" w:rsidRPr="005653A5">
        <w:rPr>
          <w:rFonts w:cs="Times New Roman"/>
        </w:rPr>
        <w:t xml:space="preserve">havioural knowledge and skills </w:t>
      </w:r>
      <w:r w:rsidRPr="005653A5">
        <w:rPr>
          <w:rFonts w:cs="Times New Roman"/>
        </w:rPr>
        <w:t>and communications</w:t>
      </w:r>
      <w:r w:rsidR="004C7072" w:rsidRPr="005653A5">
        <w:rPr>
          <w:rFonts w:cs="Times New Roman"/>
        </w:rPr>
        <w:t xml:space="preserve"> and social marketing. No </w:t>
      </w:r>
      <w:r w:rsidR="00FB7CE9">
        <w:rPr>
          <w:rFonts w:cs="Times New Roman"/>
        </w:rPr>
        <w:t>significant</w:t>
      </w:r>
      <w:r w:rsidR="0025727A" w:rsidRPr="005653A5">
        <w:rPr>
          <w:rFonts w:cs="Times New Roman"/>
        </w:rPr>
        <w:t xml:space="preserve"> group </w:t>
      </w:r>
      <w:r w:rsidR="004C7072" w:rsidRPr="005653A5">
        <w:rPr>
          <w:rFonts w:cs="Times New Roman"/>
        </w:rPr>
        <w:t>differences were observed</w:t>
      </w:r>
      <w:r w:rsidR="0025727A" w:rsidRPr="005653A5">
        <w:rPr>
          <w:rFonts w:cs="Times New Roman"/>
        </w:rPr>
        <w:t xml:space="preserve"> in the prevalence of overweight and obesity (primary outcome), but </w:t>
      </w:r>
      <w:r w:rsidR="00FB7CE9">
        <w:rPr>
          <w:rFonts w:cs="Times New Roman"/>
        </w:rPr>
        <w:t xml:space="preserve">children in </w:t>
      </w:r>
      <w:r w:rsidR="0025727A" w:rsidRPr="005653A5">
        <w:rPr>
          <w:rFonts w:cs="Times New Roman"/>
        </w:rPr>
        <w:t>the intervention schools had a greater reduction i</w:t>
      </w:r>
      <w:r w:rsidR="0063685C">
        <w:rPr>
          <w:rFonts w:cs="Times New Roman"/>
        </w:rPr>
        <w:t xml:space="preserve">n the secondary outcome of </w:t>
      </w:r>
      <w:r w:rsidR="009D1C7F">
        <w:rPr>
          <w:rFonts w:cs="Times New Roman"/>
        </w:rPr>
        <w:t>BMI SDS</w:t>
      </w:r>
      <w:r w:rsidR="00F060C0" w:rsidRPr="005653A5">
        <w:rPr>
          <w:rFonts w:cs="Times New Roman"/>
        </w:rPr>
        <w:t xml:space="preserve"> (-0.01 v -0.05, p</w:t>
      </w:r>
      <w:r w:rsidR="00713612">
        <w:rPr>
          <w:rFonts w:cs="Times New Roman"/>
        </w:rPr>
        <w:t xml:space="preserve"> </w:t>
      </w:r>
      <w:r w:rsidR="00F060C0" w:rsidRPr="005653A5">
        <w:rPr>
          <w:rFonts w:cs="Times New Roman"/>
        </w:rPr>
        <w:t>= 0.04)</w:t>
      </w:r>
      <w:r w:rsidR="00D76772">
        <w:rPr>
          <w:rFonts w:cs="Times New Roman"/>
        </w:rPr>
        <w:t xml:space="preserve"> at three-year follow up</w:t>
      </w:r>
      <w:r w:rsidR="00F060C0" w:rsidRPr="005653A5">
        <w:rPr>
          <w:rFonts w:cs="Times New Roman"/>
        </w:rPr>
        <w:t>.</w:t>
      </w:r>
    </w:p>
    <w:p w14:paraId="3C185345" w14:textId="0E53D7EC" w:rsidR="004A1F8E" w:rsidRPr="005653A5" w:rsidRDefault="004A1F8E" w:rsidP="005653A5">
      <w:pPr>
        <w:spacing w:line="360" w:lineRule="auto"/>
        <w:rPr>
          <w:rFonts w:cs="Times New Roman"/>
        </w:rPr>
      </w:pPr>
      <w:r w:rsidRPr="005653A5">
        <w:rPr>
          <w:rFonts w:cs="Times New Roman"/>
        </w:rPr>
        <w:t>In 2011, Jansen et al</w:t>
      </w:r>
      <w:r w:rsidR="00F81633">
        <w:rPr>
          <w:rFonts w:cs="Times New Roman"/>
        </w:rPr>
        <w:t xml:space="preserve"> </w:t>
      </w:r>
      <w:r w:rsidR="006D547B">
        <w:rPr>
          <w:rFonts w:cs="Times New Roman"/>
        </w:rPr>
        <w:fldChar w:fldCharType="begin">
          <w:fldData xml:space="preserve">PEVuZE5vdGU+PENpdGU+PEF1dGhvcj5KYW5zZW48L0F1dGhvcj48WWVhcj4yMDExPC9ZZWFyPjxS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</w:fldData>
        </w:fldChar>
      </w:r>
      <w:r w:rsidR="00FF0067">
        <w:rPr>
          <w:rFonts w:cs="Times New Roman"/>
        </w:rPr>
        <w:instrText xml:space="preserve"> ADDIN EN.CITE </w:instrText>
      </w:r>
      <w:r w:rsidR="00FF0067">
        <w:rPr>
          <w:rFonts w:cs="Times New Roman"/>
        </w:rPr>
        <w:fldChar w:fldCharType="begin">
          <w:fldData xml:space="preserve">PEVuZE5vdGU+PENpdGU+PEF1dGhvcj5KYW5zZW48L0F1dGhvcj48WWVhcj4yMDExPC9ZZWFyPjxS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</w:fldData>
        </w:fldChar>
      </w:r>
      <w:r w:rsidR="00FF0067">
        <w:rPr>
          <w:rFonts w:cs="Times New Roman"/>
        </w:rPr>
        <w:instrText xml:space="preserve"> ADDIN EN.CITE.DATA </w:instrText>
      </w:r>
      <w:r w:rsidR="00FF0067">
        <w:rPr>
          <w:rFonts w:cs="Times New Roman"/>
        </w:rPr>
      </w:r>
      <w:r w:rsidR="00FF0067">
        <w:rPr>
          <w:rFonts w:cs="Times New Roman"/>
        </w:rPr>
        <w:fldChar w:fldCharType="end"/>
      </w:r>
      <w:r w:rsidR="006D547B">
        <w:rPr>
          <w:rFonts w:cs="Times New Roman"/>
        </w:rPr>
      </w:r>
      <w:r w:rsidR="006D547B">
        <w:rPr>
          <w:rFonts w:cs="Times New Roman"/>
        </w:rPr>
        <w:fldChar w:fldCharType="separate"/>
      </w:r>
      <w:r w:rsidR="006347BE" w:rsidRPr="006347BE">
        <w:rPr>
          <w:rFonts w:cs="Times New Roman"/>
          <w:noProof/>
          <w:vertAlign w:val="superscript"/>
        </w:rPr>
        <w:t>15</w:t>
      </w:r>
      <w:r w:rsidR="006D547B">
        <w:rPr>
          <w:rFonts w:cs="Times New Roman"/>
        </w:rPr>
        <w:fldChar w:fldCharType="end"/>
      </w:r>
      <w:r w:rsidRPr="005653A5">
        <w:rPr>
          <w:rFonts w:cs="Times New Roman"/>
        </w:rPr>
        <w:t xml:space="preserve"> </w:t>
      </w:r>
      <w:r w:rsidR="00F80523">
        <w:rPr>
          <w:rFonts w:cs="Times New Roman"/>
        </w:rPr>
        <w:t>published their findings from</w:t>
      </w:r>
      <w:r w:rsidRPr="005653A5">
        <w:rPr>
          <w:rFonts w:cs="Times New Roman"/>
        </w:rPr>
        <w:t xml:space="preserve"> a</w:t>
      </w:r>
      <w:r w:rsidR="00376174" w:rsidRPr="005653A5">
        <w:rPr>
          <w:rFonts w:cs="Times New Roman"/>
        </w:rPr>
        <w:t>n 8 month</w:t>
      </w:r>
      <w:r w:rsidR="00926DE8">
        <w:rPr>
          <w:rFonts w:cs="Times New Roman"/>
        </w:rPr>
        <w:t xml:space="preserve"> cluster RCT of a school-</w:t>
      </w:r>
      <w:r w:rsidRPr="005653A5">
        <w:rPr>
          <w:rFonts w:cs="Times New Roman"/>
        </w:rPr>
        <w:t>based intervention to reduce overweight and improve fitness in 6-12 year old primary school children in multi ethnic, low income inner city neighbourhood in Rotterdam, Netherlands. This was a multi-component</w:t>
      </w:r>
      <w:r w:rsidR="00AB48F9" w:rsidRPr="005653A5">
        <w:rPr>
          <w:rFonts w:cs="Times New Roman"/>
        </w:rPr>
        <w:t xml:space="preserve"> programme</w:t>
      </w:r>
      <w:r w:rsidRPr="005653A5">
        <w:rPr>
          <w:rFonts w:cs="Times New Roman"/>
        </w:rPr>
        <w:t xml:space="preserve"> based on be</w:t>
      </w:r>
      <w:r w:rsidR="00565081" w:rsidRPr="005653A5">
        <w:rPr>
          <w:rFonts w:cs="Times New Roman"/>
        </w:rPr>
        <w:t xml:space="preserve">havioural and ecological models, involving </w:t>
      </w:r>
      <w:r w:rsidR="0056627C">
        <w:rPr>
          <w:rFonts w:cs="Times New Roman"/>
        </w:rPr>
        <w:t>physical education (</w:t>
      </w:r>
      <w:r w:rsidR="00565081" w:rsidRPr="005653A5">
        <w:rPr>
          <w:rFonts w:cs="Times New Roman"/>
        </w:rPr>
        <w:t>PE</w:t>
      </w:r>
      <w:r w:rsidR="0056627C">
        <w:rPr>
          <w:rFonts w:cs="Times New Roman"/>
        </w:rPr>
        <w:t>)</w:t>
      </w:r>
      <w:r w:rsidR="00565081" w:rsidRPr="005653A5">
        <w:rPr>
          <w:rFonts w:cs="Times New Roman"/>
        </w:rPr>
        <w:t xml:space="preserve"> sessions delivered by a specialist PE teacher, additional sport and play </w:t>
      </w:r>
      <w:r w:rsidR="008665E7" w:rsidRPr="005653A5">
        <w:rPr>
          <w:rFonts w:cs="Times New Roman"/>
        </w:rPr>
        <w:t>activities</w:t>
      </w:r>
      <w:r w:rsidR="00565081" w:rsidRPr="005653A5">
        <w:rPr>
          <w:rFonts w:cs="Times New Roman"/>
        </w:rPr>
        <w:t xml:space="preserve"> outside</w:t>
      </w:r>
      <w:r w:rsidR="008665E7" w:rsidRPr="005653A5">
        <w:rPr>
          <w:rFonts w:cs="Times New Roman"/>
        </w:rPr>
        <w:t xml:space="preserve"> school hours and an educational programme. Significant positive intervention effects were found </w:t>
      </w:r>
      <w:r w:rsidR="005F7F26">
        <w:rPr>
          <w:rFonts w:cs="Times New Roman"/>
        </w:rPr>
        <w:t>in terms of the</w:t>
      </w:r>
      <w:r w:rsidR="008665E7" w:rsidRPr="005653A5">
        <w:rPr>
          <w:rFonts w:cs="Times New Roman"/>
        </w:rPr>
        <w:t xml:space="preserve"> percentage </w:t>
      </w:r>
      <w:r w:rsidR="005F7F26">
        <w:rPr>
          <w:rFonts w:cs="Times New Roman"/>
        </w:rPr>
        <w:t xml:space="preserve">of </w:t>
      </w:r>
      <w:r w:rsidR="008665E7" w:rsidRPr="005653A5">
        <w:rPr>
          <w:rFonts w:cs="Times New Roman"/>
        </w:rPr>
        <w:t>overweight children, waist circumference and 20 minute shuttle run among the 6-9 year olds. The prevalence of overweight in 6-8 year olds increased by 4.3% in the control group and by 1.3% in the intervention</w:t>
      </w:r>
      <w:r w:rsidR="009E19C3" w:rsidRPr="005653A5">
        <w:rPr>
          <w:rFonts w:cs="Times New Roman"/>
        </w:rPr>
        <w:t xml:space="preserve"> group. </w:t>
      </w:r>
      <w:r w:rsidR="008665E7" w:rsidRPr="005653A5">
        <w:rPr>
          <w:rFonts w:cs="Times New Roman"/>
        </w:rPr>
        <w:t xml:space="preserve">No significant effects were found for BMI for 9-12 year olds. </w:t>
      </w:r>
    </w:p>
    <w:p w14:paraId="0C3F4E2B" w14:textId="0322F642" w:rsidR="00DF3EF6" w:rsidRPr="005653A5" w:rsidRDefault="00283CBA" w:rsidP="005653A5">
      <w:pPr>
        <w:spacing w:line="360" w:lineRule="auto"/>
        <w:rPr>
          <w:rFonts w:cs="Times New Roman"/>
        </w:rPr>
      </w:pPr>
      <w:r w:rsidRPr="005653A5">
        <w:rPr>
          <w:rFonts w:cs="Times New Roman"/>
        </w:rPr>
        <w:t>In 2014, t</w:t>
      </w:r>
      <w:r w:rsidR="00DF3EF6" w:rsidRPr="005653A5">
        <w:rPr>
          <w:rFonts w:cs="Times New Roman"/>
        </w:rPr>
        <w:t>he results for the Active for Life Year 5 (AFLY5)</w:t>
      </w:r>
      <w:r w:rsidR="00E201E2">
        <w:rPr>
          <w:rFonts w:cs="Times New Roman"/>
        </w:rPr>
        <w:t xml:space="preserve"> </w:t>
      </w:r>
      <w:r w:rsidR="00E201E2">
        <w:rPr>
          <w:rFonts w:cs="Times New Roman"/>
        </w:rPr>
        <w:fldChar w:fldCharType="begin">
          <w:fldData xml:space="preserve">PEVuZE5vdGU+PENpdGU+PEF1dGhvcj5LaXBwaW5nPC9BdXRob3I+PFllYXI+MjAxNDwvWWVhcj48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==
</w:fldData>
        </w:fldChar>
      </w:r>
      <w:r w:rsidR="00FF0067">
        <w:rPr>
          <w:rFonts w:cs="Times New Roman"/>
        </w:rPr>
        <w:instrText xml:space="preserve"> ADDIN EN.CITE </w:instrText>
      </w:r>
      <w:r w:rsidR="00FF0067">
        <w:rPr>
          <w:rFonts w:cs="Times New Roman"/>
        </w:rPr>
        <w:fldChar w:fldCharType="begin">
          <w:fldData xml:space="preserve">PEVuZE5vdGU+PENpdGU+PEF1dGhvcj5LaXBwaW5nPC9BdXRob3I+PFllYXI+MjAxNDwvWWVhcj48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==
</w:fldData>
        </w:fldChar>
      </w:r>
      <w:r w:rsidR="00FF0067">
        <w:rPr>
          <w:rFonts w:cs="Times New Roman"/>
        </w:rPr>
        <w:instrText xml:space="preserve"> ADDIN EN.CITE.DATA </w:instrText>
      </w:r>
      <w:r w:rsidR="00FF0067">
        <w:rPr>
          <w:rFonts w:cs="Times New Roman"/>
        </w:rPr>
      </w:r>
      <w:r w:rsidR="00FF0067">
        <w:rPr>
          <w:rFonts w:cs="Times New Roman"/>
        </w:rPr>
        <w:fldChar w:fldCharType="end"/>
      </w:r>
      <w:r w:rsidR="00E201E2">
        <w:rPr>
          <w:rFonts w:cs="Times New Roman"/>
        </w:rPr>
      </w:r>
      <w:r w:rsidR="00E201E2">
        <w:rPr>
          <w:rFonts w:cs="Times New Roman"/>
        </w:rPr>
        <w:fldChar w:fldCharType="separate"/>
      </w:r>
      <w:r w:rsidR="006347BE" w:rsidRPr="006347BE">
        <w:rPr>
          <w:rFonts w:cs="Times New Roman"/>
          <w:noProof/>
          <w:vertAlign w:val="superscript"/>
        </w:rPr>
        <w:t>16</w:t>
      </w:r>
      <w:r w:rsidR="00E201E2">
        <w:rPr>
          <w:rFonts w:cs="Times New Roman"/>
        </w:rPr>
        <w:fldChar w:fldCharType="end"/>
      </w:r>
      <w:r w:rsidRPr="005653A5">
        <w:rPr>
          <w:rFonts w:cs="Times New Roman"/>
        </w:rPr>
        <w:t xml:space="preserve"> study,</w:t>
      </w:r>
      <w:r w:rsidR="009E19C3" w:rsidRPr="005653A5">
        <w:rPr>
          <w:rFonts w:cs="Times New Roman"/>
        </w:rPr>
        <w:t xml:space="preserve"> </w:t>
      </w:r>
      <w:r w:rsidR="00DF3EF6" w:rsidRPr="005653A5">
        <w:rPr>
          <w:rFonts w:cs="Times New Roman"/>
        </w:rPr>
        <w:t xml:space="preserve">a UK primary school-based cluster RCT aimed at increasing physical activity, reducing sedentary behaviours and increasing fruit and vegetable consumption in </w:t>
      </w:r>
      <w:r w:rsidR="00D76772">
        <w:rPr>
          <w:rFonts w:cs="Times New Roman"/>
        </w:rPr>
        <w:t xml:space="preserve">9-10 year old </w:t>
      </w:r>
      <w:r w:rsidR="00DF3EF6" w:rsidRPr="005653A5">
        <w:rPr>
          <w:rFonts w:cs="Times New Roman"/>
        </w:rPr>
        <w:t>children</w:t>
      </w:r>
      <w:r w:rsidRPr="005653A5">
        <w:rPr>
          <w:rFonts w:cs="Times New Roman"/>
        </w:rPr>
        <w:t xml:space="preserve"> were published. N</w:t>
      </w:r>
      <w:r w:rsidR="00DF3EF6" w:rsidRPr="005653A5">
        <w:rPr>
          <w:rFonts w:cs="Times New Roman"/>
        </w:rPr>
        <w:t>o difference</w:t>
      </w:r>
      <w:r w:rsidRPr="005653A5">
        <w:rPr>
          <w:rFonts w:cs="Times New Roman"/>
        </w:rPr>
        <w:t>s</w:t>
      </w:r>
      <w:r w:rsidR="00DF3EF6" w:rsidRPr="005653A5">
        <w:rPr>
          <w:rFonts w:cs="Times New Roman"/>
        </w:rPr>
        <w:t xml:space="preserve"> </w:t>
      </w:r>
      <w:r w:rsidRPr="005653A5">
        <w:rPr>
          <w:rFonts w:cs="Times New Roman"/>
        </w:rPr>
        <w:t xml:space="preserve">were observed </w:t>
      </w:r>
      <w:r w:rsidR="00DF3EF6" w:rsidRPr="005653A5">
        <w:rPr>
          <w:rFonts w:cs="Times New Roman"/>
        </w:rPr>
        <w:t xml:space="preserve">between intervention and control </w:t>
      </w:r>
      <w:r w:rsidR="005D4686">
        <w:rPr>
          <w:rFonts w:cs="Times New Roman"/>
        </w:rPr>
        <w:t xml:space="preserve">groups </w:t>
      </w:r>
      <w:r w:rsidR="00DF3EF6" w:rsidRPr="005653A5">
        <w:rPr>
          <w:rFonts w:cs="Times New Roman"/>
        </w:rPr>
        <w:t>in the three primary outcomes</w:t>
      </w:r>
      <w:r w:rsidR="008954C8">
        <w:rPr>
          <w:rFonts w:cs="Times New Roman"/>
        </w:rPr>
        <w:t xml:space="preserve"> outlined above</w:t>
      </w:r>
      <w:r w:rsidR="00DF3EF6" w:rsidRPr="005653A5">
        <w:rPr>
          <w:rFonts w:cs="Times New Roman"/>
        </w:rPr>
        <w:t>. The intervention was effective for three out of nine secondary outcomes</w:t>
      </w:r>
      <w:r w:rsidR="008208C1" w:rsidRPr="005653A5">
        <w:rPr>
          <w:rFonts w:cs="Times New Roman"/>
        </w:rPr>
        <w:t xml:space="preserve"> after multiple testing was taken into account: self-reported time spent in screen viewing at the weekend, self-reported servings of snacks per day and servings of high energy drinks per day were all reduced. The intervention</w:t>
      </w:r>
      <w:r w:rsidR="00E04E82" w:rsidRPr="005653A5">
        <w:rPr>
          <w:rFonts w:cs="Times New Roman"/>
        </w:rPr>
        <w:t xml:space="preserve"> was an adaptation </w:t>
      </w:r>
      <w:r w:rsidR="00513764" w:rsidRPr="005653A5">
        <w:rPr>
          <w:rFonts w:cs="Times New Roman"/>
        </w:rPr>
        <w:t xml:space="preserve">of </w:t>
      </w:r>
      <w:r w:rsidR="00E04E82" w:rsidRPr="005653A5">
        <w:rPr>
          <w:rFonts w:cs="Times New Roman"/>
        </w:rPr>
        <w:t>the American school-based intervention Planet Health</w:t>
      </w:r>
      <w:r w:rsidR="005F6263">
        <w:rPr>
          <w:rFonts w:cs="Times New Roman"/>
        </w:rPr>
        <w:t xml:space="preserve"> </w:t>
      </w:r>
      <w:r w:rsidR="006D547B">
        <w:rPr>
          <w:rFonts w:cs="Times New Roman"/>
        </w:rPr>
        <w:fldChar w:fldCharType="begin">
          <w:fldData xml:space="preserve">PEVuZE5vdGU+PENpdGU+PEF1dGhvcj5Hb3J0bWFrZXI8L0F1dGhvcj48WWVhcj4xOTk5PC9ZZWFy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</w:fldData>
        </w:fldChar>
      </w:r>
      <w:r w:rsidR="00FF0067">
        <w:rPr>
          <w:rFonts w:cs="Times New Roman"/>
        </w:rPr>
        <w:instrText xml:space="preserve"> ADDIN EN.CITE </w:instrText>
      </w:r>
      <w:r w:rsidR="00FF0067">
        <w:rPr>
          <w:rFonts w:cs="Times New Roman"/>
        </w:rPr>
        <w:fldChar w:fldCharType="begin">
          <w:fldData xml:space="preserve">PEVuZE5vdGU+PENpdGU+PEF1dGhvcj5Hb3J0bWFrZXI8L0F1dGhvcj48WWVhcj4xOTk5PC9ZZWFy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</w:fldData>
        </w:fldChar>
      </w:r>
      <w:r w:rsidR="00FF0067">
        <w:rPr>
          <w:rFonts w:cs="Times New Roman"/>
        </w:rPr>
        <w:instrText xml:space="preserve"> ADDIN EN.CITE.DATA </w:instrText>
      </w:r>
      <w:r w:rsidR="00FF0067">
        <w:rPr>
          <w:rFonts w:cs="Times New Roman"/>
        </w:rPr>
      </w:r>
      <w:r w:rsidR="00FF0067">
        <w:rPr>
          <w:rFonts w:cs="Times New Roman"/>
        </w:rPr>
        <w:fldChar w:fldCharType="end"/>
      </w:r>
      <w:r w:rsidR="006D547B">
        <w:rPr>
          <w:rFonts w:cs="Times New Roman"/>
        </w:rPr>
      </w:r>
      <w:r w:rsidR="006D547B">
        <w:rPr>
          <w:rFonts w:cs="Times New Roman"/>
        </w:rPr>
        <w:fldChar w:fldCharType="separate"/>
      </w:r>
      <w:r w:rsidR="006347BE" w:rsidRPr="006347BE">
        <w:rPr>
          <w:rFonts w:cs="Times New Roman"/>
          <w:noProof/>
          <w:vertAlign w:val="superscript"/>
        </w:rPr>
        <w:t>17</w:t>
      </w:r>
      <w:r w:rsidR="006D547B">
        <w:rPr>
          <w:rFonts w:cs="Times New Roman"/>
        </w:rPr>
        <w:fldChar w:fldCharType="end"/>
      </w:r>
      <w:r w:rsidR="00E04E82" w:rsidRPr="005653A5">
        <w:rPr>
          <w:rFonts w:cs="Times New Roman"/>
        </w:rPr>
        <w:t xml:space="preserve"> consisting of 16 lessons (delivered by the class teacher) and 10 </w:t>
      </w:r>
      <w:r w:rsidRPr="005653A5">
        <w:rPr>
          <w:rFonts w:cs="Times New Roman"/>
        </w:rPr>
        <w:t>pieces of homework</w:t>
      </w:r>
      <w:r w:rsidR="00E04E82" w:rsidRPr="005653A5">
        <w:rPr>
          <w:rFonts w:cs="Times New Roman"/>
        </w:rPr>
        <w:t xml:space="preserve"> in which the children were encouraged to work with their parents. </w:t>
      </w:r>
    </w:p>
    <w:p w14:paraId="73A681C3" w14:textId="725A0991" w:rsidR="00E04E82" w:rsidRPr="005653A5" w:rsidRDefault="00055B69" w:rsidP="005653A5">
      <w:pPr>
        <w:spacing w:line="360" w:lineRule="auto"/>
        <w:rPr>
          <w:rFonts w:cs="Times New Roman"/>
        </w:rPr>
      </w:pPr>
      <w:r w:rsidRPr="005653A5">
        <w:rPr>
          <w:rFonts w:cs="Times New Roman"/>
        </w:rPr>
        <w:t xml:space="preserve">Grydeland et al., (2014) </w:t>
      </w:r>
      <w:r w:rsidR="00D4481D">
        <w:rPr>
          <w:rFonts w:cs="Times New Roman"/>
        </w:rPr>
        <w:fldChar w:fldCharType="begin">
          <w:fldData xml:space="preserve">PEVuZE5vdGU+PENpdGU+PEF1dGhvcj5HcnlkZWxhbmQ8L0F1dGhvcj48WWVhcj4yMDE0PC9ZZWFy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</w:fldData>
        </w:fldChar>
      </w:r>
      <w:r w:rsidR="00FF0067">
        <w:rPr>
          <w:rFonts w:cs="Times New Roman"/>
        </w:rPr>
        <w:instrText xml:space="preserve"> ADDIN EN.CITE </w:instrText>
      </w:r>
      <w:r w:rsidR="00FF0067">
        <w:rPr>
          <w:rFonts w:cs="Times New Roman"/>
        </w:rPr>
        <w:fldChar w:fldCharType="begin">
          <w:fldData xml:space="preserve">PEVuZE5vdGU+PENpdGU+PEF1dGhvcj5HcnlkZWxhbmQ8L0F1dGhvcj48WWVhcj4yMDE0PC9ZZWFy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</w:fldData>
        </w:fldChar>
      </w:r>
      <w:r w:rsidR="00FF0067">
        <w:rPr>
          <w:rFonts w:cs="Times New Roman"/>
        </w:rPr>
        <w:instrText xml:space="preserve"> ADDIN EN.CITE.DATA </w:instrText>
      </w:r>
      <w:r w:rsidR="00FF0067">
        <w:rPr>
          <w:rFonts w:cs="Times New Roman"/>
        </w:rPr>
      </w:r>
      <w:r w:rsidR="00FF0067">
        <w:rPr>
          <w:rFonts w:cs="Times New Roman"/>
        </w:rPr>
        <w:fldChar w:fldCharType="end"/>
      </w:r>
      <w:r w:rsidR="00D4481D">
        <w:rPr>
          <w:rFonts w:cs="Times New Roman"/>
        </w:rPr>
      </w:r>
      <w:r w:rsidR="00D4481D">
        <w:rPr>
          <w:rFonts w:cs="Times New Roman"/>
        </w:rPr>
        <w:fldChar w:fldCharType="separate"/>
      </w:r>
      <w:r w:rsidR="006347BE" w:rsidRPr="006347BE">
        <w:rPr>
          <w:rFonts w:cs="Times New Roman"/>
          <w:noProof/>
          <w:vertAlign w:val="superscript"/>
        </w:rPr>
        <w:t>14</w:t>
      </w:r>
      <w:r w:rsidR="00D4481D">
        <w:rPr>
          <w:rFonts w:cs="Times New Roman"/>
        </w:rPr>
        <w:fldChar w:fldCharType="end"/>
      </w:r>
      <w:r w:rsidR="00D4481D">
        <w:rPr>
          <w:rFonts w:cs="Times New Roman"/>
        </w:rPr>
        <w:t xml:space="preserve"> </w:t>
      </w:r>
      <w:r w:rsidRPr="005653A5">
        <w:rPr>
          <w:rFonts w:cs="Times New Roman"/>
        </w:rPr>
        <w:t xml:space="preserve">assessed the effect of a 20 month cluster RCT of a school-based intervention trial on the BMI of 11 year old children in Norway. The intervention took a multi-level approach including collaboration with school principals and teachers, school health services and </w:t>
      </w:r>
      <w:r w:rsidRPr="005653A5">
        <w:rPr>
          <w:rFonts w:cs="Times New Roman"/>
        </w:rPr>
        <w:lastRenderedPageBreak/>
        <w:t>parent committees. School teachers were the key in delivering the intervention components, which included lessons, fact sheets for parents, meetings and raising awareness about leisure time activities.</w:t>
      </w:r>
      <w:r w:rsidR="00283CBA" w:rsidRPr="005653A5">
        <w:rPr>
          <w:rFonts w:cs="Times New Roman"/>
        </w:rPr>
        <w:t xml:space="preserve"> </w:t>
      </w:r>
      <w:r w:rsidR="0014743F">
        <w:rPr>
          <w:rFonts w:cs="Times New Roman"/>
        </w:rPr>
        <w:t>There was no significant effect of the intervention overall a</w:t>
      </w:r>
      <w:r w:rsidR="00F80523">
        <w:rPr>
          <w:rFonts w:cs="Times New Roman"/>
        </w:rPr>
        <w:t xml:space="preserve">lthough significant </w:t>
      </w:r>
      <w:r w:rsidR="00283CBA" w:rsidRPr="005653A5">
        <w:rPr>
          <w:rFonts w:cs="Times New Roman"/>
        </w:rPr>
        <w:t xml:space="preserve">effects were found for </w:t>
      </w:r>
      <w:r w:rsidR="00FB7CE9">
        <w:rPr>
          <w:rFonts w:cs="Times New Roman"/>
        </w:rPr>
        <w:t xml:space="preserve">both </w:t>
      </w:r>
      <w:r w:rsidR="00283CBA" w:rsidRPr="005653A5">
        <w:rPr>
          <w:rFonts w:cs="Times New Roman"/>
        </w:rPr>
        <w:t xml:space="preserve">BMI </w:t>
      </w:r>
      <w:r w:rsidR="0014743F">
        <w:rPr>
          <w:rFonts w:cs="Times New Roman"/>
        </w:rPr>
        <w:t>(p</w:t>
      </w:r>
      <w:r w:rsidR="00713612">
        <w:rPr>
          <w:rFonts w:cs="Times New Roman"/>
        </w:rPr>
        <w:t xml:space="preserve"> </w:t>
      </w:r>
      <w:r w:rsidR="0014743F">
        <w:rPr>
          <w:rFonts w:cs="Times New Roman"/>
        </w:rPr>
        <w:t>=</w:t>
      </w:r>
      <w:r w:rsidR="00713612">
        <w:rPr>
          <w:rFonts w:cs="Times New Roman"/>
        </w:rPr>
        <w:t xml:space="preserve"> </w:t>
      </w:r>
      <w:r w:rsidR="0014743F">
        <w:rPr>
          <w:rFonts w:cs="Times New Roman"/>
        </w:rPr>
        <w:t xml:space="preserve">0.024) </w:t>
      </w:r>
      <w:r w:rsidR="00283CBA" w:rsidRPr="005653A5">
        <w:rPr>
          <w:rFonts w:cs="Times New Roman"/>
        </w:rPr>
        <w:t xml:space="preserve">and </w:t>
      </w:r>
      <w:r w:rsidR="009D1C7F">
        <w:rPr>
          <w:rFonts w:cs="Times New Roman"/>
        </w:rPr>
        <w:t>BMI SDS</w:t>
      </w:r>
      <w:r w:rsidR="00283CBA" w:rsidRPr="005653A5">
        <w:rPr>
          <w:rFonts w:cs="Times New Roman"/>
        </w:rPr>
        <w:t xml:space="preserve"> </w:t>
      </w:r>
      <w:r w:rsidR="0014743F">
        <w:rPr>
          <w:rFonts w:cs="Times New Roman"/>
        </w:rPr>
        <w:t>(p</w:t>
      </w:r>
      <w:r w:rsidR="00713612">
        <w:rPr>
          <w:rFonts w:cs="Times New Roman"/>
        </w:rPr>
        <w:t xml:space="preserve"> </w:t>
      </w:r>
      <w:r w:rsidR="0014743F">
        <w:rPr>
          <w:rFonts w:cs="Times New Roman"/>
        </w:rPr>
        <w:t>=</w:t>
      </w:r>
      <w:r w:rsidR="00713612">
        <w:rPr>
          <w:rFonts w:cs="Times New Roman"/>
        </w:rPr>
        <w:t xml:space="preserve"> </w:t>
      </w:r>
      <w:r w:rsidR="0014743F">
        <w:rPr>
          <w:rFonts w:cs="Times New Roman"/>
        </w:rPr>
        <w:t xml:space="preserve">0.003) </w:t>
      </w:r>
      <w:r w:rsidR="00283CBA" w:rsidRPr="005653A5">
        <w:rPr>
          <w:rFonts w:cs="Times New Roman"/>
        </w:rPr>
        <w:t xml:space="preserve">in girls. Furthermore, children of higher educated parents seemed to benefit more from the intervention, </w:t>
      </w:r>
      <w:r w:rsidR="00A0337E">
        <w:rPr>
          <w:rFonts w:cs="Times New Roman"/>
        </w:rPr>
        <w:t>highlighting the</w:t>
      </w:r>
      <w:r w:rsidR="00A0337E" w:rsidRPr="005653A5">
        <w:rPr>
          <w:rFonts w:cs="Times New Roman"/>
        </w:rPr>
        <w:t xml:space="preserve"> </w:t>
      </w:r>
      <w:r w:rsidR="00283CBA" w:rsidRPr="005653A5">
        <w:rPr>
          <w:rFonts w:cs="Times New Roman"/>
        </w:rPr>
        <w:t>need to develop interventions that do not widen the health inequalities that already exist betwee</w:t>
      </w:r>
      <w:r w:rsidR="0097763A">
        <w:rPr>
          <w:rFonts w:cs="Times New Roman"/>
        </w:rPr>
        <w:t>n children from different socio</w:t>
      </w:r>
      <w:r w:rsidR="00283CBA" w:rsidRPr="005653A5">
        <w:rPr>
          <w:rFonts w:cs="Times New Roman"/>
        </w:rPr>
        <w:t>economic groups.</w:t>
      </w:r>
    </w:p>
    <w:p w14:paraId="55CD143E" w14:textId="0BA1C68A" w:rsidR="00B5432E" w:rsidRPr="005653A5" w:rsidRDefault="003A63D5" w:rsidP="007A68D4">
      <w:pPr>
        <w:pStyle w:val="Heading2"/>
        <w:rPr>
          <w:rStyle w:val="Heading2Char"/>
          <w:rFonts w:asciiTheme="minorHAnsi" w:hAnsiTheme="minorHAnsi"/>
          <w:b/>
          <w:sz w:val="22"/>
          <w:szCs w:val="22"/>
        </w:rPr>
      </w:pPr>
      <w:bookmarkStart w:id="278" w:name="_Toc466639028"/>
      <w:bookmarkStart w:id="279" w:name="_Toc466710042"/>
      <w:bookmarkStart w:id="280" w:name="_Toc466711390"/>
      <w:bookmarkStart w:id="281" w:name="_Toc466712049"/>
      <w:bookmarkStart w:id="282" w:name="_Toc475974335"/>
      <w:r>
        <w:rPr>
          <w:rStyle w:val="Heading2Char"/>
          <w:rFonts w:asciiTheme="minorHAnsi" w:hAnsiTheme="minorHAnsi"/>
          <w:b/>
          <w:sz w:val="22"/>
          <w:szCs w:val="22"/>
        </w:rPr>
        <w:t xml:space="preserve">1.3 </w:t>
      </w:r>
      <w:r w:rsidR="00F21429" w:rsidRPr="005653A5">
        <w:rPr>
          <w:rStyle w:val="Heading2Char"/>
          <w:rFonts w:asciiTheme="minorHAnsi" w:hAnsiTheme="minorHAnsi"/>
          <w:b/>
          <w:sz w:val="22"/>
          <w:szCs w:val="22"/>
        </w:rPr>
        <w:t>R</w:t>
      </w:r>
      <w:r w:rsidR="00BC39D9" w:rsidRPr="005653A5">
        <w:rPr>
          <w:rStyle w:val="Heading2Char"/>
          <w:rFonts w:asciiTheme="minorHAnsi" w:hAnsiTheme="minorHAnsi"/>
          <w:b/>
          <w:sz w:val="22"/>
          <w:szCs w:val="22"/>
        </w:rPr>
        <w:t>ational</w:t>
      </w:r>
      <w:r w:rsidR="00B10BE9" w:rsidRPr="005653A5">
        <w:rPr>
          <w:rStyle w:val="Heading2Char"/>
          <w:rFonts w:asciiTheme="minorHAnsi" w:hAnsiTheme="minorHAnsi"/>
          <w:b/>
          <w:sz w:val="22"/>
          <w:szCs w:val="22"/>
        </w:rPr>
        <w:t>e</w:t>
      </w:r>
      <w:r w:rsidR="00BC39D9" w:rsidRPr="005653A5">
        <w:rPr>
          <w:rStyle w:val="Heading2Char"/>
          <w:rFonts w:asciiTheme="minorHAnsi" w:hAnsiTheme="minorHAnsi"/>
          <w:b/>
          <w:sz w:val="22"/>
          <w:szCs w:val="22"/>
        </w:rPr>
        <w:t xml:space="preserve"> for </w:t>
      </w:r>
      <w:bookmarkEnd w:id="277"/>
      <w:r w:rsidR="000F04BC" w:rsidRPr="005653A5">
        <w:rPr>
          <w:rStyle w:val="Heading2Char"/>
          <w:rFonts w:asciiTheme="minorHAnsi" w:hAnsiTheme="minorHAnsi"/>
          <w:b/>
          <w:sz w:val="22"/>
          <w:szCs w:val="22"/>
        </w:rPr>
        <w:t>the Healthy Lifestyles Programme (HeLP)</w:t>
      </w:r>
      <w:bookmarkEnd w:id="278"/>
      <w:bookmarkEnd w:id="279"/>
      <w:bookmarkEnd w:id="280"/>
      <w:bookmarkEnd w:id="281"/>
      <w:bookmarkEnd w:id="282"/>
    </w:p>
    <w:p w14:paraId="378E78D9" w14:textId="4138C6CF" w:rsidR="00EE264E" w:rsidRPr="005653A5" w:rsidRDefault="00EE264E" w:rsidP="001B2FDE">
      <w:pPr>
        <w:adjustRightInd w:val="0"/>
        <w:snapToGrid w:val="0"/>
        <w:spacing w:line="360" w:lineRule="auto"/>
        <w:rPr>
          <w:rFonts w:cs="Times New Roman"/>
        </w:rPr>
      </w:pPr>
      <w:r w:rsidRPr="005653A5">
        <w:rPr>
          <w:rFonts w:cs="Times New Roman"/>
        </w:rPr>
        <w:t>We began work to design, pilot and then fully evaluate a school-based obesity prevention programme in primary schools in 2006.</w:t>
      </w:r>
      <w:r w:rsidR="009E3301" w:rsidRPr="005653A5">
        <w:rPr>
          <w:rFonts w:cs="Times New Roman"/>
        </w:rPr>
        <w:t xml:space="preserve"> Our aim was to create a novel programme of activities using an </w:t>
      </w:r>
      <w:r w:rsidR="00FD7098">
        <w:rPr>
          <w:rFonts w:cs="Times New Roman"/>
        </w:rPr>
        <w:t>I</w:t>
      </w:r>
      <w:r w:rsidR="009E3301" w:rsidRPr="005653A5">
        <w:rPr>
          <w:rFonts w:cs="Times New Roman"/>
        </w:rPr>
        <w:t xml:space="preserve">ntervention </w:t>
      </w:r>
      <w:r w:rsidR="00FD7098">
        <w:rPr>
          <w:rFonts w:cs="Times New Roman"/>
        </w:rPr>
        <w:t>M</w:t>
      </w:r>
      <w:r w:rsidR="009E3301" w:rsidRPr="005653A5">
        <w:rPr>
          <w:rFonts w:cs="Times New Roman"/>
        </w:rPr>
        <w:t>apping (IM) approach</w:t>
      </w:r>
      <w:r w:rsidR="00DF1CF3">
        <w:rPr>
          <w:rFonts w:cs="Times New Roman"/>
        </w:rPr>
        <w:t xml:space="preserve"> </w:t>
      </w:r>
      <w:r w:rsidR="006D547B">
        <w:rPr>
          <w:rFonts w:cs="Times New Roman"/>
        </w:rPr>
        <w:fldChar w:fldCharType="begin"/>
      </w:r>
      <w:r w:rsidR="006347BE">
        <w:rPr>
          <w:rFonts w:cs="Times New Roman"/>
        </w:rPr>
        <w:instrText xml:space="preserve"> ADDIN EN.CITE &lt;EndNote&gt;&lt;Cite&gt;&lt;Author&gt;Bartholomew&lt;/Author&gt;&lt;Year&gt;2016&lt;/Year&gt;&lt;RecNum&gt;5712&lt;/RecNum&gt;&lt;DisplayText&gt;&lt;style face="superscript"&gt;18&lt;/style&gt;&lt;/DisplayText&gt;&lt;record&gt;&lt;rec-number&gt;5712&lt;/rec-number&gt;&lt;foreign-keys&gt;&lt;key app="EN" db-id="2ewa9rrvjsdsawep2vpx5x97eedzzvxx5rta" timestamp="1478518114"&gt;5712&lt;/key&gt;&lt;/foreign-keys&gt;&lt;ref-type name="Book"&gt;6&lt;/ref-type&gt;&lt;contributors&gt;&lt;authors&gt;&lt;author&gt;Bartholomew, L.K.,  Markham, C. M., Ruiter, R., Fernández, M. E,, Kok, G. &amp;amp; Parcel, G.S. &lt;/author&gt;&lt;/authors&gt;&lt;/contributors&gt;&lt;titles&gt;&lt;title&gt;Planning Health Promotion Programmes An Intervention mapping Approach (4th Ed)&lt;/title&gt;&lt;/titles&gt;&lt;dates&gt;&lt;year&gt;2016&lt;/year&gt;&lt;/dates&gt;&lt;urls&gt;&lt;/urls&gt;&lt;/record&gt;&lt;/Cite&gt;&lt;/EndNote&gt;</w:instrText>
      </w:r>
      <w:r w:rsidR="006D547B">
        <w:rPr>
          <w:rFonts w:cs="Times New Roman"/>
        </w:rPr>
        <w:fldChar w:fldCharType="separate"/>
      </w:r>
      <w:r w:rsidR="006347BE" w:rsidRPr="006347BE">
        <w:rPr>
          <w:rFonts w:cs="Times New Roman"/>
          <w:noProof/>
          <w:vertAlign w:val="superscript"/>
        </w:rPr>
        <w:t>18</w:t>
      </w:r>
      <w:r w:rsidR="006D547B">
        <w:rPr>
          <w:rFonts w:cs="Times New Roman"/>
        </w:rPr>
        <w:fldChar w:fldCharType="end"/>
      </w:r>
      <w:r w:rsidR="00F62C51">
        <w:rPr>
          <w:rFonts w:cs="Times New Roman"/>
        </w:rPr>
        <w:t xml:space="preserve"> </w:t>
      </w:r>
      <w:r w:rsidR="009E3301" w:rsidRPr="005653A5">
        <w:rPr>
          <w:rFonts w:cs="Times New Roman"/>
        </w:rPr>
        <w:t xml:space="preserve">and to follow the UK Medical Research Council’s framework for the </w:t>
      </w:r>
      <w:r w:rsidR="00F75DF9">
        <w:rPr>
          <w:rFonts w:cs="Times New Roman"/>
        </w:rPr>
        <w:t xml:space="preserve">development and </w:t>
      </w:r>
      <w:r w:rsidR="009E3301" w:rsidRPr="005653A5">
        <w:rPr>
          <w:rFonts w:cs="Times New Roman"/>
        </w:rPr>
        <w:t>evaluation of complex interventions</w:t>
      </w:r>
      <w:r w:rsidR="00D4481D">
        <w:rPr>
          <w:rFonts w:cs="Times New Roman"/>
        </w:rPr>
        <w:t xml:space="preserve"> </w:t>
      </w:r>
      <w:r w:rsidR="00D4481D">
        <w:rPr>
          <w:rFonts w:cs="Times New Roman"/>
        </w:rPr>
        <w:fldChar w:fldCharType="begin"/>
      </w:r>
      <w:r w:rsidR="00FF0067">
        <w:rPr>
          <w:rFonts w:cs="Times New Roman"/>
        </w:rPr>
        <w:instrText xml:space="preserve"> ADDIN EN.CITE &lt;EndNote&gt;&lt;Cite&gt;&lt;Author&gt;Craig&lt;/Author&gt;&lt;Year&gt;2008&lt;/Year&gt;&lt;RecNum&gt;3060&lt;/RecNum&gt;&lt;DisplayText&gt;&lt;style face="superscript"&gt;19&lt;/style&gt;&lt;/DisplayText&gt;&lt;record&gt;&lt;rec-number&gt;3060&lt;/rec-number&gt;&lt;foreign-keys&gt;&lt;key app="EN" db-id="2ewa9rrvjsdsawep2vpx5x97eedzzvxx5rta" timestamp="0"&gt;3060&lt;/key&gt;&lt;/foreign-keys&gt;&lt;ref-type name="Journal Article"&gt;17&lt;/ref-type&gt;&lt;contributors&gt;&lt;authors&gt;&lt;author&gt;Craig, P.&lt;/author&gt;&lt;author&gt;Dieppe, P.&lt;/author&gt;&lt;author&gt;Macintyre, S.&lt;/author&gt;&lt;author&gt;Michie, S.&lt;/author&gt;&lt;author&gt;Nazareth, I.&lt;/author&gt;&lt;author&gt;Petticrew, M.&lt;/author&gt;&lt;/authors&gt;&lt;/contributors&gt;&lt;auth-address&gt;MRC Population Health Sciences Research Network, Glasgow G12 8RZ. peter@sphsu.mrc.ac.uk&lt;/auth-address&gt;&lt;titles&gt;&lt;title&gt;Developing and evaluating complex interventions: the new Medical Research Council guidance&lt;/title&gt;&lt;secondary-title&gt;British Medical Journal&lt;/secondary-title&gt;&lt;/titles&gt;&lt;periodical&gt;&lt;full-title&gt;British Medical Journal&lt;/full-title&gt;&lt;abbr-1&gt;Br. Med. J.&lt;/abbr-1&gt;&lt;abbr-2&gt;Br Med J&lt;/abbr-2&gt;&lt;/periodical&gt;&lt;pages&gt;a1655&lt;/pages&gt;&lt;volume&gt;337&lt;/volume&gt;&lt;edition&gt;2008/10/01&lt;/edition&gt;&lt;keywords&gt;&lt;keyword&gt;Diffusion of Innovation&lt;/keyword&gt;&lt;keyword&gt;Evaluation Studies as Topic&lt;/keyword&gt;&lt;keyword&gt;Evidence-Based Medicine&lt;/keyword&gt;&lt;keyword&gt;JL Developing Complex Interventions&lt;/keyword&gt;&lt;keyword&gt;Practice Guidelines as Topic&lt;/keyword&gt;&lt;keyword&gt;Therapeutics&lt;/keyword&gt;&lt;/keywords&gt;&lt;dates&gt;&lt;year&gt;2008&lt;/year&gt;&lt;/dates&gt;&lt;isbn&gt;1468-5833 (Electronic)&amp;#xD;0959-535X (Linking)&lt;/isbn&gt;&lt;accession-num&gt;18824488&lt;/accession-num&gt;&lt;urls&gt;&lt;/urls&gt;&lt;custom2&gt;2769032&lt;/custom2&gt;&lt;remote-database-provider&gt;Nlm&lt;/remote-database-provider&gt;&lt;language&gt;eng&lt;/language&gt;&lt;/record&gt;&lt;/Cite&gt;&lt;/EndNote&gt;</w:instrText>
      </w:r>
      <w:r w:rsidR="00D4481D">
        <w:rPr>
          <w:rFonts w:cs="Times New Roman"/>
        </w:rPr>
        <w:fldChar w:fldCharType="separate"/>
      </w:r>
      <w:r w:rsidR="006347BE" w:rsidRPr="006347BE">
        <w:rPr>
          <w:rFonts w:cs="Times New Roman"/>
          <w:noProof/>
          <w:vertAlign w:val="superscript"/>
        </w:rPr>
        <w:t>19</w:t>
      </w:r>
      <w:r w:rsidR="00D4481D">
        <w:rPr>
          <w:rFonts w:cs="Times New Roman"/>
        </w:rPr>
        <w:fldChar w:fldCharType="end"/>
      </w:r>
      <w:r w:rsidR="009E3301" w:rsidRPr="005653A5">
        <w:rPr>
          <w:rFonts w:cs="Times New Roman"/>
        </w:rPr>
        <w:t xml:space="preserve">. </w:t>
      </w:r>
      <w:r w:rsidR="00F80523">
        <w:rPr>
          <w:rFonts w:cs="Times New Roman"/>
        </w:rPr>
        <w:t xml:space="preserve">The </w:t>
      </w:r>
      <w:r w:rsidR="009E3301" w:rsidRPr="005653A5">
        <w:rPr>
          <w:rFonts w:cs="Times New Roman"/>
        </w:rPr>
        <w:t xml:space="preserve">IM approach combines theoretical and </w:t>
      </w:r>
      <w:r w:rsidR="00FD7098">
        <w:rPr>
          <w:rFonts w:cs="Times New Roman"/>
        </w:rPr>
        <w:t>stakeholder</w:t>
      </w:r>
      <w:r w:rsidR="009E3301" w:rsidRPr="005653A5">
        <w:rPr>
          <w:rFonts w:cs="Times New Roman"/>
        </w:rPr>
        <w:t xml:space="preserve"> perspectives, empirical evidence a</w:t>
      </w:r>
      <w:r w:rsidR="00F4503D">
        <w:rPr>
          <w:rFonts w:cs="Times New Roman"/>
        </w:rPr>
        <w:t>nd new research to assess and</w:t>
      </w:r>
      <w:r w:rsidR="009E3301" w:rsidRPr="005653A5">
        <w:rPr>
          <w:rFonts w:cs="Times New Roman"/>
        </w:rPr>
        <w:t xml:space="preserve"> develop a potential set of possible</w:t>
      </w:r>
      <w:r w:rsidR="00D36964" w:rsidRPr="005653A5">
        <w:rPr>
          <w:rFonts w:cs="Times New Roman"/>
        </w:rPr>
        <w:t xml:space="preserve"> solutions for a particular problem</w:t>
      </w:r>
      <w:r w:rsidR="000B3CEC" w:rsidRPr="005653A5">
        <w:rPr>
          <w:rFonts w:cs="Times New Roman"/>
        </w:rPr>
        <w:t>,</w:t>
      </w:r>
      <w:r w:rsidR="00D36964" w:rsidRPr="005653A5">
        <w:rPr>
          <w:rFonts w:cs="Times New Roman"/>
        </w:rPr>
        <w:t xml:space="preserve"> rather than defining a practice or research agenda around a specific theory. We therefore searched the literature for </w:t>
      </w:r>
      <w:r w:rsidR="00864045" w:rsidRPr="005653A5">
        <w:rPr>
          <w:rFonts w:cs="Times New Roman"/>
        </w:rPr>
        <w:t xml:space="preserve">appropriate </w:t>
      </w:r>
      <w:r w:rsidR="00D36964" w:rsidRPr="005653A5">
        <w:rPr>
          <w:rFonts w:cs="Times New Roman"/>
        </w:rPr>
        <w:t>systematic reviews of school-based obesity prevention programmes</w:t>
      </w:r>
      <w:r w:rsidR="00864045" w:rsidRPr="005653A5">
        <w:rPr>
          <w:rFonts w:cs="Times New Roman"/>
        </w:rPr>
        <w:t xml:space="preserve"> </w:t>
      </w:r>
      <w:r w:rsidR="00D36964" w:rsidRPr="005653A5">
        <w:rPr>
          <w:rFonts w:cs="Times New Roman"/>
        </w:rPr>
        <w:t>and carried out extensive</w:t>
      </w:r>
      <w:r w:rsidR="00864045" w:rsidRPr="005653A5">
        <w:rPr>
          <w:rFonts w:cs="Times New Roman"/>
        </w:rPr>
        <w:t xml:space="preserve"> stakeholder consultation with practitioner</w:t>
      </w:r>
      <w:r w:rsidR="00D70DCC" w:rsidRPr="005653A5">
        <w:rPr>
          <w:rFonts w:cs="Times New Roman"/>
        </w:rPr>
        <w:t>s (teachers</w:t>
      </w:r>
      <w:r w:rsidR="00C11736" w:rsidRPr="005653A5">
        <w:rPr>
          <w:rFonts w:cs="Times New Roman"/>
        </w:rPr>
        <w:t>, head teachers,</w:t>
      </w:r>
      <w:r w:rsidR="00D70DCC" w:rsidRPr="005653A5">
        <w:rPr>
          <w:rFonts w:cs="Times New Roman"/>
        </w:rPr>
        <w:t xml:space="preserve"> and drama specialists)</w:t>
      </w:r>
      <w:r w:rsidR="000B3CEC" w:rsidRPr="005653A5">
        <w:rPr>
          <w:rFonts w:cs="Times New Roman"/>
        </w:rPr>
        <w:t>,</w:t>
      </w:r>
      <w:r w:rsidR="00D70DCC" w:rsidRPr="005653A5">
        <w:rPr>
          <w:rFonts w:cs="Times New Roman"/>
        </w:rPr>
        <w:t xml:space="preserve"> local policy makers (Director of Public Health and the Public Health policy lead), public health commissioners </w:t>
      </w:r>
      <w:r w:rsidR="00864045" w:rsidRPr="005653A5">
        <w:rPr>
          <w:rFonts w:cs="Times New Roman"/>
        </w:rPr>
        <w:t>and the local healthy schools team</w:t>
      </w:r>
      <w:r w:rsidR="000B3CEC" w:rsidRPr="005653A5">
        <w:rPr>
          <w:rFonts w:cs="Times New Roman"/>
        </w:rPr>
        <w:t>,</w:t>
      </w:r>
      <w:r w:rsidR="00A1739E" w:rsidRPr="005653A5">
        <w:rPr>
          <w:rFonts w:cs="Times New Roman"/>
        </w:rPr>
        <w:t xml:space="preserve"> in orde</w:t>
      </w:r>
      <w:r w:rsidR="00D70DCC" w:rsidRPr="005653A5">
        <w:rPr>
          <w:rFonts w:cs="Times New Roman"/>
        </w:rPr>
        <w:t>r to understand the school, education and public health context at that time.</w:t>
      </w:r>
      <w:r w:rsidR="00C11736" w:rsidRPr="005653A5">
        <w:rPr>
          <w:rFonts w:cs="Times New Roman"/>
        </w:rPr>
        <w:t xml:space="preserve"> </w:t>
      </w:r>
      <w:r w:rsidR="00513334" w:rsidRPr="005653A5">
        <w:rPr>
          <w:rFonts w:cs="Times New Roman"/>
        </w:rPr>
        <w:t xml:space="preserve">The </w:t>
      </w:r>
      <w:r w:rsidR="00CE7510" w:rsidRPr="005653A5">
        <w:rPr>
          <w:rFonts w:cs="Times New Roman"/>
        </w:rPr>
        <w:t xml:space="preserve">overarching </w:t>
      </w:r>
      <w:r w:rsidR="00513334" w:rsidRPr="005653A5">
        <w:rPr>
          <w:rFonts w:cs="Times New Roman"/>
        </w:rPr>
        <w:t>aim</w:t>
      </w:r>
      <w:r w:rsidR="00CE7510" w:rsidRPr="005653A5">
        <w:rPr>
          <w:rFonts w:cs="Times New Roman"/>
        </w:rPr>
        <w:t xml:space="preserve"> of the research</w:t>
      </w:r>
      <w:r w:rsidR="00513334" w:rsidRPr="005653A5">
        <w:rPr>
          <w:rFonts w:cs="Times New Roman"/>
        </w:rPr>
        <w:t xml:space="preserve"> was to develop</w:t>
      </w:r>
      <w:r w:rsidR="000B3CEC" w:rsidRPr="005653A5">
        <w:rPr>
          <w:rFonts w:cs="Times New Roman"/>
        </w:rPr>
        <w:t xml:space="preserve"> an</w:t>
      </w:r>
      <w:r w:rsidR="00513334" w:rsidRPr="005653A5">
        <w:rPr>
          <w:rFonts w:cs="Times New Roman"/>
        </w:rPr>
        <w:t xml:space="preserve"> </w:t>
      </w:r>
      <w:r w:rsidR="00BA770C" w:rsidRPr="005653A5">
        <w:rPr>
          <w:rFonts w:cs="Times New Roman"/>
        </w:rPr>
        <w:t xml:space="preserve">a school-based </w:t>
      </w:r>
      <w:r w:rsidR="00513334" w:rsidRPr="005653A5">
        <w:rPr>
          <w:rFonts w:cs="Times New Roman"/>
        </w:rPr>
        <w:t xml:space="preserve">intervention and then </w:t>
      </w:r>
      <w:r w:rsidR="00CE7510" w:rsidRPr="005653A5">
        <w:rPr>
          <w:rFonts w:cs="Times New Roman"/>
        </w:rPr>
        <w:t xml:space="preserve">assess </w:t>
      </w:r>
      <w:r w:rsidR="00513334" w:rsidRPr="005653A5">
        <w:rPr>
          <w:rFonts w:cs="Times New Roman"/>
        </w:rPr>
        <w:t>its feasibility and complete pilot work</w:t>
      </w:r>
      <w:r w:rsidR="000B3CEC" w:rsidRPr="005653A5">
        <w:rPr>
          <w:rFonts w:cs="Times New Roman"/>
        </w:rPr>
        <w:t>,</w:t>
      </w:r>
      <w:r w:rsidR="00513334" w:rsidRPr="005653A5">
        <w:rPr>
          <w:rFonts w:cs="Times New Roman"/>
        </w:rPr>
        <w:t xml:space="preserve"> prior to seeking funding to run the full scale effectiveness t</w:t>
      </w:r>
      <w:r w:rsidR="0071107D" w:rsidRPr="005653A5">
        <w:rPr>
          <w:rFonts w:cs="Times New Roman"/>
        </w:rPr>
        <w:t>rial</w:t>
      </w:r>
      <w:r w:rsidR="00CE7510" w:rsidRPr="005653A5">
        <w:rPr>
          <w:rFonts w:cs="Times New Roman"/>
        </w:rPr>
        <w:t>,</w:t>
      </w:r>
      <w:r w:rsidR="006704E1">
        <w:rPr>
          <w:rFonts w:cs="Times New Roman"/>
        </w:rPr>
        <w:t xml:space="preserve"> should that be appropriate </w:t>
      </w:r>
      <w:r w:rsidR="000E22B7">
        <w:rPr>
          <w:rFonts w:cs="Times New Roman"/>
        </w:rPr>
        <w:fldChar w:fldCharType="begin"/>
      </w:r>
      <w:r w:rsidR="00AB7764">
        <w:rPr>
          <w:rFonts w:cs="Times New Roman"/>
        </w:rPr>
        <w:instrText xml:space="preserve"> ADDIN EN.CITE &lt;EndNote&gt;&lt;Cite&gt;&lt;Author&gt;Baranowski&lt;/Author&gt;&lt;Year&gt;2009&lt;/Year&gt;&lt;RecNum&gt;3608&lt;/RecNum&gt;&lt;DisplayText&gt;&lt;style face="superscript"&gt;20&lt;/style&gt;&lt;/DisplayText&gt;&lt;record&gt;&lt;rec-number&gt;3608&lt;/rec-number&gt;&lt;foreign-keys&gt;&lt;key app="EN" db-id="2ewa9rrvjsdsawep2vpx5x97eedzzvxx5rta" timestamp="0"&gt;3608&lt;/key&gt;&lt;/foreign-keys&gt;&lt;ref-type name="Journal Article"&gt;17&lt;/ref-type&gt;&lt;contributors&gt;&lt;authors&gt;&lt;author&gt;Baranowski, Y., Cerin, E., Baranowski, J.&lt;/author&gt;&lt;/authors&gt;&lt;/contributors&gt;&lt;titles&gt;&lt;title&gt;Steps in the design, development and formative evaluation of obesity prevention-related behavior change trials&lt;/title&gt;&lt;secondary-title&gt;International Journal of Behavioral Nutrition and Physical Activity&lt;/secondary-title&gt;&lt;/titles&gt;&lt;periodical&gt;&lt;full-title&gt;International Journal of Behavioral Nutrition and Physical Activity&lt;/full-title&gt;&lt;abbr-1&gt;Int J Behav Nutr Phys Act&lt;/abbr-1&gt;&lt;/periodical&gt;&lt;volume&gt;6&lt;/volume&gt;&lt;number&gt;6&lt;/number&gt;&lt;edition&gt;21 January 2009&lt;/edition&gt;&lt;dates&gt;&lt;year&gt;2009&lt;/year&gt;&lt;pub-dates&gt;&lt;date&gt;21 January 2009&lt;/date&gt;&lt;/pub-dates&gt;&lt;/dates&gt;&lt;urls&gt;&lt;related-urls&gt;&lt;url&gt;http://www.ijbnpa.org/contents/6/1/6&lt;/url&gt;&lt;/related-urls&gt;&lt;/urls&gt;&lt;electronic-resource-num&gt;10.1 186/1479-5868-6-6&lt;/electronic-resource-num&gt;&lt;/record&gt;&lt;/Cite&gt;&lt;/EndNote&gt;</w:instrText>
      </w:r>
      <w:r w:rsidR="000E22B7">
        <w:rPr>
          <w:rFonts w:cs="Times New Roman"/>
        </w:rPr>
        <w:fldChar w:fldCharType="separate"/>
      </w:r>
      <w:r w:rsidR="006347BE" w:rsidRPr="006347BE">
        <w:rPr>
          <w:rFonts w:cs="Times New Roman"/>
          <w:noProof/>
          <w:vertAlign w:val="superscript"/>
        </w:rPr>
        <w:t>20</w:t>
      </w:r>
      <w:r w:rsidR="000E22B7">
        <w:rPr>
          <w:rFonts w:cs="Times New Roman"/>
        </w:rPr>
        <w:fldChar w:fldCharType="end"/>
      </w:r>
      <w:r w:rsidR="0071107D" w:rsidRPr="005653A5">
        <w:rPr>
          <w:rFonts w:cs="Times New Roman"/>
        </w:rPr>
        <w:t>.</w:t>
      </w:r>
    </w:p>
    <w:p w14:paraId="6FBEED01" w14:textId="544D20F4" w:rsidR="0071107D" w:rsidRPr="005653A5" w:rsidRDefault="00FB7CE9" w:rsidP="001B2FDE">
      <w:pPr>
        <w:adjustRightInd w:val="0"/>
        <w:snapToGrid w:val="0"/>
        <w:spacing w:line="360" w:lineRule="auto"/>
        <w:rPr>
          <w:rFonts w:cs="Times New Roman"/>
        </w:rPr>
      </w:pPr>
      <w:r>
        <w:rPr>
          <w:rFonts w:cs="Times New Roman"/>
        </w:rPr>
        <w:t>Around the time of our</w:t>
      </w:r>
      <w:r w:rsidR="00A12293" w:rsidRPr="005653A5">
        <w:rPr>
          <w:rFonts w:cs="Times New Roman"/>
        </w:rPr>
        <w:t xml:space="preserve"> initial research</w:t>
      </w:r>
      <w:r w:rsidR="0071107D" w:rsidRPr="005653A5">
        <w:rPr>
          <w:rFonts w:cs="Times New Roman"/>
        </w:rPr>
        <w:t xml:space="preserve">, </w:t>
      </w:r>
      <w:r w:rsidR="00DA58C3">
        <w:rPr>
          <w:rFonts w:cs="Times New Roman"/>
        </w:rPr>
        <w:t xml:space="preserve">the </w:t>
      </w:r>
      <w:r w:rsidR="0071107D" w:rsidRPr="005653A5">
        <w:rPr>
          <w:rFonts w:cs="Times New Roman"/>
        </w:rPr>
        <w:t xml:space="preserve">Brown and Summerbell review </w:t>
      </w:r>
      <w:r w:rsidR="00A12293" w:rsidRPr="005653A5">
        <w:rPr>
          <w:rFonts w:cs="Times New Roman"/>
        </w:rPr>
        <w:t xml:space="preserve">(2005) </w:t>
      </w:r>
      <w:r w:rsidR="000D1254">
        <w:fldChar w:fldCharType="begin"/>
      </w:r>
      <w:r w:rsidR="00FF0067">
        <w:instrText xml:space="preserve"> ADDIN EN.CITE &lt;EndNote&gt;&lt;Cite&gt;&lt;Author&gt;Brown&lt;/Author&gt;&lt;Year&gt;2009&lt;/Year&gt;&lt;RecNum&gt;3036&lt;/RecNum&gt;&lt;DisplayText&gt;&lt;style face="superscript"&gt;11&lt;/style&gt;&lt;/DisplayText&gt;&lt;record&gt;&lt;rec-number&gt;3036&lt;/rec-number&gt;&lt;foreign-keys&gt;&lt;key app="EN" db-id="2ewa9rrvjsdsawep2vpx5x97eedzzvxx5rta" timestamp="0"&gt;3036&lt;/key&gt;&lt;/foreign-keys&gt;&lt;ref-type name="Journal Article"&gt;17&lt;/ref-type&gt;&lt;contributors&gt;&lt;authors&gt;&lt;author&gt;Brown, T.&lt;/author&gt;&lt;author&gt;Summerbell, C.&lt;/author&gt;&lt;/authors&gt;&lt;/contributors&gt;&lt;auth-address&gt;School of Health and Social Care, University of Teesside, Middlesbrough, UK.&lt;/auth-address&gt;&lt;titles&gt;&lt;title&gt;Systematic review of school-based interventions that focus on changing dietary intake and physical activity levels to prevent childhood obesity: an update to the obesity guidance produced by the National Institute for Health and Clinical Excellence&lt;/title&gt;&lt;secondary-title&gt;Obesity Reviews&lt;/secondary-title&gt;&lt;/titles&gt;&lt;periodical&gt;&lt;full-title&gt;Obesity Reviews&lt;/full-title&gt;&lt;abbr-1&gt;Obes. Rev.&lt;/abbr-1&gt;&lt;abbr-2&gt;Obes Rev&lt;/abbr-2&gt;&lt;/periodical&gt;&lt;pages&gt;110-41&lt;/pages&gt;&lt;volume&gt;10&lt;/volume&gt;&lt;number&gt;1&lt;/number&gt;&lt;edition&gt;2008/08/05&lt;/edition&gt;&lt;keywords&gt;&lt;keyword&gt;Age Factors&lt;/keyword&gt;&lt;keyword&gt;Child&lt;/keyword&gt;&lt;keyword&gt;Controlled Clinical Trials as Topic&lt;/keyword&gt;&lt;keyword&gt;Diet&lt;/keyword&gt;&lt;keyword&gt;Environment&lt;/keyword&gt;&lt;keyword&gt;Exercise&lt;/keyword&gt;&lt;keyword&gt;Health Behavior&lt;/keyword&gt;&lt;keyword&gt;Health Education&lt;/keyword&gt;&lt;keyword&gt;Humans&lt;/keyword&gt;&lt;keyword&gt;JL Intervention Review&lt;/keyword&gt;&lt;keyword&gt;Obesity/ prevention &amp;amp; control&lt;/keyword&gt;&lt;keyword&gt;Process Assessment (Health Care)&lt;/keyword&gt;&lt;keyword&gt;Schools&lt;/keyword&gt;&lt;keyword&gt;Sex Factors&lt;/keyword&gt;&lt;keyword&gt;Socioeconomic Factors&lt;/keyword&gt;&lt;keyword&gt;Students&lt;/keyword&gt;&lt;/keywords&gt;&lt;dates&gt;&lt;year&gt;2009&lt;/year&gt;&lt;pub-dates&gt;&lt;date&gt;Jan&lt;/date&gt;&lt;/pub-dates&gt;&lt;/dates&gt;&lt;isbn&gt;1467-789X (Electronic)&amp;#xD;1467-7881 (Linking)&lt;/isbn&gt;&lt;accession-num&gt;18673306&lt;/accession-num&gt;&lt;urls&gt;&lt;/urls&gt;&lt;electronic-resource-num&gt;OBR515 [pii]&amp;#xD;10.1111/j.1467-789X.2008.00515.x [doi]&lt;/electronic-resource-num&gt;&lt;remote-database-provider&gt;Nlm&lt;/remote-database-provider&gt;&lt;language&gt;eng&lt;/language&gt;&lt;/record&gt;&lt;/Cite&gt;&lt;/EndNote&gt;</w:instrText>
      </w:r>
      <w:r w:rsidR="000D1254">
        <w:fldChar w:fldCharType="separate"/>
      </w:r>
      <w:r w:rsidR="006347BE" w:rsidRPr="006347BE">
        <w:rPr>
          <w:noProof/>
          <w:vertAlign w:val="superscript"/>
        </w:rPr>
        <w:t>11</w:t>
      </w:r>
      <w:r w:rsidR="000D1254">
        <w:fldChar w:fldCharType="end"/>
      </w:r>
      <w:r w:rsidR="000D1254" w:rsidRPr="005653A5">
        <w:rPr>
          <w:rFonts w:cs="Times New Roman"/>
        </w:rPr>
        <w:t xml:space="preserve"> </w:t>
      </w:r>
      <w:r w:rsidR="0071107D" w:rsidRPr="005653A5">
        <w:rPr>
          <w:rFonts w:cs="Times New Roman"/>
        </w:rPr>
        <w:t xml:space="preserve"> concluded that interventions which increase activity and reduce sedentary behaviours may help children to maintain a healthy weight, although the results were short term and inconsistent</w:t>
      </w:r>
      <w:r w:rsidR="00A0337E">
        <w:rPr>
          <w:rFonts w:cs="Times New Roman"/>
        </w:rPr>
        <w:t>.</w:t>
      </w:r>
      <w:r w:rsidR="002A244C" w:rsidRPr="005653A5">
        <w:rPr>
          <w:rFonts w:cs="Times New Roman"/>
        </w:rPr>
        <w:t xml:space="preserve"> </w:t>
      </w:r>
      <w:r w:rsidR="00A0337E">
        <w:rPr>
          <w:rFonts w:cs="Times New Roman"/>
        </w:rPr>
        <w:t xml:space="preserve">Their conclusions were </w:t>
      </w:r>
      <w:r w:rsidR="002A244C" w:rsidRPr="005653A5">
        <w:rPr>
          <w:rFonts w:cs="Times New Roman"/>
        </w:rPr>
        <w:t>that</w:t>
      </w:r>
      <w:r w:rsidR="0071107D" w:rsidRPr="005653A5">
        <w:rPr>
          <w:rFonts w:cs="Times New Roman"/>
        </w:rPr>
        <w:t xml:space="preserve"> a combined approach</w:t>
      </w:r>
      <w:r w:rsidR="00462EF1" w:rsidRPr="005653A5">
        <w:rPr>
          <w:rFonts w:cs="Times New Roman"/>
        </w:rPr>
        <w:t xml:space="preserve"> </w:t>
      </w:r>
      <w:r w:rsidR="00A0337E">
        <w:rPr>
          <w:rFonts w:cs="Times New Roman"/>
        </w:rPr>
        <w:t>was</w:t>
      </w:r>
      <w:r w:rsidR="00A0337E" w:rsidRPr="005653A5">
        <w:rPr>
          <w:rFonts w:cs="Times New Roman"/>
        </w:rPr>
        <w:t xml:space="preserve"> </w:t>
      </w:r>
      <w:r w:rsidR="00462EF1" w:rsidRPr="005653A5">
        <w:rPr>
          <w:rFonts w:cs="Times New Roman"/>
        </w:rPr>
        <w:t>likely to be more effective in preventing children becoming overweight in the long term.</w:t>
      </w:r>
    </w:p>
    <w:p w14:paraId="0A9726D8" w14:textId="00D15F59" w:rsidR="00702B93" w:rsidRDefault="00462EF1" w:rsidP="001B2FDE">
      <w:pPr>
        <w:adjustRightInd w:val="0"/>
        <w:snapToGrid w:val="0"/>
        <w:spacing w:line="360" w:lineRule="auto"/>
        <w:rPr>
          <w:rFonts w:cs="Times New Roman"/>
        </w:rPr>
      </w:pPr>
      <w:r w:rsidRPr="005653A5">
        <w:rPr>
          <w:rFonts w:cs="Times New Roman"/>
        </w:rPr>
        <w:t>We wanted to</w:t>
      </w:r>
      <w:r w:rsidR="0091249F" w:rsidRPr="005653A5">
        <w:rPr>
          <w:rFonts w:cs="Times New Roman"/>
        </w:rPr>
        <w:t xml:space="preserve"> incorporate these</w:t>
      </w:r>
      <w:r w:rsidRPr="005653A5">
        <w:rPr>
          <w:rFonts w:cs="Times New Roman"/>
        </w:rPr>
        <w:t xml:space="preserve"> recommendations</w:t>
      </w:r>
      <w:r w:rsidR="0091249F" w:rsidRPr="005653A5">
        <w:rPr>
          <w:rFonts w:cs="Times New Roman"/>
        </w:rPr>
        <w:t xml:space="preserve"> in our programme</w:t>
      </w:r>
      <w:r w:rsidRPr="005653A5">
        <w:rPr>
          <w:rFonts w:cs="Times New Roman"/>
        </w:rPr>
        <w:t xml:space="preserve"> and address the methodological limitations</w:t>
      </w:r>
      <w:r w:rsidR="00DA70AB" w:rsidRPr="005653A5">
        <w:rPr>
          <w:rFonts w:cs="Times New Roman"/>
        </w:rPr>
        <w:t xml:space="preserve"> reported</w:t>
      </w:r>
      <w:r w:rsidRPr="005653A5">
        <w:rPr>
          <w:rFonts w:cs="Times New Roman"/>
        </w:rPr>
        <w:t xml:space="preserve"> in other trials, such as insufficient </w:t>
      </w:r>
      <w:r w:rsidR="00062A21" w:rsidRPr="005653A5">
        <w:rPr>
          <w:rFonts w:cs="Times New Roman"/>
        </w:rPr>
        <w:t xml:space="preserve">statistical </w:t>
      </w:r>
      <w:r w:rsidRPr="005653A5">
        <w:rPr>
          <w:rFonts w:cs="Times New Roman"/>
        </w:rPr>
        <w:t xml:space="preserve">power, biased recruitment </w:t>
      </w:r>
      <w:r w:rsidR="00B14C07" w:rsidRPr="005653A5">
        <w:rPr>
          <w:rFonts w:cs="Times New Roman"/>
        </w:rPr>
        <w:t xml:space="preserve">from, </w:t>
      </w:r>
      <w:r w:rsidR="00DA70AB" w:rsidRPr="005653A5">
        <w:rPr>
          <w:rFonts w:cs="Times New Roman"/>
        </w:rPr>
        <w:t xml:space="preserve">and retention </w:t>
      </w:r>
      <w:r w:rsidR="00B14C07" w:rsidRPr="005653A5">
        <w:rPr>
          <w:rFonts w:cs="Times New Roman"/>
        </w:rPr>
        <w:t xml:space="preserve">of, </w:t>
      </w:r>
      <w:r w:rsidRPr="005653A5">
        <w:rPr>
          <w:rFonts w:cs="Times New Roman"/>
        </w:rPr>
        <w:t xml:space="preserve">more affluent </w:t>
      </w:r>
      <w:r w:rsidR="00DA70AB" w:rsidRPr="005653A5">
        <w:rPr>
          <w:rFonts w:cs="Times New Roman"/>
        </w:rPr>
        <w:t xml:space="preserve">schools, </w:t>
      </w:r>
      <w:r w:rsidRPr="005653A5">
        <w:rPr>
          <w:rFonts w:cs="Times New Roman"/>
        </w:rPr>
        <w:t xml:space="preserve">children and families, short follow up periods and </w:t>
      </w:r>
      <w:r w:rsidR="00DA70AB" w:rsidRPr="005653A5">
        <w:rPr>
          <w:rFonts w:cs="Times New Roman"/>
        </w:rPr>
        <w:t xml:space="preserve">high levels of </w:t>
      </w:r>
      <w:r w:rsidR="00DA58C3">
        <w:rPr>
          <w:rFonts w:cs="Times New Roman"/>
        </w:rPr>
        <w:t>attrition</w:t>
      </w:r>
      <w:r w:rsidR="00062A21" w:rsidRPr="005653A5">
        <w:rPr>
          <w:rFonts w:cs="Times New Roman"/>
        </w:rPr>
        <w:t>.</w:t>
      </w:r>
      <w:r w:rsidRPr="005653A5">
        <w:rPr>
          <w:rFonts w:cs="Times New Roman"/>
        </w:rPr>
        <w:t xml:space="preserve"> </w:t>
      </w:r>
      <w:r w:rsidR="00062A21" w:rsidRPr="005653A5">
        <w:rPr>
          <w:rFonts w:cs="Times New Roman"/>
        </w:rPr>
        <w:t>T</w:t>
      </w:r>
      <w:r w:rsidRPr="005653A5">
        <w:rPr>
          <w:rFonts w:cs="Times New Roman"/>
        </w:rPr>
        <w:t>hus a</w:t>
      </w:r>
      <w:r w:rsidR="00EE264E" w:rsidRPr="005653A5">
        <w:rPr>
          <w:rFonts w:cs="Arial"/>
        </w:rPr>
        <w:t xml:space="preserve"> </w:t>
      </w:r>
      <w:r w:rsidR="00EE264E" w:rsidRPr="005653A5">
        <w:rPr>
          <w:rFonts w:cs="Times New Roman"/>
        </w:rPr>
        <w:t xml:space="preserve">crucial focus </w:t>
      </w:r>
      <w:r w:rsidRPr="005653A5">
        <w:rPr>
          <w:rFonts w:cs="Times New Roman"/>
        </w:rPr>
        <w:t>in developing</w:t>
      </w:r>
      <w:r w:rsidR="00EE264E" w:rsidRPr="005653A5">
        <w:rPr>
          <w:rFonts w:cs="Times New Roman"/>
        </w:rPr>
        <w:t xml:space="preserve"> </w:t>
      </w:r>
      <w:r w:rsidRPr="005653A5">
        <w:rPr>
          <w:rFonts w:cs="Times New Roman"/>
        </w:rPr>
        <w:t>the Healthy Lifestyles</w:t>
      </w:r>
      <w:r w:rsidR="00806718" w:rsidRPr="005653A5">
        <w:rPr>
          <w:rFonts w:cs="Times New Roman"/>
        </w:rPr>
        <w:t xml:space="preserve"> </w:t>
      </w:r>
      <w:r w:rsidRPr="005653A5">
        <w:rPr>
          <w:rFonts w:cs="Times New Roman"/>
        </w:rPr>
        <w:t>Programme</w:t>
      </w:r>
      <w:r w:rsidR="00EE264E" w:rsidRPr="005653A5">
        <w:rPr>
          <w:rFonts w:cs="Times New Roman"/>
        </w:rPr>
        <w:t xml:space="preserve"> </w:t>
      </w:r>
      <w:r w:rsidR="00780AF9" w:rsidRPr="005653A5">
        <w:rPr>
          <w:rFonts w:cs="Times New Roman"/>
        </w:rPr>
        <w:t xml:space="preserve">(HeLP) </w:t>
      </w:r>
      <w:r w:rsidR="00EE264E" w:rsidRPr="005653A5">
        <w:rPr>
          <w:rFonts w:cs="Times New Roman"/>
        </w:rPr>
        <w:t>was to promote the engagement of schools, children and their families throughout the intervention</w:t>
      </w:r>
      <w:r w:rsidR="00062A21" w:rsidRPr="005653A5">
        <w:rPr>
          <w:rFonts w:cs="Times New Roman"/>
        </w:rPr>
        <w:t>,</w:t>
      </w:r>
      <w:r w:rsidR="00EE264E" w:rsidRPr="005653A5">
        <w:rPr>
          <w:rFonts w:cs="Times New Roman"/>
        </w:rPr>
        <w:t xml:space="preserve"> as we believe</w:t>
      </w:r>
      <w:r w:rsidR="006E6EFA" w:rsidRPr="005653A5">
        <w:rPr>
          <w:rFonts w:cs="Times New Roman"/>
        </w:rPr>
        <w:t>d</w:t>
      </w:r>
      <w:r w:rsidR="00EE264E" w:rsidRPr="005653A5">
        <w:rPr>
          <w:rFonts w:cs="Times New Roman"/>
        </w:rPr>
        <w:t xml:space="preserve"> this to be essentia</w:t>
      </w:r>
      <w:r w:rsidR="00D70DCC" w:rsidRPr="005653A5">
        <w:rPr>
          <w:rFonts w:cs="Times New Roman"/>
        </w:rPr>
        <w:t>l for behaviour change to occur.</w:t>
      </w:r>
      <w:r w:rsidR="00EE264E" w:rsidRPr="005653A5">
        <w:rPr>
          <w:rFonts w:cs="Times New Roman"/>
        </w:rPr>
        <w:t xml:space="preserve"> In </w:t>
      </w:r>
      <w:r w:rsidR="00EE264E" w:rsidRPr="005653A5">
        <w:rPr>
          <w:rFonts w:cs="Times New Roman"/>
        </w:rPr>
        <w:lastRenderedPageBreak/>
        <w:t xml:space="preserve">line with the WHO’s Health Promoting Schools framework (HPS) </w:t>
      </w:r>
      <w:r w:rsidR="00C71026" w:rsidRPr="005653A5">
        <w:rPr>
          <w:rFonts w:cs="Times New Roman"/>
        </w:rPr>
        <w:fldChar w:fldCharType="begin"/>
      </w:r>
      <w:r w:rsidR="006A7004">
        <w:rPr>
          <w:rFonts w:cs="Times New Roman"/>
        </w:rPr>
        <w:instrText xml:space="preserve"> ADDIN EN.CITE &lt;EndNote&gt;&lt;Cite&gt;&lt;Author&gt;Langford&lt;/Author&gt;&lt;Year&gt;2011&lt;/Year&gt;&lt;RecNum&gt;5266&lt;/RecNum&gt;&lt;DisplayText&gt;&lt;style face="superscript"&gt;21&lt;/style&gt;&lt;/DisplayText&gt;&lt;record&gt;&lt;rec-number&gt;5266&lt;/rec-number&gt;&lt;foreign-keys&gt;&lt;key app="EN" db-id="2ewa9rrvjsdsawep2vpx5x97eedzzvxx5rta" timestamp="0"&gt;5266&lt;/key&gt;&lt;/foreign-keys&gt;&lt;ref-type name="Journal Article"&gt;17&lt;/ref-type&gt;&lt;contributors&gt;&lt;authors&gt;&lt;author&gt;Langford, Rebecca&lt;/author&gt;&lt;author&gt;Campbell, Rona&lt;/author&gt;&lt;author&gt;Magnus, Daniel&lt;/author&gt;&lt;author&gt;Bonell, Chris P&lt;/author&gt;&lt;author&gt;Murphy, Simon M&lt;/author&gt;&lt;author&gt;Waters, Elizabeth&lt;/author&gt;&lt;author&gt;Komro, Kelli A&lt;/author&gt;&lt;author&gt;Gibbs, Lisa F&lt;/author&gt;&lt;/authors&gt;&lt;/contributors&gt;&lt;titles&gt;&lt;title&gt;The WHO Health Promoting School framework for improving the health and well‐being of students and staff&lt;/title&gt;&lt;secondary-title&gt;The Cochrane Library&lt;/secondary-title&gt;&lt;/titles&gt;&lt;dates&gt;&lt;year&gt;2011&lt;/year&gt;&lt;/dates&gt;&lt;isbn&gt;1465-1858&lt;/isbn&gt;&lt;urls&gt;&lt;/urls&gt;&lt;electronic-resource-num&gt;10.1002/14651858.CD008958&lt;/electronic-resource-num&gt;&lt;access-date&gt;2/11/2016&lt;/access-date&gt;&lt;/record&gt;&lt;/Cite&gt;&lt;/EndNote&gt;</w:instrText>
      </w:r>
      <w:r w:rsidR="00C71026" w:rsidRPr="005653A5">
        <w:rPr>
          <w:rFonts w:cs="Times New Roman"/>
        </w:rPr>
        <w:fldChar w:fldCharType="separate"/>
      </w:r>
      <w:r w:rsidR="006347BE" w:rsidRPr="006347BE">
        <w:rPr>
          <w:rFonts w:cs="Times New Roman"/>
          <w:noProof/>
          <w:vertAlign w:val="superscript"/>
        </w:rPr>
        <w:t>21</w:t>
      </w:r>
      <w:r w:rsidR="00C71026" w:rsidRPr="005653A5">
        <w:rPr>
          <w:rFonts w:cs="Times New Roman"/>
        </w:rPr>
        <w:fldChar w:fldCharType="end"/>
      </w:r>
      <w:r w:rsidR="00EE264E" w:rsidRPr="005653A5">
        <w:rPr>
          <w:rFonts w:cs="Times New Roman"/>
        </w:rPr>
        <w:t xml:space="preserve">, we aimed to develop activities that were compatible with the existing school curriculum and promote messages in a manner that </w:t>
      </w:r>
      <w:r w:rsidR="00A0337E">
        <w:rPr>
          <w:rFonts w:cs="Times New Roman"/>
        </w:rPr>
        <w:t>c</w:t>
      </w:r>
      <w:r w:rsidR="00A0337E" w:rsidRPr="005653A5">
        <w:rPr>
          <w:rFonts w:cs="Times New Roman"/>
        </w:rPr>
        <w:t xml:space="preserve">ould </w:t>
      </w:r>
      <w:r w:rsidR="00EE264E" w:rsidRPr="005653A5">
        <w:rPr>
          <w:rFonts w:cs="Times New Roman"/>
        </w:rPr>
        <w:t xml:space="preserve">impact the wider school culture, as well as specific behaviours of children and their families. First and foremost we sought to build supportive and trusting relationships with teachers, children and their families by employing </w:t>
      </w:r>
      <w:r w:rsidR="00A0337E">
        <w:rPr>
          <w:rFonts w:cs="Times New Roman"/>
        </w:rPr>
        <w:t>people</w:t>
      </w:r>
      <w:r w:rsidR="00A0337E" w:rsidRPr="005653A5">
        <w:rPr>
          <w:rFonts w:cs="Times New Roman"/>
        </w:rPr>
        <w:t xml:space="preserve"> </w:t>
      </w:r>
      <w:r w:rsidR="00EE264E" w:rsidRPr="005653A5">
        <w:rPr>
          <w:rFonts w:cs="Times New Roman"/>
        </w:rPr>
        <w:t>with specific skills and competencies</w:t>
      </w:r>
      <w:r w:rsidR="00A0337E">
        <w:rPr>
          <w:rFonts w:cs="Times New Roman"/>
        </w:rPr>
        <w:t xml:space="preserve"> to deliver the intervention. </w:t>
      </w:r>
    </w:p>
    <w:p w14:paraId="63B9DA19" w14:textId="22A45DA8" w:rsidR="00EE264E" w:rsidRPr="005653A5" w:rsidRDefault="00A0337E" w:rsidP="001B2FDE">
      <w:pPr>
        <w:adjustRightInd w:val="0"/>
        <w:snapToGrid w:val="0"/>
        <w:spacing w:line="360" w:lineRule="auto"/>
        <w:rPr>
          <w:rFonts w:cs="Times New Roman"/>
        </w:rPr>
      </w:pPr>
      <w:r>
        <w:rPr>
          <w:rFonts w:cs="Times New Roman"/>
        </w:rPr>
        <w:t>We developed an</w:t>
      </w:r>
      <w:r w:rsidR="00EE264E" w:rsidRPr="005653A5">
        <w:rPr>
          <w:rFonts w:cs="Times New Roman"/>
        </w:rPr>
        <w:t xml:space="preserve"> initial phase of the intervention to create a receptive context for </w:t>
      </w:r>
      <w:r w:rsidR="00FE6FD2">
        <w:rPr>
          <w:rFonts w:cs="Times New Roman"/>
        </w:rPr>
        <w:t xml:space="preserve">the </w:t>
      </w:r>
      <w:r w:rsidR="00AA7A6D">
        <w:rPr>
          <w:rFonts w:cs="Times New Roman"/>
        </w:rPr>
        <w:t>p</w:t>
      </w:r>
      <w:r w:rsidR="00FE6FD2">
        <w:rPr>
          <w:rFonts w:cs="Times New Roman"/>
        </w:rPr>
        <w:t>rogramme</w:t>
      </w:r>
      <w:r w:rsidR="00EE264E" w:rsidRPr="005653A5">
        <w:rPr>
          <w:rFonts w:cs="Times New Roman"/>
        </w:rPr>
        <w:t xml:space="preserve"> and </w:t>
      </w:r>
      <w:r w:rsidR="00DA58C3">
        <w:rPr>
          <w:rFonts w:cs="Times New Roman"/>
        </w:rPr>
        <w:t>utilised</w:t>
      </w:r>
      <w:r w:rsidR="00EE264E" w:rsidRPr="005653A5">
        <w:rPr>
          <w:rFonts w:cs="Times New Roman"/>
        </w:rPr>
        <w:t xml:space="preserve"> engaging delivery methods to try </w:t>
      </w:r>
      <w:r w:rsidR="00806718" w:rsidRPr="005653A5">
        <w:rPr>
          <w:rFonts w:cs="Times New Roman"/>
        </w:rPr>
        <w:t>to</w:t>
      </w:r>
      <w:r w:rsidR="00EE264E" w:rsidRPr="005653A5">
        <w:rPr>
          <w:rFonts w:cs="Times New Roman"/>
        </w:rPr>
        <w:t xml:space="preserve"> increase </w:t>
      </w:r>
      <w:r w:rsidR="00B14C07" w:rsidRPr="001B2FDE">
        <w:t xml:space="preserve">school, child and family engagement with </w:t>
      </w:r>
      <w:r w:rsidR="00FE6FD2">
        <w:t xml:space="preserve">the </w:t>
      </w:r>
      <w:r w:rsidR="00AA7A6D">
        <w:t>p</w:t>
      </w:r>
      <w:r w:rsidR="00FE6FD2">
        <w:t>rogramme</w:t>
      </w:r>
      <w:r w:rsidR="00EE264E" w:rsidRPr="005653A5">
        <w:rPr>
          <w:rFonts w:cs="Times New Roman"/>
        </w:rPr>
        <w:t xml:space="preserve">. Previous research into preventing childhood obesity has found it difficult to engage parents in order to affect change within the family </w:t>
      </w:r>
      <w:r w:rsidR="00C71026" w:rsidRPr="005653A5">
        <w:rPr>
          <w:rFonts w:cs="Times New Roman"/>
        </w:rPr>
        <w:fldChar w:fldCharType="begin">
          <w:fldData xml:space="preserve">PEVuZE5vdGU+PENpdGU+PEF1dGhvcj5IZXNrZXRoPC9BdXRob3I+PFllYXI+MjAwNTwvWWVhcj48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</w:fldData>
        </w:fldChar>
      </w:r>
      <w:r w:rsidR="00F01A09">
        <w:rPr>
          <w:rFonts w:cs="Times New Roman"/>
        </w:rPr>
        <w:instrText xml:space="preserve"> ADDIN EN.CITE </w:instrText>
      </w:r>
      <w:r w:rsidR="00F01A09">
        <w:rPr>
          <w:rFonts w:cs="Times New Roman"/>
        </w:rPr>
        <w:fldChar w:fldCharType="begin">
          <w:fldData xml:space="preserve">PEVuZE5vdGU+PENpdGU+PEF1dGhvcj5IZXNrZXRoPC9BdXRob3I+PFllYXI+MjAwNTwvWWVhcj48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</w:fldData>
        </w:fldChar>
      </w:r>
      <w:r w:rsidR="00F01A09">
        <w:rPr>
          <w:rFonts w:cs="Times New Roman"/>
        </w:rPr>
        <w:instrText xml:space="preserve"> ADDIN EN.CITE.DATA </w:instrText>
      </w:r>
      <w:r w:rsidR="00F01A09">
        <w:rPr>
          <w:rFonts w:cs="Times New Roman"/>
        </w:rPr>
      </w:r>
      <w:r w:rsidR="00F01A09">
        <w:rPr>
          <w:rFonts w:cs="Times New Roman"/>
        </w:rPr>
        <w:fldChar w:fldCharType="end"/>
      </w:r>
      <w:r w:rsidR="00C71026" w:rsidRPr="005653A5">
        <w:rPr>
          <w:rFonts w:cs="Times New Roman"/>
        </w:rPr>
      </w:r>
      <w:r w:rsidR="00C71026" w:rsidRPr="005653A5">
        <w:rPr>
          <w:rFonts w:cs="Times New Roman"/>
        </w:rPr>
        <w:fldChar w:fldCharType="separate"/>
      </w:r>
      <w:r w:rsidR="00F01A09" w:rsidRPr="00F01A09">
        <w:rPr>
          <w:rFonts w:cs="Times New Roman"/>
          <w:noProof/>
          <w:vertAlign w:val="superscript"/>
        </w:rPr>
        <w:t>22,23</w:t>
      </w:r>
      <w:r w:rsidR="00C71026" w:rsidRPr="005653A5">
        <w:rPr>
          <w:rFonts w:cs="Times New Roman"/>
        </w:rPr>
        <w:fldChar w:fldCharType="end"/>
      </w:r>
      <w:r w:rsidR="00EE264E" w:rsidRPr="005653A5">
        <w:rPr>
          <w:rFonts w:cs="Times New Roman"/>
        </w:rPr>
        <w:t>, thus we believed that the delivery methods needed to be sufficiently dynamic, creative and empowering to motivate the children to talk about the activities at home with their parents and encourage parents to come into t</w:t>
      </w:r>
      <w:r w:rsidR="00CA7519">
        <w:rPr>
          <w:rFonts w:cs="Times New Roman"/>
        </w:rPr>
        <w:t xml:space="preserve">he school to attend key events. </w:t>
      </w:r>
      <w:r w:rsidR="00EE264E" w:rsidRPr="005653A5">
        <w:rPr>
          <w:rFonts w:cs="Times New Roman"/>
          <w:noProof/>
        </w:rPr>
        <w:t>This thinking led us to explore the us</w:t>
      </w:r>
      <w:r w:rsidR="006E6EFA" w:rsidRPr="005653A5">
        <w:rPr>
          <w:rFonts w:cs="Times New Roman"/>
          <w:noProof/>
        </w:rPr>
        <w:t>e of interactive drama</w:t>
      </w:r>
      <w:r w:rsidR="006355AA" w:rsidRPr="005653A5">
        <w:rPr>
          <w:rFonts w:cs="Times New Roman"/>
          <w:noProof/>
        </w:rPr>
        <w:t>,</w:t>
      </w:r>
      <w:r w:rsidR="006E6EFA" w:rsidRPr="005653A5">
        <w:rPr>
          <w:rFonts w:cs="Times New Roman"/>
          <w:noProof/>
        </w:rPr>
        <w:t xml:space="preserve"> as it had</w:t>
      </w:r>
      <w:r w:rsidR="00EE264E" w:rsidRPr="005653A5">
        <w:rPr>
          <w:rFonts w:cs="Times New Roman"/>
          <w:noProof/>
        </w:rPr>
        <w:t xml:space="preserve"> shown promise in promoting positive attitudes towards a number of health behaviours </w:t>
      </w:r>
      <w:r w:rsidR="00C71026" w:rsidRPr="005653A5">
        <w:rPr>
          <w:rFonts w:cs="Times New Roman"/>
          <w:noProof/>
        </w:rPr>
        <w:fldChar w:fldCharType="begin"/>
      </w:r>
      <w:r w:rsidR="00FF0067">
        <w:rPr>
          <w:rFonts w:cs="Times New Roman"/>
          <w:noProof/>
        </w:rPr>
        <w:instrText xml:space="preserve"> ADDIN EN.CITE &lt;EndNote&gt;&lt;Cite&gt;&lt;Author&gt;Joronen&lt;/Author&gt;&lt;Year&gt;2008&lt;/Year&gt;&lt;RecNum&gt;3674&lt;/RecNum&gt;&lt;DisplayText&gt;&lt;style face="superscript"&gt;24&lt;/style&gt;&lt;/DisplayText&gt;&lt;record&gt;&lt;rec-number&gt;3674&lt;/rec-number&gt;&lt;foreign-keys&gt;&lt;key app="EN" db-id="2ewa9rrvjsdsawep2vpx5x97eedzzvxx5rta" timestamp="0"&gt;3674&lt;/key&gt;&lt;/foreign-keys&gt;&lt;ref-type name="Journal Article"&gt;17&lt;/ref-type&gt;&lt;contributors&gt;&lt;authors&gt;&lt;author&gt;Joronen, K&lt;/author&gt;&lt;author&gt;Rankin, S.H.&lt;/author&gt;&lt;author&gt;Astedt-Kurkip, P&lt;/author&gt;&lt;/authors&gt;&lt;/contributors&gt;&lt;titles&gt;&lt;title&gt;School-based drama interventions in health promotion for children and adolescents; systematic review&lt;/title&gt;&lt;secondary-title&gt;Journal of Advanced Nursing&lt;/secondary-title&gt;&lt;/titles&gt;&lt;periodical&gt;&lt;full-title&gt;Journal of Advanced Nursing&lt;/full-title&gt;&lt;abbr-1&gt;J. Adv. Nurs.&lt;/abbr-1&gt;&lt;abbr-2&gt;J Adv Nurs&lt;/abbr-2&gt;&lt;/periodical&gt;&lt;pages&gt;116-131&lt;/pages&gt;&lt;volume&gt;63&lt;/volume&gt;&lt;number&gt;2&lt;/number&gt;&lt;section&gt;116&lt;/section&gt;&lt;dates&gt;&lt;year&gt;2008&lt;/year&gt;&lt;/dates&gt;&lt;urls&gt;&lt;/urls&gt;&lt;electronic-resource-num&gt;10.1111/j.1365-2648.2008.04634.x&lt;/electronic-resource-num&gt;&lt;/record&gt;&lt;/Cite&gt;&lt;/EndNote&gt;</w:instrText>
      </w:r>
      <w:r w:rsidR="00C71026" w:rsidRPr="005653A5">
        <w:rPr>
          <w:rFonts w:cs="Times New Roman"/>
          <w:noProof/>
        </w:rPr>
        <w:fldChar w:fldCharType="separate"/>
      </w:r>
      <w:r w:rsidR="006347BE" w:rsidRPr="006347BE">
        <w:rPr>
          <w:rFonts w:cs="Times New Roman"/>
          <w:noProof/>
          <w:vertAlign w:val="superscript"/>
        </w:rPr>
        <w:t>24</w:t>
      </w:r>
      <w:r w:rsidR="00C71026" w:rsidRPr="005653A5">
        <w:rPr>
          <w:rFonts w:cs="Times New Roman"/>
          <w:noProof/>
        </w:rPr>
        <w:fldChar w:fldCharType="end"/>
      </w:r>
      <w:r w:rsidR="00EE264E" w:rsidRPr="005653A5">
        <w:rPr>
          <w:rFonts w:cs="Times New Roman"/>
          <w:noProof/>
        </w:rPr>
        <w:t xml:space="preserve"> and was a means of delivering a range of behaviour change techniques in manner that could engage the children. </w:t>
      </w:r>
    </w:p>
    <w:p w14:paraId="6BF0E2AC" w14:textId="20C24005" w:rsidR="00EE264E" w:rsidRPr="005653A5" w:rsidRDefault="00E165A0" w:rsidP="001B2FDE">
      <w:pPr>
        <w:spacing w:after="0" w:line="360" w:lineRule="auto"/>
      </w:pPr>
      <w:r w:rsidRPr="005653A5">
        <w:rPr>
          <w:rFonts w:cs="Times New Roman"/>
          <w:noProof/>
        </w:rPr>
        <w:t xml:space="preserve">The </w:t>
      </w:r>
      <w:r w:rsidR="00F80523">
        <w:rPr>
          <w:rFonts w:cs="Times New Roman"/>
          <w:noProof/>
        </w:rPr>
        <w:t xml:space="preserve">development of the </w:t>
      </w:r>
      <w:r w:rsidRPr="005653A5">
        <w:rPr>
          <w:rFonts w:cs="Times New Roman"/>
          <w:noProof/>
        </w:rPr>
        <w:t>intervention was guided by the Information</w:t>
      </w:r>
      <w:r w:rsidR="00A17BE8">
        <w:rPr>
          <w:rFonts w:cs="Times New Roman"/>
          <w:noProof/>
        </w:rPr>
        <w:t>,</w:t>
      </w:r>
      <w:r w:rsidRPr="005653A5">
        <w:rPr>
          <w:rFonts w:cs="Times New Roman"/>
          <w:noProof/>
        </w:rPr>
        <w:t xml:space="preserve"> Motivation and Behavioural Skills Model (IMB)</w:t>
      </w:r>
      <w:r w:rsidR="000D1254">
        <w:rPr>
          <w:rFonts w:cs="Times New Roman"/>
          <w:noProof/>
        </w:rPr>
        <w:t xml:space="preserve"> </w:t>
      </w:r>
      <w:r w:rsidR="000D1254">
        <w:rPr>
          <w:rFonts w:cs="Times New Roman"/>
          <w:noProof/>
        </w:rPr>
        <w:fldChar w:fldCharType="begin"/>
      </w:r>
      <w:r w:rsidR="006347BE">
        <w:rPr>
          <w:rFonts w:cs="Times New Roman"/>
          <w:noProof/>
        </w:rPr>
        <w:instrText xml:space="preserve"> ADDIN EN.CITE &lt;EndNote&gt;&lt;Cite&gt;&lt;Author&gt;Fisher&lt;/Author&gt;&lt;Year&gt;2002&lt;/Year&gt;&lt;RecNum&gt;3285&lt;/RecNum&gt;&lt;DisplayText&gt;&lt;style face="superscript"&gt;25&lt;/style&gt;&lt;/DisplayText&gt;&lt;record&gt;&lt;rec-number&gt;3285&lt;/rec-number&gt;&lt;foreign-keys&gt;&lt;key app="EN" db-id="2ewa9rrvjsdsawep2vpx5x97eedzzvxx5rta" timestamp="0"&gt;3285&lt;/key&gt;&lt;/foreign-keys&gt;&lt;ref-type name="Book Section"&gt;5&lt;/ref-type&gt;&lt;contributors&gt;&lt;authors&gt;&lt;author&gt;Fisher, JD&lt;/author&gt;&lt;author&gt;Fisher, WA&lt;/author&gt;&lt;/authors&gt;&lt;secondary-authors&gt;&lt;author&gt;DiClemente, R.&lt;/author&gt;&lt;author&gt;Crosby, R.&lt;/author&gt;&lt;author&gt;Kegler, M.&lt;/author&gt;&lt;/secondary-authors&gt;&lt;/contributors&gt;&lt;titles&gt;&lt;title&gt;The information-motivation-behavioral skills model&lt;/title&gt;&lt;secondary-title&gt;Emerging theories in health promotion practice and research&lt;/secondary-title&gt;&lt;/titles&gt;&lt;pages&gt;40-70&lt;/pages&gt;&lt;dates&gt;&lt;year&gt;2002&lt;/year&gt;&lt;/dates&gt;&lt;pub-location&gt;San Fransisco&lt;/pub-location&gt;&lt;publisher&gt;Jossy-Bass&lt;/publisher&gt;&lt;urls&gt;&lt;/urls&gt;&lt;/record&gt;&lt;/Cite&gt;&lt;/EndNote&gt;</w:instrText>
      </w:r>
      <w:r w:rsidR="000D1254">
        <w:rPr>
          <w:rFonts w:cs="Times New Roman"/>
          <w:noProof/>
        </w:rPr>
        <w:fldChar w:fldCharType="separate"/>
      </w:r>
      <w:r w:rsidR="006347BE" w:rsidRPr="006347BE">
        <w:rPr>
          <w:rFonts w:cs="Times New Roman"/>
          <w:noProof/>
          <w:vertAlign w:val="superscript"/>
        </w:rPr>
        <w:t>25</w:t>
      </w:r>
      <w:r w:rsidR="000D1254">
        <w:rPr>
          <w:rFonts w:cs="Times New Roman"/>
          <w:noProof/>
        </w:rPr>
        <w:fldChar w:fldCharType="end"/>
      </w:r>
      <w:r w:rsidRPr="005653A5">
        <w:rPr>
          <w:rFonts w:cs="Times New Roman"/>
          <w:noProof/>
        </w:rPr>
        <w:t xml:space="preserve"> and </w:t>
      </w:r>
      <w:r w:rsidR="00A0337E">
        <w:rPr>
          <w:rFonts w:cs="Times New Roman"/>
          <w:noProof/>
        </w:rPr>
        <w:t xml:space="preserve">intervention activities were </w:t>
      </w:r>
      <w:r w:rsidRPr="005653A5">
        <w:rPr>
          <w:rFonts w:cs="Times New Roman"/>
          <w:noProof/>
        </w:rPr>
        <w:t xml:space="preserve">ordered to enable support </w:t>
      </w:r>
      <w:r w:rsidR="00A0337E">
        <w:rPr>
          <w:rFonts w:cs="Times New Roman"/>
          <w:noProof/>
        </w:rPr>
        <w:t xml:space="preserve">and sustain </w:t>
      </w:r>
      <w:r w:rsidRPr="005653A5">
        <w:rPr>
          <w:rFonts w:cs="Times New Roman"/>
          <w:noProof/>
        </w:rPr>
        <w:t xml:space="preserve">behaviour change in </w:t>
      </w:r>
      <w:r w:rsidR="0010115A" w:rsidRPr="005653A5">
        <w:rPr>
          <w:rFonts w:cs="Times New Roman"/>
          <w:noProof/>
        </w:rPr>
        <w:t>accordance</w:t>
      </w:r>
      <w:r w:rsidRPr="005653A5">
        <w:rPr>
          <w:rFonts w:cs="Times New Roman"/>
          <w:noProof/>
        </w:rPr>
        <w:t xml:space="preserve"> with the Health Action Process Model (HAPA)</w:t>
      </w:r>
      <w:r w:rsidR="00CE2A31">
        <w:rPr>
          <w:rFonts w:cs="Times New Roman"/>
          <w:noProof/>
        </w:rPr>
        <w:t xml:space="preserve"> </w:t>
      </w:r>
      <w:r w:rsidR="003422BB">
        <w:rPr>
          <w:rFonts w:cs="Times New Roman"/>
          <w:noProof/>
        </w:rPr>
        <w:fldChar w:fldCharType="begin"/>
      </w:r>
      <w:r w:rsidR="006347BE">
        <w:rPr>
          <w:rFonts w:cs="Times New Roman"/>
          <w:noProof/>
        </w:rPr>
        <w:instrText xml:space="preserve"> ADDIN EN.CITE &lt;EndNote&gt;&lt;Cite&gt;&lt;Author&gt;Schwarzer&lt;/Author&gt;&lt;Year&gt;1992&lt;/Year&gt;&lt;RecNum&gt;3214&lt;/RecNum&gt;&lt;DisplayText&gt;&lt;style face="superscript"&gt;26&lt;/style&gt;&lt;/DisplayText&gt;&lt;record&gt;&lt;rec-number&gt;3214&lt;/rec-number&gt;&lt;foreign-keys&gt;&lt;key app="EN" db-id="2ewa9rrvjsdsawep2vpx5x97eedzzvxx5rta" timestamp="0"&gt;3214&lt;/key&gt;&lt;/foreign-keys&gt;&lt;ref-type name="Book Section"&gt;5&lt;/ref-type&gt;&lt;contributors&gt;&lt;authors&gt;&lt;author&gt;Schwarzer, R &lt;/author&gt;&lt;/authors&gt;&lt;secondary-authors&gt;&lt;author&gt;Schwarzer R&lt;/author&gt;&lt;/secondary-authors&gt;&lt;/contributors&gt;&lt;titles&gt;&lt;title&gt;Self-efficacy in the adoption and maintenance of health behaviors: Theoretical approaches and a new model.&lt;/title&gt;&lt;secondary-title&gt;Self-efficacy: thought control of action&lt;/secondary-title&gt;&lt;/titles&gt;&lt;pages&gt;217-243.&lt;/pages&gt;&lt;dates&gt;&lt;year&gt;1992&lt;/year&gt;&lt;/dates&gt;&lt;pub-location&gt;London&lt;/pub-location&gt;&lt;publisher&gt;Hemisphere&lt;/publisher&gt;&lt;urls&gt;&lt;/urls&gt;&lt;/record&gt;&lt;/Cite&gt;&lt;/EndNote&gt;</w:instrText>
      </w:r>
      <w:r w:rsidR="003422BB">
        <w:rPr>
          <w:rFonts w:cs="Times New Roman"/>
          <w:noProof/>
        </w:rPr>
        <w:fldChar w:fldCharType="separate"/>
      </w:r>
      <w:r w:rsidR="006347BE" w:rsidRPr="006347BE">
        <w:rPr>
          <w:rFonts w:cs="Times New Roman"/>
          <w:noProof/>
          <w:vertAlign w:val="superscript"/>
        </w:rPr>
        <w:t>26</w:t>
      </w:r>
      <w:r w:rsidR="003422BB">
        <w:rPr>
          <w:rFonts w:cs="Times New Roman"/>
          <w:noProof/>
        </w:rPr>
        <w:fldChar w:fldCharType="end"/>
      </w:r>
      <w:r w:rsidR="00840B1A">
        <w:rPr>
          <w:rFonts w:cs="Times New Roman"/>
          <w:noProof/>
        </w:rPr>
        <w:t>.</w:t>
      </w:r>
      <w:r w:rsidRPr="005653A5">
        <w:rPr>
          <w:rFonts w:cs="Times New Roman"/>
          <w:noProof/>
        </w:rPr>
        <w:t xml:space="preserve"> </w:t>
      </w:r>
    </w:p>
    <w:p w14:paraId="3E748D1D" w14:textId="77777777" w:rsidR="00780AF9" w:rsidRDefault="00780AF9" w:rsidP="001B2FDE">
      <w:pPr>
        <w:spacing w:after="0" w:line="360" w:lineRule="auto"/>
        <w:rPr>
          <w:rFonts w:cs="Times New Roman"/>
        </w:rPr>
      </w:pPr>
    </w:p>
    <w:p w14:paraId="6AF93B95" w14:textId="7F6D4531" w:rsidR="00244209" w:rsidRPr="005653A5" w:rsidRDefault="00D70DCC" w:rsidP="001B2FDE">
      <w:pPr>
        <w:spacing w:after="0" w:line="360" w:lineRule="auto"/>
        <w:rPr>
          <w:rFonts w:cs="Times New Roman"/>
        </w:rPr>
      </w:pPr>
      <w:r w:rsidRPr="005653A5">
        <w:rPr>
          <w:rFonts w:cs="Times New Roman"/>
        </w:rPr>
        <w:t>Between 2006 and 2008</w:t>
      </w:r>
      <w:r w:rsidR="0010115A" w:rsidRPr="005653A5">
        <w:rPr>
          <w:rFonts w:cs="Times New Roman"/>
        </w:rPr>
        <w:t>,</w:t>
      </w:r>
      <w:r w:rsidRPr="005653A5">
        <w:rPr>
          <w:rFonts w:cs="Times New Roman"/>
        </w:rPr>
        <w:t xml:space="preserve"> we worked</w:t>
      </w:r>
      <w:r w:rsidR="00C11736" w:rsidRPr="005653A5">
        <w:rPr>
          <w:rFonts w:cs="Times New Roman"/>
        </w:rPr>
        <w:t xml:space="preserve"> with</w:t>
      </w:r>
      <w:r w:rsidR="002D7A1E" w:rsidRPr="005653A5">
        <w:rPr>
          <w:rFonts w:cs="Times New Roman"/>
        </w:rPr>
        <w:t xml:space="preserve"> </w:t>
      </w:r>
      <w:r w:rsidR="00C11736" w:rsidRPr="005653A5">
        <w:rPr>
          <w:rFonts w:cs="Times New Roman"/>
        </w:rPr>
        <w:t>8-11 year old children</w:t>
      </w:r>
      <w:r w:rsidRPr="005653A5">
        <w:rPr>
          <w:rFonts w:cs="Times New Roman"/>
        </w:rPr>
        <w:t xml:space="preserve"> in one </w:t>
      </w:r>
      <w:r w:rsidR="00F80523">
        <w:rPr>
          <w:rFonts w:cs="Times New Roman"/>
        </w:rPr>
        <w:t xml:space="preserve">local </w:t>
      </w:r>
      <w:r w:rsidRPr="005653A5">
        <w:rPr>
          <w:rFonts w:cs="Times New Roman"/>
        </w:rPr>
        <w:t>primary school to assess a range of delivery methods for key objectives identified in the intervention mapping process</w:t>
      </w:r>
      <w:r w:rsidR="00C77E9E" w:rsidRPr="005653A5">
        <w:rPr>
          <w:rFonts w:cs="Times New Roman"/>
        </w:rPr>
        <w:t>.</w:t>
      </w:r>
      <w:r w:rsidR="00C11736" w:rsidRPr="005653A5">
        <w:rPr>
          <w:rFonts w:cs="Times New Roman"/>
        </w:rPr>
        <w:t xml:space="preserve"> </w:t>
      </w:r>
      <w:r w:rsidR="00C77E9E" w:rsidRPr="005653A5">
        <w:rPr>
          <w:rFonts w:cs="Times New Roman"/>
        </w:rPr>
        <w:t>W</w:t>
      </w:r>
      <w:r w:rsidR="00C11736" w:rsidRPr="005653A5">
        <w:rPr>
          <w:rFonts w:cs="Times New Roman"/>
        </w:rPr>
        <w:t>e then went on to refine the</w:t>
      </w:r>
      <w:r w:rsidR="00C77E9E" w:rsidRPr="005653A5">
        <w:rPr>
          <w:rFonts w:cs="Times New Roman"/>
        </w:rPr>
        <w:t xml:space="preserve"> newly developed</w:t>
      </w:r>
      <w:r w:rsidR="00C11736" w:rsidRPr="005653A5">
        <w:rPr>
          <w:rFonts w:cs="Times New Roman"/>
        </w:rPr>
        <w:t xml:space="preserve"> intervention based on feedback from</w:t>
      </w:r>
      <w:r w:rsidR="002D7A1E" w:rsidRPr="005653A5">
        <w:rPr>
          <w:rFonts w:cs="Times New Roman"/>
        </w:rPr>
        <w:t xml:space="preserve"> teachers, children and p</w:t>
      </w:r>
      <w:r w:rsidR="00B35D9B" w:rsidRPr="005653A5">
        <w:rPr>
          <w:rFonts w:cs="Times New Roman"/>
        </w:rPr>
        <w:t>arents and carried out a feasibility study (examining before-and-after intervention changes in the same children)</w:t>
      </w:r>
      <w:r w:rsidR="0019059C" w:rsidRPr="005653A5">
        <w:rPr>
          <w:rFonts w:cs="Times New Roman"/>
        </w:rPr>
        <w:t xml:space="preserve"> in a second </w:t>
      </w:r>
      <w:r w:rsidR="0063685C">
        <w:rPr>
          <w:rFonts w:cs="Times New Roman"/>
        </w:rPr>
        <w:t xml:space="preserve">primary </w:t>
      </w:r>
      <w:r w:rsidR="0019059C" w:rsidRPr="005653A5">
        <w:rPr>
          <w:rFonts w:cs="Times New Roman"/>
        </w:rPr>
        <w:t xml:space="preserve">school from a </w:t>
      </w:r>
      <w:r w:rsidR="00CE5B55" w:rsidRPr="005653A5">
        <w:rPr>
          <w:rFonts w:cs="Times New Roman"/>
        </w:rPr>
        <w:t xml:space="preserve">more economically </w:t>
      </w:r>
      <w:r w:rsidR="0019059C" w:rsidRPr="005653A5">
        <w:rPr>
          <w:rFonts w:cs="Times New Roman"/>
        </w:rPr>
        <w:t>de</w:t>
      </w:r>
      <w:r w:rsidR="00B35D9B" w:rsidRPr="005653A5">
        <w:rPr>
          <w:rFonts w:cs="Times New Roman"/>
        </w:rPr>
        <w:t xml:space="preserve">prived ward of Exeter, Devon. </w:t>
      </w:r>
      <w:r w:rsidR="00C77E9E" w:rsidRPr="005653A5">
        <w:rPr>
          <w:rFonts w:cs="Times New Roman"/>
        </w:rPr>
        <w:t>In the feasibility study</w:t>
      </w:r>
      <w:r w:rsidR="00B35D9B" w:rsidRPr="005653A5">
        <w:rPr>
          <w:rFonts w:cs="Times New Roman"/>
        </w:rPr>
        <w:t xml:space="preserve"> we focussed solely</w:t>
      </w:r>
      <w:r w:rsidR="002D7A1E" w:rsidRPr="005653A5">
        <w:rPr>
          <w:rFonts w:cs="Times New Roman"/>
        </w:rPr>
        <w:t xml:space="preserve"> on 9-10 year old children</w:t>
      </w:r>
      <w:r w:rsidR="00C77E9E" w:rsidRPr="005653A5">
        <w:rPr>
          <w:rFonts w:cs="Times New Roman"/>
        </w:rPr>
        <w:t>,</w:t>
      </w:r>
      <w:r w:rsidR="002D7A1E" w:rsidRPr="005653A5">
        <w:rPr>
          <w:rFonts w:cs="Times New Roman"/>
        </w:rPr>
        <w:t xml:space="preserve"> as </w:t>
      </w:r>
      <w:r w:rsidR="00C77E9E" w:rsidRPr="005653A5">
        <w:rPr>
          <w:rFonts w:cs="Times New Roman"/>
        </w:rPr>
        <w:t xml:space="preserve">our early work demonstrated that </w:t>
      </w:r>
      <w:r w:rsidR="002D7A1E" w:rsidRPr="005653A5">
        <w:rPr>
          <w:rFonts w:cs="Times New Roman"/>
        </w:rPr>
        <w:t xml:space="preserve">this age group </w:t>
      </w:r>
      <w:r w:rsidR="00C77E9E" w:rsidRPr="005653A5">
        <w:rPr>
          <w:rFonts w:cs="Times New Roman"/>
        </w:rPr>
        <w:t>was</w:t>
      </w:r>
      <w:r w:rsidR="002D7A1E" w:rsidRPr="005653A5">
        <w:rPr>
          <w:rFonts w:cs="Times New Roman"/>
        </w:rPr>
        <w:t xml:space="preserve"> more receptive to the messages and crucially engaged their families to the greatest extent</w:t>
      </w:r>
      <w:r w:rsidR="00840B1A">
        <w:rPr>
          <w:rFonts w:cs="Times New Roman"/>
        </w:rPr>
        <w:t xml:space="preserve"> </w:t>
      </w:r>
      <w:r w:rsidR="003422BB">
        <w:rPr>
          <w:rFonts w:cs="Times New Roman"/>
        </w:rPr>
        <w:fldChar w:fldCharType="begin"/>
      </w:r>
      <w:r w:rsidR="00951FF2">
        <w:rPr>
          <w:rFonts w:cs="Times New Roman"/>
        </w:rPr>
        <w:instrText xml:space="preserve"> ADDIN EN.CITE &lt;EndNote&gt;&lt;Cite&gt;&lt;Author&gt;Wyatt&lt;/Author&gt;&lt;Year&gt;2011&lt;/Year&gt;&lt;RecNum&gt;3130&lt;/RecNum&gt;&lt;DisplayText&gt;&lt;style face="superscript"&gt;27&lt;/style&gt;&lt;/DisplayText&gt;&lt;record&gt;&lt;rec-number&gt;3130&lt;/rec-number&gt;&lt;foreign-keys&gt;&lt;key app="EN" db-id="2ewa9rrvjsdsawep2vpx5x97eedzzvxx5rta" timestamp="0"&gt;3130&lt;/key&gt;&lt;/foreign-keys&gt;&lt;ref-type name="Electronic Article"&gt;43&lt;/ref-type&gt;&lt;contributors&gt;&lt;authors&gt;&lt;author&gt;Wyatt, Katrina M&lt;/author&gt;&lt;author&gt;Lloyd, Jennifer J&lt;/author&gt;&lt;author&gt;Creanor, Siobhan&lt;/author&gt;&lt;author&gt;Logan, Stuart&lt;/author&gt;&lt;/authors&gt;&lt;/contributors&gt;&lt;titles&gt;&lt;title&gt;The development, feasibility and acceptability of a school-based obesity prevention programme: results from three phases of piloting&lt;/title&gt;&lt;secondary-title&gt;BMJ Open&lt;/secondary-title&gt;&lt;/titles&gt;&lt;pages&gt;e000026&lt;/pages&gt;&lt;volume&gt;1&lt;/volume&gt;&lt;number&gt;1&lt;/number&gt;&lt;dates&gt;&lt;year&gt;2011&lt;/year&gt;&lt;pub-dates&gt;&lt;date&gt;13 September 2011&lt;/date&gt;&lt;/pub-dates&gt;&lt;/dates&gt;&lt;urls&gt;&lt;related-urls&gt;&lt;url&gt;http://bmjopen.bmj.com/content/early/2011/05/23/bmjopen-2010-000026.abstract&lt;/url&gt;&lt;/related-urls&gt;&lt;/urls&gt;&lt;electronic-resource-num&gt;http://dx.doi.org/10.1136/bmjopen-2010-000026&lt;/electronic-resource-num&gt;&lt;/record&gt;&lt;/Cite&gt;&lt;/EndNote&gt;</w:instrText>
      </w:r>
      <w:r w:rsidR="003422BB">
        <w:rPr>
          <w:rFonts w:cs="Times New Roman"/>
        </w:rPr>
        <w:fldChar w:fldCharType="separate"/>
      </w:r>
      <w:r w:rsidR="006347BE" w:rsidRPr="006347BE">
        <w:rPr>
          <w:rFonts w:cs="Times New Roman"/>
          <w:noProof/>
          <w:vertAlign w:val="superscript"/>
        </w:rPr>
        <w:t>27</w:t>
      </w:r>
      <w:r w:rsidR="003422BB">
        <w:rPr>
          <w:rFonts w:cs="Times New Roman"/>
        </w:rPr>
        <w:fldChar w:fldCharType="end"/>
      </w:r>
      <w:r w:rsidR="0056627C">
        <w:rPr>
          <w:rFonts w:cs="Times New Roman"/>
        </w:rPr>
        <w:t>.</w:t>
      </w:r>
      <w:r w:rsidR="0019059C" w:rsidRPr="005653A5">
        <w:rPr>
          <w:rFonts w:cs="Times New Roman"/>
        </w:rPr>
        <w:t xml:space="preserve"> Teachers also informed us that the Year 5 curriculum </w:t>
      </w:r>
      <w:r w:rsidR="00C77E9E" w:rsidRPr="005653A5">
        <w:rPr>
          <w:rFonts w:cs="Times New Roman"/>
        </w:rPr>
        <w:t xml:space="preserve">had </w:t>
      </w:r>
      <w:r w:rsidR="0019059C" w:rsidRPr="005653A5">
        <w:rPr>
          <w:rFonts w:cs="Times New Roman"/>
        </w:rPr>
        <w:t>the flexibility to deliver the Healthy Lifestyles Week, whereas in Year 6 there was pressure to focus on Standard Assessments Tasks (SATs).</w:t>
      </w:r>
      <w:r w:rsidR="002D7A1E" w:rsidRPr="005653A5">
        <w:rPr>
          <w:rFonts w:cs="Times New Roman"/>
        </w:rPr>
        <w:t xml:space="preserve"> </w:t>
      </w:r>
      <w:r w:rsidR="0019059C" w:rsidRPr="005653A5">
        <w:rPr>
          <w:rFonts w:cs="Times New Roman"/>
        </w:rPr>
        <w:t>Based on</w:t>
      </w:r>
      <w:r w:rsidR="00B14C07" w:rsidRPr="005653A5">
        <w:rPr>
          <w:rFonts w:cs="Times New Roman"/>
        </w:rPr>
        <w:t xml:space="preserve"> qualitative data from teachers and </w:t>
      </w:r>
      <w:r w:rsidR="00CA7519" w:rsidRPr="005653A5">
        <w:rPr>
          <w:rFonts w:cs="Times New Roman"/>
        </w:rPr>
        <w:t>head teachers</w:t>
      </w:r>
      <w:r w:rsidR="00B14C07" w:rsidRPr="005653A5">
        <w:rPr>
          <w:rFonts w:cs="Times New Roman"/>
        </w:rPr>
        <w:t xml:space="preserve"> in the piloting stages</w:t>
      </w:r>
      <w:r w:rsidR="0019059C" w:rsidRPr="005653A5">
        <w:rPr>
          <w:rFonts w:cs="Times New Roman"/>
        </w:rPr>
        <w:t xml:space="preserve">, </w:t>
      </w:r>
      <w:r w:rsidR="00A0337E">
        <w:rPr>
          <w:rFonts w:cs="Times New Roman"/>
        </w:rPr>
        <w:t xml:space="preserve">the intervention was extended to add additional activities </w:t>
      </w:r>
      <w:r w:rsidR="00FF21C2" w:rsidRPr="005653A5">
        <w:rPr>
          <w:rFonts w:cs="Times New Roman"/>
        </w:rPr>
        <w:t>at the beginning of Y</w:t>
      </w:r>
      <w:r w:rsidR="0019059C" w:rsidRPr="005653A5">
        <w:rPr>
          <w:rFonts w:cs="Times New Roman"/>
        </w:rPr>
        <w:t>ear 6.</w:t>
      </w:r>
      <w:r w:rsidR="00223F95" w:rsidRPr="005653A5">
        <w:rPr>
          <w:rFonts w:cs="Times New Roman"/>
        </w:rPr>
        <w:t xml:space="preserve"> </w:t>
      </w:r>
      <w:r w:rsidR="0019059C" w:rsidRPr="005653A5">
        <w:rPr>
          <w:rFonts w:cs="Times New Roman"/>
        </w:rPr>
        <w:t xml:space="preserve">Teachers felt that this would not impact </w:t>
      </w:r>
      <w:r w:rsidR="00F80523">
        <w:rPr>
          <w:rFonts w:cs="Times New Roman"/>
        </w:rPr>
        <w:t xml:space="preserve">on </w:t>
      </w:r>
      <w:r w:rsidR="0019059C" w:rsidRPr="005653A5">
        <w:rPr>
          <w:rFonts w:cs="Times New Roman"/>
        </w:rPr>
        <w:t>SATs teaching</w:t>
      </w:r>
      <w:r w:rsidR="00FF21C2" w:rsidRPr="005653A5">
        <w:rPr>
          <w:rFonts w:cs="Times New Roman"/>
        </w:rPr>
        <w:t xml:space="preserve"> </w:t>
      </w:r>
      <w:r w:rsidR="0019059C" w:rsidRPr="005653A5">
        <w:rPr>
          <w:rFonts w:cs="Times New Roman"/>
        </w:rPr>
        <w:t>and was important in</w:t>
      </w:r>
      <w:r w:rsidR="00F80523">
        <w:rPr>
          <w:rFonts w:cs="Times New Roman"/>
        </w:rPr>
        <w:t xml:space="preserve"> further</w:t>
      </w:r>
      <w:r w:rsidR="0019059C" w:rsidRPr="005653A5">
        <w:rPr>
          <w:rFonts w:cs="Times New Roman"/>
        </w:rPr>
        <w:t xml:space="preserve"> motivating the children to </w:t>
      </w:r>
      <w:r w:rsidR="00B14C07" w:rsidRPr="005653A5">
        <w:rPr>
          <w:rFonts w:cs="Times New Roman"/>
        </w:rPr>
        <w:t>change behaviours</w:t>
      </w:r>
      <w:r w:rsidR="0019059C" w:rsidRPr="005653A5">
        <w:rPr>
          <w:rFonts w:cs="Times New Roman"/>
        </w:rPr>
        <w:t>.</w:t>
      </w:r>
      <w:r w:rsidR="00223F95" w:rsidRPr="005653A5">
        <w:rPr>
          <w:rFonts w:cs="Times New Roman"/>
        </w:rPr>
        <w:t xml:space="preserve"> </w:t>
      </w:r>
      <w:r w:rsidR="00FF21C2" w:rsidRPr="005653A5">
        <w:rPr>
          <w:rFonts w:cs="Times New Roman"/>
        </w:rPr>
        <w:t>Minor refinements were also made to the education lessons and the drama scripts to enhance delivery and continuity.</w:t>
      </w:r>
      <w:r w:rsidR="00C11736" w:rsidRPr="005653A5">
        <w:rPr>
          <w:rFonts w:cs="Times New Roman"/>
        </w:rPr>
        <w:t xml:space="preserve"> In 2008 we carried out an </w:t>
      </w:r>
      <w:r w:rsidR="00C11736" w:rsidRPr="005653A5">
        <w:rPr>
          <w:rFonts w:cs="Times New Roman"/>
        </w:rPr>
        <w:lastRenderedPageBreak/>
        <w:t>exploratory randomised controlled trial</w:t>
      </w:r>
      <w:r w:rsidR="00FF21C2" w:rsidRPr="005653A5">
        <w:rPr>
          <w:rFonts w:cs="Times New Roman"/>
        </w:rPr>
        <w:t xml:space="preserve"> (funded by NIHR Research for Patient Benefit Programme) with 202 9-10 year old children</w:t>
      </w:r>
      <w:r w:rsidR="00C77E9E" w:rsidRPr="005653A5">
        <w:rPr>
          <w:rFonts w:cs="Times New Roman"/>
        </w:rPr>
        <w:t xml:space="preserve"> in </w:t>
      </w:r>
      <w:r w:rsidR="000E1F4C" w:rsidRPr="005653A5">
        <w:rPr>
          <w:rFonts w:cs="Times New Roman"/>
        </w:rPr>
        <w:t>four</w:t>
      </w:r>
      <w:r w:rsidR="00C77E9E" w:rsidRPr="005653A5">
        <w:rPr>
          <w:rFonts w:cs="Times New Roman"/>
        </w:rPr>
        <w:t xml:space="preserve"> schools, </w:t>
      </w:r>
      <w:r w:rsidR="00FF21C2" w:rsidRPr="005653A5">
        <w:rPr>
          <w:rFonts w:cs="Times New Roman"/>
        </w:rPr>
        <w:t>to assess ‘proof of concept’</w:t>
      </w:r>
      <w:r w:rsidR="00C77E9E" w:rsidRPr="005653A5">
        <w:rPr>
          <w:rFonts w:cs="Times New Roman"/>
        </w:rPr>
        <w:t xml:space="preserve"> and the feasibility of running a cluster randomised controlled trial of HeLP</w:t>
      </w:r>
      <w:r w:rsidR="00FF21C2" w:rsidRPr="005653A5">
        <w:rPr>
          <w:rFonts w:cs="Times New Roman"/>
        </w:rPr>
        <w:t>. The trial design and the intervention</w:t>
      </w:r>
      <w:r w:rsidR="003D3569" w:rsidRPr="005653A5">
        <w:rPr>
          <w:rFonts w:cs="Times New Roman"/>
        </w:rPr>
        <w:t xml:space="preserve"> were</w:t>
      </w:r>
      <w:r w:rsidR="00FF21C2" w:rsidRPr="005653A5">
        <w:rPr>
          <w:rFonts w:cs="Times New Roman"/>
        </w:rPr>
        <w:t xml:space="preserve"> feasible and acceptable</w:t>
      </w:r>
      <w:r w:rsidR="00E415A4" w:rsidRPr="005653A5">
        <w:rPr>
          <w:rFonts w:cs="Times New Roman"/>
        </w:rPr>
        <w:t xml:space="preserve"> to schools, children and their families and </w:t>
      </w:r>
      <w:r w:rsidR="00103EFF" w:rsidRPr="005653A5">
        <w:rPr>
          <w:rFonts w:cs="Times New Roman"/>
        </w:rPr>
        <w:t xml:space="preserve">at </w:t>
      </w:r>
      <w:r w:rsidR="00E415A4" w:rsidRPr="005653A5">
        <w:rPr>
          <w:rFonts w:cs="Times New Roman"/>
        </w:rPr>
        <w:t>18 month</w:t>
      </w:r>
      <w:r w:rsidR="00103EFF" w:rsidRPr="005653A5">
        <w:rPr>
          <w:rFonts w:cs="Times New Roman"/>
        </w:rPr>
        <w:t>s</w:t>
      </w:r>
      <w:r w:rsidR="003D3569" w:rsidRPr="005653A5">
        <w:rPr>
          <w:rFonts w:cs="Times New Roman"/>
        </w:rPr>
        <w:t xml:space="preserve"> </w:t>
      </w:r>
      <w:r w:rsidR="00103EFF" w:rsidRPr="005653A5">
        <w:rPr>
          <w:rFonts w:cs="Times New Roman"/>
        </w:rPr>
        <w:t xml:space="preserve">intervention children consumed less energy dense snacks and more healthy snacks; had less </w:t>
      </w:r>
      <w:r w:rsidR="0099375E">
        <w:rPr>
          <w:rFonts w:cs="Times New Roman"/>
        </w:rPr>
        <w:t>N</w:t>
      </w:r>
      <w:r w:rsidR="00103EFF" w:rsidRPr="005653A5">
        <w:rPr>
          <w:rFonts w:cs="Times New Roman"/>
        </w:rPr>
        <w:t xml:space="preserve">egative </w:t>
      </w:r>
      <w:r w:rsidR="0099375E">
        <w:rPr>
          <w:rFonts w:cs="Times New Roman"/>
        </w:rPr>
        <w:t>F</w:t>
      </w:r>
      <w:r w:rsidR="00103EFF" w:rsidRPr="005653A5">
        <w:rPr>
          <w:rFonts w:cs="Times New Roman"/>
        </w:rPr>
        <w:t xml:space="preserve">ood </w:t>
      </w:r>
      <w:r w:rsidR="0099375E">
        <w:rPr>
          <w:rFonts w:cs="Times New Roman"/>
        </w:rPr>
        <w:t>M</w:t>
      </w:r>
      <w:r w:rsidR="00103EFF" w:rsidRPr="005653A5">
        <w:rPr>
          <w:rFonts w:cs="Times New Roman"/>
        </w:rPr>
        <w:t xml:space="preserve">arkers and more </w:t>
      </w:r>
      <w:r w:rsidR="0099375E">
        <w:rPr>
          <w:rFonts w:cs="Times New Roman"/>
        </w:rPr>
        <w:t>P</w:t>
      </w:r>
      <w:r w:rsidR="00103EFF" w:rsidRPr="005653A5">
        <w:rPr>
          <w:rFonts w:cs="Times New Roman"/>
        </w:rPr>
        <w:t xml:space="preserve">ositive </w:t>
      </w:r>
      <w:r w:rsidR="0099375E">
        <w:rPr>
          <w:rFonts w:cs="Times New Roman"/>
        </w:rPr>
        <w:t>F</w:t>
      </w:r>
      <w:r w:rsidR="00103EFF" w:rsidRPr="005653A5">
        <w:rPr>
          <w:rFonts w:cs="Times New Roman"/>
        </w:rPr>
        <w:t xml:space="preserve">ood </w:t>
      </w:r>
      <w:r w:rsidR="0099375E">
        <w:rPr>
          <w:rFonts w:cs="Times New Roman"/>
        </w:rPr>
        <w:t>M</w:t>
      </w:r>
      <w:r w:rsidR="00103EFF" w:rsidRPr="005653A5">
        <w:rPr>
          <w:rFonts w:cs="Times New Roman"/>
        </w:rPr>
        <w:t>arkers, lower mean TV/screen time and spent more time doing moderate to vigorous physical activity each day than</w:t>
      </w:r>
      <w:r w:rsidR="00F80523">
        <w:rPr>
          <w:rFonts w:cs="Times New Roman"/>
        </w:rPr>
        <w:t xml:space="preserve"> children </w:t>
      </w:r>
      <w:r w:rsidR="00103EFF" w:rsidRPr="005653A5">
        <w:rPr>
          <w:rFonts w:cs="Times New Roman"/>
        </w:rPr>
        <w:t>in the control schools</w:t>
      </w:r>
      <w:r w:rsidR="00840B1A">
        <w:rPr>
          <w:rFonts w:cs="Times New Roman"/>
        </w:rPr>
        <w:t xml:space="preserve"> </w:t>
      </w:r>
      <w:r w:rsidR="003422BB">
        <w:rPr>
          <w:rFonts w:cs="Times New Roman"/>
        </w:rPr>
        <w:fldChar w:fldCharType="begin"/>
      </w:r>
      <w:r w:rsidR="00FF0067">
        <w:rPr>
          <w:rFonts w:cs="Times New Roman"/>
        </w:rPr>
        <w:instrText xml:space="preserve"> ADDIN EN.CITE &lt;EndNote&gt;&lt;Cite&gt;&lt;Author&gt;Lloyd&lt;/Author&gt;&lt;Year&gt;2012&lt;/Year&gt;&lt;RecNum&gt;4625&lt;/RecNum&gt;&lt;DisplayText&gt;&lt;style face="superscript"&gt;28&lt;/style&gt;&lt;/DisplayText&gt;&lt;record&gt;&lt;rec-number&gt;4625&lt;/rec-number&gt;&lt;foreign-keys&gt;&lt;key app="EN" db-id="2ewa9rrvjsdsawep2vpx5x97eedzzvxx5rta" timestamp="0"&gt;4625&lt;/key&gt;&lt;/foreign-keys&gt;&lt;ref-type name="Journal Article"&gt;17&lt;/ref-type&gt;&lt;contributors&gt;&lt;authors&gt;&lt;author&gt;Lloyd, J. J.&lt;/author&gt;&lt;author&gt;Wyatt, K. M.&lt;/author&gt;&lt;author&gt;Creanor, S.&lt;/author&gt;&lt;/authors&gt;&lt;/contributors&gt;&lt;auth-address&gt;Institute for Health Service Research, Peninsula College of Medicine and Dentistry, University of Exeter, Exeter, UK.&lt;/auth-address&gt;&lt;titles&gt;&lt;title&gt;Behavioural and weight status outcomes from an exploratory trial of the Healthy Lifestyles Programme (HeLP): a novel school-based obesity prevention programme&lt;/title&gt;&lt;secondary-title&gt;BMJ Open&lt;/secondary-title&gt;&lt;/titles&gt;&lt;volume&gt;2&lt;/volume&gt;&lt;number&gt;3&lt;/number&gt;&lt;edition&gt;2012/05/16&lt;/edition&gt;&lt;dates&gt;&lt;year&gt;2012&lt;/year&gt;&lt;/dates&gt;&lt;isbn&gt;2044-6055 (Electronic)&lt;/isbn&gt;&lt;accession-num&gt;22586282&lt;/accession-num&gt;&lt;urls&gt;&lt;related-urls&gt;&lt;url&gt;http://www.ncbi.nlm.nih.gov/pubmed/22586282&lt;/url&gt;&lt;/related-urls&gt;&lt;/urls&gt;&lt;custom2&gt;3358612&lt;/custom2&gt;&lt;electronic-resource-num&gt;10.1136/bmjopen-2011-000390&lt;/electronic-resource-num&gt;&lt;language&gt;eng&lt;/language&gt;&lt;/record&gt;&lt;/Cite&gt;&lt;/EndNote&gt;</w:instrText>
      </w:r>
      <w:r w:rsidR="003422BB">
        <w:rPr>
          <w:rFonts w:cs="Times New Roman"/>
        </w:rPr>
        <w:fldChar w:fldCharType="separate"/>
      </w:r>
      <w:r w:rsidR="006347BE" w:rsidRPr="006347BE">
        <w:rPr>
          <w:rFonts w:cs="Times New Roman"/>
          <w:noProof/>
          <w:vertAlign w:val="superscript"/>
        </w:rPr>
        <w:t>28</w:t>
      </w:r>
      <w:r w:rsidR="003422BB">
        <w:rPr>
          <w:rFonts w:cs="Times New Roman"/>
        </w:rPr>
        <w:fldChar w:fldCharType="end"/>
      </w:r>
      <w:r w:rsidR="00103EFF" w:rsidRPr="005653A5">
        <w:rPr>
          <w:rFonts w:cs="Times New Roman"/>
        </w:rPr>
        <w:t xml:space="preserve">. </w:t>
      </w:r>
      <w:r w:rsidR="00C77E9E" w:rsidRPr="005653A5">
        <w:rPr>
          <w:rFonts w:cs="Times New Roman"/>
        </w:rPr>
        <w:t>C</w:t>
      </w:r>
      <w:r w:rsidR="00103EFF" w:rsidRPr="005653A5">
        <w:rPr>
          <w:rFonts w:cs="Times New Roman"/>
        </w:rPr>
        <w:t xml:space="preserve">hildren </w:t>
      </w:r>
      <w:r w:rsidR="00C77E9E" w:rsidRPr="005653A5">
        <w:rPr>
          <w:rFonts w:cs="Times New Roman"/>
        </w:rPr>
        <w:t xml:space="preserve">in the intervention group </w:t>
      </w:r>
      <w:r w:rsidR="00103EFF" w:rsidRPr="005653A5">
        <w:rPr>
          <w:rFonts w:cs="Times New Roman"/>
        </w:rPr>
        <w:t>had lower</w:t>
      </w:r>
      <w:r w:rsidR="00C77E9E" w:rsidRPr="005653A5">
        <w:rPr>
          <w:rFonts w:cs="Times New Roman"/>
        </w:rPr>
        <w:t xml:space="preserve"> average</w:t>
      </w:r>
      <w:r w:rsidR="00103EFF" w:rsidRPr="005653A5">
        <w:rPr>
          <w:rFonts w:cs="Times New Roman"/>
        </w:rPr>
        <w:t xml:space="preserve"> anthropometric measures at 18 and 24 months than children</w:t>
      </w:r>
      <w:r w:rsidR="00C77E9E" w:rsidRPr="005653A5">
        <w:rPr>
          <w:rFonts w:cs="Times New Roman"/>
        </w:rPr>
        <w:t xml:space="preserve"> in the control group</w:t>
      </w:r>
      <w:r w:rsidR="00103EFF" w:rsidRPr="005653A5">
        <w:rPr>
          <w:rFonts w:cs="Times New Roman"/>
        </w:rPr>
        <w:t>, with larger differences at 24 months than at 18 months for all measures</w:t>
      </w:r>
      <w:r w:rsidR="00840B1A">
        <w:rPr>
          <w:rFonts w:cs="Times New Roman"/>
        </w:rPr>
        <w:t xml:space="preserve"> </w:t>
      </w:r>
      <w:r w:rsidR="003422BB">
        <w:rPr>
          <w:rFonts w:cs="Times New Roman"/>
        </w:rPr>
        <w:fldChar w:fldCharType="begin"/>
      </w:r>
      <w:r w:rsidR="00FF0067">
        <w:rPr>
          <w:rFonts w:cs="Times New Roman"/>
        </w:rPr>
        <w:instrText xml:space="preserve"> ADDIN EN.CITE &lt;EndNote&gt;&lt;Cite&gt;&lt;Author&gt;Lloyd&lt;/Author&gt;&lt;Year&gt;2012&lt;/Year&gt;&lt;RecNum&gt;4625&lt;/RecNum&gt;&lt;DisplayText&gt;&lt;style face="superscript"&gt;28&lt;/style&gt;&lt;/DisplayText&gt;&lt;record&gt;&lt;rec-number&gt;4625&lt;/rec-number&gt;&lt;foreign-keys&gt;&lt;key app="EN" db-id="2ewa9rrvjsdsawep2vpx5x97eedzzvxx5rta" timestamp="0"&gt;4625&lt;/key&gt;&lt;/foreign-keys&gt;&lt;ref-type name="Journal Article"&gt;17&lt;/ref-type&gt;&lt;contributors&gt;&lt;authors&gt;&lt;author&gt;Lloyd, J. J.&lt;/author&gt;&lt;author&gt;Wyatt, K. M.&lt;/author&gt;&lt;author&gt;Creanor, S.&lt;/author&gt;&lt;/authors&gt;&lt;/contributors&gt;&lt;auth-address&gt;Institute for Health Service Research, Peninsula College of Medicine and Dentistry, University of Exeter, Exeter, UK.&lt;/auth-address&gt;&lt;titles&gt;&lt;title&gt;Behavioural and weight status outcomes from an exploratory trial of the Healthy Lifestyles Programme (HeLP): a novel school-based obesity prevention programme&lt;/title&gt;&lt;secondary-title&gt;BMJ Open&lt;/secondary-title&gt;&lt;/titles&gt;&lt;volume&gt;2&lt;/volume&gt;&lt;number&gt;3&lt;/number&gt;&lt;edition&gt;2012/05/16&lt;/edition&gt;&lt;dates&gt;&lt;year&gt;2012&lt;/year&gt;&lt;/dates&gt;&lt;isbn&gt;2044-6055 (Electronic)&lt;/isbn&gt;&lt;accession-num&gt;22586282&lt;/accession-num&gt;&lt;urls&gt;&lt;related-urls&gt;&lt;url&gt;http://www.ncbi.nlm.nih.gov/pubmed/22586282&lt;/url&gt;&lt;/related-urls&gt;&lt;/urls&gt;&lt;custom2&gt;3358612&lt;/custom2&gt;&lt;electronic-resource-num&gt;10.1136/bmjopen-2011-000390&lt;/electronic-resource-num&gt;&lt;language&gt;eng&lt;/language&gt;&lt;/record&gt;&lt;/Cite&gt;&lt;/EndNote&gt;</w:instrText>
      </w:r>
      <w:r w:rsidR="003422BB">
        <w:rPr>
          <w:rFonts w:cs="Times New Roman"/>
        </w:rPr>
        <w:fldChar w:fldCharType="separate"/>
      </w:r>
      <w:r w:rsidR="006347BE" w:rsidRPr="006347BE">
        <w:rPr>
          <w:rFonts w:cs="Times New Roman"/>
          <w:noProof/>
          <w:vertAlign w:val="superscript"/>
        </w:rPr>
        <w:t>28</w:t>
      </w:r>
      <w:r w:rsidR="003422BB">
        <w:rPr>
          <w:rFonts w:cs="Times New Roman"/>
        </w:rPr>
        <w:fldChar w:fldCharType="end"/>
      </w:r>
      <w:r w:rsidR="00103EFF" w:rsidRPr="005653A5">
        <w:rPr>
          <w:rFonts w:cs="Times New Roman"/>
        </w:rPr>
        <w:t xml:space="preserve">. </w:t>
      </w:r>
    </w:p>
    <w:p w14:paraId="766FC25B" w14:textId="77777777" w:rsidR="00C11736" w:rsidRPr="005653A5" w:rsidRDefault="00C11736" w:rsidP="001B2FDE">
      <w:pPr>
        <w:spacing w:after="0" w:line="360" w:lineRule="auto"/>
        <w:rPr>
          <w:rFonts w:cs="Times New Roman"/>
        </w:rPr>
      </w:pPr>
    </w:p>
    <w:p w14:paraId="3BE7E5BD" w14:textId="7DD766B8" w:rsidR="00310D96" w:rsidRPr="005653A5" w:rsidRDefault="00E415A4" w:rsidP="001B2FDE">
      <w:pPr>
        <w:spacing w:after="0" w:line="360" w:lineRule="auto"/>
        <w:rPr>
          <w:rFonts w:cs="Times New Roman"/>
        </w:rPr>
      </w:pPr>
      <w:r w:rsidRPr="005653A5">
        <w:rPr>
          <w:rFonts w:cs="Times New Roman"/>
        </w:rPr>
        <w:t>Funding for the definitive trial was awarded in March 2012 and the trial began in September 2012.</w:t>
      </w:r>
      <w:r w:rsidR="005722C8" w:rsidRPr="005653A5">
        <w:rPr>
          <w:rFonts w:cs="Times New Roman"/>
        </w:rPr>
        <w:t xml:space="preserve"> None of the schools who were involved in the feasibility and pilot work </w:t>
      </w:r>
      <w:r w:rsidR="00C77E9E" w:rsidRPr="005653A5">
        <w:rPr>
          <w:rFonts w:cs="Times New Roman"/>
        </w:rPr>
        <w:t xml:space="preserve">were </w:t>
      </w:r>
      <w:r w:rsidR="005722C8" w:rsidRPr="005653A5">
        <w:rPr>
          <w:rFonts w:cs="Times New Roman"/>
        </w:rPr>
        <w:t xml:space="preserve">included in the </w:t>
      </w:r>
      <w:r w:rsidR="00F80523">
        <w:rPr>
          <w:rFonts w:cs="Times New Roman"/>
        </w:rPr>
        <w:t>definitive trial</w:t>
      </w:r>
      <w:r w:rsidR="005722C8" w:rsidRPr="005653A5">
        <w:rPr>
          <w:rFonts w:cs="Times New Roman"/>
        </w:rPr>
        <w:t>, which is presented in this monograph.</w:t>
      </w:r>
    </w:p>
    <w:p w14:paraId="17C11A86" w14:textId="37FDA92E" w:rsidR="00445DCD" w:rsidRDefault="003A63D5" w:rsidP="00445DCD">
      <w:pPr>
        <w:pStyle w:val="Heading2"/>
        <w:rPr>
          <w:rStyle w:val="Heading2Char"/>
          <w:rFonts w:asciiTheme="minorHAnsi" w:hAnsiTheme="minorHAnsi"/>
          <w:b/>
          <w:sz w:val="22"/>
          <w:szCs w:val="22"/>
        </w:rPr>
      </w:pPr>
      <w:bookmarkStart w:id="283" w:name="_Toc466639029"/>
      <w:bookmarkStart w:id="284" w:name="_Toc466710043"/>
      <w:bookmarkStart w:id="285" w:name="_Toc466711391"/>
      <w:bookmarkStart w:id="286" w:name="_Toc466712050"/>
      <w:bookmarkStart w:id="287" w:name="_Toc475974336"/>
      <w:r>
        <w:rPr>
          <w:rStyle w:val="Heading2Char"/>
          <w:rFonts w:asciiTheme="minorHAnsi" w:hAnsiTheme="minorHAnsi"/>
          <w:b/>
          <w:sz w:val="22"/>
          <w:szCs w:val="22"/>
        </w:rPr>
        <w:t xml:space="preserve">1.4 </w:t>
      </w:r>
      <w:r w:rsidR="000F04BC" w:rsidRPr="005653A5">
        <w:rPr>
          <w:rStyle w:val="Heading2Char"/>
          <w:rFonts w:asciiTheme="minorHAnsi" w:hAnsiTheme="minorHAnsi"/>
          <w:b/>
          <w:sz w:val="22"/>
          <w:szCs w:val="22"/>
        </w:rPr>
        <w:t>Rationale for our study design</w:t>
      </w:r>
      <w:bookmarkEnd w:id="283"/>
      <w:bookmarkEnd w:id="284"/>
      <w:bookmarkEnd w:id="285"/>
      <w:bookmarkEnd w:id="286"/>
      <w:bookmarkEnd w:id="287"/>
    </w:p>
    <w:p w14:paraId="4E8F0265" w14:textId="16A9C7EE" w:rsidR="00F7500D" w:rsidRDefault="00445DCD" w:rsidP="00574A48">
      <w:pPr>
        <w:spacing w:after="0" w:line="360" w:lineRule="auto"/>
      </w:pPr>
      <w:r w:rsidRPr="005653A5">
        <w:t xml:space="preserve">The </w:t>
      </w:r>
      <w:r>
        <w:t xml:space="preserve">HeLP study was designed to address some of the methodological weaknesses in previous school-based RCTs to prevent obesity. Schools </w:t>
      </w:r>
      <w:r w:rsidR="00780AF9">
        <w:t>have</w:t>
      </w:r>
      <w:r>
        <w:t xml:space="preserve"> been highlighted as providing a captive audience with the potential to access children across the socioeconomic spectrum; however few studies took a relational approach to both the intervention and the trial design, whereby the building of relationships with all participants to enhance engagement with the </w:t>
      </w:r>
      <w:r w:rsidR="00AA7A6D">
        <w:t>p</w:t>
      </w:r>
      <w:r>
        <w:t>rogramme and the trial was a key focus in recruitment, data collection and intervention design and delivery</w:t>
      </w:r>
      <w:r w:rsidR="00F7500D">
        <w:t xml:space="preserve">. </w:t>
      </w:r>
    </w:p>
    <w:p w14:paraId="454163BE" w14:textId="41F98200" w:rsidR="00F7500D" w:rsidRDefault="00F7500D" w:rsidP="00574A48">
      <w:pPr>
        <w:spacing w:after="0" w:line="360" w:lineRule="auto"/>
      </w:pPr>
      <w:r>
        <w:t xml:space="preserve">Specifically, the design of the HeLP study ensured that (i) baseline </w:t>
      </w:r>
      <w:r w:rsidR="00A42B3F">
        <w:t xml:space="preserve">measurements </w:t>
      </w:r>
      <w:r>
        <w:t>were collected prior to schools (and children) being allocated</w:t>
      </w:r>
      <w:r w:rsidR="00574A48">
        <w:t xml:space="preserve"> </w:t>
      </w:r>
      <w:r>
        <w:t>to intervention or control group: (ii) a standardised objective measure with a significant follow up time was utilised to assess obesity prevention (BMI SDS at 24 months); (iii) an objective measure of physical activity, with evidence of high compliance was used</w:t>
      </w:r>
      <w:r w:rsidR="00202488">
        <w:t xml:space="preserve"> </w:t>
      </w:r>
      <w:r w:rsidR="00202488">
        <w:fldChar w:fldCharType="begin">
          <w:fldData xml:space="preserve">PEVuZE5vdGU+PENpdGU+PEF1dGhvcj5GYWlyY2xvdWdoPC9BdXRob3I+PFllYXI+MjAxNjwvWWVh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</w:fldData>
        </w:fldChar>
      </w:r>
      <w:r w:rsidR="00FF0067">
        <w:instrText xml:space="preserve"> ADDIN EN.CITE </w:instrText>
      </w:r>
      <w:r w:rsidR="00FF0067">
        <w:fldChar w:fldCharType="begin">
          <w:fldData xml:space="preserve">PEVuZE5vdGU+PENpdGU+PEF1dGhvcj5GYWlyY2xvdWdoPC9BdXRob3I+PFllYXI+MjAxNjwvWWVh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</w:fldData>
        </w:fldChar>
      </w:r>
      <w:r w:rsidR="00FF0067">
        <w:instrText xml:space="preserve"> ADDIN EN.CITE.DATA </w:instrText>
      </w:r>
      <w:r w:rsidR="00FF0067">
        <w:fldChar w:fldCharType="end"/>
      </w:r>
      <w:r w:rsidR="00202488">
        <w:fldChar w:fldCharType="separate"/>
      </w:r>
      <w:r w:rsidR="006347BE" w:rsidRPr="006347BE">
        <w:rPr>
          <w:noProof/>
          <w:vertAlign w:val="superscript"/>
        </w:rPr>
        <w:t>29</w:t>
      </w:r>
      <w:r w:rsidR="00202488">
        <w:fldChar w:fldCharType="end"/>
      </w:r>
      <w:r>
        <w:t xml:space="preserve"> (GeneActiv activity monitor); (iv) half the schools had </w:t>
      </w:r>
      <w:r w:rsidRPr="00F7500D">
        <w:rPr>
          <w:u w:val="single"/>
        </w:rPr>
        <w:t>&gt;</w:t>
      </w:r>
      <w:r>
        <w:t xml:space="preserve"> 19% of children eligible for free school meals (the national average at the time of the trial) to ensure the results were generalizable across the socioeconomic spectrum; (v) loss to follow up was minimised by creating detailed standard operating procedures (SOPs) for the collection of all measures at each time point with a focus on enhancing positive relationships with teacher, children and parents. </w:t>
      </w:r>
    </w:p>
    <w:p w14:paraId="7DAD0FC8" w14:textId="4EFD20FB" w:rsidR="00F7500D" w:rsidRDefault="00F7500D" w:rsidP="00574A48">
      <w:pPr>
        <w:spacing w:after="0" w:line="360" w:lineRule="auto"/>
      </w:pPr>
      <w:r>
        <w:t xml:space="preserve">During intervention delivery we ensured that (i) delivery personnel had the necessary skills and competencies to build relationships; (ii) there was one key contact person per school who co-ordinated the research hand delivery (the HeLP Coordinator); (iii) the delivery methods used were suitably engaging and dynamic for the target group, so that the children would be motivated to take </w:t>
      </w:r>
      <w:r>
        <w:lastRenderedPageBreak/>
        <w:t>the messages home and initiate discussion with the family; (iv) the intervention used strategies to enhance identification with, and ownership of, the healthy lifestyle messages and enabled children to explore possible solutions and propose changes in preparation for real life situations; (v) information and guidance on promoting healthy eating and physical activity went home to parents throughout the intervention period and (vi) parents were involved in setting goals with their child.</w:t>
      </w:r>
    </w:p>
    <w:p w14:paraId="26E1FD14" w14:textId="77A112F8" w:rsidR="00F7500D" w:rsidRPr="00F7500D" w:rsidRDefault="00F7500D" w:rsidP="00574A48">
      <w:pPr>
        <w:spacing w:after="0" w:line="360" w:lineRule="auto"/>
      </w:pPr>
      <w:r>
        <w:t>The intervention aimed to change behaviours both inside and out</w:t>
      </w:r>
      <w:r w:rsidR="00C55EE7">
        <w:t>side the school environment, the</w:t>
      </w:r>
      <w:r>
        <w:t>s</w:t>
      </w:r>
      <w:r w:rsidR="00C55EE7">
        <w:t>e</w:t>
      </w:r>
      <w:r>
        <w:t xml:space="preserve"> measurements were concerned with behaviours across the week, including </w:t>
      </w:r>
      <w:r w:rsidR="002B0018">
        <w:t>weekends</w:t>
      </w:r>
      <w:r>
        <w:t>. We aimed to capture physical activity data across the whole week for children at baseline and 18 month follow up. To sup</w:t>
      </w:r>
      <w:r w:rsidR="001B3B1E">
        <w:t>port this aim we used wrist worn</w:t>
      </w:r>
      <w:r>
        <w:t xml:space="preserve"> activity monitors (the GeneActiv accelerometer) as feasibility studies had demonstrate</w:t>
      </w:r>
      <w:r w:rsidR="002B0018">
        <w:t>d</w:t>
      </w:r>
      <w:r>
        <w:t xml:space="preserve"> </w:t>
      </w:r>
      <w:r w:rsidR="002B0018">
        <w:t>high</w:t>
      </w:r>
      <w:r>
        <w:t xml:space="preserve"> compliance with this monitor for this age gro</w:t>
      </w:r>
      <w:r w:rsidR="00774A0D">
        <w:t xml:space="preserve">up </w:t>
      </w:r>
      <w:r w:rsidR="00202488">
        <w:fldChar w:fldCharType="begin"/>
      </w:r>
      <w:r w:rsidR="00FF0067">
        <w:instrText xml:space="preserve"> ADDIN EN.CITE &lt;EndNote&gt;&lt;Cite&gt;&lt;Author&gt;Phillips&lt;/Author&gt;&lt;Year&gt;2013&lt;/Year&gt;&lt;RecNum&gt;5504&lt;/RecNum&gt;&lt;DisplayText&gt;&lt;style face="superscript"&gt;30&lt;/style&gt;&lt;/DisplayText&gt;&lt;record&gt;&lt;rec-number&gt;5504&lt;/rec-number&gt;&lt;foreign-keys&gt;&lt;key app="EN" db-id="2ewa9rrvjsdsawep2vpx5x97eedzzvxx5rta" timestamp="0"&gt;5504&lt;/key&gt;&lt;/foreign-keys&gt;&lt;ref-type name="Journal Article"&gt;17&lt;/ref-type&gt;&lt;contributors&gt;&lt;authors&gt;&lt;author&gt;Phillips, Lisa R. S.&lt;/author&gt;&lt;author&gt;Parfitt, Gaynor&lt;/author&gt;&lt;author&gt;Rowlands, Alex V.&lt;/author&gt;&lt;/authors&gt;&lt;/contributors&gt;&lt;titles&gt;&lt;title&gt;Calibration of the GENEA accelerometer for assessment of physical activity intensity in children&lt;/title&gt;&lt;secondary-title&gt;Journal of Science and Medicine in Sport&lt;/secondary-title&gt;&lt;/titles&gt;&lt;periodical&gt;&lt;full-title&gt;Journal of Science and Medicine in Sport&lt;/full-title&gt;&lt;abbr-1&gt;J. Sci. Med. Sport&lt;/abbr-1&gt;&lt;abbr-2&gt;J Sci Med Sport&lt;/abbr-2&gt;&lt;abbr-3&gt;Journal of Science &amp;amp; Medicine in Sport&lt;/abbr-3&gt;&lt;/periodical&gt;&lt;pages&gt;124-128&lt;/pages&gt;&lt;volume&gt;16&lt;/volume&gt;&lt;number&gt;2&lt;/number&gt;&lt;keywords&gt;&lt;keyword&gt;Activity intensity&lt;/keyword&gt;&lt;keyword&gt;Cut-points&lt;/keyword&gt;&lt;keyword&gt;Wrist worn&lt;/keyword&gt;&lt;keyword&gt;ActiGraph&lt;/keyword&gt;&lt;keyword&gt;Physical activity&lt;/keyword&gt;&lt;/keywords&gt;&lt;dates&gt;&lt;year&gt;2013&lt;/year&gt;&lt;/dates&gt;&lt;isbn&gt;1440-2440&lt;/isbn&gt;&lt;urls&gt;&lt;related-urls&gt;&lt;url&gt;http://www.sciencedirect.com/science/article/pii/S1440244012001120&lt;/url&gt;&lt;/related-urls&gt;&lt;/urls&gt;&lt;electronic-resource-num&gt;http://dx.doi.org/10.1016/j.jsams.2012.05.013&lt;/electronic-resource-num&gt;&lt;/record&gt;&lt;/Cite&gt;&lt;/EndNote&gt;</w:instrText>
      </w:r>
      <w:r w:rsidR="00202488">
        <w:fldChar w:fldCharType="separate"/>
      </w:r>
      <w:r w:rsidR="006347BE" w:rsidRPr="006347BE">
        <w:rPr>
          <w:noProof/>
          <w:vertAlign w:val="superscript"/>
        </w:rPr>
        <w:t>30</w:t>
      </w:r>
      <w:r w:rsidR="00202488">
        <w:fldChar w:fldCharType="end"/>
      </w:r>
      <w:r>
        <w:t xml:space="preserve">. We took account of the clustered nature of the trial design in the sample size calculation and </w:t>
      </w:r>
      <w:r w:rsidR="002B0018">
        <w:t>analysis</w:t>
      </w:r>
      <w:r>
        <w:t xml:space="preserve"> and examined the effect of the intervention six mo</w:t>
      </w:r>
      <w:r w:rsidR="002B0018">
        <w:t>n</w:t>
      </w:r>
      <w:r>
        <w:t xml:space="preserve">ths (18 months post </w:t>
      </w:r>
      <w:r w:rsidR="002B0018">
        <w:t>baseline</w:t>
      </w:r>
      <w:r>
        <w:t>) and 12 months (24 months post baseline) after its completion, in order to examine whether any observed effects of the intervention were sustained</w:t>
      </w:r>
      <w:r w:rsidR="00997F02">
        <w:t>, see published trial protocol</w:t>
      </w:r>
      <w:r w:rsidR="00202488">
        <w:t xml:space="preserve"> </w:t>
      </w:r>
      <w:r w:rsidR="00202488">
        <w:fldChar w:fldCharType="begin">
          <w:fldData xml:space="preserve">PEVuZE5vdGU+PENpdGU+PEF1dGhvcj5XeWF0dDwvQXV0aG9yPjxZZWFyPjIwMTM8L1llYXI+PFJl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</w:fldData>
        </w:fldChar>
      </w:r>
      <w:r w:rsidR="00951FF2">
        <w:instrText xml:space="preserve"> ADDIN EN.CITE </w:instrText>
      </w:r>
      <w:r w:rsidR="00951FF2">
        <w:fldChar w:fldCharType="begin">
          <w:fldData xml:space="preserve">PEVuZE5vdGU+PENpdGU+PEF1dGhvcj5XeWF0dDwvQXV0aG9yPjxZZWFyPjIwMTM8L1llYXI+PFJl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</w:fldData>
        </w:fldChar>
      </w:r>
      <w:r w:rsidR="00951FF2">
        <w:instrText xml:space="preserve"> ADDIN EN.CITE.DATA </w:instrText>
      </w:r>
      <w:r w:rsidR="00951FF2">
        <w:fldChar w:fldCharType="end"/>
      </w:r>
      <w:r w:rsidR="00202488">
        <w:fldChar w:fldCharType="separate"/>
      </w:r>
      <w:r w:rsidR="006347BE" w:rsidRPr="006347BE">
        <w:rPr>
          <w:noProof/>
          <w:vertAlign w:val="superscript"/>
        </w:rPr>
        <w:t>31</w:t>
      </w:r>
      <w:r w:rsidR="00202488">
        <w:fldChar w:fldCharType="end"/>
      </w:r>
      <w:r>
        <w:t>.</w:t>
      </w:r>
    </w:p>
    <w:p w14:paraId="7EA78B1C" w14:textId="77777777" w:rsidR="00445DCD" w:rsidRDefault="00445DCD" w:rsidP="00445DCD">
      <w:pPr>
        <w:rPr>
          <w:rStyle w:val="Heading2Char"/>
          <w:rFonts w:asciiTheme="minorHAnsi" w:hAnsiTheme="minorHAnsi"/>
          <w:b w:val="0"/>
          <w:sz w:val="22"/>
          <w:szCs w:val="22"/>
        </w:rPr>
      </w:pPr>
    </w:p>
    <w:p w14:paraId="26D5115F" w14:textId="35BD46C4" w:rsidR="00BC39D9" w:rsidRPr="005653A5" w:rsidRDefault="003A63D5" w:rsidP="005653A5">
      <w:pPr>
        <w:pStyle w:val="Heading2"/>
        <w:spacing w:line="360" w:lineRule="auto"/>
        <w:rPr>
          <w:rFonts w:asciiTheme="minorHAnsi" w:hAnsiTheme="minorHAnsi"/>
          <w:sz w:val="22"/>
          <w:szCs w:val="22"/>
        </w:rPr>
      </w:pPr>
      <w:bookmarkStart w:id="288" w:name="_Toc454450808"/>
      <w:bookmarkStart w:id="289" w:name="_Toc466639034"/>
      <w:bookmarkStart w:id="290" w:name="_Toc466710048"/>
      <w:bookmarkStart w:id="291" w:name="_Toc466711396"/>
      <w:bookmarkStart w:id="292" w:name="_Toc466712055"/>
      <w:bookmarkStart w:id="293" w:name="_Toc475974337"/>
      <w:r>
        <w:rPr>
          <w:rFonts w:asciiTheme="minorHAnsi" w:hAnsiTheme="minorHAnsi"/>
          <w:sz w:val="22"/>
          <w:szCs w:val="22"/>
        </w:rPr>
        <w:t xml:space="preserve">1.5 </w:t>
      </w:r>
      <w:r w:rsidR="00BC39D9" w:rsidRPr="005653A5">
        <w:rPr>
          <w:rFonts w:asciiTheme="minorHAnsi" w:hAnsiTheme="minorHAnsi"/>
          <w:sz w:val="22"/>
          <w:szCs w:val="22"/>
        </w:rPr>
        <w:t>Aim and objectives</w:t>
      </w:r>
      <w:bookmarkEnd w:id="288"/>
      <w:bookmarkEnd w:id="289"/>
      <w:bookmarkEnd w:id="290"/>
      <w:bookmarkEnd w:id="291"/>
      <w:bookmarkEnd w:id="292"/>
      <w:bookmarkEnd w:id="293"/>
    </w:p>
    <w:p w14:paraId="57082AFF" w14:textId="1868551B" w:rsidR="000F04BC" w:rsidRPr="005653A5" w:rsidRDefault="000F04BC" w:rsidP="00221775">
      <w:pPr>
        <w:spacing w:after="0" w:line="360" w:lineRule="auto"/>
      </w:pPr>
      <w:r w:rsidRPr="005653A5">
        <w:t>The aim of this cluster rand</w:t>
      </w:r>
      <w:r w:rsidR="00DE5BAD" w:rsidRPr="005653A5">
        <w:t>omised controlled trial (RCT) was</w:t>
      </w:r>
      <w:r w:rsidRPr="005653A5">
        <w:t xml:space="preserve"> to determine the effectiveness and cost</w:t>
      </w:r>
      <w:r w:rsidR="00576BE5">
        <w:t xml:space="preserve"> </w:t>
      </w:r>
      <w:r w:rsidRPr="005653A5">
        <w:t>effectiveness of the Healthy Lifestyles Programme (HeLP) in preventing overweight and obesity</w:t>
      </w:r>
      <w:r w:rsidR="00AE3A7A">
        <w:t xml:space="preserve"> </w:t>
      </w:r>
      <w:r w:rsidRPr="005653A5">
        <w:t>in children.</w:t>
      </w:r>
    </w:p>
    <w:p w14:paraId="6F666F65" w14:textId="0A67BD65" w:rsidR="000F04BC" w:rsidRPr="005653A5" w:rsidRDefault="00DE5BAD" w:rsidP="00221775">
      <w:pPr>
        <w:spacing w:after="0" w:line="360" w:lineRule="auto"/>
      </w:pPr>
      <w:r w:rsidRPr="005653A5">
        <w:t>Our objectives were</w:t>
      </w:r>
      <w:r w:rsidR="000F04BC" w:rsidRPr="005653A5">
        <w:t>:</w:t>
      </w:r>
    </w:p>
    <w:p w14:paraId="47CC7212" w14:textId="77777777" w:rsidR="000F04BC" w:rsidRPr="005653A5" w:rsidRDefault="000F04BC" w:rsidP="00221775">
      <w:pPr>
        <w:spacing w:after="0" w:line="360" w:lineRule="auto"/>
      </w:pPr>
      <w:r w:rsidRPr="005653A5">
        <w:t>1. To assess the effectiveness of the Healthy Lifestyles Programme (HeLP), in children aged 9 to 10 years, by comparing between intervention and control schools:</w:t>
      </w:r>
    </w:p>
    <w:p w14:paraId="09410A76" w14:textId="77777777" w:rsidR="000F04BC" w:rsidRPr="004F7D07" w:rsidRDefault="009D1C7F" w:rsidP="00403B07">
      <w:pPr>
        <w:pStyle w:val="ListParagraph"/>
        <w:numPr>
          <w:ilvl w:val="0"/>
          <w:numId w:val="23"/>
        </w:numPr>
        <w:autoSpaceDE w:val="0"/>
        <w:autoSpaceDN w:val="0"/>
        <w:adjustRightInd w:val="0"/>
        <w:spacing w:after="0" w:line="360" w:lineRule="auto"/>
        <w:rPr>
          <w:rFonts w:cs="Times New Roman"/>
        </w:rPr>
      </w:pPr>
      <w:r>
        <w:rPr>
          <w:rFonts w:cs="Times New Roman"/>
        </w:rPr>
        <w:t>BMI SDS</w:t>
      </w:r>
      <w:r w:rsidR="000F04BC" w:rsidRPr="004F7D07">
        <w:rPr>
          <w:rFonts w:cs="Times New Roman"/>
        </w:rPr>
        <w:t xml:space="preserve"> at 24 months (primary outcome)</w:t>
      </w:r>
    </w:p>
    <w:p w14:paraId="1F3B1641" w14:textId="77777777" w:rsidR="000F04BC" w:rsidRPr="004F7D07" w:rsidRDefault="009D1C7F" w:rsidP="00403B07">
      <w:pPr>
        <w:pStyle w:val="ListParagraph"/>
        <w:numPr>
          <w:ilvl w:val="0"/>
          <w:numId w:val="23"/>
        </w:numPr>
        <w:autoSpaceDE w:val="0"/>
        <w:autoSpaceDN w:val="0"/>
        <w:adjustRightInd w:val="0"/>
        <w:spacing w:after="0" w:line="360" w:lineRule="auto"/>
        <w:rPr>
          <w:rFonts w:cs="Times New Roman"/>
        </w:rPr>
      </w:pPr>
      <w:r>
        <w:rPr>
          <w:rFonts w:cs="Times New Roman"/>
        </w:rPr>
        <w:t>BMI SDS</w:t>
      </w:r>
      <w:r w:rsidR="000F04BC" w:rsidRPr="004F7D07">
        <w:rPr>
          <w:rFonts w:cs="Times New Roman"/>
        </w:rPr>
        <w:t xml:space="preserve"> at 18 months</w:t>
      </w:r>
    </w:p>
    <w:p w14:paraId="38D176BC" w14:textId="77777777" w:rsidR="000F04BC" w:rsidRPr="004F7D07" w:rsidRDefault="000F04BC" w:rsidP="00403B07">
      <w:pPr>
        <w:pStyle w:val="ListParagraph"/>
        <w:numPr>
          <w:ilvl w:val="0"/>
          <w:numId w:val="23"/>
        </w:numPr>
        <w:autoSpaceDE w:val="0"/>
        <w:autoSpaceDN w:val="0"/>
        <w:adjustRightInd w:val="0"/>
        <w:spacing w:after="0" w:line="360" w:lineRule="auto"/>
        <w:rPr>
          <w:rFonts w:cs="Times New Roman"/>
        </w:rPr>
      </w:pPr>
      <w:r w:rsidRPr="004F7D07">
        <w:rPr>
          <w:rFonts w:cs="Times New Roman"/>
        </w:rPr>
        <w:t>Waist Circumference SDS at 18 and 24 months</w:t>
      </w:r>
    </w:p>
    <w:p w14:paraId="56C4C9D6" w14:textId="77777777" w:rsidR="000F04BC" w:rsidRPr="004F7D07" w:rsidRDefault="000F04BC" w:rsidP="00403B07">
      <w:pPr>
        <w:pStyle w:val="ListParagraph"/>
        <w:numPr>
          <w:ilvl w:val="0"/>
          <w:numId w:val="23"/>
        </w:numPr>
        <w:autoSpaceDE w:val="0"/>
        <w:autoSpaceDN w:val="0"/>
        <w:adjustRightInd w:val="0"/>
        <w:spacing w:after="0" w:line="360" w:lineRule="auto"/>
        <w:rPr>
          <w:rFonts w:cs="Times New Roman"/>
        </w:rPr>
      </w:pPr>
      <w:r w:rsidRPr="004F7D07">
        <w:rPr>
          <w:rFonts w:cs="Times New Roman"/>
        </w:rPr>
        <w:t>Percentage Body Fat SDS at 18 and 24 months</w:t>
      </w:r>
    </w:p>
    <w:p w14:paraId="567FF1C7" w14:textId="77777777" w:rsidR="000F04BC" w:rsidRPr="004F7D07" w:rsidRDefault="000F04BC" w:rsidP="00403B07">
      <w:pPr>
        <w:pStyle w:val="ListParagraph"/>
        <w:numPr>
          <w:ilvl w:val="0"/>
          <w:numId w:val="23"/>
        </w:numPr>
        <w:autoSpaceDE w:val="0"/>
        <w:autoSpaceDN w:val="0"/>
        <w:adjustRightInd w:val="0"/>
        <w:spacing w:after="0" w:line="360" w:lineRule="auto"/>
        <w:rPr>
          <w:rFonts w:cs="Times New Roman"/>
        </w:rPr>
      </w:pPr>
      <w:r w:rsidRPr="004F7D07">
        <w:rPr>
          <w:rFonts w:cs="Times New Roman"/>
        </w:rPr>
        <w:t>Proportion of children classified as underweight, overweight and obese at 18 and 24 months</w:t>
      </w:r>
    </w:p>
    <w:p w14:paraId="056B53BC" w14:textId="5263B81C" w:rsidR="000F04BC" w:rsidRPr="004F7D07" w:rsidRDefault="000F04BC" w:rsidP="00403B07">
      <w:pPr>
        <w:pStyle w:val="ListParagraph"/>
        <w:numPr>
          <w:ilvl w:val="0"/>
          <w:numId w:val="23"/>
        </w:numPr>
        <w:autoSpaceDE w:val="0"/>
        <w:autoSpaceDN w:val="0"/>
        <w:adjustRightInd w:val="0"/>
        <w:spacing w:after="0" w:line="360" w:lineRule="auto"/>
        <w:rPr>
          <w:rFonts w:cs="Times New Roman"/>
        </w:rPr>
      </w:pPr>
      <w:r w:rsidRPr="004F7D07">
        <w:rPr>
          <w:rFonts w:cs="Times New Roman"/>
        </w:rPr>
        <w:t>Physical activity (</w:t>
      </w:r>
      <w:r w:rsidR="00D930EB">
        <w:rPr>
          <w:rFonts w:cs="Times New Roman"/>
        </w:rPr>
        <w:t xml:space="preserve">average </w:t>
      </w:r>
      <w:r w:rsidRPr="004F7D07">
        <w:rPr>
          <w:rFonts w:cs="Times New Roman"/>
        </w:rPr>
        <w:t xml:space="preserve">time spent </w:t>
      </w:r>
      <w:r w:rsidR="00D930EB">
        <w:rPr>
          <w:rFonts w:cs="Times New Roman"/>
        </w:rPr>
        <w:t xml:space="preserve">per day </w:t>
      </w:r>
      <w:r w:rsidRPr="004F7D07">
        <w:rPr>
          <w:rFonts w:cs="Times New Roman"/>
        </w:rPr>
        <w:t xml:space="preserve">in sedentary, light, moderate, moderate to vigorous and vigorous activity) and </w:t>
      </w:r>
      <w:r w:rsidR="00D930EB">
        <w:rPr>
          <w:rFonts w:cs="Times New Roman"/>
        </w:rPr>
        <w:t xml:space="preserve">average </w:t>
      </w:r>
      <w:r w:rsidR="00F4503D">
        <w:rPr>
          <w:rFonts w:cs="Times New Roman"/>
        </w:rPr>
        <w:t xml:space="preserve">weekly </w:t>
      </w:r>
      <w:r w:rsidRPr="004F7D07">
        <w:rPr>
          <w:rFonts w:cs="Times New Roman"/>
        </w:rPr>
        <w:t>volume</w:t>
      </w:r>
      <w:r w:rsidR="00D930EB">
        <w:rPr>
          <w:rFonts w:cs="Times New Roman"/>
        </w:rPr>
        <w:t xml:space="preserve"> of physical activity</w:t>
      </w:r>
      <w:r w:rsidRPr="004F7D07">
        <w:rPr>
          <w:rFonts w:cs="Times New Roman"/>
        </w:rPr>
        <w:t xml:space="preserve"> (</w:t>
      </w:r>
      <w:r w:rsidR="00926DE8">
        <w:rPr>
          <w:rFonts w:cs="Times New Roman"/>
        </w:rPr>
        <w:t>m</w:t>
      </w:r>
      <w:r w:rsidR="00926DE8">
        <w:rPr>
          <w:rFonts w:cs="Times New Roman"/>
          <w:i/>
        </w:rPr>
        <w:t>g</w:t>
      </w:r>
      <w:r w:rsidRPr="004F7D07">
        <w:rPr>
          <w:rFonts w:cs="Times New Roman"/>
        </w:rPr>
        <w:t>)</w:t>
      </w:r>
      <w:r w:rsidR="00182655" w:rsidRPr="004F7D07">
        <w:rPr>
          <w:rStyle w:val="FootnoteReference"/>
          <w:rFonts w:cs="Times New Roman"/>
        </w:rPr>
        <w:t xml:space="preserve"> </w:t>
      </w:r>
      <w:r w:rsidRPr="004F7D07">
        <w:rPr>
          <w:rFonts w:cs="Times New Roman"/>
        </w:rPr>
        <w:t>at 18 months</w:t>
      </w:r>
    </w:p>
    <w:p w14:paraId="0178111E" w14:textId="76A0FF43" w:rsidR="000F04BC" w:rsidRPr="004F7D07" w:rsidRDefault="000F04BC" w:rsidP="00403B07">
      <w:pPr>
        <w:pStyle w:val="ListParagraph"/>
        <w:numPr>
          <w:ilvl w:val="0"/>
          <w:numId w:val="23"/>
        </w:numPr>
        <w:autoSpaceDE w:val="0"/>
        <w:autoSpaceDN w:val="0"/>
        <w:adjustRightInd w:val="0"/>
        <w:spacing w:after="0" w:line="360" w:lineRule="auto"/>
        <w:rPr>
          <w:rFonts w:cs="Times New Roman"/>
        </w:rPr>
      </w:pPr>
      <w:r w:rsidRPr="004F7D07">
        <w:rPr>
          <w:rFonts w:cs="Times New Roman"/>
        </w:rPr>
        <w:t xml:space="preserve">Food intake (number of </w:t>
      </w:r>
      <w:r w:rsidR="00E6558B">
        <w:rPr>
          <w:rFonts w:cs="Times New Roman"/>
        </w:rPr>
        <w:t>E</w:t>
      </w:r>
      <w:r w:rsidRPr="004F7D07">
        <w:rPr>
          <w:rFonts w:cs="Times New Roman"/>
        </w:rPr>
        <w:t xml:space="preserve">nergy </w:t>
      </w:r>
      <w:r w:rsidR="00E6558B">
        <w:rPr>
          <w:rFonts w:cs="Times New Roman"/>
        </w:rPr>
        <w:t>D</w:t>
      </w:r>
      <w:r w:rsidRPr="004F7D07">
        <w:rPr>
          <w:rFonts w:cs="Times New Roman"/>
        </w:rPr>
        <w:t xml:space="preserve">ense </w:t>
      </w:r>
      <w:r w:rsidR="00E6558B">
        <w:rPr>
          <w:rFonts w:cs="Times New Roman"/>
        </w:rPr>
        <w:t>S</w:t>
      </w:r>
      <w:r w:rsidRPr="004F7D07">
        <w:rPr>
          <w:rFonts w:cs="Times New Roman"/>
        </w:rPr>
        <w:t xml:space="preserve">nacks, </w:t>
      </w:r>
      <w:r w:rsidR="00E6558B">
        <w:rPr>
          <w:rFonts w:cs="Times New Roman"/>
        </w:rPr>
        <w:t>H</w:t>
      </w:r>
      <w:r w:rsidRPr="004F7D07">
        <w:rPr>
          <w:rFonts w:cs="Times New Roman"/>
        </w:rPr>
        <w:t xml:space="preserve">ealthy </w:t>
      </w:r>
      <w:r w:rsidR="00E6558B">
        <w:rPr>
          <w:rFonts w:cs="Times New Roman"/>
        </w:rPr>
        <w:t>S</w:t>
      </w:r>
      <w:r w:rsidRPr="004F7D07">
        <w:rPr>
          <w:rFonts w:cs="Times New Roman"/>
        </w:rPr>
        <w:t xml:space="preserve">nacks, </w:t>
      </w:r>
      <w:r w:rsidR="00E6558B">
        <w:rPr>
          <w:rFonts w:cs="Times New Roman"/>
        </w:rPr>
        <w:t>N</w:t>
      </w:r>
      <w:r w:rsidRPr="004F7D07">
        <w:rPr>
          <w:rFonts w:cs="Times New Roman"/>
        </w:rPr>
        <w:t xml:space="preserve">egative and </w:t>
      </w:r>
      <w:r w:rsidR="00E6558B">
        <w:rPr>
          <w:rFonts w:cs="Times New Roman"/>
        </w:rPr>
        <w:t>P</w:t>
      </w:r>
      <w:r w:rsidRPr="004F7D07">
        <w:rPr>
          <w:rFonts w:cs="Times New Roman"/>
        </w:rPr>
        <w:t xml:space="preserve">ositive </w:t>
      </w:r>
      <w:r w:rsidR="00E6558B">
        <w:rPr>
          <w:rFonts w:cs="Times New Roman"/>
        </w:rPr>
        <w:t>F</w:t>
      </w:r>
      <w:r w:rsidRPr="004F7D07">
        <w:rPr>
          <w:rFonts w:cs="Times New Roman"/>
        </w:rPr>
        <w:t xml:space="preserve">ood </w:t>
      </w:r>
      <w:r w:rsidR="00E6558B">
        <w:rPr>
          <w:rFonts w:cs="Times New Roman"/>
        </w:rPr>
        <w:t>M</w:t>
      </w:r>
      <w:r w:rsidRPr="004F7D07">
        <w:rPr>
          <w:rFonts w:cs="Times New Roman"/>
        </w:rPr>
        <w:t>arkers) at 18 months.</w:t>
      </w:r>
    </w:p>
    <w:p w14:paraId="763559C0" w14:textId="0B0D0159" w:rsidR="000F04BC" w:rsidRPr="005653A5" w:rsidRDefault="000F04BC" w:rsidP="00221775">
      <w:pPr>
        <w:autoSpaceDE w:val="0"/>
        <w:autoSpaceDN w:val="0"/>
        <w:adjustRightInd w:val="0"/>
        <w:spacing w:after="0" w:line="360" w:lineRule="auto"/>
        <w:rPr>
          <w:rFonts w:cs="Times New Roman"/>
        </w:rPr>
      </w:pPr>
      <w:r w:rsidRPr="005653A5">
        <w:rPr>
          <w:rFonts w:cs="Times New Roman"/>
        </w:rPr>
        <w:lastRenderedPageBreak/>
        <w:t>2. To estimate the costs associated with the delivery of the HeLP intervention and its cost</w:t>
      </w:r>
      <w:r w:rsidR="00576BE5">
        <w:rPr>
          <w:rFonts w:cs="Times New Roman"/>
        </w:rPr>
        <w:t xml:space="preserve"> </w:t>
      </w:r>
      <w:r w:rsidRPr="005653A5">
        <w:rPr>
          <w:rFonts w:cs="Times New Roman"/>
        </w:rPr>
        <w:t>effectiveness versus usual practice.</w:t>
      </w:r>
    </w:p>
    <w:p w14:paraId="47255510" w14:textId="48D98D8E" w:rsidR="00182655" w:rsidRDefault="000F04BC" w:rsidP="00221775">
      <w:pPr>
        <w:autoSpaceDE w:val="0"/>
        <w:autoSpaceDN w:val="0"/>
        <w:adjustRightInd w:val="0"/>
        <w:spacing w:after="0" w:line="360" w:lineRule="auto"/>
        <w:rPr>
          <w:rFonts w:cs="Times New Roman"/>
        </w:rPr>
      </w:pPr>
      <w:r w:rsidRPr="005653A5">
        <w:rPr>
          <w:rFonts w:cs="Times New Roman"/>
        </w:rPr>
        <w:t xml:space="preserve">3. </w:t>
      </w:r>
      <w:r w:rsidR="00A17BE8">
        <w:t xml:space="preserve">To conduct a mixed-methods process evaluation and mediational analysis to explore the way the </w:t>
      </w:r>
      <w:r w:rsidR="00AA7A6D">
        <w:t>p</w:t>
      </w:r>
      <w:r w:rsidR="00A17BE8">
        <w:t>rogramme worked (that is, how it was delivered, taken up and experienced, and what are the possible mediators of change).</w:t>
      </w:r>
      <w:r w:rsidR="00182655">
        <w:rPr>
          <w:rFonts w:cs="Times New Roman"/>
        </w:rPr>
        <w:br w:type="page"/>
      </w:r>
    </w:p>
    <w:p w14:paraId="7E3D254B" w14:textId="249867EE" w:rsidR="004E0D59" w:rsidRPr="004E0D59" w:rsidRDefault="004E0D59" w:rsidP="004E0D59">
      <w:pPr>
        <w:keepNext/>
        <w:keepLines/>
        <w:spacing w:before="480" w:after="0" w:line="360" w:lineRule="auto"/>
        <w:jc w:val="both"/>
        <w:outlineLvl w:val="0"/>
        <w:rPr>
          <w:rFonts w:eastAsiaTheme="majorEastAsia" w:cs="Times New Roman"/>
          <w:b/>
          <w:bCs/>
        </w:rPr>
      </w:pPr>
      <w:bookmarkStart w:id="294" w:name="_Toc454450809"/>
      <w:bookmarkStart w:id="295" w:name="_Toc466639035"/>
      <w:bookmarkStart w:id="296" w:name="_Toc466710049"/>
      <w:bookmarkStart w:id="297" w:name="_Toc466711397"/>
      <w:bookmarkStart w:id="298" w:name="_Toc466712056"/>
      <w:bookmarkStart w:id="299" w:name="_Toc475974338"/>
      <w:bookmarkStart w:id="300" w:name="_Toc454450826"/>
      <w:bookmarkStart w:id="301" w:name="_Toc454450833"/>
      <w:r w:rsidRPr="004E0D59">
        <w:rPr>
          <w:rFonts w:eastAsiaTheme="majorEastAsia" w:cs="Times New Roman"/>
          <w:b/>
          <w:bCs/>
        </w:rPr>
        <w:lastRenderedPageBreak/>
        <w:t>Chapter 2 Trial design and methods</w:t>
      </w:r>
      <w:bookmarkEnd w:id="294"/>
      <w:bookmarkEnd w:id="295"/>
      <w:bookmarkEnd w:id="296"/>
      <w:bookmarkEnd w:id="297"/>
      <w:bookmarkEnd w:id="298"/>
      <w:bookmarkEnd w:id="299"/>
    </w:p>
    <w:p w14:paraId="0ACCB053" w14:textId="3950AD90" w:rsidR="004E0D59" w:rsidRPr="004E0D59" w:rsidRDefault="003A63D5" w:rsidP="004E0D59">
      <w:pPr>
        <w:keepNext/>
        <w:keepLines/>
        <w:spacing w:before="200" w:after="0" w:line="360" w:lineRule="auto"/>
        <w:outlineLvl w:val="1"/>
        <w:rPr>
          <w:rFonts w:eastAsiaTheme="majorEastAsia" w:cs="Times New Roman"/>
          <w:b/>
          <w:bCs/>
        </w:rPr>
      </w:pPr>
      <w:bookmarkStart w:id="302" w:name="_Toc454450810"/>
      <w:bookmarkStart w:id="303" w:name="_Toc466639036"/>
      <w:bookmarkStart w:id="304" w:name="_Toc466710050"/>
      <w:bookmarkStart w:id="305" w:name="_Toc466711398"/>
      <w:bookmarkStart w:id="306" w:name="_Toc466712057"/>
      <w:bookmarkStart w:id="307" w:name="_Toc475974339"/>
      <w:r>
        <w:rPr>
          <w:rFonts w:eastAsiaTheme="majorEastAsia" w:cs="Times New Roman"/>
          <w:b/>
          <w:bCs/>
        </w:rPr>
        <w:t xml:space="preserve">2.1 </w:t>
      </w:r>
      <w:r w:rsidR="004E0D59" w:rsidRPr="004E0D59">
        <w:rPr>
          <w:rFonts w:eastAsiaTheme="majorEastAsia" w:cs="Times New Roman"/>
          <w:b/>
          <w:bCs/>
        </w:rPr>
        <w:t>Study design</w:t>
      </w:r>
      <w:bookmarkEnd w:id="302"/>
      <w:bookmarkEnd w:id="303"/>
      <w:bookmarkEnd w:id="304"/>
      <w:bookmarkEnd w:id="305"/>
      <w:bookmarkEnd w:id="306"/>
      <w:bookmarkEnd w:id="307"/>
    </w:p>
    <w:p w14:paraId="69952037" w14:textId="36911DC8" w:rsidR="004E0D59" w:rsidRPr="004E0D59" w:rsidRDefault="004E0D59" w:rsidP="004E0D59">
      <w:pPr>
        <w:spacing w:after="0" w:line="360" w:lineRule="auto"/>
        <w:rPr>
          <w:rFonts w:cs="Times New Roman"/>
        </w:rPr>
      </w:pPr>
      <w:r w:rsidRPr="004E0D59">
        <w:rPr>
          <w:rFonts w:cs="Times New Roman"/>
        </w:rPr>
        <w:t>We carried out a pragmatic, superiority, cluster randomised controlled trial with blinded outcome assessment, allocating schools (1:1) to either the HeLP intervention or usual school practice. As the intervention was designed to be delivered in schools, a cluster design was used. Individual child measurements were collected at baseline, 12 months (My Lifestyles Questionnaire (MLQ) only, which assesse</w:t>
      </w:r>
      <w:r w:rsidR="007E5CBE">
        <w:rPr>
          <w:rFonts w:cs="Times New Roman"/>
        </w:rPr>
        <w:t>d</w:t>
      </w:r>
      <w:r w:rsidRPr="004E0D59">
        <w:rPr>
          <w:rFonts w:cs="Times New Roman"/>
        </w:rPr>
        <w:t xml:space="preserve"> potential mediating variables), 18 months and 24 months (anthropometric only) post baseline. Alongside the evaluation of effectiveness, we carried out a parallel economic evaluation and process evaluation.</w:t>
      </w:r>
    </w:p>
    <w:p w14:paraId="1901C370" w14:textId="77777777" w:rsidR="004E0D59" w:rsidRPr="004E0D59" w:rsidRDefault="004E0D59" w:rsidP="004E0D59">
      <w:pPr>
        <w:spacing w:after="0" w:line="360" w:lineRule="auto"/>
        <w:rPr>
          <w:rFonts w:cs="Times New Roman"/>
        </w:rPr>
      </w:pPr>
    </w:p>
    <w:p w14:paraId="73B350EA" w14:textId="64256F6C" w:rsidR="004E0D59" w:rsidRPr="004E0D59" w:rsidRDefault="004E0D59" w:rsidP="004E0D59">
      <w:pPr>
        <w:spacing w:after="0" w:line="360" w:lineRule="auto"/>
        <w:rPr>
          <w:rFonts w:cs="Times New Roman"/>
        </w:rPr>
      </w:pPr>
      <w:r w:rsidRPr="004E0D59">
        <w:rPr>
          <w:rFonts w:cs="Times New Roman"/>
        </w:rPr>
        <w:t>Following the exploratory trial</w:t>
      </w:r>
      <w:r w:rsidR="00340F05">
        <w:rPr>
          <w:rFonts w:cs="Times New Roman"/>
        </w:rPr>
        <w:t xml:space="preserve"> </w:t>
      </w:r>
      <w:r w:rsidR="00340F05">
        <w:rPr>
          <w:rFonts w:cs="Times New Roman"/>
        </w:rPr>
        <w:fldChar w:fldCharType="begin"/>
      </w:r>
      <w:r w:rsidR="00FF0067">
        <w:rPr>
          <w:rFonts w:cs="Times New Roman"/>
        </w:rPr>
        <w:instrText xml:space="preserve"> ADDIN EN.CITE &lt;EndNote&gt;&lt;Cite&gt;&lt;Author&gt;Lloyd&lt;/Author&gt;&lt;Year&gt;2012&lt;/Year&gt;&lt;RecNum&gt;4625&lt;/RecNum&gt;&lt;DisplayText&gt;&lt;style face="superscript"&gt;28&lt;/style&gt;&lt;/DisplayText&gt;&lt;record&gt;&lt;rec-number&gt;4625&lt;/rec-number&gt;&lt;foreign-keys&gt;&lt;key app="EN" db-id="2ewa9rrvjsdsawep2vpx5x97eedzzvxx5rta" timestamp="0"&gt;4625&lt;/key&gt;&lt;/foreign-keys&gt;&lt;ref-type name="Journal Article"&gt;17&lt;/ref-type&gt;&lt;contributors&gt;&lt;authors&gt;&lt;author&gt;Lloyd, J. J.&lt;/author&gt;&lt;author&gt;Wyatt, K. M.&lt;/author&gt;&lt;author&gt;Creanor, S.&lt;/author&gt;&lt;/authors&gt;&lt;/contributors&gt;&lt;auth-address&gt;Institute for Health Service Research, Peninsula College of Medicine and Dentistry, University of Exeter, Exeter, UK.&lt;/auth-address&gt;&lt;titles&gt;&lt;title&gt;Behavioural and weight status outcomes from an exploratory trial of the Healthy Lifestyles Programme (HeLP): a novel school-based obesity prevention programme&lt;/title&gt;&lt;secondary-title&gt;BMJ Open&lt;/secondary-title&gt;&lt;/titles&gt;&lt;volume&gt;2&lt;/volume&gt;&lt;number&gt;3&lt;/number&gt;&lt;edition&gt;2012/05/16&lt;/edition&gt;&lt;dates&gt;&lt;year&gt;2012&lt;/year&gt;&lt;/dates&gt;&lt;isbn&gt;2044-6055 (Electronic)&lt;/isbn&gt;&lt;accession-num&gt;22586282&lt;/accession-num&gt;&lt;urls&gt;&lt;related-urls&gt;&lt;url&gt;http://www.ncbi.nlm.nih.gov/pubmed/22586282&lt;/url&gt;&lt;/related-urls&gt;&lt;/urls&gt;&lt;custom2&gt;3358612&lt;/custom2&gt;&lt;electronic-resource-num&gt;10.1136/bmjopen-2011-000390&lt;/electronic-resource-num&gt;&lt;language&gt;eng&lt;/language&gt;&lt;/record&gt;&lt;/Cite&gt;&lt;/EndNote&gt;</w:instrText>
      </w:r>
      <w:r w:rsidR="00340F05">
        <w:rPr>
          <w:rFonts w:cs="Times New Roman"/>
        </w:rPr>
        <w:fldChar w:fldCharType="separate"/>
      </w:r>
      <w:r w:rsidR="006347BE" w:rsidRPr="006347BE">
        <w:rPr>
          <w:rFonts w:cs="Times New Roman"/>
          <w:noProof/>
          <w:vertAlign w:val="superscript"/>
        </w:rPr>
        <w:t>28</w:t>
      </w:r>
      <w:r w:rsidR="00340F05">
        <w:rPr>
          <w:rFonts w:cs="Times New Roman"/>
        </w:rPr>
        <w:fldChar w:fldCharType="end"/>
      </w:r>
      <w:r w:rsidRPr="004E0D59">
        <w:rPr>
          <w:rFonts w:cs="Times New Roman"/>
        </w:rPr>
        <w:t xml:space="preserve"> and after assessing delivery requirements, we decided to run the trial in two cohorts, each cohort with the same number of intervention and control schools.</w:t>
      </w:r>
      <w:r w:rsidR="00F8172F">
        <w:rPr>
          <w:rFonts w:cs="Times New Roman"/>
        </w:rPr>
        <w:t xml:space="preserve"> All schools were recruited in S</w:t>
      </w:r>
      <w:r w:rsidRPr="004E0D59">
        <w:rPr>
          <w:rFonts w:cs="Times New Roman"/>
        </w:rPr>
        <w:t xml:space="preserve">pring 2012 and then allocated to Cohort 1 (commencing </w:t>
      </w:r>
      <w:r w:rsidR="007E5CBE">
        <w:rPr>
          <w:rFonts w:cs="Times New Roman"/>
        </w:rPr>
        <w:t xml:space="preserve">the </w:t>
      </w:r>
      <w:r w:rsidRPr="004E0D59">
        <w:rPr>
          <w:rFonts w:cs="Times New Roman"/>
        </w:rPr>
        <w:t xml:space="preserve">trial in </w:t>
      </w:r>
      <w:r w:rsidR="007E5CBE">
        <w:rPr>
          <w:rFonts w:cs="Times New Roman"/>
        </w:rPr>
        <w:t xml:space="preserve">September </w:t>
      </w:r>
      <w:r w:rsidRPr="004E0D59">
        <w:rPr>
          <w:rFonts w:cs="Times New Roman"/>
        </w:rPr>
        <w:t xml:space="preserve">2012) or Cohort 2 (commencing </w:t>
      </w:r>
      <w:r w:rsidR="007E5CBE">
        <w:rPr>
          <w:rFonts w:cs="Times New Roman"/>
        </w:rPr>
        <w:t xml:space="preserve">the </w:t>
      </w:r>
      <w:r w:rsidRPr="004E0D59">
        <w:rPr>
          <w:rFonts w:cs="Times New Roman"/>
        </w:rPr>
        <w:t xml:space="preserve">trial in </w:t>
      </w:r>
      <w:r w:rsidR="007E5CBE">
        <w:rPr>
          <w:rFonts w:cs="Times New Roman"/>
        </w:rPr>
        <w:t xml:space="preserve">September </w:t>
      </w:r>
      <w:r w:rsidRPr="004E0D59">
        <w:rPr>
          <w:rFonts w:cs="Times New Roman"/>
        </w:rPr>
        <w:t>2013).</w:t>
      </w:r>
    </w:p>
    <w:p w14:paraId="413407CF" w14:textId="0DEB4CC9" w:rsidR="004E0D59" w:rsidRPr="00221775" w:rsidRDefault="003A63D5" w:rsidP="004E0D59">
      <w:pPr>
        <w:keepNext/>
        <w:keepLines/>
        <w:spacing w:before="200" w:after="0" w:line="360" w:lineRule="auto"/>
        <w:outlineLvl w:val="2"/>
        <w:rPr>
          <w:rFonts w:eastAsiaTheme="majorEastAsia" w:cs="Times New Roman"/>
          <w:b/>
          <w:bCs/>
        </w:rPr>
      </w:pPr>
      <w:bookmarkStart w:id="308" w:name="_Toc454450812"/>
      <w:bookmarkStart w:id="309" w:name="_Toc466710051"/>
      <w:bookmarkStart w:id="310" w:name="_Toc466711399"/>
      <w:bookmarkStart w:id="311" w:name="_Toc466712058"/>
      <w:bookmarkStart w:id="312" w:name="_Toc475974340"/>
      <w:r w:rsidRPr="00221775">
        <w:rPr>
          <w:rFonts w:eastAsiaTheme="majorEastAsia" w:cs="Times New Roman"/>
          <w:b/>
          <w:bCs/>
        </w:rPr>
        <w:t xml:space="preserve">2.1.1 </w:t>
      </w:r>
      <w:r w:rsidR="004E0D59" w:rsidRPr="00221775">
        <w:rPr>
          <w:rFonts w:eastAsiaTheme="majorEastAsia" w:cs="Times New Roman"/>
          <w:b/>
          <w:bCs/>
        </w:rPr>
        <w:t>Ethical approval and research governance</w:t>
      </w:r>
      <w:bookmarkEnd w:id="308"/>
      <w:bookmarkEnd w:id="309"/>
      <w:bookmarkEnd w:id="310"/>
      <w:bookmarkEnd w:id="311"/>
      <w:bookmarkEnd w:id="312"/>
    </w:p>
    <w:p w14:paraId="041C7222" w14:textId="354FE08A" w:rsidR="004E0D59" w:rsidRPr="004E0D59" w:rsidRDefault="004E0D59" w:rsidP="004E0D59">
      <w:pPr>
        <w:spacing w:after="0" w:line="360" w:lineRule="auto"/>
      </w:pPr>
      <w:r w:rsidRPr="004E0D59">
        <w:t xml:space="preserve">We obtained ethical approval for the trial from the Peninsula College of Medicine and Dentistry Research Ethics Committee (reference number 12/03/140) in March 2012. Research governance approval was obtained in June 2012 from our sponsor, the Royal Devon and Exeter NHS Trust (RD&amp;E) (study number 1304762). A Trial Steering Committee (TSC) was constituted and chaired by Professor Martin White, with five other independent members and the Research and Development Director for the Royal Devon and Exeter NHS Foundation Trust as the research sponsor </w:t>
      </w:r>
      <w:r w:rsidR="00F119E4" w:rsidRPr="00F119E4">
        <w:t>(</w:t>
      </w:r>
      <w:r w:rsidR="00FE6FD2">
        <w:t>see Appendix</w:t>
      </w:r>
      <w:r w:rsidR="00F119E4" w:rsidRPr="00F119E4">
        <w:t xml:space="preserve"> 1</w:t>
      </w:r>
      <w:r w:rsidRPr="00F119E4">
        <w:t>).</w:t>
      </w:r>
      <w:r w:rsidRPr="004E0D59">
        <w:t xml:space="preserve"> After discussion at the first TSC meeting (5/11/2012) it was agreed that a Data Monitoring Committee (DMC) was not necessary because the risk of harm was considered low and no interim analyses were planned</w:t>
      </w:r>
      <w:r w:rsidR="00D13219">
        <w:t>.</w:t>
      </w:r>
    </w:p>
    <w:p w14:paraId="52534556" w14:textId="2D3095C2" w:rsidR="004E0D59" w:rsidRPr="00221775" w:rsidRDefault="003A63D5" w:rsidP="004E0D59">
      <w:pPr>
        <w:keepNext/>
        <w:keepLines/>
        <w:spacing w:before="200" w:after="0" w:line="360" w:lineRule="auto"/>
        <w:outlineLvl w:val="2"/>
        <w:rPr>
          <w:rFonts w:eastAsiaTheme="majorEastAsia"/>
          <w:b/>
          <w:bCs/>
        </w:rPr>
      </w:pPr>
      <w:bookmarkStart w:id="313" w:name="_Toc466710052"/>
      <w:bookmarkStart w:id="314" w:name="_Toc466711400"/>
      <w:bookmarkStart w:id="315" w:name="_Toc466712059"/>
      <w:bookmarkStart w:id="316" w:name="_Toc475974341"/>
      <w:r w:rsidRPr="00221775">
        <w:rPr>
          <w:rFonts w:eastAsiaTheme="majorEastAsia" w:cs="Arial"/>
          <w:b/>
          <w:bCs/>
        </w:rPr>
        <w:t xml:space="preserve">2.1.2 </w:t>
      </w:r>
      <w:r w:rsidR="004E0D59" w:rsidRPr="00221775">
        <w:rPr>
          <w:rFonts w:eastAsiaTheme="majorEastAsia" w:cs="Arial"/>
          <w:b/>
          <w:bCs/>
        </w:rPr>
        <w:t>Stakeholder involvement</w:t>
      </w:r>
      <w:bookmarkEnd w:id="313"/>
      <w:bookmarkEnd w:id="314"/>
      <w:bookmarkEnd w:id="315"/>
      <w:bookmarkEnd w:id="316"/>
    </w:p>
    <w:p w14:paraId="5F97DCEA" w14:textId="7B561E44" w:rsidR="004E0D59" w:rsidRPr="004E0D59" w:rsidRDefault="004E0D59" w:rsidP="004C13F3">
      <w:pPr>
        <w:spacing w:after="0" w:line="360" w:lineRule="auto"/>
        <w:rPr>
          <w:rFonts w:eastAsiaTheme="majorEastAsia" w:cs="Times New Roman"/>
          <w:bCs/>
        </w:rPr>
      </w:pPr>
      <w:r w:rsidRPr="004E0D59">
        <w:rPr>
          <w:rFonts w:eastAsiaTheme="majorEastAsia" w:cs="Times New Roman"/>
          <w:bCs/>
        </w:rPr>
        <w:t xml:space="preserve">The development of HeLP and the conduct of the trial benefitted greatly from the extensive stakeholder involvement in both intervention and trial design. </w:t>
      </w:r>
      <w:r w:rsidRPr="004E0D59">
        <w:rPr>
          <w:rFonts w:eastAsiaTheme="majorEastAsia" w:cstheme="majorBidi"/>
          <w:bCs/>
        </w:rPr>
        <w:t xml:space="preserve">We worked with a group of teachers, head teachers, parents and children from the early piloting of HeLP </w:t>
      </w:r>
      <w:r w:rsidRPr="004E0D59">
        <w:rPr>
          <w:rFonts w:eastAsiaTheme="majorEastAsia" w:cstheme="majorBidi"/>
          <w:bCs/>
        </w:rPr>
        <w:fldChar w:fldCharType="begin"/>
      </w:r>
      <w:r w:rsidR="00951FF2">
        <w:rPr>
          <w:rFonts w:eastAsiaTheme="majorEastAsia" w:cstheme="majorBidi"/>
          <w:bCs/>
        </w:rPr>
        <w:instrText xml:space="preserve"> ADDIN EN.CITE &lt;EndNote&gt;&lt;Cite&gt;&lt;Author&gt;Wyatt&lt;/Author&gt;&lt;Year&gt;2011&lt;/Year&gt;&lt;RecNum&gt;3130&lt;/RecNum&gt;&lt;DisplayText&gt;&lt;style face="superscript"&gt;27&lt;/style&gt;&lt;/DisplayText&gt;&lt;record&gt;&lt;rec-number&gt;3130&lt;/rec-number&gt;&lt;foreign-keys&gt;&lt;key app="EN" db-id="2ewa9rrvjsdsawep2vpx5x97eedzzvxx5rta" timestamp="0"&gt;3130&lt;/key&gt;&lt;/foreign-keys&gt;&lt;ref-type name="Electronic Article"&gt;43&lt;/ref-type&gt;&lt;contributors&gt;&lt;authors&gt;&lt;author&gt;Wyatt, Katrina M&lt;/author&gt;&lt;author&gt;Lloyd, Jennifer J&lt;/author&gt;&lt;author&gt;Creanor, Siobhan&lt;/author&gt;&lt;author&gt;Logan, Stuart&lt;/author&gt;&lt;/authors&gt;&lt;/contributors&gt;&lt;titles&gt;&lt;title&gt;The development, feasibility and acceptability of a school-based obesity prevention programme: results from three phases of piloting&lt;/title&gt;&lt;secondary-title&gt;BMJ Open&lt;/secondary-title&gt;&lt;/titles&gt;&lt;pages&gt;e000026&lt;/pages&gt;&lt;volume&gt;1&lt;/volume&gt;&lt;number&gt;1&lt;/number&gt;&lt;dates&gt;&lt;year&gt;2011&lt;/year&gt;&lt;pub-dates&gt;&lt;date&gt;13 September 2011&lt;/date&gt;&lt;/pub-dates&gt;&lt;/dates&gt;&lt;urls&gt;&lt;related-urls&gt;&lt;url&gt;http://bmjopen.bmj.com/content/early/2011/05/23/bmjopen-2010-000026.abstract&lt;/url&gt;&lt;/related-urls&gt;&lt;/urls&gt;&lt;electronic-resource-num&gt;http://dx.doi.org/10.1136/bmjopen-2010-000026&lt;/electronic-resource-num&gt;&lt;/record&gt;&lt;/Cite&gt;&lt;/EndNote&gt;</w:instrText>
      </w:r>
      <w:r w:rsidRPr="004E0D59">
        <w:rPr>
          <w:rFonts w:eastAsiaTheme="majorEastAsia" w:cstheme="majorBidi"/>
          <w:bCs/>
        </w:rPr>
        <w:fldChar w:fldCharType="separate"/>
      </w:r>
      <w:r w:rsidR="006347BE" w:rsidRPr="006347BE">
        <w:rPr>
          <w:rFonts w:eastAsiaTheme="majorEastAsia" w:cstheme="majorBidi"/>
          <w:bCs/>
          <w:noProof/>
          <w:vertAlign w:val="superscript"/>
        </w:rPr>
        <w:t>27</w:t>
      </w:r>
      <w:r w:rsidRPr="004E0D59">
        <w:rPr>
          <w:rFonts w:eastAsiaTheme="majorEastAsia" w:cstheme="majorBidi"/>
          <w:bCs/>
        </w:rPr>
        <w:fldChar w:fldCharType="end"/>
      </w:r>
      <w:r w:rsidRPr="004E0D59">
        <w:rPr>
          <w:rFonts w:eastAsiaTheme="majorEastAsia" w:cstheme="majorBidi"/>
          <w:bCs/>
        </w:rPr>
        <w:t xml:space="preserve"> who became our Project Advisory Group (PAG). </w:t>
      </w:r>
      <w:r w:rsidRPr="004E0D59">
        <w:rPr>
          <w:rFonts w:eastAsiaTheme="majorEastAsia" w:cs="Times New Roman"/>
          <w:bCs/>
        </w:rPr>
        <w:t>We invited t</w:t>
      </w:r>
      <w:r w:rsidRPr="004E0D59">
        <w:rPr>
          <w:rFonts w:eastAsiaTheme="majorEastAsia" w:cstheme="majorBidi"/>
          <w:bCs/>
        </w:rPr>
        <w:t xml:space="preserve">eachers and parents from our PAG to be partners on our research bids for both the exploratory </w:t>
      </w:r>
      <w:r w:rsidRPr="004E0D59">
        <w:rPr>
          <w:rFonts w:eastAsiaTheme="majorEastAsia" w:cstheme="majorBidi"/>
          <w:bCs/>
        </w:rPr>
        <w:fldChar w:fldCharType="begin"/>
      </w:r>
      <w:r w:rsidR="00FF0067">
        <w:rPr>
          <w:rFonts w:eastAsiaTheme="majorEastAsia" w:cstheme="majorBidi"/>
          <w:bCs/>
        </w:rPr>
        <w:instrText xml:space="preserve"> ADDIN EN.CITE &lt;EndNote&gt;&lt;Cite&gt;&lt;Author&gt;Lloyd&lt;/Author&gt;&lt;Year&gt;2012&lt;/Year&gt;&lt;RecNum&gt;4625&lt;/RecNum&gt;&lt;DisplayText&gt;&lt;style face="superscript"&gt;28&lt;/style&gt;&lt;/DisplayText&gt;&lt;record&gt;&lt;rec-number&gt;4625&lt;/rec-number&gt;&lt;foreign-keys&gt;&lt;key app="EN" db-id="2ewa9rrvjsdsawep2vpx5x97eedzzvxx5rta" timestamp="0"&gt;4625&lt;/key&gt;&lt;/foreign-keys&gt;&lt;ref-type name="Journal Article"&gt;17&lt;/ref-type&gt;&lt;contributors&gt;&lt;authors&gt;&lt;author&gt;Lloyd, J. J.&lt;/author&gt;&lt;author&gt;Wyatt, K. M.&lt;/author&gt;&lt;author&gt;Creanor, S.&lt;/author&gt;&lt;/authors&gt;&lt;/contributors&gt;&lt;auth-address&gt;Institute for Health Service Research, Peninsula College of Medicine and Dentistry, University of Exeter, Exeter, UK.&lt;/auth-address&gt;&lt;titles&gt;&lt;title&gt;Behavioural and weight status outcomes from an exploratory trial of the Healthy Lifestyles Programme (HeLP): a novel school-based obesity prevention programme&lt;/title&gt;&lt;secondary-title&gt;BMJ Open&lt;/secondary-title&gt;&lt;/titles&gt;&lt;volume&gt;2&lt;/volume&gt;&lt;number&gt;3&lt;/number&gt;&lt;edition&gt;2012/05/16&lt;/edition&gt;&lt;dates&gt;&lt;year&gt;2012&lt;/year&gt;&lt;/dates&gt;&lt;isbn&gt;2044-6055 (Electronic)&lt;/isbn&gt;&lt;accession-num&gt;22586282&lt;/accession-num&gt;&lt;urls&gt;&lt;related-urls&gt;&lt;url&gt;http://www.ncbi.nlm.nih.gov/pubmed/22586282&lt;/url&gt;&lt;/related-urls&gt;&lt;/urls&gt;&lt;custom2&gt;3358612&lt;/custom2&gt;&lt;electronic-resource-num&gt;10.1136/bmjopen-2011-000390&lt;/electronic-resource-num&gt;&lt;language&gt;eng&lt;/language&gt;&lt;/record&gt;&lt;/Cite&gt;&lt;/EndNote&gt;</w:instrText>
      </w:r>
      <w:r w:rsidRPr="004E0D59">
        <w:rPr>
          <w:rFonts w:eastAsiaTheme="majorEastAsia" w:cstheme="majorBidi"/>
          <w:bCs/>
        </w:rPr>
        <w:fldChar w:fldCharType="separate"/>
      </w:r>
      <w:r w:rsidR="006347BE" w:rsidRPr="006347BE">
        <w:rPr>
          <w:rFonts w:eastAsiaTheme="majorEastAsia" w:cstheme="majorBidi"/>
          <w:bCs/>
          <w:noProof/>
          <w:vertAlign w:val="superscript"/>
        </w:rPr>
        <w:t>28</w:t>
      </w:r>
      <w:r w:rsidRPr="004E0D59">
        <w:rPr>
          <w:rFonts w:eastAsiaTheme="majorEastAsia" w:cstheme="majorBidi"/>
          <w:bCs/>
        </w:rPr>
        <w:fldChar w:fldCharType="end"/>
      </w:r>
      <w:r w:rsidRPr="004E0D59">
        <w:rPr>
          <w:rFonts w:eastAsiaTheme="majorEastAsia" w:cstheme="majorBidi"/>
          <w:bCs/>
        </w:rPr>
        <w:t xml:space="preserve"> and the definitive trial </w:t>
      </w:r>
      <w:r w:rsidRPr="004E0D59">
        <w:rPr>
          <w:rFonts w:eastAsiaTheme="majorEastAsia" w:cstheme="majorBidi"/>
          <w:bCs/>
        </w:rPr>
        <w:fldChar w:fldCharType="begin">
          <w:fldData xml:space="preserve">PEVuZE5vdGU+PENpdGU+PEF1dGhvcj5XeWF0dDwvQXV0aG9yPjxZZWFyPjIwMTM8L1llYXI+PFJl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</w:fldData>
        </w:fldChar>
      </w:r>
      <w:r w:rsidR="00951FF2">
        <w:rPr>
          <w:rFonts w:eastAsiaTheme="majorEastAsia" w:cstheme="majorBidi"/>
          <w:bCs/>
        </w:rPr>
        <w:instrText xml:space="preserve"> ADDIN EN.CITE </w:instrText>
      </w:r>
      <w:r w:rsidR="00951FF2">
        <w:rPr>
          <w:rFonts w:eastAsiaTheme="majorEastAsia" w:cstheme="majorBidi"/>
          <w:bCs/>
        </w:rPr>
        <w:fldChar w:fldCharType="begin">
          <w:fldData xml:space="preserve">PEVuZE5vdGU+PENpdGU+PEF1dGhvcj5XeWF0dDwvQXV0aG9yPjxZZWFyPjIwMTM8L1llYXI+PFJl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</w:fldData>
        </w:fldChar>
      </w:r>
      <w:r w:rsidR="00951FF2">
        <w:rPr>
          <w:rFonts w:eastAsiaTheme="majorEastAsia" w:cstheme="majorBidi"/>
          <w:bCs/>
        </w:rPr>
        <w:instrText xml:space="preserve"> ADDIN EN.CITE.DATA </w:instrText>
      </w:r>
      <w:r w:rsidR="00951FF2">
        <w:rPr>
          <w:rFonts w:eastAsiaTheme="majorEastAsia" w:cstheme="majorBidi"/>
          <w:bCs/>
        </w:rPr>
      </w:r>
      <w:r w:rsidR="00951FF2">
        <w:rPr>
          <w:rFonts w:eastAsiaTheme="majorEastAsia" w:cstheme="majorBidi"/>
          <w:bCs/>
        </w:rPr>
        <w:fldChar w:fldCharType="end"/>
      </w:r>
      <w:r w:rsidRPr="004E0D59">
        <w:rPr>
          <w:rFonts w:eastAsiaTheme="majorEastAsia" w:cstheme="majorBidi"/>
          <w:bCs/>
        </w:rPr>
      </w:r>
      <w:r w:rsidRPr="004E0D59">
        <w:rPr>
          <w:rFonts w:eastAsiaTheme="majorEastAsia" w:cstheme="majorBidi"/>
          <w:bCs/>
        </w:rPr>
        <w:fldChar w:fldCharType="separate"/>
      </w:r>
      <w:r w:rsidR="006347BE" w:rsidRPr="006347BE">
        <w:rPr>
          <w:rFonts w:eastAsiaTheme="majorEastAsia" w:cstheme="majorBidi"/>
          <w:bCs/>
          <w:noProof/>
          <w:vertAlign w:val="superscript"/>
        </w:rPr>
        <w:t>31</w:t>
      </w:r>
      <w:r w:rsidRPr="004E0D59">
        <w:rPr>
          <w:rFonts w:eastAsiaTheme="majorEastAsia" w:cstheme="majorBidi"/>
          <w:bCs/>
        </w:rPr>
        <w:fldChar w:fldCharType="end"/>
      </w:r>
      <w:r w:rsidRPr="004E0D59">
        <w:rPr>
          <w:rFonts w:eastAsiaTheme="majorEastAsia" w:cstheme="majorBidi"/>
          <w:bCs/>
        </w:rPr>
        <w:t xml:space="preserve">. </w:t>
      </w:r>
    </w:p>
    <w:p w14:paraId="6002F3B1" w14:textId="1790F4A7" w:rsidR="004E0D59" w:rsidRPr="004E0D59" w:rsidRDefault="004E0D59" w:rsidP="004C13F3">
      <w:pPr>
        <w:spacing w:after="0" w:line="360" w:lineRule="auto"/>
        <w:rPr>
          <w:rFonts w:eastAsiaTheme="majorEastAsia" w:cs="Times New Roman"/>
          <w:bCs/>
        </w:rPr>
      </w:pPr>
      <w:r w:rsidRPr="004E0D59">
        <w:rPr>
          <w:rFonts w:eastAsiaTheme="majorEastAsia" w:cstheme="majorBidi"/>
          <w:bCs/>
        </w:rPr>
        <w:t xml:space="preserve">Membership of the PAG increased as we progressed though the piloting phases. Meetings were held when required and at times which were convenient to the group (usually 4-6pm) and all expenses were paid, including cover for teaching staff where necessary. Our PAG members advised us on: </w:t>
      </w:r>
      <w:r w:rsidRPr="004E0D59">
        <w:rPr>
          <w:rFonts w:eastAsiaTheme="majorEastAsia" w:cstheme="majorBidi"/>
          <w:bCs/>
        </w:rPr>
        <w:lastRenderedPageBreak/>
        <w:t xml:space="preserve">what was feasible and acceptable when taking behavioural and anthropometric measures from 9-10 year old children; how to communicate with parents about the research process so that they a) would receive the information, b) understand it and c) feel they were able to engage with the researchers if they had any concerns or queries. In addition, it was important for us to understand how best to recruit schools and engage teachers with both </w:t>
      </w:r>
      <w:r w:rsidR="00FE6FD2">
        <w:rPr>
          <w:rFonts w:eastAsiaTheme="majorEastAsia" w:cstheme="majorBidi"/>
          <w:bCs/>
        </w:rPr>
        <w:t xml:space="preserve">the </w:t>
      </w:r>
      <w:r w:rsidR="00AA7A6D">
        <w:rPr>
          <w:rFonts w:eastAsiaTheme="majorEastAsia" w:cstheme="majorBidi"/>
          <w:bCs/>
        </w:rPr>
        <w:t>p</w:t>
      </w:r>
      <w:r w:rsidR="00FE6FD2">
        <w:rPr>
          <w:rFonts w:eastAsiaTheme="majorEastAsia" w:cstheme="majorBidi"/>
          <w:bCs/>
        </w:rPr>
        <w:t>rogramme</w:t>
      </w:r>
      <w:r w:rsidRPr="004E0D59">
        <w:rPr>
          <w:rFonts w:eastAsiaTheme="majorEastAsia" w:cstheme="majorBidi"/>
          <w:bCs/>
        </w:rPr>
        <w:t xml:space="preserve"> and the trial. The head teacher in our PAG suggested we recruit schools via a regional network of primary school heads (the De</w:t>
      </w:r>
      <w:r w:rsidR="007E5CBE">
        <w:rPr>
          <w:rFonts w:eastAsiaTheme="majorEastAsia" w:cstheme="majorBidi"/>
          <w:bCs/>
        </w:rPr>
        <w:t>von Association of Primary Headteachers</w:t>
      </w:r>
      <w:r w:rsidRPr="004E0D59">
        <w:rPr>
          <w:rFonts w:eastAsiaTheme="majorEastAsia" w:cstheme="majorBidi"/>
          <w:bCs/>
        </w:rPr>
        <w:t xml:space="preserve">, DAPH) during one of their quarterly briefing sessions and a teacher involved in the exploratory trial </w:t>
      </w:r>
      <w:r w:rsidRPr="004E0D59">
        <w:rPr>
          <w:rFonts w:eastAsiaTheme="majorEastAsia" w:cstheme="majorBidi"/>
          <w:bCs/>
        </w:rPr>
        <w:fldChar w:fldCharType="begin"/>
      </w:r>
      <w:r w:rsidR="00FF0067">
        <w:rPr>
          <w:rFonts w:eastAsiaTheme="majorEastAsia" w:cstheme="majorBidi"/>
          <w:bCs/>
        </w:rPr>
        <w:instrText xml:space="preserve"> ADDIN EN.CITE &lt;EndNote&gt;&lt;Cite&gt;&lt;Author&gt;Lloyd&lt;/Author&gt;&lt;Year&gt;2012&lt;/Year&gt;&lt;RecNum&gt;4625&lt;/RecNum&gt;&lt;DisplayText&gt;&lt;style face="superscript"&gt;28&lt;/style&gt;&lt;/DisplayText&gt;&lt;record&gt;&lt;rec-number&gt;4625&lt;/rec-number&gt;&lt;foreign-keys&gt;&lt;key app="EN" db-id="2ewa9rrvjsdsawep2vpx5x97eedzzvxx5rta" timestamp="0"&gt;4625&lt;/key&gt;&lt;/foreign-keys&gt;&lt;ref-type name="Journal Article"&gt;17&lt;/ref-type&gt;&lt;contributors&gt;&lt;authors&gt;&lt;author&gt;Lloyd, J. J.&lt;/author&gt;&lt;author&gt;Wyatt, K. M.&lt;/author&gt;&lt;author&gt;Creanor, S.&lt;/author&gt;&lt;/authors&gt;&lt;/contributors&gt;&lt;auth-address&gt;Institute for Health Service Research, Peninsula College of Medicine and Dentistry, University of Exeter, Exeter, UK.&lt;/auth-address&gt;&lt;titles&gt;&lt;title&gt;Behavioural and weight status outcomes from an exploratory trial of the Healthy Lifestyles Programme (HeLP): a novel school-based obesity prevention programme&lt;/title&gt;&lt;secondary-title&gt;BMJ Open&lt;/secondary-title&gt;&lt;/titles&gt;&lt;volume&gt;2&lt;/volume&gt;&lt;number&gt;3&lt;/number&gt;&lt;edition&gt;2012/05/16&lt;/edition&gt;&lt;dates&gt;&lt;year&gt;2012&lt;/year&gt;&lt;/dates&gt;&lt;isbn&gt;2044-6055 (Electronic)&lt;/isbn&gt;&lt;accession-num&gt;22586282&lt;/accession-num&gt;&lt;urls&gt;&lt;related-urls&gt;&lt;url&gt;http://www.ncbi.nlm.nih.gov/pubmed/22586282&lt;/url&gt;&lt;/related-urls&gt;&lt;/urls&gt;&lt;custom2&gt;3358612&lt;/custom2&gt;&lt;electronic-resource-num&gt;10.1136/bmjopen-2011-000390&lt;/electronic-resource-num&gt;&lt;language&gt;eng&lt;/language&gt;&lt;/record&gt;&lt;/Cite&gt;&lt;/EndNote&gt;</w:instrText>
      </w:r>
      <w:r w:rsidRPr="004E0D59">
        <w:rPr>
          <w:rFonts w:eastAsiaTheme="majorEastAsia" w:cstheme="majorBidi"/>
          <w:bCs/>
        </w:rPr>
        <w:fldChar w:fldCharType="separate"/>
      </w:r>
      <w:r w:rsidR="006347BE" w:rsidRPr="006347BE">
        <w:rPr>
          <w:rFonts w:eastAsiaTheme="majorEastAsia" w:cstheme="majorBidi"/>
          <w:bCs/>
          <w:noProof/>
          <w:vertAlign w:val="superscript"/>
        </w:rPr>
        <w:t>28</w:t>
      </w:r>
      <w:r w:rsidRPr="004E0D59">
        <w:rPr>
          <w:rFonts w:eastAsiaTheme="majorEastAsia" w:cstheme="majorBidi"/>
          <w:bCs/>
        </w:rPr>
        <w:fldChar w:fldCharType="end"/>
      </w:r>
      <w:r w:rsidRPr="004E0D59">
        <w:rPr>
          <w:rFonts w:eastAsiaTheme="majorEastAsia" w:cstheme="majorBidi"/>
          <w:bCs/>
        </w:rPr>
        <w:t xml:space="preserve"> offered to talk to heads about her experiences of being involved in </w:t>
      </w:r>
      <w:r w:rsidR="00FE6FD2">
        <w:rPr>
          <w:rFonts w:eastAsiaTheme="majorEastAsia" w:cstheme="majorBidi"/>
          <w:bCs/>
        </w:rPr>
        <w:t xml:space="preserve">the </w:t>
      </w:r>
      <w:r w:rsidR="00AA7A6D">
        <w:rPr>
          <w:rFonts w:eastAsiaTheme="majorEastAsia" w:cstheme="majorBidi"/>
          <w:bCs/>
        </w:rPr>
        <w:t>p</w:t>
      </w:r>
      <w:r w:rsidR="00FE6FD2">
        <w:rPr>
          <w:rFonts w:eastAsiaTheme="majorEastAsia" w:cstheme="majorBidi"/>
          <w:bCs/>
        </w:rPr>
        <w:t>rogramme</w:t>
      </w:r>
      <w:r w:rsidRPr="004E0D59">
        <w:rPr>
          <w:rFonts w:eastAsiaTheme="majorEastAsia" w:cstheme="majorBidi"/>
          <w:bCs/>
        </w:rPr>
        <w:t xml:space="preserve"> during the session. </w:t>
      </w:r>
    </w:p>
    <w:p w14:paraId="73563B10" w14:textId="77777777" w:rsidR="007E5CBE" w:rsidRDefault="007E5CBE" w:rsidP="004E0D59">
      <w:pPr>
        <w:spacing w:line="360" w:lineRule="auto"/>
      </w:pPr>
    </w:p>
    <w:p w14:paraId="3179B229" w14:textId="77777777" w:rsidR="004E0D59" w:rsidRPr="004E0D59" w:rsidRDefault="004E0D59" w:rsidP="004E0D59">
      <w:pPr>
        <w:spacing w:line="360" w:lineRule="auto"/>
      </w:pPr>
      <w:r w:rsidRPr="004E0D59">
        <w:t xml:space="preserve">Our PAG also supported the intervention development and delivery, providing invaluable feedback on possible intervention activities and delivery methods ensuring they were acceptable and feasible for schools, children and their families. It was important that any intervention we developed did not widen existing health inequalities and had the potential to engage children and their families from across the socioeconomic spectrum. Our PAG highlighted the importance of quality delivery by personnel who were able to engage school staff, children and their families and two parent members helped us recruit the HeLP Coordinators for the definitive trial, in addition to providing critical feedback during practise delivery of the parent engagement events. </w:t>
      </w:r>
    </w:p>
    <w:p w14:paraId="24B4940E" w14:textId="361A32C1" w:rsidR="004E0D59" w:rsidRPr="00221775" w:rsidRDefault="003A63D5" w:rsidP="004E0D59">
      <w:pPr>
        <w:keepNext/>
        <w:keepLines/>
        <w:spacing w:before="200" w:after="0" w:line="360" w:lineRule="auto"/>
        <w:outlineLvl w:val="2"/>
        <w:rPr>
          <w:rFonts w:eastAsiaTheme="majorEastAsia" w:cs="Times New Roman"/>
          <w:b/>
          <w:bCs/>
        </w:rPr>
      </w:pPr>
      <w:bookmarkStart w:id="317" w:name="_Toc466710053"/>
      <w:bookmarkStart w:id="318" w:name="_Toc466711401"/>
      <w:bookmarkStart w:id="319" w:name="_Toc466712060"/>
      <w:bookmarkStart w:id="320" w:name="_Toc475974342"/>
      <w:r w:rsidRPr="00221775">
        <w:rPr>
          <w:rFonts w:eastAsiaTheme="majorEastAsia" w:cs="Times New Roman"/>
          <w:b/>
          <w:bCs/>
        </w:rPr>
        <w:t xml:space="preserve">2.1.3 </w:t>
      </w:r>
      <w:r w:rsidR="004E0D59" w:rsidRPr="00221775">
        <w:rPr>
          <w:rFonts w:eastAsiaTheme="majorEastAsia" w:cs="Times New Roman"/>
          <w:b/>
          <w:bCs/>
        </w:rPr>
        <w:t>Eligibility and recruitment of schools and children</w:t>
      </w:r>
      <w:bookmarkEnd w:id="317"/>
      <w:bookmarkEnd w:id="318"/>
      <w:bookmarkEnd w:id="319"/>
      <w:bookmarkEnd w:id="320"/>
    </w:p>
    <w:p w14:paraId="3EA0A9AA" w14:textId="77777777" w:rsidR="004E0D59" w:rsidRPr="004E0D59" w:rsidRDefault="004E0D59" w:rsidP="004E0D59">
      <w:pPr>
        <w:spacing w:after="0" w:line="360" w:lineRule="auto"/>
        <w:rPr>
          <w:rFonts w:cs="Times New Roman"/>
        </w:rPr>
      </w:pPr>
      <w:r w:rsidRPr="004E0D59">
        <w:rPr>
          <w:rFonts w:cs="Times New Roman"/>
        </w:rPr>
        <w:t>Schools from across Devon were eligible for inclusion and were recruited via the Devon Association of Primary School Heads (DAPH) and local primary school learning community meetings between March and July 2012. The inclusion criteria were state primary and junior schools with children in a</w:t>
      </w:r>
      <w:r w:rsidR="00652AC6">
        <w:rPr>
          <w:rFonts w:cs="Times New Roman"/>
        </w:rPr>
        <w:t>t least one single Year 5 group</w:t>
      </w:r>
      <w:r w:rsidRPr="004E0D59">
        <w:rPr>
          <w:rFonts w:cs="Times New Roman"/>
        </w:rPr>
        <w:t xml:space="preserve"> of 20 or more children</w:t>
      </w:r>
      <w:r w:rsidR="00652AC6">
        <w:rPr>
          <w:rFonts w:cs="Times New Roman"/>
        </w:rPr>
        <w:t>. A</w:t>
      </w:r>
      <w:r w:rsidRPr="004E0D59">
        <w:rPr>
          <w:rFonts w:cs="Times New Roman"/>
        </w:rPr>
        <w:t xml:space="preserve">t the start of the trial we estimated that approximately 125 schools were eligible. All children in all Year 5 classes within the school were invited to participate. We aimed to have half of the schools in the trial with at least the national average percentage of pupils eligible for free schools meals (19% at the time of recruitment of schools). Special schools (for children whose additional needs cannot be met in a mainstream setting) were excluded because they were unlikely to be teaching the standard National Curriculum around which the intervention had been designed. </w:t>
      </w:r>
    </w:p>
    <w:p w14:paraId="3499AAA9" w14:textId="77777777" w:rsidR="004E0D59" w:rsidRPr="004E0D59" w:rsidRDefault="004E0D59" w:rsidP="004E0D59">
      <w:pPr>
        <w:spacing w:after="0" w:line="360" w:lineRule="auto"/>
        <w:rPr>
          <w:rFonts w:cs="Times New Roman"/>
        </w:rPr>
      </w:pPr>
    </w:p>
    <w:p w14:paraId="0634EF50" w14:textId="112BA9E9" w:rsidR="004E0D59" w:rsidRPr="004E0D59" w:rsidRDefault="004E0D59" w:rsidP="004E0D59">
      <w:pPr>
        <w:spacing w:after="0" w:line="360" w:lineRule="auto"/>
        <w:rPr>
          <w:rFonts w:cs="Times New Roman"/>
        </w:rPr>
      </w:pPr>
      <w:r w:rsidRPr="004E0D59">
        <w:rPr>
          <w:rFonts w:cs="Times New Roman"/>
        </w:rPr>
        <w:t xml:space="preserve">Schools willing to participate and fulfilling all the inclusion criteria were then purposely sampled to represent a range of number of Year 5 classes (1-3 Year 5 classes), locations (urban and rural) and deprivation (&lt;19% and ≥19% of children eligible for free school meals). Schools </w:t>
      </w:r>
      <w:r w:rsidR="00B67B46">
        <w:rPr>
          <w:rFonts w:cs="Times New Roman"/>
        </w:rPr>
        <w:t xml:space="preserve">that </w:t>
      </w:r>
      <w:r w:rsidRPr="004E0D59">
        <w:rPr>
          <w:rFonts w:cs="Times New Roman"/>
        </w:rPr>
        <w:t xml:space="preserve">were eligible but </w:t>
      </w:r>
      <w:r w:rsidRPr="004E0D59">
        <w:rPr>
          <w:rFonts w:cs="Times New Roman"/>
        </w:rPr>
        <w:lastRenderedPageBreak/>
        <w:t xml:space="preserve">not sampled for the study were asked if they were prepared to go on a ‘waiting list’ in case any of the schools allocated to participate in Cohort 2 dropped out during the interim one year period before commencing participation in the trial. </w:t>
      </w:r>
    </w:p>
    <w:p w14:paraId="37CD8257" w14:textId="6069E08F" w:rsidR="004E0D59" w:rsidRPr="004C65C5" w:rsidRDefault="004E0D59" w:rsidP="004E0D59">
      <w:pPr>
        <w:keepNext/>
        <w:keepLines/>
        <w:spacing w:before="200" w:after="0" w:line="360" w:lineRule="auto"/>
        <w:rPr>
          <w:rFonts w:eastAsiaTheme="majorEastAsia" w:cs="Times New Roman"/>
          <w:bCs/>
          <w:iCs/>
        </w:rPr>
      </w:pPr>
      <w:r w:rsidRPr="004E0D59">
        <w:rPr>
          <w:rFonts w:eastAsiaTheme="majorEastAsia" w:cs="Times New Roman"/>
          <w:bCs/>
          <w:iCs/>
        </w:rPr>
        <w:t>Children were recruited using an ‘opt out’ system, in which detailed written information about the trial was sent directly home to parents/carers via the school, with parents returning an ‘opt out’ form if they did not wish their child to participate either in the measures only or both the intervention and the measures. Parents were given three weeks in which to return the opt</w:t>
      </w:r>
      <w:r w:rsidR="004C65C5">
        <w:rPr>
          <w:rFonts w:eastAsiaTheme="majorEastAsia" w:cs="Times New Roman"/>
          <w:bCs/>
          <w:iCs/>
        </w:rPr>
        <w:t>-</w:t>
      </w:r>
      <w:r w:rsidRPr="004E0D59">
        <w:rPr>
          <w:rFonts w:eastAsiaTheme="majorEastAsia" w:cs="Times New Roman"/>
          <w:bCs/>
          <w:iCs/>
        </w:rPr>
        <w:t>out form and class teachers made regular reminders to the children during this period to encourage their parent(s) to read the pack. Parents were able to speak to the class teacher or the school’s allocated HeLP Coordinator at any time if they required further information, which was also made clear in the written information provided</w:t>
      </w:r>
      <w:r w:rsidRPr="004E0D59">
        <w:rPr>
          <w:rFonts w:eastAsiaTheme="majorEastAsia" w:cs="Times New Roman"/>
          <w:b/>
          <w:bCs/>
          <w:i/>
          <w:iCs/>
        </w:rPr>
        <w:t>.</w:t>
      </w:r>
    </w:p>
    <w:p w14:paraId="620E18DF" w14:textId="77777777" w:rsidR="004E0D59" w:rsidRPr="004E0D59" w:rsidRDefault="004E0D59" w:rsidP="004E0D59">
      <w:pPr>
        <w:spacing w:after="0" w:line="360" w:lineRule="auto"/>
      </w:pPr>
    </w:p>
    <w:p w14:paraId="51DD17F9" w14:textId="349BDAEB" w:rsidR="004E0D59" w:rsidRPr="004E0D59" w:rsidRDefault="004E0D59" w:rsidP="004E0D59">
      <w:pPr>
        <w:spacing w:after="0" w:line="360" w:lineRule="auto"/>
      </w:pPr>
      <w:r w:rsidRPr="004E0D59">
        <w:t>All children who were on the registration list at one of the recruit</w:t>
      </w:r>
      <w:r w:rsidR="00F8172F">
        <w:t>ed schools at the start of the A</w:t>
      </w:r>
      <w:r w:rsidRPr="004E0D59">
        <w:t xml:space="preserve">utumn term 2012/13 and whose parent/carer did not complete an opt-out form, were classed as participants. </w:t>
      </w:r>
    </w:p>
    <w:p w14:paraId="29ED9A0E" w14:textId="2619EA69" w:rsidR="004E0D59" w:rsidRPr="00221775" w:rsidRDefault="003A63D5" w:rsidP="004E0D59">
      <w:pPr>
        <w:keepNext/>
        <w:keepLines/>
        <w:spacing w:before="200" w:after="0" w:line="360" w:lineRule="auto"/>
        <w:outlineLvl w:val="2"/>
        <w:rPr>
          <w:rFonts w:eastAsiaTheme="majorEastAsia" w:cs="Times New Roman"/>
          <w:b/>
          <w:bCs/>
        </w:rPr>
      </w:pPr>
      <w:bookmarkStart w:id="321" w:name="_Toc466710054"/>
      <w:bookmarkStart w:id="322" w:name="_Toc466711402"/>
      <w:bookmarkStart w:id="323" w:name="_Toc466712061"/>
      <w:bookmarkStart w:id="324" w:name="_Toc475974343"/>
      <w:r w:rsidRPr="00221775">
        <w:rPr>
          <w:rFonts w:eastAsiaTheme="majorEastAsia" w:cs="Times New Roman"/>
          <w:b/>
          <w:bCs/>
        </w:rPr>
        <w:t xml:space="preserve">2.1.4 </w:t>
      </w:r>
      <w:r w:rsidR="004E0D59" w:rsidRPr="00221775">
        <w:rPr>
          <w:rFonts w:eastAsiaTheme="majorEastAsia" w:cs="Times New Roman"/>
          <w:b/>
          <w:bCs/>
        </w:rPr>
        <w:t>Randomisation, allocation concealment and blinding</w:t>
      </w:r>
      <w:bookmarkEnd w:id="321"/>
      <w:bookmarkEnd w:id="322"/>
      <w:bookmarkEnd w:id="323"/>
      <w:bookmarkEnd w:id="324"/>
    </w:p>
    <w:p w14:paraId="1531C052" w14:textId="79AA2AD8" w:rsidR="00D77B44" w:rsidRPr="004E0D59" w:rsidRDefault="004E0D59" w:rsidP="004E0D59">
      <w:pPr>
        <w:spacing w:after="0" w:line="360" w:lineRule="auto"/>
        <w:rPr>
          <w:rFonts w:cs="Times New Roman"/>
        </w:rPr>
      </w:pPr>
      <w:r w:rsidRPr="004E0D59">
        <w:rPr>
          <w:rFonts w:cs="Times New Roman"/>
        </w:rPr>
        <w:t xml:space="preserve">Randomisation was by school. All schools were initially randomly allocated to intervention or control by a computer-generated sequence which was stratified by (i) the proportion of children eligible for free school meals (&lt;19%, ≥19%) and (ii) school size (one Year 5 class, &gt;1 Year 5 class). For practical reasons, half the schools commenced the study in 2012 (Cohort 1) and the other half in 2013 (Cohort 2). Randomisation was performed by a statistician in the UKCRC-registered Peninsula Clinical Trials Unit (PenCTU) immediately after all schools had been recruited (i.e. in 2012) but each school’s allocated group (intervention or control) was not communicated to the schools, parents or researchers until </w:t>
      </w:r>
      <w:r w:rsidRPr="004E0D59">
        <w:rPr>
          <w:rFonts w:cs="Times New Roman"/>
          <w:b/>
          <w:i/>
        </w:rPr>
        <w:t>after</w:t>
      </w:r>
      <w:r w:rsidRPr="004E0D59">
        <w:rPr>
          <w:rFonts w:cs="Times New Roman"/>
        </w:rPr>
        <w:t xml:space="preserve"> baseline measures had been taken in each</w:t>
      </w:r>
      <w:r w:rsidR="00B67B46">
        <w:rPr>
          <w:rFonts w:cs="Times New Roman"/>
        </w:rPr>
        <w:t xml:space="preserve"> C</w:t>
      </w:r>
      <w:r w:rsidRPr="004E0D59">
        <w:rPr>
          <w:rFonts w:cs="Times New Roman"/>
        </w:rPr>
        <w:t xml:space="preserve">ohort (2012 for Cohort 1 and 2013 for Cohort 2). The PenCTU ensured that there were equal numbers of control and intervention schools in both cohorts, to facilitate trial delivery. </w:t>
      </w:r>
    </w:p>
    <w:p w14:paraId="5E9FE542" w14:textId="48D7C4A1" w:rsidR="00D77B44" w:rsidRDefault="004E0D59" w:rsidP="004E0D59">
      <w:pPr>
        <w:spacing w:after="0" w:line="360" w:lineRule="auto"/>
        <w:rPr>
          <w:lang w:val="en-US"/>
        </w:rPr>
      </w:pPr>
      <w:r w:rsidRPr="004E0D59">
        <w:rPr>
          <w:lang w:val="en-US"/>
        </w:rPr>
        <w:t xml:space="preserve">Figure </w:t>
      </w:r>
      <w:r w:rsidR="00524530">
        <w:rPr>
          <w:lang w:val="en-US"/>
        </w:rPr>
        <w:t>1</w:t>
      </w:r>
      <w:r w:rsidRPr="004E0D59">
        <w:rPr>
          <w:lang w:val="en-US"/>
        </w:rPr>
        <w:t xml:space="preserve"> shows the timeline cluster</w:t>
      </w:r>
      <w:r w:rsidR="00C90C41" w:rsidRPr="00C90C41">
        <w:t xml:space="preserve"> </w:t>
      </w:r>
      <w:r w:rsidR="00ED1F9E">
        <w:rPr>
          <w:lang w:val="en-US"/>
        </w:rPr>
        <w:fldChar w:fldCharType="begin"/>
      </w:r>
      <w:r w:rsidR="00FF0067">
        <w:rPr>
          <w:lang w:val="en-US"/>
        </w:rPr>
        <w:instrText xml:space="preserve"> ADDIN EN.CITE &lt;EndNote&gt;&lt;Cite&gt;&lt;Author&gt;Caille&lt;/Author&gt;&lt;Year&gt;2016&lt;/Year&gt;&lt;RecNum&gt;5720&lt;/RecNum&gt;&lt;DisplayText&gt;&lt;style face="superscript"&gt;32&lt;/style&gt;&lt;/DisplayText&gt;&lt;record&gt;&lt;rec-number&gt;5720&lt;/rec-number&gt;&lt;foreign-keys&gt;&lt;key app="EN" db-id="2ewa9rrvjsdsawep2vpx5x97eedzzvxx5rta" timestamp="1478614532"&gt;5720&lt;/key&gt;&lt;/foreign-keys&gt;&lt;ref-type name="Journal Article"&gt;17&lt;/ref-type&gt;&lt;contributors&gt;&lt;authors&gt;&lt;author&gt;Caille, A.&lt;/author&gt;&lt;author&gt;Kerry, S.&lt;/author&gt;&lt;author&gt;Tavernier, E.&lt;/author&gt;&lt;author&gt;Leyrat, C.&lt;/author&gt;&lt;author&gt;Eldridge, S.&lt;/author&gt;&lt;author&gt;Giraudeau, B.&lt;/author&gt;&lt;/authors&gt;&lt;/contributors&gt;&lt;auth-address&gt;Universite Francois-Rabelais, Tours, France CHRU de Tours, INSERM CIC1415, Tours, France Centre de recherche Epidemiologie et Biostatistique, INSERM U1153, Paris, France agnes.caille@med.univ-tours.fr.&amp;#xD;Centre for Primary Care and Public Health, Queen Mary University of London, London, UK.&amp;#xD;CHRU de Tours, INSERM CIC1415, Tours, France Centre de recherche Epidemiologie et Biostatistique, INSERM U1153, Paris, France.&amp;#xD;Department of Medical Statistics, London School of Hygiene and Tropical Medicine, London, UK.&amp;#xD;Universite Francois-Rabelais, Tours, France CHRU de Tours, INSERM CIC1415, Tours, France Centre de recherche Epidemiologie et Biostatistique, INSERM U1153, Paris, France.&lt;/auth-address&gt;&lt;titles&gt;&lt;title&gt;Timeline cluster: a graphical tool to identify risk of bias in cluster randomised trials&lt;/title&gt;&lt;secondary-title&gt;BMJ&lt;/secondary-title&gt;&lt;/titles&gt;&lt;periodical&gt;&lt;full-title&gt;BMJ&lt;/full-title&gt;&lt;abbr-1&gt;BMJ&lt;/abbr-1&gt;&lt;abbr-2&gt;BMJ&lt;/abbr-2&gt;&lt;/periodical&gt;&lt;pages&gt;i4291&lt;/pages&gt;&lt;volume&gt;354&lt;/volume&gt;&lt;dates&gt;&lt;year&gt;2016&lt;/year&gt;&lt;pub-dates&gt;&lt;date&gt;Aug 16&lt;/date&gt;&lt;/pub-dates&gt;&lt;/dates&gt;&lt;isbn&gt;1756-1833 (Electronic)&amp;#xD;0959-535X (Linking)&lt;/isbn&gt;&lt;accession-num&gt;27530617&lt;/accession-num&gt;&lt;urls&gt;&lt;related-urls&gt;&lt;url&gt;http://www.ncbi.nlm.nih.gov/pubmed/27530617&lt;/url&gt;&lt;/related-urls&gt;&lt;/urls&gt;&lt;electronic-resource-num&gt;10.1136/bmj.i4291&lt;/electronic-resource-num&gt;&lt;/record&gt;&lt;/Cite&gt;&lt;/EndNote&gt;</w:instrText>
      </w:r>
      <w:r w:rsidR="00ED1F9E">
        <w:rPr>
          <w:lang w:val="en-US"/>
        </w:rPr>
        <w:fldChar w:fldCharType="separate"/>
      </w:r>
      <w:r w:rsidR="006347BE" w:rsidRPr="006347BE">
        <w:rPr>
          <w:noProof/>
          <w:vertAlign w:val="superscript"/>
          <w:lang w:val="en-US"/>
        </w:rPr>
        <w:t>32</w:t>
      </w:r>
      <w:r w:rsidR="00ED1F9E">
        <w:rPr>
          <w:lang w:val="en-US"/>
        </w:rPr>
        <w:fldChar w:fldCharType="end"/>
      </w:r>
      <w:r w:rsidRPr="004E0D59">
        <w:rPr>
          <w:lang w:val="en-US"/>
        </w:rPr>
        <w:t xml:space="preserve"> for the </w:t>
      </w:r>
      <w:r w:rsidR="009D1C7F">
        <w:rPr>
          <w:lang w:val="en-US"/>
        </w:rPr>
        <w:t>HeLP study</w:t>
      </w:r>
      <w:r w:rsidRPr="004E0D59">
        <w:rPr>
          <w:lang w:val="en-US"/>
        </w:rPr>
        <w:t>.</w:t>
      </w:r>
    </w:p>
    <w:p w14:paraId="406C4779" w14:textId="77777777" w:rsidR="00D77B44" w:rsidRDefault="00D77B44">
      <w:pPr>
        <w:rPr>
          <w:lang w:val="en-US"/>
        </w:rPr>
      </w:pPr>
      <w:r>
        <w:rPr>
          <w:lang w:val="en-US"/>
        </w:rPr>
        <w:br w:type="page"/>
      </w:r>
    </w:p>
    <w:p w14:paraId="58729172" w14:textId="62882186" w:rsidR="009E757D" w:rsidRDefault="00BB6E60" w:rsidP="004E0D59">
      <w:pPr>
        <w:spacing w:line="240" w:lineRule="auto"/>
        <w:rPr>
          <w:noProof/>
        </w:rPr>
      </w:pPr>
      <w:r w:rsidRPr="00CB260F">
        <w:rPr>
          <w:noProof/>
          <w:lang w:eastAsia="zh-CN"/>
        </w:rPr>
        <w:lastRenderedPageBreak/>
        <mc:AlternateContent>
          <mc:Choice Requires="wps">
            <w:drawing>
              <wp:anchor distT="45720" distB="45720" distL="114300" distR="114300" simplePos="0" relativeHeight="251646976" behindDoc="0" locked="0" layoutInCell="1" allowOverlap="1" wp14:anchorId="2ECC195C" wp14:editId="57CD08E5">
                <wp:simplePos x="0" y="0"/>
                <wp:positionH relativeFrom="margin">
                  <wp:align>left</wp:align>
                </wp:positionH>
                <wp:positionV relativeFrom="paragraph">
                  <wp:posOffset>0</wp:posOffset>
                </wp:positionV>
                <wp:extent cx="3783965" cy="285750"/>
                <wp:effectExtent l="0" t="0" r="698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3965" cy="285750"/>
                        </a:xfrm>
                        <a:prstGeom prst="rect">
                          <a:avLst/>
                        </a:prstGeom>
                        <a:solidFill>
                          <a:srgbClr val="FFFFFF"/>
                        </a:solidFill>
                        <a:ln w="9525">
                          <a:noFill/>
                          <a:miter lim="800000"/>
                          <a:headEnd/>
                          <a:tailEnd/>
                        </a:ln>
                      </wps:spPr>
                      <wps:txbx>
                        <w:txbxContent>
                          <w:p w14:paraId="0FE05C71" w14:textId="5114146E" w:rsidR="00DE3537" w:rsidRPr="004621E9" w:rsidRDefault="00DE3537" w:rsidP="00CB260F">
                            <w:pPr>
                              <w:spacing w:line="240" w:lineRule="auto"/>
                              <w:rPr>
                                <w:b/>
                                <w:sz w:val="24"/>
                                <w:szCs w:val="24"/>
                                <w:lang w:val="en-US"/>
                              </w:rPr>
                            </w:pPr>
                            <w:r w:rsidRPr="004621E9">
                              <w:rPr>
                                <w:b/>
                                <w:lang w:val="en-US"/>
                              </w:rPr>
                              <w:t>FIGURE 1 Timeline Cluster Diagram for HeLP</w:t>
                            </w:r>
                            <w:r w:rsidRPr="004621E9">
                              <w:rPr>
                                <w:b/>
                                <w:sz w:val="24"/>
                                <w:szCs w:val="24"/>
                                <w:lang w:val="en-US"/>
                              </w:rPr>
                              <w:t xml:space="preserve"> </w:t>
                            </w:r>
                          </w:p>
                          <w:p w14:paraId="68ED766A" w14:textId="73C90DA8" w:rsidR="00DE3537" w:rsidRDefault="00DE35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CC195C" id="_x0000_t202" coordsize="21600,21600" o:spt="202" path="m,l,21600r21600,l21600,xe">
                <v:stroke joinstyle="miter"/>
                <v:path gradientshapeok="t" o:connecttype="rect"/>
              </v:shapetype>
              <v:shape id="Text Box 2" o:spid="_x0000_s1026" type="#_x0000_t202" style="position:absolute;margin-left:0;margin-top:0;width:297.95pt;height:22.5pt;z-index:2516469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" stroked="f">
                <v:textbox>
                  <w:txbxContent>
                    <w:p w14:paraId="0FE05C71" w14:textId="5114146E" w:rsidR="00DE3537" w:rsidRPr="004621E9" w:rsidRDefault="00DE3537" w:rsidP="00CB260F">
                      <w:pPr>
                        <w:spacing w:line="240" w:lineRule="auto"/>
                        <w:rPr>
                          <w:b/>
                          <w:sz w:val="24"/>
                          <w:szCs w:val="24"/>
                          <w:lang w:val="en-US"/>
                        </w:rPr>
                      </w:pPr>
                      <w:r w:rsidRPr="004621E9">
                        <w:rPr>
                          <w:b/>
                          <w:lang w:val="en-US"/>
                        </w:rPr>
                        <w:t>FIGURE 1 Timeline Cluster Diagram for HeLP</w:t>
                      </w:r>
                      <w:r w:rsidRPr="004621E9">
                        <w:rPr>
                          <w:b/>
                          <w:sz w:val="24"/>
                          <w:szCs w:val="24"/>
                          <w:lang w:val="en-US"/>
                        </w:rPr>
                        <w:t xml:space="preserve"> </w:t>
                      </w:r>
                    </w:p>
                    <w:p w14:paraId="68ED766A" w14:textId="73C90DA8" w:rsidR="00DE3537" w:rsidRDefault="00DE3537"/>
                  </w:txbxContent>
                </v:textbox>
                <w10:wrap type="square" anchorx="margin"/>
              </v:shape>
            </w:pict>
          </mc:Fallback>
        </mc:AlternateContent>
      </w:r>
      <w:r w:rsidR="00035114">
        <w:rPr>
          <w:noProof/>
          <w:lang w:eastAsia="zh-CN"/>
        </w:rPr>
        <mc:AlternateContent>
          <mc:Choice Requires="wpg">
            <w:drawing>
              <wp:anchor distT="0" distB="0" distL="114300" distR="114300" simplePos="0" relativeHeight="251640832" behindDoc="0" locked="0" layoutInCell="1" allowOverlap="1" wp14:anchorId="062F0299" wp14:editId="1B7AF783">
                <wp:simplePos x="0" y="0"/>
                <wp:positionH relativeFrom="column">
                  <wp:posOffset>-295275</wp:posOffset>
                </wp:positionH>
                <wp:positionV relativeFrom="paragraph">
                  <wp:posOffset>8610600</wp:posOffset>
                </wp:positionV>
                <wp:extent cx="5886450" cy="733425"/>
                <wp:effectExtent l="0" t="0" r="0" b="28575"/>
                <wp:wrapNone/>
                <wp:docPr id="70"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6450" cy="733425"/>
                          <a:chOff x="1086" y="14094"/>
                          <a:chExt cx="9745" cy="1056"/>
                        </a:xfrm>
                      </wpg:grpSpPr>
                      <wpg:grpSp>
                        <wpg:cNvPr id="71" name="Group 120"/>
                        <wpg:cNvGrpSpPr>
                          <a:grpSpLocks/>
                        </wpg:cNvGrpSpPr>
                        <wpg:grpSpPr bwMode="auto">
                          <a:xfrm>
                            <a:off x="4974" y="14626"/>
                            <a:ext cx="5857" cy="399"/>
                            <a:chOff x="4974" y="14626"/>
                            <a:chExt cx="5857" cy="399"/>
                          </a:xfrm>
                        </wpg:grpSpPr>
                        <wpg:grpSp>
                          <wpg:cNvPr id="72" name="Group 98"/>
                          <wpg:cNvGrpSpPr>
                            <a:grpSpLocks/>
                          </wpg:cNvGrpSpPr>
                          <wpg:grpSpPr bwMode="auto">
                            <a:xfrm>
                              <a:off x="4974" y="14628"/>
                              <a:ext cx="2107" cy="397"/>
                              <a:chOff x="7745" y="14112"/>
                              <a:chExt cx="2107" cy="397"/>
                            </a:xfrm>
                          </wpg:grpSpPr>
                          <wps:wsp>
                            <wps:cNvPr id="73" name="Rectangle 155"/>
                            <wps:cNvSpPr>
                              <a:spLocks noChangeArrowheads="1"/>
                            </wps:cNvSpPr>
                            <wps:spPr bwMode="auto">
                              <a:xfrm>
                                <a:off x="8151" y="14112"/>
                                <a:ext cx="1701"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83B24F" w14:textId="77777777" w:rsidR="00DE3537" w:rsidRDefault="00DE3537" w:rsidP="004E0D59">
                                  <w:pPr>
                                    <w:spacing w:line="360" w:lineRule="auto"/>
                                  </w:pPr>
                                  <w:r>
                                    <w:t>Blinding</w:t>
                                  </w:r>
                                </w:p>
                              </w:txbxContent>
                            </wps:txbx>
                            <wps:bodyPr rot="0" vert="horz" wrap="square" lIns="91440" tIns="45720" rIns="91440" bIns="45720" anchor="t" anchorCtr="0" upright="1">
                              <a:noAutofit/>
                            </wps:bodyPr>
                          </wps:wsp>
                          <wps:wsp>
                            <wps:cNvPr id="74" name="Rectangle 156"/>
                            <wps:cNvSpPr>
                              <a:spLocks noChangeArrowheads="1"/>
                            </wps:cNvSpPr>
                            <wps:spPr bwMode="auto">
                              <a:xfrm>
                                <a:off x="7745" y="14112"/>
                                <a:ext cx="397" cy="397"/>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grpSp>
                        <wpg:grpSp>
                          <wpg:cNvPr id="75" name="Group 99"/>
                          <wpg:cNvGrpSpPr>
                            <a:grpSpLocks/>
                          </wpg:cNvGrpSpPr>
                          <wpg:grpSpPr bwMode="auto">
                            <a:xfrm>
                              <a:off x="6535" y="14628"/>
                              <a:ext cx="2098" cy="397"/>
                              <a:chOff x="7754" y="14670"/>
                              <a:chExt cx="2098" cy="397"/>
                            </a:xfrm>
                          </wpg:grpSpPr>
                          <wps:wsp>
                            <wps:cNvPr id="76" name="Rectangle 157"/>
                            <wps:cNvSpPr>
                              <a:spLocks noChangeArrowheads="1"/>
                            </wps:cNvSpPr>
                            <wps:spPr bwMode="auto">
                              <a:xfrm>
                                <a:off x="8151" y="14670"/>
                                <a:ext cx="1701"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7C5316" w14:textId="77777777" w:rsidR="00DE3537" w:rsidRDefault="00DE3537" w:rsidP="004E0D59">
                                  <w:pPr>
                                    <w:spacing w:line="360" w:lineRule="auto"/>
                                  </w:pPr>
                                  <w:r>
                                    <w:t>Partial blinding</w:t>
                                  </w:r>
                                </w:p>
                              </w:txbxContent>
                            </wps:txbx>
                            <wps:bodyPr rot="0" vert="horz" wrap="square" lIns="91440" tIns="45720" rIns="91440" bIns="45720" anchor="t" anchorCtr="0" upright="1">
                              <a:noAutofit/>
                            </wps:bodyPr>
                          </wps:wsp>
                          <wps:wsp>
                            <wps:cNvPr id="77" name="Rectangle 158"/>
                            <wps:cNvSpPr>
                              <a:spLocks noChangeArrowheads="1"/>
                            </wps:cNvSpPr>
                            <wps:spPr bwMode="auto">
                              <a:xfrm>
                                <a:off x="7754" y="14670"/>
                                <a:ext cx="397" cy="397"/>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g:grpSp>
                        <wpg:grpSp>
                          <wpg:cNvPr id="78" name="Group 100"/>
                          <wpg:cNvGrpSpPr>
                            <a:grpSpLocks/>
                          </wpg:cNvGrpSpPr>
                          <wpg:grpSpPr bwMode="auto">
                            <a:xfrm>
                              <a:off x="8733" y="14626"/>
                              <a:ext cx="2098" cy="398"/>
                              <a:chOff x="7754" y="15228"/>
                              <a:chExt cx="2098" cy="398"/>
                            </a:xfrm>
                          </wpg:grpSpPr>
                          <wps:wsp>
                            <wps:cNvPr id="79" name="Rectangle 159"/>
                            <wps:cNvSpPr>
                              <a:spLocks noChangeArrowheads="1"/>
                            </wps:cNvSpPr>
                            <wps:spPr bwMode="auto">
                              <a:xfrm>
                                <a:off x="8151" y="15229"/>
                                <a:ext cx="1701"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08C2A4" w14:textId="77777777" w:rsidR="00DE3537" w:rsidRDefault="00DE3537" w:rsidP="004E0D59">
                                  <w:pPr>
                                    <w:spacing w:line="360" w:lineRule="auto"/>
                                  </w:pPr>
                                  <w:r>
                                    <w:t>No blinding</w:t>
                                  </w:r>
                                </w:p>
                              </w:txbxContent>
                            </wps:txbx>
                            <wps:bodyPr rot="0" vert="horz" wrap="square" lIns="91440" tIns="45720" rIns="91440" bIns="45720" anchor="t" anchorCtr="0" upright="1">
                              <a:noAutofit/>
                            </wps:bodyPr>
                          </wps:wsp>
                          <wps:wsp>
                            <wps:cNvPr id="80" name="Rectangle 160"/>
                            <wps:cNvSpPr>
                              <a:spLocks noChangeArrowheads="1"/>
                            </wps:cNvSpPr>
                            <wps:spPr bwMode="auto">
                              <a:xfrm>
                                <a:off x="7754" y="15228"/>
                                <a:ext cx="397" cy="3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81" name="Group 125"/>
                        <wpg:cNvGrpSpPr>
                          <a:grpSpLocks/>
                        </wpg:cNvGrpSpPr>
                        <wpg:grpSpPr bwMode="auto">
                          <a:xfrm>
                            <a:off x="1226" y="14628"/>
                            <a:ext cx="3515" cy="398"/>
                            <a:chOff x="1226" y="14628"/>
                            <a:chExt cx="3515" cy="398"/>
                          </a:xfrm>
                        </wpg:grpSpPr>
                        <wpg:grpSp>
                          <wpg:cNvPr id="82" name="Group 110"/>
                          <wpg:cNvGrpSpPr>
                            <a:grpSpLocks/>
                          </wpg:cNvGrpSpPr>
                          <wpg:grpSpPr bwMode="auto">
                            <a:xfrm>
                              <a:off x="1226" y="14628"/>
                              <a:ext cx="2114" cy="397"/>
                              <a:chOff x="4225" y="12561"/>
                              <a:chExt cx="2114" cy="397"/>
                            </a:xfrm>
                          </wpg:grpSpPr>
                          <wps:wsp>
                            <wps:cNvPr id="83" name="AutoShape 16"/>
                            <wps:cNvSpPr>
                              <a:spLocks noChangeArrowheads="1"/>
                            </wps:cNvSpPr>
                            <wps:spPr bwMode="auto">
                              <a:xfrm>
                                <a:off x="4225" y="12561"/>
                                <a:ext cx="397" cy="397"/>
                              </a:xfrm>
                              <a:prstGeom prst="donut">
                                <a:avLst>
                                  <a:gd name="adj" fmla="val 22736"/>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4" name="Rectangle 152"/>
                            <wps:cNvSpPr>
                              <a:spLocks noChangeArrowheads="1"/>
                            </wps:cNvSpPr>
                            <wps:spPr bwMode="auto">
                              <a:xfrm>
                                <a:off x="4638" y="12561"/>
                                <a:ext cx="1701" cy="397"/>
                              </a:xfrm>
                              <a:prstGeom prst="rect">
                                <a:avLst/>
                              </a:prstGeom>
                              <a:solidFill>
                                <a:srgbClr val="FFFFFF"/>
                              </a:solidFill>
                              <a:ln w="9525">
                                <a:solidFill>
                                  <a:schemeClr val="bg1">
                                    <a:lumMod val="100000"/>
                                    <a:lumOff val="0"/>
                                  </a:schemeClr>
                                </a:solidFill>
                                <a:miter lim="800000"/>
                                <a:headEnd/>
                                <a:tailEnd/>
                              </a:ln>
                            </wps:spPr>
                            <wps:txbx>
                              <w:txbxContent>
                                <w:p w14:paraId="6FE1EBE3" w14:textId="77777777" w:rsidR="00DE3537" w:rsidRDefault="00DE3537" w:rsidP="004E0D59">
                                  <w:r>
                                    <w:t>Cluster</w:t>
                                  </w:r>
                                </w:p>
                              </w:txbxContent>
                            </wps:txbx>
                            <wps:bodyPr rot="0" vert="horz" wrap="square" lIns="91440" tIns="45720" rIns="91440" bIns="45720" anchor="t" anchorCtr="0" upright="1">
                              <a:noAutofit/>
                            </wps:bodyPr>
                          </wps:wsp>
                        </wpg:grpSp>
                        <wpg:grpSp>
                          <wpg:cNvPr id="85" name="Group 124"/>
                          <wpg:cNvGrpSpPr>
                            <a:grpSpLocks/>
                          </wpg:cNvGrpSpPr>
                          <wpg:grpSpPr bwMode="auto">
                            <a:xfrm>
                              <a:off x="2621" y="14628"/>
                              <a:ext cx="2120" cy="398"/>
                              <a:chOff x="2621" y="14628"/>
                              <a:chExt cx="2120" cy="398"/>
                            </a:xfrm>
                          </wpg:grpSpPr>
                          <wps:wsp>
                            <wps:cNvPr id="86" name="Oval 30" descr="stickman"/>
                            <wps:cNvSpPr>
                              <a:spLocks noChangeArrowheads="1"/>
                            </wps:cNvSpPr>
                            <wps:spPr bwMode="auto">
                              <a:xfrm>
                                <a:off x="2621" y="14628"/>
                                <a:ext cx="397" cy="397"/>
                              </a:xfrm>
                              <a:prstGeom prst="ellipse">
                                <a:avLst/>
                              </a:prstGeom>
                              <a:blipFill dpi="0" rotWithShape="0">
                                <a:blip r:embed="rId8"/>
                                <a:srcRect/>
                                <a:stretch>
                                  <a:fillRect/>
                                </a:stretch>
                              </a:blipFill>
                              <a:ln w="19050">
                                <a:solidFill>
                                  <a:srgbClr val="000000"/>
                                </a:solidFill>
                                <a:round/>
                                <a:headEnd/>
                                <a:tailEnd/>
                              </a:ln>
                            </wps:spPr>
                            <wps:bodyPr rot="0" vert="horz" wrap="square" lIns="91440" tIns="45720" rIns="91440" bIns="45720" anchor="t" anchorCtr="0" upright="1">
                              <a:noAutofit/>
                            </wps:bodyPr>
                          </wps:wsp>
                          <wps:wsp>
                            <wps:cNvPr id="87" name="Rectangle 154"/>
                            <wps:cNvSpPr>
                              <a:spLocks noChangeArrowheads="1"/>
                            </wps:cNvSpPr>
                            <wps:spPr bwMode="auto">
                              <a:xfrm>
                                <a:off x="3040" y="14629"/>
                                <a:ext cx="1701" cy="397"/>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0BABB" w14:textId="77777777" w:rsidR="00DE3537" w:rsidRDefault="00DE3537" w:rsidP="004E0D59">
                                  <w:pPr>
                                    <w:spacing w:line="360" w:lineRule="auto"/>
                                  </w:pPr>
                                  <w:r>
                                    <w:t>Participant</w:t>
                                  </w:r>
                                </w:p>
                              </w:txbxContent>
                            </wps:txbx>
                            <wps:bodyPr rot="0" vert="horz" wrap="square" lIns="91440" tIns="45720" rIns="91440" bIns="45720" anchor="t" anchorCtr="0" upright="1">
                              <a:noAutofit/>
                            </wps:bodyPr>
                          </wps:wsp>
                        </wpg:grpSp>
                      </wpg:grpSp>
                      <wps:wsp>
                        <wps:cNvPr id="88" name="AutoShape 161"/>
                        <wps:cNvSpPr>
                          <a:spLocks noChangeArrowheads="1"/>
                        </wps:cNvSpPr>
                        <wps:spPr bwMode="auto">
                          <a:xfrm>
                            <a:off x="1086" y="14094"/>
                            <a:ext cx="9482" cy="1056"/>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Rectangle 96"/>
                        <wps:cNvSpPr>
                          <a:spLocks noChangeArrowheads="1"/>
                        </wps:cNvSpPr>
                        <wps:spPr bwMode="auto">
                          <a:xfrm>
                            <a:off x="1226" y="14168"/>
                            <a:ext cx="170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4FBA7" w14:textId="77777777" w:rsidR="00DE3537" w:rsidRPr="009634A4" w:rsidRDefault="00DE3537" w:rsidP="004E0D59">
                              <w:pPr>
                                <w:rPr>
                                  <w:u w:val="single"/>
                                </w:rPr>
                              </w:pPr>
                              <w:r w:rsidRPr="009634A4">
                                <w:rPr>
                                  <w:u w:val="single"/>
                                </w:rPr>
                                <w:t>Stage level</w:t>
                              </w:r>
                            </w:p>
                          </w:txbxContent>
                        </wps:txbx>
                        <wps:bodyPr rot="0" vert="horz" wrap="square" lIns="91440" tIns="45720" rIns="91440" bIns="45720" anchor="t" anchorCtr="0" upright="1">
                          <a:noAutofit/>
                        </wps:bodyPr>
                      </wps:wsp>
                      <wps:wsp>
                        <wps:cNvPr id="90" name="Rectangle 97"/>
                        <wps:cNvSpPr>
                          <a:spLocks noChangeArrowheads="1"/>
                        </wps:cNvSpPr>
                        <wps:spPr bwMode="auto">
                          <a:xfrm>
                            <a:off x="4974" y="14168"/>
                            <a:ext cx="1701"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01DE12" w14:textId="77777777" w:rsidR="00DE3537" w:rsidRPr="009634A4" w:rsidRDefault="00DE3537" w:rsidP="004E0D59">
                              <w:pPr>
                                <w:rPr>
                                  <w:u w:val="single"/>
                                </w:rPr>
                              </w:pPr>
                              <w:r w:rsidRPr="009634A4">
                                <w:rPr>
                                  <w:u w:val="single"/>
                                </w:rPr>
                                <w:t>Blinding status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2F0299" id="Group 129" o:spid="_x0000_s1027" style="position:absolute;margin-left:-23.25pt;margin-top:678pt;width:463.5pt;height:57.75pt;z-index:251640832" coordorigin="1086,14094" coordsize="9745,1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">
                <v:group id="Group 120" o:spid="_x0000_s1028" style="position:absolute;left:4974;top:14626;width:5857;height:399" coordorigin="4974,14626" coordsize="5857,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group id="Group 98" o:spid="_x0000_s1029" style="position:absolute;left:4974;top:14628;width:2107;height:397" coordorigin="7745,14112" coordsize="210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rect id="Rectangle 155" o:spid="_x0000_s1030" style="position:absolute;left:8151;top:14112;width:1701;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Xg8cQA&#10;AADbAAAADwAAAGRycy9kb3ducmV2LnhtbESPQWvCQBSE70L/w/IKveluq6aaugmlIAjqobHQ6yP7&#10;TEKzb9Psqum/7wqCx2FmvmFW+WBbcabeN441PE8UCOLSmYYrDV+H9XgBwgdkg61j0vBHHvLsYbTC&#10;1LgLf9K5CJWIEPYpaqhD6FIpfVmTRT9xHXH0jq63GKLsK2l6vES4beWLUom02HBcqLGjj5rKn+Jk&#10;NWAyM7/743R32J4SXFaDWs+/ldZPj8P7G4hAQ7iHb+2N0fA6heuX+A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l4PHEAAAA2wAAAA8AAAAAAAAAAAAAAAAAmAIAAGRycy9k&#10;b3ducmV2LnhtbFBLBQYAAAAABAAEAPUAAACJAwAAAAA=&#10;" stroked="f">
                      <v:textbox>
                        <w:txbxContent>
                          <w:p w14:paraId="7283B24F" w14:textId="77777777" w:rsidR="00DE3537" w:rsidRDefault="00DE3537" w:rsidP="004E0D59">
                            <w:pPr>
                              <w:spacing w:line="360" w:lineRule="auto"/>
                            </w:pPr>
                            <w:r>
                              <w:t>Blinding</w:t>
                            </w:r>
                          </w:p>
                        </w:txbxContent>
                      </v:textbox>
                    </v:rect>
                    <v:rect id="Rectangle 156" o:spid="_x0000_s1031" style="position:absolute;left:7745;top:1411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sTcUA&#10;AADbAAAADwAAAGRycy9kb3ducmV2LnhtbESPwW7CMBBE70j9B2sr9dY4FERLiIMAQeHApSkfsIqX&#10;JGq8DrGbpH9fV6rEcTQzbzTpejSN6KlztWUF0ygGQVxYXXOp4PJ5eH4D4TyyxsYyKfghB+vsYZJi&#10;ou3AH9TnvhQBwi5BBZX3bSKlKyoy6CLbEgfvajuDPsiulLrDIcBNI1/ieCEN1hwWKmxpV1HxlX8b&#10;BTKfD/1+WLrt7ricbjeX2fv5xko9PY6bFQhPo7+H/9snreB1Dn9fw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kSxNxQAAANsAAAAPAAAAAAAAAAAAAAAAAJgCAABkcnMv&#10;ZG93bnJldi54bWxQSwUGAAAAAAQABAD1AAAAigMAAAAA&#10;" fillcolor="black [3213]"/>
                  </v:group>
                  <v:group id="Group 99" o:spid="_x0000_s1032" style="position:absolute;left:6535;top:14628;width:2098;height:397" coordorigin="7754,14670" coordsize="209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rect id="Rectangle 157" o:spid="_x0000_s1033" style="position:absolute;left:8151;top:14670;width:1701;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JDacQA&#10;AADbAAAADwAAAGRycy9kb3ducmV2LnhtbESPT4vCMBTE7wt+h/AEb2ui7latRhFBWNj14B/w+mie&#10;bbF5qU3U+u3NwsIeh5n5DTNftrYSd2p86VjDoK9AEGfOlJxrOB427xMQPiAbrByThid5WC46b3NM&#10;jXvwju77kIsIYZ+ihiKEOpXSZwVZ9H1XE0fv7BqLIcoml6bBR4TbSg6VSqTFkuNCgTWtC8ou+5vV&#10;gMmHuW7Po5/D9y3Bad6qzedJad3rtqsZiEBt+A//tb+MhnECv1/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SQ2nEAAAA2wAAAA8AAAAAAAAAAAAAAAAAmAIAAGRycy9k&#10;b3ducmV2LnhtbFBLBQYAAAAABAAEAPUAAACJAwAAAAA=&#10;" stroked="f">
                      <v:textbox>
                        <w:txbxContent>
                          <w:p w14:paraId="147C5316" w14:textId="77777777" w:rsidR="00DE3537" w:rsidRDefault="00DE3537" w:rsidP="004E0D59">
                            <w:pPr>
                              <w:spacing w:line="360" w:lineRule="auto"/>
                            </w:pPr>
                            <w:r>
                              <w:t>Partial blinding</w:t>
                            </w:r>
                          </w:p>
                        </w:txbxContent>
                      </v:textbox>
                    </v:rect>
                    <v:rect id="Rectangle 158" o:spid="_x0000_s1034" style="position:absolute;left:7754;top:14670;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yGgcIA&#10;AADbAAAADwAAAGRycy9kb3ducmV2LnhtbESPwW7CMBBE75X4B2uReisOPZAqYBDQUvXApZgPWMVL&#10;EhGvo3hL0r+vKyFxHM28Gc1qM/pW3aiPTWAD81kGirgMruHKwNkeXt5ARUF22AYmA78UYbOePK2w&#10;cGHgb7qdpFKphGOBBmqRrtA6ljV5jLPQESfvEnqPkmRfadfjkMp9q1+zbKE9NpwWauxoX1N5Pf14&#10;A/nxuJMPH+a2DBe7k8qOzee7Mc/TcbsEJTTKI3ynv1zicvj/kn6AX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fIaBwgAAANsAAAAPAAAAAAAAAAAAAAAAAJgCAABkcnMvZG93&#10;bnJldi54bWxQSwUGAAAAAAQABAD1AAAAhwMAAAAA&#10;" fillcolor="#bfbfbf [2412]"/>
                  </v:group>
                  <v:group id="Group 100" o:spid="_x0000_s1035" style="position:absolute;left:8733;top:14626;width:2098;height:398" coordorigin="7754,15228" coordsize="2098,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rect id="Rectangle 159" o:spid="_x0000_s1036" style="position:absolute;left:8151;top:15229;width:1701;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3XG8QA&#10;AADbAAAADwAAAGRycy9kb3ducmV2LnhtbESPQWvCQBSE70L/w/IKvdVdbZtqzEZKQSi0HhoFr4/s&#10;Mwlm38bsqvHfu4WCx2FmvmGy5WBbcabeN441TMYKBHHpTMOVhu1m9TwD4QOywdYxabiSh2X+MMow&#10;Ne7Cv3QuQiUihH2KGuoQulRKX9Zk0Y9dRxy9vesthij7SpoeLxFuWzlVKpEWG44LNXb0WVN5KE5W&#10;Ayav5rjev/xsvk8JzqtBrd52Suunx+FjASLQEO7h//aX0fA+h78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N1xvEAAAA2wAAAA8AAAAAAAAAAAAAAAAAmAIAAGRycy9k&#10;b3ducmV2LnhtbFBLBQYAAAAABAAEAPUAAACJAwAAAAA=&#10;" stroked="f">
                      <v:textbox>
                        <w:txbxContent>
                          <w:p w14:paraId="1B08C2A4" w14:textId="77777777" w:rsidR="00DE3537" w:rsidRDefault="00DE3537" w:rsidP="004E0D59">
                            <w:pPr>
                              <w:spacing w:line="360" w:lineRule="auto"/>
                            </w:pPr>
                            <w:r>
                              <w:t>No blinding</w:t>
                            </w:r>
                          </w:p>
                        </w:txbxContent>
                      </v:textbox>
                    </v:rect>
                    <v:rect id="Rectangle 160" o:spid="_x0000_s1037" style="position:absolute;left:7754;top:15228;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YGcEA&#10;AADbAAAADwAAAGRycy9kb3ducmV2LnhtbERPTW+CQBC9N+l/2EwTb2WpJo1FFtLUaPSIeOltZEfA&#10;srOEXQX99d1Dkx5f3neaT6YTNxpca1nBWxSDIK6sbrlWcCw3r0sQziNr7CyTgjs5yLPnpxQTbUcu&#10;6HbwtQgh7BJU0HjfJ1K6qiGDLrI9ceDOdjDoAxxqqQccQ7jp5DyO36XBlkNDgz19NVT9HK5Gwamd&#10;H/FRlNvYfGwWfj+Vl+v3WqnZy/S5AuFp8v/iP/dOK1iG9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l2BnBAAAA2wAAAA8AAAAAAAAAAAAAAAAAmAIAAGRycy9kb3du&#10;cmV2LnhtbFBLBQYAAAAABAAEAPUAAACGAwAAAAA=&#10;"/>
                  </v:group>
                </v:group>
                <v:group id="Group 125" o:spid="_x0000_s1038" style="position:absolute;left:1226;top:14628;width:3515;height:398" coordorigin="1226,14628" coordsize="3515,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group id="Group 110" o:spid="_x0000_s1039" style="position:absolute;left:1226;top:14628;width:2114;height:397" coordorigin="4225,12561" coordsize="2114,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16" o:spid="_x0000_s1040" type="#_x0000_t23" style="position:absolute;left:4225;top:12561;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zWlr4A&#10;AADbAAAADwAAAGRycy9kb3ducmV2LnhtbESPzQrCMBCE74LvEFbwpqkKItVYRBAEL/5dvC3N2hab&#10;TdtEW9/eCILHYWa+YVZJZ0rxosYVlhVMxhEI4tTqgjMF18tutADhPLLG0jIpeJODZN3vrTDWtuUT&#10;vc4+EwHCLkYFufdVLKVLczLoxrYiDt7dNgZ9kE0mdYNtgJtSTqNoLg0WHBZyrGibU/o4P42Cw8HW&#10;lk9HM8ueLe1vtZ53N6/UcNBtliA8df4f/rX3WsFiBt8v4Qf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es1pa+AAAA2wAAAA8AAAAAAAAAAAAAAAAAmAIAAGRycy9kb3ducmV2&#10;LnhtbFBLBQYAAAAABAAEAPUAAACDAwAAAAA=&#10;" adj="4911" fillcolor="black"/>
                    <v:rect id="Rectangle 152" o:spid="_x0000_s1041" style="position:absolute;left:4638;top:12561;width:1701;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PgJ8IA&#10;AADbAAAADwAAAGRycy9kb3ducmV2LnhtbESPwWrDMBBE74H+g9hAb7Gc0KbBiRxKQkkPvcRt74u1&#10;sY2tlZGURP77qlDocZiZN8xuH80gbuR8Z1nBMstBENdWd9wo+Pp8W2xA+ICscbBMCibysC8fZjss&#10;tL3zmW5VaESCsC9QQRvCWEjp65YM+syOxMm7WGcwJOkaqR3eE9wMcpXna2mw47TQ4kiHluq+uhoF&#10;HzqeDvVz7Ksjvrhvd50CnialHufxdQsiUAz/4b/2u1aweYLfL+kHy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U+AnwgAAANsAAAAPAAAAAAAAAAAAAAAAAJgCAABkcnMvZG93&#10;bnJldi54bWxQSwUGAAAAAAQABAD1AAAAhwMAAAAA&#10;" strokecolor="white [3212]">
                      <v:textbox>
                        <w:txbxContent>
                          <w:p w14:paraId="6FE1EBE3" w14:textId="77777777" w:rsidR="00DE3537" w:rsidRDefault="00DE3537" w:rsidP="004E0D59">
                            <w:r>
                              <w:t>Cluster</w:t>
                            </w:r>
                          </w:p>
                        </w:txbxContent>
                      </v:textbox>
                    </v:rect>
                  </v:group>
                  <v:group id="Group 124" o:spid="_x0000_s1042" style="position:absolute;left:2621;top:14628;width:2120;height:398" coordorigin="2621,14628" coordsize="2120,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oval id="Oval 30" o:spid="_x0000_s1043" alt="stickman" style="position:absolute;left:2621;top:14628;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Ihb8YA&#10;AADbAAAADwAAAGRycy9kb3ducmV2LnhtbESPQWvCQBSE74X+h+UVvJS60UMM0VVKqaV6CDQVvL5k&#10;X5OQ7NuQ3Zr477uC0OMwM98wm91kOnGhwTWWFSzmEQji0uqGKwWn7/1LAsJ5ZI2dZVJwJQe77ePD&#10;BlNtR/6iS+4rESDsUlRQe9+nUrqyJoNubnvi4P3YwaAPcqikHnAMcNPJZRTF0mDDYaHGnt5qKtv8&#10;1yioPt6pyNrscDoX+bEpng/XVdIrNXuaXtcgPE3+P3xvf2oFSQy3L+EH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Ihb8YAAADbAAAADwAAAAAAAAAAAAAAAACYAgAAZHJz&#10;L2Rvd25yZXYueG1sUEsFBgAAAAAEAAQA9QAAAIsDAAAAAA==&#10;" strokeweight="1.5pt">
                      <v:fill r:id="rId9" o:title="stickman" recolor="t" type="frame"/>
                    </v:oval>
                    <v:rect id="Rectangle 154" o:spid="_x0000_s1044" style="position:absolute;left:3040;top:14629;width:1701;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5uMQA&#10;AADbAAAADwAAAGRycy9kb3ducmV2LnhtbESPQWvCQBSE70L/w/IKvYhu7CGR6ColYCm9NXrQ2yP7&#10;TKLZt2l2E+O/7xYEj8PMfMOst6NpxECdqy0rWMwjEMSF1TWXCg773WwJwnlkjY1lUnAnB9vNy2SN&#10;qbY3/qEh96UIEHYpKqi8b1MpXVGRQTe3LXHwzrYz6IPsSqk7vAW4aeR7FMXSYM1hocKWsoqKa94b&#10;BUWfZOX+ePLJd/z7OT1ciO6yV+rtdfxYgfA0+mf40f7SCpYJ/H8JP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SubjEAAAA2wAAAA8AAAAAAAAAAAAAAAAAmAIAAGRycy9k&#10;b3ducmV2LnhtbFBLBQYAAAAABAAEAPUAAACJAwAAAAA=&#10;" filled="f" fillcolor="white [3212]" stroked="f">
                      <v:textbox>
                        <w:txbxContent>
                          <w:p w14:paraId="6960BABB" w14:textId="77777777" w:rsidR="00DE3537" w:rsidRDefault="00DE3537" w:rsidP="004E0D59">
                            <w:pPr>
                              <w:spacing w:line="360" w:lineRule="auto"/>
                            </w:pPr>
                            <w:r>
                              <w:t>Participant</w:t>
                            </w:r>
                          </w:p>
                        </w:txbxContent>
                      </v:textbox>
                    </v:rect>
                  </v:group>
                </v:group>
                <v:roundrect id="AutoShape 161" o:spid="_x0000_s1045" style="position:absolute;left:1086;top:14094;width:9482;height:105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WzLcEA&#10;AADbAAAADwAAAGRycy9kb3ducmV2LnhtbERPz2vCMBS+C/4P4Qm7aapgkc5YpCCIJ+eGo7dH85Z2&#10;Ni9dkmn33y+HwY4f3+9tOdpe3MmHzrGC5SIDQdw43bFR8PZ6mG9AhIissXdMCn4oQLmbTrZYaPfg&#10;F7pfohEphEOBCtoYh0LK0LRkMSzcQJy4D+ctxgS9kdrjI4XbXq6yLJcWO04NLQ5UtdTcLt9WQX3N&#10;V35dv/PpVNXHMR/O5vPLKPU0G/fPICKN8V/85z5qBZs0Nn1JP0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Vsy3BAAAA2wAAAA8AAAAAAAAAAAAAAAAAmAIAAGRycy9kb3du&#10;cmV2LnhtbFBLBQYAAAAABAAEAPUAAACGAwAAAAA=&#10;" filled="f"/>
                <v:rect id="Rectangle 96" o:spid="_x0000_s1046" style="position:absolute;left:1226;top:14168;width:1701;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LBcUA&#10;AADbAAAADwAAAGRycy9kb3ducmV2LnhtbESPQWvCQBSE7wX/w/KEXkrd2INomo2IIA1FkCbW8yP7&#10;mgSzb2N2m6T/vlsoeBxm5hsm2U6mFQP1rrGsYLmIQBCXVjdcKTgXh+c1COeRNbaWScEPOdims4cE&#10;Y21H/qAh95UIEHYxKqi972IpXVmTQbewHXHwvmxv0AfZV1L3OAa4aeVLFK2kwYbDQo0d7Wsqr/m3&#10;UTCWp+FSHN/k6emSWb5lt33++a7U43zavYLwNPl7+L+daQXrDfx9CT9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PMsFxQAAANsAAAAPAAAAAAAAAAAAAAAAAJgCAABkcnMv&#10;ZG93bnJldi54bWxQSwUGAAAAAAQABAD1AAAAigMAAAAA&#10;" filled="f" stroked="f">
                  <v:textbox>
                    <w:txbxContent>
                      <w:p w14:paraId="7A74FBA7" w14:textId="77777777" w:rsidR="00DE3537" w:rsidRPr="009634A4" w:rsidRDefault="00DE3537" w:rsidP="004E0D59">
                        <w:pPr>
                          <w:rPr>
                            <w:u w:val="single"/>
                          </w:rPr>
                        </w:pPr>
                        <w:r w:rsidRPr="009634A4">
                          <w:rPr>
                            <w:u w:val="single"/>
                          </w:rPr>
                          <w:t>Stage level</w:t>
                        </w:r>
                      </w:p>
                    </w:txbxContent>
                  </v:textbox>
                </v:rect>
                <v:rect id="Rectangle 97" o:spid="_x0000_s1047" style="position:absolute;left:4974;top:14168;width:1701;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uYfMAA&#10;AADbAAAADwAAAGRycy9kb3ducmV2LnhtbERPy4rCMBTdD/gP4QruxsTHFK1GEUEY0Fn4ALeX5toW&#10;m5vaRO38vVkILg/nPV+2thIPanzpWMOgr0AQZ86UnGs4HTffExA+IBusHJOGf/KwXHS+5pga9+Q9&#10;PQ4hFzGEfYoaihDqVEqfFWTR911NHLmLayyGCJtcmgafMdxWcqhUIi2WHBsKrGldUHY93K0GTMbm&#10;9ncZ7Y7be4LTvFWbn7PSutdtVzMQgdrwEb/dv0bDNK6PX+IP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DuYfMAAAADbAAAADwAAAAAAAAAAAAAAAACYAgAAZHJzL2Rvd25y&#10;ZXYueG1sUEsFBgAAAAAEAAQA9QAAAIUDAAAAAA==&#10;" stroked="f">
                  <v:textbox>
                    <w:txbxContent>
                      <w:p w14:paraId="6501DE12" w14:textId="77777777" w:rsidR="00DE3537" w:rsidRPr="009634A4" w:rsidRDefault="00DE3537" w:rsidP="004E0D59">
                        <w:pPr>
                          <w:rPr>
                            <w:u w:val="single"/>
                          </w:rPr>
                        </w:pPr>
                        <w:r w:rsidRPr="009634A4">
                          <w:rPr>
                            <w:u w:val="single"/>
                          </w:rPr>
                          <w:t>Blinding status</w:t>
                        </w:r>
                      </w:p>
                    </w:txbxContent>
                  </v:textbox>
                </v:rect>
              </v:group>
            </w:pict>
          </mc:Fallback>
        </mc:AlternateContent>
      </w:r>
      <w:r w:rsidR="004E0D59">
        <w:rPr>
          <w:noProof/>
          <w:lang w:eastAsia="zh-CN"/>
        </w:rPr>
        <mc:AlternateContent>
          <mc:Choice Requires="wpg">
            <w:drawing>
              <wp:anchor distT="0" distB="0" distL="114300" distR="114300" simplePos="0" relativeHeight="251644928" behindDoc="0" locked="0" layoutInCell="1" allowOverlap="1" wp14:anchorId="4E21FA0A" wp14:editId="095E369A">
                <wp:simplePos x="0" y="0"/>
                <wp:positionH relativeFrom="margin">
                  <wp:posOffset>1993900</wp:posOffset>
                </wp:positionH>
                <wp:positionV relativeFrom="margin">
                  <wp:posOffset>7292975</wp:posOffset>
                </wp:positionV>
                <wp:extent cx="1871980" cy="432435"/>
                <wp:effectExtent l="0" t="0" r="13970" b="24765"/>
                <wp:wrapSquare wrapText="bothSides"/>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1980" cy="432435"/>
                          <a:chOff x="928" y="6478"/>
                          <a:chExt cx="2948" cy="681"/>
                        </a:xfrm>
                      </wpg:grpSpPr>
                      <wpg:grpSp>
                        <wpg:cNvPr id="95" name="Group 37"/>
                        <wpg:cNvGrpSpPr>
                          <a:grpSpLocks/>
                        </wpg:cNvGrpSpPr>
                        <wpg:grpSpPr bwMode="auto">
                          <a:xfrm>
                            <a:off x="928" y="6478"/>
                            <a:ext cx="2268" cy="681"/>
                            <a:chOff x="928" y="6478"/>
                            <a:chExt cx="2268" cy="681"/>
                          </a:xfrm>
                        </wpg:grpSpPr>
                        <wps:wsp>
                          <wps:cNvPr id="96" name="Rectangle 38"/>
                          <wps:cNvSpPr>
                            <a:spLocks noChangeArrowheads="1"/>
                          </wps:cNvSpPr>
                          <wps:spPr bwMode="auto">
                            <a:xfrm>
                              <a:off x="1495" y="6479"/>
                              <a:ext cx="1701" cy="680"/>
                            </a:xfrm>
                            <a:prstGeom prst="rect">
                              <a:avLst/>
                            </a:prstGeom>
                            <a:solidFill>
                              <a:srgbClr val="FFFFFF"/>
                            </a:solidFill>
                            <a:ln w="19050">
                              <a:solidFill>
                                <a:srgbClr val="000000"/>
                              </a:solidFill>
                              <a:miter lim="800000"/>
                              <a:headEnd/>
                              <a:tailEnd/>
                            </a:ln>
                          </wps:spPr>
                          <wps:txbx>
                            <w:txbxContent>
                              <w:p w14:paraId="78BDC41A" w14:textId="77777777" w:rsidR="00DE3537" w:rsidRPr="00A25E9D" w:rsidRDefault="00DE3537" w:rsidP="004E0D59">
                                <w:pPr>
                                  <w:spacing w:line="240" w:lineRule="auto"/>
                                  <w:jc w:val="center"/>
                                </w:pPr>
                                <w:r>
                                  <w:rPr>
                                    <w:lang w:val="en-US"/>
                                  </w:rPr>
                                  <w:t>18 Month Measures</w:t>
                                </w:r>
                              </w:p>
                            </w:txbxContent>
                          </wps:txbx>
                          <wps:bodyPr rot="0" vert="horz" wrap="square" lIns="36000" tIns="36000" rIns="36000" bIns="36000" anchor="ctr" anchorCtr="0" upright="1">
                            <a:noAutofit/>
                          </wps:bodyPr>
                        </wps:wsp>
                        <wps:wsp>
                          <wps:cNvPr id="97" name="Rectangle 39"/>
                          <wps:cNvSpPr>
                            <a:spLocks noChangeArrowheads="1"/>
                          </wps:cNvSpPr>
                          <wps:spPr bwMode="auto">
                            <a:xfrm>
                              <a:off x="928" y="6478"/>
                              <a:ext cx="567" cy="68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1472AD0F" w14:textId="2FDAC6B6" w:rsidR="00DE3537" w:rsidRPr="006E1F04" w:rsidRDefault="00DE3537" w:rsidP="004E0D59">
                                <w:pPr>
                                  <w:spacing w:line="360" w:lineRule="auto"/>
                                  <w:ind w:left="284" w:hanging="284"/>
                                  <w:jc w:val="center"/>
                                </w:pPr>
                                <w:r>
                                  <w:t>9b</w:t>
                                </w:r>
                              </w:p>
                            </w:txbxContent>
                          </wps:txbx>
                          <wps:bodyPr rot="0" vert="horz" wrap="square" lIns="36000" tIns="36000" rIns="36000" bIns="36000" anchor="ctr" anchorCtr="0" upright="1">
                            <a:noAutofit/>
                          </wps:bodyPr>
                        </wps:wsp>
                      </wpg:grpSp>
                      <wps:wsp>
                        <wps:cNvPr id="98" name="Oval 40"/>
                        <wps:cNvSpPr>
                          <a:spLocks noChangeArrowheads="1"/>
                        </wps:cNvSpPr>
                        <wps:spPr bwMode="auto">
                          <a:xfrm>
                            <a:off x="3196" y="6479"/>
                            <a:ext cx="680" cy="680"/>
                          </a:xfrm>
                          <a:prstGeom prst="ellipse">
                            <a:avLst/>
                          </a:prstGeom>
                          <a:blipFill dpi="0" rotWithShape="0">
                            <a:blip r:embed="rId10"/>
                            <a:srcRect/>
                            <a:stretch>
                              <a:fillRect/>
                            </a:stretch>
                          </a:blipFill>
                          <a:ln w="1905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21FA0A" id="Group 94" o:spid="_x0000_s1048" style="position:absolute;margin-left:157pt;margin-top:574.25pt;width:147.4pt;height:34.05pt;z-index:251644928;mso-position-horizontal-relative:margin;mso-position-vertical-relative:margin" coordorigin="928,6478" coordsize="294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">
                <v:group id="Group 37" o:spid="_x0000_s1049" style="position:absolute;left:928;top:6478;width:2268;height:681" coordorigin="928,6478" coordsize="2268,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rect id="Rectangle 38" o:spid="_x0000_s1050" style="position:absolute;left:1495;top:6479;width:1701;height: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PDO8MA&#10;AADbAAAADwAAAGRycy9kb3ducmV2LnhtbESPQYvCMBSE78L+h/AWvGm6q4hbjSILihcPakG8vW2e&#10;bdnmpTTR1H9vBMHjMDPfMPNlZ2pxo9ZVlhV8DRMQxLnVFRcKsuN6MAXhPLLG2jIpuJOD5eKjN8dU&#10;28B7uh18ISKEXYoKSu+bVEqXl2TQDW1DHL2LbQ36KNtC6hZDhJtafifJRBqsOC6U2NBvSfn/4WoU&#10;TPe7vzC2Ies4qzZFOJ9Gq81Jqf5nt5qB8NT5d/jV3moFPx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PDO8MAAADbAAAADwAAAAAAAAAAAAAAAACYAgAAZHJzL2Rv&#10;d25yZXYueG1sUEsFBgAAAAAEAAQA9QAAAIgDAAAAAA==&#10;" strokeweight="1.5pt">
                    <v:textbox inset="1mm,1mm,1mm,1mm">
                      <w:txbxContent>
                        <w:p w14:paraId="78BDC41A" w14:textId="77777777" w:rsidR="00DE3537" w:rsidRPr="00A25E9D" w:rsidRDefault="00DE3537" w:rsidP="004E0D59">
                          <w:pPr>
                            <w:spacing w:line="240" w:lineRule="auto"/>
                            <w:jc w:val="center"/>
                          </w:pPr>
                          <w:r>
                            <w:rPr>
                              <w:lang w:val="en-US"/>
                            </w:rPr>
                            <w:t>18 Month Measures</w:t>
                          </w:r>
                        </w:p>
                      </w:txbxContent>
                    </v:textbox>
                  </v:rect>
                  <v:rect id="Rectangle 39" o:spid="_x0000_s1051" style="position:absolute;left:928;top:6478;width:567;height: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X7D8QA&#10;AADbAAAADwAAAGRycy9kb3ducmV2LnhtbESPQWvCQBSE74L/YXlCb7rR2qipq4hQEW9NavH4yL4m&#10;wezbmN1q/PeuUOhxmJlvmOW6M7W4UusqywrGowgEcW51xYWCr+xjOAfhPLLG2jIpuJOD9arfW2Ki&#10;7Y0/6Zr6QgQIuwQVlN43iZQuL8mgG9mGOHg/tjXog2wLqVu8Bbip5SSKYmmw4rBQYkPbkvJz+msU&#10;7JrsEC9sfJxuT9nb7Cgnr9+XnVIvg27zDsJT5//Df+29VrCYwfNL+AF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V+w/EAAAA2wAAAA8AAAAAAAAAAAAAAAAAmAIAAGRycy9k&#10;b3ducmV2LnhtbFBLBQYAAAAABAAEAPUAAACJAwAAAAA=&#10;" strokeweight="1.5pt">
                    <v:shadow color="#7f7f7f" opacity=".5" offset="1pt"/>
                    <v:textbox inset="1mm,1mm,1mm,1mm">
                      <w:txbxContent>
                        <w:p w14:paraId="1472AD0F" w14:textId="2FDAC6B6" w:rsidR="00DE3537" w:rsidRPr="006E1F04" w:rsidRDefault="00DE3537" w:rsidP="004E0D59">
                          <w:pPr>
                            <w:spacing w:line="360" w:lineRule="auto"/>
                            <w:ind w:left="284" w:hanging="284"/>
                            <w:jc w:val="center"/>
                          </w:pPr>
                          <w:r>
                            <w:t>9b</w:t>
                          </w:r>
                        </w:p>
                      </w:txbxContent>
                    </v:textbox>
                  </v:rect>
                </v:group>
                <v:oval id="Oval 40" o:spid="_x0000_s1052" style="position:absolute;left:3196;top:6479;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zBs8IA&#10;AADbAAAADwAAAGRycy9kb3ducmV2LnhtbERPy2oCMRTdF/oP4Ra6q4ktFB3NiAilRYTi6MLlJbnz&#10;wMnNMIkzY7++WRS6PJz3ejO5VgzUh8azhvlMgSA23jZcaTifPl4WIEJEtth6Jg13CrDJHx/WmFk/&#10;8pGGIlYihXDIUEMdY5dJGUxNDsPMd8SJK33vMCbYV9L2OKZw18pXpd6lw4ZTQ40d7Woy1+LmNBjJ&#10;O6W6Tzd/O+xv4Wd5OZTfF62fn6btCkSkKf6L/9xfVsMyjU1f0g+Q+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HMGzwgAAANsAAAAPAAAAAAAAAAAAAAAAAJgCAABkcnMvZG93&#10;bnJldi54bWxQSwUGAAAAAAQABAD1AAAAhwMAAAAA&#10;" strokeweight="1.5pt">
                  <v:fill r:id="rId11" o:title="" recolor="t" type="frame"/>
                </v:oval>
                <w10:wrap type="square" anchorx="margin" anchory="margin"/>
              </v:group>
            </w:pict>
          </mc:Fallback>
        </mc:AlternateContent>
      </w:r>
      <w:r w:rsidR="004E0D59">
        <w:rPr>
          <w:noProof/>
          <w:lang w:eastAsia="zh-CN"/>
        </w:rPr>
        <mc:AlternateContent>
          <mc:Choice Requires="wpc">
            <w:drawing>
              <wp:inline distT="0" distB="0" distL="0" distR="0" wp14:anchorId="4C60761B" wp14:editId="319F3A4F">
                <wp:extent cx="5760720" cy="9161780"/>
                <wp:effectExtent l="19050" t="0" r="0" b="20320"/>
                <wp:docPr id="174" name="Zone de dessin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 name="Group 5"/>
                        <wpg:cNvGrpSpPr>
                          <a:grpSpLocks/>
                        </wpg:cNvGrpSpPr>
                        <wpg:grpSpPr bwMode="auto">
                          <a:xfrm>
                            <a:off x="0" y="1350010"/>
                            <a:ext cx="474372" cy="6300470"/>
                            <a:chOff x="964" y="2552"/>
                            <a:chExt cx="680" cy="9922"/>
                          </a:xfrm>
                        </wpg:grpSpPr>
                        <wps:wsp>
                          <wps:cNvPr id="3" name="Text Box 6"/>
                          <wps:cNvSpPr txBox="1">
                            <a:spLocks noChangeArrowheads="1"/>
                          </wps:cNvSpPr>
                          <wps:spPr bwMode="auto">
                            <a:xfrm>
                              <a:off x="1027" y="3683"/>
                              <a:ext cx="617" cy="6804"/>
                            </a:xfrm>
                            <a:prstGeom prst="rect">
                              <a:avLst/>
                            </a:prstGeom>
                            <a:solidFill>
                              <a:srgbClr val="FFFFFF"/>
                            </a:solidFill>
                            <a:ln w="19050">
                              <a:solidFill>
                                <a:srgbClr val="FFFFFF"/>
                              </a:solidFill>
                              <a:miter lim="800000"/>
                              <a:headEnd/>
                              <a:tailEnd/>
                            </a:ln>
                          </wps:spPr>
                          <wps:txbx>
                            <w:txbxContent>
                              <w:p w14:paraId="11B27039" w14:textId="77777777" w:rsidR="00DE3537" w:rsidRPr="003A6602" w:rsidRDefault="00DE3537" w:rsidP="004E0D59">
                                <w:pPr>
                                  <w:spacing w:line="240" w:lineRule="auto"/>
                                  <w:jc w:val="center"/>
                                </w:pPr>
                                <w:r>
                                  <w:t>TRIAL PROCESS</w:t>
                                </w:r>
                              </w:p>
                            </w:txbxContent>
                          </wps:txbx>
                          <wps:bodyPr rot="0" vert="vert270" wrap="square" lIns="36000" tIns="36000" rIns="36000" bIns="36000" anchor="ctr" anchorCtr="0" upright="1">
                            <a:noAutofit/>
                          </wps:bodyPr>
                        </wps:wsp>
                        <wps:wsp>
                          <wps:cNvPr id="4" name="AutoShape 7"/>
                          <wps:cNvSpPr>
                            <a:spLocks noChangeArrowheads="1"/>
                          </wps:cNvSpPr>
                          <wps:spPr bwMode="auto">
                            <a:xfrm rot="5400000">
                              <a:off x="-3713" y="7229"/>
                              <a:ext cx="9922" cy="567"/>
                            </a:xfrm>
                            <a:prstGeom prst="rightArrow">
                              <a:avLst>
                                <a:gd name="adj1" fmla="val 47796"/>
                                <a:gd name="adj2" fmla="val 204804"/>
                              </a:avLst>
                            </a:prstGeom>
                            <a:solidFill>
                              <a:srgbClr val="FFFFFF">
                                <a:alpha val="0"/>
                              </a:srgbClr>
                            </a:solidFill>
                            <a:ln w="19050">
                              <a:solidFill>
                                <a:srgbClr val="000000"/>
                              </a:solidFill>
                              <a:miter lim="800000"/>
                              <a:headEnd/>
                              <a:tailEnd/>
                            </a:ln>
                          </wps:spPr>
                          <wps:bodyPr rot="0" vert="horz" wrap="square" lIns="91440" tIns="45720" rIns="91440" bIns="45720" anchor="t" anchorCtr="0" upright="1">
                            <a:noAutofit/>
                          </wps:bodyPr>
                        </wps:wsp>
                      </wpg:wgp>
                      <wps:wsp>
                        <wps:cNvPr id="5" name="Line 8"/>
                        <wps:cNvCnPr/>
                        <wps:spPr bwMode="auto">
                          <a:xfrm>
                            <a:off x="2880360" y="1241780"/>
                            <a:ext cx="635" cy="7920000"/>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 name="Rectangle 9"/>
                        <wps:cNvSpPr>
                          <a:spLocks noChangeArrowheads="1"/>
                        </wps:cNvSpPr>
                        <wps:spPr bwMode="auto">
                          <a:xfrm>
                            <a:off x="719455" y="321945"/>
                            <a:ext cx="1259840" cy="720090"/>
                          </a:xfrm>
                          <a:prstGeom prst="rect">
                            <a:avLst/>
                          </a:prstGeom>
                          <a:solidFill>
                            <a:srgbClr val="CCECFF"/>
                          </a:solidFill>
                          <a:ln w="19050">
                            <a:solidFill>
                              <a:srgbClr val="000000"/>
                            </a:solidFill>
                            <a:miter lim="800000"/>
                            <a:headEnd/>
                            <a:tailEnd/>
                          </a:ln>
                        </wps:spPr>
                        <wps:txbx>
                          <w:txbxContent>
                            <w:p w14:paraId="49A41FF0" w14:textId="77777777" w:rsidR="00DE3537" w:rsidRDefault="00DE3537" w:rsidP="004E0D59">
                              <w:pPr>
                                <w:spacing w:line="240" w:lineRule="auto"/>
                                <w:jc w:val="center"/>
                              </w:pPr>
                              <w:r>
                                <w:t>HeLP GROUP</w:t>
                              </w:r>
                            </w:p>
                          </w:txbxContent>
                        </wps:txbx>
                        <wps:bodyPr rot="0" vert="horz" wrap="square" lIns="91440" tIns="45720" rIns="91440" bIns="45720" anchor="ctr" anchorCtr="0" upright="1">
                          <a:noAutofit/>
                        </wps:bodyPr>
                      </wps:wsp>
                      <wps:wsp>
                        <wps:cNvPr id="7" name="Rectangle 10"/>
                        <wps:cNvSpPr>
                          <a:spLocks noChangeArrowheads="1"/>
                        </wps:cNvSpPr>
                        <wps:spPr bwMode="auto">
                          <a:xfrm>
                            <a:off x="3618865" y="311785"/>
                            <a:ext cx="1259840" cy="720090"/>
                          </a:xfrm>
                          <a:prstGeom prst="rect">
                            <a:avLst/>
                          </a:prstGeom>
                          <a:solidFill>
                            <a:srgbClr val="CCECFF"/>
                          </a:solidFill>
                          <a:ln w="19050">
                            <a:solidFill>
                              <a:srgbClr val="000000"/>
                            </a:solidFill>
                            <a:miter lim="800000"/>
                            <a:headEnd/>
                            <a:tailEnd/>
                          </a:ln>
                        </wps:spPr>
                        <wps:txbx>
                          <w:txbxContent>
                            <w:p w14:paraId="583EA5D6" w14:textId="77777777" w:rsidR="00DE3537" w:rsidRDefault="00DE3537" w:rsidP="004E0D59">
                              <w:pPr>
                                <w:spacing w:line="240" w:lineRule="auto"/>
                                <w:jc w:val="center"/>
                                <w:rPr>
                                  <w:lang w:val="en-US"/>
                                </w:rPr>
                              </w:pPr>
                              <w:r w:rsidRPr="00497ABA">
                                <w:t>C</w:t>
                              </w:r>
                              <w:r w:rsidRPr="00497ABA">
                                <w:rPr>
                                  <w:lang w:val="en-US"/>
                                </w:rPr>
                                <w:t>ONTROL</w:t>
                              </w:r>
                            </w:p>
                            <w:p w14:paraId="766CDC6E" w14:textId="77777777" w:rsidR="00DE3537" w:rsidRPr="00497ABA" w:rsidRDefault="00DE3537" w:rsidP="004E0D59">
                              <w:pPr>
                                <w:spacing w:line="240" w:lineRule="auto"/>
                                <w:jc w:val="center"/>
                                <w:rPr>
                                  <w:lang w:val="en-US"/>
                                </w:rPr>
                              </w:pPr>
                              <w:r w:rsidRPr="00497ABA">
                                <w:rPr>
                                  <w:lang w:val="en-US"/>
                                </w:rPr>
                                <w:t>GROUP</w:t>
                              </w:r>
                            </w:p>
                          </w:txbxContent>
                        </wps:txbx>
                        <wps:bodyPr rot="0" vert="horz" wrap="square" lIns="91440" tIns="45720" rIns="91440" bIns="45720" anchor="ctr" anchorCtr="0" upright="1">
                          <a:noAutofit/>
                        </wps:bodyPr>
                      </wps:wsp>
                      <wpg:wgp>
                        <wpg:cNvPr id="9" name="Groupe 80"/>
                        <wpg:cNvGrpSpPr>
                          <a:grpSpLocks/>
                        </wpg:cNvGrpSpPr>
                        <wpg:grpSpPr bwMode="auto">
                          <a:xfrm>
                            <a:off x="1903095" y="3563620"/>
                            <a:ext cx="1952625" cy="795020"/>
                            <a:chOff x="0" y="95"/>
                            <a:chExt cx="19526" cy="7950"/>
                          </a:xfrm>
                        </wpg:grpSpPr>
                        <wps:wsp>
                          <wps:cNvPr id="10" name="Double flèche horizontale 81"/>
                          <wps:cNvSpPr>
                            <a:spLocks noChangeArrowheads="1"/>
                          </wps:cNvSpPr>
                          <wps:spPr bwMode="auto">
                            <a:xfrm>
                              <a:off x="0" y="2667"/>
                              <a:ext cx="19526" cy="5378"/>
                            </a:xfrm>
                            <a:prstGeom prst="leftRightArrow">
                              <a:avLst>
                                <a:gd name="adj1" fmla="val 50000"/>
                                <a:gd name="adj2" fmla="val 77993"/>
                              </a:avLst>
                            </a:prstGeom>
                            <a:solidFill>
                              <a:srgbClr val="000000"/>
                            </a:solidFill>
                            <a:ln w="19050">
                              <a:solidFill>
                                <a:srgbClr val="000000"/>
                              </a:solidFill>
                              <a:miter lim="800000"/>
                              <a:headEnd/>
                              <a:tailEnd/>
                            </a:ln>
                          </wps:spPr>
                          <wps:txbx>
                            <w:txbxContent>
                              <w:p w14:paraId="4FC5EB15" w14:textId="77777777" w:rsidR="00DE3537" w:rsidRPr="00465649" w:rsidRDefault="00DE3537" w:rsidP="004E0D59">
                                <w:pPr>
                                  <w:pStyle w:val="NormalWeb"/>
                                  <w:spacing w:before="0" w:beforeAutospacing="0" w:after="0" w:afterAutospacing="0"/>
                                  <w:jc w:val="center"/>
                                  <w:rPr>
                                    <w:color w:val="FFFFFF" w:themeColor="background1"/>
                                  </w:rPr>
                                </w:pPr>
                                <w:r w:rsidRPr="00465649">
                                  <w:rPr>
                                    <w:b/>
                                    <w:bCs/>
                                    <w:color w:val="FFFFFF" w:themeColor="background1"/>
                                    <w:sz w:val="20"/>
                                    <w:szCs w:val="20"/>
                                  </w:rPr>
                                  <w:t>RANDOMISATION</w:t>
                                </w:r>
                              </w:p>
                            </w:txbxContent>
                          </wps:txbx>
                          <wps:bodyPr rot="0" vert="horz" wrap="square" lIns="90000" tIns="36000" rIns="91440" bIns="36000" anchor="ctr" anchorCtr="0" upright="1">
                            <a:noAutofit/>
                          </wps:bodyPr>
                        </wps:wsp>
                        <wps:wsp>
                          <wps:cNvPr id="11" name="Text Box 34"/>
                          <wps:cNvSpPr txBox="1">
                            <a:spLocks noChangeArrowheads="1"/>
                          </wps:cNvSpPr>
                          <wps:spPr bwMode="auto">
                            <a:xfrm>
                              <a:off x="8001" y="95"/>
                              <a:ext cx="3587" cy="3594"/>
                            </a:xfrm>
                            <a:prstGeom prst="rect">
                              <a:avLst/>
                            </a:prstGeom>
                            <a:solidFill>
                              <a:srgbClr val="000000"/>
                            </a:solidFill>
                            <a:ln>
                              <a:noFill/>
                            </a:ln>
                            <a:effectLst/>
                            <a:extLst>
                              <a:ext uri="{91240B29-F687-4F45-9708-019B960494DF}">
                                <a14:hiddenLine xmlns:a14="http://schemas.microsoft.com/office/drawing/2010/main" w="38100">
                                  <a:solidFill>
                                    <a:srgbClr val="000000"/>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63D2A89A" w14:textId="77777777" w:rsidR="00DE3537" w:rsidRDefault="00DE3537" w:rsidP="004E0D59">
                                <w:pPr>
                                  <w:ind w:left="284" w:hanging="284"/>
                                  <w:jc w:val="center"/>
                                </w:pPr>
                                <w:r>
                                  <w:t>5</w:t>
                                </w:r>
                              </w:p>
                            </w:txbxContent>
                          </wps:txbx>
                          <wps:bodyPr rot="0" vert="horz" wrap="square" lIns="36000" tIns="36000" rIns="36000" bIns="36000" anchor="ctr" anchorCtr="0" upright="1">
                            <a:noAutofit/>
                          </wps:bodyPr>
                        </wps:wsp>
                        <wps:wsp>
                          <wps:cNvPr id="12" name="AutoShape 36"/>
                          <wps:cNvCnPr>
                            <a:cxnSpLocks noChangeShapeType="1"/>
                          </wps:cNvCnPr>
                          <wps:spPr bwMode="auto">
                            <a:xfrm rot="5400000" flipH="1">
                              <a:off x="9811" y="1999"/>
                              <a:ext cx="6" cy="3601"/>
                            </a:xfrm>
                            <a:prstGeom prst="straightConnector1">
                              <a:avLst/>
                            </a:prstGeom>
                            <a:noFill/>
                            <a:ln w="20320">
                              <a:solidFill>
                                <a:srgbClr val="FFFFFF"/>
                              </a:solidFill>
                              <a:round/>
                              <a:headEnd/>
                              <a:tailEnd/>
                            </a:ln>
                            <a:extLst>
                              <a:ext uri="{909E8E84-426E-40DD-AFC4-6F175D3DCCD1}">
                                <a14:hiddenFill xmlns:a14="http://schemas.microsoft.com/office/drawing/2010/main">
                                  <a:noFill/>
                                </a14:hiddenFill>
                              </a:ext>
                            </a:extLst>
                          </wps:spPr>
                          <wps:bodyPr/>
                        </wps:wsp>
                      </wpg:wgp>
                      <wpg:wgp>
                        <wpg:cNvPr id="14" name="Group 76"/>
                        <wpg:cNvGrpSpPr>
                          <a:grpSpLocks/>
                        </wpg:cNvGrpSpPr>
                        <wpg:grpSpPr bwMode="auto">
                          <a:xfrm>
                            <a:off x="1466850" y="4940300"/>
                            <a:ext cx="2828925" cy="415925"/>
                            <a:chOff x="0" y="0"/>
                            <a:chExt cx="4032" cy="655"/>
                          </a:xfrm>
                        </wpg:grpSpPr>
                        <wps:wsp>
                          <wps:cNvPr id="698" name="AutoShape 77"/>
                          <wps:cNvCnPr>
                            <a:cxnSpLocks noChangeShapeType="1"/>
                          </wps:cNvCnPr>
                          <wps:spPr bwMode="auto">
                            <a:xfrm rot="16200000" flipH="1">
                              <a:off x="2696" y="-682"/>
                              <a:ext cx="653" cy="2018"/>
                            </a:xfrm>
                            <a:prstGeom prst="bentConnector3">
                              <a:avLst>
                                <a:gd name="adj1" fmla="val 63861"/>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52" name="AutoShape 78"/>
                          <wps:cNvCnPr>
                            <a:cxnSpLocks noChangeShapeType="1"/>
                          </wps:cNvCnPr>
                          <wps:spPr bwMode="auto">
                            <a:xfrm rot="5400000">
                              <a:off x="682" y="-680"/>
                              <a:ext cx="653" cy="2018"/>
                            </a:xfrm>
                            <a:prstGeom prst="bentConnector3">
                              <a:avLst>
                                <a:gd name="adj1" fmla="val 63861"/>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g:wgp>
                      <wpg:wgp>
                        <wpg:cNvPr id="64" name="Group 80"/>
                        <wpg:cNvGrpSpPr>
                          <a:grpSpLocks/>
                        </wpg:cNvGrpSpPr>
                        <wpg:grpSpPr bwMode="auto">
                          <a:xfrm flipH="1" flipV="1">
                            <a:off x="1466215" y="5791200"/>
                            <a:ext cx="2828290" cy="415925"/>
                            <a:chOff x="0" y="514350"/>
                            <a:chExt cx="4032" cy="655"/>
                          </a:xfrm>
                        </wpg:grpSpPr>
                        <wps:wsp>
                          <wps:cNvPr id="65" name="AutoShape 81"/>
                          <wps:cNvCnPr>
                            <a:cxnSpLocks noChangeShapeType="1"/>
                          </wps:cNvCnPr>
                          <wps:spPr bwMode="auto">
                            <a:xfrm rot="16200000" flipH="1">
                              <a:off x="2696" y="513668"/>
                              <a:ext cx="653" cy="2018"/>
                            </a:xfrm>
                            <a:prstGeom prst="bentConnector3">
                              <a:avLst>
                                <a:gd name="adj1" fmla="val 63861"/>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66" name="AutoShape 82"/>
                          <wps:cNvCnPr>
                            <a:cxnSpLocks noChangeShapeType="1"/>
                          </wps:cNvCnPr>
                          <wps:spPr bwMode="auto">
                            <a:xfrm rot="5400000">
                              <a:off x="682" y="513670"/>
                              <a:ext cx="653" cy="2018"/>
                            </a:xfrm>
                            <a:prstGeom prst="bentConnector3">
                              <a:avLst>
                                <a:gd name="adj1" fmla="val 63861"/>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g:wgp>
                      <wpg:wgp>
                        <wpg:cNvPr id="67" name="Group 85"/>
                        <wpg:cNvGrpSpPr>
                          <a:grpSpLocks/>
                        </wpg:cNvGrpSpPr>
                        <wpg:grpSpPr bwMode="auto">
                          <a:xfrm>
                            <a:off x="1941195" y="1096010"/>
                            <a:ext cx="1888490" cy="431800"/>
                            <a:chOff x="5700" y="1887"/>
                            <a:chExt cx="2974" cy="680"/>
                          </a:xfrm>
                        </wpg:grpSpPr>
                        <wpg:grpSp>
                          <wpg:cNvPr id="68" name="Group 12"/>
                          <wpg:cNvGrpSpPr>
                            <a:grpSpLocks/>
                          </wpg:cNvGrpSpPr>
                          <wpg:grpSpPr bwMode="auto">
                            <a:xfrm>
                              <a:off x="5700" y="1887"/>
                              <a:ext cx="2277" cy="680"/>
                              <a:chOff x="856" y="2314"/>
                              <a:chExt cx="2277" cy="567"/>
                            </a:xfrm>
                          </wpg:grpSpPr>
                          <wps:wsp>
                            <wps:cNvPr id="69" name="Rectangle 13"/>
                            <wps:cNvSpPr>
                              <a:spLocks noChangeArrowheads="1"/>
                            </wps:cNvSpPr>
                            <wps:spPr bwMode="auto">
                              <a:xfrm>
                                <a:off x="1432" y="2314"/>
                                <a:ext cx="1701" cy="567"/>
                              </a:xfrm>
                              <a:prstGeom prst="rect">
                                <a:avLst/>
                              </a:prstGeom>
                              <a:solidFill>
                                <a:srgbClr val="000000"/>
                              </a:solidFill>
                              <a:ln w="19050">
                                <a:solidFill>
                                  <a:srgbClr val="000000"/>
                                </a:solidFill>
                                <a:miter lim="800000"/>
                                <a:headEnd/>
                                <a:tailEnd/>
                              </a:ln>
                            </wps:spPr>
                            <wps:txbx>
                              <w:txbxContent>
                                <w:p w14:paraId="0EF0025D" w14:textId="77777777" w:rsidR="00DE3537" w:rsidRPr="00A25E9D" w:rsidRDefault="00DE3537" w:rsidP="004E0D59">
                                  <w:pPr>
                                    <w:spacing w:line="240" w:lineRule="auto"/>
                                    <w:jc w:val="center"/>
                                  </w:pPr>
                                  <w:r>
                                    <w:rPr>
                                      <w:lang w:val="en-US"/>
                                    </w:rPr>
                                    <w:t>Identification of Schools</w:t>
                                  </w:r>
                                </w:p>
                              </w:txbxContent>
                            </wps:txbx>
                            <wps:bodyPr rot="0" vert="horz" wrap="square" lIns="36000" tIns="36000" rIns="36000" bIns="36000" anchor="ctr" anchorCtr="0" upright="1">
                              <a:noAutofit/>
                            </wps:bodyPr>
                          </wps:wsp>
                          <wps:wsp>
                            <wps:cNvPr id="91" name="Rectangle 14"/>
                            <wps:cNvSpPr>
                              <a:spLocks noChangeArrowheads="1"/>
                            </wps:cNvSpPr>
                            <wps:spPr bwMode="auto">
                              <a:xfrm>
                                <a:off x="856" y="2314"/>
                                <a:ext cx="567" cy="567"/>
                              </a:xfrm>
                              <a:prstGeom prst="rect">
                                <a:avLst/>
                              </a:prstGeom>
                              <a:solidFill>
                                <a:srgbClr val="000000"/>
                              </a:solidFill>
                              <a:ln w="1905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4FFEBABD" w14:textId="77777777" w:rsidR="00DE3537" w:rsidRPr="005B328D" w:rsidRDefault="00DE3537" w:rsidP="004E0D59">
                                  <w:pPr>
                                    <w:spacing w:line="240" w:lineRule="auto"/>
                                    <w:jc w:val="center"/>
                                    <w:rPr>
                                      <w:color w:val="FFFFFF"/>
                                    </w:rPr>
                                  </w:pPr>
                                  <w:r>
                                    <w:t>1</w:t>
                                  </w:r>
                                </w:p>
                              </w:txbxContent>
                            </wps:txbx>
                            <wps:bodyPr rot="0" vert="horz" wrap="square" lIns="36000" tIns="36000" rIns="36000" bIns="36000" anchor="ctr" anchorCtr="0" upright="1">
                              <a:noAutofit/>
                            </wps:bodyPr>
                          </wps:wsp>
                          <wps:wsp>
                            <wps:cNvPr id="92" name="AutoShape 15"/>
                            <wps:cNvCnPr>
                              <a:cxnSpLocks noChangeShapeType="1"/>
                            </wps:cNvCnPr>
                            <wps:spPr bwMode="auto">
                              <a:xfrm>
                                <a:off x="1424" y="2320"/>
                                <a:ext cx="0" cy="555"/>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g:grpSp>
                        <wps:wsp>
                          <wps:cNvPr id="93" name="AutoShape 16"/>
                          <wps:cNvSpPr>
                            <a:spLocks noChangeArrowheads="1"/>
                          </wps:cNvSpPr>
                          <wps:spPr bwMode="auto">
                            <a:xfrm>
                              <a:off x="7994" y="1887"/>
                              <a:ext cx="680" cy="680"/>
                            </a:xfrm>
                            <a:prstGeom prst="donut">
                              <a:avLst>
                                <a:gd name="adj" fmla="val 22736"/>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wpg:wgp>
                        <wpg:cNvPr id="793" name="Group 85"/>
                        <wpg:cNvGrpSpPr>
                          <a:grpSpLocks/>
                        </wpg:cNvGrpSpPr>
                        <wpg:grpSpPr bwMode="auto">
                          <a:xfrm>
                            <a:off x="1935480" y="1705610"/>
                            <a:ext cx="1888490" cy="431800"/>
                            <a:chOff x="5700" y="1887"/>
                            <a:chExt cx="2974" cy="680"/>
                          </a:xfrm>
                        </wpg:grpSpPr>
                        <wpg:grpSp>
                          <wpg:cNvPr id="794" name="Group 12"/>
                          <wpg:cNvGrpSpPr>
                            <a:grpSpLocks/>
                          </wpg:cNvGrpSpPr>
                          <wpg:grpSpPr bwMode="auto">
                            <a:xfrm>
                              <a:off x="5700" y="1887"/>
                              <a:ext cx="2277" cy="680"/>
                              <a:chOff x="856" y="2314"/>
                              <a:chExt cx="2277" cy="567"/>
                            </a:xfrm>
                          </wpg:grpSpPr>
                          <wps:wsp>
                            <wps:cNvPr id="795" name="Rectangle 13"/>
                            <wps:cNvSpPr>
                              <a:spLocks noChangeArrowheads="1"/>
                            </wps:cNvSpPr>
                            <wps:spPr bwMode="auto">
                              <a:xfrm>
                                <a:off x="1432" y="2314"/>
                                <a:ext cx="1701" cy="567"/>
                              </a:xfrm>
                              <a:prstGeom prst="rect">
                                <a:avLst/>
                              </a:prstGeom>
                              <a:solidFill>
                                <a:srgbClr val="000000"/>
                              </a:solidFill>
                              <a:ln w="19050">
                                <a:solidFill>
                                  <a:srgbClr val="000000"/>
                                </a:solidFill>
                                <a:miter lim="800000"/>
                                <a:headEnd/>
                                <a:tailEnd/>
                              </a:ln>
                            </wps:spPr>
                            <wps:txbx>
                              <w:txbxContent>
                                <w:p w14:paraId="3A22C3D8" w14:textId="77777777" w:rsidR="00DE3537" w:rsidRPr="00A25E9D" w:rsidRDefault="00DE3537" w:rsidP="004E0D59">
                                  <w:pPr>
                                    <w:spacing w:line="240" w:lineRule="auto"/>
                                    <w:jc w:val="center"/>
                                  </w:pPr>
                                  <w:r>
                                    <w:rPr>
                                      <w:lang w:val="en-US"/>
                                    </w:rPr>
                                    <w:t>Recruitment of Schools</w:t>
                                  </w:r>
                                </w:p>
                              </w:txbxContent>
                            </wps:txbx>
                            <wps:bodyPr rot="0" vert="horz" wrap="square" lIns="36000" tIns="36000" rIns="36000" bIns="36000" anchor="ctr" anchorCtr="0" upright="1">
                              <a:noAutofit/>
                            </wps:bodyPr>
                          </wps:wsp>
                          <wps:wsp>
                            <wps:cNvPr id="796" name="Rectangle 14"/>
                            <wps:cNvSpPr>
                              <a:spLocks noChangeArrowheads="1"/>
                            </wps:cNvSpPr>
                            <wps:spPr bwMode="auto">
                              <a:xfrm>
                                <a:off x="856" y="2314"/>
                                <a:ext cx="567" cy="567"/>
                              </a:xfrm>
                              <a:prstGeom prst="rect">
                                <a:avLst/>
                              </a:prstGeom>
                              <a:solidFill>
                                <a:srgbClr val="000000"/>
                              </a:solidFill>
                              <a:ln w="1905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7D6897BF" w14:textId="77777777" w:rsidR="00DE3537" w:rsidRPr="005B328D" w:rsidRDefault="00DE3537" w:rsidP="004E0D59">
                                  <w:pPr>
                                    <w:spacing w:line="240" w:lineRule="auto"/>
                                    <w:jc w:val="center"/>
                                    <w:rPr>
                                      <w:color w:val="FFFFFF"/>
                                    </w:rPr>
                                  </w:pPr>
                                  <w:r>
                                    <w:t>2</w:t>
                                  </w:r>
                                </w:p>
                              </w:txbxContent>
                            </wps:txbx>
                            <wps:bodyPr rot="0" vert="horz" wrap="square" lIns="36000" tIns="36000" rIns="36000" bIns="36000" anchor="ctr" anchorCtr="0" upright="1">
                              <a:noAutofit/>
                            </wps:bodyPr>
                          </wps:wsp>
                          <wps:wsp>
                            <wps:cNvPr id="797" name="AutoShape 15"/>
                            <wps:cNvCnPr/>
                            <wps:spPr bwMode="auto">
                              <a:xfrm>
                                <a:off x="1424" y="2320"/>
                                <a:ext cx="0" cy="555"/>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g:grpSp>
                        <wps:wsp>
                          <wps:cNvPr id="798" name="AutoShape 16"/>
                          <wps:cNvSpPr>
                            <a:spLocks noChangeArrowheads="1"/>
                          </wps:cNvSpPr>
                          <wps:spPr bwMode="auto">
                            <a:xfrm>
                              <a:off x="7994" y="1887"/>
                              <a:ext cx="680" cy="680"/>
                            </a:xfrm>
                            <a:prstGeom prst="donut">
                              <a:avLst>
                                <a:gd name="adj" fmla="val 22736"/>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wpg:wgp>
                        <wpg:cNvPr id="799" name="Group 84"/>
                        <wpg:cNvGrpSpPr>
                          <a:grpSpLocks/>
                        </wpg:cNvGrpSpPr>
                        <wpg:grpSpPr bwMode="auto">
                          <a:xfrm>
                            <a:off x="1934845" y="2310765"/>
                            <a:ext cx="1887855" cy="431800"/>
                            <a:chOff x="5703" y="4415"/>
                            <a:chExt cx="2973" cy="680"/>
                          </a:xfrm>
                        </wpg:grpSpPr>
                        <wpg:grpSp>
                          <wpg:cNvPr id="99" name="Group 26"/>
                          <wpg:cNvGrpSpPr>
                            <a:grpSpLocks/>
                          </wpg:cNvGrpSpPr>
                          <wpg:grpSpPr bwMode="auto">
                            <a:xfrm>
                              <a:off x="5703" y="4415"/>
                              <a:ext cx="2277" cy="680"/>
                              <a:chOff x="856" y="2314"/>
                              <a:chExt cx="2277" cy="567"/>
                            </a:xfrm>
                          </wpg:grpSpPr>
                          <wps:wsp>
                            <wps:cNvPr id="100" name="Rectangle 27"/>
                            <wps:cNvSpPr>
                              <a:spLocks noChangeArrowheads="1"/>
                            </wps:cNvSpPr>
                            <wps:spPr bwMode="auto">
                              <a:xfrm>
                                <a:off x="1432" y="2314"/>
                                <a:ext cx="1701" cy="567"/>
                              </a:xfrm>
                              <a:prstGeom prst="rect">
                                <a:avLst/>
                              </a:prstGeom>
                              <a:solidFill>
                                <a:srgbClr val="000000"/>
                              </a:solidFill>
                              <a:ln w="19050">
                                <a:solidFill>
                                  <a:srgbClr val="000000"/>
                                </a:solidFill>
                                <a:miter lim="800000"/>
                                <a:headEnd/>
                                <a:tailEnd/>
                              </a:ln>
                            </wps:spPr>
                            <wps:txbx>
                              <w:txbxContent>
                                <w:p w14:paraId="7E5905E4" w14:textId="77777777" w:rsidR="00DE3537" w:rsidRPr="00A25E9D" w:rsidRDefault="00DE3537" w:rsidP="004E0D59">
                                  <w:pPr>
                                    <w:spacing w:line="240" w:lineRule="auto"/>
                                    <w:jc w:val="center"/>
                                  </w:pPr>
                                  <w:r>
                                    <w:rPr>
                                      <w:lang w:val="en-US"/>
                                    </w:rPr>
                                    <w:t>Identification of Children</w:t>
                                  </w:r>
                                </w:p>
                              </w:txbxContent>
                            </wps:txbx>
                            <wps:bodyPr rot="0" vert="horz" wrap="square" lIns="36000" tIns="36000" rIns="36000" bIns="36000" anchor="ctr" anchorCtr="0" upright="1">
                              <a:noAutofit/>
                            </wps:bodyPr>
                          </wps:wsp>
                          <wps:wsp>
                            <wps:cNvPr id="101" name="Rectangle 28"/>
                            <wps:cNvSpPr>
                              <a:spLocks noChangeArrowheads="1"/>
                            </wps:cNvSpPr>
                            <wps:spPr bwMode="auto">
                              <a:xfrm>
                                <a:off x="856" y="2314"/>
                                <a:ext cx="567" cy="567"/>
                              </a:xfrm>
                              <a:prstGeom prst="rect">
                                <a:avLst/>
                              </a:prstGeom>
                              <a:solidFill>
                                <a:srgbClr val="000000"/>
                              </a:solidFill>
                              <a:ln w="1905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248FE06A" w14:textId="77777777" w:rsidR="00DE3537" w:rsidRPr="005B328D" w:rsidRDefault="00DE3537" w:rsidP="004E0D59">
                                  <w:pPr>
                                    <w:ind w:left="284" w:hanging="284"/>
                                    <w:jc w:val="center"/>
                                    <w:rPr>
                                      <w:color w:val="FFFFFF"/>
                                    </w:rPr>
                                  </w:pPr>
                                  <w:r>
                                    <w:t>3</w:t>
                                  </w:r>
                                </w:p>
                              </w:txbxContent>
                            </wps:txbx>
                            <wps:bodyPr rot="0" vert="horz" wrap="square" lIns="36000" tIns="36000" rIns="36000" bIns="36000" anchor="ctr" anchorCtr="0" upright="1">
                              <a:noAutofit/>
                            </wps:bodyPr>
                          </wps:wsp>
                          <wps:wsp>
                            <wps:cNvPr id="102" name="AutoShape 29"/>
                            <wps:cNvCnPr>
                              <a:cxnSpLocks noChangeShapeType="1"/>
                            </wps:cNvCnPr>
                            <wps:spPr bwMode="auto">
                              <a:xfrm>
                                <a:off x="1424" y="2320"/>
                                <a:ext cx="0" cy="555"/>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g:grpSp>
                        <wps:wsp>
                          <wps:cNvPr id="103" name="Oval 30"/>
                          <wps:cNvSpPr>
                            <a:spLocks noChangeArrowheads="1"/>
                          </wps:cNvSpPr>
                          <wps:spPr bwMode="auto">
                            <a:xfrm>
                              <a:off x="7996" y="4415"/>
                              <a:ext cx="680" cy="680"/>
                            </a:xfrm>
                            <a:prstGeom prst="ellipse">
                              <a:avLst/>
                            </a:prstGeom>
                            <a:blipFill dpi="0" rotWithShape="0">
                              <a:blip r:embed="rId10"/>
                              <a:srcRect/>
                              <a:stretch>
                                <a:fillRect/>
                              </a:stretch>
                            </a:blipFill>
                            <a:ln w="19050">
                              <a:solidFill>
                                <a:srgbClr val="000000"/>
                              </a:solidFill>
                              <a:round/>
                              <a:headEnd/>
                              <a:tailEnd/>
                            </a:ln>
                          </wps:spPr>
                          <wps:bodyPr rot="0" vert="horz" wrap="square" lIns="91440" tIns="45720" rIns="91440" bIns="45720" anchor="t" anchorCtr="0" upright="1">
                            <a:noAutofit/>
                          </wps:bodyPr>
                        </wps:wsp>
                      </wpg:wgp>
                      <wpg:wgp>
                        <wpg:cNvPr id="104" name="Group 84"/>
                        <wpg:cNvGrpSpPr>
                          <a:grpSpLocks/>
                        </wpg:cNvGrpSpPr>
                        <wpg:grpSpPr bwMode="auto">
                          <a:xfrm>
                            <a:off x="1936115" y="2931160"/>
                            <a:ext cx="1887855" cy="431800"/>
                            <a:chOff x="5703" y="4415"/>
                            <a:chExt cx="2973" cy="680"/>
                          </a:xfrm>
                        </wpg:grpSpPr>
                        <wpg:grpSp>
                          <wpg:cNvPr id="105" name="Group 26"/>
                          <wpg:cNvGrpSpPr>
                            <a:grpSpLocks/>
                          </wpg:cNvGrpSpPr>
                          <wpg:grpSpPr bwMode="auto">
                            <a:xfrm>
                              <a:off x="5703" y="4415"/>
                              <a:ext cx="2277" cy="680"/>
                              <a:chOff x="856" y="2314"/>
                              <a:chExt cx="2277" cy="567"/>
                            </a:xfrm>
                          </wpg:grpSpPr>
                          <wps:wsp>
                            <wps:cNvPr id="106" name="Rectangle 27"/>
                            <wps:cNvSpPr>
                              <a:spLocks noChangeArrowheads="1"/>
                            </wps:cNvSpPr>
                            <wps:spPr bwMode="auto">
                              <a:xfrm>
                                <a:off x="1432" y="2314"/>
                                <a:ext cx="1701" cy="567"/>
                              </a:xfrm>
                              <a:prstGeom prst="rect">
                                <a:avLst/>
                              </a:prstGeom>
                              <a:solidFill>
                                <a:srgbClr val="000000"/>
                              </a:solidFill>
                              <a:ln w="19050">
                                <a:solidFill>
                                  <a:srgbClr val="000000"/>
                                </a:solidFill>
                                <a:miter lim="800000"/>
                                <a:headEnd/>
                                <a:tailEnd/>
                              </a:ln>
                            </wps:spPr>
                            <wps:txbx>
                              <w:txbxContent>
                                <w:p w14:paraId="4342911A" w14:textId="77777777" w:rsidR="00DE3537" w:rsidRPr="00A25E9D" w:rsidRDefault="00DE3537" w:rsidP="004E0D59">
                                  <w:pPr>
                                    <w:spacing w:line="240" w:lineRule="auto"/>
                                    <w:jc w:val="center"/>
                                  </w:pPr>
                                  <w:r>
                                    <w:rPr>
                                      <w:lang w:val="en-US"/>
                                    </w:rPr>
                                    <w:t>Recruitment of Children</w:t>
                                  </w:r>
                                </w:p>
                              </w:txbxContent>
                            </wps:txbx>
                            <wps:bodyPr rot="0" vert="horz" wrap="square" lIns="36000" tIns="36000" rIns="36000" bIns="36000" anchor="ctr" anchorCtr="0" upright="1">
                              <a:noAutofit/>
                            </wps:bodyPr>
                          </wps:wsp>
                          <wps:wsp>
                            <wps:cNvPr id="107" name="Rectangle 28"/>
                            <wps:cNvSpPr>
                              <a:spLocks noChangeArrowheads="1"/>
                            </wps:cNvSpPr>
                            <wps:spPr bwMode="auto">
                              <a:xfrm>
                                <a:off x="856" y="2314"/>
                                <a:ext cx="567" cy="567"/>
                              </a:xfrm>
                              <a:prstGeom prst="rect">
                                <a:avLst/>
                              </a:prstGeom>
                              <a:solidFill>
                                <a:srgbClr val="000000"/>
                              </a:solidFill>
                              <a:ln w="1905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10C0D3B8" w14:textId="77777777" w:rsidR="00DE3537" w:rsidRPr="005B328D" w:rsidRDefault="00DE3537" w:rsidP="004E0D59">
                                  <w:pPr>
                                    <w:ind w:left="284" w:hanging="284"/>
                                    <w:jc w:val="center"/>
                                    <w:rPr>
                                      <w:color w:val="FFFFFF"/>
                                    </w:rPr>
                                  </w:pPr>
                                  <w:r>
                                    <w:t>4</w:t>
                                  </w:r>
                                </w:p>
                              </w:txbxContent>
                            </wps:txbx>
                            <wps:bodyPr rot="0" vert="horz" wrap="square" lIns="36000" tIns="36000" rIns="36000" bIns="36000" anchor="ctr" anchorCtr="0" upright="1">
                              <a:noAutofit/>
                            </wps:bodyPr>
                          </wps:wsp>
                          <wps:wsp>
                            <wps:cNvPr id="108" name="AutoShape 29"/>
                            <wps:cNvCnPr/>
                            <wps:spPr bwMode="auto">
                              <a:xfrm>
                                <a:off x="1424" y="2320"/>
                                <a:ext cx="0" cy="555"/>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g:grpSp>
                        <wps:wsp>
                          <wps:cNvPr id="109" name="Oval 30"/>
                          <wps:cNvSpPr>
                            <a:spLocks noChangeArrowheads="1"/>
                          </wps:cNvSpPr>
                          <wps:spPr bwMode="auto">
                            <a:xfrm>
                              <a:off x="7996" y="4415"/>
                              <a:ext cx="680" cy="680"/>
                            </a:xfrm>
                            <a:prstGeom prst="ellipse">
                              <a:avLst/>
                            </a:prstGeom>
                            <a:blipFill dpi="0" rotWithShape="0">
                              <a:blip r:embed="rId10"/>
                              <a:srcRect/>
                              <a:stretch>
                                <a:fillRect/>
                              </a:stretch>
                            </a:blipFill>
                            <a:ln w="19050">
                              <a:solidFill>
                                <a:srgbClr val="000000"/>
                              </a:solidFill>
                              <a:round/>
                              <a:headEnd/>
                              <a:tailEnd/>
                            </a:ln>
                          </wps:spPr>
                          <wps:bodyPr rot="0" vert="horz" wrap="square" lIns="91440" tIns="45720" rIns="91440" bIns="45720" anchor="t" anchorCtr="0" upright="1">
                            <a:noAutofit/>
                          </wps:bodyPr>
                        </wps:wsp>
                      </wpg:wgp>
                      <wpg:wgp>
                        <wpg:cNvPr id="110" name="Group 84"/>
                        <wpg:cNvGrpSpPr>
                          <a:grpSpLocks/>
                        </wpg:cNvGrpSpPr>
                        <wpg:grpSpPr bwMode="auto">
                          <a:xfrm>
                            <a:off x="1941195" y="4535170"/>
                            <a:ext cx="1887855" cy="431800"/>
                            <a:chOff x="5703" y="4415"/>
                            <a:chExt cx="2973" cy="680"/>
                          </a:xfrm>
                        </wpg:grpSpPr>
                        <wpg:grpSp>
                          <wpg:cNvPr id="111" name="Group 26"/>
                          <wpg:cNvGrpSpPr>
                            <a:grpSpLocks/>
                          </wpg:cNvGrpSpPr>
                          <wpg:grpSpPr bwMode="auto">
                            <a:xfrm>
                              <a:off x="5703" y="4415"/>
                              <a:ext cx="2277" cy="680"/>
                              <a:chOff x="856" y="2314"/>
                              <a:chExt cx="2277" cy="567"/>
                            </a:xfrm>
                          </wpg:grpSpPr>
                          <wps:wsp>
                            <wps:cNvPr id="112" name="Rectangle 27"/>
                            <wps:cNvSpPr>
                              <a:spLocks noChangeArrowheads="1"/>
                            </wps:cNvSpPr>
                            <wps:spPr bwMode="auto">
                              <a:xfrm>
                                <a:off x="1432" y="2314"/>
                                <a:ext cx="1701" cy="567"/>
                              </a:xfrm>
                              <a:prstGeom prst="rect">
                                <a:avLst/>
                              </a:prstGeom>
                              <a:solidFill>
                                <a:srgbClr val="000000"/>
                              </a:solidFill>
                              <a:ln w="19050">
                                <a:solidFill>
                                  <a:srgbClr val="000000"/>
                                </a:solidFill>
                                <a:miter lim="800000"/>
                                <a:headEnd/>
                                <a:tailEnd/>
                              </a:ln>
                            </wps:spPr>
                            <wps:txbx>
                              <w:txbxContent>
                                <w:p w14:paraId="64F4A152" w14:textId="77777777" w:rsidR="00DE3537" w:rsidRPr="00A25E9D" w:rsidRDefault="00DE3537" w:rsidP="004E0D59">
                                  <w:pPr>
                                    <w:spacing w:line="240" w:lineRule="auto"/>
                                    <w:jc w:val="center"/>
                                  </w:pPr>
                                  <w:r>
                                    <w:rPr>
                                      <w:lang w:val="en-US"/>
                                    </w:rPr>
                                    <w:t>Baseline Measures</w:t>
                                  </w:r>
                                </w:p>
                              </w:txbxContent>
                            </wps:txbx>
                            <wps:bodyPr rot="0" vert="horz" wrap="square" lIns="36000" tIns="36000" rIns="36000" bIns="36000" anchor="ctr" anchorCtr="0" upright="1">
                              <a:noAutofit/>
                            </wps:bodyPr>
                          </wps:wsp>
                          <wps:wsp>
                            <wps:cNvPr id="113" name="Rectangle 28"/>
                            <wps:cNvSpPr>
                              <a:spLocks noChangeArrowheads="1"/>
                            </wps:cNvSpPr>
                            <wps:spPr bwMode="auto">
                              <a:xfrm>
                                <a:off x="856" y="2314"/>
                                <a:ext cx="567" cy="567"/>
                              </a:xfrm>
                              <a:prstGeom prst="rect">
                                <a:avLst/>
                              </a:prstGeom>
                              <a:solidFill>
                                <a:srgbClr val="000000"/>
                              </a:solidFill>
                              <a:ln w="1905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2CEC4C36" w14:textId="77777777" w:rsidR="00DE3537" w:rsidRPr="005B328D" w:rsidRDefault="00DE3537" w:rsidP="004E0D59">
                                  <w:pPr>
                                    <w:ind w:left="284" w:hanging="284"/>
                                    <w:jc w:val="center"/>
                                    <w:rPr>
                                      <w:color w:val="FFFFFF"/>
                                    </w:rPr>
                                  </w:pPr>
                                  <w:r>
                                    <w:t>6</w:t>
                                  </w:r>
                                </w:p>
                              </w:txbxContent>
                            </wps:txbx>
                            <wps:bodyPr rot="0" vert="horz" wrap="square" lIns="36000" tIns="36000" rIns="36000" bIns="36000" anchor="ctr" anchorCtr="0" upright="1">
                              <a:noAutofit/>
                            </wps:bodyPr>
                          </wps:wsp>
                          <wps:wsp>
                            <wps:cNvPr id="114" name="AutoShape 29"/>
                            <wps:cNvCnPr/>
                            <wps:spPr bwMode="auto">
                              <a:xfrm>
                                <a:off x="1424" y="2320"/>
                                <a:ext cx="0" cy="555"/>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g:grpSp>
                        <wps:wsp>
                          <wps:cNvPr id="115" name="Oval 30"/>
                          <wps:cNvSpPr>
                            <a:spLocks noChangeArrowheads="1"/>
                          </wps:cNvSpPr>
                          <wps:spPr bwMode="auto">
                            <a:xfrm>
                              <a:off x="7996" y="4415"/>
                              <a:ext cx="680" cy="680"/>
                            </a:xfrm>
                            <a:prstGeom prst="ellipse">
                              <a:avLst/>
                            </a:prstGeom>
                            <a:blipFill dpi="0" rotWithShape="0">
                              <a:blip r:embed="rId10"/>
                              <a:srcRect/>
                              <a:stretch>
                                <a:fillRect/>
                              </a:stretch>
                            </a:blipFill>
                            <a:ln w="19050">
                              <a:solidFill>
                                <a:srgbClr val="000000"/>
                              </a:solidFill>
                              <a:round/>
                              <a:headEnd/>
                              <a:tailEnd/>
                            </a:ln>
                          </wps:spPr>
                          <wps:bodyPr rot="0" vert="horz" wrap="square" lIns="91440" tIns="45720" rIns="91440" bIns="45720" anchor="t" anchorCtr="0" upright="1">
                            <a:noAutofit/>
                          </wps:bodyPr>
                        </wps:wsp>
                      </wpg:wgp>
                      <wpg:wgp>
                        <wpg:cNvPr id="116" name="Group 84"/>
                        <wpg:cNvGrpSpPr>
                          <a:grpSpLocks/>
                        </wpg:cNvGrpSpPr>
                        <wpg:grpSpPr bwMode="auto">
                          <a:xfrm>
                            <a:off x="1969320" y="6725672"/>
                            <a:ext cx="1886400" cy="432000"/>
                            <a:chOff x="5703" y="4415"/>
                            <a:chExt cx="2973" cy="680"/>
                          </a:xfrm>
                        </wpg:grpSpPr>
                        <wpg:grpSp>
                          <wpg:cNvPr id="117" name="Group 26"/>
                          <wpg:cNvGrpSpPr>
                            <a:grpSpLocks/>
                          </wpg:cNvGrpSpPr>
                          <wpg:grpSpPr bwMode="auto">
                            <a:xfrm>
                              <a:off x="5703" y="4415"/>
                              <a:ext cx="2277" cy="680"/>
                              <a:chOff x="856" y="2314"/>
                              <a:chExt cx="2277" cy="567"/>
                            </a:xfrm>
                          </wpg:grpSpPr>
                          <wps:wsp>
                            <wps:cNvPr id="118" name="Rectangle 27"/>
                            <wps:cNvSpPr>
                              <a:spLocks noChangeArrowheads="1"/>
                            </wps:cNvSpPr>
                            <wps:spPr bwMode="auto">
                              <a:xfrm>
                                <a:off x="1432" y="2314"/>
                                <a:ext cx="1701" cy="567"/>
                              </a:xfrm>
                              <a:prstGeom prst="rect">
                                <a:avLst/>
                              </a:prstGeom>
                              <a:solidFill>
                                <a:srgbClr val="000000"/>
                              </a:solidFill>
                              <a:ln w="19050">
                                <a:solidFill>
                                  <a:srgbClr val="000000"/>
                                </a:solidFill>
                                <a:miter lim="800000"/>
                                <a:headEnd/>
                                <a:tailEnd/>
                              </a:ln>
                            </wps:spPr>
                            <wps:txbx>
                              <w:txbxContent>
                                <w:p w14:paraId="7B689012" w14:textId="77777777" w:rsidR="00DE3537" w:rsidRPr="00A25E9D" w:rsidRDefault="00DE3537" w:rsidP="004E0D59">
                                  <w:pPr>
                                    <w:spacing w:line="240" w:lineRule="auto"/>
                                    <w:jc w:val="center"/>
                                  </w:pPr>
                                  <w:r>
                                    <w:rPr>
                                      <w:lang w:val="en-US"/>
                                    </w:rPr>
                                    <w:t>18 Month Measures</w:t>
                                  </w:r>
                                </w:p>
                              </w:txbxContent>
                            </wps:txbx>
                            <wps:bodyPr rot="0" vert="horz" wrap="square" lIns="36000" tIns="36000" rIns="36000" bIns="36000" anchor="ctr" anchorCtr="0" upright="1">
                              <a:noAutofit/>
                            </wps:bodyPr>
                          </wps:wsp>
                          <wps:wsp>
                            <wps:cNvPr id="119" name="Rectangle 28"/>
                            <wps:cNvSpPr>
                              <a:spLocks noChangeArrowheads="1"/>
                            </wps:cNvSpPr>
                            <wps:spPr bwMode="auto">
                              <a:xfrm>
                                <a:off x="856" y="2314"/>
                                <a:ext cx="567" cy="567"/>
                              </a:xfrm>
                              <a:prstGeom prst="rect">
                                <a:avLst/>
                              </a:prstGeom>
                              <a:solidFill>
                                <a:srgbClr val="000000"/>
                              </a:solidFill>
                              <a:ln w="1905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484DFA36" w14:textId="6894A6C2" w:rsidR="00DE3537" w:rsidRPr="005B328D" w:rsidRDefault="00DE3537" w:rsidP="004E0D59">
                                  <w:pPr>
                                    <w:ind w:left="284" w:hanging="284"/>
                                    <w:jc w:val="center"/>
                                    <w:rPr>
                                      <w:color w:val="FFFFFF"/>
                                    </w:rPr>
                                  </w:pPr>
                                  <w:r>
                                    <w:t>9a</w:t>
                                  </w:r>
                                </w:p>
                              </w:txbxContent>
                            </wps:txbx>
                            <wps:bodyPr rot="0" vert="horz" wrap="square" lIns="36000" tIns="36000" rIns="36000" bIns="36000" anchor="ctr" anchorCtr="0" upright="1">
                              <a:noAutofit/>
                            </wps:bodyPr>
                          </wps:wsp>
                          <wps:wsp>
                            <wps:cNvPr id="120" name="AutoShape 29"/>
                            <wps:cNvCnPr/>
                            <wps:spPr bwMode="auto">
                              <a:xfrm>
                                <a:off x="1424" y="2320"/>
                                <a:ext cx="0" cy="555"/>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g:grpSp>
                        <wps:wsp>
                          <wps:cNvPr id="121" name="Oval 30"/>
                          <wps:cNvSpPr>
                            <a:spLocks noChangeArrowheads="1"/>
                          </wps:cNvSpPr>
                          <wps:spPr bwMode="auto">
                            <a:xfrm>
                              <a:off x="7996" y="4415"/>
                              <a:ext cx="680" cy="680"/>
                            </a:xfrm>
                            <a:prstGeom prst="ellipse">
                              <a:avLst/>
                            </a:prstGeom>
                            <a:blipFill dpi="0" rotWithShape="0">
                              <a:blip r:embed="rId10"/>
                              <a:srcRect/>
                              <a:stretch>
                                <a:fillRect/>
                              </a:stretch>
                            </a:blipFill>
                            <a:ln w="19050">
                              <a:solidFill>
                                <a:srgbClr val="000000"/>
                              </a:solidFill>
                              <a:round/>
                              <a:headEnd/>
                              <a:tailEnd/>
                            </a:ln>
                          </wps:spPr>
                          <wps:bodyPr rot="0" vert="horz" wrap="square" lIns="91440" tIns="45720" rIns="91440" bIns="45720" anchor="t" anchorCtr="0" upright="1">
                            <a:noAutofit/>
                          </wps:bodyPr>
                        </wps:wsp>
                      </wpg:wgp>
                      <wpg:wgp>
                        <wpg:cNvPr id="122" name="Group 84"/>
                        <wpg:cNvGrpSpPr>
                          <a:grpSpLocks/>
                        </wpg:cNvGrpSpPr>
                        <wpg:grpSpPr bwMode="auto">
                          <a:xfrm>
                            <a:off x="1914525" y="7915099"/>
                            <a:ext cx="1915160" cy="431800"/>
                            <a:chOff x="5660" y="4415"/>
                            <a:chExt cx="3016" cy="680"/>
                          </a:xfrm>
                        </wpg:grpSpPr>
                        <wpg:grpSp>
                          <wpg:cNvPr id="123" name="Group 26"/>
                          <wpg:cNvGrpSpPr>
                            <a:grpSpLocks/>
                          </wpg:cNvGrpSpPr>
                          <wpg:grpSpPr bwMode="auto">
                            <a:xfrm>
                              <a:off x="5660" y="4415"/>
                              <a:ext cx="2320" cy="680"/>
                              <a:chOff x="813" y="2314"/>
                              <a:chExt cx="2320" cy="567"/>
                            </a:xfrm>
                          </wpg:grpSpPr>
                          <wps:wsp>
                            <wps:cNvPr id="124" name="Rectangle 27"/>
                            <wps:cNvSpPr>
                              <a:spLocks noChangeArrowheads="1"/>
                            </wps:cNvSpPr>
                            <wps:spPr bwMode="auto">
                              <a:xfrm>
                                <a:off x="1432" y="2314"/>
                                <a:ext cx="1701" cy="567"/>
                              </a:xfrm>
                              <a:prstGeom prst="rect">
                                <a:avLst/>
                              </a:prstGeom>
                              <a:solidFill>
                                <a:srgbClr val="000000"/>
                              </a:solidFill>
                              <a:ln w="19050">
                                <a:solidFill>
                                  <a:srgbClr val="000000"/>
                                </a:solidFill>
                                <a:miter lim="800000"/>
                                <a:headEnd/>
                                <a:tailEnd/>
                              </a:ln>
                            </wps:spPr>
                            <wps:txbx>
                              <w:txbxContent>
                                <w:p w14:paraId="6D19D0D8" w14:textId="77777777" w:rsidR="00DE3537" w:rsidRPr="00A25E9D" w:rsidRDefault="00DE3537" w:rsidP="004E0D59">
                                  <w:pPr>
                                    <w:spacing w:line="240" w:lineRule="auto"/>
                                    <w:jc w:val="center"/>
                                  </w:pPr>
                                  <w:r>
                                    <w:rPr>
                                      <w:lang w:val="en-US"/>
                                    </w:rPr>
                                    <w:t>24 Month Measures</w:t>
                                  </w:r>
                                </w:p>
                              </w:txbxContent>
                            </wps:txbx>
                            <wps:bodyPr rot="0" vert="horz" wrap="square" lIns="36000" tIns="36000" rIns="36000" bIns="36000" anchor="ctr" anchorCtr="0" upright="1">
                              <a:noAutofit/>
                            </wps:bodyPr>
                          </wps:wsp>
                          <wps:wsp>
                            <wps:cNvPr id="125" name="Rectangle 28"/>
                            <wps:cNvSpPr>
                              <a:spLocks noChangeArrowheads="1"/>
                            </wps:cNvSpPr>
                            <wps:spPr bwMode="auto">
                              <a:xfrm>
                                <a:off x="813" y="2314"/>
                                <a:ext cx="653" cy="567"/>
                              </a:xfrm>
                              <a:prstGeom prst="rect">
                                <a:avLst/>
                              </a:prstGeom>
                              <a:solidFill>
                                <a:srgbClr val="000000"/>
                              </a:solidFill>
                              <a:ln w="1905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196DC7A8" w14:textId="77777777" w:rsidR="00DE3537" w:rsidRPr="005B328D" w:rsidRDefault="00DE3537" w:rsidP="004E0D59">
                                  <w:pPr>
                                    <w:ind w:left="284" w:hanging="284"/>
                                    <w:jc w:val="center"/>
                                    <w:rPr>
                                      <w:color w:val="FFFFFF"/>
                                    </w:rPr>
                                  </w:pPr>
                                  <w:r>
                                    <w:t>10</w:t>
                                  </w:r>
                                </w:p>
                              </w:txbxContent>
                            </wps:txbx>
                            <wps:bodyPr rot="0" vert="horz" wrap="square" lIns="36000" tIns="36000" rIns="36000" bIns="36000" anchor="ctr" anchorCtr="0" upright="1">
                              <a:noAutofit/>
                            </wps:bodyPr>
                          </wps:wsp>
                          <wps:wsp>
                            <wps:cNvPr id="126" name="AutoShape 29"/>
                            <wps:cNvCnPr/>
                            <wps:spPr bwMode="auto">
                              <a:xfrm>
                                <a:off x="1424" y="2320"/>
                                <a:ext cx="0" cy="555"/>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g:grpSp>
                        <wps:wsp>
                          <wps:cNvPr id="127" name="Oval 30"/>
                          <wps:cNvSpPr>
                            <a:spLocks noChangeArrowheads="1"/>
                          </wps:cNvSpPr>
                          <wps:spPr bwMode="auto">
                            <a:xfrm>
                              <a:off x="7996" y="4415"/>
                              <a:ext cx="680" cy="680"/>
                            </a:xfrm>
                            <a:prstGeom prst="ellipse">
                              <a:avLst/>
                            </a:prstGeom>
                            <a:blipFill dpi="0" rotWithShape="0">
                              <a:blip r:embed="rId10"/>
                              <a:srcRect/>
                              <a:stretch>
                                <a:fillRect/>
                              </a:stretch>
                            </a:blipFill>
                            <a:ln w="19050">
                              <a:solidFill>
                                <a:srgbClr val="000000"/>
                              </a:solidFill>
                              <a:round/>
                              <a:headEnd/>
                              <a:tailEnd/>
                            </a:ln>
                          </wps:spPr>
                          <wps:bodyPr rot="0" vert="horz" wrap="square" lIns="91440" tIns="45720" rIns="91440" bIns="45720" anchor="t" anchorCtr="0" upright="1">
                            <a:noAutofit/>
                          </wps:bodyPr>
                        </wps:wsp>
                      </wpg:wgp>
                      <wpg:wgp>
                        <wpg:cNvPr id="160" name="Group 97"/>
                        <wpg:cNvGrpSpPr>
                          <a:grpSpLocks/>
                        </wpg:cNvGrpSpPr>
                        <wpg:grpSpPr bwMode="auto">
                          <a:xfrm>
                            <a:off x="478155" y="5354955"/>
                            <a:ext cx="2305685" cy="433070"/>
                            <a:chOff x="6187" y="9476"/>
                            <a:chExt cx="3631" cy="682"/>
                          </a:xfrm>
                        </wpg:grpSpPr>
                        <wpg:grpSp>
                          <wpg:cNvPr id="161" name="Group 155"/>
                          <wpg:cNvGrpSpPr>
                            <a:grpSpLocks/>
                          </wpg:cNvGrpSpPr>
                          <wpg:grpSpPr bwMode="auto">
                            <a:xfrm>
                              <a:off x="6187" y="9476"/>
                              <a:ext cx="2964" cy="681"/>
                              <a:chOff x="866" y="5330"/>
                              <a:chExt cx="2964" cy="681"/>
                            </a:xfrm>
                          </wpg:grpSpPr>
                          <wps:wsp>
                            <wps:cNvPr id="162" name="AutoShape 156"/>
                            <wps:cNvSpPr>
                              <a:spLocks noChangeArrowheads="1"/>
                            </wps:cNvSpPr>
                            <wps:spPr bwMode="auto">
                              <a:xfrm>
                                <a:off x="3150" y="5330"/>
                                <a:ext cx="680" cy="680"/>
                              </a:xfrm>
                              <a:prstGeom prst="donut">
                                <a:avLst>
                                  <a:gd name="adj" fmla="val 25000"/>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3" name="Rectangle 157"/>
                            <wps:cNvSpPr>
                              <a:spLocks noChangeArrowheads="1"/>
                            </wps:cNvSpPr>
                            <wps:spPr bwMode="auto">
                              <a:xfrm>
                                <a:off x="1433" y="5331"/>
                                <a:ext cx="1701" cy="680"/>
                              </a:xfrm>
                              <a:prstGeom prst="rect">
                                <a:avLst/>
                              </a:prstGeom>
                              <a:solidFill>
                                <a:srgbClr val="FFFFFF"/>
                              </a:solidFill>
                              <a:ln w="19050">
                                <a:solidFill>
                                  <a:srgbClr val="000000"/>
                                </a:solidFill>
                                <a:miter lim="800000"/>
                                <a:headEnd/>
                                <a:tailEnd/>
                              </a:ln>
                            </wps:spPr>
                            <wps:txbx>
                              <w:txbxContent>
                                <w:p w14:paraId="127894D3" w14:textId="77777777" w:rsidR="00DE3537" w:rsidRPr="00A25E9D" w:rsidRDefault="00DE3537" w:rsidP="004E0D59">
                                  <w:pPr>
                                    <w:spacing w:line="240" w:lineRule="auto"/>
                                    <w:jc w:val="center"/>
                                  </w:pPr>
                                  <w:r>
                                    <w:rPr>
                                      <w:lang w:val="en-US"/>
                                    </w:rPr>
                                    <w:t>Delivery of HeLP</w:t>
                                  </w:r>
                                </w:p>
                              </w:txbxContent>
                            </wps:txbx>
                            <wps:bodyPr rot="0" vert="horz" wrap="square" lIns="36000" tIns="36000" rIns="36000" bIns="36000" anchor="ctr" anchorCtr="0" upright="1">
                              <a:noAutofit/>
                            </wps:bodyPr>
                          </wps:wsp>
                          <wps:wsp>
                            <wps:cNvPr id="164" name="Rectangle 158"/>
                            <wps:cNvSpPr>
                              <a:spLocks noChangeArrowheads="1"/>
                            </wps:cNvSpPr>
                            <wps:spPr bwMode="auto">
                              <a:xfrm>
                                <a:off x="866" y="5330"/>
                                <a:ext cx="567" cy="68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02950727" w14:textId="77777777" w:rsidR="00DE3537" w:rsidRPr="002354F9" w:rsidRDefault="00DE3537" w:rsidP="004E0D59">
                                  <w:pPr>
                                    <w:spacing w:line="360" w:lineRule="auto"/>
                                    <w:ind w:left="284" w:hanging="284"/>
                                    <w:jc w:val="center"/>
                                  </w:pPr>
                                  <w:r>
                                    <w:t>7a</w:t>
                                  </w:r>
                                </w:p>
                              </w:txbxContent>
                            </wps:txbx>
                            <wps:bodyPr rot="0" vert="horz" wrap="square" lIns="36000" tIns="36000" rIns="36000" bIns="36000" anchor="ctr" anchorCtr="0" upright="1">
                              <a:noAutofit/>
                            </wps:bodyPr>
                          </wps:wsp>
                        </wpg:grpSp>
                        <wps:wsp>
                          <wps:cNvPr id="165" name="Oval 159" descr="bonhomme"/>
                          <wps:cNvSpPr>
                            <a:spLocks noChangeArrowheads="1"/>
                          </wps:cNvSpPr>
                          <wps:spPr bwMode="auto">
                            <a:xfrm>
                              <a:off x="9138" y="9478"/>
                              <a:ext cx="680" cy="680"/>
                            </a:xfrm>
                            <a:prstGeom prst="ellipse">
                              <a:avLst/>
                            </a:prstGeom>
                            <a:blipFill dpi="0" rotWithShape="0">
                              <a:blip r:embed="rId10"/>
                              <a:srcRect/>
                              <a:stretch>
                                <a:fillRect/>
                              </a:stretch>
                            </a:blipFill>
                            <a:ln w="19050">
                              <a:solidFill>
                                <a:srgbClr val="000000"/>
                              </a:solidFill>
                              <a:round/>
                              <a:headEnd/>
                              <a:tailEnd/>
                            </a:ln>
                          </wps:spPr>
                          <wps:bodyPr rot="0" vert="horz" wrap="square" lIns="91440" tIns="45720" rIns="91440" bIns="45720" anchor="t" anchorCtr="0" upright="1">
                            <a:noAutofit/>
                          </wps:bodyPr>
                        </wps:wsp>
                      </wpg:wgp>
                      <wpg:wgp>
                        <wpg:cNvPr id="166" name="Group 68"/>
                        <wpg:cNvGrpSpPr>
                          <a:grpSpLocks/>
                        </wpg:cNvGrpSpPr>
                        <wpg:grpSpPr bwMode="auto">
                          <a:xfrm>
                            <a:off x="3528695" y="5334635"/>
                            <a:ext cx="1440180" cy="431800"/>
                            <a:chOff x="928" y="6478"/>
                            <a:chExt cx="2268" cy="568"/>
                          </a:xfrm>
                        </wpg:grpSpPr>
                        <wps:wsp>
                          <wps:cNvPr id="167" name="Rectangle 69"/>
                          <wps:cNvSpPr>
                            <a:spLocks noChangeArrowheads="1"/>
                          </wps:cNvSpPr>
                          <wps:spPr bwMode="auto">
                            <a:xfrm>
                              <a:off x="1495" y="6479"/>
                              <a:ext cx="1701" cy="567"/>
                            </a:xfrm>
                            <a:prstGeom prst="rect">
                              <a:avLst/>
                            </a:prstGeom>
                            <a:solidFill>
                              <a:srgbClr val="FFFFFF"/>
                            </a:solidFill>
                            <a:ln w="19050">
                              <a:solidFill>
                                <a:srgbClr val="000000"/>
                              </a:solidFill>
                              <a:miter lim="800000"/>
                              <a:headEnd/>
                              <a:tailEnd/>
                            </a:ln>
                          </wps:spPr>
                          <wps:txbx>
                            <w:txbxContent>
                              <w:p w14:paraId="7780ABD0" w14:textId="77777777" w:rsidR="00DE3537" w:rsidRPr="00250FB1" w:rsidRDefault="00DE3537" w:rsidP="004E0D59">
                                <w:pPr>
                                  <w:spacing w:line="240" w:lineRule="auto"/>
                                  <w:jc w:val="center"/>
                                </w:pPr>
                                <w:r w:rsidRPr="00250FB1">
                                  <w:t>Usual Lessons</w:t>
                                </w:r>
                              </w:p>
                            </w:txbxContent>
                          </wps:txbx>
                          <wps:bodyPr rot="0" vert="horz" wrap="square" lIns="36000" tIns="36000" rIns="36000" bIns="36000" anchor="ctr" anchorCtr="0" upright="1">
                            <a:noAutofit/>
                          </wps:bodyPr>
                        </wps:wsp>
                        <wps:wsp>
                          <wps:cNvPr id="168" name="Rectangle 70"/>
                          <wps:cNvSpPr>
                            <a:spLocks noChangeArrowheads="1"/>
                          </wps:cNvSpPr>
                          <wps:spPr bwMode="auto">
                            <a:xfrm>
                              <a:off x="928" y="6478"/>
                              <a:ext cx="567" cy="567"/>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6C7EB9BF" w14:textId="77777777" w:rsidR="00DE3537" w:rsidRPr="006E1F04" w:rsidRDefault="00DE3537" w:rsidP="004E0D59">
                                <w:pPr>
                                  <w:ind w:left="284" w:hanging="284"/>
                                  <w:jc w:val="center"/>
                                </w:pPr>
                                <w:r>
                                  <w:t>7b</w:t>
                                </w:r>
                              </w:p>
                            </w:txbxContent>
                          </wps:txbx>
                          <wps:bodyPr rot="0" vert="horz" wrap="square" lIns="36000" tIns="36000" rIns="36000" bIns="36000" anchor="ctr" anchorCtr="0" upright="1">
                            <a:noAutofit/>
                          </wps:bodyPr>
                        </wps:wsp>
                      </wpg:wgp>
                      <wpg:wgp>
                        <wpg:cNvPr id="169" name="Group 169"/>
                        <wpg:cNvGrpSpPr>
                          <a:grpSpLocks/>
                        </wpg:cNvGrpSpPr>
                        <wpg:grpSpPr bwMode="auto">
                          <a:xfrm>
                            <a:off x="1953144" y="6067425"/>
                            <a:ext cx="1871980" cy="492589"/>
                            <a:chOff x="0" y="-77"/>
                            <a:chExt cx="2948" cy="758"/>
                          </a:xfrm>
                        </wpg:grpSpPr>
                        <wpg:grpSp>
                          <wpg:cNvPr id="170" name="Group 170"/>
                          <wpg:cNvGrpSpPr>
                            <a:grpSpLocks/>
                          </wpg:cNvGrpSpPr>
                          <wpg:grpSpPr bwMode="auto">
                            <a:xfrm>
                              <a:off x="0" y="-77"/>
                              <a:ext cx="2268" cy="758"/>
                              <a:chOff x="0" y="-77"/>
                              <a:chExt cx="2268" cy="758"/>
                            </a:xfrm>
                          </wpg:grpSpPr>
                          <wps:wsp>
                            <wps:cNvPr id="171" name="Rectangle 171"/>
                            <wps:cNvSpPr>
                              <a:spLocks noChangeArrowheads="1"/>
                            </wps:cNvSpPr>
                            <wps:spPr bwMode="auto">
                              <a:xfrm>
                                <a:off x="567" y="-77"/>
                                <a:ext cx="1701" cy="758"/>
                              </a:xfrm>
                              <a:prstGeom prst="rect">
                                <a:avLst/>
                              </a:prstGeom>
                              <a:solidFill>
                                <a:srgbClr val="FFFFFF"/>
                              </a:solidFill>
                              <a:ln w="19050">
                                <a:solidFill>
                                  <a:srgbClr val="000000"/>
                                </a:solidFill>
                                <a:miter lim="800000"/>
                                <a:headEnd/>
                                <a:tailEnd/>
                              </a:ln>
                            </wps:spPr>
                            <wps:txbx>
                              <w:txbxContent>
                                <w:p w14:paraId="7C2B8796" w14:textId="14858000" w:rsidR="00DE3537" w:rsidRPr="00A25E9D" w:rsidRDefault="00DE3537" w:rsidP="00B27642">
                                  <w:pPr>
                                    <w:spacing w:line="240" w:lineRule="auto"/>
                                    <w:jc w:val="center"/>
                                  </w:pPr>
                                  <w:r>
                                    <w:rPr>
                                      <w:lang w:val="en-US"/>
                                    </w:rPr>
                                    <w:t>12 Month Measures</w:t>
                                  </w:r>
                                </w:p>
                                <w:p w14:paraId="68783EA3" w14:textId="5E97AF43" w:rsidR="00DE3537" w:rsidRPr="00B27642" w:rsidRDefault="00DE3537" w:rsidP="00B27642">
                                  <w:pPr>
                                    <w:pStyle w:val="NormalWeb"/>
                                    <w:spacing w:before="120" w:beforeAutospacing="0" w:after="0" w:afterAutospacing="0"/>
                                    <w:ind w:left="346" w:hanging="346"/>
                                    <w:jc w:val="center"/>
                                    <w:rPr>
                                      <w:rFonts w:asciiTheme="minorHAnsi" w:hAnsiTheme="minorHAnsi"/>
                                      <w:sz w:val="22"/>
                                      <w:szCs w:val="22"/>
                                    </w:rPr>
                                  </w:pPr>
                                </w:p>
                              </w:txbxContent>
                            </wps:txbx>
                            <wps:bodyPr rot="0" vert="horz" wrap="square" lIns="36000" tIns="36000" rIns="36000" bIns="36000" anchor="ctr" anchorCtr="0" upright="1">
                              <a:noAutofit/>
                            </wps:bodyPr>
                          </wps:wsp>
                          <wps:wsp>
                            <wps:cNvPr id="172" name="Rectangle 172"/>
                            <wps:cNvSpPr>
                              <a:spLocks noChangeArrowheads="1"/>
                            </wps:cNvSpPr>
                            <wps:spPr bwMode="auto">
                              <a:xfrm>
                                <a:off x="0" y="-77"/>
                                <a:ext cx="567" cy="757"/>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11745FAE" w14:textId="77777777" w:rsidR="00DE3537" w:rsidRDefault="00DE3537" w:rsidP="004E0D59">
                                  <w:pPr>
                                    <w:pStyle w:val="NormalWeb"/>
                                    <w:spacing w:before="120" w:beforeAutospacing="0" w:after="0" w:afterAutospacing="0" w:line="360" w:lineRule="auto"/>
                                    <w:ind w:left="288" w:hanging="288"/>
                                    <w:jc w:val="center"/>
                                  </w:pPr>
                                  <w:r>
                                    <w:rPr>
                                      <w:b/>
                                      <w:bCs/>
                                      <w:sz w:val="20"/>
                                      <w:szCs w:val="20"/>
                                    </w:rPr>
                                    <w:t>8</w:t>
                                  </w:r>
                                </w:p>
                              </w:txbxContent>
                            </wps:txbx>
                            <wps:bodyPr rot="0" vert="horz" wrap="square" lIns="36000" tIns="36000" rIns="36000" bIns="36000" anchor="ctr" anchorCtr="0" upright="1">
                              <a:noAutofit/>
                            </wps:bodyPr>
                          </wps:wsp>
                        </wpg:grpSp>
                        <wps:wsp>
                          <wps:cNvPr id="173" name="Oval 173"/>
                          <wps:cNvSpPr>
                            <a:spLocks noChangeArrowheads="1"/>
                          </wps:cNvSpPr>
                          <wps:spPr bwMode="auto">
                            <a:xfrm>
                              <a:off x="2268" y="1"/>
                              <a:ext cx="680" cy="680"/>
                            </a:xfrm>
                            <a:prstGeom prst="ellipse">
                              <a:avLst/>
                            </a:prstGeom>
                            <a:blipFill dpi="0" rotWithShape="0">
                              <a:blip r:embed="rId10"/>
                              <a:srcRect/>
                              <a:stretch>
                                <a:fillRect/>
                              </a:stretch>
                            </a:blipFill>
                            <a:ln w="19050">
                              <a:solidFill>
                                <a:srgbClr val="000000"/>
                              </a:solidFill>
                              <a:round/>
                              <a:headEnd/>
                              <a:tailEnd/>
                            </a:ln>
                          </wps:spPr>
                          <wps:bodyPr rot="0" vert="horz" wrap="square" lIns="91440" tIns="45720" rIns="91440" bIns="45720" anchor="t" anchorCtr="0" upright="1">
                            <a:noAutofit/>
                          </wps:bodyPr>
                        </wps:wsp>
                      </wpg:wgp>
                    </wpc:wpc>
                  </a:graphicData>
                </a:graphic>
              </wp:inline>
            </w:drawing>
          </mc:Choice>
          <mc:Fallback>
            <w:pict>
              <v:group w14:anchorId="4C60761B" id="Zone de dessin 2" o:spid="_x0000_s1053" editas="canvas" style="width:453.6pt;height:721.4pt;mso-position-horizontal-relative:char;mso-position-vertical-relative:line" coordsize="57607,91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4" type="#_x0000_t75" style="position:absolute;width:57607;height:91617;visibility:visible;mso-wrap-style:square">
                  <v:fill o:detectmouseclick="t"/>
                  <v:path o:connecttype="none"/>
                </v:shape>
                <v:group id="Group 5" o:spid="_x0000_s1055" style="position:absolute;top:13500;width:4743;height:63004" coordorigin="964,2552" coordsize="680,9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Text Box 6" o:spid="_x0000_s1056" type="#_x0000_t202" style="position:absolute;left:1027;top:3683;width:617;height:6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MMzcEA&#10;AADaAAAADwAAAGRycy9kb3ducmV2LnhtbESPS2vDMBCE74X+B7GF3GrZCfThWgklEMgxtUPwcbHW&#10;D2qtXEtx7H8fFQo9DjPzDZPtZtOLiUbXWVaQRDEI4srqjhsF5+Lw/AbCeWSNvWVSsJCD3fbxIcNU&#10;2xt/0ZT7RgQIuxQVtN4PqZSuasmgi+xAHLzajgZ9kGMj9Yi3ADe9XMfxizTYcVhocaB9S9V3fjUK&#10;6pO8/DDnr1NC9ZIcuXwvdKnU6mn+/ADhafb/4b/2USvYwO+VcAPk9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zDM3BAAAA2gAAAA8AAAAAAAAAAAAAAAAAmAIAAGRycy9kb3du&#10;cmV2LnhtbFBLBQYAAAAABAAEAPUAAACGAwAAAAA=&#10;" strokecolor="white" strokeweight="1.5pt">
                    <v:textbox style="layout-flow:vertical;mso-layout-flow-alt:bottom-to-top" inset="1mm,1mm,1mm,1mm">
                      <w:txbxContent>
                        <w:p w14:paraId="11B27039" w14:textId="77777777" w:rsidR="00DE3537" w:rsidRPr="003A6602" w:rsidRDefault="00DE3537" w:rsidP="004E0D59">
                          <w:pPr>
                            <w:spacing w:line="240" w:lineRule="auto"/>
                            <w:jc w:val="center"/>
                          </w:pPr>
                          <w:r>
                            <w:t>TRIAL PROCESS</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7" type="#_x0000_t13" style="position:absolute;left:-3713;top:7229;width:9922;height:56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Fa4L8A&#10;AADaAAAADwAAAGRycy9kb3ducmV2LnhtbESPQYvCMBSE7wv+h/AEL4umiohUo8iygteqB4/P5tlW&#10;m5faxLb+eyMIHoeZ+YZZrjtTioZqV1hWMB5FIIhTqwvOFBwP2+EchPPIGkvLpOBJDtar3s8SY21b&#10;TqjZ+0wECLsYFeTeV7GULs3JoBvZijh4F1sb9EHWmdQ1tgFuSjmJopk0WHBYyLGiv5zS2/5hFJzO&#10;Xpf/jU6wbXbZ76a6Jnd7VWrQ7zYLEJ46/w1/2jutYArvK+EGy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oVrgvwAAANoAAAAPAAAAAAAAAAAAAAAAAJgCAABkcnMvZG93bnJl&#10;di54bWxQSwUGAAAAAAQABAD1AAAAhAMAAAAA&#10;" adj="19072,5638" strokeweight="1.5pt">
                    <v:fill opacity="0"/>
                  </v:shape>
                </v:group>
                <v:line id="Line 8" o:spid="_x0000_s1058" style="position:absolute;visibility:visible;mso-wrap-style:square" from="28803,12417" to="28809,91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RSksQAAADaAAAADwAAAGRycy9kb3ducmV2LnhtbESPQYvCMBSE78L+h/AEL6KpiiJdo6zC&#10;qgcvunvZ26N5ttXmpduktv57Iwgeh5n5hlmsWlOIG1Uut6xgNIxAECdW55wq+P35HsxBOI+ssbBM&#10;Cu7kYLX86Cww1rbhI91OPhUBwi5GBZn3ZSylSzIy6Ia2JA7e2VYGfZBVKnWFTYCbQo6jaCYN5hwW&#10;Mixpk1FyPdVGwWQ7ye8bd/mbrovmf1ce6mP/UCvV67ZfnyA8tf4dfrX3WsEUnlfCD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ZFKSxAAAANoAAAAPAAAAAAAAAAAA&#10;AAAAAKECAABkcnMvZG93bnJldi54bWxQSwUGAAAAAAQABAD5AAAAkgMAAAAA&#10;" strokeweight="1.5pt">
                  <v:stroke dashstyle="1 1" endcap="round"/>
                </v:line>
                <v:rect id="Rectangle 9" o:spid="_x0000_s1059" style="position:absolute;left:7194;top:3219;width:12598;height:7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CcAA&#10;AADaAAAADwAAAGRycy9kb3ducmV2LnhtbESP3YrCMBSE7wXfIRzBO5u6YJGuaVldBL305wHONsem&#10;bHNSmmjr25uFBS+HmfmG2ZSjbcWDet84VrBMUhDEldMN1wqul/1iDcIHZI2tY1LwJA9lMZ1sMNdu&#10;4BM9zqEWEcI+RwUmhC6X0leGLPrEdcTRu7neYoiyr6XucYhw28qPNM2kxYbjgsGOdoaq3/PdKjge&#10;6dA+96s6G39W2bcZbluZSqXms/HrE0SgMbzD/+2DVpDB35V4A2T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ZH+CcAAAADaAAAADwAAAAAAAAAAAAAAAACYAgAAZHJzL2Rvd25y&#10;ZXYueG1sUEsFBgAAAAAEAAQA9QAAAIUDAAAAAA==&#10;" fillcolor="#ccecff" strokeweight="1.5pt">
                  <v:textbox>
                    <w:txbxContent>
                      <w:p w14:paraId="49A41FF0" w14:textId="77777777" w:rsidR="00DE3537" w:rsidRDefault="00DE3537" w:rsidP="004E0D59">
                        <w:pPr>
                          <w:spacing w:line="240" w:lineRule="auto"/>
                          <w:jc w:val="center"/>
                        </w:pPr>
                        <w:r>
                          <w:t>HeLP GROUP</w:t>
                        </w:r>
                      </w:p>
                    </w:txbxContent>
                  </v:textbox>
                </v:rect>
                <v:rect id="Rectangle 10" o:spid="_x0000_s1060" style="position:absolute;left:36188;top:3117;width:12599;height:7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1bkr8A&#10;AADaAAAADwAAAGRycy9kb3ducmV2LnhtbESP3YrCMBSE7wXfIRzBO013wSrVKKsi6KU/D3Bsjk2x&#10;OSlN1ta3N4Lg5TAz3zCLVWcr8aDGl44V/IwTEMS50yUXCi7n3WgGwgdkjZVjUvAkD6tlv7fATLuW&#10;j/Q4hUJECPsMFZgQ6kxKnxuy6MeuJo7ezTUWQ5RNIXWDbYTbSv4mSSotlhwXDNa0MZTfT/9WweFA&#10;++q5mxRpd52kW9Pe1jKRSg0H3d8cRKAufMOf9l4rmML7SrwBcv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3VuSvwAAANoAAAAPAAAAAAAAAAAAAAAAAJgCAABkcnMvZG93bnJl&#10;di54bWxQSwUGAAAAAAQABAD1AAAAhAMAAAAA&#10;" fillcolor="#ccecff" strokeweight="1.5pt">
                  <v:textbox>
                    <w:txbxContent>
                      <w:p w14:paraId="583EA5D6" w14:textId="77777777" w:rsidR="00DE3537" w:rsidRDefault="00DE3537" w:rsidP="004E0D59">
                        <w:pPr>
                          <w:spacing w:line="240" w:lineRule="auto"/>
                          <w:jc w:val="center"/>
                          <w:rPr>
                            <w:lang w:val="en-US"/>
                          </w:rPr>
                        </w:pPr>
                        <w:r w:rsidRPr="00497ABA">
                          <w:t>C</w:t>
                        </w:r>
                        <w:r w:rsidRPr="00497ABA">
                          <w:rPr>
                            <w:lang w:val="en-US"/>
                          </w:rPr>
                          <w:t>ONTROL</w:t>
                        </w:r>
                      </w:p>
                      <w:p w14:paraId="766CDC6E" w14:textId="77777777" w:rsidR="00DE3537" w:rsidRPr="00497ABA" w:rsidRDefault="00DE3537" w:rsidP="004E0D59">
                        <w:pPr>
                          <w:spacing w:line="240" w:lineRule="auto"/>
                          <w:jc w:val="center"/>
                          <w:rPr>
                            <w:lang w:val="en-US"/>
                          </w:rPr>
                        </w:pPr>
                        <w:r w:rsidRPr="00497ABA">
                          <w:rPr>
                            <w:lang w:val="en-US"/>
                          </w:rPr>
                          <w:t>GROUP</w:t>
                        </w:r>
                      </w:p>
                    </w:txbxContent>
                  </v:textbox>
                </v:rect>
                <v:group id="Groupe 80" o:spid="_x0000_s1061" style="position:absolute;left:19030;top:35636;width:19527;height:7950" coordorigin=",95" coordsize="19526,7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Double flèche horizontale 81" o:spid="_x0000_s1062" type="#_x0000_t69" style="position:absolute;top:2667;width:19526;height:5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xqxsQA&#10;AADbAAAADwAAAGRycy9kb3ducmV2LnhtbESPQWvCQBCF74X+h2UKvdWNBqSNriKFggUpVK3nMTsm&#10;wexs2F2T+O87h0JvM7w3732zXI+uVT2F2Hg2MJ1koIhLbxuuDBwPHy+voGJCtth6JgN3irBePT4s&#10;sbB+4G/q96lSEsKxQAN1Sl2hdSxrchgnviMW7eKDwyRrqLQNOEi4a/Usy+baYcPSUGNH7zWV1/3N&#10;GcjCMH7Nf3L3ttkOn253zM+nPjfm+WncLEAlGtO/+e96awVf6OUXGU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casbEAAAA2wAAAA8AAAAAAAAAAAAAAAAAmAIAAGRycy9k&#10;b3ducmV2LnhtbFBLBQYAAAAABAAEAPUAAACJAwAAAAA=&#10;" adj="4640" fillcolor="black" strokeweight="1.5pt">
                    <v:textbox inset="2.5mm,1mm,,1mm">
                      <w:txbxContent>
                        <w:p w14:paraId="4FC5EB15" w14:textId="77777777" w:rsidR="00DE3537" w:rsidRPr="00465649" w:rsidRDefault="00DE3537" w:rsidP="004E0D59">
                          <w:pPr>
                            <w:pStyle w:val="NormalWeb"/>
                            <w:spacing w:before="0" w:beforeAutospacing="0" w:after="0" w:afterAutospacing="0"/>
                            <w:jc w:val="center"/>
                            <w:rPr>
                              <w:color w:val="FFFFFF" w:themeColor="background1"/>
                            </w:rPr>
                          </w:pPr>
                          <w:r w:rsidRPr="00465649">
                            <w:rPr>
                              <w:b/>
                              <w:bCs/>
                              <w:color w:val="FFFFFF" w:themeColor="background1"/>
                              <w:sz w:val="20"/>
                              <w:szCs w:val="20"/>
                            </w:rPr>
                            <w:t>RANDOMISATION</w:t>
                          </w:r>
                        </w:p>
                      </w:txbxContent>
                    </v:textbox>
                  </v:shape>
                  <v:shape id="Text Box 34" o:spid="_x0000_s1063" type="#_x0000_t202" style="position:absolute;left:8001;top:95;width:3587;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zWcMAA&#10;AADbAAAADwAAAGRycy9kb3ducmV2LnhtbERPzWqDQBC+B/oOyxR6i6tCSzDZSIikLT01Jg8wuFOV&#10;urOyu1Hz9t1Cobf5+H5nVy5mEBM531tWkCUpCOLG6p5bBdfLab0B4QOyxsEyKbiTh3L/sNphoe3M&#10;Z5rq0IoYwr5ABV0IYyGlbzoy6BM7EkfuyzqDIULXSu1wjuFmkHmavkiDPceGDkc6dtR81zej4Lmq&#10;z/l0n7MqfcNN9Tp9OP2JSj09LoctiEBL+Bf/ud91nJ/B7y/xA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mzWcMAAAADbAAAADwAAAAAAAAAAAAAAAACYAgAAZHJzL2Rvd25y&#10;ZXYueG1sUEsFBgAAAAAEAAQA9QAAAIUDAAAAAA==&#10;" fillcolor="black" stroked="f" strokeweight="3pt">
                    <v:shadow color="#7f7f7f" opacity=".5" offset="1pt"/>
                    <v:textbox inset="1mm,1mm,1mm,1mm">
                      <w:txbxContent>
                        <w:p w14:paraId="63D2A89A" w14:textId="77777777" w:rsidR="00DE3537" w:rsidRDefault="00DE3537" w:rsidP="004E0D59">
                          <w:pPr>
                            <w:ind w:left="284" w:hanging="284"/>
                            <w:jc w:val="center"/>
                          </w:pPr>
                          <w:r>
                            <w:t>5</w:t>
                          </w:r>
                        </w:p>
                      </w:txbxContent>
                    </v:textbox>
                  </v:shape>
                  <v:shapetype id="_x0000_t32" coordsize="21600,21600" o:spt="32" o:oned="t" path="m,l21600,21600e" filled="f">
                    <v:path arrowok="t" fillok="f" o:connecttype="none"/>
                    <o:lock v:ext="edit" shapetype="t"/>
                  </v:shapetype>
                  <v:shape id="AutoShape 36" o:spid="_x0000_s1064" type="#_x0000_t32" style="position:absolute;left:9811;top:1999;width:6;height:3601;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zJWMMAAADbAAAADwAAAGRycy9kb3ducmV2LnhtbESPQWvCQBCF74X+h2UK3upGwSKpq2jE&#10;kGus4HXMTpNgdjZk1yT667uC0NsM78373qw2o2lET52rLSuYTSMQxIXVNZcKTj+HzyUI55E1NpZJ&#10;wZ0cbNbvbyuMtR04p/7oSxFC2MWooPK+jaV0RUUG3dS2xEH7tZ1BH9aulLrDIYSbRs6j6EsarDkQ&#10;Kmwpqai4Hm8mQLbLU5L2Jllc2sf+fEjzPtvtlJp8jNtvEJ5G/29+XWc61J/D85cw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8yVjDAAAA2wAAAA8AAAAAAAAAAAAA&#10;AAAAoQIAAGRycy9kb3ducmV2LnhtbFBLBQYAAAAABAAEAPkAAACRAwAAAAA=&#10;" strokecolor="white" strokeweight="1.6pt"/>
                </v:group>
                <v:group id="Group 76" o:spid="_x0000_s1065" style="position:absolute;left:14668;top:49403;width:28289;height:4159" coordsize="4032,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7" o:spid="_x0000_s1066" type="#_x0000_t34" style="position:absolute;left:2696;top:-682;width:653;height:201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seR8IAAADcAAAADwAAAGRycy9kb3ducmV2LnhtbERPyWrDMBC9F/IPYgK9NXJyCI0TJYRg&#10;04Vemu08WBPbxBoZSbFdf311KPT4ePtmN5hGdOR8bVnBfJaAIC6srrlUcD7lL68gfEDW2FgmBT/k&#10;YbedPG0w1bbnb+qOoRQxhH2KCqoQ2lRKX1Rk0M9sSxy5m3UGQ4SulNphH8NNIxdJspQGa44NFbZ0&#10;qKi4Hx9GgX2sso/PN5d9XUuZd/VtbC6XUann6bBfgwg0hH/xn/tdK1iu4tp4Jh4Bu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kseR8IAAADcAAAADwAAAAAAAAAAAAAA&#10;AAChAgAAZHJzL2Rvd25yZXYueG1sUEsFBgAAAAAEAAQA+QAAAJADAAAAAA==&#10;" adj="13794" strokeweight="1.5pt"/>
                  <v:shape id="AutoShape 78" o:spid="_x0000_s1067" type="#_x0000_t34" style="position:absolute;left:682;top:-680;width:653;height:201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3N5sEAAADbAAAADwAAAGRycy9kb3ducmV2LnhtbESPQYvCMBSE74L/ITxhL6LpCkqtRpEV&#10;wWt1D+vt0TzbYvNSk6jdf28EweMwM98wy3VnGnEn52vLCr7HCQjiwuqaSwW/x90oBeEDssbGMin4&#10;Jw/rVb+3xEzbB+d0P4RSRAj7DBVUIbSZlL6oyKAf25Y4emfrDIYoXSm1w0eEm0ZOkmQmDdYcFyps&#10;6aei4nK4GQX5vKy3LmlvKaZ5Pvzj60nOr0p9DbrNAkSgLnzC7/ZeK5hO4PUl/gC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Hc3mwQAAANsAAAAPAAAAAAAAAAAAAAAA&#10;AKECAABkcnMvZG93bnJldi54bWxQSwUGAAAAAAQABAD5AAAAjwMAAAAA&#10;" adj="13794" strokeweight="1.5pt"/>
                </v:group>
                <v:group id="Group 80" o:spid="_x0000_s1068" style="position:absolute;left:14662;top:57912;width:28283;height:4159;flip:x y" coordorigin=",514350" coordsize="4032,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eOT/rFAAAA2wAA&#10;AA8AAAAAAAAAAAAAAAAAqgIAAGRycy9kb3ducmV2LnhtbFBLBQYAAAAABAAEAPoAAACcAwAAAAA=&#10;">
                  <v:shape id="AutoShape 81" o:spid="_x0000_s1069" type="#_x0000_t34" style="position:absolute;left:2696;top:513668;width:653;height:201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chIMQAAADbAAAADwAAAGRycy9kb3ducmV2LnhtbESPQWvCQBSE70L/w/IEb7qxoGh0lVKU&#10;1uLFtHp+ZJ9JaPZt2F1j6q93C4LHYWa+YZbrztSiJecrywrGowQEcW51xYWCn+/tcAbCB2SNtWVS&#10;8Ece1quX3hJTba98oDYLhYgQ9ikqKENoUil9XpJBP7INcfTO1hkMUbpCaofXCDe1fE2SqTRYcVwo&#10;saH3kvLf7GIU2Mt8s/v6cJv9qZDbtjrf6uPxptSg370tQATqwjP8aH9qBdMJ/H+JP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5yEgxAAAANsAAAAPAAAAAAAAAAAA&#10;AAAAAKECAABkcnMvZG93bnJldi54bWxQSwUGAAAAAAQABAD5AAAAkgMAAAAA&#10;" adj="13794" strokeweight="1.5pt"/>
                  <v:shape id="AutoShape 82" o:spid="_x0000_s1070" type="#_x0000_t34" style="position:absolute;left:682;top:513670;width:653;height:201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oBWMMAAADbAAAADwAAAGRycy9kb3ducmV2LnhtbESPwWrDMBBE74X8g9hALyWWm4NxXCsh&#10;JBRyddpDclusrW1irRxJsd2/rwqFHoeZecOUu9n0YiTnO8sKXpMUBHFtdceNgs+P91UOwgdkjb1l&#10;UvBNHnbbxVOJhbYTVzSeQyMihH2BCtoQhkJKX7dk0Cd2II7el3UGQ5SukdrhFOGml+s0zaTBjuNC&#10;iwMdWqpv54dRUG2a7ujS4ZFjXlUvF75f5eau1PNy3r+BCDSH//Bf+6QVZBn8fok/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KAVjDAAAA2wAAAA8AAAAAAAAAAAAA&#10;AAAAoQIAAGRycy9kb3ducmV2LnhtbFBLBQYAAAAABAAEAPkAAACRAwAAAAA=&#10;" adj="13794" strokeweight="1.5pt"/>
                </v:group>
                <v:group id="Group 85" o:spid="_x0000_s1071" style="position:absolute;left:19411;top:10960;width:18885;height:4318" coordorigin="5700,1887" coordsize="297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group id="_x0000_s1072" style="position:absolute;left:5700;top:1887;width:2277;height:680" coordorigin="856,2314" coordsize="2277,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rect id="Rectangle 13" o:spid="_x0000_s1073" style="position:absolute;left:1432;top:2314;width:1701;height: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X38MEA&#10;AADbAAAADwAAAGRycy9kb3ducmV2LnhtbESP0YrCMBRE34X9h3AX9k3TdUXWapRFEERU0O0HXJpr&#10;G2xuShK1/r0RBB+HmTnDzBadbcSVfDCOFXwPMhDEpdOGKwXF/6r/CyJEZI2NY1JwpwCL+Udvhrl2&#10;Nz7Q9RgrkSAcclRQx9jmUoayJoth4Fri5J2ctxiT9JXUHm8Jbhs5zLKxtGg4LdTY0rKm8ny8WAWN&#10;GW2kLuJ+W/x0wwv5pSx3Rqmvz+5vCiJSF9/hV3utFYwn8PySfoC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19/DBAAAA2wAAAA8AAAAAAAAAAAAAAAAAmAIAAGRycy9kb3du&#10;cmV2LnhtbFBLBQYAAAAABAAEAPUAAACGAwAAAAA=&#10;" fillcolor="black" strokeweight="1.5pt">
                      <v:textbox inset="1mm,1mm,1mm,1mm">
                        <w:txbxContent>
                          <w:p w14:paraId="0EF0025D" w14:textId="77777777" w:rsidR="00DE3537" w:rsidRPr="00A25E9D" w:rsidRDefault="00DE3537" w:rsidP="004E0D59">
                            <w:pPr>
                              <w:spacing w:line="240" w:lineRule="auto"/>
                              <w:jc w:val="center"/>
                            </w:pPr>
                            <w:r>
                              <w:rPr>
                                <w:lang w:val="en-US"/>
                              </w:rPr>
                              <w:t>Identification of Schools</w:t>
                            </w:r>
                          </w:p>
                        </w:txbxContent>
                      </v:textbox>
                    </v:rect>
                    <v:rect id="Rectangle 14" o:spid="_x0000_s1074" style="position:absolute;left:856;top:2314;width:567;height: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KfpcUA&#10;AADbAAAADwAAAGRycy9kb3ducmV2LnhtbESPT2vCQBTE74LfYXlCL6Kb9FBjdBUtLbTQS/1zf2Sf&#10;2WD2bZLdxrSfvlsQehxm5jfMejvYWvTU+cqxgnSegCAunK64VHA6vs4yED4ga6wdk4Jv8rDdjEdr&#10;zLW78Sf1h1CKCGGfowITQpNL6QtDFv3cNcTRu7jOYoiyK6Xu8BbhtpaPSfIkLVYcFww29GyouB6+&#10;rIL2PM0W6Xu2L14+TFvb3rv2xyv1MBl2KxCBhvAfvrfftIJlCn9f4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p+lxQAAANsAAAAPAAAAAAAAAAAAAAAAAJgCAABkcnMv&#10;ZG93bnJldi54bWxQSwUGAAAAAAQABAD1AAAAigMAAAAA&#10;" fillcolor="black" strokeweight="1.5pt">
                      <v:shadow color="#7f7f7f" opacity=".5" offset="1pt"/>
                      <v:textbox inset="1mm,1mm,1mm,1mm">
                        <w:txbxContent>
                          <w:p w14:paraId="4FFEBABD" w14:textId="77777777" w:rsidR="00DE3537" w:rsidRPr="005B328D" w:rsidRDefault="00DE3537" w:rsidP="004E0D59">
                            <w:pPr>
                              <w:spacing w:line="240" w:lineRule="auto"/>
                              <w:jc w:val="center"/>
                              <w:rPr>
                                <w:color w:val="FFFFFF"/>
                              </w:rPr>
                            </w:pPr>
                            <w:r>
                              <w:t>1</w:t>
                            </w:r>
                          </w:p>
                        </w:txbxContent>
                      </v:textbox>
                    </v:rect>
                    <v:shape id="AutoShape 15" o:spid="_x0000_s1075" type="#_x0000_t32" style="position:absolute;left:1424;top:2320;width:0;height:5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9+tsQAAADbAAAADwAAAGRycy9kb3ducmV2LnhtbESPQWvCQBSE7wX/w/IEL0E39SA1uoqI&#10;FS8p1Ip4fGSf2WD2bcyuGv+9Wyj0OMzMN8x82dla3Kn1lWMF76MUBHHhdMWlgsPP5/ADhA/IGmvH&#10;pOBJHpaL3tscM+0e/E33fShFhLDPUIEJocmk9IUhi37kGuLonV1rMUTZllK3+IhwW8txmk6kxYrj&#10;gsGG1oaKy/5mFXxVqA/XzTUx+elIXb7Nk0mSKzXod6sZiEBd+A//tXdawXQMv1/iD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D362xAAAANsAAAAPAAAAAAAAAAAA&#10;AAAAAKECAABkcnMvZG93bnJldi54bWxQSwUGAAAAAAQABAD5AAAAkgMAAAAA&#10;" strokecolor="white" strokeweight="1.5pt"/>
                  </v:group>
                  <v:shape id="AutoShape 16" o:spid="_x0000_s1076" type="#_x0000_t23" style="position:absolute;left:7994;top:188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VAS78A&#10;AADbAAAADwAAAGRycy9kb3ducmV2LnhtbESPzQrCMBCE74LvEFbwZlMVRKtRRBAEL/5dvC3N2hab&#10;TW2irW9vBMHjMDPfMItVa0rxotoVlhUMoxgEcWp1wZmCy3k7mIJwHlljaZkUvMnBatntLDDRtuEj&#10;vU4+EwHCLkEFufdVIqVLczLoIlsRB+9ma4M+yDqTusYmwE0pR3E8kQYLDgs5VrTJKb2fnkbBfm8f&#10;lo8HM86eDe2uDz1pr16pfq9dz0F4av0//GvvtILZGL5fw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dUBLvwAAANsAAAAPAAAAAAAAAAAAAAAAAJgCAABkcnMvZG93bnJl&#10;di54bWxQSwUGAAAAAAQABAD1AAAAhAMAAAAA&#10;" adj="4911" fillcolor="black"/>
                </v:group>
                <v:group id="Group 85" o:spid="_x0000_s1077" style="position:absolute;left:19354;top:17056;width:18885;height:4318" coordorigin="5700,1887" coordsize="297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dTVMUAAADcAAAADwAAAGRycy9kb3ducmV2LnhtbESPQWvCQBSE7wX/w/IE&#10;b7qJYrXRVURUPEihWii9PbLPJJh9G7JrEv+9WxB6HGbmG2a57kwpGqpdYVlBPIpAEKdWF5wp+L7s&#10;h3MQziNrLC2Tggc5WK96b0tMtG35i5qzz0SAsEtQQe59lUjp0pwMupGtiIN3tbVBH2SdSV1jG+Cm&#10;lOMoepcGCw4LOVa0zSm9ne9GwaHFdjOJd83pdt0+fi/Tz59TTEoN+t1mAcJT5//Dr/ZRK5h9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XU1TFAAAA3AAA&#10;AA8AAAAAAAAAAAAAAAAAqgIAAGRycy9kb3ducmV2LnhtbFBLBQYAAAAABAAEAPoAAACcAwAAAAA=&#10;">
                  <v:group id="_x0000_s1078" style="position:absolute;left:5700;top:1887;width:2277;height:680" coordorigin="856,2314" coordsize="2277,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LIMcAAADcAAAADwAAAGRycy9kb3ducmV2LnhtbESPT2vCQBTE74LfYXlC&#10;b3UTa22NriJSSw+hoBaKt0f2mQSzb0N2mz/fvlsoeBxm5jfMetubSrTUuNKygngagSDOrC45V/B1&#10;Pjy+gnAeWWNlmRQM5GC7GY/WmGjb8ZHak89FgLBLUEHhfZ1I6bKCDLqprYmDd7WNQR9kk0vdYBfg&#10;ppKzKFpIgyWHhQJr2heU3U4/RsF7h93uKX5r09t1P1zOz5/faUxKPUz63QqEp97fw//tD63gZTm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7LIMcAAADc&#10;AAAADwAAAAAAAAAAAAAAAACqAgAAZHJzL2Rvd25yZXYueG1sUEsFBgAAAAAEAAQA+gAAAJ4DAAAA&#10;AA==&#10;">
                    <v:rect id="Rectangle 13" o:spid="_x0000_s1079" style="position:absolute;left:1432;top:2314;width:1701;height: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YHWMMA&#10;AADcAAAADwAAAGRycy9kb3ducmV2LnhtbESP3WoCMRSE7wu+QzhC72rWn7a6GkWEQhEVavcBDpvj&#10;bnBzsiRRt29vBKGXw8x8wyxWnW3ElXwwjhUMBxkI4tJpw5WC4vfrbQoiRGSNjWNS8EcBVsveywJz&#10;7W78Q9djrESCcMhRQR1jm0sZyposhoFriZN3ct5iTNJXUnu8Jbht5CjLPqRFw2mhxpY2NZXn48Uq&#10;aMxkK3URD7ti3I0u5Dey3BulXvvdeg4iUhf/w8/2t1bwOXuHx5l0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YHWMMAAADcAAAADwAAAAAAAAAAAAAAAACYAgAAZHJzL2Rv&#10;d25yZXYueG1sUEsFBgAAAAAEAAQA9QAAAIgDAAAAAA==&#10;" fillcolor="black" strokeweight="1.5pt">
                      <v:textbox inset="1mm,1mm,1mm,1mm">
                        <w:txbxContent>
                          <w:p w14:paraId="3A22C3D8" w14:textId="77777777" w:rsidR="00DE3537" w:rsidRPr="00A25E9D" w:rsidRDefault="00DE3537" w:rsidP="004E0D59">
                            <w:pPr>
                              <w:spacing w:line="240" w:lineRule="auto"/>
                              <w:jc w:val="center"/>
                            </w:pPr>
                            <w:r>
                              <w:rPr>
                                <w:lang w:val="en-US"/>
                              </w:rPr>
                              <w:t>Recruitment of Schools</w:t>
                            </w:r>
                          </w:p>
                        </w:txbxContent>
                      </v:textbox>
                    </v:rect>
                    <v:rect id="Rectangle 14" o:spid="_x0000_s1080" style="position:absolute;left:856;top:2314;width:567;height: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tX6sUA&#10;AADcAAAADwAAAGRycy9kb3ducmV2LnhtbESPQWvCQBSE74X+h+UVeim60YPG1FVasVDBS9P2/sg+&#10;s8Hs2yS7xtRf7wpCj8PMfMMs14OtRU+drxwrmIwTEMSF0xWXCn6+P0YpCB+QNdaOScEfeVivHh+W&#10;mGl35i/q81CKCGGfoQITQpNJ6QtDFv3YNcTRO7jOYoiyK6Xu8BzhtpbTJJlJixXHBYMNbQwVx/xk&#10;FbS/L+l8skvfi+3etLXtvWsvXqnnp+HtFUSgIfyH7+1PrWC+mMHtTDw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61fqxQAAANwAAAAPAAAAAAAAAAAAAAAAAJgCAABkcnMv&#10;ZG93bnJldi54bWxQSwUGAAAAAAQABAD1AAAAigMAAAAA&#10;" fillcolor="black" strokeweight="1.5pt">
                      <v:shadow color="#7f7f7f" opacity=".5" offset="1pt"/>
                      <v:textbox inset="1mm,1mm,1mm,1mm">
                        <w:txbxContent>
                          <w:p w14:paraId="7D6897BF" w14:textId="77777777" w:rsidR="00DE3537" w:rsidRPr="005B328D" w:rsidRDefault="00DE3537" w:rsidP="004E0D59">
                            <w:pPr>
                              <w:spacing w:line="240" w:lineRule="auto"/>
                              <w:jc w:val="center"/>
                              <w:rPr>
                                <w:color w:val="FFFFFF"/>
                              </w:rPr>
                            </w:pPr>
                            <w:r>
                              <w:t>2</w:t>
                            </w:r>
                          </w:p>
                        </w:txbxContent>
                      </v:textbox>
                    </v:rect>
                    <v:shape id="AutoShape 15" o:spid="_x0000_s1081" type="#_x0000_t32" style="position:absolute;left:1424;top:2320;width:0;height:5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at8YAAADcAAAADwAAAGRycy9kb3ducmV2LnhtbESPQWvCQBSE7wX/w/KEXoJu2oPW6CZI&#10;aUsvKWhFPD6yz2ww+zZmt5r+e1co9DjMzDfMqhhsKy7U+8axgqdpCoK4crrhWsHu+33yAsIHZI2t&#10;Y1LwSx6KfPSwwky7K2/osg21iBD2GSowIXSZlL4yZNFPXUccvaPrLYYo+1rqHq8Rblv5nKYzabHh&#10;uGCwo1dD1Wn7YxV8Nah357dzYsrDnobyo0xmSanU43hYL0EEGsJ/+K/9qRXMF3O4n4lHQO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BmrfGAAAA3AAAAA8AAAAAAAAA&#10;AAAAAAAAoQIAAGRycy9kb3ducmV2LnhtbFBLBQYAAAAABAAEAPkAAACUAwAAAAA=&#10;" strokecolor="white" strokeweight="1.5pt"/>
                  </v:group>
                  <v:shape id="AutoShape 16" o:spid="_x0000_s1082" type="#_x0000_t23" style="position:absolute;left:7994;top:188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5a70A&#10;AADcAAAADwAAAGRycy9kb3ducmV2LnhtbERPyQrCMBC9C/5DGMGbpiq4VKOIIAhe3C69Dc3YFptJ&#10;baKtf28OgsfH21eb1pTiTbUrLCsYDSMQxKnVBWcKbtf9YA7CeWSNpWVS8CEHm3W3s8JY24bP9L74&#10;TIQQdjEqyL2vYildmpNBN7QVceDutjboA6wzqWtsQrgp5TiKptJgwaEhx4p2OaWPy8soOB7t0/L5&#10;ZCbZq6FD8tTTNvFK9XvtdgnCU+v/4p/7oBXMF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m+5a70AAADcAAAADwAAAAAAAAAAAAAAAACYAgAAZHJzL2Rvd25yZXYu&#10;eG1sUEsFBgAAAAAEAAQA9QAAAIIDAAAAAA==&#10;" adj="4911" fillcolor="black"/>
                </v:group>
                <v:group id="Group 84" o:spid="_x0000_s1083" style="position:absolute;left:19348;top:23107;width:18879;height:4318" coordorigin="5703,4415" coordsize="2973,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9kvsYAAADcAAAADwAAAGRycy9kb3ducmV2LnhtbESPT2vCQBTE74LfYXlC&#10;b3UTi9WkriKi0oMUqoXS2yP78gezb0N2TeK37xYKHoeZ+Q2z2gymFh21rrKsIJ5GIIgzqysuFHxd&#10;Ds9LEM4ja6wtk4I7Odisx6MVptr2/End2RciQNilqKD0vkmldFlJBt3UNsTBy21r0AfZFlK32Ae4&#10;qeUsil6lwYrDQokN7UrKruebUXDssd++xPvudM1395/L/OP7FJNST5Nh+wbC0+Af4f/2u1awS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v2S+xgAAANwA&#10;AAAPAAAAAAAAAAAAAAAAAKoCAABkcnMvZG93bnJldi54bWxQSwUGAAAAAAQABAD6AAAAnQMAAAAA&#10;">
                  <v:group id="Group 26" o:spid="_x0000_s1084" style="position:absolute;left:5703;top:4415;width:2277;height:680" coordorigin="856,2314" coordsize="2277,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rect id="Rectangle 27" o:spid="_x0000_s1085" style="position:absolute;left:1432;top:2314;width:1701;height: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Dzv8MA&#10;AADcAAAADwAAAGRycy9kb3ducmV2LnhtbESP0WoCMRBF3wv+QxjBt5pVSymrUUQQRNpC7X7AsBl3&#10;g5vJkkRd/955KPRthnvn3jOrzeA7daOYXGADs2kBirgO1nFjoPrdv36AShnZYheYDDwowWY9ellh&#10;acOdf+h2yo2SEE4lGmhz7kutU92SxzQNPbFo5xA9Zlljo23Eu4T7Ts+L4l17dCwNLfa0a6m+nK7e&#10;QOfejtpW+fuzWgzzK8Wdrr+cMZPxsF2CyjTkf/Pf9cEKfiH48oxMo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Dzv8MAAADcAAAADwAAAAAAAAAAAAAAAACYAgAAZHJzL2Rv&#10;d25yZXYueG1sUEsFBgAAAAAEAAQA9QAAAIgDAAAAAA==&#10;" fillcolor="black" strokeweight="1.5pt">
                      <v:textbox inset="1mm,1mm,1mm,1mm">
                        <w:txbxContent>
                          <w:p w14:paraId="7E5905E4" w14:textId="77777777" w:rsidR="00DE3537" w:rsidRPr="00A25E9D" w:rsidRDefault="00DE3537" w:rsidP="004E0D59">
                            <w:pPr>
                              <w:spacing w:line="240" w:lineRule="auto"/>
                              <w:jc w:val="center"/>
                            </w:pPr>
                            <w:r>
                              <w:rPr>
                                <w:lang w:val="en-US"/>
                              </w:rPr>
                              <w:t>Identification of Children</w:t>
                            </w:r>
                          </w:p>
                        </w:txbxContent>
                      </v:textbox>
                    </v:rect>
                    <v:rect id="_x0000_s1086" style="position:absolute;left:856;top:2314;width:567;height: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OY4cIA&#10;AADcAAAADwAAAGRycy9kb3ducmV2LnhtbERPTWvCQBC9C/6HZYReRDfpQUN0FVtaqOBFW+9DdswG&#10;s7NJdhvT/nq3UPA2j/c56+1ga9FT5yvHCtJ5AoK4cLriUsHX5/ssA+EDssbaMSn4IQ/bzXi0xly7&#10;Gx+pP4VSxBD2OSowITS5lL4wZNHPXUMcuYvrLIYIu1LqDm8x3NbyOUkW0mLFscFgQ6+Giuvp2ypo&#10;z9Nsme6zl+LtYNra9t61v16pp8mwW4EINISH+N/9oeP8JIW/Z+IF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Q5jhwgAAANwAAAAPAAAAAAAAAAAAAAAAAJgCAABkcnMvZG93&#10;bnJldi54bWxQSwUGAAAAAAQABAD1AAAAhwMAAAAA&#10;" fillcolor="black" strokeweight="1.5pt">
                      <v:shadow color="#7f7f7f" opacity=".5" offset="1pt"/>
                      <v:textbox inset="1mm,1mm,1mm,1mm">
                        <w:txbxContent>
                          <w:p w14:paraId="248FE06A" w14:textId="77777777" w:rsidR="00DE3537" w:rsidRPr="005B328D" w:rsidRDefault="00DE3537" w:rsidP="004E0D59">
                            <w:pPr>
                              <w:ind w:left="284" w:hanging="284"/>
                              <w:jc w:val="center"/>
                              <w:rPr>
                                <w:color w:val="FFFFFF"/>
                              </w:rPr>
                            </w:pPr>
                            <w:r>
                              <w:t>3</w:t>
                            </w:r>
                          </w:p>
                        </w:txbxContent>
                      </v:textbox>
                    </v:rect>
                    <v:shape id="AutoShape 29" o:spid="_x0000_s1087" type="#_x0000_t32" style="position:absolute;left:1424;top:2320;width:0;height:5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duUMIAAADcAAAADwAAAGRycy9kb3ducmV2LnhtbERPS4vCMBC+C/6HMMJeiqZ6EKlGEdkV&#10;L13wwbLHoRmbYjOpTdTuv98Igrf5+J6zWHW2FndqfeVYwXiUgiAunK64VHA6fg1nIHxA1lg7JgV/&#10;5GG17PcWmGn34D3dD6EUMYR9hgpMCE0mpS8MWfQj1xBH7uxaiyHCtpS6xUcMt7WcpOlUWqw4Nhhs&#10;aGOouBxuVsF3hfp0/bwmJv/9oS7f5sk0yZX6GHTrOYhAXXiLX+6djvPTCTyfiRfI5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TduUMIAAADcAAAADwAAAAAAAAAAAAAA&#10;AAChAgAAZHJzL2Rvd25yZXYueG1sUEsFBgAAAAAEAAQA+QAAAJADAAAAAA==&#10;" strokecolor="white" strokeweight="1.5pt"/>
                  </v:group>
                  <v:oval id="Oval 30" o:spid="_x0000_s1088" style="position:absolute;left:7996;top:441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ebVMEA&#10;AADcAAAADwAAAGRycy9kb3ducmV2LnhtbERPS4vCMBC+C/6HMII3TVRY3GoqIogiwqLrwePQTB/Y&#10;TEoTtfrrNwsLe5uP7znLVWdr8aDWV441TMYKBHHmTMWFhsv3djQH4QOywdoxaXiRh1Xa7y0xMe7J&#10;J3qcQyFiCPsENZQhNImUPivJoh+7hjhyuWsthgjbQpoWnzHc1nKq1Ie0WHFsKLGhTUnZ7Xy3GjLJ&#10;G6WanZ3Mjoe7f39ej/nXVevhoFsvQATqwr/4z703cb6awe8z8QKZ/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Xm1TBAAAA3AAAAA8AAAAAAAAAAAAAAAAAmAIAAGRycy9kb3du&#10;cmV2LnhtbFBLBQYAAAAABAAEAPUAAACGAwAAAAA=&#10;" strokeweight="1.5pt">
                    <v:fill r:id="rId11" o:title="" recolor="t" type="frame"/>
                  </v:oval>
                </v:group>
                <v:group id="Group 84" o:spid="_x0000_s1089" style="position:absolute;left:19361;top:29311;width:18878;height:4318" coordorigin="5703,4415" coordsize="2973,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group id="Group 26" o:spid="_x0000_s1090" style="position:absolute;left:5703;top:4415;width:2277;height:680" coordorigin="856,2314" coordsize="2277,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rect id="Rectangle 27" o:spid="_x0000_s1091" style="position:absolute;left:1432;top:2314;width:1701;height: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OUL8A&#10;AADcAAAADwAAAGRycy9kb3ducmV2LnhtbERP24rCMBB9F/yHMIJvmqqLLF2jLIIg4gp2+wFDM9uG&#10;bSYliVr/3giCb3M411ltetuKK/lgHCuYTTMQxJXThmsF5e9u8gkiRGSNrWNScKcAm/VwsMJcuxuf&#10;6VrEWqQQDjkqaGLscilD1ZDFMHUdceL+nLcYE/S11B5vKdy2cp5lS2nRcGposKNtQ9V/cbEKWvNx&#10;kLqMp2O56OcX8ltZ/RilxqP++wtEpD6+xS/3Xqf52RKez6QL5P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hc5QvwAAANwAAAAPAAAAAAAAAAAAAAAAAJgCAABkcnMvZG93bnJl&#10;di54bWxQSwUGAAAAAAQABAD1AAAAhAMAAAAA&#10;" fillcolor="black" strokeweight="1.5pt">
                      <v:textbox inset="1mm,1mm,1mm,1mm">
                        <w:txbxContent>
                          <w:p w14:paraId="4342911A" w14:textId="77777777" w:rsidR="00DE3537" w:rsidRPr="00A25E9D" w:rsidRDefault="00DE3537" w:rsidP="004E0D59">
                            <w:pPr>
                              <w:spacing w:line="240" w:lineRule="auto"/>
                              <w:jc w:val="center"/>
                            </w:pPr>
                            <w:r>
                              <w:rPr>
                                <w:lang w:val="en-US"/>
                              </w:rPr>
                              <w:t>Recruitment of Children</w:t>
                            </w:r>
                          </w:p>
                        </w:txbxContent>
                      </v:textbox>
                    </v:rect>
                    <v:rect id="_x0000_s1092" style="position:absolute;left:856;top:2314;width:567;height: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lDsIA&#10;AADcAAAADwAAAGRycy9kb3ducmV2LnhtbERPTWvCQBC9F/wPywheim70UEN0FRULFnrR6n3Ijtlg&#10;djbJbmPsr+8WhN7m8T5nue5tJTpqfelYwXSSgCDOnS65UHD+eh+nIHxA1lg5JgUP8rBeDV6WmGl3&#10;5yN1p1CIGMI+QwUmhDqT0ueGLPqJq4kjd3WtxRBhW0jd4j2G20rOkuRNWiw5NhisaWcov52+rYLm&#10;8prOpx/pNt9/mqaynXfNj1dqNOw3CxCB+vAvfroPOs5P5vD3TLx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5qUOwgAAANwAAAAPAAAAAAAAAAAAAAAAAJgCAABkcnMvZG93&#10;bnJldi54bWxQSwUGAAAAAAQABAD1AAAAhwMAAAAA&#10;" fillcolor="black" strokeweight="1.5pt">
                      <v:shadow color="#7f7f7f" opacity=".5" offset="1pt"/>
                      <v:textbox inset="1mm,1mm,1mm,1mm">
                        <w:txbxContent>
                          <w:p w14:paraId="10C0D3B8" w14:textId="77777777" w:rsidR="00DE3537" w:rsidRPr="005B328D" w:rsidRDefault="00DE3537" w:rsidP="004E0D59">
                            <w:pPr>
                              <w:ind w:left="284" w:hanging="284"/>
                              <w:jc w:val="center"/>
                              <w:rPr>
                                <w:color w:val="FFFFFF"/>
                              </w:rPr>
                            </w:pPr>
                            <w:r>
                              <w:t>4</w:t>
                            </w:r>
                          </w:p>
                        </w:txbxContent>
                      </v:textbox>
                    </v:rect>
                    <v:shape id="AutoShape 29" o:spid="_x0000_s1093" type="#_x0000_t32" style="position:absolute;left:1424;top:2320;width:0;height:5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9ZusUAAADcAAAADwAAAGRycy9kb3ducmV2LnhtbESPQWvCQBCF7wX/wzKCl1A39SAldRUR&#10;LV5SqIp4HLLTbGh2NmZXTf9951DobYb35r1vFqvBt+pOfWwCG3iZ5qCIq2Abrg2cjrvnV1AxIVts&#10;A5OBH4qwWo6eFljY8OBPuh9SrSSEY4EGXEpdoXWsHHmM09ARi/YVeo9J1r7WtseHhPtWz/J8rj02&#10;LA0OO9o4qr4PN2/go0F7um6vmSsvZxrK9zKbZ6Uxk/GwfgOVaEj/5r/rvRX8XGjlGZlA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N9ZusUAAADcAAAADwAAAAAAAAAA&#10;AAAAAAChAgAAZHJzL2Rvd25yZXYueG1sUEsFBgAAAAAEAAQA+QAAAJMDAAAAAA==&#10;" strokecolor="white" strokeweight="1.5pt"/>
                  </v:group>
                  <v:oval id="Oval 30" o:spid="_x0000_s1094" style="position:absolute;left:7996;top:441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svsIA&#10;AADcAAAADwAAAGRycy9kb3ducmV2LnhtbERPTWvCQBC9C/6HZYTedDcKpaauIgFRJFCqHjwO2TEJ&#10;zc6G7GpSf323UOhtHu9zVpvBNuJBna8da0hmCgRx4UzNpYbLeTd9A+EDssHGMWn4Jg+b9Xi0wtS4&#10;nj/pcQqliCHsU9RQhdCmUvqiIot+5lriyN1cZzFE2JXSdNjHcNvIuVKv0mLNsaHClrKKiq/T3Woo&#10;JGdKtXubLPLj3T+X1/z2cdX6ZTJs30EEGsK/+M99MHG+WsLvM/EC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6y+wgAAANwAAAAPAAAAAAAAAAAAAAAAAJgCAABkcnMvZG93&#10;bnJldi54bWxQSwUGAAAAAAQABAD1AAAAhwMAAAAA&#10;" strokeweight="1.5pt">
                    <v:fill r:id="rId11" o:title="" recolor="t" type="frame"/>
                  </v:oval>
                </v:group>
                <v:group id="Group 84" o:spid="_x0000_s1095" style="position:absolute;left:19411;top:45351;width:18879;height:4318" coordorigin="5703,4415" coordsize="2973,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group id="Group 26" o:spid="_x0000_s1096" style="position:absolute;left:5703;top:4415;width:2277;height:680" coordorigin="856,2314" coordsize="2277,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rect id="Rectangle 27" o:spid="_x0000_s1097" style="position:absolute;left:1432;top:2314;width:1701;height: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dejr8A&#10;AADcAAAADwAAAGRycy9kb3ducmV2LnhtbERP24rCMBB9F/Yfwiz4pqlVRLpGEWFhkVVQ+wFDM9sG&#10;m0lJota/3wiCb3M411mue9uKG/lgHCuYjDMQxJXThmsF5fl7tAARIrLG1jEpeFCA9epjsMRCuzsf&#10;6XaKtUghHApU0MTYFVKGqiGLYew64sT9OW8xJuhrqT3eU7htZZ5lc2nRcGposKNtQ9XldLUKWjPb&#10;SV3Gw2857fMr+a2s9kap4We/+QIRqY9v8cv9o9P8SQ7PZ9IF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Z16OvwAAANwAAAAPAAAAAAAAAAAAAAAAAJgCAABkcnMvZG93bnJl&#10;di54bWxQSwUGAAAAAAQABAD1AAAAhAMAAAAA&#10;" fillcolor="black" strokeweight="1.5pt">
                      <v:textbox inset="1mm,1mm,1mm,1mm">
                        <w:txbxContent>
                          <w:p w14:paraId="64F4A152" w14:textId="77777777" w:rsidR="00DE3537" w:rsidRPr="00A25E9D" w:rsidRDefault="00DE3537" w:rsidP="004E0D59">
                            <w:pPr>
                              <w:spacing w:line="240" w:lineRule="auto"/>
                              <w:jc w:val="center"/>
                            </w:pPr>
                            <w:r>
                              <w:rPr>
                                <w:lang w:val="en-US"/>
                              </w:rPr>
                              <w:t>Baseline Measures</w:t>
                            </w:r>
                          </w:p>
                        </w:txbxContent>
                      </v:textbox>
                    </v:rect>
                    <v:rect id="_x0000_s1098" style="position:absolute;left:856;top:2314;width:567;height: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Q10MMA&#10;AADcAAAADwAAAGRycy9kb3ducmV2LnhtbERPTWvCQBC9F/wPyxS8iG6i0IboKrZYsNBLbb0P2TEb&#10;mp1NsmtM/fVuQehtHu9zVpvB1qKnzleOFaSzBARx4XTFpYLvr7dpBsIHZI21Y1LwSx4269HDCnPt&#10;LvxJ/SGUIoawz1GBCaHJpfSFIYt+5hriyJ1cZzFE2JVSd3iJ4baW8yR5khYrjg0GG3o1VPwczlZB&#10;e5xkz+l79lLsPkxb29679uqVGj8O2yWIQEP4F9/dex3npwv4eyZe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Q10MMAAADcAAAADwAAAAAAAAAAAAAAAACYAgAAZHJzL2Rv&#10;d25yZXYueG1sUEsFBgAAAAAEAAQA9QAAAIgDAAAAAA==&#10;" fillcolor="black" strokeweight="1.5pt">
                      <v:shadow color="#7f7f7f" opacity=".5" offset="1pt"/>
                      <v:textbox inset="1mm,1mm,1mm,1mm">
                        <w:txbxContent>
                          <w:p w14:paraId="2CEC4C36" w14:textId="77777777" w:rsidR="00DE3537" w:rsidRPr="005B328D" w:rsidRDefault="00DE3537" w:rsidP="004E0D59">
                            <w:pPr>
                              <w:ind w:left="284" w:hanging="284"/>
                              <w:jc w:val="center"/>
                              <w:rPr>
                                <w:color w:val="FFFFFF"/>
                              </w:rPr>
                            </w:pPr>
                            <w:r>
                              <w:t>6</w:t>
                            </w:r>
                          </w:p>
                        </w:txbxContent>
                      </v:textbox>
                    </v:rect>
                    <v:shape id="AutoShape 29" o:spid="_x0000_s1099" type="#_x0000_t32" style="position:absolute;left:1424;top:2320;width:0;height:5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vFYsMAAADcAAAADwAAAGRycy9kb3ducmV2LnhtbERPTWvCQBC9C/0PyxS8hLqxiJToJpTS&#10;Fi8pqKH0OGTHbGh2Nma3Gv99VxC8zeN9zroYbSdONPjWsYL5LAVBXDvdcqOg2n88vYDwAVlj55gU&#10;XMhDkT9M1phpd+YtnXahETGEfYYKTAh9JqWvDVn0M9cTR+7gBoshwqGResBzDLedfE7TpbTYcmww&#10;2NObofp392cVfLWoq+P7MTHlzzeN5WeZLJNSqenj+LoCEWgMd/HNvdFx/nwB12fiBT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LxWLDAAAA3AAAAA8AAAAAAAAAAAAA&#10;AAAAoQIAAGRycy9kb3ducmV2LnhtbFBLBQYAAAAABAAEAPkAAACRAwAAAAA=&#10;" strokecolor="white" strokeweight="1.5pt"/>
                  </v:group>
                  <v:oval id="Oval 30" o:spid="_x0000_s1100" style="position:absolute;left:7996;top:441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swZsEA&#10;AADcAAAADwAAAGRycy9kb3ducmV2LnhtbERPTYvCMBC9C/6HMMLeNKmi7HaNIoK4iLCsevA4NGNb&#10;bCaliVr99UZY8DaP9znTeWsrcaXGl441JAMFgjhzpuRcw2G/6n+C8AHZYOWYNNzJw3zW7UwxNe7G&#10;f3TdhVzEEPYpaihCqFMpfVaQRT9wNXHkTq6xGCJscmkavMVwW8mhUhNpseTYUGBNy4Ky8+5iNWSS&#10;l0rVa5uMtpuLf3wdt6ffo9YfvXbxDSJQG97if/ePifOTMbyeiR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rMGbBAAAA3AAAAA8AAAAAAAAAAAAAAAAAmAIAAGRycy9kb3du&#10;cmV2LnhtbFBLBQYAAAAABAAEAPUAAACGAwAAAAA=&#10;" strokeweight="1.5pt">
                    <v:fill r:id="rId11" o:title="" recolor="t" type="frame"/>
                  </v:oval>
                </v:group>
                <v:group id="Group 84" o:spid="_x0000_s1101" style="position:absolute;left:19693;top:67256;width:18864;height:4320" coordorigin="5703,4415" coordsize="2973,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group id="Group 26" o:spid="_x0000_s1102" style="position:absolute;left:5703;top:4415;width:2277;height:680" coordorigin="856,2314" coordsize="2277,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rect id="Rectangle 27" o:spid="_x0000_s1103" style="position:absolute;left:1432;top:2314;width:1701;height: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9pZMMA&#10;AADcAAAADwAAAGRycy9kb3ducmV2LnhtbESP0WoCMRBF3wX/IUzBt5pVi8hqlCIIpbQFdT9g2Ex3&#10;QzeTJYm6/r3zUPBthnvn3jOb3eA7daWYXGADs2kBirgO1nFjoDofXlegUka22AUmA3dKsNuORxss&#10;bbjxka6n3CgJ4VSigTbnvtQ61S15TNPQE4v2G6LHLGtstI14k3Df6XlRLLVHx9LQYk/7luq/08Ub&#10;6Nzbp7ZV/vmqFsP8QnGv629nzORleF+DyjTkp/n/+sMK/kxo5RmZQG8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9pZMMAAADcAAAADwAAAAAAAAAAAAAAAACYAgAAZHJzL2Rv&#10;d25yZXYueG1sUEsFBgAAAAAEAAQA9QAAAIgDAAAAAA==&#10;" fillcolor="black" strokeweight="1.5pt">
                      <v:textbox inset="1mm,1mm,1mm,1mm">
                        <w:txbxContent>
                          <w:p w14:paraId="7B689012" w14:textId="77777777" w:rsidR="00DE3537" w:rsidRPr="00A25E9D" w:rsidRDefault="00DE3537" w:rsidP="004E0D59">
                            <w:pPr>
                              <w:spacing w:line="240" w:lineRule="auto"/>
                              <w:jc w:val="center"/>
                            </w:pPr>
                            <w:r>
                              <w:rPr>
                                <w:lang w:val="en-US"/>
                              </w:rPr>
                              <w:t>18 Month Measures</w:t>
                            </w:r>
                          </w:p>
                        </w:txbxContent>
                      </v:textbox>
                    </v:rect>
                    <v:rect id="_x0000_s1104" style="position:absolute;left:856;top:2314;width:567;height: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COsMA&#10;AADcAAAADwAAAGRycy9kb3ducmV2LnhtbERPTWvCQBC9C/0PyxS8iG7iocbUVVpRsNBLbXsfsmM2&#10;mJ1NsmuM/fXdgtDbPN7nrDaDrUVPna8cK0hnCQjiwumKSwVfn/tpBsIHZI21Y1JwIw+b9cNohbl2&#10;V/6g/hhKEUPY56jAhNDkUvrCkEU/cw1x5E6usxgi7EqpO7zGcFvLeZI8SYsVxwaDDW0NFefjxSpo&#10;vyfZIn3LXovdu2lr23vX/nilxo/DyzOIQEP4F9/dBx3np0v4eyZe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COsMAAADcAAAADwAAAAAAAAAAAAAAAACYAgAAZHJzL2Rv&#10;d25yZXYueG1sUEsFBgAAAAAEAAQA9QAAAIgDAAAAAA==&#10;" fillcolor="black" strokeweight="1.5pt">
                      <v:shadow color="#7f7f7f" opacity=".5" offset="1pt"/>
                      <v:textbox inset="1mm,1mm,1mm,1mm">
                        <w:txbxContent>
                          <w:p w14:paraId="484DFA36" w14:textId="6894A6C2" w:rsidR="00DE3537" w:rsidRPr="005B328D" w:rsidRDefault="00DE3537" w:rsidP="004E0D59">
                            <w:pPr>
                              <w:ind w:left="284" w:hanging="284"/>
                              <w:jc w:val="center"/>
                              <w:rPr>
                                <w:color w:val="FFFFFF"/>
                              </w:rPr>
                            </w:pPr>
                            <w:r>
                              <w:t>9a</w:t>
                            </w:r>
                          </w:p>
                        </w:txbxContent>
                      </v:textbox>
                    </v:rect>
                    <v:shape id="AutoShape 29" o:spid="_x0000_s1105" type="#_x0000_t32" style="position:absolute;left:1424;top:2320;width:0;height:5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wJ3MUAAADcAAAADwAAAGRycy9kb3ducmV2LnhtbESPQWvCQBCF7wX/wzIFL0E3epCSuooU&#10;LV5S0ErpcciO2WB2Nma3mv77zqHgbYb35r1vluvBt+pGfWwCG5hNc1DEVbAN1wZOn7vJC6iYkC22&#10;gcnAL0VYr0ZPSyxsuPOBbsdUKwnhWKABl1JXaB0rRx7jNHTEop1D7zHJ2tfa9niXcN/qeZ4vtMeG&#10;pcFhR2+Oqsvxxxv4aNCerttr5srvLxrK9zJbZKUx4+dh8woq0ZAe5v/rvRX8ueDLMzKBX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wJ3MUAAADcAAAADwAAAAAAAAAA&#10;AAAAAAChAgAAZHJzL2Rvd25yZXYueG1sUEsFBgAAAAAEAAQA+QAAAJMDAAAAAA==&#10;" strokecolor="white" strokeweight="1.5pt"/>
                  </v:group>
                  <v:oval id="Oval 30" o:spid="_x0000_s1106" style="position:absolute;left:7996;top:441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z82MMA&#10;AADcAAAADwAAAGRycy9kb3ducmV2LnhtbERPTWvCQBC9F/oflil4a3ajIG3qKkUQpQSktocch+yY&#10;hGZnQ3Y1sb/eFQRv83ifs1iNthVn6n3jWEOaKBDEpTMNVxp+fzavbyB8QDbYOiYNF/KwWj4/LTAz&#10;buBvOh9CJWII+ww11CF0mZS+rMmiT1xHHLmj6y2GCPtKmh6HGG5bOVVqLi02HBtq7GhdU/l3OFkN&#10;peS1Ut3WprP86+T/34v8uC+0nryMnx8gAo3hIb67dybOn6Z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z82MMAAADcAAAADwAAAAAAAAAAAAAAAACYAgAAZHJzL2Rv&#10;d25yZXYueG1sUEsFBgAAAAAEAAQA9QAAAIgDAAAAAA==&#10;" strokeweight="1.5pt">
                    <v:fill r:id="rId11" o:title="" recolor="t" type="frame"/>
                  </v:oval>
                </v:group>
                <v:group id="Group 84" o:spid="_x0000_s1107" style="position:absolute;left:19145;top:79150;width:19151;height:4318" coordorigin="5660,4415" coordsize="3016,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group id="Group 26" o:spid="_x0000_s1108" style="position:absolute;left:5660;top:4415;width:2320;height:680" coordorigin="813,2314" coordsize="2320,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rect id="Rectangle 27" o:spid="_x0000_s1109" style="position:absolute;left:1432;top:2314;width:1701;height: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6p3L8A&#10;AADcAAAADwAAAGRycy9kb3ducmV2LnhtbERP24rCMBB9F/Yfwiz4pulWEekaRYQFERXUfsDQzLbB&#10;ZlKSqN2/3wiCb3M411msetuKO/lgHCv4GmcgiCunDdcKysvPaA4iRGSNrWNS8EcBVsuPwQIL7R58&#10;ovs51iKFcChQQRNjV0gZqoYshrHriBP367zFmKCvpfb4SOG2lXmWzaRFw6mhwY42DVXX880qaM10&#10;J3UZj/ty0uc38htZHYxSw89+/Q0iUh/f4pd7q9P8fArPZ9IFcv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rqncvwAAANwAAAAPAAAAAAAAAAAAAAAAAJgCAABkcnMvZG93bnJl&#10;di54bWxQSwUGAAAAAAQABAD1AAAAhAMAAAAA&#10;" fillcolor="black" strokeweight="1.5pt">
                      <v:textbox inset="1mm,1mm,1mm,1mm">
                        <w:txbxContent>
                          <w:p w14:paraId="6D19D0D8" w14:textId="77777777" w:rsidR="00DE3537" w:rsidRPr="00A25E9D" w:rsidRDefault="00DE3537" w:rsidP="004E0D59">
                            <w:pPr>
                              <w:spacing w:line="240" w:lineRule="auto"/>
                              <w:jc w:val="center"/>
                            </w:pPr>
                            <w:r>
                              <w:rPr>
                                <w:lang w:val="en-US"/>
                              </w:rPr>
                              <w:t>24 Month Measures</w:t>
                            </w:r>
                          </w:p>
                        </w:txbxContent>
                      </v:textbox>
                    </v:rect>
                    <v:rect id="_x0000_s1110" style="position:absolute;left:813;top:2314;width:653;height: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3CgsIA&#10;AADcAAAADwAAAGRycy9kb3ducmV2LnhtbERPTWvCQBC9F/oflil4Ed0otA3RVVpRqNCLVu9DdpoN&#10;zc4m2TVGf70rCL3N433OfNnbSnTU+tKxgsk4AUGcO11yoeDwsxmlIHxA1lg5JgUX8rBcPD/NMdPu&#10;zDvq9qEQMYR9hgpMCHUmpc8NWfRjVxNH7te1FkOEbSF1i+cYbis5TZI3abHk2GCwppWh/G9/sgqa&#10;4zB9n2zTz3z9bZrKdt41V6/U4KX/mIEI1Id/8cP9peP86Svcn4kX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zcKCwgAAANwAAAAPAAAAAAAAAAAAAAAAAJgCAABkcnMvZG93&#10;bnJldi54bWxQSwUGAAAAAAQABAD1AAAAhwMAAAAA&#10;" fillcolor="black" strokeweight="1.5pt">
                      <v:shadow color="#7f7f7f" opacity=".5" offset="1pt"/>
                      <v:textbox inset="1mm,1mm,1mm,1mm">
                        <w:txbxContent>
                          <w:p w14:paraId="196DC7A8" w14:textId="77777777" w:rsidR="00DE3537" w:rsidRPr="005B328D" w:rsidRDefault="00DE3537" w:rsidP="004E0D59">
                            <w:pPr>
                              <w:ind w:left="284" w:hanging="284"/>
                              <w:jc w:val="center"/>
                              <w:rPr>
                                <w:color w:val="FFFFFF"/>
                              </w:rPr>
                            </w:pPr>
                            <w:r>
                              <w:t>10</w:t>
                            </w:r>
                          </w:p>
                        </w:txbxContent>
                      </v:textbox>
                    </v:rect>
                    <v:shape id="AutoShape 29" o:spid="_x0000_s1111" type="#_x0000_t32" style="position:absolute;left:1424;top:2320;width:0;height:5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k0M8MAAADcAAAADwAAAGRycy9kb3ducmV2LnhtbERPTWvCQBC9C/6HZQQvoW7qIUjqJoi0&#10;pZcI1VB6HLLTbGh2Nma3Gv+9Wyj0No/3Odtysr240Og7xwoeVykI4sbpjlsF9enlYQPCB2SNvWNS&#10;cCMPZTGfbTHX7srvdDmGVsQQ9jkqMCEMuZS+MWTRr9xAHLkvN1oMEY6t1CNeY7jt5TpNM2mx49hg&#10;cKC9oeb7+GMVHDrU9fn5nJjq84Om6rVKsqRSarmYdk8gAk3hX/znftNx/jqD32fiBbK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5NDPDAAAA3AAAAA8AAAAAAAAAAAAA&#10;AAAAoQIAAGRycy9kb3ducmV2LnhtbFBLBQYAAAAABAAEAPkAAACRAwAAAAA=&#10;" strokecolor="white" strokeweight="1.5pt"/>
                  </v:group>
                  <v:oval id="Oval 30" o:spid="_x0000_s1112" style="position:absolute;left:7996;top:441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nBN8MA&#10;AADcAAAADwAAAGRycy9kb3ducmV2LnhtbERPTWvCQBC9C/0PyxR6011TqDZ1DUUoLUUQYw8eh+yY&#10;hGZnQ3ZNor++WxC8zeN9ziobbSN66nztWMN8pkAQF87UXGr4OXxMlyB8QDbYOCYNF/KQrR8mK0yN&#10;G3hPfR5KEUPYp6ihCqFNpfRFRRb9zLXEkTu5zmKIsCul6XCI4baRiVIv0mLNsaHCljYVFb/52Woo&#10;JG+Uaj/t/Hn7ffbX1+P2tDtq/fQ4vr+BCDSGu/jm/jJxfrKA/2fiB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nBN8MAAADcAAAADwAAAAAAAAAAAAAAAACYAgAAZHJzL2Rv&#10;d25yZXYueG1sUEsFBgAAAAAEAAQA9QAAAIgDAAAAAA==&#10;" strokeweight="1.5pt">
                    <v:fill r:id="rId11" o:title="" recolor="t" type="frame"/>
                  </v:oval>
                </v:group>
                <v:group id="Group 97" o:spid="_x0000_s1113" style="position:absolute;left:4781;top:53549;width:23057;height:4331" coordorigin="6187,9476" coordsize="3631,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group id="Group 155" o:spid="_x0000_s1114" style="position:absolute;left:6187;top:9476;width:2964;height:681" coordorigin="866,5330" coordsize="2964,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AutoShape 156" o:spid="_x0000_s1115" type="#_x0000_t23" style="position:absolute;left:3150;top:5330;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Dcr0A&#10;AADcAAAADwAAAGRycy9kb3ducmV2LnhtbERPSwrCMBDdC94hjOBOUysUqUZRQXQj+DvA2IxtsZmU&#10;Jmq9vREEd/N435ktWlOJJzWutKxgNIxAEGdWl5wruJw3gwkI55E1VpZJwZscLObdzgxTbV98pOfJ&#10;5yKEsEtRQeF9nUrpsoIMuqGtiQN3s41BH2CTS93gK4SbSsZRlEiDJYeGAmtaF5TdTw+jwCaraHuM&#10;3XtsH8uVO0z2u2viler32uUUhKfW/8U/906H+UkM32fCBXL+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XPDcr0AAADcAAAADwAAAAAAAAAAAAAAAACYAgAAZHJzL2Rvd25yZXYu&#10;eG1sUEsFBgAAAAAEAAQA9QAAAIIDAAAAAA==&#10;" fillcolor="black"/>
                    <v:rect id="Rectangle 157" o:spid="_x0000_s1116" style="position:absolute;left:1433;top:5331;width:1701;height: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LCsMA&#10;AADcAAAADwAAAGRycy9kb3ducmV2LnhtbERPTWvCQBC9F/oflil4azZqCSF1FREULx5MA9LbNDtN&#10;gtnZkF3d+O+7hUJv83ifs9pMphd3Gl1nWcE8SUEQ11Z33CioPvavOQjnkTX2lknBgxxs1s9PKyy0&#10;DXyme+kbEUPYFaig9X4opHR1SwZdYgfiyH3b0aCPcGykHjHEcNPLRZpm0mDHsaHFgXYt1dfyZhTk&#10;59NXeLOhmrjqDk34vCy3h4tSs5dp+w7C0+T/xX/uo47zsyX8PhMv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LCsMAAADcAAAADwAAAAAAAAAAAAAAAACYAgAAZHJzL2Rv&#10;d25yZXYueG1sUEsFBgAAAAAEAAQA9QAAAIgDAAAAAA==&#10;" strokeweight="1.5pt">
                      <v:textbox inset="1mm,1mm,1mm,1mm">
                        <w:txbxContent>
                          <w:p w14:paraId="127894D3" w14:textId="77777777" w:rsidR="00DE3537" w:rsidRPr="00A25E9D" w:rsidRDefault="00DE3537" w:rsidP="004E0D59">
                            <w:pPr>
                              <w:spacing w:line="240" w:lineRule="auto"/>
                              <w:jc w:val="center"/>
                            </w:pPr>
                            <w:r>
                              <w:rPr>
                                <w:lang w:val="en-US"/>
                              </w:rPr>
                              <w:t>Delivery of HeLP</w:t>
                            </w:r>
                          </w:p>
                        </w:txbxContent>
                      </v:textbox>
                    </v:rect>
                    <v:rect id="Rectangle 158" o:spid="_x0000_s1117" style="position:absolute;left:866;top:5330;width:567;height: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LZsQA&#10;AADcAAAADwAAAGRycy9kb3ducmV2LnhtbERPS2vCQBC+F/oflin0Vjf1EW3MRkSoFG8mVTwO2WkS&#10;zM6m2a2m/74rCL3Nx/ecdDWYVlyod41lBa+jCARxaXXDlYLP4v1lAcJ5ZI2tZVLwSw5W2eNDiom2&#10;V97TJfeVCCHsElRQe98lUrqyJoNuZDviwH3Z3qAPsK+k7vEawk0rx1EUS4MNh4YaO9rUVJ7zH6Ng&#10;2xW7+M3Gh+nmVMzmBzmeHL+3Sj0/DeslCE+D/xff3R86zI+ncHsmXC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TS2bEAAAA3AAAAA8AAAAAAAAAAAAAAAAAmAIAAGRycy9k&#10;b3ducmV2LnhtbFBLBQYAAAAABAAEAPUAAACJAwAAAAA=&#10;" strokeweight="1.5pt">
                      <v:shadow color="#7f7f7f" opacity=".5" offset="1pt"/>
                      <v:textbox inset="1mm,1mm,1mm,1mm">
                        <w:txbxContent>
                          <w:p w14:paraId="02950727" w14:textId="77777777" w:rsidR="00DE3537" w:rsidRPr="002354F9" w:rsidRDefault="00DE3537" w:rsidP="004E0D59">
                            <w:pPr>
                              <w:spacing w:line="360" w:lineRule="auto"/>
                              <w:ind w:left="284" w:hanging="284"/>
                              <w:jc w:val="center"/>
                            </w:pPr>
                            <w:r>
                              <w:t>7a</w:t>
                            </w:r>
                          </w:p>
                        </w:txbxContent>
                      </v:textbox>
                    </v:rect>
                  </v:group>
                  <v:oval id="Oval 159" o:spid="_x0000_s1118" alt="bonhomme" style="position:absolute;left:9138;top:9478;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1DG8EA&#10;AADcAAAADwAAAGRycy9kb3ducmV2LnhtbERPS4vCMBC+C/6HMII3TVRWtBpFhGUXEcTHwePQjG2x&#10;mZQmatdfvxEEb/PxPWe+bGwp7lT7wrGGQV+BIE6dKTjTcDp+9yYgfEA2WDomDX/kYblot+aYGPfg&#10;Pd0PIRMxhH2CGvIQqkRKn+Zk0fddRRy5i6sthgjrTJoaHzHclnKo1FhaLDg25FjROqf0erhZDank&#10;tVLVjx2Mtpubf07P28vurHW306xmIAI14SN+u39NnD/+gtcz8QK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tQxvBAAAA3AAAAA8AAAAAAAAAAAAAAAAAmAIAAGRycy9kb3du&#10;cmV2LnhtbFBLBQYAAAAABAAEAPUAAACGAwAAAAA=&#10;" strokeweight="1.5pt">
                    <v:fill r:id="rId11" o:title="bonhomme" recolor="t" type="frame"/>
                  </v:oval>
                </v:group>
                <v:group id="Group 68" o:spid="_x0000_s1119" style="position:absolute;left:35286;top:53346;width:14402;height:4318" coordorigin="928,6478" coordsize="226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rect id="Rectangle 69" o:spid="_x0000_s1120" style="position:absolute;left:1495;top:6479;width:1701;height: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vNCcEA&#10;AADcAAAADwAAAGRycy9kb3ducmV2LnhtbERPTYvCMBC9C/sfwix403RXUalGkQXFiwe1IHubbca2&#10;bDMpTTT13xtB8DaP9zmLVWdqcaPWVZYVfA0TEMS51RUXCrLTZjAD4TyyxtoyKbiTg9Xyo7fAVNvA&#10;B7odfSFiCLsUFZTeN6mULi/JoBvahjhyF9sa9BG2hdQthhhuavmdJBNpsOLYUGJDPyXl/8erUTA7&#10;7P/C2Ias46zaFuH3PFpvz0r1P7v1HISnzr/FL/dOx/mTK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bzQnBAAAA3AAAAA8AAAAAAAAAAAAAAAAAmAIAAGRycy9kb3du&#10;cmV2LnhtbFBLBQYAAAAABAAEAPUAAACGAwAAAAA=&#10;" strokeweight="1.5pt">
                    <v:textbox inset="1mm,1mm,1mm,1mm">
                      <w:txbxContent>
                        <w:p w14:paraId="7780ABD0" w14:textId="77777777" w:rsidR="00DE3537" w:rsidRPr="00250FB1" w:rsidRDefault="00DE3537" w:rsidP="004E0D59">
                          <w:pPr>
                            <w:spacing w:line="240" w:lineRule="auto"/>
                            <w:jc w:val="center"/>
                          </w:pPr>
                          <w:r w:rsidRPr="00250FB1">
                            <w:t>Usual Lessons</w:t>
                          </w:r>
                        </w:p>
                      </w:txbxContent>
                    </v:textbox>
                  </v:rect>
                  <v:rect id="Rectangle 70" o:spid="_x0000_s1121" style="position:absolute;left:928;top:6478;width:567;height: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5BY8YA&#10;AADcAAAADwAAAGRycy9kb3ducmV2LnhtbESPQW/CMAyF75P4D5GRuI0U2LqtIyCENIS4jY5pR6vx&#10;2mqNU5oA5d/jwyRutt7ze5/ny9416kxdqD0bmIwTUMSFtzWXBr7yj8dXUCEiW2w8k4ErBVguBg9z&#10;zKy/8Ced97FUEsIhQwNVjG2mdSgqchjGviUW7dd3DqOsXalthxcJd42eJkmqHdYsDRW2tK6o+Nuf&#10;nIFNm+/SN58entY/+fPLQU9n38eNMaNhv3oHFamPd/P/9dYKfiq08ox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5BY8YAAADcAAAADwAAAAAAAAAAAAAAAACYAgAAZHJz&#10;L2Rvd25yZXYueG1sUEsFBgAAAAAEAAQA9QAAAIsDAAAAAA==&#10;" strokeweight="1.5pt">
                    <v:shadow color="#7f7f7f" opacity=".5" offset="1pt"/>
                    <v:textbox inset="1mm,1mm,1mm,1mm">
                      <w:txbxContent>
                        <w:p w14:paraId="6C7EB9BF" w14:textId="77777777" w:rsidR="00DE3537" w:rsidRPr="006E1F04" w:rsidRDefault="00DE3537" w:rsidP="004E0D59">
                          <w:pPr>
                            <w:ind w:left="284" w:hanging="284"/>
                            <w:jc w:val="center"/>
                          </w:pPr>
                          <w:r>
                            <w:t>7b</w:t>
                          </w:r>
                        </w:p>
                      </w:txbxContent>
                    </v:textbox>
                  </v:rect>
                </v:group>
                <v:group id="Group 169" o:spid="_x0000_s1122" style="position:absolute;left:19531;top:60674;width:18720;height:4926" coordorigin=",-77" coordsize="2948,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group id="Group 170" o:spid="_x0000_s1123" style="position:absolute;top:-77;width:2268;height:758" coordorigin=",-77" coordsize="2268,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rect id="Rectangle 171" o:spid="_x0000_s1124" style="position:absolute;left:567;top:-77;width:1701;height:7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dmO8EA&#10;AADcAAAADwAAAGRycy9kb3ducmV2LnhtbERPTYvCMBC9C/6HMII3TV2XXalGEWHFyx50C+JtbMa2&#10;2ExKE03990YQ9jaP9zmLVWdqcafWVZYVTMYJCOLc6ooLBdnfz2gGwnlkjbVlUvAgB6tlv7fAVNvA&#10;e7offCFiCLsUFZTeN6mULi/JoBvbhjhyF9sa9BG2hdQthhhuavmRJF/SYMWxocSGNiXl18PNKJjt&#10;f8/h04as46zaFuF0nK63R6WGg249B+Gp8//it3un4/zvCbyeiR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nZjvBAAAA3AAAAA8AAAAAAAAAAAAAAAAAmAIAAGRycy9kb3du&#10;cmV2LnhtbFBLBQYAAAAABAAEAPUAAACGAwAAAAA=&#10;" strokeweight="1.5pt">
                      <v:textbox inset="1mm,1mm,1mm,1mm">
                        <w:txbxContent>
                          <w:p w14:paraId="7C2B8796" w14:textId="14858000" w:rsidR="00DE3537" w:rsidRPr="00A25E9D" w:rsidRDefault="00DE3537" w:rsidP="00B27642">
                            <w:pPr>
                              <w:spacing w:line="240" w:lineRule="auto"/>
                              <w:jc w:val="center"/>
                            </w:pPr>
                            <w:r>
                              <w:rPr>
                                <w:lang w:val="en-US"/>
                              </w:rPr>
                              <w:t>12 Month Measures</w:t>
                            </w:r>
                          </w:p>
                          <w:p w14:paraId="68783EA3" w14:textId="5E97AF43" w:rsidR="00DE3537" w:rsidRPr="00B27642" w:rsidRDefault="00DE3537" w:rsidP="00B27642">
                            <w:pPr>
                              <w:pStyle w:val="NormalWeb"/>
                              <w:spacing w:before="120" w:beforeAutospacing="0" w:after="0" w:afterAutospacing="0"/>
                              <w:ind w:left="346" w:hanging="346"/>
                              <w:jc w:val="center"/>
                              <w:rPr>
                                <w:rFonts w:asciiTheme="minorHAnsi" w:hAnsiTheme="minorHAnsi"/>
                                <w:sz w:val="22"/>
                                <w:szCs w:val="22"/>
                              </w:rPr>
                            </w:pPr>
                          </w:p>
                        </w:txbxContent>
                      </v:textbox>
                    </v:rect>
                    <v:rect id="Rectangle 172" o:spid="_x0000_s1125" style="position:absolute;top:-77;width:567;height: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gVMMA&#10;AADcAAAADwAAAGRycy9kb3ducmV2LnhtbERPTWvCQBC9F/oflil4qxtjjW2ajRRBKd40WnocstMk&#10;mJ1Ns6um/74rCN7m8T4nWwymFWfqXWNZwWQcgSAurW64UrAvVs+vIJxH1thaJgV/5GCRPz5kmGp7&#10;4S2dd74SIYRdigpq77tUSlfWZNCNbUccuB/bG/QB9pXUPV5CuGllHEWJNNhwaKixo2VN5XF3MgrW&#10;XbFJ3mxyeFl+F7P5QcbTr9+1UqOn4eMdhKfB38U396cO8+cxXJ8JF8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gVMMAAADcAAAADwAAAAAAAAAAAAAAAACYAgAAZHJzL2Rv&#10;d25yZXYueG1sUEsFBgAAAAAEAAQA9QAAAIgDAAAAAA==&#10;" strokeweight="1.5pt">
                      <v:shadow color="#7f7f7f" opacity=".5" offset="1pt"/>
                      <v:textbox inset="1mm,1mm,1mm,1mm">
                        <w:txbxContent>
                          <w:p w14:paraId="11745FAE" w14:textId="77777777" w:rsidR="00DE3537" w:rsidRDefault="00DE3537" w:rsidP="004E0D59">
                            <w:pPr>
                              <w:pStyle w:val="NormalWeb"/>
                              <w:spacing w:before="120" w:beforeAutospacing="0" w:after="0" w:afterAutospacing="0" w:line="360" w:lineRule="auto"/>
                              <w:ind w:left="288" w:hanging="288"/>
                              <w:jc w:val="center"/>
                            </w:pPr>
                            <w:r>
                              <w:rPr>
                                <w:b/>
                                <w:bCs/>
                                <w:sz w:val="20"/>
                                <w:szCs w:val="20"/>
                              </w:rPr>
                              <w:t>8</w:t>
                            </w:r>
                          </w:p>
                        </w:txbxContent>
                      </v:textbox>
                    </v:rect>
                  </v:group>
                  <v:oval id="Oval 173" o:spid="_x0000_s1126" style="position:absolute;left:2268;top: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HoKcIA&#10;AADcAAAADwAAAGRycy9kb3ducmV2LnhtbERPTYvCMBC9C/6HMMLeNFFB3WoUEZZdRBDrHjwOzdgW&#10;m0lponb31xtB8DaP9zmLVWsrcaPGl441DAcKBHHmTMm5ht/jV38Gwgdkg5Vj0vBHHlbLbmeBiXF3&#10;PtAtDbmIIewT1FCEUCdS+qwgi37gauLInV1jMUTY5NI0eI/htpIjpSbSYsmxocCaNgVll/RqNWSS&#10;N0rV33Y43m2v/v/ztDvvT1p/9Nr1HESgNrzFL/ePifOnY3g+Ey+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EegpwgAAANwAAAAPAAAAAAAAAAAAAAAAAJgCAABkcnMvZG93&#10;bnJldi54bWxQSwUGAAAAAAQABAD1AAAAhwMAAAAA&#10;" strokeweight="1.5pt">
                    <v:fill r:id="rId11" o:title="" recolor="t" type="frame"/>
                  </v:oval>
                </v:group>
                <w10:anchorlock/>
              </v:group>
            </w:pict>
          </mc:Fallback>
        </mc:AlternateContent>
      </w:r>
    </w:p>
    <w:p w14:paraId="3015D6C4" w14:textId="48C0E905" w:rsidR="009E757D" w:rsidRDefault="009E757D">
      <w:pPr>
        <w:rPr>
          <w:noProof/>
        </w:rPr>
      </w:pPr>
      <w:r>
        <w:rPr>
          <w:noProof/>
        </w:rPr>
        <w:lastRenderedPageBreak/>
        <w:t>Key to F</w:t>
      </w:r>
      <w:r w:rsidR="004621E9">
        <w:rPr>
          <w:noProof/>
        </w:rPr>
        <w:t>IGURE</w:t>
      </w:r>
      <w:r>
        <w:rPr>
          <w:noProof/>
        </w:rPr>
        <w:t xml:space="preserve"> 1</w:t>
      </w:r>
    </w:p>
    <w:tbl>
      <w:tblPr>
        <w:tblStyle w:val="TableGrid2"/>
        <w:tblW w:w="0" w:type="auto"/>
        <w:tblLook w:val="04A0" w:firstRow="1" w:lastRow="0" w:firstColumn="1" w:lastColumn="0" w:noHBand="0" w:noVBand="1"/>
      </w:tblPr>
      <w:tblGrid>
        <w:gridCol w:w="444"/>
        <w:gridCol w:w="8572"/>
      </w:tblGrid>
      <w:tr w:rsidR="004E0D59" w:rsidRPr="004E0D59" w14:paraId="1A55CA7A" w14:textId="77777777" w:rsidTr="002D0625">
        <w:tc>
          <w:tcPr>
            <w:tcW w:w="444" w:type="dxa"/>
          </w:tcPr>
          <w:p w14:paraId="3E42B774" w14:textId="77777777" w:rsidR="004E0D59" w:rsidRPr="004E0D59" w:rsidRDefault="004E0D59" w:rsidP="004E0D59">
            <w:pPr>
              <w:rPr>
                <w:lang w:val="en-US"/>
              </w:rPr>
            </w:pPr>
            <w:r w:rsidRPr="004E0D59">
              <w:rPr>
                <w:lang w:val="en-US"/>
              </w:rPr>
              <w:t>1</w:t>
            </w:r>
          </w:p>
        </w:tc>
        <w:tc>
          <w:tcPr>
            <w:tcW w:w="8798" w:type="dxa"/>
          </w:tcPr>
          <w:p w14:paraId="2084AC58" w14:textId="77777777" w:rsidR="004E0D59" w:rsidRPr="006B02E3" w:rsidRDefault="004E0D59" w:rsidP="004E0D59">
            <w:pPr>
              <w:rPr>
                <w:i/>
                <w:lang w:val="en-US"/>
              </w:rPr>
            </w:pPr>
            <w:r w:rsidRPr="006B02E3">
              <w:rPr>
                <w:i/>
                <w:lang w:val="en-US"/>
              </w:rPr>
              <w:t>Identification of schools</w:t>
            </w:r>
          </w:p>
          <w:p w14:paraId="1CD45F39" w14:textId="77777777" w:rsidR="004E0D59" w:rsidRPr="004E0D59" w:rsidRDefault="004E0D59" w:rsidP="004E0D59">
            <w:pPr>
              <w:rPr>
                <w:b/>
                <w:lang w:val="en-US"/>
              </w:rPr>
            </w:pPr>
            <w:r w:rsidRPr="004E0D59">
              <w:rPr>
                <w:lang w:val="en-US"/>
              </w:rPr>
              <w:t>Trial team attended Devon primary heads’ meetings and network events</w:t>
            </w:r>
          </w:p>
        </w:tc>
      </w:tr>
      <w:tr w:rsidR="004E0D59" w:rsidRPr="004E0D59" w14:paraId="7C5940D2" w14:textId="77777777" w:rsidTr="002D0625">
        <w:tc>
          <w:tcPr>
            <w:tcW w:w="444" w:type="dxa"/>
          </w:tcPr>
          <w:p w14:paraId="684569B5" w14:textId="77777777" w:rsidR="004E0D59" w:rsidRPr="004E0D59" w:rsidRDefault="004E0D59" w:rsidP="004E0D59">
            <w:pPr>
              <w:rPr>
                <w:lang w:val="en-US"/>
              </w:rPr>
            </w:pPr>
            <w:r w:rsidRPr="004E0D59">
              <w:rPr>
                <w:lang w:val="en-US"/>
              </w:rPr>
              <w:t>2</w:t>
            </w:r>
          </w:p>
        </w:tc>
        <w:tc>
          <w:tcPr>
            <w:tcW w:w="8798" w:type="dxa"/>
          </w:tcPr>
          <w:p w14:paraId="49F53838" w14:textId="77777777" w:rsidR="004E0D59" w:rsidRPr="006B02E3" w:rsidRDefault="004E0D59" w:rsidP="004E0D59">
            <w:pPr>
              <w:rPr>
                <w:i/>
                <w:lang w:val="en-US"/>
              </w:rPr>
            </w:pPr>
            <w:r w:rsidRPr="006B02E3">
              <w:rPr>
                <w:i/>
                <w:lang w:val="en-US"/>
              </w:rPr>
              <w:t>Recruitment of schools</w:t>
            </w:r>
          </w:p>
          <w:p w14:paraId="5F7A92A9" w14:textId="77777777" w:rsidR="004E0D59" w:rsidRPr="004E0D59" w:rsidRDefault="004E0D59" w:rsidP="004E0D59">
            <w:pPr>
              <w:rPr>
                <w:b/>
                <w:lang w:val="en-US"/>
              </w:rPr>
            </w:pPr>
            <w:r w:rsidRPr="004E0D59">
              <w:rPr>
                <w:lang w:val="en-US"/>
              </w:rPr>
              <w:t xml:space="preserve">All Devon </w:t>
            </w:r>
            <w:r w:rsidRPr="004E0D59">
              <w:t xml:space="preserve">state primary and junior schools with children in at least one single Year 5 group of ≥20 children </w:t>
            </w:r>
            <w:r w:rsidRPr="004E0D59">
              <w:rPr>
                <w:lang w:val="en-US"/>
              </w:rPr>
              <w:t xml:space="preserve">eligible to participate.  Schools that expressed interest in participating were </w:t>
            </w:r>
            <w:r w:rsidRPr="004E0D59">
              <w:t>purposely sampled to represent a range of number of Year 5 classes (1-3 Year 5 classes), locations (urban and rural) and deprivation (&lt;19% and ≥19% of children eligible for free school meals).</w:t>
            </w:r>
            <w:r w:rsidRPr="004E0D59">
              <w:rPr>
                <w:lang w:val="en-US"/>
              </w:rPr>
              <w:t xml:space="preserve"> Remaining schools placed on waiting list for Cohort 2 (two schools allocated to Cohort 2 dropped out before commencing trial and replaced by a school from the waiting list)</w:t>
            </w:r>
          </w:p>
        </w:tc>
      </w:tr>
      <w:tr w:rsidR="004E0D59" w:rsidRPr="004E0D59" w14:paraId="5CDC0DB2" w14:textId="77777777" w:rsidTr="002D0625">
        <w:tc>
          <w:tcPr>
            <w:tcW w:w="444" w:type="dxa"/>
          </w:tcPr>
          <w:p w14:paraId="0718B9EB" w14:textId="77777777" w:rsidR="004E0D59" w:rsidRPr="004E0D59" w:rsidRDefault="004E0D59" w:rsidP="004E0D59">
            <w:pPr>
              <w:rPr>
                <w:lang w:val="en-US"/>
              </w:rPr>
            </w:pPr>
            <w:r w:rsidRPr="004E0D59">
              <w:rPr>
                <w:lang w:val="en-US"/>
              </w:rPr>
              <w:t>3</w:t>
            </w:r>
          </w:p>
        </w:tc>
        <w:tc>
          <w:tcPr>
            <w:tcW w:w="8798" w:type="dxa"/>
          </w:tcPr>
          <w:p w14:paraId="5AA12923" w14:textId="77777777" w:rsidR="004E0D59" w:rsidRPr="006B02E3" w:rsidRDefault="004E0D59" w:rsidP="004E0D59">
            <w:pPr>
              <w:rPr>
                <w:i/>
                <w:lang w:val="en-US"/>
              </w:rPr>
            </w:pPr>
            <w:r w:rsidRPr="006B02E3">
              <w:rPr>
                <w:i/>
                <w:lang w:val="en-US"/>
              </w:rPr>
              <w:t>Identification of children</w:t>
            </w:r>
          </w:p>
          <w:p w14:paraId="73B40977" w14:textId="77777777" w:rsidR="004E0D59" w:rsidRPr="004E0D59" w:rsidRDefault="004E0D59" w:rsidP="004E0D59">
            <w:pPr>
              <w:rPr>
                <w:b/>
                <w:lang w:val="en-US"/>
              </w:rPr>
            </w:pPr>
            <w:r w:rsidRPr="004E0D59">
              <w:rPr>
                <w:lang w:val="en-US"/>
              </w:rPr>
              <w:t>All children in Year 5 within each recruited school eligible to participate</w:t>
            </w:r>
          </w:p>
        </w:tc>
      </w:tr>
      <w:tr w:rsidR="004E0D59" w:rsidRPr="004E0D59" w14:paraId="0885E343" w14:textId="77777777" w:rsidTr="002D0625">
        <w:tc>
          <w:tcPr>
            <w:tcW w:w="444" w:type="dxa"/>
          </w:tcPr>
          <w:p w14:paraId="01063C10" w14:textId="77777777" w:rsidR="004E0D59" w:rsidRPr="004E0D59" w:rsidRDefault="004E0D59" w:rsidP="004E0D59">
            <w:pPr>
              <w:rPr>
                <w:lang w:val="en-US"/>
              </w:rPr>
            </w:pPr>
            <w:r w:rsidRPr="004E0D59">
              <w:rPr>
                <w:lang w:val="en-US"/>
              </w:rPr>
              <w:t>4</w:t>
            </w:r>
          </w:p>
        </w:tc>
        <w:tc>
          <w:tcPr>
            <w:tcW w:w="8798" w:type="dxa"/>
          </w:tcPr>
          <w:p w14:paraId="673ACF7B" w14:textId="77777777" w:rsidR="004E0D59" w:rsidRPr="006B02E3" w:rsidRDefault="004E0D59" w:rsidP="004E0D59">
            <w:pPr>
              <w:rPr>
                <w:i/>
                <w:lang w:val="en-US"/>
              </w:rPr>
            </w:pPr>
            <w:r w:rsidRPr="006B02E3">
              <w:rPr>
                <w:i/>
                <w:lang w:val="en-US"/>
              </w:rPr>
              <w:t>Recruitment of children</w:t>
            </w:r>
          </w:p>
          <w:p w14:paraId="56369F30" w14:textId="77777777" w:rsidR="004E0D59" w:rsidRPr="004E0D59" w:rsidRDefault="004E0D59" w:rsidP="004E0D59">
            <w:pPr>
              <w:rPr>
                <w:b/>
                <w:lang w:val="en-US"/>
              </w:rPr>
            </w:pPr>
            <w:r w:rsidRPr="004E0D59">
              <w:rPr>
                <w:lang w:val="en-US"/>
              </w:rPr>
              <w:t xml:space="preserve">Information sent to Year 5 child’s parent/carer. Opportunity to opt out child from trial  </w:t>
            </w:r>
          </w:p>
        </w:tc>
      </w:tr>
      <w:tr w:rsidR="004E0D59" w:rsidRPr="004E0D59" w14:paraId="3FDBD6FB" w14:textId="77777777" w:rsidTr="002D0625">
        <w:tc>
          <w:tcPr>
            <w:tcW w:w="444" w:type="dxa"/>
          </w:tcPr>
          <w:p w14:paraId="136C2742" w14:textId="77777777" w:rsidR="004E0D59" w:rsidRPr="004E0D59" w:rsidRDefault="004E0D59" w:rsidP="004E0D59">
            <w:pPr>
              <w:rPr>
                <w:lang w:val="en-US"/>
              </w:rPr>
            </w:pPr>
            <w:r w:rsidRPr="004E0D59">
              <w:rPr>
                <w:lang w:val="en-US"/>
              </w:rPr>
              <w:t>5</w:t>
            </w:r>
          </w:p>
        </w:tc>
        <w:tc>
          <w:tcPr>
            <w:tcW w:w="8798" w:type="dxa"/>
          </w:tcPr>
          <w:p w14:paraId="372ABF02" w14:textId="77777777" w:rsidR="004E0D59" w:rsidRPr="006B02E3" w:rsidRDefault="004E0D59" w:rsidP="004E0D59">
            <w:pPr>
              <w:rPr>
                <w:i/>
                <w:lang w:val="en-US"/>
              </w:rPr>
            </w:pPr>
            <w:r w:rsidRPr="006B02E3">
              <w:rPr>
                <w:i/>
                <w:lang w:val="en-US"/>
              </w:rPr>
              <w:t>Randomisation</w:t>
            </w:r>
          </w:p>
          <w:p w14:paraId="7DEE73C2" w14:textId="00AD35F8" w:rsidR="004E0D59" w:rsidRPr="004E0D59" w:rsidRDefault="004E0D59" w:rsidP="004E0D59">
            <w:pPr>
              <w:rPr>
                <w:b/>
                <w:lang w:val="en-US"/>
              </w:rPr>
            </w:pPr>
            <w:r w:rsidRPr="004E0D59">
              <w:rPr>
                <w:lang w:val="en-US"/>
              </w:rPr>
              <w:t>Allocation of schools to intervention or control group was using a computer-generated sequence, stratified on School Size (one Year 5 class vs ≥2 Year 5 classes) and % of pupils eligible for Free School Meals (</w:t>
            </w:r>
            <w:r w:rsidRPr="004E0D59">
              <w:t>&lt;19%, ≥19%)</w:t>
            </w:r>
            <w:r w:rsidRPr="004E0D59">
              <w:rPr>
                <w:lang w:val="en-US"/>
              </w:rPr>
              <w:t>, as</w:t>
            </w:r>
            <w:r w:rsidR="00F8172F">
              <w:rPr>
                <w:lang w:val="en-US"/>
              </w:rPr>
              <w:t xml:space="preserve"> an</w:t>
            </w:r>
            <w:r w:rsidRPr="004E0D59">
              <w:rPr>
                <w:lang w:val="en-US"/>
              </w:rPr>
              <w:t xml:space="preserve"> indicator of school-level socioeconomic status.  After randomisation to intervention or control, schools were allocated to Cohort 1 or Cohort 2 by a statistician from the CTU, with equal numbers of intervention and control schools in both cohorts.  Allocation remained concealed from all delivery personnel</w:t>
            </w:r>
            <w:r w:rsidR="00035114">
              <w:rPr>
                <w:lang w:val="en-US"/>
              </w:rPr>
              <w:t>, schools and children</w:t>
            </w:r>
            <w:r w:rsidRPr="004E0D59">
              <w:rPr>
                <w:lang w:val="en-US"/>
              </w:rPr>
              <w:t xml:space="preserve"> until after baseline measures were captured in each </w:t>
            </w:r>
            <w:r w:rsidR="00D832FC">
              <w:rPr>
                <w:lang w:val="en-US"/>
              </w:rPr>
              <w:t>c</w:t>
            </w:r>
            <w:r w:rsidRPr="004E0D59">
              <w:rPr>
                <w:lang w:val="en-US"/>
              </w:rPr>
              <w:t>ohort</w:t>
            </w:r>
          </w:p>
        </w:tc>
      </w:tr>
      <w:tr w:rsidR="004E0D59" w:rsidRPr="004E0D59" w14:paraId="28D9CE6A" w14:textId="77777777" w:rsidTr="002D0625">
        <w:tc>
          <w:tcPr>
            <w:tcW w:w="444" w:type="dxa"/>
          </w:tcPr>
          <w:p w14:paraId="6FD33E9C" w14:textId="77777777" w:rsidR="004E0D59" w:rsidRPr="004E0D59" w:rsidRDefault="004E0D59" w:rsidP="004E0D59">
            <w:pPr>
              <w:rPr>
                <w:lang w:val="en-US"/>
              </w:rPr>
            </w:pPr>
            <w:r w:rsidRPr="004E0D59">
              <w:rPr>
                <w:lang w:val="en-US"/>
              </w:rPr>
              <w:t>6</w:t>
            </w:r>
          </w:p>
        </w:tc>
        <w:tc>
          <w:tcPr>
            <w:tcW w:w="8798" w:type="dxa"/>
          </w:tcPr>
          <w:p w14:paraId="1615E84D" w14:textId="77777777" w:rsidR="004E0D59" w:rsidRPr="006B02E3" w:rsidRDefault="004E0D59" w:rsidP="004E0D59">
            <w:pPr>
              <w:rPr>
                <w:i/>
                <w:lang w:val="en-US"/>
              </w:rPr>
            </w:pPr>
            <w:r w:rsidRPr="006B02E3">
              <w:rPr>
                <w:i/>
                <w:lang w:val="en-US"/>
              </w:rPr>
              <w:t>Baseline measures</w:t>
            </w:r>
          </w:p>
          <w:p w14:paraId="617D8EBD" w14:textId="77777777" w:rsidR="004E0D59" w:rsidRPr="004E0D59" w:rsidRDefault="004E0D59" w:rsidP="004E0D59">
            <w:pPr>
              <w:rPr>
                <w:b/>
                <w:lang w:val="en-US"/>
              </w:rPr>
            </w:pPr>
            <w:r w:rsidRPr="004E0D59">
              <w:rPr>
                <w:lang w:val="en-US"/>
              </w:rPr>
              <w:t>Performed by trained assessors, who were blinded to schools’ allocated groups</w:t>
            </w:r>
          </w:p>
        </w:tc>
      </w:tr>
      <w:tr w:rsidR="004E0D59" w:rsidRPr="004E0D59" w14:paraId="45435CDE" w14:textId="77777777" w:rsidTr="002D0625">
        <w:tc>
          <w:tcPr>
            <w:tcW w:w="444" w:type="dxa"/>
          </w:tcPr>
          <w:p w14:paraId="46D0859C" w14:textId="77777777" w:rsidR="004E0D59" w:rsidRPr="004E0D59" w:rsidRDefault="004E0D59" w:rsidP="004E0D59">
            <w:pPr>
              <w:rPr>
                <w:lang w:val="en-US"/>
              </w:rPr>
            </w:pPr>
            <w:r w:rsidRPr="004E0D59">
              <w:rPr>
                <w:lang w:val="en-US"/>
              </w:rPr>
              <w:t>7a</w:t>
            </w:r>
          </w:p>
        </w:tc>
        <w:tc>
          <w:tcPr>
            <w:tcW w:w="8798" w:type="dxa"/>
          </w:tcPr>
          <w:p w14:paraId="48A287FD" w14:textId="77777777" w:rsidR="004E0D59" w:rsidRPr="006B02E3" w:rsidRDefault="004E0D59" w:rsidP="004E0D59">
            <w:pPr>
              <w:rPr>
                <w:i/>
                <w:lang w:val="en-US"/>
              </w:rPr>
            </w:pPr>
            <w:r w:rsidRPr="006B02E3">
              <w:rPr>
                <w:i/>
                <w:lang w:val="en-US"/>
              </w:rPr>
              <w:t>Intervention delivery</w:t>
            </w:r>
          </w:p>
          <w:p w14:paraId="1E47D858" w14:textId="2A54C0A0" w:rsidR="004E0D59" w:rsidRPr="004E0D59" w:rsidRDefault="004E0D59" w:rsidP="004E0D59">
            <w:pPr>
              <w:rPr>
                <w:b/>
                <w:lang w:val="en-US"/>
              </w:rPr>
            </w:pPr>
            <w:r w:rsidRPr="004E0D59">
              <w:rPr>
                <w:lang w:val="en-US"/>
              </w:rPr>
              <w:t>HeLP intervention delivered to schools and children allocated to the intervention group.  N</w:t>
            </w:r>
            <w:r w:rsidR="0056627C">
              <w:rPr>
                <w:lang w:val="en-US"/>
              </w:rPr>
              <w:t>o blinding for schools, HeLP co</w:t>
            </w:r>
            <w:r w:rsidRPr="004E0D59">
              <w:rPr>
                <w:lang w:val="en-US"/>
              </w:rPr>
              <w:t>ordinators, children or parents/carers</w:t>
            </w:r>
          </w:p>
        </w:tc>
      </w:tr>
      <w:tr w:rsidR="004E0D59" w:rsidRPr="004E0D59" w14:paraId="1B4CD0C8" w14:textId="77777777" w:rsidTr="002D0625">
        <w:tc>
          <w:tcPr>
            <w:tcW w:w="444" w:type="dxa"/>
          </w:tcPr>
          <w:p w14:paraId="444E93A1" w14:textId="77777777" w:rsidR="004E0D59" w:rsidRPr="004E0D59" w:rsidRDefault="004E0D59" w:rsidP="004E0D59">
            <w:pPr>
              <w:rPr>
                <w:lang w:val="en-US"/>
              </w:rPr>
            </w:pPr>
            <w:r w:rsidRPr="004E0D59">
              <w:rPr>
                <w:lang w:val="en-US"/>
              </w:rPr>
              <w:t>7b</w:t>
            </w:r>
          </w:p>
        </w:tc>
        <w:tc>
          <w:tcPr>
            <w:tcW w:w="8798" w:type="dxa"/>
          </w:tcPr>
          <w:p w14:paraId="15825F4F" w14:textId="77777777" w:rsidR="004E0D59" w:rsidRPr="006B02E3" w:rsidRDefault="004E0D59" w:rsidP="004E0D59">
            <w:pPr>
              <w:rPr>
                <w:i/>
                <w:lang w:val="en-US"/>
              </w:rPr>
            </w:pPr>
            <w:r w:rsidRPr="006B02E3">
              <w:rPr>
                <w:i/>
                <w:lang w:val="en-US"/>
              </w:rPr>
              <w:t>Usual care</w:t>
            </w:r>
          </w:p>
          <w:p w14:paraId="458F08AE" w14:textId="3EC16B67" w:rsidR="004E0D59" w:rsidRPr="004E0D59" w:rsidRDefault="004E0D59" w:rsidP="004E0D59">
            <w:pPr>
              <w:rPr>
                <w:b/>
                <w:lang w:val="en-US"/>
              </w:rPr>
            </w:pPr>
            <w:r w:rsidRPr="004E0D59">
              <w:rPr>
                <w:lang w:val="en-US"/>
              </w:rPr>
              <w:t>Children in schools allocated to control group receive usual care.  N</w:t>
            </w:r>
            <w:r w:rsidR="0056627C">
              <w:rPr>
                <w:lang w:val="en-US"/>
              </w:rPr>
              <w:t>o blinding for schools, HeLP co</w:t>
            </w:r>
            <w:r w:rsidRPr="004E0D59">
              <w:rPr>
                <w:lang w:val="en-US"/>
              </w:rPr>
              <w:t>ordinators, children or parents/carers</w:t>
            </w:r>
          </w:p>
        </w:tc>
      </w:tr>
      <w:tr w:rsidR="004E0D59" w:rsidRPr="004E0D59" w14:paraId="3A168547" w14:textId="77777777" w:rsidTr="002D0625">
        <w:tc>
          <w:tcPr>
            <w:tcW w:w="444" w:type="dxa"/>
          </w:tcPr>
          <w:p w14:paraId="6CF24CC3" w14:textId="77777777" w:rsidR="004E0D59" w:rsidRPr="004E0D59" w:rsidRDefault="004E0D59" w:rsidP="004E0D59">
            <w:pPr>
              <w:rPr>
                <w:lang w:val="en-US"/>
              </w:rPr>
            </w:pPr>
            <w:r w:rsidRPr="004E0D59">
              <w:rPr>
                <w:lang w:val="en-US"/>
              </w:rPr>
              <w:t>8</w:t>
            </w:r>
          </w:p>
        </w:tc>
        <w:tc>
          <w:tcPr>
            <w:tcW w:w="8798" w:type="dxa"/>
          </w:tcPr>
          <w:p w14:paraId="2677D951" w14:textId="77777777" w:rsidR="004E0D59" w:rsidRPr="006B02E3" w:rsidRDefault="004E0D59" w:rsidP="004E0D59">
            <w:pPr>
              <w:rPr>
                <w:i/>
                <w:lang w:val="en-US"/>
              </w:rPr>
            </w:pPr>
            <w:r w:rsidRPr="006B02E3">
              <w:rPr>
                <w:i/>
                <w:lang w:val="en-US"/>
              </w:rPr>
              <w:t>12 month measure</w:t>
            </w:r>
          </w:p>
          <w:p w14:paraId="5ED8B14B" w14:textId="77777777" w:rsidR="004E0D59" w:rsidRPr="004E0D59" w:rsidRDefault="004E0D59" w:rsidP="004E0D59">
            <w:pPr>
              <w:rPr>
                <w:lang w:val="en-US"/>
              </w:rPr>
            </w:pPr>
            <w:r w:rsidRPr="004E0D59">
              <w:rPr>
                <w:lang w:val="en-US"/>
              </w:rPr>
              <w:t>Self-completed My Lifestyles Questionnaire</w:t>
            </w:r>
          </w:p>
        </w:tc>
      </w:tr>
      <w:tr w:rsidR="004E0D59" w:rsidRPr="004E0D59" w14:paraId="24F58F20" w14:textId="77777777" w:rsidTr="002D0625">
        <w:tc>
          <w:tcPr>
            <w:tcW w:w="444" w:type="dxa"/>
          </w:tcPr>
          <w:p w14:paraId="0D03D860" w14:textId="77777777" w:rsidR="004E0D59" w:rsidRPr="004E0D59" w:rsidRDefault="004E0D59" w:rsidP="004E0D59">
            <w:pPr>
              <w:rPr>
                <w:lang w:val="en-US"/>
              </w:rPr>
            </w:pPr>
            <w:r w:rsidRPr="004E0D59">
              <w:rPr>
                <w:lang w:val="en-US"/>
              </w:rPr>
              <w:t>9a</w:t>
            </w:r>
          </w:p>
        </w:tc>
        <w:tc>
          <w:tcPr>
            <w:tcW w:w="8798" w:type="dxa"/>
          </w:tcPr>
          <w:p w14:paraId="67909DB5" w14:textId="77777777" w:rsidR="004E0D59" w:rsidRPr="006B02E3" w:rsidRDefault="004E0D59" w:rsidP="004E0D59">
            <w:pPr>
              <w:rPr>
                <w:i/>
                <w:lang w:val="en-US"/>
              </w:rPr>
            </w:pPr>
            <w:r w:rsidRPr="006B02E3">
              <w:rPr>
                <w:i/>
                <w:lang w:val="en-US"/>
              </w:rPr>
              <w:t>18 month measures</w:t>
            </w:r>
          </w:p>
          <w:p w14:paraId="31FF29DB" w14:textId="1063708E" w:rsidR="004E0D59" w:rsidRPr="004E0D59" w:rsidRDefault="004E0D59" w:rsidP="00716588">
            <w:pPr>
              <w:rPr>
                <w:b/>
                <w:lang w:val="en-US"/>
              </w:rPr>
            </w:pPr>
            <w:r w:rsidRPr="004E0D59">
              <w:rPr>
                <w:lang w:val="en-US"/>
              </w:rPr>
              <w:t>Anthropometric measures collected by trained independent assessors blinded to allocated group</w:t>
            </w:r>
          </w:p>
        </w:tc>
      </w:tr>
      <w:tr w:rsidR="004E0D59" w:rsidRPr="004E0D59" w14:paraId="78F9EEB2" w14:textId="77777777" w:rsidTr="002D0625">
        <w:tc>
          <w:tcPr>
            <w:tcW w:w="444" w:type="dxa"/>
          </w:tcPr>
          <w:p w14:paraId="7B808CEC" w14:textId="77777777" w:rsidR="004E0D59" w:rsidRPr="004E0D59" w:rsidRDefault="004E0D59" w:rsidP="004E0D59">
            <w:pPr>
              <w:rPr>
                <w:lang w:val="en-US"/>
              </w:rPr>
            </w:pPr>
            <w:r w:rsidRPr="004E0D59">
              <w:rPr>
                <w:lang w:val="en-US"/>
              </w:rPr>
              <w:t>9b</w:t>
            </w:r>
          </w:p>
        </w:tc>
        <w:tc>
          <w:tcPr>
            <w:tcW w:w="8798" w:type="dxa"/>
          </w:tcPr>
          <w:p w14:paraId="0DAB32D2" w14:textId="77777777" w:rsidR="004E0D59" w:rsidRPr="006B02E3" w:rsidRDefault="004E0D59" w:rsidP="004E0D59">
            <w:pPr>
              <w:rPr>
                <w:i/>
                <w:lang w:val="en-US"/>
              </w:rPr>
            </w:pPr>
            <w:r w:rsidRPr="006B02E3">
              <w:rPr>
                <w:i/>
                <w:lang w:val="en-US"/>
              </w:rPr>
              <w:t>18 month measures</w:t>
            </w:r>
          </w:p>
          <w:p w14:paraId="7BC96A24" w14:textId="29D33598" w:rsidR="004E0D59" w:rsidRPr="004E0D59" w:rsidRDefault="004E0D59" w:rsidP="004E0D59">
            <w:pPr>
              <w:rPr>
                <w:lang w:val="en-US"/>
              </w:rPr>
            </w:pPr>
            <w:r w:rsidRPr="004E0D59">
              <w:rPr>
                <w:lang w:val="en-US"/>
              </w:rPr>
              <w:t>Self-completed Food Intake Questionnaire, whilst children still at primary school, 18 months post baseline</w:t>
            </w:r>
            <w:r w:rsidR="00B27642">
              <w:rPr>
                <w:lang w:val="en-US"/>
              </w:rPr>
              <w:t xml:space="preserve">. </w:t>
            </w:r>
            <w:r w:rsidR="00B27642" w:rsidRPr="009E757D">
              <w:rPr>
                <w:lang w:val="en-US"/>
              </w:rPr>
              <w:t xml:space="preserve">Physical activity data from </w:t>
            </w:r>
            <w:r w:rsidR="00716588">
              <w:rPr>
                <w:lang w:val="en-US"/>
              </w:rPr>
              <w:t xml:space="preserve">a </w:t>
            </w:r>
            <w:r w:rsidR="00B27642" w:rsidRPr="009E757D">
              <w:rPr>
                <w:lang w:val="en-US"/>
              </w:rPr>
              <w:t>subset of children, whilst children still at primary school, 18 months post baseline, was objectively assessed</w:t>
            </w:r>
          </w:p>
        </w:tc>
      </w:tr>
      <w:tr w:rsidR="004E0D59" w:rsidRPr="004E0D59" w14:paraId="427A6C75" w14:textId="77777777" w:rsidTr="002D0625">
        <w:tc>
          <w:tcPr>
            <w:tcW w:w="444" w:type="dxa"/>
          </w:tcPr>
          <w:p w14:paraId="27471A2D" w14:textId="77777777" w:rsidR="004E0D59" w:rsidRPr="004E0D59" w:rsidRDefault="004E0D59" w:rsidP="004E0D59">
            <w:pPr>
              <w:rPr>
                <w:lang w:val="en-US"/>
              </w:rPr>
            </w:pPr>
            <w:r w:rsidRPr="004E0D59">
              <w:rPr>
                <w:lang w:val="en-US"/>
              </w:rPr>
              <w:t>10</w:t>
            </w:r>
          </w:p>
        </w:tc>
        <w:tc>
          <w:tcPr>
            <w:tcW w:w="8798" w:type="dxa"/>
          </w:tcPr>
          <w:p w14:paraId="6DC3FF65" w14:textId="77777777" w:rsidR="004E0D59" w:rsidRPr="006B02E3" w:rsidRDefault="004E0D59" w:rsidP="004E0D59">
            <w:pPr>
              <w:rPr>
                <w:i/>
                <w:lang w:val="en-US"/>
              </w:rPr>
            </w:pPr>
            <w:r w:rsidRPr="006B02E3">
              <w:rPr>
                <w:i/>
                <w:lang w:val="en-US"/>
              </w:rPr>
              <w:t>24 month measures</w:t>
            </w:r>
          </w:p>
          <w:p w14:paraId="1329B7BC" w14:textId="77777777" w:rsidR="004E0D59" w:rsidRPr="004E0D59" w:rsidRDefault="004E0D59" w:rsidP="004E0D59">
            <w:pPr>
              <w:rPr>
                <w:b/>
                <w:lang w:val="en-US"/>
              </w:rPr>
            </w:pPr>
            <w:r w:rsidRPr="004E0D59">
              <w:rPr>
                <w:lang w:val="en-US"/>
              </w:rPr>
              <w:t>Anthropometric measures collected by trained independent assessors blinded to allocated group, after children have moved to secondary school (secondary schools have mix of children from intervention and control schools), 24 months post baseline (12 months post intervention)</w:t>
            </w:r>
          </w:p>
        </w:tc>
      </w:tr>
    </w:tbl>
    <w:p w14:paraId="4E470E21" w14:textId="77777777" w:rsidR="008534CB" w:rsidRDefault="008534CB">
      <w:pPr>
        <w:rPr>
          <w:rFonts w:eastAsiaTheme="majorEastAsia" w:cs="Times New Roman"/>
          <w:b/>
          <w:bCs/>
          <w:i/>
        </w:rPr>
      </w:pPr>
      <w:r>
        <w:rPr>
          <w:rFonts w:eastAsiaTheme="majorEastAsia" w:cs="Times New Roman"/>
          <w:b/>
          <w:bCs/>
          <w:i/>
        </w:rPr>
        <w:br w:type="page"/>
      </w:r>
    </w:p>
    <w:p w14:paraId="5D07A165" w14:textId="155A8FB0" w:rsidR="004E0D59" w:rsidRPr="00221775" w:rsidRDefault="003A63D5" w:rsidP="004E0D59">
      <w:pPr>
        <w:keepNext/>
        <w:keepLines/>
        <w:spacing w:before="200" w:after="0" w:line="360" w:lineRule="auto"/>
        <w:outlineLvl w:val="2"/>
        <w:rPr>
          <w:rFonts w:eastAsiaTheme="majorEastAsia" w:cs="Times New Roman"/>
          <w:b/>
          <w:bCs/>
        </w:rPr>
      </w:pPr>
      <w:bookmarkStart w:id="325" w:name="_Toc466710055"/>
      <w:bookmarkStart w:id="326" w:name="_Toc466711403"/>
      <w:bookmarkStart w:id="327" w:name="_Toc466712062"/>
      <w:bookmarkStart w:id="328" w:name="_Toc475974344"/>
      <w:r w:rsidRPr="00221775">
        <w:rPr>
          <w:rFonts w:eastAsiaTheme="majorEastAsia" w:cs="Times New Roman"/>
          <w:b/>
          <w:bCs/>
        </w:rPr>
        <w:lastRenderedPageBreak/>
        <w:t xml:space="preserve">2.1.5 </w:t>
      </w:r>
      <w:r w:rsidR="004E0D59" w:rsidRPr="00221775">
        <w:rPr>
          <w:rFonts w:eastAsiaTheme="majorEastAsia" w:cs="Times New Roman"/>
          <w:b/>
          <w:bCs/>
        </w:rPr>
        <w:t>Intervention</w:t>
      </w:r>
      <w:bookmarkEnd w:id="325"/>
      <w:bookmarkEnd w:id="326"/>
      <w:bookmarkEnd w:id="327"/>
      <w:bookmarkEnd w:id="328"/>
    </w:p>
    <w:p w14:paraId="08C77F4E" w14:textId="1DED7A42" w:rsidR="004E0D59" w:rsidRPr="004E0D59" w:rsidRDefault="00FB5FF8" w:rsidP="004E0D59">
      <w:pPr>
        <w:spacing w:line="360" w:lineRule="auto"/>
        <w:rPr>
          <w:rFonts w:cs="Times New Roman"/>
        </w:rPr>
      </w:pPr>
      <w:r w:rsidRPr="004E0D59">
        <w:rPr>
          <w:rFonts w:cs="Times New Roman"/>
        </w:rPr>
        <w:t xml:space="preserve">Full details of the intervention have been published in the trial protocol and </w:t>
      </w:r>
      <w:r>
        <w:rPr>
          <w:rFonts w:cs="Times New Roman"/>
        </w:rPr>
        <w:t>a paper describing the I</w:t>
      </w:r>
      <w:r w:rsidRPr="004E0D59">
        <w:rPr>
          <w:rFonts w:cs="Times New Roman"/>
        </w:rPr>
        <w:t xml:space="preserve">ntervention </w:t>
      </w:r>
      <w:r>
        <w:rPr>
          <w:rFonts w:cs="Times New Roman"/>
        </w:rPr>
        <w:t>M</w:t>
      </w:r>
      <w:r w:rsidRPr="004E0D59">
        <w:rPr>
          <w:rFonts w:cs="Times New Roman"/>
        </w:rPr>
        <w:t xml:space="preserve">apping </w:t>
      </w:r>
      <w:r>
        <w:rPr>
          <w:rFonts w:cs="Times New Roman"/>
        </w:rPr>
        <w:t>procedures</w:t>
      </w:r>
      <w:r w:rsidR="00F81633">
        <w:rPr>
          <w:rFonts w:cs="Times New Roman"/>
        </w:rPr>
        <w:t xml:space="preserve"> </w:t>
      </w:r>
      <w:r w:rsidR="006D547B">
        <w:rPr>
          <w:rFonts w:cs="Times New Roman"/>
        </w:rPr>
        <w:fldChar w:fldCharType="begin"/>
      </w:r>
      <w:r w:rsidR="00AB7764">
        <w:rPr>
          <w:rFonts w:cs="Times New Roman"/>
        </w:rPr>
        <w:instrText xml:space="preserve"> ADDIN EN.CITE &lt;EndNote&gt;&lt;Cite&gt;&lt;Author&gt;Lloyd&lt;/Author&gt;&lt;Year&gt;2011&lt;/Year&gt;&lt;RecNum&gt;3287&lt;/RecNum&gt;&lt;DisplayText&gt;&lt;style face="superscript"&gt;33&lt;/style&gt;&lt;/DisplayText&gt;&lt;record&gt;&lt;rec-number&gt;3287&lt;/rec-number&gt;&lt;foreign-keys&gt;&lt;key app="EN" db-id="2ewa9rrvjsdsawep2vpx5x97eedzzvxx5rta" timestamp="0"&gt;3287&lt;/key&gt;&lt;/foreign-keys&gt;&lt;ref-type name="Journal Article"&gt;17&lt;/ref-type&gt;&lt;contributors&gt;&lt;authors&gt;&lt;author&gt;Lloyd, J. J.&lt;/author&gt;&lt;author&gt;Logan, S.&lt;/author&gt;&lt;author&gt;Greaves, C. J.&lt;/author&gt;&lt;author&gt;Wyatt, K. M.&lt;/author&gt;&lt;/authors&gt;&lt;/contributors&gt;&lt;titles&gt;&lt;title&gt;Evidence, theory and context - using intervention mapping to develop a school-based intervention to prevent obesity in children&lt;/title&gt;&lt;secondary-title&gt;International Journal of Behavioral Nutrition and Physical Activity&lt;/secondary-title&gt;&lt;/titles&gt;&lt;periodical&gt;&lt;full-title&gt;International Journal of Behavioral Nutrition and Physical Activity&lt;/full-title&gt;&lt;abbr-1&gt;Int J Behav Nutr Phys Act&lt;/abbr-1&gt;&lt;/periodical&gt;&lt;pages&gt;73&lt;/pages&gt;&lt;volume&gt;8&lt;/volume&gt;&lt;number&gt;1&lt;/number&gt;&lt;edition&gt;2011/07/15&lt;/edition&gt;&lt;dates&gt;&lt;year&gt;2011&lt;/year&gt;&lt;pub-dates&gt;&lt;date&gt;Jul 13&lt;/date&gt;&lt;/pub-dates&gt;&lt;/dates&gt;&lt;isbn&gt;1479-5868 (Electronic)&amp;#xD;1479-5868 (Linking)&lt;/isbn&gt;&lt;accession-num&gt;21752261&lt;/accession-num&gt;&lt;urls&gt;&lt;related-urls&gt;&lt;url&gt;http://www.ncbi.nlm.nih.gov/pubmed/21752261&lt;/url&gt;&lt;/related-urls&gt;&lt;/urls&gt;&lt;electronic-resource-num&gt;1479-5868-8-73 [pii]&amp;#xD;10.1186/1479-5868-8-73&lt;/electronic-resource-num&gt;&lt;language&gt;Eng&lt;/language&gt;&lt;/record&gt;&lt;/Cite&gt;&lt;/EndNote&gt;</w:instrText>
      </w:r>
      <w:r w:rsidR="006D547B">
        <w:rPr>
          <w:rFonts w:cs="Times New Roman"/>
        </w:rPr>
        <w:fldChar w:fldCharType="separate"/>
      </w:r>
      <w:r w:rsidR="006347BE" w:rsidRPr="006347BE">
        <w:rPr>
          <w:rFonts w:cs="Times New Roman"/>
          <w:noProof/>
          <w:vertAlign w:val="superscript"/>
        </w:rPr>
        <w:t>33</w:t>
      </w:r>
      <w:r w:rsidR="006D547B">
        <w:rPr>
          <w:rFonts w:cs="Times New Roman"/>
        </w:rPr>
        <w:fldChar w:fldCharType="end"/>
      </w:r>
      <w:r w:rsidR="004E0D59" w:rsidRPr="004E0D59">
        <w:rPr>
          <w:rFonts w:cs="Times New Roman"/>
        </w:rPr>
        <w:t>.</w:t>
      </w:r>
      <w:r w:rsidR="00B52F1E">
        <w:rPr>
          <w:rFonts w:cs="Times New Roman"/>
        </w:rPr>
        <w:t xml:space="preserve"> In summary, following the literature review and stakeholder consultation (step 1 of the intervention mapping process), we mapped out programme objectives and their associated behavioural and environmental determinants (step 2)</w:t>
      </w:r>
      <w:r w:rsidR="00CB2DBD">
        <w:rPr>
          <w:rFonts w:cs="Times New Roman"/>
        </w:rPr>
        <w:t xml:space="preserve">, </w:t>
      </w:r>
      <w:r w:rsidR="00B52F1E">
        <w:rPr>
          <w:rFonts w:cs="Times New Roman"/>
        </w:rPr>
        <w:t xml:space="preserve">selected behaviour change </w:t>
      </w:r>
      <w:r w:rsidR="00D91526">
        <w:rPr>
          <w:rFonts w:cs="Times New Roman"/>
        </w:rPr>
        <w:t xml:space="preserve">techniques </w:t>
      </w:r>
      <w:r w:rsidR="00B52F1E">
        <w:rPr>
          <w:rFonts w:cs="Times New Roman"/>
        </w:rPr>
        <w:t>and delivery methods (step</w:t>
      </w:r>
      <w:r w:rsidR="00C67FA7">
        <w:rPr>
          <w:rFonts w:cs="Times New Roman"/>
        </w:rPr>
        <w:t xml:space="preserve"> </w:t>
      </w:r>
      <w:r w:rsidR="00B52F1E">
        <w:rPr>
          <w:rFonts w:cs="Times New Roman"/>
        </w:rPr>
        <w:t>3</w:t>
      </w:r>
      <w:r w:rsidR="00CB2DBD">
        <w:rPr>
          <w:rFonts w:cs="Times New Roman"/>
        </w:rPr>
        <w:t>) and then produced intervention components and their associated materials for delivery (step 4).</w:t>
      </w:r>
      <w:r w:rsidR="00AA43DE">
        <w:rPr>
          <w:rFonts w:cs="Times New Roman"/>
        </w:rPr>
        <w:t xml:space="preserve"> </w:t>
      </w:r>
      <w:r w:rsidR="00CB2DBD">
        <w:rPr>
          <w:rFonts w:cs="Times New Roman"/>
        </w:rPr>
        <w:t>Steps 5 and 6 of the IM process involved feasibility and piloting.</w:t>
      </w:r>
      <w:r w:rsidR="004E0D59" w:rsidRPr="004E0D59">
        <w:rPr>
          <w:rFonts w:cs="Times New Roman"/>
        </w:rPr>
        <w:t xml:space="preserve"> </w:t>
      </w:r>
      <w:r w:rsidR="00CB2DBD">
        <w:rPr>
          <w:rFonts w:cs="Times New Roman"/>
        </w:rPr>
        <w:t xml:space="preserve">A </w:t>
      </w:r>
      <w:r w:rsidR="004E0D59" w:rsidRPr="004E0D59">
        <w:rPr>
          <w:rFonts w:cs="Times New Roman"/>
        </w:rPr>
        <w:t>summary</w:t>
      </w:r>
      <w:r w:rsidR="00CB2DBD">
        <w:rPr>
          <w:rFonts w:cs="Times New Roman"/>
        </w:rPr>
        <w:t xml:space="preserve"> of the intervention</w:t>
      </w:r>
      <w:r w:rsidR="004E0D59" w:rsidRPr="004E0D59">
        <w:rPr>
          <w:rFonts w:cs="Times New Roman"/>
        </w:rPr>
        <w:t xml:space="preserve"> is given below.</w:t>
      </w:r>
      <w:r w:rsidR="00F201C2">
        <w:rPr>
          <w:rFonts w:cs="Times New Roman"/>
        </w:rPr>
        <w:t xml:space="preserve"> </w:t>
      </w:r>
    </w:p>
    <w:p w14:paraId="686B7E1E" w14:textId="2F0671ED" w:rsidR="004E0D59" w:rsidRPr="004E0D59" w:rsidRDefault="004E0D59" w:rsidP="004E0D59">
      <w:pPr>
        <w:spacing w:line="360" w:lineRule="auto"/>
        <w:rPr>
          <w:rFonts w:cs="Times New Roman"/>
        </w:rPr>
      </w:pPr>
      <w:r w:rsidRPr="004E0D59">
        <w:rPr>
          <w:rFonts w:cs="Times New Roman"/>
        </w:rPr>
        <w:t xml:space="preserve">The Healthy Lifestyles Programme (HeLP) is a theory-based multi-component school-based obesity prevention intervention delivered to all Year 5 children (9-10 year olds) within a school. It consists of four phases delivered over three school terms, which have been ordered to enable and support behaviour change. HeLP delivers a general healthy lifestyle message, encouraging a healthy energy balance with a focus on behaviours relating the consumption of sweetened fizzy drinks; healthy and unhealthy snacks, physical activity and reducing screen time. An overarching message promoted throughout </w:t>
      </w:r>
      <w:r w:rsidR="00FE6FD2">
        <w:rPr>
          <w:rFonts w:cs="Times New Roman"/>
        </w:rPr>
        <w:t xml:space="preserve">the </w:t>
      </w:r>
      <w:r w:rsidR="00AA7A6D">
        <w:rPr>
          <w:rFonts w:cs="Times New Roman"/>
        </w:rPr>
        <w:t>p</w:t>
      </w:r>
      <w:r w:rsidR="00FE6FD2">
        <w:rPr>
          <w:rFonts w:cs="Times New Roman"/>
        </w:rPr>
        <w:t>rogramme</w:t>
      </w:r>
      <w:r w:rsidRPr="004E0D59">
        <w:rPr>
          <w:rFonts w:cs="Times New Roman"/>
        </w:rPr>
        <w:t xml:space="preserve"> is the ‘80/20’ rule, which recommends we should eat healthily and be active at least 80% of the time. Brief details of each phase are given below:</w:t>
      </w:r>
    </w:p>
    <w:p w14:paraId="7ED23A3C" w14:textId="39662752" w:rsidR="004E0D59" w:rsidRPr="004E0D59" w:rsidRDefault="004E0D59" w:rsidP="00403B07">
      <w:pPr>
        <w:numPr>
          <w:ilvl w:val="0"/>
          <w:numId w:val="1"/>
        </w:numPr>
        <w:adjustRightInd w:val="0"/>
        <w:snapToGrid w:val="0"/>
        <w:spacing w:line="360" w:lineRule="auto"/>
        <w:contextualSpacing/>
        <w:rPr>
          <w:rFonts w:cs="Arial"/>
        </w:rPr>
      </w:pPr>
      <w:r w:rsidRPr="004E0D59">
        <w:rPr>
          <w:rFonts w:cs="Arial"/>
        </w:rPr>
        <w:t xml:space="preserve">Four HeLP Coordinators coordinated collection of measurements and delivery of HeLP in 8 schools each (4 intervention and 4 control schools).  Coordinators were also responsible for delivering components of </w:t>
      </w:r>
      <w:r w:rsidR="00FE6FD2">
        <w:rPr>
          <w:rFonts w:cs="Arial"/>
        </w:rPr>
        <w:t xml:space="preserve">the </w:t>
      </w:r>
      <w:r w:rsidR="00AA7A6D">
        <w:rPr>
          <w:rFonts w:cs="Arial"/>
        </w:rPr>
        <w:t>p</w:t>
      </w:r>
      <w:r w:rsidR="00FE6FD2">
        <w:rPr>
          <w:rFonts w:cs="Arial"/>
        </w:rPr>
        <w:t>rogramme</w:t>
      </w:r>
      <w:r w:rsidRPr="004E0D59">
        <w:rPr>
          <w:rFonts w:cs="Arial"/>
        </w:rPr>
        <w:t xml:space="preserve"> (see Table</w:t>
      </w:r>
      <w:r w:rsidR="008A35A5">
        <w:rPr>
          <w:rFonts w:cs="Arial"/>
        </w:rPr>
        <w:t>s</w:t>
      </w:r>
      <w:r w:rsidRPr="004E0D59">
        <w:rPr>
          <w:rFonts w:cs="Arial"/>
        </w:rPr>
        <w:t xml:space="preserve"> </w:t>
      </w:r>
      <w:r w:rsidR="00BA12B1">
        <w:rPr>
          <w:rFonts w:cs="Arial"/>
        </w:rPr>
        <w:t>2</w:t>
      </w:r>
      <w:r w:rsidR="00713612">
        <w:rPr>
          <w:rFonts w:cs="Arial"/>
        </w:rPr>
        <w:t xml:space="preserve"> and </w:t>
      </w:r>
      <w:r w:rsidR="00BA12B1">
        <w:rPr>
          <w:rFonts w:cs="Arial"/>
        </w:rPr>
        <w:t>3</w:t>
      </w:r>
      <w:r w:rsidRPr="004E0D59">
        <w:rPr>
          <w:rFonts w:cs="Arial"/>
        </w:rPr>
        <w:t xml:space="preserve">) and were responsible for building relationships with schools, children and families. It was believed that having one key contact person for each school was crucial in building and strengthening relationships with teachers, children and parents over the course of the one year intervention period and would increase engagement with </w:t>
      </w:r>
      <w:r w:rsidR="00FE6FD2">
        <w:rPr>
          <w:rFonts w:cs="Arial"/>
        </w:rPr>
        <w:t xml:space="preserve">the </w:t>
      </w:r>
      <w:r w:rsidR="00AA7A6D">
        <w:rPr>
          <w:rFonts w:cs="Arial"/>
        </w:rPr>
        <w:t>p</w:t>
      </w:r>
      <w:r w:rsidR="00FE6FD2">
        <w:rPr>
          <w:rFonts w:cs="Arial"/>
        </w:rPr>
        <w:t>rogramme</w:t>
      </w:r>
      <w:r w:rsidRPr="004E0D59">
        <w:rPr>
          <w:rFonts w:cs="Arial"/>
        </w:rPr>
        <w:t xml:space="preserve"> which was believed to be necessary for behaviour change to occur.</w:t>
      </w:r>
    </w:p>
    <w:p w14:paraId="6210FADE" w14:textId="1EFF48A3" w:rsidR="004E0D59" w:rsidRPr="004E0D59" w:rsidRDefault="004E0D59" w:rsidP="00403B07">
      <w:pPr>
        <w:numPr>
          <w:ilvl w:val="0"/>
          <w:numId w:val="1"/>
        </w:numPr>
        <w:adjustRightInd w:val="0"/>
        <w:snapToGrid w:val="0"/>
        <w:spacing w:line="360" w:lineRule="auto"/>
        <w:contextualSpacing/>
        <w:rPr>
          <w:rFonts w:cs="Arial"/>
        </w:rPr>
      </w:pPr>
      <w:r w:rsidRPr="004E0D59">
        <w:rPr>
          <w:rFonts w:cs="Arial"/>
        </w:rPr>
        <w:t xml:space="preserve">The </w:t>
      </w:r>
      <w:r w:rsidR="00E0630B">
        <w:t xml:space="preserve">HeLP Coordinators </w:t>
      </w:r>
      <w:r w:rsidRPr="004E0D59">
        <w:rPr>
          <w:rFonts w:cs="Arial"/>
        </w:rPr>
        <w:t xml:space="preserve">were provided with a written delivery manual and practiced delivery of school assemblies, parent assemblies and goal setting, with critical feedback from the trial manager and the parent representatives on the Project Advisory Group (PAG), prior to delivering the components to the children. The </w:t>
      </w:r>
      <w:r w:rsidR="00E0630B">
        <w:t>HeLP Coordinator</w:t>
      </w:r>
      <w:r w:rsidRPr="004E0D59">
        <w:rPr>
          <w:rFonts w:cs="Arial"/>
        </w:rPr>
        <w:t xml:space="preserve"> liaised with the school administrators, head teache</w:t>
      </w:r>
      <w:r w:rsidR="006B02E3">
        <w:rPr>
          <w:rFonts w:cs="Arial"/>
        </w:rPr>
        <w:t xml:space="preserve">rs and teachers to discuss </w:t>
      </w:r>
      <w:r w:rsidR="00FE6FD2">
        <w:rPr>
          <w:rFonts w:cs="Arial"/>
        </w:rPr>
        <w:t xml:space="preserve">the </w:t>
      </w:r>
      <w:r w:rsidR="00AA7A6D">
        <w:rPr>
          <w:rFonts w:cs="Arial"/>
        </w:rPr>
        <w:t>p</w:t>
      </w:r>
      <w:r w:rsidR="00FE6FD2">
        <w:rPr>
          <w:rFonts w:cs="Arial"/>
        </w:rPr>
        <w:t>rogramme</w:t>
      </w:r>
      <w:r w:rsidRPr="004E0D59">
        <w:rPr>
          <w:rFonts w:cs="Arial"/>
        </w:rPr>
        <w:t xml:space="preserve"> and arrange timings for delivery at each intervention school. The teachers were provided with easy to read information leaflets at appropriate time points throughout the intervention delivery period, to ensure they were aware of upcoming activities. </w:t>
      </w:r>
    </w:p>
    <w:p w14:paraId="40750638" w14:textId="77777777" w:rsidR="004E0D59" w:rsidRPr="004E0D59" w:rsidRDefault="004E0D59" w:rsidP="00403B07">
      <w:pPr>
        <w:numPr>
          <w:ilvl w:val="0"/>
          <w:numId w:val="1"/>
        </w:numPr>
        <w:adjustRightInd w:val="0"/>
        <w:snapToGrid w:val="0"/>
        <w:spacing w:line="360" w:lineRule="auto"/>
        <w:contextualSpacing/>
        <w:rPr>
          <w:rFonts w:cs="Arial"/>
        </w:rPr>
      </w:pPr>
      <w:r w:rsidRPr="004E0D59">
        <w:rPr>
          <w:rFonts w:cs="Arial"/>
        </w:rPr>
        <w:lastRenderedPageBreak/>
        <w:t xml:space="preserve">A picture of the </w:t>
      </w:r>
      <w:r w:rsidR="00E0630B">
        <w:t>HeLP Coordinator</w:t>
      </w:r>
      <w:r w:rsidRPr="004E0D59">
        <w:rPr>
          <w:rFonts w:cs="Arial"/>
        </w:rPr>
        <w:t xml:space="preserve"> and their contact details were put up at the reception desk. </w:t>
      </w:r>
    </w:p>
    <w:p w14:paraId="647C5793" w14:textId="02740F09" w:rsidR="004E0D59" w:rsidRPr="004E0D59" w:rsidRDefault="004E0D59" w:rsidP="00403B07">
      <w:pPr>
        <w:numPr>
          <w:ilvl w:val="0"/>
          <w:numId w:val="1"/>
        </w:numPr>
        <w:adjustRightInd w:val="0"/>
        <w:snapToGrid w:val="0"/>
        <w:spacing w:line="360" w:lineRule="auto"/>
        <w:contextualSpacing/>
        <w:rPr>
          <w:rFonts w:cs="Arial"/>
        </w:rPr>
      </w:pPr>
      <w:r w:rsidRPr="004E0D59">
        <w:rPr>
          <w:rFonts w:cs="Arial"/>
        </w:rPr>
        <w:t>Phase 1 (</w:t>
      </w:r>
      <w:r w:rsidR="006B02E3">
        <w:rPr>
          <w:rFonts w:cs="Arial"/>
        </w:rPr>
        <w:t>S</w:t>
      </w:r>
      <w:r w:rsidRPr="004E0D59">
        <w:rPr>
          <w:rFonts w:cs="Arial"/>
        </w:rPr>
        <w:t xml:space="preserve">pring term of Year 5) of the intervention aimed to </w:t>
      </w:r>
      <w:r w:rsidRPr="004E0D59">
        <w:rPr>
          <w:rFonts w:cs="Arial"/>
          <w:i/>
        </w:rPr>
        <w:t>create a supportive context</w:t>
      </w:r>
      <w:r w:rsidRPr="004E0D59">
        <w:rPr>
          <w:rFonts w:cs="Arial"/>
        </w:rPr>
        <w:t xml:space="preserve"> by establishing relationships, raising awareness of </w:t>
      </w:r>
      <w:r w:rsidR="00FE6FD2">
        <w:rPr>
          <w:rFonts w:cs="Arial"/>
        </w:rPr>
        <w:t xml:space="preserve">the </w:t>
      </w:r>
      <w:r w:rsidR="00AA7A6D">
        <w:rPr>
          <w:rFonts w:cs="Arial"/>
        </w:rPr>
        <w:t>p</w:t>
      </w:r>
      <w:r w:rsidR="00FE6FD2">
        <w:rPr>
          <w:rFonts w:cs="Arial"/>
        </w:rPr>
        <w:t>rogramme</w:t>
      </w:r>
      <w:r w:rsidRPr="004E0D59">
        <w:rPr>
          <w:rFonts w:cs="Arial"/>
        </w:rPr>
        <w:t xml:space="preserve"> and setting the foundation for the successful delivery of subsequent components. Professional sports people and dancers were brought in to run practical workshops and introduce the importance of healthy lifestyles. The aim was to create a buzz in the school and help set a positive atmosphere for future activities. At the end of this phase, children showcased the skills they had learnt in a parent assembly, where parents were given further information about </w:t>
      </w:r>
      <w:r w:rsidR="00FE6FD2">
        <w:rPr>
          <w:rFonts w:cs="Arial"/>
        </w:rPr>
        <w:t xml:space="preserve">the </w:t>
      </w:r>
      <w:r w:rsidR="00AA7A6D">
        <w:rPr>
          <w:rFonts w:cs="Arial"/>
        </w:rPr>
        <w:t>p</w:t>
      </w:r>
      <w:r w:rsidR="00FE6FD2">
        <w:rPr>
          <w:rFonts w:cs="Arial"/>
        </w:rPr>
        <w:t>rogramme</w:t>
      </w:r>
      <w:r w:rsidRPr="004E0D59">
        <w:rPr>
          <w:rFonts w:cs="Arial"/>
        </w:rPr>
        <w:t xml:space="preserve"> by the HeLP Coordinator. </w:t>
      </w:r>
    </w:p>
    <w:p w14:paraId="11389C50" w14:textId="2B9FFD46" w:rsidR="004E0D59" w:rsidRPr="004E0D59" w:rsidRDefault="004E0D59" w:rsidP="00403B07">
      <w:pPr>
        <w:numPr>
          <w:ilvl w:val="0"/>
          <w:numId w:val="1"/>
        </w:numPr>
        <w:adjustRightInd w:val="0"/>
        <w:snapToGrid w:val="0"/>
        <w:spacing w:line="360" w:lineRule="auto"/>
        <w:contextualSpacing/>
        <w:rPr>
          <w:rFonts w:cs="Arial"/>
        </w:rPr>
      </w:pPr>
      <w:r w:rsidRPr="004E0D59">
        <w:rPr>
          <w:rFonts w:cs="Arial"/>
        </w:rPr>
        <w:t>Phase 2 (</w:t>
      </w:r>
      <w:r w:rsidR="006B02E3">
        <w:rPr>
          <w:rFonts w:cs="Arial"/>
        </w:rPr>
        <w:t>S</w:t>
      </w:r>
      <w:r w:rsidRPr="004E0D59">
        <w:rPr>
          <w:rFonts w:cs="Arial"/>
        </w:rPr>
        <w:t xml:space="preserve">ummer term of Year 5) was the </w:t>
      </w:r>
      <w:r w:rsidRPr="00221775">
        <w:rPr>
          <w:rFonts w:cs="Arial"/>
        </w:rPr>
        <w:t>intensive Healthy Lifestyles Week</w:t>
      </w:r>
      <w:r w:rsidRPr="004E0D59">
        <w:rPr>
          <w:rFonts w:cs="Arial"/>
          <w:i/>
        </w:rPr>
        <w:t xml:space="preserve">, </w:t>
      </w:r>
      <w:r w:rsidRPr="004E0D59">
        <w:rPr>
          <w:rFonts w:cs="Arial"/>
        </w:rPr>
        <w:t xml:space="preserve">which involved education lessons (delivered by the class teacher) each morning and interactive drama activities every afternoon during the week (delivered by a local drama group). Teachers were provided with a teaching manual containing all five lesson plans and associated resources, including a compact disc. No training was required for the teachers to deliver the lessons and each lesson plan was set out clearly with objectives linking to the National Curriculum at Key Stage 2. Short and simple homework tasks were given at the end of each session for the children to complete in time for the next session. The drama framework was built around four characters </w:t>
      </w:r>
      <w:r w:rsidRPr="004E0D59">
        <w:rPr>
          <w:rFonts w:cs="Arial"/>
          <w:noProof/>
        </w:rPr>
        <w:t>(Disorga</w:t>
      </w:r>
      <w:r w:rsidR="00C70B88">
        <w:rPr>
          <w:rFonts w:cs="Arial"/>
          <w:noProof/>
        </w:rPr>
        <w:t>n</w:t>
      </w:r>
      <w:r w:rsidRPr="004E0D59">
        <w:rPr>
          <w:rFonts w:cs="Arial"/>
          <w:noProof/>
        </w:rPr>
        <w:t>ised Duncan, Fooball Freddie, Snacky Sam and Active Amy)</w:t>
      </w:r>
      <w:r w:rsidRPr="004E0D59">
        <w:rPr>
          <w:rFonts w:cs="Arial"/>
        </w:rPr>
        <w:t>, each represented by an actor, whose attributes related to the three key programme behaviours. Children were asked to choose the character they felt they most resembled and during the week, they worked closely with that actor to help the character change their behaviour. These sessions were dynamic and interactive and involved role play, games, dance, problem solving, food tasting and forum theatre. Forum theatre</w:t>
      </w:r>
      <w:r w:rsidR="00C90C41" w:rsidRPr="00C90C41">
        <w:t xml:space="preserve"> </w:t>
      </w:r>
      <w:r w:rsidR="00ED1F9E">
        <w:rPr>
          <w:rFonts w:cs="Arial"/>
        </w:rPr>
        <w:fldChar w:fldCharType="begin"/>
      </w:r>
      <w:r w:rsidR="006347BE">
        <w:rPr>
          <w:rFonts w:cs="Arial"/>
        </w:rPr>
        <w:instrText xml:space="preserve"> ADDIN EN.CITE &lt;EndNote&gt;&lt;Cite&gt;&lt;Author&gt;Boal&lt;/Author&gt;&lt;Year&gt;1979&lt;/Year&gt;&lt;RecNum&gt;5718&lt;/RecNum&gt;&lt;DisplayText&gt;&lt;style face="superscript"&gt;34&lt;/style&gt;&lt;/DisplayText&gt;&lt;record&gt;&lt;rec-number&gt;5718&lt;/rec-number&gt;&lt;foreign-keys&gt;&lt;key app="EN" db-id="2ewa9rrvjsdsawep2vpx5x97eedzzvxx5rta" timestamp="1478613136"&gt;5718&lt;/key&gt;&lt;/foreign-keys&gt;&lt;ref-type name="Book"&gt;6&lt;/ref-type&gt;&lt;contributors&gt;&lt;authors&gt;&lt;author&gt;Boal, A&lt;/author&gt;&lt;/authors&gt;&lt;/contributors&gt;&lt;titles&gt;&lt;title&gt;Theatre of the oppressed&lt;/title&gt;&lt;/titles&gt;&lt;dates&gt;&lt;year&gt;1979&lt;/year&gt;&lt;/dates&gt;&lt;pub-location&gt;London&lt;/pub-location&gt;&lt;publisher&gt;Pluto&lt;/publisher&gt;&lt;urls&gt;&lt;/urls&gt;&lt;/record&gt;&lt;/Cite&gt;&lt;/EndNote&gt;</w:instrText>
      </w:r>
      <w:r w:rsidR="00ED1F9E">
        <w:rPr>
          <w:rFonts w:cs="Arial"/>
        </w:rPr>
        <w:fldChar w:fldCharType="separate"/>
      </w:r>
      <w:r w:rsidR="006347BE" w:rsidRPr="006347BE">
        <w:rPr>
          <w:rFonts w:cs="Arial"/>
          <w:noProof/>
          <w:vertAlign w:val="superscript"/>
        </w:rPr>
        <w:t>34</w:t>
      </w:r>
      <w:r w:rsidR="00ED1F9E">
        <w:rPr>
          <w:rFonts w:cs="Arial"/>
        </w:rPr>
        <w:fldChar w:fldCharType="end"/>
      </w:r>
      <w:r w:rsidR="00C90C41" w:rsidRPr="00C90C41">
        <w:rPr>
          <w:rFonts w:cs="Arial"/>
        </w:rPr>
        <w:t xml:space="preserve"> </w:t>
      </w:r>
      <w:r w:rsidRPr="004E0D59">
        <w:rPr>
          <w:rFonts w:cs="Arial"/>
        </w:rPr>
        <w:t xml:space="preserve">is a technique where actors act out a family scene and children must focus on the behaviours of one character. If they notice the character not adhering to the healthy lifestyle messages the children can shout ‘stop’ and suggest a change the character could make to improve the outcomes. The child then enters the scene taking on the role of the character and the scene is rerun with the suggested change. This method brings the children into the performance, enabling them to have a direct input into the dramatic action they are watching. A Drama Facilitator led the drama sessions and coordinated delivery of the activities within this component. All actors and the Drama Facilitator completed a 4 day training programme and were given a detailed manual of the drama scripts and an overview (verbal presentation and written document) of the HeLP intervention. Members of the drama team were expected to liaise with each other to </w:t>
      </w:r>
      <w:r w:rsidRPr="004E0D59">
        <w:rPr>
          <w:rFonts w:cs="Arial"/>
        </w:rPr>
        <w:lastRenderedPageBreak/>
        <w:t>practice the scripts prior to delivering in each school. The themes for each lesson and drama session were as follows:</w:t>
      </w:r>
    </w:p>
    <w:p w14:paraId="43D170D8" w14:textId="39717C86" w:rsidR="004E0D59" w:rsidRPr="004E0D59" w:rsidRDefault="00DE781A" w:rsidP="00403B07">
      <w:pPr>
        <w:numPr>
          <w:ilvl w:val="1"/>
          <w:numId w:val="1"/>
        </w:numPr>
        <w:adjustRightInd w:val="0"/>
        <w:snapToGrid w:val="0"/>
        <w:spacing w:line="360" w:lineRule="auto"/>
        <w:contextualSpacing/>
        <w:rPr>
          <w:rFonts w:cs="Arial"/>
        </w:rPr>
      </w:pPr>
      <w:r>
        <w:rPr>
          <w:rFonts w:cs="Arial"/>
        </w:rPr>
        <w:t>The energy balance (e</w:t>
      </w:r>
      <w:r w:rsidR="004E0D59" w:rsidRPr="004E0D59">
        <w:rPr>
          <w:rFonts w:cs="Arial"/>
        </w:rPr>
        <w:t>nergy in</w:t>
      </w:r>
      <w:r>
        <w:rPr>
          <w:rFonts w:cs="Arial"/>
        </w:rPr>
        <w:t>)</w:t>
      </w:r>
    </w:p>
    <w:p w14:paraId="54E2E8C2" w14:textId="51C2F99F" w:rsidR="004E0D59" w:rsidRPr="004E0D59" w:rsidRDefault="00DE781A" w:rsidP="00403B07">
      <w:pPr>
        <w:numPr>
          <w:ilvl w:val="1"/>
          <w:numId w:val="1"/>
        </w:numPr>
        <w:adjustRightInd w:val="0"/>
        <w:snapToGrid w:val="0"/>
        <w:spacing w:line="360" w:lineRule="auto"/>
        <w:contextualSpacing/>
        <w:rPr>
          <w:rFonts w:cs="Arial"/>
        </w:rPr>
      </w:pPr>
      <w:r>
        <w:rPr>
          <w:rFonts w:cs="Arial"/>
        </w:rPr>
        <w:t>The energy balance (e</w:t>
      </w:r>
      <w:r w:rsidR="004E0D59" w:rsidRPr="004E0D59">
        <w:rPr>
          <w:rFonts w:cs="Arial"/>
        </w:rPr>
        <w:t>nergy out</w:t>
      </w:r>
      <w:r>
        <w:rPr>
          <w:rFonts w:cs="Arial"/>
        </w:rPr>
        <w:t>)</w:t>
      </w:r>
    </w:p>
    <w:p w14:paraId="20082F99" w14:textId="77777777" w:rsidR="004E0D59" w:rsidRPr="004E0D59" w:rsidRDefault="004E0D59" w:rsidP="00403B07">
      <w:pPr>
        <w:numPr>
          <w:ilvl w:val="1"/>
          <w:numId w:val="1"/>
        </w:numPr>
        <w:adjustRightInd w:val="0"/>
        <w:snapToGrid w:val="0"/>
        <w:spacing w:line="360" w:lineRule="auto"/>
        <w:contextualSpacing/>
        <w:rPr>
          <w:rFonts w:cs="Arial"/>
        </w:rPr>
      </w:pPr>
      <w:r w:rsidRPr="004E0D59">
        <w:rPr>
          <w:rFonts w:cs="Arial"/>
        </w:rPr>
        <w:t>Overcoming temptation</w:t>
      </w:r>
    </w:p>
    <w:p w14:paraId="7516C13E" w14:textId="77777777" w:rsidR="004E0D59" w:rsidRPr="004E0D59" w:rsidRDefault="004E0D59" w:rsidP="00403B07">
      <w:pPr>
        <w:numPr>
          <w:ilvl w:val="1"/>
          <w:numId w:val="1"/>
        </w:numPr>
        <w:adjustRightInd w:val="0"/>
        <w:snapToGrid w:val="0"/>
        <w:spacing w:line="360" w:lineRule="auto"/>
        <w:contextualSpacing/>
        <w:rPr>
          <w:rFonts w:cs="Arial"/>
        </w:rPr>
      </w:pPr>
      <w:r w:rsidRPr="004E0D59">
        <w:rPr>
          <w:rFonts w:cs="Arial"/>
        </w:rPr>
        <w:t>Decision making and responsibility</w:t>
      </w:r>
    </w:p>
    <w:p w14:paraId="05005E5D" w14:textId="389D6F4B" w:rsidR="004E0D59" w:rsidRPr="004E0D59" w:rsidRDefault="004E0D59" w:rsidP="00403B07">
      <w:pPr>
        <w:numPr>
          <w:ilvl w:val="1"/>
          <w:numId w:val="1"/>
        </w:numPr>
        <w:adjustRightInd w:val="0"/>
        <w:snapToGrid w:val="0"/>
        <w:spacing w:line="360" w:lineRule="auto"/>
        <w:contextualSpacing/>
        <w:rPr>
          <w:rFonts w:cs="Arial"/>
        </w:rPr>
      </w:pPr>
      <w:r w:rsidRPr="004E0D59">
        <w:rPr>
          <w:rFonts w:cs="Arial"/>
        </w:rPr>
        <w:t xml:space="preserve">Food marketing and </w:t>
      </w:r>
      <w:r w:rsidR="000F6DA1">
        <w:rPr>
          <w:rFonts w:cs="Arial"/>
        </w:rPr>
        <w:t>g</w:t>
      </w:r>
      <w:r w:rsidRPr="004E0D59">
        <w:rPr>
          <w:rFonts w:cs="Arial"/>
        </w:rPr>
        <w:t>oal setting</w:t>
      </w:r>
    </w:p>
    <w:p w14:paraId="3D245B52" w14:textId="77777777" w:rsidR="004E0D59" w:rsidRDefault="004E0D59" w:rsidP="000C702A">
      <w:pPr>
        <w:adjustRightInd w:val="0"/>
        <w:snapToGrid w:val="0"/>
        <w:spacing w:line="360" w:lineRule="auto"/>
        <w:contextualSpacing/>
        <w:rPr>
          <w:rFonts w:cs="Arial"/>
        </w:rPr>
      </w:pPr>
      <w:r w:rsidRPr="004E0D59">
        <w:rPr>
          <w:rFonts w:cs="Arial"/>
        </w:rPr>
        <w:t xml:space="preserve">An information sheet for each topic above was sent home to parents in their child’s book bag. </w:t>
      </w:r>
    </w:p>
    <w:p w14:paraId="7FCA0140" w14:textId="3FEF2A8B" w:rsidR="000C702A" w:rsidRPr="00C82499" w:rsidRDefault="004055E0" w:rsidP="000C702A">
      <w:pPr>
        <w:adjustRightInd w:val="0"/>
        <w:snapToGrid w:val="0"/>
        <w:spacing w:line="360" w:lineRule="auto"/>
        <w:contextualSpacing/>
        <w:rPr>
          <w:rFonts w:cs="Arial"/>
          <w:b/>
        </w:rPr>
      </w:pPr>
      <w:r>
        <w:rPr>
          <w:rFonts w:cs="Arial"/>
          <w:b/>
        </w:rPr>
        <w:t>T</w:t>
      </w:r>
      <w:r w:rsidR="00C75714" w:rsidRPr="00C82499">
        <w:rPr>
          <w:rFonts w:cs="Arial"/>
          <w:b/>
        </w:rPr>
        <w:t>ABLE</w:t>
      </w:r>
      <w:r w:rsidR="00106E3E" w:rsidRPr="00C82499">
        <w:rPr>
          <w:rFonts w:cs="Arial"/>
          <w:b/>
        </w:rPr>
        <w:t xml:space="preserve"> 1</w:t>
      </w:r>
      <w:r w:rsidR="000C702A" w:rsidRPr="00C82499">
        <w:rPr>
          <w:rFonts w:cs="Arial"/>
          <w:b/>
        </w:rPr>
        <w:t xml:space="preserve"> </w:t>
      </w:r>
      <w:r w:rsidR="00AA5BDC" w:rsidRPr="00C82499">
        <w:rPr>
          <w:rFonts w:cs="Arial"/>
          <w:b/>
        </w:rPr>
        <w:t>L</w:t>
      </w:r>
      <w:r w:rsidR="00B13880" w:rsidRPr="00C82499">
        <w:rPr>
          <w:rFonts w:cs="Arial"/>
          <w:b/>
        </w:rPr>
        <w:t xml:space="preserve">earning </w:t>
      </w:r>
      <w:r w:rsidR="000C702A" w:rsidRPr="00C82499">
        <w:rPr>
          <w:rFonts w:cs="Arial"/>
          <w:b/>
        </w:rPr>
        <w:t>objectives for each of the five education and drama sessions</w:t>
      </w:r>
    </w:p>
    <w:tbl>
      <w:tblPr>
        <w:tblStyle w:val="TableGrid"/>
        <w:tblW w:w="0" w:type="auto"/>
        <w:tblLook w:val="04A0" w:firstRow="1" w:lastRow="0" w:firstColumn="1" w:lastColumn="0" w:noHBand="0" w:noVBand="1"/>
      </w:tblPr>
      <w:tblGrid>
        <w:gridCol w:w="1918"/>
        <w:gridCol w:w="4053"/>
        <w:gridCol w:w="3045"/>
      </w:tblGrid>
      <w:tr w:rsidR="000C702A" w14:paraId="6C6928A3" w14:textId="77777777" w:rsidTr="000F6DA1">
        <w:tc>
          <w:tcPr>
            <w:tcW w:w="1951" w:type="dxa"/>
          </w:tcPr>
          <w:p w14:paraId="661F76E9" w14:textId="4CED9B86" w:rsidR="000C702A" w:rsidRDefault="000C702A" w:rsidP="000C702A">
            <w:pPr>
              <w:adjustRightInd w:val="0"/>
              <w:snapToGrid w:val="0"/>
              <w:spacing w:line="360" w:lineRule="auto"/>
              <w:contextualSpacing/>
              <w:rPr>
                <w:rFonts w:cs="Arial"/>
              </w:rPr>
            </w:pPr>
            <w:r>
              <w:rPr>
                <w:rFonts w:cs="Arial"/>
              </w:rPr>
              <w:t>Session</w:t>
            </w:r>
          </w:p>
        </w:tc>
        <w:tc>
          <w:tcPr>
            <w:tcW w:w="4210" w:type="dxa"/>
          </w:tcPr>
          <w:p w14:paraId="6021C1BA" w14:textId="795C3A4A" w:rsidR="000C702A" w:rsidRDefault="000C702A" w:rsidP="000C702A">
            <w:pPr>
              <w:adjustRightInd w:val="0"/>
              <w:snapToGrid w:val="0"/>
              <w:spacing w:line="360" w:lineRule="auto"/>
              <w:contextualSpacing/>
              <w:rPr>
                <w:rFonts w:cs="Arial"/>
              </w:rPr>
            </w:pPr>
            <w:r>
              <w:rPr>
                <w:rFonts w:cs="Arial"/>
              </w:rPr>
              <w:t>Education lesson</w:t>
            </w:r>
            <w:r w:rsidR="00B13880">
              <w:rPr>
                <w:rFonts w:cs="Arial"/>
              </w:rPr>
              <w:t xml:space="preserve"> learning objectives</w:t>
            </w:r>
          </w:p>
        </w:tc>
        <w:tc>
          <w:tcPr>
            <w:tcW w:w="3081" w:type="dxa"/>
          </w:tcPr>
          <w:p w14:paraId="0A11EACB" w14:textId="6235129B" w:rsidR="000C702A" w:rsidRDefault="000C702A" w:rsidP="000C702A">
            <w:pPr>
              <w:adjustRightInd w:val="0"/>
              <w:snapToGrid w:val="0"/>
              <w:spacing w:line="360" w:lineRule="auto"/>
              <w:contextualSpacing/>
              <w:rPr>
                <w:rFonts w:cs="Arial"/>
              </w:rPr>
            </w:pPr>
            <w:r>
              <w:rPr>
                <w:rFonts w:cs="Arial"/>
              </w:rPr>
              <w:t>Drama session</w:t>
            </w:r>
            <w:r w:rsidR="00B13880">
              <w:rPr>
                <w:rFonts w:cs="Arial"/>
              </w:rPr>
              <w:t xml:space="preserve"> learning objectives</w:t>
            </w:r>
          </w:p>
        </w:tc>
      </w:tr>
      <w:tr w:rsidR="000C702A" w14:paraId="08A010A8" w14:textId="77777777" w:rsidTr="000F6DA1">
        <w:tc>
          <w:tcPr>
            <w:tcW w:w="1951" w:type="dxa"/>
          </w:tcPr>
          <w:p w14:paraId="1948EC94" w14:textId="2CB01A6F" w:rsidR="000C702A" w:rsidRDefault="000C702A" w:rsidP="000C702A">
            <w:pPr>
              <w:adjustRightInd w:val="0"/>
              <w:snapToGrid w:val="0"/>
              <w:spacing w:line="360" w:lineRule="auto"/>
              <w:contextualSpacing/>
              <w:rPr>
                <w:rFonts w:cs="Arial"/>
              </w:rPr>
            </w:pPr>
            <w:r>
              <w:rPr>
                <w:rFonts w:cs="Arial"/>
              </w:rPr>
              <w:t>1</w:t>
            </w:r>
            <w:r w:rsidR="00DE781A">
              <w:rPr>
                <w:rFonts w:cs="Arial"/>
              </w:rPr>
              <w:t xml:space="preserve"> – The Energy balance (energy in)</w:t>
            </w:r>
          </w:p>
        </w:tc>
        <w:tc>
          <w:tcPr>
            <w:tcW w:w="4210" w:type="dxa"/>
          </w:tcPr>
          <w:p w14:paraId="28A68D69" w14:textId="77777777" w:rsidR="00DE781A" w:rsidRPr="00DE781A" w:rsidRDefault="00DE781A" w:rsidP="00DE781A">
            <w:pPr>
              <w:numPr>
                <w:ilvl w:val="0"/>
                <w:numId w:val="27"/>
              </w:numPr>
              <w:pBdr>
                <w:top w:val="single" w:sz="4" w:space="1" w:color="auto"/>
                <w:left w:val="single" w:sz="4" w:space="4" w:color="auto"/>
                <w:bottom w:val="single" w:sz="4" w:space="1" w:color="auto"/>
                <w:right w:val="single" w:sz="4" w:space="4" w:color="auto"/>
              </w:pBdr>
              <w:tabs>
                <w:tab w:val="clear" w:pos="720"/>
                <w:tab w:val="num" w:pos="360"/>
              </w:tabs>
              <w:ind w:left="360"/>
              <w:rPr>
                <w:rFonts w:cs="Arial"/>
              </w:rPr>
            </w:pPr>
            <w:r w:rsidRPr="00DE781A">
              <w:rPr>
                <w:rFonts w:cs="Arial"/>
              </w:rPr>
              <w:t>Understand the energy balance and the importance of it for their health</w:t>
            </w:r>
          </w:p>
          <w:p w14:paraId="188BCB77" w14:textId="77777777" w:rsidR="00DE781A" w:rsidRPr="00DE781A" w:rsidRDefault="00DE781A" w:rsidP="00DE781A">
            <w:pPr>
              <w:numPr>
                <w:ilvl w:val="0"/>
                <w:numId w:val="27"/>
              </w:numPr>
              <w:pBdr>
                <w:top w:val="single" w:sz="4" w:space="1" w:color="auto"/>
                <w:left w:val="single" w:sz="4" w:space="4" w:color="auto"/>
                <w:bottom w:val="single" w:sz="4" w:space="1" w:color="auto"/>
                <w:right w:val="single" w:sz="4" w:space="4" w:color="auto"/>
              </w:pBdr>
              <w:tabs>
                <w:tab w:val="clear" w:pos="720"/>
                <w:tab w:val="num" w:pos="360"/>
              </w:tabs>
              <w:ind w:left="360"/>
              <w:rPr>
                <w:rFonts w:cs="Arial"/>
              </w:rPr>
            </w:pPr>
            <w:r w:rsidRPr="00DE781A">
              <w:rPr>
                <w:rFonts w:cs="Arial"/>
              </w:rPr>
              <w:t>Understand what energy dense food means</w:t>
            </w:r>
          </w:p>
          <w:p w14:paraId="4609514C" w14:textId="77777777" w:rsidR="00DE781A" w:rsidRPr="00DE781A" w:rsidRDefault="00DE781A" w:rsidP="00DE781A">
            <w:pPr>
              <w:numPr>
                <w:ilvl w:val="0"/>
                <w:numId w:val="27"/>
              </w:numPr>
              <w:pBdr>
                <w:top w:val="single" w:sz="4" w:space="1" w:color="auto"/>
                <w:left w:val="single" w:sz="4" w:space="4" w:color="auto"/>
                <w:bottom w:val="single" w:sz="4" w:space="1" w:color="auto"/>
                <w:right w:val="single" w:sz="4" w:space="4" w:color="auto"/>
              </w:pBdr>
              <w:tabs>
                <w:tab w:val="clear" w:pos="720"/>
                <w:tab w:val="num" w:pos="360"/>
              </w:tabs>
              <w:ind w:left="360"/>
              <w:rPr>
                <w:rFonts w:cs="Arial"/>
              </w:rPr>
            </w:pPr>
            <w:r w:rsidRPr="00DE781A">
              <w:rPr>
                <w:rFonts w:cs="Arial"/>
              </w:rPr>
              <w:t>Understand that different types of food provide energy for the body at different speeds and the impact of this</w:t>
            </w:r>
          </w:p>
          <w:p w14:paraId="6E80ABDF" w14:textId="77777777" w:rsidR="00DE781A" w:rsidRPr="00DE781A" w:rsidRDefault="00DE781A" w:rsidP="00DE781A">
            <w:pPr>
              <w:numPr>
                <w:ilvl w:val="0"/>
                <w:numId w:val="27"/>
              </w:numPr>
              <w:pBdr>
                <w:top w:val="single" w:sz="4" w:space="1" w:color="auto"/>
                <w:left w:val="single" w:sz="4" w:space="4" w:color="auto"/>
                <w:bottom w:val="single" w:sz="4" w:space="1" w:color="auto"/>
                <w:right w:val="single" w:sz="4" w:space="4" w:color="auto"/>
              </w:pBdr>
              <w:tabs>
                <w:tab w:val="clear" w:pos="720"/>
                <w:tab w:val="num" w:pos="360"/>
              </w:tabs>
              <w:ind w:left="360"/>
              <w:rPr>
                <w:rFonts w:cs="Arial"/>
              </w:rPr>
            </w:pPr>
            <w:r w:rsidRPr="00DE781A">
              <w:rPr>
                <w:rFonts w:cs="Arial"/>
              </w:rPr>
              <w:t>Understand the Balance of Good Health Model</w:t>
            </w:r>
          </w:p>
          <w:p w14:paraId="1DA8AAE1" w14:textId="77777777" w:rsidR="000C702A" w:rsidRDefault="000C702A" w:rsidP="000C702A">
            <w:pPr>
              <w:adjustRightInd w:val="0"/>
              <w:snapToGrid w:val="0"/>
              <w:spacing w:line="360" w:lineRule="auto"/>
              <w:contextualSpacing/>
              <w:rPr>
                <w:rFonts w:cs="Arial"/>
              </w:rPr>
            </w:pPr>
          </w:p>
        </w:tc>
        <w:tc>
          <w:tcPr>
            <w:tcW w:w="3081" w:type="dxa"/>
          </w:tcPr>
          <w:p w14:paraId="199395F9" w14:textId="77777777" w:rsidR="000F6DA1" w:rsidRPr="000F6DA1" w:rsidRDefault="000F6DA1" w:rsidP="000F6DA1">
            <w:pPr>
              <w:numPr>
                <w:ilvl w:val="0"/>
                <w:numId w:val="28"/>
              </w:numPr>
              <w:contextualSpacing/>
              <w:rPr>
                <w:rFonts w:eastAsia="Calibri"/>
              </w:rPr>
            </w:pPr>
            <w:r w:rsidRPr="000F6DA1">
              <w:rPr>
                <w:rFonts w:eastAsia="Calibri"/>
              </w:rPr>
              <w:t>Getting to know and building relations with characters</w:t>
            </w:r>
          </w:p>
          <w:p w14:paraId="4DED23CF" w14:textId="77777777" w:rsidR="000F6DA1" w:rsidRPr="000F6DA1" w:rsidRDefault="000F6DA1" w:rsidP="000F6DA1">
            <w:pPr>
              <w:numPr>
                <w:ilvl w:val="0"/>
                <w:numId w:val="28"/>
              </w:numPr>
              <w:contextualSpacing/>
              <w:rPr>
                <w:rFonts w:eastAsia="Calibri"/>
              </w:rPr>
            </w:pPr>
            <w:r w:rsidRPr="000F6DA1">
              <w:rPr>
                <w:rFonts w:eastAsia="Calibri"/>
              </w:rPr>
              <w:t>Awareness of lifestyles in general and child’s own</w:t>
            </w:r>
          </w:p>
          <w:p w14:paraId="1D839870" w14:textId="77777777" w:rsidR="000F6DA1" w:rsidRPr="000F6DA1" w:rsidRDefault="000F6DA1" w:rsidP="000F6DA1">
            <w:pPr>
              <w:numPr>
                <w:ilvl w:val="0"/>
                <w:numId w:val="28"/>
              </w:numPr>
              <w:contextualSpacing/>
              <w:rPr>
                <w:rFonts w:eastAsia="Calibri"/>
              </w:rPr>
            </w:pPr>
            <w:r w:rsidRPr="000F6DA1">
              <w:rPr>
                <w:rFonts w:eastAsia="Calibri"/>
              </w:rPr>
              <w:t>Increase knowledge of healthy/unhealthy snack foods and drinks</w:t>
            </w:r>
          </w:p>
          <w:p w14:paraId="6AB04DA8" w14:textId="5C7BCB2A" w:rsidR="000C702A" w:rsidRPr="00106E3E" w:rsidRDefault="000F6DA1" w:rsidP="00106E3E">
            <w:pPr>
              <w:pStyle w:val="ListParagraph"/>
              <w:numPr>
                <w:ilvl w:val="0"/>
                <w:numId w:val="28"/>
              </w:numPr>
              <w:adjustRightInd w:val="0"/>
              <w:snapToGrid w:val="0"/>
              <w:spacing w:line="360" w:lineRule="auto"/>
              <w:rPr>
                <w:rFonts w:cs="Arial"/>
              </w:rPr>
            </w:pPr>
            <w:r w:rsidRPr="00106E3E">
              <w:rPr>
                <w:rFonts w:eastAsia="Calibri"/>
              </w:rPr>
              <w:t>Increase knowledge of food processing</w:t>
            </w:r>
          </w:p>
        </w:tc>
      </w:tr>
      <w:tr w:rsidR="000C702A" w14:paraId="2B063F5C" w14:textId="77777777" w:rsidTr="000F6DA1">
        <w:tc>
          <w:tcPr>
            <w:tcW w:w="1951" w:type="dxa"/>
          </w:tcPr>
          <w:p w14:paraId="7FABC2B6" w14:textId="57B31175" w:rsidR="000C702A" w:rsidRDefault="000C702A" w:rsidP="000C702A">
            <w:pPr>
              <w:adjustRightInd w:val="0"/>
              <w:snapToGrid w:val="0"/>
              <w:spacing w:line="360" w:lineRule="auto"/>
              <w:contextualSpacing/>
              <w:rPr>
                <w:rFonts w:cs="Arial"/>
              </w:rPr>
            </w:pPr>
            <w:r>
              <w:rPr>
                <w:rFonts w:cs="Arial"/>
              </w:rPr>
              <w:t>2</w:t>
            </w:r>
            <w:r w:rsidR="00DE781A">
              <w:rPr>
                <w:rFonts w:cs="Arial"/>
              </w:rPr>
              <w:t xml:space="preserve"> The Energy balance (energy out)</w:t>
            </w:r>
          </w:p>
        </w:tc>
        <w:tc>
          <w:tcPr>
            <w:tcW w:w="4210" w:type="dxa"/>
          </w:tcPr>
          <w:p w14:paraId="3D9DCEA7" w14:textId="77777777" w:rsidR="00B13880" w:rsidRPr="00B13880" w:rsidRDefault="00B13880" w:rsidP="00B13880">
            <w:pPr>
              <w:numPr>
                <w:ilvl w:val="0"/>
                <w:numId w:val="27"/>
              </w:numPr>
              <w:pBdr>
                <w:top w:val="single" w:sz="4" w:space="1" w:color="auto"/>
                <w:left w:val="single" w:sz="4" w:space="4" w:color="auto"/>
                <w:bottom w:val="single" w:sz="4" w:space="1" w:color="auto"/>
                <w:right w:val="single" w:sz="4" w:space="4" w:color="auto"/>
              </w:pBdr>
              <w:tabs>
                <w:tab w:val="clear" w:pos="720"/>
                <w:tab w:val="num" w:pos="360"/>
              </w:tabs>
              <w:ind w:left="360"/>
              <w:rPr>
                <w:rFonts w:cs="Arial"/>
              </w:rPr>
            </w:pPr>
            <w:r w:rsidRPr="00B13880">
              <w:rPr>
                <w:rFonts w:cs="Arial"/>
              </w:rPr>
              <w:t>Understand the energy balance and the importance of it for their health</w:t>
            </w:r>
          </w:p>
          <w:p w14:paraId="6A0DABCA" w14:textId="77777777" w:rsidR="00B13880" w:rsidRPr="00B13880" w:rsidRDefault="00B13880" w:rsidP="00B13880">
            <w:pPr>
              <w:numPr>
                <w:ilvl w:val="0"/>
                <w:numId w:val="27"/>
              </w:numPr>
              <w:pBdr>
                <w:top w:val="single" w:sz="4" w:space="1" w:color="auto"/>
                <w:left w:val="single" w:sz="4" w:space="4" w:color="auto"/>
                <w:bottom w:val="single" w:sz="4" w:space="1" w:color="auto"/>
                <w:right w:val="single" w:sz="4" w:space="4" w:color="auto"/>
              </w:pBdr>
              <w:tabs>
                <w:tab w:val="clear" w:pos="720"/>
                <w:tab w:val="num" w:pos="360"/>
              </w:tabs>
              <w:ind w:left="360"/>
              <w:rPr>
                <w:rFonts w:cs="Arial"/>
              </w:rPr>
            </w:pPr>
            <w:r w:rsidRPr="00B13880">
              <w:rPr>
                <w:rFonts w:cs="Arial"/>
              </w:rPr>
              <w:t>Understand how their diet relates to the balance of good health model</w:t>
            </w:r>
          </w:p>
          <w:p w14:paraId="29845D65" w14:textId="77777777" w:rsidR="00B13880" w:rsidRPr="00B13880" w:rsidRDefault="00B13880" w:rsidP="00B13880">
            <w:pPr>
              <w:numPr>
                <w:ilvl w:val="0"/>
                <w:numId w:val="27"/>
              </w:numPr>
              <w:pBdr>
                <w:top w:val="single" w:sz="4" w:space="1" w:color="auto"/>
                <w:left w:val="single" w:sz="4" w:space="4" w:color="auto"/>
                <w:bottom w:val="single" w:sz="4" w:space="1" w:color="auto"/>
                <w:right w:val="single" w:sz="4" w:space="4" w:color="auto"/>
              </w:pBdr>
              <w:tabs>
                <w:tab w:val="clear" w:pos="720"/>
                <w:tab w:val="num" w:pos="360"/>
              </w:tabs>
              <w:ind w:left="360"/>
              <w:rPr>
                <w:rFonts w:cs="Arial"/>
              </w:rPr>
            </w:pPr>
            <w:r w:rsidRPr="00B13880">
              <w:rPr>
                <w:rFonts w:cs="Arial"/>
              </w:rPr>
              <w:t>Understand how we use up energy</w:t>
            </w:r>
          </w:p>
          <w:p w14:paraId="55FFAC94" w14:textId="77777777" w:rsidR="00B13880" w:rsidRPr="00B13880" w:rsidRDefault="00B13880" w:rsidP="00B13880">
            <w:pPr>
              <w:numPr>
                <w:ilvl w:val="0"/>
                <w:numId w:val="27"/>
              </w:numPr>
              <w:pBdr>
                <w:top w:val="single" w:sz="4" w:space="1" w:color="auto"/>
                <w:left w:val="single" w:sz="4" w:space="4" w:color="auto"/>
                <w:bottom w:val="single" w:sz="4" w:space="1" w:color="auto"/>
                <w:right w:val="single" w:sz="4" w:space="4" w:color="auto"/>
              </w:pBdr>
              <w:tabs>
                <w:tab w:val="clear" w:pos="720"/>
                <w:tab w:val="num" w:pos="360"/>
              </w:tabs>
              <w:ind w:left="360"/>
              <w:rPr>
                <w:rFonts w:cs="Arial"/>
              </w:rPr>
            </w:pPr>
            <w:r w:rsidRPr="00B13880">
              <w:rPr>
                <w:rFonts w:cs="Arial"/>
              </w:rPr>
              <w:t>Understand the activity pyramid and how it relates to the energy balance</w:t>
            </w:r>
          </w:p>
          <w:p w14:paraId="4C8C8F25" w14:textId="77777777" w:rsidR="00B13880" w:rsidRPr="00B13880" w:rsidRDefault="00B13880" w:rsidP="00B13880">
            <w:pPr>
              <w:numPr>
                <w:ilvl w:val="0"/>
                <w:numId w:val="27"/>
              </w:numPr>
              <w:pBdr>
                <w:top w:val="single" w:sz="4" w:space="1" w:color="auto"/>
                <w:left w:val="single" w:sz="4" w:space="4" w:color="auto"/>
                <w:bottom w:val="single" w:sz="4" w:space="1" w:color="auto"/>
                <w:right w:val="single" w:sz="4" w:space="4" w:color="auto"/>
              </w:pBdr>
              <w:tabs>
                <w:tab w:val="clear" w:pos="720"/>
                <w:tab w:val="num" w:pos="360"/>
              </w:tabs>
              <w:ind w:left="360"/>
              <w:rPr>
                <w:rFonts w:cs="Arial"/>
              </w:rPr>
            </w:pPr>
            <w:r w:rsidRPr="00B13880">
              <w:rPr>
                <w:rFonts w:cs="Arial"/>
              </w:rPr>
              <w:t>Understand that different amounts of energy are needed by the body for different amounts of activity.</w:t>
            </w:r>
          </w:p>
          <w:p w14:paraId="7B59BD78" w14:textId="77777777" w:rsidR="000C702A" w:rsidRDefault="000C702A" w:rsidP="000C702A">
            <w:pPr>
              <w:adjustRightInd w:val="0"/>
              <w:snapToGrid w:val="0"/>
              <w:spacing w:line="360" w:lineRule="auto"/>
              <w:contextualSpacing/>
              <w:rPr>
                <w:rFonts w:cs="Arial"/>
              </w:rPr>
            </w:pPr>
          </w:p>
        </w:tc>
        <w:tc>
          <w:tcPr>
            <w:tcW w:w="3081" w:type="dxa"/>
          </w:tcPr>
          <w:p w14:paraId="7A232DD3" w14:textId="77777777" w:rsidR="000F6DA1" w:rsidRPr="000F6DA1" w:rsidRDefault="000F6DA1" w:rsidP="000F6DA1">
            <w:pPr>
              <w:numPr>
                <w:ilvl w:val="0"/>
                <w:numId w:val="29"/>
              </w:numPr>
              <w:contextualSpacing/>
              <w:rPr>
                <w:rFonts w:eastAsia="Calibri"/>
              </w:rPr>
            </w:pPr>
            <w:r w:rsidRPr="000F6DA1">
              <w:rPr>
                <w:rFonts w:eastAsia="Calibri"/>
              </w:rPr>
              <w:t>Increase understanding of different activity levels</w:t>
            </w:r>
          </w:p>
          <w:p w14:paraId="32A1E26D" w14:textId="77777777" w:rsidR="000F6DA1" w:rsidRPr="000F6DA1" w:rsidRDefault="000F6DA1" w:rsidP="000F6DA1">
            <w:pPr>
              <w:numPr>
                <w:ilvl w:val="0"/>
                <w:numId w:val="29"/>
              </w:numPr>
              <w:contextualSpacing/>
              <w:rPr>
                <w:rFonts w:eastAsia="Calibri"/>
              </w:rPr>
            </w:pPr>
            <w:r w:rsidRPr="000F6DA1">
              <w:rPr>
                <w:rFonts w:eastAsia="Calibri"/>
              </w:rPr>
              <w:t>Increase awareness of own activity levels and sedentary behaviour</w:t>
            </w:r>
          </w:p>
          <w:p w14:paraId="0778434C" w14:textId="77777777" w:rsidR="000F6DA1" w:rsidRPr="000F6DA1" w:rsidRDefault="000F6DA1" w:rsidP="000F6DA1">
            <w:pPr>
              <w:numPr>
                <w:ilvl w:val="0"/>
                <w:numId w:val="29"/>
              </w:numPr>
              <w:contextualSpacing/>
              <w:rPr>
                <w:rFonts w:eastAsia="Calibri"/>
              </w:rPr>
            </w:pPr>
            <w:r w:rsidRPr="000F6DA1">
              <w:rPr>
                <w:rFonts w:eastAsia="Calibri"/>
              </w:rPr>
              <w:t>Raise awareness of importance of sleep</w:t>
            </w:r>
          </w:p>
          <w:p w14:paraId="2BBA69F7" w14:textId="77777777" w:rsidR="000F6DA1" w:rsidRPr="000F6DA1" w:rsidRDefault="000F6DA1" w:rsidP="000F6DA1">
            <w:pPr>
              <w:numPr>
                <w:ilvl w:val="0"/>
                <w:numId w:val="29"/>
              </w:numPr>
              <w:contextualSpacing/>
              <w:rPr>
                <w:rFonts w:eastAsia="Calibri"/>
              </w:rPr>
            </w:pPr>
            <w:r w:rsidRPr="000F6DA1">
              <w:rPr>
                <w:rFonts w:eastAsia="Calibri"/>
              </w:rPr>
              <w:t>Increase being open to trying of new foods</w:t>
            </w:r>
          </w:p>
          <w:p w14:paraId="3CC6A073" w14:textId="297FFAC7" w:rsidR="000C702A" w:rsidRPr="000F6DA1" w:rsidRDefault="000F6DA1" w:rsidP="000F6DA1">
            <w:pPr>
              <w:pStyle w:val="ListParagraph"/>
              <w:numPr>
                <w:ilvl w:val="0"/>
                <w:numId w:val="29"/>
              </w:numPr>
              <w:adjustRightInd w:val="0"/>
              <w:snapToGrid w:val="0"/>
              <w:spacing w:line="360" w:lineRule="auto"/>
              <w:rPr>
                <w:rFonts w:cs="Arial"/>
              </w:rPr>
            </w:pPr>
            <w:r w:rsidRPr="000F6DA1">
              <w:rPr>
                <w:rFonts w:eastAsia="Calibri"/>
              </w:rPr>
              <w:t>Increase peer support</w:t>
            </w:r>
          </w:p>
        </w:tc>
      </w:tr>
      <w:tr w:rsidR="000C702A" w14:paraId="706604A8" w14:textId="77777777" w:rsidTr="000F6DA1">
        <w:tc>
          <w:tcPr>
            <w:tcW w:w="1951" w:type="dxa"/>
          </w:tcPr>
          <w:p w14:paraId="29B96F42" w14:textId="6DE4B0B6" w:rsidR="000C702A" w:rsidRDefault="000C702A" w:rsidP="000C702A">
            <w:pPr>
              <w:adjustRightInd w:val="0"/>
              <w:snapToGrid w:val="0"/>
              <w:spacing w:line="360" w:lineRule="auto"/>
              <w:contextualSpacing/>
              <w:rPr>
                <w:rFonts w:cs="Arial"/>
              </w:rPr>
            </w:pPr>
            <w:r>
              <w:rPr>
                <w:rFonts w:cs="Arial"/>
              </w:rPr>
              <w:t>3</w:t>
            </w:r>
            <w:r w:rsidR="00B13880">
              <w:rPr>
                <w:rFonts w:cs="Arial"/>
              </w:rPr>
              <w:t xml:space="preserve"> Temptation and strategies</w:t>
            </w:r>
          </w:p>
        </w:tc>
        <w:tc>
          <w:tcPr>
            <w:tcW w:w="4210" w:type="dxa"/>
          </w:tcPr>
          <w:p w14:paraId="4601D447" w14:textId="77777777" w:rsidR="00B13880" w:rsidRPr="00B13880" w:rsidRDefault="00B13880" w:rsidP="00B13880">
            <w:pPr>
              <w:numPr>
                <w:ilvl w:val="0"/>
                <w:numId w:val="27"/>
              </w:numPr>
              <w:pBdr>
                <w:top w:val="single" w:sz="4" w:space="1" w:color="auto"/>
                <w:left w:val="single" w:sz="4" w:space="4" w:color="auto"/>
                <w:bottom w:val="single" w:sz="4" w:space="1" w:color="auto"/>
                <w:right w:val="single" w:sz="4" w:space="4" w:color="auto"/>
              </w:pBdr>
              <w:tabs>
                <w:tab w:val="clear" w:pos="720"/>
                <w:tab w:val="num" w:pos="360"/>
              </w:tabs>
              <w:ind w:left="360"/>
              <w:rPr>
                <w:rFonts w:cs="Arial"/>
              </w:rPr>
            </w:pPr>
            <w:r w:rsidRPr="00B13880">
              <w:rPr>
                <w:rFonts w:cs="Arial"/>
              </w:rPr>
              <w:t>Understand the challenges they may face in trying to eat more healthily and reduce screen time.</w:t>
            </w:r>
          </w:p>
          <w:p w14:paraId="4F398DC5" w14:textId="77777777" w:rsidR="00B13880" w:rsidRPr="00B13880" w:rsidRDefault="00B13880" w:rsidP="00B13880">
            <w:pPr>
              <w:numPr>
                <w:ilvl w:val="0"/>
                <w:numId w:val="27"/>
              </w:numPr>
              <w:pBdr>
                <w:top w:val="single" w:sz="4" w:space="1" w:color="auto"/>
                <w:left w:val="single" w:sz="4" w:space="4" w:color="auto"/>
                <w:bottom w:val="single" w:sz="4" w:space="1" w:color="auto"/>
                <w:right w:val="single" w:sz="4" w:space="4" w:color="auto"/>
              </w:pBdr>
              <w:tabs>
                <w:tab w:val="clear" w:pos="720"/>
                <w:tab w:val="num" w:pos="360"/>
              </w:tabs>
              <w:ind w:left="360"/>
              <w:rPr>
                <w:rFonts w:cs="Arial"/>
              </w:rPr>
            </w:pPr>
            <w:r w:rsidRPr="00B13880">
              <w:rPr>
                <w:rFonts w:cs="Arial"/>
              </w:rPr>
              <w:t>Understand some of the strategies they and their families can use to help them change their behaviours.</w:t>
            </w:r>
          </w:p>
          <w:p w14:paraId="49EE11B7" w14:textId="77777777" w:rsidR="000C702A" w:rsidRDefault="000C702A" w:rsidP="000C702A">
            <w:pPr>
              <w:adjustRightInd w:val="0"/>
              <w:snapToGrid w:val="0"/>
              <w:spacing w:line="360" w:lineRule="auto"/>
              <w:contextualSpacing/>
              <w:rPr>
                <w:rFonts w:cs="Arial"/>
              </w:rPr>
            </w:pPr>
          </w:p>
        </w:tc>
        <w:tc>
          <w:tcPr>
            <w:tcW w:w="3081" w:type="dxa"/>
          </w:tcPr>
          <w:p w14:paraId="492EC3B0" w14:textId="77777777" w:rsidR="000F6DA1" w:rsidRPr="000F6DA1" w:rsidRDefault="000F6DA1" w:rsidP="000F6DA1">
            <w:pPr>
              <w:pStyle w:val="ListParagraph"/>
              <w:numPr>
                <w:ilvl w:val="0"/>
                <w:numId w:val="31"/>
              </w:numPr>
              <w:rPr>
                <w:rFonts w:eastAsia="Calibri"/>
              </w:rPr>
            </w:pPr>
            <w:r w:rsidRPr="000F6DA1">
              <w:rPr>
                <w:rFonts w:eastAsia="Calibri"/>
              </w:rPr>
              <w:t>Increase awareness of food production</w:t>
            </w:r>
          </w:p>
          <w:p w14:paraId="22162469" w14:textId="77777777" w:rsidR="000F6DA1" w:rsidRPr="000F6DA1" w:rsidRDefault="000F6DA1" w:rsidP="000F6DA1">
            <w:pPr>
              <w:pStyle w:val="ListParagraph"/>
              <w:numPr>
                <w:ilvl w:val="0"/>
                <w:numId w:val="31"/>
              </w:numPr>
              <w:rPr>
                <w:rFonts w:eastAsia="Calibri"/>
              </w:rPr>
            </w:pPr>
            <w:r w:rsidRPr="000F6DA1">
              <w:rPr>
                <w:rFonts w:eastAsia="Calibri"/>
              </w:rPr>
              <w:t>How to read food labels</w:t>
            </w:r>
          </w:p>
          <w:p w14:paraId="467F9215" w14:textId="77777777" w:rsidR="000F6DA1" w:rsidRPr="000F6DA1" w:rsidRDefault="000F6DA1" w:rsidP="000F6DA1">
            <w:pPr>
              <w:pStyle w:val="ListParagraph"/>
              <w:numPr>
                <w:ilvl w:val="0"/>
                <w:numId w:val="31"/>
              </w:numPr>
              <w:rPr>
                <w:rFonts w:eastAsia="Calibri"/>
              </w:rPr>
            </w:pPr>
            <w:r w:rsidRPr="000F6DA1">
              <w:rPr>
                <w:rFonts w:eastAsia="Calibri"/>
              </w:rPr>
              <w:t>understanding and developing persuasive arguments</w:t>
            </w:r>
          </w:p>
          <w:p w14:paraId="4D2A720C" w14:textId="2714037A" w:rsidR="000C702A" w:rsidRPr="000F6DA1" w:rsidRDefault="000F6DA1" w:rsidP="000F6DA1">
            <w:pPr>
              <w:pStyle w:val="ListParagraph"/>
              <w:numPr>
                <w:ilvl w:val="0"/>
                <w:numId w:val="31"/>
              </w:numPr>
              <w:adjustRightInd w:val="0"/>
              <w:snapToGrid w:val="0"/>
              <w:spacing w:line="360" w:lineRule="auto"/>
              <w:rPr>
                <w:rFonts w:cs="Arial"/>
              </w:rPr>
            </w:pPr>
            <w:r w:rsidRPr="000F6DA1">
              <w:rPr>
                <w:rFonts w:eastAsia="Calibri"/>
              </w:rPr>
              <w:t>problem solving</w:t>
            </w:r>
          </w:p>
        </w:tc>
      </w:tr>
      <w:tr w:rsidR="000C702A" w14:paraId="5F4A7E82" w14:textId="77777777" w:rsidTr="000F6DA1">
        <w:tc>
          <w:tcPr>
            <w:tcW w:w="1951" w:type="dxa"/>
          </w:tcPr>
          <w:p w14:paraId="14CD9A1E" w14:textId="442E0565" w:rsidR="000C702A" w:rsidRDefault="000C702A" w:rsidP="000C702A">
            <w:pPr>
              <w:adjustRightInd w:val="0"/>
              <w:snapToGrid w:val="0"/>
              <w:spacing w:line="360" w:lineRule="auto"/>
              <w:contextualSpacing/>
              <w:rPr>
                <w:rFonts w:cs="Arial"/>
              </w:rPr>
            </w:pPr>
            <w:r>
              <w:rPr>
                <w:rFonts w:cs="Arial"/>
              </w:rPr>
              <w:t>4</w:t>
            </w:r>
            <w:r w:rsidR="00B13880">
              <w:rPr>
                <w:rFonts w:cs="Arial"/>
              </w:rPr>
              <w:t xml:space="preserve"> Decision making and responsibility</w:t>
            </w:r>
          </w:p>
        </w:tc>
        <w:tc>
          <w:tcPr>
            <w:tcW w:w="4210" w:type="dxa"/>
          </w:tcPr>
          <w:p w14:paraId="65B0716F" w14:textId="77777777" w:rsidR="00B13880" w:rsidRPr="00B13880" w:rsidRDefault="00B13880" w:rsidP="00B13880">
            <w:pPr>
              <w:numPr>
                <w:ilvl w:val="0"/>
                <w:numId w:val="27"/>
              </w:numPr>
              <w:pBdr>
                <w:top w:val="single" w:sz="4" w:space="1" w:color="auto"/>
                <w:left w:val="single" w:sz="4" w:space="4" w:color="auto"/>
                <w:bottom w:val="single" w:sz="4" w:space="1" w:color="auto"/>
                <w:right w:val="single" w:sz="4" w:space="4" w:color="auto"/>
              </w:pBdr>
              <w:tabs>
                <w:tab w:val="clear" w:pos="720"/>
                <w:tab w:val="num" w:pos="360"/>
              </w:tabs>
              <w:ind w:left="360"/>
              <w:rPr>
                <w:rFonts w:cs="Arial"/>
              </w:rPr>
            </w:pPr>
            <w:r w:rsidRPr="00B13880">
              <w:rPr>
                <w:rFonts w:cs="Arial"/>
              </w:rPr>
              <w:t>Be able to reflect upon their lifestyle and discuss changes they may need to make to be more healthy</w:t>
            </w:r>
          </w:p>
          <w:p w14:paraId="3CFC8CD6" w14:textId="77777777" w:rsidR="00B13880" w:rsidRPr="00B13880" w:rsidRDefault="00B13880" w:rsidP="00B13880">
            <w:pPr>
              <w:numPr>
                <w:ilvl w:val="0"/>
                <w:numId w:val="27"/>
              </w:numPr>
              <w:pBdr>
                <w:top w:val="single" w:sz="4" w:space="1" w:color="auto"/>
                <w:left w:val="single" w:sz="4" w:space="4" w:color="auto"/>
                <w:bottom w:val="single" w:sz="4" w:space="1" w:color="auto"/>
                <w:right w:val="single" w:sz="4" w:space="4" w:color="auto"/>
              </w:pBdr>
              <w:tabs>
                <w:tab w:val="clear" w:pos="720"/>
                <w:tab w:val="num" w:pos="360"/>
              </w:tabs>
              <w:ind w:left="360"/>
              <w:rPr>
                <w:rFonts w:cs="Arial"/>
              </w:rPr>
            </w:pPr>
            <w:r w:rsidRPr="00B13880">
              <w:rPr>
                <w:rFonts w:cs="Arial"/>
              </w:rPr>
              <w:lastRenderedPageBreak/>
              <w:t>Understand how the media manipulates their decision making in terms of food choices</w:t>
            </w:r>
          </w:p>
          <w:p w14:paraId="3FB3BB98" w14:textId="77777777" w:rsidR="00B13880" w:rsidRPr="00B13880" w:rsidRDefault="00B13880" w:rsidP="00B13880">
            <w:pPr>
              <w:numPr>
                <w:ilvl w:val="0"/>
                <w:numId w:val="27"/>
              </w:numPr>
              <w:pBdr>
                <w:top w:val="single" w:sz="4" w:space="1" w:color="auto"/>
                <w:left w:val="single" w:sz="4" w:space="4" w:color="auto"/>
                <w:bottom w:val="single" w:sz="4" w:space="1" w:color="auto"/>
                <w:right w:val="single" w:sz="4" w:space="4" w:color="auto"/>
              </w:pBdr>
              <w:tabs>
                <w:tab w:val="clear" w:pos="720"/>
                <w:tab w:val="num" w:pos="360"/>
              </w:tabs>
              <w:ind w:left="360"/>
              <w:rPr>
                <w:rFonts w:cs="Arial"/>
              </w:rPr>
            </w:pPr>
            <w:r w:rsidRPr="00B13880">
              <w:rPr>
                <w:rFonts w:cs="Arial"/>
              </w:rPr>
              <w:t>Understand who is responsible for and who influences their food choices</w:t>
            </w:r>
          </w:p>
          <w:p w14:paraId="6D30857E" w14:textId="77777777" w:rsidR="00B13880" w:rsidRPr="00B13880" w:rsidRDefault="00B13880" w:rsidP="00B13880">
            <w:pPr>
              <w:numPr>
                <w:ilvl w:val="0"/>
                <w:numId w:val="27"/>
              </w:numPr>
              <w:pBdr>
                <w:top w:val="single" w:sz="4" w:space="1" w:color="auto"/>
                <w:left w:val="single" w:sz="4" w:space="4" w:color="auto"/>
                <w:bottom w:val="single" w:sz="4" w:space="1" w:color="auto"/>
                <w:right w:val="single" w:sz="4" w:space="4" w:color="auto"/>
              </w:pBdr>
              <w:tabs>
                <w:tab w:val="clear" w:pos="720"/>
                <w:tab w:val="num" w:pos="360"/>
              </w:tabs>
              <w:ind w:left="360"/>
              <w:rPr>
                <w:rFonts w:cs="Arial"/>
              </w:rPr>
            </w:pPr>
            <w:r w:rsidRPr="00B13880">
              <w:rPr>
                <w:rFonts w:cs="Arial"/>
              </w:rPr>
              <w:t>Understand strategies they can use to be more healthy</w:t>
            </w:r>
          </w:p>
          <w:p w14:paraId="797E135A" w14:textId="77777777" w:rsidR="00B13880" w:rsidRPr="004623DB" w:rsidRDefault="00B13880" w:rsidP="00B13880">
            <w:pPr>
              <w:rPr>
                <w:rFonts w:ascii="Arial" w:hAnsi="Arial" w:cs="Arial"/>
              </w:rPr>
            </w:pPr>
          </w:p>
          <w:p w14:paraId="2E9E38C2" w14:textId="77777777" w:rsidR="000C702A" w:rsidRDefault="000C702A" w:rsidP="000C702A">
            <w:pPr>
              <w:adjustRightInd w:val="0"/>
              <w:snapToGrid w:val="0"/>
              <w:spacing w:line="360" w:lineRule="auto"/>
              <w:contextualSpacing/>
              <w:rPr>
                <w:rFonts w:cs="Arial"/>
              </w:rPr>
            </w:pPr>
          </w:p>
        </w:tc>
        <w:tc>
          <w:tcPr>
            <w:tcW w:w="3081" w:type="dxa"/>
          </w:tcPr>
          <w:p w14:paraId="05EAAE13" w14:textId="77777777" w:rsidR="000F6DA1" w:rsidRPr="000F6DA1" w:rsidRDefault="000F6DA1" w:rsidP="000F6DA1">
            <w:pPr>
              <w:numPr>
                <w:ilvl w:val="0"/>
                <w:numId w:val="29"/>
              </w:numPr>
              <w:contextualSpacing/>
              <w:rPr>
                <w:rFonts w:eastAsia="Calibri"/>
              </w:rPr>
            </w:pPr>
            <w:r w:rsidRPr="000F6DA1">
              <w:rPr>
                <w:rFonts w:eastAsia="Calibri"/>
              </w:rPr>
              <w:lastRenderedPageBreak/>
              <w:t xml:space="preserve">Awareness/reflection of changes in characters </w:t>
            </w:r>
          </w:p>
          <w:p w14:paraId="1724CEBE" w14:textId="77777777" w:rsidR="000F6DA1" w:rsidRPr="000F6DA1" w:rsidRDefault="000F6DA1" w:rsidP="000F6DA1">
            <w:pPr>
              <w:numPr>
                <w:ilvl w:val="0"/>
                <w:numId w:val="29"/>
              </w:numPr>
              <w:contextualSpacing/>
              <w:rPr>
                <w:rFonts w:eastAsia="Calibri"/>
              </w:rPr>
            </w:pPr>
            <w:r w:rsidRPr="000F6DA1">
              <w:rPr>
                <w:rFonts w:eastAsia="Calibri"/>
              </w:rPr>
              <w:t>Self-awareness of own healthy lifestyles choices</w:t>
            </w:r>
          </w:p>
          <w:p w14:paraId="06F42560" w14:textId="7A1C1F91" w:rsidR="000C702A" w:rsidRPr="000F6DA1" w:rsidRDefault="000F6DA1" w:rsidP="000F6DA1">
            <w:pPr>
              <w:pStyle w:val="ListParagraph"/>
              <w:numPr>
                <w:ilvl w:val="0"/>
                <w:numId w:val="29"/>
              </w:numPr>
              <w:adjustRightInd w:val="0"/>
              <w:snapToGrid w:val="0"/>
              <w:spacing w:line="360" w:lineRule="auto"/>
              <w:rPr>
                <w:rFonts w:cs="Arial"/>
              </w:rPr>
            </w:pPr>
            <w:r w:rsidRPr="000F6DA1">
              <w:rPr>
                <w:rFonts w:eastAsia="Calibri"/>
              </w:rPr>
              <w:lastRenderedPageBreak/>
              <w:t>Develop communication and social support</w:t>
            </w:r>
          </w:p>
        </w:tc>
      </w:tr>
      <w:tr w:rsidR="000C702A" w14:paraId="62BEBFA2" w14:textId="77777777" w:rsidTr="000F6DA1">
        <w:tc>
          <w:tcPr>
            <w:tcW w:w="1951" w:type="dxa"/>
          </w:tcPr>
          <w:p w14:paraId="47E428A1" w14:textId="47E16365" w:rsidR="000C702A" w:rsidRDefault="000C702A" w:rsidP="000C702A">
            <w:pPr>
              <w:adjustRightInd w:val="0"/>
              <w:snapToGrid w:val="0"/>
              <w:spacing w:line="360" w:lineRule="auto"/>
              <w:contextualSpacing/>
              <w:rPr>
                <w:rFonts w:cs="Arial"/>
              </w:rPr>
            </w:pPr>
            <w:r>
              <w:rPr>
                <w:rFonts w:cs="Arial"/>
              </w:rPr>
              <w:lastRenderedPageBreak/>
              <w:t>5</w:t>
            </w:r>
            <w:r w:rsidR="00B13880">
              <w:rPr>
                <w:rFonts w:cs="Arial"/>
              </w:rPr>
              <w:t xml:space="preserve"> </w:t>
            </w:r>
            <w:r w:rsidR="000F6DA1">
              <w:rPr>
                <w:rFonts w:cs="Arial"/>
              </w:rPr>
              <w:t>Food marketing and g</w:t>
            </w:r>
            <w:r w:rsidR="00B13880">
              <w:rPr>
                <w:rFonts w:cs="Arial"/>
              </w:rPr>
              <w:t>oal setting</w:t>
            </w:r>
          </w:p>
        </w:tc>
        <w:tc>
          <w:tcPr>
            <w:tcW w:w="4210" w:type="dxa"/>
          </w:tcPr>
          <w:p w14:paraId="5EDD27FB" w14:textId="77777777" w:rsidR="00B13880" w:rsidRPr="00B13880" w:rsidRDefault="00B13880" w:rsidP="00B13880">
            <w:pPr>
              <w:numPr>
                <w:ilvl w:val="0"/>
                <w:numId w:val="27"/>
              </w:numPr>
              <w:pBdr>
                <w:top w:val="single" w:sz="4" w:space="1" w:color="auto"/>
                <w:left w:val="single" w:sz="4" w:space="4" w:color="auto"/>
                <w:bottom w:val="single" w:sz="4" w:space="1" w:color="auto"/>
                <w:right w:val="single" w:sz="4" w:space="4" w:color="auto"/>
              </w:pBdr>
              <w:tabs>
                <w:tab w:val="clear" w:pos="720"/>
                <w:tab w:val="num" w:pos="360"/>
              </w:tabs>
              <w:ind w:left="360"/>
              <w:rPr>
                <w:rFonts w:cs="Arial"/>
              </w:rPr>
            </w:pPr>
            <w:r w:rsidRPr="00B13880">
              <w:rPr>
                <w:rFonts w:cs="Arial"/>
              </w:rPr>
              <w:t>Understand the 3 key messages of the Healthy Lifestyles Programme</w:t>
            </w:r>
          </w:p>
          <w:p w14:paraId="65539EE0" w14:textId="77777777" w:rsidR="00B13880" w:rsidRPr="00B13880" w:rsidRDefault="00B13880" w:rsidP="00B13880">
            <w:pPr>
              <w:numPr>
                <w:ilvl w:val="0"/>
                <w:numId w:val="27"/>
              </w:numPr>
              <w:pBdr>
                <w:top w:val="single" w:sz="4" w:space="1" w:color="auto"/>
                <w:left w:val="single" w:sz="4" w:space="4" w:color="auto"/>
                <w:bottom w:val="single" w:sz="4" w:space="1" w:color="auto"/>
                <w:right w:val="single" w:sz="4" w:space="4" w:color="auto"/>
              </w:pBdr>
              <w:tabs>
                <w:tab w:val="clear" w:pos="720"/>
                <w:tab w:val="num" w:pos="360"/>
              </w:tabs>
              <w:ind w:left="360"/>
              <w:rPr>
                <w:rFonts w:cs="Arial"/>
              </w:rPr>
            </w:pPr>
            <w:r w:rsidRPr="00B13880">
              <w:rPr>
                <w:rFonts w:cs="Arial"/>
              </w:rPr>
              <w:t>Understand the 80:20 rule in terms of healthy lifestyles</w:t>
            </w:r>
          </w:p>
          <w:p w14:paraId="5402D748" w14:textId="77777777" w:rsidR="00B13880" w:rsidRPr="00B13880" w:rsidRDefault="00B13880" w:rsidP="00B13880">
            <w:pPr>
              <w:numPr>
                <w:ilvl w:val="0"/>
                <w:numId w:val="27"/>
              </w:numPr>
              <w:pBdr>
                <w:top w:val="single" w:sz="4" w:space="1" w:color="auto"/>
                <w:left w:val="single" w:sz="4" w:space="4" w:color="auto"/>
                <w:bottom w:val="single" w:sz="4" w:space="1" w:color="auto"/>
                <w:right w:val="single" w:sz="4" w:space="4" w:color="auto"/>
              </w:pBdr>
              <w:tabs>
                <w:tab w:val="clear" w:pos="720"/>
                <w:tab w:val="num" w:pos="360"/>
              </w:tabs>
              <w:ind w:left="360"/>
              <w:rPr>
                <w:rFonts w:cs="Arial"/>
              </w:rPr>
            </w:pPr>
            <w:r w:rsidRPr="00B13880">
              <w:rPr>
                <w:rFonts w:cs="Arial"/>
              </w:rPr>
              <w:t xml:space="preserve">Understand the meaning of goals and the use of goal setting as a strategy to change behaviours </w:t>
            </w:r>
          </w:p>
          <w:p w14:paraId="0C09D22E" w14:textId="77777777" w:rsidR="00B13880" w:rsidRPr="00B13880" w:rsidRDefault="00B13880" w:rsidP="00B13880">
            <w:pPr>
              <w:numPr>
                <w:ilvl w:val="0"/>
                <w:numId w:val="27"/>
              </w:numPr>
              <w:pBdr>
                <w:top w:val="single" w:sz="4" w:space="1" w:color="auto"/>
                <w:left w:val="single" w:sz="4" w:space="4" w:color="auto"/>
                <w:bottom w:val="single" w:sz="4" w:space="1" w:color="auto"/>
                <w:right w:val="single" w:sz="4" w:space="4" w:color="auto"/>
              </w:pBdr>
              <w:tabs>
                <w:tab w:val="clear" w:pos="720"/>
                <w:tab w:val="num" w:pos="360"/>
              </w:tabs>
              <w:ind w:left="360"/>
              <w:rPr>
                <w:rFonts w:cs="Arial"/>
              </w:rPr>
            </w:pPr>
            <w:r w:rsidRPr="00B13880">
              <w:rPr>
                <w:rFonts w:cs="Arial"/>
              </w:rPr>
              <w:t>Be aware of healthy alternatives to energy dense snacks and drinks.</w:t>
            </w:r>
          </w:p>
          <w:p w14:paraId="16F77571" w14:textId="77777777" w:rsidR="000C702A" w:rsidRDefault="000C702A" w:rsidP="000C702A">
            <w:pPr>
              <w:adjustRightInd w:val="0"/>
              <w:snapToGrid w:val="0"/>
              <w:spacing w:line="360" w:lineRule="auto"/>
              <w:contextualSpacing/>
              <w:rPr>
                <w:rFonts w:cs="Arial"/>
              </w:rPr>
            </w:pPr>
          </w:p>
        </w:tc>
        <w:tc>
          <w:tcPr>
            <w:tcW w:w="3081" w:type="dxa"/>
          </w:tcPr>
          <w:p w14:paraId="199EE241" w14:textId="77777777" w:rsidR="000F6DA1" w:rsidRPr="000F6DA1" w:rsidRDefault="000F6DA1" w:rsidP="000F6DA1">
            <w:pPr>
              <w:pStyle w:val="ListParagraph"/>
              <w:numPr>
                <w:ilvl w:val="0"/>
                <w:numId w:val="32"/>
              </w:numPr>
              <w:rPr>
                <w:rFonts w:eastAsia="Calibri"/>
                <w:bdr w:val="nil"/>
              </w:rPr>
            </w:pPr>
            <w:r w:rsidRPr="000F6DA1">
              <w:rPr>
                <w:rFonts w:eastAsia="Calibri"/>
                <w:bdr w:val="nil"/>
              </w:rPr>
              <w:t>Reflection and self-awareness</w:t>
            </w:r>
          </w:p>
          <w:p w14:paraId="2E61386F" w14:textId="7F5AA024" w:rsidR="000C702A" w:rsidRPr="000F6DA1" w:rsidRDefault="000F6DA1" w:rsidP="000F6DA1">
            <w:pPr>
              <w:pStyle w:val="ListParagraph"/>
              <w:numPr>
                <w:ilvl w:val="0"/>
                <w:numId w:val="32"/>
              </w:numPr>
              <w:adjustRightInd w:val="0"/>
              <w:snapToGrid w:val="0"/>
              <w:spacing w:line="360" w:lineRule="auto"/>
              <w:rPr>
                <w:rFonts w:cs="Arial"/>
              </w:rPr>
            </w:pPr>
            <w:r w:rsidRPr="00B52F1E">
              <w:rPr>
                <w:rFonts w:eastAsia="Calibri"/>
                <w:bdr w:val="nil"/>
              </w:rPr>
              <w:t>Goal setting</w:t>
            </w:r>
          </w:p>
        </w:tc>
      </w:tr>
    </w:tbl>
    <w:p w14:paraId="6EEE81ED" w14:textId="77777777" w:rsidR="000C702A" w:rsidRPr="004E0D59" w:rsidRDefault="000C702A" w:rsidP="000C702A">
      <w:pPr>
        <w:adjustRightInd w:val="0"/>
        <w:snapToGrid w:val="0"/>
        <w:spacing w:line="360" w:lineRule="auto"/>
        <w:contextualSpacing/>
        <w:rPr>
          <w:rFonts w:cs="Arial"/>
        </w:rPr>
      </w:pPr>
    </w:p>
    <w:p w14:paraId="36D03CD2" w14:textId="4C63BEE5" w:rsidR="004E0D59" w:rsidRPr="004E0D59" w:rsidRDefault="004E0D59" w:rsidP="00403B07">
      <w:pPr>
        <w:numPr>
          <w:ilvl w:val="0"/>
          <w:numId w:val="1"/>
        </w:numPr>
        <w:adjustRightInd w:val="0"/>
        <w:snapToGrid w:val="0"/>
        <w:spacing w:line="360" w:lineRule="auto"/>
        <w:contextualSpacing/>
        <w:rPr>
          <w:rFonts w:cs="Arial"/>
        </w:rPr>
      </w:pPr>
      <w:r w:rsidRPr="004E0D59">
        <w:rPr>
          <w:rFonts w:cs="Arial"/>
          <w:noProof/>
        </w:rPr>
        <w:t>Phase 3 (</w:t>
      </w:r>
      <w:r w:rsidR="006B02E3">
        <w:rPr>
          <w:rFonts w:cs="Arial"/>
          <w:noProof/>
        </w:rPr>
        <w:t>S</w:t>
      </w:r>
      <w:r w:rsidRPr="004E0D59">
        <w:rPr>
          <w:rFonts w:cs="Arial"/>
          <w:noProof/>
        </w:rPr>
        <w:t xml:space="preserve">ummer term of Year 5) was </w:t>
      </w:r>
      <w:r w:rsidRPr="00221775">
        <w:rPr>
          <w:rFonts w:cs="Arial"/>
        </w:rPr>
        <w:t>Personal Goal Setting with Parental Support</w:t>
      </w:r>
      <w:r w:rsidRPr="004E0D59">
        <w:rPr>
          <w:rFonts w:cs="Arial"/>
          <w:i/>
        </w:rPr>
        <w:t xml:space="preserve">. </w:t>
      </w:r>
      <w:r w:rsidRPr="004E0D59">
        <w:rPr>
          <w:rFonts w:cs="Arial"/>
        </w:rPr>
        <w:t>Children were</w:t>
      </w:r>
      <w:r w:rsidRPr="004E0D59">
        <w:rPr>
          <w:rFonts w:cs="Arial"/>
          <w:i/>
        </w:rPr>
        <w:t xml:space="preserve"> </w:t>
      </w:r>
      <w:r w:rsidRPr="004E0D59">
        <w:rPr>
          <w:rFonts w:cs="Arial"/>
        </w:rPr>
        <w:t xml:space="preserve">encouraged to reflect on their own behaviours and set goals (based on the HeLP messages) with their parents and this was followed up with each child having a 10 minute 1-1 goal setting discussion with their school’s HeLP Coordinator. A sheet with each child’s goals and the character they worked with was sent directly home to parents and a copy was also kept at school in the children’s healthy lifestyles folder. </w:t>
      </w:r>
    </w:p>
    <w:p w14:paraId="6DBA0A92" w14:textId="553FF1E8" w:rsidR="004E0D59" w:rsidRPr="004E0D59" w:rsidRDefault="004E0D59" w:rsidP="00403B07">
      <w:pPr>
        <w:numPr>
          <w:ilvl w:val="0"/>
          <w:numId w:val="1"/>
        </w:numPr>
        <w:adjustRightInd w:val="0"/>
        <w:snapToGrid w:val="0"/>
        <w:spacing w:line="360" w:lineRule="auto"/>
        <w:contextualSpacing/>
        <w:rPr>
          <w:rFonts w:cs="Arial"/>
        </w:rPr>
      </w:pPr>
      <w:r w:rsidRPr="004E0D59">
        <w:rPr>
          <w:rFonts w:cs="Arial"/>
        </w:rPr>
        <w:t>Phase 4 (</w:t>
      </w:r>
      <w:r w:rsidR="006B02E3">
        <w:rPr>
          <w:rFonts w:cs="Arial"/>
        </w:rPr>
        <w:t>A</w:t>
      </w:r>
      <w:r w:rsidRPr="004E0D59">
        <w:rPr>
          <w:rFonts w:cs="Arial"/>
        </w:rPr>
        <w:t xml:space="preserve">utumn term of Year 6) focussed on reinforcing all the messages covered during Year 5 and involved a range of components to refocus the children and their parents on the HeLP messages and behaviour change strategies. This phase included a further lesson (led by the class teacher), a drama workshop (delivered by the actors), a class delivered assembly to the whole school about </w:t>
      </w:r>
      <w:r w:rsidR="00FE6FD2">
        <w:rPr>
          <w:rFonts w:cs="Arial"/>
        </w:rPr>
        <w:t xml:space="preserve">the </w:t>
      </w:r>
      <w:r w:rsidR="00AA7A6D">
        <w:rPr>
          <w:rFonts w:cs="Arial"/>
        </w:rPr>
        <w:t>p</w:t>
      </w:r>
      <w:r w:rsidR="00FE6FD2">
        <w:rPr>
          <w:rFonts w:cs="Arial"/>
        </w:rPr>
        <w:t>rogramme</w:t>
      </w:r>
      <w:r w:rsidRPr="004E0D59">
        <w:rPr>
          <w:rFonts w:cs="Arial"/>
        </w:rPr>
        <w:t xml:space="preserve"> and a second 1-1 goal discussion with the HeLP Coordinator. </w:t>
      </w:r>
    </w:p>
    <w:p w14:paraId="15346B6B" w14:textId="11304234" w:rsidR="004E0D59" w:rsidRPr="004E0D59" w:rsidRDefault="004E0D59" w:rsidP="00403B07">
      <w:pPr>
        <w:numPr>
          <w:ilvl w:val="0"/>
          <w:numId w:val="1"/>
        </w:numPr>
        <w:adjustRightInd w:val="0"/>
        <w:snapToGrid w:val="0"/>
        <w:spacing w:line="360" w:lineRule="auto"/>
        <w:contextualSpacing/>
        <w:rPr>
          <w:rFonts w:cs="Arial"/>
        </w:rPr>
      </w:pPr>
      <w:r w:rsidRPr="004E0D59">
        <w:rPr>
          <w:rFonts w:cs="Arial"/>
        </w:rPr>
        <w:t>Each phase of HeLP was designed to involve parents as much as possible</w:t>
      </w:r>
      <w:r w:rsidR="00B27642">
        <w:rPr>
          <w:rFonts w:cs="Arial"/>
        </w:rPr>
        <w:t>. I</w:t>
      </w:r>
      <w:r w:rsidRPr="004E0D59">
        <w:rPr>
          <w:rFonts w:cs="Arial"/>
        </w:rPr>
        <w:t>n phase 1 a newsletter was sent to parents and</w:t>
      </w:r>
      <w:r w:rsidR="00B27642">
        <w:rPr>
          <w:rFonts w:cs="Arial"/>
        </w:rPr>
        <w:t xml:space="preserve"> there was a </w:t>
      </w:r>
      <w:r w:rsidRPr="004E0D59">
        <w:rPr>
          <w:rFonts w:cs="Arial"/>
        </w:rPr>
        <w:t>parent assembly. In phase 2, an information leaflet was also sent home to parents each day based on the theme covered in the drama session and parents were invited in to the school to watch work in progress during the last two drama sessions of the week. In phase 3, children set goals at home with their parent/carer on a ‘goal setting’ sheet and returned to school</w:t>
      </w:r>
      <w:r w:rsidR="00B27642">
        <w:rPr>
          <w:rFonts w:cs="Arial"/>
        </w:rPr>
        <w:t xml:space="preserve"> with this sheet</w:t>
      </w:r>
      <w:r w:rsidRPr="004E0D59">
        <w:rPr>
          <w:rFonts w:cs="Arial"/>
        </w:rPr>
        <w:t xml:space="preserve"> to discuss with the HeLP Coordinator. Finalised goals were then typed up and sent directly home to parents along with the HeLP ‘80/20’</w:t>
      </w:r>
      <w:r w:rsidR="00684FBA">
        <w:rPr>
          <w:rFonts w:cs="Arial"/>
        </w:rPr>
        <w:t xml:space="preserve"> fridge magnet</w:t>
      </w:r>
      <w:r w:rsidR="006B02E3">
        <w:rPr>
          <w:rFonts w:cs="Arial"/>
        </w:rPr>
        <w:t xml:space="preserve"> as a further reminder of </w:t>
      </w:r>
      <w:r w:rsidR="00FE6FD2">
        <w:rPr>
          <w:rFonts w:cs="Arial"/>
        </w:rPr>
        <w:t xml:space="preserve">the </w:t>
      </w:r>
      <w:r w:rsidR="00AA7A6D">
        <w:rPr>
          <w:rFonts w:cs="Arial"/>
        </w:rPr>
        <w:t>p</w:t>
      </w:r>
      <w:r w:rsidR="00FE6FD2">
        <w:rPr>
          <w:rFonts w:cs="Arial"/>
        </w:rPr>
        <w:t>rogramme</w:t>
      </w:r>
      <w:r w:rsidRPr="004E0D59">
        <w:rPr>
          <w:rFonts w:cs="Arial"/>
        </w:rPr>
        <w:t xml:space="preserve">. Another </w:t>
      </w:r>
      <w:r w:rsidRPr="004E0D59">
        <w:rPr>
          <w:rFonts w:cs="Arial"/>
        </w:rPr>
        <w:lastRenderedPageBreak/>
        <w:t xml:space="preserve">parent assembly took place after the </w:t>
      </w:r>
      <w:r w:rsidR="006B02E3">
        <w:rPr>
          <w:rFonts w:cs="Arial"/>
        </w:rPr>
        <w:t xml:space="preserve">completed </w:t>
      </w:r>
      <w:r w:rsidRPr="004E0D59">
        <w:rPr>
          <w:rFonts w:cs="Arial"/>
        </w:rPr>
        <w:t xml:space="preserve">goals sheet had been sent home. In </w:t>
      </w:r>
      <w:r w:rsidR="006B02E3">
        <w:rPr>
          <w:rFonts w:cs="Arial"/>
        </w:rPr>
        <w:t>P</w:t>
      </w:r>
      <w:r w:rsidRPr="004E0D59">
        <w:rPr>
          <w:rFonts w:cs="Arial"/>
        </w:rPr>
        <w:t xml:space="preserve">hase 4, following the 1-1 goal supporting session, a </w:t>
      </w:r>
      <w:r w:rsidR="00C70B88">
        <w:rPr>
          <w:rFonts w:cs="Arial"/>
        </w:rPr>
        <w:t xml:space="preserve">further </w:t>
      </w:r>
      <w:r w:rsidRPr="004E0D59">
        <w:rPr>
          <w:rFonts w:cs="Arial"/>
        </w:rPr>
        <w:t xml:space="preserve">sheet with the child’s goals was, once again, sent home in the post. </w:t>
      </w:r>
    </w:p>
    <w:p w14:paraId="17099C66" w14:textId="77777777" w:rsidR="004E0D59" w:rsidRPr="004E0D59" w:rsidRDefault="004E0D59" w:rsidP="00403B07">
      <w:pPr>
        <w:numPr>
          <w:ilvl w:val="0"/>
          <w:numId w:val="1"/>
        </w:numPr>
        <w:adjustRightInd w:val="0"/>
        <w:snapToGrid w:val="0"/>
        <w:spacing w:line="360" w:lineRule="auto"/>
        <w:contextualSpacing/>
        <w:rPr>
          <w:rFonts w:cs="Arial"/>
        </w:rPr>
      </w:pPr>
      <w:r w:rsidRPr="004E0D59">
        <w:rPr>
          <w:rFonts w:cs="Arial"/>
        </w:rPr>
        <w:t>Some components within each phase were directed to the whole school rather than only the Year 5 children. For example, there was a whole school assembly in phase 1 and a class delivered assembly to the whole school in phase 4.</w:t>
      </w:r>
    </w:p>
    <w:p w14:paraId="66C1B531" w14:textId="77777777" w:rsidR="004E0D59" w:rsidRPr="004E0D59" w:rsidRDefault="004E0D59" w:rsidP="00403B07">
      <w:pPr>
        <w:numPr>
          <w:ilvl w:val="0"/>
          <w:numId w:val="1"/>
        </w:numPr>
        <w:adjustRightInd w:val="0"/>
        <w:snapToGrid w:val="0"/>
        <w:spacing w:line="360" w:lineRule="auto"/>
        <w:contextualSpacing/>
        <w:rPr>
          <w:rFonts w:cs="Times New Roman"/>
        </w:rPr>
      </w:pPr>
      <w:r w:rsidRPr="004E0D59">
        <w:rPr>
          <w:rFonts w:cs="Arial"/>
        </w:rPr>
        <w:t xml:space="preserve">HeLP was designed to allow for some flexibility, so that each activity could fit the context of the school. For example, schools were able to select the timings of parent assemblies and, throughout the year long intervention delivery period, the </w:t>
      </w:r>
      <w:r w:rsidR="00E0630B">
        <w:t>HeLP Coordinator</w:t>
      </w:r>
      <w:r w:rsidRPr="004E0D59">
        <w:rPr>
          <w:rFonts w:cs="Arial"/>
        </w:rPr>
        <w:t xml:space="preserve"> worked closely with the teachers to understand how best to engage and involve the parents, which varied from school to school.</w:t>
      </w:r>
    </w:p>
    <w:p w14:paraId="30510539" w14:textId="5E50151B" w:rsidR="004E0D59" w:rsidRPr="004E0D59" w:rsidRDefault="004E0D59" w:rsidP="004E0D59">
      <w:pPr>
        <w:spacing w:after="0" w:line="360" w:lineRule="auto"/>
      </w:pPr>
      <w:r w:rsidRPr="004E0D59">
        <w:t xml:space="preserve">Phases 1-3 of the intervention took place when the children were in school Year 5 (aged 9-10 years) and phase 4 took place at the beginning of school Year 6 (aged 10-11 years). The intervention was designed to fit in with the National Curriculum at Key Stage 2 and all lessons and drama sessions included learning objectives relating to Personal Social and Health Education (PSHE), Science, Numeracy and Literacy. All learning objectives were clearly stated in the HeLP manuals and referenced against </w:t>
      </w:r>
      <w:r w:rsidR="00837AE9">
        <w:t>the objectives specified in the</w:t>
      </w:r>
      <w:r w:rsidRPr="004E0D59">
        <w:t xml:space="preserve"> National Curriculum </w:t>
      </w:r>
      <w:r w:rsidR="00837AE9">
        <w:t>at Key Stage 2</w:t>
      </w:r>
      <w:r w:rsidRPr="004E0D59">
        <w:t xml:space="preserve">. </w:t>
      </w:r>
    </w:p>
    <w:p w14:paraId="2F422F2E" w14:textId="77777777" w:rsidR="004E0D59" w:rsidRPr="004E0D59" w:rsidRDefault="004E0D59" w:rsidP="004E0D59">
      <w:pPr>
        <w:spacing w:after="0" w:line="360" w:lineRule="auto"/>
      </w:pPr>
    </w:p>
    <w:p w14:paraId="1918B887" w14:textId="44E1F862" w:rsidR="004E0D59" w:rsidRPr="00221775" w:rsidRDefault="009A2C4F" w:rsidP="009A2C4F">
      <w:pPr>
        <w:keepNext/>
        <w:keepLines/>
        <w:spacing w:before="200" w:after="0"/>
        <w:outlineLvl w:val="2"/>
        <w:rPr>
          <w:rFonts w:eastAsiaTheme="majorEastAsia" w:cstheme="majorBidi"/>
          <w:b/>
          <w:bCs/>
        </w:rPr>
      </w:pPr>
      <w:bookmarkStart w:id="329" w:name="_Toc466710056"/>
      <w:bookmarkStart w:id="330" w:name="_Toc466711404"/>
      <w:bookmarkStart w:id="331" w:name="_Toc466712063"/>
      <w:bookmarkStart w:id="332" w:name="_Toc475974345"/>
      <w:r w:rsidRPr="00221775">
        <w:rPr>
          <w:rFonts w:eastAsiaTheme="majorEastAsia" w:cstheme="majorBidi"/>
          <w:b/>
          <w:bCs/>
        </w:rPr>
        <w:t xml:space="preserve">2.1.6 </w:t>
      </w:r>
      <w:r w:rsidR="004E0D59" w:rsidRPr="00221775">
        <w:rPr>
          <w:rFonts w:eastAsiaTheme="majorEastAsia" w:cstheme="majorBidi"/>
          <w:b/>
          <w:bCs/>
        </w:rPr>
        <w:t xml:space="preserve">Usual </w:t>
      </w:r>
      <w:r w:rsidR="006B02E3" w:rsidRPr="00221775">
        <w:rPr>
          <w:rFonts w:eastAsiaTheme="majorEastAsia" w:cstheme="majorBidi"/>
          <w:b/>
          <w:bCs/>
        </w:rPr>
        <w:t>practice</w:t>
      </w:r>
      <w:bookmarkEnd w:id="329"/>
      <w:bookmarkEnd w:id="330"/>
      <w:bookmarkEnd w:id="331"/>
      <w:bookmarkEnd w:id="332"/>
    </w:p>
    <w:p w14:paraId="165B061A" w14:textId="665DEAC6" w:rsidR="004E0D59" w:rsidRPr="004E0D59" w:rsidRDefault="004E0D59" w:rsidP="004E0D59">
      <w:pPr>
        <w:spacing w:after="0" w:line="360" w:lineRule="auto"/>
        <w:sectPr w:rsidR="004E0D59" w:rsidRPr="004E0D59" w:rsidSect="00AA5BDC">
          <w:footerReference w:type="default" r:id="rId12"/>
          <w:pgSz w:w="11906" w:h="16838"/>
          <w:pgMar w:top="1440" w:right="1440" w:bottom="1440" w:left="1440" w:header="708" w:footer="708" w:gutter="0"/>
          <w:lnNumType w:countBy="1"/>
          <w:cols w:space="708"/>
          <w:docGrid w:linePitch="360"/>
        </w:sectPr>
      </w:pPr>
      <w:r w:rsidRPr="004E0D59">
        <w:t>Schools randomised to the control group continued standard education provision throughout the intervention delivery period, including any involvement in additional health promoting activities, but had no access to the HeLP resources and scripts</w:t>
      </w:r>
      <w:r w:rsidR="00C70B88">
        <w:t>,</w:t>
      </w:r>
      <w:r w:rsidRPr="004E0D59">
        <w:t xml:space="preserve"> which have not been published and were not made available by the research team </w:t>
      </w:r>
      <w:r w:rsidR="006B02E3">
        <w:t xml:space="preserve">beyond the intervention schools. </w:t>
      </w:r>
    </w:p>
    <w:p w14:paraId="3D05D7A1" w14:textId="03686E1B" w:rsidR="004E0D59" w:rsidRPr="004621E9" w:rsidRDefault="004E0D59" w:rsidP="004E0D59">
      <w:pPr>
        <w:spacing w:line="360" w:lineRule="auto"/>
        <w:rPr>
          <w:rFonts w:cs="Arial"/>
          <w:b/>
        </w:rPr>
      </w:pPr>
      <w:r w:rsidRPr="004621E9">
        <w:rPr>
          <w:rFonts w:cs="Arial"/>
          <w:b/>
        </w:rPr>
        <w:lastRenderedPageBreak/>
        <w:t>T</w:t>
      </w:r>
      <w:r w:rsidR="004621E9" w:rsidRPr="004621E9">
        <w:rPr>
          <w:rFonts w:cs="Arial"/>
          <w:b/>
        </w:rPr>
        <w:t>ABLE</w:t>
      </w:r>
      <w:r w:rsidRPr="004621E9">
        <w:rPr>
          <w:rFonts w:cs="Arial"/>
          <w:b/>
        </w:rPr>
        <w:t xml:space="preserve"> </w:t>
      </w:r>
      <w:r w:rsidR="00BA12B1">
        <w:rPr>
          <w:rFonts w:cs="Arial"/>
          <w:b/>
        </w:rPr>
        <w:t>2</w:t>
      </w:r>
      <w:r w:rsidRPr="004621E9">
        <w:rPr>
          <w:rFonts w:cs="Arial"/>
          <w:b/>
        </w:rPr>
        <w:t xml:space="preserve"> Intervention phases</w:t>
      </w:r>
      <w:r w:rsidR="008F1809" w:rsidRPr="004621E9">
        <w:rPr>
          <w:rFonts w:cs="Arial"/>
          <w:b/>
        </w:rPr>
        <w:t xml:space="preserve"> 1 and 2</w:t>
      </w:r>
      <w:r w:rsidRPr="004621E9">
        <w:rPr>
          <w:rFonts w:cs="Arial"/>
          <w:b/>
        </w:rPr>
        <w:t xml:space="preserve">, function, </w:t>
      </w:r>
      <w:r w:rsidR="0056627C" w:rsidRPr="004621E9">
        <w:rPr>
          <w:rFonts w:cs="Arial"/>
          <w:b/>
        </w:rPr>
        <w:t>behaviour change techniques (</w:t>
      </w:r>
      <w:r w:rsidRPr="004621E9">
        <w:rPr>
          <w:rFonts w:cs="Arial"/>
          <w:b/>
        </w:rPr>
        <w:t>BCTs</w:t>
      </w:r>
      <w:r w:rsidR="0056627C" w:rsidRPr="004621E9">
        <w:rPr>
          <w:rFonts w:cs="Arial"/>
          <w:b/>
        </w:rPr>
        <w:t>)</w:t>
      </w:r>
      <w:r w:rsidRPr="004621E9">
        <w:rPr>
          <w:rFonts w:cs="Arial"/>
          <w:b/>
        </w:rPr>
        <w:t>, delivery methods and personnel</w:t>
      </w: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53"/>
        <w:gridCol w:w="2310"/>
        <w:gridCol w:w="3679"/>
        <w:gridCol w:w="4062"/>
        <w:gridCol w:w="2813"/>
      </w:tblGrid>
      <w:tr w:rsidR="004E0D59" w:rsidRPr="004E0D59" w14:paraId="72B8578D" w14:textId="77777777" w:rsidTr="008F1809">
        <w:trPr>
          <w:trHeight w:val="523"/>
        </w:trPr>
        <w:tc>
          <w:tcPr>
            <w:tcW w:w="1453" w:type="dxa"/>
            <w:tcBorders>
              <w:top w:val="single" w:sz="4" w:space="0" w:color="auto"/>
              <w:left w:val="single" w:sz="4" w:space="0" w:color="auto"/>
              <w:bottom w:val="single" w:sz="4" w:space="0" w:color="auto"/>
              <w:right w:val="single" w:sz="4" w:space="0" w:color="auto"/>
            </w:tcBorders>
            <w:hideMark/>
          </w:tcPr>
          <w:p w14:paraId="242E2092" w14:textId="77777777" w:rsidR="00AC5E07" w:rsidRPr="001676F2" w:rsidRDefault="00AC5E07" w:rsidP="00EC3EB4">
            <w:pPr>
              <w:adjustRightInd w:val="0"/>
              <w:snapToGrid w:val="0"/>
              <w:spacing w:line="240" w:lineRule="auto"/>
              <w:jc w:val="both"/>
              <w:rPr>
                <w:rFonts w:cs="Arial"/>
                <w:b/>
                <w:sz w:val="20"/>
                <w:szCs w:val="20"/>
              </w:rPr>
            </w:pPr>
            <w:r w:rsidRPr="001676F2">
              <w:rPr>
                <w:rFonts w:cs="Arial"/>
                <w:b/>
                <w:sz w:val="20"/>
                <w:szCs w:val="20"/>
              </w:rPr>
              <w:t>Phase</w:t>
            </w:r>
          </w:p>
        </w:tc>
        <w:tc>
          <w:tcPr>
            <w:tcW w:w="2310" w:type="dxa"/>
            <w:tcBorders>
              <w:top w:val="single" w:sz="4" w:space="0" w:color="auto"/>
              <w:left w:val="single" w:sz="4" w:space="0" w:color="auto"/>
              <w:bottom w:val="single" w:sz="4" w:space="0" w:color="auto"/>
              <w:right w:val="single" w:sz="4" w:space="0" w:color="auto"/>
            </w:tcBorders>
            <w:hideMark/>
          </w:tcPr>
          <w:p w14:paraId="18A435CB" w14:textId="77777777" w:rsidR="004E0D59" w:rsidRPr="001676F2" w:rsidRDefault="004E0D59" w:rsidP="00EC3EB4">
            <w:pPr>
              <w:adjustRightInd w:val="0"/>
              <w:snapToGrid w:val="0"/>
              <w:spacing w:line="240" w:lineRule="auto"/>
              <w:jc w:val="both"/>
              <w:rPr>
                <w:rFonts w:eastAsia="Times New Roman" w:cs="Arial"/>
                <w:b/>
                <w:sz w:val="20"/>
                <w:szCs w:val="20"/>
                <w:lang w:val="en-US" w:eastAsia="de-DE"/>
              </w:rPr>
            </w:pPr>
            <w:r w:rsidRPr="001676F2">
              <w:rPr>
                <w:rFonts w:cs="Arial"/>
                <w:b/>
                <w:sz w:val="20"/>
                <w:szCs w:val="20"/>
              </w:rPr>
              <w:t>Function</w:t>
            </w:r>
          </w:p>
        </w:tc>
        <w:tc>
          <w:tcPr>
            <w:tcW w:w="3679" w:type="dxa"/>
            <w:tcBorders>
              <w:top w:val="single" w:sz="4" w:space="0" w:color="auto"/>
              <w:left w:val="single" w:sz="4" w:space="0" w:color="auto"/>
              <w:bottom w:val="single" w:sz="4" w:space="0" w:color="auto"/>
              <w:right w:val="single" w:sz="4" w:space="0" w:color="auto"/>
            </w:tcBorders>
            <w:hideMark/>
          </w:tcPr>
          <w:p w14:paraId="6EB05B6D" w14:textId="77777777" w:rsidR="004E0D59" w:rsidRPr="001676F2" w:rsidRDefault="004E0D59" w:rsidP="00EC3EB4">
            <w:pPr>
              <w:adjustRightInd w:val="0"/>
              <w:snapToGrid w:val="0"/>
              <w:spacing w:line="240" w:lineRule="auto"/>
              <w:jc w:val="both"/>
              <w:rPr>
                <w:rFonts w:eastAsia="Times New Roman" w:cs="Arial"/>
                <w:b/>
                <w:sz w:val="20"/>
                <w:szCs w:val="20"/>
                <w:lang w:val="en-US" w:eastAsia="de-DE"/>
              </w:rPr>
            </w:pPr>
            <w:r w:rsidRPr="001676F2">
              <w:rPr>
                <w:rFonts w:cs="Arial"/>
                <w:b/>
                <w:sz w:val="20"/>
                <w:szCs w:val="20"/>
              </w:rPr>
              <w:t>Behaviour Change techniques (BCTs)</w:t>
            </w:r>
          </w:p>
        </w:tc>
        <w:tc>
          <w:tcPr>
            <w:tcW w:w="4062" w:type="dxa"/>
            <w:tcBorders>
              <w:top w:val="single" w:sz="4" w:space="0" w:color="auto"/>
              <w:left w:val="single" w:sz="4" w:space="0" w:color="auto"/>
              <w:bottom w:val="single" w:sz="4" w:space="0" w:color="auto"/>
              <w:right w:val="single" w:sz="4" w:space="0" w:color="auto"/>
            </w:tcBorders>
            <w:hideMark/>
          </w:tcPr>
          <w:p w14:paraId="7EB044A7" w14:textId="77777777" w:rsidR="004E0D59" w:rsidRPr="001676F2" w:rsidRDefault="004E0D59" w:rsidP="00EC3EB4">
            <w:pPr>
              <w:adjustRightInd w:val="0"/>
              <w:snapToGrid w:val="0"/>
              <w:spacing w:line="240" w:lineRule="auto"/>
              <w:jc w:val="both"/>
              <w:rPr>
                <w:rFonts w:eastAsia="Times New Roman" w:cs="Arial"/>
                <w:b/>
                <w:sz w:val="20"/>
                <w:szCs w:val="20"/>
                <w:lang w:val="en-US" w:eastAsia="de-DE"/>
              </w:rPr>
            </w:pPr>
            <w:r w:rsidRPr="001676F2">
              <w:rPr>
                <w:rFonts w:cs="Arial"/>
                <w:b/>
                <w:sz w:val="20"/>
                <w:szCs w:val="20"/>
              </w:rPr>
              <w:t>Component (Frequency and Duration)</w:t>
            </w:r>
          </w:p>
        </w:tc>
        <w:tc>
          <w:tcPr>
            <w:tcW w:w="2813" w:type="dxa"/>
            <w:tcBorders>
              <w:top w:val="single" w:sz="4" w:space="0" w:color="auto"/>
              <w:left w:val="single" w:sz="4" w:space="0" w:color="auto"/>
              <w:bottom w:val="single" w:sz="4" w:space="0" w:color="auto"/>
              <w:right w:val="single" w:sz="4" w:space="0" w:color="auto"/>
            </w:tcBorders>
            <w:hideMark/>
          </w:tcPr>
          <w:p w14:paraId="4B46B5C6" w14:textId="77777777" w:rsidR="004E0D59" w:rsidRPr="001676F2" w:rsidRDefault="001676F2" w:rsidP="00EC3EB4">
            <w:pPr>
              <w:adjustRightInd w:val="0"/>
              <w:snapToGrid w:val="0"/>
              <w:spacing w:line="240" w:lineRule="auto"/>
              <w:jc w:val="both"/>
              <w:rPr>
                <w:rFonts w:eastAsia="Times New Roman" w:cs="Arial"/>
                <w:b/>
                <w:sz w:val="20"/>
                <w:szCs w:val="20"/>
                <w:lang w:val="en-US" w:eastAsia="de-DE"/>
              </w:rPr>
            </w:pPr>
            <w:r>
              <w:rPr>
                <w:rFonts w:cs="Arial"/>
                <w:b/>
                <w:sz w:val="20"/>
                <w:szCs w:val="20"/>
              </w:rPr>
              <w:t>D</w:t>
            </w:r>
            <w:r w:rsidR="004E0D59" w:rsidRPr="001676F2">
              <w:rPr>
                <w:rFonts w:cs="Arial"/>
                <w:b/>
                <w:sz w:val="20"/>
                <w:szCs w:val="20"/>
              </w:rPr>
              <w:t>elivery</w:t>
            </w:r>
            <w:r>
              <w:rPr>
                <w:rFonts w:cs="Arial"/>
                <w:b/>
                <w:sz w:val="20"/>
                <w:szCs w:val="20"/>
              </w:rPr>
              <w:t xml:space="preserve"> personnel</w:t>
            </w:r>
          </w:p>
        </w:tc>
      </w:tr>
      <w:tr w:rsidR="004E0D59" w:rsidRPr="004E0D59" w14:paraId="3040EB56" w14:textId="77777777" w:rsidTr="008F1809">
        <w:tc>
          <w:tcPr>
            <w:tcW w:w="1453" w:type="dxa"/>
            <w:tcBorders>
              <w:top w:val="single" w:sz="4" w:space="0" w:color="auto"/>
              <w:left w:val="single" w:sz="4" w:space="0" w:color="auto"/>
              <w:bottom w:val="single" w:sz="4" w:space="0" w:color="auto"/>
              <w:right w:val="single" w:sz="4" w:space="0" w:color="auto"/>
            </w:tcBorders>
          </w:tcPr>
          <w:p w14:paraId="2503A845" w14:textId="77777777" w:rsidR="004E0D59" w:rsidRPr="001676F2" w:rsidRDefault="004E0D59" w:rsidP="00EC3EB4">
            <w:pPr>
              <w:adjustRightInd w:val="0"/>
              <w:snapToGrid w:val="0"/>
              <w:spacing w:line="240" w:lineRule="auto"/>
              <w:rPr>
                <w:rFonts w:eastAsia="Times New Roman" w:cs="Arial"/>
                <w:b/>
                <w:sz w:val="20"/>
                <w:szCs w:val="20"/>
                <w:lang w:val="en-US" w:eastAsia="de-DE"/>
              </w:rPr>
            </w:pPr>
            <w:r w:rsidRPr="001676F2">
              <w:rPr>
                <w:rFonts w:cs="Arial"/>
                <w:b/>
                <w:sz w:val="20"/>
                <w:szCs w:val="20"/>
              </w:rPr>
              <w:t>Phase 1</w:t>
            </w:r>
          </w:p>
          <w:p w14:paraId="185B3636" w14:textId="77777777" w:rsidR="004E0D59" w:rsidRPr="001676F2" w:rsidRDefault="004E0D59" w:rsidP="00EC3EB4">
            <w:pPr>
              <w:adjustRightInd w:val="0"/>
              <w:snapToGrid w:val="0"/>
              <w:spacing w:line="240" w:lineRule="auto"/>
              <w:rPr>
                <w:rFonts w:cs="Arial"/>
                <w:b/>
                <w:sz w:val="20"/>
                <w:szCs w:val="20"/>
              </w:rPr>
            </w:pPr>
            <w:r w:rsidRPr="001676F2">
              <w:rPr>
                <w:rFonts w:cs="Arial"/>
                <w:b/>
                <w:sz w:val="20"/>
                <w:szCs w:val="20"/>
              </w:rPr>
              <w:t>Creating a supportive context</w:t>
            </w:r>
          </w:p>
          <w:p w14:paraId="7E3B729B" w14:textId="77777777" w:rsidR="004E0D59" w:rsidRPr="001676F2" w:rsidRDefault="004E0D59" w:rsidP="00EC3EB4">
            <w:pPr>
              <w:adjustRightInd w:val="0"/>
              <w:snapToGrid w:val="0"/>
              <w:spacing w:line="240" w:lineRule="auto"/>
              <w:rPr>
                <w:rFonts w:cs="Arial"/>
                <w:sz w:val="20"/>
                <w:szCs w:val="20"/>
              </w:rPr>
            </w:pPr>
            <w:r w:rsidRPr="001676F2">
              <w:rPr>
                <w:rFonts w:cs="Arial"/>
                <w:sz w:val="20"/>
                <w:szCs w:val="20"/>
              </w:rPr>
              <w:t xml:space="preserve">Spring term </w:t>
            </w:r>
          </w:p>
          <w:p w14:paraId="49A89EF7" w14:textId="77777777" w:rsidR="004E0D59" w:rsidRPr="001676F2" w:rsidRDefault="00AC5E07" w:rsidP="00AC5E07">
            <w:pPr>
              <w:adjustRightInd w:val="0"/>
              <w:snapToGrid w:val="0"/>
              <w:spacing w:line="240" w:lineRule="auto"/>
              <w:rPr>
                <w:rFonts w:cs="Arial"/>
                <w:sz w:val="20"/>
                <w:szCs w:val="20"/>
              </w:rPr>
            </w:pPr>
            <w:r w:rsidRPr="001676F2">
              <w:rPr>
                <w:rFonts w:cs="Arial"/>
                <w:sz w:val="20"/>
                <w:szCs w:val="20"/>
              </w:rPr>
              <w:t xml:space="preserve">(Yr 5) </w:t>
            </w:r>
            <w:r w:rsidR="004E0D59" w:rsidRPr="001676F2">
              <w:rPr>
                <w:rFonts w:cs="Arial"/>
                <w:sz w:val="20"/>
                <w:szCs w:val="20"/>
              </w:rPr>
              <w:t>Jan-March</w:t>
            </w:r>
          </w:p>
        </w:tc>
        <w:tc>
          <w:tcPr>
            <w:tcW w:w="2310" w:type="dxa"/>
            <w:tcBorders>
              <w:top w:val="single" w:sz="4" w:space="0" w:color="auto"/>
              <w:left w:val="single" w:sz="4" w:space="0" w:color="auto"/>
              <w:bottom w:val="single" w:sz="4" w:space="0" w:color="auto"/>
              <w:right w:val="single" w:sz="4" w:space="0" w:color="auto"/>
            </w:tcBorders>
            <w:hideMark/>
          </w:tcPr>
          <w:p w14:paraId="64E750E8" w14:textId="77777777" w:rsidR="004E0D59" w:rsidRPr="001676F2" w:rsidRDefault="004E0D59" w:rsidP="00403B07">
            <w:pPr>
              <w:numPr>
                <w:ilvl w:val="0"/>
                <w:numId w:val="2"/>
              </w:numPr>
              <w:adjustRightInd w:val="0"/>
              <w:snapToGrid w:val="0"/>
              <w:spacing w:line="240" w:lineRule="auto"/>
              <w:contextualSpacing/>
              <w:rPr>
                <w:rFonts w:cs="Arial"/>
                <w:sz w:val="20"/>
                <w:szCs w:val="20"/>
              </w:rPr>
            </w:pPr>
            <w:r w:rsidRPr="001676F2">
              <w:rPr>
                <w:rFonts w:cs="Arial"/>
                <w:sz w:val="20"/>
                <w:szCs w:val="20"/>
              </w:rPr>
              <w:t>Establish relationships with schools, children and families</w:t>
            </w:r>
          </w:p>
          <w:p w14:paraId="1917B2B2" w14:textId="77777777" w:rsidR="004E0D59" w:rsidRPr="001676F2" w:rsidRDefault="004E0D59" w:rsidP="00403B07">
            <w:pPr>
              <w:numPr>
                <w:ilvl w:val="0"/>
                <w:numId w:val="2"/>
              </w:numPr>
              <w:adjustRightInd w:val="0"/>
              <w:snapToGrid w:val="0"/>
              <w:spacing w:line="240" w:lineRule="auto"/>
              <w:contextualSpacing/>
              <w:rPr>
                <w:rFonts w:cs="Arial"/>
                <w:sz w:val="20"/>
                <w:szCs w:val="20"/>
              </w:rPr>
            </w:pPr>
            <w:r w:rsidRPr="001676F2">
              <w:rPr>
                <w:rFonts w:cs="Arial"/>
                <w:sz w:val="20"/>
                <w:szCs w:val="20"/>
              </w:rPr>
              <w:t>Raise awareness and</w:t>
            </w:r>
          </w:p>
          <w:p w14:paraId="3D2F050C" w14:textId="77777777" w:rsidR="004E0D59" w:rsidRPr="001676F2" w:rsidRDefault="004E0D59" w:rsidP="00403B07">
            <w:pPr>
              <w:numPr>
                <w:ilvl w:val="0"/>
                <w:numId w:val="2"/>
              </w:numPr>
              <w:adjustRightInd w:val="0"/>
              <w:snapToGrid w:val="0"/>
              <w:spacing w:line="240" w:lineRule="auto"/>
              <w:contextualSpacing/>
              <w:rPr>
                <w:rFonts w:cs="Arial"/>
                <w:sz w:val="20"/>
                <w:szCs w:val="20"/>
              </w:rPr>
            </w:pPr>
            <w:r w:rsidRPr="001676F2">
              <w:rPr>
                <w:rFonts w:cs="Arial"/>
                <w:sz w:val="20"/>
                <w:szCs w:val="20"/>
              </w:rPr>
              <w:t>increase knowledge</w:t>
            </w:r>
          </w:p>
          <w:p w14:paraId="4FE1618B" w14:textId="77777777" w:rsidR="004E0D59" w:rsidRPr="001676F2" w:rsidRDefault="004E0D59" w:rsidP="00403B07">
            <w:pPr>
              <w:numPr>
                <w:ilvl w:val="0"/>
                <w:numId w:val="2"/>
              </w:numPr>
              <w:adjustRightInd w:val="0"/>
              <w:snapToGrid w:val="0"/>
              <w:spacing w:line="240" w:lineRule="auto"/>
              <w:contextualSpacing/>
              <w:rPr>
                <w:rFonts w:cs="Arial"/>
                <w:sz w:val="20"/>
                <w:szCs w:val="20"/>
              </w:rPr>
            </w:pPr>
            <w:r w:rsidRPr="001676F2">
              <w:rPr>
                <w:rFonts w:cs="Arial"/>
                <w:sz w:val="20"/>
                <w:szCs w:val="20"/>
              </w:rPr>
              <w:t>Promote positive attitudes and norms towards healthy eating and physical activity</w:t>
            </w:r>
          </w:p>
          <w:p w14:paraId="1467F694" w14:textId="77777777" w:rsidR="004E0D59" w:rsidRPr="001676F2" w:rsidRDefault="004E0D59" w:rsidP="00403B07">
            <w:pPr>
              <w:numPr>
                <w:ilvl w:val="0"/>
                <w:numId w:val="2"/>
              </w:numPr>
              <w:adjustRightInd w:val="0"/>
              <w:snapToGrid w:val="0"/>
              <w:spacing w:line="240" w:lineRule="auto"/>
              <w:contextualSpacing/>
              <w:rPr>
                <w:rFonts w:cs="Arial"/>
                <w:sz w:val="20"/>
                <w:szCs w:val="20"/>
              </w:rPr>
            </w:pPr>
            <w:r w:rsidRPr="001676F2">
              <w:rPr>
                <w:rFonts w:cs="Arial"/>
                <w:sz w:val="20"/>
                <w:szCs w:val="20"/>
              </w:rPr>
              <w:t>Increase self-efficacy for behaviour change</w:t>
            </w:r>
          </w:p>
        </w:tc>
        <w:tc>
          <w:tcPr>
            <w:tcW w:w="3679" w:type="dxa"/>
            <w:tcBorders>
              <w:top w:val="single" w:sz="4" w:space="0" w:color="auto"/>
              <w:left w:val="single" w:sz="4" w:space="0" w:color="auto"/>
              <w:bottom w:val="single" w:sz="4" w:space="0" w:color="auto"/>
              <w:right w:val="single" w:sz="4" w:space="0" w:color="auto"/>
            </w:tcBorders>
            <w:hideMark/>
          </w:tcPr>
          <w:p w14:paraId="736B4083" w14:textId="77777777" w:rsidR="004E0D59" w:rsidRPr="001676F2" w:rsidRDefault="004E0D59" w:rsidP="00403B07">
            <w:pPr>
              <w:numPr>
                <w:ilvl w:val="0"/>
                <w:numId w:val="3"/>
              </w:numPr>
              <w:adjustRightInd w:val="0"/>
              <w:snapToGrid w:val="0"/>
              <w:spacing w:line="240" w:lineRule="auto"/>
              <w:contextualSpacing/>
              <w:rPr>
                <w:rFonts w:cs="Arial"/>
                <w:sz w:val="20"/>
                <w:szCs w:val="20"/>
              </w:rPr>
            </w:pPr>
            <w:r w:rsidRPr="001676F2">
              <w:rPr>
                <w:rFonts w:cs="Arial"/>
                <w:sz w:val="20"/>
                <w:szCs w:val="20"/>
              </w:rPr>
              <w:t>Provide information on behaviour-health link</w:t>
            </w:r>
          </w:p>
          <w:p w14:paraId="7496DCFE" w14:textId="77777777" w:rsidR="004E0D59" w:rsidRPr="001676F2" w:rsidRDefault="004E0D59" w:rsidP="00403B07">
            <w:pPr>
              <w:numPr>
                <w:ilvl w:val="0"/>
                <w:numId w:val="3"/>
              </w:numPr>
              <w:autoSpaceDE w:val="0"/>
              <w:autoSpaceDN w:val="0"/>
              <w:adjustRightInd w:val="0"/>
              <w:snapToGrid w:val="0"/>
              <w:spacing w:line="240" w:lineRule="auto"/>
              <w:contextualSpacing/>
              <w:rPr>
                <w:rFonts w:cs="Arial"/>
                <w:sz w:val="20"/>
                <w:szCs w:val="20"/>
              </w:rPr>
            </w:pPr>
            <w:r w:rsidRPr="001676F2">
              <w:rPr>
                <w:rFonts w:cs="Arial"/>
                <w:sz w:val="20"/>
                <w:szCs w:val="20"/>
              </w:rPr>
              <w:t>Provide information on health behaviour link</w:t>
            </w:r>
          </w:p>
          <w:p w14:paraId="5AA902C5" w14:textId="77777777" w:rsidR="004E0D59" w:rsidRPr="001676F2" w:rsidRDefault="004E0D59" w:rsidP="00403B07">
            <w:pPr>
              <w:numPr>
                <w:ilvl w:val="0"/>
                <w:numId w:val="3"/>
              </w:numPr>
              <w:autoSpaceDE w:val="0"/>
              <w:autoSpaceDN w:val="0"/>
              <w:adjustRightInd w:val="0"/>
              <w:snapToGrid w:val="0"/>
              <w:spacing w:line="240" w:lineRule="auto"/>
              <w:contextualSpacing/>
              <w:rPr>
                <w:rFonts w:cs="Arial"/>
                <w:sz w:val="20"/>
                <w:szCs w:val="20"/>
              </w:rPr>
            </w:pPr>
            <w:r w:rsidRPr="001676F2">
              <w:rPr>
                <w:rFonts w:cs="Arial"/>
                <w:sz w:val="20"/>
                <w:szCs w:val="20"/>
              </w:rPr>
              <w:t>Modelling/demonstrating behaviour</w:t>
            </w:r>
          </w:p>
          <w:p w14:paraId="20DC1B35" w14:textId="77777777" w:rsidR="004E0D59" w:rsidRPr="001676F2" w:rsidRDefault="004E0D59" w:rsidP="00403B07">
            <w:pPr>
              <w:numPr>
                <w:ilvl w:val="0"/>
                <w:numId w:val="3"/>
              </w:numPr>
              <w:autoSpaceDE w:val="0"/>
              <w:autoSpaceDN w:val="0"/>
              <w:adjustRightInd w:val="0"/>
              <w:snapToGrid w:val="0"/>
              <w:spacing w:line="240" w:lineRule="auto"/>
              <w:contextualSpacing/>
              <w:rPr>
                <w:rFonts w:cs="Arial"/>
                <w:sz w:val="20"/>
                <w:szCs w:val="20"/>
              </w:rPr>
            </w:pPr>
            <w:r w:rsidRPr="001676F2">
              <w:rPr>
                <w:rFonts w:cs="Arial"/>
                <w:sz w:val="20"/>
                <w:szCs w:val="20"/>
              </w:rPr>
              <w:t xml:space="preserve">Prompt identification as a role model </w:t>
            </w:r>
          </w:p>
          <w:p w14:paraId="370C795A" w14:textId="77777777" w:rsidR="004E0D59" w:rsidRPr="001676F2" w:rsidRDefault="004E0D59" w:rsidP="00403B07">
            <w:pPr>
              <w:numPr>
                <w:ilvl w:val="0"/>
                <w:numId w:val="3"/>
              </w:numPr>
              <w:adjustRightInd w:val="0"/>
              <w:snapToGrid w:val="0"/>
              <w:spacing w:line="240" w:lineRule="auto"/>
              <w:contextualSpacing/>
              <w:rPr>
                <w:rFonts w:cs="Arial"/>
                <w:sz w:val="20"/>
                <w:szCs w:val="20"/>
              </w:rPr>
            </w:pPr>
            <w:r w:rsidRPr="001676F2">
              <w:rPr>
                <w:rFonts w:cs="Arial"/>
                <w:sz w:val="20"/>
                <w:szCs w:val="20"/>
              </w:rPr>
              <w:t>Provide information on behaviour-health link</w:t>
            </w:r>
          </w:p>
          <w:p w14:paraId="749834E7" w14:textId="77777777" w:rsidR="004E0D59" w:rsidRPr="001676F2" w:rsidRDefault="004E0D59" w:rsidP="00403B07">
            <w:pPr>
              <w:numPr>
                <w:ilvl w:val="0"/>
                <w:numId w:val="3"/>
              </w:numPr>
              <w:adjustRightInd w:val="0"/>
              <w:snapToGrid w:val="0"/>
              <w:spacing w:line="240" w:lineRule="auto"/>
              <w:contextualSpacing/>
              <w:rPr>
                <w:rFonts w:cs="Arial"/>
                <w:sz w:val="20"/>
                <w:szCs w:val="20"/>
              </w:rPr>
            </w:pPr>
            <w:r w:rsidRPr="001676F2">
              <w:rPr>
                <w:rFonts w:cs="Arial"/>
                <w:sz w:val="20"/>
                <w:szCs w:val="20"/>
              </w:rPr>
              <w:t>Skill building</w:t>
            </w:r>
          </w:p>
        </w:tc>
        <w:tc>
          <w:tcPr>
            <w:tcW w:w="4062" w:type="dxa"/>
            <w:tcBorders>
              <w:top w:val="single" w:sz="4" w:space="0" w:color="auto"/>
              <w:left w:val="single" w:sz="4" w:space="0" w:color="auto"/>
              <w:bottom w:val="single" w:sz="4" w:space="0" w:color="auto"/>
              <w:right w:val="single" w:sz="4" w:space="0" w:color="auto"/>
            </w:tcBorders>
          </w:tcPr>
          <w:p w14:paraId="0E327F80" w14:textId="77777777" w:rsidR="004E0D59" w:rsidRPr="001676F2" w:rsidRDefault="004E0D59" w:rsidP="00EC3EB4">
            <w:pPr>
              <w:adjustRightInd w:val="0"/>
              <w:snapToGrid w:val="0"/>
              <w:spacing w:line="240" w:lineRule="auto"/>
              <w:rPr>
                <w:rFonts w:eastAsia="Times New Roman" w:cs="Arial"/>
                <w:sz w:val="20"/>
                <w:szCs w:val="20"/>
                <w:lang w:val="en-US" w:eastAsia="de-DE"/>
              </w:rPr>
            </w:pPr>
            <w:r w:rsidRPr="001676F2">
              <w:rPr>
                <w:rFonts w:cs="Arial"/>
                <w:sz w:val="20"/>
                <w:szCs w:val="20"/>
              </w:rPr>
              <w:t>Whole school assembly (1x20 mins)</w:t>
            </w:r>
          </w:p>
          <w:p w14:paraId="42521576" w14:textId="77777777" w:rsidR="004E0D59" w:rsidRPr="001676F2" w:rsidRDefault="004E0D59" w:rsidP="00EC3EB4">
            <w:pPr>
              <w:adjustRightInd w:val="0"/>
              <w:snapToGrid w:val="0"/>
              <w:spacing w:line="240" w:lineRule="auto"/>
              <w:rPr>
                <w:rFonts w:cs="Arial"/>
                <w:sz w:val="20"/>
                <w:szCs w:val="20"/>
              </w:rPr>
            </w:pPr>
            <w:r w:rsidRPr="001676F2">
              <w:rPr>
                <w:rFonts w:cs="Arial"/>
                <w:sz w:val="20"/>
                <w:szCs w:val="20"/>
              </w:rPr>
              <w:t xml:space="preserve">Newsletter article </w:t>
            </w:r>
          </w:p>
          <w:p w14:paraId="620E200A" w14:textId="77777777" w:rsidR="004E0D59" w:rsidRPr="001676F2" w:rsidRDefault="004E0D59" w:rsidP="00EC3EB4">
            <w:pPr>
              <w:adjustRightInd w:val="0"/>
              <w:snapToGrid w:val="0"/>
              <w:spacing w:line="240" w:lineRule="auto"/>
              <w:rPr>
                <w:rFonts w:cs="Arial"/>
                <w:sz w:val="20"/>
                <w:szCs w:val="20"/>
              </w:rPr>
            </w:pPr>
            <w:r w:rsidRPr="001676F2">
              <w:rPr>
                <w:rFonts w:cs="Arial"/>
                <w:sz w:val="20"/>
                <w:szCs w:val="20"/>
              </w:rPr>
              <w:t>Literacy lesson (to create HeLP rap) (1x1 hour)</w:t>
            </w:r>
          </w:p>
          <w:p w14:paraId="52F0071C" w14:textId="77777777" w:rsidR="004E0D59" w:rsidRPr="001676F2" w:rsidRDefault="004E0D59" w:rsidP="00EC3EB4">
            <w:pPr>
              <w:adjustRightInd w:val="0"/>
              <w:snapToGrid w:val="0"/>
              <w:spacing w:line="240" w:lineRule="auto"/>
              <w:rPr>
                <w:rFonts w:cs="Arial"/>
                <w:sz w:val="20"/>
                <w:szCs w:val="20"/>
              </w:rPr>
            </w:pPr>
            <w:r w:rsidRPr="001676F2">
              <w:rPr>
                <w:rFonts w:cs="Arial"/>
                <w:sz w:val="20"/>
                <w:szCs w:val="20"/>
              </w:rPr>
              <w:t xml:space="preserve">Activity workshops (2x1.5 hours) </w:t>
            </w:r>
          </w:p>
          <w:p w14:paraId="5D4D9117" w14:textId="77777777" w:rsidR="004E0D59" w:rsidRPr="001676F2" w:rsidRDefault="004E0D59" w:rsidP="00EC3EB4">
            <w:pPr>
              <w:adjustRightInd w:val="0"/>
              <w:snapToGrid w:val="0"/>
              <w:spacing w:line="240" w:lineRule="auto"/>
              <w:jc w:val="both"/>
              <w:rPr>
                <w:rFonts w:eastAsia="Times New Roman" w:cs="Arial"/>
                <w:sz w:val="20"/>
                <w:szCs w:val="20"/>
                <w:lang w:val="en-US" w:eastAsia="de-DE"/>
              </w:rPr>
            </w:pPr>
            <w:r w:rsidRPr="001676F2">
              <w:rPr>
                <w:rFonts w:cs="Arial"/>
                <w:sz w:val="20"/>
                <w:szCs w:val="20"/>
              </w:rPr>
              <w:t xml:space="preserve">Parent assembly (1x1 hour) involving child performances </w:t>
            </w:r>
          </w:p>
        </w:tc>
        <w:tc>
          <w:tcPr>
            <w:tcW w:w="2813" w:type="dxa"/>
            <w:tcBorders>
              <w:top w:val="single" w:sz="4" w:space="0" w:color="auto"/>
              <w:left w:val="single" w:sz="4" w:space="0" w:color="auto"/>
              <w:bottom w:val="single" w:sz="4" w:space="0" w:color="auto"/>
              <w:right w:val="single" w:sz="4" w:space="0" w:color="auto"/>
            </w:tcBorders>
          </w:tcPr>
          <w:p w14:paraId="03C409FC" w14:textId="77777777" w:rsidR="004E0D59" w:rsidRPr="001676F2" w:rsidRDefault="004E0D59" w:rsidP="00EC3EB4">
            <w:pPr>
              <w:adjustRightInd w:val="0"/>
              <w:snapToGrid w:val="0"/>
              <w:spacing w:line="240" w:lineRule="auto"/>
              <w:rPr>
                <w:rFonts w:eastAsia="Times New Roman" w:cs="Arial"/>
                <w:sz w:val="20"/>
                <w:szCs w:val="20"/>
                <w:lang w:val="en-US" w:eastAsia="de-DE"/>
              </w:rPr>
            </w:pPr>
            <w:r w:rsidRPr="001676F2">
              <w:rPr>
                <w:rFonts w:cs="Arial"/>
                <w:sz w:val="20"/>
                <w:szCs w:val="20"/>
              </w:rPr>
              <w:t>HeLP Coordinators</w:t>
            </w:r>
          </w:p>
          <w:p w14:paraId="12BFA7DF" w14:textId="77777777" w:rsidR="004E0D59" w:rsidRPr="001676F2" w:rsidRDefault="004E0D59" w:rsidP="00EC3EB4">
            <w:pPr>
              <w:adjustRightInd w:val="0"/>
              <w:snapToGrid w:val="0"/>
              <w:spacing w:line="240" w:lineRule="auto"/>
              <w:rPr>
                <w:rFonts w:cs="Arial"/>
                <w:sz w:val="20"/>
                <w:szCs w:val="20"/>
              </w:rPr>
            </w:pPr>
            <w:r w:rsidRPr="001676F2">
              <w:rPr>
                <w:rFonts w:cs="Arial"/>
                <w:sz w:val="20"/>
                <w:szCs w:val="20"/>
              </w:rPr>
              <w:t>HeLP Coordinators</w:t>
            </w:r>
          </w:p>
          <w:p w14:paraId="5D97C6A4" w14:textId="77777777" w:rsidR="004E0D59" w:rsidRPr="001676F2" w:rsidRDefault="004E0D59" w:rsidP="00EC3EB4">
            <w:pPr>
              <w:adjustRightInd w:val="0"/>
              <w:snapToGrid w:val="0"/>
              <w:spacing w:line="240" w:lineRule="auto"/>
              <w:rPr>
                <w:rFonts w:cs="Arial"/>
                <w:sz w:val="20"/>
                <w:szCs w:val="20"/>
              </w:rPr>
            </w:pPr>
            <w:r w:rsidRPr="001676F2">
              <w:rPr>
                <w:rFonts w:cs="Arial"/>
                <w:sz w:val="20"/>
                <w:szCs w:val="20"/>
              </w:rPr>
              <w:t>Class teacher</w:t>
            </w:r>
          </w:p>
          <w:p w14:paraId="22AC5700" w14:textId="77777777" w:rsidR="004E0D59" w:rsidRPr="001676F2" w:rsidRDefault="004E0D59" w:rsidP="00EC3EB4">
            <w:pPr>
              <w:adjustRightInd w:val="0"/>
              <w:snapToGrid w:val="0"/>
              <w:spacing w:line="240" w:lineRule="auto"/>
              <w:rPr>
                <w:rFonts w:cs="Arial"/>
                <w:sz w:val="20"/>
                <w:szCs w:val="20"/>
              </w:rPr>
            </w:pPr>
            <w:r w:rsidRPr="001676F2">
              <w:rPr>
                <w:rFonts w:cs="Arial"/>
                <w:sz w:val="20"/>
                <w:szCs w:val="20"/>
              </w:rPr>
              <w:t>Professional sportsmen/dancers</w:t>
            </w:r>
          </w:p>
          <w:p w14:paraId="4892512C" w14:textId="77777777" w:rsidR="004E0D59" w:rsidRPr="001676F2" w:rsidRDefault="004E0D59" w:rsidP="00EC3EB4">
            <w:pPr>
              <w:adjustRightInd w:val="0"/>
              <w:snapToGrid w:val="0"/>
              <w:spacing w:line="240" w:lineRule="auto"/>
              <w:rPr>
                <w:rFonts w:cs="Arial"/>
                <w:sz w:val="20"/>
                <w:szCs w:val="20"/>
              </w:rPr>
            </w:pPr>
            <w:r w:rsidRPr="001676F2">
              <w:rPr>
                <w:rFonts w:cs="Arial"/>
                <w:sz w:val="20"/>
                <w:szCs w:val="20"/>
              </w:rPr>
              <w:t>Class teachers/ HeLP Coordinator /Drama group</w:t>
            </w:r>
          </w:p>
        </w:tc>
      </w:tr>
      <w:tr w:rsidR="004E0D59" w:rsidRPr="004E0D59" w14:paraId="025B8AC2" w14:textId="77777777" w:rsidTr="008F1809">
        <w:tc>
          <w:tcPr>
            <w:tcW w:w="1453" w:type="dxa"/>
            <w:tcBorders>
              <w:top w:val="single" w:sz="4" w:space="0" w:color="auto"/>
              <w:left w:val="single" w:sz="4" w:space="0" w:color="auto"/>
              <w:bottom w:val="single" w:sz="4" w:space="0" w:color="auto"/>
              <w:right w:val="single" w:sz="4" w:space="0" w:color="auto"/>
            </w:tcBorders>
          </w:tcPr>
          <w:p w14:paraId="459120BA" w14:textId="77777777" w:rsidR="004E0D59" w:rsidRPr="001676F2" w:rsidRDefault="004E0D59" w:rsidP="00EC3EB4">
            <w:pPr>
              <w:adjustRightInd w:val="0"/>
              <w:snapToGrid w:val="0"/>
              <w:spacing w:line="240" w:lineRule="auto"/>
              <w:rPr>
                <w:rFonts w:eastAsia="Times New Roman" w:cs="Arial"/>
                <w:b/>
                <w:sz w:val="20"/>
                <w:szCs w:val="20"/>
                <w:lang w:val="en-US" w:eastAsia="de-DE"/>
              </w:rPr>
            </w:pPr>
            <w:r w:rsidRPr="001676F2">
              <w:rPr>
                <w:rFonts w:cs="Arial"/>
                <w:b/>
                <w:sz w:val="20"/>
                <w:szCs w:val="20"/>
              </w:rPr>
              <w:t>Phase 2</w:t>
            </w:r>
          </w:p>
          <w:p w14:paraId="6BA15B48" w14:textId="77777777" w:rsidR="004E0D59" w:rsidRPr="001676F2" w:rsidRDefault="004E0D59" w:rsidP="00EC3EB4">
            <w:pPr>
              <w:adjustRightInd w:val="0"/>
              <w:snapToGrid w:val="0"/>
              <w:spacing w:line="240" w:lineRule="auto"/>
              <w:rPr>
                <w:rFonts w:cs="Arial"/>
                <w:sz w:val="20"/>
                <w:szCs w:val="20"/>
              </w:rPr>
            </w:pPr>
            <w:r w:rsidRPr="001676F2">
              <w:rPr>
                <w:rFonts w:cs="Arial"/>
                <w:b/>
                <w:sz w:val="20"/>
                <w:szCs w:val="20"/>
              </w:rPr>
              <w:t xml:space="preserve">Intensive Healthy Lifestyles Week – </w:t>
            </w:r>
            <w:r w:rsidRPr="001676F2">
              <w:rPr>
                <w:rFonts w:cs="Arial"/>
                <w:sz w:val="20"/>
                <w:szCs w:val="20"/>
              </w:rPr>
              <w:t xml:space="preserve">one week </w:t>
            </w:r>
          </w:p>
          <w:p w14:paraId="2837BF96" w14:textId="77777777" w:rsidR="004E0D59" w:rsidRPr="001676F2" w:rsidRDefault="00AC5E07" w:rsidP="00AC5E07">
            <w:pPr>
              <w:adjustRightInd w:val="0"/>
              <w:snapToGrid w:val="0"/>
              <w:spacing w:line="240" w:lineRule="auto"/>
              <w:rPr>
                <w:rFonts w:cs="Arial"/>
                <w:sz w:val="20"/>
                <w:szCs w:val="20"/>
              </w:rPr>
            </w:pPr>
            <w:r w:rsidRPr="001676F2">
              <w:rPr>
                <w:rFonts w:cs="Arial"/>
                <w:sz w:val="20"/>
                <w:szCs w:val="20"/>
              </w:rPr>
              <w:t xml:space="preserve">Summer term (Yr 5) </w:t>
            </w:r>
            <w:r w:rsidR="004E0D59" w:rsidRPr="001676F2">
              <w:rPr>
                <w:rFonts w:cs="Arial"/>
                <w:sz w:val="20"/>
                <w:szCs w:val="20"/>
              </w:rPr>
              <w:t>April-June</w:t>
            </w:r>
          </w:p>
        </w:tc>
        <w:tc>
          <w:tcPr>
            <w:tcW w:w="2310" w:type="dxa"/>
            <w:tcBorders>
              <w:top w:val="single" w:sz="4" w:space="0" w:color="auto"/>
              <w:left w:val="single" w:sz="4" w:space="0" w:color="auto"/>
              <w:bottom w:val="single" w:sz="4" w:space="0" w:color="auto"/>
              <w:right w:val="single" w:sz="4" w:space="0" w:color="auto"/>
            </w:tcBorders>
            <w:hideMark/>
          </w:tcPr>
          <w:p w14:paraId="7DBD9CA7" w14:textId="77777777" w:rsidR="004E0D59" w:rsidRPr="001676F2" w:rsidRDefault="004E0D59" w:rsidP="00403B07">
            <w:pPr>
              <w:numPr>
                <w:ilvl w:val="0"/>
                <w:numId w:val="4"/>
              </w:numPr>
              <w:adjustRightInd w:val="0"/>
              <w:snapToGrid w:val="0"/>
              <w:spacing w:line="240" w:lineRule="auto"/>
              <w:contextualSpacing/>
              <w:rPr>
                <w:rFonts w:cs="Arial"/>
                <w:sz w:val="20"/>
                <w:szCs w:val="20"/>
              </w:rPr>
            </w:pPr>
            <w:r w:rsidRPr="001676F2">
              <w:rPr>
                <w:rFonts w:cs="Arial"/>
                <w:sz w:val="20"/>
                <w:szCs w:val="20"/>
              </w:rPr>
              <w:t>Strengthen relationships with schools, children and families</w:t>
            </w:r>
          </w:p>
          <w:p w14:paraId="6E2FB797" w14:textId="77777777" w:rsidR="004E0D59" w:rsidRPr="001676F2" w:rsidRDefault="004E0D59" w:rsidP="00403B07">
            <w:pPr>
              <w:numPr>
                <w:ilvl w:val="0"/>
                <w:numId w:val="4"/>
              </w:numPr>
              <w:adjustRightInd w:val="0"/>
              <w:snapToGrid w:val="0"/>
              <w:spacing w:line="240" w:lineRule="auto"/>
              <w:contextualSpacing/>
              <w:rPr>
                <w:rFonts w:cs="Arial"/>
                <w:sz w:val="20"/>
                <w:szCs w:val="20"/>
              </w:rPr>
            </w:pPr>
            <w:r w:rsidRPr="001676F2">
              <w:rPr>
                <w:rFonts w:cs="Arial"/>
                <w:sz w:val="20"/>
                <w:szCs w:val="20"/>
              </w:rPr>
              <w:t>Increase knowledge</w:t>
            </w:r>
          </w:p>
          <w:p w14:paraId="37A2FEB0" w14:textId="77777777" w:rsidR="004E0D59" w:rsidRPr="001676F2" w:rsidRDefault="004E0D59" w:rsidP="00403B07">
            <w:pPr>
              <w:numPr>
                <w:ilvl w:val="0"/>
                <w:numId w:val="4"/>
              </w:numPr>
              <w:adjustRightInd w:val="0"/>
              <w:snapToGrid w:val="0"/>
              <w:spacing w:line="240" w:lineRule="auto"/>
              <w:contextualSpacing/>
              <w:rPr>
                <w:rFonts w:cs="Arial"/>
                <w:sz w:val="20"/>
                <w:szCs w:val="20"/>
              </w:rPr>
            </w:pPr>
            <w:r w:rsidRPr="001676F2">
              <w:rPr>
                <w:rFonts w:cs="Arial"/>
                <w:sz w:val="20"/>
                <w:szCs w:val="20"/>
              </w:rPr>
              <w:t>Increase self-awareness</w:t>
            </w:r>
          </w:p>
          <w:p w14:paraId="03116FE5" w14:textId="77777777" w:rsidR="004E0D59" w:rsidRPr="001676F2" w:rsidRDefault="004E0D59" w:rsidP="00403B07">
            <w:pPr>
              <w:numPr>
                <w:ilvl w:val="0"/>
                <w:numId w:val="4"/>
              </w:numPr>
              <w:adjustRightInd w:val="0"/>
              <w:snapToGrid w:val="0"/>
              <w:spacing w:line="240" w:lineRule="auto"/>
              <w:contextualSpacing/>
              <w:rPr>
                <w:rFonts w:cs="Arial"/>
                <w:sz w:val="20"/>
                <w:szCs w:val="20"/>
              </w:rPr>
            </w:pPr>
            <w:r w:rsidRPr="001676F2">
              <w:rPr>
                <w:rFonts w:cs="Arial"/>
                <w:sz w:val="20"/>
                <w:szCs w:val="20"/>
              </w:rPr>
              <w:t>Increase self-efficacy</w:t>
            </w:r>
          </w:p>
          <w:p w14:paraId="4EFE6262" w14:textId="77777777" w:rsidR="004E0D59" w:rsidRPr="001676F2" w:rsidRDefault="004E0D59" w:rsidP="00403B07">
            <w:pPr>
              <w:numPr>
                <w:ilvl w:val="0"/>
                <w:numId w:val="4"/>
              </w:numPr>
              <w:adjustRightInd w:val="0"/>
              <w:snapToGrid w:val="0"/>
              <w:spacing w:line="240" w:lineRule="auto"/>
              <w:contextualSpacing/>
              <w:rPr>
                <w:rFonts w:cs="Arial"/>
                <w:sz w:val="20"/>
                <w:szCs w:val="20"/>
              </w:rPr>
            </w:pPr>
            <w:r w:rsidRPr="001676F2">
              <w:rPr>
                <w:rFonts w:cs="Arial"/>
                <w:sz w:val="20"/>
                <w:szCs w:val="20"/>
              </w:rPr>
              <w:t>Develop communication and problem solving skills</w:t>
            </w:r>
          </w:p>
          <w:p w14:paraId="10111A4E" w14:textId="77777777" w:rsidR="004E0D59" w:rsidRDefault="004E0D59" w:rsidP="00403B07">
            <w:pPr>
              <w:numPr>
                <w:ilvl w:val="0"/>
                <w:numId w:val="4"/>
              </w:numPr>
              <w:adjustRightInd w:val="0"/>
              <w:snapToGrid w:val="0"/>
              <w:spacing w:line="240" w:lineRule="auto"/>
              <w:contextualSpacing/>
              <w:rPr>
                <w:rFonts w:cs="Arial"/>
                <w:sz w:val="20"/>
                <w:szCs w:val="20"/>
              </w:rPr>
            </w:pPr>
            <w:r w:rsidRPr="001676F2">
              <w:rPr>
                <w:rFonts w:cs="Arial"/>
                <w:sz w:val="20"/>
                <w:szCs w:val="20"/>
              </w:rPr>
              <w:t xml:space="preserve">Increase social support (school, peer and family) </w:t>
            </w:r>
          </w:p>
          <w:p w14:paraId="7B2ADE80" w14:textId="77777777" w:rsidR="001676F2" w:rsidRDefault="001676F2" w:rsidP="001676F2">
            <w:pPr>
              <w:adjustRightInd w:val="0"/>
              <w:snapToGrid w:val="0"/>
              <w:spacing w:line="240" w:lineRule="auto"/>
              <w:contextualSpacing/>
              <w:rPr>
                <w:rFonts w:cs="Arial"/>
                <w:sz w:val="20"/>
                <w:szCs w:val="20"/>
              </w:rPr>
            </w:pPr>
          </w:p>
          <w:p w14:paraId="36A6CF3C" w14:textId="77777777" w:rsidR="001676F2" w:rsidRDefault="001676F2" w:rsidP="001676F2">
            <w:pPr>
              <w:adjustRightInd w:val="0"/>
              <w:snapToGrid w:val="0"/>
              <w:spacing w:line="240" w:lineRule="auto"/>
              <w:contextualSpacing/>
              <w:rPr>
                <w:rFonts w:cs="Arial"/>
                <w:sz w:val="20"/>
                <w:szCs w:val="20"/>
              </w:rPr>
            </w:pPr>
          </w:p>
          <w:p w14:paraId="3868F8A7" w14:textId="77777777" w:rsidR="001676F2" w:rsidRPr="001676F2" w:rsidRDefault="001676F2" w:rsidP="001676F2">
            <w:pPr>
              <w:adjustRightInd w:val="0"/>
              <w:snapToGrid w:val="0"/>
              <w:spacing w:line="240" w:lineRule="auto"/>
              <w:contextualSpacing/>
              <w:rPr>
                <w:rFonts w:cs="Arial"/>
                <w:sz w:val="20"/>
                <w:szCs w:val="20"/>
              </w:rPr>
            </w:pPr>
          </w:p>
        </w:tc>
        <w:tc>
          <w:tcPr>
            <w:tcW w:w="3679" w:type="dxa"/>
            <w:tcBorders>
              <w:top w:val="single" w:sz="4" w:space="0" w:color="auto"/>
              <w:left w:val="single" w:sz="4" w:space="0" w:color="auto"/>
              <w:bottom w:val="single" w:sz="4" w:space="0" w:color="auto"/>
              <w:right w:val="single" w:sz="4" w:space="0" w:color="auto"/>
            </w:tcBorders>
            <w:hideMark/>
          </w:tcPr>
          <w:p w14:paraId="2E17FFED" w14:textId="77777777" w:rsidR="004E0D59" w:rsidRPr="001676F2" w:rsidRDefault="004E0D59" w:rsidP="00403B07">
            <w:pPr>
              <w:numPr>
                <w:ilvl w:val="0"/>
                <w:numId w:val="5"/>
              </w:numPr>
              <w:autoSpaceDE w:val="0"/>
              <w:autoSpaceDN w:val="0"/>
              <w:adjustRightInd w:val="0"/>
              <w:snapToGrid w:val="0"/>
              <w:spacing w:line="240" w:lineRule="auto"/>
              <w:contextualSpacing/>
              <w:rPr>
                <w:rFonts w:cs="Arial"/>
                <w:sz w:val="20"/>
                <w:szCs w:val="20"/>
              </w:rPr>
            </w:pPr>
            <w:r w:rsidRPr="001676F2">
              <w:rPr>
                <w:rFonts w:cs="Arial"/>
                <w:sz w:val="20"/>
                <w:szCs w:val="20"/>
              </w:rPr>
              <w:t>Provide information on health behaviour link</w:t>
            </w:r>
          </w:p>
          <w:p w14:paraId="69C1F818" w14:textId="77777777" w:rsidR="004E0D59" w:rsidRPr="001676F2" w:rsidRDefault="004E0D59" w:rsidP="00403B07">
            <w:pPr>
              <w:numPr>
                <w:ilvl w:val="0"/>
                <w:numId w:val="5"/>
              </w:numPr>
              <w:autoSpaceDE w:val="0"/>
              <w:autoSpaceDN w:val="0"/>
              <w:adjustRightInd w:val="0"/>
              <w:snapToGrid w:val="0"/>
              <w:spacing w:line="240" w:lineRule="auto"/>
              <w:contextualSpacing/>
              <w:rPr>
                <w:rFonts w:cs="Arial"/>
                <w:sz w:val="20"/>
                <w:szCs w:val="20"/>
              </w:rPr>
            </w:pPr>
            <w:r w:rsidRPr="001676F2">
              <w:rPr>
                <w:rFonts w:cs="Arial"/>
                <w:sz w:val="20"/>
                <w:szCs w:val="20"/>
              </w:rPr>
              <w:t xml:space="preserve">Problem solving/barrier identification </w:t>
            </w:r>
          </w:p>
          <w:p w14:paraId="5157981E" w14:textId="77777777" w:rsidR="004E0D59" w:rsidRPr="001676F2" w:rsidRDefault="004E0D59" w:rsidP="00403B07">
            <w:pPr>
              <w:numPr>
                <w:ilvl w:val="0"/>
                <w:numId w:val="5"/>
              </w:numPr>
              <w:autoSpaceDE w:val="0"/>
              <w:autoSpaceDN w:val="0"/>
              <w:adjustRightInd w:val="0"/>
              <w:snapToGrid w:val="0"/>
              <w:spacing w:line="240" w:lineRule="auto"/>
              <w:contextualSpacing/>
              <w:rPr>
                <w:rFonts w:cs="Arial"/>
                <w:sz w:val="20"/>
                <w:szCs w:val="20"/>
              </w:rPr>
            </w:pPr>
            <w:r w:rsidRPr="001676F2">
              <w:rPr>
                <w:rFonts w:cs="Arial"/>
                <w:sz w:val="20"/>
                <w:szCs w:val="20"/>
              </w:rPr>
              <w:t>Modelling/demonstrating behaviour</w:t>
            </w:r>
          </w:p>
          <w:p w14:paraId="2873AA37" w14:textId="77777777" w:rsidR="004E0D59" w:rsidRPr="001676F2" w:rsidRDefault="004E0D59" w:rsidP="00403B07">
            <w:pPr>
              <w:numPr>
                <w:ilvl w:val="0"/>
                <w:numId w:val="5"/>
              </w:numPr>
              <w:autoSpaceDE w:val="0"/>
              <w:autoSpaceDN w:val="0"/>
              <w:adjustRightInd w:val="0"/>
              <w:snapToGrid w:val="0"/>
              <w:spacing w:line="240" w:lineRule="auto"/>
              <w:contextualSpacing/>
              <w:rPr>
                <w:rFonts w:cs="Arial"/>
                <w:sz w:val="20"/>
                <w:szCs w:val="20"/>
              </w:rPr>
            </w:pPr>
            <w:r w:rsidRPr="001676F2">
              <w:rPr>
                <w:rFonts w:cs="Arial"/>
                <w:sz w:val="20"/>
                <w:szCs w:val="20"/>
              </w:rPr>
              <w:t xml:space="preserve">Prompt identification as a role model </w:t>
            </w:r>
          </w:p>
          <w:p w14:paraId="7855C85C" w14:textId="77777777" w:rsidR="004E0D59" w:rsidRPr="001676F2" w:rsidRDefault="004E0D59" w:rsidP="00403B07">
            <w:pPr>
              <w:numPr>
                <w:ilvl w:val="0"/>
                <w:numId w:val="5"/>
              </w:numPr>
              <w:autoSpaceDE w:val="0"/>
              <w:autoSpaceDN w:val="0"/>
              <w:adjustRightInd w:val="0"/>
              <w:snapToGrid w:val="0"/>
              <w:spacing w:line="240" w:lineRule="auto"/>
              <w:contextualSpacing/>
              <w:rPr>
                <w:rFonts w:cs="Arial"/>
                <w:sz w:val="20"/>
                <w:szCs w:val="20"/>
              </w:rPr>
            </w:pPr>
            <w:r w:rsidRPr="001676F2">
              <w:rPr>
                <w:rFonts w:cs="Arial"/>
                <w:sz w:val="20"/>
                <w:szCs w:val="20"/>
              </w:rPr>
              <w:t>Communication skills training</w:t>
            </w:r>
          </w:p>
          <w:p w14:paraId="0DF45D19" w14:textId="77777777" w:rsidR="004E0D59" w:rsidRPr="001676F2" w:rsidRDefault="004E0D59" w:rsidP="00403B07">
            <w:pPr>
              <w:numPr>
                <w:ilvl w:val="0"/>
                <w:numId w:val="5"/>
              </w:numPr>
              <w:autoSpaceDE w:val="0"/>
              <w:autoSpaceDN w:val="0"/>
              <w:adjustRightInd w:val="0"/>
              <w:snapToGrid w:val="0"/>
              <w:spacing w:line="240" w:lineRule="auto"/>
              <w:contextualSpacing/>
              <w:rPr>
                <w:rFonts w:cs="Arial"/>
                <w:sz w:val="20"/>
                <w:szCs w:val="20"/>
              </w:rPr>
            </w:pPr>
            <w:r w:rsidRPr="001676F2">
              <w:rPr>
                <w:rFonts w:cs="Arial"/>
                <w:sz w:val="20"/>
                <w:szCs w:val="20"/>
              </w:rPr>
              <w:t>Teach to use prompts/cues</w:t>
            </w:r>
          </w:p>
        </w:tc>
        <w:tc>
          <w:tcPr>
            <w:tcW w:w="4062" w:type="dxa"/>
            <w:tcBorders>
              <w:top w:val="single" w:sz="4" w:space="0" w:color="auto"/>
              <w:left w:val="single" w:sz="4" w:space="0" w:color="auto"/>
              <w:bottom w:val="single" w:sz="4" w:space="0" w:color="auto"/>
              <w:right w:val="single" w:sz="4" w:space="0" w:color="auto"/>
            </w:tcBorders>
          </w:tcPr>
          <w:p w14:paraId="72A43C4E" w14:textId="77777777" w:rsidR="004E0D59" w:rsidRPr="001676F2" w:rsidRDefault="004E0D59" w:rsidP="00EC3EB4">
            <w:pPr>
              <w:adjustRightInd w:val="0"/>
              <w:snapToGrid w:val="0"/>
              <w:spacing w:line="240" w:lineRule="auto"/>
              <w:rPr>
                <w:rFonts w:eastAsia="Times New Roman" w:cs="Arial"/>
                <w:sz w:val="20"/>
                <w:szCs w:val="20"/>
                <w:lang w:val="en-US" w:eastAsia="de-DE"/>
              </w:rPr>
            </w:pPr>
            <w:r w:rsidRPr="001676F2">
              <w:rPr>
                <w:rFonts w:cs="Arial"/>
                <w:sz w:val="20"/>
                <w:szCs w:val="20"/>
              </w:rPr>
              <w:t>Education lessons (5x1 hour) (morning)</w:t>
            </w:r>
          </w:p>
          <w:p w14:paraId="21AA6D54" w14:textId="77777777" w:rsidR="004E0D59" w:rsidRPr="001676F2" w:rsidRDefault="004E0D59" w:rsidP="00EC3EB4">
            <w:pPr>
              <w:adjustRightInd w:val="0"/>
              <w:snapToGrid w:val="0"/>
              <w:spacing w:line="240" w:lineRule="auto"/>
              <w:rPr>
                <w:rFonts w:cs="Arial"/>
                <w:sz w:val="20"/>
                <w:szCs w:val="20"/>
              </w:rPr>
            </w:pPr>
            <w:r w:rsidRPr="001676F2">
              <w:rPr>
                <w:rFonts w:cs="Arial"/>
                <w:sz w:val="20"/>
                <w:szCs w:val="20"/>
              </w:rPr>
              <w:t xml:space="preserve">Drama (5x2 hours) (afternoon) </w:t>
            </w:r>
          </w:p>
          <w:p w14:paraId="2231060F" w14:textId="77777777" w:rsidR="004E0D59" w:rsidRPr="001676F2" w:rsidRDefault="004E0D59" w:rsidP="00EC3EB4">
            <w:pPr>
              <w:adjustRightInd w:val="0"/>
              <w:snapToGrid w:val="0"/>
              <w:spacing w:line="240" w:lineRule="auto"/>
              <w:rPr>
                <w:rFonts w:cs="Arial"/>
                <w:sz w:val="20"/>
                <w:szCs w:val="20"/>
              </w:rPr>
            </w:pPr>
            <w:r w:rsidRPr="001676F2">
              <w:rPr>
                <w:rFonts w:cs="Arial"/>
                <w:sz w:val="20"/>
                <w:szCs w:val="20"/>
              </w:rPr>
              <w:t>(forum theatre; role play; food tasting, discussions, games, etc)</w:t>
            </w:r>
            <w:r w:rsidR="00AC5E07" w:rsidRPr="001676F2">
              <w:rPr>
                <w:rFonts w:cs="Arial"/>
                <w:sz w:val="20"/>
                <w:szCs w:val="20"/>
              </w:rPr>
              <w:t>.</w:t>
            </w:r>
          </w:p>
          <w:p w14:paraId="4DC23F6C" w14:textId="77777777" w:rsidR="004E0D59" w:rsidRPr="001676F2" w:rsidRDefault="004E0D59" w:rsidP="00EC3EB4">
            <w:pPr>
              <w:adjustRightInd w:val="0"/>
              <w:snapToGrid w:val="0"/>
              <w:spacing w:line="240" w:lineRule="auto"/>
              <w:jc w:val="both"/>
              <w:rPr>
                <w:rFonts w:eastAsia="Times New Roman" w:cs="Arial"/>
                <w:sz w:val="20"/>
                <w:szCs w:val="20"/>
                <w:lang w:val="en-US" w:eastAsia="de-DE"/>
              </w:rPr>
            </w:pPr>
          </w:p>
        </w:tc>
        <w:tc>
          <w:tcPr>
            <w:tcW w:w="2813" w:type="dxa"/>
            <w:tcBorders>
              <w:top w:val="single" w:sz="4" w:space="0" w:color="auto"/>
              <w:left w:val="single" w:sz="4" w:space="0" w:color="auto"/>
              <w:bottom w:val="single" w:sz="4" w:space="0" w:color="auto"/>
              <w:right w:val="single" w:sz="4" w:space="0" w:color="auto"/>
            </w:tcBorders>
          </w:tcPr>
          <w:p w14:paraId="3007E123" w14:textId="77777777" w:rsidR="004E0D59" w:rsidRPr="001676F2" w:rsidRDefault="004E0D59" w:rsidP="00EC3EB4">
            <w:pPr>
              <w:adjustRightInd w:val="0"/>
              <w:snapToGrid w:val="0"/>
              <w:spacing w:line="240" w:lineRule="auto"/>
              <w:rPr>
                <w:rFonts w:eastAsia="Times New Roman" w:cs="Arial"/>
                <w:sz w:val="20"/>
                <w:szCs w:val="20"/>
                <w:lang w:val="en-US" w:eastAsia="de-DE"/>
              </w:rPr>
            </w:pPr>
            <w:r w:rsidRPr="001676F2">
              <w:rPr>
                <w:rFonts w:cs="Arial"/>
                <w:sz w:val="20"/>
                <w:szCs w:val="20"/>
              </w:rPr>
              <w:t>Class teacher</w:t>
            </w:r>
          </w:p>
          <w:p w14:paraId="3954B975" w14:textId="77777777" w:rsidR="004E0D59" w:rsidRPr="001676F2" w:rsidRDefault="004E0D59" w:rsidP="00EC3EB4">
            <w:pPr>
              <w:adjustRightInd w:val="0"/>
              <w:snapToGrid w:val="0"/>
              <w:spacing w:line="240" w:lineRule="auto"/>
              <w:jc w:val="both"/>
              <w:rPr>
                <w:rFonts w:eastAsia="Times New Roman" w:cs="Arial"/>
                <w:sz w:val="20"/>
                <w:szCs w:val="20"/>
                <w:lang w:val="en-US" w:eastAsia="de-DE"/>
              </w:rPr>
            </w:pPr>
            <w:r w:rsidRPr="001676F2">
              <w:rPr>
                <w:rFonts w:cs="Arial"/>
                <w:sz w:val="20"/>
                <w:szCs w:val="20"/>
              </w:rPr>
              <w:t>Drama group</w:t>
            </w:r>
          </w:p>
        </w:tc>
      </w:tr>
    </w:tbl>
    <w:p w14:paraId="5715A636" w14:textId="5854B189" w:rsidR="008F1809" w:rsidRPr="004621E9" w:rsidRDefault="008F1809" w:rsidP="008F1809">
      <w:pPr>
        <w:spacing w:line="360" w:lineRule="auto"/>
        <w:rPr>
          <w:rFonts w:cs="Arial"/>
          <w:b/>
        </w:rPr>
      </w:pPr>
      <w:r>
        <w:br w:type="page"/>
      </w:r>
      <w:r w:rsidRPr="004621E9">
        <w:rPr>
          <w:rFonts w:cs="Arial"/>
          <w:b/>
        </w:rPr>
        <w:lastRenderedPageBreak/>
        <w:t>T</w:t>
      </w:r>
      <w:r w:rsidR="004621E9" w:rsidRPr="004621E9">
        <w:rPr>
          <w:rFonts w:cs="Arial"/>
          <w:b/>
        </w:rPr>
        <w:t xml:space="preserve">ABLE </w:t>
      </w:r>
      <w:r w:rsidR="00BA12B1">
        <w:rPr>
          <w:rFonts w:cs="Arial"/>
          <w:b/>
        </w:rPr>
        <w:t>3</w:t>
      </w:r>
      <w:r w:rsidRPr="004621E9">
        <w:rPr>
          <w:rFonts w:cs="Arial"/>
          <w:b/>
        </w:rPr>
        <w:t xml:space="preserve"> Intervention phases 3 and 4, function, behaviour change techniques (BCTs), delivery methods and personnel</w:t>
      </w:r>
    </w:p>
    <w:p w14:paraId="32D601F3" w14:textId="77777777" w:rsidR="008F1809" w:rsidRDefault="008F1809"/>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53"/>
        <w:gridCol w:w="2310"/>
        <w:gridCol w:w="3679"/>
        <w:gridCol w:w="4062"/>
        <w:gridCol w:w="2813"/>
      </w:tblGrid>
      <w:tr w:rsidR="001676F2" w:rsidRPr="004E0D59" w14:paraId="7EB9A74F" w14:textId="77777777" w:rsidTr="008F1809">
        <w:tc>
          <w:tcPr>
            <w:tcW w:w="1453" w:type="dxa"/>
            <w:tcBorders>
              <w:top w:val="single" w:sz="4" w:space="0" w:color="auto"/>
              <w:left w:val="single" w:sz="4" w:space="0" w:color="auto"/>
              <w:bottom w:val="single" w:sz="4" w:space="0" w:color="auto"/>
              <w:right w:val="single" w:sz="4" w:space="0" w:color="auto"/>
            </w:tcBorders>
          </w:tcPr>
          <w:p w14:paraId="0CE6F25F" w14:textId="6C953318" w:rsidR="001676F2" w:rsidRPr="00006D09" w:rsidRDefault="001676F2" w:rsidP="00EC3EB4">
            <w:pPr>
              <w:adjustRightInd w:val="0"/>
              <w:snapToGrid w:val="0"/>
              <w:spacing w:line="240" w:lineRule="auto"/>
              <w:rPr>
                <w:rFonts w:cs="Arial"/>
                <w:b/>
                <w:sz w:val="20"/>
                <w:szCs w:val="20"/>
              </w:rPr>
            </w:pPr>
            <w:r w:rsidRPr="00006D09">
              <w:rPr>
                <w:rFonts w:cs="Arial"/>
                <w:b/>
                <w:sz w:val="20"/>
                <w:szCs w:val="20"/>
              </w:rPr>
              <w:t>Phase</w:t>
            </w:r>
          </w:p>
        </w:tc>
        <w:tc>
          <w:tcPr>
            <w:tcW w:w="2310" w:type="dxa"/>
            <w:tcBorders>
              <w:top w:val="single" w:sz="4" w:space="0" w:color="auto"/>
              <w:left w:val="single" w:sz="4" w:space="0" w:color="auto"/>
              <w:bottom w:val="single" w:sz="4" w:space="0" w:color="auto"/>
              <w:right w:val="single" w:sz="4" w:space="0" w:color="auto"/>
            </w:tcBorders>
          </w:tcPr>
          <w:p w14:paraId="12ECDB57" w14:textId="77777777" w:rsidR="001676F2" w:rsidRPr="00006D09" w:rsidRDefault="001676F2" w:rsidP="001676F2">
            <w:pPr>
              <w:adjustRightInd w:val="0"/>
              <w:snapToGrid w:val="0"/>
              <w:spacing w:line="240" w:lineRule="auto"/>
              <w:ind w:left="360"/>
              <w:contextualSpacing/>
              <w:rPr>
                <w:rFonts w:cs="Arial"/>
                <w:b/>
                <w:sz w:val="20"/>
                <w:szCs w:val="20"/>
              </w:rPr>
            </w:pPr>
            <w:r w:rsidRPr="00006D09">
              <w:rPr>
                <w:rFonts w:cs="Arial"/>
                <w:b/>
                <w:sz w:val="20"/>
                <w:szCs w:val="20"/>
              </w:rPr>
              <w:t>Function</w:t>
            </w:r>
          </w:p>
        </w:tc>
        <w:tc>
          <w:tcPr>
            <w:tcW w:w="3679" w:type="dxa"/>
            <w:tcBorders>
              <w:top w:val="single" w:sz="4" w:space="0" w:color="auto"/>
              <w:left w:val="single" w:sz="4" w:space="0" w:color="auto"/>
              <w:bottom w:val="single" w:sz="4" w:space="0" w:color="auto"/>
              <w:right w:val="single" w:sz="4" w:space="0" w:color="auto"/>
            </w:tcBorders>
          </w:tcPr>
          <w:p w14:paraId="23A76540" w14:textId="77777777" w:rsidR="001676F2" w:rsidRPr="00006D09" w:rsidRDefault="001676F2" w:rsidP="001676F2">
            <w:pPr>
              <w:autoSpaceDE w:val="0"/>
              <w:autoSpaceDN w:val="0"/>
              <w:adjustRightInd w:val="0"/>
              <w:snapToGrid w:val="0"/>
              <w:spacing w:line="240" w:lineRule="auto"/>
              <w:ind w:left="720"/>
              <w:contextualSpacing/>
              <w:rPr>
                <w:rFonts w:cs="Arial"/>
                <w:b/>
                <w:sz w:val="20"/>
                <w:szCs w:val="20"/>
              </w:rPr>
            </w:pPr>
            <w:r w:rsidRPr="00006D09">
              <w:rPr>
                <w:rFonts w:cs="Arial"/>
                <w:b/>
                <w:sz w:val="20"/>
                <w:szCs w:val="20"/>
              </w:rPr>
              <w:t>Behaviour Change techniques (BCTs)</w:t>
            </w:r>
          </w:p>
        </w:tc>
        <w:tc>
          <w:tcPr>
            <w:tcW w:w="4062" w:type="dxa"/>
            <w:tcBorders>
              <w:top w:val="single" w:sz="4" w:space="0" w:color="auto"/>
              <w:left w:val="single" w:sz="4" w:space="0" w:color="auto"/>
              <w:bottom w:val="single" w:sz="4" w:space="0" w:color="auto"/>
              <w:right w:val="single" w:sz="4" w:space="0" w:color="auto"/>
            </w:tcBorders>
          </w:tcPr>
          <w:p w14:paraId="67E40BDF" w14:textId="77777777" w:rsidR="001676F2" w:rsidRPr="001676F2" w:rsidRDefault="001676F2" w:rsidP="00EC3EB4">
            <w:pPr>
              <w:adjustRightInd w:val="0"/>
              <w:snapToGrid w:val="0"/>
              <w:spacing w:line="240" w:lineRule="auto"/>
              <w:rPr>
                <w:rFonts w:cs="Arial"/>
                <w:sz w:val="20"/>
                <w:szCs w:val="20"/>
                <w:lang w:val="fr-FR"/>
              </w:rPr>
            </w:pPr>
            <w:r w:rsidRPr="001676F2">
              <w:rPr>
                <w:rFonts w:cs="Arial"/>
                <w:b/>
                <w:sz w:val="20"/>
                <w:szCs w:val="20"/>
              </w:rPr>
              <w:t>Component (Frequency and Duration)</w:t>
            </w:r>
          </w:p>
        </w:tc>
        <w:tc>
          <w:tcPr>
            <w:tcW w:w="2813" w:type="dxa"/>
            <w:tcBorders>
              <w:top w:val="single" w:sz="4" w:space="0" w:color="auto"/>
              <w:left w:val="single" w:sz="4" w:space="0" w:color="auto"/>
              <w:bottom w:val="single" w:sz="4" w:space="0" w:color="auto"/>
              <w:right w:val="single" w:sz="4" w:space="0" w:color="auto"/>
            </w:tcBorders>
          </w:tcPr>
          <w:p w14:paraId="32A85460" w14:textId="77777777" w:rsidR="001676F2" w:rsidRPr="001676F2" w:rsidRDefault="001676F2" w:rsidP="00EC3EB4">
            <w:pPr>
              <w:adjustRightInd w:val="0"/>
              <w:snapToGrid w:val="0"/>
              <w:spacing w:line="240" w:lineRule="auto"/>
              <w:rPr>
                <w:rFonts w:cs="Arial"/>
                <w:sz w:val="20"/>
                <w:szCs w:val="20"/>
              </w:rPr>
            </w:pPr>
            <w:r>
              <w:rPr>
                <w:rFonts w:cs="Arial"/>
                <w:b/>
                <w:sz w:val="20"/>
                <w:szCs w:val="20"/>
              </w:rPr>
              <w:t>D</w:t>
            </w:r>
            <w:r w:rsidRPr="001676F2">
              <w:rPr>
                <w:rFonts w:cs="Arial"/>
                <w:b/>
                <w:sz w:val="20"/>
                <w:szCs w:val="20"/>
              </w:rPr>
              <w:t>elivery</w:t>
            </w:r>
            <w:r>
              <w:rPr>
                <w:rFonts w:cs="Arial"/>
                <w:b/>
                <w:sz w:val="20"/>
                <w:szCs w:val="20"/>
              </w:rPr>
              <w:t xml:space="preserve"> personnel</w:t>
            </w:r>
          </w:p>
        </w:tc>
      </w:tr>
      <w:tr w:rsidR="004E0D59" w:rsidRPr="004E0D59" w14:paraId="14B63961" w14:textId="77777777" w:rsidTr="008F1809">
        <w:tc>
          <w:tcPr>
            <w:tcW w:w="1453" w:type="dxa"/>
            <w:tcBorders>
              <w:top w:val="single" w:sz="4" w:space="0" w:color="auto"/>
              <w:left w:val="single" w:sz="4" w:space="0" w:color="auto"/>
              <w:bottom w:val="single" w:sz="4" w:space="0" w:color="auto"/>
              <w:right w:val="single" w:sz="4" w:space="0" w:color="auto"/>
            </w:tcBorders>
          </w:tcPr>
          <w:p w14:paraId="335489FF" w14:textId="77777777" w:rsidR="004E0D59" w:rsidRPr="001676F2" w:rsidRDefault="004E0D59" w:rsidP="00EC3EB4">
            <w:pPr>
              <w:adjustRightInd w:val="0"/>
              <w:snapToGrid w:val="0"/>
              <w:spacing w:line="240" w:lineRule="auto"/>
              <w:rPr>
                <w:rFonts w:eastAsia="Times New Roman" w:cs="Arial"/>
                <w:b/>
                <w:sz w:val="20"/>
                <w:szCs w:val="20"/>
                <w:lang w:val="en-US" w:eastAsia="de-DE"/>
              </w:rPr>
            </w:pPr>
            <w:r w:rsidRPr="001676F2">
              <w:rPr>
                <w:rFonts w:cs="Arial"/>
                <w:b/>
                <w:sz w:val="20"/>
                <w:szCs w:val="20"/>
              </w:rPr>
              <w:t xml:space="preserve">Phase 3 </w:t>
            </w:r>
          </w:p>
          <w:p w14:paraId="4D3EBEB2" w14:textId="77777777" w:rsidR="004E0D59" w:rsidRPr="001676F2" w:rsidRDefault="004E0D59" w:rsidP="00EC3EB4">
            <w:pPr>
              <w:adjustRightInd w:val="0"/>
              <w:snapToGrid w:val="0"/>
              <w:spacing w:line="240" w:lineRule="auto"/>
              <w:rPr>
                <w:rFonts w:cs="Arial"/>
                <w:b/>
                <w:sz w:val="20"/>
                <w:szCs w:val="20"/>
              </w:rPr>
            </w:pPr>
            <w:r w:rsidRPr="001676F2">
              <w:rPr>
                <w:rFonts w:cs="Arial"/>
                <w:b/>
                <w:sz w:val="20"/>
                <w:szCs w:val="20"/>
              </w:rPr>
              <w:t xml:space="preserve">Personal Goal Setting with Parental Support- </w:t>
            </w:r>
          </w:p>
          <w:p w14:paraId="7B26A24E" w14:textId="77777777" w:rsidR="004E0D59" w:rsidRPr="001676F2" w:rsidRDefault="00AC5E07" w:rsidP="00AC5E07">
            <w:pPr>
              <w:adjustRightInd w:val="0"/>
              <w:snapToGrid w:val="0"/>
              <w:spacing w:line="240" w:lineRule="auto"/>
              <w:rPr>
                <w:rFonts w:cs="Arial"/>
                <w:sz w:val="20"/>
                <w:szCs w:val="20"/>
              </w:rPr>
            </w:pPr>
            <w:r w:rsidRPr="001676F2">
              <w:rPr>
                <w:rFonts w:cs="Arial"/>
                <w:sz w:val="20"/>
                <w:szCs w:val="20"/>
              </w:rPr>
              <w:t xml:space="preserve">Summer term (Yr 5) </w:t>
            </w:r>
            <w:r w:rsidR="004E0D59" w:rsidRPr="001676F2">
              <w:rPr>
                <w:rFonts w:cs="Arial"/>
                <w:sz w:val="20"/>
                <w:szCs w:val="20"/>
              </w:rPr>
              <w:t>June-July</w:t>
            </w:r>
          </w:p>
        </w:tc>
        <w:tc>
          <w:tcPr>
            <w:tcW w:w="2310" w:type="dxa"/>
            <w:tcBorders>
              <w:top w:val="single" w:sz="4" w:space="0" w:color="auto"/>
              <w:left w:val="single" w:sz="4" w:space="0" w:color="auto"/>
              <w:bottom w:val="single" w:sz="4" w:space="0" w:color="auto"/>
              <w:right w:val="single" w:sz="4" w:space="0" w:color="auto"/>
            </w:tcBorders>
            <w:hideMark/>
          </w:tcPr>
          <w:p w14:paraId="142D7CE8" w14:textId="77777777" w:rsidR="004E0D59" w:rsidRPr="001676F2" w:rsidRDefault="004E0D59" w:rsidP="00403B07">
            <w:pPr>
              <w:numPr>
                <w:ilvl w:val="0"/>
                <w:numId w:val="6"/>
              </w:numPr>
              <w:adjustRightInd w:val="0"/>
              <w:snapToGrid w:val="0"/>
              <w:spacing w:line="240" w:lineRule="auto"/>
              <w:contextualSpacing/>
              <w:rPr>
                <w:rFonts w:cs="Arial"/>
                <w:sz w:val="20"/>
                <w:szCs w:val="20"/>
              </w:rPr>
            </w:pPr>
            <w:r w:rsidRPr="001676F2">
              <w:rPr>
                <w:rFonts w:cs="Arial"/>
                <w:sz w:val="20"/>
                <w:szCs w:val="20"/>
              </w:rPr>
              <w:t xml:space="preserve">Increase awareness of own behaviour </w:t>
            </w:r>
          </w:p>
          <w:p w14:paraId="301D796B" w14:textId="77777777" w:rsidR="004E0D59" w:rsidRPr="001676F2" w:rsidRDefault="004E0D59" w:rsidP="00403B07">
            <w:pPr>
              <w:numPr>
                <w:ilvl w:val="0"/>
                <w:numId w:val="6"/>
              </w:numPr>
              <w:adjustRightInd w:val="0"/>
              <w:snapToGrid w:val="0"/>
              <w:spacing w:line="240" w:lineRule="auto"/>
              <w:contextualSpacing/>
              <w:rPr>
                <w:rFonts w:cs="Arial"/>
                <w:sz w:val="20"/>
                <w:szCs w:val="20"/>
              </w:rPr>
            </w:pPr>
            <w:r w:rsidRPr="001676F2">
              <w:rPr>
                <w:rFonts w:cs="Arial"/>
                <w:sz w:val="20"/>
                <w:szCs w:val="20"/>
              </w:rPr>
              <w:t>Increase self-efficacy for change</w:t>
            </w:r>
          </w:p>
          <w:p w14:paraId="75C7CCFE" w14:textId="77777777" w:rsidR="004E0D59" w:rsidRPr="001676F2" w:rsidRDefault="004E0D59" w:rsidP="00403B07">
            <w:pPr>
              <w:numPr>
                <w:ilvl w:val="0"/>
                <w:numId w:val="6"/>
              </w:numPr>
              <w:adjustRightInd w:val="0"/>
              <w:snapToGrid w:val="0"/>
              <w:spacing w:line="240" w:lineRule="auto"/>
              <w:contextualSpacing/>
              <w:rPr>
                <w:rFonts w:cs="Arial"/>
                <w:sz w:val="20"/>
                <w:szCs w:val="20"/>
              </w:rPr>
            </w:pPr>
            <w:r w:rsidRPr="001676F2">
              <w:rPr>
                <w:rFonts w:cs="Arial"/>
                <w:sz w:val="20"/>
                <w:szCs w:val="20"/>
              </w:rPr>
              <w:t>Develop planning skills</w:t>
            </w:r>
          </w:p>
          <w:p w14:paraId="0D102549" w14:textId="77777777" w:rsidR="004E0D59" w:rsidRPr="001676F2" w:rsidRDefault="004E0D59" w:rsidP="00403B07">
            <w:pPr>
              <w:numPr>
                <w:ilvl w:val="0"/>
                <w:numId w:val="6"/>
              </w:numPr>
              <w:adjustRightInd w:val="0"/>
              <w:snapToGrid w:val="0"/>
              <w:spacing w:line="240" w:lineRule="auto"/>
              <w:contextualSpacing/>
              <w:rPr>
                <w:rFonts w:cs="Arial"/>
                <w:sz w:val="20"/>
                <w:szCs w:val="20"/>
              </w:rPr>
            </w:pPr>
            <w:r w:rsidRPr="001676F2">
              <w:rPr>
                <w:rFonts w:cs="Arial"/>
                <w:sz w:val="20"/>
                <w:szCs w:val="20"/>
              </w:rPr>
              <w:t>Increase parental support</w:t>
            </w:r>
          </w:p>
        </w:tc>
        <w:tc>
          <w:tcPr>
            <w:tcW w:w="3679" w:type="dxa"/>
            <w:tcBorders>
              <w:top w:val="single" w:sz="4" w:space="0" w:color="auto"/>
              <w:left w:val="single" w:sz="4" w:space="0" w:color="auto"/>
              <w:bottom w:val="single" w:sz="4" w:space="0" w:color="auto"/>
              <w:right w:val="single" w:sz="4" w:space="0" w:color="auto"/>
            </w:tcBorders>
            <w:hideMark/>
          </w:tcPr>
          <w:p w14:paraId="3F73227C" w14:textId="77777777" w:rsidR="004E0D59" w:rsidRPr="001676F2" w:rsidRDefault="004E0D59" w:rsidP="00403B07">
            <w:pPr>
              <w:numPr>
                <w:ilvl w:val="0"/>
                <w:numId w:val="7"/>
              </w:numPr>
              <w:autoSpaceDE w:val="0"/>
              <w:autoSpaceDN w:val="0"/>
              <w:adjustRightInd w:val="0"/>
              <w:snapToGrid w:val="0"/>
              <w:spacing w:line="240" w:lineRule="auto"/>
              <w:contextualSpacing/>
              <w:rPr>
                <w:rFonts w:cs="Arial"/>
                <w:sz w:val="20"/>
                <w:szCs w:val="20"/>
              </w:rPr>
            </w:pPr>
            <w:r w:rsidRPr="001676F2">
              <w:rPr>
                <w:rFonts w:cs="Arial"/>
                <w:sz w:val="20"/>
                <w:szCs w:val="20"/>
              </w:rPr>
              <w:t>Self-monitoring</w:t>
            </w:r>
          </w:p>
          <w:p w14:paraId="3EFEB508" w14:textId="77777777" w:rsidR="004E0D59" w:rsidRPr="001676F2" w:rsidRDefault="004E0D59" w:rsidP="00403B07">
            <w:pPr>
              <w:numPr>
                <w:ilvl w:val="0"/>
                <w:numId w:val="7"/>
              </w:numPr>
              <w:autoSpaceDE w:val="0"/>
              <w:autoSpaceDN w:val="0"/>
              <w:adjustRightInd w:val="0"/>
              <w:snapToGrid w:val="0"/>
              <w:spacing w:line="240" w:lineRule="auto"/>
              <w:contextualSpacing/>
              <w:rPr>
                <w:rFonts w:cs="Arial"/>
                <w:sz w:val="20"/>
                <w:szCs w:val="20"/>
              </w:rPr>
            </w:pPr>
            <w:r w:rsidRPr="001676F2">
              <w:rPr>
                <w:rFonts w:cs="Arial"/>
                <w:sz w:val="20"/>
                <w:szCs w:val="20"/>
              </w:rPr>
              <w:t>Goal setting (behaviour)</w:t>
            </w:r>
          </w:p>
          <w:p w14:paraId="4C73C068" w14:textId="77777777" w:rsidR="004E0D59" w:rsidRPr="001676F2" w:rsidRDefault="004E0D59" w:rsidP="00403B07">
            <w:pPr>
              <w:numPr>
                <w:ilvl w:val="0"/>
                <w:numId w:val="7"/>
              </w:numPr>
              <w:autoSpaceDE w:val="0"/>
              <w:autoSpaceDN w:val="0"/>
              <w:adjustRightInd w:val="0"/>
              <w:snapToGrid w:val="0"/>
              <w:spacing w:line="240" w:lineRule="auto"/>
              <w:contextualSpacing/>
              <w:rPr>
                <w:rFonts w:cs="Arial"/>
                <w:sz w:val="20"/>
                <w:szCs w:val="20"/>
              </w:rPr>
            </w:pPr>
            <w:r w:rsidRPr="001676F2">
              <w:rPr>
                <w:rFonts w:cs="Arial"/>
                <w:sz w:val="20"/>
                <w:szCs w:val="20"/>
              </w:rPr>
              <w:t>Problem solving/barrier identification</w:t>
            </w:r>
          </w:p>
          <w:p w14:paraId="0FA94115" w14:textId="77777777" w:rsidR="004E0D59" w:rsidRPr="001676F2" w:rsidRDefault="004E0D59" w:rsidP="00403B07">
            <w:pPr>
              <w:numPr>
                <w:ilvl w:val="0"/>
                <w:numId w:val="7"/>
              </w:numPr>
              <w:autoSpaceDE w:val="0"/>
              <w:autoSpaceDN w:val="0"/>
              <w:adjustRightInd w:val="0"/>
              <w:snapToGrid w:val="0"/>
              <w:spacing w:line="240" w:lineRule="auto"/>
              <w:contextualSpacing/>
              <w:rPr>
                <w:rFonts w:cs="Arial"/>
                <w:sz w:val="20"/>
                <w:szCs w:val="20"/>
              </w:rPr>
            </w:pPr>
            <w:r w:rsidRPr="001676F2">
              <w:rPr>
                <w:rFonts w:cs="Arial"/>
                <w:sz w:val="20"/>
                <w:szCs w:val="20"/>
              </w:rPr>
              <w:t>Plan social support</w:t>
            </w:r>
          </w:p>
          <w:p w14:paraId="6B327A4C" w14:textId="77777777" w:rsidR="004E0D59" w:rsidRPr="001676F2" w:rsidRDefault="004E0D59" w:rsidP="00403B07">
            <w:pPr>
              <w:numPr>
                <w:ilvl w:val="0"/>
                <w:numId w:val="7"/>
              </w:numPr>
              <w:autoSpaceDE w:val="0"/>
              <w:autoSpaceDN w:val="0"/>
              <w:adjustRightInd w:val="0"/>
              <w:snapToGrid w:val="0"/>
              <w:spacing w:line="240" w:lineRule="auto"/>
              <w:contextualSpacing/>
              <w:rPr>
                <w:rFonts w:cs="Arial"/>
                <w:sz w:val="20"/>
                <w:szCs w:val="20"/>
              </w:rPr>
            </w:pPr>
            <w:r w:rsidRPr="001676F2">
              <w:rPr>
                <w:rFonts w:cs="Arial"/>
                <w:sz w:val="20"/>
                <w:szCs w:val="20"/>
              </w:rPr>
              <w:t>Provide information on where and when to perform a behaviour</w:t>
            </w:r>
          </w:p>
          <w:p w14:paraId="0A8AB43E" w14:textId="77777777" w:rsidR="004E0D59" w:rsidRPr="001676F2" w:rsidRDefault="004E0D59" w:rsidP="00403B07">
            <w:pPr>
              <w:numPr>
                <w:ilvl w:val="0"/>
                <w:numId w:val="7"/>
              </w:numPr>
              <w:autoSpaceDE w:val="0"/>
              <w:autoSpaceDN w:val="0"/>
              <w:adjustRightInd w:val="0"/>
              <w:snapToGrid w:val="0"/>
              <w:spacing w:line="240" w:lineRule="auto"/>
              <w:contextualSpacing/>
              <w:rPr>
                <w:rFonts w:cs="Arial"/>
                <w:sz w:val="20"/>
                <w:szCs w:val="20"/>
              </w:rPr>
            </w:pPr>
            <w:r w:rsidRPr="001676F2">
              <w:rPr>
                <w:rFonts w:cs="Arial"/>
                <w:sz w:val="20"/>
                <w:szCs w:val="20"/>
              </w:rPr>
              <w:t>Agree behavioural contract</w:t>
            </w:r>
          </w:p>
          <w:p w14:paraId="0631611B" w14:textId="77777777" w:rsidR="004E0D59" w:rsidRPr="001676F2" w:rsidRDefault="004E0D59" w:rsidP="00403B07">
            <w:pPr>
              <w:numPr>
                <w:ilvl w:val="0"/>
                <w:numId w:val="7"/>
              </w:numPr>
              <w:autoSpaceDE w:val="0"/>
              <w:autoSpaceDN w:val="0"/>
              <w:adjustRightInd w:val="0"/>
              <w:snapToGrid w:val="0"/>
              <w:spacing w:line="240" w:lineRule="auto"/>
              <w:contextualSpacing/>
              <w:rPr>
                <w:rFonts w:cs="Arial"/>
                <w:sz w:val="20"/>
                <w:szCs w:val="20"/>
              </w:rPr>
            </w:pPr>
            <w:r w:rsidRPr="001676F2">
              <w:rPr>
                <w:rFonts w:cs="Arial"/>
                <w:sz w:val="20"/>
                <w:szCs w:val="20"/>
              </w:rPr>
              <w:t>Prompt identification as a role model</w:t>
            </w:r>
          </w:p>
        </w:tc>
        <w:tc>
          <w:tcPr>
            <w:tcW w:w="4062" w:type="dxa"/>
            <w:tcBorders>
              <w:top w:val="single" w:sz="4" w:space="0" w:color="auto"/>
              <w:left w:val="single" w:sz="4" w:space="0" w:color="auto"/>
              <w:bottom w:val="single" w:sz="4" w:space="0" w:color="auto"/>
              <w:right w:val="single" w:sz="4" w:space="0" w:color="auto"/>
            </w:tcBorders>
          </w:tcPr>
          <w:p w14:paraId="2F66ED3A" w14:textId="77777777" w:rsidR="004E0D59" w:rsidRPr="001676F2" w:rsidRDefault="004E0D59" w:rsidP="00EC3EB4">
            <w:pPr>
              <w:adjustRightInd w:val="0"/>
              <w:snapToGrid w:val="0"/>
              <w:spacing w:line="240" w:lineRule="auto"/>
              <w:rPr>
                <w:rFonts w:eastAsia="Times New Roman" w:cs="Arial"/>
                <w:sz w:val="20"/>
                <w:szCs w:val="20"/>
                <w:lang w:val="fr-FR" w:eastAsia="de-DE"/>
              </w:rPr>
            </w:pPr>
            <w:r w:rsidRPr="001676F2">
              <w:rPr>
                <w:rFonts w:cs="Arial"/>
                <w:sz w:val="20"/>
                <w:szCs w:val="20"/>
                <w:lang w:val="fr-FR"/>
              </w:rPr>
              <w:t>Self-reflection questionnaire (1x40 mins)</w:t>
            </w:r>
          </w:p>
          <w:p w14:paraId="1AA78830" w14:textId="77777777" w:rsidR="004E0D59" w:rsidRPr="001676F2" w:rsidRDefault="004E0D59" w:rsidP="00EC3EB4">
            <w:pPr>
              <w:adjustRightInd w:val="0"/>
              <w:snapToGrid w:val="0"/>
              <w:spacing w:line="240" w:lineRule="auto"/>
              <w:rPr>
                <w:rFonts w:cs="Arial"/>
                <w:sz w:val="20"/>
                <w:szCs w:val="20"/>
              </w:rPr>
            </w:pPr>
            <w:r w:rsidRPr="001676F2">
              <w:rPr>
                <w:rFonts w:cs="Arial"/>
                <w:sz w:val="20"/>
                <w:szCs w:val="20"/>
              </w:rPr>
              <w:t xml:space="preserve">Goal setting sheet to go home to parents to complete with child (1x10 mins) </w:t>
            </w:r>
          </w:p>
          <w:p w14:paraId="2820632B" w14:textId="77777777" w:rsidR="004E0D59" w:rsidRPr="001676F2" w:rsidRDefault="004E0D59" w:rsidP="00EC3EB4">
            <w:pPr>
              <w:adjustRightInd w:val="0"/>
              <w:snapToGrid w:val="0"/>
              <w:spacing w:line="240" w:lineRule="auto"/>
              <w:rPr>
                <w:rFonts w:cs="Arial"/>
                <w:sz w:val="20"/>
                <w:szCs w:val="20"/>
              </w:rPr>
            </w:pPr>
            <w:r w:rsidRPr="001676F2">
              <w:rPr>
                <w:rFonts w:cs="Arial"/>
                <w:sz w:val="20"/>
                <w:szCs w:val="20"/>
              </w:rPr>
              <w:t>1:1 goal setting interview (1x10 mins) (goals sent home to parents)</w:t>
            </w:r>
          </w:p>
          <w:p w14:paraId="7D893844" w14:textId="77777777" w:rsidR="004E0D59" w:rsidRPr="001676F2" w:rsidRDefault="004E0D59" w:rsidP="00EC3EB4">
            <w:pPr>
              <w:adjustRightInd w:val="0"/>
              <w:snapToGrid w:val="0"/>
              <w:spacing w:line="240" w:lineRule="auto"/>
              <w:jc w:val="both"/>
              <w:rPr>
                <w:rFonts w:eastAsia="Times New Roman" w:cs="Arial"/>
                <w:sz w:val="20"/>
                <w:szCs w:val="20"/>
                <w:lang w:val="en-US" w:eastAsia="de-DE"/>
              </w:rPr>
            </w:pPr>
            <w:r w:rsidRPr="001676F2">
              <w:rPr>
                <w:rFonts w:cs="Arial"/>
                <w:sz w:val="20"/>
                <w:szCs w:val="20"/>
              </w:rPr>
              <w:t>Forum theatre assembly (1x1 hour)</w:t>
            </w:r>
          </w:p>
        </w:tc>
        <w:tc>
          <w:tcPr>
            <w:tcW w:w="2813" w:type="dxa"/>
            <w:tcBorders>
              <w:top w:val="single" w:sz="4" w:space="0" w:color="auto"/>
              <w:left w:val="single" w:sz="4" w:space="0" w:color="auto"/>
              <w:bottom w:val="single" w:sz="4" w:space="0" w:color="auto"/>
              <w:right w:val="single" w:sz="4" w:space="0" w:color="auto"/>
            </w:tcBorders>
          </w:tcPr>
          <w:p w14:paraId="14408C21" w14:textId="77777777" w:rsidR="004E0D59" w:rsidRPr="001676F2" w:rsidRDefault="004E0D59" w:rsidP="00EC3EB4">
            <w:pPr>
              <w:adjustRightInd w:val="0"/>
              <w:snapToGrid w:val="0"/>
              <w:spacing w:line="240" w:lineRule="auto"/>
              <w:rPr>
                <w:rFonts w:eastAsia="Times New Roman" w:cs="Arial"/>
                <w:sz w:val="20"/>
                <w:szCs w:val="20"/>
                <w:lang w:val="en-US" w:eastAsia="de-DE"/>
              </w:rPr>
            </w:pPr>
            <w:r w:rsidRPr="001676F2">
              <w:rPr>
                <w:rFonts w:cs="Arial"/>
                <w:sz w:val="20"/>
                <w:szCs w:val="20"/>
              </w:rPr>
              <w:t>HeLP Coordinator</w:t>
            </w:r>
          </w:p>
          <w:p w14:paraId="0B4C988C" w14:textId="77777777" w:rsidR="004E0D59" w:rsidRPr="001676F2" w:rsidRDefault="004E0D59" w:rsidP="00EC3EB4">
            <w:pPr>
              <w:adjustRightInd w:val="0"/>
              <w:snapToGrid w:val="0"/>
              <w:spacing w:line="240" w:lineRule="auto"/>
              <w:rPr>
                <w:rFonts w:cs="Arial"/>
                <w:sz w:val="20"/>
                <w:szCs w:val="20"/>
              </w:rPr>
            </w:pPr>
            <w:r w:rsidRPr="001676F2">
              <w:rPr>
                <w:rFonts w:cs="Arial"/>
                <w:sz w:val="20"/>
                <w:szCs w:val="20"/>
              </w:rPr>
              <w:t>HeLP Coordinator /Parents</w:t>
            </w:r>
          </w:p>
          <w:p w14:paraId="1484DC13" w14:textId="77777777" w:rsidR="004E0D59" w:rsidRPr="001676F2" w:rsidRDefault="004E0D59" w:rsidP="00EC3EB4">
            <w:pPr>
              <w:adjustRightInd w:val="0"/>
              <w:snapToGrid w:val="0"/>
              <w:spacing w:line="240" w:lineRule="auto"/>
              <w:rPr>
                <w:rFonts w:cs="Arial"/>
                <w:sz w:val="20"/>
                <w:szCs w:val="20"/>
              </w:rPr>
            </w:pPr>
            <w:r w:rsidRPr="001676F2">
              <w:rPr>
                <w:rFonts w:cs="Arial"/>
                <w:sz w:val="20"/>
                <w:szCs w:val="20"/>
              </w:rPr>
              <w:t xml:space="preserve">HeLP Coordinator </w:t>
            </w:r>
          </w:p>
          <w:p w14:paraId="47FB74A2" w14:textId="442BC9A8" w:rsidR="004E0D59" w:rsidRPr="001676F2" w:rsidRDefault="004E0D59" w:rsidP="00C82499">
            <w:pPr>
              <w:adjustRightInd w:val="0"/>
              <w:snapToGrid w:val="0"/>
              <w:spacing w:line="240" w:lineRule="auto"/>
              <w:rPr>
                <w:rFonts w:eastAsia="Times New Roman" w:cs="Arial"/>
                <w:sz w:val="20"/>
                <w:szCs w:val="20"/>
                <w:lang w:val="en-US" w:eastAsia="de-DE"/>
              </w:rPr>
            </w:pPr>
            <w:r w:rsidRPr="001676F2">
              <w:rPr>
                <w:rFonts w:cs="Arial"/>
                <w:sz w:val="20"/>
                <w:szCs w:val="20"/>
              </w:rPr>
              <w:t>HeLP Coordinator</w:t>
            </w:r>
            <w:r w:rsidR="00AA43DE">
              <w:rPr>
                <w:rFonts w:cs="Arial"/>
                <w:sz w:val="20"/>
                <w:szCs w:val="20"/>
              </w:rPr>
              <w:t xml:space="preserve"> </w:t>
            </w:r>
            <w:r w:rsidRPr="001676F2">
              <w:rPr>
                <w:rFonts w:cs="Arial"/>
                <w:sz w:val="20"/>
                <w:szCs w:val="20"/>
              </w:rPr>
              <w:t>/Drama group</w:t>
            </w:r>
          </w:p>
        </w:tc>
      </w:tr>
      <w:tr w:rsidR="004E0D59" w:rsidRPr="004E0D59" w14:paraId="1CDE407E" w14:textId="77777777" w:rsidTr="008F1809">
        <w:trPr>
          <w:trHeight w:val="1124"/>
        </w:trPr>
        <w:tc>
          <w:tcPr>
            <w:tcW w:w="1453" w:type="dxa"/>
            <w:tcBorders>
              <w:top w:val="single" w:sz="4" w:space="0" w:color="auto"/>
              <w:left w:val="single" w:sz="4" w:space="0" w:color="auto"/>
              <w:bottom w:val="single" w:sz="4" w:space="0" w:color="auto"/>
              <w:right w:val="single" w:sz="4" w:space="0" w:color="auto"/>
            </w:tcBorders>
          </w:tcPr>
          <w:p w14:paraId="2DC3FF81" w14:textId="77777777" w:rsidR="004E0D59" w:rsidRPr="001676F2" w:rsidRDefault="004E0D59" w:rsidP="00EC3EB4">
            <w:pPr>
              <w:adjustRightInd w:val="0"/>
              <w:snapToGrid w:val="0"/>
              <w:spacing w:line="240" w:lineRule="auto"/>
              <w:rPr>
                <w:rFonts w:eastAsia="Times New Roman" w:cs="Arial"/>
                <w:b/>
                <w:sz w:val="20"/>
                <w:szCs w:val="20"/>
                <w:lang w:val="en-US" w:eastAsia="de-DE"/>
              </w:rPr>
            </w:pPr>
            <w:r w:rsidRPr="001676F2">
              <w:rPr>
                <w:rFonts w:cs="Arial"/>
                <w:b/>
                <w:sz w:val="20"/>
                <w:szCs w:val="20"/>
              </w:rPr>
              <w:t>Phase 4</w:t>
            </w:r>
          </w:p>
          <w:p w14:paraId="532DB35B" w14:textId="77777777" w:rsidR="004E0D59" w:rsidRPr="001676F2" w:rsidRDefault="004E0D59" w:rsidP="00EC3EB4">
            <w:pPr>
              <w:adjustRightInd w:val="0"/>
              <w:snapToGrid w:val="0"/>
              <w:spacing w:line="240" w:lineRule="auto"/>
              <w:rPr>
                <w:rFonts w:cs="Arial"/>
                <w:b/>
                <w:sz w:val="20"/>
                <w:szCs w:val="20"/>
              </w:rPr>
            </w:pPr>
            <w:r w:rsidRPr="001676F2">
              <w:rPr>
                <w:rFonts w:cs="Arial"/>
                <w:b/>
                <w:sz w:val="20"/>
                <w:szCs w:val="20"/>
              </w:rPr>
              <w:t xml:space="preserve">Reinforcement Activities </w:t>
            </w:r>
          </w:p>
          <w:p w14:paraId="1B468C71" w14:textId="77777777" w:rsidR="004E0D59" w:rsidRPr="001676F2" w:rsidRDefault="004E0D59" w:rsidP="00EC3EB4">
            <w:pPr>
              <w:adjustRightInd w:val="0"/>
              <w:snapToGrid w:val="0"/>
              <w:spacing w:line="240" w:lineRule="auto"/>
              <w:rPr>
                <w:rFonts w:cs="Arial"/>
                <w:sz w:val="20"/>
                <w:szCs w:val="20"/>
              </w:rPr>
            </w:pPr>
            <w:r w:rsidRPr="001676F2">
              <w:rPr>
                <w:rFonts w:cs="Arial"/>
                <w:sz w:val="20"/>
                <w:szCs w:val="20"/>
              </w:rPr>
              <w:t xml:space="preserve">Autumn term </w:t>
            </w:r>
          </w:p>
          <w:p w14:paraId="7C86917B" w14:textId="77777777" w:rsidR="004E0D59" w:rsidRPr="001676F2" w:rsidRDefault="00AC5E07" w:rsidP="00EC3EB4">
            <w:pPr>
              <w:adjustRightInd w:val="0"/>
              <w:snapToGrid w:val="0"/>
              <w:spacing w:line="240" w:lineRule="auto"/>
              <w:rPr>
                <w:rFonts w:cs="Arial"/>
                <w:sz w:val="20"/>
                <w:szCs w:val="20"/>
              </w:rPr>
            </w:pPr>
            <w:r w:rsidRPr="001676F2">
              <w:rPr>
                <w:rFonts w:cs="Arial"/>
                <w:sz w:val="20"/>
                <w:szCs w:val="20"/>
              </w:rPr>
              <w:t xml:space="preserve">(Yr 6) </w:t>
            </w:r>
            <w:r w:rsidR="004E0D59" w:rsidRPr="001676F2">
              <w:rPr>
                <w:rFonts w:cs="Arial"/>
                <w:sz w:val="20"/>
                <w:szCs w:val="20"/>
              </w:rPr>
              <w:t>Sept-Dec</w:t>
            </w:r>
          </w:p>
          <w:p w14:paraId="518811FF" w14:textId="77777777" w:rsidR="004E0D59" w:rsidRPr="001676F2" w:rsidRDefault="004E0D59" w:rsidP="00EC3EB4">
            <w:pPr>
              <w:adjustRightInd w:val="0"/>
              <w:snapToGrid w:val="0"/>
              <w:spacing w:line="240" w:lineRule="auto"/>
              <w:jc w:val="both"/>
              <w:rPr>
                <w:rFonts w:eastAsia="Times New Roman" w:cs="Arial"/>
                <w:sz w:val="20"/>
                <w:szCs w:val="20"/>
                <w:lang w:val="en-US" w:eastAsia="de-DE"/>
              </w:rPr>
            </w:pPr>
          </w:p>
        </w:tc>
        <w:tc>
          <w:tcPr>
            <w:tcW w:w="2310" w:type="dxa"/>
            <w:tcBorders>
              <w:top w:val="single" w:sz="4" w:space="0" w:color="auto"/>
              <w:left w:val="single" w:sz="4" w:space="0" w:color="auto"/>
              <w:bottom w:val="single" w:sz="4" w:space="0" w:color="auto"/>
              <w:right w:val="single" w:sz="4" w:space="0" w:color="auto"/>
            </w:tcBorders>
          </w:tcPr>
          <w:p w14:paraId="6C273648" w14:textId="77777777" w:rsidR="004E0D59" w:rsidRPr="001676F2" w:rsidRDefault="004E0D59" w:rsidP="00403B07">
            <w:pPr>
              <w:numPr>
                <w:ilvl w:val="0"/>
                <w:numId w:val="8"/>
              </w:numPr>
              <w:adjustRightInd w:val="0"/>
              <w:snapToGrid w:val="0"/>
              <w:spacing w:line="240" w:lineRule="auto"/>
              <w:contextualSpacing/>
              <w:rPr>
                <w:rFonts w:cs="Arial"/>
                <w:sz w:val="20"/>
                <w:szCs w:val="20"/>
              </w:rPr>
            </w:pPr>
            <w:r w:rsidRPr="001676F2">
              <w:rPr>
                <w:rFonts w:cs="Arial"/>
                <w:sz w:val="20"/>
                <w:szCs w:val="20"/>
              </w:rPr>
              <w:t xml:space="preserve">Increase self-awareness and prioritise healthy goals. </w:t>
            </w:r>
          </w:p>
          <w:p w14:paraId="375A4F69" w14:textId="77777777" w:rsidR="004E0D59" w:rsidRPr="001676F2" w:rsidRDefault="004E0D59" w:rsidP="00403B07">
            <w:pPr>
              <w:numPr>
                <w:ilvl w:val="0"/>
                <w:numId w:val="8"/>
              </w:numPr>
              <w:adjustRightInd w:val="0"/>
              <w:snapToGrid w:val="0"/>
              <w:spacing w:line="240" w:lineRule="auto"/>
              <w:contextualSpacing/>
              <w:rPr>
                <w:rFonts w:cs="Arial"/>
                <w:sz w:val="20"/>
                <w:szCs w:val="20"/>
              </w:rPr>
            </w:pPr>
            <w:r w:rsidRPr="001676F2">
              <w:rPr>
                <w:rFonts w:cs="Arial"/>
                <w:sz w:val="20"/>
                <w:szCs w:val="20"/>
              </w:rPr>
              <w:t xml:space="preserve">Consolidate social support. </w:t>
            </w:r>
          </w:p>
          <w:p w14:paraId="1EA52E50" w14:textId="77777777" w:rsidR="004E0D59" w:rsidRPr="001676F2" w:rsidRDefault="004E0D59" w:rsidP="00403B07">
            <w:pPr>
              <w:numPr>
                <w:ilvl w:val="0"/>
                <w:numId w:val="8"/>
              </w:numPr>
              <w:adjustRightInd w:val="0"/>
              <w:snapToGrid w:val="0"/>
              <w:spacing w:line="240" w:lineRule="auto"/>
              <w:contextualSpacing/>
              <w:rPr>
                <w:rFonts w:cs="Arial"/>
                <w:sz w:val="20"/>
                <w:szCs w:val="20"/>
              </w:rPr>
            </w:pPr>
            <w:r w:rsidRPr="001676F2">
              <w:rPr>
                <w:rFonts w:cs="Arial"/>
                <w:sz w:val="20"/>
                <w:szCs w:val="20"/>
              </w:rPr>
              <w:t>Develop self-monitoring and coping skills</w:t>
            </w:r>
          </w:p>
          <w:p w14:paraId="41EE6B42" w14:textId="77777777" w:rsidR="004E0D59" w:rsidRPr="001676F2" w:rsidRDefault="004E0D59" w:rsidP="00403B07">
            <w:pPr>
              <w:numPr>
                <w:ilvl w:val="0"/>
                <w:numId w:val="8"/>
              </w:numPr>
              <w:adjustRightInd w:val="0"/>
              <w:snapToGrid w:val="0"/>
              <w:spacing w:line="240" w:lineRule="auto"/>
              <w:contextualSpacing/>
              <w:rPr>
                <w:rFonts w:cs="Arial"/>
                <w:sz w:val="20"/>
                <w:szCs w:val="20"/>
              </w:rPr>
            </w:pPr>
            <w:r w:rsidRPr="001676F2">
              <w:rPr>
                <w:rFonts w:cs="Arial"/>
                <w:sz w:val="20"/>
                <w:szCs w:val="20"/>
              </w:rPr>
              <w:t>Increase parental support</w:t>
            </w:r>
          </w:p>
          <w:p w14:paraId="7295A5A8" w14:textId="77777777" w:rsidR="004E0D59" w:rsidRPr="001676F2" w:rsidRDefault="004E0D59" w:rsidP="00EC3EB4">
            <w:pPr>
              <w:adjustRightInd w:val="0"/>
              <w:snapToGrid w:val="0"/>
              <w:spacing w:line="240" w:lineRule="auto"/>
              <w:jc w:val="both"/>
              <w:rPr>
                <w:rFonts w:eastAsia="Times New Roman" w:cs="Arial"/>
                <w:sz w:val="20"/>
                <w:szCs w:val="20"/>
                <w:lang w:val="en-US" w:eastAsia="de-DE"/>
              </w:rPr>
            </w:pPr>
          </w:p>
        </w:tc>
        <w:tc>
          <w:tcPr>
            <w:tcW w:w="3679" w:type="dxa"/>
            <w:tcBorders>
              <w:top w:val="single" w:sz="4" w:space="0" w:color="auto"/>
              <w:left w:val="single" w:sz="4" w:space="0" w:color="auto"/>
              <w:bottom w:val="single" w:sz="4" w:space="0" w:color="auto"/>
              <w:right w:val="single" w:sz="4" w:space="0" w:color="auto"/>
            </w:tcBorders>
            <w:hideMark/>
          </w:tcPr>
          <w:p w14:paraId="72010056" w14:textId="77777777" w:rsidR="004E0D59" w:rsidRPr="001676F2" w:rsidRDefault="004E0D59" w:rsidP="00403B07">
            <w:pPr>
              <w:numPr>
                <w:ilvl w:val="0"/>
                <w:numId w:val="9"/>
              </w:numPr>
              <w:autoSpaceDE w:val="0"/>
              <w:autoSpaceDN w:val="0"/>
              <w:adjustRightInd w:val="0"/>
              <w:snapToGrid w:val="0"/>
              <w:spacing w:line="240" w:lineRule="auto"/>
              <w:contextualSpacing/>
              <w:rPr>
                <w:rFonts w:cs="Arial"/>
                <w:sz w:val="20"/>
                <w:szCs w:val="20"/>
              </w:rPr>
            </w:pPr>
            <w:r w:rsidRPr="001676F2">
              <w:rPr>
                <w:rFonts w:cs="Arial"/>
                <w:sz w:val="20"/>
                <w:szCs w:val="20"/>
              </w:rPr>
              <w:t>Provide information on health behaviour link</w:t>
            </w:r>
          </w:p>
          <w:p w14:paraId="2B76C912" w14:textId="6CA5F586" w:rsidR="004E0D59" w:rsidRPr="001676F2" w:rsidRDefault="004E0D59" w:rsidP="00403B07">
            <w:pPr>
              <w:numPr>
                <w:ilvl w:val="0"/>
                <w:numId w:val="9"/>
              </w:numPr>
              <w:autoSpaceDE w:val="0"/>
              <w:autoSpaceDN w:val="0"/>
              <w:adjustRightInd w:val="0"/>
              <w:snapToGrid w:val="0"/>
              <w:spacing w:line="240" w:lineRule="auto"/>
              <w:contextualSpacing/>
              <w:rPr>
                <w:rFonts w:cs="Arial"/>
                <w:sz w:val="20"/>
                <w:szCs w:val="20"/>
              </w:rPr>
            </w:pPr>
            <w:r w:rsidRPr="001676F2">
              <w:rPr>
                <w:rFonts w:cs="Arial"/>
                <w:sz w:val="20"/>
                <w:szCs w:val="20"/>
              </w:rPr>
              <w:t>Modelling/demonstrating behaviour</w:t>
            </w:r>
          </w:p>
          <w:p w14:paraId="070C8BB0" w14:textId="00A51F19" w:rsidR="004E0D59" w:rsidRPr="001676F2" w:rsidRDefault="004E0D59" w:rsidP="00403B07">
            <w:pPr>
              <w:numPr>
                <w:ilvl w:val="0"/>
                <w:numId w:val="9"/>
              </w:numPr>
              <w:autoSpaceDE w:val="0"/>
              <w:autoSpaceDN w:val="0"/>
              <w:adjustRightInd w:val="0"/>
              <w:snapToGrid w:val="0"/>
              <w:spacing w:line="240" w:lineRule="auto"/>
              <w:contextualSpacing/>
              <w:rPr>
                <w:rFonts w:cs="Arial"/>
                <w:sz w:val="20"/>
                <w:szCs w:val="20"/>
              </w:rPr>
            </w:pPr>
            <w:r w:rsidRPr="001676F2">
              <w:rPr>
                <w:rFonts w:cs="Arial"/>
                <w:sz w:val="20"/>
                <w:szCs w:val="20"/>
              </w:rPr>
              <w:t xml:space="preserve">Prompt identification as a role model </w:t>
            </w:r>
          </w:p>
          <w:p w14:paraId="075791BE" w14:textId="38D88D4B" w:rsidR="004E0D59" w:rsidRPr="001676F2" w:rsidRDefault="004E0D59" w:rsidP="00403B07">
            <w:pPr>
              <w:numPr>
                <w:ilvl w:val="0"/>
                <w:numId w:val="9"/>
              </w:numPr>
              <w:adjustRightInd w:val="0"/>
              <w:snapToGrid w:val="0"/>
              <w:spacing w:line="240" w:lineRule="auto"/>
              <w:contextualSpacing/>
              <w:rPr>
                <w:rFonts w:cs="Arial"/>
                <w:sz w:val="20"/>
                <w:szCs w:val="20"/>
              </w:rPr>
            </w:pPr>
            <w:r w:rsidRPr="001676F2">
              <w:rPr>
                <w:rFonts w:cs="Arial"/>
                <w:sz w:val="20"/>
                <w:szCs w:val="20"/>
              </w:rPr>
              <w:t>Provide social approval</w:t>
            </w:r>
          </w:p>
          <w:p w14:paraId="457EDF58" w14:textId="77777777" w:rsidR="004E0D59" w:rsidRPr="001676F2" w:rsidRDefault="004E0D59" w:rsidP="00403B07">
            <w:pPr>
              <w:numPr>
                <w:ilvl w:val="0"/>
                <w:numId w:val="9"/>
              </w:numPr>
              <w:autoSpaceDE w:val="0"/>
              <w:autoSpaceDN w:val="0"/>
              <w:adjustRightInd w:val="0"/>
              <w:snapToGrid w:val="0"/>
              <w:spacing w:line="240" w:lineRule="auto"/>
              <w:contextualSpacing/>
              <w:rPr>
                <w:rFonts w:cs="Arial"/>
                <w:sz w:val="20"/>
                <w:szCs w:val="20"/>
              </w:rPr>
            </w:pPr>
            <w:r w:rsidRPr="001676F2">
              <w:rPr>
                <w:rFonts w:cs="Arial"/>
                <w:sz w:val="20"/>
                <w:szCs w:val="20"/>
              </w:rPr>
              <w:t>Prompt self-monitoring</w:t>
            </w:r>
          </w:p>
          <w:p w14:paraId="2F4B0B16" w14:textId="77777777" w:rsidR="004E0D59" w:rsidRPr="001676F2" w:rsidRDefault="004E0D59" w:rsidP="00403B07">
            <w:pPr>
              <w:numPr>
                <w:ilvl w:val="0"/>
                <w:numId w:val="9"/>
              </w:numPr>
              <w:autoSpaceDE w:val="0"/>
              <w:autoSpaceDN w:val="0"/>
              <w:adjustRightInd w:val="0"/>
              <w:snapToGrid w:val="0"/>
              <w:spacing w:line="240" w:lineRule="auto"/>
              <w:contextualSpacing/>
              <w:rPr>
                <w:rFonts w:cs="Arial"/>
                <w:sz w:val="20"/>
                <w:szCs w:val="20"/>
              </w:rPr>
            </w:pPr>
            <w:r w:rsidRPr="001676F2">
              <w:rPr>
                <w:rFonts w:cs="Arial"/>
                <w:sz w:val="20"/>
                <w:szCs w:val="20"/>
              </w:rPr>
              <w:t>Prompt intention formation</w:t>
            </w:r>
          </w:p>
          <w:p w14:paraId="6CF515D8" w14:textId="77777777" w:rsidR="004E0D59" w:rsidRPr="001676F2" w:rsidRDefault="004E0D59" w:rsidP="00403B07">
            <w:pPr>
              <w:numPr>
                <w:ilvl w:val="0"/>
                <w:numId w:val="9"/>
              </w:numPr>
              <w:autoSpaceDE w:val="0"/>
              <w:autoSpaceDN w:val="0"/>
              <w:adjustRightInd w:val="0"/>
              <w:snapToGrid w:val="0"/>
              <w:spacing w:line="240" w:lineRule="auto"/>
              <w:contextualSpacing/>
              <w:rPr>
                <w:rFonts w:cs="Arial"/>
                <w:sz w:val="20"/>
                <w:szCs w:val="20"/>
              </w:rPr>
            </w:pPr>
            <w:r w:rsidRPr="001676F2">
              <w:rPr>
                <w:rFonts w:cs="Arial"/>
                <w:sz w:val="20"/>
                <w:szCs w:val="20"/>
              </w:rPr>
              <w:t>Follow up prompts</w:t>
            </w:r>
          </w:p>
          <w:p w14:paraId="1153EAEB" w14:textId="77777777" w:rsidR="004E0D59" w:rsidRPr="001676F2" w:rsidRDefault="004E0D59" w:rsidP="00403B07">
            <w:pPr>
              <w:numPr>
                <w:ilvl w:val="0"/>
                <w:numId w:val="9"/>
              </w:numPr>
              <w:autoSpaceDE w:val="0"/>
              <w:autoSpaceDN w:val="0"/>
              <w:adjustRightInd w:val="0"/>
              <w:snapToGrid w:val="0"/>
              <w:spacing w:line="240" w:lineRule="auto"/>
              <w:contextualSpacing/>
              <w:rPr>
                <w:rFonts w:cs="Arial"/>
                <w:sz w:val="20"/>
                <w:szCs w:val="20"/>
              </w:rPr>
            </w:pPr>
            <w:r w:rsidRPr="001676F2">
              <w:rPr>
                <w:rFonts w:cs="Arial"/>
                <w:sz w:val="20"/>
                <w:szCs w:val="20"/>
              </w:rPr>
              <w:t>Prompt review of behavioural goals</w:t>
            </w:r>
          </w:p>
          <w:p w14:paraId="5B67FF21" w14:textId="77777777" w:rsidR="004E0D59" w:rsidRPr="001676F2" w:rsidRDefault="004E0D59" w:rsidP="00403B07">
            <w:pPr>
              <w:numPr>
                <w:ilvl w:val="0"/>
                <w:numId w:val="9"/>
              </w:numPr>
              <w:autoSpaceDE w:val="0"/>
              <w:autoSpaceDN w:val="0"/>
              <w:adjustRightInd w:val="0"/>
              <w:snapToGrid w:val="0"/>
              <w:spacing w:line="240" w:lineRule="auto"/>
              <w:contextualSpacing/>
              <w:rPr>
                <w:rFonts w:cs="Arial"/>
                <w:sz w:val="20"/>
                <w:szCs w:val="20"/>
              </w:rPr>
            </w:pPr>
            <w:r w:rsidRPr="001676F2">
              <w:rPr>
                <w:rFonts w:cs="Arial"/>
                <w:sz w:val="20"/>
                <w:szCs w:val="20"/>
              </w:rPr>
              <w:t>Prompt barrier identification and resolution</w:t>
            </w:r>
          </w:p>
          <w:p w14:paraId="3FB372F3" w14:textId="77777777" w:rsidR="004E0D59" w:rsidRPr="001676F2" w:rsidRDefault="004E0D59" w:rsidP="00403B07">
            <w:pPr>
              <w:numPr>
                <w:ilvl w:val="0"/>
                <w:numId w:val="9"/>
              </w:numPr>
              <w:autoSpaceDE w:val="0"/>
              <w:autoSpaceDN w:val="0"/>
              <w:adjustRightInd w:val="0"/>
              <w:snapToGrid w:val="0"/>
              <w:spacing w:line="240" w:lineRule="auto"/>
              <w:contextualSpacing/>
              <w:rPr>
                <w:rFonts w:cs="Arial"/>
                <w:sz w:val="20"/>
                <w:szCs w:val="20"/>
              </w:rPr>
            </w:pPr>
            <w:r w:rsidRPr="001676F2">
              <w:rPr>
                <w:rFonts w:cs="Arial"/>
                <w:sz w:val="20"/>
                <w:szCs w:val="20"/>
              </w:rPr>
              <w:t>Coping plans</w:t>
            </w:r>
          </w:p>
        </w:tc>
        <w:tc>
          <w:tcPr>
            <w:tcW w:w="4062" w:type="dxa"/>
            <w:tcBorders>
              <w:top w:val="single" w:sz="4" w:space="0" w:color="auto"/>
              <w:left w:val="single" w:sz="4" w:space="0" w:color="auto"/>
              <w:bottom w:val="single" w:sz="4" w:space="0" w:color="auto"/>
              <w:right w:val="single" w:sz="4" w:space="0" w:color="auto"/>
            </w:tcBorders>
          </w:tcPr>
          <w:p w14:paraId="624DA593" w14:textId="77777777" w:rsidR="004E0D59" w:rsidRPr="001676F2" w:rsidRDefault="004E0D59" w:rsidP="00EC3EB4">
            <w:pPr>
              <w:adjustRightInd w:val="0"/>
              <w:snapToGrid w:val="0"/>
              <w:spacing w:line="240" w:lineRule="auto"/>
              <w:rPr>
                <w:rFonts w:eastAsia="Times New Roman" w:cs="Arial"/>
                <w:sz w:val="20"/>
                <w:szCs w:val="20"/>
                <w:lang w:val="en-US" w:eastAsia="de-DE"/>
              </w:rPr>
            </w:pPr>
            <w:r w:rsidRPr="001676F2">
              <w:rPr>
                <w:rFonts w:cs="Arial"/>
                <w:sz w:val="20"/>
                <w:szCs w:val="20"/>
              </w:rPr>
              <w:t>Education lesson (1x1 hour)</w:t>
            </w:r>
          </w:p>
          <w:p w14:paraId="57D5D550" w14:textId="77777777" w:rsidR="00EC3EB4" w:rsidRPr="001676F2" w:rsidRDefault="004E0D59" w:rsidP="00EC3EB4">
            <w:pPr>
              <w:adjustRightInd w:val="0"/>
              <w:snapToGrid w:val="0"/>
              <w:spacing w:line="240" w:lineRule="auto"/>
              <w:rPr>
                <w:rFonts w:cs="Arial"/>
                <w:sz w:val="20"/>
                <w:szCs w:val="20"/>
              </w:rPr>
            </w:pPr>
            <w:r w:rsidRPr="001676F2">
              <w:rPr>
                <w:rFonts w:cs="Arial"/>
                <w:sz w:val="20"/>
                <w:szCs w:val="20"/>
              </w:rPr>
              <w:t>Drama workshop (1x1 hour). Followed by a class delivered assembly about the project to rest of school (1x20 mins)</w:t>
            </w:r>
          </w:p>
          <w:p w14:paraId="416540E5" w14:textId="77777777" w:rsidR="004E0D59" w:rsidRPr="001676F2" w:rsidRDefault="004E0D59" w:rsidP="00EC3EB4">
            <w:pPr>
              <w:adjustRightInd w:val="0"/>
              <w:snapToGrid w:val="0"/>
              <w:spacing w:line="240" w:lineRule="auto"/>
              <w:rPr>
                <w:rFonts w:cs="Arial"/>
                <w:sz w:val="20"/>
                <w:szCs w:val="20"/>
              </w:rPr>
            </w:pPr>
            <w:r w:rsidRPr="001676F2">
              <w:rPr>
                <w:rFonts w:cs="Arial"/>
                <w:sz w:val="20"/>
                <w:szCs w:val="20"/>
              </w:rPr>
              <w:t>1-to-1 goal supporting interview to discuss facilitators/barriers and to plan new coping strategies (1x10 mins) (renewed goals sent home to parents)</w:t>
            </w:r>
          </w:p>
          <w:p w14:paraId="64775B12" w14:textId="77777777" w:rsidR="004E0D59" w:rsidRPr="001676F2" w:rsidRDefault="004E0D59" w:rsidP="00EC3EB4">
            <w:pPr>
              <w:adjustRightInd w:val="0"/>
              <w:snapToGrid w:val="0"/>
              <w:spacing w:line="240" w:lineRule="auto"/>
              <w:jc w:val="both"/>
              <w:rPr>
                <w:rFonts w:eastAsia="Times New Roman" w:cs="Arial"/>
                <w:sz w:val="20"/>
                <w:szCs w:val="20"/>
                <w:lang w:val="en-US" w:eastAsia="de-DE"/>
              </w:rPr>
            </w:pPr>
          </w:p>
        </w:tc>
        <w:tc>
          <w:tcPr>
            <w:tcW w:w="2813" w:type="dxa"/>
            <w:tcBorders>
              <w:top w:val="single" w:sz="4" w:space="0" w:color="auto"/>
              <w:left w:val="single" w:sz="4" w:space="0" w:color="auto"/>
              <w:bottom w:val="single" w:sz="4" w:space="0" w:color="auto"/>
              <w:right w:val="single" w:sz="4" w:space="0" w:color="auto"/>
            </w:tcBorders>
          </w:tcPr>
          <w:p w14:paraId="51ED9F20" w14:textId="77777777" w:rsidR="004E0D59" w:rsidRPr="001676F2" w:rsidRDefault="004E0D59" w:rsidP="00EC3EB4">
            <w:pPr>
              <w:adjustRightInd w:val="0"/>
              <w:snapToGrid w:val="0"/>
              <w:spacing w:line="240" w:lineRule="auto"/>
              <w:rPr>
                <w:rFonts w:eastAsia="Times New Roman" w:cs="Arial"/>
                <w:sz w:val="20"/>
                <w:szCs w:val="20"/>
                <w:lang w:val="en-US" w:eastAsia="de-DE"/>
              </w:rPr>
            </w:pPr>
            <w:r w:rsidRPr="001676F2">
              <w:rPr>
                <w:rFonts w:cs="Arial"/>
                <w:sz w:val="20"/>
                <w:szCs w:val="20"/>
              </w:rPr>
              <w:t>Class teacher</w:t>
            </w:r>
          </w:p>
          <w:p w14:paraId="23FE6372" w14:textId="77777777" w:rsidR="004E0D59" w:rsidRPr="001676F2" w:rsidRDefault="004E0D59" w:rsidP="00EC3EB4">
            <w:pPr>
              <w:adjustRightInd w:val="0"/>
              <w:snapToGrid w:val="0"/>
              <w:spacing w:line="240" w:lineRule="auto"/>
              <w:rPr>
                <w:rFonts w:cs="Arial"/>
                <w:sz w:val="20"/>
                <w:szCs w:val="20"/>
              </w:rPr>
            </w:pPr>
            <w:r w:rsidRPr="001676F2">
              <w:rPr>
                <w:rFonts w:cs="Arial"/>
                <w:sz w:val="20"/>
                <w:szCs w:val="20"/>
              </w:rPr>
              <w:t>Drama group</w:t>
            </w:r>
          </w:p>
          <w:p w14:paraId="7139D791" w14:textId="77777777" w:rsidR="004E0D59" w:rsidRPr="001676F2" w:rsidRDefault="004E0D59" w:rsidP="00EC3EB4">
            <w:pPr>
              <w:adjustRightInd w:val="0"/>
              <w:snapToGrid w:val="0"/>
              <w:spacing w:line="240" w:lineRule="auto"/>
              <w:rPr>
                <w:rFonts w:cs="Arial"/>
                <w:sz w:val="20"/>
                <w:szCs w:val="20"/>
              </w:rPr>
            </w:pPr>
            <w:r w:rsidRPr="001676F2">
              <w:rPr>
                <w:rFonts w:cs="Arial"/>
                <w:sz w:val="20"/>
                <w:szCs w:val="20"/>
              </w:rPr>
              <w:t>HeLP Coordinator</w:t>
            </w:r>
          </w:p>
          <w:p w14:paraId="530FB6A2" w14:textId="77777777" w:rsidR="004E0D59" w:rsidRPr="001676F2" w:rsidRDefault="004E0D59" w:rsidP="00EC3EB4">
            <w:pPr>
              <w:adjustRightInd w:val="0"/>
              <w:snapToGrid w:val="0"/>
              <w:spacing w:line="240" w:lineRule="auto"/>
              <w:jc w:val="both"/>
              <w:rPr>
                <w:rFonts w:eastAsia="Times New Roman" w:cs="Arial"/>
                <w:sz w:val="20"/>
                <w:szCs w:val="20"/>
                <w:lang w:val="en-US" w:eastAsia="de-DE"/>
              </w:rPr>
            </w:pPr>
            <w:r w:rsidRPr="001676F2">
              <w:rPr>
                <w:rFonts w:cs="Arial"/>
                <w:sz w:val="20"/>
                <w:szCs w:val="20"/>
              </w:rPr>
              <w:t>HeLP Coordinator</w:t>
            </w:r>
          </w:p>
        </w:tc>
      </w:tr>
    </w:tbl>
    <w:p w14:paraId="155CDADF" w14:textId="77777777" w:rsidR="004E0D59" w:rsidRPr="00221775" w:rsidRDefault="004E0D59" w:rsidP="004E0D59">
      <w:pPr>
        <w:spacing w:after="0" w:line="360" w:lineRule="auto"/>
        <w:rPr>
          <w:rFonts w:cs="Arial"/>
          <w:b/>
        </w:rPr>
        <w:sectPr w:rsidR="004E0D59" w:rsidRPr="00221775" w:rsidSect="00E155EB">
          <w:pgSz w:w="16838" w:h="11906" w:orient="landscape"/>
          <w:pgMar w:top="1440" w:right="1440" w:bottom="1440" w:left="1440" w:header="708" w:footer="708" w:gutter="0"/>
          <w:cols w:space="720"/>
          <w:docGrid w:linePitch="299"/>
        </w:sectPr>
      </w:pPr>
    </w:p>
    <w:p w14:paraId="26456039" w14:textId="7A3D0A9C" w:rsidR="004E0D59" w:rsidRPr="00221775" w:rsidRDefault="003A63D5" w:rsidP="004E0D59">
      <w:pPr>
        <w:keepNext/>
        <w:keepLines/>
        <w:spacing w:before="200" w:after="0" w:line="360" w:lineRule="auto"/>
        <w:outlineLvl w:val="2"/>
        <w:rPr>
          <w:rFonts w:eastAsiaTheme="majorEastAsia" w:cs="Times New Roman"/>
          <w:b/>
          <w:bCs/>
        </w:rPr>
      </w:pPr>
      <w:bookmarkStart w:id="333" w:name="_Toc466710057"/>
      <w:bookmarkStart w:id="334" w:name="_Toc466711405"/>
      <w:bookmarkStart w:id="335" w:name="_Toc466712064"/>
      <w:bookmarkStart w:id="336" w:name="_Toc475974346"/>
      <w:r w:rsidRPr="00221775">
        <w:rPr>
          <w:rFonts w:eastAsiaTheme="majorEastAsia" w:cs="Times New Roman"/>
          <w:b/>
          <w:bCs/>
        </w:rPr>
        <w:lastRenderedPageBreak/>
        <w:t>2.1.</w:t>
      </w:r>
      <w:r w:rsidR="009A2C4F" w:rsidRPr="00221775">
        <w:rPr>
          <w:rFonts w:eastAsiaTheme="majorEastAsia" w:cs="Times New Roman"/>
          <w:b/>
          <w:bCs/>
        </w:rPr>
        <w:t>7</w:t>
      </w:r>
      <w:r w:rsidRPr="00221775">
        <w:rPr>
          <w:rFonts w:eastAsiaTheme="majorEastAsia" w:cs="Times New Roman"/>
          <w:b/>
          <w:bCs/>
        </w:rPr>
        <w:t xml:space="preserve"> </w:t>
      </w:r>
      <w:r w:rsidR="004E0D59" w:rsidRPr="00221775">
        <w:rPr>
          <w:rFonts w:eastAsiaTheme="majorEastAsia" w:cs="Times New Roman"/>
          <w:b/>
          <w:bCs/>
        </w:rPr>
        <w:t>Sample size calculation</w:t>
      </w:r>
      <w:bookmarkEnd w:id="333"/>
      <w:bookmarkEnd w:id="334"/>
      <w:bookmarkEnd w:id="335"/>
      <w:bookmarkEnd w:id="336"/>
    </w:p>
    <w:p w14:paraId="4E8941EC" w14:textId="2CA29DD9" w:rsidR="004E0D59" w:rsidRPr="004E0D59" w:rsidRDefault="004E0D59" w:rsidP="004E0D59">
      <w:pPr>
        <w:autoSpaceDE w:val="0"/>
        <w:autoSpaceDN w:val="0"/>
        <w:adjustRightInd w:val="0"/>
        <w:spacing w:after="0" w:line="360" w:lineRule="auto"/>
        <w:contextualSpacing/>
        <w:rPr>
          <w:rFonts w:cs="Times New Roman"/>
          <w:iCs/>
          <w:lang w:val="en-US"/>
        </w:rPr>
      </w:pPr>
      <w:r w:rsidRPr="004E0D59">
        <w:rPr>
          <w:rFonts w:cs="Times New Roman"/>
          <w:iCs/>
          <w:lang w:val="en-US"/>
        </w:rPr>
        <w:t xml:space="preserve">The sample size calculation was informed by the intra-cluster correlation coefficients for </w:t>
      </w:r>
      <w:r w:rsidR="009D1C7F">
        <w:rPr>
          <w:rFonts w:cs="Times New Roman"/>
          <w:iCs/>
          <w:lang w:val="en-US"/>
        </w:rPr>
        <w:t>BMI SDS</w:t>
      </w:r>
      <w:r w:rsidR="00C70B88">
        <w:rPr>
          <w:rFonts w:cs="Times New Roman"/>
          <w:iCs/>
          <w:lang w:val="en-US"/>
        </w:rPr>
        <w:t xml:space="preserve"> </w:t>
      </w:r>
      <w:r w:rsidRPr="004E0D59">
        <w:rPr>
          <w:rFonts w:cs="Times New Roman"/>
          <w:iCs/>
          <w:lang w:val="en-US"/>
        </w:rPr>
        <w:t>collected during the pilot/feasibility work</w:t>
      </w:r>
      <w:r w:rsidR="007468C0">
        <w:rPr>
          <w:rFonts w:cs="Times New Roman"/>
          <w:iCs/>
          <w:lang w:val="en-US"/>
        </w:rPr>
        <w:t xml:space="preserve"> </w:t>
      </w:r>
      <w:r w:rsidR="00F6300C">
        <w:rPr>
          <w:rFonts w:cs="Times New Roman"/>
          <w:iCs/>
          <w:lang w:val="en-US"/>
        </w:rPr>
        <w:fldChar w:fldCharType="begin"/>
      </w:r>
      <w:r w:rsidR="00951FF2">
        <w:rPr>
          <w:rFonts w:cs="Times New Roman"/>
          <w:iCs/>
          <w:lang w:val="en-US"/>
        </w:rPr>
        <w:instrText xml:space="preserve"> ADDIN EN.CITE &lt;EndNote&gt;&lt;Cite&gt;&lt;Author&gt;Wyatt&lt;/Author&gt;&lt;Year&gt;2011&lt;/Year&gt;&lt;RecNum&gt;3130&lt;/RecNum&gt;&lt;DisplayText&gt;&lt;style face="superscript"&gt;27&lt;/style&gt;&lt;/DisplayText&gt;&lt;record&gt;&lt;rec-number&gt;3130&lt;/rec-number&gt;&lt;foreign-keys&gt;&lt;key app="EN" db-id="2ewa9rrvjsdsawep2vpx5x97eedzzvxx5rta" timestamp="0"&gt;3130&lt;/key&gt;&lt;/foreign-keys&gt;&lt;ref-type name="Electronic Article"&gt;43&lt;/ref-type&gt;&lt;contributors&gt;&lt;authors&gt;&lt;author&gt;Wyatt, Katrina M&lt;/author&gt;&lt;author&gt;Lloyd, Jennifer J&lt;/author&gt;&lt;author&gt;Creanor, Siobhan&lt;/author&gt;&lt;author&gt;Logan, Stuart&lt;/author&gt;&lt;/authors&gt;&lt;/contributors&gt;&lt;titles&gt;&lt;title&gt;The development, feasibility and acceptability of a school-based obesity prevention programme: results from three phases of piloting&lt;/title&gt;&lt;secondary-title&gt;BMJ Open&lt;/secondary-title&gt;&lt;/titles&gt;&lt;pages&gt;e000026&lt;/pages&gt;&lt;volume&gt;1&lt;/volume&gt;&lt;number&gt;1&lt;/number&gt;&lt;dates&gt;&lt;year&gt;2011&lt;/year&gt;&lt;pub-dates&gt;&lt;date&gt;13 September 2011&lt;/date&gt;&lt;/pub-dates&gt;&lt;/dates&gt;&lt;urls&gt;&lt;related-urls&gt;&lt;url&gt;http://bmjopen.bmj.com/content/early/2011/05/23/bmjopen-2010-000026.abstract&lt;/url&gt;&lt;/related-urls&gt;&lt;/urls&gt;&lt;electronic-resource-num&gt;http://dx.doi.org/10.1136/bmjopen-2010-000026&lt;/electronic-resource-num&gt;&lt;/record&gt;&lt;/Cite&gt;&lt;/EndNote&gt;</w:instrText>
      </w:r>
      <w:r w:rsidR="00F6300C">
        <w:rPr>
          <w:rFonts w:cs="Times New Roman"/>
          <w:iCs/>
          <w:lang w:val="en-US"/>
        </w:rPr>
        <w:fldChar w:fldCharType="separate"/>
      </w:r>
      <w:r w:rsidR="006347BE" w:rsidRPr="006347BE">
        <w:rPr>
          <w:rFonts w:cs="Times New Roman"/>
          <w:iCs/>
          <w:noProof/>
          <w:vertAlign w:val="superscript"/>
          <w:lang w:val="en-US"/>
        </w:rPr>
        <w:t>27</w:t>
      </w:r>
      <w:r w:rsidR="00F6300C">
        <w:rPr>
          <w:rFonts w:cs="Times New Roman"/>
          <w:iCs/>
          <w:lang w:val="en-US"/>
        </w:rPr>
        <w:fldChar w:fldCharType="end"/>
      </w:r>
      <w:r w:rsidRPr="004E0D59">
        <w:rPr>
          <w:rFonts w:cs="Times New Roman"/>
          <w:iCs/>
          <w:lang w:val="en-US"/>
        </w:rPr>
        <w:t xml:space="preserve"> and data from another large study involving the National Childhood Measurement Programme (NCMP)</w:t>
      </w:r>
      <w:r w:rsidR="0001081B">
        <w:rPr>
          <w:rFonts w:cs="Times New Roman"/>
          <w:iCs/>
          <w:lang w:val="en-US"/>
        </w:rPr>
        <w:t xml:space="preserve"> </w:t>
      </w:r>
      <w:r w:rsidR="0001081B">
        <w:rPr>
          <w:rFonts w:cs="Times New Roman"/>
          <w:iCs/>
          <w:lang w:val="en-US"/>
        </w:rPr>
        <w:fldChar w:fldCharType="begin">
          <w:fldData xml:space="preserve">PEVuZE5vdGU+PENpdGU+PEF1dGhvcj5XaWxsaWFtczwvQXV0aG9yPjxZZWFyPjIwMTQ8L1llYXI+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</w:fldData>
        </w:fldChar>
      </w:r>
      <w:r w:rsidR="00FF0067">
        <w:rPr>
          <w:rFonts w:cs="Times New Roman"/>
          <w:iCs/>
          <w:lang w:val="en-US"/>
        </w:rPr>
        <w:instrText xml:space="preserve"> ADDIN EN.CITE </w:instrText>
      </w:r>
      <w:r w:rsidR="00FF0067">
        <w:rPr>
          <w:rFonts w:cs="Times New Roman"/>
          <w:iCs/>
          <w:lang w:val="en-US"/>
        </w:rPr>
        <w:fldChar w:fldCharType="begin">
          <w:fldData xml:space="preserve">PEVuZE5vdGU+PENpdGU+PEF1dGhvcj5XaWxsaWFtczwvQXV0aG9yPjxZZWFyPjIwMTQ8L1llYXI+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</w:fldData>
        </w:fldChar>
      </w:r>
      <w:r w:rsidR="00FF0067">
        <w:rPr>
          <w:rFonts w:cs="Times New Roman"/>
          <w:iCs/>
          <w:lang w:val="en-US"/>
        </w:rPr>
        <w:instrText xml:space="preserve"> ADDIN EN.CITE.DATA </w:instrText>
      </w:r>
      <w:r w:rsidR="00FF0067">
        <w:rPr>
          <w:rFonts w:cs="Times New Roman"/>
          <w:iCs/>
          <w:lang w:val="en-US"/>
        </w:rPr>
      </w:r>
      <w:r w:rsidR="00FF0067">
        <w:rPr>
          <w:rFonts w:cs="Times New Roman"/>
          <w:iCs/>
          <w:lang w:val="en-US"/>
        </w:rPr>
        <w:fldChar w:fldCharType="end"/>
      </w:r>
      <w:r w:rsidR="0001081B">
        <w:rPr>
          <w:rFonts w:cs="Times New Roman"/>
          <w:iCs/>
          <w:lang w:val="en-US"/>
        </w:rPr>
      </w:r>
      <w:r w:rsidR="0001081B">
        <w:rPr>
          <w:rFonts w:cs="Times New Roman"/>
          <w:iCs/>
          <w:lang w:val="en-US"/>
        </w:rPr>
        <w:fldChar w:fldCharType="separate"/>
      </w:r>
      <w:r w:rsidR="006347BE" w:rsidRPr="006347BE">
        <w:rPr>
          <w:rFonts w:cs="Times New Roman"/>
          <w:iCs/>
          <w:noProof/>
          <w:vertAlign w:val="superscript"/>
          <w:lang w:val="en-US"/>
        </w:rPr>
        <w:t>35</w:t>
      </w:r>
      <w:r w:rsidR="0001081B">
        <w:rPr>
          <w:rFonts w:cs="Times New Roman"/>
          <w:iCs/>
          <w:lang w:val="en-US"/>
        </w:rPr>
        <w:fldChar w:fldCharType="end"/>
      </w:r>
      <w:r w:rsidRPr="004E0D59">
        <w:rPr>
          <w:rFonts w:cs="Times New Roman"/>
          <w:iCs/>
          <w:lang w:val="en-US"/>
        </w:rPr>
        <w:t xml:space="preserve">. For our primary outcome measure of </w:t>
      </w:r>
      <w:r w:rsidR="009D1C7F">
        <w:rPr>
          <w:rFonts w:cs="Times New Roman"/>
          <w:iCs/>
          <w:lang w:val="en-US"/>
        </w:rPr>
        <w:t>BMI SDS</w:t>
      </w:r>
      <w:r w:rsidRPr="004E0D59">
        <w:rPr>
          <w:rFonts w:cs="Times New Roman"/>
          <w:iCs/>
          <w:lang w:val="en-US"/>
        </w:rPr>
        <w:t xml:space="preserve">, we determined the number of schools required (assuming an average of 35 </w:t>
      </w:r>
      <w:r w:rsidR="00A504E6">
        <w:rPr>
          <w:rFonts w:cs="Times New Roman"/>
          <w:iCs/>
          <w:lang w:val="en-US"/>
        </w:rPr>
        <w:t xml:space="preserve">Year 5 </w:t>
      </w:r>
      <w:r w:rsidRPr="004E0D59">
        <w:rPr>
          <w:rFonts w:cs="Times New Roman"/>
          <w:iCs/>
          <w:lang w:val="en-US"/>
        </w:rPr>
        <w:t>children per school</w:t>
      </w:r>
      <w:r w:rsidR="00C70B88">
        <w:rPr>
          <w:rFonts w:cs="Times New Roman"/>
          <w:iCs/>
          <w:lang w:val="en-US"/>
        </w:rPr>
        <w:t xml:space="preserve">, with </w:t>
      </w:r>
      <w:r w:rsidRPr="004E0D59">
        <w:rPr>
          <w:rFonts w:cs="Times New Roman"/>
          <w:iCs/>
          <w:lang w:val="en-US"/>
        </w:rPr>
        <w:t>coefficient of variation of 0.5</w:t>
      </w:r>
      <w:r w:rsidR="00E17F3A">
        <w:rPr>
          <w:rFonts w:cs="Times New Roman"/>
          <w:iCs/>
          <w:lang w:val="en-US"/>
        </w:rPr>
        <w:t>,</w:t>
      </w:r>
      <w:r w:rsidRPr="004E0D59">
        <w:rPr>
          <w:rFonts w:cs="Times New Roman"/>
          <w:iCs/>
          <w:lang w:val="en-US"/>
        </w:rPr>
        <w:t xml:space="preserve"> and an </w:t>
      </w:r>
      <w:r w:rsidR="00AA43DE" w:rsidRPr="004E0D59">
        <w:t>intra class correlation coefficient</w:t>
      </w:r>
      <w:r w:rsidR="00AA43DE" w:rsidRPr="004E0D59" w:rsidDel="00AA43DE">
        <w:rPr>
          <w:rFonts w:cs="Times New Roman"/>
          <w:iCs/>
          <w:lang w:val="en-US"/>
        </w:rPr>
        <w:t xml:space="preserve"> </w:t>
      </w:r>
      <w:r w:rsidR="00AA43DE">
        <w:rPr>
          <w:rFonts w:cs="Times New Roman"/>
          <w:iCs/>
          <w:lang w:val="en-US"/>
        </w:rPr>
        <w:t>(ICC)</w:t>
      </w:r>
      <w:r w:rsidRPr="004E0D59">
        <w:rPr>
          <w:rFonts w:cs="Times New Roman"/>
          <w:iCs/>
          <w:lang w:val="en-US"/>
        </w:rPr>
        <w:t xml:space="preserve"> of 0.02) to detect a between-group difference in </w:t>
      </w:r>
      <w:r w:rsidR="009D1C7F">
        <w:rPr>
          <w:rFonts w:cs="Times New Roman"/>
          <w:iCs/>
          <w:lang w:val="en-US"/>
        </w:rPr>
        <w:t>BMI SDS</w:t>
      </w:r>
      <w:r w:rsidRPr="004E0D59">
        <w:rPr>
          <w:rFonts w:cs="Times New Roman"/>
          <w:iCs/>
          <w:lang w:val="en-US"/>
        </w:rPr>
        <w:t xml:space="preserve"> of 0.25 units at 24 months with 90% power, a two-sided 5% significance level, a standard deviation of 1.3 and adjusting for baseline </w:t>
      </w:r>
      <w:r w:rsidR="009D1C7F">
        <w:rPr>
          <w:rFonts w:cs="Times New Roman"/>
          <w:iCs/>
          <w:lang w:val="en-US"/>
        </w:rPr>
        <w:t>BMI SDS</w:t>
      </w:r>
      <w:r w:rsidRPr="004E0D59">
        <w:rPr>
          <w:rFonts w:cs="Times New Roman"/>
          <w:iCs/>
          <w:lang w:val="en-US"/>
        </w:rPr>
        <w:t xml:space="preserve"> (assuming within-child correlation of 0.8). We allowed for a conservative 20% loss to follow up or missing data at 24 months</w:t>
      </w:r>
      <w:r w:rsidR="002E2F60">
        <w:rPr>
          <w:rFonts w:cs="Times New Roman"/>
          <w:iCs/>
          <w:lang w:val="en-US"/>
        </w:rPr>
        <w:t xml:space="preserve"> </w:t>
      </w:r>
      <w:r w:rsidR="00A11111">
        <w:rPr>
          <w:rFonts w:cs="Times New Roman"/>
          <w:iCs/>
          <w:lang w:val="en-US"/>
        </w:rPr>
        <w:fldChar w:fldCharType="begin">
          <w:fldData xml:space="preserve">PEVuZE5vdGU+PENpdGU+PEF1dGhvcj5XeWF0dDwvQXV0aG9yPjxZZWFyPjIwMTM8L1llYXI+PFJl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</w:fldData>
        </w:fldChar>
      </w:r>
      <w:r w:rsidR="00951FF2">
        <w:rPr>
          <w:rFonts w:cs="Times New Roman"/>
          <w:iCs/>
          <w:lang w:val="en-US"/>
        </w:rPr>
        <w:instrText xml:space="preserve"> ADDIN EN.CITE </w:instrText>
      </w:r>
      <w:r w:rsidR="00951FF2">
        <w:rPr>
          <w:rFonts w:cs="Times New Roman"/>
          <w:iCs/>
          <w:lang w:val="en-US"/>
        </w:rPr>
        <w:fldChar w:fldCharType="begin">
          <w:fldData xml:space="preserve">PEVuZE5vdGU+PENpdGU+PEF1dGhvcj5XeWF0dDwvQXV0aG9yPjxZZWFyPjIwMTM8L1llYXI+PFJl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</w:fldData>
        </w:fldChar>
      </w:r>
      <w:r w:rsidR="00951FF2">
        <w:rPr>
          <w:rFonts w:cs="Times New Roman"/>
          <w:iCs/>
          <w:lang w:val="en-US"/>
        </w:rPr>
        <w:instrText xml:space="preserve"> ADDIN EN.CITE.DATA </w:instrText>
      </w:r>
      <w:r w:rsidR="00951FF2">
        <w:rPr>
          <w:rFonts w:cs="Times New Roman"/>
          <w:iCs/>
          <w:lang w:val="en-US"/>
        </w:rPr>
      </w:r>
      <w:r w:rsidR="00951FF2">
        <w:rPr>
          <w:rFonts w:cs="Times New Roman"/>
          <w:iCs/>
          <w:lang w:val="en-US"/>
        </w:rPr>
        <w:fldChar w:fldCharType="end"/>
      </w:r>
      <w:r w:rsidR="00A11111">
        <w:rPr>
          <w:rFonts w:cs="Times New Roman"/>
          <w:iCs/>
          <w:lang w:val="en-US"/>
        </w:rPr>
      </w:r>
      <w:r w:rsidR="00A11111">
        <w:rPr>
          <w:rFonts w:cs="Times New Roman"/>
          <w:iCs/>
          <w:lang w:val="en-US"/>
        </w:rPr>
        <w:fldChar w:fldCharType="separate"/>
      </w:r>
      <w:r w:rsidR="006347BE" w:rsidRPr="006347BE">
        <w:rPr>
          <w:rFonts w:cs="Times New Roman"/>
          <w:iCs/>
          <w:noProof/>
          <w:vertAlign w:val="superscript"/>
          <w:lang w:val="en-US"/>
        </w:rPr>
        <w:t>31</w:t>
      </w:r>
      <w:r w:rsidR="00A11111">
        <w:rPr>
          <w:rFonts w:cs="Times New Roman"/>
          <w:iCs/>
          <w:lang w:val="en-US"/>
        </w:rPr>
        <w:fldChar w:fldCharType="end"/>
      </w:r>
      <w:r w:rsidRPr="004E0D59">
        <w:rPr>
          <w:rFonts w:cs="Times New Roman"/>
          <w:iCs/>
          <w:lang w:val="en-US"/>
        </w:rPr>
        <w:t xml:space="preserve">. These calculations showed that we needed to recruit 28 schools with a total of at least 952 children to ensure that we had </w:t>
      </w:r>
      <w:r w:rsidR="00E17F3A">
        <w:rPr>
          <w:rFonts w:cs="Times New Roman"/>
          <w:iCs/>
          <w:lang w:val="en-US"/>
        </w:rPr>
        <w:t xml:space="preserve">24 outcome data from </w:t>
      </w:r>
      <w:r w:rsidRPr="004E0D59">
        <w:rPr>
          <w:rFonts w:cs="Times New Roman"/>
          <w:iCs/>
          <w:lang w:val="en-US"/>
        </w:rPr>
        <w:t xml:space="preserve">762 children for the analysis. We decided to recruit 32 schools to ensure we had a minimum of 28 schools completing the trial, each with an </w:t>
      </w:r>
      <w:r w:rsidR="00C70B88">
        <w:rPr>
          <w:rFonts w:cs="Times New Roman"/>
          <w:iCs/>
          <w:lang w:val="en-US"/>
        </w:rPr>
        <w:t xml:space="preserve">estimated </w:t>
      </w:r>
      <w:r w:rsidRPr="004E0D59">
        <w:rPr>
          <w:rFonts w:cs="Times New Roman"/>
          <w:iCs/>
          <w:lang w:val="en-US"/>
        </w:rPr>
        <w:t>average of 35 children.</w:t>
      </w:r>
    </w:p>
    <w:p w14:paraId="02B2E510" w14:textId="5C590F8A" w:rsidR="004E0D59" w:rsidRPr="00221775" w:rsidRDefault="003A63D5" w:rsidP="004E0D59">
      <w:pPr>
        <w:keepNext/>
        <w:keepLines/>
        <w:spacing w:before="200" w:after="0" w:line="360" w:lineRule="auto"/>
        <w:outlineLvl w:val="2"/>
        <w:rPr>
          <w:rFonts w:eastAsiaTheme="majorEastAsia" w:cs="Times New Roman"/>
          <w:b/>
          <w:bCs/>
        </w:rPr>
      </w:pPr>
      <w:bookmarkStart w:id="337" w:name="_Toc466710058"/>
      <w:bookmarkStart w:id="338" w:name="_Toc466711406"/>
      <w:bookmarkStart w:id="339" w:name="_Toc466712065"/>
      <w:bookmarkStart w:id="340" w:name="_Toc475974347"/>
      <w:r w:rsidRPr="00221775">
        <w:rPr>
          <w:rFonts w:eastAsiaTheme="majorEastAsia" w:cs="Times New Roman"/>
          <w:b/>
          <w:bCs/>
        </w:rPr>
        <w:t>2.1.</w:t>
      </w:r>
      <w:r w:rsidR="009A2C4F" w:rsidRPr="00221775">
        <w:rPr>
          <w:rFonts w:eastAsiaTheme="majorEastAsia" w:cs="Times New Roman"/>
          <w:b/>
          <w:bCs/>
        </w:rPr>
        <w:t>8</w:t>
      </w:r>
      <w:r w:rsidRPr="00221775">
        <w:rPr>
          <w:rFonts w:eastAsiaTheme="majorEastAsia" w:cs="Times New Roman"/>
          <w:b/>
          <w:bCs/>
        </w:rPr>
        <w:t xml:space="preserve"> </w:t>
      </w:r>
      <w:r w:rsidR="004E0D59" w:rsidRPr="00221775">
        <w:rPr>
          <w:rFonts w:eastAsiaTheme="majorEastAsia" w:cs="Times New Roman"/>
          <w:b/>
          <w:bCs/>
        </w:rPr>
        <w:t>Outcome measures</w:t>
      </w:r>
      <w:bookmarkEnd w:id="337"/>
      <w:bookmarkEnd w:id="338"/>
      <w:bookmarkEnd w:id="339"/>
      <w:bookmarkEnd w:id="340"/>
    </w:p>
    <w:p w14:paraId="240A40A0" w14:textId="655B72C6" w:rsidR="004E0D59" w:rsidRPr="004E0D59" w:rsidRDefault="004E0D59" w:rsidP="004E0D59">
      <w:pPr>
        <w:spacing w:after="0" w:line="360" w:lineRule="auto"/>
      </w:pPr>
      <w:r w:rsidRPr="004E0D59">
        <w:rPr>
          <w:rFonts w:cs="Times New Roman"/>
        </w:rPr>
        <w:t xml:space="preserve">Measurements with children were taken at baseline (prior to schools’ allocated groups being revealed), 12 (MLQ questionnaire only), 18 and 24 months post baseline. The primary outcome measure of effectiveness was change in </w:t>
      </w:r>
      <w:r w:rsidR="009D1C7F">
        <w:rPr>
          <w:rFonts w:cs="Times New Roman"/>
        </w:rPr>
        <w:t>BMI SDS</w:t>
      </w:r>
      <w:r w:rsidRPr="004E0D59">
        <w:rPr>
          <w:rFonts w:cs="Times New Roman"/>
        </w:rPr>
        <w:t xml:space="preserve"> at 24 months. Secondary outcome measures included </w:t>
      </w:r>
      <w:r w:rsidR="009D1C7F">
        <w:rPr>
          <w:rFonts w:cs="Times New Roman"/>
        </w:rPr>
        <w:t>BMI SDS</w:t>
      </w:r>
      <w:r w:rsidRPr="004E0D59">
        <w:rPr>
          <w:rFonts w:cs="Times New Roman"/>
        </w:rPr>
        <w:t xml:space="preserve"> at 18 months, waist circumference</w:t>
      </w:r>
      <w:r w:rsidR="00E17F3A">
        <w:rPr>
          <w:rFonts w:cs="Times New Roman"/>
        </w:rPr>
        <w:t xml:space="preserve"> SDS</w:t>
      </w:r>
      <w:r w:rsidRPr="004E0D59">
        <w:rPr>
          <w:rFonts w:cs="Times New Roman"/>
        </w:rPr>
        <w:t xml:space="preserve">, </w:t>
      </w:r>
      <w:r w:rsidR="00A34951">
        <w:rPr>
          <w:rFonts w:cs="Times New Roman"/>
        </w:rPr>
        <w:t>percent</w:t>
      </w:r>
      <w:r w:rsidRPr="004E0D59">
        <w:rPr>
          <w:rFonts w:cs="Times New Roman"/>
        </w:rPr>
        <w:t xml:space="preserve"> body fat</w:t>
      </w:r>
      <w:r w:rsidR="00E17F3A">
        <w:rPr>
          <w:rFonts w:cs="Times New Roman"/>
        </w:rPr>
        <w:t xml:space="preserve"> SDS</w:t>
      </w:r>
      <w:r w:rsidR="00F8172F">
        <w:rPr>
          <w:rFonts w:cs="Times New Roman"/>
        </w:rPr>
        <w:t xml:space="preserve"> and </w:t>
      </w:r>
      <w:r w:rsidRPr="004E0D59">
        <w:rPr>
          <w:rFonts w:cs="Times New Roman"/>
        </w:rPr>
        <w:t>the percentage of children classified as underweight/healthy weight, overweight and obese at 18 and 24 months</w:t>
      </w:r>
      <w:r w:rsidR="00A0558B">
        <w:rPr>
          <w:rFonts w:cs="Times New Roman"/>
        </w:rPr>
        <w:t xml:space="preserve"> with raw anthropometric measures being presented for completeness and comparison with other studies.</w:t>
      </w:r>
      <w:r w:rsidRPr="004E0D59">
        <w:rPr>
          <w:rFonts w:cs="Times New Roman"/>
        </w:rPr>
        <w:t xml:space="preserve"> </w:t>
      </w:r>
      <w:r w:rsidR="00A0558B">
        <w:rPr>
          <w:rFonts w:cs="Times New Roman"/>
        </w:rPr>
        <w:t>P</w:t>
      </w:r>
      <w:r w:rsidRPr="004E0D59">
        <w:rPr>
          <w:rFonts w:cs="Times New Roman"/>
        </w:rPr>
        <w:t xml:space="preserve">hysical activity </w:t>
      </w:r>
      <w:r w:rsidR="00A0558B">
        <w:rPr>
          <w:rFonts w:cs="Times New Roman"/>
        </w:rPr>
        <w:t xml:space="preserve">was </w:t>
      </w:r>
      <w:r w:rsidR="00E17F3A">
        <w:rPr>
          <w:rFonts w:cs="Times New Roman"/>
        </w:rPr>
        <w:t xml:space="preserve">measured </w:t>
      </w:r>
      <w:r w:rsidRPr="004E0D59">
        <w:rPr>
          <w:rFonts w:cs="Times New Roman"/>
        </w:rPr>
        <w:t xml:space="preserve">using accelerometry and </w:t>
      </w:r>
      <w:r w:rsidR="00E17F3A">
        <w:rPr>
          <w:rFonts w:cs="Times New Roman"/>
        </w:rPr>
        <w:t xml:space="preserve">self-reported </w:t>
      </w:r>
      <w:r w:rsidRPr="004E0D59">
        <w:rPr>
          <w:rFonts w:cs="Times New Roman"/>
        </w:rPr>
        <w:t xml:space="preserve">food intake </w:t>
      </w:r>
      <w:r w:rsidR="00C70B88">
        <w:rPr>
          <w:rFonts w:cs="Times New Roman"/>
        </w:rPr>
        <w:t xml:space="preserve">scores </w:t>
      </w:r>
      <w:r w:rsidR="00960295">
        <w:rPr>
          <w:rFonts w:cs="Times New Roman"/>
        </w:rPr>
        <w:t xml:space="preserve">using the validated FIQ </w:t>
      </w:r>
      <w:r w:rsidRPr="004E0D59">
        <w:rPr>
          <w:rFonts w:cs="Times New Roman"/>
        </w:rPr>
        <w:t xml:space="preserve">at 18 months, week day and weekend. </w:t>
      </w:r>
      <w:r w:rsidR="00960295">
        <w:rPr>
          <w:rFonts w:cs="Times New Roman"/>
        </w:rPr>
        <w:t>(</w:t>
      </w:r>
      <w:r w:rsidR="00960295">
        <w:t xml:space="preserve">Although this was not explicitly stated in the trial registration or published protocol, the FIQ assesses both week day and weekend dietary behaviours and it was always our intention to analyse these data separately as well as scores average across the week.) </w:t>
      </w:r>
      <w:r w:rsidRPr="004E0D59">
        <w:rPr>
          <w:rFonts w:cs="Times New Roman"/>
        </w:rPr>
        <w:t>Independent blinded assessors were used for the collection of the 18 and 24 month anthropometric measures.</w:t>
      </w:r>
      <w:r w:rsidRPr="004E0D59">
        <w:t xml:space="preserve"> </w:t>
      </w:r>
    </w:p>
    <w:p w14:paraId="087C3E16" w14:textId="656C7CFA" w:rsidR="004E0D59" w:rsidRPr="00663B7F" w:rsidRDefault="009D6F85" w:rsidP="009D6F85">
      <w:pPr>
        <w:keepNext/>
        <w:keepLines/>
        <w:spacing w:before="200" w:after="0" w:line="360" w:lineRule="auto"/>
        <w:outlineLvl w:val="3"/>
        <w:rPr>
          <w:rFonts w:eastAsiaTheme="majorEastAsia" w:cs="Times New Roman"/>
          <w:b/>
          <w:bCs/>
        </w:rPr>
      </w:pPr>
      <w:r w:rsidRPr="00663B7F">
        <w:rPr>
          <w:rFonts w:eastAsiaTheme="majorEastAsia" w:cs="Times New Roman"/>
          <w:b/>
          <w:bCs/>
        </w:rPr>
        <w:t>2.1.</w:t>
      </w:r>
      <w:r w:rsidR="009A2C4F" w:rsidRPr="00663B7F">
        <w:rPr>
          <w:rFonts w:eastAsiaTheme="majorEastAsia" w:cs="Times New Roman"/>
          <w:b/>
          <w:bCs/>
        </w:rPr>
        <w:t>8</w:t>
      </w:r>
      <w:r w:rsidRPr="00663B7F">
        <w:rPr>
          <w:rFonts w:eastAsiaTheme="majorEastAsia" w:cs="Times New Roman"/>
          <w:b/>
          <w:bCs/>
        </w:rPr>
        <w:t xml:space="preserve">.1 </w:t>
      </w:r>
      <w:r w:rsidR="004E0D59" w:rsidRPr="00663B7F">
        <w:rPr>
          <w:rFonts w:eastAsiaTheme="majorEastAsia" w:cs="Times New Roman"/>
          <w:b/>
          <w:bCs/>
        </w:rPr>
        <w:t>Outcome assessments</w:t>
      </w:r>
    </w:p>
    <w:p w14:paraId="21668D30" w14:textId="77777777" w:rsidR="004E0D59" w:rsidRPr="004E0D59" w:rsidRDefault="004E0D59" w:rsidP="004E0D59">
      <w:pPr>
        <w:spacing w:after="0" w:line="360" w:lineRule="auto"/>
      </w:pPr>
      <w:r w:rsidRPr="004E0D59">
        <w:t xml:space="preserve">Detailed standard operating procedures (SOPs) were created for the collection of each measure at each time point. Letters were sent home to parents at each assessment time-point to remind them that measurements were going to take place. Within each cohort, all child-level measures were collected over an eight-week time period. </w:t>
      </w:r>
    </w:p>
    <w:p w14:paraId="764330F1" w14:textId="77777777" w:rsidR="004E0D59" w:rsidRPr="004E0D59" w:rsidRDefault="004E0D59" w:rsidP="004E0D59">
      <w:pPr>
        <w:spacing w:after="0" w:line="360" w:lineRule="auto"/>
      </w:pPr>
    </w:p>
    <w:p w14:paraId="0AB98AD6" w14:textId="548B84DA" w:rsidR="004E0D59" w:rsidRPr="004E0D59" w:rsidRDefault="004E0D59" w:rsidP="004E0D59">
      <w:pPr>
        <w:spacing w:after="0" w:line="360" w:lineRule="auto"/>
      </w:pPr>
      <w:r w:rsidRPr="004E0D59">
        <w:lastRenderedPageBreak/>
        <w:t xml:space="preserve">Baseline assessments (prior to </w:t>
      </w:r>
      <w:r w:rsidR="004A3EB3">
        <w:t>revealing schools’ allocated groups</w:t>
      </w:r>
      <w:r w:rsidRPr="004E0D59">
        <w:t xml:space="preserve">) were undertaken in the Autumn term of school Year 5, between October and November </w:t>
      </w:r>
      <w:r w:rsidR="004A3EB3">
        <w:t xml:space="preserve">in </w:t>
      </w:r>
      <w:r w:rsidRPr="004E0D59">
        <w:t>2012 (</w:t>
      </w:r>
      <w:r w:rsidR="00D832FC">
        <w:t>C</w:t>
      </w:r>
      <w:r w:rsidRPr="004E0D59">
        <w:t xml:space="preserve">ohort 1) and </w:t>
      </w:r>
      <w:r w:rsidR="004A3EB3">
        <w:t xml:space="preserve">in </w:t>
      </w:r>
      <w:r w:rsidRPr="004E0D59">
        <w:t>2013 (</w:t>
      </w:r>
      <w:r w:rsidR="00D832FC">
        <w:t>C</w:t>
      </w:r>
      <w:r w:rsidRPr="004E0D59">
        <w:t xml:space="preserve">ohort 2). Outcome assessments were completed: immediately post intervention in October/November 2013/14 (12 months post baseline) for the My Lifestyle Questionnaire </w:t>
      </w:r>
      <w:r w:rsidR="00496B1F">
        <w:t xml:space="preserve">(MLQ) </w:t>
      </w:r>
      <w:r w:rsidRPr="004E0D59">
        <w:t xml:space="preserve">only, at </w:t>
      </w:r>
      <w:r w:rsidR="00257373">
        <w:t>six</w:t>
      </w:r>
      <w:r w:rsidRPr="004E0D59">
        <w:t xml:space="preserve"> months post intervention in June/July 2014/15 (18 months post baseline) which included all behavioural and anthropometric measures; and at 12 months post intervention in October/November (24 months post baseline) which included only anthropometric measures. Anthropometric measurem</w:t>
      </w:r>
      <w:r w:rsidR="00652AC6">
        <w:t>ents (height, weight, percent</w:t>
      </w:r>
      <w:r w:rsidRPr="004E0D59">
        <w:t xml:space="preserve"> body fat and waist circumference) were undertaken by trained assessors, coordinated by the </w:t>
      </w:r>
      <w:r w:rsidR="00E0630B">
        <w:t>HeLP Coordinator</w:t>
      </w:r>
      <w:r w:rsidRPr="004E0D59">
        <w:t xml:space="preserve"> (all had completed enhanced Criminal Record Bureau (CRB)/Disclosure and Barring Service checks). Outcome assessors completed refresher training prior to each data collection time-point. </w:t>
      </w:r>
      <w:r w:rsidRPr="001908F8">
        <w:t>The coefficients of variation to assess inter-rater reliability for height and waist circumference were 0.2% and 1.3% at baseline, 0.1% and 1.2% at 18 months and 0.1% and 0.4% at 24 months, indicating high inter-rater reliability.</w:t>
      </w:r>
      <w:r w:rsidRPr="004E0D59">
        <w:t xml:space="preserve"> The independent outcome assessors were blinded to the allocation of schools. At 24 months post baseline children were measured in their secondary school, thus secondary school classes contained a mixture of intervention and control children. The outcome assessors did not know the child’s group allocation. If a child said something to reveal their group allocation, the assessor was as</w:t>
      </w:r>
      <w:r w:rsidR="004621E9">
        <w:t xml:space="preserve">ked to record, on the proforma, </w:t>
      </w:r>
      <w:r w:rsidR="008534CB">
        <w:t>that</w:t>
      </w:r>
      <w:r w:rsidRPr="004E0D59">
        <w:t xml:space="preserve"> the measurement had been taken unblinded. </w:t>
      </w:r>
    </w:p>
    <w:p w14:paraId="0B0FDBD5" w14:textId="77777777" w:rsidR="004E0D59" w:rsidRPr="004E0D59" w:rsidRDefault="004E0D59" w:rsidP="004E0D59">
      <w:pPr>
        <w:spacing w:after="0" w:line="360" w:lineRule="auto"/>
      </w:pPr>
    </w:p>
    <w:p w14:paraId="7A7134AB" w14:textId="758E5456" w:rsidR="004E0D59" w:rsidRPr="004E0D59" w:rsidRDefault="004E0D59" w:rsidP="004E0D59">
      <w:pPr>
        <w:spacing w:after="0" w:line="360" w:lineRule="auto"/>
      </w:pPr>
      <w:r w:rsidRPr="004E0D59">
        <w:t xml:space="preserve">The </w:t>
      </w:r>
      <w:r w:rsidR="00E0630B">
        <w:t>HeLP Coordinator</w:t>
      </w:r>
      <w:r w:rsidRPr="004E0D59">
        <w:t xml:space="preserve">s led the collection of the behavioural measures (Food </w:t>
      </w:r>
      <w:r w:rsidR="00AA43DE">
        <w:t>I</w:t>
      </w:r>
      <w:r w:rsidRPr="004E0D59">
        <w:t xml:space="preserve">ntake Questionnaire and Physical Activity using accelerometry) as well as the MLQ. </w:t>
      </w:r>
    </w:p>
    <w:p w14:paraId="63FE9076" w14:textId="77777777" w:rsidR="004E0D59" w:rsidRPr="004E0D59" w:rsidRDefault="004E0D59" w:rsidP="004E0D59">
      <w:pPr>
        <w:spacing w:after="0" w:line="360" w:lineRule="auto"/>
      </w:pPr>
    </w:p>
    <w:p w14:paraId="37F8E0F3" w14:textId="3664BEC2" w:rsidR="004E0D59" w:rsidRPr="00337CF6" w:rsidRDefault="009D6F85" w:rsidP="004E0D59">
      <w:pPr>
        <w:keepNext/>
        <w:keepLines/>
        <w:spacing w:before="200" w:after="0" w:line="360" w:lineRule="auto"/>
        <w:outlineLvl w:val="3"/>
        <w:rPr>
          <w:rFonts w:eastAsiaTheme="majorEastAsia" w:cs="Times New Roman"/>
          <w:b/>
          <w:bCs/>
          <w:iCs/>
        </w:rPr>
      </w:pPr>
      <w:r>
        <w:rPr>
          <w:rFonts w:eastAsiaTheme="majorEastAsia" w:cs="Times New Roman"/>
          <w:b/>
          <w:bCs/>
          <w:iCs/>
        </w:rPr>
        <w:t>2.1.</w:t>
      </w:r>
      <w:r w:rsidR="009A2C4F">
        <w:rPr>
          <w:rFonts w:eastAsiaTheme="majorEastAsia" w:cs="Times New Roman"/>
          <w:b/>
          <w:bCs/>
          <w:iCs/>
        </w:rPr>
        <w:t>8</w:t>
      </w:r>
      <w:r>
        <w:rPr>
          <w:rFonts w:eastAsiaTheme="majorEastAsia" w:cs="Times New Roman"/>
          <w:b/>
          <w:bCs/>
          <w:iCs/>
        </w:rPr>
        <w:t xml:space="preserve">.2 </w:t>
      </w:r>
      <w:r w:rsidR="004E0D59" w:rsidRPr="00337CF6">
        <w:rPr>
          <w:rFonts w:eastAsiaTheme="majorEastAsia" w:cs="Times New Roman"/>
          <w:b/>
          <w:bCs/>
          <w:iCs/>
        </w:rPr>
        <w:t>Anthropometric measurements</w:t>
      </w:r>
    </w:p>
    <w:p w14:paraId="61DA9B33" w14:textId="2646A1C4" w:rsidR="004E0D59" w:rsidRPr="004E0D59" w:rsidRDefault="004E0D59" w:rsidP="004E0D59">
      <w:pPr>
        <w:spacing w:after="0" w:line="360" w:lineRule="auto"/>
      </w:pPr>
      <w:r w:rsidRPr="004E0D59">
        <w:t xml:space="preserve">All anthropometric measures were collected over the course of one day in each school. If children were absent on the day of measurement, up to </w:t>
      </w:r>
      <w:r w:rsidRPr="00837AE9">
        <w:t>three</w:t>
      </w:r>
      <w:r w:rsidR="004A3EB3" w:rsidRPr="00837AE9">
        <w:t xml:space="preserve"> further</w:t>
      </w:r>
      <w:r w:rsidRPr="004E0D59">
        <w:t xml:space="preserve"> attempts to collect their data were taken for up to a further two weeks from the day of absence. </w:t>
      </w:r>
      <w:r w:rsidRPr="004E0D59">
        <w:rPr>
          <w:rFonts w:cs="Arial"/>
          <w:noProof/>
        </w:rPr>
        <w:t>Height was measured using a SECA stadiometer (Hamburg, Germany), recorded to an accuracy of 1mm. Weight was measured using the Tanita Body Composition Analyser SC-330 (U.K. Ltd., Middlesex, U.K</w:t>
      </w:r>
      <w:r w:rsidRPr="004E0D59">
        <w:rPr>
          <w:rFonts w:cs="Arial"/>
        </w:rPr>
        <w:t>.). W</w:t>
      </w:r>
      <w:r w:rsidRPr="004E0D59">
        <w:rPr>
          <w:rFonts w:cs="Arial"/>
          <w:noProof/>
        </w:rPr>
        <w:t xml:space="preserve">eight was recorded to within 0.1kg and children were asked to take off their shoes and socks and tights. Percent body fat was estimated from leg-to-leg bioelectric impedance analysis (Tanita Body Composition Analyser SC-330). Waist circumference was measured using a non-elastic flexible tape measure, </w:t>
      </w:r>
      <w:r w:rsidRPr="004E0D59">
        <w:rPr>
          <w:rFonts w:cs="Arial"/>
        </w:rPr>
        <w:t>4cm above the umbilicus.</w:t>
      </w:r>
    </w:p>
    <w:p w14:paraId="1A80D3F6" w14:textId="77777777" w:rsidR="004E0D59" w:rsidRPr="004E0D59" w:rsidRDefault="004E0D59" w:rsidP="004E0D59">
      <w:pPr>
        <w:spacing w:before="240" w:line="360" w:lineRule="auto"/>
        <w:contextualSpacing/>
        <w:rPr>
          <w:rFonts w:cs="Arial"/>
        </w:rPr>
      </w:pPr>
    </w:p>
    <w:p w14:paraId="5B505570" w14:textId="77777777" w:rsidR="004E0D59" w:rsidRPr="004E0D59" w:rsidRDefault="004E0D59" w:rsidP="004E0D59">
      <w:pPr>
        <w:spacing w:before="240" w:line="360" w:lineRule="auto"/>
        <w:contextualSpacing/>
        <w:rPr>
          <w:rFonts w:cs="Arial"/>
          <w:iCs/>
        </w:rPr>
      </w:pPr>
      <w:r w:rsidRPr="004E0D59">
        <w:rPr>
          <w:rFonts w:cs="Arial"/>
        </w:rPr>
        <w:lastRenderedPageBreak/>
        <w:t xml:space="preserve">We were mindful that, at baseline, the </w:t>
      </w:r>
      <w:r w:rsidR="00E0630B">
        <w:t>HeLP Coordinator</w:t>
      </w:r>
      <w:r w:rsidRPr="004E0D59">
        <w:rPr>
          <w:rFonts w:cs="Arial"/>
        </w:rPr>
        <w:t xml:space="preserve"> had yet to develop working relationships with the children, so in order to put children at ease and minimise any possible stigmatisation of overweight or sensitive children, the collection of these measurements formed part of a specially designed lesson which was based around measuring in general and how information can be presented. The </w:t>
      </w:r>
      <w:r w:rsidR="00E0630B">
        <w:t>HeLP Coordinator</w:t>
      </w:r>
      <w:r w:rsidRPr="004E0D59">
        <w:rPr>
          <w:rFonts w:cs="Arial"/>
        </w:rPr>
        <w:t xml:space="preserve"> led the lesson which provided a good opportunity for them to learn the children’s names and for the children to become familiar with the </w:t>
      </w:r>
      <w:r w:rsidR="00E0630B">
        <w:t>HeLP Coordinator</w:t>
      </w:r>
      <w:r w:rsidRPr="004E0D59">
        <w:rPr>
          <w:rFonts w:cs="Arial"/>
        </w:rPr>
        <w:t xml:space="preserve">. Each child, one at a time, left the classroom during the lesson to go to a private room and have their height, weight, waist circumference and percent body fat by bio-electrical impedance measured by two other trained researchers. For the 18 and 24 month measurements, no special lesson took place as the children were familiar with the measurement process and felt at ease with the </w:t>
      </w:r>
      <w:r w:rsidR="00E0630B">
        <w:t>HeLP Coordinator</w:t>
      </w:r>
      <w:r w:rsidRPr="004E0D59">
        <w:rPr>
          <w:rFonts w:cs="Arial"/>
        </w:rPr>
        <w:t xml:space="preserve">, who coordinated the smooth running of the measurements in each school. </w:t>
      </w:r>
    </w:p>
    <w:p w14:paraId="33EA980F" w14:textId="77777777" w:rsidR="004E0D59" w:rsidRPr="004E0D59" w:rsidRDefault="004E0D59" w:rsidP="004E0D59">
      <w:pPr>
        <w:spacing w:before="240" w:line="360" w:lineRule="auto"/>
        <w:contextualSpacing/>
        <w:rPr>
          <w:rFonts w:cs="Arial"/>
          <w:iCs/>
        </w:rPr>
      </w:pPr>
    </w:p>
    <w:p w14:paraId="49D84047" w14:textId="1DE89548" w:rsidR="004E0D59" w:rsidRDefault="004E0D59" w:rsidP="004E0D59">
      <w:pPr>
        <w:spacing w:before="240" w:line="360" w:lineRule="auto"/>
        <w:contextualSpacing/>
        <w:rPr>
          <w:rFonts w:cs="Arial"/>
          <w:iCs/>
        </w:rPr>
      </w:pPr>
      <w:r w:rsidRPr="004E0D59">
        <w:rPr>
          <w:rFonts w:cs="Arial"/>
          <w:iCs/>
        </w:rPr>
        <w:t xml:space="preserve">At each data collection time point, children had the option to decline one or more measurements if they so wished. For the anthropometric measures, using the Tanita scales a printout is produced providing the child’s weight, BMI and </w:t>
      </w:r>
      <w:r w:rsidR="00A34951">
        <w:rPr>
          <w:rFonts w:cs="Arial"/>
          <w:iCs/>
        </w:rPr>
        <w:t>percent</w:t>
      </w:r>
      <w:r w:rsidRPr="004E0D59">
        <w:rPr>
          <w:rFonts w:cs="Arial"/>
          <w:iCs/>
        </w:rPr>
        <w:t xml:space="preserve"> </w:t>
      </w:r>
      <w:r w:rsidR="004D2D6D">
        <w:rPr>
          <w:rFonts w:cs="Arial"/>
          <w:iCs/>
        </w:rPr>
        <w:t>b</w:t>
      </w:r>
      <w:r w:rsidRPr="004E0D59">
        <w:rPr>
          <w:rFonts w:cs="Arial"/>
          <w:iCs/>
        </w:rPr>
        <w:t xml:space="preserve">ody </w:t>
      </w:r>
      <w:r w:rsidR="004D2D6D">
        <w:rPr>
          <w:rFonts w:cs="Arial"/>
          <w:iCs/>
        </w:rPr>
        <w:t>f</w:t>
      </w:r>
      <w:r w:rsidRPr="004E0D59">
        <w:rPr>
          <w:rFonts w:cs="Arial"/>
          <w:iCs/>
        </w:rPr>
        <w:t>at. During measurements, the electronic reading was covered so that children were unable to read their results. This process had been developed during the pilot phases to reduce any stigmatisation of overweight/obese and underweight children and minimise any discussion about weight.</w:t>
      </w:r>
    </w:p>
    <w:p w14:paraId="16E7F98D" w14:textId="77777777" w:rsidR="00F10DC6" w:rsidRPr="004E0D59" w:rsidRDefault="00F10DC6" w:rsidP="004E0D59">
      <w:pPr>
        <w:spacing w:before="240" w:line="360" w:lineRule="auto"/>
        <w:contextualSpacing/>
        <w:rPr>
          <w:rFonts w:cs="Arial"/>
          <w:iCs/>
        </w:rPr>
      </w:pPr>
    </w:p>
    <w:p w14:paraId="54761CCB" w14:textId="7E20B15A" w:rsidR="004E0D59" w:rsidRPr="004E0D59" w:rsidRDefault="009D6F85" w:rsidP="004E0D59">
      <w:pPr>
        <w:keepNext/>
        <w:keepLines/>
        <w:spacing w:before="200" w:after="0" w:line="360" w:lineRule="auto"/>
        <w:outlineLvl w:val="3"/>
        <w:rPr>
          <w:rFonts w:eastAsiaTheme="majorEastAsia" w:cs="Times New Roman"/>
          <w:b/>
          <w:bCs/>
          <w:iCs/>
        </w:rPr>
      </w:pPr>
      <w:r>
        <w:rPr>
          <w:rFonts w:eastAsiaTheme="majorEastAsia" w:cs="Times New Roman"/>
          <w:b/>
          <w:bCs/>
          <w:iCs/>
        </w:rPr>
        <w:t>2.1.</w:t>
      </w:r>
      <w:r w:rsidR="009A2C4F">
        <w:rPr>
          <w:rFonts w:eastAsiaTheme="majorEastAsia" w:cs="Times New Roman"/>
          <w:b/>
          <w:bCs/>
          <w:iCs/>
        </w:rPr>
        <w:t>8</w:t>
      </w:r>
      <w:r>
        <w:rPr>
          <w:rFonts w:eastAsiaTheme="majorEastAsia" w:cs="Times New Roman"/>
          <w:b/>
          <w:bCs/>
          <w:iCs/>
        </w:rPr>
        <w:t xml:space="preserve">.3 </w:t>
      </w:r>
      <w:r w:rsidR="004E0D59" w:rsidRPr="004E0D59">
        <w:rPr>
          <w:rFonts w:eastAsiaTheme="majorEastAsia" w:cs="Times New Roman"/>
          <w:b/>
          <w:bCs/>
          <w:iCs/>
        </w:rPr>
        <w:t>Accelerometer measurements</w:t>
      </w:r>
    </w:p>
    <w:p w14:paraId="523B8404" w14:textId="70466485" w:rsidR="004E0D59" w:rsidRPr="004E0D59" w:rsidRDefault="004E0D59" w:rsidP="004E0D59">
      <w:pPr>
        <w:spacing w:line="360" w:lineRule="auto"/>
        <w:contextualSpacing/>
        <w:rPr>
          <w:rFonts w:cs="Arial"/>
        </w:rPr>
      </w:pPr>
      <w:r w:rsidRPr="004E0D59">
        <w:rPr>
          <w:rFonts w:cs="Arial"/>
        </w:rPr>
        <w:t xml:space="preserve">We used a wrist worn triaxial accelerometer called the GeneActiv </w:t>
      </w:r>
      <w:r w:rsidR="00A11111">
        <w:rPr>
          <w:rFonts w:cs="Arial"/>
        </w:rPr>
        <w:fldChar w:fldCharType="begin"/>
      </w:r>
      <w:r w:rsidR="00931E9F">
        <w:rPr>
          <w:rFonts w:cs="Arial"/>
        </w:rPr>
        <w:instrText xml:space="preserve"> ADDIN EN.CITE &lt;EndNote&gt;&lt;Cite ExcludeYear="1"&gt;&lt;Author&gt;ActivInsights Ltd.&lt;/Author&gt;&lt;RecNum&gt;5711&lt;/RecNum&gt;&lt;DisplayText&gt;&lt;style face="superscript"&gt;36&lt;/style&gt;&lt;/DisplayText&gt;&lt;record&gt;&lt;rec-number&gt;5711&lt;/rec-number&gt;&lt;foreign-keys&gt;&lt;key app="EN" db-id="2ewa9rrvjsdsawep2vpx5x97eedzzvxx5rta" timestamp="1478514914"&gt;5711&lt;/key&gt;&lt;/foreign-keys&gt;&lt;ref-type name="Web Page"&gt;12&lt;/ref-type&gt;&lt;contributors&gt;&lt;authors&gt;&lt;author&gt;ActivInsights Ltd. Kimboton, UK&lt;/author&gt;&lt;/authors&gt;&lt;/contributors&gt;&lt;titles&gt;&lt;/titles&gt;&lt;number&gt;10 Sept 2016&lt;/number&gt;&lt;dates&gt;&lt;/dates&gt;&lt;urls&gt;&lt;related-urls&gt;&lt;url&gt;http://www.geneactiv.org/&lt;/url&gt;&lt;/related-urls&gt;&lt;/urls&gt;&lt;/record&gt;&lt;/Cite&gt;&lt;/EndNote&gt;</w:instrText>
      </w:r>
      <w:r w:rsidR="00A11111">
        <w:rPr>
          <w:rFonts w:cs="Arial"/>
        </w:rPr>
        <w:fldChar w:fldCharType="separate"/>
      </w:r>
      <w:r w:rsidR="006347BE" w:rsidRPr="006347BE">
        <w:rPr>
          <w:rFonts w:cs="Arial"/>
          <w:noProof/>
          <w:vertAlign w:val="superscript"/>
        </w:rPr>
        <w:t>36</w:t>
      </w:r>
      <w:r w:rsidR="00A11111">
        <w:rPr>
          <w:rFonts w:cs="Arial"/>
        </w:rPr>
        <w:fldChar w:fldCharType="end"/>
      </w:r>
      <w:r w:rsidRPr="004E0D59">
        <w:rPr>
          <w:rFonts w:cs="Arial"/>
        </w:rPr>
        <w:t xml:space="preserve"> to objectively measure physical activity and sedentary time </w:t>
      </w:r>
      <w:r w:rsidR="00257373">
        <w:rPr>
          <w:rFonts w:cs="Arial"/>
        </w:rPr>
        <w:t>for</w:t>
      </w:r>
      <w:r w:rsidRPr="004E0D59">
        <w:rPr>
          <w:rFonts w:cs="Arial"/>
        </w:rPr>
        <w:t xml:space="preserve"> a subset of the recruited children (one randomly selected class per participating school). These </w:t>
      </w:r>
      <w:r w:rsidR="00AF2D02">
        <w:rPr>
          <w:rFonts w:cs="Arial"/>
        </w:rPr>
        <w:t xml:space="preserve">accelerometers </w:t>
      </w:r>
      <w:r w:rsidRPr="004E0D59">
        <w:rPr>
          <w:rFonts w:cs="Arial"/>
        </w:rPr>
        <w:t xml:space="preserve">are waterproof so do not need to be removed for swimming and/or showering. We asked children to wear the accelerometer continuously (including at night) for eight consecutive days on the wrist of the non-dominant arm. To assist with adherence, information packs were sent to parents one week prior to children being fitted with the GeneActivs providing information on wearing the accelerometer and guidance to be distributed to sports coaches to prevent removal during sport. On the day the accelerometers were issued, the </w:t>
      </w:r>
      <w:r w:rsidR="00E0630B">
        <w:t>HeLP Coordinator</w:t>
      </w:r>
      <w:r w:rsidRPr="004E0D59">
        <w:rPr>
          <w:rFonts w:cs="Arial"/>
        </w:rPr>
        <w:t xml:space="preserve"> spoke to ten children at a time about how to comply with the procedures and answered any questions. Following recommended guidance, children were included in the analysis if they had at least 4 days (including a weekend day) of 10 hours</w:t>
      </w:r>
      <w:r w:rsidR="004A3EB3">
        <w:rPr>
          <w:rFonts w:cs="Arial"/>
        </w:rPr>
        <w:t xml:space="preserve"> of</w:t>
      </w:r>
      <w:r w:rsidRPr="004E0D59">
        <w:rPr>
          <w:rFonts w:cs="Arial"/>
        </w:rPr>
        <w:t xml:space="preserve"> continuous </w:t>
      </w:r>
      <w:r w:rsidR="006D547B">
        <w:rPr>
          <w:rFonts w:cs="Arial"/>
        </w:rPr>
        <w:t>wear time on each of those days</w:t>
      </w:r>
      <w:r w:rsidR="00A11111">
        <w:rPr>
          <w:rFonts w:cs="Arial"/>
        </w:rPr>
        <w:fldChar w:fldCharType="begin"/>
      </w:r>
      <w:r w:rsidR="00FF0067">
        <w:rPr>
          <w:rFonts w:cs="Arial"/>
        </w:rPr>
        <w:instrText xml:space="preserve"> ADDIN EN.CITE &lt;EndNote&gt;&lt;Cite&gt;&lt;Author&gt;Trost&lt;/Author&gt;&lt;Year&gt;2005&lt;/Year&gt;&lt;RecNum&gt;5645&lt;/RecNum&gt;&lt;DisplayText&gt;&lt;style face="superscript"&gt;37&lt;/style&gt;&lt;/DisplayText&gt;&lt;record&gt;&lt;rec-number&gt;5645&lt;/rec-number&gt;&lt;foreign-keys&gt;&lt;key app="EN" db-id="2ewa9rrvjsdsawep2vpx5x97eedzzvxx5rta" timestamp="1453120064"&gt;5645&lt;/key&gt;&lt;/foreign-keys&gt;&lt;ref-type name="Journal Article"&gt;17&lt;/ref-type&gt;&lt;contributors&gt;&lt;authors&gt;&lt;author&gt;Trost, S. G.&lt;/author&gt;&lt;author&gt;McIver, K. L.&lt;/author&gt;&lt;author&gt;Pate, R. R.&lt;/author&gt;&lt;/authors&gt;&lt;/contributors&gt;&lt;auth-address&gt;Community Health Institute, Kansas State University, Manhattan, KS 66506, USA. strost@ksu.edu&lt;/auth-address&gt;&lt;titles&gt;&lt;title&gt;Conducting accelerometer-based activity assessments in field-based research&lt;/title&gt;&lt;secondary-title&gt;Med Sci Sports Exerc&lt;/secondary-title&gt;&lt;/titles&gt;&lt;periodical&gt;&lt;full-title&gt;Medicine and Science in Sports and Exercise&lt;/full-title&gt;&lt;abbr-1&gt;Med. Sci. Sports Exerc.&lt;/abbr-1&gt;&lt;abbr-2&gt;Med Sci Sports Exerc&lt;/abbr-2&gt;&lt;abbr-3&gt;Medicine &amp;amp; Science in Sports &amp;amp; Exercise&lt;/abbr-3&gt;&lt;/periodical&gt;&lt;pages&gt;S531-43&lt;/pages&gt;&lt;volume&gt;37&lt;/volume&gt;&lt;number&gt;11 Suppl&lt;/number&gt;&lt;keywords&gt;&lt;keyword&gt;*Acceleration&lt;/keyword&gt;&lt;keyword&gt;Automatic Data Processing&lt;/keyword&gt;&lt;keyword&gt;Ergometry/*instrumentation&lt;/keyword&gt;&lt;keyword&gt;Evidence-Based Medicine&lt;/keyword&gt;&lt;keyword&gt;Guidelines as Topic&lt;/keyword&gt;&lt;keyword&gt;Humans&lt;/keyword&gt;&lt;keyword&gt;Locomotion&lt;/keyword&gt;&lt;keyword&gt;Reproducibility of Results&lt;/keyword&gt;&lt;keyword&gt;*Research Design&lt;/keyword&gt;&lt;keyword&gt;United States&lt;/keyword&gt;&lt;/keywords&gt;&lt;dates&gt;&lt;year&gt;2005&lt;/year&gt;&lt;pub-dates&gt;&lt;date&gt;Nov&lt;/date&gt;&lt;/pub-dates&gt;&lt;/dates&gt;&lt;isbn&gt;0195-9131 (Print)&amp;#xD;0195-9131 (Linking)&lt;/isbn&gt;&lt;accession-num&gt;16294116&lt;/accession-num&gt;&lt;urls&gt;&lt;related-urls&gt;&lt;url&gt;http://www.ncbi.nlm.nih.gov/pubmed/16294116&lt;/url&gt;&lt;/related-urls&gt;&lt;/urls&gt;&lt;/record&gt;&lt;/Cite&gt;&lt;/EndNote&gt;</w:instrText>
      </w:r>
      <w:r w:rsidR="00A11111">
        <w:rPr>
          <w:rFonts w:cs="Arial"/>
        </w:rPr>
        <w:fldChar w:fldCharType="separate"/>
      </w:r>
      <w:r w:rsidR="006347BE" w:rsidRPr="006347BE">
        <w:rPr>
          <w:rFonts w:cs="Arial"/>
          <w:noProof/>
          <w:vertAlign w:val="superscript"/>
        </w:rPr>
        <w:t>37</w:t>
      </w:r>
      <w:r w:rsidR="00A11111">
        <w:rPr>
          <w:rFonts w:cs="Arial"/>
        </w:rPr>
        <w:fldChar w:fldCharType="end"/>
      </w:r>
      <w:r w:rsidR="008D0215">
        <w:rPr>
          <w:rFonts w:cs="Arial"/>
        </w:rPr>
        <w:t>.</w:t>
      </w:r>
      <w:r w:rsidRPr="004E0D59">
        <w:rPr>
          <w:rFonts w:cs="Arial"/>
        </w:rPr>
        <w:t xml:space="preserve"> In these analyses non-wear was determined if at least 2 accelerometer axis had a standard deviation &lt;13m</w:t>
      </w:r>
      <w:r w:rsidRPr="004E0D59">
        <w:rPr>
          <w:rFonts w:cs="Arial"/>
          <w:i/>
        </w:rPr>
        <w:t>g</w:t>
      </w:r>
      <w:r w:rsidRPr="004E0D59">
        <w:rPr>
          <w:rFonts w:cs="Arial"/>
        </w:rPr>
        <w:t xml:space="preserve"> and a range &lt; 50m</w:t>
      </w:r>
      <w:r w:rsidRPr="004E0D59">
        <w:rPr>
          <w:rFonts w:cs="Arial"/>
          <w:i/>
        </w:rPr>
        <w:t>g</w:t>
      </w:r>
      <w:r w:rsidRPr="004E0D59">
        <w:rPr>
          <w:rFonts w:cs="Arial"/>
        </w:rPr>
        <w:t xml:space="preserve"> over 60 minute windows, using moving increments of 15 minutes </w:t>
      </w:r>
      <w:r w:rsidR="00A11111">
        <w:rPr>
          <w:rFonts w:cs="Arial"/>
        </w:rPr>
        <w:fldChar w:fldCharType="begin">
          <w:fldData xml:space="preserve">PEVuZE5vdGU+PENpdGU+PEF1dGhvcj52YW4gSGVlczwvQXV0aG9yPjxZZWFyPjIwMTM8L1llYXI+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</w:fldData>
        </w:fldChar>
      </w:r>
      <w:r w:rsidR="00FF0067">
        <w:rPr>
          <w:rFonts w:cs="Arial"/>
        </w:rPr>
        <w:instrText xml:space="preserve"> ADDIN EN.CITE </w:instrText>
      </w:r>
      <w:r w:rsidR="00FF0067">
        <w:rPr>
          <w:rFonts w:cs="Arial"/>
        </w:rPr>
        <w:fldChar w:fldCharType="begin">
          <w:fldData xml:space="preserve">PEVuZE5vdGU+PENpdGU+PEF1dGhvcj52YW4gSGVlczwvQXV0aG9yPjxZZWFyPjIwMTM8L1llYXI+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</w:fldData>
        </w:fldChar>
      </w:r>
      <w:r w:rsidR="00FF0067">
        <w:rPr>
          <w:rFonts w:cs="Arial"/>
        </w:rPr>
        <w:instrText xml:space="preserve"> ADDIN EN.CITE.DATA </w:instrText>
      </w:r>
      <w:r w:rsidR="00FF0067">
        <w:rPr>
          <w:rFonts w:cs="Arial"/>
        </w:rPr>
      </w:r>
      <w:r w:rsidR="00FF0067">
        <w:rPr>
          <w:rFonts w:cs="Arial"/>
        </w:rPr>
        <w:fldChar w:fldCharType="end"/>
      </w:r>
      <w:r w:rsidR="00A11111">
        <w:rPr>
          <w:rFonts w:cs="Arial"/>
        </w:rPr>
      </w:r>
      <w:r w:rsidR="00A11111">
        <w:rPr>
          <w:rFonts w:cs="Arial"/>
        </w:rPr>
        <w:fldChar w:fldCharType="separate"/>
      </w:r>
      <w:r w:rsidR="006347BE" w:rsidRPr="006347BE">
        <w:rPr>
          <w:rFonts w:cs="Arial"/>
          <w:noProof/>
          <w:vertAlign w:val="superscript"/>
        </w:rPr>
        <w:t>38</w:t>
      </w:r>
      <w:r w:rsidR="00A11111">
        <w:rPr>
          <w:rFonts w:cs="Arial"/>
        </w:rPr>
        <w:fldChar w:fldCharType="end"/>
      </w:r>
      <w:r w:rsidR="006D547B">
        <w:rPr>
          <w:rFonts w:cs="Arial"/>
        </w:rPr>
        <w:t>.</w:t>
      </w:r>
      <w:r w:rsidRPr="004E0D59">
        <w:rPr>
          <w:rFonts w:cs="Arial"/>
        </w:rPr>
        <w:t xml:space="preserve">  </w:t>
      </w:r>
    </w:p>
    <w:p w14:paraId="6DF03ABF" w14:textId="1CC7A022" w:rsidR="004E0D59" w:rsidRPr="004E0D59" w:rsidRDefault="009D6F85" w:rsidP="004E0D59">
      <w:pPr>
        <w:keepNext/>
        <w:keepLines/>
        <w:spacing w:before="200" w:after="0" w:line="360" w:lineRule="auto"/>
        <w:outlineLvl w:val="3"/>
        <w:rPr>
          <w:rFonts w:eastAsiaTheme="majorEastAsia" w:cs="Times New Roman"/>
          <w:b/>
          <w:bCs/>
          <w:iCs/>
        </w:rPr>
      </w:pPr>
      <w:r>
        <w:rPr>
          <w:rFonts w:eastAsiaTheme="majorEastAsia" w:cs="Times New Roman"/>
          <w:b/>
          <w:bCs/>
          <w:iCs/>
        </w:rPr>
        <w:lastRenderedPageBreak/>
        <w:t>2.1.</w:t>
      </w:r>
      <w:r w:rsidR="009A2C4F">
        <w:rPr>
          <w:rFonts w:eastAsiaTheme="majorEastAsia" w:cs="Times New Roman"/>
          <w:b/>
          <w:bCs/>
          <w:iCs/>
        </w:rPr>
        <w:t>8</w:t>
      </w:r>
      <w:r>
        <w:rPr>
          <w:rFonts w:eastAsiaTheme="majorEastAsia" w:cs="Times New Roman"/>
          <w:b/>
          <w:bCs/>
          <w:iCs/>
        </w:rPr>
        <w:t>.4 Food I</w:t>
      </w:r>
      <w:r w:rsidR="004E0D59" w:rsidRPr="004E0D59">
        <w:rPr>
          <w:rFonts w:eastAsiaTheme="majorEastAsia" w:cs="Times New Roman"/>
          <w:b/>
          <w:bCs/>
          <w:iCs/>
        </w:rPr>
        <w:t>ntake Questionnaire</w:t>
      </w:r>
    </w:p>
    <w:p w14:paraId="340AB569" w14:textId="14A3BCD2" w:rsidR="004E0D59" w:rsidRPr="004E0D59" w:rsidRDefault="004E0D59" w:rsidP="004E0D59">
      <w:pPr>
        <w:spacing w:line="360" w:lineRule="auto"/>
        <w:contextualSpacing/>
        <w:rPr>
          <w:rFonts w:cs="Arial"/>
          <w:noProof/>
        </w:rPr>
      </w:pPr>
      <w:r w:rsidRPr="004E0D59">
        <w:rPr>
          <w:rFonts w:cs="Arial"/>
          <w:noProof/>
        </w:rPr>
        <w:t xml:space="preserve">Food intake was assessed using the adapted version of the validated Food Intake Questionnaire (FIQ) </w:t>
      </w:r>
      <w:r w:rsidRPr="004E0D59">
        <w:rPr>
          <w:rFonts w:cs="Arial"/>
          <w:noProof/>
        </w:rPr>
        <w:fldChar w:fldCharType="begin"/>
      </w:r>
      <w:r w:rsidR="00BF16CD">
        <w:rPr>
          <w:rFonts w:cs="Arial"/>
          <w:noProof/>
        </w:rPr>
        <w:instrText xml:space="preserve"> ADDIN EN.CITE &lt;EndNote&gt;&lt;Cite&gt;&lt;Author&gt;Johnson&lt;/Author&gt;&lt;Year&gt;1997&lt;/Year&gt;&lt;RecNum&gt;3132&lt;/RecNum&gt;&lt;DisplayText&gt;&lt;style face="superscript"&gt;39&lt;/style&gt;&lt;/DisplayText&gt;&lt;record&gt;&lt;rec-number&gt;3132&lt;/rec-number&gt;&lt;foreign-keys&gt;&lt;key app="EN" db-id="2ewa9rrvjsdsawep2vpx5x97eedzzvxx5rta" timestamp="0"&gt;3132&lt;/key&gt;&lt;/foreign-keys&gt;&lt;ref-type name="Journal Article"&gt;17&lt;/ref-type&gt;&lt;contributors&gt;&lt;authors&gt;&lt;author&gt;Johnson, B.&lt;/author&gt;&lt;author&gt;Hackett, A. F.&lt;/author&gt;&lt;/authors&gt;&lt;/contributors&gt;&lt;titles&gt;&lt;title&gt;Eating habits of 11–14-year-old schoolchildren living in less affluent areas of Liverpool, UK&lt;/title&gt;&lt;secondary-title&gt;Journal of Human Nutrition and Dietetics&lt;/secondary-title&gt;&lt;/titles&gt;&lt;periodical&gt;&lt;full-title&gt;Journal of Human Nutrition and Dietetics&lt;/full-title&gt;&lt;abbr-1&gt;J. Hum. Nutr. Diet.&lt;/abbr-1&gt;&lt;abbr-2&gt;J Hum Nutr Diet&lt;/abbr-2&gt;&lt;abbr-3&gt;Journal of Human Nutrition &amp;amp; Dietetics&lt;/abbr-3&gt;&lt;/periodical&gt;&lt;pages&gt;135-144&lt;/pages&gt;&lt;volume&gt;10&lt;/volume&gt;&lt;number&gt;2&lt;/number&gt;&lt;keywords&gt;&lt;keyword&gt;computer survey&lt;/keyword&gt;&lt;keyword&gt;eating habits&lt;/keyword&gt;&lt;keyword&gt;schoolchildren&lt;/keyword&gt;&lt;/keywords&gt;&lt;dates&gt;&lt;year&gt;1997&lt;/year&gt;&lt;/dates&gt;&lt;publisher&gt;Blackwell Science Ltd&lt;/publisher&gt;&lt;isbn&gt;1365-277X&lt;/isbn&gt;&lt;urls&gt;&lt;related-urls&gt;&lt;url&gt;http://dx.doi.org/10.1046/j.1365-277X.1997.00046.x&lt;/url&gt;&lt;/related-urls&gt;&lt;/urls&gt;&lt;electronic-resource-num&gt;10.1046/j.1365-277X.1997.00046.x&lt;/electronic-resource-num&gt;&lt;/record&gt;&lt;/Cite&gt;&lt;/EndNote&gt;</w:instrText>
      </w:r>
      <w:r w:rsidRPr="004E0D59">
        <w:rPr>
          <w:rFonts w:cs="Arial"/>
          <w:noProof/>
        </w:rPr>
        <w:fldChar w:fldCharType="separate"/>
      </w:r>
      <w:r w:rsidR="006347BE" w:rsidRPr="006347BE">
        <w:rPr>
          <w:rFonts w:cs="Arial"/>
          <w:noProof/>
          <w:vertAlign w:val="superscript"/>
        </w:rPr>
        <w:t>39</w:t>
      </w:r>
      <w:r w:rsidRPr="004E0D59">
        <w:rPr>
          <w:rFonts w:cs="Arial"/>
          <w:noProof/>
        </w:rPr>
        <w:fldChar w:fldCharType="end"/>
      </w:r>
      <w:r w:rsidRPr="004E0D59">
        <w:rPr>
          <w:rFonts w:cs="Arial"/>
          <w:noProof/>
        </w:rPr>
        <w:t xml:space="preserve">. The FIQ asks children about the food and beverages they consumed the previous day and allows an estimation of the </w:t>
      </w:r>
      <w:r w:rsidRPr="004E0D59">
        <w:rPr>
          <w:rFonts w:cs="Arial"/>
          <w:i/>
          <w:noProof/>
        </w:rPr>
        <w:t xml:space="preserve">number </w:t>
      </w:r>
      <w:r w:rsidRPr="004E0D59">
        <w:rPr>
          <w:rFonts w:cs="Arial"/>
          <w:noProof/>
        </w:rPr>
        <w:t>of</w:t>
      </w:r>
      <w:r w:rsidR="00A22A08">
        <w:rPr>
          <w:rFonts w:cs="Arial"/>
          <w:noProof/>
        </w:rPr>
        <w:t xml:space="preserve"> different types of </w:t>
      </w:r>
      <w:r w:rsidRPr="004E0D59">
        <w:rPr>
          <w:rFonts w:cs="Arial"/>
          <w:noProof/>
        </w:rPr>
        <w:t xml:space="preserve"> healthy and unhealthy food and drink items consumed per day. This questionnaire was developed for children of the same age as those in this study and can be adapted to capture consumption of a number of food groups, depending upon the focus of an intervention [personal communication</w:t>
      </w:r>
      <w:r w:rsidR="004A3EB3">
        <w:rPr>
          <w:rFonts w:cs="Arial"/>
          <w:noProof/>
        </w:rPr>
        <w:t xml:space="preserve"> with the authors</w:t>
      </w:r>
      <w:r w:rsidRPr="004E0D59">
        <w:rPr>
          <w:rFonts w:cs="Arial"/>
          <w:noProof/>
        </w:rPr>
        <w:t xml:space="preserve">]. We adapted the questionnaire so that we could focus specifically on healthy (10 items) and unhealthy (13 items) snacks and drinks and negative (25 items) and positive (22 items) food markers. Children had to answer yes or no as to whether they have consumed each food item the previous day. A number of items make up each category to provide a total score from which an average number consumed per day is calculated. Questionnaire items, the scoring system and the tolerances for missing data can be seen in </w:t>
      </w:r>
      <w:r w:rsidR="00F119E4" w:rsidRPr="00F119E4">
        <w:rPr>
          <w:rFonts w:cs="Arial"/>
          <w:noProof/>
        </w:rPr>
        <w:t>Appendix 2</w:t>
      </w:r>
      <w:r w:rsidRPr="00F119E4">
        <w:rPr>
          <w:rFonts w:cs="Arial"/>
          <w:noProof/>
        </w:rPr>
        <w:t>.</w:t>
      </w:r>
    </w:p>
    <w:p w14:paraId="19DE5916" w14:textId="77777777" w:rsidR="004E0D59" w:rsidRPr="004E0D59" w:rsidRDefault="004E0D59" w:rsidP="004E0D59">
      <w:pPr>
        <w:spacing w:line="360" w:lineRule="auto"/>
        <w:contextualSpacing/>
        <w:rPr>
          <w:rFonts w:cs="Arial"/>
          <w:noProof/>
        </w:rPr>
      </w:pPr>
    </w:p>
    <w:p w14:paraId="020C4F9A" w14:textId="6200048A" w:rsidR="004E0D59" w:rsidRPr="004E0D59" w:rsidRDefault="004E0D59" w:rsidP="004E0D59">
      <w:pPr>
        <w:spacing w:line="360" w:lineRule="auto"/>
        <w:contextualSpacing/>
        <w:rPr>
          <w:rFonts w:cs="Arial"/>
          <w:noProof/>
        </w:rPr>
      </w:pPr>
      <w:r w:rsidRPr="004E0D59">
        <w:rPr>
          <w:rFonts w:cs="Arial"/>
          <w:noProof/>
        </w:rPr>
        <w:t>Children completed the FIQ twice</w:t>
      </w:r>
      <w:r w:rsidR="00C02D45">
        <w:rPr>
          <w:rFonts w:cs="Arial"/>
          <w:noProof/>
        </w:rPr>
        <w:t>,</w:t>
      </w:r>
      <w:r w:rsidRPr="004E0D59">
        <w:rPr>
          <w:rFonts w:cs="Arial"/>
          <w:noProof/>
        </w:rPr>
        <w:t xml:space="preserve"> at baseline and 18 months</w:t>
      </w:r>
      <w:r w:rsidR="00257373">
        <w:rPr>
          <w:rFonts w:cs="Arial"/>
          <w:noProof/>
        </w:rPr>
        <w:t>,</w:t>
      </w:r>
      <w:r w:rsidRPr="004E0D59">
        <w:rPr>
          <w:rFonts w:cs="Arial"/>
          <w:noProof/>
        </w:rPr>
        <w:t xml:space="preserve"> in order to </w:t>
      </w:r>
      <w:r w:rsidR="00257373">
        <w:rPr>
          <w:rFonts w:cs="Arial"/>
          <w:noProof/>
        </w:rPr>
        <w:t>assess</w:t>
      </w:r>
      <w:r w:rsidRPr="004E0D59">
        <w:rPr>
          <w:rFonts w:cs="Arial"/>
          <w:noProof/>
        </w:rPr>
        <w:t xml:space="preserve"> weekday (completed Tuesday to Friday) and weekend (completed on a Monday) food intake. The </w:t>
      </w:r>
      <w:r w:rsidR="00E0630B">
        <w:t>HeLP Coordinator</w:t>
      </w:r>
      <w:r w:rsidRPr="004E0D59">
        <w:rPr>
          <w:rFonts w:cs="Arial"/>
          <w:noProof/>
        </w:rPr>
        <w:t xml:space="preserve"> led the two lessons required for the children to complete the questionnaires at each timepoint</w:t>
      </w:r>
      <w:r w:rsidR="00302790">
        <w:rPr>
          <w:rFonts w:cs="Arial"/>
          <w:noProof/>
        </w:rPr>
        <w:t>.</w:t>
      </w:r>
      <w:r w:rsidRPr="004E0D59">
        <w:rPr>
          <w:rFonts w:cs="Arial"/>
          <w:noProof/>
        </w:rPr>
        <w:t xml:space="preserve"> Children were arranged in literacy tables to ensure that assistance could be given as efficiently as possible. An additional researcher, the class teacher</w:t>
      </w:r>
      <w:r w:rsidR="00837AE9">
        <w:rPr>
          <w:rFonts w:cs="Arial"/>
          <w:noProof/>
        </w:rPr>
        <w:t xml:space="preserve"> and the teaching assistant </w:t>
      </w:r>
      <w:r w:rsidRPr="004E0D59">
        <w:rPr>
          <w:rFonts w:cs="Arial"/>
          <w:noProof/>
        </w:rPr>
        <w:t xml:space="preserve"> also provided support. </w:t>
      </w:r>
    </w:p>
    <w:p w14:paraId="2D5679AC" w14:textId="77777777" w:rsidR="004E0D59" w:rsidRPr="004E0D59" w:rsidRDefault="004E0D59" w:rsidP="004E0D59">
      <w:pPr>
        <w:spacing w:line="360" w:lineRule="auto"/>
      </w:pPr>
    </w:p>
    <w:p w14:paraId="69869433" w14:textId="703D0331" w:rsidR="004E0D59" w:rsidRPr="004E0D59" w:rsidRDefault="009D6F85" w:rsidP="004E0D59">
      <w:pPr>
        <w:keepNext/>
        <w:keepLines/>
        <w:spacing w:before="200" w:after="0" w:line="360" w:lineRule="auto"/>
        <w:outlineLvl w:val="3"/>
        <w:rPr>
          <w:rFonts w:eastAsiaTheme="majorEastAsia" w:cs="Times New Roman"/>
          <w:b/>
          <w:bCs/>
          <w:iCs/>
        </w:rPr>
      </w:pPr>
      <w:r>
        <w:rPr>
          <w:rFonts w:eastAsiaTheme="majorEastAsia" w:cs="Times New Roman"/>
          <w:b/>
          <w:bCs/>
          <w:iCs/>
        </w:rPr>
        <w:t>2.1.</w:t>
      </w:r>
      <w:r w:rsidR="009A2C4F">
        <w:rPr>
          <w:rFonts w:eastAsiaTheme="majorEastAsia" w:cs="Times New Roman"/>
          <w:b/>
          <w:bCs/>
          <w:iCs/>
        </w:rPr>
        <w:t>8</w:t>
      </w:r>
      <w:r>
        <w:rPr>
          <w:rFonts w:eastAsiaTheme="majorEastAsia" w:cs="Times New Roman"/>
          <w:b/>
          <w:bCs/>
          <w:iCs/>
        </w:rPr>
        <w:t xml:space="preserve">.5 </w:t>
      </w:r>
      <w:r w:rsidR="004E0D59" w:rsidRPr="004E0D59">
        <w:rPr>
          <w:rFonts w:eastAsiaTheme="majorEastAsia" w:cs="Times New Roman"/>
          <w:b/>
          <w:bCs/>
          <w:iCs/>
        </w:rPr>
        <w:t>My Lifestyle Questionnaire (MLQ)</w:t>
      </w:r>
    </w:p>
    <w:p w14:paraId="03D774D3" w14:textId="699374FF" w:rsidR="004D09AD" w:rsidRPr="001241D4" w:rsidRDefault="004D09AD" w:rsidP="00257373">
      <w:pPr>
        <w:spacing w:after="0" w:line="360" w:lineRule="auto"/>
        <w:rPr>
          <w:rFonts w:eastAsiaTheme="majorEastAsia" w:cs="Times New Roman"/>
          <w:bCs/>
          <w:iCs/>
        </w:rPr>
      </w:pPr>
      <w:r w:rsidRPr="004E0D59">
        <w:rPr>
          <w:rFonts w:eastAsiaTheme="majorEastAsia" w:cs="Times New Roman"/>
          <w:bCs/>
          <w:iCs/>
        </w:rPr>
        <w:t xml:space="preserve">The MLQ was designed to assess </w:t>
      </w:r>
      <w:r w:rsidR="00837AE9">
        <w:rPr>
          <w:rFonts w:eastAsiaTheme="majorEastAsia" w:cs="Times New Roman"/>
          <w:bCs/>
          <w:iCs/>
        </w:rPr>
        <w:t xml:space="preserve">knowledge and </w:t>
      </w:r>
      <w:r>
        <w:rPr>
          <w:rFonts w:eastAsiaTheme="majorEastAsia" w:cs="Times New Roman"/>
          <w:bCs/>
          <w:iCs/>
        </w:rPr>
        <w:t xml:space="preserve">a series of </w:t>
      </w:r>
      <w:r w:rsidR="00C02D45">
        <w:rPr>
          <w:rFonts w:eastAsiaTheme="majorEastAsia" w:cs="Times New Roman"/>
          <w:bCs/>
          <w:iCs/>
        </w:rPr>
        <w:t xml:space="preserve">potential </w:t>
      </w:r>
      <w:r>
        <w:rPr>
          <w:rFonts w:eastAsiaTheme="majorEastAsia" w:cs="Times New Roman"/>
          <w:bCs/>
          <w:iCs/>
        </w:rPr>
        <w:t xml:space="preserve">cognitive and behavioural mediators of </w:t>
      </w:r>
      <w:r w:rsidRPr="004E0D59">
        <w:rPr>
          <w:rFonts w:eastAsiaTheme="majorEastAsia" w:cs="Times New Roman"/>
          <w:bCs/>
          <w:iCs/>
        </w:rPr>
        <w:t xml:space="preserve">any observed differences in outcome between the control and the intervention groups. </w:t>
      </w:r>
      <w:r>
        <w:rPr>
          <w:rFonts w:eastAsiaTheme="majorEastAsia" w:cs="Times New Roman"/>
          <w:bCs/>
          <w:iCs/>
        </w:rPr>
        <w:t xml:space="preserve">The questionnaire included items designed to assess knowledge, </w:t>
      </w:r>
      <w:r w:rsidR="00837AE9">
        <w:rPr>
          <w:rFonts w:eastAsiaTheme="majorEastAsia" w:cs="Times New Roman"/>
          <w:bCs/>
          <w:iCs/>
        </w:rPr>
        <w:t>self-efficacy, intentions</w:t>
      </w:r>
      <w:r w:rsidR="00FB275C">
        <w:rPr>
          <w:rFonts w:eastAsiaTheme="majorEastAsia" w:cs="Times New Roman"/>
          <w:bCs/>
          <w:iCs/>
        </w:rPr>
        <w:t xml:space="preserve">, peer norms, family approval, </w:t>
      </w:r>
      <w:r>
        <w:rPr>
          <w:rFonts w:eastAsiaTheme="majorEastAsia" w:cs="Times New Roman"/>
          <w:bCs/>
          <w:iCs/>
        </w:rPr>
        <w:t xml:space="preserve">attitudes towards </w:t>
      </w:r>
      <w:r w:rsidR="00837AE9">
        <w:rPr>
          <w:rFonts w:eastAsiaTheme="majorEastAsia" w:cs="Times New Roman"/>
          <w:bCs/>
          <w:iCs/>
        </w:rPr>
        <w:t xml:space="preserve">restrictions on behaviour, parental provision and rules, </w:t>
      </w:r>
      <w:r>
        <w:rPr>
          <w:rFonts w:eastAsiaTheme="majorEastAsia" w:cs="Times New Roman"/>
          <w:bCs/>
          <w:iCs/>
        </w:rPr>
        <w:t>goal setting, self-</w:t>
      </w:r>
      <w:r w:rsidR="00837AE9">
        <w:rPr>
          <w:rFonts w:eastAsiaTheme="majorEastAsia" w:cs="Times New Roman"/>
          <w:bCs/>
          <w:iCs/>
        </w:rPr>
        <w:t xml:space="preserve">monitoring </w:t>
      </w:r>
      <w:r>
        <w:rPr>
          <w:rFonts w:eastAsiaTheme="majorEastAsia" w:cs="Times New Roman"/>
          <w:bCs/>
          <w:iCs/>
        </w:rPr>
        <w:t xml:space="preserve">and a range of relevant behavioural skills including suggestions to and discussion with parents, shopping, cooking and trying new snacks. </w:t>
      </w:r>
      <w:r w:rsidR="00837AE9">
        <w:rPr>
          <w:rFonts w:eastAsiaTheme="majorEastAsia" w:cs="Times New Roman"/>
          <w:bCs/>
          <w:iCs/>
        </w:rPr>
        <w:t xml:space="preserve">These were derived from previous research </w:t>
      </w:r>
      <w:r w:rsidR="00837AE9" w:rsidRPr="00837AE9">
        <w:rPr>
          <w:rFonts w:eastAsiaTheme="majorEastAsia" w:cs="Times New Roman"/>
          <w:bCs/>
          <w:iCs/>
        </w:rPr>
        <w:t>applying the IMB and HAPA models but tailored to the logic model underpinning the development of HeLP</w:t>
      </w:r>
      <w:r w:rsidR="00171875">
        <w:rPr>
          <w:rFonts w:eastAsiaTheme="majorEastAsia" w:cs="Times New Roman"/>
          <w:bCs/>
          <w:iCs/>
        </w:rPr>
        <w:t xml:space="preserve">, </w:t>
      </w:r>
      <w:r w:rsidR="00171875" w:rsidRPr="00F43C97">
        <w:rPr>
          <w:rFonts w:eastAsiaTheme="majorEastAsia" w:cs="Times New Roman"/>
          <w:bCs/>
          <w:iCs/>
        </w:rPr>
        <w:t>see Appendix 3.</w:t>
      </w:r>
    </w:p>
    <w:p w14:paraId="21FD55FB" w14:textId="5C7A43BC" w:rsidR="004E0D59" w:rsidRPr="004E0D59" w:rsidRDefault="009D6F85" w:rsidP="004E0D59">
      <w:pPr>
        <w:keepNext/>
        <w:keepLines/>
        <w:spacing w:before="200" w:after="0" w:line="360" w:lineRule="auto"/>
        <w:outlineLvl w:val="2"/>
        <w:rPr>
          <w:rFonts w:eastAsiaTheme="majorEastAsia" w:cs="Times New Roman"/>
          <w:b/>
        </w:rPr>
      </w:pPr>
      <w:bookmarkStart w:id="341" w:name="_Toc466710059"/>
      <w:bookmarkStart w:id="342" w:name="_Toc466711407"/>
      <w:bookmarkStart w:id="343" w:name="_Toc466712066"/>
      <w:bookmarkStart w:id="344" w:name="_Toc475974348"/>
      <w:bookmarkStart w:id="345" w:name="_Toc454450813"/>
      <w:bookmarkStart w:id="346" w:name="_Toc454450823"/>
      <w:r>
        <w:rPr>
          <w:rFonts w:eastAsiaTheme="majorEastAsia" w:cs="Times New Roman"/>
          <w:b/>
        </w:rPr>
        <w:t>2.1.</w:t>
      </w:r>
      <w:r w:rsidR="009A2C4F">
        <w:rPr>
          <w:rFonts w:eastAsiaTheme="majorEastAsia" w:cs="Times New Roman"/>
          <w:b/>
        </w:rPr>
        <w:t>9</w:t>
      </w:r>
      <w:r>
        <w:rPr>
          <w:rFonts w:eastAsiaTheme="majorEastAsia" w:cs="Times New Roman"/>
          <w:b/>
        </w:rPr>
        <w:t xml:space="preserve"> </w:t>
      </w:r>
      <w:r w:rsidR="004E0D59" w:rsidRPr="004E0D59">
        <w:rPr>
          <w:rFonts w:eastAsiaTheme="majorEastAsia" w:cs="Times New Roman"/>
          <w:b/>
        </w:rPr>
        <w:t>School Assessment</w:t>
      </w:r>
      <w:bookmarkEnd w:id="341"/>
      <w:bookmarkEnd w:id="342"/>
      <w:bookmarkEnd w:id="343"/>
      <w:bookmarkEnd w:id="344"/>
    </w:p>
    <w:p w14:paraId="0ED847B1" w14:textId="03A5C883" w:rsidR="004E0D59" w:rsidRPr="004E0D59" w:rsidRDefault="004E0D59" w:rsidP="004E0D59">
      <w:pPr>
        <w:spacing w:after="0" w:line="360" w:lineRule="auto"/>
        <w:rPr>
          <w:rFonts w:cs="Times New Roman"/>
        </w:rPr>
      </w:pPr>
      <w:r w:rsidRPr="004E0D59">
        <w:rPr>
          <w:rFonts w:cs="Times New Roman"/>
        </w:rPr>
        <w:t xml:space="preserve">Information on school level characteristics and policies on physical activity and nutrition adopted in each school, were collected at baseline (October/November 2012/13) and at 18 months (June/July </w:t>
      </w:r>
      <w:r w:rsidRPr="004E0D59">
        <w:rPr>
          <w:rFonts w:cs="Times New Roman"/>
        </w:rPr>
        <w:lastRenderedPageBreak/>
        <w:t>2014/15</w:t>
      </w:r>
      <w:r w:rsidR="00E83322">
        <w:rPr>
          <w:rFonts w:cs="Times New Roman"/>
        </w:rPr>
        <w:t xml:space="preserve"> </w:t>
      </w:r>
      <w:r w:rsidR="00F119E4" w:rsidRPr="00F119E4">
        <w:rPr>
          <w:rFonts w:cs="Times New Roman"/>
        </w:rPr>
        <w:t>(</w:t>
      </w:r>
      <w:r w:rsidR="00FE6FD2">
        <w:rPr>
          <w:rFonts w:cs="Times New Roman"/>
        </w:rPr>
        <w:t>see Appendix</w:t>
      </w:r>
      <w:r w:rsidR="00F119E4" w:rsidRPr="00F119E4">
        <w:rPr>
          <w:rFonts w:cs="Times New Roman"/>
        </w:rPr>
        <w:t xml:space="preserve"> </w:t>
      </w:r>
      <w:r w:rsidR="00401042">
        <w:rPr>
          <w:rFonts w:cs="Times New Roman"/>
        </w:rPr>
        <w:t>4</w:t>
      </w:r>
      <w:r w:rsidRPr="00F119E4">
        <w:rPr>
          <w:rFonts w:cs="Times New Roman"/>
        </w:rPr>
        <w:t>) u</w:t>
      </w:r>
      <w:r w:rsidRPr="004E0D59">
        <w:rPr>
          <w:rFonts w:cs="Times New Roman"/>
        </w:rPr>
        <w:t>sing a questionnaire that was completed by a member of staff and/or administrator.</w:t>
      </w:r>
    </w:p>
    <w:p w14:paraId="1A430C0C" w14:textId="77777777" w:rsidR="004E0D59" w:rsidRPr="004E0D59" w:rsidRDefault="004E0D59" w:rsidP="004E0D59">
      <w:pPr>
        <w:spacing w:after="0" w:line="360" w:lineRule="auto"/>
        <w:rPr>
          <w:rFonts w:cs="Times New Roman"/>
        </w:rPr>
      </w:pPr>
    </w:p>
    <w:p w14:paraId="1931EB6C" w14:textId="5985709E" w:rsidR="004E0D59" w:rsidRPr="004E0D59" w:rsidRDefault="009D6F85" w:rsidP="004E0D59">
      <w:pPr>
        <w:spacing w:after="0" w:line="360" w:lineRule="auto"/>
        <w:rPr>
          <w:rFonts w:cs="Times New Roman"/>
          <w:b/>
        </w:rPr>
      </w:pPr>
      <w:r>
        <w:rPr>
          <w:rFonts w:cs="Times New Roman"/>
          <w:b/>
        </w:rPr>
        <w:t xml:space="preserve"> </w:t>
      </w:r>
      <w:r w:rsidR="004E0D59" w:rsidRPr="004E0D59">
        <w:rPr>
          <w:rFonts w:cs="Times New Roman"/>
          <w:b/>
        </w:rPr>
        <w:t>Index of Multiple Deprivation</w:t>
      </w:r>
    </w:p>
    <w:p w14:paraId="2B215784" w14:textId="3D2B4B8E" w:rsidR="004E0D59" w:rsidRPr="004E0D59" w:rsidRDefault="004E0D59" w:rsidP="004E0D59">
      <w:pPr>
        <w:spacing w:line="360" w:lineRule="auto"/>
        <w:rPr>
          <w:color w:val="000000"/>
          <w:lang w:val="en"/>
        </w:rPr>
      </w:pPr>
      <w:r w:rsidRPr="004E0D59">
        <w:rPr>
          <w:rFonts w:cs="Arial"/>
          <w:color w:val="000000"/>
        </w:rPr>
        <w:t>The Index of Multiple Deprivation</w:t>
      </w:r>
      <w:r w:rsidR="00C95961">
        <w:rPr>
          <w:rFonts w:cs="Arial"/>
          <w:color w:val="000000"/>
        </w:rPr>
        <w:t xml:space="preserve"> (IMD)</w:t>
      </w:r>
      <w:r w:rsidRPr="004E0D59">
        <w:rPr>
          <w:rFonts w:cs="Arial"/>
          <w:color w:val="000000"/>
        </w:rPr>
        <w:t xml:space="preserve"> score was assigned to the lower super output area of each school and pupil </w:t>
      </w:r>
      <w:r w:rsidRPr="004E0D59">
        <w:rPr>
          <w:color w:val="000000"/>
          <w:lang w:val="en"/>
        </w:rPr>
        <w:t>as determined by their postcode</w:t>
      </w:r>
      <w:r w:rsidR="008534CB">
        <w:rPr>
          <w:color w:val="000000"/>
          <w:lang w:val="en"/>
        </w:rPr>
        <w:t xml:space="preserve"> </w:t>
      </w:r>
      <w:r w:rsidR="008534CB">
        <w:rPr>
          <w:color w:val="000000"/>
          <w:lang w:val="en"/>
        </w:rPr>
        <w:fldChar w:fldCharType="begin"/>
      </w:r>
      <w:r w:rsidR="00D91A26">
        <w:rPr>
          <w:color w:val="000000"/>
          <w:lang w:val="en"/>
        </w:rPr>
        <w:instrText xml:space="preserve"> ADDIN EN.CITE &lt;EndNote&gt;&lt;Cite ExcludeAuth="1"&gt;&lt;Year&gt;2011&lt;/Year&gt;&lt;RecNum&gt;5722&lt;/RecNum&gt;&lt;DisplayText&gt;&lt;style face="superscript"&gt;40&lt;/style&gt;&lt;/DisplayText&gt;&lt;record&gt;&lt;rec-number&gt;5722&lt;/rec-number&gt;&lt;foreign-keys&gt;&lt;key app="EN" db-id="2ewa9rrvjsdsawep2vpx5x97eedzzvxx5rta" timestamp="1478617618"&gt;5722&lt;/key&gt;&lt;/foreign-keys&gt;&lt;ref-type name="Government Document"&gt;46&lt;/ref-type&gt;&lt;contributors&gt;&lt;secondary-authors&gt;&lt;author&gt;Department for Communities and Local Government &lt;/author&gt;&lt;/secondary-authors&gt;&lt;/contributors&gt;&lt;titles&gt;&lt;title&gt;The English indices of deprivation 2010&lt;/title&gt;&lt;/titles&gt;&lt;dates&gt;&lt;year&gt;2011&lt;/year&gt;&lt;/dates&gt;&lt;pub-location&gt;London&lt;/pub-location&gt;&lt;publisher&gt;Department for Communities and Local Government &lt;/publisher&gt;&lt;urls&gt;&lt;related-urls&gt;&lt;url&gt; http://www.communities.gov.uk/documents/statistics/pdf/1871208.pdf&lt;/url&gt;&lt;/related-urls&gt;&lt;/urls&gt;&lt;access-date&gt;12 Sept 2016&lt;/access-date&gt;&lt;/record&gt;&lt;/Cite&gt;&lt;/EndNote&gt;</w:instrText>
      </w:r>
      <w:r w:rsidR="008534CB">
        <w:rPr>
          <w:color w:val="000000"/>
          <w:lang w:val="en"/>
        </w:rPr>
        <w:fldChar w:fldCharType="separate"/>
      </w:r>
      <w:r w:rsidR="006347BE" w:rsidRPr="006347BE">
        <w:rPr>
          <w:noProof/>
          <w:color w:val="000000"/>
          <w:vertAlign w:val="superscript"/>
          <w:lang w:val="en"/>
        </w:rPr>
        <w:t>40</w:t>
      </w:r>
      <w:r w:rsidR="008534CB">
        <w:rPr>
          <w:color w:val="000000"/>
          <w:lang w:val="en"/>
        </w:rPr>
        <w:fldChar w:fldCharType="end"/>
      </w:r>
      <w:r w:rsidRPr="004E0D59">
        <w:rPr>
          <w:color w:val="000000"/>
          <w:lang w:val="en"/>
        </w:rPr>
        <w:t>.</w:t>
      </w:r>
      <w:r w:rsidR="00C44283">
        <w:rPr>
          <w:color w:val="000000"/>
          <w:lang w:val="en"/>
        </w:rPr>
        <w:t xml:space="preserve"> The </w:t>
      </w:r>
      <w:r w:rsidR="008369EB">
        <w:rPr>
          <w:color w:val="000000"/>
          <w:lang w:val="en"/>
        </w:rPr>
        <w:t xml:space="preserve">school </w:t>
      </w:r>
      <w:r w:rsidR="00C44283">
        <w:rPr>
          <w:color w:val="000000"/>
          <w:lang w:val="en"/>
        </w:rPr>
        <w:t xml:space="preserve">IMD was </w:t>
      </w:r>
      <w:r w:rsidR="00257373">
        <w:rPr>
          <w:color w:val="000000"/>
          <w:lang w:val="en"/>
        </w:rPr>
        <w:t>included as</w:t>
      </w:r>
      <w:r w:rsidR="00C44283">
        <w:rPr>
          <w:color w:val="000000"/>
          <w:lang w:val="en"/>
        </w:rPr>
        <w:t xml:space="preserve"> </w:t>
      </w:r>
      <w:r w:rsidR="008369EB">
        <w:rPr>
          <w:color w:val="000000"/>
          <w:lang w:val="en"/>
        </w:rPr>
        <w:t>a continuous measure within the mediational analysis</w:t>
      </w:r>
      <w:r w:rsidR="00257373">
        <w:rPr>
          <w:color w:val="000000"/>
          <w:lang w:val="en"/>
        </w:rPr>
        <w:t>; child level IMD was al</w:t>
      </w:r>
      <w:r w:rsidR="00FB275C">
        <w:rPr>
          <w:color w:val="000000"/>
          <w:lang w:val="en"/>
        </w:rPr>
        <w:t>so used as a continuous measure</w:t>
      </w:r>
      <w:r w:rsidR="00257373">
        <w:rPr>
          <w:color w:val="000000"/>
          <w:lang w:val="en"/>
        </w:rPr>
        <w:t xml:space="preserve"> in the secondary analysis of the primary outcome to</w:t>
      </w:r>
      <w:r w:rsidR="008369EB">
        <w:rPr>
          <w:color w:val="000000"/>
          <w:lang w:val="en"/>
        </w:rPr>
        <w:t xml:space="preserve"> </w:t>
      </w:r>
      <w:r w:rsidR="00257373">
        <w:rPr>
          <w:color w:val="000000"/>
          <w:lang w:val="en"/>
        </w:rPr>
        <w:t xml:space="preserve">assess whether there was a differential effect on BMI SDS </w:t>
      </w:r>
      <w:r w:rsidR="008369EB">
        <w:rPr>
          <w:color w:val="000000"/>
          <w:lang w:val="en"/>
        </w:rPr>
        <w:t xml:space="preserve">and </w:t>
      </w:r>
      <w:r w:rsidR="00257373">
        <w:rPr>
          <w:color w:val="000000"/>
          <w:lang w:val="en"/>
        </w:rPr>
        <w:t>child</w:t>
      </w:r>
      <w:r w:rsidR="008369EB">
        <w:rPr>
          <w:color w:val="000000"/>
          <w:lang w:val="en"/>
        </w:rPr>
        <w:t xml:space="preserve"> IMD was used as quartiles when assessing whether there was any differential effect of engagement by socioeconomic status</w:t>
      </w:r>
      <w:r w:rsidR="00201C21">
        <w:rPr>
          <w:color w:val="000000"/>
          <w:lang w:val="en"/>
        </w:rPr>
        <w:t xml:space="preserve"> in the process evaluation</w:t>
      </w:r>
      <w:r w:rsidR="008369EB">
        <w:rPr>
          <w:color w:val="000000"/>
          <w:lang w:val="en"/>
        </w:rPr>
        <w:t>.</w:t>
      </w:r>
    </w:p>
    <w:p w14:paraId="39272F28" w14:textId="40EE0FED" w:rsidR="004E0D59" w:rsidRPr="004E0D59" w:rsidRDefault="003A63D5" w:rsidP="004E0D59">
      <w:pPr>
        <w:keepNext/>
        <w:keepLines/>
        <w:spacing w:before="200" w:after="0" w:line="360" w:lineRule="auto"/>
        <w:outlineLvl w:val="2"/>
        <w:rPr>
          <w:rFonts w:eastAsiaTheme="majorEastAsia" w:cs="Times New Roman"/>
          <w:b/>
          <w:bCs/>
          <w:i/>
        </w:rPr>
      </w:pPr>
      <w:bookmarkStart w:id="347" w:name="_Toc466710060"/>
      <w:bookmarkStart w:id="348" w:name="_Toc466711408"/>
      <w:bookmarkStart w:id="349" w:name="_Toc466712067"/>
      <w:bookmarkStart w:id="350" w:name="_Toc475974349"/>
      <w:r>
        <w:rPr>
          <w:rFonts w:eastAsiaTheme="majorEastAsia" w:cs="Times New Roman"/>
          <w:b/>
          <w:bCs/>
        </w:rPr>
        <w:t>2.1.</w:t>
      </w:r>
      <w:r w:rsidR="009A2C4F">
        <w:rPr>
          <w:rFonts w:eastAsiaTheme="majorEastAsia" w:cs="Times New Roman"/>
          <w:b/>
          <w:bCs/>
        </w:rPr>
        <w:t>10</w:t>
      </w:r>
      <w:r>
        <w:rPr>
          <w:rFonts w:eastAsiaTheme="majorEastAsia" w:cs="Times New Roman"/>
          <w:b/>
          <w:bCs/>
        </w:rPr>
        <w:t xml:space="preserve"> </w:t>
      </w:r>
      <w:r w:rsidR="004E0D59" w:rsidRPr="004E0D59">
        <w:rPr>
          <w:rFonts w:eastAsiaTheme="majorEastAsia" w:cs="Times New Roman"/>
          <w:b/>
          <w:bCs/>
        </w:rPr>
        <w:t>Changes to trial protocol</w:t>
      </w:r>
      <w:bookmarkEnd w:id="345"/>
      <w:bookmarkEnd w:id="347"/>
      <w:bookmarkEnd w:id="348"/>
      <w:bookmarkEnd w:id="349"/>
      <w:bookmarkEnd w:id="350"/>
    </w:p>
    <w:p w14:paraId="2F48E0F5" w14:textId="77777777" w:rsidR="004E0D59" w:rsidRPr="004E0D59" w:rsidRDefault="004E0D59" w:rsidP="004E0D59">
      <w:pPr>
        <w:autoSpaceDE w:val="0"/>
        <w:autoSpaceDN w:val="0"/>
        <w:adjustRightInd w:val="0"/>
        <w:spacing w:after="0" w:line="360" w:lineRule="auto"/>
        <w:rPr>
          <w:rFonts w:cs="Arial"/>
        </w:rPr>
      </w:pPr>
      <w:r w:rsidRPr="004E0D59">
        <w:rPr>
          <w:rFonts w:cs="Times New Roman"/>
        </w:rPr>
        <w:t xml:space="preserve">There were two substantial amendments to the protocol during the course of the trial. The first amendment was to clarify the inclusion criteria to include schools who had one single Year 5 class but who may have a second class mixed with Year 5 and Year 6 children. The second amendment related to schools allocated to Cohort 2 of the study which were due to start the study in September 2013 (Cohort 1 schools started in September 2012). </w:t>
      </w:r>
      <w:r w:rsidRPr="004E0D59">
        <w:rPr>
          <w:rFonts w:cs="Arial"/>
        </w:rPr>
        <w:t>These schools were re-contacted in July 2013, at which time two schools indicated that their circumstances had changed and they were no longer able (or eligible) to participate in the trial. Schools that had been placed on the waiting list were therefore contacted to establish whether they were still willing and eligible to participate, of which two were. Given the possibility of selection bias in the two withdrawn schools and in terms of potential imbalance between intervention and control groups in school level cofounders (known and unknown), the 16 schools in Cohort 2 (i.e. after replacing the two withdrawn schools with the two schools from the waiting list) were all re-allocated to intervention or control group. This was completed using a minimisation approach, to ensure reasonable balance in the stratification factors between the allocated groups across the combined two cohorts.</w:t>
      </w:r>
    </w:p>
    <w:p w14:paraId="19EADF2A" w14:textId="3A438C50" w:rsidR="004E0D59" w:rsidRPr="004E0D59" w:rsidRDefault="009D6F85" w:rsidP="004E0D59">
      <w:pPr>
        <w:keepNext/>
        <w:keepLines/>
        <w:spacing w:before="200" w:after="0" w:line="360" w:lineRule="auto"/>
        <w:outlineLvl w:val="1"/>
        <w:rPr>
          <w:rFonts w:eastAsiaTheme="majorEastAsia" w:cstheme="majorBidi"/>
          <w:b/>
          <w:bCs/>
        </w:rPr>
      </w:pPr>
      <w:bookmarkStart w:id="351" w:name="_Toc466639037"/>
      <w:bookmarkStart w:id="352" w:name="_Toc466710061"/>
      <w:bookmarkStart w:id="353" w:name="_Toc466711409"/>
      <w:bookmarkStart w:id="354" w:name="_Toc466712068"/>
      <w:bookmarkStart w:id="355" w:name="_Toc475974350"/>
      <w:r>
        <w:rPr>
          <w:rFonts w:eastAsiaTheme="majorEastAsia" w:cstheme="majorBidi"/>
          <w:b/>
          <w:bCs/>
        </w:rPr>
        <w:t xml:space="preserve">2.2 </w:t>
      </w:r>
      <w:r w:rsidR="004E0D59" w:rsidRPr="004E0D59">
        <w:rPr>
          <w:rFonts w:eastAsiaTheme="majorEastAsia" w:cstheme="majorBidi"/>
          <w:b/>
          <w:bCs/>
        </w:rPr>
        <w:t>Statistical analysis</w:t>
      </w:r>
      <w:bookmarkEnd w:id="351"/>
      <w:bookmarkEnd w:id="352"/>
      <w:bookmarkEnd w:id="353"/>
      <w:bookmarkEnd w:id="354"/>
      <w:bookmarkEnd w:id="355"/>
      <w:r w:rsidR="004E0D59" w:rsidRPr="004E0D59">
        <w:rPr>
          <w:rFonts w:eastAsiaTheme="majorEastAsia" w:cstheme="majorBidi"/>
          <w:b/>
          <w:bCs/>
        </w:rPr>
        <w:t xml:space="preserve"> </w:t>
      </w:r>
      <w:bookmarkEnd w:id="346"/>
    </w:p>
    <w:p w14:paraId="627FFEA9" w14:textId="1622C798" w:rsidR="004E0D59" w:rsidRPr="004E0D59" w:rsidRDefault="004E0D59" w:rsidP="00663B7F">
      <w:pPr>
        <w:spacing w:after="0" w:line="360" w:lineRule="auto"/>
      </w:pPr>
      <w:r w:rsidRPr="004E0D59">
        <w:t>A detailed analysis plan was developed by the Trial Management Group and approved by the Trial Steering Committee (TSC)</w:t>
      </w:r>
      <w:r w:rsidRPr="004E0D59" w:rsidDel="006F2C46">
        <w:t xml:space="preserve"> </w:t>
      </w:r>
      <w:r w:rsidRPr="004E0D59">
        <w:t>in November 2015</w:t>
      </w:r>
      <w:r w:rsidR="008C43BF">
        <w:t xml:space="preserve"> </w:t>
      </w:r>
      <w:r w:rsidR="008C43BF">
        <w:fldChar w:fldCharType="begin">
          <w:fldData xml:space="preserve">PEVuZE5vdGU+PENpdGU+PEF1dGhvcj5DcmVhbm9yPC9BdXRob3I+PFllYXI+MjAxNjwvWWVhcj48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</w:fldData>
        </w:fldChar>
      </w:r>
      <w:r w:rsidR="008C43BF">
        <w:instrText xml:space="preserve"> ADDIN EN.CITE </w:instrText>
      </w:r>
      <w:r w:rsidR="008C43BF">
        <w:fldChar w:fldCharType="begin">
          <w:fldData xml:space="preserve">PEVuZE5vdGU+PENpdGU+PEF1dGhvcj5DcmVhbm9yPC9BdXRob3I+PFllYXI+MjAxNjwvWWVhcj48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</w:fldData>
        </w:fldChar>
      </w:r>
      <w:r w:rsidR="008C43BF">
        <w:instrText xml:space="preserve"> ADDIN EN.CITE.DATA </w:instrText>
      </w:r>
      <w:r w:rsidR="008C43BF">
        <w:fldChar w:fldCharType="end"/>
      </w:r>
      <w:r w:rsidR="008C43BF">
        <w:fldChar w:fldCharType="separate"/>
      </w:r>
      <w:r w:rsidR="008C43BF" w:rsidRPr="008C43BF">
        <w:rPr>
          <w:noProof/>
          <w:vertAlign w:val="superscript"/>
        </w:rPr>
        <w:t>41</w:t>
      </w:r>
      <w:r w:rsidR="008C43BF">
        <w:fldChar w:fldCharType="end"/>
      </w:r>
      <w:r w:rsidRPr="004E0D59">
        <w:t xml:space="preserve">. Three minor amendments were made following the TSC meeting in July 2016 </w:t>
      </w:r>
      <w:r w:rsidRPr="007A4708">
        <w:t>(</w:t>
      </w:r>
      <w:r w:rsidR="00FE6FD2">
        <w:t>see Appendix</w:t>
      </w:r>
      <w:r w:rsidR="007A4708" w:rsidRPr="007A4708">
        <w:t xml:space="preserve"> </w:t>
      </w:r>
      <w:r w:rsidR="00401042">
        <w:t>5</w:t>
      </w:r>
      <w:r w:rsidRPr="007A4708">
        <w:t>). These</w:t>
      </w:r>
      <w:r w:rsidRPr="004E0D59">
        <w:t xml:space="preserve"> amendments were approved by the TSC Chair in September 2016. The analysis plan and a summary of the amendments are published on the NIHR Public Health Programme website along with the study protocol</w:t>
      </w:r>
      <w:r w:rsidR="00663B7F">
        <w:t xml:space="preserve"> </w:t>
      </w:r>
      <w:r w:rsidR="00663B7F">
        <w:fldChar w:fldCharType="begin"/>
      </w:r>
      <w:r w:rsidR="006B3301">
        <w:instrText xml:space="preserve"> ADDIN EN.CITE &lt;EndNote&gt;&lt;Cite ExcludeAuth="1" ExcludeYear="1"&gt;&lt;RecNum&gt;5674&lt;/RecNum&gt;&lt;DisplayText&gt;&lt;style face="superscript"&gt;42&lt;/style&gt;&lt;/DisplayText&gt;&lt;record&gt;&lt;rec-number&gt;5674&lt;/rec-number&gt;&lt;foreign-keys&gt;&lt;key app="EN" db-id="2ewa9rrvjsdsawep2vpx5x97eedzzvxx5rta" timestamp="1457530239"&gt;5674&lt;/key&gt;&lt;/foreign-keys&gt;&lt;ref-type name="Web Page"&gt;12&lt;/ref-type&gt;&lt;contributors&gt;&lt;/contributors&gt;&lt;titles&gt;&lt;title&gt;National Institute for Health Research Project PHR - 10/3010/01 &lt;/title&gt;&lt;secondary-title&gt;Cluster randomised controlled trial, economic and process evaluation to determine the effectiveness and cost effectiveness of a novel intervention (Healthy Lifestyles Programme, HeLP) to prevent obesity in school children&lt;/secondary-title&gt;&lt;/titles&gt;&lt;number&gt;01 Mar 2016&lt;/number&gt;&lt;dates&gt;&lt;/dates&gt;&lt;urls&gt;&lt;related-urls&gt;&lt;url&gt;http://www.nets.nihr.ac.uk/projects/phr/10301001&lt;/url&gt;&lt;/related-urls&gt;&lt;/urls&gt;&lt;/record&gt;&lt;/Cite&gt;&lt;/EndNote&gt;</w:instrText>
      </w:r>
      <w:r w:rsidR="00663B7F">
        <w:fldChar w:fldCharType="separate"/>
      </w:r>
      <w:r w:rsidR="008C43BF" w:rsidRPr="008C43BF">
        <w:rPr>
          <w:noProof/>
          <w:vertAlign w:val="superscript"/>
        </w:rPr>
        <w:t>42</w:t>
      </w:r>
      <w:r w:rsidR="00663B7F">
        <w:fldChar w:fldCharType="end"/>
      </w:r>
      <w:r w:rsidR="005004B9">
        <w:t>.</w:t>
      </w:r>
    </w:p>
    <w:p w14:paraId="63598045" w14:textId="4C6ABB98" w:rsidR="004E0D59" w:rsidRPr="004E0D59" w:rsidRDefault="009D6F85" w:rsidP="004E0D59">
      <w:pPr>
        <w:keepNext/>
        <w:keepLines/>
        <w:spacing w:before="200" w:after="0" w:line="360" w:lineRule="auto"/>
        <w:outlineLvl w:val="2"/>
        <w:rPr>
          <w:rFonts w:eastAsiaTheme="majorEastAsia" w:cstheme="majorBidi"/>
          <w:b/>
          <w:bCs/>
        </w:rPr>
      </w:pPr>
      <w:bookmarkStart w:id="356" w:name="_Toc466710062"/>
      <w:bookmarkStart w:id="357" w:name="_Toc466711410"/>
      <w:bookmarkStart w:id="358" w:name="_Toc466712069"/>
      <w:bookmarkStart w:id="359" w:name="_Toc475974351"/>
      <w:r>
        <w:rPr>
          <w:rFonts w:eastAsiaTheme="majorEastAsia" w:cstheme="majorBidi"/>
          <w:b/>
          <w:bCs/>
        </w:rPr>
        <w:lastRenderedPageBreak/>
        <w:t xml:space="preserve">2.2.1 </w:t>
      </w:r>
      <w:r w:rsidR="004E0D59" w:rsidRPr="004E0D59">
        <w:rPr>
          <w:rFonts w:eastAsiaTheme="majorEastAsia" w:cstheme="majorBidi"/>
          <w:b/>
          <w:bCs/>
        </w:rPr>
        <w:t>General methods</w:t>
      </w:r>
      <w:bookmarkEnd w:id="356"/>
      <w:bookmarkEnd w:id="357"/>
      <w:bookmarkEnd w:id="358"/>
      <w:bookmarkEnd w:id="359"/>
    </w:p>
    <w:p w14:paraId="7B9ABFF6" w14:textId="578B3721" w:rsidR="004E0D59" w:rsidRPr="004E0D59" w:rsidRDefault="004E0D59" w:rsidP="004E0D59">
      <w:pPr>
        <w:spacing w:after="0" w:line="360" w:lineRule="auto"/>
      </w:pPr>
      <w:r w:rsidRPr="004E0D59">
        <w:t>The reporting and presentation of data from this trial</w:t>
      </w:r>
      <w:r w:rsidR="00EB6B56">
        <w:t xml:space="preserve"> are</w:t>
      </w:r>
      <w:r w:rsidRPr="004E0D59">
        <w:t xml:space="preserve"> in accordance with the CONSORT guidelines for cluster randomised trials </w:t>
      </w:r>
      <w:r w:rsidRPr="004E0D59">
        <w:fldChar w:fldCharType="begin"/>
      </w:r>
      <w:r w:rsidR="008C43BF">
        <w:instrText xml:space="preserve"> ADDIN EN.CITE &lt;EndNote&gt;&lt;Cite&gt;&lt;Author&gt;Campbell&lt;/Author&gt;&lt;Year&gt;2004&lt;/Year&gt;&lt;RecNum&gt;3162&lt;/RecNum&gt;&lt;DisplayText&gt;&lt;style face="superscript"&gt;43&lt;/style&gt;&lt;/DisplayText&gt;&lt;record&gt;&lt;rec-number&gt;3162&lt;/rec-number&gt;&lt;foreign-keys&gt;&lt;key app="EN" db-id="2ewa9rrvjsdsawep2vpx5x97eedzzvxx5rta" timestamp="0"&gt;3162&lt;/key&gt;&lt;/foreign-keys&gt;&lt;ref-type name="Journal Article"&gt;17&lt;/ref-type&gt;&lt;contributors&gt;&lt;authors&gt;&lt;author&gt;Campbell, MK&lt;/author&gt;&lt;author&gt;Elbourne, DR&lt;/author&gt;&lt;author&gt;Altman, DG&lt;/author&gt;&lt;/authors&gt;&lt;/contributors&gt;&lt;titles&gt;&lt;title&gt;CONSORT statement: extension to cluster randomised trials&lt;/title&gt;&lt;secondary-title&gt;British Medical Journal&lt;/secondary-title&gt;&lt;/titles&gt;&lt;periodical&gt;&lt;full-title&gt;British Medical Journal&lt;/full-title&gt;&lt;abbr-1&gt;Br. Med. J.&lt;/abbr-1&gt;&lt;abbr-2&gt;Br Med J&lt;/abbr-2&gt;&lt;/periodical&gt;&lt;pages&gt;702 - 8&lt;/pages&gt;&lt;volume&gt;328&lt;/volume&gt;&lt;dates&gt;&lt;year&gt;2004&lt;/year&gt;&lt;/dates&gt;&lt;accession-num&gt;doi:10.1136/bmj.328.7441.702&lt;/accession-num&gt;&lt;urls&gt;&lt;/urls&gt;&lt;/record&gt;&lt;/Cite&gt;&lt;/EndNote&gt;</w:instrText>
      </w:r>
      <w:r w:rsidRPr="004E0D59">
        <w:fldChar w:fldCharType="separate"/>
      </w:r>
      <w:r w:rsidR="008C43BF" w:rsidRPr="008C43BF">
        <w:rPr>
          <w:noProof/>
          <w:vertAlign w:val="superscript"/>
        </w:rPr>
        <w:t>43</w:t>
      </w:r>
      <w:r w:rsidRPr="004E0D59">
        <w:fldChar w:fldCharType="end"/>
      </w:r>
      <w:r w:rsidRPr="004E0D59">
        <w:t xml:space="preserve">. The primary comparative analyses were conducted on a </w:t>
      </w:r>
      <w:r w:rsidR="00337CF6">
        <w:t>complete-case</w:t>
      </w:r>
      <w:r w:rsidRPr="004E0D59">
        <w:t xml:space="preserve"> intention-to-treat basis, with children analysed according to the group (intervention or control) their school was randomised. All comparative analyses allowed for the clustered nature of the data i.e. children within schools. Unless otherwise specified, all adjusted comparative analyses were adjusted for the two stratification variables (proportion of children eligible for free school meals and number of Year 5 classes) and baseline values for the outcome under consideration, where available. Analyses were also adjusted for gender and cohort. </w:t>
      </w:r>
      <w:r w:rsidR="003B14FE">
        <w:t>Between</w:t>
      </w:r>
      <w:r w:rsidR="003B14FE" w:rsidRPr="004E0D59">
        <w:t xml:space="preserve"> group differences </w:t>
      </w:r>
      <w:r w:rsidR="003B14FE">
        <w:t xml:space="preserve">with only adjustment for clustering </w:t>
      </w:r>
      <w:r w:rsidR="003B14FE" w:rsidRPr="004E0D59">
        <w:t xml:space="preserve">are presented for completeness </w:t>
      </w:r>
      <w:r w:rsidR="003B14FE" w:rsidRPr="004E0D59">
        <w:fldChar w:fldCharType="begin"/>
      </w:r>
      <w:r w:rsidR="008C43BF">
        <w:instrText xml:space="preserve"> ADDIN EN.CITE &lt;EndNote&gt;&lt;Cite&gt;&lt;Author&gt;Products&lt;/Author&gt;&lt;Year&gt;2003&lt;/Year&gt;&lt;RecNum&gt;5549&lt;/RecNum&gt;&lt;DisplayText&gt;&lt;style face="superscript"&gt;44&lt;/style&gt;&lt;/DisplayText&gt;&lt;record&gt;&lt;rec-number&gt;5549&lt;/rec-number&gt;&lt;foreign-keys&gt;&lt;key app="EN" db-id="2ewa9rrvjsdsawep2vpx5x97eedzzvxx5rta" timestamp="0"&gt;5549&lt;/key&gt;&lt;/foreign-keys&gt;&lt;ref-type name="Generic"&gt;13&lt;/ref-type&gt;&lt;contributors&gt;&lt;authors&gt;&lt;author&gt;Committee for the Propriety of Medicinal Products&lt;/author&gt;&lt;/authors&gt;&lt;/contributors&gt;&lt;titles&gt;&lt;title&gt;Points to consider on adjustment for baseline covariates &lt;/title&gt;&lt;/titles&gt;&lt;volume&gt;  &lt;/volume&gt;&lt;dates&gt;&lt;year&gt;2003&lt;/year&gt;&lt;/dates&gt;&lt;pub-location&gt;London&lt;/pub-location&gt;&lt;publisher&gt;The European Agency for the Evaluation of Medicinal Products&lt;/publisher&gt;&lt;urls&gt;&lt;/urls&gt;&lt;/record&gt;&lt;/Cite&gt;&lt;/EndNote&gt;</w:instrText>
      </w:r>
      <w:r w:rsidR="003B14FE" w:rsidRPr="004E0D59">
        <w:fldChar w:fldCharType="separate"/>
      </w:r>
      <w:r w:rsidR="008C43BF" w:rsidRPr="008C43BF">
        <w:rPr>
          <w:noProof/>
          <w:vertAlign w:val="superscript"/>
        </w:rPr>
        <w:t>44</w:t>
      </w:r>
      <w:r w:rsidR="003B14FE" w:rsidRPr="004E0D59">
        <w:fldChar w:fldCharType="end"/>
      </w:r>
      <w:r w:rsidR="003B14FE" w:rsidRPr="004E0D59">
        <w:t xml:space="preserve">. </w:t>
      </w:r>
      <w:r w:rsidRPr="004E0D59">
        <w:t xml:space="preserve">Ninety five percent confidence intervals for between-group comparisons were calculated and are presented in </w:t>
      </w:r>
      <w:r w:rsidR="00E34A3B">
        <w:t>c</w:t>
      </w:r>
      <w:r w:rsidRPr="004E0D59">
        <w:t xml:space="preserve">hapter 3. Where given, p-values for statistical significance are two-sided and the significance level was set at ≤0.05. </w:t>
      </w:r>
    </w:p>
    <w:p w14:paraId="7AC34BF5" w14:textId="77777777" w:rsidR="004E0D59" w:rsidRPr="004E0D59" w:rsidRDefault="004E0D59" w:rsidP="004E0D59">
      <w:pPr>
        <w:spacing w:after="0" w:line="360" w:lineRule="auto"/>
      </w:pPr>
    </w:p>
    <w:p w14:paraId="3145DF21" w14:textId="77777777" w:rsidR="004E0D59" w:rsidRPr="004E0D59" w:rsidRDefault="004E0D59" w:rsidP="004E0D59">
      <w:pPr>
        <w:spacing w:after="0" w:line="360" w:lineRule="auto"/>
      </w:pPr>
      <w:r w:rsidRPr="004E0D59">
        <w:t xml:space="preserve">Adjustments were not made for multiple testing as the primary outcome of interest was clearly defined </w:t>
      </w:r>
      <w:r w:rsidRPr="004E0D59">
        <w:rPr>
          <w:i/>
        </w:rPr>
        <w:t>a priori</w:t>
      </w:r>
      <w:r w:rsidRPr="004E0D59">
        <w:t>. As this is a trial of a complex intervention the secondary outcomes are all potentially of interest and relevance to participants, parents and other stakeholders. Interpretation of the clinical significance of any differences between the two groups acknowledges the range of variables being measured.</w:t>
      </w:r>
    </w:p>
    <w:p w14:paraId="608DC8D5" w14:textId="77777777" w:rsidR="004E0D59" w:rsidRPr="004E0D59" w:rsidRDefault="004E0D59" w:rsidP="004E0D59">
      <w:pPr>
        <w:spacing w:after="0" w:line="360" w:lineRule="auto"/>
      </w:pPr>
    </w:p>
    <w:p w14:paraId="3A5E7709" w14:textId="77777777" w:rsidR="004E0D59" w:rsidRPr="004E0D59" w:rsidRDefault="004E0D59" w:rsidP="004E0D59">
      <w:pPr>
        <w:spacing w:after="0" w:line="360" w:lineRule="auto"/>
      </w:pPr>
      <w:r w:rsidRPr="004E0D59">
        <w:t xml:space="preserve">Summaries of continuous/measurement variables comprise the number of schools or participants and either </w:t>
      </w:r>
    </w:p>
    <w:p w14:paraId="55095E13" w14:textId="43E6034C" w:rsidR="004E0D59" w:rsidRPr="004E0D59" w:rsidRDefault="004E0D59" w:rsidP="00403B07">
      <w:pPr>
        <w:numPr>
          <w:ilvl w:val="0"/>
          <w:numId w:val="14"/>
        </w:numPr>
        <w:spacing w:after="0" w:line="360" w:lineRule="auto"/>
        <w:contextualSpacing/>
      </w:pPr>
      <w:r w:rsidRPr="004E0D59">
        <w:t>the mean</w:t>
      </w:r>
      <w:r w:rsidR="004A3EB3">
        <w:t xml:space="preserve"> and </w:t>
      </w:r>
      <w:r w:rsidR="003B14FE">
        <w:t xml:space="preserve"> standard deviation (SD) </w:t>
      </w:r>
      <w:r w:rsidRPr="004E0D59">
        <w:t>or</w:t>
      </w:r>
    </w:p>
    <w:p w14:paraId="636AD585" w14:textId="60C4D2F5" w:rsidR="004E0D59" w:rsidRPr="004E0D59" w:rsidRDefault="004E0D59" w:rsidP="00403B07">
      <w:pPr>
        <w:numPr>
          <w:ilvl w:val="0"/>
          <w:numId w:val="14"/>
        </w:numPr>
        <w:spacing w:after="0" w:line="360" w:lineRule="auto"/>
        <w:contextualSpacing/>
      </w:pPr>
      <w:r w:rsidRPr="004E0D59">
        <w:t>the med</w:t>
      </w:r>
      <w:r w:rsidR="00031F78">
        <w:t xml:space="preserve">ian and </w:t>
      </w:r>
      <w:r w:rsidR="004A3EB3">
        <w:t>inter-quartile range (IQR)</w:t>
      </w:r>
    </w:p>
    <w:p w14:paraId="148E2842" w14:textId="77777777" w:rsidR="004E0D59" w:rsidRPr="004E0D59" w:rsidRDefault="004E0D59" w:rsidP="004E0D59">
      <w:pPr>
        <w:spacing w:after="0" w:line="360" w:lineRule="auto"/>
      </w:pPr>
      <w:r w:rsidRPr="004E0D59">
        <w:t>as appropriate for the distributional form of the data under consideration.</w:t>
      </w:r>
    </w:p>
    <w:p w14:paraId="2CAB36C2" w14:textId="77777777" w:rsidR="004E0D59" w:rsidRPr="004E0D59" w:rsidRDefault="004E0D59" w:rsidP="004E0D59">
      <w:pPr>
        <w:spacing w:after="0" w:line="360" w:lineRule="auto"/>
      </w:pPr>
    </w:p>
    <w:p w14:paraId="3F606E98" w14:textId="77777777" w:rsidR="004E0D59" w:rsidRPr="004E0D59" w:rsidRDefault="004E0D59" w:rsidP="004E0D59">
      <w:pPr>
        <w:spacing w:after="0" w:line="360" w:lineRule="auto"/>
      </w:pPr>
      <w:r w:rsidRPr="004E0D59">
        <w:t>Summaries of categorical variables comprise of the number of schools or participants and the number and percentage of observations in each category.</w:t>
      </w:r>
    </w:p>
    <w:p w14:paraId="717F86F2" w14:textId="77777777" w:rsidR="004E0D59" w:rsidRPr="004E0D59" w:rsidRDefault="004E0D59" w:rsidP="004E0D59">
      <w:pPr>
        <w:spacing w:after="0" w:line="360" w:lineRule="auto"/>
        <w:rPr>
          <w:color w:val="1F497D"/>
        </w:rPr>
      </w:pPr>
    </w:p>
    <w:p w14:paraId="4468E7ED" w14:textId="77777777" w:rsidR="004E0D59" w:rsidRPr="004E0D59" w:rsidRDefault="004E0D59" w:rsidP="004E0D59">
      <w:pPr>
        <w:spacing w:after="0" w:line="360" w:lineRule="auto"/>
      </w:pPr>
      <w:r w:rsidRPr="004E0D59">
        <w:t>Participating schools were compared to state primary schools in Devon and England at the time of school recruitment into the trial (2012) in terms of the following characteristics:</w:t>
      </w:r>
    </w:p>
    <w:p w14:paraId="07964C3D" w14:textId="77777777" w:rsidR="004E0D59" w:rsidRPr="004E0D59" w:rsidRDefault="004E0D59" w:rsidP="00403B07">
      <w:pPr>
        <w:numPr>
          <w:ilvl w:val="0"/>
          <w:numId w:val="15"/>
        </w:numPr>
        <w:spacing w:after="0" w:line="360" w:lineRule="auto"/>
      </w:pPr>
      <w:r w:rsidRPr="004E0D59">
        <w:t>% of children eligible for free school meals</w:t>
      </w:r>
    </w:p>
    <w:p w14:paraId="2BF76B2C" w14:textId="553BD924" w:rsidR="004E0D59" w:rsidRPr="004E0D59" w:rsidRDefault="00D07B53" w:rsidP="00403B07">
      <w:pPr>
        <w:numPr>
          <w:ilvl w:val="0"/>
          <w:numId w:val="15"/>
        </w:numPr>
        <w:spacing w:after="0" w:line="360" w:lineRule="auto"/>
      </w:pPr>
      <w:r>
        <w:t>Average number of pupils per school</w:t>
      </w:r>
    </w:p>
    <w:p w14:paraId="4DD73480" w14:textId="77777777" w:rsidR="004E0D59" w:rsidRPr="004E0D59" w:rsidRDefault="004E0D59" w:rsidP="00403B07">
      <w:pPr>
        <w:numPr>
          <w:ilvl w:val="0"/>
          <w:numId w:val="15"/>
        </w:numPr>
        <w:spacing w:after="0" w:line="360" w:lineRule="auto"/>
      </w:pPr>
      <w:r w:rsidRPr="004E0D59">
        <w:t>% of children achieving Level 4 at Key Stage 2</w:t>
      </w:r>
    </w:p>
    <w:p w14:paraId="5405F135" w14:textId="77777777" w:rsidR="004E0D59" w:rsidRPr="004E0D59" w:rsidRDefault="004E0D59" w:rsidP="00403B07">
      <w:pPr>
        <w:numPr>
          <w:ilvl w:val="0"/>
          <w:numId w:val="15"/>
        </w:numPr>
        <w:spacing w:after="0" w:line="360" w:lineRule="auto"/>
      </w:pPr>
      <w:r w:rsidRPr="004E0D59">
        <w:t xml:space="preserve">Proportion of pupils with English as an Additional Language </w:t>
      </w:r>
    </w:p>
    <w:p w14:paraId="35C13B14" w14:textId="05C68592" w:rsidR="004E0D59" w:rsidRPr="004E0D59" w:rsidRDefault="004E0D59" w:rsidP="004E0D59">
      <w:pPr>
        <w:spacing w:after="0" w:line="360" w:lineRule="auto"/>
      </w:pPr>
      <w:r w:rsidRPr="004E0D59">
        <w:lastRenderedPageBreak/>
        <w:t xml:space="preserve">The recruitment, flow and </w:t>
      </w:r>
      <w:r w:rsidR="009D1C7F">
        <w:t>follow up</w:t>
      </w:r>
      <w:r w:rsidRPr="004E0D59">
        <w:t xml:space="preserve"> of schools and children in the trial are summarised using the CONSORT-style flow-diagram </w:t>
      </w:r>
      <w:r w:rsidR="00663B7F">
        <w:t>appropriate for cluster trials</w:t>
      </w:r>
      <w:r w:rsidRPr="004E0D59">
        <w:t xml:space="preserve">. The extent and distribution of missing data for each variable was assessed and dealt with as detailed in </w:t>
      </w:r>
      <w:r w:rsidRPr="005F4C23">
        <w:t xml:space="preserve">section </w:t>
      </w:r>
      <w:r w:rsidR="005F4C23" w:rsidRPr="005F4C23">
        <w:t>2.2.7</w:t>
      </w:r>
      <w:r w:rsidRPr="005F4C23">
        <w:t>.</w:t>
      </w:r>
      <w:r w:rsidRPr="004E0D59">
        <w:t xml:space="preserve"> </w:t>
      </w:r>
    </w:p>
    <w:p w14:paraId="51042E7B" w14:textId="35AB8A97" w:rsidR="004E0D59" w:rsidRPr="004E0D59" w:rsidRDefault="009D6F85" w:rsidP="004E0D59">
      <w:pPr>
        <w:keepNext/>
        <w:keepLines/>
        <w:spacing w:before="200" w:after="0" w:line="360" w:lineRule="auto"/>
        <w:outlineLvl w:val="2"/>
        <w:rPr>
          <w:rFonts w:eastAsiaTheme="majorEastAsia" w:cs="Times New Roman"/>
          <w:b/>
          <w:bCs/>
        </w:rPr>
      </w:pPr>
      <w:bookmarkStart w:id="360" w:name="_Toc466710063"/>
      <w:bookmarkStart w:id="361" w:name="_Toc466711411"/>
      <w:bookmarkStart w:id="362" w:name="_Toc466712070"/>
      <w:bookmarkStart w:id="363" w:name="_Toc475974352"/>
      <w:r>
        <w:rPr>
          <w:rFonts w:eastAsiaTheme="majorEastAsia" w:cs="Times New Roman"/>
          <w:b/>
          <w:bCs/>
        </w:rPr>
        <w:t xml:space="preserve">2.2.2 </w:t>
      </w:r>
      <w:r w:rsidR="004E0D59" w:rsidRPr="004E0D59">
        <w:rPr>
          <w:rFonts w:eastAsiaTheme="majorEastAsia" w:cs="Times New Roman"/>
          <w:b/>
          <w:bCs/>
        </w:rPr>
        <w:t>Data sources and data entry</w:t>
      </w:r>
      <w:bookmarkEnd w:id="360"/>
      <w:bookmarkEnd w:id="361"/>
      <w:bookmarkEnd w:id="362"/>
      <w:bookmarkEnd w:id="363"/>
    </w:p>
    <w:p w14:paraId="287808B7" w14:textId="791B7AED" w:rsidR="004E0D59" w:rsidRPr="004E0D59" w:rsidRDefault="004E0D59" w:rsidP="004E0D59">
      <w:pPr>
        <w:spacing w:after="0" w:line="360" w:lineRule="auto"/>
      </w:pPr>
      <w:r w:rsidRPr="004E0D59">
        <w:t xml:space="preserve">Data analysed came from a number of sources. Data collection for all sources followed </w:t>
      </w:r>
      <w:r w:rsidR="00327000">
        <w:t>s</w:t>
      </w:r>
      <w:r w:rsidR="00EB6B56">
        <w:t xml:space="preserve">tandard </w:t>
      </w:r>
      <w:r w:rsidR="00327000">
        <w:t>o</w:t>
      </w:r>
      <w:r w:rsidR="00EB6B56">
        <w:t xml:space="preserve">perating </w:t>
      </w:r>
      <w:r w:rsidR="00327000">
        <w:t>p</w:t>
      </w:r>
      <w:r w:rsidR="00EB6B56">
        <w:t>rocedures</w:t>
      </w:r>
      <w:r w:rsidRPr="004E0D59">
        <w:t xml:space="preserve">, as outlined in </w:t>
      </w:r>
      <w:r w:rsidRPr="005F4C23">
        <w:t xml:space="preserve">section </w:t>
      </w:r>
      <w:r w:rsidR="005F4C23" w:rsidRPr="005F4C23">
        <w:t>2.1.8</w:t>
      </w:r>
      <w:r w:rsidRPr="004E0D59">
        <w:t xml:space="preserve">. Anthropometric measures were captured on a specifically designed data collection form. </w:t>
      </w:r>
    </w:p>
    <w:p w14:paraId="1FF31AC4" w14:textId="77777777" w:rsidR="004E0D59" w:rsidRPr="004E0D59" w:rsidRDefault="004E0D59" w:rsidP="004E0D59">
      <w:pPr>
        <w:spacing w:after="0" w:line="360" w:lineRule="auto"/>
      </w:pPr>
    </w:p>
    <w:p w14:paraId="4C569337" w14:textId="4DB5190B" w:rsidR="004E0D59" w:rsidRPr="004E0D59" w:rsidRDefault="004E0D59" w:rsidP="004E0D59">
      <w:pPr>
        <w:spacing w:after="0" w:line="360" w:lineRule="auto"/>
      </w:pPr>
      <w:r w:rsidRPr="004E0D59">
        <w:t>All data were entered</w:t>
      </w:r>
      <w:r w:rsidR="004A3EB3">
        <w:t xml:space="preserve"> twice, firstly </w:t>
      </w:r>
      <w:r w:rsidRPr="004E0D59">
        <w:t xml:space="preserve">by </w:t>
      </w:r>
      <w:r w:rsidR="004A3EB3">
        <w:t>the</w:t>
      </w:r>
      <w:r w:rsidRPr="004E0D59">
        <w:t xml:space="preserve"> Data Manager and </w:t>
      </w:r>
      <w:r w:rsidR="004A3EB3">
        <w:t>then</w:t>
      </w:r>
      <w:r w:rsidRPr="004E0D59">
        <w:t xml:space="preserve"> by another member of the research team</w:t>
      </w:r>
      <w:r w:rsidR="009839CD">
        <w:t>,</w:t>
      </w:r>
      <w:r w:rsidRPr="004E0D59">
        <w:t xml:space="preserve"> and stored on a secure purposively designed database. Data queries were raised and resolved at data entry. Data discrepancies following second data entry were discussed and resolved with the Trial Manager. Electronic data were extracted from the database during the course of the study for the purpose of checking (validating) and for study progress reports, as well as for the end-of-study statistical analyses.</w:t>
      </w:r>
    </w:p>
    <w:p w14:paraId="305A7FCB" w14:textId="27504D74" w:rsidR="004E0D59" w:rsidRPr="004E0D59" w:rsidRDefault="009D6F85" w:rsidP="004E0D59">
      <w:pPr>
        <w:keepNext/>
        <w:keepLines/>
        <w:spacing w:before="200" w:after="0" w:line="360" w:lineRule="auto"/>
        <w:outlineLvl w:val="2"/>
        <w:rPr>
          <w:rFonts w:eastAsiaTheme="majorEastAsia" w:cs="Times New Roman"/>
          <w:b/>
          <w:bCs/>
        </w:rPr>
      </w:pPr>
      <w:bookmarkStart w:id="364" w:name="_Toc466710064"/>
      <w:bookmarkStart w:id="365" w:name="_Toc466711412"/>
      <w:bookmarkStart w:id="366" w:name="_Toc466712071"/>
      <w:bookmarkStart w:id="367" w:name="_Toc475974353"/>
      <w:r>
        <w:rPr>
          <w:rFonts w:eastAsiaTheme="majorEastAsia" w:cs="Times New Roman"/>
          <w:b/>
          <w:bCs/>
        </w:rPr>
        <w:t xml:space="preserve">2.2.3 </w:t>
      </w:r>
      <w:r w:rsidR="004E0D59" w:rsidRPr="004E0D59">
        <w:rPr>
          <w:rFonts w:eastAsiaTheme="majorEastAsia" w:cs="Times New Roman"/>
          <w:b/>
          <w:bCs/>
        </w:rPr>
        <w:t>Comparison of baseline characteristics</w:t>
      </w:r>
      <w:bookmarkEnd w:id="364"/>
      <w:bookmarkEnd w:id="365"/>
      <w:bookmarkEnd w:id="366"/>
      <w:bookmarkEnd w:id="367"/>
    </w:p>
    <w:p w14:paraId="1AE56E48" w14:textId="0318139D" w:rsidR="004E0D59" w:rsidRPr="004E0D59" w:rsidRDefault="004E0D59" w:rsidP="004E0D59">
      <w:pPr>
        <w:spacing w:after="0" w:line="360" w:lineRule="auto"/>
      </w:pPr>
      <w:r w:rsidRPr="004E0D59">
        <w:t xml:space="preserve">Baseline characteristics were collected at the beginning of each cohort of the trial and appropriate summary statistics computed to compare allocated groups for appropriate balance and to provide an overview of the study sample, both at the school and child levels. At the school level, these included the percentage of children eligible for free school meals, index of multiple deprivation score </w:t>
      </w:r>
      <w:r w:rsidR="009839CD">
        <w:t>derived from</w:t>
      </w:r>
      <w:r w:rsidRPr="004E0D59">
        <w:t xml:space="preserve"> the school’s postcode, number of year 5 classes and average educational attainment</w:t>
      </w:r>
      <w:r w:rsidR="009839CD">
        <w:t xml:space="preserve"> at Key Stage 2 Standard Assessment Tests (SATs)</w:t>
      </w:r>
      <w:r w:rsidRPr="004E0D59">
        <w:t xml:space="preserve">. At the child level, baseline characteristics included gender, age at baseline data collection, </w:t>
      </w:r>
      <w:r w:rsidR="004A3EB3">
        <w:t xml:space="preserve">ethnicity, </w:t>
      </w:r>
      <w:r w:rsidRPr="004E0D59">
        <w:t>individual IMD value, all anthropometric measurements, physical activity, and FIQ.</w:t>
      </w:r>
    </w:p>
    <w:p w14:paraId="6EC48A55" w14:textId="12CECDB9" w:rsidR="004E0D59" w:rsidRPr="004E0D59" w:rsidRDefault="004E0D59" w:rsidP="004E0D59">
      <w:pPr>
        <w:spacing w:before="240" w:after="0" w:line="360" w:lineRule="auto"/>
      </w:pPr>
      <w:r w:rsidRPr="004E0D59">
        <w:t xml:space="preserve">The formal statistical comparison at baseline of randomised groups is not good practice </w:t>
      </w:r>
      <w:r w:rsidRPr="004E0D59">
        <w:fldChar w:fldCharType="begin"/>
      </w:r>
      <w:r w:rsidR="008C43BF">
        <w:instrText xml:space="preserve"> ADDIN EN.CITE &lt;EndNote&gt;&lt;Cite&gt;&lt;Author&gt;Senn&lt;/Author&gt;&lt;Year&gt;1994&lt;/Year&gt;&lt;RecNum&gt;5338&lt;/RecNum&gt;&lt;DisplayText&gt;&lt;style face="superscript"&gt;45&lt;/style&gt;&lt;/DisplayText&gt;&lt;record&gt;&lt;rec-number&gt;5338&lt;/rec-number&gt;&lt;foreign-keys&gt;&lt;key app="EN" db-id="2ewa9rrvjsdsawep2vpx5x97eedzzvxx5rta" timestamp="0"&gt;5338&lt;/key&gt;&lt;/foreign-keys&gt;&lt;ref-type name="Journal Article"&gt;17&lt;/ref-type&gt;&lt;contributors&gt;&lt;authors&gt;&lt;author&gt;Senn, S.&lt;/author&gt;&lt;/authors&gt;&lt;/contributors&gt;&lt;auth-address&gt;Medicine and Clinical Development Department, CIBA, Basle, Switzerland.&lt;/auth-address&gt;&lt;titles&gt;&lt;title&gt;Testing for baseline balance in clinical trials&lt;/title&gt;&lt;secondary-title&gt;Stat Med&lt;/secondary-title&gt;&lt;alt-title&gt;Statistics in medicine&lt;/alt-title&gt;&lt;/titles&gt;&lt;periodical&gt;&lt;full-title&gt;Statistics in Medicine&lt;/full-title&gt;&lt;abbr-1&gt;Stat. Med.&lt;/abbr-1&gt;&lt;abbr-2&gt;Stat Med&lt;/abbr-2&gt;&lt;/periodical&gt;&lt;alt-periodical&gt;&lt;full-title&gt;Statistics in Medicine&lt;/full-title&gt;&lt;abbr-1&gt;Stat. Med.&lt;/abbr-1&gt;&lt;abbr-2&gt;Stat Med&lt;/abbr-2&gt;&lt;/alt-periodical&gt;&lt;pages&gt;1715-26&lt;/pages&gt;&lt;volume&gt;13&lt;/volume&gt;&lt;number&gt;17&lt;/number&gt;&lt;edition&gt;1994/09/15&lt;/edition&gt;&lt;keywords&gt;&lt;keyword&gt;Algorithms&lt;/keyword&gt;&lt;keyword&gt;Analysis of Variance&lt;/keyword&gt;&lt;keyword&gt;*Data Interpretation, Statistical&lt;/keyword&gt;&lt;keyword&gt;Humans&lt;/keyword&gt;&lt;keyword&gt;*Multivariate Analysis&lt;/keyword&gt;&lt;keyword&gt;Randomized Controlled Trials as Topic/*statistics &amp;amp; numerical data&lt;/keyword&gt;&lt;keyword&gt;*Research Design&lt;/keyword&gt;&lt;keyword&gt;Sample Size&lt;/keyword&gt;&lt;keyword&gt;*Selection Bias&lt;/keyword&gt;&lt;keyword&gt;Treatment Outcome&lt;/keyword&gt;&lt;/keywords&gt;&lt;dates&gt;&lt;year&gt;1994&lt;/year&gt;&lt;pub-dates&gt;&lt;date&gt;Sep 15&lt;/date&gt;&lt;/pub-dates&gt;&lt;/dates&gt;&lt;isbn&gt;0277-6715 (Print)&amp;#xD;0277-6715 (Linking)&lt;/isbn&gt;&lt;accession-num&gt;7997705&lt;/accession-num&gt;&lt;urls&gt;&lt;related-urls&gt;&lt;url&gt;http://www.ncbi.nlm.nih.gov/pubmed/7997705&lt;/url&gt;&lt;/related-urls&gt;&lt;/urls&gt;&lt;language&gt;eng&lt;/language&gt;&lt;/record&gt;&lt;/Cite&gt;&lt;/EndNote&gt;</w:instrText>
      </w:r>
      <w:r w:rsidRPr="004E0D59">
        <w:fldChar w:fldCharType="separate"/>
      </w:r>
      <w:r w:rsidR="008C43BF" w:rsidRPr="008C43BF">
        <w:rPr>
          <w:noProof/>
          <w:vertAlign w:val="superscript"/>
        </w:rPr>
        <w:t>45</w:t>
      </w:r>
      <w:r w:rsidRPr="004E0D59">
        <w:fldChar w:fldCharType="end"/>
      </w:r>
      <w:r w:rsidRPr="004E0D59">
        <w:t xml:space="preserve"> and thus was not undertaken – only summary statistics are presented in </w:t>
      </w:r>
      <w:r w:rsidR="00BF6BAF">
        <w:t>c</w:t>
      </w:r>
      <w:r w:rsidRPr="004E0D59">
        <w:t>hapter 3. We pre-specified that should there be any substantial imbalance between randomised groups at baseline, in terms of any relevant variables not already being adjusted for in the primary analysis, further adjusted sensitivity analyses may be performed, to allow for such variable(s), in addition to the pre-specified variables for adjustment, to assess the robustness of the primary analysis</w:t>
      </w:r>
      <w:r w:rsidR="004809EC">
        <w:t xml:space="preserve"> </w:t>
      </w:r>
      <w:r w:rsidR="004809EC">
        <w:fldChar w:fldCharType="begin"/>
      </w:r>
      <w:r w:rsidR="008C43BF">
        <w:instrText xml:space="preserve"> ADDIN EN.CITE &lt;EndNote&gt;&lt;Cite&gt;&lt;Author&gt;Senn&lt;/Author&gt;&lt;Year&gt;1994&lt;/Year&gt;&lt;RecNum&gt;5338&lt;/RecNum&gt;&lt;DisplayText&gt;&lt;style face="superscript"&gt;45&lt;/style&gt;&lt;/DisplayText&gt;&lt;record&gt;&lt;rec-number&gt;5338&lt;/rec-number&gt;&lt;foreign-keys&gt;&lt;key app="EN" db-id="2ewa9rrvjsdsawep2vpx5x97eedzzvxx5rta" timestamp="0"&gt;5338&lt;/key&gt;&lt;/foreign-keys&gt;&lt;ref-type name="Journal Article"&gt;17&lt;/ref-type&gt;&lt;contributors&gt;&lt;authors&gt;&lt;author&gt;Senn, S.&lt;/author&gt;&lt;/authors&gt;&lt;/contributors&gt;&lt;auth-address&gt;Medicine and Clinical Development Department, CIBA, Basle, Switzerland.&lt;/auth-address&gt;&lt;titles&gt;&lt;title&gt;Testing for baseline balance in clinical trials&lt;/title&gt;&lt;secondary-title&gt;Stat Med&lt;/secondary-title&gt;&lt;alt-title&gt;Statistics in medicine&lt;/alt-title&gt;&lt;/titles&gt;&lt;periodical&gt;&lt;full-title&gt;Statistics in Medicine&lt;/full-title&gt;&lt;abbr-1&gt;Stat. Med.&lt;/abbr-1&gt;&lt;abbr-2&gt;Stat Med&lt;/abbr-2&gt;&lt;/periodical&gt;&lt;alt-periodical&gt;&lt;full-title&gt;Statistics in Medicine&lt;/full-title&gt;&lt;abbr-1&gt;Stat. Med.&lt;/abbr-1&gt;&lt;abbr-2&gt;Stat Med&lt;/abbr-2&gt;&lt;/alt-periodical&gt;&lt;pages&gt;1715-26&lt;/pages&gt;&lt;volume&gt;13&lt;/volume&gt;&lt;number&gt;17&lt;/number&gt;&lt;edition&gt;1994/09/15&lt;/edition&gt;&lt;keywords&gt;&lt;keyword&gt;Algorithms&lt;/keyword&gt;&lt;keyword&gt;Analysis of Variance&lt;/keyword&gt;&lt;keyword&gt;*Data Interpretation, Statistical&lt;/keyword&gt;&lt;keyword&gt;Humans&lt;/keyword&gt;&lt;keyword&gt;*Multivariate Analysis&lt;/keyword&gt;&lt;keyword&gt;Randomized Controlled Trials as Topic/*statistics &amp;amp; numerical data&lt;/keyword&gt;&lt;keyword&gt;*Research Design&lt;/keyword&gt;&lt;keyword&gt;Sample Size&lt;/keyword&gt;&lt;keyword&gt;*Selection Bias&lt;/keyword&gt;&lt;keyword&gt;Treatment Outcome&lt;/keyword&gt;&lt;/keywords&gt;&lt;dates&gt;&lt;year&gt;1994&lt;/year&gt;&lt;pub-dates&gt;&lt;date&gt;Sep 15&lt;/date&gt;&lt;/pub-dates&gt;&lt;/dates&gt;&lt;isbn&gt;0277-6715 (Print)&amp;#xD;0277-6715 (Linking)&lt;/isbn&gt;&lt;accession-num&gt;7997705&lt;/accession-num&gt;&lt;urls&gt;&lt;related-urls&gt;&lt;url&gt;http://www.ncbi.nlm.nih.gov/pubmed/7997705&lt;/url&gt;&lt;/related-urls&gt;&lt;/urls&gt;&lt;language&gt;eng&lt;/language&gt;&lt;/record&gt;&lt;/Cite&gt;&lt;/EndNote&gt;</w:instrText>
      </w:r>
      <w:r w:rsidR="004809EC">
        <w:fldChar w:fldCharType="separate"/>
      </w:r>
      <w:r w:rsidR="008C43BF" w:rsidRPr="008C43BF">
        <w:rPr>
          <w:noProof/>
          <w:vertAlign w:val="superscript"/>
        </w:rPr>
        <w:t>45</w:t>
      </w:r>
      <w:r w:rsidR="004809EC">
        <w:fldChar w:fldCharType="end"/>
      </w:r>
      <w:r w:rsidRPr="004809EC">
        <w:t>.</w:t>
      </w:r>
      <w:r w:rsidRPr="004E0D59">
        <w:t xml:space="preserve"> </w:t>
      </w:r>
    </w:p>
    <w:p w14:paraId="04FBD857" w14:textId="4EB81C8D" w:rsidR="004E0D59" w:rsidRPr="004E0D59" w:rsidRDefault="009D6F85" w:rsidP="004E0D59">
      <w:pPr>
        <w:keepNext/>
        <w:keepLines/>
        <w:spacing w:before="200" w:after="0" w:line="360" w:lineRule="auto"/>
        <w:outlineLvl w:val="2"/>
        <w:rPr>
          <w:rFonts w:eastAsiaTheme="majorEastAsia" w:cs="Times New Roman"/>
          <w:b/>
          <w:bCs/>
        </w:rPr>
      </w:pPr>
      <w:bookmarkStart w:id="368" w:name="_Toc466710065"/>
      <w:bookmarkStart w:id="369" w:name="_Toc466711413"/>
      <w:bookmarkStart w:id="370" w:name="_Toc466712072"/>
      <w:bookmarkStart w:id="371" w:name="_Toc475974354"/>
      <w:r>
        <w:rPr>
          <w:rFonts w:eastAsiaTheme="majorEastAsia" w:cs="Times New Roman"/>
          <w:b/>
          <w:bCs/>
        </w:rPr>
        <w:t xml:space="preserve">2.2.4 </w:t>
      </w:r>
      <w:r w:rsidR="004E0D59" w:rsidRPr="004E0D59">
        <w:rPr>
          <w:rFonts w:eastAsiaTheme="majorEastAsia" w:cs="Times New Roman"/>
          <w:b/>
          <w:bCs/>
        </w:rPr>
        <w:t>Primary analysis of primary outcome measure (</w:t>
      </w:r>
      <w:r w:rsidR="009D1C7F">
        <w:rPr>
          <w:rFonts w:eastAsiaTheme="majorEastAsia" w:cs="Times New Roman"/>
          <w:b/>
          <w:bCs/>
        </w:rPr>
        <w:t>BMI SDS</w:t>
      </w:r>
      <w:r w:rsidR="004E0D59" w:rsidRPr="004E0D59">
        <w:rPr>
          <w:rFonts w:eastAsiaTheme="majorEastAsia" w:cs="Times New Roman"/>
          <w:b/>
          <w:bCs/>
        </w:rPr>
        <w:t xml:space="preserve"> at 24 months)</w:t>
      </w:r>
      <w:bookmarkEnd w:id="368"/>
      <w:bookmarkEnd w:id="369"/>
      <w:bookmarkEnd w:id="370"/>
      <w:bookmarkEnd w:id="371"/>
    </w:p>
    <w:p w14:paraId="4CA74604" w14:textId="378E9EE1" w:rsidR="004E0D59" w:rsidRPr="004E0D59" w:rsidRDefault="004E0D59" w:rsidP="004E0D59">
      <w:pPr>
        <w:spacing w:after="0" w:line="360" w:lineRule="auto"/>
      </w:pPr>
      <w:r w:rsidRPr="004E0D59">
        <w:t xml:space="preserve">The primary analysis of the primary outcome, </w:t>
      </w:r>
      <w:r w:rsidR="009D1C7F">
        <w:t>BMI SDS</w:t>
      </w:r>
      <w:r w:rsidRPr="004E0D59">
        <w:t xml:space="preserve"> at 24 months, was based on the observed data only and utilised random effects linear regression modelling, allowing for the clustered nature </w:t>
      </w:r>
      <w:r w:rsidRPr="004E0D59">
        <w:lastRenderedPageBreak/>
        <w:t>of the data. A</w:t>
      </w:r>
      <w:r w:rsidR="004A3EB3">
        <w:t>djusted a</w:t>
      </w:r>
      <w:r w:rsidRPr="004E0D59">
        <w:t xml:space="preserve">nalyses included the two school-level stratification variables as covariates, as well as baseline </w:t>
      </w:r>
      <w:r w:rsidR="009D1C7F">
        <w:t>BMI SDS</w:t>
      </w:r>
      <w:r w:rsidRPr="004E0D59">
        <w:t xml:space="preserve">, gender and cohort. The means and standard deviations are presented for each group, together with the mean difference </w:t>
      </w:r>
      <w:r w:rsidR="009839CD">
        <w:t xml:space="preserve">(intervention minus control) </w:t>
      </w:r>
      <w:r w:rsidRPr="004E0D59">
        <w:t xml:space="preserve">between groups, 95% confidence interval for the mean difference and corresponding p-value. The intra class correlation coefficient (ICC) (with 95% confidence interval) from the random effects regression model for </w:t>
      </w:r>
      <w:r w:rsidR="009D1C7F">
        <w:t>BMI SDS</w:t>
      </w:r>
      <w:r w:rsidRPr="004E0D59">
        <w:t xml:space="preserve"> is also reported. </w:t>
      </w:r>
    </w:p>
    <w:p w14:paraId="4835DB13" w14:textId="77777777" w:rsidR="004E0D59" w:rsidRPr="004E0D59" w:rsidRDefault="004E0D59" w:rsidP="004E0D59">
      <w:pPr>
        <w:spacing w:after="0" w:line="360" w:lineRule="auto"/>
      </w:pPr>
    </w:p>
    <w:p w14:paraId="552236A7" w14:textId="082C3D05" w:rsidR="004E0D59" w:rsidRPr="004E0D59" w:rsidRDefault="009D6F85" w:rsidP="004E0D59">
      <w:pPr>
        <w:keepNext/>
        <w:keepLines/>
        <w:spacing w:before="200" w:after="0" w:line="360" w:lineRule="auto"/>
        <w:outlineLvl w:val="2"/>
        <w:rPr>
          <w:rFonts w:eastAsiaTheme="majorEastAsia" w:cs="Times New Roman"/>
          <w:b/>
          <w:bCs/>
        </w:rPr>
      </w:pPr>
      <w:bookmarkStart w:id="372" w:name="_Toc466710066"/>
      <w:bookmarkStart w:id="373" w:name="_Toc466711414"/>
      <w:bookmarkStart w:id="374" w:name="_Toc466712073"/>
      <w:bookmarkStart w:id="375" w:name="_Toc475974355"/>
      <w:r>
        <w:rPr>
          <w:rFonts w:eastAsiaTheme="majorEastAsia" w:cs="Times New Roman"/>
          <w:b/>
          <w:bCs/>
        </w:rPr>
        <w:t xml:space="preserve">2.2.5 </w:t>
      </w:r>
      <w:r w:rsidR="004E0D59" w:rsidRPr="004E0D59">
        <w:rPr>
          <w:rFonts w:eastAsiaTheme="majorEastAsia" w:cs="Times New Roman"/>
          <w:b/>
          <w:bCs/>
        </w:rPr>
        <w:t>Secondary analyses of the primary outcome</w:t>
      </w:r>
      <w:bookmarkEnd w:id="372"/>
      <w:bookmarkEnd w:id="373"/>
      <w:bookmarkEnd w:id="374"/>
      <w:bookmarkEnd w:id="375"/>
    </w:p>
    <w:p w14:paraId="1C977AD7" w14:textId="2C5F9AEC" w:rsidR="004E0D59" w:rsidRPr="004E0D59" w:rsidRDefault="004E0D59" w:rsidP="004E0D59">
      <w:pPr>
        <w:spacing w:after="0" w:line="360" w:lineRule="auto"/>
      </w:pPr>
      <w:r w:rsidRPr="004E0D59">
        <w:t>A small number of sensitivity analyses of the primary outcome were</w:t>
      </w:r>
      <w:r w:rsidR="004A3EB3">
        <w:t xml:space="preserve"> pre-</w:t>
      </w:r>
      <w:r w:rsidRPr="004E0D59">
        <w:t>specified in the analysis plan to assess how robust the results of the primary analyses were to any biases from missing data or children in the intervention group who were categorised as non-compliers.  These sensitivity analyses were revised following the TSC meeting in July 2016. The proposed amendments were approved by the TSC (Chair) prior to undertaking the sensitivity analyses outlined below.</w:t>
      </w:r>
    </w:p>
    <w:p w14:paraId="7A50393B" w14:textId="77777777" w:rsidR="004E0D59" w:rsidRPr="004E0D59" w:rsidRDefault="004E0D59" w:rsidP="004E0D59">
      <w:pPr>
        <w:spacing w:before="240" w:after="0" w:line="360" w:lineRule="auto"/>
        <w:rPr>
          <w:i/>
        </w:rPr>
      </w:pPr>
      <w:r w:rsidRPr="004E0D59">
        <w:rPr>
          <w:i/>
        </w:rPr>
        <w:t>Amendment 1</w:t>
      </w:r>
    </w:p>
    <w:p w14:paraId="72B0964D" w14:textId="77777777" w:rsidR="004E0D59" w:rsidRPr="004E0D59" w:rsidRDefault="004E0D59" w:rsidP="004E0D59">
      <w:pPr>
        <w:spacing w:after="0" w:line="360" w:lineRule="auto"/>
      </w:pPr>
      <w:r w:rsidRPr="004E0D59">
        <w:t>Given the low amount of missing BMI scores and low amount of data deemed missing at random, a sensitivity analysis to look at the effect of missing data using a best case/worst case scenario analysis was undertaken.</w:t>
      </w:r>
    </w:p>
    <w:p w14:paraId="7B82EA33" w14:textId="77777777" w:rsidR="004E0D59" w:rsidRPr="004E0D59" w:rsidRDefault="004E0D59" w:rsidP="004E0D59">
      <w:pPr>
        <w:spacing w:after="0" w:line="360" w:lineRule="auto"/>
      </w:pPr>
    </w:p>
    <w:p w14:paraId="685FABD3" w14:textId="77777777" w:rsidR="004E0D59" w:rsidRPr="004E0D59" w:rsidRDefault="004E0D59" w:rsidP="004E0D59">
      <w:pPr>
        <w:spacing w:after="0" w:line="360" w:lineRule="auto"/>
      </w:pPr>
      <w:r w:rsidRPr="004E0D59">
        <w:t xml:space="preserve">The first set of these analyses were based on hypothetically driven assumptions. Given the hypothetical preventative nature of the HeLP intervention, the </w:t>
      </w:r>
      <w:r w:rsidRPr="004E0D59">
        <w:rPr>
          <w:i/>
          <w:iCs/>
        </w:rPr>
        <w:t>best case scenario</w:t>
      </w:r>
      <w:r w:rsidRPr="004E0D59">
        <w:t xml:space="preserve">: </w:t>
      </w:r>
    </w:p>
    <w:p w14:paraId="394F9CE3" w14:textId="77777777" w:rsidR="004E0D59" w:rsidRPr="004E0D59" w:rsidRDefault="004E0D59" w:rsidP="00403B07">
      <w:pPr>
        <w:numPr>
          <w:ilvl w:val="0"/>
          <w:numId w:val="19"/>
        </w:numPr>
        <w:spacing w:after="0" w:line="360" w:lineRule="auto"/>
        <w:contextualSpacing/>
      </w:pPr>
      <w:r w:rsidRPr="004E0D59">
        <w:t xml:space="preserve">assumed no change between baseline and 24 months in </w:t>
      </w:r>
      <w:r w:rsidR="009D1C7F">
        <w:t>BMI SDS</w:t>
      </w:r>
      <w:r w:rsidRPr="004E0D59">
        <w:t xml:space="preserve"> for children allocated to the intervention group i.e. the baseline </w:t>
      </w:r>
      <w:r w:rsidR="009D1C7F">
        <w:t>BMI SDS</w:t>
      </w:r>
      <w:r w:rsidRPr="004E0D59">
        <w:t xml:space="preserve"> value will be carried forward to replace the missing 24 month </w:t>
      </w:r>
      <w:r w:rsidR="009D1C7F">
        <w:t>BMI SDS</w:t>
      </w:r>
      <w:r w:rsidRPr="004E0D59">
        <w:t xml:space="preserve"> value </w:t>
      </w:r>
    </w:p>
    <w:p w14:paraId="3E428522" w14:textId="77777777" w:rsidR="004E0D59" w:rsidRPr="004E0D59" w:rsidRDefault="004E0D59" w:rsidP="00403B07">
      <w:pPr>
        <w:numPr>
          <w:ilvl w:val="0"/>
          <w:numId w:val="19"/>
        </w:numPr>
        <w:autoSpaceDE w:val="0"/>
        <w:autoSpaceDN w:val="0"/>
        <w:adjustRightInd w:val="0"/>
        <w:spacing w:after="0" w:line="360" w:lineRule="auto"/>
        <w:contextualSpacing/>
      </w:pPr>
      <w:r w:rsidRPr="004E0D59">
        <w:t xml:space="preserve">imputed missing 24 month </w:t>
      </w:r>
      <w:r w:rsidR="009D1C7F">
        <w:t>BMI SDS</w:t>
      </w:r>
      <w:r w:rsidRPr="004E0D59">
        <w:t xml:space="preserve"> values for children allocated to the control group with their corresponding baseline </w:t>
      </w:r>
      <w:r w:rsidR="009D1C7F">
        <w:t>BMI SDS</w:t>
      </w:r>
      <w:r w:rsidR="00337CF6" w:rsidRPr="004E0D59">
        <w:t xml:space="preserve"> </w:t>
      </w:r>
      <w:r w:rsidRPr="004E0D59">
        <w:t xml:space="preserve">value plus the (marginal) mean change between baseline and 24 months for the children allocated to the control group with complete baseline and 24 month </w:t>
      </w:r>
      <w:r w:rsidR="009D1C7F">
        <w:t>BMI SDS</w:t>
      </w:r>
      <w:r w:rsidR="00337CF6" w:rsidRPr="004E0D59">
        <w:t xml:space="preserve"> </w:t>
      </w:r>
      <w:r w:rsidRPr="004E0D59">
        <w:t xml:space="preserve">data. </w:t>
      </w:r>
    </w:p>
    <w:p w14:paraId="18FA4CEF" w14:textId="77777777" w:rsidR="004E0D59" w:rsidRPr="004E0D59" w:rsidRDefault="004E0D59" w:rsidP="004E0D59">
      <w:pPr>
        <w:autoSpaceDE w:val="0"/>
        <w:autoSpaceDN w:val="0"/>
        <w:adjustRightInd w:val="0"/>
        <w:spacing w:after="0" w:line="360" w:lineRule="auto"/>
      </w:pPr>
    </w:p>
    <w:p w14:paraId="55662FA9" w14:textId="77777777" w:rsidR="004E0D59" w:rsidRPr="004E0D59" w:rsidRDefault="004E0D59" w:rsidP="004E0D59">
      <w:pPr>
        <w:spacing w:after="0" w:line="360" w:lineRule="auto"/>
      </w:pPr>
      <w:r w:rsidRPr="004E0D59">
        <w:t xml:space="preserve">The </w:t>
      </w:r>
      <w:r w:rsidRPr="004E0D59">
        <w:rPr>
          <w:i/>
          <w:iCs/>
        </w:rPr>
        <w:t>worst case scenario</w:t>
      </w:r>
      <w:r w:rsidRPr="004E0D59">
        <w:t>:</w:t>
      </w:r>
    </w:p>
    <w:p w14:paraId="4C3F4122" w14:textId="77777777" w:rsidR="004E0D59" w:rsidRPr="004E0D59" w:rsidRDefault="004E0D59" w:rsidP="00403B07">
      <w:pPr>
        <w:numPr>
          <w:ilvl w:val="0"/>
          <w:numId w:val="20"/>
        </w:numPr>
        <w:spacing w:after="0" w:line="360" w:lineRule="auto"/>
        <w:contextualSpacing/>
      </w:pPr>
      <w:r w:rsidRPr="004E0D59">
        <w:t xml:space="preserve">assumed that children allocated to the intervention group who were not obese at baseline were obese at the 24 month </w:t>
      </w:r>
      <w:r w:rsidR="009D1C7F">
        <w:t>follow up</w:t>
      </w:r>
      <w:r w:rsidRPr="004E0D59">
        <w:t xml:space="preserve">: the 24 month </w:t>
      </w:r>
      <w:r w:rsidR="009D1C7F">
        <w:t>BMI SDS</w:t>
      </w:r>
      <w:r w:rsidR="00337CF6" w:rsidRPr="004E0D59">
        <w:t xml:space="preserve"> </w:t>
      </w:r>
      <w:r w:rsidRPr="004E0D59">
        <w:t>value will be set at the Public Health England threshold for obesity (i.e. the 95</w:t>
      </w:r>
      <w:r w:rsidRPr="004E0D59">
        <w:rPr>
          <w:vertAlign w:val="superscript"/>
        </w:rPr>
        <w:t>th</w:t>
      </w:r>
      <w:r w:rsidRPr="004E0D59">
        <w:t xml:space="preserve"> percentile; this is 1.645). For children </w:t>
      </w:r>
      <w:r w:rsidRPr="004E0D59">
        <w:lastRenderedPageBreak/>
        <w:t xml:space="preserve">allocated to the intervention group who were obese at baseline, the baseline </w:t>
      </w:r>
      <w:r w:rsidR="009D1C7F">
        <w:t>BMI SDS</w:t>
      </w:r>
      <w:r w:rsidR="00337CF6" w:rsidRPr="004E0D59">
        <w:t xml:space="preserve"> </w:t>
      </w:r>
      <w:r w:rsidRPr="004E0D59">
        <w:t xml:space="preserve">value will be carried forward to replace the missing </w:t>
      </w:r>
      <w:r w:rsidR="009D1C7F">
        <w:t>BMI SDS</w:t>
      </w:r>
      <w:r w:rsidR="00337CF6" w:rsidRPr="004E0D59">
        <w:t xml:space="preserve"> </w:t>
      </w:r>
      <w:r w:rsidRPr="004E0D59">
        <w:t>value.</w:t>
      </w:r>
    </w:p>
    <w:p w14:paraId="31B28DEB" w14:textId="77777777" w:rsidR="004E0D59" w:rsidRPr="004E0D59" w:rsidRDefault="004E0D59" w:rsidP="00403B07">
      <w:pPr>
        <w:numPr>
          <w:ilvl w:val="0"/>
          <w:numId w:val="20"/>
        </w:numPr>
        <w:autoSpaceDE w:val="0"/>
        <w:autoSpaceDN w:val="0"/>
        <w:adjustRightInd w:val="0"/>
        <w:spacing w:after="0" w:line="360" w:lineRule="auto"/>
        <w:contextualSpacing/>
      </w:pPr>
      <w:r w:rsidRPr="004E0D59">
        <w:t xml:space="preserve">imputed missing 24 month </w:t>
      </w:r>
      <w:r w:rsidR="009D1C7F">
        <w:t>BMI SDS</w:t>
      </w:r>
      <w:r w:rsidR="00337CF6" w:rsidRPr="004E0D59">
        <w:t xml:space="preserve"> </w:t>
      </w:r>
      <w:r w:rsidRPr="004E0D59">
        <w:t xml:space="preserve">values for children allocated to the control group with their corresponding baseline </w:t>
      </w:r>
      <w:r w:rsidR="009D1C7F">
        <w:t>BMI SDS</w:t>
      </w:r>
      <w:r w:rsidR="00337CF6" w:rsidRPr="004E0D59">
        <w:t xml:space="preserve"> </w:t>
      </w:r>
      <w:r w:rsidRPr="004E0D59">
        <w:t xml:space="preserve">value plus the (marginal) mean change between baseline and 24 months for the children allocated to the control group with complete baseline and 24 month </w:t>
      </w:r>
      <w:r w:rsidR="009D1C7F">
        <w:t>BMI SDS</w:t>
      </w:r>
      <w:r w:rsidR="00337CF6" w:rsidRPr="004E0D59">
        <w:t xml:space="preserve"> </w:t>
      </w:r>
      <w:r w:rsidRPr="004E0D59">
        <w:t xml:space="preserve">data. </w:t>
      </w:r>
    </w:p>
    <w:p w14:paraId="29FB3EAC" w14:textId="77777777" w:rsidR="004E0D59" w:rsidRPr="004E0D59" w:rsidRDefault="004E0D59" w:rsidP="004E0D59">
      <w:pPr>
        <w:spacing w:after="0" w:line="360" w:lineRule="auto"/>
        <w:ind w:left="720"/>
        <w:contextualSpacing/>
      </w:pPr>
    </w:p>
    <w:p w14:paraId="26A01F35" w14:textId="77777777" w:rsidR="004E0D59" w:rsidRPr="004E0D59" w:rsidRDefault="004E0D59" w:rsidP="004E0D59">
      <w:pPr>
        <w:spacing w:after="0" w:line="360" w:lineRule="auto"/>
      </w:pPr>
      <w:r w:rsidRPr="004E0D59">
        <w:t xml:space="preserve">After imputing the missing 24 month </w:t>
      </w:r>
      <w:r w:rsidR="009D1C7F">
        <w:t>BMI SDS</w:t>
      </w:r>
      <w:r w:rsidR="00337CF6" w:rsidRPr="004E0D59">
        <w:t xml:space="preserve"> </w:t>
      </w:r>
      <w:r w:rsidRPr="004E0D59">
        <w:t>scores for both scenarios, the primary analyses model was fitted to the full intention-to-treat data set, to ascertain if the missing primary outcome data significantly influenced the results of the primary effectiveness analysis.</w:t>
      </w:r>
    </w:p>
    <w:p w14:paraId="67D9FC1C" w14:textId="77777777" w:rsidR="004E0D59" w:rsidRPr="004E0D59" w:rsidRDefault="004E0D59" w:rsidP="004E0D59">
      <w:pPr>
        <w:spacing w:after="0" w:line="360" w:lineRule="auto"/>
      </w:pPr>
    </w:p>
    <w:p w14:paraId="30A99F6E" w14:textId="6274C2BC" w:rsidR="004E0D59" w:rsidRPr="004E0D59" w:rsidRDefault="004E0D59" w:rsidP="004E0D59">
      <w:pPr>
        <w:spacing w:after="0" w:line="360" w:lineRule="auto"/>
      </w:pPr>
      <w:r w:rsidRPr="004E0D59">
        <w:t xml:space="preserve">In addition to the primary analyses, exploratory analyses of the following possible interactions were undertaken to assess whether any effect of the HeLP intervention was modified by (i) gender (ii) baseline </w:t>
      </w:r>
      <w:r w:rsidR="009D1C7F">
        <w:t>BMI SDS</w:t>
      </w:r>
      <w:r w:rsidRPr="004E0D59">
        <w:t xml:space="preserve"> (iii) number of Ye</w:t>
      </w:r>
      <w:r w:rsidR="00EB0EAC">
        <w:t>ar 5 classes within school (iv)</w:t>
      </w:r>
      <w:r w:rsidR="00BB6E60">
        <w:t xml:space="preserve"> </w:t>
      </w:r>
      <w:r w:rsidR="009839CD">
        <w:t xml:space="preserve">child level </w:t>
      </w:r>
      <w:r w:rsidRPr="004E0D59">
        <w:t>socioeconomic status. These subgroup analyses were performed by adding the interaction term between allocated group and the subgroup variable into the random effects regression model. A test of the interaction was also performed to assess whether there was evidence that the effect of the intervention differ</w:t>
      </w:r>
      <w:r w:rsidR="004A3EB3">
        <w:t>ed</w:t>
      </w:r>
      <w:r w:rsidRPr="004E0D59">
        <w:t xml:space="preserve"> across the two cohorts. As the study was not powered for these exploratory interaction analyses, the results have been interpreted with caution, based on the corresponding confidence intervals for the subgroups.</w:t>
      </w:r>
    </w:p>
    <w:p w14:paraId="76560FF5" w14:textId="77777777" w:rsidR="004E0D59" w:rsidRPr="004E0D59" w:rsidRDefault="004E0D59" w:rsidP="004E0D59">
      <w:pPr>
        <w:spacing w:after="0" w:line="360" w:lineRule="auto"/>
      </w:pPr>
    </w:p>
    <w:p w14:paraId="748E45DB" w14:textId="6A9C085C" w:rsidR="004E0D59" w:rsidRPr="004E0D59" w:rsidRDefault="004A3EB3" w:rsidP="004E0D59">
      <w:pPr>
        <w:spacing w:after="0" w:line="360" w:lineRule="auto"/>
      </w:pPr>
      <w:r>
        <w:t>Finally, a</w:t>
      </w:r>
      <w:r w:rsidR="004E0D59" w:rsidRPr="004E0D59">
        <w:t xml:space="preserve"> repeated measures model was fitted to all the observed </w:t>
      </w:r>
      <w:r w:rsidR="009D1C7F">
        <w:t>BMI SDS</w:t>
      </w:r>
      <w:r w:rsidR="004E0D59" w:rsidRPr="004E0D59">
        <w:t xml:space="preserve"> data at baseline, 18 months and 24 months, including effects of time and the interaction term between allocated group and time, to assess whether there was evidence that any effect of the intervention differed across </w:t>
      </w:r>
      <w:r w:rsidR="004E0D59" w:rsidRPr="004A3EB3">
        <w:t>time</w:t>
      </w:r>
      <w:r w:rsidR="00BB73DD" w:rsidRPr="004A3EB3">
        <w:t xml:space="preserve"> (</w:t>
      </w:r>
      <w:r w:rsidR="00FE6FD2">
        <w:t>see Appendix</w:t>
      </w:r>
      <w:r w:rsidR="004E0D59" w:rsidRPr="004A3EB3">
        <w:t xml:space="preserve"> </w:t>
      </w:r>
      <w:r w:rsidR="00401042">
        <w:t>6</w:t>
      </w:r>
      <w:r w:rsidR="00BB73DD" w:rsidRPr="004A3EB3">
        <w:t>).</w:t>
      </w:r>
      <w:r w:rsidR="004C02FB">
        <w:t xml:space="preserve"> </w:t>
      </w:r>
      <w:r w:rsidR="004E0D59" w:rsidRPr="004E0D59">
        <w:t>In this model, adjustment was made for gender, a child-level fixed effect, and the school-level factors comprising the two stratification variables.</w:t>
      </w:r>
      <w:r w:rsidR="004C02FB">
        <w:t xml:space="preserve"> </w:t>
      </w:r>
      <w:r w:rsidR="004E0D59" w:rsidRPr="004E0D59">
        <w:t xml:space="preserve">The best </w:t>
      </w:r>
      <w:r w:rsidR="009839CD">
        <w:t xml:space="preserve">fitting </w:t>
      </w:r>
      <w:r w:rsidR="004E0D59" w:rsidRPr="004E0D59">
        <w:t>model was determined through Χ</w:t>
      </w:r>
      <w:r w:rsidR="004E0D59" w:rsidRPr="004E0D59">
        <w:rPr>
          <w:vertAlign w:val="superscript"/>
        </w:rPr>
        <w:t>2</w:t>
      </w:r>
      <w:r w:rsidR="004E0D59" w:rsidRPr="004E0D59">
        <w:t xml:space="preserve"> test of the likelihood ratio of the log-likelihoods for the above model for different nested covariance patterns of each child’s block of visits in the residual matrix. Stepwise comparisons were made between covariance patterns of increasing parsimony up to an exchangeable pattern. The stopping rule for further pattern simplification was a change in the log likelihood determined to be significant at the 5% level to the next more parsimonious covariance pattern.</w:t>
      </w:r>
    </w:p>
    <w:p w14:paraId="111ACA6A" w14:textId="242D9C98" w:rsidR="004E0D59" w:rsidRPr="004E0D59" w:rsidRDefault="009D6F85" w:rsidP="004E0D59">
      <w:pPr>
        <w:keepNext/>
        <w:keepLines/>
        <w:spacing w:before="200" w:after="0" w:line="360" w:lineRule="auto"/>
        <w:outlineLvl w:val="2"/>
        <w:rPr>
          <w:rFonts w:eastAsiaTheme="majorEastAsia" w:cs="Times New Roman"/>
          <w:b/>
          <w:bCs/>
        </w:rPr>
      </w:pPr>
      <w:bookmarkStart w:id="376" w:name="_Toc466710067"/>
      <w:bookmarkStart w:id="377" w:name="_Toc466711415"/>
      <w:bookmarkStart w:id="378" w:name="_Toc466712074"/>
      <w:bookmarkStart w:id="379" w:name="_Toc475974356"/>
      <w:r>
        <w:rPr>
          <w:rFonts w:eastAsiaTheme="majorEastAsia" w:cs="Times New Roman"/>
          <w:b/>
          <w:bCs/>
        </w:rPr>
        <w:lastRenderedPageBreak/>
        <w:t xml:space="preserve">2.2.6 </w:t>
      </w:r>
      <w:r w:rsidR="004E0D59" w:rsidRPr="004E0D59">
        <w:rPr>
          <w:rFonts w:eastAsiaTheme="majorEastAsia" w:cs="Times New Roman"/>
          <w:b/>
          <w:bCs/>
        </w:rPr>
        <w:t>Analysis of secondary outcomes</w:t>
      </w:r>
      <w:bookmarkEnd w:id="376"/>
      <w:bookmarkEnd w:id="377"/>
      <w:bookmarkEnd w:id="378"/>
      <w:bookmarkEnd w:id="379"/>
    </w:p>
    <w:p w14:paraId="1C78E042" w14:textId="4286949B" w:rsidR="004E0D59" w:rsidRDefault="004E0D59" w:rsidP="004E0D59">
      <w:pPr>
        <w:spacing w:after="0" w:line="360" w:lineRule="auto"/>
      </w:pPr>
      <w:r w:rsidRPr="004E0D59">
        <w:t xml:space="preserve">Secondary outcomes were compared between groups based on the observed data only. Most of the secondary outcomes were of a continuous nature and so comparative analyses followed the approach detailed above for the primary outcome, using random effects linear regression modelling, allowing for the clustered nature of the data and including the stratification factors, baseline value of the variable under consideration and gender and cohort. Binary outcomes (such as the proportion of children classified as obese at 24 months) were analysed using binary logistic regression, allowing for the clustered nature of the data, and including the stratification factors, baseline </w:t>
      </w:r>
      <w:r w:rsidR="009D1C7F">
        <w:t>BMI SDS</w:t>
      </w:r>
      <w:r w:rsidRPr="004E0D59">
        <w:t xml:space="preserve"> and cohort. Ordinal outcomes e.g. categorisation of weight status, were similarly analysed using ordinal logistic regression. For all models, corresponding distributional assumptions were investigated,</w:t>
      </w:r>
      <w:r w:rsidR="004C02FB">
        <w:t xml:space="preserve"> as outlined below.</w:t>
      </w:r>
    </w:p>
    <w:p w14:paraId="3FFFE077" w14:textId="77777777" w:rsidR="000B3612" w:rsidRPr="004E0D59" w:rsidRDefault="000B3612" w:rsidP="004E0D59">
      <w:pPr>
        <w:spacing w:after="0" w:line="360" w:lineRule="auto"/>
      </w:pPr>
    </w:p>
    <w:p w14:paraId="6440034A" w14:textId="77777777" w:rsidR="004E0D59" w:rsidRPr="004E0D59" w:rsidRDefault="004E0D59" w:rsidP="004E0D59">
      <w:pPr>
        <w:spacing w:after="0" w:line="360" w:lineRule="auto"/>
        <w:rPr>
          <w:b/>
        </w:rPr>
      </w:pPr>
      <w:r w:rsidRPr="004E0D59">
        <w:rPr>
          <w:b/>
        </w:rPr>
        <w:t>Checking distributional and modelling assumptions</w:t>
      </w:r>
    </w:p>
    <w:p w14:paraId="06CB1A62" w14:textId="7DA76012" w:rsidR="004E0D59" w:rsidRPr="004E0D59" w:rsidRDefault="004E0D59" w:rsidP="004E0D59">
      <w:pPr>
        <w:spacing w:after="0" w:line="360" w:lineRule="auto"/>
      </w:pPr>
      <w:r w:rsidRPr="004E0D59">
        <w:t xml:space="preserve">Initial frequency and normal probability plots helped inform the selection of models fitted to each outcome and whether transformation or model-based </w:t>
      </w:r>
      <w:r w:rsidR="009839CD">
        <w:t>transformation under a generalis</w:t>
      </w:r>
      <w:r w:rsidRPr="004E0D59">
        <w:t>ed linear model might be necessary. Where outcomes were discrete, sparse categories were amalgamated to create new levels with a sufficient number of participants in each for subsequent modelling as ordinal outcomes.</w:t>
      </w:r>
    </w:p>
    <w:p w14:paraId="79DDE3AE" w14:textId="77777777" w:rsidR="00031F78" w:rsidRDefault="00031F78" w:rsidP="004E0D59">
      <w:pPr>
        <w:spacing w:after="0" w:line="360" w:lineRule="auto"/>
      </w:pPr>
    </w:p>
    <w:p w14:paraId="38BFD5AD" w14:textId="2296DF53" w:rsidR="004E0D59" w:rsidRPr="004E0D59" w:rsidRDefault="004E0D59" w:rsidP="004E0D59">
      <w:pPr>
        <w:spacing w:after="0" w:line="360" w:lineRule="auto"/>
      </w:pPr>
      <w:r w:rsidRPr="004E0D59">
        <w:t xml:space="preserve">The tenability of assumptions for modelling outcomes as normally distributed variables was inspected through frequency and normal probability plots of the residuals from the fitted models, as well as boxplots of residuals by </w:t>
      </w:r>
      <w:r w:rsidR="009839CD">
        <w:t>allocated</w:t>
      </w:r>
      <w:r w:rsidRPr="004E0D59">
        <w:t xml:space="preserve"> group and plots of residuals against fitted values. Model fit was judged through inspection of these plots along with plots of the observations against the fitted values. The distribution of the random school effect was checked by way of a normal probability plot of the best linear unbiased predictors from each model. The applied m</w:t>
      </w:r>
      <w:r w:rsidR="009839CD">
        <w:t>odel was either revised</w:t>
      </w:r>
      <w:r w:rsidRPr="004E0D59">
        <w:t xml:space="preserve"> or a different model sought if there were any marked deviations from the assumptions. Model stability and influence of the most extreme values was diagnosed through plotting the </w:t>
      </w:r>
      <w:r w:rsidRPr="004C02FB">
        <w:rPr>
          <w:i/>
        </w:rPr>
        <w:t>dfbetas</w:t>
      </w:r>
      <w:r w:rsidRPr="004E0D59">
        <w:t xml:space="preserve"> calculated for each modelled factor and covariate, with careful attention paid to those for the allocated group. Any observations identified with sufficient influence to change the significance of the intervention effect would prompt further investigation, with results presented both with and without any such data points.</w:t>
      </w:r>
    </w:p>
    <w:p w14:paraId="327530E7" w14:textId="52076BAA" w:rsidR="004E0D59" w:rsidRPr="004E0D59" w:rsidRDefault="004E0D59" w:rsidP="004E0D59">
      <w:pPr>
        <w:spacing w:after="0" w:line="360" w:lineRule="auto"/>
      </w:pPr>
      <w:r w:rsidRPr="004E0D59">
        <w:t xml:space="preserve">Where the outcomes were deemed ordinal and fitted with an ordinal mixed effects model, the assumption of proportional odds was tested through application of the generalised ordinal model </w:t>
      </w:r>
      <w:r w:rsidRPr="004E0D59">
        <w:br/>
        <w:t xml:space="preserve">(clustered on schools) to the data, using the </w:t>
      </w:r>
      <w:r w:rsidRPr="004E0D59">
        <w:rPr>
          <w:i/>
        </w:rPr>
        <w:t>gologit2</w:t>
      </w:r>
      <w:r w:rsidRPr="004E0D59">
        <w:t xml:space="preserve"> package in Stata. Any significant changes in the </w:t>
      </w:r>
      <w:r w:rsidRPr="004E0D59">
        <w:lastRenderedPageBreak/>
        <w:t>coefficients across the levels of the outcome would be identified from significance testing of the Petersen-Harrell parameters</w:t>
      </w:r>
      <w:r w:rsidR="00AC0031">
        <w:t xml:space="preserve"> </w:t>
      </w:r>
      <w:r w:rsidR="00AC0031">
        <w:fldChar w:fldCharType="begin"/>
      </w:r>
      <w:r w:rsidR="008C43BF">
        <w:instrText xml:space="preserve"> ADDIN EN.CITE &lt;EndNote&gt;&lt;Cite&gt;&lt;Author&gt;Peterson&lt;/Author&gt;&lt;Year&gt;1990&lt;/Year&gt;&lt;RecNum&gt;5708&lt;/RecNum&gt;&lt;DisplayText&gt;&lt;style face="superscript"&gt;46&lt;/style&gt;&lt;/DisplayText&gt;&lt;record&gt;&lt;rec-number&gt;5708&lt;/rec-number&gt;&lt;foreign-keys&gt;&lt;key app="EN" db-id="2ewa9rrvjsdsawep2vpx5x97eedzzvxx5rta" timestamp="1478097808"&gt;5708&lt;/key&gt;&lt;/foreign-keys&gt;&lt;ref-type name="Journal Article"&gt;17&lt;/ref-type&gt;&lt;contributors&gt;&lt;authors&gt;&lt;author&gt;Peterson, B., and F. E. Harrell, Jr.&lt;/author&gt;&lt;/authors&gt;&lt;/contributors&gt;&lt;titles&gt;&lt;title&gt;Partial proportional odds models for ordinal response variables&lt;/title&gt;&lt;secondary-title&gt;Applied Statistics&lt;/secondary-title&gt;&lt;/titles&gt;&lt;pages&gt;205 -217&lt;/pages&gt;&lt;volume&gt;39&lt;/volume&gt;&lt;dates&gt;&lt;year&gt;1990&lt;/year&gt;&lt;/dates&gt;&lt;urls&gt;&lt;/urls&gt;&lt;/record&gt;&lt;/Cite&gt;&lt;/EndNote&gt;</w:instrText>
      </w:r>
      <w:r w:rsidR="00AC0031">
        <w:fldChar w:fldCharType="separate"/>
      </w:r>
      <w:r w:rsidR="008C43BF" w:rsidRPr="008C43BF">
        <w:rPr>
          <w:noProof/>
          <w:vertAlign w:val="superscript"/>
        </w:rPr>
        <w:t>46</w:t>
      </w:r>
      <w:r w:rsidR="00AC0031">
        <w:fldChar w:fldCharType="end"/>
      </w:r>
      <w:r w:rsidRPr="004E0D59">
        <w:t>.</w:t>
      </w:r>
    </w:p>
    <w:p w14:paraId="54E1ECB4" w14:textId="77777777" w:rsidR="004E0D59" w:rsidRPr="004E0D59" w:rsidRDefault="004E0D59" w:rsidP="004E0D59">
      <w:pPr>
        <w:spacing w:line="360" w:lineRule="auto"/>
        <w:rPr>
          <w:rFonts w:cs="Times New Roman"/>
          <w:i/>
        </w:rPr>
      </w:pPr>
    </w:p>
    <w:p w14:paraId="7A42869C" w14:textId="04DD3A68" w:rsidR="004E0D59" w:rsidRPr="004E0D59" w:rsidRDefault="009D6F85" w:rsidP="004E0D59">
      <w:pPr>
        <w:keepNext/>
        <w:keepLines/>
        <w:spacing w:before="200" w:after="0" w:line="360" w:lineRule="auto"/>
        <w:outlineLvl w:val="2"/>
        <w:rPr>
          <w:rFonts w:eastAsiaTheme="majorEastAsia" w:cs="Times New Roman"/>
          <w:b/>
          <w:bCs/>
        </w:rPr>
      </w:pPr>
      <w:bookmarkStart w:id="380" w:name="_Toc466710068"/>
      <w:bookmarkStart w:id="381" w:name="_Toc466711416"/>
      <w:bookmarkStart w:id="382" w:name="_Toc466712075"/>
      <w:bookmarkStart w:id="383" w:name="_Toc475974357"/>
      <w:r>
        <w:rPr>
          <w:rFonts w:eastAsiaTheme="majorEastAsia" w:cs="Times New Roman"/>
          <w:b/>
          <w:bCs/>
        </w:rPr>
        <w:t xml:space="preserve">2.2.7 </w:t>
      </w:r>
      <w:r w:rsidR="004E0D59" w:rsidRPr="004E0D59">
        <w:rPr>
          <w:rFonts w:eastAsiaTheme="majorEastAsia" w:cs="Times New Roman"/>
          <w:b/>
          <w:bCs/>
        </w:rPr>
        <w:t>Missing outcome data</w:t>
      </w:r>
      <w:bookmarkEnd w:id="380"/>
      <w:bookmarkEnd w:id="381"/>
      <w:bookmarkEnd w:id="382"/>
      <w:bookmarkEnd w:id="383"/>
    </w:p>
    <w:p w14:paraId="65330AFA" w14:textId="46C5B47E" w:rsidR="004E0D59" w:rsidRPr="004E0D59" w:rsidRDefault="004E0D59" w:rsidP="004E0D59">
      <w:pPr>
        <w:spacing w:after="0" w:line="360" w:lineRule="auto"/>
      </w:pPr>
      <w:r w:rsidRPr="004E0D59">
        <w:t>The recruitment target for this trial allowed for a conservative 20% attrition rate by 24 months, with 24 month data required from 76</w:t>
      </w:r>
      <w:r w:rsidR="00337CF6">
        <w:t>2</w:t>
      </w:r>
      <w:r w:rsidRPr="004E0D59">
        <w:t xml:space="preserve"> children to achieve 90% power in the primary analysis. Substantially more children were recruited than the target, given the higher than expected number of recruited schools with more than one Year 5 class: 1371 children were </w:t>
      </w:r>
      <w:r w:rsidR="00337CF6">
        <w:t>eligible for recruitment</w:t>
      </w:r>
      <w:r w:rsidRPr="004E0D59">
        <w:t xml:space="preserve"> compared with </w:t>
      </w:r>
      <w:r w:rsidR="00337CF6">
        <w:t>a pre-est</w:t>
      </w:r>
      <w:r w:rsidR="00305C76">
        <w:t>i</w:t>
      </w:r>
      <w:r w:rsidR="00337CF6">
        <w:t>mated</w:t>
      </w:r>
      <w:r w:rsidRPr="004E0D59">
        <w:t xml:space="preserve"> target of around 950.</w:t>
      </w:r>
    </w:p>
    <w:p w14:paraId="7238FFD8" w14:textId="77777777" w:rsidR="004E0D59" w:rsidRPr="004E0D59" w:rsidRDefault="004E0D59" w:rsidP="004E0D59">
      <w:pPr>
        <w:spacing w:after="0" w:line="360" w:lineRule="auto"/>
      </w:pPr>
    </w:p>
    <w:p w14:paraId="0FBBF84F" w14:textId="7745E316" w:rsidR="004E0D59" w:rsidRPr="004E0D59" w:rsidRDefault="004E0D59" w:rsidP="004E0D59">
      <w:pPr>
        <w:spacing w:line="360" w:lineRule="auto"/>
        <w:rPr>
          <w:rFonts w:cs="Times New Roman"/>
        </w:rPr>
      </w:pPr>
      <w:r w:rsidRPr="004E0D59">
        <w:t xml:space="preserve">Various trial processes were put in place to minimise missing data. For example, missing data items, such as age and sex were queried at the time of data entry and up to </w:t>
      </w:r>
      <w:r w:rsidR="00337CF6">
        <w:t>three</w:t>
      </w:r>
      <w:r w:rsidRPr="004E0D59">
        <w:t xml:space="preserve"> visits were made to the school to take measurements for children absent on the first measurement day. </w:t>
      </w:r>
      <w:r w:rsidR="004C02FB">
        <w:t xml:space="preserve">For </w:t>
      </w:r>
      <w:r w:rsidRPr="004E0D59">
        <w:t xml:space="preserve">the FIQ, where participants were missing a subset of the items, the total score was extrapolated based on the average scores across the four categories (Energy Dense Snacks, Healthy Snack foods, Negative Food Markers, Positive Food Markers). </w:t>
      </w:r>
      <w:r w:rsidRPr="004E0D59">
        <w:rPr>
          <w:rFonts w:cs="Times New Roman"/>
        </w:rPr>
        <w:t>To be included in the physical activity analysis, children needed to comply with the required minimum continuous wear time of ≥10</w:t>
      </w:r>
      <w:r w:rsidR="00A5119C">
        <w:rPr>
          <w:rFonts w:cs="Times New Roman"/>
        </w:rPr>
        <w:t xml:space="preserve"> </w:t>
      </w:r>
      <w:r w:rsidRPr="004E0D59">
        <w:rPr>
          <w:rFonts w:cs="Times New Roman"/>
        </w:rPr>
        <w:t xml:space="preserve">hours a day for </w:t>
      </w:r>
      <w:r w:rsidR="00AF2D02">
        <w:rPr>
          <w:rFonts w:cs="Times New Roman"/>
        </w:rPr>
        <w:t xml:space="preserve">at least </w:t>
      </w:r>
      <w:r w:rsidRPr="004E0D59">
        <w:rPr>
          <w:rFonts w:cs="Times New Roman"/>
        </w:rPr>
        <w:t xml:space="preserve">3 weekdays and 1 weekend day. Non-wear was determined </w:t>
      </w:r>
      <w:r w:rsidR="00337CF6">
        <w:rPr>
          <w:rFonts w:cs="Times New Roman"/>
        </w:rPr>
        <w:t>as outlined</w:t>
      </w:r>
      <w:r w:rsidRPr="004E0D59">
        <w:rPr>
          <w:rFonts w:cs="Times New Roman"/>
        </w:rPr>
        <w:t xml:space="preserve"> previously</w:t>
      </w:r>
      <w:r w:rsidR="005F4C23">
        <w:rPr>
          <w:rFonts w:cs="Times New Roman"/>
        </w:rPr>
        <w:t xml:space="preserve"> in section 2.1.8.3 </w:t>
      </w:r>
      <w:r w:rsidRPr="004E0D59">
        <w:rPr>
          <w:rFonts w:cs="Times New Roman"/>
        </w:rPr>
        <w:fldChar w:fldCharType="begin">
          <w:fldData xml:space="preserve">PEVuZE5vdGU+PENpdGU+PEF1dGhvcj52YW4gSGVlczwvQXV0aG9yPjxZZWFyPjIwMTM8L1llYXI+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</w:fldData>
        </w:fldChar>
      </w:r>
      <w:r w:rsidR="00FF0067">
        <w:rPr>
          <w:rFonts w:cs="Times New Roman"/>
        </w:rPr>
        <w:instrText xml:space="preserve"> ADDIN EN.CITE </w:instrText>
      </w:r>
      <w:r w:rsidR="00FF0067">
        <w:rPr>
          <w:rFonts w:cs="Times New Roman"/>
        </w:rPr>
        <w:fldChar w:fldCharType="begin">
          <w:fldData xml:space="preserve">PEVuZE5vdGU+PENpdGU+PEF1dGhvcj52YW4gSGVlczwvQXV0aG9yPjxZZWFyPjIwMTM8L1llYXI+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</w:fldData>
        </w:fldChar>
      </w:r>
      <w:r w:rsidR="00FF0067">
        <w:rPr>
          <w:rFonts w:cs="Times New Roman"/>
        </w:rPr>
        <w:instrText xml:space="preserve"> ADDIN EN.CITE.DATA </w:instrText>
      </w:r>
      <w:r w:rsidR="00FF0067">
        <w:rPr>
          <w:rFonts w:cs="Times New Roman"/>
        </w:rPr>
      </w:r>
      <w:r w:rsidR="00FF0067">
        <w:rPr>
          <w:rFonts w:cs="Times New Roman"/>
        </w:rPr>
        <w:fldChar w:fldCharType="end"/>
      </w:r>
      <w:r w:rsidRPr="004E0D59">
        <w:rPr>
          <w:rFonts w:cs="Times New Roman"/>
        </w:rPr>
      </w:r>
      <w:r w:rsidRPr="004E0D59">
        <w:rPr>
          <w:rFonts w:cs="Times New Roman"/>
        </w:rPr>
        <w:fldChar w:fldCharType="separate"/>
      </w:r>
      <w:r w:rsidR="006347BE" w:rsidRPr="006347BE">
        <w:rPr>
          <w:rFonts w:cs="Times New Roman"/>
          <w:noProof/>
          <w:vertAlign w:val="superscript"/>
        </w:rPr>
        <w:t>38</w:t>
      </w:r>
      <w:r w:rsidRPr="004E0D59">
        <w:rPr>
          <w:rFonts w:cs="Times New Roman"/>
        </w:rPr>
        <w:fldChar w:fldCharType="end"/>
      </w:r>
      <w:r w:rsidRPr="004E0D59">
        <w:rPr>
          <w:rFonts w:cs="Times New Roman"/>
        </w:rPr>
        <w:t xml:space="preserve">. To minimise missing data due to non-wear, each 15-minute period of device non-wear time was replaced by the children’s own data from the same time of day, averaged across all other recorded days </w:t>
      </w:r>
      <w:r w:rsidRPr="004E0D59">
        <w:rPr>
          <w:rFonts w:cs="Times New Roman"/>
        </w:rPr>
        <w:fldChar w:fldCharType="begin"/>
      </w:r>
      <w:r w:rsidR="008C43BF">
        <w:rPr>
          <w:rFonts w:cs="Times New Roman"/>
        </w:rPr>
        <w:instrText xml:space="preserve"> ADDIN EN.CITE &lt;EndNote&gt;&lt;Cite&gt;&lt;Author&gt;Catellier&lt;/Author&gt;&lt;Year&gt;2005&lt;/Year&gt;&lt;RecNum&gt;5502&lt;/RecNum&gt;&lt;DisplayText&gt;&lt;style face="superscript"&gt;47&lt;/style&gt;&lt;/DisplayText&gt;&lt;record&gt;&lt;rec-number&gt;5502&lt;/rec-number&gt;&lt;foreign-keys&gt;&lt;key app="EN" db-id="2ewa9rrvjsdsawep2vpx5x97eedzzvxx5rta" timestamp="0"&gt;5502&lt;/key&gt;&lt;/foreign-keys&gt;&lt;ref-type name="Journal Article"&gt;17&lt;/ref-type&gt;&lt;contributors&gt;&lt;authors&gt;&lt;author&gt;Catellier, DJ.&lt;/author&gt;&lt;author&gt;Hannan, PJ.&lt;/author&gt;&lt;author&gt;Murray, DM.&lt;/author&gt;&lt;author&gt;Addy, CL.&lt;/author&gt;&lt;author&gt;Conway, TL.&lt;/author&gt;&lt;author&gt;Yang, S.&lt;/author&gt;&lt;author&gt;Rice, JC.&lt;/author&gt;&lt;/authors&gt;&lt;/contributors&gt;&lt;titles&gt;&lt;title&gt;Imputation of missing data when measuring physical activity by accelerometry&lt;/title&gt;&lt;secondary-title&gt;Medicine and Science in Sports and Exercise&lt;/secondary-title&gt;&lt;/titles&gt;&lt;periodical&gt;&lt;full-title&gt;Medicine and Science in Sports and Exercise&lt;/full-title&gt;&lt;abbr-1&gt;Med. Sci. Sports Exerc.&lt;/abbr-1&gt;&lt;abbr-2&gt;Med Sci Sports Exerc&lt;/abbr-2&gt;&lt;abbr-3&gt;Medicine &amp;amp; Science in Sports &amp;amp; Exercise&lt;/abbr-3&gt;&lt;/periodical&gt;&lt;pages&gt;S555&lt;/pages&gt;&lt;volume&gt;37&lt;/volume&gt;&lt;number&gt;11 Suppl&lt;/number&gt;&lt;dates&gt;&lt;year&gt;2005&lt;/year&gt;&lt;/dates&gt;&lt;urls&gt;&lt;/urls&gt;&lt;/record&gt;&lt;/Cite&gt;&lt;/EndNote&gt;</w:instrText>
      </w:r>
      <w:r w:rsidRPr="004E0D59">
        <w:rPr>
          <w:rFonts w:cs="Times New Roman"/>
        </w:rPr>
        <w:fldChar w:fldCharType="separate"/>
      </w:r>
      <w:r w:rsidR="008C43BF" w:rsidRPr="008C43BF">
        <w:rPr>
          <w:rFonts w:cs="Times New Roman"/>
          <w:noProof/>
          <w:vertAlign w:val="superscript"/>
        </w:rPr>
        <w:t>47</w:t>
      </w:r>
      <w:r w:rsidRPr="004E0D59">
        <w:rPr>
          <w:rFonts w:cs="Times New Roman"/>
        </w:rPr>
        <w:fldChar w:fldCharType="end"/>
      </w:r>
      <w:r w:rsidRPr="004E0D59">
        <w:rPr>
          <w:rFonts w:cs="Times New Roman"/>
        </w:rPr>
        <w:t>. This approach provides a person-specific method for imputing missing data. Any time window with &gt;50% non-wear was treated as missing</w:t>
      </w:r>
      <w:r w:rsidR="00FA2878">
        <w:rPr>
          <w:rFonts w:cs="Times New Roman"/>
        </w:rPr>
        <w:t xml:space="preserve"> </w:t>
      </w:r>
      <w:r w:rsidR="00202488">
        <w:rPr>
          <w:rFonts w:cs="Times New Roman"/>
        </w:rPr>
        <w:fldChar w:fldCharType="begin">
          <w:fldData xml:space="preserve">PEVuZE5vdGU+PENpdGU+PEF1dGhvcj52YW4gSGVlczwvQXV0aG9yPjxZZWFyPjIwMTM8L1llYXI+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</w:fldData>
        </w:fldChar>
      </w:r>
      <w:r w:rsidR="00FF0067">
        <w:rPr>
          <w:rFonts w:cs="Times New Roman"/>
        </w:rPr>
        <w:instrText xml:space="preserve"> ADDIN EN.CITE </w:instrText>
      </w:r>
      <w:r w:rsidR="00FF0067">
        <w:rPr>
          <w:rFonts w:cs="Times New Roman"/>
        </w:rPr>
        <w:fldChar w:fldCharType="begin">
          <w:fldData xml:space="preserve">PEVuZE5vdGU+PENpdGU+PEF1dGhvcj52YW4gSGVlczwvQXV0aG9yPjxZZWFyPjIwMTM8L1llYXI+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</w:fldData>
        </w:fldChar>
      </w:r>
      <w:r w:rsidR="00FF0067">
        <w:rPr>
          <w:rFonts w:cs="Times New Roman"/>
        </w:rPr>
        <w:instrText xml:space="preserve"> ADDIN EN.CITE.DATA </w:instrText>
      </w:r>
      <w:r w:rsidR="00FF0067">
        <w:rPr>
          <w:rFonts w:cs="Times New Roman"/>
        </w:rPr>
      </w:r>
      <w:r w:rsidR="00FF0067">
        <w:rPr>
          <w:rFonts w:cs="Times New Roman"/>
        </w:rPr>
        <w:fldChar w:fldCharType="end"/>
      </w:r>
      <w:r w:rsidR="00202488">
        <w:rPr>
          <w:rFonts w:cs="Times New Roman"/>
        </w:rPr>
      </w:r>
      <w:r w:rsidR="00202488">
        <w:rPr>
          <w:rFonts w:cs="Times New Roman"/>
        </w:rPr>
        <w:fldChar w:fldCharType="separate"/>
      </w:r>
      <w:r w:rsidR="006347BE" w:rsidRPr="006347BE">
        <w:rPr>
          <w:rFonts w:cs="Times New Roman"/>
          <w:noProof/>
          <w:vertAlign w:val="superscript"/>
        </w:rPr>
        <w:t>38</w:t>
      </w:r>
      <w:r w:rsidR="00202488">
        <w:rPr>
          <w:rFonts w:cs="Times New Roman"/>
        </w:rPr>
        <w:fldChar w:fldCharType="end"/>
      </w:r>
      <w:r w:rsidRPr="004E0D59">
        <w:rPr>
          <w:rFonts w:cs="Times New Roman"/>
        </w:rPr>
        <w:t xml:space="preserve">. </w:t>
      </w:r>
    </w:p>
    <w:p w14:paraId="3931A579" w14:textId="77777777" w:rsidR="004E0D59" w:rsidRPr="004E0D59" w:rsidRDefault="004E0D59" w:rsidP="004E0D59">
      <w:pPr>
        <w:spacing w:after="0" w:line="360" w:lineRule="auto"/>
      </w:pPr>
      <w:r w:rsidRPr="004E0D59">
        <w:t>Having put in place measures to minimise missing data, the likely reasons for a child having missing outcome data at the 18 or 24 month follow up were:</w:t>
      </w:r>
    </w:p>
    <w:p w14:paraId="40A5E454" w14:textId="77777777" w:rsidR="004E0D59" w:rsidRPr="004E0D59" w:rsidRDefault="004E0D59" w:rsidP="00403B07">
      <w:pPr>
        <w:numPr>
          <w:ilvl w:val="0"/>
          <w:numId w:val="21"/>
        </w:numPr>
        <w:spacing w:after="0" w:line="360" w:lineRule="auto"/>
      </w:pPr>
      <w:r w:rsidRPr="004E0D59">
        <w:t xml:space="preserve">Parent/carer opts child out of trial before </w:t>
      </w:r>
      <w:r w:rsidR="009D1C7F">
        <w:t>follow up</w:t>
      </w:r>
      <w:r w:rsidRPr="004E0D59">
        <w:t xml:space="preserve"> data collection at either 18 or 24 months</w:t>
      </w:r>
    </w:p>
    <w:p w14:paraId="37354E65" w14:textId="77777777" w:rsidR="004E0D59" w:rsidRPr="004E0D59" w:rsidRDefault="004E0D59" w:rsidP="00403B07">
      <w:pPr>
        <w:numPr>
          <w:ilvl w:val="0"/>
          <w:numId w:val="21"/>
        </w:numPr>
        <w:spacing w:after="0" w:line="360" w:lineRule="auto"/>
      </w:pPr>
      <w:r w:rsidRPr="004E0D59">
        <w:rPr>
          <w:bCs/>
        </w:rPr>
        <w:t>Child refused to participate in collection of anthropometric measures at 18 months but remained in the trial</w:t>
      </w:r>
    </w:p>
    <w:p w14:paraId="130D5767" w14:textId="77777777" w:rsidR="004E0D59" w:rsidRPr="004E0D59" w:rsidRDefault="004E0D59" w:rsidP="00403B07">
      <w:pPr>
        <w:numPr>
          <w:ilvl w:val="0"/>
          <w:numId w:val="21"/>
        </w:numPr>
        <w:spacing w:after="0" w:line="360" w:lineRule="auto"/>
      </w:pPr>
      <w:r w:rsidRPr="004E0D59">
        <w:rPr>
          <w:bCs/>
        </w:rPr>
        <w:t>Child refused to participate in collection of anthropometric measures at 24 months</w:t>
      </w:r>
    </w:p>
    <w:p w14:paraId="01DED4AD" w14:textId="77777777" w:rsidR="004E0D59" w:rsidRPr="004E0D59" w:rsidRDefault="004E0D59" w:rsidP="00403B07">
      <w:pPr>
        <w:numPr>
          <w:ilvl w:val="0"/>
          <w:numId w:val="21"/>
        </w:numPr>
        <w:spacing w:after="0" w:line="360" w:lineRule="auto"/>
      </w:pPr>
      <w:r w:rsidRPr="004E0D59">
        <w:rPr>
          <w:bCs/>
        </w:rPr>
        <w:t xml:space="preserve">Child moved out of the County before </w:t>
      </w:r>
      <w:r w:rsidR="009D1C7F">
        <w:rPr>
          <w:bCs/>
        </w:rPr>
        <w:t>follow up</w:t>
      </w:r>
      <w:r w:rsidRPr="004E0D59">
        <w:rPr>
          <w:bCs/>
        </w:rPr>
        <w:t xml:space="preserve"> data collection at either 18 or 24 months</w:t>
      </w:r>
    </w:p>
    <w:p w14:paraId="5C91A48C" w14:textId="77777777" w:rsidR="004E0D59" w:rsidRPr="004E0D59" w:rsidRDefault="004E0D59" w:rsidP="00403B07">
      <w:pPr>
        <w:numPr>
          <w:ilvl w:val="0"/>
          <w:numId w:val="21"/>
        </w:numPr>
        <w:spacing w:after="0" w:line="360" w:lineRule="auto"/>
      </w:pPr>
      <w:r w:rsidRPr="004E0D59">
        <w:t>Anthropometric data missing because the child was withdrawn (but not left the school) prior to that time point</w:t>
      </w:r>
    </w:p>
    <w:p w14:paraId="5A627570" w14:textId="77777777" w:rsidR="004E0D59" w:rsidRPr="004E0D59" w:rsidRDefault="004E0D59" w:rsidP="00403B07">
      <w:pPr>
        <w:numPr>
          <w:ilvl w:val="0"/>
          <w:numId w:val="21"/>
        </w:numPr>
        <w:spacing w:after="0" w:line="360" w:lineRule="auto"/>
      </w:pPr>
      <w:r w:rsidRPr="004E0D59">
        <w:t>Child absent on day of measurement and subsequent follow up visits</w:t>
      </w:r>
    </w:p>
    <w:p w14:paraId="0E402DB8" w14:textId="0AAE1EBB" w:rsidR="004E0D59" w:rsidRPr="004E0D59" w:rsidRDefault="004E0D59" w:rsidP="004E0D59">
      <w:pPr>
        <w:spacing w:before="240" w:after="0" w:line="360" w:lineRule="auto"/>
      </w:pPr>
      <w:r w:rsidRPr="004E0D59">
        <w:lastRenderedPageBreak/>
        <w:t xml:space="preserve">Missing some but not all of the anthropometric measures could occur if a child did not give assent/consent for a particular measure (for example, child did not want to remove tights thus unable to collect </w:t>
      </w:r>
      <w:r w:rsidR="00A34951">
        <w:t>percent</w:t>
      </w:r>
      <w:r w:rsidRPr="004E0D59">
        <w:t xml:space="preserve"> body fat measurement). Therefore, the numbers of children with valid data for each of the baseline measurements varied. We explored whether the missing data for a particular measure were similar in the two allocated groups.</w:t>
      </w:r>
    </w:p>
    <w:p w14:paraId="4F26B220" w14:textId="5B9BA7BF" w:rsidR="004E0D59" w:rsidRPr="004E0D59" w:rsidRDefault="004E0D59" w:rsidP="004E0D59">
      <w:pPr>
        <w:keepNext/>
        <w:keepLines/>
        <w:spacing w:before="200" w:after="0" w:line="360" w:lineRule="auto"/>
        <w:outlineLvl w:val="3"/>
        <w:rPr>
          <w:rFonts w:eastAsiaTheme="majorEastAsia" w:cstheme="majorBidi"/>
          <w:b/>
          <w:bCs/>
          <w:iCs/>
        </w:rPr>
      </w:pPr>
      <w:r w:rsidRPr="004E0D59">
        <w:rPr>
          <w:rFonts w:eastAsiaTheme="majorEastAsia" w:cstheme="majorBidi"/>
          <w:b/>
          <w:bCs/>
          <w:iCs/>
        </w:rPr>
        <w:t>Analysis populations and missing data</w:t>
      </w:r>
    </w:p>
    <w:p w14:paraId="1A8C5E01" w14:textId="4433479D" w:rsidR="004E0D59" w:rsidRPr="004E0D59" w:rsidRDefault="004E0D59" w:rsidP="004E0D59">
      <w:pPr>
        <w:spacing w:after="0" w:line="360" w:lineRule="auto"/>
      </w:pPr>
      <w:r w:rsidRPr="004E0D59">
        <w:t>Full intention-to-treat analysis, i.e. including all participants in the main analyses, requires that all participants have complete follow up data/no missing data. It was expected from the outset that a small proportion of children would be lost to follow up by 24 months. As has been previously noted</w:t>
      </w:r>
      <w:r w:rsidR="00974606">
        <w:t xml:space="preserve"> </w:t>
      </w:r>
      <w:r w:rsidR="00A11111">
        <w:fldChar w:fldCharType="begin"/>
      </w:r>
      <w:r w:rsidR="008C43BF">
        <w:instrText xml:space="preserve"> ADDIN EN.CITE &lt;EndNote&gt;&lt;Cite&gt;&lt;Author&gt;White&lt;/Author&gt;&lt;Year&gt;2011&lt;/Year&gt;&lt;RecNum&gt;5552&lt;/RecNum&gt;&lt;DisplayText&gt;&lt;style face="superscript"&gt;48&lt;/style&gt;&lt;/DisplayText&gt;&lt;record&gt;&lt;rec-number&gt;5552&lt;/rec-number&gt;&lt;foreign-keys&gt;&lt;key app="EN" db-id="2ewa9rrvjsdsawep2vpx5x97eedzzvxx5rta" timestamp="0"&gt;5552&lt;/key&gt;&lt;/foreign-keys&gt;&lt;ref-type name="Journal Article"&gt;17&lt;/ref-type&gt;&lt;contributors&gt;&lt;authors&gt;&lt;author&gt;White, Ian R.&lt;/author&gt;&lt;author&gt;Horton, Nicholas J.&lt;/author&gt;&lt;author&gt;Carpenter, James&lt;/author&gt;&lt;author&gt;statistics, reader in medical&lt;/author&gt;&lt;author&gt;social,&lt;/author&gt;&lt;author&gt;Pocock, Stuart J.&lt;/author&gt;&lt;/authors&gt;&lt;/contributors&gt;&lt;titles&gt;&lt;title&gt;Strategy for intention to treat analysis in randomised trials with missing outcome data&lt;/title&gt;&lt;secondary-title&gt;BMJ&lt;/secondary-title&gt;&lt;/titles&gt;&lt;periodical&gt;&lt;full-title&gt;BMJ&lt;/full-title&gt;&lt;abbr-1&gt;BMJ&lt;/abbr-1&gt;&lt;abbr-2&gt;BMJ&lt;/abbr-2&gt;&lt;/periodical&gt;&lt;pages&gt;d40&lt;/pages&gt;&lt;volume&gt;342&lt;/volume&gt;&lt;dates&gt;&lt;year&gt;2011&lt;/year&gt;&lt;pub-dates&gt;&lt;date&gt;02/07&amp;#xD;11/05/accepted&lt;/date&gt;&lt;/pub-dates&gt;&lt;/dates&gt;&lt;isbn&gt;0959-8138&amp;#xD;1468-5833&lt;/isbn&gt;&lt;accession-num&gt;PMC3230114&lt;/accession-num&gt;&lt;urls&gt;&lt;related-urls&gt;&lt;url&gt;http://www.ncbi.nlm.nih.gov/pmc/articles/PMC3230114/&lt;/url&gt;&lt;/related-urls&gt;&lt;/urls&gt;&lt;electronic-resource-num&gt;10.1136/bmj.d40&lt;/electronic-resource-num&gt;&lt;remote-database-name&gt;PMC&lt;/remote-database-name&gt;&lt;/record&gt;&lt;/Cite&gt;&lt;/EndNote&gt;</w:instrText>
      </w:r>
      <w:r w:rsidR="00A11111">
        <w:fldChar w:fldCharType="separate"/>
      </w:r>
      <w:r w:rsidR="008C43BF" w:rsidRPr="008C43BF">
        <w:rPr>
          <w:noProof/>
          <w:vertAlign w:val="superscript"/>
        </w:rPr>
        <w:t>48</w:t>
      </w:r>
      <w:r w:rsidR="00A11111">
        <w:fldChar w:fldCharType="end"/>
      </w:r>
      <w:r w:rsidRPr="004E0D59">
        <w:t xml:space="preserve">, all statistical methods for handling missing data, including complete case analysis (i.e. analysis of observed data), have assumptions on the nature or reasons for missingness, which are generally not testable, and so it is necessary to consider the assumptions within the particular context. During the development of the analysis plan, the TMG considered that the missing at random assumption, necessary for many of the common statistical methods for handling missing data, would be plausible:  randomisation was at the school level, opt-out consent was used before baseline measures were collected and it was felt highly unlikely that the delivery of the intervention, or lack of the intervention programme in the control schools, would affect the likelihood of children being absent on days when study data were being collected.  Within Devon, it is also known that movement between schools is relatively low. </w:t>
      </w:r>
    </w:p>
    <w:p w14:paraId="15FF00D1" w14:textId="77777777" w:rsidR="004E0D59" w:rsidRPr="004E0D59" w:rsidRDefault="004E0D59" w:rsidP="004E0D59">
      <w:pPr>
        <w:spacing w:after="0" w:line="360" w:lineRule="auto"/>
      </w:pPr>
    </w:p>
    <w:p w14:paraId="72CF0B18" w14:textId="22758A09" w:rsidR="004E0D59" w:rsidRPr="004E0D59" w:rsidRDefault="004E0D59" w:rsidP="004E0D59">
      <w:pPr>
        <w:spacing w:after="0" w:line="360" w:lineRule="auto"/>
      </w:pPr>
      <w:r w:rsidRPr="004E0D59">
        <w:t xml:space="preserve">There was, therefore, no strong </w:t>
      </w:r>
      <w:r w:rsidRPr="004E0D59">
        <w:rPr>
          <w:i/>
          <w:iCs/>
        </w:rPr>
        <w:t>a priori</w:t>
      </w:r>
      <w:r w:rsidRPr="004E0D59">
        <w:t xml:space="preserve"> reason to assume that children who were lost to </w:t>
      </w:r>
      <w:r w:rsidR="009D1C7F">
        <w:t>follow up</w:t>
      </w:r>
      <w:r w:rsidRPr="004E0D59">
        <w:t xml:space="preserve"> would be missing not at random. For the primary analysis, no imputation of missing anthropometric data was undertaken and the primary outcome analysis was based on the complete case/observed outcomes data set </w:t>
      </w:r>
      <w:r w:rsidRPr="004E0D59">
        <w:fldChar w:fldCharType="begin"/>
      </w:r>
      <w:r w:rsidR="008C43BF">
        <w:instrText xml:space="preserve"> ADDIN EN.CITE &lt;EndNote&gt;&lt;Cite&gt;&lt;Author&gt;White&lt;/Author&gt;&lt;Year&gt;2011&lt;/Year&gt;&lt;RecNum&gt;5552&lt;/RecNum&gt;&lt;DisplayText&gt;&lt;style face="superscript"&gt;48&lt;/style&gt;&lt;/DisplayText&gt;&lt;record&gt;&lt;rec-number&gt;5552&lt;/rec-number&gt;&lt;foreign-keys&gt;&lt;key app="EN" db-id="2ewa9rrvjsdsawep2vpx5x97eedzzvxx5rta" timestamp="0"&gt;5552&lt;/key&gt;&lt;/foreign-keys&gt;&lt;ref-type name="Journal Article"&gt;17&lt;/ref-type&gt;&lt;contributors&gt;&lt;authors&gt;&lt;author&gt;White, Ian R.&lt;/author&gt;&lt;author&gt;Horton, Nicholas J.&lt;/author&gt;&lt;author&gt;Carpenter, James&lt;/author&gt;&lt;author&gt;statistics, reader in medical&lt;/author&gt;&lt;author&gt;social,&lt;/author&gt;&lt;author&gt;Pocock, Stuart J.&lt;/author&gt;&lt;/authors&gt;&lt;/contributors&gt;&lt;titles&gt;&lt;title&gt;Strategy for intention to treat analysis in randomised trials with missing outcome data&lt;/title&gt;&lt;secondary-title&gt;BMJ&lt;/secondary-title&gt;&lt;/titles&gt;&lt;periodical&gt;&lt;full-title&gt;BMJ&lt;/full-title&gt;&lt;abbr-1&gt;BMJ&lt;/abbr-1&gt;&lt;abbr-2&gt;BMJ&lt;/abbr-2&gt;&lt;/periodical&gt;&lt;pages&gt;d40&lt;/pages&gt;&lt;volume&gt;342&lt;/volume&gt;&lt;dates&gt;&lt;year&gt;2011&lt;/year&gt;&lt;pub-dates&gt;&lt;date&gt;02/07&amp;#xD;11/05/accepted&lt;/date&gt;&lt;/pub-dates&gt;&lt;/dates&gt;&lt;isbn&gt;0959-8138&amp;#xD;1468-5833&lt;/isbn&gt;&lt;accession-num&gt;PMC3230114&lt;/accession-num&gt;&lt;urls&gt;&lt;related-urls&gt;&lt;url&gt;http://www.ncbi.nlm.nih.gov/pmc/articles/PMC3230114/&lt;/url&gt;&lt;/related-urls&gt;&lt;/urls&gt;&lt;electronic-resource-num&gt;10.1136/bmj.d40&lt;/electronic-resource-num&gt;&lt;remote-database-name&gt;PMC&lt;/remote-database-name&gt;&lt;/record&gt;&lt;/Cite&gt;&lt;/EndNote&gt;</w:instrText>
      </w:r>
      <w:r w:rsidRPr="004E0D59">
        <w:fldChar w:fldCharType="separate"/>
      </w:r>
      <w:r w:rsidR="008C43BF" w:rsidRPr="008C43BF">
        <w:rPr>
          <w:noProof/>
          <w:vertAlign w:val="superscript"/>
        </w:rPr>
        <w:t>48</w:t>
      </w:r>
      <w:r w:rsidRPr="004E0D59">
        <w:fldChar w:fldCharType="end"/>
      </w:r>
      <w:r w:rsidRPr="004E0D59">
        <w:t xml:space="preserve">, i.e. a modified intention to treat approach. Given the assumption that any missing primary outcome measures at 24 months would be missing at random, a sensitivity analysis of the primary outcome measure was planned, with missing </w:t>
      </w:r>
      <w:r w:rsidR="009D1C7F">
        <w:t>BMI SDS</w:t>
      </w:r>
      <w:r w:rsidRPr="004E0D59">
        <w:t xml:space="preserve"> at 24 months to be imputed using multiple imputation and the analysis re-run on the imputed data set. However, as outlined above in </w:t>
      </w:r>
      <w:r w:rsidR="00DB448C">
        <w:t>Section 2.2.5</w:t>
      </w:r>
      <w:r w:rsidRPr="004E0D59">
        <w:t>, this sensitivity analysis was subsequently replaced by best case/worst case sensitivity analyses.</w:t>
      </w:r>
    </w:p>
    <w:p w14:paraId="0BE98844" w14:textId="77777777" w:rsidR="004E0D59" w:rsidRPr="004E0D59" w:rsidRDefault="004E0D59" w:rsidP="004E0D59">
      <w:pPr>
        <w:spacing w:after="0" w:line="360" w:lineRule="auto"/>
      </w:pPr>
    </w:p>
    <w:p w14:paraId="191D4596" w14:textId="3FBFB903" w:rsidR="004E0D59" w:rsidRPr="004E0D59" w:rsidRDefault="009A2C4F" w:rsidP="004E0D59">
      <w:pPr>
        <w:keepNext/>
        <w:keepLines/>
        <w:spacing w:before="200" w:after="0" w:line="360" w:lineRule="auto"/>
        <w:outlineLvl w:val="2"/>
        <w:rPr>
          <w:rFonts w:eastAsiaTheme="majorEastAsia" w:cs="Times New Roman"/>
          <w:b/>
          <w:bCs/>
        </w:rPr>
      </w:pPr>
      <w:bookmarkStart w:id="384" w:name="_Toc466710069"/>
      <w:bookmarkStart w:id="385" w:name="_Toc466711417"/>
      <w:bookmarkStart w:id="386" w:name="_Toc466712076"/>
      <w:bookmarkStart w:id="387" w:name="_Toc475974358"/>
      <w:r>
        <w:rPr>
          <w:rFonts w:eastAsiaTheme="majorEastAsia" w:cs="Times New Roman"/>
          <w:b/>
          <w:bCs/>
        </w:rPr>
        <w:t xml:space="preserve">2.2.8 </w:t>
      </w:r>
      <w:r w:rsidR="004E0D59" w:rsidRPr="004E0D59">
        <w:rPr>
          <w:rFonts w:eastAsiaTheme="majorEastAsia" w:cs="Times New Roman"/>
          <w:b/>
          <w:bCs/>
        </w:rPr>
        <w:t>Derived outcome variables</w:t>
      </w:r>
      <w:bookmarkEnd w:id="384"/>
      <w:bookmarkEnd w:id="385"/>
      <w:bookmarkEnd w:id="386"/>
      <w:bookmarkEnd w:id="387"/>
    </w:p>
    <w:p w14:paraId="13035DC4" w14:textId="6DE7336D" w:rsidR="004E0D59" w:rsidRPr="004E0D59" w:rsidRDefault="004E0D59" w:rsidP="00403B07">
      <w:pPr>
        <w:numPr>
          <w:ilvl w:val="0"/>
          <w:numId w:val="18"/>
        </w:numPr>
        <w:spacing w:after="0" w:line="360" w:lineRule="auto"/>
        <w:jc w:val="both"/>
        <w:rPr>
          <w:rFonts w:eastAsia="Times New Roman" w:cs="Arial"/>
          <w:lang w:eastAsia="zh-CN"/>
        </w:rPr>
      </w:pPr>
      <w:r w:rsidRPr="004E0D59">
        <w:rPr>
          <w:rFonts w:eastAsia="Times New Roman" w:cs="Arial"/>
          <w:lang w:eastAsia="zh-CN"/>
        </w:rPr>
        <w:t>BMI for each child was calculated from height and weight i.e. weight/height</w:t>
      </w:r>
      <w:r w:rsidRPr="004E0D59">
        <w:rPr>
          <w:rFonts w:eastAsia="Times New Roman" w:cs="Arial"/>
          <w:vertAlign w:val="superscript"/>
          <w:lang w:eastAsia="zh-CN"/>
        </w:rPr>
        <w:t>2</w:t>
      </w:r>
      <w:r w:rsidRPr="004E0D59">
        <w:rPr>
          <w:rFonts w:eastAsia="Times New Roman" w:cs="Arial"/>
          <w:lang w:eastAsia="zh-CN"/>
        </w:rPr>
        <w:t xml:space="preserve">. The BMI was then age and gender standardised to obtain the </w:t>
      </w:r>
      <w:r w:rsidR="009D1C7F">
        <w:rPr>
          <w:rFonts w:eastAsia="Times New Roman" w:cs="Arial"/>
          <w:lang w:eastAsia="zh-CN"/>
        </w:rPr>
        <w:t>BMI SDS</w:t>
      </w:r>
      <w:r w:rsidRPr="004E0D59">
        <w:rPr>
          <w:rFonts w:eastAsia="Times New Roman" w:cs="Arial"/>
          <w:lang w:eastAsia="zh-CN"/>
        </w:rPr>
        <w:t xml:space="preserve"> (sometimes known as BMI z-scores); we used </w:t>
      </w:r>
      <w:r w:rsidRPr="004E0D59">
        <w:rPr>
          <w:rFonts w:eastAsia="Times New Roman" w:cs="Arial"/>
          <w:lang w:eastAsia="zh-CN"/>
        </w:rPr>
        <w:lastRenderedPageBreak/>
        <w:t>the British 1990 (UK90) growth reference charts, and we implemented the calculations using the</w:t>
      </w:r>
      <w:r w:rsidRPr="004E0D59">
        <w:rPr>
          <w:rFonts w:eastAsia="Times New Roman" w:cs="Arial"/>
          <w:color w:val="555555"/>
          <w:shd w:val="clear" w:color="auto" w:fill="FFFFFF"/>
          <w:lang w:eastAsia="zh-CN"/>
        </w:rPr>
        <w:t xml:space="preserve"> </w:t>
      </w:r>
      <w:r w:rsidRPr="004E0D59">
        <w:rPr>
          <w:rFonts w:eastAsia="Times New Roman" w:cs="Arial"/>
          <w:lang w:eastAsia="zh-CN"/>
        </w:rPr>
        <w:t xml:space="preserve">package LMSgrowth, developed by Cole </w:t>
      </w:r>
      <w:r w:rsidRPr="004E0D59">
        <w:rPr>
          <w:rFonts w:eastAsia="Times New Roman" w:cs="Arial"/>
          <w:lang w:eastAsia="zh-CN"/>
        </w:rPr>
        <w:fldChar w:fldCharType="begin"/>
      </w:r>
      <w:r w:rsidR="008C43BF">
        <w:rPr>
          <w:rFonts w:eastAsia="Times New Roman" w:cs="Arial"/>
          <w:lang w:eastAsia="zh-CN"/>
        </w:rPr>
        <w:instrText xml:space="preserve"> ADDIN EN.CITE &lt;EndNote&gt;&lt;Cite&gt;&lt;Author&gt;Cole&lt;/Author&gt;&lt;Year&gt;1990&lt;/Year&gt;&lt;RecNum&gt;3265&lt;/RecNum&gt;&lt;DisplayText&gt;&lt;style face="superscript"&gt;49&lt;/style&gt;&lt;/DisplayText&gt;&lt;record&gt;&lt;rec-number&gt;3265&lt;/rec-number&gt;&lt;foreign-keys&gt;&lt;key app="EN" db-id="2ewa9rrvjsdsawep2vpx5x97eedzzvxx5rta" timestamp="0"&gt;3265&lt;/key&gt;&lt;/foreign-keys&gt;&lt;ref-type name="Journal Article"&gt;17&lt;/ref-type&gt;&lt;contributors&gt;&lt;authors&gt;&lt;author&gt;Cole, T. J.&lt;/author&gt;&lt;/authors&gt;&lt;/contributors&gt;&lt;auth-address&gt;MRC Dunn Nutrition Unit, Cambridge, UK.&lt;/auth-address&gt;&lt;titles&gt;&lt;title&gt;The LMS method for constructing normalized growth standards&lt;/title&gt;&lt;secondary-title&gt;European Journal of Clinical Nutrition&lt;/secondary-title&gt;&lt;/titles&gt;&lt;periodical&gt;&lt;full-title&gt;European Journal of Clinical Nutrition&lt;/full-title&gt;&lt;abbr-1&gt;Eur. J. Clin. Nutr.&lt;/abbr-1&gt;&lt;abbr-2&gt;Eur J Clin Nutr&lt;/abbr-2&gt;&lt;/periodical&gt;&lt;pages&gt;45-60&lt;/pages&gt;&lt;volume&gt;44&lt;/volume&gt;&lt;number&gt;1&lt;/number&gt;&lt;edition&gt;1990/01/01&lt;/edition&gt;&lt;keywords&gt;&lt;keyword&gt;Adolescent&lt;/keyword&gt;&lt;keyword&gt;Age Factors&lt;/keyword&gt;&lt;keyword&gt;Anthropometry/ methods&lt;/keyword&gt;&lt;keyword&gt;Body Height&lt;/keyword&gt;&lt;keyword&gt;Body Weight&lt;/keyword&gt;&lt;keyword&gt;Child&lt;/keyword&gt;&lt;keyword&gt;Child Development/ physiology&lt;/keyword&gt;&lt;keyword&gt;Child, Preschool&lt;/keyword&gt;&lt;keyword&gt;Female&lt;/keyword&gt;&lt;keyword&gt;Growth&lt;/keyword&gt;&lt;keyword&gt;Humans&lt;/keyword&gt;&lt;keyword&gt;Male&lt;/keyword&gt;&lt;keyword&gt;Mathematics&lt;/keyword&gt;&lt;keyword&gt;Reference Standards&lt;/keyword&gt;&lt;/keywords&gt;&lt;dates&gt;&lt;year&gt;1990&lt;/year&gt;&lt;pub-dates&gt;&lt;date&gt;Jan&lt;/date&gt;&lt;/pub-dates&gt;&lt;/dates&gt;&lt;isbn&gt;0954-3007 (Print)&amp;#xD;0954-3007 (Linking)&lt;/isbn&gt;&lt;accession-num&gt;2354692&lt;/accession-num&gt;&lt;urls&gt;&lt;/urls&gt;&lt;remote-database-provider&gt;Nlm&lt;/remote-database-provider&gt;&lt;language&gt;eng&lt;/language&gt;&lt;/record&gt;&lt;/Cite&gt;&lt;/EndNote&gt;</w:instrText>
      </w:r>
      <w:r w:rsidRPr="004E0D59">
        <w:rPr>
          <w:rFonts w:eastAsia="Times New Roman" w:cs="Arial"/>
          <w:lang w:eastAsia="zh-CN"/>
        </w:rPr>
        <w:fldChar w:fldCharType="separate"/>
      </w:r>
      <w:r w:rsidR="008C43BF" w:rsidRPr="008C43BF">
        <w:rPr>
          <w:rFonts w:eastAsia="Times New Roman" w:cs="Arial"/>
          <w:noProof/>
          <w:vertAlign w:val="superscript"/>
          <w:lang w:eastAsia="zh-CN"/>
        </w:rPr>
        <w:t>49</w:t>
      </w:r>
      <w:r w:rsidRPr="004E0D59">
        <w:rPr>
          <w:rFonts w:eastAsia="Times New Roman" w:cs="Arial"/>
          <w:lang w:eastAsia="zh-CN"/>
        </w:rPr>
        <w:fldChar w:fldCharType="end"/>
      </w:r>
      <w:r w:rsidRPr="004E0D59">
        <w:rPr>
          <w:rFonts w:eastAsia="Times New Roman" w:cs="Arial"/>
          <w:lang w:eastAsia="zh-CN"/>
        </w:rPr>
        <w:t>.</w:t>
      </w:r>
    </w:p>
    <w:p w14:paraId="0330EC9E" w14:textId="78074A72" w:rsidR="004E0D59" w:rsidRPr="004E0D59" w:rsidRDefault="004E0D59" w:rsidP="00403B07">
      <w:pPr>
        <w:numPr>
          <w:ilvl w:val="0"/>
          <w:numId w:val="16"/>
        </w:numPr>
        <w:shd w:val="clear" w:color="auto" w:fill="FFFFFF"/>
        <w:spacing w:before="120" w:after="0" w:line="360" w:lineRule="auto"/>
        <w:textAlignment w:val="baseline"/>
        <w:rPr>
          <w:rFonts w:eastAsia="Times New Roman" w:cs="Arial"/>
          <w:lang w:eastAsia="zh-CN"/>
        </w:rPr>
      </w:pPr>
      <w:r w:rsidRPr="004E0D59">
        <w:rPr>
          <w:rFonts w:eastAsia="Times New Roman" w:cs="Arial"/>
          <w:lang w:eastAsia="zh-CN"/>
        </w:rPr>
        <w:t xml:space="preserve">Categorisations of weight status into underweight, normal, obese or overweight was made based on the definitions from Cole </w:t>
      </w:r>
      <w:r w:rsidRPr="004E0D59">
        <w:rPr>
          <w:rFonts w:eastAsia="Times New Roman" w:cs="Arial"/>
          <w:i/>
          <w:iCs/>
          <w:lang w:eastAsia="zh-CN"/>
        </w:rPr>
        <w:t xml:space="preserve">et al. </w:t>
      </w:r>
      <w:r w:rsidRPr="004E0D59">
        <w:rPr>
          <w:rFonts w:eastAsia="Times New Roman" w:cs="Arial"/>
          <w:iCs/>
          <w:lang w:eastAsia="zh-CN"/>
        </w:rPr>
        <w:fldChar w:fldCharType="begin"/>
      </w:r>
      <w:r w:rsidR="008C43BF">
        <w:rPr>
          <w:rFonts w:eastAsia="Times New Roman" w:cs="Arial"/>
          <w:iCs/>
          <w:lang w:eastAsia="zh-CN"/>
        </w:rPr>
        <w:instrText xml:space="preserve"> ADDIN EN.CITE &lt;EndNote&gt;&lt;Cite&gt;&lt;Author&gt;Cole&lt;/Author&gt;&lt;Year&gt;1995&lt;/Year&gt;&lt;RecNum&gt;215&lt;/RecNum&gt;&lt;DisplayText&gt;&lt;style face="superscript"&gt;50&lt;/style&gt;&lt;/DisplayText&gt;&lt;record&gt;&lt;rec-number&gt;215&lt;/rec-number&gt;&lt;foreign-keys&gt;&lt;key app="EN" db-id="2ewa9rrvjsdsawep2vpx5x97eedzzvxx5rta" timestamp="0"&gt;215&lt;/key&gt;&lt;/foreign-keys&gt;&lt;ref-type name="Journal Article"&gt;17&lt;/ref-type&gt;&lt;contributors&gt;&lt;authors&gt;&lt;author&gt;Cole, T. J.&lt;/author&gt;&lt;author&gt;Freeman, J. V.&lt;/author&gt;&lt;author&gt;Preece, M. A.&lt;/author&gt;&lt;/authors&gt;&lt;/contributors&gt;&lt;auth-address&gt;MRC Dunn Nutrition Centre, Cambridge.&lt;/auth-address&gt;&lt;titles&gt;&lt;title&gt;Body mass index reference curves for the UK, 1990&lt;/title&gt;&lt;secondary-title&gt;Archives of Disease in Childhood&lt;/secondary-title&gt;&lt;/titles&gt;&lt;periodical&gt;&lt;full-title&gt;Archives of Disease in Childhood&lt;/full-title&gt;&lt;abbr-1&gt;Arch. Dis. Child.&lt;/abbr-1&gt;&lt;abbr-2&gt;Arch Dis Child&lt;/abbr-2&gt;&lt;/periodical&gt;&lt;pages&gt;25-9&lt;/pages&gt;&lt;volume&gt;73&lt;/volume&gt;&lt;number&gt;1&lt;/number&gt;&lt;keywords&gt;&lt;keyword&gt;Adolescent&lt;/keyword&gt;&lt;keyword&gt;Adult&lt;/keyword&gt;&lt;keyword&gt;*Body Mass Index&lt;/keyword&gt;&lt;keyword&gt;Child&lt;/keyword&gt;&lt;keyword&gt;Child, Preschool&lt;/keyword&gt;&lt;keyword&gt;Female&lt;/keyword&gt;&lt;keyword&gt;Great Britain&lt;/keyword&gt;&lt;keyword&gt;Humans&lt;/keyword&gt;&lt;keyword&gt;Infant&lt;/keyword&gt;&lt;keyword&gt;Infant, Newborn&lt;/keyword&gt;&lt;keyword&gt;Male&lt;/keyword&gt;&lt;keyword&gt;Reference Values&lt;/keyword&gt;&lt;/keywords&gt;&lt;dates&gt;&lt;year&gt;1995&lt;/year&gt;&lt;pub-dates&gt;&lt;date&gt;Jul&lt;/date&gt;&lt;/pub-dates&gt;&lt;/dates&gt;&lt;accession-num&gt;7639544&lt;/accession-num&gt;&lt;urls&gt;&lt;related-urls&gt;&lt;url&gt;http://www.ncbi.nlm.nih.gov/entrez/query.fcgi?cmd=Retrieve&amp;amp;db=PubMed&amp;amp;dopt=Citation&amp;amp;list_uids=7639544 &lt;/url&gt;&lt;/related-urls&gt;&lt;/urls&gt;&lt;/record&gt;&lt;/Cite&gt;&lt;/EndNote&gt;</w:instrText>
      </w:r>
      <w:r w:rsidRPr="004E0D59">
        <w:rPr>
          <w:rFonts w:eastAsia="Times New Roman" w:cs="Arial"/>
          <w:iCs/>
          <w:lang w:eastAsia="zh-CN"/>
        </w:rPr>
        <w:fldChar w:fldCharType="separate"/>
      </w:r>
      <w:r w:rsidR="008C43BF" w:rsidRPr="008C43BF">
        <w:rPr>
          <w:rFonts w:eastAsia="Times New Roman" w:cs="Arial"/>
          <w:iCs/>
          <w:noProof/>
          <w:vertAlign w:val="superscript"/>
          <w:lang w:eastAsia="zh-CN"/>
        </w:rPr>
        <w:t>50</w:t>
      </w:r>
      <w:r w:rsidRPr="004E0D59">
        <w:rPr>
          <w:rFonts w:eastAsia="Times New Roman" w:cs="Arial"/>
          <w:iCs/>
          <w:lang w:eastAsia="zh-CN"/>
        </w:rPr>
        <w:fldChar w:fldCharType="end"/>
      </w:r>
      <w:r w:rsidRPr="004E0D59">
        <w:rPr>
          <w:rFonts w:eastAsia="Times New Roman" w:cs="Arial"/>
          <w:iCs/>
          <w:lang w:eastAsia="zh-CN"/>
        </w:rPr>
        <w:t xml:space="preserve">; these are the categories used by Public Health England when measuring population of children (for example, when reporting National Child Measurement Programme results).  The weight status categories are defined using the following UK 1990 population cut points: </w:t>
      </w:r>
      <w:r w:rsidRPr="004E0D59">
        <w:rPr>
          <w:rFonts w:eastAsia="Times New Roman" w:cs="Arial"/>
          <w:lang w:eastAsia="zh-CN"/>
        </w:rPr>
        <w:t>Underweight: ≤2nd centile; Healthy weight: &gt;2 - &lt;85th centile; Overweight: ≥ 85th centile; Obese: ≥95th centile.</w:t>
      </w:r>
    </w:p>
    <w:p w14:paraId="06F216A9" w14:textId="5C1153FD" w:rsidR="004E0D59" w:rsidRPr="004E0D59" w:rsidRDefault="004E0D59" w:rsidP="00403B07">
      <w:pPr>
        <w:numPr>
          <w:ilvl w:val="0"/>
          <w:numId w:val="16"/>
        </w:numPr>
        <w:spacing w:after="0" w:line="360" w:lineRule="auto"/>
        <w:ind w:left="357" w:hanging="357"/>
        <w:jc w:val="both"/>
        <w:rPr>
          <w:rFonts w:eastAsia="Times New Roman" w:cs="Arial"/>
          <w:lang w:eastAsia="zh-CN"/>
        </w:rPr>
      </w:pPr>
      <w:r w:rsidRPr="004E0D59">
        <w:rPr>
          <w:rFonts w:eastAsia="Times New Roman" w:cs="Arial"/>
          <w:lang w:eastAsia="zh-CN"/>
        </w:rPr>
        <w:t xml:space="preserve">Waist circumference was similarly age and gender standardised, based on the British 1990 growth reference charts and implemented using the LMSgrowth package </w:t>
      </w:r>
      <w:r w:rsidRPr="004E0D59">
        <w:rPr>
          <w:rFonts w:eastAsia="Times New Roman" w:cs="Arial"/>
          <w:lang w:eastAsia="zh-CN"/>
        </w:rPr>
        <w:fldChar w:fldCharType="begin"/>
      </w:r>
      <w:r w:rsidR="008C43BF">
        <w:rPr>
          <w:rFonts w:eastAsia="Times New Roman" w:cs="Arial"/>
          <w:lang w:eastAsia="zh-CN"/>
        </w:rPr>
        <w:instrText xml:space="preserve"> ADDIN EN.CITE &lt;EndNote&gt;&lt;Cite&gt;&lt;Author&gt;McCarthy&lt;/Author&gt;&lt;Year&gt;2001&lt;/Year&gt;&lt;RecNum&gt;3217&lt;/RecNum&gt;&lt;DisplayText&gt;&lt;style face="superscript"&gt;51&lt;/style&gt;&lt;/DisplayText&gt;&lt;record&gt;&lt;rec-number&gt;3217&lt;/rec-number&gt;&lt;foreign-keys&gt;&lt;key app="EN" db-id="2ewa9rrvjsdsawep2vpx5x97eedzzvxx5rta" timestamp="0"&gt;3217&lt;/key&gt;&lt;/foreign-keys&gt;&lt;ref-type name="Journal Article"&gt;17&lt;/ref-type&gt;&lt;contributors&gt;&lt;authors&gt;&lt;author&gt;McCarthy, H. D.&lt;/author&gt;&lt;author&gt;Jarrett, K. V.&lt;/author&gt;&lt;author&gt;Crawley, H. F.&lt;/author&gt;&lt;/authors&gt;&lt;/contributors&gt;&lt;auth-address&gt;School of Health and Sports Science, The University of North London, London, UK. d.mccarthy@unl.ac.uk&lt;/auth-address&gt;&lt;titles&gt;&lt;title&gt;The development of waist circumference percentiles in British children aged 5.0-16.9 y&lt;/title&gt;&lt;secondary-title&gt;European Journal of Clinical Nutrition&lt;/secondary-title&gt;&lt;/titles&gt;&lt;periodical&gt;&lt;full-title&gt;European Journal of Clinical Nutrition&lt;/full-title&gt;&lt;abbr-1&gt;Eur. J. Clin. Nutr.&lt;/abbr-1&gt;&lt;abbr-2&gt;Eur J Clin Nutr&lt;/abbr-2&gt;&lt;/periodical&gt;&lt;pages&gt;902-7&lt;/pages&gt;&lt;volume&gt;55&lt;/volume&gt;&lt;number&gt;10&lt;/number&gt;&lt;edition&gt;2001/10/11&lt;/edition&gt;&lt;keywords&gt;&lt;keyword&gt;Abdomen/anatomy &amp;amp; histology&lt;/keyword&gt;&lt;keyword&gt;Adolescent&lt;/keyword&gt;&lt;keyword&gt;Age Distribution&lt;/keyword&gt;&lt;keyword&gt;Anthropometry&lt;/keyword&gt;&lt;keyword&gt;Body Constitution/*physiology&lt;/keyword&gt;&lt;keyword&gt;Child&lt;/keyword&gt;&lt;keyword&gt;Child, Preschool&lt;/keyword&gt;&lt;keyword&gt;Cross-Sectional Studies&lt;/keyword&gt;&lt;keyword&gt;Female&lt;/keyword&gt;&lt;keyword&gt;Humans&lt;/keyword&gt;&lt;keyword&gt;Male&lt;/keyword&gt;&lt;keyword&gt;Reference Values&lt;/keyword&gt;&lt;keyword&gt;Reproducibility of Results&lt;/keyword&gt;&lt;keyword&gt;Sex Characteristics&lt;/keyword&gt;&lt;/keywords&gt;&lt;dates&gt;&lt;year&gt;2001&lt;/year&gt;&lt;pub-dates&gt;&lt;date&gt;Oct&lt;/date&gt;&lt;/pub-dates&gt;&lt;/dates&gt;&lt;isbn&gt;0954-3007 (Print)&amp;#xD;0954-3007 (Linking)&lt;/isbn&gt;&lt;accession-num&gt;11593353&lt;/accession-num&gt;&lt;urls&gt;&lt;related-urls&gt;&lt;url&gt;http://www.ncbi.nlm.nih.gov/pubmed/11593353&lt;/url&gt;&lt;/related-urls&gt;&lt;/urls&gt;&lt;electronic-resource-num&gt;10.1038/sj.ejcn.1601240&lt;/electronic-resource-num&gt;&lt;language&gt;eng&lt;/language&gt;&lt;/record&gt;&lt;/Cite&gt;&lt;/EndNote&gt;</w:instrText>
      </w:r>
      <w:r w:rsidRPr="004E0D59">
        <w:rPr>
          <w:rFonts w:eastAsia="Times New Roman" w:cs="Arial"/>
          <w:lang w:eastAsia="zh-CN"/>
        </w:rPr>
        <w:fldChar w:fldCharType="separate"/>
      </w:r>
      <w:r w:rsidR="008C43BF" w:rsidRPr="008C43BF">
        <w:rPr>
          <w:rFonts w:eastAsia="Times New Roman" w:cs="Arial"/>
          <w:noProof/>
          <w:vertAlign w:val="superscript"/>
          <w:lang w:eastAsia="zh-CN"/>
        </w:rPr>
        <w:t>51</w:t>
      </w:r>
      <w:r w:rsidRPr="004E0D59">
        <w:rPr>
          <w:rFonts w:eastAsia="Times New Roman" w:cs="Arial"/>
          <w:lang w:eastAsia="zh-CN"/>
        </w:rPr>
        <w:fldChar w:fldCharType="end"/>
      </w:r>
      <w:r w:rsidRPr="004E0D59">
        <w:rPr>
          <w:rFonts w:eastAsia="Times New Roman" w:cs="Arial"/>
          <w:lang w:eastAsia="zh-CN"/>
        </w:rPr>
        <w:t xml:space="preserve">. </w:t>
      </w:r>
    </w:p>
    <w:p w14:paraId="105BF9C9" w14:textId="1A556D4F" w:rsidR="004E0D59" w:rsidRPr="004E0D59" w:rsidRDefault="004E0D59" w:rsidP="00403B07">
      <w:pPr>
        <w:widowControl w:val="0"/>
        <w:numPr>
          <w:ilvl w:val="0"/>
          <w:numId w:val="16"/>
        </w:numPr>
        <w:autoSpaceDE w:val="0"/>
        <w:autoSpaceDN w:val="0"/>
        <w:adjustRightInd w:val="0"/>
        <w:spacing w:after="120" w:line="360" w:lineRule="auto"/>
        <w:ind w:left="357" w:hanging="357"/>
        <w:contextualSpacing/>
        <w:rPr>
          <w:rFonts w:cs="Arial"/>
          <w:u w:color="262626"/>
        </w:rPr>
      </w:pPr>
      <w:r w:rsidRPr="004E0D59">
        <w:rPr>
          <w:rFonts w:cs="Arial"/>
        </w:rPr>
        <w:t xml:space="preserve">Percent body fat was estimated from leg-to-leg bioelectric impedance analysis (Tanita Body Composition Analyser SC-330) and age and gender standardised, based on the British 1990 growth reference charts and implemented using the LMSgrowth software </w:t>
      </w:r>
      <w:r w:rsidRPr="004E0D59">
        <w:rPr>
          <w:rFonts w:cs="Arial"/>
        </w:rPr>
        <w:fldChar w:fldCharType="begin"/>
      </w:r>
      <w:r w:rsidR="008C43BF">
        <w:rPr>
          <w:rFonts w:cs="Arial"/>
        </w:rPr>
        <w:instrText xml:space="preserve"> ADDIN EN.CITE &lt;EndNote&gt;&lt;Cite&gt;&lt;Author&gt;McCarthy&lt;/Author&gt;&lt;Year&gt;2006&lt;/Year&gt;&lt;RecNum&gt;3149&lt;/RecNum&gt;&lt;DisplayText&gt;&lt;style face="superscript"&gt;52&lt;/style&gt;&lt;/DisplayText&gt;&lt;record&gt;&lt;rec-number&gt;3149&lt;/rec-number&gt;&lt;foreign-keys&gt;&lt;key app="EN" db-id="2ewa9rrvjsdsawep2vpx5x97eedzzvxx5rta" timestamp="0"&gt;3149&lt;/key&gt;&lt;/foreign-keys&gt;&lt;ref-type name="Journal Article"&gt;17&lt;/ref-type&gt;&lt;contributors&gt;&lt;authors&gt;&lt;author&gt;McCarthy, H. D.&lt;/author&gt;&lt;author&gt;Cole, T. J.&lt;/author&gt;&lt;author&gt;Fry, T.&lt;/author&gt;&lt;author&gt;Jebb, S. A.&lt;/author&gt;&lt;author&gt;Prentice, A. M.&lt;/author&gt;&lt;/authors&gt;&lt;/contributors&gt;&lt;titles&gt;&lt;title&gt;Body fat reference curves for children&lt;/title&gt;&lt;secondary-title&gt;International Journal of Obesity&lt;/secondary-title&gt;&lt;/titles&gt;&lt;periodical&gt;&lt;full-title&gt;International Journal of Obesity&lt;/full-title&gt;&lt;abbr-1&gt;Int. J. Obes.&lt;/abbr-1&gt;&lt;abbr-2&gt;Int J Obes&lt;/abbr-2&gt;&lt;/periodical&gt;&lt;pages&gt;598-602&lt;/pages&gt;&lt;volume&gt;30&lt;/volume&gt;&lt;number&gt;4&lt;/number&gt;&lt;dates&gt;&lt;year&gt;2006&lt;/year&gt;&lt;/dates&gt;&lt;publisher&gt;Nature Publishing Group&lt;/publisher&gt;&lt;isbn&gt;0307-0565&lt;/isbn&gt;&lt;urls&gt;&lt;related-urls&gt;&lt;url&gt;http://dx.doi.org/10.1038/sj.ijo.0803232&lt;/url&gt;&lt;/related-urls&gt;&lt;/urls&gt;&lt;/record&gt;&lt;/Cite&gt;&lt;/EndNote&gt;</w:instrText>
      </w:r>
      <w:r w:rsidRPr="004E0D59">
        <w:rPr>
          <w:rFonts w:cs="Arial"/>
        </w:rPr>
        <w:fldChar w:fldCharType="separate"/>
      </w:r>
      <w:r w:rsidR="008C43BF" w:rsidRPr="008C43BF">
        <w:rPr>
          <w:rFonts w:cs="Arial"/>
          <w:noProof/>
          <w:vertAlign w:val="superscript"/>
        </w:rPr>
        <w:t>52</w:t>
      </w:r>
      <w:r w:rsidRPr="004E0D59">
        <w:rPr>
          <w:rFonts w:cs="Arial"/>
        </w:rPr>
        <w:fldChar w:fldCharType="end"/>
      </w:r>
      <w:r w:rsidRPr="004E0D59">
        <w:rPr>
          <w:rFonts w:cs="Arial"/>
        </w:rPr>
        <w:t>.</w:t>
      </w:r>
    </w:p>
    <w:p w14:paraId="4103AB2E" w14:textId="73DABFBB" w:rsidR="00AF2D02" w:rsidRPr="004E0D59" w:rsidRDefault="004E0D59" w:rsidP="00403B07">
      <w:pPr>
        <w:numPr>
          <w:ilvl w:val="0"/>
          <w:numId w:val="16"/>
        </w:numPr>
        <w:spacing w:after="0" w:line="360" w:lineRule="auto"/>
        <w:ind w:left="357" w:hanging="357"/>
        <w:contextualSpacing/>
      </w:pPr>
      <w:r w:rsidRPr="004E0D59">
        <w:rPr>
          <w:rFonts w:cs="Times New Roman"/>
        </w:rPr>
        <w:t xml:space="preserve">Average time per day, in sedentary, light, moderate, vigorous and moderate to vigorous physical activity (MVPA) intensities was calculated using published cut points for children at baseline and 18 months </w:t>
      </w:r>
      <w:r w:rsidRPr="004E0D59">
        <w:rPr>
          <w:rFonts w:cs="Times New Roman"/>
        </w:rPr>
        <w:fldChar w:fldCharType="begin"/>
      </w:r>
      <w:r w:rsidR="00FF0067">
        <w:rPr>
          <w:rFonts w:cs="Times New Roman"/>
        </w:rPr>
        <w:instrText xml:space="preserve"> ADDIN EN.CITE &lt;EndNote&gt;&lt;Cite&gt;&lt;Author&gt;Phillips&lt;/Author&gt;&lt;Year&gt;2013&lt;/Year&gt;&lt;RecNum&gt;5504&lt;/RecNum&gt;&lt;DisplayText&gt;&lt;style face="superscript"&gt;30&lt;/style&gt;&lt;/DisplayText&gt;&lt;record&gt;&lt;rec-number&gt;5504&lt;/rec-number&gt;&lt;foreign-keys&gt;&lt;key app="EN" db-id="2ewa9rrvjsdsawep2vpx5x97eedzzvxx5rta" timestamp="0"&gt;5504&lt;/key&gt;&lt;/foreign-keys&gt;&lt;ref-type name="Journal Article"&gt;17&lt;/ref-type&gt;&lt;contributors&gt;&lt;authors&gt;&lt;author&gt;Phillips, Lisa R. S.&lt;/author&gt;&lt;author&gt;Parfitt, Gaynor&lt;/author&gt;&lt;author&gt;Rowlands, Alex V.&lt;/author&gt;&lt;/authors&gt;&lt;/contributors&gt;&lt;titles&gt;&lt;title&gt;Calibration of the GENEA accelerometer for assessment of physical activity intensity in children&lt;/title&gt;&lt;secondary-title&gt;Journal of Science and Medicine in Sport&lt;/secondary-title&gt;&lt;/titles&gt;&lt;periodical&gt;&lt;full-title&gt;Journal of Science and Medicine in Sport&lt;/full-title&gt;&lt;abbr-1&gt;J. Sci. Med. Sport&lt;/abbr-1&gt;&lt;abbr-2&gt;J Sci Med Sport&lt;/abbr-2&gt;&lt;abbr-3&gt;Journal of Science &amp;amp; Medicine in Sport&lt;/abbr-3&gt;&lt;/periodical&gt;&lt;pages&gt;124-128&lt;/pages&gt;&lt;volume&gt;16&lt;/volume&gt;&lt;number&gt;2&lt;/number&gt;&lt;keywords&gt;&lt;keyword&gt;Activity intensity&lt;/keyword&gt;&lt;keyword&gt;Cut-points&lt;/keyword&gt;&lt;keyword&gt;Wrist worn&lt;/keyword&gt;&lt;keyword&gt;ActiGraph&lt;/keyword&gt;&lt;keyword&gt;Physical activity&lt;/keyword&gt;&lt;/keywords&gt;&lt;dates&gt;&lt;year&gt;2013&lt;/year&gt;&lt;/dates&gt;&lt;isbn&gt;1440-2440&lt;/isbn&gt;&lt;urls&gt;&lt;related-urls&gt;&lt;url&gt;http://www.sciencedirect.com/science/article/pii/S1440244012001120&lt;/url&gt;&lt;/related-urls&gt;&lt;/urls&gt;&lt;electronic-resource-num&gt;http://dx.doi.org/10.1016/j.jsams.2012.05.013&lt;/electronic-resource-num&gt;&lt;/record&gt;&lt;/Cite&gt;&lt;/EndNote&gt;</w:instrText>
      </w:r>
      <w:r w:rsidRPr="004E0D59">
        <w:rPr>
          <w:rFonts w:cs="Times New Roman"/>
        </w:rPr>
        <w:fldChar w:fldCharType="separate"/>
      </w:r>
      <w:r w:rsidR="006347BE" w:rsidRPr="006347BE">
        <w:rPr>
          <w:rFonts w:cs="Times New Roman"/>
          <w:noProof/>
          <w:vertAlign w:val="superscript"/>
        </w:rPr>
        <w:t>30</w:t>
      </w:r>
      <w:r w:rsidRPr="004E0D59">
        <w:rPr>
          <w:rFonts w:cs="Times New Roman"/>
        </w:rPr>
        <w:fldChar w:fldCharType="end"/>
      </w:r>
      <w:r w:rsidRPr="004E0D59">
        <w:rPr>
          <w:rFonts w:cs="Times New Roman"/>
        </w:rPr>
        <w:t>.</w:t>
      </w:r>
      <w:r w:rsidR="00AF2D02">
        <w:rPr>
          <w:rFonts w:cs="Times New Roman"/>
        </w:rPr>
        <w:t xml:space="preserve"> In addition, the average</w:t>
      </w:r>
      <w:r w:rsidR="00AF2D02" w:rsidRPr="004F7D07">
        <w:rPr>
          <w:rFonts w:cs="Times New Roman"/>
        </w:rPr>
        <w:t xml:space="preserve"> volume</w:t>
      </w:r>
      <w:r w:rsidR="00AF2D02">
        <w:rPr>
          <w:rFonts w:cs="Times New Roman"/>
        </w:rPr>
        <w:t xml:space="preserve"> of physical activity</w:t>
      </w:r>
      <w:r w:rsidR="00AF2D02" w:rsidRPr="004F7D07">
        <w:rPr>
          <w:rFonts w:cs="Times New Roman"/>
        </w:rPr>
        <w:t xml:space="preserve"> (</w:t>
      </w:r>
      <w:r w:rsidR="00AF2D02">
        <w:rPr>
          <w:rFonts w:cs="Times New Roman"/>
        </w:rPr>
        <w:t>m</w:t>
      </w:r>
      <w:r w:rsidR="00AF2D02">
        <w:rPr>
          <w:rFonts w:cs="Times New Roman"/>
          <w:i/>
        </w:rPr>
        <w:t>g</w:t>
      </w:r>
      <w:r w:rsidR="00AF2D02" w:rsidRPr="004F7D07">
        <w:rPr>
          <w:rFonts w:cs="Times New Roman"/>
        </w:rPr>
        <w:t>)</w:t>
      </w:r>
      <w:r w:rsidR="00AF2D02">
        <w:rPr>
          <w:rFonts w:cs="Times New Roman"/>
        </w:rPr>
        <w:t xml:space="preserve"> for all valid days was derived. </w:t>
      </w:r>
      <w:r w:rsidR="00544922">
        <w:rPr>
          <w:rFonts w:cs="Times New Roman"/>
        </w:rPr>
        <w:t>This outcome was added following the first HeLP TSC meeting (November 2012)</w:t>
      </w:r>
    </w:p>
    <w:p w14:paraId="5DCAE777" w14:textId="40061F9E" w:rsidR="004E0D59" w:rsidRPr="004E0D59" w:rsidRDefault="004E0D59" w:rsidP="00403B07">
      <w:pPr>
        <w:numPr>
          <w:ilvl w:val="0"/>
          <w:numId w:val="16"/>
        </w:numPr>
        <w:spacing w:after="0" w:line="360" w:lineRule="auto"/>
        <w:ind w:left="357" w:hanging="357"/>
        <w:contextualSpacing/>
      </w:pPr>
      <w:r w:rsidRPr="004E0D59">
        <w:rPr>
          <w:rFonts w:cs="Times New Roman"/>
        </w:rPr>
        <w:t xml:space="preserve">Details of the scoring for the Food Intake Questionnaires are given </w:t>
      </w:r>
      <w:r w:rsidRPr="00BB73DD">
        <w:rPr>
          <w:rFonts w:cs="Times New Roman"/>
        </w:rPr>
        <w:t xml:space="preserve">in </w:t>
      </w:r>
      <w:r w:rsidR="00BB73DD" w:rsidRPr="00BB73DD">
        <w:rPr>
          <w:rFonts w:cs="Times New Roman"/>
        </w:rPr>
        <w:t>Appendix 2</w:t>
      </w:r>
      <w:r w:rsidRPr="00BB73DD">
        <w:rPr>
          <w:rFonts w:cs="Times New Roman"/>
        </w:rPr>
        <w:t>.</w:t>
      </w:r>
      <w:r w:rsidRPr="004E0D59">
        <w:rPr>
          <w:rFonts w:cs="Times New Roman"/>
        </w:rPr>
        <w:t xml:space="preserve"> From the FIQ data, the mean number of </w:t>
      </w:r>
      <w:r w:rsidR="00E6558B">
        <w:rPr>
          <w:rFonts w:cs="Times New Roman"/>
        </w:rPr>
        <w:t>E</w:t>
      </w:r>
      <w:r w:rsidRPr="004E0D59">
        <w:rPr>
          <w:rFonts w:cs="Times New Roman"/>
        </w:rPr>
        <w:t xml:space="preserve">nergy </w:t>
      </w:r>
      <w:r w:rsidR="00E6558B">
        <w:rPr>
          <w:rFonts w:cs="Times New Roman"/>
        </w:rPr>
        <w:t>D</w:t>
      </w:r>
      <w:r w:rsidRPr="004E0D59">
        <w:rPr>
          <w:rFonts w:cs="Times New Roman"/>
        </w:rPr>
        <w:t xml:space="preserve">ense </w:t>
      </w:r>
      <w:r w:rsidR="00E6558B">
        <w:rPr>
          <w:rFonts w:cs="Times New Roman"/>
        </w:rPr>
        <w:t>S</w:t>
      </w:r>
      <w:r w:rsidRPr="004E0D59">
        <w:rPr>
          <w:rFonts w:cs="Times New Roman"/>
        </w:rPr>
        <w:t xml:space="preserve">nacks, </w:t>
      </w:r>
      <w:r w:rsidR="00E6558B">
        <w:rPr>
          <w:rFonts w:cs="Times New Roman"/>
        </w:rPr>
        <w:t>H</w:t>
      </w:r>
      <w:r w:rsidRPr="004E0D59">
        <w:rPr>
          <w:rFonts w:cs="Times New Roman"/>
        </w:rPr>
        <w:t xml:space="preserve">ealthy </w:t>
      </w:r>
      <w:r w:rsidR="00E6558B">
        <w:rPr>
          <w:rFonts w:cs="Times New Roman"/>
        </w:rPr>
        <w:t>S</w:t>
      </w:r>
      <w:r w:rsidRPr="004E0D59">
        <w:rPr>
          <w:rFonts w:cs="Times New Roman"/>
        </w:rPr>
        <w:t xml:space="preserve">nacks, </w:t>
      </w:r>
      <w:r w:rsidR="00E6558B">
        <w:rPr>
          <w:rFonts w:cs="Times New Roman"/>
        </w:rPr>
        <w:t>N</w:t>
      </w:r>
      <w:r w:rsidRPr="004E0D59">
        <w:rPr>
          <w:rFonts w:cs="Times New Roman"/>
        </w:rPr>
        <w:t xml:space="preserve">egative and </w:t>
      </w:r>
      <w:r w:rsidR="00E6558B">
        <w:rPr>
          <w:rFonts w:cs="Times New Roman"/>
        </w:rPr>
        <w:t>P</w:t>
      </w:r>
      <w:r w:rsidRPr="004E0D59">
        <w:rPr>
          <w:rFonts w:cs="Times New Roman"/>
        </w:rPr>
        <w:t xml:space="preserve">ositive </w:t>
      </w:r>
      <w:r w:rsidR="00E6558B">
        <w:rPr>
          <w:rFonts w:cs="Times New Roman"/>
        </w:rPr>
        <w:t>F</w:t>
      </w:r>
      <w:r w:rsidRPr="004E0D59">
        <w:rPr>
          <w:rFonts w:cs="Times New Roman"/>
        </w:rPr>
        <w:t xml:space="preserve">ood </w:t>
      </w:r>
      <w:r w:rsidR="00E6558B">
        <w:rPr>
          <w:rFonts w:cs="Times New Roman"/>
        </w:rPr>
        <w:t>M</w:t>
      </w:r>
      <w:r w:rsidRPr="004E0D59">
        <w:rPr>
          <w:rFonts w:cs="Times New Roman"/>
        </w:rPr>
        <w:t>arkers for weekday and weekend was calculated, f</w:t>
      </w:r>
      <w:r w:rsidR="00F913E6">
        <w:rPr>
          <w:rFonts w:cs="Times New Roman"/>
        </w:rPr>
        <w:t>or baseline and 18 months.</w:t>
      </w:r>
    </w:p>
    <w:p w14:paraId="4C1EB920" w14:textId="77777777" w:rsidR="00337CF6" w:rsidRDefault="00337CF6">
      <w:pPr>
        <w:rPr>
          <w:rFonts w:eastAsiaTheme="majorEastAsia" w:cs="Times New Roman"/>
          <w:b/>
          <w:bCs/>
        </w:rPr>
      </w:pPr>
      <w:r>
        <w:rPr>
          <w:rFonts w:eastAsiaTheme="majorEastAsia" w:cs="Times New Roman"/>
          <w:b/>
          <w:bCs/>
        </w:rPr>
        <w:br w:type="page"/>
      </w:r>
    </w:p>
    <w:p w14:paraId="51B0F091" w14:textId="05D7CAF7" w:rsidR="004E0D59" w:rsidRDefault="004E0D59" w:rsidP="00CE547A">
      <w:pPr>
        <w:keepNext/>
        <w:keepLines/>
        <w:spacing w:before="480" w:after="0" w:line="360" w:lineRule="auto"/>
        <w:jc w:val="both"/>
        <w:outlineLvl w:val="0"/>
        <w:rPr>
          <w:rFonts w:eastAsiaTheme="majorEastAsia" w:cs="Times New Roman"/>
          <w:b/>
          <w:bCs/>
        </w:rPr>
      </w:pPr>
      <w:bookmarkStart w:id="388" w:name="_Toc466639038"/>
      <w:bookmarkStart w:id="389" w:name="_Toc466710070"/>
      <w:bookmarkStart w:id="390" w:name="_Toc466711418"/>
      <w:bookmarkStart w:id="391" w:name="_Toc466712077"/>
      <w:bookmarkStart w:id="392" w:name="_Toc475974359"/>
      <w:r w:rsidRPr="004E0D59">
        <w:rPr>
          <w:rFonts w:eastAsiaTheme="majorEastAsia" w:cs="Times New Roman"/>
          <w:b/>
          <w:bCs/>
        </w:rPr>
        <w:lastRenderedPageBreak/>
        <w:t>Chapter 3 Results</w:t>
      </w:r>
      <w:bookmarkEnd w:id="300"/>
      <w:r w:rsidRPr="004E0D59">
        <w:rPr>
          <w:rFonts w:eastAsiaTheme="majorEastAsia" w:cs="Times New Roman"/>
          <w:b/>
          <w:bCs/>
        </w:rPr>
        <w:t xml:space="preserve"> (primary and secondary outcomes)</w:t>
      </w:r>
      <w:bookmarkEnd w:id="388"/>
      <w:bookmarkEnd w:id="389"/>
      <w:bookmarkEnd w:id="390"/>
      <w:bookmarkEnd w:id="391"/>
      <w:bookmarkEnd w:id="392"/>
      <w:r w:rsidRPr="004E0D59">
        <w:rPr>
          <w:rFonts w:eastAsiaTheme="majorEastAsia" w:cs="Times New Roman"/>
          <w:b/>
          <w:bCs/>
        </w:rPr>
        <w:t xml:space="preserve"> </w:t>
      </w:r>
    </w:p>
    <w:p w14:paraId="0C09D2C1" w14:textId="37F1A899" w:rsidR="004E0D59" w:rsidRPr="004E0D59" w:rsidRDefault="009A2C4F" w:rsidP="00CE547A">
      <w:pPr>
        <w:keepNext/>
        <w:keepLines/>
        <w:spacing w:before="200" w:after="0" w:line="360" w:lineRule="auto"/>
        <w:outlineLvl w:val="1"/>
        <w:rPr>
          <w:rFonts w:eastAsiaTheme="majorEastAsia" w:cstheme="majorBidi"/>
          <w:bCs/>
        </w:rPr>
      </w:pPr>
      <w:bookmarkStart w:id="393" w:name="_Toc466639039"/>
      <w:bookmarkStart w:id="394" w:name="_Toc466710071"/>
      <w:bookmarkStart w:id="395" w:name="_Toc466711419"/>
      <w:bookmarkStart w:id="396" w:name="_Toc466712078"/>
      <w:bookmarkStart w:id="397" w:name="_Toc475974360"/>
      <w:r>
        <w:rPr>
          <w:rFonts w:eastAsiaTheme="majorEastAsia" w:cstheme="majorBidi"/>
          <w:b/>
          <w:bCs/>
        </w:rPr>
        <w:t>3.</w:t>
      </w:r>
      <w:r w:rsidR="004809EC">
        <w:rPr>
          <w:rFonts w:eastAsiaTheme="majorEastAsia" w:cstheme="majorBidi"/>
          <w:b/>
          <w:bCs/>
        </w:rPr>
        <w:t>1</w:t>
      </w:r>
      <w:r>
        <w:rPr>
          <w:rFonts w:eastAsiaTheme="majorEastAsia" w:cstheme="majorBidi"/>
          <w:b/>
          <w:bCs/>
        </w:rPr>
        <w:t xml:space="preserve"> </w:t>
      </w:r>
      <w:r w:rsidR="004E0D59" w:rsidRPr="004E0D59">
        <w:rPr>
          <w:rFonts w:eastAsiaTheme="majorEastAsia" w:cstheme="majorBidi"/>
          <w:b/>
          <w:bCs/>
        </w:rPr>
        <w:t xml:space="preserve">Participant numbers through the </w:t>
      </w:r>
      <w:r w:rsidR="009D1C7F">
        <w:rPr>
          <w:rFonts w:eastAsiaTheme="majorEastAsia" w:cstheme="majorBidi"/>
          <w:b/>
          <w:bCs/>
        </w:rPr>
        <w:t>HeLP study</w:t>
      </w:r>
      <w:bookmarkEnd w:id="393"/>
      <w:bookmarkEnd w:id="394"/>
      <w:bookmarkEnd w:id="395"/>
      <w:bookmarkEnd w:id="396"/>
      <w:bookmarkEnd w:id="397"/>
    </w:p>
    <w:p w14:paraId="36B45B1A" w14:textId="758E3AC1" w:rsidR="004C02FB" w:rsidRPr="004E0D59" w:rsidRDefault="004E0D59" w:rsidP="00CE547A">
      <w:pPr>
        <w:spacing w:line="360" w:lineRule="auto"/>
      </w:pPr>
      <w:r w:rsidRPr="004E0D59">
        <w:t xml:space="preserve">Figure </w:t>
      </w:r>
      <w:r w:rsidR="006E65CA">
        <w:t>2</w:t>
      </w:r>
      <w:r w:rsidRPr="004E0D59">
        <w:t xml:space="preserve"> shows the flow diagram of the progress of schools and children through the phases of the trial. The target of recruiting 32 schools, to ensure a minimum of 28 schools completed the trial, was met, with all 32 schools completing the trial.  The number of children in each school was larger than we had anticipated before recruitment of schools started (prior assumption was a mean of 35 </w:t>
      </w:r>
      <w:r w:rsidR="00BB1F5D">
        <w:t xml:space="preserve">Year 5 </w:t>
      </w:r>
      <w:r w:rsidRPr="004E0D59">
        <w:t>children per school). Therefore, the total number of eligible children was greater</w:t>
      </w:r>
      <w:r w:rsidR="004C02FB">
        <w:t xml:space="preserve"> than expected</w:t>
      </w:r>
      <w:r w:rsidRPr="004E0D59">
        <w:t xml:space="preserve">. All 1371 children in the 32 participating schools were eligible for the trial: 34 were opted out by the child’s parent/carer and 13 children left the school prior to baseline data collection (and randomisation). All other 1324 children, irrespective of whether or not they had (all) measurements collected, were included within the </w:t>
      </w:r>
      <w:r w:rsidR="004C02FB" w:rsidRPr="004E0D59">
        <w:t>trial</w:t>
      </w:r>
      <w:r w:rsidR="004C02FB">
        <w:t>, and so the minimum requirement of 952 children recruited was well exceeded</w:t>
      </w:r>
      <w:r w:rsidR="004C02FB" w:rsidRPr="004E0D59">
        <w:t>.</w:t>
      </w:r>
    </w:p>
    <w:p w14:paraId="0A53E3BE" w14:textId="22B6F8CB" w:rsidR="004E0D59" w:rsidRDefault="004E0D59" w:rsidP="00CE547A">
      <w:pPr>
        <w:spacing w:line="360" w:lineRule="auto"/>
      </w:pPr>
      <w:r w:rsidRPr="004E0D59">
        <w:t xml:space="preserve">Up to </w:t>
      </w:r>
      <w:r w:rsidR="004C02FB">
        <w:t>four</w:t>
      </w:r>
      <w:r w:rsidRPr="004E0D59">
        <w:t xml:space="preserve"> visits were made to each school in an attempt to obtain measures on children who were absent on the original day of data collection, with only a small number of children absent at all subsequent visits.  As described in </w:t>
      </w:r>
      <w:r w:rsidR="00E34A3B">
        <w:t>c</w:t>
      </w:r>
      <w:r w:rsidRPr="004E0D59">
        <w:t xml:space="preserve">hapter 2, one class per school was randomly sampled to complete the physical activity data collection. At 24 months, there was a slightly greater loss to </w:t>
      </w:r>
      <w:r w:rsidR="009D1C7F">
        <w:t>follow up</w:t>
      </w:r>
      <w:r w:rsidRPr="004E0D59">
        <w:t xml:space="preserve"> of children in the intervention group compared to control group (6.1% vs 3.7%).  The number of children included in the primary analysis of </w:t>
      </w:r>
      <w:r w:rsidR="009D1C7F">
        <w:t>BMI SDS</w:t>
      </w:r>
      <w:r w:rsidRPr="004E0D59">
        <w:t xml:space="preserve"> at 24 months was 1244, 63% greater than the required 762 children from the </w:t>
      </w:r>
      <w:r w:rsidRPr="004E0D59">
        <w:rPr>
          <w:i/>
        </w:rPr>
        <w:t xml:space="preserve">a priori </w:t>
      </w:r>
      <w:r w:rsidRPr="004E0D59">
        <w:t>sample size calculation.</w:t>
      </w:r>
    </w:p>
    <w:p w14:paraId="34B27575" w14:textId="26EA363E" w:rsidR="004809EC" w:rsidRDefault="004809EC" w:rsidP="00CE547A">
      <w:pPr>
        <w:spacing w:line="360" w:lineRule="auto"/>
        <w:rPr>
          <w:rFonts w:eastAsiaTheme="majorEastAsia" w:cstheme="majorBidi"/>
        </w:rPr>
      </w:pPr>
      <w:r w:rsidRPr="004809EC">
        <w:rPr>
          <w:rFonts w:eastAsiaTheme="majorEastAsia" w:cstheme="majorBidi"/>
        </w:rPr>
        <w:t>Figure 2 shows the trial profile. ‘N’ refers to the number of schools (clusters) and ‘n’ refers to the number of children (individual participants). Two schools which had been allocated to Cohort 2 withdrew whilst waiting to commence the trial and so were subsequently replaced with two of the four schools on the waiting list, prior to Cohort 2 commencing. All schools that started the trial remained within the trial and so all the randomised clusters are present at baseline and at each follow up point. The percentage given in brackets for the proportion of children with data at both baseline and follow up is calculated from the total number of recruited children in the schools at baseline. Not all children with a follow up measure necessarily had a corresponding baseline measure (or vice versa) due to different children being absent on the day of the main and additional assessments for each of the time points, and/or due to children leaving or moving between schools.  In all the analyses, children were analysed in the group (intervention or control) to which the school they were enrolled in at baseline was randomised.</w:t>
      </w:r>
    </w:p>
    <w:p w14:paraId="5DC36B29" w14:textId="678A5B85" w:rsidR="004809EC" w:rsidRPr="004E0D59" w:rsidRDefault="004809EC" w:rsidP="004809EC">
      <w:pPr>
        <w:autoSpaceDE w:val="0"/>
        <w:autoSpaceDN w:val="0"/>
        <w:adjustRightInd w:val="0"/>
        <w:spacing w:after="0"/>
        <w:rPr>
          <w:color w:val="1F497D"/>
          <w:sz w:val="20"/>
          <w:szCs w:val="20"/>
        </w:rPr>
      </w:pPr>
    </w:p>
    <w:p w14:paraId="2CF2FC9B" w14:textId="371904F9" w:rsidR="004809EC" w:rsidRPr="004E0D59" w:rsidRDefault="004809EC" w:rsidP="004809EC">
      <w:pPr>
        <w:autoSpaceDE w:val="0"/>
        <w:autoSpaceDN w:val="0"/>
        <w:adjustRightInd w:val="0"/>
        <w:spacing w:after="0"/>
        <w:rPr>
          <w:color w:val="1F497D"/>
          <w:sz w:val="20"/>
          <w:szCs w:val="20"/>
        </w:rPr>
      </w:pPr>
    </w:p>
    <w:p w14:paraId="57CC5663" w14:textId="0031A50E" w:rsidR="00EB43E4" w:rsidRDefault="00387DF4">
      <w:pPr>
        <w:rPr>
          <w:rFonts w:asciiTheme="majorHAnsi" w:eastAsiaTheme="majorEastAsia" w:hAnsiTheme="majorHAnsi" w:cstheme="majorBidi"/>
          <w:b/>
          <w:sz w:val="26"/>
          <w:szCs w:val="26"/>
        </w:rPr>
      </w:pPr>
      <w:bookmarkStart w:id="398" w:name="_Toc466639048"/>
      <w:r w:rsidRPr="00EB43E4">
        <w:rPr>
          <w:noProof/>
          <w:lang w:eastAsia="zh-CN"/>
        </w:rPr>
        <w:lastRenderedPageBreak/>
        <mc:AlternateContent>
          <mc:Choice Requires="wpg">
            <w:drawing>
              <wp:anchor distT="0" distB="0" distL="114300" distR="114300" simplePos="0" relativeHeight="251675648" behindDoc="0" locked="0" layoutInCell="1" allowOverlap="1" wp14:anchorId="742B834F" wp14:editId="1A8B5F4E">
                <wp:simplePos x="0" y="0"/>
                <wp:positionH relativeFrom="column">
                  <wp:posOffset>-2530158</wp:posOffset>
                </wp:positionH>
                <wp:positionV relativeFrom="paragraph">
                  <wp:posOffset>390525</wp:posOffset>
                </wp:positionV>
                <wp:extent cx="5768975" cy="8986520"/>
                <wp:effectExtent l="0" t="0" r="22225" b="24130"/>
                <wp:wrapNone/>
                <wp:docPr id="683" name="Group 683"/>
                <wp:cNvGraphicFramePr/>
                <a:graphic xmlns:a="http://schemas.openxmlformats.org/drawingml/2006/main">
                  <a:graphicData uri="http://schemas.microsoft.com/office/word/2010/wordprocessingGroup">
                    <wpg:wgp>
                      <wpg:cNvGrpSpPr/>
                      <wpg:grpSpPr>
                        <a:xfrm>
                          <a:off x="0" y="0"/>
                          <a:ext cx="5768975" cy="8986520"/>
                          <a:chOff x="0" y="0"/>
                          <a:chExt cx="5768975" cy="8986520"/>
                        </a:xfrm>
                      </wpg:grpSpPr>
                      <wpg:grpSp>
                        <wpg:cNvPr id="684" name="Group 684"/>
                        <wpg:cNvGrpSpPr/>
                        <wpg:grpSpPr>
                          <a:xfrm>
                            <a:off x="800100" y="0"/>
                            <a:ext cx="4968875" cy="8986520"/>
                            <a:chOff x="0" y="0"/>
                            <a:chExt cx="4968875" cy="8986520"/>
                          </a:xfrm>
                        </wpg:grpSpPr>
                        <wps:wsp>
                          <wps:cNvPr id="685" name="Rectangle 685"/>
                          <wps:cNvSpPr>
                            <a:spLocks noChangeArrowheads="1"/>
                          </wps:cNvSpPr>
                          <wps:spPr bwMode="auto">
                            <a:xfrm>
                              <a:off x="1524000" y="0"/>
                              <a:ext cx="2160270" cy="453390"/>
                            </a:xfrm>
                            <a:prstGeom prst="rect">
                              <a:avLst/>
                            </a:prstGeom>
                            <a:solidFill>
                              <a:srgbClr val="FFFFFF"/>
                            </a:solidFill>
                            <a:ln w="9525">
                              <a:solidFill>
                                <a:srgbClr val="000000"/>
                              </a:solidFill>
                              <a:miter lim="800000"/>
                              <a:headEnd/>
                              <a:tailEnd/>
                            </a:ln>
                          </wps:spPr>
                          <wps:txbx>
                            <w:txbxContent>
                              <w:p w14:paraId="2912DD0D" w14:textId="77777777" w:rsidR="00DE3537" w:rsidRDefault="00DE3537" w:rsidP="00EB43E4">
                                <w:pPr>
                                  <w:spacing w:after="0" w:line="240" w:lineRule="auto"/>
                                  <w:jc w:val="center"/>
                                  <w:rPr>
                                    <w:sz w:val="16"/>
                                    <w:szCs w:val="16"/>
                                    <w:lang w:val="en-CA"/>
                                  </w:rPr>
                                </w:pPr>
                                <w:r w:rsidRPr="00CF23C3">
                                  <w:rPr>
                                    <w:sz w:val="16"/>
                                    <w:szCs w:val="16"/>
                                    <w:lang w:val="en-CA"/>
                                  </w:rPr>
                                  <w:t xml:space="preserve">Assessed for eligibility </w:t>
                                </w:r>
                              </w:p>
                              <w:p w14:paraId="53B6F1E5" w14:textId="77777777" w:rsidR="00DE3537" w:rsidRPr="001D6F91" w:rsidRDefault="00DE3537" w:rsidP="00EB43E4">
                                <w:pPr>
                                  <w:spacing w:after="0" w:line="240" w:lineRule="auto"/>
                                  <w:jc w:val="center"/>
                                  <w:rPr>
                                    <w:sz w:val="16"/>
                                    <w:szCs w:val="16"/>
                                  </w:rPr>
                                </w:pPr>
                                <w:r w:rsidRPr="001D6F91">
                                  <w:rPr>
                                    <w:sz w:val="16"/>
                                    <w:szCs w:val="16"/>
                                    <w:lang w:val="en-CA"/>
                                  </w:rPr>
                                  <w:t>N</w:t>
                                </w:r>
                                <w:r>
                                  <w:rPr>
                                    <w:sz w:val="16"/>
                                    <w:szCs w:val="16"/>
                                    <w:lang w:val="en-CA"/>
                                  </w:rPr>
                                  <w:t xml:space="preserve"> </w:t>
                                </w:r>
                                <w:r w:rsidRPr="001D6F91">
                                  <w:rPr>
                                    <w:sz w:val="16"/>
                                    <w:szCs w:val="16"/>
                                    <w:lang w:val="en-CA"/>
                                  </w:rPr>
                                  <w:t>=</w:t>
                                </w:r>
                                <w:r>
                                  <w:rPr>
                                    <w:sz w:val="16"/>
                                    <w:szCs w:val="16"/>
                                    <w:lang w:val="en-CA"/>
                                  </w:rPr>
                                  <w:t xml:space="preserve"> </w:t>
                                </w:r>
                                <w:r w:rsidRPr="001D6F91">
                                  <w:rPr>
                                    <w:sz w:val="16"/>
                                    <w:szCs w:val="16"/>
                                    <w:lang w:val="en-CA"/>
                                  </w:rPr>
                                  <w:t>44</w:t>
                                </w:r>
                              </w:p>
                            </w:txbxContent>
                          </wps:txbx>
                          <wps:bodyPr rot="0" vert="horz" wrap="square" lIns="91440" tIns="91440" rIns="91440" bIns="91440" anchor="t" anchorCtr="0" upright="1">
                            <a:noAutofit/>
                          </wps:bodyPr>
                        </wps:wsp>
                        <wps:wsp>
                          <wps:cNvPr id="686" name="Straight Arrow Connector 686"/>
                          <wps:cNvCnPr>
                            <a:cxnSpLocks noChangeShapeType="1"/>
                          </wps:cNvCnPr>
                          <wps:spPr bwMode="auto">
                            <a:xfrm rot="5400000">
                              <a:off x="3667125" y="8220075"/>
                              <a:ext cx="36004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87" name="Straight Arrow Connector 687"/>
                          <wps:cNvCnPr>
                            <a:cxnSpLocks noChangeShapeType="1"/>
                          </wps:cNvCnPr>
                          <wps:spPr bwMode="auto">
                            <a:xfrm rot="5400000">
                              <a:off x="914400" y="8239125"/>
                              <a:ext cx="36004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88" name="Straight Arrow Connector 688"/>
                          <wps:cNvCnPr>
                            <a:cxnSpLocks noChangeShapeType="1"/>
                          </wps:cNvCnPr>
                          <wps:spPr bwMode="auto">
                            <a:xfrm>
                              <a:off x="1104900" y="5934075"/>
                              <a:ext cx="0" cy="36004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00" name="Rectangle 700"/>
                          <wps:cNvSpPr>
                            <a:spLocks noChangeArrowheads="1"/>
                          </wps:cNvSpPr>
                          <wps:spPr bwMode="auto">
                            <a:xfrm>
                              <a:off x="2724150" y="552450"/>
                              <a:ext cx="2181225" cy="600075"/>
                            </a:xfrm>
                            <a:prstGeom prst="rect">
                              <a:avLst/>
                            </a:prstGeom>
                            <a:solidFill>
                              <a:srgbClr val="FFFFFF"/>
                            </a:solidFill>
                            <a:ln w="9525">
                              <a:solidFill>
                                <a:srgbClr val="000000"/>
                              </a:solidFill>
                              <a:miter lim="800000"/>
                              <a:headEnd/>
                              <a:tailEnd/>
                            </a:ln>
                          </wps:spPr>
                          <wps:txbx>
                            <w:txbxContent>
                              <w:p w14:paraId="2C6AC48C" w14:textId="77777777" w:rsidR="00DE3537" w:rsidRPr="00111C21" w:rsidRDefault="00DE3537" w:rsidP="00EB43E4">
                                <w:pPr>
                                  <w:spacing w:after="0" w:line="240" w:lineRule="auto"/>
                                  <w:rPr>
                                    <w:sz w:val="16"/>
                                    <w:szCs w:val="16"/>
                                    <w:lang w:val="en-CA"/>
                                  </w:rPr>
                                </w:pPr>
                                <w:r>
                                  <w:rPr>
                                    <w:sz w:val="16"/>
                                    <w:szCs w:val="16"/>
                                    <w:lang w:val="en-CA"/>
                                  </w:rPr>
                                  <w:t>Excluded schools (N = 8</w:t>
                                </w:r>
                                <w:r w:rsidRPr="00111C21">
                                  <w:rPr>
                                    <w:sz w:val="16"/>
                                    <w:szCs w:val="16"/>
                                    <w:lang w:val="en-CA"/>
                                  </w:rPr>
                                  <w:t>)</w:t>
                                </w:r>
                              </w:p>
                              <w:p w14:paraId="1702E6FC" w14:textId="77777777" w:rsidR="00DE3537" w:rsidRDefault="00DE3537" w:rsidP="00EB43E4">
                                <w:pPr>
                                  <w:spacing w:after="0" w:line="240" w:lineRule="auto"/>
                                  <w:ind w:left="360" w:hanging="360"/>
                                  <w:rPr>
                                    <w:sz w:val="16"/>
                                    <w:szCs w:val="16"/>
                                    <w:lang w:val="en-CA"/>
                                  </w:rPr>
                                </w:pPr>
                                <w:r w:rsidRPr="00111C21">
                                  <w:rPr>
                                    <w:rFonts w:ascii="Symbol" w:hAnsi="Symbol"/>
                                    <w:sz w:val="16"/>
                                    <w:szCs w:val="16"/>
                                  </w:rPr>
                                  <w:t></w:t>
                                </w:r>
                                <w:r w:rsidRPr="00111C21">
                                  <w:rPr>
                                    <w:sz w:val="16"/>
                                    <w:szCs w:val="16"/>
                                  </w:rPr>
                                  <w:t> </w:t>
                                </w:r>
                                <w:r w:rsidRPr="00111C21">
                                  <w:rPr>
                                    <w:rFonts w:cs="Calibri"/>
                                    <w:sz w:val="16"/>
                                    <w:szCs w:val="16"/>
                                    <w:lang w:val="en-CA"/>
                                  </w:rPr>
                                  <w:t>Schools n</w:t>
                                </w:r>
                                <w:r w:rsidRPr="00111C21">
                                  <w:rPr>
                                    <w:sz w:val="16"/>
                                    <w:szCs w:val="16"/>
                                    <w:lang w:val="en-CA"/>
                                  </w:rPr>
                                  <w:t>ot meeting inclusion criteria (</w:t>
                                </w:r>
                                <w:r>
                                  <w:rPr>
                                    <w:sz w:val="16"/>
                                    <w:szCs w:val="16"/>
                                    <w:lang w:val="en-CA"/>
                                  </w:rPr>
                                  <w:t>N = 8</w:t>
                                </w:r>
                                <w:r w:rsidRPr="00111C21">
                                  <w:rPr>
                                    <w:sz w:val="16"/>
                                    <w:szCs w:val="16"/>
                                    <w:lang w:val="en-CA"/>
                                  </w:rPr>
                                  <w:t>)</w:t>
                                </w:r>
                              </w:p>
                              <w:p w14:paraId="656406E5" w14:textId="77777777" w:rsidR="00DE3537" w:rsidRPr="00111C21" w:rsidRDefault="00DE3537" w:rsidP="00EB43E4">
                                <w:pPr>
                                  <w:spacing w:after="0" w:line="240" w:lineRule="auto"/>
                                  <w:ind w:left="360" w:hanging="360"/>
                                  <w:rPr>
                                    <w:sz w:val="16"/>
                                    <w:szCs w:val="16"/>
                                    <w:lang w:val="en-CA"/>
                                  </w:rPr>
                                </w:pPr>
                                <w:r w:rsidRPr="00124CB0">
                                  <w:rPr>
                                    <w:sz w:val="16"/>
                                    <w:szCs w:val="16"/>
                                    <w:lang w:val="en-CA"/>
                                  </w:rPr>
                                  <w:t>Eligible schools placed on waiting list (N</w:t>
                                </w:r>
                                <w:r>
                                  <w:rPr>
                                    <w:sz w:val="16"/>
                                    <w:szCs w:val="16"/>
                                    <w:lang w:val="en-CA"/>
                                  </w:rPr>
                                  <w:t xml:space="preserve"> </w:t>
                                </w:r>
                                <w:r w:rsidRPr="00124CB0">
                                  <w:rPr>
                                    <w:sz w:val="16"/>
                                    <w:szCs w:val="16"/>
                                    <w:lang w:val="en-CA"/>
                                  </w:rPr>
                                  <w:t>=</w:t>
                                </w:r>
                                <w:r>
                                  <w:rPr>
                                    <w:sz w:val="16"/>
                                    <w:szCs w:val="16"/>
                                    <w:lang w:val="en-CA"/>
                                  </w:rPr>
                                  <w:t xml:space="preserve"> </w:t>
                                </w:r>
                                <w:r w:rsidRPr="00124CB0">
                                  <w:rPr>
                                    <w:sz w:val="16"/>
                                    <w:szCs w:val="16"/>
                                    <w:lang w:val="en-CA"/>
                                  </w:rPr>
                                  <w:t>4)</w:t>
                                </w:r>
                              </w:p>
                            </w:txbxContent>
                          </wps:txbx>
                          <wps:bodyPr rot="0" vert="horz" wrap="square" lIns="91440" tIns="91440" rIns="91440" bIns="91440" anchor="t" anchorCtr="0" upright="1">
                            <a:noAutofit/>
                          </wps:bodyPr>
                        </wps:wsp>
                        <wps:wsp>
                          <wps:cNvPr id="701" name="Rectangle 701"/>
                          <wps:cNvSpPr>
                            <a:spLocks noChangeArrowheads="1"/>
                          </wps:cNvSpPr>
                          <wps:spPr bwMode="auto">
                            <a:xfrm>
                              <a:off x="0" y="8410575"/>
                              <a:ext cx="2159635" cy="575945"/>
                            </a:xfrm>
                            <a:prstGeom prst="rect">
                              <a:avLst/>
                            </a:prstGeom>
                            <a:solidFill>
                              <a:srgbClr val="FFFFFF"/>
                            </a:solidFill>
                            <a:ln w="9525">
                              <a:solidFill>
                                <a:srgbClr val="000000"/>
                              </a:solidFill>
                              <a:miter lim="800000"/>
                              <a:headEnd/>
                              <a:tailEnd/>
                            </a:ln>
                          </wps:spPr>
                          <wps:txbx>
                            <w:txbxContent>
                              <w:p w14:paraId="4969659E" w14:textId="77777777" w:rsidR="00DE3537" w:rsidRDefault="00DE3537" w:rsidP="00EB43E4">
                                <w:pPr>
                                  <w:spacing w:after="0" w:line="240" w:lineRule="auto"/>
                                  <w:ind w:left="360" w:hanging="360"/>
                                  <w:jc w:val="center"/>
                                  <w:rPr>
                                    <w:sz w:val="16"/>
                                    <w:szCs w:val="16"/>
                                    <w:lang w:val="en-CA"/>
                                  </w:rPr>
                                </w:pPr>
                                <w:r>
                                  <w:rPr>
                                    <w:sz w:val="16"/>
                                    <w:szCs w:val="16"/>
                                    <w:lang w:val="en-CA"/>
                                  </w:rPr>
                                  <w:t>Primary analysis</w:t>
                                </w:r>
                              </w:p>
                              <w:p w14:paraId="6B6C43D9" w14:textId="77777777" w:rsidR="00DE3537" w:rsidRPr="007E62C2" w:rsidRDefault="00DE3537" w:rsidP="00EB43E4">
                                <w:pPr>
                                  <w:spacing w:after="0" w:line="240" w:lineRule="auto"/>
                                  <w:ind w:left="360" w:hanging="360"/>
                                  <w:jc w:val="center"/>
                                  <w:rPr>
                                    <w:rFonts w:cs="Calibri"/>
                                    <w:b/>
                                    <w:sz w:val="16"/>
                                    <w:szCs w:val="16"/>
                                    <w:lang w:val="en-CA"/>
                                  </w:rPr>
                                </w:pPr>
                                <w:r>
                                  <w:rPr>
                                    <w:rFonts w:cs="Calibri"/>
                                    <w:b/>
                                    <w:sz w:val="16"/>
                                    <w:szCs w:val="16"/>
                                    <w:lang w:val="en-CA"/>
                                  </w:rPr>
                                  <w:t xml:space="preserve">Primary outcome BMI SDS: </w:t>
                                </w:r>
                                <w:r w:rsidRPr="007E62C2">
                                  <w:rPr>
                                    <w:rFonts w:cs="Calibri"/>
                                    <w:b/>
                                    <w:sz w:val="16"/>
                                    <w:szCs w:val="16"/>
                                    <w:lang w:val="en-CA"/>
                                  </w:rPr>
                                  <w:t>n</w:t>
                                </w:r>
                                <w:r>
                                  <w:rPr>
                                    <w:rFonts w:cs="Calibri"/>
                                    <w:b/>
                                    <w:sz w:val="16"/>
                                    <w:szCs w:val="16"/>
                                    <w:lang w:val="en-CA"/>
                                  </w:rPr>
                                  <w:t xml:space="preserve"> </w:t>
                                </w:r>
                                <w:r w:rsidRPr="007E62C2">
                                  <w:rPr>
                                    <w:rFonts w:cs="Calibri"/>
                                    <w:b/>
                                    <w:sz w:val="16"/>
                                    <w:szCs w:val="16"/>
                                    <w:lang w:val="en-CA"/>
                                  </w:rPr>
                                  <w:t>=</w:t>
                                </w:r>
                                <w:r>
                                  <w:rPr>
                                    <w:rFonts w:cs="Calibri"/>
                                    <w:b/>
                                    <w:sz w:val="16"/>
                                    <w:szCs w:val="16"/>
                                    <w:lang w:val="en-CA"/>
                                  </w:rPr>
                                  <w:t xml:space="preserve"> 628; 92.9%</w:t>
                                </w:r>
                              </w:p>
                              <w:p w14:paraId="3373D9CA" w14:textId="77777777" w:rsidR="00DE3537" w:rsidRDefault="00DE3537" w:rsidP="00EB43E4">
                                <w:pPr>
                                  <w:spacing w:after="0" w:line="240" w:lineRule="auto"/>
                                  <w:ind w:left="360" w:hanging="360"/>
                                  <w:rPr>
                                    <w:rFonts w:cs="Calibri"/>
                                    <w:sz w:val="16"/>
                                    <w:szCs w:val="16"/>
                                    <w:lang w:val="en-CA"/>
                                  </w:rPr>
                                </w:pPr>
                                <w:r>
                                  <w:rPr>
                                    <w:rFonts w:cs="Calibri"/>
                                    <w:sz w:val="16"/>
                                    <w:szCs w:val="16"/>
                                    <w:lang w:val="en-CA"/>
                                  </w:rPr>
                                  <w:t xml:space="preserve">2 children excluded as no baseline BMI </w:t>
                                </w:r>
                              </w:p>
                              <w:p w14:paraId="7E76DAE5" w14:textId="77777777" w:rsidR="00DE3537" w:rsidRPr="00CF23C3" w:rsidRDefault="00DE3537" w:rsidP="00EB43E4">
                                <w:pPr>
                                  <w:spacing w:after="0" w:line="240" w:lineRule="auto"/>
                                  <w:ind w:left="360" w:hanging="360"/>
                                  <w:rPr>
                                    <w:rFonts w:cs="Calibri"/>
                                    <w:sz w:val="16"/>
                                    <w:szCs w:val="16"/>
                                    <w:lang w:val="en-CA"/>
                                  </w:rPr>
                                </w:pPr>
                              </w:p>
                            </w:txbxContent>
                          </wps:txbx>
                          <wps:bodyPr rot="0" vert="horz" wrap="square" lIns="91440" tIns="91440" rIns="91440" bIns="91440" anchor="t" anchorCtr="0" upright="1">
                            <a:noAutofit/>
                          </wps:bodyPr>
                        </wps:wsp>
                        <wps:wsp>
                          <wps:cNvPr id="32" name="Rectangle 32"/>
                          <wps:cNvSpPr>
                            <a:spLocks noChangeArrowheads="1"/>
                          </wps:cNvSpPr>
                          <wps:spPr bwMode="auto">
                            <a:xfrm>
                              <a:off x="9525" y="4505325"/>
                              <a:ext cx="2195830" cy="1439545"/>
                            </a:xfrm>
                            <a:prstGeom prst="rect">
                              <a:avLst/>
                            </a:prstGeom>
                            <a:solidFill>
                              <a:srgbClr val="FFFFFF"/>
                            </a:solidFill>
                            <a:ln w="9525">
                              <a:solidFill>
                                <a:srgbClr val="000000"/>
                              </a:solidFill>
                              <a:miter lim="800000"/>
                              <a:headEnd/>
                              <a:tailEnd/>
                            </a:ln>
                          </wps:spPr>
                          <wps:txbx>
                            <w:txbxContent>
                              <w:p w14:paraId="30B86C18" w14:textId="77777777" w:rsidR="00DE3537" w:rsidRDefault="00DE3537" w:rsidP="00EB43E4">
                                <w:pPr>
                                  <w:spacing w:after="0" w:line="240" w:lineRule="auto"/>
                                  <w:ind w:left="360" w:hanging="360"/>
                                  <w:jc w:val="center"/>
                                  <w:rPr>
                                    <w:sz w:val="16"/>
                                    <w:szCs w:val="16"/>
                                    <w:lang w:val="en-CA"/>
                                  </w:rPr>
                                </w:pPr>
                                <w:r>
                                  <w:rPr>
                                    <w:sz w:val="16"/>
                                    <w:szCs w:val="16"/>
                                    <w:lang w:val="en-CA"/>
                                  </w:rPr>
                                  <w:t>Schools withdrawn (N = 0)</w:t>
                                </w:r>
                              </w:p>
                              <w:p w14:paraId="2E179396" w14:textId="77777777" w:rsidR="00DE3537" w:rsidRDefault="00DE3537" w:rsidP="00EB43E4">
                                <w:pPr>
                                  <w:spacing w:after="0" w:line="240" w:lineRule="auto"/>
                                  <w:ind w:left="360" w:hanging="360"/>
                                  <w:jc w:val="center"/>
                                  <w:rPr>
                                    <w:sz w:val="16"/>
                                    <w:szCs w:val="16"/>
                                    <w:lang w:val="en-CA"/>
                                  </w:rPr>
                                </w:pPr>
                                <w:r>
                                  <w:rPr>
                                    <w:sz w:val="16"/>
                                    <w:szCs w:val="16"/>
                                    <w:lang w:val="en-CA"/>
                                  </w:rPr>
                                  <w:t xml:space="preserve">Schools lost to follow-up </w:t>
                                </w:r>
                                <w:r w:rsidRPr="00CF23C3">
                                  <w:rPr>
                                    <w:sz w:val="16"/>
                                    <w:szCs w:val="16"/>
                                    <w:lang w:val="en-CA"/>
                                  </w:rPr>
                                  <w:t>(</w:t>
                                </w:r>
                                <w:r>
                                  <w:rPr>
                                    <w:sz w:val="16"/>
                                    <w:szCs w:val="16"/>
                                    <w:lang w:val="en-CA"/>
                                  </w:rPr>
                                  <w:t>N = 0)</w:t>
                                </w:r>
                              </w:p>
                              <w:p w14:paraId="5985A42D" w14:textId="77777777" w:rsidR="00DE3537" w:rsidRDefault="00DE3537" w:rsidP="00EB43E4">
                                <w:pPr>
                                  <w:spacing w:after="0" w:line="240" w:lineRule="auto"/>
                                  <w:ind w:left="360" w:hanging="360"/>
                                  <w:jc w:val="center"/>
                                  <w:rPr>
                                    <w:sz w:val="16"/>
                                    <w:szCs w:val="16"/>
                                    <w:lang w:val="en-CA"/>
                                  </w:rPr>
                                </w:pPr>
                              </w:p>
                              <w:p w14:paraId="76F84582" w14:textId="77777777" w:rsidR="00DE3537" w:rsidRDefault="00DE3537" w:rsidP="00EB43E4">
                                <w:pPr>
                                  <w:spacing w:after="0" w:line="240" w:lineRule="auto"/>
                                  <w:ind w:left="360" w:hanging="360"/>
                                  <w:jc w:val="center"/>
                                  <w:rPr>
                                    <w:sz w:val="16"/>
                                    <w:szCs w:val="16"/>
                                    <w:lang w:val="en-CA"/>
                                  </w:rPr>
                                </w:pPr>
                                <w:r>
                                  <w:rPr>
                                    <w:sz w:val="16"/>
                                    <w:szCs w:val="16"/>
                                    <w:lang w:val="en-CA"/>
                                  </w:rPr>
                                  <w:t>Children withdrawn (n = 1)</w:t>
                                </w:r>
                              </w:p>
                              <w:p w14:paraId="2D8F9366" w14:textId="77777777" w:rsidR="00DE3537" w:rsidRDefault="00DE3537" w:rsidP="00EB43E4">
                                <w:pPr>
                                  <w:spacing w:after="0" w:line="240" w:lineRule="auto"/>
                                  <w:ind w:left="360" w:hanging="360"/>
                                  <w:jc w:val="center"/>
                                  <w:rPr>
                                    <w:sz w:val="16"/>
                                    <w:szCs w:val="16"/>
                                    <w:lang w:val="en-CA"/>
                                  </w:rPr>
                                </w:pPr>
                                <w:r>
                                  <w:rPr>
                                    <w:sz w:val="16"/>
                                    <w:szCs w:val="16"/>
                                    <w:lang w:val="en-CA"/>
                                  </w:rPr>
                                  <w:t>Children did not assent (n = 3)</w:t>
                                </w:r>
                              </w:p>
                              <w:p w14:paraId="78167D9A" w14:textId="77777777" w:rsidR="00DE3537" w:rsidRPr="008624C3" w:rsidRDefault="00DE3537" w:rsidP="00EB43E4">
                                <w:pPr>
                                  <w:spacing w:after="0" w:line="240" w:lineRule="auto"/>
                                  <w:jc w:val="center"/>
                                  <w:rPr>
                                    <w:sz w:val="16"/>
                                    <w:szCs w:val="16"/>
                                    <w:lang w:val="en-CA"/>
                                  </w:rPr>
                                </w:pPr>
                                <w:r>
                                  <w:rPr>
                                    <w:sz w:val="16"/>
                                    <w:szCs w:val="16"/>
                                    <w:lang w:val="en-CA"/>
                                  </w:rPr>
                                  <w:t>Children lost to follow-up (n = 28; 27 moved out of county</w:t>
                                </w:r>
                                <w:r w:rsidRPr="008624C3">
                                  <w:rPr>
                                    <w:sz w:val="16"/>
                                    <w:szCs w:val="16"/>
                                    <w:lang w:val="en-CA"/>
                                  </w:rPr>
                                  <w:t>; 1 long term illness)</w:t>
                                </w:r>
                              </w:p>
                              <w:p w14:paraId="11DD7D13" w14:textId="77777777" w:rsidR="00DE3537" w:rsidRPr="008624C3" w:rsidRDefault="00DE3537" w:rsidP="00EB43E4">
                                <w:pPr>
                                  <w:spacing w:after="0" w:line="240" w:lineRule="auto"/>
                                  <w:ind w:left="360" w:hanging="360"/>
                                  <w:jc w:val="center"/>
                                  <w:rPr>
                                    <w:sz w:val="16"/>
                                    <w:szCs w:val="16"/>
                                    <w:lang w:val="en-CA"/>
                                  </w:rPr>
                                </w:pPr>
                              </w:p>
                              <w:p w14:paraId="79140CC1" w14:textId="77777777" w:rsidR="00DE3537" w:rsidRPr="008624C3" w:rsidRDefault="00DE3537" w:rsidP="00EB43E4">
                                <w:pPr>
                                  <w:spacing w:after="0" w:line="240" w:lineRule="auto"/>
                                  <w:ind w:left="360" w:hanging="360"/>
                                  <w:jc w:val="center"/>
                                  <w:rPr>
                                    <w:sz w:val="16"/>
                                    <w:szCs w:val="16"/>
                                    <w:lang w:val="en-CA"/>
                                  </w:rPr>
                                </w:pPr>
                                <w:r>
                                  <w:rPr>
                                    <w:sz w:val="16"/>
                                    <w:szCs w:val="16"/>
                                    <w:lang w:val="en-CA"/>
                                  </w:rPr>
                                  <w:t xml:space="preserve">n </w:t>
                                </w:r>
                                <w:r w:rsidRPr="008624C3">
                                  <w:rPr>
                                    <w:sz w:val="16"/>
                                    <w:szCs w:val="16"/>
                                    <w:lang w:val="en-CA"/>
                                  </w:rPr>
                                  <w:t>=</w:t>
                                </w:r>
                                <w:r>
                                  <w:rPr>
                                    <w:sz w:val="16"/>
                                    <w:szCs w:val="16"/>
                                    <w:lang w:val="en-CA"/>
                                  </w:rPr>
                                  <w:t xml:space="preserve"> </w:t>
                                </w:r>
                                <w:r w:rsidRPr="008624C3">
                                  <w:rPr>
                                    <w:sz w:val="16"/>
                                    <w:szCs w:val="16"/>
                                    <w:lang w:val="en-CA"/>
                                  </w:rPr>
                                  <w:t>644 children; mean (coefficient of variation) 40.3 (0.50) children per school</w:t>
                                </w:r>
                              </w:p>
                            </w:txbxContent>
                          </wps:txbx>
                          <wps:bodyPr rot="0" vert="horz" wrap="square" lIns="91440" tIns="91440" rIns="91440" bIns="91440" anchor="t" anchorCtr="0" upright="1">
                            <a:noAutofit/>
                          </wps:bodyPr>
                        </wps:wsp>
                        <wps:wsp>
                          <wps:cNvPr id="33" name="Rectangle 33"/>
                          <wps:cNvSpPr>
                            <a:spLocks noChangeArrowheads="1"/>
                          </wps:cNvSpPr>
                          <wps:spPr bwMode="auto">
                            <a:xfrm>
                              <a:off x="9525" y="3552825"/>
                              <a:ext cx="2159635" cy="575945"/>
                            </a:xfrm>
                            <a:prstGeom prst="rect">
                              <a:avLst/>
                            </a:prstGeom>
                            <a:solidFill>
                              <a:srgbClr val="FFFFFF"/>
                            </a:solidFill>
                            <a:ln w="9525">
                              <a:solidFill>
                                <a:srgbClr val="000000"/>
                              </a:solidFill>
                              <a:miter lim="800000"/>
                              <a:headEnd/>
                              <a:tailEnd/>
                            </a:ln>
                          </wps:spPr>
                          <wps:txbx>
                            <w:txbxContent>
                              <w:p w14:paraId="113A3390" w14:textId="77777777" w:rsidR="00DE3537" w:rsidRPr="008624C3" w:rsidRDefault="00DE3537" w:rsidP="00EB43E4">
                                <w:pPr>
                                  <w:spacing w:after="0" w:line="240" w:lineRule="auto"/>
                                  <w:jc w:val="center"/>
                                  <w:rPr>
                                    <w:sz w:val="16"/>
                                    <w:szCs w:val="16"/>
                                    <w:lang w:val="en-CA"/>
                                  </w:rPr>
                                </w:pPr>
                                <w:r w:rsidRPr="008624C3">
                                  <w:rPr>
                                    <w:sz w:val="16"/>
                                    <w:szCs w:val="16"/>
                                    <w:lang w:val="en-CA"/>
                                  </w:rPr>
                                  <w:t>Allocated to intervention N</w:t>
                                </w:r>
                                <w:r>
                                  <w:rPr>
                                    <w:sz w:val="16"/>
                                    <w:szCs w:val="16"/>
                                    <w:lang w:val="en-CA"/>
                                  </w:rPr>
                                  <w:t xml:space="preserve"> </w:t>
                                </w:r>
                                <w:r w:rsidRPr="008624C3">
                                  <w:rPr>
                                    <w:sz w:val="16"/>
                                    <w:szCs w:val="16"/>
                                    <w:lang w:val="en-CA"/>
                                  </w:rPr>
                                  <w:t>=</w:t>
                                </w:r>
                                <w:r>
                                  <w:rPr>
                                    <w:sz w:val="16"/>
                                    <w:szCs w:val="16"/>
                                    <w:lang w:val="en-CA"/>
                                  </w:rPr>
                                  <w:t xml:space="preserve"> </w:t>
                                </w:r>
                                <w:r w:rsidRPr="008624C3">
                                  <w:rPr>
                                    <w:sz w:val="16"/>
                                    <w:szCs w:val="16"/>
                                    <w:lang w:val="en-CA"/>
                                  </w:rPr>
                                  <w:t xml:space="preserve">16; </w:t>
                                </w:r>
                              </w:p>
                              <w:p w14:paraId="00D8E113" w14:textId="77777777" w:rsidR="00DE3537" w:rsidRPr="008624C3" w:rsidRDefault="00DE3537" w:rsidP="00EB43E4">
                                <w:pPr>
                                  <w:spacing w:after="0" w:line="240" w:lineRule="auto"/>
                                  <w:jc w:val="center"/>
                                  <w:rPr>
                                    <w:sz w:val="16"/>
                                    <w:szCs w:val="16"/>
                                    <w:lang w:val="en-CA"/>
                                  </w:rPr>
                                </w:pPr>
                                <w:r>
                                  <w:rPr>
                                    <w:sz w:val="16"/>
                                    <w:szCs w:val="16"/>
                                    <w:lang w:val="en-CA"/>
                                  </w:rPr>
                                  <w:t xml:space="preserve">n </w:t>
                                </w:r>
                                <w:r w:rsidRPr="008624C3">
                                  <w:rPr>
                                    <w:sz w:val="16"/>
                                    <w:szCs w:val="16"/>
                                    <w:lang w:val="en-CA"/>
                                  </w:rPr>
                                  <w:t>=</w:t>
                                </w:r>
                                <w:r>
                                  <w:rPr>
                                    <w:sz w:val="16"/>
                                    <w:szCs w:val="16"/>
                                    <w:lang w:val="en-CA"/>
                                  </w:rPr>
                                  <w:t xml:space="preserve"> </w:t>
                                </w:r>
                                <w:r w:rsidRPr="008624C3">
                                  <w:rPr>
                                    <w:sz w:val="16"/>
                                    <w:szCs w:val="16"/>
                                    <w:lang w:val="en-CA"/>
                                  </w:rPr>
                                  <w:t>676 children; mean (coefficient of variation) 42.3 (0.49) children per school</w:t>
                                </w:r>
                              </w:p>
                            </w:txbxContent>
                          </wps:txbx>
                          <wps:bodyPr rot="0" vert="horz" wrap="square" lIns="91440" tIns="91440" rIns="91440" bIns="91440" anchor="t" anchorCtr="0" upright="1">
                            <a:noAutofit/>
                          </wps:bodyPr>
                        </wps:wsp>
                        <wps:wsp>
                          <wps:cNvPr id="34" name="Rectangle 34"/>
                          <wps:cNvSpPr>
                            <a:spLocks noChangeArrowheads="1"/>
                          </wps:cNvSpPr>
                          <wps:spPr bwMode="auto">
                            <a:xfrm>
                              <a:off x="2781300" y="8401050"/>
                              <a:ext cx="2160270" cy="575945"/>
                            </a:xfrm>
                            <a:prstGeom prst="rect">
                              <a:avLst/>
                            </a:prstGeom>
                            <a:solidFill>
                              <a:srgbClr val="FFFFFF"/>
                            </a:solidFill>
                            <a:ln w="9525">
                              <a:solidFill>
                                <a:srgbClr val="000000"/>
                              </a:solidFill>
                              <a:miter lim="800000"/>
                              <a:headEnd/>
                              <a:tailEnd/>
                            </a:ln>
                          </wps:spPr>
                          <wps:txbx>
                            <w:txbxContent>
                              <w:p w14:paraId="1B3F4D80" w14:textId="77777777" w:rsidR="00DE3537" w:rsidRDefault="00DE3537" w:rsidP="00EB43E4">
                                <w:pPr>
                                  <w:spacing w:after="0" w:line="240" w:lineRule="auto"/>
                                  <w:ind w:left="360" w:hanging="360"/>
                                  <w:jc w:val="center"/>
                                  <w:rPr>
                                    <w:sz w:val="16"/>
                                    <w:szCs w:val="16"/>
                                    <w:lang w:val="en-CA"/>
                                  </w:rPr>
                                </w:pPr>
                                <w:r>
                                  <w:rPr>
                                    <w:sz w:val="16"/>
                                    <w:szCs w:val="16"/>
                                    <w:lang w:val="en-CA"/>
                                  </w:rPr>
                                  <w:t>Primary analysis</w:t>
                                </w:r>
                              </w:p>
                              <w:p w14:paraId="668CF8CC" w14:textId="77777777" w:rsidR="00DE3537" w:rsidRPr="007E62C2" w:rsidRDefault="00DE3537" w:rsidP="00EB43E4">
                                <w:pPr>
                                  <w:spacing w:after="0" w:line="240" w:lineRule="auto"/>
                                  <w:ind w:left="360" w:hanging="360"/>
                                  <w:jc w:val="center"/>
                                  <w:rPr>
                                    <w:rFonts w:cs="Calibri"/>
                                    <w:b/>
                                    <w:sz w:val="16"/>
                                    <w:szCs w:val="16"/>
                                    <w:lang w:val="en-CA"/>
                                  </w:rPr>
                                </w:pPr>
                                <w:r w:rsidRPr="007E62C2">
                                  <w:rPr>
                                    <w:rFonts w:cs="Calibri"/>
                                    <w:b/>
                                    <w:sz w:val="16"/>
                                    <w:szCs w:val="16"/>
                                    <w:lang w:val="en-CA"/>
                                  </w:rPr>
                                  <w:t xml:space="preserve">Primary outcome BMI </w:t>
                                </w:r>
                                <w:r>
                                  <w:rPr>
                                    <w:rFonts w:cs="Calibri"/>
                                    <w:b/>
                                    <w:sz w:val="16"/>
                                    <w:szCs w:val="16"/>
                                    <w:lang w:val="en-CA"/>
                                  </w:rPr>
                                  <w:t>SDS: n = 616; 95.1%</w:t>
                                </w:r>
                              </w:p>
                              <w:p w14:paraId="49319286" w14:textId="77777777" w:rsidR="00DE3537" w:rsidRDefault="00DE3537" w:rsidP="00EB43E4">
                                <w:pPr>
                                  <w:spacing w:after="0" w:line="240" w:lineRule="auto"/>
                                  <w:ind w:left="360" w:hanging="360"/>
                                  <w:rPr>
                                    <w:rFonts w:cs="Calibri"/>
                                    <w:sz w:val="16"/>
                                    <w:szCs w:val="16"/>
                                    <w:lang w:val="en-CA"/>
                                  </w:rPr>
                                </w:pPr>
                                <w:r>
                                  <w:rPr>
                                    <w:rFonts w:cs="Calibri"/>
                                    <w:sz w:val="16"/>
                                    <w:szCs w:val="16"/>
                                    <w:lang w:val="en-CA"/>
                                  </w:rPr>
                                  <w:t>4 children excluded as no baseline BMI</w:t>
                                </w:r>
                              </w:p>
                              <w:p w14:paraId="0DCEE9C3" w14:textId="77777777" w:rsidR="00DE3537" w:rsidRDefault="00DE3537" w:rsidP="00EB43E4">
                                <w:pPr>
                                  <w:spacing w:after="0" w:line="240" w:lineRule="auto"/>
                                  <w:rPr>
                                    <w:sz w:val="16"/>
                                    <w:szCs w:val="16"/>
                                    <w:lang w:val="en-CA"/>
                                  </w:rPr>
                                </w:pPr>
                              </w:p>
                            </w:txbxContent>
                          </wps:txbx>
                          <wps:bodyPr rot="0" vert="horz" wrap="square" lIns="91440" tIns="91440" rIns="91440" bIns="91440" anchor="t" anchorCtr="0" upright="1">
                            <a:noAutofit/>
                          </wps:bodyPr>
                        </wps:wsp>
                        <wps:wsp>
                          <wps:cNvPr id="35" name="Straight Arrow Connector 35"/>
                          <wps:cNvCnPr>
                            <a:cxnSpLocks noChangeShapeType="1"/>
                          </wps:cNvCnPr>
                          <wps:spPr bwMode="auto">
                            <a:xfrm>
                              <a:off x="1104900" y="4124325"/>
                              <a:ext cx="0" cy="36004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cNvPr id="36" name="Group 3"/>
                          <wpg:cNvGrpSpPr>
                            <a:grpSpLocks/>
                          </wpg:cNvGrpSpPr>
                          <wpg:grpSpPr>
                            <a:xfrm>
                              <a:off x="866775" y="3067050"/>
                              <a:ext cx="3148965" cy="467995"/>
                              <a:chOff x="0" y="0"/>
                              <a:chExt cx="3459661" cy="400050"/>
                            </a:xfrm>
                          </wpg:grpSpPr>
                          <wps:wsp>
                            <wps:cNvPr id="37" name="Elbow Connector 37"/>
                            <wps:cNvCnPr>
                              <a:cxnSpLocks noChangeShapeType="1"/>
                            </wps:cNvCnPr>
                            <wps:spPr bwMode="auto">
                              <a:xfrm rot="10800000" flipV="1">
                                <a:off x="0" y="0"/>
                                <a:ext cx="2331720" cy="400050"/>
                              </a:xfrm>
                              <a:prstGeom prst="bentConnector2">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8" name="Elbow Connector 38"/>
                            <wps:cNvCnPr>
                              <a:cxnSpLocks noChangeShapeType="1"/>
                            </wps:cNvCnPr>
                            <wps:spPr bwMode="auto">
                              <a:xfrm>
                                <a:off x="1300026" y="0"/>
                                <a:ext cx="2159635" cy="400050"/>
                              </a:xfrm>
                              <a:prstGeom prst="bentConnector2">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s:wsp>
                          <wps:cNvPr id="39" name="Rectangle 39"/>
                          <wps:cNvSpPr>
                            <a:spLocks noChangeArrowheads="1"/>
                          </wps:cNvSpPr>
                          <wps:spPr bwMode="auto">
                            <a:xfrm>
                              <a:off x="1371600" y="1190625"/>
                              <a:ext cx="2160270" cy="702945"/>
                            </a:xfrm>
                            <a:prstGeom prst="rect">
                              <a:avLst/>
                            </a:prstGeom>
                            <a:solidFill>
                              <a:srgbClr val="FFFFFF"/>
                            </a:solidFill>
                            <a:ln w="9525">
                              <a:solidFill>
                                <a:srgbClr val="000000"/>
                              </a:solidFill>
                              <a:miter lim="800000"/>
                              <a:headEnd/>
                              <a:tailEnd/>
                            </a:ln>
                          </wps:spPr>
                          <wps:txbx>
                            <w:txbxContent>
                              <w:p w14:paraId="55EA9177" w14:textId="77777777" w:rsidR="00DE3537" w:rsidRDefault="00DE3537" w:rsidP="00EB43E4">
                                <w:pPr>
                                  <w:widowControl w:val="0"/>
                                  <w:spacing w:after="0"/>
                                  <w:jc w:val="center"/>
                                  <w:rPr>
                                    <w:sz w:val="16"/>
                                    <w:szCs w:val="16"/>
                                    <w:lang w:val="en-CA"/>
                                  </w:rPr>
                                </w:pPr>
                                <w:r>
                                  <w:rPr>
                                    <w:sz w:val="16"/>
                                    <w:szCs w:val="16"/>
                                    <w:lang w:val="en-CA"/>
                                  </w:rPr>
                                  <w:t>Eligible schools recruited</w:t>
                                </w:r>
                                <w:r w:rsidRPr="00124E72">
                                  <w:rPr>
                                    <w:sz w:val="16"/>
                                    <w:szCs w:val="16"/>
                                    <w:lang w:val="en-CA"/>
                                  </w:rPr>
                                  <w:t xml:space="preserve"> </w:t>
                                </w:r>
                              </w:p>
                              <w:p w14:paraId="22DB61D7" w14:textId="77777777" w:rsidR="00DE3537" w:rsidRDefault="00DE3537" w:rsidP="00EB43E4">
                                <w:pPr>
                                  <w:widowControl w:val="0"/>
                                  <w:spacing w:after="0" w:line="240" w:lineRule="auto"/>
                                  <w:jc w:val="center"/>
                                  <w:rPr>
                                    <w:sz w:val="16"/>
                                    <w:szCs w:val="16"/>
                                    <w:lang w:val="en-CA"/>
                                  </w:rPr>
                                </w:pPr>
                                <w:r>
                                  <w:rPr>
                                    <w:sz w:val="16"/>
                                    <w:szCs w:val="16"/>
                                    <w:lang w:val="en-CA"/>
                                  </w:rPr>
                                  <w:t>N = 32; n = 1371 eligible children</w:t>
                                </w:r>
                              </w:p>
                              <w:p w14:paraId="55454640" w14:textId="77777777" w:rsidR="00DE3537" w:rsidRPr="00E473B0" w:rsidRDefault="00DE3537" w:rsidP="00EB43E4">
                                <w:pPr>
                                  <w:spacing w:after="0" w:line="240" w:lineRule="auto"/>
                                  <w:jc w:val="center"/>
                                  <w:rPr>
                                    <w:sz w:val="16"/>
                                    <w:szCs w:val="16"/>
                                    <w:lang w:val="en-CA"/>
                                  </w:rPr>
                                </w:pPr>
                                <w:r>
                                  <w:rPr>
                                    <w:sz w:val="16"/>
                                    <w:szCs w:val="16"/>
                                    <w:lang w:val="en-CA"/>
                                  </w:rPr>
                                  <w:t>mean (coefficient of variation) 41.4 (0.46) children per school</w:t>
                                </w:r>
                                <w:r w:rsidRPr="00E473B0">
                                  <w:rPr>
                                    <w:sz w:val="16"/>
                                    <w:szCs w:val="16"/>
                                    <w:lang w:val="en-CA"/>
                                  </w:rPr>
                                  <w:t>)</w:t>
                                </w:r>
                              </w:p>
                              <w:p w14:paraId="5DA4FA96" w14:textId="77777777" w:rsidR="00DE3537" w:rsidRDefault="00DE3537" w:rsidP="00EB43E4">
                                <w:pPr>
                                  <w:widowControl w:val="0"/>
                                  <w:spacing w:after="0" w:line="240" w:lineRule="auto"/>
                                  <w:jc w:val="center"/>
                                  <w:rPr>
                                    <w:sz w:val="16"/>
                                    <w:szCs w:val="16"/>
                                    <w:lang w:val="en-CA"/>
                                  </w:rPr>
                                </w:pPr>
                              </w:p>
                            </w:txbxContent>
                          </wps:txbx>
                          <wps:bodyPr rot="0" vert="horz" wrap="square" lIns="91440" tIns="91440" rIns="91440" bIns="91440" anchor="t" anchorCtr="0" upright="1">
                            <a:noAutofit/>
                          </wps:bodyPr>
                        </wps:wsp>
                        <wpg:grpSp>
                          <wpg:cNvPr id="43" name="Group 4"/>
                          <wpg:cNvGrpSpPr>
                            <a:grpSpLocks/>
                          </wpg:cNvGrpSpPr>
                          <wpg:grpSpPr>
                            <a:xfrm>
                              <a:off x="2315210" y="485775"/>
                              <a:ext cx="380365" cy="683895"/>
                              <a:chOff x="-132778" y="0"/>
                              <a:chExt cx="380546" cy="684000"/>
                            </a:xfrm>
                          </wpg:grpSpPr>
                          <wps:wsp>
                            <wps:cNvPr id="44" name="Straight Arrow Connector 44"/>
                            <wps:cNvCnPr>
                              <a:cxnSpLocks noChangeShapeType="1"/>
                            </wps:cNvCnPr>
                            <wps:spPr bwMode="auto">
                              <a:xfrm>
                                <a:off x="-132778" y="0"/>
                                <a:ext cx="635" cy="6840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5" name="Straight Arrow Connector 45"/>
                            <wps:cNvCnPr>
                              <a:cxnSpLocks noChangeShapeType="1"/>
                            </wps:cNvCnPr>
                            <wps:spPr bwMode="auto">
                              <a:xfrm>
                                <a:off x="-132143" y="332604"/>
                                <a:ext cx="379911"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s:wsp>
                          <wps:cNvPr id="46" name="Straight Arrow Connector 46"/>
                          <wps:cNvCnPr>
                            <a:cxnSpLocks noChangeShapeType="1"/>
                          </wps:cNvCnPr>
                          <wps:spPr bwMode="auto">
                            <a:xfrm>
                              <a:off x="3829050" y="5924550"/>
                              <a:ext cx="0" cy="36004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7" name="Rectangle 47"/>
                          <wps:cNvSpPr>
                            <a:spLocks noChangeArrowheads="1"/>
                          </wps:cNvSpPr>
                          <wps:spPr bwMode="auto">
                            <a:xfrm>
                              <a:off x="2724150" y="4514850"/>
                              <a:ext cx="2195830" cy="1455420"/>
                            </a:xfrm>
                            <a:prstGeom prst="rect">
                              <a:avLst/>
                            </a:prstGeom>
                            <a:solidFill>
                              <a:srgbClr val="FFFFFF"/>
                            </a:solidFill>
                            <a:ln w="9525">
                              <a:solidFill>
                                <a:srgbClr val="000000"/>
                              </a:solidFill>
                              <a:miter lim="800000"/>
                              <a:headEnd/>
                              <a:tailEnd/>
                            </a:ln>
                          </wps:spPr>
                          <wps:txbx>
                            <w:txbxContent>
                              <w:p w14:paraId="1D2E3791" w14:textId="77777777" w:rsidR="00DE3537" w:rsidRDefault="00DE3537" w:rsidP="00EB43E4">
                                <w:pPr>
                                  <w:spacing w:after="0" w:line="240" w:lineRule="auto"/>
                                  <w:ind w:left="360" w:hanging="360"/>
                                  <w:jc w:val="center"/>
                                  <w:rPr>
                                    <w:sz w:val="16"/>
                                    <w:szCs w:val="16"/>
                                    <w:lang w:val="en-CA"/>
                                  </w:rPr>
                                </w:pPr>
                                <w:r>
                                  <w:rPr>
                                    <w:sz w:val="16"/>
                                    <w:szCs w:val="16"/>
                                    <w:lang w:val="en-CA"/>
                                  </w:rPr>
                                  <w:t>Schools withdrawn (N = 0)</w:t>
                                </w:r>
                              </w:p>
                              <w:p w14:paraId="11167ECF" w14:textId="77777777" w:rsidR="00DE3537" w:rsidRDefault="00DE3537" w:rsidP="00EB43E4">
                                <w:pPr>
                                  <w:spacing w:after="0" w:line="240" w:lineRule="auto"/>
                                  <w:ind w:left="360" w:hanging="360"/>
                                  <w:jc w:val="center"/>
                                  <w:rPr>
                                    <w:sz w:val="16"/>
                                    <w:szCs w:val="16"/>
                                    <w:lang w:val="en-CA"/>
                                  </w:rPr>
                                </w:pPr>
                                <w:r>
                                  <w:rPr>
                                    <w:sz w:val="16"/>
                                    <w:szCs w:val="16"/>
                                    <w:lang w:val="en-CA"/>
                                  </w:rPr>
                                  <w:t xml:space="preserve">Schools lost to follow-up </w:t>
                                </w:r>
                                <w:r w:rsidRPr="00CF23C3">
                                  <w:rPr>
                                    <w:sz w:val="16"/>
                                    <w:szCs w:val="16"/>
                                    <w:lang w:val="en-CA"/>
                                  </w:rPr>
                                  <w:t>(</w:t>
                                </w:r>
                                <w:r>
                                  <w:rPr>
                                    <w:sz w:val="16"/>
                                    <w:szCs w:val="16"/>
                                    <w:lang w:val="en-CA"/>
                                  </w:rPr>
                                  <w:t>N = 0)</w:t>
                                </w:r>
                              </w:p>
                              <w:p w14:paraId="270B8977" w14:textId="77777777" w:rsidR="00DE3537" w:rsidRDefault="00DE3537" w:rsidP="00EB43E4">
                                <w:pPr>
                                  <w:spacing w:after="0" w:line="240" w:lineRule="auto"/>
                                  <w:ind w:left="360" w:hanging="360"/>
                                  <w:jc w:val="center"/>
                                  <w:rPr>
                                    <w:sz w:val="16"/>
                                    <w:szCs w:val="16"/>
                                    <w:lang w:val="en-CA"/>
                                  </w:rPr>
                                </w:pPr>
                              </w:p>
                              <w:p w14:paraId="00A571E7" w14:textId="77777777" w:rsidR="00DE3537" w:rsidRDefault="00DE3537" w:rsidP="00EB43E4">
                                <w:pPr>
                                  <w:spacing w:after="0" w:line="240" w:lineRule="auto"/>
                                  <w:ind w:left="360" w:hanging="360"/>
                                  <w:jc w:val="center"/>
                                  <w:rPr>
                                    <w:sz w:val="16"/>
                                    <w:szCs w:val="16"/>
                                    <w:lang w:val="en-CA"/>
                                  </w:rPr>
                                </w:pPr>
                                <w:r>
                                  <w:rPr>
                                    <w:sz w:val="16"/>
                                    <w:szCs w:val="16"/>
                                    <w:lang w:val="en-CA"/>
                                  </w:rPr>
                                  <w:t>Children withdrawn (n = 2)</w:t>
                                </w:r>
                              </w:p>
                              <w:p w14:paraId="660F4BF6" w14:textId="77777777" w:rsidR="00DE3537" w:rsidRDefault="00DE3537" w:rsidP="00EB43E4">
                                <w:pPr>
                                  <w:spacing w:after="0" w:line="240" w:lineRule="auto"/>
                                  <w:ind w:left="360" w:hanging="360"/>
                                  <w:jc w:val="center"/>
                                  <w:rPr>
                                    <w:sz w:val="16"/>
                                    <w:szCs w:val="16"/>
                                    <w:lang w:val="en-CA"/>
                                  </w:rPr>
                                </w:pPr>
                                <w:r>
                                  <w:rPr>
                                    <w:sz w:val="16"/>
                                    <w:szCs w:val="16"/>
                                    <w:lang w:val="en-CA"/>
                                  </w:rPr>
                                  <w:t>Children did not assent (n = 4)</w:t>
                                </w:r>
                              </w:p>
                              <w:p w14:paraId="73E1FA2D" w14:textId="77777777" w:rsidR="00DE3537" w:rsidRDefault="00DE3537" w:rsidP="00EB43E4">
                                <w:pPr>
                                  <w:spacing w:after="0" w:line="240" w:lineRule="auto"/>
                                  <w:jc w:val="center"/>
                                  <w:rPr>
                                    <w:sz w:val="16"/>
                                    <w:szCs w:val="16"/>
                                    <w:lang w:val="en-CA"/>
                                  </w:rPr>
                                </w:pPr>
                                <w:r>
                                  <w:rPr>
                                    <w:sz w:val="16"/>
                                    <w:szCs w:val="16"/>
                                    <w:lang w:val="en-CA"/>
                                  </w:rPr>
                                  <w:t>Children lost to follow-up (n = 21; 19 moved out of county; 1 long term illness; 1 changed school)</w:t>
                                </w:r>
                              </w:p>
                              <w:p w14:paraId="3F478589" w14:textId="77777777" w:rsidR="00DE3537" w:rsidRPr="008624C3" w:rsidRDefault="00DE3537" w:rsidP="00EB43E4">
                                <w:pPr>
                                  <w:spacing w:after="0" w:line="240" w:lineRule="auto"/>
                                  <w:ind w:left="360" w:hanging="360"/>
                                  <w:jc w:val="center"/>
                                  <w:rPr>
                                    <w:sz w:val="16"/>
                                    <w:szCs w:val="16"/>
                                    <w:lang w:val="en-CA"/>
                                  </w:rPr>
                                </w:pPr>
                              </w:p>
                              <w:p w14:paraId="35DAB5E8" w14:textId="77777777" w:rsidR="00DE3537" w:rsidRPr="008624C3" w:rsidRDefault="00DE3537" w:rsidP="00EB43E4">
                                <w:pPr>
                                  <w:spacing w:after="0" w:line="240" w:lineRule="auto"/>
                                  <w:jc w:val="center"/>
                                  <w:rPr>
                                    <w:sz w:val="16"/>
                                    <w:szCs w:val="16"/>
                                    <w:lang w:val="en-CA"/>
                                  </w:rPr>
                                </w:pPr>
                                <w:r>
                                  <w:rPr>
                                    <w:sz w:val="16"/>
                                    <w:szCs w:val="16"/>
                                    <w:lang w:val="en-CA"/>
                                  </w:rPr>
                                  <w:t xml:space="preserve">n </w:t>
                                </w:r>
                                <w:r w:rsidRPr="008624C3">
                                  <w:rPr>
                                    <w:sz w:val="16"/>
                                    <w:szCs w:val="16"/>
                                    <w:lang w:val="en-CA"/>
                                  </w:rPr>
                                  <w:t>=</w:t>
                                </w:r>
                                <w:r>
                                  <w:rPr>
                                    <w:sz w:val="16"/>
                                    <w:szCs w:val="16"/>
                                    <w:lang w:val="en-CA"/>
                                  </w:rPr>
                                  <w:t xml:space="preserve"> </w:t>
                                </w:r>
                                <w:r w:rsidRPr="008624C3">
                                  <w:rPr>
                                    <w:sz w:val="16"/>
                                    <w:szCs w:val="16"/>
                                    <w:lang w:val="en-CA"/>
                                  </w:rPr>
                                  <w:t>621 children; mean (coefficient of variation) 38.8 (0.43) children per school</w:t>
                                </w:r>
                              </w:p>
                              <w:p w14:paraId="228156A8" w14:textId="77777777" w:rsidR="00DE3537" w:rsidRPr="008624C3" w:rsidRDefault="00DE3537" w:rsidP="00EB43E4">
                                <w:pPr>
                                  <w:spacing w:after="0" w:line="240" w:lineRule="auto"/>
                                  <w:ind w:left="360" w:hanging="360"/>
                                  <w:rPr>
                                    <w:rFonts w:cs="Calibri"/>
                                    <w:sz w:val="16"/>
                                    <w:szCs w:val="16"/>
                                    <w:lang w:val="en-CA"/>
                                  </w:rPr>
                                </w:pPr>
                              </w:p>
                              <w:p w14:paraId="56E6288C" w14:textId="77777777" w:rsidR="00DE3537" w:rsidRPr="00CF23C3" w:rsidRDefault="00DE3537" w:rsidP="00EB43E4">
                                <w:pPr>
                                  <w:rPr>
                                    <w:sz w:val="16"/>
                                    <w:szCs w:val="16"/>
                                    <w:lang w:val="en-CA"/>
                                  </w:rPr>
                                </w:pPr>
                              </w:p>
                            </w:txbxContent>
                          </wps:txbx>
                          <wps:bodyPr rot="0" vert="horz" wrap="square" lIns="91440" tIns="91440" rIns="91440" bIns="91440" anchor="t" anchorCtr="0" upright="1">
                            <a:noAutofit/>
                          </wps:bodyPr>
                        </wps:wsp>
                        <wps:wsp>
                          <wps:cNvPr id="49" name="Rectangle 49"/>
                          <wps:cNvSpPr>
                            <a:spLocks noChangeArrowheads="1"/>
                          </wps:cNvSpPr>
                          <wps:spPr bwMode="auto">
                            <a:xfrm>
                              <a:off x="2695575" y="3552825"/>
                              <a:ext cx="2159635" cy="575945"/>
                            </a:xfrm>
                            <a:prstGeom prst="rect">
                              <a:avLst/>
                            </a:prstGeom>
                            <a:solidFill>
                              <a:srgbClr val="FFFFFF"/>
                            </a:solidFill>
                            <a:ln w="9525">
                              <a:solidFill>
                                <a:srgbClr val="000000"/>
                              </a:solidFill>
                              <a:miter lim="800000"/>
                              <a:headEnd/>
                              <a:tailEnd/>
                            </a:ln>
                          </wps:spPr>
                          <wps:txbx>
                            <w:txbxContent>
                              <w:p w14:paraId="56AE6191" w14:textId="77777777" w:rsidR="00DE3537" w:rsidRPr="008624C3" w:rsidRDefault="00DE3537" w:rsidP="00EB43E4">
                                <w:pPr>
                                  <w:spacing w:after="0" w:line="240" w:lineRule="auto"/>
                                  <w:jc w:val="center"/>
                                  <w:rPr>
                                    <w:sz w:val="16"/>
                                    <w:szCs w:val="16"/>
                                    <w:lang w:val="en-CA"/>
                                  </w:rPr>
                                </w:pPr>
                                <w:r w:rsidRPr="008624C3">
                                  <w:rPr>
                                    <w:sz w:val="16"/>
                                    <w:szCs w:val="16"/>
                                    <w:lang w:val="en-CA"/>
                                  </w:rPr>
                                  <w:t>Allocated to control N</w:t>
                                </w:r>
                                <w:r>
                                  <w:rPr>
                                    <w:sz w:val="16"/>
                                    <w:szCs w:val="16"/>
                                    <w:lang w:val="en-CA"/>
                                  </w:rPr>
                                  <w:t xml:space="preserve"> </w:t>
                                </w:r>
                                <w:r w:rsidRPr="008624C3">
                                  <w:rPr>
                                    <w:sz w:val="16"/>
                                    <w:szCs w:val="16"/>
                                    <w:lang w:val="en-CA"/>
                                  </w:rPr>
                                  <w:t>=</w:t>
                                </w:r>
                                <w:r>
                                  <w:rPr>
                                    <w:sz w:val="16"/>
                                    <w:szCs w:val="16"/>
                                    <w:lang w:val="en-CA"/>
                                  </w:rPr>
                                  <w:t xml:space="preserve"> </w:t>
                                </w:r>
                                <w:r w:rsidRPr="008624C3">
                                  <w:rPr>
                                    <w:sz w:val="16"/>
                                    <w:szCs w:val="16"/>
                                    <w:lang w:val="en-CA"/>
                                  </w:rPr>
                                  <w:t xml:space="preserve">16; </w:t>
                                </w:r>
                              </w:p>
                              <w:p w14:paraId="7AE1E84A" w14:textId="77777777" w:rsidR="00DE3537" w:rsidRPr="008624C3" w:rsidRDefault="00DE3537" w:rsidP="00EB43E4">
                                <w:pPr>
                                  <w:spacing w:after="0" w:line="240" w:lineRule="auto"/>
                                  <w:jc w:val="center"/>
                                  <w:rPr>
                                    <w:sz w:val="16"/>
                                    <w:szCs w:val="16"/>
                                    <w:lang w:val="en-CA"/>
                                  </w:rPr>
                                </w:pPr>
                                <w:r>
                                  <w:rPr>
                                    <w:sz w:val="16"/>
                                    <w:szCs w:val="16"/>
                                    <w:lang w:val="en-CA"/>
                                  </w:rPr>
                                  <w:t xml:space="preserve">n </w:t>
                                </w:r>
                                <w:r w:rsidRPr="008624C3">
                                  <w:rPr>
                                    <w:sz w:val="16"/>
                                    <w:szCs w:val="16"/>
                                    <w:lang w:val="en-CA"/>
                                  </w:rPr>
                                  <w:t>=</w:t>
                                </w:r>
                                <w:r>
                                  <w:rPr>
                                    <w:sz w:val="16"/>
                                    <w:szCs w:val="16"/>
                                    <w:lang w:val="en-CA"/>
                                  </w:rPr>
                                  <w:t xml:space="preserve"> </w:t>
                                </w:r>
                                <w:r w:rsidRPr="008624C3">
                                  <w:rPr>
                                    <w:sz w:val="16"/>
                                    <w:szCs w:val="16"/>
                                    <w:lang w:val="en-CA"/>
                                  </w:rPr>
                                  <w:t>648 children; mean (coefficient of variation) 40.5 (0.44) children per school</w:t>
                                </w:r>
                              </w:p>
                              <w:p w14:paraId="47995F4F" w14:textId="77777777" w:rsidR="00DE3537" w:rsidRPr="00CF23C3" w:rsidRDefault="00DE3537" w:rsidP="00EB43E4">
                                <w:pPr>
                                  <w:spacing w:after="0" w:line="240" w:lineRule="auto"/>
                                  <w:jc w:val="center"/>
                                  <w:rPr>
                                    <w:rFonts w:cs="Calibri"/>
                                    <w:sz w:val="16"/>
                                    <w:szCs w:val="16"/>
                                    <w:lang w:val="en-CA"/>
                                  </w:rPr>
                                </w:pPr>
                              </w:p>
                            </w:txbxContent>
                          </wps:txbx>
                          <wps:bodyPr rot="0" vert="horz" wrap="square" lIns="91440" tIns="91440" rIns="91440" bIns="91440" anchor="t" anchorCtr="0" upright="1">
                            <a:noAutofit/>
                          </wps:bodyPr>
                        </wps:wsp>
                        <wps:wsp>
                          <wps:cNvPr id="53" name="Straight Arrow Connector 53"/>
                          <wps:cNvCnPr>
                            <a:cxnSpLocks noChangeShapeType="1"/>
                          </wps:cNvCnPr>
                          <wps:spPr bwMode="auto">
                            <a:xfrm>
                              <a:off x="3810000" y="4143375"/>
                              <a:ext cx="0" cy="36004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4" name="Rectangle 1"/>
                          <wps:cNvSpPr>
                            <a:spLocks noChangeArrowheads="1"/>
                          </wps:cNvSpPr>
                          <wps:spPr bwMode="auto">
                            <a:xfrm>
                              <a:off x="2846070" y="1981200"/>
                              <a:ext cx="2122805" cy="548640"/>
                            </a:xfrm>
                            <a:prstGeom prst="rect">
                              <a:avLst/>
                            </a:prstGeom>
                            <a:solidFill>
                              <a:srgbClr val="FFFFFF"/>
                            </a:solidFill>
                            <a:ln w="9525">
                              <a:solidFill>
                                <a:srgbClr val="000000"/>
                              </a:solidFill>
                              <a:miter lim="800000"/>
                              <a:headEnd/>
                              <a:tailEnd/>
                            </a:ln>
                          </wps:spPr>
                          <wps:txbx>
                            <w:txbxContent>
                              <w:p w14:paraId="61EA406D" w14:textId="77777777" w:rsidR="00DE3537" w:rsidRPr="00111C21" w:rsidRDefault="00DE3537" w:rsidP="00EB43E4">
                                <w:pPr>
                                  <w:spacing w:after="0" w:line="240" w:lineRule="auto"/>
                                  <w:ind w:left="360" w:hanging="360"/>
                                  <w:jc w:val="center"/>
                                  <w:rPr>
                                    <w:sz w:val="16"/>
                                    <w:szCs w:val="16"/>
                                    <w:lang w:val="en-CA"/>
                                  </w:rPr>
                                </w:pPr>
                                <w:r w:rsidRPr="00111C21">
                                  <w:rPr>
                                    <w:sz w:val="16"/>
                                    <w:szCs w:val="16"/>
                                    <w:lang w:val="en-CA"/>
                                  </w:rPr>
                                  <w:t>Excluded children (n</w:t>
                                </w:r>
                                <w:r>
                                  <w:rPr>
                                    <w:sz w:val="16"/>
                                    <w:szCs w:val="16"/>
                                    <w:lang w:val="en-CA"/>
                                  </w:rPr>
                                  <w:t xml:space="preserve"> </w:t>
                                </w:r>
                                <w:r w:rsidRPr="00111C21">
                                  <w:rPr>
                                    <w:sz w:val="16"/>
                                    <w:szCs w:val="16"/>
                                    <w:lang w:val="en-CA"/>
                                  </w:rPr>
                                  <w:t>=</w:t>
                                </w:r>
                                <w:r>
                                  <w:rPr>
                                    <w:sz w:val="16"/>
                                    <w:szCs w:val="16"/>
                                    <w:lang w:val="en-CA"/>
                                  </w:rPr>
                                  <w:t xml:space="preserve"> 47</w:t>
                                </w:r>
                                <w:r w:rsidRPr="00111C21">
                                  <w:rPr>
                                    <w:sz w:val="16"/>
                                    <w:szCs w:val="16"/>
                                    <w:lang w:val="en-CA"/>
                                  </w:rPr>
                                  <w:t>)</w:t>
                                </w:r>
                              </w:p>
                              <w:p w14:paraId="72B6708F" w14:textId="77777777" w:rsidR="00DE3537" w:rsidRPr="00373509" w:rsidRDefault="00DE3537" w:rsidP="00EB43E4">
                                <w:pPr>
                                  <w:spacing w:after="0" w:line="240" w:lineRule="auto"/>
                                  <w:jc w:val="center"/>
                                  <w:rPr>
                                    <w:sz w:val="16"/>
                                    <w:szCs w:val="16"/>
                                    <w:lang w:val="en-CA"/>
                                  </w:rPr>
                                </w:pPr>
                                <w:r w:rsidRPr="00373509">
                                  <w:rPr>
                                    <w:sz w:val="16"/>
                                    <w:szCs w:val="16"/>
                                    <w:lang w:val="en-CA"/>
                                  </w:rPr>
                                  <w:t>Children opted out (n = 34)</w:t>
                                </w:r>
                              </w:p>
                              <w:p w14:paraId="5C090B6B" w14:textId="77777777" w:rsidR="00DE3537" w:rsidRPr="00373509" w:rsidRDefault="00DE3537" w:rsidP="00EB43E4">
                                <w:pPr>
                                  <w:spacing w:after="0" w:line="240" w:lineRule="auto"/>
                                  <w:jc w:val="center"/>
                                  <w:rPr>
                                    <w:sz w:val="16"/>
                                    <w:szCs w:val="16"/>
                                  </w:rPr>
                                </w:pPr>
                                <w:r w:rsidRPr="00373509">
                                  <w:rPr>
                                    <w:sz w:val="16"/>
                                    <w:szCs w:val="16"/>
                                    <w:lang w:val="en-CA"/>
                                  </w:rPr>
                                  <w:t>Left school before baseline measures (n = 13)</w:t>
                                </w:r>
                              </w:p>
                            </w:txbxContent>
                          </wps:txbx>
                          <wps:bodyPr rot="0" vert="horz" wrap="square" lIns="91440" tIns="91440" rIns="91440" bIns="91440" anchor="t" anchorCtr="0" upright="1">
                            <a:noAutofit/>
                          </wps:bodyPr>
                        </wps:wsp>
                        <wps:wsp>
                          <wps:cNvPr id="55" name="Rectangle 2"/>
                          <wps:cNvSpPr>
                            <a:spLocks noChangeArrowheads="1"/>
                          </wps:cNvSpPr>
                          <wps:spPr bwMode="auto">
                            <a:xfrm>
                              <a:off x="1371600" y="2590800"/>
                              <a:ext cx="2159635" cy="478155"/>
                            </a:xfrm>
                            <a:prstGeom prst="rect">
                              <a:avLst/>
                            </a:prstGeom>
                            <a:solidFill>
                              <a:srgbClr val="FFFFFF"/>
                            </a:solidFill>
                            <a:ln w="9525">
                              <a:solidFill>
                                <a:srgbClr val="000000"/>
                              </a:solidFill>
                              <a:miter lim="800000"/>
                              <a:headEnd/>
                              <a:tailEnd/>
                            </a:ln>
                          </wps:spPr>
                          <wps:txbx>
                            <w:txbxContent>
                              <w:p w14:paraId="6207F03F" w14:textId="77777777" w:rsidR="00DE3537" w:rsidRDefault="00DE3537" w:rsidP="00EB43E4">
                                <w:pPr>
                                  <w:widowControl w:val="0"/>
                                  <w:spacing w:after="0" w:line="240" w:lineRule="auto"/>
                                  <w:jc w:val="center"/>
                                  <w:rPr>
                                    <w:sz w:val="16"/>
                                    <w:szCs w:val="16"/>
                                    <w:lang w:val="en-CA"/>
                                  </w:rPr>
                                </w:pPr>
                                <w:r>
                                  <w:rPr>
                                    <w:sz w:val="16"/>
                                    <w:szCs w:val="16"/>
                                    <w:lang w:val="en-CA"/>
                                  </w:rPr>
                                  <w:t>N = 32; n = 1324</w:t>
                                </w:r>
                              </w:p>
                              <w:p w14:paraId="65987BB3" w14:textId="77777777" w:rsidR="00DE3537" w:rsidRPr="00124CB0" w:rsidRDefault="00DE3537" w:rsidP="00EB43E4">
                                <w:pPr>
                                  <w:widowControl w:val="0"/>
                                  <w:spacing w:after="0" w:line="240" w:lineRule="auto"/>
                                  <w:jc w:val="center"/>
                                  <w:rPr>
                                    <w:b/>
                                    <w:sz w:val="16"/>
                                    <w:szCs w:val="16"/>
                                    <w:lang w:val="en-CA"/>
                                  </w:rPr>
                                </w:pPr>
                                <w:r w:rsidRPr="00124CB0">
                                  <w:rPr>
                                    <w:b/>
                                    <w:sz w:val="16"/>
                                    <w:szCs w:val="16"/>
                                    <w:lang w:val="en-CA"/>
                                  </w:rPr>
                                  <w:t>BMI (height and weight), n</w:t>
                                </w:r>
                                <w:r>
                                  <w:rPr>
                                    <w:b/>
                                    <w:sz w:val="16"/>
                                    <w:szCs w:val="16"/>
                                    <w:lang w:val="en-CA"/>
                                  </w:rPr>
                                  <w:t xml:space="preserve"> </w:t>
                                </w:r>
                                <w:r w:rsidRPr="00124CB0">
                                  <w:rPr>
                                    <w:b/>
                                    <w:sz w:val="16"/>
                                    <w:szCs w:val="16"/>
                                    <w:lang w:val="en-CA"/>
                                  </w:rPr>
                                  <w:t>=</w:t>
                                </w:r>
                                <w:r>
                                  <w:rPr>
                                    <w:b/>
                                    <w:sz w:val="16"/>
                                    <w:szCs w:val="16"/>
                                    <w:lang w:val="en-CA"/>
                                  </w:rPr>
                                  <w:t xml:space="preserve"> </w:t>
                                </w:r>
                                <w:r w:rsidRPr="00124CB0">
                                  <w:rPr>
                                    <w:b/>
                                    <w:sz w:val="16"/>
                                    <w:szCs w:val="16"/>
                                    <w:lang w:val="en-CA"/>
                                  </w:rPr>
                                  <w:t>1312 (99.1%)</w:t>
                                </w:r>
                              </w:p>
                            </w:txbxContent>
                          </wps:txbx>
                          <wps:bodyPr rot="0" vert="horz" wrap="square" lIns="91440" tIns="91440" rIns="91440" bIns="91440" anchor="t" anchorCtr="0" upright="1">
                            <a:noAutofit/>
                          </wps:bodyPr>
                        </wps:wsp>
                        <wpg:grpSp>
                          <wpg:cNvPr id="56" name="Group 5"/>
                          <wpg:cNvGrpSpPr>
                            <a:grpSpLocks/>
                          </wpg:cNvGrpSpPr>
                          <wpg:grpSpPr>
                            <a:xfrm>
                              <a:off x="2314575" y="1895475"/>
                              <a:ext cx="531495" cy="676275"/>
                              <a:chOff x="-142963" y="0"/>
                              <a:chExt cx="531822" cy="684000"/>
                            </a:xfrm>
                          </wpg:grpSpPr>
                          <wps:wsp>
                            <wps:cNvPr id="57" name="Straight Arrow Connector 6"/>
                            <wps:cNvCnPr>
                              <a:cxnSpLocks noChangeShapeType="1"/>
                            </wps:cNvCnPr>
                            <wps:spPr bwMode="auto">
                              <a:xfrm>
                                <a:off x="-142963" y="0"/>
                                <a:ext cx="635" cy="6840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8" name="Straight Arrow Connector 7"/>
                            <wps:cNvCnPr>
                              <a:cxnSpLocks noChangeShapeType="1"/>
                            </wps:cNvCnPr>
                            <wps:spPr bwMode="auto">
                              <a:xfrm>
                                <a:off x="-141692" y="341906"/>
                                <a:ext cx="530551"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s:wsp>
                          <wps:cNvPr id="300" name="Rectangle 10"/>
                          <wps:cNvSpPr>
                            <a:spLocks noChangeArrowheads="1"/>
                          </wps:cNvSpPr>
                          <wps:spPr bwMode="auto">
                            <a:xfrm>
                              <a:off x="0" y="6286500"/>
                              <a:ext cx="2195830" cy="1823085"/>
                            </a:xfrm>
                            <a:prstGeom prst="rect">
                              <a:avLst/>
                            </a:prstGeom>
                            <a:solidFill>
                              <a:srgbClr val="FFFFFF"/>
                            </a:solidFill>
                            <a:ln w="9525">
                              <a:solidFill>
                                <a:srgbClr val="000000"/>
                              </a:solidFill>
                              <a:miter lim="800000"/>
                              <a:headEnd/>
                              <a:tailEnd/>
                            </a:ln>
                          </wps:spPr>
                          <wps:txbx>
                            <w:txbxContent>
                              <w:p w14:paraId="25CE6190" w14:textId="77777777" w:rsidR="00DE3537" w:rsidRDefault="00DE3537" w:rsidP="00EB43E4">
                                <w:pPr>
                                  <w:spacing w:after="0" w:line="240" w:lineRule="auto"/>
                                  <w:ind w:left="360" w:hanging="360"/>
                                  <w:jc w:val="center"/>
                                  <w:rPr>
                                    <w:sz w:val="16"/>
                                    <w:szCs w:val="16"/>
                                    <w:lang w:val="en-CA"/>
                                  </w:rPr>
                                </w:pPr>
                                <w:r>
                                  <w:rPr>
                                    <w:sz w:val="16"/>
                                    <w:szCs w:val="16"/>
                                    <w:lang w:val="en-CA"/>
                                  </w:rPr>
                                  <w:t>Schools withdrawn (N = 0)</w:t>
                                </w:r>
                              </w:p>
                              <w:p w14:paraId="79819B7D" w14:textId="77777777" w:rsidR="00DE3537" w:rsidRDefault="00DE3537" w:rsidP="00EB43E4">
                                <w:pPr>
                                  <w:spacing w:after="0" w:line="240" w:lineRule="auto"/>
                                  <w:ind w:left="360" w:hanging="360"/>
                                  <w:jc w:val="center"/>
                                  <w:rPr>
                                    <w:sz w:val="16"/>
                                    <w:szCs w:val="16"/>
                                    <w:lang w:val="en-CA"/>
                                  </w:rPr>
                                </w:pPr>
                                <w:r>
                                  <w:rPr>
                                    <w:sz w:val="16"/>
                                    <w:szCs w:val="16"/>
                                    <w:lang w:val="en-CA"/>
                                  </w:rPr>
                                  <w:t xml:space="preserve">Schools lost to follow-up </w:t>
                                </w:r>
                                <w:r w:rsidRPr="00CF23C3">
                                  <w:rPr>
                                    <w:sz w:val="16"/>
                                    <w:szCs w:val="16"/>
                                    <w:lang w:val="en-CA"/>
                                  </w:rPr>
                                  <w:t>(</w:t>
                                </w:r>
                                <w:r>
                                  <w:rPr>
                                    <w:sz w:val="16"/>
                                    <w:szCs w:val="16"/>
                                    <w:lang w:val="en-CA"/>
                                  </w:rPr>
                                  <w:t>N = 0)</w:t>
                                </w:r>
                              </w:p>
                              <w:p w14:paraId="7C3703DE" w14:textId="77777777" w:rsidR="00DE3537" w:rsidRDefault="00DE3537" w:rsidP="00EB43E4">
                                <w:pPr>
                                  <w:spacing w:after="0" w:line="240" w:lineRule="auto"/>
                                  <w:ind w:left="360" w:hanging="360"/>
                                  <w:jc w:val="center"/>
                                  <w:rPr>
                                    <w:sz w:val="16"/>
                                    <w:szCs w:val="16"/>
                                    <w:lang w:val="en-CA"/>
                                  </w:rPr>
                                </w:pPr>
                              </w:p>
                              <w:p w14:paraId="659C466B" w14:textId="77777777" w:rsidR="00DE3537" w:rsidRDefault="00DE3537" w:rsidP="00EB43E4">
                                <w:pPr>
                                  <w:spacing w:after="0" w:line="240" w:lineRule="auto"/>
                                  <w:ind w:left="360" w:hanging="360"/>
                                  <w:jc w:val="center"/>
                                  <w:rPr>
                                    <w:sz w:val="16"/>
                                    <w:szCs w:val="16"/>
                                    <w:lang w:val="en-CA"/>
                                  </w:rPr>
                                </w:pPr>
                                <w:r>
                                  <w:rPr>
                                    <w:sz w:val="16"/>
                                    <w:szCs w:val="16"/>
                                    <w:lang w:val="en-CA"/>
                                  </w:rPr>
                                  <w:t>Children withdrawn (n = 1)</w:t>
                                </w:r>
                              </w:p>
                              <w:p w14:paraId="374670EE" w14:textId="77777777" w:rsidR="00DE3537" w:rsidRDefault="00DE3537" w:rsidP="00EB43E4">
                                <w:pPr>
                                  <w:spacing w:after="0" w:line="240" w:lineRule="auto"/>
                                  <w:ind w:left="360" w:hanging="360"/>
                                  <w:jc w:val="center"/>
                                  <w:rPr>
                                    <w:sz w:val="16"/>
                                    <w:szCs w:val="16"/>
                                    <w:lang w:val="en-CA"/>
                                  </w:rPr>
                                </w:pPr>
                                <w:r>
                                  <w:rPr>
                                    <w:sz w:val="16"/>
                                    <w:szCs w:val="16"/>
                                    <w:lang w:val="en-CA"/>
                                  </w:rPr>
                                  <w:t>Children did not assent (n = 4)</w:t>
                                </w:r>
                              </w:p>
                              <w:p w14:paraId="2467302E" w14:textId="77777777" w:rsidR="00DE3537" w:rsidRDefault="00DE3537" w:rsidP="00EB43E4">
                                <w:pPr>
                                  <w:spacing w:after="0" w:line="240" w:lineRule="auto"/>
                                  <w:jc w:val="center"/>
                                  <w:rPr>
                                    <w:sz w:val="16"/>
                                    <w:szCs w:val="16"/>
                                    <w:lang w:val="en-CA"/>
                                  </w:rPr>
                                </w:pPr>
                                <w:r>
                                  <w:rPr>
                                    <w:sz w:val="16"/>
                                    <w:szCs w:val="16"/>
                                    <w:lang w:val="en-CA"/>
                                  </w:rPr>
                                  <w:t>Children lost to follow-up (n = 41; 28 moved out of county; 5 no baseline so follow-up not scheduled; 2 long-term absence; 2 home-schooled; 2 learning difficulties; 2 parent/carer re-consent not given in time)</w:t>
                                </w:r>
                              </w:p>
                              <w:p w14:paraId="25B026C2" w14:textId="77777777" w:rsidR="00DE3537" w:rsidRPr="008624C3" w:rsidRDefault="00DE3537" w:rsidP="00EB43E4">
                                <w:pPr>
                                  <w:spacing w:after="0" w:line="240" w:lineRule="auto"/>
                                  <w:ind w:left="360" w:hanging="360"/>
                                  <w:jc w:val="center"/>
                                  <w:rPr>
                                    <w:sz w:val="16"/>
                                    <w:szCs w:val="16"/>
                                    <w:lang w:val="en-CA"/>
                                  </w:rPr>
                                </w:pPr>
                              </w:p>
                              <w:p w14:paraId="71CBB657" w14:textId="77777777" w:rsidR="00DE3537" w:rsidRPr="008624C3" w:rsidRDefault="00DE3537" w:rsidP="00EB43E4">
                                <w:pPr>
                                  <w:spacing w:after="0" w:line="240" w:lineRule="auto"/>
                                  <w:ind w:left="360" w:hanging="360"/>
                                  <w:jc w:val="center"/>
                                  <w:rPr>
                                    <w:sz w:val="16"/>
                                    <w:szCs w:val="16"/>
                                    <w:lang w:val="en-CA"/>
                                  </w:rPr>
                                </w:pPr>
                                <w:r>
                                  <w:rPr>
                                    <w:sz w:val="16"/>
                                    <w:szCs w:val="16"/>
                                    <w:lang w:val="en-CA"/>
                                  </w:rPr>
                                  <w:t xml:space="preserve">n </w:t>
                                </w:r>
                                <w:r w:rsidRPr="008624C3">
                                  <w:rPr>
                                    <w:sz w:val="16"/>
                                    <w:szCs w:val="16"/>
                                    <w:lang w:val="en-CA"/>
                                  </w:rPr>
                                  <w:t>=</w:t>
                                </w:r>
                                <w:r>
                                  <w:rPr>
                                    <w:sz w:val="16"/>
                                    <w:szCs w:val="16"/>
                                    <w:lang w:val="en-CA"/>
                                  </w:rPr>
                                  <w:t xml:space="preserve"> </w:t>
                                </w:r>
                                <w:r w:rsidRPr="008624C3">
                                  <w:rPr>
                                    <w:sz w:val="16"/>
                                    <w:szCs w:val="16"/>
                                    <w:lang w:val="en-CA"/>
                                  </w:rPr>
                                  <w:t>630 children; mean (coefficient of variation) 39.4 (0.49) children per school</w:t>
                                </w:r>
                              </w:p>
                              <w:p w14:paraId="2F1F2DF4" w14:textId="77777777" w:rsidR="00DE3537" w:rsidRPr="008624C3" w:rsidRDefault="00DE3537" w:rsidP="00EB43E4">
                                <w:pPr>
                                  <w:spacing w:after="0" w:line="240" w:lineRule="auto"/>
                                  <w:ind w:left="360" w:hanging="360"/>
                                  <w:jc w:val="center"/>
                                  <w:rPr>
                                    <w:sz w:val="16"/>
                                    <w:szCs w:val="16"/>
                                    <w:lang w:val="en-CA"/>
                                  </w:rPr>
                                </w:pPr>
                              </w:p>
                            </w:txbxContent>
                          </wps:txbx>
                          <wps:bodyPr rot="0" vert="horz" wrap="square" lIns="91440" tIns="91440" rIns="91440" bIns="91440" anchor="t" anchorCtr="0" upright="1">
                            <a:noAutofit/>
                          </wps:bodyPr>
                        </wps:wsp>
                        <wps:wsp>
                          <wps:cNvPr id="301" name="Rectangle 11"/>
                          <wps:cNvSpPr>
                            <a:spLocks noChangeArrowheads="1"/>
                          </wps:cNvSpPr>
                          <wps:spPr bwMode="auto">
                            <a:xfrm>
                              <a:off x="2733675" y="6276975"/>
                              <a:ext cx="2195830" cy="1870075"/>
                            </a:xfrm>
                            <a:prstGeom prst="rect">
                              <a:avLst/>
                            </a:prstGeom>
                            <a:solidFill>
                              <a:srgbClr val="FFFFFF"/>
                            </a:solidFill>
                            <a:ln w="9525">
                              <a:solidFill>
                                <a:srgbClr val="000000"/>
                              </a:solidFill>
                              <a:miter lim="800000"/>
                              <a:headEnd/>
                              <a:tailEnd/>
                            </a:ln>
                          </wps:spPr>
                          <wps:txbx>
                            <w:txbxContent>
                              <w:p w14:paraId="5A32B757" w14:textId="77777777" w:rsidR="00DE3537" w:rsidRDefault="00DE3537" w:rsidP="00EB43E4">
                                <w:pPr>
                                  <w:spacing w:after="0" w:line="240" w:lineRule="auto"/>
                                  <w:ind w:left="360" w:hanging="360"/>
                                  <w:jc w:val="center"/>
                                  <w:rPr>
                                    <w:sz w:val="16"/>
                                    <w:szCs w:val="16"/>
                                    <w:lang w:val="en-CA"/>
                                  </w:rPr>
                                </w:pPr>
                                <w:r>
                                  <w:rPr>
                                    <w:sz w:val="16"/>
                                    <w:szCs w:val="16"/>
                                    <w:lang w:val="en-CA"/>
                                  </w:rPr>
                                  <w:t>Schools withdrawn (N = 0)</w:t>
                                </w:r>
                              </w:p>
                              <w:p w14:paraId="66B06C4E" w14:textId="77777777" w:rsidR="00DE3537" w:rsidRDefault="00DE3537" w:rsidP="00EB43E4">
                                <w:pPr>
                                  <w:spacing w:after="0" w:line="240" w:lineRule="auto"/>
                                  <w:ind w:left="360" w:hanging="360"/>
                                  <w:jc w:val="center"/>
                                  <w:rPr>
                                    <w:sz w:val="16"/>
                                    <w:szCs w:val="16"/>
                                    <w:lang w:val="en-CA"/>
                                  </w:rPr>
                                </w:pPr>
                                <w:r>
                                  <w:rPr>
                                    <w:sz w:val="16"/>
                                    <w:szCs w:val="16"/>
                                    <w:lang w:val="en-CA"/>
                                  </w:rPr>
                                  <w:t xml:space="preserve">Schools lost to follow-up </w:t>
                                </w:r>
                                <w:r w:rsidRPr="00CF23C3">
                                  <w:rPr>
                                    <w:sz w:val="16"/>
                                    <w:szCs w:val="16"/>
                                    <w:lang w:val="en-CA"/>
                                  </w:rPr>
                                  <w:t>(</w:t>
                                </w:r>
                                <w:r>
                                  <w:rPr>
                                    <w:sz w:val="16"/>
                                    <w:szCs w:val="16"/>
                                    <w:lang w:val="en-CA"/>
                                  </w:rPr>
                                  <w:t>N = 0)</w:t>
                                </w:r>
                              </w:p>
                              <w:p w14:paraId="1937D52A" w14:textId="77777777" w:rsidR="00DE3537" w:rsidRDefault="00DE3537" w:rsidP="00EB43E4">
                                <w:pPr>
                                  <w:spacing w:after="0" w:line="240" w:lineRule="auto"/>
                                  <w:ind w:left="360" w:hanging="360"/>
                                  <w:jc w:val="center"/>
                                  <w:rPr>
                                    <w:sz w:val="16"/>
                                    <w:szCs w:val="16"/>
                                    <w:lang w:val="en-CA"/>
                                  </w:rPr>
                                </w:pPr>
                              </w:p>
                              <w:p w14:paraId="0DF96428" w14:textId="77777777" w:rsidR="00DE3537" w:rsidRDefault="00DE3537" w:rsidP="00EB43E4">
                                <w:pPr>
                                  <w:spacing w:after="0" w:line="240" w:lineRule="auto"/>
                                  <w:ind w:left="360" w:hanging="360"/>
                                  <w:jc w:val="center"/>
                                  <w:rPr>
                                    <w:sz w:val="16"/>
                                    <w:szCs w:val="16"/>
                                    <w:lang w:val="en-CA"/>
                                  </w:rPr>
                                </w:pPr>
                                <w:r>
                                  <w:rPr>
                                    <w:sz w:val="16"/>
                                    <w:szCs w:val="16"/>
                                    <w:lang w:val="en-CA"/>
                                  </w:rPr>
                                  <w:t>Children withdrawn (n = 2)</w:t>
                                </w:r>
                              </w:p>
                              <w:p w14:paraId="33841957" w14:textId="77777777" w:rsidR="00DE3537" w:rsidRDefault="00DE3537" w:rsidP="00EB43E4">
                                <w:pPr>
                                  <w:spacing w:after="0" w:line="240" w:lineRule="auto"/>
                                  <w:ind w:left="360" w:hanging="360"/>
                                  <w:jc w:val="center"/>
                                  <w:rPr>
                                    <w:sz w:val="16"/>
                                    <w:szCs w:val="16"/>
                                    <w:lang w:val="en-CA"/>
                                  </w:rPr>
                                </w:pPr>
                                <w:r>
                                  <w:rPr>
                                    <w:sz w:val="16"/>
                                    <w:szCs w:val="16"/>
                                    <w:lang w:val="en-CA"/>
                                  </w:rPr>
                                  <w:t>Children did not assent (n = 2)</w:t>
                                </w:r>
                              </w:p>
                              <w:p w14:paraId="6DCCEB08" w14:textId="77777777" w:rsidR="00DE3537" w:rsidRDefault="00DE3537" w:rsidP="00EB43E4">
                                <w:pPr>
                                  <w:spacing w:after="0" w:line="240" w:lineRule="auto"/>
                                  <w:jc w:val="center"/>
                                  <w:rPr>
                                    <w:sz w:val="16"/>
                                    <w:szCs w:val="16"/>
                                    <w:lang w:val="en-CA"/>
                                  </w:rPr>
                                </w:pPr>
                                <w:r>
                                  <w:rPr>
                                    <w:sz w:val="16"/>
                                    <w:szCs w:val="16"/>
                                    <w:lang w:val="en-CA"/>
                                  </w:rPr>
                                  <w:t>Children lost to follow-up (n = 24; 21 moved out of county; 1 long-term absence; 1 home-schooled; 1 no baseline so follow-up not scheduled)</w:t>
                                </w:r>
                              </w:p>
                              <w:p w14:paraId="6961763C" w14:textId="77777777" w:rsidR="00DE3537" w:rsidRDefault="00DE3537" w:rsidP="00EB43E4">
                                <w:pPr>
                                  <w:spacing w:after="0" w:line="240" w:lineRule="auto"/>
                                  <w:ind w:left="360" w:hanging="360"/>
                                  <w:jc w:val="center"/>
                                  <w:rPr>
                                    <w:sz w:val="16"/>
                                    <w:szCs w:val="16"/>
                                    <w:lang w:val="en-CA"/>
                                  </w:rPr>
                                </w:pPr>
                              </w:p>
                              <w:p w14:paraId="5B01BE07" w14:textId="77777777" w:rsidR="00DE3537" w:rsidRPr="008624C3" w:rsidRDefault="00DE3537" w:rsidP="00EB43E4">
                                <w:pPr>
                                  <w:spacing w:after="0" w:line="240" w:lineRule="auto"/>
                                  <w:ind w:left="360" w:hanging="360"/>
                                  <w:jc w:val="center"/>
                                  <w:rPr>
                                    <w:sz w:val="16"/>
                                    <w:szCs w:val="16"/>
                                    <w:lang w:val="en-CA"/>
                                  </w:rPr>
                                </w:pPr>
                              </w:p>
                              <w:p w14:paraId="6CE3F166" w14:textId="77777777" w:rsidR="00DE3537" w:rsidRPr="008624C3" w:rsidRDefault="00DE3537" w:rsidP="00EB43E4">
                                <w:pPr>
                                  <w:spacing w:after="0" w:line="240" w:lineRule="auto"/>
                                  <w:jc w:val="center"/>
                                  <w:rPr>
                                    <w:sz w:val="16"/>
                                    <w:szCs w:val="16"/>
                                    <w:lang w:val="en-CA"/>
                                  </w:rPr>
                                </w:pPr>
                                <w:r>
                                  <w:rPr>
                                    <w:sz w:val="16"/>
                                    <w:szCs w:val="16"/>
                                    <w:lang w:val="en-CA"/>
                                  </w:rPr>
                                  <w:t xml:space="preserve">n </w:t>
                                </w:r>
                                <w:r w:rsidRPr="008624C3">
                                  <w:rPr>
                                    <w:sz w:val="16"/>
                                    <w:szCs w:val="16"/>
                                    <w:lang w:val="en-CA"/>
                                  </w:rPr>
                                  <w:t>=</w:t>
                                </w:r>
                                <w:r>
                                  <w:rPr>
                                    <w:sz w:val="16"/>
                                    <w:szCs w:val="16"/>
                                    <w:lang w:val="en-CA"/>
                                  </w:rPr>
                                  <w:t xml:space="preserve"> </w:t>
                                </w:r>
                                <w:r w:rsidRPr="008624C3">
                                  <w:rPr>
                                    <w:sz w:val="16"/>
                                    <w:szCs w:val="16"/>
                                    <w:lang w:val="en-CA"/>
                                  </w:rPr>
                                  <w:t>620 children; mean (coefficient of variation) 38.8 (0.44) children per school</w:t>
                                </w:r>
                              </w:p>
                              <w:p w14:paraId="7FB0D49B" w14:textId="77777777" w:rsidR="00DE3537" w:rsidRPr="008624C3" w:rsidRDefault="00DE3537" w:rsidP="00EB43E4">
                                <w:pPr>
                                  <w:rPr>
                                    <w:sz w:val="16"/>
                                    <w:szCs w:val="16"/>
                                    <w:lang w:val="en-CA"/>
                                  </w:rPr>
                                </w:pPr>
                              </w:p>
                            </w:txbxContent>
                          </wps:txbx>
                          <wps:bodyPr rot="0" vert="horz" wrap="square" lIns="91440" tIns="91440" rIns="91440" bIns="91440" anchor="t" anchorCtr="0" upright="1">
                            <a:noAutofit/>
                          </wps:bodyPr>
                        </wps:wsp>
                      </wpg:grpSp>
                      <wpg:grpSp>
                        <wpg:cNvPr id="311" name="Group 311"/>
                        <wpg:cNvGrpSpPr/>
                        <wpg:grpSpPr>
                          <a:xfrm>
                            <a:off x="0" y="276225"/>
                            <a:ext cx="600075" cy="8648700"/>
                            <a:chOff x="0" y="0"/>
                            <a:chExt cx="600075" cy="8648700"/>
                          </a:xfrm>
                        </wpg:grpSpPr>
                        <wps:wsp>
                          <wps:cNvPr id="312" name="Text Box 312"/>
                          <wps:cNvSpPr txBox="1"/>
                          <wps:spPr>
                            <a:xfrm>
                              <a:off x="0" y="7829550"/>
                              <a:ext cx="600075" cy="819150"/>
                            </a:xfrm>
                            <a:prstGeom prst="rect">
                              <a:avLst/>
                            </a:prstGeom>
                            <a:solidFill>
                              <a:srgbClr val="4F81BD"/>
                            </a:solidFill>
                            <a:ln w="25400" cap="flat" cmpd="sng" algn="ctr">
                              <a:solidFill>
                                <a:sysClr val="windowText" lastClr="000000"/>
                              </a:solidFill>
                              <a:prstDash val="solid"/>
                            </a:ln>
                            <a:effectLst/>
                          </wps:spPr>
                          <wps:txbx>
                            <w:txbxContent>
                              <w:p w14:paraId="3DD93692" w14:textId="77777777" w:rsidR="00DE3537" w:rsidRPr="001D6DBA" w:rsidRDefault="00DE3537" w:rsidP="00EB43E4">
                                <w:pPr>
                                  <w:jc w:val="center"/>
                                  <w:rPr>
                                    <w:b/>
                                  </w:rPr>
                                </w:pPr>
                                <w:r w:rsidRPr="001D6DBA">
                                  <w:rPr>
                                    <w:b/>
                                  </w:rPr>
                                  <w:t>Analysis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13" name="Text Box 313"/>
                          <wps:cNvSpPr txBox="1"/>
                          <wps:spPr>
                            <a:xfrm>
                              <a:off x="0" y="4533900"/>
                              <a:ext cx="600075" cy="819150"/>
                            </a:xfrm>
                            <a:prstGeom prst="rect">
                              <a:avLst/>
                            </a:prstGeom>
                            <a:solidFill>
                              <a:srgbClr val="4F81BD"/>
                            </a:solidFill>
                            <a:ln w="25400" cap="flat" cmpd="sng" algn="ctr">
                              <a:solidFill>
                                <a:sysClr val="windowText" lastClr="000000"/>
                              </a:solidFill>
                              <a:prstDash val="solid"/>
                            </a:ln>
                            <a:effectLst/>
                          </wps:spPr>
                          <wps:txbx>
                            <w:txbxContent>
                              <w:p w14:paraId="510F470B" w14:textId="77777777" w:rsidR="00DE3537" w:rsidRPr="001D6DBA" w:rsidRDefault="00DE3537" w:rsidP="00EB43E4">
                                <w:pPr>
                                  <w:jc w:val="center"/>
                                  <w:rPr>
                                    <w:b/>
                                  </w:rPr>
                                </w:pPr>
                                <w:r>
                                  <w:rPr>
                                    <w:b/>
                                  </w:rPr>
                                  <w:t>18 months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14" name="Text Box 314"/>
                          <wps:cNvSpPr txBox="1"/>
                          <wps:spPr>
                            <a:xfrm>
                              <a:off x="0" y="3190875"/>
                              <a:ext cx="600075" cy="819150"/>
                            </a:xfrm>
                            <a:prstGeom prst="rect">
                              <a:avLst/>
                            </a:prstGeom>
                            <a:solidFill>
                              <a:srgbClr val="4F81BD"/>
                            </a:solidFill>
                            <a:ln w="25400" cap="flat" cmpd="sng" algn="ctr">
                              <a:solidFill>
                                <a:sysClr val="windowText" lastClr="000000"/>
                              </a:solidFill>
                              <a:prstDash val="solid"/>
                            </a:ln>
                            <a:effectLst/>
                          </wps:spPr>
                          <wps:txbx>
                            <w:txbxContent>
                              <w:p w14:paraId="52256030" w14:textId="77777777" w:rsidR="00DE3537" w:rsidRPr="001D6DBA" w:rsidRDefault="00DE3537" w:rsidP="00EB43E4">
                                <w:pPr>
                                  <w:jc w:val="center"/>
                                  <w:rPr>
                                    <w:b/>
                                  </w:rPr>
                                </w:pPr>
                                <w:r>
                                  <w:rPr>
                                    <w:b/>
                                  </w:rPr>
                                  <w:t>Allocation of schools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15" name="Text Box 315"/>
                          <wps:cNvSpPr txBox="1"/>
                          <wps:spPr>
                            <a:xfrm>
                              <a:off x="0" y="2095500"/>
                              <a:ext cx="581025" cy="819150"/>
                            </a:xfrm>
                            <a:prstGeom prst="rect">
                              <a:avLst/>
                            </a:prstGeom>
                            <a:solidFill>
                              <a:srgbClr val="4F81BD"/>
                            </a:solidFill>
                            <a:ln w="25400" cap="flat" cmpd="sng" algn="ctr">
                              <a:solidFill>
                                <a:sysClr val="windowText" lastClr="000000"/>
                              </a:solidFill>
                              <a:prstDash val="solid"/>
                            </a:ln>
                            <a:effectLst/>
                          </wps:spPr>
                          <wps:txbx>
                            <w:txbxContent>
                              <w:p w14:paraId="7EE8008D" w14:textId="77777777" w:rsidR="00DE3537" w:rsidRDefault="00DE3537" w:rsidP="00EB43E4">
                                <w:pPr>
                                  <w:spacing w:after="0" w:line="240" w:lineRule="auto"/>
                                  <w:jc w:val="center"/>
                                  <w:rPr>
                                    <w:b/>
                                  </w:rPr>
                                </w:pPr>
                                <w:r>
                                  <w:rPr>
                                    <w:b/>
                                  </w:rPr>
                                  <w:t>Baseline</w:t>
                                </w:r>
                              </w:p>
                              <w:p w14:paraId="256A2FBD" w14:textId="77777777" w:rsidR="00DE3537" w:rsidRPr="001D6DBA" w:rsidRDefault="00DE3537" w:rsidP="00EB43E4">
                                <w:pPr>
                                  <w:spacing w:after="0" w:line="240" w:lineRule="auto"/>
                                  <w:jc w:val="center"/>
                                  <w:rPr>
                                    <w:b/>
                                  </w:rPr>
                                </w:pPr>
                                <w:r>
                                  <w:rPr>
                                    <w:b/>
                                  </w:rPr>
                                  <w:t>Measures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16" name="Text Box 316"/>
                          <wps:cNvSpPr txBox="1"/>
                          <wps:spPr>
                            <a:xfrm>
                              <a:off x="0" y="6200775"/>
                              <a:ext cx="600075" cy="819150"/>
                            </a:xfrm>
                            <a:prstGeom prst="rect">
                              <a:avLst/>
                            </a:prstGeom>
                            <a:solidFill>
                              <a:srgbClr val="4F81BD"/>
                            </a:solidFill>
                            <a:ln w="25400" cap="flat" cmpd="sng" algn="ctr">
                              <a:solidFill>
                                <a:sysClr val="windowText" lastClr="000000"/>
                              </a:solidFill>
                              <a:prstDash val="solid"/>
                            </a:ln>
                            <a:effectLst/>
                          </wps:spPr>
                          <wps:txbx>
                            <w:txbxContent>
                              <w:p w14:paraId="75B62BB7" w14:textId="77777777" w:rsidR="00DE3537" w:rsidRPr="001D6DBA" w:rsidRDefault="00DE3537" w:rsidP="00EB43E4">
                                <w:pPr>
                                  <w:jc w:val="center"/>
                                  <w:rPr>
                                    <w:b/>
                                  </w:rPr>
                                </w:pPr>
                                <w:r>
                                  <w:rPr>
                                    <w:b/>
                                  </w:rPr>
                                  <w:t>24 months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17" name="Text Box 317"/>
                          <wps:cNvSpPr txBox="1"/>
                          <wps:spPr>
                            <a:xfrm>
                              <a:off x="0" y="0"/>
                              <a:ext cx="581025" cy="1352550"/>
                            </a:xfrm>
                            <a:prstGeom prst="rect">
                              <a:avLst/>
                            </a:prstGeom>
                            <a:solidFill>
                              <a:srgbClr val="4F81BD"/>
                            </a:solidFill>
                            <a:ln w="25400" cap="flat" cmpd="sng" algn="ctr">
                              <a:solidFill>
                                <a:sysClr val="windowText" lastClr="000000"/>
                              </a:solidFill>
                              <a:prstDash val="solid"/>
                            </a:ln>
                            <a:effectLst/>
                          </wps:spPr>
                          <wps:txbx>
                            <w:txbxContent>
                              <w:p w14:paraId="68B80550" w14:textId="77777777" w:rsidR="00DE3537" w:rsidRPr="001D6DBA" w:rsidRDefault="00DE3537" w:rsidP="00EB43E4">
                                <w:pPr>
                                  <w:spacing w:after="0" w:line="240" w:lineRule="auto"/>
                                  <w:jc w:val="center"/>
                                  <w:rPr>
                                    <w:b/>
                                  </w:rPr>
                                </w:pPr>
                                <w:r>
                                  <w:rPr>
                                    <w:b/>
                                  </w:rPr>
                                  <w:t>Enrolment of Schools and Children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742B834F" id="Group 683" o:spid="_x0000_s1127" style="position:absolute;margin-left:-199.25pt;margin-top:30.75pt;width:454.25pt;height:707.6pt;z-index:251675648;mso-position-horizontal-relative:text;mso-position-vertical-relative:text;mso-width-relative:margin" coordsize="57689,8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">
                <v:group id="Group 684" o:spid="_x0000_s1128" style="position:absolute;left:8001;width:49688;height:89865" coordsize="49688,89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ZSYMYAAADcAAAADwAAAGRycy9kb3ducmV2LnhtbESPQWvCQBSE7wX/w/KE&#10;3uomthVJ3YQgKh6kUC2U3h7ZZxKSfRuyaxL/fbdQ6HGYmW+YTTaZVgzUu9qygngRgSAurK65VPB5&#10;2T+tQTiPrLG1TAru5CBLZw8bTLQd+YOGsy9FgLBLUEHlfZdI6YqKDLqF7YiDd7W9QR9kX0rd4xjg&#10;ppXLKFpJgzWHhQo72lZUNOebUXAYccyf491waq7b+/fl9f3rFJNSj/MpfwPhafL/4b/2US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hlJgxgAAANwA&#10;AAAPAAAAAAAAAAAAAAAAAKoCAABkcnMvZG93bnJldi54bWxQSwUGAAAAAAQABAD6AAAAnQMAAAAA&#10;">
                  <v:rect id="Rectangle 685" o:spid="_x0000_s1129" style="position:absolute;left:15240;width:21602;height:4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Jd8UA&#10;AADcAAAADwAAAGRycy9kb3ducmV2LnhtbESPT2sCMRTE74V+h/AK3mq2Leq6GqV/KBTEg6vo9ZE8&#10;N4ubl2UTdf32jVDocZiZ3zDzZe8acaEu1J4VvAwzEMTam5orBbvt93MOIkRkg41nUnCjAMvF48Mc&#10;C+OvvKFLGSuRIBwKVGBjbAspg7bkMAx9S5y8o+8cxiS7SpoOrwnuGvmaZWPpsOa0YLGlT0v6VJ6d&#10;gkkVv0r9MdL7tb3lq2n/FjblQanBU/8+AxGpj//hv/aPUTDOR3A/k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Ql3xQAAANwAAAAPAAAAAAAAAAAAAAAAAJgCAABkcnMv&#10;ZG93bnJldi54bWxQSwUGAAAAAAQABAD1AAAAigMAAAAA&#10;">
                    <v:textbox inset=",7.2pt,,7.2pt">
                      <w:txbxContent>
                        <w:p w14:paraId="2912DD0D" w14:textId="77777777" w:rsidR="00DE3537" w:rsidRDefault="00DE3537" w:rsidP="00EB43E4">
                          <w:pPr>
                            <w:spacing w:after="0" w:line="240" w:lineRule="auto"/>
                            <w:jc w:val="center"/>
                            <w:rPr>
                              <w:sz w:val="16"/>
                              <w:szCs w:val="16"/>
                              <w:lang w:val="en-CA"/>
                            </w:rPr>
                          </w:pPr>
                          <w:r w:rsidRPr="00CF23C3">
                            <w:rPr>
                              <w:sz w:val="16"/>
                              <w:szCs w:val="16"/>
                              <w:lang w:val="en-CA"/>
                            </w:rPr>
                            <w:t xml:space="preserve">Assessed for eligibility </w:t>
                          </w:r>
                        </w:p>
                        <w:p w14:paraId="53B6F1E5" w14:textId="77777777" w:rsidR="00DE3537" w:rsidRPr="001D6F91" w:rsidRDefault="00DE3537" w:rsidP="00EB43E4">
                          <w:pPr>
                            <w:spacing w:after="0" w:line="240" w:lineRule="auto"/>
                            <w:jc w:val="center"/>
                            <w:rPr>
                              <w:sz w:val="16"/>
                              <w:szCs w:val="16"/>
                            </w:rPr>
                          </w:pPr>
                          <w:r w:rsidRPr="001D6F91">
                            <w:rPr>
                              <w:sz w:val="16"/>
                              <w:szCs w:val="16"/>
                              <w:lang w:val="en-CA"/>
                            </w:rPr>
                            <w:t>N</w:t>
                          </w:r>
                          <w:r>
                            <w:rPr>
                              <w:sz w:val="16"/>
                              <w:szCs w:val="16"/>
                              <w:lang w:val="en-CA"/>
                            </w:rPr>
                            <w:t xml:space="preserve"> </w:t>
                          </w:r>
                          <w:r w:rsidRPr="001D6F91">
                            <w:rPr>
                              <w:sz w:val="16"/>
                              <w:szCs w:val="16"/>
                              <w:lang w:val="en-CA"/>
                            </w:rPr>
                            <w:t>=</w:t>
                          </w:r>
                          <w:r>
                            <w:rPr>
                              <w:sz w:val="16"/>
                              <w:szCs w:val="16"/>
                              <w:lang w:val="en-CA"/>
                            </w:rPr>
                            <w:t xml:space="preserve"> </w:t>
                          </w:r>
                          <w:r w:rsidRPr="001D6F91">
                            <w:rPr>
                              <w:sz w:val="16"/>
                              <w:szCs w:val="16"/>
                              <w:lang w:val="en-CA"/>
                            </w:rPr>
                            <w:t>44</w:t>
                          </w:r>
                        </w:p>
                      </w:txbxContent>
                    </v:textbox>
                  </v:rect>
                  <v:shape id="Straight Arrow Connector 686" o:spid="_x0000_s1130" type="#_x0000_t32" style="position:absolute;left:36671;top:82200;width:3600;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zToMYAAADcAAAADwAAAGRycy9kb3ducmV2LnhtbESPT2sCMRTE74V+h/CEXkrNKnTR1ShL&#10;0eqpWCv0+ti8/YOblyXJ6tpPbwqFHoeZ+Q2zXA+mFRdyvrGsYDJOQBAXVjdcKTh9bV9mIHxA1tha&#10;JgU38rBePT4sMdP2yp90OYZKRAj7DBXUIXSZlL6oyaAf2444eqV1BkOUrpLa4TXCTSunSZJKgw3H&#10;hRo7equpOB97o6D8PuR9ecqlG+bz993rz7l//tgo9TQa8gWIQEP4D/+191pBOkvh90w8AnJ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M06DGAAAA3AAAAA8AAAAAAAAA&#10;AAAAAAAAoQIAAGRycy9kb3ducmV2LnhtbFBLBQYAAAAABAAEAPkAAACUAwAAAAA=&#10;">
                    <v:stroke endarrow="block"/>
                    <v:shadow color="#ccc"/>
                  </v:shape>
                  <v:shape id="Straight Arrow Connector 687" o:spid="_x0000_s1131" type="#_x0000_t32" style="position:absolute;left:9144;top:82391;width:3600;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B2O8cAAADcAAAADwAAAGRycy9kb3ducmV2LnhtbESPS2vDMBCE74X8B7GBXEoit9A8nCjB&#10;lKbpqTQPyHWx1g9irYwkJ25/fVQo9DjMzDfMatObRlzJ+dqygqdJAoI4t7rmUsHpuB3PQfiArLGx&#10;TAq+ycNmPXhYYartjfd0PYRSRAj7FBVUIbSplD6vyKCf2JY4eoV1BkOUrpTa4S3CTSOfk2QqDdYc&#10;Fyps6bWi/HLojILi/JV1xSmTrl8s3ncvP5fu8fNNqdGwz5YgAvXhP/zX/tAKpvMZ/J6JR0C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AHY7xwAAANwAAAAPAAAAAAAA&#10;AAAAAAAAAKECAABkcnMvZG93bnJldi54bWxQSwUGAAAAAAQABAD5AAAAlQMAAAAA&#10;">
                    <v:stroke endarrow="block"/>
                    <v:shadow color="#ccc"/>
                  </v:shape>
                  <v:shape id="Straight Arrow Connector 688" o:spid="_x0000_s1132" type="#_x0000_t32" style="position:absolute;left:11049;top:59340;width:0;height:36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EkyMIAAADcAAAADwAAAGRycy9kb3ducmV2LnhtbERPy4rCMBTdD/gP4QruxlTBx3QaRQSh&#10;OAu1upndpbnTljY3pYm1/v1kIbg8nHeyHUwjeupcZVnBbBqBIM6trrhQcLsePtcgnEfW2FgmBU9y&#10;sN2MPhKMtX3whfrMFyKEsItRQel9G0vp8pIMuqltiQP3ZzuDPsCukLrDRwg3jZxH0VIarDg0lNjS&#10;vqS8zu5GgZ6f6jQtquznoM/H1ZddnPP+V6nJeNh9g/A0+Lf45U61guU6rA1nwhGQm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pEkyMIAAADcAAAADwAAAAAAAAAAAAAA&#10;AAChAgAAZHJzL2Rvd25yZXYueG1sUEsFBgAAAAAEAAQA+QAAAJADAAAAAA==&#10;">
                    <v:stroke endarrow="block"/>
                    <v:shadow color="#ccc"/>
                  </v:shape>
                  <v:rect id="Rectangle 700" o:spid="_x0000_s1133" style="position:absolute;left:27241;top:5524;width:21812;height: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SmKMIA&#10;AADcAAAADwAAAGRycy9kb3ducmV2LnhtbERPTU8CMRC9m/gfmjHxJl0wKiwUghoTE8OBlcB10g7b&#10;DdvpZlth+ffOwcTjy/terIbQqjP1qYlsYDwqQBHb6BquDey+Px6moFJGdthGJgNXSrBa3t4ssHTx&#10;wls6V7lWEsKpRAM+567UOllPAdModsTCHWMfMAvsa+16vEh4aPWkKJ51wIalwWNHb57sqfoJBl7q&#10;/F7Z1ye73/jr9Gs2PKZtdTDm/m5Yz0FlGvK/+M/96cRXyHw5I0dAL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NKYowgAAANwAAAAPAAAAAAAAAAAAAAAAAJgCAABkcnMvZG93&#10;bnJldi54bWxQSwUGAAAAAAQABAD1AAAAhwMAAAAA&#10;">
                    <v:textbox inset=",7.2pt,,7.2pt">
                      <w:txbxContent>
                        <w:p w14:paraId="2C6AC48C" w14:textId="77777777" w:rsidR="00DE3537" w:rsidRPr="00111C21" w:rsidRDefault="00DE3537" w:rsidP="00EB43E4">
                          <w:pPr>
                            <w:spacing w:after="0" w:line="240" w:lineRule="auto"/>
                            <w:rPr>
                              <w:sz w:val="16"/>
                              <w:szCs w:val="16"/>
                              <w:lang w:val="en-CA"/>
                            </w:rPr>
                          </w:pPr>
                          <w:r>
                            <w:rPr>
                              <w:sz w:val="16"/>
                              <w:szCs w:val="16"/>
                              <w:lang w:val="en-CA"/>
                            </w:rPr>
                            <w:t>Excluded schools (N = 8</w:t>
                          </w:r>
                          <w:r w:rsidRPr="00111C21">
                            <w:rPr>
                              <w:sz w:val="16"/>
                              <w:szCs w:val="16"/>
                              <w:lang w:val="en-CA"/>
                            </w:rPr>
                            <w:t>)</w:t>
                          </w:r>
                        </w:p>
                        <w:p w14:paraId="1702E6FC" w14:textId="77777777" w:rsidR="00DE3537" w:rsidRDefault="00DE3537" w:rsidP="00EB43E4">
                          <w:pPr>
                            <w:spacing w:after="0" w:line="240" w:lineRule="auto"/>
                            <w:ind w:left="360" w:hanging="360"/>
                            <w:rPr>
                              <w:sz w:val="16"/>
                              <w:szCs w:val="16"/>
                              <w:lang w:val="en-CA"/>
                            </w:rPr>
                          </w:pPr>
                          <w:r w:rsidRPr="00111C21">
                            <w:rPr>
                              <w:rFonts w:ascii="Symbol" w:hAnsi="Symbol"/>
                              <w:sz w:val="16"/>
                              <w:szCs w:val="16"/>
                            </w:rPr>
                            <w:t></w:t>
                          </w:r>
                          <w:r w:rsidRPr="00111C21">
                            <w:rPr>
                              <w:sz w:val="16"/>
                              <w:szCs w:val="16"/>
                            </w:rPr>
                            <w:t> </w:t>
                          </w:r>
                          <w:r w:rsidRPr="00111C21">
                            <w:rPr>
                              <w:rFonts w:cs="Calibri"/>
                              <w:sz w:val="16"/>
                              <w:szCs w:val="16"/>
                              <w:lang w:val="en-CA"/>
                            </w:rPr>
                            <w:t>Schools n</w:t>
                          </w:r>
                          <w:r w:rsidRPr="00111C21">
                            <w:rPr>
                              <w:sz w:val="16"/>
                              <w:szCs w:val="16"/>
                              <w:lang w:val="en-CA"/>
                            </w:rPr>
                            <w:t>ot meeting inclusion criteria (</w:t>
                          </w:r>
                          <w:r>
                            <w:rPr>
                              <w:sz w:val="16"/>
                              <w:szCs w:val="16"/>
                              <w:lang w:val="en-CA"/>
                            </w:rPr>
                            <w:t>N = 8</w:t>
                          </w:r>
                          <w:r w:rsidRPr="00111C21">
                            <w:rPr>
                              <w:sz w:val="16"/>
                              <w:szCs w:val="16"/>
                              <w:lang w:val="en-CA"/>
                            </w:rPr>
                            <w:t>)</w:t>
                          </w:r>
                        </w:p>
                        <w:p w14:paraId="656406E5" w14:textId="77777777" w:rsidR="00DE3537" w:rsidRPr="00111C21" w:rsidRDefault="00DE3537" w:rsidP="00EB43E4">
                          <w:pPr>
                            <w:spacing w:after="0" w:line="240" w:lineRule="auto"/>
                            <w:ind w:left="360" w:hanging="360"/>
                            <w:rPr>
                              <w:sz w:val="16"/>
                              <w:szCs w:val="16"/>
                              <w:lang w:val="en-CA"/>
                            </w:rPr>
                          </w:pPr>
                          <w:r w:rsidRPr="00124CB0">
                            <w:rPr>
                              <w:sz w:val="16"/>
                              <w:szCs w:val="16"/>
                              <w:lang w:val="en-CA"/>
                            </w:rPr>
                            <w:t>Eligible schools placed on waiting list (N</w:t>
                          </w:r>
                          <w:r>
                            <w:rPr>
                              <w:sz w:val="16"/>
                              <w:szCs w:val="16"/>
                              <w:lang w:val="en-CA"/>
                            </w:rPr>
                            <w:t xml:space="preserve"> </w:t>
                          </w:r>
                          <w:r w:rsidRPr="00124CB0">
                            <w:rPr>
                              <w:sz w:val="16"/>
                              <w:szCs w:val="16"/>
                              <w:lang w:val="en-CA"/>
                            </w:rPr>
                            <w:t>=</w:t>
                          </w:r>
                          <w:r>
                            <w:rPr>
                              <w:sz w:val="16"/>
                              <w:szCs w:val="16"/>
                              <w:lang w:val="en-CA"/>
                            </w:rPr>
                            <w:t xml:space="preserve"> </w:t>
                          </w:r>
                          <w:r w:rsidRPr="00124CB0">
                            <w:rPr>
                              <w:sz w:val="16"/>
                              <w:szCs w:val="16"/>
                              <w:lang w:val="en-CA"/>
                            </w:rPr>
                            <w:t>4)</w:t>
                          </w:r>
                        </w:p>
                      </w:txbxContent>
                    </v:textbox>
                  </v:rect>
                  <v:rect id="Rectangle 701" o:spid="_x0000_s1134" style="position:absolute;top:84105;width:21596;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gDs8QA&#10;AADcAAAADwAAAGRycy9kb3ducmV2LnhtbESPT2sCMRTE74V+h/AK3jSr4p9ujVIVoSAeXEt7fSSv&#10;m6Wbl2UTdf32piD0OMz8ZpjFqnO1uFAbKs8KhoMMBLH2puJSwedp15+DCBHZYO2ZFNwowGr5/LTA&#10;3PgrH+lSxFKkEg45KrAxNrmUQVtyGAa+IU7ej28dxiTbUpoWr6nc1XKUZVPpsOK0YLGhjSX9W5yd&#10;glkZt4VeT/TXwd7m+9duHI7Ft1K9l+79DUSkLv6HH/SHSVw2hL8z6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4A7PEAAAA3AAAAA8AAAAAAAAAAAAAAAAAmAIAAGRycy9k&#10;b3ducmV2LnhtbFBLBQYAAAAABAAEAPUAAACJAwAAAAA=&#10;">
                    <v:textbox inset=",7.2pt,,7.2pt">
                      <w:txbxContent>
                        <w:p w14:paraId="4969659E" w14:textId="77777777" w:rsidR="00DE3537" w:rsidRDefault="00DE3537" w:rsidP="00EB43E4">
                          <w:pPr>
                            <w:spacing w:after="0" w:line="240" w:lineRule="auto"/>
                            <w:ind w:left="360" w:hanging="360"/>
                            <w:jc w:val="center"/>
                            <w:rPr>
                              <w:sz w:val="16"/>
                              <w:szCs w:val="16"/>
                              <w:lang w:val="en-CA"/>
                            </w:rPr>
                          </w:pPr>
                          <w:r>
                            <w:rPr>
                              <w:sz w:val="16"/>
                              <w:szCs w:val="16"/>
                              <w:lang w:val="en-CA"/>
                            </w:rPr>
                            <w:t>Primary analysis</w:t>
                          </w:r>
                        </w:p>
                        <w:p w14:paraId="6B6C43D9" w14:textId="77777777" w:rsidR="00DE3537" w:rsidRPr="007E62C2" w:rsidRDefault="00DE3537" w:rsidP="00EB43E4">
                          <w:pPr>
                            <w:spacing w:after="0" w:line="240" w:lineRule="auto"/>
                            <w:ind w:left="360" w:hanging="360"/>
                            <w:jc w:val="center"/>
                            <w:rPr>
                              <w:rFonts w:cs="Calibri"/>
                              <w:b/>
                              <w:sz w:val="16"/>
                              <w:szCs w:val="16"/>
                              <w:lang w:val="en-CA"/>
                            </w:rPr>
                          </w:pPr>
                          <w:r>
                            <w:rPr>
                              <w:rFonts w:cs="Calibri"/>
                              <w:b/>
                              <w:sz w:val="16"/>
                              <w:szCs w:val="16"/>
                              <w:lang w:val="en-CA"/>
                            </w:rPr>
                            <w:t xml:space="preserve">Primary outcome BMI SDS: </w:t>
                          </w:r>
                          <w:r w:rsidRPr="007E62C2">
                            <w:rPr>
                              <w:rFonts w:cs="Calibri"/>
                              <w:b/>
                              <w:sz w:val="16"/>
                              <w:szCs w:val="16"/>
                              <w:lang w:val="en-CA"/>
                            </w:rPr>
                            <w:t>n</w:t>
                          </w:r>
                          <w:r>
                            <w:rPr>
                              <w:rFonts w:cs="Calibri"/>
                              <w:b/>
                              <w:sz w:val="16"/>
                              <w:szCs w:val="16"/>
                              <w:lang w:val="en-CA"/>
                            </w:rPr>
                            <w:t xml:space="preserve"> </w:t>
                          </w:r>
                          <w:r w:rsidRPr="007E62C2">
                            <w:rPr>
                              <w:rFonts w:cs="Calibri"/>
                              <w:b/>
                              <w:sz w:val="16"/>
                              <w:szCs w:val="16"/>
                              <w:lang w:val="en-CA"/>
                            </w:rPr>
                            <w:t>=</w:t>
                          </w:r>
                          <w:r>
                            <w:rPr>
                              <w:rFonts w:cs="Calibri"/>
                              <w:b/>
                              <w:sz w:val="16"/>
                              <w:szCs w:val="16"/>
                              <w:lang w:val="en-CA"/>
                            </w:rPr>
                            <w:t xml:space="preserve"> 628; 92.9%</w:t>
                          </w:r>
                        </w:p>
                        <w:p w14:paraId="3373D9CA" w14:textId="77777777" w:rsidR="00DE3537" w:rsidRDefault="00DE3537" w:rsidP="00EB43E4">
                          <w:pPr>
                            <w:spacing w:after="0" w:line="240" w:lineRule="auto"/>
                            <w:ind w:left="360" w:hanging="360"/>
                            <w:rPr>
                              <w:rFonts w:cs="Calibri"/>
                              <w:sz w:val="16"/>
                              <w:szCs w:val="16"/>
                              <w:lang w:val="en-CA"/>
                            </w:rPr>
                          </w:pPr>
                          <w:r>
                            <w:rPr>
                              <w:rFonts w:cs="Calibri"/>
                              <w:sz w:val="16"/>
                              <w:szCs w:val="16"/>
                              <w:lang w:val="en-CA"/>
                            </w:rPr>
                            <w:t xml:space="preserve">2 children excluded as no baseline BMI </w:t>
                          </w:r>
                        </w:p>
                        <w:p w14:paraId="7E76DAE5" w14:textId="77777777" w:rsidR="00DE3537" w:rsidRPr="00CF23C3" w:rsidRDefault="00DE3537" w:rsidP="00EB43E4">
                          <w:pPr>
                            <w:spacing w:after="0" w:line="240" w:lineRule="auto"/>
                            <w:ind w:left="360" w:hanging="360"/>
                            <w:rPr>
                              <w:rFonts w:cs="Calibri"/>
                              <w:sz w:val="16"/>
                              <w:szCs w:val="16"/>
                              <w:lang w:val="en-CA"/>
                            </w:rPr>
                          </w:pPr>
                        </w:p>
                      </w:txbxContent>
                    </v:textbox>
                  </v:rect>
                  <v:rect id="Rectangle 32" o:spid="_x0000_s1135" style="position:absolute;left:95;top:45053;width:21958;height:14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diu8QA&#10;AADbAAAADwAAAGRycy9kb3ducmV2LnhtbESPT2sCMRTE70K/Q3hCbzWrUrWrUfqHgiAedlvq9ZE8&#10;N4ubl2WT6vrtG6HgcZiZ3zCrTe8acaYu1J4VjEcZCGLtTc2Vgu+vz6cFiBCRDTaeScGVAmzWD4MV&#10;5sZfuKBzGSuRIBxyVGBjbHMpg7bkMIx8S5y8o+8cxiS7SpoOLwnuGjnJspl0WHNasNjSuyV9Kn+d&#10;gnkVP0r99qx/9va62L3001CUB6Ueh/3rEkSkPt7D/+2tUTCdwO1L+g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XYrvEAAAA2wAAAA8AAAAAAAAAAAAAAAAAmAIAAGRycy9k&#10;b3ducmV2LnhtbFBLBQYAAAAABAAEAPUAAACJAwAAAAA=&#10;">
                    <v:textbox inset=",7.2pt,,7.2pt">
                      <w:txbxContent>
                        <w:p w14:paraId="30B86C18" w14:textId="77777777" w:rsidR="00DE3537" w:rsidRDefault="00DE3537" w:rsidP="00EB43E4">
                          <w:pPr>
                            <w:spacing w:after="0" w:line="240" w:lineRule="auto"/>
                            <w:ind w:left="360" w:hanging="360"/>
                            <w:jc w:val="center"/>
                            <w:rPr>
                              <w:sz w:val="16"/>
                              <w:szCs w:val="16"/>
                              <w:lang w:val="en-CA"/>
                            </w:rPr>
                          </w:pPr>
                          <w:r>
                            <w:rPr>
                              <w:sz w:val="16"/>
                              <w:szCs w:val="16"/>
                              <w:lang w:val="en-CA"/>
                            </w:rPr>
                            <w:t>Schools withdrawn (N = 0)</w:t>
                          </w:r>
                        </w:p>
                        <w:p w14:paraId="2E179396" w14:textId="77777777" w:rsidR="00DE3537" w:rsidRDefault="00DE3537" w:rsidP="00EB43E4">
                          <w:pPr>
                            <w:spacing w:after="0" w:line="240" w:lineRule="auto"/>
                            <w:ind w:left="360" w:hanging="360"/>
                            <w:jc w:val="center"/>
                            <w:rPr>
                              <w:sz w:val="16"/>
                              <w:szCs w:val="16"/>
                              <w:lang w:val="en-CA"/>
                            </w:rPr>
                          </w:pPr>
                          <w:r>
                            <w:rPr>
                              <w:sz w:val="16"/>
                              <w:szCs w:val="16"/>
                              <w:lang w:val="en-CA"/>
                            </w:rPr>
                            <w:t xml:space="preserve">Schools lost to follow-up </w:t>
                          </w:r>
                          <w:r w:rsidRPr="00CF23C3">
                            <w:rPr>
                              <w:sz w:val="16"/>
                              <w:szCs w:val="16"/>
                              <w:lang w:val="en-CA"/>
                            </w:rPr>
                            <w:t>(</w:t>
                          </w:r>
                          <w:r>
                            <w:rPr>
                              <w:sz w:val="16"/>
                              <w:szCs w:val="16"/>
                              <w:lang w:val="en-CA"/>
                            </w:rPr>
                            <w:t>N = 0)</w:t>
                          </w:r>
                        </w:p>
                        <w:p w14:paraId="5985A42D" w14:textId="77777777" w:rsidR="00DE3537" w:rsidRDefault="00DE3537" w:rsidP="00EB43E4">
                          <w:pPr>
                            <w:spacing w:after="0" w:line="240" w:lineRule="auto"/>
                            <w:ind w:left="360" w:hanging="360"/>
                            <w:jc w:val="center"/>
                            <w:rPr>
                              <w:sz w:val="16"/>
                              <w:szCs w:val="16"/>
                              <w:lang w:val="en-CA"/>
                            </w:rPr>
                          </w:pPr>
                        </w:p>
                        <w:p w14:paraId="76F84582" w14:textId="77777777" w:rsidR="00DE3537" w:rsidRDefault="00DE3537" w:rsidP="00EB43E4">
                          <w:pPr>
                            <w:spacing w:after="0" w:line="240" w:lineRule="auto"/>
                            <w:ind w:left="360" w:hanging="360"/>
                            <w:jc w:val="center"/>
                            <w:rPr>
                              <w:sz w:val="16"/>
                              <w:szCs w:val="16"/>
                              <w:lang w:val="en-CA"/>
                            </w:rPr>
                          </w:pPr>
                          <w:r>
                            <w:rPr>
                              <w:sz w:val="16"/>
                              <w:szCs w:val="16"/>
                              <w:lang w:val="en-CA"/>
                            </w:rPr>
                            <w:t>Children withdrawn (n = 1)</w:t>
                          </w:r>
                        </w:p>
                        <w:p w14:paraId="2D8F9366" w14:textId="77777777" w:rsidR="00DE3537" w:rsidRDefault="00DE3537" w:rsidP="00EB43E4">
                          <w:pPr>
                            <w:spacing w:after="0" w:line="240" w:lineRule="auto"/>
                            <w:ind w:left="360" w:hanging="360"/>
                            <w:jc w:val="center"/>
                            <w:rPr>
                              <w:sz w:val="16"/>
                              <w:szCs w:val="16"/>
                              <w:lang w:val="en-CA"/>
                            </w:rPr>
                          </w:pPr>
                          <w:r>
                            <w:rPr>
                              <w:sz w:val="16"/>
                              <w:szCs w:val="16"/>
                              <w:lang w:val="en-CA"/>
                            </w:rPr>
                            <w:t>Children did not assent (n = 3)</w:t>
                          </w:r>
                        </w:p>
                        <w:p w14:paraId="78167D9A" w14:textId="77777777" w:rsidR="00DE3537" w:rsidRPr="008624C3" w:rsidRDefault="00DE3537" w:rsidP="00EB43E4">
                          <w:pPr>
                            <w:spacing w:after="0" w:line="240" w:lineRule="auto"/>
                            <w:jc w:val="center"/>
                            <w:rPr>
                              <w:sz w:val="16"/>
                              <w:szCs w:val="16"/>
                              <w:lang w:val="en-CA"/>
                            </w:rPr>
                          </w:pPr>
                          <w:r>
                            <w:rPr>
                              <w:sz w:val="16"/>
                              <w:szCs w:val="16"/>
                              <w:lang w:val="en-CA"/>
                            </w:rPr>
                            <w:t>Children lost to follow-up (n = 28; 27 moved out of county</w:t>
                          </w:r>
                          <w:r w:rsidRPr="008624C3">
                            <w:rPr>
                              <w:sz w:val="16"/>
                              <w:szCs w:val="16"/>
                              <w:lang w:val="en-CA"/>
                            </w:rPr>
                            <w:t>; 1 long term illness)</w:t>
                          </w:r>
                        </w:p>
                        <w:p w14:paraId="11DD7D13" w14:textId="77777777" w:rsidR="00DE3537" w:rsidRPr="008624C3" w:rsidRDefault="00DE3537" w:rsidP="00EB43E4">
                          <w:pPr>
                            <w:spacing w:after="0" w:line="240" w:lineRule="auto"/>
                            <w:ind w:left="360" w:hanging="360"/>
                            <w:jc w:val="center"/>
                            <w:rPr>
                              <w:sz w:val="16"/>
                              <w:szCs w:val="16"/>
                              <w:lang w:val="en-CA"/>
                            </w:rPr>
                          </w:pPr>
                        </w:p>
                        <w:p w14:paraId="79140CC1" w14:textId="77777777" w:rsidR="00DE3537" w:rsidRPr="008624C3" w:rsidRDefault="00DE3537" w:rsidP="00EB43E4">
                          <w:pPr>
                            <w:spacing w:after="0" w:line="240" w:lineRule="auto"/>
                            <w:ind w:left="360" w:hanging="360"/>
                            <w:jc w:val="center"/>
                            <w:rPr>
                              <w:sz w:val="16"/>
                              <w:szCs w:val="16"/>
                              <w:lang w:val="en-CA"/>
                            </w:rPr>
                          </w:pPr>
                          <w:r>
                            <w:rPr>
                              <w:sz w:val="16"/>
                              <w:szCs w:val="16"/>
                              <w:lang w:val="en-CA"/>
                            </w:rPr>
                            <w:t xml:space="preserve">n </w:t>
                          </w:r>
                          <w:r w:rsidRPr="008624C3">
                            <w:rPr>
                              <w:sz w:val="16"/>
                              <w:szCs w:val="16"/>
                              <w:lang w:val="en-CA"/>
                            </w:rPr>
                            <w:t>=</w:t>
                          </w:r>
                          <w:r>
                            <w:rPr>
                              <w:sz w:val="16"/>
                              <w:szCs w:val="16"/>
                              <w:lang w:val="en-CA"/>
                            </w:rPr>
                            <w:t xml:space="preserve"> </w:t>
                          </w:r>
                          <w:r w:rsidRPr="008624C3">
                            <w:rPr>
                              <w:sz w:val="16"/>
                              <w:szCs w:val="16"/>
                              <w:lang w:val="en-CA"/>
                            </w:rPr>
                            <w:t>644 children; mean (coefficient of variation) 40.3 (0.50) children per school</w:t>
                          </w:r>
                        </w:p>
                      </w:txbxContent>
                    </v:textbox>
                  </v:rect>
                  <v:rect id="Rectangle 33" o:spid="_x0000_s1136" style="position:absolute;left:95;top:35528;width:21596;height:5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vHIMUA&#10;AADbAAAADwAAAGRycy9kb3ducmV2LnhtbESPT2sCMRTE74LfITyht5ptl/pna5SqCAXx4Frq9ZG8&#10;bpZuXpZNquu3bwoFj8PM/IZZrHrXiAt1ofas4GmcgSDW3tRcKfg47R5nIEJENth4JgU3CrBaDgcL&#10;LIy/8pEuZaxEgnAoUIGNsS2kDNqSwzD2LXHyvnznMCbZVdJ0eE1w18jnLJtIhzWnBYstbSzp7/LH&#10;KZhWcVvq9Yv+PNjbbD/v83Asz0o9jPq3VxCR+ngP/7ffjYI8h78v6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8cgxQAAANsAAAAPAAAAAAAAAAAAAAAAAJgCAABkcnMv&#10;ZG93bnJldi54bWxQSwUGAAAAAAQABAD1AAAAigMAAAAA&#10;">
                    <v:textbox inset=",7.2pt,,7.2pt">
                      <w:txbxContent>
                        <w:p w14:paraId="113A3390" w14:textId="77777777" w:rsidR="00DE3537" w:rsidRPr="008624C3" w:rsidRDefault="00DE3537" w:rsidP="00EB43E4">
                          <w:pPr>
                            <w:spacing w:after="0" w:line="240" w:lineRule="auto"/>
                            <w:jc w:val="center"/>
                            <w:rPr>
                              <w:sz w:val="16"/>
                              <w:szCs w:val="16"/>
                              <w:lang w:val="en-CA"/>
                            </w:rPr>
                          </w:pPr>
                          <w:r w:rsidRPr="008624C3">
                            <w:rPr>
                              <w:sz w:val="16"/>
                              <w:szCs w:val="16"/>
                              <w:lang w:val="en-CA"/>
                            </w:rPr>
                            <w:t>Allocated to intervention N</w:t>
                          </w:r>
                          <w:r>
                            <w:rPr>
                              <w:sz w:val="16"/>
                              <w:szCs w:val="16"/>
                              <w:lang w:val="en-CA"/>
                            </w:rPr>
                            <w:t xml:space="preserve"> </w:t>
                          </w:r>
                          <w:r w:rsidRPr="008624C3">
                            <w:rPr>
                              <w:sz w:val="16"/>
                              <w:szCs w:val="16"/>
                              <w:lang w:val="en-CA"/>
                            </w:rPr>
                            <w:t>=</w:t>
                          </w:r>
                          <w:r>
                            <w:rPr>
                              <w:sz w:val="16"/>
                              <w:szCs w:val="16"/>
                              <w:lang w:val="en-CA"/>
                            </w:rPr>
                            <w:t xml:space="preserve"> </w:t>
                          </w:r>
                          <w:r w:rsidRPr="008624C3">
                            <w:rPr>
                              <w:sz w:val="16"/>
                              <w:szCs w:val="16"/>
                              <w:lang w:val="en-CA"/>
                            </w:rPr>
                            <w:t xml:space="preserve">16; </w:t>
                          </w:r>
                        </w:p>
                        <w:p w14:paraId="00D8E113" w14:textId="77777777" w:rsidR="00DE3537" w:rsidRPr="008624C3" w:rsidRDefault="00DE3537" w:rsidP="00EB43E4">
                          <w:pPr>
                            <w:spacing w:after="0" w:line="240" w:lineRule="auto"/>
                            <w:jc w:val="center"/>
                            <w:rPr>
                              <w:sz w:val="16"/>
                              <w:szCs w:val="16"/>
                              <w:lang w:val="en-CA"/>
                            </w:rPr>
                          </w:pPr>
                          <w:r>
                            <w:rPr>
                              <w:sz w:val="16"/>
                              <w:szCs w:val="16"/>
                              <w:lang w:val="en-CA"/>
                            </w:rPr>
                            <w:t xml:space="preserve">n </w:t>
                          </w:r>
                          <w:r w:rsidRPr="008624C3">
                            <w:rPr>
                              <w:sz w:val="16"/>
                              <w:szCs w:val="16"/>
                              <w:lang w:val="en-CA"/>
                            </w:rPr>
                            <w:t>=</w:t>
                          </w:r>
                          <w:r>
                            <w:rPr>
                              <w:sz w:val="16"/>
                              <w:szCs w:val="16"/>
                              <w:lang w:val="en-CA"/>
                            </w:rPr>
                            <w:t xml:space="preserve"> </w:t>
                          </w:r>
                          <w:r w:rsidRPr="008624C3">
                            <w:rPr>
                              <w:sz w:val="16"/>
                              <w:szCs w:val="16"/>
                              <w:lang w:val="en-CA"/>
                            </w:rPr>
                            <w:t>676 children; mean (coefficient of variation) 42.3 (0.49) children per school</w:t>
                          </w:r>
                        </w:p>
                      </w:txbxContent>
                    </v:textbox>
                  </v:rect>
                  <v:rect id="Rectangle 34" o:spid="_x0000_s1137" style="position:absolute;left:27813;top:84010;width:21602;height:5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JfVMQA&#10;AADbAAAADwAAAGRycy9kb3ducmV2LnhtbESPW2sCMRSE3wv+h3AE32pWrbfVKL1QKIgPbkv7ekiO&#10;m8XNybKJuv77Rij0cZiZb5j1tnO1uFAbKs8KRsMMBLH2puJSwdfn++MCRIjIBmvPpOBGAbab3sMa&#10;c+OvfKBLEUuRIBxyVGBjbHIpg7bkMAx9Q5y8o28dxiTbUpoWrwnuajnOspl0WHFasNjQqyV9Ks5O&#10;wbyMb4V+mervvb0tdstuEg7Fj1KDfve8AhGpi//hv/aHUTB5gvuX9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yX1TEAAAA2wAAAA8AAAAAAAAAAAAAAAAAmAIAAGRycy9k&#10;b3ducmV2LnhtbFBLBQYAAAAABAAEAPUAAACJAwAAAAA=&#10;">
                    <v:textbox inset=",7.2pt,,7.2pt">
                      <w:txbxContent>
                        <w:p w14:paraId="1B3F4D80" w14:textId="77777777" w:rsidR="00DE3537" w:rsidRDefault="00DE3537" w:rsidP="00EB43E4">
                          <w:pPr>
                            <w:spacing w:after="0" w:line="240" w:lineRule="auto"/>
                            <w:ind w:left="360" w:hanging="360"/>
                            <w:jc w:val="center"/>
                            <w:rPr>
                              <w:sz w:val="16"/>
                              <w:szCs w:val="16"/>
                              <w:lang w:val="en-CA"/>
                            </w:rPr>
                          </w:pPr>
                          <w:r>
                            <w:rPr>
                              <w:sz w:val="16"/>
                              <w:szCs w:val="16"/>
                              <w:lang w:val="en-CA"/>
                            </w:rPr>
                            <w:t>Primary analysis</w:t>
                          </w:r>
                        </w:p>
                        <w:p w14:paraId="668CF8CC" w14:textId="77777777" w:rsidR="00DE3537" w:rsidRPr="007E62C2" w:rsidRDefault="00DE3537" w:rsidP="00EB43E4">
                          <w:pPr>
                            <w:spacing w:after="0" w:line="240" w:lineRule="auto"/>
                            <w:ind w:left="360" w:hanging="360"/>
                            <w:jc w:val="center"/>
                            <w:rPr>
                              <w:rFonts w:cs="Calibri"/>
                              <w:b/>
                              <w:sz w:val="16"/>
                              <w:szCs w:val="16"/>
                              <w:lang w:val="en-CA"/>
                            </w:rPr>
                          </w:pPr>
                          <w:r w:rsidRPr="007E62C2">
                            <w:rPr>
                              <w:rFonts w:cs="Calibri"/>
                              <w:b/>
                              <w:sz w:val="16"/>
                              <w:szCs w:val="16"/>
                              <w:lang w:val="en-CA"/>
                            </w:rPr>
                            <w:t xml:space="preserve">Primary outcome BMI </w:t>
                          </w:r>
                          <w:r>
                            <w:rPr>
                              <w:rFonts w:cs="Calibri"/>
                              <w:b/>
                              <w:sz w:val="16"/>
                              <w:szCs w:val="16"/>
                              <w:lang w:val="en-CA"/>
                            </w:rPr>
                            <w:t>SDS: n = 616; 95.1%</w:t>
                          </w:r>
                        </w:p>
                        <w:p w14:paraId="49319286" w14:textId="77777777" w:rsidR="00DE3537" w:rsidRDefault="00DE3537" w:rsidP="00EB43E4">
                          <w:pPr>
                            <w:spacing w:after="0" w:line="240" w:lineRule="auto"/>
                            <w:ind w:left="360" w:hanging="360"/>
                            <w:rPr>
                              <w:rFonts w:cs="Calibri"/>
                              <w:sz w:val="16"/>
                              <w:szCs w:val="16"/>
                              <w:lang w:val="en-CA"/>
                            </w:rPr>
                          </w:pPr>
                          <w:r>
                            <w:rPr>
                              <w:rFonts w:cs="Calibri"/>
                              <w:sz w:val="16"/>
                              <w:szCs w:val="16"/>
                              <w:lang w:val="en-CA"/>
                            </w:rPr>
                            <w:t>4 children excluded as no baseline BMI</w:t>
                          </w:r>
                        </w:p>
                        <w:p w14:paraId="0DCEE9C3" w14:textId="77777777" w:rsidR="00DE3537" w:rsidRDefault="00DE3537" w:rsidP="00EB43E4">
                          <w:pPr>
                            <w:spacing w:after="0" w:line="240" w:lineRule="auto"/>
                            <w:rPr>
                              <w:sz w:val="16"/>
                              <w:szCs w:val="16"/>
                              <w:lang w:val="en-CA"/>
                            </w:rPr>
                          </w:pPr>
                        </w:p>
                      </w:txbxContent>
                    </v:textbox>
                  </v:rect>
                  <v:shape id="Straight Arrow Connector 35" o:spid="_x0000_s1138" type="#_x0000_t32" style="position:absolute;left:11049;top:41243;width:0;height:3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Pv+cMAAADbAAAADwAAAGRycy9kb3ducmV2LnhtbESPQYvCMBSE7wv+h/AEb2uq4qrVKCII&#10;xT2sW714ezTPtti8lCbW+u83grDHYWa+YVabzlSipcaVlhWMhhEI4szqknMF59P+cw7CeWSNlWVS&#10;8CQHm3XvY4Wxtg/+pTb1uQgQdjEqKLyvYyldVpBBN7Q1cfCutjHog2xyqRt8BLip5DiKvqTBksNC&#10;gTXtCspu6d0o0OOfW5LkZfq918fDbGGnx6y9KDXod9slCE+d/w+/24lWMJnC60v4A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D7/nDAAAA2wAAAA8AAAAAAAAAAAAA&#10;AAAAoQIAAGRycy9kb3ducmV2LnhtbFBLBQYAAAAABAAEAPkAAACRAwAAAAA=&#10;">
                    <v:stroke endarrow="block"/>
                    <v:shadow color="#ccc"/>
                  </v:shape>
                  <v:group id="Group 3" o:spid="_x0000_s1139" style="position:absolute;left:8667;top:30670;width:31490;height:4680" coordsize="34596,4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type id="_x0000_t33" coordsize="21600,21600" o:spt="33" o:oned="t" path="m,l21600,r,21600e" filled="f">
                      <v:stroke joinstyle="miter"/>
                      <v:path arrowok="t" fillok="f" o:connecttype="none"/>
                      <o:lock v:ext="edit" shapetype="t"/>
                    </v:shapetype>
                    <v:shape id="Elbow Connector 37" o:spid="_x0000_s1140" type="#_x0000_t33" style="position:absolute;width:23317;height:4000;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n//sYAAADbAAAADwAAAGRycy9kb3ducmV2LnhtbESP3WoCMRSE7wXfIZxCb4pma6HqahQr&#10;bRFE8A/x8rA53SxuTtZN1PXtm0LBy2FmvmHG08aW4kq1LxwreO0mIIgzpwvOFex3X50BCB+QNZaO&#10;ScGdPEwn7dYYU+1uvKHrNuQiQtinqMCEUKVS+syQRd91FXH0flxtMURZ51LXeItwW8pekrxLiwXH&#10;BYMVzQ1lp+3FKijP689j/vI9+zD3xbA59PxqecmUen5qZiMQgZrwCP+3F1rBWx/+vsQfIC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5//7GAAAA2wAAAA8AAAAAAAAA&#10;AAAAAAAAoQIAAGRycy9kb3ducmV2LnhtbFBLBQYAAAAABAAEAPkAAACUAwAAAAA=&#10;">
                      <v:stroke endarrow="block"/>
                      <v:shadow color="#ccc"/>
                    </v:shape>
                    <v:shape id="Elbow Connector 38" o:spid="_x0000_s1141" type="#_x0000_t33" style="position:absolute;left:13000;width:21596;height:400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c3LsIAAADbAAAADwAAAGRycy9kb3ducmV2LnhtbERPW2vCMBR+H/gfwhF8m6nTDammxQ3G&#10;HOzFC/h6aI5NtTkpTazZfv3yMNjjx3dfl9G2YqDeN44VzKYZCOLK6YZrBcfD++MShA/IGlvHpOCb&#10;PJTF6GGNuXZ33tGwD7VIIexzVGBC6HIpfWXIop+6jjhxZ9dbDAn2tdQ93lO4beVTlr1Iiw2nBoMd&#10;vRmqrvubVeDxttji13L4ucRZ/Hh9Np+L006pyThuViACxfAv/nNvtYJ5Gpu+pB8gi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Fc3LsIAAADbAAAADwAAAAAAAAAAAAAA&#10;AAChAgAAZHJzL2Rvd25yZXYueG1sUEsFBgAAAAAEAAQA+QAAAJADAAAAAA==&#10;">
                      <v:stroke endarrow="block"/>
                      <v:shadow color="#ccc"/>
                    </v:shape>
                  </v:group>
                  <v:rect id="Rectangle 39" o:spid="_x0000_s1142" style="position:absolute;left:13716;top:11906;width:21602;height:7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PwysUA&#10;AADbAAAADwAAAGRycy9kb3ducmV2LnhtbESPT2sCMRTE74LfITyht5qtUv9sjWJbCoJ42FXa6yN5&#10;3SzdvCybVNdv3wgFj8PM/IZZbXrXiDN1ofas4GmcgSDW3tRcKTgdPx4XIEJENth4JgVXCrBZDwcr&#10;zI2/cEHnMlYiQTjkqMDG2OZSBm3JYRj7ljh5375zGJPsKmk6vCS4a+Qky2bSYc1pwWJLb5b0T/nr&#10;FMyr+F7q12f9ebDXxX7ZT0NRfin1MOq3LyAi9fEe/m/vjILpEm5f0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DKxQAAANsAAAAPAAAAAAAAAAAAAAAAAJgCAABkcnMv&#10;ZG93bnJldi54bWxQSwUGAAAAAAQABAD1AAAAigMAAAAA&#10;">
                    <v:textbox inset=",7.2pt,,7.2pt">
                      <w:txbxContent>
                        <w:p w14:paraId="55EA9177" w14:textId="77777777" w:rsidR="00DE3537" w:rsidRDefault="00DE3537" w:rsidP="00EB43E4">
                          <w:pPr>
                            <w:widowControl w:val="0"/>
                            <w:spacing w:after="0"/>
                            <w:jc w:val="center"/>
                            <w:rPr>
                              <w:sz w:val="16"/>
                              <w:szCs w:val="16"/>
                              <w:lang w:val="en-CA"/>
                            </w:rPr>
                          </w:pPr>
                          <w:r>
                            <w:rPr>
                              <w:sz w:val="16"/>
                              <w:szCs w:val="16"/>
                              <w:lang w:val="en-CA"/>
                            </w:rPr>
                            <w:t>Eligible schools recruited</w:t>
                          </w:r>
                          <w:r w:rsidRPr="00124E72">
                            <w:rPr>
                              <w:sz w:val="16"/>
                              <w:szCs w:val="16"/>
                              <w:lang w:val="en-CA"/>
                            </w:rPr>
                            <w:t xml:space="preserve"> </w:t>
                          </w:r>
                        </w:p>
                        <w:p w14:paraId="22DB61D7" w14:textId="77777777" w:rsidR="00DE3537" w:rsidRDefault="00DE3537" w:rsidP="00EB43E4">
                          <w:pPr>
                            <w:widowControl w:val="0"/>
                            <w:spacing w:after="0" w:line="240" w:lineRule="auto"/>
                            <w:jc w:val="center"/>
                            <w:rPr>
                              <w:sz w:val="16"/>
                              <w:szCs w:val="16"/>
                              <w:lang w:val="en-CA"/>
                            </w:rPr>
                          </w:pPr>
                          <w:r>
                            <w:rPr>
                              <w:sz w:val="16"/>
                              <w:szCs w:val="16"/>
                              <w:lang w:val="en-CA"/>
                            </w:rPr>
                            <w:t>N = 32; n = 1371 eligible children</w:t>
                          </w:r>
                        </w:p>
                        <w:p w14:paraId="55454640" w14:textId="77777777" w:rsidR="00DE3537" w:rsidRPr="00E473B0" w:rsidRDefault="00DE3537" w:rsidP="00EB43E4">
                          <w:pPr>
                            <w:spacing w:after="0" w:line="240" w:lineRule="auto"/>
                            <w:jc w:val="center"/>
                            <w:rPr>
                              <w:sz w:val="16"/>
                              <w:szCs w:val="16"/>
                              <w:lang w:val="en-CA"/>
                            </w:rPr>
                          </w:pPr>
                          <w:r>
                            <w:rPr>
                              <w:sz w:val="16"/>
                              <w:szCs w:val="16"/>
                              <w:lang w:val="en-CA"/>
                            </w:rPr>
                            <w:t>mean (coefficient of variation) 41.4 (0.46) children per school</w:t>
                          </w:r>
                          <w:r w:rsidRPr="00E473B0">
                            <w:rPr>
                              <w:sz w:val="16"/>
                              <w:szCs w:val="16"/>
                              <w:lang w:val="en-CA"/>
                            </w:rPr>
                            <w:t>)</w:t>
                          </w:r>
                        </w:p>
                        <w:p w14:paraId="5DA4FA96" w14:textId="77777777" w:rsidR="00DE3537" w:rsidRDefault="00DE3537" w:rsidP="00EB43E4">
                          <w:pPr>
                            <w:widowControl w:val="0"/>
                            <w:spacing w:after="0" w:line="240" w:lineRule="auto"/>
                            <w:jc w:val="center"/>
                            <w:rPr>
                              <w:sz w:val="16"/>
                              <w:szCs w:val="16"/>
                              <w:lang w:val="en-CA"/>
                            </w:rPr>
                          </w:pPr>
                        </w:p>
                      </w:txbxContent>
                    </v:textbox>
                  </v:rect>
                  <v:group id="Group 4" o:spid="_x0000_s1143" style="position:absolute;left:23152;top:4857;width:3803;height:6839" coordorigin="-1327" coordsize="3805,6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Straight Arrow Connector 44" o:spid="_x0000_s1144" type="#_x0000_t32" style="position:absolute;left:-1327;width:6;height:68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k5H8UAAADbAAAADwAAAGRycy9kb3ducmV2LnhtbESPQWvCQBSE7wX/w/IEb3WjxNpGV5FC&#10;INhD09hLb4/sMwlm34bsNon/vlso9DjMzDfM/jiZVgzUu8aygtUyAkFcWt1wpeDzkj4+g3AeWWNr&#10;mRTcycHxMHvYY6LtyB80FL4SAcIuQQW1910ipStrMuiWtiMO3tX2Bn2QfSV1j2OAm1auo+hJGmw4&#10;LNTY0WtN5a34Ngr0+v2WZVVTvKU6P29f7CYvhy+lFvPptAPhafL/4b92phXEMfx+CT9AH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8k5H8UAAADbAAAADwAAAAAAAAAA&#10;AAAAAAChAgAAZHJzL2Rvd25yZXYueG1sUEsFBgAAAAAEAAQA+QAAAJMDAAAAAA==&#10;">
                      <v:stroke endarrow="block"/>
                      <v:shadow color="#ccc"/>
                    </v:shape>
                    <v:shape id="Straight Arrow Connector 45" o:spid="_x0000_s1145" type="#_x0000_t32" style="position:absolute;left:-1321;top:3326;width:37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WchMMAAADbAAAADwAAAGRycy9kb3ducmV2LnhtbESPQYvCMBSE7wv+h/AEb2uq6KrVKCII&#10;xT2sW714ezTPtti8lCbW+u83grDHYWa+YVabzlSipcaVlhWMhhEI4szqknMF59P+cw7CeWSNlWVS&#10;8CQHm3XvY4Wxtg/+pTb1uQgQdjEqKLyvYyldVpBBN7Q1cfCutjHog2xyqRt8BLip5DiKvqTBksNC&#10;gTXtCspu6d0o0OOfW5LkZfq918fDbGGnx6y9KDXod9slCE+d/w+/24lWMJnC60v4A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FnITDAAAA2wAAAA8AAAAAAAAAAAAA&#10;AAAAoQIAAGRycy9kb3ducmV2LnhtbFBLBQYAAAAABAAEAPkAAACRAwAAAAA=&#10;">
                      <v:stroke endarrow="block"/>
                      <v:shadow color="#ccc"/>
                    </v:shape>
                  </v:group>
                  <v:shape id="Straight Arrow Connector 46" o:spid="_x0000_s1146" type="#_x0000_t32" style="position:absolute;left:38290;top:59245;width:0;height:3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cC88UAAADbAAAADwAAAGRycy9kb3ducmV2LnhtbESPQWvCQBSE74L/YXlCb7pR2lRTV5FC&#10;INRD09SLt0f2NQlm34bsNkn/fVco9DjMzDfM/jiZVgzUu8aygvUqAkFcWt1wpeDymS63IJxH1tha&#10;JgU/5OB4mM/2mGg78gcNha9EgLBLUEHtfZdI6cqaDLqV7YiD92V7gz7IvpK6xzHATSs3URRLgw2H&#10;hRo7eq2pvBXfRoHevN+yrGqKc6rzt+edfcrL4arUw2I6vYDwNPn/8F870woeY7h/CT9AH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cC88UAAADbAAAADwAAAAAAAAAA&#10;AAAAAAChAgAAZHJzL2Rvd25yZXYueG1sUEsFBgAAAAAEAAQA+QAAAJMDAAAAAA==&#10;">
                    <v:stroke endarrow="block"/>
                    <v:shadow color="#ccc"/>
                  </v:shape>
                  <v:rect id="Rectangle 47" o:spid="_x0000_s1147" style="position:absolute;left:27241;top:45148;width:21958;height:14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ayXsQA&#10;AADbAAAADwAAAGRycy9kb3ducmV2LnhtbESPQWsCMRSE70L/Q3gFb5q11qqrUVqLIJQe3Jb2+kie&#10;m6Wbl2UTdf33RhB6HGbmG2a57lwtTtSGyrOC0TADQay9qbhU8P21HcxAhIhssPZMCi4UYL166C0x&#10;N/7MezoVsRQJwiFHBTbGJpcyaEsOw9A3xMk7+NZhTLItpWnxnOCulk9Z9iIdVpwWLDa0saT/iqNT&#10;MC3je6HfJvrn015mH/NuHPbFr1L9x+51ASJSF//D9/bOKHiewu1L+gF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msl7EAAAA2wAAAA8AAAAAAAAAAAAAAAAAmAIAAGRycy9k&#10;b3ducmV2LnhtbFBLBQYAAAAABAAEAPUAAACJAwAAAAA=&#10;">
                    <v:textbox inset=",7.2pt,,7.2pt">
                      <w:txbxContent>
                        <w:p w14:paraId="1D2E3791" w14:textId="77777777" w:rsidR="00DE3537" w:rsidRDefault="00DE3537" w:rsidP="00EB43E4">
                          <w:pPr>
                            <w:spacing w:after="0" w:line="240" w:lineRule="auto"/>
                            <w:ind w:left="360" w:hanging="360"/>
                            <w:jc w:val="center"/>
                            <w:rPr>
                              <w:sz w:val="16"/>
                              <w:szCs w:val="16"/>
                              <w:lang w:val="en-CA"/>
                            </w:rPr>
                          </w:pPr>
                          <w:r>
                            <w:rPr>
                              <w:sz w:val="16"/>
                              <w:szCs w:val="16"/>
                              <w:lang w:val="en-CA"/>
                            </w:rPr>
                            <w:t>Schools withdrawn (N = 0)</w:t>
                          </w:r>
                        </w:p>
                        <w:p w14:paraId="11167ECF" w14:textId="77777777" w:rsidR="00DE3537" w:rsidRDefault="00DE3537" w:rsidP="00EB43E4">
                          <w:pPr>
                            <w:spacing w:after="0" w:line="240" w:lineRule="auto"/>
                            <w:ind w:left="360" w:hanging="360"/>
                            <w:jc w:val="center"/>
                            <w:rPr>
                              <w:sz w:val="16"/>
                              <w:szCs w:val="16"/>
                              <w:lang w:val="en-CA"/>
                            </w:rPr>
                          </w:pPr>
                          <w:r>
                            <w:rPr>
                              <w:sz w:val="16"/>
                              <w:szCs w:val="16"/>
                              <w:lang w:val="en-CA"/>
                            </w:rPr>
                            <w:t xml:space="preserve">Schools lost to follow-up </w:t>
                          </w:r>
                          <w:r w:rsidRPr="00CF23C3">
                            <w:rPr>
                              <w:sz w:val="16"/>
                              <w:szCs w:val="16"/>
                              <w:lang w:val="en-CA"/>
                            </w:rPr>
                            <w:t>(</w:t>
                          </w:r>
                          <w:r>
                            <w:rPr>
                              <w:sz w:val="16"/>
                              <w:szCs w:val="16"/>
                              <w:lang w:val="en-CA"/>
                            </w:rPr>
                            <w:t>N = 0)</w:t>
                          </w:r>
                        </w:p>
                        <w:p w14:paraId="270B8977" w14:textId="77777777" w:rsidR="00DE3537" w:rsidRDefault="00DE3537" w:rsidP="00EB43E4">
                          <w:pPr>
                            <w:spacing w:after="0" w:line="240" w:lineRule="auto"/>
                            <w:ind w:left="360" w:hanging="360"/>
                            <w:jc w:val="center"/>
                            <w:rPr>
                              <w:sz w:val="16"/>
                              <w:szCs w:val="16"/>
                              <w:lang w:val="en-CA"/>
                            </w:rPr>
                          </w:pPr>
                        </w:p>
                        <w:p w14:paraId="00A571E7" w14:textId="77777777" w:rsidR="00DE3537" w:rsidRDefault="00DE3537" w:rsidP="00EB43E4">
                          <w:pPr>
                            <w:spacing w:after="0" w:line="240" w:lineRule="auto"/>
                            <w:ind w:left="360" w:hanging="360"/>
                            <w:jc w:val="center"/>
                            <w:rPr>
                              <w:sz w:val="16"/>
                              <w:szCs w:val="16"/>
                              <w:lang w:val="en-CA"/>
                            </w:rPr>
                          </w:pPr>
                          <w:r>
                            <w:rPr>
                              <w:sz w:val="16"/>
                              <w:szCs w:val="16"/>
                              <w:lang w:val="en-CA"/>
                            </w:rPr>
                            <w:t>Children withdrawn (n = 2)</w:t>
                          </w:r>
                        </w:p>
                        <w:p w14:paraId="660F4BF6" w14:textId="77777777" w:rsidR="00DE3537" w:rsidRDefault="00DE3537" w:rsidP="00EB43E4">
                          <w:pPr>
                            <w:spacing w:after="0" w:line="240" w:lineRule="auto"/>
                            <w:ind w:left="360" w:hanging="360"/>
                            <w:jc w:val="center"/>
                            <w:rPr>
                              <w:sz w:val="16"/>
                              <w:szCs w:val="16"/>
                              <w:lang w:val="en-CA"/>
                            </w:rPr>
                          </w:pPr>
                          <w:r>
                            <w:rPr>
                              <w:sz w:val="16"/>
                              <w:szCs w:val="16"/>
                              <w:lang w:val="en-CA"/>
                            </w:rPr>
                            <w:t>Children did not assent (n = 4)</w:t>
                          </w:r>
                        </w:p>
                        <w:p w14:paraId="73E1FA2D" w14:textId="77777777" w:rsidR="00DE3537" w:rsidRDefault="00DE3537" w:rsidP="00EB43E4">
                          <w:pPr>
                            <w:spacing w:after="0" w:line="240" w:lineRule="auto"/>
                            <w:jc w:val="center"/>
                            <w:rPr>
                              <w:sz w:val="16"/>
                              <w:szCs w:val="16"/>
                              <w:lang w:val="en-CA"/>
                            </w:rPr>
                          </w:pPr>
                          <w:r>
                            <w:rPr>
                              <w:sz w:val="16"/>
                              <w:szCs w:val="16"/>
                              <w:lang w:val="en-CA"/>
                            </w:rPr>
                            <w:t>Children lost to follow-up (n = 21; 19 moved out of county; 1 long term illness; 1 changed school)</w:t>
                          </w:r>
                        </w:p>
                        <w:p w14:paraId="3F478589" w14:textId="77777777" w:rsidR="00DE3537" w:rsidRPr="008624C3" w:rsidRDefault="00DE3537" w:rsidP="00EB43E4">
                          <w:pPr>
                            <w:spacing w:after="0" w:line="240" w:lineRule="auto"/>
                            <w:ind w:left="360" w:hanging="360"/>
                            <w:jc w:val="center"/>
                            <w:rPr>
                              <w:sz w:val="16"/>
                              <w:szCs w:val="16"/>
                              <w:lang w:val="en-CA"/>
                            </w:rPr>
                          </w:pPr>
                        </w:p>
                        <w:p w14:paraId="35DAB5E8" w14:textId="77777777" w:rsidR="00DE3537" w:rsidRPr="008624C3" w:rsidRDefault="00DE3537" w:rsidP="00EB43E4">
                          <w:pPr>
                            <w:spacing w:after="0" w:line="240" w:lineRule="auto"/>
                            <w:jc w:val="center"/>
                            <w:rPr>
                              <w:sz w:val="16"/>
                              <w:szCs w:val="16"/>
                              <w:lang w:val="en-CA"/>
                            </w:rPr>
                          </w:pPr>
                          <w:r>
                            <w:rPr>
                              <w:sz w:val="16"/>
                              <w:szCs w:val="16"/>
                              <w:lang w:val="en-CA"/>
                            </w:rPr>
                            <w:t xml:space="preserve">n </w:t>
                          </w:r>
                          <w:r w:rsidRPr="008624C3">
                            <w:rPr>
                              <w:sz w:val="16"/>
                              <w:szCs w:val="16"/>
                              <w:lang w:val="en-CA"/>
                            </w:rPr>
                            <w:t>=</w:t>
                          </w:r>
                          <w:r>
                            <w:rPr>
                              <w:sz w:val="16"/>
                              <w:szCs w:val="16"/>
                              <w:lang w:val="en-CA"/>
                            </w:rPr>
                            <w:t xml:space="preserve"> </w:t>
                          </w:r>
                          <w:r w:rsidRPr="008624C3">
                            <w:rPr>
                              <w:sz w:val="16"/>
                              <w:szCs w:val="16"/>
                              <w:lang w:val="en-CA"/>
                            </w:rPr>
                            <w:t>621 children; mean (coefficient of variation) 38.8 (0.43) children per school</w:t>
                          </w:r>
                        </w:p>
                        <w:p w14:paraId="228156A8" w14:textId="77777777" w:rsidR="00DE3537" w:rsidRPr="008624C3" w:rsidRDefault="00DE3537" w:rsidP="00EB43E4">
                          <w:pPr>
                            <w:spacing w:after="0" w:line="240" w:lineRule="auto"/>
                            <w:ind w:left="360" w:hanging="360"/>
                            <w:rPr>
                              <w:rFonts w:cs="Calibri"/>
                              <w:sz w:val="16"/>
                              <w:szCs w:val="16"/>
                              <w:lang w:val="en-CA"/>
                            </w:rPr>
                          </w:pPr>
                        </w:p>
                        <w:p w14:paraId="56E6288C" w14:textId="77777777" w:rsidR="00DE3537" w:rsidRPr="00CF23C3" w:rsidRDefault="00DE3537" w:rsidP="00EB43E4">
                          <w:pPr>
                            <w:rPr>
                              <w:sz w:val="16"/>
                              <w:szCs w:val="16"/>
                              <w:lang w:val="en-CA"/>
                            </w:rPr>
                          </w:pPr>
                        </w:p>
                      </w:txbxContent>
                    </v:textbox>
                  </v:rect>
                  <v:rect id="Rectangle 49" o:spid="_x0000_s1148" style="position:absolute;left:26955;top:35528;width:21597;height:5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Dt8QA&#10;AADbAAAADwAAAGRycy9kb3ducmV2LnhtbESPT2sCMRTE70K/Q3gFb5rtH1vdGqVVCgXx4Cp6fSSv&#10;m6Wbl2UTdf32jSB4HGbmN8x03rlanKgNlWcFT8MMBLH2puJSwW77PRiDCBHZYO2ZFFwowHz20Jti&#10;bvyZN3QqYikShEOOCmyMTS5l0JYchqFviJP361uHMcm2lKbFc4K7Wj5n2Zt0WHFasNjQwpL+K45O&#10;wXsZl4X+Gun92l7Gq0n3EjbFQan+Y/f5ASJSF+/hW/vHKHidwPVL+gF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1g7fEAAAA2wAAAA8AAAAAAAAAAAAAAAAAmAIAAGRycy9k&#10;b3ducmV2LnhtbFBLBQYAAAAABAAEAPUAAACJAwAAAAA=&#10;">
                    <v:textbox inset=",7.2pt,,7.2pt">
                      <w:txbxContent>
                        <w:p w14:paraId="56AE6191" w14:textId="77777777" w:rsidR="00DE3537" w:rsidRPr="008624C3" w:rsidRDefault="00DE3537" w:rsidP="00EB43E4">
                          <w:pPr>
                            <w:spacing w:after="0" w:line="240" w:lineRule="auto"/>
                            <w:jc w:val="center"/>
                            <w:rPr>
                              <w:sz w:val="16"/>
                              <w:szCs w:val="16"/>
                              <w:lang w:val="en-CA"/>
                            </w:rPr>
                          </w:pPr>
                          <w:r w:rsidRPr="008624C3">
                            <w:rPr>
                              <w:sz w:val="16"/>
                              <w:szCs w:val="16"/>
                              <w:lang w:val="en-CA"/>
                            </w:rPr>
                            <w:t>Allocated to control N</w:t>
                          </w:r>
                          <w:r>
                            <w:rPr>
                              <w:sz w:val="16"/>
                              <w:szCs w:val="16"/>
                              <w:lang w:val="en-CA"/>
                            </w:rPr>
                            <w:t xml:space="preserve"> </w:t>
                          </w:r>
                          <w:r w:rsidRPr="008624C3">
                            <w:rPr>
                              <w:sz w:val="16"/>
                              <w:szCs w:val="16"/>
                              <w:lang w:val="en-CA"/>
                            </w:rPr>
                            <w:t>=</w:t>
                          </w:r>
                          <w:r>
                            <w:rPr>
                              <w:sz w:val="16"/>
                              <w:szCs w:val="16"/>
                              <w:lang w:val="en-CA"/>
                            </w:rPr>
                            <w:t xml:space="preserve"> </w:t>
                          </w:r>
                          <w:r w:rsidRPr="008624C3">
                            <w:rPr>
                              <w:sz w:val="16"/>
                              <w:szCs w:val="16"/>
                              <w:lang w:val="en-CA"/>
                            </w:rPr>
                            <w:t xml:space="preserve">16; </w:t>
                          </w:r>
                        </w:p>
                        <w:p w14:paraId="7AE1E84A" w14:textId="77777777" w:rsidR="00DE3537" w:rsidRPr="008624C3" w:rsidRDefault="00DE3537" w:rsidP="00EB43E4">
                          <w:pPr>
                            <w:spacing w:after="0" w:line="240" w:lineRule="auto"/>
                            <w:jc w:val="center"/>
                            <w:rPr>
                              <w:sz w:val="16"/>
                              <w:szCs w:val="16"/>
                              <w:lang w:val="en-CA"/>
                            </w:rPr>
                          </w:pPr>
                          <w:r>
                            <w:rPr>
                              <w:sz w:val="16"/>
                              <w:szCs w:val="16"/>
                              <w:lang w:val="en-CA"/>
                            </w:rPr>
                            <w:t xml:space="preserve">n </w:t>
                          </w:r>
                          <w:r w:rsidRPr="008624C3">
                            <w:rPr>
                              <w:sz w:val="16"/>
                              <w:szCs w:val="16"/>
                              <w:lang w:val="en-CA"/>
                            </w:rPr>
                            <w:t>=</w:t>
                          </w:r>
                          <w:r>
                            <w:rPr>
                              <w:sz w:val="16"/>
                              <w:szCs w:val="16"/>
                              <w:lang w:val="en-CA"/>
                            </w:rPr>
                            <w:t xml:space="preserve"> </w:t>
                          </w:r>
                          <w:r w:rsidRPr="008624C3">
                            <w:rPr>
                              <w:sz w:val="16"/>
                              <w:szCs w:val="16"/>
                              <w:lang w:val="en-CA"/>
                            </w:rPr>
                            <w:t>648 children; mean (coefficient of variation) 40.5 (0.44) children per school</w:t>
                          </w:r>
                        </w:p>
                        <w:p w14:paraId="47995F4F" w14:textId="77777777" w:rsidR="00DE3537" w:rsidRPr="00CF23C3" w:rsidRDefault="00DE3537" w:rsidP="00EB43E4">
                          <w:pPr>
                            <w:spacing w:after="0" w:line="240" w:lineRule="auto"/>
                            <w:jc w:val="center"/>
                            <w:rPr>
                              <w:rFonts w:cs="Calibri"/>
                              <w:sz w:val="16"/>
                              <w:szCs w:val="16"/>
                              <w:lang w:val="en-CA"/>
                            </w:rPr>
                          </w:pPr>
                        </w:p>
                      </w:txbxContent>
                    </v:textbox>
                  </v:rect>
                  <v:shape id="Straight Arrow Connector 53" o:spid="_x0000_s1149" type="#_x0000_t32" style="position:absolute;left:38100;top:41433;width:0;height:36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k3tsMAAADbAAAADwAAAGRycy9kb3ducmV2LnhtbESPQYvCMBSE7wv+h/AEb2uq4qrVKCII&#10;xT2sW714ezTPtti8lCbW+u83grDHYWa+YVabzlSipcaVlhWMhhEI4szqknMF59P+cw7CeWSNlWVS&#10;8CQHm3XvY4Wxtg/+pTb1uQgQdjEqKLyvYyldVpBBN7Q1cfCutjHog2xyqRt8BLip5DiKvqTBksNC&#10;gTXtCspu6d0o0OOfW5LkZfq918fDbGGnx6y9KDXod9slCE+d/w+/24lWMJ3A60v4A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5N7bDAAAA2wAAAA8AAAAAAAAAAAAA&#10;AAAAoQIAAGRycy9kb3ducmV2LnhtbFBLBQYAAAAABAAEAPkAAACRAwAAAAA=&#10;">
                    <v:stroke endarrow="block"/>
                    <v:shadow color="#ccc"/>
                  </v:shape>
                  <v:rect id="Rectangle 1" o:spid="_x0000_s1150" style="position:absolute;left:28460;top:19812;width:21228;height:5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269MQA&#10;AADbAAAADwAAAGRycy9kb3ducmV2LnhtbESPQWsCMRSE70L/Q3gFb5q11lZXo7QWQSg9uC3t9ZE8&#10;N0s3L8sm6vrvjSB4HGbmG2ax6lwtjtSGyrOC0TADQay9qbhU8PO9GUxBhIhssPZMCs4UYLV86C0w&#10;N/7EOzoWsRQJwiFHBTbGJpcyaEsOw9A3xMnb+9ZhTLItpWnxlOCulk9Z9iIdVpwWLDa0tqT/i4NT&#10;8FrGj0K/T/Tvlz1PP2fdOOyKP6X6j93bHESkLt7Dt/bWKJg8w/VL+gF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tuvTEAAAA2wAAAA8AAAAAAAAAAAAAAAAAmAIAAGRycy9k&#10;b3ducmV2LnhtbFBLBQYAAAAABAAEAPUAAACJAwAAAAA=&#10;">
                    <v:textbox inset=",7.2pt,,7.2pt">
                      <w:txbxContent>
                        <w:p w14:paraId="61EA406D" w14:textId="77777777" w:rsidR="00DE3537" w:rsidRPr="00111C21" w:rsidRDefault="00DE3537" w:rsidP="00EB43E4">
                          <w:pPr>
                            <w:spacing w:after="0" w:line="240" w:lineRule="auto"/>
                            <w:ind w:left="360" w:hanging="360"/>
                            <w:jc w:val="center"/>
                            <w:rPr>
                              <w:sz w:val="16"/>
                              <w:szCs w:val="16"/>
                              <w:lang w:val="en-CA"/>
                            </w:rPr>
                          </w:pPr>
                          <w:r w:rsidRPr="00111C21">
                            <w:rPr>
                              <w:sz w:val="16"/>
                              <w:szCs w:val="16"/>
                              <w:lang w:val="en-CA"/>
                            </w:rPr>
                            <w:t>Excluded children (n</w:t>
                          </w:r>
                          <w:r>
                            <w:rPr>
                              <w:sz w:val="16"/>
                              <w:szCs w:val="16"/>
                              <w:lang w:val="en-CA"/>
                            </w:rPr>
                            <w:t xml:space="preserve"> </w:t>
                          </w:r>
                          <w:r w:rsidRPr="00111C21">
                            <w:rPr>
                              <w:sz w:val="16"/>
                              <w:szCs w:val="16"/>
                              <w:lang w:val="en-CA"/>
                            </w:rPr>
                            <w:t>=</w:t>
                          </w:r>
                          <w:r>
                            <w:rPr>
                              <w:sz w:val="16"/>
                              <w:szCs w:val="16"/>
                              <w:lang w:val="en-CA"/>
                            </w:rPr>
                            <w:t xml:space="preserve"> 47</w:t>
                          </w:r>
                          <w:r w:rsidRPr="00111C21">
                            <w:rPr>
                              <w:sz w:val="16"/>
                              <w:szCs w:val="16"/>
                              <w:lang w:val="en-CA"/>
                            </w:rPr>
                            <w:t>)</w:t>
                          </w:r>
                        </w:p>
                        <w:p w14:paraId="72B6708F" w14:textId="77777777" w:rsidR="00DE3537" w:rsidRPr="00373509" w:rsidRDefault="00DE3537" w:rsidP="00EB43E4">
                          <w:pPr>
                            <w:spacing w:after="0" w:line="240" w:lineRule="auto"/>
                            <w:jc w:val="center"/>
                            <w:rPr>
                              <w:sz w:val="16"/>
                              <w:szCs w:val="16"/>
                              <w:lang w:val="en-CA"/>
                            </w:rPr>
                          </w:pPr>
                          <w:r w:rsidRPr="00373509">
                            <w:rPr>
                              <w:sz w:val="16"/>
                              <w:szCs w:val="16"/>
                              <w:lang w:val="en-CA"/>
                            </w:rPr>
                            <w:t>Children opted out (n = 34)</w:t>
                          </w:r>
                        </w:p>
                        <w:p w14:paraId="5C090B6B" w14:textId="77777777" w:rsidR="00DE3537" w:rsidRPr="00373509" w:rsidRDefault="00DE3537" w:rsidP="00EB43E4">
                          <w:pPr>
                            <w:spacing w:after="0" w:line="240" w:lineRule="auto"/>
                            <w:jc w:val="center"/>
                            <w:rPr>
                              <w:sz w:val="16"/>
                              <w:szCs w:val="16"/>
                            </w:rPr>
                          </w:pPr>
                          <w:r w:rsidRPr="00373509">
                            <w:rPr>
                              <w:sz w:val="16"/>
                              <w:szCs w:val="16"/>
                              <w:lang w:val="en-CA"/>
                            </w:rPr>
                            <w:t>Left school before baseline measures (n = 13)</w:t>
                          </w:r>
                        </w:p>
                      </w:txbxContent>
                    </v:textbox>
                  </v:rect>
                  <v:rect id="Rectangle 2" o:spid="_x0000_s1151" style="position:absolute;left:13716;top:25908;width:21596;height:4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Efb8UA&#10;AADbAAAADwAAAGRycy9kb3ducmV2LnhtbESPT2sCMRTE7wW/Q3hCb5rVsv7ZGsW2FAriwbXU6yN5&#10;3SxuXpZNquu3bwpCj8PM/IZZbXrXiAt1ofasYDLOQBBrb2quFHwe30cLECEiG2w8k4IbBdisBw8r&#10;LIy/8oEuZaxEgnAoUIGNsS2kDNqSwzD2LXHyvn3nMCbZVdJ0eE1w18hpls2kw5rTgsWWXi3pc/nj&#10;FMyr+Fbql1x/7e1tsVv2T+FQnpR6HPbbZxCR+vgfvrc/jII8h78v6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IR9vxQAAANsAAAAPAAAAAAAAAAAAAAAAAJgCAABkcnMv&#10;ZG93bnJldi54bWxQSwUGAAAAAAQABAD1AAAAigMAAAAA&#10;">
                    <v:textbox inset=",7.2pt,,7.2pt">
                      <w:txbxContent>
                        <w:p w14:paraId="6207F03F" w14:textId="77777777" w:rsidR="00DE3537" w:rsidRDefault="00DE3537" w:rsidP="00EB43E4">
                          <w:pPr>
                            <w:widowControl w:val="0"/>
                            <w:spacing w:after="0" w:line="240" w:lineRule="auto"/>
                            <w:jc w:val="center"/>
                            <w:rPr>
                              <w:sz w:val="16"/>
                              <w:szCs w:val="16"/>
                              <w:lang w:val="en-CA"/>
                            </w:rPr>
                          </w:pPr>
                          <w:r>
                            <w:rPr>
                              <w:sz w:val="16"/>
                              <w:szCs w:val="16"/>
                              <w:lang w:val="en-CA"/>
                            </w:rPr>
                            <w:t>N = 32; n = 1324</w:t>
                          </w:r>
                        </w:p>
                        <w:p w14:paraId="65987BB3" w14:textId="77777777" w:rsidR="00DE3537" w:rsidRPr="00124CB0" w:rsidRDefault="00DE3537" w:rsidP="00EB43E4">
                          <w:pPr>
                            <w:widowControl w:val="0"/>
                            <w:spacing w:after="0" w:line="240" w:lineRule="auto"/>
                            <w:jc w:val="center"/>
                            <w:rPr>
                              <w:b/>
                              <w:sz w:val="16"/>
                              <w:szCs w:val="16"/>
                              <w:lang w:val="en-CA"/>
                            </w:rPr>
                          </w:pPr>
                          <w:r w:rsidRPr="00124CB0">
                            <w:rPr>
                              <w:b/>
                              <w:sz w:val="16"/>
                              <w:szCs w:val="16"/>
                              <w:lang w:val="en-CA"/>
                            </w:rPr>
                            <w:t>BMI (height and weight), n</w:t>
                          </w:r>
                          <w:r>
                            <w:rPr>
                              <w:b/>
                              <w:sz w:val="16"/>
                              <w:szCs w:val="16"/>
                              <w:lang w:val="en-CA"/>
                            </w:rPr>
                            <w:t xml:space="preserve"> </w:t>
                          </w:r>
                          <w:r w:rsidRPr="00124CB0">
                            <w:rPr>
                              <w:b/>
                              <w:sz w:val="16"/>
                              <w:szCs w:val="16"/>
                              <w:lang w:val="en-CA"/>
                            </w:rPr>
                            <w:t>=</w:t>
                          </w:r>
                          <w:r>
                            <w:rPr>
                              <w:b/>
                              <w:sz w:val="16"/>
                              <w:szCs w:val="16"/>
                              <w:lang w:val="en-CA"/>
                            </w:rPr>
                            <w:t xml:space="preserve"> </w:t>
                          </w:r>
                          <w:r w:rsidRPr="00124CB0">
                            <w:rPr>
                              <w:b/>
                              <w:sz w:val="16"/>
                              <w:szCs w:val="16"/>
                              <w:lang w:val="en-CA"/>
                            </w:rPr>
                            <w:t>1312 (99.1%)</w:t>
                          </w:r>
                        </w:p>
                      </w:txbxContent>
                    </v:textbox>
                  </v:rect>
                  <v:group id="Group 5" o:spid="_x0000_s1152" style="position:absolute;left:23145;top:18954;width:5315;height:6763" coordorigin="-1429" coordsize="5318,6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Straight Arrow Connector 6" o:spid="_x0000_s1153" type="#_x0000_t32" style="position:absolute;left:-1429;width:6;height:68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IxtcUAAADbAAAADwAAAGRycy9kb3ducmV2LnhtbESPQWuDQBSE74X8h+UVcqtrA8bWZhNC&#10;ICDJodb20tvDfVWJ+1bcjZp/ny0Uehxm5htms5tNJ0YaXGtZwXMUgyCurG65VvD1eXx6AeE8ssbO&#10;Mim4kYPddvGwwUzbiT9oLH0tAoRdhgoa7/tMSlc1ZNBFticO3o8dDPogh1rqAacAN51cxfFaGmw5&#10;LDTY06Gh6lJejQK9er/ked2W56MuTumrTYpq/FZq+Tjv30B4mv1/+K+dawVJCr9fwg+Q2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IxtcUAAADbAAAADwAAAAAAAAAA&#10;AAAAAAChAgAAZHJzL2Rvd25yZXYueG1sUEsFBgAAAAAEAAQA+QAAAJMDAAAAAA==&#10;">
                      <v:stroke endarrow="block"/>
                      <v:shadow color="#ccc"/>
                    </v:shape>
                    <v:shape id="Straight Arrow Connector 7" o:spid="_x0000_s1154" type="#_x0000_t32" style="position:absolute;left:-1416;top:3419;width:53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2lx8EAAADbAAAADwAAAGRycy9kb3ducmV2LnhtbERPTWvCQBC9F/wPywjemo1Cao1ZRQqB&#10;YA+10Yu3ITsmwexsyG5j+u+7h4LHx/vO9pPpxEiDay0rWEYxCOLK6pZrBZdz/voOwnlkjZ1lUvBL&#10;Dva72UuGqbYP/qax9LUIIexSVNB436dSuqohgy6yPXHgbnYw6AMcaqkHfIRw08lVHL9Jgy2HhgZ7&#10;+mioupc/RoFefd2Lom7Lz1yfjuuNTU7VeFVqMZ8OWxCeJv8U/7sLrSAJY8OX8APk7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XaXHwQAAANsAAAAPAAAAAAAAAAAAAAAA&#10;AKECAABkcnMvZG93bnJldi54bWxQSwUGAAAAAAQABAD5AAAAjwMAAAAA&#10;">
                      <v:stroke endarrow="block"/>
                      <v:shadow color="#ccc"/>
                    </v:shape>
                  </v:group>
                  <v:rect id="Rectangle 10" o:spid="_x0000_s1155" style="position:absolute;top:62865;width:21958;height:18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sKMcMA&#10;AADcAAAADwAAAGRycy9kb3ducmV2LnhtbERPW2vCMBR+H+w/hDPYm6ZT5qUzLXNjMBAfrOJeD8mx&#10;KTYnpcm0/vvlQdjjx3dflYNrxYX60HhW8DLOQBBrbxquFRz2X6MFiBCRDbaeScGNApTF48MKc+Ov&#10;vKNLFWuRQjjkqMDG2OVSBm3JYRj7jjhxJ987jAn2tTQ9XlO4a+Uky2bSYcOpwWJHH5b0ufp1CuZ1&#10;/Kz0+lUft/a22CyHadhVP0o9Pw3vbyAiDfFffHd/GwXTLM1PZ9IR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sKMcMAAADcAAAADwAAAAAAAAAAAAAAAACYAgAAZHJzL2Rv&#10;d25yZXYueG1sUEsFBgAAAAAEAAQA9QAAAIgDAAAAAA==&#10;">
                    <v:textbox inset=",7.2pt,,7.2pt">
                      <w:txbxContent>
                        <w:p w14:paraId="25CE6190" w14:textId="77777777" w:rsidR="00DE3537" w:rsidRDefault="00DE3537" w:rsidP="00EB43E4">
                          <w:pPr>
                            <w:spacing w:after="0" w:line="240" w:lineRule="auto"/>
                            <w:ind w:left="360" w:hanging="360"/>
                            <w:jc w:val="center"/>
                            <w:rPr>
                              <w:sz w:val="16"/>
                              <w:szCs w:val="16"/>
                              <w:lang w:val="en-CA"/>
                            </w:rPr>
                          </w:pPr>
                          <w:r>
                            <w:rPr>
                              <w:sz w:val="16"/>
                              <w:szCs w:val="16"/>
                              <w:lang w:val="en-CA"/>
                            </w:rPr>
                            <w:t>Schools withdrawn (N = 0)</w:t>
                          </w:r>
                        </w:p>
                        <w:p w14:paraId="79819B7D" w14:textId="77777777" w:rsidR="00DE3537" w:rsidRDefault="00DE3537" w:rsidP="00EB43E4">
                          <w:pPr>
                            <w:spacing w:after="0" w:line="240" w:lineRule="auto"/>
                            <w:ind w:left="360" w:hanging="360"/>
                            <w:jc w:val="center"/>
                            <w:rPr>
                              <w:sz w:val="16"/>
                              <w:szCs w:val="16"/>
                              <w:lang w:val="en-CA"/>
                            </w:rPr>
                          </w:pPr>
                          <w:r>
                            <w:rPr>
                              <w:sz w:val="16"/>
                              <w:szCs w:val="16"/>
                              <w:lang w:val="en-CA"/>
                            </w:rPr>
                            <w:t xml:space="preserve">Schools lost to follow-up </w:t>
                          </w:r>
                          <w:r w:rsidRPr="00CF23C3">
                            <w:rPr>
                              <w:sz w:val="16"/>
                              <w:szCs w:val="16"/>
                              <w:lang w:val="en-CA"/>
                            </w:rPr>
                            <w:t>(</w:t>
                          </w:r>
                          <w:r>
                            <w:rPr>
                              <w:sz w:val="16"/>
                              <w:szCs w:val="16"/>
                              <w:lang w:val="en-CA"/>
                            </w:rPr>
                            <w:t>N = 0)</w:t>
                          </w:r>
                        </w:p>
                        <w:p w14:paraId="7C3703DE" w14:textId="77777777" w:rsidR="00DE3537" w:rsidRDefault="00DE3537" w:rsidP="00EB43E4">
                          <w:pPr>
                            <w:spacing w:after="0" w:line="240" w:lineRule="auto"/>
                            <w:ind w:left="360" w:hanging="360"/>
                            <w:jc w:val="center"/>
                            <w:rPr>
                              <w:sz w:val="16"/>
                              <w:szCs w:val="16"/>
                              <w:lang w:val="en-CA"/>
                            </w:rPr>
                          </w:pPr>
                        </w:p>
                        <w:p w14:paraId="659C466B" w14:textId="77777777" w:rsidR="00DE3537" w:rsidRDefault="00DE3537" w:rsidP="00EB43E4">
                          <w:pPr>
                            <w:spacing w:after="0" w:line="240" w:lineRule="auto"/>
                            <w:ind w:left="360" w:hanging="360"/>
                            <w:jc w:val="center"/>
                            <w:rPr>
                              <w:sz w:val="16"/>
                              <w:szCs w:val="16"/>
                              <w:lang w:val="en-CA"/>
                            </w:rPr>
                          </w:pPr>
                          <w:r>
                            <w:rPr>
                              <w:sz w:val="16"/>
                              <w:szCs w:val="16"/>
                              <w:lang w:val="en-CA"/>
                            </w:rPr>
                            <w:t>Children withdrawn (n = 1)</w:t>
                          </w:r>
                        </w:p>
                        <w:p w14:paraId="374670EE" w14:textId="77777777" w:rsidR="00DE3537" w:rsidRDefault="00DE3537" w:rsidP="00EB43E4">
                          <w:pPr>
                            <w:spacing w:after="0" w:line="240" w:lineRule="auto"/>
                            <w:ind w:left="360" w:hanging="360"/>
                            <w:jc w:val="center"/>
                            <w:rPr>
                              <w:sz w:val="16"/>
                              <w:szCs w:val="16"/>
                              <w:lang w:val="en-CA"/>
                            </w:rPr>
                          </w:pPr>
                          <w:r>
                            <w:rPr>
                              <w:sz w:val="16"/>
                              <w:szCs w:val="16"/>
                              <w:lang w:val="en-CA"/>
                            </w:rPr>
                            <w:t>Children did not assent (n = 4)</w:t>
                          </w:r>
                        </w:p>
                        <w:p w14:paraId="2467302E" w14:textId="77777777" w:rsidR="00DE3537" w:rsidRDefault="00DE3537" w:rsidP="00EB43E4">
                          <w:pPr>
                            <w:spacing w:after="0" w:line="240" w:lineRule="auto"/>
                            <w:jc w:val="center"/>
                            <w:rPr>
                              <w:sz w:val="16"/>
                              <w:szCs w:val="16"/>
                              <w:lang w:val="en-CA"/>
                            </w:rPr>
                          </w:pPr>
                          <w:r>
                            <w:rPr>
                              <w:sz w:val="16"/>
                              <w:szCs w:val="16"/>
                              <w:lang w:val="en-CA"/>
                            </w:rPr>
                            <w:t>Children lost to follow-up (n = 41; 28 moved out of county; 5 no baseline so follow-up not scheduled; 2 long-term absence; 2 home-schooled; 2 learning difficulties; 2 parent/carer re-consent not given in time)</w:t>
                          </w:r>
                        </w:p>
                        <w:p w14:paraId="25B026C2" w14:textId="77777777" w:rsidR="00DE3537" w:rsidRPr="008624C3" w:rsidRDefault="00DE3537" w:rsidP="00EB43E4">
                          <w:pPr>
                            <w:spacing w:after="0" w:line="240" w:lineRule="auto"/>
                            <w:ind w:left="360" w:hanging="360"/>
                            <w:jc w:val="center"/>
                            <w:rPr>
                              <w:sz w:val="16"/>
                              <w:szCs w:val="16"/>
                              <w:lang w:val="en-CA"/>
                            </w:rPr>
                          </w:pPr>
                        </w:p>
                        <w:p w14:paraId="71CBB657" w14:textId="77777777" w:rsidR="00DE3537" w:rsidRPr="008624C3" w:rsidRDefault="00DE3537" w:rsidP="00EB43E4">
                          <w:pPr>
                            <w:spacing w:after="0" w:line="240" w:lineRule="auto"/>
                            <w:ind w:left="360" w:hanging="360"/>
                            <w:jc w:val="center"/>
                            <w:rPr>
                              <w:sz w:val="16"/>
                              <w:szCs w:val="16"/>
                              <w:lang w:val="en-CA"/>
                            </w:rPr>
                          </w:pPr>
                          <w:r>
                            <w:rPr>
                              <w:sz w:val="16"/>
                              <w:szCs w:val="16"/>
                              <w:lang w:val="en-CA"/>
                            </w:rPr>
                            <w:t xml:space="preserve">n </w:t>
                          </w:r>
                          <w:r w:rsidRPr="008624C3">
                            <w:rPr>
                              <w:sz w:val="16"/>
                              <w:szCs w:val="16"/>
                              <w:lang w:val="en-CA"/>
                            </w:rPr>
                            <w:t>=</w:t>
                          </w:r>
                          <w:r>
                            <w:rPr>
                              <w:sz w:val="16"/>
                              <w:szCs w:val="16"/>
                              <w:lang w:val="en-CA"/>
                            </w:rPr>
                            <w:t xml:space="preserve"> </w:t>
                          </w:r>
                          <w:r w:rsidRPr="008624C3">
                            <w:rPr>
                              <w:sz w:val="16"/>
                              <w:szCs w:val="16"/>
                              <w:lang w:val="en-CA"/>
                            </w:rPr>
                            <w:t>630 children; mean (coefficient of variation) 39.4 (0.49) children per school</w:t>
                          </w:r>
                        </w:p>
                        <w:p w14:paraId="2F1F2DF4" w14:textId="77777777" w:rsidR="00DE3537" w:rsidRPr="008624C3" w:rsidRDefault="00DE3537" w:rsidP="00EB43E4">
                          <w:pPr>
                            <w:spacing w:after="0" w:line="240" w:lineRule="auto"/>
                            <w:ind w:left="360" w:hanging="360"/>
                            <w:jc w:val="center"/>
                            <w:rPr>
                              <w:sz w:val="16"/>
                              <w:szCs w:val="16"/>
                              <w:lang w:val="en-CA"/>
                            </w:rPr>
                          </w:pPr>
                        </w:p>
                      </w:txbxContent>
                    </v:textbox>
                  </v:rect>
                  <v:rect id="Rectangle 11" o:spid="_x0000_s1156" style="position:absolute;left:27336;top:62769;width:21959;height:18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qsUA&#10;AADcAAAADwAAAGRycy9kb3ducmV2LnhtbESPT2sCMRTE74LfITyht5q1UrWrUfqHgiAedlvq9ZE8&#10;N4ubl2WT6vrtG6HgcZiZ3zCrTe8acaYu1J4VTMYZCGLtTc2Vgu+vz8cFiBCRDTaeScGVAmzWw8EK&#10;c+MvXNC5jJVIEA45KrAxtrmUQVtyGMa+JU7e0XcOY5JdJU2HlwR3jXzKspl0WHNasNjSuyV9Kn+d&#10;gnkVP0r99qx/9va62L3001CUB6UeRv3rEkSkPt7D/+2tUTDNJnA7k4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96+qxQAAANwAAAAPAAAAAAAAAAAAAAAAAJgCAABkcnMv&#10;ZG93bnJldi54bWxQSwUGAAAAAAQABAD1AAAAigMAAAAA&#10;">
                    <v:textbox inset=",7.2pt,,7.2pt">
                      <w:txbxContent>
                        <w:p w14:paraId="5A32B757" w14:textId="77777777" w:rsidR="00DE3537" w:rsidRDefault="00DE3537" w:rsidP="00EB43E4">
                          <w:pPr>
                            <w:spacing w:after="0" w:line="240" w:lineRule="auto"/>
                            <w:ind w:left="360" w:hanging="360"/>
                            <w:jc w:val="center"/>
                            <w:rPr>
                              <w:sz w:val="16"/>
                              <w:szCs w:val="16"/>
                              <w:lang w:val="en-CA"/>
                            </w:rPr>
                          </w:pPr>
                          <w:r>
                            <w:rPr>
                              <w:sz w:val="16"/>
                              <w:szCs w:val="16"/>
                              <w:lang w:val="en-CA"/>
                            </w:rPr>
                            <w:t>Schools withdrawn (N = 0)</w:t>
                          </w:r>
                        </w:p>
                        <w:p w14:paraId="66B06C4E" w14:textId="77777777" w:rsidR="00DE3537" w:rsidRDefault="00DE3537" w:rsidP="00EB43E4">
                          <w:pPr>
                            <w:spacing w:after="0" w:line="240" w:lineRule="auto"/>
                            <w:ind w:left="360" w:hanging="360"/>
                            <w:jc w:val="center"/>
                            <w:rPr>
                              <w:sz w:val="16"/>
                              <w:szCs w:val="16"/>
                              <w:lang w:val="en-CA"/>
                            </w:rPr>
                          </w:pPr>
                          <w:r>
                            <w:rPr>
                              <w:sz w:val="16"/>
                              <w:szCs w:val="16"/>
                              <w:lang w:val="en-CA"/>
                            </w:rPr>
                            <w:t xml:space="preserve">Schools lost to follow-up </w:t>
                          </w:r>
                          <w:r w:rsidRPr="00CF23C3">
                            <w:rPr>
                              <w:sz w:val="16"/>
                              <w:szCs w:val="16"/>
                              <w:lang w:val="en-CA"/>
                            </w:rPr>
                            <w:t>(</w:t>
                          </w:r>
                          <w:r>
                            <w:rPr>
                              <w:sz w:val="16"/>
                              <w:szCs w:val="16"/>
                              <w:lang w:val="en-CA"/>
                            </w:rPr>
                            <w:t>N = 0)</w:t>
                          </w:r>
                        </w:p>
                        <w:p w14:paraId="1937D52A" w14:textId="77777777" w:rsidR="00DE3537" w:rsidRDefault="00DE3537" w:rsidP="00EB43E4">
                          <w:pPr>
                            <w:spacing w:after="0" w:line="240" w:lineRule="auto"/>
                            <w:ind w:left="360" w:hanging="360"/>
                            <w:jc w:val="center"/>
                            <w:rPr>
                              <w:sz w:val="16"/>
                              <w:szCs w:val="16"/>
                              <w:lang w:val="en-CA"/>
                            </w:rPr>
                          </w:pPr>
                        </w:p>
                        <w:p w14:paraId="0DF96428" w14:textId="77777777" w:rsidR="00DE3537" w:rsidRDefault="00DE3537" w:rsidP="00EB43E4">
                          <w:pPr>
                            <w:spacing w:after="0" w:line="240" w:lineRule="auto"/>
                            <w:ind w:left="360" w:hanging="360"/>
                            <w:jc w:val="center"/>
                            <w:rPr>
                              <w:sz w:val="16"/>
                              <w:szCs w:val="16"/>
                              <w:lang w:val="en-CA"/>
                            </w:rPr>
                          </w:pPr>
                          <w:r>
                            <w:rPr>
                              <w:sz w:val="16"/>
                              <w:szCs w:val="16"/>
                              <w:lang w:val="en-CA"/>
                            </w:rPr>
                            <w:t>Children withdrawn (n = 2)</w:t>
                          </w:r>
                        </w:p>
                        <w:p w14:paraId="33841957" w14:textId="77777777" w:rsidR="00DE3537" w:rsidRDefault="00DE3537" w:rsidP="00EB43E4">
                          <w:pPr>
                            <w:spacing w:after="0" w:line="240" w:lineRule="auto"/>
                            <w:ind w:left="360" w:hanging="360"/>
                            <w:jc w:val="center"/>
                            <w:rPr>
                              <w:sz w:val="16"/>
                              <w:szCs w:val="16"/>
                              <w:lang w:val="en-CA"/>
                            </w:rPr>
                          </w:pPr>
                          <w:r>
                            <w:rPr>
                              <w:sz w:val="16"/>
                              <w:szCs w:val="16"/>
                              <w:lang w:val="en-CA"/>
                            </w:rPr>
                            <w:t>Children did not assent (n = 2)</w:t>
                          </w:r>
                        </w:p>
                        <w:p w14:paraId="6DCCEB08" w14:textId="77777777" w:rsidR="00DE3537" w:rsidRDefault="00DE3537" w:rsidP="00EB43E4">
                          <w:pPr>
                            <w:spacing w:after="0" w:line="240" w:lineRule="auto"/>
                            <w:jc w:val="center"/>
                            <w:rPr>
                              <w:sz w:val="16"/>
                              <w:szCs w:val="16"/>
                              <w:lang w:val="en-CA"/>
                            </w:rPr>
                          </w:pPr>
                          <w:r>
                            <w:rPr>
                              <w:sz w:val="16"/>
                              <w:szCs w:val="16"/>
                              <w:lang w:val="en-CA"/>
                            </w:rPr>
                            <w:t>Children lost to follow-up (n = 24; 21 moved out of county; 1 long-term absence; 1 home-schooled; 1 no baseline so follow-up not scheduled)</w:t>
                          </w:r>
                        </w:p>
                        <w:p w14:paraId="6961763C" w14:textId="77777777" w:rsidR="00DE3537" w:rsidRDefault="00DE3537" w:rsidP="00EB43E4">
                          <w:pPr>
                            <w:spacing w:after="0" w:line="240" w:lineRule="auto"/>
                            <w:ind w:left="360" w:hanging="360"/>
                            <w:jc w:val="center"/>
                            <w:rPr>
                              <w:sz w:val="16"/>
                              <w:szCs w:val="16"/>
                              <w:lang w:val="en-CA"/>
                            </w:rPr>
                          </w:pPr>
                        </w:p>
                        <w:p w14:paraId="5B01BE07" w14:textId="77777777" w:rsidR="00DE3537" w:rsidRPr="008624C3" w:rsidRDefault="00DE3537" w:rsidP="00EB43E4">
                          <w:pPr>
                            <w:spacing w:after="0" w:line="240" w:lineRule="auto"/>
                            <w:ind w:left="360" w:hanging="360"/>
                            <w:jc w:val="center"/>
                            <w:rPr>
                              <w:sz w:val="16"/>
                              <w:szCs w:val="16"/>
                              <w:lang w:val="en-CA"/>
                            </w:rPr>
                          </w:pPr>
                        </w:p>
                        <w:p w14:paraId="6CE3F166" w14:textId="77777777" w:rsidR="00DE3537" w:rsidRPr="008624C3" w:rsidRDefault="00DE3537" w:rsidP="00EB43E4">
                          <w:pPr>
                            <w:spacing w:after="0" w:line="240" w:lineRule="auto"/>
                            <w:jc w:val="center"/>
                            <w:rPr>
                              <w:sz w:val="16"/>
                              <w:szCs w:val="16"/>
                              <w:lang w:val="en-CA"/>
                            </w:rPr>
                          </w:pPr>
                          <w:r>
                            <w:rPr>
                              <w:sz w:val="16"/>
                              <w:szCs w:val="16"/>
                              <w:lang w:val="en-CA"/>
                            </w:rPr>
                            <w:t xml:space="preserve">n </w:t>
                          </w:r>
                          <w:r w:rsidRPr="008624C3">
                            <w:rPr>
                              <w:sz w:val="16"/>
                              <w:szCs w:val="16"/>
                              <w:lang w:val="en-CA"/>
                            </w:rPr>
                            <w:t>=</w:t>
                          </w:r>
                          <w:r>
                            <w:rPr>
                              <w:sz w:val="16"/>
                              <w:szCs w:val="16"/>
                              <w:lang w:val="en-CA"/>
                            </w:rPr>
                            <w:t xml:space="preserve"> </w:t>
                          </w:r>
                          <w:r w:rsidRPr="008624C3">
                            <w:rPr>
                              <w:sz w:val="16"/>
                              <w:szCs w:val="16"/>
                              <w:lang w:val="en-CA"/>
                            </w:rPr>
                            <w:t>620 children; mean (coefficient of variation) 38.8 (0.44) children per school</w:t>
                          </w:r>
                        </w:p>
                        <w:p w14:paraId="7FB0D49B" w14:textId="77777777" w:rsidR="00DE3537" w:rsidRPr="008624C3" w:rsidRDefault="00DE3537" w:rsidP="00EB43E4">
                          <w:pPr>
                            <w:rPr>
                              <w:sz w:val="16"/>
                              <w:szCs w:val="16"/>
                              <w:lang w:val="en-CA"/>
                            </w:rPr>
                          </w:pPr>
                        </w:p>
                      </w:txbxContent>
                    </v:textbox>
                  </v:rect>
                </v:group>
                <v:group id="Group 311" o:spid="_x0000_s1157" style="position:absolute;top:2762;width:6000;height:86487" coordsize="6000,86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Text Box 312" o:spid="_x0000_s1158" type="#_x0000_t202" style="position:absolute;top:78295;width:6000;height:8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5Nn8UA&#10;AADcAAAADwAAAGRycy9kb3ducmV2LnhtbESPQWvCQBSE74L/YXmCN91oqS2pG7GlYosn0/b+yD6z&#10;idm3Ibtq2l/vCgWPw8x8wyxXvW3EmTpfOVYwmyYgiAunKy4VfH9tJs8gfEDW2DgmBb/kYZUNB0tM&#10;tbvwns55KEWEsE9RgQmhTaX0hSGLfupa4ugdXGcxRNmVUnd4iXDbyHmSLKTFiuOCwZbeDBXH/GQV&#10;2PC5rb2vf4r33WLtmsfXp7+9UWo86tcvIAL14R7+b39oBQ+zOdzOxCM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k2fxQAAANwAAAAPAAAAAAAAAAAAAAAAAJgCAABkcnMv&#10;ZG93bnJldi54bWxQSwUGAAAAAAQABAD1AAAAigMAAAAA&#10;" fillcolor="#4f81bd" strokecolor="windowText" strokeweight="2pt">
                    <v:textbox style="layout-flow:vertical;mso-layout-flow-alt:bottom-to-top">
                      <w:txbxContent>
                        <w:p w14:paraId="3DD93692" w14:textId="77777777" w:rsidR="00DE3537" w:rsidRPr="001D6DBA" w:rsidRDefault="00DE3537" w:rsidP="00EB43E4">
                          <w:pPr>
                            <w:jc w:val="center"/>
                            <w:rPr>
                              <w:b/>
                            </w:rPr>
                          </w:pPr>
                          <w:r w:rsidRPr="001D6DBA">
                            <w:rPr>
                              <w:b/>
                            </w:rPr>
                            <w:t>Analysis</w:t>
                          </w:r>
                        </w:p>
                      </w:txbxContent>
                    </v:textbox>
                  </v:shape>
                  <v:shape id="Text Box 313" o:spid="_x0000_s1159" type="#_x0000_t202" style="position:absolute;top:45339;width:6000;height:8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LoBMMA&#10;AADcAAAADwAAAGRycy9kb3ducmV2LnhtbESPQWsCMRSE7wX/Q3iCt5pVUcvWKCqWKp7U9v7YPDer&#10;m5dlE3X11zcFweMwM98wk1ljS3Gl2heOFfS6CQjizOmCcwU/h6/3DxA+IGssHZOCO3mYTVtvE0y1&#10;u/GOrvuQiwhhn6ICE0KVSukzQxZ911XE0Tu62mKIss6lrvEW4baU/SQZSYsFxwWDFS0NZef9xSqw&#10;YfN98v70m622o7krh4vxY2eU6rSb+SeIQE14hZ/ttVYw6A3g/0w8An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LoBMMAAADcAAAADwAAAAAAAAAAAAAAAACYAgAAZHJzL2Rv&#10;d25yZXYueG1sUEsFBgAAAAAEAAQA9QAAAIgDAAAAAA==&#10;" fillcolor="#4f81bd" strokecolor="windowText" strokeweight="2pt">
                    <v:textbox style="layout-flow:vertical;mso-layout-flow-alt:bottom-to-top">
                      <w:txbxContent>
                        <w:p w14:paraId="510F470B" w14:textId="77777777" w:rsidR="00DE3537" w:rsidRPr="001D6DBA" w:rsidRDefault="00DE3537" w:rsidP="00EB43E4">
                          <w:pPr>
                            <w:jc w:val="center"/>
                            <w:rPr>
                              <w:b/>
                            </w:rPr>
                          </w:pPr>
                          <w:r>
                            <w:rPr>
                              <w:b/>
                            </w:rPr>
                            <w:t>18 months</w:t>
                          </w:r>
                        </w:p>
                      </w:txbxContent>
                    </v:textbox>
                  </v:shape>
                  <v:shape id="Text Box 314" o:spid="_x0000_s1160" type="#_x0000_t202" style="position:absolute;top:31908;width:6000;height:8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twcMQA&#10;AADcAAAADwAAAGRycy9kb3ducmV2LnhtbESPQWsCMRSE7wX/Q3iCt5pVq5bVKCoWWzxp2/tj89ys&#10;bl6WTdTVX28KQo/DzHzDTOeNLcWFal84VtDrJiCIM6cLzhX8fH+8voPwAVlj6ZgU3MjDfNZ6mWKq&#10;3ZV3dNmHXEQI+xQVmBCqVEqfGbLou64ijt7B1RZDlHUudY3XCLel7CfJSFosOC4YrGhlKDvtz1aB&#10;DV+bo/fH32y9HS1cOVyO7zujVKfdLCYgAjXhP/xsf2oFg94b/J2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rcHDEAAAA3AAAAA8AAAAAAAAAAAAAAAAAmAIAAGRycy9k&#10;b3ducmV2LnhtbFBLBQYAAAAABAAEAPUAAACJAwAAAAA=&#10;" fillcolor="#4f81bd" strokecolor="windowText" strokeweight="2pt">
                    <v:textbox style="layout-flow:vertical;mso-layout-flow-alt:bottom-to-top">
                      <w:txbxContent>
                        <w:p w14:paraId="52256030" w14:textId="77777777" w:rsidR="00DE3537" w:rsidRPr="001D6DBA" w:rsidRDefault="00DE3537" w:rsidP="00EB43E4">
                          <w:pPr>
                            <w:jc w:val="center"/>
                            <w:rPr>
                              <w:b/>
                            </w:rPr>
                          </w:pPr>
                          <w:r>
                            <w:rPr>
                              <w:b/>
                            </w:rPr>
                            <w:t>Allocation of schools</w:t>
                          </w:r>
                        </w:p>
                      </w:txbxContent>
                    </v:textbox>
                  </v:shape>
                  <v:shape id="Text Box 315" o:spid="_x0000_s1161" type="#_x0000_t202" style="position:absolute;top:20955;width:5810;height:8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fV68UA&#10;AADcAAAADwAAAGRycy9kb3ducmV2LnhtbESPQWvCQBSE7wX/w/IEb3WjopbUjWhpqaUnY3t/ZJ/Z&#10;xOzbkN1q6q93hUKPw8x8w6zWvW3EmTpfOVYwGScgiAunKy4VfB3eHp9A+ICssXFMCn7JwzobPKww&#10;1e7CezrnoRQRwj5FBSaENpXSF4Ys+rFriaN3dJ3FEGVXSt3hJcJtI6dJspAWK44LBlt6MVSc8h+r&#10;wIaP99r7+rt4/VxsXDPfLq97o9Ro2G+eQQTqw3/4r73TCmaTOdzPxCM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9XrxQAAANwAAAAPAAAAAAAAAAAAAAAAAJgCAABkcnMv&#10;ZG93bnJldi54bWxQSwUGAAAAAAQABAD1AAAAigMAAAAA&#10;" fillcolor="#4f81bd" strokecolor="windowText" strokeweight="2pt">
                    <v:textbox style="layout-flow:vertical;mso-layout-flow-alt:bottom-to-top">
                      <w:txbxContent>
                        <w:p w14:paraId="7EE8008D" w14:textId="77777777" w:rsidR="00DE3537" w:rsidRDefault="00DE3537" w:rsidP="00EB43E4">
                          <w:pPr>
                            <w:spacing w:after="0" w:line="240" w:lineRule="auto"/>
                            <w:jc w:val="center"/>
                            <w:rPr>
                              <w:b/>
                            </w:rPr>
                          </w:pPr>
                          <w:r>
                            <w:rPr>
                              <w:b/>
                            </w:rPr>
                            <w:t>Baseline</w:t>
                          </w:r>
                        </w:p>
                        <w:p w14:paraId="256A2FBD" w14:textId="77777777" w:rsidR="00DE3537" w:rsidRPr="001D6DBA" w:rsidRDefault="00DE3537" w:rsidP="00EB43E4">
                          <w:pPr>
                            <w:spacing w:after="0" w:line="240" w:lineRule="auto"/>
                            <w:jc w:val="center"/>
                            <w:rPr>
                              <w:b/>
                            </w:rPr>
                          </w:pPr>
                          <w:r>
                            <w:rPr>
                              <w:b/>
                            </w:rPr>
                            <w:t>Measures</w:t>
                          </w:r>
                        </w:p>
                      </w:txbxContent>
                    </v:textbox>
                  </v:shape>
                  <v:shape id="Text Box 316" o:spid="_x0000_s1162" type="#_x0000_t202" style="position:absolute;top:62007;width:6000;height:8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VLnMQA&#10;AADcAAAADwAAAGRycy9kb3ducmV2LnhtbESPT2sCMRTE74LfITyhN81a6SqrUbRYavHkv/tj89ys&#10;bl6WTapbP31TKHgcZuY3zGzR2krcqPGlYwXDQQKCOHe65ELB8fDRn4DwAVlj5ZgU/JCHxbzbmWGm&#10;3Z13dNuHQkQI+wwVmBDqTEqfG7LoB64mjt7ZNRZDlE0hdYP3CLeVfE2SVFosOS4YrOndUH7df1sF&#10;Nnx9Xry/nPL1Nl266m01fuyMUi+9djkFEagNz/B/e6MVjIYp/J2JR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1S5zEAAAA3AAAAA8AAAAAAAAAAAAAAAAAmAIAAGRycy9k&#10;b3ducmV2LnhtbFBLBQYAAAAABAAEAPUAAACJAwAAAAA=&#10;" fillcolor="#4f81bd" strokecolor="windowText" strokeweight="2pt">
                    <v:textbox style="layout-flow:vertical;mso-layout-flow-alt:bottom-to-top">
                      <w:txbxContent>
                        <w:p w14:paraId="75B62BB7" w14:textId="77777777" w:rsidR="00DE3537" w:rsidRPr="001D6DBA" w:rsidRDefault="00DE3537" w:rsidP="00EB43E4">
                          <w:pPr>
                            <w:jc w:val="center"/>
                            <w:rPr>
                              <w:b/>
                            </w:rPr>
                          </w:pPr>
                          <w:r>
                            <w:rPr>
                              <w:b/>
                            </w:rPr>
                            <w:t>24 months</w:t>
                          </w:r>
                        </w:p>
                      </w:txbxContent>
                    </v:textbox>
                  </v:shape>
                  <v:shape id="Text Box 317" o:spid="_x0000_s1163" type="#_x0000_t202" style="position:absolute;width:5810;height:1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nuB8QA&#10;AADcAAAADwAAAGRycy9kb3ducmV2LnhtbESPQWsCMRSE7wX/Q3gFbzWrRbesRlGpaPGk1ftj89ys&#10;3bwsm6irv74pFDwOM/MNM5m1thJXanzpWEG/l4Agzp0uuVBw+F69fYDwAVlj5ZgU3MnDbNp5mWCm&#10;3Y13dN2HQkQI+wwVmBDqTEqfG7Loe64mjt7JNRZDlE0hdYO3CLeVHCTJSFosOS4YrGlpKP/ZX6wC&#10;G77WZ+/Px/xzO5q7arhIHzujVPe1nY9BBGrDM/zf3mgF7/0U/s7EIy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57gfEAAAA3AAAAA8AAAAAAAAAAAAAAAAAmAIAAGRycy9k&#10;b3ducmV2LnhtbFBLBQYAAAAABAAEAPUAAACJAwAAAAA=&#10;" fillcolor="#4f81bd" strokecolor="windowText" strokeweight="2pt">
                    <v:textbox style="layout-flow:vertical;mso-layout-flow-alt:bottom-to-top">
                      <w:txbxContent>
                        <w:p w14:paraId="68B80550" w14:textId="77777777" w:rsidR="00DE3537" w:rsidRPr="001D6DBA" w:rsidRDefault="00DE3537" w:rsidP="00EB43E4">
                          <w:pPr>
                            <w:spacing w:after="0" w:line="240" w:lineRule="auto"/>
                            <w:jc w:val="center"/>
                            <w:rPr>
                              <w:b/>
                            </w:rPr>
                          </w:pPr>
                          <w:r>
                            <w:rPr>
                              <w:b/>
                            </w:rPr>
                            <w:t>Enrolment of Schools and Children</w:t>
                          </w:r>
                        </w:p>
                      </w:txbxContent>
                    </v:textbox>
                  </v:shape>
                </v:group>
              </v:group>
            </w:pict>
          </mc:Fallback>
        </mc:AlternateContent>
      </w:r>
      <w:r w:rsidR="00EB43E4" w:rsidRPr="004809EC">
        <w:rPr>
          <w:noProof/>
          <w:color w:val="1F497D"/>
          <w:sz w:val="20"/>
          <w:szCs w:val="20"/>
          <w:lang w:eastAsia="zh-CN"/>
        </w:rPr>
        <mc:AlternateContent>
          <mc:Choice Requires="wps">
            <w:drawing>
              <wp:anchor distT="45720" distB="45720" distL="114300" distR="114300" simplePos="0" relativeHeight="251649024" behindDoc="0" locked="0" layoutInCell="1" allowOverlap="1" wp14:anchorId="6CB25776" wp14:editId="0B95BCAB">
                <wp:simplePos x="0" y="0"/>
                <wp:positionH relativeFrom="margin">
                  <wp:align>left</wp:align>
                </wp:positionH>
                <wp:positionV relativeFrom="paragraph">
                  <wp:posOffset>0</wp:posOffset>
                </wp:positionV>
                <wp:extent cx="2360930" cy="390525"/>
                <wp:effectExtent l="0" t="0" r="0" b="95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90525"/>
                        </a:xfrm>
                        <a:prstGeom prst="rect">
                          <a:avLst/>
                        </a:prstGeom>
                        <a:solidFill>
                          <a:srgbClr val="FFFFFF"/>
                        </a:solidFill>
                        <a:ln w="9525">
                          <a:noFill/>
                          <a:miter lim="800000"/>
                          <a:headEnd/>
                          <a:tailEnd/>
                        </a:ln>
                      </wps:spPr>
                      <wps:txbx>
                        <w:txbxContent>
                          <w:p w14:paraId="36580753" w14:textId="6EA6237A" w:rsidR="00DE3537" w:rsidRPr="004621E9" w:rsidRDefault="00DE3537" w:rsidP="004809EC">
                            <w:pPr>
                              <w:autoSpaceDE w:val="0"/>
                              <w:autoSpaceDN w:val="0"/>
                              <w:adjustRightInd w:val="0"/>
                              <w:spacing w:after="0"/>
                              <w:rPr>
                                <w:b/>
                                <w:color w:val="1F497D"/>
                                <w:sz w:val="20"/>
                                <w:szCs w:val="20"/>
                              </w:rPr>
                            </w:pPr>
                            <w:r w:rsidRPr="004621E9">
                              <w:rPr>
                                <w:b/>
                                <w:bCs/>
                                <w:sz w:val="24"/>
                                <w:szCs w:val="24"/>
                              </w:rPr>
                              <w:t>FIGURE 2 Trial profile</w:t>
                            </w:r>
                          </w:p>
                          <w:p w14:paraId="36C64A38" w14:textId="6F82087D" w:rsidR="00DE3537" w:rsidRDefault="00DE353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CB25776" id="_x0000_s1164" type="#_x0000_t202" style="position:absolute;margin-left:0;margin-top:0;width:185.9pt;height:30.75pt;z-index:251649024;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" stroked="f">
                <v:textbox>
                  <w:txbxContent>
                    <w:p w14:paraId="36580753" w14:textId="6EA6237A" w:rsidR="00DE3537" w:rsidRPr="004621E9" w:rsidRDefault="00DE3537" w:rsidP="004809EC">
                      <w:pPr>
                        <w:autoSpaceDE w:val="0"/>
                        <w:autoSpaceDN w:val="0"/>
                        <w:adjustRightInd w:val="0"/>
                        <w:spacing w:after="0"/>
                        <w:rPr>
                          <w:b/>
                          <w:color w:val="1F497D"/>
                          <w:sz w:val="20"/>
                          <w:szCs w:val="20"/>
                        </w:rPr>
                      </w:pPr>
                      <w:r w:rsidRPr="004621E9">
                        <w:rPr>
                          <w:b/>
                          <w:bCs/>
                          <w:sz w:val="24"/>
                          <w:szCs w:val="24"/>
                        </w:rPr>
                        <w:t>FIGURE 2 Trial profile</w:t>
                      </w:r>
                    </w:p>
                    <w:p w14:paraId="36C64A38" w14:textId="6F82087D" w:rsidR="00DE3537" w:rsidRDefault="00DE3537"/>
                  </w:txbxContent>
                </v:textbox>
                <w10:wrap type="square" anchorx="margin"/>
              </v:shape>
            </w:pict>
          </mc:Fallback>
        </mc:AlternateContent>
      </w:r>
      <w:r w:rsidR="00EB43E4">
        <w:rPr>
          <w:bCs/>
        </w:rPr>
        <w:br w:type="page"/>
      </w:r>
    </w:p>
    <w:p w14:paraId="4F54B8C7" w14:textId="267E5695" w:rsidR="004E0D59" w:rsidRPr="00125367" w:rsidRDefault="009B613D" w:rsidP="008A4767">
      <w:pPr>
        <w:pStyle w:val="Heading2"/>
        <w:rPr>
          <w:rFonts w:asciiTheme="minorHAnsi" w:hAnsiTheme="minorHAnsi"/>
          <w:bCs w:val="0"/>
          <w:sz w:val="22"/>
          <w:szCs w:val="22"/>
        </w:rPr>
      </w:pPr>
      <w:bookmarkStart w:id="399" w:name="_Toc475974361"/>
      <w:r w:rsidRPr="00125367">
        <w:rPr>
          <w:rFonts w:asciiTheme="minorHAnsi" w:hAnsiTheme="minorHAnsi"/>
          <w:bCs w:val="0"/>
          <w:sz w:val="22"/>
          <w:szCs w:val="22"/>
        </w:rPr>
        <w:lastRenderedPageBreak/>
        <w:t xml:space="preserve">3.2 </w:t>
      </w:r>
      <w:r w:rsidR="004E0D59" w:rsidRPr="00125367">
        <w:rPr>
          <w:rFonts w:asciiTheme="minorHAnsi" w:hAnsiTheme="minorHAnsi"/>
          <w:bCs w:val="0"/>
          <w:sz w:val="22"/>
          <w:szCs w:val="22"/>
        </w:rPr>
        <w:t xml:space="preserve">Completeness of outcome measures through the </w:t>
      </w:r>
      <w:r w:rsidR="009D1C7F" w:rsidRPr="00125367">
        <w:rPr>
          <w:rFonts w:asciiTheme="minorHAnsi" w:hAnsiTheme="minorHAnsi"/>
          <w:bCs w:val="0"/>
          <w:sz w:val="22"/>
          <w:szCs w:val="22"/>
        </w:rPr>
        <w:t>HeLP study</w:t>
      </w:r>
      <w:bookmarkEnd w:id="398"/>
      <w:bookmarkEnd w:id="399"/>
    </w:p>
    <w:p w14:paraId="00419273" w14:textId="4744CC04" w:rsidR="004E0D59" w:rsidRPr="004E0D59" w:rsidRDefault="004E0D59" w:rsidP="008A35A5">
      <w:pPr>
        <w:spacing w:line="360" w:lineRule="auto"/>
      </w:pPr>
      <w:r w:rsidRPr="004E0D59">
        <w:t>Figure 3 shows the completeness of the outcome measures at each of the time points.  A small number of children at each time point did not assent to one or more of the anthropometric measures. In summary, between 93% and 99% of children provided data on BMI, waist circumference, percent body fat and Food Intake Questionnaire. The prop</w:t>
      </w:r>
      <w:r w:rsidR="00445176">
        <w:t>ortion of children who had u</w:t>
      </w:r>
      <w:r w:rsidRPr="004E0D59">
        <w:t>sable physical activity data files was 96% at baseline and over 88% at 18 months; similarly, the proportion of children with valid physical activity data was 9</w:t>
      </w:r>
      <w:r w:rsidR="004C02FB">
        <w:t>4</w:t>
      </w:r>
      <w:r w:rsidRPr="004E0D59">
        <w:t>% and 84% at baseline and at 18 months respectively, following the application of the minimum wear requirements (three week days and one weekend day, each with a minimum of 10 hours of continuous wear time per day). There was no evidence of differences between allocated groups in terms of the completeness of outcome measures throughout the trial</w:t>
      </w:r>
      <w:r w:rsidR="00FD3F4A">
        <w:t>, with the exception of the small difference at 24 months for BMI SDS</w:t>
      </w:r>
      <w:r w:rsidRPr="004E0D59">
        <w:t>.</w:t>
      </w:r>
    </w:p>
    <w:p w14:paraId="7955D011" w14:textId="77777777" w:rsidR="004809EC" w:rsidRDefault="004E0D59" w:rsidP="008A35A5">
      <w:pPr>
        <w:spacing w:line="360" w:lineRule="auto"/>
      </w:pPr>
      <w:r w:rsidRPr="004E0D59">
        <w:t>All anthropometric measures were taken blind to gr</w:t>
      </w:r>
      <w:r w:rsidR="00FD3F4A">
        <w:t xml:space="preserve">oup allocation. A further assessment of the success of allocation concealment </w:t>
      </w:r>
      <w:r w:rsidRPr="004E0D59">
        <w:t xml:space="preserve">was made at </w:t>
      </w:r>
      <w:r w:rsidR="00FD3F4A">
        <w:t xml:space="preserve">the </w:t>
      </w:r>
      <w:r w:rsidRPr="004E0D59">
        <w:t>24 month data collection</w:t>
      </w:r>
      <w:r w:rsidR="004C02FB">
        <w:t xml:space="preserve"> point</w:t>
      </w:r>
      <w:r w:rsidRPr="004E0D59">
        <w:t xml:space="preserve">, where there was a mixture of children </w:t>
      </w:r>
      <w:r w:rsidR="004C02FB">
        <w:t>from intervention and control primary schools</w:t>
      </w:r>
      <w:r w:rsidRPr="004E0D59">
        <w:t xml:space="preserve"> in each secondary school, </w:t>
      </w:r>
      <w:r w:rsidR="004C02FB">
        <w:t>with</w:t>
      </w:r>
      <w:r w:rsidRPr="004E0D59">
        <w:t xml:space="preserve"> the independent (blind) assessor</w:t>
      </w:r>
      <w:r w:rsidR="004C02FB">
        <w:t xml:space="preserve">s </w:t>
      </w:r>
      <w:r w:rsidR="00FD3F4A">
        <w:t>requested to indicate</w:t>
      </w:r>
      <w:r w:rsidR="004C02FB">
        <w:t xml:space="preserve"> wh</w:t>
      </w:r>
      <w:r w:rsidRPr="004E0D59">
        <w:t>ether the child had revealed their allocated group; no child reported their allocated group.</w:t>
      </w:r>
      <w:bookmarkStart w:id="400" w:name="_Toc431484206"/>
    </w:p>
    <w:p w14:paraId="7366C96F" w14:textId="3724DD80" w:rsidR="00125367" w:rsidRDefault="00125367" w:rsidP="008A35A5">
      <w:pPr>
        <w:spacing w:line="360" w:lineRule="auto"/>
      </w:pPr>
      <w:r w:rsidRPr="00337CF6">
        <w:rPr>
          <w:rFonts w:eastAsiaTheme="majorEastAsia" w:cstheme="majorBidi"/>
        </w:rPr>
        <w:t xml:space="preserve">Figure 3 shows completeness of measures across time points. ‘N’ refers to the number of schools (clusters) and ‘n’ refers to the number of children (individual participants). The percentage given in brackets for the proportion of children with data at baseline and </w:t>
      </w:r>
      <w:r>
        <w:rPr>
          <w:rFonts w:eastAsiaTheme="majorEastAsia" w:cstheme="majorBidi"/>
        </w:rPr>
        <w:t>follow up</w:t>
      </w:r>
      <w:r w:rsidRPr="00337CF6">
        <w:rPr>
          <w:rFonts w:eastAsiaTheme="majorEastAsia" w:cstheme="majorBidi"/>
        </w:rPr>
        <w:t xml:space="preserve"> is of the total number of recruited children in the schools at baseline. Not all children with a </w:t>
      </w:r>
      <w:r>
        <w:rPr>
          <w:rFonts w:eastAsiaTheme="majorEastAsia" w:cstheme="majorBidi"/>
        </w:rPr>
        <w:t>follow up</w:t>
      </w:r>
      <w:r w:rsidRPr="00337CF6">
        <w:rPr>
          <w:rFonts w:eastAsiaTheme="majorEastAsia" w:cstheme="majorBidi"/>
        </w:rPr>
        <w:t xml:space="preserve"> measure necessarily had a corresponding baseline measure (or vice versa) due to different children being absent on the day of the main and additional assessments for each of the time points, and/or due to children leaving or moving between schools. In all the analyses, children were analysed in the group (intervention or control) to which the school they were enrolled in at baseline was randomised. There were no differences in missing anthropometric data by allocated group at each time point</w:t>
      </w:r>
      <w:r>
        <w:rPr>
          <w:rFonts w:eastAsiaTheme="majorEastAsia" w:cstheme="majorBidi"/>
        </w:rPr>
        <w:t>.</w:t>
      </w:r>
    </w:p>
    <w:p w14:paraId="787300EE" w14:textId="77777777" w:rsidR="004809EC" w:rsidRDefault="004809EC" w:rsidP="005053FC"/>
    <w:p w14:paraId="42411183" w14:textId="18BEC203" w:rsidR="004809EC" w:rsidRPr="004809EC" w:rsidRDefault="004E0D59" w:rsidP="005053FC">
      <w:r w:rsidRPr="004E0D59">
        <w:br w:type="page"/>
      </w:r>
    </w:p>
    <w:bookmarkEnd w:id="400"/>
    <w:p w14:paraId="6B3B85A3" w14:textId="57372B82" w:rsidR="004E0D59" w:rsidRDefault="004E0D59" w:rsidP="005053FC">
      <w:pPr>
        <w:rPr>
          <w:b/>
          <w:bCs/>
        </w:rPr>
      </w:pPr>
      <w:r w:rsidRPr="004621E9">
        <w:rPr>
          <w:b/>
          <w:bCs/>
        </w:rPr>
        <w:lastRenderedPageBreak/>
        <w:t>F</w:t>
      </w:r>
      <w:r w:rsidR="004621E9" w:rsidRPr="004621E9">
        <w:rPr>
          <w:b/>
          <w:bCs/>
        </w:rPr>
        <w:t>IGURE</w:t>
      </w:r>
      <w:r w:rsidRPr="004621E9">
        <w:rPr>
          <w:b/>
          <w:bCs/>
        </w:rPr>
        <w:t xml:space="preserve"> 3 Completeness of measures across time points</w:t>
      </w:r>
    </w:p>
    <w:p w14:paraId="3EA57B64" w14:textId="78F00D9D" w:rsidR="008A4767" w:rsidRPr="008A4767" w:rsidRDefault="008A35A5" w:rsidP="008A4767">
      <w:pPr>
        <w:rPr>
          <w:rFonts w:eastAsiaTheme="minorHAnsi"/>
          <w:lang w:eastAsia="en-US"/>
        </w:rPr>
      </w:pPr>
      <w:r w:rsidRPr="008A4767">
        <w:rPr>
          <w:rFonts w:eastAsiaTheme="minorHAnsi"/>
          <w:noProof/>
          <w:lang w:eastAsia="zh-CN"/>
        </w:rPr>
        <mc:AlternateContent>
          <mc:Choice Requires="wpg">
            <w:drawing>
              <wp:anchor distT="0" distB="0" distL="114300" distR="114300" simplePos="0" relativeHeight="251671552" behindDoc="0" locked="0" layoutInCell="1" allowOverlap="1" wp14:anchorId="6D7B7248" wp14:editId="1974BDC2">
                <wp:simplePos x="0" y="0"/>
                <wp:positionH relativeFrom="margin">
                  <wp:posOffset>-76200</wp:posOffset>
                </wp:positionH>
                <wp:positionV relativeFrom="paragraph">
                  <wp:posOffset>838200</wp:posOffset>
                </wp:positionV>
                <wp:extent cx="5788660" cy="6648450"/>
                <wp:effectExtent l="0" t="0" r="21590" b="19050"/>
                <wp:wrapNone/>
                <wp:docPr id="185" name="Group 185"/>
                <wp:cNvGraphicFramePr/>
                <a:graphic xmlns:a="http://schemas.openxmlformats.org/drawingml/2006/main">
                  <a:graphicData uri="http://schemas.microsoft.com/office/word/2010/wordprocessingGroup">
                    <wpg:wgp>
                      <wpg:cNvGrpSpPr/>
                      <wpg:grpSpPr>
                        <a:xfrm>
                          <a:off x="0" y="0"/>
                          <a:ext cx="5788660" cy="6648450"/>
                          <a:chOff x="0" y="0"/>
                          <a:chExt cx="5788660" cy="6648450"/>
                        </a:xfrm>
                      </wpg:grpSpPr>
                      <wpg:grpSp>
                        <wpg:cNvPr id="186" name="Group 186"/>
                        <wpg:cNvGrpSpPr/>
                        <wpg:grpSpPr>
                          <a:xfrm>
                            <a:off x="895350" y="0"/>
                            <a:ext cx="4893310" cy="6452870"/>
                            <a:chOff x="0" y="0"/>
                            <a:chExt cx="4893310" cy="6452870"/>
                          </a:xfrm>
                        </wpg:grpSpPr>
                        <wps:wsp>
                          <wps:cNvPr id="187" name="Rectangle 26"/>
                          <wps:cNvSpPr>
                            <a:spLocks noChangeArrowheads="1"/>
                          </wps:cNvSpPr>
                          <wps:spPr bwMode="auto">
                            <a:xfrm>
                              <a:off x="19050" y="5876925"/>
                              <a:ext cx="2159635" cy="575945"/>
                            </a:xfrm>
                            <a:prstGeom prst="rect">
                              <a:avLst/>
                            </a:prstGeom>
                            <a:solidFill>
                              <a:srgbClr val="FFFFFF"/>
                            </a:solidFill>
                            <a:ln w="9525">
                              <a:solidFill>
                                <a:srgbClr val="000000"/>
                              </a:solidFill>
                              <a:miter lim="800000"/>
                              <a:headEnd/>
                              <a:tailEnd/>
                            </a:ln>
                          </wps:spPr>
                          <wps:txbx>
                            <w:txbxContent>
                              <w:p w14:paraId="0BDCEB2F" w14:textId="77777777" w:rsidR="00DE3537" w:rsidRDefault="00DE3537" w:rsidP="008A4767">
                                <w:pPr>
                                  <w:spacing w:after="0" w:line="240" w:lineRule="auto"/>
                                  <w:ind w:left="360" w:hanging="360"/>
                                  <w:jc w:val="center"/>
                                  <w:rPr>
                                    <w:sz w:val="16"/>
                                    <w:szCs w:val="16"/>
                                    <w:lang w:val="en-CA"/>
                                  </w:rPr>
                                </w:pPr>
                                <w:r>
                                  <w:rPr>
                                    <w:sz w:val="16"/>
                                    <w:szCs w:val="16"/>
                                    <w:lang w:val="en-CA"/>
                                  </w:rPr>
                                  <w:t>Primary analysis</w:t>
                                </w:r>
                              </w:p>
                              <w:p w14:paraId="35372D23" w14:textId="77777777" w:rsidR="00DE3537" w:rsidRPr="002D2C86" w:rsidRDefault="00DE3537" w:rsidP="008A4767">
                                <w:pPr>
                                  <w:spacing w:after="0" w:line="240" w:lineRule="auto"/>
                                  <w:ind w:left="360" w:hanging="360"/>
                                  <w:jc w:val="center"/>
                                  <w:rPr>
                                    <w:rFonts w:cs="Calibri"/>
                                    <w:b/>
                                    <w:sz w:val="16"/>
                                    <w:szCs w:val="16"/>
                                    <w:lang w:val="en-CA"/>
                                  </w:rPr>
                                </w:pPr>
                                <w:r w:rsidRPr="002D2C86">
                                  <w:rPr>
                                    <w:rFonts w:cs="Calibri"/>
                                    <w:b/>
                                    <w:sz w:val="16"/>
                                    <w:szCs w:val="16"/>
                                    <w:lang w:val="en-CA"/>
                                  </w:rPr>
                                  <w:t xml:space="preserve">Primary outcome BMI </w:t>
                                </w:r>
                                <w:r>
                                  <w:rPr>
                                    <w:rFonts w:cs="Calibri"/>
                                    <w:b/>
                                    <w:sz w:val="16"/>
                                    <w:szCs w:val="16"/>
                                    <w:lang w:val="en-CA"/>
                                  </w:rPr>
                                  <w:t>SDS</w:t>
                                </w:r>
                                <w:r w:rsidRPr="002D2C86">
                                  <w:rPr>
                                    <w:rFonts w:cs="Calibri"/>
                                    <w:b/>
                                    <w:sz w:val="16"/>
                                    <w:szCs w:val="16"/>
                                    <w:lang w:val="en-CA"/>
                                  </w:rPr>
                                  <w:t xml:space="preserve"> (n</w:t>
                                </w:r>
                                <w:r>
                                  <w:rPr>
                                    <w:rFonts w:cs="Calibri"/>
                                    <w:b/>
                                    <w:sz w:val="16"/>
                                    <w:szCs w:val="16"/>
                                    <w:lang w:val="en-CA"/>
                                  </w:rPr>
                                  <w:t xml:space="preserve"> </w:t>
                                </w:r>
                                <w:r w:rsidRPr="002D2C86">
                                  <w:rPr>
                                    <w:rFonts w:cs="Calibri"/>
                                    <w:b/>
                                    <w:sz w:val="16"/>
                                    <w:szCs w:val="16"/>
                                    <w:lang w:val="en-CA"/>
                                  </w:rPr>
                                  <w:t>=</w:t>
                                </w:r>
                                <w:r>
                                  <w:rPr>
                                    <w:rFonts w:cs="Calibri"/>
                                    <w:b/>
                                    <w:sz w:val="16"/>
                                    <w:szCs w:val="16"/>
                                    <w:lang w:val="en-CA"/>
                                  </w:rPr>
                                  <w:t xml:space="preserve"> </w:t>
                                </w:r>
                                <w:r w:rsidRPr="002D2C86">
                                  <w:rPr>
                                    <w:rFonts w:cs="Calibri"/>
                                    <w:b/>
                                    <w:sz w:val="16"/>
                                    <w:szCs w:val="16"/>
                                    <w:lang w:val="en-CA"/>
                                  </w:rPr>
                                  <w:t>628; 92.9%)</w:t>
                                </w:r>
                              </w:p>
                              <w:p w14:paraId="20CB60FF" w14:textId="77777777" w:rsidR="00DE3537" w:rsidRDefault="00DE3537" w:rsidP="008A4767">
                                <w:pPr>
                                  <w:spacing w:after="0" w:line="240" w:lineRule="auto"/>
                                  <w:ind w:left="360" w:hanging="360"/>
                                  <w:jc w:val="center"/>
                                  <w:rPr>
                                    <w:rFonts w:cs="Calibri"/>
                                    <w:sz w:val="16"/>
                                    <w:szCs w:val="16"/>
                                    <w:lang w:val="en-CA"/>
                                  </w:rPr>
                                </w:pPr>
                                <w:r>
                                  <w:rPr>
                                    <w:rFonts w:cs="Calibri"/>
                                    <w:sz w:val="16"/>
                                    <w:szCs w:val="16"/>
                                    <w:lang w:val="en-CA"/>
                                  </w:rPr>
                                  <w:t>2 children excluded as no baseline BMI</w:t>
                                </w:r>
                              </w:p>
                              <w:p w14:paraId="3554E2D7" w14:textId="77777777" w:rsidR="00DE3537" w:rsidRPr="00CF23C3" w:rsidRDefault="00DE3537" w:rsidP="008A4767">
                                <w:pPr>
                                  <w:spacing w:after="0" w:line="240" w:lineRule="auto"/>
                                  <w:ind w:left="360" w:hanging="360"/>
                                  <w:rPr>
                                    <w:rFonts w:cs="Calibri"/>
                                    <w:sz w:val="16"/>
                                    <w:szCs w:val="16"/>
                                    <w:lang w:val="en-CA"/>
                                  </w:rPr>
                                </w:pPr>
                              </w:p>
                            </w:txbxContent>
                          </wps:txbx>
                          <wps:bodyPr rot="0" vert="horz" wrap="square" lIns="91440" tIns="91440" rIns="91440" bIns="91440" anchor="t" anchorCtr="0" upright="1">
                            <a:noAutofit/>
                          </wps:bodyPr>
                        </wps:wsp>
                        <wps:wsp>
                          <wps:cNvPr id="188" name="Rectangle 188"/>
                          <wps:cNvSpPr>
                            <a:spLocks noChangeArrowheads="1"/>
                          </wps:cNvSpPr>
                          <wps:spPr bwMode="auto">
                            <a:xfrm>
                              <a:off x="9525" y="3333750"/>
                              <a:ext cx="2159635" cy="1043940"/>
                            </a:xfrm>
                            <a:prstGeom prst="rect">
                              <a:avLst/>
                            </a:prstGeom>
                            <a:solidFill>
                              <a:srgbClr val="FFFFFF"/>
                            </a:solidFill>
                            <a:ln w="9525">
                              <a:solidFill>
                                <a:srgbClr val="000000"/>
                              </a:solidFill>
                              <a:miter lim="800000"/>
                              <a:headEnd/>
                              <a:tailEnd/>
                            </a:ln>
                          </wps:spPr>
                          <wps:txbx>
                            <w:txbxContent>
                              <w:p w14:paraId="148F2188" w14:textId="77777777" w:rsidR="00DE3537" w:rsidRPr="00124CB0" w:rsidRDefault="00DE3537" w:rsidP="008A4767">
                                <w:pPr>
                                  <w:widowControl w:val="0"/>
                                  <w:spacing w:after="0" w:line="240" w:lineRule="auto"/>
                                  <w:jc w:val="center"/>
                                  <w:rPr>
                                    <w:b/>
                                    <w:sz w:val="16"/>
                                    <w:szCs w:val="16"/>
                                    <w:lang w:val="en-CA"/>
                                  </w:rPr>
                                </w:pPr>
                                <w:r>
                                  <w:rPr>
                                    <w:b/>
                                    <w:sz w:val="16"/>
                                    <w:szCs w:val="16"/>
                                    <w:lang w:val="en-CA"/>
                                  </w:rPr>
                                  <w:t>BMI (height and weight), n = 644</w:t>
                                </w:r>
                                <w:r w:rsidRPr="00124CB0">
                                  <w:rPr>
                                    <w:b/>
                                    <w:sz w:val="16"/>
                                    <w:szCs w:val="16"/>
                                    <w:lang w:val="en-CA"/>
                                  </w:rPr>
                                  <w:t xml:space="preserve"> (9</w:t>
                                </w:r>
                                <w:r>
                                  <w:rPr>
                                    <w:b/>
                                    <w:sz w:val="16"/>
                                    <w:szCs w:val="16"/>
                                    <w:lang w:val="en-CA"/>
                                  </w:rPr>
                                  <w:t>5.3</w:t>
                                </w:r>
                                <w:r w:rsidRPr="00124CB0">
                                  <w:rPr>
                                    <w:b/>
                                    <w:sz w:val="16"/>
                                    <w:szCs w:val="16"/>
                                    <w:lang w:val="en-CA"/>
                                  </w:rPr>
                                  <w:t>%)</w:t>
                                </w:r>
                              </w:p>
                              <w:p w14:paraId="52062690" w14:textId="77777777" w:rsidR="00DE3537" w:rsidRPr="00A901C6" w:rsidRDefault="00DE3537" w:rsidP="008A4767">
                                <w:pPr>
                                  <w:widowControl w:val="0"/>
                                  <w:spacing w:after="0" w:line="240" w:lineRule="auto"/>
                                  <w:jc w:val="center"/>
                                  <w:rPr>
                                    <w:sz w:val="16"/>
                                    <w:szCs w:val="16"/>
                                    <w:lang w:val="en-CA"/>
                                  </w:rPr>
                                </w:pPr>
                                <w:r>
                                  <w:rPr>
                                    <w:sz w:val="16"/>
                                    <w:szCs w:val="16"/>
                                    <w:lang w:val="en-CA"/>
                                  </w:rPr>
                                  <w:t xml:space="preserve">Waist </w:t>
                                </w:r>
                                <w:r w:rsidRPr="00A901C6">
                                  <w:rPr>
                                    <w:sz w:val="16"/>
                                    <w:szCs w:val="16"/>
                                    <w:lang w:val="en-CA"/>
                                  </w:rPr>
                                  <w:t>circumference, n</w:t>
                                </w:r>
                                <w:r>
                                  <w:rPr>
                                    <w:sz w:val="16"/>
                                    <w:szCs w:val="16"/>
                                    <w:lang w:val="en-CA"/>
                                  </w:rPr>
                                  <w:t xml:space="preserve"> </w:t>
                                </w:r>
                                <w:r w:rsidRPr="00A901C6">
                                  <w:rPr>
                                    <w:sz w:val="16"/>
                                    <w:szCs w:val="16"/>
                                    <w:lang w:val="en-CA"/>
                                  </w:rPr>
                                  <w:t>=</w:t>
                                </w:r>
                                <w:r>
                                  <w:rPr>
                                    <w:sz w:val="16"/>
                                    <w:szCs w:val="16"/>
                                    <w:lang w:val="en-CA"/>
                                  </w:rPr>
                                  <w:t xml:space="preserve"> </w:t>
                                </w:r>
                                <w:r w:rsidRPr="00A901C6">
                                  <w:rPr>
                                    <w:sz w:val="16"/>
                                    <w:szCs w:val="16"/>
                                    <w:lang w:val="en-CA"/>
                                  </w:rPr>
                                  <w:t>645 (95.4%)</w:t>
                                </w:r>
                              </w:p>
                              <w:p w14:paraId="51023914" w14:textId="77777777" w:rsidR="00DE3537" w:rsidRPr="00A901C6" w:rsidRDefault="00DE3537" w:rsidP="008A4767">
                                <w:pPr>
                                  <w:widowControl w:val="0"/>
                                  <w:spacing w:after="0" w:line="240" w:lineRule="auto"/>
                                  <w:jc w:val="center"/>
                                  <w:rPr>
                                    <w:sz w:val="16"/>
                                    <w:szCs w:val="16"/>
                                    <w:lang w:val="en-CA"/>
                                  </w:rPr>
                                </w:pPr>
                                <w:r w:rsidRPr="00A901C6">
                                  <w:rPr>
                                    <w:sz w:val="16"/>
                                    <w:szCs w:val="16"/>
                                    <w:lang w:val="en-CA"/>
                                  </w:rPr>
                                  <w:t>Body fat, n</w:t>
                                </w:r>
                                <w:r>
                                  <w:rPr>
                                    <w:sz w:val="16"/>
                                    <w:szCs w:val="16"/>
                                    <w:lang w:val="en-CA"/>
                                  </w:rPr>
                                  <w:t xml:space="preserve"> </w:t>
                                </w:r>
                                <w:r w:rsidRPr="00A901C6">
                                  <w:rPr>
                                    <w:sz w:val="16"/>
                                    <w:szCs w:val="16"/>
                                    <w:lang w:val="en-CA"/>
                                  </w:rPr>
                                  <w:t>=</w:t>
                                </w:r>
                                <w:r>
                                  <w:rPr>
                                    <w:sz w:val="16"/>
                                    <w:szCs w:val="16"/>
                                    <w:lang w:val="en-CA"/>
                                  </w:rPr>
                                  <w:t xml:space="preserve"> </w:t>
                                </w:r>
                                <w:r w:rsidRPr="00A901C6">
                                  <w:rPr>
                                    <w:sz w:val="16"/>
                                    <w:szCs w:val="16"/>
                                    <w:lang w:val="en-CA"/>
                                  </w:rPr>
                                  <w:t>644 (95.3%)</w:t>
                                </w:r>
                              </w:p>
                              <w:p w14:paraId="5D549B24" w14:textId="77777777" w:rsidR="00DE3537" w:rsidRPr="00A901C6" w:rsidRDefault="00DE3537" w:rsidP="008A4767">
                                <w:pPr>
                                  <w:widowControl w:val="0"/>
                                  <w:spacing w:after="0" w:line="240" w:lineRule="auto"/>
                                  <w:jc w:val="center"/>
                                  <w:rPr>
                                    <w:sz w:val="16"/>
                                    <w:szCs w:val="16"/>
                                    <w:lang w:val="en-CA"/>
                                  </w:rPr>
                                </w:pPr>
                                <w:r w:rsidRPr="00A901C6">
                                  <w:rPr>
                                    <w:sz w:val="16"/>
                                    <w:szCs w:val="16"/>
                                    <w:lang w:val="en-CA"/>
                                  </w:rPr>
                                  <w:t>FIQ weekday, n</w:t>
                                </w:r>
                                <w:r>
                                  <w:rPr>
                                    <w:sz w:val="16"/>
                                    <w:szCs w:val="16"/>
                                    <w:lang w:val="en-CA"/>
                                  </w:rPr>
                                  <w:t xml:space="preserve"> </w:t>
                                </w:r>
                                <w:r w:rsidRPr="00A901C6">
                                  <w:rPr>
                                    <w:sz w:val="16"/>
                                    <w:szCs w:val="16"/>
                                    <w:lang w:val="en-CA"/>
                                  </w:rPr>
                                  <w:t>=</w:t>
                                </w:r>
                                <w:r>
                                  <w:rPr>
                                    <w:sz w:val="16"/>
                                    <w:szCs w:val="16"/>
                                    <w:lang w:val="en-CA"/>
                                  </w:rPr>
                                  <w:t xml:space="preserve"> </w:t>
                                </w:r>
                                <w:r w:rsidRPr="00A901C6">
                                  <w:rPr>
                                    <w:sz w:val="16"/>
                                    <w:szCs w:val="16"/>
                                    <w:lang w:val="en-CA"/>
                                  </w:rPr>
                                  <w:t>647 (95.7%)</w:t>
                                </w:r>
                              </w:p>
                              <w:p w14:paraId="11D09CFB" w14:textId="77777777" w:rsidR="00DE3537" w:rsidRPr="00A901C6" w:rsidRDefault="00DE3537" w:rsidP="008A4767">
                                <w:pPr>
                                  <w:widowControl w:val="0"/>
                                  <w:spacing w:after="0" w:line="240" w:lineRule="auto"/>
                                  <w:jc w:val="center"/>
                                  <w:rPr>
                                    <w:sz w:val="16"/>
                                    <w:szCs w:val="16"/>
                                    <w:lang w:val="en-CA"/>
                                  </w:rPr>
                                </w:pPr>
                                <w:r w:rsidRPr="00A901C6">
                                  <w:rPr>
                                    <w:sz w:val="16"/>
                                    <w:szCs w:val="16"/>
                                    <w:lang w:val="en-CA"/>
                                  </w:rPr>
                                  <w:t>FIQ weekend, n</w:t>
                                </w:r>
                                <w:r>
                                  <w:rPr>
                                    <w:sz w:val="16"/>
                                    <w:szCs w:val="16"/>
                                    <w:lang w:val="en-CA"/>
                                  </w:rPr>
                                  <w:t xml:space="preserve"> </w:t>
                                </w:r>
                                <w:r w:rsidRPr="00A901C6">
                                  <w:rPr>
                                    <w:sz w:val="16"/>
                                    <w:szCs w:val="16"/>
                                    <w:lang w:val="en-CA"/>
                                  </w:rPr>
                                  <w:t>=</w:t>
                                </w:r>
                                <w:r>
                                  <w:rPr>
                                    <w:sz w:val="16"/>
                                    <w:szCs w:val="16"/>
                                    <w:lang w:val="en-CA"/>
                                  </w:rPr>
                                  <w:t xml:space="preserve"> </w:t>
                                </w:r>
                                <w:r w:rsidRPr="00A901C6">
                                  <w:rPr>
                                    <w:sz w:val="16"/>
                                    <w:szCs w:val="16"/>
                                    <w:lang w:val="en-CA"/>
                                  </w:rPr>
                                  <w:t>648 (95.9%)</w:t>
                                </w:r>
                              </w:p>
                              <w:p w14:paraId="0B23080D" w14:textId="77777777" w:rsidR="00DE3537" w:rsidRPr="004A65D5" w:rsidRDefault="00DE3537" w:rsidP="008A4767">
                                <w:pPr>
                                  <w:widowControl w:val="0"/>
                                  <w:spacing w:after="0" w:line="240" w:lineRule="auto"/>
                                  <w:jc w:val="center"/>
                                  <w:rPr>
                                    <w:sz w:val="16"/>
                                    <w:szCs w:val="16"/>
                                    <w:lang w:val="en-CA"/>
                                  </w:rPr>
                                </w:pPr>
                                <w:r w:rsidRPr="004A65D5">
                                  <w:rPr>
                                    <w:sz w:val="16"/>
                                    <w:szCs w:val="16"/>
                                    <w:lang w:val="en-CA"/>
                                  </w:rPr>
                                  <w:t>PA (analysed files), n</w:t>
                                </w:r>
                                <w:r>
                                  <w:rPr>
                                    <w:sz w:val="16"/>
                                    <w:szCs w:val="16"/>
                                    <w:lang w:val="en-CA"/>
                                  </w:rPr>
                                  <w:t xml:space="preserve"> </w:t>
                                </w:r>
                                <w:r w:rsidRPr="004A65D5">
                                  <w:rPr>
                                    <w:sz w:val="16"/>
                                    <w:szCs w:val="16"/>
                                    <w:lang w:val="en-CA"/>
                                  </w:rPr>
                                  <w:t>=</w:t>
                                </w:r>
                                <w:r>
                                  <w:rPr>
                                    <w:sz w:val="16"/>
                                    <w:szCs w:val="16"/>
                                    <w:lang w:val="en-CA"/>
                                  </w:rPr>
                                  <w:t xml:space="preserve"> </w:t>
                                </w:r>
                                <w:r w:rsidRPr="004A65D5">
                                  <w:rPr>
                                    <w:sz w:val="16"/>
                                    <w:szCs w:val="16"/>
                                    <w:lang w:val="en-CA"/>
                                  </w:rPr>
                                  <w:t>384/428 (89.7%)</w:t>
                                </w:r>
                              </w:p>
                              <w:p w14:paraId="59F89D68" w14:textId="77777777" w:rsidR="00DE3537" w:rsidRDefault="00DE3537" w:rsidP="008A4767">
                                <w:pPr>
                                  <w:widowControl w:val="0"/>
                                  <w:spacing w:after="0" w:line="240" w:lineRule="auto"/>
                                  <w:jc w:val="center"/>
                                  <w:rPr>
                                    <w:sz w:val="16"/>
                                    <w:szCs w:val="16"/>
                                    <w:lang w:val="en-CA"/>
                                  </w:rPr>
                                </w:pPr>
                                <w:r w:rsidRPr="004A65D5">
                                  <w:rPr>
                                    <w:sz w:val="16"/>
                                    <w:szCs w:val="16"/>
                                    <w:lang w:val="en-CA"/>
                                  </w:rPr>
                                  <w:t>PA (valid data), n</w:t>
                                </w:r>
                                <w:r>
                                  <w:rPr>
                                    <w:sz w:val="16"/>
                                    <w:szCs w:val="16"/>
                                    <w:lang w:val="en-CA"/>
                                  </w:rPr>
                                  <w:t xml:space="preserve"> </w:t>
                                </w:r>
                                <w:r w:rsidRPr="004A65D5">
                                  <w:rPr>
                                    <w:sz w:val="16"/>
                                    <w:szCs w:val="16"/>
                                    <w:lang w:val="en-CA"/>
                                  </w:rPr>
                                  <w:t>=</w:t>
                                </w:r>
                                <w:r>
                                  <w:rPr>
                                    <w:sz w:val="16"/>
                                    <w:szCs w:val="16"/>
                                    <w:lang w:val="en-CA"/>
                                  </w:rPr>
                                  <w:t xml:space="preserve"> </w:t>
                                </w:r>
                                <w:r w:rsidRPr="004A65D5">
                                  <w:rPr>
                                    <w:sz w:val="16"/>
                                    <w:szCs w:val="16"/>
                                    <w:lang w:val="en-CA"/>
                                  </w:rPr>
                                  <w:t>359/428 (83.9%)</w:t>
                                </w:r>
                              </w:p>
                              <w:p w14:paraId="31BB91F2" w14:textId="77777777" w:rsidR="00DE3537" w:rsidRDefault="00DE3537" w:rsidP="008A4767">
                                <w:pPr>
                                  <w:spacing w:after="0" w:line="240" w:lineRule="auto"/>
                                  <w:ind w:left="360" w:hanging="360"/>
                                  <w:rPr>
                                    <w:sz w:val="16"/>
                                    <w:szCs w:val="16"/>
                                    <w:lang w:val="en-CA"/>
                                  </w:rPr>
                                </w:pPr>
                              </w:p>
                            </w:txbxContent>
                          </wps:txbx>
                          <wps:bodyPr rot="0" vert="horz" wrap="square" lIns="91440" tIns="91440" rIns="91440" bIns="91440" anchor="t" anchorCtr="0" upright="1">
                            <a:noAutofit/>
                          </wps:bodyPr>
                        </wps:wsp>
                        <wps:wsp>
                          <wps:cNvPr id="189" name="Rectangle 189"/>
                          <wps:cNvSpPr>
                            <a:spLocks noChangeArrowheads="1"/>
                          </wps:cNvSpPr>
                          <wps:spPr bwMode="auto">
                            <a:xfrm>
                              <a:off x="9525" y="1533525"/>
                              <a:ext cx="2159635" cy="575945"/>
                            </a:xfrm>
                            <a:prstGeom prst="rect">
                              <a:avLst/>
                            </a:prstGeom>
                            <a:solidFill>
                              <a:srgbClr val="FFFFFF"/>
                            </a:solidFill>
                            <a:ln w="9525">
                              <a:solidFill>
                                <a:srgbClr val="000000"/>
                              </a:solidFill>
                              <a:miter lim="800000"/>
                              <a:headEnd/>
                              <a:tailEnd/>
                            </a:ln>
                          </wps:spPr>
                          <wps:txbx>
                            <w:txbxContent>
                              <w:p w14:paraId="03DAD1BA" w14:textId="77777777" w:rsidR="00DE3537" w:rsidRPr="008624C3" w:rsidRDefault="00DE3537" w:rsidP="008A4767">
                                <w:pPr>
                                  <w:spacing w:after="0" w:line="240" w:lineRule="auto"/>
                                  <w:jc w:val="center"/>
                                  <w:rPr>
                                    <w:sz w:val="16"/>
                                    <w:szCs w:val="16"/>
                                    <w:lang w:val="en-CA"/>
                                  </w:rPr>
                                </w:pPr>
                                <w:r w:rsidRPr="008624C3">
                                  <w:rPr>
                                    <w:sz w:val="16"/>
                                    <w:szCs w:val="16"/>
                                    <w:lang w:val="en-CA"/>
                                  </w:rPr>
                                  <w:t>Allocated to intervention N</w:t>
                                </w:r>
                                <w:r>
                                  <w:rPr>
                                    <w:sz w:val="16"/>
                                    <w:szCs w:val="16"/>
                                    <w:lang w:val="en-CA"/>
                                  </w:rPr>
                                  <w:t xml:space="preserve"> </w:t>
                                </w:r>
                                <w:r w:rsidRPr="008624C3">
                                  <w:rPr>
                                    <w:sz w:val="16"/>
                                    <w:szCs w:val="16"/>
                                    <w:lang w:val="en-CA"/>
                                  </w:rPr>
                                  <w:t>=</w:t>
                                </w:r>
                                <w:r>
                                  <w:rPr>
                                    <w:sz w:val="16"/>
                                    <w:szCs w:val="16"/>
                                    <w:lang w:val="en-CA"/>
                                  </w:rPr>
                                  <w:t xml:space="preserve"> </w:t>
                                </w:r>
                                <w:r w:rsidRPr="008624C3">
                                  <w:rPr>
                                    <w:sz w:val="16"/>
                                    <w:szCs w:val="16"/>
                                    <w:lang w:val="en-CA"/>
                                  </w:rPr>
                                  <w:t xml:space="preserve">16; </w:t>
                                </w:r>
                              </w:p>
                              <w:p w14:paraId="7CAC73C1" w14:textId="77777777" w:rsidR="00DE3537" w:rsidRPr="008624C3" w:rsidRDefault="00DE3537" w:rsidP="008A4767">
                                <w:pPr>
                                  <w:spacing w:after="0" w:line="240" w:lineRule="auto"/>
                                  <w:jc w:val="center"/>
                                  <w:rPr>
                                    <w:sz w:val="16"/>
                                    <w:szCs w:val="16"/>
                                    <w:lang w:val="en-CA"/>
                                  </w:rPr>
                                </w:pPr>
                                <w:r>
                                  <w:rPr>
                                    <w:sz w:val="16"/>
                                    <w:szCs w:val="16"/>
                                    <w:lang w:val="en-CA"/>
                                  </w:rPr>
                                  <w:t xml:space="preserve">n </w:t>
                                </w:r>
                                <w:r w:rsidRPr="008624C3">
                                  <w:rPr>
                                    <w:sz w:val="16"/>
                                    <w:szCs w:val="16"/>
                                    <w:lang w:val="en-CA"/>
                                  </w:rPr>
                                  <w:t>=</w:t>
                                </w:r>
                                <w:r>
                                  <w:rPr>
                                    <w:sz w:val="16"/>
                                    <w:szCs w:val="16"/>
                                    <w:lang w:val="en-CA"/>
                                  </w:rPr>
                                  <w:t xml:space="preserve"> </w:t>
                                </w:r>
                                <w:r w:rsidRPr="008624C3">
                                  <w:rPr>
                                    <w:sz w:val="16"/>
                                    <w:szCs w:val="16"/>
                                    <w:lang w:val="en-CA"/>
                                  </w:rPr>
                                  <w:t>676 children; mean (coefficient of variation) 42.3 (0.49) children per school</w:t>
                                </w:r>
                              </w:p>
                              <w:p w14:paraId="7EE1B33D" w14:textId="77777777" w:rsidR="00DE3537" w:rsidRPr="00210D72" w:rsidRDefault="00DE3537" w:rsidP="008A4767">
                                <w:pPr>
                                  <w:spacing w:after="0" w:line="240" w:lineRule="auto"/>
                                  <w:rPr>
                                    <w:rFonts w:cs="Calibri"/>
                                    <w:sz w:val="16"/>
                                    <w:szCs w:val="16"/>
                                    <w:lang w:val="en-CA"/>
                                  </w:rPr>
                                </w:pPr>
                              </w:p>
                            </w:txbxContent>
                          </wps:txbx>
                          <wps:bodyPr rot="0" vert="horz" wrap="square" lIns="91440" tIns="91440" rIns="91440" bIns="91440" anchor="t" anchorCtr="0" upright="1">
                            <a:noAutofit/>
                          </wps:bodyPr>
                        </wps:wsp>
                        <wps:wsp>
                          <wps:cNvPr id="190" name="Rectangle 25"/>
                          <wps:cNvSpPr>
                            <a:spLocks noChangeArrowheads="1"/>
                          </wps:cNvSpPr>
                          <wps:spPr bwMode="auto">
                            <a:xfrm>
                              <a:off x="2724150" y="5876925"/>
                              <a:ext cx="2159635" cy="575945"/>
                            </a:xfrm>
                            <a:prstGeom prst="rect">
                              <a:avLst/>
                            </a:prstGeom>
                            <a:solidFill>
                              <a:srgbClr val="FFFFFF"/>
                            </a:solidFill>
                            <a:ln w="9525">
                              <a:solidFill>
                                <a:srgbClr val="000000"/>
                              </a:solidFill>
                              <a:miter lim="800000"/>
                              <a:headEnd/>
                              <a:tailEnd/>
                            </a:ln>
                          </wps:spPr>
                          <wps:txbx>
                            <w:txbxContent>
                              <w:p w14:paraId="33A61C61" w14:textId="77777777" w:rsidR="00DE3537" w:rsidRDefault="00DE3537" w:rsidP="008A4767">
                                <w:pPr>
                                  <w:spacing w:after="0" w:line="240" w:lineRule="auto"/>
                                  <w:ind w:left="360" w:hanging="360"/>
                                  <w:jc w:val="center"/>
                                  <w:rPr>
                                    <w:sz w:val="16"/>
                                    <w:szCs w:val="16"/>
                                    <w:lang w:val="en-CA"/>
                                  </w:rPr>
                                </w:pPr>
                                <w:r>
                                  <w:rPr>
                                    <w:sz w:val="16"/>
                                    <w:szCs w:val="16"/>
                                    <w:lang w:val="en-CA"/>
                                  </w:rPr>
                                  <w:t>Primary analysis</w:t>
                                </w:r>
                              </w:p>
                              <w:p w14:paraId="069B7A67" w14:textId="77777777" w:rsidR="00DE3537" w:rsidRPr="00B54F9A" w:rsidRDefault="00DE3537" w:rsidP="008A4767">
                                <w:pPr>
                                  <w:spacing w:after="0" w:line="240" w:lineRule="auto"/>
                                  <w:ind w:left="360" w:hanging="360"/>
                                  <w:jc w:val="center"/>
                                  <w:rPr>
                                    <w:rFonts w:cs="Calibri"/>
                                    <w:b/>
                                    <w:sz w:val="16"/>
                                    <w:szCs w:val="16"/>
                                    <w:lang w:val="en-CA"/>
                                  </w:rPr>
                                </w:pPr>
                                <w:r w:rsidRPr="00B54F9A">
                                  <w:rPr>
                                    <w:rFonts w:cs="Calibri"/>
                                    <w:b/>
                                    <w:sz w:val="16"/>
                                    <w:szCs w:val="16"/>
                                    <w:lang w:val="en-CA"/>
                                  </w:rPr>
                                  <w:t xml:space="preserve">Primary outcome BMI </w:t>
                                </w:r>
                                <w:r>
                                  <w:rPr>
                                    <w:rFonts w:cs="Calibri"/>
                                    <w:b/>
                                    <w:sz w:val="16"/>
                                    <w:szCs w:val="16"/>
                                    <w:lang w:val="en-CA"/>
                                  </w:rPr>
                                  <w:t>SDS</w:t>
                                </w:r>
                                <w:r w:rsidRPr="00B54F9A">
                                  <w:rPr>
                                    <w:rFonts w:cs="Calibri"/>
                                    <w:b/>
                                    <w:sz w:val="16"/>
                                    <w:szCs w:val="16"/>
                                    <w:lang w:val="en-CA"/>
                                  </w:rPr>
                                  <w:t xml:space="preserve"> (n</w:t>
                                </w:r>
                                <w:r>
                                  <w:rPr>
                                    <w:rFonts w:cs="Calibri"/>
                                    <w:b/>
                                    <w:sz w:val="16"/>
                                    <w:szCs w:val="16"/>
                                    <w:lang w:val="en-CA"/>
                                  </w:rPr>
                                  <w:t xml:space="preserve"> </w:t>
                                </w:r>
                                <w:r w:rsidRPr="00B54F9A">
                                  <w:rPr>
                                    <w:rFonts w:cs="Calibri"/>
                                    <w:b/>
                                    <w:sz w:val="16"/>
                                    <w:szCs w:val="16"/>
                                    <w:lang w:val="en-CA"/>
                                  </w:rPr>
                                  <w:t>=</w:t>
                                </w:r>
                                <w:r>
                                  <w:rPr>
                                    <w:rFonts w:cs="Calibri"/>
                                    <w:b/>
                                    <w:sz w:val="16"/>
                                    <w:szCs w:val="16"/>
                                    <w:lang w:val="en-CA"/>
                                  </w:rPr>
                                  <w:t xml:space="preserve"> </w:t>
                                </w:r>
                                <w:r w:rsidRPr="00B54F9A">
                                  <w:rPr>
                                    <w:rFonts w:cs="Calibri"/>
                                    <w:b/>
                                    <w:sz w:val="16"/>
                                    <w:szCs w:val="16"/>
                                    <w:lang w:val="en-CA"/>
                                  </w:rPr>
                                  <w:t>616; 95.1%)</w:t>
                                </w:r>
                              </w:p>
                              <w:p w14:paraId="15B367A2" w14:textId="77777777" w:rsidR="00DE3537" w:rsidRDefault="00DE3537" w:rsidP="008A4767">
                                <w:pPr>
                                  <w:spacing w:after="0" w:line="240" w:lineRule="auto"/>
                                  <w:ind w:left="360" w:hanging="360"/>
                                  <w:jc w:val="center"/>
                                  <w:rPr>
                                    <w:rFonts w:cs="Calibri"/>
                                    <w:sz w:val="16"/>
                                    <w:szCs w:val="16"/>
                                    <w:lang w:val="en-CA"/>
                                  </w:rPr>
                                </w:pPr>
                                <w:r>
                                  <w:rPr>
                                    <w:rFonts w:cs="Calibri"/>
                                    <w:sz w:val="16"/>
                                    <w:szCs w:val="16"/>
                                    <w:lang w:val="en-CA"/>
                                  </w:rPr>
                                  <w:t>4 children excluded as no baseline BMI</w:t>
                                </w:r>
                              </w:p>
                              <w:p w14:paraId="1E9B7DC2" w14:textId="77777777" w:rsidR="00DE3537" w:rsidRDefault="00DE3537" w:rsidP="008A4767">
                                <w:pPr>
                                  <w:spacing w:after="0" w:line="240" w:lineRule="auto"/>
                                  <w:rPr>
                                    <w:sz w:val="16"/>
                                    <w:szCs w:val="16"/>
                                    <w:lang w:val="en-CA"/>
                                  </w:rPr>
                                </w:pPr>
                              </w:p>
                            </w:txbxContent>
                          </wps:txbx>
                          <wps:bodyPr rot="0" vert="horz" wrap="square" lIns="91440" tIns="91440" rIns="91440" bIns="91440" anchor="t" anchorCtr="0" upright="1">
                            <a:noAutofit/>
                          </wps:bodyPr>
                        </wps:wsp>
                        <wps:wsp>
                          <wps:cNvPr id="191" name="Straight Arrow Connector 29"/>
                          <wps:cNvCnPr>
                            <a:cxnSpLocks noChangeShapeType="1"/>
                          </wps:cNvCnPr>
                          <wps:spPr bwMode="auto">
                            <a:xfrm>
                              <a:off x="1095375" y="4381500"/>
                              <a:ext cx="0" cy="36004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92" name="Straight Arrow Connector 24"/>
                          <wps:cNvCnPr>
                            <a:cxnSpLocks noChangeShapeType="1"/>
                          </wps:cNvCnPr>
                          <wps:spPr bwMode="auto">
                            <a:xfrm rot="5400000">
                              <a:off x="876300" y="5648325"/>
                              <a:ext cx="36004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93" name="Straight Arrow Connector 193"/>
                          <wps:cNvCnPr>
                            <a:cxnSpLocks noChangeShapeType="1"/>
                          </wps:cNvCnPr>
                          <wps:spPr bwMode="auto">
                            <a:xfrm rot="5400000">
                              <a:off x="3581400" y="5629275"/>
                              <a:ext cx="36004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94" name="Straight Arrow Connector 30"/>
                          <wps:cNvCnPr>
                            <a:cxnSpLocks noChangeShapeType="1"/>
                          </wps:cNvCnPr>
                          <wps:spPr bwMode="auto">
                            <a:xfrm>
                              <a:off x="3810000" y="4400550"/>
                              <a:ext cx="0" cy="36004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95" name="Rectangle 195"/>
                          <wps:cNvSpPr>
                            <a:spLocks noChangeArrowheads="1"/>
                          </wps:cNvSpPr>
                          <wps:spPr bwMode="auto">
                            <a:xfrm>
                              <a:off x="2724150" y="3333750"/>
                              <a:ext cx="2159635" cy="1043940"/>
                            </a:xfrm>
                            <a:prstGeom prst="rect">
                              <a:avLst/>
                            </a:prstGeom>
                            <a:solidFill>
                              <a:srgbClr val="FFFFFF"/>
                            </a:solidFill>
                            <a:ln w="9525">
                              <a:solidFill>
                                <a:srgbClr val="000000"/>
                              </a:solidFill>
                              <a:miter lim="800000"/>
                              <a:headEnd/>
                              <a:tailEnd/>
                            </a:ln>
                          </wps:spPr>
                          <wps:txbx>
                            <w:txbxContent>
                              <w:p w14:paraId="4E342F07" w14:textId="77777777" w:rsidR="00DE3537" w:rsidRPr="00124CB0" w:rsidRDefault="00DE3537" w:rsidP="008A4767">
                                <w:pPr>
                                  <w:widowControl w:val="0"/>
                                  <w:spacing w:after="0" w:line="240" w:lineRule="auto"/>
                                  <w:jc w:val="center"/>
                                  <w:rPr>
                                    <w:b/>
                                    <w:sz w:val="16"/>
                                    <w:szCs w:val="16"/>
                                    <w:lang w:val="en-CA"/>
                                  </w:rPr>
                                </w:pPr>
                                <w:r>
                                  <w:rPr>
                                    <w:b/>
                                    <w:sz w:val="16"/>
                                    <w:szCs w:val="16"/>
                                    <w:lang w:val="en-CA"/>
                                  </w:rPr>
                                  <w:t>BMI (height and weight), n = 621 (95.8</w:t>
                                </w:r>
                                <w:r w:rsidRPr="00124CB0">
                                  <w:rPr>
                                    <w:b/>
                                    <w:sz w:val="16"/>
                                    <w:szCs w:val="16"/>
                                    <w:lang w:val="en-CA"/>
                                  </w:rPr>
                                  <w:t>%)</w:t>
                                </w:r>
                              </w:p>
                              <w:p w14:paraId="42FCF82F" w14:textId="77777777" w:rsidR="00DE3537" w:rsidRDefault="00DE3537" w:rsidP="008A4767">
                                <w:pPr>
                                  <w:widowControl w:val="0"/>
                                  <w:spacing w:after="0" w:line="240" w:lineRule="auto"/>
                                  <w:jc w:val="center"/>
                                  <w:rPr>
                                    <w:sz w:val="16"/>
                                    <w:szCs w:val="16"/>
                                    <w:lang w:val="en-CA"/>
                                  </w:rPr>
                                </w:pPr>
                                <w:r>
                                  <w:rPr>
                                    <w:sz w:val="16"/>
                                    <w:szCs w:val="16"/>
                                    <w:lang w:val="en-CA"/>
                                  </w:rPr>
                                  <w:t>Waist circumference, n = 620 (95.7%)</w:t>
                                </w:r>
                              </w:p>
                              <w:p w14:paraId="7DC9F857" w14:textId="77777777" w:rsidR="00DE3537" w:rsidRPr="00A901C6" w:rsidRDefault="00DE3537" w:rsidP="008A4767">
                                <w:pPr>
                                  <w:widowControl w:val="0"/>
                                  <w:spacing w:after="0" w:line="240" w:lineRule="auto"/>
                                  <w:jc w:val="center"/>
                                  <w:rPr>
                                    <w:sz w:val="16"/>
                                    <w:szCs w:val="16"/>
                                    <w:lang w:val="en-CA"/>
                                  </w:rPr>
                                </w:pPr>
                                <w:r w:rsidRPr="00A901C6">
                                  <w:rPr>
                                    <w:sz w:val="16"/>
                                    <w:szCs w:val="16"/>
                                    <w:lang w:val="en-CA"/>
                                  </w:rPr>
                                  <w:t>Body fat, n</w:t>
                                </w:r>
                                <w:r>
                                  <w:rPr>
                                    <w:sz w:val="16"/>
                                    <w:szCs w:val="16"/>
                                    <w:lang w:val="en-CA"/>
                                  </w:rPr>
                                  <w:t xml:space="preserve"> </w:t>
                                </w:r>
                                <w:r w:rsidRPr="00A901C6">
                                  <w:rPr>
                                    <w:sz w:val="16"/>
                                    <w:szCs w:val="16"/>
                                    <w:lang w:val="en-CA"/>
                                  </w:rPr>
                                  <w:t>=</w:t>
                                </w:r>
                                <w:r>
                                  <w:rPr>
                                    <w:sz w:val="16"/>
                                    <w:szCs w:val="16"/>
                                    <w:lang w:val="en-CA"/>
                                  </w:rPr>
                                  <w:t xml:space="preserve"> </w:t>
                                </w:r>
                                <w:r w:rsidRPr="00A901C6">
                                  <w:rPr>
                                    <w:sz w:val="16"/>
                                    <w:szCs w:val="16"/>
                                    <w:lang w:val="en-CA"/>
                                  </w:rPr>
                                  <w:t>619 (95.5%)</w:t>
                                </w:r>
                              </w:p>
                              <w:p w14:paraId="48491691" w14:textId="77777777" w:rsidR="00DE3537" w:rsidRPr="00A901C6" w:rsidRDefault="00DE3537" w:rsidP="008A4767">
                                <w:pPr>
                                  <w:widowControl w:val="0"/>
                                  <w:spacing w:after="0" w:line="240" w:lineRule="auto"/>
                                  <w:jc w:val="center"/>
                                  <w:rPr>
                                    <w:sz w:val="16"/>
                                    <w:szCs w:val="16"/>
                                    <w:lang w:val="en-CA"/>
                                  </w:rPr>
                                </w:pPr>
                                <w:r w:rsidRPr="00A901C6">
                                  <w:rPr>
                                    <w:sz w:val="16"/>
                                    <w:szCs w:val="16"/>
                                    <w:lang w:val="en-CA"/>
                                  </w:rPr>
                                  <w:t>FIQ weekday, n</w:t>
                                </w:r>
                                <w:r>
                                  <w:rPr>
                                    <w:sz w:val="16"/>
                                    <w:szCs w:val="16"/>
                                    <w:lang w:val="en-CA"/>
                                  </w:rPr>
                                  <w:t xml:space="preserve"> </w:t>
                                </w:r>
                                <w:r w:rsidRPr="00A901C6">
                                  <w:rPr>
                                    <w:sz w:val="16"/>
                                    <w:szCs w:val="16"/>
                                    <w:lang w:val="en-CA"/>
                                  </w:rPr>
                                  <w:t>=</w:t>
                                </w:r>
                                <w:r>
                                  <w:rPr>
                                    <w:sz w:val="16"/>
                                    <w:szCs w:val="16"/>
                                    <w:lang w:val="en-CA"/>
                                  </w:rPr>
                                  <w:t xml:space="preserve"> </w:t>
                                </w:r>
                                <w:r w:rsidRPr="00A901C6">
                                  <w:rPr>
                                    <w:sz w:val="16"/>
                                    <w:szCs w:val="16"/>
                                    <w:lang w:val="en-CA"/>
                                  </w:rPr>
                                  <w:t>625 (96.5%)</w:t>
                                </w:r>
                              </w:p>
                              <w:p w14:paraId="36F3A759" w14:textId="77777777" w:rsidR="00DE3537" w:rsidRPr="00A901C6" w:rsidRDefault="00DE3537" w:rsidP="008A4767">
                                <w:pPr>
                                  <w:widowControl w:val="0"/>
                                  <w:spacing w:after="0" w:line="240" w:lineRule="auto"/>
                                  <w:jc w:val="center"/>
                                  <w:rPr>
                                    <w:sz w:val="16"/>
                                    <w:szCs w:val="16"/>
                                    <w:lang w:val="en-CA"/>
                                  </w:rPr>
                                </w:pPr>
                                <w:r w:rsidRPr="00A901C6">
                                  <w:rPr>
                                    <w:sz w:val="16"/>
                                    <w:szCs w:val="16"/>
                                    <w:lang w:val="en-CA"/>
                                  </w:rPr>
                                  <w:t>FIQ weekend, n</w:t>
                                </w:r>
                                <w:r>
                                  <w:rPr>
                                    <w:sz w:val="16"/>
                                    <w:szCs w:val="16"/>
                                    <w:lang w:val="en-CA"/>
                                  </w:rPr>
                                  <w:t xml:space="preserve"> </w:t>
                                </w:r>
                                <w:r w:rsidRPr="00A901C6">
                                  <w:rPr>
                                    <w:sz w:val="16"/>
                                    <w:szCs w:val="16"/>
                                    <w:lang w:val="en-CA"/>
                                  </w:rPr>
                                  <w:t>=</w:t>
                                </w:r>
                                <w:r>
                                  <w:rPr>
                                    <w:sz w:val="16"/>
                                    <w:szCs w:val="16"/>
                                    <w:lang w:val="en-CA"/>
                                  </w:rPr>
                                  <w:t xml:space="preserve"> </w:t>
                                </w:r>
                                <w:r w:rsidRPr="00A901C6">
                                  <w:rPr>
                                    <w:sz w:val="16"/>
                                    <w:szCs w:val="16"/>
                                    <w:lang w:val="en-CA"/>
                                  </w:rPr>
                                  <w:t>626 (96.6%)</w:t>
                                </w:r>
                              </w:p>
                              <w:p w14:paraId="3C67BFAC" w14:textId="77777777" w:rsidR="00DE3537" w:rsidRPr="004A65D5" w:rsidRDefault="00DE3537" w:rsidP="008A4767">
                                <w:pPr>
                                  <w:widowControl w:val="0"/>
                                  <w:spacing w:after="0" w:line="240" w:lineRule="auto"/>
                                  <w:jc w:val="center"/>
                                  <w:rPr>
                                    <w:sz w:val="16"/>
                                    <w:szCs w:val="16"/>
                                    <w:lang w:val="en-CA"/>
                                  </w:rPr>
                                </w:pPr>
                                <w:r w:rsidRPr="004A65D5">
                                  <w:rPr>
                                    <w:sz w:val="16"/>
                                    <w:szCs w:val="16"/>
                                    <w:lang w:val="en-CA"/>
                                  </w:rPr>
                                  <w:t>PA (analysed files) n</w:t>
                                </w:r>
                                <w:r>
                                  <w:rPr>
                                    <w:sz w:val="16"/>
                                    <w:szCs w:val="16"/>
                                    <w:lang w:val="en-CA"/>
                                  </w:rPr>
                                  <w:t xml:space="preserve"> </w:t>
                                </w:r>
                                <w:r w:rsidRPr="004A65D5">
                                  <w:rPr>
                                    <w:sz w:val="16"/>
                                    <w:szCs w:val="16"/>
                                    <w:lang w:val="en-CA"/>
                                  </w:rPr>
                                  <w:t>=</w:t>
                                </w:r>
                                <w:r>
                                  <w:rPr>
                                    <w:sz w:val="16"/>
                                    <w:szCs w:val="16"/>
                                    <w:lang w:val="en-CA"/>
                                  </w:rPr>
                                  <w:t xml:space="preserve"> </w:t>
                                </w:r>
                                <w:r w:rsidRPr="004A65D5">
                                  <w:rPr>
                                    <w:sz w:val="16"/>
                                    <w:szCs w:val="16"/>
                                    <w:lang w:val="en-CA"/>
                                  </w:rPr>
                                  <w:t>404/458 (88.2%)</w:t>
                                </w:r>
                              </w:p>
                              <w:p w14:paraId="7331081E" w14:textId="77777777" w:rsidR="00DE3537" w:rsidRDefault="00DE3537" w:rsidP="008A4767">
                                <w:pPr>
                                  <w:widowControl w:val="0"/>
                                  <w:spacing w:after="0" w:line="240" w:lineRule="auto"/>
                                  <w:jc w:val="center"/>
                                  <w:rPr>
                                    <w:sz w:val="16"/>
                                    <w:szCs w:val="16"/>
                                    <w:lang w:val="en-CA"/>
                                  </w:rPr>
                                </w:pPr>
                                <w:r w:rsidRPr="004A65D5">
                                  <w:rPr>
                                    <w:sz w:val="16"/>
                                    <w:szCs w:val="16"/>
                                    <w:lang w:val="en-CA"/>
                                  </w:rPr>
                                  <w:t>PA (valid data), n</w:t>
                                </w:r>
                                <w:r>
                                  <w:rPr>
                                    <w:sz w:val="16"/>
                                    <w:szCs w:val="16"/>
                                    <w:lang w:val="en-CA"/>
                                  </w:rPr>
                                  <w:t xml:space="preserve"> </w:t>
                                </w:r>
                                <w:r w:rsidRPr="004A65D5">
                                  <w:rPr>
                                    <w:sz w:val="16"/>
                                    <w:szCs w:val="16"/>
                                    <w:lang w:val="en-CA"/>
                                  </w:rPr>
                                  <w:t>=</w:t>
                                </w:r>
                                <w:r>
                                  <w:rPr>
                                    <w:sz w:val="16"/>
                                    <w:szCs w:val="16"/>
                                    <w:lang w:val="en-CA"/>
                                  </w:rPr>
                                  <w:t xml:space="preserve"> </w:t>
                                </w:r>
                                <w:r w:rsidRPr="004A65D5">
                                  <w:rPr>
                                    <w:sz w:val="16"/>
                                    <w:szCs w:val="16"/>
                                    <w:lang w:val="en-CA"/>
                                  </w:rPr>
                                  <w:t>386/458 (84.3%)</w:t>
                                </w:r>
                              </w:p>
                              <w:p w14:paraId="3B11508C" w14:textId="77777777" w:rsidR="00DE3537" w:rsidRPr="00CF23C3" w:rsidRDefault="00DE3537" w:rsidP="008A4767">
                                <w:pPr>
                                  <w:rPr>
                                    <w:sz w:val="16"/>
                                    <w:szCs w:val="16"/>
                                    <w:lang w:val="en-CA"/>
                                  </w:rPr>
                                </w:pPr>
                              </w:p>
                            </w:txbxContent>
                          </wps:txbx>
                          <wps:bodyPr rot="0" vert="horz" wrap="square" lIns="91440" tIns="91440" rIns="91440" bIns="91440" anchor="t" anchorCtr="0" upright="1">
                            <a:noAutofit/>
                          </wps:bodyPr>
                        </wps:wsp>
                        <wps:wsp>
                          <wps:cNvPr id="196" name="Rectangle 196"/>
                          <wps:cNvSpPr>
                            <a:spLocks noChangeArrowheads="1"/>
                          </wps:cNvSpPr>
                          <wps:spPr bwMode="auto">
                            <a:xfrm>
                              <a:off x="2714625" y="1524000"/>
                              <a:ext cx="2159635" cy="575945"/>
                            </a:xfrm>
                            <a:prstGeom prst="rect">
                              <a:avLst/>
                            </a:prstGeom>
                            <a:solidFill>
                              <a:srgbClr val="FFFFFF"/>
                            </a:solidFill>
                            <a:ln w="9525">
                              <a:solidFill>
                                <a:srgbClr val="000000"/>
                              </a:solidFill>
                              <a:miter lim="800000"/>
                              <a:headEnd/>
                              <a:tailEnd/>
                            </a:ln>
                          </wps:spPr>
                          <wps:txbx>
                            <w:txbxContent>
                              <w:p w14:paraId="224BE932" w14:textId="77777777" w:rsidR="00DE3537" w:rsidRPr="008624C3" w:rsidRDefault="00DE3537" w:rsidP="008A4767">
                                <w:pPr>
                                  <w:spacing w:after="0" w:line="240" w:lineRule="auto"/>
                                  <w:jc w:val="center"/>
                                  <w:rPr>
                                    <w:sz w:val="16"/>
                                    <w:szCs w:val="16"/>
                                    <w:lang w:val="en-CA"/>
                                  </w:rPr>
                                </w:pPr>
                                <w:r w:rsidRPr="008624C3">
                                  <w:rPr>
                                    <w:sz w:val="16"/>
                                    <w:szCs w:val="16"/>
                                    <w:lang w:val="en-CA"/>
                                  </w:rPr>
                                  <w:t>Allocated to control N</w:t>
                                </w:r>
                                <w:r>
                                  <w:rPr>
                                    <w:sz w:val="16"/>
                                    <w:szCs w:val="16"/>
                                    <w:lang w:val="en-CA"/>
                                  </w:rPr>
                                  <w:t xml:space="preserve"> </w:t>
                                </w:r>
                                <w:r w:rsidRPr="008624C3">
                                  <w:rPr>
                                    <w:sz w:val="16"/>
                                    <w:szCs w:val="16"/>
                                    <w:lang w:val="en-CA"/>
                                  </w:rPr>
                                  <w:t>=</w:t>
                                </w:r>
                                <w:r>
                                  <w:rPr>
                                    <w:sz w:val="16"/>
                                    <w:szCs w:val="16"/>
                                    <w:lang w:val="en-CA"/>
                                  </w:rPr>
                                  <w:t xml:space="preserve"> </w:t>
                                </w:r>
                                <w:r w:rsidRPr="008624C3">
                                  <w:rPr>
                                    <w:sz w:val="16"/>
                                    <w:szCs w:val="16"/>
                                    <w:lang w:val="en-CA"/>
                                  </w:rPr>
                                  <w:t xml:space="preserve">16; </w:t>
                                </w:r>
                              </w:p>
                              <w:p w14:paraId="553DF0F0" w14:textId="77777777" w:rsidR="00DE3537" w:rsidRPr="008624C3" w:rsidRDefault="00DE3537" w:rsidP="008A4767">
                                <w:pPr>
                                  <w:spacing w:after="0" w:line="240" w:lineRule="auto"/>
                                  <w:jc w:val="center"/>
                                  <w:rPr>
                                    <w:sz w:val="16"/>
                                    <w:szCs w:val="16"/>
                                    <w:lang w:val="en-CA"/>
                                  </w:rPr>
                                </w:pPr>
                                <w:r>
                                  <w:rPr>
                                    <w:sz w:val="16"/>
                                    <w:szCs w:val="16"/>
                                    <w:lang w:val="en-CA"/>
                                  </w:rPr>
                                  <w:t xml:space="preserve">n </w:t>
                                </w:r>
                                <w:r w:rsidRPr="008624C3">
                                  <w:rPr>
                                    <w:sz w:val="16"/>
                                    <w:szCs w:val="16"/>
                                    <w:lang w:val="en-CA"/>
                                  </w:rPr>
                                  <w:t>=</w:t>
                                </w:r>
                                <w:r>
                                  <w:rPr>
                                    <w:sz w:val="16"/>
                                    <w:szCs w:val="16"/>
                                    <w:lang w:val="en-CA"/>
                                  </w:rPr>
                                  <w:t xml:space="preserve"> </w:t>
                                </w:r>
                                <w:r w:rsidRPr="008624C3">
                                  <w:rPr>
                                    <w:sz w:val="16"/>
                                    <w:szCs w:val="16"/>
                                    <w:lang w:val="en-CA"/>
                                  </w:rPr>
                                  <w:t>648 children; mean (coefficient of variation) 40.5 (0.44) children per school</w:t>
                                </w:r>
                              </w:p>
                              <w:p w14:paraId="445115DB" w14:textId="77777777" w:rsidR="00DE3537" w:rsidRPr="00CF23C3" w:rsidRDefault="00DE3537" w:rsidP="008A4767">
                                <w:pPr>
                                  <w:spacing w:after="0"/>
                                  <w:ind w:left="360" w:hanging="360"/>
                                  <w:rPr>
                                    <w:rFonts w:cs="Calibri"/>
                                    <w:sz w:val="16"/>
                                    <w:szCs w:val="16"/>
                                    <w:lang w:val="en-CA"/>
                                  </w:rPr>
                                </w:pPr>
                              </w:p>
                            </w:txbxContent>
                          </wps:txbx>
                          <wps:bodyPr rot="0" vert="horz" wrap="square" lIns="91440" tIns="91440" rIns="91440" bIns="91440" anchor="t" anchorCtr="0" upright="1">
                            <a:noAutofit/>
                          </wps:bodyPr>
                        </wps:wsp>
                        <wps:wsp>
                          <wps:cNvPr id="197" name="Straight Arrow Connector 197"/>
                          <wps:cNvCnPr>
                            <a:cxnSpLocks noChangeShapeType="1"/>
                          </wps:cNvCnPr>
                          <wps:spPr bwMode="auto">
                            <a:xfrm>
                              <a:off x="3810000" y="2114550"/>
                              <a:ext cx="0" cy="36004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98" name="Rectangle 22"/>
                          <wps:cNvSpPr>
                            <a:spLocks noChangeArrowheads="1"/>
                          </wps:cNvSpPr>
                          <wps:spPr bwMode="auto">
                            <a:xfrm>
                              <a:off x="904875" y="0"/>
                              <a:ext cx="3238500" cy="1295400"/>
                            </a:xfrm>
                            <a:prstGeom prst="rect">
                              <a:avLst/>
                            </a:prstGeom>
                            <a:solidFill>
                              <a:srgbClr val="FFFFFF"/>
                            </a:solidFill>
                            <a:ln w="9525">
                              <a:solidFill>
                                <a:srgbClr val="000000"/>
                              </a:solidFill>
                              <a:miter lim="800000"/>
                              <a:headEnd/>
                              <a:tailEnd/>
                            </a:ln>
                          </wps:spPr>
                          <wps:txbx>
                            <w:txbxContent>
                              <w:p w14:paraId="75C05742" w14:textId="77777777" w:rsidR="00DE3537" w:rsidRDefault="00DE3537" w:rsidP="008A4767">
                                <w:pPr>
                                  <w:widowControl w:val="0"/>
                                  <w:spacing w:after="0" w:line="240" w:lineRule="auto"/>
                                  <w:jc w:val="center"/>
                                  <w:rPr>
                                    <w:sz w:val="16"/>
                                    <w:szCs w:val="16"/>
                                    <w:lang w:val="en-CA"/>
                                  </w:rPr>
                                </w:pPr>
                                <w:r>
                                  <w:rPr>
                                    <w:sz w:val="16"/>
                                    <w:szCs w:val="16"/>
                                    <w:lang w:val="en-CA"/>
                                  </w:rPr>
                                  <w:t>Total, n = 1324</w:t>
                                </w:r>
                              </w:p>
                              <w:p w14:paraId="6EE083F9" w14:textId="77777777" w:rsidR="00DE3537" w:rsidRPr="00124CB0" w:rsidRDefault="00DE3537" w:rsidP="008A4767">
                                <w:pPr>
                                  <w:widowControl w:val="0"/>
                                  <w:spacing w:after="0" w:line="240" w:lineRule="auto"/>
                                  <w:jc w:val="center"/>
                                  <w:rPr>
                                    <w:b/>
                                    <w:sz w:val="16"/>
                                    <w:szCs w:val="16"/>
                                    <w:lang w:val="en-CA"/>
                                  </w:rPr>
                                </w:pPr>
                                <w:r w:rsidRPr="00124CB0">
                                  <w:rPr>
                                    <w:b/>
                                    <w:sz w:val="16"/>
                                    <w:szCs w:val="16"/>
                                    <w:lang w:val="en-CA"/>
                                  </w:rPr>
                                  <w:t>BMI (height and weight), n</w:t>
                                </w:r>
                                <w:r>
                                  <w:rPr>
                                    <w:b/>
                                    <w:sz w:val="16"/>
                                    <w:szCs w:val="16"/>
                                    <w:lang w:val="en-CA"/>
                                  </w:rPr>
                                  <w:t xml:space="preserve"> </w:t>
                                </w:r>
                                <w:r w:rsidRPr="00124CB0">
                                  <w:rPr>
                                    <w:b/>
                                    <w:sz w:val="16"/>
                                    <w:szCs w:val="16"/>
                                    <w:lang w:val="en-CA"/>
                                  </w:rPr>
                                  <w:t>=</w:t>
                                </w:r>
                                <w:r>
                                  <w:rPr>
                                    <w:b/>
                                    <w:sz w:val="16"/>
                                    <w:szCs w:val="16"/>
                                    <w:lang w:val="en-CA"/>
                                  </w:rPr>
                                  <w:t xml:space="preserve"> </w:t>
                                </w:r>
                                <w:r w:rsidRPr="00124CB0">
                                  <w:rPr>
                                    <w:b/>
                                    <w:sz w:val="16"/>
                                    <w:szCs w:val="16"/>
                                    <w:lang w:val="en-CA"/>
                                  </w:rPr>
                                  <w:t>1312 (99.1%)</w:t>
                                </w:r>
                              </w:p>
                              <w:p w14:paraId="3633D12F" w14:textId="77777777" w:rsidR="00DE3537" w:rsidRDefault="00DE3537" w:rsidP="008A4767">
                                <w:pPr>
                                  <w:widowControl w:val="0"/>
                                  <w:spacing w:after="0" w:line="240" w:lineRule="auto"/>
                                  <w:jc w:val="center"/>
                                  <w:rPr>
                                    <w:sz w:val="16"/>
                                    <w:szCs w:val="16"/>
                                    <w:lang w:val="en-CA"/>
                                  </w:rPr>
                                </w:pPr>
                                <w:r>
                                  <w:rPr>
                                    <w:sz w:val="16"/>
                                    <w:szCs w:val="16"/>
                                    <w:lang w:val="en-CA"/>
                                  </w:rPr>
                                  <w:t>Waist circumference, n = 1309 (98.9%)</w:t>
                                </w:r>
                              </w:p>
                              <w:p w14:paraId="7CECB6F0" w14:textId="77777777" w:rsidR="00DE3537" w:rsidRPr="00A901C6" w:rsidRDefault="00DE3537" w:rsidP="008A4767">
                                <w:pPr>
                                  <w:widowControl w:val="0"/>
                                  <w:spacing w:after="0" w:line="240" w:lineRule="auto"/>
                                  <w:jc w:val="center"/>
                                  <w:rPr>
                                    <w:sz w:val="16"/>
                                    <w:szCs w:val="16"/>
                                    <w:lang w:val="en-CA"/>
                                  </w:rPr>
                                </w:pPr>
                                <w:r>
                                  <w:rPr>
                                    <w:sz w:val="16"/>
                                    <w:szCs w:val="16"/>
                                    <w:lang w:val="en-CA"/>
                                  </w:rPr>
                                  <w:t xml:space="preserve">Body fat, n = </w:t>
                                </w:r>
                                <w:r w:rsidRPr="00A901C6">
                                  <w:rPr>
                                    <w:sz w:val="16"/>
                                    <w:szCs w:val="16"/>
                                    <w:lang w:val="en-CA"/>
                                  </w:rPr>
                                  <w:t>1309 (98.9%)</w:t>
                                </w:r>
                              </w:p>
                              <w:p w14:paraId="2032FE3D" w14:textId="77777777" w:rsidR="00DE3537" w:rsidRPr="00A901C6" w:rsidRDefault="00DE3537" w:rsidP="008A4767">
                                <w:pPr>
                                  <w:widowControl w:val="0"/>
                                  <w:spacing w:after="0" w:line="240" w:lineRule="auto"/>
                                  <w:jc w:val="center"/>
                                  <w:rPr>
                                    <w:sz w:val="16"/>
                                    <w:szCs w:val="16"/>
                                    <w:lang w:val="en-CA"/>
                                  </w:rPr>
                                </w:pPr>
                                <w:r w:rsidRPr="00A901C6">
                                  <w:rPr>
                                    <w:sz w:val="16"/>
                                    <w:szCs w:val="16"/>
                                    <w:lang w:val="en-CA"/>
                                  </w:rPr>
                                  <w:t>Food Intake Questionnaire weekday, n</w:t>
                                </w:r>
                                <w:r>
                                  <w:rPr>
                                    <w:sz w:val="16"/>
                                    <w:szCs w:val="16"/>
                                    <w:lang w:val="en-CA"/>
                                  </w:rPr>
                                  <w:t xml:space="preserve"> </w:t>
                                </w:r>
                                <w:r w:rsidRPr="00A901C6">
                                  <w:rPr>
                                    <w:sz w:val="16"/>
                                    <w:szCs w:val="16"/>
                                    <w:lang w:val="en-CA"/>
                                  </w:rPr>
                                  <w:t>=</w:t>
                                </w:r>
                                <w:r>
                                  <w:rPr>
                                    <w:sz w:val="16"/>
                                    <w:szCs w:val="16"/>
                                    <w:lang w:val="en-CA"/>
                                  </w:rPr>
                                  <w:t xml:space="preserve"> </w:t>
                                </w:r>
                                <w:r w:rsidRPr="00A901C6">
                                  <w:rPr>
                                    <w:sz w:val="16"/>
                                    <w:szCs w:val="16"/>
                                    <w:lang w:val="en-CA"/>
                                  </w:rPr>
                                  <w:t>1317 (99.5%)</w:t>
                                </w:r>
                              </w:p>
                              <w:p w14:paraId="5F50371C" w14:textId="77777777" w:rsidR="00DE3537" w:rsidRPr="00A901C6" w:rsidRDefault="00DE3537" w:rsidP="008A4767">
                                <w:pPr>
                                  <w:widowControl w:val="0"/>
                                  <w:spacing w:after="0" w:line="240" w:lineRule="auto"/>
                                  <w:jc w:val="center"/>
                                  <w:rPr>
                                    <w:sz w:val="16"/>
                                    <w:szCs w:val="16"/>
                                    <w:lang w:val="en-CA"/>
                                  </w:rPr>
                                </w:pPr>
                                <w:r w:rsidRPr="00A901C6">
                                  <w:rPr>
                                    <w:sz w:val="16"/>
                                    <w:szCs w:val="16"/>
                                    <w:lang w:val="en-CA"/>
                                  </w:rPr>
                                  <w:t>Food Intake Questionnaire weekend, n</w:t>
                                </w:r>
                                <w:r>
                                  <w:rPr>
                                    <w:sz w:val="16"/>
                                    <w:szCs w:val="16"/>
                                    <w:lang w:val="en-CA"/>
                                  </w:rPr>
                                  <w:t xml:space="preserve"> </w:t>
                                </w:r>
                                <w:r w:rsidRPr="00A901C6">
                                  <w:rPr>
                                    <w:sz w:val="16"/>
                                    <w:szCs w:val="16"/>
                                    <w:lang w:val="en-CA"/>
                                  </w:rPr>
                                  <w:t>=</w:t>
                                </w:r>
                                <w:r>
                                  <w:rPr>
                                    <w:sz w:val="16"/>
                                    <w:szCs w:val="16"/>
                                    <w:lang w:val="en-CA"/>
                                  </w:rPr>
                                  <w:t xml:space="preserve"> </w:t>
                                </w:r>
                                <w:r w:rsidRPr="00A901C6">
                                  <w:rPr>
                                    <w:sz w:val="16"/>
                                    <w:szCs w:val="16"/>
                                    <w:lang w:val="en-CA"/>
                                  </w:rPr>
                                  <w:t>1322 (99.9%)</w:t>
                                </w:r>
                              </w:p>
                              <w:p w14:paraId="235F1BEB" w14:textId="77777777" w:rsidR="00DE3537" w:rsidRPr="00A901C6" w:rsidRDefault="00DE3537" w:rsidP="008A4767">
                                <w:pPr>
                                  <w:widowControl w:val="0"/>
                                  <w:spacing w:after="0" w:line="240" w:lineRule="auto"/>
                                  <w:jc w:val="center"/>
                                  <w:rPr>
                                    <w:sz w:val="16"/>
                                    <w:szCs w:val="16"/>
                                    <w:lang w:val="en-CA"/>
                                  </w:rPr>
                                </w:pPr>
                                <w:r w:rsidRPr="00A901C6">
                                  <w:rPr>
                                    <w:sz w:val="16"/>
                                    <w:szCs w:val="16"/>
                                    <w:lang w:val="en-CA"/>
                                  </w:rPr>
                                  <w:t>My Lifestyles Questionnaire, n</w:t>
                                </w:r>
                                <w:r>
                                  <w:rPr>
                                    <w:sz w:val="16"/>
                                    <w:szCs w:val="16"/>
                                    <w:lang w:val="en-CA"/>
                                  </w:rPr>
                                  <w:t xml:space="preserve"> </w:t>
                                </w:r>
                                <w:r w:rsidRPr="00A901C6">
                                  <w:rPr>
                                    <w:sz w:val="16"/>
                                    <w:szCs w:val="16"/>
                                    <w:lang w:val="en-CA"/>
                                  </w:rPr>
                                  <w:t>=</w:t>
                                </w:r>
                                <w:r>
                                  <w:rPr>
                                    <w:sz w:val="16"/>
                                    <w:szCs w:val="16"/>
                                    <w:lang w:val="en-CA"/>
                                  </w:rPr>
                                  <w:t xml:space="preserve"> </w:t>
                                </w:r>
                                <w:r w:rsidRPr="00A901C6">
                                  <w:rPr>
                                    <w:sz w:val="16"/>
                                    <w:szCs w:val="16"/>
                                    <w:lang w:val="en-CA"/>
                                  </w:rPr>
                                  <w:t>1310 (98.9%)</w:t>
                                </w:r>
                              </w:p>
                              <w:p w14:paraId="12BECBAF" w14:textId="77777777" w:rsidR="00DE3537" w:rsidRPr="004A65D5" w:rsidRDefault="00DE3537" w:rsidP="008A4767">
                                <w:pPr>
                                  <w:widowControl w:val="0"/>
                                  <w:spacing w:after="0" w:line="240" w:lineRule="auto"/>
                                  <w:jc w:val="center"/>
                                  <w:rPr>
                                    <w:sz w:val="16"/>
                                    <w:szCs w:val="16"/>
                                    <w:lang w:val="en-CA"/>
                                  </w:rPr>
                                </w:pPr>
                                <w:r w:rsidRPr="004A65D5">
                                  <w:rPr>
                                    <w:sz w:val="16"/>
                                    <w:szCs w:val="16"/>
                                    <w:lang w:val="en-CA"/>
                                  </w:rPr>
                                  <w:t>Physical activity (analysed files) (1 class per school), n</w:t>
                                </w:r>
                                <w:r>
                                  <w:rPr>
                                    <w:sz w:val="16"/>
                                    <w:szCs w:val="16"/>
                                    <w:lang w:val="en-CA"/>
                                  </w:rPr>
                                  <w:t xml:space="preserve"> </w:t>
                                </w:r>
                                <w:r w:rsidRPr="004A65D5">
                                  <w:rPr>
                                    <w:sz w:val="16"/>
                                    <w:szCs w:val="16"/>
                                    <w:lang w:val="en-CA"/>
                                  </w:rPr>
                                  <w:t>=</w:t>
                                </w:r>
                                <w:r>
                                  <w:rPr>
                                    <w:sz w:val="16"/>
                                    <w:szCs w:val="16"/>
                                    <w:lang w:val="en-CA"/>
                                  </w:rPr>
                                  <w:t xml:space="preserve"> </w:t>
                                </w:r>
                                <w:r w:rsidRPr="004A65D5">
                                  <w:rPr>
                                    <w:sz w:val="16"/>
                                    <w:szCs w:val="16"/>
                                    <w:lang w:val="en-CA"/>
                                  </w:rPr>
                                  <w:t>851/886 (96.1%)</w:t>
                                </w:r>
                              </w:p>
                              <w:p w14:paraId="3C98ACBA" w14:textId="77777777" w:rsidR="00DE3537" w:rsidRDefault="00DE3537" w:rsidP="008A4767">
                                <w:pPr>
                                  <w:widowControl w:val="0"/>
                                  <w:spacing w:after="0" w:line="240" w:lineRule="auto"/>
                                  <w:jc w:val="center"/>
                                  <w:rPr>
                                    <w:sz w:val="16"/>
                                    <w:szCs w:val="16"/>
                                    <w:lang w:val="en-CA"/>
                                  </w:rPr>
                                </w:pPr>
                                <w:r w:rsidRPr="004A65D5">
                                  <w:rPr>
                                    <w:sz w:val="16"/>
                                    <w:szCs w:val="16"/>
                                    <w:lang w:val="en-CA"/>
                                  </w:rPr>
                                  <w:t xml:space="preserve">Physical activity (valid data) (1 class per school), </w:t>
                                </w:r>
                                <w:r w:rsidRPr="00ED2FC2">
                                  <w:rPr>
                                    <w:sz w:val="16"/>
                                    <w:szCs w:val="16"/>
                                    <w:lang w:val="en-CA"/>
                                  </w:rPr>
                                  <w:t>n</w:t>
                                </w:r>
                                <w:r>
                                  <w:rPr>
                                    <w:sz w:val="16"/>
                                    <w:szCs w:val="16"/>
                                    <w:lang w:val="en-CA"/>
                                  </w:rPr>
                                  <w:t xml:space="preserve"> </w:t>
                                </w:r>
                                <w:r w:rsidRPr="00ED2FC2">
                                  <w:rPr>
                                    <w:sz w:val="16"/>
                                    <w:szCs w:val="16"/>
                                    <w:lang w:val="en-CA"/>
                                  </w:rPr>
                                  <w:t>=</w:t>
                                </w:r>
                                <w:r>
                                  <w:rPr>
                                    <w:sz w:val="16"/>
                                    <w:szCs w:val="16"/>
                                    <w:lang w:val="en-CA"/>
                                  </w:rPr>
                                  <w:t xml:space="preserve"> </w:t>
                                </w:r>
                                <w:r w:rsidRPr="00ED2FC2">
                                  <w:rPr>
                                    <w:sz w:val="16"/>
                                    <w:szCs w:val="16"/>
                                    <w:lang w:val="en-CA"/>
                                  </w:rPr>
                                  <w:t>830/886 (93.7%)</w:t>
                                </w:r>
                              </w:p>
                            </w:txbxContent>
                          </wps:txbx>
                          <wps:bodyPr rot="0" vert="horz" wrap="square" lIns="91440" tIns="91440" rIns="91440" bIns="91440" anchor="t" anchorCtr="0" upright="1">
                            <a:noAutofit/>
                          </wps:bodyPr>
                        </wps:wsp>
                        <wps:wsp>
                          <wps:cNvPr id="199" name="Rectangle 27"/>
                          <wps:cNvSpPr>
                            <a:spLocks noChangeArrowheads="1"/>
                          </wps:cNvSpPr>
                          <wps:spPr bwMode="auto">
                            <a:xfrm>
                              <a:off x="9525" y="4810125"/>
                              <a:ext cx="2159635" cy="647700"/>
                            </a:xfrm>
                            <a:prstGeom prst="rect">
                              <a:avLst/>
                            </a:prstGeom>
                            <a:solidFill>
                              <a:srgbClr val="FFFFFF"/>
                            </a:solidFill>
                            <a:ln w="9525">
                              <a:solidFill>
                                <a:srgbClr val="000000"/>
                              </a:solidFill>
                              <a:miter lim="800000"/>
                              <a:headEnd/>
                              <a:tailEnd/>
                            </a:ln>
                          </wps:spPr>
                          <wps:txbx>
                            <w:txbxContent>
                              <w:p w14:paraId="48271F3B" w14:textId="77777777" w:rsidR="00DE3537" w:rsidRPr="00124CB0" w:rsidRDefault="00DE3537" w:rsidP="008A4767">
                                <w:pPr>
                                  <w:widowControl w:val="0"/>
                                  <w:spacing w:after="0" w:line="240" w:lineRule="auto"/>
                                  <w:jc w:val="center"/>
                                  <w:rPr>
                                    <w:b/>
                                    <w:sz w:val="16"/>
                                    <w:szCs w:val="16"/>
                                    <w:lang w:val="en-CA"/>
                                  </w:rPr>
                                </w:pPr>
                                <w:r>
                                  <w:rPr>
                                    <w:b/>
                                    <w:sz w:val="16"/>
                                    <w:szCs w:val="16"/>
                                    <w:lang w:val="en-CA"/>
                                  </w:rPr>
                                  <w:t>BMI (height and weight), n = 630 (93.2</w:t>
                                </w:r>
                                <w:r w:rsidRPr="00124CB0">
                                  <w:rPr>
                                    <w:b/>
                                    <w:sz w:val="16"/>
                                    <w:szCs w:val="16"/>
                                    <w:lang w:val="en-CA"/>
                                  </w:rPr>
                                  <w:t>%)</w:t>
                                </w:r>
                              </w:p>
                              <w:p w14:paraId="1FE5F519" w14:textId="77777777" w:rsidR="00DE3537" w:rsidRDefault="00DE3537" w:rsidP="008A4767">
                                <w:pPr>
                                  <w:widowControl w:val="0"/>
                                  <w:spacing w:after="0" w:line="240" w:lineRule="auto"/>
                                  <w:jc w:val="center"/>
                                  <w:rPr>
                                    <w:sz w:val="16"/>
                                    <w:szCs w:val="16"/>
                                    <w:lang w:val="en-CA"/>
                                  </w:rPr>
                                </w:pPr>
                                <w:r>
                                  <w:rPr>
                                    <w:sz w:val="16"/>
                                    <w:szCs w:val="16"/>
                                    <w:lang w:val="en-CA"/>
                                  </w:rPr>
                                  <w:t>Waist circumference, n = 629 (93.1%)</w:t>
                                </w:r>
                              </w:p>
                              <w:p w14:paraId="53F891AE" w14:textId="77777777" w:rsidR="00DE3537" w:rsidRDefault="00DE3537" w:rsidP="008A4767">
                                <w:pPr>
                                  <w:widowControl w:val="0"/>
                                  <w:spacing w:after="0" w:line="240" w:lineRule="auto"/>
                                  <w:jc w:val="center"/>
                                  <w:rPr>
                                    <w:sz w:val="16"/>
                                    <w:szCs w:val="16"/>
                                    <w:lang w:val="en-CA"/>
                                  </w:rPr>
                                </w:pPr>
                                <w:r>
                                  <w:rPr>
                                    <w:sz w:val="16"/>
                                    <w:szCs w:val="16"/>
                                    <w:lang w:val="en-CA"/>
                                  </w:rPr>
                                  <w:t>Body fat, n = 629 (93.1%)</w:t>
                                </w:r>
                              </w:p>
                              <w:p w14:paraId="01F992A3" w14:textId="77777777" w:rsidR="00DE3537" w:rsidRDefault="00DE3537" w:rsidP="008A4767">
                                <w:pPr>
                                  <w:spacing w:after="0" w:line="240" w:lineRule="auto"/>
                                  <w:ind w:left="360" w:hanging="360"/>
                                  <w:rPr>
                                    <w:sz w:val="16"/>
                                    <w:szCs w:val="16"/>
                                    <w:lang w:val="en-CA"/>
                                  </w:rPr>
                                </w:pPr>
                              </w:p>
                            </w:txbxContent>
                          </wps:txbx>
                          <wps:bodyPr rot="0" vert="horz" wrap="square" lIns="91440" tIns="91440" rIns="91440" bIns="91440" anchor="t" anchorCtr="0" upright="1">
                            <a:noAutofit/>
                          </wps:bodyPr>
                        </wps:wsp>
                        <wps:wsp>
                          <wps:cNvPr id="200" name="Rectangle 200"/>
                          <wps:cNvSpPr>
                            <a:spLocks noChangeArrowheads="1"/>
                          </wps:cNvSpPr>
                          <wps:spPr bwMode="auto">
                            <a:xfrm>
                              <a:off x="0" y="2486025"/>
                              <a:ext cx="2159635" cy="395605"/>
                            </a:xfrm>
                            <a:prstGeom prst="rect">
                              <a:avLst/>
                            </a:prstGeom>
                            <a:solidFill>
                              <a:srgbClr val="FFFFFF"/>
                            </a:solidFill>
                            <a:ln w="9525">
                              <a:solidFill>
                                <a:srgbClr val="000000"/>
                              </a:solidFill>
                              <a:miter lim="800000"/>
                              <a:headEnd/>
                              <a:tailEnd/>
                            </a:ln>
                          </wps:spPr>
                          <wps:txbx>
                            <w:txbxContent>
                              <w:p w14:paraId="5E7B2332" w14:textId="77777777" w:rsidR="00DE3537" w:rsidRDefault="00DE3537" w:rsidP="008A4767">
                                <w:pPr>
                                  <w:widowControl w:val="0"/>
                                  <w:spacing w:after="0" w:line="240" w:lineRule="auto"/>
                                  <w:jc w:val="center"/>
                                  <w:rPr>
                                    <w:sz w:val="16"/>
                                    <w:szCs w:val="16"/>
                                    <w:lang w:val="en-CA"/>
                                  </w:rPr>
                                </w:pPr>
                                <w:r>
                                  <w:rPr>
                                    <w:sz w:val="16"/>
                                    <w:szCs w:val="16"/>
                                    <w:lang w:val="en-CA"/>
                                  </w:rPr>
                                  <w:t>My Lifestyles Questionnaire, n = 652 (96.5%)</w:t>
                                </w:r>
                              </w:p>
                              <w:p w14:paraId="350226E9" w14:textId="77777777" w:rsidR="00DE3537" w:rsidRPr="002A3560" w:rsidRDefault="00DE3537" w:rsidP="008A4767">
                                <w:pPr>
                                  <w:spacing w:after="0" w:line="240" w:lineRule="auto"/>
                                  <w:rPr>
                                    <w:rFonts w:cs="Calibri"/>
                                    <w:sz w:val="16"/>
                                    <w:szCs w:val="16"/>
                                    <w:lang w:val="en-CA"/>
                                  </w:rPr>
                                </w:pPr>
                              </w:p>
                            </w:txbxContent>
                          </wps:txbx>
                          <wps:bodyPr rot="0" vert="horz" wrap="square" lIns="91440" tIns="91440" rIns="91440" bIns="91440" anchor="t" anchorCtr="0" upright="1">
                            <a:noAutofit/>
                          </wps:bodyPr>
                        </wps:wsp>
                        <wps:wsp>
                          <wps:cNvPr id="201" name="Rectangle 201"/>
                          <wps:cNvSpPr>
                            <a:spLocks noChangeArrowheads="1"/>
                          </wps:cNvSpPr>
                          <wps:spPr bwMode="auto">
                            <a:xfrm>
                              <a:off x="2733675" y="2486025"/>
                              <a:ext cx="2159635" cy="395605"/>
                            </a:xfrm>
                            <a:prstGeom prst="rect">
                              <a:avLst/>
                            </a:prstGeom>
                            <a:solidFill>
                              <a:srgbClr val="FFFFFF"/>
                            </a:solidFill>
                            <a:ln w="9525">
                              <a:solidFill>
                                <a:srgbClr val="000000"/>
                              </a:solidFill>
                              <a:miter lim="800000"/>
                              <a:headEnd/>
                              <a:tailEnd/>
                            </a:ln>
                          </wps:spPr>
                          <wps:txbx>
                            <w:txbxContent>
                              <w:p w14:paraId="2E9B78C9" w14:textId="77777777" w:rsidR="00DE3537" w:rsidRDefault="00DE3537" w:rsidP="008A4767">
                                <w:pPr>
                                  <w:widowControl w:val="0"/>
                                  <w:spacing w:after="0" w:line="240" w:lineRule="auto"/>
                                  <w:jc w:val="center"/>
                                  <w:rPr>
                                    <w:sz w:val="16"/>
                                    <w:szCs w:val="16"/>
                                    <w:lang w:val="en-CA"/>
                                  </w:rPr>
                                </w:pPr>
                                <w:r>
                                  <w:rPr>
                                    <w:sz w:val="16"/>
                                    <w:szCs w:val="16"/>
                                    <w:lang w:val="en-CA"/>
                                  </w:rPr>
                                  <w:t>My Lifestyles Questionnaire, n = 626 (96.6%)</w:t>
                                </w:r>
                              </w:p>
                              <w:p w14:paraId="1D757D14" w14:textId="77777777" w:rsidR="00DE3537" w:rsidRPr="00CF23C3" w:rsidRDefault="00DE3537" w:rsidP="008A4767">
                                <w:pPr>
                                  <w:spacing w:after="0"/>
                                  <w:ind w:left="360" w:hanging="360"/>
                                  <w:rPr>
                                    <w:rFonts w:cs="Calibri"/>
                                    <w:sz w:val="16"/>
                                    <w:szCs w:val="16"/>
                                    <w:lang w:val="en-CA"/>
                                  </w:rPr>
                                </w:pPr>
                              </w:p>
                            </w:txbxContent>
                          </wps:txbx>
                          <wps:bodyPr rot="0" vert="horz" wrap="square" lIns="91440" tIns="91440" rIns="91440" bIns="91440" anchor="t" anchorCtr="0" upright="1">
                            <a:noAutofit/>
                          </wps:bodyPr>
                        </wps:wsp>
                      </wpg:grpSp>
                      <wps:wsp>
                        <wps:cNvPr id="202" name="Text Box 202"/>
                        <wps:cNvSpPr txBox="1"/>
                        <wps:spPr>
                          <a:xfrm>
                            <a:off x="0" y="5829300"/>
                            <a:ext cx="600075" cy="819150"/>
                          </a:xfrm>
                          <a:prstGeom prst="rect">
                            <a:avLst/>
                          </a:prstGeom>
                          <a:solidFill>
                            <a:srgbClr val="4F81BD"/>
                          </a:solidFill>
                          <a:ln w="25400" cap="flat" cmpd="sng" algn="ctr">
                            <a:solidFill>
                              <a:sysClr val="windowText" lastClr="000000"/>
                            </a:solidFill>
                            <a:prstDash val="solid"/>
                          </a:ln>
                          <a:effectLst/>
                        </wps:spPr>
                        <wps:txbx>
                          <w:txbxContent>
                            <w:p w14:paraId="3F4C3BBC" w14:textId="77777777" w:rsidR="00DE3537" w:rsidRPr="001D6DBA" w:rsidRDefault="00DE3537" w:rsidP="008A4767">
                              <w:pPr>
                                <w:jc w:val="center"/>
                                <w:rPr>
                                  <w:b/>
                                </w:rPr>
                              </w:pPr>
                              <w:r w:rsidRPr="001D6DBA">
                                <w:rPr>
                                  <w:b/>
                                </w:rPr>
                                <w:t>Analysis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03" name="Text Box 203"/>
                        <wps:cNvSpPr txBox="1"/>
                        <wps:spPr>
                          <a:xfrm>
                            <a:off x="0" y="4743450"/>
                            <a:ext cx="600075" cy="819150"/>
                          </a:xfrm>
                          <a:prstGeom prst="rect">
                            <a:avLst/>
                          </a:prstGeom>
                          <a:solidFill>
                            <a:srgbClr val="4F81BD"/>
                          </a:solidFill>
                          <a:ln w="25400" cap="flat" cmpd="sng" algn="ctr">
                            <a:solidFill>
                              <a:sysClr val="windowText" lastClr="000000"/>
                            </a:solidFill>
                            <a:prstDash val="solid"/>
                          </a:ln>
                          <a:effectLst/>
                        </wps:spPr>
                        <wps:txbx>
                          <w:txbxContent>
                            <w:p w14:paraId="6A9C8279" w14:textId="2CC85B40" w:rsidR="00DE3537" w:rsidRPr="001D6DBA" w:rsidRDefault="00DE3537" w:rsidP="008A4767">
                              <w:pPr>
                                <w:jc w:val="center"/>
                                <w:rPr>
                                  <w:b/>
                                </w:rPr>
                              </w:pPr>
                              <w:r>
                                <w:rPr>
                                  <w:b/>
                                </w:rPr>
                                <w:t>24 months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04" name="Text Box 204"/>
                        <wps:cNvSpPr txBox="1"/>
                        <wps:spPr>
                          <a:xfrm>
                            <a:off x="0" y="3562350"/>
                            <a:ext cx="600075" cy="819150"/>
                          </a:xfrm>
                          <a:prstGeom prst="rect">
                            <a:avLst/>
                          </a:prstGeom>
                          <a:solidFill>
                            <a:srgbClr val="4F81BD"/>
                          </a:solidFill>
                          <a:ln w="25400" cap="flat" cmpd="sng" algn="ctr">
                            <a:solidFill>
                              <a:sysClr val="windowText" lastClr="000000"/>
                            </a:solidFill>
                            <a:prstDash val="solid"/>
                          </a:ln>
                          <a:effectLst/>
                        </wps:spPr>
                        <wps:txbx>
                          <w:txbxContent>
                            <w:p w14:paraId="11463A5F" w14:textId="5BECF6E3" w:rsidR="00DE3537" w:rsidRPr="001D6DBA" w:rsidRDefault="00DE3537" w:rsidP="008A4767">
                              <w:pPr>
                                <w:jc w:val="center"/>
                                <w:rPr>
                                  <w:b/>
                                </w:rPr>
                              </w:pPr>
                              <w:r>
                                <w:rPr>
                                  <w:b/>
                                </w:rPr>
                                <w:t>18 months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05" name="Text Box 205"/>
                        <wps:cNvSpPr txBox="1"/>
                        <wps:spPr>
                          <a:xfrm>
                            <a:off x="0" y="1438275"/>
                            <a:ext cx="600075" cy="819150"/>
                          </a:xfrm>
                          <a:prstGeom prst="rect">
                            <a:avLst/>
                          </a:prstGeom>
                          <a:solidFill>
                            <a:srgbClr val="4F81BD"/>
                          </a:solidFill>
                          <a:ln w="25400" cap="flat" cmpd="sng" algn="ctr">
                            <a:solidFill>
                              <a:sysClr val="windowText" lastClr="000000"/>
                            </a:solidFill>
                            <a:prstDash val="solid"/>
                          </a:ln>
                          <a:effectLst/>
                        </wps:spPr>
                        <wps:txbx>
                          <w:txbxContent>
                            <w:p w14:paraId="4E39FCE4" w14:textId="77777777" w:rsidR="00DE3537" w:rsidRPr="001D6DBA" w:rsidRDefault="00DE3537" w:rsidP="008A4767">
                              <w:pPr>
                                <w:jc w:val="center"/>
                                <w:rPr>
                                  <w:b/>
                                </w:rPr>
                              </w:pPr>
                              <w:r>
                                <w:rPr>
                                  <w:b/>
                                </w:rPr>
                                <w:t>Allocation of schools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06" name="Text Box 206"/>
                        <wps:cNvSpPr txBox="1"/>
                        <wps:spPr>
                          <a:xfrm>
                            <a:off x="0" y="114300"/>
                            <a:ext cx="600075" cy="819150"/>
                          </a:xfrm>
                          <a:prstGeom prst="rect">
                            <a:avLst/>
                          </a:prstGeom>
                          <a:solidFill>
                            <a:srgbClr val="4F81BD"/>
                          </a:solidFill>
                          <a:ln w="25400" cap="flat" cmpd="sng" algn="ctr">
                            <a:solidFill>
                              <a:sysClr val="windowText" lastClr="000000"/>
                            </a:solidFill>
                            <a:prstDash val="solid"/>
                          </a:ln>
                          <a:effectLst/>
                        </wps:spPr>
                        <wps:txbx>
                          <w:txbxContent>
                            <w:p w14:paraId="21A7A161" w14:textId="77777777" w:rsidR="00DE3537" w:rsidRPr="001D6DBA" w:rsidRDefault="00DE3537" w:rsidP="008A4767">
                              <w:pPr>
                                <w:jc w:val="center"/>
                                <w:rPr>
                                  <w:b/>
                                </w:rPr>
                              </w:pPr>
                              <w:r>
                                <w:rPr>
                                  <w:b/>
                                </w:rPr>
                                <w:t>Baseline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07" name="Text Box 207"/>
                        <wps:cNvSpPr txBox="1"/>
                        <wps:spPr>
                          <a:xfrm>
                            <a:off x="0" y="2447925"/>
                            <a:ext cx="600075" cy="819150"/>
                          </a:xfrm>
                          <a:prstGeom prst="rect">
                            <a:avLst/>
                          </a:prstGeom>
                          <a:solidFill>
                            <a:srgbClr val="4F81BD"/>
                          </a:solidFill>
                          <a:ln w="25400" cap="flat" cmpd="sng" algn="ctr">
                            <a:solidFill>
                              <a:sysClr val="windowText" lastClr="000000"/>
                            </a:solidFill>
                            <a:prstDash val="solid"/>
                          </a:ln>
                          <a:effectLst/>
                        </wps:spPr>
                        <wps:txbx>
                          <w:txbxContent>
                            <w:p w14:paraId="36E6C4F4" w14:textId="2EA06FC7" w:rsidR="00DE3537" w:rsidRPr="001D6DBA" w:rsidRDefault="00DE3537" w:rsidP="008A4767">
                              <w:pPr>
                                <w:jc w:val="center"/>
                                <w:rPr>
                                  <w:b/>
                                </w:rPr>
                              </w:pPr>
                              <w:r>
                                <w:rPr>
                                  <w:b/>
                                </w:rPr>
                                <w:t>12 months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7B7248" id="Group 185" o:spid="_x0000_s1165" style="position:absolute;margin-left:-6pt;margin-top:66pt;width:455.8pt;height:523.5pt;z-index:251671552;mso-position-horizontal-relative:margin;mso-position-vertical-relative:text" coordsize="57886,66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">
                <v:group id="Group 186" o:spid="_x0000_s1166" style="position:absolute;left:8953;width:48933;height:64528" coordsize="48933,64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rect id="Rectangle 26" o:spid="_x0000_s1167" style="position:absolute;left:190;top:58769;width:21596;height:5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X//sMA&#10;AADcAAAADwAAAGRycy9kb3ducmV2LnhtbERPTWsCMRC9C/6HMEJvmtVSXbdGsS2FQvHgWup1SKab&#10;xc1k2aS6/vumIHibx/uc1aZ3jThTF2rPCqaTDASx9qbmSsHX4X2cgwgR2WDjmRRcKcBmPRyssDD+&#10;wns6l7ESKYRDgQpsjG0hZdCWHIaJb4kT9+M7hzHBrpKmw0sKd42cZdlcOqw5NVhs6dWSPpW/TsGi&#10;im+lfnnS3zt7zT+X/WPYl0elHkb99hlEpD7exTf3h0nz8wX8P5Mu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X//sMAAADcAAAADwAAAAAAAAAAAAAAAACYAgAAZHJzL2Rv&#10;d25yZXYueG1sUEsFBgAAAAAEAAQA9QAAAIgDAAAAAA==&#10;">
                    <v:textbox inset=",7.2pt,,7.2pt">
                      <w:txbxContent>
                        <w:p w14:paraId="0BDCEB2F" w14:textId="77777777" w:rsidR="00DE3537" w:rsidRDefault="00DE3537" w:rsidP="008A4767">
                          <w:pPr>
                            <w:spacing w:after="0" w:line="240" w:lineRule="auto"/>
                            <w:ind w:left="360" w:hanging="360"/>
                            <w:jc w:val="center"/>
                            <w:rPr>
                              <w:sz w:val="16"/>
                              <w:szCs w:val="16"/>
                              <w:lang w:val="en-CA"/>
                            </w:rPr>
                          </w:pPr>
                          <w:r>
                            <w:rPr>
                              <w:sz w:val="16"/>
                              <w:szCs w:val="16"/>
                              <w:lang w:val="en-CA"/>
                            </w:rPr>
                            <w:t>Primary analysis</w:t>
                          </w:r>
                        </w:p>
                        <w:p w14:paraId="35372D23" w14:textId="77777777" w:rsidR="00DE3537" w:rsidRPr="002D2C86" w:rsidRDefault="00DE3537" w:rsidP="008A4767">
                          <w:pPr>
                            <w:spacing w:after="0" w:line="240" w:lineRule="auto"/>
                            <w:ind w:left="360" w:hanging="360"/>
                            <w:jc w:val="center"/>
                            <w:rPr>
                              <w:rFonts w:cs="Calibri"/>
                              <w:b/>
                              <w:sz w:val="16"/>
                              <w:szCs w:val="16"/>
                              <w:lang w:val="en-CA"/>
                            </w:rPr>
                          </w:pPr>
                          <w:r w:rsidRPr="002D2C86">
                            <w:rPr>
                              <w:rFonts w:cs="Calibri"/>
                              <w:b/>
                              <w:sz w:val="16"/>
                              <w:szCs w:val="16"/>
                              <w:lang w:val="en-CA"/>
                            </w:rPr>
                            <w:t xml:space="preserve">Primary outcome BMI </w:t>
                          </w:r>
                          <w:r>
                            <w:rPr>
                              <w:rFonts w:cs="Calibri"/>
                              <w:b/>
                              <w:sz w:val="16"/>
                              <w:szCs w:val="16"/>
                              <w:lang w:val="en-CA"/>
                            </w:rPr>
                            <w:t>SDS</w:t>
                          </w:r>
                          <w:r w:rsidRPr="002D2C86">
                            <w:rPr>
                              <w:rFonts w:cs="Calibri"/>
                              <w:b/>
                              <w:sz w:val="16"/>
                              <w:szCs w:val="16"/>
                              <w:lang w:val="en-CA"/>
                            </w:rPr>
                            <w:t xml:space="preserve"> (n</w:t>
                          </w:r>
                          <w:r>
                            <w:rPr>
                              <w:rFonts w:cs="Calibri"/>
                              <w:b/>
                              <w:sz w:val="16"/>
                              <w:szCs w:val="16"/>
                              <w:lang w:val="en-CA"/>
                            </w:rPr>
                            <w:t xml:space="preserve"> </w:t>
                          </w:r>
                          <w:r w:rsidRPr="002D2C86">
                            <w:rPr>
                              <w:rFonts w:cs="Calibri"/>
                              <w:b/>
                              <w:sz w:val="16"/>
                              <w:szCs w:val="16"/>
                              <w:lang w:val="en-CA"/>
                            </w:rPr>
                            <w:t>=</w:t>
                          </w:r>
                          <w:r>
                            <w:rPr>
                              <w:rFonts w:cs="Calibri"/>
                              <w:b/>
                              <w:sz w:val="16"/>
                              <w:szCs w:val="16"/>
                              <w:lang w:val="en-CA"/>
                            </w:rPr>
                            <w:t xml:space="preserve"> </w:t>
                          </w:r>
                          <w:r w:rsidRPr="002D2C86">
                            <w:rPr>
                              <w:rFonts w:cs="Calibri"/>
                              <w:b/>
                              <w:sz w:val="16"/>
                              <w:szCs w:val="16"/>
                              <w:lang w:val="en-CA"/>
                            </w:rPr>
                            <w:t>628; 92.9%)</w:t>
                          </w:r>
                        </w:p>
                        <w:p w14:paraId="20CB60FF" w14:textId="77777777" w:rsidR="00DE3537" w:rsidRDefault="00DE3537" w:rsidP="008A4767">
                          <w:pPr>
                            <w:spacing w:after="0" w:line="240" w:lineRule="auto"/>
                            <w:ind w:left="360" w:hanging="360"/>
                            <w:jc w:val="center"/>
                            <w:rPr>
                              <w:rFonts w:cs="Calibri"/>
                              <w:sz w:val="16"/>
                              <w:szCs w:val="16"/>
                              <w:lang w:val="en-CA"/>
                            </w:rPr>
                          </w:pPr>
                          <w:r>
                            <w:rPr>
                              <w:rFonts w:cs="Calibri"/>
                              <w:sz w:val="16"/>
                              <w:szCs w:val="16"/>
                              <w:lang w:val="en-CA"/>
                            </w:rPr>
                            <w:t>2 children excluded as no baseline BMI</w:t>
                          </w:r>
                        </w:p>
                        <w:p w14:paraId="3554E2D7" w14:textId="77777777" w:rsidR="00DE3537" w:rsidRPr="00CF23C3" w:rsidRDefault="00DE3537" w:rsidP="008A4767">
                          <w:pPr>
                            <w:spacing w:after="0" w:line="240" w:lineRule="auto"/>
                            <w:ind w:left="360" w:hanging="360"/>
                            <w:rPr>
                              <w:rFonts w:cs="Calibri"/>
                              <w:sz w:val="16"/>
                              <w:szCs w:val="16"/>
                              <w:lang w:val="en-CA"/>
                            </w:rPr>
                          </w:pPr>
                        </w:p>
                      </w:txbxContent>
                    </v:textbox>
                  </v:rect>
                  <v:rect id="Rectangle 188" o:spid="_x0000_s1168" style="position:absolute;left:95;top:33337;width:21596;height:10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prjMYA&#10;AADcAAAADwAAAGRycy9kb3ducmV2LnhtbESPT2vDMAzF74V9B6PBbq3TjXVZVrfsD4PC6KHZ2K7C&#10;1uLQWA6x16bfvjoMepN4T+/9tFyPoVMHGlIb2cB8VoAittG13Bj4+nyflqBSRnbYRSYDJ0qwXl1N&#10;lli5eOQdHercKAnhVKEBn3NfaZ2sp4BpFnti0X7jEDDLOjTaDXiU8NDp26JY6IAtS4PHnl492X39&#10;Fww8NPmtti/39nvrT+XH43iXdvWPMTfX4/MTqExjvpj/rzdO8EuhlWdkAr0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prjMYAAADcAAAADwAAAAAAAAAAAAAAAACYAgAAZHJz&#10;L2Rvd25yZXYueG1sUEsFBgAAAAAEAAQA9QAAAIsDAAAAAA==&#10;">
                    <v:textbox inset=",7.2pt,,7.2pt">
                      <w:txbxContent>
                        <w:p w14:paraId="148F2188" w14:textId="77777777" w:rsidR="00DE3537" w:rsidRPr="00124CB0" w:rsidRDefault="00DE3537" w:rsidP="008A4767">
                          <w:pPr>
                            <w:widowControl w:val="0"/>
                            <w:spacing w:after="0" w:line="240" w:lineRule="auto"/>
                            <w:jc w:val="center"/>
                            <w:rPr>
                              <w:b/>
                              <w:sz w:val="16"/>
                              <w:szCs w:val="16"/>
                              <w:lang w:val="en-CA"/>
                            </w:rPr>
                          </w:pPr>
                          <w:r>
                            <w:rPr>
                              <w:b/>
                              <w:sz w:val="16"/>
                              <w:szCs w:val="16"/>
                              <w:lang w:val="en-CA"/>
                            </w:rPr>
                            <w:t>BMI (height and weight), n = 644</w:t>
                          </w:r>
                          <w:r w:rsidRPr="00124CB0">
                            <w:rPr>
                              <w:b/>
                              <w:sz w:val="16"/>
                              <w:szCs w:val="16"/>
                              <w:lang w:val="en-CA"/>
                            </w:rPr>
                            <w:t xml:space="preserve"> (9</w:t>
                          </w:r>
                          <w:r>
                            <w:rPr>
                              <w:b/>
                              <w:sz w:val="16"/>
                              <w:szCs w:val="16"/>
                              <w:lang w:val="en-CA"/>
                            </w:rPr>
                            <w:t>5.3</w:t>
                          </w:r>
                          <w:r w:rsidRPr="00124CB0">
                            <w:rPr>
                              <w:b/>
                              <w:sz w:val="16"/>
                              <w:szCs w:val="16"/>
                              <w:lang w:val="en-CA"/>
                            </w:rPr>
                            <w:t>%)</w:t>
                          </w:r>
                        </w:p>
                        <w:p w14:paraId="52062690" w14:textId="77777777" w:rsidR="00DE3537" w:rsidRPr="00A901C6" w:rsidRDefault="00DE3537" w:rsidP="008A4767">
                          <w:pPr>
                            <w:widowControl w:val="0"/>
                            <w:spacing w:after="0" w:line="240" w:lineRule="auto"/>
                            <w:jc w:val="center"/>
                            <w:rPr>
                              <w:sz w:val="16"/>
                              <w:szCs w:val="16"/>
                              <w:lang w:val="en-CA"/>
                            </w:rPr>
                          </w:pPr>
                          <w:r>
                            <w:rPr>
                              <w:sz w:val="16"/>
                              <w:szCs w:val="16"/>
                              <w:lang w:val="en-CA"/>
                            </w:rPr>
                            <w:t xml:space="preserve">Waist </w:t>
                          </w:r>
                          <w:r w:rsidRPr="00A901C6">
                            <w:rPr>
                              <w:sz w:val="16"/>
                              <w:szCs w:val="16"/>
                              <w:lang w:val="en-CA"/>
                            </w:rPr>
                            <w:t>circumference, n</w:t>
                          </w:r>
                          <w:r>
                            <w:rPr>
                              <w:sz w:val="16"/>
                              <w:szCs w:val="16"/>
                              <w:lang w:val="en-CA"/>
                            </w:rPr>
                            <w:t xml:space="preserve"> </w:t>
                          </w:r>
                          <w:r w:rsidRPr="00A901C6">
                            <w:rPr>
                              <w:sz w:val="16"/>
                              <w:szCs w:val="16"/>
                              <w:lang w:val="en-CA"/>
                            </w:rPr>
                            <w:t>=</w:t>
                          </w:r>
                          <w:r>
                            <w:rPr>
                              <w:sz w:val="16"/>
                              <w:szCs w:val="16"/>
                              <w:lang w:val="en-CA"/>
                            </w:rPr>
                            <w:t xml:space="preserve"> </w:t>
                          </w:r>
                          <w:r w:rsidRPr="00A901C6">
                            <w:rPr>
                              <w:sz w:val="16"/>
                              <w:szCs w:val="16"/>
                              <w:lang w:val="en-CA"/>
                            </w:rPr>
                            <w:t>645 (95.4%)</w:t>
                          </w:r>
                        </w:p>
                        <w:p w14:paraId="51023914" w14:textId="77777777" w:rsidR="00DE3537" w:rsidRPr="00A901C6" w:rsidRDefault="00DE3537" w:rsidP="008A4767">
                          <w:pPr>
                            <w:widowControl w:val="0"/>
                            <w:spacing w:after="0" w:line="240" w:lineRule="auto"/>
                            <w:jc w:val="center"/>
                            <w:rPr>
                              <w:sz w:val="16"/>
                              <w:szCs w:val="16"/>
                              <w:lang w:val="en-CA"/>
                            </w:rPr>
                          </w:pPr>
                          <w:r w:rsidRPr="00A901C6">
                            <w:rPr>
                              <w:sz w:val="16"/>
                              <w:szCs w:val="16"/>
                              <w:lang w:val="en-CA"/>
                            </w:rPr>
                            <w:t>Body fat, n</w:t>
                          </w:r>
                          <w:r>
                            <w:rPr>
                              <w:sz w:val="16"/>
                              <w:szCs w:val="16"/>
                              <w:lang w:val="en-CA"/>
                            </w:rPr>
                            <w:t xml:space="preserve"> </w:t>
                          </w:r>
                          <w:r w:rsidRPr="00A901C6">
                            <w:rPr>
                              <w:sz w:val="16"/>
                              <w:szCs w:val="16"/>
                              <w:lang w:val="en-CA"/>
                            </w:rPr>
                            <w:t>=</w:t>
                          </w:r>
                          <w:r>
                            <w:rPr>
                              <w:sz w:val="16"/>
                              <w:szCs w:val="16"/>
                              <w:lang w:val="en-CA"/>
                            </w:rPr>
                            <w:t xml:space="preserve"> </w:t>
                          </w:r>
                          <w:r w:rsidRPr="00A901C6">
                            <w:rPr>
                              <w:sz w:val="16"/>
                              <w:szCs w:val="16"/>
                              <w:lang w:val="en-CA"/>
                            </w:rPr>
                            <w:t>644 (95.3%)</w:t>
                          </w:r>
                        </w:p>
                        <w:p w14:paraId="5D549B24" w14:textId="77777777" w:rsidR="00DE3537" w:rsidRPr="00A901C6" w:rsidRDefault="00DE3537" w:rsidP="008A4767">
                          <w:pPr>
                            <w:widowControl w:val="0"/>
                            <w:spacing w:after="0" w:line="240" w:lineRule="auto"/>
                            <w:jc w:val="center"/>
                            <w:rPr>
                              <w:sz w:val="16"/>
                              <w:szCs w:val="16"/>
                              <w:lang w:val="en-CA"/>
                            </w:rPr>
                          </w:pPr>
                          <w:r w:rsidRPr="00A901C6">
                            <w:rPr>
                              <w:sz w:val="16"/>
                              <w:szCs w:val="16"/>
                              <w:lang w:val="en-CA"/>
                            </w:rPr>
                            <w:t>FIQ weekday, n</w:t>
                          </w:r>
                          <w:r>
                            <w:rPr>
                              <w:sz w:val="16"/>
                              <w:szCs w:val="16"/>
                              <w:lang w:val="en-CA"/>
                            </w:rPr>
                            <w:t xml:space="preserve"> </w:t>
                          </w:r>
                          <w:r w:rsidRPr="00A901C6">
                            <w:rPr>
                              <w:sz w:val="16"/>
                              <w:szCs w:val="16"/>
                              <w:lang w:val="en-CA"/>
                            </w:rPr>
                            <w:t>=</w:t>
                          </w:r>
                          <w:r>
                            <w:rPr>
                              <w:sz w:val="16"/>
                              <w:szCs w:val="16"/>
                              <w:lang w:val="en-CA"/>
                            </w:rPr>
                            <w:t xml:space="preserve"> </w:t>
                          </w:r>
                          <w:r w:rsidRPr="00A901C6">
                            <w:rPr>
                              <w:sz w:val="16"/>
                              <w:szCs w:val="16"/>
                              <w:lang w:val="en-CA"/>
                            </w:rPr>
                            <w:t>647 (95.7%)</w:t>
                          </w:r>
                        </w:p>
                        <w:p w14:paraId="11D09CFB" w14:textId="77777777" w:rsidR="00DE3537" w:rsidRPr="00A901C6" w:rsidRDefault="00DE3537" w:rsidP="008A4767">
                          <w:pPr>
                            <w:widowControl w:val="0"/>
                            <w:spacing w:after="0" w:line="240" w:lineRule="auto"/>
                            <w:jc w:val="center"/>
                            <w:rPr>
                              <w:sz w:val="16"/>
                              <w:szCs w:val="16"/>
                              <w:lang w:val="en-CA"/>
                            </w:rPr>
                          </w:pPr>
                          <w:r w:rsidRPr="00A901C6">
                            <w:rPr>
                              <w:sz w:val="16"/>
                              <w:szCs w:val="16"/>
                              <w:lang w:val="en-CA"/>
                            </w:rPr>
                            <w:t>FIQ weekend, n</w:t>
                          </w:r>
                          <w:r>
                            <w:rPr>
                              <w:sz w:val="16"/>
                              <w:szCs w:val="16"/>
                              <w:lang w:val="en-CA"/>
                            </w:rPr>
                            <w:t xml:space="preserve"> </w:t>
                          </w:r>
                          <w:r w:rsidRPr="00A901C6">
                            <w:rPr>
                              <w:sz w:val="16"/>
                              <w:szCs w:val="16"/>
                              <w:lang w:val="en-CA"/>
                            </w:rPr>
                            <w:t>=</w:t>
                          </w:r>
                          <w:r>
                            <w:rPr>
                              <w:sz w:val="16"/>
                              <w:szCs w:val="16"/>
                              <w:lang w:val="en-CA"/>
                            </w:rPr>
                            <w:t xml:space="preserve"> </w:t>
                          </w:r>
                          <w:r w:rsidRPr="00A901C6">
                            <w:rPr>
                              <w:sz w:val="16"/>
                              <w:szCs w:val="16"/>
                              <w:lang w:val="en-CA"/>
                            </w:rPr>
                            <w:t>648 (95.9%)</w:t>
                          </w:r>
                        </w:p>
                        <w:p w14:paraId="0B23080D" w14:textId="77777777" w:rsidR="00DE3537" w:rsidRPr="004A65D5" w:rsidRDefault="00DE3537" w:rsidP="008A4767">
                          <w:pPr>
                            <w:widowControl w:val="0"/>
                            <w:spacing w:after="0" w:line="240" w:lineRule="auto"/>
                            <w:jc w:val="center"/>
                            <w:rPr>
                              <w:sz w:val="16"/>
                              <w:szCs w:val="16"/>
                              <w:lang w:val="en-CA"/>
                            </w:rPr>
                          </w:pPr>
                          <w:r w:rsidRPr="004A65D5">
                            <w:rPr>
                              <w:sz w:val="16"/>
                              <w:szCs w:val="16"/>
                              <w:lang w:val="en-CA"/>
                            </w:rPr>
                            <w:t>PA (analysed files), n</w:t>
                          </w:r>
                          <w:r>
                            <w:rPr>
                              <w:sz w:val="16"/>
                              <w:szCs w:val="16"/>
                              <w:lang w:val="en-CA"/>
                            </w:rPr>
                            <w:t xml:space="preserve"> </w:t>
                          </w:r>
                          <w:r w:rsidRPr="004A65D5">
                            <w:rPr>
                              <w:sz w:val="16"/>
                              <w:szCs w:val="16"/>
                              <w:lang w:val="en-CA"/>
                            </w:rPr>
                            <w:t>=</w:t>
                          </w:r>
                          <w:r>
                            <w:rPr>
                              <w:sz w:val="16"/>
                              <w:szCs w:val="16"/>
                              <w:lang w:val="en-CA"/>
                            </w:rPr>
                            <w:t xml:space="preserve"> </w:t>
                          </w:r>
                          <w:r w:rsidRPr="004A65D5">
                            <w:rPr>
                              <w:sz w:val="16"/>
                              <w:szCs w:val="16"/>
                              <w:lang w:val="en-CA"/>
                            </w:rPr>
                            <w:t>384/428 (89.7%)</w:t>
                          </w:r>
                        </w:p>
                        <w:p w14:paraId="59F89D68" w14:textId="77777777" w:rsidR="00DE3537" w:rsidRDefault="00DE3537" w:rsidP="008A4767">
                          <w:pPr>
                            <w:widowControl w:val="0"/>
                            <w:spacing w:after="0" w:line="240" w:lineRule="auto"/>
                            <w:jc w:val="center"/>
                            <w:rPr>
                              <w:sz w:val="16"/>
                              <w:szCs w:val="16"/>
                              <w:lang w:val="en-CA"/>
                            </w:rPr>
                          </w:pPr>
                          <w:r w:rsidRPr="004A65D5">
                            <w:rPr>
                              <w:sz w:val="16"/>
                              <w:szCs w:val="16"/>
                              <w:lang w:val="en-CA"/>
                            </w:rPr>
                            <w:t>PA (valid data), n</w:t>
                          </w:r>
                          <w:r>
                            <w:rPr>
                              <w:sz w:val="16"/>
                              <w:szCs w:val="16"/>
                              <w:lang w:val="en-CA"/>
                            </w:rPr>
                            <w:t xml:space="preserve"> </w:t>
                          </w:r>
                          <w:r w:rsidRPr="004A65D5">
                            <w:rPr>
                              <w:sz w:val="16"/>
                              <w:szCs w:val="16"/>
                              <w:lang w:val="en-CA"/>
                            </w:rPr>
                            <w:t>=</w:t>
                          </w:r>
                          <w:r>
                            <w:rPr>
                              <w:sz w:val="16"/>
                              <w:szCs w:val="16"/>
                              <w:lang w:val="en-CA"/>
                            </w:rPr>
                            <w:t xml:space="preserve"> </w:t>
                          </w:r>
                          <w:r w:rsidRPr="004A65D5">
                            <w:rPr>
                              <w:sz w:val="16"/>
                              <w:szCs w:val="16"/>
                              <w:lang w:val="en-CA"/>
                            </w:rPr>
                            <w:t>359/428 (83.9%)</w:t>
                          </w:r>
                        </w:p>
                        <w:p w14:paraId="31BB91F2" w14:textId="77777777" w:rsidR="00DE3537" w:rsidRDefault="00DE3537" w:rsidP="008A4767">
                          <w:pPr>
                            <w:spacing w:after="0" w:line="240" w:lineRule="auto"/>
                            <w:ind w:left="360" w:hanging="360"/>
                            <w:rPr>
                              <w:sz w:val="16"/>
                              <w:szCs w:val="16"/>
                              <w:lang w:val="en-CA"/>
                            </w:rPr>
                          </w:pPr>
                        </w:p>
                      </w:txbxContent>
                    </v:textbox>
                  </v:rect>
                  <v:rect id="Rectangle 189" o:spid="_x0000_s1169" style="position:absolute;left:95;top:15335;width:21596;height:5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bOF8MA&#10;AADcAAAADwAAAGRycy9kb3ducmV2LnhtbERPTWsCMRC9C/0PYQRvNWtLdV2N0laEgnhwLfU6JNPN&#10;0s1k2URd/31TKHibx/uc5bp3jbhQF2rPCibjDASx9qbmSsHncfuYgwgR2WDjmRTcKMB69TBYYmH8&#10;lQ90KWMlUgiHAhXYGNtCyqAtOQxj3xIn7tt3DmOCXSVNh9cU7hr5lGVT6bDm1GCxpXdL+qc8OwWz&#10;Km5K/faiv/b2lu/m/XM4lCelRsP+dQEiUh/v4n/3h0nz8zn8PZMu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bOF8MAAADcAAAADwAAAAAAAAAAAAAAAACYAgAAZHJzL2Rv&#10;d25yZXYueG1sUEsFBgAAAAAEAAQA9QAAAIgDAAAAAA==&#10;">
                    <v:textbox inset=",7.2pt,,7.2pt">
                      <w:txbxContent>
                        <w:p w14:paraId="03DAD1BA" w14:textId="77777777" w:rsidR="00DE3537" w:rsidRPr="008624C3" w:rsidRDefault="00DE3537" w:rsidP="008A4767">
                          <w:pPr>
                            <w:spacing w:after="0" w:line="240" w:lineRule="auto"/>
                            <w:jc w:val="center"/>
                            <w:rPr>
                              <w:sz w:val="16"/>
                              <w:szCs w:val="16"/>
                              <w:lang w:val="en-CA"/>
                            </w:rPr>
                          </w:pPr>
                          <w:r w:rsidRPr="008624C3">
                            <w:rPr>
                              <w:sz w:val="16"/>
                              <w:szCs w:val="16"/>
                              <w:lang w:val="en-CA"/>
                            </w:rPr>
                            <w:t>Allocated to intervention N</w:t>
                          </w:r>
                          <w:r>
                            <w:rPr>
                              <w:sz w:val="16"/>
                              <w:szCs w:val="16"/>
                              <w:lang w:val="en-CA"/>
                            </w:rPr>
                            <w:t xml:space="preserve"> </w:t>
                          </w:r>
                          <w:r w:rsidRPr="008624C3">
                            <w:rPr>
                              <w:sz w:val="16"/>
                              <w:szCs w:val="16"/>
                              <w:lang w:val="en-CA"/>
                            </w:rPr>
                            <w:t>=</w:t>
                          </w:r>
                          <w:r>
                            <w:rPr>
                              <w:sz w:val="16"/>
                              <w:szCs w:val="16"/>
                              <w:lang w:val="en-CA"/>
                            </w:rPr>
                            <w:t xml:space="preserve"> </w:t>
                          </w:r>
                          <w:r w:rsidRPr="008624C3">
                            <w:rPr>
                              <w:sz w:val="16"/>
                              <w:szCs w:val="16"/>
                              <w:lang w:val="en-CA"/>
                            </w:rPr>
                            <w:t xml:space="preserve">16; </w:t>
                          </w:r>
                        </w:p>
                        <w:p w14:paraId="7CAC73C1" w14:textId="77777777" w:rsidR="00DE3537" w:rsidRPr="008624C3" w:rsidRDefault="00DE3537" w:rsidP="008A4767">
                          <w:pPr>
                            <w:spacing w:after="0" w:line="240" w:lineRule="auto"/>
                            <w:jc w:val="center"/>
                            <w:rPr>
                              <w:sz w:val="16"/>
                              <w:szCs w:val="16"/>
                              <w:lang w:val="en-CA"/>
                            </w:rPr>
                          </w:pPr>
                          <w:r>
                            <w:rPr>
                              <w:sz w:val="16"/>
                              <w:szCs w:val="16"/>
                              <w:lang w:val="en-CA"/>
                            </w:rPr>
                            <w:t xml:space="preserve">n </w:t>
                          </w:r>
                          <w:r w:rsidRPr="008624C3">
                            <w:rPr>
                              <w:sz w:val="16"/>
                              <w:szCs w:val="16"/>
                              <w:lang w:val="en-CA"/>
                            </w:rPr>
                            <w:t>=</w:t>
                          </w:r>
                          <w:r>
                            <w:rPr>
                              <w:sz w:val="16"/>
                              <w:szCs w:val="16"/>
                              <w:lang w:val="en-CA"/>
                            </w:rPr>
                            <w:t xml:space="preserve"> </w:t>
                          </w:r>
                          <w:r w:rsidRPr="008624C3">
                            <w:rPr>
                              <w:sz w:val="16"/>
                              <w:szCs w:val="16"/>
                              <w:lang w:val="en-CA"/>
                            </w:rPr>
                            <w:t>676 children; mean (coefficient of variation) 42.3 (0.49) children per school</w:t>
                          </w:r>
                        </w:p>
                        <w:p w14:paraId="7EE1B33D" w14:textId="77777777" w:rsidR="00DE3537" w:rsidRPr="00210D72" w:rsidRDefault="00DE3537" w:rsidP="008A4767">
                          <w:pPr>
                            <w:spacing w:after="0" w:line="240" w:lineRule="auto"/>
                            <w:rPr>
                              <w:rFonts w:cs="Calibri"/>
                              <w:sz w:val="16"/>
                              <w:szCs w:val="16"/>
                              <w:lang w:val="en-CA"/>
                            </w:rPr>
                          </w:pPr>
                        </w:p>
                      </w:txbxContent>
                    </v:textbox>
                  </v:rect>
                  <v:rect id="Rectangle 25" o:spid="_x0000_s1170" style="position:absolute;left:27241;top:58769;width:21596;height:5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XxV8YA&#10;AADcAAAADwAAAGRycy9kb3ducmV2LnhtbESPS2sDMQyE74X+B6NCb4k3Lc1jGyf0QSFQcsi2JFdh&#10;q+sla3lZu8nm30eHQm8SM5r5tFwPoVUn6lMT2cBkXIAittE1XBv4/voYzUGljOywjUwGLpRgvbq9&#10;WWLp4pl3dKpyrSSEU4kGfM5dqXWyngKmceyIRfuJfcAsa19r1+NZwkOrH4piqgM2LA0eO3rzZI/V&#10;bzAwq/N7ZV+f7H7rL/PPxfCYdtXBmPu74eUZVKYh/5v/rjdO8BeCL8/IBHp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XxV8YAAADcAAAADwAAAAAAAAAAAAAAAACYAgAAZHJz&#10;L2Rvd25yZXYueG1sUEsFBgAAAAAEAAQA9QAAAIsDAAAAAA==&#10;">
                    <v:textbox inset=",7.2pt,,7.2pt">
                      <w:txbxContent>
                        <w:p w14:paraId="33A61C61" w14:textId="77777777" w:rsidR="00DE3537" w:rsidRDefault="00DE3537" w:rsidP="008A4767">
                          <w:pPr>
                            <w:spacing w:after="0" w:line="240" w:lineRule="auto"/>
                            <w:ind w:left="360" w:hanging="360"/>
                            <w:jc w:val="center"/>
                            <w:rPr>
                              <w:sz w:val="16"/>
                              <w:szCs w:val="16"/>
                              <w:lang w:val="en-CA"/>
                            </w:rPr>
                          </w:pPr>
                          <w:r>
                            <w:rPr>
                              <w:sz w:val="16"/>
                              <w:szCs w:val="16"/>
                              <w:lang w:val="en-CA"/>
                            </w:rPr>
                            <w:t>Primary analysis</w:t>
                          </w:r>
                        </w:p>
                        <w:p w14:paraId="069B7A67" w14:textId="77777777" w:rsidR="00DE3537" w:rsidRPr="00B54F9A" w:rsidRDefault="00DE3537" w:rsidP="008A4767">
                          <w:pPr>
                            <w:spacing w:after="0" w:line="240" w:lineRule="auto"/>
                            <w:ind w:left="360" w:hanging="360"/>
                            <w:jc w:val="center"/>
                            <w:rPr>
                              <w:rFonts w:cs="Calibri"/>
                              <w:b/>
                              <w:sz w:val="16"/>
                              <w:szCs w:val="16"/>
                              <w:lang w:val="en-CA"/>
                            </w:rPr>
                          </w:pPr>
                          <w:r w:rsidRPr="00B54F9A">
                            <w:rPr>
                              <w:rFonts w:cs="Calibri"/>
                              <w:b/>
                              <w:sz w:val="16"/>
                              <w:szCs w:val="16"/>
                              <w:lang w:val="en-CA"/>
                            </w:rPr>
                            <w:t xml:space="preserve">Primary outcome BMI </w:t>
                          </w:r>
                          <w:r>
                            <w:rPr>
                              <w:rFonts w:cs="Calibri"/>
                              <w:b/>
                              <w:sz w:val="16"/>
                              <w:szCs w:val="16"/>
                              <w:lang w:val="en-CA"/>
                            </w:rPr>
                            <w:t>SDS</w:t>
                          </w:r>
                          <w:r w:rsidRPr="00B54F9A">
                            <w:rPr>
                              <w:rFonts w:cs="Calibri"/>
                              <w:b/>
                              <w:sz w:val="16"/>
                              <w:szCs w:val="16"/>
                              <w:lang w:val="en-CA"/>
                            </w:rPr>
                            <w:t xml:space="preserve"> (n</w:t>
                          </w:r>
                          <w:r>
                            <w:rPr>
                              <w:rFonts w:cs="Calibri"/>
                              <w:b/>
                              <w:sz w:val="16"/>
                              <w:szCs w:val="16"/>
                              <w:lang w:val="en-CA"/>
                            </w:rPr>
                            <w:t xml:space="preserve"> </w:t>
                          </w:r>
                          <w:r w:rsidRPr="00B54F9A">
                            <w:rPr>
                              <w:rFonts w:cs="Calibri"/>
                              <w:b/>
                              <w:sz w:val="16"/>
                              <w:szCs w:val="16"/>
                              <w:lang w:val="en-CA"/>
                            </w:rPr>
                            <w:t>=</w:t>
                          </w:r>
                          <w:r>
                            <w:rPr>
                              <w:rFonts w:cs="Calibri"/>
                              <w:b/>
                              <w:sz w:val="16"/>
                              <w:szCs w:val="16"/>
                              <w:lang w:val="en-CA"/>
                            </w:rPr>
                            <w:t xml:space="preserve"> </w:t>
                          </w:r>
                          <w:r w:rsidRPr="00B54F9A">
                            <w:rPr>
                              <w:rFonts w:cs="Calibri"/>
                              <w:b/>
                              <w:sz w:val="16"/>
                              <w:szCs w:val="16"/>
                              <w:lang w:val="en-CA"/>
                            </w:rPr>
                            <w:t>616; 95.1%)</w:t>
                          </w:r>
                        </w:p>
                        <w:p w14:paraId="15B367A2" w14:textId="77777777" w:rsidR="00DE3537" w:rsidRDefault="00DE3537" w:rsidP="008A4767">
                          <w:pPr>
                            <w:spacing w:after="0" w:line="240" w:lineRule="auto"/>
                            <w:ind w:left="360" w:hanging="360"/>
                            <w:jc w:val="center"/>
                            <w:rPr>
                              <w:rFonts w:cs="Calibri"/>
                              <w:sz w:val="16"/>
                              <w:szCs w:val="16"/>
                              <w:lang w:val="en-CA"/>
                            </w:rPr>
                          </w:pPr>
                          <w:r>
                            <w:rPr>
                              <w:rFonts w:cs="Calibri"/>
                              <w:sz w:val="16"/>
                              <w:szCs w:val="16"/>
                              <w:lang w:val="en-CA"/>
                            </w:rPr>
                            <w:t>4 children excluded as no baseline BMI</w:t>
                          </w:r>
                        </w:p>
                        <w:p w14:paraId="1E9B7DC2" w14:textId="77777777" w:rsidR="00DE3537" w:rsidRDefault="00DE3537" w:rsidP="008A4767">
                          <w:pPr>
                            <w:spacing w:after="0" w:line="240" w:lineRule="auto"/>
                            <w:rPr>
                              <w:sz w:val="16"/>
                              <w:szCs w:val="16"/>
                              <w:lang w:val="en-CA"/>
                            </w:rPr>
                          </w:pPr>
                        </w:p>
                      </w:txbxContent>
                    </v:textbox>
                  </v:rect>
                  <v:shape id="Straight Arrow Connector 29" o:spid="_x0000_s1171" type="#_x0000_t32" style="position:absolute;left:10953;top:43815;width:0;height:3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jW7cIAAADcAAAADwAAAGRycy9kb3ducmV2LnhtbERPS4vCMBC+C/sfwix4s6mCr65RFkEo&#10;elC7e9nb0My2xWZSmljrvzeC4G0+vuesNr2pRUetqywrGEcxCOLc6ooLBb8/u9EChPPIGmvLpOBO&#10;Djbrj8EKE21vfKYu84UIIewSVFB63yRSurwkgy6yDXHg/m1r0AfYFlK3eAvhppaTOJ5JgxWHhhIb&#10;2paUX7KrUaAnx0uaFlV22OnTfr6001Pe/Sk1/Oy/v0B46v1b/HKnOsxfjuH5TLhAr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tjW7cIAAADcAAAADwAAAAAAAAAAAAAA&#10;AAChAgAAZHJzL2Rvd25yZXYueG1sUEsFBgAAAAAEAAQA+QAAAJADAAAAAA==&#10;">
                    <v:stroke endarrow="block"/>
                    <v:shadow color="#ccc"/>
                  </v:shape>
                  <v:shape id="Straight Arrow Connector 24" o:spid="_x0000_s1172" type="#_x0000_t32" style="position:absolute;left:8763;top:56483;width:3600;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SOG8QAAADcAAAADwAAAGRycy9kb3ducmV2LnhtbERPS2sCMRC+F/ofwgheRLMVLN3VKEup&#10;1VNpreB12Mw+cDNZkqxu++sbQehtPr7nrDaDacWFnG8sK3iaJSCIC6sbrhQcv7fTFxA+IGtsLZOC&#10;H/KwWT8+rDDT9spfdDmESsQQ9hkqqEPoMil9UZNBP7MdceRK6wyGCF0ltcNrDDetnCfJszTYcGyo&#10;saPXmorzoTcKytNn3pfHXLohTd93i99zP/l4U2o8GvIliEBD+Bff3Xsd56dzuD0TL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BI4bxAAAANwAAAAPAAAAAAAAAAAA&#10;AAAAAKECAABkcnMvZG93bnJldi54bWxQSwUGAAAAAAQABAD5AAAAkgMAAAAA&#10;">
                    <v:stroke endarrow="block"/>
                    <v:shadow color="#ccc"/>
                  </v:shape>
                  <v:shape id="Straight Arrow Connector 193" o:spid="_x0000_s1173" type="#_x0000_t32" style="position:absolute;left:35814;top:56292;width:3600;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grgMQAAADcAAAADwAAAGRycy9kb3ducmV2LnhtbERPS2sCMRC+F/wPYQq9FM1asbhboyyl&#10;rT2VVgWvw2b2gZvJkmR19dc3QqG3+fies1wPphUncr6xrGA6SUAQF1Y3XCnY797HCxA+IGtsLZOC&#10;C3lYr0Z3S8y0PfMPnbahEjGEfYYK6hC6TEpf1GTQT2xHHLnSOoMhQldJ7fAcw00rn5LkWRpsODbU&#10;2NFrTcVx2xsF5eE778t9Lt2Qph+b+fXYP369KfVwP+QvIAIN4V/85/7UcX46g9sz8QK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SCuAxAAAANwAAAAPAAAAAAAAAAAA&#10;AAAAAKECAABkcnMvZG93bnJldi54bWxQSwUGAAAAAAQABAD5AAAAkgMAAAAA&#10;">
                    <v:stroke endarrow="block"/>
                    <v:shadow color="#ccc"/>
                  </v:shape>
                  <v:shape id="Straight Arrow Connector 30" o:spid="_x0000_s1174" type="#_x0000_t32" style="position:absolute;left:38100;top:44005;width:0;height:3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91dcIAAADcAAAADwAAAGRycy9kb3ducmV2LnhtbERPS4vCMBC+L/gfwgje1lRZX9UoIgjF&#10;PehWL96GZmyLzaQ02Vr//UYQ9jYf33NWm85UoqXGlZYVjIYRCOLM6pJzBZfz/nMOwnlkjZVlUvAk&#10;B5t172OFsbYP/qE29bkIIexiVFB4X8dSuqwgg25oa+LA3Wxj0AfY5FI3+AjhppLjKJpKgyWHhgJr&#10;2hWU3dNfo0CPj/ckycv0e69Ph9nCTk5Ze1Vq0O+2SxCeOv8vfrsTHeYvvuD1TLh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q91dcIAAADcAAAADwAAAAAAAAAAAAAA&#10;AAChAgAAZHJzL2Rvd25yZXYueG1sUEsFBgAAAAAEAAQA+QAAAJADAAAAAA==&#10;">
                    <v:stroke endarrow="block"/>
                    <v:shadow color="#ccc"/>
                  </v:shape>
                  <v:rect id="Rectangle 195" o:spid="_x0000_s1175" style="position:absolute;left:27241;top:33337;width:21596;height:10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JSz8IA&#10;AADcAAAADwAAAGRycy9kb3ducmV2LnhtbERPS2sCMRC+C/0PYQreNNuKr9UofVAQxIPbotchGTdL&#10;N5Nlk+r67xtB8DYf33OW687V4kxtqDwreBlmIIi1NxWXCn6+vwYzECEiG6w9k4IrBVivnnpLzI2/&#10;8J7ORSxFCuGQowIbY5NLGbQlh2HoG+LEnXzrMCbYltK0eEnhrpavWTaRDitODRYb+rCkf4s/p2Ba&#10;xs9Cv4/1YWevs+28G4V9cVSq/9y9LUBE6uJDfHdvTJo/H8PtmXSB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AlLPwgAAANwAAAAPAAAAAAAAAAAAAAAAAJgCAABkcnMvZG93&#10;bnJldi54bWxQSwUGAAAAAAQABAD1AAAAhwMAAAAA&#10;">
                    <v:textbox inset=",7.2pt,,7.2pt">
                      <w:txbxContent>
                        <w:p w14:paraId="4E342F07" w14:textId="77777777" w:rsidR="00DE3537" w:rsidRPr="00124CB0" w:rsidRDefault="00DE3537" w:rsidP="008A4767">
                          <w:pPr>
                            <w:widowControl w:val="0"/>
                            <w:spacing w:after="0" w:line="240" w:lineRule="auto"/>
                            <w:jc w:val="center"/>
                            <w:rPr>
                              <w:b/>
                              <w:sz w:val="16"/>
                              <w:szCs w:val="16"/>
                              <w:lang w:val="en-CA"/>
                            </w:rPr>
                          </w:pPr>
                          <w:r>
                            <w:rPr>
                              <w:b/>
                              <w:sz w:val="16"/>
                              <w:szCs w:val="16"/>
                              <w:lang w:val="en-CA"/>
                            </w:rPr>
                            <w:t>BMI (height and weight), n = 621 (95.8</w:t>
                          </w:r>
                          <w:r w:rsidRPr="00124CB0">
                            <w:rPr>
                              <w:b/>
                              <w:sz w:val="16"/>
                              <w:szCs w:val="16"/>
                              <w:lang w:val="en-CA"/>
                            </w:rPr>
                            <w:t>%)</w:t>
                          </w:r>
                        </w:p>
                        <w:p w14:paraId="42FCF82F" w14:textId="77777777" w:rsidR="00DE3537" w:rsidRDefault="00DE3537" w:rsidP="008A4767">
                          <w:pPr>
                            <w:widowControl w:val="0"/>
                            <w:spacing w:after="0" w:line="240" w:lineRule="auto"/>
                            <w:jc w:val="center"/>
                            <w:rPr>
                              <w:sz w:val="16"/>
                              <w:szCs w:val="16"/>
                              <w:lang w:val="en-CA"/>
                            </w:rPr>
                          </w:pPr>
                          <w:r>
                            <w:rPr>
                              <w:sz w:val="16"/>
                              <w:szCs w:val="16"/>
                              <w:lang w:val="en-CA"/>
                            </w:rPr>
                            <w:t>Waist circumference, n = 620 (95.7%)</w:t>
                          </w:r>
                        </w:p>
                        <w:p w14:paraId="7DC9F857" w14:textId="77777777" w:rsidR="00DE3537" w:rsidRPr="00A901C6" w:rsidRDefault="00DE3537" w:rsidP="008A4767">
                          <w:pPr>
                            <w:widowControl w:val="0"/>
                            <w:spacing w:after="0" w:line="240" w:lineRule="auto"/>
                            <w:jc w:val="center"/>
                            <w:rPr>
                              <w:sz w:val="16"/>
                              <w:szCs w:val="16"/>
                              <w:lang w:val="en-CA"/>
                            </w:rPr>
                          </w:pPr>
                          <w:r w:rsidRPr="00A901C6">
                            <w:rPr>
                              <w:sz w:val="16"/>
                              <w:szCs w:val="16"/>
                              <w:lang w:val="en-CA"/>
                            </w:rPr>
                            <w:t>Body fat, n</w:t>
                          </w:r>
                          <w:r>
                            <w:rPr>
                              <w:sz w:val="16"/>
                              <w:szCs w:val="16"/>
                              <w:lang w:val="en-CA"/>
                            </w:rPr>
                            <w:t xml:space="preserve"> </w:t>
                          </w:r>
                          <w:r w:rsidRPr="00A901C6">
                            <w:rPr>
                              <w:sz w:val="16"/>
                              <w:szCs w:val="16"/>
                              <w:lang w:val="en-CA"/>
                            </w:rPr>
                            <w:t>=</w:t>
                          </w:r>
                          <w:r>
                            <w:rPr>
                              <w:sz w:val="16"/>
                              <w:szCs w:val="16"/>
                              <w:lang w:val="en-CA"/>
                            </w:rPr>
                            <w:t xml:space="preserve"> </w:t>
                          </w:r>
                          <w:r w:rsidRPr="00A901C6">
                            <w:rPr>
                              <w:sz w:val="16"/>
                              <w:szCs w:val="16"/>
                              <w:lang w:val="en-CA"/>
                            </w:rPr>
                            <w:t>619 (95.5%)</w:t>
                          </w:r>
                        </w:p>
                        <w:p w14:paraId="48491691" w14:textId="77777777" w:rsidR="00DE3537" w:rsidRPr="00A901C6" w:rsidRDefault="00DE3537" w:rsidP="008A4767">
                          <w:pPr>
                            <w:widowControl w:val="0"/>
                            <w:spacing w:after="0" w:line="240" w:lineRule="auto"/>
                            <w:jc w:val="center"/>
                            <w:rPr>
                              <w:sz w:val="16"/>
                              <w:szCs w:val="16"/>
                              <w:lang w:val="en-CA"/>
                            </w:rPr>
                          </w:pPr>
                          <w:r w:rsidRPr="00A901C6">
                            <w:rPr>
                              <w:sz w:val="16"/>
                              <w:szCs w:val="16"/>
                              <w:lang w:val="en-CA"/>
                            </w:rPr>
                            <w:t>FIQ weekday, n</w:t>
                          </w:r>
                          <w:r>
                            <w:rPr>
                              <w:sz w:val="16"/>
                              <w:szCs w:val="16"/>
                              <w:lang w:val="en-CA"/>
                            </w:rPr>
                            <w:t xml:space="preserve"> </w:t>
                          </w:r>
                          <w:r w:rsidRPr="00A901C6">
                            <w:rPr>
                              <w:sz w:val="16"/>
                              <w:szCs w:val="16"/>
                              <w:lang w:val="en-CA"/>
                            </w:rPr>
                            <w:t>=</w:t>
                          </w:r>
                          <w:r>
                            <w:rPr>
                              <w:sz w:val="16"/>
                              <w:szCs w:val="16"/>
                              <w:lang w:val="en-CA"/>
                            </w:rPr>
                            <w:t xml:space="preserve"> </w:t>
                          </w:r>
                          <w:r w:rsidRPr="00A901C6">
                            <w:rPr>
                              <w:sz w:val="16"/>
                              <w:szCs w:val="16"/>
                              <w:lang w:val="en-CA"/>
                            </w:rPr>
                            <w:t>625 (96.5%)</w:t>
                          </w:r>
                        </w:p>
                        <w:p w14:paraId="36F3A759" w14:textId="77777777" w:rsidR="00DE3537" w:rsidRPr="00A901C6" w:rsidRDefault="00DE3537" w:rsidP="008A4767">
                          <w:pPr>
                            <w:widowControl w:val="0"/>
                            <w:spacing w:after="0" w:line="240" w:lineRule="auto"/>
                            <w:jc w:val="center"/>
                            <w:rPr>
                              <w:sz w:val="16"/>
                              <w:szCs w:val="16"/>
                              <w:lang w:val="en-CA"/>
                            </w:rPr>
                          </w:pPr>
                          <w:r w:rsidRPr="00A901C6">
                            <w:rPr>
                              <w:sz w:val="16"/>
                              <w:szCs w:val="16"/>
                              <w:lang w:val="en-CA"/>
                            </w:rPr>
                            <w:t>FIQ weekend, n</w:t>
                          </w:r>
                          <w:r>
                            <w:rPr>
                              <w:sz w:val="16"/>
                              <w:szCs w:val="16"/>
                              <w:lang w:val="en-CA"/>
                            </w:rPr>
                            <w:t xml:space="preserve"> </w:t>
                          </w:r>
                          <w:r w:rsidRPr="00A901C6">
                            <w:rPr>
                              <w:sz w:val="16"/>
                              <w:szCs w:val="16"/>
                              <w:lang w:val="en-CA"/>
                            </w:rPr>
                            <w:t>=</w:t>
                          </w:r>
                          <w:r>
                            <w:rPr>
                              <w:sz w:val="16"/>
                              <w:szCs w:val="16"/>
                              <w:lang w:val="en-CA"/>
                            </w:rPr>
                            <w:t xml:space="preserve"> </w:t>
                          </w:r>
                          <w:r w:rsidRPr="00A901C6">
                            <w:rPr>
                              <w:sz w:val="16"/>
                              <w:szCs w:val="16"/>
                              <w:lang w:val="en-CA"/>
                            </w:rPr>
                            <w:t>626 (96.6%)</w:t>
                          </w:r>
                        </w:p>
                        <w:p w14:paraId="3C67BFAC" w14:textId="77777777" w:rsidR="00DE3537" w:rsidRPr="004A65D5" w:rsidRDefault="00DE3537" w:rsidP="008A4767">
                          <w:pPr>
                            <w:widowControl w:val="0"/>
                            <w:spacing w:after="0" w:line="240" w:lineRule="auto"/>
                            <w:jc w:val="center"/>
                            <w:rPr>
                              <w:sz w:val="16"/>
                              <w:szCs w:val="16"/>
                              <w:lang w:val="en-CA"/>
                            </w:rPr>
                          </w:pPr>
                          <w:r w:rsidRPr="004A65D5">
                            <w:rPr>
                              <w:sz w:val="16"/>
                              <w:szCs w:val="16"/>
                              <w:lang w:val="en-CA"/>
                            </w:rPr>
                            <w:t>PA (analysed files) n</w:t>
                          </w:r>
                          <w:r>
                            <w:rPr>
                              <w:sz w:val="16"/>
                              <w:szCs w:val="16"/>
                              <w:lang w:val="en-CA"/>
                            </w:rPr>
                            <w:t xml:space="preserve"> </w:t>
                          </w:r>
                          <w:r w:rsidRPr="004A65D5">
                            <w:rPr>
                              <w:sz w:val="16"/>
                              <w:szCs w:val="16"/>
                              <w:lang w:val="en-CA"/>
                            </w:rPr>
                            <w:t>=</w:t>
                          </w:r>
                          <w:r>
                            <w:rPr>
                              <w:sz w:val="16"/>
                              <w:szCs w:val="16"/>
                              <w:lang w:val="en-CA"/>
                            </w:rPr>
                            <w:t xml:space="preserve"> </w:t>
                          </w:r>
                          <w:r w:rsidRPr="004A65D5">
                            <w:rPr>
                              <w:sz w:val="16"/>
                              <w:szCs w:val="16"/>
                              <w:lang w:val="en-CA"/>
                            </w:rPr>
                            <w:t>404/458 (88.2%)</w:t>
                          </w:r>
                        </w:p>
                        <w:p w14:paraId="7331081E" w14:textId="77777777" w:rsidR="00DE3537" w:rsidRDefault="00DE3537" w:rsidP="008A4767">
                          <w:pPr>
                            <w:widowControl w:val="0"/>
                            <w:spacing w:after="0" w:line="240" w:lineRule="auto"/>
                            <w:jc w:val="center"/>
                            <w:rPr>
                              <w:sz w:val="16"/>
                              <w:szCs w:val="16"/>
                              <w:lang w:val="en-CA"/>
                            </w:rPr>
                          </w:pPr>
                          <w:r w:rsidRPr="004A65D5">
                            <w:rPr>
                              <w:sz w:val="16"/>
                              <w:szCs w:val="16"/>
                              <w:lang w:val="en-CA"/>
                            </w:rPr>
                            <w:t>PA (valid data), n</w:t>
                          </w:r>
                          <w:r>
                            <w:rPr>
                              <w:sz w:val="16"/>
                              <w:szCs w:val="16"/>
                              <w:lang w:val="en-CA"/>
                            </w:rPr>
                            <w:t xml:space="preserve"> </w:t>
                          </w:r>
                          <w:r w:rsidRPr="004A65D5">
                            <w:rPr>
                              <w:sz w:val="16"/>
                              <w:szCs w:val="16"/>
                              <w:lang w:val="en-CA"/>
                            </w:rPr>
                            <w:t>=</w:t>
                          </w:r>
                          <w:r>
                            <w:rPr>
                              <w:sz w:val="16"/>
                              <w:szCs w:val="16"/>
                              <w:lang w:val="en-CA"/>
                            </w:rPr>
                            <w:t xml:space="preserve"> </w:t>
                          </w:r>
                          <w:r w:rsidRPr="004A65D5">
                            <w:rPr>
                              <w:sz w:val="16"/>
                              <w:szCs w:val="16"/>
                              <w:lang w:val="en-CA"/>
                            </w:rPr>
                            <w:t>386/458 (84.3%)</w:t>
                          </w:r>
                        </w:p>
                        <w:p w14:paraId="3B11508C" w14:textId="77777777" w:rsidR="00DE3537" w:rsidRPr="00CF23C3" w:rsidRDefault="00DE3537" w:rsidP="008A4767">
                          <w:pPr>
                            <w:rPr>
                              <w:sz w:val="16"/>
                              <w:szCs w:val="16"/>
                              <w:lang w:val="en-CA"/>
                            </w:rPr>
                          </w:pPr>
                        </w:p>
                      </w:txbxContent>
                    </v:textbox>
                  </v:rect>
                  <v:rect id="Rectangle 196" o:spid="_x0000_s1176" style="position:absolute;left:27146;top:15240;width:21596;height:5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DMuMIA&#10;AADcAAAADwAAAGRycy9kb3ducmV2LnhtbERPS2sCMRC+C/6HMEJvmtXia2sU2yIUigdXaa9DMt0s&#10;bibLJtX13zcFwdt8fM9ZbTpXiwu1ofKsYDzKQBBrbyouFZyOu+ECRIjIBmvPpOBGATbrfm+FufFX&#10;PtCliKVIIRxyVGBjbHIpg7bkMIx8Q5y4H986jAm2pTQtXlO4q+Uky2bSYcWpwWJDb5b0ufh1CuZl&#10;fC/061R/7e1t8bnsnsOh+FbqadBtX0BE6uJDfHd/mDR/OYP/Z9IF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0My4wgAAANwAAAAPAAAAAAAAAAAAAAAAAJgCAABkcnMvZG93&#10;bnJldi54bWxQSwUGAAAAAAQABAD1AAAAhwMAAAAA&#10;">
                    <v:textbox inset=",7.2pt,,7.2pt">
                      <w:txbxContent>
                        <w:p w14:paraId="224BE932" w14:textId="77777777" w:rsidR="00DE3537" w:rsidRPr="008624C3" w:rsidRDefault="00DE3537" w:rsidP="008A4767">
                          <w:pPr>
                            <w:spacing w:after="0" w:line="240" w:lineRule="auto"/>
                            <w:jc w:val="center"/>
                            <w:rPr>
                              <w:sz w:val="16"/>
                              <w:szCs w:val="16"/>
                              <w:lang w:val="en-CA"/>
                            </w:rPr>
                          </w:pPr>
                          <w:r w:rsidRPr="008624C3">
                            <w:rPr>
                              <w:sz w:val="16"/>
                              <w:szCs w:val="16"/>
                              <w:lang w:val="en-CA"/>
                            </w:rPr>
                            <w:t>Allocated to control N</w:t>
                          </w:r>
                          <w:r>
                            <w:rPr>
                              <w:sz w:val="16"/>
                              <w:szCs w:val="16"/>
                              <w:lang w:val="en-CA"/>
                            </w:rPr>
                            <w:t xml:space="preserve"> </w:t>
                          </w:r>
                          <w:r w:rsidRPr="008624C3">
                            <w:rPr>
                              <w:sz w:val="16"/>
                              <w:szCs w:val="16"/>
                              <w:lang w:val="en-CA"/>
                            </w:rPr>
                            <w:t>=</w:t>
                          </w:r>
                          <w:r>
                            <w:rPr>
                              <w:sz w:val="16"/>
                              <w:szCs w:val="16"/>
                              <w:lang w:val="en-CA"/>
                            </w:rPr>
                            <w:t xml:space="preserve"> </w:t>
                          </w:r>
                          <w:r w:rsidRPr="008624C3">
                            <w:rPr>
                              <w:sz w:val="16"/>
                              <w:szCs w:val="16"/>
                              <w:lang w:val="en-CA"/>
                            </w:rPr>
                            <w:t xml:space="preserve">16; </w:t>
                          </w:r>
                        </w:p>
                        <w:p w14:paraId="553DF0F0" w14:textId="77777777" w:rsidR="00DE3537" w:rsidRPr="008624C3" w:rsidRDefault="00DE3537" w:rsidP="008A4767">
                          <w:pPr>
                            <w:spacing w:after="0" w:line="240" w:lineRule="auto"/>
                            <w:jc w:val="center"/>
                            <w:rPr>
                              <w:sz w:val="16"/>
                              <w:szCs w:val="16"/>
                              <w:lang w:val="en-CA"/>
                            </w:rPr>
                          </w:pPr>
                          <w:r>
                            <w:rPr>
                              <w:sz w:val="16"/>
                              <w:szCs w:val="16"/>
                              <w:lang w:val="en-CA"/>
                            </w:rPr>
                            <w:t xml:space="preserve">n </w:t>
                          </w:r>
                          <w:r w:rsidRPr="008624C3">
                            <w:rPr>
                              <w:sz w:val="16"/>
                              <w:szCs w:val="16"/>
                              <w:lang w:val="en-CA"/>
                            </w:rPr>
                            <w:t>=</w:t>
                          </w:r>
                          <w:r>
                            <w:rPr>
                              <w:sz w:val="16"/>
                              <w:szCs w:val="16"/>
                              <w:lang w:val="en-CA"/>
                            </w:rPr>
                            <w:t xml:space="preserve"> </w:t>
                          </w:r>
                          <w:r w:rsidRPr="008624C3">
                            <w:rPr>
                              <w:sz w:val="16"/>
                              <w:szCs w:val="16"/>
                              <w:lang w:val="en-CA"/>
                            </w:rPr>
                            <w:t>648 children; mean (coefficient of variation) 40.5 (0.44) children per school</w:t>
                          </w:r>
                        </w:p>
                        <w:p w14:paraId="445115DB" w14:textId="77777777" w:rsidR="00DE3537" w:rsidRPr="00CF23C3" w:rsidRDefault="00DE3537" w:rsidP="008A4767">
                          <w:pPr>
                            <w:spacing w:after="0"/>
                            <w:ind w:left="360" w:hanging="360"/>
                            <w:rPr>
                              <w:rFonts w:cs="Calibri"/>
                              <w:sz w:val="16"/>
                              <w:szCs w:val="16"/>
                              <w:lang w:val="en-CA"/>
                            </w:rPr>
                          </w:pPr>
                        </w:p>
                      </w:txbxContent>
                    </v:textbox>
                  </v:rect>
                  <v:shape id="Straight Arrow Connector 197" o:spid="_x0000_s1177" type="#_x0000_t32" style="position:absolute;left:38100;top:21145;width:0;height:3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3rAsIAAADcAAAADwAAAGRycy9kb3ducmV2LnhtbERPTYvCMBC9L/gfwgjetqnC6lqNIoJQ&#10;9KBbvXgbmrEtNpPSZGv3328Ewds83ucs172pRUetqywrGEcxCOLc6ooLBZfz7vMbhPPIGmvLpOCP&#10;HKxXg48lJto++Ie6zBcihLBLUEHpfZNI6fKSDLrINsSBu9nWoA+wLaRu8RHCTS0ncTyVBisODSU2&#10;tC0pv2e/RoGeHO9pWlTZYadP+9ncfp3y7qrUaNhvFiA89f4tfrlTHebPZ/B8Jlwg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3rAsIAAADcAAAADwAAAAAAAAAAAAAA&#10;AAChAgAAZHJzL2Rvd25yZXYueG1sUEsFBgAAAAAEAAQA+QAAAJADAAAAAA==&#10;">
                    <v:stroke endarrow="block"/>
                    <v:shadow color="#ccc"/>
                  </v:shape>
                  <v:rect id="Rectangle 22" o:spid="_x0000_s1178" style="position:absolute;left:9048;width:32385;height:12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P9UcYA&#10;AADcAAAADwAAAGRycy9kb3ducmV2LnhtbESPS2sDMQyE74X+B6NCb4k3Lc1jGyf0QSFQcsi2JFdh&#10;q+sla3lZu8nm30eHQm8SM5r5tFwPoVUn6lMT2cBkXIAittE1XBv4/voYzUGljOywjUwGLpRgvbq9&#10;WWLp4pl3dKpyrSSEU4kGfM5dqXWyngKmceyIRfuJfcAsa19r1+NZwkOrH4piqgM2LA0eO3rzZI/V&#10;bzAwq/N7ZV+f7H7rL/PPxfCYdtXBmPu74eUZVKYh/5v/rjdO8BdCK8/IBHp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P9UcYAAADcAAAADwAAAAAAAAAAAAAAAACYAgAAZHJz&#10;L2Rvd25yZXYueG1sUEsFBgAAAAAEAAQA9QAAAIsDAAAAAA==&#10;">
                    <v:textbox inset=",7.2pt,,7.2pt">
                      <w:txbxContent>
                        <w:p w14:paraId="75C05742" w14:textId="77777777" w:rsidR="00DE3537" w:rsidRDefault="00DE3537" w:rsidP="008A4767">
                          <w:pPr>
                            <w:widowControl w:val="0"/>
                            <w:spacing w:after="0" w:line="240" w:lineRule="auto"/>
                            <w:jc w:val="center"/>
                            <w:rPr>
                              <w:sz w:val="16"/>
                              <w:szCs w:val="16"/>
                              <w:lang w:val="en-CA"/>
                            </w:rPr>
                          </w:pPr>
                          <w:r>
                            <w:rPr>
                              <w:sz w:val="16"/>
                              <w:szCs w:val="16"/>
                              <w:lang w:val="en-CA"/>
                            </w:rPr>
                            <w:t>Total, n = 1324</w:t>
                          </w:r>
                        </w:p>
                        <w:p w14:paraId="6EE083F9" w14:textId="77777777" w:rsidR="00DE3537" w:rsidRPr="00124CB0" w:rsidRDefault="00DE3537" w:rsidP="008A4767">
                          <w:pPr>
                            <w:widowControl w:val="0"/>
                            <w:spacing w:after="0" w:line="240" w:lineRule="auto"/>
                            <w:jc w:val="center"/>
                            <w:rPr>
                              <w:b/>
                              <w:sz w:val="16"/>
                              <w:szCs w:val="16"/>
                              <w:lang w:val="en-CA"/>
                            </w:rPr>
                          </w:pPr>
                          <w:r w:rsidRPr="00124CB0">
                            <w:rPr>
                              <w:b/>
                              <w:sz w:val="16"/>
                              <w:szCs w:val="16"/>
                              <w:lang w:val="en-CA"/>
                            </w:rPr>
                            <w:t>BMI (height and weight), n</w:t>
                          </w:r>
                          <w:r>
                            <w:rPr>
                              <w:b/>
                              <w:sz w:val="16"/>
                              <w:szCs w:val="16"/>
                              <w:lang w:val="en-CA"/>
                            </w:rPr>
                            <w:t xml:space="preserve"> </w:t>
                          </w:r>
                          <w:r w:rsidRPr="00124CB0">
                            <w:rPr>
                              <w:b/>
                              <w:sz w:val="16"/>
                              <w:szCs w:val="16"/>
                              <w:lang w:val="en-CA"/>
                            </w:rPr>
                            <w:t>=</w:t>
                          </w:r>
                          <w:r>
                            <w:rPr>
                              <w:b/>
                              <w:sz w:val="16"/>
                              <w:szCs w:val="16"/>
                              <w:lang w:val="en-CA"/>
                            </w:rPr>
                            <w:t xml:space="preserve"> </w:t>
                          </w:r>
                          <w:r w:rsidRPr="00124CB0">
                            <w:rPr>
                              <w:b/>
                              <w:sz w:val="16"/>
                              <w:szCs w:val="16"/>
                              <w:lang w:val="en-CA"/>
                            </w:rPr>
                            <w:t>1312 (99.1%)</w:t>
                          </w:r>
                        </w:p>
                        <w:p w14:paraId="3633D12F" w14:textId="77777777" w:rsidR="00DE3537" w:rsidRDefault="00DE3537" w:rsidP="008A4767">
                          <w:pPr>
                            <w:widowControl w:val="0"/>
                            <w:spacing w:after="0" w:line="240" w:lineRule="auto"/>
                            <w:jc w:val="center"/>
                            <w:rPr>
                              <w:sz w:val="16"/>
                              <w:szCs w:val="16"/>
                              <w:lang w:val="en-CA"/>
                            </w:rPr>
                          </w:pPr>
                          <w:r>
                            <w:rPr>
                              <w:sz w:val="16"/>
                              <w:szCs w:val="16"/>
                              <w:lang w:val="en-CA"/>
                            </w:rPr>
                            <w:t>Waist circumference, n = 1309 (98.9%)</w:t>
                          </w:r>
                        </w:p>
                        <w:p w14:paraId="7CECB6F0" w14:textId="77777777" w:rsidR="00DE3537" w:rsidRPr="00A901C6" w:rsidRDefault="00DE3537" w:rsidP="008A4767">
                          <w:pPr>
                            <w:widowControl w:val="0"/>
                            <w:spacing w:after="0" w:line="240" w:lineRule="auto"/>
                            <w:jc w:val="center"/>
                            <w:rPr>
                              <w:sz w:val="16"/>
                              <w:szCs w:val="16"/>
                              <w:lang w:val="en-CA"/>
                            </w:rPr>
                          </w:pPr>
                          <w:r>
                            <w:rPr>
                              <w:sz w:val="16"/>
                              <w:szCs w:val="16"/>
                              <w:lang w:val="en-CA"/>
                            </w:rPr>
                            <w:t xml:space="preserve">Body fat, n = </w:t>
                          </w:r>
                          <w:r w:rsidRPr="00A901C6">
                            <w:rPr>
                              <w:sz w:val="16"/>
                              <w:szCs w:val="16"/>
                              <w:lang w:val="en-CA"/>
                            </w:rPr>
                            <w:t>1309 (98.9%)</w:t>
                          </w:r>
                        </w:p>
                        <w:p w14:paraId="2032FE3D" w14:textId="77777777" w:rsidR="00DE3537" w:rsidRPr="00A901C6" w:rsidRDefault="00DE3537" w:rsidP="008A4767">
                          <w:pPr>
                            <w:widowControl w:val="0"/>
                            <w:spacing w:after="0" w:line="240" w:lineRule="auto"/>
                            <w:jc w:val="center"/>
                            <w:rPr>
                              <w:sz w:val="16"/>
                              <w:szCs w:val="16"/>
                              <w:lang w:val="en-CA"/>
                            </w:rPr>
                          </w:pPr>
                          <w:r w:rsidRPr="00A901C6">
                            <w:rPr>
                              <w:sz w:val="16"/>
                              <w:szCs w:val="16"/>
                              <w:lang w:val="en-CA"/>
                            </w:rPr>
                            <w:t>Food Intake Questionnaire weekday, n</w:t>
                          </w:r>
                          <w:r>
                            <w:rPr>
                              <w:sz w:val="16"/>
                              <w:szCs w:val="16"/>
                              <w:lang w:val="en-CA"/>
                            </w:rPr>
                            <w:t xml:space="preserve"> </w:t>
                          </w:r>
                          <w:r w:rsidRPr="00A901C6">
                            <w:rPr>
                              <w:sz w:val="16"/>
                              <w:szCs w:val="16"/>
                              <w:lang w:val="en-CA"/>
                            </w:rPr>
                            <w:t>=</w:t>
                          </w:r>
                          <w:r>
                            <w:rPr>
                              <w:sz w:val="16"/>
                              <w:szCs w:val="16"/>
                              <w:lang w:val="en-CA"/>
                            </w:rPr>
                            <w:t xml:space="preserve"> </w:t>
                          </w:r>
                          <w:r w:rsidRPr="00A901C6">
                            <w:rPr>
                              <w:sz w:val="16"/>
                              <w:szCs w:val="16"/>
                              <w:lang w:val="en-CA"/>
                            </w:rPr>
                            <w:t>1317 (99.5%)</w:t>
                          </w:r>
                        </w:p>
                        <w:p w14:paraId="5F50371C" w14:textId="77777777" w:rsidR="00DE3537" w:rsidRPr="00A901C6" w:rsidRDefault="00DE3537" w:rsidP="008A4767">
                          <w:pPr>
                            <w:widowControl w:val="0"/>
                            <w:spacing w:after="0" w:line="240" w:lineRule="auto"/>
                            <w:jc w:val="center"/>
                            <w:rPr>
                              <w:sz w:val="16"/>
                              <w:szCs w:val="16"/>
                              <w:lang w:val="en-CA"/>
                            </w:rPr>
                          </w:pPr>
                          <w:r w:rsidRPr="00A901C6">
                            <w:rPr>
                              <w:sz w:val="16"/>
                              <w:szCs w:val="16"/>
                              <w:lang w:val="en-CA"/>
                            </w:rPr>
                            <w:t>Food Intake Questionnaire weekend, n</w:t>
                          </w:r>
                          <w:r>
                            <w:rPr>
                              <w:sz w:val="16"/>
                              <w:szCs w:val="16"/>
                              <w:lang w:val="en-CA"/>
                            </w:rPr>
                            <w:t xml:space="preserve"> </w:t>
                          </w:r>
                          <w:r w:rsidRPr="00A901C6">
                            <w:rPr>
                              <w:sz w:val="16"/>
                              <w:szCs w:val="16"/>
                              <w:lang w:val="en-CA"/>
                            </w:rPr>
                            <w:t>=</w:t>
                          </w:r>
                          <w:r>
                            <w:rPr>
                              <w:sz w:val="16"/>
                              <w:szCs w:val="16"/>
                              <w:lang w:val="en-CA"/>
                            </w:rPr>
                            <w:t xml:space="preserve"> </w:t>
                          </w:r>
                          <w:r w:rsidRPr="00A901C6">
                            <w:rPr>
                              <w:sz w:val="16"/>
                              <w:szCs w:val="16"/>
                              <w:lang w:val="en-CA"/>
                            </w:rPr>
                            <w:t>1322 (99.9%)</w:t>
                          </w:r>
                        </w:p>
                        <w:p w14:paraId="235F1BEB" w14:textId="77777777" w:rsidR="00DE3537" w:rsidRPr="00A901C6" w:rsidRDefault="00DE3537" w:rsidP="008A4767">
                          <w:pPr>
                            <w:widowControl w:val="0"/>
                            <w:spacing w:after="0" w:line="240" w:lineRule="auto"/>
                            <w:jc w:val="center"/>
                            <w:rPr>
                              <w:sz w:val="16"/>
                              <w:szCs w:val="16"/>
                              <w:lang w:val="en-CA"/>
                            </w:rPr>
                          </w:pPr>
                          <w:r w:rsidRPr="00A901C6">
                            <w:rPr>
                              <w:sz w:val="16"/>
                              <w:szCs w:val="16"/>
                              <w:lang w:val="en-CA"/>
                            </w:rPr>
                            <w:t>My Lifestyles Questionnaire, n</w:t>
                          </w:r>
                          <w:r>
                            <w:rPr>
                              <w:sz w:val="16"/>
                              <w:szCs w:val="16"/>
                              <w:lang w:val="en-CA"/>
                            </w:rPr>
                            <w:t xml:space="preserve"> </w:t>
                          </w:r>
                          <w:r w:rsidRPr="00A901C6">
                            <w:rPr>
                              <w:sz w:val="16"/>
                              <w:szCs w:val="16"/>
                              <w:lang w:val="en-CA"/>
                            </w:rPr>
                            <w:t>=</w:t>
                          </w:r>
                          <w:r>
                            <w:rPr>
                              <w:sz w:val="16"/>
                              <w:szCs w:val="16"/>
                              <w:lang w:val="en-CA"/>
                            </w:rPr>
                            <w:t xml:space="preserve"> </w:t>
                          </w:r>
                          <w:r w:rsidRPr="00A901C6">
                            <w:rPr>
                              <w:sz w:val="16"/>
                              <w:szCs w:val="16"/>
                              <w:lang w:val="en-CA"/>
                            </w:rPr>
                            <w:t>1310 (98.9%)</w:t>
                          </w:r>
                        </w:p>
                        <w:p w14:paraId="12BECBAF" w14:textId="77777777" w:rsidR="00DE3537" w:rsidRPr="004A65D5" w:rsidRDefault="00DE3537" w:rsidP="008A4767">
                          <w:pPr>
                            <w:widowControl w:val="0"/>
                            <w:spacing w:after="0" w:line="240" w:lineRule="auto"/>
                            <w:jc w:val="center"/>
                            <w:rPr>
                              <w:sz w:val="16"/>
                              <w:szCs w:val="16"/>
                              <w:lang w:val="en-CA"/>
                            </w:rPr>
                          </w:pPr>
                          <w:r w:rsidRPr="004A65D5">
                            <w:rPr>
                              <w:sz w:val="16"/>
                              <w:szCs w:val="16"/>
                              <w:lang w:val="en-CA"/>
                            </w:rPr>
                            <w:t>Physical activity (analysed files) (1 class per school), n</w:t>
                          </w:r>
                          <w:r>
                            <w:rPr>
                              <w:sz w:val="16"/>
                              <w:szCs w:val="16"/>
                              <w:lang w:val="en-CA"/>
                            </w:rPr>
                            <w:t xml:space="preserve"> </w:t>
                          </w:r>
                          <w:r w:rsidRPr="004A65D5">
                            <w:rPr>
                              <w:sz w:val="16"/>
                              <w:szCs w:val="16"/>
                              <w:lang w:val="en-CA"/>
                            </w:rPr>
                            <w:t>=</w:t>
                          </w:r>
                          <w:r>
                            <w:rPr>
                              <w:sz w:val="16"/>
                              <w:szCs w:val="16"/>
                              <w:lang w:val="en-CA"/>
                            </w:rPr>
                            <w:t xml:space="preserve"> </w:t>
                          </w:r>
                          <w:r w:rsidRPr="004A65D5">
                            <w:rPr>
                              <w:sz w:val="16"/>
                              <w:szCs w:val="16"/>
                              <w:lang w:val="en-CA"/>
                            </w:rPr>
                            <w:t>851/886 (96.1%)</w:t>
                          </w:r>
                        </w:p>
                        <w:p w14:paraId="3C98ACBA" w14:textId="77777777" w:rsidR="00DE3537" w:rsidRDefault="00DE3537" w:rsidP="008A4767">
                          <w:pPr>
                            <w:widowControl w:val="0"/>
                            <w:spacing w:after="0" w:line="240" w:lineRule="auto"/>
                            <w:jc w:val="center"/>
                            <w:rPr>
                              <w:sz w:val="16"/>
                              <w:szCs w:val="16"/>
                              <w:lang w:val="en-CA"/>
                            </w:rPr>
                          </w:pPr>
                          <w:r w:rsidRPr="004A65D5">
                            <w:rPr>
                              <w:sz w:val="16"/>
                              <w:szCs w:val="16"/>
                              <w:lang w:val="en-CA"/>
                            </w:rPr>
                            <w:t xml:space="preserve">Physical activity (valid data) (1 class per school), </w:t>
                          </w:r>
                          <w:r w:rsidRPr="00ED2FC2">
                            <w:rPr>
                              <w:sz w:val="16"/>
                              <w:szCs w:val="16"/>
                              <w:lang w:val="en-CA"/>
                            </w:rPr>
                            <w:t>n</w:t>
                          </w:r>
                          <w:r>
                            <w:rPr>
                              <w:sz w:val="16"/>
                              <w:szCs w:val="16"/>
                              <w:lang w:val="en-CA"/>
                            </w:rPr>
                            <w:t xml:space="preserve"> </w:t>
                          </w:r>
                          <w:r w:rsidRPr="00ED2FC2">
                            <w:rPr>
                              <w:sz w:val="16"/>
                              <w:szCs w:val="16"/>
                              <w:lang w:val="en-CA"/>
                            </w:rPr>
                            <w:t>=</w:t>
                          </w:r>
                          <w:r>
                            <w:rPr>
                              <w:sz w:val="16"/>
                              <w:szCs w:val="16"/>
                              <w:lang w:val="en-CA"/>
                            </w:rPr>
                            <w:t xml:space="preserve"> </w:t>
                          </w:r>
                          <w:r w:rsidRPr="00ED2FC2">
                            <w:rPr>
                              <w:sz w:val="16"/>
                              <w:szCs w:val="16"/>
                              <w:lang w:val="en-CA"/>
                            </w:rPr>
                            <w:t>830/886 (93.7%)</w:t>
                          </w:r>
                        </w:p>
                      </w:txbxContent>
                    </v:textbox>
                  </v:rect>
                  <v:rect id="Rectangle 27" o:spid="_x0000_s1179" style="position:absolute;left:95;top:48101;width:21596;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9YysMA&#10;AADcAAAADwAAAGRycy9kb3ducmV2LnhtbERPTWsCMRC9C/0PYQRvNWtL1V2N0laEgnhwLfU6JNPN&#10;0s1k2URd/31TKHibx/uc5bp3jbhQF2rPCibjDASx9qbmSsHncfs4BxEissHGMym4UYD16mGwxML4&#10;Kx/oUsZKpBAOBSqwMbaFlEFbchjGviVO3LfvHMYEu0qaDq8p3DXyKcum0mHNqcFiS++W9E95dgpm&#10;VdyU+u1Ff+3tbb7L++dwKE9KjYb96wJEpD7exf/uD5Pm5zn8PZMu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9YysMAAADcAAAADwAAAAAAAAAAAAAAAACYAgAAZHJzL2Rv&#10;d25yZXYueG1sUEsFBgAAAAAEAAQA9QAAAIgDAAAAAA==&#10;">
                    <v:textbox inset=",7.2pt,,7.2pt">
                      <w:txbxContent>
                        <w:p w14:paraId="48271F3B" w14:textId="77777777" w:rsidR="00DE3537" w:rsidRPr="00124CB0" w:rsidRDefault="00DE3537" w:rsidP="008A4767">
                          <w:pPr>
                            <w:widowControl w:val="0"/>
                            <w:spacing w:after="0" w:line="240" w:lineRule="auto"/>
                            <w:jc w:val="center"/>
                            <w:rPr>
                              <w:b/>
                              <w:sz w:val="16"/>
                              <w:szCs w:val="16"/>
                              <w:lang w:val="en-CA"/>
                            </w:rPr>
                          </w:pPr>
                          <w:r>
                            <w:rPr>
                              <w:b/>
                              <w:sz w:val="16"/>
                              <w:szCs w:val="16"/>
                              <w:lang w:val="en-CA"/>
                            </w:rPr>
                            <w:t>BMI (height and weight), n = 630 (93.2</w:t>
                          </w:r>
                          <w:r w:rsidRPr="00124CB0">
                            <w:rPr>
                              <w:b/>
                              <w:sz w:val="16"/>
                              <w:szCs w:val="16"/>
                              <w:lang w:val="en-CA"/>
                            </w:rPr>
                            <w:t>%)</w:t>
                          </w:r>
                        </w:p>
                        <w:p w14:paraId="1FE5F519" w14:textId="77777777" w:rsidR="00DE3537" w:rsidRDefault="00DE3537" w:rsidP="008A4767">
                          <w:pPr>
                            <w:widowControl w:val="0"/>
                            <w:spacing w:after="0" w:line="240" w:lineRule="auto"/>
                            <w:jc w:val="center"/>
                            <w:rPr>
                              <w:sz w:val="16"/>
                              <w:szCs w:val="16"/>
                              <w:lang w:val="en-CA"/>
                            </w:rPr>
                          </w:pPr>
                          <w:r>
                            <w:rPr>
                              <w:sz w:val="16"/>
                              <w:szCs w:val="16"/>
                              <w:lang w:val="en-CA"/>
                            </w:rPr>
                            <w:t>Waist circumference, n = 629 (93.1%)</w:t>
                          </w:r>
                        </w:p>
                        <w:p w14:paraId="53F891AE" w14:textId="77777777" w:rsidR="00DE3537" w:rsidRDefault="00DE3537" w:rsidP="008A4767">
                          <w:pPr>
                            <w:widowControl w:val="0"/>
                            <w:spacing w:after="0" w:line="240" w:lineRule="auto"/>
                            <w:jc w:val="center"/>
                            <w:rPr>
                              <w:sz w:val="16"/>
                              <w:szCs w:val="16"/>
                              <w:lang w:val="en-CA"/>
                            </w:rPr>
                          </w:pPr>
                          <w:r>
                            <w:rPr>
                              <w:sz w:val="16"/>
                              <w:szCs w:val="16"/>
                              <w:lang w:val="en-CA"/>
                            </w:rPr>
                            <w:t>Body fat, n = 629 (93.1%)</w:t>
                          </w:r>
                        </w:p>
                        <w:p w14:paraId="01F992A3" w14:textId="77777777" w:rsidR="00DE3537" w:rsidRDefault="00DE3537" w:rsidP="008A4767">
                          <w:pPr>
                            <w:spacing w:after="0" w:line="240" w:lineRule="auto"/>
                            <w:ind w:left="360" w:hanging="360"/>
                            <w:rPr>
                              <w:sz w:val="16"/>
                              <w:szCs w:val="16"/>
                              <w:lang w:val="en-CA"/>
                            </w:rPr>
                          </w:pPr>
                        </w:p>
                      </w:txbxContent>
                    </v:textbox>
                  </v:rect>
                  <v:rect id="Rectangle 200" o:spid="_x0000_s1180" style="position:absolute;top:24860;width:21596;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oFrMQA&#10;AADcAAAADwAAAGRycy9kb3ducmV2LnhtbESPT2sCMRTE74LfITyht5q1pf5ZjWJbCoJ42G3R6yN5&#10;3SzdvCybVNdv3wgFj8PM/IZZbXrXiDN1ofasYDLOQBBrb2quFHx9fjzOQYSIbLDxTAquFGCzHg5W&#10;mBt/4YLOZaxEgnDIUYGNsc2lDNqSwzD2LXHyvn3nMCbZVdJ0eElw18inLJtKhzWnBYstvVnSP+Wv&#10;UzCr4nupX1/08WCv8/2ifw5FeVLqYdRvlyAi9fEe/m/vjIJEhNuZd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aBazEAAAA3AAAAA8AAAAAAAAAAAAAAAAAmAIAAGRycy9k&#10;b3ducmV2LnhtbFBLBQYAAAAABAAEAPUAAACJAwAAAAA=&#10;">
                    <v:textbox inset=",7.2pt,,7.2pt">
                      <w:txbxContent>
                        <w:p w14:paraId="5E7B2332" w14:textId="77777777" w:rsidR="00DE3537" w:rsidRDefault="00DE3537" w:rsidP="008A4767">
                          <w:pPr>
                            <w:widowControl w:val="0"/>
                            <w:spacing w:after="0" w:line="240" w:lineRule="auto"/>
                            <w:jc w:val="center"/>
                            <w:rPr>
                              <w:sz w:val="16"/>
                              <w:szCs w:val="16"/>
                              <w:lang w:val="en-CA"/>
                            </w:rPr>
                          </w:pPr>
                          <w:r>
                            <w:rPr>
                              <w:sz w:val="16"/>
                              <w:szCs w:val="16"/>
                              <w:lang w:val="en-CA"/>
                            </w:rPr>
                            <w:t>My Lifestyles Questionnaire, n = 652 (96.5%)</w:t>
                          </w:r>
                        </w:p>
                        <w:p w14:paraId="350226E9" w14:textId="77777777" w:rsidR="00DE3537" w:rsidRPr="002A3560" w:rsidRDefault="00DE3537" w:rsidP="008A4767">
                          <w:pPr>
                            <w:spacing w:after="0" w:line="240" w:lineRule="auto"/>
                            <w:rPr>
                              <w:rFonts w:cs="Calibri"/>
                              <w:sz w:val="16"/>
                              <w:szCs w:val="16"/>
                              <w:lang w:val="en-CA"/>
                            </w:rPr>
                          </w:pPr>
                        </w:p>
                      </w:txbxContent>
                    </v:textbox>
                  </v:rect>
                  <v:rect id="Rectangle 201" o:spid="_x0000_s1181" style="position:absolute;left:27336;top:24860;width:21597;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gN8UA&#10;AADcAAAADwAAAGRycy9kb3ducmV2LnhtbESPT2sCMRTE74LfITyht5rVUrWrUfqHgiAedlvq9ZE8&#10;N4ubl2WT6vrtG6HgcZiZ3zCrTe8acaYu1J4VTMYZCGLtTc2Vgu+vz8cFiBCRDTaeScGVAmzWw8EK&#10;c+MvXNC5jJVIEA45KrAxtrmUQVtyGMa+JU7e0XcOY5JdJU2HlwR3jZxm2Uw6rDktWGzp3ZI+lb9O&#10;wbyKH6V+e9Y/e3td7F76p1CUB6UeRv3rEkSkPt7D/+2tUTDNJnA7k4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FqA3xQAAANwAAAAPAAAAAAAAAAAAAAAAAJgCAABkcnMv&#10;ZG93bnJldi54bWxQSwUGAAAAAAQABAD1AAAAigMAAAAA&#10;">
                    <v:textbox inset=",7.2pt,,7.2pt">
                      <w:txbxContent>
                        <w:p w14:paraId="2E9B78C9" w14:textId="77777777" w:rsidR="00DE3537" w:rsidRDefault="00DE3537" w:rsidP="008A4767">
                          <w:pPr>
                            <w:widowControl w:val="0"/>
                            <w:spacing w:after="0" w:line="240" w:lineRule="auto"/>
                            <w:jc w:val="center"/>
                            <w:rPr>
                              <w:sz w:val="16"/>
                              <w:szCs w:val="16"/>
                              <w:lang w:val="en-CA"/>
                            </w:rPr>
                          </w:pPr>
                          <w:r>
                            <w:rPr>
                              <w:sz w:val="16"/>
                              <w:szCs w:val="16"/>
                              <w:lang w:val="en-CA"/>
                            </w:rPr>
                            <w:t>My Lifestyles Questionnaire, n = 626 (96.6%)</w:t>
                          </w:r>
                        </w:p>
                        <w:p w14:paraId="1D757D14" w14:textId="77777777" w:rsidR="00DE3537" w:rsidRPr="00CF23C3" w:rsidRDefault="00DE3537" w:rsidP="008A4767">
                          <w:pPr>
                            <w:spacing w:after="0"/>
                            <w:ind w:left="360" w:hanging="360"/>
                            <w:rPr>
                              <w:rFonts w:cs="Calibri"/>
                              <w:sz w:val="16"/>
                              <w:szCs w:val="16"/>
                              <w:lang w:val="en-CA"/>
                            </w:rPr>
                          </w:pPr>
                        </w:p>
                      </w:txbxContent>
                    </v:textbox>
                  </v:rect>
                </v:group>
                <v:shape id="Text Box 202" o:spid="_x0000_s1182" type="#_x0000_t202" style="position:absolute;top:58293;width:6000;height:8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bU38QA&#10;AADcAAAADwAAAGRycy9kb3ducmV2LnhtbESPT4vCMBTE74LfITxhb5paWJWuUVSUXfHkn70/mrdN&#10;3ealNFG7++mNIHgcZuY3zHTe2kpcqfGlYwXDQQKCOHe65ELB6bjpT0D4gKyxckwK/sjDfNbtTDHT&#10;7sZ7uh5CISKEfYYKTAh1JqXPDVn0A1cTR+/HNRZDlE0hdYO3CLeVTJNkJC2WHBcM1rQylP8eLlaB&#10;DdvPs/fn73y9Gy1c9b4c/++NUm+9dvEBIlAbXuFn+0srSJMUHmfiEZ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21N/EAAAA3AAAAA8AAAAAAAAAAAAAAAAAmAIAAGRycy9k&#10;b3ducmV2LnhtbFBLBQYAAAAABAAEAPUAAACJAwAAAAA=&#10;" fillcolor="#4f81bd" strokecolor="windowText" strokeweight="2pt">
                  <v:textbox style="layout-flow:vertical;mso-layout-flow-alt:bottom-to-top">
                    <w:txbxContent>
                      <w:p w14:paraId="3F4C3BBC" w14:textId="77777777" w:rsidR="00DE3537" w:rsidRPr="001D6DBA" w:rsidRDefault="00DE3537" w:rsidP="008A4767">
                        <w:pPr>
                          <w:jc w:val="center"/>
                          <w:rPr>
                            <w:b/>
                          </w:rPr>
                        </w:pPr>
                        <w:r w:rsidRPr="001D6DBA">
                          <w:rPr>
                            <w:b/>
                          </w:rPr>
                          <w:t>Analysis</w:t>
                        </w:r>
                      </w:p>
                    </w:txbxContent>
                  </v:textbox>
                </v:shape>
                <v:shape id="Text Box 203" o:spid="_x0000_s1183" type="#_x0000_t202" style="position:absolute;top:47434;width:6000;height:8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pxRMUA&#10;AADcAAAADwAAAGRycy9kb3ducmV2LnhtbESPT2vCQBTE7wW/w/KE3uqmFv+QuhFbWlrxZNT7I/ua&#10;TZp9G7Jbjf30riB4HGbmN8xi2dtGHKnzlWMFz6MEBHHhdMWlgv3u82kOwgdkjY1jUnAmD8ts8LDA&#10;VLsTb+mYh1JECPsUFZgQ2lRKXxiy6EeuJY7ej+sshii7UuoOTxFuGzlOkqm0WHFcMNjSu6HiN/+z&#10;CmxYf9Xe14fiYzNduWbyNvvfGqUeh/3qFUSgPtzDt/a3VjBOXuB6Jh4B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unFExQAAANwAAAAPAAAAAAAAAAAAAAAAAJgCAABkcnMv&#10;ZG93bnJldi54bWxQSwUGAAAAAAQABAD1AAAAigMAAAAA&#10;" fillcolor="#4f81bd" strokecolor="windowText" strokeweight="2pt">
                  <v:textbox style="layout-flow:vertical;mso-layout-flow-alt:bottom-to-top">
                    <w:txbxContent>
                      <w:p w14:paraId="6A9C8279" w14:textId="2CC85B40" w:rsidR="00DE3537" w:rsidRPr="001D6DBA" w:rsidRDefault="00DE3537" w:rsidP="008A4767">
                        <w:pPr>
                          <w:jc w:val="center"/>
                          <w:rPr>
                            <w:b/>
                          </w:rPr>
                        </w:pPr>
                        <w:r>
                          <w:rPr>
                            <w:b/>
                          </w:rPr>
                          <w:t>24 months</w:t>
                        </w:r>
                      </w:p>
                    </w:txbxContent>
                  </v:textbox>
                </v:shape>
                <v:shape id="Text Box 204" o:spid="_x0000_s1184" type="#_x0000_t202" style="position:absolute;top:35623;width:6000;height:8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PpMMUA&#10;AADcAAAADwAAAGRycy9kb3ducmV2LnhtbESPT2vCQBTE7wW/w/KE3uqmUv+QuhFbWlrxZNT7I/ua&#10;TZp9G7Jbjf30riB4HGbmN8xi2dtGHKnzlWMFz6MEBHHhdMWlgv3u82kOwgdkjY1jUnAmD8ts8LDA&#10;VLsTb+mYh1JECPsUFZgQ2lRKXxiy6EeuJY7ej+sshii7UuoOTxFuGzlOkqm0WHFcMNjSu6HiN/+z&#10;CmxYf9Xe14fiYzNduWbyNvvfGqUeh/3qFUSgPtzDt/a3VjBOXuB6Jh4B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U+kwxQAAANwAAAAPAAAAAAAAAAAAAAAAAJgCAABkcnMv&#10;ZG93bnJldi54bWxQSwUGAAAAAAQABAD1AAAAigMAAAAA&#10;" fillcolor="#4f81bd" strokecolor="windowText" strokeweight="2pt">
                  <v:textbox style="layout-flow:vertical;mso-layout-flow-alt:bottom-to-top">
                    <w:txbxContent>
                      <w:p w14:paraId="11463A5F" w14:textId="5BECF6E3" w:rsidR="00DE3537" w:rsidRPr="001D6DBA" w:rsidRDefault="00DE3537" w:rsidP="008A4767">
                        <w:pPr>
                          <w:jc w:val="center"/>
                          <w:rPr>
                            <w:b/>
                          </w:rPr>
                        </w:pPr>
                        <w:r>
                          <w:rPr>
                            <w:b/>
                          </w:rPr>
                          <w:t>18 months</w:t>
                        </w:r>
                      </w:p>
                    </w:txbxContent>
                  </v:textbox>
                </v:shape>
                <v:shape id="Text Box 205" o:spid="_x0000_s1185" type="#_x0000_t202" style="position:absolute;top:14382;width:6000;height:8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9Mq8MA&#10;AADcAAAADwAAAGRycy9kb3ducmV2LnhtbESPS4sCMRCE78L+h9ALe9PMCj4YjaLioosnX/dm0k7G&#10;nXSGSdTRX78RBI9FVX1FjaeNLcWVal84VvDdSUAQZ04XnCs47H/aQxA+IGssHZOCO3mYTj5aY0y1&#10;u/GWrruQiwhhn6ICE0KVSukzQxZ9x1XE0Tu52mKIss6lrvEW4baU3STpS4sFxwWDFS0MZX+7i1Vg&#10;w+/q7P35mC03/Zkre/PBY2uU+vpsZiMQgZrwDr/aa62gm/TgeSYeAT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9Mq8MAAADcAAAADwAAAAAAAAAAAAAAAACYAgAAZHJzL2Rv&#10;d25yZXYueG1sUEsFBgAAAAAEAAQA9QAAAIgDAAAAAA==&#10;" fillcolor="#4f81bd" strokecolor="windowText" strokeweight="2pt">
                  <v:textbox style="layout-flow:vertical;mso-layout-flow-alt:bottom-to-top">
                    <w:txbxContent>
                      <w:p w14:paraId="4E39FCE4" w14:textId="77777777" w:rsidR="00DE3537" w:rsidRPr="001D6DBA" w:rsidRDefault="00DE3537" w:rsidP="008A4767">
                        <w:pPr>
                          <w:jc w:val="center"/>
                          <w:rPr>
                            <w:b/>
                          </w:rPr>
                        </w:pPr>
                        <w:r>
                          <w:rPr>
                            <w:b/>
                          </w:rPr>
                          <w:t>Allocation of schools</w:t>
                        </w:r>
                      </w:p>
                    </w:txbxContent>
                  </v:textbox>
                </v:shape>
                <v:shape id="Text Box 206" o:spid="_x0000_s1186" type="#_x0000_t202" style="position:absolute;top:1143;width:6000;height:8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3S3MQA&#10;AADcAAAADwAAAGRycy9kb3ducmV2LnhtbESPT4vCMBTE7wt+h/AEb2uqYJWuUVQUV/bkn70/mrdN&#10;3ealNFHrfnqzIHgcZuY3zHTe2kpcqfGlYwWDfgKCOHe65ELB6bh5n4DwAVlj5ZgU3MnDfNZ5m2Km&#10;3Y33dD2EQkQI+wwVmBDqTEqfG7Lo+64mjt6PayyGKJtC6gZvEW4rOUySVFosOS4YrGllKP89XKwC&#10;G3bbs/fn73z9lS5cNVqO//ZGqV63XXyACNSGV/jZ/tQKhkkK/2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N0tzEAAAA3AAAAA8AAAAAAAAAAAAAAAAAmAIAAGRycy9k&#10;b3ducmV2LnhtbFBLBQYAAAAABAAEAPUAAACJAwAAAAA=&#10;" fillcolor="#4f81bd" strokecolor="windowText" strokeweight="2pt">
                  <v:textbox style="layout-flow:vertical;mso-layout-flow-alt:bottom-to-top">
                    <w:txbxContent>
                      <w:p w14:paraId="21A7A161" w14:textId="77777777" w:rsidR="00DE3537" w:rsidRPr="001D6DBA" w:rsidRDefault="00DE3537" w:rsidP="008A4767">
                        <w:pPr>
                          <w:jc w:val="center"/>
                          <w:rPr>
                            <w:b/>
                          </w:rPr>
                        </w:pPr>
                        <w:r>
                          <w:rPr>
                            <w:b/>
                          </w:rPr>
                          <w:t>Baseline</w:t>
                        </w:r>
                      </w:p>
                    </w:txbxContent>
                  </v:textbox>
                </v:shape>
                <v:shape id="Text Box 207" o:spid="_x0000_s1187" type="#_x0000_t202" style="position:absolute;top:24479;width:6000;height:8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F3R8UA&#10;AADcAAAADwAAAGRycy9kb3ducmV2LnhtbESPT2vCQBTE7wW/w/KE3urGgH9IXSVKpZae1Pb+yL5m&#10;o9m3IbtNYj99t1DwOMzMb5jVZrC16Kj1lWMF00kCgrhwuuJSwcd5/7QE4QOyxtoxKbiRh8169LDC&#10;TLuej9SdQikihH2GCkwITSalLwxZ9BPXEEfvy7UWQ5RtKXWLfYTbWqZJMpcWK44LBhvaGSqup2+r&#10;wIa314v3l8/i5X2eu3q2XfwcjVKP4yF/BhFoCPfwf/ugFaTJAv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gXdHxQAAANwAAAAPAAAAAAAAAAAAAAAAAJgCAABkcnMv&#10;ZG93bnJldi54bWxQSwUGAAAAAAQABAD1AAAAigMAAAAA&#10;" fillcolor="#4f81bd" strokecolor="windowText" strokeweight="2pt">
                  <v:textbox style="layout-flow:vertical;mso-layout-flow-alt:bottom-to-top">
                    <w:txbxContent>
                      <w:p w14:paraId="36E6C4F4" w14:textId="2EA06FC7" w:rsidR="00DE3537" w:rsidRPr="001D6DBA" w:rsidRDefault="00DE3537" w:rsidP="008A4767">
                        <w:pPr>
                          <w:jc w:val="center"/>
                          <w:rPr>
                            <w:b/>
                          </w:rPr>
                        </w:pPr>
                        <w:r>
                          <w:rPr>
                            <w:b/>
                          </w:rPr>
                          <w:t>12 months</w:t>
                        </w:r>
                      </w:p>
                    </w:txbxContent>
                  </v:textbox>
                </v:shape>
                <w10:wrap anchorx="margin"/>
              </v:group>
            </w:pict>
          </mc:Fallback>
        </mc:AlternateContent>
      </w:r>
      <w:r w:rsidR="008A4767">
        <w:rPr>
          <w:b/>
          <w:bCs/>
        </w:rPr>
        <w:br w:type="page"/>
      </w:r>
      <w:r w:rsidR="008A4767" w:rsidRPr="008A4767">
        <w:rPr>
          <w:rFonts w:eastAsiaTheme="minorHAnsi"/>
          <w:noProof/>
          <w:lang w:eastAsia="zh-CN"/>
        </w:rPr>
        <mc:AlternateContent>
          <mc:Choice Requires="wps">
            <w:drawing>
              <wp:anchor distT="0" distB="0" distL="114300" distR="114300" simplePos="0" relativeHeight="251667456" behindDoc="0" locked="0" layoutInCell="1" allowOverlap="1" wp14:anchorId="21E59E57" wp14:editId="00F83A17">
                <wp:simplePos x="0" y="0"/>
                <wp:positionH relativeFrom="column">
                  <wp:posOffset>1961197</wp:posOffset>
                </wp:positionH>
                <wp:positionV relativeFrom="paragraph">
                  <wp:posOffset>3696018</wp:posOffset>
                </wp:positionV>
                <wp:extent cx="0" cy="360045"/>
                <wp:effectExtent l="76200" t="0" r="76200" b="59055"/>
                <wp:wrapNone/>
                <wp:docPr id="208" name="Straight Arrow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anchor>
            </w:drawing>
          </mc:Choice>
          <mc:Fallback>
            <w:pict>
              <v:shape w14:anchorId="1A4EC854" id="Straight Arrow Connector 208" o:spid="_x0000_s1026" type="#_x0000_t32" style="position:absolute;margin-left:154.4pt;margin-top:291.05pt;width:0;height:28.3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">
                <v:stroke endarrow="block"/>
                <v:shadow color="#ccc"/>
              </v:shape>
            </w:pict>
          </mc:Fallback>
        </mc:AlternateContent>
      </w:r>
      <w:r w:rsidR="008A4767" w:rsidRPr="008A4767">
        <w:rPr>
          <w:rFonts w:eastAsiaTheme="minorHAnsi"/>
          <w:noProof/>
          <w:lang w:eastAsia="zh-CN"/>
        </w:rPr>
        <mc:AlternateContent>
          <mc:Choice Requires="wps">
            <w:drawing>
              <wp:anchor distT="0" distB="0" distL="114300" distR="114300" simplePos="0" relativeHeight="251663360" behindDoc="0" locked="0" layoutInCell="1" allowOverlap="1" wp14:anchorId="4DD92699" wp14:editId="1EAA95CD">
                <wp:simplePos x="0" y="0"/>
                <wp:positionH relativeFrom="column">
                  <wp:posOffset>1809750</wp:posOffset>
                </wp:positionH>
                <wp:positionV relativeFrom="paragraph">
                  <wp:posOffset>2924175</wp:posOffset>
                </wp:positionV>
                <wp:extent cx="0" cy="360045"/>
                <wp:effectExtent l="76200" t="0" r="76200" b="59055"/>
                <wp:wrapNone/>
                <wp:docPr id="209" name="Straight Arrow Connector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anchor>
            </w:drawing>
          </mc:Choice>
          <mc:Fallback>
            <w:pict>
              <v:shape w14:anchorId="78A4823E" id="Straight Arrow Connector 209" o:spid="_x0000_s1026" type="#_x0000_t32" style="position:absolute;margin-left:142.5pt;margin-top:230.25pt;width:0;height:28.3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">
                <v:stroke endarrow="block"/>
                <v:shadow color="#ccc"/>
              </v:shape>
            </w:pict>
          </mc:Fallback>
        </mc:AlternateContent>
      </w:r>
      <w:r w:rsidR="008A4767" w:rsidRPr="008A4767">
        <w:rPr>
          <w:rFonts w:eastAsiaTheme="minorHAnsi"/>
          <w:noProof/>
          <w:lang w:eastAsia="zh-CN"/>
        </w:rPr>
        <mc:AlternateContent>
          <mc:Choice Requires="wpg">
            <w:drawing>
              <wp:anchor distT="0" distB="0" distL="114300" distR="114300" simplePos="0" relativeHeight="251653120" behindDoc="0" locked="0" layoutInCell="1" allowOverlap="1" wp14:anchorId="11418CBA" wp14:editId="1AC07857">
                <wp:simplePos x="0" y="0"/>
                <wp:positionH relativeFrom="column">
                  <wp:posOffset>1662430</wp:posOffset>
                </wp:positionH>
                <wp:positionV relativeFrom="paragraph">
                  <wp:posOffset>1910080</wp:posOffset>
                </wp:positionV>
                <wp:extent cx="3479165" cy="400050"/>
                <wp:effectExtent l="76200" t="0" r="64135" b="5715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9165" cy="400050"/>
                          <a:chOff x="0" y="0"/>
                          <a:chExt cx="3479551" cy="400050"/>
                        </a:xfrm>
                      </wpg:grpSpPr>
                      <wps:wsp>
                        <wps:cNvPr id="41" name="Elbow Connector 41"/>
                        <wps:cNvCnPr>
                          <a:cxnSpLocks noChangeShapeType="1"/>
                        </wps:cNvCnPr>
                        <wps:spPr bwMode="auto">
                          <a:xfrm rot="10800000" flipV="1">
                            <a:off x="0" y="0"/>
                            <a:ext cx="2331720" cy="400050"/>
                          </a:xfrm>
                          <a:prstGeom prst="bentConnector2">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2" name="Elbow Connector 42"/>
                        <wps:cNvCnPr>
                          <a:cxnSpLocks noChangeShapeType="1"/>
                        </wps:cNvCnPr>
                        <wps:spPr bwMode="auto">
                          <a:xfrm>
                            <a:off x="1319916" y="0"/>
                            <a:ext cx="2159635" cy="400050"/>
                          </a:xfrm>
                          <a:prstGeom prst="bentConnector2">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A4D1E9E" id="Group 40" o:spid="_x0000_s1026" style="position:absolute;margin-left:130.9pt;margin-top:150.4pt;width:273.95pt;height:31.5pt;z-index:251653120" coordsize="3479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">
                <v:shape id="Elbow Connector 41" o:spid="_x0000_s1027" type="#_x0000_t33" style="position:absolute;width:23317;height:4000;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qxbMUAAADbAAAADwAAAGRycy9kb3ducmV2LnhtbESP3WoCMRSE74W+QziF3ohmlSK6NYqK&#10;LUIR/EN6edicbpZuTtZN1PXtG0HwcpiZb5jxtLGluFDtC8cKet0EBHHmdMG5gsP+szME4QOyxtIx&#10;KbiRh+nkpTXGVLsrb+myC7mIEPYpKjAhVKmUPjNk0XddRRy9X1dbDFHWudQ1XiPclrKfJANpseC4&#10;YLCihaHsb3e2CsrTZvmTt79mc3NbjZpj36+/z5lSb6/N7ANEoCY8w4/2Sit478H9S/wBcv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qxbMUAAADbAAAADwAAAAAAAAAA&#10;AAAAAAChAgAAZHJzL2Rvd25yZXYueG1sUEsFBgAAAAAEAAQA+QAAAJMDAAAAAA==&#10;">
                  <v:stroke endarrow="block"/>
                  <v:shadow color="#ccc"/>
                </v:shape>
                <v:shape id="Elbow Connector 42" o:spid="_x0000_s1028" type="#_x0000_t33" style="position:absolute;left:13199;width:21596;height:400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lzucQAAADbAAAADwAAAGRycy9kb3ducmV2LnhtbESPT2sCMRTE7wW/Q3iCt5pV1iJbo9hC&#10;qUIv/oFeH5vXzdbNy7KJa/TTm0LB4zAzv2EWq2gb0VPna8cKJuMMBHHpdM2VguPh43kOwgdkjY1j&#10;UnAlD6vl4GmBhXYX3lG/D5VIEPYFKjAhtIWUvjRk0Y9dS5y8H9dZDEl2ldQdXhLcNnKaZS/SYs1p&#10;wWBL74bK0/5sFXg85xv8mve33ziJn28zs82/d0qNhnH9CiJQDI/wf3ujFeRT+PuSf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uXO5xAAAANsAAAAPAAAAAAAAAAAA&#10;AAAAAKECAABkcnMvZG93bnJldi54bWxQSwUGAAAAAAQABAD5AAAAkgMAAAAA&#10;">
                  <v:stroke endarrow="block"/>
                  <v:shadow color="#ccc"/>
                </v:shape>
              </v:group>
            </w:pict>
          </mc:Fallback>
        </mc:AlternateContent>
      </w:r>
      <w:r w:rsidR="008A4767" w:rsidRPr="008A4767">
        <w:rPr>
          <w:rFonts w:eastAsiaTheme="minorHAnsi"/>
          <w:noProof/>
          <w:lang w:eastAsia="zh-CN"/>
        </w:rPr>
        <mc:AlternateContent>
          <mc:Choice Requires="wps">
            <w:drawing>
              <wp:anchor distT="0" distB="0" distL="114300" distR="114300" simplePos="0" relativeHeight="251655168" behindDoc="0" locked="0" layoutInCell="1" allowOverlap="1" wp14:anchorId="64D560FE" wp14:editId="68F6E3BC">
                <wp:simplePos x="0" y="0"/>
                <wp:positionH relativeFrom="column">
                  <wp:posOffset>3625850</wp:posOffset>
                </wp:positionH>
                <wp:positionV relativeFrom="paragraph">
                  <wp:posOffset>5598160</wp:posOffset>
                </wp:positionV>
                <wp:extent cx="2159635" cy="647700"/>
                <wp:effectExtent l="0" t="0" r="12065" b="19050"/>
                <wp:wrapNone/>
                <wp:docPr id="68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635" cy="647700"/>
                        </a:xfrm>
                        <a:prstGeom prst="rect">
                          <a:avLst/>
                        </a:prstGeom>
                        <a:solidFill>
                          <a:srgbClr val="FFFFFF"/>
                        </a:solidFill>
                        <a:ln w="9525">
                          <a:solidFill>
                            <a:srgbClr val="000000"/>
                          </a:solidFill>
                          <a:miter lim="800000"/>
                          <a:headEnd/>
                          <a:tailEnd/>
                        </a:ln>
                      </wps:spPr>
                      <wps:txbx>
                        <w:txbxContent>
                          <w:p w14:paraId="4E1E9FC1" w14:textId="77777777" w:rsidR="00DE3537" w:rsidRPr="00124CB0" w:rsidRDefault="00DE3537" w:rsidP="008A4767">
                            <w:pPr>
                              <w:widowControl w:val="0"/>
                              <w:spacing w:after="0" w:line="240" w:lineRule="auto"/>
                              <w:jc w:val="center"/>
                              <w:rPr>
                                <w:b/>
                                <w:sz w:val="16"/>
                                <w:szCs w:val="16"/>
                                <w:lang w:val="en-CA"/>
                              </w:rPr>
                            </w:pPr>
                            <w:r>
                              <w:rPr>
                                <w:b/>
                                <w:sz w:val="16"/>
                                <w:szCs w:val="16"/>
                                <w:lang w:val="en-CA"/>
                              </w:rPr>
                              <w:t>BMI (height and weight), n = 620</w:t>
                            </w:r>
                            <w:r w:rsidRPr="00124CB0">
                              <w:rPr>
                                <w:b/>
                                <w:sz w:val="16"/>
                                <w:szCs w:val="16"/>
                                <w:lang w:val="en-CA"/>
                              </w:rPr>
                              <w:t xml:space="preserve"> (9</w:t>
                            </w:r>
                            <w:r>
                              <w:rPr>
                                <w:b/>
                                <w:sz w:val="16"/>
                                <w:szCs w:val="16"/>
                                <w:lang w:val="en-CA"/>
                              </w:rPr>
                              <w:t>5.7</w:t>
                            </w:r>
                            <w:r w:rsidRPr="00124CB0">
                              <w:rPr>
                                <w:b/>
                                <w:sz w:val="16"/>
                                <w:szCs w:val="16"/>
                                <w:lang w:val="en-CA"/>
                              </w:rPr>
                              <w:t>%)</w:t>
                            </w:r>
                          </w:p>
                          <w:p w14:paraId="07E38429" w14:textId="77777777" w:rsidR="00DE3537" w:rsidRDefault="00DE3537" w:rsidP="008A4767">
                            <w:pPr>
                              <w:widowControl w:val="0"/>
                              <w:spacing w:after="0" w:line="240" w:lineRule="auto"/>
                              <w:jc w:val="center"/>
                              <w:rPr>
                                <w:sz w:val="16"/>
                                <w:szCs w:val="16"/>
                                <w:lang w:val="en-CA"/>
                              </w:rPr>
                            </w:pPr>
                            <w:r>
                              <w:rPr>
                                <w:sz w:val="16"/>
                                <w:szCs w:val="16"/>
                                <w:lang w:val="en-CA"/>
                              </w:rPr>
                              <w:t>Waist circumference, n = 618 (95.4%)</w:t>
                            </w:r>
                          </w:p>
                          <w:p w14:paraId="3E51D297" w14:textId="77777777" w:rsidR="00DE3537" w:rsidRDefault="00DE3537" w:rsidP="008A4767">
                            <w:pPr>
                              <w:widowControl w:val="0"/>
                              <w:spacing w:after="0" w:line="240" w:lineRule="auto"/>
                              <w:jc w:val="center"/>
                              <w:rPr>
                                <w:sz w:val="16"/>
                                <w:szCs w:val="16"/>
                                <w:lang w:val="en-CA"/>
                              </w:rPr>
                            </w:pPr>
                            <w:r>
                              <w:rPr>
                                <w:sz w:val="16"/>
                                <w:szCs w:val="16"/>
                                <w:lang w:val="en-CA"/>
                              </w:rPr>
                              <w:t>Body fat, n = 620 (95.7%)</w:t>
                            </w:r>
                          </w:p>
                          <w:p w14:paraId="6408BF73" w14:textId="77777777" w:rsidR="00DE3537" w:rsidRPr="00CF23C3" w:rsidRDefault="00DE3537" w:rsidP="008A4767">
                            <w:pPr>
                              <w:rPr>
                                <w:sz w:val="16"/>
                                <w:szCs w:val="16"/>
                                <w:lang w:val="en-CA"/>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D560FE" id="Rectangle 28" o:spid="_x0000_s1188" style="position:absolute;margin-left:285.5pt;margin-top:440.8pt;width:170.05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">
                <v:textbox inset=",7.2pt,,7.2pt">
                  <w:txbxContent>
                    <w:p w14:paraId="4E1E9FC1" w14:textId="77777777" w:rsidR="00DE3537" w:rsidRPr="00124CB0" w:rsidRDefault="00DE3537" w:rsidP="008A4767">
                      <w:pPr>
                        <w:widowControl w:val="0"/>
                        <w:spacing w:after="0" w:line="240" w:lineRule="auto"/>
                        <w:jc w:val="center"/>
                        <w:rPr>
                          <w:b/>
                          <w:sz w:val="16"/>
                          <w:szCs w:val="16"/>
                          <w:lang w:val="en-CA"/>
                        </w:rPr>
                      </w:pPr>
                      <w:r>
                        <w:rPr>
                          <w:b/>
                          <w:sz w:val="16"/>
                          <w:szCs w:val="16"/>
                          <w:lang w:val="en-CA"/>
                        </w:rPr>
                        <w:t>BMI (height and weight), n = 620</w:t>
                      </w:r>
                      <w:r w:rsidRPr="00124CB0">
                        <w:rPr>
                          <w:b/>
                          <w:sz w:val="16"/>
                          <w:szCs w:val="16"/>
                          <w:lang w:val="en-CA"/>
                        </w:rPr>
                        <w:t xml:space="preserve"> (9</w:t>
                      </w:r>
                      <w:r>
                        <w:rPr>
                          <w:b/>
                          <w:sz w:val="16"/>
                          <w:szCs w:val="16"/>
                          <w:lang w:val="en-CA"/>
                        </w:rPr>
                        <w:t>5.7</w:t>
                      </w:r>
                      <w:r w:rsidRPr="00124CB0">
                        <w:rPr>
                          <w:b/>
                          <w:sz w:val="16"/>
                          <w:szCs w:val="16"/>
                          <w:lang w:val="en-CA"/>
                        </w:rPr>
                        <w:t>%)</w:t>
                      </w:r>
                    </w:p>
                    <w:p w14:paraId="07E38429" w14:textId="77777777" w:rsidR="00DE3537" w:rsidRDefault="00DE3537" w:rsidP="008A4767">
                      <w:pPr>
                        <w:widowControl w:val="0"/>
                        <w:spacing w:after="0" w:line="240" w:lineRule="auto"/>
                        <w:jc w:val="center"/>
                        <w:rPr>
                          <w:sz w:val="16"/>
                          <w:szCs w:val="16"/>
                          <w:lang w:val="en-CA"/>
                        </w:rPr>
                      </w:pPr>
                      <w:r>
                        <w:rPr>
                          <w:sz w:val="16"/>
                          <w:szCs w:val="16"/>
                          <w:lang w:val="en-CA"/>
                        </w:rPr>
                        <w:t>Waist circumference, n = 618 (95.4%)</w:t>
                      </w:r>
                    </w:p>
                    <w:p w14:paraId="3E51D297" w14:textId="77777777" w:rsidR="00DE3537" w:rsidRDefault="00DE3537" w:rsidP="008A4767">
                      <w:pPr>
                        <w:widowControl w:val="0"/>
                        <w:spacing w:after="0" w:line="240" w:lineRule="auto"/>
                        <w:jc w:val="center"/>
                        <w:rPr>
                          <w:sz w:val="16"/>
                          <w:szCs w:val="16"/>
                          <w:lang w:val="en-CA"/>
                        </w:rPr>
                      </w:pPr>
                      <w:r>
                        <w:rPr>
                          <w:sz w:val="16"/>
                          <w:szCs w:val="16"/>
                          <w:lang w:val="en-CA"/>
                        </w:rPr>
                        <w:t>Body fat, n = 620 (95.7%)</w:t>
                      </w:r>
                    </w:p>
                    <w:p w14:paraId="6408BF73" w14:textId="77777777" w:rsidR="00DE3537" w:rsidRPr="00CF23C3" w:rsidRDefault="00DE3537" w:rsidP="008A4767">
                      <w:pPr>
                        <w:rPr>
                          <w:sz w:val="16"/>
                          <w:szCs w:val="16"/>
                          <w:lang w:val="en-CA"/>
                        </w:rPr>
                      </w:pPr>
                    </w:p>
                  </w:txbxContent>
                </v:textbox>
              </v:rect>
            </w:pict>
          </mc:Fallback>
        </mc:AlternateContent>
      </w:r>
      <w:r w:rsidR="008A4767" w:rsidRPr="008A4767">
        <w:rPr>
          <w:rFonts w:eastAsiaTheme="minorHAnsi"/>
          <w:noProof/>
          <w:lang w:eastAsia="zh-CN"/>
        </w:rPr>
        <mc:AlternateContent>
          <mc:Choice Requires="wps">
            <w:drawing>
              <wp:anchor distT="0" distB="0" distL="114296" distR="114296" simplePos="0" relativeHeight="251659264" behindDoc="0" locked="0" layoutInCell="1" allowOverlap="1" wp14:anchorId="628B9FFA" wp14:editId="21851D41">
                <wp:simplePos x="0" y="0"/>
                <wp:positionH relativeFrom="column">
                  <wp:posOffset>4712335</wp:posOffset>
                </wp:positionH>
                <wp:positionV relativeFrom="paragraph">
                  <wp:posOffset>3700145</wp:posOffset>
                </wp:positionV>
                <wp:extent cx="0" cy="360045"/>
                <wp:effectExtent l="76200" t="0" r="76200" b="5905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89511AB" id="Straight Arrow Connector 48" o:spid="_x0000_s1026" type="#_x0000_t32" style="position:absolute;margin-left:371.05pt;margin-top:291.35pt;width:0;height:28.35pt;z-index:2516592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">
                <v:stroke endarrow="block"/>
                <v:shadow color="#ccc"/>
              </v:shape>
            </w:pict>
          </mc:Fallback>
        </mc:AlternateContent>
      </w:r>
    </w:p>
    <w:p w14:paraId="2F88766A" w14:textId="3628440F" w:rsidR="004E0D59" w:rsidRPr="00DB5C27" w:rsidRDefault="009B613D" w:rsidP="008A4767">
      <w:pPr>
        <w:pStyle w:val="Heading2"/>
        <w:rPr>
          <w:rFonts w:asciiTheme="minorHAnsi" w:hAnsiTheme="minorHAnsi" w:cs="Times New Roman"/>
          <w:bCs w:val="0"/>
          <w:sz w:val="22"/>
          <w:szCs w:val="22"/>
        </w:rPr>
      </w:pPr>
      <w:bookmarkStart w:id="401" w:name="_Toc466639051"/>
      <w:bookmarkStart w:id="402" w:name="_Toc475974362"/>
      <w:r w:rsidRPr="00DB5C27">
        <w:rPr>
          <w:rFonts w:asciiTheme="minorHAnsi" w:hAnsiTheme="minorHAnsi"/>
          <w:bCs w:val="0"/>
          <w:sz w:val="22"/>
          <w:szCs w:val="22"/>
        </w:rPr>
        <w:lastRenderedPageBreak/>
        <w:t xml:space="preserve">3.3 </w:t>
      </w:r>
      <w:r w:rsidR="004E0D59" w:rsidRPr="00DB5C27">
        <w:rPr>
          <w:rFonts w:asciiTheme="minorHAnsi" w:hAnsiTheme="minorHAnsi" w:cs="Times New Roman"/>
          <w:bCs w:val="0"/>
          <w:sz w:val="22"/>
          <w:szCs w:val="22"/>
        </w:rPr>
        <w:t>Baseline Characteristics</w:t>
      </w:r>
      <w:bookmarkEnd w:id="401"/>
      <w:bookmarkEnd w:id="402"/>
    </w:p>
    <w:p w14:paraId="5351DFFE" w14:textId="070AEEFD" w:rsidR="009B613D" w:rsidRPr="00DB5C27" w:rsidRDefault="009B613D" w:rsidP="008A4767">
      <w:pPr>
        <w:pStyle w:val="Heading3"/>
        <w:rPr>
          <w:rFonts w:asciiTheme="minorHAnsi" w:hAnsiTheme="minorHAnsi" w:cs="Times New Roman"/>
          <w:bCs w:val="0"/>
        </w:rPr>
      </w:pPr>
      <w:bookmarkStart w:id="403" w:name="_Toc475974363"/>
      <w:r w:rsidRPr="00DB5C27">
        <w:rPr>
          <w:rFonts w:asciiTheme="minorHAnsi" w:hAnsiTheme="minorHAnsi" w:cs="Times New Roman"/>
          <w:bCs w:val="0"/>
        </w:rPr>
        <w:t>3.3.1 School level characteristics</w:t>
      </w:r>
      <w:bookmarkEnd w:id="403"/>
    </w:p>
    <w:p w14:paraId="21339DCC" w14:textId="60733B44" w:rsidR="004E0D59" w:rsidRPr="004E0D59" w:rsidRDefault="004E0D59" w:rsidP="00DB5C27">
      <w:pPr>
        <w:spacing w:after="0" w:line="360" w:lineRule="auto"/>
      </w:pPr>
      <w:r w:rsidRPr="004E0D59">
        <w:t xml:space="preserve">Table </w:t>
      </w:r>
      <w:r w:rsidR="00BA12B1">
        <w:t>4</w:t>
      </w:r>
      <w:r w:rsidRPr="004E0D59">
        <w:t xml:space="preserve"> shows how the </w:t>
      </w:r>
      <w:r w:rsidR="009D1C7F">
        <w:t>HeLP study</w:t>
      </w:r>
      <w:r w:rsidRPr="004E0D59">
        <w:t xml:space="preserve"> schools compare with schools in Devon and England in terms of percentage of children eligible for free school meals, school size, percentage of children achieving Level 4 at Key Stage 2 and proportion of pupils with English as an additional language or non-white British.</w:t>
      </w:r>
    </w:p>
    <w:p w14:paraId="5439540E" w14:textId="77777777" w:rsidR="004E0D59" w:rsidRPr="004E0D59" w:rsidRDefault="004E0D59" w:rsidP="00314B68">
      <w:pPr>
        <w:rPr>
          <w:b/>
          <w:bCs/>
        </w:rPr>
      </w:pPr>
    </w:p>
    <w:p w14:paraId="365A78B9" w14:textId="3FB59065" w:rsidR="004E0D59" w:rsidRPr="004E0D59" w:rsidRDefault="004E0D59" w:rsidP="00314B68">
      <w:pPr>
        <w:rPr>
          <w:b/>
          <w:bCs/>
        </w:rPr>
      </w:pPr>
      <w:r w:rsidRPr="004E0D59">
        <w:rPr>
          <w:b/>
          <w:bCs/>
        </w:rPr>
        <w:t>T</w:t>
      </w:r>
      <w:r w:rsidR="004621E9">
        <w:rPr>
          <w:b/>
          <w:bCs/>
        </w:rPr>
        <w:t>ABLE</w:t>
      </w:r>
      <w:r w:rsidRPr="004E0D59">
        <w:rPr>
          <w:b/>
          <w:bCs/>
        </w:rPr>
        <w:t xml:space="preserve"> </w:t>
      </w:r>
      <w:r w:rsidR="00BA12B1">
        <w:rPr>
          <w:b/>
          <w:bCs/>
        </w:rPr>
        <w:t>4</w:t>
      </w:r>
      <w:r w:rsidRPr="004E0D59">
        <w:rPr>
          <w:b/>
          <w:bCs/>
        </w:rPr>
        <w:t xml:space="preserve"> Comparison of HeLP schools with Devon schools and all primary schools in England</w:t>
      </w:r>
      <w:r w:rsidR="00F82994">
        <w:rPr>
          <w:b/>
          <w:bCs/>
        </w:rPr>
        <w:t xml:space="preserve"> </w:t>
      </w:r>
    </w:p>
    <w:tbl>
      <w:tblPr>
        <w:tblW w:w="10500" w:type="dxa"/>
        <w:tblInd w:w="93" w:type="dxa"/>
        <w:tblLook w:val="04A0" w:firstRow="1" w:lastRow="0" w:firstColumn="1" w:lastColumn="0" w:noHBand="0" w:noVBand="1"/>
      </w:tblPr>
      <w:tblGrid>
        <w:gridCol w:w="4662"/>
        <w:gridCol w:w="1406"/>
        <w:gridCol w:w="1497"/>
        <w:gridCol w:w="1274"/>
        <w:gridCol w:w="620"/>
        <w:gridCol w:w="1041"/>
      </w:tblGrid>
      <w:tr w:rsidR="004E0D59" w:rsidRPr="004E0D59" w14:paraId="3D826A38" w14:textId="77777777" w:rsidTr="005F4C23">
        <w:trPr>
          <w:trHeight w:val="72"/>
        </w:trPr>
        <w:tc>
          <w:tcPr>
            <w:tcW w:w="4662" w:type="dxa"/>
            <w:tcBorders>
              <w:top w:val="nil"/>
              <w:left w:val="nil"/>
              <w:bottom w:val="single" w:sz="4" w:space="0" w:color="auto"/>
              <w:right w:val="nil"/>
            </w:tcBorders>
            <w:shd w:val="clear" w:color="auto" w:fill="auto"/>
            <w:noWrap/>
            <w:vAlign w:val="bottom"/>
            <w:hideMark/>
          </w:tcPr>
          <w:p w14:paraId="2A5C3919" w14:textId="77777777" w:rsidR="004E0D59" w:rsidRPr="004E0D59" w:rsidRDefault="004E0D59" w:rsidP="004E0D59">
            <w:pPr>
              <w:spacing w:after="0" w:line="360" w:lineRule="auto"/>
              <w:rPr>
                <w:b/>
                <w:bCs/>
              </w:rPr>
            </w:pPr>
          </w:p>
        </w:tc>
        <w:tc>
          <w:tcPr>
            <w:tcW w:w="1406" w:type="dxa"/>
            <w:tcBorders>
              <w:top w:val="nil"/>
              <w:left w:val="nil"/>
              <w:bottom w:val="single" w:sz="4" w:space="0" w:color="auto"/>
              <w:right w:val="nil"/>
            </w:tcBorders>
            <w:shd w:val="clear" w:color="auto" w:fill="auto"/>
            <w:noWrap/>
            <w:vAlign w:val="bottom"/>
            <w:hideMark/>
          </w:tcPr>
          <w:p w14:paraId="2F074801" w14:textId="77777777" w:rsidR="004E0D59" w:rsidRPr="004E0D59" w:rsidRDefault="004E0D59" w:rsidP="004E0D59">
            <w:pPr>
              <w:spacing w:after="0" w:line="360" w:lineRule="auto"/>
            </w:pPr>
          </w:p>
        </w:tc>
        <w:tc>
          <w:tcPr>
            <w:tcW w:w="1497" w:type="dxa"/>
            <w:tcBorders>
              <w:top w:val="nil"/>
              <w:left w:val="nil"/>
              <w:bottom w:val="single" w:sz="4" w:space="0" w:color="auto"/>
              <w:right w:val="nil"/>
            </w:tcBorders>
            <w:shd w:val="clear" w:color="auto" w:fill="auto"/>
            <w:noWrap/>
            <w:vAlign w:val="bottom"/>
            <w:hideMark/>
          </w:tcPr>
          <w:p w14:paraId="4562129F" w14:textId="77777777" w:rsidR="004E0D59" w:rsidRPr="004E0D59" w:rsidRDefault="004E0D59" w:rsidP="004E0D59">
            <w:pPr>
              <w:spacing w:after="0" w:line="360" w:lineRule="auto"/>
            </w:pPr>
          </w:p>
        </w:tc>
        <w:tc>
          <w:tcPr>
            <w:tcW w:w="1274" w:type="dxa"/>
            <w:tcBorders>
              <w:top w:val="nil"/>
              <w:left w:val="nil"/>
              <w:bottom w:val="single" w:sz="4" w:space="0" w:color="auto"/>
              <w:right w:val="nil"/>
            </w:tcBorders>
            <w:shd w:val="clear" w:color="auto" w:fill="auto"/>
            <w:noWrap/>
            <w:vAlign w:val="bottom"/>
            <w:hideMark/>
          </w:tcPr>
          <w:p w14:paraId="5E7149CF" w14:textId="3195A629" w:rsidR="004E0D59" w:rsidRPr="004E0D59" w:rsidRDefault="004E0D59" w:rsidP="004E0D59">
            <w:pPr>
              <w:spacing w:after="0" w:line="360" w:lineRule="auto"/>
              <w:rPr>
                <w:b/>
                <w:bCs/>
              </w:rPr>
            </w:pPr>
          </w:p>
        </w:tc>
        <w:tc>
          <w:tcPr>
            <w:tcW w:w="1661" w:type="dxa"/>
            <w:gridSpan w:val="2"/>
            <w:tcBorders>
              <w:top w:val="nil"/>
              <w:left w:val="nil"/>
              <w:bottom w:val="nil"/>
              <w:right w:val="nil"/>
            </w:tcBorders>
            <w:shd w:val="clear" w:color="auto" w:fill="auto"/>
            <w:noWrap/>
            <w:vAlign w:val="bottom"/>
            <w:hideMark/>
          </w:tcPr>
          <w:p w14:paraId="3B296131" w14:textId="77777777" w:rsidR="004E0D59" w:rsidRPr="004E0D59" w:rsidRDefault="004E0D59" w:rsidP="004E0D59">
            <w:pPr>
              <w:spacing w:after="0" w:line="360" w:lineRule="auto"/>
            </w:pPr>
          </w:p>
        </w:tc>
      </w:tr>
      <w:tr w:rsidR="004E0D59" w:rsidRPr="004E0D59" w14:paraId="74E0CD25" w14:textId="77777777" w:rsidTr="005F4C23">
        <w:trPr>
          <w:trHeight w:val="297"/>
        </w:trPr>
        <w:tc>
          <w:tcPr>
            <w:tcW w:w="4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31C2E1" w14:textId="77777777" w:rsidR="004E0D59" w:rsidRPr="004E0D59" w:rsidRDefault="004E0D59" w:rsidP="004E0D59">
            <w:pPr>
              <w:spacing w:after="0" w:line="360" w:lineRule="auto"/>
              <w:rPr>
                <w:b/>
                <w:bCs/>
              </w:rPr>
            </w:pPr>
            <w:r w:rsidRPr="004E0D59">
              <w:rPr>
                <w:b/>
                <w:bCs/>
              </w:rPr>
              <w:t>Characteristics</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0E1817" w14:textId="77777777" w:rsidR="004E0D59" w:rsidRPr="004E0D59" w:rsidRDefault="004E0D59" w:rsidP="004E0D59">
            <w:pPr>
              <w:spacing w:after="0" w:line="360" w:lineRule="auto"/>
              <w:rPr>
                <w:b/>
                <w:bCs/>
              </w:rPr>
            </w:pPr>
            <w:r w:rsidRPr="004E0D59">
              <w:rPr>
                <w:b/>
                <w:bCs/>
              </w:rPr>
              <w:t>HeLP Schools</w:t>
            </w:r>
          </w:p>
        </w:tc>
        <w:tc>
          <w:tcPr>
            <w:tcW w:w="14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BF08D8" w14:textId="77777777" w:rsidR="004E0D59" w:rsidRPr="004E0D59" w:rsidRDefault="004E0D59" w:rsidP="004E0D59">
            <w:pPr>
              <w:spacing w:after="0" w:line="360" w:lineRule="auto"/>
              <w:rPr>
                <w:b/>
                <w:bCs/>
              </w:rPr>
            </w:pPr>
            <w:r w:rsidRPr="004E0D59">
              <w:rPr>
                <w:b/>
                <w:bCs/>
              </w:rPr>
              <w:t>Devon Schools</w:t>
            </w:r>
          </w:p>
        </w:tc>
        <w:tc>
          <w:tcPr>
            <w:tcW w:w="12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C2FBD1" w14:textId="16F9C085" w:rsidR="004E0D59" w:rsidRPr="004E0D59" w:rsidRDefault="004E0D59" w:rsidP="00931E9F">
            <w:pPr>
              <w:spacing w:after="0" w:line="360" w:lineRule="auto"/>
              <w:rPr>
                <w:b/>
                <w:bCs/>
              </w:rPr>
            </w:pPr>
            <w:r w:rsidRPr="004E0D59">
              <w:rPr>
                <w:b/>
                <w:bCs/>
              </w:rPr>
              <w:t>Schools in England</w:t>
            </w:r>
            <w:r w:rsidR="00C752D5">
              <w:rPr>
                <w:b/>
                <w:bCs/>
              </w:rPr>
              <w:t xml:space="preserve"> </w:t>
            </w:r>
            <w:r w:rsidR="00C752D5" w:rsidRPr="00584D9E">
              <w:rPr>
                <w:b/>
              </w:rPr>
              <w:fldChar w:fldCharType="begin"/>
            </w:r>
            <w:r w:rsidR="00931E9F">
              <w:rPr>
                <w:b/>
              </w:rPr>
              <w:instrText xml:space="preserve"> ADDIN EN.CITE &lt;EndNote&gt;&lt;Cite ExcludeAuth="1" ExcludeYear="1"&gt;&lt;RecNum&gt;5723&lt;/RecNum&gt;&lt;DisplayText&gt;&lt;style face="superscript"&gt;53&lt;/style&gt;&lt;/DisplayText&gt;&lt;record&gt;&lt;rec-number&gt;5723&lt;/rec-number&gt;&lt;foreign-keys&gt;&lt;key app="EN" db-id="2ewa9rrvjsdsawep2vpx5x97eedzzvxx5rta" timestamp="1478618136"&gt;5723&lt;/key&gt;&lt;/foreign-keys&gt;&lt;ref-type name="Web Page"&gt;12&lt;/ref-type&gt;&lt;contributors&gt;&lt;authors&gt;&lt;author&gt;UK Government, &lt;/author&gt;&lt;/authors&gt;&lt;/contributors&gt;&lt;titles&gt;&lt;title&gt;Compare school and college performance&lt;/title&gt;&lt;/titles&gt;&lt;number&gt;24 Oct 2016&lt;/number&gt;&lt;dates&gt;&lt;/dates&gt;&lt;pub-location&gt;Government Website&lt;/pub-location&gt;&lt;urls&gt;&lt;related-urls&gt;&lt;url&gt;https://www.compare-school-performance.service.gov.uk/download-data&lt;/url&gt;&lt;/related-urls&gt;&lt;/urls&gt;&lt;/record&gt;&lt;/Cite&gt;&lt;/EndNote&gt;</w:instrText>
            </w:r>
            <w:r w:rsidR="00C752D5" w:rsidRPr="00584D9E">
              <w:rPr>
                <w:b/>
              </w:rPr>
              <w:fldChar w:fldCharType="separate"/>
            </w:r>
            <w:r w:rsidR="008C43BF" w:rsidRPr="008C43BF">
              <w:rPr>
                <w:b/>
                <w:noProof/>
                <w:vertAlign w:val="superscript"/>
              </w:rPr>
              <w:t>53</w:t>
            </w:r>
            <w:r w:rsidR="00C752D5" w:rsidRPr="00584D9E">
              <w:rPr>
                <w:b/>
              </w:rPr>
              <w:fldChar w:fldCharType="end"/>
            </w:r>
          </w:p>
        </w:tc>
        <w:tc>
          <w:tcPr>
            <w:tcW w:w="1661" w:type="dxa"/>
            <w:gridSpan w:val="2"/>
            <w:tcBorders>
              <w:top w:val="nil"/>
              <w:left w:val="single" w:sz="4" w:space="0" w:color="auto"/>
              <w:bottom w:val="nil"/>
              <w:right w:val="nil"/>
            </w:tcBorders>
            <w:shd w:val="clear" w:color="auto" w:fill="auto"/>
            <w:noWrap/>
            <w:vAlign w:val="bottom"/>
            <w:hideMark/>
          </w:tcPr>
          <w:p w14:paraId="4043675A" w14:textId="77777777" w:rsidR="004E0D59" w:rsidRPr="004E0D59" w:rsidRDefault="004E0D59" w:rsidP="004E0D59">
            <w:pPr>
              <w:spacing w:after="0" w:line="360" w:lineRule="auto"/>
              <w:rPr>
                <w:b/>
                <w:bCs/>
              </w:rPr>
            </w:pPr>
          </w:p>
        </w:tc>
      </w:tr>
      <w:tr w:rsidR="004E0D59" w:rsidRPr="004E0D59" w14:paraId="7A336387" w14:textId="77777777" w:rsidTr="005F4C23">
        <w:trPr>
          <w:trHeight w:val="284"/>
        </w:trPr>
        <w:tc>
          <w:tcPr>
            <w:tcW w:w="46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E2200" w14:textId="77777777" w:rsidR="004E0D59" w:rsidRPr="004E0D59" w:rsidRDefault="004E0D59" w:rsidP="004E0D59">
            <w:pPr>
              <w:spacing w:after="0" w:line="360" w:lineRule="auto"/>
            </w:pPr>
            <w:r w:rsidRPr="004E0D59">
              <w:t>% of children eligible for free school meals</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14:paraId="760B3961" w14:textId="77777777" w:rsidR="004E0D59" w:rsidRPr="004E0D59" w:rsidRDefault="004E0D59" w:rsidP="004E0D59">
            <w:pPr>
              <w:spacing w:after="0" w:line="360" w:lineRule="auto"/>
            </w:pPr>
            <w:r w:rsidRPr="004E0D59">
              <w:t>20</w:t>
            </w:r>
          </w:p>
        </w:tc>
        <w:tc>
          <w:tcPr>
            <w:tcW w:w="1497" w:type="dxa"/>
            <w:tcBorders>
              <w:top w:val="single" w:sz="4" w:space="0" w:color="auto"/>
              <w:left w:val="nil"/>
              <w:bottom w:val="single" w:sz="4" w:space="0" w:color="auto"/>
              <w:right w:val="single" w:sz="4" w:space="0" w:color="auto"/>
            </w:tcBorders>
            <w:shd w:val="clear" w:color="auto" w:fill="auto"/>
            <w:noWrap/>
            <w:vAlign w:val="bottom"/>
            <w:hideMark/>
          </w:tcPr>
          <w:p w14:paraId="27A54736" w14:textId="77777777" w:rsidR="004E0D59" w:rsidRPr="004E0D59" w:rsidRDefault="004E0D59" w:rsidP="004E0D59">
            <w:pPr>
              <w:spacing w:after="0" w:line="360" w:lineRule="auto"/>
            </w:pPr>
            <w:r w:rsidRPr="004E0D59">
              <w:t>12.7</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14:paraId="0AA99798" w14:textId="77777777" w:rsidR="004E0D59" w:rsidRPr="004E0D59" w:rsidRDefault="004E0D59" w:rsidP="004E0D59">
            <w:pPr>
              <w:spacing w:after="0" w:line="360" w:lineRule="auto"/>
            </w:pPr>
            <w:r w:rsidRPr="004E0D59">
              <w:t>19</w:t>
            </w:r>
          </w:p>
        </w:tc>
        <w:tc>
          <w:tcPr>
            <w:tcW w:w="1661" w:type="dxa"/>
            <w:gridSpan w:val="2"/>
            <w:tcBorders>
              <w:top w:val="nil"/>
              <w:left w:val="nil"/>
              <w:bottom w:val="nil"/>
              <w:right w:val="nil"/>
            </w:tcBorders>
            <w:shd w:val="clear" w:color="auto" w:fill="auto"/>
            <w:noWrap/>
            <w:vAlign w:val="bottom"/>
            <w:hideMark/>
          </w:tcPr>
          <w:p w14:paraId="272965CE" w14:textId="77777777" w:rsidR="004E0D59" w:rsidRPr="004E0D59" w:rsidRDefault="004E0D59" w:rsidP="004E0D59">
            <w:pPr>
              <w:spacing w:after="0" w:line="360" w:lineRule="auto"/>
            </w:pPr>
          </w:p>
        </w:tc>
      </w:tr>
      <w:tr w:rsidR="004E0D59" w:rsidRPr="004E0D59" w14:paraId="36F05D7A" w14:textId="77777777" w:rsidTr="005F4C23">
        <w:trPr>
          <w:trHeight w:val="284"/>
        </w:trPr>
        <w:tc>
          <w:tcPr>
            <w:tcW w:w="4662" w:type="dxa"/>
            <w:tcBorders>
              <w:top w:val="nil"/>
              <w:left w:val="single" w:sz="4" w:space="0" w:color="auto"/>
              <w:bottom w:val="single" w:sz="4" w:space="0" w:color="auto"/>
              <w:right w:val="single" w:sz="4" w:space="0" w:color="auto"/>
            </w:tcBorders>
            <w:shd w:val="clear" w:color="auto" w:fill="auto"/>
            <w:noWrap/>
            <w:vAlign w:val="center"/>
            <w:hideMark/>
          </w:tcPr>
          <w:p w14:paraId="207E2E20" w14:textId="77777777" w:rsidR="004E0D59" w:rsidRPr="004E0D59" w:rsidRDefault="004E0D59" w:rsidP="004E0D59">
            <w:pPr>
              <w:spacing w:after="0" w:line="360" w:lineRule="auto"/>
            </w:pPr>
            <w:r w:rsidRPr="004E0D59">
              <w:t>Average number pupils/ school</w:t>
            </w:r>
          </w:p>
        </w:tc>
        <w:tc>
          <w:tcPr>
            <w:tcW w:w="1406" w:type="dxa"/>
            <w:tcBorders>
              <w:top w:val="nil"/>
              <w:left w:val="nil"/>
              <w:bottom w:val="single" w:sz="4" w:space="0" w:color="auto"/>
              <w:right w:val="single" w:sz="4" w:space="0" w:color="auto"/>
            </w:tcBorders>
            <w:shd w:val="clear" w:color="auto" w:fill="auto"/>
            <w:noWrap/>
            <w:vAlign w:val="bottom"/>
            <w:hideMark/>
          </w:tcPr>
          <w:p w14:paraId="23BC53AC" w14:textId="77777777" w:rsidR="004E0D59" w:rsidRPr="004E0D59" w:rsidRDefault="004E0D59" w:rsidP="004E0D59">
            <w:pPr>
              <w:spacing w:after="0" w:line="360" w:lineRule="auto"/>
            </w:pPr>
            <w:r w:rsidRPr="004E0D59">
              <w:t>306</w:t>
            </w:r>
          </w:p>
        </w:tc>
        <w:tc>
          <w:tcPr>
            <w:tcW w:w="1497" w:type="dxa"/>
            <w:tcBorders>
              <w:top w:val="nil"/>
              <w:left w:val="nil"/>
              <w:bottom w:val="single" w:sz="4" w:space="0" w:color="auto"/>
              <w:right w:val="single" w:sz="4" w:space="0" w:color="auto"/>
            </w:tcBorders>
            <w:shd w:val="clear" w:color="000000" w:fill="FFFFFF"/>
            <w:noWrap/>
            <w:vAlign w:val="bottom"/>
            <w:hideMark/>
          </w:tcPr>
          <w:p w14:paraId="0AE2C35B" w14:textId="77777777" w:rsidR="004E0D59" w:rsidRPr="004E0D59" w:rsidRDefault="004E0D59" w:rsidP="004E0D59">
            <w:pPr>
              <w:spacing w:after="0" w:line="360" w:lineRule="auto"/>
            </w:pPr>
            <w:r w:rsidRPr="004E0D59">
              <w:t>168</w:t>
            </w:r>
          </w:p>
        </w:tc>
        <w:tc>
          <w:tcPr>
            <w:tcW w:w="1274" w:type="dxa"/>
            <w:tcBorders>
              <w:top w:val="nil"/>
              <w:left w:val="nil"/>
              <w:bottom w:val="single" w:sz="4" w:space="0" w:color="auto"/>
              <w:right w:val="single" w:sz="4" w:space="0" w:color="auto"/>
            </w:tcBorders>
            <w:shd w:val="clear" w:color="auto" w:fill="auto"/>
            <w:noWrap/>
            <w:vAlign w:val="bottom"/>
            <w:hideMark/>
          </w:tcPr>
          <w:p w14:paraId="386D33AE" w14:textId="77777777" w:rsidR="004E0D59" w:rsidRPr="004E0D59" w:rsidRDefault="004E0D59" w:rsidP="004E0D59">
            <w:pPr>
              <w:spacing w:after="0" w:line="360" w:lineRule="auto"/>
            </w:pPr>
            <w:r w:rsidRPr="004E0D59">
              <w:t>251</w:t>
            </w:r>
          </w:p>
        </w:tc>
        <w:tc>
          <w:tcPr>
            <w:tcW w:w="1661" w:type="dxa"/>
            <w:gridSpan w:val="2"/>
            <w:tcBorders>
              <w:top w:val="nil"/>
              <w:left w:val="nil"/>
              <w:bottom w:val="nil"/>
              <w:right w:val="nil"/>
            </w:tcBorders>
            <w:shd w:val="clear" w:color="auto" w:fill="auto"/>
            <w:noWrap/>
            <w:vAlign w:val="bottom"/>
            <w:hideMark/>
          </w:tcPr>
          <w:p w14:paraId="506467D6" w14:textId="77777777" w:rsidR="004E0D59" w:rsidRPr="004E0D59" w:rsidRDefault="004E0D59" w:rsidP="004E0D59">
            <w:pPr>
              <w:spacing w:after="0" w:line="360" w:lineRule="auto"/>
            </w:pPr>
          </w:p>
        </w:tc>
      </w:tr>
      <w:tr w:rsidR="004E0D59" w:rsidRPr="004E0D59" w14:paraId="42829B02" w14:textId="77777777" w:rsidTr="005F4C23">
        <w:trPr>
          <w:trHeight w:val="284"/>
        </w:trPr>
        <w:tc>
          <w:tcPr>
            <w:tcW w:w="4662" w:type="dxa"/>
            <w:tcBorders>
              <w:top w:val="nil"/>
              <w:left w:val="single" w:sz="4" w:space="0" w:color="auto"/>
              <w:bottom w:val="single" w:sz="4" w:space="0" w:color="auto"/>
              <w:right w:val="single" w:sz="4" w:space="0" w:color="auto"/>
            </w:tcBorders>
            <w:shd w:val="clear" w:color="auto" w:fill="auto"/>
            <w:noWrap/>
            <w:vAlign w:val="center"/>
            <w:hideMark/>
          </w:tcPr>
          <w:p w14:paraId="3E3ED7E7" w14:textId="77777777" w:rsidR="004E0D59" w:rsidRPr="004E0D59" w:rsidRDefault="004E0D59" w:rsidP="004E0D59">
            <w:pPr>
              <w:spacing w:after="0" w:line="360" w:lineRule="auto"/>
            </w:pPr>
            <w:r w:rsidRPr="004E0D59">
              <w:t>% of children achieving Level 4 at Key Stage 2</w:t>
            </w:r>
          </w:p>
        </w:tc>
        <w:tc>
          <w:tcPr>
            <w:tcW w:w="1406" w:type="dxa"/>
            <w:tcBorders>
              <w:top w:val="nil"/>
              <w:left w:val="nil"/>
              <w:bottom w:val="single" w:sz="4" w:space="0" w:color="auto"/>
              <w:right w:val="single" w:sz="4" w:space="0" w:color="auto"/>
            </w:tcBorders>
            <w:shd w:val="clear" w:color="auto" w:fill="auto"/>
            <w:noWrap/>
            <w:vAlign w:val="bottom"/>
            <w:hideMark/>
          </w:tcPr>
          <w:p w14:paraId="0BED96CE" w14:textId="77777777" w:rsidR="004E0D59" w:rsidRPr="004E0D59" w:rsidRDefault="004E0D59" w:rsidP="004E0D59">
            <w:pPr>
              <w:spacing w:after="0" w:line="360" w:lineRule="auto"/>
            </w:pPr>
            <w:r w:rsidRPr="004E0D59">
              <w:t>79</w:t>
            </w:r>
          </w:p>
        </w:tc>
        <w:tc>
          <w:tcPr>
            <w:tcW w:w="1497" w:type="dxa"/>
            <w:tcBorders>
              <w:top w:val="nil"/>
              <w:left w:val="nil"/>
              <w:bottom w:val="single" w:sz="4" w:space="0" w:color="auto"/>
              <w:right w:val="single" w:sz="4" w:space="0" w:color="auto"/>
            </w:tcBorders>
            <w:shd w:val="clear" w:color="auto" w:fill="auto"/>
            <w:noWrap/>
            <w:vAlign w:val="bottom"/>
            <w:hideMark/>
          </w:tcPr>
          <w:p w14:paraId="34BF272A" w14:textId="77777777" w:rsidR="004E0D59" w:rsidRPr="004E0D59" w:rsidRDefault="004E0D59" w:rsidP="004E0D59">
            <w:pPr>
              <w:spacing w:after="0" w:line="360" w:lineRule="auto"/>
            </w:pPr>
            <w:r w:rsidRPr="004E0D59">
              <w:t>81</w:t>
            </w:r>
          </w:p>
        </w:tc>
        <w:tc>
          <w:tcPr>
            <w:tcW w:w="1274" w:type="dxa"/>
            <w:tcBorders>
              <w:top w:val="nil"/>
              <w:left w:val="nil"/>
              <w:bottom w:val="single" w:sz="4" w:space="0" w:color="auto"/>
              <w:right w:val="single" w:sz="4" w:space="0" w:color="auto"/>
            </w:tcBorders>
            <w:shd w:val="clear" w:color="auto" w:fill="auto"/>
            <w:noWrap/>
            <w:vAlign w:val="bottom"/>
            <w:hideMark/>
          </w:tcPr>
          <w:p w14:paraId="244E574B" w14:textId="77777777" w:rsidR="004E0D59" w:rsidRPr="004E0D59" w:rsidRDefault="004E0D59" w:rsidP="004E0D59">
            <w:pPr>
              <w:spacing w:after="0" w:line="360" w:lineRule="auto"/>
            </w:pPr>
            <w:r w:rsidRPr="004E0D59">
              <w:t>81</w:t>
            </w:r>
          </w:p>
        </w:tc>
        <w:tc>
          <w:tcPr>
            <w:tcW w:w="1661" w:type="dxa"/>
            <w:gridSpan w:val="2"/>
            <w:tcBorders>
              <w:top w:val="nil"/>
              <w:left w:val="nil"/>
              <w:bottom w:val="nil"/>
              <w:right w:val="nil"/>
            </w:tcBorders>
            <w:shd w:val="clear" w:color="auto" w:fill="auto"/>
            <w:noWrap/>
            <w:vAlign w:val="bottom"/>
            <w:hideMark/>
          </w:tcPr>
          <w:p w14:paraId="6C779456" w14:textId="77777777" w:rsidR="004E0D59" w:rsidRPr="004E0D59" w:rsidRDefault="004E0D59" w:rsidP="004E0D59">
            <w:pPr>
              <w:spacing w:after="0" w:line="360" w:lineRule="auto"/>
            </w:pPr>
          </w:p>
        </w:tc>
      </w:tr>
      <w:tr w:rsidR="004E0D59" w:rsidRPr="004E0D59" w14:paraId="21CDABA6" w14:textId="77777777" w:rsidTr="005F4C23">
        <w:trPr>
          <w:trHeight w:val="568"/>
        </w:trPr>
        <w:tc>
          <w:tcPr>
            <w:tcW w:w="4662" w:type="dxa"/>
            <w:tcBorders>
              <w:top w:val="nil"/>
              <w:left w:val="single" w:sz="4" w:space="0" w:color="auto"/>
              <w:bottom w:val="single" w:sz="4" w:space="0" w:color="auto"/>
              <w:right w:val="single" w:sz="4" w:space="0" w:color="auto"/>
            </w:tcBorders>
            <w:shd w:val="clear" w:color="auto" w:fill="auto"/>
            <w:vAlign w:val="center"/>
            <w:hideMark/>
          </w:tcPr>
          <w:p w14:paraId="278167A1" w14:textId="77777777" w:rsidR="004E0D59" w:rsidRPr="004E0D59" w:rsidRDefault="004E0D59" w:rsidP="004E0D59">
            <w:pPr>
              <w:spacing w:after="0" w:line="360" w:lineRule="auto"/>
            </w:pPr>
            <w:r w:rsidRPr="004E0D59">
              <w:t xml:space="preserve">Proportion of pupils with English as an Additional Language </w:t>
            </w:r>
          </w:p>
        </w:tc>
        <w:tc>
          <w:tcPr>
            <w:tcW w:w="1406" w:type="dxa"/>
            <w:tcBorders>
              <w:top w:val="nil"/>
              <w:left w:val="nil"/>
              <w:bottom w:val="single" w:sz="4" w:space="0" w:color="auto"/>
              <w:right w:val="single" w:sz="4" w:space="0" w:color="auto"/>
            </w:tcBorders>
            <w:shd w:val="clear" w:color="auto" w:fill="auto"/>
            <w:noWrap/>
            <w:vAlign w:val="bottom"/>
            <w:hideMark/>
          </w:tcPr>
          <w:p w14:paraId="2A716567" w14:textId="77777777" w:rsidR="004E0D59" w:rsidRPr="004E0D59" w:rsidRDefault="004E0D59" w:rsidP="004E0D59">
            <w:pPr>
              <w:spacing w:after="0" w:line="360" w:lineRule="auto"/>
            </w:pPr>
            <w:r w:rsidRPr="004E0D59">
              <w:t>4.1</w:t>
            </w:r>
          </w:p>
        </w:tc>
        <w:tc>
          <w:tcPr>
            <w:tcW w:w="1497" w:type="dxa"/>
            <w:tcBorders>
              <w:top w:val="nil"/>
              <w:left w:val="nil"/>
              <w:bottom w:val="single" w:sz="4" w:space="0" w:color="auto"/>
              <w:right w:val="single" w:sz="4" w:space="0" w:color="auto"/>
            </w:tcBorders>
            <w:shd w:val="clear" w:color="auto" w:fill="auto"/>
            <w:noWrap/>
            <w:vAlign w:val="bottom"/>
            <w:hideMark/>
          </w:tcPr>
          <w:p w14:paraId="5B4BF90F" w14:textId="77777777" w:rsidR="004E0D59" w:rsidRPr="004E0D59" w:rsidRDefault="004E0D59" w:rsidP="004E0D59">
            <w:pPr>
              <w:spacing w:after="0" w:line="360" w:lineRule="auto"/>
            </w:pPr>
            <w:r w:rsidRPr="004E0D59">
              <w:t>2.6</w:t>
            </w:r>
          </w:p>
        </w:tc>
        <w:tc>
          <w:tcPr>
            <w:tcW w:w="1274" w:type="dxa"/>
            <w:tcBorders>
              <w:top w:val="nil"/>
              <w:left w:val="nil"/>
              <w:bottom w:val="single" w:sz="4" w:space="0" w:color="auto"/>
              <w:right w:val="single" w:sz="4" w:space="0" w:color="auto"/>
            </w:tcBorders>
            <w:shd w:val="clear" w:color="auto" w:fill="auto"/>
            <w:noWrap/>
            <w:vAlign w:val="bottom"/>
            <w:hideMark/>
          </w:tcPr>
          <w:p w14:paraId="0C9E89B9" w14:textId="77777777" w:rsidR="004E0D59" w:rsidRPr="004E0D59" w:rsidRDefault="004E0D59" w:rsidP="004E0D59">
            <w:pPr>
              <w:spacing w:after="0" w:line="360" w:lineRule="auto"/>
            </w:pPr>
            <w:r w:rsidRPr="004E0D59">
              <w:t>16.8</w:t>
            </w:r>
          </w:p>
        </w:tc>
        <w:tc>
          <w:tcPr>
            <w:tcW w:w="1661" w:type="dxa"/>
            <w:gridSpan w:val="2"/>
            <w:tcBorders>
              <w:top w:val="nil"/>
              <w:left w:val="nil"/>
              <w:bottom w:val="nil"/>
              <w:right w:val="nil"/>
            </w:tcBorders>
            <w:shd w:val="clear" w:color="auto" w:fill="auto"/>
            <w:noWrap/>
            <w:vAlign w:val="bottom"/>
            <w:hideMark/>
          </w:tcPr>
          <w:p w14:paraId="39162672" w14:textId="77777777" w:rsidR="004E0D59" w:rsidRPr="004E0D59" w:rsidRDefault="004E0D59" w:rsidP="004E0D59">
            <w:pPr>
              <w:spacing w:after="0" w:line="360" w:lineRule="auto"/>
            </w:pPr>
          </w:p>
        </w:tc>
      </w:tr>
      <w:tr w:rsidR="004E0D59" w:rsidRPr="004E0D59" w14:paraId="48DA6798" w14:textId="77777777" w:rsidTr="005F4C23">
        <w:trPr>
          <w:trHeight w:val="284"/>
        </w:trPr>
        <w:tc>
          <w:tcPr>
            <w:tcW w:w="4662" w:type="dxa"/>
            <w:tcBorders>
              <w:top w:val="nil"/>
              <w:left w:val="nil"/>
              <w:bottom w:val="nil"/>
              <w:right w:val="nil"/>
            </w:tcBorders>
            <w:shd w:val="clear" w:color="auto" w:fill="auto"/>
            <w:noWrap/>
            <w:vAlign w:val="bottom"/>
          </w:tcPr>
          <w:p w14:paraId="6A3EB6AD" w14:textId="77777777" w:rsidR="004E0D59" w:rsidRPr="004E0D59" w:rsidRDefault="004E0D59" w:rsidP="004E0D59">
            <w:pPr>
              <w:spacing w:after="0" w:line="360" w:lineRule="auto"/>
            </w:pPr>
          </w:p>
        </w:tc>
        <w:tc>
          <w:tcPr>
            <w:tcW w:w="1406" w:type="dxa"/>
            <w:tcBorders>
              <w:top w:val="nil"/>
              <w:left w:val="nil"/>
              <w:bottom w:val="nil"/>
              <w:right w:val="nil"/>
            </w:tcBorders>
            <w:shd w:val="clear" w:color="auto" w:fill="auto"/>
            <w:noWrap/>
            <w:vAlign w:val="bottom"/>
            <w:hideMark/>
          </w:tcPr>
          <w:p w14:paraId="02F2ED9B" w14:textId="77777777" w:rsidR="004E0D59" w:rsidRPr="004E0D59" w:rsidRDefault="004E0D59" w:rsidP="004E0D59">
            <w:pPr>
              <w:spacing w:after="0" w:line="360" w:lineRule="auto"/>
            </w:pPr>
          </w:p>
        </w:tc>
        <w:tc>
          <w:tcPr>
            <w:tcW w:w="1497" w:type="dxa"/>
            <w:tcBorders>
              <w:top w:val="nil"/>
              <w:left w:val="nil"/>
              <w:bottom w:val="nil"/>
              <w:right w:val="nil"/>
            </w:tcBorders>
            <w:shd w:val="clear" w:color="auto" w:fill="auto"/>
            <w:noWrap/>
            <w:vAlign w:val="bottom"/>
            <w:hideMark/>
          </w:tcPr>
          <w:p w14:paraId="3C921638" w14:textId="77777777" w:rsidR="004E0D59" w:rsidRPr="004E0D59" w:rsidRDefault="004E0D59" w:rsidP="004E0D59">
            <w:pPr>
              <w:spacing w:after="0" w:line="360" w:lineRule="auto"/>
            </w:pPr>
          </w:p>
        </w:tc>
        <w:tc>
          <w:tcPr>
            <w:tcW w:w="1274" w:type="dxa"/>
            <w:tcBorders>
              <w:top w:val="nil"/>
              <w:left w:val="nil"/>
              <w:bottom w:val="nil"/>
              <w:right w:val="nil"/>
            </w:tcBorders>
            <w:shd w:val="clear" w:color="auto" w:fill="auto"/>
            <w:noWrap/>
            <w:vAlign w:val="bottom"/>
            <w:hideMark/>
          </w:tcPr>
          <w:p w14:paraId="4B6B440D" w14:textId="77777777" w:rsidR="004E0D59" w:rsidRPr="004E0D59" w:rsidRDefault="004E0D59" w:rsidP="004E0D59">
            <w:pPr>
              <w:spacing w:after="0" w:line="360" w:lineRule="auto"/>
            </w:pPr>
          </w:p>
        </w:tc>
        <w:tc>
          <w:tcPr>
            <w:tcW w:w="1661" w:type="dxa"/>
            <w:gridSpan w:val="2"/>
            <w:tcBorders>
              <w:top w:val="nil"/>
              <w:left w:val="nil"/>
              <w:bottom w:val="nil"/>
              <w:right w:val="nil"/>
            </w:tcBorders>
            <w:shd w:val="clear" w:color="auto" w:fill="auto"/>
            <w:noWrap/>
            <w:vAlign w:val="bottom"/>
            <w:hideMark/>
          </w:tcPr>
          <w:p w14:paraId="6D1E922B" w14:textId="77777777" w:rsidR="004E0D59" w:rsidRPr="004E0D59" w:rsidRDefault="004E0D59" w:rsidP="004E0D59">
            <w:pPr>
              <w:spacing w:after="0" w:line="360" w:lineRule="auto"/>
            </w:pPr>
          </w:p>
        </w:tc>
      </w:tr>
      <w:tr w:rsidR="004E0D59" w:rsidRPr="004E0D59" w14:paraId="4DC49693" w14:textId="77777777" w:rsidTr="005F4C23">
        <w:trPr>
          <w:trHeight w:val="284"/>
        </w:trPr>
        <w:tc>
          <w:tcPr>
            <w:tcW w:w="4662" w:type="dxa"/>
            <w:tcBorders>
              <w:top w:val="nil"/>
              <w:left w:val="nil"/>
              <w:bottom w:val="nil"/>
              <w:right w:val="nil"/>
            </w:tcBorders>
            <w:shd w:val="clear" w:color="auto" w:fill="auto"/>
            <w:noWrap/>
            <w:vAlign w:val="bottom"/>
            <w:hideMark/>
          </w:tcPr>
          <w:p w14:paraId="0F16F53E" w14:textId="77777777" w:rsidR="004E0D59" w:rsidRPr="004E0D59" w:rsidRDefault="004E0D59" w:rsidP="004E0D59">
            <w:pPr>
              <w:spacing w:after="0" w:line="360" w:lineRule="auto"/>
            </w:pPr>
          </w:p>
        </w:tc>
        <w:tc>
          <w:tcPr>
            <w:tcW w:w="1406" w:type="dxa"/>
            <w:tcBorders>
              <w:top w:val="nil"/>
              <w:left w:val="nil"/>
              <w:bottom w:val="nil"/>
              <w:right w:val="nil"/>
            </w:tcBorders>
            <w:shd w:val="clear" w:color="auto" w:fill="auto"/>
            <w:noWrap/>
            <w:vAlign w:val="bottom"/>
            <w:hideMark/>
          </w:tcPr>
          <w:p w14:paraId="7ECB03DE" w14:textId="77777777" w:rsidR="004E0D59" w:rsidRPr="004E0D59" w:rsidRDefault="004E0D59" w:rsidP="004E0D59">
            <w:pPr>
              <w:spacing w:after="0" w:line="360" w:lineRule="auto"/>
            </w:pPr>
          </w:p>
        </w:tc>
        <w:tc>
          <w:tcPr>
            <w:tcW w:w="1497" w:type="dxa"/>
            <w:tcBorders>
              <w:top w:val="nil"/>
              <w:left w:val="nil"/>
              <w:bottom w:val="nil"/>
              <w:right w:val="nil"/>
            </w:tcBorders>
            <w:shd w:val="clear" w:color="auto" w:fill="auto"/>
            <w:noWrap/>
            <w:vAlign w:val="bottom"/>
            <w:hideMark/>
          </w:tcPr>
          <w:p w14:paraId="4D604C44" w14:textId="77777777" w:rsidR="004E0D59" w:rsidRPr="004E0D59" w:rsidRDefault="004E0D59" w:rsidP="004E0D59">
            <w:pPr>
              <w:spacing w:after="0" w:line="360" w:lineRule="auto"/>
            </w:pPr>
          </w:p>
        </w:tc>
        <w:tc>
          <w:tcPr>
            <w:tcW w:w="1894" w:type="dxa"/>
            <w:gridSpan w:val="2"/>
            <w:tcBorders>
              <w:top w:val="nil"/>
              <w:left w:val="nil"/>
              <w:bottom w:val="nil"/>
              <w:right w:val="nil"/>
            </w:tcBorders>
            <w:shd w:val="clear" w:color="auto" w:fill="auto"/>
            <w:noWrap/>
            <w:vAlign w:val="bottom"/>
            <w:hideMark/>
          </w:tcPr>
          <w:p w14:paraId="025AA6D9" w14:textId="77777777" w:rsidR="004E0D59" w:rsidRPr="004E0D59" w:rsidRDefault="004E0D59" w:rsidP="004E0D59">
            <w:pPr>
              <w:spacing w:after="0" w:line="360" w:lineRule="auto"/>
            </w:pPr>
          </w:p>
        </w:tc>
        <w:tc>
          <w:tcPr>
            <w:tcW w:w="1041" w:type="dxa"/>
            <w:tcBorders>
              <w:top w:val="nil"/>
              <w:left w:val="nil"/>
              <w:bottom w:val="nil"/>
              <w:right w:val="nil"/>
            </w:tcBorders>
            <w:shd w:val="clear" w:color="auto" w:fill="auto"/>
            <w:noWrap/>
            <w:vAlign w:val="bottom"/>
            <w:hideMark/>
          </w:tcPr>
          <w:p w14:paraId="6ABF73A6" w14:textId="77777777" w:rsidR="004E0D59" w:rsidRPr="004E0D59" w:rsidRDefault="004E0D59" w:rsidP="004E0D59">
            <w:pPr>
              <w:spacing w:after="0" w:line="360" w:lineRule="auto"/>
            </w:pPr>
          </w:p>
        </w:tc>
      </w:tr>
    </w:tbl>
    <w:p w14:paraId="09D16C22" w14:textId="6548212D" w:rsidR="005F4C23" w:rsidRDefault="00337CF6" w:rsidP="004E0D59">
      <w:pPr>
        <w:spacing w:after="0" w:line="360" w:lineRule="auto"/>
      </w:pPr>
      <w:r>
        <w:t>Due to the inclusion criteria for schools for this study (at least one Year 5 class of &gt;20 pupils and half of schools having</w:t>
      </w:r>
      <w:r w:rsidR="00712BAF">
        <w:t xml:space="preserve"> ≥</w:t>
      </w:r>
      <w:r w:rsidR="00DB5C27">
        <w:t xml:space="preserve"> </w:t>
      </w:r>
      <w:r>
        <w:t>19% pupils eligible for free school meals) HeLP schools are larger and more deprived that average primary schools in Devon. Although, broadly similar to other primary schools in Devon, HeLP schools have a considerably lower proportion of pupils with English as an Additional Language compared with primary schools in England in general.</w:t>
      </w:r>
    </w:p>
    <w:p w14:paraId="7B96F315" w14:textId="77777777" w:rsidR="005F4C23" w:rsidRDefault="005F4C23">
      <w:r>
        <w:br w:type="page"/>
      </w:r>
    </w:p>
    <w:p w14:paraId="7B1A3FBF" w14:textId="337153BA" w:rsidR="004E0D59" w:rsidRDefault="00736DCE" w:rsidP="004E0D59">
      <w:pPr>
        <w:spacing w:after="0" w:line="360" w:lineRule="auto"/>
      </w:pPr>
      <w:r>
        <w:lastRenderedPageBreak/>
        <w:t xml:space="preserve">Table </w:t>
      </w:r>
      <w:r w:rsidR="00BA12B1">
        <w:t>5</w:t>
      </w:r>
      <w:r>
        <w:t xml:space="preserve"> </w:t>
      </w:r>
      <w:r w:rsidR="004E0D59" w:rsidRPr="004E0D59">
        <w:t xml:space="preserve">shows the school level baseline characteristics. In the intervention group, there were an equal number of schools with single and multiple </w:t>
      </w:r>
      <w:r w:rsidR="00ED2FC2">
        <w:t>Y</w:t>
      </w:r>
      <w:r w:rsidR="004E0D59" w:rsidRPr="004E0D59">
        <w:t xml:space="preserve">ear 5 classes, while in the control group, nine out of the 16 schools had single </w:t>
      </w:r>
      <w:r w:rsidR="00ED2FC2">
        <w:t>Y</w:t>
      </w:r>
      <w:r w:rsidR="004E0D59" w:rsidRPr="004E0D59">
        <w:t>ear 5 classes. In both groups, 19% or more of the children were eligible for free school meals in seven out of 16 schools. The median school-level index of multiple deprivation scores were comparable between the allocated groups.</w:t>
      </w:r>
    </w:p>
    <w:p w14:paraId="071EC05A" w14:textId="77777777" w:rsidR="000A13E3" w:rsidRPr="004E0D59" w:rsidRDefault="000A13E3" w:rsidP="004E0D59">
      <w:pPr>
        <w:spacing w:after="0" w:line="360" w:lineRule="auto"/>
      </w:pPr>
    </w:p>
    <w:p w14:paraId="50F1111A" w14:textId="1DA5C2AA" w:rsidR="009B613D" w:rsidRPr="004E0D59" w:rsidRDefault="00736DCE" w:rsidP="009B613D">
      <w:pPr>
        <w:rPr>
          <w:rFonts w:cs="Times New Roman"/>
          <w:b/>
          <w:sz w:val="24"/>
          <w:szCs w:val="24"/>
        </w:rPr>
      </w:pPr>
      <w:r>
        <w:rPr>
          <w:rFonts w:cs="Times New Roman"/>
          <w:b/>
          <w:sz w:val="24"/>
          <w:szCs w:val="24"/>
        </w:rPr>
        <w:t>T</w:t>
      </w:r>
      <w:r w:rsidR="00C752D5">
        <w:rPr>
          <w:rFonts w:cs="Times New Roman"/>
          <w:b/>
          <w:sz w:val="24"/>
          <w:szCs w:val="24"/>
        </w:rPr>
        <w:t>ABLE</w:t>
      </w:r>
      <w:r>
        <w:rPr>
          <w:rFonts w:cs="Times New Roman"/>
          <w:b/>
          <w:sz w:val="24"/>
          <w:szCs w:val="24"/>
        </w:rPr>
        <w:t xml:space="preserve"> </w:t>
      </w:r>
      <w:r w:rsidR="00BA12B1">
        <w:rPr>
          <w:rFonts w:cs="Times New Roman"/>
          <w:b/>
          <w:sz w:val="24"/>
          <w:szCs w:val="24"/>
        </w:rPr>
        <w:t>5</w:t>
      </w:r>
      <w:r w:rsidR="00C752D5">
        <w:rPr>
          <w:rFonts w:cs="Times New Roman"/>
          <w:b/>
          <w:sz w:val="24"/>
          <w:szCs w:val="24"/>
        </w:rPr>
        <w:t xml:space="preserve"> </w:t>
      </w:r>
      <w:r w:rsidR="009B613D" w:rsidRPr="004E0D59">
        <w:rPr>
          <w:rFonts w:cs="Times New Roman"/>
          <w:b/>
          <w:sz w:val="24"/>
          <w:szCs w:val="24"/>
        </w:rPr>
        <w:t>Comparison of school level baseline characteristics by randomised group</w:t>
      </w:r>
    </w:p>
    <w:tbl>
      <w:tblPr>
        <w:tblW w:w="3254" w:type="dxa"/>
        <w:tblLook w:val="04A0" w:firstRow="1" w:lastRow="0" w:firstColumn="1" w:lastColumn="0" w:noHBand="0" w:noVBand="1"/>
      </w:tblPr>
      <w:tblGrid>
        <w:gridCol w:w="2546"/>
        <w:gridCol w:w="1701"/>
        <w:gridCol w:w="1701"/>
        <w:gridCol w:w="1701"/>
      </w:tblGrid>
      <w:tr w:rsidR="009B613D" w:rsidRPr="004E0D59" w14:paraId="01F2FEBE" w14:textId="77777777" w:rsidTr="00C44283">
        <w:trPr>
          <w:trHeight w:val="462"/>
        </w:trPr>
        <w:tc>
          <w:tcPr>
            <w:tcW w:w="2546" w:type="dxa"/>
            <w:tcBorders>
              <w:top w:val="nil"/>
              <w:left w:val="nil"/>
              <w:bottom w:val="nil"/>
              <w:right w:val="nil"/>
            </w:tcBorders>
            <w:shd w:val="clear" w:color="auto" w:fill="00CCFF"/>
            <w:noWrap/>
            <w:vAlign w:val="center"/>
            <w:hideMark/>
          </w:tcPr>
          <w:p w14:paraId="4B29E850" w14:textId="77777777" w:rsidR="009B613D" w:rsidRPr="004E0D59" w:rsidRDefault="009B613D" w:rsidP="00C44283">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 </w:t>
            </w:r>
          </w:p>
        </w:tc>
        <w:tc>
          <w:tcPr>
            <w:tcW w:w="1701" w:type="dxa"/>
            <w:tcBorders>
              <w:top w:val="nil"/>
              <w:left w:val="nil"/>
              <w:bottom w:val="nil"/>
              <w:right w:val="nil"/>
            </w:tcBorders>
            <w:shd w:val="clear" w:color="auto" w:fill="00CCFF"/>
            <w:vAlign w:val="center"/>
          </w:tcPr>
          <w:p w14:paraId="21C2250C" w14:textId="77777777" w:rsidR="009B613D" w:rsidRPr="004E0D59" w:rsidRDefault="009B613D" w:rsidP="00C44283">
            <w:pPr>
              <w:spacing w:after="0" w:line="240" w:lineRule="auto"/>
              <w:jc w:val="center"/>
              <w:rPr>
                <w:rFonts w:ascii="Calibri" w:eastAsia="Times New Roman" w:hAnsi="Calibri" w:cs="Times New Roman"/>
                <w:color w:val="000000"/>
              </w:rPr>
            </w:pPr>
            <w:r w:rsidRPr="004E0D59">
              <w:rPr>
                <w:rFonts w:ascii="Calibri" w:eastAsia="Times New Roman" w:hAnsi="Calibri" w:cs="Times New Roman"/>
                <w:color w:val="000000"/>
              </w:rPr>
              <w:t xml:space="preserve">Intervention </w:t>
            </w:r>
          </w:p>
        </w:tc>
        <w:tc>
          <w:tcPr>
            <w:tcW w:w="1701" w:type="dxa"/>
            <w:tcBorders>
              <w:top w:val="nil"/>
              <w:left w:val="nil"/>
              <w:bottom w:val="nil"/>
              <w:right w:val="nil"/>
            </w:tcBorders>
            <w:shd w:val="clear" w:color="auto" w:fill="00CCFF"/>
            <w:vAlign w:val="center"/>
          </w:tcPr>
          <w:p w14:paraId="30140AFD" w14:textId="77777777" w:rsidR="009B613D" w:rsidRPr="004E0D59" w:rsidRDefault="009B613D" w:rsidP="00C44283">
            <w:pPr>
              <w:spacing w:after="0" w:line="240" w:lineRule="auto"/>
              <w:jc w:val="center"/>
              <w:rPr>
                <w:rFonts w:ascii="Calibri" w:eastAsia="Times New Roman" w:hAnsi="Calibri" w:cs="Times New Roman"/>
                <w:color w:val="000000"/>
              </w:rPr>
            </w:pPr>
            <w:r w:rsidRPr="004E0D59">
              <w:rPr>
                <w:rFonts w:ascii="Calibri" w:eastAsia="Times New Roman" w:hAnsi="Calibri" w:cs="Times New Roman"/>
                <w:color w:val="000000"/>
              </w:rPr>
              <w:t>Control</w:t>
            </w:r>
          </w:p>
        </w:tc>
        <w:tc>
          <w:tcPr>
            <w:tcW w:w="1701" w:type="dxa"/>
            <w:tcBorders>
              <w:top w:val="nil"/>
              <w:left w:val="nil"/>
              <w:bottom w:val="nil"/>
              <w:right w:val="nil"/>
            </w:tcBorders>
            <w:shd w:val="clear" w:color="auto" w:fill="00CCFF"/>
            <w:vAlign w:val="center"/>
          </w:tcPr>
          <w:p w14:paraId="0BF64648" w14:textId="77777777" w:rsidR="009B613D" w:rsidRPr="004E0D59" w:rsidRDefault="009B613D" w:rsidP="00C44283">
            <w:pPr>
              <w:spacing w:after="0" w:line="240" w:lineRule="auto"/>
              <w:jc w:val="center"/>
              <w:rPr>
                <w:rFonts w:ascii="Calibri" w:eastAsia="Times New Roman" w:hAnsi="Calibri" w:cs="Times New Roman"/>
                <w:color w:val="000000"/>
              </w:rPr>
            </w:pPr>
            <w:r w:rsidRPr="004E0D59">
              <w:rPr>
                <w:rFonts w:ascii="Calibri" w:eastAsia="Times New Roman" w:hAnsi="Calibri" w:cs="Times New Roman"/>
                <w:color w:val="000000"/>
              </w:rPr>
              <w:t>All</w:t>
            </w:r>
          </w:p>
        </w:tc>
      </w:tr>
      <w:tr w:rsidR="009B613D" w:rsidRPr="004E0D59" w14:paraId="36B4B38F" w14:textId="77777777" w:rsidTr="00C44283">
        <w:trPr>
          <w:trHeight w:val="462"/>
        </w:trPr>
        <w:tc>
          <w:tcPr>
            <w:tcW w:w="2546" w:type="dxa"/>
            <w:tcBorders>
              <w:top w:val="nil"/>
              <w:left w:val="nil"/>
              <w:bottom w:val="nil"/>
              <w:right w:val="nil"/>
            </w:tcBorders>
            <w:shd w:val="clear" w:color="auto" w:fill="00CCFF"/>
            <w:noWrap/>
            <w:vAlign w:val="center"/>
          </w:tcPr>
          <w:p w14:paraId="6223768B" w14:textId="77777777" w:rsidR="009B613D" w:rsidRPr="004E0D59" w:rsidRDefault="009B613D" w:rsidP="00C44283">
            <w:pPr>
              <w:spacing w:after="0" w:line="240" w:lineRule="auto"/>
              <w:jc w:val="center"/>
              <w:rPr>
                <w:rFonts w:ascii="Calibri" w:eastAsia="Times New Roman" w:hAnsi="Calibri" w:cs="Times New Roman"/>
                <w:color w:val="000000"/>
              </w:rPr>
            </w:pPr>
          </w:p>
        </w:tc>
        <w:tc>
          <w:tcPr>
            <w:tcW w:w="1701" w:type="dxa"/>
            <w:tcBorders>
              <w:top w:val="nil"/>
              <w:left w:val="nil"/>
              <w:bottom w:val="nil"/>
              <w:right w:val="nil"/>
            </w:tcBorders>
            <w:shd w:val="clear" w:color="auto" w:fill="00CCFF"/>
            <w:vAlign w:val="center"/>
          </w:tcPr>
          <w:p w14:paraId="0587A332" w14:textId="77777777" w:rsidR="009B613D" w:rsidRPr="004E0D59" w:rsidRDefault="009B613D" w:rsidP="00C44283">
            <w:pPr>
              <w:spacing w:after="0" w:line="240" w:lineRule="auto"/>
              <w:jc w:val="center"/>
              <w:rPr>
                <w:rFonts w:ascii="Calibri" w:eastAsia="Times New Roman" w:hAnsi="Calibri" w:cs="Times New Roman"/>
                <w:color w:val="000000"/>
              </w:rPr>
            </w:pPr>
            <w:r w:rsidRPr="004E0D59">
              <w:rPr>
                <w:rFonts w:ascii="Calibri" w:eastAsia="Times New Roman" w:hAnsi="Calibri" w:cs="Times New Roman"/>
                <w:color w:val="000000"/>
              </w:rPr>
              <w:t>N = 16</w:t>
            </w:r>
          </w:p>
        </w:tc>
        <w:tc>
          <w:tcPr>
            <w:tcW w:w="1701" w:type="dxa"/>
            <w:tcBorders>
              <w:top w:val="nil"/>
              <w:left w:val="nil"/>
              <w:bottom w:val="nil"/>
              <w:right w:val="nil"/>
            </w:tcBorders>
            <w:shd w:val="clear" w:color="auto" w:fill="00CCFF"/>
            <w:vAlign w:val="center"/>
          </w:tcPr>
          <w:p w14:paraId="3F8C6079" w14:textId="77777777" w:rsidR="009B613D" w:rsidRPr="004E0D59" w:rsidRDefault="009B613D" w:rsidP="00C44283">
            <w:pPr>
              <w:spacing w:after="0" w:line="240" w:lineRule="auto"/>
              <w:jc w:val="center"/>
              <w:rPr>
                <w:rFonts w:ascii="Calibri" w:eastAsia="Times New Roman" w:hAnsi="Calibri" w:cs="Times New Roman"/>
                <w:color w:val="000000"/>
              </w:rPr>
            </w:pPr>
            <w:r w:rsidRPr="004E0D59">
              <w:rPr>
                <w:rFonts w:ascii="Calibri" w:eastAsia="Times New Roman" w:hAnsi="Calibri" w:cs="Times New Roman"/>
                <w:color w:val="000000"/>
              </w:rPr>
              <w:t>N = 16</w:t>
            </w:r>
          </w:p>
        </w:tc>
        <w:tc>
          <w:tcPr>
            <w:tcW w:w="1701" w:type="dxa"/>
            <w:tcBorders>
              <w:top w:val="nil"/>
              <w:left w:val="nil"/>
              <w:bottom w:val="nil"/>
              <w:right w:val="nil"/>
            </w:tcBorders>
            <w:shd w:val="clear" w:color="auto" w:fill="00CCFF"/>
            <w:vAlign w:val="center"/>
          </w:tcPr>
          <w:p w14:paraId="075DDB5A" w14:textId="77777777" w:rsidR="009B613D" w:rsidRPr="004E0D59" w:rsidRDefault="009B613D" w:rsidP="00C44283">
            <w:pPr>
              <w:spacing w:after="0" w:line="240" w:lineRule="auto"/>
              <w:jc w:val="center"/>
              <w:rPr>
                <w:rFonts w:ascii="Calibri" w:eastAsia="Times New Roman" w:hAnsi="Calibri" w:cs="Times New Roman"/>
                <w:color w:val="000000"/>
              </w:rPr>
            </w:pPr>
            <w:r w:rsidRPr="004E0D59">
              <w:rPr>
                <w:rFonts w:ascii="Calibri" w:eastAsia="Times New Roman" w:hAnsi="Calibri" w:cs="Times New Roman"/>
                <w:color w:val="000000"/>
              </w:rPr>
              <w:t>N = 32</w:t>
            </w:r>
          </w:p>
        </w:tc>
      </w:tr>
      <w:tr w:rsidR="009B613D" w:rsidRPr="004E0D59" w14:paraId="05159E1E" w14:textId="77777777" w:rsidTr="00C44283">
        <w:trPr>
          <w:trHeight w:val="300"/>
        </w:trPr>
        <w:tc>
          <w:tcPr>
            <w:tcW w:w="2546" w:type="dxa"/>
            <w:tcBorders>
              <w:top w:val="nil"/>
              <w:left w:val="nil"/>
              <w:bottom w:val="nil"/>
              <w:right w:val="nil"/>
            </w:tcBorders>
            <w:shd w:val="clear" w:color="auto" w:fill="auto"/>
            <w:noWrap/>
            <w:vAlign w:val="center"/>
            <w:hideMark/>
          </w:tcPr>
          <w:p w14:paraId="4D5940B4" w14:textId="77777777" w:rsidR="009B613D" w:rsidRPr="004E0D59" w:rsidRDefault="009B613D" w:rsidP="00C44283">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Cohort:</w:t>
            </w:r>
          </w:p>
        </w:tc>
        <w:tc>
          <w:tcPr>
            <w:tcW w:w="1701" w:type="dxa"/>
            <w:tcBorders>
              <w:top w:val="nil"/>
              <w:left w:val="nil"/>
              <w:bottom w:val="nil"/>
              <w:right w:val="nil"/>
            </w:tcBorders>
            <w:shd w:val="clear" w:color="auto" w:fill="auto"/>
            <w:noWrap/>
            <w:vAlign w:val="center"/>
            <w:hideMark/>
          </w:tcPr>
          <w:p w14:paraId="7414055D" w14:textId="77777777" w:rsidR="009B613D" w:rsidRPr="004E0D59" w:rsidRDefault="009B613D" w:rsidP="00C44283">
            <w:pPr>
              <w:spacing w:after="0" w:line="240" w:lineRule="auto"/>
              <w:rPr>
                <w:rFonts w:ascii="Times New Roman" w:eastAsia="Times New Roman" w:hAnsi="Times New Roman" w:cs="Times New Roman"/>
                <w:sz w:val="20"/>
                <w:szCs w:val="20"/>
              </w:rPr>
            </w:pPr>
          </w:p>
        </w:tc>
        <w:tc>
          <w:tcPr>
            <w:tcW w:w="1701" w:type="dxa"/>
            <w:tcBorders>
              <w:top w:val="nil"/>
              <w:left w:val="nil"/>
              <w:bottom w:val="nil"/>
              <w:right w:val="nil"/>
            </w:tcBorders>
            <w:shd w:val="clear" w:color="auto" w:fill="auto"/>
            <w:noWrap/>
            <w:vAlign w:val="center"/>
            <w:hideMark/>
          </w:tcPr>
          <w:p w14:paraId="3F1EC808" w14:textId="77777777" w:rsidR="009B613D" w:rsidRPr="004E0D59" w:rsidRDefault="009B613D" w:rsidP="00C44283">
            <w:pPr>
              <w:spacing w:after="0" w:line="240" w:lineRule="auto"/>
              <w:rPr>
                <w:rFonts w:ascii="Times New Roman" w:eastAsia="Times New Roman" w:hAnsi="Times New Roman" w:cs="Times New Roman"/>
                <w:sz w:val="20"/>
                <w:szCs w:val="20"/>
              </w:rPr>
            </w:pPr>
          </w:p>
        </w:tc>
        <w:tc>
          <w:tcPr>
            <w:tcW w:w="1701" w:type="dxa"/>
            <w:tcBorders>
              <w:top w:val="nil"/>
              <w:left w:val="nil"/>
              <w:bottom w:val="nil"/>
              <w:right w:val="nil"/>
            </w:tcBorders>
            <w:shd w:val="clear" w:color="auto" w:fill="auto"/>
            <w:noWrap/>
            <w:vAlign w:val="center"/>
            <w:hideMark/>
          </w:tcPr>
          <w:p w14:paraId="1AECAF81" w14:textId="77777777" w:rsidR="009B613D" w:rsidRPr="004E0D59" w:rsidRDefault="009B613D" w:rsidP="00C44283">
            <w:pPr>
              <w:spacing w:after="0" w:line="240" w:lineRule="auto"/>
              <w:rPr>
                <w:rFonts w:ascii="Times New Roman" w:eastAsia="Times New Roman" w:hAnsi="Times New Roman" w:cs="Times New Roman"/>
                <w:sz w:val="20"/>
                <w:szCs w:val="20"/>
              </w:rPr>
            </w:pPr>
          </w:p>
        </w:tc>
      </w:tr>
      <w:tr w:rsidR="009B613D" w:rsidRPr="004E0D59" w14:paraId="135A5417" w14:textId="77777777" w:rsidTr="00C44283">
        <w:trPr>
          <w:trHeight w:val="300"/>
        </w:trPr>
        <w:tc>
          <w:tcPr>
            <w:tcW w:w="2546" w:type="dxa"/>
            <w:tcBorders>
              <w:top w:val="nil"/>
              <w:left w:val="nil"/>
              <w:bottom w:val="nil"/>
              <w:right w:val="nil"/>
            </w:tcBorders>
            <w:shd w:val="clear" w:color="auto" w:fill="auto"/>
            <w:noWrap/>
            <w:vAlign w:val="center"/>
            <w:hideMark/>
          </w:tcPr>
          <w:p w14:paraId="295F857E" w14:textId="77777777" w:rsidR="009B613D" w:rsidRPr="004E0D59" w:rsidRDefault="009B613D" w:rsidP="00C44283">
            <w:pPr>
              <w:spacing w:after="0" w:line="240" w:lineRule="auto"/>
              <w:ind w:left="171"/>
              <w:rPr>
                <w:rFonts w:ascii="Calibri" w:eastAsia="Times New Roman" w:hAnsi="Calibri" w:cs="Times New Roman"/>
                <w:color w:val="000000"/>
              </w:rPr>
            </w:pPr>
            <w:r w:rsidRPr="004E0D59">
              <w:rPr>
                <w:rFonts w:ascii="Calibri" w:eastAsia="Times New Roman" w:hAnsi="Calibri" w:cs="Times New Roman"/>
                <w:color w:val="000000"/>
              </w:rPr>
              <w:t>Cohort 1</w:t>
            </w:r>
          </w:p>
        </w:tc>
        <w:tc>
          <w:tcPr>
            <w:tcW w:w="1701" w:type="dxa"/>
            <w:tcBorders>
              <w:top w:val="nil"/>
              <w:left w:val="nil"/>
              <w:bottom w:val="nil"/>
              <w:right w:val="nil"/>
            </w:tcBorders>
            <w:shd w:val="clear" w:color="auto" w:fill="auto"/>
            <w:noWrap/>
            <w:vAlign w:val="center"/>
            <w:hideMark/>
          </w:tcPr>
          <w:p w14:paraId="50910D23" w14:textId="77777777" w:rsidR="009B613D" w:rsidRPr="004E0D59" w:rsidRDefault="009B613D" w:rsidP="00C44283">
            <w:pPr>
              <w:spacing w:after="0" w:line="240" w:lineRule="auto"/>
              <w:jc w:val="center"/>
              <w:rPr>
                <w:rFonts w:ascii="Calibri" w:eastAsia="Times New Roman" w:hAnsi="Calibri" w:cs="Times New Roman"/>
                <w:color w:val="000000"/>
              </w:rPr>
            </w:pPr>
            <w:r w:rsidRPr="004E0D59">
              <w:rPr>
                <w:rFonts w:ascii="Calibri" w:eastAsia="Times New Roman" w:hAnsi="Calibri" w:cs="Times New Roman"/>
                <w:color w:val="000000"/>
              </w:rPr>
              <w:t>8</w:t>
            </w:r>
          </w:p>
        </w:tc>
        <w:tc>
          <w:tcPr>
            <w:tcW w:w="1701" w:type="dxa"/>
            <w:tcBorders>
              <w:top w:val="nil"/>
              <w:left w:val="nil"/>
              <w:bottom w:val="nil"/>
              <w:right w:val="nil"/>
            </w:tcBorders>
            <w:shd w:val="clear" w:color="auto" w:fill="auto"/>
            <w:noWrap/>
            <w:vAlign w:val="center"/>
            <w:hideMark/>
          </w:tcPr>
          <w:p w14:paraId="67B1D3CD" w14:textId="77777777" w:rsidR="009B613D" w:rsidRPr="004E0D59" w:rsidRDefault="009B613D" w:rsidP="00C44283">
            <w:pPr>
              <w:spacing w:after="0" w:line="240" w:lineRule="auto"/>
              <w:jc w:val="center"/>
              <w:rPr>
                <w:rFonts w:ascii="Calibri" w:eastAsia="Times New Roman" w:hAnsi="Calibri" w:cs="Times New Roman"/>
                <w:color w:val="000000"/>
              </w:rPr>
            </w:pPr>
            <w:r w:rsidRPr="004E0D59">
              <w:rPr>
                <w:rFonts w:ascii="Calibri" w:eastAsia="Times New Roman" w:hAnsi="Calibri" w:cs="Times New Roman"/>
                <w:color w:val="000000"/>
              </w:rPr>
              <w:t>8</w:t>
            </w:r>
          </w:p>
        </w:tc>
        <w:tc>
          <w:tcPr>
            <w:tcW w:w="1701" w:type="dxa"/>
            <w:tcBorders>
              <w:top w:val="nil"/>
              <w:left w:val="nil"/>
              <w:bottom w:val="nil"/>
              <w:right w:val="nil"/>
            </w:tcBorders>
            <w:shd w:val="clear" w:color="auto" w:fill="auto"/>
            <w:noWrap/>
            <w:vAlign w:val="center"/>
            <w:hideMark/>
          </w:tcPr>
          <w:p w14:paraId="2C174261" w14:textId="77777777" w:rsidR="009B613D" w:rsidRPr="004E0D59" w:rsidRDefault="009B613D" w:rsidP="00C44283">
            <w:pPr>
              <w:spacing w:after="0" w:line="240" w:lineRule="auto"/>
              <w:jc w:val="center"/>
              <w:rPr>
                <w:rFonts w:ascii="Calibri" w:eastAsia="Times New Roman" w:hAnsi="Calibri" w:cs="Times New Roman"/>
                <w:color w:val="000000"/>
              </w:rPr>
            </w:pPr>
            <w:r w:rsidRPr="004E0D59">
              <w:rPr>
                <w:rFonts w:ascii="Calibri" w:eastAsia="Times New Roman" w:hAnsi="Calibri" w:cs="Times New Roman"/>
                <w:color w:val="000000"/>
              </w:rPr>
              <w:t>16</w:t>
            </w:r>
          </w:p>
        </w:tc>
      </w:tr>
      <w:tr w:rsidR="009B613D" w:rsidRPr="004E0D59" w14:paraId="0C0773D3" w14:textId="77777777" w:rsidTr="00C44283">
        <w:trPr>
          <w:trHeight w:val="300"/>
        </w:trPr>
        <w:tc>
          <w:tcPr>
            <w:tcW w:w="2546" w:type="dxa"/>
            <w:tcBorders>
              <w:top w:val="nil"/>
              <w:left w:val="nil"/>
              <w:bottom w:val="nil"/>
              <w:right w:val="nil"/>
            </w:tcBorders>
            <w:shd w:val="clear" w:color="auto" w:fill="auto"/>
            <w:noWrap/>
            <w:vAlign w:val="center"/>
            <w:hideMark/>
          </w:tcPr>
          <w:p w14:paraId="0B58A976" w14:textId="77777777" w:rsidR="009B613D" w:rsidRPr="004E0D59" w:rsidRDefault="009B613D" w:rsidP="00C44283">
            <w:pPr>
              <w:spacing w:after="0" w:line="240" w:lineRule="auto"/>
              <w:ind w:left="171"/>
              <w:rPr>
                <w:rFonts w:ascii="Calibri" w:eastAsia="Times New Roman" w:hAnsi="Calibri" w:cs="Times New Roman"/>
                <w:color w:val="000000"/>
              </w:rPr>
            </w:pPr>
            <w:r w:rsidRPr="004E0D59">
              <w:rPr>
                <w:rFonts w:ascii="Calibri" w:eastAsia="Times New Roman" w:hAnsi="Calibri" w:cs="Times New Roman"/>
                <w:color w:val="000000"/>
              </w:rPr>
              <w:t>Cohort 2</w:t>
            </w:r>
          </w:p>
        </w:tc>
        <w:tc>
          <w:tcPr>
            <w:tcW w:w="1701" w:type="dxa"/>
            <w:tcBorders>
              <w:top w:val="nil"/>
              <w:left w:val="nil"/>
              <w:bottom w:val="nil"/>
              <w:right w:val="nil"/>
            </w:tcBorders>
            <w:shd w:val="clear" w:color="auto" w:fill="auto"/>
            <w:noWrap/>
            <w:vAlign w:val="center"/>
            <w:hideMark/>
          </w:tcPr>
          <w:p w14:paraId="6369C2B2" w14:textId="77777777" w:rsidR="009B613D" w:rsidRPr="004E0D59" w:rsidRDefault="009B613D" w:rsidP="00C44283">
            <w:pPr>
              <w:spacing w:after="0" w:line="240" w:lineRule="auto"/>
              <w:jc w:val="center"/>
              <w:rPr>
                <w:rFonts w:ascii="Calibri" w:eastAsia="Times New Roman" w:hAnsi="Calibri" w:cs="Times New Roman"/>
                <w:color w:val="000000"/>
              </w:rPr>
            </w:pPr>
            <w:r w:rsidRPr="004E0D59">
              <w:rPr>
                <w:rFonts w:ascii="Calibri" w:eastAsia="Times New Roman" w:hAnsi="Calibri" w:cs="Times New Roman"/>
                <w:color w:val="000000"/>
              </w:rPr>
              <w:t>8</w:t>
            </w:r>
          </w:p>
        </w:tc>
        <w:tc>
          <w:tcPr>
            <w:tcW w:w="1701" w:type="dxa"/>
            <w:tcBorders>
              <w:top w:val="nil"/>
              <w:left w:val="nil"/>
              <w:bottom w:val="nil"/>
              <w:right w:val="nil"/>
            </w:tcBorders>
            <w:shd w:val="clear" w:color="auto" w:fill="auto"/>
            <w:noWrap/>
            <w:vAlign w:val="center"/>
            <w:hideMark/>
          </w:tcPr>
          <w:p w14:paraId="6B5F14A8" w14:textId="77777777" w:rsidR="009B613D" w:rsidRPr="004E0D59" w:rsidRDefault="009B613D" w:rsidP="00C44283">
            <w:pPr>
              <w:spacing w:after="0" w:line="240" w:lineRule="auto"/>
              <w:jc w:val="center"/>
              <w:rPr>
                <w:rFonts w:ascii="Calibri" w:eastAsia="Times New Roman" w:hAnsi="Calibri" w:cs="Times New Roman"/>
                <w:color w:val="000000"/>
              </w:rPr>
            </w:pPr>
            <w:r w:rsidRPr="004E0D59">
              <w:rPr>
                <w:rFonts w:ascii="Calibri" w:eastAsia="Times New Roman" w:hAnsi="Calibri" w:cs="Times New Roman"/>
                <w:color w:val="000000"/>
              </w:rPr>
              <w:t>8</w:t>
            </w:r>
          </w:p>
        </w:tc>
        <w:tc>
          <w:tcPr>
            <w:tcW w:w="1701" w:type="dxa"/>
            <w:tcBorders>
              <w:top w:val="nil"/>
              <w:left w:val="nil"/>
              <w:bottom w:val="nil"/>
              <w:right w:val="nil"/>
            </w:tcBorders>
            <w:shd w:val="clear" w:color="auto" w:fill="auto"/>
            <w:noWrap/>
            <w:vAlign w:val="center"/>
            <w:hideMark/>
          </w:tcPr>
          <w:p w14:paraId="39A863BF" w14:textId="77777777" w:rsidR="009B613D" w:rsidRPr="004E0D59" w:rsidRDefault="009B613D" w:rsidP="00C44283">
            <w:pPr>
              <w:spacing w:after="0" w:line="240" w:lineRule="auto"/>
              <w:jc w:val="center"/>
              <w:rPr>
                <w:rFonts w:ascii="Calibri" w:eastAsia="Times New Roman" w:hAnsi="Calibri" w:cs="Times New Roman"/>
                <w:color w:val="000000"/>
              </w:rPr>
            </w:pPr>
            <w:r w:rsidRPr="004E0D59">
              <w:rPr>
                <w:rFonts w:ascii="Calibri" w:eastAsia="Times New Roman" w:hAnsi="Calibri" w:cs="Times New Roman"/>
                <w:color w:val="000000"/>
              </w:rPr>
              <w:t>16</w:t>
            </w:r>
          </w:p>
        </w:tc>
      </w:tr>
      <w:tr w:rsidR="009B613D" w:rsidRPr="004E0D59" w14:paraId="0B41FE36" w14:textId="77777777" w:rsidTr="00C44283">
        <w:trPr>
          <w:trHeight w:val="300"/>
        </w:trPr>
        <w:tc>
          <w:tcPr>
            <w:tcW w:w="2546" w:type="dxa"/>
            <w:tcBorders>
              <w:top w:val="single" w:sz="4" w:space="0" w:color="auto"/>
              <w:left w:val="nil"/>
              <w:bottom w:val="nil"/>
              <w:right w:val="nil"/>
            </w:tcBorders>
            <w:shd w:val="clear" w:color="auto" w:fill="auto"/>
            <w:noWrap/>
            <w:vAlign w:val="center"/>
            <w:hideMark/>
          </w:tcPr>
          <w:p w14:paraId="14F32C8A" w14:textId="77777777" w:rsidR="009B613D" w:rsidRPr="004E0D59" w:rsidRDefault="009B613D" w:rsidP="00C44283">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No. of year 5 classes:</w:t>
            </w:r>
          </w:p>
        </w:tc>
        <w:tc>
          <w:tcPr>
            <w:tcW w:w="1701" w:type="dxa"/>
            <w:tcBorders>
              <w:top w:val="single" w:sz="4" w:space="0" w:color="auto"/>
              <w:left w:val="nil"/>
              <w:bottom w:val="nil"/>
              <w:right w:val="nil"/>
            </w:tcBorders>
            <w:shd w:val="clear" w:color="auto" w:fill="auto"/>
            <w:noWrap/>
            <w:vAlign w:val="center"/>
            <w:hideMark/>
          </w:tcPr>
          <w:p w14:paraId="5000572A" w14:textId="77777777" w:rsidR="009B613D" w:rsidRPr="004E0D59" w:rsidRDefault="009B613D" w:rsidP="00C44283">
            <w:pPr>
              <w:spacing w:after="0" w:line="240" w:lineRule="auto"/>
              <w:jc w:val="center"/>
              <w:rPr>
                <w:rFonts w:ascii="Calibri" w:eastAsia="Times New Roman" w:hAnsi="Calibri" w:cs="Times New Roman"/>
                <w:color w:val="000000"/>
              </w:rPr>
            </w:pPr>
            <w:r w:rsidRPr="004E0D59">
              <w:rPr>
                <w:rFonts w:ascii="Calibri" w:eastAsia="Times New Roman" w:hAnsi="Calibri" w:cs="Times New Roman"/>
                <w:color w:val="000000"/>
              </w:rPr>
              <w:t> </w:t>
            </w:r>
          </w:p>
        </w:tc>
        <w:tc>
          <w:tcPr>
            <w:tcW w:w="1701" w:type="dxa"/>
            <w:tcBorders>
              <w:top w:val="single" w:sz="4" w:space="0" w:color="auto"/>
              <w:left w:val="nil"/>
              <w:bottom w:val="nil"/>
              <w:right w:val="nil"/>
            </w:tcBorders>
            <w:shd w:val="clear" w:color="auto" w:fill="auto"/>
            <w:noWrap/>
            <w:vAlign w:val="center"/>
            <w:hideMark/>
          </w:tcPr>
          <w:p w14:paraId="381CC677" w14:textId="77777777" w:rsidR="009B613D" w:rsidRPr="004E0D59" w:rsidRDefault="009B613D" w:rsidP="00C44283">
            <w:pPr>
              <w:spacing w:after="0" w:line="240" w:lineRule="auto"/>
              <w:jc w:val="center"/>
              <w:rPr>
                <w:rFonts w:ascii="Calibri" w:eastAsia="Times New Roman" w:hAnsi="Calibri" w:cs="Times New Roman"/>
                <w:color w:val="000000"/>
              </w:rPr>
            </w:pPr>
            <w:r w:rsidRPr="004E0D59">
              <w:rPr>
                <w:rFonts w:ascii="Calibri" w:eastAsia="Times New Roman" w:hAnsi="Calibri" w:cs="Times New Roman"/>
                <w:color w:val="000000"/>
              </w:rPr>
              <w:t> </w:t>
            </w:r>
          </w:p>
        </w:tc>
        <w:tc>
          <w:tcPr>
            <w:tcW w:w="1701" w:type="dxa"/>
            <w:tcBorders>
              <w:top w:val="single" w:sz="4" w:space="0" w:color="auto"/>
              <w:left w:val="nil"/>
              <w:bottom w:val="nil"/>
              <w:right w:val="nil"/>
            </w:tcBorders>
            <w:shd w:val="clear" w:color="auto" w:fill="auto"/>
            <w:noWrap/>
            <w:vAlign w:val="center"/>
            <w:hideMark/>
          </w:tcPr>
          <w:p w14:paraId="42F6A5C3" w14:textId="77777777" w:rsidR="009B613D" w:rsidRPr="004E0D59" w:rsidRDefault="009B613D" w:rsidP="00C44283">
            <w:pPr>
              <w:spacing w:after="0" w:line="240" w:lineRule="auto"/>
              <w:jc w:val="center"/>
              <w:rPr>
                <w:rFonts w:ascii="Calibri" w:eastAsia="Times New Roman" w:hAnsi="Calibri" w:cs="Times New Roman"/>
                <w:color w:val="000000"/>
              </w:rPr>
            </w:pPr>
            <w:r w:rsidRPr="004E0D59">
              <w:rPr>
                <w:rFonts w:ascii="Calibri" w:eastAsia="Times New Roman" w:hAnsi="Calibri" w:cs="Times New Roman"/>
                <w:color w:val="000000"/>
              </w:rPr>
              <w:t> </w:t>
            </w:r>
          </w:p>
        </w:tc>
      </w:tr>
      <w:tr w:rsidR="009B613D" w:rsidRPr="004E0D59" w14:paraId="4D4810EB" w14:textId="77777777" w:rsidTr="00C44283">
        <w:trPr>
          <w:trHeight w:val="300"/>
        </w:trPr>
        <w:tc>
          <w:tcPr>
            <w:tcW w:w="2546" w:type="dxa"/>
            <w:tcBorders>
              <w:top w:val="nil"/>
              <w:left w:val="nil"/>
              <w:bottom w:val="nil"/>
              <w:right w:val="nil"/>
            </w:tcBorders>
            <w:shd w:val="clear" w:color="auto" w:fill="auto"/>
            <w:noWrap/>
            <w:vAlign w:val="center"/>
            <w:hideMark/>
          </w:tcPr>
          <w:p w14:paraId="7DC22552" w14:textId="77777777" w:rsidR="009B613D" w:rsidRPr="004E0D59" w:rsidRDefault="009B613D" w:rsidP="00C44283">
            <w:pPr>
              <w:spacing w:after="0" w:line="240" w:lineRule="auto"/>
              <w:ind w:left="171"/>
              <w:rPr>
                <w:rFonts w:ascii="Calibri" w:eastAsia="Times New Roman" w:hAnsi="Calibri" w:cs="Times New Roman"/>
                <w:color w:val="000000"/>
              </w:rPr>
            </w:pPr>
            <w:r w:rsidRPr="004E0D59">
              <w:rPr>
                <w:rFonts w:ascii="Calibri" w:eastAsia="Times New Roman" w:hAnsi="Calibri" w:cs="Times New Roman"/>
                <w:color w:val="000000"/>
              </w:rPr>
              <w:t>Single class</w:t>
            </w:r>
          </w:p>
        </w:tc>
        <w:tc>
          <w:tcPr>
            <w:tcW w:w="1701" w:type="dxa"/>
            <w:tcBorders>
              <w:top w:val="nil"/>
              <w:left w:val="nil"/>
              <w:bottom w:val="nil"/>
              <w:right w:val="nil"/>
            </w:tcBorders>
            <w:shd w:val="clear" w:color="auto" w:fill="auto"/>
            <w:noWrap/>
            <w:vAlign w:val="center"/>
            <w:hideMark/>
          </w:tcPr>
          <w:p w14:paraId="1C1EB47A" w14:textId="77777777" w:rsidR="009B613D" w:rsidRPr="004E0D59" w:rsidRDefault="009B613D" w:rsidP="00C44283">
            <w:pPr>
              <w:spacing w:after="0" w:line="240" w:lineRule="auto"/>
              <w:jc w:val="center"/>
              <w:rPr>
                <w:rFonts w:ascii="Calibri" w:eastAsia="Times New Roman" w:hAnsi="Calibri" w:cs="Times New Roman"/>
                <w:color w:val="000000"/>
              </w:rPr>
            </w:pPr>
            <w:r w:rsidRPr="004E0D59">
              <w:rPr>
                <w:rFonts w:ascii="Calibri" w:eastAsia="Times New Roman" w:hAnsi="Calibri" w:cs="Times New Roman"/>
                <w:color w:val="000000"/>
              </w:rPr>
              <w:t>8</w:t>
            </w:r>
          </w:p>
        </w:tc>
        <w:tc>
          <w:tcPr>
            <w:tcW w:w="1701" w:type="dxa"/>
            <w:tcBorders>
              <w:top w:val="nil"/>
              <w:left w:val="nil"/>
              <w:bottom w:val="nil"/>
              <w:right w:val="nil"/>
            </w:tcBorders>
            <w:shd w:val="clear" w:color="auto" w:fill="auto"/>
            <w:noWrap/>
            <w:vAlign w:val="center"/>
            <w:hideMark/>
          </w:tcPr>
          <w:p w14:paraId="60FE5F32" w14:textId="77777777" w:rsidR="009B613D" w:rsidRPr="004E0D59" w:rsidRDefault="009B613D" w:rsidP="00C44283">
            <w:pPr>
              <w:spacing w:after="0" w:line="240" w:lineRule="auto"/>
              <w:jc w:val="center"/>
              <w:rPr>
                <w:rFonts w:ascii="Calibri" w:eastAsia="Times New Roman" w:hAnsi="Calibri" w:cs="Times New Roman"/>
                <w:color w:val="000000"/>
              </w:rPr>
            </w:pPr>
            <w:r w:rsidRPr="004E0D59">
              <w:rPr>
                <w:rFonts w:ascii="Calibri" w:eastAsia="Times New Roman" w:hAnsi="Calibri" w:cs="Times New Roman"/>
                <w:color w:val="000000"/>
              </w:rPr>
              <w:t>9</w:t>
            </w:r>
          </w:p>
        </w:tc>
        <w:tc>
          <w:tcPr>
            <w:tcW w:w="1701" w:type="dxa"/>
            <w:tcBorders>
              <w:top w:val="nil"/>
              <w:left w:val="nil"/>
              <w:bottom w:val="nil"/>
              <w:right w:val="nil"/>
            </w:tcBorders>
            <w:shd w:val="clear" w:color="auto" w:fill="auto"/>
            <w:noWrap/>
            <w:vAlign w:val="center"/>
            <w:hideMark/>
          </w:tcPr>
          <w:p w14:paraId="1996E7D2" w14:textId="77777777" w:rsidR="009B613D" w:rsidRPr="004E0D59" w:rsidRDefault="009B613D" w:rsidP="00C44283">
            <w:pPr>
              <w:spacing w:after="0" w:line="240" w:lineRule="auto"/>
              <w:jc w:val="center"/>
              <w:rPr>
                <w:rFonts w:ascii="Calibri" w:eastAsia="Times New Roman" w:hAnsi="Calibri" w:cs="Times New Roman"/>
                <w:color w:val="000000"/>
              </w:rPr>
            </w:pPr>
            <w:r w:rsidRPr="004E0D59">
              <w:rPr>
                <w:rFonts w:ascii="Calibri" w:eastAsia="Times New Roman" w:hAnsi="Calibri" w:cs="Times New Roman"/>
                <w:color w:val="000000"/>
              </w:rPr>
              <w:t>17</w:t>
            </w:r>
          </w:p>
        </w:tc>
      </w:tr>
      <w:tr w:rsidR="009B613D" w:rsidRPr="004E0D59" w14:paraId="07E65580" w14:textId="77777777" w:rsidTr="00C44283">
        <w:trPr>
          <w:trHeight w:val="300"/>
        </w:trPr>
        <w:tc>
          <w:tcPr>
            <w:tcW w:w="2546" w:type="dxa"/>
            <w:tcBorders>
              <w:top w:val="nil"/>
              <w:left w:val="nil"/>
              <w:bottom w:val="single" w:sz="4" w:space="0" w:color="auto"/>
              <w:right w:val="nil"/>
            </w:tcBorders>
            <w:shd w:val="clear" w:color="auto" w:fill="auto"/>
            <w:noWrap/>
            <w:vAlign w:val="center"/>
            <w:hideMark/>
          </w:tcPr>
          <w:p w14:paraId="60BDF8F6" w14:textId="77777777" w:rsidR="009B613D" w:rsidRPr="004E0D59" w:rsidRDefault="009B613D" w:rsidP="00C44283">
            <w:pPr>
              <w:spacing w:after="0" w:line="240" w:lineRule="auto"/>
              <w:ind w:left="171"/>
              <w:rPr>
                <w:rFonts w:ascii="Calibri" w:eastAsia="Times New Roman" w:hAnsi="Calibri" w:cs="Times New Roman"/>
                <w:color w:val="000000"/>
              </w:rPr>
            </w:pPr>
            <w:r w:rsidRPr="004E0D59">
              <w:rPr>
                <w:rFonts w:ascii="Calibri" w:eastAsia="Times New Roman" w:hAnsi="Calibri" w:cs="Times New Roman"/>
                <w:color w:val="000000"/>
              </w:rPr>
              <w:t>More than one</w:t>
            </w:r>
          </w:p>
        </w:tc>
        <w:tc>
          <w:tcPr>
            <w:tcW w:w="1701" w:type="dxa"/>
            <w:tcBorders>
              <w:top w:val="nil"/>
              <w:left w:val="nil"/>
              <w:bottom w:val="single" w:sz="4" w:space="0" w:color="auto"/>
              <w:right w:val="nil"/>
            </w:tcBorders>
            <w:shd w:val="clear" w:color="auto" w:fill="auto"/>
            <w:noWrap/>
            <w:vAlign w:val="center"/>
            <w:hideMark/>
          </w:tcPr>
          <w:p w14:paraId="7304DD4A" w14:textId="77777777" w:rsidR="009B613D" w:rsidRPr="004E0D59" w:rsidRDefault="009B613D" w:rsidP="00C44283">
            <w:pPr>
              <w:spacing w:after="0" w:line="240" w:lineRule="auto"/>
              <w:jc w:val="center"/>
              <w:rPr>
                <w:rFonts w:ascii="Calibri" w:eastAsia="Times New Roman" w:hAnsi="Calibri" w:cs="Times New Roman"/>
                <w:color w:val="000000"/>
              </w:rPr>
            </w:pPr>
            <w:r w:rsidRPr="004E0D59">
              <w:rPr>
                <w:rFonts w:ascii="Calibri" w:eastAsia="Times New Roman" w:hAnsi="Calibri" w:cs="Times New Roman"/>
                <w:color w:val="000000"/>
              </w:rPr>
              <w:t>8</w:t>
            </w:r>
          </w:p>
        </w:tc>
        <w:tc>
          <w:tcPr>
            <w:tcW w:w="1701" w:type="dxa"/>
            <w:tcBorders>
              <w:top w:val="nil"/>
              <w:left w:val="nil"/>
              <w:bottom w:val="single" w:sz="4" w:space="0" w:color="auto"/>
              <w:right w:val="nil"/>
            </w:tcBorders>
            <w:shd w:val="clear" w:color="auto" w:fill="auto"/>
            <w:noWrap/>
            <w:vAlign w:val="center"/>
            <w:hideMark/>
          </w:tcPr>
          <w:p w14:paraId="1CAA5D9D" w14:textId="77777777" w:rsidR="009B613D" w:rsidRPr="004E0D59" w:rsidRDefault="009B613D" w:rsidP="00C44283">
            <w:pPr>
              <w:spacing w:after="0" w:line="240" w:lineRule="auto"/>
              <w:jc w:val="center"/>
              <w:rPr>
                <w:rFonts w:ascii="Calibri" w:eastAsia="Times New Roman" w:hAnsi="Calibri" w:cs="Times New Roman"/>
                <w:color w:val="000000"/>
              </w:rPr>
            </w:pPr>
            <w:r w:rsidRPr="004E0D59">
              <w:rPr>
                <w:rFonts w:ascii="Calibri" w:eastAsia="Times New Roman" w:hAnsi="Calibri" w:cs="Times New Roman"/>
                <w:color w:val="000000"/>
              </w:rPr>
              <w:t>7</w:t>
            </w:r>
          </w:p>
        </w:tc>
        <w:tc>
          <w:tcPr>
            <w:tcW w:w="1701" w:type="dxa"/>
            <w:tcBorders>
              <w:top w:val="nil"/>
              <w:left w:val="nil"/>
              <w:bottom w:val="single" w:sz="4" w:space="0" w:color="auto"/>
              <w:right w:val="nil"/>
            </w:tcBorders>
            <w:shd w:val="clear" w:color="auto" w:fill="auto"/>
            <w:noWrap/>
            <w:vAlign w:val="center"/>
            <w:hideMark/>
          </w:tcPr>
          <w:p w14:paraId="4ED62215" w14:textId="77777777" w:rsidR="009B613D" w:rsidRPr="004E0D59" w:rsidRDefault="009B613D" w:rsidP="00C44283">
            <w:pPr>
              <w:spacing w:after="0" w:line="240" w:lineRule="auto"/>
              <w:jc w:val="center"/>
              <w:rPr>
                <w:rFonts w:ascii="Calibri" w:eastAsia="Times New Roman" w:hAnsi="Calibri" w:cs="Times New Roman"/>
                <w:color w:val="000000"/>
              </w:rPr>
            </w:pPr>
            <w:r w:rsidRPr="004E0D59">
              <w:rPr>
                <w:rFonts w:ascii="Calibri" w:eastAsia="Times New Roman" w:hAnsi="Calibri" w:cs="Times New Roman"/>
                <w:color w:val="000000"/>
              </w:rPr>
              <w:t>15</w:t>
            </w:r>
          </w:p>
        </w:tc>
      </w:tr>
      <w:tr w:rsidR="009B613D" w:rsidRPr="004E0D59" w14:paraId="21B50F0F" w14:textId="77777777" w:rsidTr="00C44283">
        <w:trPr>
          <w:trHeight w:val="300"/>
        </w:trPr>
        <w:tc>
          <w:tcPr>
            <w:tcW w:w="2546" w:type="dxa"/>
            <w:tcBorders>
              <w:top w:val="nil"/>
              <w:left w:val="nil"/>
              <w:bottom w:val="nil"/>
              <w:right w:val="nil"/>
            </w:tcBorders>
            <w:shd w:val="clear" w:color="auto" w:fill="auto"/>
            <w:noWrap/>
            <w:vAlign w:val="center"/>
            <w:hideMark/>
          </w:tcPr>
          <w:p w14:paraId="2A6AC91F" w14:textId="77777777" w:rsidR="009B613D" w:rsidRPr="004E0D59" w:rsidRDefault="009B613D" w:rsidP="00C44283">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Free school meals:</w:t>
            </w:r>
          </w:p>
        </w:tc>
        <w:tc>
          <w:tcPr>
            <w:tcW w:w="1701" w:type="dxa"/>
            <w:tcBorders>
              <w:top w:val="nil"/>
              <w:left w:val="nil"/>
              <w:bottom w:val="nil"/>
              <w:right w:val="nil"/>
            </w:tcBorders>
            <w:shd w:val="clear" w:color="auto" w:fill="auto"/>
            <w:noWrap/>
            <w:vAlign w:val="center"/>
            <w:hideMark/>
          </w:tcPr>
          <w:p w14:paraId="5DB277E3" w14:textId="77777777" w:rsidR="009B613D" w:rsidRPr="004E0D59" w:rsidRDefault="009B613D" w:rsidP="00C44283">
            <w:pPr>
              <w:spacing w:after="0" w:line="240" w:lineRule="auto"/>
              <w:jc w:val="center"/>
              <w:rPr>
                <w:rFonts w:ascii="Times New Roman" w:eastAsia="Times New Roman" w:hAnsi="Times New Roman" w:cs="Times New Roman"/>
                <w:sz w:val="20"/>
                <w:szCs w:val="20"/>
              </w:rPr>
            </w:pPr>
          </w:p>
        </w:tc>
        <w:tc>
          <w:tcPr>
            <w:tcW w:w="1701" w:type="dxa"/>
            <w:tcBorders>
              <w:top w:val="nil"/>
              <w:left w:val="nil"/>
              <w:bottom w:val="nil"/>
              <w:right w:val="nil"/>
            </w:tcBorders>
            <w:shd w:val="clear" w:color="auto" w:fill="auto"/>
            <w:noWrap/>
            <w:vAlign w:val="center"/>
            <w:hideMark/>
          </w:tcPr>
          <w:p w14:paraId="22AE2033" w14:textId="77777777" w:rsidR="009B613D" w:rsidRPr="004E0D59" w:rsidRDefault="009B613D" w:rsidP="00C44283">
            <w:pPr>
              <w:spacing w:after="0" w:line="240" w:lineRule="auto"/>
              <w:jc w:val="center"/>
              <w:rPr>
                <w:rFonts w:ascii="Times New Roman" w:eastAsia="Times New Roman" w:hAnsi="Times New Roman" w:cs="Times New Roman"/>
                <w:sz w:val="20"/>
                <w:szCs w:val="20"/>
              </w:rPr>
            </w:pPr>
          </w:p>
        </w:tc>
        <w:tc>
          <w:tcPr>
            <w:tcW w:w="1701" w:type="dxa"/>
            <w:tcBorders>
              <w:top w:val="nil"/>
              <w:left w:val="nil"/>
              <w:bottom w:val="nil"/>
              <w:right w:val="nil"/>
            </w:tcBorders>
            <w:shd w:val="clear" w:color="auto" w:fill="auto"/>
            <w:noWrap/>
            <w:vAlign w:val="center"/>
            <w:hideMark/>
          </w:tcPr>
          <w:p w14:paraId="0D160B1D" w14:textId="77777777" w:rsidR="009B613D" w:rsidRPr="004E0D59" w:rsidRDefault="009B613D" w:rsidP="00C44283">
            <w:pPr>
              <w:spacing w:after="0" w:line="240" w:lineRule="auto"/>
              <w:jc w:val="center"/>
              <w:rPr>
                <w:rFonts w:ascii="Times New Roman" w:eastAsia="Times New Roman" w:hAnsi="Times New Roman" w:cs="Times New Roman"/>
                <w:sz w:val="20"/>
                <w:szCs w:val="20"/>
              </w:rPr>
            </w:pPr>
          </w:p>
        </w:tc>
      </w:tr>
      <w:tr w:rsidR="009B613D" w:rsidRPr="004E0D59" w14:paraId="0AAF377A" w14:textId="77777777" w:rsidTr="00C44283">
        <w:trPr>
          <w:trHeight w:val="300"/>
        </w:trPr>
        <w:tc>
          <w:tcPr>
            <w:tcW w:w="2546" w:type="dxa"/>
            <w:tcBorders>
              <w:top w:val="nil"/>
              <w:left w:val="nil"/>
              <w:bottom w:val="nil"/>
              <w:right w:val="nil"/>
            </w:tcBorders>
            <w:shd w:val="clear" w:color="auto" w:fill="auto"/>
            <w:noWrap/>
            <w:vAlign w:val="center"/>
            <w:hideMark/>
          </w:tcPr>
          <w:p w14:paraId="3A0F7CC7" w14:textId="77777777" w:rsidR="009B613D" w:rsidRPr="004E0D59" w:rsidRDefault="009B613D" w:rsidP="00C44283">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&lt;19% of pupils</w:t>
            </w:r>
          </w:p>
        </w:tc>
        <w:tc>
          <w:tcPr>
            <w:tcW w:w="1701" w:type="dxa"/>
            <w:tcBorders>
              <w:top w:val="nil"/>
              <w:left w:val="nil"/>
              <w:bottom w:val="nil"/>
              <w:right w:val="nil"/>
            </w:tcBorders>
            <w:shd w:val="clear" w:color="auto" w:fill="auto"/>
            <w:noWrap/>
            <w:vAlign w:val="center"/>
            <w:hideMark/>
          </w:tcPr>
          <w:p w14:paraId="7F32BF52" w14:textId="77777777" w:rsidR="009B613D" w:rsidRPr="004E0D59" w:rsidRDefault="009B613D" w:rsidP="00C44283">
            <w:pPr>
              <w:spacing w:after="0" w:line="240" w:lineRule="auto"/>
              <w:jc w:val="center"/>
              <w:rPr>
                <w:rFonts w:ascii="Calibri" w:eastAsia="Times New Roman" w:hAnsi="Calibri" w:cs="Times New Roman"/>
                <w:color w:val="000000"/>
              </w:rPr>
            </w:pPr>
            <w:r w:rsidRPr="004E0D59">
              <w:rPr>
                <w:rFonts w:ascii="Calibri" w:eastAsia="Times New Roman" w:hAnsi="Calibri" w:cs="Times New Roman"/>
                <w:color w:val="000000"/>
              </w:rPr>
              <w:t>9</w:t>
            </w:r>
          </w:p>
        </w:tc>
        <w:tc>
          <w:tcPr>
            <w:tcW w:w="1701" w:type="dxa"/>
            <w:tcBorders>
              <w:top w:val="nil"/>
              <w:left w:val="nil"/>
              <w:bottom w:val="nil"/>
              <w:right w:val="nil"/>
            </w:tcBorders>
            <w:shd w:val="clear" w:color="auto" w:fill="auto"/>
            <w:noWrap/>
            <w:vAlign w:val="center"/>
            <w:hideMark/>
          </w:tcPr>
          <w:p w14:paraId="58E2B59B" w14:textId="77777777" w:rsidR="009B613D" w:rsidRPr="004E0D59" w:rsidRDefault="009B613D" w:rsidP="00C44283">
            <w:pPr>
              <w:spacing w:after="0" w:line="240" w:lineRule="auto"/>
              <w:jc w:val="center"/>
              <w:rPr>
                <w:rFonts w:ascii="Calibri" w:eastAsia="Times New Roman" w:hAnsi="Calibri" w:cs="Times New Roman"/>
                <w:color w:val="000000"/>
              </w:rPr>
            </w:pPr>
            <w:r w:rsidRPr="004E0D59">
              <w:rPr>
                <w:rFonts w:ascii="Calibri" w:eastAsia="Times New Roman" w:hAnsi="Calibri" w:cs="Times New Roman"/>
                <w:color w:val="000000"/>
              </w:rPr>
              <w:t>9</w:t>
            </w:r>
          </w:p>
        </w:tc>
        <w:tc>
          <w:tcPr>
            <w:tcW w:w="1701" w:type="dxa"/>
            <w:tcBorders>
              <w:top w:val="nil"/>
              <w:left w:val="nil"/>
              <w:bottom w:val="nil"/>
              <w:right w:val="nil"/>
            </w:tcBorders>
            <w:shd w:val="clear" w:color="auto" w:fill="auto"/>
            <w:noWrap/>
            <w:vAlign w:val="center"/>
            <w:hideMark/>
          </w:tcPr>
          <w:p w14:paraId="0C5DEF3A" w14:textId="77777777" w:rsidR="009B613D" w:rsidRPr="004E0D59" w:rsidRDefault="009B613D" w:rsidP="00C44283">
            <w:pPr>
              <w:spacing w:after="0" w:line="240" w:lineRule="auto"/>
              <w:jc w:val="center"/>
              <w:rPr>
                <w:rFonts w:ascii="Calibri" w:eastAsia="Times New Roman" w:hAnsi="Calibri" w:cs="Times New Roman"/>
                <w:color w:val="000000"/>
              </w:rPr>
            </w:pPr>
            <w:r w:rsidRPr="004E0D59">
              <w:rPr>
                <w:rFonts w:ascii="Calibri" w:eastAsia="Times New Roman" w:hAnsi="Calibri" w:cs="Times New Roman"/>
                <w:color w:val="000000"/>
              </w:rPr>
              <w:t>18</w:t>
            </w:r>
          </w:p>
        </w:tc>
      </w:tr>
      <w:tr w:rsidR="009B613D" w:rsidRPr="004E0D59" w14:paraId="731EEEB4" w14:textId="77777777" w:rsidTr="00C44283">
        <w:trPr>
          <w:trHeight w:val="300"/>
        </w:trPr>
        <w:tc>
          <w:tcPr>
            <w:tcW w:w="2546" w:type="dxa"/>
            <w:tcBorders>
              <w:top w:val="nil"/>
              <w:left w:val="nil"/>
              <w:bottom w:val="nil"/>
              <w:right w:val="nil"/>
            </w:tcBorders>
            <w:shd w:val="clear" w:color="auto" w:fill="auto"/>
            <w:noWrap/>
            <w:vAlign w:val="center"/>
            <w:hideMark/>
          </w:tcPr>
          <w:p w14:paraId="7EEFE7A8" w14:textId="77777777" w:rsidR="009B613D" w:rsidRPr="004E0D59" w:rsidRDefault="009B613D" w:rsidP="00C44283">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&gt;=19% of pupils</w:t>
            </w:r>
          </w:p>
        </w:tc>
        <w:tc>
          <w:tcPr>
            <w:tcW w:w="1701" w:type="dxa"/>
            <w:tcBorders>
              <w:top w:val="nil"/>
              <w:left w:val="nil"/>
              <w:bottom w:val="nil"/>
              <w:right w:val="nil"/>
            </w:tcBorders>
            <w:shd w:val="clear" w:color="auto" w:fill="auto"/>
            <w:noWrap/>
            <w:vAlign w:val="center"/>
            <w:hideMark/>
          </w:tcPr>
          <w:p w14:paraId="54971BE7" w14:textId="77777777" w:rsidR="009B613D" w:rsidRPr="004E0D59" w:rsidRDefault="009B613D" w:rsidP="00C44283">
            <w:pPr>
              <w:spacing w:after="0" w:line="240" w:lineRule="auto"/>
              <w:jc w:val="center"/>
              <w:rPr>
                <w:rFonts w:ascii="Calibri" w:eastAsia="Times New Roman" w:hAnsi="Calibri" w:cs="Times New Roman"/>
                <w:color w:val="000000"/>
              </w:rPr>
            </w:pPr>
            <w:r w:rsidRPr="004E0D59">
              <w:rPr>
                <w:rFonts w:ascii="Calibri" w:eastAsia="Times New Roman" w:hAnsi="Calibri" w:cs="Times New Roman"/>
                <w:color w:val="000000"/>
              </w:rPr>
              <w:t>7</w:t>
            </w:r>
          </w:p>
        </w:tc>
        <w:tc>
          <w:tcPr>
            <w:tcW w:w="1701" w:type="dxa"/>
            <w:tcBorders>
              <w:top w:val="nil"/>
              <w:left w:val="nil"/>
              <w:bottom w:val="nil"/>
              <w:right w:val="nil"/>
            </w:tcBorders>
            <w:shd w:val="clear" w:color="auto" w:fill="auto"/>
            <w:noWrap/>
            <w:vAlign w:val="center"/>
            <w:hideMark/>
          </w:tcPr>
          <w:p w14:paraId="44166122" w14:textId="77777777" w:rsidR="009B613D" w:rsidRPr="004E0D59" w:rsidRDefault="009B613D" w:rsidP="00C44283">
            <w:pPr>
              <w:spacing w:after="0" w:line="240" w:lineRule="auto"/>
              <w:jc w:val="center"/>
              <w:rPr>
                <w:rFonts w:ascii="Calibri" w:eastAsia="Times New Roman" w:hAnsi="Calibri" w:cs="Times New Roman"/>
                <w:color w:val="000000"/>
              </w:rPr>
            </w:pPr>
            <w:r w:rsidRPr="004E0D59">
              <w:rPr>
                <w:rFonts w:ascii="Calibri" w:eastAsia="Times New Roman" w:hAnsi="Calibri" w:cs="Times New Roman"/>
                <w:color w:val="000000"/>
              </w:rPr>
              <w:t>7</w:t>
            </w:r>
          </w:p>
        </w:tc>
        <w:tc>
          <w:tcPr>
            <w:tcW w:w="1701" w:type="dxa"/>
            <w:tcBorders>
              <w:top w:val="nil"/>
              <w:left w:val="nil"/>
              <w:bottom w:val="nil"/>
              <w:right w:val="nil"/>
            </w:tcBorders>
            <w:shd w:val="clear" w:color="auto" w:fill="auto"/>
            <w:noWrap/>
            <w:vAlign w:val="center"/>
            <w:hideMark/>
          </w:tcPr>
          <w:p w14:paraId="299924A1" w14:textId="77777777" w:rsidR="009B613D" w:rsidRPr="004E0D59" w:rsidRDefault="009B613D" w:rsidP="00C44283">
            <w:pPr>
              <w:spacing w:after="0" w:line="240" w:lineRule="auto"/>
              <w:jc w:val="center"/>
              <w:rPr>
                <w:rFonts w:ascii="Calibri" w:eastAsia="Times New Roman" w:hAnsi="Calibri" w:cs="Times New Roman"/>
                <w:color w:val="000000"/>
              </w:rPr>
            </w:pPr>
            <w:r w:rsidRPr="004E0D59">
              <w:rPr>
                <w:rFonts w:ascii="Calibri" w:eastAsia="Times New Roman" w:hAnsi="Calibri" w:cs="Times New Roman"/>
                <w:color w:val="000000"/>
              </w:rPr>
              <w:t>14</w:t>
            </w:r>
          </w:p>
        </w:tc>
      </w:tr>
      <w:tr w:rsidR="009B613D" w:rsidRPr="004E0D59" w14:paraId="78279E40" w14:textId="77777777" w:rsidTr="00C44283">
        <w:trPr>
          <w:trHeight w:val="300"/>
        </w:trPr>
        <w:tc>
          <w:tcPr>
            <w:tcW w:w="2546" w:type="dxa"/>
            <w:tcBorders>
              <w:top w:val="single" w:sz="4" w:space="0" w:color="auto"/>
              <w:left w:val="nil"/>
              <w:bottom w:val="single" w:sz="4" w:space="0" w:color="auto"/>
              <w:right w:val="nil"/>
            </w:tcBorders>
            <w:shd w:val="clear" w:color="auto" w:fill="auto"/>
            <w:noWrap/>
            <w:vAlign w:val="center"/>
            <w:hideMark/>
          </w:tcPr>
          <w:p w14:paraId="04B874C4" w14:textId="77777777" w:rsidR="009B613D" w:rsidRPr="004E0D59" w:rsidRDefault="009B613D" w:rsidP="00C44283">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Median school IMD (IQR)</w:t>
            </w:r>
          </w:p>
        </w:tc>
        <w:tc>
          <w:tcPr>
            <w:tcW w:w="1701" w:type="dxa"/>
            <w:tcBorders>
              <w:top w:val="single" w:sz="4" w:space="0" w:color="auto"/>
              <w:left w:val="nil"/>
              <w:bottom w:val="single" w:sz="4" w:space="0" w:color="auto"/>
              <w:right w:val="nil"/>
            </w:tcBorders>
            <w:shd w:val="clear" w:color="auto" w:fill="auto"/>
            <w:noWrap/>
            <w:vAlign w:val="center"/>
            <w:hideMark/>
          </w:tcPr>
          <w:p w14:paraId="336442F8" w14:textId="77777777" w:rsidR="009B613D" w:rsidRPr="004E0D59" w:rsidRDefault="009B613D" w:rsidP="00C44283">
            <w:pPr>
              <w:spacing w:after="0" w:line="240" w:lineRule="auto"/>
              <w:jc w:val="center"/>
              <w:rPr>
                <w:rFonts w:ascii="Calibri" w:eastAsia="Times New Roman" w:hAnsi="Calibri" w:cs="Times New Roman"/>
                <w:color w:val="000000"/>
              </w:rPr>
            </w:pPr>
            <w:r w:rsidRPr="004E0D59">
              <w:rPr>
                <w:rFonts w:ascii="Calibri" w:eastAsia="Times New Roman" w:hAnsi="Calibri" w:cs="Times New Roman"/>
                <w:color w:val="000000"/>
              </w:rPr>
              <w:t>14380 (8640)</w:t>
            </w:r>
          </w:p>
        </w:tc>
        <w:tc>
          <w:tcPr>
            <w:tcW w:w="1701" w:type="dxa"/>
            <w:tcBorders>
              <w:top w:val="single" w:sz="4" w:space="0" w:color="auto"/>
              <w:left w:val="nil"/>
              <w:bottom w:val="single" w:sz="4" w:space="0" w:color="auto"/>
              <w:right w:val="nil"/>
            </w:tcBorders>
            <w:shd w:val="clear" w:color="auto" w:fill="auto"/>
            <w:noWrap/>
            <w:vAlign w:val="center"/>
            <w:hideMark/>
          </w:tcPr>
          <w:p w14:paraId="2869EDAD" w14:textId="77777777" w:rsidR="009B613D" w:rsidRPr="004E0D59" w:rsidRDefault="009B613D" w:rsidP="00C44283">
            <w:pPr>
              <w:spacing w:after="0" w:line="240" w:lineRule="auto"/>
              <w:jc w:val="center"/>
              <w:rPr>
                <w:rFonts w:ascii="Calibri" w:eastAsia="Times New Roman" w:hAnsi="Calibri" w:cs="Times New Roman"/>
                <w:color w:val="000000"/>
              </w:rPr>
            </w:pPr>
            <w:r w:rsidRPr="004E0D59">
              <w:rPr>
                <w:rFonts w:ascii="Calibri" w:eastAsia="Times New Roman" w:hAnsi="Calibri" w:cs="Times New Roman"/>
                <w:color w:val="000000"/>
              </w:rPr>
              <w:t>13341 (12577.5)</w:t>
            </w:r>
          </w:p>
        </w:tc>
        <w:tc>
          <w:tcPr>
            <w:tcW w:w="1701" w:type="dxa"/>
            <w:tcBorders>
              <w:top w:val="single" w:sz="4" w:space="0" w:color="auto"/>
              <w:left w:val="nil"/>
              <w:bottom w:val="single" w:sz="4" w:space="0" w:color="auto"/>
              <w:right w:val="nil"/>
            </w:tcBorders>
            <w:shd w:val="clear" w:color="auto" w:fill="auto"/>
            <w:noWrap/>
            <w:vAlign w:val="center"/>
            <w:hideMark/>
          </w:tcPr>
          <w:p w14:paraId="02CFC790" w14:textId="77777777" w:rsidR="009B613D" w:rsidRPr="004E0D59" w:rsidRDefault="009B613D" w:rsidP="00C44283">
            <w:pPr>
              <w:spacing w:after="0" w:line="240" w:lineRule="auto"/>
              <w:jc w:val="center"/>
              <w:rPr>
                <w:rFonts w:ascii="Calibri" w:eastAsia="Times New Roman" w:hAnsi="Calibri" w:cs="Times New Roman"/>
                <w:color w:val="000000"/>
              </w:rPr>
            </w:pPr>
            <w:r w:rsidRPr="004E0D59">
              <w:rPr>
                <w:rFonts w:ascii="Calibri" w:eastAsia="Times New Roman" w:hAnsi="Calibri" w:cs="Times New Roman"/>
                <w:color w:val="000000"/>
              </w:rPr>
              <w:t>13933 (11592)</w:t>
            </w:r>
          </w:p>
        </w:tc>
      </w:tr>
    </w:tbl>
    <w:p w14:paraId="22EEED46" w14:textId="77777777" w:rsidR="009B613D" w:rsidRDefault="009B613D" w:rsidP="009B613D">
      <w:pPr>
        <w:spacing w:after="160" w:line="259" w:lineRule="auto"/>
      </w:pPr>
      <w:r w:rsidRPr="004E0D59">
        <w:br w:type="page"/>
      </w:r>
    </w:p>
    <w:p w14:paraId="43114FC0" w14:textId="49254FDF" w:rsidR="009B613D" w:rsidRPr="00321596" w:rsidRDefault="009B613D" w:rsidP="009B613D">
      <w:pPr>
        <w:pStyle w:val="Heading3"/>
        <w:rPr>
          <w:rFonts w:asciiTheme="minorHAnsi" w:hAnsiTheme="minorHAnsi"/>
        </w:rPr>
      </w:pPr>
      <w:bookmarkStart w:id="404" w:name="_Toc466710089"/>
      <w:bookmarkStart w:id="405" w:name="_Toc466711437"/>
      <w:bookmarkStart w:id="406" w:name="_Toc466712096"/>
      <w:bookmarkStart w:id="407" w:name="_Toc475974364"/>
      <w:r w:rsidRPr="00321596">
        <w:rPr>
          <w:rFonts w:asciiTheme="minorHAnsi" w:hAnsiTheme="minorHAnsi"/>
        </w:rPr>
        <w:lastRenderedPageBreak/>
        <w:t xml:space="preserve">3.3.2 Individual level </w:t>
      </w:r>
      <w:r w:rsidR="003A5EF0" w:rsidRPr="00321596">
        <w:rPr>
          <w:rFonts w:asciiTheme="minorHAnsi" w:hAnsiTheme="minorHAnsi"/>
        </w:rPr>
        <w:t>characteristics</w:t>
      </w:r>
      <w:bookmarkEnd w:id="404"/>
      <w:bookmarkEnd w:id="405"/>
      <w:bookmarkEnd w:id="406"/>
      <w:bookmarkEnd w:id="407"/>
    </w:p>
    <w:p w14:paraId="390C6AB0" w14:textId="77777777" w:rsidR="004E0D59" w:rsidRPr="004E0D59" w:rsidRDefault="004E0D59" w:rsidP="004E0D59">
      <w:pPr>
        <w:spacing w:after="0" w:line="360" w:lineRule="auto"/>
      </w:pPr>
    </w:p>
    <w:p w14:paraId="6F65CB04" w14:textId="0BE40DBA" w:rsidR="00237E08" w:rsidRDefault="004E0D59" w:rsidP="00237E08">
      <w:pPr>
        <w:spacing w:after="0" w:line="360" w:lineRule="auto"/>
      </w:pPr>
      <w:r w:rsidRPr="004E0D59">
        <w:t>Table</w:t>
      </w:r>
      <w:r w:rsidR="00C752D5">
        <w:t>s</w:t>
      </w:r>
      <w:r w:rsidRPr="004E0D59">
        <w:t xml:space="preserve"> </w:t>
      </w:r>
      <w:r w:rsidR="00D36DF5">
        <w:t>6</w:t>
      </w:r>
      <w:r w:rsidR="00237E08">
        <w:t xml:space="preserve"> and </w:t>
      </w:r>
      <w:r w:rsidR="00D36DF5">
        <w:t>7</w:t>
      </w:r>
      <w:r w:rsidR="00C752D5">
        <w:t xml:space="preserve"> </w:t>
      </w:r>
      <w:r w:rsidRPr="004E0D59">
        <w:t xml:space="preserve">show </w:t>
      </w:r>
      <w:r w:rsidR="000A13E3">
        <w:t>the</w:t>
      </w:r>
      <w:r w:rsidRPr="004E0D59">
        <w:t xml:space="preserve"> comparison of individual baseline </w:t>
      </w:r>
      <w:r w:rsidR="00ED2FC2">
        <w:t>characteristics</w:t>
      </w:r>
      <w:r w:rsidRPr="004E0D59">
        <w:t xml:space="preserve"> by allocated group. The two allocated groups were similar in terms of the child level baseline characteristics, including physical activity and food intake </w:t>
      </w:r>
      <w:r w:rsidR="00ED2FC2">
        <w:t>scores</w:t>
      </w:r>
      <w:r w:rsidRPr="004E0D59">
        <w:t>. The baseline anthropometric measurements, though similar and with considerable overlap, were greater on average in the intervention group, with 12.1% and 14.6% of the intervention group classified as overweight and obese, respectively, compared to 10.7% and 12.6% of the control group.</w:t>
      </w:r>
    </w:p>
    <w:p w14:paraId="04AC6CD2" w14:textId="77777777" w:rsidR="00237E08" w:rsidRDefault="00237E08" w:rsidP="00237E08">
      <w:pPr>
        <w:spacing w:after="0" w:line="360" w:lineRule="auto"/>
      </w:pPr>
    </w:p>
    <w:p w14:paraId="6D382CEE" w14:textId="46EF4527" w:rsidR="004E0D59" w:rsidRDefault="004E0D59" w:rsidP="00237E08">
      <w:pPr>
        <w:spacing w:after="0" w:line="360" w:lineRule="auto"/>
        <w:rPr>
          <w:rFonts w:cs="Times New Roman"/>
          <w:b/>
          <w:sz w:val="24"/>
          <w:szCs w:val="24"/>
        </w:rPr>
      </w:pPr>
      <w:r w:rsidRPr="004E0D59">
        <w:rPr>
          <w:rFonts w:cs="Times New Roman"/>
          <w:b/>
          <w:sz w:val="24"/>
          <w:szCs w:val="24"/>
        </w:rPr>
        <w:t>T</w:t>
      </w:r>
      <w:r w:rsidR="00C752D5">
        <w:rPr>
          <w:rFonts w:cs="Times New Roman"/>
          <w:b/>
          <w:sz w:val="24"/>
          <w:szCs w:val="24"/>
        </w:rPr>
        <w:t>ABLE</w:t>
      </w:r>
      <w:r w:rsidRPr="004E0D59">
        <w:rPr>
          <w:rFonts w:cs="Times New Roman"/>
          <w:b/>
          <w:sz w:val="24"/>
          <w:szCs w:val="24"/>
        </w:rPr>
        <w:t xml:space="preserve"> </w:t>
      </w:r>
      <w:r w:rsidR="00D36DF5">
        <w:rPr>
          <w:rFonts w:cs="Times New Roman"/>
          <w:b/>
          <w:sz w:val="24"/>
          <w:szCs w:val="24"/>
        </w:rPr>
        <w:t>6</w:t>
      </w:r>
      <w:r w:rsidRPr="004E0D59">
        <w:rPr>
          <w:rFonts w:cs="Times New Roman"/>
          <w:b/>
          <w:sz w:val="24"/>
          <w:szCs w:val="24"/>
        </w:rPr>
        <w:t xml:space="preserve"> Comparison of individual </w:t>
      </w:r>
      <w:r w:rsidR="009924F0">
        <w:rPr>
          <w:rFonts w:cs="Times New Roman"/>
          <w:b/>
          <w:sz w:val="24"/>
          <w:szCs w:val="24"/>
        </w:rPr>
        <w:t xml:space="preserve">anthropometric </w:t>
      </w:r>
      <w:r w:rsidRPr="004E0D59">
        <w:rPr>
          <w:rFonts w:cs="Times New Roman"/>
          <w:b/>
          <w:sz w:val="24"/>
          <w:szCs w:val="24"/>
        </w:rPr>
        <w:t>baseline characteristics by randomised group</w:t>
      </w:r>
    </w:p>
    <w:p w14:paraId="7526A636" w14:textId="77777777" w:rsidR="00AF1F76" w:rsidRPr="004E0D59" w:rsidRDefault="00AF1F76" w:rsidP="00237E08">
      <w:pPr>
        <w:spacing w:after="0" w:line="360" w:lineRule="auto"/>
        <w:rPr>
          <w:rFonts w:cs="Times New Roman"/>
          <w:b/>
          <w:sz w:val="24"/>
          <w:szCs w:val="24"/>
        </w:rPr>
      </w:pPr>
    </w:p>
    <w:tbl>
      <w:tblPr>
        <w:tblW w:w="8890" w:type="dxa"/>
        <w:tblInd w:w="-142" w:type="dxa"/>
        <w:tblLayout w:type="fixed"/>
        <w:tblLook w:val="04A0" w:firstRow="1" w:lastRow="0" w:firstColumn="1" w:lastColumn="0" w:noHBand="0" w:noVBand="1"/>
      </w:tblPr>
      <w:tblGrid>
        <w:gridCol w:w="2901"/>
        <w:gridCol w:w="639"/>
        <w:gridCol w:w="1358"/>
        <w:gridCol w:w="638"/>
        <w:gridCol w:w="1358"/>
        <w:gridCol w:w="638"/>
        <w:gridCol w:w="1358"/>
      </w:tblGrid>
      <w:tr w:rsidR="004E0D59" w:rsidRPr="004E0D59" w14:paraId="5089061C" w14:textId="77777777" w:rsidTr="002D0625">
        <w:trPr>
          <w:trHeight w:val="709"/>
        </w:trPr>
        <w:tc>
          <w:tcPr>
            <w:tcW w:w="2901" w:type="dxa"/>
            <w:tcBorders>
              <w:top w:val="nil"/>
              <w:left w:val="nil"/>
              <w:bottom w:val="nil"/>
              <w:right w:val="single" w:sz="4" w:space="0" w:color="auto"/>
            </w:tcBorders>
            <w:shd w:val="clear" w:color="auto" w:fill="ABEBFF"/>
            <w:noWrap/>
            <w:hideMark/>
          </w:tcPr>
          <w:p w14:paraId="1F208D91" w14:textId="77777777" w:rsidR="004E0D59" w:rsidRPr="004E0D59" w:rsidRDefault="004E0D59" w:rsidP="004E0D59">
            <w:pPr>
              <w:spacing w:after="0" w:line="240" w:lineRule="auto"/>
              <w:jc w:val="center"/>
              <w:rPr>
                <w:rFonts w:ascii="Calibri" w:eastAsia="Times New Roman" w:hAnsi="Calibri" w:cs="Times New Roman"/>
                <w:b/>
                <w:color w:val="000000"/>
              </w:rPr>
            </w:pPr>
            <w:r w:rsidRPr="004E0D59">
              <w:rPr>
                <w:rFonts w:ascii="Calibri" w:eastAsia="Times New Roman" w:hAnsi="Calibri" w:cs="Times New Roman"/>
                <w:b/>
                <w:color w:val="000000"/>
              </w:rPr>
              <w:t>Characteristic</w:t>
            </w:r>
          </w:p>
        </w:tc>
        <w:tc>
          <w:tcPr>
            <w:tcW w:w="1997" w:type="dxa"/>
            <w:gridSpan w:val="2"/>
            <w:tcBorders>
              <w:top w:val="nil"/>
              <w:left w:val="single" w:sz="4" w:space="0" w:color="auto"/>
              <w:bottom w:val="nil"/>
              <w:right w:val="single" w:sz="4" w:space="0" w:color="auto"/>
            </w:tcBorders>
            <w:shd w:val="clear" w:color="auto" w:fill="ABEBFF"/>
            <w:noWrap/>
            <w:hideMark/>
          </w:tcPr>
          <w:p w14:paraId="3EE3A4C1" w14:textId="77777777" w:rsidR="004E0D59" w:rsidRPr="004E0D59" w:rsidRDefault="004E0D59" w:rsidP="004E0D59">
            <w:pPr>
              <w:spacing w:after="0" w:line="240" w:lineRule="auto"/>
              <w:jc w:val="center"/>
              <w:rPr>
                <w:rFonts w:ascii="Calibri" w:eastAsia="Times New Roman" w:hAnsi="Calibri" w:cs="Times New Roman"/>
                <w:b/>
                <w:color w:val="000000"/>
              </w:rPr>
            </w:pPr>
            <w:r w:rsidRPr="004E0D59">
              <w:rPr>
                <w:rFonts w:ascii="Calibri" w:eastAsia="Times New Roman" w:hAnsi="Calibri" w:cs="Times New Roman"/>
                <w:b/>
                <w:color w:val="000000"/>
              </w:rPr>
              <w:t>Intervention Group</w:t>
            </w:r>
          </w:p>
          <w:p w14:paraId="3E3458FB" w14:textId="77777777" w:rsidR="004E0D59" w:rsidRPr="004E0D59" w:rsidRDefault="004E0D59" w:rsidP="004E0D59">
            <w:pPr>
              <w:spacing w:after="0" w:line="240" w:lineRule="auto"/>
              <w:jc w:val="center"/>
              <w:rPr>
                <w:rFonts w:ascii="Calibri" w:eastAsia="Times New Roman" w:hAnsi="Calibri" w:cs="Times New Roman"/>
                <w:b/>
                <w:color w:val="000000"/>
              </w:rPr>
            </w:pPr>
            <w:r w:rsidRPr="004E0D59">
              <w:rPr>
                <w:rFonts w:ascii="Calibri" w:eastAsia="Times New Roman" w:hAnsi="Calibri" w:cs="Times New Roman"/>
                <w:b/>
                <w:color w:val="000000"/>
              </w:rPr>
              <w:t>n = 676</w:t>
            </w:r>
          </w:p>
        </w:tc>
        <w:tc>
          <w:tcPr>
            <w:tcW w:w="1996" w:type="dxa"/>
            <w:gridSpan w:val="2"/>
            <w:tcBorders>
              <w:top w:val="nil"/>
              <w:left w:val="single" w:sz="4" w:space="0" w:color="auto"/>
              <w:bottom w:val="nil"/>
              <w:right w:val="single" w:sz="4" w:space="0" w:color="auto"/>
            </w:tcBorders>
            <w:shd w:val="clear" w:color="auto" w:fill="ABEBFF"/>
            <w:noWrap/>
            <w:hideMark/>
          </w:tcPr>
          <w:p w14:paraId="794658FE" w14:textId="77777777" w:rsidR="004E0D59" w:rsidRPr="004E0D59" w:rsidRDefault="004E0D59" w:rsidP="004E0D59">
            <w:pPr>
              <w:spacing w:after="0" w:line="240" w:lineRule="auto"/>
              <w:jc w:val="center"/>
              <w:rPr>
                <w:rFonts w:ascii="Calibri" w:eastAsia="Times New Roman" w:hAnsi="Calibri" w:cs="Times New Roman"/>
                <w:b/>
                <w:color w:val="000000"/>
              </w:rPr>
            </w:pPr>
            <w:r w:rsidRPr="004E0D59">
              <w:rPr>
                <w:rFonts w:ascii="Calibri" w:eastAsia="Times New Roman" w:hAnsi="Calibri" w:cs="Times New Roman"/>
                <w:b/>
                <w:color w:val="000000"/>
              </w:rPr>
              <w:t>Control Group</w:t>
            </w:r>
          </w:p>
          <w:p w14:paraId="1AD0F0E0" w14:textId="77777777" w:rsidR="004E0D59" w:rsidRPr="004E0D59" w:rsidRDefault="004E0D59" w:rsidP="004E0D59">
            <w:pPr>
              <w:spacing w:after="0" w:line="240" w:lineRule="auto"/>
              <w:jc w:val="center"/>
              <w:rPr>
                <w:rFonts w:ascii="Calibri" w:eastAsia="Times New Roman" w:hAnsi="Calibri" w:cs="Times New Roman"/>
                <w:b/>
                <w:color w:val="000000"/>
              </w:rPr>
            </w:pPr>
            <w:r w:rsidRPr="004E0D59">
              <w:rPr>
                <w:rFonts w:ascii="Calibri" w:eastAsia="Times New Roman" w:hAnsi="Calibri" w:cs="Times New Roman"/>
                <w:b/>
                <w:color w:val="000000"/>
              </w:rPr>
              <w:t>n = 648</w:t>
            </w:r>
          </w:p>
        </w:tc>
        <w:tc>
          <w:tcPr>
            <w:tcW w:w="1996" w:type="dxa"/>
            <w:gridSpan w:val="2"/>
            <w:tcBorders>
              <w:top w:val="nil"/>
              <w:left w:val="single" w:sz="4" w:space="0" w:color="auto"/>
              <w:bottom w:val="nil"/>
              <w:right w:val="single" w:sz="4" w:space="0" w:color="auto"/>
            </w:tcBorders>
            <w:shd w:val="clear" w:color="auto" w:fill="ABEBFF"/>
            <w:noWrap/>
            <w:hideMark/>
          </w:tcPr>
          <w:p w14:paraId="5CB58ABA" w14:textId="77777777" w:rsidR="004E0D59" w:rsidRPr="004E0D59" w:rsidRDefault="004E0D59" w:rsidP="004E0D59">
            <w:pPr>
              <w:spacing w:after="0" w:line="240" w:lineRule="auto"/>
              <w:jc w:val="center"/>
              <w:rPr>
                <w:rFonts w:ascii="Calibri" w:eastAsia="Times New Roman" w:hAnsi="Calibri" w:cs="Times New Roman"/>
                <w:b/>
                <w:color w:val="000000"/>
              </w:rPr>
            </w:pPr>
            <w:r w:rsidRPr="004E0D59">
              <w:rPr>
                <w:rFonts w:ascii="Calibri" w:eastAsia="Times New Roman" w:hAnsi="Calibri" w:cs="Times New Roman"/>
                <w:b/>
                <w:color w:val="000000"/>
              </w:rPr>
              <w:t>All</w:t>
            </w:r>
          </w:p>
          <w:p w14:paraId="3B97FB1B" w14:textId="77777777" w:rsidR="004E0D59" w:rsidRPr="004E0D59" w:rsidRDefault="004E0D59" w:rsidP="004E0D59">
            <w:pPr>
              <w:spacing w:after="0" w:line="240" w:lineRule="auto"/>
              <w:jc w:val="center"/>
              <w:rPr>
                <w:rFonts w:ascii="Calibri" w:eastAsia="Times New Roman" w:hAnsi="Calibri" w:cs="Times New Roman"/>
                <w:b/>
                <w:color w:val="000000"/>
              </w:rPr>
            </w:pPr>
            <w:r w:rsidRPr="004E0D59">
              <w:rPr>
                <w:rFonts w:ascii="Calibri" w:eastAsia="Times New Roman" w:hAnsi="Calibri" w:cs="Times New Roman"/>
                <w:b/>
                <w:color w:val="000000"/>
              </w:rPr>
              <w:t>n = 1324</w:t>
            </w:r>
          </w:p>
        </w:tc>
      </w:tr>
      <w:tr w:rsidR="004E0D59" w:rsidRPr="004E0D59" w14:paraId="0EFCAC0C" w14:textId="77777777" w:rsidTr="002D0625">
        <w:trPr>
          <w:trHeight w:val="300"/>
        </w:trPr>
        <w:tc>
          <w:tcPr>
            <w:tcW w:w="2901" w:type="dxa"/>
            <w:tcBorders>
              <w:top w:val="nil"/>
              <w:left w:val="nil"/>
              <w:bottom w:val="nil"/>
              <w:right w:val="single" w:sz="4" w:space="0" w:color="auto"/>
            </w:tcBorders>
            <w:shd w:val="clear" w:color="auto" w:fill="ABEBFF"/>
            <w:noWrap/>
            <w:vAlign w:val="bottom"/>
            <w:hideMark/>
          </w:tcPr>
          <w:p w14:paraId="33BC4F11" w14:textId="77777777" w:rsidR="004E0D59" w:rsidRPr="004E0D59" w:rsidRDefault="004E0D59" w:rsidP="004E0D59">
            <w:pPr>
              <w:spacing w:after="0" w:line="240" w:lineRule="auto"/>
              <w:rPr>
                <w:rFonts w:ascii="Times New Roman" w:eastAsia="Times New Roman" w:hAnsi="Times New Roman" w:cs="Times New Roman"/>
                <w:b/>
                <w:sz w:val="20"/>
                <w:szCs w:val="20"/>
              </w:rPr>
            </w:pPr>
          </w:p>
        </w:tc>
        <w:tc>
          <w:tcPr>
            <w:tcW w:w="639" w:type="dxa"/>
            <w:tcBorders>
              <w:top w:val="nil"/>
              <w:left w:val="single" w:sz="4" w:space="0" w:color="auto"/>
              <w:bottom w:val="nil"/>
              <w:right w:val="nil"/>
            </w:tcBorders>
            <w:shd w:val="clear" w:color="auto" w:fill="ABEBFF"/>
            <w:noWrap/>
            <w:vAlign w:val="bottom"/>
            <w:hideMark/>
          </w:tcPr>
          <w:p w14:paraId="5A32126B" w14:textId="77777777" w:rsidR="004E0D59" w:rsidRPr="004E0D59" w:rsidRDefault="004E0D59" w:rsidP="004E0D59">
            <w:pPr>
              <w:spacing w:after="0" w:line="240" w:lineRule="auto"/>
              <w:rPr>
                <w:rFonts w:ascii="Calibri" w:eastAsia="Times New Roman" w:hAnsi="Calibri" w:cs="Times New Roman"/>
                <w:b/>
                <w:color w:val="000000"/>
              </w:rPr>
            </w:pPr>
            <w:r w:rsidRPr="004E0D59">
              <w:rPr>
                <w:rFonts w:ascii="Calibri" w:eastAsia="Times New Roman" w:hAnsi="Calibri" w:cs="Times New Roman"/>
                <w:b/>
                <w:color w:val="000000"/>
              </w:rPr>
              <w:t>n</w:t>
            </w:r>
          </w:p>
        </w:tc>
        <w:tc>
          <w:tcPr>
            <w:tcW w:w="1358" w:type="dxa"/>
            <w:tcBorders>
              <w:top w:val="nil"/>
              <w:left w:val="nil"/>
              <w:bottom w:val="nil"/>
              <w:right w:val="single" w:sz="4" w:space="0" w:color="auto"/>
            </w:tcBorders>
            <w:shd w:val="clear" w:color="auto" w:fill="ABEBFF"/>
            <w:noWrap/>
            <w:vAlign w:val="bottom"/>
            <w:hideMark/>
          </w:tcPr>
          <w:p w14:paraId="4DF98B81" w14:textId="77777777" w:rsidR="004E0D59" w:rsidRPr="004E0D59" w:rsidRDefault="004E0D59" w:rsidP="004E0D59">
            <w:pPr>
              <w:spacing w:after="0" w:line="240" w:lineRule="auto"/>
              <w:rPr>
                <w:rFonts w:ascii="Calibri" w:eastAsia="Times New Roman" w:hAnsi="Calibri" w:cs="Times New Roman"/>
                <w:b/>
                <w:color w:val="000000"/>
              </w:rPr>
            </w:pPr>
            <w:r w:rsidRPr="004E0D59">
              <w:rPr>
                <w:rFonts w:ascii="Calibri" w:eastAsia="Times New Roman" w:hAnsi="Calibri" w:cs="Times New Roman"/>
                <w:b/>
                <w:color w:val="000000"/>
              </w:rPr>
              <w:t>%</w:t>
            </w:r>
          </w:p>
        </w:tc>
        <w:tc>
          <w:tcPr>
            <w:tcW w:w="638" w:type="dxa"/>
            <w:tcBorders>
              <w:top w:val="nil"/>
              <w:left w:val="single" w:sz="4" w:space="0" w:color="auto"/>
              <w:bottom w:val="nil"/>
              <w:right w:val="nil"/>
            </w:tcBorders>
            <w:shd w:val="clear" w:color="auto" w:fill="ABEBFF"/>
            <w:noWrap/>
            <w:vAlign w:val="bottom"/>
            <w:hideMark/>
          </w:tcPr>
          <w:p w14:paraId="7969BEA2" w14:textId="77777777" w:rsidR="004E0D59" w:rsidRPr="004E0D59" w:rsidRDefault="004E0D59" w:rsidP="004E0D59">
            <w:pPr>
              <w:spacing w:after="0" w:line="240" w:lineRule="auto"/>
              <w:rPr>
                <w:rFonts w:ascii="Calibri" w:eastAsia="Times New Roman" w:hAnsi="Calibri" w:cs="Times New Roman"/>
                <w:b/>
                <w:color w:val="000000"/>
              </w:rPr>
            </w:pPr>
            <w:r w:rsidRPr="004E0D59">
              <w:rPr>
                <w:rFonts w:ascii="Calibri" w:eastAsia="Times New Roman" w:hAnsi="Calibri" w:cs="Times New Roman"/>
                <w:b/>
                <w:color w:val="000000"/>
              </w:rPr>
              <w:t>n</w:t>
            </w:r>
          </w:p>
        </w:tc>
        <w:tc>
          <w:tcPr>
            <w:tcW w:w="1358" w:type="dxa"/>
            <w:tcBorders>
              <w:top w:val="nil"/>
              <w:left w:val="nil"/>
              <w:bottom w:val="nil"/>
              <w:right w:val="single" w:sz="4" w:space="0" w:color="auto"/>
            </w:tcBorders>
            <w:shd w:val="clear" w:color="auto" w:fill="ABEBFF"/>
            <w:noWrap/>
            <w:vAlign w:val="bottom"/>
            <w:hideMark/>
          </w:tcPr>
          <w:p w14:paraId="68C346D5" w14:textId="77777777" w:rsidR="004E0D59" w:rsidRPr="004E0D59" w:rsidRDefault="004E0D59" w:rsidP="004E0D59">
            <w:pPr>
              <w:spacing w:after="0" w:line="240" w:lineRule="auto"/>
              <w:rPr>
                <w:rFonts w:ascii="Calibri" w:eastAsia="Times New Roman" w:hAnsi="Calibri" w:cs="Times New Roman"/>
                <w:b/>
                <w:color w:val="000000"/>
              </w:rPr>
            </w:pPr>
            <w:r w:rsidRPr="004E0D59">
              <w:rPr>
                <w:rFonts w:ascii="Calibri" w:eastAsia="Times New Roman" w:hAnsi="Calibri" w:cs="Times New Roman"/>
                <w:b/>
                <w:color w:val="000000"/>
              </w:rPr>
              <w:t>%</w:t>
            </w:r>
          </w:p>
        </w:tc>
        <w:tc>
          <w:tcPr>
            <w:tcW w:w="638" w:type="dxa"/>
            <w:tcBorders>
              <w:top w:val="nil"/>
              <w:left w:val="single" w:sz="4" w:space="0" w:color="auto"/>
              <w:bottom w:val="nil"/>
              <w:right w:val="nil"/>
            </w:tcBorders>
            <w:shd w:val="clear" w:color="auto" w:fill="ABEBFF"/>
            <w:noWrap/>
            <w:vAlign w:val="bottom"/>
            <w:hideMark/>
          </w:tcPr>
          <w:p w14:paraId="26814E7E" w14:textId="77777777" w:rsidR="004E0D59" w:rsidRPr="004E0D59" w:rsidRDefault="004E0D59" w:rsidP="004E0D59">
            <w:pPr>
              <w:spacing w:after="0" w:line="240" w:lineRule="auto"/>
              <w:rPr>
                <w:rFonts w:ascii="Calibri" w:eastAsia="Times New Roman" w:hAnsi="Calibri" w:cs="Times New Roman"/>
                <w:b/>
                <w:color w:val="000000"/>
              </w:rPr>
            </w:pPr>
            <w:r w:rsidRPr="004E0D59">
              <w:rPr>
                <w:rFonts w:ascii="Calibri" w:eastAsia="Times New Roman" w:hAnsi="Calibri" w:cs="Times New Roman"/>
                <w:b/>
                <w:color w:val="000000"/>
              </w:rPr>
              <w:t>n</w:t>
            </w:r>
          </w:p>
        </w:tc>
        <w:tc>
          <w:tcPr>
            <w:tcW w:w="1358" w:type="dxa"/>
            <w:tcBorders>
              <w:top w:val="nil"/>
              <w:left w:val="nil"/>
              <w:bottom w:val="nil"/>
              <w:right w:val="single" w:sz="4" w:space="0" w:color="auto"/>
            </w:tcBorders>
            <w:shd w:val="clear" w:color="auto" w:fill="ABEBFF"/>
            <w:noWrap/>
            <w:vAlign w:val="bottom"/>
            <w:hideMark/>
          </w:tcPr>
          <w:p w14:paraId="49AD0DF1" w14:textId="77777777" w:rsidR="004E0D59" w:rsidRPr="004E0D59" w:rsidRDefault="004E0D59" w:rsidP="004E0D59">
            <w:pPr>
              <w:spacing w:after="0" w:line="240" w:lineRule="auto"/>
              <w:rPr>
                <w:rFonts w:ascii="Calibri" w:eastAsia="Times New Roman" w:hAnsi="Calibri" w:cs="Times New Roman"/>
                <w:b/>
                <w:color w:val="000000"/>
              </w:rPr>
            </w:pPr>
            <w:r w:rsidRPr="004E0D59">
              <w:rPr>
                <w:rFonts w:ascii="Calibri" w:eastAsia="Times New Roman" w:hAnsi="Calibri" w:cs="Times New Roman"/>
                <w:b/>
                <w:color w:val="000000"/>
              </w:rPr>
              <w:t>%</w:t>
            </w:r>
          </w:p>
        </w:tc>
      </w:tr>
      <w:tr w:rsidR="004E0D59" w:rsidRPr="004E0D59" w14:paraId="7982030A" w14:textId="77777777" w:rsidTr="002D0625">
        <w:trPr>
          <w:trHeight w:val="300"/>
        </w:trPr>
        <w:tc>
          <w:tcPr>
            <w:tcW w:w="2901" w:type="dxa"/>
            <w:tcBorders>
              <w:top w:val="nil"/>
              <w:left w:val="nil"/>
              <w:bottom w:val="nil"/>
              <w:right w:val="single" w:sz="4" w:space="0" w:color="auto"/>
            </w:tcBorders>
            <w:shd w:val="clear" w:color="auto" w:fill="auto"/>
            <w:noWrap/>
            <w:hideMark/>
          </w:tcPr>
          <w:p w14:paraId="0E610581" w14:textId="08A4CB7A" w:rsidR="004E0D59" w:rsidRPr="004E0D59" w:rsidRDefault="004E0D59" w:rsidP="00C23936">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Mean Age (</w:t>
            </w:r>
            <w:r w:rsidR="00C23936">
              <w:rPr>
                <w:rFonts w:ascii="Calibri" w:eastAsia="Times New Roman" w:hAnsi="Calibri" w:cs="Times New Roman"/>
                <w:color w:val="000000"/>
              </w:rPr>
              <w:t>SD</w:t>
            </w:r>
            <w:r w:rsidRPr="004E0D59">
              <w:rPr>
                <w:rFonts w:ascii="Calibri" w:eastAsia="Times New Roman" w:hAnsi="Calibri" w:cs="Times New Roman"/>
                <w:color w:val="000000"/>
              </w:rPr>
              <w:t>)</w:t>
            </w:r>
          </w:p>
        </w:tc>
        <w:tc>
          <w:tcPr>
            <w:tcW w:w="639" w:type="dxa"/>
            <w:tcBorders>
              <w:top w:val="nil"/>
              <w:left w:val="single" w:sz="4" w:space="0" w:color="auto"/>
              <w:bottom w:val="nil"/>
              <w:right w:val="nil"/>
            </w:tcBorders>
            <w:shd w:val="clear" w:color="auto" w:fill="auto"/>
            <w:noWrap/>
            <w:vAlign w:val="center"/>
            <w:hideMark/>
          </w:tcPr>
          <w:p w14:paraId="3B1CE1BB" w14:textId="77777777" w:rsidR="004E0D59" w:rsidRPr="004E0D59" w:rsidRDefault="004E0D59" w:rsidP="004E0D59">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5E0CA1CB" w14:textId="77777777" w:rsidR="004E0D59" w:rsidRPr="004E0D59" w:rsidRDefault="004E0D59" w:rsidP="004E0D59">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9.8 (0.3)</w:t>
            </w:r>
          </w:p>
        </w:tc>
        <w:tc>
          <w:tcPr>
            <w:tcW w:w="638" w:type="dxa"/>
            <w:tcBorders>
              <w:top w:val="nil"/>
              <w:left w:val="single" w:sz="4" w:space="0" w:color="auto"/>
              <w:bottom w:val="nil"/>
              <w:right w:val="nil"/>
            </w:tcBorders>
            <w:shd w:val="clear" w:color="auto" w:fill="auto"/>
            <w:noWrap/>
            <w:vAlign w:val="center"/>
            <w:hideMark/>
          </w:tcPr>
          <w:p w14:paraId="25A7C0F0" w14:textId="77777777" w:rsidR="004E0D59" w:rsidRPr="004E0D59" w:rsidRDefault="004E0D59" w:rsidP="004E0D59">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2FA18903" w14:textId="77777777" w:rsidR="004E0D59" w:rsidRPr="004E0D59" w:rsidRDefault="004E0D59" w:rsidP="004E0D59">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9.7 (0.3)</w:t>
            </w:r>
          </w:p>
        </w:tc>
        <w:tc>
          <w:tcPr>
            <w:tcW w:w="638" w:type="dxa"/>
            <w:tcBorders>
              <w:top w:val="nil"/>
              <w:left w:val="single" w:sz="4" w:space="0" w:color="auto"/>
              <w:bottom w:val="nil"/>
              <w:right w:val="nil"/>
            </w:tcBorders>
            <w:shd w:val="clear" w:color="auto" w:fill="auto"/>
            <w:noWrap/>
            <w:vAlign w:val="center"/>
            <w:hideMark/>
          </w:tcPr>
          <w:p w14:paraId="6311F90D" w14:textId="77777777" w:rsidR="004E0D59" w:rsidRPr="004E0D59" w:rsidRDefault="004E0D59" w:rsidP="004E0D59">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438C5412" w14:textId="77777777" w:rsidR="004E0D59" w:rsidRPr="004E0D59" w:rsidRDefault="004E0D59" w:rsidP="004E0D59">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9.7 (0.3)</w:t>
            </w:r>
          </w:p>
        </w:tc>
      </w:tr>
      <w:tr w:rsidR="004E0D59" w:rsidRPr="004E0D59" w14:paraId="16CA2191" w14:textId="77777777" w:rsidTr="002D0625">
        <w:trPr>
          <w:trHeight w:val="300"/>
        </w:trPr>
        <w:tc>
          <w:tcPr>
            <w:tcW w:w="2901" w:type="dxa"/>
            <w:tcBorders>
              <w:top w:val="nil"/>
              <w:left w:val="nil"/>
              <w:bottom w:val="nil"/>
              <w:right w:val="single" w:sz="4" w:space="0" w:color="auto"/>
            </w:tcBorders>
            <w:shd w:val="clear" w:color="auto" w:fill="auto"/>
            <w:noWrap/>
            <w:hideMark/>
          </w:tcPr>
          <w:p w14:paraId="0BBB81EF" w14:textId="77777777" w:rsidR="004E0D59" w:rsidRPr="004E0D59" w:rsidRDefault="004E0D59" w:rsidP="004E0D59">
            <w:pPr>
              <w:spacing w:after="0" w:line="240" w:lineRule="auto"/>
              <w:rPr>
                <w:rFonts w:ascii="Calibri" w:eastAsia="Times New Roman" w:hAnsi="Calibri" w:cs="Times New Roman"/>
                <w:b/>
                <w:color w:val="000000"/>
              </w:rPr>
            </w:pPr>
            <w:r w:rsidRPr="004E0D59">
              <w:rPr>
                <w:rFonts w:ascii="Calibri" w:eastAsia="Times New Roman" w:hAnsi="Calibri" w:cs="Times New Roman"/>
                <w:b/>
                <w:color w:val="000000"/>
              </w:rPr>
              <w:t>Gender:</w:t>
            </w:r>
          </w:p>
        </w:tc>
        <w:tc>
          <w:tcPr>
            <w:tcW w:w="639" w:type="dxa"/>
            <w:tcBorders>
              <w:top w:val="nil"/>
              <w:left w:val="single" w:sz="4" w:space="0" w:color="auto"/>
              <w:bottom w:val="nil"/>
              <w:right w:val="nil"/>
            </w:tcBorders>
            <w:shd w:val="clear" w:color="auto" w:fill="auto"/>
            <w:noWrap/>
            <w:vAlign w:val="center"/>
            <w:hideMark/>
          </w:tcPr>
          <w:p w14:paraId="3374657F" w14:textId="77777777" w:rsidR="004E0D59" w:rsidRPr="004E0D59" w:rsidRDefault="004E0D59" w:rsidP="004E0D59">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13669168" w14:textId="77777777" w:rsidR="004E0D59" w:rsidRPr="004E0D59" w:rsidRDefault="004E0D59" w:rsidP="004E0D59">
            <w:pPr>
              <w:spacing w:after="0" w:line="240" w:lineRule="auto"/>
              <w:rPr>
                <w:rFonts w:ascii="Times New Roman" w:eastAsia="Times New Roman" w:hAnsi="Times New Roman" w:cs="Times New Roman"/>
                <w:sz w:val="20"/>
                <w:szCs w:val="20"/>
              </w:rPr>
            </w:pPr>
          </w:p>
        </w:tc>
        <w:tc>
          <w:tcPr>
            <w:tcW w:w="638" w:type="dxa"/>
            <w:tcBorders>
              <w:top w:val="nil"/>
              <w:left w:val="single" w:sz="4" w:space="0" w:color="auto"/>
              <w:bottom w:val="nil"/>
              <w:right w:val="nil"/>
            </w:tcBorders>
            <w:shd w:val="clear" w:color="auto" w:fill="auto"/>
            <w:noWrap/>
            <w:vAlign w:val="center"/>
            <w:hideMark/>
          </w:tcPr>
          <w:p w14:paraId="60E4F535" w14:textId="77777777" w:rsidR="004E0D59" w:rsidRPr="004E0D59" w:rsidRDefault="004E0D59" w:rsidP="004E0D59">
            <w:pPr>
              <w:spacing w:after="0" w:line="240" w:lineRule="auto"/>
              <w:rPr>
                <w:rFonts w:ascii="Times New Roman" w:eastAsia="Times New Roman" w:hAnsi="Times New Roman" w:cs="Times New Roman"/>
                <w:sz w:val="20"/>
                <w:szCs w:val="20"/>
              </w:rPr>
            </w:pPr>
          </w:p>
        </w:tc>
        <w:tc>
          <w:tcPr>
            <w:tcW w:w="1358" w:type="dxa"/>
            <w:tcBorders>
              <w:top w:val="nil"/>
              <w:left w:val="nil"/>
              <w:bottom w:val="nil"/>
              <w:right w:val="single" w:sz="4" w:space="0" w:color="auto"/>
            </w:tcBorders>
            <w:shd w:val="clear" w:color="auto" w:fill="auto"/>
            <w:noWrap/>
            <w:vAlign w:val="center"/>
            <w:hideMark/>
          </w:tcPr>
          <w:p w14:paraId="4A9FD575" w14:textId="77777777" w:rsidR="004E0D59" w:rsidRPr="004E0D59" w:rsidRDefault="004E0D59" w:rsidP="004E0D59">
            <w:pPr>
              <w:spacing w:after="0" w:line="240" w:lineRule="auto"/>
              <w:rPr>
                <w:rFonts w:ascii="Times New Roman" w:eastAsia="Times New Roman" w:hAnsi="Times New Roman" w:cs="Times New Roman"/>
                <w:sz w:val="20"/>
                <w:szCs w:val="20"/>
              </w:rPr>
            </w:pPr>
          </w:p>
        </w:tc>
        <w:tc>
          <w:tcPr>
            <w:tcW w:w="638" w:type="dxa"/>
            <w:tcBorders>
              <w:top w:val="nil"/>
              <w:left w:val="single" w:sz="4" w:space="0" w:color="auto"/>
              <w:bottom w:val="nil"/>
              <w:right w:val="nil"/>
            </w:tcBorders>
            <w:shd w:val="clear" w:color="auto" w:fill="auto"/>
            <w:noWrap/>
            <w:vAlign w:val="center"/>
            <w:hideMark/>
          </w:tcPr>
          <w:p w14:paraId="70CCD639" w14:textId="77777777" w:rsidR="004E0D59" w:rsidRPr="004E0D59" w:rsidRDefault="004E0D59" w:rsidP="004E0D59">
            <w:pPr>
              <w:spacing w:after="0" w:line="240" w:lineRule="auto"/>
              <w:rPr>
                <w:rFonts w:ascii="Times New Roman" w:eastAsia="Times New Roman" w:hAnsi="Times New Roman" w:cs="Times New Roman"/>
                <w:sz w:val="20"/>
                <w:szCs w:val="20"/>
              </w:rPr>
            </w:pPr>
          </w:p>
        </w:tc>
        <w:tc>
          <w:tcPr>
            <w:tcW w:w="1358" w:type="dxa"/>
            <w:tcBorders>
              <w:top w:val="nil"/>
              <w:left w:val="nil"/>
              <w:bottom w:val="nil"/>
              <w:right w:val="single" w:sz="4" w:space="0" w:color="auto"/>
            </w:tcBorders>
            <w:shd w:val="clear" w:color="auto" w:fill="auto"/>
            <w:noWrap/>
            <w:vAlign w:val="center"/>
            <w:hideMark/>
          </w:tcPr>
          <w:p w14:paraId="7D43380C" w14:textId="77777777" w:rsidR="004E0D59" w:rsidRPr="004E0D59" w:rsidRDefault="004E0D59" w:rsidP="004E0D59">
            <w:pPr>
              <w:spacing w:after="0" w:line="240" w:lineRule="auto"/>
              <w:rPr>
                <w:rFonts w:ascii="Times New Roman" w:eastAsia="Times New Roman" w:hAnsi="Times New Roman" w:cs="Times New Roman"/>
                <w:sz w:val="20"/>
                <w:szCs w:val="20"/>
              </w:rPr>
            </w:pPr>
          </w:p>
        </w:tc>
      </w:tr>
      <w:tr w:rsidR="004E0D59" w:rsidRPr="004E0D59" w14:paraId="3312046E" w14:textId="77777777" w:rsidTr="002D0625">
        <w:trPr>
          <w:trHeight w:val="300"/>
        </w:trPr>
        <w:tc>
          <w:tcPr>
            <w:tcW w:w="2901" w:type="dxa"/>
            <w:tcBorders>
              <w:top w:val="nil"/>
              <w:left w:val="nil"/>
              <w:bottom w:val="nil"/>
              <w:right w:val="single" w:sz="4" w:space="0" w:color="auto"/>
            </w:tcBorders>
            <w:shd w:val="clear" w:color="auto" w:fill="auto"/>
            <w:noWrap/>
            <w:hideMark/>
          </w:tcPr>
          <w:p w14:paraId="63767F3B" w14:textId="77777777" w:rsidR="004E0D59" w:rsidRPr="004E0D59" w:rsidRDefault="004E0D59" w:rsidP="004E0D59">
            <w:pPr>
              <w:spacing w:after="0" w:line="240" w:lineRule="auto"/>
              <w:ind w:firstLine="180"/>
              <w:rPr>
                <w:rFonts w:ascii="Calibri" w:eastAsia="Times New Roman" w:hAnsi="Calibri" w:cs="Times New Roman"/>
                <w:color w:val="000000"/>
              </w:rPr>
            </w:pPr>
            <w:r w:rsidRPr="004E0D59">
              <w:rPr>
                <w:rFonts w:ascii="Calibri" w:eastAsia="Times New Roman" w:hAnsi="Calibri" w:cs="Times New Roman"/>
                <w:color w:val="000000"/>
              </w:rPr>
              <w:t>Female</w:t>
            </w:r>
          </w:p>
        </w:tc>
        <w:tc>
          <w:tcPr>
            <w:tcW w:w="639" w:type="dxa"/>
            <w:tcBorders>
              <w:top w:val="nil"/>
              <w:left w:val="single" w:sz="4" w:space="0" w:color="auto"/>
              <w:bottom w:val="nil"/>
              <w:right w:val="nil"/>
            </w:tcBorders>
            <w:shd w:val="clear" w:color="auto" w:fill="auto"/>
            <w:noWrap/>
            <w:vAlign w:val="center"/>
            <w:hideMark/>
          </w:tcPr>
          <w:p w14:paraId="53FBE62E" w14:textId="77777777" w:rsidR="004E0D59" w:rsidRPr="004E0D59" w:rsidRDefault="004E0D59" w:rsidP="004E0D59">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336</w:t>
            </w:r>
          </w:p>
        </w:tc>
        <w:tc>
          <w:tcPr>
            <w:tcW w:w="1358" w:type="dxa"/>
            <w:tcBorders>
              <w:top w:val="nil"/>
              <w:left w:val="nil"/>
              <w:bottom w:val="nil"/>
              <w:right w:val="single" w:sz="4" w:space="0" w:color="auto"/>
            </w:tcBorders>
            <w:shd w:val="clear" w:color="auto" w:fill="auto"/>
            <w:noWrap/>
            <w:vAlign w:val="center"/>
            <w:hideMark/>
          </w:tcPr>
          <w:p w14:paraId="01BA5432" w14:textId="77777777" w:rsidR="004E0D59" w:rsidRPr="004E0D59" w:rsidRDefault="004E0D59" w:rsidP="004E0D59">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49.7</w:t>
            </w:r>
          </w:p>
        </w:tc>
        <w:tc>
          <w:tcPr>
            <w:tcW w:w="638" w:type="dxa"/>
            <w:tcBorders>
              <w:top w:val="nil"/>
              <w:left w:val="single" w:sz="4" w:space="0" w:color="auto"/>
              <w:bottom w:val="nil"/>
              <w:right w:val="nil"/>
            </w:tcBorders>
            <w:shd w:val="clear" w:color="auto" w:fill="auto"/>
            <w:noWrap/>
            <w:vAlign w:val="center"/>
            <w:hideMark/>
          </w:tcPr>
          <w:p w14:paraId="643CC1B4" w14:textId="77777777" w:rsidR="004E0D59" w:rsidRPr="004E0D59" w:rsidRDefault="004E0D59" w:rsidP="004E0D59">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343</w:t>
            </w:r>
          </w:p>
        </w:tc>
        <w:tc>
          <w:tcPr>
            <w:tcW w:w="1358" w:type="dxa"/>
            <w:tcBorders>
              <w:top w:val="nil"/>
              <w:left w:val="nil"/>
              <w:bottom w:val="nil"/>
              <w:right w:val="single" w:sz="4" w:space="0" w:color="auto"/>
            </w:tcBorders>
            <w:shd w:val="clear" w:color="auto" w:fill="auto"/>
            <w:noWrap/>
            <w:vAlign w:val="center"/>
            <w:hideMark/>
          </w:tcPr>
          <w:p w14:paraId="09DFF16F" w14:textId="77777777" w:rsidR="004E0D59" w:rsidRPr="004E0D59" w:rsidRDefault="004E0D59" w:rsidP="004E0D59">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52.9</w:t>
            </w:r>
          </w:p>
        </w:tc>
        <w:tc>
          <w:tcPr>
            <w:tcW w:w="638" w:type="dxa"/>
            <w:tcBorders>
              <w:top w:val="nil"/>
              <w:left w:val="single" w:sz="4" w:space="0" w:color="auto"/>
              <w:bottom w:val="nil"/>
              <w:right w:val="nil"/>
            </w:tcBorders>
            <w:shd w:val="clear" w:color="auto" w:fill="auto"/>
            <w:noWrap/>
            <w:vAlign w:val="center"/>
            <w:hideMark/>
          </w:tcPr>
          <w:p w14:paraId="6F3DEE09" w14:textId="77777777" w:rsidR="004E0D59" w:rsidRPr="004E0D59" w:rsidRDefault="004E0D59" w:rsidP="004E0D59">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679</w:t>
            </w:r>
          </w:p>
        </w:tc>
        <w:tc>
          <w:tcPr>
            <w:tcW w:w="1358" w:type="dxa"/>
            <w:tcBorders>
              <w:top w:val="nil"/>
              <w:left w:val="nil"/>
              <w:bottom w:val="nil"/>
              <w:right w:val="single" w:sz="4" w:space="0" w:color="auto"/>
            </w:tcBorders>
            <w:shd w:val="clear" w:color="auto" w:fill="auto"/>
            <w:noWrap/>
            <w:vAlign w:val="center"/>
            <w:hideMark/>
          </w:tcPr>
          <w:p w14:paraId="35E1D0BF" w14:textId="77777777" w:rsidR="004E0D59" w:rsidRPr="004E0D59" w:rsidRDefault="004E0D59" w:rsidP="004E0D59">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51.3</w:t>
            </w:r>
          </w:p>
        </w:tc>
      </w:tr>
      <w:tr w:rsidR="004E0D59" w:rsidRPr="004E0D59" w14:paraId="6B685F0A" w14:textId="77777777" w:rsidTr="002D0625">
        <w:trPr>
          <w:trHeight w:val="300"/>
        </w:trPr>
        <w:tc>
          <w:tcPr>
            <w:tcW w:w="2901" w:type="dxa"/>
            <w:tcBorders>
              <w:top w:val="nil"/>
              <w:left w:val="nil"/>
              <w:bottom w:val="nil"/>
              <w:right w:val="single" w:sz="4" w:space="0" w:color="auto"/>
            </w:tcBorders>
            <w:shd w:val="clear" w:color="auto" w:fill="auto"/>
            <w:noWrap/>
            <w:hideMark/>
          </w:tcPr>
          <w:p w14:paraId="5540D005" w14:textId="77777777" w:rsidR="004E0D59" w:rsidRPr="004E0D59" w:rsidRDefault="004E0D59" w:rsidP="004E0D59">
            <w:pPr>
              <w:spacing w:after="0" w:line="240" w:lineRule="auto"/>
              <w:ind w:firstLine="180"/>
              <w:rPr>
                <w:rFonts w:ascii="Calibri" w:eastAsia="Times New Roman" w:hAnsi="Calibri" w:cs="Times New Roman"/>
                <w:color w:val="000000"/>
              </w:rPr>
            </w:pPr>
            <w:r w:rsidRPr="004E0D59">
              <w:rPr>
                <w:rFonts w:ascii="Calibri" w:eastAsia="Times New Roman" w:hAnsi="Calibri" w:cs="Times New Roman"/>
                <w:color w:val="000000"/>
              </w:rPr>
              <w:t>Male</w:t>
            </w:r>
          </w:p>
        </w:tc>
        <w:tc>
          <w:tcPr>
            <w:tcW w:w="639" w:type="dxa"/>
            <w:tcBorders>
              <w:top w:val="nil"/>
              <w:left w:val="single" w:sz="4" w:space="0" w:color="auto"/>
              <w:bottom w:val="nil"/>
              <w:right w:val="nil"/>
            </w:tcBorders>
            <w:shd w:val="clear" w:color="auto" w:fill="auto"/>
            <w:noWrap/>
            <w:vAlign w:val="center"/>
            <w:hideMark/>
          </w:tcPr>
          <w:p w14:paraId="32792469" w14:textId="77777777" w:rsidR="004E0D59" w:rsidRPr="004E0D59" w:rsidRDefault="004E0D59" w:rsidP="004E0D59">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340</w:t>
            </w:r>
          </w:p>
        </w:tc>
        <w:tc>
          <w:tcPr>
            <w:tcW w:w="1358" w:type="dxa"/>
            <w:tcBorders>
              <w:top w:val="nil"/>
              <w:left w:val="nil"/>
              <w:bottom w:val="nil"/>
              <w:right w:val="single" w:sz="4" w:space="0" w:color="auto"/>
            </w:tcBorders>
            <w:shd w:val="clear" w:color="auto" w:fill="auto"/>
            <w:noWrap/>
            <w:vAlign w:val="center"/>
            <w:hideMark/>
          </w:tcPr>
          <w:p w14:paraId="6C76ACC1" w14:textId="77777777" w:rsidR="004E0D59" w:rsidRPr="004E0D59" w:rsidRDefault="004E0D59" w:rsidP="004E0D59">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50.3</w:t>
            </w:r>
          </w:p>
        </w:tc>
        <w:tc>
          <w:tcPr>
            <w:tcW w:w="638" w:type="dxa"/>
            <w:tcBorders>
              <w:top w:val="nil"/>
              <w:left w:val="single" w:sz="4" w:space="0" w:color="auto"/>
              <w:bottom w:val="nil"/>
              <w:right w:val="nil"/>
            </w:tcBorders>
            <w:shd w:val="clear" w:color="auto" w:fill="auto"/>
            <w:noWrap/>
            <w:vAlign w:val="center"/>
            <w:hideMark/>
          </w:tcPr>
          <w:p w14:paraId="1FCE5570" w14:textId="77777777" w:rsidR="004E0D59" w:rsidRPr="004E0D59" w:rsidRDefault="004E0D59" w:rsidP="004E0D59">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305</w:t>
            </w:r>
          </w:p>
        </w:tc>
        <w:tc>
          <w:tcPr>
            <w:tcW w:w="1358" w:type="dxa"/>
            <w:tcBorders>
              <w:top w:val="nil"/>
              <w:left w:val="nil"/>
              <w:bottom w:val="nil"/>
              <w:right w:val="single" w:sz="4" w:space="0" w:color="auto"/>
            </w:tcBorders>
            <w:shd w:val="clear" w:color="auto" w:fill="auto"/>
            <w:noWrap/>
            <w:vAlign w:val="center"/>
            <w:hideMark/>
          </w:tcPr>
          <w:p w14:paraId="49B05DC3" w14:textId="77777777" w:rsidR="004E0D59" w:rsidRPr="004E0D59" w:rsidRDefault="004E0D59" w:rsidP="004E0D59">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47.1</w:t>
            </w:r>
          </w:p>
        </w:tc>
        <w:tc>
          <w:tcPr>
            <w:tcW w:w="638" w:type="dxa"/>
            <w:tcBorders>
              <w:top w:val="nil"/>
              <w:left w:val="single" w:sz="4" w:space="0" w:color="auto"/>
              <w:bottom w:val="nil"/>
              <w:right w:val="nil"/>
            </w:tcBorders>
            <w:shd w:val="clear" w:color="auto" w:fill="auto"/>
            <w:noWrap/>
            <w:vAlign w:val="center"/>
            <w:hideMark/>
          </w:tcPr>
          <w:p w14:paraId="0E09E4E6" w14:textId="77777777" w:rsidR="004E0D59" w:rsidRPr="004E0D59" w:rsidRDefault="004E0D59" w:rsidP="004E0D59">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645</w:t>
            </w:r>
          </w:p>
        </w:tc>
        <w:tc>
          <w:tcPr>
            <w:tcW w:w="1358" w:type="dxa"/>
            <w:tcBorders>
              <w:top w:val="nil"/>
              <w:left w:val="nil"/>
              <w:bottom w:val="nil"/>
              <w:right w:val="single" w:sz="4" w:space="0" w:color="auto"/>
            </w:tcBorders>
            <w:shd w:val="clear" w:color="auto" w:fill="auto"/>
            <w:noWrap/>
            <w:vAlign w:val="center"/>
            <w:hideMark/>
          </w:tcPr>
          <w:p w14:paraId="2C9F03FA" w14:textId="77777777" w:rsidR="004E0D59" w:rsidRPr="004E0D59" w:rsidRDefault="004E0D59" w:rsidP="004E0D59">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48.7</w:t>
            </w:r>
          </w:p>
        </w:tc>
      </w:tr>
      <w:tr w:rsidR="004E0D59" w:rsidRPr="004E0D59" w14:paraId="1C45131E" w14:textId="77777777" w:rsidTr="002D0625">
        <w:trPr>
          <w:trHeight w:val="300"/>
        </w:trPr>
        <w:tc>
          <w:tcPr>
            <w:tcW w:w="2901" w:type="dxa"/>
            <w:tcBorders>
              <w:top w:val="nil"/>
              <w:left w:val="nil"/>
              <w:bottom w:val="nil"/>
              <w:right w:val="single" w:sz="4" w:space="0" w:color="auto"/>
            </w:tcBorders>
            <w:shd w:val="clear" w:color="auto" w:fill="auto"/>
            <w:noWrap/>
            <w:hideMark/>
          </w:tcPr>
          <w:p w14:paraId="1E12FEF1" w14:textId="77777777" w:rsidR="004E0D59" w:rsidRPr="004E0D59" w:rsidRDefault="004E0D59" w:rsidP="004E0D59">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Median child IMD (IQR)</w:t>
            </w:r>
          </w:p>
        </w:tc>
        <w:tc>
          <w:tcPr>
            <w:tcW w:w="639" w:type="dxa"/>
            <w:tcBorders>
              <w:top w:val="nil"/>
              <w:left w:val="single" w:sz="4" w:space="0" w:color="auto"/>
              <w:bottom w:val="nil"/>
              <w:right w:val="nil"/>
            </w:tcBorders>
            <w:shd w:val="clear" w:color="auto" w:fill="auto"/>
            <w:noWrap/>
            <w:vAlign w:val="center"/>
            <w:hideMark/>
          </w:tcPr>
          <w:p w14:paraId="59CB2436" w14:textId="77777777" w:rsidR="004E0D59" w:rsidRPr="004E0D59" w:rsidRDefault="004E0D59" w:rsidP="004E0D59">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61392274" w14:textId="77777777" w:rsidR="004E0D59" w:rsidRPr="004E0D59" w:rsidRDefault="004E0D59" w:rsidP="004E0D59">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16060 (9610)</w:t>
            </w:r>
          </w:p>
        </w:tc>
        <w:tc>
          <w:tcPr>
            <w:tcW w:w="638" w:type="dxa"/>
            <w:tcBorders>
              <w:top w:val="nil"/>
              <w:left w:val="single" w:sz="4" w:space="0" w:color="auto"/>
              <w:bottom w:val="nil"/>
              <w:right w:val="nil"/>
            </w:tcBorders>
            <w:shd w:val="clear" w:color="auto" w:fill="auto"/>
            <w:noWrap/>
            <w:vAlign w:val="center"/>
            <w:hideMark/>
          </w:tcPr>
          <w:p w14:paraId="67EB9920" w14:textId="77777777" w:rsidR="004E0D59" w:rsidRPr="004E0D59" w:rsidRDefault="004E0D59" w:rsidP="004E0D59">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545E4A6C" w14:textId="77777777" w:rsidR="004E0D59" w:rsidRPr="004E0D59" w:rsidRDefault="004E0D59" w:rsidP="004E0D59">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13171 (14141)</w:t>
            </w:r>
          </w:p>
        </w:tc>
        <w:tc>
          <w:tcPr>
            <w:tcW w:w="638" w:type="dxa"/>
            <w:tcBorders>
              <w:top w:val="nil"/>
              <w:left w:val="single" w:sz="4" w:space="0" w:color="auto"/>
              <w:bottom w:val="nil"/>
              <w:right w:val="nil"/>
            </w:tcBorders>
            <w:shd w:val="clear" w:color="auto" w:fill="auto"/>
            <w:noWrap/>
            <w:vAlign w:val="center"/>
            <w:hideMark/>
          </w:tcPr>
          <w:p w14:paraId="4059FD5B" w14:textId="77777777" w:rsidR="004E0D59" w:rsidRPr="004E0D59" w:rsidRDefault="004E0D59" w:rsidP="004E0D59">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57596A04" w14:textId="77777777" w:rsidR="004E0D59" w:rsidRPr="004E0D59" w:rsidRDefault="004E0D59" w:rsidP="004E0D59">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14935 (11450)</w:t>
            </w:r>
          </w:p>
        </w:tc>
      </w:tr>
      <w:tr w:rsidR="004E0D59" w:rsidRPr="004E0D59" w14:paraId="20E0A281" w14:textId="77777777" w:rsidTr="002D0625">
        <w:trPr>
          <w:trHeight w:val="300"/>
        </w:trPr>
        <w:tc>
          <w:tcPr>
            <w:tcW w:w="2901" w:type="dxa"/>
            <w:tcBorders>
              <w:top w:val="nil"/>
              <w:left w:val="nil"/>
              <w:bottom w:val="nil"/>
              <w:right w:val="single" w:sz="4" w:space="0" w:color="auto"/>
            </w:tcBorders>
            <w:shd w:val="clear" w:color="auto" w:fill="auto"/>
            <w:noWrap/>
            <w:hideMark/>
          </w:tcPr>
          <w:p w14:paraId="20FB1C73" w14:textId="77777777" w:rsidR="004E0D59" w:rsidRPr="004E0D59" w:rsidRDefault="004E0D59" w:rsidP="004E0D59">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Ethnicity: White</w:t>
            </w:r>
          </w:p>
        </w:tc>
        <w:tc>
          <w:tcPr>
            <w:tcW w:w="639" w:type="dxa"/>
            <w:tcBorders>
              <w:top w:val="nil"/>
              <w:left w:val="single" w:sz="4" w:space="0" w:color="auto"/>
              <w:bottom w:val="nil"/>
              <w:right w:val="nil"/>
            </w:tcBorders>
            <w:shd w:val="clear" w:color="auto" w:fill="auto"/>
            <w:noWrap/>
            <w:vAlign w:val="center"/>
            <w:hideMark/>
          </w:tcPr>
          <w:p w14:paraId="5C7F243E" w14:textId="77777777" w:rsidR="004E0D59" w:rsidRPr="004E0D59" w:rsidRDefault="004E0D59" w:rsidP="004E0D59">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368</w:t>
            </w:r>
          </w:p>
        </w:tc>
        <w:tc>
          <w:tcPr>
            <w:tcW w:w="1358" w:type="dxa"/>
            <w:tcBorders>
              <w:top w:val="nil"/>
              <w:left w:val="nil"/>
              <w:bottom w:val="nil"/>
              <w:right w:val="single" w:sz="4" w:space="0" w:color="auto"/>
            </w:tcBorders>
            <w:shd w:val="clear" w:color="auto" w:fill="auto"/>
            <w:noWrap/>
            <w:vAlign w:val="center"/>
            <w:hideMark/>
          </w:tcPr>
          <w:p w14:paraId="149E4EC5" w14:textId="77777777" w:rsidR="004E0D59" w:rsidRPr="004E0D59" w:rsidRDefault="004E0D59" w:rsidP="004E0D59">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95.3</w:t>
            </w:r>
          </w:p>
        </w:tc>
        <w:tc>
          <w:tcPr>
            <w:tcW w:w="638" w:type="dxa"/>
            <w:tcBorders>
              <w:top w:val="nil"/>
              <w:left w:val="single" w:sz="4" w:space="0" w:color="auto"/>
              <w:bottom w:val="nil"/>
              <w:right w:val="nil"/>
            </w:tcBorders>
            <w:shd w:val="clear" w:color="auto" w:fill="auto"/>
            <w:noWrap/>
            <w:vAlign w:val="center"/>
            <w:hideMark/>
          </w:tcPr>
          <w:p w14:paraId="184092CB" w14:textId="77777777" w:rsidR="004E0D59" w:rsidRPr="004E0D59" w:rsidRDefault="004E0D59" w:rsidP="004E0D59">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390</w:t>
            </w:r>
          </w:p>
        </w:tc>
        <w:tc>
          <w:tcPr>
            <w:tcW w:w="1358" w:type="dxa"/>
            <w:tcBorders>
              <w:top w:val="nil"/>
              <w:left w:val="nil"/>
              <w:bottom w:val="nil"/>
              <w:right w:val="single" w:sz="4" w:space="0" w:color="auto"/>
            </w:tcBorders>
            <w:shd w:val="clear" w:color="auto" w:fill="auto"/>
            <w:noWrap/>
            <w:vAlign w:val="center"/>
            <w:hideMark/>
          </w:tcPr>
          <w:p w14:paraId="004C2435" w14:textId="77777777" w:rsidR="004E0D59" w:rsidRPr="004E0D59" w:rsidRDefault="004E0D59" w:rsidP="004E0D59">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96.3</w:t>
            </w:r>
          </w:p>
        </w:tc>
        <w:tc>
          <w:tcPr>
            <w:tcW w:w="638" w:type="dxa"/>
            <w:tcBorders>
              <w:top w:val="nil"/>
              <w:left w:val="single" w:sz="4" w:space="0" w:color="auto"/>
              <w:bottom w:val="nil"/>
              <w:right w:val="nil"/>
            </w:tcBorders>
            <w:shd w:val="clear" w:color="auto" w:fill="auto"/>
            <w:noWrap/>
            <w:vAlign w:val="center"/>
            <w:hideMark/>
          </w:tcPr>
          <w:p w14:paraId="0415AA0C" w14:textId="77777777" w:rsidR="004E0D59" w:rsidRPr="004E0D59" w:rsidRDefault="004E0D59" w:rsidP="004E0D59">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758</w:t>
            </w:r>
          </w:p>
        </w:tc>
        <w:tc>
          <w:tcPr>
            <w:tcW w:w="1358" w:type="dxa"/>
            <w:tcBorders>
              <w:top w:val="nil"/>
              <w:left w:val="nil"/>
              <w:bottom w:val="nil"/>
              <w:right w:val="single" w:sz="4" w:space="0" w:color="auto"/>
            </w:tcBorders>
            <w:shd w:val="clear" w:color="auto" w:fill="auto"/>
            <w:noWrap/>
            <w:vAlign w:val="center"/>
            <w:hideMark/>
          </w:tcPr>
          <w:p w14:paraId="4E2948F4" w14:textId="77777777" w:rsidR="004E0D59" w:rsidRPr="004E0D59" w:rsidRDefault="004E0D59" w:rsidP="004E0D59">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95.8</w:t>
            </w:r>
          </w:p>
        </w:tc>
      </w:tr>
      <w:tr w:rsidR="004E0D59" w:rsidRPr="004E0D59" w14:paraId="7A8F3514" w14:textId="77777777" w:rsidTr="002D0625">
        <w:trPr>
          <w:trHeight w:val="300"/>
        </w:trPr>
        <w:tc>
          <w:tcPr>
            <w:tcW w:w="2901" w:type="dxa"/>
            <w:tcBorders>
              <w:top w:val="nil"/>
              <w:left w:val="nil"/>
              <w:bottom w:val="nil"/>
              <w:right w:val="single" w:sz="4" w:space="0" w:color="auto"/>
            </w:tcBorders>
            <w:shd w:val="clear" w:color="auto" w:fill="auto"/>
            <w:noWrap/>
            <w:hideMark/>
          </w:tcPr>
          <w:p w14:paraId="64C6E4BC" w14:textId="1ED28195" w:rsidR="004E0D59" w:rsidRPr="004E0D59" w:rsidRDefault="004E0D59" w:rsidP="00C23936">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Mean (</w:t>
            </w:r>
            <w:r w:rsidR="00C23936">
              <w:rPr>
                <w:rFonts w:ascii="Calibri" w:eastAsia="Times New Roman" w:hAnsi="Calibri" w:cs="Times New Roman"/>
                <w:color w:val="000000"/>
              </w:rPr>
              <w:t>SD</w:t>
            </w:r>
            <w:r w:rsidRPr="004E0D59">
              <w:rPr>
                <w:rFonts w:ascii="Calibri" w:eastAsia="Times New Roman" w:hAnsi="Calibri" w:cs="Times New Roman"/>
                <w:color w:val="000000"/>
              </w:rPr>
              <w:t>) Height</w:t>
            </w:r>
          </w:p>
        </w:tc>
        <w:tc>
          <w:tcPr>
            <w:tcW w:w="639" w:type="dxa"/>
            <w:tcBorders>
              <w:top w:val="nil"/>
              <w:left w:val="single" w:sz="4" w:space="0" w:color="auto"/>
              <w:bottom w:val="nil"/>
              <w:right w:val="nil"/>
            </w:tcBorders>
            <w:shd w:val="clear" w:color="auto" w:fill="auto"/>
            <w:noWrap/>
            <w:vAlign w:val="center"/>
            <w:hideMark/>
          </w:tcPr>
          <w:p w14:paraId="3D41F124" w14:textId="77777777" w:rsidR="004E0D59" w:rsidRPr="004E0D59" w:rsidRDefault="004E0D59" w:rsidP="004E0D59">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25CCBAB0" w14:textId="77777777" w:rsidR="004E0D59" w:rsidRPr="004E0D59" w:rsidRDefault="004E0D59" w:rsidP="004E0D59">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138.9 (6.7)</w:t>
            </w:r>
          </w:p>
        </w:tc>
        <w:tc>
          <w:tcPr>
            <w:tcW w:w="638" w:type="dxa"/>
            <w:tcBorders>
              <w:top w:val="nil"/>
              <w:left w:val="single" w:sz="4" w:space="0" w:color="auto"/>
              <w:bottom w:val="nil"/>
              <w:right w:val="nil"/>
            </w:tcBorders>
            <w:shd w:val="clear" w:color="auto" w:fill="auto"/>
            <w:noWrap/>
            <w:vAlign w:val="center"/>
            <w:hideMark/>
          </w:tcPr>
          <w:p w14:paraId="3A22A5CA" w14:textId="77777777" w:rsidR="004E0D59" w:rsidRPr="004E0D59" w:rsidRDefault="004E0D59" w:rsidP="004E0D59">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5E3F0488" w14:textId="77777777" w:rsidR="004E0D59" w:rsidRPr="004E0D59" w:rsidRDefault="004E0D59" w:rsidP="004E0D59">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137.8 (6.5)</w:t>
            </w:r>
          </w:p>
        </w:tc>
        <w:tc>
          <w:tcPr>
            <w:tcW w:w="638" w:type="dxa"/>
            <w:tcBorders>
              <w:top w:val="nil"/>
              <w:left w:val="single" w:sz="4" w:space="0" w:color="auto"/>
              <w:bottom w:val="nil"/>
              <w:right w:val="nil"/>
            </w:tcBorders>
            <w:shd w:val="clear" w:color="auto" w:fill="auto"/>
            <w:noWrap/>
            <w:vAlign w:val="center"/>
            <w:hideMark/>
          </w:tcPr>
          <w:p w14:paraId="329DC08E" w14:textId="77777777" w:rsidR="004E0D59" w:rsidRPr="004E0D59" w:rsidRDefault="004E0D59" w:rsidP="004E0D59">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68F0D7AF" w14:textId="77777777" w:rsidR="004E0D59" w:rsidRPr="004E0D59" w:rsidRDefault="004E0D59" w:rsidP="004E0D59">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138.3 (6.6)</w:t>
            </w:r>
          </w:p>
        </w:tc>
      </w:tr>
      <w:tr w:rsidR="004E0D59" w:rsidRPr="004E0D59" w14:paraId="2F0DC358" w14:textId="77777777" w:rsidTr="002D0625">
        <w:trPr>
          <w:trHeight w:val="300"/>
        </w:trPr>
        <w:tc>
          <w:tcPr>
            <w:tcW w:w="2901" w:type="dxa"/>
            <w:tcBorders>
              <w:top w:val="nil"/>
              <w:left w:val="nil"/>
              <w:bottom w:val="nil"/>
              <w:right w:val="single" w:sz="4" w:space="0" w:color="auto"/>
            </w:tcBorders>
            <w:shd w:val="clear" w:color="auto" w:fill="auto"/>
            <w:noWrap/>
          </w:tcPr>
          <w:p w14:paraId="62F43EAB" w14:textId="70E42F13" w:rsidR="004E0D59" w:rsidRPr="004E0D59" w:rsidRDefault="004E0D59" w:rsidP="00C23936">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Mean (</w:t>
            </w:r>
            <w:r w:rsidR="00C23936">
              <w:rPr>
                <w:rFonts w:ascii="Calibri" w:eastAsia="Times New Roman" w:hAnsi="Calibri" w:cs="Times New Roman"/>
                <w:color w:val="000000"/>
              </w:rPr>
              <w:t>SD</w:t>
            </w:r>
            <w:r w:rsidRPr="004E0D59">
              <w:rPr>
                <w:rFonts w:ascii="Calibri" w:eastAsia="Times New Roman" w:hAnsi="Calibri" w:cs="Times New Roman"/>
                <w:color w:val="000000"/>
              </w:rPr>
              <w:t>) Weight</w:t>
            </w:r>
          </w:p>
        </w:tc>
        <w:tc>
          <w:tcPr>
            <w:tcW w:w="639" w:type="dxa"/>
            <w:tcBorders>
              <w:top w:val="nil"/>
              <w:left w:val="single" w:sz="4" w:space="0" w:color="auto"/>
              <w:bottom w:val="nil"/>
              <w:right w:val="nil"/>
            </w:tcBorders>
            <w:shd w:val="clear" w:color="auto" w:fill="auto"/>
            <w:noWrap/>
            <w:vAlign w:val="center"/>
          </w:tcPr>
          <w:p w14:paraId="4F151072" w14:textId="77777777" w:rsidR="004E0D59" w:rsidRPr="004E0D59" w:rsidRDefault="004E0D59" w:rsidP="004E0D59">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tcPr>
          <w:p w14:paraId="7624B596" w14:textId="77777777" w:rsidR="004E0D59" w:rsidRPr="004E0D59" w:rsidRDefault="004E0D59" w:rsidP="004E0D59">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34.4 (7.7)</w:t>
            </w:r>
          </w:p>
        </w:tc>
        <w:tc>
          <w:tcPr>
            <w:tcW w:w="638" w:type="dxa"/>
            <w:tcBorders>
              <w:top w:val="nil"/>
              <w:left w:val="single" w:sz="4" w:space="0" w:color="auto"/>
              <w:bottom w:val="nil"/>
              <w:right w:val="nil"/>
            </w:tcBorders>
            <w:shd w:val="clear" w:color="auto" w:fill="auto"/>
            <w:noWrap/>
            <w:vAlign w:val="center"/>
          </w:tcPr>
          <w:p w14:paraId="795722F7" w14:textId="77777777" w:rsidR="004E0D59" w:rsidRPr="004E0D59" w:rsidRDefault="004E0D59" w:rsidP="004E0D59">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tcPr>
          <w:p w14:paraId="1EE55817" w14:textId="77777777" w:rsidR="004E0D59" w:rsidRPr="004E0D59" w:rsidRDefault="004E0D59" w:rsidP="004E0D59">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33.3 (7.2)</w:t>
            </w:r>
          </w:p>
        </w:tc>
        <w:tc>
          <w:tcPr>
            <w:tcW w:w="638" w:type="dxa"/>
            <w:tcBorders>
              <w:top w:val="nil"/>
              <w:left w:val="single" w:sz="4" w:space="0" w:color="auto"/>
              <w:bottom w:val="nil"/>
              <w:right w:val="nil"/>
            </w:tcBorders>
            <w:shd w:val="clear" w:color="auto" w:fill="auto"/>
            <w:noWrap/>
            <w:vAlign w:val="center"/>
          </w:tcPr>
          <w:p w14:paraId="5F7135A8" w14:textId="77777777" w:rsidR="004E0D59" w:rsidRPr="004E0D59" w:rsidRDefault="004E0D59" w:rsidP="004E0D59">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tcPr>
          <w:p w14:paraId="15245CEE" w14:textId="77777777" w:rsidR="004E0D59" w:rsidRPr="004E0D59" w:rsidRDefault="004E0D59" w:rsidP="004E0D59">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33.8 (7.5)</w:t>
            </w:r>
          </w:p>
        </w:tc>
      </w:tr>
      <w:tr w:rsidR="004E0D59" w:rsidRPr="004E0D59" w14:paraId="0C9A4628" w14:textId="77777777" w:rsidTr="002D0625">
        <w:trPr>
          <w:trHeight w:val="300"/>
        </w:trPr>
        <w:tc>
          <w:tcPr>
            <w:tcW w:w="2901" w:type="dxa"/>
            <w:tcBorders>
              <w:top w:val="nil"/>
              <w:left w:val="nil"/>
              <w:bottom w:val="nil"/>
              <w:right w:val="single" w:sz="4" w:space="0" w:color="auto"/>
            </w:tcBorders>
            <w:shd w:val="clear" w:color="auto" w:fill="auto"/>
            <w:noWrap/>
          </w:tcPr>
          <w:p w14:paraId="3E0BD93E" w14:textId="73718397" w:rsidR="004E0D59" w:rsidRPr="004E0D59" w:rsidRDefault="004E0D59" w:rsidP="00C23936">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Mean (</w:t>
            </w:r>
            <w:r w:rsidR="00C23936">
              <w:rPr>
                <w:rFonts w:ascii="Calibri" w:eastAsia="Times New Roman" w:hAnsi="Calibri" w:cs="Times New Roman"/>
                <w:color w:val="000000"/>
              </w:rPr>
              <w:t>SD</w:t>
            </w:r>
            <w:r w:rsidRPr="004E0D59">
              <w:rPr>
                <w:rFonts w:ascii="Calibri" w:eastAsia="Times New Roman" w:hAnsi="Calibri" w:cs="Times New Roman"/>
                <w:color w:val="000000"/>
              </w:rPr>
              <w:t>) BMI</w:t>
            </w:r>
          </w:p>
        </w:tc>
        <w:tc>
          <w:tcPr>
            <w:tcW w:w="639" w:type="dxa"/>
            <w:tcBorders>
              <w:top w:val="nil"/>
              <w:left w:val="single" w:sz="4" w:space="0" w:color="auto"/>
              <w:bottom w:val="nil"/>
              <w:right w:val="nil"/>
            </w:tcBorders>
            <w:shd w:val="clear" w:color="auto" w:fill="auto"/>
            <w:noWrap/>
            <w:vAlign w:val="center"/>
          </w:tcPr>
          <w:p w14:paraId="6799E3EE" w14:textId="77777777" w:rsidR="004E0D59" w:rsidRPr="004E0D59" w:rsidRDefault="004E0D59" w:rsidP="004E0D59">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tcPr>
          <w:p w14:paraId="15CA1B72" w14:textId="77777777" w:rsidR="004E0D59" w:rsidRPr="004E0D59" w:rsidRDefault="004E0D59" w:rsidP="004E0D59">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17.7 (2.9)</w:t>
            </w:r>
          </w:p>
        </w:tc>
        <w:tc>
          <w:tcPr>
            <w:tcW w:w="638" w:type="dxa"/>
            <w:tcBorders>
              <w:top w:val="nil"/>
              <w:left w:val="single" w:sz="4" w:space="0" w:color="auto"/>
              <w:bottom w:val="nil"/>
              <w:right w:val="nil"/>
            </w:tcBorders>
            <w:shd w:val="clear" w:color="auto" w:fill="auto"/>
            <w:noWrap/>
            <w:vAlign w:val="center"/>
          </w:tcPr>
          <w:p w14:paraId="058BB32B" w14:textId="77777777" w:rsidR="004E0D59" w:rsidRPr="004E0D59" w:rsidRDefault="004E0D59" w:rsidP="004E0D59">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tcPr>
          <w:p w14:paraId="5B65286D" w14:textId="77777777" w:rsidR="004E0D59" w:rsidRPr="004E0D59" w:rsidRDefault="004E0D59" w:rsidP="004E0D59">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17.4 (2.8)</w:t>
            </w:r>
          </w:p>
        </w:tc>
        <w:tc>
          <w:tcPr>
            <w:tcW w:w="638" w:type="dxa"/>
            <w:tcBorders>
              <w:top w:val="nil"/>
              <w:left w:val="single" w:sz="4" w:space="0" w:color="auto"/>
              <w:bottom w:val="nil"/>
              <w:right w:val="nil"/>
            </w:tcBorders>
            <w:shd w:val="clear" w:color="auto" w:fill="auto"/>
            <w:noWrap/>
            <w:vAlign w:val="center"/>
          </w:tcPr>
          <w:p w14:paraId="52CCB317" w14:textId="77777777" w:rsidR="004E0D59" w:rsidRPr="004E0D59" w:rsidRDefault="004E0D59" w:rsidP="004E0D59">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tcPr>
          <w:p w14:paraId="11FF5CDD" w14:textId="77777777" w:rsidR="004E0D59" w:rsidRPr="004E0D59" w:rsidRDefault="004E0D59" w:rsidP="004E0D59">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17.5 (2.9)</w:t>
            </w:r>
          </w:p>
        </w:tc>
      </w:tr>
      <w:tr w:rsidR="004E0D59" w:rsidRPr="004E0D59" w14:paraId="3D9A8D4A" w14:textId="77777777" w:rsidTr="002D0625">
        <w:trPr>
          <w:trHeight w:val="300"/>
        </w:trPr>
        <w:tc>
          <w:tcPr>
            <w:tcW w:w="2901" w:type="dxa"/>
            <w:tcBorders>
              <w:top w:val="nil"/>
              <w:left w:val="nil"/>
              <w:bottom w:val="nil"/>
              <w:right w:val="single" w:sz="4" w:space="0" w:color="auto"/>
            </w:tcBorders>
            <w:shd w:val="clear" w:color="auto" w:fill="auto"/>
            <w:noWrap/>
          </w:tcPr>
          <w:p w14:paraId="15822508" w14:textId="602D1875" w:rsidR="004E0D59" w:rsidRPr="004E0D59" w:rsidRDefault="004E0D59" w:rsidP="00C23936">
            <w:pPr>
              <w:spacing w:after="0" w:line="240" w:lineRule="auto"/>
              <w:rPr>
                <w:rFonts w:ascii="Calibri" w:eastAsia="Times New Roman" w:hAnsi="Calibri" w:cs="Times New Roman"/>
                <w:color w:val="000000"/>
              </w:rPr>
            </w:pPr>
            <w:r w:rsidRPr="004E0D59">
              <w:rPr>
                <w:rFonts w:ascii="Calibri" w:eastAsia="Times New Roman" w:hAnsi="Calibri" w:cs="Times New Roman"/>
                <w:b/>
                <w:color w:val="000000"/>
              </w:rPr>
              <w:t>Mean (</w:t>
            </w:r>
            <w:r w:rsidR="00C23936">
              <w:rPr>
                <w:rFonts w:ascii="Calibri" w:eastAsia="Times New Roman" w:hAnsi="Calibri" w:cs="Times New Roman"/>
                <w:b/>
                <w:color w:val="000000"/>
              </w:rPr>
              <w:t>SD</w:t>
            </w:r>
            <w:r w:rsidRPr="004E0D59">
              <w:rPr>
                <w:rFonts w:ascii="Calibri" w:eastAsia="Times New Roman" w:hAnsi="Calibri" w:cs="Times New Roman"/>
                <w:b/>
                <w:color w:val="000000"/>
              </w:rPr>
              <w:t xml:space="preserve">) </w:t>
            </w:r>
            <w:r w:rsidR="009D1C7F">
              <w:rPr>
                <w:rFonts w:ascii="Calibri" w:eastAsia="Times New Roman" w:hAnsi="Calibri" w:cs="Times New Roman"/>
                <w:b/>
                <w:color w:val="000000"/>
              </w:rPr>
              <w:t>BMI SDS</w:t>
            </w:r>
          </w:p>
        </w:tc>
        <w:tc>
          <w:tcPr>
            <w:tcW w:w="639" w:type="dxa"/>
            <w:tcBorders>
              <w:top w:val="nil"/>
              <w:left w:val="single" w:sz="4" w:space="0" w:color="auto"/>
              <w:bottom w:val="nil"/>
              <w:right w:val="nil"/>
            </w:tcBorders>
            <w:shd w:val="clear" w:color="auto" w:fill="auto"/>
            <w:noWrap/>
            <w:vAlign w:val="center"/>
          </w:tcPr>
          <w:p w14:paraId="3CD355BC" w14:textId="77777777" w:rsidR="004E0D59" w:rsidRPr="004E0D59" w:rsidRDefault="004E0D59" w:rsidP="004E0D59">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tcPr>
          <w:p w14:paraId="128CDF1F" w14:textId="77777777" w:rsidR="004E0D59" w:rsidRPr="004E0D59" w:rsidRDefault="004E0D59" w:rsidP="004E0D59">
            <w:pPr>
              <w:spacing w:after="0" w:line="240" w:lineRule="auto"/>
              <w:rPr>
                <w:rFonts w:ascii="Calibri" w:eastAsia="Times New Roman" w:hAnsi="Calibri" w:cs="Times New Roman"/>
                <w:color w:val="000000"/>
              </w:rPr>
            </w:pPr>
            <w:r w:rsidRPr="004E0D59">
              <w:rPr>
                <w:rFonts w:ascii="Calibri" w:eastAsia="Times New Roman" w:hAnsi="Calibri" w:cs="Times New Roman"/>
                <w:b/>
                <w:color w:val="000000"/>
              </w:rPr>
              <w:t>0.31 (1.16)</w:t>
            </w:r>
          </w:p>
        </w:tc>
        <w:tc>
          <w:tcPr>
            <w:tcW w:w="638" w:type="dxa"/>
            <w:tcBorders>
              <w:top w:val="nil"/>
              <w:left w:val="single" w:sz="4" w:space="0" w:color="auto"/>
              <w:bottom w:val="nil"/>
              <w:right w:val="nil"/>
            </w:tcBorders>
            <w:shd w:val="clear" w:color="auto" w:fill="auto"/>
            <w:noWrap/>
            <w:vAlign w:val="center"/>
          </w:tcPr>
          <w:p w14:paraId="4158693A" w14:textId="77777777" w:rsidR="004E0D59" w:rsidRPr="004E0D59" w:rsidRDefault="004E0D59" w:rsidP="004E0D59">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tcPr>
          <w:p w14:paraId="77C99C0D" w14:textId="77777777" w:rsidR="004E0D59" w:rsidRPr="004E0D59" w:rsidRDefault="004E0D59" w:rsidP="004E0D59">
            <w:pPr>
              <w:spacing w:after="0" w:line="240" w:lineRule="auto"/>
              <w:rPr>
                <w:rFonts w:ascii="Calibri" w:eastAsia="Times New Roman" w:hAnsi="Calibri" w:cs="Times New Roman"/>
                <w:color w:val="000000"/>
              </w:rPr>
            </w:pPr>
            <w:r w:rsidRPr="004E0D59">
              <w:rPr>
                <w:rFonts w:ascii="Calibri" w:eastAsia="Times New Roman" w:hAnsi="Calibri" w:cs="Times New Roman"/>
                <w:b/>
                <w:color w:val="000000"/>
              </w:rPr>
              <w:t>0.18 (1.14)</w:t>
            </w:r>
          </w:p>
        </w:tc>
        <w:tc>
          <w:tcPr>
            <w:tcW w:w="638" w:type="dxa"/>
            <w:tcBorders>
              <w:top w:val="nil"/>
              <w:left w:val="single" w:sz="4" w:space="0" w:color="auto"/>
              <w:bottom w:val="nil"/>
              <w:right w:val="nil"/>
            </w:tcBorders>
            <w:shd w:val="clear" w:color="auto" w:fill="auto"/>
            <w:noWrap/>
            <w:vAlign w:val="center"/>
          </w:tcPr>
          <w:p w14:paraId="0C749197" w14:textId="77777777" w:rsidR="004E0D59" w:rsidRPr="004E0D59" w:rsidRDefault="004E0D59" w:rsidP="004E0D59">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tcPr>
          <w:p w14:paraId="6F0212DD" w14:textId="77777777" w:rsidR="004E0D59" w:rsidRPr="004E0D59" w:rsidRDefault="004E0D59" w:rsidP="004E0D59">
            <w:pPr>
              <w:spacing w:after="0" w:line="240" w:lineRule="auto"/>
              <w:rPr>
                <w:rFonts w:ascii="Calibri" w:eastAsia="Times New Roman" w:hAnsi="Calibri" w:cs="Times New Roman"/>
                <w:color w:val="000000"/>
              </w:rPr>
            </w:pPr>
            <w:r w:rsidRPr="004E0D59">
              <w:rPr>
                <w:rFonts w:ascii="Calibri" w:eastAsia="Times New Roman" w:hAnsi="Calibri" w:cs="Times New Roman"/>
                <w:b/>
                <w:color w:val="000000"/>
              </w:rPr>
              <w:t>0.25 (1.16)</w:t>
            </w:r>
          </w:p>
        </w:tc>
      </w:tr>
      <w:tr w:rsidR="004E0D59" w:rsidRPr="004E0D59" w14:paraId="6C9E4075" w14:textId="77777777" w:rsidTr="002D0625">
        <w:trPr>
          <w:trHeight w:val="300"/>
        </w:trPr>
        <w:tc>
          <w:tcPr>
            <w:tcW w:w="2901" w:type="dxa"/>
            <w:tcBorders>
              <w:top w:val="nil"/>
              <w:left w:val="nil"/>
              <w:bottom w:val="nil"/>
              <w:right w:val="single" w:sz="4" w:space="0" w:color="auto"/>
            </w:tcBorders>
            <w:shd w:val="clear" w:color="auto" w:fill="auto"/>
            <w:noWrap/>
            <w:hideMark/>
          </w:tcPr>
          <w:p w14:paraId="6D2B2406" w14:textId="4CB3DB6C" w:rsidR="004E0D59" w:rsidRPr="004E0D59" w:rsidRDefault="004E0D59" w:rsidP="00C23936">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Mean (</w:t>
            </w:r>
            <w:r w:rsidR="00C23936">
              <w:rPr>
                <w:rFonts w:ascii="Calibri" w:eastAsia="Times New Roman" w:hAnsi="Calibri" w:cs="Times New Roman"/>
                <w:color w:val="000000"/>
              </w:rPr>
              <w:t>SD</w:t>
            </w:r>
            <w:r w:rsidRPr="004E0D59">
              <w:rPr>
                <w:rFonts w:ascii="Calibri" w:eastAsia="Times New Roman" w:hAnsi="Calibri" w:cs="Times New Roman"/>
                <w:color w:val="000000"/>
              </w:rPr>
              <w:t>) Waist circumference</w:t>
            </w:r>
          </w:p>
        </w:tc>
        <w:tc>
          <w:tcPr>
            <w:tcW w:w="639" w:type="dxa"/>
            <w:tcBorders>
              <w:top w:val="nil"/>
              <w:left w:val="single" w:sz="4" w:space="0" w:color="auto"/>
              <w:bottom w:val="nil"/>
              <w:right w:val="nil"/>
            </w:tcBorders>
            <w:shd w:val="clear" w:color="auto" w:fill="auto"/>
            <w:noWrap/>
            <w:vAlign w:val="center"/>
            <w:hideMark/>
          </w:tcPr>
          <w:p w14:paraId="2B11F9B6" w14:textId="77777777" w:rsidR="004E0D59" w:rsidRPr="004E0D59" w:rsidRDefault="004E0D59" w:rsidP="004E0D59">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6BA57496" w14:textId="77777777" w:rsidR="004E0D59" w:rsidRPr="004E0D59" w:rsidRDefault="004E0D59" w:rsidP="004E0D59">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61.8 (7.4)</w:t>
            </w:r>
          </w:p>
        </w:tc>
        <w:tc>
          <w:tcPr>
            <w:tcW w:w="638" w:type="dxa"/>
            <w:tcBorders>
              <w:top w:val="nil"/>
              <w:left w:val="single" w:sz="4" w:space="0" w:color="auto"/>
              <w:bottom w:val="nil"/>
              <w:right w:val="nil"/>
            </w:tcBorders>
            <w:shd w:val="clear" w:color="auto" w:fill="auto"/>
            <w:noWrap/>
            <w:vAlign w:val="center"/>
            <w:hideMark/>
          </w:tcPr>
          <w:p w14:paraId="4576848B" w14:textId="77777777" w:rsidR="004E0D59" w:rsidRPr="004E0D59" w:rsidRDefault="004E0D59" w:rsidP="004E0D59">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6EC7B19E" w14:textId="77777777" w:rsidR="004E0D59" w:rsidRPr="004E0D59" w:rsidRDefault="004E0D59" w:rsidP="004E0D59">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60.8 (7.5)</w:t>
            </w:r>
          </w:p>
        </w:tc>
        <w:tc>
          <w:tcPr>
            <w:tcW w:w="638" w:type="dxa"/>
            <w:tcBorders>
              <w:top w:val="nil"/>
              <w:left w:val="single" w:sz="4" w:space="0" w:color="auto"/>
              <w:bottom w:val="nil"/>
              <w:right w:val="nil"/>
            </w:tcBorders>
            <w:shd w:val="clear" w:color="auto" w:fill="auto"/>
            <w:noWrap/>
            <w:vAlign w:val="center"/>
            <w:hideMark/>
          </w:tcPr>
          <w:p w14:paraId="7DF5F487" w14:textId="77777777" w:rsidR="004E0D59" w:rsidRPr="004E0D59" w:rsidRDefault="004E0D59" w:rsidP="004E0D59">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5FB2E23E" w14:textId="77777777" w:rsidR="004E0D59" w:rsidRPr="004E0D59" w:rsidRDefault="004E0D59" w:rsidP="004E0D59">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61.3 (7.5)</w:t>
            </w:r>
          </w:p>
        </w:tc>
      </w:tr>
      <w:tr w:rsidR="004E0D59" w:rsidRPr="004E0D59" w14:paraId="53D6178F" w14:textId="77777777" w:rsidTr="002D0625">
        <w:trPr>
          <w:trHeight w:val="300"/>
        </w:trPr>
        <w:tc>
          <w:tcPr>
            <w:tcW w:w="2901" w:type="dxa"/>
            <w:tcBorders>
              <w:top w:val="nil"/>
              <w:left w:val="nil"/>
              <w:bottom w:val="nil"/>
              <w:right w:val="single" w:sz="4" w:space="0" w:color="auto"/>
            </w:tcBorders>
            <w:shd w:val="clear" w:color="auto" w:fill="auto"/>
            <w:noWrap/>
          </w:tcPr>
          <w:p w14:paraId="0E1BC3D7" w14:textId="09C902F0" w:rsidR="004E0D59" w:rsidRPr="004E0D59" w:rsidRDefault="004E0D59" w:rsidP="00C23936">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Mean (</w:t>
            </w:r>
            <w:r w:rsidR="00C23936">
              <w:rPr>
                <w:rFonts w:ascii="Calibri" w:eastAsia="Times New Roman" w:hAnsi="Calibri" w:cs="Times New Roman"/>
                <w:color w:val="000000"/>
              </w:rPr>
              <w:t>SD</w:t>
            </w:r>
            <w:r w:rsidRPr="004E0D59">
              <w:rPr>
                <w:rFonts w:ascii="Calibri" w:eastAsia="Times New Roman" w:hAnsi="Calibri" w:cs="Times New Roman"/>
                <w:color w:val="000000"/>
              </w:rPr>
              <w:t>) Waist circumference SDS</w:t>
            </w:r>
          </w:p>
        </w:tc>
        <w:tc>
          <w:tcPr>
            <w:tcW w:w="639" w:type="dxa"/>
            <w:tcBorders>
              <w:top w:val="nil"/>
              <w:left w:val="single" w:sz="4" w:space="0" w:color="auto"/>
              <w:bottom w:val="nil"/>
              <w:right w:val="nil"/>
            </w:tcBorders>
            <w:shd w:val="clear" w:color="auto" w:fill="auto"/>
            <w:noWrap/>
            <w:vAlign w:val="center"/>
          </w:tcPr>
          <w:p w14:paraId="5A34C1FB" w14:textId="77777777" w:rsidR="004E0D59" w:rsidRPr="004E0D59" w:rsidRDefault="004E0D59" w:rsidP="004E0D59">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tcPr>
          <w:p w14:paraId="3502A0D6" w14:textId="77777777" w:rsidR="004E0D59" w:rsidRPr="004E0D59" w:rsidRDefault="004E0D59" w:rsidP="004E0D59">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0.72 (1.11)</w:t>
            </w:r>
          </w:p>
        </w:tc>
        <w:tc>
          <w:tcPr>
            <w:tcW w:w="638" w:type="dxa"/>
            <w:tcBorders>
              <w:top w:val="nil"/>
              <w:left w:val="single" w:sz="4" w:space="0" w:color="auto"/>
              <w:bottom w:val="nil"/>
              <w:right w:val="nil"/>
            </w:tcBorders>
            <w:shd w:val="clear" w:color="auto" w:fill="auto"/>
            <w:noWrap/>
            <w:vAlign w:val="center"/>
          </w:tcPr>
          <w:p w14:paraId="40E105BD" w14:textId="77777777" w:rsidR="004E0D59" w:rsidRPr="004E0D59" w:rsidRDefault="004E0D59" w:rsidP="004E0D59">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tcPr>
          <w:p w14:paraId="13A5EEE4" w14:textId="77777777" w:rsidR="004E0D59" w:rsidRPr="004E0D59" w:rsidRDefault="004E0D59" w:rsidP="004E0D59">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0.55 (1.15)</w:t>
            </w:r>
          </w:p>
        </w:tc>
        <w:tc>
          <w:tcPr>
            <w:tcW w:w="638" w:type="dxa"/>
            <w:tcBorders>
              <w:top w:val="nil"/>
              <w:left w:val="single" w:sz="4" w:space="0" w:color="auto"/>
              <w:bottom w:val="nil"/>
              <w:right w:val="nil"/>
            </w:tcBorders>
            <w:shd w:val="clear" w:color="auto" w:fill="auto"/>
            <w:noWrap/>
            <w:vAlign w:val="center"/>
          </w:tcPr>
          <w:p w14:paraId="5FCA6264" w14:textId="77777777" w:rsidR="004E0D59" w:rsidRPr="004E0D59" w:rsidRDefault="004E0D59" w:rsidP="004E0D59">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tcPr>
          <w:p w14:paraId="722D6DB1" w14:textId="77777777" w:rsidR="004E0D59" w:rsidRPr="004E0D59" w:rsidRDefault="004E0D59" w:rsidP="004E0D59">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0.64 (1.13)</w:t>
            </w:r>
          </w:p>
        </w:tc>
      </w:tr>
      <w:tr w:rsidR="004E0D59" w:rsidRPr="004E0D59" w14:paraId="19BAF2E9" w14:textId="77777777" w:rsidTr="002D0625">
        <w:trPr>
          <w:trHeight w:val="300"/>
        </w:trPr>
        <w:tc>
          <w:tcPr>
            <w:tcW w:w="2901" w:type="dxa"/>
            <w:tcBorders>
              <w:top w:val="nil"/>
              <w:left w:val="nil"/>
              <w:bottom w:val="nil"/>
              <w:right w:val="single" w:sz="4" w:space="0" w:color="auto"/>
            </w:tcBorders>
            <w:shd w:val="clear" w:color="auto" w:fill="auto"/>
            <w:noWrap/>
            <w:hideMark/>
          </w:tcPr>
          <w:p w14:paraId="5752B751" w14:textId="7D1C2400" w:rsidR="004E0D59" w:rsidRPr="004E0D59" w:rsidRDefault="004E0D59" w:rsidP="00C23936">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Mean (</w:t>
            </w:r>
            <w:r w:rsidR="00C23936">
              <w:rPr>
                <w:rFonts w:ascii="Calibri" w:eastAsia="Times New Roman" w:hAnsi="Calibri" w:cs="Times New Roman"/>
                <w:color w:val="000000"/>
              </w:rPr>
              <w:t>SD</w:t>
            </w:r>
            <w:r w:rsidRPr="004E0D59">
              <w:rPr>
                <w:rFonts w:ascii="Calibri" w:eastAsia="Times New Roman" w:hAnsi="Calibri" w:cs="Times New Roman"/>
                <w:color w:val="000000"/>
              </w:rPr>
              <w:t>) % body fat</w:t>
            </w:r>
          </w:p>
        </w:tc>
        <w:tc>
          <w:tcPr>
            <w:tcW w:w="639" w:type="dxa"/>
            <w:tcBorders>
              <w:top w:val="nil"/>
              <w:left w:val="single" w:sz="4" w:space="0" w:color="auto"/>
              <w:bottom w:val="nil"/>
              <w:right w:val="nil"/>
            </w:tcBorders>
            <w:shd w:val="clear" w:color="auto" w:fill="auto"/>
            <w:noWrap/>
            <w:vAlign w:val="center"/>
            <w:hideMark/>
          </w:tcPr>
          <w:p w14:paraId="1B4F8D9F" w14:textId="77777777" w:rsidR="004E0D59" w:rsidRPr="004E0D59" w:rsidRDefault="004E0D59" w:rsidP="004E0D59">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55F8D584" w14:textId="77777777" w:rsidR="004E0D59" w:rsidRPr="004E0D59" w:rsidRDefault="004E0D59" w:rsidP="004E0D59">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20.1 (7.3)</w:t>
            </w:r>
          </w:p>
        </w:tc>
        <w:tc>
          <w:tcPr>
            <w:tcW w:w="638" w:type="dxa"/>
            <w:tcBorders>
              <w:top w:val="nil"/>
              <w:left w:val="single" w:sz="4" w:space="0" w:color="auto"/>
              <w:bottom w:val="nil"/>
              <w:right w:val="nil"/>
            </w:tcBorders>
            <w:shd w:val="clear" w:color="auto" w:fill="auto"/>
            <w:noWrap/>
            <w:vAlign w:val="center"/>
            <w:hideMark/>
          </w:tcPr>
          <w:p w14:paraId="4624111A" w14:textId="77777777" w:rsidR="004E0D59" w:rsidRPr="004E0D59" w:rsidRDefault="004E0D59" w:rsidP="004E0D59">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70B0FEB7" w14:textId="77777777" w:rsidR="004E0D59" w:rsidRPr="004E0D59" w:rsidRDefault="004E0D59" w:rsidP="004E0D59">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20.0 (6.8)</w:t>
            </w:r>
          </w:p>
        </w:tc>
        <w:tc>
          <w:tcPr>
            <w:tcW w:w="638" w:type="dxa"/>
            <w:tcBorders>
              <w:top w:val="nil"/>
              <w:left w:val="single" w:sz="4" w:space="0" w:color="auto"/>
              <w:bottom w:val="nil"/>
              <w:right w:val="nil"/>
            </w:tcBorders>
            <w:shd w:val="clear" w:color="auto" w:fill="auto"/>
            <w:noWrap/>
            <w:vAlign w:val="center"/>
            <w:hideMark/>
          </w:tcPr>
          <w:p w14:paraId="51289E60" w14:textId="77777777" w:rsidR="004E0D59" w:rsidRPr="004E0D59" w:rsidRDefault="004E0D59" w:rsidP="004E0D59">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1E50B84C" w14:textId="77777777" w:rsidR="004E0D59" w:rsidRPr="004E0D59" w:rsidRDefault="004E0D59" w:rsidP="004E0D59">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20.1 (7.1)</w:t>
            </w:r>
          </w:p>
        </w:tc>
      </w:tr>
      <w:tr w:rsidR="004E0D59" w:rsidRPr="004E0D59" w14:paraId="797D78F2" w14:textId="77777777" w:rsidTr="002D0625">
        <w:trPr>
          <w:trHeight w:val="300"/>
        </w:trPr>
        <w:tc>
          <w:tcPr>
            <w:tcW w:w="2901" w:type="dxa"/>
            <w:tcBorders>
              <w:top w:val="nil"/>
              <w:left w:val="nil"/>
              <w:bottom w:val="nil"/>
              <w:right w:val="single" w:sz="4" w:space="0" w:color="auto"/>
            </w:tcBorders>
            <w:shd w:val="clear" w:color="auto" w:fill="auto"/>
            <w:noWrap/>
            <w:hideMark/>
          </w:tcPr>
          <w:p w14:paraId="34058A12" w14:textId="749B72AD" w:rsidR="004E0D59" w:rsidRPr="004E0D59" w:rsidRDefault="004E0D59" w:rsidP="00C23936">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Mean (</w:t>
            </w:r>
            <w:r w:rsidR="00C23936">
              <w:rPr>
                <w:rFonts w:ascii="Calibri" w:eastAsia="Times New Roman" w:hAnsi="Calibri" w:cs="Times New Roman"/>
                <w:color w:val="000000"/>
              </w:rPr>
              <w:t>SD</w:t>
            </w:r>
            <w:r w:rsidRPr="004E0D59">
              <w:rPr>
                <w:rFonts w:ascii="Calibri" w:eastAsia="Times New Roman" w:hAnsi="Calibri" w:cs="Times New Roman"/>
                <w:color w:val="000000"/>
              </w:rPr>
              <w:t>) % body fat SDS</w:t>
            </w:r>
          </w:p>
        </w:tc>
        <w:tc>
          <w:tcPr>
            <w:tcW w:w="639" w:type="dxa"/>
            <w:tcBorders>
              <w:top w:val="nil"/>
              <w:left w:val="single" w:sz="4" w:space="0" w:color="auto"/>
              <w:bottom w:val="nil"/>
              <w:right w:val="nil"/>
            </w:tcBorders>
            <w:shd w:val="clear" w:color="auto" w:fill="auto"/>
            <w:noWrap/>
            <w:vAlign w:val="center"/>
            <w:hideMark/>
          </w:tcPr>
          <w:p w14:paraId="538E9B92" w14:textId="77777777" w:rsidR="004E0D59" w:rsidRPr="004E0D59" w:rsidRDefault="004E0D59" w:rsidP="004E0D59">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20F31160" w14:textId="77777777" w:rsidR="004E0D59" w:rsidRPr="004E0D59" w:rsidRDefault="004E0D59" w:rsidP="004E0D59">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-0.61 (2.18)</w:t>
            </w:r>
          </w:p>
        </w:tc>
        <w:tc>
          <w:tcPr>
            <w:tcW w:w="638" w:type="dxa"/>
            <w:tcBorders>
              <w:top w:val="nil"/>
              <w:left w:val="single" w:sz="4" w:space="0" w:color="auto"/>
              <w:bottom w:val="nil"/>
              <w:right w:val="nil"/>
            </w:tcBorders>
            <w:shd w:val="clear" w:color="auto" w:fill="auto"/>
            <w:noWrap/>
            <w:vAlign w:val="center"/>
            <w:hideMark/>
          </w:tcPr>
          <w:p w14:paraId="27EE417B" w14:textId="77777777" w:rsidR="004E0D59" w:rsidRPr="004E0D59" w:rsidRDefault="004E0D59" w:rsidP="004E0D59">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7A52C899" w14:textId="77777777" w:rsidR="004E0D59" w:rsidRPr="004E0D59" w:rsidRDefault="004E0D59" w:rsidP="004E0D59">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-0.63 (2.38)</w:t>
            </w:r>
          </w:p>
        </w:tc>
        <w:tc>
          <w:tcPr>
            <w:tcW w:w="638" w:type="dxa"/>
            <w:tcBorders>
              <w:top w:val="nil"/>
              <w:left w:val="single" w:sz="4" w:space="0" w:color="auto"/>
              <w:bottom w:val="nil"/>
              <w:right w:val="nil"/>
            </w:tcBorders>
            <w:shd w:val="clear" w:color="auto" w:fill="auto"/>
            <w:noWrap/>
            <w:vAlign w:val="center"/>
            <w:hideMark/>
          </w:tcPr>
          <w:p w14:paraId="54E68945" w14:textId="77777777" w:rsidR="004E0D59" w:rsidRPr="004E0D59" w:rsidRDefault="004E0D59" w:rsidP="004E0D59">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2B2D074A" w14:textId="77777777" w:rsidR="004E0D59" w:rsidRPr="004E0D59" w:rsidRDefault="004E0D59" w:rsidP="004E0D59">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-0.62 (2.28)</w:t>
            </w:r>
          </w:p>
        </w:tc>
      </w:tr>
      <w:tr w:rsidR="00AB4D98" w:rsidRPr="004E0D59" w14:paraId="4820FB07" w14:textId="77777777" w:rsidTr="002D0625">
        <w:trPr>
          <w:trHeight w:val="300"/>
        </w:trPr>
        <w:tc>
          <w:tcPr>
            <w:tcW w:w="2901" w:type="dxa"/>
            <w:tcBorders>
              <w:top w:val="nil"/>
              <w:left w:val="nil"/>
              <w:bottom w:val="nil"/>
              <w:right w:val="single" w:sz="4" w:space="0" w:color="auto"/>
            </w:tcBorders>
            <w:shd w:val="clear" w:color="auto" w:fill="auto"/>
            <w:noWrap/>
          </w:tcPr>
          <w:p w14:paraId="0FAA45AA" w14:textId="57A1892B" w:rsidR="00AB4D98" w:rsidRPr="00AB4D98" w:rsidRDefault="00AB4D98" w:rsidP="00AB4D98">
            <w:pPr>
              <w:spacing w:after="0" w:line="240" w:lineRule="auto"/>
              <w:rPr>
                <w:rFonts w:ascii="Calibri" w:eastAsia="Times New Roman" w:hAnsi="Calibri" w:cs="Times New Roman"/>
                <w:color w:val="000000"/>
              </w:rPr>
            </w:pPr>
            <w:r w:rsidRPr="00AB4D98">
              <w:rPr>
                <w:rFonts w:ascii="Calibri" w:eastAsia="Times New Roman" w:hAnsi="Calibri" w:cs="Times New Roman"/>
                <w:color w:val="000000"/>
              </w:rPr>
              <w:t>Mean (SD) % body fat SDS</w:t>
            </w:r>
            <w:r w:rsidRPr="00AB4D98">
              <w:rPr>
                <w:rFonts w:ascii="Calibri" w:eastAsia="Times New Roman" w:hAnsi="Calibri" w:cs="Times New Roman"/>
                <w:color w:val="000000"/>
                <w:vertAlign w:val="superscript"/>
              </w:rPr>
              <w:t>a</w:t>
            </w:r>
          </w:p>
        </w:tc>
        <w:tc>
          <w:tcPr>
            <w:tcW w:w="639" w:type="dxa"/>
            <w:tcBorders>
              <w:top w:val="nil"/>
              <w:left w:val="single" w:sz="4" w:space="0" w:color="auto"/>
              <w:bottom w:val="nil"/>
              <w:right w:val="nil"/>
            </w:tcBorders>
            <w:shd w:val="clear" w:color="auto" w:fill="auto"/>
            <w:noWrap/>
            <w:vAlign w:val="center"/>
          </w:tcPr>
          <w:p w14:paraId="123F4880" w14:textId="77777777" w:rsidR="00AB4D98" w:rsidRPr="00AB4D98" w:rsidRDefault="00AB4D98" w:rsidP="00AB4D98">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tcPr>
          <w:p w14:paraId="20CD23C1" w14:textId="6B181D92" w:rsidR="00AB4D98" w:rsidRPr="00AB4D98" w:rsidRDefault="00AB4D98" w:rsidP="00AB4D98">
            <w:pPr>
              <w:spacing w:after="0" w:line="240" w:lineRule="auto"/>
              <w:rPr>
                <w:rFonts w:ascii="Calibri" w:eastAsia="Times New Roman" w:hAnsi="Calibri" w:cs="Times New Roman"/>
                <w:color w:val="000000"/>
              </w:rPr>
            </w:pPr>
            <w:r w:rsidRPr="00AB4D98">
              <w:rPr>
                <w:rFonts w:ascii="Calibri" w:eastAsia="Times New Roman" w:hAnsi="Calibri" w:cs="Times New Roman"/>
                <w:color w:val="000000"/>
              </w:rPr>
              <w:t>-0.39 (1.62)</w:t>
            </w:r>
          </w:p>
        </w:tc>
        <w:tc>
          <w:tcPr>
            <w:tcW w:w="638" w:type="dxa"/>
            <w:tcBorders>
              <w:top w:val="nil"/>
              <w:left w:val="single" w:sz="4" w:space="0" w:color="auto"/>
              <w:bottom w:val="nil"/>
              <w:right w:val="nil"/>
            </w:tcBorders>
            <w:shd w:val="clear" w:color="auto" w:fill="auto"/>
            <w:noWrap/>
            <w:vAlign w:val="center"/>
          </w:tcPr>
          <w:p w14:paraId="78E16100" w14:textId="77777777" w:rsidR="00AB4D98" w:rsidRPr="00AB4D98" w:rsidRDefault="00AB4D98" w:rsidP="00AB4D98">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tcPr>
          <w:p w14:paraId="79533E8C" w14:textId="173359E9" w:rsidR="00AB4D98" w:rsidRPr="00AB4D98" w:rsidRDefault="00AB4D98" w:rsidP="00AB4D98">
            <w:pPr>
              <w:spacing w:after="0" w:line="240" w:lineRule="auto"/>
              <w:rPr>
                <w:rFonts w:ascii="Calibri" w:eastAsia="Times New Roman" w:hAnsi="Calibri" w:cs="Times New Roman"/>
                <w:color w:val="000000"/>
              </w:rPr>
            </w:pPr>
            <w:r w:rsidRPr="00AB4D98">
              <w:rPr>
                <w:rFonts w:ascii="Calibri" w:eastAsia="Times New Roman" w:hAnsi="Calibri" w:cs="Times New Roman"/>
                <w:color w:val="000000"/>
              </w:rPr>
              <w:t>-0.46 (1.52)</w:t>
            </w:r>
          </w:p>
        </w:tc>
        <w:tc>
          <w:tcPr>
            <w:tcW w:w="638" w:type="dxa"/>
            <w:tcBorders>
              <w:top w:val="nil"/>
              <w:left w:val="single" w:sz="4" w:space="0" w:color="auto"/>
              <w:bottom w:val="nil"/>
              <w:right w:val="nil"/>
            </w:tcBorders>
            <w:shd w:val="clear" w:color="auto" w:fill="auto"/>
            <w:noWrap/>
            <w:vAlign w:val="center"/>
          </w:tcPr>
          <w:p w14:paraId="09938350" w14:textId="77777777" w:rsidR="00AB4D98" w:rsidRPr="00AB4D98" w:rsidRDefault="00AB4D98" w:rsidP="00AB4D98">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tcPr>
          <w:p w14:paraId="7B2150AD" w14:textId="14F17143" w:rsidR="00AB4D98" w:rsidRPr="00AB4D98" w:rsidRDefault="00AB4D98" w:rsidP="00AB4D98">
            <w:pPr>
              <w:spacing w:after="0" w:line="240" w:lineRule="auto"/>
              <w:rPr>
                <w:rFonts w:ascii="Calibri" w:eastAsia="Times New Roman" w:hAnsi="Calibri" w:cs="Times New Roman"/>
                <w:color w:val="000000"/>
              </w:rPr>
            </w:pPr>
            <w:r w:rsidRPr="00AB4D98">
              <w:rPr>
                <w:rFonts w:ascii="Calibri" w:eastAsia="Times New Roman" w:hAnsi="Calibri" w:cs="Times New Roman"/>
                <w:color w:val="000000"/>
              </w:rPr>
              <w:t>-0.42 (1.57)</w:t>
            </w:r>
          </w:p>
        </w:tc>
      </w:tr>
      <w:tr w:rsidR="00AB4D98" w:rsidRPr="004E0D59" w14:paraId="72DF0956" w14:textId="77777777" w:rsidTr="002D0625">
        <w:trPr>
          <w:trHeight w:val="300"/>
        </w:trPr>
        <w:tc>
          <w:tcPr>
            <w:tcW w:w="2901" w:type="dxa"/>
            <w:tcBorders>
              <w:top w:val="nil"/>
              <w:left w:val="nil"/>
              <w:bottom w:val="nil"/>
              <w:right w:val="single" w:sz="4" w:space="0" w:color="auto"/>
            </w:tcBorders>
            <w:shd w:val="clear" w:color="auto" w:fill="auto"/>
            <w:noWrap/>
            <w:hideMark/>
          </w:tcPr>
          <w:p w14:paraId="5D95DEAA" w14:textId="49C1E2DC" w:rsidR="00AB4D98" w:rsidRPr="004E0D59" w:rsidRDefault="00AB4D98" w:rsidP="00AB4D98">
            <w:pPr>
              <w:spacing w:after="0" w:line="240" w:lineRule="auto"/>
              <w:rPr>
                <w:rFonts w:ascii="Calibri" w:eastAsia="Times New Roman" w:hAnsi="Calibri" w:cs="Times New Roman"/>
                <w:b/>
                <w:color w:val="000000"/>
              </w:rPr>
            </w:pPr>
            <w:r w:rsidRPr="004E0D59">
              <w:rPr>
                <w:rFonts w:ascii="Calibri" w:eastAsia="Times New Roman" w:hAnsi="Calibri" w:cs="Times New Roman"/>
                <w:b/>
                <w:color w:val="000000"/>
              </w:rPr>
              <w:t>Weight status</w:t>
            </w:r>
            <w:r w:rsidR="00BD2C46">
              <w:rPr>
                <w:rFonts w:ascii="Calibri" w:eastAsia="Times New Roman" w:hAnsi="Calibri" w:cs="Times New Roman"/>
                <w:b/>
                <w:color w:val="000000"/>
                <w:vertAlign w:val="superscript"/>
              </w:rPr>
              <w:t>b</w:t>
            </w:r>
            <w:r w:rsidRPr="004E0D59">
              <w:rPr>
                <w:rFonts w:ascii="Calibri" w:eastAsia="Times New Roman" w:hAnsi="Calibri" w:cs="Times New Roman"/>
                <w:b/>
                <w:color w:val="000000"/>
              </w:rPr>
              <w:t>:</w:t>
            </w:r>
          </w:p>
        </w:tc>
        <w:tc>
          <w:tcPr>
            <w:tcW w:w="639" w:type="dxa"/>
            <w:tcBorders>
              <w:top w:val="nil"/>
              <w:left w:val="single" w:sz="4" w:space="0" w:color="auto"/>
              <w:bottom w:val="nil"/>
              <w:right w:val="nil"/>
            </w:tcBorders>
            <w:shd w:val="clear" w:color="auto" w:fill="auto"/>
            <w:noWrap/>
            <w:vAlign w:val="center"/>
            <w:hideMark/>
          </w:tcPr>
          <w:p w14:paraId="598BF83F" w14:textId="77777777" w:rsidR="00AB4D98" w:rsidRPr="004E0D59" w:rsidRDefault="00AB4D98" w:rsidP="00AB4D98">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69BF7694" w14:textId="77777777" w:rsidR="00AB4D98" w:rsidRPr="004E0D59" w:rsidRDefault="00AB4D98" w:rsidP="00AB4D98">
            <w:pPr>
              <w:spacing w:after="0" w:line="240" w:lineRule="auto"/>
              <w:rPr>
                <w:rFonts w:ascii="Times New Roman" w:eastAsia="Times New Roman" w:hAnsi="Times New Roman" w:cs="Times New Roman"/>
                <w:sz w:val="20"/>
                <w:szCs w:val="20"/>
              </w:rPr>
            </w:pPr>
          </w:p>
        </w:tc>
        <w:tc>
          <w:tcPr>
            <w:tcW w:w="638" w:type="dxa"/>
            <w:tcBorders>
              <w:top w:val="nil"/>
              <w:left w:val="single" w:sz="4" w:space="0" w:color="auto"/>
              <w:bottom w:val="nil"/>
              <w:right w:val="nil"/>
            </w:tcBorders>
            <w:shd w:val="clear" w:color="auto" w:fill="auto"/>
            <w:noWrap/>
            <w:vAlign w:val="center"/>
            <w:hideMark/>
          </w:tcPr>
          <w:p w14:paraId="713508F8" w14:textId="77777777" w:rsidR="00AB4D98" w:rsidRPr="004E0D59" w:rsidRDefault="00AB4D98" w:rsidP="00AB4D98">
            <w:pPr>
              <w:spacing w:after="0" w:line="240" w:lineRule="auto"/>
              <w:rPr>
                <w:rFonts w:ascii="Times New Roman" w:eastAsia="Times New Roman" w:hAnsi="Times New Roman" w:cs="Times New Roman"/>
                <w:sz w:val="20"/>
                <w:szCs w:val="20"/>
              </w:rPr>
            </w:pPr>
          </w:p>
        </w:tc>
        <w:tc>
          <w:tcPr>
            <w:tcW w:w="1358" w:type="dxa"/>
            <w:tcBorders>
              <w:top w:val="nil"/>
              <w:left w:val="nil"/>
              <w:bottom w:val="nil"/>
              <w:right w:val="single" w:sz="4" w:space="0" w:color="auto"/>
            </w:tcBorders>
            <w:shd w:val="clear" w:color="auto" w:fill="auto"/>
            <w:noWrap/>
            <w:vAlign w:val="center"/>
            <w:hideMark/>
          </w:tcPr>
          <w:p w14:paraId="1AA5FFF1" w14:textId="77777777" w:rsidR="00AB4D98" w:rsidRPr="004E0D59" w:rsidRDefault="00AB4D98" w:rsidP="00AB4D98">
            <w:pPr>
              <w:spacing w:after="0" w:line="240" w:lineRule="auto"/>
              <w:rPr>
                <w:rFonts w:ascii="Times New Roman" w:eastAsia="Times New Roman" w:hAnsi="Times New Roman" w:cs="Times New Roman"/>
                <w:sz w:val="20"/>
                <w:szCs w:val="20"/>
              </w:rPr>
            </w:pPr>
          </w:p>
        </w:tc>
        <w:tc>
          <w:tcPr>
            <w:tcW w:w="638" w:type="dxa"/>
            <w:tcBorders>
              <w:top w:val="nil"/>
              <w:left w:val="single" w:sz="4" w:space="0" w:color="auto"/>
              <w:bottom w:val="nil"/>
              <w:right w:val="nil"/>
            </w:tcBorders>
            <w:shd w:val="clear" w:color="auto" w:fill="auto"/>
            <w:noWrap/>
            <w:vAlign w:val="center"/>
            <w:hideMark/>
          </w:tcPr>
          <w:p w14:paraId="6D587F1D" w14:textId="77777777" w:rsidR="00AB4D98" w:rsidRPr="004E0D59" w:rsidRDefault="00AB4D98" w:rsidP="00AB4D98">
            <w:pPr>
              <w:spacing w:after="0" w:line="240" w:lineRule="auto"/>
              <w:rPr>
                <w:rFonts w:ascii="Times New Roman" w:eastAsia="Times New Roman" w:hAnsi="Times New Roman" w:cs="Times New Roman"/>
                <w:sz w:val="20"/>
                <w:szCs w:val="20"/>
              </w:rPr>
            </w:pPr>
          </w:p>
        </w:tc>
        <w:tc>
          <w:tcPr>
            <w:tcW w:w="1358" w:type="dxa"/>
            <w:tcBorders>
              <w:top w:val="nil"/>
              <w:left w:val="nil"/>
              <w:bottom w:val="nil"/>
              <w:right w:val="single" w:sz="4" w:space="0" w:color="auto"/>
            </w:tcBorders>
            <w:shd w:val="clear" w:color="auto" w:fill="auto"/>
            <w:noWrap/>
            <w:vAlign w:val="center"/>
            <w:hideMark/>
          </w:tcPr>
          <w:p w14:paraId="77116F12" w14:textId="77777777" w:rsidR="00AB4D98" w:rsidRPr="004E0D59" w:rsidRDefault="00AB4D98" w:rsidP="00AB4D98">
            <w:pPr>
              <w:spacing w:after="0" w:line="240" w:lineRule="auto"/>
              <w:rPr>
                <w:rFonts w:ascii="Times New Roman" w:eastAsia="Times New Roman" w:hAnsi="Times New Roman" w:cs="Times New Roman"/>
                <w:sz w:val="20"/>
                <w:szCs w:val="20"/>
              </w:rPr>
            </w:pPr>
          </w:p>
        </w:tc>
      </w:tr>
      <w:tr w:rsidR="00AB4D98" w:rsidRPr="004E0D59" w14:paraId="623EC077" w14:textId="77777777" w:rsidTr="002D0625">
        <w:trPr>
          <w:trHeight w:val="300"/>
        </w:trPr>
        <w:tc>
          <w:tcPr>
            <w:tcW w:w="2901" w:type="dxa"/>
            <w:tcBorders>
              <w:top w:val="nil"/>
              <w:left w:val="nil"/>
              <w:bottom w:val="nil"/>
              <w:right w:val="single" w:sz="4" w:space="0" w:color="auto"/>
            </w:tcBorders>
            <w:shd w:val="clear" w:color="auto" w:fill="auto"/>
            <w:noWrap/>
            <w:hideMark/>
          </w:tcPr>
          <w:p w14:paraId="7176158F" w14:textId="77777777" w:rsidR="00AB4D98" w:rsidRPr="004E0D59" w:rsidRDefault="00AB4D98" w:rsidP="00AB4D98">
            <w:pPr>
              <w:spacing w:after="0" w:line="240" w:lineRule="auto"/>
              <w:ind w:firstLine="180"/>
              <w:rPr>
                <w:rFonts w:ascii="Calibri" w:eastAsia="Times New Roman" w:hAnsi="Calibri" w:cs="Times New Roman"/>
                <w:color w:val="000000"/>
              </w:rPr>
            </w:pPr>
            <w:r w:rsidRPr="004E0D59">
              <w:rPr>
                <w:rFonts w:ascii="Calibri" w:eastAsia="Times New Roman" w:hAnsi="Calibri" w:cs="Times New Roman"/>
                <w:color w:val="000000"/>
              </w:rPr>
              <w:t>Underweight</w:t>
            </w:r>
          </w:p>
        </w:tc>
        <w:tc>
          <w:tcPr>
            <w:tcW w:w="639" w:type="dxa"/>
            <w:tcBorders>
              <w:top w:val="nil"/>
              <w:left w:val="single" w:sz="4" w:space="0" w:color="auto"/>
              <w:bottom w:val="nil"/>
              <w:right w:val="nil"/>
            </w:tcBorders>
            <w:shd w:val="clear" w:color="auto" w:fill="auto"/>
            <w:noWrap/>
            <w:vAlign w:val="center"/>
            <w:hideMark/>
          </w:tcPr>
          <w:p w14:paraId="5A260FC0" w14:textId="77777777" w:rsidR="00AB4D98" w:rsidRPr="004E0D59" w:rsidRDefault="00AB4D98" w:rsidP="00AB4D98">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11</w:t>
            </w:r>
          </w:p>
        </w:tc>
        <w:tc>
          <w:tcPr>
            <w:tcW w:w="1358" w:type="dxa"/>
            <w:tcBorders>
              <w:top w:val="nil"/>
              <w:left w:val="nil"/>
              <w:bottom w:val="nil"/>
              <w:right w:val="single" w:sz="4" w:space="0" w:color="auto"/>
            </w:tcBorders>
            <w:shd w:val="clear" w:color="auto" w:fill="auto"/>
            <w:noWrap/>
            <w:vAlign w:val="center"/>
            <w:hideMark/>
          </w:tcPr>
          <w:p w14:paraId="01371BE2" w14:textId="77777777" w:rsidR="00AB4D98" w:rsidRPr="004E0D59" w:rsidRDefault="00AB4D98" w:rsidP="00AB4D98">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1.6</w:t>
            </w:r>
          </w:p>
        </w:tc>
        <w:tc>
          <w:tcPr>
            <w:tcW w:w="638" w:type="dxa"/>
            <w:tcBorders>
              <w:top w:val="nil"/>
              <w:left w:val="single" w:sz="4" w:space="0" w:color="auto"/>
              <w:bottom w:val="nil"/>
              <w:right w:val="nil"/>
            </w:tcBorders>
            <w:shd w:val="clear" w:color="auto" w:fill="auto"/>
            <w:noWrap/>
            <w:vAlign w:val="center"/>
            <w:hideMark/>
          </w:tcPr>
          <w:p w14:paraId="3A356C7E" w14:textId="77777777" w:rsidR="00AB4D98" w:rsidRPr="004E0D59" w:rsidRDefault="00AB4D98" w:rsidP="00AB4D98">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10</w:t>
            </w:r>
          </w:p>
        </w:tc>
        <w:tc>
          <w:tcPr>
            <w:tcW w:w="1358" w:type="dxa"/>
            <w:tcBorders>
              <w:top w:val="nil"/>
              <w:left w:val="nil"/>
              <w:bottom w:val="nil"/>
              <w:right w:val="single" w:sz="4" w:space="0" w:color="auto"/>
            </w:tcBorders>
            <w:shd w:val="clear" w:color="auto" w:fill="auto"/>
            <w:noWrap/>
            <w:vAlign w:val="center"/>
            <w:hideMark/>
          </w:tcPr>
          <w:p w14:paraId="2E8FEAE1" w14:textId="77777777" w:rsidR="00AB4D98" w:rsidRPr="004E0D59" w:rsidRDefault="00AB4D98" w:rsidP="00AB4D98">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1.6</w:t>
            </w:r>
          </w:p>
        </w:tc>
        <w:tc>
          <w:tcPr>
            <w:tcW w:w="638" w:type="dxa"/>
            <w:tcBorders>
              <w:top w:val="nil"/>
              <w:left w:val="single" w:sz="4" w:space="0" w:color="auto"/>
              <w:bottom w:val="nil"/>
              <w:right w:val="nil"/>
            </w:tcBorders>
            <w:shd w:val="clear" w:color="auto" w:fill="auto"/>
            <w:noWrap/>
            <w:vAlign w:val="center"/>
            <w:hideMark/>
          </w:tcPr>
          <w:p w14:paraId="62327528" w14:textId="77777777" w:rsidR="00AB4D98" w:rsidRPr="004E0D59" w:rsidRDefault="00AB4D98" w:rsidP="00AB4D98">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21</w:t>
            </w:r>
          </w:p>
        </w:tc>
        <w:tc>
          <w:tcPr>
            <w:tcW w:w="1358" w:type="dxa"/>
            <w:tcBorders>
              <w:top w:val="nil"/>
              <w:left w:val="nil"/>
              <w:bottom w:val="nil"/>
              <w:right w:val="single" w:sz="4" w:space="0" w:color="auto"/>
            </w:tcBorders>
            <w:shd w:val="clear" w:color="auto" w:fill="auto"/>
            <w:noWrap/>
            <w:vAlign w:val="center"/>
            <w:hideMark/>
          </w:tcPr>
          <w:p w14:paraId="44C55AF2" w14:textId="77777777" w:rsidR="00AB4D98" w:rsidRPr="004E0D59" w:rsidRDefault="00AB4D98" w:rsidP="00AB4D98">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1.6</w:t>
            </w:r>
          </w:p>
        </w:tc>
      </w:tr>
      <w:tr w:rsidR="00AB4D98" w:rsidRPr="004E0D59" w14:paraId="693A3610" w14:textId="77777777" w:rsidTr="002D0625">
        <w:trPr>
          <w:trHeight w:val="300"/>
        </w:trPr>
        <w:tc>
          <w:tcPr>
            <w:tcW w:w="2901" w:type="dxa"/>
            <w:tcBorders>
              <w:top w:val="nil"/>
              <w:left w:val="nil"/>
              <w:bottom w:val="nil"/>
              <w:right w:val="single" w:sz="4" w:space="0" w:color="auto"/>
            </w:tcBorders>
            <w:shd w:val="clear" w:color="auto" w:fill="auto"/>
            <w:noWrap/>
            <w:hideMark/>
          </w:tcPr>
          <w:p w14:paraId="1C6A8B2C" w14:textId="77777777" w:rsidR="00AB4D98" w:rsidRPr="004E0D59" w:rsidRDefault="00AB4D98" w:rsidP="00AB4D98">
            <w:pPr>
              <w:spacing w:after="0" w:line="240" w:lineRule="auto"/>
              <w:ind w:firstLine="180"/>
              <w:rPr>
                <w:rFonts w:ascii="Calibri" w:eastAsia="Times New Roman" w:hAnsi="Calibri" w:cs="Times New Roman"/>
                <w:color w:val="000000"/>
              </w:rPr>
            </w:pPr>
            <w:r w:rsidRPr="004E0D59">
              <w:rPr>
                <w:rFonts w:ascii="Calibri" w:eastAsia="Times New Roman" w:hAnsi="Calibri" w:cs="Times New Roman"/>
                <w:color w:val="000000"/>
              </w:rPr>
              <w:t>Healthy</w:t>
            </w:r>
          </w:p>
        </w:tc>
        <w:tc>
          <w:tcPr>
            <w:tcW w:w="639" w:type="dxa"/>
            <w:tcBorders>
              <w:top w:val="nil"/>
              <w:left w:val="single" w:sz="4" w:space="0" w:color="auto"/>
              <w:bottom w:val="nil"/>
              <w:right w:val="nil"/>
            </w:tcBorders>
            <w:shd w:val="clear" w:color="auto" w:fill="auto"/>
            <w:noWrap/>
            <w:vAlign w:val="center"/>
            <w:hideMark/>
          </w:tcPr>
          <w:p w14:paraId="3E69C6B7" w14:textId="77777777" w:rsidR="00AB4D98" w:rsidRPr="004E0D59" w:rsidRDefault="00AB4D98" w:rsidP="00AB4D98">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479</w:t>
            </w:r>
          </w:p>
        </w:tc>
        <w:tc>
          <w:tcPr>
            <w:tcW w:w="1358" w:type="dxa"/>
            <w:tcBorders>
              <w:top w:val="nil"/>
              <w:left w:val="nil"/>
              <w:bottom w:val="nil"/>
              <w:right w:val="single" w:sz="4" w:space="0" w:color="auto"/>
            </w:tcBorders>
            <w:shd w:val="clear" w:color="auto" w:fill="auto"/>
            <w:noWrap/>
            <w:vAlign w:val="center"/>
            <w:hideMark/>
          </w:tcPr>
          <w:p w14:paraId="7AF92901" w14:textId="77777777" w:rsidR="00AB4D98" w:rsidRPr="004E0D59" w:rsidRDefault="00AB4D98" w:rsidP="00AB4D98">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71.6</w:t>
            </w:r>
          </w:p>
        </w:tc>
        <w:tc>
          <w:tcPr>
            <w:tcW w:w="638" w:type="dxa"/>
            <w:tcBorders>
              <w:top w:val="nil"/>
              <w:left w:val="single" w:sz="4" w:space="0" w:color="auto"/>
              <w:bottom w:val="nil"/>
              <w:right w:val="nil"/>
            </w:tcBorders>
            <w:shd w:val="clear" w:color="auto" w:fill="auto"/>
            <w:noWrap/>
            <w:vAlign w:val="center"/>
            <w:hideMark/>
          </w:tcPr>
          <w:p w14:paraId="43A6F2FD" w14:textId="77777777" w:rsidR="00AB4D98" w:rsidRPr="004E0D59" w:rsidRDefault="00AB4D98" w:rsidP="00AB4D98">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483</w:t>
            </w:r>
          </w:p>
        </w:tc>
        <w:tc>
          <w:tcPr>
            <w:tcW w:w="1358" w:type="dxa"/>
            <w:tcBorders>
              <w:top w:val="nil"/>
              <w:left w:val="nil"/>
              <w:bottom w:val="nil"/>
              <w:right w:val="single" w:sz="4" w:space="0" w:color="auto"/>
            </w:tcBorders>
            <w:shd w:val="clear" w:color="auto" w:fill="auto"/>
            <w:noWrap/>
            <w:vAlign w:val="center"/>
            <w:hideMark/>
          </w:tcPr>
          <w:p w14:paraId="76C4B5D7" w14:textId="77777777" w:rsidR="00AB4D98" w:rsidRPr="004E0D59" w:rsidRDefault="00AB4D98" w:rsidP="00AB4D98">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75.1</w:t>
            </w:r>
          </w:p>
        </w:tc>
        <w:tc>
          <w:tcPr>
            <w:tcW w:w="638" w:type="dxa"/>
            <w:tcBorders>
              <w:top w:val="nil"/>
              <w:left w:val="single" w:sz="4" w:space="0" w:color="auto"/>
              <w:bottom w:val="nil"/>
              <w:right w:val="nil"/>
            </w:tcBorders>
            <w:shd w:val="clear" w:color="auto" w:fill="auto"/>
            <w:noWrap/>
            <w:vAlign w:val="center"/>
            <w:hideMark/>
          </w:tcPr>
          <w:p w14:paraId="7380E274" w14:textId="77777777" w:rsidR="00AB4D98" w:rsidRPr="004E0D59" w:rsidRDefault="00AB4D98" w:rsidP="00AB4D98">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962</w:t>
            </w:r>
          </w:p>
        </w:tc>
        <w:tc>
          <w:tcPr>
            <w:tcW w:w="1358" w:type="dxa"/>
            <w:tcBorders>
              <w:top w:val="nil"/>
              <w:left w:val="nil"/>
              <w:bottom w:val="nil"/>
              <w:right w:val="single" w:sz="4" w:space="0" w:color="auto"/>
            </w:tcBorders>
            <w:shd w:val="clear" w:color="auto" w:fill="auto"/>
            <w:noWrap/>
            <w:vAlign w:val="center"/>
            <w:hideMark/>
          </w:tcPr>
          <w:p w14:paraId="327C64F7" w14:textId="77777777" w:rsidR="00AB4D98" w:rsidRPr="004E0D59" w:rsidRDefault="00AB4D98" w:rsidP="00AB4D98">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73.3</w:t>
            </w:r>
          </w:p>
        </w:tc>
      </w:tr>
      <w:tr w:rsidR="00AB4D98" w:rsidRPr="004E0D59" w14:paraId="1D654006" w14:textId="77777777" w:rsidTr="002D0625">
        <w:trPr>
          <w:trHeight w:val="300"/>
        </w:trPr>
        <w:tc>
          <w:tcPr>
            <w:tcW w:w="2901" w:type="dxa"/>
            <w:tcBorders>
              <w:top w:val="nil"/>
              <w:left w:val="nil"/>
              <w:bottom w:val="nil"/>
              <w:right w:val="single" w:sz="4" w:space="0" w:color="auto"/>
            </w:tcBorders>
            <w:shd w:val="clear" w:color="auto" w:fill="auto"/>
            <w:noWrap/>
            <w:hideMark/>
          </w:tcPr>
          <w:p w14:paraId="7938F7F3" w14:textId="77777777" w:rsidR="00AB4D98" w:rsidRPr="004E0D59" w:rsidRDefault="00AB4D98" w:rsidP="00AB4D98">
            <w:pPr>
              <w:spacing w:after="0" w:line="240" w:lineRule="auto"/>
              <w:ind w:firstLine="180"/>
              <w:rPr>
                <w:rFonts w:ascii="Calibri" w:eastAsia="Times New Roman" w:hAnsi="Calibri" w:cs="Times New Roman"/>
                <w:color w:val="000000"/>
              </w:rPr>
            </w:pPr>
            <w:r w:rsidRPr="004E0D59">
              <w:rPr>
                <w:rFonts w:ascii="Calibri" w:eastAsia="Times New Roman" w:hAnsi="Calibri" w:cs="Times New Roman"/>
                <w:color w:val="000000"/>
              </w:rPr>
              <w:t>Overweight</w:t>
            </w:r>
          </w:p>
        </w:tc>
        <w:tc>
          <w:tcPr>
            <w:tcW w:w="639" w:type="dxa"/>
            <w:tcBorders>
              <w:top w:val="nil"/>
              <w:left w:val="single" w:sz="4" w:space="0" w:color="auto"/>
              <w:bottom w:val="nil"/>
              <w:right w:val="nil"/>
            </w:tcBorders>
            <w:shd w:val="clear" w:color="auto" w:fill="auto"/>
            <w:noWrap/>
            <w:vAlign w:val="center"/>
            <w:hideMark/>
          </w:tcPr>
          <w:p w14:paraId="198D13F3" w14:textId="77777777" w:rsidR="00AB4D98" w:rsidRPr="004E0D59" w:rsidRDefault="00AB4D98" w:rsidP="00AB4D98">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81</w:t>
            </w:r>
          </w:p>
        </w:tc>
        <w:tc>
          <w:tcPr>
            <w:tcW w:w="1358" w:type="dxa"/>
            <w:tcBorders>
              <w:top w:val="nil"/>
              <w:left w:val="nil"/>
              <w:bottom w:val="nil"/>
              <w:right w:val="single" w:sz="4" w:space="0" w:color="auto"/>
            </w:tcBorders>
            <w:shd w:val="clear" w:color="auto" w:fill="auto"/>
            <w:noWrap/>
            <w:vAlign w:val="center"/>
            <w:hideMark/>
          </w:tcPr>
          <w:p w14:paraId="54430FB1" w14:textId="77777777" w:rsidR="00AB4D98" w:rsidRPr="004E0D59" w:rsidRDefault="00AB4D98" w:rsidP="00AB4D98">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12.1</w:t>
            </w:r>
          </w:p>
        </w:tc>
        <w:tc>
          <w:tcPr>
            <w:tcW w:w="638" w:type="dxa"/>
            <w:tcBorders>
              <w:top w:val="nil"/>
              <w:left w:val="single" w:sz="4" w:space="0" w:color="auto"/>
              <w:bottom w:val="nil"/>
              <w:right w:val="nil"/>
            </w:tcBorders>
            <w:shd w:val="clear" w:color="auto" w:fill="auto"/>
            <w:noWrap/>
            <w:vAlign w:val="center"/>
            <w:hideMark/>
          </w:tcPr>
          <w:p w14:paraId="2BBDDEE8" w14:textId="77777777" w:rsidR="00AB4D98" w:rsidRPr="004E0D59" w:rsidRDefault="00AB4D98" w:rsidP="00AB4D98">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69</w:t>
            </w:r>
          </w:p>
        </w:tc>
        <w:tc>
          <w:tcPr>
            <w:tcW w:w="1358" w:type="dxa"/>
            <w:tcBorders>
              <w:top w:val="nil"/>
              <w:left w:val="nil"/>
              <w:bottom w:val="nil"/>
              <w:right w:val="single" w:sz="4" w:space="0" w:color="auto"/>
            </w:tcBorders>
            <w:shd w:val="clear" w:color="auto" w:fill="auto"/>
            <w:noWrap/>
            <w:vAlign w:val="center"/>
            <w:hideMark/>
          </w:tcPr>
          <w:p w14:paraId="2E1D2972" w14:textId="77777777" w:rsidR="00AB4D98" w:rsidRPr="004E0D59" w:rsidRDefault="00AB4D98" w:rsidP="00AB4D98">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10.7</w:t>
            </w:r>
          </w:p>
        </w:tc>
        <w:tc>
          <w:tcPr>
            <w:tcW w:w="638" w:type="dxa"/>
            <w:tcBorders>
              <w:top w:val="nil"/>
              <w:left w:val="single" w:sz="4" w:space="0" w:color="auto"/>
              <w:bottom w:val="nil"/>
              <w:right w:val="nil"/>
            </w:tcBorders>
            <w:shd w:val="clear" w:color="auto" w:fill="auto"/>
            <w:noWrap/>
            <w:vAlign w:val="center"/>
            <w:hideMark/>
          </w:tcPr>
          <w:p w14:paraId="2FCBD8FA" w14:textId="77777777" w:rsidR="00AB4D98" w:rsidRPr="004E0D59" w:rsidRDefault="00AB4D98" w:rsidP="00AB4D98">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150</w:t>
            </w:r>
          </w:p>
        </w:tc>
        <w:tc>
          <w:tcPr>
            <w:tcW w:w="1358" w:type="dxa"/>
            <w:tcBorders>
              <w:top w:val="nil"/>
              <w:left w:val="nil"/>
              <w:bottom w:val="nil"/>
              <w:right w:val="single" w:sz="4" w:space="0" w:color="auto"/>
            </w:tcBorders>
            <w:shd w:val="clear" w:color="auto" w:fill="auto"/>
            <w:noWrap/>
            <w:vAlign w:val="center"/>
            <w:hideMark/>
          </w:tcPr>
          <w:p w14:paraId="3A4FAB23" w14:textId="77777777" w:rsidR="00AB4D98" w:rsidRPr="004E0D59" w:rsidRDefault="00AB4D98" w:rsidP="00AB4D98">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11.4</w:t>
            </w:r>
          </w:p>
        </w:tc>
      </w:tr>
      <w:tr w:rsidR="00AB4D98" w:rsidRPr="004E0D59" w14:paraId="14F1F3E3" w14:textId="77777777" w:rsidTr="002D0625">
        <w:trPr>
          <w:trHeight w:val="300"/>
        </w:trPr>
        <w:tc>
          <w:tcPr>
            <w:tcW w:w="2901" w:type="dxa"/>
            <w:tcBorders>
              <w:top w:val="nil"/>
              <w:left w:val="nil"/>
              <w:bottom w:val="nil"/>
              <w:right w:val="single" w:sz="4" w:space="0" w:color="auto"/>
            </w:tcBorders>
            <w:shd w:val="clear" w:color="auto" w:fill="auto"/>
            <w:noWrap/>
            <w:hideMark/>
          </w:tcPr>
          <w:p w14:paraId="5055E5A5" w14:textId="77777777" w:rsidR="00AB4D98" w:rsidRPr="004E0D59" w:rsidRDefault="00AB4D98" w:rsidP="00AB4D98">
            <w:pPr>
              <w:spacing w:after="0" w:line="240" w:lineRule="auto"/>
              <w:ind w:firstLine="180"/>
              <w:rPr>
                <w:rFonts w:ascii="Calibri" w:eastAsia="Times New Roman" w:hAnsi="Calibri" w:cs="Times New Roman"/>
                <w:color w:val="000000"/>
              </w:rPr>
            </w:pPr>
            <w:r w:rsidRPr="004E0D59">
              <w:rPr>
                <w:rFonts w:ascii="Calibri" w:eastAsia="Times New Roman" w:hAnsi="Calibri" w:cs="Times New Roman"/>
                <w:color w:val="000000"/>
              </w:rPr>
              <w:t>Obese</w:t>
            </w:r>
          </w:p>
        </w:tc>
        <w:tc>
          <w:tcPr>
            <w:tcW w:w="639" w:type="dxa"/>
            <w:tcBorders>
              <w:top w:val="nil"/>
              <w:left w:val="single" w:sz="4" w:space="0" w:color="auto"/>
              <w:bottom w:val="nil"/>
              <w:right w:val="nil"/>
            </w:tcBorders>
            <w:shd w:val="clear" w:color="auto" w:fill="auto"/>
            <w:noWrap/>
            <w:vAlign w:val="center"/>
            <w:hideMark/>
          </w:tcPr>
          <w:p w14:paraId="0A57BF04" w14:textId="77777777" w:rsidR="00AB4D98" w:rsidRPr="004E0D59" w:rsidRDefault="00AB4D98" w:rsidP="00AB4D98">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98</w:t>
            </w:r>
          </w:p>
        </w:tc>
        <w:tc>
          <w:tcPr>
            <w:tcW w:w="1358" w:type="dxa"/>
            <w:tcBorders>
              <w:top w:val="nil"/>
              <w:left w:val="nil"/>
              <w:bottom w:val="nil"/>
              <w:right w:val="single" w:sz="4" w:space="0" w:color="auto"/>
            </w:tcBorders>
            <w:shd w:val="clear" w:color="auto" w:fill="auto"/>
            <w:noWrap/>
            <w:vAlign w:val="center"/>
            <w:hideMark/>
          </w:tcPr>
          <w:p w14:paraId="6347A849" w14:textId="77777777" w:rsidR="00AB4D98" w:rsidRPr="004E0D59" w:rsidRDefault="00AB4D98" w:rsidP="00AB4D98">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14.6</w:t>
            </w:r>
          </w:p>
        </w:tc>
        <w:tc>
          <w:tcPr>
            <w:tcW w:w="638" w:type="dxa"/>
            <w:tcBorders>
              <w:top w:val="nil"/>
              <w:left w:val="single" w:sz="4" w:space="0" w:color="auto"/>
              <w:bottom w:val="nil"/>
              <w:right w:val="nil"/>
            </w:tcBorders>
            <w:shd w:val="clear" w:color="auto" w:fill="auto"/>
            <w:noWrap/>
            <w:vAlign w:val="center"/>
            <w:hideMark/>
          </w:tcPr>
          <w:p w14:paraId="4F0FDC53" w14:textId="77777777" w:rsidR="00AB4D98" w:rsidRPr="004E0D59" w:rsidRDefault="00AB4D98" w:rsidP="00AB4D98">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81</w:t>
            </w:r>
          </w:p>
        </w:tc>
        <w:tc>
          <w:tcPr>
            <w:tcW w:w="1358" w:type="dxa"/>
            <w:tcBorders>
              <w:top w:val="nil"/>
              <w:left w:val="nil"/>
              <w:bottom w:val="nil"/>
              <w:right w:val="single" w:sz="4" w:space="0" w:color="auto"/>
            </w:tcBorders>
            <w:shd w:val="clear" w:color="auto" w:fill="auto"/>
            <w:noWrap/>
            <w:vAlign w:val="center"/>
            <w:hideMark/>
          </w:tcPr>
          <w:p w14:paraId="2E8433E5" w14:textId="77777777" w:rsidR="00AB4D98" w:rsidRPr="004E0D59" w:rsidRDefault="00AB4D98" w:rsidP="00AB4D98">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12.6</w:t>
            </w:r>
          </w:p>
        </w:tc>
        <w:tc>
          <w:tcPr>
            <w:tcW w:w="638" w:type="dxa"/>
            <w:tcBorders>
              <w:top w:val="nil"/>
              <w:left w:val="single" w:sz="4" w:space="0" w:color="auto"/>
              <w:bottom w:val="nil"/>
              <w:right w:val="nil"/>
            </w:tcBorders>
            <w:shd w:val="clear" w:color="auto" w:fill="auto"/>
            <w:noWrap/>
            <w:vAlign w:val="center"/>
            <w:hideMark/>
          </w:tcPr>
          <w:p w14:paraId="20C7A692" w14:textId="77777777" w:rsidR="00AB4D98" w:rsidRPr="004E0D59" w:rsidRDefault="00AB4D98" w:rsidP="00AB4D98">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179</w:t>
            </w:r>
          </w:p>
        </w:tc>
        <w:tc>
          <w:tcPr>
            <w:tcW w:w="1358" w:type="dxa"/>
            <w:tcBorders>
              <w:top w:val="nil"/>
              <w:left w:val="nil"/>
              <w:bottom w:val="nil"/>
              <w:right w:val="single" w:sz="4" w:space="0" w:color="auto"/>
            </w:tcBorders>
            <w:shd w:val="clear" w:color="auto" w:fill="auto"/>
            <w:noWrap/>
            <w:vAlign w:val="center"/>
            <w:hideMark/>
          </w:tcPr>
          <w:p w14:paraId="264DE25E" w14:textId="77777777" w:rsidR="00AB4D98" w:rsidRPr="004E0D59" w:rsidRDefault="00AB4D98" w:rsidP="00AB4D98">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13.6</w:t>
            </w:r>
          </w:p>
        </w:tc>
      </w:tr>
    </w:tbl>
    <w:p w14:paraId="108610F6" w14:textId="77777777" w:rsidR="004E0D59" w:rsidRDefault="004E0D59" w:rsidP="004E0D59"/>
    <w:p w14:paraId="51CBD084" w14:textId="77777777" w:rsidR="00BD2C46" w:rsidRPr="00FD7E39" w:rsidRDefault="00BD2C46" w:rsidP="00BD2C46">
      <w:pPr>
        <w:spacing w:after="0" w:line="240" w:lineRule="auto"/>
        <w:rPr>
          <w:sz w:val="18"/>
          <w:szCs w:val="18"/>
        </w:rPr>
      </w:pPr>
      <w:r w:rsidRPr="00BD2C46">
        <w:rPr>
          <w:sz w:val="18"/>
          <w:szCs w:val="18"/>
          <w:vertAlign w:val="superscript"/>
        </w:rPr>
        <w:t>a</w:t>
      </w:r>
      <w:r w:rsidRPr="00BD2C46">
        <w:rPr>
          <w:sz w:val="18"/>
          <w:szCs w:val="18"/>
        </w:rPr>
        <w:t xml:space="preserve"> after excluding extreme body fat absolute SDS values greater than or equal to five. </w:t>
      </w:r>
      <w:r w:rsidRPr="00BD2C46">
        <w:rPr>
          <w:sz w:val="18"/>
          <w:szCs w:val="18"/>
          <w:vertAlign w:val="superscript"/>
        </w:rPr>
        <w:t>b</w:t>
      </w:r>
      <w:r w:rsidRPr="00BD2C46">
        <w:rPr>
          <w:sz w:val="18"/>
          <w:szCs w:val="18"/>
        </w:rPr>
        <w:t xml:space="preserve"> weight status categories are defined using the Public Health England definitions </w:t>
      </w:r>
      <w:r w:rsidRPr="00BD2C46">
        <w:rPr>
          <w:sz w:val="18"/>
          <w:szCs w:val="18"/>
        </w:rPr>
        <w:fldChar w:fldCharType="begin"/>
      </w:r>
      <w:r w:rsidRPr="00BD2C46">
        <w:rPr>
          <w:sz w:val="18"/>
          <w:szCs w:val="18"/>
        </w:rPr>
        <w:instrText xml:space="preserve"> ADDIN EN.CITE &lt;EndNote&gt;&lt;Cite ExcludeYear="1"&gt;&lt;Author&gt;Public Health England&lt;/Author&gt;&lt;RecNum&gt;5675&lt;/RecNum&gt;&lt;DisplayText&gt;&lt;style face="superscript"&gt;54&lt;/style&gt;&lt;/DisplayText&gt;&lt;record&gt;&lt;rec-number&gt;5675&lt;/rec-number&gt;&lt;foreign-keys&gt;&lt;key app="EN" db-id="2ewa9rrvjsdsawep2vpx5x97eedzzvxx5rta" timestamp="1457606878"&gt;5675&lt;/key&gt;&lt;/foreign-keys&gt;&lt;ref-type name="Web Page"&gt;12&lt;/ref-type&gt;&lt;contributors&gt;&lt;authors&gt;&lt;author&gt;Public Health England,&lt;/author&gt;&lt;/authors&gt;&lt;/contributors&gt;&lt;titles&gt;&lt;title&gt;Measuring and interpreting BMI in Children&lt;/title&gt;&lt;/titles&gt;&lt;number&gt;10 March 2016&lt;/number&gt;&lt;dates&gt;&lt;/dates&gt;&lt;urls&gt;&lt;related-urls&gt;&lt;url&gt;www.noo.org.uk/NOO_about_obesity/measurement/children&lt;/url&gt;&lt;/related-urls&gt;&lt;/urls&gt;&lt;/record&gt;&lt;/Cite&gt;&lt;/EndNote&gt;</w:instrText>
      </w:r>
      <w:r w:rsidRPr="00BD2C46">
        <w:rPr>
          <w:sz w:val="18"/>
          <w:szCs w:val="18"/>
        </w:rPr>
        <w:fldChar w:fldCharType="separate"/>
      </w:r>
      <w:r w:rsidRPr="00BD2C46">
        <w:rPr>
          <w:noProof/>
          <w:sz w:val="18"/>
          <w:szCs w:val="18"/>
          <w:vertAlign w:val="superscript"/>
        </w:rPr>
        <w:t>54</w:t>
      </w:r>
      <w:r w:rsidRPr="00BD2C46">
        <w:rPr>
          <w:sz w:val="18"/>
          <w:szCs w:val="18"/>
        </w:rPr>
        <w:fldChar w:fldCharType="end"/>
      </w:r>
      <w:r w:rsidRPr="00BD2C46">
        <w:rPr>
          <w:sz w:val="18"/>
          <w:szCs w:val="18"/>
        </w:rPr>
        <w:t>.</w:t>
      </w:r>
    </w:p>
    <w:p w14:paraId="382A26C8" w14:textId="77777777" w:rsidR="000063C3" w:rsidRDefault="000063C3" w:rsidP="004E0D59"/>
    <w:p w14:paraId="441E9D0C" w14:textId="77777777" w:rsidR="000063C3" w:rsidRDefault="000063C3" w:rsidP="004E0D59"/>
    <w:p w14:paraId="4AEA57E3" w14:textId="643CC5ED" w:rsidR="00305C76" w:rsidRPr="004E0D59" w:rsidRDefault="00305C76" w:rsidP="00305C76">
      <w:pPr>
        <w:rPr>
          <w:rFonts w:cs="Times New Roman"/>
          <w:b/>
          <w:sz w:val="24"/>
          <w:szCs w:val="24"/>
        </w:rPr>
      </w:pPr>
      <w:r w:rsidRPr="004E0D59">
        <w:rPr>
          <w:rFonts w:cs="Times New Roman"/>
          <w:b/>
          <w:sz w:val="24"/>
          <w:szCs w:val="24"/>
        </w:rPr>
        <w:t>T</w:t>
      </w:r>
      <w:r w:rsidR="00C752D5">
        <w:rPr>
          <w:rFonts w:cs="Times New Roman"/>
          <w:b/>
          <w:sz w:val="24"/>
          <w:szCs w:val="24"/>
        </w:rPr>
        <w:t>ABLE</w:t>
      </w:r>
      <w:r w:rsidRPr="004E0D59">
        <w:rPr>
          <w:rFonts w:cs="Times New Roman"/>
          <w:b/>
          <w:sz w:val="24"/>
          <w:szCs w:val="24"/>
        </w:rPr>
        <w:t xml:space="preserve"> </w:t>
      </w:r>
      <w:r w:rsidR="00D36DF5">
        <w:rPr>
          <w:rFonts w:cs="Times New Roman"/>
          <w:b/>
          <w:sz w:val="24"/>
          <w:szCs w:val="24"/>
        </w:rPr>
        <w:t>7</w:t>
      </w:r>
      <w:r w:rsidRPr="004E0D59">
        <w:rPr>
          <w:rFonts w:cs="Times New Roman"/>
          <w:b/>
          <w:sz w:val="24"/>
          <w:szCs w:val="24"/>
        </w:rPr>
        <w:t xml:space="preserve"> Comparison of individual </w:t>
      </w:r>
      <w:r>
        <w:rPr>
          <w:rFonts w:cs="Times New Roman"/>
          <w:b/>
          <w:sz w:val="24"/>
          <w:szCs w:val="24"/>
        </w:rPr>
        <w:t xml:space="preserve">behavioural </w:t>
      </w:r>
      <w:r w:rsidRPr="004E0D59">
        <w:rPr>
          <w:rFonts w:cs="Times New Roman"/>
          <w:b/>
          <w:sz w:val="24"/>
          <w:szCs w:val="24"/>
        </w:rPr>
        <w:t>baseline characteristics by randomised group</w:t>
      </w:r>
    </w:p>
    <w:tbl>
      <w:tblPr>
        <w:tblW w:w="8890" w:type="dxa"/>
        <w:tblInd w:w="-142" w:type="dxa"/>
        <w:tblLayout w:type="fixed"/>
        <w:tblLook w:val="04A0" w:firstRow="1" w:lastRow="0" w:firstColumn="1" w:lastColumn="0" w:noHBand="0" w:noVBand="1"/>
      </w:tblPr>
      <w:tblGrid>
        <w:gridCol w:w="3227"/>
        <w:gridCol w:w="313"/>
        <w:gridCol w:w="1358"/>
        <w:gridCol w:w="638"/>
        <w:gridCol w:w="1358"/>
        <w:gridCol w:w="638"/>
        <w:gridCol w:w="1358"/>
      </w:tblGrid>
      <w:tr w:rsidR="00305C76" w:rsidRPr="004E0D59" w14:paraId="09D8AB7C" w14:textId="77777777" w:rsidTr="00ED2FC2">
        <w:trPr>
          <w:trHeight w:val="709"/>
        </w:trPr>
        <w:tc>
          <w:tcPr>
            <w:tcW w:w="3227" w:type="dxa"/>
            <w:tcBorders>
              <w:top w:val="nil"/>
              <w:left w:val="nil"/>
              <w:bottom w:val="nil"/>
              <w:right w:val="single" w:sz="4" w:space="0" w:color="auto"/>
            </w:tcBorders>
            <w:shd w:val="clear" w:color="auto" w:fill="ABEBFF"/>
            <w:noWrap/>
            <w:hideMark/>
          </w:tcPr>
          <w:p w14:paraId="40EAE72C" w14:textId="77777777" w:rsidR="00305C76" w:rsidRPr="004E0D59" w:rsidRDefault="00305C76" w:rsidP="00C85AC0">
            <w:pPr>
              <w:spacing w:after="0" w:line="240" w:lineRule="auto"/>
              <w:jc w:val="center"/>
              <w:rPr>
                <w:rFonts w:ascii="Calibri" w:eastAsia="Times New Roman" w:hAnsi="Calibri" w:cs="Times New Roman"/>
                <w:b/>
                <w:color w:val="000000"/>
              </w:rPr>
            </w:pPr>
            <w:r w:rsidRPr="004E0D59">
              <w:rPr>
                <w:rFonts w:ascii="Calibri" w:eastAsia="Times New Roman" w:hAnsi="Calibri" w:cs="Times New Roman"/>
                <w:b/>
                <w:color w:val="000000"/>
              </w:rPr>
              <w:t>Characteristic</w:t>
            </w:r>
          </w:p>
        </w:tc>
        <w:tc>
          <w:tcPr>
            <w:tcW w:w="1671" w:type="dxa"/>
            <w:gridSpan w:val="2"/>
            <w:tcBorders>
              <w:top w:val="nil"/>
              <w:left w:val="single" w:sz="4" w:space="0" w:color="auto"/>
              <w:bottom w:val="nil"/>
              <w:right w:val="single" w:sz="4" w:space="0" w:color="auto"/>
            </w:tcBorders>
            <w:shd w:val="clear" w:color="auto" w:fill="ABEBFF"/>
            <w:noWrap/>
            <w:hideMark/>
          </w:tcPr>
          <w:p w14:paraId="0EB3594E" w14:textId="77777777" w:rsidR="00305C76" w:rsidRPr="004E0D59" w:rsidRDefault="00305C76" w:rsidP="00C85AC0">
            <w:pPr>
              <w:spacing w:after="0" w:line="240" w:lineRule="auto"/>
              <w:jc w:val="center"/>
              <w:rPr>
                <w:rFonts w:ascii="Calibri" w:eastAsia="Times New Roman" w:hAnsi="Calibri" w:cs="Times New Roman"/>
                <w:b/>
                <w:color w:val="000000"/>
              </w:rPr>
            </w:pPr>
            <w:r w:rsidRPr="004E0D59">
              <w:rPr>
                <w:rFonts w:ascii="Calibri" w:eastAsia="Times New Roman" w:hAnsi="Calibri" w:cs="Times New Roman"/>
                <w:b/>
                <w:color w:val="000000"/>
              </w:rPr>
              <w:t>Intervention Group</w:t>
            </w:r>
          </w:p>
          <w:p w14:paraId="1175C268" w14:textId="0A903199" w:rsidR="00305C76" w:rsidRPr="004E0D59" w:rsidRDefault="00305C76" w:rsidP="00DE3537">
            <w:pPr>
              <w:spacing w:after="0" w:line="240" w:lineRule="auto"/>
              <w:jc w:val="center"/>
              <w:rPr>
                <w:rFonts w:ascii="Calibri" w:eastAsia="Times New Roman" w:hAnsi="Calibri" w:cs="Times New Roman"/>
                <w:b/>
                <w:color w:val="000000"/>
              </w:rPr>
            </w:pPr>
            <w:r w:rsidRPr="00DE3537">
              <w:rPr>
                <w:rFonts w:ascii="Calibri" w:eastAsia="Times New Roman" w:hAnsi="Calibri" w:cs="Times New Roman"/>
                <w:b/>
                <w:color w:val="000000"/>
              </w:rPr>
              <w:t>n =</w:t>
            </w:r>
            <w:r w:rsidRPr="004E0D59">
              <w:rPr>
                <w:rFonts w:ascii="Calibri" w:eastAsia="Times New Roman" w:hAnsi="Calibri" w:cs="Times New Roman"/>
                <w:b/>
                <w:color w:val="000000"/>
              </w:rPr>
              <w:t xml:space="preserve"> </w:t>
            </w:r>
            <w:r w:rsidR="00DE3537">
              <w:rPr>
                <w:rFonts w:ascii="Calibri" w:eastAsia="Times New Roman" w:hAnsi="Calibri" w:cs="Times New Roman"/>
                <w:b/>
                <w:color w:val="000000"/>
              </w:rPr>
              <w:t>428</w:t>
            </w:r>
          </w:p>
        </w:tc>
        <w:tc>
          <w:tcPr>
            <w:tcW w:w="1996" w:type="dxa"/>
            <w:gridSpan w:val="2"/>
            <w:tcBorders>
              <w:top w:val="nil"/>
              <w:left w:val="single" w:sz="4" w:space="0" w:color="auto"/>
              <w:bottom w:val="nil"/>
              <w:right w:val="single" w:sz="4" w:space="0" w:color="auto"/>
            </w:tcBorders>
            <w:shd w:val="clear" w:color="auto" w:fill="ABEBFF"/>
            <w:noWrap/>
            <w:hideMark/>
          </w:tcPr>
          <w:p w14:paraId="6DAFC4AE" w14:textId="77777777" w:rsidR="00305C76" w:rsidRPr="004E0D59" w:rsidRDefault="00305C76" w:rsidP="00C85AC0">
            <w:pPr>
              <w:spacing w:after="0" w:line="240" w:lineRule="auto"/>
              <w:jc w:val="center"/>
              <w:rPr>
                <w:rFonts w:ascii="Calibri" w:eastAsia="Times New Roman" w:hAnsi="Calibri" w:cs="Times New Roman"/>
                <w:b/>
                <w:color w:val="000000"/>
              </w:rPr>
            </w:pPr>
            <w:r w:rsidRPr="004E0D59">
              <w:rPr>
                <w:rFonts w:ascii="Calibri" w:eastAsia="Times New Roman" w:hAnsi="Calibri" w:cs="Times New Roman"/>
                <w:b/>
                <w:color w:val="000000"/>
              </w:rPr>
              <w:t>Control Group</w:t>
            </w:r>
          </w:p>
          <w:p w14:paraId="0B192A32" w14:textId="58CB6930" w:rsidR="00305C76" w:rsidRPr="004E0D59" w:rsidRDefault="00305C76" w:rsidP="00DE3537">
            <w:pPr>
              <w:spacing w:after="0" w:line="240" w:lineRule="auto"/>
              <w:jc w:val="center"/>
              <w:rPr>
                <w:rFonts w:ascii="Calibri" w:eastAsia="Times New Roman" w:hAnsi="Calibri" w:cs="Times New Roman"/>
                <w:b/>
                <w:color w:val="000000"/>
              </w:rPr>
            </w:pPr>
            <w:r w:rsidRPr="00DE3537">
              <w:rPr>
                <w:rFonts w:ascii="Calibri" w:eastAsia="Times New Roman" w:hAnsi="Calibri" w:cs="Times New Roman"/>
                <w:b/>
                <w:color w:val="000000"/>
              </w:rPr>
              <w:t>n =</w:t>
            </w:r>
            <w:r w:rsidRPr="004E0D59">
              <w:rPr>
                <w:rFonts w:ascii="Calibri" w:eastAsia="Times New Roman" w:hAnsi="Calibri" w:cs="Times New Roman"/>
                <w:b/>
                <w:color w:val="000000"/>
              </w:rPr>
              <w:t xml:space="preserve"> </w:t>
            </w:r>
            <w:r w:rsidR="00DE3537">
              <w:rPr>
                <w:rFonts w:ascii="Calibri" w:eastAsia="Times New Roman" w:hAnsi="Calibri" w:cs="Times New Roman"/>
                <w:b/>
                <w:color w:val="000000"/>
              </w:rPr>
              <w:t>458</w:t>
            </w:r>
          </w:p>
        </w:tc>
        <w:tc>
          <w:tcPr>
            <w:tcW w:w="1996" w:type="dxa"/>
            <w:gridSpan w:val="2"/>
            <w:tcBorders>
              <w:top w:val="nil"/>
              <w:left w:val="single" w:sz="4" w:space="0" w:color="auto"/>
              <w:bottom w:val="nil"/>
              <w:right w:val="single" w:sz="4" w:space="0" w:color="auto"/>
            </w:tcBorders>
            <w:shd w:val="clear" w:color="auto" w:fill="ABEBFF"/>
            <w:noWrap/>
            <w:hideMark/>
          </w:tcPr>
          <w:p w14:paraId="5F7471B1" w14:textId="77777777" w:rsidR="00305C76" w:rsidRPr="004E0D59" w:rsidRDefault="00305C76" w:rsidP="00C85AC0">
            <w:pPr>
              <w:spacing w:after="0" w:line="240" w:lineRule="auto"/>
              <w:jc w:val="center"/>
              <w:rPr>
                <w:rFonts w:ascii="Calibri" w:eastAsia="Times New Roman" w:hAnsi="Calibri" w:cs="Times New Roman"/>
                <w:b/>
                <w:color w:val="000000"/>
              </w:rPr>
            </w:pPr>
            <w:r w:rsidRPr="004E0D59">
              <w:rPr>
                <w:rFonts w:ascii="Calibri" w:eastAsia="Times New Roman" w:hAnsi="Calibri" w:cs="Times New Roman"/>
                <w:b/>
                <w:color w:val="000000"/>
              </w:rPr>
              <w:t>All</w:t>
            </w:r>
          </w:p>
          <w:p w14:paraId="113A6F9E" w14:textId="0E8F2F88" w:rsidR="00305C76" w:rsidRPr="004E0D59" w:rsidRDefault="00305C76" w:rsidP="00DE3537">
            <w:pPr>
              <w:spacing w:after="0" w:line="240" w:lineRule="auto"/>
              <w:jc w:val="center"/>
              <w:rPr>
                <w:rFonts w:ascii="Calibri" w:eastAsia="Times New Roman" w:hAnsi="Calibri" w:cs="Times New Roman"/>
                <w:b/>
                <w:color w:val="000000"/>
              </w:rPr>
            </w:pPr>
            <w:r w:rsidRPr="00DE3537">
              <w:rPr>
                <w:rFonts w:ascii="Calibri" w:eastAsia="Times New Roman" w:hAnsi="Calibri" w:cs="Times New Roman"/>
                <w:b/>
                <w:color w:val="000000"/>
              </w:rPr>
              <w:t>n =</w:t>
            </w:r>
            <w:r w:rsidRPr="004E0D59">
              <w:rPr>
                <w:rFonts w:ascii="Calibri" w:eastAsia="Times New Roman" w:hAnsi="Calibri" w:cs="Times New Roman"/>
                <w:b/>
                <w:color w:val="000000"/>
              </w:rPr>
              <w:t xml:space="preserve"> </w:t>
            </w:r>
            <w:r w:rsidR="00DE3537">
              <w:rPr>
                <w:rFonts w:ascii="Calibri" w:eastAsia="Times New Roman" w:hAnsi="Calibri" w:cs="Times New Roman"/>
                <w:b/>
                <w:color w:val="000000"/>
              </w:rPr>
              <w:t>886</w:t>
            </w:r>
          </w:p>
        </w:tc>
      </w:tr>
      <w:tr w:rsidR="00305C76" w:rsidRPr="004E0D59" w14:paraId="77545AF0" w14:textId="77777777" w:rsidTr="00ED2FC2">
        <w:trPr>
          <w:trHeight w:val="300"/>
        </w:trPr>
        <w:tc>
          <w:tcPr>
            <w:tcW w:w="3227" w:type="dxa"/>
            <w:tcBorders>
              <w:top w:val="nil"/>
              <w:left w:val="nil"/>
              <w:bottom w:val="nil"/>
              <w:right w:val="single" w:sz="4" w:space="0" w:color="auto"/>
            </w:tcBorders>
            <w:shd w:val="clear" w:color="auto" w:fill="ABEBFF"/>
            <w:noWrap/>
            <w:vAlign w:val="bottom"/>
            <w:hideMark/>
          </w:tcPr>
          <w:p w14:paraId="58377888" w14:textId="77777777" w:rsidR="00305C76" w:rsidRPr="004E0D59" w:rsidRDefault="00305C76" w:rsidP="00C85AC0">
            <w:pPr>
              <w:spacing w:after="0" w:line="240" w:lineRule="auto"/>
              <w:rPr>
                <w:rFonts w:ascii="Times New Roman" w:eastAsia="Times New Roman" w:hAnsi="Times New Roman" w:cs="Times New Roman"/>
                <w:b/>
                <w:sz w:val="20"/>
                <w:szCs w:val="20"/>
              </w:rPr>
            </w:pPr>
          </w:p>
        </w:tc>
        <w:tc>
          <w:tcPr>
            <w:tcW w:w="313" w:type="dxa"/>
            <w:tcBorders>
              <w:top w:val="nil"/>
              <w:left w:val="single" w:sz="4" w:space="0" w:color="auto"/>
              <w:bottom w:val="nil"/>
              <w:right w:val="nil"/>
            </w:tcBorders>
            <w:shd w:val="clear" w:color="auto" w:fill="ABEBFF"/>
            <w:noWrap/>
            <w:vAlign w:val="bottom"/>
            <w:hideMark/>
          </w:tcPr>
          <w:p w14:paraId="6317D3FE" w14:textId="7617FBB9" w:rsidR="00305C76" w:rsidRPr="004E0D59" w:rsidRDefault="00ED2FC2" w:rsidP="00C85AC0">
            <w:pPr>
              <w:spacing w:after="0" w:line="240" w:lineRule="auto"/>
              <w:rPr>
                <w:rFonts w:ascii="Calibri" w:eastAsia="Times New Roman" w:hAnsi="Calibri" w:cs="Times New Roman"/>
                <w:b/>
                <w:color w:val="000000"/>
              </w:rPr>
            </w:pPr>
            <w:r>
              <w:rPr>
                <w:rFonts w:ascii="Calibri" w:eastAsia="Times New Roman" w:hAnsi="Calibri" w:cs="Times New Roman"/>
                <w:b/>
                <w:color w:val="000000"/>
              </w:rPr>
              <w:t xml:space="preserve"> </w:t>
            </w:r>
          </w:p>
        </w:tc>
        <w:tc>
          <w:tcPr>
            <w:tcW w:w="1358" w:type="dxa"/>
            <w:tcBorders>
              <w:top w:val="nil"/>
              <w:left w:val="nil"/>
              <w:bottom w:val="nil"/>
              <w:right w:val="single" w:sz="4" w:space="0" w:color="auto"/>
            </w:tcBorders>
            <w:shd w:val="clear" w:color="auto" w:fill="ABEBFF"/>
            <w:noWrap/>
            <w:vAlign w:val="bottom"/>
            <w:hideMark/>
          </w:tcPr>
          <w:p w14:paraId="242CA844" w14:textId="141EBCB7" w:rsidR="00305C76" w:rsidRPr="004E0D59" w:rsidRDefault="00ED2FC2" w:rsidP="00BD2C46">
            <w:pPr>
              <w:spacing w:after="0" w:line="240" w:lineRule="auto"/>
              <w:rPr>
                <w:rFonts w:ascii="Calibri" w:eastAsia="Times New Roman" w:hAnsi="Calibri" w:cs="Times New Roman"/>
                <w:b/>
                <w:color w:val="000000"/>
              </w:rPr>
            </w:pPr>
            <w:r>
              <w:rPr>
                <w:rFonts w:ascii="Calibri" w:eastAsia="Times New Roman" w:hAnsi="Calibri" w:cs="Times New Roman"/>
                <w:b/>
                <w:color w:val="000000"/>
              </w:rPr>
              <w:t xml:space="preserve"> </w:t>
            </w:r>
          </w:p>
        </w:tc>
        <w:tc>
          <w:tcPr>
            <w:tcW w:w="638" w:type="dxa"/>
            <w:tcBorders>
              <w:top w:val="nil"/>
              <w:left w:val="single" w:sz="4" w:space="0" w:color="auto"/>
              <w:bottom w:val="nil"/>
              <w:right w:val="nil"/>
            </w:tcBorders>
            <w:shd w:val="clear" w:color="auto" w:fill="ABEBFF"/>
            <w:noWrap/>
            <w:vAlign w:val="bottom"/>
            <w:hideMark/>
          </w:tcPr>
          <w:p w14:paraId="60400F3E" w14:textId="4FF3C646" w:rsidR="00305C76" w:rsidRPr="004E0D59" w:rsidRDefault="00305C76" w:rsidP="00C85AC0">
            <w:pPr>
              <w:spacing w:after="0" w:line="240" w:lineRule="auto"/>
              <w:rPr>
                <w:rFonts w:ascii="Calibri" w:eastAsia="Times New Roman" w:hAnsi="Calibri" w:cs="Times New Roman"/>
                <w:b/>
                <w:color w:val="000000"/>
              </w:rPr>
            </w:pPr>
          </w:p>
        </w:tc>
        <w:tc>
          <w:tcPr>
            <w:tcW w:w="1358" w:type="dxa"/>
            <w:tcBorders>
              <w:top w:val="nil"/>
              <w:left w:val="nil"/>
              <w:bottom w:val="nil"/>
              <w:right w:val="single" w:sz="4" w:space="0" w:color="auto"/>
            </w:tcBorders>
            <w:shd w:val="clear" w:color="auto" w:fill="ABEBFF"/>
            <w:noWrap/>
            <w:vAlign w:val="bottom"/>
            <w:hideMark/>
          </w:tcPr>
          <w:p w14:paraId="1495B5DC" w14:textId="7A3A82F5" w:rsidR="00305C76" w:rsidRPr="004E0D59" w:rsidRDefault="00305C76" w:rsidP="00C85AC0">
            <w:pPr>
              <w:spacing w:after="0" w:line="240" w:lineRule="auto"/>
              <w:rPr>
                <w:rFonts w:ascii="Calibri" w:eastAsia="Times New Roman" w:hAnsi="Calibri" w:cs="Times New Roman"/>
                <w:b/>
                <w:color w:val="000000"/>
              </w:rPr>
            </w:pPr>
          </w:p>
        </w:tc>
        <w:tc>
          <w:tcPr>
            <w:tcW w:w="638" w:type="dxa"/>
            <w:tcBorders>
              <w:top w:val="nil"/>
              <w:left w:val="single" w:sz="4" w:space="0" w:color="auto"/>
              <w:bottom w:val="nil"/>
              <w:right w:val="nil"/>
            </w:tcBorders>
            <w:shd w:val="clear" w:color="auto" w:fill="ABEBFF"/>
            <w:noWrap/>
            <w:vAlign w:val="bottom"/>
            <w:hideMark/>
          </w:tcPr>
          <w:p w14:paraId="4E6E87D2" w14:textId="6D5D571B" w:rsidR="00305C76" w:rsidRPr="004E0D59" w:rsidRDefault="00305C76" w:rsidP="00C85AC0">
            <w:pPr>
              <w:spacing w:after="0" w:line="240" w:lineRule="auto"/>
              <w:rPr>
                <w:rFonts w:ascii="Calibri" w:eastAsia="Times New Roman" w:hAnsi="Calibri" w:cs="Times New Roman"/>
                <w:b/>
                <w:color w:val="000000"/>
              </w:rPr>
            </w:pPr>
          </w:p>
        </w:tc>
        <w:tc>
          <w:tcPr>
            <w:tcW w:w="1358" w:type="dxa"/>
            <w:tcBorders>
              <w:top w:val="nil"/>
              <w:left w:val="nil"/>
              <w:bottom w:val="nil"/>
              <w:right w:val="single" w:sz="4" w:space="0" w:color="auto"/>
            </w:tcBorders>
            <w:shd w:val="clear" w:color="auto" w:fill="ABEBFF"/>
            <w:noWrap/>
            <w:vAlign w:val="bottom"/>
            <w:hideMark/>
          </w:tcPr>
          <w:p w14:paraId="015D6766" w14:textId="31BEDFF9" w:rsidR="00305C76" w:rsidRPr="004E0D59" w:rsidRDefault="00305C76" w:rsidP="00C85AC0">
            <w:pPr>
              <w:spacing w:after="0" w:line="240" w:lineRule="auto"/>
              <w:rPr>
                <w:rFonts w:ascii="Calibri" w:eastAsia="Times New Roman" w:hAnsi="Calibri" w:cs="Times New Roman"/>
                <w:b/>
                <w:color w:val="000000"/>
              </w:rPr>
            </w:pPr>
          </w:p>
        </w:tc>
      </w:tr>
      <w:tr w:rsidR="00305C76" w:rsidRPr="004E0D59" w14:paraId="70A8D086" w14:textId="77777777" w:rsidTr="00ED2FC2">
        <w:trPr>
          <w:trHeight w:val="300"/>
        </w:trPr>
        <w:tc>
          <w:tcPr>
            <w:tcW w:w="3227" w:type="dxa"/>
            <w:tcBorders>
              <w:top w:val="nil"/>
              <w:left w:val="nil"/>
              <w:bottom w:val="nil"/>
              <w:right w:val="single" w:sz="4" w:space="0" w:color="auto"/>
            </w:tcBorders>
            <w:shd w:val="clear" w:color="auto" w:fill="auto"/>
            <w:noWrap/>
            <w:hideMark/>
          </w:tcPr>
          <w:p w14:paraId="6CCD0814" w14:textId="3A55721C" w:rsidR="00305C76" w:rsidRPr="004E0D59" w:rsidRDefault="00305C76" w:rsidP="00C23936">
            <w:pPr>
              <w:spacing w:after="0" w:line="240" w:lineRule="auto"/>
              <w:rPr>
                <w:rFonts w:ascii="Calibri" w:eastAsia="Times New Roman" w:hAnsi="Calibri" w:cs="Times New Roman"/>
                <w:b/>
                <w:color w:val="000000"/>
              </w:rPr>
            </w:pPr>
            <w:r w:rsidRPr="000063C3">
              <w:rPr>
                <w:rFonts w:ascii="Calibri" w:eastAsia="Times New Roman" w:hAnsi="Calibri" w:cs="Times New Roman"/>
                <w:b/>
                <w:color w:val="000000"/>
              </w:rPr>
              <w:t>Mean physical activity (</w:t>
            </w:r>
            <w:r w:rsidR="00C23936">
              <w:rPr>
                <w:rFonts w:ascii="Calibri" w:eastAsia="Times New Roman" w:hAnsi="Calibri" w:cs="Times New Roman"/>
                <w:b/>
                <w:color w:val="000000"/>
              </w:rPr>
              <w:t>SD</w:t>
            </w:r>
            <w:r w:rsidRPr="000063C3">
              <w:rPr>
                <w:rFonts w:ascii="Calibri" w:eastAsia="Times New Roman" w:hAnsi="Calibri" w:cs="Times New Roman"/>
                <w:b/>
                <w:color w:val="000000"/>
              </w:rPr>
              <w:t>):</w:t>
            </w:r>
          </w:p>
        </w:tc>
        <w:tc>
          <w:tcPr>
            <w:tcW w:w="313" w:type="dxa"/>
            <w:tcBorders>
              <w:top w:val="nil"/>
              <w:left w:val="single" w:sz="4" w:space="0" w:color="auto"/>
              <w:bottom w:val="nil"/>
              <w:right w:val="nil"/>
            </w:tcBorders>
            <w:shd w:val="clear" w:color="auto" w:fill="auto"/>
            <w:noWrap/>
            <w:vAlign w:val="center"/>
            <w:hideMark/>
          </w:tcPr>
          <w:p w14:paraId="10BBDBB5" w14:textId="77777777" w:rsidR="00305C76" w:rsidRPr="004E0D59" w:rsidRDefault="00305C76" w:rsidP="00C85AC0">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11E86CB9" w14:textId="77777777" w:rsidR="00305C76" w:rsidRPr="004E0D59" w:rsidRDefault="00305C76" w:rsidP="00C85AC0">
            <w:pPr>
              <w:spacing w:after="0" w:line="240" w:lineRule="auto"/>
              <w:rPr>
                <w:rFonts w:ascii="Times New Roman" w:eastAsia="Times New Roman" w:hAnsi="Times New Roman" w:cs="Times New Roman"/>
                <w:sz w:val="20"/>
                <w:szCs w:val="20"/>
              </w:rPr>
            </w:pPr>
          </w:p>
        </w:tc>
        <w:tc>
          <w:tcPr>
            <w:tcW w:w="638" w:type="dxa"/>
            <w:tcBorders>
              <w:top w:val="nil"/>
              <w:left w:val="single" w:sz="4" w:space="0" w:color="auto"/>
              <w:bottom w:val="nil"/>
              <w:right w:val="nil"/>
            </w:tcBorders>
            <w:shd w:val="clear" w:color="auto" w:fill="auto"/>
            <w:noWrap/>
            <w:vAlign w:val="center"/>
            <w:hideMark/>
          </w:tcPr>
          <w:p w14:paraId="1C9FB101" w14:textId="77777777" w:rsidR="00305C76" w:rsidRPr="004E0D59" w:rsidRDefault="00305C76" w:rsidP="00C85AC0">
            <w:pPr>
              <w:spacing w:after="0" w:line="240" w:lineRule="auto"/>
              <w:rPr>
                <w:rFonts w:ascii="Times New Roman" w:eastAsia="Times New Roman" w:hAnsi="Times New Roman" w:cs="Times New Roman"/>
                <w:sz w:val="20"/>
                <w:szCs w:val="20"/>
              </w:rPr>
            </w:pPr>
          </w:p>
        </w:tc>
        <w:tc>
          <w:tcPr>
            <w:tcW w:w="1358" w:type="dxa"/>
            <w:tcBorders>
              <w:top w:val="nil"/>
              <w:left w:val="nil"/>
              <w:bottom w:val="nil"/>
              <w:right w:val="single" w:sz="4" w:space="0" w:color="auto"/>
            </w:tcBorders>
            <w:shd w:val="clear" w:color="auto" w:fill="auto"/>
            <w:noWrap/>
            <w:vAlign w:val="center"/>
            <w:hideMark/>
          </w:tcPr>
          <w:p w14:paraId="355624E4" w14:textId="77777777" w:rsidR="00305C76" w:rsidRPr="004E0D59" w:rsidRDefault="00305C76" w:rsidP="00C85AC0">
            <w:pPr>
              <w:spacing w:after="0" w:line="240" w:lineRule="auto"/>
              <w:rPr>
                <w:rFonts w:ascii="Times New Roman" w:eastAsia="Times New Roman" w:hAnsi="Times New Roman" w:cs="Times New Roman"/>
                <w:sz w:val="20"/>
                <w:szCs w:val="20"/>
              </w:rPr>
            </w:pPr>
          </w:p>
        </w:tc>
        <w:tc>
          <w:tcPr>
            <w:tcW w:w="638" w:type="dxa"/>
            <w:tcBorders>
              <w:top w:val="nil"/>
              <w:left w:val="single" w:sz="4" w:space="0" w:color="auto"/>
              <w:bottom w:val="nil"/>
              <w:right w:val="nil"/>
            </w:tcBorders>
            <w:shd w:val="clear" w:color="auto" w:fill="auto"/>
            <w:noWrap/>
            <w:vAlign w:val="center"/>
            <w:hideMark/>
          </w:tcPr>
          <w:p w14:paraId="44D21B24" w14:textId="77777777" w:rsidR="00305C76" w:rsidRPr="004E0D59" w:rsidRDefault="00305C76" w:rsidP="00C85AC0">
            <w:pPr>
              <w:spacing w:after="0" w:line="240" w:lineRule="auto"/>
              <w:rPr>
                <w:rFonts w:ascii="Times New Roman" w:eastAsia="Times New Roman" w:hAnsi="Times New Roman" w:cs="Times New Roman"/>
                <w:sz w:val="20"/>
                <w:szCs w:val="20"/>
              </w:rPr>
            </w:pPr>
          </w:p>
        </w:tc>
        <w:tc>
          <w:tcPr>
            <w:tcW w:w="1358" w:type="dxa"/>
            <w:tcBorders>
              <w:top w:val="nil"/>
              <w:left w:val="nil"/>
              <w:bottom w:val="nil"/>
              <w:right w:val="single" w:sz="4" w:space="0" w:color="auto"/>
            </w:tcBorders>
            <w:shd w:val="clear" w:color="auto" w:fill="auto"/>
            <w:noWrap/>
            <w:vAlign w:val="center"/>
            <w:hideMark/>
          </w:tcPr>
          <w:p w14:paraId="4B680586" w14:textId="77777777" w:rsidR="00305C76" w:rsidRPr="004E0D59" w:rsidRDefault="00305C76" w:rsidP="00C85AC0">
            <w:pPr>
              <w:spacing w:after="0" w:line="240" w:lineRule="auto"/>
              <w:rPr>
                <w:rFonts w:ascii="Times New Roman" w:eastAsia="Times New Roman" w:hAnsi="Times New Roman" w:cs="Times New Roman"/>
                <w:sz w:val="20"/>
                <w:szCs w:val="20"/>
              </w:rPr>
            </w:pPr>
          </w:p>
        </w:tc>
      </w:tr>
      <w:tr w:rsidR="00305C76" w:rsidRPr="004E0D59" w14:paraId="4C01C743" w14:textId="77777777" w:rsidTr="00ED2FC2">
        <w:trPr>
          <w:trHeight w:val="300"/>
        </w:trPr>
        <w:tc>
          <w:tcPr>
            <w:tcW w:w="3227" w:type="dxa"/>
            <w:tcBorders>
              <w:top w:val="nil"/>
              <w:left w:val="nil"/>
              <w:bottom w:val="nil"/>
              <w:right w:val="single" w:sz="4" w:space="0" w:color="auto"/>
            </w:tcBorders>
            <w:shd w:val="clear" w:color="auto" w:fill="auto"/>
            <w:noWrap/>
          </w:tcPr>
          <w:p w14:paraId="1754A5A2" w14:textId="0A8B45D2" w:rsidR="00305C76" w:rsidRPr="00C52579" w:rsidRDefault="00ED2FC2" w:rsidP="00ED2FC2">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   </w:t>
            </w:r>
            <w:r w:rsidR="00C23936">
              <w:rPr>
                <w:rFonts w:ascii="Calibri" w:eastAsia="Times New Roman" w:hAnsi="Calibri" w:cs="Times New Roman"/>
                <w:color w:val="000000"/>
              </w:rPr>
              <w:t xml:space="preserve"> </w:t>
            </w:r>
            <w:r>
              <w:rPr>
                <w:rFonts w:ascii="Calibri" w:eastAsia="Times New Roman" w:hAnsi="Calibri" w:cs="Times New Roman"/>
                <w:color w:val="000000"/>
              </w:rPr>
              <w:t xml:space="preserve">Average Weekly </w:t>
            </w:r>
            <w:r w:rsidR="00305C76">
              <w:rPr>
                <w:rFonts w:ascii="Calibri" w:eastAsia="Times New Roman" w:hAnsi="Calibri" w:cs="Times New Roman"/>
                <w:color w:val="000000"/>
              </w:rPr>
              <w:t>volume (m</w:t>
            </w:r>
            <w:r w:rsidR="00305C76">
              <w:rPr>
                <w:rFonts w:ascii="Calibri" w:eastAsia="Times New Roman" w:hAnsi="Calibri" w:cs="Times New Roman"/>
                <w:i/>
                <w:color w:val="000000"/>
              </w:rPr>
              <w:t>g</w:t>
            </w:r>
            <w:r w:rsidR="00305C76">
              <w:rPr>
                <w:rFonts w:ascii="Calibri" w:eastAsia="Times New Roman" w:hAnsi="Calibri" w:cs="Times New Roman"/>
                <w:color w:val="000000"/>
              </w:rPr>
              <w:t>)</w:t>
            </w:r>
          </w:p>
        </w:tc>
        <w:tc>
          <w:tcPr>
            <w:tcW w:w="313" w:type="dxa"/>
            <w:tcBorders>
              <w:top w:val="nil"/>
              <w:left w:val="single" w:sz="4" w:space="0" w:color="auto"/>
              <w:bottom w:val="nil"/>
              <w:right w:val="nil"/>
            </w:tcBorders>
            <w:shd w:val="clear" w:color="auto" w:fill="auto"/>
            <w:noWrap/>
            <w:vAlign w:val="center"/>
          </w:tcPr>
          <w:p w14:paraId="2563028F" w14:textId="77777777" w:rsidR="00305C76" w:rsidRPr="004E0D59" w:rsidRDefault="00305C76" w:rsidP="00C85AC0">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tcPr>
          <w:p w14:paraId="6265DF18" w14:textId="77777777" w:rsidR="00305C76" w:rsidRPr="004E0D59" w:rsidRDefault="00305C76" w:rsidP="00C85AC0">
            <w:pPr>
              <w:spacing w:after="0" w:line="240" w:lineRule="auto"/>
              <w:rPr>
                <w:rFonts w:ascii="Calibri" w:eastAsia="Times New Roman" w:hAnsi="Calibri" w:cs="Times New Roman"/>
                <w:color w:val="000000"/>
              </w:rPr>
            </w:pPr>
            <w:r w:rsidRPr="004E0D59">
              <w:rPr>
                <w:rFonts w:eastAsia="Times New Roman" w:cs="Times New Roman"/>
              </w:rPr>
              <w:t>49.0 (11.3)</w:t>
            </w:r>
          </w:p>
        </w:tc>
        <w:tc>
          <w:tcPr>
            <w:tcW w:w="638" w:type="dxa"/>
            <w:tcBorders>
              <w:top w:val="nil"/>
              <w:left w:val="single" w:sz="4" w:space="0" w:color="auto"/>
              <w:bottom w:val="nil"/>
              <w:right w:val="nil"/>
            </w:tcBorders>
            <w:shd w:val="clear" w:color="auto" w:fill="auto"/>
            <w:noWrap/>
            <w:vAlign w:val="center"/>
          </w:tcPr>
          <w:p w14:paraId="792C8FEE" w14:textId="77777777" w:rsidR="00305C76" w:rsidRPr="004E0D59" w:rsidRDefault="00305C76" w:rsidP="00C85AC0">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tcPr>
          <w:p w14:paraId="3D9A9319" w14:textId="77777777" w:rsidR="00305C76" w:rsidRPr="004E0D59" w:rsidRDefault="00305C76" w:rsidP="00C85AC0">
            <w:pPr>
              <w:spacing w:after="0" w:line="240" w:lineRule="auto"/>
              <w:rPr>
                <w:rFonts w:ascii="Calibri" w:eastAsia="Times New Roman" w:hAnsi="Calibri" w:cs="Times New Roman"/>
                <w:color w:val="000000"/>
              </w:rPr>
            </w:pPr>
            <w:r w:rsidRPr="004E0D59">
              <w:rPr>
                <w:rFonts w:eastAsia="Times New Roman" w:cs="Times New Roman"/>
              </w:rPr>
              <w:t>49.6 (10.9)</w:t>
            </w:r>
          </w:p>
        </w:tc>
        <w:tc>
          <w:tcPr>
            <w:tcW w:w="638" w:type="dxa"/>
            <w:tcBorders>
              <w:top w:val="nil"/>
              <w:left w:val="single" w:sz="4" w:space="0" w:color="auto"/>
              <w:bottom w:val="nil"/>
              <w:right w:val="nil"/>
            </w:tcBorders>
            <w:shd w:val="clear" w:color="auto" w:fill="auto"/>
            <w:noWrap/>
            <w:vAlign w:val="center"/>
          </w:tcPr>
          <w:p w14:paraId="6E0A06D0" w14:textId="77777777" w:rsidR="00305C76" w:rsidRPr="004E0D59" w:rsidRDefault="00305C76" w:rsidP="00C85AC0">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tcPr>
          <w:p w14:paraId="11B44683" w14:textId="77777777" w:rsidR="00305C76" w:rsidRPr="004E0D59" w:rsidRDefault="00305C76" w:rsidP="00C85AC0">
            <w:pPr>
              <w:spacing w:after="0" w:line="240" w:lineRule="auto"/>
              <w:rPr>
                <w:rFonts w:ascii="Calibri" w:eastAsia="Times New Roman" w:hAnsi="Calibri" w:cs="Times New Roman"/>
                <w:color w:val="000000"/>
              </w:rPr>
            </w:pPr>
            <w:r w:rsidRPr="004E0D59">
              <w:rPr>
                <w:rFonts w:eastAsia="Times New Roman" w:cs="Times New Roman"/>
              </w:rPr>
              <w:t>49.3 (11.1)</w:t>
            </w:r>
          </w:p>
        </w:tc>
      </w:tr>
      <w:tr w:rsidR="00305C76" w:rsidRPr="004E0D59" w14:paraId="345E51B4" w14:textId="77777777" w:rsidTr="00ED2FC2">
        <w:trPr>
          <w:trHeight w:val="300"/>
        </w:trPr>
        <w:tc>
          <w:tcPr>
            <w:tcW w:w="3227" w:type="dxa"/>
            <w:tcBorders>
              <w:top w:val="nil"/>
              <w:left w:val="nil"/>
              <w:bottom w:val="nil"/>
              <w:right w:val="single" w:sz="4" w:space="0" w:color="auto"/>
            </w:tcBorders>
            <w:shd w:val="clear" w:color="auto" w:fill="auto"/>
            <w:noWrap/>
            <w:hideMark/>
          </w:tcPr>
          <w:p w14:paraId="7B462D9A" w14:textId="71DDF7EC" w:rsidR="00305C76" w:rsidRPr="004E0D59" w:rsidRDefault="00ED2FC2" w:rsidP="00C85AC0">
            <w:pPr>
              <w:spacing w:after="0" w:line="240" w:lineRule="auto"/>
              <w:ind w:firstLine="180"/>
              <w:rPr>
                <w:rFonts w:ascii="Calibri" w:eastAsia="Times New Roman" w:hAnsi="Calibri" w:cs="Times New Roman"/>
                <w:color w:val="000000"/>
              </w:rPr>
            </w:pPr>
            <w:r>
              <w:rPr>
                <w:rFonts w:ascii="Calibri" w:eastAsia="Times New Roman" w:hAnsi="Calibri" w:cs="Times New Roman"/>
                <w:color w:val="000000"/>
              </w:rPr>
              <w:t xml:space="preserve">Average Daily </w:t>
            </w:r>
            <w:r w:rsidR="00305C76" w:rsidRPr="004E0D59">
              <w:rPr>
                <w:rFonts w:ascii="Calibri" w:eastAsia="Times New Roman" w:hAnsi="Calibri" w:cs="Times New Roman"/>
                <w:color w:val="000000"/>
              </w:rPr>
              <w:t>Total</w:t>
            </w:r>
            <w:r w:rsidR="00305C76">
              <w:rPr>
                <w:rFonts w:ascii="Calibri" w:eastAsia="Times New Roman" w:hAnsi="Calibri" w:cs="Times New Roman"/>
                <w:color w:val="000000"/>
              </w:rPr>
              <w:t xml:space="preserve"> activity</w:t>
            </w:r>
          </w:p>
        </w:tc>
        <w:tc>
          <w:tcPr>
            <w:tcW w:w="313" w:type="dxa"/>
            <w:tcBorders>
              <w:top w:val="nil"/>
              <w:left w:val="single" w:sz="4" w:space="0" w:color="auto"/>
              <w:bottom w:val="nil"/>
              <w:right w:val="nil"/>
            </w:tcBorders>
            <w:shd w:val="clear" w:color="auto" w:fill="auto"/>
            <w:noWrap/>
            <w:vAlign w:val="center"/>
            <w:hideMark/>
          </w:tcPr>
          <w:p w14:paraId="4E506C19" w14:textId="77777777" w:rsidR="00305C76" w:rsidRPr="004E0D59" w:rsidRDefault="00305C76" w:rsidP="00C85AC0">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7E4FDE5C" w14:textId="77777777" w:rsidR="00305C76" w:rsidRPr="004E0D59" w:rsidRDefault="00305C76" w:rsidP="00C85AC0">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182.7 (36.7)</w:t>
            </w:r>
          </w:p>
        </w:tc>
        <w:tc>
          <w:tcPr>
            <w:tcW w:w="638" w:type="dxa"/>
            <w:tcBorders>
              <w:top w:val="nil"/>
              <w:left w:val="single" w:sz="4" w:space="0" w:color="auto"/>
              <w:bottom w:val="nil"/>
              <w:right w:val="nil"/>
            </w:tcBorders>
            <w:shd w:val="clear" w:color="auto" w:fill="auto"/>
            <w:noWrap/>
            <w:vAlign w:val="center"/>
            <w:hideMark/>
          </w:tcPr>
          <w:p w14:paraId="5912631C" w14:textId="77777777" w:rsidR="00305C76" w:rsidRPr="004E0D59" w:rsidRDefault="00305C76" w:rsidP="00C85AC0">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31711465" w14:textId="77777777" w:rsidR="00305C76" w:rsidRPr="004E0D59" w:rsidRDefault="00305C76" w:rsidP="00C85AC0">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185.0 (34.7)</w:t>
            </w:r>
          </w:p>
        </w:tc>
        <w:tc>
          <w:tcPr>
            <w:tcW w:w="638" w:type="dxa"/>
            <w:tcBorders>
              <w:top w:val="nil"/>
              <w:left w:val="single" w:sz="4" w:space="0" w:color="auto"/>
              <w:bottom w:val="nil"/>
              <w:right w:val="nil"/>
            </w:tcBorders>
            <w:shd w:val="clear" w:color="auto" w:fill="auto"/>
            <w:noWrap/>
            <w:vAlign w:val="center"/>
            <w:hideMark/>
          </w:tcPr>
          <w:p w14:paraId="5A283DC2" w14:textId="77777777" w:rsidR="00305C76" w:rsidRPr="004E0D59" w:rsidRDefault="00305C76" w:rsidP="00C85AC0">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54D617DD" w14:textId="77777777" w:rsidR="00305C76" w:rsidRPr="004E0D59" w:rsidRDefault="00305C76" w:rsidP="00C85AC0">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183.9 (35.7)</w:t>
            </w:r>
          </w:p>
        </w:tc>
      </w:tr>
      <w:tr w:rsidR="00305C76" w:rsidRPr="004E0D59" w14:paraId="6ABAFD77" w14:textId="77777777" w:rsidTr="00ED2FC2">
        <w:trPr>
          <w:trHeight w:val="300"/>
        </w:trPr>
        <w:tc>
          <w:tcPr>
            <w:tcW w:w="3227" w:type="dxa"/>
            <w:tcBorders>
              <w:top w:val="nil"/>
              <w:left w:val="nil"/>
              <w:bottom w:val="nil"/>
              <w:right w:val="single" w:sz="4" w:space="0" w:color="auto"/>
            </w:tcBorders>
            <w:shd w:val="clear" w:color="auto" w:fill="auto"/>
            <w:noWrap/>
            <w:hideMark/>
          </w:tcPr>
          <w:p w14:paraId="217126C2" w14:textId="2DDBAAF1" w:rsidR="00305C76" w:rsidRPr="004E0D59" w:rsidRDefault="00ED2FC2" w:rsidP="00C85AC0">
            <w:pPr>
              <w:spacing w:after="0" w:line="240" w:lineRule="auto"/>
              <w:ind w:firstLine="180"/>
              <w:rPr>
                <w:rFonts w:ascii="Calibri" w:eastAsia="Times New Roman" w:hAnsi="Calibri" w:cs="Times New Roman"/>
                <w:color w:val="000000"/>
              </w:rPr>
            </w:pPr>
            <w:r>
              <w:rPr>
                <w:rFonts w:ascii="Calibri" w:eastAsia="Times New Roman" w:hAnsi="Calibri" w:cs="Times New Roman"/>
                <w:color w:val="000000"/>
              </w:rPr>
              <w:t xml:space="preserve">Average Daily </w:t>
            </w:r>
            <w:r w:rsidR="00305C76" w:rsidRPr="004E0D59">
              <w:rPr>
                <w:rFonts w:ascii="Calibri" w:eastAsia="Times New Roman" w:hAnsi="Calibri" w:cs="Times New Roman"/>
                <w:color w:val="000000"/>
              </w:rPr>
              <w:t>Light</w:t>
            </w:r>
          </w:p>
        </w:tc>
        <w:tc>
          <w:tcPr>
            <w:tcW w:w="313" w:type="dxa"/>
            <w:tcBorders>
              <w:top w:val="nil"/>
              <w:left w:val="single" w:sz="4" w:space="0" w:color="auto"/>
              <w:bottom w:val="nil"/>
              <w:right w:val="nil"/>
            </w:tcBorders>
            <w:shd w:val="clear" w:color="auto" w:fill="auto"/>
            <w:noWrap/>
            <w:vAlign w:val="center"/>
            <w:hideMark/>
          </w:tcPr>
          <w:p w14:paraId="0CE89514" w14:textId="77777777" w:rsidR="00305C76" w:rsidRPr="004E0D59" w:rsidRDefault="00305C76" w:rsidP="00C85AC0">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51ABE75F" w14:textId="77777777" w:rsidR="00305C76" w:rsidRPr="004E0D59" w:rsidRDefault="00305C76" w:rsidP="00C85AC0">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129.4 (24.7)</w:t>
            </w:r>
          </w:p>
        </w:tc>
        <w:tc>
          <w:tcPr>
            <w:tcW w:w="638" w:type="dxa"/>
            <w:tcBorders>
              <w:top w:val="nil"/>
              <w:left w:val="single" w:sz="4" w:space="0" w:color="auto"/>
              <w:bottom w:val="nil"/>
              <w:right w:val="nil"/>
            </w:tcBorders>
            <w:shd w:val="clear" w:color="auto" w:fill="auto"/>
            <w:noWrap/>
            <w:vAlign w:val="center"/>
            <w:hideMark/>
          </w:tcPr>
          <w:p w14:paraId="4AD80FD0" w14:textId="77777777" w:rsidR="00305C76" w:rsidRPr="004E0D59" w:rsidRDefault="00305C76" w:rsidP="00C85AC0">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5DE37268" w14:textId="77777777" w:rsidR="00305C76" w:rsidRPr="004E0D59" w:rsidRDefault="00305C76" w:rsidP="00C85AC0">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131.1 (24.2)</w:t>
            </w:r>
          </w:p>
        </w:tc>
        <w:tc>
          <w:tcPr>
            <w:tcW w:w="638" w:type="dxa"/>
            <w:tcBorders>
              <w:top w:val="nil"/>
              <w:left w:val="single" w:sz="4" w:space="0" w:color="auto"/>
              <w:bottom w:val="nil"/>
              <w:right w:val="nil"/>
            </w:tcBorders>
            <w:shd w:val="clear" w:color="auto" w:fill="auto"/>
            <w:noWrap/>
            <w:vAlign w:val="center"/>
            <w:hideMark/>
          </w:tcPr>
          <w:p w14:paraId="79A8E36F" w14:textId="77777777" w:rsidR="00305C76" w:rsidRPr="004E0D59" w:rsidRDefault="00305C76" w:rsidP="00C85AC0">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5F2A097E" w14:textId="77777777" w:rsidR="00305C76" w:rsidRPr="004E0D59" w:rsidRDefault="00305C76" w:rsidP="00C85AC0">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130.3 (24.4)</w:t>
            </w:r>
          </w:p>
        </w:tc>
      </w:tr>
      <w:tr w:rsidR="00305C76" w:rsidRPr="004E0D59" w14:paraId="1081EBA8" w14:textId="77777777" w:rsidTr="00ED2FC2">
        <w:trPr>
          <w:trHeight w:val="300"/>
        </w:trPr>
        <w:tc>
          <w:tcPr>
            <w:tcW w:w="3227" w:type="dxa"/>
            <w:tcBorders>
              <w:top w:val="nil"/>
              <w:left w:val="nil"/>
              <w:bottom w:val="nil"/>
              <w:right w:val="single" w:sz="4" w:space="0" w:color="auto"/>
            </w:tcBorders>
            <w:shd w:val="clear" w:color="auto" w:fill="auto"/>
            <w:noWrap/>
            <w:hideMark/>
          </w:tcPr>
          <w:p w14:paraId="229A9E24" w14:textId="50694846" w:rsidR="00305C76" w:rsidRPr="004E0D59" w:rsidRDefault="00ED2FC2" w:rsidP="00C85AC0">
            <w:pPr>
              <w:spacing w:after="0" w:line="240" w:lineRule="auto"/>
              <w:ind w:firstLine="180"/>
              <w:rPr>
                <w:rFonts w:ascii="Calibri" w:eastAsia="Times New Roman" w:hAnsi="Calibri" w:cs="Times New Roman"/>
                <w:color w:val="000000"/>
              </w:rPr>
            </w:pPr>
            <w:r>
              <w:rPr>
                <w:rFonts w:ascii="Calibri" w:eastAsia="Times New Roman" w:hAnsi="Calibri" w:cs="Times New Roman"/>
                <w:color w:val="000000"/>
              </w:rPr>
              <w:t xml:space="preserve">Average Daily </w:t>
            </w:r>
            <w:r w:rsidR="00305C76" w:rsidRPr="004E0D59">
              <w:rPr>
                <w:rFonts w:ascii="Calibri" w:eastAsia="Times New Roman" w:hAnsi="Calibri" w:cs="Times New Roman"/>
                <w:color w:val="000000"/>
              </w:rPr>
              <w:t>Moderate</w:t>
            </w:r>
          </w:p>
        </w:tc>
        <w:tc>
          <w:tcPr>
            <w:tcW w:w="313" w:type="dxa"/>
            <w:tcBorders>
              <w:top w:val="nil"/>
              <w:left w:val="single" w:sz="4" w:space="0" w:color="auto"/>
              <w:bottom w:val="nil"/>
              <w:right w:val="nil"/>
            </w:tcBorders>
            <w:shd w:val="clear" w:color="auto" w:fill="auto"/>
            <w:noWrap/>
            <w:vAlign w:val="center"/>
            <w:hideMark/>
          </w:tcPr>
          <w:p w14:paraId="20B191BD" w14:textId="77777777" w:rsidR="00305C76" w:rsidRPr="004E0D59" w:rsidRDefault="00305C76" w:rsidP="00C85AC0">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5730BE26" w14:textId="77777777" w:rsidR="00305C76" w:rsidRPr="004E0D59" w:rsidRDefault="00305C76" w:rsidP="00C85AC0">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40.0 (12.1)</w:t>
            </w:r>
          </w:p>
        </w:tc>
        <w:tc>
          <w:tcPr>
            <w:tcW w:w="638" w:type="dxa"/>
            <w:tcBorders>
              <w:top w:val="nil"/>
              <w:left w:val="single" w:sz="4" w:space="0" w:color="auto"/>
              <w:bottom w:val="nil"/>
              <w:right w:val="nil"/>
            </w:tcBorders>
            <w:shd w:val="clear" w:color="auto" w:fill="auto"/>
            <w:noWrap/>
            <w:vAlign w:val="center"/>
            <w:hideMark/>
          </w:tcPr>
          <w:p w14:paraId="03FBA461" w14:textId="77777777" w:rsidR="00305C76" w:rsidRPr="004E0D59" w:rsidRDefault="00305C76" w:rsidP="00C85AC0">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67DDD848" w14:textId="77777777" w:rsidR="00305C76" w:rsidRPr="004E0D59" w:rsidRDefault="00305C76" w:rsidP="00C85AC0">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40.4 (11.4)</w:t>
            </w:r>
          </w:p>
        </w:tc>
        <w:tc>
          <w:tcPr>
            <w:tcW w:w="638" w:type="dxa"/>
            <w:tcBorders>
              <w:top w:val="nil"/>
              <w:left w:val="single" w:sz="4" w:space="0" w:color="auto"/>
              <w:bottom w:val="nil"/>
              <w:right w:val="nil"/>
            </w:tcBorders>
            <w:shd w:val="clear" w:color="auto" w:fill="auto"/>
            <w:noWrap/>
            <w:vAlign w:val="center"/>
            <w:hideMark/>
          </w:tcPr>
          <w:p w14:paraId="44BF2117" w14:textId="77777777" w:rsidR="00305C76" w:rsidRPr="004E0D59" w:rsidRDefault="00305C76" w:rsidP="00C85AC0">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73654E83" w14:textId="77777777" w:rsidR="00305C76" w:rsidRPr="004E0D59" w:rsidRDefault="00305C76" w:rsidP="00C85AC0">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40.2 (11.7)</w:t>
            </w:r>
          </w:p>
        </w:tc>
      </w:tr>
      <w:tr w:rsidR="00305C76" w:rsidRPr="004E0D59" w14:paraId="13B424C5" w14:textId="77777777" w:rsidTr="00ED2FC2">
        <w:trPr>
          <w:trHeight w:val="300"/>
        </w:trPr>
        <w:tc>
          <w:tcPr>
            <w:tcW w:w="3227" w:type="dxa"/>
            <w:tcBorders>
              <w:top w:val="nil"/>
              <w:left w:val="nil"/>
              <w:bottom w:val="nil"/>
              <w:right w:val="single" w:sz="4" w:space="0" w:color="auto"/>
            </w:tcBorders>
            <w:shd w:val="clear" w:color="auto" w:fill="auto"/>
            <w:noWrap/>
            <w:hideMark/>
          </w:tcPr>
          <w:p w14:paraId="3075D564" w14:textId="77777777" w:rsidR="00ED2FC2" w:rsidRDefault="00ED2FC2" w:rsidP="00C85AC0">
            <w:pPr>
              <w:spacing w:after="0" w:line="240" w:lineRule="auto"/>
              <w:ind w:firstLine="180"/>
              <w:rPr>
                <w:rFonts w:ascii="Calibri" w:eastAsia="Times New Roman" w:hAnsi="Calibri" w:cs="Times New Roman"/>
                <w:color w:val="000000"/>
              </w:rPr>
            </w:pPr>
            <w:r>
              <w:rPr>
                <w:rFonts w:ascii="Calibri" w:eastAsia="Times New Roman" w:hAnsi="Calibri" w:cs="Times New Roman"/>
                <w:color w:val="000000"/>
              </w:rPr>
              <w:t xml:space="preserve">Average Daily </w:t>
            </w:r>
            <w:r w:rsidR="00305C76" w:rsidRPr="004E0D59">
              <w:rPr>
                <w:rFonts w:ascii="Calibri" w:eastAsia="Times New Roman" w:hAnsi="Calibri" w:cs="Times New Roman"/>
                <w:color w:val="000000"/>
              </w:rPr>
              <w:t>Moderate-</w:t>
            </w:r>
            <w:r>
              <w:rPr>
                <w:rFonts w:ascii="Calibri" w:eastAsia="Times New Roman" w:hAnsi="Calibri" w:cs="Times New Roman"/>
                <w:color w:val="000000"/>
              </w:rPr>
              <w:t xml:space="preserve"> </w:t>
            </w:r>
          </w:p>
          <w:p w14:paraId="633A4D71" w14:textId="66DFD2ED" w:rsidR="00305C76" w:rsidRPr="004E0D59" w:rsidRDefault="00ED2FC2" w:rsidP="00ED2FC2">
            <w:pPr>
              <w:spacing w:after="0" w:line="240" w:lineRule="auto"/>
              <w:ind w:firstLine="180"/>
              <w:rPr>
                <w:rFonts w:ascii="Calibri" w:eastAsia="Times New Roman" w:hAnsi="Calibri" w:cs="Times New Roman"/>
                <w:color w:val="000000"/>
              </w:rPr>
            </w:pPr>
            <w:r>
              <w:rPr>
                <w:rFonts w:ascii="Calibri" w:eastAsia="Times New Roman" w:hAnsi="Calibri" w:cs="Times New Roman"/>
                <w:color w:val="000000"/>
              </w:rPr>
              <w:t xml:space="preserve"> </w:t>
            </w:r>
            <w:r w:rsidR="00C23936" w:rsidRPr="004E0D59">
              <w:rPr>
                <w:rFonts w:ascii="Calibri" w:eastAsia="Times New Roman" w:hAnsi="Calibri" w:cs="Times New Roman"/>
                <w:color w:val="000000"/>
              </w:rPr>
              <w:t>V</w:t>
            </w:r>
            <w:r w:rsidR="00305C76" w:rsidRPr="004E0D59">
              <w:rPr>
                <w:rFonts w:ascii="Calibri" w:eastAsia="Times New Roman" w:hAnsi="Calibri" w:cs="Times New Roman"/>
                <w:color w:val="000000"/>
              </w:rPr>
              <w:t>igorous</w:t>
            </w:r>
          </w:p>
        </w:tc>
        <w:tc>
          <w:tcPr>
            <w:tcW w:w="313" w:type="dxa"/>
            <w:tcBorders>
              <w:top w:val="nil"/>
              <w:left w:val="single" w:sz="4" w:space="0" w:color="auto"/>
              <w:bottom w:val="nil"/>
              <w:right w:val="nil"/>
            </w:tcBorders>
            <w:shd w:val="clear" w:color="auto" w:fill="auto"/>
            <w:noWrap/>
            <w:vAlign w:val="center"/>
            <w:hideMark/>
          </w:tcPr>
          <w:p w14:paraId="4EB9D7D8" w14:textId="13500EB3" w:rsidR="00305C76" w:rsidRPr="004E0D59" w:rsidRDefault="00ED2FC2" w:rsidP="00C85AC0">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 </w:t>
            </w:r>
          </w:p>
        </w:tc>
        <w:tc>
          <w:tcPr>
            <w:tcW w:w="1358" w:type="dxa"/>
            <w:tcBorders>
              <w:top w:val="nil"/>
              <w:left w:val="nil"/>
              <w:bottom w:val="nil"/>
              <w:right w:val="single" w:sz="4" w:space="0" w:color="auto"/>
            </w:tcBorders>
            <w:shd w:val="clear" w:color="auto" w:fill="auto"/>
            <w:noWrap/>
            <w:vAlign w:val="center"/>
            <w:hideMark/>
          </w:tcPr>
          <w:p w14:paraId="4A9A539B" w14:textId="77777777" w:rsidR="00305C76" w:rsidRPr="004E0D59" w:rsidRDefault="00305C76" w:rsidP="00C85AC0">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53.3 (16.8)</w:t>
            </w:r>
          </w:p>
        </w:tc>
        <w:tc>
          <w:tcPr>
            <w:tcW w:w="638" w:type="dxa"/>
            <w:tcBorders>
              <w:top w:val="nil"/>
              <w:left w:val="single" w:sz="4" w:space="0" w:color="auto"/>
              <w:bottom w:val="nil"/>
              <w:right w:val="nil"/>
            </w:tcBorders>
            <w:shd w:val="clear" w:color="auto" w:fill="auto"/>
            <w:noWrap/>
            <w:vAlign w:val="center"/>
            <w:hideMark/>
          </w:tcPr>
          <w:p w14:paraId="1D864EDB" w14:textId="77777777" w:rsidR="00305C76" w:rsidRPr="004E0D59" w:rsidRDefault="00305C76" w:rsidP="00C85AC0">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448BF077" w14:textId="77777777" w:rsidR="00305C76" w:rsidRPr="004E0D59" w:rsidRDefault="00305C76" w:rsidP="00C85AC0">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53.9 (16.2)</w:t>
            </w:r>
          </w:p>
        </w:tc>
        <w:tc>
          <w:tcPr>
            <w:tcW w:w="638" w:type="dxa"/>
            <w:tcBorders>
              <w:top w:val="nil"/>
              <w:left w:val="single" w:sz="4" w:space="0" w:color="auto"/>
              <w:bottom w:val="nil"/>
              <w:right w:val="nil"/>
            </w:tcBorders>
            <w:shd w:val="clear" w:color="auto" w:fill="auto"/>
            <w:noWrap/>
            <w:vAlign w:val="center"/>
            <w:hideMark/>
          </w:tcPr>
          <w:p w14:paraId="4794D4F4" w14:textId="77777777" w:rsidR="00305C76" w:rsidRPr="004E0D59" w:rsidRDefault="00305C76" w:rsidP="00C85AC0">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33BA78AC" w14:textId="77777777" w:rsidR="00305C76" w:rsidRPr="004E0D59" w:rsidRDefault="00305C76" w:rsidP="00C85AC0">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53.6 (16.5)</w:t>
            </w:r>
          </w:p>
        </w:tc>
      </w:tr>
      <w:tr w:rsidR="00305C76" w:rsidRPr="004E0D59" w14:paraId="566AB006" w14:textId="77777777" w:rsidTr="00ED2FC2">
        <w:trPr>
          <w:trHeight w:val="300"/>
        </w:trPr>
        <w:tc>
          <w:tcPr>
            <w:tcW w:w="3227" w:type="dxa"/>
            <w:tcBorders>
              <w:top w:val="nil"/>
              <w:left w:val="nil"/>
              <w:bottom w:val="nil"/>
              <w:right w:val="single" w:sz="4" w:space="0" w:color="auto"/>
            </w:tcBorders>
            <w:shd w:val="clear" w:color="auto" w:fill="auto"/>
            <w:noWrap/>
            <w:hideMark/>
          </w:tcPr>
          <w:p w14:paraId="00F35B95" w14:textId="710419AE" w:rsidR="00305C76" w:rsidRPr="004E0D59" w:rsidRDefault="00ED2FC2" w:rsidP="00C85AC0">
            <w:pPr>
              <w:spacing w:after="0" w:line="240" w:lineRule="auto"/>
              <w:ind w:firstLine="180"/>
              <w:rPr>
                <w:rFonts w:ascii="Calibri" w:eastAsia="Times New Roman" w:hAnsi="Calibri" w:cs="Times New Roman"/>
                <w:color w:val="000000"/>
              </w:rPr>
            </w:pPr>
            <w:r>
              <w:rPr>
                <w:rFonts w:ascii="Calibri" w:eastAsia="Times New Roman" w:hAnsi="Calibri" w:cs="Times New Roman"/>
                <w:color w:val="000000"/>
              </w:rPr>
              <w:t xml:space="preserve">Average Daily </w:t>
            </w:r>
            <w:r w:rsidR="00305C76" w:rsidRPr="004E0D59">
              <w:rPr>
                <w:rFonts w:ascii="Calibri" w:eastAsia="Times New Roman" w:hAnsi="Calibri" w:cs="Times New Roman"/>
                <w:color w:val="000000"/>
              </w:rPr>
              <w:t>Vigorous</w:t>
            </w:r>
          </w:p>
        </w:tc>
        <w:tc>
          <w:tcPr>
            <w:tcW w:w="313" w:type="dxa"/>
            <w:tcBorders>
              <w:top w:val="nil"/>
              <w:left w:val="single" w:sz="4" w:space="0" w:color="auto"/>
              <w:bottom w:val="nil"/>
              <w:right w:val="nil"/>
            </w:tcBorders>
            <w:shd w:val="clear" w:color="auto" w:fill="auto"/>
            <w:noWrap/>
            <w:vAlign w:val="center"/>
            <w:hideMark/>
          </w:tcPr>
          <w:p w14:paraId="130D1795" w14:textId="77777777" w:rsidR="00305C76" w:rsidRPr="004E0D59" w:rsidRDefault="00305C76" w:rsidP="00C85AC0">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784E684C" w14:textId="77777777" w:rsidR="00305C76" w:rsidRPr="004E0D59" w:rsidRDefault="00305C76" w:rsidP="00C85AC0">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13.3 (6.2)</w:t>
            </w:r>
          </w:p>
        </w:tc>
        <w:tc>
          <w:tcPr>
            <w:tcW w:w="638" w:type="dxa"/>
            <w:tcBorders>
              <w:top w:val="nil"/>
              <w:left w:val="single" w:sz="4" w:space="0" w:color="auto"/>
              <w:bottom w:val="nil"/>
              <w:right w:val="nil"/>
            </w:tcBorders>
            <w:shd w:val="clear" w:color="auto" w:fill="auto"/>
            <w:noWrap/>
            <w:vAlign w:val="center"/>
            <w:hideMark/>
          </w:tcPr>
          <w:p w14:paraId="730427A6" w14:textId="77777777" w:rsidR="00305C76" w:rsidRPr="004E0D59" w:rsidRDefault="00305C76" w:rsidP="00C85AC0">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01721374" w14:textId="77777777" w:rsidR="00305C76" w:rsidRPr="004E0D59" w:rsidRDefault="00305C76" w:rsidP="00C85AC0">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13.5 (6.2)</w:t>
            </w:r>
          </w:p>
        </w:tc>
        <w:tc>
          <w:tcPr>
            <w:tcW w:w="638" w:type="dxa"/>
            <w:tcBorders>
              <w:top w:val="nil"/>
              <w:left w:val="single" w:sz="4" w:space="0" w:color="auto"/>
              <w:bottom w:val="nil"/>
              <w:right w:val="nil"/>
            </w:tcBorders>
            <w:shd w:val="clear" w:color="auto" w:fill="auto"/>
            <w:noWrap/>
            <w:vAlign w:val="center"/>
            <w:hideMark/>
          </w:tcPr>
          <w:p w14:paraId="1060FE45" w14:textId="77777777" w:rsidR="00305C76" w:rsidRPr="004E0D59" w:rsidRDefault="00305C76" w:rsidP="00C85AC0">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74074839" w14:textId="77777777" w:rsidR="00305C76" w:rsidRPr="004E0D59" w:rsidRDefault="00305C76" w:rsidP="00C85AC0">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13.4 (6.2)</w:t>
            </w:r>
          </w:p>
        </w:tc>
      </w:tr>
      <w:tr w:rsidR="00305C76" w:rsidRPr="004E0D59" w14:paraId="3EB9D521" w14:textId="77777777" w:rsidTr="00ED2FC2">
        <w:trPr>
          <w:trHeight w:val="300"/>
        </w:trPr>
        <w:tc>
          <w:tcPr>
            <w:tcW w:w="3227" w:type="dxa"/>
            <w:tcBorders>
              <w:top w:val="nil"/>
              <w:left w:val="nil"/>
              <w:bottom w:val="nil"/>
              <w:right w:val="single" w:sz="4" w:space="0" w:color="auto"/>
            </w:tcBorders>
            <w:shd w:val="clear" w:color="auto" w:fill="auto"/>
            <w:noWrap/>
            <w:hideMark/>
          </w:tcPr>
          <w:p w14:paraId="55EFBB68" w14:textId="1741C966" w:rsidR="00305C76" w:rsidRPr="004E0D59" w:rsidRDefault="00ED2FC2" w:rsidP="00C85AC0">
            <w:pPr>
              <w:spacing w:after="0" w:line="240" w:lineRule="auto"/>
              <w:ind w:firstLine="180"/>
              <w:rPr>
                <w:rFonts w:ascii="Calibri" w:eastAsia="Times New Roman" w:hAnsi="Calibri" w:cs="Times New Roman"/>
                <w:color w:val="000000"/>
              </w:rPr>
            </w:pPr>
            <w:r>
              <w:rPr>
                <w:rFonts w:ascii="Calibri" w:eastAsia="Times New Roman" w:hAnsi="Calibri" w:cs="Times New Roman"/>
                <w:color w:val="000000"/>
              </w:rPr>
              <w:t xml:space="preserve">Average Daily </w:t>
            </w:r>
            <w:r w:rsidR="00305C76" w:rsidRPr="004E0D59">
              <w:rPr>
                <w:rFonts w:ascii="Calibri" w:eastAsia="Times New Roman" w:hAnsi="Calibri" w:cs="Times New Roman"/>
                <w:color w:val="000000"/>
              </w:rPr>
              <w:t>Sedentary</w:t>
            </w:r>
          </w:p>
        </w:tc>
        <w:tc>
          <w:tcPr>
            <w:tcW w:w="313" w:type="dxa"/>
            <w:tcBorders>
              <w:top w:val="nil"/>
              <w:left w:val="single" w:sz="4" w:space="0" w:color="auto"/>
              <w:bottom w:val="nil"/>
              <w:right w:val="nil"/>
            </w:tcBorders>
            <w:shd w:val="clear" w:color="auto" w:fill="auto"/>
            <w:noWrap/>
            <w:vAlign w:val="center"/>
            <w:hideMark/>
          </w:tcPr>
          <w:p w14:paraId="68F56DD4" w14:textId="77777777" w:rsidR="00305C76" w:rsidRPr="004E0D59" w:rsidRDefault="00305C76" w:rsidP="00C85AC0">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2A83512F" w14:textId="77777777" w:rsidR="00305C76" w:rsidRPr="004E0D59" w:rsidRDefault="00305C76" w:rsidP="00C85AC0">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780.4 (36.1)</w:t>
            </w:r>
          </w:p>
        </w:tc>
        <w:tc>
          <w:tcPr>
            <w:tcW w:w="638" w:type="dxa"/>
            <w:tcBorders>
              <w:top w:val="nil"/>
              <w:left w:val="single" w:sz="4" w:space="0" w:color="auto"/>
              <w:bottom w:val="nil"/>
              <w:right w:val="nil"/>
            </w:tcBorders>
            <w:shd w:val="clear" w:color="auto" w:fill="auto"/>
            <w:noWrap/>
            <w:vAlign w:val="center"/>
            <w:hideMark/>
          </w:tcPr>
          <w:p w14:paraId="0ACE3286" w14:textId="77777777" w:rsidR="00305C76" w:rsidRPr="004E0D59" w:rsidRDefault="00305C76" w:rsidP="00C85AC0">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2374E5DF" w14:textId="77777777" w:rsidR="00305C76" w:rsidRPr="004E0D59" w:rsidRDefault="00305C76" w:rsidP="00C85AC0">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778.2 (34.0)</w:t>
            </w:r>
          </w:p>
        </w:tc>
        <w:tc>
          <w:tcPr>
            <w:tcW w:w="638" w:type="dxa"/>
            <w:tcBorders>
              <w:top w:val="nil"/>
              <w:left w:val="single" w:sz="4" w:space="0" w:color="auto"/>
              <w:bottom w:val="nil"/>
              <w:right w:val="nil"/>
            </w:tcBorders>
            <w:shd w:val="clear" w:color="auto" w:fill="auto"/>
            <w:noWrap/>
            <w:vAlign w:val="center"/>
            <w:hideMark/>
          </w:tcPr>
          <w:p w14:paraId="56A34F69" w14:textId="77777777" w:rsidR="00305C76" w:rsidRPr="004E0D59" w:rsidRDefault="00305C76" w:rsidP="00C85AC0">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522A6036" w14:textId="77777777" w:rsidR="00305C76" w:rsidRPr="004E0D59" w:rsidRDefault="00305C76" w:rsidP="00C85AC0">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779.3 (35.1)</w:t>
            </w:r>
          </w:p>
        </w:tc>
      </w:tr>
      <w:tr w:rsidR="00BD2C46" w:rsidRPr="004E0D59" w14:paraId="061BC352" w14:textId="77777777" w:rsidTr="00DE3537">
        <w:trPr>
          <w:trHeight w:val="966"/>
        </w:trPr>
        <w:tc>
          <w:tcPr>
            <w:tcW w:w="3227" w:type="dxa"/>
            <w:tcBorders>
              <w:top w:val="nil"/>
              <w:left w:val="nil"/>
              <w:bottom w:val="nil"/>
              <w:right w:val="single" w:sz="4" w:space="0" w:color="auto"/>
            </w:tcBorders>
            <w:shd w:val="clear" w:color="auto" w:fill="auto"/>
            <w:noWrap/>
          </w:tcPr>
          <w:p w14:paraId="021E2CC3" w14:textId="77777777" w:rsidR="00BD2C46" w:rsidRPr="004E0D59" w:rsidRDefault="00BD2C46" w:rsidP="00C85AC0">
            <w:pPr>
              <w:spacing w:after="0" w:line="240" w:lineRule="auto"/>
              <w:rPr>
                <w:rFonts w:ascii="Calibri" w:eastAsia="Times New Roman" w:hAnsi="Calibri" w:cs="Times New Roman"/>
                <w:b/>
                <w:color w:val="000000"/>
              </w:rPr>
            </w:pPr>
          </w:p>
        </w:tc>
        <w:tc>
          <w:tcPr>
            <w:tcW w:w="313" w:type="dxa"/>
            <w:tcBorders>
              <w:top w:val="nil"/>
              <w:left w:val="single" w:sz="4" w:space="0" w:color="auto"/>
              <w:bottom w:val="nil"/>
              <w:right w:val="nil"/>
            </w:tcBorders>
            <w:shd w:val="clear" w:color="auto" w:fill="auto"/>
            <w:noWrap/>
            <w:vAlign w:val="center"/>
          </w:tcPr>
          <w:p w14:paraId="5AA7E2EB" w14:textId="77777777" w:rsidR="00BD2C46" w:rsidRPr="004E0D59" w:rsidRDefault="00BD2C46" w:rsidP="00C85AC0">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tcPr>
          <w:p w14:paraId="0AC06FC9" w14:textId="21D6A11B" w:rsidR="00BD2C46" w:rsidRPr="00DE3537" w:rsidRDefault="00BD2C46" w:rsidP="00C85AC0">
            <w:pPr>
              <w:spacing w:after="0" w:line="240" w:lineRule="auto"/>
              <w:rPr>
                <w:rFonts w:eastAsia="Times New Roman" w:cs="Times New Roman"/>
              </w:rPr>
            </w:pPr>
            <w:r w:rsidRPr="00DE3537">
              <w:rPr>
                <w:rFonts w:eastAsia="Times New Roman" w:cs="Times New Roman"/>
              </w:rPr>
              <w:t xml:space="preserve">  Intervention </w:t>
            </w:r>
            <w:r w:rsidR="00DE3537">
              <w:rPr>
                <w:rFonts w:eastAsia="Times New Roman" w:cs="Times New Roman"/>
              </w:rPr>
              <w:t>G</w:t>
            </w:r>
            <w:r w:rsidRPr="00DE3537">
              <w:rPr>
                <w:rFonts w:eastAsia="Times New Roman" w:cs="Times New Roman"/>
              </w:rPr>
              <w:t>roup</w:t>
            </w:r>
          </w:p>
          <w:p w14:paraId="75B94669" w14:textId="4CE206CC" w:rsidR="00BD2C46" w:rsidRPr="00DE3537" w:rsidRDefault="00BD2C46" w:rsidP="00C85AC0">
            <w:pPr>
              <w:spacing w:after="0" w:line="240" w:lineRule="auto"/>
              <w:rPr>
                <w:rFonts w:eastAsia="Times New Roman" w:cs="Times New Roman"/>
              </w:rPr>
            </w:pPr>
            <w:r w:rsidRPr="00DE3537">
              <w:rPr>
                <w:rFonts w:eastAsia="Times New Roman" w:cs="Times New Roman"/>
                <w:b/>
                <w:color w:val="000000"/>
              </w:rPr>
              <w:t>n = 676</w:t>
            </w:r>
          </w:p>
        </w:tc>
        <w:tc>
          <w:tcPr>
            <w:tcW w:w="638" w:type="dxa"/>
            <w:tcBorders>
              <w:top w:val="nil"/>
              <w:left w:val="single" w:sz="4" w:space="0" w:color="auto"/>
              <w:bottom w:val="nil"/>
              <w:right w:val="nil"/>
            </w:tcBorders>
            <w:shd w:val="clear" w:color="auto" w:fill="auto"/>
            <w:noWrap/>
            <w:vAlign w:val="center"/>
          </w:tcPr>
          <w:p w14:paraId="5FCF1058" w14:textId="77777777" w:rsidR="00BD2C46" w:rsidRPr="00DE3537" w:rsidRDefault="00BD2C46" w:rsidP="00C85AC0">
            <w:pPr>
              <w:spacing w:after="0" w:line="240" w:lineRule="auto"/>
              <w:rPr>
                <w:rFonts w:eastAsia="Times New Roman" w:cs="Times New Roman"/>
              </w:rPr>
            </w:pPr>
          </w:p>
        </w:tc>
        <w:tc>
          <w:tcPr>
            <w:tcW w:w="1358" w:type="dxa"/>
            <w:tcBorders>
              <w:top w:val="nil"/>
              <w:left w:val="nil"/>
              <w:bottom w:val="nil"/>
              <w:right w:val="single" w:sz="4" w:space="0" w:color="auto"/>
            </w:tcBorders>
            <w:shd w:val="clear" w:color="auto" w:fill="auto"/>
            <w:noWrap/>
            <w:vAlign w:val="center"/>
          </w:tcPr>
          <w:p w14:paraId="46F4E3D3" w14:textId="77777777" w:rsidR="00DE3537" w:rsidRDefault="00DE3537" w:rsidP="00C85AC0">
            <w:pPr>
              <w:spacing w:after="0" w:line="240" w:lineRule="auto"/>
              <w:rPr>
                <w:rFonts w:eastAsia="Times New Roman" w:cs="Times New Roman"/>
              </w:rPr>
            </w:pPr>
          </w:p>
          <w:p w14:paraId="4B63C680" w14:textId="77777777" w:rsidR="00BD2C46" w:rsidRPr="00DE3537" w:rsidRDefault="00BD2C46" w:rsidP="00C85AC0">
            <w:pPr>
              <w:spacing w:after="0" w:line="240" w:lineRule="auto"/>
              <w:rPr>
                <w:rFonts w:eastAsia="Times New Roman" w:cs="Times New Roman"/>
              </w:rPr>
            </w:pPr>
            <w:r w:rsidRPr="00DE3537">
              <w:rPr>
                <w:rFonts w:eastAsia="Times New Roman" w:cs="Times New Roman"/>
              </w:rPr>
              <w:t xml:space="preserve">Control Group </w:t>
            </w:r>
          </w:p>
          <w:p w14:paraId="25B2F6E2" w14:textId="4DC309AC" w:rsidR="00BD2C46" w:rsidRPr="00DE3537" w:rsidRDefault="00BD2C46" w:rsidP="00C85AC0">
            <w:pPr>
              <w:spacing w:after="0" w:line="240" w:lineRule="auto"/>
              <w:rPr>
                <w:rFonts w:eastAsia="Times New Roman" w:cs="Times New Roman"/>
              </w:rPr>
            </w:pPr>
            <w:r w:rsidRPr="00DE3537">
              <w:rPr>
                <w:rFonts w:eastAsia="Times New Roman" w:cs="Times New Roman"/>
                <w:b/>
                <w:color w:val="000000"/>
              </w:rPr>
              <w:t>n = 648</w:t>
            </w:r>
          </w:p>
        </w:tc>
        <w:tc>
          <w:tcPr>
            <w:tcW w:w="638" w:type="dxa"/>
            <w:tcBorders>
              <w:top w:val="nil"/>
              <w:left w:val="single" w:sz="4" w:space="0" w:color="auto"/>
              <w:bottom w:val="nil"/>
              <w:right w:val="nil"/>
            </w:tcBorders>
            <w:shd w:val="clear" w:color="auto" w:fill="auto"/>
            <w:noWrap/>
            <w:vAlign w:val="center"/>
          </w:tcPr>
          <w:p w14:paraId="5DB5F9B1" w14:textId="77777777" w:rsidR="00BD2C46" w:rsidRPr="00DE3537" w:rsidRDefault="00BD2C46" w:rsidP="00C85AC0">
            <w:pPr>
              <w:spacing w:after="0" w:line="240" w:lineRule="auto"/>
              <w:rPr>
                <w:rFonts w:eastAsia="Times New Roman" w:cs="Times New Roman"/>
              </w:rPr>
            </w:pPr>
          </w:p>
        </w:tc>
        <w:tc>
          <w:tcPr>
            <w:tcW w:w="1358" w:type="dxa"/>
            <w:tcBorders>
              <w:top w:val="nil"/>
              <w:left w:val="nil"/>
              <w:bottom w:val="nil"/>
              <w:right w:val="single" w:sz="4" w:space="0" w:color="auto"/>
            </w:tcBorders>
            <w:shd w:val="clear" w:color="auto" w:fill="auto"/>
            <w:noWrap/>
            <w:vAlign w:val="center"/>
          </w:tcPr>
          <w:p w14:paraId="3CA3DF3B" w14:textId="77777777" w:rsidR="00BD2C46" w:rsidRPr="00DE3537" w:rsidRDefault="00BD2C46" w:rsidP="00C85AC0">
            <w:pPr>
              <w:spacing w:after="0" w:line="240" w:lineRule="auto"/>
              <w:rPr>
                <w:rFonts w:eastAsia="Times New Roman" w:cs="Times New Roman"/>
              </w:rPr>
            </w:pPr>
            <w:r w:rsidRPr="00DE3537">
              <w:rPr>
                <w:rFonts w:eastAsia="Times New Roman" w:cs="Times New Roman"/>
              </w:rPr>
              <w:t xml:space="preserve">All </w:t>
            </w:r>
          </w:p>
          <w:p w14:paraId="2938E0FB" w14:textId="75B7A668" w:rsidR="00BD2C46" w:rsidRPr="00DE3537" w:rsidRDefault="00BD2C46" w:rsidP="00C85AC0">
            <w:pPr>
              <w:spacing w:after="0" w:line="240" w:lineRule="auto"/>
              <w:rPr>
                <w:rFonts w:eastAsia="Times New Roman" w:cs="Times New Roman"/>
              </w:rPr>
            </w:pPr>
            <w:r w:rsidRPr="00DE3537">
              <w:rPr>
                <w:rFonts w:eastAsia="Times New Roman" w:cs="Times New Roman"/>
                <w:b/>
                <w:color w:val="000000"/>
              </w:rPr>
              <w:t>n = 1324</w:t>
            </w:r>
          </w:p>
        </w:tc>
      </w:tr>
      <w:tr w:rsidR="00305C76" w:rsidRPr="004E0D59" w14:paraId="6AD0E07B" w14:textId="77777777" w:rsidTr="00ED2FC2">
        <w:trPr>
          <w:trHeight w:val="300"/>
        </w:trPr>
        <w:tc>
          <w:tcPr>
            <w:tcW w:w="3227" w:type="dxa"/>
            <w:tcBorders>
              <w:top w:val="nil"/>
              <w:left w:val="nil"/>
              <w:bottom w:val="nil"/>
              <w:right w:val="single" w:sz="4" w:space="0" w:color="auto"/>
            </w:tcBorders>
            <w:shd w:val="clear" w:color="auto" w:fill="auto"/>
            <w:noWrap/>
            <w:hideMark/>
          </w:tcPr>
          <w:p w14:paraId="7A3220D6" w14:textId="02A32DC0" w:rsidR="00305C76" w:rsidRPr="004E0D59" w:rsidRDefault="00305C76" w:rsidP="00C85AC0">
            <w:pPr>
              <w:spacing w:after="0" w:line="240" w:lineRule="auto"/>
              <w:rPr>
                <w:rFonts w:ascii="Calibri" w:eastAsia="Times New Roman" w:hAnsi="Calibri" w:cs="Times New Roman"/>
                <w:b/>
                <w:color w:val="000000"/>
              </w:rPr>
            </w:pPr>
            <w:r w:rsidRPr="004E0D59">
              <w:rPr>
                <w:rFonts w:ascii="Calibri" w:eastAsia="Times New Roman" w:hAnsi="Calibri" w:cs="Times New Roman"/>
                <w:b/>
                <w:color w:val="000000"/>
              </w:rPr>
              <w:t>Food Intake Questionnaire Scores:</w:t>
            </w:r>
          </w:p>
        </w:tc>
        <w:tc>
          <w:tcPr>
            <w:tcW w:w="313" w:type="dxa"/>
            <w:tcBorders>
              <w:top w:val="nil"/>
              <w:left w:val="single" w:sz="4" w:space="0" w:color="auto"/>
              <w:bottom w:val="nil"/>
              <w:right w:val="nil"/>
            </w:tcBorders>
            <w:shd w:val="clear" w:color="auto" w:fill="auto"/>
            <w:noWrap/>
            <w:vAlign w:val="center"/>
            <w:hideMark/>
          </w:tcPr>
          <w:p w14:paraId="7022A761" w14:textId="77777777" w:rsidR="00305C76" w:rsidRPr="004E0D59" w:rsidRDefault="00305C76" w:rsidP="00C85AC0">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7C7C14F8" w14:textId="77777777" w:rsidR="00305C76" w:rsidRPr="00DE3537" w:rsidRDefault="00305C76" w:rsidP="00C85AC0">
            <w:pPr>
              <w:spacing w:after="0" w:line="240" w:lineRule="auto"/>
              <w:rPr>
                <w:rFonts w:eastAsia="Times New Roman" w:cs="Times New Roman"/>
              </w:rPr>
            </w:pPr>
          </w:p>
        </w:tc>
        <w:tc>
          <w:tcPr>
            <w:tcW w:w="638" w:type="dxa"/>
            <w:tcBorders>
              <w:top w:val="nil"/>
              <w:left w:val="single" w:sz="4" w:space="0" w:color="auto"/>
              <w:bottom w:val="nil"/>
              <w:right w:val="nil"/>
            </w:tcBorders>
            <w:shd w:val="clear" w:color="auto" w:fill="auto"/>
            <w:noWrap/>
            <w:vAlign w:val="center"/>
            <w:hideMark/>
          </w:tcPr>
          <w:p w14:paraId="3F3D5B1D" w14:textId="77777777" w:rsidR="00305C76" w:rsidRPr="004E0D59" w:rsidRDefault="00305C76" w:rsidP="00C85AC0">
            <w:pPr>
              <w:spacing w:after="0" w:line="240" w:lineRule="auto"/>
              <w:rPr>
                <w:rFonts w:ascii="Times New Roman" w:eastAsia="Times New Roman" w:hAnsi="Times New Roman" w:cs="Times New Roman"/>
                <w:sz w:val="20"/>
                <w:szCs w:val="20"/>
              </w:rPr>
            </w:pPr>
          </w:p>
        </w:tc>
        <w:tc>
          <w:tcPr>
            <w:tcW w:w="1358" w:type="dxa"/>
            <w:tcBorders>
              <w:top w:val="nil"/>
              <w:left w:val="nil"/>
              <w:bottom w:val="nil"/>
              <w:right w:val="single" w:sz="4" w:space="0" w:color="auto"/>
            </w:tcBorders>
            <w:shd w:val="clear" w:color="auto" w:fill="auto"/>
            <w:noWrap/>
            <w:vAlign w:val="center"/>
            <w:hideMark/>
          </w:tcPr>
          <w:p w14:paraId="2FDD4C77" w14:textId="77777777" w:rsidR="00305C76" w:rsidRPr="004E0D59" w:rsidRDefault="00305C76" w:rsidP="00C85AC0">
            <w:pPr>
              <w:spacing w:after="0" w:line="240" w:lineRule="auto"/>
              <w:rPr>
                <w:rFonts w:ascii="Times New Roman" w:eastAsia="Times New Roman" w:hAnsi="Times New Roman" w:cs="Times New Roman"/>
                <w:sz w:val="20"/>
                <w:szCs w:val="20"/>
              </w:rPr>
            </w:pPr>
          </w:p>
        </w:tc>
        <w:tc>
          <w:tcPr>
            <w:tcW w:w="638" w:type="dxa"/>
            <w:tcBorders>
              <w:top w:val="nil"/>
              <w:left w:val="single" w:sz="4" w:space="0" w:color="auto"/>
              <w:bottom w:val="nil"/>
              <w:right w:val="nil"/>
            </w:tcBorders>
            <w:shd w:val="clear" w:color="auto" w:fill="auto"/>
            <w:noWrap/>
            <w:vAlign w:val="center"/>
            <w:hideMark/>
          </w:tcPr>
          <w:p w14:paraId="57CB3E68" w14:textId="77777777" w:rsidR="00305C76" w:rsidRPr="004E0D59" w:rsidRDefault="00305C76" w:rsidP="00C85AC0">
            <w:pPr>
              <w:spacing w:after="0" w:line="240" w:lineRule="auto"/>
              <w:rPr>
                <w:rFonts w:ascii="Times New Roman" w:eastAsia="Times New Roman" w:hAnsi="Times New Roman" w:cs="Times New Roman"/>
                <w:sz w:val="20"/>
                <w:szCs w:val="20"/>
              </w:rPr>
            </w:pPr>
          </w:p>
        </w:tc>
        <w:tc>
          <w:tcPr>
            <w:tcW w:w="1358" w:type="dxa"/>
            <w:tcBorders>
              <w:top w:val="nil"/>
              <w:left w:val="nil"/>
              <w:bottom w:val="nil"/>
              <w:right w:val="single" w:sz="4" w:space="0" w:color="auto"/>
            </w:tcBorders>
            <w:shd w:val="clear" w:color="auto" w:fill="auto"/>
            <w:noWrap/>
            <w:vAlign w:val="center"/>
            <w:hideMark/>
          </w:tcPr>
          <w:p w14:paraId="2B25F912" w14:textId="77777777" w:rsidR="00305C76" w:rsidRPr="004E0D59" w:rsidRDefault="00305C76" w:rsidP="00C85AC0">
            <w:pPr>
              <w:spacing w:after="0" w:line="240" w:lineRule="auto"/>
              <w:rPr>
                <w:rFonts w:ascii="Times New Roman" w:eastAsia="Times New Roman" w:hAnsi="Times New Roman" w:cs="Times New Roman"/>
                <w:sz w:val="20"/>
                <w:szCs w:val="20"/>
              </w:rPr>
            </w:pPr>
          </w:p>
        </w:tc>
      </w:tr>
      <w:tr w:rsidR="00305C76" w:rsidRPr="004E0D59" w14:paraId="62262956" w14:textId="77777777" w:rsidTr="00ED2FC2">
        <w:trPr>
          <w:trHeight w:val="300"/>
        </w:trPr>
        <w:tc>
          <w:tcPr>
            <w:tcW w:w="3227" w:type="dxa"/>
            <w:tcBorders>
              <w:top w:val="nil"/>
              <w:left w:val="nil"/>
              <w:bottom w:val="nil"/>
              <w:right w:val="single" w:sz="4" w:space="0" w:color="auto"/>
            </w:tcBorders>
            <w:shd w:val="clear" w:color="auto" w:fill="auto"/>
            <w:noWrap/>
            <w:hideMark/>
          </w:tcPr>
          <w:p w14:paraId="6A40D0AF" w14:textId="622D9971" w:rsidR="00305C76" w:rsidRPr="004E0D59" w:rsidRDefault="00305C76" w:rsidP="00C23936">
            <w:pPr>
              <w:spacing w:after="0" w:line="240" w:lineRule="auto"/>
              <w:ind w:left="180"/>
              <w:rPr>
                <w:rFonts w:ascii="Calibri" w:eastAsia="Times New Roman" w:hAnsi="Calibri" w:cs="Times New Roman"/>
                <w:color w:val="000000"/>
              </w:rPr>
            </w:pPr>
            <w:r w:rsidRPr="004E0D59">
              <w:rPr>
                <w:rFonts w:ascii="Calibri" w:eastAsia="Times New Roman" w:hAnsi="Calibri" w:cs="Times New Roman"/>
                <w:color w:val="000000"/>
              </w:rPr>
              <w:t>Mean (</w:t>
            </w:r>
            <w:r w:rsidR="00C23936">
              <w:rPr>
                <w:rFonts w:ascii="Calibri" w:eastAsia="Times New Roman" w:hAnsi="Calibri" w:cs="Times New Roman"/>
                <w:color w:val="000000"/>
              </w:rPr>
              <w:t>SD</w:t>
            </w:r>
            <w:r w:rsidRPr="004E0D59">
              <w:rPr>
                <w:rFonts w:ascii="Calibri" w:eastAsia="Times New Roman" w:hAnsi="Calibri" w:cs="Times New Roman"/>
                <w:color w:val="000000"/>
              </w:rPr>
              <w:t>) E</w:t>
            </w:r>
            <w:r w:rsidR="005F418B">
              <w:rPr>
                <w:rFonts w:ascii="Calibri" w:eastAsia="Times New Roman" w:hAnsi="Calibri" w:cs="Times New Roman"/>
                <w:color w:val="000000"/>
              </w:rPr>
              <w:t xml:space="preserve">nergy </w:t>
            </w:r>
            <w:r w:rsidRPr="004E0D59">
              <w:rPr>
                <w:rFonts w:ascii="Calibri" w:eastAsia="Times New Roman" w:hAnsi="Calibri" w:cs="Times New Roman"/>
                <w:color w:val="000000"/>
              </w:rPr>
              <w:t>D</w:t>
            </w:r>
            <w:r w:rsidR="005F418B">
              <w:rPr>
                <w:rFonts w:ascii="Calibri" w:eastAsia="Times New Roman" w:hAnsi="Calibri" w:cs="Times New Roman"/>
                <w:color w:val="000000"/>
              </w:rPr>
              <w:t xml:space="preserve">ense </w:t>
            </w:r>
            <w:r w:rsidRPr="004E0D59">
              <w:rPr>
                <w:rFonts w:ascii="Calibri" w:eastAsia="Times New Roman" w:hAnsi="Calibri" w:cs="Times New Roman"/>
                <w:color w:val="000000"/>
              </w:rPr>
              <w:t>S</w:t>
            </w:r>
            <w:r w:rsidR="005F418B">
              <w:rPr>
                <w:rFonts w:ascii="Calibri" w:eastAsia="Times New Roman" w:hAnsi="Calibri" w:cs="Times New Roman"/>
                <w:color w:val="000000"/>
              </w:rPr>
              <w:t>nacks</w:t>
            </w:r>
            <w:r w:rsidRPr="004E0D59">
              <w:rPr>
                <w:rFonts w:ascii="Calibri" w:eastAsia="Times New Roman" w:hAnsi="Calibri" w:cs="Times New Roman"/>
                <w:color w:val="000000"/>
              </w:rPr>
              <w:t xml:space="preserve"> Weekday</w:t>
            </w:r>
          </w:p>
        </w:tc>
        <w:tc>
          <w:tcPr>
            <w:tcW w:w="313" w:type="dxa"/>
            <w:tcBorders>
              <w:top w:val="nil"/>
              <w:left w:val="single" w:sz="4" w:space="0" w:color="auto"/>
              <w:bottom w:val="nil"/>
              <w:right w:val="nil"/>
            </w:tcBorders>
            <w:shd w:val="clear" w:color="auto" w:fill="auto"/>
            <w:noWrap/>
            <w:vAlign w:val="center"/>
            <w:hideMark/>
          </w:tcPr>
          <w:p w14:paraId="5392A91B" w14:textId="77777777" w:rsidR="00305C76" w:rsidRPr="004E0D59" w:rsidRDefault="00305C76" w:rsidP="00C85AC0">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3C6E615A" w14:textId="77777777" w:rsidR="00305C76" w:rsidRPr="004E0D59" w:rsidRDefault="00305C76" w:rsidP="00C85AC0">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4.0 (2.4)</w:t>
            </w:r>
          </w:p>
        </w:tc>
        <w:tc>
          <w:tcPr>
            <w:tcW w:w="638" w:type="dxa"/>
            <w:tcBorders>
              <w:top w:val="nil"/>
              <w:left w:val="single" w:sz="4" w:space="0" w:color="auto"/>
              <w:bottom w:val="nil"/>
              <w:right w:val="nil"/>
            </w:tcBorders>
            <w:shd w:val="clear" w:color="auto" w:fill="auto"/>
            <w:noWrap/>
            <w:vAlign w:val="center"/>
            <w:hideMark/>
          </w:tcPr>
          <w:p w14:paraId="71998CCA" w14:textId="77777777" w:rsidR="00305C76" w:rsidRPr="004E0D59" w:rsidRDefault="00305C76" w:rsidP="00C85AC0">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2ABB0C15" w14:textId="77777777" w:rsidR="00305C76" w:rsidRPr="004E0D59" w:rsidRDefault="00305C76" w:rsidP="00C85AC0">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4.0 (2.4)</w:t>
            </w:r>
          </w:p>
        </w:tc>
        <w:tc>
          <w:tcPr>
            <w:tcW w:w="638" w:type="dxa"/>
            <w:tcBorders>
              <w:top w:val="nil"/>
              <w:left w:val="single" w:sz="4" w:space="0" w:color="auto"/>
              <w:bottom w:val="nil"/>
              <w:right w:val="nil"/>
            </w:tcBorders>
            <w:shd w:val="clear" w:color="auto" w:fill="auto"/>
            <w:noWrap/>
            <w:vAlign w:val="center"/>
            <w:hideMark/>
          </w:tcPr>
          <w:p w14:paraId="64CB4E47" w14:textId="77777777" w:rsidR="00305C76" w:rsidRPr="004E0D59" w:rsidRDefault="00305C76" w:rsidP="00C85AC0">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6686F306" w14:textId="77777777" w:rsidR="00305C76" w:rsidRPr="004E0D59" w:rsidRDefault="00305C76" w:rsidP="00C85AC0">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4.0 (2.4)</w:t>
            </w:r>
          </w:p>
        </w:tc>
      </w:tr>
      <w:tr w:rsidR="00305C76" w:rsidRPr="004E0D59" w14:paraId="2837C8F5" w14:textId="77777777" w:rsidTr="00ED2FC2">
        <w:trPr>
          <w:trHeight w:val="300"/>
        </w:trPr>
        <w:tc>
          <w:tcPr>
            <w:tcW w:w="3227" w:type="dxa"/>
            <w:tcBorders>
              <w:top w:val="nil"/>
              <w:left w:val="nil"/>
              <w:bottom w:val="nil"/>
              <w:right w:val="single" w:sz="4" w:space="0" w:color="auto"/>
            </w:tcBorders>
            <w:shd w:val="clear" w:color="auto" w:fill="auto"/>
            <w:noWrap/>
            <w:hideMark/>
          </w:tcPr>
          <w:p w14:paraId="6D0CA141" w14:textId="0ACAB869" w:rsidR="00305C76" w:rsidRPr="004E0D59" w:rsidRDefault="00305C76" w:rsidP="00C23936">
            <w:pPr>
              <w:spacing w:after="0" w:line="240" w:lineRule="auto"/>
              <w:ind w:left="180"/>
              <w:rPr>
                <w:rFonts w:ascii="Calibri" w:eastAsia="Times New Roman" w:hAnsi="Calibri" w:cs="Times New Roman"/>
                <w:color w:val="000000"/>
              </w:rPr>
            </w:pPr>
            <w:r w:rsidRPr="004E0D59">
              <w:rPr>
                <w:rFonts w:ascii="Calibri" w:eastAsia="Times New Roman" w:hAnsi="Calibri" w:cs="Times New Roman"/>
                <w:color w:val="000000"/>
              </w:rPr>
              <w:t>Mean (</w:t>
            </w:r>
            <w:r w:rsidR="00C23936">
              <w:rPr>
                <w:rFonts w:ascii="Calibri" w:eastAsia="Times New Roman" w:hAnsi="Calibri" w:cs="Times New Roman"/>
                <w:color w:val="000000"/>
              </w:rPr>
              <w:t>SD</w:t>
            </w:r>
            <w:r w:rsidRPr="004E0D59">
              <w:rPr>
                <w:rFonts w:ascii="Calibri" w:eastAsia="Times New Roman" w:hAnsi="Calibri" w:cs="Times New Roman"/>
                <w:color w:val="000000"/>
              </w:rPr>
              <w:t xml:space="preserve">) </w:t>
            </w:r>
            <w:r w:rsidR="005F418B" w:rsidRPr="004E0D59">
              <w:rPr>
                <w:rFonts w:ascii="Calibri" w:eastAsia="Times New Roman" w:hAnsi="Calibri" w:cs="Times New Roman"/>
                <w:color w:val="000000"/>
              </w:rPr>
              <w:t>E</w:t>
            </w:r>
            <w:r w:rsidR="005F418B">
              <w:rPr>
                <w:rFonts w:ascii="Calibri" w:eastAsia="Times New Roman" w:hAnsi="Calibri" w:cs="Times New Roman"/>
                <w:color w:val="000000"/>
              </w:rPr>
              <w:t xml:space="preserve">nergy </w:t>
            </w:r>
            <w:r w:rsidR="005F418B" w:rsidRPr="004E0D59">
              <w:rPr>
                <w:rFonts w:ascii="Calibri" w:eastAsia="Times New Roman" w:hAnsi="Calibri" w:cs="Times New Roman"/>
                <w:color w:val="000000"/>
              </w:rPr>
              <w:t>D</w:t>
            </w:r>
            <w:r w:rsidR="005F418B">
              <w:rPr>
                <w:rFonts w:ascii="Calibri" w:eastAsia="Times New Roman" w:hAnsi="Calibri" w:cs="Times New Roman"/>
                <w:color w:val="000000"/>
              </w:rPr>
              <w:t xml:space="preserve">ense </w:t>
            </w:r>
            <w:r w:rsidR="005F418B" w:rsidRPr="004E0D59">
              <w:rPr>
                <w:rFonts w:ascii="Calibri" w:eastAsia="Times New Roman" w:hAnsi="Calibri" w:cs="Times New Roman"/>
                <w:color w:val="000000"/>
              </w:rPr>
              <w:t>S</w:t>
            </w:r>
            <w:r w:rsidR="005F418B">
              <w:rPr>
                <w:rFonts w:ascii="Calibri" w:eastAsia="Times New Roman" w:hAnsi="Calibri" w:cs="Times New Roman"/>
                <w:color w:val="000000"/>
              </w:rPr>
              <w:t>nacks</w:t>
            </w:r>
            <w:r w:rsidRPr="004E0D59">
              <w:rPr>
                <w:rFonts w:ascii="Calibri" w:eastAsia="Times New Roman" w:hAnsi="Calibri" w:cs="Times New Roman"/>
                <w:color w:val="000000"/>
              </w:rPr>
              <w:t xml:space="preserve"> Weekend</w:t>
            </w:r>
          </w:p>
        </w:tc>
        <w:tc>
          <w:tcPr>
            <w:tcW w:w="313" w:type="dxa"/>
            <w:tcBorders>
              <w:top w:val="nil"/>
              <w:left w:val="single" w:sz="4" w:space="0" w:color="auto"/>
              <w:bottom w:val="nil"/>
              <w:right w:val="nil"/>
            </w:tcBorders>
            <w:shd w:val="clear" w:color="auto" w:fill="auto"/>
            <w:noWrap/>
            <w:vAlign w:val="center"/>
            <w:hideMark/>
          </w:tcPr>
          <w:p w14:paraId="189332BA" w14:textId="77777777" w:rsidR="00305C76" w:rsidRPr="004E0D59" w:rsidRDefault="00305C76" w:rsidP="00C85AC0">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620DC3A3" w14:textId="77777777" w:rsidR="00305C76" w:rsidRPr="004E0D59" w:rsidRDefault="00305C76" w:rsidP="00C85AC0">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4.6 (2.5)</w:t>
            </w:r>
          </w:p>
        </w:tc>
        <w:tc>
          <w:tcPr>
            <w:tcW w:w="638" w:type="dxa"/>
            <w:tcBorders>
              <w:top w:val="nil"/>
              <w:left w:val="single" w:sz="4" w:space="0" w:color="auto"/>
              <w:bottom w:val="nil"/>
              <w:right w:val="nil"/>
            </w:tcBorders>
            <w:shd w:val="clear" w:color="auto" w:fill="auto"/>
            <w:noWrap/>
            <w:vAlign w:val="center"/>
            <w:hideMark/>
          </w:tcPr>
          <w:p w14:paraId="45173BA7" w14:textId="77777777" w:rsidR="00305C76" w:rsidRPr="004E0D59" w:rsidRDefault="00305C76" w:rsidP="00C85AC0">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27583DAD" w14:textId="77777777" w:rsidR="00305C76" w:rsidRPr="004E0D59" w:rsidRDefault="00305C76" w:rsidP="00C85AC0">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4.4 (2.4)</w:t>
            </w:r>
          </w:p>
        </w:tc>
        <w:tc>
          <w:tcPr>
            <w:tcW w:w="638" w:type="dxa"/>
            <w:tcBorders>
              <w:top w:val="nil"/>
              <w:left w:val="single" w:sz="4" w:space="0" w:color="auto"/>
              <w:bottom w:val="nil"/>
              <w:right w:val="nil"/>
            </w:tcBorders>
            <w:shd w:val="clear" w:color="auto" w:fill="auto"/>
            <w:noWrap/>
            <w:vAlign w:val="center"/>
            <w:hideMark/>
          </w:tcPr>
          <w:p w14:paraId="7F42DEAD" w14:textId="77777777" w:rsidR="00305C76" w:rsidRPr="004E0D59" w:rsidRDefault="00305C76" w:rsidP="00C85AC0">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436581F7" w14:textId="77777777" w:rsidR="00305C76" w:rsidRPr="004E0D59" w:rsidRDefault="00305C76" w:rsidP="00C85AC0">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4.5 (2.5)</w:t>
            </w:r>
          </w:p>
        </w:tc>
      </w:tr>
      <w:tr w:rsidR="00305C76" w:rsidRPr="004E0D59" w14:paraId="5756E668" w14:textId="77777777" w:rsidTr="00ED2FC2">
        <w:trPr>
          <w:trHeight w:val="300"/>
        </w:trPr>
        <w:tc>
          <w:tcPr>
            <w:tcW w:w="3227" w:type="dxa"/>
            <w:tcBorders>
              <w:top w:val="nil"/>
              <w:left w:val="nil"/>
              <w:bottom w:val="nil"/>
              <w:right w:val="single" w:sz="4" w:space="0" w:color="auto"/>
            </w:tcBorders>
            <w:shd w:val="clear" w:color="auto" w:fill="auto"/>
            <w:noWrap/>
            <w:hideMark/>
          </w:tcPr>
          <w:p w14:paraId="7F252BE0" w14:textId="2EDCA51E" w:rsidR="00305C76" w:rsidRPr="004E0D59" w:rsidRDefault="00305C76" w:rsidP="00C23936">
            <w:pPr>
              <w:spacing w:after="0" w:line="240" w:lineRule="auto"/>
              <w:ind w:left="180"/>
              <w:rPr>
                <w:rFonts w:ascii="Calibri" w:eastAsia="Times New Roman" w:hAnsi="Calibri" w:cs="Times New Roman"/>
                <w:color w:val="000000"/>
              </w:rPr>
            </w:pPr>
            <w:r w:rsidRPr="004E0D59">
              <w:rPr>
                <w:rFonts w:ascii="Calibri" w:eastAsia="Times New Roman" w:hAnsi="Calibri" w:cs="Times New Roman"/>
                <w:color w:val="000000"/>
              </w:rPr>
              <w:t>Mean (</w:t>
            </w:r>
            <w:r w:rsidR="00C23936">
              <w:rPr>
                <w:rFonts w:ascii="Calibri" w:eastAsia="Times New Roman" w:hAnsi="Calibri" w:cs="Times New Roman"/>
                <w:color w:val="000000"/>
              </w:rPr>
              <w:t>SD</w:t>
            </w:r>
            <w:r w:rsidRPr="004E0D59">
              <w:rPr>
                <w:rFonts w:ascii="Calibri" w:eastAsia="Times New Roman" w:hAnsi="Calibri" w:cs="Times New Roman"/>
                <w:color w:val="000000"/>
              </w:rPr>
              <w:t xml:space="preserve">) </w:t>
            </w:r>
            <w:r w:rsidR="005F418B" w:rsidRPr="004E0D59">
              <w:rPr>
                <w:rFonts w:ascii="Calibri" w:eastAsia="Times New Roman" w:hAnsi="Calibri" w:cs="Times New Roman"/>
                <w:color w:val="000000"/>
              </w:rPr>
              <w:t>E</w:t>
            </w:r>
            <w:r w:rsidR="005F418B">
              <w:rPr>
                <w:rFonts w:ascii="Calibri" w:eastAsia="Times New Roman" w:hAnsi="Calibri" w:cs="Times New Roman"/>
                <w:color w:val="000000"/>
              </w:rPr>
              <w:t xml:space="preserve">nergy </w:t>
            </w:r>
            <w:r w:rsidR="005F418B" w:rsidRPr="004E0D59">
              <w:rPr>
                <w:rFonts w:ascii="Calibri" w:eastAsia="Times New Roman" w:hAnsi="Calibri" w:cs="Times New Roman"/>
                <w:color w:val="000000"/>
              </w:rPr>
              <w:t>D</w:t>
            </w:r>
            <w:r w:rsidR="005F418B">
              <w:rPr>
                <w:rFonts w:ascii="Calibri" w:eastAsia="Times New Roman" w:hAnsi="Calibri" w:cs="Times New Roman"/>
                <w:color w:val="000000"/>
              </w:rPr>
              <w:t xml:space="preserve">ense </w:t>
            </w:r>
            <w:r w:rsidR="005F418B" w:rsidRPr="004E0D59">
              <w:rPr>
                <w:rFonts w:ascii="Calibri" w:eastAsia="Times New Roman" w:hAnsi="Calibri" w:cs="Times New Roman"/>
                <w:color w:val="000000"/>
              </w:rPr>
              <w:t>S</w:t>
            </w:r>
            <w:r w:rsidR="005F418B">
              <w:rPr>
                <w:rFonts w:ascii="Calibri" w:eastAsia="Times New Roman" w:hAnsi="Calibri" w:cs="Times New Roman"/>
                <w:color w:val="000000"/>
              </w:rPr>
              <w:t>nacks</w:t>
            </w:r>
            <w:r w:rsidRPr="004E0D59">
              <w:rPr>
                <w:rFonts w:ascii="Calibri" w:eastAsia="Times New Roman" w:hAnsi="Calibri" w:cs="Times New Roman"/>
                <w:color w:val="000000"/>
              </w:rPr>
              <w:t xml:space="preserve"> Average</w:t>
            </w:r>
          </w:p>
        </w:tc>
        <w:tc>
          <w:tcPr>
            <w:tcW w:w="313" w:type="dxa"/>
            <w:tcBorders>
              <w:top w:val="nil"/>
              <w:left w:val="single" w:sz="4" w:space="0" w:color="auto"/>
              <w:bottom w:val="nil"/>
              <w:right w:val="nil"/>
            </w:tcBorders>
            <w:shd w:val="clear" w:color="auto" w:fill="auto"/>
            <w:noWrap/>
            <w:vAlign w:val="center"/>
            <w:hideMark/>
          </w:tcPr>
          <w:p w14:paraId="50113E83" w14:textId="77777777" w:rsidR="00305C76" w:rsidRPr="004E0D59" w:rsidRDefault="00305C76" w:rsidP="00C85AC0">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40981775" w14:textId="77777777" w:rsidR="00305C76" w:rsidRPr="004E0D59" w:rsidRDefault="00305C76" w:rsidP="00C85AC0">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4.2 (2.2)</w:t>
            </w:r>
          </w:p>
        </w:tc>
        <w:tc>
          <w:tcPr>
            <w:tcW w:w="638" w:type="dxa"/>
            <w:tcBorders>
              <w:top w:val="nil"/>
              <w:left w:val="single" w:sz="4" w:space="0" w:color="auto"/>
              <w:bottom w:val="nil"/>
              <w:right w:val="nil"/>
            </w:tcBorders>
            <w:shd w:val="clear" w:color="auto" w:fill="auto"/>
            <w:noWrap/>
            <w:vAlign w:val="center"/>
            <w:hideMark/>
          </w:tcPr>
          <w:p w14:paraId="25C8C49D" w14:textId="77777777" w:rsidR="00305C76" w:rsidRPr="004E0D59" w:rsidRDefault="00305C76" w:rsidP="00C85AC0">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222B7E19" w14:textId="77777777" w:rsidR="00305C76" w:rsidRPr="004E0D59" w:rsidRDefault="00305C76" w:rsidP="00C85AC0">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4.1 (2.2)</w:t>
            </w:r>
          </w:p>
        </w:tc>
        <w:tc>
          <w:tcPr>
            <w:tcW w:w="638" w:type="dxa"/>
            <w:tcBorders>
              <w:top w:val="nil"/>
              <w:left w:val="single" w:sz="4" w:space="0" w:color="auto"/>
              <w:bottom w:val="nil"/>
              <w:right w:val="nil"/>
            </w:tcBorders>
            <w:shd w:val="clear" w:color="auto" w:fill="auto"/>
            <w:noWrap/>
            <w:vAlign w:val="center"/>
            <w:hideMark/>
          </w:tcPr>
          <w:p w14:paraId="79914E5C" w14:textId="77777777" w:rsidR="00305C76" w:rsidRPr="004E0D59" w:rsidRDefault="00305C76" w:rsidP="00C85AC0">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567811FC" w14:textId="77777777" w:rsidR="00305C76" w:rsidRPr="004E0D59" w:rsidRDefault="00305C76" w:rsidP="00C85AC0">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4.1 (2.2)</w:t>
            </w:r>
          </w:p>
        </w:tc>
      </w:tr>
      <w:tr w:rsidR="00305C76" w:rsidRPr="004E0D59" w14:paraId="07892CF3" w14:textId="77777777" w:rsidTr="00ED2FC2">
        <w:trPr>
          <w:trHeight w:val="300"/>
        </w:trPr>
        <w:tc>
          <w:tcPr>
            <w:tcW w:w="3227" w:type="dxa"/>
            <w:tcBorders>
              <w:top w:val="nil"/>
              <w:left w:val="nil"/>
              <w:bottom w:val="nil"/>
              <w:right w:val="single" w:sz="4" w:space="0" w:color="auto"/>
            </w:tcBorders>
            <w:shd w:val="clear" w:color="auto" w:fill="auto"/>
            <w:noWrap/>
            <w:hideMark/>
          </w:tcPr>
          <w:p w14:paraId="3BD21945" w14:textId="1B3FAA8B" w:rsidR="00305C76" w:rsidRPr="004E0D59" w:rsidRDefault="00305C76" w:rsidP="00C23936">
            <w:pPr>
              <w:spacing w:after="0" w:line="240" w:lineRule="auto"/>
              <w:ind w:left="180"/>
              <w:rPr>
                <w:rFonts w:ascii="Calibri" w:eastAsia="Times New Roman" w:hAnsi="Calibri" w:cs="Times New Roman"/>
                <w:color w:val="000000"/>
              </w:rPr>
            </w:pPr>
            <w:r w:rsidRPr="004E0D59">
              <w:rPr>
                <w:rFonts w:ascii="Calibri" w:eastAsia="Times New Roman" w:hAnsi="Calibri" w:cs="Times New Roman"/>
                <w:color w:val="000000"/>
              </w:rPr>
              <w:t>Mean (</w:t>
            </w:r>
            <w:r w:rsidR="00C23936">
              <w:rPr>
                <w:rFonts w:ascii="Calibri" w:eastAsia="Times New Roman" w:hAnsi="Calibri" w:cs="Times New Roman"/>
                <w:color w:val="000000"/>
              </w:rPr>
              <w:t>SD</w:t>
            </w:r>
            <w:r w:rsidRPr="004E0D59">
              <w:rPr>
                <w:rFonts w:ascii="Calibri" w:eastAsia="Times New Roman" w:hAnsi="Calibri" w:cs="Times New Roman"/>
                <w:color w:val="000000"/>
              </w:rPr>
              <w:t>) H</w:t>
            </w:r>
            <w:r w:rsidR="005F418B">
              <w:rPr>
                <w:rFonts w:ascii="Calibri" w:eastAsia="Times New Roman" w:hAnsi="Calibri" w:cs="Times New Roman"/>
                <w:color w:val="000000"/>
              </w:rPr>
              <w:t xml:space="preserve">ealthy </w:t>
            </w:r>
            <w:r w:rsidRPr="004E0D59">
              <w:rPr>
                <w:rFonts w:ascii="Calibri" w:eastAsia="Times New Roman" w:hAnsi="Calibri" w:cs="Times New Roman"/>
                <w:color w:val="000000"/>
              </w:rPr>
              <w:t>S</w:t>
            </w:r>
            <w:r w:rsidR="005F418B">
              <w:rPr>
                <w:rFonts w:ascii="Calibri" w:eastAsia="Times New Roman" w:hAnsi="Calibri" w:cs="Times New Roman"/>
                <w:color w:val="000000"/>
              </w:rPr>
              <w:t>nacks</w:t>
            </w:r>
            <w:r w:rsidRPr="004E0D59">
              <w:rPr>
                <w:rFonts w:ascii="Calibri" w:eastAsia="Times New Roman" w:hAnsi="Calibri" w:cs="Times New Roman"/>
                <w:color w:val="000000"/>
              </w:rPr>
              <w:t xml:space="preserve"> Weekday</w:t>
            </w:r>
          </w:p>
        </w:tc>
        <w:tc>
          <w:tcPr>
            <w:tcW w:w="313" w:type="dxa"/>
            <w:tcBorders>
              <w:top w:val="nil"/>
              <w:left w:val="single" w:sz="4" w:space="0" w:color="auto"/>
              <w:bottom w:val="nil"/>
              <w:right w:val="nil"/>
            </w:tcBorders>
            <w:shd w:val="clear" w:color="auto" w:fill="auto"/>
            <w:noWrap/>
            <w:vAlign w:val="center"/>
            <w:hideMark/>
          </w:tcPr>
          <w:p w14:paraId="06203EB7" w14:textId="77777777" w:rsidR="00305C76" w:rsidRPr="004E0D59" w:rsidRDefault="00305C76" w:rsidP="00C85AC0">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1E12B35F" w14:textId="77777777" w:rsidR="00305C76" w:rsidRPr="004E0D59" w:rsidRDefault="00305C76" w:rsidP="00C85AC0">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3.4 (1.8)</w:t>
            </w:r>
          </w:p>
        </w:tc>
        <w:tc>
          <w:tcPr>
            <w:tcW w:w="638" w:type="dxa"/>
            <w:tcBorders>
              <w:top w:val="nil"/>
              <w:left w:val="single" w:sz="4" w:space="0" w:color="auto"/>
              <w:bottom w:val="nil"/>
              <w:right w:val="nil"/>
            </w:tcBorders>
            <w:shd w:val="clear" w:color="auto" w:fill="auto"/>
            <w:noWrap/>
            <w:vAlign w:val="center"/>
            <w:hideMark/>
          </w:tcPr>
          <w:p w14:paraId="4E780287" w14:textId="77777777" w:rsidR="00305C76" w:rsidRPr="004E0D59" w:rsidRDefault="00305C76" w:rsidP="00C85AC0">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6D05C5AA" w14:textId="77777777" w:rsidR="00305C76" w:rsidRPr="004E0D59" w:rsidRDefault="00305C76" w:rsidP="00C85AC0">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3.2 (1.7)</w:t>
            </w:r>
          </w:p>
        </w:tc>
        <w:tc>
          <w:tcPr>
            <w:tcW w:w="638" w:type="dxa"/>
            <w:tcBorders>
              <w:top w:val="nil"/>
              <w:left w:val="single" w:sz="4" w:space="0" w:color="auto"/>
              <w:bottom w:val="nil"/>
              <w:right w:val="nil"/>
            </w:tcBorders>
            <w:shd w:val="clear" w:color="auto" w:fill="auto"/>
            <w:noWrap/>
            <w:vAlign w:val="center"/>
            <w:hideMark/>
          </w:tcPr>
          <w:p w14:paraId="117CF5AF" w14:textId="77777777" w:rsidR="00305C76" w:rsidRPr="004E0D59" w:rsidRDefault="00305C76" w:rsidP="00C85AC0">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01E9F5D9" w14:textId="77777777" w:rsidR="00305C76" w:rsidRPr="004E0D59" w:rsidRDefault="00305C76" w:rsidP="00C85AC0">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3.3 (1.8)</w:t>
            </w:r>
          </w:p>
        </w:tc>
      </w:tr>
      <w:tr w:rsidR="00305C76" w:rsidRPr="004E0D59" w14:paraId="342665EA" w14:textId="77777777" w:rsidTr="00ED2FC2">
        <w:trPr>
          <w:trHeight w:val="300"/>
        </w:trPr>
        <w:tc>
          <w:tcPr>
            <w:tcW w:w="3227" w:type="dxa"/>
            <w:tcBorders>
              <w:top w:val="nil"/>
              <w:left w:val="nil"/>
              <w:bottom w:val="nil"/>
              <w:right w:val="single" w:sz="4" w:space="0" w:color="auto"/>
            </w:tcBorders>
            <w:shd w:val="clear" w:color="auto" w:fill="auto"/>
            <w:noWrap/>
            <w:hideMark/>
          </w:tcPr>
          <w:p w14:paraId="348E12B7" w14:textId="4E137AA9" w:rsidR="00305C76" w:rsidRPr="004E0D59" w:rsidRDefault="00305C76" w:rsidP="00C23936">
            <w:pPr>
              <w:spacing w:after="0" w:line="240" w:lineRule="auto"/>
              <w:ind w:left="180"/>
              <w:rPr>
                <w:rFonts w:ascii="Calibri" w:eastAsia="Times New Roman" w:hAnsi="Calibri" w:cs="Times New Roman"/>
                <w:color w:val="000000"/>
              </w:rPr>
            </w:pPr>
            <w:r w:rsidRPr="004E0D59">
              <w:rPr>
                <w:rFonts w:ascii="Calibri" w:eastAsia="Times New Roman" w:hAnsi="Calibri" w:cs="Times New Roman"/>
                <w:color w:val="000000"/>
              </w:rPr>
              <w:t>Mean (</w:t>
            </w:r>
            <w:r w:rsidR="00C23936">
              <w:rPr>
                <w:rFonts w:ascii="Calibri" w:eastAsia="Times New Roman" w:hAnsi="Calibri" w:cs="Times New Roman"/>
                <w:color w:val="000000"/>
              </w:rPr>
              <w:t>SD</w:t>
            </w:r>
            <w:r w:rsidRPr="004E0D59">
              <w:rPr>
                <w:rFonts w:ascii="Calibri" w:eastAsia="Times New Roman" w:hAnsi="Calibri" w:cs="Times New Roman"/>
                <w:color w:val="000000"/>
              </w:rPr>
              <w:t>) H</w:t>
            </w:r>
            <w:r w:rsidR="005F418B">
              <w:rPr>
                <w:rFonts w:ascii="Calibri" w:eastAsia="Times New Roman" w:hAnsi="Calibri" w:cs="Times New Roman"/>
                <w:color w:val="000000"/>
              </w:rPr>
              <w:t xml:space="preserve">ealthy </w:t>
            </w:r>
            <w:r w:rsidRPr="004E0D59">
              <w:rPr>
                <w:rFonts w:ascii="Calibri" w:eastAsia="Times New Roman" w:hAnsi="Calibri" w:cs="Times New Roman"/>
                <w:color w:val="000000"/>
              </w:rPr>
              <w:t>S</w:t>
            </w:r>
            <w:r w:rsidR="005F418B">
              <w:rPr>
                <w:rFonts w:ascii="Calibri" w:eastAsia="Times New Roman" w:hAnsi="Calibri" w:cs="Times New Roman"/>
                <w:color w:val="000000"/>
              </w:rPr>
              <w:t>nacks</w:t>
            </w:r>
            <w:r w:rsidRPr="004E0D59">
              <w:rPr>
                <w:rFonts w:ascii="Calibri" w:eastAsia="Times New Roman" w:hAnsi="Calibri" w:cs="Times New Roman"/>
                <w:color w:val="000000"/>
              </w:rPr>
              <w:t xml:space="preserve"> Weekend</w:t>
            </w:r>
          </w:p>
        </w:tc>
        <w:tc>
          <w:tcPr>
            <w:tcW w:w="313" w:type="dxa"/>
            <w:tcBorders>
              <w:top w:val="nil"/>
              <w:left w:val="single" w:sz="4" w:space="0" w:color="auto"/>
              <w:bottom w:val="nil"/>
              <w:right w:val="nil"/>
            </w:tcBorders>
            <w:shd w:val="clear" w:color="auto" w:fill="auto"/>
            <w:noWrap/>
            <w:vAlign w:val="center"/>
            <w:hideMark/>
          </w:tcPr>
          <w:p w14:paraId="4970B5EF" w14:textId="77777777" w:rsidR="00305C76" w:rsidRPr="004E0D59" w:rsidRDefault="00305C76" w:rsidP="00C85AC0">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04007D03" w14:textId="77777777" w:rsidR="00305C76" w:rsidRPr="004E0D59" w:rsidRDefault="00305C76" w:rsidP="00C85AC0">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3.2 (1.9)</w:t>
            </w:r>
          </w:p>
        </w:tc>
        <w:tc>
          <w:tcPr>
            <w:tcW w:w="638" w:type="dxa"/>
            <w:tcBorders>
              <w:top w:val="nil"/>
              <w:left w:val="single" w:sz="4" w:space="0" w:color="auto"/>
              <w:bottom w:val="nil"/>
              <w:right w:val="nil"/>
            </w:tcBorders>
            <w:shd w:val="clear" w:color="auto" w:fill="auto"/>
            <w:noWrap/>
            <w:vAlign w:val="center"/>
            <w:hideMark/>
          </w:tcPr>
          <w:p w14:paraId="21C89C88" w14:textId="77777777" w:rsidR="00305C76" w:rsidRPr="004E0D59" w:rsidRDefault="00305C76" w:rsidP="00C85AC0">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2829C8FA" w14:textId="77777777" w:rsidR="00305C76" w:rsidRPr="004E0D59" w:rsidRDefault="00305C76" w:rsidP="00C85AC0">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2.9 (1.8)</w:t>
            </w:r>
          </w:p>
        </w:tc>
        <w:tc>
          <w:tcPr>
            <w:tcW w:w="638" w:type="dxa"/>
            <w:tcBorders>
              <w:top w:val="nil"/>
              <w:left w:val="single" w:sz="4" w:space="0" w:color="auto"/>
              <w:bottom w:val="nil"/>
              <w:right w:val="nil"/>
            </w:tcBorders>
            <w:shd w:val="clear" w:color="auto" w:fill="auto"/>
            <w:noWrap/>
            <w:vAlign w:val="center"/>
            <w:hideMark/>
          </w:tcPr>
          <w:p w14:paraId="660FE1CE" w14:textId="77777777" w:rsidR="00305C76" w:rsidRPr="004E0D59" w:rsidRDefault="00305C76" w:rsidP="00C85AC0">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0A568484" w14:textId="77777777" w:rsidR="00305C76" w:rsidRPr="004E0D59" w:rsidRDefault="00305C76" w:rsidP="00C85AC0">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3.1 (1.9)</w:t>
            </w:r>
          </w:p>
        </w:tc>
      </w:tr>
      <w:tr w:rsidR="00305C76" w:rsidRPr="004E0D59" w14:paraId="2163A85B" w14:textId="77777777" w:rsidTr="00ED2FC2">
        <w:trPr>
          <w:trHeight w:val="300"/>
        </w:trPr>
        <w:tc>
          <w:tcPr>
            <w:tcW w:w="3227" w:type="dxa"/>
            <w:tcBorders>
              <w:top w:val="nil"/>
              <w:left w:val="nil"/>
              <w:bottom w:val="nil"/>
              <w:right w:val="single" w:sz="4" w:space="0" w:color="auto"/>
            </w:tcBorders>
            <w:shd w:val="clear" w:color="auto" w:fill="auto"/>
            <w:noWrap/>
            <w:hideMark/>
          </w:tcPr>
          <w:p w14:paraId="4020910F" w14:textId="5932591F" w:rsidR="00305C76" w:rsidRPr="004E0D59" w:rsidRDefault="00305C76" w:rsidP="00C23936">
            <w:pPr>
              <w:spacing w:after="0" w:line="240" w:lineRule="auto"/>
              <w:ind w:left="180"/>
              <w:rPr>
                <w:rFonts w:ascii="Calibri" w:eastAsia="Times New Roman" w:hAnsi="Calibri" w:cs="Times New Roman"/>
                <w:color w:val="000000"/>
              </w:rPr>
            </w:pPr>
            <w:r w:rsidRPr="004E0D59">
              <w:rPr>
                <w:rFonts w:ascii="Calibri" w:eastAsia="Times New Roman" w:hAnsi="Calibri" w:cs="Times New Roman"/>
                <w:color w:val="000000"/>
              </w:rPr>
              <w:t>Mean (</w:t>
            </w:r>
            <w:r w:rsidR="00C23936">
              <w:rPr>
                <w:rFonts w:ascii="Calibri" w:eastAsia="Times New Roman" w:hAnsi="Calibri" w:cs="Times New Roman"/>
                <w:color w:val="000000"/>
              </w:rPr>
              <w:t>SD</w:t>
            </w:r>
            <w:r w:rsidRPr="004E0D59">
              <w:rPr>
                <w:rFonts w:ascii="Calibri" w:eastAsia="Times New Roman" w:hAnsi="Calibri" w:cs="Times New Roman"/>
                <w:color w:val="000000"/>
              </w:rPr>
              <w:t>) H</w:t>
            </w:r>
            <w:r w:rsidR="005F418B">
              <w:rPr>
                <w:rFonts w:ascii="Calibri" w:eastAsia="Times New Roman" w:hAnsi="Calibri" w:cs="Times New Roman"/>
                <w:color w:val="000000"/>
              </w:rPr>
              <w:t xml:space="preserve">ealthy </w:t>
            </w:r>
            <w:r w:rsidRPr="004E0D59">
              <w:rPr>
                <w:rFonts w:ascii="Calibri" w:eastAsia="Times New Roman" w:hAnsi="Calibri" w:cs="Times New Roman"/>
                <w:color w:val="000000"/>
              </w:rPr>
              <w:t>S</w:t>
            </w:r>
            <w:r w:rsidR="005F418B">
              <w:rPr>
                <w:rFonts w:ascii="Calibri" w:eastAsia="Times New Roman" w:hAnsi="Calibri" w:cs="Times New Roman"/>
                <w:color w:val="000000"/>
              </w:rPr>
              <w:t>nacks</w:t>
            </w:r>
            <w:r w:rsidRPr="004E0D59">
              <w:rPr>
                <w:rFonts w:ascii="Calibri" w:eastAsia="Times New Roman" w:hAnsi="Calibri" w:cs="Times New Roman"/>
                <w:color w:val="000000"/>
              </w:rPr>
              <w:t xml:space="preserve"> Average</w:t>
            </w:r>
          </w:p>
        </w:tc>
        <w:tc>
          <w:tcPr>
            <w:tcW w:w="313" w:type="dxa"/>
            <w:tcBorders>
              <w:top w:val="nil"/>
              <w:left w:val="single" w:sz="4" w:space="0" w:color="auto"/>
              <w:bottom w:val="nil"/>
              <w:right w:val="nil"/>
            </w:tcBorders>
            <w:shd w:val="clear" w:color="auto" w:fill="auto"/>
            <w:noWrap/>
            <w:vAlign w:val="center"/>
            <w:hideMark/>
          </w:tcPr>
          <w:p w14:paraId="3C69B821" w14:textId="77777777" w:rsidR="00305C76" w:rsidRPr="004E0D59" w:rsidRDefault="00305C76" w:rsidP="00C85AC0">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3EC98EFF" w14:textId="77777777" w:rsidR="00305C76" w:rsidRPr="004E0D59" w:rsidRDefault="00305C76" w:rsidP="00C85AC0">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3.3 (1.6)</w:t>
            </w:r>
          </w:p>
        </w:tc>
        <w:tc>
          <w:tcPr>
            <w:tcW w:w="638" w:type="dxa"/>
            <w:tcBorders>
              <w:top w:val="nil"/>
              <w:left w:val="single" w:sz="4" w:space="0" w:color="auto"/>
              <w:bottom w:val="nil"/>
              <w:right w:val="nil"/>
            </w:tcBorders>
            <w:shd w:val="clear" w:color="auto" w:fill="auto"/>
            <w:noWrap/>
            <w:vAlign w:val="center"/>
            <w:hideMark/>
          </w:tcPr>
          <w:p w14:paraId="557FB1A4" w14:textId="77777777" w:rsidR="00305C76" w:rsidRPr="004E0D59" w:rsidRDefault="00305C76" w:rsidP="00C85AC0">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1ECEB4BA" w14:textId="77777777" w:rsidR="00305C76" w:rsidRPr="004E0D59" w:rsidRDefault="00305C76" w:rsidP="00C85AC0">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3.1 (1.6)</w:t>
            </w:r>
          </w:p>
        </w:tc>
        <w:tc>
          <w:tcPr>
            <w:tcW w:w="638" w:type="dxa"/>
            <w:tcBorders>
              <w:top w:val="nil"/>
              <w:left w:val="single" w:sz="4" w:space="0" w:color="auto"/>
              <w:bottom w:val="nil"/>
              <w:right w:val="nil"/>
            </w:tcBorders>
            <w:shd w:val="clear" w:color="auto" w:fill="auto"/>
            <w:noWrap/>
            <w:vAlign w:val="center"/>
            <w:hideMark/>
          </w:tcPr>
          <w:p w14:paraId="7AF7F65E" w14:textId="77777777" w:rsidR="00305C76" w:rsidRPr="004E0D59" w:rsidRDefault="00305C76" w:rsidP="00C85AC0">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15B37A33" w14:textId="77777777" w:rsidR="00305C76" w:rsidRPr="004E0D59" w:rsidRDefault="00305C76" w:rsidP="00C85AC0">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3.2 (1.6)</w:t>
            </w:r>
          </w:p>
        </w:tc>
      </w:tr>
      <w:tr w:rsidR="00305C76" w:rsidRPr="004E0D59" w14:paraId="1B0AF5D4" w14:textId="77777777" w:rsidTr="00ED2FC2">
        <w:trPr>
          <w:trHeight w:val="300"/>
        </w:trPr>
        <w:tc>
          <w:tcPr>
            <w:tcW w:w="3227" w:type="dxa"/>
            <w:tcBorders>
              <w:top w:val="nil"/>
              <w:left w:val="nil"/>
              <w:bottom w:val="nil"/>
              <w:right w:val="single" w:sz="4" w:space="0" w:color="auto"/>
            </w:tcBorders>
            <w:shd w:val="clear" w:color="auto" w:fill="auto"/>
            <w:noWrap/>
            <w:hideMark/>
          </w:tcPr>
          <w:p w14:paraId="073E7CE2" w14:textId="5F29F2DA" w:rsidR="00305C76" w:rsidRPr="004E0D59" w:rsidRDefault="00305C76" w:rsidP="00C23936">
            <w:pPr>
              <w:spacing w:after="0" w:line="240" w:lineRule="auto"/>
              <w:ind w:left="180"/>
              <w:rPr>
                <w:rFonts w:ascii="Calibri" w:eastAsia="Times New Roman" w:hAnsi="Calibri" w:cs="Times New Roman"/>
                <w:color w:val="000000"/>
              </w:rPr>
            </w:pPr>
            <w:r w:rsidRPr="004E0D59">
              <w:rPr>
                <w:rFonts w:ascii="Calibri" w:eastAsia="Times New Roman" w:hAnsi="Calibri" w:cs="Times New Roman"/>
                <w:color w:val="000000"/>
              </w:rPr>
              <w:t>Mean (</w:t>
            </w:r>
            <w:r w:rsidR="00C23936">
              <w:rPr>
                <w:rFonts w:ascii="Calibri" w:eastAsia="Times New Roman" w:hAnsi="Calibri" w:cs="Times New Roman"/>
                <w:color w:val="000000"/>
              </w:rPr>
              <w:t>SD</w:t>
            </w:r>
            <w:r w:rsidRPr="004E0D59">
              <w:rPr>
                <w:rFonts w:ascii="Calibri" w:eastAsia="Times New Roman" w:hAnsi="Calibri" w:cs="Times New Roman"/>
                <w:color w:val="000000"/>
              </w:rPr>
              <w:t xml:space="preserve">) Positive </w:t>
            </w:r>
            <w:r w:rsidR="00C23936">
              <w:rPr>
                <w:rFonts w:ascii="Calibri" w:eastAsia="Times New Roman" w:hAnsi="Calibri" w:cs="Times New Roman"/>
                <w:color w:val="000000"/>
              </w:rPr>
              <w:t>F</w:t>
            </w:r>
            <w:r w:rsidRPr="004E0D59">
              <w:rPr>
                <w:rFonts w:ascii="Calibri" w:eastAsia="Times New Roman" w:hAnsi="Calibri" w:cs="Times New Roman"/>
                <w:color w:val="000000"/>
              </w:rPr>
              <w:t xml:space="preserve">ood </w:t>
            </w:r>
            <w:r w:rsidR="00C23936">
              <w:rPr>
                <w:rFonts w:ascii="Calibri" w:eastAsia="Times New Roman" w:hAnsi="Calibri" w:cs="Times New Roman"/>
                <w:color w:val="000000"/>
              </w:rPr>
              <w:t>M</w:t>
            </w:r>
            <w:r w:rsidRPr="004E0D59">
              <w:rPr>
                <w:rFonts w:ascii="Calibri" w:eastAsia="Times New Roman" w:hAnsi="Calibri" w:cs="Times New Roman"/>
                <w:color w:val="000000"/>
              </w:rPr>
              <w:t>arkers - Weekday</w:t>
            </w:r>
          </w:p>
        </w:tc>
        <w:tc>
          <w:tcPr>
            <w:tcW w:w="313" w:type="dxa"/>
            <w:tcBorders>
              <w:top w:val="nil"/>
              <w:left w:val="single" w:sz="4" w:space="0" w:color="auto"/>
              <w:bottom w:val="nil"/>
              <w:right w:val="nil"/>
            </w:tcBorders>
            <w:shd w:val="clear" w:color="auto" w:fill="auto"/>
            <w:noWrap/>
            <w:vAlign w:val="center"/>
            <w:hideMark/>
          </w:tcPr>
          <w:p w14:paraId="0349AB12" w14:textId="77777777" w:rsidR="00305C76" w:rsidRPr="004E0D59" w:rsidRDefault="00305C76" w:rsidP="00C85AC0">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3C347129" w14:textId="77777777" w:rsidR="00305C76" w:rsidRPr="004E0D59" w:rsidRDefault="00305C76" w:rsidP="00C85AC0">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6.1 (2.9)</w:t>
            </w:r>
          </w:p>
        </w:tc>
        <w:tc>
          <w:tcPr>
            <w:tcW w:w="638" w:type="dxa"/>
            <w:tcBorders>
              <w:top w:val="nil"/>
              <w:left w:val="single" w:sz="4" w:space="0" w:color="auto"/>
              <w:bottom w:val="nil"/>
              <w:right w:val="nil"/>
            </w:tcBorders>
            <w:shd w:val="clear" w:color="auto" w:fill="auto"/>
            <w:noWrap/>
            <w:vAlign w:val="center"/>
            <w:hideMark/>
          </w:tcPr>
          <w:p w14:paraId="42E5FE66" w14:textId="77777777" w:rsidR="00305C76" w:rsidRPr="004E0D59" w:rsidRDefault="00305C76" w:rsidP="00C85AC0">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0C5D6AFF" w14:textId="77777777" w:rsidR="00305C76" w:rsidRPr="004E0D59" w:rsidRDefault="00305C76" w:rsidP="00C85AC0">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5.7 (2.8)</w:t>
            </w:r>
          </w:p>
        </w:tc>
        <w:tc>
          <w:tcPr>
            <w:tcW w:w="638" w:type="dxa"/>
            <w:tcBorders>
              <w:top w:val="nil"/>
              <w:left w:val="single" w:sz="4" w:space="0" w:color="auto"/>
              <w:bottom w:val="nil"/>
              <w:right w:val="nil"/>
            </w:tcBorders>
            <w:shd w:val="clear" w:color="auto" w:fill="auto"/>
            <w:noWrap/>
            <w:vAlign w:val="center"/>
            <w:hideMark/>
          </w:tcPr>
          <w:p w14:paraId="76DE673D" w14:textId="77777777" w:rsidR="00305C76" w:rsidRPr="004E0D59" w:rsidRDefault="00305C76" w:rsidP="00C85AC0">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4D2B8E9D" w14:textId="77777777" w:rsidR="00305C76" w:rsidRPr="004E0D59" w:rsidRDefault="00305C76" w:rsidP="00C85AC0">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5.9 (2.8)</w:t>
            </w:r>
          </w:p>
        </w:tc>
      </w:tr>
      <w:tr w:rsidR="00305C76" w:rsidRPr="004E0D59" w14:paraId="4F087621" w14:textId="77777777" w:rsidTr="00ED2FC2">
        <w:trPr>
          <w:trHeight w:val="300"/>
        </w:trPr>
        <w:tc>
          <w:tcPr>
            <w:tcW w:w="3227" w:type="dxa"/>
            <w:tcBorders>
              <w:top w:val="nil"/>
              <w:left w:val="nil"/>
              <w:bottom w:val="nil"/>
              <w:right w:val="single" w:sz="4" w:space="0" w:color="auto"/>
            </w:tcBorders>
            <w:shd w:val="clear" w:color="auto" w:fill="auto"/>
            <w:noWrap/>
            <w:hideMark/>
          </w:tcPr>
          <w:p w14:paraId="0E8582DC" w14:textId="5A81D2FA" w:rsidR="00305C76" w:rsidRPr="004E0D59" w:rsidRDefault="00305C76" w:rsidP="00C23936">
            <w:pPr>
              <w:spacing w:after="0" w:line="240" w:lineRule="auto"/>
              <w:ind w:left="180"/>
              <w:rPr>
                <w:rFonts w:ascii="Calibri" w:eastAsia="Times New Roman" w:hAnsi="Calibri" w:cs="Times New Roman"/>
                <w:color w:val="000000"/>
              </w:rPr>
            </w:pPr>
            <w:r w:rsidRPr="004E0D59">
              <w:rPr>
                <w:rFonts w:ascii="Calibri" w:eastAsia="Times New Roman" w:hAnsi="Calibri" w:cs="Times New Roman"/>
                <w:color w:val="000000"/>
              </w:rPr>
              <w:t>Mean (</w:t>
            </w:r>
            <w:r w:rsidR="00C23936">
              <w:rPr>
                <w:rFonts w:ascii="Calibri" w:eastAsia="Times New Roman" w:hAnsi="Calibri" w:cs="Times New Roman"/>
                <w:color w:val="000000"/>
              </w:rPr>
              <w:t>SD</w:t>
            </w:r>
            <w:r w:rsidRPr="004E0D59">
              <w:rPr>
                <w:rFonts w:ascii="Calibri" w:eastAsia="Times New Roman" w:hAnsi="Calibri" w:cs="Times New Roman"/>
                <w:color w:val="000000"/>
              </w:rPr>
              <w:t xml:space="preserve">) Positive </w:t>
            </w:r>
            <w:r w:rsidR="00C23936">
              <w:rPr>
                <w:rFonts w:ascii="Calibri" w:eastAsia="Times New Roman" w:hAnsi="Calibri" w:cs="Times New Roman"/>
                <w:color w:val="000000"/>
              </w:rPr>
              <w:t>F</w:t>
            </w:r>
            <w:r w:rsidRPr="004E0D59">
              <w:rPr>
                <w:rFonts w:ascii="Calibri" w:eastAsia="Times New Roman" w:hAnsi="Calibri" w:cs="Times New Roman"/>
                <w:color w:val="000000"/>
              </w:rPr>
              <w:t xml:space="preserve">ood </w:t>
            </w:r>
            <w:r w:rsidR="00C23936">
              <w:rPr>
                <w:rFonts w:ascii="Calibri" w:eastAsia="Times New Roman" w:hAnsi="Calibri" w:cs="Times New Roman"/>
                <w:color w:val="000000"/>
              </w:rPr>
              <w:t>M</w:t>
            </w:r>
            <w:r w:rsidRPr="004E0D59">
              <w:rPr>
                <w:rFonts w:ascii="Calibri" w:eastAsia="Times New Roman" w:hAnsi="Calibri" w:cs="Times New Roman"/>
                <w:color w:val="000000"/>
              </w:rPr>
              <w:t xml:space="preserve">arkers </w:t>
            </w:r>
            <w:r w:rsidR="00C23936">
              <w:rPr>
                <w:rFonts w:ascii="Calibri" w:eastAsia="Times New Roman" w:hAnsi="Calibri" w:cs="Times New Roman"/>
                <w:color w:val="000000"/>
              </w:rPr>
              <w:t>–</w:t>
            </w:r>
            <w:r w:rsidRPr="004E0D59">
              <w:rPr>
                <w:rFonts w:ascii="Calibri" w:eastAsia="Times New Roman" w:hAnsi="Calibri" w:cs="Times New Roman"/>
                <w:color w:val="000000"/>
              </w:rPr>
              <w:t xml:space="preserve"> Weekend</w:t>
            </w:r>
          </w:p>
        </w:tc>
        <w:tc>
          <w:tcPr>
            <w:tcW w:w="313" w:type="dxa"/>
            <w:tcBorders>
              <w:top w:val="nil"/>
              <w:left w:val="single" w:sz="4" w:space="0" w:color="auto"/>
              <w:bottom w:val="nil"/>
              <w:right w:val="nil"/>
            </w:tcBorders>
            <w:shd w:val="clear" w:color="auto" w:fill="auto"/>
            <w:noWrap/>
            <w:vAlign w:val="center"/>
            <w:hideMark/>
          </w:tcPr>
          <w:p w14:paraId="32F9F848" w14:textId="77777777" w:rsidR="00305C76" w:rsidRPr="004E0D59" w:rsidRDefault="00305C76" w:rsidP="00C85AC0">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3AB6AB23" w14:textId="77777777" w:rsidR="00305C76" w:rsidRPr="004E0D59" w:rsidRDefault="00305C76" w:rsidP="00C85AC0">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6.0 (3.0)</w:t>
            </w:r>
          </w:p>
        </w:tc>
        <w:tc>
          <w:tcPr>
            <w:tcW w:w="638" w:type="dxa"/>
            <w:tcBorders>
              <w:top w:val="nil"/>
              <w:left w:val="single" w:sz="4" w:space="0" w:color="auto"/>
              <w:bottom w:val="nil"/>
              <w:right w:val="nil"/>
            </w:tcBorders>
            <w:shd w:val="clear" w:color="auto" w:fill="auto"/>
            <w:noWrap/>
            <w:vAlign w:val="center"/>
            <w:hideMark/>
          </w:tcPr>
          <w:p w14:paraId="0CD03469" w14:textId="77777777" w:rsidR="00305C76" w:rsidRPr="004E0D59" w:rsidRDefault="00305C76" w:rsidP="00C85AC0">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2A7759B1" w14:textId="77777777" w:rsidR="00305C76" w:rsidRPr="004E0D59" w:rsidRDefault="00305C76" w:rsidP="00C85AC0">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5.5 (2.9)</w:t>
            </w:r>
          </w:p>
        </w:tc>
        <w:tc>
          <w:tcPr>
            <w:tcW w:w="638" w:type="dxa"/>
            <w:tcBorders>
              <w:top w:val="nil"/>
              <w:left w:val="single" w:sz="4" w:space="0" w:color="auto"/>
              <w:bottom w:val="nil"/>
              <w:right w:val="nil"/>
            </w:tcBorders>
            <w:shd w:val="clear" w:color="auto" w:fill="auto"/>
            <w:noWrap/>
            <w:vAlign w:val="center"/>
            <w:hideMark/>
          </w:tcPr>
          <w:p w14:paraId="3FB8A1F5" w14:textId="77777777" w:rsidR="00305C76" w:rsidRPr="004E0D59" w:rsidRDefault="00305C76" w:rsidP="00C85AC0">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292A18DC" w14:textId="77777777" w:rsidR="00305C76" w:rsidRPr="004E0D59" w:rsidRDefault="00305C76" w:rsidP="00C85AC0">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5.8 (3.0)</w:t>
            </w:r>
          </w:p>
        </w:tc>
      </w:tr>
      <w:tr w:rsidR="00305C76" w:rsidRPr="004E0D59" w14:paraId="769F6FC4" w14:textId="77777777" w:rsidTr="00ED2FC2">
        <w:trPr>
          <w:trHeight w:val="300"/>
        </w:trPr>
        <w:tc>
          <w:tcPr>
            <w:tcW w:w="3227" w:type="dxa"/>
            <w:tcBorders>
              <w:top w:val="nil"/>
              <w:left w:val="nil"/>
              <w:bottom w:val="nil"/>
              <w:right w:val="single" w:sz="4" w:space="0" w:color="auto"/>
            </w:tcBorders>
            <w:shd w:val="clear" w:color="auto" w:fill="auto"/>
            <w:noWrap/>
            <w:hideMark/>
          </w:tcPr>
          <w:p w14:paraId="12A8B166" w14:textId="6E289786" w:rsidR="00305C76" w:rsidRPr="004E0D59" w:rsidRDefault="00305C76" w:rsidP="00C23936">
            <w:pPr>
              <w:spacing w:after="0" w:line="240" w:lineRule="auto"/>
              <w:ind w:left="180"/>
              <w:rPr>
                <w:rFonts w:ascii="Calibri" w:eastAsia="Times New Roman" w:hAnsi="Calibri" w:cs="Times New Roman"/>
                <w:color w:val="000000"/>
              </w:rPr>
            </w:pPr>
            <w:r w:rsidRPr="004E0D59">
              <w:rPr>
                <w:rFonts w:ascii="Calibri" w:eastAsia="Times New Roman" w:hAnsi="Calibri" w:cs="Times New Roman"/>
                <w:color w:val="000000"/>
              </w:rPr>
              <w:t>Mean (</w:t>
            </w:r>
            <w:r w:rsidR="00C23936">
              <w:rPr>
                <w:rFonts w:ascii="Calibri" w:eastAsia="Times New Roman" w:hAnsi="Calibri" w:cs="Times New Roman"/>
                <w:color w:val="000000"/>
              </w:rPr>
              <w:t>SD</w:t>
            </w:r>
            <w:r w:rsidRPr="004E0D59">
              <w:rPr>
                <w:rFonts w:ascii="Calibri" w:eastAsia="Times New Roman" w:hAnsi="Calibri" w:cs="Times New Roman"/>
                <w:color w:val="000000"/>
              </w:rPr>
              <w:t xml:space="preserve">) Positive </w:t>
            </w:r>
            <w:r w:rsidR="00C23936">
              <w:rPr>
                <w:rFonts w:ascii="Calibri" w:eastAsia="Times New Roman" w:hAnsi="Calibri" w:cs="Times New Roman"/>
                <w:color w:val="000000"/>
              </w:rPr>
              <w:t>Food M</w:t>
            </w:r>
            <w:r w:rsidRPr="004E0D59">
              <w:rPr>
                <w:rFonts w:ascii="Calibri" w:eastAsia="Times New Roman" w:hAnsi="Calibri" w:cs="Times New Roman"/>
                <w:color w:val="000000"/>
              </w:rPr>
              <w:t>arkers Average</w:t>
            </w:r>
          </w:p>
        </w:tc>
        <w:tc>
          <w:tcPr>
            <w:tcW w:w="313" w:type="dxa"/>
            <w:tcBorders>
              <w:top w:val="nil"/>
              <w:left w:val="single" w:sz="4" w:space="0" w:color="auto"/>
              <w:bottom w:val="nil"/>
              <w:right w:val="nil"/>
            </w:tcBorders>
            <w:shd w:val="clear" w:color="auto" w:fill="auto"/>
            <w:noWrap/>
            <w:vAlign w:val="center"/>
            <w:hideMark/>
          </w:tcPr>
          <w:p w14:paraId="6CAA4EA0" w14:textId="77777777" w:rsidR="00305C76" w:rsidRPr="004E0D59" w:rsidRDefault="00305C76" w:rsidP="00C85AC0">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5C972F48" w14:textId="77777777" w:rsidR="00305C76" w:rsidRPr="004E0D59" w:rsidRDefault="00305C76" w:rsidP="00C85AC0">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6.0 (2.7)</w:t>
            </w:r>
          </w:p>
        </w:tc>
        <w:tc>
          <w:tcPr>
            <w:tcW w:w="638" w:type="dxa"/>
            <w:tcBorders>
              <w:top w:val="nil"/>
              <w:left w:val="single" w:sz="4" w:space="0" w:color="auto"/>
              <w:bottom w:val="nil"/>
              <w:right w:val="nil"/>
            </w:tcBorders>
            <w:shd w:val="clear" w:color="auto" w:fill="auto"/>
            <w:noWrap/>
            <w:vAlign w:val="center"/>
            <w:hideMark/>
          </w:tcPr>
          <w:p w14:paraId="2EFDD15F" w14:textId="77777777" w:rsidR="00305C76" w:rsidRPr="004E0D59" w:rsidRDefault="00305C76" w:rsidP="00C85AC0">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5A55F8C9" w14:textId="77777777" w:rsidR="00305C76" w:rsidRPr="004E0D59" w:rsidRDefault="00305C76" w:rsidP="00C85AC0">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5.7 (2.5)</w:t>
            </w:r>
          </w:p>
        </w:tc>
        <w:tc>
          <w:tcPr>
            <w:tcW w:w="638" w:type="dxa"/>
            <w:tcBorders>
              <w:top w:val="nil"/>
              <w:left w:val="single" w:sz="4" w:space="0" w:color="auto"/>
              <w:bottom w:val="nil"/>
              <w:right w:val="nil"/>
            </w:tcBorders>
            <w:shd w:val="clear" w:color="auto" w:fill="auto"/>
            <w:noWrap/>
            <w:vAlign w:val="center"/>
            <w:hideMark/>
          </w:tcPr>
          <w:p w14:paraId="2F36179A" w14:textId="77777777" w:rsidR="00305C76" w:rsidRPr="004E0D59" w:rsidRDefault="00305C76" w:rsidP="00C85AC0">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49344DF4" w14:textId="77777777" w:rsidR="00305C76" w:rsidRPr="004E0D59" w:rsidRDefault="00305C76" w:rsidP="00C85AC0">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5.8 (2.6)</w:t>
            </w:r>
          </w:p>
        </w:tc>
      </w:tr>
      <w:tr w:rsidR="00305C76" w:rsidRPr="004E0D59" w14:paraId="10AAB3CE" w14:textId="77777777" w:rsidTr="00ED2FC2">
        <w:trPr>
          <w:trHeight w:val="300"/>
        </w:trPr>
        <w:tc>
          <w:tcPr>
            <w:tcW w:w="3227" w:type="dxa"/>
            <w:tcBorders>
              <w:top w:val="nil"/>
              <w:left w:val="nil"/>
              <w:bottom w:val="nil"/>
              <w:right w:val="single" w:sz="4" w:space="0" w:color="auto"/>
            </w:tcBorders>
            <w:shd w:val="clear" w:color="auto" w:fill="auto"/>
            <w:noWrap/>
            <w:hideMark/>
          </w:tcPr>
          <w:p w14:paraId="5D8FA225" w14:textId="26C131D8" w:rsidR="00305C76" w:rsidRPr="004E0D59" w:rsidRDefault="00C23936" w:rsidP="00C23936">
            <w:pPr>
              <w:spacing w:after="0" w:line="240" w:lineRule="auto"/>
              <w:ind w:left="180"/>
              <w:rPr>
                <w:rFonts w:ascii="Calibri" w:eastAsia="Times New Roman" w:hAnsi="Calibri" w:cs="Times New Roman"/>
                <w:color w:val="000000"/>
              </w:rPr>
            </w:pPr>
            <w:r>
              <w:rPr>
                <w:rFonts w:ascii="Calibri" w:eastAsia="Times New Roman" w:hAnsi="Calibri" w:cs="Times New Roman"/>
                <w:color w:val="000000"/>
              </w:rPr>
              <w:t>Mean (SD) Negative Food M</w:t>
            </w:r>
            <w:r w:rsidR="00305C76" w:rsidRPr="004E0D59">
              <w:rPr>
                <w:rFonts w:ascii="Calibri" w:eastAsia="Times New Roman" w:hAnsi="Calibri" w:cs="Times New Roman"/>
                <w:color w:val="000000"/>
              </w:rPr>
              <w:t xml:space="preserve">arkers </w:t>
            </w:r>
            <w:r>
              <w:rPr>
                <w:rFonts w:ascii="Calibri" w:eastAsia="Times New Roman" w:hAnsi="Calibri" w:cs="Times New Roman"/>
                <w:color w:val="000000"/>
              </w:rPr>
              <w:t>–</w:t>
            </w:r>
            <w:r w:rsidR="00305C76" w:rsidRPr="004E0D59">
              <w:rPr>
                <w:rFonts w:ascii="Calibri" w:eastAsia="Times New Roman" w:hAnsi="Calibri" w:cs="Times New Roman"/>
                <w:color w:val="000000"/>
              </w:rPr>
              <w:t xml:space="preserve"> Weekday</w:t>
            </w:r>
          </w:p>
        </w:tc>
        <w:tc>
          <w:tcPr>
            <w:tcW w:w="313" w:type="dxa"/>
            <w:tcBorders>
              <w:top w:val="nil"/>
              <w:left w:val="single" w:sz="4" w:space="0" w:color="auto"/>
              <w:bottom w:val="nil"/>
              <w:right w:val="nil"/>
            </w:tcBorders>
            <w:shd w:val="clear" w:color="auto" w:fill="auto"/>
            <w:noWrap/>
            <w:vAlign w:val="center"/>
            <w:hideMark/>
          </w:tcPr>
          <w:p w14:paraId="6A4C4DAA" w14:textId="77777777" w:rsidR="00305C76" w:rsidRPr="004E0D59" w:rsidRDefault="00305C76" w:rsidP="00C85AC0">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0C4C6600" w14:textId="77777777" w:rsidR="00305C76" w:rsidRPr="004E0D59" w:rsidRDefault="00305C76" w:rsidP="00C85AC0">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6.5 (3.7)</w:t>
            </w:r>
          </w:p>
        </w:tc>
        <w:tc>
          <w:tcPr>
            <w:tcW w:w="638" w:type="dxa"/>
            <w:tcBorders>
              <w:top w:val="nil"/>
              <w:left w:val="single" w:sz="4" w:space="0" w:color="auto"/>
              <w:bottom w:val="nil"/>
              <w:right w:val="nil"/>
            </w:tcBorders>
            <w:shd w:val="clear" w:color="auto" w:fill="auto"/>
            <w:noWrap/>
            <w:vAlign w:val="center"/>
            <w:hideMark/>
          </w:tcPr>
          <w:p w14:paraId="69F1CF69" w14:textId="77777777" w:rsidR="00305C76" w:rsidRPr="004E0D59" w:rsidRDefault="00305C76" w:rsidP="00C85AC0">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7CAEDEEF" w14:textId="77777777" w:rsidR="00305C76" w:rsidRPr="004E0D59" w:rsidRDefault="00305C76" w:rsidP="00C85AC0">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6.7 (3.8)</w:t>
            </w:r>
          </w:p>
        </w:tc>
        <w:tc>
          <w:tcPr>
            <w:tcW w:w="638" w:type="dxa"/>
            <w:tcBorders>
              <w:top w:val="nil"/>
              <w:left w:val="single" w:sz="4" w:space="0" w:color="auto"/>
              <w:bottom w:val="nil"/>
              <w:right w:val="nil"/>
            </w:tcBorders>
            <w:shd w:val="clear" w:color="auto" w:fill="auto"/>
            <w:noWrap/>
            <w:vAlign w:val="center"/>
            <w:hideMark/>
          </w:tcPr>
          <w:p w14:paraId="5BAB7753" w14:textId="77777777" w:rsidR="00305C76" w:rsidRPr="004E0D59" w:rsidRDefault="00305C76" w:rsidP="00C85AC0">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5C0D98C5" w14:textId="77777777" w:rsidR="00305C76" w:rsidRPr="004E0D59" w:rsidRDefault="00305C76" w:rsidP="00C85AC0">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6.6 (3.7)</w:t>
            </w:r>
          </w:p>
        </w:tc>
      </w:tr>
      <w:tr w:rsidR="00305C76" w:rsidRPr="004E0D59" w14:paraId="2C5C929D" w14:textId="77777777" w:rsidTr="00ED2FC2">
        <w:trPr>
          <w:trHeight w:val="300"/>
        </w:trPr>
        <w:tc>
          <w:tcPr>
            <w:tcW w:w="3227" w:type="dxa"/>
            <w:tcBorders>
              <w:top w:val="nil"/>
              <w:left w:val="nil"/>
              <w:bottom w:val="nil"/>
              <w:right w:val="single" w:sz="4" w:space="0" w:color="auto"/>
            </w:tcBorders>
            <w:shd w:val="clear" w:color="auto" w:fill="auto"/>
            <w:noWrap/>
            <w:hideMark/>
          </w:tcPr>
          <w:p w14:paraId="7FC0B16F" w14:textId="2AAED324" w:rsidR="00305C76" w:rsidRPr="004E0D59" w:rsidRDefault="00C23936" w:rsidP="00C23936">
            <w:pPr>
              <w:spacing w:after="0" w:line="240" w:lineRule="auto"/>
              <w:ind w:left="180"/>
              <w:rPr>
                <w:rFonts w:ascii="Calibri" w:eastAsia="Times New Roman" w:hAnsi="Calibri" w:cs="Times New Roman"/>
                <w:color w:val="000000"/>
              </w:rPr>
            </w:pPr>
            <w:r>
              <w:rPr>
                <w:rFonts w:ascii="Calibri" w:eastAsia="Times New Roman" w:hAnsi="Calibri" w:cs="Times New Roman"/>
                <w:color w:val="000000"/>
              </w:rPr>
              <w:t>Mean (SD) Negative F</w:t>
            </w:r>
            <w:r w:rsidR="00305C76" w:rsidRPr="004E0D59">
              <w:rPr>
                <w:rFonts w:ascii="Calibri" w:eastAsia="Times New Roman" w:hAnsi="Calibri" w:cs="Times New Roman"/>
                <w:color w:val="000000"/>
              </w:rPr>
              <w:t xml:space="preserve">ood </w:t>
            </w:r>
            <w:r>
              <w:rPr>
                <w:rFonts w:ascii="Calibri" w:eastAsia="Times New Roman" w:hAnsi="Calibri" w:cs="Times New Roman"/>
                <w:color w:val="000000"/>
              </w:rPr>
              <w:t>M</w:t>
            </w:r>
            <w:r w:rsidR="00305C76" w:rsidRPr="004E0D59">
              <w:rPr>
                <w:rFonts w:ascii="Calibri" w:eastAsia="Times New Roman" w:hAnsi="Calibri" w:cs="Times New Roman"/>
                <w:color w:val="000000"/>
              </w:rPr>
              <w:t>arkers - Weekend</w:t>
            </w:r>
          </w:p>
        </w:tc>
        <w:tc>
          <w:tcPr>
            <w:tcW w:w="313" w:type="dxa"/>
            <w:tcBorders>
              <w:top w:val="nil"/>
              <w:left w:val="single" w:sz="4" w:space="0" w:color="auto"/>
              <w:bottom w:val="nil"/>
              <w:right w:val="nil"/>
            </w:tcBorders>
            <w:shd w:val="clear" w:color="auto" w:fill="auto"/>
            <w:noWrap/>
            <w:vAlign w:val="center"/>
            <w:hideMark/>
          </w:tcPr>
          <w:p w14:paraId="1E63FA18" w14:textId="77777777" w:rsidR="00305C76" w:rsidRPr="004E0D59" w:rsidRDefault="00305C76" w:rsidP="00C85AC0">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7C7E2D7A" w14:textId="77777777" w:rsidR="00305C76" w:rsidRPr="004E0D59" w:rsidRDefault="00305C76" w:rsidP="00C85AC0">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7.7 (4.0)</w:t>
            </w:r>
          </w:p>
        </w:tc>
        <w:tc>
          <w:tcPr>
            <w:tcW w:w="638" w:type="dxa"/>
            <w:tcBorders>
              <w:top w:val="nil"/>
              <w:left w:val="single" w:sz="4" w:space="0" w:color="auto"/>
              <w:bottom w:val="nil"/>
              <w:right w:val="nil"/>
            </w:tcBorders>
            <w:shd w:val="clear" w:color="auto" w:fill="auto"/>
            <w:noWrap/>
            <w:vAlign w:val="center"/>
            <w:hideMark/>
          </w:tcPr>
          <w:p w14:paraId="0FA39B75" w14:textId="77777777" w:rsidR="00305C76" w:rsidRPr="004E0D59" w:rsidRDefault="00305C76" w:rsidP="00C85AC0">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128F8DFB" w14:textId="77777777" w:rsidR="00305C76" w:rsidRPr="004E0D59" w:rsidRDefault="00305C76" w:rsidP="00C85AC0">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7.1 (3.6)</w:t>
            </w:r>
          </w:p>
        </w:tc>
        <w:tc>
          <w:tcPr>
            <w:tcW w:w="638" w:type="dxa"/>
            <w:tcBorders>
              <w:top w:val="nil"/>
              <w:left w:val="single" w:sz="4" w:space="0" w:color="auto"/>
              <w:bottom w:val="nil"/>
              <w:right w:val="nil"/>
            </w:tcBorders>
            <w:shd w:val="clear" w:color="auto" w:fill="auto"/>
            <w:noWrap/>
            <w:vAlign w:val="center"/>
            <w:hideMark/>
          </w:tcPr>
          <w:p w14:paraId="28468BAF" w14:textId="77777777" w:rsidR="00305C76" w:rsidRPr="004E0D59" w:rsidRDefault="00305C76" w:rsidP="00C85AC0">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35698693" w14:textId="77777777" w:rsidR="00305C76" w:rsidRPr="004E0D59" w:rsidRDefault="00305C76" w:rsidP="00C85AC0">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7.4 (3.8)</w:t>
            </w:r>
          </w:p>
        </w:tc>
      </w:tr>
      <w:tr w:rsidR="00305C76" w:rsidRPr="004E0D59" w14:paraId="1B6CEC81" w14:textId="77777777" w:rsidTr="00ED2FC2">
        <w:trPr>
          <w:trHeight w:val="300"/>
        </w:trPr>
        <w:tc>
          <w:tcPr>
            <w:tcW w:w="3227" w:type="dxa"/>
            <w:tcBorders>
              <w:top w:val="nil"/>
              <w:left w:val="nil"/>
              <w:bottom w:val="nil"/>
              <w:right w:val="single" w:sz="4" w:space="0" w:color="auto"/>
            </w:tcBorders>
            <w:shd w:val="clear" w:color="auto" w:fill="auto"/>
            <w:noWrap/>
            <w:hideMark/>
          </w:tcPr>
          <w:p w14:paraId="7671695F" w14:textId="32F2B593" w:rsidR="00305C76" w:rsidRPr="004E0D59" w:rsidRDefault="00305C76" w:rsidP="00C23936">
            <w:pPr>
              <w:spacing w:after="0" w:line="240" w:lineRule="auto"/>
              <w:ind w:left="180"/>
              <w:rPr>
                <w:rFonts w:ascii="Calibri" w:eastAsia="Times New Roman" w:hAnsi="Calibri" w:cs="Times New Roman"/>
                <w:color w:val="000000"/>
              </w:rPr>
            </w:pPr>
            <w:r w:rsidRPr="004E0D59">
              <w:rPr>
                <w:rFonts w:ascii="Calibri" w:eastAsia="Times New Roman" w:hAnsi="Calibri" w:cs="Times New Roman"/>
                <w:color w:val="000000"/>
              </w:rPr>
              <w:t>Mean (</w:t>
            </w:r>
            <w:r w:rsidR="00C23936">
              <w:rPr>
                <w:rFonts w:ascii="Calibri" w:eastAsia="Times New Roman" w:hAnsi="Calibri" w:cs="Times New Roman"/>
                <w:color w:val="000000"/>
              </w:rPr>
              <w:t>SD</w:t>
            </w:r>
            <w:r w:rsidRPr="004E0D59">
              <w:rPr>
                <w:rFonts w:ascii="Calibri" w:eastAsia="Times New Roman" w:hAnsi="Calibri" w:cs="Times New Roman"/>
                <w:color w:val="000000"/>
              </w:rPr>
              <w:t xml:space="preserve">) Negative </w:t>
            </w:r>
            <w:r w:rsidR="00C23936">
              <w:rPr>
                <w:rFonts w:ascii="Calibri" w:eastAsia="Times New Roman" w:hAnsi="Calibri" w:cs="Times New Roman"/>
                <w:color w:val="000000"/>
              </w:rPr>
              <w:t>F</w:t>
            </w:r>
            <w:r w:rsidRPr="004E0D59">
              <w:rPr>
                <w:rFonts w:ascii="Calibri" w:eastAsia="Times New Roman" w:hAnsi="Calibri" w:cs="Times New Roman"/>
                <w:color w:val="000000"/>
              </w:rPr>
              <w:t xml:space="preserve">ood </w:t>
            </w:r>
            <w:r w:rsidR="00C23936">
              <w:rPr>
                <w:rFonts w:ascii="Calibri" w:eastAsia="Times New Roman" w:hAnsi="Calibri" w:cs="Times New Roman"/>
                <w:color w:val="000000"/>
              </w:rPr>
              <w:t>M</w:t>
            </w:r>
            <w:r w:rsidRPr="004E0D59">
              <w:rPr>
                <w:rFonts w:ascii="Calibri" w:eastAsia="Times New Roman" w:hAnsi="Calibri" w:cs="Times New Roman"/>
                <w:color w:val="000000"/>
              </w:rPr>
              <w:t>arkers Average</w:t>
            </w:r>
          </w:p>
        </w:tc>
        <w:tc>
          <w:tcPr>
            <w:tcW w:w="313" w:type="dxa"/>
            <w:tcBorders>
              <w:top w:val="nil"/>
              <w:left w:val="single" w:sz="4" w:space="0" w:color="auto"/>
              <w:bottom w:val="nil"/>
              <w:right w:val="nil"/>
            </w:tcBorders>
            <w:shd w:val="clear" w:color="auto" w:fill="auto"/>
            <w:noWrap/>
            <w:vAlign w:val="center"/>
            <w:hideMark/>
          </w:tcPr>
          <w:p w14:paraId="77E467A1" w14:textId="77777777" w:rsidR="00305C76" w:rsidRPr="004E0D59" w:rsidRDefault="00305C76" w:rsidP="00C85AC0">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10689117" w14:textId="77777777" w:rsidR="00305C76" w:rsidRPr="004E0D59" w:rsidRDefault="00305C76" w:rsidP="00C85AC0">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6.8 (3.4)</w:t>
            </w:r>
          </w:p>
        </w:tc>
        <w:tc>
          <w:tcPr>
            <w:tcW w:w="638" w:type="dxa"/>
            <w:tcBorders>
              <w:top w:val="nil"/>
              <w:left w:val="single" w:sz="4" w:space="0" w:color="auto"/>
              <w:bottom w:val="nil"/>
              <w:right w:val="nil"/>
            </w:tcBorders>
            <w:shd w:val="clear" w:color="auto" w:fill="auto"/>
            <w:noWrap/>
            <w:vAlign w:val="center"/>
            <w:hideMark/>
          </w:tcPr>
          <w:p w14:paraId="1692CDBD" w14:textId="77777777" w:rsidR="00305C76" w:rsidRPr="004E0D59" w:rsidRDefault="00305C76" w:rsidP="00C85AC0">
            <w:pPr>
              <w:spacing w:after="0" w:line="240" w:lineRule="auto"/>
              <w:rPr>
                <w:rFonts w:ascii="Calibri" w:eastAsia="Times New Roman" w:hAnsi="Calibri" w:cs="Times New Roman"/>
                <w:color w:val="000000"/>
              </w:rPr>
            </w:pPr>
          </w:p>
        </w:tc>
        <w:tc>
          <w:tcPr>
            <w:tcW w:w="1358" w:type="dxa"/>
            <w:tcBorders>
              <w:top w:val="nil"/>
              <w:left w:val="nil"/>
              <w:bottom w:val="nil"/>
              <w:right w:val="single" w:sz="4" w:space="0" w:color="auto"/>
            </w:tcBorders>
            <w:shd w:val="clear" w:color="auto" w:fill="auto"/>
            <w:noWrap/>
            <w:vAlign w:val="center"/>
            <w:hideMark/>
          </w:tcPr>
          <w:p w14:paraId="18EB8FD9" w14:textId="77777777" w:rsidR="00305C76" w:rsidRPr="004E0D59" w:rsidRDefault="00305C76" w:rsidP="00C85AC0">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6.8 (3.3)</w:t>
            </w:r>
          </w:p>
        </w:tc>
        <w:tc>
          <w:tcPr>
            <w:tcW w:w="638" w:type="dxa"/>
            <w:tcBorders>
              <w:top w:val="nil"/>
              <w:left w:val="single" w:sz="4" w:space="0" w:color="auto"/>
              <w:bottom w:val="nil"/>
            </w:tcBorders>
            <w:shd w:val="clear" w:color="auto" w:fill="auto"/>
            <w:noWrap/>
            <w:vAlign w:val="center"/>
            <w:hideMark/>
          </w:tcPr>
          <w:p w14:paraId="1FFA368D" w14:textId="77777777" w:rsidR="00305C76" w:rsidRPr="004E0D59" w:rsidRDefault="00305C76" w:rsidP="00C85AC0">
            <w:pPr>
              <w:spacing w:after="0" w:line="240" w:lineRule="auto"/>
              <w:ind w:right="-1814"/>
              <w:rPr>
                <w:rFonts w:ascii="Calibri" w:eastAsia="Times New Roman" w:hAnsi="Calibri" w:cs="Times New Roman"/>
                <w:color w:val="000000"/>
              </w:rPr>
            </w:pPr>
          </w:p>
        </w:tc>
        <w:tc>
          <w:tcPr>
            <w:tcW w:w="1358" w:type="dxa"/>
            <w:tcBorders>
              <w:top w:val="nil"/>
              <w:bottom w:val="nil"/>
              <w:right w:val="single" w:sz="4" w:space="0" w:color="auto"/>
            </w:tcBorders>
            <w:shd w:val="clear" w:color="auto" w:fill="auto"/>
            <w:noWrap/>
            <w:vAlign w:val="center"/>
            <w:hideMark/>
          </w:tcPr>
          <w:p w14:paraId="5D0B73F9" w14:textId="77777777" w:rsidR="00305C76" w:rsidRPr="004E0D59" w:rsidRDefault="00305C76" w:rsidP="00C85AC0">
            <w:pPr>
              <w:spacing w:after="0" w:line="240" w:lineRule="auto"/>
              <w:rPr>
                <w:rFonts w:ascii="Calibri" w:eastAsia="Times New Roman" w:hAnsi="Calibri" w:cs="Times New Roman"/>
                <w:color w:val="000000"/>
              </w:rPr>
            </w:pPr>
            <w:r w:rsidRPr="004E0D59">
              <w:rPr>
                <w:rFonts w:ascii="Calibri" w:eastAsia="Times New Roman" w:hAnsi="Calibri" w:cs="Times New Roman"/>
                <w:color w:val="000000"/>
              </w:rPr>
              <w:t>6.8 (3.4)</w:t>
            </w:r>
          </w:p>
        </w:tc>
      </w:tr>
    </w:tbl>
    <w:p w14:paraId="22A69CEA" w14:textId="77777777" w:rsidR="00F00560" w:rsidRDefault="00F00560" w:rsidP="004E0D59">
      <w:pPr>
        <w:spacing w:after="160" w:line="259" w:lineRule="auto"/>
      </w:pPr>
    </w:p>
    <w:p w14:paraId="3B30C9AD" w14:textId="3DBEB4E4" w:rsidR="004E0D59" w:rsidRPr="004E0D59" w:rsidRDefault="004E0D59" w:rsidP="004E0D59">
      <w:pPr>
        <w:spacing w:after="0" w:line="240" w:lineRule="auto"/>
      </w:pPr>
    </w:p>
    <w:p w14:paraId="2C20A0F6" w14:textId="4D3EAB5E" w:rsidR="004E0D59" w:rsidRPr="00C52579" w:rsidRDefault="009B613D" w:rsidP="00D80E90">
      <w:pPr>
        <w:spacing w:after="0" w:line="240" w:lineRule="auto"/>
        <w:rPr>
          <w:rFonts w:eastAsiaTheme="majorEastAsia" w:cs="Times New Roman"/>
          <w:bCs/>
        </w:rPr>
      </w:pPr>
      <w:bookmarkStart w:id="408" w:name="_Toc466639059"/>
      <w:bookmarkStart w:id="409" w:name="_Toc466710090"/>
      <w:bookmarkStart w:id="410" w:name="_Toc466711438"/>
      <w:bookmarkStart w:id="411" w:name="_Toc466712097"/>
      <w:bookmarkStart w:id="412" w:name="_Toc475974365"/>
      <w:r>
        <w:rPr>
          <w:rFonts w:eastAsiaTheme="majorEastAsia" w:cs="Times New Roman"/>
          <w:b/>
          <w:bCs/>
        </w:rPr>
        <w:lastRenderedPageBreak/>
        <w:t xml:space="preserve">3.4 </w:t>
      </w:r>
      <w:r w:rsidR="004E0D59" w:rsidRPr="00C52579">
        <w:rPr>
          <w:rFonts w:eastAsiaTheme="majorEastAsia" w:cs="Times New Roman"/>
          <w:b/>
          <w:bCs/>
        </w:rPr>
        <w:t xml:space="preserve">Primary intention-to-treat analysis of </w:t>
      </w:r>
      <w:r w:rsidR="009D1C7F">
        <w:rPr>
          <w:rFonts w:eastAsiaTheme="majorEastAsia" w:cs="Times New Roman"/>
          <w:b/>
          <w:bCs/>
        </w:rPr>
        <w:t>BMI SDS</w:t>
      </w:r>
      <w:r w:rsidR="004E0D59" w:rsidRPr="00C52579">
        <w:rPr>
          <w:rFonts w:eastAsiaTheme="majorEastAsia" w:cs="Times New Roman"/>
          <w:b/>
          <w:bCs/>
        </w:rPr>
        <w:t xml:space="preserve"> at 24 months</w:t>
      </w:r>
      <w:bookmarkEnd w:id="408"/>
      <w:bookmarkEnd w:id="409"/>
      <w:bookmarkEnd w:id="410"/>
      <w:bookmarkEnd w:id="411"/>
      <w:bookmarkEnd w:id="412"/>
      <w:r w:rsidR="004E0D59" w:rsidRPr="00C52579">
        <w:rPr>
          <w:rFonts w:eastAsiaTheme="majorEastAsia" w:cs="Times New Roman"/>
          <w:b/>
          <w:bCs/>
        </w:rPr>
        <w:t xml:space="preserve"> </w:t>
      </w:r>
    </w:p>
    <w:p w14:paraId="7ACBCFC9" w14:textId="16FCD28D" w:rsidR="004E0D59" w:rsidRPr="00C52579" w:rsidRDefault="004E0D59" w:rsidP="005053FC">
      <w:pPr>
        <w:spacing w:line="360" w:lineRule="auto"/>
        <w:rPr>
          <w:rFonts w:cs="Times New Roman"/>
        </w:rPr>
      </w:pPr>
      <w:r w:rsidRPr="00C52579">
        <w:rPr>
          <w:rFonts w:cs="Times New Roman"/>
        </w:rPr>
        <w:t xml:space="preserve">The unadjusted mean </w:t>
      </w:r>
      <w:r w:rsidR="009D1C7F">
        <w:rPr>
          <w:rFonts w:cs="Times New Roman"/>
        </w:rPr>
        <w:t>BMI SDS</w:t>
      </w:r>
      <w:r w:rsidRPr="00C52579">
        <w:rPr>
          <w:rFonts w:cs="Times New Roman"/>
        </w:rPr>
        <w:t xml:space="preserve"> at 24 months was slightly higher in the intervention group at 0.3</w:t>
      </w:r>
      <w:r w:rsidR="006C472A">
        <w:rPr>
          <w:rFonts w:cs="Times New Roman"/>
        </w:rPr>
        <w:t>5</w:t>
      </w:r>
      <w:r w:rsidRPr="00C52579">
        <w:rPr>
          <w:rFonts w:cs="Times New Roman"/>
        </w:rPr>
        <w:t>, compared to 0.2</w:t>
      </w:r>
      <w:r w:rsidR="006C472A">
        <w:rPr>
          <w:rFonts w:cs="Times New Roman"/>
        </w:rPr>
        <w:t>2</w:t>
      </w:r>
      <w:r w:rsidRPr="00C52579">
        <w:rPr>
          <w:rFonts w:cs="Times New Roman"/>
        </w:rPr>
        <w:t xml:space="preserve"> for the control group, with standard deviations of 1.2</w:t>
      </w:r>
      <w:r w:rsidR="006C472A">
        <w:rPr>
          <w:rFonts w:cs="Times New Roman"/>
        </w:rPr>
        <w:t>5</w:t>
      </w:r>
      <w:r w:rsidRPr="00C52579">
        <w:rPr>
          <w:rFonts w:cs="Times New Roman"/>
        </w:rPr>
        <w:t xml:space="preserve"> and 1.2</w:t>
      </w:r>
      <w:r w:rsidR="006C472A">
        <w:rPr>
          <w:rFonts w:cs="Times New Roman"/>
        </w:rPr>
        <w:t>2</w:t>
      </w:r>
      <w:r w:rsidRPr="00C52579">
        <w:rPr>
          <w:rFonts w:cs="Times New Roman"/>
        </w:rPr>
        <w:t>, respectively (Table</w:t>
      </w:r>
      <w:r w:rsidR="00736DCE">
        <w:rPr>
          <w:rFonts w:cs="Times New Roman"/>
        </w:rPr>
        <w:t xml:space="preserve"> </w:t>
      </w:r>
      <w:r w:rsidR="00D36DF5">
        <w:rPr>
          <w:rFonts w:cs="Times New Roman"/>
        </w:rPr>
        <w:t>8</w:t>
      </w:r>
      <w:r w:rsidRPr="00C52579">
        <w:rPr>
          <w:rFonts w:cs="Times New Roman"/>
        </w:rPr>
        <w:t xml:space="preserve">). The effect of the intervention was estimated allowing for clustering within schools, modelled as a school-centred random effect, and other pre-specified variables.  The results showed no evidence of an intervention effect, with an estimated between-group mean difference (intervention minus control) of -0.02 (95% CI: -0.09, 0.05) (Table </w:t>
      </w:r>
      <w:r w:rsidR="00D36DF5">
        <w:rPr>
          <w:rFonts w:cs="Times New Roman"/>
        </w:rPr>
        <w:t>8</w:t>
      </w:r>
      <w:r w:rsidRPr="00C52579">
        <w:rPr>
          <w:rFonts w:cs="Times New Roman"/>
        </w:rPr>
        <w:t xml:space="preserve">), and estimated intra-class correlation coefficient of </w:t>
      </w:r>
      <w:r w:rsidRPr="00C52579">
        <w:rPr>
          <w:rFonts w:ascii="Calibri" w:eastAsia="Times New Roman" w:hAnsi="Calibri" w:cs="Times New Roman"/>
          <w:color w:val="000000"/>
        </w:rPr>
        <w:t>0.014 (9</w:t>
      </w:r>
      <w:r w:rsidR="006C472A">
        <w:rPr>
          <w:rFonts w:ascii="Calibri" w:eastAsia="Times New Roman" w:hAnsi="Calibri" w:cs="Times New Roman"/>
          <w:color w:val="000000"/>
        </w:rPr>
        <w:t>5</w:t>
      </w:r>
      <w:r w:rsidRPr="00C52579">
        <w:rPr>
          <w:rFonts w:ascii="Calibri" w:eastAsia="Times New Roman" w:hAnsi="Calibri" w:cs="Times New Roman"/>
          <w:color w:val="000000"/>
        </w:rPr>
        <w:t xml:space="preserve">% CI: 0.003, 0.069).  </w:t>
      </w:r>
      <w:r w:rsidRPr="00C52579">
        <w:rPr>
          <w:rFonts w:cs="Times New Roman"/>
        </w:rPr>
        <w:t>Without adjustment for the baseline BMI scores and gender of each child, cohort and the stratification factors</w:t>
      </w:r>
      <w:r w:rsidR="006C472A">
        <w:rPr>
          <w:rFonts w:cs="Times New Roman"/>
        </w:rPr>
        <w:t xml:space="preserve"> but</w:t>
      </w:r>
      <w:r w:rsidRPr="00C52579">
        <w:rPr>
          <w:rFonts w:cs="Times New Roman"/>
        </w:rPr>
        <w:t xml:space="preserve"> after allowing for the school-level clustering, the mean </w:t>
      </w:r>
      <w:r w:rsidR="009D1C7F">
        <w:rPr>
          <w:rFonts w:cs="Times New Roman"/>
        </w:rPr>
        <w:t>BMI SDS</w:t>
      </w:r>
      <w:r w:rsidRPr="00C52579">
        <w:rPr>
          <w:rFonts w:cs="Times New Roman"/>
        </w:rPr>
        <w:t xml:space="preserve"> score was 0.1</w:t>
      </w:r>
      <w:r w:rsidR="00B101D2">
        <w:rPr>
          <w:rFonts w:cs="Times New Roman"/>
        </w:rPr>
        <w:t>1</w:t>
      </w:r>
      <w:r w:rsidR="005F418B">
        <w:rPr>
          <w:rFonts w:cs="Times New Roman"/>
        </w:rPr>
        <w:t xml:space="preserve"> </w:t>
      </w:r>
      <w:r w:rsidRPr="00C52579">
        <w:rPr>
          <w:rFonts w:cs="Times New Roman"/>
        </w:rPr>
        <w:t>(95% CI: -0.11, 0.3</w:t>
      </w:r>
      <w:r w:rsidR="00B101D2">
        <w:rPr>
          <w:rFonts w:cs="Times New Roman"/>
        </w:rPr>
        <w:t>3</w:t>
      </w:r>
      <w:r w:rsidRPr="00C52579">
        <w:rPr>
          <w:rFonts w:cs="Times New Roman"/>
        </w:rPr>
        <w:t xml:space="preserve">) greater in the intervention group than in the control group, but this difference was not statistically significant (Table </w:t>
      </w:r>
      <w:r w:rsidR="00D36DF5">
        <w:rPr>
          <w:rFonts w:cs="Times New Roman"/>
        </w:rPr>
        <w:t>8</w:t>
      </w:r>
      <w:r w:rsidRPr="00C52579">
        <w:rPr>
          <w:rFonts w:cs="Times New Roman"/>
        </w:rPr>
        <w:t xml:space="preserve">). </w:t>
      </w:r>
    </w:p>
    <w:p w14:paraId="77EF4ABA" w14:textId="1727AF27" w:rsidR="004E0D59" w:rsidRPr="00C52579" w:rsidRDefault="004E0D59" w:rsidP="005053FC">
      <w:pPr>
        <w:spacing w:line="360" w:lineRule="auto"/>
        <w:rPr>
          <w:rFonts w:eastAsiaTheme="majorEastAsia" w:cs="Times New Roman"/>
          <w:bCs/>
        </w:rPr>
      </w:pPr>
      <w:r w:rsidRPr="00C52579">
        <w:rPr>
          <w:rFonts w:eastAsiaTheme="majorEastAsia" w:cs="Times New Roman"/>
          <w:b/>
          <w:bCs/>
        </w:rPr>
        <w:t xml:space="preserve">Model diagnostics for the primary analysis of </w:t>
      </w:r>
      <w:r w:rsidR="009D1C7F">
        <w:rPr>
          <w:rFonts w:eastAsiaTheme="majorEastAsia" w:cs="Times New Roman"/>
          <w:b/>
          <w:bCs/>
        </w:rPr>
        <w:t>BMI SDS</w:t>
      </w:r>
      <w:r w:rsidRPr="00C52579">
        <w:rPr>
          <w:rFonts w:eastAsiaTheme="majorEastAsia" w:cs="Times New Roman"/>
          <w:b/>
          <w:bCs/>
        </w:rPr>
        <w:t xml:space="preserve"> at 24 months </w:t>
      </w:r>
    </w:p>
    <w:p w14:paraId="3212B363" w14:textId="1E3D2D70" w:rsidR="004E0D59" w:rsidRPr="00C52579" w:rsidRDefault="004E0D59" w:rsidP="005053FC">
      <w:pPr>
        <w:spacing w:line="360" w:lineRule="auto"/>
      </w:pPr>
      <w:r w:rsidRPr="00C52579">
        <w:t xml:space="preserve">Following the fitting of the full random effects model, plots of the residuals and best linear unbiased predictors for the random school intercept revealed no systematic deviation from the assumed distribution of the observations, required for linear mixed modelling.  Inspection of the observed versus fitted values indicated a good fit within the random variation of the data. Inspection of the </w:t>
      </w:r>
      <w:r w:rsidRPr="006C472A">
        <w:rPr>
          <w:i/>
        </w:rPr>
        <w:t>dfbeta</w:t>
      </w:r>
      <w:r w:rsidRPr="00C52579">
        <w:t xml:space="preserve"> statistics of individuals and schools, did not reveal any </w:t>
      </w:r>
      <w:r w:rsidR="006C472A">
        <w:t xml:space="preserve">extreme of influential values or </w:t>
      </w:r>
      <w:r w:rsidRPr="00C52579">
        <w:t>instability in the estimation of the coefficients, including for the intervention effect.</w:t>
      </w:r>
    </w:p>
    <w:p w14:paraId="1278B383" w14:textId="71BAFF29" w:rsidR="004E0D59" w:rsidRPr="00296D0C" w:rsidRDefault="009B613D" w:rsidP="005053FC">
      <w:pPr>
        <w:keepNext/>
        <w:keepLines/>
        <w:spacing w:before="200" w:after="0" w:line="360" w:lineRule="auto"/>
        <w:outlineLvl w:val="1"/>
        <w:rPr>
          <w:rFonts w:eastAsiaTheme="majorEastAsia" w:cs="Times New Roman"/>
          <w:bCs/>
        </w:rPr>
      </w:pPr>
      <w:bookmarkStart w:id="413" w:name="_Toc466639060"/>
      <w:bookmarkStart w:id="414" w:name="_Toc466710091"/>
      <w:bookmarkStart w:id="415" w:name="_Toc466711439"/>
      <w:bookmarkStart w:id="416" w:name="_Toc466712098"/>
      <w:bookmarkStart w:id="417" w:name="_Toc475974366"/>
      <w:r w:rsidRPr="00296D0C">
        <w:rPr>
          <w:rFonts w:eastAsiaTheme="majorEastAsia" w:cs="Times New Roman"/>
          <w:b/>
          <w:bCs/>
        </w:rPr>
        <w:t xml:space="preserve">3.5 </w:t>
      </w:r>
      <w:r w:rsidR="004E0D59" w:rsidRPr="00296D0C">
        <w:rPr>
          <w:rFonts w:eastAsiaTheme="majorEastAsia" w:cs="Times New Roman"/>
          <w:b/>
          <w:bCs/>
        </w:rPr>
        <w:t xml:space="preserve">Secondary analysis of </w:t>
      </w:r>
      <w:r w:rsidR="009D1C7F" w:rsidRPr="00296D0C">
        <w:rPr>
          <w:rFonts w:eastAsiaTheme="majorEastAsia" w:cs="Times New Roman"/>
          <w:b/>
          <w:bCs/>
        </w:rPr>
        <w:t>BMI SDS</w:t>
      </w:r>
      <w:r w:rsidR="004E0D59" w:rsidRPr="00296D0C">
        <w:rPr>
          <w:rFonts w:eastAsiaTheme="majorEastAsia" w:cs="Times New Roman"/>
          <w:b/>
          <w:bCs/>
        </w:rPr>
        <w:t xml:space="preserve"> at 24 months</w:t>
      </w:r>
      <w:bookmarkEnd w:id="413"/>
      <w:bookmarkEnd w:id="414"/>
      <w:bookmarkEnd w:id="415"/>
      <w:bookmarkEnd w:id="416"/>
      <w:bookmarkEnd w:id="417"/>
    </w:p>
    <w:p w14:paraId="3B8B5433" w14:textId="7C2620B8" w:rsidR="004E0D59" w:rsidRPr="00296D0C" w:rsidRDefault="004E0D59" w:rsidP="005053FC">
      <w:pPr>
        <w:spacing w:after="0" w:line="360" w:lineRule="auto"/>
        <w:rPr>
          <w:rFonts w:cs="Times New Roman"/>
        </w:rPr>
      </w:pPr>
      <w:r w:rsidRPr="00296D0C">
        <w:rPr>
          <w:rFonts w:cs="Times New Roman"/>
        </w:rPr>
        <w:t>All the secondary analyses that were undertaken produced results that were consistent with the primary analysis. An alternative computational approach using generalised estimating equations yielded an adjusted between-group mean difference of -0.0</w:t>
      </w:r>
      <w:r w:rsidR="00B101D2" w:rsidRPr="00296D0C">
        <w:rPr>
          <w:rFonts w:cs="Times New Roman"/>
        </w:rPr>
        <w:t>2</w:t>
      </w:r>
      <w:r w:rsidRPr="00296D0C">
        <w:rPr>
          <w:rFonts w:cs="Times New Roman"/>
        </w:rPr>
        <w:t xml:space="preserve"> (95% CI: -0.08, 0.0</w:t>
      </w:r>
      <w:r w:rsidR="00B101D2" w:rsidRPr="00296D0C">
        <w:rPr>
          <w:rFonts w:cs="Times New Roman"/>
        </w:rPr>
        <w:t>5</w:t>
      </w:r>
      <w:r w:rsidRPr="00296D0C">
        <w:rPr>
          <w:rFonts w:cs="Times New Roman"/>
        </w:rPr>
        <w:t xml:space="preserve">), allowing for clustering around schools and adjusting for the same variables as in the random-effects model in the primary analysis (Table </w:t>
      </w:r>
      <w:r w:rsidR="00D36DF5">
        <w:rPr>
          <w:rFonts w:cs="Times New Roman"/>
        </w:rPr>
        <w:t>8</w:t>
      </w:r>
      <w:r w:rsidRPr="00296D0C">
        <w:rPr>
          <w:rFonts w:cs="Times New Roman"/>
        </w:rPr>
        <w:t xml:space="preserve">). The results from the two approaches are </w:t>
      </w:r>
      <w:r w:rsidR="005F418B" w:rsidRPr="00296D0C">
        <w:rPr>
          <w:rFonts w:cs="Times New Roman"/>
        </w:rPr>
        <w:t xml:space="preserve">thus </w:t>
      </w:r>
      <w:r w:rsidRPr="00296D0C">
        <w:rPr>
          <w:rFonts w:cs="Times New Roman"/>
        </w:rPr>
        <w:t xml:space="preserve">consistent with each other, with no evidence of an intervention effect. </w:t>
      </w:r>
    </w:p>
    <w:p w14:paraId="6B29F76D" w14:textId="77777777" w:rsidR="007D3055" w:rsidRPr="00296D0C" w:rsidRDefault="007D3055" w:rsidP="004E0D59">
      <w:pPr>
        <w:spacing w:after="0" w:line="360" w:lineRule="auto"/>
        <w:rPr>
          <w:rFonts w:cs="Times New Roman"/>
        </w:rPr>
      </w:pPr>
    </w:p>
    <w:p w14:paraId="33896AA5" w14:textId="582E764E" w:rsidR="004E0D59" w:rsidRPr="00296D0C" w:rsidRDefault="004E0D59" w:rsidP="00EB43E4">
      <w:pPr>
        <w:spacing w:after="0" w:line="360" w:lineRule="auto"/>
        <w:rPr>
          <w:rFonts w:cs="Times New Roman"/>
          <w:b/>
        </w:rPr>
      </w:pPr>
      <w:r w:rsidRPr="00296D0C">
        <w:rPr>
          <w:rFonts w:cs="Times New Roman"/>
        </w:rPr>
        <w:t>The sensitivity analysis of the f</w:t>
      </w:r>
      <w:r w:rsidR="005F418B" w:rsidRPr="00296D0C">
        <w:rPr>
          <w:rFonts w:cs="Times New Roman"/>
        </w:rPr>
        <w:t xml:space="preserve">ully adjusted random </w:t>
      </w:r>
      <w:r w:rsidRPr="00296D0C">
        <w:rPr>
          <w:rFonts w:cs="Times New Roman"/>
        </w:rPr>
        <w:t xml:space="preserve">effects model based on the worst-case scenario for missing observations at 24 months, estimated an increase in mean </w:t>
      </w:r>
      <w:r w:rsidR="009D1C7F" w:rsidRPr="00296D0C">
        <w:rPr>
          <w:rFonts w:cs="Times New Roman"/>
        </w:rPr>
        <w:t>BMI SDS</w:t>
      </w:r>
      <w:r w:rsidRPr="00296D0C">
        <w:rPr>
          <w:rFonts w:cs="Times New Roman"/>
        </w:rPr>
        <w:t xml:space="preserve"> of 0.07 (95% CI: -0.0</w:t>
      </w:r>
      <w:r w:rsidR="00B101D2" w:rsidRPr="00296D0C">
        <w:rPr>
          <w:rFonts w:cs="Times New Roman"/>
        </w:rPr>
        <w:t>2</w:t>
      </w:r>
      <w:r w:rsidRPr="00296D0C">
        <w:rPr>
          <w:rFonts w:cs="Times New Roman"/>
        </w:rPr>
        <w:t>, 0.1</w:t>
      </w:r>
      <w:r w:rsidR="00B101D2" w:rsidRPr="00296D0C">
        <w:rPr>
          <w:rFonts w:cs="Times New Roman"/>
        </w:rPr>
        <w:t>6</w:t>
      </w:r>
      <w:r w:rsidRPr="00296D0C">
        <w:rPr>
          <w:rFonts w:cs="Times New Roman"/>
        </w:rPr>
        <w:t xml:space="preserve">) for the intervention group relative to the control group (Table </w:t>
      </w:r>
      <w:r w:rsidR="00D36DF5">
        <w:rPr>
          <w:rFonts w:cs="Times New Roman"/>
        </w:rPr>
        <w:t>8</w:t>
      </w:r>
      <w:r w:rsidRPr="00296D0C">
        <w:rPr>
          <w:rFonts w:cs="Times New Roman"/>
        </w:rPr>
        <w:t>). Based on the best-case scenario for the same missing observations, the direction and size of the effect of the intervention changed to -0.02 (95% CI: -0.0</w:t>
      </w:r>
      <w:r w:rsidR="00B101D2" w:rsidRPr="00296D0C">
        <w:rPr>
          <w:rFonts w:cs="Times New Roman"/>
        </w:rPr>
        <w:t>9</w:t>
      </w:r>
      <w:r w:rsidRPr="00296D0C">
        <w:rPr>
          <w:rFonts w:cs="Times New Roman"/>
        </w:rPr>
        <w:t>, 0.0</w:t>
      </w:r>
      <w:r w:rsidR="00FD343D">
        <w:rPr>
          <w:rFonts w:cs="Times New Roman"/>
        </w:rPr>
        <w:t>5</w:t>
      </w:r>
      <w:r w:rsidRPr="00296D0C">
        <w:rPr>
          <w:rFonts w:cs="Times New Roman"/>
        </w:rPr>
        <w:t xml:space="preserve">). Therefore, neither scenario provided any tentative evidence of a significant or meaningful intervention effect (Table </w:t>
      </w:r>
      <w:r w:rsidR="00D36DF5">
        <w:rPr>
          <w:rFonts w:cs="Times New Roman"/>
        </w:rPr>
        <w:t>8</w:t>
      </w:r>
      <w:r w:rsidRPr="00296D0C">
        <w:rPr>
          <w:rFonts w:cs="Times New Roman"/>
        </w:rPr>
        <w:t>).</w:t>
      </w:r>
      <w:r w:rsidRPr="00296D0C">
        <w:rPr>
          <w:rFonts w:cs="Times New Roman"/>
          <w:b/>
        </w:rPr>
        <w:br w:type="page"/>
      </w:r>
    </w:p>
    <w:p w14:paraId="39CCF9D5" w14:textId="77777777" w:rsidR="004E0D59" w:rsidRPr="00296D0C" w:rsidRDefault="004E0D59" w:rsidP="004E0D59">
      <w:pPr>
        <w:rPr>
          <w:rFonts w:cs="Times New Roman"/>
          <w:b/>
        </w:rPr>
        <w:sectPr w:rsidR="004E0D59" w:rsidRPr="00296D0C" w:rsidSect="00BB6E60">
          <w:footerReference w:type="default" r:id="rId13"/>
          <w:pgSz w:w="11906" w:h="16838"/>
          <w:pgMar w:top="1440" w:right="1440" w:bottom="1440" w:left="1440" w:header="709" w:footer="113" w:gutter="0"/>
          <w:lnNumType w:countBy="1"/>
          <w:cols w:space="708"/>
          <w:docGrid w:linePitch="360"/>
        </w:sectPr>
      </w:pPr>
    </w:p>
    <w:p w14:paraId="07993B92" w14:textId="15800272" w:rsidR="004E0D59" w:rsidRPr="00296D0C" w:rsidRDefault="004E0D59" w:rsidP="004E0D59">
      <w:pPr>
        <w:rPr>
          <w:rFonts w:cs="Times New Roman"/>
          <w:b/>
        </w:rPr>
      </w:pPr>
      <w:r w:rsidRPr="00296D0C">
        <w:rPr>
          <w:rFonts w:cs="Times New Roman"/>
          <w:b/>
        </w:rPr>
        <w:lastRenderedPageBreak/>
        <w:t>T</w:t>
      </w:r>
      <w:r w:rsidR="00C752D5" w:rsidRPr="00296D0C">
        <w:rPr>
          <w:rFonts w:cs="Times New Roman"/>
          <w:b/>
        </w:rPr>
        <w:t>ABLE</w:t>
      </w:r>
      <w:r w:rsidRPr="00296D0C">
        <w:rPr>
          <w:rFonts w:cs="Times New Roman"/>
          <w:b/>
        </w:rPr>
        <w:t xml:space="preserve"> </w:t>
      </w:r>
      <w:r w:rsidR="00D36DF5">
        <w:rPr>
          <w:rFonts w:cs="Times New Roman"/>
          <w:b/>
        </w:rPr>
        <w:t>8</w:t>
      </w:r>
      <w:r w:rsidRPr="00296D0C">
        <w:rPr>
          <w:rFonts w:cs="Times New Roman"/>
          <w:b/>
        </w:rPr>
        <w:t xml:space="preserve"> Primary ITT and sensitivity analyses of the effect of the HeLP intervention on the primary outcome, </w:t>
      </w:r>
      <w:r w:rsidR="009D1C7F" w:rsidRPr="00296D0C">
        <w:rPr>
          <w:rFonts w:cs="Times New Roman"/>
          <w:b/>
        </w:rPr>
        <w:t>BMI SDS</w:t>
      </w:r>
      <w:r w:rsidRPr="00296D0C">
        <w:rPr>
          <w:rFonts w:cs="Times New Roman"/>
          <w:b/>
        </w:rPr>
        <w:t xml:space="preserve">, assessed at 24 months post baseline </w:t>
      </w:r>
    </w:p>
    <w:tbl>
      <w:tblPr>
        <w:tblW w:w="13982" w:type="dxa"/>
        <w:tblLook w:val="04A0" w:firstRow="1" w:lastRow="0" w:firstColumn="1" w:lastColumn="0" w:noHBand="0" w:noVBand="1"/>
      </w:tblPr>
      <w:tblGrid>
        <w:gridCol w:w="2665"/>
        <w:gridCol w:w="551"/>
        <w:gridCol w:w="1330"/>
        <w:gridCol w:w="551"/>
        <w:gridCol w:w="1361"/>
        <w:gridCol w:w="1065"/>
        <w:gridCol w:w="2242"/>
        <w:gridCol w:w="907"/>
        <w:gridCol w:w="2194"/>
        <w:gridCol w:w="1116"/>
      </w:tblGrid>
      <w:tr w:rsidR="004E0D59" w:rsidRPr="00296D0C" w14:paraId="6FA4BA7E" w14:textId="77777777" w:rsidTr="002D0625">
        <w:trPr>
          <w:trHeight w:val="540"/>
        </w:trPr>
        <w:tc>
          <w:tcPr>
            <w:tcW w:w="2665" w:type="dxa"/>
            <w:tcBorders>
              <w:top w:val="nil"/>
              <w:left w:val="nil"/>
              <w:bottom w:val="nil"/>
              <w:right w:val="nil"/>
            </w:tcBorders>
            <w:shd w:val="clear" w:color="000000" w:fill="00CCFF"/>
            <w:vAlign w:val="center"/>
            <w:hideMark/>
          </w:tcPr>
          <w:p w14:paraId="1C8F05B1"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 </w:t>
            </w:r>
          </w:p>
        </w:tc>
        <w:tc>
          <w:tcPr>
            <w:tcW w:w="1881" w:type="dxa"/>
            <w:gridSpan w:val="2"/>
            <w:tcBorders>
              <w:top w:val="nil"/>
              <w:left w:val="nil"/>
              <w:bottom w:val="nil"/>
              <w:right w:val="nil"/>
            </w:tcBorders>
            <w:shd w:val="clear" w:color="000000" w:fill="00CCFF"/>
            <w:vAlign w:val="center"/>
            <w:hideMark/>
          </w:tcPr>
          <w:p w14:paraId="35DA0CE0"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Intervention Group</w:t>
            </w:r>
          </w:p>
        </w:tc>
        <w:tc>
          <w:tcPr>
            <w:tcW w:w="1912" w:type="dxa"/>
            <w:gridSpan w:val="2"/>
            <w:tcBorders>
              <w:top w:val="nil"/>
              <w:left w:val="nil"/>
              <w:bottom w:val="nil"/>
              <w:right w:val="nil"/>
            </w:tcBorders>
            <w:shd w:val="clear" w:color="000000" w:fill="00CCFF"/>
            <w:vAlign w:val="center"/>
            <w:hideMark/>
          </w:tcPr>
          <w:p w14:paraId="092CC259"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Control Group</w:t>
            </w:r>
          </w:p>
        </w:tc>
        <w:tc>
          <w:tcPr>
            <w:tcW w:w="4214" w:type="dxa"/>
            <w:gridSpan w:val="3"/>
            <w:tcBorders>
              <w:top w:val="nil"/>
              <w:left w:val="nil"/>
              <w:bottom w:val="nil"/>
              <w:right w:val="nil"/>
            </w:tcBorders>
            <w:shd w:val="clear" w:color="000000" w:fill="00CCFF"/>
            <w:vAlign w:val="center"/>
            <w:hideMark/>
          </w:tcPr>
          <w:p w14:paraId="15288310"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Adjusted analysis</w:t>
            </w:r>
          </w:p>
        </w:tc>
        <w:tc>
          <w:tcPr>
            <w:tcW w:w="3305" w:type="dxa"/>
            <w:gridSpan w:val="2"/>
            <w:tcBorders>
              <w:top w:val="nil"/>
              <w:left w:val="nil"/>
              <w:bottom w:val="nil"/>
              <w:right w:val="nil"/>
            </w:tcBorders>
            <w:shd w:val="clear" w:color="000000" w:fill="00CCFF"/>
            <w:vAlign w:val="center"/>
            <w:hideMark/>
          </w:tcPr>
          <w:p w14:paraId="4E38AF2A"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Unadjusted analysis</w:t>
            </w:r>
          </w:p>
        </w:tc>
      </w:tr>
      <w:tr w:rsidR="004E0D59" w:rsidRPr="00296D0C" w14:paraId="6B3D7D11" w14:textId="77777777" w:rsidTr="002D0625">
        <w:trPr>
          <w:trHeight w:val="705"/>
        </w:trPr>
        <w:tc>
          <w:tcPr>
            <w:tcW w:w="2665" w:type="dxa"/>
            <w:tcBorders>
              <w:top w:val="nil"/>
              <w:left w:val="nil"/>
              <w:bottom w:val="nil"/>
              <w:right w:val="nil"/>
            </w:tcBorders>
            <w:shd w:val="clear" w:color="000000" w:fill="00CCFF"/>
            <w:vAlign w:val="center"/>
            <w:hideMark/>
          </w:tcPr>
          <w:p w14:paraId="1D93649E"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Estimation method</w:t>
            </w:r>
          </w:p>
        </w:tc>
        <w:tc>
          <w:tcPr>
            <w:tcW w:w="551" w:type="dxa"/>
            <w:tcBorders>
              <w:top w:val="nil"/>
              <w:left w:val="nil"/>
              <w:bottom w:val="nil"/>
              <w:right w:val="nil"/>
            </w:tcBorders>
            <w:shd w:val="clear" w:color="000000" w:fill="00CCFF"/>
            <w:vAlign w:val="center"/>
            <w:hideMark/>
          </w:tcPr>
          <w:p w14:paraId="3A87CA28"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n</w:t>
            </w:r>
          </w:p>
        </w:tc>
        <w:tc>
          <w:tcPr>
            <w:tcW w:w="1330" w:type="dxa"/>
            <w:tcBorders>
              <w:top w:val="nil"/>
              <w:left w:val="nil"/>
              <w:bottom w:val="nil"/>
              <w:right w:val="nil"/>
            </w:tcBorders>
            <w:shd w:val="clear" w:color="000000" w:fill="00CCFF"/>
            <w:vAlign w:val="center"/>
            <w:hideMark/>
          </w:tcPr>
          <w:p w14:paraId="06632252"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 xml:space="preserve">Mean (SD) </w:t>
            </w:r>
          </w:p>
        </w:tc>
        <w:tc>
          <w:tcPr>
            <w:tcW w:w="551" w:type="dxa"/>
            <w:tcBorders>
              <w:top w:val="nil"/>
              <w:left w:val="nil"/>
              <w:bottom w:val="nil"/>
              <w:right w:val="nil"/>
            </w:tcBorders>
            <w:shd w:val="clear" w:color="000000" w:fill="00CCFF"/>
            <w:vAlign w:val="center"/>
            <w:hideMark/>
          </w:tcPr>
          <w:p w14:paraId="242869B3"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n</w:t>
            </w:r>
          </w:p>
        </w:tc>
        <w:tc>
          <w:tcPr>
            <w:tcW w:w="1361" w:type="dxa"/>
            <w:tcBorders>
              <w:top w:val="nil"/>
              <w:left w:val="nil"/>
              <w:bottom w:val="nil"/>
              <w:right w:val="nil"/>
            </w:tcBorders>
            <w:shd w:val="clear" w:color="000000" w:fill="00CCFF"/>
            <w:vAlign w:val="center"/>
            <w:hideMark/>
          </w:tcPr>
          <w:p w14:paraId="3D6BBD90"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 xml:space="preserve">Mean (SD) </w:t>
            </w:r>
          </w:p>
        </w:tc>
        <w:tc>
          <w:tcPr>
            <w:tcW w:w="1065" w:type="dxa"/>
            <w:tcBorders>
              <w:top w:val="nil"/>
              <w:left w:val="nil"/>
              <w:bottom w:val="nil"/>
              <w:right w:val="nil"/>
            </w:tcBorders>
            <w:shd w:val="clear" w:color="000000" w:fill="00CCFF"/>
            <w:vAlign w:val="center"/>
            <w:hideMark/>
          </w:tcPr>
          <w:p w14:paraId="6954065E"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Total n in analysis</w:t>
            </w:r>
          </w:p>
        </w:tc>
        <w:tc>
          <w:tcPr>
            <w:tcW w:w="2242" w:type="dxa"/>
            <w:tcBorders>
              <w:top w:val="nil"/>
              <w:left w:val="nil"/>
              <w:bottom w:val="nil"/>
              <w:right w:val="nil"/>
            </w:tcBorders>
            <w:shd w:val="clear" w:color="000000" w:fill="00CCFF"/>
            <w:vAlign w:val="center"/>
            <w:hideMark/>
          </w:tcPr>
          <w:p w14:paraId="578521CF"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Mean difference  (95% CI)</w:t>
            </w:r>
          </w:p>
        </w:tc>
        <w:tc>
          <w:tcPr>
            <w:tcW w:w="907" w:type="dxa"/>
            <w:tcBorders>
              <w:top w:val="nil"/>
              <w:left w:val="nil"/>
              <w:bottom w:val="nil"/>
              <w:right w:val="nil"/>
            </w:tcBorders>
            <w:shd w:val="clear" w:color="000000" w:fill="00CCFF"/>
            <w:vAlign w:val="center"/>
            <w:hideMark/>
          </w:tcPr>
          <w:p w14:paraId="296EDDFD"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p-value</w:t>
            </w:r>
          </w:p>
        </w:tc>
        <w:tc>
          <w:tcPr>
            <w:tcW w:w="2194" w:type="dxa"/>
            <w:tcBorders>
              <w:top w:val="nil"/>
              <w:left w:val="nil"/>
              <w:bottom w:val="nil"/>
              <w:right w:val="nil"/>
            </w:tcBorders>
            <w:shd w:val="clear" w:color="000000" w:fill="00CCFF"/>
            <w:vAlign w:val="center"/>
            <w:hideMark/>
          </w:tcPr>
          <w:p w14:paraId="1D46F9F2"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Mean difference  (95% CI)</w:t>
            </w:r>
          </w:p>
        </w:tc>
        <w:tc>
          <w:tcPr>
            <w:tcW w:w="1116" w:type="dxa"/>
            <w:tcBorders>
              <w:top w:val="nil"/>
              <w:left w:val="nil"/>
              <w:bottom w:val="nil"/>
              <w:right w:val="nil"/>
            </w:tcBorders>
            <w:shd w:val="clear" w:color="000000" w:fill="00CCFF"/>
            <w:vAlign w:val="center"/>
            <w:hideMark/>
          </w:tcPr>
          <w:p w14:paraId="46EF73E2"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p-value</w:t>
            </w:r>
          </w:p>
        </w:tc>
      </w:tr>
      <w:tr w:rsidR="004E0D59" w:rsidRPr="00296D0C" w14:paraId="13A59ABB" w14:textId="77777777" w:rsidTr="002D0625">
        <w:trPr>
          <w:trHeight w:val="300"/>
        </w:trPr>
        <w:tc>
          <w:tcPr>
            <w:tcW w:w="2665" w:type="dxa"/>
            <w:tcBorders>
              <w:top w:val="nil"/>
              <w:left w:val="nil"/>
              <w:bottom w:val="nil"/>
              <w:right w:val="nil"/>
            </w:tcBorders>
            <w:shd w:val="clear" w:color="auto" w:fill="auto"/>
            <w:noWrap/>
            <w:vAlign w:val="center"/>
            <w:hideMark/>
          </w:tcPr>
          <w:p w14:paraId="30F3D875" w14:textId="77777777" w:rsidR="004E0D59" w:rsidRPr="00296D0C" w:rsidRDefault="004E0D59" w:rsidP="004E0D59">
            <w:pPr>
              <w:spacing w:after="0" w:line="240" w:lineRule="auto"/>
              <w:rPr>
                <w:rFonts w:eastAsia="Times New Roman" w:cs="Times New Roman"/>
                <w:i/>
                <w:color w:val="000000"/>
              </w:rPr>
            </w:pPr>
            <w:r w:rsidRPr="00296D0C">
              <w:rPr>
                <w:rFonts w:eastAsia="Times New Roman" w:cs="Times New Roman"/>
                <w:i/>
                <w:color w:val="000000"/>
              </w:rPr>
              <w:t>Random Effects estimation</w:t>
            </w:r>
          </w:p>
        </w:tc>
        <w:tc>
          <w:tcPr>
            <w:tcW w:w="551" w:type="dxa"/>
            <w:tcBorders>
              <w:top w:val="nil"/>
              <w:left w:val="nil"/>
              <w:bottom w:val="nil"/>
              <w:right w:val="nil"/>
            </w:tcBorders>
            <w:shd w:val="clear" w:color="auto" w:fill="auto"/>
            <w:noWrap/>
            <w:vAlign w:val="center"/>
            <w:hideMark/>
          </w:tcPr>
          <w:p w14:paraId="15C3CDE8" w14:textId="77777777" w:rsidR="004E0D59" w:rsidRPr="00296D0C" w:rsidRDefault="004E0D59" w:rsidP="004E0D59">
            <w:pPr>
              <w:spacing w:after="0" w:line="240" w:lineRule="auto"/>
              <w:rPr>
                <w:rFonts w:eastAsia="Times New Roman" w:cs="Times New Roman"/>
                <w:color w:val="000000"/>
              </w:rPr>
            </w:pPr>
          </w:p>
        </w:tc>
        <w:tc>
          <w:tcPr>
            <w:tcW w:w="1330" w:type="dxa"/>
            <w:tcBorders>
              <w:top w:val="nil"/>
              <w:left w:val="nil"/>
              <w:bottom w:val="nil"/>
              <w:right w:val="nil"/>
            </w:tcBorders>
            <w:shd w:val="clear" w:color="auto" w:fill="auto"/>
            <w:noWrap/>
            <w:vAlign w:val="center"/>
            <w:hideMark/>
          </w:tcPr>
          <w:p w14:paraId="13BF091D" w14:textId="77777777" w:rsidR="004E0D59" w:rsidRPr="00296D0C" w:rsidRDefault="004E0D59" w:rsidP="004E0D59">
            <w:pPr>
              <w:spacing w:after="0" w:line="240" w:lineRule="auto"/>
              <w:rPr>
                <w:rFonts w:eastAsia="Times New Roman" w:cs="Times New Roman"/>
              </w:rPr>
            </w:pPr>
          </w:p>
        </w:tc>
        <w:tc>
          <w:tcPr>
            <w:tcW w:w="551" w:type="dxa"/>
            <w:tcBorders>
              <w:top w:val="nil"/>
              <w:left w:val="nil"/>
              <w:bottom w:val="nil"/>
              <w:right w:val="nil"/>
            </w:tcBorders>
            <w:shd w:val="clear" w:color="auto" w:fill="auto"/>
            <w:noWrap/>
            <w:vAlign w:val="center"/>
            <w:hideMark/>
          </w:tcPr>
          <w:p w14:paraId="22CD4A1F" w14:textId="77777777" w:rsidR="004E0D59" w:rsidRPr="00296D0C" w:rsidRDefault="004E0D59" w:rsidP="004E0D59">
            <w:pPr>
              <w:spacing w:after="0" w:line="240" w:lineRule="auto"/>
              <w:rPr>
                <w:rFonts w:eastAsia="Times New Roman" w:cs="Times New Roman"/>
              </w:rPr>
            </w:pPr>
          </w:p>
        </w:tc>
        <w:tc>
          <w:tcPr>
            <w:tcW w:w="1361" w:type="dxa"/>
            <w:tcBorders>
              <w:top w:val="nil"/>
              <w:left w:val="nil"/>
              <w:bottom w:val="nil"/>
              <w:right w:val="nil"/>
            </w:tcBorders>
            <w:shd w:val="clear" w:color="auto" w:fill="auto"/>
            <w:noWrap/>
            <w:vAlign w:val="center"/>
            <w:hideMark/>
          </w:tcPr>
          <w:p w14:paraId="38A13DA9" w14:textId="77777777" w:rsidR="004E0D59" w:rsidRPr="00296D0C" w:rsidRDefault="004E0D59" w:rsidP="004E0D59">
            <w:pPr>
              <w:spacing w:after="0" w:line="240" w:lineRule="auto"/>
              <w:rPr>
                <w:rFonts w:eastAsia="Times New Roman" w:cs="Times New Roman"/>
              </w:rPr>
            </w:pPr>
          </w:p>
        </w:tc>
        <w:tc>
          <w:tcPr>
            <w:tcW w:w="1065" w:type="dxa"/>
            <w:tcBorders>
              <w:top w:val="nil"/>
              <w:left w:val="nil"/>
              <w:bottom w:val="nil"/>
              <w:right w:val="nil"/>
            </w:tcBorders>
            <w:shd w:val="clear" w:color="auto" w:fill="auto"/>
            <w:noWrap/>
            <w:vAlign w:val="center"/>
            <w:hideMark/>
          </w:tcPr>
          <w:p w14:paraId="1CC7514A" w14:textId="77777777" w:rsidR="004E0D59" w:rsidRPr="00296D0C" w:rsidRDefault="004E0D59" w:rsidP="004E0D59">
            <w:pPr>
              <w:spacing w:after="0" w:line="240" w:lineRule="auto"/>
              <w:jc w:val="center"/>
              <w:rPr>
                <w:rFonts w:eastAsia="Times New Roman" w:cs="Times New Roman"/>
              </w:rPr>
            </w:pPr>
          </w:p>
        </w:tc>
        <w:tc>
          <w:tcPr>
            <w:tcW w:w="2242" w:type="dxa"/>
            <w:tcBorders>
              <w:top w:val="nil"/>
              <w:left w:val="nil"/>
              <w:bottom w:val="nil"/>
              <w:right w:val="nil"/>
            </w:tcBorders>
            <w:shd w:val="clear" w:color="auto" w:fill="auto"/>
            <w:noWrap/>
            <w:vAlign w:val="center"/>
            <w:hideMark/>
          </w:tcPr>
          <w:p w14:paraId="25865602" w14:textId="77777777" w:rsidR="004E0D59" w:rsidRPr="00296D0C" w:rsidRDefault="004E0D59" w:rsidP="004E0D59">
            <w:pPr>
              <w:spacing w:after="0" w:line="240" w:lineRule="auto"/>
              <w:rPr>
                <w:rFonts w:eastAsia="Times New Roman" w:cs="Times New Roman"/>
              </w:rPr>
            </w:pPr>
          </w:p>
        </w:tc>
        <w:tc>
          <w:tcPr>
            <w:tcW w:w="907" w:type="dxa"/>
            <w:tcBorders>
              <w:top w:val="nil"/>
              <w:left w:val="nil"/>
              <w:bottom w:val="nil"/>
              <w:right w:val="nil"/>
            </w:tcBorders>
            <w:shd w:val="clear" w:color="auto" w:fill="auto"/>
            <w:noWrap/>
            <w:vAlign w:val="center"/>
            <w:hideMark/>
          </w:tcPr>
          <w:p w14:paraId="2D9E4133" w14:textId="77777777" w:rsidR="004E0D59" w:rsidRPr="00296D0C" w:rsidRDefault="004E0D59" w:rsidP="004E0D59">
            <w:pPr>
              <w:spacing w:after="0" w:line="240" w:lineRule="auto"/>
              <w:rPr>
                <w:rFonts w:eastAsia="Times New Roman" w:cs="Times New Roman"/>
              </w:rPr>
            </w:pPr>
          </w:p>
        </w:tc>
        <w:tc>
          <w:tcPr>
            <w:tcW w:w="2194" w:type="dxa"/>
            <w:tcBorders>
              <w:top w:val="nil"/>
              <w:left w:val="nil"/>
              <w:bottom w:val="nil"/>
              <w:right w:val="nil"/>
            </w:tcBorders>
            <w:shd w:val="clear" w:color="auto" w:fill="auto"/>
            <w:noWrap/>
            <w:vAlign w:val="center"/>
            <w:hideMark/>
          </w:tcPr>
          <w:p w14:paraId="2B381D64" w14:textId="77777777" w:rsidR="004E0D59" w:rsidRPr="00296D0C" w:rsidRDefault="004E0D59" w:rsidP="004E0D59">
            <w:pPr>
              <w:spacing w:after="0" w:line="240" w:lineRule="auto"/>
              <w:rPr>
                <w:rFonts w:eastAsia="Times New Roman" w:cs="Times New Roman"/>
              </w:rPr>
            </w:pPr>
          </w:p>
        </w:tc>
        <w:tc>
          <w:tcPr>
            <w:tcW w:w="1116" w:type="dxa"/>
            <w:tcBorders>
              <w:top w:val="nil"/>
              <w:left w:val="nil"/>
              <w:bottom w:val="nil"/>
              <w:right w:val="nil"/>
            </w:tcBorders>
            <w:shd w:val="clear" w:color="auto" w:fill="auto"/>
            <w:noWrap/>
            <w:vAlign w:val="center"/>
            <w:hideMark/>
          </w:tcPr>
          <w:p w14:paraId="22CC5355" w14:textId="77777777" w:rsidR="004E0D59" w:rsidRPr="00296D0C" w:rsidRDefault="004E0D59" w:rsidP="004E0D59">
            <w:pPr>
              <w:spacing w:after="0" w:line="240" w:lineRule="auto"/>
              <w:rPr>
                <w:rFonts w:eastAsia="Times New Roman" w:cs="Times New Roman"/>
              </w:rPr>
            </w:pPr>
          </w:p>
        </w:tc>
      </w:tr>
      <w:tr w:rsidR="004E0D59" w:rsidRPr="00296D0C" w14:paraId="7997DFB1" w14:textId="77777777" w:rsidTr="002D0625">
        <w:trPr>
          <w:trHeight w:val="600"/>
        </w:trPr>
        <w:tc>
          <w:tcPr>
            <w:tcW w:w="2665" w:type="dxa"/>
            <w:tcBorders>
              <w:top w:val="nil"/>
              <w:left w:val="nil"/>
              <w:bottom w:val="nil"/>
              <w:right w:val="nil"/>
            </w:tcBorders>
            <w:shd w:val="clear" w:color="auto" w:fill="auto"/>
            <w:noWrap/>
            <w:vAlign w:val="center"/>
            <w:hideMark/>
          </w:tcPr>
          <w:p w14:paraId="532DA9E9" w14:textId="77777777" w:rsidR="004E0D59" w:rsidRPr="00296D0C" w:rsidRDefault="004E0D59" w:rsidP="004E0D59">
            <w:pPr>
              <w:spacing w:after="0" w:line="240" w:lineRule="auto"/>
              <w:rPr>
                <w:rFonts w:eastAsia="Times New Roman" w:cs="Times New Roman"/>
                <w:color w:val="000000"/>
              </w:rPr>
            </w:pPr>
            <w:r w:rsidRPr="00296D0C">
              <w:rPr>
                <w:rFonts w:eastAsia="Times New Roman" w:cs="Times New Roman"/>
                <w:color w:val="000000"/>
              </w:rPr>
              <w:t>Complete data</w:t>
            </w:r>
          </w:p>
        </w:tc>
        <w:tc>
          <w:tcPr>
            <w:tcW w:w="551" w:type="dxa"/>
            <w:tcBorders>
              <w:top w:val="nil"/>
              <w:left w:val="nil"/>
              <w:bottom w:val="nil"/>
              <w:right w:val="nil"/>
            </w:tcBorders>
            <w:shd w:val="clear" w:color="auto" w:fill="auto"/>
            <w:noWrap/>
            <w:vAlign w:val="center"/>
            <w:hideMark/>
          </w:tcPr>
          <w:p w14:paraId="19DC2F68"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630</w:t>
            </w:r>
          </w:p>
        </w:tc>
        <w:tc>
          <w:tcPr>
            <w:tcW w:w="1330" w:type="dxa"/>
            <w:tcBorders>
              <w:top w:val="nil"/>
              <w:left w:val="nil"/>
              <w:bottom w:val="nil"/>
              <w:right w:val="nil"/>
            </w:tcBorders>
            <w:shd w:val="clear" w:color="auto" w:fill="auto"/>
            <w:vAlign w:val="center"/>
            <w:hideMark/>
          </w:tcPr>
          <w:p w14:paraId="2F136181" w14:textId="77777777" w:rsidR="00B101D2" w:rsidRPr="00296D0C" w:rsidRDefault="004E0D59" w:rsidP="00B101D2">
            <w:pPr>
              <w:spacing w:after="0" w:line="240" w:lineRule="auto"/>
              <w:jc w:val="center"/>
              <w:rPr>
                <w:rFonts w:eastAsia="Times New Roman" w:cs="Times New Roman"/>
                <w:color w:val="000000"/>
              </w:rPr>
            </w:pPr>
            <w:r w:rsidRPr="00296D0C">
              <w:rPr>
                <w:rFonts w:eastAsia="Times New Roman" w:cs="Times New Roman"/>
                <w:color w:val="000000"/>
              </w:rPr>
              <w:t>0.3</w:t>
            </w:r>
            <w:r w:rsidR="00B101D2" w:rsidRPr="00296D0C">
              <w:rPr>
                <w:rFonts w:eastAsia="Times New Roman" w:cs="Times New Roman"/>
                <w:color w:val="000000"/>
              </w:rPr>
              <w:t>5</w:t>
            </w:r>
            <w:r w:rsidRPr="00296D0C">
              <w:rPr>
                <w:rFonts w:eastAsia="Times New Roman" w:cs="Times New Roman"/>
                <w:color w:val="000000"/>
              </w:rPr>
              <w:t xml:space="preserve"> </w:t>
            </w:r>
          </w:p>
          <w:p w14:paraId="15905899" w14:textId="77777777" w:rsidR="004E0D59" w:rsidRPr="00296D0C" w:rsidRDefault="004E0D59" w:rsidP="00B101D2">
            <w:pPr>
              <w:spacing w:after="0" w:line="240" w:lineRule="auto"/>
              <w:jc w:val="center"/>
              <w:rPr>
                <w:rFonts w:eastAsia="Times New Roman" w:cs="Times New Roman"/>
                <w:color w:val="000000"/>
              </w:rPr>
            </w:pPr>
            <w:r w:rsidRPr="00296D0C">
              <w:rPr>
                <w:rFonts w:eastAsia="Times New Roman" w:cs="Times New Roman"/>
                <w:color w:val="000000"/>
              </w:rPr>
              <w:t>(1.2</w:t>
            </w:r>
            <w:r w:rsidR="00B101D2" w:rsidRPr="00296D0C">
              <w:rPr>
                <w:rFonts w:eastAsia="Times New Roman" w:cs="Times New Roman"/>
                <w:color w:val="000000"/>
              </w:rPr>
              <w:t>5</w:t>
            </w:r>
            <w:r w:rsidRPr="00296D0C">
              <w:rPr>
                <w:rFonts w:eastAsia="Times New Roman" w:cs="Times New Roman"/>
                <w:color w:val="000000"/>
              </w:rPr>
              <w:t>)</w:t>
            </w:r>
          </w:p>
        </w:tc>
        <w:tc>
          <w:tcPr>
            <w:tcW w:w="551" w:type="dxa"/>
            <w:tcBorders>
              <w:top w:val="nil"/>
              <w:left w:val="nil"/>
              <w:bottom w:val="nil"/>
              <w:right w:val="nil"/>
            </w:tcBorders>
            <w:shd w:val="clear" w:color="auto" w:fill="auto"/>
            <w:noWrap/>
            <w:vAlign w:val="center"/>
            <w:hideMark/>
          </w:tcPr>
          <w:p w14:paraId="5DA3AB0A"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620</w:t>
            </w:r>
          </w:p>
        </w:tc>
        <w:tc>
          <w:tcPr>
            <w:tcW w:w="1361" w:type="dxa"/>
            <w:tcBorders>
              <w:top w:val="nil"/>
              <w:left w:val="nil"/>
              <w:bottom w:val="nil"/>
              <w:right w:val="nil"/>
            </w:tcBorders>
            <w:shd w:val="clear" w:color="auto" w:fill="auto"/>
            <w:vAlign w:val="center"/>
            <w:hideMark/>
          </w:tcPr>
          <w:p w14:paraId="6AE58715" w14:textId="77777777" w:rsidR="00B101D2" w:rsidRPr="00296D0C" w:rsidRDefault="004E0D59" w:rsidP="00B101D2">
            <w:pPr>
              <w:spacing w:after="0" w:line="240" w:lineRule="auto"/>
              <w:jc w:val="center"/>
              <w:rPr>
                <w:rFonts w:eastAsia="Times New Roman" w:cs="Times New Roman"/>
                <w:color w:val="000000"/>
              </w:rPr>
            </w:pPr>
            <w:r w:rsidRPr="00296D0C">
              <w:rPr>
                <w:rFonts w:eastAsia="Times New Roman" w:cs="Times New Roman"/>
                <w:color w:val="000000"/>
              </w:rPr>
              <w:t>0.2</w:t>
            </w:r>
            <w:r w:rsidR="00B101D2" w:rsidRPr="00296D0C">
              <w:rPr>
                <w:rFonts w:eastAsia="Times New Roman" w:cs="Times New Roman"/>
                <w:color w:val="000000"/>
              </w:rPr>
              <w:t>2</w:t>
            </w:r>
          </w:p>
          <w:p w14:paraId="027C126A" w14:textId="77777777" w:rsidR="004E0D59" w:rsidRPr="00296D0C" w:rsidRDefault="004E0D59" w:rsidP="00B101D2">
            <w:pPr>
              <w:spacing w:after="0" w:line="240" w:lineRule="auto"/>
              <w:jc w:val="center"/>
              <w:rPr>
                <w:rFonts w:eastAsia="Times New Roman" w:cs="Times New Roman"/>
                <w:color w:val="000000"/>
              </w:rPr>
            </w:pPr>
            <w:r w:rsidRPr="00296D0C">
              <w:rPr>
                <w:rFonts w:eastAsia="Times New Roman" w:cs="Times New Roman"/>
                <w:color w:val="000000"/>
              </w:rPr>
              <w:t xml:space="preserve"> (1.2</w:t>
            </w:r>
            <w:r w:rsidR="00B101D2" w:rsidRPr="00296D0C">
              <w:rPr>
                <w:rFonts w:eastAsia="Times New Roman" w:cs="Times New Roman"/>
                <w:color w:val="000000"/>
              </w:rPr>
              <w:t>2</w:t>
            </w:r>
            <w:r w:rsidRPr="00296D0C">
              <w:rPr>
                <w:rFonts w:eastAsia="Times New Roman" w:cs="Times New Roman"/>
                <w:color w:val="000000"/>
              </w:rPr>
              <w:t>)</w:t>
            </w:r>
          </w:p>
        </w:tc>
        <w:tc>
          <w:tcPr>
            <w:tcW w:w="1065" w:type="dxa"/>
            <w:tcBorders>
              <w:top w:val="nil"/>
              <w:left w:val="nil"/>
              <w:bottom w:val="nil"/>
              <w:right w:val="nil"/>
            </w:tcBorders>
            <w:shd w:val="clear" w:color="auto" w:fill="auto"/>
            <w:noWrap/>
            <w:vAlign w:val="center"/>
            <w:hideMark/>
          </w:tcPr>
          <w:p w14:paraId="6CDB21A1"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1244</w:t>
            </w:r>
          </w:p>
        </w:tc>
        <w:tc>
          <w:tcPr>
            <w:tcW w:w="2242" w:type="dxa"/>
            <w:tcBorders>
              <w:top w:val="nil"/>
              <w:left w:val="nil"/>
              <w:bottom w:val="nil"/>
              <w:right w:val="nil"/>
            </w:tcBorders>
            <w:shd w:val="clear" w:color="auto" w:fill="auto"/>
            <w:noWrap/>
            <w:vAlign w:val="center"/>
            <w:hideMark/>
          </w:tcPr>
          <w:p w14:paraId="2DA61561" w14:textId="097D6242" w:rsidR="004E0D59" w:rsidRPr="00296D0C" w:rsidRDefault="004E0D59" w:rsidP="00FD343D">
            <w:pPr>
              <w:spacing w:after="0" w:line="240" w:lineRule="auto"/>
              <w:jc w:val="center"/>
              <w:rPr>
                <w:rFonts w:eastAsia="Times New Roman" w:cs="Times New Roman"/>
                <w:color w:val="000000"/>
              </w:rPr>
            </w:pPr>
            <w:r w:rsidRPr="00296D0C">
              <w:rPr>
                <w:rFonts w:eastAsia="Times New Roman" w:cs="Times New Roman"/>
                <w:color w:val="000000"/>
              </w:rPr>
              <w:t>-0.02 (-0.</w:t>
            </w:r>
            <w:r w:rsidR="006E5729" w:rsidRPr="00296D0C">
              <w:rPr>
                <w:rFonts w:eastAsia="Times New Roman" w:cs="Times New Roman"/>
                <w:color w:val="000000"/>
              </w:rPr>
              <w:t>0</w:t>
            </w:r>
            <w:r w:rsidR="00FD343D">
              <w:rPr>
                <w:rFonts w:eastAsia="Times New Roman" w:cs="Times New Roman"/>
                <w:color w:val="000000"/>
              </w:rPr>
              <w:t>9</w:t>
            </w:r>
            <w:r w:rsidRPr="00296D0C">
              <w:rPr>
                <w:rFonts w:eastAsia="Times New Roman" w:cs="Times New Roman"/>
                <w:color w:val="000000"/>
              </w:rPr>
              <w:t>, 0.05)</w:t>
            </w:r>
          </w:p>
        </w:tc>
        <w:tc>
          <w:tcPr>
            <w:tcW w:w="907" w:type="dxa"/>
            <w:tcBorders>
              <w:top w:val="nil"/>
              <w:left w:val="nil"/>
              <w:bottom w:val="nil"/>
              <w:right w:val="nil"/>
            </w:tcBorders>
            <w:shd w:val="clear" w:color="auto" w:fill="auto"/>
            <w:noWrap/>
            <w:vAlign w:val="center"/>
            <w:hideMark/>
          </w:tcPr>
          <w:p w14:paraId="578EE668"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0.567</w:t>
            </w:r>
          </w:p>
        </w:tc>
        <w:tc>
          <w:tcPr>
            <w:tcW w:w="2194" w:type="dxa"/>
            <w:tcBorders>
              <w:top w:val="nil"/>
              <w:left w:val="nil"/>
              <w:bottom w:val="nil"/>
              <w:right w:val="nil"/>
            </w:tcBorders>
            <w:shd w:val="clear" w:color="auto" w:fill="auto"/>
            <w:noWrap/>
            <w:vAlign w:val="center"/>
            <w:hideMark/>
          </w:tcPr>
          <w:p w14:paraId="2029F827" w14:textId="77777777" w:rsidR="004E0D59" w:rsidRPr="00296D0C" w:rsidRDefault="004E0D59" w:rsidP="00B101D2">
            <w:pPr>
              <w:spacing w:after="0" w:line="240" w:lineRule="auto"/>
              <w:jc w:val="center"/>
              <w:rPr>
                <w:rFonts w:eastAsia="Times New Roman" w:cs="Times New Roman"/>
                <w:color w:val="000000"/>
              </w:rPr>
            </w:pPr>
            <w:r w:rsidRPr="00296D0C">
              <w:rPr>
                <w:rFonts w:eastAsia="Times New Roman" w:cs="Times New Roman"/>
                <w:color w:val="000000"/>
              </w:rPr>
              <w:t>0.1</w:t>
            </w:r>
            <w:r w:rsidR="00B101D2" w:rsidRPr="00296D0C">
              <w:rPr>
                <w:rFonts w:eastAsia="Times New Roman" w:cs="Times New Roman"/>
                <w:color w:val="000000"/>
              </w:rPr>
              <w:t>1</w:t>
            </w:r>
            <w:r w:rsidRPr="00296D0C">
              <w:rPr>
                <w:rFonts w:eastAsia="Times New Roman" w:cs="Times New Roman"/>
                <w:color w:val="000000"/>
              </w:rPr>
              <w:t xml:space="preserve"> (-0.11, 0.3</w:t>
            </w:r>
            <w:r w:rsidR="00B101D2" w:rsidRPr="00296D0C">
              <w:rPr>
                <w:rFonts w:eastAsia="Times New Roman" w:cs="Times New Roman"/>
                <w:color w:val="000000"/>
              </w:rPr>
              <w:t>3</w:t>
            </w:r>
            <w:r w:rsidRPr="00296D0C">
              <w:rPr>
                <w:rFonts w:eastAsia="Times New Roman" w:cs="Times New Roman"/>
                <w:color w:val="000000"/>
              </w:rPr>
              <w:t>)</w:t>
            </w:r>
          </w:p>
        </w:tc>
        <w:tc>
          <w:tcPr>
            <w:tcW w:w="1116" w:type="dxa"/>
            <w:tcBorders>
              <w:top w:val="nil"/>
              <w:left w:val="nil"/>
              <w:bottom w:val="nil"/>
              <w:right w:val="nil"/>
            </w:tcBorders>
            <w:shd w:val="clear" w:color="auto" w:fill="auto"/>
            <w:noWrap/>
            <w:vAlign w:val="center"/>
            <w:hideMark/>
          </w:tcPr>
          <w:p w14:paraId="0521B7E1"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0.332</w:t>
            </w:r>
          </w:p>
        </w:tc>
      </w:tr>
      <w:tr w:rsidR="004E0D59" w:rsidRPr="00296D0C" w14:paraId="33E91309" w14:textId="77777777" w:rsidTr="002D0625">
        <w:trPr>
          <w:trHeight w:val="300"/>
        </w:trPr>
        <w:tc>
          <w:tcPr>
            <w:tcW w:w="2665" w:type="dxa"/>
            <w:tcBorders>
              <w:top w:val="nil"/>
              <w:left w:val="nil"/>
              <w:bottom w:val="nil"/>
              <w:right w:val="nil"/>
            </w:tcBorders>
            <w:shd w:val="clear" w:color="auto" w:fill="auto"/>
            <w:noWrap/>
            <w:vAlign w:val="center"/>
            <w:hideMark/>
          </w:tcPr>
          <w:p w14:paraId="526D88E7" w14:textId="77777777" w:rsidR="004E0D59" w:rsidRPr="00296D0C" w:rsidRDefault="004E0D59" w:rsidP="004E0D59">
            <w:pPr>
              <w:spacing w:after="0" w:line="240" w:lineRule="auto"/>
              <w:rPr>
                <w:rFonts w:eastAsia="Times New Roman" w:cs="Times New Roman"/>
                <w:color w:val="000000"/>
              </w:rPr>
            </w:pPr>
            <w:r w:rsidRPr="00296D0C">
              <w:rPr>
                <w:rFonts w:eastAsia="Times New Roman" w:cs="Times New Roman"/>
                <w:color w:val="000000"/>
              </w:rPr>
              <w:t>Worst-case imputation</w:t>
            </w:r>
            <w:r w:rsidRPr="00296D0C">
              <w:rPr>
                <w:rFonts w:eastAsia="Times New Roman" w:cs="Times New Roman"/>
                <w:color w:val="000000"/>
                <w:vertAlign w:val="superscript"/>
              </w:rPr>
              <w:t>a</w:t>
            </w:r>
          </w:p>
        </w:tc>
        <w:tc>
          <w:tcPr>
            <w:tcW w:w="551" w:type="dxa"/>
            <w:tcBorders>
              <w:top w:val="nil"/>
              <w:left w:val="nil"/>
              <w:bottom w:val="nil"/>
              <w:right w:val="nil"/>
            </w:tcBorders>
            <w:shd w:val="clear" w:color="auto" w:fill="auto"/>
            <w:noWrap/>
            <w:vAlign w:val="center"/>
            <w:hideMark/>
          </w:tcPr>
          <w:p w14:paraId="4F29ECA5"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671</w:t>
            </w:r>
          </w:p>
        </w:tc>
        <w:tc>
          <w:tcPr>
            <w:tcW w:w="1330" w:type="dxa"/>
            <w:tcBorders>
              <w:top w:val="nil"/>
              <w:left w:val="nil"/>
              <w:bottom w:val="nil"/>
              <w:right w:val="nil"/>
            </w:tcBorders>
            <w:shd w:val="clear" w:color="auto" w:fill="auto"/>
            <w:noWrap/>
            <w:vAlign w:val="center"/>
            <w:hideMark/>
          </w:tcPr>
          <w:p w14:paraId="166850E8" w14:textId="77777777" w:rsidR="00B101D2" w:rsidRPr="00296D0C" w:rsidRDefault="004E0D59" w:rsidP="00B101D2">
            <w:pPr>
              <w:spacing w:after="0" w:line="240" w:lineRule="auto"/>
              <w:jc w:val="center"/>
              <w:rPr>
                <w:rFonts w:eastAsia="Times New Roman" w:cs="Times New Roman"/>
                <w:color w:val="000000"/>
              </w:rPr>
            </w:pPr>
            <w:r w:rsidRPr="00296D0C">
              <w:rPr>
                <w:rFonts w:eastAsia="Times New Roman" w:cs="Times New Roman"/>
                <w:color w:val="000000"/>
              </w:rPr>
              <w:t>0.43</w:t>
            </w:r>
          </w:p>
          <w:p w14:paraId="3AF49B64" w14:textId="77777777" w:rsidR="004E0D59" w:rsidRPr="00296D0C" w:rsidRDefault="004E0D59" w:rsidP="00B101D2">
            <w:pPr>
              <w:spacing w:after="0" w:line="240" w:lineRule="auto"/>
              <w:jc w:val="center"/>
              <w:rPr>
                <w:rFonts w:eastAsia="Times New Roman" w:cs="Times New Roman"/>
                <w:color w:val="000000"/>
              </w:rPr>
            </w:pPr>
            <w:r w:rsidRPr="00296D0C">
              <w:rPr>
                <w:rFonts w:eastAsia="Times New Roman" w:cs="Times New Roman"/>
                <w:color w:val="000000"/>
              </w:rPr>
              <w:t xml:space="preserve"> (1.25)</w:t>
            </w:r>
          </w:p>
        </w:tc>
        <w:tc>
          <w:tcPr>
            <w:tcW w:w="551" w:type="dxa"/>
            <w:tcBorders>
              <w:top w:val="nil"/>
              <w:left w:val="nil"/>
              <w:bottom w:val="nil"/>
              <w:right w:val="nil"/>
            </w:tcBorders>
            <w:shd w:val="clear" w:color="auto" w:fill="auto"/>
            <w:noWrap/>
            <w:vAlign w:val="center"/>
            <w:hideMark/>
          </w:tcPr>
          <w:p w14:paraId="54FA0D44"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647</w:t>
            </w:r>
          </w:p>
        </w:tc>
        <w:tc>
          <w:tcPr>
            <w:tcW w:w="1361" w:type="dxa"/>
            <w:tcBorders>
              <w:top w:val="nil"/>
              <w:left w:val="nil"/>
              <w:bottom w:val="nil"/>
              <w:right w:val="nil"/>
            </w:tcBorders>
            <w:shd w:val="clear" w:color="auto" w:fill="auto"/>
            <w:noWrap/>
            <w:vAlign w:val="center"/>
            <w:hideMark/>
          </w:tcPr>
          <w:p w14:paraId="17DBBD8D" w14:textId="77777777" w:rsidR="00B101D2" w:rsidRPr="00296D0C" w:rsidRDefault="004E0D59" w:rsidP="00B101D2">
            <w:pPr>
              <w:spacing w:after="0" w:line="240" w:lineRule="auto"/>
              <w:jc w:val="center"/>
              <w:rPr>
                <w:rFonts w:eastAsia="Times New Roman" w:cs="Times New Roman"/>
                <w:color w:val="000000"/>
              </w:rPr>
            </w:pPr>
            <w:r w:rsidRPr="00296D0C">
              <w:rPr>
                <w:rFonts w:eastAsia="Times New Roman" w:cs="Times New Roman"/>
                <w:color w:val="000000"/>
              </w:rPr>
              <w:t>0.2</w:t>
            </w:r>
            <w:r w:rsidR="00B101D2" w:rsidRPr="00296D0C">
              <w:rPr>
                <w:rFonts w:eastAsia="Times New Roman" w:cs="Times New Roman"/>
                <w:color w:val="000000"/>
              </w:rPr>
              <w:t>3</w:t>
            </w:r>
          </w:p>
          <w:p w14:paraId="64038783" w14:textId="77777777" w:rsidR="004E0D59" w:rsidRPr="00296D0C" w:rsidRDefault="004E0D59" w:rsidP="00B101D2">
            <w:pPr>
              <w:spacing w:after="0" w:line="240" w:lineRule="auto"/>
              <w:jc w:val="center"/>
              <w:rPr>
                <w:rFonts w:eastAsia="Times New Roman" w:cs="Times New Roman"/>
                <w:color w:val="000000"/>
              </w:rPr>
            </w:pPr>
            <w:r w:rsidRPr="00296D0C">
              <w:rPr>
                <w:rFonts w:eastAsia="Times New Roman" w:cs="Times New Roman"/>
                <w:color w:val="000000"/>
              </w:rPr>
              <w:t xml:space="preserve"> (1.2</w:t>
            </w:r>
            <w:r w:rsidR="00B101D2" w:rsidRPr="00296D0C">
              <w:rPr>
                <w:rFonts w:eastAsia="Times New Roman" w:cs="Times New Roman"/>
                <w:color w:val="000000"/>
              </w:rPr>
              <w:t>3</w:t>
            </w:r>
            <w:r w:rsidRPr="00296D0C">
              <w:rPr>
                <w:rFonts w:eastAsia="Times New Roman" w:cs="Times New Roman"/>
                <w:color w:val="000000"/>
              </w:rPr>
              <w:t>)</w:t>
            </w:r>
          </w:p>
        </w:tc>
        <w:tc>
          <w:tcPr>
            <w:tcW w:w="1065" w:type="dxa"/>
            <w:tcBorders>
              <w:top w:val="nil"/>
              <w:left w:val="nil"/>
              <w:bottom w:val="nil"/>
              <w:right w:val="nil"/>
            </w:tcBorders>
            <w:shd w:val="clear" w:color="auto" w:fill="auto"/>
            <w:noWrap/>
            <w:vAlign w:val="center"/>
            <w:hideMark/>
          </w:tcPr>
          <w:p w14:paraId="76729CC1"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1312</w:t>
            </w:r>
          </w:p>
        </w:tc>
        <w:tc>
          <w:tcPr>
            <w:tcW w:w="2242" w:type="dxa"/>
            <w:tcBorders>
              <w:top w:val="nil"/>
              <w:left w:val="nil"/>
              <w:bottom w:val="nil"/>
              <w:right w:val="nil"/>
            </w:tcBorders>
            <w:shd w:val="clear" w:color="auto" w:fill="auto"/>
            <w:noWrap/>
            <w:vAlign w:val="center"/>
            <w:hideMark/>
          </w:tcPr>
          <w:p w14:paraId="25F49518" w14:textId="77777777" w:rsidR="004E0D59" w:rsidRPr="00296D0C" w:rsidRDefault="004E0D59" w:rsidP="00B101D2">
            <w:pPr>
              <w:spacing w:after="0" w:line="240" w:lineRule="auto"/>
              <w:jc w:val="center"/>
              <w:rPr>
                <w:rFonts w:eastAsia="Times New Roman" w:cs="Times New Roman"/>
                <w:color w:val="000000"/>
              </w:rPr>
            </w:pPr>
            <w:r w:rsidRPr="00296D0C">
              <w:rPr>
                <w:rFonts w:eastAsia="Times New Roman" w:cs="Times New Roman"/>
                <w:color w:val="000000"/>
              </w:rPr>
              <w:t>0.07 (-0.02, 0.16)</w:t>
            </w:r>
          </w:p>
        </w:tc>
        <w:tc>
          <w:tcPr>
            <w:tcW w:w="907" w:type="dxa"/>
            <w:tcBorders>
              <w:top w:val="nil"/>
              <w:left w:val="nil"/>
              <w:bottom w:val="nil"/>
              <w:right w:val="nil"/>
            </w:tcBorders>
            <w:shd w:val="clear" w:color="auto" w:fill="auto"/>
            <w:noWrap/>
            <w:vAlign w:val="center"/>
            <w:hideMark/>
          </w:tcPr>
          <w:p w14:paraId="330892A9"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0.129</w:t>
            </w:r>
          </w:p>
        </w:tc>
        <w:tc>
          <w:tcPr>
            <w:tcW w:w="2194" w:type="dxa"/>
            <w:tcBorders>
              <w:top w:val="nil"/>
              <w:left w:val="nil"/>
              <w:bottom w:val="nil"/>
              <w:right w:val="nil"/>
            </w:tcBorders>
            <w:shd w:val="clear" w:color="auto" w:fill="auto"/>
            <w:noWrap/>
            <w:vAlign w:val="center"/>
            <w:hideMark/>
          </w:tcPr>
          <w:p w14:paraId="6AEF282C"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w:t>
            </w:r>
          </w:p>
        </w:tc>
        <w:tc>
          <w:tcPr>
            <w:tcW w:w="1116" w:type="dxa"/>
            <w:tcBorders>
              <w:top w:val="nil"/>
              <w:left w:val="nil"/>
              <w:bottom w:val="nil"/>
              <w:right w:val="nil"/>
            </w:tcBorders>
            <w:shd w:val="clear" w:color="auto" w:fill="auto"/>
            <w:noWrap/>
            <w:vAlign w:val="center"/>
            <w:hideMark/>
          </w:tcPr>
          <w:p w14:paraId="73E50476"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w:t>
            </w:r>
          </w:p>
        </w:tc>
      </w:tr>
      <w:tr w:rsidR="004E0D59" w:rsidRPr="00296D0C" w14:paraId="5486B4B6" w14:textId="77777777" w:rsidTr="002D0625">
        <w:trPr>
          <w:trHeight w:val="300"/>
        </w:trPr>
        <w:tc>
          <w:tcPr>
            <w:tcW w:w="2665" w:type="dxa"/>
            <w:tcBorders>
              <w:top w:val="nil"/>
              <w:left w:val="nil"/>
              <w:bottom w:val="single" w:sz="4" w:space="0" w:color="auto"/>
              <w:right w:val="nil"/>
            </w:tcBorders>
            <w:shd w:val="clear" w:color="auto" w:fill="auto"/>
            <w:noWrap/>
            <w:vAlign w:val="center"/>
            <w:hideMark/>
          </w:tcPr>
          <w:p w14:paraId="0F8C16F7" w14:textId="77777777" w:rsidR="004E0D59" w:rsidRPr="00296D0C" w:rsidRDefault="004E0D59" w:rsidP="004E0D59">
            <w:pPr>
              <w:spacing w:after="0" w:line="240" w:lineRule="auto"/>
              <w:rPr>
                <w:rFonts w:eastAsia="Times New Roman" w:cs="Times New Roman"/>
                <w:color w:val="000000"/>
              </w:rPr>
            </w:pPr>
            <w:r w:rsidRPr="00296D0C">
              <w:rPr>
                <w:rFonts w:eastAsia="Times New Roman" w:cs="Times New Roman"/>
                <w:color w:val="000000"/>
              </w:rPr>
              <w:t>Best-case imputation</w:t>
            </w:r>
            <w:r w:rsidRPr="00296D0C">
              <w:rPr>
                <w:rFonts w:eastAsia="Times New Roman" w:cs="Times New Roman"/>
                <w:color w:val="000000"/>
                <w:vertAlign w:val="superscript"/>
              </w:rPr>
              <w:t>a</w:t>
            </w:r>
          </w:p>
        </w:tc>
        <w:tc>
          <w:tcPr>
            <w:tcW w:w="551" w:type="dxa"/>
            <w:tcBorders>
              <w:top w:val="nil"/>
              <w:left w:val="nil"/>
              <w:bottom w:val="single" w:sz="4" w:space="0" w:color="auto"/>
              <w:right w:val="nil"/>
            </w:tcBorders>
            <w:shd w:val="clear" w:color="auto" w:fill="auto"/>
            <w:noWrap/>
            <w:vAlign w:val="center"/>
            <w:hideMark/>
          </w:tcPr>
          <w:p w14:paraId="0C59BB47"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671</w:t>
            </w:r>
          </w:p>
        </w:tc>
        <w:tc>
          <w:tcPr>
            <w:tcW w:w="1330" w:type="dxa"/>
            <w:tcBorders>
              <w:top w:val="nil"/>
              <w:left w:val="nil"/>
              <w:bottom w:val="single" w:sz="4" w:space="0" w:color="auto"/>
              <w:right w:val="nil"/>
            </w:tcBorders>
            <w:shd w:val="clear" w:color="auto" w:fill="auto"/>
            <w:noWrap/>
            <w:vAlign w:val="center"/>
            <w:hideMark/>
          </w:tcPr>
          <w:p w14:paraId="69725973" w14:textId="77777777" w:rsidR="00B101D2" w:rsidRPr="00296D0C" w:rsidRDefault="004E0D59" w:rsidP="00B101D2">
            <w:pPr>
              <w:spacing w:after="0" w:line="240" w:lineRule="auto"/>
              <w:jc w:val="center"/>
              <w:rPr>
                <w:rFonts w:eastAsia="Times New Roman" w:cs="Times New Roman"/>
                <w:color w:val="000000"/>
              </w:rPr>
            </w:pPr>
            <w:r w:rsidRPr="00296D0C">
              <w:rPr>
                <w:rFonts w:eastAsia="Times New Roman" w:cs="Times New Roman"/>
                <w:color w:val="000000"/>
              </w:rPr>
              <w:t>0.34</w:t>
            </w:r>
          </w:p>
          <w:p w14:paraId="62DE75A1" w14:textId="77777777" w:rsidR="004E0D59" w:rsidRPr="00296D0C" w:rsidRDefault="004E0D59" w:rsidP="00B101D2">
            <w:pPr>
              <w:spacing w:after="0" w:line="240" w:lineRule="auto"/>
              <w:jc w:val="center"/>
              <w:rPr>
                <w:rFonts w:eastAsia="Times New Roman" w:cs="Times New Roman"/>
                <w:color w:val="000000"/>
              </w:rPr>
            </w:pPr>
            <w:r w:rsidRPr="00296D0C">
              <w:rPr>
                <w:rFonts w:eastAsia="Times New Roman" w:cs="Times New Roman"/>
                <w:color w:val="000000"/>
              </w:rPr>
              <w:t xml:space="preserve"> (1.24)</w:t>
            </w:r>
          </w:p>
        </w:tc>
        <w:tc>
          <w:tcPr>
            <w:tcW w:w="551" w:type="dxa"/>
            <w:tcBorders>
              <w:top w:val="nil"/>
              <w:left w:val="nil"/>
              <w:bottom w:val="single" w:sz="4" w:space="0" w:color="auto"/>
              <w:right w:val="nil"/>
            </w:tcBorders>
            <w:shd w:val="clear" w:color="auto" w:fill="auto"/>
            <w:noWrap/>
            <w:vAlign w:val="center"/>
            <w:hideMark/>
          </w:tcPr>
          <w:p w14:paraId="0B538E10"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647</w:t>
            </w:r>
          </w:p>
        </w:tc>
        <w:tc>
          <w:tcPr>
            <w:tcW w:w="1361" w:type="dxa"/>
            <w:tcBorders>
              <w:top w:val="nil"/>
              <w:left w:val="nil"/>
              <w:bottom w:val="single" w:sz="4" w:space="0" w:color="auto"/>
              <w:right w:val="nil"/>
            </w:tcBorders>
            <w:shd w:val="clear" w:color="auto" w:fill="auto"/>
            <w:noWrap/>
            <w:vAlign w:val="center"/>
            <w:hideMark/>
          </w:tcPr>
          <w:p w14:paraId="1F7DB6DC" w14:textId="77777777" w:rsidR="00B101D2" w:rsidRPr="00296D0C" w:rsidRDefault="004E0D59" w:rsidP="00B101D2">
            <w:pPr>
              <w:spacing w:after="0" w:line="240" w:lineRule="auto"/>
              <w:jc w:val="center"/>
              <w:rPr>
                <w:rFonts w:eastAsia="Times New Roman" w:cs="Times New Roman"/>
                <w:color w:val="000000"/>
              </w:rPr>
            </w:pPr>
            <w:r w:rsidRPr="00296D0C">
              <w:rPr>
                <w:rFonts w:eastAsia="Times New Roman" w:cs="Times New Roman"/>
                <w:color w:val="000000"/>
              </w:rPr>
              <w:t>0.2</w:t>
            </w:r>
            <w:r w:rsidR="00B101D2" w:rsidRPr="00296D0C">
              <w:rPr>
                <w:rFonts w:eastAsia="Times New Roman" w:cs="Times New Roman"/>
                <w:color w:val="000000"/>
              </w:rPr>
              <w:t>3</w:t>
            </w:r>
          </w:p>
          <w:p w14:paraId="34DCCE7E" w14:textId="77777777" w:rsidR="004E0D59" w:rsidRPr="00296D0C" w:rsidRDefault="004E0D59" w:rsidP="00B101D2">
            <w:pPr>
              <w:spacing w:after="0" w:line="240" w:lineRule="auto"/>
              <w:jc w:val="center"/>
              <w:rPr>
                <w:rFonts w:eastAsia="Times New Roman" w:cs="Times New Roman"/>
                <w:color w:val="000000"/>
              </w:rPr>
            </w:pPr>
            <w:r w:rsidRPr="00296D0C">
              <w:rPr>
                <w:rFonts w:eastAsia="Times New Roman" w:cs="Times New Roman"/>
                <w:color w:val="000000"/>
              </w:rPr>
              <w:t xml:space="preserve"> (1.2</w:t>
            </w:r>
            <w:r w:rsidR="00B101D2" w:rsidRPr="00296D0C">
              <w:rPr>
                <w:rFonts w:eastAsia="Times New Roman" w:cs="Times New Roman"/>
                <w:color w:val="000000"/>
              </w:rPr>
              <w:t>3</w:t>
            </w:r>
            <w:r w:rsidRPr="00296D0C">
              <w:rPr>
                <w:rFonts w:eastAsia="Times New Roman" w:cs="Times New Roman"/>
                <w:color w:val="000000"/>
              </w:rPr>
              <w:t>)</w:t>
            </w:r>
          </w:p>
        </w:tc>
        <w:tc>
          <w:tcPr>
            <w:tcW w:w="1065" w:type="dxa"/>
            <w:tcBorders>
              <w:top w:val="nil"/>
              <w:left w:val="nil"/>
              <w:bottom w:val="single" w:sz="4" w:space="0" w:color="auto"/>
              <w:right w:val="nil"/>
            </w:tcBorders>
            <w:shd w:val="clear" w:color="auto" w:fill="auto"/>
            <w:noWrap/>
            <w:vAlign w:val="center"/>
            <w:hideMark/>
          </w:tcPr>
          <w:p w14:paraId="15EA96EF"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1312</w:t>
            </w:r>
          </w:p>
        </w:tc>
        <w:tc>
          <w:tcPr>
            <w:tcW w:w="2242" w:type="dxa"/>
            <w:tcBorders>
              <w:top w:val="nil"/>
              <w:left w:val="nil"/>
              <w:bottom w:val="single" w:sz="4" w:space="0" w:color="auto"/>
              <w:right w:val="nil"/>
            </w:tcBorders>
            <w:shd w:val="clear" w:color="auto" w:fill="auto"/>
            <w:noWrap/>
            <w:vAlign w:val="center"/>
            <w:hideMark/>
          </w:tcPr>
          <w:p w14:paraId="63AD1C86" w14:textId="77777777" w:rsidR="004E0D59" w:rsidRPr="00296D0C" w:rsidRDefault="004E0D59" w:rsidP="00B101D2">
            <w:pPr>
              <w:spacing w:after="0" w:line="240" w:lineRule="auto"/>
              <w:jc w:val="center"/>
              <w:rPr>
                <w:rFonts w:eastAsia="Times New Roman" w:cs="Times New Roman"/>
                <w:color w:val="000000"/>
              </w:rPr>
            </w:pPr>
            <w:r w:rsidRPr="00296D0C">
              <w:rPr>
                <w:rFonts w:eastAsia="Times New Roman" w:cs="Times New Roman"/>
                <w:color w:val="000000"/>
              </w:rPr>
              <w:t>-0.02 (-0.09, 0.0</w:t>
            </w:r>
            <w:r w:rsidR="00B101D2" w:rsidRPr="00296D0C">
              <w:rPr>
                <w:rFonts w:eastAsia="Times New Roman" w:cs="Times New Roman"/>
                <w:color w:val="000000"/>
              </w:rPr>
              <w:t>5</w:t>
            </w:r>
            <w:r w:rsidRPr="00296D0C">
              <w:rPr>
                <w:rFonts w:eastAsia="Times New Roman" w:cs="Times New Roman"/>
                <w:color w:val="000000"/>
              </w:rPr>
              <w:t>)</w:t>
            </w:r>
          </w:p>
        </w:tc>
        <w:tc>
          <w:tcPr>
            <w:tcW w:w="907" w:type="dxa"/>
            <w:tcBorders>
              <w:top w:val="nil"/>
              <w:left w:val="nil"/>
              <w:bottom w:val="single" w:sz="4" w:space="0" w:color="auto"/>
              <w:right w:val="nil"/>
            </w:tcBorders>
            <w:shd w:val="clear" w:color="auto" w:fill="auto"/>
            <w:noWrap/>
            <w:vAlign w:val="center"/>
            <w:hideMark/>
          </w:tcPr>
          <w:p w14:paraId="032C2862"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0.485</w:t>
            </w:r>
          </w:p>
        </w:tc>
        <w:tc>
          <w:tcPr>
            <w:tcW w:w="2194" w:type="dxa"/>
            <w:tcBorders>
              <w:top w:val="nil"/>
              <w:left w:val="nil"/>
              <w:bottom w:val="single" w:sz="4" w:space="0" w:color="auto"/>
              <w:right w:val="nil"/>
            </w:tcBorders>
            <w:shd w:val="clear" w:color="auto" w:fill="auto"/>
            <w:noWrap/>
            <w:vAlign w:val="center"/>
            <w:hideMark/>
          </w:tcPr>
          <w:p w14:paraId="5015FA10"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w:t>
            </w:r>
          </w:p>
        </w:tc>
        <w:tc>
          <w:tcPr>
            <w:tcW w:w="1116" w:type="dxa"/>
            <w:tcBorders>
              <w:top w:val="nil"/>
              <w:left w:val="nil"/>
              <w:bottom w:val="single" w:sz="4" w:space="0" w:color="auto"/>
              <w:right w:val="nil"/>
            </w:tcBorders>
            <w:shd w:val="clear" w:color="auto" w:fill="auto"/>
            <w:noWrap/>
            <w:vAlign w:val="center"/>
            <w:hideMark/>
          </w:tcPr>
          <w:p w14:paraId="76271612"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w:t>
            </w:r>
          </w:p>
        </w:tc>
      </w:tr>
      <w:tr w:rsidR="004E0D59" w:rsidRPr="00296D0C" w14:paraId="6565F188" w14:textId="77777777" w:rsidTr="002D0625">
        <w:trPr>
          <w:trHeight w:val="300"/>
        </w:trPr>
        <w:tc>
          <w:tcPr>
            <w:tcW w:w="2665" w:type="dxa"/>
            <w:tcBorders>
              <w:top w:val="single" w:sz="4" w:space="0" w:color="auto"/>
              <w:left w:val="nil"/>
              <w:bottom w:val="nil"/>
              <w:right w:val="nil"/>
            </w:tcBorders>
            <w:shd w:val="clear" w:color="auto" w:fill="auto"/>
            <w:noWrap/>
            <w:vAlign w:val="center"/>
            <w:hideMark/>
          </w:tcPr>
          <w:p w14:paraId="4ECF93D7" w14:textId="77777777" w:rsidR="004E0D59" w:rsidRPr="00296D0C" w:rsidRDefault="004E0D59" w:rsidP="004E0D59">
            <w:pPr>
              <w:spacing w:after="0" w:line="240" w:lineRule="auto"/>
              <w:rPr>
                <w:rFonts w:eastAsia="Times New Roman" w:cs="Times New Roman"/>
                <w:i/>
                <w:color w:val="000000"/>
              </w:rPr>
            </w:pPr>
            <w:r w:rsidRPr="00296D0C">
              <w:rPr>
                <w:rFonts w:eastAsia="Times New Roman" w:cs="Times New Roman"/>
                <w:i/>
                <w:color w:val="000000"/>
              </w:rPr>
              <w:t>GEE estimation</w:t>
            </w:r>
          </w:p>
        </w:tc>
        <w:tc>
          <w:tcPr>
            <w:tcW w:w="551" w:type="dxa"/>
            <w:tcBorders>
              <w:top w:val="single" w:sz="4" w:space="0" w:color="auto"/>
              <w:left w:val="nil"/>
              <w:bottom w:val="nil"/>
              <w:right w:val="nil"/>
            </w:tcBorders>
            <w:shd w:val="clear" w:color="auto" w:fill="auto"/>
            <w:noWrap/>
            <w:vAlign w:val="center"/>
            <w:hideMark/>
          </w:tcPr>
          <w:p w14:paraId="0C678443" w14:textId="77777777" w:rsidR="004E0D59" w:rsidRPr="00296D0C" w:rsidRDefault="004E0D59" w:rsidP="004E0D59">
            <w:pPr>
              <w:spacing w:after="0" w:line="240" w:lineRule="auto"/>
              <w:rPr>
                <w:rFonts w:eastAsia="Times New Roman" w:cs="Times New Roman"/>
                <w:color w:val="000000"/>
              </w:rPr>
            </w:pPr>
          </w:p>
        </w:tc>
        <w:tc>
          <w:tcPr>
            <w:tcW w:w="1330" w:type="dxa"/>
            <w:tcBorders>
              <w:top w:val="single" w:sz="4" w:space="0" w:color="auto"/>
              <w:left w:val="nil"/>
              <w:bottom w:val="nil"/>
              <w:right w:val="nil"/>
            </w:tcBorders>
            <w:shd w:val="clear" w:color="auto" w:fill="auto"/>
            <w:noWrap/>
            <w:vAlign w:val="center"/>
            <w:hideMark/>
          </w:tcPr>
          <w:p w14:paraId="7A49BA0E" w14:textId="77777777" w:rsidR="004E0D59" w:rsidRPr="00296D0C" w:rsidRDefault="004E0D59" w:rsidP="004E0D59">
            <w:pPr>
              <w:spacing w:after="0" w:line="240" w:lineRule="auto"/>
              <w:jc w:val="center"/>
              <w:rPr>
                <w:rFonts w:eastAsia="Times New Roman" w:cs="Times New Roman"/>
              </w:rPr>
            </w:pPr>
          </w:p>
        </w:tc>
        <w:tc>
          <w:tcPr>
            <w:tcW w:w="551" w:type="dxa"/>
            <w:tcBorders>
              <w:top w:val="single" w:sz="4" w:space="0" w:color="auto"/>
              <w:left w:val="nil"/>
              <w:bottom w:val="nil"/>
              <w:right w:val="nil"/>
            </w:tcBorders>
            <w:shd w:val="clear" w:color="auto" w:fill="auto"/>
            <w:noWrap/>
            <w:vAlign w:val="center"/>
            <w:hideMark/>
          </w:tcPr>
          <w:p w14:paraId="7973A25E" w14:textId="77777777" w:rsidR="004E0D59" w:rsidRPr="00296D0C" w:rsidRDefault="004E0D59" w:rsidP="004E0D59">
            <w:pPr>
              <w:spacing w:after="0" w:line="240" w:lineRule="auto"/>
              <w:jc w:val="center"/>
              <w:rPr>
                <w:rFonts w:eastAsia="Times New Roman" w:cs="Times New Roman"/>
              </w:rPr>
            </w:pPr>
          </w:p>
        </w:tc>
        <w:tc>
          <w:tcPr>
            <w:tcW w:w="1361" w:type="dxa"/>
            <w:tcBorders>
              <w:top w:val="single" w:sz="4" w:space="0" w:color="auto"/>
              <w:left w:val="nil"/>
              <w:bottom w:val="nil"/>
              <w:right w:val="nil"/>
            </w:tcBorders>
            <w:shd w:val="clear" w:color="auto" w:fill="auto"/>
            <w:noWrap/>
            <w:vAlign w:val="center"/>
            <w:hideMark/>
          </w:tcPr>
          <w:p w14:paraId="6428F6F1" w14:textId="77777777" w:rsidR="004E0D59" w:rsidRPr="00296D0C" w:rsidRDefault="004E0D59" w:rsidP="004E0D59">
            <w:pPr>
              <w:spacing w:after="0" w:line="240" w:lineRule="auto"/>
              <w:jc w:val="center"/>
              <w:rPr>
                <w:rFonts w:eastAsia="Times New Roman" w:cs="Times New Roman"/>
              </w:rPr>
            </w:pPr>
          </w:p>
        </w:tc>
        <w:tc>
          <w:tcPr>
            <w:tcW w:w="1065" w:type="dxa"/>
            <w:tcBorders>
              <w:top w:val="single" w:sz="4" w:space="0" w:color="auto"/>
              <w:left w:val="nil"/>
              <w:bottom w:val="nil"/>
              <w:right w:val="nil"/>
            </w:tcBorders>
            <w:shd w:val="clear" w:color="auto" w:fill="auto"/>
            <w:noWrap/>
            <w:vAlign w:val="center"/>
            <w:hideMark/>
          </w:tcPr>
          <w:p w14:paraId="12967311" w14:textId="77777777" w:rsidR="004E0D59" w:rsidRPr="00296D0C" w:rsidRDefault="004E0D59" w:rsidP="004E0D59">
            <w:pPr>
              <w:spacing w:after="0" w:line="240" w:lineRule="auto"/>
              <w:jc w:val="center"/>
              <w:rPr>
                <w:rFonts w:eastAsia="Times New Roman" w:cs="Times New Roman"/>
              </w:rPr>
            </w:pPr>
          </w:p>
        </w:tc>
        <w:tc>
          <w:tcPr>
            <w:tcW w:w="2242" w:type="dxa"/>
            <w:tcBorders>
              <w:top w:val="single" w:sz="4" w:space="0" w:color="auto"/>
              <w:left w:val="nil"/>
              <w:bottom w:val="nil"/>
              <w:right w:val="nil"/>
            </w:tcBorders>
            <w:shd w:val="clear" w:color="auto" w:fill="auto"/>
            <w:noWrap/>
            <w:vAlign w:val="center"/>
            <w:hideMark/>
          </w:tcPr>
          <w:p w14:paraId="30C8FBCA" w14:textId="77777777" w:rsidR="004E0D59" w:rsidRPr="00296D0C" w:rsidRDefault="004E0D59" w:rsidP="004E0D59">
            <w:pPr>
              <w:spacing w:after="0" w:line="240" w:lineRule="auto"/>
              <w:jc w:val="center"/>
              <w:rPr>
                <w:rFonts w:eastAsia="Times New Roman" w:cs="Times New Roman"/>
              </w:rPr>
            </w:pPr>
          </w:p>
        </w:tc>
        <w:tc>
          <w:tcPr>
            <w:tcW w:w="907" w:type="dxa"/>
            <w:tcBorders>
              <w:top w:val="single" w:sz="4" w:space="0" w:color="auto"/>
              <w:left w:val="nil"/>
              <w:bottom w:val="nil"/>
              <w:right w:val="nil"/>
            </w:tcBorders>
            <w:shd w:val="clear" w:color="auto" w:fill="auto"/>
            <w:noWrap/>
            <w:vAlign w:val="center"/>
            <w:hideMark/>
          </w:tcPr>
          <w:p w14:paraId="29703918" w14:textId="77777777" w:rsidR="004E0D59" w:rsidRPr="00296D0C" w:rsidRDefault="004E0D59" w:rsidP="004E0D59">
            <w:pPr>
              <w:spacing w:after="0" w:line="240" w:lineRule="auto"/>
              <w:jc w:val="center"/>
              <w:rPr>
                <w:rFonts w:eastAsia="Times New Roman" w:cs="Times New Roman"/>
              </w:rPr>
            </w:pPr>
          </w:p>
        </w:tc>
        <w:tc>
          <w:tcPr>
            <w:tcW w:w="2194" w:type="dxa"/>
            <w:tcBorders>
              <w:top w:val="single" w:sz="4" w:space="0" w:color="auto"/>
              <w:left w:val="nil"/>
              <w:bottom w:val="nil"/>
              <w:right w:val="nil"/>
            </w:tcBorders>
            <w:shd w:val="clear" w:color="auto" w:fill="auto"/>
            <w:noWrap/>
            <w:vAlign w:val="center"/>
            <w:hideMark/>
          </w:tcPr>
          <w:p w14:paraId="514B16D9" w14:textId="77777777" w:rsidR="004E0D59" w:rsidRPr="00296D0C" w:rsidRDefault="004E0D59" w:rsidP="004E0D59">
            <w:pPr>
              <w:spacing w:after="0" w:line="240" w:lineRule="auto"/>
              <w:jc w:val="center"/>
              <w:rPr>
                <w:rFonts w:eastAsia="Times New Roman" w:cs="Times New Roman"/>
              </w:rPr>
            </w:pPr>
          </w:p>
        </w:tc>
        <w:tc>
          <w:tcPr>
            <w:tcW w:w="1116" w:type="dxa"/>
            <w:tcBorders>
              <w:top w:val="single" w:sz="4" w:space="0" w:color="auto"/>
              <w:left w:val="nil"/>
              <w:bottom w:val="nil"/>
              <w:right w:val="nil"/>
            </w:tcBorders>
            <w:shd w:val="clear" w:color="auto" w:fill="auto"/>
            <w:noWrap/>
            <w:vAlign w:val="center"/>
            <w:hideMark/>
          </w:tcPr>
          <w:p w14:paraId="48B86776" w14:textId="77777777" w:rsidR="004E0D59" w:rsidRPr="00296D0C" w:rsidRDefault="004E0D59" w:rsidP="004E0D59">
            <w:pPr>
              <w:spacing w:after="0" w:line="240" w:lineRule="auto"/>
              <w:jc w:val="center"/>
              <w:rPr>
                <w:rFonts w:eastAsia="Times New Roman" w:cs="Times New Roman"/>
              </w:rPr>
            </w:pPr>
          </w:p>
        </w:tc>
      </w:tr>
      <w:tr w:rsidR="004E0D59" w:rsidRPr="00296D0C" w14:paraId="7ADB48E5" w14:textId="77777777" w:rsidTr="002D0625">
        <w:trPr>
          <w:trHeight w:val="600"/>
        </w:trPr>
        <w:tc>
          <w:tcPr>
            <w:tcW w:w="2665" w:type="dxa"/>
            <w:tcBorders>
              <w:top w:val="nil"/>
              <w:left w:val="nil"/>
              <w:bottom w:val="single" w:sz="4" w:space="0" w:color="auto"/>
              <w:right w:val="nil"/>
            </w:tcBorders>
            <w:shd w:val="clear" w:color="auto" w:fill="auto"/>
            <w:noWrap/>
            <w:vAlign w:val="center"/>
            <w:hideMark/>
          </w:tcPr>
          <w:p w14:paraId="12EFDC2E" w14:textId="77777777" w:rsidR="004E0D59" w:rsidRPr="00296D0C" w:rsidRDefault="004E0D59" w:rsidP="004E0D59">
            <w:pPr>
              <w:spacing w:after="0" w:line="240" w:lineRule="auto"/>
              <w:rPr>
                <w:rFonts w:eastAsia="Times New Roman" w:cs="Times New Roman"/>
                <w:color w:val="000000"/>
              </w:rPr>
            </w:pPr>
            <w:r w:rsidRPr="00296D0C">
              <w:rPr>
                <w:rFonts w:eastAsia="Times New Roman" w:cs="Times New Roman"/>
                <w:color w:val="000000"/>
              </w:rPr>
              <w:t xml:space="preserve">Complete data </w:t>
            </w:r>
          </w:p>
        </w:tc>
        <w:tc>
          <w:tcPr>
            <w:tcW w:w="551" w:type="dxa"/>
            <w:tcBorders>
              <w:top w:val="nil"/>
              <w:left w:val="nil"/>
              <w:bottom w:val="single" w:sz="4" w:space="0" w:color="auto"/>
              <w:right w:val="nil"/>
            </w:tcBorders>
            <w:shd w:val="clear" w:color="auto" w:fill="auto"/>
            <w:noWrap/>
            <w:vAlign w:val="center"/>
            <w:hideMark/>
          </w:tcPr>
          <w:p w14:paraId="16DE8829"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630</w:t>
            </w:r>
          </w:p>
        </w:tc>
        <w:tc>
          <w:tcPr>
            <w:tcW w:w="1330" w:type="dxa"/>
            <w:tcBorders>
              <w:top w:val="nil"/>
              <w:left w:val="nil"/>
              <w:bottom w:val="single" w:sz="4" w:space="0" w:color="auto"/>
              <w:right w:val="nil"/>
            </w:tcBorders>
            <w:shd w:val="clear" w:color="auto" w:fill="auto"/>
            <w:vAlign w:val="center"/>
            <w:hideMark/>
          </w:tcPr>
          <w:p w14:paraId="721A5041" w14:textId="77777777" w:rsidR="00B101D2" w:rsidRPr="00296D0C" w:rsidRDefault="004E0D59" w:rsidP="00B101D2">
            <w:pPr>
              <w:spacing w:after="0" w:line="240" w:lineRule="auto"/>
              <w:jc w:val="center"/>
              <w:rPr>
                <w:rFonts w:eastAsia="Times New Roman" w:cs="Times New Roman"/>
                <w:color w:val="000000"/>
              </w:rPr>
            </w:pPr>
            <w:r w:rsidRPr="00296D0C">
              <w:rPr>
                <w:rFonts w:eastAsia="Times New Roman" w:cs="Times New Roman"/>
                <w:color w:val="000000"/>
              </w:rPr>
              <w:t>0.3</w:t>
            </w:r>
            <w:r w:rsidR="00B101D2" w:rsidRPr="00296D0C">
              <w:rPr>
                <w:rFonts w:eastAsia="Times New Roman" w:cs="Times New Roman"/>
                <w:color w:val="000000"/>
              </w:rPr>
              <w:t>5</w:t>
            </w:r>
          </w:p>
          <w:p w14:paraId="7685B2C3" w14:textId="77777777" w:rsidR="004E0D59" w:rsidRPr="00296D0C" w:rsidRDefault="004E0D59" w:rsidP="00B101D2">
            <w:pPr>
              <w:spacing w:after="0" w:line="240" w:lineRule="auto"/>
              <w:jc w:val="center"/>
              <w:rPr>
                <w:rFonts w:eastAsia="Times New Roman" w:cs="Times New Roman"/>
                <w:color w:val="000000"/>
              </w:rPr>
            </w:pPr>
            <w:r w:rsidRPr="00296D0C">
              <w:rPr>
                <w:rFonts w:eastAsia="Times New Roman" w:cs="Times New Roman"/>
                <w:color w:val="000000"/>
              </w:rPr>
              <w:t xml:space="preserve"> (1.2</w:t>
            </w:r>
            <w:r w:rsidR="00B101D2" w:rsidRPr="00296D0C">
              <w:rPr>
                <w:rFonts w:eastAsia="Times New Roman" w:cs="Times New Roman"/>
                <w:color w:val="000000"/>
              </w:rPr>
              <w:t>5</w:t>
            </w:r>
            <w:r w:rsidRPr="00296D0C">
              <w:rPr>
                <w:rFonts w:eastAsia="Times New Roman" w:cs="Times New Roman"/>
                <w:color w:val="000000"/>
              </w:rPr>
              <w:t>)</w:t>
            </w:r>
          </w:p>
        </w:tc>
        <w:tc>
          <w:tcPr>
            <w:tcW w:w="551" w:type="dxa"/>
            <w:tcBorders>
              <w:top w:val="nil"/>
              <w:left w:val="nil"/>
              <w:bottom w:val="single" w:sz="4" w:space="0" w:color="auto"/>
              <w:right w:val="nil"/>
            </w:tcBorders>
            <w:shd w:val="clear" w:color="auto" w:fill="auto"/>
            <w:noWrap/>
            <w:vAlign w:val="center"/>
            <w:hideMark/>
          </w:tcPr>
          <w:p w14:paraId="0227EB70"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620</w:t>
            </w:r>
          </w:p>
        </w:tc>
        <w:tc>
          <w:tcPr>
            <w:tcW w:w="1361" w:type="dxa"/>
            <w:tcBorders>
              <w:top w:val="nil"/>
              <w:left w:val="nil"/>
              <w:bottom w:val="single" w:sz="4" w:space="0" w:color="auto"/>
              <w:right w:val="nil"/>
            </w:tcBorders>
            <w:shd w:val="clear" w:color="auto" w:fill="auto"/>
            <w:vAlign w:val="center"/>
            <w:hideMark/>
          </w:tcPr>
          <w:p w14:paraId="507FE042" w14:textId="77777777" w:rsidR="00B101D2" w:rsidRPr="00296D0C" w:rsidRDefault="004E0D59" w:rsidP="00B101D2">
            <w:pPr>
              <w:spacing w:after="0" w:line="240" w:lineRule="auto"/>
              <w:jc w:val="center"/>
              <w:rPr>
                <w:rFonts w:eastAsia="Times New Roman" w:cs="Times New Roman"/>
                <w:color w:val="000000"/>
              </w:rPr>
            </w:pPr>
            <w:r w:rsidRPr="00296D0C">
              <w:rPr>
                <w:rFonts w:eastAsia="Times New Roman" w:cs="Times New Roman"/>
                <w:color w:val="000000"/>
              </w:rPr>
              <w:t>0.2</w:t>
            </w:r>
            <w:r w:rsidR="00B101D2" w:rsidRPr="00296D0C">
              <w:rPr>
                <w:rFonts w:eastAsia="Times New Roman" w:cs="Times New Roman"/>
                <w:color w:val="000000"/>
              </w:rPr>
              <w:t>2</w:t>
            </w:r>
          </w:p>
          <w:p w14:paraId="54CB2323" w14:textId="77777777" w:rsidR="004E0D59" w:rsidRPr="00296D0C" w:rsidRDefault="004E0D59" w:rsidP="00B101D2">
            <w:pPr>
              <w:spacing w:after="0" w:line="240" w:lineRule="auto"/>
              <w:jc w:val="center"/>
              <w:rPr>
                <w:rFonts w:eastAsia="Times New Roman" w:cs="Times New Roman"/>
                <w:color w:val="000000"/>
              </w:rPr>
            </w:pPr>
            <w:r w:rsidRPr="00296D0C">
              <w:rPr>
                <w:rFonts w:eastAsia="Times New Roman" w:cs="Times New Roman"/>
                <w:color w:val="000000"/>
              </w:rPr>
              <w:t xml:space="preserve"> (1.2</w:t>
            </w:r>
            <w:r w:rsidR="00B101D2" w:rsidRPr="00296D0C">
              <w:rPr>
                <w:rFonts w:eastAsia="Times New Roman" w:cs="Times New Roman"/>
                <w:color w:val="000000"/>
              </w:rPr>
              <w:t>2</w:t>
            </w:r>
            <w:r w:rsidRPr="00296D0C">
              <w:rPr>
                <w:rFonts w:eastAsia="Times New Roman" w:cs="Times New Roman"/>
                <w:color w:val="000000"/>
              </w:rPr>
              <w:t>)</w:t>
            </w:r>
          </w:p>
        </w:tc>
        <w:tc>
          <w:tcPr>
            <w:tcW w:w="1065" w:type="dxa"/>
            <w:tcBorders>
              <w:top w:val="nil"/>
              <w:left w:val="nil"/>
              <w:bottom w:val="single" w:sz="4" w:space="0" w:color="auto"/>
              <w:right w:val="nil"/>
            </w:tcBorders>
            <w:shd w:val="clear" w:color="auto" w:fill="auto"/>
            <w:noWrap/>
            <w:vAlign w:val="center"/>
            <w:hideMark/>
          </w:tcPr>
          <w:p w14:paraId="100FDA6C"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1244</w:t>
            </w:r>
          </w:p>
        </w:tc>
        <w:tc>
          <w:tcPr>
            <w:tcW w:w="2242" w:type="dxa"/>
            <w:tcBorders>
              <w:top w:val="nil"/>
              <w:left w:val="nil"/>
              <w:bottom w:val="single" w:sz="4" w:space="0" w:color="auto"/>
              <w:right w:val="nil"/>
            </w:tcBorders>
            <w:shd w:val="clear" w:color="auto" w:fill="auto"/>
            <w:noWrap/>
            <w:vAlign w:val="center"/>
            <w:hideMark/>
          </w:tcPr>
          <w:p w14:paraId="4B3B1981" w14:textId="77777777" w:rsidR="004E0D59" w:rsidRPr="00296D0C" w:rsidRDefault="004E0D59" w:rsidP="00B101D2">
            <w:pPr>
              <w:spacing w:after="0" w:line="240" w:lineRule="auto"/>
              <w:jc w:val="center"/>
              <w:rPr>
                <w:rFonts w:eastAsia="Times New Roman" w:cs="Times New Roman"/>
                <w:color w:val="000000"/>
              </w:rPr>
            </w:pPr>
            <w:r w:rsidRPr="00296D0C">
              <w:rPr>
                <w:rFonts w:eastAsia="Times New Roman" w:cs="Times New Roman"/>
                <w:color w:val="000000"/>
              </w:rPr>
              <w:t>-0.0</w:t>
            </w:r>
            <w:r w:rsidR="00B101D2" w:rsidRPr="00296D0C">
              <w:rPr>
                <w:rFonts w:eastAsia="Times New Roman" w:cs="Times New Roman"/>
                <w:color w:val="000000"/>
              </w:rPr>
              <w:t>2</w:t>
            </w:r>
            <w:r w:rsidRPr="00296D0C">
              <w:rPr>
                <w:rFonts w:eastAsia="Times New Roman" w:cs="Times New Roman"/>
                <w:color w:val="000000"/>
              </w:rPr>
              <w:t xml:space="preserve"> (-0.08, 0.0</w:t>
            </w:r>
            <w:r w:rsidR="00B101D2" w:rsidRPr="00296D0C">
              <w:rPr>
                <w:rFonts w:eastAsia="Times New Roman" w:cs="Times New Roman"/>
                <w:color w:val="000000"/>
              </w:rPr>
              <w:t>5</w:t>
            </w:r>
            <w:r w:rsidRPr="00296D0C">
              <w:rPr>
                <w:rFonts w:eastAsia="Times New Roman" w:cs="Times New Roman"/>
                <w:color w:val="000000"/>
              </w:rPr>
              <w:t>)</w:t>
            </w:r>
          </w:p>
        </w:tc>
        <w:tc>
          <w:tcPr>
            <w:tcW w:w="907" w:type="dxa"/>
            <w:tcBorders>
              <w:top w:val="nil"/>
              <w:left w:val="nil"/>
              <w:bottom w:val="single" w:sz="4" w:space="0" w:color="auto"/>
              <w:right w:val="nil"/>
            </w:tcBorders>
            <w:shd w:val="clear" w:color="auto" w:fill="auto"/>
            <w:noWrap/>
            <w:vAlign w:val="center"/>
            <w:hideMark/>
          </w:tcPr>
          <w:p w14:paraId="354E5383"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0.568</w:t>
            </w:r>
          </w:p>
        </w:tc>
        <w:tc>
          <w:tcPr>
            <w:tcW w:w="2194" w:type="dxa"/>
            <w:tcBorders>
              <w:top w:val="nil"/>
              <w:left w:val="nil"/>
              <w:bottom w:val="single" w:sz="4" w:space="0" w:color="auto"/>
              <w:right w:val="nil"/>
            </w:tcBorders>
            <w:shd w:val="clear" w:color="auto" w:fill="auto"/>
            <w:noWrap/>
            <w:vAlign w:val="center"/>
            <w:hideMark/>
          </w:tcPr>
          <w:p w14:paraId="18E6A6C7"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w:t>
            </w:r>
          </w:p>
        </w:tc>
        <w:tc>
          <w:tcPr>
            <w:tcW w:w="1116" w:type="dxa"/>
            <w:tcBorders>
              <w:top w:val="nil"/>
              <w:left w:val="nil"/>
              <w:bottom w:val="single" w:sz="4" w:space="0" w:color="auto"/>
              <w:right w:val="nil"/>
            </w:tcBorders>
            <w:shd w:val="clear" w:color="auto" w:fill="auto"/>
            <w:noWrap/>
            <w:vAlign w:val="center"/>
            <w:hideMark/>
          </w:tcPr>
          <w:p w14:paraId="6398E021"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w:t>
            </w:r>
          </w:p>
        </w:tc>
      </w:tr>
    </w:tbl>
    <w:p w14:paraId="49888382" w14:textId="77777777" w:rsidR="004E0D59" w:rsidRPr="00296D0C" w:rsidRDefault="004E0D59" w:rsidP="004E0D59">
      <w:pPr>
        <w:spacing w:line="240" w:lineRule="auto"/>
        <w:rPr>
          <w:b/>
          <w:i/>
          <w:iCs/>
          <w:color w:val="1F497D" w:themeColor="text2"/>
        </w:rPr>
      </w:pPr>
    </w:p>
    <w:p w14:paraId="1529F80F" w14:textId="379D0958" w:rsidR="004E0D59" w:rsidRPr="00296D0C" w:rsidRDefault="004E0D59" w:rsidP="004E0D59">
      <w:pPr>
        <w:spacing w:after="0" w:line="240" w:lineRule="auto"/>
        <w:rPr>
          <w:iCs/>
        </w:rPr>
      </w:pPr>
      <w:r w:rsidRPr="00296D0C">
        <w:rPr>
          <w:b/>
          <w:iCs/>
        </w:rPr>
        <w:t>Notes:</w:t>
      </w:r>
      <w:r w:rsidRPr="00296D0C">
        <w:rPr>
          <w:iCs/>
        </w:rPr>
        <w:t xml:space="preserve">  Number of children and mean (standard deviation) observed </w:t>
      </w:r>
      <w:r w:rsidR="009D1C7F" w:rsidRPr="00296D0C">
        <w:rPr>
          <w:iCs/>
        </w:rPr>
        <w:t>BMI SDS</w:t>
      </w:r>
      <w:r w:rsidRPr="00296D0C">
        <w:rPr>
          <w:iCs/>
        </w:rPr>
        <w:t xml:space="preserve"> at 24 months for each group and the estimate of the effect of the intervention (95% confidence intervals and p-values) for analyses with and without adjustment for stratification variables, cohort, baseline BMI </w:t>
      </w:r>
      <w:r w:rsidR="005E534E" w:rsidRPr="00296D0C">
        <w:rPr>
          <w:iCs/>
        </w:rPr>
        <w:t>SDS</w:t>
      </w:r>
      <w:r w:rsidRPr="00296D0C">
        <w:rPr>
          <w:iCs/>
        </w:rPr>
        <w:t xml:space="preserve"> and gender. </w:t>
      </w:r>
    </w:p>
    <w:p w14:paraId="061E0529" w14:textId="65157E4C" w:rsidR="004E0D59" w:rsidRPr="00296D0C" w:rsidRDefault="004E0D59" w:rsidP="004E0D59">
      <w:pPr>
        <w:spacing w:after="0" w:line="240" w:lineRule="auto"/>
        <w:rPr>
          <w:iCs/>
        </w:rPr>
        <w:sectPr w:rsidR="004E0D59" w:rsidRPr="00296D0C" w:rsidSect="00E155EB">
          <w:pgSz w:w="16838" w:h="11906" w:orient="landscape"/>
          <w:pgMar w:top="1440" w:right="1440" w:bottom="1440" w:left="1440" w:header="709" w:footer="113" w:gutter="0"/>
          <w:cols w:space="708"/>
          <w:docGrid w:linePitch="360"/>
        </w:sectPr>
      </w:pPr>
      <w:r w:rsidRPr="00296D0C">
        <w:rPr>
          <w:iCs/>
          <w:vertAlign w:val="superscript"/>
        </w:rPr>
        <w:t>a</w:t>
      </w:r>
      <w:r w:rsidRPr="00296D0C">
        <w:rPr>
          <w:iCs/>
        </w:rPr>
        <w:t xml:space="preserve"> Missing </w:t>
      </w:r>
      <w:r w:rsidR="009D1C7F" w:rsidRPr="00296D0C">
        <w:rPr>
          <w:iCs/>
        </w:rPr>
        <w:t>BMI SDS</w:t>
      </w:r>
      <w:r w:rsidRPr="00296D0C">
        <w:rPr>
          <w:iCs/>
        </w:rPr>
        <w:t xml:space="preserve"> at 24 months were imputed for all children with a baseline </w:t>
      </w:r>
      <w:r w:rsidR="009D1C7F" w:rsidRPr="00296D0C">
        <w:rPr>
          <w:iCs/>
        </w:rPr>
        <w:t>BMI SDS</w:t>
      </w:r>
      <w:r w:rsidRPr="00296D0C">
        <w:rPr>
          <w:iCs/>
        </w:rPr>
        <w:t xml:space="preserve"> (n</w:t>
      </w:r>
      <w:r w:rsidR="00C22C0F" w:rsidRPr="00296D0C">
        <w:rPr>
          <w:iCs/>
        </w:rPr>
        <w:t xml:space="preserve"> </w:t>
      </w:r>
      <w:r w:rsidRPr="00296D0C">
        <w:rPr>
          <w:iCs/>
        </w:rPr>
        <w:t>=</w:t>
      </w:r>
      <w:r w:rsidR="00C22C0F" w:rsidRPr="00296D0C">
        <w:rPr>
          <w:iCs/>
        </w:rPr>
        <w:t xml:space="preserve"> </w:t>
      </w:r>
      <w:r w:rsidRPr="00296D0C">
        <w:rPr>
          <w:iCs/>
        </w:rPr>
        <w:t xml:space="preserve">1312); there were an additional six children who had </w:t>
      </w:r>
      <w:r w:rsidR="009D1C7F" w:rsidRPr="00296D0C">
        <w:rPr>
          <w:iCs/>
        </w:rPr>
        <w:t>BMI SDS</w:t>
      </w:r>
      <w:r w:rsidRPr="00296D0C">
        <w:rPr>
          <w:iCs/>
        </w:rPr>
        <w:t xml:space="preserve"> at 24 months (n</w:t>
      </w:r>
      <w:r w:rsidR="00C22C0F" w:rsidRPr="00296D0C">
        <w:rPr>
          <w:iCs/>
        </w:rPr>
        <w:t xml:space="preserve"> </w:t>
      </w:r>
      <w:r w:rsidRPr="00296D0C">
        <w:rPr>
          <w:iCs/>
        </w:rPr>
        <w:t>=</w:t>
      </w:r>
      <w:r w:rsidR="00C22C0F" w:rsidRPr="00296D0C">
        <w:rPr>
          <w:iCs/>
        </w:rPr>
        <w:t xml:space="preserve"> </w:t>
      </w:r>
      <w:r w:rsidRPr="00296D0C">
        <w:rPr>
          <w:iCs/>
        </w:rPr>
        <w:t>671+647</w:t>
      </w:r>
      <w:r w:rsidR="00C22C0F" w:rsidRPr="00296D0C">
        <w:rPr>
          <w:iCs/>
        </w:rPr>
        <w:t xml:space="preserve"> </w:t>
      </w:r>
      <w:r w:rsidRPr="00296D0C">
        <w:rPr>
          <w:iCs/>
        </w:rPr>
        <w:t>=</w:t>
      </w:r>
      <w:r w:rsidR="00C22C0F" w:rsidRPr="00296D0C">
        <w:rPr>
          <w:iCs/>
        </w:rPr>
        <w:t xml:space="preserve"> </w:t>
      </w:r>
      <w:r w:rsidRPr="00296D0C">
        <w:rPr>
          <w:iCs/>
        </w:rPr>
        <w:t xml:space="preserve">1318) but who did not have a baseline </w:t>
      </w:r>
      <w:r w:rsidR="009D1C7F" w:rsidRPr="00296D0C">
        <w:rPr>
          <w:iCs/>
        </w:rPr>
        <w:t>BMI SDS</w:t>
      </w:r>
      <w:r w:rsidRPr="00296D0C">
        <w:rPr>
          <w:iCs/>
        </w:rPr>
        <w:t xml:space="preserve"> and so these six children could not be included in the adjusted analyses (n</w:t>
      </w:r>
      <w:r w:rsidR="00C22C0F" w:rsidRPr="00296D0C">
        <w:rPr>
          <w:iCs/>
        </w:rPr>
        <w:t xml:space="preserve"> </w:t>
      </w:r>
      <w:r w:rsidRPr="00296D0C">
        <w:rPr>
          <w:iCs/>
        </w:rPr>
        <w:t>=</w:t>
      </w:r>
      <w:r w:rsidR="00C22C0F" w:rsidRPr="00296D0C">
        <w:rPr>
          <w:iCs/>
        </w:rPr>
        <w:t xml:space="preserve"> </w:t>
      </w:r>
      <w:r w:rsidRPr="00296D0C">
        <w:rPr>
          <w:iCs/>
        </w:rPr>
        <w:t>1312).</w:t>
      </w:r>
    </w:p>
    <w:p w14:paraId="48B8A1BA" w14:textId="1A42EB2E" w:rsidR="004E0D59" w:rsidRPr="00296D0C" w:rsidRDefault="004E0D59" w:rsidP="00584D9E">
      <w:pPr>
        <w:rPr>
          <w:rFonts w:eastAsiaTheme="majorEastAsia" w:cs="Times New Roman"/>
          <w:bCs/>
        </w:rPr>
      </w:pPr>
      <w:r w:rsidRPr="00296D0C">
        <w:rPr>
          <w:rFonts w:eastAsiaTheme="majorEastAsia" w:cs="Times New Roman"/>
          <w:b/>
          <w:bCs/>
        </w:rPr>
        <w:lastRenderedPageBreak/>
        <w:t xml:space="preserve">Sub-group analyses of </w:t>
      </w:r>
      <w:r w:rsidR="009D1C7F" w:rsidRPr="00296D0C">
        <w:rPr>
          <w:rFonts w:eastAsiaTheme="majorEastAsia" w:cs="Times New Roman"/>
          <w:b/>
          <w:bCs/>
        </w:rPr>
        <w:t>BMI SDS</w:t>
      </w:r>
      <w:r w:rsidRPr="00296D0C">
        <w:rPr>
          <w:rFonts w:eastAsiaTheme="majorEastAsia" w:cs="Times New Roman"/>
          <w:b/>
          <w:bCs/>
        </w:rPr>
        <w:t xml:space="preserve"> at 24 months</w:t>
      </w:r>
    </w:p>
    <w:p w14:paraId="6E21405F" w14:textId="6AEA84B0" w:rsidR="004E0D59" w:rsidRPr="00296D0C" w:rsidRDefault="004E0D59" w:rsidP="004E0D59">
      <w:pPr>
        <w:spacing w:after="0" w:line="360" w:lineRule="auto"/>
        <w:rPr>
          <w:rFonts w:cs="Times New Roman"/>
        </w:rPr>
      </w:pPr>
      <w:r w:rsidRPr="00296D0C">
        <w:rPr>
          <w:rFonts w:cs="Times New Roman"/>
        </w:rPr>
        <w:t xml:space="preserve">The results for the pre-specified sub-groups, defined by gender, school size, free school meal category and cohort, are presented in Table </w:t>
      </w:r>
      <w:r w:rsidR="00D36DF5">
        <w:rPr>
          <w:rFonts w:cs="Times New Roman"/>
        </w:rPr>
        <w:t>9</w:t>
      </w:r>
      <w:r w:rsidRPr="00296D0C">
        <w:rPr>
          <w:rFonts w:cs="Times New Roman"/>
        </w:rPr>
        <w:t xml:space="preserve">. The estimated intervention effects were small and in the same direction within subgroups for gender, cohort and school size, with little or no effect on the </w:t>
      </w:r>
      <w:r w:rsidR="009D1C7F" w:rsidRPr="00296D0C">
        <w:rPr>
          <w:rFonts w:cs="Times New Roman"/>
        </w:rPr>
        <w:t>BMI SDS</w:t>
      </w:r>
      <w:r w:rsidRPr="00296D0C">
        <w:rPr>
          <w:rFonts w:cs="Times New Roman"/>
        </w:rPr>
        <w:t xml:space="preserve"> at 24 months and no evidence for a significant difference from the null effect. </w:t>
      </w:r>
      <w:r w:rsidR="006C472A" w:rsidRPr="00296D0C">
        <w:rPr>
          <w:rFonts w:cs="Times New Roman"/>
        </w:rPr>
        <w:t xml:space="preserve">Interaction terms between each factor and the allocated group were added to the random-effects model and the absence of modifying effects by each factor </w:t>
      </w:r>
      <w:r w:rsidRPr="00296D0C">
        <w:rPr>
          <w:rFonts w:cs="Times New Roman"/>
        </w:rPr>
        <w:t>was confirmed by results from the test of the interaction term</w:t>
      </w:r>
      <w:r w:rsidR="006C472A" w:rsidRPr="00296D0C">
        <w:rPr>
          <w:rFonts w:cs="Times New Roman"/>
        </w:rPr>
        <w:t>. A</w:t>
      </w:r>
      <w:r w:rsidRPr="00296D0C">
        <w:rPr>
          <w:rFonts w:cs="Times New Roman"/>
        </w:rPr>
        <w:t xml:space="preserve">ll p-values were greater than 0.05. Similarly, there was no evidence of a modifying effect on the intervention by the </w:t>
      </w:r>
      <w:r w:rsidR="009D1C7F" w:rsidRPr="00296D0C">
        <w:rPr>
          <w:rFonts w:cs="Times New Roman"/>
        </w:rPr>
        <w:t>BMI SDS</w:t>
      </w:r>
      <w:r w:rsidRPr="00296D0C">
        <w:rPr>
          <w:rFonts w:cs="Times New Roman"/>
        </w:rPr>
        <w:t xml:space="preserve"> at baseline or from the individual child-level IMD scores. The point estimate for the effect of the intervention in either level of the free school meal factor was not significantly different from the null, but while this effect was negative in those schools with less than 19% of their children eligible for free school meals, there was a small, non-significant, increase in the </w:t>
      </w:r>
      <w:r w:rsidR="009D1C7F" w:rsidRPr="00296D0C">
        <w:rPr>
          <w:rFonts w:cs="Times New Roman"/>
        </w:rPr>
        <w:t>BMI SDS</w:t>
      </w:r>
      <w:r w:rsidRPr="00296D0C">
        <w:rPr>
          <w:rFonts w:cs="Times New Roman"/>
        </w:rPr>
        <w:t xml:space="preserve"> in those children from schools where 19% or more pupils were eligible for free school meals.</w:t>
      </w:r>
    </w:p>
    <w:p w14:paraId="0CAF7A9F" w14:textId="77777777" w:rsidR="004E0D59" w:rsidRPr="00296D0C" w:rsidRDefault="004E0D59" w:rsidP="004E0D59">
      <w:pPr>
        <w:spacing w:after="0" w:line="360" w:lineRule="auto"/>
      </w:pPr>
    </w:p>
    <w:p w14:paraId="42FFCDD9" w14:textId="41F13365" w:rsidR="004E0D59" w:rsidRPr="00296D0C" w:rsidRDefault="004E0D59" w:rsidP="004E0D59">
      <w:pPr>
        <w:spacing w:after="0" w:line="360" w:lineRule="auto"/>
      </w:pPr>
      <w:r w:rsidRPr="00296D0C">
        <w:t xml:space="preserve">In summary, there was no evidence of a significant effect of the intervention in any of the pre-specified sub-groups. As noted in </w:t>
      </w:r>
      <w:r w:rsidR="00BF6BAF">
        <w:t>c</w:t>
      </w:r>
      <w:r w:rsidRPr="00296D0C">
        <w:t xml:space="preserve">hapter 2, these sub-group analyses, whilst pre-specified, are considered to be exploratory and the trial was not designed with the aim of being able to detect differences between sub-groups. </w:t>
      </w:r>
    </w:p>
    <w:p w14:paraId="6A88DE7D" w14:textId="77777777" w:rsidR="004E0D59" w:rsidRPr="00296D0C" w:rsidRDefault="004E0D59" w:rsidP="004E0D59"/>
    <w:p w14:paraId="1FCC4764" w14:textId="77777777" w:rsidR="004E0D59" w:rsidRPr="00296D0C" w:rsidRDefault="004E0D59" w:rsidP="004E0D59">
      <w:r w:rsidRPr="00296D0C">
        <w:br w:type="page"/>
      </w:r>
    </w:p>
    <w:p w14:paraId="7ADB82F8" w14:textId="77777777" w:rsidR="004E0D59" w:rsidRPr="00296D0C" w:rsidRDefault="004E0D59" w:rsidP="004E0D59">
      <w:pPr>
        <w:rPr>
          <w:rFonts w:cs="Times New Roman"/>
          <w:b/>
        </w:rPr>
        <w:sectPr w:rsidR="004E0D59" w:rsidRPr="00296D0C" w:rsidSect="00E155EB">
          <w:pgSz w:w="11906" w:h="16838"/>
          <w:pgMar w:top="1440" w:right="1440" w:bottom="1440" w:left="1440" w:header="709" w:footer="113" w:gutter="0"/>
          <w:cols w:space="708"/>
          <w:docGrid w:linePitch="360"/>
        </w:sectPr>
      </w:pPr>
    </w:p>
    <w:p w14:paraId="523C5469" w14:textId="5D4D936A" w:rsidR="004E0D59" w:rsidRPr="00296D0C" w:rsidRDefault="004E0D59" w:rsidP="004E0D59">
      <w:pPr>
        <w:rPr>
          <w:rFonts w:cs="Times New Roman"/>
          <w:b/>
        </w:rPr>
      </w:pPr>
      <w:r w:rsidRPr="00296D0C">
        <w:rPr>
          <w:rFonts w:cs="Times New Roman"/>
          <w:b/>
        </w:rPr>
        <w:lastRenderedPageBreak/>
        <w:t>T</w:t>
      </w:r>
      <w:r w:rsidR="00C752D5" w:rsidRPr="00296D0C">
        <w:rPr>
          <w:rFonts w:cs="Times New Roman"/>
          <w:b/>
        </w:rPr>
        <w:t xml:space="preserve">ABLE </w:t>
      </w:r>
      <w:r w:rsidR="00D36DF5">
        <w:rPr>
          <w:rFonts w:cs="Times New Roman"/>
          <w:b/>
        </w:rPr>
        <w:t>9</w:t>
      </w:r>
      <w:r w:rsidRPr="00296D0C">
        <w:rPr>
          <w:rFonts w:cs="Times New Roman"/>
          <w:b/>
        </w:rPr>
        <w:t xml:space="preserve"> Primary ITT analyses of the effect of the HeLP intervention on the primary outcome, </w:t>
      </w:r>
      <w:r w:rsidR="009D1C7F" w:rsidRPr="00296D0C">
        <w:rPr>
          <w:rFonts w:cs="Times New Roman"/>
          <w:b/>
        </w:rPr>
        <w:t>BMI SDS</w:t>
      </w:r>
      <w:r w:rsidRPr="00296D0C">
        <w:rPr>
          <w:rFonts w:cs="Times New Roman"/>
          <w:b/>
        </w:rPr>
        <w:t>, assessed at 24 months post baseline, in pre-specified sub-groups</w:t>
      </w:r>
    </w:p>
    <w:tbl>
      <w:tblPr>
        <w:tblW w:w="13601" w:type="dxa"/>
        <w:tblLook w:val="04A0" w:firstRow="1" w:lastRow="0" w:firstColumn="1" w:lastColumn="0" w:noHBand="0" w:noVBand="1"/>
      </w:tblPr>
      <w:tblGrid>
        <w:gridCol w:w="3062"/>
        <w:gridCol w:w="1142"/>
        <w:gridCol w:w="1560"/>
        <w:gridCol w:w="1186"/>
        <w:gridCol w:w="1560"/>
        <w:gridCol w:w="1059"/>
        <w:gridCol w:w="2835"/>
        <w:gridCol w:w="1187"/>
        <w:gridCol w:w="10"/>
      </w:tblGrid>
      <w:tr w:rsidR="004E0D59" w:rsidRPr="00296D0C" w14:paraId="3F15C238" w14:textId="77777777" w:rsidTr="002D0625">
        <w:trPr>
          <w:gridAfter w:val="1"/>
          <w:wAfter w:w="10" w:type="dxa"/>
          <w:trHeight w:val="300"/>
        </w:trPr>
        <w:tc>
          <w:tcPr>
            <w:tcW w:w="3062" w:type="dxa"/>
            <w:tcBorders>
              <w:top w:val="nil"/>
              <w:left w:val="nil"/>
              <w:bottom w:val="nil"/>
              <w:right w:val="nil"/>
            </w:tcBorders>
            <w:shd w:val="clear" w:color="auto" w:fill="00CCFF"/>
            <w:noWrap/>
            <w:vAlign w:val="center"/>
            <w:hideMark/>
          </w:tcPr>
          <w:p w14:paraId="6F7F24C5" w14:textId="77777777" w:rsidR="004E0D59" w:rsidRPr="00296D0C" w:rsidRDefault="004E0D59" w:rsidP="004E0D59">
            <w:pPr>
              <w:spacing w:after="0" w:line="240" w:lineRule="auto"/>
              <w:rPr>
                <w:rFonts w:eastAsia="Times New Roman" w:cs="Times New Roman"/>
              </w:rPr>
            </w:pPr>
          </w:p>
        </w:tc>
        <w:tc>
          <w:tcPr>
            <w:tcW w:w="2702" w:type="dxa"/>
            <w:gridSpan w:val="2"/>
            <w:tcBorders>
              <w:top w:val="nil"/>
              <w:left w:val="nil"/>
              <w:bottom w:val="nil"/>
              <w:right w:val="nil"/>
            </w:tcBorders>
            <w:shd w:val="clear" w:color="auto" w:fill="00CCFF"/>
            <w:noWrap/>
            <w:vAlign w:val="center"/>
            <w:hideMark/>
          </w:tcPr>
          <w:p w14:paraId="7BB29798"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Intervention Group</w:t>
            </w:r>
          </w:p>
        </w:tc>
        <w:tc>
          <w:tcPr>
            <w:tcW w:w="2746" w:type="dxa"/>
            <w:gridSpan w:val="2"/>
            <w:tcBorders>
              <w:top w:val="nil"/>
              <w:left w:val="nil"/>
              <w:bottom w:val="nil"/>
              <w:right w:val="nil"/>
            </w:tcBorders>
            <w:shd w:val="clear" w:color="auto" w:fill="00CCFF"/>
            <w:noWrap/>
            <w:vAlign w:val="center"/>
            <w:hideMark/>
          </w:tcPr>
          <w:p w14:paraId="0D6E9024"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Control Group</w:t>
            </w:r>
          </w:p>
        </w:tc>
        <w:tc>
          <w:tcPr>
            <w:tcW w:w="5081" w:type="dxa"/>
            <w:gridSpan w:val="3"/>
            <w:tcBorders>
              <w:top w:val="nil"/>
              <w:left w:val="nil"/>
              <w:bottom w:val="nil"/>
              <w:right w:val="nil"/>
            </w:tcBorders>
            <w:shd w:val="clear" w:color="auto" w:fill="00CCFF"/>
            <w:noWrap/>
            <w:vAlign w:val="center"/>
            <w:hideMark/>
          </w:tcPr>
          <w:p w14:paraId="659C7A89"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Adjusted analysis</w:t>
            </w:r>
          </w:p>
        </w:tc>
      </w:tr>
      <w:tr w:rsidR="004E0D59" w:rsidRPr="00296D0C" w14:paraId="55D8962C" w14:textId="77777777" w:rsidTr="002D0625">
        <w:trPr>
          <w:trHeight w:val="600"/>
        </w:trPr>
        <w:tc>
          <w:tcPr>
            <w:tcW w:w="3062" w:type="dxa"/>
            <w:tcBorders>
              <w:top w:val="nil"/>
              <w:left w:val="nil"/>
              <w:bottom w:val="nil"/>
              <w:right w:val="nil"/>
            </w:tcBorders>
            <w:shd w:val="clear" w:color="auto" w:fill="00CCFF"/>
            <w:vAlign w:val="center"/>
            <w:hideMark/>
          </w:tcPr>
          <w:p w14:paraId="40C8C020"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Sub-group</w:t>
            </w:r>
          </w:p>
        </w:tc>
        <w:tc>
          <w:tcPr>
            <w:tcW w:w="1142" w:type="dxa"/>
            <w:tcBorders>
              <w:top w:val="nil"/>
              <w:left w:val="nil"/>
              <w:bottom w:val="nil"/>
              <w:right w:val="nil"/>
            </w:tcBorders>
            <w:shd w:val="clear" w:color="auto" w:fill="00CCFF"/>
            <w:vAlign w:val="center"/>
            <w:hideMark/>
          </w:tcPr>
          <w:p w14:paraId="707F6709"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n</w:t>
            </w:r>
          </w:p>
        </w:tc>
        <w:tc>
          <w:tcPr>
            <w:tcW w:w="1560" w:type="dxa"/>
            <w:tcBorders>
              <w:top w:val="nil"/>
              <w:left w:val="nil"/>
              <w:bottom w:val="nil"/>
              <w:right w:val="nil"/>
            </w:tcBorders>
            <w:shd w:val="clear" w:color="auto" w:fill="00CCFF"/>
            <w:vAlign w:val="center"/>
            <w:hideMark/>
          </w:tcPr>
          <w:p w14:paraId="62A0B52F"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Mean (SD)</w:t>
            </w:r>
          </w:p>
        </w:tc>
        <w:tc>
          <w:tcPr>
            <w:tcW w:w="1186" w:type="dxa"/>
            <w:tcBorders>
              <w:top w:val="nil"/>
              <w:left w:val="nil"/>
              <w:bottom w:val="nil"/>
              <w:right w:val="nil"/>
            </w:tcBorders>
            <w:shd w:val="clear" w:color="auto" w:fill="00CCFF"/>
            <w:vAlign w:val="center"/>
            <w:hideMark/>
          </w:tcPr>
          <w:p w14:paraId="4A53C216"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n</w:t>
            </w:r>
          </w:p>
        </w:tc>
        <w:tc>
          <w:tcPr>
            <w:tcW w:w="1560" w:type="dxa"/>
            <w:tcBorders>
              <w:top w:val="nil"/>
              <w:left w:val="nil"/>
              <w:bottom w:val="nil"/>
              <w:right w:val="nil"/>
            </w:tcBorders>
            <w:shd w:val="clear" w:color="auto" w:fill="00CCFF"/>
            <w:vAlign w:val="center"/>
            <w:hideMark/>
          </w:tcPr>
          <w:p w14:paraId="0A49A30F"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Mean (SD)</w:t>
            </w:r>
          </w:p>
        </w:tc>
        <w:tc>
          <w:tcPr>
            <w:tcW w:w="1059" w:type="dxa"/>
            <w:tcBorders>
              <w:top w:val="nil"/>
              <w:left w:val="nil"/>
              <w:bottom w:val="nil"/>
              <w:right w:val="nil"/>
            </w:tcBorders>
            <w:shd w:val="clear" w:color="auto" w:fill="00CCFF"/>
            <w:vAlign w:val="center"/>
            <w:hideMark/>
          </w:tcPr>
          <w:p w14:paraId="46011A7D"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Total</w:t>
            </w:r>
          </w:p>
          <w:p w14:paraId="33621569"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n in analysis</w:t>
            </w:r>
          </w:p>
        </w:tc>
        <w:tc>
          <w:tcPr>
            <w:tcW w:w="2835" w:type="dxa"/>
            <w:tcBorders>
              <w:top w:val="nil"/>
              <w:left w:val="nil"/>
              <w:bottom w:val="nil"/>
              <w:right w:val="nil"/>
            </w:tcBorders>
            <w:shd w:val="clear" w:color="auto" w:fill="00CCFF"/>
            <w:vAlign w:val="center"/>
            <w:hideMark/>
          </w:tcPr>
          <w:p w14:paraId="54DC3B7A"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Mean difference (95% CI)</w:t>
            </w:r>
          </w:p>
        </w:tc>
        <w:tc>
          <w:tcPr>
            <w:tcW w:w="1197" w:type="dxa"/>
            <w:gridSpan w:val="2"/>
            <w:tcBorders>
              <w:top w:val="nil"/>
              <w:left w:val="nil"/>
              <w:bottom w:val="nil"/>
              <w:right w:val="nil"/>
            </w:tcBorders>
            <w:shd w:val="clear" w:color="auto" w:fill="00CCFF"/>
            <w:vAlign w:val="center"/>
            <w:hideMark/>
          </w:tcPr>
          <w:p w14:paraId="1FE2AB76"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p-value for interaction</w:t>
            </w:r>
          </w:p>
        </w:tc>
      </w:tr>
      <w:tr w:rsidR="004E0D59" w:rsidRPr="00296D0C" w14:paraId="47731792" w14:textId="77777777" w:rsidTr="002D0625">
        <w:trPr>
          <w:trHeight w:val="340"/>
        </w:trPr>
        <w:tc>
          <w:tcPr>
            <w:tcW w:w="3062" w:type="dxa"/>
            <w:tcBorders>
              <w:top w:val="single" w:sz="4" w:space="0" w:color="auto"/>
              <w:left w:val="nil"/>
              <w:bottom w:val="nil"/>
              <w:right w:val="nil"/>
            </w:tcBorders>
            <w:shd w:val="clear" w:color="auto" w:fill="auto"/>
            <w:noWrap/>
            <w:vAlign w:val="center"/>
            <w:hideMark/>
          </w:tcPr>
          <w:p w14:paraId="7105FAAF" w14:textId="77777777" w:rsidR="004E0D59" w:rsidRPr="00296D0C" w:rsidRDefault="004E0D59" w:rsidP="004E0D59">
            <w:r w:rsidRPr="00296D0C">
              <w:t>School size</w:t>
            </w:r>
          </w:p>
        </w:tc>
        <w:tc>
          <w:tcPr>
            <w:tcW w:w="1142" w:type="dxa"/>
            <w:tcBorders>
              <w:top w:val="single" w:sz="4" w:space="0" w:color="auto"/>
              <w:left w:val="nil"/>
              <w:bottom w:val="nil"/>
              <w:right w:val="nil"/>
            </w:tcBorders>
            <w:shd w:val="clear" w:color="auto" w:fill="auto"/>
            <w:noWrap/>
            <w:vAlign w:val="center"/>
            <w:hideMark/>
          </w:tcPr>
          <w:p w14:paraId="0D6F1093" w14:textId="77777777" w:rsidR="004E0D59" w:rsidRPr="00296D0C" w:rsidRDefault="004E0D59" w:rsidP="004E0D59"/>
        </w:tc>
        <w:tc>
          <w:tcPr>
            <w:tcW w:w="1560" w:type="dxa"/>
            <w:tcBorders>
              <w:top w:val="single" w:sz="4" w:space="0" w:color="auto"/>
              <w:left w:val="nil"/>
              <w:bottom w:val="nil"/>
              <w:right w:val="nil"/>
            </w:tcBorders>
            <w:shd w:val="clear" w:color="auto" w:fill="auto"/>
            <w:noWrap/>
            <w:vAlign w:val="center"/>
            <w:hideMark/>
          </w:tcPr>
          <w:p w14:paraId="78DB9AC2" w14:textId="77777777" w:rsidR="004E0D59" w:rsidRPr="00296D0C" w:rsidRDefault="004E0D59" w:rsidP="004E0D59"/>
        </w:tc>
        <w:tc>
          <w:tcPr>
            <w:tcW w:w="1186" w:type="dxa"/>
            <w:tcBorders>
              <w:top w:val="single" w:sz="4" w:space="0" w:color="auto"/>
              <w:left w:val="nil"/>
              <w:bottom w:val="nil"/>
              <w:right w:val="nil"/>
            </w:tcBorders>
            <w:shd w:val="clear" w:color="auto" w:fill="auto"/>
            <w:noWrap/>
            <w:vAlign w:val="center"/>
            <w:hideMark/>
          </w:tcPr>
          <w:p w14:paraId="1BCD0FFF" w14:textId="77777777" w:rsidR="004E0D59" w:rsidRPr="00296D0C" w:rsidRDefault="004E0D59" w:rsidP="004E0D59"/>
        </w:tc>
        <w:tc>
          <w:tcPr>
            <w:tcW w:w="1560" w:type="dxa"/>
            <w:tcBorders>
              <w:top w:val="single" w:sz="4" w:space="0" w:color="auto"/>
              <w:left w:val="nil"/>
              <w:bottom w:val="nil"/>
              <w:right w:val="nil"/>
            </w:tcBorders>
            <w:shd w:val="clear" w:color="auto" w:fill="auto"/>
            <w:noWrap/>
            <w:vAlign w:val="center"/>
            <w:hideMark/>
          </w:tcPr>
          <w:p w14:paraId="24EB6582" w14:textId="77777777" w:rsidR="004E0D59" w:rsidRPr="00296D0C" w:rsidRDefault="004E0D59" w:rsidP="004E0D59"/>
        </w:tc>
        <w:tc>
          <w:tcPr>
            <w:tcW w:w="1059" w:type="dxa"/>
            <w:tcBorders>
              <w:top w:val="single" w:sz="4" w:space="0" w:color="auto"/>
              <w:left w:val="nil"/>
              <w:bottom w:val="nil"/>
              <w:right w:val="nil"/>
            </w:tcBorders>
            <w:shd w:val="clear" w:color="auto" w:fill="auto"/>
            <w:noWrap/>
            <w:vAlign w:val="center"/>
            <w:hideMark/>
          </w:tcPr>
          <w:p w14:paraId="75A1E4B8" w14:textId="77777777" w:rsidR="004E0D59" w:rsidRPr="00296D0C" w:rsidRDefault="004E0D59" w:rsidP="004E0D59"/>
        </w:tc>
        <w:tc>
          <w:tcPr>
            <w:tcW w:w="2835" w:type="dxa"/>
            <w:tcBorders>
              <w:top w:val="single" w:sz="4" w:space="0" w:color="auto"/>
              <w:left w:val="nil"/>
              <w:bottom w:val="nil"/>
              <w:right w:val="nil"/>
            </w:tcBorders>
            <w:shd w:val="clear" w:color="auto" w:fill="auto"/>
            <w:noWrap/>
            <w:vAlign w:val="center"/>
            <w:hideMark/>
          </w:tcPr>
          <w:p w14:paraId="5ED06565" w14:textId="77777777" w:rsidR="004E0D59" w:rsidRPr="00296D0C" w:rsidRDefault="004E0D59" w:rsidP="004E0D59"/>
        </w:tc>
        <w:tc>
          <w:tcPr>
            <w:tcW w:w="1197" w:type="dxa"/>
            <w:gridSpan w:val="2"/>
            <w:tcBorders>
              <w:top w:val="single" w:sz="4" w:space="0" w:color="auto"/>
              <w:left w:val="nil"/>
              <w:bottom w:val="nil"/>
              <w:right w:val="nil"/>
            </w:tcBorders>
            <w:shd w:val="clear" w:color="auto" w:fill="auto"/>
            <w:noWrap/>
            <w:vAlign w:val="center"/>
            <w:hideMark/>
          </w:tcPr>
          <w:p w14:paraId="7BCECBF3" w14:textId="77777777" w:rsidR="004E0D59" w:rsidRPr="00296D0C" w:rsidRDefault="004E0D59" w:rsidP="004E0D59">
            <w:pPr>
              <w:jc w:val="center"/>
            </w:pPr>
          </w:p>
        </w:tc>
      </w:tr>
      <w:tr w:rsidR="004E0D59" w:rsidRPr="00296D0C" w14:paraId="3F4FB81D" w14:textId="77777777" w:rsidTr="002D0625">
        <w:trPr>
          <w:trHeight w:val="170"/>
        </w:trPr>
        <w:tc>
          <w:tcPr>
            <w:tcW w:w="3062" w:type="dxa"/>
            <w:tcBorders>
              <w:top w:val="nil"/>
              <w:left w:val="nil"/>
              <w:bottom w:val="nil"/>
              <w:right w:val="nil"/>
            </w:tcBorders>
            <w:shd w:val="clear" w:color="auto" w:fill="auto"/>
            <w:noWrap/>
            <w:vAlign w:val="center"/>
            <w:hideMark/>
          </w:tcPr>
          <w:p w14:paraId="255C2444" w14:textId="77777777" w:rsidR="004E0D59" w:rsidRPr="00296D0C" w:rsidRDefault="004E0D59" w:rsidP="004E0D59">
            <w:pPr>
              <w:ind w:left="171"/>
            </w:pPr>
            <w:r w:rsidRPr="00296D0C">
              <w:t>Single Year 5 class</w:t>
            </w:r>
          </w:p>
        </w:tc>
        <w:tc>
          <w:tcPr>
            <w:tcW w:w="1142" w:type="dxa"/>
            <w:tcBorders>
              <w:top w:val="nil"/>
              <w:left w:val="nil"/>
              <w:bottom w:val="nil"/>
              <w:right w:val="nil"/>
            </w:tcBorders>
            <w:shd w:val="clear" w:color="auto" w:fill="auto"/>
            <w:noWrap/>
            <w:hideMark/>
          </w:tcPr>
          <w:p w14:paraId="5AE81194" w14:textId="77777777" w:rsidR="004E0D59" w:rsidRPr="00296D0C" w:rsidRDefault="004E0D59" w:rsidP="004E0D59">
            <w:pPr>
              <w:jc w:val="center"/>
            </w:pPr>
            <w:r w:rsidRPr="00296D0C">
              <w:t>197</w:t>
            </w:r>
          </w:p>
        </w:tc>
        <w:tc>
          <w:tcPr>
            <w:tcW w:w="1560" w:type="dxa"/>
            <w:tcBorders>
              <w:top w:val="nil"/>
              <w:left w:val="nil"/>
              <w:bottom w:val="nil"/>
              <w:right w:val="nil"/>
            </w:tcBorders>
            <w:shd w:val="clear" w:color="auto" w:fill="auto"/>
            <w:noWrap/>
            <w:vAlign w:val="bottom"/>
            <w:hideMark/>
          </w:tcPr>
          <w:p w14:paraId="13F7428B" w14:textId="77777777" w:rsidR="004E0D59" w:rsidRPr="00296D0C" w:rsidRDefault="004E0D59" w:rsidP="00552FE8">
            <w:pPr>
              <w:jc w:val="center"/>
            </w:pPr>
            <w:r w:rsidRPr="00296D0C">
              <w:rPr>
                <w:color w:val="000000"/>
              </w:rPr>
              <w:t>0.22 (1.2</w:t>
            </w:r>
            <w:r w:rsidR="00552FE8" w:rsidRPr="00296D0C">
              <w:rPr>
                <w:color w:val="000000"/>
              </w:rPr>
              <w:t>8</w:t>
            </w:r>
            <w:r w:rsidRPr="00296D0C">
              <w:rPr>
                <w:color w:val="000000"/>
              </w:rPr>
              <w:t>)</w:t>
            </w:r>
          </w:p>
        </w:tc>
        <w:tc>
          <w:tcPr>
            <w:tcW w:w="1186" w:type="dxa"/>
            <w:tcBorders>
              <w:top w:val="nil"/>
              <w:left w:val="nil"/>
              <w:bottom w:val="nil"/>
              <w:right w:val="nil"/>
            </w:tcBorders>
            <w:shd w:val="clear" w:color="auto" w:fill="auto"/>
            <w:noWrap/>
            <w:vAlign w:val="bottom"/>
            <w:hideMark/>
          </w:tcPr>
          <w:p w14:paraId="0FC097EE" w14:textId="77777777" w:rsidR="004E0D59" w:rsidRPr="00296D0C" w:rsidRDefault="004E0D59" w:rsidP="004E0D59">
            <w:pPr>
              <w:jc w:val="center"/>
            </w:pPr>
            <w:r w:rsidRPr="00296D0C">
              <w:rPr>
                <w:color w:val="000000"/>
              </w:rPr>
              <w:t>249</w:t>
            </w:r>
          </w:p>
        </w:tc>
        <w:tc>
          <w:tcPr>
            <w:tcW w:w="1560" w:type="dxa"/>
            <w:tcBorders>
              <w:top w:val="nil"/>
              <w:left w:val="nil"/>
              <w:bottom w:val="nil"/>
              <w:right w:val="nil"/>
            </w:tcBorders>
            <w:shd w:val="clear" w:color="auto" w:fill="auto"/>
            <w:noWrap/>
            <w:vAlign w:val="bottom"/>
            <w:hideMark/>
          </w:tcPr>
          <w:p w14:paraId="6A91393C" w14:textId="77777777" w:rsidR="004E0D59" w:rsidRPr="00296D0C" w:rsidRDefault="004E0D59" w:rsidP="00552FE8">
            <w:pPr>
              <w:jc w:val="center"/>
            </w:pPr>
            <w:r w:rsidRPr="00296D0C">
              <w:rPr>
                <w:color w:val="000000"/>
              </w:rPr>
              <w:t>0.1</w:t>
            </w:r>
            <w:r w:rsidR="00552FE8" w:rsidRPr="00296D0C">
              <w:rPr>
                <w:color w:val="000000"/>
              </w:rPr>
              <w:t>1</w:t>
            </w:r>
            <w:r w:rsidRPr="00296D0C">
              <w:rPr>
                <w:color w:val="000000"/>
              </w:rPr>
              <w:t xml:space="preserve"> (1.23)</w:t>
            </w:r>
          </w:p>
        </w:tc>
        <w:tc>
          <w:tcPr>
            <w:tcW w:w="1059" w:type="dxa"/>
            <w:tcBorders>
              <w:top w:val="nil"/>
              <w:left w:val="nil"/>
              <w:bottom w:val="nil"/>
              <w:right w:val="nil"/>
            </w:tcBorders>
            <w:shd w:val="clear" w:color="auto" w:fill="auto"/>
            <w:noWrap/>
            <w:vAlign w:val="center"/>
            <w:hideMark/>
          </w:tcPr>
          <w:p w14:paraId="604DA057" w14:textId="77777777" w:rsidR="004E0D59" w:rsidRPr="00296D0C" w:rsidRDefault="004E0D59" w:rsidP="004E0D59">
            <w:pPr>
              <w:jc w:val="center"/>
            </w:pPr>
            <w:r w:rsidRPr="00296D0C">
              <w:t>444</w:t>
            </w:r>
          </w:p>
        </w:tc>
        <w:tc>
          <w:tcPr>
            <w:tcW w:w="2835" w:type="dxa"/>
            <w:tcBorders>
              <w:top w:val="nil"/>
              <w:left w:val="nil"/>
              <w:bottom w:val="nil"/>
              <w:right w:val="nil"/>
            </w:tcBorders>
            <w:shd w:val="clear" w:color="auto" w:fill="auto"/>
            <w:noWrap/>
            <w:vAlign w:val="center"/>
            <w:hideMark/>
          </w:tcPr>
          <w:p w14:paraId="1D0D18E0" w14:textId="77777777" w:rsidR="004E0D59" w:rsidRPr="00296D0C" w:rsidRDefault="004E0D59" w:rsidP="00552FE8">
            <w:pPr>
              <w:jc w:val="center"/>
            </w:pPr>
            <w:r w:rsidRPr="00296D0C">
              <w:t>-0.0</w:t>
            </w:r>
            <w:r w:rsidR="00552FE8" w:rsidRPr="00296D0C">
              <w:t>6</w:t>
            </w:r>
            <w:r w:rsidRPr="00296D0C">
              <w:t xml:space="preserve"> (-0.20, 0.09)</w:t>
            </w:r>
          </w:p>
        </w:tc>
        <w:tc>
          <w:tcPr>
            <w:tcW w:w="1197" w:type="dxa"/>
            <w:gridSpan w:val="2"/>
            <w:vMerge w:val="restart"/>
            <w:tcBorders>
              <w:top w:val="nil"/>
              <w:left w:val="nil"/>
              <w:right w:val="nil"/>
            </w:tcBorders>
            <w:shd w:val="clear" w:color="auto" w:fill="auto"/>
            <w:noWrap/>
            <w:vAlign w:val="center"/>
            <w:hideMark/>
          </w:tcPr>
          <w:p w14:paraId="1A80191A" w14:textId="77777777" w:rsidR="004E0D59" w:rsidRPr="00296D0C" w:rsidRDefault="004E0D59" w:rsidP="004E0D59">
            <w:pPr>
              <w:jc w:val="center"/>
            </w:pPr>
            <w:r w:rsidRPr="00296D0C">
              <w:t>0.559</w:t>
            </w:r>
          </w:p>
        </w:tc>
      </w:tr>
      <w:tr w:rsidR="004E0D59" w:rsidRPr="00296D0C" w14:paraId="6547C1B8" w14:textId="77777777" w:rsidTr="002D0625">
        <w:trPr>
          <w:trHeight w:val="170"/>
        </w:trPr>
        <w:tc>
          <w:tcPr>
            <w:tcW w:w="3062" w:type="dxa"/>
            <w:tcBorders>
              <w:top w:val="nil"/>
              <w:left w:val="nil"/>
              <w:bottom w:val="single" w:sz="4" w:space="0" w:color="auto"/>
              <w:right w:val="nil"/>
            </w:tcBorders>
            <w:shd w:val="clear" w:color="auto" w:fill="auto"/>
            <w:noWrap/>
            <w:vAlign w:val="center"/>
            <w:hideMark/>
          </w:tcPr>
          <w:p w14:paraId="7056F6D1" w14:textId="77777777" w:rsidR="004E0D59" w:rsidRPr="00296D0C" w:rsidRDefault="004E0D59" w:rsidP="004E0D59">
            <w:pPr>
              <w:spacing w:after="0" w:line="240" w:lineRule="auto"/>
              <w:ind w:left="171"/>
              <w:rPr>
                <w:rFonts w:eastAsia="Times New Roman" w:cs="Times New Roman"/>
                <w:color w:val="000000"/>
              </w:rPr>
            </w:pPr>
            <w:r w:rsidRPr="00296D0C">
              <w:t>Multiple Year 5 classes</w:t>
            </w:r>
          </w:p>
        </w:tc>
        <w:tc>
          <w:tcPr>
            <w:tcW w:w="1142" w:type="dxa"/>
            <w:tcBorders>
              <w:top w:val="nil"/>
              <w:left w:val="nil"/>
              <w:bottom w:val="single" w:sz="4" w:space="0" w:color="auto"/>
              <w:right w:val="nil"/>
            </w:tcBorders>
            <w:shd w:val="clear" w:color="auto" w:fill="auto"/>
            <w:noWrap/>
            <w:hideMark/>
          </w:tcPr>
          <w:p w14:paraId="5347984D" w14:textId="2A2F423D" w:rsidR="004E0D59" w:rsidRPr="00296D0C" w:rsidRDefault="004E0D59" w:rsidP="00FD343D">
            <w:pPr>
              <w:spacing w:after="0" w:line="240" w:lineRule="auto"/>
              <w:jc w:val="center"/>
              <w:rPr>
                <w:rFonts w:eastAsia="Times New Roman" w:cs="Times New Roman"/>
                <w:color w:val="000000"/>
              </w:rPr>
            </w:pPr>
            <w:r w:rsidRPr="00296D0C">
              <w:t>43</w:t>
            </w:r>
            <w:r w:rsidR="00FD343D">
              <w:t>3</w:t>
            </w:r>
          </w:p>
        </w:tc>
        <w:tc>
          <w:tcPr>
            <w:tcW w:w="1560" w:type="dxa"/>
            <w:tcBorders>
              <w:top w:val="nil"/>
              <w:left w:val="nil"/>
              <w:bottom w:val="single" w:sz="4" w:space="0" w:color="auto"/>
              <w:right w:val="nil"/>
            </w:tcBorders>
            <w:shd w:val="clear" w:color="auto" w:fill="auto"/>
            <w:noWrap/>
            <w:vAlign w:val="bottom"/>
            <w:hideMark/>
          </w:tcPr>
          <w:p w14:paraId="7CAA9CDB" w14:textId="77777777" w:rsidR="004E0D59" w:rsidRPr="00296D0C" w:rsidRDefault="004E0D59" w:rsidP="00552FE8">
            <w:pPr>
              <w:spacing w:after="0" w:line="240" w:lineRule="auto"/>
              <w:jc w:val="center"/>
              <w:rPr>
                <w:rFonts w:eastAsia="Times New Roman" w:cs="Times New Roman"/>
                <w:color w:val="000000"/>
              </w:rPr>
            </w:pPr>
            <w:r w:rsidRPr="00296D0C">
              <w:rPr>
                <w:color w:val="000000"/>
              </w:rPr>
              <w:t>0.4</w:t>
            </w:r>
            <w:r w:rsidR="00552FE8" w:rsidRPr="00296D0C">
              <w:rPr>
                <w:color w:val="000000"/>
              </w:rPr>
              <w:t>1</w:t>
            </w:r>
            <w:r w:rsidRPr="00296D0C">
              <w:rPr>
                <w:color w:val="000000"/>
              </w:rPr>
              <w:t xml:space="preserve"> (1.23)</w:t>
            </w:r>
          </w:p>
        </w:tc>
        <w:tc>
          <w:tcPr>
            <w:tcW w:w="1186" w:type="dxa"/>
            <w:tcBorders>
              <w:top w:val="nil"/>
              <w:left w:val="nil"/>
              <w:bottom w:val="single" w:sz="4" w:space="0" w:color="auto"/>
              <w:right w:val="nil"/>
            </w:tcBorders>
            <w:shd w:val="clear" w:color="auto" w:fill="auto"/>
            <w:noWrap/>
            <w:vAlign w:val="bottom"/>
            <w:hideMark/>
          </w:tcPr>
          <w:p w14:paraId="38508A6D" w14:textId="77777777" w:rsidR="004E0D59" w:rsidRPr="00296D0C" w:rsidRDefault="004E0D59" w:rsidP="004E0D59">
            <w:pPr>
              <w:spacing w:after="0" w:line="240" w:lineRule="auto"/>
              <w:jc w:val="center"/>
              <w:rPr>
                <w:rFonts w:eastAsia="Times New Roman" w:cs="Times New Roman"/>
                <w:color w:val="000000"/>
              </w:rPr>
            </w:pPr>
            <w:r w:rsidRPr="00296D0C">
              <w:rPr>
                <w:color w:val="000000"/>
              </w:rPr>
              <w:t>371</w:t>
            </w:r>
          </w:p>
        </w:tc>
        <w:tc>
          <w:tcPr>
            <w:tcW w:w="1560" w:type="dxa"/>
            <w:tcBorders>
              <w:top w:val="nil"/>
              <w:left w:val="nil"/>
              <w:bottom w:val="single" w:sz="4" w:space="0" w:color="auto"/>
              <w:right w:val="nil"/>
            </w:tcBorders>
            <w:shd w:val="clear" w:color="auto" w:fill="auto"/>
            <w:noWrap/>
            <w:vAlign w:val="bottom"/>
            <w:hideMark/>
          </w:tcPr>
          <w:p w14:paraId="04DB3DA9" w14:textId="77777777" w:rsidR="004E0D59" w:rsidRPr="00296D0C" w:rsidRDefault="004E0D59" w:rsidP="00552FE8">
            <w:pPr>
              <w:spacing w:after="0" w:line="240" w:lineRule="auto"/>
              <w:jc w:val="center"/>
              <w:rPr>
                <w:rFonts w:eastAsia="Times New Roman" w:cs="Times New Roman"/>
                <w:color w:val="000000"/>
              </w:rPr>
            </w:pPr>
            <w:r w:rsidRPr="00296D0C">
              <w:rPr>
                <w:color w:val="000000"/>
              </w:rPr>
              <w:t>0.2</w:t>
            </w:r>
            <w:r w:rsidR="00552FE8" w:rsidRPr="00296D0C">
              <w:rPr>
                <w:color w:val="000000"/>
              </w:rPr>
              <w:t>9</w:t>
            </w:r>
            <w:r w:rsidRPr="00296D0C">
              <w:rPr>
                <w:color w:val="000000"/>
              </w:rPr>
              <w:t xml:space="preserve"> (1.20)</w:t>
            </w:r>
          </w:p>
        </w:tc>
        <w:tc>
          <w:tcPr>
            <w:tcW w:w="1059" w:type="dxa"/>
            <w:tcBorders>
              <w:top w:val="nil"/>
              <w:left w:val="nil"/>
              <w:bottom w:val="single" w:sz="4" w:space="0" w:color="auto"/>
              <w:right w:val="nil"/>
            </w:tcBorders>
            <w:shd w:val="clear" w:color="auto" w:fill="auto"/>
            <w:noWrap/>
            <w:vAlign w:val="center"/>
            <w:hideMark/>
          </w:tcPr>
          <w:p w14:paraId="69D92980" w14:textId="77777777" w:rsidR="004E0D59" w:rsidRPr="00296D0C" w:rsidRDefault="004E0D59" w:rsidP="004E0D59">
            <w:pPr>
              <w:spacing w:after="0" w:line="240" w:lineRule="auto"/>
              <w:jc w:val="center"/>
              <w:rPr>
                <w:rFonts w:eastAsia="Times New Roman" w:cs="Times New Roman"/>
                <w:color w:val="000000"/>
              </w:rPr>
            </w:pPr>
            <w:r w:rsidRPr="00296D0C">
              <w:t>800</w:t>
            </w:r>
          </w:p>
        </w:tc>
        <w:tc>
          <w:tcPr>
            <w:tcW w:w="2835" w:type="dxa"/>
            <w:tcBorders>
              <w:top w:val="nil"/>
              <w:left w:val="nil"/>
              <w:bottom w:val="single" w:sz="4" w:space="0" w:color="auto"/>
              <w:right w:val="nil"/>
            </w:tcBorders>
            <w:shd w:val="clear" w:color="auto" w:fill="auto"/>
            <w:noWrap/>
            <w:vAlign w:val="center"/>
            <w:hideMark/>
          </w:tcPr>
          <w:p w14:paraId="4B19FAAD" w14:textId="77777777" w:rsidR="004E0D59" w:rsidRPr="00296D0C" w:rsidRDefault="004E0D59" w:rsidP="00552FE8">
            <w:pPr>
              <w:spacing w:after="0" w:line="240" w:lineRule="auto"/>
              <w:jc w:val="center"/>
              <w:rPr>
                <w:rFonts w:eastAsia="Times New Roman" w:cs="Times New Roman"/>
                <w:color w:val="000000"/>
              </w:rPr>
            </w:pPr>
            <w:r w:rsidRPr="00296D0C">
              <w:t>-0.0</w:t>
            </w:r>
            <w:r w:rsidR="00552FE8" w:rsidRPr="00296D0C">
              <w:t>1</w:t>
            </w:r>
            <w:r w:rsidRPr="00296D0C">
              <w:t xml:space="preserve"> (-0.1</w:t>
            </w:r>
            <w:r w:rsidR="00552FE8" w:rsidRPr="00296D0C">
              <w:t>3</w:t>
            </w:r>
            <w:r w:rsidRPr="00296D0C">
              <w:t>, 0.11)</w:t>
            </w:r>
          </w:p>
        </w:tc>
        <w:tc>
          <w:tcPr>
            <w:tcW w:w="1197" w:type="dxa"/>
            <w:gridSpan w:val="2"/>
            <w:vMerge/>
            <w:tcBorders>
              <w:left w:val="nil"/>
              <w:bottom w:val="single" w:sz="4" w:space="0" w:color="auto"/>
              <w:right w:val="nil"/>
            </w:tcBorders>
            <w:shd w:val="clear" w:color="auto" w:fill="auto"/>
            <w:noWrap/>
            <w:vAlign w:val="center"/>
            <w:hideMark/>
          </w:tcPr>
          <w:p w14:paraId="3EB29D42" w14:textId="77777777" w:rsidR="004E0D59" w:rsidRPr="00296D0C" w:rsidRDefault="004E0D59" w:rsidP="004E0D59">
            <w:pPr>
              <w:spacing w:after="0" w:line="240" w:lineRule="auto"/>
              <w:jc w:val="center"/>
              <w:rPr>
                <w:rFonts w:eastAsia="Times New Roman" w:cs="Times New Roman"/>
                <w:color w:val="000000"/>
              </w:rPr>
            </w:pPr>
          </w:p>
        </w:tc>
      </w:tr>
      <w:tr w:rsidR="004E0D59" w:rsidRPr="00296D0C" w14:paraId="6A8F3065" w14:textId="77777777" w:rsidTr="002D0625">
        <w:trPr>
          <w:trHeight w:val="20"/>
        </w:trPr>
        <w:tc>
          <w:tcPr>
            <w:tcW w:w="3062" w:type="dxa"/>
            <w:tcBorders>
              <w:top w:val="single" w:sz="4" w:space="0" w:color="auto"/>
              <w:left w:val="nil"/>
              <w:right w:val="nil"/>
            </w:tcBorders>
            <w:shd w:val="clear" w:color="auto" w:fill="auto"/>
            <w:vAlign w:val="center"/>
          </w:tcPr>
          <w:p w14:paraId="0CDF9A65" w14:textId="77777777" w:rsidR="004E0D59" w:rsidRPr="00296D0C" w:rsidRDefault="004E0D59" w:rsidP="004E0D59">
            <w:r w:rsidRPr="00296D0C">
              <w:t>Free school meal category</w:t>
            </w:r>
          </w:p>
        </w:tc>
        <w:tc>
          <w:tcPr>
            <w:tcW w:w="1142" w:type="dxa"/>
            <w:tcBorders>
              <w:top w:val="single" w:sz="4" w:space="0" w:color="auto"/>
              <w:left w:val="nil"/>
              <w:right w:val="nil"/>
            </w:tcBorders>
            <w:shd w:val="clear" w:color="auto" w:fill="auto"/>
            <w:vAlign w:val="center"/>
          </w:tcPr>
          <w:p w14:paraId="7932D367" w14:textId="77777777" w:rsidR="004E0D59" w:rsidRPr="00296D0C" w:rsidRDefault="004E0D59" w:rsidP="004E0D59">
            <w:pPr>
              <w:jc w:val="center"/>
            </w:pPr>
          </w:p>
        </w:tc>
        <w:tc>
          <w:tcPr>
            <w:tcW w:w="1560" w:type="dxa"/>
            <w:tcBorders>
              <w:top w:val="single" w:sz="4" w:space="0" w:color="auto"/>
              <w:left w:val="nil"/>
              <w:right w:val="nil"/>
            </w:tcBorders>
            <w:shd w:val="clear" w:color="auto" w:fill="auto"/>
            <w:vAlign w:val="center"/>
          </w:tcPr>
          <w:p w14:paraId="2DE517E5" w14:textId="77777777" w:rsidR="004E0D59" w:rsidRPr="00296D0C" w:rsidRDefault="004E0D59" w:rsidP="004E0D59">
            <w:pPr>
              <w:jc w:val="center"/>
            </w:pPr>
          </w:p>
        </w:tc>
        <w:tc>
          <w:tcPr>
            <w:tcW w:w="1186" w:type="dxa"/>
            <w:tcBorders>
              <w:top w:val="single" w:sz="4" w:space="0" w:color="auto"/>
              <w:left w:val="nil"/>
              <w:right w:val="nil"/>
            </w:tcBorders>
            <w:shd w:val="clear" w:color="auto" w:fill="auto"/>
            <w:vAlign w:val="center"/>
          </w:tcPr>
          <w:p w14:paraId="48D2813C" w14:textId="77777777" w:rsidR="004E0D59" w:rsidRPr="00296D0C" w:rsidRDefault="004E0D59" w:rsidP="004E0D59">
            <w:pPr>
              <w:jc w:val="center"/>
            </w:pPr>
          </w:p>
        </w:tc>
        <w:tc>
          <w:tcPr>
            <w:tcW w:w="1560" w:type="dxa"/>
            <w:tcBorders>
              <w:top w:val="single" w:sz="4" w:space="0" w:color="auto"/>
              <w:left w:val="nil"/>
              <w:right w:val="nil"/>
            </w:tcBorders>
            <w:shd w:val="clear" w:color="auto" w:fill="auto"/>
            <w:vAlign w:val="center"/>
          </w:tcPr>
          <w:p w14:paraId="4EB4BADB" w14:textId="77777777" w:rsidR="004E0D59" w:rsidRPr="00296D0C" w:rsidRDefault="004E0D59" w:rsidP="004E0D59">
            <w:pPr>
              <w:jc w:val="center"/>
            </w:pPr>
          </w:p>
        </w:tc>
        <w:tc>
          <w:tcPr>
            <w:tcW w:w="1059" w:type="dxa"/>
            <w:tcBorders>
              <w:top w:val="single" w:sz="4" w:space="0" w:color="auto"/>
              <w:left w:val="nil"/>
              <w:right w:val="nil"/>
            </w:tcBorders>
            <w:shd w:val="clear" w:color="auto" w:fill="auto"/>
            <w:vAlign w:val="center"/>
          </w:tcPr>
          <w:p w14:paraId="06713828" w14:textId="77777777" w:rsidR="004E0D59" w:rsidRPr="00296D0C" w:rsidRDefault="004E0D59" w:rsidP="004E0D59">
            <w:pPr>
              <w:jc w:val="center"/>
            </w:pPr>
          </w:p>
        </w:tc>
        <w:tc>
          <w:tcPr>
            <w:tcW w:w="2835" w:type="dxa"/>
            <w:tcBorders>
              <w:top w:val="single" w:sz="4" w:space="0" w:color="auto"/>
              <w:left w:val="nil"/>
              <w:right w:val="nil"/>
            </w:tcBorders>
            <w:shd w:val="clear" w:color="auto" w:fill="auto"/>
            <w:vAlign w:val="center"/>
          </w:tcPr>
          <w:p w14:paraId="40840CC8" w14:textId="77777777" w:rsidR="004E0D59" w:rsidRPr="00296D0C" w:rsidRDefault="004E0D59" w:rsidP="004E0D59">
            <w:pPr>
              <w:jc w:val="center"/>
            </w:pPr>
          </w:p>
        </w:tc>
        <w:tc>
          <w:tcPr>
            <w:tcW w:w="1197" w:type="dxa"/>
            <w:gridSpan w:val="2"/>
            <w:tcBorders>
              <w:top w:val="single" w:sz="4" w:space="0" w:color="auto"/>
              <w:left w:val="nil"/>
              <w:right w:val="nil"/>
            </w:tcBorders>
            <w:shd w:val="clear" w:color="auto" w:fill="auto"/>
            <w:vAlign w:val="center"/>
          </w:tcPr>
          <w:p w14:paraId="24EB1B9E" w14:textId="77777777" w:rsidR="004E0D59" w:rsidRPr="00296D0C" w:rsidRDefault="004E0D59" w:rsidP="004E0D59">
            <w:pPr>
              <w:jc w:val="center"/>
            </w:pPr>
          </w:p>
        </w:tc>
      </w:tr>
      <w:tr w:rsidR="004E0D59" w:rsidRPr="00296D0C" w14:paraId="0C184C62" w14:textId="77777777" w:rsidTr="002D0625">
        <w:trPr>
          <w:trHeight w:val="20"/>
        </w:trPr>
        <w:tc>
          <w:tcPr>
            <w:tcW w:w="3062" w:type="dxa"/>
            <w:tcBorders>
              <w:left w:val="nil"/>
              <w:right w:val="nil"/>
            </w:tcBorders>
            <w:shd w:val="clear" w:color="auto" w:fill="auto"/>
            <w:vAlign w:val="center"/>
          </w:tcPr>
          <w:p w14:paraId="12409525" w14:textId="39F8562D" w:rsidR="004E0D59" w:rsidRPr="00296D0C" w:rsidRDefault="004E0D59" w:rsidP="004E0D59">
            <w:pPr>
              <w:ind w:left="171"/>
            </w:pPr>
            <w:r w:rsidRPr="00296D0C">
              <w:t>&lt;</w:t>
            </w:r>
            <w:r w:rsidR="006E48C3" w:rsidRPr="00296D0C">
              <w:t xml:space="preserve"> </w:t>
            </w:r>
            <w:r w:rsidRPr="00296D0C">
              <w:t>19% of children</w:t>
            </w:r>
          </w:p>
        </w:tc>
        <w:tc>
          <w:tcPr>
            <w:tcW w:w="1142" w:type="dxa"/>
            <w:tcBorders>
              <w:left w:val="nil"/>
              <w:right w:val="nil"/>
            </w:tcBorders>
            <w:shd w:val="clear" w:color="auto" w:fill="auto"/>
          </w:tcPr>
          <w:p w14:paraId="52A668FC" w14:textId="720CE3D7" w:rsidR="004E0D59" w:rsidRPr="00296D0C" w:rsidRDefault="004E0D59" w:rsidP="00FD343D">
            <w:pPr>
              <w:jc w:val="center"/>
            </w:pPr>
            <w:r w:rsidRPr="00296D0C">
              <w:t>41</w:t>
            </w:r>
            <w:r w:rsidR="00FD343D">
              <w:t>7</w:t>
            </w:r>
          </w:p>
        </w:tc>
        <w:tc>
          <w:tcPr>
            <w:tcW w:w="1560" w:type="dxa"/>
            <w:tcBorders>
              <w:left w:val="nil"/>
              <w:right w:val="nil"/>
            </w:tcBorders>
            <w:shd w:val="clear" w:color="auto" w:fill="auto"/>
            <w:vAlign w:val="bottom"/>
          </w:tcPr>
          <w:p w14:paraId="55165C65" w14:textId="77777777" w:rsidR="004E0D59" w:rsidRPr="00296D0C" w:rsidRDefault="004E0D59" w:rsidP="00552FE8">
            <w:pPr>
              <w:jc w:val="center"/>
            </w:pPr>
            <w:r w:rsidRPr="00296D0C">
              <w:rPr>
                <w:color w:val="000000"/>
              </w:rPr>
              <w:t>0.28 (1.21)</w:t>
            </w:r>
          </w:p>
        </w:tc>
        <w:tc>
          <w:tcPr>
            <w:tcW w:w="1186" w:type="dxa"/>
            <w:tcBorders>
              <w:left w:val="nil"/>
              <w:right w:val="nil"/>
            </w:tcBorders>
            <w:shd w:val="clear" w:color="auto" w:fill="auto"/>
            <w:vAlign w:val="bottom"/>
          </w:tcPr>
          <w:p w14:paraId="55E36828" w14:textId="77777777" w:rsidR="004E0D59" w:rsidRPr="00296D0C" w:rsidRDefault="004E0D59" w:rsidP="004E0D59">
            <w:pPr>
              <w:jc w:val="center"/>
            </w:pPr>
            <w:r w:rsidRPr="00296D0C">
              <w:rPr>
                <w:color w:val="000000"/>
              </w:rPr>
              <w:t>359</w:t>
            </w:r>
          </w:p>
        </w:tc>
        <w:tc>
          <w:tcPr>
            <w:tcW w:w="1560" w:type="dxa"/>
            <w:tcBorders>
              <w:left w:val="nil"/>
              <w:right w:val="nil"/>
            </w:tcBorders>
            <w:shd w:val="clear" w:color="auto" w:fill="auto"/>
            <w:vAlign w:val="bottom"/>
          </w:tcPr>
          <w:p w14:paraId="101F9BBA" w14:textId="77777777" w:rsidR="004E0D59" w:rsidRPr="00296D0C" w:rsidRDefault="004E0D59" w:rsidP="00552FE8">
            <w:pPr>
              <w:jc w:val="center"/>
            </w:pPr>
            <w:r w:rsidRPr="00296D0C">
              <w:rPr>
                <w:color w:val="000000"/>
              </w:rPr>
              <w:t>0.05 (1.18)</w:t>
            </w:r>
          </w:p>
        </w:tc>
        <w:tc>
          <w:tcPr>
            <w:tcW w:w="1059" w:type="dxa"/>
            <w:tcBorders>
              <w:left w:val="nil"/>
              <w:right w:val="nil"/>
            </w:tcBorders>
            <w:shd w:val="clear" w:color="auto" w:fill="auto"/>
            <w:vAlign w:val="center"/>
          </w:tcPr>
          <w:p w14:paraId="27A5F634" w14:textId="77777777" w:rsidR="004E0D59" w:rsidRPr="00296D0C" w:rsidRDefault="004E0D59" w:rsidP="004E0D59">
            <w:pPr>
              <w:jc w:val="center"/>
            </w:pPr>
            <w:r w:rsidRPr="00296D0C">
              <w:t>774</w:t>
            </w:r>
          </w:p>
        </w:tc>
        <w:tc>
          <w:tcPr>
            <w:tcW w:w="2835" w:type="dxa"/>
            <w:tcBorders>
              <w:left w:val="nil"/>
              <w:right w:val="nil"/>
            </w:tcBorders>
            <w:shd w:val="clear" w:color="auto" w:fill="auto"/>
            <w:vAlign w:val="center"/>
          </w:tcPr>
          <w:p w14:paraId="24E2F53F" w14:textId="77777777" w:rsidR="004E0D59" w:rsidRPr="00296D0C" w:rsidRDefault="004E0D59" w:rsidP="00552FE8">
            <w:pPr>
              <w:jc w:val="center"/>
            </w:pPr>
            <w:r w:rsidRPr="00296D0C">
              <w:t>-0.03 (-0.1</w:t>
            </w:r>
            <w:r w:rsidR="00552FE8" w:rsidRPr="00296D0C">
              <w:t>6</w:t>
            </w:r>
            <w:r w:rsidRPr="00296D0C">
              <w:t>, 0.09)</w:t>
            </w:r>
          </w:p>
        </w:tc>
        <w:tc>
          <w:tcPr>
            <w:tcW w:w="1197" w:type="dxa"/>
            <w:gridSpan w:val="2"/>
            <w:vMerge w:val="restart"/>
            <w:tcBorders>
              <w:left w:val="nil"/>
              <w:right w:val="nil"/>
            </w:tcBorders>
            <w:shd w:val="clear" w:color="auto" w:fill="auto"/>
            <w:vAlign w:val="center"/>
          </w:tcPr>
          <w:p w14:paraId="31E728E3" w14:textId="77777777" w:rsidR="004E0D59" w:rsidRPr="00296D0C" w:rsidRDefault="004E0D59" w:rsidP="004E0D59">
            <w:pPr>
              <w:jc w:val="center"/>
            </w:pPr>
            <w:r w:rsidRPr="00296D0C">
              <w:t>0.613</w:t>
            </w:r>
          </w:p>
        </w:tc>
      </w:tr>
      <w:tr w:rsidR="004E0D59" w:rsidRPr="00296D0C" w14:paraId="07D4A62A" w14:textId="77777777" w:rsidTr="002D0625">
        <w:trPr>
          <w:trHeight w:val="20"/>
        </w:trPr>
        <w:tc>
          <w:tcPr>
            <w:tcW w:w="3062" w:type="dxa"/>
            <w:tcBorders>
              <w:left w:val="nil"/>
              <w:bottom w:val="single" w:sz="4" w:space="0" w:color="auto"/>
              <w:right w:val="nil"/>
            </w:tcBorders>
            <w:shd w:val="clear" w:color="auto" w:fill="auto"/>
            <w:vAlign w:val="center"/>
          </w:tcPr>
          <w:p w14:paraId="1B36FCC2" w14:textId="7059A413" w:rsidR="004E0D59" w:rsidRPr="00296D0C" w:rsidRDefault="006E48C3" w:rsidP="004E0D59">
            <w:pPr>
              <w:ind w:left="171"/>
              <w:rPr>
                <w:color w:val="000000"/>
              </w:rPr>
            </w:pPr>
            <w:r w:rsidRPr="00296D0C">
              <w:t xml:space="preserve">≥ </w:t>
            </w:r>
            <w:r w:rsidR="004E0D59" w:rsidRPr="00296D0C">
              <w:t>19% of children</w:t>
            </w:r>
          </w:p>
        </w:tc>
        <w:tc>
          <w:tcPr>
            <w:tcW w:w="1142" w:type="dxa"/>
            <w:tcBorders>
              <w:left w:val="nil"/>
              <w:bottom w:val="single" w:sz="4" w:space="0" w:color="auto"/>
              <w:right w:val="nil"/>
            </w:tcBorders>
            <w:shd w:val="clear" w:color="auto" w:fill="auto"/>
          </w:tcPr>
          <w:p w14:paraId="278B57F3" w14:textId="738DAC75" w:rsidR="004E0D59" w:rsidRPr="00296D0C" w:rsidRDefault="004E0D59" w:rsidP="00FD343D">
            <w:pPr>
              <w:jc w:val="center"/>
              <w:rPr>
                <w:color w:val="000000"/>
              </w:rPr>
            </w:pPr>
            <w:r w:rsidRPr="00296D0C">
              <w:t>21</w:t>
            </w:r>
            <w:r w:rsidR="00FD343D">
              <w:t>3</w:t>
            </w:r>
          </w:p>
        </w:tc>
        <w:tc>
          <w:tcPr>
            <w:tcW w:w="1560" w:type="dxa"/>
            <w:tcBorders>
              <w:left w:val="nil"/>
              <w:bottom w:val="single" w:sz="4" w:space="0" w:color="auto"/>
              <w:right w:val="nil"/>
            </w:tcBorders>
            <w:shd w:val="clear" w:color="auto" w:fill="auto"/>
            <w:vAlign w:val="bottom"/>
          </w:tcPr>
          <w:p w14:paraId="27B9C4F8" w14:textId="77777777" w:rsidR="004E0D59" w:rsidRPr="00296D0C" w:rsidRDefault="004E0D59" w:rsidP="00552FE8">
            <w:pPr>
              <w:jc w:val="center"/>
              <w:rPr>
                <w:color w:val="000000"/>
              </w:rPr>
            </w:pPr>
            <w:r w:rsidRPr="00296D0C">
              <w:rPr>
                <w:color w:val="000000"/>
              </w:rPr>
              <w:t>0.47 (1.30)</w:t>
            </w:r>
          </w:p>
        </w:tc>
        <w:tc>
          <w:tcPr>
            <w:tcW w:w="1186" w:type="dxa"/>
            <w:tcBorders>
              <w:left w:val="nil"/>
              <w:bottom w:val="single" w:sz="4" w:space="0" w:color="auto"/>
              <w:right w:val="nil"/>
            </w:tcBorders>
            <w:shd w:val="clear" w:color="auto" w:fill="auto"/>
            <w:vAlign w:val="bottom"/>
          </w:tcPr>
          <w:p w14:paraId="1CC620B5" w14:textId="77777777" w:rsidR="004E0D59" w:rsidRPr="00296D0C" w:rsidRDefault="004E0D59" w:rsidP="004E0D59">
            <w:pPr>
              <w:jc w:val="center"/>
              <w:rPr>
                <w:color w:val="000000"/>
              </w:rPr>
            </w:pPr>
            <w:r w:rsidRPr="00296D0C">
              <w:rPr>
                <w:color w:val="000000"/>
              </w:rPr>
              <w:t>261</w:t>
            </w:r>
          </w:p>
        </w:tc>
        <w:tc>
          <w:tcPr>
            <w:tcW w:w="1560" w:type="dxa"/>
            <w:tcBorders>
              <w:left w:val="nil"/>
              <w:bottom w:val="single" w:sz="4" w:space="0" w:color="auto"/>
              <w:right w:val="nil"/>
            </w:tcBorders>
            <w:shd w:val="clear" w:color="auto" w:fill="auto"/>
            <w:vAlign w:val="bottom"/>
          </w:tcPr>
          <w:p w14:paraId="77E18596" w14:textId="77777777" w:rsidR="004E0D59" w:rsidRPr="00296D0C" w:rsidRDefault="004E0D59" w:rsidP="00552FE8">
            <w:pPr>
              <w:jc w:val="center"/>
              <w:rPr>
                <w:color w:val="000000"/>
              </w:rPr>
            </w:pPr>
            <w:r w:rsidRPr="00296D0C">
              <w:rPr>
                <w:color w:val="000000"/>
              </w:rPr>
              <w:t>0.4</w:t>
            </w:r>
            <w:r w:rsidR="00552FE8" w:rsidRPr="00296D0C">
              <w:rPr>
                <w:color w:val="000000"/>
              </w:rPr>
              <w:t>4</w:t>
            </w:r>
            <w:r w:rsidRPr="00296D0C">
              <w:rPr>
                <w:color w:val="000000"/>
              </w:rPr>
              <w:t xml:space="preserve"> (1.23)</w:t>
            </w:r>
          </w:p>
        </w:tc>
        <w:tc>
          <w:tcPr>
            <w:tcW w:w="1059" w:type="dxa"/>
            <w:tcBorders>
              <w:left w:val="nil"/>
              <w:bottom w:val="single" w:sz="4" w:space="0" w:color="auto"/>
              <w:right w:val="nil"/>
            </w:tcBorders>
            <w:shd w:val="clear" w:color="auto" w:fill="auto"/>
            <w:vAlign w:val="center"/>
          </w:tcPr>
          <w:p w14:paraId="21CEB06C" w14:textId="77777777" w:rsidR="004E0D59" w:rsidRPr="00296D0C" w:rsidRDefault="004E0D59" w:rsidP="004E0D59">
            <w:pPr>
              <w:jc w:val="center"/>
              <w:rPr>
                <w:color w:val="000000"/>
              </w:rPr>
            </w:pPr>
            <w:r w:rsidRPr="00296D0C">
              <w:t>470</w:t>
            </w:r>
          </w:p>
        </w:tc>
        <w:tc>
          <w:tcPr>
            <w:tcW w:w="2835" w:type="dxa"/>
            <w:tcBorders>
              <w:left w:val="nil"/>
              <w:bottom w:val="single" w:sz="4" w:space="0" w:color="auto"/>
              <w:right w:val="nil"/>
            </w:tcBorders>
            <w:shd w:val="clear" w:color="auto" w:fill="auto"/>
            <w:vAlign w:val="center"/>
          </w:tcPr>
          <w:p w14:paraId="1152EC7D" w14:textId="77777777" w:rsidR="004E0D59" w:rsidRPr="00296D0C" w:rsidRDefault="004E0D59" w:rsidP="00552FE8">
            <w:pPr>
              <w:jc w:val="center"/>
              <w:rPr>
                <w:color w:val="000000"/>
              </w:rPr>
            </w:pPr>
            <w:r w:rsidRPr="00296D0C">
              <w:t>0.0</w:t>
            </w:r>
            <w:r w:rsidR="00552FE8" w:rsidRPr="00296D0C">
              <w:t>4</w:t>
            </w:r>
            <w:r w:rsidRPr="00296D0C">
              <w:t xml:space="preserve"> (-0.1</w:t>
            </w:r>
            <w:r w:rsidR="00552FE8" w:rsidRPr="00296D0C">
              <w:t>5</w:t>
            </w:r>
            <w:r w:rsidRPr="00296D0C">
              <w:t>, 0.22)</w:t>
            </w:r>
          </w:p>
        </w:tc>
        <w:tc>
          <w:tcPr>
            <w:tcW w:w="1197" w:type="dxa"/>
            <w:gridSpan w:val="2"/>
            <w:vMerge/>
            <w:tcBorders>
              <w:left w:val="nil"/>
              <w:bottom w:val="single" w:sz="4" w:space="0" w:color="auto"/>
              <w:right w:val="nil"/>
            </w:tcBorders>
            <w:shd w:val="clear" w:color="auto" w:fill="auto"/>
            <w:vAlign w:val="center"/>
          </w:tcPr>
          <w:p w14:paraId="3547354D" w14:textId="77777777" w:rsidR="004E0D59" w:rsidRPr="00296D0C" w:rsidRDefault="004E0D59" w:rsidP="004E0D59">
            <w:pPr>
              <w:jc w:val="center"/>
              <w:rPr>
                <w:color w:val="000000"/>
              </w:rPr>
            </w:pPr>
          </w:p>
        </w:tc>
      </w:tr>
      <w:tr w:rsidR="004E0D59" w:rsidRPr="00296D0C" w14:paraId="4FD3862A" w14:textId="77777777" w:rsidTr="002D0625">
        <w:trPr>
          <w:trHeight w:val="351"/>
        </w:trPr>
        <w:tc>
          <w:tcPr>
            <w:tcW w:w="3062" w:type="dxa"/>
            <w:tcBorders>
              <w:top w:val="nil"/>
              <w:left w:val="nil"/>
              <w:bottom w:val="nil"/>
              <w:right w:val="nil"/>
            </w:tcBorders>
            <w:shd w:val="clear" w:color="auto" w:fill="auto"/>
            <w:noWrap/>
            <w:vAlign w:val="center"/>
            <w:hideMark/>
          </w:tcPr>
          <w:p w14:paraId="03F74EE9" w14:textId="77777777" w:rsidR="004E0D59" w:rsidRPr="00296D0C" w:rsidRDefault="004E0D59" w:rsidP="004E0D59">
            <w:r w:rsidRPr="00296D0C">
              <w:t>Gender</w:t>
            </w:r>
          </w:p>
        </w:tc>
        <w:tc>
          <w:tcPr>
            <w:tcW w:w="1142" w:type="dxa"/>
            <w:tcBorders>
              <w:top w:val="nil"/>
              <w:left w:val="nil"/>
              <w:bottom w:val="nil"/>
              <w:right w:val="nil"/>
            </w:tcBorders>
            <w:shd w:val="clear" w:color="auto" w:fill="auto"/>
            <w:noWrap/>
            <w:vAlign w:val="center"/>
            <w:hideMark/>
          </w:tcPr>
          <w:p w14:paraId="419AF638" w14:textId="77777777" w:rsidR="004E0D59" w:rsidRPr="00296D0C" w:rsidRDefault="004E0D59" w:rsidP="004E0D59"/>
        </w:tc>
        <w:tc>
          <w:tcPr>
            <w:tcW w:w="1560" w:type="dxa"/>
            <w:tcBorders>
              <w:top w:val="nil"/>
              <w:left w:val="nil"/>
              <w:bottom w:val="nil"/>
              <w:right w:val="nil"/>
            </w:tcBorders>
            <w:shd w:val="clear" w:color="auto" w:fill="auto"/>
            <w:noWrap/>
            <w:vAlign w:val="center"/>
            <w:hideMark/>
          </w:tcPr>
          <w:p w14:paraId="70E4974F" w14:textId="77777777" w:rsidR="004E0D59" w:rsidRPr="00296D0C" w:rsidRDefault="004E0D59" w:rsidP="004E0D59"/>
        </w:tc>
        <w:tc>
          <w:tcPr>
            <w:tcW w:w="1186" w:type="dxa"/>
            <w:tcBorders>
              <w:top w:val="nil"/>
              <w:left w:val="nil"/>
              <w:bottom w:val="nil"/>
              <w:right w:val="nil"/>
            </w:tcBorders>
            <w:shd w:val="clear" w:color="auto" w:fill="auto"/>
            <w:noWrap/>
            <w:vAlign w:val="center"/>
            <w:hideMark/>
          </w:tcPr>
          <w:p w14:paraId="0C8DB128" w14:textId="77777777" w:rsidR="004E0D59" w:rsidRPr="00296D0C" w:rsidRDefault="004E0D59" w:rsidP="004E0D59"/>
        </w:tc>
        <w:tc>
          <w:tcPr>
            <w:tcW w:w="1560" w:type="dxa"/>
            <w:tcBorders>
              <w:top w:val="nil"/>
              <w:left w:val="nil"/>
              <w:bottom w:val="nil"/>
              <w:right w:val="nil"/>
            </w:tcBorders>
            <w:shd w:val="clear" w:color="auto" w:fill="auto"/>
            <w:noWrap/>
            <w:vAlign w:val="center"/>
            <w:hideMark/>
          </w:tcPr>
          <w:p w14:paraId="32D1FDF6" w14:textId="77777777" w:rsidR="004E0D59" w:rsidRPr="00296D0C" w:rsidRDefault="004E0D59" w:rsidP="004E0D59"/>
        </w:tc>
        <w:tc>
          <w:tcPr>
            <w:tcW w:w="1059" w:type="dxa"/>
            <w:tcBorders>
              <w:top w:val="nil"/>
              <w:left w:val="nil"/>
              <w:bottom w:val="nil"/>
              <w:right w:val="nil"/>
            </w:tcBorders>
            <w:shd w:val="clear" w:color="auto" w:fill="auto"/>
            <w:noWrap/>
            <w:vAlign w:val="center"/>
            <w:hideMark/>
          </w:tcPr>
          <w:p w14:paraId="3D088336" w14:textId="77777777" w:rsidR="004E0D59" w:rsidRPr="00296D0C" w:rsidRDefault="004E0D59" w:rsidP="004E0D59"/>
        </w:tc>
        <w:tc>
          <w:tcPr>
            <w:tcW w:w="2835" w:type="dxa"/>
            <w:tcBorders>
              <w:top w:val="nil"/>
              <w:left w:val="nil"/>
              <w:bottom w:val="nil"/>
              <w:right w:val="nil"/>
            </w:tcBorders>
            <w:shd w:val="clear" w:color="auto" w:fill="auto"/>
            <w:noWrap/>
            <w:vAlign w:val="center"/>
            <w:hideMark/>
          </w:tcPr>
          <w:p w14:paraId="0A9E74FA" w14:textId="77777777" w:rsidR="004E0D59" w:rsidRPr="00296D0C" w:rsidRDefault="004E0D59" w:rsidP="004E0D59"/>
        </w:tc>
        <w:tc>
          <w:tcPr>
            <w:tcW w:w="1197" w:type="dxa"/>
            <w:gridSpan w:val="2"/>
            <w:tcBorders>
              <w:top w:val="nil"/>
              <w:left w:val="nil"/>
              <w:bottom w:val="nil"/>
              <w:right w:val="nil"/>
            </w:tcBorders>
            <w:shd w:val="clear" w:color="auto" w:fill="auto"/>
            <w:noWrap/>
            <w:vAlign w:val="center"/>
            <w:hideMark/>
          </w:tcPr>
          <w:p w14:paraId="7BFA63CC" w14:textId="77777777" w:rsidR="004E0D59" w:rsidRPr="00296D0C" w:rsidRDefault="004E0D59" w:rsidP="004E0D59"/>
        </w:tc>
      </w:tr>
      <w:tr w:rsidR="004E0D59" w:rsidRPr="00296D0C" w14:paraId="174EC465" w14:textId="77777777" w:rsidTr="002D0625">
        <w:trPr>
          <w:trHeight w:val="20"/>
        </w:trPr>
        <w:tc>
          <w:tcPr>
            <w:tcW w:w="3062" w:type="dxa"/>
            <w:tcBorders>
              <w:top w:val="nil"/>
              <w:left w:val="nil"/>
              <w:bottom w:val="nil"/>
              <w:right w:val="nil"/>
            </w:tcBorders>
            <w:shd w:val="clear" w:color="auto" w:fill="auto"/>
            <w:noWrap/>
            <w:vAlign w:val="center"/>
            <w:hideMark/>
          </w:tcPr>
          <w:p w14:paraId="00CED93F" w14:textId="77777777" w:rsidR="004E0D59" w:rsidRPr="00296D0C" w:rsidRDefault="004E0D59" w:rsidP="004E0D59">
            <w:pPr>
              <w:ind w:left="171"/>
            </w:pPr>
            <w:r w:rsidRPr="00296D0C">
              <w:t>Girls</w:t>
            </w:r>
          </w:p>
        </w:tc>
        <w:tc>
          <w:tcPr>
            <w:tcW w:w="1142" w:type="dxa"/>
            <w:tcBorders>
              <w:top w:val="nil"/>
              <w:left w:val="nil"/>
              <w:bottom w:val="nil"/>
              <w:right w:val="nil"/>
            </w:tcBorders>
            <w:shd w:val="clear" w:color="auto" w:fill="auto"/>
            <w:noWrap/>
            <w:hideMark/>
          </w:tcPr>
          <w:p w14:paraId="1A70ED27" w14:textId="1D1E005D" w:rsidR="004E0D59" w:rsidRPr="00296D0C" w:rsidRDefault="004E0D59" w:rsidP="00FD343D">
            <w:pPr>
              <w:jc w:val="center"/>
            </w:pPr>
            <w:r w:rsidRPr="00296D0C">
              <w:t>31</w:t>
            </w:r>
            <w:r w:rsidR="00FD343D">
              <w:t>6</w:t>
            </w:r>
          </w:p>
        </w:tc>
        <w:tc>
          <w:tcPr>
            <w:tcW w:w="1560" w:type="dxa"/>
            <w:tcBorders>
              <w:top w:val="nil"/>
              <w:left w:val="nil"/>
              <w:bottom w:val="nil"/>
              <w:right w:val="nil"/>
            </w:tcBorders>
            <w:shd w:val="clear" w:color="auto" w:fill="auto"/>
            <w:noWrap/>
            <w:vAlign w:val="bottom"/>
            <w:hideMark/>
          </w:tcPr>
          <w:p w14:paraId="7946AB89" w14:textId="77777777" w:rsidR="004E0D59" w:rsidRPr="00296D0C" w:rsidRDefault="004E0D59" w:rsidP="00552FE8">
            <w:pPr>
              <w:jc w:val="center"/>
            </w:pPr>
            <w:r w:rsidRPr="00296D0C">
              <w:rPr>
                <w:color w:val="000000"/>
              </w:rPr>
              <w:t>0.3</w:t>
            </w:r>
            <w:r w:rsidR="00552FE8" w:rsidRPr="00296D0C">
              <w:rPr>
                <w:color w:val="000000"/>
              </w:rPr>
              <w:t>3</w:t>
            </w:r>
            <w:r w:rsidRPr="00296D0C">
              <w:rPr>
                <w:color w:val="000000"/>
              </w:rPr>
              <w:t xml:space="preserve"> (1.28)</w:t>
            </w:r>
          </w:p>
        </w:tc>
        <w:tc>
          <w:tcPr>
            <w:tcW w:w="1186" w:type="dxa"/>
            <w:tcBorders>
              <w:top w:val="nil"/>
              <w:left w:val="nil"/>
              <w:bottom w:val="nil"/>
              <w:right w:val="nil"/>
            </w:tcBorders>
            <w:shd w:val="clear" w:color="auto" w:fill="auto"/>
            <w:noWrap/>
            <w:vAlign w:val="bottom"/>
            <w:hideMark/>
          </w:tcPr>
          <w:p w14:paraId="272F9F38" w14:textId="77777777" w:rsidR="004E0D59" w:rsidRPr="00296D0C" w:rsidRDefault="004E0D59" w:rsidP="004E0D59">
            <w:pPr>
              <w:jc w:val="center"/>
            </w:pPr>
            <w:r w:rsidRPr="00296D0C">
              <w:rPr>
                <w:color w:val="000000"/>
              </w:rPr>
              <w:t>328</w:t>
            </w:r>
          </w:p>
        </w:tc>
        <w:tc>
          <w:tcPr>
            <w:tcW w:w="1560" w:type="dxa"/>
            <w:tcBorders>
              <w:top w:val="nil"/>
              <w:left w:val="nil"/>
              <w:bottom w:val="nil"/>
              <w:right w:val="nil"/>
            </w:tcBorders>
            <w:shd w:val="clear" w:color="auto" w:fill="auto"/>
            <w:noWrap/>
            <w:vAlign w:val="bottom"/>
            <w:hideMark/>
          </w:tcPr>
          <w:p w14:paraId="68FBED8D" w14:textId="77777777" w:rsidR="004E0D59" w:rsidRPr="00296D0C" w:rsidRDefault="004E0D59" w:rsidP="00552FE8">
            <w:pPr>
              <w:jc w:val="center"/>
            </w:pPr>
            <w:r w:rsidRPr="00296D0C">
              <w:rPr>
                <w:color w:val="000000"/>
              </w:rPr>
              <w:t>0.27 (1.20)</w:t>
            </w:r>
          </w:p>
        </w:tc>
        <w:tc>
          <w:tcPr>
            <w:tcW w:w="1059" w:type="dxa"/>
            <w:tcBorders>
              <w:top w:val="nil"/>
              <w:left w:val="nil"/>
              <w:bottom w:val="nil"/>
              <w:right w:val="nil"/>
            </w:tcBorders>
            <w:shd w:val="clear" w:color="auto" w:fill="auto"/>
            <w:noWrap/>
            <w:vAlign w:val="center"/>
            <w:hideMark/>
          </w:tcPr>
          <w:p w14:paraId="23D51BA2" w14:textId="77777777" w:rsidR="004E0D59" w:rsidRPr="00296D0C" w:rsidRDefault="004E0D59" w:rsidP="004E0D59">
            <w:pPr>
              <w:jc w:val="center"/>
            </w:pPr>
            <w:r w:rsidRPr="00296D0C">
              <w:t>642</w:t>
            </w:r>
          </w:p>
        </w:tc>
        <w:tc>
          <w:tcPr>
            <w:tcW w:w="2835" w:type="dxa"/>
            <w:tcBorders>
              <w:top w:val="nil"/>
              <w:left w:val="nil"/>
              <w:bottom w:val="nil"/>
              <w:right w:val="nil"/>
            </w:tcBorders>
            <w:shd w:val="clear" w:color="auto" w:fill="auto"/>
            <w:noWrap/>
            <w:vAlign w:val="center"/>
            <w:hideMark/>
          </w:tcPr>
          <w:p w14:paraId="4191CE6C" w14:textId="77777777" w:rsidR="004E0D59" w:rsidRPr="00296D0C" w:rsidRDefault="004E0D59" w:rsidP="00552FE8">
            <w:pPr>
              <w:jc w:val="center"/>
            </w:pPr>
            <w:r w:rsidRPr="00296D0C">
              <w:t>-0.0</w:t>
            </w:r>
            <w:r w:rsidR="00552FE8" w:rsidRPr="00296D0C">
              <w:t>1</w:t>
            </w:r>
            <w:r w:rsidRPr="00296D0C">
              <w:t xml:space="preserve"> (-0.09, 0.0</w:t>
            </w:r>
            <w:r w:rsidR="00552FE8" w:rsidRPr="00296D0C">
              <w:t>8</w:t>
            </w:r>
            <w:r w:rsidRPr="00296D0C">
              <w:t>)</w:t>
            </w:r>
          </w:p>
        </w:tc>
        <w:tc>
          <w:tcPr>
            <w:tcW w:w="1197" w:type="dxa"/>
            <w:gridSpan w:val="2"/>
            <w:vMerge w:val="restart"/>
            <w:tcBorders>
              <w:top w:val="nil"/>
              <w:left w:val="nil"/>
              <w:right w:val="nil"/>
            </w:tcBorders>
            <w:shd w:val="clear" w:color="auto" w:fill="auto"/>
            <w:noWrap/>
            <w:vAlign w:val="center"/>
            <w:hideMark/>
          </w:tcPr>
          <w:p w14:paraId="11A8E465" w14:textId="77777777" w:rsidR="004E0D59" w:rsidRPr="00296D0C" w:rsidRDefault="004E0D59" w:rsidP="004E0D59">
            <w:pPr>
              <w:jc w:val="center"/>
            </w:pPr>
            <w:r w:rsidRPr="00296D0C">
              <w:t>0.849</w:t>
            </w:r>
          </w:p>
        </w:tc>
      </w:tr>
      <w:tr w:rsidR="004E0D59" w:rsidRPr="00296D0C" w14:paraId="4E2B8211" w14:textId="77777777" w:rsidTr="002D0625">
        <w:trPr>
          <w:trHeight w:val="20"/>
        </w:trPr>
        <w:tc>
          <w:tcPr>
            <w:tcW w:w="3062" w:type="dxa"/>
            <w:tcBorders>
              <w:top w:val="nil"/>
              <w:left w:val="nil"/>
              <w:bottom w:val="single" w:sz="4" w:space="0" w:color="auto"/>
              <w:right w:val="nil"/>
            </w:tcBorders>
            <w:shd w:val="clear" w:color="auto" w:fill="auto"/>
            <w:noWrap/>
            <w:vAlign w:val="center"/>
            <w:hideMark/>
          </w:tcPr>
          <w:p w14:paraId="43D11807" w14:textId="77777777" w:rsidR="004E0D59" w:rsidRPr="00296D0C" w:rsidRDefault="004E0D59" w:rsidP="004E0D59">
            <w:pPr>
              <w:spacing w:after="0" w:line="240" w:lineRule="auto"/>
              <w:ind w:left="171"/>
              <w:rPr>
                <w:rFonts w:eastAsia="Times New Roman" w:cs="Times New Roman"/>
                <w:color w:val="000000"/>
              </w:rPr>
            </w:pPr>
            <w:r w:rsidRPr="00296D0C">
              <w:t>Boys</w:t>
            </w:r>
          </w:p>
        </w:tc>
        <w:tc>
          <w:tcPr>
            <w:tcW w:w="1142" w:type="dxa"/>
            <w:tcBorders>
              <w:top w:val="nil"/>
              <w:left w:val="nil"/>
              <w:bottom w:val="single" w:sz="4" w:space="0" w:color="auto"/>
              <w:right w:val="nil"/>
            </w:tcBorders>
            <w:shd w:val="clear" w:color="auto" w:fill="auto"/>
            <w:noWrap/>
            <w:hideMark/>
          </w:tcPr>
          <w:p w14:paraId="4793AD5E" w14:textId="2300AD01" w:rsidR="004E0D59" w:rsidRPr="00296D0C" w:rsidRDefault="004E0D59" w:rsidP="00FD343D">
            <w:pPr>
              <w:spacing w:after="0" w:line="240" w:lineRule="auto"/>
              <w:jc w:val="center"/>
              <w:rPr>
                <w:rFonts w:eastAsia="Times New Roman" w:cs="Times New Roman"/>
                <w:color w:val="000000"/>
              </w:rPr>
            </w:pPr>
            <w:r w:rsidRPr="00296D0C">
              <w:t>31</w:t>
            </w:r>
            <w:r w:rsidR="00FD343D">
              <w:t>4</w:t>
            </w:r>
          </w:p>
        </w:tc>
        <w:tc>
          <w:tcPr>
            <w:tcW w:w="1560" w:type="dxa"/>
            <w:tcBorders>
              <w:top w:val="nil"/>
              <w:left w:val="nil"/>
              <w:bottom w:val="single" w:sz="4" w:space="0" w:color="auto"/>
              <w:right w:val="nil"/>
            </w:tcBorders>
            <w:shd w:val="clear" w:color="auto" w:fill="auto"/>
            <w:noWrap/>
            <w:vAlign w:val="bottom"/>
            <w:hideMark/>
          </w:tcPr>
          <w:p w14:paraId="076ECD69" w14:textId="77777777" w:rsidR="004E0D59" w:rsidRPr="00296D0C" w:rsidRDefault="004E0D59" w:rsidP="00552FE8">
            <w:pPr>
              <w:spacing w:after="0" w:line="240" w:lineRule="auto"/>
              <w:jc w:val="center"/>
              <w:rPr>
                <w:rFonts w:eastAsia="Times New Roman" w:cs="Times New Roman"/>
                <w:color w:val="000000"/>
              </w:rPr>
            </w:pPr>
            <w:r w:rsidRPr="00296D0C">
              <w:rPr>
                <w:color w:val="000000"/>
              </w:rPr>
              <w:t>0.37 (1.21)</w:t>
            </w:r>
          </w:p>
        </w:tc>
        <w:tc>
          <w:tcPr>
            <w:tcW w:w="1186" w:type="dxa"/>
            <w:tcBorders>
              <w:top w:val="nil"/>
              <w:left w:val="nil"/>
              <w:bottom w:val="single" w:sz="4" w:space="0" w:color="auto"/>
              <w:right w:val="nil"/>
            </w:tcBorders>
            <w:shd w:val="clear" w:color="auto" w:fill="auto"/>
            <w:noWrap/>
            <w:vAlign w:val="bottom"/>
            <w:hideMark/>
          </w:tcPr>
          <w:p w14:paraId="40CAFBF4" w14:textId="77777777" w:rsidR="004E0D59" w:rsidRPr="00296D0C" w:rsidRDefault="004E0D59" w:rsidP="004E0D59">
            <w:pPr>
              <w:spacing w:after="0" w:line="240" w:lineRule="auto"/>
              <w:jc w:val="center"/>
              <w:rPr>
                <w:rFonts w:eastAsia="Times New Roman" w:cs="Times New Roman"/>
                <w:color w:val="000000"/>
              </w:rPr>
            </w:pPr>
            <w:r w:rsidRPr="00296D0C">
              <w:rPr>
                <w:color w:val="000000"/>
              </w:rPr>
              <w:t>292</w:t>
            </w:r>
          </w:p>
        </w:tc>
        <w:tc>
          <w:tcPr>
            <w:tcW w:w="1560" w:type="dxa"/>
            <w:tcBorders>
              <w:top w:val="nil"/>
              <w:left w:val="nil"/>
              <w:bottom w:val="single" w:sz="4" w:space="0" w:color="auto"/>
              <w:right w:val="nil"/>
            </w:tcBorders>
            <w:shd w:val="clear" w:color="auto" w:fill="auto"/>
            <w:noWrap/>
            <w:vAlign w:val="bottom"/>
            <w:hideMark/>
          </w:tcPr>
          <w:p w14:paraId="46308C11" w14:textId="77777777" w:rsidR="004E0D59" w:rsidRPr="00296D0C" w:rsidRDefault="004E0D59" w:rsidP="00552FE8">
            <w:pPr>
              <w:spacing w:after="0" w:line="240" w:lineRule="auto"/>
              <w:jc w:val="center"/>
              <w:rPr>
                <w:rFonts w:eastAsia="Times New Roman" w:cs="Times New Roman"/>
                <w:color w:val="000000"/>
              </w:rPr>
            </w:pPr>
            <w:r w:rsidRPr="00296D0C">
              <w:rPr>
                <w:color w:val="000000"/>
              </w:rPr>
              <w:t>0.15 (1.23)</w:t>
            </w:r>
          </w:p>
        </w:tc>
        <w:tc>
          <w:tcPr>
            <w:tcW w:w="1059" w:type="dxa"/>
            <w:tcBorders>
              <w:top w:val="nil"/>
              <w:left w:val="nil"/>
              <w:bottom w:val="single" w:sz="4" w:space="0" w:color="auto"/>
              <w:right w:val="nil"/>
            </w:tcBorders>
            <w:shd w:val="clear" w:color="auto" w:fill="auto"/>
            <w:noWrap/>
            <w:vAlign w:val="center"/>
            <w:hideMark/>
          </w:tcPr>
          <w:p w14:paraId="4F7A4C81" w14:textId="77777777" w:rsidR="004E0D59" w:rsidRPr="00296D0C" w:rsidRDefault="004E0D59" w:rsidP="004E0D59">
            <w:pPr>
              <w:spacing w:after="0" w:line="240" w:lineRule="auto"/>
              <w:jc w:val="center"/>
              <w:rPr>
                <w:rFonts w:eastAsia="Times New Roman" w:cs="Times New Roman"/>
                <w:color w:val="000000"/>
              </w:rPr>
            </w:pPr>
            <w:r w:rsidRPr="00296D0C">
              <w:t>602</w:t>
            </w:r>
          </w:p>
        </w:tc>
        <w:tc>
          <w:tcPr>
            <w:tcW w:w="2835" w:type="dxa"/>
            <w:tcBorders>
              <w:top w:val="nil"/>
              <w:left w:val="nil"/>
              <w:bottom w:val="single" w:sz="4" w:space="0" w:color="auto"/>
              <w:right w:val="nil"/>
            </w:tcBorders>
            <w:shd w:val="clear" w:color="auto" w:fill="auto"/>
            <w:noWrap/>
            <w:vAlign w:val="center"/>
            <w:hideMark/>
          </w:tcPr>
          <w:p w14:paraId="21D5D306" w14:textId="77777777" w:rsidR="004E0D59" w:rsidRPr="00296D0C" w:rsidRDefault="004E0D59" w:rsidP="00552FE8">
            <w:pPr>
              <w:spacing w:after="0" w:line="240" w:lineRule="auto"/>
              <w:jc w:val="center"/>
              <w:rPr>
                <w:rFonts w:eastAsia="Times New Roman" w:cs="Times New Roman"/>
                <w:color w:val="000000"/>
              </w:rPr>
            </w:pPr>
            <w:r w:rsidRPr="00296D0C">
              <w:t>-0.03 (-0.13, 0.07)</w:t>
            </w:r>
          </w:p>
        </w:tc>
        <w:tc>
          <w:tcPr>
            <w:tcW w:w="1197" w:type="dxa"/>
            <w:gridSpan w:val="2"/>
            <w:vMerge/>
            <w:tcBorders>
              <w:left w:val="nil"/>
              <w:bottom w:val="single" w:sz="4" w:space="0" w:color="auto"/>
              <w:right w:val="nil"/>
            </w:tcBorders>
            <w:shd w:val="clear" w:color="auto" w:fill="auto"/>
            <w:noWrap/>
            <w:vAlign w:val="center"/>
            <w:hideMark/>
          </w:tcPr>
          <w:p w14:paraId="230D3EB6" w14:textId="77777777" w:rsidR="004E0D59" w:rsidRPr="00296D0C" w:rsidRDefault="004E0D59" w:rsidP="004E0D59">
            <w:pPr>
              <w:spacing w:after="0" w:line="240" w:lineRule="auto"/>
              <w:jc w:val="center"/>
              <w:rPr>
                <w:rFonts w:eastAsia="Times New Roman" w:cs="Times New Roman"/>
                <w:color w:val="000000"/>
              </w:rPr>
            </w:pPr>
          </w:p>
        </w:tc>
      </w:tr>
      <w:tr w:rsidR="004E0D59" w:rsidRPr="00296D0C" w14:paraId="48279DC3" w14:textId="77777777" w:rsidTr="002D0625">
        <w:trPr>
          <w:trHeight w:val="113"/>
        </w:trPr>
        <w:tc>
          <w:tcPr>
            <w:tcW w:w="3062" w:type="dxa"/>
            <w:tcBorders>
              <w:top w:val="single" w:sz="4" w:space="0" w:color="auto"/>
              <w:left w:val="nil"/>
              <w:bottom w:val="nil"/>
              <w:right w:val="nil"/>
            </w:tcBorders>
            <w:shd w:val="clear" w:color="auto" w:fill="auto"/>
            <w:noWrap/>
            <w:vAlign w:val="center"/>
            <w:hideMark/>
          </w:tcPr>
          <w:p w14:paraId="7629979F" w14:textId="77777777" w:rsidR="004E0D59" w:rsidRPr="00296D0C" w:rsidRDefault="004E0D59" w:rsidP="004E0D59">
            <w:r w:rsidRPr="00296D0C">
              <w:t>Cohort</w:t>
            </w:r>
          </w:p>
        </w:tc>
        <w:tc>
          <w:tcPr>
            <w:tcW w:w="1142" w:type="dxa"/>
            <w:tcBorders>
              <w:top w:val="single" w:sz="4" w:space="0" w:color="auto"/>
              <w:left w:val="nil"/>
              <w:bottom w:val="nil"/>
              <w:right w:val="nil"/>
            </w:tcBorders>
            <w:shd w:val="clear" w:color="auto" w:fill="auto"/>
            <w:noWrap/>
            <w:vAlign w:val="center"/>
            <w:hideMark/>
          </w:tcPr>
          <w:p w14:paraId="34AA999C" w14:textId="77777777" w:rsidR="004E0D59" w:rsidRPr="00296D0C" w:rsidRDefault="004E0D59" w:rsidP="004E0D59">
            <w:pPr>
              <w:jc w:val="center"/>
            </w:pPr>
          </w:p>
        </w:tc>
        <w:tc>
          <w:tcPr>
            <w:tcW w:w="1560" w:type="dxa"/>
            <w:tcBorders>
              <w:top w:val="single" w:sz="4" w:space="0" w:color="auto"/>
              <w:left w:val="nil"/>
              <w:bottom w:val="nil"/>
              <w:right w:val="nil"/>
            </w:tcBorders>
            <w:shd w:val="clear" w:color="auto" w:fill="auto"/>
            <w:noWrap/>
            <w:vAlign w:val="center"/>
            <w:hideMark/>
          </w:tcPr>
          <w:p w14:paraId="0FD3D06A" w14:textId="77777777" w:rsidR="004E0D59" w:rsidRPr="00296D0C" w:rsidRDefault="004E0D59" w:rsidP="004E0D59">
            <w:pPr>
              <w:jc w:val="center"/>
            </w:pPr>
          </w:p>
        </w:tc>
        <w:tc>
          <w:tcPr>
            <w:tcW w:w="1186" w:type="dxa"/>
            <w:tcBorders>
              <w:top w:val="single" w:sz="4" w:space="0" w:color="auto"/>
              <w:left w:val="nil"/>
              <w:bottom w:val="nil"/>
              <w:right w:val="nil"/>
            </w:tcBorders>
            <w:shd w:val="clear" w:color="auto" w:fill="auto"/>
            <w:noWrap/>
            <w:vAlign w:val="center"/>
            <w:hideMark/>
          </w:tcPr>
          <w:p w14:paraId="4BEF24B6" w14:textId="77777777" w:rsidR="004E0D59" w:rsidRPr="00296D0C" w:rsidRDefault="004E0D59" w:rsidP="004E0D59">
            <w:pPr>
              <w:jc w:val="center"/>
            </w:pPr>
          </w:p>
        </w:tc>
        <w:tc>
          <w:tcPr>
            <w:tcW w:w="1560" w:type="dxa"/>
            <w:tcBorders>
              <w:top w:val="single" w:sz="4" w:space="0" w:color="auto"/>
              <w:left w:val="nil"/>
              <w:bottom w:val="nil"/>
              <w:right w:val="nil"/>
            </w:tcBorders>
            <w:shd w:val="clear" w:color="auto" w:fill="auto"/>
            <w:noWrap/>
            <w:vAlign w:val="center"/>
            <w:hideMark/>
          </w:tcPr>
          <w:p w14:paraId="3060286B" w14:textId="77777777" w:rsidR="004E0D59" w:rsidRPr="00296D0C" w:rsidRDefault="004E0D59" w:rsidP="004E0D59">
            <w:pPr>
              <w:jc w:val="center"/>
            </w:pPr>
          </w:p>
        </w:tc>
        <w:tc>
          <w:tcPr>
            <w:tcW w:w="1059" w:type="dxa"/>
            <w:tcBorders>
              <w:top w:val="single" w:sz="4" w:space="0" w:color="auto"/>
              <w:left w:val="nil"/>
              <w:bottom w:val="nil"/>
              <w:right w:val="nil"/>
            </w:tcBorders>
            <w:shd w:val="clear" w:color="auto" w:fill="auto"/>
            <w:noWrap/>
            <w:vAlign w:val="center"/>
            <w:hideMark/>
          </w:tcPr>
          <w:p w14:paraId="73FB6397" w14:textId="77777777" w:rsidR="004E0D59" w:rsidRPr="00296D0C" w:rsidRDefault="004E0D59" w:rsidP="004E0D59">
            <w:pPr>
              <w:jc w:val="center"/>
            </w:pPr>
          </w:p>
        </w:tc>
        <w:tc>
          <w:tcPr>
            <w:tcW w:w="2835" w:type="dxa"/>
            <w:tcBorders>
              <w:top w:val="single" w:sz="4" w:space="0" w:color="auto"/>
              <w:left w:val="nil"/>
              <w:bottom w:val="nil"/>
              <w:right w:val="nil"/>
            </w:tcBorders>
            <w:shd w:val="clear" w:color="auto" w:fill="auto"/>
            <w:noWrap/>
            <w:vAlign w:val="center"/>
            <w:hideMark/>
          </w:tcPr>
          <w:p w14:paraId="0E288614" w14:textId="77777777" w:rsidR="004E0D59" w:rsidRPr="00296D0C" w:rsidRDefault="004E0D59" w:rsidP="004E0D59">
            <w:pPr>
              <w:jc w:val="center"/>
            </w:pPr>
          </w:p>
        </w:tc>
        <w:tc>
          <w:tcPr>
            <w:tcW w:w="1197" w:type="dxa"/>
            <w:gridSpan w:val="2"/>
            <w:tcBorders>
              <w:top w:val="single" w:sz="4" w:space="0" w:color="auto"/>
              <w:left w:val="nil"/>
              <w:bottom w:val="nil"/>
              <w:right w:val="nil"/>
            </w:tcBorders>
            <w:shd w:val="clear" w:color="auto" w:fill="auto"/>
            <w:noWrap/>
            <w:vAlign w:val="center"/>
            <w:hideMark/>
          </w:tcPr>
          <w:p w14:paraId="43AC683C" w14:textId="77777777" w:rsidR="004E0D59" w:rsidRPr="00296D0C" w:rsidRDefault="004E0D59" w:rsidP="004E0D59">
            <w:pPr>
              <w:jc w:val="center"/>
            </w:pPr>
          </w:p>
        </w:tc>
      </w:tr>
      <w:tr w:rsidR="004E0D59" w:rsidRPr="00296D0C" w14:paraId="510A1761" w14:textId="77777777" w:rsidTr="002D0625">
        <w:trPr>
          <w:trHeight w:val="113"/>
        </w:trPr>
        <w:tc>
          <w:tcPr>
            <w:tcW w:w="3062" w:type="dxa"/>
            <w:tcBorders>
              <w:top w:val="nil"/>
              <w:left w:val="nil"/>
              <w:bottom w:val="nil"/>
              <w:right w:val="nil"/>
            </w:tcBorders>
            <w:shd w:val="clear" w:color="auto" w:fill="auto"/>
            <w:noWrap/>
            <w:vAlign w:val="center"/>
            <w:hideMark/>
          </w:tcPr>
          <w:p w14:paraId="32DC251F" w14:textId="77777777" w:rsidR="004E0D59" w:rsidRPr="00296D0C" w:rsidRDefault="004E0D59" w:rsidP="004E0D59">
            <w:pPr>
              <w:ind w:left="171"/>
            </w:pPr>
            <w:r w:rsidRPr="00296D0C">
              <w:t>Cohort 1</w:t>
            </w:r>
          </w:p>
        </w:tc>
        <w:tc>
          <w:tcPr>
            <w:tcW w:w="1142" w:type="dxa"/>
            <w:tcBorders>
              <w:top w:val="nil"/>
              <w:left w:val="nil"/>
              <w:bottom w:val="nil"/>
              <w:right w:val="nil"/>
            </w:tcBorders>
            <w:shd w:val="clear" w:color="auto" w:fill="auto"/>
            <w:noWrap/>
          </w:tcPr>
          <w:p w14:paraId="4288E396" w14:textId="6BF9C232" w:rsidR="004E0D59" w:rsidRPr="00296D0C" w:rsidRDefault="004E0D59" w:rsidP="00FD343D">
            <w:pPr>
              <w:jc w:val="center"/>
            </w:pPr>
            <w:r w:rsidRPr="00296D0C">
              <w:t>23</w:t>
            </w:r>
            <w:r w:rsidR="00FD343D">
              <w:t>7</w:t>
            </w:r>
          </w:p>
        </w:tc>
        <w:tc>
          <w:tcPr>
            <w:tcW w:w="1560" w:type="dxa"/>
            <w:tcBorders>
              <w:top w:val="nil"/>
              <w:left w:val="nil"/>
              <w:bottom w:val="nil"/>
              <w:right w:val="nil"/>
            </w:tcBorders>
            <w:shd w:val="clear" w:color="auto" w:fill="auto"/>
            <w:noWrap/>
            <w:vAlign w:val="bottom"/>
          </w:tcPr>
          <w:p w14:paraId="188FDCB8" w14:textId="77777777" w:rsidR="004E0D59" w:rsidRPr="00296D0C" w:rsidRDefault="004E0D59" w:rsidP="00552FE8">
            <w:pPr>
              <w:jc w:val="center"/>
            </w:pPr>
            <w:r w:rsidRPr="00296D0C">
              <w:rPr>
                <w:color w:val="000000"/>
              </w:rPr>
              <w:t>0.3</w:t>
            </w:r>
            <w:r w:rsidR="00552FE8" w:rsidRPr="00296D0C">
              <w:rPr>
                <w:color w:val="000000"/>
              </w:rPr>
              <w:t>3</w:t>
            </w:r>
            <w:r w:rsidRPr="00296D0C">
              <w:rPr>
                <w:color w:val="000000"/>
              </w:rPr>
              <w:t xml:space="preserve"> (1.3</w:t>
            </w:r>
            <w:r w:rsidR="00552FE8" w:rsidRPr="00296D0C">
              <w:rPr>
                <w:color w:val="000000"/>
              </w:rPr>
              <w:t>2</w:t>
            </w:r>
            <w:r w:rsidRPr="00296D0C">
              <w:rPr>
                <w:color w:val="000000"/>
              </w:rPr>
              <w:t>)</w:t>
            </w:r>
          </w:p>
        </w:tc>
        <w:tc>
          <w:tcPr>
            <w:tcW w:w="1186" w:type="dxa"/>
            <w:tcBorders>
              <w:top w:val="nil"/>
              <w:left w:val="nil"/>
              <w:bottom w:val="nil"/>
              <w:right w:val="nil"/>
            </w:tcBorders>
            <w:shd w:val="clear" w:color="auto" w:fill="auto"/>
            <w:noWrap/>
            <w:vAlign w:val="bottom"/>
          </w:tcPr>
          <w:p w14:paraId="62132F8C" w14:textId="77777777" w:rsidR="004E0D59" w:rsidRPr="00296D0C" w:rsidRDefault="004E0D59" w:rsidP="004E0D59">
            <w:pPr>
              <w:jc w:val="center"/>
            </w:pPr>
            <w:r w:rsidRPr="00296D0C">
              <w:rPr>
                <w:color w:val="000000"/>
              </w:rPr>
              <w:t>381</w:t>
            </w:r>
          </w:p>
        </w:tc>
        <w:tc>
          <w:tcPr>
            <w:tcW w:w="1560" w:type="dxa"/>
            <w:tcBorders>
              <w:top w:val="nil"/>
              <w:left w:val="nil"/>
              <w:bottom w:val="nil"/>
              <w:right w:val="nil"/>
            </w:tcBorders>
            <w:shd w:val="clear" w:color="auto" w:fill="auto"/>
            <w:noWrap/>
            <w:vAlign w:val="bottom"/>
          </w:tcPr>
          <w:p w14:paraId="1513EA40" w14:textId="77777777" w:rsidR="004E0D59" w:rsidRPr="00296D0C" w:rsidRDefault="004E0D59" w:rsidP="00552FE8">
            <w:pPr>
              <w:jc w:val="center"/>
            </w:pPr>
            <w:r w:rsidRPr="00296D0C">
              <w:rPr>
                <w:color w:val="000000"/>
              </w:rPr>
              <w:t>0.22 (1.2</w:t>
            </w:r>
            <w:r w:rsidR="00552FE8" w:rsidRPr="00296D0C">
              <w:rPr>
                <w:color w:val="000000"/>
              </w:rPr>
              <w:t>1</w:t>
            </w:r>
            <w:r w:rsidRPr="00296D0C">
              <w:rPr>
                <w:color w:val="000000"/>
              </w:rPr>
              <w:t>)</w:t>
            </w:r>
          </w:p>
        </w:tc>
        <w:tc>
          <w:tcPr>
            <w:tcW w:w="1059" w:type="dxa"/>
            <w:tcBorders>
              <w:top w:val="nil"/>
              <w:left w:val="nil"/>
              <w:bottom w:val="nil"/>
              <w:right w:val="nil"/>
            </w:tcBorders>
            <w:shd w:val="clear" w:color="auto" w:fill="auto"/>
            <w:noWrap/>
            <w:vAlign w:val="center"/>
            <w:hideMark/>
          </w:tcPr>
          <w:p w14:paraId="380E4B4E" w14:textId="77777777" w:rsidR="004E0D59" w:rsidRPr="00296D0C" w:rsidRDefault="004E0D59" w:rsidP="004E0D59">
            <w:pPr>
              <w:jc w:val="center"/>
            </w:pPr>
            <w:r w:rsidRPr="00296D0C">
              <w:t>615</w:t>
            </w:r>
          </w:p>
        </w:tc>
        <w:tc>
          <w:tcPr>
            <w:tcW w:w="2835" w:type="dxa"/>
            <w:tcBorders>
              <w:top w:val="nil"/>
              <w:left w:val="nil"/>
              <w:bottom w:val="nil"/>
              <w:right w:val="nil"/>
            </w:tcBorders>
            <w:shd w:val="clear" w:color="auto" w:fill="auto"/>
            <w:noWrap/>
            <w:vAlign w:val="center"/>
            <w:hideMark/>
          </w:tcPr>
          <w:p w14:paraId="176BAFB4" w14:textId="77777777" w:rsidR="004E0D59" w:rsidRPr="00296D0C" w:rsidRDefault="004E0D59" w:rsidP="00552FE8">
            <w:pPr>
              <w:jc w:val="center"/>
            </w:pPr>
            <w:r w:rsidRPr="00296D0C">
              <w:t>-0.0</w:t>
            </w:r>
            <w:r w:rsidR="00552FE8" w:rsidRPr="00296D0C">
              <w:t>1</w:t>
            </w:r>
            <w:r w:rsidRPr="00296D0C">
              <w:t xml:space="preserve"> (-0.18, 0.1</w:t>
            </w:r>
            <w:r w:rsidR="00552FE8" w:rsidRPr="00296D0C">
              <w:t>7</w:t>
            </w:r>
            <w:r w:rsidRPr="00296D0C">
              <w:t>)</w:t>
            </w:r>
          </w:p>
        </w:tc>
        <w:tc>
          <w:tcPr>
            <w:tcW w:w="1197" w:type="dxa"/>
            <w:gridSpan w:val="2"/>
            <w:vMerge w:val="restart"/>
            <w:tcBorders>
              <w:top w:val="nil"/>
              <w:left w:val="nil"/>
              <w:right w:val="nil"/>
            </w:tcBorders>
            <w:shd w:val="clear" w:color="auto" w:fill="auto"/>
            <w:noWrap/>
            <w:vAlign w:val="center"/>
            <w:hideMark/>
          </w:tcPr>
          <w:p w14:paraId="194040FE" w14:textId="77777777" w:rsidR="004E0D59" w:rsidRPr="00296D0C" w:rsidRDefault="004E0D59" w:rsidP="004E0D59">
            <w:pPr>
              <w:jc w:val="center"/>
            </w:pPr>
            <w:r w:rsidRPr="00296D0C">
              <w:t>0.568</w:t>
            </w:r>
          </w:p>
        </w:tc>
      </w:tr>
      <w:tr w:rsidR="004E0D59" w:rsidRPr="00296D0C" w14:paraId="1E6F6DFC" w14:textId="77777777" w:rsidTr="002D0625">
        <w:trPr>
          <w:trHeight w:val="113"/>
        </w:trPr>
        <w:tc>
          <w:tcPr>
            <w:tcW w:w="3062" w:type="dxa"/>
            <w:tcBorders>
              <w:top w:val="nil"/>
              <w:left w:val="nil"/>
              <w:bottom w:val="single" w:sz="4" w:space="0" w:color="auto"/>
              <w:right w:val="nil"/>
            </w:tcBorders>
            <w:shd w:val="clear" w:color="auto" w:fill="auto"/>
            <w:noWrap/>
            <w:vAlign w:val="center"/>
            <w:hideMark/>
          </w:tcPr>
          <w:p w14:paraId="0B2FCC8B" w14:textId="77777777" w:rsidR="004E0D59" w:rsidRPr="00296D0C" w:rsidRDefault="004E0D59" w:rsidP="004E0D59">
            <w:pPr>
              <w:spacing w:after="0" w:line="240" w:lineRule="auto"/>
              <w:ind w:left="171"/>
              <w:rPr>
                <w:rFonts w:eastAsia="Times New Roman" w:cs="Times New Roman"/>
                <w:color w:val="000000"/>
              </w:rPr>
            </w:pPr>
            <w:r w:rsidRPr="00296D0C">
              <w:t>Cohort 2</w:t>
            </w:r>
          </w:p>
        </w:tc>
        <w:tc>
          <w:tcPr>
            <w:tcW w:w="1142" w:type="dxa"/>
            <w:tcBorders>
              <w:top w:val="nil"/>
              <w:left w:val="nil"/>
              <w:bottom w:val="single" w:sz="4" w:space="0" w:color="auto"/>
              <w:right w:val="nil"/>
            </w:tcBorders>
            <w:shd w:val="clear" w:color="auto" w:fill="auto"/>
            <w:noWrap/>
          </w:tcPr>
          <w:p w14:paraId="43C69DFA" w14:textId="679BF943" w:rsidR="004E0D59" w:rsidRPr="00296D0C" w:rsidRDefault="004E0D59" w:rsidP="00FD343D">
            <w:pPr>
              <w:spacing w:after="0" w:line="240" w:lineRule="auto"/>
              <w:jc w:val="center"/>
              <w:rPr>
                <w:rFonts w:eastAsia="Times New Roman" w:cs="Times New Roman"/>
                <w:color w:val="000000"/>
              </w:rPr>
            </w:pPr>
            <w:r w:rsidRPr="00296D0C">
              <w:t>39</w:t>
            </w:r>
            <w:r w:rsidR="00FD343D">
              <w:t>3</w:t>
            </w:r>
          </w:p>
        </w:tc>
        <w:tc>
          <w:tcPr>
            <w:tcW w:w="1560" w:type="dxa"/>
            <w:tcBorders>
              <w:top w:val="nil"/>
              <w:left w:val="nil"/>
              <w:bottom w:val="single" w:sz="4" w:space="0" w:color="auto"/>
              <w:right w:val="nil"/>
            </w:tcBorders>
            <w:shd w:val="clear" w:color="auto" w:fill="auto"/>
            <w:noWrap/>
            <w:vAlign w:val="bottom"/>
          </w:tcPr>
          <w:p w14:paraId="35A7637A" w14:textId="77777777" w:rsidR="004E0D59" w:rsidRPr="00296D0C" w:rsidRDefault="004E0D59" w:rsidP="00552FE8">
            <w:pPr>
              <w:spacing w:after="0" w:line="240" w:lineRule="auto"/>
              <w:jc w:val="center"/>
              <w:rPr>
                <w:rFonts w:eastAsia="Times New Roman" w:cs="Times New Roman"/>
                <w:color w:val="000000"/>
              </w:rPr>
            </w:pPr>
            <w:r w:rsidRPr="00296D0C">
              <w:rPr>
                <w:color w:val="000000"/>
              </w:rPr>
              <w:t>0.36 (1.20)</w:t>
            </w:r>
          </w:p>
        </w:tc>
        <w:tc>
          <w:tcPr>
            <w:tcW w:w="1186" w:type="dxa"/>
            <w:tcBorders>
              <w:top w:val="nil"/>
              <w:left w:val="nil"/>
              <w:bottom w:val="single" w:sz="4" w:space="0" w:color="auto"/>
              <w:right w:val="nil"/>
            </w:tcBorders>
            <w:shd w:val="clear" w:color="auto" w:fill="auto"/>
            <w:noWrap/>
            <w:vAlign w:val="bottom"/>
          </w:tcPr>
          <w:p w14:paraId="71A0091F" w14:textId="77777777" w:rsidR="004E0D59" w:rsidRPr="00296D0C" w:rsidRDefault="004E0D59" w:rsidP="004E0D59">
            <w:pPr>
              <w:spacing w:after="0" w:line="240" w:lineRule="auto"/>
              <w:jc w:val="center"/>
              <w:rPr>
                <w:rFonts w:eastAsia="Times New Roman" w:cs="Times New Roman"/>
                <w:color w:val="000000"/>
              </w:rPr>
            </w:pPr>
            <w:r w:rsidRPr="00296D0C">
              <w:rPr>
                <w:color w:val="000000"/>
              </w:rPr>
              <w:t>239</w:t>
            </w:r>
          </w:p>
        </w:tc>
        <w:tc>
          <w:tcPr>
            <w:tcW w:w="1560" w:type="dxa"/>
            <w:tcBorders>
              <w:top w:val="nil"/>
              <w:left w:val="nil"/>
              <w:bottom w:val="single" w:sz="4" w:space="0" w:color="auto"/>
              <w:right w:val="nil"/>
            </w:tcBorders>
            <w:shd w:val="clear" w:color="auto" w:fill="auto"/>
            <w:noWrap/>
            <w:vAlign w:val="bottom"/>
          </w:tcPr>
          <w:p w14:paraId="238AE73F" w14:textId="77777777" w:rsidR="004E0D59" w:rsidRPr="00296D0C" w:rsidRDefault="004E0D59" w:rsidP="00552FE8">
            <w:pPr>
              <w:spacing w:after="0" w:line="240" w:lineRule="auto"/>
              <w:jc w:val="center"/>
              <w:rPr>
                <w:rFonts w:eastAsia="Times New Roman" w:cs="Times New Roman"/>
                <w:color w:val="000000"/>
              </w:rPr>
            </w:pPr>
            <w:r w:rsidRPr="00296D0C">
              <w:rPr>
                <w:color w:val="000000"/>
              </w:rPr>
              <w:t>0.21 (1.2</w:t>
            </w:r>
            <w:r w:rsidR="00552FE8" w:rsidRPr="00296D0C">
              <w:rPr>
                <w:color w:val="000000"/>
              </w:rPr>
              <w:t>4</w:t>
            </w:r>
            <w:r w:rsidRPr="00296D0C">
              <w:rPr>
                <w:color w:val="000000"/>
              </w:rPr>
              <w:t>)</w:t>
            </w:r>
          </w:p>
        </w:tc>
        <w:tc>
          <w:tcPr>
            <w:tcW w:w="1059" w:type="dxa"/>
            <w:tcBorders>
              <w:top w:val="nil"/>
              <w:left w:val="nil"/>
              <w:bottom w:val="single" w:sz="4" w:space="0" w:color="auto"/>
              <w:right w:val="nil"/>
            </w:tcBorders>
            <w:shd w:val="clear" w:color="auto" w:fill="auto"/>
            <w:noWrap/>
            <w:vAlign w:val="center"/>
            <w:hideMark/>
          </w:tcPr>
          <w:p w14:paraId="22D60E77" w14:textId="77777777" w:rsidR="004E0D59" w:rsidRPr="00296D0C" w:rsidRDefault="004E0D59" w:rsidP="004E0D59">
            <w:pPr>
              <w:spacing w:after="0" w:line="240" w:lineRule="auto"/>
              <w:jc w:val="center"/>
              <w:rPr>
                <w:rFonts w:eastAsia="Times New Roman" w:cs="Times New Roman"/>
                <w:color w:val="000000"/>
              </w:rPr>
            </w:pPr>
            <w:r w:rsidRPr="00296D0C">
              <w:t>629</w:t>
            </w:r>
          </w:p>
        </w:tc>
        <w:tc>
          <w:tcPr>
            <w:tcW w:w="2835" w:type="dxa"/>
            <w:tcBorders>
              <w:top w:val="nil"/>
              <w:left w:val="nil"/>
              <w:bottom w:val="single" w:sz="4" w:space="0" w:color="auto"/>
              <w:right w:val="nil"/>
            </w:tcBorders>
            <w:shd w:val="clear" w:color="auto" w:fill="auto"/>
            <w:noWrap/>
            <w:vAlign w:val="center"/>
            <w:hideMark/>
          </w:tcPr>
          <w:p w14:paraId="08F5B603" w14:textId="77777777" w:rsidR="004E0D59" w:rsidRPr="00296D0C" w:rsidRDefault="004E0D59" w:rsidP="00552FE8">
            <w:pPr>
              <w:spacing w:after="0" w:line="240" w:lineRule="auto"/>
              <w:jc w:val="center"/>
              <w:rPr>
                <w:rFonts w:eastAsia="Times New Roman" w:cs="Times New Roman"/>
                <w:color w:val="000000"/>
              </w:rPr>
            </w:pPr>
            <w:r w:rsidRPr="00296D0C">
              <w:t>-0.06 (-0.20, 0.08)</w:t>
            </w:r>
          </w:p>
        </w:tc>
        <w:tc>
          <w:tcPr>
            <w:tcW w:w="1197" w:type="dxa"/>
            <w:gridSpan w:val="2"/>
            <w:vMerge/>
            <w:tcBorders>
              <w:left w:val="nil"/>
              <w:bottom w:val="single" w:sz="4" w:space="0" w:color="auto"/>
              <w:right w:val="nil"/>
            </w:tcBorders>
            <w:shd w:val="clear" w:color="auto" w:fill="auto"/>
            <w:noWrap/>
            <w:vAlign w:val="center"/>
            <w:hideMark/>
          </w:tcPr>
          <w:p w14:paraId="55544F34" w14:textId="77777777" w:rsidR="004E0D59" w:rsidRPr="00296D0C" w:rsidRDefault="004E0D59" w:rsidP="004E0D59">
            <w:pPr>
              <w:spacing w:after="0" w:line="240" w:lineRule="auto"/>
              <w:jc w:val="center"/>
              <w:rPr>
                <w:rFonts w:eastAsia="Times New Roman" w:cs="Times New Roman"/>
                <w:color w:val="000000"/>
              </w:rPr>
            </w:pPr>
          </w:p>
        </w:tc>
      </w:tr>
      <w:tr w:rsidR="004E0D59" w:rsidRPr="00296D0C" w14:paraId="3D486ED4" w14:textId="77777777" w:rsidTr="002D0625">
        <w:trPr>
          <w:trHeight w:val="340"/>
        </w:trPr>
        <w:tc>
          <w:tcPr>
            <w:tcW w:w="3062" w:type="dxa"/>
            <w:tcBorders>
              <w:top w:val="single" w:sz="4" w:space="0" w:color="auto"/>
              <w:left w:val="nil"/>
              <w:bottom w:val="single" w:sz="4" w:space="0" w:color="auto"/>
              <w:right w:val="nil"/>
            </w:tcBorders>
            <w:shd w:val="clear" w:color="auto" w:fill="auto"/>
            <w:noWrap/>
            <w:vAlign w:val="center"/>
            <w:hideMark/>
          </w:tcPr>
          <w:p w14:paraId="33DB2C32" w14:textId="77777777" w:rsidR="004E0D59" w:rsidRPr="00296D0C" w:rsidRDefault="004E0D59" w:rsidP="004E0D59">
            <w:r w:rsidRPr="00296D0C">
              <w:t>Individual IMD</w:t>
            </w:r>
          </w:p>
        </w:tc>
        <w:tc>
          <w:tcPr>
            <w:tcW w:w="1142" w:type="dxa"/>
            <w:tcBorders>
              <w:top w:val="single" w:sz="4" w:space="0" w:color="auto"/>
              <w:left w:val="nil"/>
              <w:bottom w:val="single" w:sz="4" w:space="0" w:color="auto"/>
              <w:right w:val="nil"/>
            </w:tcBorders>
            <w:shd w:val="clear" w:color="auto" w:fill="auto"/>
            <w:noWrap/>
            <w:hideMark/>
          </w:tcPr>
          <w:p w14:paraId="7A3B5739" w14:textId="65B67E57" w:rsidR="004E0D59" w:rsidRPr="00296D0C" w:rsidRDefault="004E0D59" w:rsidP="00CE4281">
            <w:pPr>
              <w:jc w:val="center"/>
            </w:pPr>
            <w:r w:rsidRPr="00296D0C">
              <w:t>6</w:t>
            </w:r>
            <w:r w:rsidR="00CE4281">
              <w:t>30</w:t>
            </w:r>
          </w:p>
        </w:tc>
        <w:tc>
          <w:tcPr>
            <w:tcW w:w="1560" w:type="dxa"/>
            <w:tcBorders>
              <w:top w:val="single" w:sz="4" w:space="0" w:color="auto"/>
              <w:left w:val="nil"/>
              <w:bottom w:val="single" w:sz="4" w:space="0" w:color="auto"/>
              <w:right w:val="nil"/>
            </w:tcBorders>
            <w:shd w:val="clear" w:color="auto" w:fill="auto"/>
            <w:noWrap/>
            <w:vAlign w:val="bottom"/>
            <w:hideMark/>
          </w:tcPr>
          <w:p w14:paraId="518E1679" w14:textId="77777777" w:rsidR="004E0D59" w:rsidRPr="00296D0C" w:rsidRDefault="004E0D59" w:rsidP="00552FE8">
            <w:pPr>
              <w:jc w:val="center"/>
            </w:pPr>
            <w:r w:rsidRPr="00296D0C">
              <w:rPr>
                <w:color w:val="000000"/>
              </w:rPr>
              <w:t>0.3</w:t>
            </w:r>
            <w:r w:rsidR="00552FE8" w:rsidRPr="00296D0C">
              <w:rPr>
                <w:color w:val="000000"/>
              </w:rPr>
              <w:t>5</w:t>
            </w:r>
            <w:r w:rsidRPr="00296D0C">
              <w:rPr>
                <w:color w:val="000000"/>
              </w:rPr>
              <w:t xml:space="preserve"> (1.2</w:t>
            </w:r>
            <w:r w:rsidR="00552FE8" w:rsidRPr="00296D0C">
              <w:rPr>
                <w:color w:val="000000"/>
              </w:rPr>
              <w:t>5</w:t>
            </w:r>
            <w:r w:rsidRPr="00296D0C">
              <w:rPr>
                <w:color w:val="000000"/>
              </w:rPr>
              <w:t>)</w:t>
            </w:r>
          </w:p>
        </w:tc>
        <w:tc>
          <w:tcPr>
            <w:tcW w:w="1186" w:type="dxa"/>
            <w:tcBorders>
              <w:top w:val="single" w:sz="4" w:space="0" w:color="auto"/>
              <w:left w:val="nil"/>
              <w:bottom w:val="single" w:sz="4" w:space="0" w:color="auto"/>
              <w:right w:val="nil"/>
            </w:tcBorders>
            <w:shd w:val="clear" w:color="auto" w:fill="auto"/>
            <w:noWrap/>
            <w:vAlign w:val="bottom"/>
            <w:hideMark/>
          </w:tcPr>
          <w:p w14:paraId="53010808" w14:textId="77777777" w:rsidR="004E0D59" w:rsidRPr="00296D0C" w:rsidRDefault="004E0D59" w:rsidP="004E0D59">
            <w:pPr>
              <w:jc w:val="center"/>
            </w:pPr>
            <w:r w:rsidRPr="00296D0C">
              <w:rPr>
                <w:color w:val="000000"/>
              </w:rPr>
              <w:t>620</w:t>
            </w:r>
          </w:p>
        </w:tc>
        <w:tc>
          <w:tcPr>
            <w:tcW w:w="1560" w:type="dxa"/>
            <w:tcBorders>
              <w:top w:val="single" w:sz="4" w:space="0" w:color="auto"/>
              <w:left w:val="nil"/>
              <w:bottom w:val="single" w:sz="4" w:space="0" w:color="auto"/>
              <w:right w:val="nil"/>
            </w:tcBorders>
            <w:shd w:val="clear" w:color="auto" w:fill="auto"/>
            <w:noWrap/>
            <w:vAlign w:val="bottom"/>
            <w:hideMark/>
          </w:tcPr>
          <w:p w14:paraId="699E0035" w14:textId="77777777" w:rsidR="004E0D59" w:rsidRPr="00296D0C" w:rsidRDefault="004E0D59" w:rsidP="00552FE8">
            <w:pPr>
              <w:jc w:val="center"/>
            </w:pPr>
            <w:r w:rsidRPr="00296D0C">
              <w:rPr>
                <w:color w:val="000000"/>
              </w:rPr>
              <w:t>0.2</w:t>
            </w:r>
            <w:r w:rsidR="00552FE8" w:rsidRPr="00296D0C">
              <w:rPr>
                <w:color w:val="000000"/>
              </w:rPr>
              <w:t>2</w:t>
            </w:r>
            <w:r w:rsidRPr="00296D0C">
              <w:rPr>
                <w:color w:val="000000"/>
              </w:rPr>
              <w:t xml:space="preserve"> (1.2</w:t>
            </w:r>
            <w:r w:rsidR="00552FE8" w:rsidRPr="00296D0C">
              <w:rPr>
                <w:color w:val="000000"/>
              </w:rPr>
              <w:t>2</w:t>
            </w:r>
            <w:r w:rsidRPr="00296D0C">
              <w:rPr>
                <w:color w:val="000000"/>
              </w:rPr>
              <w:t>)</w:t>
            </w:r>
          </w:p>
        </w:tc>
        <w:tc>
          <w:tcPr>
            <w:tcW w:w="1059" w:type="dxa"/>
            <w:tcBorders>
              <w:top w:val="single" w:sz="4" w:space="0" w:color="auto"/>
              <w:left w:val="nil"/>
              <w:bottom w:val="single" w:sz="4" w:space="0" w:color="auto"/>
              <w:right w:val="nil"/>
            </w:tcBorders>
            <w:shd w:val="clear" w:color="auto" w:fill="auto"/>
            <w:noWrap/>
            <w:vAlign w:val="center"/>
            <w:hideMark/>
          </w:tcPr>
          <w:p w14:paraId="6D7AE145" w14:textId="77777777" w:rsidR="004E0D59" w:rsidRPr="00296D0C" w:rsidRDefault="004E0D59" w:rsidP="004E0D59">
            <w:pPr>
              <w:jc w:val="center"/>
            </w:pPr>
            <w:r w:rsidRPr="00296D0C">
              <w:t>1182</w:t>
            </w:r>
          </w:p>
        </w:tc>
        <w:tc>
          <w:tcPr>
            <w:tcW w:w="2835" w:type="dxa"/>
            <w:tcBorders>
              <w:top w:val="single" w:sz="4" w:space="0" w:color="auto"/>
              <w:left w:val="nil"/>
              <w:bottom w:val="single" w:sz="4" w:space="0" w:color="auto"/>
              <w:right w:val="nil"/>
            </w:tcBorders>
            <w:shd w:val="clear" w:color="auto" w:fill="auto"/>
            <w:noWrap/>
            <w:vAlign w:val="center"/>
            <w:hideMark/>
          </w:tcPr>
          <w:p w14:paraId="1E21031D" w14:textId="297EE957" w:rsidR="004E0D59" w:rsidRPr="00296D0C" w:rsidRDefault="004E0D59" w:rsidP="00334990">
            <w:pPr>
              <w:jc w:val="center"/>
            </w:pPr>
            <w:r w:rsidRPr="00296D0C">
              <w:t>0.00 (-0.1</w:t>
            </w:r>
            <w:r w:rsidR="00552FE8" w:rsidRPr="00296D0C">
              <w:t>7</w:t>
            </w:r>
            <w:r w:rsidRPr="00296D0C">
              <w:t>, 0.1</w:t>
            </w:r>
            <w:r w:rsidR="00552FE8" w:rsidRPr="00296D0C">
              <w:t>4</w:t>
            </w:r>
            <w:r w:rsidRPr="00296D0C">
              <w:t>)</w:t>
            </w:r>
          </w:p>
        </w:tc>
        <w:tc>
          <w:tcPr>
            <w:tcW w:w="1197" w:type="dxa"/>
            <w:gridSpan w:val="2"/>
            <w:tcBorders>
              <w:top w:val="single" w:sz="4" w:space="0" w:color="auto"/>
              <w:left w:val="nil"/>
              <w:bottom w:val="single" w:sz="4" w:space="0" w:color="auto"/>
              <w:right w:val="nil"/>
            </w:tcBorders>
            <w:shd w:val="clear" w:color="auto" w:fill="auto"/>
            <w:noWrap/>
            <w:vAlign w:val="center"/>
            <w:hideMark/>
          </w:tcPr>
          <w:p w14:paraId="73812A80" w14:textId="77777777" w:rsidR="004E0D59" w:rsidRPr="00296D0C" w:rsidRDefault="004E0D59" w:rsidP="004E0D59">
            <w:pPr>
              <w:jc w:val="center"/>
            </w:pPr>
            <w:r w:rsidRPr="00296D0C">
              <w:t>0.954</w:t>
            </w:r>
          </w:p>
        </w:tc>
      </w:tr>
      <w:tr w:rsidR="004E0D59" w:rsidRPr="00296D0C" w14:paraId="43B3607B" w14:textId="77777777" w:rsidTr="002D0625">
        <w:trPr>
          <w:trHeight w:val="340"/>
        </w:trPr>
        <w:tc>
          <w:tcPr>
            <w:tcW w:w="3062" w:type="dxa"/>
            <w:tcBorders>
              <w:top w:val="single" w:sz="4" w:space="0" w:color="auto"/>
              <w:left w:val="nil"/>
              <w:bottom w:val="single" w:sz="4" w:space="0" w:color="auto"/>
              <w:right w:val="nil"/>
            </w:tcBorders>
            <w:shd w:val="clear" w:color="auto" w:fill="auto"/>
            <w:noWrap/>
            <w:vAlign w:val="center"/>
            <w:hideMark/>
          </w:tcPr>
          <w:p w14:paraId="1ED09E73" w14:textId="77777777" w:rsidR="004E0D59" w:rsidRPr="00296D0C" w:rsidRDefault="004E0D59" w:rsidP="004E0D59">
            <w:pPr>
              <w:rPr>
                <w:color w:val="000000"/>
              </w:rPr>
            </w:pPr>
            <w:r w:rsidRPr="00296D0C">
              <w:rPr>
                <w:color w:val="000000"/>
              </w:rPr>
              <w:t xml:space="preserve">Baseline </w:t>
            </w:r>
            <w:r w:rsidR="009D1C7F" w:rsidRPr="00296D0C">
              <w:rPr>
                <w:color w:val="000000"/>
              </w:rPr>
              <w:t>BMI SDS</w:t>
            </w:r>
          </w:p>
        </w:tc>
        <w:tc>
          <w:tcPr>
            <w:tcW w:w="1142" w:type="dxa"/>
            <w:tcBorders>
              <w:top w:val="single" w:sz="4" w:space="0" w:color="auto"/>
              <w:left w:val="nil"/>
              <w:bottom w:val="single" w:sz="4" w:space="0" w:color="auto"/>
              <w:right w:val="nil"/>
            </w:tcBorders>
            <w:shd w:val="clear" w:color="auto" w:fill="auto"/>
            <w:noWrap/>
            <w:vAlign w:val="center"/>
            <w:hideMark/>
          </w:tcPr>
          <w:p w14:paraId="445B56AD" w14:textId="2519CB3D" w:rsidR="004E0D59" w:rsidRPr="00296D0C" w:rsidRDefault="004E0D59" w:rsidP="00CE4281">
            <w:pPr>
              <w:jc w:val="center"/>
              <w:rPr>
                <w:color w:val="000000"/>
              </w:rPr>
            </w:pPr>
            <w:r w:rsidRPr="00296D0C">
              <w:rPr>
                <w:color w:val="000000"/>
              </w:rPr>
              <w:t>6</w:t>
            </w:r>
            <w:r w:rsidR="00CE4281">
              <w:rPr>
                <w:color w:val="000000"/>
              </w:rPr>
              <w:t>30</w:t>
            </w:r>
          </w:p>
        </w:tc>
        <w:tc>
          <w:tcPr>
            <w:tcW w:w="1560" w:type="dxa"/>
            <w:tcBorders>
              <w:top w:val="single" w:sz="4" w:space="0" w:color="auto"/>
              <w:left w:val="nil"/>
              <w:bottom w:val="single" w:sz="4" w:space="0" w:color="auto"/>
              <w:right w:val="nil"/>
            </w:tcBorders>
            <w:shd w:val="clear" w:color="auto" w:fill="auto"/>
            <w:noWrap/>
            <w:vAlign w:val="bottom"/>
            <w:hideMark/>
          </w:tcPr>
          <w:p w14:paraId="7F190DD3" w14:textId="77777777" w:rsidR="004E0D59" w:rsidRPr="00296D0C" w:rsidRDefault="004E0D59" w:rsidP="00552FE8">
            <w:pPr>
              <w:jc w:val="center"/>
              <w:rPr>
                <w:color w:val="000000"/>
              </w:rPr>
            </w:pPr>
            <w:r w:rsidRPr="00296D0C">
              <w:rPr>
                <w:color w:val="000000"/>
              </w:rPr>
              <w:t>0.3</w:t>
            </w:r>
            <w:r w:rsidR="00552FE8" w:rsidRPr="00296D0C">
              <w:rPr>
                <w:color w:val="000000"/>
              </w:rPr>
              <w:t>5</w:t>
            </w:r>
            <w:r w:rsidRPr="00296D0C">
              <w:rPr>
                <w:color w:val="000000"/>
              </w:rPr>
              <w:t xml:space="preserve"> (1.2</w:t>
            </w:r>
            <w:r w:rsidR="00552FE8" w:rsidRPr="00296D0C">
              <w:rPr>
                <w:color w:val="000000"/>
              </w:rPr>
              <w:t>5</w:t>
            </w:r>
            <w:r w:rsidRPr="00296D0C">
              <w:rPr>
                <w:color w:val="000000"/>
              </w:rPr>
              <w:t>)</w:t>
            </w:r>
          </w:p>
        </w:tc>
        <w:tc>
          <w:tcPr>
            <w:tcW w:w="1186" w:type="dxa"/>
            <w:tcBorders>
              <w:top w:val="single" w:sz="4" w:space="0" w:color="auto"/>
              <w:left w:val="nil"/>
              <w:bottom w:val="single" w:sz="4" w:space="0" w:color="auto"/>
              <w:right w:val="nil"/>
            </w:tcBorders>
            <w:shd w:val="clear" w:color="auto" w:fill="auto"/>
            <w:noWrap/>
            <w:vAlign w:val="bottom"/>
            <w:hideMark/>
          </w:tcPr>
          <w:p w14:paraId="7F3455D4" w14:textId="77777777" w:rsidR="004E0D59" w:rsidRPr="00296D0C" w:rsidRDefault="004E0D59" w:rsidP="004E0D59">
            <w:pPr>
              <w:jc w:val="center"/>
              <w:rPr>
                <w:color w:val="000000"/>
              </w:rPr>
            </w:pPr>
            <w:r w:rsidRPr="00296D0C">
              <w:rPr>
                <w:color w:val="000000"/>
              </w:rPr>
              <w:t>620</w:t>
            </w:r>
          </w:p>
        </w:tc>
        <w:tc>
          <w:tcPr>
            <w:tcW w:w="1560" w:type="dxa"/>
            <w:tcBorders>
              <w:top w:val="single" w:sz="4" w:space="0" w:color="auto"/>
              <w:left w:val="nil"/>
              <w:bottom w:val="single" w:sz="4" w:space="0" w:color="auto"/>
              <w:right w:val="nil"/>
            </w:tcBorders>
            <w:shd w:val="clear" w:color="auto" w:fill="auto"/>
            <w:noWrap/>
            <w:vAlign w:val="bottom"/>
            <w:hideMark/>
          </w:tcPr>
          <w:p w14:paraId="15CDA1BA" w14:textId="77777777" w:rsidR="004E0D59" w:rsidRPr="00296D0C" w:rsidRDefault="004E0D59" w:rsidP="00552FE8">
            <w:pPr>
              <w:jc w:val="center"/>
              <w:rPr>
                <w:color w:val="000000"/>
              </w:rPr>
            </w:pPr>
            <w:r w:rsidRPr="00296D0C">
              <w:rPr>
                <w:color w:val="000000"/>
              </w:rPr>
              <w:t>0.2</w:t>
            </w:r>
            <w:r w:rsidR="00552FE8" w:rsidRPr="00296D0C">
              <w:rPr>
                <w:color w:val="000000"/>
              </w:rPr>
              <w:t>2</w:t>
            </w:r>
            <w:r w:rsidRPr="00296D0C">
              <w:rPr>
                <w:color w:val="000000"/>
              </w:rPr>
              <w:t xml:space="preserve"> (1.2</w:t>
            </w:r>
            <w:r w:rsidR="00552FE8" w:rsidRPr="00296D0C">
              <w:rPr>
                <w:color w:val="000000"/>
              </w:rPr>
              <w:t>2</w:t>
            </w:r>
            <w:r w:rsidRPr="00296D0C">
              <w:rPr>
                <w:color w:val="000000"/>
              </w:rPr>
              <w:t>)</w:t>
            </w:r>
          </w:p>
        </w:tc>
        <w:tc>
          <w:tcPr>
            <w:tcW w:w="1059" w:type="dxa"/>
            <w:tcBorders>
              <w:top w:val="single" w:sz="4" w:space="0" w:color="auto"/>
              <w:left w:val="nil"/>
              <w:bottom w:val="single" w:sz="4" w:space="0" w:color="auto"/>
              <w:right w:val="nil"/>
            </w:tcBorders>
            <w:shd w:val="clear" w:color="auto" w:fill="auto"/>
            <w:noWrap/>
            <w:vAlign w:val="center"/>
            <w:hideMark/>
          </w:tcPr>
          <w:p w14:paraId="0CC20BDB" w14:textId="77777777" w:rsidR="004E0D59" w:rsidRPr="00296D0C" w:rsidRDefault="004E0D59" w:rsidP="004E0D59">
            <w:pPr>
              <w:jc w:val="center"/>
              <w:rPr>
                <w:color w:val="000000"/>
              </w:rPr>
            </w:pPr>
            <w:r w:rsidRPr="00296D0C">
              <w:rPr>
                <w:color w:val="000000"/>
              </w:rPr>
              <w:t>1244</w:t>
            </w:r>
          </w:p>
        </w:tc>
        <w:tc>
          <w:tcPr>
            <w:tcW w:w="2835" w:type="dxa"/>
            <w:tcBorders>
              <w:top w:val="single" w:sz="4" w:space="0" w:color="auto"/>
              <w:left w:val="nil"/>
              <w:bottom w:val="single" w:sz="4" w:space="0" w:color="auto"/>
              <w:right w:val="nil"/>
            </w:tcBorders>
            <w:shd w:val="clear" w:color="auto" w:fill="auto"/>
            <w:noWrap/>
            <w:vAlign w:val="center"/>
            <w:hideMark/>
          </w:tcPr>
          <w:p w14:paraId="0B4D7547" w14:textId="6F8C5734" w:rsidR="004E0D59" w:rsidRPr="00296D0C" w:rsidRDefault="004E0D59" w:rsidP="00334990">
            <w:pPr>
              <w:jc w:val="center"/>
              <w:rPr>
                <w:color w:val="000000"/>
              </w:rPr>
            </w:pPr>
            <w:r w:rsidRPr="00296D0C">
              <w:rPr>
                <w:color w:val="000000"/>
              </w:rPr>
              <w:t>0.00 (-0.09, 0.05)</w:t>
            </w:r>
          </w:p>
        </w:tc>
        <w:tc>
          <w:tcPr>
            <w:tcW w:w="1197" w:type="dxa"/>
            <w:gridSpan w:val="2"/>
            <w:tcBorders>
              <w:top w:val="single" w:sz="4" w:space="0" w:color="auto"/>
              <w:left w:val="nil"/>
              <w:bottom w:val="single" w:sz="4" w:space="0" w:color="auto"/>
              <w:right w:val="nil"/>
            </w:tcBorders>
            <w:shd w:val="clear" w:color="auto" w:fill="auto"/>
            <w:noWrap/>
            <w:vAlign w:val="center"/>
            <w:hideMark/>
          </w:tcPr>
          <w:p w14:paraId="3598D86B" w14:textId="77777777" w:rsidR="004E0D59" w:rsidRPr="00296D0C" w:rsidRDefault="004E0D59" w:rsidP="004E0D59">
            <w:pPr>
              <w:jc w:val="center"/>
              <w:rPr>
                <w:color w:val="000000"/>
              </w:rPr>
            </w:pPr>
            <w:r w:rsidRPr="00296D0C">
              <w:rPr>
                <w:color w:val="000000"/>
              </w:rPr>
              <w:t>0.952</w:t>
            </w:r>
          </w:p>
        </w:tc>
      </w:tr>
    </w:tbl>
    <w:p w14:paraId="53891FD4" w14:textId="1CB1BBD4" w:rsidR="004E0D59" w:rsidRPr="00296D0C" w:rsidRDefault="004E0D59" w:rsidP="004E0D59">
      <w:pPr>
        <w:spacing w:line="240" w:lineRule="auto"/>
        <w:rPr>
          <w:i/>
          <w:iCs/>
          <w:color w:val="1F497D" w:themeColor="text2"/>
        </w:rPr>
      </w:pPr>
      <w:r w:rsidRPr="00296D0C">
        <w:rPr>
          <w:iCs/>
        </w:rPr>
        <w:t xml:space="preserve">Notes:  Number of children and mean (standard deviation) </w:t>
      </w:r>
      <w:r w:rsidR="009D1C7F" w:rsidRPr="00296D0C">
        <w:rPr>
          <w:iCs/>
        </w:rPr>
        <w:t>BMI SDS</w:t>
      </w:r>
      <w:r w:rsidRPr="00296D0C">
        <w:rPr>
          <w:iCs/>
        </w:rPr>
        <w:t xml:space="preserve"> for each randomised group; estimate of the effect of the intervention (95% confidence interval) within each sub-group; p-values for the global test modelled as an interaction with th</w:t>
      </w:r>
      <w:r w:rsidR="005F418B" w:rsidRPr="00296D0C">
        <w:rPr>
          <w:iCs/>
        </w:rPr>
        <w:t xml:space="preserve">e allocated group in the random </w:t>
      </w:r>
      <w:r w:rsidRPr="00296D0C">
        <w:rPr>
          <w:iCs/>
        </w:rPr>
        <w:t>effects model.</w:t>
      </w:r>
      <w:r w:rsidRPr="00296D0C">
        <w:rPr>
          <w:i/>
          <w:iCs/>
          <w:color w:val="1F497D" w:themeColor="text2"/>
        </w:rPr>
        <w:br w:type="page"/>
      </w:r>
    </w:p>
    <w:p w14:paraId="4E96FD5A" w14:textId="77777777" w:rsidR="004E0D59" w:rsidRPr="00296D0C" w:rsidRDefault="004E0D59" w:rsidP="004E0D59">
      <w:pPr>
        <w:spacing w:line="240" w:lineRule="auto"/>
        <w:rPr>
          <w:b/>
          <w:iCs/>
        </w:rPr>
        <w:sectPr w:rsidR="004E0D59" w:rsidRPr="00296D0C" w:rsidSect="00E155EB">
          <w:pgSz w:w="16838" w:h="11906" w:orient="landscape"/>
          <w:pgMar w:top="1440" w:right="1440" w:bottom="1440" w:left="1440" w:header="709" w:footer="113" w:gutter="0"/>
          <w:cols w:space="708"/>
          <w:docGrid w:linePitch="360"/>
        </w:sectPr>
      </w:pPr>
    </w:p>
    <w:p w14:paraId="118250C5" w14:textId="6996B1C2" w:rsidR="004E0D59" w:rsidRPr="00296D0C" w:rsidRDefault="00317040" w:rsidP="004E0D59">
      <w:pPr>
        <w:spacing w:line="240" w:lineRule="auto"/>
        <w:outlineLvl w:val="1"/>
        <w:rPr>
          <w:b/>
          <w:iCs/>
        </w:rPr>
      </w:pPr>
      <w:bookmarkStart w:id="418" w:name="_Toc466639061"/>
      <w:bookmarkStart w:id="419" w:name="_Toc466710092"/>
      <w:bookmarkStart w:id="420" w:name="_Toc466711440"/>
      <w:bookmarkStart w:id="421" w:name="_Toc466712099"/>
      <w:bookmarkStart w:id="422" w:name="_Toc475974367"/>
      <w:r w:rsidRPr="00296D0C">
        <w:rPr>
          <w:b/>
          <w:iCs/>
        </w:rPr>
        <w:lastRenderedPageBreak/>
        <w:t>3.</w:t>
      </w:r>
      <w:r w:rsidR="00CE4281">
        <w:rPr>
          <w:b/>
          <w:iCs/>
        </w:rPr>
        <w:t>6</w:t>
      </w:r>
      <w:r w:rsidR="00F43C97" w:rsidRPr="00296D0C">
        <w:rPr>
          <w:b/>
          <w:iCs/>
        </w:rPr>
        <w:t xml:space="preserve"> </w:t>
      </w:r>
      <w:r w:rsidR="004E0D59" w:rsidRPr="00296D0C">
        <w:rPr>
          <w:b/>
          <w:iCs/>
        </w:rPr>
        <w:t xml:space="preserve">Longitudinal analysis of </w:t>
      </w:r>
      <w:r w:rsidR="009D1C7F" w:rsidRPr="00296D0C">
        <w:rPr>
          <w:b/>
          <w:iCs/>
        </w:rPr>
        <w:t>BMI SDS</w:t>
      </w:r>
      <w:bookmarkEnd w:id="418"/>
      <w:bookmarkEnd w:id="419"/>
      <w:bookmarkEnd w:id="420"/>
      <w:bookmarkEnd w:id="421"/>
      <w:bookmarkEnd w:id="422"/>
    </w:p>
    <w:p w14:paraId="4F615EB2" w14:textId="01D8EBF3" w:rsidR="004E0D59" w:rsidRPr="00296D0C" w:rsidRDefault="004E0D59" w:rsidP="004E0D59">
      <w:pPr>
        <w:spacing w:after="0" w:line="360" w:lineRule="auto"/>
      </w:pPr>
      <w:r w:rsidRPr="00296D0C">
        <w:t>The analysis was based on fitting a longitudinal model with observations at fixed time points (baseline, 18 months and 24 months post baseline). The complexity of t</w:t>
      </w:r>
      <w:r w:rsidR="005F1983" w:rsidRPr="00296D0C">
        <w:t>he between time point</w:t>
      </w:r>
      <w:r w:rsidRPr="00296D0C">
        <w:t xml:space="preserve"> covariance for each child was reduced to an autoregressive pattern of order one. As the outcome of this longitudinal model comprised all </w:t>
      </w:r>
      <w:r w:rsidR="009D1C7F" w:rsidRPr="00296D0C">
        <w:t>BMI SDS</w:t>
      </w:r>
      <w:r w:rsidRPr="00296D0C">
        <w:t xml:space="preserve"> measures, including those at baseline, the effect of the intervention was determined from the interaction between the allocated group and the time point. </w:t>
      </w:r>
    </w:p>
    <w:p w14:paraId="697F86F6" w14:textId="77777777" w:rsidR="005F418B" w:rsidRPr="00296D0C" w:rsidRDefault="005F418B" w:rsidP="004E0D59">
      <w:pPr>
        <w:spacing w:after="0" w:line="360" w:lineRule="auto"/>
      </w:pPr>
    </w:p>
    <w:p w14:paraId="657AB74A" w14:textId="552E4E12" w:rsidR="004E0D59" w:rsidRPr="00296D0C" w:rsidRDefault="004E0D59" w:rsidP="004E0D59">
      <w:pPr>
        <w:spacing w:after="0" w:line="360" w:lineRule="auto"/>
      </w:pPr>
      <w:r w:rsidRPr="00296D0C">
        <w:t xml:space="preserve">According to this model, there was no significant difference between the two groups at baseline (p-value = 0.170). The </w:t>
      </w:r>
      <w:r w:rsidR="009D1C7F" w:rsidRPr="00296D0C">
        <w:t>BMI SDS</w:t>
      </w:r>
      <w:r w:rsidRPr="00296D0C">
        <w:t xml:space="preserve"> increased significantly in both groups at each subsequent time point relative to baseline, by an average of 0.0</w:t>
      </w:r>
      <w:r w:rsidR="00CE4281">
        <w:t>3</w:t>
      </w:r>
      <w:r w:rsidRPr="00296D0C">
        <w:t xml:space="preserve"> (95% CI: 0.0</w:t>
      </w:r>
      <w:r w:rsidR="00552FE8" w:rsidRPr="00296D0C">
        <w:t>1</w:t>
      </w:r>
      <w:r w:rsidRPr="00296D0C">
        <w:t>, 0.06) at 18 months and by 0.05 (95% CI: 0.01, 0.09) at 24 months. Relative to the control group at baseline, the intervention group decreased by -0.03 (95% CI: -0.0</w:t>
      </w:r>
      <w:r w:rsidR="00552FE8" w:rsidRPr="00296D0C">
        <w:t>8</w:t>
      </w:r>
      <w:r w:rsidRPr="00296D0C">
        <w:t>, 0.0</w:t>
      </w:r>
      <w:r w:rsidR="00552FE8" w:rsidRPr="00296D0C">
        <w:t>1</w:t>
      </w:r>
      <w:r w:rsidRPr="00296D0C">
        <w:t>) at 18 months and by -0.0</w:t>
      </w:r>
      <w:r w:rsidR="00552FE8" w:rsidRPr="00296D0C">
        <w:t>2</w:t>
      </w:r>
      <w:r w:rsidRPr="00296D0C">
        <w:t xml:space="preserve"> (95% CI: -0.07, 0.0</w:t>
      </w:r>
      <w:r w:rsidR="00552FE8" w:rsidRPr="00296D0C">
        <w:t>4</w:t>
      </w:r>
      <w:r w:rsidRPr="00296D0C">
        <w:t xml:space="preserve">) at 24 months, although these changes were not significantly different from the null effect. </w:t>
      </w:r>
    </w:p>
    <w:p w14:paraId="22D54547" w14:textId="77777777" w:rsidR="00FD7E39" w:rsidRDefault="00FD7E39" w:rsidP="00FD7E39">
      <w:pPr>
        <w:spacing w:after="0" w:line="360" w:lineRule="auto"/>
      </w:pPr>
      <w:r>
        <w:t xml:space="preserve">   </w:t>
      </w:r>
    </w:p>
    <w:p w14:paraId="3D977F52" w14:textId="40CC91B5" w:rsidR="004E0D59" w:rsidRPr="00296D0C" w:rsidRDefault="004E0D59" w:rsidP="00FD7E39">
      <w:pPr>
        <w:spacing w:after="0" w:line="360" w:lineRule="auto"/>
        <w:rPr>
          <w:b/>
        </w:rPr>
      </w:pPr>
      <w:r w:rsidRPr="00296D0C">
        <w:t>F</w:t>
      </w:r>
      <w:r w:rsidR="00C752D5" w:rsidRPr="00296D0C">
        <w:t xml:space="preserve">igure </w:t>
      </w:r>
      <w:r w:rsidR="008131B5" w:rsidRPr="00296D0C">
        <w:t>4</w:t>
      </w:r>
      <w:r w:rsidRPr="00296D0C">
        <w:t xml:space="preserve"> show</w:t>
      </w:r>
      <w:r w:rsidR="00CE4281">
        <w:t>s</w:t>
      </w:r>
      <w:r w:rsidRPr="00296D0C">
        <w:t xml:space="preserve"> the predicted marginal </w:t>
      </w:r>
      <w:r w:rsidR="009D1C7F" w:rsidRPr="00296D0C">
        <w:t>BMI SDS</w:t>
      </w:r>
      <w:r w:rsidRPr="00296D0C">
        <w:t xml:space="preserve"> by allocated group across the time points of the trial.</w:t>
      </w:r>
      <w:r w:rsidR="00FD7E39">
        <w:t xml:space="preserve"> </w:t>
      </w:r>
      <w:r w:rsidRPr="00296D0C">
        <w:br w:type="page"/>
      </w:r>
      <w:r w:rsidRPr="00296D0C">
        <w:rPr>
          <w:b/>
        </w:rPr>
        <w:lastRenderedPageBreak/>
        <w:t>F</w:t>
      </w:r>
      <w:r w:rsidR="00C752D5" w:rsidRPr="00296D0C">
        <w:rPr>
          <w:b/>
        </w:rPr>
        <w:t>IGURE</w:t>
      </w:r>
      <w:r w:rsidRPr="00296D0C">
        <w:rPr>
          <w:b/>
        </w:rPr>
        <w:t xml:space="preserve"> </w:t>
      </w:r>
      <w:r w:rsidR="008131B5" w:rsidRPr="00296D0C">
        <w:rPr>
          <w:b/>
        </w:rPr>
        <w:t>4</w:t>
      </w:r>
      <w:r w:rsidRPr="00296D0C">
        <w:rPr>
          <w:b/>
        </w:rPr>
        <w:t xml:space="preserve"> Predicted marginal </w:t>
      </w:r>
      <w:r w:rsidR="009D1C7F" w:rsidRPr="00296D0C">
        <w:rPr>
          <w:b/>
        </w:rPr>
        <w:t>BMI SDS</w:t>
      </w:r>
      <w:r w:rsidRPr="00296D0C">
        <w:rPr>
          <w:b/>
        </w:rPr>
        <w:t xml:space="preserve"> with 95% confidence intervals in the intervention group (black with dashed connecting lines) and control group (grey with solid connecting lines) across time points</w:t>
      </w:r>
      <w:r w:rsidR="005F4C23">
        <w:rPr>
          <w:b/>
        </w:rPr>
        <w:t>*</w:t>
      </w:r>
      <w:r w:rsidRPr="00296D0C">
        <w:rPr>
          <w:b/>
        </w:rPr>
        <w:t>.</w:t>
      </w:r>
    </w:p>
    <w:p w14:paraId="20D006F6" w14:textId="77777777" w:rsidR="004E0D59" w:rsidRPr="00296D0C" w:rsidRDefault="004E0D59" w:rsidP="004E0D59"/>
    <w:p w14:paraId="67A7C73C" w14:textId="77777777" w:rsidR="004E0D59" w:rsidRPr="00296D0C" w:rsidRDefault="004E0D59" w:rsidP="004E0D59">
      <w:pPr>
        <w:keepNext/>
      </w:pPr>
      <w:r w:rsidRPr="00296D0C">
        <w:rPr>
          <w:rFonts w:eastAsiaTheme="minorHAnsi"/>
          <w:noProof/>
          <w:lang w:eastAsia="zh-CN"/>
        </w:rPr>
        <mc:AlternateContent>
          <mc:Choice Requires="wps">
            <w:drawing>
              <wp:anchor distT="0" distB="0" distL="114300" distR="114300" simplePos="0" relativeHeight="251651072" behindDoc="0" locked="0" layoutInCell="1" allowOverlap="1" wp14:anchorId="299A09FF" wp14:editId="157E3E53">
                <wp:simplePos x="0" y="0"/>
                <wp:positionH relativeFrom="column">
                  <wp:posOffset>2408555</wp:posOffset>
                </wp:positionH>
                <wp:positionV relativeFrom="paragraph">
                  <wp:posOffset>3755065</wp:posOffset>
                </wp:positionV>
                <wp:extent cx="1507490" cy="320675"/>
                <wp:effectExtent l="0" t="0" r="0" b="31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320675"/>
                        </a:xfrm>
                        <a:prstGeom prst="rect">
                          <a:avLst/>
                        </a:prstGeom>
                        <a:solidFill>
                          <a:srgbClr val="FFFFFF"/>
                        </a:solidFill>
                        <a:ln w="9525">
                          <a:noFill/>
                          <a:miter lim="800000"/>
                          <a:headEnd/>
                          <a:tailEnd/>
                        </a:ln>
                      </wps:spPr>
                      <wps:txbx>
                        <w:txbxContent>
                          <w:p w14:paraId="091EDB57" w14:textId="77777777" w:rsidR="00DE3537" w:rsidRPr="0028517E" w:rsidRDefault="00DE3537" w:rsidP="004E0D59">
                            <w:pPr>
                              <w:rPr>
                                <w:b/>
                              </w:rPr>
                            </w:pPr>
                            <w:r w:rsidRPr="0028517E">
                              <w:rPr>
                                <w:b/>
                              </w:rPr>
                              <w:t>Time point (month)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A09FF" id="_x0000_s1189" type="#_x0000_t202" style="position:absolute;margin-left:189.65pt;margin-top:295.65pt;width:118.7pt;height:25.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" stroked="f">
                <v:textbox>
                  <w:txbxContent>
                    <w:p w14:paraId="091EDB57" w14:textId="77777777" w:rsidR="00DE3537" w:rsidRPr="0028517E" w:rsidRDefault="00DE3537" w:rsidP="004E0D59">
                      <w:pPr>
                        <w:rPr>
                          <w:b/>
                        </w:rPr>
                      </w:pPr>
                      <w:r w:rsidRPr="0028517E">
                        <w:rPr>
                          <w:b/>
                        </w:rPr>
                        <w:t>Time point (month)</w:t>
                      </w:r>
                    </w:p>
                  </w:txbxContent>
                </v:textbox>
              </v:shape>
            </w:pict>
          </mc:Fallback>
        </mc:AlternateContent>
      </w:r>
      <w:r w:rsidRPr="00296D0C">
        <w:rPr>
          <w:noProof/>
          <w:lang w:eastAsia="zh-CN"/>
        </w:rPr>
        <w:drawing>
          <wp:inline distT="0" distB="0" distL="0" distR="0" wp14:anchorId="2729C2F5" wp14:editId="0828EB74">
            <wp:extent cx="5731510" cy="4168140"/>
            <wp:effectExtent l="0" t="0" r="2540" b="3810"/>
            <wp:docPr id="1" name="Picture 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168140"/>
                    </a:xfrm>
                    <a:prstGeom prst="rect">
                      <a:avLst/>
                    </a:prstGeom>
                  </pic:spPr>
                </pic:pic>
              </a:graphicData>
            </a:graphic>
          </wp:inline>
        </w:drawing>
      </w:r>
    </w:p>
    <w:p w14:paraId="2A9327A8" w14:textId="594BC5E3" w:rsidR="004E0D59" w:rsidRDefault="004E0D59" w:rsidP="004E0D59">
      <w:pPr>
        <w:spacing w:after="160" w:line="259" w:lineRule="auto"/>
        <w:rPr>
          <w:b/>
        </w:rPr>
      </w:pPr>
    </w:p>
    <w:p w14:paraId="4AF37C31" w14:textId="3BD44555" w:rsidR="005F4C23" w:rsidRDefault="005F4C23" w:rsidP="004E0D59">
      <w:pPr>
        <w:spacing w:after="160" w:line="259" w:lineRule="auto"/>
        <w:rPr>
          <w:b/>
        </w:rPr>
      </w:pPr>
      <w:r>
        <w:rPr>
          <w:b/>
        </w:rPr>
        <w:t xml:space="preserve"> *</w:t>
      </w:r>
      <w:r w:rsidRPr="005F4C23">
        <w:rPr>
          <w:sz w:val="20"/>
          <w:szCs w:val="20"/>
        </w:rPr>
        <w:t>according to the longitudinal model, allowing for hierarchical clustering by child within each school, modelling the within-child covariance between fixed time points as an autoregressive pattern of order one</w:t>
      </w:r>
    </w:p>
    <w:p w14:paraId="10A4AC50" w14:textId="77777777" w:rsidR="005F4C23" w:rsidRPr="00296D0C" w:rsidRDefault="005F4C23" w:rsidP="004E0D59">
      <w:pPr>
        <w:spacing w:after="160" w:line="259" w:lineRule="auto"/>
        <w:rPr>
          <w:b/>
        </w:rPr>
      </w:pPr>
    </w:p>
    <w:p w14:paraId="6A653038" w14:textId="6C75E646" w:rsidR="004E0D59" w:rsidRPr="00296D0C" w:rsidRDefault="000364A9" w:rsidP="004E0D59">
      <w:pPr>
        <w:keepNext/>
        <w:keepLines/>
        <w:spacing w:before="200" w:after="0"/>
        <w:outlineLvl w:val="1"/>
        <w:rPr>
          <w:rFonts w:eastAsiaTheme="majorEastAsia" w:cstheme="majorBidi"/>
          <w:bCs/>
        </w:rPr>
      </w:pPr>
      <w:bookmarkStart w:id="423" w:name="_Toc466639062"/>
      <w:bookmarkStart w:id="424" w:name="_Toc466710093"/>
      <w:bookmarkStart w:id="425" w:name="_Toc466711441"/>
      <w:bookmarkStart w:id="426" w:name="_Toc466712100"/>
      <w:bookmarkStart w:id="427" w:name="_Toc475974368"/>
      <w:r w:rsidRPr="00296D0C">
        <w:rPr>
          <w:rFonts w:eastAsiaTheme="majorEastAsia" w:cstheme="majorBidi"/>
          <w:b/>
          <w:bCs/>
        </w:rPr>
        <w:t>3.</w:t>
      </w:r>
      <w:r w:rsidR="00CE4281">
        <w:rPr>
          <w:rFonts w:eastAsiaTheme="majorEastAsia" w:cstheme="majorBidi"/>
          <w:b/>
          <w:bCs/>
        </w:rPr>
        <w:t>7</w:t>
      </w:r>
      <w:r w:rsidR="00317040" w:rsidRPr="00296D0C">
        <w:rPr>
          <w:rFonts w:eastAsiaTheme="majorEastAsia" w:cstheme="majorBidi"/>
          <w:b/>
          <w:bCs/>
        </w:rPr>
        <w:t xml:space="preserve"> </w:t>
      </w:r>
      <w:r w:rsidR="004E0D59" w:rsidRPr="00296D0C">
        <w:rPr>
          <w:rFonts w:eastAsiaTheme="majorEastAsia" w:cstheme="majorBidi"/>
          <w:b/>
          <w:bCs/>
        </w:rPr>
        <w:t>Primary analyses of secondary outcomes at 24 months (anthropometric measures only)</w:t>
      </w:r>
      <w:bookmarkEnd w:id="423"/>
      <w:bookmarkEnd w:id="424"/>
      <w:bookmarkEnd w:id="425"/>
      <w:bookmarkEnd w:id="426"/>
      <w:bookmarkEnd w:id="427"/>
    </w:p>
    <w:p w14:paraId="46F7CC87" w14:textId="020FEE30" w:rsidR="004E0D59" w:rsidRPr="00296D0C" w:rsidRDefault="004E0D59" w:rsidP="004E0D59">
      <w:pPr>
        <w:spacing w:after="0" w:line="360" w:lineRule="auto"/>
      </w:pPr>
      <w:r w:rsidRPr="00296D0C">
        <w:t xml:space="preserve">Table </w:t>
      </w:r>
      <w:r w:rsidR="00D36DF5">
        <w:t>10</w:t>
      </w:r>
      <w:r w:rsidRPr="00296D0C">
        <w:t xml:space="preserve"> shows the summary data of the remaining anthropometric measures at 24 months post baseline. Among the children in the intervention group, slightly more were classified as being overweight or obese according to the PHE definition of categorisation of BMI scores at 24 months, relative to the control group (30.8% vs. 26.6%). However, analysing the weight status categories under the assumptions of an ordinal logistic model with school-level random effects, there was no evidence of an intervention effect </w:t>
      </w:r>
      <w:r w:rsidR="00CE4281">
        <w:t xml:space="preserve">in the fully adjusted model </w:t>
      </w:r>
      <w:r w:rsidRPr="00296D0C">
        <w:t>(p-value = 0.</w:t>
      </w:r>
      <w:r w:rsidR="00CE4281">
        <w:t>472</w:t>
      </w:r>
      <w:r w:rsidRPr="00296D0C">
        <w:t>). The odds of being in the higher weight categories were greater among the children in the intervention group compared to those in the control group, although this change in odds was not statistically significant (O</w:t>
      </w:r>
      <w:r w:rsidR="00915DFA" w:rsidRPr="00296D0C">
        <w:t xml:space="preserve">dds </w:t>
      </w:r>
      <w:r w:rsidR="00915DFA" w:rsidRPr="00296D0C">
        <w:lastRenderedPageBreak/>
        <w:t>Ratio (O</w:t>
      </w:r>
      <w:r w:rsidRPr="00296D0C">
        <w:t>R</w:t>
      </w:r>
      <w:r w:rsidR="00915DFA" w:rsidRPr="00296D0C">
        <w:t>)</w:t>
      </w:r>
      <w:r w:rsidRPr="00296D0C">
        <w:t xml:space="preserve"> 1.15, 95% CI: </w:t>
      </w:r>
      <w:r w:rsidRPr="00296D0C">
        <w:rPr>
          <w:color w:val="000000"/>
        </w:rPr>
        <w:t>0.79, 1.67)</w:t>
      </w:r>
      <w:r w:rsidRPr="00296D0C">
        <w:t>. The intervention effect size was similar in both the unadjusted and adjusted models. Relaxing the assumption of proportional odds, the estimated intervention effect size from the generalised ordinal model, with a robust error variance clustered on schools, was compa</w:t>
      </w:r>
      <w:r w:rsidR="00915DFA" w:rsidRPr="00296D0C">
        <w:t xml:space="preserve">rable with that from the random </w:t>
      </w:r>
      <w:r w:rsidRPr="00296D0C">
        <w:t>effects ordinal logistic model (results not shown). According to the generalised ordinal mode</w:t>
      </w:r>
      <w:r w:rsidR="00ED282A" w:rsidRPr="00296D0C">
        <w:t>l</w:t>
      </w:r>
      <w:r w:rsidRPr="00296D0C">
        <w:t>, (i.e. the model without assuming proportional odds across the weight status categories), the odds of being classified as overweight or obese relative to healthy or underweight were 1.14 (95% CI: 0.77, 1.68) in the intervention group relative to the control group. The odds were 1.17 (95% CI: 0.74, 1.84) for the risk of being obese relative to the lower weight status categories in the intervention group relative to the control group. The test of proportional odds under the Peterson-Harrell parameterisation indicated there was no evidence of a change in the odds between binary comparisons of levels of weight status category (p-value = 0.503), indicating the assumption of proportional odds for intervention effect had not been violated.</w:t>
      </w:r>
    </w:p>
    <w:p w14:paraId="2B6E3E5F" w14:textId="77777777" w:rsidR="004E0D59" w:rsidRPr="00296D0C" w:rsidRDefault="004E0D59" w:rsidP="004E0D59">
      <w:pPr>
        <w:spacing w:after="0" w:line="360" w:lineRule="auto"/>
      </w:pPr>
    </w:p>
    <w:p w14:paraId="3F5B887F" w14:textId="6E93EB79" w:rsidR="004E0D59" w:rsidRPr="00296D0C" w:rsidRDefault="004E0D59" w:rsidP="004E0D59">
      <w:pPr>
        <w:spacing w:after="0" w:line="360" w:lineRule="auto"/>
      </w:pPr>
      <w:r w:rsidRPr="00296D0C">
        <w:t>Consistent with the primary outcome measure, the average anthropometric measurements were generally slightly larger for the children in the intervention group at 24 months, as they were at baseline, relative to those in the control group</w:t>
      </w:r>
      <w:r w:rsidR="00ED282A" w:rsidRPr="00296D0C">
        <w:t xml:space="preserve"> (Table </w:t>
      </w:r>
      <w:r w:rsidR="00D36DF5">
        <w:t>10</w:t>
      </w:r>
      <w:r w:rsidR="00EA501F" w:rsidRPr="00296D0C">
        <w:t>)</w:t>
      </w:r>
      <w:r w:rsidRPr="00296D0C">
        <w:t xml:space="preserve">. An exception was found in the standardised body fat measurements before the exclusion of the extreme values (implausible absolute standard deviation scores greater than or equal to five). The unadjusted mean differences (intervention minus control) were positive for all anthropometric outcomes, except the standardised body fat score that included extreme values. </w:t>
      </w:r>
      <w:r w:rsidR="002F0A01" w:rsidRPr="00296D0C">
        <w:t>However, there was no evidence of an intervention ef</w:t>
      </w:r>
      <w:r w:rsidR="00ED282A" w:rsidRPr="00296D0C">
        <w:t xml:space="preserve">fect from the unadjusted random </w:t>
      </w:r>
      <w:r w:rsidR="002F0A01" w:rsidRPr="00296D0C">
        <w:t>effects model, allowing for clustering on schools. After a</w:t>
      </w:r>
      <w:r w:rsidRPr="00296D0C">
        <w:t>djusting for the stratification variables, cohort, gender and the</w:t>
      </w:r>
      <w:r w:rsidR="002F0A01" w:rsidRPr="00296D0C">
        <w:t xml:space="preserve"> corresponding</w:t>
      </w:r>
      <w:r w:rsidRPr="00296D0C">
        <w:t xml:space="preserve"> baseline measurements, all mean differences were negative, indicating lower, albeit non-significant, measurements in the intervention group at 24 months compared with the control group.</w:t>
      </w:r>
    </w:p>
    <w:p w14:paraId="35903CA4" w14:textId="77777777" w:rsidR="004E0D59" w:rsidRPr="00296D0C" w:rsidRDefault="004E0D59" w:rsidP="004E0D59"/>
    <w:p w14:paraId="79732482" w14:textId="77777777" w:rsidR="004E0D59" w:rsidRPr="00296D0C" w:rsidRDefault="004E0D59" w:rsidP="004E0D59">
      <w:pPr>
        <w:sectPr w:rsidR="004E0D59" w:rsidRPr="00296D0C" w:rsidSect="00E155EB">
          <w:pgSz w:w="11906" w:h="16838"/>
          <w:pgMar w:top="1440" w:right="1440" w:bottom="1440" w:left="1440" w:header="709" w:footer="113" w:gutter="0"/>
          <w:cols w:space="708"/>
          <w:docGrid w:linePitch="360"/>
        </w:sectPr>
      </w:pPr>
    </w:p>
    <w:p w14:paraId="514C93A0" w14:textId="3BBD783E" w:rsidR="004E0D59" w:rsidRPr="00296D0C" w:rsidRDefault="004E0D59" w:rsidP="004E0D59">
      <w:pPr>
        <w:keepNext/>
        <w:spacing w:line="240" w:lineRule="auto"/>
        <w:rPr>
          <w:b/>
          <w:iCs/>
        </w:rPr>
      </w:pPr>
      <w:r w:rsidRPr="00296D0C">
        <w:rPr>
          <w:b/>
          <w:iCs/>
        </w:rPr>
        <w:lastRenderedPageBreak/>
        <w:t>T</w:t>
      </w:r>
      <w:r w:rsidR="00EA501F" w:rsidRPr="00296D0C">
        <w:rPr>
          <w:b/>
          <w:iCs/>
        </w:rPr>
        <w:t>ABLE</w:t>
      </w:r>
      <w:r w:rsidRPr="00296D0C">
        <w:rPr>
          <w:b/>
          <w:iCs/>
        </w:rPr>
        <w:t xml:space="preserve"> </w:t>
      </w:r>
      <w:r w:rsidR="00D36DF5">
        <w:rPr>
          <w:b/>
          <w:iCs/>
        </w:rPr>
        <w:t>10</w:t>
      </w:r>
      <w:r w:rsidRPr="00296D0C">
        <w:rPr>
          <w:b/>
          <w:i/>
          <w:iCs/>
        </w:rPr>
        <w:t xml:space="preserve"> </w:t>
      </w:r>
      <w:r w:rsidRPr="00296D0C">
        <w:rPr>
          <w:b/>
          <w:iCs/>
        </w:rPr>
        <w:t>Primary analysis, both adjusted and unadjusted, for secondary outcomes at 24 months post baseline</w:t>
      </w:r>
    </w:p>
    <w:tbl>
      <w:tblPr>
        <w:tblW w:w="13183" w:type="dxa"/>
        <w:tblLook w:val="04A0" w:firstRow="1" w:lastRow="0" w:firstColumn="1" w:lastColumn="0" w:noHBand="0" w:noVBand="1"/>
      </w:tblPr>
      <w:tblGrid>
        <w:gridCol w:w="2552"/>
        <w:gridCol w:w="637"/>
        <w:gridCol w:w="922"/>
        <w:gridCol w:w="637"/>
        <w:gridCol w:w="1064"/>
        <w:gridCol w:w="915"/>
        <w:gridCol w:w="1637"/>
        <w:gridCol w:w="958"/>
        <w:gridCol w:w="1276"/>
        <w:gridCol w:w="1451"/>
        <w:gridCol w:w="1134"/>
      </w:tblGrid>
      <w:tr w:rsidR="004E0D59" w:rsidRPr="00296D0C" w14:paraId="5581A587" w14:textId="77777777" w:rsidTr="00020C42">
        <w:trPr>
          <w:trHeight w:val="300"/>
        </w:trPr>
        <w:tc>
          <w:tcPr>
            <w:tcW w:w="2552" w:type="dxa"/>
            <w:tcBorders>
              <w:top w:val="nil"/>
              <w:left w:val="nil"/>
              <w:bottom w:val="nil"/>
              <w:right w:val="nil"/>
            </w:tcBorders>
            <w:shd w:val="clear" w:color="auto" w:fill="00CCFF"/>
            <w:noWrap/>
            <w:vAlign w:val="center"/>
            <w:hideMark/>
          </w:tcPr>
          <w:p w14:paraId="01C83978" w14:textId="77777777" w:rsidR="004E0D59" w:rsidRPr="00296D0C" w:rsidRDefault="004E0D59" w:rsidP="004E0D59">
            <w:pPr>
              <w:spacing w:after="0" w:line="240" w:lineRule="auto"/>
              <w:jc w:val="center"/>
              <w:rPr>
                <w:rFonts w:eastAsia="Times New Roman" w:cs="Times New Roman"/>
                <w:b/>
              </w:rPr>
            </w:pPr>
          </w:p>
        </w:tc>
        <w:tc>
          <w:tcPr>
            <w:tcW w:w="1559" w:type="dxa"/>
            <w:gridSpan w:val="2"/>
            <w:tcBorders>
              <w:top w:val="nil"/>
              <w:left w:val="nil"/>
              <w:bottom w:val="nil"/>
              <w:right w:val="nil"/>
            </w:tcBorders>
            <w:shd w:val="clear" w:color="auto" w:fill="00CCFF"/>
            <w:noWrap/>
            <w:vAlign w:val="center"/>
            <w:hideMark/>
          </w:tcPr>
          <w:p w14:paraId="795169FC" w14:textId="77777777" w:rsidR="004E0D59" w:rsidRPr="00296D0C" w:rsidRDefault="004E0D59" w:rsidP="004E0D59">
            <w:pPr>
              <w:spacing w:after="0" w:line="240" w:lineRule="auto"/>
              <w:jc w:val="center"/>
              <w:rPr>
                <w:rFonts w:eastAsia="Times New Roman" w:cs="Times New Roman"/>
                <w:b/>
                <w:color w:val="000000"/>
              </w:rPr>
            </w:pPr>
            <w:r w:rsidRPr="00296D0C">
              <w:rPr>
                <w:rFonts w:eastAsia="Times New Roman" w:cs="Times New Roman"/>
                <w:b/>
                <w:color w:val="000000"/>
              </w:rPr>
              <w:t>Intervention Group</w:t>
            </w:r>
          </w:p>
        </w:tc>
        <w:tc>
          <w:tcPr>
            <w:tcW w:w="1701" w:type="dxa"/>
            <w:gridSpan w:val="2"/>
            <w:tcBorders>
              <w:top w:val="nil"/>
              <w:left w:val="nil"/>
              <w:bottom w:val="nil"/>
              <w:right w:val="nil"/>
            </w:tcBorders>
            <w:shd w:val="clear" w:color="auto" w:fill="00CCFF"/>
            <w:noWrap/>
            <w:vAlign w:val="center"/>
            <w:hideMark/>
          </w:tcPr>
          <w:p w14:paraId="435BEDFF" w14:textId="77777777" w:rsidR="004E0D59" w:rsidRPr="00296D0C" w:rsidRDefault="004E0D59" w:rsidP="004E0D59">
            <w:pPr>
              <w:spacing w:after="0" w:line="240" w:lineRule="auto"/>
              <w:jc w:val="center"/>
              <w:rPr>
                <w:rFonts w:eastAsia="Times New Roman" w:cs="Times New Roman"/>
                <w:b/>
                <w:color w:val="000000"/>
              </w:rPr>
            </w:pPr>
            <w:r w:rsidRPr="00296D0C">
              <w:rPr>
                <w:rFonts w:eastAsia="Times New Roman" w:cs="Times New Roman"/>
                <w:b/>
                <w:color w:val="000000"/>
              </w:rPr>
              <w:t>Control Group</w:t>
            </w:r>
          </w:p>
        </w:tc>
        <w:tc>
          <w:tcPr>
            <w:tcW w:w="2552" w:type="dxa"/>
            <w:gridSpan w:val="2"/>
            <w:tcBorders>
              <w:top w:val="nil"/>
              <w:left w:val="nil"/>
              <w:bottom w:val="nil"/>
              <w:right w:val="nil"/>
            </w:tcBorders>
            <w:shd w:val="clear" w:color="auto" w:fill="00CCFF"/>
            <w:noWrap/>
            <w:vAlign w:val="center"/>
            <w:hideMark/>
          </w:tcPr>
          <w:p w14:paraId="38C62D5F" w14:textId="77777777" w:rsidR="004E0D59" w:rsidRPr="00296D0C" w:rsidRDefault="004E0D59" w:rsidP="00020C42">
            <w:pPr>
              <w:spacing w:after="0" w:line="240" w:lineRule="auto"/>
              <w:jc w:val="center"/>
              <w:rPr>
                <w:rFonts w:eastAsia="Times New Roman" w:cs="Times New Roman"/>
                <w:b/>
                <w:color w:val="000000"/>
              </w:rPr>
            </w:pPr>
            <w:r w:rsidRPr="00296D0C">
              <w:rPr>
                <w:rFonts w:eastAsia="Times New Roman" w:cs="Times New Roman"/>
                <w:b/>
                <w:color w:val="000000"/>
              </w:rPr>
              <w:t>Adjusted analysis</w:t>
            </w:r>
          </w:p>
        </w:tc>
        <w:tc>
          <w:tcPr>
            <w:tcW w:w="958" w:type="dxa"/>
            <w:tcBorders>
              <w:top w:val="nil"/>
              <w:left w:val="nil"/>
              <w:bottom w:val="nil"/>
              <w:right w:val="nil"/>
            </w:tcBorders>
            <w:shd w:val="clear" w:color="auto" w:fill="00CCFF"/>
            <w:noWrap/>
            <w:vAlign w:val="center"/>
            <w:hideMark/>
          </w:tcPr>
          <w:p w14:paraId="25C77845" w14:textId="77777777" w:rsidR="004E0D59" w:rsidRPr="00296D0C" w:rsidRDefault="004E0D59" w:rsidP="00020C42">
            <w:pPr>
              <w:spacing w:after="0" w:line="240" w:lineRule="auto"/>
              <w:jc w:val="center"/>
              <w:rPr>
                <w:rFonts w:eastAsia="Times New Roman" w:cs="Times New Roman"/>
                <w:b/>
                <w:color w:val="000000"/>
              </w:rPr>
            </w:pPr>
          </w:p>
        </w:tc>
        <w:tc>
          <w:tcPr>
            <w:tcW w:w="3861" w:type="dxa"/>
            <w:gridSpan w:val="3"/>
            <w:tcBorders>
              <w:top w:val="nil"/>
              <w:left w:val="nil"/>
              <w:bottom w:val="nil"/>
              <w:right w:val="nil"/>
            </w:tcBorders>
            <w:shd w:val="clear" w:color="auto" w:fill="00CCFF"/>
          </w:tcPr>
          <w:p w14:paraId="705DB1FA" w14:textId="77777777" w:rsidR="004E0D59" w:rsidRPr="00296D0C" w:rsidRDefault="004E0D59" w:rsidP="00020C42">
            <w:pPr>
              <w:spacing w:after="0" w:line="240" w:lineRule="auto"/>
              <w:jc w:val="center"/>
              <w:rPr>
                <w:rFonts w:eastAsia="Times New Roman" w:cs="Times New Roman"/>
                <w:b/>
                <w:color w:val="000000"/>
              </w:rPr>
            </w:pPr>
            <w:r w:rsidRPr="00296D0C">
              <w:rPr>
                <w:rFonts w:eastAsia="Times New Roman" w:cs="Times New Roman"/>
                <w:b/>
                <w:color w:val="000000"/>
              </w:rPr>
              <w:t>Unadjusted analysis</w:t>
            </w:r>
          </w:p>
        </w:tc>
      </w:tr>
      <w:tr w:rsidR="004E0D59" w:rsidRPr="00296D0C" w14:paraId="42D4AACB" w14:textId="77777777" w:rsidTr="00020C42">
        <w:trPr>
          <w:trHeight w:val="300"/>
        </w:trPr>
        <w:tc>
          <w:tcPr>
            <w:tcW w:w="2552" w:type="dxa"/>
            <w:tcBorders>
              <w:top w:val="nil"/>
              <w:left w:val="nil"/>
              <w:bottom w:val="nil"/>
              <w:right w:val="nil"/>
            </w:tcBorders>
            <w:shd w:val="clear" w:color="auto" w:fill="00CCFF"/>
            <w:noWrap/>
            <w:vAlign w:val="center"/>
            <w:hideMark/>
          </w:tcPr>
          <w:p w14:paraId="69B8007C" w14:textId="77777777" w:rsidR="004E0D59" w:rsidRPr="00296D0C" w:rsidRDefault="004E0D59" w:rsidP="004E0D59">
            <w:pPr>
              <w:spacing w:after="0" w:line="240" w:lineRule="auto"/>
              <w:rPr>
                <w:rFonts w:eastAsia="Times New Roman" w:cs="Times New Roman"/>
                <w:color w:val="000000"/>
              </w:rPr>
            </w:pPr>
            <w:r w:rsidRPr="00296D0C">
              <w:rPr>
                <w:rFonts w:eastAsia="Times New Roman" w:cs="Times New Roman"/>
                <w:color w:val="000000"/>
              </w:rPr>
              <w:t>Weight status category</w:t>
            </w:r>
            <w:r w:rsidRPr="00296D0C">
              <w:rPr>
                <w:rFonts w:eastAsia="Times New Roman" w:cs="Times New Roman"/>
                <w:color w:val="000000"/>
                <w:vertAlign w:val="superscript"/>
              </w:rPr>
              <w:t>a</w:t>
            </w:r>
          </w:p>
        </w:tc>
        <w:tc>
          <w:tcPr>
            <w:tcW w:w="637" w:type="dxa"/>
            <w:tcBorders>
              <w:top w:val="nil"/>
              <w:left w:val="nil"/>
              <w:bottom w:val="nil"/>
              <w:right w:val="nil"/>
            </w:tcBorders>
            <w:shd w:val="clear" w:color="auto" w:fill="00CCFF"/>
            <w:noWrap/>
            <w:vAlign w:val="center"/>
            <w:hideMark/>
          </w:tcPr>
          <w:p w14:paraId="52F78A16"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n</w:t>
            </w:r>
          </w:p>
        </w:tc>
        <w:tc>
          <w:tcPr>
            <w:tcW w:w="922" w:type="dxa"/>
            <w:tcBorders>
              <w:top w:val="nil"/>
              <w:left w:val="nil"/>
              <w:bottom w:val="nil"/>
              <w:right w:val="nil"/>
            </w:tcBorders>
            <w:shd w:val="clear" w:color="auto" w:fill="00CCFF"/>
            <w:noWrap/>
            <w:vAlign w:val="center"/>
            <w:hideMark/>
          </w:tcPr>
          <w:p w14:paraId="7D793D30"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 of Group</w:t>
            </w:r>
          </w:p>
        </w:tc>
        <w:tc>
          <w:tcPr>
            <w:tcW w:w="637" w:type="dxa"/>
            <w:tcBorders>
              <w:top w:val="nil"/>
              <w:left w:val="nil"/>
              <w:bottom w:val="nil"/>
              <w:right w:val="nil"/>
            </w:tcBorders>
            <w:shd w:val="clear" w:color="auto" w:fill="00CCFF"/>
            <w:noWrap/>
            <w:vAlign w:val="center"/>
            <w:hideMark/>
          </w:tcPr>
          <w:p w14:paraId="2F2D5A6B" w14:textId="38316A80" w:rsidR="004E0D59" w:rsidRPr="00296D0C" w:rsidRDefault="00940DB4" w:rsidP="004E0D59">
            <w:pPr>
              <w:spacing w:after="0" w:line="240" w:lineRule="auto"/>
              <w:jc w:val="center"/>
              <w:rPr>
                <w:rFonts w:eastAsia="Times New Roman" w:cs="Times New Roman"/>
                <w:color w:val="000000"/>
              </w:rPr>
            </w:pPr>
            <w:r>
              <w:rPr>
                <w:rFonts w:eastAsia="Times New Roman" w:cs="Times New Roman"/>
                <w:color w:val="000000"/>
              </w:rPr>
              <w:t>n</w:t>
            </w:r>
          </w:p>
        </w:tc>
        <w:tc>
          <w:tcPr>
            <w:tcW w:w="1064" w:type="dxa"/>
            <w:tcBorders>
              <w:top w:val="nil"/>
              <w:left w:val="nil"/>
              <w:bottom w:val="nil"/>
              <w:right w:val="nil"/>
            </w:tcBorders>
            <w:shd w:val="clear" w:color="auto" w:fill="00CCFF"/>
            <w:noWrap/>
            <w:vAlign w:val="center"/>
            <w:hideMark/>
          </w:tcPr>
          <w:p w14:paraId="79F277A2"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 of Group</w:t>
            </w:r>
          </w:p>
        </w:tc>
        <w:tc>
          <w:tcPr>
            <w:tcW w:w="915" w:type="dxa"/>
            <w:tcBorders>
              <w:top w:val="nil"/>
              <w:left w:val="nil"/>
              <w:bottom w:val="nil"/>
              <w:right w:val="nil"/>
            </w:tcBorders>
            <w:shd w:val="clear" w:color="auto" w:fill="00CCFF"/>
            <w:noWrap/>
            <w:vAlign w:val="center"/>
            <w:hideMark/>
          </w:tcPr>
          <w:p w14:paraId="65E48DF7"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Total</w:t>
            </w:r>
          </w:p>
          <w:p w14:paraId="0C273059"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n in analysis</w:t>
            </w:r>
          </w:p>
        </w:tc>
        <w:tc>
          <w:tcPr>
            <w:tcW w:w="1637" w:type="dxa"/>
            <w:tcBorders>
              <w:top w:val="nil"/>
              <w:left w:val="nil"/>
              <w:bottom w:val="nil"/>
              <w:right w:val="nil"/>
            </w:tcBorders>
            <w:shd w:val="clear" w:color="auto" w:fill="00CCFF"/>
            <w:noWrap/>
            <w:vAlign w:val="center"/>
            <w:hideMark/>
          </w:tcPr>
          <w:p w14:paraId="56768439"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 xml:space="preserve">Odds ratio  </w:t>
            </w:r>
          </w:p>
          <w:p w14:paraId="1BBB59E6"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(95% CI)</w:t>
            </w:r>
          </w:p>
        </w:tc>
        <w:tc>
          <w:tcPr>
            <w:tcW w:w="958" w:type="dxa"/>
            <w:tcBorders>
              <w:top w:val="nil"/>
              <w:left w:val="nil"/>
              <w:bottom w:val="nil"/>
              <w:right w:val="nil"/>
            </w:tcBorders>
            <w:shd w:val="clear" w:color="auto" w:fill="00CCFF"/>
            <w:noWrap/>
            <w:vAlign w:val="center"/>
            <w:hideMark/>
          </w:tcPr>
          <w:p w14:paraId="7D748233"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p-value</w:t>
            </w:r>
          </w:p>
        </w:tc>
        <w:tc>
          <w:tcPr>
            <w:tcW w:w="1276" w:type="dxa"/>
            <w:tcBorders>
              <w:top w:val="nil"/>
              <w:left w:val="nil"/>
              <w:bottom w:val="nil"/>
              <w:right w:val="nil"/>
            </w:tcBorders>
            <w:shd w:val="clear" w:color="auto" w:fill="00CCFF"/>
          </w:tcPr>
          <w:p w14:paraId="79B3E0D3"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Total</w:t>
            </w:r>
          </w:p>
          <w:p w14:paraId="04C4FA10"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n in analysis</w:t>
            </w:r>
          </w:p>
        </w:tc>
        <w:tc>
          <w:tcPr>
            <w:tcW w:w="1451" w:type="dxa"/>
            <w:tcBorders>
              <w:top w:val="nil"/>
              <w:left w:val="nil"/>
              <w:bottom w:val="nil"/>
              <w:right w:val="nil"/>
            </w:tcBorders>
            <w:shd w:val="clear" w:color="auto" w:fill="00CCFF"/>
          </w:tcPr>
          <w:p w14:paraId="13B9F196"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Odds ratio (95% CI)</w:t>
            </w:r>
          </w:p>
        </w:tc>
        <w:tc>
          <w:tcPr>
            <w:tcW w:w="1134" w:type="dxa"/>
            <w:tcBorders>
              <w:top w:val="nil"/>
              <w:left w:val="nil"/>
              <w:bottom w:val="nil"/>
              <w:right w:val="nil"/>
            </w:tcBorders>
            <w:shd w:val="clear" w:color="auto" w:fill="00CCFF"/>
          </w:tcPr>
          <w:p w14:paraId="5F75BCB1"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p-value</w:t>
            </w:r>
          </w:p>
        </w:tc>
      </w:tr>
      <w:tr w:rsidR="004E0D59" w:rsidRPr="00296D0C" w14:paraId="4D011C82" w14:textId="77777777" w:rsidTr="00020C42">
        <w:trPr>
          <w:trHeight w:val="300"/>
        </w:trPr>
        <w:tc>
          <w:tcPr>
            <w:tcW w:w="2552" w:type="dxa"/>
            <w:tcBorders>
              <w:top w:val="nil"/>
              <w:left w:val="nil"/>
              <w:bottom w:val="nil"/>
              <w:right w:val="nil"/>
            </w:tcBorders>
            <w:shd w:val="clear" w:color="auto" w:fill="auto"/>
            <w:noWrap/>
            <w:vAlign w:val="bottom"/>
            <w:hideMark/>
          </w:tcPr>
          <w:p w14:paraId="73A8F513" w14:textId="77777777" w:rsidR="004E0D59" w:rsidRPr="00296D0C" w:rsidRDefault="004E0D59" w:rsidP="004E0D59">
            <w:pPr>
              <w:spacing w:after="0" w:line="240" w:lineRule="auto"/>
              <w:rPr>
                <w:rFonts w:eastAsia="Times New Roman" w:cs="Times New Roman"/>
                <w:color w:val="000000"/>
              </w:rPr>
            </w:pPr>
          </w:p>
        </w:tc>
        <w:tc>
          <w:tcPr>
            <w:tcW w:w="637" w:type="dxa"/>
            <w:tcBorders>
              <w:top w:val="nil"/>
              <w:left w:val="nil"/>
              <w:bottom w:val="nil"/>
              <w:right w:val="nil"/>
            </w:tcBorders>
            <w:shd w:val="clear" w:color="auto" w:fill="auto"/>
            <w:noWrap/>
            <w:vAlign w:val="bottom"/>
            <w:hideMark/>
          </w:tcPr>
          <w:p w14:paraId="33CED71C" w14:textId="77777777" w:rsidR="004E0D59" w:rsidRPr="00296D0C" w:rsidRDefault="004E0D59" w:rsidP="004E0D59">
            <w:pPr>
              <w:spacing w:after="0" w:line="240" w:lineRule="auto"/>
              <w:rPr>
                <w:rFonts w:eastAsia="Times New Roman" w:cs="Times New Roman"/>
                <w:color w:val="000000"/>
              </w:rPr>
            </w:pPr>
          </w:p>
        </w:tc>
        <w:tc>
          <w:tcPr>
            <w:tcW w:w="922" w:type="dxa"/>
            <w:tcBorders>
              <w:top w:val="nil"/>
              <w:left w:val="nil"/>
              <w:bottom w:val="nil"/>
              <w:right w:val="nil"/>
            </w:tcBorders>
            <w:shd w:val="clear" w:color="auto" w:fill="auto"/>
            <w:noWrap/>
            <w:vAlign w:val="bottom"/>
            <w:hideMark/>
          </w:tcPr>
          <w:p w14:paraId="211F14BB" w14:textId="77777777" w:rsidR="004E0D59" w:rsidRPr="00296D0C" w:rsidRDefault="004E0D59" w:rsidP="004E0D59">
            <w:pPr>
              <w:spacing w:after="0" w:line="240" w:lineRule="auto"/>
              <w:rPr>
                <w:rFonts w:eastAsia="Times New Roman" w:cs="Times New Roman"/>
              </w:rPr>
            </w:pPr>
          </w:p>
        </w:tc>
        <w:tc>
          <w:tcPr>
            <w:tcW w:w="637" w:type="dxa"/>
            <w:tcBorders>
              <w:top w:val="nil"/>
              <w:left w:val="nil"/>
              <w:bottom w:val="nil"/>
              <w:right w:val="nil"/>
            </w:tcBorders>
            <w:shd w:val="clear" w:color="auto" w:fill="auto"/>
            <w:noWrap/>
            <w:vAlign w:val="bottom"/>
            <w:hideMark/>
          </w:tcPr>
          <w:p w14:paraId="406B0F51" w14:textId="77777777" w:rsidR="004E0D59" w:rsidRPr="00296D0C" w:rsidRDefault="004E0D59" w:rsidP="004E0D59">
            <w:pPr>
              <w:spacing w:after="0" w:line="240" w:lineRule="auto"/>
              <w:rPr>
                <w:rFonts w:eastAsia="Times New Roman" w:cs="Times New Roman"/>
              </w:rPr>
            </w:pPr>
          </w:p>
        </w:tc>
        <w:tc>
          <w:tcPr>
            <w:tcW w:w="1064" w:type="dxa"/>
            <w:tcBorders>
              <w:top w:val="nil"/>
              <w:left w:val="nil"/>
              <w:bottom w:val="nil"/>
              <w:right w:val="nil"/>
            </w:tcBorders>
            <w:shd w:val="clear" w:color="auto" w:fill="auto"/>
            <w:noWrap/>
            <w:vAlign w:val="bottom"/>
            <w:hideMark/>
          </w:tcPr>
          <w:p w14:paraId="663777E8" w14:textId="77777777" w:rsidR="004E0D59" w:rsidRPr="00296D0C" w:rsidRDefault="004E0D59" w:rsidP="004E0D59">
            <w:pPr>
              <w:spacing w:after="0" w:line="240" w:lineRule="auto"/>
              <w:rPr>
                <w:rFonts w:eastAsia="Times New Roman" w:cs="Times New Roman"/>
              </w:rPr>
            </w:pPr>
          </w:p>
        </w:tc>
        <w:tc>
          <w:tcPr>
            <w:tcW w:w="915" w:type="dxa"/>
            <w:tcBorders>
              <w:top w:val="nil"/>
              <w:left w:val="nil"/>
              <w:bottom w:val="nil"/>
              <w:right w:val="nil"/>
            </w:tcBorders>
            <w:shd w:val="clear" w:color="auto" w:fill="auto"/>
            <w:noWrap/>
            <w:vAlign w:val="bottom"/>
            <w:hideMark/>
          </w:tcPr>
          <w:p w14:paraId="78FFE52E" w14:textId="77777777" w:rsidR="004E0D59" w:rsidRPr="00296D0C" w:rsidRDefault="004E0D59" w:rsidP="004E0D59">
            <w:pPr>
              <w:spacing w:after="0" w:line="240" w:lineRule="auto"/>
              <w:rPr>
                <w:rFonts w:eastAsia="Times New Roman" w:cs="Times New Roman"/>
              </w:rPr>
            </w:pPr>
          </w:p>
        </w:tc>
        <w:tc>
          <w:tcPr>
            <w:tcW w:w="1637" w:type="dxa"/>
            <w:tcBorders>
              <w:top w:val="nil"/>
              <w:left w:val="nil"/>
              <w:bottom w:val="nil"/>
              <w:right w:val="nil"/>
            </w:tcBorders>
            <w:shd w:val="clear" w:color="auto" w:fill="auto"/>
            <w:noWrap/>
            <w:vAlign w:val="bottom"/>
            <w:hideMark/>
          </w:tcPr>
          <w:p w14:paraId="0C08171E" w14:textId="77777777" w:rsidR="004E0D59" w:rsidRPr="00296D0C" w:rsidRDefault="004E0D59" w:rsidP="004E0D59">
            <w:pPr>
              <w:spacing w:after="0" w:line="240" w:lineRule="auto"/>
              <w:rPr>
                <w:rFonts w:eastAsia="Times New Roman" w:cs="Times New Roman"/>
              </w:rPr>
            </w:pPr>
          </w:p>
        </w:tc>
        <w:tc>
          <w:tcPr>
            <w:tcW w:w="958" w:type="dxa"/>
            <w:tcBorders>
              <w:top w:val="nil"/>
              <w:left w:val="nil"/>
              <w:bottom w:val="nil"/>
              <w:right w:val="nil"/>
            </w:tcBorders>
            <w:shd w:val="clear" w:color="auto" w:fill="auto"/>
            <w:noWrap/>
            <w:vAlign w:val="bottom"/>
            <w:hideMark/>
          </w:tcPr>
          <w:p w14:paraId="2D6B81B0" w14:textId="77777777" w:rsidR="004E0D59" w:rsidRPr="00296D0C" w:rsidRDefault="004E0D59" w:rsidP="004E0D59">
            <w:pPr>
              <w:spacing w:after="0" w:line="240" w:lineRule="auto"/>
              <w:rPr>
                <w:rFonts w:eastAsia="Times New Roman" w:cs="Times New Roman"/>
              </w:rPr>
            </w:pPr>
          </w:p>
        </w:tc>
        <w:tc>
          <w:tcPr>
            <w:tcW w:w="1276" w:type="dxa"/>
            <w:tcBorders>
              <w:top w:val="nil"/>
              <w:left w:val="nil"/>
              <w:bottom w:val="nil"/>
              <w:right w:val="nil"/>
            </w:tcBorders>
          </w:tcPr>
          <w:p w14:paraId="105B01BA" w14:textId="77777777" w:rsidR="004E0D59" w:rsidRPr="00296D0C" w:rsidRDefault="004E0D59" w:rsidP="004E0D59">
            <w:pPr>
              <w:spacing w:after="0" w:line="240" w:lineRule="auto"/>
              <w:rPr>
                <w:rFonts w:eastAsia="Times New Roman" w:cs="Times New Roman"/>
              </w:rPr>
            </w:pPr>
          </w:p>
        </w:tc>
        <w:tc>
          <w:tcPr>
            <w:tcW w:w="1451" w:type="dxa"/>
            <w:tcBorders>
              <w:top w:val="nil"/>
              <w:left w:val="nil"/>
              <w:bottom w:val="nil"/>
              <w:right w:val="nil"/>
            </w:tcBorders>
          </w:tcPr>
          <w:p w14:paraId="0E5DE64F" w14:textId="77777777" w:rsidR="004E0D59" w:rsidRPr="00296D0C" w:rsidRDefault="004E0D59" w:rsidP="004E0D59">
            <w:pPr>
              <w:spacing w:after="0" w:line="240" w:lineRule="auto"/>
              <w:rPr>
                <w:rFonts w:eastAsia="Times New Roman" w:cs="Times New Roman"/>
              </w:rPr>
            </w:pPr>
          </w:p>
        </w:tc>
        <w:tc>
          <w:tcPr>
            <w:tcW w:w="1134" w:type="dxa"/>
            <w:tcBorders>
              <w:top w:val="nil"/>
              <w:left w:val="nil"/>
              <w:bottom w:val="nil"/>
              <w:right w:val="nil"/>
            </w:tcBorders>
          </w:tcPr>
          <w:p w14:paraId="43591ED8" w14:textId="77777777" w:rsidR="004E0D59" w:rsidRPr="00296D0C" w:rsidRDefault="004E0D59" w:rsidP="004E0D59">
            <w:pPr>
              <w:spacing w:after="0" w:line="240" w:lineRule="auto"/>
              <w:rPr>
                <w:rFonts w:eastAsia="Times New Roman" w:cs="Times New Roman"/>
              </w:rPr>
            </w:pPr>
          </w:p>
        </w:tc>
      </w:tr>
      <w:tr w:rsidR="004E0D59" w:rsidRPr="00296D0C" w14:paraId="12B8FE4B" w14:textId="77777777" w:rsidTr="00020C42">
        <w:trPr>
          <w:trHeight w:val="300"/>
        </w:trPr>
        <w:tc>
          <w:tcPr>
            <w:tcW w:w="2552" w:type="dxa"/>
            <w:tcBorders>
              <w:top w:val="nil"/>
              <w:left w:val="nil"/>
              <w:bottom w:val="nil"/>
              <w:right w:val="nil"/>
            </w:tcBorders>
            <w:shd w:val="clear" w:color="auto" w:fill="auto"/>
            <w:noWrap/>
            <w:vAlign w:val="bottom"/>
            <w:hideMark/>
          </w:tcPr>
          <w:p w14:paraId="3EAF917A" w14:textId="77777777" w:rsidR="004E0D59" w:rsidRPr="00296D0C" w:rsidRDefault="004E0D59" w:rsidP="004E0D59">
            <w:pPr>
              <w:spacing w:after="0" w:line="240" w:lineRule="auto"/>
              <w:ind w:firstLine="171"/>
              <w:rPr>
                <w:rFonts w:eastAsia="Times New Roman" w:cs="Times New Roman"/>
                <w:color w:val="000000"/>
              </w:rPr>
            </w:pPr>
            <w:r w:rsidRPr="00296D0C">
              <w:rPr>
                <w:rFonts w:eastAsia="Times New Roman" w:cs="Times New Roman"/>
                <w:color w:val="000000"/>
              </w:rPr>
              <w:t>Underweight &amp; healthy</w:t>
            </w:r>
          </w:p>
        </w:tc>
        <w:tc>
          <w:tcPr>
            <w:tcW w:w="637" w:type="dxa"/>
            <w:tcBorders>
              <w:top w:val="nil"/>
              <w:left w:val="nil"/>
              <w:bottom w:val="nil"/>
              <w:right w:val="nil"/>
            </w:tcBorders>
            <w:shd w:val="clear" w:color="auto" w:fill="auto"/>
            <w:noWrap/>
            <w:vAlign w:val="center"/>
            <w:hideMark/>
          </w:tcPr>
          <w:p w14:paraId="706CBE86"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436</w:t>
            </w:r>
          </w:p>
        </w:tc>
        <w:tc>
          <w:tcPr>
            <w:tcW w:w="922" w:type="dxa"/>
            <w:tcBorders>
              <w:top w:val="nil"/>
              <w:left w:val="nil"/>
              <w:bottom w:val="nil"/>
              <w:right w:val="nil"/>
            </w:tcBorders>
            <w:shd w:val="clear" w:color="auto" w:fill="auto"/>
            <w:noWrap/>
            <w:vAlign w:val="center"/>
            <w:hideMark/>
          </w:tcPr>
          <w:p w14:paraId="16D60648"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69.2</w:t>
            </w:r>
          </w:p>
        </w:tc>
        <w:tc>
          <w:tcPr>
            <w:tcW w:w="637" w:type="dxa"/>
            <w:tcBorders>
              <w:top w:val="nil"/>
              <w:left w:val="nil"/>
              <w:bottom w:val="nil"/>
              <w:right w:val="nil"/>
            </w:tcBorders>
            <w:shd w:val="clear" w:color="auto" w:fill="auto"/>
            <w:noWrap/>
            <w:vAlign w:val="center"/>
            <w:hideMark/>
          </w:tcPr>
          <w:p w14:paraId="2BBBA557"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455</w:t>
            </w:r>
          </w:p>
        </w:tc>
        <w:tc>
          <w:tcPr>
            <w:tcW w:w="1064" w:type="dxa"/>
            <w:tcBorders>
              <w:top w:val="nil"/>
              <w:left w:val="nil"/>
              <w:bottom w:val="nil"/>
              <w:right w:val="nil"/>
            </w:tcBorders>
            <w:shd w:val="clear" w:color="auto" w:fill="auto"/>
            <w:noWrap/>
            <w:vAlign w:val="center"/>
            <w:hideMark/>
          </w:tcPr>
          <w:p w14:paraId="58C2C263"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73.4</w:t>
            </w:r>
          </w:p>
        </w:tc>
        <w:tc>
          <w:tcPr>
            <w:tcW w:w="915" w:type="dxa"/>
            <w:tcBorders>
              <w:top w:val="nil"/>
              <w:left w:val="nil"/>
              <w:bottom w:val="nil"/>
              <w:right w:val="nil"/>
            </w:tcBorders>
            <w:shd w:val="clear" w:color="auto" w:fill="auto"/>
            <w:noWrap/>
            <w:vAlign w:val="center"/>
            <w:hideMark/>
          </w:tcPr>
          <w:p w14:paraId="42A82A41" w14:textId="77777777" w:rsidR="004E0D59" w:rsidRPr="00296D0C" w:rsidRDefault="004E0D59" w:rsidP="004E0D59">
            <w:pPr>
              <w:spacing w:after="0" w:line="240" w:lineRule="auto"/>
              <w:jc w:val="center"/>
              <w:rPr>
                <w:rFonts w:eastAsia="Times New Roman" w:cs="Times New Roman"/>
                <w:color w:val="000000"/>
              </w:rPr>
            </w:pPr>
          </w:p>
        </w:tc>
        <w:tc>
          <w:tcPr>
            <w:tcW w:w="1637" w:type="dxa"/>
            <w:tcBorders>
              <w:top w:val="nil"/>
              <w:left w:val="nil"/>
              <w:bottom w:val="nil"/>
              <w:right w:val="nil"/>
            </w:tcBorders>
            <w:shd w:val="clear" w:color="auto" w:fill="auto"/>
            <w:noWrap/>
            <w:vAlign w:val="center"/>
            <w:hideMark/>
          </w:tcPr>
          <w:p w14:paraId="4869D4BB" w14:textId="77777777" w:rsidR="004E0D59" w:rsidRPr="00296D0C" w:rsidRDefault="004E0D59" w:rsidP="004E0D59">
            <w:pPr>
              <w:spacing w:after="0" w:line="240" w:lineRule="auto"/>
              <w:jc w:val="center"/>
              <w:rPr>
                <w:rFonts w:eastAsia="Times New Roman" w:cs="Times New Roman"/>
              </w:rPr>
            </w:pPr>
          </w:p>
        </w:tc>
        <w:tc>
          <w:tcPr>
            <w:tcW w:w="958" w:type="dxa"/>
            <w:tcBorders>
              <w:top w:val="nil"/>
              <w:left w:val="nil"/>
              <w:bottom w:val="nil"/>
              <w:right w:val="nil"/>
            </w:tcBorders>
            <w:shd w:val="clear" w:color="auto" w:fill="auto"/>
            <w:noWrap/>
            <w:vAlign w:val="center"/>
            <w:hideMark/>
          </w:tcPr>
          <w:p w14:paraId="1F12F0F6" w14:textId="77777777" w:rsidR="004E0D59" w:rsidRPr="00296D0C" w:rsidRDefault="004E0D59" w:rsidP="004E0D59">
            <w:pPr>
              <w:spacing w:after="0" w:line="240" w:lineRule="auto"/>
              <w:jc w:val="center"/>
              <w:rPr>
                <w:rFonts w:eastAsia="Times New Roman" w:cs="Times New Roman"/>
              </w:rPr>
            </w:pPr>
          </w:p>
        </w:tc>
        <w:tc>
          <w:tcPr>
            <w:tcW w:w="1276" w:type="dxa"/>
            <w:tcBorders>
              <w:top w:val="nil"/>
              <w:left w:val="nil"/>
              <w:bottom w:val="nil"/>
              <w:right w:val="nil"/>
            </w:tcBorders>
          </w:tcPr>
          <w:p w14:paraId="34B2DDD7" w14:textId="77777777" w:rsidR="004E0D59" w:rsidRPr="00296D0C" w:rsidRDefault="004E0D59" w:rsidP="004E0D59">
            <w:pPr>
              <w:spacing w:after="0" w:line="240" w:lineRule="auto"/>
              <w:jc w:val="center"/>
              <w:rPr>
                <w:rFonts w:eastAsia="Times New Roman" w:cs="Times New Roman"/>
              </w:rPr>
            </w:pPr>
          </w:p>
        </w:tc>
        <w:tc>
          <w:tcPr>
            <w:tcW w:w="1451" w:type="dxa"/>
            <w:tcBorders>
              <w:top w:val="nil"/>
              <w:left w:val="nil"/>
              <w:bottom w:val="nil"/>
              <w:right w:val="nil"/>
            </w:tcBorders>
          </w:tcPr>
          <w:p w14:paraId="4CF55E17" w14:textId="77777777" w:rsidR="004E0D59" w:rsidRPr="00296D0C" w:rsidRDefault="004E0D59" w:rsidP="004E0D59">
            <w:pPr>
              <w:spacing w:after="0" w:line="240" w:lineRule="auto"/>
              <w:jc w:val="center"/>
              <w:rPr>
                <w:rFonts w:eastAsia="Times New Roman" w:cs="Times New Roman"/>
              </w:rPr>
            </w:pPr>
          </w:p>
        </w:tc>
        <w:tc>
          <w:tcPr>
            <w:tcW w:w="1134" w:type="dxa"/>
            <w:tcBorders>
              <w:top w:val="nil"/>
              <w:left w:val="nil"/>
              <w:bottom w:val="nil"/>
              <w:right w:val="nil"/>
            </w:tcBorders>
          </w:tcPr>
          <w:p w14:paraId="7C278227" w14:textId="77777777" w:rsidR="004E0D59" w:rsidRPr="00296D0C" w:rsidRDefault="004E0D59" w:rsidP="004E0D59">
            <w:pPr>
              <w:spacing w:after="0" w:line="240" w:lineRule="auto"/>
              <w:jc w:val="center"/>
              <w:rPr>
                <w:rFonts w:eastAsia="Times New Roman" w:cs="Times New Roman"/>
              </w:rPr>
            </w:pPr>
          </w:p>
        </w:tc>
      </w:tr>
      <w:tr w:rsidR="004E0D59" w:rsidRPr="00296D0C" w14:paraId="3A0D36AB" w14:textId="77777777" w:rsidTr="00020C42">
        <w:trPr>
          <w:trHeight w:val="300"/>
        </w:trPr>
        <w:tc>
          <w:tcPr>
            <w:tcW w:w="2552" w:type="dxa"/>
            <w:tcBorders>
              <w:top w:val="nil"/>
              <w:left w:val="nil"/>
              <w:bottom w:val="nil"/>
              <w:right w:val="nil"/>
            </w:tcBorders>
            <w:shd w:val="clear" w:color="auto" w:fill="auto"/>
            <w:noWrap/>
            <w:vAlign w:val="bottom"/>
            <w:hideMark/>
          </w:tcPr>
          <w:p w14:paraId="5E003AEB" w14:textId="77777777" w:rsidR="004E0D59" w:rsidRPr="00296D0C" w:rsidRDefault="004E0D59" w:rsidP="004E0D59">
            <w:pPr>
              <w:spacing w:after="0" w:line="240" w:lineRule="auto"/>
              <w:ind w:firstLine="171"/>
              <w:rPr>
                <w:rFonts w:eastAsia="Times New Roman" w:cs="Times New Roman"/>
                <w:color w:val="000000"/>
              </w:rPr>
            </w:pPr>
            <w:r w:rsidRPr="00296D0C">
              <w:rPr>
                <w:rFonts w:eastAsia="Times New Roman" w:cs="Times New Roman"/>
                <w:color w:val="000000"/>
              </w:rPr>
              <w:t>Overweight</w:t>
            </w:r>
          </w:p>
        </w:tc>
        <w:tc>
          <w:tcPr>
            <w:tcW w:w="637" w:type="dxa"/>
            <w:tcBorders>
              <w:top w:val="nil"/>
              <w:left w:val="nil"/>
              <w:bottom w:val="nil"/>
              <w:right w:val="nil"/>
            </w:tcBorders>
            <w:shd w:val="clear" w:color="auto" w:fill="auto"/>
            <w:noWrap/>
            <w:vAlign w:val="center"/>
            <w:hideMark/>
          </w:tcPr>
          <w:p w14:paraId="49E121A3"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89</w:t>
            </w:r>
          </w:p>
        </w:tc>
        <w:tc>
          <w:tcPr>
            <w:tcW w:w="922" w:type="dxa"/>
            <w:tcBorders>
              <w:top w:val="nil"/>
              <w:left w:val="nil"/>
              <w:bottom w:val="nil"/>
              <w:right w:val="nil"/>
            </w:tcBorders>
            <w:shd w:val="clear" w:color="auto" w:fill="auto"/>
            <w:noWrap/>
            <w:vAlign w:val="center"/>
            <w:hideMark/>
          </w:tcPr>
          <w:p w14:paraId="5CD44301"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14.1</w:t>
            </w:r>
          </w:p>
        </w:tc>
        <w:tc>
          <w:tcPr>
            <w:tcW w:w="637" w:type="dxa"/>
            <w:tcBorders>
              <w:top w:val="nil"/>
              <w:left w:val="nil"/>
              <w:bottom w:val="nil"/>
              <w:right w:val="nil"/>
            </w:tcBorders>
            <w:shd w:val="clear" w:color="auto" w:fill="auto"/>
            <w:noWrap/>
            <w:vAlign w:val="center"/>
            <w:hideMark/>
          </w:tcPr>
          <w:p w14:paraId="561B6091"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84</w:t>
            </w:r>
          </w:p>
        </w:tc>
        <w:tc>
          <w:tcPr>
            <w:tcW w:w="1064" w:type="dxa"/>
            <w:tcBorders>
              <w:top w:val="nil"/>
              <w:left w:val="nil"/>
              <w:bottom w:val="nil"/>
              <w:right w:val="nil"/>
            </w:tcBorders>
            <w:shd w:val="clear" w:color="auto" w:fill="auto"/>
            <w:noWrap/>
            <w:vAlign w:val="center"/>
            <w:hideMark/>
          </w:tcPr>
          <w:p w14:paraId="73548765"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13.5</w:t>
            </w:r>
          </w:p>
        </w:tc>
        <w:tc>
          <w:tcPr>
            <w:tcW w:w="915" w:type="dxa"/>
            <w:tcBorders>
              <w:top w:val="nil"/>
              <w:left w:val="nil"/>
              <w:bottom w:val="nil"/>
              <w:right w:val="nil"/>
            </w:tcBorders>
            <w:shd w:val="clear" w:color="auto" w:fill="auto"/>
            <w:noWrap/>
            <w:vAlign w:val="center"/>
            <w:hideMark/>
          </w:tcPr>
          <w:p w14:paraId="0CDB1D0A" w14:textId="77777777" w:rsidR="004E0D59" w:rsidRPr="00296D0C" w:rsidRDefault="004E0D59" w:rsidP="004E0D59">
            <w:pPr>
              <w:spacing w:after="0" w:line="240" w:lineRule="auto"/>
              <w:jc w:val="center"/>
              <w:rPr>
                <w:rFonts w:eastAsia="Times New Roman" w:cs="Times New Roman"/>
                <w:color w:val="000000"/>
              </w:rPr>
            </w:pPr>
          </w:p>
        </w:tc>
        <w:tc>
          <w:tcPr>
            <w:tcW w:w="1637" w:type="dxa"/>
            <w:tcBorders>
              <w:top w:val="nil"/>
              <w:left w:val="nil"/>
              <w:bottom w:val="nil"/>
              <w:right w:val="nil"/>
            </w:tcBorders>
            <w:shd w:val="clear" w:color="auto" w:fill="auto"/>
            <w:noWrap/>
            <w:vAlign w:val="center"/>
            <w:hideMark/>
          </w:tcPr>
          <w:p w14:paraId="4CF5B91C" w14:textId="77777777" w:rsidR="004E0D59" w:rsidRPr="00296D0C" w:rsidRDefault="004E0D59" w:rsidP="004E0D59">
            <w:pPr>
              <w:spacing w:after="0" w:line="240" w:lineRule="auto"/>
              <w:jc w:val="center"/>
              <w:rPr>
                <w:rFonts w:eastAsia="Times New Roman" w:cs="Times New Roman"/>
              </w:rPr>
            </w:pPr>
          </w:p>
        </w:tc>
        <w:tc>
          <w:tcPr>
            <w:tcW w:w="958" w:type="dxa"/>
            <w:tcBorders>
              <w:top w:val="nil"/>
              <w:left w:val="nil"/>
              <w:bottom w:val="nil"/>
              <w:right w:val="nil"/>
            </w:tcBorders>
            <w:shd w:val="clear" w:color="auto" w:fill="auto"/>
            <w:noWrap/>
            <w:vAlign w:val="center"/>
            <w:hideMark/>
          </w:tcPr>
          <w:p w14:paraId="09CB5505" w14:textId="77777777" w:rsidR="004E0D59" w:rsidRPr="00296D0C" w:rsidRDefault="004E0D59" w:rsidP="004E0D59">
            <w:pPr>
              <w:spacing w:after="0" w:line="240" w:lineRule="auto"/>
              <w:jc w:val="center"/>
              <w:rPr>
                <w:rFonts w:eastAsia="Times New Roman" w:cs="Times New Roman"/>
              </w:rPr>
            </w:pPr>
          </w:p>
        </w:tc>
        <w:tc>
          <w:tcPr>
            <w:tcW w:w="1276" w:type="dxa"/>
            <w:tcBorders>
              <w:top w:val="nil"/>
              <w:left w:val="nil"/>
              <w:bottom w:val="nil"/>
              <w:right w:val="nil"/>
            </w:tcBorders>
          </w:tcPr>
          <w:p w14:paraId="58895F3B" w14:textId="77777777" w:rsidR="004E0D59" w:rsidRPr="00296D0C" w:rsidRDefault="004E0D59" w:rsidP="004E0D59">
            <w:pPr>
              <w:spacing w:after="0" w:line="240" w:lineRule="auto"/>
              <w:jc w:val="center"/>
              <w:rPr>
                <w:rFonts w:eastAsia="Times New Roman" w:cs="Times New Roman"/>
              </w:rPr>
            </w:pPr>
          </w:p>
        </w:tc>
        <w:tc>
          <w:tcPr>
            <w:tcW w:w="1451" w:type="dxa"/>
            <w:tcBorders>
              <w:top w:val="nil"/>
              <w:left w:val="nil"/>
              <w:bottom w:val="nil"/>
              <w:right w:val="nil"/>
            </w:tcBorders>
          </w:tcPr>
          <w:p w14:paraId="2917400A" w14:textId="77777777" w:rsidR="004E0D59" w:rsidRPr="00296D0C" w:rsidRDefault="004E0D59" w:rsidP="004E0D59">
            <w:pPr>
              <w:spacing w:after="0" w:line="240" w:lineRule="auto"/>
              <w:jc w:val="center"/>
              <w:rPr>
                <w:rFonts w:eastAsia="Times New Roman" w:cs="Times New Roman"/>
              </w:rPr>
            </w:pPr>
          </w:p>
        </w:tc>
        <w:tc>
          <w:tcPr>
            <w:tcW w:w="1134" w:type="dxa"/>
            <w:tcBorders>
              <w:top w:val="nil"/>
              <w:left w:val="nil"/>
              <w:bottom w:val="nil"/>
              <w:right w:val="nil"/>
            </w:tcBorders>
          </w:tcPr>
          <w:p w14:paraId="7C007ECB" w14:textId="77777777" w:rsidR="004E0D59" w:rsidRPr="00296D0C" w:rsidRDefault="004E0D59" w:rsidP="004E0D59">
            <w:pPr>
              <w:spacing w:after="0" w:line="240" w:lineRule="auto"/>
              <w:jc w:val="center"/>
              <w:rPr>
                <w:rFonts w:eastAsia="Times New Roman" w:cs="Times New Roman"/>
              </w:rPr>
            </w:pPr>
          </w:p>
        </w:tc>
      </w:tr>
      <w:tr w:rsidR="004E0D59" w:rsidRPr="00296D0C" w14:paraId="2C272AE5" w14:textId="77777777" w:rsidTr="00020C42">
        <w:trPr>
          <w:trHeight w:val="300"/>
        </w:trPr>
        <w:tc>
          <w:tcPr>
            <w:tcW w:w="2552" w:type="dxa"/>
            <w:tcBorders>
              <w:top w:val="nil"/>
              <w:left w:val="nil"/>
              <w:bottom w:val="nil"/>
              <w:right w:val="nil"/>
            </w:tcBorders>
            <w:shd w:val="clear" w:color="auto" w:fill="auto"/>
            <w:noWrap/>
            <w:vAlign w:val="bottom"/>
            <w:hideMark/>
          </w:tcPr>
          <w:p w14:paraId="27F720F4" w14:textId="77777777" w:rsidR="004E0D59" w:rsidRPr="00296D0C" w:rsidRDefault="004E0D59" w:rsidP="004E0D59">
            <w:pPr>
              <w:spacing w:after="0" w:line="240" w:lineRule="auto"/>
              <w:ind w:firstLine="171"/>
              <w:rPr>
                <w:rFonts w:eastAsia="Times New Roman" w:cs="Times New Roman"/>
                <w:color w:val="000000"/>
              </w:rPr>
            </w:pPr>
            <w:r w:rsidRPr="00296D0C">
              <w:rPr>
                <w:rFonts w:eastAsia="Times New Roman" w:cs="Times New Roman"/>
                <w:color w:val="000000"/>
              </w:rPr>
              <w:t>Obese</w:t>
            </w:r>
          </w:p>
        </w:tc>
        <w:tc>
          <w:tcPr>
            <w:tcW w:w="637" w:type="dxa"/>
            <w:tcBorders>
              <w:top w:val="nil"/>
              <w:left w:val="nil"/>
              <w:bottom w:val="nil"/>
              <w:right w:val="nil"/>
            </w:tcBorders>
            <w:shd w:val="clear" w:color="auto" w:fill="auto"/>
            <w:noWrap/>
            <w:vAlign w:val="center"/>
            <w:hideMark/>
          </w:tcPr>
          <w:p w14:paraId="4EB7FA85"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105</w:t>
            </w:r>
          </w:p>
        </w:tc>
        <w:tc>
          <w:tcPr>
            <w:tcW w:w="922" w:type="dxa"/>
            <w:tcBorders>
              <w:top w:val="nil"/>
              <w:left w:val="nil"/>
              <w:bottom w:val="nil"/>
              <w:right w:val="nil"/>
            </w:tcBorders>
            <w:shd w:val="clear" w:color="auto" w:fill="auto"/>
            <w:noWrap/>
            <w:vAlign w:val="center"/>
            <w:hideMark/>
          </w:tcPr>
          <w:p w14:paraId="03129DE8"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16.7</w:t>
            </w:r>
          </w:p>
        </w:tc>
        <w:tc>
          <w:tcPr>
            <w:tcW w:w="637" w:type="dxa"/>
            <w:tcBorders>
              <w:top w:val="nil"/>
              <w:left w:val="nil"/>
              <w:bottom w:val="nil"/>
              <w:right w:val="nil"/>
            </w:tcBorders>
            <w:shd w:val="clear" w:color="auto" w:fill="auto"/>
            <w:noWrap/>
            <w:vAlign w:val="center"/>
            <w:hideMark/>
          </w:tcPr>
          <w:p w14:paraId="7C407BBC"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81</w:t>
            </w:r>
          </w:p>
        </w:tc>
        <w:tc>
          <w:tcPr>
            <w:tcW w:w="1064" w:type="dxa"/>
            <w:tcBorders>
              <w:top w:val="nil"/>
              <w:left w:val="nil"/>
              <w:bottom w:val="nil"/>
              <w:right w:val="nil"/>
            </w:tcBorders>
            <w:shd w:val="clear" w:color="auto" w:fill="auto"/>
            <w:noWrap/>
            <w:vAlign w:val="center"/>
            <w:hideMark/>
          </w:tcPr>
          <w:p w14:paraId="50D7CCD1"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13.1</w:t>
            </w:r>
          </w:p>
        </w:tc>
        <w:tc>
          <w:tcPr>
            <w:tcW w:w="915" w:type="dxa"/>
            <w:tcBorders>
              <w:top w:val="nil"/>
              <w:left w:val="nil"/>
              <w:bottom w:val="nil"/>
              <w:right w:val="nil"/>
            </w:tcBorders>
            <w:shd w:val="clear" w:color="auto" w:fill="auto"/>
            <w:noWrap/>
            <w:vAlign w:val="center"/>
            <w:hideMark/>
          </w:tcPr>
          <w:p w14:paraId="01D93F87" w14:textId="77777777" w:rsidR="004E0D59" w:rsidRPr="00296D0C" w:rsidRDefault="004E0D59" w:rsidP="004E0D59">
            <w:pPr>
              <w:spacing w:after="0" w:line="240" w:lineRule="auto"/>
              <w:jc w:val="center"/>
              <w:rPr>
                <w:rFonts w:eastAsia="Times New Roman" w:cs="Times New Roman"/>
                <w:color w:val="000000"/>
              </w:rPr>
            </w:pPr>
          </w:p>
        </w:tc>
        <w:tc>
          <w:tcPr>
            <w:tcW w:w="1637" w:type="dxa"/>
            <w:tcBorders>
              <w:top w:val="nil"/>
              <w:left w:val="nil"/>
              <w:bottom w:val="nil"/>
              <w:right w:val="nil"/>
            </w:tcBorders>
            <w:shd w:val="clear" w:color="auto" w:fill="auto"/>
            <w:noWrap/>
            <w:vAlign w:val="center"/>
            <w:hideMark/>
          </w:tcPr>
          <w:p w14:paraId="0666CA1B" w14:textId="77777777" w:rsidR="004E0D59" w:rsidRPr="00296D0C" w:rsidRDefault="004E0D59" w:rsidP="004E0D59">
            <w:pPr>
              <w:spacing w:after="0" w:line="240" w:lineRule="auto"/>
              <w:jc w:val="center"/>
              <w:rPr>
                <w:rFonts w:eastAsia="Times New Roman" w:cs="Times New Roman"/>
              </w:rPr>
            </w:pPr>
          </w:p>
        </w:tc>
        <w:tc>
          <w:tcPr>
            <w:tcW w:w="958" w:type="dxa"/>
            <w:tcBorders>
              <w:top w:val="nil"/>
              <w:left w:val="nil"/>
              <w:bottom w:val="nil"/>
              <w:right w:val="nil"/>
            </w:tcBorders>
            <w:shd w:val="clear" w:color="auto" w:fill="auto"/>
            <w:noWrap/>
            <w:vAlign w:val="center"/>
            <w:hideMark/>
          </w:tcPr>
          <w:p w14:paraId="306419CC" w14:textId="77777777" w:rsidR="004E0D59" w:rsidRPr="00296D0C" w:rsidRDefault="004E0D59" w:rsidP="004E0D59">
            <w:pPr>
              <w:spacing w:after="0" w:line="240" w:lineRule="auto"/>
              <w:jc w:val="center"/>
              <w:rPr>
                <w:rFonts w:eastAsia="Times New Roman" w:cs="Times New Roman"/>
              </w:rPr>
            </w:pPr>
          </w:p>
        </w:tc>
        <w:tc>
          <w:tcPr>
            <w:tcW w:w="1276" w:type="dxa"/>
            <w:tcBorders>
              <w:top w:val="nil"/>
              <w:left w:val="nil"/>
              <w:bottom w:val="nil"/>
              <w:right w:val="nil"/>
            </w:tcBorders>
          </w:tcPr>
          <w:p w14:paraId="0B3E631F" w14:textId="77777777" w:rsidR="004E0D59" w:rsidRPr="00296D0C" w:rsidRDefault="004E0D59" w:rsidP="004E0D59">
            <w:pPr>
              <w:spacing w:after="0" w:line="240" w:lineRule="auto"/>
              <w:jc w:val="center"/>
              <w:rPr>
                <w:rFonts w:eastAsia="Times New Roman" w:cs="Times New Roman"/>
              </w:rPr>
            </w:pPr>
          </w:p>
        </w:tc>
        <w:tc>
          <w:tcPr>
            <w:tcW w:w="1451" w:type="dxa"/>
            <w:tcBorders>
              <w:top w:val="nil"/>
              <w:left w:val="nil"/>
              <w:bottom w:val="nil"/>
              <w:right w:val="nil"/>
            </w:tcBorders>
          </w:tcPr>
          <w:p w14:paraId="736D5372" w14:textId="77777777" w:rsidR="004E0D59" w:rsidRPr="00296D0C" w:rsidRDefault="004E0D59" w:rsidP="004E0D59">
            <w:pPr>
              <w:spacing w:after="0" w:line="240" w:lineRule="auto"/>
              <w:jc w:val="center"/>
              <w:rPr>
                <w:rFonts w:eastAsia="Times New Roman" w:cs="Times New Roman"/>
              </w:rPr>
            </w:pPr>
          </w:p>
        </w:tc>
        <w:tc>
          <w:tcPr>
            <w:tcW w:w="1134" w:type="dxa"/>
            <w:tcBorders>
              <w:top w:val="nil"/>
              <w:left w:val="nil"/>
              <w:bottom w:val="nil"/>
              <w:right w:val="nil"/>
            </w:tcBorders>
          </w:tcPr>
          <w:p w14:paraId="442720EE" w14:textId="77777777" w:rsidR="004E0D59" w:rsidRPr="00296D0C" w:rsidRDefault="004E0D59" w:rsidP="004E0D59">
            <w:pPr>
              <w:spacing w:after="0" w:line="240" w:lineRule="auto"/>
              <w:jc w:val="center"/>
              <w:rPr>
                <w:rFonts w:eastAsia="Times New Roman" w:cs="Times New Roman"/>
              </w:rPr>
            </w:pPr>
          </w:p>
        </w:tc>
      </w:tr>
      <w:tr w:rsidR="004E0D59" w:rsidRPr="00296D0C" w14:paraId="22D30FF0" w14:textId="77777777" w:rsidTr="00020C42">
        <w:trPr>
          <w:trHeight w:val="300"/>
        </w:trPr>
        <w:tc>
          <w:tcPr>
            <w:tcW w:w="2552" w:type="dxa"/>
            <w:tcBorders>
              <w:top w:val="nil"/>
              <w:left w:val="nil"/>
              <w:bottom w:val="nil"/>
              <w:right w:val="nil"/>
            </w:tcBorders>
            <w:shd w:val="clear" w:color="auto" w:fill="auto"/>
            <w:noWrap/>
            <w:vAlign w:val="bottom"/>
          </w:tcPr>
          <w:p w14:paraId="75A56443" w14:textId="77777777" w:rsidR="004E0D59" w:rsidRPr="00296D0C" w:rsidRDefault="004E0D59" w:rsidP="004E0D59">
            <w:pPr>
              <w:spacing w:after="0" w:line="240" w:lineRule="auto"/>
              <w:ind w:firstLine="171"/>
              <w:rPr>
                <w:rFonts w:eastAsia="Times New Roman" w:cs="Times New Roman"/>
                <w:color w:val="000000"/>
              </w:rPr>
            </w:pPr>
            <w:r w:rsidRPr="00296D0C">
              <w:rPr>
                <w:rFonts w:eastAsia="Times New Roman" w:cs="Times New Roman"/>
                <w:color w:val="000000"/>
              </w:rPr>
              <w:t>Overweight &amp; obese</w:t>
            </w:r>
          </w:p>
        </w:tc>
        <w:tc>
          <w:tcPr>
            <w:tcW w:w="637" w:type="dxa"/>
            <w:tcBorders>
              <w:top w:val="nil"/>
              <w:left w:val="nil"/>
              <w:bottom w:val="nil"/>
              <w:right w:val="nil"/>
            </w:tcBorders>
            <w:shd w:val="clear" w:color="auto" w:fill="auto"/>
            <w:noWrap/>
            <w:vAlign w:val="center"/>
          </w:tcPr>
          <w:p w14:paraId="65044CB5"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194</w:t>
            </w:r>
          </w:p>
        </w:tc>
        <w:tc>
          <w:tcPr>
            <w:tcW w:w="922" w:type="dxa"/>
            <w:tcBorders>
              <w:top w:val="nil"/>
              <w:left w:val="nil"/>
              <w:bottom w:val="nil"/>
              <w:right w:val="nil"/>
            </w:tcBorders>
            <w:shd w:val="clear" w:color="auto" w:fill="auto"/>
            <w:noWrap/>
            <w:vAlign w:val="center"/>
          </w:tcPr>
          <w:p w14:paraId="70FFAB05"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30.8</w:t>
            </w:r>
          </w:p>
        </w:tc>
        <w:tc>
          <w:tcPr>
            <w:tcW w:w="637" w:type="dxa"/>
            <w:tcBorders>
              <w:top w:val="nil"/>
              <w:left w:val="nil"/>
              <w:bottom w:val="nil"/>
              <w:right w:val="nil"/>
            </w:tcBorders>
            <w:shd w:val="clear" w:color="auto" w:fill="auto"/>
            <w:noWrap/>
            <w:vAlign w:val="center"/>
          </w:tcPr>
          <w:p w14:paraId="1B50D4E8"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165</w:t>
            </w:r>
          </w:p>
        </w:tc>
        <w:tc>
          <w:tcPr>
            <w:tcW w:w="1064" w:type="dxa"/>
            <w:tcBorders>
              <w:top w:val="nil"/>
              <w:left w:val="nil"/>
              <w:bottom w:val="nil"/>
              <w:right w:val="nil"/>
            </w:tcBorders>
            <w:shd w:val="clear" w:color="auto" w:fill="auto"/>
            <w:noWrap/>
            <w:vAlign w:val="center"/>
          </w:tcPr>
          <w:p w14:paraId="070485F3"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26.6</w:t>
            </w:r>
          </w:p>
        </w:tc>
        <w:tc>
          <w:tcPr>
            <w:tcW w:w="915" w:type="dxa"/>
            <w:tcBorders>
              <w:top w:val="nil"/>
              <w:left w:val="nil"/>
              <w:bottom w:val="nil"/>
              <w:right w:val="nil"/>
            </w:tcBorders>
            <w:shd w:val="clear" w:color="auto" w:fill="auto"/>
            <w:noWrap/>
            <w:vAlign w:val="center"/>
          </w:tcPr>
          <w:p w14:paraId="5393818F" w14:textId="77777777" w:rsidR="004E0D59" w:rsidRPr="00296D0C" w:rsidRDefault="004E0D59" w:rsidP="004E0D59">
            <w:pPr>
              <w:spacing w:after="0" w:line="240" w:lineRule="auto"/>
              <w:jc w:val="center"/>
              <w:rPr>
                <w:rFonts w:eastAsia="Times New Roman" w:cs="Times New Roman"/>
                <w:color w:val="000000"/>
              </w:rPr>
            </w:pPr>
          </w:p>
        </w:tc>
        <w:tc>
          <w:tcPr>
            <w:tcW w:w="1637" w:type="dxa"/>
            <w:tcBorders>
              <w:top w:val="nil"/>
              <w:left w:val="nil"/>
              <w:bottom w:val="nil"/>
              <w:right w:val="nil"/>
            </w:tcBorders>
            <w:shd w:val="clear" w:color="auto" w:fill="auto"/>
            <w:noWrap/>
            <w:vAlign w:val="center"/>
          </w:tcPr>
          <w:p w14:paraId="5CDE3353" w14:textId="77777777" w:rsidR="004E0D59" w:rsidRPr="00296D0C" w:rsidRDefault="004E0D59" w:rsidP="004E0D59">
            <w:pPr>
              <w:spacing w:after="0" w:line="240" w:lineRule="auto"/>
              <w:jc w:val="center"/>
              <w:rPr>
                <w:rFonts w:eastAsia="Times New Roman" w:cs="Times New Roman"/>
              </w:rPr>
            </w:pPr>
          </w:p>
        </w:tc>
        <w:tc>
          <w:tcPr>
            <w:tcW w:w="958" w:type="dxa"/>
            <w:tcBorders>
              <w:top w:val="nil"/>
              <w:left w:val="nil"/>
              <w:bottom w:val="nil"/>
              <w:right w:val="nil"/>
            </w:tcBorders>
            <w:shd w:val="clear" w:color="auto" w:fill="auto"/>
            <w:noWrap/>
            <w:vAlign w:val="center"/>
          </w:tcPr>
          <w:p w14:paraId="5363D1F7" w14:textId="77777777" w:rsidR="004E0D59" w:rsidRPr="00296D0C" w:rsidRDefault="004E0D59" w:rsidP="004E0D59">
            <w:pPr>
              <w:spacing w:after="0" w:line="240" w:lineRule="auto"/>
              <w:jc w:val="center"/>
              <w:rPr>
                <w:rFonts w:eastAsia="Times New Roman" w:cs="Times New Roman"/>
              </w:rPr>
            </w:pPr>
          </w:p>
        </w:tc>
        <w:tc>
          <w:tcPr>
            <w:tcW w:w="1276" w:type="dxa"/>
            <w:tcBorders>
              <w:top w:val="nil"/>
              <w:left w:val="nil"/>
              <w:bottom w:val="nil"/>
              <w:right w:val="nil"/>
            </w:tcBorders>
          </w:tcPr>
          <w:p w14:paraId="377AD044" w14:textId="77777777" w:rsidR="004E0D59" w:rsidRPr="00296D0C" w:rsidRDefault="004E0D59" w:rsidP="004E0D59">
            <w:pPr>
              <w:spacing w:after="0" w:line="240" w:lineRule="auto"/>
              <w:jc w:val="center"/>
              <w:rPr>
                <w:rFonts w:eastAsia="Times New Roman" w:cs="Times New Roman"/>
              </w:rPr>
            </w:pPr>
          </w:p>
        </w:tc>
        <w:tc>
          <w:tcPr>
            <w:tcW w:w="1451" w:type="dxa"/>
            <w:tcBorders>
              <w:top w:val="nil"/>
              <w:left w:val="nil"/>
              <w:bottom w:val="nil"/>
              <w:right w:val="nil"/>
            </w:tcBorders>
          </w:tcPr>
          <w:p w14:paraId="7D948AE1" w14:textId="77777777" w:rsidR="004E0D59" w:rsidRPr="00296D0C" w:rsidRDefault="004E0D59" w:rsidP="004E0D59">
            <w:pPr>
              <w:spacing w:after="0" w:line="240" w:lineRule="auto"/>
              <w:jc w:val="center"/>
              <w:rPr>
                <w:rFonts w:eastAsia="Times New Roman" w:cs="Times New Roman"/>
              </w:rPr>
            </w:pPr>
          </w:p>
        </w:tc>
        <w:tc>
          <w:tcPr>
            <w:tcW w:w="1134" w:type="dxa"/>
            <w:tcBorders>
              <w:top w:val="nil"/>
              <w:left w:val="nil"/>
              <w:bottom w:val="nil"/>
              <w:right w:val="nil"/>
            </w:tcBorders>
          </w:tcPr>
          <w:p w14:paraId="46A0D332" w14:textId="77777777" w:rsidR="004E0D59" w:rsidRPr="00296D0C" w:rsidRDefault="004E0D59" w:rsidP="004E0D59">
            <w:pPr>
              <w:spacing w:after="0" w:line="240" w:lineRule="auto"/>
              <w:jc w:val="center"/>
              <w:rPr>
                <w:rFonts w:eastAsia="Times New Roman" w:cs="Times New Roman"/>
              </w:rPr>
            </w:pPr>
          </w:p>
        </w:tc>
      </w:tr>
      <w:tr w:rsidR="004E0D59" w:rsidRPr="00296D0C" w14:paraId="21A65046" w14:textId="77777777" w:rsidTr="00020C42">
        <w:trPr>
          <w:trHeight w:val="642"/>
        </w:trPr>
        <w:tc>
          <w:tcPr>
            <w:tcW w:w="2552" w:type="dxa"/>
            <w:tcBorders>
              <w:top w:val="nil"/>
              <w:left w:val="nil"/>
              <w:right w:val="nil"/>
            </w:tcBorders>
            <w:shd w:val="clear" w:color="auto" w:fill="auto"/>
            <w:noWrap/>
            <w:vAlign w:val="bottom"/>
            <w:hideMark/>
          </w:tcPr>
          <w:p w14:paraId="16173DCF" w14:textId="77777777" w:rsidR="004E0D59" w:rsidRPr="00296D0C" w:rsidRDefault="004E0D59" w:rsidP="004E0D59">
            <w:pPr>
              <w:spacing w:after="0" w:line="240" w:lineRule="auto"/>
              <w:rPr>
                <w:rFonts w:eastAsia="Times New Roman" w:cs="Times New Roman"/>
                <w:color w:val="000000"/>
              </w:rPr>
            </w:pPr>
            <w:r w:rsidRPr="00296D0C">
              <w:rPr>
                <w:rFonts w:eastAsia="Times New Roman" w:cs="Times New Roman"/>
                <w:color w:val="000000"/>
              </w:rPr>
              <w:t>Ordinal logistic model</w:t>
            </w:r>
          </w:p>
        </w:tc>
        <w:tc>
          <w:tcPr>
            <w:tcW w:w="637" w:type="dxa"/>
            <w:tcBorders>
              <w:top w:val="nil"/>
              <w:left w:val="nil"/>
              <w:right w:val="nil"/>
            </w:tcBorders>
            <w:shd w:val="clear" w:color="auto" w:fill="auto"/>
            <w:noWrap/>
            <w:vAlign w:val="center"/>
            <w:hideMark/>
          </w:tcPr>
          <w:p w14:paraId="14AAFCF4" w14:textId="77777777" w:rsidR="004E0D59" w:rsidRPr="00296D0C" w:rsidRDefault="004E0D59" w:rsidP="004E0D59">
            <w:pPr>
              <w:spacing w:after="0" w:line="240" w:lineRule="auto"/>
              <w:jc w:val="center"/>
              <w:rPr>
                <w:rFonts w:eastAsia="Times New Roman" w:cs="Times New Roman"/>
                <w:color w:val="000000"/>
              </w:rPr>
            </w:pPr>
          </w:p>
        </w:tc>
        <w:tc>
          <w:tcPr>
            <w:tcW w:w="922" w:type="dxa"/>
            <w:tcBorders>
              <w:top w:val="nil"/>
              <w:left w:val="nil"/>
              <w:right w:val="nil"/>
            </w:tcBorders>
            <w:shd w:val="clear" w:color="auto" w:fill="auto"/>
            <w:noWrap/>
            <w:vAlign w:val="center"/>
            <w:hideMark/>
          </w:tcPr>
          <w:p w14:paraId="7EB6CC71" w14:textId="77777777" w:rsidR="004E0D59" w:rsidRPr="00296D0C" w:rsidRDefault="004E0D59" w:rsidP="004E0D59">
            <w:pPr>
              <w:spacing w:after="0" w:line="240" w:lineRule="auto"/>
              <w:jc w:val="center"/>
              <w:rPr>
                <w:rFonts w:eastAsia="Times New Roman" w:cs="Times New Roman"/>
              </w:rPr>
            </w:pPr>
          </w:p>
        </w:tc>
        <w:tc>
          <w:tcPr>
            <w:tcW w:w="637" w:type="dxa"/>
            <w:tcBorders>
              <w:top w:val="nil"/>
              <w:left w:val="nil"/>
              <w:right w:val="nil"/>
            </w:tcBorders>
            <w:shd w:val="clear" w:color="auto" w:fill="auto"/>
            <w:noWrap/>
            <w:vAlign w:val="center"/>
            <w:hideMark/>
          </w:tcPr>
          <w:p w14:paraId="45CE06E8" w14:textId="77777777" w:rsidR="004E0D59" w:rsidRPr="00296D0C" w:rsidRDefault="004E0D59" w:rsidP="004E0D59">
            <w:pPr>
              <w:spacing w:after="0" w:line="240" w:lineRule="auto"/>
              <w:jc w:val="center"/>
              <w:rPr>
                <w:rFonts w:eastAsia="Times New Roman" w:cs="Times New Roman"/>
              </w:rPr>
            </w:pPr>
          </w:p>
        </w:tc>
        <w:tc>
          <w:tcPr>
            <w:tcW w:w="1064" w:type="dxa"/>
            <w:tcBorders>
              <w:top w:val="nil"/>
              <w:left w:val="nil"/>
              <w:right w:val="nil"/>
            </w:tcBorders>
            <w:shd w:val="clear" w:color="auto" w:fill="auto"/>
            <w:noWrap/>
            <w:vAlign w:val="center"/>
            <w:hideMark/>
          </w:tcPr>
          <w:p w14:paraId="0BEBD5DD" w14:textId="77777777" w:rsidR="004E0D59" w:rsidRPr="00296D0C" w:rsidRDefault="004E0D59" w:rsidP="004E0D59">
            <w:pPr>
              <w:spacing w:after="0" w:line="240" w:lineRule="auto"/>
              <w:jc w:val="center"/>
              <w:rPr>
                <w:rFonts w:eastAsia="Times New Roman" w:cs="Times New Roman"/>
              </w:rPr>
            </w:pPr>
          </w:p>
        </w:tc>
        <w:tc>
          <w:tcPr>
            <w:tcW w:w="915" w:type="dxa"/>
            <w:tcBorders>
              <w:top w:val="nil"/>
              <w:left w:val="nil"/>
              <w:right w:val="nil"/>
            </w:tcBorders>
            <w:shd w:val="clear" w:color="auto" w:fill="auto"/>
            <w:noWrap/>
            <w:vAlign w:val="center"/>
            <w:hideMark/>
          </w:tcPr>
          <w:p w14:paraId="7178421E"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1244</w:t>
            </w:r>
          </w:p>
        </w:tc>
        <w:tc>
          <w:tcPr>
            <w:tcW w:w="1637" w:type="dxa"/>
            <w:tcBorders>
              <w:top w:val="nil"/>
              <w:left w:val="nil"/>
              <w:right w:val="nil"/>
            </w:tcBorders>
            <w:shd w:val="clear" w:color="auto" w:fill="auto"/>
            <w:noWrap/>
            <w:vAlign w:val="center"/>
            <w:hideMark/>
          </w:tcPr>
          <w:p w14:paraId="2D8D7A00" w14:textId="72FA5C26" w:rsidR="004E0D59" w:rsidRPr="00296D0C" w:rsidRDefault="004E0D59" w:rsidP="004E0D59">
            <w:pPr>
              <w:spacing w:after="0" w:line="240" w:lineRule="auto"/>
              <w:jc w:val="center"/>
              <w:rPr>
                <w:color w:val="000000"/>
              </w:rPr>
            </w:pPr>
            <w:r w:rsidRPr="00296D0C">
              <w:rPr>
                <w:color w:val="000000"/>
              </w:rPr>
              <w:t>1.1</w:t>
            </w:r>
            <w:r w:rsidR="002F0A01" w:rsidRPr="00296D0C">
              <w:rPr>
                <w:color w:val="000000"/>
              </w:rPr>
              <w:t>5</w:t>
            </w:r>
            <w:r w:rsidRPr="00296D0C">
              <w:rPr>
                <w:color w:val="000000"/>
              </w:rPr>
              <w:t xml:space="preserve"> </w:t>
            </w:r>
          </w:p>
          <w:p w14:paraId="278E2AA4" w14:textId="48B65BA6" w:rsidR="004E0D59" w:rsidRPr="00296D0C" w:rsidRDefault="004E0D59" w:rsidP="002F0A01">
            <w:pPr>
              <w:spacing w:after="0" w:line="240" w:lineRule="auto"/>
              <w:jc w:val="center"/>
              <w:rPr>
                <w:rFonts w:eastAsia="Times New Roman" w:cs="Times New Roman"/>
                <w:color w:val="000000"/>
              </w:rPr>
            </w:pPr>
            <w:r w:rsidRPr="00296D0C">
              <w:rPr>
                <w:color w:val="000000"/>
              </w:rPr>
              <w:t>(0.7</w:t>
            </w:r>
            <w:r w:rsidR="002F0A01" w:rsidRPr="00296D0C">
              <w:rPr>
                <w:color w:val="000000"/>
              </w:rPr>
              <w:t>9</w:t>
            </w:r>
            <w:r w:rsidRPr="00296D0C">
              <w:rPr>
                <w:color w:val="000000"/>
              </w:rPr>
              <w:t>, 1.67)</w:t>
            </w:r>
          </w:p>
        </w:tc>
        <w:tc>
          <w:tcPr>
            <w:tcW w:w="958" w:type="dxa"/>
            <w:tcBorders>
              <w:top w:val="nil"/>
              <w:left w:val="nil"/>
              <w:right w:val="nil"/>
            </w:tcBorders>
            <w:shd w:val="clear" w:color="auto" w:fill="auto"/>
            <w:noWrap/>
            <w:vAlign w:val="center"/>
            <w:hideMark/>
          </w:tcPr>
          <w:p w14:paraId="1406AAD9"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0.472</w:t>
            </w:r>
          </w:p>
        </w:tc>
        <w:tc>
          <w:tcPr>
            <w:tcW w:w="1276" w:type="dxa"/>
            <w:tcBorders>
              <w:top w:val="nil"/>
              <w:left w:val="nil"/>
              <w:right w:val="nil"/>
            </w:tcBorders>
            <w:vAlign w:val="center"/>
          </w:tcPr>
          <w:p w14:paraId="5ED5156E"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1250</w:t>
            </w:r>
          </w:p>
        </w:tc>
        <w:tc>
          <w:tcPr>
            <w:tcW w:w="1451" w:type="dxa"/>
            <w:tcBorders>
              <w:top w:val="nil"/>
              <w:left w:val="nil"/>
              <w:right w:val="nil"/>
            </w:tcBorders>
            <w:vAlign w:val="center"/>
          </w:tcPr>
          <w:p w14:paraId="2FA40B8E" w14:textId="7776EB2D" w:rsidR="004E0D59" w:rsidRPr="00296D0C" w:rsidRDefault="004E0D59" w:rsidP="004E0D59">
            <w:pPr>
              <w:spacing w:after="0" w:line="240" w:lineRule="auto"/>
              <w:jc w:val="center"/>
              <w:rPr>
                <w:color w:val="000000"/>
              </w:rPr>
            </w:pPr>
            <w:r w:rsidRPr="00296D0C">
              <w:rPr>
                <w:color w:val="000000"/>
              </w:rPr>
              <w:t xml:space="preserve">1.20 </w:t>
            </w:r>
          </w:p>
          <w:p w14:paraId="435C2452" w14:textId="6D96333C" w:rsidR="004E0D59" w:rsidRPr="00296D0C" w:rsidRDefault="004E0D59" w:rsidP="004E0D59">
            <w:pPr>
              <w:spacing w:after="0" w:line="240" w:lineRule="auto"/>
              <w:jc w:val="center"/>
              <w:rPr>
                <w:color w:val="000000"/>
              </w:rPr>
            </w:pPr>
            <w:r w:rsidRPr="00296D0C">
              <w:rPr>
                <w:color w:val="000000"/>
              </w:rPr>
              <w:t>(0.83, 1.7</w:t>
            </w:r>
            <w:r w:rsidR="002F0A01" w:rsidRPr="00296D0C">
              <w:rPr>
                <w:color w:val="000000"/>
              </w:rPr>
              <w:t>4</w:t>
            </w:r>
            <w:r w:rsidRPr="00296D0C">
              <w:rPr>
                <w:color w:val="000000"/>
              </w:rPr>
              <w:t>)</w:t>
            </w:r>
          </w:p>
          <w:p w14:paraId="40EA408B" w14:textId="77777777" w:rsidR="004E0D59" w:rsidRPr="00296D0C" w:rsidRDefault="004E0D59" w:rsidP="004E0D59">
            <w:pPr>
              <w:spacing w:after="0" w:line="240" w:lineRule="auto"/>
              <w:jc w:val="center"/>
              <w:rPr>
                <w:rFonts w:eastAsia="Times New Roman" w:cs="Times New Roman"/>
                <w:color w:val="000000"/>
              </w:rPr>
            </w:pPr>
          </w:p>
        </w:tc>
        <w:tc>
          <w:tcPr>
            <w:tcW w:w="1134" w:type="dxa"/>
            <w:tcBorders>
              <w:top w:val="nil"/>
              <w:left w:val="nil"/>
              <w:right w:val="nil"/>
            </w:tcBorders>
            <w:vAlign w:val="center"/>
          </w:tcPr>
          <w:p w14:paraId="75BAFDC4"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0.329</w:t>
            </w:r>
          </w:p>
        </w:tc>
      </w:tr>
      <w:tr w:rsidR="004E0D59" w:rsidRPr="00296D0C" w14:paraId="49CC2671" w14:textId="77777777" w:rsidTr="00020C42">
        <w:trPr>
          <w:trHeight w:val="300"/>
        </w:trPr>
        <w:tc>
          <w:tcPr>
            <w:tcW w:w="2552" w:type="dxa"/>
            <w:tcBorders>
              <w:left w:val="nil"/>
              <w:right w:val="nil"/>
            </w:tcBorders>
            <w:shd w:val="clear" w:color="auto" w:fill="00CCFF"/>
            <w:noWrap/>
            <w:vAlign w:val="center"/>
          </w:tcPr>
          <w:p w14:paraId="046261E1" w14:textId="77777777" w:rsidR="004E0D59" w:rsidRPr="00296D0C" w:rsidRDefault="004E0D59" w:rsidP="004E0D59">
            <w:pPr>
              <w:spacing w:after="0" w:line="240" w:lineRule="auto"/>
              <w:rPr>
                <w:rFonts w:eastAsia="Times New Roman" w:cs="Times New Roman"/>
                <w:color w:val="000000"/>
              </w:rPr>
            </w:pPr>
            <w:r w:rsidRPr="00296D0C">
              <w:rPr>
                <w:rFonts w:eastAsia="Times New Roman" w:cs="Times New Roman"/>
                <w:color w:val="000000"/>
              </w:rPr>
              <w:t>Anthropometric outcomes</w:t>
            </w:r>
          </w:p>
        </w:tc>
        <w:tc>
          <w:tcPr>
            <w:tcW w:w="637" w:type="dxa"/>
            <w:tcBorders>
              <w:left w:val="nil"/>
              <w:right w:val="nil"/>
            </w:tcBorders>
            <w:shd w:val="clear" w:color="auto" w:fill="00CCFF"/>
            <w:noWrap/>
            <w:vAlign w:val="center"/>
          </w:tcPr>
          <w:p w14:paraId="4D519D0D"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n</w:t>
            </w:r>
          </w:p>
        </w:tc>
        <w:tc>
          <w:tcPr>
            <w:tcW w:w="922" w:type="dxa"/>
            <w:tcBorders>
              <w:left w:val="nil"/>
              <w:right w:val="nil"/>
            </w:tcBorders>
            <w:shd w:val="clear" w:color="auto" w:fill="00CCFF"/>
            <w:noWrap/>
            <w:vAlign w:val="center"/>
          </w:tcPr>
          <w:p w14:paraId="4F02CAEC" w14:textId="77777777" w:rsidR="004E0D59" w:rsidRPr="00296D0C" w:rsidRDefault="004E0D59" w:rsidP="004E0D59">
            <w:pPr>
              <w:spacing w:after="0" w:line="240" w:lineRule="auto"/>
              <w:jc w:val="center"/>
              <w:rPr>
                <w:rFonts w:eastAsia="Times New Roman" w:cs="Times New Roman"/>
              </w:rPr>
            </w:pPr>
            <w:r w:rsidRPr="00296D0C">
              <w:rPr>
                <w:rFonts w:eastAsia="Times New Roman" w:cs="Times New Roman"/>
                <w:color w:val="000000"/>
              </w:rPr>
              <w:t>Mean (SD)</w:t>
            </w:r>
          </w:p>
        </w:tc>
        <w:tc>
          <w:tcPr>
            <w:tcW w:w="637" w:type="dxa"/>
            <w:tcBorders>
              <w:left w:val="nil"/>
              <w:right w:val="nil"/>
            </w:tcBorders>
            <w:shd w:val="clear" w:color="auto" w:fill="00CCFF"/>
            <w:noWrap/>
            <w:vAlign w:val="center"/>
          </w:tcPr>
          <w:p w14:paraId="392F9959" w14:textId="5ACF79C8" w:rsidR="004E0D59" w:rsidRPr="00296D0C" w:rsidRDefault="00940DB4" w:rsidP="004E0D59">
            <w:pPr>
              <w:spacing w:after="0" w:line="240" w:lineRule="auto"/>
              <w:jc w:val="center"/>
              <w:rPr>
                <w:rFonts w:eastAsia="Times New Roman" w:cs="Times New Roman"/>
              </w:rPr>
            </w:pPr>
            <w:r>
              <w:rPr>
                <w:rFonts w:eastAsia="Times New Roman" w:cs="Times New Roman"/>
                <w:color w:val="000000"/>
              </w:rPr>
              <w:t>n</w:t>
            </w:r>
          </w:p>
        </w:tc>
        <w:tc>
          <w:tcPr>
            <w:tcW w:w="1064" w:type="dxa"/>
            <w:tcBorders>
              <w:left w:val="nil"/>
              <w:right w:val="nil"/>
            </w:tcBorders>
            <w:shd w:val="clear" w:color="auto" w:fill="00CCFF"/>
            <w:noWrap/>
            <w:vAlign w:val="center"/>
          </w:tcPr>
          <w:p w14:paraId="721ACE76" w14:textId="77777777" w:rsidR="004E0D59" w:rsidRPr="00296D0C" w:rsidRDefault="004E0D59" w:rsidP="004E0D59">
            <w:pPr>
              <w:spacing w:after="0" w:line="240" w:lineRule="auto"/>
              <w:jc w:val="center"/>
              <w:rPr>
                <w:rFonts w:eastAsia="Times New Roman" w:cs="Times New Roman"/>
              </w:rPr>
            </w:pPr>
            <w:r w:rsidRPr="00296D0C">
              <w:rPr>
                <w:rFonts w:eastAsia="Times New Roman" w:cs="Times New Roman"/>
                <w:color w:val="000000"/>
              </w:rPr>
              <w:t>Mean (SD)</w:t>
            </w:r>
          </w:p>
        </w:tc>
        <w:tc>
          <w:tcPr>
            <w:tcW w:w="915" w:type="dxa"/>
            <w:tcBorders>
              <w:left w:val="nil"/>
              <w:right w:val="nil"/>
            </w:tcBorders>
            <w:shd w:val="clear" w:color="auto" w:fill="00CCFF"/>
            <w:noWrap/>
            <w:vAlign w:val="center"/>
          </w:tcPr>
          <w:p w14:paraId="096F6AA0"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Total</w:t>
            </w:r>
          </w:p>
          <w:p w14:paraId="125A2304" w14:textId="77777777" w:rsidR="004E0D59" w:rsidRPr="00296D0C" w:rsidRDefault="004E0D59" w:rsidP="004E0D59">
            <w:pPr>
              <w:spacing w:after="0" w:line="240" w:lineRule="auto"/>
              <w:jc w:val="center"/>
              <w:rPr>
                <w:rFonts w:eastAsia="Times New Roman" w:cs="Times New Roman"/>
              </w:rPr>
            </w:pPr>
            <w:r w:rsidRPr="00296D0C">
              <w:rPr>
                <w:rFonts w:eastAsia="Times New Roman" w:cs="Times New Roman"/>
                <w:color w:val="000000"/>
              </w:rPr>
              <w:t>n in analysis</w:t>
            </w:r>
          </w:p>
        </w:tc>
        <w:tc>
          <w:tcPr>
            <w:tcW w:w="1637" w:type="dxa"/>
            <w:tcBorders>
              <w:left w:val="nil"/>
              <w:right w:val="nil"/>
            </w:tcBorders>
            <w:shd w:val="clear" w:color="auto" w:fill="00CCFF"/>
            <w:noWrap/>
            <w:vAlign w:val="center"/>
          </w:tcPr>
          <w:p w14:paraId="26FE0E59"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 xml:space="preserve">Mean difference </w:t>
            </w:r>
          </w:p>
          <w:p w14:paraId="7B792127" w14:textId="77777777" w:rsidR="004E0D59" w:rsidRPr="00296D0C" w:rsidRDefault="004E0D59" w:rsidP="004E0D59">
            <w:pPr>
              <w:spacing w:after="0" w:line="240" w:lineRule="auto"/>
              <w:jc w:val="center"/>
              <w:rPr>
                <w:rFonts w:eastAsia="Times New Roman" w:cs="Times New Roman"/>
              </w:rPr>
            </w:pPr>
            <w:r w:rsidRPr="00296D0C">
              <w:rPr>
                <w:rFonts w:eastAsia="Times New Roman" w:cs="Times New Roman"/>
                <w:color w:val="000000"/>
              </w:rPr>
              <w:t>(95% CI)</w:t>
            </w:r>
          </w:p>
        </w:tc>
        <w:tc>
          <w:tcPr>
            <w:tcW w:w="958" w:type="dxa"/>
            <w:tcBorders>
              <w:left w:val="nil"/>
              <w:right w:val="nil"/>
            </w:tcBorders>
            <w:shd w:val="clear" w:color="auto" w:fill="00CCFF"/>
            <w:noWrap/>
            <w:vAlign w:val="center"/>
          </w:tcPr>
          <w:p w14:paraId="70F9D78A" w14:textId="77777777" w:rsidR="004E0D59" w:rsidRPr="00296D0C" w:rsidRDefault="004E0D59" w:rsidP="004E0D59">
            <w:pPr>
              <w:spacing w:after="0" w:line="240" w:lineRule="auto"/>
              <w:jc w:val="center"/>
              <w:rPr>
                <w:rFonts w:eastAsia="Times New Roman" w:cs="Times New Roman"/>
              </w:rPr>
            </w:pPr>
            <w:r w:rsidRPr="00296D0C">
              <w:rPr>
                <w:rFonts w:eastAsia="Times New Roman" w:cs="Times New Roman"/>
                <w:color w:val="000000"/>
              </w:rPr>
              <w:t>p-value</w:t>
            </w:r>
          </w:p>
        </w:tc>
        <w:tc>
          <w:tcPr>
            <w:tcW w:w="1276" w:type="dxa"/>
            <w:tcBorders>
              <w:left w:val="nil"/>
              <w:right w:val="nil"/>
            </w:tcBorders>
            <w:shd w:val="clear" w:color="auto" w:fill="00CCFF"/>
            <w:vAlign w:val="center"/>
          </w:tcPr>
          <w:p w14:paraId="3BCECB6F"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Total</w:t>
            </w:r>
          </w:p>
          <w:p w14:paraId="075F365F"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n in analysis</w:t>
            </w:r>
          </w:p>
        </w:tc>
        <w:tc>
          <w:tcPr>
            <w:tcW w:w="1451" w:type="dxa"/>
            <w:tcBorders>
              <w:left w:val="nil"/>
              <w:right w:val="nil"/>
            </w:tcBorders>
            <w:shd w:val="clear" w:color="auto" w:fill="00CCFF"/>
            <w:vAlign w:val="center"/>
          </w:tcPr>
          <w:p w14:paraId="6AB59434"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Mean difference   (95% CI)</w:t>
            </w:r>
          </w:p>
        </w:tc>
        <w:tc>
          <w:tcPr>
            <w:tcW w:w="1134" w:type="dxa"/>
            <w:tcBorders>
              <w:left w:val="nil"/>
              <w:right w:val="nil"/>
            </w:tcBorders>
            <w:shd w:val="clear" w:color="auto" w:fill="00CCFF"/>
            <w:vAlign w:val="center"/>
          </w:tcPr>
          <w:p w14:paraId="530389D9"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p-value</w:t>
            </w:r>
          </w:p>
        </w:tc>
      </w:tr>
      <w:tr w:rsidR="004E0D59" w:rsidRPr="00296D0C" w14:paraId="5718B0BD" w14:textId="77777777" w:rsidTr="00020C42">
        <w:trPr>
          <w:trHeight w:val="300"/>
        </w:trPr>
        <w:tc>
          <w:tcPr>
            <w:tcW w:w="2552" w:type="dxa"/>
            <w:tcBorders>
              <w:top w:val="nil"/>
              <w:left w:val="nil"/>
              <w:bottom w:val="nil"/>
              <w:right w:val="nil"/>
            </w:tcBorders>
            <w:shd w:val="clear" w:color="auto" w:fill="auto"/>
            <w:noWrap/>
            <w:vAlign w:val="bottom"/>
            <w:hideMark/>
          </w:tcPr>
          <w:p w14:paraId="37EBAA5F" w14:textId="77777777" w:rsidR="004E0D59" w:rsidRPr="00296D0C" w:rsidRDefault="004E0D59" w:rsidP="004E0D59">
            <w:pPr>
              <w:spacing w:after="0" w:line="240" w:lineRule="auto"/>
              <w:rPr>
                <w:rFonts w:eastAsia="Times New Roman" w:cs="Times New Roman"/>
                <w:color w:val="000000"/>
              </w:rPr>
            </w:pPr>
            <w:r w:rsidRPr="00296D0C">
              <w:rPr>
                <w:rFonts w:eastAsia="Times New Roman" w:cs="Times New Roman"/>
                <w:color w:val="000000"/>
              </w:rPr>
              <w:t>BMI</w:t>
            </w:r>
          </w:p>
        </w:tc>
        <w:tc>
          <w:tcPr>
            <w:tcW w:w="637" w:type="dxa"/>
            <w:tcBorders>
              <w:top w:val="nil"/>
              <w:left w:val="nil"/>
              <w:bottom w:val="nil"/>
              <w:right w:val="nil"/>
            </w:tcBorders>
            <w:shd w:val="clear" w:color="auto" w:fill="auto"/>
            <w:noWrap/>
            <w:vAlign w:val="center"/>
            <w:hideMark/>
          </w:tcPr>
          <w:p w14:paraId="66F3D8E0"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630</w:t>
            </w:r>
          </w:p>
        </w:tc>
        <w:tc>
          <w:tcPr>
            <w:tcW w:w="922" w:type="dxa"/>
            <w:tcBorders>
              <w:top w:val="nil"/>
              <w:left w:val="nil"/>
              <w:bottom w:val="nil"/>
              <w:right w:val="nil"/>
            </w:tcBorders>
            <w:shd w:val="clear" w:color="auto" w:fill="auto"/>
            <w:noWrap/>
            <w:vAlign w:val="center"/>
            <w:hideMark/>
          </w:tcPr>
          <w:p w14:paraId="33D3E577" w14:textId="77777777" w:rsidR="004E0D59" w:rsidRPr="00296D0C" w:rsidRDefault="004E0D59" w:rsidP="00552FE8">
            <w:pPr>
              <w:spacing w:after="0" w:line="240" w:lineRule="auto"/>
              <w:jc w:val="center"/>
              <w:rPr>
                <w:rFonts w:eastAsia="Times New Roman" w:cs="Times New Roman"/>
                <w:color w:val="000000"/>
              </w:rPr>
            </w:pPr>
            <w:r w:rsidRPr="00296D0C">
              <w:rPr>
                <w:rFonts w:eastAsia="Times New Roman" w:cs="Times New Roman"/>
                <w:color w:val="000000"/>
              </w:rPr>
              <w:t>19.03 (3.5</w:t>
            </w:r>
            <w:r w:rsidR="00552FE8" w:rsidRPr="00296D0C">
              <w:rPr>
                <w:rFonts w:eastAsia="Times New Roman" w:cs="Times New Roman"/>
                <w:color w:val="000000"/>
              </w:rPr>
              <w:t>5</w:t>
            </w:r>
            <w:r w:rsidRPr="00296D0C">
              <w:rPr>
                <w:rFonts w:eastAsia="Times New Roman" w:cs="Times New Roman"/>
                <w:color w:val="000000"/>
              </w:rPr>
              <w:t>)</w:t>
            </w:r>
          </w:p>
        </w:tc>
        <w:tc>
          <w:tcPr>
            <w:tcW w:w="637" w:type="dxa"/>
            <w:tcBorders>
              <w:top w:val="nil"/>
              <w:left w:val="nil"/>
              <w:bottom w:val="nil"/>
              <w:right w:val="nil"/>
            </w:tcBorders>
            <w:shd w:val="clear" w:color="auto" w:fill="auto"/>
            <w:noWrap/>
            <w:vAlign w:val="center"/>
            <w:hideMark/>
          </w:tcPr>
          <w:p w14:paraId="6316C2C5"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620</w:t>
            </w:r>
          </w:p>
        </w:tc>
        <w:tc>
          <w:tcPr>
            <w:tcW w:w="1064" w:type="dxa"/>
            <w:tcBorders>
              <w:top w:val="nil"/>
              <w:left w:val="nil"/>
              <w:bottom w:val="nil"/>
              <w:right w:val="nil"/>
            </w:tcBorders>
            <w:shd w:val="clear" w:color="auto" w:fill="auto"/>
            <w:noWrap/>
            <w:vAlign w:val="center"/>
            <w:hideMark/>
          </w:tcPr>
          <w:p w14:paraId="7B3AF6C6" w14:textId="77777777" w:rsidR="004E0D59" w:rsidRPr="00296D0C" w:rsidRDefault="004E0D59" w:rsidP="00552FE8">
            <w:pPr>
              <w:spacing w:after="0" w:line="240" w:lineRule="auto"/>
              <w:jc w:val="center"/>
              <w:rPr>
                <w:rFonts w:eastAsia="Times New Roman" w:cs="Times New Roman"/>
                <w:color w:val="000000"/>
              </w:rPr>
            </w:pPr>
            <w:r w:rsidRPr="00296D0C">
              <w:rPr>
                <w:rFonts w:eastAsia="Times New Roman" w:cs="Times New Roman"/>
                <w:color w:val="000000"/>
              </w:rPr>
              <w:t>18.68 (3.3</w:t>
            </w:r>
            <w:r w:rsidR="00552FE8" w:rsidRPr="00296D0C">
              <w:rPr>
                <w:rFonts w:eastAsia="Times New Roman" w:cs="Times New Roman"/>
                <w:color w:val="000000"/>
              </w:rPr>
              <w:t>4</w:t>
            </w:r>
            <w:r w:rsidRPr="00296D0C">
              <w:rPr>
                <w:rFonts w:eastAsia="Times New Roman" w:cs="Times New Roman"/>
                <w:color w:val="000000"/>
              </w:rPr>
              <w:t>)</w:t>
            </w:r>
          </w:p>
        </w:tc>
        <w:tc>
          <w:tcPr>
            <w:tcW w:w="915" w:type="dxa"/>
            <w:tcBorders>
              <w:top w:val="nil"/>
              <w:left w:val="nil"/>
              <w:bottom w:val="nil"/>
              <w:right w:val="nil"/>
            </w:tcBorders>
            <w:shd w:val="clear" w:color="auto" w:fill="auto"/>
            <w:noWrap/>
            <w:vAlign w:val="center"/>
            <w:hideMark/>
          </w:tcPr>
          <w:p w14:paraId="201A09C2"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1244</w:t>
            </w:r>
          </w:p>
        </w:tc>
        <w:tc>
          <w:tcPr>
            <w:tcW w:w="1637" w:type="dxa"/>
            <w:tcBorders>
              <w:top w:val="nil"/>
              <w:left w:val="nil"/>
              <w:bottom w:val="nil"/>
              <w:right w:val="nil"/>
            </w:tcBorders>
            <w:shd w:val="clear" w:color="auto" w:fill="auto"/>
            <w:noWrap/>
            <w:vAlign w:val="center"/>
            <w:hideMark/>
          </w:tcPr>
          <w:p w14:paraId="21F52CD2"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-0.04</w:t>
            </w:r>
          </w:p>
          <w:p w14:paraId="55C549DB" w14:textId="77777777" w:rsidR="004E0D59" w:rsidRPr="00296D0C" w:rsidRDefault="004E0D59" w:rsidP="00552FE8">
            <w:pPr>
              <w:spacing w:after="0" w:line="240" w:lineRule="auto"/>
              <w:jc w:val="center"/>
              <w:rPr>
                <w:rFonts w:eastAsia="Times New Roman" w:cs="Times New Roman"/>
                <w:color w:val="000000"/>
              </w:rPr>
            </w:pPr>
            <w:r w:rsidRPr="00296D0C">
              <w:rPr>
                <w:rFonts w:eastAsia="Times New Roman" w:cs="Times New Roman"/>
                <w:color w:val="000000"/>
              </w:rPr>
              <w:t xml:space="preserve"> (-0.2</w:t>
            </w:r>
            <w:r w:rsidR="00552FE8" w:rsidRPr="00296D0C">
              <w:rPr>
                <w:rFonts w:eastAsia="Times New Roman" w:cs="Times New Roman"/>
                <w:color w:val="000000"/>
              </w:rPr>
              <w:t>3</w:t>
            </w:r>
            <w:r w:rsidRPr="00296D0C">
              <w:rPr>
                <w:rFonts w:eastAsia="Times New Roman" w:cs="Times New Roman"/>
                <w:color w:val="000000"/>
              </w:rPr>
              <w:t>, 0.1</w:t>
            </w:r>
            <w:r w:rsidR="00552FE8" w:rsidRPr="00296D0C">
              <w:rPr>
                <w:rFonts w:eastAsia="Times New Roman" w:cs="Times New Roman"/>
                <w:color w:val="000000"/>
              </w:rPr>
              <w:t>5</w:t>
            </w:r>
            <w:r w:rsidRPr="00296D0C">
              <w:rPr>
                <w:rFonts w:eastAsia="Times New Roman" w:cs="Times New Roman"/>
                <w:color w:val="000000"/>
              </w:rPr>
              <w:t>)</w:t>
            </w:r>
          </w:p>
        </w:tc>
        <w:tc>
          <w:tcPr>
            <w:tcW w:w="958" w:type="dxa"/>
            <w:tcBorders>
              <w:top w:val="nil"/>
              <w:left w:val="nil"/>
              <w:bottom w:val="nil"/>
              <w:right w:val="nil"/>
            </w:tcBorders>
            <w:shd w:val="clear" w:color="auto" w:fill="auto"/>
            <w:noWrap/>
            <w:vAlign w:val="center"/>
            <w:hideMark/>
          </w:tcPr>
          <w:p w14:paraId="0CAF4109"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0.653</w:t>
            </w:r>
          </w:p>
        </w:tc>
        <w:tc>
          <w:tcPr>
            <w:tcW w:w="1276" w:type="dxa"/>
            <w:tcBorders>
              <w:top w:val="nil"/>
              <w:left w:val="nil"/>
              <w:bottom w:val="nil"/>
              <w:right w:val="nil"/>
            </w:tcBorders>
            <w:vAlign w:val="bottom"/>
          </w:tcPr>
          <w:p w14:paraId="3A5EAE04" w14:textId="77777777" w:rsidR="004E0D59" w:rsidRPr="00296D0C" w:rsidRDefault="004E0D59" w:rsidP="004E0D59">
            <w:pPr>
              <w:spacing w:after="0" w:line="240" w:lineRule="auto"/>
              <w:jc w:val="center"/>
              <w:rPr>
                <w:rFonts w:eastAsia="Times New Roman" w:cs="Times New Roman"/>
                <w:color w:val="000000"/>
              </w:rPr>
            </w:pPr>
            <w:r w:rsidRPr="00296D0C">
              <w:rPr>
                <w:color w:val="000000"/>
              </w:rPr>
              <w:t>1250</w:t>
            </w:r>
          </w:p>
        </w:tc>
        <w:tc>
          <w:tcPr>
            <w:tcW w:w="1451" w:type="dxa"/>
            <w:tcBorders>
              <w:top w:val="nil"/>
              <w:left w:val="nil"/>
              <w:bottom w:val="nil"/>
              <w:right w:val="nil"/>
            </w:tcBorders>
            <w:vAlign w:val="bottom"/>
          </w:tcPr>
          <w:p w14:paraId="5D46AEAF" w14:textId="77777777" w:rsidR="004E0D59" w:rsidRPr="00296D0C" w:rsidRDefault="004E0D59" w:rsidP="004E0D59">
            <w:pPr>
              <w:spacing w:after="0" w:line="240" w:lineRule="auto"/>
              <w:jc w:val="center"/>
              <w:rPr>
                <w:color w:val="000000"/>
              </w:rPr>
            </w:pPr>
            <w:r w:rsidRPr="00296D0C">
              <w:rPr>
                <w:color w:val="000000"/>
              </w:rPr>
              <w:t>0.29</w:t>
            </w:r>
          </w:p>
          <w:p w14:paraId="7BA86A9A" w14:textId="77777777" w:rsidR="004E0D59" w:rsidRPr="00296D0C" w:rsidRDefault="004E0D59" w:rsidP="00552FE8">
            <w:pPr>
              <w:spacing w:after="0" w:line="240" w:lineRule="auto"/>
              <w:jc w:val="center"/>
              <w:rPr>
                <w:rFonts w:eastAsia="Times New Roman" w:cs="Times New Roman"/>
                <w:color w:val="000000"/>
              </w:rPr>
            </w:pPr>
            <w:r w:rsidRPr="00296D0C">
              <w:rPr>
                <w:color w:val="000000"/>
              </w:rPr>
              <w:t xml:space="preserve"> (-0.32, 0.91)</w:t>
            </w:r>
          </w:p>
        </w:tc>
        <w:tc>
          <w:tcPr>
            <w:tcW w:w="1134" w:type="dxa"/>
            <w:tcBorders>
              <w:top w:val="nil"/>
              <w:left w:val="nil"/>
              <w:bottom w:val="nil"/>
              <w:right w:val="nil"/>
            </w:tcBorders>
            <w:vAlign w:val="bottom"/>
          </w:tcPr>
          <w:p w14:paraId="070E9FE4" w14:textId="77777777" w:rsidR="004E0D59" w:rsidRPr="00296D0C" w:rsidRDefault="004E0D59" w:rsidP="004E0D59">
            <w:pPr>
              <w:spacing w:after="0" w:line="240" w:lineRule="auto"/>
              <w:jc w:val="center"/>
              <w:rPr>
                <w:rFonts w:eastAsia="Times New Roman" w:cs="Times New Roman"/>
                <w:color w:val="000000"/>
              </w:rPr>
            </w:pPr>
            <w:r w:rsidRPr="00296D0C">
              <w:rPr>
                <w:color w:val="000000"/>
              </w:rPr>
              <w:t>0.339</w:t>
            </w:r>
          </w:p>
        </w:tc>
      </w:tr>
      <w:tr w:rsidR="004E0D59" w:rsidRPr="00296D0C" w14:paraId="493300D3" w14:textId="77777777" w:rsidTr="00020C42">
        <w:trPr>
          <w:trHeight w:val="300"/>
        </w:trPr>
        <w:tc>
          <w:tcPr>
            <w:tcW w:w="2552" w:type="dxa"/>
            <w:tcBorders>
              <w:top w:val="nil"/>
              <w:left w:val="nil"/>
              <w:bottom w:val="nil"/>
              <w:right w:val="nil"/>
            </w:tcBorders>
            <w:shd w:val="clear" w:color="auto" w:fill="auto"/>
            <w:noWrap/>
            <w:vAlign w:val="bottom"/>
            <w:hideMark/>
          </w:tcPr>
          <w:p w14:paraId="6941245D" w14:textId="77777777" w:rsidR="004E0D59" w:rsidRPr="00296D0C" w:rsidRDefault="004E0D59" w:rsidP="004E0D59">
            <w:pPr>
              <w:spacing w:after="0" w:line="240" w:lineRule="auto"/>
              <w:rPr>
                <w:rFonts w:eastAsia="Times New Roman" w:cs="Times New Roman"/>
                <w:color w:val="000000"/>
              </w:rPr>
            </w:pPr>
            <w:r w:rsidRPr="00296D0C">
              <w:rPr>
                <w:rFonts w:eastAsia="Times New Roman" w:cs="Times New Roman"/>
                <w:color w:val="000000"/>
              </w:rPr>
              <w:t>Waist circumference</w:t>
            </w:r>
          </w:p>
        </w:tc>
        <w:tc>
          <w:tcPr>
            <w:tcW w:w="637" w:type="dxa"/>
            <w:tcBorders>
              <w:top w:val="nil"/>
              <w:left w:val="nil"/>
              <w:bottom w:val="nil"/>
              <w:right w:val="nil"/>
            </w:tcBorders>
            <w:shd w:val="clear" w:color="auto" w:fill="auto"/>
            <w:noWrap/>
            <w:vAlign w:val="center"/>
            <w:hideMark/>
          </w:tcPr>
          <w:p w14:paraId="031CFE99"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629</w:t>
            </w:r>
          </w:p>
        </w:tc>
        <w:tc>
          <w:tcPr>
            <w:tcW w:w="922" w:type="dxa"/>
            <w:tcBorders>
              <w:top w:val="nil"/>
              <w:left w:val="nil"/>
              <w:bottom w:val="nil"/>
              <w:right w:val="nil"/>
            </w:tcBorders>
            <w:shd w:val="clear" w:color="auto" w:fill="auto"/>
            <w:noWrap/>
            <w:vAlign w:val="center"/>
            <w:hideMark/>
          </w:tcPr>
          <w:p w14:paraId="0A5FDBE6" w14:textId="77777777" w:rsidR="004E0D59" w:rsidRPr="00296D0C" w:rsidRDefault="004E0D59" w:rsidP="00552FE8">
            <w:pPr>
              <w:spacing w:after="0" w:line="240" w:lineRule="auto"/>
              <w:jc w:val="center"/>
              <w:rPr>
                <w:rFonts w:eastAsia="Times New Roman" w:cs="Times New Roman"/>
                <w:color w:val="000000"/>
              </w:rPr>
            </w:pPr>
            <w:r w:rsidRPr="00296D0C">
              <w:rPr>
                <w:rFonts w:eastAsia="Times New Roman" w:cs="Times New Roman"/>
                <w:color w:val="000000"/>
              </w:rPr>
              <w:t>65.4</w:t>
            </w:r>
            <w:r w:rsidR="00552FE8" w:rsidRPr="00296D0C">
              <w:rPr>
                <w:rFonts w:eastAsia="Times New Roman" w:cs="Times New Roman"/>
                <w:color w:val="000000"/>
              </w:rPr>
              <w:t>7</w:t>
            </w:r>
            <w:r w:rsidRPr="00296D0C">
              <w:rPr>
                <w:rFonts w:eastAsia="Times New Roman" w:cs="Times New Roman"/>
                <w:color w:val="000000"/>
              </w:rPr>
              <w:t xml:space="preserve"> (8.97)</w:t>
            </w:r>
          </w:p>
        </w:tc>
        <w:tc>
          <w:tcPr>
            <w:tcW w:w="637" w:type="dxa"/>
            <w:tcBorders>
              <w:top w:val="nil"/>
              <w:left w:val="nil"/>
              <w:bottom w:val="nil"/>
              <w:right w:val="nil"/>
            </w:tcBorders>
            <w:shd w:val="clear" w:color="auto" w:fill="auto"/>
            <w:noWrap/>
            <w:vAlign w:val="center"/>
            <w:hideMark/>
          </w:tcPr>
          <w:p w14:paraId="1A83AF65"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618</w:t>
            </w:r>
          </w:p>
        </w:tc>
        <w:tc>
          <w:tcPr>
            <w:tcW w:w="1064" w:type="dxa"/>
            <w:tcBorders>
              <w:top w:val="nil"/>
              <w:left w:val="nil"/>
              <w:bottom w:val="nil"/>
              <w:right w:val="nil"/>
            </w:tcBorders>
            <w:shd w:val="clear" w:color="auto" w:fill="auto"/>
            <w:noWrap/>
            <w:vAlign w:val="center"/>
            <w:hideMark/>
          </w:tcPr>
          <w:p w14:paraId="48EC7FF0" w14:textId="77777777" w:rsidR="004E0D59" w:rsidRPr="00296D0C" w:rsidRDefault="004E0D59" w:rsidP="00C8126B">
            <w:pPr>
              <w:spacing w:after="0" w:line="240" w:lineRule="auto"/>
              <w:jc w:val="center"/>
              <w:rPr>
                <w:rFonts w:eastAsia="Times New Roman" w:cs="Times New Roman"/>
                <w:color w:val="000000"/>
              </w:rPr>
            </w:pPr>
            <w:r w:rsidRPr="00296D0C">
              <w:rPr>
                <w:rFonts w:eastAsia="Times New Roman" w:cs="Times New Roman"/>
                <w:color w:val="000000"/>
              </w:rPr>
              <w:t>64.7</w:t>
            </w:r>
            <w:r w:rsidR="00552FE8" w:rsidRPr="00296D0C">
              <w:rPr>
                <w:rFonts w:eastAsia="Times New Roman" w:cs="Times New Roman"/>
                <w:color w:val="000000"/>
              </w:rPr>
              <w:t>3</w:t>
            </w:r>
            <w:r w:rsidRPr="00296D0C">
              <w:rPr>
                <w:rFonts w:eastAsia="Times New Roman" w:cs="Times New Roman"/>
                <w:color w:val="000000"/>
              </w:rPr>
              <w:t xml:space="preserve"> (8.5</w:t>
            </w:r>
            <w:r w:rsidR="00C8126B" w:rsidRPr="00296D0C">
              <w:rPr>
                <w:rFonts w:eastAsia="Times New Roman" w:cs="Times New Roman"/>
                <w:color w:val="000000"/>
              </w:rPr>
              <w:t>5</w:t>
            </w:r>
            <w:r w:rsidRPr="00296D0C">
              <w:rPr>
                <w:rFonts w:eastAsia="Times New Roman" w:cs="Times New Roman"/>
                <w:color w:val="000000"/>
              </w:rPr>
              <w:t>)</w:t>
            </w:r>
          </w:p>
        </w:tc>
        <w:tc>
          <w:tcPr>
            <w:tcW w:w="915" w:type="dxa"/>
            <w:tcBorders>
              <w:top w:val="nil"/>
              <w:left w:val="nil"/>
              <w:bottom w:val="nil"/>
              <w:right w:val="nil"/>
            </w:tcBorders>
            <w:shd w:val="clear" w:color="auto" w:fill="auto"/>
            <w:noWrap/>
            <w:vAlign w:val="center"/>
            <w:hideMark/>
          </w:tcPr>
          <w:p w14:paraId="33F4E501"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1238</w:t>
            </w:r>
          </w:p>
        </w:tc>
        <w:tc>
          <w:tcPr>
            <w:tcW w:w="1637" w:type="dxa"/>
            <w:tcBorders>
              <w:top w:val="nil"/>
              <w:left w:val="nil"/>
              <w:bottom w:val="nil"/>
              <w:right w:val="nil"/>
            </w:tcBorders>
            <w:shd w:val="clear" w:color="auto" w:fill="auto"/>
            <w:noWrap/>
            <w:vAlign w:val="center"/>
            <w:hideMark/>
          </w:tcPr>
          <w:p w14:paraId="55022C2E"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-0.2</w:t>
            </w:r>
            <w:r w:rsidR="00552FE8" w:rsidRPr="00296D0C">
              <w:rPr>
                <w:rFonts w:eastAsia="Times New Roman" w:cs="Times New Roman"/>
                <w:color w:val="000000"/>
              </w:rPr>
              <w:t>4</w:t>
            </w:r>
            <w:r w:rsidRPr="00296D0C">
              <w:rPr>
                <w:rFonts w:eastAsia="Times New Roman" w:cs="Times New Roman"/>
                <w:color w:val="000000"/>
              </w:rPr>
              <w:t xml:space="preserve"> </w:t>
            </w:r>
          </w:p>
          <w:p w14:paraId="4F65D23A" w14:textId="77777777" w:rsidR="004E0D59" w:rsidRPr="00296D0C" w:rsidRDefault="004E0D59" w:rsidP="00C8126B">
            <w:pPr>
              <w:spacing w:after="0" w:line="240" w:lineRule="auto"/>
              <w:jc w:val="center"/>
              <w:rPr>
                <w:rFonts w:eastAsia="Times New Roman" w:cs="Times New Roman"/>
                <w:color w:val="000000"/>
              </w:rPr>
            </w:pPr>
            <w:r w:rsidRPr="00296D0C">
              <w:rPr>
                <w:rFonts w:eastAsia="Times New Roman" w:cs="Times New Roman"/>
                <w:color w:val="000000"/>
              </w:rPr>
              <w:t>(-1.30, 0.83)</w:t>
            </w:r>
          </w:p>
        </w:tc>
        <w:tc>
          <w:tcPr>
            <w:tcW w:w="958" w:type="dxa"/>
            <w:tcBorders>
              <w:top w:val="nil"/>
              <w:left w:val="nil"/>
              <w:bottom w:val="nil"/>
              <w:right w:val="nil"/>
            </w:tcBorders>
            <w:shd w:val="clear" w:color="auto" w:fill="auto"/>
            <w:noWrap/>
            <w:vAlign w:val="center"/>
            <w:hideMark/>
          </w:tcPr>
          <w:p w14:paraId="103EDC08"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0.655</w:t>
            </w:r>
          </w:p>
        </w:tc>
        <w:tc>
          <w:tcPr>
            <w:tcW w:w="1276" w:type="dxa"/>
            <w:tcBorders>
              <w:top w:val="nil"/>
              <w:left w:val="nil"/>
              <w:bottom w:val="nil"/>
              <w:right w:val="nil"/>
            </w:tcBorders>
            <w:vAlign w:val="bottom"/>
          </w:tcPr>
          <w:p w14:paraId="568BD408" w14:textId="77777777" w:rsidR="004E0D59" w:rsidRPr="00296D0C" w:rsidRDefault="004E0D59" w:rsidP="004E0D59">
            <w:pPr>
              <w:spacing w:after="0" w:line="240" w:lineRule="auto"/>
              <w:jc w:val="center"/>
              <w:rPr>
                <w:rFonts w:eastAsia="Times New Roman" w:cs="Times New Roman"/>
                <w:color w:val="000000"/>
              </w:rPr>
            </w:pPr>
            <w:r w:rsidRPr="00296D0C">
              <w:rPr>
                <w:color w:val="000000"/>
              </w:rPr>
              <w:t>1247</w:t>
            </w:r>
          </w:p>
        </w:tc>
        <w:tc>
          <w:tcPr>
            <w:tcW w:w="1451" w:type="dxa"/>
            <w:tcBorders>
              <w:top w:val="nil"/>
              <w:left w:val="nil"/>
              <w:bottom w:val="nil"/>
              <w:right w:val="nil"/>
            </w:tcBorders>
            <w:vAlign w:val="bottom"/>
          </w:tcPr>
          <w:p w14:paraId="4D52086E" w14:textId="77777777" w:rsidR="004E0D59" w:rsidRPr="00296D0C" w:rsidRDefault="004E0D59" w:rsidP="004E0D59">
            <w:pPr>
              <w:spacing w:after="0" w:line="240" w:lineRule="auto"/>
              <w:jc w:val="center"/>
              <w:rPr>
                <w:color w:val="000000"/>
              </w:rPr>
            </w:pPr>
            <w:r w:rsidRPr="00296D0C">
              <w:rPr>
                <w:color w:val="000000"/>
              </w:rPr>
              <w:t xml:space="preserve">0.76 </w:t>
            </w:r>
          </w:p>
          <w:p w14:paraId="5F1A2F6A" w14:textId="77777777" w:rsidR="004E0D59" w:rsidRPr="00296D0C" w:rsidRDefault="004E0D59" w:rsidP="00C8126B">
            <w:pPr>
              <w:spacing w:after="0" w:line="240" w:lineRule="auto"/>
              <w:jc w:val="center"/>
              <w:rPr>
                <w:rFonts w:eastAsia="Times New Roman" w:cs="Times New Roman"/>
                <w:color w:val="000000"/>
              </w:rPr>
            </w:pPr>
            <w:r w:rsidRPr="00296D0C">
              <w:rPr>
                <w:color w:val="000000"/>
              </w:rPr>
              <w:t>(-0.96, 2.4</w:t>
            </w:r>
            <w:r w:rsidR="00C8126B" w:rsidRPr="00296D0C">
              <w:rPr>
                <w:color w:val="000000"/>
              </w:rPr>
              <w:t>9</w:t>
            </w:r>
            <w:r w:rsidRPr="00296D0C">
              <w:rPr>
                <w:color w:val="000000"/>
              </w:rPr>
              <w:t>)</w:t>
            </w:r>
          </w:p>
        </w:tc>
        <w:tc>
          <w:tcPr>
            <w:tcW w:w="1134" w:type="dxa"/>
            <w:tcBorders>
              <w:top w:val="nil"/>
              <w:left w:val="nil"/>
              <w:bottom w:val="nil"/>
              <w:right w:val="nil"/>
            </w:tcBorders>
            <w:vAlign w:val="bottom"/>
          </w:tcPr>
          <w:p w14:paraId="0A99CBFB" w14:textId="77777777" w:rsidR="004E0D59" w:rsidRPr="00296D0C" w:rsidRDefault="004E0D59" w:rsidP="004E0D59">
            <w:pPr>
              <w:spacing w:after="0" w:line="240" w:lineRule="auto"/>
              <w:jc w:val="center"/>
              <w:rPr>
                <w:rFonts w:eastAsia="Times New Roman" w:cs="Times New Roman"/>
                <w:color w:val="000000"/>
              </w:rPr>
            </w:pPr>
            <w:r w:rsidRPr="00296D0C">
              <w:rPr>
                <w:color w:val="000000"/>
              </w:rPr>
              <w:t>0.374</w:t>
            </w:r>
          </w:p>
        </w:tc>
      </w:tr>
      <w:tr w:rsidR="004E0D59" w:rsidRPr="00296D0C" w14:paraId="45CC8496" w14:textId="77777777" w:rsidTr="00020C42">
        <w:trPr>
          <w:trHeight w:val="300"/>
        </w:trPr>
        <w:tc>
          <w:tcPr>
            <w:tcW w:w="2552" w:type="dxa"/>
            <w:tcBorders>
              <w:top w:val="nil"/>
              <w:left w:val="nil"/>
              <w:bottom w:val="nil"/>
              <w:right w:val="nil"/>
            </w:tcBorders>
            <w:shd w:val="clear" w:color="auto" w:fill="auto"/>
            <w:noWrap/>
            <w:vAlign w:val="bottom"/>
            <w:hideMark/>
          </w:tcPr>
          <w:p w14:paraId="44B371AC" w14:textId="77777777" w:rsidR="004E0D59" w:rsidRPr="00296D0C" w:rsidRDefault="004E0D59" w:rsidP="00805045">
            <w:pPr>
              <w:spacing w:after="0" w:line="240" w:lineRule="auto"/>
              <w:rPr>
                <w:rFonts w:eastAsia="Times New Roman" w:cs="Times New Roman"/>
                <w:color w:val="000000"/>
              </w:rPr>
            </w:pPr>
            <w:r w:rsidRPr="00296D0C">
              <w:rPr>
                <w:rFonts w:eastAsia="Times New Roman" w:cs="Times New Roman"/>
                <w:color w:val="000000"/>
              </w:rPr>
              <w:t xml:space="preserve">Waist circumference </w:t>
            </w:r>
            <w:r w:rsidR="00805045" w:rsidRPr="00296D0C">
              <w:rPr>
                <w:rFonts w:eastAsia="Times New Roman" w:cs="Times New Roman"/>
                <w:color w:val="000000"/>
              </w:rPr>
              <w:t>SDS</w:t>
            </w:r>
          </w:p>
        </w:tc>
        <w:tc>
          <w:tcPr>
            <w:tcW w:w="637" w:type="dxa"/>
            <w:tcBorders>
              <w:top w:val="nil"/>
              <w:left w:val="nil"/>
              <w:bottom w:val="nil"/>
              <w:right w:val="nil"/>
            </w:tcBorders>
            <w:shd w:val="clear" w:color="auto" w:fill="auto"/>
            <w:noWrap/>
            <w:vAlign w:val="center"/>
            <w:hideMark/>
          </w:tcPr>
          <w:p w14:paraId="331CB737"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629</w:t>
            </w:r>
          </w:p>
        </w:tc>
        <w:tc>
          <w:tcPr>
            <w:tcW w:w="922" w:type="dxa"/>
            <w:tcBorders>
              <w:top w:val="nil"/>
              <w:left w:val="nil"/>
              <w:bottom w:val="nil"/>
              <w:right w:val="nil"/>
            </w:tcBorders>
            <w:shd w:val="clear" w:color="auto" w:fill="auto"/>
            <w:noWrap/>
            <w:vAlign w:val="center"/>
            <w:hideMark/>
          </w:tcPr>
          <w:p w14:paraId="6FAD89C0" w14:textId="77777777" w:rsidR="004E0D59" w:rsidRPr="00296D0C" w:rsidRDefault="004E0D59" w:rsidP="00552FE8">
            <w:pPr>
              <w:spacing w:after="0" w:line="240" w:lineRule="auto"/>
              <w:jc w:val="center"/>
              <w:rPr>
                <w:rFonts w:eastAsia="Times New Roman" w:cs="Times New Roman"/>
                <w:color w:val="000000"/>
              </w:rPr>
            </w:pPr>
            <w:r w:rsidRPr="00296D0C">
              <w:rPr>
                <w:rFonts w:eastAsia="Times New Roman" w:cs="Times New Roman"/>
                <w:color w:val="000000"/>
              </w:rPr>
              <w:t>0.63  (1.24)</w:t>
            </w:r>
          </w:p>
        </w:tc>
        <w:tc>
          <w:tcPr>
            <w:tcW w:w="637" w:type="dxa"/>
            <w:tcBorders>
              <w:top w:val="nil"/>
              <w:left w:val="nil"/>
              <w:bottom w:val="nil"/>
              <w:right w:val="nil"/>
            </w:tcBorders>
            <w:shd w:val="clear" w:color="auto" w:fill="auto"/>
            <w:noWrap/>
            <w:vAlign w:val="center"/>
            <w:hideMark/>
          </w:tcPr>
          <w:p w14:paraId="6F8A839B"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618</w:t>
            </w:r>
          </w:p>
        </w:tc>
        <w:tc>
          <w:tcPr>
            <w:tcW w:w="1064" w:type="dxa"/>
            <w:tcBorders>
              <w:top w:val="nil"/>
              <w:left w:val="nil"/>
              <w:bottom w:val="nil"/>
              <w:right w:val="nil"/>
            </w:tcBorders>
            <w:shd w:val="clear" w:color="auto" w:fill="auto"/>
            <w:noWrap/>
            <w:vAlign w:val="center"/>
            <w:hideMark/>
          </w:tcPr>
          <w:p w14:paraId="2FE7D110" w14:textId="77777777" w:rsidR="004E0D59" w:rsidRPr="00296D0C" w:rsidRDefault="004E0D59" w:rsidP="00C8126B">
            <w:pPr>
              <w:spacing w:after="0" w:line="240" w:lineRule="auto"/>
              <w:jc w:val="center"/>
              <w:rPr>
                <w:rFonts w:eastAsia="Times New Roman" w:cs="Times New Roman"/>
                <w:color w:val="000000"/>
              </w:rPr>
            </w:pPr>
            <w:r w:rsidRPr="00296D0C">
              <w:rPr>
                <w:rFonts w:eastAsia="Times New Roman" w:cs="Times New Roman"/>
                <w:color w:val="000000"/>
              </w:rPr>
              <w:t>0.54  (1.21)</w:t>
            </w:r>
          </w:p>
        </w:tc>
        <w:tc>
          <w:tcPr>
            <w:tcW w:w="915" w:type="dxa"/>
            <w:tcBorders>
              <w:top w:val="nil"/>
              <w:left w:val="nil"/>
              <w:bottom w:val="nil"/>
              <w:right w:val="nil"/>
            </w:tcBorders>
            <w:shd w:val="clear" w:color="auto" w:fill="auto"/>
            <w:noWrap/>
            <w:vAlign w:val="center"/>
            <w:hideMark/>
          </w:tcPr>
          <w:p w14:paraId="6B4C211C"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1238</w:t>
            </w:r>
          </w:p>
        </w:tc>
        <w:tc>
          <w:tcPr>
            <w:tcW w:w="1637" w:type="dxa"/>
            <w:tcBorders>
              <w:top w:val="nil"/>
              <w:left w:val="nil"/>
              <w:bottom w:val="nil"/>
              <w:right w:val="nil"/>
            </w:tcBorders>
            <w:shd w:val="clear" w:color="auto" w:fill="auto"/>
            <w:noWrap/>
            <w:vAlign w:val="center"/>
            <w:hideMark/>
          </w:tcPr>
          <w:p w14:paraId="629F2841" w14:textId="647FD0DC"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 xml:space="preserve">-0.05 </w:t>
            </w:r>
          </w:p>
          <w:p w14:paraId="0ED833D6" w14:textId="77777777" w:rsidR="004E0D59" w:rsidRPr="00296D0C" w:rsidRDefault="004E0D59" w:rsidP="00C8126B">
            <w:pPr>
              <w:spacing w:after="0" w:line="240" w:lineRule="auto"/>
              <w:jc w:val="center"/>
              <w:rPr>
                <w:rFonts w:eastAsia="Times New Roman" w:cs="Times New Roman"/>
                <w:color w:val="000000"/>
              </w:rPr>
            </w:pPr>
            <w:r w:rsidRPr="00296D0C">
              <w:rPr>
                <w:rFonts w:eastAsia="Times New Roman" w:cs="Times New Roman"/>
                <w:color w:val="000000"/>
              </w:rPr>
              <w:t>(-0.2</w:t>
            </w:r>
            <w:r w:rsidR="00C8126B" w:rsidRPr="00296D0C">
              <w:rPr>
                <w:rFonts w:eastAsia="Times New Roman" w:cs="Times New Roman"/>
                <w:color w:val="000000"/>
              </w:rPr>
              <w:t>3</w:t>
            </w:r>
            <w:r w:rsidRPr="00296D0C">
              <w:rPr>
                <w:rFonts w:eastAsia="Times New Roman" w:cs="Times New Roman"/>
                <w:color w:val="000000"/>
              </w:rPr>
              <w:t>, 0.1</w:t>
            </w:r>
            <w:r w:rsidR="00C8126B" w:rsidRPr="00296D0C">
              <w:rPr>
                <w:rFonts w:eastAsia="Times New Roman" w:cs="Times New Roman"/>
                <w:color w:val="000000"/>
              </w:rPr>
              <w:t>3</w:t>
            </w:r>
            <w:r w:rsidRPr="00296D0C">
              <w:rPr>
                <w:rFonts w:eastAsia="Times New Roman" w:cs="Times New Roman"/>
                <w:color w:val="000000"/>
              </w:rPr>
              <w:t>)</w:t>
            </w:r>
          </w:p>
        </w:tc>
        <w:tc>
          <w:tcPr>
            <w:tcW w:w="958" w:type="dxa"/>
            <w:tcBorders>
              <w:top w:val="nil"/>
              <w:left w:val="nil"/>
              <w:bottom w:val="nil"/>
              <w:right w:val="nil"/>
            </w:tcBorders>
            <w:shd w:val="clear" w:color="auto" w:fill="auto"/>
            <w:noWrap/>
            <w:vAlign w:val="center"/>
            <w:hideMark/>
          </w:tcPr>
          <w:p w14:paraId="174953A3"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0.563</w:t>
            </w:r>
          </w:p>
        </w:tc>
        <w:tc>
          <w:tcPr>
            <w:tcW w:w="1276" w:type="dxa"/>
            <w:tcBorders>
              <w:top w:val="nil"/>
              <w:left w:val="nil"/>
              <w:bottom w:val="nil"/>
              <w:right w:val="nil"/>
            </w:tcBorders>
            <w:vAlign w:val="bottom"/>
          </w:tcPr>
          <w:p w14:paraId="731A6536" w14:textId="77777777" w:rsidR="004E0D59" w:rsidRPr="00296D0C" w:rsidRDefault="004E0D59" w:rsidP="004E0D59">
            <w:pPr>
              <w:spacing w:after="0" w:line="240" w:lineRule="auto"/>
              <w:jc w:val="center"/>
              <w:rPr>
                <w:rFonts w:eastAsia="Times New Roman" w:cs="Times New Roman"/>
                <w:color w:val="000000"/>
              </w:rPr>
            </w:pPr>
            <w:r w:rsidRPr="00296D0C">
              <w:rPr>
                <w:color w:val="000000"/>
              </w:rPr>
              <w:t>1247</w:t>
            </w:r>
          </w:p>
        </w:tc>
        <w:tc>
          <w:tcPr>
            <w:tcW w:w="1451" w:type="dxa"/>
            <w:tcBorders>
              <w:top w:val="nil"/>
              <w:left w:val="nil"/>
              <w:bottom w:val="nil"/>
              <w:right w:val="nil"/>
            </w:tcBorders>
            <w:vAlign w:val="bottom"/>
          </w:tcPr>
          <w:p w14:paraId="56A9B004" w14:textId="167C74A5" w:rsidR="004E0D59" w:rsidRPr="00296D0C" w:rsidRDefault="004E0D59" w:rsidP="004E0D59">
            <w:pPr>
              <w:spacing w:after="0" w:line="240" w:lineRule="auto"/>
              <w:jc w:val="center"/>
              <w:rPr>
                <w:color w:val="000000"/>
              </w:rPr>
            </w:pPr>
            <w:r w:rsidRPr="00296D0C">
              <w:rPr>
                <w:color w:val="000000"/>
              </w:rPr>
              <w:t>0.09</w:t>
            </w:r>
          </w:p>
          <w:p w14:paraId="46D27CC5" w14:textId="77777777" w:rsidR="004E0D59" w:rsidRPr="00296D0C" w:rsidRDefault="004E0D59" w:rsidP="00C8126B">
            <w:pPr>
              <w:spacing w:after="0" w:line="240" w:lineRule="auto"/>
              <w:jc w:val="center"/>
              <w:rPr>
                <w:rFonts w:eastAsia="Times New Roman" w:cs="Times New Roman"/>
                <w:color w:val="000000"/>
              </w:rPr>
            </w:pPr>
            <w:r w:rsidRPr="00296D0C">
              <w:rPr>
                <w:color w:val="000000"/>
              </w:rPr>
              <w:t>(-0.1</w:t>
            </w:r>
            <w:r w:rsidR="00C8126B" w:rsidRPr="00296D0C">
              <w:rPr>
                <w:color w:val="000000"/>
              </w:rPr>
              <w:t>5</w:t>
            </w:r>
            <w:r w:rsidRPr="00296D0C">
              <w:rPr>
                <w:color w:val="000000"/>
              </w:rPr>
              <w:t>, 0.3</w:t>
            </w:r>
            <w:r w:rsidR="00C8126B" w:rsidRPr="00296D0C">
              <w:rPr>
                <w:color w:val="000000"/>
              </w:rPr>
              <w:t>3</w:t>
            </w:r>
            <w:r w:rsidRPr="00296D0C">
              <w:rPr>
                <w:color w:val="000000"/>
              </w:rPr>
              <w:t>)</w:t>
            </w:r>
          </w:p>
        </w:tc>
        <w:tc>
          <w:tcPr>
            <w:tcW w:w="1134" w:type="dxa"/>
            <w:tcBorders>
              <w:top w:val="nil"/>
              <w:left w:val="nil"/>
              <w:bottom w:val="nil"/>
              <w:right w:val="nil"/>
            </w:tcBorders>
            <w:vAlign w:val="bottom"/>
          </w:tcPr>
          <w:p w14:paraId="140959F3" w14:textId="77777777" w:rsidR="004E0D59" w:rsidRPr="00296D0C" w:rsidRDefault="004E0D59" w:rsidP="004E0D59">
            <w:pPr>
              <w:spacing w:after="0" w:line="240" w:lineRule="auto"/>
              <w:jc w:val="center"/>
              <w:rPr>
                <w:rFonts w:eastAsia="Times New Roman" w:cs="Times New Roman"/>
                <w:color w:val="000000"/>
              </w:rPr>
            </w:pPr>
            <w:r w:rsidRPr="00296D0C">
              <w:rPr>
                <w:color w:val="000000"/>
              </w:rPr>
              <w:t>0.441</w:t>
            </w:r>
          </w:p>
        </w:tc>
      </w:tr>
      <w:tr w:rsidR="004E0D59" w:rsidRPr="00296D0C" w14:paraId="5CEEA8F4" w14:textId="77777777" w:rsidTr="00020C42">
        <w:trPr>
          <w:trHeight w:val="300"/>
        </w:trPr>
        <w:tc>
          <w:tcPr>
            <w:tcW w:w="2552" w:type="dxa"/>
            <w:tcBorders>
              <w:top w:val="nil"/>
              <w:left w:val="nil"/>
              <w:bottom w:val="nil"/>
              <w:right w:val="nil"/>
            </w:tcBorders>
            <w:shd w:val="clear" w:color="auto" w:fill="auto"/>
            <w:noWrap/>
            <w:vAlign w:val="bottom"/>
            <w:hideMark/>
          </w:tcPr>
          <w:p w14:paraId="52074901" w14:textId="77777777" w:rsidR="004E0D59" w:rsidRPr="00296D0C" w:rsidRDefault="004E0D59" w:rsidP="004E0D59">
            <w:pPr>
              <w:spacing w:after="0" w:line="240" w:lineRule="auto"/>
              <w:rPr>
                <w:rFonts w:eastAsia="Times New Roman" w:cs="Times New Roman"/>
                <w:color w:val="000000"/>
              </w:rPr>
            </w:pPr>
            <w:r w:rsidRPr="00296D0C">
              <w:rPr>
                <w:rFonts w:eastAsia="Times New Roman" w:cs="Times New Roman"/>
                <w:color w:val="000000"/>
              </w:rPr>
              <w:t>% body fat</w:t>
            </w:r>
          </w:p>
        </w:tc>
        <w:tc>
          <w:tcPr>
            <w:tcW w:w="637" w:type="dxa"/>
            <w:tcBorders>
              <w:top w:val="nil"/>
              <w:left w:val="nil"/>
              <w:bottom w:val="nil"/>
              <w:right w:val="nil"/>
            </w:tcBorders>
            <w:shd w:val="clear" w:color="auto" w:fill="auto"/>
            <w:noWrap/>
            <w:vAlign w:val="center"/>
            <w:hideMark/>
          </w:tcPr>
          <w:p w14:paraId="7C889562"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629</w:t>
            </w:r>
          </w:p>
        </w:tc>
        <w:tc>
          <w:tcPr>
            <w:tcW w:w="922" w:type="dxa"/>
            <w:tcBorders>
              <w:top w:val="nil"/>
              <w:left w:val="nil"/>
              <w:bottom w:val="nil"/>
              <w:right w:val="nil"/>
            </w:tcBorders>
            <w:shd w:val="clear" w:color="auto" w:fill="auto"/>
            <w:noWrap/>
            <w:vAlign w:val="center"/>
            <w:hideMark/>
          </w:tcPr>
          <w:p w14:paraId="1ED7D1A1" w14:textId="3F93A6EC" w:rsidR="004E0D59" w:rsidRPr="00296D0C" w:rsidRDefault="004E0D59" w:rsidP="00940DB4">
            <w:pPr>
              <w:spacing w:after="0" w:line="240" w:lineRule="auto"/>
              <w:jc w:val="center"/>
              <w:rPr>
                <w:rFonts w:eastAsia="Times New Roman" w:cs="Times New Roman"/>
                <w:color w:val="000000"/>
              </w:rPr>
            </w:pPr>
            <w:r w:rsidRPr="00296D0C">
              <w:rPr>
                <w:rFonts w:eastAsia="Times New Roman" w:cs="Times New Roman"/>
                <w:color w:val="000000"/>
              </w:rPr>
              <w:t>20.0</w:t>
            </w:r>
            <w:r w:rsidR="00552FE8" w:rsidRPr="00296D0C">
              <w:rPr>
                <w:rFonts w:eastAsia="Times New Roman" w:cs="Times New Roman"/>
                <w:color w:val="000000"/>
              </w:rPr>
              <w:t>1</w:t>
            </w:r>
            <w:r w:rsidRPr="00296D0C">
              <w:rPr>
                <w:rFonts w:eastAsia="Times New Roman" w:cs="Times New Roman"/>
                <w:color w:val="000000"/>
              </w:rPr>
              <w:t xml:space="preserve"> (8.21)</w:t>
            </w:r>
          </w:p>
        </w:tc>
        <w:tc>
          <w:tcPr>
            <w:tcW w:w="637" w:type="dxa"/>
            <w:tcBorders>
              <w:top w:val="nil"/>
              <w:left w:val="nil"/>
              <w:bottom w:val="nil"/>
              <w:right w:val="nil"/>
            </w:tcBorders>
            <w:shd w:val="clear" w:color="auto" w:fill="auto"/>
            <w:noWrap/>
            <w:vAlign w:val="center"/>
            <w:hideMark/>
          </w:tcPr>
          <w:p w14:paraId="5891DF3C"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620</w:t>
            </w:r>
          </w:p>
        </w:tc>
        <w:tc>
          <w:tcPr>
            <w:tcW w:w="1064" w:type="dxa"/>
            <w:tcBorders>
              <w:top w:val="nil"/>
              <w:left w:val="nil"/>
              <w:bottom w:val="nil"/>
              <w:right w:val="nil"/>
            </w:tcBorders>
            <w:shd w:val="clear" w:color="auto" w:fill="auto"/>
            <w:noWrap/>
            <w:vAlign w:val="center"/>
            <w:hideMark/>
          </w:tcPr>
          <w:p w14:paraId="6F2DE127" w14:textId="1E77826E" w:rsidR="004E0D59" w:rsidRPr="00296D0C" w:rsidRDefault="004E0D59" w:rsidP="00940DB4">
            <w:pPr>
              <w:spacing w:after="0" w:line="240" w:lineRule="auto"/>
              <w:jc w:val="center"/>
              <w:rPr>
                <w:rFonts w:eastAsia="Times New Roman" w:cs="Times New Roman"/>
                <w:color w:val="000000"/>
              </w:rPr>
            </w:pPr>
            <w:r w:rsidRPr="00296D0C">
              <w:rPr>
                <w:rFonts w:eastAsia="Times New Roman" w:cs="Times New Roman"/>
                <w:color w:val="000000"/>
              </w:rPr>
              <w:t>19.7</w:t>
            </w:r>
            <w:r w:rsidR="00940DB4">
              <w:rPr>
                <w:rFonts w:eastAsia="Times New Roman" w:cs="Times New Roman"/>
                <w:color w:val="000000"/>
              </w:rPr>
              <w:t>6</w:t>
            </w:r>
            <w:r w:rsidRPr="00296D0C">
              <w:rPr>
                <w:rFonts w:eastAsia="Times New Roman" w:cs="Times New Roman"/>
                <w:color w:val="000000"/>
              </w:rPr>
              <w:t xml:space="preserve"> (7.67)</w:t>
            </w:r>
          </w:p>
        </w:tc>
        <w:tc>
          <w:tcPr>
            <w:tcW w:w="915" w:type="dxa"/>
            <w:tcBorders>
              <w:top w:val="nil"/>
              <w:left w:val="nil"/>
              <w:bottom w:val="nil"/>
              <w:right w:val="nil"/>
            </w:tcBorders>
            <w:shd w:val="clear" w:color="auto" w:fill="auto"/>
            <w:noWrap/>
            <w:vAlign w:val="center"/>
            <w:hideMark/>
          </w:tcPr>
          <w:p w14:paraId="4E2385A3"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1240</w:t>
            </w:r>
          </w:p>
        </w:tc>
        <w:tc>
          <w:tcPr>
            <w:tcW w:w="1637" w:type="dxa"/>
            <w:tcBorders>
              <w:top w:val="nil"/>
              <w:left w:val="nil"/>
              <w:bottom w:val="nil"/>
              <w:right w:val="nil"/>
            </w:tcBorders>
            <w:shd w:val="clear" w:color="auto" w:fill="auto"/>
            <w:noWrap/>
            <w:vAlign w:val="center"/>
            <w:hideMark/>
          </w:tcPr>
          <w:p w14:paraId="43CA8A6B" w14:textId="69D36F81"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 xml:space="preserve">-0.03 </w:t>
            </w:r>
          </w:p>
          <w:p w14:paraId="4C2CFA4B" w14:textId="77777777" w:rsidR="004E0D59" w:rsidRPr="00296D0C" w:rsidRDefault="004E0D59" w:rsidP="00C8126B">
            <w:pPr>
              <w:spacing w:after="0" w:line="240" w:lineRule="auto"/>
              <w:jc w:val="center"/>
              <w:rPr>
                <w:rFonts w:eastAsia="Times New Roman" w:cs="Times New Roman"/>
                <w:color w:val="000000"/>
              </w:rPr>
            </w:pPr>
            <w:r w:rsidRPr="00296D0C">
              <w:rPr>
                <w:rFonts w:eastAsia="Times New Roman" w:cs="Times New Roman"/>
                <w:color w:val="000000"/>
              </w:rPr>
              <w:t>(-0.61, 0.55)</w:t>
            </w:r>
          </w:p>
        </w:tc>
        <w:tc>
          <w:tcPr>
            <w:tcW w:w="958" w:type="dxa"/>
            <w:tcBorders>
              <w:top w:val="nil"/>
              <w:left w:val="nil"/>
              <w:bottom w:val="nil"/>
              <w:right w:val="nil"/>
            </w:tcBorders>
            <w:shd w:val="clear" w:color="auto" w:fill="auto"/>
            <w:noWrap/>
            <w:vAlign w:val="center"/>
            <w:hideMark/>
          </w:tcPr>
          <w:p w14:paraId="748AFDC3"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0.917</w:t>
            </w:r>
          </w:p>
        </w:tc>
        <w:tc>
          <w:tcPr>
            <w:tcW w:w="1276" w:type="dxa"/>
            <w:tcBorders>
              <w:top w:val="nil"/>
              <w:left w:val="nil"/>
              <w:bottom w:val="nil"/>
              <w:right w:val="nil"/>
            </w:tcBorders>
            <w:vAlign w:val="bottom"/>
          </w:tcPr>
          <w:p w14:paraId="13361EF9" w14:textId="77777777" w:rsidR="004E0D59" w:rsidRPr="00296D0C" w:rsidRDefault="004E0D59" w:rsidP="004E0D59">
            <w:pPr>
              <w:spacing w:after="0" w:line="240" w:lineRule="auto"/>
              <w:jc w:val="center"/>
              <w:rPr>
                <w:rFonts w:eastAsia="Times New Roman" w:cs="Times New Roman"/>
                <w:color w:val="000000"/>
              </w:rPr>
            </w:pPr>
            <w:r w:rsidRPr="00296D0C">
              <w:rPr>
                <w:color w:val="000000"/>
              </w:rPr>
              <w:t>1249</w:t>
            </w:r>
          </w:p>
        </w:tc>
        <w:tc>
          <w:tcPr>
            <w:tcW w:w="1451" w:type="dxa"/>
            <w:tcBorders>
              <w:top w:val="nil"/>
              <w:left w:val="nil"/>
              <w:bottom w:val="nil"/>
              <w:right w:val="nil"/>
            </w:tcBorders>
            <w:vAlign w:val="bottom"/>
          </w:tcPr>
          <w:p w14:paraId="1E4EF71F" w14:textId="6F6994E2" w:rsidR="004E0D59" w:rsidRPr="00296D0C" w:rsidRDefault="004E0D59" w:rsidP="004E0D59">
            <w:pPr>
              <w:spacing w:after="0" w:line="240" w:lineRule="auto"/>
              <w:jc w:val="center"/>
              <w:rPr>
                <w:color w:val="000000"/>
              </w:rPr>
            </w:pPr>
            <w:r w:rsidRPr="00296D0C">
              <w:rPr>
                <w:color w:val="000000"/>
              </w:rPr>
              <w:t>0.1</w:t>
            </w:r>
            <w:r w:rsidR="00940DB4">
              <w:rPr>
                <w:color w:val="000000"/>
              </w:rPr>
              <w:t>8</w:t>
            </w:r>
            <w:r w:rsidRPr="00296D0C">
              <w:rPr>
                <w:color w:val="000000"/>
              </w:rPr>
              <w:t xml:space="preserve"> </w:t>
            </w:r>
          </w:p>
          <w:p w14:paraId="566B30BC" w14:textId="77777777" w:rsidR="004E0D59" w:rsidRPr="00296D0C" w:rsidRDefault="004E0D59" w:rsidP="00C8126B">
            <w:pPr>
              <w:spacing w:after="0" w:line="240" w:lineRule="auto"/>
              <w:jc w:val="center"/>
              <w:rPr>
                <w:rFonts w:eastAsia="Times New Roman" w:cs="Times New Roman"/>
                <w:color w:val="000000"/>
              </w:rPr>
            </w:pPr>
            <w:r w:rsidRPr="00296D0C">
              <w:rPr>
                <w:color w:val="000000"/>
              </w:rPr>
              <w:t>(-1.26, 1.62)</w:t>
            </w:r>
          </w:p>
        </w:tc>
        <w:tc>
          <w:tcPr>
            <w:tcW w:w="1134" w:type="dxa"/>
            <w:tcBorders>
              <w:top w:val="nil"/>
              <w:left w:val="nil"/>
              <w:bottom w:val="nil"/>
              <w:right w:val="nil"/>
            </w:tcBorders>
            <w:vAlign w:val="bottom"/>
          </w:tcPr>
          <w:p w14:paraId="69397948" w14:textId="77777777" w:rsidR="004E0D59" w:rsidRPr="00296D0C" w:rsidRDefault="004E0D59" w:rsidP="004E0D59">
            <w:pPr>
              <w:spacing w:after="0" w:line="240" w:lineRule="auto"/>
              <w:jc w:val="center"/>
              <w:rPr>
                <w:rFonts w:eastAsia="Times New Roman" w:cs="Times New Roman"/>
                <w:color w:val="000000"/>
              </w:rPr>
            </w:pPr>
            <w:r w:rsidRPr="00296D0C">
              <w:rPr>
                <w:color w:val="000000"/>
              </w:rPr>
              <w:t>0.801</w:t>
            </w:r>
          </w:p>
        </w:tc>
      </w:tr>
      <w:tr w:rsidR="004E0D59" w:rsidRPr="00296D0C" w14:paraId="28619CD2" w14:textId="77777777" w:rsidTr="00020C42">
        <w:trPr>
          <w:trHeight w:val="300"/>
        </w:trPr>
        <w:tc>
          <w:tcPr>
            <w:tcW w:w="2552" w:type="dxa"/>
            <w:tcBorders>
              <w:top w:val="nil"/>
              <w:left w:val="nil"/>
              <w:bottom w:val="nil"/>
              <w:right w:val="nil"/>
            </w:tcBorders>
            <w:shd w:val="clear" w:color="auto" w:fill="auto"/>
            <w:noWrap/>
            <w:vAlign w:val="bottom"/>
            <w:hideMark/>
          </w:tcPr>
          <w:p w14:paraId="4AD484C3" w14:textId="77777777" w:rsidR="004E0D59" w:rsidRPr="00296D0C" w:rsidRDefault="004E0D59" w:rsidP="00805045">
            <w:pPr>
              <w:spacing w:after="0" w:line="240" w:lineRule="auto"/>
              <w:rPr>
                <w:rFonts w:eastAsia="Times New Roman" w:cs="Times New Roman"/>
                <w:color w:val="000000"/>
              </w:rPr>
            </w:pPr>
            <w:r w:rsidRPr="00296D0C">
              <w:rPr>
                <w:rFonts w:eastAsia="Times New Roman" w:cs="Times New Roman"/>
                <w:color w:val="000000"/>
              </w:rPr>
              <w:t xml:space="preserve">Body fat  </w:t>
            </w:r>
            <w:r w:rsidR="00805045" w:rsidRPr="00296D0C">
              <w:rPr>
                <w:rFonts w:eastAsia="Times New Roman" w:cs="Times New Roman"/>
                <w:color w:val="000000"/>
              </w:rPr>
              <w:t>SDS</w:t>
            </w:r>
          </w:p>
        </w:tc>
        <w:tc>
          <w:tcPr>
            <w:tcW w:w="637" w:type="dxa"/>
            <w:tcBorders>
              <w:top w:val="nil"/>
              <w:left w:val="nil"/>
              <w:bottom w:val="nil"/>
              <w:right w:val="nil"/>
            </w:tcBorders>
            <w:shd w:val="clear" w:color="auto" w:fill="auto"/>
            <w:noWrap/>
            <w:vAlign w:val="center"/>
            <w:hideMark/>
          </w:tcPr>
          <w:p w14:paraId="55F60ACD"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629</w:t>
            </w:r>
          </w:p>
        </w:tc>
        <w:tc>
          <w:tcPr>
            <w:tcW w:w="922" w:type="dxa"/>
            <w:tcBorders>
              <w:top w:val="nil"/>
              <w:left w:val="nil"/>
              <w:bottom w:val="nil"/>
              <w:right w:val="nil"/>
            </w:tcBorders>
            <w:shd w:val="clear" w:color="auto" w:fill="auto"/>
            <w:noWrap/>
            <w:vAlign w:val="center"/>
            <w:hideMark/>
          </w:tcPr>
          <w:p w14:paraId="5B092BC5" w14:textId="77777777" w:rsidR="004E0D59" w:rsidRPr="00296D0C" w:rsidRDefault="004E0D59" w:rsidP="00C8126B">
            <w:pPr>
              <w:spacing w:after="0" w:line="240" w:lineRule="auto"/>
              <w:jc w:val="center"/>
              <w:rPr>
                <w:rFonts w:eastAsia="Times New Roman" w:cs="Times New Roman"/>
                <w:color w:val="000000"/>
              </w:rPr>
            </w:pPr>
            <w:r w:rsidRPr="00296D0C">
              <w:rPr>
                <w:rFonts w:eastAsia="Times New Roman" w:cs="Times New Roman"/>
                <w:color w:val="000000"/>
              </w:rPr>
              <w:t>-0.7</w:t>
            </w:r>
            <w:r w:rsidR="00C8126B" w:rsidRPr="00296D0C">
              <w:rPr>
                <w:rFonts w:eastAsia="Times New Roman" w:cs="Times New Roman"/>
                <w:color w:val="000000"/>
              </w:rPr>
              <w:t>8</w:t>
            </w:r>
            <w:r w:rsidRPr="00296D0C">
              <w:rPr>
                <w:rFonts w:eastAsia="Times New Roman" w:cs="Times New Roman"/>
                <w:color w:val="000000"/>
              </w:rPr>
              <w:t xml:space="preserve"> (2.16)</w:t>
            </w:r>
          </w:p>
        </w:tc>
        <w:tc>
          <w:tcPr>
            <w:tcW w:w="637" w:type="dxa"/>
            <w:tcBorders>
              <w:top w:val="nil"/>
              <w:left w:val="nil"/>
              <w:bottom w:val="nil"/>
              <w:right w:val="nil"/>
            </w:tcBorders>
            <w:shd w:val="clear" w:color="auto" w:fill="auto"/>
            <w:noWrap/>
            <w:vAlign w:val="center"/>
            <w:hideMark/>
          </w:tcPr>
          <w:p w14:paraId="09E1017B"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620</w:t>
            </w:r>
          </w:p>
        </w:tc>
        <w:tc>
          <w:tcPr>
            <w:tcW w:w="1064" w:type="dxa"/>
            <w:tcBorders>
              <w:top w:val="nil"/>
              <w:left w:val="nil"/>
              <w:bottom w:val="nil"/>
              <w:right w:val="nil"/>
            </w:tcBorders>
            <w:shd w:val="clear" w:color="auto" w:fill="auto"/>
            <w:noWrap/>
            <w:vAlign w:val="center"/>
            <w:hideMark/>
          </w:tcPr>
          <w:p w14:paraId="18028827" w14:textId="77777777" w:rsidR="004E0D59" w:rsidRPr="00296D0C" w:rsidRDefault="004E0D59" w:rsidP="00C8126B">
            <w:pPr>
              <w:spacing w:after="0" w:line="240" w:lineRule="auto"/>
              <w:jc w:val="center"/>
              <w:rPr>
                <w:rFonts w:eastAsia="Times New Roman" w:cs="Times New Roman"/>
                <w:color w:val="000000"/>
              </w:rPr>
            </w:pPr>
            <w:r w:rsidRPr="00296D0C">
              <w:rPr>
                <w:rFonts w:eastAsia="Times New Roman" w:cs="Times New Roman"/>
                <w:color w:val="000000"/>
              </w:rPr>
              <w:t>-0.7</w:t>
            </w:r>
            <w:r w:rsidR="00C8126B" w:rsidRPr="00296D0C">
              <w:rPr>
                <w:rFonts w:eastAsia="Times New Roman" w:cs="Times New Roman"/>
                <w:color w:val="000000"/>
              </w:rPr>
              <w:t>8</w:t>
            </w:r>
            <w:r w:rsidRPr="00296D0C">
              <w:rPr>
                <w:rFonts w:eastAsia="Times New Roman" w:cs="Times New Roman"/>
                <w:color w:val="000000"/>
              </w:rPr>
              <w:t xml:space="preserve"> (1.8</w:t>
            </w:r>
            <w:r w:rsidR="00C8126B" w:rsidRPr="00296D0C">
              <w:rPr>
                <w:rFonts w:eastAsia="Times New Roman" w:cs="Times New Roman"/>
                <w:color w:val="000000"/>
              </w:rPr>
              <w:t>9</w:t>
            </w:r>
            <w:r w:rsidRPr="00296D0C">
              <w:rPr>
                <w:rFonts w:eastAsia="Times New Roman" w:cs="Times New Roman"/>
                <w:color w:val="000000"/>
              </w:rPr>
              <w:t>)</w:t>
            </w:r>
          </w:p>
        </w:tc>
        <w:tc>
          <w:tcPr>
            <w:tcW w:w="915" w:type="dxa"/>
            <w:tcBorders>
              <w:top w:val="nil"/>
              <w:left w:val="nil"/>
              <w:bottom w:val="nil"/>
              <w:right w:val="nil"/>
            </w:tcBorders>
            <w:shd w:val="clear" w:color="auto" w:fill="auto"/>
            <w:noWrap/>
            <w:vAlign w:val="center"/>
            <w:hideMark/>
          </w:tcPr>
          <w:p w14:paraId="342E0A0C"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1240</w:t>
            </w:r>
          </w:p>
        </w:tc>
        <w:tc>
          <w:tcPr>
            <w:tcW w:w="1637" w:type="dxa"/>
            <w:tcBorders>
              <w:top w:val="nil"/>
              <w:left w:val="nil"/>
              <w:bottom w:val="nil"/>
              <w:right w:val="nil"/>
            </w:tcBorders>
            <w:shd w:val="clear" w:color="auto" w:fill="auto"/>
            <w:noWrap/>
            <w:vAlign w:val="center"/>
            <w:hideMark/>
          </w:tcPr>
          <w:p w14:paraId="65444BF1"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-0.0</w:t>
            </w:r>
            <w:r w:rsidR="00C8126B" w:rsidRPr="00296D0C">
              <w:rPr>
                <w:rFonts w:eastAsia="Times New Roman" w:cs="Times New Roman"/>
                <w:color w:val="000000"/>
              </w:rPr>
              <w:t>4</w:t>
            </w:r>
            <w:r w:rsidRPr="00296D0C">
              <w:rPr>
                <w:rFonts w:eastAsia="Times New Roman" w:cs="Times New Roman"/>
                <w:color w:val="000000"/>
              </w:rPr>
              <w:t xml:space="preserve"> </w:t>
            </w:r>
          </w:p>
          <w:p w14:paraId="082257BD" w14:textId="77777777" w:rsidR="004E0D59" w:rsidRPr="00296D0C" w:rsidRDefault="004E0D59" w:rsidP="00C8126B">
            <w:pPr>
              <w:spacing w:after="0" w:line="240" w:lineRule="auto"/>
              <w:jc w:val="center"/>
              <w:rPr>
                <w:rFonts w:eastAsia="Times New Roman" w:cs="Times New Roman"/>
                <w:color w:val="000000"/>
              </w:rPr>
            </w:pPr>
            <w:r w:rsidRPr="00296D0C">
              <w:rPr>
                <w:rFonts w:eastAsia="Times New Roman" w:cs="Times New Roman"/>
                <w:color w:val="000000"/>
              </w:rPr>
              <w:t>(-0.29, 0.2</w:t>
            </w:r>
            <w:r w:rsidR="00C8126B" w:rsidRPr="00296D0C">
              <w:rPr>
                <w:rFonts w:eastAsia="Times New Roman" w:cs="Times New Roman"/>
                <w:color w:val="000000"/>
              </w:rPr>
              <w:t>2</w:t>
            </w:r>
            <w:r w:rsidRPr="00296D0C">
              <w:rPr>
                <w:rFonts w:eastAsia="Times New Roman" w:cs="Times New Roman"/>
                <w:color w:val="000000"/>
              </w:rPr>
              <w:t>)</w:t>
            </w:r>
          </w:p>
        </w:tc>
        <w:tc>
          <w:tcPr>
            <w:tcW w:w="958" w:type="dxa"/>
            <w:tcBorders>
              <w:top w:val="nil"/>
              <w:left w:val="nil"/>
              <w:bottom w:val="nil"/>
              <w:right w:val="nil"/>
            </w:tcBorders>
            <w:shd w:val="clear" w:color="auto" w:fill="auto"/>
            <w:noWrap/>
            <w:vAlign w:val="center"/>
            <w:hideMark/>
          </w:tcPr>
          <w:p w14:paraId="288C9274"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0.758</w:t>
            </w:r>
          </w:p>
        </w:tc>
        <w:tc>
          <w:tcPr>
            <w:tcW w:w="1276" w:type="dxa"/>
            <w:tcBorders>
              <w:top w:val="nil"/>
              <w:left w:val="nil"/>
              <w:bottom w:val="nil"/>
              <w:right w:val="nil"/>
            </w:tcBorders>
            <w:vAlign w:val="bottom"/>
          </w:tcPr>
          <w:p w14:paraId="33DB26BC" w14:textId="77777777" w:rsidR="004E0D59" w:rsidRPr="00296D0C" w:rsidRDefault="004E0D59" w:rsidP="004E0D59">
            <w:pPr>
              <w:spacing w:after="0" w:line="240" w:lineRule="auto"/>
              <w:jc w:val="center"/>
              <w:rPr>
                <w:rFonts w:eastAsia="Times New Roman" w:cs="Times New Roman"/>
                <w:color w:val="000000"/>
              </w:rPr>
            </w:pPr>
            <w:r w:rsidRPr="00296D0C">
              <w:rPr>
                <w:color w:val="000000"/>
              </w:rPr>
              <w:t>1249</w:t>
            </w:r>
          </w:p>
        </w:tc>
        <w:tc>
          <w:tcPr>
            <w:tcW w:w="1451" w:type="dxa"/>
            <w:tcBorders>
              <w:top w:val="nil"/>
              <w:left w:val="nil"/>
              <w:bottom w:val="nil"/>
              <w:right w:val="nil"/>
            </w:tcBorders>
            <w:vAlign w:val="center"/>
          </w:tcPr>
          <w:p w14:paraId="7969D5C8" w14:textId="408186F5" w:rsidR="004E0D59" w:rsidRPr="00296D0C" w:rsidRDefault="004E0D59" w:rsidP="004E0D59">
            <w:pPr>
              <w:spacing w:after="0" w:line="240" w:lineRule="auto"/>
              <w:jc w:val="center"/>
              <w:rPr>
                <w:color w:val="000000"/>
              </w:rPr>
            </w:pPr>
            <w:r w:rsidRPr="00296D0C">
              <w:rPr>
                <w:color w:val="000000"/>
              </w:rPr>
              <w:t xml:space="preserve">-0.02 </w:t>
            </w:r>
          </w:p>
          <w:p w14:paraId="6C3B518A" w14:textId="77777777" w:rsidR="004E0D59" w:rsidRPr="00296D0C" w:rsidRDefault="004E0D59" w:rsidP="00C8126B">
            <w:pPr>
              <w:spacing w:after="0" w:line="240" w:lineRule="auto"/>
              <w:jc w:val="center"/>
              <w:rPr>
                <w:rFonts w:eastAsia="Times New Roman" w:cs="Times New Roman"/>
                <w:color w:val="000000"/>
              </w:rPr>
            </w:pPr>
            <w:r w:rsidRPr="00296D0C">
              <w:rPr>
                <w:color w:val="000000"/>
              </w:rPr>
              <w:t>(-0.3</w:t>
            </w:r>
            <w:r w:rsidR="00C8126B" w:rsidRPr="00296D0C">
              <w:rPr>
                <w:color w:val="000000"/>
              </w:rPr>
              <w:t>7</w:t>
            </w:r>
            <w:r w:rsidRPr="00296D0C">
              <w:rPr>
                <w:color w:val="000000"/>
              </w:rPr>
              <w:t>, 0.3</w:t>
            </w:r>
            <w:r w:rsidR="00C8126B" w:rsidRPr="00296D0C">
              <w:rPr>
                <w:color w:val="000000"/>
              </w:rPr>
              <w:t>3</w:t>
            </w:r>
            <w:r w:rsidRPr="00296D0C">
              <w:rPr>
                <w:color w:val="000000"/>
              </w:rPr>
              <w:t>)</w:t>
            </w:r>
          </w:p>
        </w:tc>
        <w:tc>
          <w:tcPr>
            <w:tcW w:w="1134" w:type="dxa"/>
            <w:tcBorders>
              <w:top w:val="nil"/>
              <w:left w:val="nil"/>
              <w:bottom w:val="nil"/>
              <w:right w:val="nil"/>
            </w:tcBorders>
            <w:vAlign w:val="bottom"/>
          </w:tcPr>
          <w:p w14:paraId="3AB40CF3" w14:textId="30066E7F" w:rsidR="004E0D59" w:rsidRPr="00296D0C" w:rsidRDefault="004E0D59" w:rsidP="004E0D59">
            <w:pPr>
              <w:spacing w:after="0" w:line="240" w:lineRule="auto"/>
              <w:jc w:val="center"/>
              <w:rPr>
                <w:rFonts w:eastAsia="Times New Roman" w:cs="Times New Roman"/>
                <w:color w:val="000000"/>
              </w:rPr>
            </w:pPr>
            <w:r w:rsidRPr="00296D0C">
              <w:rPr>
                <w:color w:val="000000"/>
              </w:rPr>
              <w:t>0.9</w:t>
            </w:r>
            <w:r w:rsidR="00CC0B40">
              <w:rPr>
                <w:color w:val="000000"/>
              </w:rPr>
              <w:t>00</w:t>
            </w:r>
          </w:p>
        </w:tc>
      </w:tr>
      <w:tr w:rsidR="004E0D59" w:rsidRPr="00296D0C" w14:paraId="1B1441BE" w14:textId="77777777" w:rsidTr="00020C42">
        <w:trPr>
          <w:trHeight w:val="300"/>
        </w:trPr>
        <w:tc>
          <w:tcPr>
            <w:tcW w:w="2552" w:type="dxa"/>
            <w:tcBorders>
              <w:top w:val="nil"/>
              <w:left w:val="nil"/>
              <w:bottom w:val="single" w:sz="4" w:space="0" w:color="auto"/>
              <w:right w:val="nil"/>
            </w:tcBorders>
            <w:shd w:val="clear" w:color="auto" w:fill="auto"/>
            <w:noWrap/>
            <w:vAlign w:val="bottom"/>
            <w:hideMark/>
          </w:tcPr>
          <w:p w14:paraId="43C9F643" w14:textId="77777777" w:rsidR="004E0D59" w:rsidRPr="00296D0C" w:rsidRDefault="004E0D59" w:rsidP="00805045">
            <w:pPr>
              <w:spacing w:after="0" w:line="240" w:lineRule="auto"/>
              <w:rPr>
                <w:rFonts w:eastAsia="Times New Roman" w:cs="Times New Roman"/>
                <w:color w:val="000000"/>
              </w:rPr>
            </w:pPr>
            <w:r w:rsidRPr="00296D0C">
              <w:rPr>
                <w:rFonts w:eastAsia="Times New Roman" w:cs="Times New Roman"/>
                <w:color w:val="000000"/>
              </w:rPr>
              <w:t xml:space="preserve">Body fat </w:t>
            </w:r>
            <w:r w:rsidR="00805045" w:rsidRPr="00296D0C">
              <w:rPr>
                <w:rFonts w:eastAsia="Times New Roman" w:cs="Times New Roman"/>
                <w:color w:val="000000"/>
              </w:rPr>
              <w:t>SDS</w:t>
            </w:r>
            <w:r w:rsidRPr="00296D0C">
              <w:rPr>
                <w:rFonts w:eastAsia="Times New Roman" w:cs="Times New Roman"/>
                <w:color w:val="000000"/>
                <w:vertAlign w:val="superscript"/>
              </w:rPr>
              <w:t>b</w:t>
            </w:r>
          </w:p>
        </w:tc>
        <w:tc>
          <w:tcPr>
            <w:tcW w:w="637" w:type="dxa"/>
            <w:tcBorders>
              <w:top w:val="nil"/>
              <w:left w:val="nil"/>
              <w:bottom w:val="single" w:sz="4" w:space="0" w:color="auto"/>
              <w:right w:val="nil"/>
            </w:tcBorders>
            <w:shd w:val="clear" w:color="auto" w:fill="auto"/>
            <w:noWrap/>
            <w:vAlign w:val="center"/>
            <w:hideMark/>
          </w:tcPr>
          <w:p w14:paraId="35F9373E"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612</w:t>
            </w:r>
          </w:p>
        </w:tc>
        <w:tc>
          <w:tcPr>
            <w:tcW w:w="922" w:type="dxa"/>
            <w:tcBorders>
              <w:top w:val="nil"/>
              <w:left w:val="nil"/>
              <w:bottom w:val="single" w:sz="4" w:space="0" w:color="auto"/>
              <w:right w:val="nil"/>
            </w:tcBorders>
            <w:shd w:val="clear" w:color="auto" w:fill="auto"/>
            <w:noWrap/>
            <w:vAlign w:val="center"/>
            <w:hideMark/>
          </w:tcPr>
          <w:p w14:paraId="34C90344" w14:textId="77777777" w:rsidR="004E0D59" w:rsidRPr="00296D0C" w:rsidRDefault="004E0D59" w:rsidP="00C8126B">
            <w:pPr>
              <w:spacing w:after="0" w:line="240" w:lineRule="auto"/>
              <w:jc w:val="center"/>
              <w:rPr>
                <w:rFonts w:eastAsia="Times New Roman" w:cs="Times New Roman"/>
                <w:color w:val="000000"/>
              </w:rPr>
            </w:pPr>
            <w:r w:rsidRPr="00296D0C">
              <w:rPr>
                <w:rFonts w:eastAsia="Times New Roman" w:cs="Times New Roman"/>
                <w:color w:val="000000"/>
              </w:rPr>
              <w:t>-0.59 (1.8</w:t>
            </w:r>
            <w:r w:rsidR="00C8126B" w:rsidRPr="00296D0C">
              <w:rPr>
                <w:rFonts w:eastAsia="Times New Roman" w:cs="Times New Roman"/>
                <w:color w:val="000000"/>
              </w:rPr>
              <w:t>4</w:t>
            </w:r>
            <w:r w:rsidRPr="00296D0C">
              <w:rPr>
                <w:rFonts w:eastAsia="Times New Roman" w:cs="Times New Roman"/>
                <w:color w:val="000000"/>
              </w:rPr>
              <w:t>)</w:t>
            </w:r>
          </w:p>
        </w:tc>
        <w:tc>
          <w:tcPr>
            <w:tcW w:w="637" w:type="dxa"/>
            <w:tcBorders>
              <w:top w:val="nil"/>
              <w:left w:val="nil"/>
              <w:bottom w:val="single" w:sz="4" w:space="0" w:color="auto"/>
              <w:right w:val="nil"/>
            </w:tcBorders>
            <w:shd w:val="clear" w:color="auto" w:fill="auto"/>
            <w:noWrap/>
            <w:vAlign w:val="center"/>
            <w:hideMark/>
          </w:tcPr>
          <w:p w14:paraId="1E8F14F5"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607</w:t>
            </w:r>
          </w:p>
        </w:tc>
        <w:tc>
          <w:tcPr>
            <w:tcW w:w="1064" w:type="dxa"/>
            <w:tcBorders>
              <w:top w:val="nil"/>
              <w:left w:val="nil"/>
              <w:bottom w:val="single" w:sz="4" w:space="0" w:color="auto"/>
              <w:right w:val="nil"/>
            </w:tcBorders>
            <w:shd w:val="clear" w:color="auto" w:fill="auto"/>
            <w:noWrap/>
            <w:vAlign w:val="center"/>
            <w:hideMark/>
          </w:tcPr>
          <w:p w14:paraId="7223B8E4" w14:textId="70AC016D" w:rsidR="004E0D59" w:rsidRPr="00296D0C" w:rsidRDefault="004E0D59" w:rsidP="00AC672C">
            <w:pPr>
              <w:spacing w:after="0" w:line="240" w:lineRule="auto"/>
              <w:jc w:val="center"/>
              <w:rPr>
                <w:rFonts w:eastAsia="Times New Roman" w:cs="Times New Roman"/>
                <w:color w:val="000000"/>
              </w:rPr>
            </w:pPr>
            <w:r w:rsidRPr="00296D0C">
              <w:rPr>
                <w:rFonts w:eastAsia="Times New Roman" w:cs="Times New Roman"/>
                <w:color w:val="000000"/>
              </w:rPr>
              <w:t>-0.6</w:t>
            </w:r>
            <w:r w:rsidR="00AC672C" w:rsidRPr="00296D0C">
              <w:rPr>
                <w:rFonts w:eastAsia="Times New Roman" w:cs="Times New Roman"/>
                <w:color w:val="000000"/>
              </w:rPr>
              <w:t>5</w:t>
            </w:r>
            <w:r w:rsidRPr="00296D0C">
              <w:rPr>
                <w:rFonts w:eastAsia="Times New Roman" w:cs="Times New Roman"/>
                <w:color w:val="000000"/>
              </w:rPr>
              <w:t xml:space="preserve"> (1.6</w:t>
            </w:r>
            <w:r w:rsidR="00C8126B" w:rsidRPr="00296D0C">
              <w:rPr>
                <w:rFonts w:eastAsia="Times New Roman" w:cs="Times New Roman"/>
                <w:color w:val="000000"/>
              </w:rPr>
              <w:t>9</w:t>
            </w:r>
            <w:r w:rsidRPr="00296D0C">
              <w:rPr>
                <w:rFonts w:eastAsia="Times New Roman" w:cs="Times New Roman"/>
                <w:color w:val="000000"/>
              </w:rPr>
              <w:t>)</w:t>
            </w:r>
          </w:p>
        </w:tc>
        <w:tc>
          <w:tcPr>
            <w:tcW w:w="915" w:type="dxa"/>
            <w:tcBorders>
              <w:top w:val="nil"/>
              <w:left w:val="nil"/>
              <w:bottom w:val="single" w:sz="4" w:space="0" w:color="auto"/>
              <w:right w:val="nil"/>
            </w:tcBorders>
            <w:shd w:val="clear" w:color="auto" w:fill="auto"/>
            <w:noWrap/>
            <w:vAlign w:val="center"/>
            <w:hideMark/>
          </w:tcPr>
          <w:p w14:paraId="5F790461"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1198</w:t>
            </w:r>
          </w:p>
        </w:tc>
        <w:tc>
          <w:tcPr>
            <w:tcW w:w="1637" w:type="dxa"/>
            <w:tcBorders>
              <w:top w:val="nil"/>
              <w:left w:val="nil"/>
              <w:bottom w:val="single" w:sz="4" w:space="0" w:color="auto"/>
              <w:right w:val="nil"/>
            </w:tcBorders>
            <w:shd w:val="clear" w:color="auto" w:fill="auto"/>
            <w:noWrap/>
            <w:vAlign w:val="center"/>
            <w:hideMark/>
          </w:tcPr>
          <w:p w14:paraId="40A9D953"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-0.0</w:t>
            </w:r>
            <w:r w:rsidR="00C8126B" w:rsidRPr="00296D0C">
              <w:rPr>
                <w:rFonts w:eastAsia="Times New Roman" w:cs="Times New Roman"/>
                <w:color w:val="000000"/>
              </w:rPr>
              <w:t>2</w:t>
            </w:r>
            <w:r w:rsidRPr="00296D0C">
              <w:rPr>
                <w:rFonts w:eastAsia="Times New Roman" w:cs="Times New Roman"/>
                <w:color w:val="000000"/>
              </w:rPr>
              <w:t xml:space="preserve"> </w:t>
            </w:r>
          </w:p>
          <w:p w14:paraId="4F03280F" w14:textId="77777777" w:rsidR="004E0D59" w:rsidRPr="00296D0C" w:rsidRDefault="004E0D59" w:rsidP="00C8126B">
            <w:pPr>
              <w:spacing w:after="0" w:line="240" w:lineRule="auto"/>
              <w:jc w:val="center"/>
              <w:rPr>
                <w:rFonts w:eastAsia="Times New Roman" w:cs="Times New Roman"/>
                <w:color w:val="000000"/>
              </w:rPr>
            </w:pPr>
            <w:r w:rsidRPr="00296D0C">
              <w:rPr>
                <w:rFonts w:eastAsia="Times New Roman" w:cs="Times New Roman"/>
                <w:color w:val="000000"/>
              </w:rPr>
              <w:t>(-0.1</w:t>
            </w:r>
            <w:r w:rsidR="00C8126B" w:rsidRPr="00296D0C">
              <w:rPr>
                <w:rFonts w:eastAsia="Times New Roman" w:cs="Times New Roman"/>
                <w:color w:val="000000"/>
              </w:rPr>
              <w:t>7</w:t>
            </w:r>
            <w:r w:rsidRPr="00296D0C">
              <w:rPr>
                <w:rFonts w:eastAsia="Times New Roman" w:cs="Times New Roman"/>
                <w:color w:val="000000"/>
              </w:rPr>
              <w:t>, 0.1</w:t>
            </w:r>
            <w:r w:rsidR="00C8126B" w:rsidRPr="00296D0C">
              <w:rPr>
                <w:rFonts w:eastAsia="Times New Roman" w:cs="Times New Roman"/>
                <w:color w:val="000000"/>
              </w:rPr>
              <w:t>3</w:t>
            </w:r>
            <w:r w:rsidRPr="00296D0C">
              <w:rPr>
                <w:rFonts w:eastAsia="Times New Roman" w:cs="Times New Roman"/>
                <w:color w:val="000000"/>
              </w:rPr>
              <w:t>)</w:t>
            </w:r>
          </w:p>
        </w:tc>
        <w:tc>
          <w:tcPr>
            <w:tcW w:w="958" w:type="dxa"/>
            <w:tcBorders>
              <w:top w:val="nil"/>
              <w:left w:val="nil"/>
              <w:bottom w:val="single" w:sz="4" w:space="0" w:color="auto"/>
              <w:right w:val="nil"/>
            </w:tcBorders>
            <w:shd w:val="clear" w:color="auto" w:fill="auto"/>
            <w:noWrap/>
            <w:vAlign w:val="center"/>
            <w:hideMark/>
          </w:tcPr>
          <w:p w14:paraId="4724984C"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0.791</w:t>
            </w:r>
          </w:p>
        </w:tc>
        <w:tc>
          <w:tcPr>
            <w:tcW w:w="1276" w:type="dxa"/>
            <w:tcBorders>
              <w:top w:val="nil"/>
              <w:left w:val="nil"/>
              <w:bottom w:val="single" w:sz="4" w:space="0" w:color="auto"/>
              <w:right w:val="nil"/>
            </w:tcBorders>
            <w:vAlign w:val="bottom"/>
          </w:tcPr>
          <w:p w14:paraId="61F37512" w14:textId="77777777" w:rsidR="004E0D59" w:rsidRPr="00296D0C" w:rsidRDefault="004E0D59" w:rsidP="004E0D59">
            <w:pPr>
              <w:spacing w:after="0" w:line="240" w:lineRule="auto"/>
              <w:jc w:val="center"/>
              <w:rPr>
                <w:rFonts w:eastAsia="Times New Roman" w:cs="Times New Roman"/>
                <w:color w:val="000000"/>
              </w:rPr>
            </w:pPr>
            <w:r w:rsidRPr="00296D0C">
              <w:rPr>
                <w:color w:val="000000"/>
              </w:rPr>
              <w:t>1219</w:t>
            </w:r>
          </w:p>
        </w:tc>
        <w:tc>
          <w:tcPr>
            <w:tcW w:w="1451" w:type="dxa"/>
            <w:tcBorders>
              <w:top w:val="nil"/>
              <w:left w:val="nil"/>
              <w:bottom w:val="single" w:sz="4" w:space="0" w:color="auto"/>
              <w:right w:val="nil"/>
            </w:tcBorders>
            <w:vAlign w:val="bottom"/>
          </w:tcPr>
          <w:p w14:paraId="53DF2F18" w14:textId="77777777" w:rsidR="004E0D59" w:rsidRPr="00296D0C" w:rsidRDefault="004E0D59" w:rsidP="004E0D59">
            <w:pPr>
              <w:spacing w:after="0" w:line="240" w:lineRule="auto"/>
              <w:jc w:val="center"/>
              <w:rPr>
                <w:color w:val="000000"/>
              </w:rPr>
            </w:pPr>
            <w:r w:rsidRPr="00296D0C">
              <w:rPr>
                <w:color w:val="000000"/>
              </w:rPr>
              <w:t xml:space="preserve">0.04 </w:t>
            </w:r>
          </w:p>
          <w:p w14:paraId="341E99B7" w14:textId="77777777" w:rsidR="004E0D59" w:rsidRPr="00296D0C" w:rsidRDefault="004E0D59" w:rsidP="00C8126B">
            <w:pPr>
              <w:spacing w:after="0" w:line="240" w:lineRule="auto"/>
              <w:jc w:val="center"/>
              <w:rPr>
                <w:rFonts w:eastAsia="Times New Roman" w:cs="Times New Roman"/>
                <w:color w:val="000000"/>
              </w:rPr>
            </w:pPr>
            <w:r w:rsidRPr="00296D0C">
              <w:rPr>
                <w:color w:val="000000"/>
              </w:rPr>
              <w:t>(-0.23, 0.32)</w:t>
            </w:r>
          </w:p>
        </w:tc>
        <w:tc>
          <w:tcPr>
            <w:tcW w:w="1134" w:type="dxa"/>
            <w:tcBorders>
              <w:top w:val="nil"/>
              <w:left w:val="nil"/>
              <w:bottom w:val="single" w:sz="4" w:space="0" w:color="auto"/>
              <w:right w:val="nil"/>
            </w:tcBorders>
            <w:vAlign w:val="bottom"/>
          </w:tcPr>
          <w:p w14:paraId="14FBCDD6" w14:textId="77777777" w:rsidR="004E0D59" w:rsidRPr="00296D0C" w:rsidRDefault="004E0D59" w:rsidP="004E0D59">
            <w:pPr>
              <w:spacing w:after="0" w:line="240" w:lineRule="auto"/>
              <w:jc w:val="center"/>
              <w:rPr>
                <w:rFonts w:eastAsia="Times New Roman" w:cs="Times New Roman"/>
                <w:color w:val="000000"/>
              </w:rPr>
            </w:pPr>
            <w:r w:rsidRPr="00296D0C">
              <w:rPr>
                <w:color w:val="000000"/>
              </w:rPr>
              <w:t>0.752</w:t>
            </w:r>
          </w:p>
        </w:tc>
      </w:tr>
    </w:tbl>
    <w:p w14:paraId="3158EC3A" w14:textId="62EBC54F" w:rsidR="00020C42" w:rsidRPr="00FD7E39" w:rsidRDefault="004E0D59" w:rsidP="004E0D59">
      <w:pPr>
        <w:spacing w:after="0" w:line="240" w:lineRule="auto"/>
        <w:rPr>
          <w:sz w:val="18"/>
          <w:szCs w:val="18"/>
        </w:rPr>
      </w:pPr>
      <w:r w:rsidRPr="00FD7E39">
        <w:rPr>
          <w:iCs/>
          <w:sz w:val="18"/>
          <w:szCs w:val="18"/>
        </w:rPr>
        <w:t xml:space="preserve">Notes: Number and percentage of children within weight status categories and mean (standard deviation) of anthropometric measures for each randomised group and estimate of the effect of the intervention (95% confidence intervals and p-values) for analyses with and without adjustment for stratification variables, cohort, baseline </w:t>
      </w:r>
      <w:r w:rsidR="00ED282A" w:rsidRPr="00FD7E39">
        <w:rPr>
          <w:iCs/>
          <w:sz w:val="18"/>
          <w:szCs w:val="18"/>
        </w:rPr>
        <w:t>measure</w:t>
      </w:r>
      <w:r w:rsidRPr="00FD7E39">
        <w:rPr>
          <w:iCs/>
          <w:sz w:val="18"/>
          <w:szCs w:val="18"/>
        </w:rPr>
        <w:t xml:space="preserve"> and gender. </w:t>
      </w:r>
      <w:r w:rsidRPr="00FD7E39">
        <w:rPr>
          <w:sz w:val="18"/>
          <w:szCs w:val="18"/>
          <w:vertAlign w:val="superscript"/>
        </w:rPr>
        <w:t>a</w:t>
      </w:r>
      <w:r w:rsidRPr="00FD7E39">
        <w:rPr>
          <w:sz w:val="18"/>
          <w:szCs w:val="18"/>
        </w:rPr>
        <w:t xml:space="preserve"> weight status categories are defined using the Public Health England definitions </w:t>
      </w:r>
      <w:r w:rsidR="00121A21" w:rsidRPr="00FD7E39">
        <w:rPr>
          <w:sz w:val="18"/>
          <w:szCs w:val="18"/>
        </w:rPr>
        <w:fldChar w:fldCharType="begin"/>
      </w:r>
      <w:r w:rsidR="006B3301">
        <w:rPr>
          <w:sz w:val="18"/>
          <w:szCs w:val="18"/>
        </w:rPr>
        <w:instrText xml:space="preserve"> ADDIN EN.CITE &lt;EndNote&gt;&lt;Cite ExcludeYear="1"&gt;&lt;Author&gt;Public Health England&lt;/Author&gt;&lt;RecNum&gt;5675&lt;/RecNum&gt;&lt;DisplayText&gt;&lt;style face="superscript"&gt;54&lt;/style&gt;&lt;/DisplayText&gt;&lt;record&gt;&lt;rec-number&gt;5675&lt;/rec-number&gt;&lt;foreign-keys&gt;&lt;key app="EN" db-id="2ewa9rrvjsdsawep2vpx5x97eedzzvxx5rta" timestamp="1457606878"&gt;5675&lt;/key&gt;&lt;/foreign-keys&gt;&lt;ref-type name="Web Page"&gt;12&lt;/ref-type&gt;&lt;contributors&gt;&lt;authors&gt;&lt;author&gt;Public Health England,&lt;/author&gt;&lt;/authors&gt;&lt;/contributors&gt;&lt;titles&gt;&lt;title&gt;Measuring and interpreting BMI in Children&lt;/title&gt;&lt;/titles&gt;&lt;number&gt;10 March 2016&lt;/number&gt;&lt;dates&gt;&lt;/dates&gt;&lt;urls&gt;&lt;related-urls&gt;&lt;url&gt;www.noo.org.uk/NOO_about_obesity/measurement/children&lt;/url&gt;&lt;/related-urls&gt;&lt;/urls&gt;&lt;/record&gt;&lt;/Cite&gt;&lt;/EndNote&gt;</w:instrText>
      </w:r>
      <w:r w:rsidR="00121A21" w:rsidRPr="00FD7E39">
        <w:rPr>
          <w:sz w:val="18"/>
          <w:szCs w:val="18"/>
        </w:rPr>
        <w:fldChar w:fldCharType="separate"/>
      </w:r>
      <w:r w:rsidR="008C43BF" w:rsidRPr="008C43BF">
        <w:rPr>
          <w:noProof/>
          <w:sz w:val="18"/>
          <w:szCs w:val="18"/>
          <w:vertAlign w:val="superscript"/>
        </w:rPr>
        <w:t>54</w:t>
      </w:r>
      <w:r w:rsidR="00121A21" w:rsidRPr="00FD7E39">
        <w:rPr>
          <w:sz w:val="18"/>
          <w:szCs w:val="18"/>
        </w:rPr>
        <w:fldChar w:fldCharType="end"/>
      </w:r>
      <w:r w:rsidR="009338CC">
        <w:rPr>
          <w:sz w:val="18"/>
          <w:szCs w:val="18"/>
        </w:rPr>
        <w:t>.</w:t>
      </w:r>
      <w:r w:rsidR="00584D9E" w:rsidRPr="00FD7E39">
        <w:rPr>
          <w:sz w:val="18"/>
          <w:szCs w:val="18"/>
        </w:rPr>
        <w:t xml:space="preserve"> </w:t>
      </w:r>
      <w:r w:rsidRPr="00FD7E39">
        <w:rPr>
          <w:sz w:val="18"/>
          <w:szCs w:val="18"/>
          <w:vertAlign w:val="superscript"/>
        </w:rPr>
        <w:t>b</w:t>
      </w:r>
      <w:r w:rsidRPr="00FD7E39">
        <w:rPr>
          <w:sz w:val="18"/>
          <w:szCs w:val="18"/>
        </w:rPr>
        <w:t xml:space="preserve"> after excluding extreme body fat absolute </w:t>
      </w:r>
      <w:r w:rsidR="009E307A" w:rsidRPr="00FD7E39">
        <w:rPr>
          <w:sz w:val="18"/>
          <w:szCs w:val="18"/>
        </w:rPr>
        <w:t>SDS</w:t>
      </w:r>
      <w:r w:rsidRPr="00FD7E39">
        <w:rPr>
          <w:sz w:val="18"/>
          <w:szCs w:val="18"/>
        </w:rPr>
        <w:t xml:space="preserve"> values greater than or equal to five</w:t>
      </w:r>
      <w:r w:rsidR="00FD7E39">
        <w:rPr>
          <w:sz w:val="18"/>
          <w:szCs w:val="18"/>
        </w:rPr>
        <w:t>.</w:t>
      </w:r>
    </w:p>
    <w:p w14:paraId="162300C8" w14:textId="30E1C2B5" w:rsidR="00020C42" w:rsidRPr="00296D0C" w:rsidRDefault="00020C42">
      <w:pPr>
        <w:sectPr w:rsidR="00020C42" w:rsidRPr="00296D0C" w:rsidSect="00E155EB">
          <w:pgSz w:w="16838" w:h="11906" w:orient="landscape"/>
          <w:pgMar w:top="1440" w:right="1440" w:bottom="1440" w:left="1440" w:header="709" w:footer="113" w:gutter="0"/>
          <w:cols w:space="708"/>
          <w:docGrid w:linePitch="360"/>
        </w:sectPr>
      </w:pPr>
    </w:p>
    <w:p w14:paraId="4F41E2F9" w14:textId="44232B5D" w:rsidR="004E0D59" w:rsidRPr="00296D0C" w:rsidRDefault="00317040" w:rsidP="004E0D59">
      <w:pPr>
        <w:keepNext/>
        <w:keepLines/>
        <w:spacing w:before="200" w:after="0"/>
        <w:outlineLvl w:val="1"/>
        <w:rPr>
          <w:rFonts w:eastAsiaTheme="majorEastAsia" w:cstheme="majorBidi"/>
          <w:bCs/>
        </w:rPr>
      </w:pPr>
      <w:bookmarkStart w:id="428" w:name="_Toc466639063"/>
      <w:bookmarkStart w:id="429" w:name="_Toc466710094"/>
      <w:bookmarkStart w:id="430" w:name="_Toc466711442"/>
      <w:bookmarkStart w:id="431" w:name="_Toc466712101"/>
      <w:bookmarkStart w:id="432" w:name="_Toc475974369"/>
      <w:r w:rsidRPr="00296D0C">
        <w:rPr>
          <w:rFonts w:eastAsiaTheme="majorEastAsia" w:cstheme="majorBidi"/>
          <w:b/>
          <w:bCs/>
        </w:rPr>
        <w:lastRenderedPageBreak/>
        <w:t>3.</w:t>
      </w:r>
      <w:r w:rsidR="00514712">
        <w:rPr>
          <w:rFonts w:eastAsiaTheme="majorEastAsia" w:cstheme="majorBidi"/>
          <w:b/>
          <w:bCs/>
        </w:rPr>
        <w:t>8</w:t>
      </w:r>
      <w:r w:rsidRPr="00296D0C">
        <w:rPr>
          <w:rFonts w:eastAsiaTheme="majorEastAsia" w:cstheme="majorBidi"/>
          <w:b/>
          <w:bCs/>
        </w:rPr>
        <w:t xml:space="preserve"> </w:t>
      </w:r>
      <w:r w:rsidR="004E0D59" w:rsidRPr="00296D0C">
        <w:rPr>
          <w:rFonts w:eastAsiaTheme="majorEastAsia" w:cstheme="majorBidi"/>
          <w:b/>
          <w:bCs/>
        </w:rPr>
        <w:t>Primary analyses of outcomes at 18 months</w:t>
      </w:r>
      <w:bookmarkEnd w:id="428"/>
      <w:bookmarkEnd w:id="429"/>
      <w:bookmarkEnd w:id="430"/>
      <w:bookmarkEnd w:id="431"/>
      <w:bookmarkEnd w:id="432"/>
      <w:r w:rsidR="004E0D59" w:rsidRPr="00296D0C">
        <w:rPr>
          <w:rFonts w:eastAsiaTheme="majorEastAsia" w:cstheme="majorBidi"/>
          <w:b/>
          <w:bCs/>
        </w:rPr>
        <w:t xml:space="preserve"> </w:t>
      </w:r>
    </w:p>
    <w:p w14:paraId="2DAD4F63" w14:textId="144357C5" w:rsidR="004E0D59" w:rsidRPr="00296D0C" w:rsidRDefault="004E0D59" w:rsidP="004E0D59">
      <w:pPr>
        <w:spacing w:after="0" w:line="360" w:lineRule="auto"/>
      </w:pPr>
      <w:r w:rsidRPr="00296D0C">
        <w:t>Table</w:t>
      </w:r>
      <w:r w:rsidR="00ED282A" w:rsidRPr="00296D0C">
        <w:t>s</w:t>
      </w:r>
      <w:r w:rsidRPr="00296D0C">
        <w:t xml:space="preserve"> </w:t>
      </w:r>
      <w:r w:rsidR="00EA501F" w:rsidRPr="00296D0C">
        <w:t>1</w:t>
      </w:r>
      <w:r w:rsidR="00AB5A7B">
        <w:t>1</w:t>
      </w:r>
      <w:r w:rsidR="008262D6" w:rsidRPr="00296D0C">
        <w:t xml:space="preserve">, </w:t>
      </w:r>
      <w:r w:rsidR="00EA501F" w:rsidRPr="00296D0C">
        <w:t>1</w:t>
      </w:r>
      <w:r w:rsidR="00AB5A7B">
        <w:t>2</w:t>
      </w:r>
      <w:r w:rsidR="00ED282A" w:rsidRPr="00296D0C">
        <w:t xml:space="preserve"> and </w:t>
      </w:r>
      <w:r w:rsidR="00EA501F" w:rsidRPr="00296D0C">
        <w:t>1</w:t>
      </w:r>
      <w:r w:rsidR="00AB5A7B">
        <w:t>3</w:t>
      </w:r>
      <w:r w:rsidRPr="00296D0C">
        <w:t xml:space="preserve"> shows the summarised data of the primary and secondary outcomes at 18 months post baseline. Overall fewer children were classified as overweight or obese </w:t>
      </w:r>
      <w:r w:rsidR="002F0A01" w:rsidRPr="00296D0C">
        <w:t>compared</w:t>
      </w:r>
      <w:r w:rsidRPr="00296D0C">
        <w:t xml:space="preserve"> </w:t>
      </w:r>
      <w:r w:rsidR="002F0A01" w:rsidRPr="00296D0C">
        <w:t>with</w:t>
      </w:r>
      <w:r w:rsidRPr="00296D0C">
        <w:t xml:space="preserve"> 24 months, </w:t>
      </w:r>
      <w:r w:rsidR="002F0A01" w:rsidRPr="00296D0C">
        <w:t>but</w:t>
      </w:r>
      <w:r w:rsidRPr="00296D0C">
        <w:t xml:space="preserve"> more children in the intervention group were already overweight or obese at 18 months than children in the control group (28.9% vs. 25.</w:t>
      </w:r>
      <w:r w:rsidR="00514712">
        <w:t>4</w:t>
      </w:r>
      <w:r w:rsidRPr="00296D0C">
        <w:t xml:space="preserve">%). Although not statistically significant, this difference was reflected in both the adjusted and unadjusted analyses, when the weight categories were modelled as an ordinal outcome. No violation of the proportional odds assumption was detected, according to the test of the Petersen-Harrel parameters from the generalised ordinal model (results not shown). </w:t>
      </w:r>
    </w:p>
    <w:p w14:paraId="6CCB5623" w14:textId="77777777" w:rsidR="004E0D59" w:rsidRPr="00296D0C" w:rsidRDefault="004E0D59" w:rsidP="004E0D59">
      <w:pPr>
        <w:spacing w:after="0" w:line="360" w:lineRule="auto"/>
      </w:pPr>
    </w:p>
    <w:p w14:paraId="4FB4805D" w14:textId="21E3E301" w:rsidR="004E0D59" w:rsidRPr="00296D0C" w:rsidRDefault="004E0D59" w:rsidP="004E0D59">
      <w:pPr>
        <w:spacing w:after="0" w:line="360" w:lineRule="auto"/>
      </w:pPr>
      <w:r w:rsidRPr="00296D0C">
        <w:t>The anthropometric outcomes at 18 months displayed a similar pattern to those at 24 months, with larger mean values for children in the intervention group compared to children in the control group and positive mean between-group differences (intervention minus control) from the unadjusted analyses, except for the standardised measurement of percentage body fat with extreme values included (extreme values defined as absolute standard scores greater or equal to five)</w:t>
      </w:r>
      <w:r w:rsidR="00ED282A" w:rsidRPr="00296D0C">
        <w:t xml:space="preserve"> (Table </w:t>
      </w:r>
      <w:r w:rsidR="00EA501F" w:rsidRPr="00296D0C">
        <w:t>1</w:t>
      </w:r>
      <w:r w:rsidR="00AB5A7B">
        <w:t>1</w:t>
      </w:r>
      <w:r w:rsidR="00ED282A" w:rsidRPr="00296D0C">
        <w:t>)</w:t>
      </w:r>
      <w:r w:rsidRPr="00296D0C">
        <w:t xml:space="preserve">. After adjustment for all the pre-specified variables, the mean between-group differences in anthropometric measurements were all negative, indicating lower values in the intervention group at 18 months compared to the control group. However, there was no evidence of a significant intervention effect for any of the anthropometric measures at 18 months. </w:t>
      </w:r>
    </w:p>
    <w:p w14:paraId="5AAD4F2B" w14:textId="77777777" w:rsidR="004E0D59" w:rsidRPr="00296D0C" w:rsidRDefault="004E0D59" w:rsidP="004E0D59">
      <w:pPr>
        <w:spacing w:after="0" w:line="360" w:lineRule="auto"/>
      </w:pPr>
    </w:p>
    <w:p w14:paraId="45C3073A" w14:textId="3E885DE1" w:rsidR="004E0D59" w:rsidRPr="00296D0C" w:rsidRDefault="004E0D59" w:rsidP="004E0D59">
      <w:pPr>
        <w:spacing w:after="0" w:line="360" w:lineRule="auto"/>
      </w:pPr>
      <w:r w:rsidRPr="00296D0C">
        <w:t>There was no significant effect of the intervention on any of the physical activity outcomes</w:t>
      </w:r>
      <w:r w:rsidR="00ED282A" w:rsidRPr="00296D0C">
        <w:t xml:space="preserve"> (Table </w:t>
      </w:r>
      <w:r w:rsidR="00EA501F" w:rsidRPr="00296D0C">
        <w:t>1</w:t>
      </w:r>
      <w:r w:rsidR="00AB5A7B">
        <w:t>2</w:t>
      </w:r>
      <w:r w:rsidR="004C65C5" w:rsidRPr="00296D0C">
        <w:t>)</w:t>
      </w:r>
      <w:r w:rsidRPr="00296D0C">
        <w:t xml:space="preserve">. Measures of physical activity, </w:t>
      </w:r>
      <w:r w:rsidR="002F0A01" w:rsidRPr="00296D0C">
        <w:t xml:space="preserve">average weekly volume and average time per day in each intensity category </w:t>
      </w:r>
      <w:r w:rsidRPr="00296D0C">
        <w:t>were all fractionally larger in the intervention group from a direct comparison of the mean values of the two groups and from both the unadjusted and adjusted analys</w:t>
      </w:r>
      <w:r w:rsidR="002F0A01" w:rsidRPr="00296D0C">
        <w:t>es. Conversely, the acceleromet</w:t>
      </w:r>
      <w:r w:rsidRPr="00296D0C">
        <w:t>r</w:t>
      </w:r>
      <w:r w:rsidR="002F0A01" w:rsidRPr="00296D0C">
        <w:t>y</w:t>
      </w:r>
      <w:r w:rsidRPr="00296D0C">
        <w:t xml:space="preserve"> data classified as sedentary behaviour (between </w:t>
      </w:r>
      <w:r w:rsidR="0078043F" w:rsidRPr="00296D0C">
        <w:t>6</w:t>
      </w:r>
      <w:r w:rsidR="002F0A01" w:rsidRPr="00296D0C">
        <w:t>am</w:t>
      </w:r>
      <w:r w:rsidR="0078043F" w:rsidRPr="00296D0C">
        <w:t xml:space="preserve"> and 10</w:t>
      </w:r>
      <w:r w:rsidR="002F0A01" w:rsidRPr="00296D0C">
        <w:t>pm</w:t>
      </w:r>
      <w:r w:rsidRPr="00296D0C">
        <w:t>) was, on average, lower in the intervention group. However, none of the observed differences was statistically significant.</w:t>
      </w:r>
    </w:p>
    <w:p w14:paraId="65F91768" w14:textId="77777777" w:rsidR="004E0D59" w:rsidRPr="00296D0C" w:rsidRDefault="004E0D59" w:rsidP="004E0D59">
      <w:pPr>
        <w:spacing w:after="0" w:line="360" w:lineRule="auto"/>
      </w:pPr>
    </w:p>
    <w:p w14:paraId="2003DABB" w14:textId="768AD0E4" w:rsidR="004E0D59" w:rsidRPr="00296D0C" w:rsidRDefault="004E0D59" w:rsidP="004E0D59">
      <w:pPr>
        <w:spacing w:line="360" w:lineRule="auto"/>
      </w:pPr>
      <w:r w:rsidRPr="00296D0C">
        <w:t xml:space="preserve">The mean scores of the FIQ outcomes averaged over the week were greater in the intervention group for </w:t>
      </w:r>
      <w:r w:rsidR="00E6558B" w:rsidRPr="00296D0C">
        <w:t>H</w:t>
      </w:r>
      <w:r w:rsidRPr="00296D0C">
        <w:t xml:space="preserve">ealthy </w:t>
      </w:r>
      <w:r w:rsidR="00E6558B" w:rsidRPr="00296D0C">
        <w:t>S</w:t>
      </w:r>
      <w:r w:rsidRPr="00296D0C">
        <w:t xml:space="preserve">nacks and </w:t>
      </w:r>
      <w:r w:rsidR="00E6558B" w:rsidRPr="00296D0C">
        <w:t>P</w:t>
      </w:r>
      <w:r w:rsidRPr="00296D0C">
        <w:t xml:space="preserve">ositive </w:t>
      </w:r>
      <w:r w:rsidR="00E6558B" w:rsidRPr="00296D0C">
        <w:t>F</w:t>
      </w:r>
      <w:r w:rsidRPr="00296D0C">
        <w:t xml:space="preserve">ood </w:t>
      </w:r>
      <w:r w:rsidR="00E6558B" w:rsidRPr="00296D0C">
        <w:t>M</w:t>
      </w:r>
      <w:r w:rsidRPr="00296D0C">
        <w:t xml:space="preserve">arkers and lower for the </w:t>
      </w:r>
      <w:r w:rsidR="00E6558B" w:rsidRPr="00296D0C">
        <w:t>E</w:t>
      </w:r>
      <w:r w:rsidRPr="00296D0C">
        <w:t xml:space="preserve">nergy </w:t>
      </w:r>
      <w:r w:rsidR="00E6558B" w:rsidRPr="00296D0C">
        <w:t>D</w:t>
      </w:r>
      <w:r w:rsidRPr="00296D0C">
        <w:t xml:space="preserve">ense </w:t>
      </w:r>
      <w:r w:rsidR="00E6558B" w:rsidRPr="00296D0C">
        <w:t>S</w:t>
      </w:r>
      <w:r w:rsidRPr="00296D0C">
        <w:t xml:space="preserve">nacks and </w:t>
      </w:r>
      <w:r w:rsidR="00E6558B" w:rsidRPr="00296D0C">
        <w:t>N</w:t>
      </w:r>
      <w:r w:rsidRPr="00296D0C">
        <w:t xml:space="preserve">egative </w:t>
      </w:r>
      <w:r w:rsidR="00E6558B" w:rsidRPr="00296D0C">
        <w:t>F</w:t>
      </w:r>
      <w:r w:rsidRPr="00296D0C">
        <w:t xml:space="preserve">ood </w:t>
      </w:r>
      <w:r w:rsidR="00E6558B" w:rsidRPr="00296D0C">
        <w:t>M</w:t>
      </w:r>
      <w:r w:rsidRPr="00296D0C">
        <w:t>arkers</w:t>
      </w:r>
      <w:r w:rsidR="00ED282A" w:rsidRPr="00296D0C">
        <w:t xml:space="preserve"> (Table </w:t>
      </w:r>
      <w:r w:rsidR="00EA501F" w:rsidRPr="00296D0C">
        <w:t>1</w:t>
      </w:r>
      <w:r w:rsidR="00AB5A7B">
        <w:t>3</w:t>
      </w:r>
      <w:r w:rsidR="00ED282A" w:rsidRPr="00296D0C">
        <w:t>)</w:t>
      </w:r>
      <w:r w:rsidRPr="00296D0C">
        <w:t xml:space="preserve">. These between-group differences were statistically significant in the unadjusted analysis for the </w:t>
      </w:r>
      <w:r w:rsidR="00E6558B" w:rsidRPr="00296D0C">
        <w:t>H</w:t>
      </w:r>
      <w:r w:rsidRPr="00296D0C">
        <w:t xml:space="preserve">ealthy </w:t>
      </w:r>
      <w:r w:rsidR="00E6558B" w:rsidRPr="00296D0C">
        <w:t>S</w:t>
      </w:r>
      <w:r w:rsidRPr="00296D0C">
        <w:t xml:space="preserve">nacks and </w:t>
      </w:r>
      <w:r w:rsidR="00E6558B" w:rsidRPr="00296D0C">
        <w:t>P</w:t>
      </w:r>
      <w:r w:rsidRPr="00296D0C">
        <w:t xml:space="preserve">ositive </w:t>
      </w:r>
      <w:r w:rsidR="00E6558B" w:rsidRPr="00296D0C">
        <w:t>F</w:t>
      </w:r>
      <w:r w:rsidRPr="00296D0C">
        <w:t xml:space="preserve">ood </w:t>
      </w:r>
      <w:r w:rsidR="00E6558B" w:rsidRPr="00296D0C">
        <w:t>M</w:t>
      </w:r>
      <w:r w:rsidRPr="00296D0C">
        <w:t xml:space="preserve">arkers. However, once the analysis was adjusted for baseline score, stratification variables and other potential confounders, these differences were no longer statistically significant, whilst the between-group differences for </w:t>
      </w:r>
      <w:r w:rsidR="00E6558B" w:rsidRPr="00296D0C">
        <w:t>E</w:t>
      </w:r>
      <w:r w:rsidRPr="00296D0C">
        <w:t xml:space="preserve">nergy </w:t>
      </w:r>
      <w:r w:rsidR="00E6558B" w:rsidRPr="00296D0C">
        <w:t>D</w:t>
      </w:r>
      <w:r w:rsidRPr="00296D0C">
        <w:t xml:space="preserve">ense </w:t>
      </w:r>
      <w:r w:rsidR="00E6558B" w:rsidRPr="00296D0C">
        <w:t>S</w:t>
      </w:r>
      <w:r w:rsidRPr="00296D0C">
        <w:t xml:space="preserve">nacks and </w:t>
      </w:r>
      <w:r w:rsidR="00E6558B" w:rsidRPr="00296D0C">
        <w:t>N</w:t>
      </w:r>
      <w:r w:rsidRPr="00296D0C">
        <w:t xml:space="preserve">egative </w:t>
      </w:r>
      <w:r w:rsidR="00E6558B" w:rsidRPr="00296D0C">
        <w:t>F</w:t>
      </w:r>
      <w:r w:rsidRPr="00296D0C">
        <w:t xml:space="preserve">ood </w:t>
      </w:r>
      <w:r w:rsidR="00E6558B" w:rsidRPr="00296D0C">
        <w:t>M</w:t>
      </w:r>
      <w:r w:rsidRPr="00296D0C">
        <w:t xml:space="preserve">arker scores were statistically significant in the adjusted </w:t>
      </w:r>
      <w:r w:rsidRPr="00296D0C">
        <w:lastRenderedPageBreak/>
        <w:t xml:space="preserve">analyses, with the strongest evidence of an intervention effect observed for </w:t>
      </w:r>
      <w:r w:rsidR="00E6558B" w:rsidRPr="00296D0C">
        <w:t>E</w:t>
      </w:r>
      <w:r w:rsidRPr="00296D0C">
        <w:t xml:space="preserve">nergy </w:t>
      </w:r>
      <w:r w:rsidR="00E6558B" w:rsidRPr="00296D0C">
        <w:t>D</w:t>
      </w:r>
      <w:r w:rsidRPr="00296D0C">
        <w:t xml:space="preserve">ense </w:t>
      </w:r>
      <w:r w:rsidR="00E6558B" w:rsidRPr="00296D0C">
        <w:t>S</w:t>
      </w:r>
      <w:r w:rsidRPr="00296D0C">
        <w:t xml:space="preserve">nacks (p-value = 0.017). According to the adjusted analysis, the mean average weekly scores for the intervention group </w:t>
      </w:r>
      <w:r w:rsidR="004C65C5" w:rsidRPr="00296D0C">
        <w:t>w</w:t>
      </w:r>
      <w:r w:rsidR="00514712">
        <w:t>ere</w:t>
      </w:r>
      <w:r w:rsidR="004C65C5" w:rsidRPr="00296D0C">
        <w:t xml:space="preserve"> </w:t>
      </w:r>
      <w:r w:rsidR="00507EB5" w:rsidRPr="00296D0C">
        <w:t>0.37 (95% CI: -0.66, -0.07) lower than for the control group for the Energy Dense Snacks score and 0.47 (95% CI: -0.91, -0.02) lower for the Negative Food Markers score.</w:t>
      </w:r>
    </w:p>
    <w:p w14:paraId="4EEB0BA1" w14:textId="63270535" w:rsidR="004E0D59" w:rsidRPr="00296D0C" w:rsidRDefault="00507EB5" w:rsidP="004E0D59">
      <w:pPr>
        <w:spacing w:line="360" w:lineRule="auto"/>
      </w:pPr>
      <w:r w:rsidRPr="00296D0C">
        <w:t>The pattern of differences observed</w:t>
      </w:r>
      <w:r w:rsidR="004E0D59" w:rsidRPr="00296D0C">
        <w:t xml:space="preserve"> for the weekly averaged FIQ outcomes was repeated for the weekday scores. There was weak evidence of between-group differences from the unadjusted analyses for the energy dense snacks and negative food marker scores, as well as for the healthy snacks score.  After adjustment for the pre-specified variables there was evidence of statistically significant differences for the energy dense snacks (p-value = 0.013) and negative food markers (</w:t>
      </w:r>
      <w:r w:rsidR="00FB3440" w:rsidRPr="00296D0C">
        <w:t xml:space="preserve">p-value = </w:t>
      </w:r>
      <w:r w:rsidR="004E0D59" w:rsidRPr="00296D0C">
        <w:t xml:space="preserve">0.020). The intervention effect sizes were of a similar magnitude and direction for the two unhealthy food scores, with the mean average weekday energy dense score being 0.47 (95% CI: -0.84, -0.11) lower in the intervention group compared to the control group, and 0.64 (95% CI: -1.17, -0.11) lower for the negative food markers score. </w:t>
      </w:r>
    </w:p>
    <w:p w14:paraId="02BC07B9" w14:textId="01124B16" w:rsidR="00F43C97" w:rsidRPr="00296D0C" w:rsidRDefault="00507EB5" w:rsidP="00F43C97">
      <w:pPr>
        <w:spacing w:line="360" w:lineRule="auto"/>
      </w:pPr>
      <w:r w:rsidRPr="00296D0C">
        <w:t>At the weekend, the pattern of the differences between the two groups was the same, with higher mean scores for healthy snacks and positive food markers and lower mean scores for energy dense snacks and negative food markers for the intervention group compared to the control group</w:t>
      </w:r>
      <w:r w:rsidR="004115E9" w:rsidRPr="00296D0C">
        <w:t xml:space="preserve"> (Table </w:t>
      </w:r>
      <w:r w:rsidR="00137CBC">
        <w:t>1</w:t>
      </w:r>
      <w:r w:rsidR="00AB5A7B">
        <w:t>3</w:t>
      </w:r>
      <w:r w:rsidR="004115E9" w:rsidRPr="00296D0C">
        <w:t>)</w:t>
      </w:r>
      <w:r w:rsidR="00A36D0F">
        <w:t xml:space="preserve">. </w:t>
      </w:r>
      <w:r w:rsidRPr="00296D0C">
        <w:t xml:space="preserve">The between-group differences for the healthy snacks and positive food markers scores were statistically significant in the unadjusted analyses (p-value = 0.035 and 0.030, respectively); however, after adjustment for the pre-specified variables, neither between-difference was statistically significant (p-value = </w:t>
      </w:r>
      <w:r w:rsidRPr="00296D0C">
        <w:rPr>
          <w:color w:val="000000"/>
        </w:rPr>
        <w:t>0.086 and 0.145, respectively).</w:t>
      </w:r>
      <w:r w:rsidRPr="00296D0C">
        <w:t xml:space="preserve"> </w:t>
      </w:r>
    </w:p>
    <w:p w14:paraId="26B0C44D" w14:textId="02810313" w:rsidR="004E0D59" w:rsidRPr="00296D0C" w:rsidRDefault="00DA5DC0" w:rsidP="00F43C97">
      <w:pPr>
        <w:spacing w:line="360" w:lineRule="auto"/>
        <w:rPr>
          <w:rFonts w:cs="Arial"/>
        </w:rPr>
      </w:pPr>
      <w:r w:rsidRPr="00296D0C">
        <w:rPr>
          <w:rFonts w:eastAsiaTheme="majorEastAsia" w:cs="Times New Roman"/>
          <w:b/>
          <w:bCs/>
        </w:rPr>
        <w:t xml:space="preserve"> </w:t>
      </w:r>
      <w:r w:rsidR="004E0D59" w:rsidRPr="00296D0C">
        <w:rPr>
          <w:rFonts w:eastAsiaTheme="majorEastAsia" w:cs="Times New Roman"/>
          <w:b/>
          <w:bCs/>
        </w:rPr>
        <w:t xml:space="preserve">Model diagnostics for the primary analysis of the secondary outcomes </w:t>
      </w:r>
    </w:p>
    <w:p w14:paraId="7B5B7863" w14:textId="35D7316E" w:rsidR="004F787F" w:rsidRPr="00296D0C" w:rsidRDefault="004E0D59" w:rsidP="004E0D59">
      <w:pPr>
        <w:spacing w:line="360" w:lineRule="auto"/>
      </w:pPr>
      <w:r w:rsidRPr="00296D0C">
        <w:t xml:space="preserve">Following the fitting of the full random effects models, plots of the residuals and best linear unbiased predictors for the random school intercept revealed no systematic deviation from the assumed distribution of the observations, required for linear mixed modelling, for all the secondary outcomes, with the exception of the FIQ scores when the weekday and weekend scores were modelled separately.  Given these model violations, the weekday and weekend FIQ scores were re-analysed as ordinal outcomes, after aggregating the sparser larger scores into a single category to leave five levels for each score.  The results from the ordinal models are shown in Table </w:t>
      </w:r>
      <w:r w:rsidR="00137CBC">
        <w:t>1</w:t>
      </w:r>
      <w:r w:rsidR="00AB5A7B">
        <w:t>4</w:t>
      </w:r>
      <w:r w:rsidRPr="00296D0C">
        <w:t xml:space="preserve">.  In summary, from the adjusted analyses, there remained evidence of statistically significant intervention effects for the weekday </w:t>
      </w:r>
      <w:r w:rsidR="000009C6" w:rsidRPr="00296D0C">
        <w:t>E</w:t>
      </w:r>
      <w:r w:rsidRPr="00296D0C">
        <w:t xml:space="preserve">nergy </w:t>
      </w:r>
      <w:r w:rsidR="000009C6" w:rsidRPr="00296D0C">
        <w:t>D</w:t>
      </w:r>
      <w:r w:rsidRPr="00296D0C">
        <w:t xml:space="preserve">ense </w:t>
      </w:r>
      <w:r w:rsidR="000009C6" w:rsidRPr="00296D0C">
        <w:t>S</w:t>
      </w:r>
      <w:r w:rsidRPr="00296D0C">
        <w:t xml:space="preserve">nacks (OR 0.68 (95% CI: 0.51, 0.90)) and </w:t>
      </w:r>
      <w:r w:rsidR="000009C6" w:rsidRPr="00296D0C">
        <w:t>N</w:t>
      </w:r>
      <w:r w:rsidRPr="00296D0C">
        <w:t xml:space="preserve">egative </w:t>
      </w:r>
      <w:r w:rsidR="000009C6" w:rsidRPr="00296D0C">
        <w:t>F</w:t>
      </w:r>
      <w:r w:rsidRPr="00296D0C">
        <w:t xml:space="preserve">ood </w:t>
      </w:r>
      <w:r w:rsidR="000009C6" w:rsidRPr="00296D0C">
        <w:t>M</w:t>
      </w:r>
      <w:r w:rsidRPr="00296D0C">
        <w:t>arker scores (OR 0.69 (95% CI: 0.5</w:t>
      </w:r>
      <w:r w:rsidR="00C8126B" w:rsidRPr="00296D0C">
        <w:t>2</w:t>
      </w:r>
      <w:r w:rsidRPr="00296D0C">
        <w:t xml:space="preserve">, 0.92)) </w:t>
      </w:r>
      <w:r w:rsidR="004F787F" w:rsidRPr="00296D0C">
        <w:t xml:space="preserve">indicating that children in the intervention group were more likely to have lower scores than children in the control group for </w:t>
      </w:r>
      <w:r w:rsidR="004F787F" w:rsidRPr="00296D0C">
        <w:lastRenderedPageBreak/>
        <w:t xml:space="preserve">either weekday </w:t>
      </w:r>
      <w:r w:rsidR="000009C6" w:rsidRPr="00296D0C">
        <w:t>N</w:t>
      </w:r>
      <w:r w:rsidR="004F787F" w:rsidRPr="00296D0C">
        <w:t xml:space="preserve">egative </w:t>
      </w:r>
      <w:r w:rsidR="000009C6" w:rsidRPr="00296D0C">
        <w:t>F</w:t>
      </w:r>
      <w:r w:rsidR="004F787F" w:rsidRPr="00296D0C">
        <w:t xml:space="preserve">ood </w:t>
      </w:r>
      <w:r w:rsidR="000009C6" w:rsidRPr="00296D0C">
        <w:t>B</w:t>
      </w:r>
      <w:r w:rsidR="004F787F" w:rsidRPr="00296D0C">
        <w:t xml:space="preserve">ehaviour categories. The odds ratio for the intervention effect for the weekend </w:t>
      </w:r>
      <w:r w:rsidR="000009C6" w:rsidRPr="00296D0C">
        <w:t>H</w:t>
      </w:r>
      <w:r w:rsidR="004F787F" w:rsidRPr="00296D0C">
        <w:t xml:space="preserve">ealthy </w:t>
      </w:r>
      <w:r w:rsidR="000009C6" w:rsidRPr="00296D0C">
        <w:t>S</w:t>
      </w:r>
      <w:r w:rsidR="004F787F" w:rsidRPr="00296D0C">
        <w:t xml:space="preserve">nacks score was 1.27 (95% CI: 1.00, 1.61), indicating that children in the intervention group may be more likely to have higher </w:t>
      </w:r>
      <w:r w:rsidR="000009C6" w:rsidRPr="00296D0C">
        <w:t>H</w:t>
      </w:r>
      <w:r w:rsidR="004F787F" w:rsidRPr="00296D0C">
        <w:t xml:space="preserve">ealthy </w:t>
      </w:r>
      <w:r w:rsidR="000009C6" w:rsidRPr="00296D0C">
        <w:t>S</w:t>
      </w:r>
      <w:r w:rsidR="004F787F" w:rsidRPr="00296D0C">
        <w:t>nacks scores at the weekend than children in the control group, although the 95% confidence interval does include the null value of one.</w:t>
      </w:r>
    </w:p>
    <w:p w14:paraId="2E9F7F17" w14:textId="04FA22F5" w:rsidR="004E0D59" w:rsidRPr="00296D0C" w:rsidRDefault="004E0D59" w:rsidP="004E0D59">
      <w:pPr>
        <w:spacing w:line="360" w:lineRule="auto"/>
      </w:pPr>
      <w:r w:rsidRPr="00296D0C">
        <w:t>As with the analyses of the weight status categories, the assumption of proportional odds was tested through fitting of the generalised ordinal model, with robust error variances, clustered on schools.  While the assumption of proportional odds was violated for some of the adjusted factors, the intervention effects from these models were similar to the pr</w:t>
      </w:r>
      <w:r w:rsidR="004115E9" w:rsidRPr="00296D0C">
        <w:t xml:space="preserve">esented results from the random </w:t>
      </w:r>
      <w:r w:rsidRPr="00296D0C">
        <w:t>effects models, differing in their coefficients by less than ±0.05. The test of the Petersen-Harrel parameters indicated marginally weak evidence of a violation of the proportional odds assumption for the intervention effect in the model for weekday energy-dense snacks (p-value = 0.049). This was observed to be due to different, larger effect in the sparser high energy-dense snack score categories.</w:t>
      </w:r>
    </w:p>
    <w:p w14:paraId="37DB62FB" w14:textId="77777777" w:rsidR="004E0D59" w:rsidRPr="00296D0C" w:rsidRDefault="004E0D59" w:rsidP="004E0D59">
      <w:r w:rsidRPr="00296D0C">
        <w:br w:type="page"/>
      </w:r>
    </w:p>
    <w:p w14:paraId="7D03AD66" w14:textId="77777777" w:rsidR="00020C42" w:rsidRPr="00296D0C" w:rsidRDefault="00020C42" w:rsidP="004E0D59">
      <w:pPr>
        <w:keepNext/>
        <w:spacing w:line="240" w:lineRule="auto"/>
        <w:rPr>
          <w:b/>
          <w:iCs/>
        </w:rPr>
        <w:sectPr w:rsidR="00020C42" w:rsidRPr="00296D0C" w:rsidSect="00020C42">
          <w:pgSz w:w="11906" w:h="16838"/>
          <w:pgMar w:top="1440" w:right="1440" w:bottom="1440" w:left="1440" w:header="709" w:footer="113" w:gutter="0"/>
          <w:cols w:space="708"/>
          <w:docGrid w:linePitch="360"/>
        </w:sectPr>
      </w:pPr>
    </w:p>
    <w:p w14:paraId="6BAF58F4" w14:textId="1B9029C6" w:rsidR="004E0D59" w:rsidRPr="00296D0C" w:rsidRDefault="006E4525" w:rsidP="00020C42">
      <w:pPr>
        <w:keepNext/>
        <w:tabs>
          <w:tab w:val="left" w:pos="1215"/>
        </w:tabs>
        <w:spacing w:line="240" w:lineRule="auto"/>
        <w:rPr>
          <w:b/>
          <w:iCs/>
        </w:rPr>
      </w:pPr>
      <w:r w:rsidRPr="00296D0C">
        <w:rPr>
          <w:b/>
          <w:iCs/>
        </w:rPr>
        <w:lastRenderedPageBreak/>
        <w:t>T</w:t>
      </w:r>
      <w:r w:rsidR="00EA501F" w:rsidRPr="00296D0C">
        <w:rPr>
          <w:b/>
          <w:iCs/>
        </w:rPr>
        <w:t>ABLE</w:t>
      </w:r>
      <w:r w:rsidRPr="00296D0C">
        <w:rPr>
          <w:b/>
          <w:iCs/>
        </w:rPr>
        <w:t xml:space="preserve"> </w:t>
      </w:r>
      <w:r w:rsidR="00EA501F" w:rsidRPr="00296D0C">
        <w:rPr>
          <w:b/>
          <w:iCs/>
        </w:rPr>
        <w:t>1</w:t>
      </w:r>
      <w:r w:rsidR="00AB5A7B">
        <w:rPr>
          <w:b/>
          <w:iCs/>
        </w:rPr>
        <w:t>1</w:t>
      </w:r>
      <w:r w:rsidRPr="00296D0C">
        <w:rPr>
          <w:b/>
          <w:i/>
          <w:iCs/>
        </w:rPr>
        <w:t xml:space="preserve"> </w:t>
      </w:r>
      <w:r w:rsidRPr="00296D0C">
        <w:rPr>
          <w:b/>
          <w:iCs/>
        </w:rPr>
        <w:t xml:space="preserve">Primary analysis, both adjusted and unadjusted, for weight status and </w:t>
      </w:r>
      <w:r w:rsidR="004115E9" w:rsidRPr="00296D0C">
        <w:rPr>
          <w:b/>
          <w:iCs/>
        </w:rPr>
        <w:t>other a</w:t>
      </w:r>
      <w:r w:rsidRPr="00296D0C">
        <w:rPr>
          <w:b/>
          <w:iCs/>
        </w:rPr>
        <w:t>nthropometric outcomes 18 months post baseline</w:t>
      </w:r>
    </w:p>
    <w:tbl>
      <w:tblPr>
        <w:tblW w:w="15367" w:type="dxa"/>
        <w:tblLook w:val="04A0" w:firstRow="1" w:lastRow="0" w:firstColumn="1" w:lastColumn="0" w:noHBand="0" w:noVBand="1"/>
      </w:tblPr>
      <w:tblGrid>
        <w:gridCol w:w="2268"/>
        <w:gridCol w:w="250"/>
        <w:gridCol w:w="364"/>
        <w:gridCol w:w="187"/>
        <w:gridCol w:w="1226"/>
        <w:gridCol w:w="142"/>
        <w:gridCol w:w="443"/>
        <w:gridCol w:w="142"/>
        <w:gridCol w:w="974"/>
        <w:gridCol w:w="142"/>
        <w:gridCol w:w="1255"/>
        <w:gridCol w:w="142"/>
        <w:gridCol w:w="1614"/>
        <w:gridCol w:w="142"/>
        <w:gridCol w:w="816"/>
        <w:gridCol w:w="142"/>
        <w:gridCol w:w="1406"/>
        <w:gridCol w:w="142"/>
        <w:gridCol w:w="1578"/>
        <w:gridCol w:w="142"/>
        <w:gridCol w:w="1710"/>
        <w:gridCol w:w="140"/>
      </w:tblGrid>
      <w:tr w:rsidR="004E0D59" w:rsidRPr="00296D0C" w14:paraId="5C13C2C9" w14:textId="77777777" w:rsidTr="00121A21">
        <w:trPr>
          <w:gridAfter w:val="1"/>
          <w:wAfter w:w="140" w:type="dxa"/>
          <w:trHeight w:val="300"/>
        </w:trPr>
        <w:tc>
          <w:tcPr>
            <w:tcW w:w="2518" w:type="dxa"/>
            <w:gridSpan w:val="2"/>
            <w:shd w:val="clear" w:color="auto" w:fill="00CCFF"/>
            <w:noWrap/>
            <w:vAlign w:val="center"/>
            <w:hideMark/>
          </w:tcPr>
          <w:p w14:paraId="40F466AD" w14:textId="77777777" w:rsidR="004E0D59" w:rsidRPr="00296D0C" w:rsidRDefault="004E0D59" w:rsidP="004E0D59">
            <w:pPr>
              <w:spacing w:after="0" w:line="240" w:lineRule="auto"/>
              <w:jc w:val="center"/>
              <w:rPr>
                <w:rFonts w:eastAsia="Times New Roman" w:cs="Times New Roman"/>
                <w:b/>
              </w:rPr>
            </w:pPr>
          </w:p>
        </w:tc>
        <w:tc>
          <w:tcPr>
            <w:tcW w:w="1777" w:type="dxa"/>
            <w:gridSpan w:val="3"/>
            <w:shd w:val="clear" w:color="auto" w:fill="00CCFF"/>
            <w:noWrap/>
            <w:vAlign w:val="center"/>
            <w:hideMark/>
          </w:tcPr>
          <w:p w14:paraId="7B13D32F" w14:textId="77777777" w:rsidR="004E0D59" w:rsidRPr="00296D0C" w:rsidRDefault="004E0D59" w:rsidP="004E0D59">
            <w:pPr>
              <w:spacing w:after="0" w:line="240" w:lineRule="auto"/>
              <w:jc w:val="center"/>
              <w:rPr>
                <w:rFonts w:eastAsia="Times New Roman" w:cs="Times New Roman"/>
                <w:b/>
                <w:color w:val="000000"/>
              </w:rPr>
            </w:pPr>
            <w:r w:rsidRPr="00296D0C">
              <w:rPr>
                <w:rFonts w:eastAsia="Times New Roman" w:cs="Times New Roman"/>
                <w:b/>
                <w:color w:val="000000"/>
              </w:rPr>
              <w:t>Intervention Group</w:t>
            </w:r>
          </w:p>
        </w:tc>
        <w:tc>
          <w:tcPr>
            <w:tcW w:w="1701" w:type="dxa"/>
            <w:gridSpan w:val="4"/>
            <w:shd w:val="clear" w:color="auto" w:fill="00CCFF"/>
            <w:noWrap/>
            <w:vAlign w:val="center"/>
            <w:hideMark/>
          </w:tcPr>
          <w:p w14:paraId="4299B832" w14:textId="77777777" w:rsidR="004E0D59" w:rsidRPr="00296D0C" w:rsidRDefault="004E0D59" w:rsidP="004E0D59">
            <w:pPr>
              <w:spacing w:after="0" w:line="240" w:lineRule="auto"/>
              <w:jc w:val="center"/>
              <w:rPr>
                <w:rFonts w:eastAsia="Times New Roman" w:cs="Times New Roman"/>
                <w:b/>
                <w:color w:val="000000"/>
              </w:rPr>
            </w:pPr>
            <w:r w:rsidRPr="00296D0C">
              <w:rPr>
                <w:rFonts w:eastAsia="Times New Roman" w:cs="Times New Roman"/>
                <w:b/>
                <w:color w:val="000000"/>
              </w:rPr>
              <w:t>Control Group</w:t>
            </w:r>
          </w:p>
        </w:tc>
        <w:tc>
          <w:tcPr>
            <w:tcW w:w="4111" w:type="dxa"/>
            <w:gridSpan w:val="6"/>
            <w:shd w:val="clear" w:color="auto" w:fill="00CCFF"/>
            <w:noWrap/>
            <w:vAlign w:val="center"/>
            <w:hideMark/>
          </w:tcPr>
          <w:p w14:paraId="1E3C3566" w14:textId="77777777" w:rsidR="004E0D59" w:rsidRPr="00296D0C" w:rsidRDefault="004E0D59" w:rsidP="004E0D59">
            <w:pPr>
              <w:spacing w:after="0" w:line="240" w:lineRule="auto"/>
              <w:jc w:val="center"/>
              <w:rPr>
                <w:rFonts w:eastAsia="Times New Roman" w:cs="Times New Roman"/>
                <w:b/>
                <w:color w:val="000000"/>
              </w:rPr>
            </w:pPr>
            <w:r w:rsidRPr="00296D0C">
              <w:rPr>
                <w:rFonts w:eastAsia="Times New Roman" w:cs="Times New Roman"/>
                <w:b/>
                <w:color w:val="000000"/>
              </w:rPr>
              <w:t>Adjusted analysis</w:t>
            </w:r>
          </w:p>
        </w:tc>
        <w:tc>
          <w:tcPr>
            <w:tcW w:w="5120" w:type="dxa"/>
            <w:gridSpan w:val="6"/>
            <w:shd w:val="clear" w:color="auto" w:fill="00CCFF"/>
            <w:vAlign w:val="center"/>
          </w:tcPr>
          <w:p w14:paraId="06D95EBA" w14:textId="77777777" w:rsidR="004E0D59" w:rsidRPr="00296D0C" w:rsidRDefault="004E0D59" w:rsidP="004E0D59">
            <w:pPr>
              <w:spacing w:after="0" w:line="240" w:lineRule="auto"/>
              <w:jc w:val="center"/>
              <w:rPr>
                <w:rFonts w:eastAsia="Times New Roman" w:cs="Times New Roman"/>
                <w:b/>
                <w:color w:val="000000"/>
              </w:rPr>
            </w:pPr>
            <w:r w:rsidRPr="00296D0C">
              <w:rPr>
                <w:rFonts w:eastAsia="Times New Roman" w:cs="Times New Roman"/>
                <w:b/>
                <w:color w:val="000000"/>
              </w:rPr>
              <w:t>Unadjusted analysis</w:t>
            </w:r>
          </w:p>
        </w:tc>
      </w:tr>
      <w:tr w:rsidR="004E0D59" w:rsidRPr="00296D0C" w14:paraId="615AB6CE" w14:textId="77777777" w:rsidTr="00121A21">
        <w:trPr>
          <w:gridAfter w:val="1"/>
          <w:wAfter w:w="140" w:type="dxa"/>
          <w:trHeight w:val="300"/>
        </w:trPr>
        <w:tc>
          <w:tcPr>
            <w:tcW w:w="2518" w:type="dxa"/>
            <w:gridSpan w:val="2"/>
            <w:tcBorders>
              <w:top w:val="nil"/>
              <w:left w:val="nil"/>
              <w:bottom w:val="nil"/>
              <w:right w:val="nil"/>
            </w:tcBorders>
            <w:shd w:val="clear" w:color="auto" w:fill="00CCFF"/>
            <w:noWrap/>
            <w:vAlign w:val="center"/>
            <w:hideMark/>
          </w:tcPr>
          <w:p w14:paraId="7D248237" w14:textId="77777777" w:rsidR="004E0D59" w:rsidRPr="00296D0C" w:rsidRDefault="004E0D59" w:rsidP="004E0D59">
            <w:pPr>
              <w:spacing w:after="0" w:line="240" w:lineRule="auto"/>
              <w:rPr>
                <w:rFonts w:eastAsia="Times New Roman" w:cs="Times New Roman"/>
                <w:color w:val="000000"/>
              </w:rPr>
            </w:pPr>
            <w:r w:rsidRPr="00296D0C">
              <w:rPr>
                <w:rFonts w:eastAsia="Times New Roman" w:cs="Times New Roman"/>
                <w:color w:val="000000"/>
              </w:rPr>
              <w:t>Weight status category</w:t>
            </w:r>
            <w:r w:rsidRPr="00296D0C">
              <w:rPr>
                <w:rFonts w:eastAsia="Times New Roman" w:cs="Times New Roman"/>
                <w:color w:val="000000"/>
                <w:vertAlign w:val="superscript"/>
              </w:rPr>
              <w:t>a</w:t>
            </w:r>
          </w:p>
        </w:tc>
        <w:tc>
          <w:tcPr>
            <w:tcW w:w="551" w:type="dxa"/>
            <w:gridSpan w:val="2"/>
            <w:tcBorders>
              <w:top w:val="nil"/>
              <w:left w:val="nil"/>
              <w:bottom w:val="nil"/>
              <w:right w:val="nil"/>
            </w:tcBorders>
            <w:shd w:val="clear" w:color="auto" w:fill="00CCFF"/>
            <w:noWrap/>
            <w:vAlign w:val="center"/>
            <w:hideMark/>
          </w:tcPr>
          <w:p w14:paraId="7CA47914"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n</w:t>
            </w:r>
          </w:p>
        </w:tc>
        <w:tc>
          <w:tcPr>
            <w:tcW w:w="1226" w:type="dxa"/>
            <w:tcBorders>
              <w:top w:val="nil"/>
              <w:left w:val="nil"/>
              <w:bottom w:val="nil"/>
              <w:right w:val="nil"/>
            </w:tcBorders>
            <w:shd w:val="clear" w:color="auto" w:fill="00CCFF"/>
            <w:noWrap/>
            <w:vAlign w:val="center"/>
            <w:hideMark/>
          </w:tcPr>
          <w:p w14:paraId="4CC5F345"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 of Group</w:t>
            </w:r>
          </w:p>
        </w:tc>
        <w:tc>
          <w:tcPr>
            <w:tcW w:w="585" w:type="dxa"/>
            <w:gridSpan w:val="2"/>
            <w:tcBorders>
              <w:top w:val="nil"/>
              <w:left w:val="nil"/>
              <w:bottom w:val="nil"/>
              <w:right w:val="nil"/>
            </w:tcBorders>
            <w:shd w:val="clear" w:color="auto" w:fill="00CCFF"/>
            <w:noWrap/>
            <w:vAlign w:val="center"/>
            <w:hideMark/>
          </w:tcPr>
          <w:p w14:paraId="61127368"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n</w:t>
            </w:r>
          </w:p>
        </w:tc>
        <w:tc>
          <w:tcPr>
            <w:tcW w:w="1116" w:type="dxa"/>
            <w:gridSpan w:val="2"/>
            <w:tcBorders>
              <w:top w:val="nil"/>
              <w:left w:val="nil"/>
              <w:bottom w:val="nil"/>
              <w:right w:val="nil"/>
            </w:tcBorders>
            <w:shd w:val="clear" w:color="auto" w:fill="00CCFF"/>
            <w:noWrap/>
            <w:vAlign w:val="center"/>
            <w:hideMark/>
          </w:tcPr>
          <w:p w14:paraId="1BE258B7"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 of Group</w:t>
            </w:r>
          </w:p>
        </w:tc>
        <w:tc>
          <w:tcPr>
            <w:tcW w:w="1397" w:type="dxa"/>
            <w:gridSpan w:val="2"/>
            <w:tcBorders>
              <w:top w:val="nil"/>
              <w:left w:val="nil"/>
              <w:bottom w:val="nil"/>
              <w:right w:val="nil"/>
            </w:tcBorders>
            <w:shd w:val="clear" w:color="auto" w:fill="00CCFF"/>
            <w:noWrap/>
            <w:vAlign w:val="center"/>
            <w:hideMark/>
          </w:tcPr>
          <w:p w14:paraId="55722897"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Total</w:t>
            </w:r>
          </w:p>
          <w:p w14:paraId="178C06F8"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n in analysis</w:t>
            </w:r>
          </w:p>
        </w:tc>
        <w:tc>
          <w:tcPr>
            <w:tcW w:w="1756" w:type="dxa"/>
            <w:gridSpan w:val="2"/>
            <w:tcBorders>
              <w:top w:val="nil"/>
              <w:left w:val="nil"/>
              <w:bottom w:val="nil"/>
              <w:right w:val="nil"/>
            </w:tcBorders>
            <w:shd w:val="clear" w:color="auto" w:fill="00CCFF"/>
            <w:noWrap/>
            <w:vAlign w:val="center"/>
            <w:hideMark/>
          </w:tcPr>
          <w:p w14:paraId="71F410F6"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 xml:space="preserve">Odds ratio  </w:t>
            </w:r>
          </w:p>
          <w:p w14:paraId="3B3BA866"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(95% CI)</w:t>
            </w:r>
          </w:p>
        </w:tc>
        <w:tc>
          <w:tcPr>
            <w:tcW w:w="958" w:type="dxa"/>
            <w:gridSpan w:val="2"/>
            <w:tcBorders>
              <w:top w:val="nil"/>
              <w:left w:val="nil"/>
              <w:bottom w:val="nil"/>
              <w:right w:val="nil"/>
            </w:tcBorders>
            <w:shd w:val="clear" w:color="auto" w:fill="00CCFF"/>
            <w:noWrap/>
            <w:vAlign w:val="center"/>
            <w:hideMark/>
          </w:tcPr>
          <w:p w14:paraId="7AB834C8"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p-value</w:t>
            </w:r>
          </w:p>
        </w:tc>
        <w:tc>
          <w:tcPr>
            <w:tcW w:w="1548" w:type="dxa"/>
            <w:gridSpan w:val="2"/>
            <w:tcBorders>
              <w:top w:val="nil"/>
              <w:left w:val="nil"/>
              <w:bottom w:val="nil"/>
              <w:right w:val="nil"/>
            </w:tcBorders>
            <w:shd w:val="clear" w:color="auto" w:fill="00CCFF"/>
            <w:vAlign w:val="center"/>
          </w:tcPr>
          <w:p w14:paraId="07CDD3CC"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Total</w:t>
            </w:r>
          </w:p>
          <w:p w14:paraId="7E42E563"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n in analysis</w:t>
            </w:r>
          </w:p>
        </w:tc>
        <w:tc>
          <w:tcPr>
            <w:tcW w:w="1720" w:type="dxa"/>
            <w:gridSpan w:val="2"/>
            <w:tcBorders>
              <w:top w:val="nil"/>
              <w:left w:val="nil"/>
              <w:bottom w:val="nil"/>
              <w:right w:val="nil"/>
            </w:tcBorders>
            <w:shd w:val="clear" w:color="auto" w:fill="00CCFF"/>
            <w:vAlign w:val="center"/>
          </w:tcPr>
          <w:p w14:paraId="67671494"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Odds ratio   (95% CI)</w:t>
            </w:r>
          </w:p>
        </w:tc>
        <w:tc>
          <w:tcPr>
            <w:tcW w:w="1852" w:type="dxa"/>
            <w:gridSpan w:val="2"/>
            <w:tcBorders>
              <w:top w:val="nil"/>
              <w:left w:val="nil"/>
              <w:bottom w:val="nil"/>
              <w:right w:val="nil"/>
            </w:tcBorders>
            <w:shd w:val="clear" w:color="auto" w:fill="00CCFF"/>
            <w:vAlign w:val="center"/>
          </w:tcPr>
          <w:p w14:paraId="788D574A"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p-value</w:t>
            </w:r>
          </w:p>
        </w:tc>
      </w:tr>
      <w:tr w:rsidR="004E0D59" w:rsidRPr="00296D0C" w14:paraId="220A9861" w14:textId="77777777" w:rsidTr="00121A21">
        <w:trPr>
          <w:gridAfter w:val="1"/>
          <w:wAfter w:w="140" w:type="dxa"/>
          <w:trHeight w:val="300"/>
        </w:trPr>
        <w:tc>
          <w:tcPr>
            <w:tcW w:w="2518" w:type="dxa"/>
            <w:gridSpan w:val="2"/>
            <w:tcBorders>
              <w:top w:val="nil"/>
              <w:left w:val="nil"/>
              <w:bottom w:val="nil"/>
              <w:right w:val="nil"/>
            </w:tcBorders>
            <w:shd w:val="clear" w:color="auto" w:fill="auto"/>
            <w:noWrap/>
            <w:vAlign w:val="center"/>
          </w:tcPr>
          <w:p w14:paraId="7023DFAA" w14:textId="77777777" w:rsidR="004E0D59" w:rsidRPr="00296D0C" w:rsidRDefault="004E0D59" w:rsidP="004E0D59">
            <w:pPr>
              <w:spacing w:after="0" w:line="240" w:lineRule="auto"/>
              <w:ind w:left="171"/>
              <w:rPr>
                <w:rFonts w:eastAsia="Times New Roman" w:cs="Times New Roman"/>
                <w:color w:val="000000"/>
              </w:rPr>
            </w:pPr>
            <w:r w:rsidRPr="00296D0C">
              <w:rPr>
                <w:rFonts w:eastAsia="Times New Roman" w:cs="Times New Roman"/>
                <w:color w:val="000000"/>
              </w:rPr>
              <w:t>Underweight &amp; healthy</w:t>
            </w:r>
          </w:p>
        </w:tc>
        <w:tc>
          <w:tcPr>
            <w:tcW w:w="551" w:type="dxa"/>
            <w:gridSpan w:val="2"/>
            <w:tcBorders>
              <w:top w:val="nil"/>
              <w:left w:val="nil"/>
              <w:bottom w:val="nil"/>
              <w:right w:val="nil"/>
            </w:tcBorders>
            <w:shd w:val="clear" w:color="auto" w:fill="auto"/>
            <w:noWrap/>
            <w:vAlign w:val="center"/>
          </w:tcPr>
          <w:p w14:paraId="2B486D01" w14:textId="77777777" w:rsidR="004E0D59" w:rsidRPr="00296D0C" w:rsidRDefault="004E0D59" w:rsidP="004E0D59">
            <w:pPr>
              <w:spacing w:after="0" w:line="240" w:lineRule="auto"/>
              <w:jc w:val="center"/>
              <w:rPr>
                <w:rFonts w:eastAsia="Times New Roman" w:cs="Times New Roman"/>
                <w:color w:val="000000"/>
              </w:rPr>
            </w:pPr>
            <w:r w:rsidRPr="00296D0C">
              <w:rPr>
                <w:color w:val="000000"/>
              </w:rPr>
              <w:t>458</w:t>
            </w:r>
          </w:p>
        </w:tc>
        <w:tc>
          <w:tcPr>
            <w:tcW w:w="1226" w:type="dxa"/>
            <w:tcBorders>
              <w:top w:val="nil"/>
              <w:left w:val="nil"/>
              <w:bottom w:val="nil"/>
              <w:right w:val="nil"/>
            </w:tcBorders>
            <w:shd w:val="clear" w:color="auto" w:fill="auto"/>
            <w:noWrap/>
            <w:vAlign w:val="center"/>
          </w:tcPr>
          <w:p w14:paraId="148A76BD" w14:textId="77777777" w:rsidR="004E0D59" w:rsidRPr="00296D0C" w:rsidRDefault="004E0D59" w:rsidP="004E0D59">
            <w:pPr>
              <w:spacing w:after="0" w:line="240" w:lineRule="auto"/>
              <w:jc w:val="center"/>
              <w:rPr>
                <w:rFonts w:eastAsia="Times New Roman" w:cs="Times New Roman"/>
              </w:rPr>
            </w:pPr>
            <w:r w:rsidRPr="00296D0C">
              <w:rPr>
                <w:color w:val="000000"/>
              </w:rPr>
              <w:t>71.1</w:t>
            </w:r>
          </w:p>
        </w:tc>
        <w:tc>
          <w:tcPr>
            <w:tcW w:w="585" w:type="dxa"/>
            <w:gridSpan w:val="2"/>
            <w:tcBorders>
              <w:top w:val="nil"/>
              <w:left w:val="nil"/>
              <w:bottom w:val="nil"/>
              <w:right w:val="nil"/>
            </w:tcBorders>
            <w:shd w:val="clear" w:color="auto" w:fill="auto"/>
            <w:noWrap/>
            <w:vAlign w:val="center"/>
          </w:tcPr>
          <w:p w14:paraId="1EF9ED0E" w14:textId="77777777" w:rsidR="004E0D59" w:rsidRPr="00296D0C" w:rsidRDefault="004E0D59" w:rsidP="004E0D59">
            <w:pPr>
              <w:spacing w:after="0" w:line="240" w:lineRule="auto"/>
              <w:jc w:val="center"/>
              <w:rPr>
                <w:rFonts w:eastAsia="Times New Roman" w:cs="Times New Roman"/>
              </w:rPr>
            </w:pPr>
            <w:r w:rsidRPr="00296D0C">
              <w:rPr>
                <w:color w:val="000000"/>
              </w:rPr>
              <w:t>463</w:t>
            </w:r>
          </w:p>
        </w:tc>
        <w:tc>
          <w:tcPr>
            <w:tcW w:w="1116" w:type="dxa"/>
            <w:gridSpan w:val="2"/>
            <w:tcBorders>
              <w:top w:val="nil"/>
              <w:left w:val="nil"/>
              <w:bottom w:val="nil"/>
              <w:right w:val="nil"/>
            </w:tcBorders>
            <w:shd w:val="clear" w:color="auto" w:fill="auto"/>
            <w:noWrap/>
            <w:vAlign w:val="center"/>
          </w:tcPr>
          <w:p w14:paraId="7507F4FE" w14:textId="77777777" w:rsidR="004E0D59" w:rsidRPr="00296D0C" w:rsidRDefault="004E0D59" w:rsidP="004E0D59">
            <w:pPr>
              <w:spacing w:after="0" w:line="240" w:lineRule="auto"/>
              <w:jc w:val="center"/>
              <w:rPr>
                <w:rFonts w:eastAsia="Times New Roman" w:cs="Times New Roman"/>
              </w:rPr>
            </w:pPr>
            <w:r w:rsidRPr="00296D0C">
              <w:rPr>
                <w:color w:val="000000"/>
              </w:rPr>
              <w:t>74.6</w:t>
            </w:r>
          </w:p>
        </w:tc>
        <w:tc>
          <w:tcPr>
            <w:tcW w:w="1397" w:type="dxa"/>
            <w:gridSpan w:val="2"/>
            <w:tcBorders>
              <w:top w:val="nil"/>
              <w:left w:val="nil"/>
              <w:bottom w:val="nil"/>
              <w:right w:val="nil"/>
            </w:tcBorders>
            <w:shd w:val="clear" w:color="auto" w:fill="auto"/>
            <w:noWrap/>
            <w:vAlign w:val="center"/>
          </w:tcPr>
          <w:p w14:paraId="4D4EBC58" w14:textId="77777777" w:rsidR="004E0D59" w:rsidRPr="00296D0C" w:rsidRDefault="004E0D59" w:rsidP="004E0D59">
            <w:pPr>
              <w:spacing w:after="0" w:line="240" w:lineRule="auto"/>
              <w:jc w:val="center"/>
              <w:rPr>
                <w:rFonts w:eastAsia="Times New Roman" w:cs="Times New Roman"/>
              </w:rPr>
            </w:pPr>
          </w:p>
        </w:tc>
        <w:tc>
          <w:tcPr>
            <w:tcW w:w="1756" w:type="dxa"/>
            <w:gridSpan w:val="2"/>
            <w:tcBorders>
              <w:top w:val="nil"/>
              <w:left w:val="nil"/>
              <w:bottom w:val="nil"/>
              <w:right w:val="nil"/>
            </w:tcBorders>
            <w:shd w:val="clear" w:color="auto" w:fill="auto"/>
            <w:noWrap/>
            <w:vAlign w:val="center"/>
          </w:tcPr>
          <w:p w14:paraId="609C5069" w14:textId="77777777" w:rsidR="004E0D59" w:rsidRPr="00296D0C" w:rsidRDefault="004E0D59" w:rsidP="004E0D59">
            <w:pPr>
              <w:spacing w:after="0" w:line="240" w:lineRule="auto"/>
              <w:jc w:val="center"/>
              <w:rPr>
                <w:rFonts w:eastAsia="Times New Roman" w:cs="Times New Roman"/>
              </w:rPr>
            </w:pPr>
          </w:p>
        </w:tc>
        <w:tc>
          <w:tcPr>
            <w:tcW w:w="958" w:type="dxa"/>
            <w:gridSpan w:val="2"/>
            <w:tcBorders>
              <w:top w:val="nil"/>
              <w:left w:val="nil"/>
              <w:bottom w:val="nil"/>
              <w:right w:val="nil"/>
            </w:tcBorders>
            <w:shd w:val="clear" w:color="auto" w:fill="auto"/>
            <w:noWrap/>
            <w:vAlign w:val="center"/>
          </w:tcPr>
          <w:p w14:paraId="67C5C12E" w14:textId="77777777" w:rsidR="004E0D59" w:rsidRPr="00296D0C" w:rsidRDefault="004E0D59" w:rsidP="004E0D59">
            <w:pPr>
              <w:spacing w:after="0" w:line="240" w:lineRule="auto"/>
              <w:jc w:val="center"/>
              <w:rPr>
                <w:rFonts w:eastAsia="Times New Roman" w:cs="Times New Roman"/>
              </w:rPr>
            </w:pPr>
          </w:p>
        </w:tc>
        <w:tc>
          <w:tcPr>
            <w:tcW w:w="1548" w:type="dxa"/>
            <w:gridSpan w:val="2"/>
            <w:tcBorders>
              <w:top w:val="nil"/>
              <w:left w:val="nil"/>
              <w:bottom w:val="nil"/>
              <w:right w:val="nil"/>
            </w:tcBorders>
            <w:vAlign w:val="center"/>
          </w:tcPr>
          <w:p w14:paraId="2890F746" w14:textId="77777777" w:rsidR="004E0D59" w:rsidRPr="00296D0C" w:rsidRDefault="004E0D59" w:rsidP="004E0D59">
            <w:pPr>
              <w:spacing w:after="0" w:line="240" w:lineRule="auto"/>
              <w:jc w:val="center"/>
              <w:rPr>
                <w:rFonts w:eastAsia="Times New Roman" w:cs="Times New Roman"/>
              </w:rPr>
            </w:pPr>
          </w:p>
        </w:tc>
        <w:tc>
          <w:tcPr>
            <w:tcW w:w="1720" w:type="dxa"/>
            <w:gridSpan w:val="2"/>
            <w:tcBorders>
              <w:top w:val="nil"/>
              <w:left w:val="nil"/>
              <w:bottom w:val="nil"/>
              <w:right w:val="nil"/>
            </w:tcBorders>
            <w:vAlign w:val="center"/>
          </w:tcPr>
          <w:p w14:paraId="5C6B120B" w14:textId="77777777" w:rsidR="004E0D59" w:rsidRPr="00296D0C" w:rsidRDefault="004E0D59" w:rsidP="004E0D59">
            <w:pPr>
              <w:spacing w:after="0" w:line="240" w:lineRule="auto"/>
              <w:jc w:val="center"/>
              <w:rPr>
                <w:rFonts w:eastAsia="Times New Roman" w:cs="Times New Roman"/>
              </w:rPr>
            </w:pPr>
          </w:p>
        </w:tc>
        <w:tc>
          <w:tcPr>
            <w:tcW w:w="1852" w:type="dxa"/>
            <w:gridSpan w:val="2"/>
            <w:tcBorders>
              <w:top w:val="nil"/>
              <w:left w:val="nil"/>
              <w:bottom w:val="nil"/>
              <w:right w:val="nil"/>
            </w:tcBorders>
            <w:vAlign w:val="center"/>
          </w:tcPr>
          <w:p w14:paraId="12A01321" w14:textId="77777777" w:rsidR="004E0D59" w:rsidRPr="00296D0C" w:rsidRDefault="004E0D59" w:rsidP="004E0D59">
            <w:pPr>
              <w:spacing w:after="0" w:line="240" w:lineRule="auto"/>
              <w:jc w:val="center"/>
              <w:rPr>
                <w:rFonts w:eastAsia="Times New Roman" w:cs="Times New Roman"/>
              </w:rPr>
            </w:pPr>
          </w:p>
        </w:tc>
      </w:tr>
      <w:tr w:rsidR="004E0D59" w:rsidRPr="00296D0C" w14:paraId="709BBEF9" w14:textId="77777777" w:rsidTr="00121A21">
        <w:trPr>
          <w:gridAfter w:val="1"/>
          <w:wAfter w:w="140" w:type="dxa"/>
          <w:trHeight w:val="300"/>
        </w:trPr>
        <w:tc>
          <w:tcPr>
            <w:tcW w:w="2518" w:type="dxa"/>
            <w:gridSpan w:val="2"/>
            <w:tcBorders>
              <w:top w:val="nil"/>
              <w:left w:val="nil"/>
              <w:bottom w:val="nil"/>
              <w:right w:val="nil"/>
            </w:tcBorders>
            <w:shd w:val="clear" w:color="auto" w:fill="auto"/>
            <w:noWrap/>
            <w:vAlign w:val="center"/>
          </w:tcPr>
          <w:p w14:paraId="0B848E58" w14:textId="77777777" w:rsidR="004E0D59" w:rsidRPr="00296D0C" w:rsidRDefault="004E0D59" w:rsidP="004E0D59">
            <w:pPr>
              <w:spacing w:after="0" w:line="240" w:lineRule="auto"/>
              <w:ind w:left="171"/>
              <w:rPr>
                <w:rFonts w:eastAsia="Times New Roman" w:cs="Times New Roman"/>
                <w:color w:val="000000"/>
              </w:rPr>
            </w:pPr>
            <w:r w:rsidRPr="00296D0C">
              <w:rPr>
                <w:rFonts w:eastAsia="Times New Roman" w:cs="Times New Roman"/>
                <w:color w:val="000000"/>
              </w:rPr>
              <w:t>Overweight</w:t>
            </w:r>
          </w:p>
        </w:tc>
        <w:tc>
          <w:tcPr>
            <w:tcW w:w="551" w:type="dxa"/>
            <w:gridSpan w:val="2"/>
            <w:tcBorders>
              <w:top w:val="nil"/>
              <w:left w:val="nil"/>
              <w:bottom w:val="nil"/>
              <w:right w:val="nil"/>
            </w:tcBorders>
            <w:shd w:val="clear" w:color="auto" w:fill="auto"/>
            <w:noWrap/>
            <w:vAlign w:val="center"/>
          </w:tcPr>
          <w:p w14:paraId="775575EB" w14:textId="77777777" w:rsidR="004E0D59" w:rsidRPr="00296D0C" w:rsidRDefault="004E0D59" w:rsidP="004E0D59">
            <w:pPr>
              <w:spacing w:after="0" w:line="240" w:lineRule="auto"/>
              <w:jc w:val="center"/>
              <w:rPr>
                <w:rFonts w:eastAsia="Times New Roman" w:cs="Times New Roman"/>
                <w:color w:val="000000"/>
              </w:rPr>
            </w:pPr>
            <w:r w:rsidRPr="00296D0C">
              <w:rPr>
                <w:color w:val="000000"/>
              </w:rPr>
              <w:t>87</w:t>
            </w:r>
          </w:p>
        </w:tc>
        <w:tc>
          <w:tcPr>
            <w:tcW w:w="1226" w:type="dxa"/>
            <w:tcBorders>
              <w:top w:val="nil"/>
              <w:left w:val="nil"/>
              <w:bottom w:val="nil"/>
              <w:right w:val="nil"/>
            </w:tcBorders>
            <w:shd w:val="clear" w:color="auto" w:fill="auto"/>
            <w:noWrap/>
            <w:vAlign w:val="center"/>
          </w:tcPr>
          <w:p w14:paraId="2499C22B" w14:textId="77777777" w:rsidR="004E0D59" w:rsidRPr="00296D0C" w:rsidRDefault="004E0D59" w:rsidP="004E0D59">
            <w:pPr>
              <w:spacing w:after="0" w:line="240" w:lineRule="auto"/>
              <w:jc w:val="center"/>
              <w:rPr>
                <w:rFonts w:eastAsia="Times New Roman" w:cs="Times New Roman"/>
              </w:rPr>
            </w:pPr>
            <w:r w:rsidRPr="00296D0C">
              <w:rPr>
                <w:color w:val="000000"/>
              </w:rPr>
              <w:t>13.5</w:t>
            </w:r>
          </w:p>
        </w:tc>
        <w:tc>
          <w:tcPr>
            <w:tcW w:w="585" w:type="dxa"/>
            <w:gridSpan w:val="2"/>
            <w:tcBorders>
              <w:top w:val="nil"/>
              <w:left w:val="nil"/>
              <w:bottom w:val="nil"/>
              <w:right w:val="nil"/>
            </w:tcBorders>
            <w:shd w:val="clear" w:color="auto" w:fill="auto"/>
            <w:noWrap/>
            <w:vAlign w:val="center"/>
          </w:tcPr>
          <w:p w14:paraId="39BAA099" w14:textId="77777777" w:rsidR="004E0D59" w:rsidRPr="00296D0C" w:rsidRDefault="004E0D59" w:rsidP="004E0D59">
            <w:pPr>
              <w:spacing w:after="0" w:line="240" w:lineRule="auto"/>
              <w:jc w:val="center"/>
              <w:rPr>
                <w:rFonts w:eastAsia="Times New Roman" w:cs="Times New Roman"/>
              </w:rPr>
            </w:pPr>
            <w:r w:rsidRPr="00296D0C">
              <w:rPr>
                <w:color w:val="000000"/>
              </w:rPr>
              <w:t>78</w:t>
            </w:r>
          </w:p>
        </w:tc>
        <w:tc>
          <w:tcPr>
            <w:tcW w:w="1116" w:type="dxa"/>
            <w:gridSpan w:val="2"/>
            <w:tcBorders>
              <w:top w:val="nil"/>
              <w:left w:val="nil"/>
              <w:bottom w:val="nil"/>
              <w:right w:val="nil"/>
            </w:tcBorders>
            <w:shd w:val="clear" w:color="auto" w:fill="auto"/>
            <w:noWrap/>
            <w:vAlign w:val="center"/>
          </w:tcPr>
          <w:p w14:paraId="47AFD12B" w14:textId="77777777" w:rsidR="004E0D59" w:rsidRPr="00296D0C" w:rsidRDefault="004E0D59" w:rsidP="004E0D59">
            <w:pPr>
              <w:spacing w:after="0" w:line="240" w:lineRule="auto"/>
              <w:jc w:val="center"/>
              <w:rPr>
                <w:rFonts w:eastAsia="Times New Roman" w:cs="Times New Roman"/>
              </w:rPr>
            </w:pPr>
            <w:r w:rsidRPr="00296D0C">
              <w:rPr>
                <w:color w:val="000000"/>
              </w:rPr>
              <w:t>12.6</w:t>
            </w:r>
          </w:p>
        </w:tc>
        <w:tc>
          <w:tcPr>
            <w:tcW w:w="1397" w:type="dxa"/>
            <w:gridSpan w:val="2"/>
            <w:tcBorders>
              <w:top w:val="nil"/>
              <w:left w:val="nil"/>
              <w:bottom w:val="nil"/>
              <w:right w:val="nil"/>
            </w:tcBorders>
            <w:shd w:val="clear" w:color="auto" w:fill="auto"/>
            <w:noWrap/>
            <w:vAlign w:val="center"/>
          </w:tcPr>
          <w:p w14:paraId="3EF83251" w14:textId="77777777" w:rsidR="004E0D59" w:rsidRPr="00296D0C" w:rsidRDefault="004E0D59" w:rsidP="004E0D59">
            <w:pPr>
              <w:spacing w:after="0" w:line="240" w:lineRule="auto"/>
              <w:jc w:val="center"/>
              <w:rPr>
                <w:rFonts w:eastAsia="Times New Roman" w:cs="Times New Roman"/>
              </w:rPr>
            </w:pPr>
          </w:p>
        </w:tc>
        <w:tc>
          <w:tcPr>
            <w:tcW w:w="1756" w:type="dxa"/>
            <w:gridSpan w:val="2"/>
            <w:tcBorders>
              <w:top w:val="nil"/>
              <w:left w:val="nil"/>
              <w:bottom w:val="nil"/>
              <w:right w:val="nil"/>
            </w:tcBorders>
            <w:shd w:val="clear" w:color="auto" w:fill="auto"/>
            <w:noWrap/>
            <w:vAlign w:val="center"/>
          </w:tcPr>
          <w:p w14:paraId="52AF2325" w14:textId="77777777" w:rsidR="004E0D59" w:rsidRPr="00296D0C" w:rsidRDefault="004E0D59" w:rsidP="004E0D59">
            <w:pPr>
              <w:spacing w:after="0" w:line="240" w:lineRule="auto"/>
              <w:jc w:val="center"/>
              <w:rPr>
                <w:rFonts w:eastAsia="Times New Roman" w:cs="Times New Roman"/>
              </w:rPr>
            </w:pPr>
          </w:p>
        </w:tc>
        <w:tc>
          <w:tcPr>
            <w:tcW w:w="958" w:type="dxa"/>
            <w:gridSpan w:val="2"/>
            <w:tcBorders>
              <w:top w:val="nil"/>
              <w:left w:val="nil"/>
              <w:bottom w:val="nil"/>
              <w:right w:val="nil"/>
            </w:tcBorders>
            <w:shd w:val="clear" w:color="auto" w:fill="auto"/>
            <w:noWrap/>
            <w:vAlign w:val="center"/>
          </w:tcPr>
          <w:p w14:paraId="23E4147D" w14:textId="77777777" w:rsidR="004E0D59" w:rsidRPr="00296D0C" w:rsidRDefault="004E0D59" w:rsidP="004E0D59">
            <w:pPr>
              <w:spacing w:after="0" w:line="240" w:lineRule="auto"/>
              <w:jc w:val="center"/>
              <w:rPr>
                <w:rFonts w:eastAsia="Times New Roman" w:cs="Times New Roman"/>
              </w:rPr>
            </w:pPr>
          </w:p>
        </w:tc>
        <w:tc>
          <w:tcPr>
            <w:tcW w:w="1548" w:type="dxa"/>
            <w:gridSpan w:val="2"/>
            <w:tcBorders>
              <w:top w:val="nil"/>
              <w:left w:val="nil"/>
              <w:bottom w:val="nil"/>
              <w:right w:val="nil"/>
            </w:tcBorders>
            <w:vAlign w:val="center"/>
          </w:tcPr>
          <w:p w14:paraId="7FF2D546" w14:textId="77777777" w:rsidR="004E0D59" w:rsidRPr="00296D0C" w:rsidRDefault="004E0D59" w:rsidP="004E0D59">
            <w:pPr>
              <w:spacing w:after="0" w:line="240" w:lineRule="auto"/>
              <w:jc w:val="center"/>
              <w:rPr>
                <w:rFonts w:eastAsia="Times New Roman" w:cs="Times New Roman"/>
              </w:rPr>
            </w:pPr>
          </w:p>
        </w:tc>
        <w:tc>
          <w:tcPr>
            <w:tcW w:w="1720" w:type="dxa"/>
            <w:gridSpan w:val="2"/>
            <w:tcBorders>
              <w:top w:val="nil"/>
              <w:left w:val="nil"/>
              <w:bottom w:val="nil"/>
              <w:right w:val="nil"/>
            </w:tcBorders>
            <w:vAlign w:val="center"/>
          </w:tcPr>
          <w:p w14:paraId="21ECE4C7" w14:textId="77777777" w:rsidR="004E0D59" w:rsidRPr="00296D0C" w:rsidRDefault="004E0D59" w:rsidP="004E0D59">
            <w:pPr>
              <w:spacing w:after="0" w:line="240" w:lineRule="auto"/>
              <w:jc w:val="center"/>
              <w:rPr>
                <w:rFonts w:eastAsia="Times New Roman" w:cs="Times New Roman"/>
              </w:rPr>
            </w:pPr>
          </w:p>
        </w:tc>
        <w:tc>
          <w:tcPr>
            <w:tcW w:w="1852" w:type="dxa"/>
            <w:gridSpan w:val="2"/>
            <w:tcBorders>
              <w:top w:val="nil"/>
              <w:left w:val="nil"/>
              <w:bottom w:val="nil"/>
              <w:right w:val="nil"/>
            </w:tcBorders>
            <w:vAlign w:val="center"/>
          </w:tcPr>
          <w:p w14:paraId="181173FF" w14:textId="77777777" w:rsidR="004E0D59" w:rsidRPr="00296D0C" w:rsidRDefault="004E0D59" w:rsidP="004E0D59">
            <w:pPr>
              <w:spacing w:after="0" w:line="240" w:lineRule="auto"/>
              <w:jc w:val="center"/>
              <w:rPr>
                <w:rFonts w:eastAsia="Times New Roman" w:cs="Times New Roman"/>
              </w:rPr>
            </w:pPr>
          </w:p>
        </w:tc>
      </w:tr>
      <w:tr w:rsidR="004E0D59" w:rsidRPr="00296D0C" w14:paraId="685992CB" w14:textId="77777777" w:rsidTr="00121A21">
        <w:trPr>
          <w:gridAfter w:val="1"/>
          <w:wAfter w:w="140" w:type="dxa"/>
          <w:trHeight w:val="300"/>
        </w:trPr>
        <w:tc>
          <w:tcPr>
            <w:tcW w:w="2518" w:type="dxa"/>
            <w:gridSpan w:val="2"/>
            <w:tcBorders>
              <w:top w:val="nil"/>
              <w:left w:val="nil"/>
              <w:bottom w:val="nil"/>
              <w:right w:val="nil"/>
            </w:tcBorders>
            <w:shd w:val="clear" w:color="auto" w:fill="auto"/>
            <w:noWrap/>
            <w:vAlign w:val="center"/>
          </w:tcPr>
          <w:p w14:paraId="21FA3F49" w14:textId="77777777" w:rsidR="004E0D59" w:rsidRPr="00296D0C" w:rsidRDefault="004E0D59" w:rsidP="004E0D59">
            <w:pPr>
              <w:spacing w:after="0" w:line="240" w:lineRule="auto"/>
              <w:ind w:left="171"/>
              <w:rPr>
                <w:rFonts w:eastAsia="Times New Roman" w:cs="Times New Roman"/>
                <w:color w:val="000000"/>
              </w:rPr>
            </w:pPr>
            <w:r w:rsidRPr="00296D0C">
              <w:rPr>
                <w:rFonts w:eastAsia="Times New Roman" w:cs="Times New Roman"/>
                <w:color w:val="000000"/>
              </w:rPr>
              <w:t>Obese</w:t>
            </w:r>
          </w:p>
        </w:tc>
        <w:tc>
          <w:tcPr>
            <w:tcW w:w="551" w:type="dxa"/>
            <w:gridSpan w:val="2"/>
            <w:tcBorders>
              <w:top w:val="nil"/>
              <w:left w:val="nil"/>
              <w:bottom w:val="nil"/>
              <w:right w:val="nil"/>
            </w:tcBorders>
            <w:shd w:val="clear" w:color="auto" w:fill="auto"/>
            <w:noWrap/>
            <w:vAlign w:val="center"/>
          </w:tcPr>
          <w:p w14:paraId="185A8B7E" w14:textId="77777777" w:rsidR="004E0D59" w:rsidRPr="00296D0C" w:rsidRDefault="004E0D59" w:rsidP="004E0D59">
            <w:pPr>
              <w:spacing w:after="0" w:line="240" w:lineRule="auto"/>
              <w:jc w:val="center"/>
              <w:rPr>
                <w:rFonts w:eastAsia="Times New Roman" w:cs="Times New Roman"/>
                <w:color w:val="000000"/>
              </w:rPr>
            </w:pPr>
            <w:r w:rsidRPr="00296D0C">
              <w:rPr>
                <w:color w:val="000000"/>
              </w:rPr>
              <w:t>99</w:t>
            </w:r>
          </w:p>
        </w:tc>
        <w:tc>
          <w:tcPr>
            <w:tcW w:w="1226" w:type="dxa"/>
            <w:tcBorders>
              <w:top w:val="nil"/>
              <w:left w:val="nil"/>
              <w:bottom w:val="nil"/>
              <w:right w:val="nil"/>
            </w:tcBorders>
            <w:shd w:val="clear" w:color="auto" w:fill="auto"/>
            <w:noWrap/>
            <w:vAlign w:val="center"/>
          </w:tcPr>
          <w:p w14:paraId="64A62E8C" w14:textId="77777777" w:rsidR="004E0D59" w:rsidRPr="00296D0C" w:rsidRDefault="004E0D59" w:rsidP="004E0D59">
            <w:pPr>
              <w:spacing w:after="0" w:line="240" w:lineRule="auto"/>
              <w:jc w:val="center"/>
              <w:rPr>
                <w:rFonts w:eastAsia="Times New Roman" w:cs="Times New Roman"/>
              </w:rPr>
            </w:pPr>
            <w:r w:rsidRPr="00296D0C">
              <w:rPr>
                <w:color w:val="000000"/>
              </w:rPr>
              <w:t>15.4</w:t>
            </w:r>
          </w:p>
        </w:tc>
        <w:tc>
          <w:tcPr>
            <w:tcW w:w="585" w:type="dxa"/>
            <w:gridSpan w:val="2"/>
            <w:tcBorders>
              <w:top w:val="nil"/>
              <w:left w:val="nil"/>
              <w:bottom w:val="nil"/>
              <w:right w:val="nil"/>
            </w:tcBorders>
            <w:shd w:val="clear" w:color="auto" w:fill="auto"/>
            <w:noWrap/>
            <w:vAlign w:val="center"/>
          </w:tcPr>
          <w:p w14:paraId="56549F87" w14:textId="77777777" w:rsidR="004E0D59" w:rsidRPr="00296D0C" w:rsidRDefault="004E0D59" w:rsidP="004E0D59">
            <w:pPr>
              <w:spacing w:after="0" w:line="240" w:lineRule="auto"/>
              <w:jc w:val="center"/>
              <w:rPr>
                <w:rFonts w:eastAsia="Times New Roman" w:cs="Times New Roman"/>
              </w:rPr>
            </w:pPr>
            <w:r w:rsidRPr="00296D0C">
              <w:rPr>
                <w:color w:val="000000"/>
              </w:rPr>
              <w:t>80</w:t>
            </w:r>
          </w:p>
        </w:tc>
        <w:tc>
          <w:tcPr>
            <w:tcW w:w="1116" w:type="dxa"/>
            <w:gridSpan w:val="2"/>
            <w:tcBorders>
              <w:top w:val="nil"/>
              <w:left w:val="nil"/>
              <w:bottom w:val="nil"/>
              <w:right w:val="nil"/>
            </w:tcBorders>
            <w:shd w:val="clear" w:color="auto" w:fill="auto"/>
            <w:noWrap/>
            <w:vAlign w:val="center"/>
          </w:tcPr>
          <w:p w14:paraId="0778E2C0" w14:textId="77777777" w:rsidR="004E0D59" w:rsidRPr="00296D0C" w:rsidRDefault="004E0D59" w:rsidP="004E0D59">
            <w:pPr>
              <w:spacing w:after="0" w:line="240" w:lineRule="auto"/>
              <w:jc w:val="center"/>
              <w:rPr>
                <w:rFonts w:eastAsia="Times New Roman" w:cs="Times New Roman"/>
              </w:rPr>
            </w:pPr>
            <w:r w:rsidRPr="00296D0C">
              <w:rPr>
                <w:color w:val="000000"/>
              </w:rPr>
              <w:t>12.9</w:t>
            </w:r>
          </w:p>
        </w:tc>
        <w:tc>
          <w:tcPr>
            <w:tcW w:w="1397" w:type="dxa"/>
            <w:gridSpan w:val="2"/>
            <w:tcBorders>
              <w:top w:val="nil"/>
              <w:left w:val="nil"/>
              <w:bottom w:val="nil"/>
              <w:right w:val="nil"/>
            </w:tcBorders>
            <w:shd w:val="clear" w:color="auto" w:fill="auto"/>
            <w:noWrap/>
            <w:vAlign w:val="center"/>
          </w:tcPr>
          <w:p w14:paraId="439F9805" w14:textId="77777777" w:rsidR="004E0D59" w:rsidRPr="00296D0C" w:rsidRDefault="004E0D59" w:rsidP="004E0D59">
            <w:pPr>
              <w:spacing w:after="0" w:line="240" w:lineRule="auto"/>
              <w:jc w:val="center"/>
              <w:rPr>
                <w:rFonts w:eastAsia="Times New Roman" w:cs="Times New Roman"/>
              </w:rPr>
            </w:pPr>
          </w:p>
        </w:tc>
        <w:tc>
          <w:tcPr>
            <w:tcW w:w="1756" w:type="dxa"/>
            <w:gridSpan w:val="2"/>
            <w:tcBorders>
              <w:top w:val="nil"/>
              <w:left w:val="nil"/>
              <w:bottom w:val="nil"/>
              <w:right w:val="nil"/>
            </w:tcBorders>
            <w:shd w:val="clear" w:color="auto" w:fill="auto"/>
            <w:noWrap/>
            <w:vAlign w:val="center"/>
          </w:tcPr>
          <w:p w14:paraId="5C97E177" w14:textId="77777777" w:rsidR="004E0D59" w:rsidRPr="00296D0C" w:rsidRDefault="004E0D59" w:rsidP="004E0D59">
            <w:pPr>
              <w:spacing w:after="0" w:line="240" w:lineRule="auto"/>
              <w:jc w:val="center"/>
              <w:rPr>
                <w:rFonts w:eastAsia="Times New Roman" w:cs="Times New Roman"/>
              </w:rPr>
            </w:pPr>
          </w:p>
        </w:tc>
        <w:tc>
          <w:tcPr>
            <w:tcW w:w="958" w:type="dxa"/>
            <w:gridSpan w:val="2"/>
            <w:tcBorders>
              <w:top w:val="nil"/>
              <w:left w:val="nil"/>
              <w:bottom w:val="nil"/>
              <w:right w:val="nil"/>
            </w:tcBorders>
            <w:shd w:val="clear" w:color="auto" w:fill="auto"/>
            <w:noWrap/>
            <w:vAlign w:val="center"/>
          </w:tcPr>
          <w:p w14:paraId="49B1706A" w14:textId="77777777" w:rsidR="004E0D59" w:rsidRPr="00296D0C" w:rsidRDefault="004E0D59" w:rsidP="004E0D59">
            <w:pPr>
              <w:spacing w:after="0" w:line="240" w:lineRule="auto"/>
              <w:jc w:val="center"/>
              <w:rPr>
                <w:rFonts w:eastAsia="Times New Roman" w:cs="Times New Roman"/>
              </w:rPr>
            </w:pPr>
          </w:p>
        </w:tc>
        <w:tc>
          <w:tcPr>
            <w:tcW w:w="1548" w:type="dxa"/>
            <w:gridSpan w:val="2"/>
            <w:tcBorders>
              <w:top w:val="nil"/>
              <w:left w:val="nil"/>
              <w:bottom w:val="nil"/>
              <w:right w:val="nil"/>
            </w:tcBorders>
            <w:vAlign w:val="center"/>
          </w:tcPr>
          <w:p w14:paraId="373278B6" w14:textId="77777777" w:rsidR="004E0D59" w:rsidRPr="00296D0C" w:rsidRDefault="004E0D59" w:rsidP="004E0D59">
            <w:pPr>
              <w:spacing w:after="0" w:line="240" w:lineRule="auto"/>
              <w:jc w:val="center"/>
              <w:rPr>
                <w:rFonts w:eastAsia="Times New Roman" w:cs="Times New Roman"/>
              </w:rPr>
            </w:pPr>
          </w:p>
        </w:tc>
        <w:tc>
          <w:tcPr>
            <w:tcW w:w="1720" w:type="dxa"/>
            <w:gridSpan w:val="2"/>
            <w:tcBorders>
              <w:top w:val="nil"/>
              <w:left w:val="nil"/>
              <w:bottom w:val="nil"/>
              <w:right w:val="nil"/>
            </w:tcBorders>
            <w:vAlign w:val="center"/>
          </w:tcPr>
          <w:p w14:paraId="264DAEAB" w14:textId="77777777" w:rsidR="004E0D59" w:rsidRPr="00296D0C" w:rsidRDefault="004E0D59" w:rsidP="004E0D59">
            <w:pPr>
              <w:spacing w:after="0" w:line="240" w:lineRule="auto"/>
              <w:jc w:val="center"/>
              <w:rPr>
                <w:rFonts w:eastAsia="Times New Roman" w:cs="Times New Roman"/>
              </w:rPr>
            </w:pPr>
          </w:p>
        </w:tc>
        <w:tc>
          <w:tcPr>
            <w:tcW w:w="1852" w:type="dxa"/>
            <w:gridSpan w:val="2"/>
            <w:tcBorders>
              <w:top w:val="nil"/>
              <w:left w:val="nil"/>
              <w:bottom w:val="nil"/>
              <w:right w:val="nil"/>
            </w:tcBorders>
            <w:vAlign w:val="center"/>
          </w:tcPr>
          <w:p w14:paraId="0D3293B7" w14:textId="77777777" w:rsidR="004E0D59" w:rsidRPr="00296D0C" w:rsidRDefault="004E0D59" w:rsidP="004E0D59">
            <w:pPr>
              <w:spacing w:after="0" w:line="240" w:lineRule="auto"/>
              <w:jc w:val="center"/>
              <w:rPr>
                <w:rFonts w:eastAsia="Times New Roman" w:cs="Times New Roman"/>
              </w:rPr>
            </w:pPr>
          </w:p>
        </w:tc>
      </w:tr>
      <w:tr w:rsidR="004E0D59" w:rsidRPr="00296D0C" w14:paraId="0A4B4DE8" w14:textId="77777777" w:rsidTr="00121A21">
        <w:trPr>
          <w:gridAfter w:val="1"/>
          <w:wAfter w:w="140" w:type="dxa"/>
          <w:trHeight w:val="300"/>
        </w:trPr>
        <w:tc>
          <w:tcPr>
            <w:tcW w:w="2518" w:type="dxa"/>
            <w:gridSpan w:val="2"/>
            <w:tcBorders>
              <w:top w:val="nil"/>
              <w:left w:val="nil"/>
              <w:bottom w:val="nil"/>
              <w:right w:val="nil"/>
            </w:tcBorders>
            <w:shd w:val="clear" w:color="auto" w:fill="auto"/>
            <w:noWrap/>
            <w:vAlign w:val="center"/>
          </w:tcPr>
          <w:p w14:paraId="4F61623E" w14:textId="77777777" w:rsidR="004E0D59" w:rsidRPr="00296D0C" w:rsidRDefault="004E0D59" w:rsidP="004E0D59">
            <w:pPr>
              <w:spacing w:after="0" w:line="240" w:lineRule="auto"/>
              <w:ind w:left="171"/>
              <w:rPr>
                <w:rFonts w:eastAsia="Times New Roman" w:cs="Times New Roman"/>
                <w:color w:val="000000"/>
              </w:rPr>
            </w:pPr>
            <w:r w:rsidRPr="00296D0C">
              <w:rPr>
                <w:rFonts w:eastAsia="Times New Roman" w:cs="Times New Roman"/>
                <w:color w:val="000000"/>
              </w:rPr>
              <w:t>Overweight &amp; obese</w:t>
            </w:r>
          </w:p>
        </w:tc>
        <w:tc>
          <w:tcPr>
            <w:tcW w:w="551" w:type="dxa"/>
            <w:gridSpan w:val="2"/>
            <w:tcBorders>
              <w:top w:val="nil"/>
              <w:left w:val="nil"/>
              <w:bottom w:val="nil"/>
              <w:right w:val="nil"/>
            </w:tcBorders>
            <w:shd w:val="clear" w:color="auto" w:fill="auto"/>
            <w:noWrap/>
            <w:vAlign w:val="center"/>
          </w:tcPr>
          <w:p w14:paraId="6602BEF6" w14:textId="77777777" w:rsidR="004E0D59" w:rsidRPr="00296D0C" w:rsidRDefault="004E0D59" w:rsidP="004E0D59">
            <w:pPr>
              <w:spacing w:after="0" w:line="240" w:lineRule="auto"/>
              <w:jc w:val="center"/>
              <w:rPr>
                <w:color w:val="000000"/>
              </w:rPr>
            </w:pPr>
            <w:r w:rsidRPr="00296D0C">
              <w:rPr>
                <w:color w:val="000000"/>
              </w:rPr>
              <w:t>186</w:t>
            </w:r>
          </w:p>
        </w:tc>
        <w:tc>
          <w:tcPr>
            <w:tcW w:w="1226" w:type="dxa"/>
            <w:tcBorders>
              <w:top w:val="nil"/>
              <w:left w:val="nil"/>
              <w:bottom w:val="nil"/>
              <w:right w:val="nil"/>
            </w:tcBorders>
            <w:shd w:val="clear" w:color="auto" w:fill="auto"/>
            <w:noWrap/>
            <w:vAlign w:val="center"/>
          </w:tcPr>
          <w:p w14:paraId="1264C66D" w14:textId="77777777" w:rsidR="004E0D59" w:rsidRPr="00296D0C" w:rsidRDefault="004E0D59" w:rsidP="004E0D59">
            <w:pPr>
              <w:spacing w:after="0" w:line="240" w:lineRule="auto"/>
              <w:jc w:val="center"/>
              <w:rPr>
                <w:color w:val="000000"/>
              </w:rPr>
            </w:pPr>
            <w:r w:rsidRPr="00296D0C">
              <w:rPr>
                <w:color w:val="000000"/>
              </w:rPr>
              <w:t>28.9</w:t>
            </w:r>
          </w:p>
        </w:tc>
        <w:tc>
          <w:tcPr>
            <w:tcW w:w="585" w:type="dxa"/>
            <w:gridSpan w:val="2"/>
            <w:tcBorders>
              <w:top w:val="nil"/>
              <w:left w:val="nil"/>
              <w:bottom w:val="nil"/>
              <w:right w:val="nil"/>
            </w:tcBorders>
            <w:shd w:val="clear" w:color="auto" w:fill="auto"/>
            <w:noWrap/>
            <w:vAlign w:val="center"/>
          </w:tcPr>
          <w:p w14:paraId="3F1CFC05" w14:textId="77777777" w:rsidR="004E0D59" w:rsidRPr="00296D0C" w:rsidRDefault="004E0D59" w:rsidP="004E0D59">
            <w:pPr>
              <w:spacing w:after="0" w:line="240" w:lineRule="auto"/>
              <w:jc w:val="center"/>
              <w:rPr>
                <w:color w:val="000000"/>
              </w:rPr>
            </w:pPr>
            <w:r w:rsidRPr="00296D0C">
              <w:rPr>
                <w:color w:val="000000"/>
              </w:rPr>
              <w:t>158</w:t>
            </w:r>
          </w:p>
        </w:tc>
        <w:tc>
          <w:tcPr>
            <w:tcW w:w="1116" w:type="dxa"/>
            <w:gridSpan w:val="2"/>
            <w:tcBorders>
              <w:top w:val="nil"/>
              <w:left w:val="nil"/>
              <w:bottom w:val="nil"/>
              <w:right w:val="nil"/>
            </w:tcBorders>
            <w:shd w:val="clear" w:color="auto" w:fill="auto"/>
            <w:noWrap/>
            <w:vAlign w:val="center"/>
          </w:tcPr>
          <w:p w14:paraId="55FD1D0A" w14:textId="77777777" w:rsidR="004E0D59" w:rsidRPr="00296D0C" w:rsidRDefault="004E0D59" w:rsidP="004E0D59">
            <w:pPr>
              <w:spacing w:after="0" w:line="240" w:lineRule="auto"/>
              <w:jc w:val="center"/>
              <w:rPr>
                <w:color w:val="000000"/>
              </w:rPr>
            </w:pPr>
            <w:r w:rsidRPr="00296D0C">
              <w:rPr>
                <w:color w:val="000000"/>
              </w:rPr>
              <w:t>25.4</w:t>
            </w:r>
          </w:p>
        </w:tc>
        <w:tc>
          <w:tcPr>
            <w:tcW w:w="1397" w:type="dxa"/>
            <w:gridSpan w:val="2"/>
            <w:tcBorders>
              <w:top w:val="nil"/>
              <w:left w:val="nil"/>
              <w:bottom w:val="nil"/>
              <w:right w:val="nil"/>
            </w:tcBorders>
            <w:shd w:val="clear" w:color="auto" w:fill="auto"/>
            <w:noWrap/>
            <w:vAlign w:val="center"/>
          </w:tcPr>
          <w:p w14:paraId="6A4FDE93" w14:textId="77777777" w:rsidR="004E0D59" w:rsidRPr="00296D0C" w:rsidRDefault="004E0D59" w:rsidP="004E0D59">
            <w:pPr>
              <w:spacing w:after="0" w:line="240" w:lineRule="auto"/>
              <w:jc w:val="center"/>
              <w:rPr>
                <w:rFonts w:eastAsia="Times New Roman" w:cs="Times New Roman"/>
              </w:rPr>
            </w:pPr>
          </w:p>
        </w:tc>
        <w:tc>
          <w:tcPr>
            <w:tcW w:w="1756" w:type="dxa"/>
            <w:gridSpan w:val="2"/>
            <w:tcBorders>
              <w:top w:val="nil"/>
              <w:left w:val="nil"/>
              <w:bottom w:val="nil"/>
              <w:right w:val="nil"/>
            </w:tcBorders>
            <w:shd w:val="clear" w:color="auto" w:fill="auto"/>
            <w:noWrap/>
            <w:vAlign w:val="center"/>
          </w:tcPr>
          <w:p w14:paraId="151A945B" w14:textId="77777777" w:rsidR="004E0D59" w:rsidRPr="00296D0C" w:rsidRDefault="004E0D59" w:rsidP="004E0D59">
            <w:pPr>
              <w:spacing w:after="0" w:line="240" w:lineRule="auto"/>
              <w:jc w:val="center"/>
              <w:rPr>
                <w:rFonts w:eastAsia="Times New Roman" w:cs="Times New Roman"/>
              </w:rPr>
            </w:pPr>
          </w:p>
        </w:tc>
        <w:tc>
          <w:tcPr>
            <w:tcW w:w="958" w:type="dxa"/>
            <w:gridSpan w:val="2"/>
            <w:tcBorders>
              <w:top w:val="nil"/>
              <w:left w:val="nil"/>
              <w:bottom w:val="nil"/>
              <w:right w:val="nil"/>
            </w:tcBorders>
            <w:shd w:val="clear" w:color="auto" w:fill="auto"/>
            <w:noWrap/>
            <w:vAlign w:val="center"/>
          </w:tcPr>
          <w:p w14:paraId="37BA3090" w14:textId="77777777" w:rsidR="004E0D59" w:rsidRPr="00296D0C" w:rsidRDefault="004E0D59" w:rsidP="004E0D59">
            <w:pPr>
              <w:spacing w:after="0" w:line="240" w:lineRule="auto"/>
              <w:jc w:val="center"/>
              <w:rPr>
                <w:rFonts w:eastAsia="Times New Roman" w:cs="Times New Roman"/>
              </w:rPr>
            </w:pPr>
          </w:p>
        </w:tc>
        <w:tc>
          <w:tcPr>
            <w:tcW w:w="1548" w:type="dxa"/>
            <w:gridSpan w:val="2"/>
            <w:tcBorders>
              <w:top w:val="nil"/>
              <w:left w:val="nil"/>
              <w:bottom w:val="nil"/>
              <w:right w:val="nil"/>
            </w:tcBorders>
            <w:vAlign w:val="center"/>
          </w:tcPr>
          <w:p w14:paraId="7CE5E56B" w14:textId="77777777" w:rsidR="004E0D59" w:rsidRPr="00296D0C" w:rsidRDefault="004E0D59" w:rsidP="004E0D59">
            <w:pPr>
              <w:spacing w:after="0" w:line="240" w:lineRule="auto"/>
              <w:jc w:val="center"/>
              <w:rPr>
                <w:rFonts w:eastAsia="Times New Roman" w:cs="Times New Roman"/>
              </w:rPr>
            </w:pPr>
          </w:p>
        </w:tc>
        <w:tc>
          <w:tcPr>
            <w:tcW w:w="1720" w:type="dxa"/>
            <w:gridSpan w:val="2"/>
            <w:tcBorders>
              <w:top w:val="nil"/>
              <w:left w:val="nil"/>
              <w:bottom w:val="nil"/>
              <w:right w:val="nil"/>
            </w:tcBorders>
            <w:vAlign w:val="center"/>
          </w:tcPr>
          <w:p w14:paraId="1A9F234C" w14:textId="77777777" w:rsidR="004E0D59" w:rsidRPr="00296D0C" w:rsidRDefault="004E0D59" w:rsidP="004E0D59">
            <w:pPr>
              <w:spacing w:after="0" w:line="240" w:lineRule="auto"/>
              <w:jc w:val="center"/>
              <w:rPr>
                <w:rFonts w:eastAsia="Times New Roman" w:cs="Times New Roman"/>
              </w:rPr>
            </w:pPr>
          </w:p>
        </w:tc>
        <w:tc>
          <w:tcPr>
            <w:tcW w:w="1852" w:type="dxa"/>
            <w:gridSpan w:val="2"/>
            <w:tcBorders>
              <w:top w:val="nil"/>
              <w:left w:val="nil"/>
              <w:bottom w:val="nil"/>
              <w:right w:val="nil"/>
            </w:tcBorders>
            <w:vAlign w:val="center"/>
          </w:tcPr>
          <w:p w14:paraId="6619E3F6" w14:textId="77777777" w:rsidR="004E0D59" w:rsidRPr="00296D0C" w:rsidRDefault="004E0D59" w:rsidP="004E0D59">
            <w:pPr>
              <w:spacing w:after="0" w:line="240" w:lineRule="auto"/>
              <w:jc w:val="center"/>
              <w:rPr>
                <w:rFonts w:eastAsia="Times New Roman" w:cs="Times New Roman"/>
              </w:rPr>
            </w:pPr>
          </w:p>
        </w:tc>
      </w:tr>
      <w:tr w:rsidR="004E0D59" w:rsidRPr="00296D0C" w14:paraId="6E568D49" w14:textId="77777777" w:rsidTr="00121A21">
        <w:trPr>
          <w:trHeight w:val="300"/>
        </w:trPr>
        <w:tc>
          <w:tcPr>
            <w:tcW w:w="2268" w:type="dxa"/>
            <w:tcBorders>
              <w:top w:val="nil"/>
              <w:left w:val="nil"/>
              <w:right w:val="nil"/>
            </w:tcBorders>
            <w:shd w:val="clear" w:color="auto" w:fill="auto"/>
            <w:noWrap/>
            <w:vAlign w:val="center"/>
          </w:tcPr>
          <w:p w14:paraId="05F8623A" w14:textId="77777777" w:rsidR="004E0D59" w:rsidRPr="00296D0C" w:rsidRDefault="004E0D59" w:rsidP="004E0D59">
            <w:pPr>
              <w:spacing w:after="0" w:line="240" w:lineRule="auto"/>
              <w:rPr>
                <w:rFonts w:eastAsia="Times New Roman" w:cs="Times New Roman"/>
                <w:color w:val="000000"/>
              </w:rPr>
            </w:pPr>
            <w:r w:rsidRPr="00296D0C">
              <w:rPr>
                <w:rFonts w:eastAsia="Times New Roman" w:cs="Times New Roman"/>
                <w:color w:val="000000"/>
              </w:rPr>
              <w:t>Ordinal logistic model</w:t>
            </w:r>
          </w:p>
        </w:tc>
        <w:tc>
          <w:tcPr>
            <w:tcW w:w="614" w:type="dxa"/>
            <w:gridSpan w:val="2"/>
            <w:tcBorders>
              <w:top w:val="nil"/>
              <w:left w:val="nil"/>
              <w:right w:val="nil"/>
            </w:tcBorders>
            <w:shd w:val="clear" w:color="auto" w:fill="auto"/>
            <w:noWrap/>
            <w:vAlign w:val="center"/>
          </w:tcPr>
          <w:p w14:paraId="24DCED3D" w14:textId="77777777" w:rsidR="004E0D59" w:rsidRPr="00296D0C" w:rsidRDefault="004E0D59" w:rsidP="004E0D59">
            <w:pPr>
              <w:spacing w:after="0" w:line="240" w:lineRule="auto"/>
              <w:jc w:val="center"/>
              <w:rPr>
                <w:rFonts w:eastAsia="Times New Roman" w:cs="Times New Roman"/>
                <w:color w:val="000000"/>
              </w:rPr>
            </w:pPr>
          </w:p>
        </w:tc>
        <w:tc>
          <w:tcPr>
            <w:tcW w:w="1555" w:type="dxa"/>
            <w:gridSpan w:val="3"/>
            <w:tcBorders>
              <w:top w:val="nil"/>
              <w:left w:val="nil"/>
              <w:right w:val="nil"/>
            </w:tcBorders>
            <w:shd w:val="clear" w:color="auto" w:fill="auto"/>
            <w:noWrap/>
            <w:vAlign w:val="center"/>
          </w:tcPr>
          <w:p w14:paraId="4A861068" w14:textId="77777777" w:rsidR="004E0D59" w:rsidRPr="00296D0C" w:rsidRDefault="004E0D59" w:rsidP="004E0D59">
            <w:pPr>
              <w:spacing w:after="0" w:line="240" w:lineRule="auto"/>
              <w:jc w:val="center"/>
              <w:rPr>
                <w:rFonts w:eastAsia="Times New Roman" w:cs="Times New Roman"/>
              </w:rPr>
            </w:pPr>
          </w:p>
        </w:tc>
        <w:tc>
          <w:tcPr>
            <w:tcW w:w="585" w:type="dxa"/>
            <w:gridSpan w:val="2"/>
            <w:tcBorders>
              <w:top w:val="nil"/>
              <w:left w:val="nil"/>
              <w:right w:val="nil"/>
            </w:tcBorders>
            <w:shd w:val="clear" w:color="auto" w:fill="auto"/>
            <w:noWrap/>
            <w:vAlign w:val="center"/>
          </w:tcPr>
          <w:p w14:paraId="1430380E" w14:textId="77777777" w:rsidR="004E0D59" w:rsidRPr="00296D0C" w:rsidRDefault="004E0D59" w:rsidP="004E0D59">
            <w:pPr>
              <w:spacing w:after="0" w:line="240" w:lineRule="auto"/>
              <w:jc w:val="center"/>
              <w:rPr>
                <w:rFonts w:eastAsia="Times New Roman" w:cs="Times New Roman"/>
              </w:rPr>
            </w:pPr>
          </w:p>
        </w:tc>
        <w:tc>
          <w:tcPr>
            <w:tcW w:w="1116" w:type="dxa"/>
            <w:gridSpan w:val="2"/>
            <w:tcBorders>
              <w:top w:val="nil"/>
              <w:left w:val="nil"/>
              <w:right w:val="nil"/>
            </w:tcBorders>
            <w:shd w:val="clear" w:color="auto" w:fill="auto"/>
            <w:noWrap/>
            <w:vAlign w:val="center"/>
          </w:tcPr>
          <w:p w14:paraId="18E33580" w14:textId="77777777" w:rsidR="004E0D59" w:rsidRPr="00296D0C" w:rsidRDefault="004E0D59" w:rsidP="004E0D59">
            <w:pPr>
              <w:spacing w:after="0" w:line="240" w:lineRule="auto"/>
              <w:jc w:val="center"/>
              <w:rPr>
                <w:rFonts w:eastAsia="Times New Roman" w:cs="Times New Roman"/>
              </w:rPr>
            </w:pPr>
          </w:p>
        </w:tc>
        <w:tc>
          <w:tcPr>
            <w:tcW w:w="1397" w:type="dxa"/>
            <w:gridSpan w:val="2"/>
            <w:tcBorders>
              <w:top w:val="nil"/>
              <w:left w:val="nil"/>
              <w:bottom w:val="nil"/>
              <w:right w:val="nil"/>
            </w:tcBorders>
            <w:shd w:val="clear" w:color="auto" w:fill="auto"/>
            <w:noWrap/>
            <w:vAlign w:val="center"/>
          </w:tcPr>
          <w:p w14:paraId="5F881CC1" w14:textId="77777777" w:rsidR="004E0D59" w:rsidRPr="00296D0C" w:rsidRDefault="004E0D59" w:rsidP="004E0D59">
            <w:pPr>
              <w:spacing w:after="0" w:line="240" w:lineRule="auto"/>
              <w:jc w:val="center"/>
              <w:rPr>
                <w:rFonts w:eastAsia="Times New Roman" w:cs="Times New Roman"/>
              </w:rPr>
            </w:pPr>
            <w:r w:rsidRPr="00296D0C">
              <w:rPr>
                <w:color w:val="000000"/>
              </w:rPr>
              <w:t>1259</w:t>
            </w:r>
          </w:p>
        </w:tc>
        <w:tc>
          <w:tcPr>
            <w:tcW w:w="1756" w:type="dxa"/>
            <w:gridSpan w:val="2"/>
            <w:tcBorders>
              <w:top w:val="nil"/>
              <w:left w:val="nil"/>
              <w:bottom w:val="nil"/>
              <w:right w:val="nil"/>
            </w:tcBorders>
            <w:shd w:val="clear" w:color="auto" w:fill="auto"/>
            <w:noWrap/>
            <w:vAlign w:val="center"/>
          </w:tcPr>
          <w:p w14:paraId="03C40D3B" w14:textId="1DE8AA6C" w:rsidR="004E0D59" w:rsidRPr="00296D0C" w:rsidRDefault="004E0D59" w:rsidP="004E0D59">
            <w:pPr>
              <w:spacing w:after="0" w:line="240" w:lineRule="auto"/>
              <w:jc w:val="center"/>
              <w:rPr>
                <w:color w:val="000000"/>
              </w:rPr>
            </w:pPr>
            <w:r w:rsidRPr="00296D0C">
              <w:rPr>
                <w:color w:val="000000"/>
              </w:rPr>
              <w:t>0.9</w:t>
            </w:r>
            <w:r w:rsidR="00B74FC9" w:rsidRPr="00296D0C">
              <w:rPr>
                <w:color w:val="000000"/>
              </w:rPr>
              <w:t>9</w:t>
            </w:r>
            <w:r w:rsidRPr="00296D0C">
              <w:rPr>
                <w:color w:val="000000"/>
              </w:rPr>
              <w:t xml:space="preserve"> </w:t>
            </w:r>
          </w:p>
          <w:p w14:paraId="133C403E" w14:textId="696D2143" w:rsidR="004E0D59" w:rsidRPr="00296D0C" w:rsidRDefault="004E0D59" w:rsidP="004E0D59">
            <w:pPr>
              <w:spacing w:after="0" w:line="240" w:lineRule="auto"/>
              <w:jc w:val="center"/>
              <w:rPr>
                <w:color w:val="000000"/>
              </w:rPr>
            </w:pPr>
            <w:r w:rsidRPr="00296D0C">
              <w:rPr>
                <w:color w:val="000000"/>
              </w:rPr>
              <w:t>(0.6</w:t>
            </w:r>
            <w:r w:rsidR="00B74FC9" w:rsidRPr="00296D0C">
              <w:rPr>
                <w:color w:val="000000"/>
              </w:rPr>
              <w:t>3</w:t>
            </w:r>
            <w:r w:rsidRPr="00296D0C">
              <w:rPr>
                <w:color w:val="000000"/>
              </w:rPr>
              <w:t>, 1.5</w:t>
            </w:r>
            <w:r w:rsidR="00B74FC9" w:rsidRPr="00296D0C">
              <w:rPr>
                <w:color w:val="000000"/>
              </w:rPr>
              <w:t>5</w:t>
            </w:r>
            <w:r w:rsidRPr="00296D0C">
              <w:rPr>
                <w:color w:val="000000"/>
              </w:rPr>
              <w:t>)</w:t>
            </w:r>
          </w:p>
          <w:p w14:paraId="097939A8" w14:textId="77777777" w:rsidR="004E0D59" w:rsidRPr="00296D0C" w:rsidRDefault="004E0D59" w:rsidP="004E0D59">
            <w:pPr>
              <w:spacing w:after="0" w:line="240" w:lineRule="auto"/>
              <w:jc w:val="center"/>
              <w:rPr>
                <w:rFonts w:eastAsia="Times New Roman" w:cs="Times New Roman"/>
              </w:rPr>
            </w:pPr>
          </w:p>
        </w:tc>
        <w:tc>
          <w:tcPr>
            <w:tcW w:w="958" w:type="dxa"/>
            <w:gridSpan w:val="2"/>
            <w:tcBorders>
              <w:top w:val="nil"/>
              <w:left w:val="nil"/>
              <w:bottom w:val="nil"/>
              <w:right w:val="nil"/>
            </w:tcBorders>
            <w:shd w:val="clear" w:color="auto" w:fill="auto"/>
            <w:noWrap/>
            <w:vAlign w:val="center"/>
          </w:tcPr>
          <w:p w14:paraId="0AA59F2D" w14:textId="77777777" w:rsidR="004E0D59" w:rsidRPr="00296D0C" w:rsidRDefault="004E0D59" w:rsidP="004E0D59">
            <w:pPr>
              <w:spacing w:after="0" w:line="240" w:lineRule="auto"/>
              <w:jc w:val="center"/>
              <w:rPr>
                <w:rFonts w:eastAsia="Times New Roman" w:cs="Times New Roman"/>
              </w:rPr>
            </w:pPr>
            <w:r w:rsidRPr="00296D0C">
              <w:rPr>
                <w:color w:val="000000"/>
              </w:rPr>
              <w:t>0.952</w:t>
            </w:r>
          </w:p>
        </w:tc>
        <w:tc>
          <w:tcPr>
            <w:tcW w:w="1548" w:type="dxa"/>
            <w:gridSpan w:val="2"/>
            <w:tcBorders>
              <w:top w:val="nil"/>
              <w:left w:val="nil"/>
              <w:bottom w:val="nil"/>
              <w:right w:val="nil"/>
            </w:tcBorders>
            <w:shd w:val="clear" w:color="auto" w:fill="auto"/>
            <w:vAlign w:val="center"/>
          </w:tcPr>
          <w:p w14:paraId="0ED83D38" w14:textId="77777777" w:rsidR="004E0D59" w:rsidRPr="00296D0C" w:rsidRDefault="004E0D59" w:rsidP="004E0D59">
            <w:pPr>
              <w:spacing w:after="0" w:line="240" w:lineRule="auto"/>
              <w:jc w:val="center"/>
              <w:rPr>
                <w:rFonts w:eastAsia="Times New Roman" w:cs="Times New Roman"/>
              </w:rPr>
            </w:pPr>
            <w:r w:rsidRPr="00296D0C">
              <w:rPr>
                <w:color w:val="000000"/>
              </w:rPr>
              <w:t>1265</w:t>
            </w:r>
          </w:p>
        </w:tc>
        <w:tc>
          <w:tcPr>
            <w:tcW w:w="1720" w:type="dxa"/>
            <w:gridSpan w:val="2"/>
            <w:tcBorders>
              <w:top w:val="nil"/>
              <w:left w:val="nil"/>
              <w:bottom w:val="nil"/>
              <w:right w:val="nil"/>
            </w:tcBorders>
            <w:shd w:val="clear" w:color="auto" w:fill="auto"/>
            <w:vAlign w:val="center"/>
          </w:tcPr>
          <w:p w14:paraId="18B145D8" w14:textId="71EE55AB" w:rsidR="004E0D59" w:rsidRPr="00296D0C" w:rsidRDefault="004E0D59" w:rsidP="004E0D59">
            <w:pPr>
              <w:spacing w:after="0" w:line="240" w:lineRule="auto"/>
              <w:jc w:val="center"/>
              <w:rPr>
                <w:color w:val="000000"/>
              </w:rPr>
            </w:pPr>
            <w:r w:rsidRPr="00296D0C">
              <w:rPr>
                <w:color w:val="000000"/>
              </w:rPr>
              <w:t xml:space="preserve">1.18 </w:t>
            </w:r>
          </w:p>
          <w:p w14:paraId="63D1214B" w14:textId="685FA4C1" w:rsidR="004E0D59" w:rsidRPr="00296D0C" w:rsidRDefault="004E0D59" w:rsidP="00B74FC9">
            <w:pPr>
              <w:spacing w:after="0" w:line="240" w:lineRule="auto"/>
              <w:jc w:val="center"/>
              <w:rPr>
                <w:rFonts w:eastAsia="Times New Roman" w:cs="Times New Roman"/>
              </w:rPr>
            </w:pPr>
            <w:r w:rsidRPr="00296D0C">
              <w:rPr>
                <w:color w:val="000000"/>
              </w:rPr>
              <w:t>(0.81, 1.72)</w:t>
            </w:r>
          </w:p>
        </w:tc>
        <w:tc>
          <w:tcPr>
            <w:tcW w:w="1850" w:type="dxa"/>
            <w:gridSpan w:val="2"/>
            <w:tcBorders>
              <w:top w:val="nil"/>
              <w:left w:val="nil"/>
              <w:bottom w:val="nil"/>
              <w:right w:val="nil"/>
            </w:tcBorders>
            <w:shd w:val="clear" w:color="auto" w:fill="auto"/>
            <w:vAlign w:val="center"/>
          </w:tcPr>
          <w:p w14:paraId="68F7326E" w14:textId="77777777" w:rsidR="004E0D59" w:rsidRPr="00296D0C" w:rsidRDefault="004E0D59" w:rsidP="004E0D59">
            <w:pPr>
              <w:spacing w:after="0" w:line="240" w:lineRule="auto"/>
              <w:jc w:val="center"/>
              <w:rPr>
                <w:rFonts w:eastAsia="Times New Roman" w:cs="Times New Roman"/>
              </w:rPr>
            </w:pPr>
            <w:r w:rsidRPr="00296D0C">
              <w:rPr>
                <w:color w:val="000000"/>
              </w:rPr>
              <w:t>0.379</w:t>
            </w:r>
          </w:p>
        </w:tc>
      </w:tr>
      <w:tr w:rsidR="004E0D59" w:rsidRPr="00296D0C" w14:paraId="22213B62" w14:textId="77777777" w:rsidTr="00121A21">
        <w:trPr>
          <w:gridAfter w:val="1"/>
          <w:wAfter w:w="140" w:type="dxa"/>
          <w:trHeight w:val="300"/>
        </w:trPr>
        <w:tc>
          <w:tcPr>
            <w:tcW w:w="2518" w:type="dxa"/>
            <w:gridSpan w:val="2"/>
            <w:tcBorders>
              <w:top w:val="nil"/>
              <w:left w:val="nil"/>
              <w:right w:val="nil"/>
            </w:tcBorders>
            <w:shd w:val="clear" w:color="auto" w:fill="00CCFF"/>
            <w:noWrap/>
            <w:vAlign w:val="center"/>
          </w:tcPr>
          <w:p w14:paraId="097715DF" w14:textId="77777777" w:rsidR="004E0D59" w:rsidRPr="00296D0C" w:rsidRDefault="004E0D59" w:rsidP="004E0D59">
            <w:pPr>
              <w:spacing w:after="0" w:line="240" w:lineRule="auto"/>
              <w:rPr>
                <w:rFonts w:eastAsia="Times New Roman" w:cs="Times New Roman"/>
                <w:color w:val="000000"/>
              </w:rPr>
            </w:pPr>
            <w:r w:rsidRPr="00296D0C">
              <w:rPr>
                <w:rFonts w:eastAsia="Times New Roman" w:cs="Times New Roman"/>
                <w:color w:val="000000"/>
              </w:rPr>
              <w:t>Anthropometric outcomes</w:t>
            </w:r>
          </w:p>
        </w:tc>
        <w:tc>
          <w:tcPr>
            <w:tcW w:w="551" w:type="dxa"/>
            <w:gridSpan w:val="2"/>
            <w:tcBorders>
              <w:top w:val="nil"/>
              <w:left w:val="nil"/>
              <w:right w:val="nil"/>
            </w:tcBorders>
            <w:shd w:val="clear" w:color="auto" w:fill="00CCFF"/>
            <w:noWrap/>
            <w:vAlign w:val="center"/>
          </w:tcPr>
          <w:p w14:paraId="388EB24D"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n</w:t>
            </w:r>
          </w:p>
        </w:tc>
        <w:tc>
          <w:tcPr>
            <w:tcW w:w="1226" w:type="dxa"/>
            <w:tcBorders>
              <w:top w:val="nil"/>
              <w:left w:val="nil"/>
              <w:right w:val="nil"/>
            </w:tcBorders>
            <w:shd w:val="clear" w:color="auto" w:fill="00CCFF"/>
            <w:noWrap/>
            <w:vAlign w:val="center"/>
          </w:tcPr>
          <w:p w14:paraId="555B06D8" w14:textId="77777777" w:rsidR="004E0D59" w:rsidRPr="00296D0C" w:rsidRDefault="004E0D59" w:rsidP="004E0D59">
            <w:pPr>
              <w:spacing w:after="0" w:line="240" w:lineRule="auto"/>
              <w:jc w:val="center"/>
              <w:rPr>
                <w:rFonts w:eastAsia="Times New Roman" w:cs="Times New Roman"/>
              </w:rPr>
            </w:pPr>
            <w:r w:rsidRPr="00296D0C">
              <w:rPr>
                <w:rFonts w:eastAsia="Times New Roman" w:cs="Times New Roman"/>
              </w:rPr>
              <w:t xml:space="preserve">Mean </w:t>
            </w:r>
          </w:p>
          <w:p w14:paraId="20226244" w14:textId="77777777" w:rsidR="004E0D59" w:rsidRPr="00296D0C" w:rsidRDefault="004E0D59" w:rsidP="004E0D59">
            <w:pPr>
              <w:spacing w:after="0" w:line="240" w:lineRule="auto"/>
              <w:jc w:val="center"/>
              <w:rPr>
                <w:rFonts w:eastAsia="Times New Roman" w:cs="Times New Roman"/>
              </w:rPr>
            </w:pPr>
            <w:r w:rsidRPr="00296D0C">
              <w:rPr>
                <w:rFonts w:eastAsia="Times New Roman" w:cs="Times New Roman"/>
              </w:rPr>
              <w:t>(SD)</w:t>
            </w:r>
          </w:p>
        </w:tc>
        <w:tc>
          <w:tcPr>
            <w:tcW w:w="585" w:type="dxa"/>
            <w:gridSpan w:val="2"/>
            <w:tcBorders>
              <w:top w:val="nil"/>
              <w:left w:val="nil"/>
              <w:right w:val="nil"/>
            </w:tcBorders>
            <w:shd w:val="clear" w:color="auto" w:fill="00CCFF"/>
            <w:noWrap/>
            <w:vAlign w:val="center"/>
          </w:tcPr>
          <w:p w14:paraId="62207D5A" w14:textId="77777777" w:rsidR="004E0D59" w:rsidRPr="00296D0C" w:rsidRDefault="004E0D59" w:rsidP="004E0D59">
            <w:pPr>
              <w:spacing w:after="0" w:line="240" w:lineRule="auto"/>
              <w:jc w:val="center"/>
              <w:rPr>
                <w:rFonts w:eastAsia="Times New Roman" w:cs="Times New Roman"/>
              </w:rPr>
            </w:pPr>
            <w:r w:rsidRPr="00296D0C">
              <w:rPr>
                <w:rFonts w:eastAsia="Times New Roman" w:cs="Times New Roman"/>
              </w:rPr>
              <w:t>n</w:t>
            </w:r>
          </w:p>
        </w:tc>
        <w:tc>
          <w:tcPr>
            <w:tcW w:w="1116" w:type="dxa"/>
            <w:gridSpan w:val="2"/>
            <w:tcBorders>
              <w:top w:val="nil"/>
              <w:left w:val="nil"/>
              <w:right w:val="nil"/>
            </w:tcBorders>
            <w:shd w:val="clear" w:color="auto" w:fill="00CCFF"/>
            <w:noWrap/>
            <w:vAlign w:val="center"/>
          </w:tcPr>
          <w:p w14:paraId="1375DDCF" w14:textId="77777777" w:rsidR="004E0D59" w:rsidRPr="00296D0C" w:rsidRDefault="004E0D59" w:rsidP="004E0D59">
            <w:pPr>
              <w:spacing w:after="0" w:line="240" w:lineRule="auto"/>
              <w:jc w:val="center"/>
              <w:rPr>
                <w:rFonts w:eastAsia="Times New Roman" w:cs="Times New Roman"/>
              </w:rPr>
            </w:pPr>
            <w:r w:rsidRPr="00296D0C">
              <w:rPr>
                <w:rFonts w:eastAsia="Times New Roman" w:cs="Times New Roman"/>
              </w:rPr>
              <w:t>Mean (SD)</w:t>
            </w:r>
          </w:p>
        </w:tc>
        <w:tc>
          <w:tcPr>
            <w:tcW w:w="1397" w:type="dxa"/>
            <w:gridSpan w:val="2"/>
            <w:tcBorders>
              <w:top w:val="nil"/>
              <w:left w:val="nil"/>
              <w:bottom w:val="nil"/>
              <w:right w:val="nil"/>
            </w:tcBorders>
            <w:shd w:val="clear" w:color="auto" w:fill="00CCFF"/>
            <w:noWrap/>
            <w:vAlign w:val="center"/>
          </w:tcPr>
          <w:p w14:paraId="2BCB0832"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Total</w:t>
            </w:r>
          </w:p>
          <w:p w14:paraId="27063045" w14:textId="77777777" w:rsidR="004E0D59" w:rsidRPr="00296D0C" w:rsidRDefault="004E0D59" w:rsidP="004E0D59">
            <w:pPr>
              <w:spacing w:after="0" w:line="240" w:lineRule="auto"/>
              <w:jc w:val="center"/>
              <w:rPr>
                <w:color w:val="000000"/>
              </w:rPr>
            </w:pPr>
            <w:r w:rsidRPr="00296D0C">
              <w:rPr>
                <w:rFonts w:eastAsia="Times New Roman" w:cs="Times New Roman"/>
                <w:color w:val="000000"/>
              </w:rPr>
              <w:t>n in analysis</w:t>
            </w:r>
            <w:r w:rsidRPr="00296D0C" w:rsidDel="007D631E">
              <w:rPr>
                <w:color w:val="000000"/>
              </w:rPr>
              <w:t xml:space="preserve"> </w:t>
            </w:r>
          </w:p>
        </w:tc>
        <w:tc>
          <w:tcPr>
            <w:tcW w:w="1756" w:type="dxa"/>
            <w:gridSpan w:val="2"/>
            <w:tcBorders>
              <w:top w:val="nil"/>
              <w:left w:val="nil"/>
              <w:bottom w:val="nil"/>
              <w:right w:val="nil"/>
            </w:tcBorders>
            <w:shd w:val="clear" w:color="auto" w:fill="00CCFF"/>
            <w:noWrap/>
            <w:vAlign w:val="center"/>
          </w:tcPr>
          <w:p w14:paraId="33769332" w14:textId="77777777" w:rsidR="004E0D59" w:rsidRPr="00296D0C" w:rsidRDefault="004E0D59" w:rsidP="004E0D59">
            <w:pPr>
              <w:spacing w:after="0" w:line="240" w:lineRule="auto"/>
              <w:jc w:val="center"/>
              <w:rPr>
                <w:color w:val="000000"/>
              </w:rPr>
            </w:pPr>
            <w:r w:rsidRPr="00296D0C">
              <w:rPr>
                <w:color w:val="000000"/>
              </w:rPr>
              <w:t>Mean difference</w:t>
            </w:r>
          </w:p>
          <w:p w14:paraId="66F9AD9E" w14:textId="77777777" w:rsidR="004E0D59" w:rsidRPr="00296D0C" w:rsidRDefault="004E0D59" w:rsidP="004E0D59">
            <w:pPr>
              <w:spacing w:after="0" w:line="240" w:lineRule="auto"/>
              <w:jc w:val="center"/>
              <w:rPr>
                <w:color w:val="000000"/>
              </w:rPr>
            </w:pPr>
            <w:r w:rsidRPr="00296D0C">
              <w:rPr>
                <w:color w:val="000000"/>
              </w:rPr>
              <w:t xml:space="preserve"> (95% CI)</w:t>
            </w:r>
          </w:p>
        </w:tc>
        <w:tc>
          <w:tcPr>
            <w:tcW w:w="958" w:type="dxa"/>
            <w:gridSpan w:val="2"/>
            <w:tcBorders>
              <w:top w:val="nil"/>
              <w:left w:val="nil"/>
              <w:bottom w:val="nil"/>
              <w:right w:val="nil"/>
            </w:tcBorders>
            <w:shd w:val="clear" w:color="auto" w:fill="00CCFF"/>
            <w:noWrap/>
            <w:vAlign w:val="center"/>
          </w:tcPr>
          <w:p w14:paraId="1386790B" w14:textId="77777777" w:rsidR="004E0D59" w:rsidRPr="00296D0C" w:rsidRDefault="004E0D59" w:rsidP="004E0D59">
            <w:pPr>
              <w:spacing w:after="0" w:line="240" w:lineRule="auto"/>
              <w:jc w:val="center"/>
              <w:rPr>
                <w:color w:val="000000"/>
              </w:rPr>
            </w:pPr>
            <w:r w:rsidRPr="00296D0C">
              <w:rPr>
                <w:color w:val="000000"/>
              </w:rPr>
              <w:t>p-value</w:t>
            </w:r>
          </w:p>
        </w:tc>
        <w:tc>
          <w:tcPr>
            <w:tcW w:w="1548" w:type="dxa"/>
            <w:gridSpan w:val="2"/>
            <w:tcBorders>
              <w:top w:val="nil"/>
              <w:left w:val="nil"/>
              <w:bottom w:val="nil"/>
              <w:right w:val="nil"/>
            </w:tcBorders>
            <w:shd w:val="clear" w:color="auto" w:fill="00CCFF"/>
            <w:vAlign w:val="center"/>
          </w:tcPr>
          <w:p w14:paraId="28DE4B07"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Total</w:t>
            </w:r>
          </w:p>
          <w:p w14:paraId="72F10F93" w14:textId="77777777" w:rsidR="004E0D59" w:rsidRPr="00296D0C" w:rsidRDefault="004E0D59" w:rsidP="004E0D59">
            <w:pPr>
              <w:spacing w:after="0" w:line="240" w:lineRule="auto"/>
              <w:jc w:val="center"/>
              <w:rPr>
                <w:color w:val="000000"/>
              </w:rPr>
            </w:pPr>
            <w:r w:rsidRPr="00296D0C">
              <w:rPr>
                <w:rFonts w:eastAsia="Times New Roman" w:cs="Times New Roman"/>
                <w:color w:val="000000"/>
              </w:rPr>
              <w:t>n in analysis</w:t>
            </w:r>
            <w:r w:rsidRPr="00296D0C" w:rsidDel="007D631E">
              <w:rPr>
                <w:color w:val="000000"/>
              </w:rPr>
              <w:t xml:space="preserve"> </w:t>
            </w:r>
          </w:p>
        </w:tc>
        <w:tc>
          <w:tcPr>
            <w:tcW w:w="1720" w:type="dxa"/>
            <w:gridSpan w:val="2"/>
            <w:tcBorders>
              <w:top w:val="nil"/>
              <w:left w:val="nil"/>
              <w:bottom w:val="nil"/>
              <w:right w:val="nil"/>
            </w:tcBorders>
            <w:shd w:val="clear" w:color="auto" w:fill="00CCFF"/>
            <w:vAlign w:val="center"/>
          </w:tcPr>
          <w:p w14:paraId="24EF77E9" w14:textId="77777777" w:rsidR="004E0D59" w:rsidRPr="00296D0C" w:rsidRDefault="004E0D59" w:rsidP="004E0D59">
            <w:pPr>
              <w:spacing w:after="0" w:line="240" w:lineRule="auto"/>
              <w:jc w:val="center"/>
              <w:rPr>
                <w:color w:val="000000"/>
              </w:rPr>
            </w:pPr>
            <w:r w:rsidRPr="00296D0C">
              <w:rPr>
                <w:color w:val="000000"/>
              </w:rPr>
              <w:t>Mean difference (95% CI)</w:t>
            </w:r>
          </w:p>
        </w:tc>
        <w:tc>
          <w:tcPr>
            <w:tcW w:w="1852" w:type="dxa"/>
            <w:gridSpan w:val="2"/>
            <w:tcBorders>
              <w:top w:val="nil"/>
              <w:left w:val="nil"/>
              <w:bottom w:val="nil"/>
              <w:right w:val="nil"/>
            </w:tcBorders>
            <w:shd w:val="clear" w:color="auto" w:fill="00CCFF"/>
            <w:vAlign w:val="center"/>
          </w:tcPr>
          <w:p w14:paraId="11D7E2B7" w14:textId="77777777" w:rsidR="004E0D59" w:rsidRPr="00296D0C" w:rsidRDefault="004E0D59" w:rsidP="004E0D59">
            <w:pPr>
              <w:spacing w:after="0" w:line="240" w:lineRule="auto"/>
              <w:jc w:val="center"/>
              <w:rPr>
                <w:color w:val="000000"/>
              </w:rPr>
            </w:pPr>
            <w:r w:rsidRPr="00296D0C">
              <w:rPr>
                <w:color w:val="000000"/>
              </w:rPr>
              <w:t>p-value</w:t>
            </w:r>
          </w:p>
        </w:tc>
      </w:tr>
      <w:tr w:rsidR="004E0D59" w:rsidRPr="00296D0C" w14:paraId="7144BD97" w14:textId="77777777" w:rsidTr="00121A21">
        <w:trPr>
          <w:gridAfter w:val="1"/>
          <w:wAfter w:w="140" w:type="dxa"/>
          <w:trHeight w:val="300"/>
        </w:trPr>
        <w:tc>
          <w:tcPr>
            <w:tcW w:w="2518" w:type="dxa"/>
            <w:gridSpan w:val="2"/>
            <w:tcBorders>
              <w:top w:val="nil"/>
              <w:left w:val="nil"/>
              <w:right w:val="nil"/>
            </w:tcBorders>
            <w:shd w:val="clear" w:color="auto" w:fill="auto"/>
            <w:noWrap/>
            <w:vAlign w:val="center"/>
          </w:tcPr>
          <w:p w14:paraId="6FEFDB37" w14:textId="77777777" w:rsidR="004E0D59" w:rsidRPr="00296D0C" w:rsidRDefault="009D1C7F" w:rsidP="004E0D59">
            <w:pPr>
              <w:spacing w:after="0" w:line="240" w:lineRule="auto"/>
              <w:rPr>
                <w:rFonts w:eastAsia="Times New Roman" w:cs="Times New Roman"/>
                <w:b/>
                <w:color w:val="000000"/>
              </w:rPr>
            </w:pPr>
            <w:r w:rsidRPr="00296D0C">
              <w:rPr>
                <w:rFonts w:eastAsia="Times New Roman" w:cs="Times New Roman"/>
                <w:b/>
                <w:color w:val="000000"/>
              </w:rPr>
              <w:t>BMI SDS</w:t>
            </w:r>
          </w:p>
        </w:tc>
        <w:tc>
          <w:tcPr>
            <w:tcW w:w="551" w:type="dxa"/>
            <w:gridSpan w:val="2"/>
            <w:tcBorders>
              <w:top w:val="nil"/>
              <w:left w:val="nil"/>
              <w:right w:val="nil"/>
            </w:tcBorders>
            <w:shd w:val="clear" w:color="auto" w:fill="auto"/>
            <w:noWrap/>
            <w:vAlign w:val="center"/>
          </w:tcPr>
          <w:p w14:paraId="5FB9CB28" w14:textId="77777777" w:rsidR="004E0D59" w:rsidRPr="00296D0C" w:rsidRDefault="004E0D59" w:rsidP="004E0D59">
            <w:pPr>
              <w:spacing w:after="0" w:line="240" w:lineRule="auto"/>
              <w:jc w:val="center"/>
              <w:rPr>
                <w:rFonts w:eastAsia="Times New Roman" w:cs="Times New Roman"/>
                <w:b/>
                <w:color w:val="000000"/>
              </w:rPr>
            </w:pPr>
            <w:r w:rsidRPr="00296D0C">
              <w:rPr>
                <w:rFonts w:eastAsia="Times New Roman" w:cs="Times New Roman"/>
                <w:b/>
                <w:color w:val="000000"/>
              </w:rPr>
              <w:t>644</w:t>
            </w:r>
          </w:p>
        </w:tc>
        <w:tc>
          <w:tcPr>
            <w:tcW w:w="1226" w:type="dxa"/>
            <w:tcBorders>
              <w:top w:val="nil"/>
              <w:left w:val="nil"/>
              <w:right w:val="nil"/>
            </w:tcBorders>
            <w:shd w:val="clear" w:color="auto" w:fill="auto"/>
            <w:noWrap/>
            <w:vAlign w:val="center"/>
          </w:tcPr>
          <w:p w14:paraId="75B3B93C" w14:textId="77777777" w:rsidR="004E0D59" w:rsidRPr="00296D0C" w:rsidRDefault="004E0D59" w:rsidP="00C8126B">
            <w:pPr>
              <w:spacing w:after="0" w:line="240" w:lineRule="auto"/>
              <w:jc w:val="center"/>
              <w:rPr>
                <w:rFonts w:eastAsia="Times New Roman" w:cs="Times New Roman"/>
                <w:b/>
              </w:rPr>
            </w:pPr>
            <w:r w:rsidRPr="00296D0C">
              <w:rPr>
                <w:rFonts w:eastAsia="Times New Roman" w:cs="Times New Roman"/>
                <w:b/>
              </w:rPr>
              <w:t>0.3</w:t>
            </w:r>
            <w:r w:rsidR="00C8126B" w:rsidRPr="00296D0C">
              <w:rPr>
                <w:rFonts w:eastAsia="Times New Roman" w:cs="Times New Roman"/>
                <w:b/>
              </w:rPr>
              <w:t>2</w:t>
            </w:r>
            <w:r w:rsidRPr="00296D0C">
              <w:rPr>
                <w:rFonts w:eastAsia="Times New Roman" w:cs="Times New Roman"/>
                <w:b/>
              </w:rPr>
              <w:t xml:space="preserve">  (1.2</w:t>
            </w:r>
            <w:r w:rsidR="00C8126B" w:rsidRPr="00296D0C">
              <w:rPr>
                <w:rFonts w:eastAsia="Times New Roman" w:cs="Times New Roman"/>
                <w:b/>
              </w:rPr>
              <w:t>3</w:t>
            </w:r>
            <w:r w:rsidRPr="00296D0C">
              <w:rPr>
                <w:rFonts w:eastAsia="Times New Roman" w:cs="Times New Roman"/>
                <w:b/>
              </w:rPr>
              <w:t>)</w:t>
            </w:r>
          </w:p>
        </w:tc>
        <w:tc>
          <w:tcPr>
            <w:tcW w:w="585" w:type="dxa"/>
            <w:gridSpan w:val="2"/>
            <w:tcBorders>
              <w:top w:val="nil"/>
              <w:left w:val="nil"/>
              <w:right w:val="nil"/>
            </w:tcBorders>
            <w:shd w:val="clear" w:color="auto" w:fill="auto"/>
            <w:noWrap/>
            <w:vAlign w:val="center"/>
          </w:tcPr>
          <w:p w14:paraId="0AD62EBB" w14:textId="77777777" w:rsidR="004E0D59" w:rsidRPr="00296D0C" w:rsidRDefault="004E0D59" w:rsidP="004E0D59">
            <w:pPr>
              <w:spacing w:after="0" w:line="240" w:lineRule="auto"/>
              <w:jc w:val="center"/>
              <w:rPr>
                <w:rFonts w:eastAsia="Times New Roman" w:cs="Times New Roman"/>
                <w:b/>
              </w:rPr>
            </w:pPr>
            <w:r w:rsidRPr="00296D0C">
              <w:rPr>
                <w:rFonts w:eastAsia="Times New Roman" w:cs="Times New Roman"/>
                <w:b/>
              </w:rPr>
              <w:t>621</w:t>
            </w:r>
          </w:p>
        </w:tc>
        <w:tc>
          <w:tcPr>
            <w:tcW w:w="1116" w:type="dxa"/>
            <w:gridSpan w:val="2"/>
            <w:tcBorders>
              <w:top w:val="nil"/>
              <w:left w:val="nil"/>
              <w:right w:val="nil"/>
            </w:tcBorders>
            <w:shd w:val="clear" w:color="auto" w:fill="auto"/>
            <w:noWrap/>
            <w:vAlign w:val="center"/>
          </w:tcPr>
          <w:p w14:paraId="55CB8031" w14:textId="467CC119" w:rsidR="004E0D59" w:rsidRPr="00296D0C" w:rsidRDefault="004E0D59" w:rsidP="00514712">
            <w:pPr>
              <w:spacing w:after="0" w:line="240" w:lineRule="auto"/>
              <w:jc w:val="center"/>
              <w:rPr>
                <w:rFonts w:eastAsia="Times New Roman" w:cs="Times New Roman"/>
                <w:b/>
              </w:rPr>
            </w:pPr>
            <w:r w:rsidRPr="00296D0C">
              <w:rPr>
                <w:rFonts w:eastAsia="Times New Roman" w:cs="Times New Roman"/>
                <w:b/>
              </w:rPr>
              <w:t>0.</w:t>
            </w:r>
            <w:r w:rsidR="00C8126B" w:rsidRPr="00296D0C">
              <w:rPr>
                <w:rFonts w:eastAsia="Times New Roman" w:cs="Times New Roman"/>
                <w:b/>
              </w:rPr>
              <w:t>20</w:t>
            </w:r>
            <w:r w:rsidRPr="00296D0C">
              <w:rPr>
                <w:rFonts w:eastAsia="Times New Roman" w:cs="Times New Roman"/>
                <w:b/>
              </w:rPr>
              <w:t xml:space="preserve">  (1.2</w:t>
            </w:r>
            <w:r w:rsidR="00514712">
              <w:rPr>
                <w:rFonts w:eastAsia="Times New Roman" w:cs="Times New Roman"/>
                <w:b/>
              </w:rPr>
              <w:t>1</w:t>
            </w:r>
            <w:r w:rsidRPr="00296D0C">
              <w:rPr>
                <w:rFonts w:eastAsia="Times New Roman" w:cs="Times New Roman"/>
                <w:b/>
              </w:rPr>
              <w:t>)</w:t>
            </w:r>
          </w:p>
        </w:tc>
        <w:tc>
          <w:tcPr>
            <w:tcW w:w="1397" w:type="dxa"/>
            <w:gridSpan w:val="2"/>
            <w:tcBorders>
              <w:top w:val="nil"/>
              <w:left w:val="nil"/>
              <w:bottom w:val="nil"/>
              <w:right w:val="nil"/>
            </w:tcBorders>
            <w:shd w:val="clear" w:color="auto" w:fill="auto"/>
            <w:noWrap/>
            <w:vAlign w:val="center"/>
          </w:tcPr>
          <w:p w14:paraId="7B01C3D8" w14:textId="77777777" w:rsidR="004E0D59" w:rsidRPr="00296D0C" w:rsidRDefault="004E0D59" w:rsidP="004E0D59">
            <w:pPr>
              <w:spacing w:after="0" w:line="240" w:lineRule="auto"/>
              <w:jc w:val="center"/>
              <w:rPr>
                <w:b/>
                <w:color w:val="000000"/>
              </w:rPr>
            </w:pPr>
            <w:r w:rsidRPr="00296D0C">
              <w:rPr>
                <w:b/>
                <w:color w:val="000000"/>
              </w:rPr>
              <w:t>1259</w:t>
            </w:r>
          </w:p>
        </w:tc>
        <w:tc>
          <w:tcPr>
            <w:tcW w:w="1756" w:type="dxa"/>
            <w:gridSpan w:val="2"/>
            <w:tcBorders>
              <w:top w:val="nil"/>
              <w:left w:val="nil"/>
              <w:bottom w:val="nil"/>
              <w:right w:val="nil"/>
            </w:tcBorders>
            <w:shd w:val="clear" w:color="auto" w:fill="auto"/>
            <w:noWrap/>
            <w:vAlign w:val="center"/>
          </w:tcPr>
          <w:p w14:paraId="0DC332D4" w14:textId="54B6C8EB" w:rsidR="004E0D59" w:rsidRPr="00296D0C" w:rsidRDefault="004E0D59" w:rsidP="004E0D59">
            <w:pPr>
              <w:spacing w:after="0" w:line="240" w:lineRule="auto"/>
              <w:jc w:val="center"/>
              <w:rPr>
                <w:b/>
                <w:color w:val="000000"/>
              </w:rPr>
            </w:pPr>
            <w:r w:rsidRPr="00296D0C">
              <w:rPr>
                <w:b/>
                <w:color w:val="000000"/>
              </w:rPr>
              <w:t>-0.0</w:t>
            </w:r>
            <w:r w:rsidR="00C8126B" w:rsidRPr="00296D0C">
              <w:rPr>
                <w:b/>
                <w:color w:val="000000"/>
              </w:rPr>
              <w:t>2</w:t>
            </w:r>
          </w:p>
          <w:p w14:paraId="14819E26" w14:textId="77777777" w:rsidR="004E0D59" w:rsidRPr="00296D0C" w:rsidRDefault="004E0D59" w:rsidP="00C8126B">
            <w:pPr>
              <w:spacing w:after="0" w:line="240" w:lineRule="auto"/>
              <w:jc w:val="center"/>
              <w:rPr>
                <w:b/>
                <w:color w:val="000000"/>
              </w:rPr>
            </w:pPr>
            <w:r w:rsidRPr="00296D0C">
              <w:rPr>
                <w:b/>
                <w:color w:val="000000"/>
              </w:rPr>
              <w:t xml:space="preserve"> (-0.08, 0.0</w:t>
            </w:r>
            <w:r w:rsidR="00C8126B" w:rsidRPr="00296D0C">
              <w:rPr>
                <w:b/>
                <w:color w:val="000000"/>
              </w:rPr>
              <w:t>5</w:t>
            </w:r>
            <w:r w:rsidRPr="00296D0C">
              <w:rPr>
                <w:b/>
                <w:color w:val="000000"/>
              </w:rPr>
              <w:t>)</w:t>
            </w:r>
          </w:p>
        </w:tc>
        <w:tc>
          <w:tcPr>
            <w:tcW w:w="958" w:type="dxa"/>
            <w:gridSpan w:val="2"/>
            <w:tcBorders>
              <w:top w:val="nil"/>
              <w:left w:val="nil"/>
              <w:bottom w:val="nil"/>
              <w:right w:val="nil"/>
            </w:tcBorders>
            <w:shd w:val="clear" w:color="auto" w:fill="auto"/>
            <w:noWrap/>
            <w:vAlign w:val="center"/>
          </w:tcPr>
          <w:p w14:paraId="4B9CD4F2" w14:textId="77777777" w:rsidR="004E0D59" w:rsidRPr="00296D0C" w:rsidRDefault="004E0D59" w:rsidP="004E0D59">
            <w:pPr>
              <w:spacing w:after="0" w:line="240" w:lineRule="auto"/>
              <w:jc w:val="center"/>
              <w:rPr>
                <w:b/>
                <w:color w:val="000000"/>
              </w:rPr>
            </w:pPr>
            <w:r w:rsidRPr="00296D0C">
              <w:rPr>
                <w:b/>
                <w:color w:val="000000"/>
              </w:rPr>
              <w:t>0.612</w:t>
            </w:r>
          </w:p>
        </w:tc>
        <w:tc>
          <w:tcPr>
            <w:tcW w:w="1548" w:type="dxa"/>
            <w:gridSpan w:val="2"/>
            <w:tcBorders>
              <w:top w:val="nil"/>
              <w:left w:val="nil"/>
              <w:bottom w:val="nil"/>
              <w:right w:val="nil"/>
            </w:tcBorders>
            <w:shd w:val="clear" w:color="auto" w:fill="auto"/>
            <w:vAlign w:val="center"/>
          </w:tcPr>
          <w:p w14:paraId="5AA22A25" w14:textId="77777777" w:rsidR="004E0D59" w:rsidRPr="00296D0C" w:rsidRDefault="004E0D59" w:rsidP="004E0D59">
            <w:pPr>
              <w:spacing w:after="0" w:line="240" w:lineRule="auto"/>
              <w:jc w:val="center"/>
              <w:rPr>
                <w:b/>
                <w:color w:val="000000"/>
              </w:rPr>
            </w:pPr>
            <w:r w:rsidRPr="00296D0C">
              <w:rPr>
                <w:b/>
                <w:color w:val="000000"/>
              </w:rPr>
              <w:t>1265</w:t>
            </w:r>
          </w:p>
        </w:tc>
        <w:tc>
          <w:tcPr>
            <w:tcW w:w="1720" w:type="dxa"/>
            <w:gridSpan w:val="2"/>
            <w:tcBorders>
              <w:top w:val="nil"/>
              <w:left w:val="nil"/>
              <w:bottom w:val="nil"/>
              <w:right w:val="nil"/>
            </w:tcBorders>
            <w:shd w:val="clear" w:color="auto" w:fill="auto"/>
            <w:vAlign w:val="center"/>
          </w:tcPr>
          <w:p w14:paraId="1A37AC4E" w14:textId="11366286" w:rsidR="004E0D59" w:rsidRPr="00296D0C" w:rsidRDefault="004E0D59" w:rsidP="004E0D59">
            <w:pPr>
              <w:spacing w:after="0" w:line="240" w:lineRule="auto"/>
              <w:jc w:val="center"/>
              <w:rPr>
                <w:b/>
                <w:color w:val="000000"/>
              </w:rPr>
            </w:pPr>
            <w:r w:rsidRPr="00296D0C">
              <w:rPr>
                <w:b/>
                <w:color w:val="000000"/>
              </w:rPr>
              <w:t>0.1</w:t>
            </w:r>
            <w:r w:rsidR="00B74FC9" w:rsidRPr="00296D0C">
              <w:rPr>
                <w:b/>
                <w:color w:val="000000"/>
              </w:rPr>
              <w:t>1</w:t>
            </w:r>
          </w:p>
          <w:p w14:paraId="64D9DE29" w14:textId="77777777" w:rsidR="004E0D59" w:rsidRPr="00296D0C" w:rsidRDefault="004E0D59" w:rsidP="00C8126B">
            <w:pPr>
              <w:spacing w:after="0" w:line="240" w:lineRule="auto"/>
              <w:jc w:val="center"/>
              <w:rPr>
                <w:b/>
                <w:color w:val="000000"/>
              </w:rPr>
            </w:pPr>
            <w:r w:rsidRPr="00296D0C">
              <w:rPr>
                <w:b/>
                <w:color w:val="000000"/>
              </w:rPr>
              <w:t xml:space="preserve"> (-0.1</w:t>
            </w:r>
            <w:r w:rsidR="00C8126B" w:rsidRPr="00296D0C">
              <w:rPr>
                <w:b/>
                <w:color w:val="000000"/>
              </w:rPr>
              <w:t>2</w:t>
            </w:r>
            <w:r w:rsidRPr="00296D0C">
              <w:rPr>
                <w:b/>
                <w:color w:val="000000"/>
              </w:rPr>
              <w:t>, 0.3</w:t>
            </w:r>
            <w:r w:rsidR="00C8126B" w:rsidRPr="00296D0C">
              <w:rPr>
                <w:b/>
                <w:color w:val="000000"/>
              </w:rPr>
              <w:t>3</w:t>
            </w:r>
            <w:r w:rsidRPr="00296D0C">
              <w:rPr>
                <w:b/>
                <w:color w:val="000000"/>
              </w:rPr>
              <w:t>)</w:t>
            </w:r>
          </w:p>
        </w:tc>
        <w:tc>
          <w:tcPr>
            <w:tcW w:w="1852" w:type="dxa"/>
            <w:gridSpan w:val="2"/>
            <w:tcBorders>
              <w:top w:val="nil"/>
              <w:left w:val="nil"/>
              <w:bottom w:val="nil"/>
              <w:right w:val="nil"/>
            </w:tcBorders>
            <w:shd w:val="clear" w:color="auto" w:fill="auto"/>
            <w:vAlign w:val="center"/>
          </w:tcPr>
          <w:p w14:paraId="152CC315" w14:textId="77777777" w:rsidR="004E0D59" w:rsidRPr="00296D0C" w:rsidRDefault="004E0D59" w:rsidP="004E0D59">
            <w:pPr>
              <w:spacing w:after="0" w:line="240" w:lineRule="auto"/>
              <w:jc w:val="center"/>
              <w:rPr>
                <w:b/>
                <w:color w:val="000000"/>
              </w:rPr>
            </w:pPr>
            <w:r w:rsidRPr="00296D0C">
              <w:rPr>
                <w:b/>
                <w:color w:val="000000"/>
              </w:rPr>
              <w:t>0.335</w:t>
            </w:r>
          </w:p>
        </w:tc>
      </w:tr>
      <w:tr w:rsidR="004E0D59" w:rsidRPr="00296D0C" w14:paraId="2ECE5913" w14:textId="77777777" w:rsidTr="00121A21">
        <w:trPr>
          <w:gridAfter w:val="1"/>
          <w:wAfter w:w="140" w:type="dxa"/>
          <w:trHeight w:val="300"/>
        </w:trPr>
        <w:tc>
          <w:tcPr>
            <w:tcW w:w="2518" w:type="dxa"/>
            <w:gridSpan w:val="2"/>
            <w:tcBorders>
              <w:top w:val="nil"/>
              <w:left w:val="nil"/>
              <w:right w:val="nil"/>
            </w:tcBorders>
            <w:shd w:val="clear" w:color="auto" w:fill="auto"/>
            <w:noWrap/>
            <w:vAlign w:val="center"/>
          </w:tcPr>
          <w:p w14:paraId="752A3633" w14:textId="77777777" w:rsidR="004E0D59" w:rsidRPr="00296D0C" w:rsidRDefault="004E0D59" w:rsidP="004E0D59">
            <w:pPr>
              <w:spacing w:after="0" w:line="240" w:lineRule="auto"/>
              <w:rPr>
                <w:rFonts w:eastAsia="Times New Roman" w:cs="Times New Roman"/>
                <w:color w:val="000000"/>
              </w:rPr>
            </w:pPr>
            <w:r w:rsidRPr="00296D0C">
              <w:rPr>
                <w:rFonts w:eastAsia="Times New Roman" w:cs="Times New Roman"/>
                <w:color w:val="000000"/>
              </w:rPr>
              <w:t>BMI</w:t>
            </w:r>
          </w:p>
        </w:tc>
        <w:tc>
          <w:tcPr>
            <w:tcW w:w="551" w:type="dxa"/>
            <w:gridSpan w:val="2"/>
            <w:tcBorders>
              <w:top w:val="nil"/>
              <w:left w:val="nil"/>
              <w:right w:val="nil"/>
            </w:tcBorders>
            <w:shd w:val="clear" w:color="auto" w:fill="auto"/>
            <w:noWrap/>
            <w:vAlign w:val="center"/>
          </w:tcPr>
          <w:p w14:paraId="6F6E358A"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644</w:t>
            </w:r>
          </w:p>
        </w:tc>
        <w:tc>
          <w:tcPr>
            <w:tcW w:w="1226" w:type="dxa"/>
            <w:tcBorders>
              <w:top w:val="nil"/>
              <w:left w:val="nil"/>
              <w:right w:val="nil"/>
            </w:tcBorders>
            <w:shd w:val="clear" w:color="auto" w:fill="auto"/>
            <w:noWrap/>
            <w:vAlign w:val="center"/>
          </w:tcPr>
          <w:p w14:paraId="7208E870" w14:textId="77777777" w:rsidR="004E0D59" w:rsidRPr="00296D0C" w:rsidRDefault="004E0D59" w:rsidP="00C8126B">
            <w:pPr>
              <w:spacing w:after="0" w:line="240" w:lineRule="auto"/>
              <w:jc w:val="center"/>
              <w:rPr>
                <w:rFonts w:eastAsia="Times New Roman" w:cs="Times New Roman"/>
              </w:rPr>
            </w:pPr>
            <w:r w:rsidRPr="00296D0C">
              <w:rPr>
                <w:rFonts w:eastAsia="Times New Roman" w:cs="Times New Roman"/>
              </w:rPr>
              <w:t>18.68 (3.</w:t>
            </w:r>
            <w:r w:rsidR="00C8126B" w:rsidRPr="00296D0C">
              <w:rPr>
                <w:rFonts w:eastAsia="Times New Roman" w:cs="Times New Roman"/>
              </w:rPr>
              <w:t>40</w:t>
            </w:r>
            <w:r w:rsidRPr="00296D0C">
              <w:rPr>
                <w:rFonts w:eastAsia="Times New Roman" w:cs="Times New Roman"/>
              </w:rPr>
              <w:t>)</w:t>
            </w:r>
          </w:p>
        </w:tc>
        <w:tc>
          <w:tcPr>
            <w:tcW w:w="585" w:type="dxa"/>
            <w:gridSpan w:val="2"/>
            <w:tcBorders>
              <w:top w:val="nil"/>
              <w:left w:val="nil"/>
              <w:right w:val="nil"/>
            </w:tcBorders>
            <w:shd w:val="clear" w:color="auto" w:fill="auto"/>
            <w:noWrap/>
            <w:vAlign w:val="center"/>
          </w:tcPr>
          <w:p w14:paraId="5ACA13E3" w14:textId="77777777" w:rsidR="004E0D59" w:rsidRPr="00296D0C" w:rsidRDefault="004E0D59" w:rsidP="004E0D59">
            <w:pPr>
              <w:spacing w:after="0" w:line="240" w:lineRule="auto"/>
              <w:jc w:val="center"/>
              <w:rPr>
                <w:rFonts w:eastAsia="Times New Roman" w:cs="Times New Roman"/>
              </w:rPr>
            </w:pPr>
            <w:r w:rsidRPr="00296D0C">
              <w:rPr>
                <w:rFonts w:eastAsia="Times New Roman" w:cs="Times New Roman"/>
              </w:rPr>
              <w:t>621</w:t>
            </w:r>
          </w:p>
        </w:tc>
        <w:tc>
          <w:tcPr>
            <w:tcW w:w="1116" w:type="dxa"/>
            <w:gridSpan w:val="2"/>
            <w:tcBorders>
              <w:top w:val="nil"/>
              <w:left w:val="nil"/>
              <w:right w:val="nil"/>
            </w:tcBorders>
            <w:shd w:val="clear" w:color="auto" w:fill="auto"/>
            <w:noWrap/>
            <w:vAlign w:val="center"/>
          </w:tcPr>
          <w:p w14:paraId="1569C768" w14:textId="77777777" w:rsidR="004E0D59" w:rsidRPr="00296D0C" w:rsidRDefault="004E0D59" w:rsidP="00C8126B">
            <w:pPr>
              <w:spacing w:after="0" w:line="240" w:lineRule="auto"/>
              <w:jc w:val="center"/>
              <w:rPr>
                <w:rFonts w:eastAsia="Times New Roman" w:cs="Times New Roman"/>
              </w:rPr>
            </w:pPr>
            <w:r w:rsidRPr="00296D0C">
              <w:rPr>
                <w:rFonts w:eastAsia="Times New Roman" w:cs="Times New Roman"/>
              </w:rPr>
              <w:t>18.38 (3.24)</w:t>
            </w:r>
          </w:p>
        </w:tc>
        <w:tc>
          <w:tcPr>
            <w:tcW w:w="1397" w:type="dxa"/>
            <w:gridSpan w:val="2"/>
            <w:tcBorders>
              <w:top w:val="nil"/>
              <w:left w:val="nil"/>
              <w:bottom w:val="nil"/>
              <w:right w:val="nil"/>
            </w:tcBorders>
            <w:shd w:val="clear" w:color="auto" w:fill="auto"/>
            <w:noWrap/>
            <w:vAlign w:val="center"/>
          </w:tcPr>
          <w:p w14:paraId="16138F64" w14:textId="77777777" w:rsidR="004E0D59" w:rsidRPr="00296D0C" w:rsidRDefault="004E0D59" w:rsidP="004E0D59">
            <w:pPr>
              <w:spacing w:after="0" w:line="240" w:lineRule="auto"/>
              <w:jc w:val="center"/>
              <w:rPr>
                <w:color w:val="000000"/>
              </w:rPr>
            </w:pPr>
            <w:r w:rsidRPr="00296D0C">
              <w:rPr>
                <w:color w:val="000000"/>
              </w:rPr>
              <w:t>1259</w:t>
            </w:r>
          </w:p>
        </w:tc>
        <w:tc>
          <w:tcPr>
            <w:tcW w:w="1756" w:type="dxa"/>
            <w:gridSpan w:val="2"/>
            <w:tcBorders>
              <w:top w:val="nil"/>
              <w:left w:val="nil"/>
              <w:bottom w:val="nil"/>
              <w:right w:val="nil"/>
            </w:tcBorders>
            <w:shd w:val="clear" w:color="auto" w:fill="auto"/>
            <w:noWrap/>
            <w:vAlign w:val="center"/>
          </w:tcPr>
          <w:p w14:paraId="0770A20F" w14:textId="77777777" w:rsidR="004E0D59" w:rsidRPr="00296D0C" w:rsidRDefault="00C8126B" w:rsidP="004E0D59">
            <w:pPr>
              <w:spacing w:after="0" w:line="240" w:lineRule="auto"/>
              <w:jc w:val="center"/>
              <w:rPr>
                <w:color w:val="000000"/>
              </w:rPr>
            </w:pPr>
            <w:r w:rsidRPr="00296D0C">
              <w:rPr>
                <w:color w:val="000000"/>
              </w:rPr>
              <w:t>-0.0</w:t>
            </w:r>
            <w:r w:rsidR="004E0D59" w:rsidRPr="00296D0C">
              <w:rPr>
                <w:color w:val="000000"/>
              </w:rPr>
              <w:t>7</w:t>
            </w:r>
          </w:p>
          <w:p w14:paraId="0705CBCE" w14:textId="77777777" w:rsidR="004E0D59" w:rsidRPr="00296D0C" w:rsidRDefault="004E0D59" w:rsidP="00C8126B">
            <w:pPr>
              <w:spacing w:after="0" w:line="240" w:lineRule="auto"/>
              <w:jc w:val="center"/>
              <w:rPr>
                <w:color w:val="000000"/>
              </w:rPr>
            </w:pPr>
            <w:r w:rsidRPr="00296D0C">
              <w:rPr>
                <w:color w:val="000000"/>
              </w:rPr>
              <w:t xml:space="preserve"> (-0.22, 0.09)</w:t>
            </w:r>
          </w:p>
        </w:tc>
        <w:tc>
          <w:tcPr>
            <w:tcW w:w="958" w:type="dxa"/>
            <w:gridSpan w:val="2"/>
            <w:tcBorders>
              <w:top w:val="nil"/>
              <w:left w:val="nil"/>
              <w:bottom w:val="nil"/>
              <w:right w:val="nil"/>
            </w:tcBorders>
            <w:shd w:val="clear" w:color="auto" w:fill="auto"/>
            <w:noWrap/>
            <w:vAlign w:val="center"/>
          </w:tcPr>
          <w:p w14:paraId="046853B7" w14:textId="77777777" w:rsidR="004E0D59" w:rsidRPr="00296D0C" w:rsidRDefault="004E0D59" w:rsidP="004E0D59">
            <w:pPr>
              <w:spacing w:after="0" w:line="240" w:lineRule="auto"/>
              <w:jc w:val="center"/>
              <w:rPr>
                <w:color w:val="000000"/>
              </w:rPr>
            </w:pPr>
            <w:r w:rsidRPr="00296D0C">
              <w:rPr>
                <w:color w:val="000000"/>
              </w:rPr>
              <w:t>0.386</w:t>
            </w:r>
          </w:p>
        </w:tc>
        <w:tc>
          <w:tcPr>
            <w:tcW w:w="1548" w:type="dxa"/>
            <w:gridSpan w:val="2"/>
            <w:tcBorders>
              <w:top w:val="nil"/>
              <w:left w:val="nil"/>
              <w:bottom w:val="nil"/>
              <w:right w:val="nil"/>
            </w:tcBorders>
            <w:shd w:val="clear" w:color="auto" w:fill="auto"/>
            <w:vAlign w:val="center"/>
          </w:tcPr>
          <w:p w14:paraId="31603799" w14:textId="77777777" w:rsidR="004E0D59" w:rsidRPr="00296D0C" w:rsidRDefault="004E0D59" w:rsidP="004E0D59">
            <w:pPr>
              <w:spacing w:after="0" w:line="240" w:lineRule="auto"/>
              <w:jc w:val="center"/>
              <w:rPr>
                <w:color w:val="000000"/>
              </w:rPr>
            </w:pPr>
            <w:r w:rsidRPr="00296D0C">
              <w:rPr>
                <w:color w:val="000000"/>
              </w:rPr>
              <w:t>1265</w:t>
            </w:r>
          </w:p>
        </w:tc>
        <w:tc>
          <w:tcPr>
            <w:tcW w:w="1720" w:type="dxa"/>
            <w:gridSpan w:val="2"/>
            <w:tcBorders>
              <w:top w:val="nil"/>
              <w:left w:val="nil"/>
              <w:bottom w:val="nil"/>
              <w:right w:val="nil"/>
            </w:tcBorders>
            <w:shd w:val="clear" w:color="auto" w:fill="auto"/>
            <w:vAlign w:val="center"/>
          </w:tcPr>
          <w:p w14:paraId="5341B130" w14:textId="77777777" w:rsidR="004E0D59" w:rsidRPr="00296D0C" w:rsidRDefault="004E0D59" w:rsidP="004E0D59">
            <w:pPr>
              <w:spacing w:after="0" w:line="240" w:lineRule="auto"/>
              <w:jc w:val="center"/>
              <w:rPr>
                <w:color w:val="000000"/>
              </w:rPr>
            </w:pPr>
            <w:r w:rsidRPr="00296D0C">
              <w:rPr>
                <w:color w:val="000000"/>
              </w:rPr>
              <w:t xml:space="preserve">0.26 </w:t>
            </w:r>
          </w:p>
          <w:p w14:paraId="1A3758A7" w14:textId="77777777" w:rsidR="004E0D59" w:rsidRPr="00296D0C" w:rsidRDefault="004E0D59" w:rsidP="00C8126B">
            <w:pPr>
              <w:spacing w:after="0" w:line="240" w:lineRule="auto"/>
              <w:jc w:val="center"/>
              <w:rPr>
                <w:color w:val="000000"/>
              </w:rPr>
            </w:pPr>
            <w:r w:rsidRPr="00296D0C">
              <w:rPr>
                <w:color w:val="000000"/>
              </w:rPr>
              <w:t>(-0.35, 0.86)</w:t>
            </w:r>
          </w:p>
        </w:tc>
        <w:tc>
          <w:tcPr>
            <w:tcW w:w="1852" w:type="dxa"/>
            <w:gridSpan w:val="2"/>
            <w:tcBorders>
              <w:top w:val="nil"/>
              <w:left w:val="nil"/>
              <w:bottom w:val="nil"/>
              <w:right w:val="nil"/>
            </w:tcBorders>
            <w:shd w:val="clear" w:color="auto" w:fill="auto"/>
            <w:vAlign w:val="center"/>
          </w:tcPr>
          <w:p w14:paraId="5850CCD1" w14:textId="77777777" w:rsidR="004E0D59" w:rsidRPr="00296D0C" w:rsidRDefault="004E0D59" w:rsidP="004E0D59">
            <w:pPr>
              <w:spacing w:after="0" w:line="240" w:lineRule="auto"/>
              <w:jc w:val="center"/>
              <w:rPr>
                <w:color w:val="000000"/>
              </w:rPr>
            </w:pPr>
            <w:r w:rsidRPr="00296D0C">
              <w:rPr>
                <w:color w:val="000000"/>
              </w:rPr>
              <w:t>0.391</w:t>
            </w:r>
          </w:p>
        </w:tc>
      </w:tr>
      <w:tr w:rsidR="004E0D59" w:rsidRPr="00296D0C" w14:paraId="1C64C208" w14:textId="77777777" w:rsidTr="00121A21">
        <w:trPr>
          <w:gridAfter w:val="1"/>
          <w:wAfter w:w="140" w:type="dxa"/>
          <w:trHeight w:val="300"/>
        </w:trPr>
        <w:tc>
          <w:tcPr>
            <w:tcW w:w="2518" w:type="dxa"/>
            <w:gridSpan w:val="2"/>
            <w:tcBorders>
              <w:top w:val="nil"/>
              <w:left w:val="nil"/>
              <w:right w:val="nil"/>
            </w:tcBorders>
            <w:shd w:val="clear" w:color="auto" w:fill="auto"/>
            <w:noWrap/>
            <w:vAlign w:val="center"/>
          </w:tcPr>
          <w:p w14:paraId="3D3BFE00" w14:textId="77777777" w:rsidR="004E0D59" w:rsidRPr="00296D0C" w:rsidRDefault="004E0D59" w:rsidP="004E0D59">
            <w:pPr>
              <w:spacing w:after="0" w:line="240" w:lineRule="auto"/>
              <w:rPr>
                <w:rFonts w:eastAsia="Times New Roman" w:cs="Times New Roman"/>
                <w:color w:val="000000"/>
              </w:rPr>
            </w:pPr>
            <w:r w:rsidRPr="00296D0C">
              <w:rPr>
                <w:rFonts w:eastAsia="Times New Roman" w:cs="Times New Roman"/>
                <w:color w:val="000000"/>
              </w:rPr>
              <w:t>Waist circumference</w:t>
            </w:r>
          </w:p>
        </w:tc>
        <w:tc>
          <w:tcPr>
            <w:tcW w:w="551" w:type="dxa"/>
            <w:gridSpan w:val="2"/>
            <w:tcBorders>
              <w:top w:val="nil"/>
              <w:left w:val="nil"/>
              <w:right w:val="nil"/>
            </w:tcBorders>
            <w:shd w:val="clear" w:color="auto" w:fill="auto"/>
            <w:noWrap/>
            <w:vAlign w:val="center"/>
          </w:tcPr>
          <w:p w14:paraId="418C2682"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645</w:t>
            </w:r>
          </w:p>
        </w:tc>
        <w:tc>
          <w:tcPr>
            <w:tcW w:w="1226" w:type="dxa"/>
            <w:tcBorders>
              <w:top w:val="nil"/>
              <w:left w:val="nil"/>
              <w:right w:val="nil"/>
            </w:tcBorders>
            <w:shd w:val="clear" w:color="auto" w:fill="auto"/>
            <w:noWrap/>
            <w:vAlign w:val="center"/>
          </w:tcPr>
          <w:p w14:paraId="38AE2145" w14:textId="77777777" w:rsidR="004E0D59" w:rsidRPr="00296D0C" w:rsidRDefault="004E0D59" w:rsidP="00C8126B">
            <w:pPr>
              <w:spacing w:after="0" w:line="240" w:lineRule="auto"/>
              <w:jc w:val="center"/>
              <w:rPr>
                <w:rFonts w:eastAsia="Times New Roman" w:cs="Times New Roman"/>
              </w:rPr>
            </w:pPr>
            <w:r w:rsidRPr="00296D0C">
              <w:rPr>
                <w:rFonts w:eastAsia="Times New Roman" w:cs="Times New Roman"/>
              </w:rPr>
              <w:t>64.96 (8.58)</w:t>
            </w:r>
          </w:p>
        </w:tc>
        <w:tc>
          <w:tcPr>
            <w:tcW w:w="585" w:type="dxa"/>
            <w:gridSpan w:val="2"/>
            <w:tcBorders>
              <w:top w:val="nil"/>
              <w:left w:val="nil"/>
              <w:right w:val="nil"/>
            </w:tcBorders>
            <w:shd w:val="clear" w:color="auto" w:fill="auto"/>
            <w:noWrap/>
            <w:vAlign w:val="center"/>
          </w:tcPr>
          <w:p w14:paraId="0B3F17F4" w14:textId="77777777" w:rsidR="004E0D59" w:rsidRPr="00296D0C" w:rsidRDefault="004E0D59" w:rsidP="004E0D59">
            <w:pPr>
              <w:spacing w:after="0" w:line="240" w:lineRule="auto"/>
              <w:jc w:val="center"/>
              <w:rPr>
                <w:rFonts w:eastAsia="Times New Roman" w:cs="Times New Roman"/>
              </w:rPr>
            </w:pPr>
            <w:r w:rsidRPr="00296D0C">
              <w:rPr>
                <w:rFonts w:eastAsia="Times New Roman" w:cs="Times New Roman"/>
              </w:rPr>
              <w:t>620</w:t>
            </w:r>
          </w:p>
        </w:tc>
        <w:tc>
          <w:tcPr>
            <w:tcW w:w="1116" w:type="dxa"/>
            <w:gridSpan w:val="2"/>
            <w:tcBorders>
              <w:top w:val="nil"/>
              <w:left w:val="nil"/>
              <w:right w:val="nil"/>
            </w:tcBorders>
            <w:shd w:val="clear" w:color="auto" w:fill="auto"/>
            <w:noWrap/>
            <w:vAlign w:val="center"/>
          </w:tcPr>
          <w:p w14:paraId="0E86B4D9" w14:textId="77777777" w:rsidR="004E0D59" w:rsidRPr="00296D0C" w:rsidRDefault="004E0D59" w:rsidP="00C8126B">
            <w:pPr>
              <w:spacing w:after="0" w:line="240" w:lineRule="auto"/>
              <w:jc w:val="center"/>
              <w:rPr>
                <w:rFonts w:eastAsia="Times New Roman" w:cs="Times New Roman"/>
              </w:rPr>
            </w:pPr>
            <w:r w:rsidRPr="00296D0C">
              <w:rPr>
                <w:rFonts w:eastAsia="Times New Roman" w:cs="Times New Roman"/>
              </w:rPr>
              <w:t>63.9</w:t>
            </w:r>
            <w:r w:rsidR="00C8126B" w:rsidRPr="00296D0C">
              <w:rPr>
                <w:rFonts w:eastAsia="Times New Roman" w:cs="Times New Roman"/>
              </w:rPr>
              <w:t>3</w:t>
            </w:r>
            <w:r w:rsidRPr="00296D0C">
              <w:rPr>
                <w:rFonts w:eastAsia="Times New Roman" w:cs="Times New Roman"/>
              </w:rPr>
              <w:t xml:space="preserve"> (7.9</w:t>
            </w:r>
            <w:r w:rsidR="00C8126B" w:rsidRPr="00296D0C">
              <w:rPr>
                <w:rFonts w:eastAsia="Times New Roman" w:cs="Times New Roman"/>
              </w:rPr>
              <w:t>7</w:t>
            </w:r>
            <w:r w:rsidRPr="00296D0C">
              <w:rPr>
                <w:rFonts w:eastAsia="Times New Roman" w:cs="Times New Roman"/>
              </w:rPr>
              <w:t>)</w:t>
            </w:r>
          </w:p>
        </w:tc>
        <w:tc>
          <w:tcPr>
            <w:tcW w:w="1397" w:type="dxa"/>
            <w:gridSpan w:val="2"/>
            <w:tcBorders>
              <w:top w:val="nil"/>
              <w:left w:val="nil"/>
              <w:bottom w:val="nil"/>
              <w:right w:val="nil"/>
            </w:tcBorders>
            <w:shd w:val="clear" w:color="auto" w:fill="auto"/>
            <w:noWrap/>
            <w:vAlign w:val="center"/>
          </w:tcPr>
          <w:p w14:paraId="60D4AE10" w14:textId="77777777" w:rsidR="004E0D59" w:rsidRPr="00296D0C" w:rsidRDefault="004E0D59" w:rsidP="004E0D59">
            <w:pPr>
              <w:spacing w:after="0" w:line="240" w:lineRule="auto"/>
              <w:jc w:val="center"/>
              <w:rPr>
                <w:color w:val="000000"/>
              </w:rPr>
            </w:pPr>
            <w:r w:rsidRPr="00296D0C">
              <w:rPr>
                <w:color w:val="000000"/>
              </w:rPr>
              <w:t>1257</w:t>
            </w:r>
          </w:p>
        </w:tc>
        <w:tc>
          <w:tcPr>
            <w:tcW w:w="1756" w:type="dxa"/>
            <w:gridSpan w:val="2"/>
            <w:tcBorders>
              <w:top w:val="nil"/>
              <w:left w:val="nil"/>
              <w:bottom w:val="nil"/>
              <w:right w:val="nil"/>
            </w:tcBorders>
            <w:shd w:val="clear" w:color="auto" w:fill="auto"/>
            <w:noWrap/>
            <w:vAlign w:val="center"/>
          </w:tcPr>
          <w:p w14:paraId="5A2695B8" w14:textId="77777777" w:rsidR="004E0D59" w:rsidRPr="00296D0C" w:rsidRDefault="004E0D59" w:rsidP="004E0D59">
            <w:pPr>
              <w:spacing w:after="0" w:line="240" w:lineRule="auto"/>
              <w:jc w:val="center"/>
              <w:rPr>
                <w:color w:val="000000"/>
              </w:rPr>
            </w:pPr>
            <w:r w:rsidRPr="00296D0C">
              <w:rPr>
                <w:color w:val="000000"/>
              </w:rPr>
              <w:t xml:space="preserve">-0.31 </w:t>
            </w:r>
          </w:p>
          <w:p w14:paraId="154AA1FE" w14:textId="77777777" w:rsidR="004E0D59" w:rsidRPr="00296D0C" w:rsidRDefault="004E0D59" w:rsidP="00C8126B">
            <w:pPr>
              <w:spacing w:after="0" w:line="240" w:lineRule="auto"/>
              <w:jc w:val="center"/>
              <w:rPr>
                <w:color w:val="000000"/>
              </w:rPr>
            </w:pPr>
            <w:r w:rsidRPr="00296D0C">
              <w:rPr>
                <w:color w:val="000000"/>
              </w:rPr>
              <w:t>(-1.40, 0.78)</w:t>
            </w:r>
          </w:p>
        </w:tc>
        <w:tc>
          <w:tcPr>
            <w:tcW w:w="958" w:type="dxa"/>
            <w:gridSpan w:val="2"/>
            <w:tcBorders>
              <w:top w:val="nil"/>
              <w:left w:val="nil"/>
              <w:bottom w:val="nil"/>
              <w:right w:val="nil"/>
            </w:tcBorders>
            <w:shd w:val="clear" w:color="auto" w:fill="auto"/>
            <w:noWrap/>
            <w:vAlign w:val="center"/>
          </w:tcPr>
          <w:p w14:paraId="6B354132" w14:textId="77777777" w:rsidR="004E0D59" w:rsidRPr="00296D0C" w:rsidRDefault="004E0D59" w:rsidP="004E0D59">
            <w:pPr>
              <w:spacing w:after="0" w:line="240" w:lineRule="auto"/>
              <w:jc w:val="center"/>
              <w:rPr>
                <w:color w:val="000000"/>
              </w:rPr>
            </w:pPr>
            <w:r w:rsidRPr="00296D0C">
              <w:rPr>
                <w:color w:val="000000"/>
              </w:rPr>
              <w:t>0.563</w:t>
            </w:r>
          </w:p>
        </w:tc>
        <w:tc>
          <w:tcPr>
            <w:tcW w:w="1548" w:type="dxa"/>
            <w:gridSpan w:val="2"/>
            <w:tcBorders>
              <w:top w:val="nil"/>
              <w:left w:val="nil"/>
              <w:bottom w:val="nil"/>
              <w:right w:val="nil"/>
            </w:tcBorders>
            <w:shd w:val="clear" w:color="auto" w:fill="auto"/>
            <w:vAlign w:val="center"/>
          </w:tcPr>
          <w:p w14:paraId="751316A5" w14:textId="77777777" w:rsidR="004E0D59" w:rsidRPr="00296D0C" w:rsidRDefault="004E0D59" w:rsidP="004E0D59">
            <w:pPr>
              <w:spacing w:after="0" w:line="240" w:lineRule="auto"/>
              <w:jc w:val="center"/>
              <w:rPr>
                <w:color w:val="000000"/>
              </w:rPr>
            </w:pPr>
            <w:r w:rsidRPr="00296D0C">
              <w:rPr>
                <w:color w:val="000000"/>
              </w:rPr>
              <w:t>1265</w:t>
            </w:r>
          </w:p>
        </w:tc>
        <w:tc>
          <w:tcPr>
            <w:tcW w:w="1720" w:type="dxa"/>
            <w:gridSpan w:val="2"/>
            <w:tcBorders>
              <w:top w:val="nil"/>
              <w:left w:val="nil"/>
              <w:bottom w:val="nil"/>
              <w:right w:val="nil"/>
            </w:tcBorders>
            <w:shd w:val="clear" w:color="auto" w:fill="auto"/>
            <w:vAlign w:val="center"/>
          </w:tcPr>
          <w:p w14:paraId="78589EF7" w14:textId="77777777" w:rsidR="004E0D59" w:rsidRPr="00296D0C" w:rsidRDefault="004E0D59" w:rsidP="004E0D59">
            <w:pPr>
              <w:spacing w:after="0" w:line="240" w:lineRule="auto"/>
              <w:jc w:val="center"/>
              <w:rPr>
                <w:color w:val="000000"/>
              </w:rPr>
            </w:pPr>
            <w:r w:rsidRPr="00296D0C">
              <w:rPr>
                <w:color w:val="000000"/>
              </w:rPr>
              <w:t xml:space="preserve">0.80 </w:t>
            </w:r>
          </w:p>
          <w:p w14:paraId="7AD760A3" w14:textId="77777777" w:rsidR="004E0D59" w:rsidRPr="00296D0C" w:rsidRDefault="004E0D59" w:rsidP="00C8126B">
            <w:pPr>
              <w:spacing w:after="0" w:line="240" w:lineRule="auto"/>
              <w:jc w:val="center"/>
              <w:rPr>
                <w:color w:val="000000"/>
              </w:rPr>
            </w:pPr>
            <w:r w:rsidRPr="00296D0C">
              <w:rPr>
                <w:color w:val="000000"/>
              </w:rPr>
              <w:t>(-0.7</w:t>
            </w:r>
            <w:r w:rsidR="00C8126B" w:rsidRPr="00296D0C">
              <w:rPr>
                <w:color w:val="000000"/>
              </w:rPr>
              <w:t>9</w:t>
            </w:r>
            <w:r w:rsidRPr="00296D0C">
              <w:rPr>
                <w:color w:val="000000"/>
              </w:rPr>
              <w:t>, 2.39)</w:t>
            </w:r>
          </w:p>
        </w:tc>
        <w:tc>
          <w:tcPr>
            <w:tcW w:w="1852" w:type="dxa"/>
            <w:gridSpan w:val="2"/>
            <w:tcBorders>
              <w:top w:val="nil"/>
              <w:left w:val="nil"/>
              <w:bottom w:val="nil"/>
              <w:right w:val="nil"/>
            </w:tcBorders>
            <w:shd w:val="clear" w:color="auto" w:fill="auto"/>
            <w:vAlign w:val="center"/>
          </w:tcPr>
          <w:p w14:paraId="33A3579C" w14:textId="0AAE5CF0" w:rsidR="004E0D59" w:rsidRPr="00296D0C" w:rsidRDefault="004E0D59" w:rsidP="004E0D59">
            <w:pPr>
              <w:spacing w:after="0" w:line="240" w:lineRule="auto"/>
              <w:jc w:val="center"/>
              <w:rPr>
                <w:color w:val="000000"/>
              </w:rPr>
            </w:pPr>
            <w:r w:rsidRPr="00296D0C">
              <w:rPr>
                <w:color w:val="000000"/>
              </w:rPr>
              <w:t>0.31</w:t>
            </w:r>
            <w:r w:rsidR="00B74FC9" w:rsidRPr="00296D0C">
              <w:rPr>
                <w:color w:val="000000"/>
              </w:rPr>
              <w:t>0</w:t>
            </w:r>
          </w:p>
        </w:tc>
      </w:tr>
      <w:tr w:rsidR="004E0D59" w:rsidRPr="00296D0C" w14:paraId="716639A8" w14:textId="77777777" w:rsidTr="00121A21">
        <w:trPr>
          <w:gridAfter w:val="1"/>
          <w:wAfter w:w="140" w:type="dxa"/>
          <w:trHeight w:val="300"/>
        </w:trPr>
        <w:tc>
          <w:tcPr>
            <w:tcW w:w="2518" w:type="dxa"/>
            <w:gridSpan w:val="2"/>
            <w:tcBorders>
              <w:top w:val="nil"/>
              <w:left w:val="nil"/>
              <w:right w:val="nil"/>
            </w:tcBorders>
            <w:shd w:val="clear" w:color="auto" w:fill="auto"/>
            <w:noWrap/>
            <w:vAlign w:val="center"/>
          </w:tcPr>
          <w:p w14:paraId="607475E2" w14:textId="11BC81BF" w:rsidR="004E0D59" w:rsidRPr="00296D0C" w:rsidRDefault="004E0D59" w:rsidP="000063C3">
            <w:pPr>
              <w:spacing w:after="0" w:line="240" w:lineRule="auto"/>
              <w:rPr>
                <w:rFonts w:eastAsia="Times New Roman" w:cs="Times New Roman"/>
                <w:color w:val="000000"/>
              </w:rPr>
            </w:pPr>
            <w:r w:rsidRPr="00296D0C">
              <w:rPr>
                <w:rFonts w:eastAsia="Times New Roman" w:cs="Times New Roman"/>
                <w:color w:val="000000"/>
              </w:rPr>
              <w:t xml:space="preserve">Waist circumference </w:t>
            </w:r>
            <w:r w:rsidR="000063C3" w:rsidRPr="00296D0C">
              <w:rPr>
                <w:rFonts w:eastAsia="Times New Roman" w:cs="Times New Roman"/>
                <w:color w:val="000000"/>
              </w:rPr>
              <w:t>SDS</w:t>
            </w:r>
          </w:p>
        </w:tc>
        <w:tc>
          <w:tcPr>
            <w:tcW w:w="551" w:type="dxa"/>
            <w:gridSpan w:val="2"/>
            <w:tcBorders>
              <w:top w:val="nil"/>
              <w:left w:val="nil"/>
              <w:right w:val="nil"/>
            </w:tcBorders>
            <w:shd w:val="clear" w:color="auto" w:fill="auto"/>
            <w:noWrap/>
            <w:vAlign w:val="center"/>
          </w:tcPr>
          <w:p w14:paraId="6EDB5C28"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645</w:t>
            </w:r>
          </w:p>
        </w:tc>
        <w:tc>
          <w:tcPr>
            <w:tcW w:w="1226" w:type="dxa"/>
            <w:tcBorders>
              <w:top w:val="nil"/>
              <w:left w:val="nil"/>
              <w:right w:val="nil"/>
            </w:tcBorders>
            <w:shd w:val="clear" w:color="auto" w:fill="auto"/>
            <w:noWrap/>
            <w:vAlign w:val="center"/>
          </w:tcPr>
          <w:p w14:paraId="706B4A70" w14:textId="77777777" w:rsidR="004E0D59" w:rsidRPr="00296D0C" w:rsidRDefault="004E0D59" w:rsidP="00C8126B">
            <w:pPr>
              <w:spacing w:after="0" w:line="240" w:lineRule="auto"/>
              <w:jc w:val="center"/>
              <w:rPr>
                <w:rFonts w:eastAsia="Times New Roman" w:cs="Times New Roman"/>
              </w:rPr>
            </w:pPr>
            <w:r w:rsidRPr="00296D0C">
              <w:rPr>
                <w:rFonts w:eastAsia="Times New Roman" w:cs="Times New Roman"/>
              </w:rPr>
              <w:t>0.69  (1.1</w:t>
            </w:r>
            <w:r w:rsidR="00C8126B" w:rsidRPr="00296D0C">
              <w:rPr>
                <w:rFonts w:eastAsia="Times New Roman" w:cs="Times New Roman"/>
              </w:rPr>
              <w:t>8</w:t>
            </w:r>
            <w:r w:rsidRPr="00296D0C">
              <w:rPr>
                <w:rFonts w:eastAsia="Times New Roman" w:cs="Times New Roman"/>
              </w:rPr>
              <w:t>)</w:t>
            </w:r>
          </w:p>
        </w:tc>
        <w:tc>
          <w:tcPr>
            <w:tcW w:w="585" w:type="dxa"/>
            <w:gridSpan w:val="2"/>
            <w:tcBorders>
              <w:top w:val="nil"/>
              <w:left w:val="nil"/>
              <w:right w:val="nil"/>
            </w:tcBorders>
            <w:shd w:val="clear" w:color="auto" w:fill="auto"/>
            <w:noWrap/>
            <w:vAlign w:val="center"/>
          </w:tcPr>
          <w:p w14:paraId="5F1397B5" w14:textId="77777777" w:rsidR="004E0D59" w:rsidRPr="00296D0C" w:rsidRDefault="004E0D59" w:rsidP="004E0D59">
            <w:pPr>
              <w:spacing w:after="0" w:line="240" w:lineRule="auto"/>
              <w:jc w:val="center"/>
              <w:rPr>
                <w:rFonts w:eastAsia="Times New Roman" w:cs="Times New Roman"/>
              </w:rPr>
            </w:pPr>
            <w:r w:rsidRPr="00296D0C">
              <w:rPr>
                <w:rFonts w:eastAsia="Times New Roman" w:cs="Times New Roman"/>
              </w:rPr>
              <w:t>620</w:t>
            </w:r>
          </w:p>
        </w:tc>
        <w:tc>
          <w:tcPr>
            <w:tcW w:w="1116" w:type="dxa"/>
            <w:gridSpan w:val="2"/>
            <w:tcBorders>
              <w:top w:val="nil"/>
              <w:left w:val="nil"/>
              <w:right w:val="nil"/>
            </w:tcBorders>
            <w:shd w:val="clear" w:color="auto" w:fill="auto"/>
            <w:noWrap/>
            <w:vAlign w:val="center"/>
          </w:tcPr>
          <w:p w14:paraId="0DAFDFB0" w14:textId="13AE2A13" w:rsidR="004E0D59" w:rsidRPr="00296D0C" w:rsidRDefault="004E0D59" w:rsidP="00B74FC9">
            <w:pPr>
              <w:spacing w:after="0" w:line="240" w:lineRule="auto"/>
              <w:jc w:val="center"/>
              <w:rPr>
                <w:rFonts w:eastAsia="Times New Roman" w:cs="Times New Roman"/>
              </w:rPr>
            </w:pPr>
            <w:r w:rsidRPr="00296D0C">
              <w:rPr>
                <w:rFonts w:eastAsia="Times New Roman" w:cs="Times New Roman"/>
              </w:rPr>
              <w:t>0.5</w:t>
            </w:r>
            <w:r w:rsidR="00B74FC9" w:rsidRPr="00296D0C">
              <w:rPr>
                <w:rFonts w:eastAsia="Times New Roman" w:cs="Times New Roman"/>
              </w:rPr>
              <w:t>7</w:t>
            </w:r>
            <w:r w:rsidRPr="00296D0C">
              <w:rPr>
                <w:rFonts w:eastAsia="Times New Roman" w:cs="Times New Roman"/>
              </w:rPr>
              <w:t xml:space="preserve">  (1.1</w:t>
            </w:r>
            <w:r w:rsidR="00C8126B" w:rsidRPr="00296D0C">
              <w:rPr>
                <w:rFonts w:eastAsia="Times New Roman" w:cs="Times New Roman"/>
              </w:rPr>
              <w:t>5</w:t>
            </w:r>
            <w:r w:rsidRPr="00296D0C">
              <w:rPr>
                <w:rFonts w:eastAsia="Times New Roman" w:cs="Times New Roman"/>
              </w:rPr>
              <w:t>)</w:t>
            </w:r>
          </w:p>
        </w:tc>
        <w:tc>
          <w:tcPr>
            <w:tcW w:w="1397" w:type="dxa"/>
            <w:gridSpan w:val="2"/>
            <w:tcBorders>
              <w:top w:val="nil"/>
              <w:left w:val="nil"/>
              <w:bottom w:val="nil"/>
              <w:right w:val="nil"/>
            </w:tcBorders>
            <w:shd w:val="clear" w:color="auto" w:fill="auto"/>
            <w:noWrap/>
            <w:vAlign w:val="center"/>
          </w:tcPr>
          <w:p w14:paraId="2F2509C0" w14:textId="77777777" w:rsidR="004E0D59" w:rsidRPr="00296D0C" w:rsidRDefault="004E0D59" w:rsidP="004E0D59">
            <w:pPr>
              <w:spacing w:after="0" w:line="240" w:lineRule="auto"/>
              <w:jc w:val="center"/>
              <w:rPr>
                <w:color w:val="000000"/>
              </w:rPr>
            </w:pPr>
            <w:r w:rsidRPr="00296D0C">
              <w:rPr>
                <w:color w:val="000000"/>
              </w:rPr>
              <w:t>1257</w:t>
            </w:r>
          </w:p>
        </w:tc>
        <w:tc>
          <w:tcPr>
            <w:tcW w:w="1756" w:type="dxa"/>
            <w:gridSpan w:val="2"/>
            <w:tcBorders>
              <w:top w:val="nil"/>
              <w:left w:val="nil"/>
              <w:bottom w:val="nil"/>
              <w:right w:val="nil"/>
            </w:tcBorders>
            <w:shd w:val="clear" w:color="auto" w:fill="auto"/>
            <w:noWrap/>
            <w:vAlign w:val="center"/>
          </w:tcPr>
          <w:p w14:paraId="3AF3E809" w14:textId="45F2458B" w:rsidR="004E0D59" w:rsidRPr="00296D0C" w:rsidRDefault="004E0D59" w:rsidP="004E0D59">
            <w:pPr>
              <w:spacing w:after="0" w:line="240" w:lineRule="auto"/>
              <w:jc w:val="center"/>
              <w:rPr>
                <w:color w:val="000000"/>
              </w:rPr>
            </w:pPr>
            <w:r w:rsidRPr="00296D0C">
              <w:rPr>
                <w:color w:val="000000"/>
              </w:rPr>
              <w:t>-0.07</w:t>
            </w:r>
          </w:p>
          <w:p w14:paraId="3A198094" w14:textId="77777777" w:rsidR="004E0D59" w:rsidRPr="00296D0C" w:rsidRDefault="004E0D59" w:rsidP="00C8126B">
            <w:pPr>
              <w:spacing w:after="0" w:line="240" w:lineRule="auto"/>
              <w:jc w:val="center"/>
              <w:rPr>
                <w:color w:val="000000"/>
              </w:rPr>
            </w:pPr>
            <w:r w:rsidRPr="00296D0C">
              <w:rPr>
                <w:color w:val="000000"/>
              </w:rPr>
              <w:t xml:space="preserve"> (-0.2</w:t>
            </w:r>
            <w:r w:rsidR="00C8126B" w:rsidRPr="00296D0C">
              <w:rPr>
                <w:color w:val="000000"/>
              </w:rPr>
              <w:t>7</w:t>
            </w:r>
            <w:r w:rsidRPr="00296D0C">
              <w:rPr>
                <w:color w:val="000000"/>
              </w:rPr>
              <w:t>, 0.12)</w:t>
            </w:r>
          </w:p>
        </w:tc>
        <w:tc>
          <w:tcPr>
            <w:tcW w:w="958" w:type="dxa"/>
            <w:gridSpan w:val="2"/>
            <w:tcBorders>
              <w:top w:val="nil"/>
              <w:left w:val="nil"/>
              <w:bottom w:val="nil"/>
              <w:right w:val="nil"/>
            </w:tcBorders>
            <w:shd w:val="clear" w:color="auto" w:fill="auto"/>
            <w:noWrap/>
            <w:vAlign w:val="center"/>
          </w:tcPr>
          <w:p w14:paraId="7F668966" w14:textId="77777777" w:rsidR="004E0D59" w:rsidRPr="00296D0C" w:rsidRDefault="004E0D59" w:rsidP="004E0D59">
            <w:pPr>
              <w:spacing w:after="0" w:line="240" w:lineRule="auto"/>
              <w:jc w:val="center"/>
              <w:rPr>
                <w:color w:val="000000"/>
              </w:rPr>
            </w:pPr>
            <w:r w:rsidRPr="00296D0C">
              <w:rPr>
                <w:color w:val="000000"/>
              </w:rPr>
              <w:t>0.438</w:t>
            </w:r>
          </w:p>
        </w:tc>
        <w:tc>
          <w:tcPr>
            <w:tcW w:w="1548" w:type="dxa"/>
            <w:gridSpan w:val="2"/>
            <w:tcBorders>
              <w:top w:val="nil"/>
              <w:left w:val="nil"/>
              <w:bottom w:val="nil"/>
              <w:right w:val="nil"/>
            </w:tcBorders>
            <w:shd w:val="clear" w:color="auto" w:fill="auto"/>
            <w:vAlign w:val="center"/>
          </w:tcPr>
          <w:p w14:paraId="1BB213E1" w14:textId="77777777" w:rsidR="004E0D59" w:rsidRPr="00296D0C" w:rsidRDefault="004E0D59" w:rsidP="004E0D59">
            <w:pPr>
              <w:spacing w:after="0" w:line="240" w:lineRule="auto"/>
              <w:jc w:val="center"/>
              <w:rPr>
                <w:color w:val="000000"/>
              </w:rPr>
            </w:pPr>
            <w:r w:rsidRPr="00296D0C">
              <w:rPr>
                <w:color w:val="000000"/>
              </w:rPr>
              <w:t>1265</w:t>
            </w:r>
          </w:p>
        </w:tc>
        <w:tc>
          <w:tcPr>
            <w:tcW w:w="1720" w:type="dxa"/>
            <w:gridSpan w:val="2"/>
            <w:tcBorders>
              <w:top w:val="nil"/>
              <w:left w:val="nil"/>
              <w:bottom w:val="nil"/>
              <w:right w:val="nil"/>
            </w:tcBorders>
            <w:shd w:val="clear" w:color="auto" w:fill="auto"/>
            <w:vAlign w:val="center"/>
          </w:tcPr>
          <w:p w14:paraId="19B1621A" w14:textId="77777777" w:rsidR="004E0D59" w:rsidRPr="00296D0C" w:rsidRDefault="004E0D59" w:rsidP="004E0D59">
            <w:pPr>
              <w:spacing w:after="0" w:line="240" w:lineRule="auto"/>
              <w:jc w:val="center"/>
              <w:rPr>
                <w:color w:val="000000"/>
              </w:rPr>
            </w:pPr>
            <w:r w:rsidRPr="00296D0C">
              <w:rPr>
                <w:color w:val="000000"/>
              </w:rPr>
              <w:t xml:space="preserve">0.08 </w:t>
            </w:r>
          </w:p>
          <w:p w14:paraId="450D3E3C" w14:textId="77777777" w:rsidR="004E0D59" w:rsidRPr="00296D0C" w:rsidRDefault="004E0D59" w:rsidP="00C8126B">
            <w:pPr>
              <w:spacing w:after="0" w:line="240" w:lineRule="auto"/>
              <w:jc w:val="center"/>
              <w:rPr>
                <w:color w:val="000000"/>
              </w:rPr>
            </w:pPr>
            <w:r w:rsidRPr="00296D0C">
              <w:rPr>
                <w:color w:val="000000"/>
              </w:rPr>
              <w:t>(-0.15, 0.3</w:t>
            </w:r>
            <w:r w:rsidR="00C8126B" w:rsidRPr="00296D0C">
              <w:rPr>
                <w:color w:val="000000"/>
              </w:rPr>
              <w:t>2</w:t>
            </w:r>
            <w:r w:rsidRPr="00296D0C">
              <w:rPr>
                <w:color w:val="000000"/>
              </w:rPr>
              <w:t>)</w:t>
            </w:r>
          </w:p>
        </w:tc>
        <w:tc>
          <w:tcPr>
            <w:tcW w:w="1852" w:type="dxa"/>
            <w:gridSpan w:val="2"/>
            <w:tcBorders>
              <w:top w:val="nil"/>
              <w:left w:val="nil"/>
              <w:bottom w:val="nil"/>
              <w:right w:val="nil"/>
            </w:tcBorders>
            <w:shd w:val="clear" w:color="auto" w:fill="auto"/>
            <w:vAlign w:val="center"/>
          </w:tcPr>
          <w:p w14:paraId="281965E1" w14:textId="77777777" w:rsidR="004E0D59" w:rsidRPr="00296D0C" w:rsidRDefault="004E0D59" w:rsidP="004E0D59">
            <w:pPr>
              <w:spacing w:after="0" w:line="240" w:lineRule="auto"/>
              <w:jc w:val="center"/>
              <w:rPr>
                <w:color w:val="000000"/>
              </w:rPr>
            </w:pPr>
            <w:r w:rsidRPr="00296D0C">
              <w:rPr>
                <w:color w:val="000000"/>
              </w:rPr>
              <w:t>0.472</w:t>
            </w:r>
          </w:p>
        </w:tc>
      </w:tr>
      <w:tr w:rsidR="004E0D59" w:rsidRPr="00296D0C" w14:paraId="3229252B" w14:textId="77777777" w:rsidTr="00121A21">
        <w:trPr>
          <w:gridAfter w:val="1"/>
          <w:wAfter w:w="140" w:type="dxa"/>
          <w:trHeight w:val="300"/>
        </w:trPr>
        <w:tc>
          <w:tcPr>
            <w:tcW w:w="2518" w:type="dxa"/>
            <w:gridSpan w:val="2"/>
            <w:tcBorders>
              <w:top w:val="nil"/>
              <w:left w:val="nil"/>
              <w:right w:val="nil"/>
            </w:tcBorders>
            <w:shd w:val="clear" w:color="auto" w:fill="auto"/>
            <w:noWrap/>
            <w:vAlign w:val="center"/>
          </w:tcPr>
          <w:p w14:paraId="79BEE8D3" w14:textId="77777777" w:rsidR="004E0D59" w:rsidRPr="00296D0C" w:rsidRDefault="004E0D59" w:rsidP="004E0D59">
            <w:pPr>
              <w:spacing w:after="0" w:line="240" w:lineRule="auto"/>
              <w:rPr>
                <w:rFonts w:eastAsia="Times New Roman" w:cs="Times New Roman"/>
                <w:color w:val="000000"/>
              </w:rPr>
            </w:pPr>
            <w:r w:rsidRPr="00296D0C">
              <w:rPr>
                <w:rFonts w:eastAsia="Times New Roman" w:cs="Times New Roman"/>
                <w:color w:val="000000"/>
              </w:rPr>
              <w:t>% body fat</w:t>
            </w:r>
          </w:p>
        </w:tc>
        <w:tc>
          <w:tcPr>
            <w:tcW w:w="551" w:type="dxa"/>
            <w:gridSpan w:val="2"/>
            <w:tcBorders>
              <w:top w:val="nil"/>
              <w:left w:val="nil"/>
              <w:right w:val="nil"/>
            </w:tcBorders>
            <w:shd w:val="clear" w:color="auto" w:fill="auto"/>
            <w:noWrap/>
            <w:vAlign w:val="center"/>
          </w:tcPr>
          <w:p w14:paraId="2BF6DE2A"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644</w:t>
            </w:r>
          </w:p>
        </w:tc>
        <w:tc>
          <w:tcPr>
            <w:tcW w:w="1226" w:type="dxa"/>
            <w:tcBorders>
              <w:top w:val="nil"/>
              <w:left w:val="nil"/>
              <w:right w:val="nil"/>
            </w:tcBorders>
            <w:shd w:val="clear" w:color="auto" w:fill="auto"/>
            <w:noWrap/>
            <w:vAlign w:val="center"/>
          </w:tcPr>
          <w:p w14:paraId="38B5C04F" w14:textId="77777777" w:rsidR="004E0D59" w:rsidRPr="00296D0C" w:rsidRDefault="004E0D59" w:rsidP="00C8126B">
            <w:pPr>
              <w:spacing w:after="0" w:line="240" w:lineRule="auto"/>
              <w:jc w:val="center"/>
              <w:rPr>
                <w:rFonts w:eastAsia="Times New Roman" w:cs="Times New Roman"/>
              </w:rPr>
            </w:pPr>
            <w:r w:rsidRPr="00296D0C">
              <w:rPr>
                <w:rFonts w:eastAsia="Times New Roman" w:cs="Times New Roman"/>
              </w:rPr>
              <w:t>19.3</w:t>
            </w:r>
            <w:r w:rsidR="00C8126B" w:rsidRPr="00296D0C">
              <w:rPr>
                <w:rFonts w:eastAsia="Times New Roman" w:cs="Times New Roman"/>
              </w:rPr>
              <w:t>3</w:t>
            </w:r>
            <w:r w:rsidRPr="00296D0C">
              <w:rPr>
                <w:rFonts w:eastAsia="Times New Roman" w:cs="Times New Roman"/>
              </w:rPr>
              <w:t xml:space="preserve"> (8.0</w:t>
            </w:r>
            <w:r w:rsidR="00C8126B" w:rsidRPr="00296D0C">
              <w:rPr>
                <w:rFonts w:eastAsia="Times New Roman" w:cs="Times New Roman"/>
              </w:rPr>
              <w:t>5</w:t>
            </w:r>
            <w:r w:rsidRPr="00296D0C">
              <w:rPr>
                <w:rFonts w:eastAsia="Times New Roman" w:cs="Times New Roman"/>
              </w:rPr>
              <w:t>)</w:t>
            </w:r>
          </w:p>
        </w:tc>
        <w:tc>
          <w:tcPr>
            <w:tcW w:w="585" w:type="dxa"/>
            <w:gridSpan w:val="2"/>
            <w:tcBorders>
              <w:top w:val="nil"/>
              <w:left w:val="nil"/>
              <w:right w:val="nil"/>
            </w:tcBorders>
            <w:shd w:val="clear" w:color="auto" w:fill="auto"/>
            <w:noWrap/>
            <w:vAlign w:val="center"/>
          </w:tcPr>
          <w:p w14:paraId="2F9F6261" w14:textId="77777777" w:rsidR="004E0D59" w:rsidRPr="00296D0C" w:rsidRDefault="004E0D59" w:rsidP="004E0D59">
            <w:pPr>
              <w:spacing w:after="0" w:line="240" w:lineRule="auto"/>
              <w:jc w:val="center"/>
              <w:rPr>
                <w:rFonts w:eastAsia="Times New Roman" w:cs="Times New Roman"/>
              </w:rPr>
            </w:pPr>
            <w:r w:rsidRPr="00296D0C">
              <w:rPr>
                <w:rFonts w:eastAsia="Times New Roman" w:cs="Times New Roman"/>
              </w:rPr>
              <w:t>619</w:t>
            </w:r>
          </w:p>
        </w:tc>
        <w:tc>
          <w:tcPr>
            <w:tcW w:w="1116" w:type="dxa"/>
            <w:gridSpan w:val="2"/>
            <w:tcBorders>
              <w:top w:val="nil"/>
              <w:left w:val="nil"/>
              <w:right w:val="nil"/>
            </w:tcBorders>
            <w:shd w:val="clear" w:color="auto" w:fill="auto"/>
            <w:noWrap/>
            <w:vAlign w:val="center"/>
          </w:tcPr>
          <w:p w14:paraId="108DE840" w14:textId="77777777" w:rsidR="004E0D59" w:rsidRPr="00296D0C" w:rsidRDefault="004E0D59" w:rsidP="00C8126B">
            <w:pPr>
              <w:spacing w:after="0" w:line="240" w:lineRule="auto"/>
              <w:jc w:val="center"/>
              <w:rPr>
                <w:rFonts w:eastAsia="Times New Roman" w:cs="Times New Roman"/>
              </w:rPr>
            </w:pPr>
            <w:r w:rsidRPr="00296D0C">
              <w:rPr>
                <w:rFonts w:eastAsia="Times New Roman" w:cs="Times New Roman"/>
              </w:rPr>
              <w:t>19.28 (7.</w:t>
            </w:r>
            <w:r w:rsidR="00C8126B" w:rsidRPr="00296D0C">
              <w:rPr>
                <w:rFonts w:eastAsia="Times New Roman" w:cs="Times New Roman"/>
              </w:rPr>
              <w:t>70</w:t>
            </w:r>
            <w:r w:rsidRPr="00296D0C">
              <w:rPr>
                <w:rFonts w:eastAsia="Times New Roman" w:cs="Times New Roman"/>
              </w:rPr>
              <w:t>)</w:t>
            </w:r>
          </w:p>
        </w:tc>
        <w:tc>
          <w:tcPr>
            <w:tcW w:w="1397" w:type="dxa"/>
            <w:gridSpan w:val="2"/>
            <w:tcBorders>
              <w:top w:val="nil"/>
              <w:left w:val="nil"/>
              <w:bottom w:val="nil"/>
              <w:right w:val="nil"/>
            </w:tcBorders>
            <w:shd w:val="clear" w:color="auto" w:fill="auto"/>
            <w:noWrap/>
            <w:vAlign w:val="center"/>
          </w:tcPr>
          <w:p w14:paraId="2F139DE4" w14:textId="77777777" w:rsidR="004E0D59" w:rsidRPr="00296D0C" w:rsidRDefault="004E0D59" w:rsidP="004E0D59">
            <w:pPr>
              <w:spacing w:after="0" w:line="240" w:lineRule="auto"/>
              <w:jc w:val="center"/>
              <w:rPr>
                <w:color w:val="000000"/>
              </w:rPr>
            </w:pPr>
            <w:r w:rsidRPr="00296D0C">
              <w:rPr>
                <w:color w:val="000000"/>
              </w:rPr>
              <w:t>1254</w:t>
            </w:r>
          </w:p>
        </w:tc>
        <w:tc>
          <w:tcPr>
            <w:tcW w:w="1756" w:type="dxa"/>
            <w:gridSpan w:val="2"/>
            <w:tcBorders>
              <w:top w:val="nil"/>
              <w:left w:val="nil"/>
              <w:bottom w:val="nil"/>
              <w:right w:val="nil"/>
            </w:tcBorders>
            <w:shd w:val="clear" w:color="auto" w:fill="auto"/>
            <w:noWrap/>
            <w:vAlign w:val="center"/>
          </w:tcPr>
          <w:p w14:paraId="1E9D07FA" w14:textId="77777777" w:rsidR="004E0D59" w:rsidRPr="00296D0C" w:rsidRDefault="004E0D59" w:rsidP="004E0D59">
            <w:pPr>
              <w:spacing w:after="0" w:line="240" w:lineRule="auto"/>
              <w:jc w:val="center"/>
              <w:rPr>
                <w:color w:val="000000"/>
              </w:rPr>
            </w:pPr>
            <w:r w:rsidRPr="00296D0C">
              <w:rPr>
                <w:color w:val="000000"/>
              </w:rPr>
              <w:t>-0.1</w:t>
            </w:r>
            <w:r w:rsidR="00C8126B" w:rsidRPr="00296D0C">
              <w:rPr>
                <w:color w:val="000000"/>
              </w:rPr>
              <w:t>3</w:t>
            </w:r>
          </w:p>
          <w:p w14:paraId="0947B4A0" w14:textId="77777777" w:rsidR="004E0D59" w:rsidRPr="00296D0C" w:rsidRDefault="004E0D59" w:rsidP="00C8126B">
            <w:pPr>
              <w:spacing w:after="0" w:line="240" w:lineRule="auto"/>
              <w:jc w:val="center"/>
              <w:rPr>
                <w:color w:val="000000"/>
              </w:rPr>
            </w:pPr>
            <w:r w:rsidRPr="00296D0C">
              <w:rPr>
                <w:color w:val="000000"/>
              </w:rPr>
              <w:t xml:space="preserve"> (-0.66, 0.41)</w:t>
            </w:r>
          </w:p>
        </w:tc>
        <w:tc>
          <w:tcPr>
            <w:tcW w:w="958" w:type="dxa"/>
            <w:gridSpan w:val="2"/>
            <w:tcBorders>
              <w:top w:val="nil"/>
              <w:left w:val="nil"/>
              <w:bottom w:val="nil"/>
              <w:right w:val="nil"/>
            </w:tcBorders>
            <w:shd w:val="clear" w:color="auto" w:fill="auto"/>
            <w:noWrap/>
            <w:vAlign w:val="center"/>
          </w:tcPr>
          <w:p w14:paraId="1EE91773" w14:textId="77777777" w:rsidR="004E0D59" w:rsidRPr="00296D0C" w:rsidRDefault="004E0D59" w:rsidP="004E0D59">
            <w:pPr>
              <w:spacing w:after="0" w:line="240" w:lineRule="auto"/>
              <w:jc w:val="center"/>
              <w:rPr>
                <w:color w:val="000000"/>
              </w:rPr>
            </w:pPr>
            <w:r w:rsidRPr="00296D0C">
              <w:rPr>
                <w:color w:val="000000"/>
              </w:rPr>
              <w:t>0.636</w:t>
            </w:r>
          </w:p>
        </w:tc>
        <w:tc>
          <w:tcPr>
            <w:tcW w:w="1548" w:type="dxa"/>
            <w:gridSpan w:val="2"/>
            <w:tcBorders>
              <w:top w:val="nil"/>
              <w:left w:val="nil"/>
              <w:bottom w:val="nil"/>
              <w:right w:val="nil"/>
            </w:tcBorders>
            <w:shd w:val="clear" w:color="auto" w:fill="auto"/>
            <w:vAlign w:val="center"/>
          </w:tcPr>
          <w:p w14:paraId="6F354887" w14:textId="77777777" w:rsidR="004E0D59" w:rsidRPr="00296D0C" w:rsidRDefault="004E0D59" w:rsidP="004E0D59">
            <w:pPr>
              <w:spacing w:after="0" w:line="240" w:lineRule="auto"/>
              <w:jc w:val="center"/>
              <w:rPr>
                <w:color w:val="000000"/>
              </w:rPr>
            </w:pPr>
            <w:r w:rsidRPr="00296D0C">
              <w:rPr>
                <w:color w:val="000000"/>
              </w:rPr>
              <w:t>1263</w:t>
            </w:r>
          </w:p>
        </w:tc>
        <w:tc>
          <w:tcPr>
            <w:tcW w:w="1720" w:type="dxa"/>
            <w:gridSpan w:val="2"/>
            <w:tcBorders>
              <w:top w:val="nil"/>
              <w:left w:val="nil"/>
              <w:bottom w:val="nil"/>
              <w:right w:val="nil"/>
            </w:tcBorders>
            <w:shd w:val="clear" w:color="auto" w:fill="auto"/>
            <w:vAlign w:val="center"/>
          </w:tcPr>
          <w:p w14:paraId="6A2C5442" w14:textId="77777777" w:rsidR="004E0D59" w:rsidRPr="00296D0C" w:rsidRDefault="004E0D59" w:rsidP="004E0D59">
            <w:pPr>
              <w:spacing w:after="0" w:line="240" w:lineRule="auto"/>
              <w:jc w:val="center"/>
              <w:rPr>
                <w:color w:val="000000"/>
              </w:rPr>
            </w:pPr>
            <w:r w:rsidRPr="00296D0C">
              <w:rPr>
                <w:color w:val="000000"/>
              </w:rPr>
              <w:t xml:space="preserve">0.03 </w:t>
            </w:r>
          </w:p>
          <w:p w14:paraId="41A95380" w14:textId="77777777" w:rsidR="004E0D59" w:rsidRPr="00296D0C" w:rsidRDefault="004E0D59" w:rsidP="00C8126B">
            <w:pPr>
              <w:spacing w:after="0" w:line="240" w:lineRule="auto"/>
              <w:jc w:val="center"/>
              <w:rPr>
                <w:color w:val="000000"/>
              </w:rPr>
            </w:pPr>
            <w:r w:rsidRPr="00296D0C">
              <w:rPr>
                <w:color w:val="000000"/>
              </w:rPr>
              <w:t>(-1.4</w:t>
            </w:r>
            <w:r w:rsidR="00C8126B" w:rsidRPr="00296D0C">
              <w:rPr>
                <w:color w:val="000000"/>
              </w:rPr>
              <w:t>2, 1.48</w:t>
            </w:r>
            <w:r w:rsidRPr="00296D0C">
              <w:rPr>
                <w:color w:val="000000"/>
              </w:rPr>
              <w:t>)</w:t>
            </w:r>
          </w:p>
        </w:tc>
        <w:tc>
          <w:tcPr>
            <w:tcW w:w="1852" w:type="dxa"/>
            <w:gridSpan w:val="2"/>
            <w:tcBorders>
              <w:top w:val="nil"/>
              <w:left w:val="nil"/>
              <w:bottom w:val="nil"/>
              <w:right w:val="nil"/>
            </w:tcBorders>
            <w:shd w:val="clear" w:color="auto" w:fill="auto"/>
            <w:vAlign w:val="center"/>
          </w:tcPr>
          <w:p w14:paraId="17F52214" w14:textId="77777777" w:rsidR="004E0D59" w:rsidRPr="00296D0C" w:rsidRDefault="004E0D59" w:rsidP="004E0D59">
            <w:pPr>
              <w:spacing w:after="0" w:line="240" w:lineRule="auto"/>
              <w:jc w:val="center"/>
              <w:rPr>
                <w:color w:val="000000"/>
              </w:rPr>
            </w:pPr>
            <w:r w:rsidRPr="00296D0C">
              <w:rPr>
                <w:color w:val="000000"/>
              </w:rPr>
              <w:t>0.963</w:t>
            </w:r>
          </w:p>
        </w:tc>
      </w:tr>
      <w:tr w:rsidR="004E0D59" w:rsidRPr="00296D0C" w14:paraId="36B840F8" w14:textId="77777777" w:rsidTr="00121A21">
        <w:trPr>
          <w:gridAfter w:val="1"/>
          <w:wAfter w:w="140" w:type="dxa"/>
          <w:trHeight w:val="300"/>
        </w:trPr>
        <w:tc>
          <w:tcPr>
            <w:tcW w:w="2518" w:type="dxa"/>
            <w:gridSpan w:val="2"/>
            <w:tcBorders>
              <w:top w:val="nil"/>
              <w:left w:val="nil"/>
              <w:right w:val="nil"/>
            </w:tcBorders>
            <w:shd w:val="clear" w:color="auto" w:fill="auto"/>
            <w:noWrap/>
            <w:vAlign w:val="center"/>
          </w:tcPr>
          <w:p w14:paraId="6F83BC88" w14:textId="7AE53AB9" w:rsidR="004E0D59" w:rsidRPr="00296D0C" w:rsidRDefault="004E0D59" w:rsidP="000063C3">
            <w:pPr>
              <w:spacing w:after="0" w:line="240" w:lineRule="auto"/>
              <w:rPr>
                <w:rFonts w:eastAsia="Times New Roman" w:cs="Times New Roman"/>
                <w:color w:val="000000"/>
              </w:rPr>
            </w:pPr>
            <w:r w:rsidRPr="00296D0C">
              <w:rPr>
                <w:rFonts w:eastAsia="Times New Roman" w:cs="Times New Roman"/>
                <w:color w:val="000000"/>
              </w:rPr>
              <w:t xml:space="preserve">Body fat </w:t>
            </w:r>
            <w:r w:rsidR="000063C3" w:rsidRPr="00296D0C">
              <w:rPr>
                <w:rFonts w:eastAsia="Times New Roman" w:cs="Times New Roman"/>
                <w:color w:val="000000"/>
              </w:rPr>
              <w:t>SDS</w:t>
            </w:r>
          </w:p>
        </w:tc>
        <w:tc>
          <w:tcPr>
            <w:tcW w:w="551" w:type="dxa"/>
            <w:gridSpan w:val="2"/>
            <w:tcBorders>
              <w:top w:val="nil"/>
              <w:left w:val="nil"/>
              <w:right w:val="nil"/>
            </w:tcBorders>
            <w:shd w:val="clear" w:color="auto" w:fill="auto"/>
            <w:noWrap/>
            <w:vAlign w:val="center"/>
          </w:tcPr>
          <w:p w14:paraId="2BE4AC69"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644</w:t>
            </w:r>
          </w:p>
        </w:tc>
        <w:tc>
          <w:tcPr>
            <w:tcW w:w="1226" w:type="dxa"/>
            <w:tcBorders>
              <w:top w:val="nil"/>
              <w:left w:val="nil"/>
              <w:right w:val="nil"/>
            </w:tcBorders>
            <w:shd w:val="clear" w:color="auto" w:fill="auto"/>
            <w:noWrap/>
            <w:vAlign w:val="center"/>
          </w:tcPr>
          <w:p w14:paraId="7EB70D7C" w14:textId="77777777" w:rsidR="004E0D59" w:rsidRPr="00296D0C" w:rsidRDefault="004E0D59" w:rsidP="00C8126B">
            <w:pPr>
              <w:spacing w:after="0" w:line="240" w:lineRule="auto"/>
              <w:jc w:val="center"/>
              <w:rPr>
                <w:rFonts w:eastAsia="Times New Roman" w:cs="Times New Roman"/>
              </w:rPr>
            </w:pPr>
            <w:r w:rsidRPr="00296D0C">
              <w:rPr>
                <w:rFonts w:eastAsia="Times New Roman" w:cs="Times New Roman"/>
              </w:rPr>
              <w:t>-0.99 (2.2</w:t>
            </w:r>
            <w:r w:rsidR="00C8126B" w:rsidRPr="00296D0C">
              <w:rPr>
                <w:rFonts w:eastAsia="Times New Roman" w:cs="Times New Roman"/>
              </w:rPr>
              <w:t>3</w:t>
            </w:r>
            <w:r w:rsidRPr="00296D0C">
              <w:rPr>
                <w:rFonts w:eastAsia="Times New Roman" w:cs="Times New Roman"/>
              </w:rPr>
              <w:t>)</w:t>
            </w:r>
          </w:p>
        </w:tc>
        <w:tc>
          <w:tcPr>
            <w:tcW w:w="585" w:type="dxa"/>
            <w:gridSpan w:val="2"/>
            <w:tcBorders>
              <w:top w:val="nil"/>
              <w:left w:val="nil"/>
              <w:right w:val="nil"/>
            </w:tcBorders>
            <w:shd w:val="clear" w:color="auto" w:fill="auto"/>
            <w:noWrap/>
            <w:vAlign w:val="center"/>
          </w:tcPr>
          <w:p w14:paraId="4F8D49FA" w14:textId="77777777" w:rsidR="004E0D59" w:rsidRPr="00296D0C" w:rsidRDefault="004E0D59" w:rsidP="004E0D59">
            <w:pPr>
              <w:spacing w:after="0" w:line="240" w:lineRule="auto"/>
              <w:jc w:val="center"/>
              <w:rPr>
                <w:rFonts w:eastAsia="Times New Roman" w:cs="Times New Roman"/>
              </w:rPr>
            </w:pPr>
            <w:r w:rsidRPr="00296D0C">
              <w:rPr>
                <w:rFonts w:eastAsia="Times New Roman" w:cs="Times New Roman"/>
              </w:rPr>
              <w:t>619</w:t>
            </w:r>
          </w:p>
        </w:tc>
        <w:tc>
          <w:tcPr>
            <w:tcW w:w="1116" w:type="dxa"/>
            <w:gridSpan w:val="2"/>
            <w:tcBorders>
              <w:top w:val="nil"/>
              <w:left w:val="nil"/>
              <w:right w:val="nil"/>
            </w:tcBorders>
            <w:shd w:val="clear" w:color="auto" w:fill="auto"/>
            <w:noWrap/>
            <w:vAlign w:val="center"/>
          </w:tcPr>
          <w:p w14:paraId="7A5BE671" w14:textId="77777777" w:rsidR="004E0D59" w:rsidRPr="00296D0C" w:rsidRDefault="004E0D59" w:rsidP="00C8126B">
            <w:pPr>
              <w:spacing w:after="0" w:line="240" w:lineRule="auto"/>
              <w:jc w:val="center"/>
              <w:rPr>
                <w:rFonts w:eastAsia="Times New Roman" w:cs="Times New Roman"/>
              </w:rPr>
            </w:pPr>
            <w:r w:rsidRPr="00296D0C">
              <w:rPr>
                <w:rFonts w:eastAsia="Times New Roman" w:cs="Times New Roman"/>
              </w:rPr>
              <w:t>-0.98 (2.0</w:t>
            </w:r>
            <w:r w:rsidR="00C8126B" w:rsidRPr="00296D0C">
              <w:rPr>
                <w:rFonts w:eastAsia="Times New Roman" w:cs="Times New Roman"/>
              </w:rPr>
              <w:t>3</w:t>
            </w:r>
            <w:r w:rsidRPr="00296D0C">
              <w:rPr>
                <w:rFonts w:eastAsia="Times New Roman" w:cs="Times New Roman"/>
              </w:rPr>
              <w:t>)</w:t>
            </w:r>
          </w:p>
        </w:tc>
        <w:tc>
          <w:tcPr>
            <w:tcW w:w="1397" w:type="dxa"/>
            <w:gridSpan w:val="2"/>
            <w:tcBorders>
              <w:top w:val="nil"/>
              <w:left w:val="nil"/>
              <w:bottom w:val="nil"/>
              <w:right w:val="nil"/>
            </w:tcBorders>
            <w:shd w:val="clear" w:color="auto" w:fill="auto"/>
            <w:noWrap/>
            <w:vAlign w:val="center"/>
          </w:tcPr>
          <w:p w14:paraId="32A46919" w14:textId="77777777" w:rsidR="004E0D59" w:rsidRPr="00296D0C" w:rsidRDefault="004E0D59" w:rsidP="004E0D59">
            <w:pPr>
              <w:spacing w:after="0" w:line="240" w:lineRule="auto"/>
              <w:jc w:val="center"/>
              <w:rPr>
                <w:color w:val="000000"/>
              </w:rPr>
            </w:pPr>
            <w:r w:rsidRPr="00296D0C">
              <w:rPr>
                <w:color w:val="000000"/>
              </w:rPr>
              <w:t>1254</w:t>
            </w:r>
          </w:p>
        </w:tc>
        <w:tc>
          <w:tcPr>
            <w:tcW w:w="1756" w:type="dxa"/>
            <w:gridSpan w:val="2"/>
            <w:tcBorders>
              <w:top w:val="nil"/>
              <w:left w:val="nil"/>
              <w:bottom w:val="nil"/>
              <w:right w:val="nil"/>
            </w:tcBorders>
            <w:shd w:val="clear" w:color="auto" w:fill="auto"/>
            <w:noWrap/>
            <w:vAlign w:val="center"/>
          </w:tcPr>
          <w:p w14:paraId="6860BB39" w14:textId="77777777" w:rsidR="004E0D59" w:rsidRPr="00296D0C" w:rsidRDefault="004E0D59" w:rsidP="004E0D59">
            <w:pPr>
              <w:spacing w:after="0" w:line="240" w:lineRule="auto"/>
              <w:jc w:val="center"/>
              <w:rPr>
                <w:color w:val="000000"/>
              </w:rPr>
            </w:pPr>
            <w:r w:rsidRPr="00296D0C">
              <w:rPr>
                <w:color w:val="000000"/>
              </w:rPr>
              <w:t>-0.0</w:t>
            </w:r>
            <w:r w:rsidR="00C8126B" w:rsidRPr="00296D0C">
              <w:rPr>
                <w:color w:val="000000"/>
              </w:rPr>
              <w:t>2</w:t>
            </w:r>
            <w:r w:rsidRPr="00296D0C">
              <w:rPr>
                <w:color w:val="000000"/>
              </w:rPr>
              <w:t xml:space="preserve"> </w:t>
            </w:r>
          </w:p>
          <w:p w14:paraId="61FB5D0F" w14:textId="77777777" w:rsidR="004E0D59" w:rsidRPr="00296D0C" w:rsidRDefault="004E0D59" w:rsidP="00C8126B">
            <w:pPr>
              <w:spacing w:after="0" w:line="240" w:lineRule="auto"/>
              <w:jc w:val="center"/>
              <w:rPr>
                <w:color w:val="000000"/>
              </w:rPr>
            </w:pPr>
            <w:r w:rsidRPr="00296D0C">
              <w:rPr>
                <w:color w:val="000000"/>
              </w:rPr>
              <w:t>(-0.25, 0.22)</w:t>
            </w:r>
          </w:p>
        </w:tc>
        <w:tc>
          <w:tcPr>
            <w:tcW w:w="958" w:type="dxa"/>
            <w:gridSpan w:val="2"/>
            <w:tcBorders>
              <w:top w:val="nil"/>
              <w:left w:val="nil"/>
              <w:bottom w:val="nil"/>
              <w:right w:val="nil"/>
            </w:tcBorders>
            <w:shd w:val="clear" w:color="auto" w:fill="auto"/>
            <w:noWrap/>
            <w:vAlign w:val="center"/>
          </w:tcPr>
          <w:p w14:paraId="032E031C" w14:textId="77777777" w:rsidR="004E0D59" w:rsidRPr="00296D0C" w:rsidRDefault="004E0D59" w:rsidP="004E0D59">
            <w:pPr>
              <w:spacing w:after="0" w:line="240" w:lineRule="auto"/>
              <w:jc w:val="center"/>
              <w:rPr>
                <w:color w:val="000000"/>
              </w:rPr>
            </w:pPr>
            <w:r w:rsidRPr="00296D0C">
              <w:rPr>
                <w:color w:val="000000"/>
              </w:rPr>
              <w:t>0.897</w:t>
            </w:r>
          </w:p>
        </w:tc>
        <w:tc>
          <w:tcPr>
            <w:tcW w:w="1548" w:type="dxa"/>
            <w:gridSpan w:val="2"/>
            <w:tcBorders>
              <w:top w:val="nil"/>
              <w:left w:val="nil"/>
              <w:bottom w:val="nil"/>
              <w:right w:val="nil"/>
            </w:tcBorders>
            <w:shd w:val="clear" w:color="auto" w:fill="auto"/>
            <w:vAlign w:val="center"/>
          </w:tcPr>
          <w:p w14:paraId="173A09EA" w14:textId="77777777" w:rsidR="004E0D59" w:rsidRPr="00296D0C" w:rsidRDefault="004E0D59" w:rsidP="004E0D59">
            <w:pPr>
              <w:spacing w:after="0" w:line="240" w:lineRule="auto"/>
              <w:jc w:val="center"/>
              <w:rPr>
                <w:color w:val="000000"/>
              </w:rPr>
            </w:pPr>
            <w:r w:rsidRPr="00296D0C">
              <w:rPr>
                <w:color w:val="000000"/>
              </w:rPr>
              <w:t>1263</w:t>
            </w:r>
          </w:p>
        </w:tc>
        <w:tc>
          <w:tcPr>
            <w:tcW w:w="1720" w:type="dxa"/>
            <w:gridSpan w:val="2"/>
            <w:tcBorders>
              <w:top w:val="nil"/>
              <w:left w:val="nil"/>
              <w:bottom w:val="nil"/>
              <w:right w:val="nil"/>
            </w:tcBorders>
            <w:shd w:val="clear" w:color="auto" w:fill="auto"/>
            <w:vAlign w:val="center"/>
          </w:tcPr>
          <w:p w14:paraId="289B0717" w14:textId="77777777" w:rsidR="004E0D59" w:rsidRPr="00296D0C" w:rsidRDefault="004E0D59" w:rsidP="004E0D59">
            <w:pPr>
              <w:spacing w:after="0" w:line="240" w:lineRule="auto"/>
              <w:jc w:val="center"/>
              <w:rPr>
                <w:color w:val="000000"/>
              </w:rPr>
            </w:pPr>
            <w:r w:rsidRPr="00296D0C">
              <w:rPr>
                <w:color w:val="000000"/>
              </w:rPr>
              <w:t>-0.0</w:t>
            </w:r>
            <w:r w:rsidR="00C8126B" w:rsidRPr="00296D0C">
              <w:rPr>
                <w:color w:val="000000"/>
              </w:rPr>
              <w:t>2</w:t>
            </w:r>
            <w:r w:rsidRPr="00296D0C">
              <w:rPr>
                <w:color w:val="000000"/>
              </w:rPr>
              <w:t xml:space="preserve"> </w:t>
            </w:r>
          </w:p>
          <w:p w14:paraId="5E6BC6DC" w14:textId="3B08C91A" w:rsidR="004E0D59" w:rsidRPr="00296D0C" w:rsidRDefault="004E0D59" w:rsidP="00514712">
            <w:pPr>
              <w:spacing w:after="0" w:line="240" w:lineRule="auto"/>
              <w:jc w:val="center"/>
              <w:rPr>
                <w:color w:val="000000"/>
              </w:rPr>
            </w:pPr>
            <w:r w:rsidRPr="00296D0C">
              <w:rPr>
                <w:color w:val="000000"/>
              </w:rPr>
              <w:t>(-0.38, 0.3</w:t>
            </w:r>
            <w:r w:rsidR="00514712">
              <w:rPr>
                <w:color w:val="000000"/>
              </w:rPr>
              <w:t>5</w:t>
            </w:r>
            <w:r w:rsidRPr="00296D0C">
              <w:rPr>
                <w:color w:val="000000"/>
              </w:rPr>
              <w:t>)</w:t>
            </w:r>
          </w:p>
        </w:tc>
        <w:tc>
          <w:tcPr>
            <w:tcW w:w="1852" w:type="dxa"/>
            <w:gridSpan w:val="2"/>
            <w:tcBorders>
              <w:top w:val="nil"/>
              <w:left w:val="nil"/>
              <w:bottom w:val="nil"/>
              <w:right w:val="nil"/>
            </w:tcBorders>
            <w:shd w:val="clear" w:color="auto" w:fill="auto"/>
            <w:vAlign w:val="center"/>
          </w:tcPr>
          <w:p w14:paraId="67B8C707" w14:textId="77777777" w:rsidR="004E0D59" w:rsidRPr="00296D0C" w:rsidRDefault="004E0D59" w:rsidP="004E0D59">
            <w:pPr>
              <w:spacing w:after="0" w:line="240" w:lineRule="auto"/>
              <w:jc w:val="center"/>
              <w:rPr>
                <w:color w:val="000000"/>
              </w:rPr>
            </w:pPr>
            <w:r w:rsidRPr="00296D0C">
              <w:rPr>
                <w:color w:val="000000"/>
              </w:rPr>
              <w:t>0.917</w:t>
            </w:r>
          </w:p>
        </w:tc>
      </w:tr>
      <w:tr w:rsidR="004E0D59" w:rsidRPr="00296D0C" w14:paraId="78C0F426" w14:textId="77777777" w:rsidTr="00121A21">
        <w:trPr>
          <w:gridAfter w:val="1"/>
          <w:wAfter w:w="140" w:type="dxa"/>
          <w:trHeight w:val="300"/>
        </w:trPr>
        <w:tc>
          <w:tcPr>
            <w:tcW w:w="2518" w:type="dxa"/>
            <w:gridSpan w:val="2"/>
            <w:tcBorders>
              <w:top w:val="nil"/>
              <w:left w:val="nil"/>
              <w:right w:val="nil"/>
            </w:tcBorders>
            <w:shd w:val="clear" w:color="auto" w:fill="auto"/>
            <w:noWrap/>
            <w:vAlign w:val="center"/>
          </w:tcPr>
          <w:p w14:paraId="55A1335F" w14:textId="192B9752" w:rsidR="004E0D59" w:rsidRPr="00296D0C" w:rsidRDefault="004E0D59" w:rsidP="00D13128">
            <w:pPr>
              <w:spacing w:after="0" w:line="240" w:lineRule="auto"/>
              <w:rPr>
                <w:rFonts w:eastAsia="Times New Roman" w:cs="Times New Roman"/>
                <w:color w:val="000000"/>
              </w:rPr>
            </w:pPr>
            <w:r w:rsidRPr="00296D0C">
              <w:rPr>
                <w:rFonts w:eastAsia="Times New Roman" w:cs="Times New Roman"/>
                <w:color w:val="000000"/>
              </w:rPr>
              <w:t xml:space="preserve">Body fat </w:t>
            </w:r>
            <w:r w:rsidR="000063C3" w:rsidRPr="00296D0C">
              <w:rPr>
                <w:rFonts w:eastAsia="Times New Roman" w:cs="Times New Roman"/>
                <w:color w:val="000000"/>
              </w:rPr>
              <w:t>SDS</w:t>
            </w:r>
            <w:r w:rsidR="00A36D0F" w:rsidRPr="00296D0C">
              <w:rPr>
                <w:vertAlign w:val="superscript"/>
              </w:rPr>
              <w:t xml:space="preserve"> b</w:t>
            </w:r>
          </w:p>
        </w:tc>
        <w:tc>
          <w:tcPr>
            <w:tcW w:w="551" w:type="dxa"/>
            <w:gridSpan w:val="2"/>
            <w:tcBorders>
              <w:top w:val="nil"/>
              <w:left w:val="nil"/>
              <w:right w:val="nil"/>
            </w:tcBorders>
            <w:shd w:val="clear" w:color="auto" w:fill="auto"/>
            <w:noWrap/>
            <w:vAlign w:val="center"/>
          </w:tcPr>
          <w:p w14:paraId="243CB614" w14:textId="77777777" w:rsidR="004E0D59" w:rsidRPr="00296D0C" w:rsidRDefault="004E0D59" w:rsidP="004E0D59">
            <w:pPr>
              <w:spacing w:after="0" w:line="240" w:lineRule="auto"/>
              <w:jc w:val="center"/>
              <w:rPr>
                <w:rFonts w:eastAsia="Times New Roman" w:cs="Times New Roman"/>
                <w:color w:val="000000"/>
              </w:rPr>
            </w:pPr>
            <w:r w:rsidRPr="00296D0C">
              <w:rPr>
                <w:rFonts w:eastAsia="Times New Roman" w:cs="Times New Roman"/>
                <w:color w:val="000000"/>
              </w:rPr>
              <w:t>618</w:t>
            </w:r>
          </w:p>
        </w:tc>
        <w:tc>
          <w:tcPr>
            <w:tcW w:w="1226" w:type="dxa"/>
            <w:tcBorders>
              <w:top w:val="nil"/>
              <w:left w:val="nil"/>
              <w:right w:val="nil"/>
            </w:tcBorders>
            <w:shd w:val="clear" w:color="auto" w:fill="auto"/>
            <w:noWrap/>
            <w:vAlign w:val="center"/>
          </w:tcPr>
          <w:p w14:paraId="4821ECB0" w14:textId="77777777" w:rsidR="004E0D59" w:rsidRPr="00296D0C" w:rsidRDefault="004E0D59" w:rsidP="00C8126B">
            <w:pPr>
              <w:spacing w:after="0" w:line="240" w:lineRule="auto"/>
              <w:jc w:val="center"/>
              <w:rPr>
                <w:rFonts w:eastAsia="Times New Roman" w:cs="Times New Roman"/>
              </w:rPr>
            </w:pPr>
            <w:r w:rsidRPr="00296D0C">
              <w:rPr>
                <w:rFonts w:eastAsia="Times New Roman" w:cs="Times New Roman"/>
              </w:rPr>
              <w:t>-0.7</w:t>
            </w:r>
            <w:r w:rsidR="00C8126B" w:rsidRPr="00296D0C">
              <w:rPr>
                <w:rFonts w:eastAsia="Times New Roman" w:cs="Times New Roman"/>
              </w:rPr>
              <w:t>4</w:t>
            </w:r>
            <w:r w:rsidRPr="00296D0C">
              <w:rPr>
                <w:rFonts w:eastAsia="Times New Roman" w:cs="Times New Roman"/>
              </w:rPr>
              <w:t xml:space="preserve"> (1.84)</w:t>
            </w:r>
          </w:p>
        </w:tc>
        <w:tc>
          <w:tcPr>
            <w:tcW w:w="585" w:type="dxa"/>
            <w:gridSpan w:val="2"/>
            <w:tcBorders>
              <w:top w:val="nil"/>
              <w:left w:val="nil"/>
              <w:right w:val="nil"/>
            </w:tcBorders>
            <w:shd w:val="clear" w:color="auto" w:fill="auto"/>
            <w:noWrap/>
            <w:vAlign w:val="center"/>
          </w:tcPr>
          <w:p w14:paraId="58820A75" w14:textId="77777777" w:rsidR="004E0D59" w:rsidRPr="00296D0C" w:rsidRDefault="004E0D59" w:rsidP="004E0D59">
            <w:pPr>
              <w:spacing w:after="0" w:line="240" w:lineRule="auto"/>
              <w:jc w:val="center"/>
              <w:rPr>
                <w:rFonts w:eastAsia="Times New Roman" w:cs="Times New Roman"/>
              </w:rPr>
            </w:pPr>
            <w:r w:rsidRPr="00296D0C">
              <w:rPr>
                <w:rFonts w:eastAsia="Times New Roman" w:cs="Times New Roman"/>
              </w:rPr>
              <w:t>593</w:t>
            </w:r>
          </w:p>
        </w:tc>
        <w:tc>
          <w:tcPr>
            <w:tcW w:w="1116" w:type="dxa"/>
            <w:gridSpan w:val="2"/>
            <w:tcBorders>
              <w:top w:val="nil"/>
              <w:left w:val="nil"/>
              <w:right w:val="nil"/>
            </w:tcBorders>
            <w:shd w:val="clear" w:color="auto" w:fill="auto"/>
            <w:noWrap/>
            <w:vAlign w:val="center"/>
          </w:tcPr>
          <w:p w14:paraId="0FD80146" w14:textId="77777777" w:rsidR="004E0D59" w:rsidRPr="00296D0C" w:rsidRDefault="004E0D59" w:rsidP="00C8126B">
            <w:pPr>
              <w:spacing w:after="0" w:line="240" w:lineRule="auto"/>
              <w:jc w:val="center"/>
              <w:rPr>
                <w:rFonts w:eastAsia="Times New Roman" w:cs="Times New Roman"/>
              </w:rPr>
            </w:pPr>
            <w:r w:rsidRPr="00296D0C">
              <w:rPr>
                <w:rFonts w:eastAsia="Times New Roman" w:cs="Times New Roman"/>
              </w:rPr>
              <w:t>-0.7</w:t>
            </w:r>
            <w:r w:rsidR="00C8126B" w:rsidRPr="00296D0C">
              <w:rPr>
                <w:rFonts w:eastAsia="Times New Roman" w:cs="Times New Roman"/>
              </w:rPr>
              <w:t>5</w:t>
            </w:r>
            <w:r w:rsidRPr="00296D0C">
              <w:rPr>
                <w:rFonts w:eastAsia="Times New Roman" w:cs="Times New Roman"/>
              </w:rPr>
              <w:t xml:space="preserve"> (1.7</w:t>
            </w:r>
            <w:r w:rsidR="00C8126B" w:rsidRPr="00296D0C">
              <w:rPr>
                <w:rFonts w:eastAsia="Times New Roman" w:cs="Times New Roman"/>
              </w:rPr>
              <w:t>3</w:t>
            </w:r>
            <w:r w:rsidRPr="00296D0C">
              <w:rPr>
                <w:rFonts w:eastAsia="Times New Roman" w:cs="Times New Roman"/>
              </w:rPr>
              <w:t>)</w:t>
            </w:r>
          </w:p>
        </w:tc>
        <w:tc>
          <w:tcPr>
            <w:tcW w:w="1397" w:type="dxa"/>
            <w:gridSpan w:val="2"/>
            <w:tcBorders>
              <w:top w:val="nil"/>
              <w:left w:val="nil"/>
              <w:bottom w:val="nil"/>
              <w:right w:val="nil"/>
            </w:tcBorders>
            <w:shd w:val="clear" w:color="auto" w:fill="auto"/>
            <w:noWrap/>
            <w:vAlign w:val="center"/>
          </w:tcPr>
          <w:p w14:paraId="6CB59AF1" w14:textId="77777777" w:rsidR="004E0D59" w:rsidRPr="00296D0C" w:rsidRDefault="004E0D59" w:rsidP="004E0D59">
            <w:pPr>
              <w:spacing w:after="0" w:line="240" w:lineRule="auto"/>
              <w:jc w:val="center"/>
              <w:rPr>
                <w:color w:val="000000"/>
              </w:rPr>
            </w:pPr>
            <w:r w:rsidRPr="00296D0C">
              <w:rPr>
                <w:color w:val="000000"/>
              </w:rPr>
              <w:t>1189</w:t>
            </w:r>
          </w:p>
        </w:tc>
        <w:tc>
          <w:tcPr>
            <w:tcW w:w="1756" w:type="dxa"/>
            <w:gridSpan w:val="2"/>
            <w:tcBorders>
              <w:top w:val="nil"/>
              <w:left w:val="nil"/>
              <w:bottom w:val="nil"/>
              <w:right w:val="nil"/>
            </w:tcBorders>
            <w:shd w:val="clear" w:color="auto" w:fill="auto"/>
            <w:noWrap/>
            <w:vAlign w:val="center"/>
          </w:tcPr>
          <w:p w14:paraId="0E05F874" w14:textId="5B17CF4C" w:rsidR="004E0D59" w:rsidRPr="00296D0C" w:rsidRDefault="004E0D59" w:rsidP="004E0D59">
            <w:pPr>
              <w:spacing w:after="0" w:line="240" w:lineRule="auto"/>
              <w:jc w:val="center"/>
              <w:rPr>
                <w:color w:val="000000"/>
              </w:rPr>
            </w:pPr>
            <w:r w:rsidRPr="00296D0C">
              <w:rPr>
                <w:color w:val="000000"/>
              </w:rPr>
              <w:t xml:space="preserve">-0.02 </w:t>
            </w:r>
          </w:p>
          <w:p w14:paraId="16193902" w14:textId="77777777" w:rsidR="004E0D59" w:rsidRPr="00296D0C" w:rsidRDefault="004E0D59" w:rsidP="00C8126B">
            <w:pPr>
              <w:spacing w:after="0" w:line="240" w:lineRule="auto"/>
              <w:jc w:val="center"/>
              <w:rPr>
                <w:color w:val="000000"/>
              </w:rPr>
            </w:pPr>
            <w:r w:rsidRPr="00296D0C">
              <w:rPr>
                <w:color w:val="000000"/>
              </w:rPr>
              <w:t>(-0.1</w:t>
            </w:r>
            <w:r w:rsidR="00C8126B" w:rsidRPr="00296D0C">
              <w:rPr>
                <w:color w:val="000000"/>
              </w:rPr>
              <w:t>6</w:t>
            </w:r>
            <w:r w:rsidRPr="00296D0C">
              <w:rPr>
                <w:color w:val="000000"/>
              </w:rPr>
              <w:t>, 0.1</w:t>
            </w:r>
            <w:r w:rsidR="00C8126B" w:rsidRPr="00296D0C">
              <w:rPr>
                <w:color w:val="000000"/>
              </w:rPr>
              <w:t>2</w:t>
            </w:r>
            <w:r w:rsidRPr="00296D0C">
              <w:rPr>
                <w:color w:val="000000"/>
              </w:rPr>
              <w:t xml:space="preserve"> )</w:t>
            </w:r>
          </w:p>
        </w:tc>
        <w:tc>
          <w:tcPr>
            <w:tcW w:w="958" w:type="dxa"/>
            <w:gridSpan w:val="2"/>
            <w:tcBorders>
              <w:top w:val="nil"/>
              <w:left w:val="nil"/>
              <w:bottom w:val="nil"/>
              <w:right w:val="nil"/>
            </w:tcBorders>
            <w:shd w:val="clear" w:color="auto" w:fill="auto"/>
            <w:noWrap/>
            <w:vAlign w:val="center"/>
          </w:tcPr>
          <w:p w14:paraId="60ACC469" w14:textId="77777777" w:rsidR="004E0D59" w:rsidRPr="00296D0C" w:rsidRDefault="004E0D59" w:rsidP="004E0D59">
            <w:pPr>
              <w:spacing w:after="0" w:line="240" w:lineRule="auto"/>
              <w:jc w:val="center"/>
              <w:rPr>
                <w:color w:val="000000"/>
              </w:rPr>
            </w:pPr>
            <w:r w:rsidRPr="00296D0C">
              <w:rPr>
                <w:color w:val="000000"/>
              </w:rPr>
              <w:t>0.765</w:t>
            </w:r>
          </w:p>
        </w:tc>
        <w:tc>
          <w:tcPr>
            <w:tcW w:w="1548" w:type="dxa"/>
            <w:gridSpan w:val="2"/>
            <w:tcBorders>
              <w:top w:val="nil"/>
              <w:left w:val="nil"/>
              <w:bottom w:val="nil"/>
              <w:right w:val="nil"/>
            </w:tcBorders>
            <w:shd w:val="clear" w:color="auto" w:fill="auto"/>
            <w:vAlign w:val="center"/>
          </w:tcPr>
          <w:p w14:paraId="5EF7E34F" w14:textId="77777777" w:rsidR="004E0D59" w:rsidRPr="00296D0C" w:rsidRDefault="004E0D59" w:rsidP="004E0D59">
            <w:pPr>
              <w:spacing w:after="0" w:line="240" w:lineRule="auto"/>
              <w:jc w:val="center"/>
              <w:rPr>
                <w:color w:val="000000"/>
              </w:rPr>
            </w:pPr>
            <w:r w:rsidRPr="00296D0C">
              <w:rPr>
                <w:color w:val="000000"/>
              </w:rPr>
              <w:t>1211</w:t>
            </w:r>
          </w:p>
        </w:tc>
        <w:tc>
          <w:tcPr>
            <w:tcW w:w="1720" w:type="dxa"/>
            <w:gridSpan w:val="2"/>
            <w:tcBorders>
              <w:top w:val="nil"/>
              <w:left w:val="nil"/>
              <w:bottom w:val="nil"/>
              <w:right w:val="nil"/>
            </w:tcBorders>
            <w:shd w:val="clear" w:color="auto" w:fill="auto"/>
            <w:vAlign w:val="center"/>
          </w:tcPr>
          <w:p w14:paraId="66D82E81" w14:textId="77777777" w:rsidR="004E0D59" w:rsidRPr="00296D0C" w:rsidRDefault="004E0D59" w:rsidP="004E0D59">
            <w:pPr>
              <w:spacing w:after="0" w:line="240" w:lineRule="auto"/>
              <w:jc w:val="center"/>
              <w:rPr>
                <w:color w:val="000000"/>
              </w:rPr>
            </w:pPr>
            <w:r w:rsidRPr="00296D0C">
              <w:rPr>
                <w:color w:val="000000"/>
              </w:rPr>
              <w:t>0.01</w:t>
            </w:r>
          </w:p>
          <w:p w14:paraId="0E7CFEC8" w14:textId="77777777" w:rsidR="004E0D59" w:rsidRPr="00296D0C" w:rsidRDefault="004E0D59" w:rsidP="00C8126B">
            <w:pPr>
              <w:spacing w:after="0" w:line="240" w:lineRule="auto"/>
              <w:jc w:val="center"/>
              <w:rPr>
                <w:color w:val="000000"/>
              </w:rPr>
            </w:pPr>
            <w:r w:rsidRPr="00296D0C">
              <w:rPr>
                <w:color w:val="000000"/>
              </w:rPr>
              <w:t>(-0.2</w:t>
            </w:r>
            <w:r w:rsidR="00C8126B" w:rsidRPr="00296D0C">
              <w:rPr>
                <w:color w:val="000000"/>
              </w:rPr>
              <w:t>9</w:t>
            </w:r>
            <w:r w:rsidRPr="00296D0C">
              <w:rPr>
                <w:color w:val="000000"/>
              </w:rPr>
              <w:t>, 0.31 )</w:t>
            </w:r>
          </w:p>
        </w:tc>
        <w:tc>
          <w:tcPr>
            <w:tcW w:w="1852" w:type="dxa"/>
            <w:gridSpan w:val="2"/>
            <w:tcBorders>
              <w:top w:val="nil"/>
              <w:left w:val="nil"/>
              <w:bottom w:val="nil"/>
              <w:right w:val="nil"/>
            </w:tcBorders>
            <w:shd w:val="clear" w:color="auto" w:fill="auto"/>
            <w:vAlign w:val="center"/>
          </w:tcPr>
          <w:p w14:paraId="6C46F20E" w14:textId="77777777" w:rsidR="004E0D59" w:rsidRPr="00296D0C" w:rsidRDefault="004E0D59" w:rsidP="004E0D59">
            <w:pPr>
              <w:spacing w:after="0" w:line="240" w:lineRule="auto"/>
              <w:jc w:val="center"/>
              <w:rPr>
                <w:color w:val="000000"/>
              </w:rPr>
            </w:pPr>
            <w:r w:rsidRPr="00296D0C">
              <w:rPr>
                <w:color w:val="000000"/>
              </w:rPr>
              <w:t>0.938</w:t>
            </w:r>
          </w:p>
        </w:tc>
      </w:tr>
    </w:tbl>
    <w:p w14:paraId="26DFDBD4" w14:textId="77777777" w:rsidR="00CC0687" w:rsidRPr="00296D0C" w:rsidRDefault="00CC0687" w:rsidP="00121A21">
      <w:pPr>
        <w:spacing w:after="0" w:line="240" w:lineRule="auto"/>
        <w:rPr>
          <w:iCs/>
        </w:rPr>
      </w:pPr>
    </w:p>
    <w:p w14:paraId="4BAC7419" w14:textId="77777777" w:rsidR="00121A21" w:rsidRPr="00FD7E39" w:rsidRDefault="00121A21" w:rsidP="00121A21">
      <w:pPr>
        <w:spacing w:after="0" w:line="240" w:lineRule="auto"/>
        <w:rPr>
          <w:iCs/>
          <w:sz w:val="18"/>
          <w:szCs w:val="18"/>
        </w:rPr>
      </w:pPr>
      <w:r w:rsidRPr="00FD7E39">
        <w:rPr>
          <w:iCs/>
          <w:sz w:val="18"/>
          <w:szCs w:val="18"/>
        </w:rPr>
        <w:t xml:space="preserve">Notes: Number and percentage of children within weight status categories and mean (standard deviation) of anthropometric measures for each randomised group and estimate of the effect of the intervention (95% confidence intervals and p-values) for analyses with and without adjustment for stratification variables, cohort, baseline BMI SDS and gender.  </w:t>
      </w:r>
    </w:p>
    <w:p w14:paraId="31EEC95C" w14:textId="60FB51C8" w:rsidR="00121A21" w:rsidRPr="00FD7E39" w:rsidRDefault="00121A21" w:rsidP="00121A21">
      <w:pPr>
        <w:spacing w:after="0" w:line="240" w:lineRule="auto"/>
        <w:rPr>
          <w:sz w:val="18"/>
          <w:szCs w:val="18"/>
        </w:rPr>
      </w:pPr>
      <w:r w:rsidRPr="00FD7E39">
        <w:rPr>
          <w:sz w:val="18"/>
          <w:szCs w:val="18"/>
          <w:vertAlign w:val="superscript"/>
        </w:rPr>
        <w:t>a</w:t>
      </w:r>
      <w:r w:rsidRPr="00FD7E39">
        <w:rPr>
          <w:sz w:val="18"/>
          <w:szCs w:val="18"/>
        </w:rPr>
        <w:t xml:space="preserve"> weight status categories are defined using the Public Health England definitions </w:t>
      </w:r>
      <w:r w:rsidRPr="00FD7E39">
        <w:rPr>
          <w:sz w:val="18"/>
          <w:szCs w:val="18"/>
        </w:rPr>
        <w:fldChar w:fldCharType="begin"/>
      </w:r>
      <w:r w:rsidR="006B3301">
        <w:rPr>
          <w:sz w:val="18"/>
          <w:szCs w:val="18"/>
        </w:rPr>
        <w:instrText xml:space="preserve"> ADDIN EN.CITE &lt;EndNote&gt;&lt;Cite ExcludeYear="1"&gt;&lt;Author&gt;Public Health England&lt;/Author&gt;&lt;RecNum&gt;5675&lt;/RecNum&gt;&lt;DisplayText&gt;&lt;style face="superscript"&gt;54&lt;/style&gt;&lt;/DisplayText&gt;&lt;record&gt;&lt;rec-number&gt;5675&lt;/rec-number&gt;&lt;foreign-keys&gt;&lt;key app="EN" db-id="2ewa9rrvjsdsawep2vpx5x97eedzzvxx5rta" timestamp="1457606878"&gt;5675&lt;/key&gt;&lt;/foreign-keys&gt;&lt;ref-type name="Web Page"&gt;12&lt;/ref-type&gt;&lt;contributors&gt;&lt;authors&gt;&lt;author&gt;Public Health England,&lt;/author&gt;&lt;/authors&gt;&lt;/contributors&gt;&lt;titles&gt;&lt;title&gt;Measuring and interpreting BMI in Children&lt;/title&gt;&lt;/titles&gt;&lt;number&gt;10 March 2016&lt;/number&gt;&lt;dates&gt;&lt;/dates&gt;&lt;urls&gt;&lt;related-urls&gt;&lt;url&gt;www.noo.org.uk/NOO_about_obesity/measurement/children&lt;/url&gt;&lt;/related-urls&gt;&lt;/urls&gt;&lt;/record&gt;&lt;/Cite&gt;&lt;/EndNote&gt;</w:instrText>
      </w:r>
      <w:r w:rsidRPr="00FD7E39">
        <w:rPr>
          <w:sz w:val="18"/>
          <w:szCs w:val="18"/>
        </w:rPr>
        <w:fldChar w:fldCharType="separate"/>
      </w:r>
      <w:r w:rsidR="008C43BF" w:rsidRPr="008C43BF">
        <w:rPr>
          <w:noProof/>
          <w:sz w:val="18"/>
          <w:szCs w:val="18"/>
          <w:vertAlign w:val="superscript"/>
        </w:rPr>
        <w:t>54</w:t>
      </w:r>
      <w:r w:rsidRPr="00FD7E39">
        <w:rPr>
          <w:sz w:val="18"/>
          <w:szCs w:val="18"/>
        </w:rPr>
        <w:fldChar w:fldCharType="end"/>
      </w:r>
      <w:r w:rsidRPr="00FD7E39">
        <w:rPr>
          <w:sz w:val="18"/>
          <w:szCs w:val="18"/>
          <w:highlight w:val="yellow"/>
        </w:rPr>
        <w:t xml:space="preserve"> </w:t>
      </w:r>
    </w:p>
    <w:p w14:paraId="30AFA5F0" w14:textId="77777777" w:rsidR="00121A21" w:rsidRPr="00FD7E39" w:rsidRDefault="00121A21" w:rsidP="00121A21">
      <w:pPr>
        <w:spacing w:after="0" w:line="240" w:lineRule="auto"/>
        <w:rPr>
          <w:sz w:val="18"/>
          <w:szCs w:val="18"/>
        </w:rPr>
      </w:pPr>
      <w:r w:rsidRPr="00FD7E39">
        <w:rPr>
          <w:sz w:val="18"/>
          <w:szCs w:val="18"/>
          <w:vertAlign w:val="superscript"/>
        </w:rPr>
        <w:t>b</w:t>
      </w:r>
      <w:r w:rsidRPr="00FD7E39">
        <w:rPr>
          <w:sz w:val="18"/>
          <w:szCs w:val="18"/>
        </w:rPr>
        <w:t xml:space="preserve"> after excluding extreme body fat absolute SDs values greater than or equal to five</w:t>
      </w:r>
    </w:p>
    <w:p w14:paraId="036A0D15" w14:textId="049F4396" w:rsidR="00121A21" w:rsidRPr="00296D0C" w:rsidRDefault="00121A21" w:rsidP="00121A21">
      <w:pPr>
        <w:spacing w:after="0" w:line="240" w:lineRule="auto"/>
        <w:rPr>
          <w:iCs/>
        </w:rPr>
      </w:pPr>
      <w:r w:rsidRPr="00296D0C">
        <w:rPr>
          <w:b/>
          <w:iCs/>
        </w:rPr>
        <w:lastRenderedPageBreak/>
        <w:t>T</w:t>
      </w:r>
      <w:r w:rsidR="00EA501F" w:rsidRPr="00296D0C">
        <w:rPr>
          <w:b/>
          <w:iCs/>
        </w:rPr>
        <w:t>ABLE</w:t>
      </w:r>
      <w:r w:rsidRPr="00296D0C">
        <w:rPr>
          <w:b/>
          <w:iCs/>
        </w:rPr>
        <w:t xml:space="preserve"> </w:t>
      </w:r>
      <w:r w:rsidR="00EA501F" w:rsidRPr="00296D0C">
        <w:rPr>
          <w:b/>
          <w:iCs/>
        </w:rPr>
        <w:t>1</w:t>
      </w:r>
      <w:r w:rsidR="00AB5A7B">
        <w:rPr>
          <w:b/>
          <w:iCs/>
        </w:rPr>
        <w:t>2</w:t>
      </w:r>
      <w:r w:rsidRPr="00296D0C">
        <w:rPr>
          <w:b/>
          <w:i/>
          <w:iCs/>
        </w:rPr>
        <w:t xml:space="preserve"> </w:t>
      </w:r>
      <w:r w:rsidRPr="00296D0C">
        <w:rPr>
          <w:b/>
          <w:iCs/>
        </w:rPr>
        <w:t>Primary analysis, both adjusted and unadjusted, for Physical Activity outcomes at 18 months post baseline</w:t>
      </w:r>
    </w:p>
    <w:p w14:paraId="168493D5" w14:textId="77777777" w:rsidR="00121A21" w:rsidRPr="00296D0C" w:rsidRDefault="00121A21" w:rsidP="00121A21">
      <w:pPr>
        <w:spacing w:after="0" w:line="240" w:lineRule="auto"/>
        <w:rPr>
          <w:iCs/>
        </w:rPr>
      </w:pPr>
    </w:p>
    <w:tbl>
      <w:tblPr>
        <w:tblW w:w="15225" w:type="dxa"/>
        <w:tblLook w:val="04A0" w:firstRow="1" w:lastRow="0" w:firstColumn="1" w:lastColumn="0" w:noHBand="0" w:noVBand="1"/>
      </w:tblPr>
      <w:tblGrid>
        <w:gridCol w:w="2441"/>
        <w:gridCol w:w="1358"/>
        <w:gridCol w:w="1226"/>
        <w:gridCol w:w="1035"/>
        <w:gridCol w:w="1116"/>
        <w:gridCol w:w="1397"/>
        <w:gridCol w:w="1756"/>
        <w:gridCol w:w="958"/>
        <w:gridCol w:w="1231"/>
        <w:gridCol w:w="1425"/>
        <w:gridCol w:w="1282"/>
      </w:tblGrid>
      <w:tr w:rsidR="00121A21" w:rsidRPr="00296D0C" w14:paraId="336D14C2" w14:textId="77777777" w:rsidTr="005638A8">
        <w:trPr>
          <w:trHeight w:val="300"/>
          <w:tblHeader/>
        </w:trPr>
        <w:tc>
          <w:tcPr>
            <w:tcW w:w="2441" w:type="dxa"/>
            <w:shd w:val="clear" w:color="auto" w:fill="00CCFF"/>
            <w:noWrap/>
            <w:vAlign w:val="center"/>
          </w:tcPr>
          <w:p w14:paraId="77280481" w14:textId="77777777" w:rsidR="00121A21" w:rsidRPr="00296D0C" w:rsidRDefault="00121A21" w:rsidP="005638A8">
            <w:pPr>
              <w:spacing w:after="0" w:line="240" w:lineRule="auto"/>
              <w:rPr>
                <w:rFonts w:eastAsia="Times New Roman" w:cs="Times New Roman"/>
                <w:color w:val="000000"/>
              </w:rPr>
            </w:pPr>
          </w:p>
        </w:tc>
        <w:tc>
          <w:tcPr>
            <w:tcW w:w="2584" w:type="dxa"/>
            <w:gridSpan w:val="2"/>
            <w:shd w:val="clear" w:color="auto" w:fill="00CCFF"/>
            <w:noWrap/>
            <w:vAlign w:val="center"/>
          </w:tcPr>
          <w:p w14:paraId="5541B68F" w14:textId="77777777" w:rsidR="00121A21" w:rsidRPr="00296D0C" w:rsidRDefault="00121A21" w:rsidP="005638A8">
            <w:pPr>
              <w:spacing w:after="0" w:line="240" w:lineRule="auto"/>
              <w:jc w:val="center"/>
              <w:rPr>
                <w:rFonts w:eastAsia="Times New Roman" w:cs="Times New Roman"/>
                <w:color w:val="000000"/>
              </w:rPr>
            </w:pPr>
            <w:r w:rsidRPr="00296D0C">
              <w:rPr>
                <w:rFonts w:eastAsia="Times New Roman" w:cs="Times New Roman"/>
                <w:b/>
                <w:color w:val="000000"/>
              </w:rPr>
              <w:t>Intervention Group</w:t>
            </w:r>
          </w:p>
        </w:tc>
        <w:tc>
          <w:tcPr>
            <w:tcW w:w="2151" w:type="dxa"/>
            <w:gridSpan w:val="2"/>
            <w:shd w:val="clear" w:color="auto" w:fill="00CCFF"/>
            <w:noWrap/>
            <w:vAlign w:val="center"/>
          </w:tcPr>
          <w:p w14:paraId="550562CA" w14:textId="77777777" w:rsidR="00121A21" w:rsidRPr="00296D0C" w:rsidRDefault="00121A21" w:rsidP="005638A8">
            <w:pPr>
              <w:spacing w:after="0" w:line="240" w:lineRule="auto"/>
              <w:jc w:val="center"/>
              <w:rPr>
                <w:rFonts w:eastAsia="Times New Roman" w:cs="Times New Roman"/>
                <w:color w:val="000000"/>
              </w:rPr>
            </w:pPr>
            <w:r w:rsidRPr="00296D0C">
              <w:rPr>
                <w:rFonts w:eastAsia="Times New Roman" w:cs="Times New Roman"/>
                <w:b/>
                <w:color w:val="000000"/>
              </w:rPr>
              <w:t>Control Group</w:t>
            </w:r>
          </w:p>
        </w:tc>
        <w:tc>
          <w:tcPr>
            <w:tcW w:w="3153" w:type="dxa"/>
            <w:gridSpan w:val="2"/>
            <w:shd w:val="clear" w:color="auto" w:fill="00CCFF"/>
            <w:noWrap/>
            <w:vAlign w:val="center"/>
          </w:tcPr>
          <w:p w14:paraId="4AABCD3A" w14:textId="77777777" w:rsidR="00121A21" w:rsidRPr="00296D0C" w:rsidRDefault="00121A21" w:rsidP="005638A8">
            <w:pPr>
              <w:spacing w:after="0" w:line="240" w:lineRule="auto"/>
              <w:jc w:val="center"/>
              <w:rPr>
                <w:rFonts w:eastAsia="Times New Roman" w:cs="Times New Roman"/>
                <w:color w:val="000000"/>
              </w:rPr>
            </w:pPr>
            <w:r w:rsidRPr="00296D0C">
              <w:rPr>
                <w:rFonts w:eastAsia="Times New Roman" w:cs="Times New Roman"/>
                <w:b/>
                <w:color w:val="000000"/>
              </w:rPr>
              <w:t>Adjusted analysis</w:t>
            </w:r>
          </w:p>
        </w:tc>
        <w:tc>
          <w:tcPr>
            <w:tcW w:w="958" w:type="dxa"/>
            <w:shd w:val="clear" w:color="auto" w:fill="00CCFF"/>
            <w:noWrap/>
            <w:vAlign w:val="center"/>
          </w:tcPr>
          <w:p w14:paraId="3BED0ED9" w14:textId="77777777" w:rsidR="00121A21" w:rsidRPr="00296D0C" w:rsidRDefault="00121A21" w:rsidP="005638A8">
            <w:pPr>
              <w:spacing w:after="0" w:line="240" w:lineRule="auto"/>
              <w:jc w:val="center"/>
              <w:rPr>
                <w:rFonts w:eastAsia="Times New Roman" w:cs="Times New Roman"/>
                <w:color w:val="000000"/>
              </w:rPr>
            </w:pPr>
          </w:p>
        </w:tc>
        <w:tc>
          <w:tcPr>
            <w:tcW w:w="2656" w:type="dxa"/>
            <w:gridSpan w:val="2"/>
            <w:shd w:val="clear" w:color="auto" w:fill="00CCFF"/>
            <w:vAlign w:val="center"/>
          </w:tcPr>
          <w:p w14:paraId="105F8070" w14:textId="77777777" w:rsidR="00121A21" w:rsidRPr="00296D0C" w:rsidRDefault="00121A21" w:rsidP="005638A8">
            <w:pPr>
              <w:spacing w:after="0" w:line="240" w:lineRule="auto"/>
              <w:jc w:val="center"/>
              <w:rPr>
                <w:rFonts w:eastAsia="Times New Roman" w:cs="Times New Roman"/>
                <w:color w:val="000000"/>
              </w:rPr>
            </w:pPr>
            <w:r w:rsidRPr="00296D0C">
              <w:rPr>
                <w:rFonts w:eastAsia="Times New Roman" w:cs="Times New Roman"/>
                <w:b/>
                <w:color w:val="000000"/>
              </w:rPr>
              <w:t>Unadjusted analysis</w:t>
            </w:r>
          </w:p>
        </w:tc>
        <w:tc>
          <w:tcPr>
            <w:tcW w:w="1282" w:type="dxa"/>
            <w:shd w:val="clear" w:color="auto" w:fill="00CCFF"/>
            <w:vAlign w:val="center"/>
          </w:tcPr>
          <w:p w14:paraId="3ACF07DA" w14:textId="77777777" w:rsidR="00121A21" w:rsidRPr="00296D0C" w:rsidRDefault="00121A21" w:rsidP="005638A8">
            <w:pPr>
              <w:spacing w:after="0" w:line="240" w:lineRule="auto"/>
              <w:jc w:val="center"/>
              <w:rPr>
                <w:rFonts w:eastAsia="Times New Roman" w:cs="Times New Roman"/>
                <w:color w:val="000000"/>
              </w:rPr>
            </w:pPr>
          </w:p>
        </w:tc>
      </w:tr>
      <w:tr w:rsidR="00121A21" w:rsidRPr="00296D0C" w14:paraId="16BEC99A" w14:textId="77777777" w:rsidTr="005638A8">
        <w:trPr>
          <w:trHeight w:val="300"/>
          <w:tblHeader/>
        </w:trPr>
        <w:tc>
          <w:tcPr>
            <w:tcW w:w="2441" w:type="dxa"/>
            <w:shd w:val="clear" w:color="auto" w:fill="00CCFF"/>
            <w:noWrap/>
            <w:vAlign w:val="center"/>
            <w:hideMark/>
          </w:tcPr>
          <w:p w14:paraId="7AC212CA" w14:textId="77777777" w:rsidR="00121A21" w:rsidRPr="00296D0C" w:rsidRDefault="00121A21" w:rsidP="005638A8">
            <w:pPr>
              <w:spacing w:after="0" w:line="240" w:lineRule="auto"/>
              <w:rPr>
                <w:rFonts w:eastAsia="Times New Roman" w:cs="Times New Roman"/>
                <w:color w:val="000000"/>
              </w:rPr>
            </w:pPr>
            <w:r w:rsidRPr="00296D0C">
              <w:rPr>
                <w:rFonts w:eastAsia="Times New Roman" w:cs="Times New Roman"/>
                <w:color w:val="000000"/>
              </w:rPr>
              <w:t xml:space="preserve">Physical activity outcomes </w:t>
            </w:r>
          </w:p>
        </w:tc>
        <w:tc>
          <w:tcPr>
            <w:tcW w:w="1358" w:type="dxa"/>
            <w:shd w:val="clear" w:color="auto" w:fill="00CCFF"/>
            <w:noWrap/>
            <w:vAlign w:val="center"/>
            <w:hideMark/>
          </w:tcPr>
          <w:p w14:paraId="0257D80E" w14:textId="77777777" w:rsidR="00121A21" w:rsidRPr="00296D0C" w:rsidRDefault="00121A21" w:rsidP="005638A8">
            <w:pPr>
              <w:spacing w:after="0" w:line="240" w:lineRule="auto"/>
              <w:jc w:val="center"/>
              <w:rPr>
                <w:rFonts w:eastAsia="Times New Roman" w:cs="Times New Roman"/>
                <w:color w:val="000000"/>
              </w:rPr>
            </w:pPr>
            <w:r w:rsidRPr="00296D0C">
              <w:rPr>
                <w:rFonts w:eastAsia="Times New Roman" w:cs="Times New Roman"/>
                <w:color w:val="000000"/>
              </w:rPr>
              <w:t>n</w:t>
            </w:r>
          </w:p>
        </w:tc>
        <w:tc>
          <w:tcPr>
            <w:tcW w:w="1226" w:type="dxa"/>
            <w:shd w:val="clear" w:color="auto" w:fill="00CCFF"/>
            <w:noWrap/>
            <w:vAlign w:val="center"/>
            <w:hideMark/>
          </w:tcPr>
          <w:p w14:paraId="7F08508C" w14:textId="77777777" w:rsidR="00121A21" w:rsidRPr="00296D0C" w:rsidRDefault="00121A21" w:rsidP="005638A8">
            <w:pPr>
              <w:spacing w:after="0" w:line="240" w:lineRule="auto"/>
              <w:jc w:val="center"/>
              <w:rPr>
                <w:rFonts w:eastAsia="Times New Roman" w:cs="Times New Roman"/>
                <w:color w:val="000000"/>
              </w:rPr>
            </w:pPr>
            <w:r w:rsidRPr="00296D0C">
              <w:rPr>
                <w:rFonts w:eastAsia="Times New Roman" w:cs="Times New Roman"/>
                <w:color w:val="000000"/>
              </w:rPr>
              <w:t xml:space="preserve">Mean </w:t>
            </w:r>
          </w:p>
          <w:p w14:paraId="7D07054B" w14:textId="77777777" w:rsidR="00121A21" w:rsidRPr="00296D0C" w:rsidRDefault="00121A21" w:rsidP="005638A8">
            <w:pPr>
              <w:spacing w:after="0" w:line="240" w:lineRule="auto"/>
              <w:jc w:val="center"/>
              <w:rPr>
                <w:rFonts w:eastAsia="Times New Roman" w:cs="Times New Roman"/>
              </w:rPr>
            </w:pPr>
            <w:r w:rsidRPr="00296D0C">
              <w:rPr>
                <w:rFonts w:eastAsia="Times New Roman" w:cs="Times New Roman"/>
                <w:color w:val="000000"/>
              </w:rPr>
              <w:t>(SD)</w:t>
            </w:r>
          </w:p>
        </w:tc>
        <w:tc>
          <w:tcPr>
            <w:tcW w:w="1035" w:type="dxa"/>
            <w:shd w:val="clear" w:color="auto" w:fill="00CCFF"/>
            <w:noWrap/>
            <w:vAlign w:val="center"/>
            <w:hideMark/>
          </w:tcPr>
          <w:p w14:paraId="1162F786" w14:textId="3B78832E" w:rsidR="00121A21" w:rsidRPr="00296D0C" w:rsidRDefault="00514712" w:rsidP="00514712">
            <w:pPr>
              <w:spacing w:after="0" w:line="240" w:lineRule="auto"/>
              <w:jc w:val="center"/>
              <w:rPr>
                <w:rFonts w:eastAsia="Times New Roman" w:cs="Times New Roman"/>
              </w:rPr>
            </w:pPr>
            <w:r>
              <w:rPr>
                <w:rFonts w:eastAsia="Times New Roman" w:cs="Times New Roman"/>
                <w:color w:val="000000"/>
              </w:rPr>
              <w:t>n</w:t>
            </w:r>
          </w:p>
        </w:tc>
        <w:tc>
          <w:tcPr>
            <w:tcW w:w="1116" w:type="dxa"/>
            <w:shd w:val="clear" w:color="auto" w:fill="00CCFF"/>
            <w:noWrap/>
            <w:vAlign w:val="center"/>
            <w:hideMark/>
          </w:tcPr>
          <w:p w14:paraId="1CBE8B1A" w14:textId="77777777" w:rsidR="00121A21" w:rsidRPr="00296D0C" w:rsidRDefault="00121A21" w:rsidP="005638A8">
            <w:pPr>
              <w:spacing w:after="0" w:line="240" w:lineRule="auto"/>
              <w:jc w:val="center"/>
              <w:rPr>
                <w:rFonts w:eastAsia="Times New Roman" w:cs="Times New Roman"/>
              </w:rPr>
            </w:pPr>
            <w:r w:rsidRPr="00296D0C">
              <w:rPr>
                <w:rFonts w:eastAsia="Times New Roman" w:cs="Times New Roman"/>
                <w:color w:val="000000"/>
              </w:rPr>
              <w:t>Mean (SD)</w:t>
            </w:r>
          </w:p>
        </w:tc>
        <w:tc>
          <w:tcPr>
            <w:tcW w:w="1397" w:type="dxa"/>
            <w:shd w:val="clear" w:color="auto" w:fill="00CCFF"/>
            <w:noWrap/>
            <w:vAlign w:val="center"/>
            <w:hideMark/>
          </w:tcPr>
          <w:p w14:paraId="54EB197E" w14:textId="77777777" w:rsidR="00121A21" w:rsidRPr="00296D0C" w:rsidRDefault="00121A21" w:rsidP="005638A8">
            <w:pPr>
              <w:spacing w:after="0" w:line="240" w:lineRule="auto"/>
              <w:jc w:val="center"/>
              <w:rPr>
                <w:rFonts w:eastAsia="Times New Roman" w:cs="Times New Roman"/>
                <w:color w:val="000000"/>
              </w:rPr>
            </w:pPr>
            <w:r w:rsidRPr="00296D0C">
              <w:rPr>
                <w:rFonts w:eastAsia="Times New Roman" w:cs="Times New Roman"/>
                <w:color w:val="000000"/>
              </w:rPr>
              <w:t>Total</w:t>
            </w:r>
          </w:p>
          <w:p w14:paraId="5A3DE7B0" w14:textId="77777777" w:rsidR="00121A21" w:rsidRPr="00296D0C" w:rsidRDefault="00121A21" w:rsidP="005638A8">
            <w:pPr>
              <w:spacing w:after="0" w:line="240" w:lineRule="auto"/>
              <w:jc w:val="center"/>
              <w:rPr>
                <w:rFonts w:eastAsia="Times New Roman" w:cs="Times New Roman"/>
              </w:rPr>
            </w:pPr>
            <w:r w:rsidRPr="00296D0C">
              <w:rPr>
                <w:rFonts w:eastAsia="Times New Roman" w:cs="Times New Roman"/>
                <w:color w:val="000000"/>
              </w:rPr>
              <w:t>n in analysis</w:t>
            </w:r>
          </w:p>
        </w:tc>
        <w:tc>
          <w:tcPr>
            <w:tcW w:w="1756" w:type="dxa"/>
            <w:shd w:val="clear" w:color="auto" w:fill="00CCFF"/>
            <w:noWrap/>
            <w:vAlign w:val="center"/>
            <w:hideMark/>
          </w:tcPr>
          <w:p w14:paraId="13EE40E1" w14:textId="77777777" w:rsidR="00121A21" w:rsidRPr="00296D0C" w:rsidRDefault="00121A21" w:rsidP="005638A8">
            <w:pPr>
              <w:spacing w:after="0" w:line="240" w:lineRule="auto"/>
              <w:jc w:val="center"/>
              <w:rPr>
                <w:rFonts w:eastAsia="Times New Roman" w:cs="Times New Roman"/>
              </w:rPr>
            </w:pPr>
            <w:r w:rsidRPr="00296D0C">
              <w:rPr>
                <w:rFonts w:eastAsia="Times New Roman" w:cs="Times New Roman"/>
                <w:color w:val="000000"/>
              </w:rPr>
              <w:t>Mean difference (95% CI)</w:t>
            </w:r>
          </w:p>
        </w:tc>
        <w:tc>
          <w:tcPr>
            <w:tcW w:w="958" w:type="dxa"/>
            <w:shd w:val="clear" w:color="auto" w:fill="00CCFF"/>
            <w:noWrap/>
            <w:vAlign w:val="center"/>
            <w:hideMark/>
          </w:tcPr>
          <w:p w14:paraId="363BA778" w14:textId="77777777" w:rsidR="00121A21" w:rsidRPr="00296D0C" w:rsidRDefault="00121A21" w:rsidP="005638A8">
            <w:pPr>
              <w:spacing w:after="0" w:line="240" w:lineRule="auto"/>
              <w:jc w:val="center"/>
              <w:rPr>
                <w:rFonts w:eastAsia="Times New Roman" w:cs="Times New Roman"/>
              </w:rPr>
            </w:pPr>
            <w:r w:rsidRPr="00296D0C">
              <w:rPr>
                <w:rFonts w:eastAsia="Times New Roman" w:cs="Times New Roman"/>
                <w:color w:val="000000"/>
              </w:rPr>
              <w:t>p-value</w:t>
            </w:r>
          </w:p>
        </w:tc>
        <w:tc>
          <w:tcPr>
            <w:tcW w:w="1231" w:type="dxa"/>
            <w:shd w:val="clear" w:color="auto" w:fill="00CCFF"/>
            <w:vAlign w:val="center"/>
          </w:tcPr>
          <w:p w14:paraId="2994751F" w14:textId="77777777" w:rsidR="00121A21" w:rsidRPr="00296D0C" w:rsidRDefault="00121A21" w:rsidP="005638A8">
            <w:pPr>
              <w:spacing w:after="0" w:line="240" w:lineRule="auto"/>
              <w:jc w:val="center"/>
              <w:rPr>
                <w:rFonts w:eastAsia="Times New Roman" w:cs="Times New Roman"/>
                <w:color w:val="000000"/>
              </w:rPr>
            </w:pPr>
            <w:r w:rsidRPr="00296D0C">
              <w:rPr>
                <w:rFonts w:eastAsia="Times New Roman" w:cs="Times New Roman"/>
                <w:color w:val="000000"/>
              </w:rPr>
              <w:t>Total</w:t>
            </w:r>
          </w:p>
          <w:p w14:paraId="3F5DE786" w14:textId="77777777" w:rsidR="00121A21" w:rsidRPr="00296D0C" w:rsidRDefault="00121A21" w:rsidP="005638A8">
            <w:pPr>
              <w:spacing w:after="0" w:line="240" w:lineRule="auto"/>
              <w:jc w:val="center"/>
              <w:rPr>
                <w:rFonts w:eastAsia="Times New Roman" w:cs="Times New Roman"/>
              </w:rPr>
            </w:pPr>
            <w:r w:rsidRPr="00296D0C">
              <w:rPr>
                <w:rFonts w:eastAsia="Times New Roman" w:cs="Times New Roman"/>
                <w:color w:val="000000"/>
              </w:rPr>
              <w:t>n in analysis</w:t>
            </w:r>
          </w:p>
        </w:tc>
        <w:tc>
          <w:tcPr>
            <w:tcW w:w="1425" w:type="dxa"/>
            <w:shd w:val="clear" w:color="auto" w:fill="00CCFF"/>
            <w:vAlign w:val="center"/>
          </w:tcPr>
          <w:p w14:paraId="1087E18A" w14:textId="77777777" w:rsidR="00121A21" w:rsidRPr="00296D0C" w:rsidRDefault="00121A21" w:rsidP="005638A8">
            <w:pPr>
              <w:spacing w:after="0" w:line="240" w:lineRule="auto"/>
              <w:jc w:val="center"/>
              <w:rPr>
                <w:rFonts w:eastAsia="Times New Roman" w:cs="Times New Roman"/>
              </w:rPr>
            </w:pPr>
            <w:r w:rsidRPr="00296D0C">
              <w:rPr>
                <w:rFonts w:eastAsia="Times New Roman" w:cs="Times New Roman"/>
                <w:color w:val="000000"/>
              </w:rPr>
              <w:t>Mean difference (95% CI)</w:t>
            </w:r>
          </w:p>
        </w:tc>
        <w:tc>
          <w:tcPr>
            <w:tcW w:w="1282" w:type="dxa"/>
            <w:shd w:val="clear" w:color="auto" w:fill="00CCFF"/>
            <w:vAlign w:val="center"/>
          </w:tcPr>
          <w:p w14:paraId="47E42726" w14:textId="77777777" w:rsidR="00121A21" w:rsidRPr="00296D0C" w:rsidRDefault="00121A21" w:rsidP="005638A8">
            <w:pPr>
              <w:spacing w:after="0" w:line="240" w:lineRule="auto"/>
              <w:jc w:val="center"/>
              <w:rPr>
                <w:rFonts w:eastAsia="Times New Roman" w:cs="Times New Roman"/>
              </w:rPr>
            </w:pPr>
            <w:r w:rsidRPr="00296D0C">
              <w:rPr>
                <w:rFonts w:eastAsia="Times New Roman" w:cs="Times New Roman"/>
                <w:color w:val="000000"/>
              </w:rPr>
              <w:t>p-value</w:t>
            </w:r>
          </w:p>
        </w:tc>
      </w:tr>
      <w:tr w:rsidR="00121A21" w:rsidRPr="00296D0C" w14:paraId="1C183C13" w14:textId="77777777" w:rsidTr="005638A8">
        <w:trPr>
          <w:trHeight w:val="300"/>
        </w:trPr>
        <w:tc>
          <w:tcPr>
            <w:tcW w:w="2441" w:type="dxa"/>
            <w:shd w:val="clear" w:color="auto" w:fill="auto"/>
            <w:noWrap/>
            <w:vAlign w:val="center"/>
            <w:hideMark/>
          </w:tcPr>
          <w:p w14:paraId="3048E8E5" w14:textId="6EFAB5D1" w:rsidR="00121A21" w:rsidRPr="00296D0C" w:rsidRDefault="005C1660" w:rsidP="005C1660">
            <w:pPr>
              <w:spacing w:after="0" w:line="240" w:lineRule="auto"/>
              <w:rPr>
                <w:rFonts w:eastAsia="Times New Roman" w:cs="Times New Roman"/>
                <w:color w:val="000000"/>
              </w:rPr>
            </w:pPr>
            <w:r w:rsidRPr="00296D0C">
              <w:rPr>
                <w:color w:val="000000"/>
              </w:rPr>
              <w:t>Average W</w:t>
            </w:r>
            <w:r w:rsidR="00121A21" w:rsidRPr="00296D0C">
              <w:rPr>
                <w:color w:val="000000"/>
              </w:rPr>
              <w:t xml:space="preserve">eekly </w:t>
            </w:r>
            <w:r w:rsidRPr="00296D0C">
              <w:rPr>
                <w:color w:val="000000"/>
              </w:rPr>
              <w:t>V</w:t>
            </w:r>
            <w:r w:rsidR="00121A21" w:rsidRPr="00296D0C">
              <w:rPr>
                <w:color w:val="000000"/>
              </w:rPr>
              <w:t>olume (m</w:t>
            </w:r>
            <w:r w:rsidR="00121A21" w:rsidRPr="00296D0C">
              <w:rPr>
                <w:i/>
                <w:color w:val="000000"/>
              </w:rPr>
              <w:t>g</w:t>
            </w:r>
            <w:r w:rsidR="00121A21" w:rsidRPr="00296D0C">
              <w:rPr>
                <w:color w:val="000000"/>
              </w:rPr>
              <w:t>)</w:t>
            </w:r>
          </w:p>
        </w:tc>
        <w:tc>
          <w:tcPr>
            <w:tcW w:w="1358" w:type="dxa"/>
            <w:shd w:val="clear" w:color="auto" w:fill="auto"/>
            <w:noWrap/>
            <w:vAlign w:val="center"/>
            <w:hideMark/>
          </w:tcPr>
          <w:p w14:paraId="781B6BC2" w14:textId="77777777" w:rsidR="00121A21" w:rsidRPr="00296D0C" w:rsidRDefault="00121A21" w:rsidP="005638A8">
            <w:pPr>
              <w:spacing w:after="0" w:line="240" w:lineRule="auto"/>
              <w:jc w:val="center"/>
              <w:rPr>
                <w:rFonts w:eastAsia="Times New Roman" w:cs="Times New Roman"/>
                <w:color w:val="000000"/>
              </w:rPr>
            </w:pPr>
            <w:r w:rsidRPr="00296D0C">
              <w:rPr>
                <w:color w:val="000000"/>
              </w:rPr>
              <w:t>359</w:t>
            </w:r>
          </w:p>
        </w:tc>
        <w:tc>
          <w:tcPr>
            <w:tcW w:w="1226" w:type="dxa"/>
            <w:shd w:val="clear" w:color="auto" w:fill="auto"/>
            <w:noWrap/>
            <w:vAlign w:val="center"/>
            <w:hideMark/>
          </w:tcPr>
          <w:p w14:paraId="4F01F81F" w14:textId="77777777" w:rsidR="00121A21" w:rsidRPr="00296D0C" w:rsidRDefault="00121A21" w:rsidP="005638A8">
            <w:pPr>
              <w:spacing w:after="0" w:line="240" w:lineRule="auto"/>
              <w:jc w:val="center"/>
              <w:rPr>
                <w:rFonts w:eastAsia="Times New Roman" w:cs="Times New Roman"/>
                <w:color w:val="000000"/>
              </w:rPr>
            </w:pPr>
            <w:r w:rsidRPr="00296D0C">
              <w:rPr>
                <w:color w:val="000000"/>
              </w:rPr>
              <w:t>52.14  (13.95)</w:t>
            </w:r>
          </w:p>
        </w:tc>
        <w:tc>
          <w:tcPr>
            <w:tcW w:w="1035" w:type="dxa"/>
            <w:shd w:val="clear" w:color="auto" w:fill="auto"/>
            <w:noWrap/>
            <w:vAlign w:val="center"/>
            <w:hideMark/>
          </w:tcPr>
          <w:p w14:paraId="1998A6D7" w14:textId="77777777" w:rsidR="00121A21" w:rsidRPr="00296D0C" w:rsidRDefault="00121A21" w:rsidP="005638A8">
            <w:pPr>
              <w:spacing w:after="0" w:line="240" w:lineRule="auto"/>
              <w:jc w:val="center"/>
              <w:rPr>
                <w:rFonts w:eastAsia="Times New Roman" w:cs="Times New Roman"/>
                <w:color w:val="000000"/>
              </w:rPr>
            </w:pPr>
            <w:r w:rsidRPr="00296D0C">
              <w:rPr>
                <w:color w:val="000000"/>
              </w:rPr>
              <w:t>386</w:t>
            </w:r>
          </w:p>
        </w:tc>
        <w:tc>
          <w:tcPr>
            <w:tcW w:w="1116" w:type="dxa"/>
            <w:shd w:val="clear" w:color="auto" w:fill="auto"/>
            <w:noWrap/>
            <w:vAlign w:val="center"/>
            <w:hideMark/>
          </w:tcPr>
          <w:p w14:paraId="104536F6" w14:textId="77777777" w:rsidR="00121A21" w:rsidRPr="00296D0C" w:rsidRDefault="00121A21" w:rsidP="005638A8">
            <w:pPr>
              <w:spacing w:after="0" w:line="240" w:lineRule="auto"/>
              <w:jc w:val="center"/>
              <w:rPr>
                <w:rFonts w:eastAsia="Times New Roman" w:cs="Times New Roman"/>
                <w:color w:val="000000"/>
              </w:rPr>
            </w:pPr>
            <w:r w:rsidRPr="00296D0C">
              <w:rPr>
                <w:color w:val="000000"/>
              </w:rPr>
              <w:t>51.47  (12.95)</w:t>
            </w:r>
          </w:p>
        </w:tc>
        <w:tc>
          <w:tcPr>
            <w:tcW w:w="1397" w:type="dxa"/>
            <w:shd w:val="clear" w:color="auto" w:fill="auto"/>
            <w:noWrap/>
            <w:vAlign w:val="center"/>
            <w:hideMark/>
          </w:tcPr>
          <w:p w14:paraId="4A5A3F54" w14:textId="77777777" w:rsidR="00121A21" w:rsidRPr="00296D0C" w:rsidRDefault="00121A21" w:rsidP="005638A8">
            <w:pPr>
              <w:spacing w:after="0" w:line="240" w:lineRule="auto"/>
              <w:jc w:val="center"/>
              <w:rPr>
                <w:rFonts w:eastAsia="Times New Roman" w:cs="Times New Roman"/>
                <w:color w:val="000000"/>
              </w:rPr>
            </w:pPr>
            <w:r w:rsidRPr="00296D0C">
              <w:rPr>
                <w:color w:val="000000"/>
              </w:rPr>
              <w:t>705</w:t>
            </w:r>
          </w:p>
        </w:tc>
        <w:tc>
          <w:tcPr>
            <w:tcW w:w="1756" w:type="dxa"/>
            <w:shd w:val="clear" w:color="auto" w:fill="auto"/>
            <w:noWrap/>
            <w:vAlign w:val="center"/>
            <w:hideMark/>
          </w:tcPr>
          <w:p w14:paraId="033C49B1" w14:textId="77777777" w:rsidR="00121A21" w:rsidRPr="00296D0C" w:rsidRDefault="00121A21" w:rsidP="005638A8">
            <w:pPr>
              <w:spacing w:after="0" w:line="240" w:lineRule="auto"/>
              <w:jc w:val="center"/>
              <w:rPr>
                <w:color w:val="000000"/>
              </w:rPr>
            </w:pPr>
            <w:r w:rsidRPr="00296D0C">
              <w:rPr>
                <w:color w:val="000000"/>
              </w:rPr>
              <w:t>0.57</w:t>
            </w:r>
          </w:p>
          <w:p w14:paraId="3AE3CC6A" w14:textId="194D5D1F" w:rsidR="00121A21" w:rsidRPr="00296D0C" w:rsidRDefault="00121A21" w:rsidP="00514712">
            <w:pPr>
              <w:spacing w:after="0" w:line="240" w:lineRule="auto"/>
              <w:jc w:val="center"/>
              <w:rPr>
                <w:rFonts w:eastAsia="Times New Roman" w:cs="Times New Roman"/>
              </w:rPr>
            </w:pPr>
            <w:r w:rsidRPr="00296D0C">
              <w:rPr>
                <w:color w:val="000000"/>
              </w:rPr>
              <w:t xml:space="preserve"> (-1.5</w:t>
            </w:r>
            <w:r w:rsidR="00514712">
              <w:rPr>
                <w:color w:val="000000"/>
              </w:rPr>
              <w:t>8</w:t>
            </w:r>
            <w:r w:rsidRPr="00296D0C">
              <w:rPr>
                <w:color w:val="000000"/>
              </w:rPr>
              <w:t>, 2.72)</w:t>
            </w:r>
          </w:p>
        </w:tc>
        <w:tc>
          <w:tcPr>
            <w:tcW w:w="958" w:type="dxa"/>
            <w:shd w:val="clear" w:color="auto" w:fill="auto"/>
            <w:noWrap/>
            <w:vAlign w:val="center"/>
            <w:hideMark/>
          </w:tcPr>
          <w:p w14:paraId="5025D26E" w14:textId="3751099A" w:rsidR="00121A21" w:rsidRPr="00296D0C" w:rsidRDefault="00121A21" w:rsidP="005638A8">
            <w:pPr>
              <w:spacing w:after="0" w:line="240" w:lineRule="auto"/>
              <w:jc w:val="center"/>
              <w:rPr>
                <w:rFonts w:eastAsia="Times New Roman" w:cs="Times New Roman"/>
              </w:rPr>
            </w:pPr>
            <w:r w:rsidRPr="00296D0C">
              <w:rPr>
                <w:color w:val="000000"/>
              </w:rPr>
              <w:t>0.59</w:t>
            </w:r>
            <w:r w:rsidR="00514712">
              <w:rPr>
                <w:color w:val="000000"/>
              </w:rPr>
              <w:t>0</w:t>
            </w:r>
          </w:p>
        </w:tc>
        <w:tc>
          <w:tcPr>
            <w:tcW w:w="1231" w:type="dxa"/>
            <w:shd w:val="clear" w:color="auto" w:fill="auto"/>
            <w:vAlign w:val="center"/>
          </w:tcPr>
          <w:p w14:paraId="5606A139" w14:textId="77777777" w:rsidR="00121A21" w:rsidRPr="00296D0C" w:rsidRDefault="00121A21" w:rsidP="005638A8">
            <w:pPr>
              <w:spacing w:after="0" w:line="240" w:lineRule="auto"/>
              <w:jc w:val="center"/>
              <w:rPr>
                <w:rFonts w:eastAsia="Times New Roman" w:cs="Times New Roman"/>
              </w:rPr>
            </w:pPr>
            <w:r w:rsidRPr="00296D0C">
              <w:rPr>
                <w:color w:val="000000"/>
              </w:rPr>
              <w:t>745</w:t>
            </w:r>
          </w:p>
        </w:tc>
        <w:tc>
          <w:tcPr>
            <w:tcW w:w="1425" w:type="dxa"/>
            <w:shd w:val="clear" w:color="auto" w:fill="auto"/>
            <w:vAlign w:val="center"/>
          </w:tcPr>
          <w:p w14:paraId="5763EAB0" w14:textId="77777777" w:rsidR="00121A21" w:rsidRPr="00296D0C" w:rsidRDefault="00121A21" w:rsidP="005638A8">
            <w:pPr>
              <w:spacing w:after="0" w:line="240" w:lineRule="auto"/>
              <w:jc w:val="center"/>
              <w:rPr>
                <w:color w:val="000000"/>
              </w:rPr>
            </w:pPr>
            <w:r w:rsidRPr="00296D0C">
              <w:rPr>
                <w:color w:val="000000"/>
              </w:rPr>
              <w:t xml:space="preserve">0.53 </w:t>
            </w:r>
          </w:p>
          <w:p w14:paraId="2F2F39C1" w14:textId="77777777" w:rsidR="00121A21" w:rsidRPr="00296D0C" w:rsidRDefault="00121A21" w:rsidP="005638A8">
            <w:pPr>
              <w:spacing w:after="0" w:line="240" w:lineRule="auto"/>
              <w:jc w:val="center"/>
              <w:rPr>
                <w:rFonts w:eastAsia="Times New Roman" w:cs="Times New Roman"/>
              </w:rPr>
            </w:pPr>
            <w:r w:rsidRPr="00296D0C">
              <w:rPr>
                <w:color w:val="000000"/>
              </w:rPr>
              <w:t>(-2.18, 3.24)</w:t>
            </w:r>
          </w:p>
        </w:tc>
        <w:tc>
          <w:tcPr>
            <w:tcW w:w="1282" w:type="dxa"/>
            <w:shd w:val="clear" w:color="auto" w:fill="auto"/>
            <w:vAlign w:val="center"/>
          </w:tcPr>
          <w:p w14:paraId="41C77675" w14:textId="77777777" w:rsidR="00121A21" w:rsidRPr="00296D0C" w:rsidRDefault="00121A21" w:rsidP="005638A8">
            <w:pPr>
              <w:spacing w:after="0" w:line="240" w:lineRule="auto"/>
              <w:jc w:val="center"/>
              <w:rPr>
                <w:rFonts w:eastAsia="Times New Roman" w:cs="Times New Roman"/>
              </w:rPr>
            </w:pPr>
            <w:r w:rsidRPr="00296D0C">
              <w:rPr>
                <w:color w:val="000000"/>
              </w:rPr>
              <w:t>0.692</w:t>
            </w:r>
          </w:p>
        </w:tc>
      </w:tr>
      <w:tr w:rsidR="00121A21" w:rsidRPr="00296D0C" w14:paraId="48667EC9" w14:textId="77777777" w:rsidTr="005638A8">
        <w:trPr>
          <w:trHeight w:val="300"/>
        </w:trPr>
        <w:tc>
          <w:tcPr>
            <w:tcW w:w="2441" w:type="dxa"/>
            <w:shd w:val="clear" w:color="auto" w:fill="auto"/>
            <w:noWrap/>
            <w:vAlign w:val="center"/>
          </w:tcPr>
          <w:p w14:paraId="68C56903" w14:textId="16E21C7F" w:rsidR="00121A21" w:rsidRPr="00296D0C" w:rsidRDefault="00121A21" w:rsidP="005C1660">
            <w:pPr>
              <w:spacing w:after="0" w:line="240" w:lineRule="auto"/>
              <w:rPr>
                <w:rFonts w:eastAsia="Times New Roman" w:cs="Times New Roman"/>
                <w:color w:val="000000"/>
              </w:rPr>
            </w:pPr>
            <w:r w:rsidRPr="00296D0C">
              <w:rPr>
                <w:color w:val="000000"/>
              </w:rPr>
              <w:t xml:space="preserve">Average </w:t>
            </w:r>
            <w:r w:rsidR="005C1660" w:rsidRPr="00296D0C">
              <w:rPr>
                <w:color w:val="000000"/>
              </w:rPr>
              <w:t>D</w:t>
            </w:r>
            <w:r w:rsidRPr="00296D0C">
              <w:rPr>
                <w:color w:val="000000"/>
              </w:rPr>
              <w:t>aily Total</w:t>
            </w:r>
          </w:p>
        </w:tc>
        <w:tc>
          <w:tcPr>
            <w:tcW w:w="1358" w:type="dxa"/>
            <w:shd w:val="clear" w:color="auto" w:fill="auto"/>
            <w:noWrap/>
            <w:vAlign w:val="center"/>
          </w:tcPr>
          <w:p w14:paraId="785A7632" w14:textId="77777777" w:rsidR="00121A21" w:rsidRPr="00296D0C" w:rsidRDefault="00121A21" w:rsidP="005638A8">
            <w:pPr>
              <w:spacing w:after="0" w:line="240" w:lineRule="auto"/>
              <w:jc w:val="center"/>
              <w:rPr>
                <w:rFonts w:eastAsia="Times New Roman" w:cs="Times New Roman"/>
                <w:color w:val="000000"/>
              </w:rPr>
            </w:pPr>
            <w:r w:rsidRPr="00296D0C">
              <w:rPr>
                <w:color w:val="000000"/>
              </w:rPr>
              <w:t>359</w:t>
            </w:r>
          </w:p>
        </w:tc>
        <w:tc>
          <w:tcPr>
            <w:tcW w:w="1226" w:type="dxa"/>
            <w:shd w:val="clear" w:color="auto" w:fill="auto"/>
            <w:noWrap/>
            <w:vAlign w:val="center"/>
          </w:tcPr>
          <w:p w14:paraId="417561C3" w14:textId="62B09889" w:rsidR="00121A21" w:rsidRPr="00296D0C" w:rsidRDefault="00121A21" w:rsidP="00514712">
            <w:pPr>
              <w:spacing w:after="0" w:line="240" w:lineRule="auto"/>
              <w:jc w:val="center"/>
              <w:rPr>
                <w:rFonts w:eastAsia="Times New Roman" w:cs="Times New Roman"/>
              </w:rPr>
            </w:pPr>
            <w:r w:rsidRPr="00296D0C">
              <w:rPr>
                <w:color w:val="000000"/>
              </w:rPr>
              <w:t>199.7</w:t>
            </w:r>
            <w:r w:rsidR="00514712">
              <w:rPr>
                <w:color w:val="000000"/>
              </w:rPr>
              <w:t>1</w:t>
            </w:r>
            <w:r w:rsidRPr="00296D0C">
              <w:rPr>
                <w:color w:val="000000"/>
              </w:rPr>
              <w:t xml:space="preserve"> (43.9</w:t>
            </w:r>
            <w:r w:rsidR="00514712">
              <w:rPr>
                <w:color w:val="000000"/>
              </w:rPr>
              <w:t>4</w:t>
            </w:r>
            <w:r w:rsidRPr="00296D0C">
              <w:rPr>
                <w:color w:val="000000"/>
              </w:rPr>
              <w:t>)</w:t>
            </w:r>
          </w:p>
        </w:tc>
        <w:tc>
          <w:tcPr>
            <w:tcW w:w="1035" w:type="dxa"/>
            <w:shd w:val="clear" w:color="auto" w:fill="auto"/>
            <w:noWrap/>
            <w:vAlign w:val="center"/>
          </w:tcPr>
          <w:p w14:paraId="4F344A95" w14:textId="77777777" w:rsidR="00121A21" w:rsidRPr="00296D0C" w:rsidRDefault="00121A21" w:rsidP="005638A8">
            <w:pPr>
              <w:spacing w:after="0" w:line="240" w:lineRule="auto"/>
              <w:jc w:val="center"/>
              <w:rPr>
                <w:rFonts w:eastAsia="Times New Roman" w:cs="Times New Roman"/>
              </w:rPr>
            </w:pPr>
            <w:r w:rsidRPr="00296D0C">
              <w:rPr>
                <w:color w:val="000000"/>
              </w:rPr>
              <w:t>386</w:t>
            </w:r>
          </w:p>
        </w:tc>
        <w:tc>
          <w:tcPr>
            <w:tcW w:w="1116" w:type="dxa"/>
            <w:shd w:val="clear" w:color="auto" w:fill="auto"/>
            <w:noWrap/>
            <w:vAlign w:val="center"/>
          </w:tcPr>
          <w:p w14:paraId="241E20AE" w14:textId="77777777" w:rsidR="00121A21" w:rsidRPr="00296D0C" w:rsidRDefault="00121A21" w:rsidP="005638A8">
            <w:pPr>
              <w:spacing w:after="0" w:line="240" w:lineRule="auto"/>
              <w:jc w:val="center"/>
              <w:rPr>
                <w:rFonts w:eastAsia="Times New Roman" w:cs="Times New Roman"/>
              </w:rPr>
            </w:pPr>
            <w:r w:rsidRPr="00296D0C">
              <w:rPr>
                <w:color w:val="000000"/>
              </w:rPr>
              <w:t>198.05 (40.20)</w:t>
            </w:r>
          </w:p>
        </w:tc>
        <w:tc>
          <w:tcPr>
            <w:tcW w:w="1397" w:type="dxa"/>
            <w:shd w:val="clear" w:color="auto" w:fill="auto"/>
            <w:noWrap/>
            <w:vAlign w:val="center"/>
          </w:tcPr>
          <w:p w14:paraId="32D871ED" w14:textId="77777777" w:rsidR="00121A21" w:rsidRPr="00296D0C" w:rsidRDefault="00121A21" w:rsidP="005638A8">
            <w:pPr>
              <w:spacing w:after="0" w:line="240" w:lineRule="auto"/>
              <w:jc w:val="center"/>
              <w:rPr>
                <w:rFonts w:eastAsia="Times New Roman" w:cs="Times New Roman"/>
              </w:rPr>
            </w:pPr>
            <w:r w:rsidRPr="00296D0C">
              <w:rPr>
                <w:color w:val="000000"/>
              </w:rPr>
              <w:t>705</w:t>
            </w:r>
          </w:p>
        </w:tc>
        <w:tc>
          <w:tcPr>
            <w:tcW w:w="1756" w:type="dxa"/>
            <w:shd w:val="clear" w:color="auto" w:fill="auto"/>
            <w:noWrap/>
            <w:vAlign w:val="center"/>
          </w:tcPr>
          <w:p w14:paraId="34976C36" w14:textId="019F8EDB" w:rsidR="00121A21" w:rsidRPr="00296D0C" w:rsidRDefault="00121A21" w:rsidP="005638A8">
            <w:pPr>
              <w:spacing w:after="0" w:line="240" w:lineRule="auto"/>
              <w:jc w:val="center"/>
              <w:rPr>
                <w:color w:val="000000"/>
              </w:rPr>
            </w:pPr>
            <w:r w:rsidRPr="00296D0C">
              <w:rPr>
                <w:color w:val="000000"/>
              </w:rPr>
              <w:t>1.26</w:t>
            </w:r>
          </w:p>
          <w:p w14:paraId="301F28A9" w14:textId="77777777" w:rsidR="00121A21" w:rsidRPr="00296D0C" w:rsidRDefault="00121A21" w:rsidP="005638A8">
            <w:pPr>
              <w:spacing w:after="0" w:line="240" w:lineRule="auto"/>
              <w:jc w:val="center"/>
              <w:rPr>
                <w:rFonts w:eastAsia="Times New Roman" w:cs="Times New Roman"/>
              </w:rPr>
            </w:pPr>
            <w:r w:rsidRPr="00296D0C">
              <w:rPr>
                <w:color w:val="000000"/>
              </w:rPr>
              <w:t xml:space="preserve"> (-6.84, 9.36)</w:t>
            </w:r>
          </w:p>
        </w:tc>
        <w:tc>
          <w:tcPr>
            <w:tcW w:w="958" w:type="dxa"/>
            <w:shd w:val="clear" w:color="auto" w:fill="auto"/>
            <w:noWrap/>
            <w:vAlign w:val="center"/>
          </w:tcPr>
          <w:p w14:paraId="3667BB74" w14:textId="77777777" w:rsidR="00121A21" w:rsidRPr="00296D0C" w:rsidRDefault="00121A21" w:rsidP="005638A8">
            <w:pPr>
              <w:spacing w:after="0" w:line="240" w:lineRule="auto"/>
              <w:jc w:val="center"/>
              <w:rPr>
                <w:rFonts w:eastAsia="Times New Roman" w:cs="Times New Roman"/>
              </w:rPr>
            </w:pPr>
            <w:r w:rsidRPr="00296D0C">
              <w:rPr>
                <w:color w:val="000000"/>
              </w:rPr>
              <w:t>0.752</w:t>
            </w:r>
          </w:p>
        </w:tc>
        <w:tc>
          <w:tcPr>
            <w:tcW w:w="1231" w:type="dxa"/>
            <w:shd w:val="clear" w:color="auto" w:fill="auto"/>
            <w:vAlign w:val="center"/>
          </w:tcPr>
          <w:p w14:paraId="448F25BC" w14:textId="77777777" w:rsidR="00121A21" w:rsidRPr="00296D0C" w:rsidRDefault="00121A21" w:rsidP="005638A8">
            <w:pPr>
              <w:spacing w:after="0" w:line="240" w:lineRule="auto"/>
              <w:jc w:val="center"/>
              <w:rPr>
                <w:rFonts w:eastAsia="Times New Roman" w:cs="Times New Roman"/>
                <w:color w:val="000000"/>
              </w:rPr>
            </w:pPr>
            <w:r w:rsidRPr="00296D0C">
              <w:rPr>
                <w:color w:val="000000"/>
              </w:rPr>
              <w:t>745</w:t>
            </w:r>
          </w:p>
        </w:tc>
        <w:tc>
          <w:tcPr>
            <w:tcW w:w="1425" w:type="dxa"/>
            <w:shd w:val="clear" w:color="auto" w:fill="auto"/>
            <w:vAlign w:val="center"/>
          </w:tcPr>
          <w:p w14:paraId="42A779E9" w14:textId="77777777" w:rsidR="00121A21" w:rsidRPr="00296D0C" w:rsidRDefault="00121A21" w:rsidP="005638A8">
            <w:pPr>
              <w:spacing w:after="0" w:line="240" w:lineRule="auto"/>
              <w:jc w:val="center"/>
              <w:rPr>
                <w:color w:val="000000"/>
              </w:rPr>
            </w:pPr>
            <w:r w:rsidRPr="00296D0C">
              <w:rPr>
                <w:color w:val="000000"/>
              </w:rPr>
              <w:t xml:space="preserve">1.23 </w:t>
            </w:r>
          </w:p>
          <w:p w14:paraId="2DFCA69A" w14:textId="77777777" w:rsidR="00121A21" w:rsidRPr="00296D0C" w:rsidRDefault="00121A21" w:rsidP="005638A8">
            <w:pPr>
              <w:spacing w:after="0" w:line="240" w:lineRule="auto"/>
              <w:jc w:val="center"/>
              <w:rPr>
                <w:rFonts w:eastAsia="Times New Roman" w:cs="Times New Roman"/>
                <w:color w:val="000000"/>
              </w:rPr>
            </w:pPr>
            <w:r w:rsidRPr="00296D0C">
              <w:rPr>
                <w:color w:val="000000"/>
              </w:rPr>
              <w:t>(-8.24, 10.70)</w:t>
            </w:r>
          </w:p>
        </w:tc>
        <w:tc>
          <w:tcPr>
            <w:tcW w:w="1282" w:type="dxa"/>
            <w:shd w:val="clear" w:color="auto" w:fill="auto"/>
            <w:vAlign w:val="center"/>
          </w:tcPr>
          <w:p w14:paraId="50903C4F" w14:textId="77777777" w:rsidR="00121A21" w:rsidRPr="00296D0C" w:rsidRDefault="00121A21" w:rsidP="005638A8">
            <w:pPr>
              <w:spacing w:after="0" w:line="240" w:lineRule="auto"/>
              <w:jc w:val="center"/>
              <w:rPr>
                <w:rFonts w:eastAsia="Times New Roman" w:cs="Times New Roman"/>
                <w:color w:val="000000"/>
              </w:rPr>
            </w:pPr>
            <w:r w:rsidRPr="00296D0C">
              <w:rPr>
                <w:color w:val="000000"/>
              </w:rPr>
              <w:t>0.792</w:t>
            </w:r>
          </w:p>
        </w:tc>
      </w:tr>
      <w:tr w:rsidR="00121A21" w:rsidRPr="00296D0C" w14:paraId="35E3BBA9" w14:textId="77777777" w:rsidTr="005638A8">
        <w:trPr>
          <w:trHeight w:val="300"/>
        </w:trPr>
        <w:tc>
          <w:tcPr>
            <w:tcW w:w="2441" w:type="dxa"/>
            <w:shd w:val="clear" w:color="auto" w:fill="auto"/>
            <w:noWrap/>
            <w:vAlign w:val="center"/>
            <w:hideMark/>
          </w:tcPr>
          <w:p w14:paraId="1F1AC7ED" w14:textId="736E1730" w:rsidR="00121A21" w:rsidRPr="00296D0C" w:rsidRDefault="00121A21" w:rsidP="005C1660">
            <w:pPr>
              <w:spacing w:after="0" w:line="240" w:lineRule="auto"/>
              <w:rPr>
                <w:rFonts w:eastAsia="Times New Roman" w:cs="Times New Roman"/>
                <w:color w:val="000000"/>
              </w:rPr>
            </w:pPr>
            <w:r w:rsidRPr="00296D0C">
              <w:rPr>
                <w:color w:val="000000"/>
              </w:rPr>
              <w:t xml:space="preserve">Average </w:t>
            </w:r>
            <w:r w:rsidR="005C1660" w:rsidRPr="00296D0C">
              <w:rPr>
                <w:color w:val="000000"/>
              </w:rPr>
              <w:t>D</w:t>
            </w:r>
            <w:r w:rsidRPr="00296D0C">
              <w:rPr>
                <w:color w:val="000000"/>
              </w:rPr>
              <w:t>aily Light</w:t>
            </w:r>
          </w:p>
        </w:tc>
        <w:tc>
          <w:tcPr>
            <w:tcW w:w="1358" w:type="dxa"/>
            <w:shd w:val="clear" w:color="auto" w:fill="auto"/>
            <w:noWrap/>
            <w:vAlign w:val="center"/>
            <w:hideMark/>
          </w:tcPr>
          <w:p w14:paraId="61749FF2" w14:textId="77777777" w:rsidR="00121A21" w:rsidRPr="00296D0C" w:rsidRDefault="00121A21" w:rsidP="005638A8">
            <w:pPr>
              <w:spacing w:after="0" w:line="240" w:lineRule="auto"/>
              <w:jc w:val="center"/>
              <w:rPr>
                <w:rFonts w:eastAsia="Times New Roman" w:cs="Times New Roman"/>
                <w:color w:val="000000"/>
              </w:rPr>
            </w:pPr>
            <w:r w:rsidRPr="00296D0C">
              <w:rPr>
                <w:color w:val="000000"/>
              </w:rPr>
              <w:t>359</w:t>
            </w:r>
          </w:p>
        </w:tc>
        <w:tc>
          <w:tcPr>
            <w:tcW w:w="1226" w:type="dxa"/>
            <w:shd w:val="clear" w:color="auto" w:fill="auto"/>
            <w:noWrap/>
            <w:vAlign w:val="center"/>
            <w:hideMark/>
          </w:tcPr>
          <w:p w14:paraId="5228E061" w14:textId="77777777" w:rsidR="00121A21" w:rsidRPr="00296D0C" w:rsidRDefault="00121A21" w:rsidP="005638A8">
            <w:pPr>
              <w:spacing w:after="0" w:line="240" w:lineRule="auto"/>
              <w:jc w:val="center"/>
              <w:rPr>
                <w:rFonts w:eastAsia="Times New Roman" w:cs="Times New Roman"/>
                <w:color w:val="000000"/>
              </w:rPr>
            </w:pPr>
            <w:r w:rsidRPr="00296D0C">
              <w:rPr>
                <w:color w:val="000000"/>
              </w:rPr>
              <w:t>141.72 (27.80)</w:t>
            </w:r>
          </w:p>
        </w:tc>
        <w:tc>
          <w:tcPr>
            <w:tcW w:w="1035" w:type="dxa"/>
            <w:shd w:val="clear" w:color="auto" w:fill="auto"/>
            <w:noWrap/>
            <w:vAlign w:val="center"/>
            <w:hideMark/>
          </w:tcPr>
          <w:p w14:paraId="0534BE70" w14:textId="77777777" w:rsidR="00121A21" w:rsidRPr="00296D0C" w:rsidRDefault="00121A21" w:rsidP="005638A8">
            <w:pPr>
              <w:spacing w:after="0" w:line="240" w:lineRule="auto"/>
              <w:jc w:val="center"/>
              <w:rPr>
                <w:rFonts w:eastAsia="Times New Roman" w:cs="Times New Roman"/>
                <w:color w:val="000000"/>
              </w:rPr>
            </w:pPr>
            <w:r w:rsidRPr="00296D0C">
              <w:rPr>
                <w:color w:val="000000"/>
              </w:rPr>
              <w:t>386</w:t>
            </w:r>
          </w:p>
        </w:tc>
        <w:tc>
          <w:tcPr>
            <w:tcW w:w="1116" w:type="dxa"/>
            <w:shd w:val="clear" w:color="auto" w:fill="auto"/>
            <w:noWrap/>
            <w:vAlign w:val="center"/>
            <w:hideMark/>
          </w:tcPr>
          <w:p w14:paraId="537A6FF4" w14:textId="77777777" w:rsidR="00121A21" w:rsidRPr="00296D0C" w:rsidRDefault="00121A21" w:rsidP="005638A8">
            <w:pPr>
              <w:spacing w:after="0" w:line="240" w:lineRule="auto"/>
              <w:jc w:val="center"/>
              <w:rPr>
                <w:rFonts w:eastAsia="Times New Roman" w:cs="Times New Roman"/>
                <w:color w:val="000000"/>
              </w:rPr>
            </w:pPr>
            <w:r w:rsidRPr="00296D0C">
              <w:rPr>
                <w:color w:val="000000"/>
              </w:rPr>
              <w:t>141.07 (27.09)</w:t>
            </w:r>
          </w:p>
        </w:tc>
        <w:tc>
          <w:tcPr>
            <w:tcW w:w="1397" w:type="dxa"/>
            <w:shd w:val="clear" w:color="auto" w:fill="auto"/>
            <w:noWrap/>
            <w:vAlign w:val="center"/>
            <w:hideMark/>
          </w:tcPr>
          <w:p w14:paraId="1B25D65C" w14:textId="77777777" w:rsidR="00121A21" w:rsidRPr="00296D0C" w:rsidRDefault="00121A21" w:rsidP="005638A8">
            <w:pPr>
              <w:spacing w:after="0" w:line="240" w:lineRule="auto"/>
              <w:jc w:val="center"/>
              <w:rPr>
                <w:rFonts w:eastAsia="Times New Roman" w:cs="Times New Roman"/>
                <w:color w:val="000000"/>
              </w:rPr>
            </w:pPr>
            <w:r w:rsidRPr="00296D0C">
              <w:rPr>
                <w:color w:val="000000"/>
              </w:rPr>
              <w:t>705</w:t>
            </w:r>
          </w:p>
        </w:tc>
        <w:tc>
          <w:tcPr>
            <w:tcW w:w="1756" w:type="dxa"/>
            <w:shd w:val="clear" w:color="auto" w:fill="auto"/>
            <w:noWrap/>
            <w:vAlign w:val="center"/>
            <w:hideMark/>
          </w:tcPr>
          <w:p w14:paraId="159D3E6C" w14:textId="1BE289A3" w:rsidR="00121A21" w:rsidRPr="00296D0C" w:rsidRDefault="00121A21" w:rsidP="005638A8">
            <w:pPr>
              <w:spacing w:after="0" w:line="240" w:lineRule="auto"/>
              <w:jc w:val="center"/>
              <w:rPr>
                <w:color w:val="000000"/>
              </w:rPr>
            </w:pPr>
            <w:r w:rsidRPr="00296D0C">
              <w:rPr>
                <w:color w:val="000000"/>
              </w:rPr>
              <w:t>0.70</w:t>
            </w:r>
          </w:p>
          <w:p w14:paraId="4C707526" w14:textId="77777777" w:rsidR="00121A21" w:rsidRPr="00296D0C" w:rsidRDefault="00121A21" w:rsidP="005638A8">
            <w:pPr>
              <w:spacing w:after="0" w:line="240" w:lineRule="auto"/>
              <w:jc w:val="center"/>
              <w:rPr>
                <w:rFonts w:eastAsia="Times New Roman" w:cs="Times New Roman"/>
                <w:color w:val="000000"/>
              </w:rPr>
            </w:pPr>
            <w:r w:rsidRPr="00296D0C">
              <w:rPr>
                <w:color w:val="000000"/>
              </w:rPr>
              <w:t xml:space="preserve"> (-4.73, 6.13)</w:t>
            </w:r>
          </w:p>
        </w:tc>
        <w:tc>
          <w:tcPr>
            <w:tcW w:w="958" w:type="dxa"/>
            <w:shd w:val="clear" w:color="auto" w:fill="auto"/>
            <w:noWrap/>
            <w:vAlign w:val="center"/>
            <w:hideMark/>
          </w:tcPr>
          <w:p w14:paraId="114B0A53" w14:textId="77777777" w:rsidR="00121A21" w:rsidRPr="00296D0C" w:rsidRDefault="00121A21" w:rsidP="005638A8">
            <w:pPr>
              <w:spacing w:after="0" w:line="240" w:lineRule="auto"/>
              <w:jc w:val="center"/>
              <w:rPr>
                <w:rFonts w:eastAsia="Times New Roman" w:cs="Times New Roman"/>
                <w:color w:val="000000"/>
              </w:rPr>
            </w:pPr>
            <w:r w:rsidRPr="00296D0C">
              <w:rPr>
                <w:color w:val="000000"/>
              </w:rPr>
              <w:t>0.793</w:t>
            </w:r>
          </w:p>
        </w:tc>
        <w:tc>
          <w:tcPr>
            <w:tcW w:w="1231" w:type="dxa"/>
            <w:shd w:val="clear" w:color="auto" w:fill="auto"/>
            <w:vAlign w:val="center"/>
          </w:tcPr>
          <w:p w14:paraId="06D7CBA0" w14:textId="77777777" w:rsidR="00121A21" w:rsidRPr="00296D0C" w:rsidRDefault="00121A21" w:rsidP="005638A8">
            <w:pPr>
              <w:spacing w:after="0" w:line="240" w:lineRule="auto"/>
              <w:jc w:val="center"/>
              <w:rPr>
                <w:rFonts w:eastAsia="Times New Roman" w:cs="Times New Roman"/>
                <w:color w:val="000000"/>
              </w:rPr>
            </w:pPr>
            <w:r w:rsidRPr="00296D0C">
              <w:rPr>
                <w:color w:val="000000"/>
              </w:rPr>
              <w:t>745</w:t>
            </w:r>
          </w:p>
        </w:tc>
        <w:tc>
          <w:tcPr>
            <w:tcW w:w="1425" w:type="dxa"/>
            <w:shd w:val="clear" w:color="auto" w:fill="auto"/>
            <w:vAlign w:val="center"/>
          </w:tcPr>
          <w:p w14:paraId="1FAB78D1" w14:textId="77777777" w:rsidR="00121A21" w:rsidRPr="00296D0C" w:rsidRDefault="00121A21" w:rsidP="005638A8">
            <w:pPr>
              <w:spacing w:after="0" w:line="240" w:lineRule="auto"/>
              <w:jc w:val="center"/>
              <w:rPr>
                <w:color w:val="000000"/>
              </w:rPr>
            </w:pPr>
            <w:r w:rsidRPr="00296D0C">
              <w:rPr>
                <w:color w:val="000000"/>
              </w:rPr>
              <w:t xml:space="preserve">0.43 </w:t>
            </w:r>
          </w:p>
          <w:p w14:paraId="1046AC8A" w14:textId="77777777" w:rsidR="00121A21" w:rsidRPr="00296D0C" w:rsidRDefault="00121A21" w:rsidP="005638A8">
            <w:pPr>
              <w:spacing w:after="0" w:line="240" w:lineRule="auto"/>
              <w:jc w:val="center"/>
              <w:rPr>
                <w:rFonts w:eastAsia="Times New Roman" w:cs="Times New Roman"/>
                <w:color w:val="000000"/>
              </w:rPr>
            </w:pPr>
            <w:r w:rsidRPr="00296D0C">
              <w:rPr>
                <w:color w:val="000000"/>
              </w:rPr>
              <w:t>(-5.87, 6.73)</w:t>
            </w:r>
          </w:p>
        </w:tc>
        <w:tc>
          <w:tcPr>
            <w:tcW w:w="1282" w:type="dxa"/>
            <w:shd w:val="clear" w:color="auto" w:fill="auto"/>
            <w:vAlign w:val="center"/>
          </w:tcPr>
          <w:p w14:paraId="0255EFF8" w14:textId="77777777" w:rsidR="00121A21" w:rsidRPr="00296D0C" w:rsidRDefault="00121A21" w:rsidP="005638A8">
            <w:pPr>
              <w:spacing w:after="0" w:line="240" w:lineRule="auto"/>
              <w:jc w:val="center"/>
              <w:rPr>
                <w:rFonts w:eastAsia="Times New Roman" w:cs="Times New Roman"/>
                <w:color w:val="000000"/>
              </w:rPr>
            </w:pPr>
            <w:r w:rsidRPr="00296D0C">
              <w:rPr>
                <w:color w:val="000000"/>
              </w:rPr>
              <w:t>0.891</w:t>
            </w:r>
          </w:p>
        </w:tc>
      </w:tr>
      <w:tr w:rsidR="00121A21" w:rsidRPr="00296D0C" w14:paraId="4ED7903C" w14:textId="77777777" w:rsidTr="005638A8">
        <w:trPr>
          <w:trHeight w:val="300"/>
        </w:trPr>
        <w:tc>
          <w:tcPr>
            <w:tcW w:w="2441" w:type="dxa"/>
            <w:shd w:val="clear" w:color="auto" w:fill="auto"/>
            <w:noWrap/>
            <w:vAlign w:val="center"/>
            <w:hideMark/>
          </w:tcPr>
          <w:p w14:paraId="7CA30F92" w14:textId="1F7D9783" w:rsidR="00121A21" w:rsidRPr="00296D0C" w:rsidRDefault="00121A21" w:rsidP="005C1660">
            <w:pPr>
              <w:spacing w:after="0" w:line="240" w:lineRule="auto"/>
              <w:rPr>
                <w:rFonts w:eastAsia="Times New Roman" w:cs="Times New Roman"/>
                <w:color w:val="000000"/>
              </w:rPr>
            </w:pPr>
            <w:r w:rsidRPr="00296D0C">
              <w:rPr>
                <w:color w:val="000000"/>
              </w:rPr>
              <w:t xml:space="preserve">Average </w:t>
            </w:r>
            <w:r w:rsidR="005C1660" w:rsidRPr="00296D0C">
              <w:rPr>
                <w:color w:val="000000"/>
              </w:rPr>
              <w:t>D</w:t>
            </w:r>
            <w:r w:rsidRPr="00296D0C">
              <w:rPr>
                <w:color w:val="000000"/>
              </w:rPr>
              <w:t>aily Moderate</w:t>
            </w:r>
          </w:p>
        </w:tc>
        <w:tc>
          <w:tcPr>
            <w:tcW w:w="1358" w:type="dxa"/>
            <w:shd w:val="clear" w:color="auto" w:fill="auto"/>
            <w:noWrap/>
            <w:vAlign w:val="center"/>
            <w:hideMark/>
          </w:tcPr>
          <w:p w14:paraId="16994855" w14:textId="77777777" w:rsidR="00121A21" w:rsidRPr="00296D0C" w:rsidRDefault="00121A21" w:rsidP="005638A8">
            <w:pPr>
              <w:spacing w:after="0" w:line="240" w:lineRule="auto"/>
              <w:jc w:val="center"/>
              <w:rPr>
                <w:rFonts w:eastAsia="Times New Roman" w:cs="Times New Roman"/>
                <w:color w:val="000000"/>
              </w:rPr>
            </w:pPr>
            <w:r w:rsidRPr="00296D0C">
              <w:rPr>
                <w:color w:val="000000"/>
              </w:rPr>
              <w:t>359</w:t>
            </w:r>
          </w:p>
        </w:tc>
        <w:tc>
          <w:tcPr>
            <w:tcW w:w="1226" w:type="dxa"/>
            <w:shd w:val="clear" w:color="auto" w:fill="auto"/>
            <w:noWrap/>
            <w:vAlign w:val="center"/>
            <w:hideMark/>
          </w:tcPr>
          <w:p w14:paraId="117894C3" w14:textId="77777777" w:rsidR="00121A21" w:rsidRPr="00296D0C" w:rsidRDefault="00121A21" w:rsidP="005638A8">
            <w:pPr>
              <w:spacing w:after="0" w:line="240" w:lineRule="auto"/>
              <w:jc w:val="center"/>
              <w:rPr>
                <w:rFonts w:eastAsia="Times New Roman" w:cs="Times New Roman"/>
                <w:color w:val="000000"/>
              </w:rPr>
            </w:pPr>
            <w:r w:rsidRPr="00296D0C">
              <w:rPr>
                <w:color w:val="000000"/>
              </w:rPr>
              <w:t>44.26  (16.24)</w:t>
            </w:r>
          </w:p>
        </w:tc>
        <w:tc>
          <w:tcPr>
            <w:tcW w:w="1035" w:type="dxa"/>
            <w:shd w:val="clear" w:color="auto" w:fill="auto"/>
            <w:noWrap/>
            <w:vAlign w:val="center"/>
            <w:hideMark/>
          </w:tcPr>
          <w:p w14:paraId="59EFB2F0" w14:textId="77777777" w:rsidR="00121A21" w:rsidRPr="00296D0C" w:rsidRDefault="00121A21" w:rsidP="005638A8">
            <w:pPr>
              <w:spacing w:after="0" w:line="240" w:lineRule="auto"/>
              <w:jc w:val="center"/>
              <w:rPr>
                <w:rFonts w:eastAsia="Times New Roman" w:cs="Times New Roman"/>
                <w:color w:val="000000"/>
              </w:rPr>
            </w:pPr>
            <w:r w:rsidRPr="00296D0C">
              <w:rPr>
                <w:color w:val="000000"/>
              </w:rPr>
              <w:t>386</w:t>
            </w:r>
          </w:p>
        </w:tc>
        <w:tc>
          <w:tcPr>
            <w:tcW w:w="1116" w:type="dxa"/>
            <w:shd w:val="clear" w:color="auto" w:fill="auto"/>
            <w:noWrap/>
            <w:vAlign w:val="center"/>
            <w:hideMark/>
          </w:tcPr>
          <w:p w14:paraId="5BB08092" w14:textId="77777777" w:rsidR="00121A21" w:rsidRPr="00296D0C" w:rsidRDefault="00121A21" w:rsidP="005638A8">
            <w:pPr>
              <w:spacing w:after="0" w:line="240" w:lineRule="auto"/>
              <w:jc w:val="center"/>
              <w:rPr>
                <w:rFonts w:eastAsia="Times New Roman" w:cs="Times New Roman"/>
                <w:color w:val="000000"/>
              </w:rPr>
            </w:pPr>
            <w:r w:rsidRPr="00296D0C">
              <w:rPr>
                <w:color w:val="000000"/>
              </w:rPr>
              <w:t>43.46  (13.43)</w:t>
            </w:r>
          </w:p>
        </w:tc>
        <w:tc>
          <w:tcPr>
            <w:tcW w:w="1397" w:type="dxa"/>
            <w:shd w:val="clear" w:color="auto" w:fill="auto"/>
            <w:noWrap/>
            <w:vAlign w:val="center"/>
            <w:hideMark/>
          </w:tcPr>
          <w:p w14:paraId="1D4143A6" w14:textId="77777777" w:rsidR="00121A21" w:rsidRPr="00296D0C" w:rsidRDefault="00121A21" w:rsidP="005638A8">
            <w:pPr>
              <w:spacing w:after="0" w:line="240" w:lineRule="auto"/>
              <w:jc w:val="center"/>
              <w:rPr>
                <w:rFonts w:eastAsia="Times New Roman" w:cs="Times New Roman"/>
                <w:color w:val="000000"/>
              </w:rPr>
            </w:pPr>
            <w:r w:rsidRPr="00296D0C">
              <w:rPr>
                <w:color w:val="000000"/>
              </w:rPr>
              <w:t>705</w:t>
            </w:r>
          </w:p>
        </w:tc>
        <w:tc>
          <w:tcPr>
            <w:tcW w:w="1756" w:type="dxa"/>
            <w:shd w:val="clear" w:color="auto" w:fill="auto"/>
            <w:noWrap/>
            <w:vAlign w:val="center"/>
            <w:hideMark/>
          </w:tcPr>
          <w:p w14:paraId="6BCCEC47" w14:textId="77777777" w:rsidR="00121A21" w:rsidRPr="00296D0C" w:rsidRDefault="00121A21" w:rsidP="005638A8">
            <w:pPr>
              <w:spacing w:after="0" w:line="240" w:lineRule="auto"/>
              <w:jc w:val="center"/>
              <w:rPr>
                <w:color w:val="000000"/>
              </w:rPr>
            </w:pPr>
            <w:r w:rsidRPr="00296D0C">
              <w:rPr>
                <w:color w:val="000000"/>
              </w:rPr>
              <w:t xml:space="preserve">0.41 </w:t>
            </w:r>
          </w:p>
          <w:p w14:paraId="2F9149BE" w14:textId="77777777" w:rsidR="00121A21" w:rsidRPr="00296D0C" w:rsidRDefault="00121A21" w:rsidP="005638A8">
            <w:pPr>
              <w:spacing w:after="0" w:line="240" w:lineRule="auto"/>
              <w:jc w:val="center"/>
              <w:rPr>
                <w:rFonts w:eastAsia="Times New Roman" w:cs="Times New Roman"/>
                <w:color w:val="000000"/>
              </w:rPr>
            </w:pPr>
            <w:r w:rsidRPr="00296D0C">
              <w:rPr>
                <w:color w:val="000000"/>
              </w:rPr>
              <w:t>(-2.28, 3.09)</w:t>
            </w:r>
          </w:p>
        </w:tc>
        <w:tc>
          <w:tcPr>
            <w:tcW w:w="958" w:type="dxa"/>
            <w:shd w:val="clear" w:color="auto" w:fill="auto"/>
            <w:noWrap/>
            <w:vAlign w:val="center"/>
            <w:hideMark/>
          </w:tcPr>
          <w:p w14:paraId="73C6D1DE" w14:textId="77777777" w:rsidR="00121A21" w:rsidRPr="00296D0C" w:rsidRDefault="00121A21" w:rsidP="005638A8">
            <w:pPr>
              <w:spacing w:after="0" w:line="240" w:lineRule="auto"/>
              <w:jc w:val="center"/>
              <w:rPr>
                <w:rFonts w:eastAsia="Times New Roman" w:cs="Times New Roman"/>
                <w:color w:val="000000"/>
              </w:rPr>
            </w:pPr>
            <w:r w:rsidRPr="00296D0C">
              <w:rPr>
                <w:color w:val="000000"/>
              </w:rPr>
              <w:t>0.759</w:t>
            </w:r>
          </w:p>
        </w:tc>
        <w:tc>
          <w:tcPr>
            <w:tcW w:w="1231" w:type="dxa"/>
            <w:shd w:val="clear" w:color="auto" w:fill="auto"/>
            <w:vAlign w:val="center"/>
          </w:tcPr>
          <w:p w14:paraId="2D6E154E" w14:textId="77777777" w:rsidR="00121A21" w:rsidRPr="00296D0C" w:rsidRDefault="00121A21" w:rsidP="005638A8">
            <w:pPr>
              <w:spacing w:after="0" w:line="240" w:lineRule="auto"/>
              <w:jc w:val="center"/>
              <w:rPr>
                <w:rFonts w:eastAsia="Times New Roman" w:cs="Times New Roman"/>
                <w:color w:val="000000"/>
              </w:rPr>
            </w:pPr>
            <w:r w:rsidRPr="00296D0C">
              <w:rPr>
                <w:color w:val="000000"/>
              </w:rPr>
              <w:t>745</w:t>
            </w:r>
          </w:p>
        </w:tc>
        <w:tc>
          <w:tcPr>
            <w:tcW w:w="1425" w:type="dxa"/>
            <w:shd w:val="clear" w:color="auto" w:fill="auto"/>
            <w:vAlign w:val="center"/>
          </w:tcPr>
          <w:p w14:paraId="73341B4A" w14:textId="77777777" w:rsidR="00121A21" w:rsidRPr="00296D0C" w:rsidRDefault="00121A21" w:rsidP="005638A8">
            <w:pPr>
              <w:spacing w:after="0" w:line="240" w:lineRule="auto"/>
              <w:jc w:val="center"/>
              <w:rPr>
                <w:color w:val="000000"/>
              </w:rPr>
            </w:pPr>
            <w:r w:rsidRPr="00296D0C">
              <w:rPr>
                <w:color w:val="000000"/>
              </w:rPr>
              <w:t xml:space="preserve">0.68 </w:t>
            </w:r>
          </w:p>
          <w:p w14:paraId="3107CA70" w14:textId="77777777" w:rsidR="00121A21" w:rsidRPr="00296D0C" w:rsidRDefault="00121A21" w:rsidP="005638A8">
            <w:pPr>
              <w:spacing w:after="0" w:line="240" w:lineRule="auto"/>
              <w:jc w:val="center"/>
              <w:rPr>
                <w:rFonts w:eastAsia="Times New Roman" w:cs="Times New Roman"/>
                <w:color w:val="000000"/>
              </w:rPr>
            </w:pPr>
            <w:r w:rsidRPr="00296D0C">
              <w:rPr>
                <w:color w:val="000000"/>
              </w:rPr>
              <w:t>(-2.41, 3.78)</w:t>
            </w:r>
          </w:p>
        </w:tc>
        <w:tc>
          <w:tcPr>
            <w:tcW w:w="1282" w:type="dxa"/>
            <w:shd w:val="clear" w:color="auto" w:fill="auto"/>
            <w:vAlign w:val="center"/>
          </w:tcPr>
          <w:p w14:paraId="12EDFB8A" w14:textId="77777777" w:rsidR="00121A21" w:rsidRPr="00296D0C" w:rsidRDefault="00121A21" w:rsidP="005638A8">
            <w:pPr>
              <w:spacing w:after="0" w:line="240" w:lineRule="auto"/>
              <w:jc w:val="center"/>
              <w:rPr>
                <w:rFonts w:eastAsia="Times New Roman" w:cs="Times New Roman"/>
                <w:color w:val="000000"/>
              </w:rPr>
            </w:pPr>
            <w:r w:rsidRPr="00296D0C">
              <w:rPr>
                <w:color w:val="000000"/>
              </w:rPr>
              <w:t>0.656</w:t>
            </w:r>
          </w:p>
        </w:tc>
      </w:tr>
      <w:tr w:rsidR="00121A21" w:rsidRPr="00296D0C" w14:paraId="1F74E89E" w14:textId="77777777" w:rsidTr="005638A8">
        <w:trPr>
          <w:trHeight w:val="300"/>
        </w:trPr>
        <w:tc>
          <w:tcPr>
            <w:tcW w:w="2441" w:type="dxa"/>
            <w:shd w:val="clear" w:color="auto" w:fill="auto"/>
            <w:noWrap/>
            <w:vAlign w:val="center"/>
            <w:hideMark/>
          </w:tcPr>
          <w:p w14:paraId="3EC522FE" w14:textId="3B3F209B" w:rsidR="00121A21" w:rsidRPr="00296D0C" w:rsidRDefault="00121A21" w:rsidP="005C1660">
            <w:pPr>
              <w:spacing w:after="0" w:line="240" w:lineRule="auto"/>
              <w:rPr>
                <w:rFonts w:eastAsia="Times New Roman" w:cs="Times New Roman"/>
                <w:color w:val="000000"/>
              </w:rPr>
            </w:pPr>
            <w:r w:rsidRPr="00296D0C">
              <w:rPr>
                <w:color w:val="000000"/>
              </w:rPr>
              <w:t xml:space="preserve">Average </w:t>
            </w:r>
            <w:r w:rsidR="005C1660" w:rsidRPr="00296D0C">
              <w:rPr>
                <w:color w:val="000000"/>
              </w:rPr>
              <w:t>D</w:t>
            </w:r>
            <w:r w:rsidRPr="00296D0C">
              <w:rPr>
                <w:color w:val="000000"/>
              </w:rPr>
              <w:t>aily Moderate-vigorous</w:t>
            </w:r>
          </w:p>
        </w:tc>
        <w:tc>
          <w:tcPr>
            <w:tcW w:w="1358" w:type="dxa"/>
            <w:shd w:val="clear" w:color="auto" w:fill="auto"/>
            <w:noWrap/>
            <w:vAlign w:val="center"/>
            <w:hideMark/>
          </w:tcPr>
          <w:p w14:paraId="2BDC31E8" w14:textId="77777777" w:rsidR="00121A21" w:rsidRPr="00296D0C" w:rsidRDefault="00121A21" w:rsidP="005638A8">
            <w:pPr>
              <w:spacing w:after="0" w:line="240" w:lineRule="auto"/>
              <w:jc w:val="center"/>
              <w:rPr>
                <w:rFonts w:eastAsia="Times New Roman" w:cs="Times New Roman"/>
                <w:color w:val="000000"/>
              </w:rPr>
            </w:pPr>
            <w:r w:rsidRPr="00296D0C">
              <w:rPr>
                <w:color w:val="000000"/>
              </w:rPr>
              <w:t>359</w:t>
            </w:r>
          </w:p>
        </w:tc>
        <w:tc>
          <w:tcPr>
            <w:tcW w:w="1226" w:type="dxa"/>
            <w:shd w:val="clear" w:color="auto" w:fill="auto"/>
            <w:noWrap/>
            <w:vAlign w:val="center"/>
            <w:hideMark/>
          </w:tcPr>
          <w:p w14:paraId="39735DA2" w14:textId="77777777" w:rsidR="00121A21" w:rsidRPr="00296D0C" w:rsidRDefault="00121A21" w:rsidP="005638A8">
            <w:pPr>
              <w:spacing w:after="0" w:line="240" w:lineRule="auto"/>
              <w:jc w:val="center"/>
              <w:rPr>
                <w:rFonts w:eastAsia="Times New Roman" w:cs="Times New Roman"/>
                <w:color w:val="000000"/>
              </w:rPr>
            </w:pPr>
            <w:r w:rsidRPr="00296D0C">
              <w:rPr>
                <w:color w:val="000000"/>
              </w:rPr>
              <w:t>57.99  (22.34)</w:t>
            </w:r>
          </w:p>
        </w:tc>
        <w:tc>
          <w:tcPr>
            <w:tcW w:w="1035" w:type="dxa"/>
            <w:shd w:val="clear" w:color="auto" w:fill="auto"/>
            <w:noWrap/>
            <w:vAlign w:val="center"/>
            <w:hideMark/>
          </w:tcPr>
          <w:p w14:paraId="19DBED37" w14:textId="77777777" w:rsidR="00121A21" w:rsidRPr="00296D0C" w:rsidRDefault="00121A21" w:rsidP="005638A8">
            <w:pPr>
              <w:spacing w:after="0" w:line="240" w:lineRule="auto"/>
              <w:jc w:val="center"/>
              <w:rPr>
                <w:rFonts w:eastAsia="Times New Roman" w:cs="Times New Roman"/>
                <w:color w:val="000000"/>
              </w:rPr>
            </w:pPr>
            <w:r w:rsidRPr="00296D0C">
              <w:rPr>
                <w:color w:val="000000"/>
              </w:rPr>
              <w:t>386</w:t>
            </w:r>
          </w:p>
        </w:tc>
        <w:tc>
          <w:tcPr>
            <w:tcW w:w="1116" w:type="dxa"/>
            <w:shd w:val="clear" w:color="auto" w:fill="auto"/>
            <w:noWrap/>
            <w:vAlign w:val="center"/>
            <w:hideMark/>
          </w:tcPr>
          <w:p w14:paraId="252816E5" w14:textId="77777777" w:rsidR="00121A21" w:rsidRPr="00296D0C" w:rsidRDefault="00121A21" w:rsidP="005638A8">
            <w:pPr>
              <w:spacing w:after="0" w:line="240" w:lineRule="auto"/>
              <w:jc w:val="center"/>
              <w:rPr>
                <w:rFonts w:eastAsia="Times New Roman" w:cs="Times New Roman"/>
                <w:color w:val="000000"/>
              </w:rPr>
            </w:pPr>
            <w:r w:rsidRPr="00296D0C">
              <w:rPr>
                <w:color w:val="000000"/>
              </w:rPr>
              <w:t>56.98 (19.39)</w:t>
            </w:r>
          </w:p>
        </w:tc>
        <w:tc>
          <w:tcPr>
            <w:tcW w:w="1397" w:type="dxa"/>
            <w:shd w:val="clear" w:color="auto" w:fill="auto"/>
            <w:noWrap/>
            <w:vAlign w:val="center"/>
            <w:hideMark/>
          </w:tcPr>
          <w:p w14:paraId="0E0326B6" w14:textId="77777777" w:rsidR="00121A21" w:rsidRPr="00296D0C" w:rsidRDefault="00121A21" w:rsidP="005638A8">
            <w:pPr>
              <w:spacing w:after="0" w:line="240" w:lineRule="auto"/>
              <w:jc w:val="center"/>
              <w:rPr>
                <w:rFonts w:eastAsia="Times New Roman" w:cs="Times New Roman"/>
                <w:color w:val="000000"/>
              </w:rPr>
            </w:pPr>
            <w:r w:rsidRPr="00296D0C">
              <w:rPr>
                <w:color w:val="000000"/>
              </w:rPr>
              <w:t>705</w:t>
            </w:r>
          </w:p>
        </w:tc>
        <w:tc>
          <w:tcPr>
            <w:tcW w:w="1756" w:type="dxa"/>
            <w:shd w:val="clear" w:color="auto" w:fill="auto"/>
            <w:noWrap/>
            <w:vAlign w:val="center"/>
            <w:hideMark/>
          </w:tcPr>
          <w:p w14:paraId="29F0CD97" w14:textId="77777777" w:rsidR="00121A21" w:rsidRPr="00296D0C" w:rsidRDefault="00121A21" w:rsidP="005638A8">
            <w:pPr>
              <w:spacing w:after="0" w:line="240" w:lineRule="auto"/>
              <w:jc w:val="center"/>
              <w:rPr>
                <w:color w:val="000000"/>
              </w:rPr>
            </w:pPr>
            <w:r w:rsidRPr="00296D0C">
              <w:rPr>
                <w:color w:val="000000"/>
              </w:rPr>
              <w:t xml:space="preserve">0.56 </w:t>
            </w:r>
          </w:p>
          <w:p w14:paraId="160BD98C" w14:textId="77777777" w:rsidR="00121A21" w:rsidRPr="00296D0C" w:rsidRDefault="00121A21" w:rsidP="005638A8">
            <w:pPr>
              <w:spacing w:after="0" w:line="240" w:lineRule="auto"/>
              <w:jc w:val="center"/>
              <w:rPr>
                <w:rFonts w:eastAsia="Times New Roman" w:cs="Times New Roman"/>
                <w:color w:val="000000"/>
              </w:rPr>
            </w:pPr>
            <w:r w:rsidRPr="00296D0C">
              <w:rPr>
                <w:color w:val="000000"/>
              </w:rPr>
              <w:t>(-2.76, 3.89)</w:t>
            </w:r>
          </w:p>
        </w:tc>
        <w:tc>
          <w:tcPr>
            <w:tcW w:w="958" w:type="dxa"/>
            <w:shd w:val="clear" w:color="auto" w:fill="auto"/>
            <w:noWrap/>
            <w:vAlign w:val="center"/>
            <w:hideMark/>
          </w:tcPr>
          <w:p w14:paraId="5FA59278" w14:textId="77777777" w:rsidR="00121A21" w:rsidRPr="00296D0C" w:rsidRDefault="00121A21" w:rsidP="005638A8">
            <w:pPr>
              <w:spacing w:after="0" w:line="240" w:lineRule="auto"/>
              <w:jc w:val="center"/>
              <w:rPr>
                <w:rFonts w:eastAsia="Times New Roman" w:cs="Times New Roman"/>
                <w:color w:val="000000"/>
              </w:rPr>
            </w:pPr>
            <w:r w:rsidRPr="00296D0C">
              <w:rPr>
                <w:color w:val="000000"/>
              </w:rPr>
              <w:t>0.731</w:t>
            </w:r>
          </w:p>
        </w:tc>
        <w:tc>
          <w:tcPr>
            <w:tcW w:w="1231" w:type="dxa"/>
            <w:shd w:val="clear" w:color="auto" w:fill="auto"/>
            <w:vAlign w:val="center"/>
          </w:tcPr>
          <w:p w14:paraId="6DF0F1CA" w14:textId="77777777" w:rsidR="00121A21" w:rsidRPr="00296D0C" w:rsidRDefault="00121A21" w:rsidP="005638A8">
            <w:pPr>
              <w:spacing w:after="0" w:line="240" w:lineRule="auto"/>
              <w:jc w:val="center"/>
              <w:rPr>
                <w:rFonts w:eastAsia="Times New Roman" w:cs="Times New Roman"/>
                <w:color w:val="000000"/>
              </w:rPr>
            </w:pPr>
            <w:r w:rsidRPr="00296D0C">
              <w:rPr>
                <w:color w:val="000000"/>
              </w:rPr>
              <w:t>745</w:t>
            </w:r>
          </w:p>
        </w:tc>
        <w:tc>
          <w:tcPr>
            <w:tcW w:w="1425" w:type="dxa"/>
            <w:shd w:val="clear" w:color="auto" w:fill="auto"/>
            <w:vAlign w:val="center"/>
          </w:tcPr>
          <w:p w14:paraId="4F78B750" w14:textId="627FBB6B" w:rsidR="00121A21" w:rsidRPr="00296D0C" w:rsidRDefault="00121A21" w:rsidP="005638A8">
            <w:pPr>
              <w:spacing w:after="0" w:line="240" w:lineRule="auto"/>
              <w:jc w:val="center"/>
              <w:rPr>
                <w:color w:val="000000"/>
              </w:rPr>
            </w:pPr>
            <w:r w:rsidRPr="00296D0C">
              <w:rPr>
                <w:color w:val="000000"/>
              </w:rPr>
              <w:t xml:space="preserve">0.85 </w:t>
            </w:r>
          </w:p>
          <w:p w14:paraId="651D4550" w14:textId="77777777" w:rsidR="00121A21" w:rsidRPr="00296D0C" w:rsidRDefault="00121A21" w:rsidP="005638A8">
            <w:pPr>
              <w:spacing w:after="0" w:line="240" w:lineRule="auto"/>
              <w:jc w:val="center"/>
              <w:rPr>
                <w:rFonts w:eastAsia="Times New Roman" w:cs="Times New Roman"/>
                <w:color w:val="000000"/>
              </w:rPr>
            </w:pPr>
            <w:r w:rsidRPr="00296D0C">
              <w:rPr>
                <w:color w:val="000000"/>
              </w:rPr>
              <w:t>(-3.24, 4.94)</w:t>
            </w:r>
          </w:p>
        </w:tc>
        <w:tc>
          <w:tcPr>
            <w:tcW w:w="1282" w:type="dxa"/>
            <w:shd w:val="clear" w:color="auto" w:fill="auto"/>
            <w:vAlign w:val="center"/>
          </w:tcPr>
          <w:p w14:paraId="2EF8F251" w14:textId="77777777" w:rsidR="00121A21" w:rsidRPr="00296D0C" w:rsidRDefault="00121A21" w:rsidP="005638A8">
            <w:pPr>
              <w:spacing w:after="0" w:line="240" w:lineRule="auto"/>
              <w:jc w:val="center"/>
              <w:rPr>
                <w:rFonts w:eastAsia="Times New Roman" w:cs="Times New Roman"/>
                <w:color w:val="000000"/>
              </w:rPr>
            </w:pPr>
            <w:r w:rsidRPr="00296D0C">
              <w:rPr>
                <w:color w:val="000000"/>
              </w:rPr>
              <w:t>0.674</w:t>
            </w:r>
          </w:p>
        </w:tc>
      </w:tr>
      <w:tr w:rsidR="00121A21" w:rsidRPr="00296D0C" w14:paraId="3581913C" w14:textId="77777777" w:rsidTr="005638A8">
        <w:trPr>
          <w:trHeight w:val="300"/>
        </w:trPr>
        <w:tc>
          <w:tcPr>
            <w:tcW w:w="2441" w:type="dxa"/>
            <w:shd w:val="clear" w:color="auto" w:fill="auto"/>
            <w:noWrap/>
            <w:vAlign w:val="center"/>
            <w:hideMark/>
          </w:tcPr>
          <w:p w14:paraId="630CAB0C" w14:textId="768AC56A" w:rsidR="00121A21" w:rsidRPr="00296D0C" w:rsidRDefault="00121A21" w:rsidP="005C1660">
            <w:pPr>
              <w:spacing w:after="0" w:line="240" w:lineRule="auto"/>
              <w:rPr>
                <w:rFonts w:eastAsia="Times New Roman" w:cs="Times New Roman"/>
                <w:color w:val="000000"/>
              </w:rPr>
            </w:pPr>
            <w:r w:rsidRPr="00296D0C">
              <w:rPr>
                <w:color w:val="000000"/>
              </w:rPr>
              <w:t xml:space="preserve">Average </w:t>
            </w:r>
            <w:r w:rsidR="005C1660" w:rsidRPr="00296D0C">
              <w:rPr>
                <w:color w:val="000000"/>
              </w:rPr>
              <w:t>D</w:t>
            </w:r>
            <w:r w:rsidRPr="00296D0C">
              <w:rPr>
                <w:color w:val="000000"/>
              </w:rPr>
              <w:t>aily Vigorous</w:t>
            </w:r>
          </w:p>
        </w:tc>
        <w:tc>
          <w:tcPr>
            <w:tcW w:w="1358" w:type="dxa"/>
            <w:shd w:val="clear" w:color="auto" w:fill="auto"/>
            <w:noWrap/>
            <w:vAlign w:val="center"/>
            <w:hideMark/>
          </w:tcPr>
          <w:p w14:paraId="780AC74B" w14:textId="77777777" w:rsidR="00121A21" w:rsidRPr="00296D0C" w:rsidRDefault="00121A21" w:rsidP="005638A8">
            <w:pPr>
              <w:spacing w:after="0" w:line="240" w:lineRule="auto"/>
              <w:jc w:val="center"/>
              <w:rPr>
                <w:rFonts w:eastAsia="Times New Roman" w:cs="Times New Roman"/>
                <w:color w:val="000000"/>
              </w:rPr>
            </w:pPr>
            <w:r w:rsidRPr="00296D0C">
              <w:rPr>
                <w:color w:val="000000"/>
              </w:rPr>
              <w:t>359</w:t>
            </w:r>
          </w:p>
        </w:tc>
        <w:tc>
          <w:tcPr>
            <w:tcW w:w="1226" w:type="dxa"/>
            <w:shd w:val="clear" w:color="auto" w:fill="auto"/>
            <w:noWrap/>
            <w:vAlign w:val="center"/>
            <w:hideMark/>
          </w:tcPr>
          <w:p w14:paraId="508C8394" w14:textId="77777777" w:rsidR="00121A21" w:rsidRPr="00296D0C" w:rsidRDefault="00121A21" w:rsidP="005638A8">
            <w:pPr>
              <w:spacing w:after="0" w:line="240" w:lineRule="auto"/>
              <w:jc w:val="center"/>
              <w:rPr>
                <w:rFonts w:eastAsia="Times New Roman" w:cs="Times New Roman"/>
                <w:color w:val="000000"/>
              </w:rPr>
            </w:pPr>
            <w:r w:rsidRPr="00296D0C">
              <w:rPr>
                <w:color w:val="000000"/>
              </w:rPr>
              <w:t>13.734  (7.66 )</w:t>
            </w:r>
          </w:p>
        </w:tc>
        <w:tc>
          <w:tcPr>
            <w:tcW w:w="1035" w:type="dxa"/>
            <w:shd w:val="clear" w:color="auto" w:fill="auto"/>
            <w:noWrap/>
            <w:vAlign w:val="center"/>
            <w:hideMark/>
          </w:tcPr>
          <w:p w14:paraId="39A09E02" w14:textId="77777777" w:rsidR="00121A21" w:rsidRPr="00296D0C" w:rsidRDefault="00121A21" w:rsidP="005638A8">
            <w:pPr>
              <w:spacing w:after="0" w:line="240" w:lineRule="auto"/>
              <w:jc w:val="center"/>
              <w:rPr>
                <w:rFonts w:eastAsia="Times New Roman" w:cs="Times New Roman"/>
                <w:color w:val="000000"/>
              </w:rPr>
            </w:pPr>
            <w:r w:rsidRPr="00296D0C">
              <w:rPr>
                <w:color w:val="000000"/>
              </w:rPr>
              <w:t>386</w:t>
            </w:r>
          </w:p>
        </w:tc>
        <w:tc>
          <w:tcPr>
            <w:tcW w:w="1116" w:type="dxa"/>
            <w:shd w:val="clear" w:color="auto" w:fill="auto"/>
            <w:noWrap/>
            <w:vAlign w:val="center"/>
            <w:hideMark/>
          </w:tcPr>
          <w:p w14:paraId="61DA7303" w14:textId="77777777" w:rsidR="00121A21" w:rsidRPr="00296D0C" w:rsidRDefault="00121A21" w:rsidP="005638A8">
            <w:pPr>
              <w:spacing w:after="0" w:line="240" w:lineRule="auto"/>
              <w:jc w:val="center"/>
              <w:rPr>
                <w:rFonts w:eastAsia="Times New Roman" w:cs="Times New Roman"/>
                <w:color w:val="000000"/>
              </w:rPr>
            </w:pPr>
            <w:r w:rsidRPr="00296D0C">
              <w:rPr>
                <w:color w:val="000000"/>
              </w:rPr>
              <w:t>13.52 (7.38)</w:t>
            </w:r>
          </w:p>
        </w:tc>
        <w:tc>
          <w:tcPr>
            <w:tcW w:w="1397" w:type="dxa"/>
            <w:shd w:val="clear" w:color="auto" w:fill="auto"/>
            <w:noWrap/>
            <w:vAlign w:val="center"/>
            <w:hideMark/>
          </w:tcPr>
          <w:p w14:paraId="147B3473" w14:textId="77777777" w:rsidR="00121A21" w:rsidRPr="00296D0C" w:rsidRDefault="00121A21" w:rsidP="005638A8">
            <w:pPr>
              <w:spacing w:after="0" w:line="240" w:lineRule="auto"/>
              <w:jc w:val="center"/>
              <w:rPr>
                <w:rFonts w:eastAsia="Times New Roman" w:cs="Times New Roman"/>
                <w:color w:val="000000"/>
              </w:rPr>
            </w:pPr>
            <w:r w:rsidRPr="00296D0C">
              <w:rPr>
                <w:color w:val="000000"/>
              </w:rPr>
              <w:t>705</w:t>
            </w:r>
          </w:p>
        </w:tc>
        <w:tc>
          <w:tcPr>
            <w:tcW w:w="1756" w:type="dxa"/>
            <w:shd w:val="clear" w:color="auto" w:fill="auto"/>
            <w:noWrap/>
            <w:vAlign w:val="center"/>
            <w:hideMark/>
          </w:tcPr>
          <w:p w14:paraId="5597EB01" w14:textId="77777777" w:rsidR="00121A21" w:rsidRPr="00296D0C" w:rsidRDefault="00121A21" w:rsidP="005638A8">
            <w:pPr>
              <w:spacing w:after="0" w:line="240" w:lineRule="auto"/>
              <w:jc w:val="center"/>
              <w:rPr>
                <w:color w:val="000000"/>
              </w:rPr>
            </w:pPr>
            <w:r w:rsidRPr="00296D0C">
              <w:rPr>
                <w:color w:val="000000"/>
              </w:rPr>
              <w:t xml:space="preserve">0.15 </w:t>
            </w:r>
          </w:p>
          <w:p w14:paraId="401F6D4A" w14:textId="77777777" w:rsidR="00121A21" w:rsidRPr="00296D0C" w:rsidRDefault="00121A21" w:rsidP="005638A8">
            <w:pPr>
              <w:spacing w:after="0" w:line="240" w:lineRule="auto"/>
              <w:jc w:val="center"/>
              <w:rPr>
                <w:rFonts w:eastAsia="Times New Roman" w:cs="Times New Roman"/>
                <w:color w:val="000000"/>
              </w:rPr>
            </w:pPr>
            <w:r w:rsidRPr="00296D0C">
              <w:rPr>
                <w:color w:val="000000"/>
              </w:rPr>
              <w:t>(-1.01, 1.3)</w:t>
            </w:r>
          </w:p>
        </w:tc>
        <w:tc>
          <w:tcPr>
            <w:tcW w:w="958" w:type="dxa"/>
            <w:shd w:val="clear" w:color="auto" w:fill="auto"/>
            <w:noWrap/>
            <w:vAlign w:val="center"/>
            <w:hideMark/>
          </w:tcPr>
          <w:p w14:paraId="10B08741" w14:textId="77777777" w:rsidR="00121A21" w:rsidRPr="00296D0C" w:rsidRDefault="00121A21" w:rsidP="005638A8">
            <w:pPr>
              <w:spacing w:after="0" w:line="240" w:lineRule="auto"/>
              <w:jc w:val="center"/>
              <w:rPr>
                <w:rFonts w:eastAsia="Times New Roman" w:cs="Times New Roman"/>
                <w:color w:val="000000"/>
              </w:rPr>
            </w:pPr>
            <w:r w:rsidRPr="00296D0C">
              <w:rPr>
                <w:color w:val="000000"/>
              </w:rPr>
              <w:t>0.798</w:t>
            </w:r>
          </w:p>
        </w:tc>
        <w:tc>
          <w:tcPr>
            <w:tcW w:w="1231" w:type="dxa"/>
            <w:shd w:val="clear" w:color="auto" w:fill="auto"/>
            <w:vAlign w:val="center"/>
          </w:tcPr>
          <w:p w14:paraId="5F417425" w14:textId="77777777" w:rsidR="00121A21" w:rsidRPr="00296D0C" w:rsidRDefault="00121A21" w:rsidP="005638A8">
            <w:pPr>
              <w:spacing w:after="0" w:line="240" w:lineRule="auto"/>
              <w:jc w:val="center"/>
              <w:rPr>
                <w:rFonts w:eastAsia="Times New Roman" w:cs="Times New Roman"/>
                <w:color w:val="000000"/>
              </w:rPr>
            </w:pPr>
            <w:r w:rsidRPr="00296D0C">
              <w:rPr>
                <w:color w:val="000000"/>
              </w:rPr>
              <w:t>745</w:t>
            </w:r>
          </w:p>
        </w:tc>
        <w:tc>
          <w:tcPr>
            <w:tcW w:w="1425" w:type="dxa"/>
            <w:shd w:val="clear" w:color="auto" w:fill="auto"/>
            <w:vAlign w:val="center"/>
          </w:tcPr>
          <w:p w14:paraId="6D119DBC" w14:textId="5A3C18D5" w:rsidR="00121A21" w:rsidRPr="00296D0C" w:rsidRDefault="00121A21" w:rsidP="005638A8">
            <w:pPr>
              <w:spacing w:after="0" w:line="240" w:lineRule="auto"/>
              <w:jc w:val="center"/>
              <w:rPr>
                <w:color w:val="000000"/>
              </w:rPr>
            </w:pPr>
            <w:r w:rsidRPr="00296D0C">
              <w:rPr>
                <w:color w:val="000000"/>
              </w:rPr>
              <w:t xml:space="preserve">0.15 </w:t>
            </w:r>
          </w:p>
          <w:p w14:paraId="57DD1D85" w14:textId="77777777" w:rsidR="00121A21" w:rsidRPr="00296D0C" w:rsidRDefault="00121A21" w:rsidP="005638A8">
            <w:pPr>
              <w:spacing w:after="0" w:line="240" w:lineRule="auto"/>
              <w:jc w:val="center"/>
              <w:rPr>
                <w:rFonts w:eastAsia="Times New Roman" w:cs="Times New Roman"/>
                <w:color w:val="000000"/>
              </w:rPr>
            </w:pPr>
            <w:r w:rsidRPr="00296D0C">
              <w:rPr>
                <w:color w:val="000000"/>
              </w:rPr>
              <w:t>(-1.33, 1.63)</w:t>
            </w:r>
          </w:p>
        </w:tc>
        <w:tc>
          <w:tcPr>
            <w:tcW w:w="1282" w:type="dxa"/>
            <w:shd w:val="clear" w:color="auto" w:fill="auto"/>
            <w:vAlign w:val="center"/>
          </w:tcPr>
          <w:p w14:paraId="58C26AA1" w14:textId="77777777" w:rsidR="00121A21" w:rsidRPr="00296D0C" w:rsidRDefault="00121A21" w:rsidP="005638A8">
            <w:pPr>
              <w:spacing w:after="0" w:line="240" w:lineRule="auto"/>
              <w:jc w:val="center"/>
              <w:rPr>
                <w:rFonts w:eastAsia="Times New Roman" w:cs="Times New Roman"/>
                <w:color w:val="000000"/>
              </w:rPr>
            </w:pPr>
            <w:r w:rsidRPr="00296D0C">
              <w:rPr>
                <w:color w:val="000000"/>
              </w:rPr>
              <w:t>0.834</w:t>
            </w:r>
          </w:p>
        </w:tc>
      </w:tr>
      <w:tr w:rsidR="00121A21" w:rsidRPr="00296D0C" w14:paraId="602CAF26" w14:textId="77777777" w:rsidTr="005638A8">
        <w:trPr>
          <w:trHeight w:val="300"/>
        </w:trPr>
        <w:tc>
          <w:tcPr>
            <w:tcW w:w="2441" w:type="dxa"/>
            <w:shd w:val="clear" w:color="auto" w:fill="auto"/>
            <w:noWrap/>
            <w:vAlign w:val="center"/>
            <w:hideMark/>
          </w:tcPr>
          <w:p w14:paraId="46AD701B" w14:textId="3E195C19" w:rsidR="00121A21" w:rsidRPr="00296D0C" w:rsidRDefault="00121A21" w:rsidP="005C1660">
            <w:pPr>
              <w:spacing w:after="0" w:line="240" w:lineRule="auto"/>
              <w:rPr>
                <w:rFonts w:eastAsia="Times New Roman" w:cs="Times New Roman"/>
                <w:color w:val="000000"/>
              </w:rPr>
            </w:pPr>
            <w:r w:rsidRPr="00296D0C">
              <w:rPr>
                <w:color w:val="000000"/>
              </w:rPr>
              <w:t xml:space="preserve">Average </w:t>
            </w:r>
            <w:r w:rsidR="005C1660" w:rsidRPr="00296D0C">
              <w:rPr>
                <w:color w:val="000000"/>
              </w:rPr>
              <w:t>D</w:t>
            </w:r>
            <w:r w:rsidRPr="00296D0C">
              <w:rPr>
                <w:color w:val="000000"/>
              </w:rPr>
              <w:t>aily Sedentary</w:t>
            </w:r>
          </w:p>
        </w:tc>
        <w:tc>
          <w:tcPr>
            <w:tcW w:w="1358" w:type="dxa"/>
            <w:shd w:val="clear" w:color="auto" w:fill="auto"/>
            <w:noWrap/>
            <w:vAlign w:val="center"/>
            <w:hideMark/>
          </w:tcPr>
          <w:p w14:paraId="06B29653" w14:textId="77777777" w:rsidR="00121A21" w:rsidRPr="00296D0C" w:rsidRDefault="00121A21" w:rsidP="005638A8">
            <w:pPr>
              <w:spacing w:after="0" w:line="240" w:lineRule="auto"/>
              <w:jc w:val="center"/>
              <w:rPr>
                <w:rFonts w:eastAsia="Times New Roman" w:cs="Times New Roman"/>
                <w:color w:val="000000"/>
              </w:rPr>
            </w:pPr>
            <w:r w:rsidRPr="00296D0C">
              <w:rPr>
                <w:color w:val="000000"/>
              </w:rPr>
              <w:t>359</w:t>
            </w:r>
          </w:p>
        </w:tc>
        <w:tc>
          <w:tcPr>
            <w:tcW w:w="1226" w:type="dxa"/>
            <w:shd w:val="clear" w:color="auto" w:fill="auto"/>
            <w:noWrap/>
            <w:vAlign w:val="center"/>
            <w:hideMark/>
          </w:tcPr>
          <w:p w14:paraId="0C3DB1D1" w14:textId="77777777" w:rsidR="00121A21" w:rsidRPr="00296D0C" w:rsidRDefault="00121A21" w:rsidP="005638A8">
            <w:pPr>
              <w:spacing w:after="0" w:line="240" w:lineRule="auto"/>
              <w:jc w:val="center"/>
              <w:rPr>
                <w:rFonts w:eastAsia="Times New Roman" w:cs="Times New Roman"/>
                <w:color w:val="000000"/>
              </w:rPr>
            </w:pPr>
            <w:r w:rsidRPr="00296D0C">
              <w:rPr>
                <w:color w:val="000000"/>
              </w:rPr>
              <w:t>764.50 (43.29)</w:t>
            </w:r>
          </w:p>
        </w:tc>
        <w:tc>
          <w:tcPr>
            <w:tcW w:w="1035" w:type="dxa"/>
            <w:shd w:val="clear" w:color="auto" w:fill="auto"/>
            <w:noWrap/>
            <w:vAlign w:val="center"/>
            <w:hideMark/>
          </w:tcPr>
          <w:p w14:paraId="35DB533A" w14:textId="77777777" w:rsidR="00121A21" w:rsidRPr="00296D0C" w:rsidRDefault="00121A21" w:rsidP="005638A8">
            <w:pPr>
              <w:spacing w:after="0" w:line="240" w:lineRule="auto"/>
              <w:jc w:val="center"/>
              <w:rPr>
                <w:rFonts w:eastAsia="Times New Roman" w:cs="Times New Roman"/>
                <w:color w:val="000000"/>
              </w:rPr>
            </w:pPr>
            <w:r w:rsidRPr="00296D0C">
              <w:rPr>
                <w:color w:val="000000"/>
              </w:rPr>
              <w:t>386</w:t>
            </w:r>
          </w:p>
        </w:tc>
        <w:tc>
          <w:tcPr>
            <w:tcW w:w="1116" w:type="dxa"/>
            <w:shd w:val="clear" w:color="auto" w:fill="auto"/>
            <w:noWrap/>
            <w:vAlign w:val="center"/>
            <w:hideMark/>
          </w:tcPr>
          <w:p w14:paraId="3A14A9AB" w14:textId="77777777" w:rsidR="00121A21" w:rsidRPr="00296D0C" w:rsidRDefault="00121A21" w:rsidP="005638A8">
            <w:pPr>
              <w:spacing w:after="0" w:line="240" w:lineRule="auto"/>
              <w:jc w:val="center"/>
              <w:rPr>
                <w:rFonts w:eastAsia="Times New Roman" w:cs="Times New Roman"/>
                <w:color w:val="000000"/>
              </w:rPr>
            </w:pPr>
            <w:r w:rsidRPr="00296D0C">
              <w:rPr>
                <w:color w:val="000000"/>
              </w:rPr>
              <w:t>766.36 (39.88)</w:t>
            </w:r>
          </w:p>
        </w:tc>
        <w:tc>
          <w:tcPr>
            <w:tcW w:w="1397" w:type="dxa"/>
            <w:shd w:val="clear" w:color="auto" w:fill="auto"/>
            <w:noWrap/>
            <w:vAlign w:val="center"/>
            <w:hideMark/>
          </w:tcPr>
          <w:p w14:paraId="45BDD78B" w14:textId="77777777" w:rsidR="00121A21" w:rsidRPr="00296D0C" w:rsidRDefault="00121A21" w:rsidP="005638A8">
            <w:pPr>
              <w:spacing w:after="0" w:line="240" w:lineRule="auto"/>
              <w:jc w:val="center"/>
              <w:rPr>
                <w:rFonts w:eastAsia="Times New Roman" w:cs="Times New Roman"/>
                <w:color w:val="000000"/>
              </w:rPr>
            </w:pPr>
            <w:r w:rsidRPr="00296D0C">
              <w:rPr>
                <w:color w:val="000000"/>
              </w:rPr>
              <w:t>705</w:t>
            </w:r>
          </w:p>
        </w:tc>
        <w:tc>
          <w:tcPr>
            <w:tcW w:w="1756" w:type="dxa"/>
            <w:shd w:val="clear" w:color="auto" w:fill="auto"/>
            <w:noWrap/>
            <w:vAlign w:val="center"/>
            <w:hideMark/>
          </w:tcPr>
          <w:p w14:paraId="1F02C1D8" w14:textId="77777777" w:rsidR="00121A21" w:rsidRPr="00296D0C" w:rsidRDefault="00121A21" w:rsidP="005638A8">
            <w:pPr>
              <w:spacing w:after="0" w:line="240" w:lineRule="auto"/>
              <w:jc w:val="center"/>
              <w:rPr>
                <w:color w:val="000000"/>
              </w:rPr>
            </w:pPr>
            <w:r w:rsidRPr="00296D0C">
              <w:rPr>
                <w:color w:val="000000"/>
              </w:rPr>
              <w:t xml:space="preserve">-1.39 </w:t>
            </w:r>
          </w:p>
          <w:p w14:paraId="47D346D9" w14:textId="77777777" w:rsidR="00121A21" w:rsidRPr="00296D0C" w:rsidRDefault="00121A21" w:rsidP="005638A8">
            <w:pPr>
              <w:spacing w:after="0" w:line="240" w:lineRule="auto"/>
              <w:jc w:val="center"/>
              <w:rPr>
                <w:rFonts w:eastAsia="Times New Roman" w:cs="Times New Roman"/>
                <w:color w:val="000000"/>
              </w:rPr>
            </w:pPr>
            <w:r w:rsidRPr="00296D0C">
              <w:rPr>
                <w:color w:val="000000"/>
              </w:rPr>
              <w:t>(-9.45, 6.68)</w:t>
            </w:r>
          </w:p>
        </w:tc>
        <w:tc>
          <w:tcPr>
            <w:tcW w:w="958" w:type="dxa"/>
            <w:shd w:val="clear" w:color="auto" w:fill="auto"/>
            <w:noWrap/>
            <w:vAlign w:val="center"/>
            <w:hideMark/>
          </w:tcPr>
          <w:p w14:paraId="0F51C256" w14:textId="77777777" w:rsidR="00121A21" w:rsidRPr="00296D0C" w:rsidRDefault="00121A21" w:rsidP="005638A8">
            <w:pPr>
              <w:spacing w:after="0" w:line="240" w:lineRule="auto"/>
              <w:jc w:val="center"/>
              <w:rPr>
                <w:rFonts w:eastAsia="Times New Roman" w:cs="Times New Roman"/>
                <w:color w:val="000000"/>
              </w:rPr>
            </w:pPr>
            <w:r w:rsidRPr="00296D0C">
              <w:rPr>
                <w:color w:val="000000"/>
              </w:rPr>
              <w:t>0.727</w:t>
            </w:r>
          </w:p>
        </w:tc>
        <w:tc>
          <w:tcPr>
            <w:tcW w:w="1231" w:type="dxa"/>
            <w:shd w:val="clear" w:color="auto" w:fill="auto"/>
            <w:vAlign w:val="center"/>
          </w:tcPr>
          <w:p w14:paraId="4E990601" w14:textId="77777777" w:rsidR="00121A21" w:rsidRPr="00296D0C" w:rsidRDefault="00121A21" w:rsidP="005638A8">
            <w:pPr>
              <w:spacing w:after="0" w:line="240" w:lineRule="auto"/>
              <w:jc w:val="center"/>
              <w:rPr>
                <w:rFonts w:eastAsia="Times New Roman" w:cs="Times New Roman"/>
                <w:color w:val="000000"/>
              </w:rPr>
            </w:pPr>
            <w:r w:rsidRPr="00296D0C">
              <w:rPr>
                <w:color w:val="000000"/>
              </w:rPr>
              <w:t>745</w:t>
            </w:r>
          </w:p>
        </w:tc>
        <w:tc>
          <w:tcPr>
            <w:tcW w:w="1425" w:type="dxa"/>
            <w:shd w:val="clear" w:color="auto" w:fill="auto"/>
            <w:vAlign w:val="center"/>
          </w:tcPr>
          <w:p w14:paraId="5F882702" w14:textId="77777777" w:rsidR="00121A21" w:rsidRPr="00296D0C" w:rsidRDefault="00121A21" w:rsidP="005638A8">
            <w:pPr>
              <w:spacing w:after="0" w:line="240" w:lineRule="auto"/>
              <w:jc w:val="center"/>
              <w:rPr>
                <w:color w:val="000000"/>
              </w:rPr>
            </w:pPr>
            <w:r w:rsidRPr="00296D0C">
              <w:rPr>
                <w:color w:val="000000"/>
              </w:rPr>
              <w:t xml:space="preserve">-1.46 </w:t>
            </w:r>
          </w:p>
          <w:p w14:paraId="054D5EFB" w14:textId="77777777" w:rsidR="00121A21" w:rsidRPr="00296D0C" w:rsidRDefault="00121A21" w:rsidP="005638A8">
            <w:pPr>
              <w:spacing w:after="0" w:line="240" w:lineRule="auto"/>
              <w:jc w:val="center"/>
              <w:rPr>
                <w:rFonts w:eastAsia="Times New Roman" w:cs="Times New Roman"/>
                <w:color w:val="000000"/>
              </w:rPr>
            </w:pPr>
            <w:r w:rsidRPr="00296D0C">
              <w:rPr>
                <w:color w:val="000000"/>
              </w:rPr>
              <w:t>(-10.91, 8.00)</w:t>
            </w:r>
          </w:p>
        </w:tc>
        <w:tc>
          <w:tcPr>
            <w:tcW w:w="1282" w:type="dxa"/>
            <w:shd w:val="clear" w:color="auto" w:fill="auto"/>
            <w:vAlign w:val="center"/>
          </w:tcPr>
          <w:p w14:paraId="04418234" w14:textId="77777777" w:rsidR="00121A21" w:rsidRPr="00296D0C" w:rsidRDefault="00121A21" w:rsidP="005638A8">
            <w:pPr>
              <w:spacing w:after="0" w:line="240" w:lineRule="auto"/>
              <w:jc w:val="center"/>
              <w:rPr>
                <w:rFonts w:eastAsia="Times New Roman" w:cs="Times New Roman"/>
                <w:color w:val="000000"/>
              </w:rPr>
            </w:pPr>
            <w:r w:rsidRPr="00296D0C">
              <w:rPr>
                <w:color w:val="000000"/>
              </w:rPr>
              <w:t>0.755</w:t>
            </w:r>
          </w:p>
        </w:tc>
      </w:tr>
    </w:tbl>
    <w:p w14:paraId="2D482FBB" w14:textId="77777777" w:rsidR="00121A21" w:rsidRPr="00296D0C" w:rsidRDefault="00121A21" w:rsidP="00121A21">
      <w:pPr>
        <w:spacing w:after="0" w:line="240" w:lineRule="auto"/>
        <w:rPr>
          <w:iCs/>
        </w:rPr>
      </w:pPr>
    </w:p>
    <w:p w14:paraId="5A1876D3" w14:textId="7EFAB395" w:rsidR="002D44B3" w:rsidRPr="00296D0C" w:rsidRDefault="002D44B3"/>
    <w:tbl>
      <w:tblPr>
        <w:tblpPr w:leftFromText="180" w:rightFromText="180" w:vertAnchor="page" w:horzAnchor="margin" w:tblpY="631"/>
        <w:tblW w:w="15327" w:type="dxa"/>
        <w:tblLayout w:type="fixed"/>
        <w:tblLook w:val="04A0" w:firstRow="1" w:lastRow="0" w:firstColumn="1" w:lastColumn="0" w:noHBand="0" w:noVBand="1"/>
      </w:tblPr>
      <w:tblGrid>
        <w:gridCol w:w="2392"/>
        <w:gridCol w:w="1140"/>
        <w:gridCol w:w="1430"/>
        <w:gridCol w:w="997"/>
        <w:gridCol w:w="1286"/>
        <w:gridCol w:w="1413"/>
        <w:gridCol w:w="1871"/>
        <w:gridCol w:w="997"/>
        <w:gridCol w:w="1198"/>
        <w:gridCol w:w="1843"/>
        <w:gridCol w:w="760"/>
      </w:tblGrid>
      <w:tr w:rsidR="002D44B3" w:rsidRPr="00296D0C" w14:paraId="648339E6" w14:textId="77777777" w:rsidTr="006E4525">
        <w:trPr>
          <w:trHeight w:val="240"/>
        </w:trPr>
        <w:tc>
          <w:tcPr>
            <w:tcW w:w="2392" w:type="dxa"/>
            <w:shd w:val="clear" w:color="auto" w:fill="auto"/>
            <w:noWrap/>
            <w:vAlign w:val="center"/>
          </w:tcPr>
          <w:p w14:paraId="06E4A5A6" w14:textId="08FB0DB1" w:rsidR="00287052" w:rsidRPr="00296D0C" w:rsidRDefault="00287052" w:rsidP="003E10D0">
            <w:pPr>
              <w:spacing w:after="0" w:line="240" w:lineRule="auto"/>
              <w:rPr>
                <w:rFonts w:eastAsia="Times New Roman" w:cs="Times New Roman"/>
                <w:color w:val="000000"/>
              </w:rPr>
            </w:pPr>
          </w:p>
        </w:tc>
        <w:tc>
          <w:tcPr>
            <w:tcW w:w="1140" w:type="dxa"/>
            <w:shd w:val="clear" w:color="auto" w:fill="auto"/>
            <w:noWrap/>
            <w:vAlign w:val="center"/>
          </w:tcPr>
          <w:p w14:paraId="0CB37DD1" w14:textId="10618A15" w:rsidR="00287052" w:rsidRPr="00296D0C" w:rsidRDefault="00287052" w:rsidP="003E10D0">
            <w:pPr>
              <w:spacing w:after="0" w:line="240" w:lineRule="auto"/>
              <w:jc w:val="center"/>
              <w:rPr>
                <w:rFonts w:eastAsia="Times New Roman" w:cs="Times New Roman"/>
                <w:color w:val="000000"/>
              </w:rPr>
            </w:pPr>
          </w:p>
        </w:tc>
        <w:tc>
          <w:tcPr>
            <w:tcW w:w="1430" w:type="dxa"/>
            <w:shd w:val="clear" w:color="auto" w:fill="auto"/>
            <w:noWrap/>
            <w:vAlign w:val="center"/>
          </w:tcPr>
          <w:p w14:paraId="4172FE13" w14:textId="79215FB5" w:rsidR="00287052" w:rsidRPr="00296D0C" w:rsidRDefault="00287052" w:rsidP="003E10D0">
            <w:pPr>
              <w:spacing w:after="0" w:line="240" w:lineRule="auto"/>
              <w:jc w:val="center"/>
              <w:rPr>
                <w:rFonts w:eastAsia="Times New Roman" w:cs="Times New Roman"/>
                <w:color w:val="000000"/>
              </w:rPr>
            </w:pPr>
          </w:p>
        </w:tc>
        <w:tc>
          <w:tcPr>
            <w:tcW w:w="997" w:type="dxa"/>
            <w:shd w:val="clear" w:color="auto" w:fill="auto"/>
            <w:noWrap/>
            <w:vAlign w:val="center"/>
          </w:tcPr>
          <w:p w14:paraId="7389F0A5" w14:textId="15ABC140" w:rsidR="00287052" w:rsidRPr="00296D0C" w:rsidRDefault="00287052" w:rsidP="003E10D0">
            <w:pPr>
              <w:spacing w:after="0" w:line="240" w:lineRule="auto"/>
              <w:jc w:val="center"/>
              <w:rPr>
                <w:rFonts w:eastAsia="Times New Roman" w:cs="Times New Roman"/>
                <w:color w:val="000000"/>
              </w:rPr>
            </w:pPr>
          </w:p>
        </w:tc>
        <w:tc>
          <w:tcPr>
            <w:tcW w:w="1286" w:type="dxa"/>
            <w:shd w:val="clear" w:color="auto" w:fill="auto"/>
            <w:noWrap/>
            <w:vAlign w:val="center"/>
          </w:tcPr>
          <w:p w14:paraId="0DE1F0AA" w14:textId="68942065" w:rsidR="00287052" w:rsidRPr="00296D0C" w:rsidRDefault="00287052" w:rsidP="003E10D0">
            <w:pPr>
              <w:spacing w:after="0" w:line="240" w:lineRule="auto"/>
              <w:jc w:val="center"/>
              <w:rPr>
                <w:rFonts w:eastAsia="Times New Roman" w:cs="Times New Roman"/>
                <w:color w:val="000000"/>
              </w:rPr>
            </w:pPr>
          </w:p>
        </w:tc>
        <w:tc>
          <w:tcPr>
            <w:tcW w:w="1413" w:type="dxa"/>
            <w:shd w:val="clear" w:color="auto" w:fill="auto"/>
            <w:noWrap/>
            <w:vAlign w:val="center"/>
          </w:tcPr>
          <w:p w14:paraId="2FDA7403" w14:textId="4E4FDB12" w:rsidR="00287052" w:rsidRPr="00296D0C" w:rsidRDefault="00287052" w:rsidP="003E10D0">
            <w:pPr>
              <w:spacing w:after="0" w:line="240" w:lineRule="auto"/>
              <w:jc w:val="center"/>
              <w:rPr>
                <w:rFonts w:eastAsia="Times New Roman" w:cs="Times New Roman"/>
                <w:color w:val="000000"/>
              </w:rPr>
            </w:pPr>
          </w:p>
        </w:tc>
        <w:tc>
          <w:tcPr>
            <w:tcW w:w="1871" w:type="dxa"/>
            <w:shd w:val="clear" w:color="auto" w:fill="auto"/>
            <w:noWrap/>
            <w:vAlign w:val="center"/>
          </w:tcPr>
          <w:p w14:paraId="4E7ECBBF" w14:textId="49E0C0C3" w:rsidR="00287052" w:rsidRPr="00296D0C" w:rsidRDefault="00287052" w:rsidP="003E10D0">
            <w:pPr>
              <w:spacing w:after="0" w:line="240" w:lineRule="auto"/>
              <w:jc w:val="center"/>
              <w:rPr>
                <w:rFonts w:eastAsia="Times New Roman" w:cs="Times New Roman"/>
                <w:color w:val="000000"/>
              </w:rPr>
            </w:pPr>
          </w:p>
        </w:tc>
        <w:tc>
          <w:tcPr>
            <w:tcW w:w="997" w:type="dxa"/>
            <w:shd w:val="clear" w:color="auto" w:fill="auto"/>
            <w:noWrap/>
            <w:vAlign w:val="center"/>
          </w:tcPr>
          <w:p w14:paraId="715B2B69" w14:textId="709CC93B" w:rsidR="00287052" w:rsidRPr="00296D0C" w:rsidRDefault="00287052" w:rsidP="003E10D0">
            <w:pPr>
              <w:spacing w:after="0" w:line="240" w:lineRule="auto"/>
              <w:jc w:val="center"/>
              <w:rPr>
                <w:rFonts w:eastAsia="Times New Roman" w:cs="Times New Roman"/>
                <w:color w:val="000000"/>
              </w:rPr>
            </w:pPr>
          </w:p>
        </w:tc>
        <w:tc>
          <w:tcPr>
            <w:tcW w:w="1198" w:type="dxa"/>
            <w:shd w:val="clear" w:color="auto" w:fill="auto"/>
            <w:vAlign w:val="center"/>
          </w:tcPr>
          <w:p w14:paraId="519D50DB" w14:textId="2B18C726" w:rsidR="00287052" w:rsidRPr="00296D0C" w:rsidRDefault="00287052" w:rsidP="003E10D0">
            <w:pPr>
              <w:spacing w:after="0" w:line="240" w:lineRule="auto"/>
              <w:jc w:val="center"/>
              <w:rPr>
                <w:rFonts w:eastAsia="Times New Roman" w:cs="Times New Roman"/>
                <w:color w:val="000000"/>
              </w:rPr>
            </w:pPr>
          </w:p>
        </w:tc>
        <w:tc>
          <w:tcPr>
            <w:tcW w:w="1843" w:type="dxa"/>
            <w:shd w:val="clear" w:color="auto" w:fill="auto"/>
            <w:vAlign w:val="center"/>
          </w:tcPr>
          <w:p w14:paraId="2CB9F1EF" w14:textId="393E6E43" w:rsidR="00287052" w:rsidRPr="00296D0C" w:rsidRDefault="00287052" w:rsidP="003E10D0">
            <w:pPr>
              <w:spacing w:after="0" w:line="240" w:lineRule="auto"/>
              <w:jc w:val="center"/>
              <w:rPr>
                <w:rFonts w:eastAsia="Times New Roman" w:cs="Times New Roman"/>
                <w:color w:val="000000"/>
              </w:rPr>
            </w:pPr>
          </w:p>
        </w:tc>
        <w:tc>
          <w:tcPr>
            <w:tcW w:w="760" w:type="dxa"/>
            <w:shd w:val="clear" w:color="auto" w:fill="auto"/>
            <w:vAlign w:val="center"/>
          </w:tcPr>
          <w:p w14:paraId="748319D7" w14:textId="3EBED000" w:rsidR="00287052" w:rsidRPr="00296D0C" w:rsidRDefault="00287052" w:rsidP="003E10D0">
            <w:pPr>
              <w:spacing w:after="0" w:line="240" w:lineRule="auto"/>
              <w:jc w:val="center"/>
              <w:rPr>
                <w:rFonts w:eastAsia="Times New Roman" w:cs="Times New Roman"/>
                <w:color w:val="000000"/>
              </w:rPr>
            </w:pPr>
          </w:p>
        </w:tc>
      </w:tr>
    </w:tbl>
    <w:p w14:paraId="3A733B27" w14:textId="77777777" w:rsidR="00CC0687" w:rsidRPr="00296D0C" w:rsidRDefault="00CC0687">
      <w:r w:rsidRPr="00296D0C">
        <w:br w:type="page"/>
      </w:r>
    </w:p>
    <w:tbl>
      <w:tblPr>
        <w:tblpPr w:leftFromText="180" w:rightFromText="180" w:vertAnchor="page" w:horzAnchor="margin" w:tblpY="631"/>
        <w:tblW w:w="18367" w:type="dxa"/>
        <w:tblLayout w:type="fixed"/>
        <w:tblLook w:val="04A0" w:firstRow="1" w:lastRow="0" w:firstColumn="1" w:lastColumn="0" w:noHBand="0" w:noVBand="1"/>
      </w:tblPr>
      <w:tblGrid>
        <w:gridCol w:w="2235"/>
        <w:gridCol w:w="1417"/>
        <w:gridCol w:w="1310"/>
        <w:gridCol w:w="997"/>
        <w:gridCol w:w="1286"/>
        <w:gridCol w:w="1413"/>
        <w:gridCol w:w="1871"/>
        <w:gridCol w:w="919"/>
        <w:gridCol w:w="1418"/>
        <w:gridCol w:w="1701"/>
        <w:gridCol w:w="760"/>
        <w:gridCol w:w="760"/>
        <w:gridCol w:w="760"/>
        <w:gridCol w:w="760"/>
        <w:gridCol w:w="760"/>
      </w:tblGrid>
      <w:tr w:rsidR="00CC0687" w:rsidRPr="00296D0C" w14:paraId="6A1CFAE8" w14:textId="2D203237" w:rsidTr="005638A8">
        <w:trPr>
          <w:trHeight w:val="240"/>
        </w:trPr>
        <w:tc>
          <w:tcPr>
            <w:tcW w:w="15327" w:type="dxa"/>
            <w:gridSpan w:val="11"/>
            <w:shd w:val="clear" w:color="auto" w:fill="auto"/>
            <w:noWrap/>
            <w:vAlign w:val="center"/>
          </w:tcPr>
          <w:p w14:paraId="51274208" w14:textId="6CF07CE0" w:rsidR="00CC0687" w:rsidRPr="00296D0C" w:rsidRDefault="00CC0687" w:rsidP="00AB5A7B">
            <w:pPr>
              <w:spacing w:after="0" w:line="240" w:lineRule="auto"/>
              <w:rPr>
                <w:rFonts w:eastAsia="Times New Roman" w:cs="Times New Roman"/>
                <w:color w:val="000000"/>
              </w:rPr>
            </w:pPr>
            <w:r w:rsidRPr="00296D0C">
              <w:rPr>
                <w:b/>
                <w:iCs/>
              </w:rPr>
              <w:lastRenderedPageBreak/>
              <w:t>T</w:t>
            </w:r>
            <w:r w:rsidR="00EA501F" w:rsidRPr="00296D0C">
              <w:rPr>
                <w:b/>
                <w:iCs/>
              </w:rPr>
              <w:t>ABLE 1</w:t>
            </w:r>
            <w:r w:rsidR="00AB5A7B">
              <w:rPr>
                <w:b/>
                <w:iCs/>
              </w:rPr>
              <w:t>3</w:t>
            </w:r>
            <w:r w:rsidRPr="00296D0C">
              <w:rPr>
                <w:b/>
                <w:i/>
                <w:iCs/>
              </w:rPr>
              <w:t xml:space="preserve"> </w:t>
            </w:r>
            <w:r w:rsidRPr="00296D0C">
              <w:rPr>
                <w:b/>
                <w:iCs/>
              </w:rPr>
              <w:t>Primary analysis, both adjusted and unadjusted, for Food Intake outcomes at 18 months post baseline</w:t>
            </w:r>
          </w:p>
        </w:tc>
        <w:tc>
          <w:tcPr>
            <w:tcW w:w="760" w:type="dxa"/>
            <w:shd w:val="clear" w:color="auto" w:fill="auto"/>
            <w:vAlign w:val="center"/>
          </w:tcPr>
          <w:p w14:paraId="4733269F" w14:textId="77777777" w:rsidR="00CC0687" w:rsidRPr="00296D0C" w:rsidRDefault="00CC0687" w:rsidP="00CC0687"/>
        </w:tc>
        <w:tc>
          <w:tcPr>
            <w:tcW w:w="760" w:type="dxa"/>
            <w:shd w:val="clear" w:color="auto" w:fill="auto"/>
            <w:vAlign w:val="center"/>
          </w:tcPr>
          <w:p w14:paraId="105D75E9" w14:textId="77777777" w:rsidR="00CC0687" w:rsidRPr="00296D0C" w:rsidRDefault="00CC0687" w:rsidP="00CC0687"/>
        </w:tc>
        <w:tc>
          <w:tcPr>
            <w:tcW w:w="760" w:type="dxa"/>
            <w:shd w:val="clear" w:color="auto" w:fill="auto"/>
            <w:vAlign w:val="center"/>
          </w:tcPr>
          <w:p w14:paraId="6C811E72" w14:textId="77777777" w:rsidR="00CC0687" w:rsidRPr="00296D0C" w:rsidRDefault="00CC0687" w:rsidP="00CC0687"/>
        </w:tc>
        <w:tc>
          <w:tcPr>
            <w:tcW w:w="760" w:type="dxa"/>
            <w:shd w:val="clear" w:color="auto" w:fill="auto"/>
            <w:vAlign w:val="center"/>
          </w:tcPr>
          <w:p w14:paraId="3079DB19" w14:textId="77777777" w:rsidR="00CC0687" w:rsidRPr="00296D0C" w:rsidRDefault="00CC0687" w:rsidP="00CC0687"/>
        </w:tc>
      </w:tr>
      <w:tr w:rsidR="00CC0687" w:rsidRPr="00296D0C" w14:paraId="70796BCE" w14:textId="77777777" w:rsidTr="00590CB8">
        <w:trPr>
          <w:gridAfter w:val="4"/>
          <w:wAfter w:w="3040" w:type="dxa"/>
          <w:trHeight w:val="240"/>
        </w:trPr>
        <w:tc>
          <w:tcPr>
            <w:tcW w:w="2235" w:type="dxa"/>
            <w:shd w:val="clear" w:color="auto" w:fill="00CCFF"/>
            <w:noWrap/>
            <w:vAlign w:val="center"/>
          </w:tcPr>
          <w:p w14:paraId="2ADA7BD5" w14:textId="25156570" w:rsidR="00CC0687" w:rsidRPr="00296D0C" w:rsidRDefault="00CC0687" w:rsidP="00CC0687">
            <w:pPr>
              <w:spacing w:after="0" w:line="240" w:lineRule="auto"/>
              <w:rPr>
                <w:rFonts w:eastAsia="Times New Roman" w:cs="Times New Roman"/>
                <w:color w:val="000000"/>
              </w:rPr>
            </w:pPr>
          </w:p>
        </w:tc>
        <w:tc>
          <w:tcPr>
            <w:tcW w:w="2727" w:type="dxa"/>
            <w:gridSpan w:val="2"/>
            <w:shd w:val="clear" w:color="auto" w:fill="00CCFF"/>
            <w:noWrap/>
            <w:vAlign w:val="center"/>
          </w:tcPr>
          <w:p w14:paraId="257A4908" w14:textId="7F09A324" w:rsidR="00CC0687" w:rsidRPr="00296D0C" w:rsidRDefault="00CC0687" w:rsidP="00CC0687">
            <w:pPr>
              <w:spacing w:after="0" w:line="240" w:lineRule="auto"/>
              <w:jc w:val="center"/>
              <w:rPr>
                <w:rFonts w:eastAsia="Times New Roman" w:cs="Times New Roman"/>
                <w:color w:val="000000"/>
              </w:rPr>
            </w:pPr>
            <w:r w:rsidRPr="00296D0C">
              <w:rPr>
                <w:rFonts w:eastAsia="Times New Roman" w:cs="Times New Roman"/>
                <w:b/>
                <w:color w:val="000000"/>
              </w:rPr>
              <w:t>Intervention Group</w:t>
            </w:r>
          </w:p>
        </w:tc>
        <w:tc>
          <w:tcPr>
            <w:tcW w:w="2283" w:type="dxa"/>
            <w:gridSpan w:val="2"/>
            <w:shd w:val="clear" w:color="auto" w:fill="00CCFF"/>
            <w:noWrap/>
            <w:vAlign w:val="center"/>
          </w:tcPr>
          <w:p w14:paraId="2C70920D" w14:textId="5988483B" w:rsidR="00CC0687" w:rsidRPr="00296D0C" w:rsidRDefault="00CC0687" w:rsidP="00CC0687">
            <w:pPr>
              <w:spacing w:after="0" w:line="240" w:lineRule="auto"/>
              <w:jc w:val="center"/>
              <w:rPr>
                <w:rFonts w:eastAsia="Times New Roman" w:cs="Times New Roman"/>
                <w:color w:val="000000"/>
              </w:rPr>
            </w:pPr>
            <w:r w:rsidRPr="00296D0C">
              <w:rPr>
                <w:rFonts w:eastAsia="Times New Roman" w:cs="Times New Roman"/>
                <w:b/>
                <w:color w:val="000000"/>
              </w:rPr>
              <w:t>Control Group</w:t>
            </w:r>
          </w:p>
        </w:tc>
        <w:tc>
          <w:tcPr>
            <w:tcW w:w="4203" w:type="dxa"/>
            <w:gridSpan w:val="3"/>
            <w:shd w:val="clear" w:color="auto" w:fill="00CCFF"/>
            <w:noWrap/>
            <w:vAlign w:val="center"/>
          </w:tcPr>
          <w:p w14:paraId="734E89BC" w14:textId="798B7AA2" w:rsidR="00CC0687" w:rsidRPr="00296D0C" w:rsidRDefault="00CC0687" w:rsidP="00CC0687">
            <w:pPr>
              <w:spacing w:after="0" w:line="240" w:lineRule="auto"/>
              <w:jc w:val="center"/>
              <w:rPr>
                <w:rFonts w:eastAsia="Times New Roman" w:cs="Times New Roman"/>
                <w:color w:val="000000"/>
              </w:rPr>
            </w:pPr>
            <w:r w:rsidRPr="00296D0C">
              <w:rPr>
                <w:rFonts w:eastAsia="Times New Roman" w:cs="Times New Roman"/>
                <w:b/>
                <w:color w:val="000000"/>
              </w:rPr>
              <w:t>Adjusted analysis</w:t>
            </w:r>
          </w:p>
        </w:tc>
        <w:tc>
          <w:tcPr>
            <w:tcW w:w="3879" w:type="dxa"/>
            <w:gridSpan w:val="3"/>
            <w:shd w:val="clear" w:color="auto" w:fill="00CCFF"/>
            <w:vAlign w:val="center"/>
          </w:tcPr>
          <w:p w14:paraId="02396F8F" w14:textId="1D44802C" w:rsidR="00CC0687" w:rsidRPr="00296D0C" w:rsidRDefault="00CC0687" w:rsidP="00CC0687">
            <w:pPr>
              <w:spacing w:after="0" w:line="240" w:lineRule="auto"/>
              <w:jc w:val="center"/>
              <w:rPr>
                <w:rFonts w:eastAsia="Times New Roman" w:cs="Times New Roman"/>
                <w:color w:val="000000"/>
              </w:rPr>
            </w:pPr>
            <w:r w:rsidRPr="00296D0C">
              <w:rPr>
                <w:rFonts w:eastAsia="Times New Roman" w:cs="Times New Roman"/>
                <w:b/>
                <w:color w:val="000000"/>
              </w:rPr>
              <w:t>Unadjusted analysis</w:t>
            </w:r>
          </w:p>
        </w:tc>
      </w:tr>
      <w:tr w:rsidR="00020C42" w:rsidRPr="00296D0C" w14:paraId="353E3E63" w14:textId="77777777" w:rsidTr="00590CB8">
        <w:trPr>
          <w:gridAfter w:val="4"/>
          <w:wAfter w:w="3040" w:type="dxa"/>
          <w:trHeight w:val="240"/>
        </w:trPr>
        <w:tc>
          <w:tcPr>
            <w:tcW w:w="2235" w:type="dxa"/>
            <w:shd w:val="clear" w:color="auto" w:fill="00CCFF"/>
            <w:noWrap/>
            <w:vAlign w:val="center"/>
          </w:tcPr>
          <w:p w14:paraId="151D7772" w14:textId="447B7A8C" w:rsidR="00CC0687" w:rsidRPr="00296D0C" w:rsidRDefault="00CC0687" w:rsidP="00CC0687">
            <w:pPr>
              <w:spacing w:after="0" w:line="240" w:lineRule="auto"/>
            </w:pPr>
            <w:r w:rsidRPr="00296D0C">
              <w:rPr>
                <w:color w:val="000000"/>
              </w:rPr>
              <w:t xml:space="preserve">Average weekly FIQ </w:t>
            </w:r>
          </w:p>
        </w:tc>
        <w:tc>
          <w:tcPr>
            <w:tcW w:w="1417" w:type="dxa"/>
            <w:shd w:val="clear" w:color="auto" w:fill="00CCFF"/>
            <w:noWrap/>
            <w:vAlign w:val="center"/>
          </w:tcPr>
          <w:p w14:paraId="267C053E" w14:textId="708F6B74" w:rsidR="00CC0687" w:rsidRPr="00296D0C" w:rsidRDefault="00CC0687" w:rsidP="00CC0687">
            <w:pPr>
              <w:spacing w:after="0" w:line="240" w:lineRule="auto"/>
              <w:jc w:val="center"/>
            </w:pPr>
            <w:r w:rsidRPr="00296D0C">
              <w:rPr>
                <w:rFonts w:eastAsia="Times New Roman" w:cs="Times New Roman"/>
                <w:color w:val="000000"/>
              </w:rPr>
              <w:t>n</w:t>
            </w:r>
          </w:p>
        </w:tc>
        <w:tc>
          <w:tcPr>
            <w:tcW w:w="1310" w:type="dxa"/>
            <w:shd w:val="clear" w:color="auto" w:fill="00CCFF"/>
            <w:noWrap/>
            <w:vAlign w:val="center"/>
          </w:tcPr>
          <w:p w14:paraId="0F216088" w14:textId="77777777" w:rsidR="00CC0687" w:rsidRPr="00296D0C" w:rsidRDefault="00CC0687" w:rsidP="00CC0687">
            <w:pPr>
              <w:spacing w:after="0" w:line="240" w:lineRule="auto"/>
              <w:jc w:val="center"/>
              <w:rPr>
                <w:rFonts w:eastAsia="Times New Roman" w:cs="Times New Roman"/>
                <w:color w:val="000000"/>
              </w:rPr>
            </w:pPr>
            <w:r w:rsidRPr="00296D0C">
              <w:rPr>
                <w:rFonts w:eastAsia="Times New Roman" w:cs="Times New Roman"/>
                <w:color w:val="000000"/>
              </w:rPr>
              <w:t>Mean</w:t>
            </w:r>
          </w:p>
          <w:p w14:paraId="7EE1D12B" w14:textId="0E80E85F" w:rsidR="00CC0687" w:rsidRPr="00296D0C" w:rsidRDefault="00CC0687" w:rsidP="00CC0687">
            <w:pPr>
              <w:spacing w:after="0" w:line="240" w:lineRule="auto"/>
              <w:jc w:val="center"/>
            </w:pPr>
            <w:r w:rsidRPr="00296D0C">
              <w:rPr>
                <w:rFonts w:eastAsia="Times New Roman" w:cs="Times New Roman"/>
                <w:color w:val="000000"/>
              </w:rPr>
              <w:t>(SD)</w:t>
            </w:r>
          </w:p>
        </w:tc>
        <w:tc>
          <w:tcPr>
            <w:tcW w:w="997" w:type="dxa"/>
            <w:shd w:val="clear" w:color="auto" w:fill="00CCFF"/>
            <w:noWrap/>
            <w:vAlign w:val="center"/>
          </w:tcPr>
          <w:p w14:paraId="382260EC" w14:textId="2BD8B3D6" w:rsidR="00CC0687" w:rsidRPr="00296D0C" w:rsidRDefault="004734BC" w:rsidP="00CC0687">
            <w:pPr>
              <w:spacing w:after="0" w:line="240" w:lineRule="auto"/>
              <w:jc w:val="center"/>
            </w:pPr>
            <w:r>
              <w:rPr>
                <w:rFonts w:eastAsia="Times New Roman" w:cs="Times New Roman"/>
                <w:color w:val="000000"/>
              </w:rPr>
              <w:t>n</w:t>
            </w:r>
          </w:p>
        </w:tc>
        <w:tc>
          <w:tcPr>
            <w:tcW w:w="1286" w:type="dxa"/>
            <w:shd w:val="clear" w:color="auto" w:fill="00CCFF"/>
            <w:noWrap/>
            <w:vAlign w:val="center"/>
          </w:tcPr>
          <w:p w14:paraId="19ED12C8" w14:textId="4476C196" w:rsidR="00CC0687" w:rsidRPr="00296D0C" w:rsidRDefault="00CC0687" w:rsidP="00CC0687">
            <w:pPr>
              <w:spacing w:after="0" w:line="240" w:lineRule="auto"/>
              <w:jc w:val="center"/>
            </w:pPr>
            <w:r w:rsidRPr="00296D0C">
              <w:rPr>
                <w:rFonts w:eastAsia="Times New Roman" w:cs="Times New Roman"/>
                <w:color w:val="000000"/>
              </w:rPr>
              <w:t>Mean (SD)</w:t>
            </w:r>
          </w:p>
        </w:tc>
        <w:tc>
          <w:tcPr>
            <w:tcW w:w="1413" w:type="dxa"/>
            <w:shd w:val="clear" w:color="auto" w:fill="00CCFF"/>
            <w:noWrap/>
            <w:vAlign w:val="center"/>
          </w:tcPr>
          <w:p w14:paraId="22B434F5" w14:textId="77777777" w:rsidR="00CC0687" w:rsidRPr="00296D0C" w:rsidRDefault="00CC0687" w:rsidP="00CC0687">
            <w:pPr>
              <w:spacing w:after="0" w:line="240" w:lineRule="auto"/>
              <w:jc w:val="center"/>
              <w:rPr>
                <w:rFonts w:eastAsia="Times New Roman" w:cs="Times New Roman"/>
                <w:color w:val="000000"/>
              </w:rPr>
            </w:pPr>
            <w:r w:rsidRPr="00296D0C">
              <w:rPr>
                <w:rFonts w:eastAsia="Times New Roman" w:cs="Times New Roman"/>
                <w:color w:val="000000"/>
              </w:rPr>
              <w:t>Total</w:t>
            </w:r>
          </w:p>
          <w:p w14:paraId="36F63C5A" w14:textId="76606208" w:rsidR="00CC0687" w:rsidRPr="00296D0C" w:rsidRDefault="00CC0687" w:rsidP="00CC0687">
            <w:pPr>
              <w:spacing w:after="0" w:line="240" w:lineRule="auto"/>
              <w:jc w:val="center"/>
            </w:pPr>
            <w:r w:rsidRPr="00296D0C">
              <w:rPr>
                <w:rFonts w:eastAsia="Times New Roman" w:cs="Times New Roman"/>
                <w:color w:val="000000"/>
              </w:rPr>
              <w:t>n in analysis</w:t>
            </w:r>
          </w:p>
        </w:tc>
        <w:tc>
          <w:tcPr>
            <w:tcW w:w="1871" w:type="dxa"/>
            <w:shd w:val="clear" w:color="auto" w:fill="00CCFF"/>
            <w:noWrap/>
            <w:vAlign w:val="center"/>
          </w:tcPr>
          <w:p w14:paraId="43F1EFFC" w14:textId="77777777" w:rsidR="00CC0687" w:rsidRPr="00296D0C" w:rsidRDefault="00CC0687" w:rsidP="00CC0687">
            <w:pPr>
              <w:spacing w:after="0" w:line="240" w:lineRule="auto"/>
              <w:jc w:val="center"/>
              <w:rPr>
                <w:rFonts w:eastAsia="Times New Roman" w:cs="Times New Roman"/>
                <w:color w:val="000000"/>
              </w:rPr>
            </w:pPr>
            <w:r w:rsidRPr="00296D0C">
              <w:rPr>
                <w:rFonts w:eastAsia="Times New Roman" w:cs="Times New Roman"/>
                <w:color w:val="000000"/>
              </w:rPr>
              <w:t>Mean difference</w:t>
            </w:r>
          </w:p>
          <w:p w14:paraId="1F761D4B" w14:textId="339080CC" w:rsidR="00CC0687" w:rsidRPr="00296D0C" w:rsidRDefault="00CC0687" w:rsidP="00CC0687">
            <w:pPr>
              <w:spacing w:after="0" w:line="240" w:lineRule="auto"/>
              <w:jc w:val="center"/>
            </w:pPr>
            <w:r w:rsidRPr="00296D0C">
              <w:rPr>
                <w:rFonts w:eastAsia="Times New Roman" w:cs="Times New Roman"/>
                <w:color w:val="000000"/>
              </w:rPr>
              <w:t xml:space="preserve"> (95% CI)</w:t>
            </w:r>
          </w:p>
        </w:tc>
        <w:tc>
          <w:tcPr>
            <w:tcW w:w="919" w:type="dxa"/>
            <w:shd w:val="clear" w:color="auto" w:fill="00CCFF"/>
            <w:noWrap/>
            <w:vAlign w:val="center"/>
          </w:tcPr>
          <w:p w14:paraId="114E7C7F" w14:textId="144F77AA" w:rsidR="00CC0687" w:rsidRPr="00296D0C" w:rsidRDefault="00CC0687" w:rsidP="00CC0687">
            <w:pPr>
              <w:spacing w:after="0" w:line="240" w:lineRule="auto"/>
              <w:jc w:val="center"/>
            </w:pPr>
            <w:r w:rsidRPr="00296D0C">
              <w:rPr>
                <w:rFonts w:eastAsia="Times New Roman" w:cs="Times New Roman"/>
                <w:color w:val="000000"/>
              </w:rPr>
              <w:t>p-value</w:t>
            </w:r>
          </w:p>
        </w:tc>
        <w:tc>
          <w:tcPr>
            <w:tcW w:w="1418" w:type="dxa"/>
            <w:shd w:val="clear" w:color="auto" w:fill="00CCFF"/>
            <w:vAlign w:val="center"/>
          </w:tcPr>
          <w:p w14:paraId="07F02256" w14:textId="77777777" w:rsidR="00CC0687" w:rsidRPr="00296D0C" w:rsidRDefault="00CC0687" w:rsidP="00CC0687">
            <w:pPr>
              <w:spacing w:after="0" w:line="240" w:lineRule="auto"/>
              <w:jc w:val="center"/>
              <w:rPr>
                <w:rFonts w:eastAsia="Times New Roman" w:cs="Times New Roman"/>
                <w:color w:val="000000"/>
              </w:rPr>
            </w:pPr>
            <w:r w:rsidRPr="00296D0C">
              <w:rPr>
                <w:rFonts w:eastAsia="Times New Roman" w:cs="Times New Roman"/>
                <w:color w:val="000000"/>
              </w:rPr>
              <w:t>Total</w:t>
            </w:r>
          </w:p>
          <w:p w14:paraId="0B0ADB19" w14:textId="2261F12B" w:rsidR="00CC0687" w:rsidRPr="00296D0C" w:rsidRDefault="00CC0687" w:rsidP="00CC0687">
            <w:pPr>
              <w:spacing w:after="0" w:line="240" w:lineRule="auto"/>
              <w:jc w:val="center"/>
            </w:pPr>
            <w:r w:rsidRPr="00296D0C">
              <w:rPr>
                <w:rFonts w:eastAsia="Times New Roman" w:cs="Times New Roman"/>
                <w:color w:val="000000"/>
              </w:rPr>
              <w:t>n in analysis</w:t>
            </w:r>
          </w:p>
        </w:tc>
        <w:tc>
          <w:tcPr>
            <w:tcW w:w="1701" w:type="dxa"/>
            <w:shd w:val="clear" w:color="auto" w:fill="00CCFF"/>
            <w:vAlign w:val="center"/>
          </w:tcPr>
          <w:p w14:paraId="6A60E0AF" w14:textId="77777777" w:rsidR="00CC0687" w:rsidRPr="00296D0C" w:rsidRDefault="00CC0687" w:rsidP="00CC0687">
            <w:pPr>
              <w:spacing w:after="0" w:line="240" w:lineRule="auto"/>
              <w:jc w:val="center"/>
              <w:rPr>
                <w:rFonts w:eastAsia="Times New Roman" w:cs="Times New Roman"/>
                <w:color w:val="000000"/>
              </w:rPr>
            </w:pPr>
            <w:r w:rsidRPr="00296D0C">
              <w:rPr>
                <w:rFonts w:eastAsia="Times New Roman" w:cs="Times New Roman"/>
                <w:color w:val="000000"/>
              </w:rPr>
              <w:t>Mean difference</w:t>
            </w:r>
          </w:p>
          <w:p w14:paraId="3A840215" w14:textId="2198906A" w:rsidR="00CC0687" w:rsidRPr="00296D0C" w:rsidRDefault="00CC0687" w:rsidP="00CC0687">
            <w:pPr>
              <w:spacing w:after="0" w:line="240" w:lineRule="auto"/>
              <w:jc w:val="center"/>
            </w:pPr>
            <w:r w:rsidRPr="00296D0C">
              <w:rPr>
                <w:rFonts w:eastAsia="Times New Roman" w:cs="Times New Roman"/>
                <w:color w:val="000000"/>
              </w:rPr>
              <w:t>(95% CI)</w:t>
            </w:r>
          </w:p>
        </w:tc>
        <w:tc>
          <w:tcPr>
            <w:tcW w:w="760" w:type="dxa"/>
            <w:shd w:val="clear" w:color="auto" w:fill="00CCFF"/>
            <w:vAlign w:val="center"/>
          </w:tcPr>
          <w:p w14:paraId="7550BBB6" w14:textId="264480CA" w:rsidR="00CC0687" w:rsidRPr="00296D0C" w:rsidRDefault="00CC0687" w:rsidP="00CC0687">
            <w:pPr>
              <w:spacing w:after="0" w:line="240" w:lineRule="auto"/>
              <w:jc w:val="center"/>
            </w:pPr>
            <w:r w:rsidRPr="00296D0C">
              <w:rPr>
                <w:rFonts w:eastAsia="Times New Roman" w:cs="Times New Roman"/>
                <w:color w:val="000000"/>
              </w:rPr>
              <w:t>p-value</w:t>
            </w:r>
          </w:p>
        </w:tc>
      </w:tr>
      <w:tr w:rsidR="00590CB8" w:rsidRPr="00296D0C" w14:paraId="59BF278E" w14:textId="77777777" w:rsidTr="00590CB8">
        <w:trPr>
          <w:gridAfter w:val="4"/>
          <w:wAfter w:w="3040" w:type="dxa"/>
          <w:trHeight w:val="240"/>
        </w:trPr>
        <w:tc>
          <w:tcPr>
            <w:tcW w:w="2235" w:type="dxa"/>
            <w:shd w:val="clear" w:color="auto" w:fill="auto"/>
            <w:noWrap/>
            <w:vAlign w:val="center"/>
          </w:tcPr>
          <w:p w14:paraId="123EA918" w14:textId="77777777" w:rsidR="00590CB8" w:rsidRPr="00296D0C" w:rsidRDefault="00590CB8" w:rsidP="00590CB8">
            <w:pPr>
              <w:spacing w:after="0" w:line="240" w:lineRule="auto"/>
            </w:pPr>
          </w:p>
          <w:p w14:paraId="3094CFD4" w14:textId="08E9BB3D" w:rsidR="00590CB8" w:rsidRPr="00296D0C" w:rsidRDefault="00590CB8" w:rsidP="00590CB8">
            <w:pPr>
              <w:spacing w:after="0" w:line="240" w:lineRule="auto"/>
            </w:pPr>
            <w:r w:rsidRPr="00296D0C">
              <w:t>Energy-Dense Snacks</w:t>
            </w:r>
          </w:p>
        </w:tc>
        <w:tc>
          <w:tcPr>
            <w:tcW w:w="1417" w:type="dxa"/>
            <w:shd w:val="clear" w:color="auto" w:fill="auto"/>
            <w:noWrap/>
            <w:vAlign w:val="center"/>
          </w:tcPr>
          <w:p w14:paraId="57F5BEBF" w14:textId="09C0CB83" w:rsidR="00590CB8" w:rsidRPr="00296D0C" w:rsidRDefault="00590CB8" w:rsidP="00590CB8">
            <w:pPr>
              <w:spacing w:after="0" w:line="240" w:lineRule="auto"/>
              <w:jc w:val="center"/>
            </w:pPr>
            <w:r w:rsidRPr="00296D0C">
              <w:t>646</w:t>
            </w:r>
          </w:p>
        </w:tc>
        <w:tc>
          <w:tcPr>
            <w:tcW w:w="1310" w:type="dxa"/>
            <w:shd w:val="clear" w:color="auto" w:fill="auto"/>
            <w:noWrap/>
            <w:vAlign w:val="center"/>
          </w:tcPr>
          <w:p w14:paraId="444C047B" w14:textId="77777777" w:rsidR="00590CB8" w:rsidRPr="00296D0C" w:rsidRDefault="00590CB8" w:rsidP="00590CB8">
            <w:pPr>
              <w:spacing w:after="0" w:line="240" w:lineRule="auto"/>
              <w:jc w:val="center"/>
            </w:pPr>
            <w:r w:rsidRPr="00296D0C">
              <w:t xml:space="preserve">3.72 </w:t>
            </w:r>
          </w:p>
          <w:p w14:paraId="09A39136" w14:textId="3354BCC0" w:rsidR="00590CB8" w:rsidRPr="00296D0C" w:rsidRDefault="00590CB8" w:rsidP="00590CB8">
            <w:pPr>
              <w:spacing w:after="0" w:line="240" w:lineRule="auto"/>
              <w:jc w:val="center"/>
            </w:pPr>
            <w:r w:rsidRPr="00296D0C">
              <w:t>(1.86)</w:t>
            </w:r>
          </w:p>
        </w:tc>
        <w:tc>
          <w:tcPr>
            <w:tcW w:w="997" w:type="dxa"/>
            <w:shd w:val="clear" w:color="auto" w:fill="auto"/>
            <w:noWrap/>
            <w:vAlign w:val="center"/>
          </w:tcPr>
          <w:p w14:paraId="630686B4" w14:textId="54D9D1F6" w:rsidR="00590CB8" w:rsidRPr="00296D0C" w:rsidRDefault="00590CB8" w:rsidP="00590CB8">
            <w:pPr>
              <w:spacing w:after="0" w:line="240" w:lineRule="auto"/>
              <w:jc w:val="center"/>
            </w:pPr>
            <w:r w:rsidRPr="00296D0C">
              <w:t>624</w:t>
            </w:r>
          </w:p>
        </w:tc>
        <w:tc>
          <w:tcPr>
            <w:tcW w:w="1286" w:type="dxa"/>
            <w:shd w:val="clear" w:color="auto" w:fill="auto"/>
            <w:noWrap/>
            <w:vAlign w:val="center"/>
          </w:tcPr>
          <w:p w14:paraId="0C6A892D" w14:textId="4358BDC2" w:rsidR="00590CB8" w:rsidRPr="00296D0C" w:rsidRDefault="00590CB8" w:rsidP="00590CB8">
            <w:pPr>
              <w:spacing w:after="0" w:line="240" w:lineRule="auto"/>
              <w:jc w:val="center"/>
            </w:pPr>
            <w:r w:rsidRPr="00296D0C">
              <w:t>4.06 (2.07)</w:t>
            </w:r>
          </w:p>
        </w:tc>
        <w:tc>
          <w:tcPr>
            <w:tcW w:w="1413" w:type="dxa"/>
            <w:shd w:val="clear" w:color="auto" w:fill="auto"/>
            <w:noWrap/>
            <w:vAlign w:val="center"/>
          </w:tcPr>
          <w:p w14:paraId="6E1D3865" w14:textId="3E748AD3" w:rsidR="00590CB8" w:rsidRPr="00296D0C" w:rsidRDefault="00590CB8" w:rsidP="00590CB8">
            <w:pPr>
              <w:spacing w:after="0" w:line="240" w:lineRule="auto"/>
              <w:jc w:val="center"/>
            </w:pPr>
            <w:r w:rsidRPr="00296D0C">
              <w:t>1260</w:t>
            </w:r>
          </w:p>
        </w:tc>
        <w:tc>
          <w:tcPr>
            <w:tcW w:w="1871" w:type="dxa"/>
            <w:shd w:val="clear" w:color="auto" w:fill="auto"/>
            <w:noWrap/>
            <w:vAlign w:val="center"/>
          </w:tcPr>
          <w:p w14:paraId="17FEA835" w14:textId="77777777" w:rsidR="00590CB8" w:rsidRPr="00296D0C" w:rsidRDefault="00590CB8" w:rsidP="00590CB8">
            <w:pPr>
              <w:spacing w:after="0" w:line="240" w:lineRule="auto"/>
              <w:jc w:val="center"/>
            </w:pPr>
            <w:r w:rsidRPr="00296D0C">
              <w:t>-0.37</w:t>
            </w:r>
          </w:p>
          <w:p w14:paraId="72096B9B" w14:textId="3377DA15" w:rsidR="00590CB8" w:rsidRPr="00296D0C" w:rsidRDefault="00590CB8" w:rsidP="004734BC">
            <w:pPr>
              <w:spacing w:after="0" w:line="240" w:lineRule="auto"/>
              <w:jc w:val="center"/>
            </w:pPr>
            <w:r w:rsidRPr="00296D0C">
              <w:t xml:space="preserve"> (-0.66, -0.07)</w:t>
            </w:r>
          </w:p>
        </w:tc>
        <w:tc>
          <w:tcPr>
            <w:tcW w:w="919" w:type="dxa"/>
            <w:shd w:val="clear" w:color="auto" w:fill="auto"/>
            <w:noWrap/>
            <w:vAlign w:val="center"/>
          </w:tcPr>
          <w:p w14:paraId="6E720F51" w14:textId="332291CC" w:rsidR="00590CB8" w:rsidRPr="00296D0C" w:rsidRDefault="00590CB8" w:rsidP="00590CB8">
            <w:pPr>
              <w:spacing w:after="0" w:line="240" w:lineRule="auto"/>
              <w:jc w:val="center"/>
            </w:pPr>
            <w:r w:rsidRPr="00296D0C">
              <w:t>0.017</w:t>
            </w:r>
          </w:p>
        </w:tc>
        <w:tc>
          <w:tcPr>
            <w:tcW w:w="1418" w:type="dxa"/>
            <w:shd w:val="clear" w:color="auto" w:fill="auto"/>
            <w:vAlign w:val="center"/>
          </w:tcPr>
          <w:p w14:paraId="28C299ED" w14:textId="5040052B" w:rsidR="00590CB8" w:rsidRPr="00296D0C" w:rsidRDefault="00590CB8" w:rsidP="00590CB8">
            <w:pPr>
              <w:spacing w:after="0" w:line="240" w:lineRule="auto"/>
              <w:jc w:val="center"/>
            </w:pPr>
            <w:r w:rsidRPr="00296D0C">
              <w:t>1270</w:t>
            </w:r>
          </w:p>
        </w:tc>
        <w:tc>
          <w:tcPr>
            <w:tcW w:w="1701" w:type="dxa"/>
            <w:shd w:val="clear" w:color="auto" w:fill="auto"/>
            <w:vAlign w:val="center"/>
          </w:tcPr>
          <w:p w14:paraId="43131617" w14:textId="77777777" w:rsidR="00590CB8" w:rsidRPr="00296D0C" w:rsidRDefault="00590CB8" w:rsidP="00590CB8">
            <w:pPr>
              <w:spacing w:after="0" w:line="240" w:lineRule="auto"/>
              <w:jc w:val="center"/>
            </w:pPr>
            <w:r w:rsidRPr="00296D0C">
              <w:t xml:space="preserve">-0.29 </w:t>
            </w:r>
          </w:p>
          <w:p w14:paraId="4C97EA8B" w14:textId="17F61A18" w:rsidR="00590CB8" w:rsidRPr="00296D0C" w:rsidRDefault="00590CB8" w:rsidP="004734BC">
            <w:pPr>
              <w:spacing w:after="0" w:line="240" w:lineRule="auto"/>
              <w:jc w:val="center"/>
            </w:pPr>
            <w:r w:rsidRPr="00296D0C">
              <w:t>(-0.6</w:t>
            </w:r>
            <w:r w:rsidR="004734BC">
              <w:t>3</w:t>
            </w:r>
            <w:r w:rsidRPr="00296D0C">
              <w:t>, 0.06)</w:t>
            </w:r>
          </w:p>
        </w:tc>
        <w:tc>
          <w:tcPr>
            <w:tcW w:w="760" w:type="dxa"/>
            <w:shd w:val="clear" w:color="auto" w:fill="auto"/>
            <w:vAlign w:val="center"/>
          </w:tcPr>
          <w:p w14:paraId="7B0DC157" w14:textId="0881DAD2" w:rsidR="00590CB8" w:rsidRPr="00296D0C" w:rsidRDefault="00590CB8" w:rsidP="00590CB8">
            <w:pPr>
              <w:spacing w:after="0" w:line="240" w:lineRule="auto"/>
              <w:jc w:val="center"/>
            </w:pPr>
            <w:r w:rsidRPr="00296D0C">
              <w:t>0.098</w:t>
            </w:r>
          </w:p>
        </w:tc>
      </w:tr>
      <w:tr w:rsidR="00590CB8" w:rsidRPr="00296D0C" w14:paraId="71780F8F" w14:textId="77777777" w:rsidTr="00590CB8">
        <w:trPr>
          <w:gridAfter w:val="4"/>
          <w:wAfter w:w="3040" w:type="dxa"/>
          <w:trHeight w:val="240"/>
        </w:trPr>
        <w:tc>
          <w:tcPr>
            <w:tcW w:w="2235" w:type="dxa"/>
            <w:shd w:val="clear" w:color="auto" w:fill="auto"/>
            <w:noWrap/>
            <w:vAlign w:val="center"/>
            <w:hideMark/>
          </w:tcPr>
          <w:p w14:paraId="195122DF" w14:textId="38AF3670" w:rsidR="00590CB8" w:rsidRPr="00296D0C" w:rsidRDefault="00590CB8" w:rsidP="00590CB8">
            <w:pPr>
              <w:spacing w:after="0" w:line="240" w:lineRule="auto"/>
              <w:rPr>
                <w:rFonts w:eastAsia="Times New Roman" w:cs="Times New Roman"/>
                <w:color w:val="000000"/>
              </w:rPr>
            </w:pPr>
            <w:r w:rsidRPr="00296D0C">
              <w:t>Healthy Snacks</w:t>
            </w:r>
          </w:p>
        </w:tc>
        <w:tc>
          <w:tcPr>
            <w:tcW w:w="1417" w:type="dxa"/>
            <w:shd w:val="clear" w:color="auto" w:fill="auto"/>
            <w:noWrap/>
            <w:vAlign w:val="center"/>
            <w:hideMark/>
          </w:tcPr>
          <w:p w14:paraId="58B37138" w14:textId="77777777" w:rsidR="00590CB8" w:rsidRPr="00296D0C" w:rsidRDefault="00590CB8" w:rsidP="00590CB8">
            <w:pPr>
              <w:spacing w:after="0" w:line="240" w:lineRule="auto"/>
              <w:jc w:val="center"/>
              <w:rPr>
                <w:rFonts w:eastAsia="Times New Roman" w:cs="Times New Roman"/>
                <w:color w:val="000000"/>
              </w:rPr>
            </w:pPr>
            <w:r w:rsidRPr="00296D0C">
              <w:t>637</w:t>
            </w:r>
          </w:p>
        </w:tc>
        <w:tc>
          <w:tcPr>
            <w:tcW w:w="1310" w:type="dxa"/>
            <w:shd w:val="clear" w:color="auto" w:fill="auto"/>
            <w:noWrap/>
            <w:vAlign w:val="center"/>
            <w:hideMark/>
          </w:tcPr>
          <w:p w14:paraId="770B51A0" w14:textId="77777777" w:rsidR="00590CB8" w:rsidRPr="00296D0C" w:rsidRDefault="00590CB8" w:rsidP="00590CB8">
            <w:pPr>
              <w:spacing w:after="0" w:line="240" w:lineRule="auto"/>
              <w:jc w:val="center"/>
            </w:pPr>
            <w:r w:rsidRPr="00296D0C">
              <w:t xml:space="preserve">3.61 </w:t>
            </w:r>
          </w:p>
          <w:p w14:paraId="084750A1" w14:textId="77777777" w:rsidR="00590CB8" w:rsidRPr="00296D0C" w:rsidRDefault="00590CB8" w:rsidP="00590CB8">
            <w:pPr>
              <w:spacing w:after="0" w:line="240" w:lineRule="auto"/>
              <w:jc w:val="center"/>
              <w:rPr>
                <w:rFonts w:eastAsia="Times New Roman" w:cs="Times New Roman"/>
                <w:color w:val="000000"/>
              </w:rPr>
            </w:pPr>
            <w:r w:rsidRPr="00296D0C">
              <w:t>(1.63)</w:t>
            </w:r>
          </w:p>
        </w:tc>
        <w:tc>
          <w:tcPr>
            <w:tcW w:w="997" w:type="dxa"/>
            <w:shd w:val="clear" w:color="auto" w:fill="auto"/>
            <w:noWrap/>
            <w:vAlign w:val="center"/>
            <w:hideMark/>
          </w:tcPr>
          <w:p w14:paraId="32ECDA60" w14:textId="77777777" w:rsidR="00590CB8" w:rsidRPr="00296D0C" w:rsidRDefault="00590CB8" w:rsidP="00590CB8">
            <w:pPr>
              <w:spacing w:after="0" w:line="240" w:lineRule="auto"/>
              <w:jc w:val="center"/>
              <w:rPr>
                <w:rFonts w:eastAsia="Times New Roman" w:cs="Times New Roman"/>
                <w:color w:val="000000"/>
              </w:rPr>
            </w:pPr>
            <w:r w:rsidRPr="00296D0C">
              <w:t>617</w:t>
            </w:r>
          </w:p>
        </w:tc>
        <w:tc>
          <w:tcPr>
            <w:tcW w:w="1286" w:type="dxa"/>
            <w:shd w:val="clear" w:color="auto" w:fill="auto"/>
            <w:noWrap/>
            <w:vAlign w:val="center"/>
            <w:hideMark/>
          </w:tcPr>
          <w:p w14:paraId="43825CF5" w14:textId="77777777" w:rsidR="00590CB8" w:rsidRPr="00296D0C" w:rsidRDefault="00590CB8" w:rsidP="00590CB8">
            <w:pPr>
              <w:spacing w:after="0" w:line="240" w:lineRule="auto"/>
              <w:jc w:val="center"/>
              <w:rPr>
                <w:rFonts w:eastAsia="Times New Roman" w:cs="Times New Roman"/>
                <w:color w:val="000000"/>
              </w:rPr>
            </w:pPr>
            <w:r w:rsidRPr="00296D0C">
              <w:t>3.30 (1.50)</w:t>
            </w:r>
          </w:p>
        </w:tc>
        <w:tc>
          <w:tcPr>
            <w:tcW w:w="1413" w:type="dxa"/>
            <w:shd w:val="clear" w:color="auto" w:fill="auto"/>
            <w:noWrap/>
            <w:vAlign w:val="center"/>
            <w:hideMark/>
          </w:tcPr>
          <w:p w14:paraId="7B34F2CD" w14:textId="77777777" w:rsidR="00590CB8" w:rsidRPr="00296D0C" w:rsidRDefault="00590CB8" w:rsidP="00590CB8">
            <w:pPr>
              <w:spacing w:after="0" w:line="240" w:lineRule="auto"/>
              <w:jc w:val="center"/>
              <w:rPr>
                <w:rFonts w:eastAsia="Times New Roman" w:cs="Times New Roman"/>
                <w:color w:val="000000"/>
              </w:rPr>
            </w:pPr>
            <w:r w:rsidRPr="00296D0C">
              <w:t>1227</w:t>
            </w:r>
          </w:p>
        </w:tc>
        <w:tc>
          <w:tcPr>
            <w:tcW w:w="1871" w:type="dxa"/>
            <w:shd w:val="clear" w:color="auto" w:fill="auto"/>
            <w:noWrap/>
            <w:vAlign w:val="center"/>
            <w:hideMark/>
          </w:tcPr>
          <w:p w14:paraId="39538D79" w14:textId="77777777" w:rsidR="00590CB8" w:rsidRPr="00296D0C" w:rsidRDefault="00590CB8" w:rsidP="00590CB8">
            <w:pPr>
              <w:spacing w:after="0" w:line="240" w:lineRule="auto"/>
              <w:jc w:val="center"/>
            </w:pPr>
            <w:r w:rsidRPr="00296D0C">
              <w:t xml:space="preserve">0.22  </w:t>
            </w:r>
          </w:p>
          <w:p w14:paraId="55671D1E" w14:textId="77777777" w:rsidR="00590CB8" w:rsidRPr="00296D0C" w:rsidRDefault="00590CB8" w:rsidP="00590CB8">
            <w:pPr>
              <w:spacing w:after="0" w:line="240" w:lineRule="auto"/>
              <w:jc w:val="center"/>
              <w:rPr>
                <w:rFonts w:eastAsia="Times New Roman" w:cs="Times New Roman"/>
                <w:color w:val="000000"/>
              </w:rPr>
            </w:pPr>
            <w:r w:rsidRPr="00296D0C">
              <w:t>(-0.04, 0.47)</w:t>
            </w:r>
          </w:p>
        </w:tc>
        <w:tc>
          <w:tcPr>
            <w:tcW w:w="919" w:type="dxa"/>
            <w:shd w:val="clear" w:color="auto" w:fill="auto"/>
            <w:noWrap/>
            <w:vAlign w:val="center"/>
            <w:hideMark/>
          </w:tcPr>
          <w:p w14:paraId="6FD4F0A5" w14:textId="77777777" w:rsidR="00590CB8" w:rsidRPr="00296D0C" w:rsidRDefault="00590CB8" w:rsidP="00590CB8">
            <w:pPr>
              <w:spacing w:after="0" w:line="240" w:lineRule="auto"/>
              <w:jc w:val="center"/>
              <w:rPr>
                <w:rFonts w:eastAsia="Times New Roman" w:cs="Times New Roman"/>
                <w:color w:val="000000"/>
              </w:rPr>
            </w:pPr>
            <w:r w:rsidRPr="00296D0C">
              <w:t>0.092</w:t>
            </w:r>
          </w:p>
        </w:tc>
        <w:tc>
          <w:tcPr>
            <w:tcW w:w="1418" w:type="dxa"/>
            <w:shd w:val="clear" w:color="auto" w:fill="auto"/>
            <w:vAlign w:val="center"/>
          </w:tcPr>
          <w:p w14:paraId="5720E798" w14:textId="77777777" w:rsidR="00590CB8" w:rsidRPr="00296D0C" w:rsidRDefault="00590CB8" w:rsidP="00590CB8">
            <w:pPr>
              <w:spacing w:after="0" w:line="240" w:lineRule="auto"/>
              <w:jc w:val="center"/>
              <w:rPr>
                <w:rFonts w:eastAsia="Times New Roman" w:cs="Times New Roman"/>
                <w:color w:val="000000"/>
              </w:rPr>
            </w:pPr>
            <w:r w:rsidRPr="00296D0C">
              <w:t>1254</w:t>
            </w:r>
          </w:p>
        </w:tc>
        <w:tc>
          <w:tcPr>
            <w:tcW w:w="1701" w:type="dxa"/>
            <w:shd w:val="clear" w:color="auto" w:fill="auto"/>
            <w:vAlign w:val="center"/>
          </w:tcPr>
          <w:p w14:paraId="2461A396" w14:textId="77777777" w:rsidR="00590CB8" w:rsidRPr="00296D0C" w:rsidRDefault="00590CB8" w:rsidP="00590CB8">
            <w:pPr>
              <w:spacing w:after="0" w:line="240" w:lineRule="auto"/>
              <w:jc w:val="center"/>
            </w:pPr>
            <w:r w:rsidRPr="00296D0C">
              <w:t xml:space="preserve">0.31  </w:t>
            </w:r>
          </w:p>
          <w:p w14:paraId="50CD8483" w14:textId="77777777" w:rsidR="00590CB8" w:rsidRPr="00296D0C" w:rsidRDefault="00590CB8" w:rsidP="00590CB8">
            <w:pPr>
              <w:spacing w:after="0" w:line="240" w:lineRule="auto"/>
              <w:jc w:val="center"/>
              <w:rPr>
                <w:rFonts w:eastAsia="Times New Roman" w:cs="Times New Roman"/>
                <w:color w:val="000000"/>
              </w:rPr>
            </w:pPr>
            <w:r w:rsidRPr="00296D0C">
              <w:t>(0.02, 0.60)</w:t>
            </w:r>
          </w:p>
        </w:tc>
        <w:tc>
          <w:tcPr>
            <w:tcW w:w="760" w:type="dxa"/>
            <w:shd w:val="clear" w:color="auto" w:fill="auto"/>
            <w:vAlign w:val="center"/>
          </w:tcPr>
          <w:p w14:paraId="77617951" w14:textId="77777777" w:rsidR="00590CB8" w:rsidRPr="00296D0C" w:rsidRDefault="00590CB8" w:rsidP="00590CB8">
            <w:pPr>
              <w:spacing w:after="0" w:line="240" w:lineRule="auto"/>
              <w:jc w:val="center"/>
              <w:rPr>
                <w:rFonts w:eastAsia="Times New Roman" w:cs="Times New Roman"/>
                <w:color w:val="000000"/>
              </w:rPr>
            </w:pPr>
            <w:r w:rsidRPr="00296D0C">
              <w:t>0.039</w:t>
            </w:r>
          </w:p>
        </w:tc>
      </w:tr>
      <w:tr w:rsidR="00590CB8" w:rsidRPr="00296D0C" w14:paraId="3EFA6123" w14:textId="77777777" w:rsidTr="00590CB8">
        <w:trPr>
          <w:gridAfter w:val="4"/>
          <w:wAfter w:w="3040" w:type="dxa"/>
          <w:trHeight w:val="240"/>
        </w:trPr>
        <w:tc>
          <w:tcPr>
            <w:tcW w:w="2235" w:type="dxa"/>
            <w:shd w:val="clear" w:color="auto" w:fill="auto"/>
            <w:noWrap/>
            <w:vAlign w:val="center"/>
            <w:hideMark/>
          </w:tcPr>
          <w:p w14:paraId="25F9D9F6" w14:textId="7B03E12E" w:rsidR="00590CB8" w:rsidRPr="00296D0C" w:rsidRDefault="00590CB8" w:rsidP="00590CB8">
            <w:pPr>
              <w:spacing w:after="0" w:line="240" w:lineRule="auto"/>
              <w:rPr>
                <w:rFonts w:eastAsia="Times New Roman" w:cs="Times New Roman"/>
                <w:color w:val="000000"/>
              </w:rPr>
            </w:pPr>
            <w:r w:rsidRPr="00296D0C">
              <w:t>Negative Food Markers</w:t>
            </w:r>
          </w:p>
        </w:tc>
        <w:tc>
          <w:tcPr>
            <w:tcW w:w="1417" w:type="dxa"/>
            <w:shd w:val="clear" w:color="auto" w:fill="auto"/>
            <w:noWrap/>
            <w:vAlign w:val="center"/>
            <w:hideMark/>
          </w:tcPr>
          <w:p w14:paraId="7D2B7354" w14:textId="77777777" w:rsidR="00590CB8" w:rsidRPr="00296D0C" w:rsidRDefault="00590CB8" w:rsidP="00590CB8">
            <w:pPr>
              <w:spacing w:after="0" w:line="240" w:lineRule="auto"/>
              <w:jc w:val="center"/>
              <w:rPr>
                <w:rFonts w:eastAsia="Times New Roman" w:cs="Times New Roman"/>
                <w:color w:val="000000"/>
              </w:rPr>
            </w:pPr>
            <w:r w:rsidRPr="00296D0C">
              <w:t>647</w:t>
            </w:r>
          </w:p>
        </w:tc>
        <w:tc>
          <w:tcPr>
            <w:tcW w:w="1310" w:type="dxa"/>
            <w:shd w:val="clear" w:color="auto" w:fill="auto"/>
            <w:noWrap/>
            <w:vAlign w:val="center"/>
            <w:hideMark/>
          </w:tcPr>
          <w:p w14:paraId="06F449DE" w14:textId="77777777" w:rsidR="00590CB8" w:rsidRPr="00296D0C" w:rsidRDefault="00590CB8" w:rsidP="00590CB8">
            <w:pPr>
              <w:spacing w:after="0" w:line="240" w:lineRule="auto"/>
              <w:jc w:val="center"/>
            </w:pPr>
            <w:r w:rsidRPr="00296D0C">
              <w:t>5.90</w:t>
            </w:r>
          </w:p>
          <w:p w14:paraId="64C26FEF" w14:textId="77777777" w:rsidR="00590CB8" w:rsidRPr="00296D0C" w:rsidRDefault="00590CB8" w:rsidP="00590CB8">
            <w:pPr>
              <w:spacing w:after="0" w:line="240" w:lineRule="auto"/>
              <w:jc w:val="center"/>
              <w:rPr>
                <w:rFonts w:eastAsia="Times New Roman" w:cs="Times New Roman"/>
                <w:color w:val="000000"/>
              </w:rPr>
            </w:pPr>
            <w:r w:rsidRPr="00296D0C">
              <w:t xml:space="preserve"> (2.73)</w:t>
            </w:r>
          </w:p>
        </w:tc>
        <w:tc>
          <w:tcPr>
            <w:tcW w:w="997" w:type="dxa"/>
            <w:shd w:val="clear" w:color="auto" w:fill="auto"/>
            <w:noWrap/>
            <w:vAlign w:val="center"/>
            <w:hideMark/>
          </w:tcPr>
          <w:p w14:paraId="124D1D10" w14:textId="77777777" w:rsidR="00590CB8" w:rsidRPr="00296D0C" w:rsidRDefault="00590CB8" w:rsidP="00590CB8">
            <w:pPr>
              <w:spacing w:after="0" w:line="240" w:lineRule="auto"/>
              <w:jc w:val="center"/>
              <w:rPr>
                <w:rFonts w:eastAsia="Times New Roman" w:cs="Times New Roman"/>
                <w:color w:val="000000"/>
              </w:rPr>
            </w:pPr>
            <w:r w:rsidRPr="00296D0C">
              <w:t>624</w:t>
            </w:r>
          </w:p>
        </w:tc>
        <w:tc>
          <w:tcPr>
            <w:tcW w:w="1286" w:type="dxa"/>
            <w:shd w:val="clear" w:color="auto" w:fill="auto"/>
            <w:noWrap/>
            <w:vAlign w:val="center"/>
            <w:hideMark/>
          </w:tcPr>
          <w:p w14:paraId="33609E3E" w14:textId="77777777" w:rsidR="00590CB8" w:rsidRPr="00296D0C" w:rsidRDefault="00590CB8" w:rsidP="00590CB8">
            <w:pPr>
              <w:spacing w:after="0" w:line="240" w:lineRule="auto"/>
              <w:jc w:val="center"/>
              <w:rPr>
                <w:rFonts w:eastAsia="Times New Roman" w:cs="Times New Roman"/>
                <w:color w:val="000000"/>
              </w:rPr>
            </w:pPr>
            <w:r w:rsidRPr="00296D0C">
              <w:t>6.38 (3.00)</w:t>
            </w:r>
          </w:p>
        </w:tc>
        <w:tc>
          <w:tcPr>
            <w:tcW w:w="1413" w:type="dxa"/>
            <w:shd w:val="clear" w:color="auto" w:fill="auto"/>
            <w:noWrap/>
            <w:vAlign w:val="center"/>
            <w:hideMark/>
          </w:tcPr>
          <w:p w14:paraId="1CA3898A" w14:textId="77777777" w:rsidR="00590CB8" w:rsidRPr="00296D0C" w:rsidRDefault="00590CB8" w:rsidP="00590CB8">
            <w:pPr>
              <w:spacing w:after="0" w:line="240" w:lineRule="auto"/>
              <w:jc w:val="center"/>
              <w:rPr>
                <w:rFonts w:eastAsia="Times New Roman" w:cs="Times New Roman"/>
                <w:color w:val="000000"/>
              </w:rPr>
            </w:pPr>
            <w:r w:rsidRPr="00296D0C">
              <w:t>1262</w:t>
            </w:r>
          </w:p>
        </w:tc>
        <w:tc>
          <w:tcPr>
            <w:tcW w:w="1871" w:type="dxa"/>
            <w:shd w:val="clear" w:color="auto" w:fill="auto"/>
            <w:noWrap/>
            <w:vAlign w:val="center"/>
            <w:hideMark/>
          </w:tcPr>
          <w:p w14:paraId="48E044E1" w14:textId="77777777" w:rsidR="00590CB8" w:rsidRPr="00296D0C" w:rsidRDefault="00590CB8" w:rsidP="00590CB8">
            <w:pPr>
              <w:spacing w:after="0" w:line="240" w:lineRule="auto"/>
              <w:jc w:val="center"/>
            </w:pPr>
            <w:r w:rsidRPr="00296D0C">
              <w:t xml:space="preserve">-0.47 </w:t>
            </w:r>
          </w:p>
          <w:p w14:paraId="5EBF4C18" w14:textId="77777777" w:rsidR="00590CB8" w:rsidRPr="00296D0C" w:rsidRDefault="00590CB8" w:rsidP="00590CB8">
            <w:pPr>
              <w:spacing w:after="0" w:line="240" w:lineRule="auto"/>
              <w:jc w:val="center"/>
              <w:rPr>
                <w:rFonts w:eastAsia="Times New Roman" w:cs="Times New Roman"/>
                <w:color w:val="000000"/>
              </w:rPr>
            </w:pPr>
            <w:r w:rsidRPr="00296D0C">
              <w:t>(-0.91, -0.02)</w:t>
            </w:r>
          </w:p>
        </w:tc>
        <w:tc>
          <w:tcPr>
            <w:tcW w:w="919" w:type="dxa"/>
            <w:shd w:val="clear" w:color="auto" w:fill="auto"/>
            <w:noWrap/>
            <w:vAlign w:val="center"/>
            <w:hideMark/>
          </w:tcPr>
          <w:p w14:paraId="6BD7252F" w14:textId="77777777" w:rsidR="00590CB8" w:rsidRPr="00296D0C" w:rsidRDefault="00590CB8" w:rsidP="00590CB8">
            <w:pPr>
              <w:spacing w:after="0" w:line="240" w:lineRule="auto"/>
              <w:jc w:val="center"/>
              <w:rPr>
                <w:rFonts w:eastAsia="Times New Roman" w:cs="Times New Roman"/>
                <w:color w:val="000000"/>
              </w:rPr>
            </w:pPr>
            <w:r w:rsidRPr="00296D0C">
              <w:t>0.041</w:t>
            </w:r>
          </w:p>
        </w:tc>
        <w:tc>
          <w:tcPr>
            <w:tcW w:w="1418" w:type="dxa"/>
            <w:shd w:val="clear" w:color="auto" w:fill="auto"/>
            <w:vAlign w:val="center"/>
          </w:tcPr>
          <w:p w14:paraId="37BA6E91" w14:textId="77777777" w:rsidR="00590CB8" w:rsidRPr="00296D0C" w:rsidRDefault="00590CB8" w:rsidP="00590CB8">
            <w:pPr>
              <w:spacing w:after="0" w:line="240" w:lineRule="auto"/>
              <w:jc w:val="center"/>
              <w:rPr>
                <w:rFonts w:eastAsia="Times New Roman" w:cs="Times New Roman"/>
                <w:color w:val="000000"/>
              </w:rPr>
            </w:pPr>
            <w:r w:rsidRPr="00296D0C">
              <w:t>1271</w:t>
            </w:r>
          </w:p>
        </w:tc>
        <w:tc>
          <w:tcPr>
            <w:tcW w:w="1701" w:type="dxa"/>
            <w:shd w:val="clear" w:color="auto" w:fill="auto"/>
            <w:vAlign w:val="center"/>
          </w:tcPr>
          <w:p w14:paraId="06307923" w14:textId="77777777" w:rsidR="00590CB8" w:rsidRPr="00296D0C" w:rsidRDefault="00590CB8" w:rsidP="00590CB8">
            <w:pPr>
              <w:spacing w:after="0" w:line="240" w:lineRule="auto"/>
              <w:jc w:val="center"/>
            </w:pPr>
            <w:r w:rsidRPr="00296D0C">
              <w:t xml:space="preserve">-0.40 </w:t>
            </w:r>
          </w:p>
          <w:p w14:paraId="0CA3D9A2" w14:textId="77777777" w:rsidR="00590CB8" w:rsidRPr="00296D0C" w:rsidRDefault="00590CB8" w:rsidP="00590CB8">
            <w:pPr>
              <w:spacing w:after="0" w:line="240" w:lineRule="auto"/>
              <w:jc w:val="center"/>
              <w:rPr>
                <w:rFonts w:eastAsia="Times New Roman" w:cs="Times New Roman"/>
                <w:color w:val="000000"/>
              </w:rPr>
            </w:pPr>
            <w:r w:rsidRPr="00296D0C">
              <w:t>(-0.94, 0.14)</w:t>
            </w:r>
          </w:p>
        </w:tc>
        <w:tc>
          <w:tcPr>
            <w:tcW w:w="760" w:type="dxa"/>
            <w:shd w:val="clear" w:color="auto" w:fill="auto"/>
            <w:vAlign w:val="center"/>
          </w:tcPr>
          <w:p w14:paraId="04E0CBE2" w14:textId="77777777" w:rsidR="00590CB8" w:rsidRPr="00296D0C" w:rsidRDefault="00590CB8" w:rsidP="00590CB8">
            <w:pPr>
              <w:spacing w:after="0" w:line="240" w:lineRule="auto"/>
              <w:jc w:val="center"/>
              <w:rPr>
                <w:rFonts w:eastAsia="Times New Roman" w:cs="Times New Roman"/>
                <w:color w:val="000000"/>
              </w:rPr>
            </w:pPr>
            <w:r w:rsidRPr="00296D0C">
              <w:t>0.143</w:t>
            </w:r>
          </w:p>
        </w:tc>
      </w:tr>
      <w:tr w:rsidR="00590CB8" w:rsidRPr="00296D0C" w14:paraId="48D0A492" w14:textId="77777777" w:rsidTr="00590CB8">
        <w:trPr>
          <w:gridAfter w:val="4"/>
          <w:wAfter w:w="3040" w:type="dxa"/>
          <w:trHeight w:val="240"/>
        </w:trPr>
        <w:tc>
          <w:tcPr>
            <w:tcW w:w="2235" w:type="dxa"/>
            <w:shd w:val="clear" w:color="auto" w:fill="auto"/>
            <w:noWrap/>
            <w:vAlign w:val="center"/>
            <w:hideMark/>
          </w:tcPr>
          <w:p w14:paraId="266D52DC" w14:textId="64D7B499" w:rsidR="00590CB8" w:rsidRPr="00296D0C" w:rsidRDefault="00590CB8" w:rsidP="00590CB8">
            <w:pPr>
              <w:spacing w:after="0" w:line="240" w:lineRule="auto"/>
              <w:rPr>
                <w:rFonts w:eastAsia="Times New Roman" w:cs="Times New Roman"/>
                <w:color w:val="000000"/>
              </w:rPr>
            </w:pPr>
            <w:r w:rsidRPr="00296D0C">
              <w:t>Positive Food Markers</w:t>
            </w:r>
          </w:p>
        </w:tc>
        <w:tc>
          <w:tcPr>
            <w:tcW w:w="1417" w:type="dxa"/>
            <w:shd w:val="clear" w:color="auto" w:fill="auto"/>
            <w:noWrap/>
            <w:vAlign w:val="center"/>
            <w:hideMark/>
          </w:tcPr>
          <w:p w14:paraId="4B107EEA" w14:textId="77777777" w:rsidR="00590CB8" w:rsidRPr="00296D0C" w:rsidRDefault="00590CB8" w:rsidP="00590CB8">
            <w:pPr>
              <w:spacing w:after="0" w:line="240" w:lineRule="auto"/>
              <w:jc w:val="center"/>
              <w:rPr>
                <w:rFonts w:eastAsia="Times New Roman" w:cs="Times New Roman"/>
                <w:color w:val="000000"/>
              </w:rPr>
            </w:pPr>
            <w:r w:rsidRPr="00296D0C">
              <w:t>647</w:t>
            </w:r>
          </w:p>
        </w:tc>
        <w:tc>
          <w:tcPr>
            <w:tcW w:w="1310" w:type="dxa"/>
            <w:shd w:val="clear" w:color="auto" w:fill="auto"/>
            <w:noWrap/>
            <w:vAlign w:val="center"/>
            <w:hideMark/>
          </w:tcPr>
          <w:p w14:paraId="52E1AB4D" w14:textId="77777777" w:rsidR="00590CB8" w:rsidRPr="00296D0C" w:rsidRDefault="00590CB8" w:rsidP="00590CB8">
            <w:pPr>
              <w:spacing w:after="0" w:line="240" w:lineRule="auto"/>
              <w:jc w:val="center"/>
            </w:pPr>
            <w:r w:rsidRPr="00296D0C">
              <w:t xml:space="preserve">6.20 </w:t>
            </w:r>
          </w:p>
          <w:p w14:paraId="36759013" w14:textId="77777777" w:rsidR="00590CB8" w:rsidRPr="00296D0C" w:rsidRDefault="00590CB8" w:rsidP="00590CB8">
            <w:pPr>
              <w:spacing w:after="0" w:line="240" w:lineRule="auto"/>
              <w:jc w:val="center"/>
              <w:rPr>
                <w:rFonts w:eastAsia="Times New Roman" w:cs="Times New Roman"/>
                <w:color w:val="000000"/>
              </w:rPr>
            </w:pPr>
            <w:r w:rsidRPr="00296D0C">
              <w:t>(2.36)</w:t>
            </w:r>
          </w:p>
        </w:tc>
        <w:tc>
          <w:tcPr>
            <w:tcW w:w="997" w:type="dxa"/>
            <w:shd w:val="clear" w:color="auto" w:fill="auto"/>
            <w:noWrap/>
            <w:vAlign w:val="center"/>
            <w:hideMark/>
          </w:tcPr>
          <w:p w14:paraId="57250058" w14:textId="77777777" w:rsidR="00590CB8" w:rsidRPr="00296D0C" w:rsidRDefault="00590CB8" w:rsidP="00590CB8">
            <w:pPr>
              <w:spacing w:after="0" w:line="240" w:lineRule="auto"/>
              <w:jc w:val="center"/>
              <w:rPr>
                <w:rFonts w:eastAsia="Times New Roman" w:cs="Times New Roman"/>
                <w:color w:val="000000"/>
              </w:rPr>
            </w:pPr>
            <w:r w:rsidRPr="00296D0C">
              <w:t>624</w:t>
            </w:r>
          </w:p>
        </w:tc>
        <w:tc>
          <w:tcPr>
            <w:tcW w:w="1286" w:type="dxa"/>
            <w:shd w:val="clear" w:color="auto" w:fill="auto"/>
            <w:noWrap/>
            <w:vAlign w:val="center"/>
            <w:hideMark/>
          </w:tcPr>
          <w:p w14:paraId="418B08D5" w14:textId="77777777" w:rsidR="00590CB8" w:rsidRPr="00296D0C" w:rsidRDefault="00590CB8" w:rsidP="00590CB8">
            <w:pPr>
              <w:spacing w:after="0" w:line="240" w:lineRule="auto"/>
              <w:jc w:val="center"/>
              <w:rPr>
                <w:rFonts w:eastAsia="Times New Roman" w:cs="Times New Roman"/>
                <w:color w:val="000000"/>
              </w:rPr>
            </w:pPr>
            <w:r w:rsidRPr="00296D0C">
              <w:t>5.77 (2.31)</w:t>
            </w:r>
          </w:p>
        </w:tc>
        <w:tc>
          <w:tcPr>
            <w:tcW w:w="1413" w:type="dxa"/>
            <w:shd w:val="clear" w:color="auto" w:fill="auto"/>
            <w:noWrap/>
            <w:vAlign w:val="center"/>
            <w:hideMark/>
          </w:tcPr>
          <w:p w14:paraId="0DDEBD8E" w14:textId="77777777" w:rsidR="00590CB8" w:rsidRPr="00296D0C" w:rsidRDefault="00590CB8" w:rsidP="00590CB8">
            <w:pPr>
              <w:spacing w:after="0" w:line="240" w:lineRule="auto"/>
              <w:jc w:val="center"/>
              <w:rPr>
                <w:rFonts w:eastAsia="Times New Roman" w:cs="Times New Roman"/>
                <w:color w:val="000000"/>
              </w:rPr>
            </w:pPr>
            <w:r w:rsidRPr="00296D0C">
              <w:t>1256</w:t>
            </w:r>
          </w:p>
        </w:tc>
        <w:tc>
          <w:tcPr>
            <w:tcW w:w="1871" w:type="dxa"/>
            <w:shd w:val="clear" w:color="auto" w:fill="auto"/>
            <w:noWrap/>
            <w:vAlign w:val="center"/>
            <w:hideMark/>
          </w:tcPr>
          <w:p w14:paraId="351AB2D3" w14:textId="5753C29D" w:rsidR="00590CB8" w:rsidRPr="00296D0C" w:rsidRDefault="00590CB8" w:rsidP="00590CB8">
            <w:pPr>
              <w:spacing w:after="0" w:line="240" w:lineRule="auto"/>
              <w:jc w:val="center"/>
            </w:pPr>
            <w:r w:rsidRPr="00296D0C">
              <w:t xml:space="preserve">0.26  </w:t>
            </w:r>
          </w:p>
          <w:p w14:paraId="5C4B1201" w14:textId="77777777" w:rsidR="00590CB8" w:rsidRPr="00296D0C" w:rsidRDefault="00590CB8" w:rsidP="00590CB8">
            <w:pPr>
              <w:spacing w:after="0" w:line="240" w:lineRule="auto"/>
              <w:jc w:val="center"/>
              <w:rPr>
                <w:rFonts w:eastAsia="Times New Roman" w:cs="Times New Roman"/>
                <w:color w:val="000000"/>
              </w:rPr>
            </w:pPr>
            <w:r w:rsidRPr="00296D0C">
              <w:t>(-0.12, 0.64)</w:t>
            </w:r>
          </w:p>
        </w:tc>
        <w:tc>
          <w:tcPr>
            <w:tcW w:w="919" w:type="dxa"/>
            <w:shd w:val="clear" w:color="auto" w:fill="auto"/>
            <w:noWrap/>
            <w:vAlign w:val="center"/>
            <w:hideMark/>
          </w:tcPr>
          <w:p w14:paraId="46FEA9E6" w14:textId="77777777" w:rsidR="00590CB8" w:rsidRPr="00296D0C" w:rsidRDefault="00590CB8" w:rsidP="00590CB8">
            <w:pPr>
              <w:spacing w:after="0" w:line="240" w:lineRule="auto"/>
              <w:jc w:val="center"/>
              <w:rPr>
                <w:rFonts w:eastAsia="Times New Roman" w:cs="Times New Roman"/>
                <w:color w:val="000000"/>
              </w:rPr>
            </w:pPr>
            <w:r w:rsidRPr="00296D0C">
              <w:t>0.173</w:t>
            </w:r>
          </w:p>
        </w:tc>
        <w:tc>
          <w:tcPr>
            <w:tcW w:w="1418" w:type="dxa"/>
            <w:shd w:val="clear" w:color="auto" w:fill="auto"/>
            <w:vAlign w:val="center"/>
          </w:tcPr>
          <w:p w14:paraId="32C8A7DC" w14:textId="77777777" w:rsidR="00590CB8" w:rsidRPr="00296D0C" w:rsidRDefault="00590CB8" w:rsidP="00590CB8">
            <w:pPr>
              <w:spacing w:after="0" w:line="240" w:lineRule="auto"/>
              <w:jc w:val="center"/>
              <w:rPr>
                <w:rFonts w:eastAsia="Times New Roman" w:cs="Times New Roman"/>
                <w:color w:val="000000"/>
              </w:rPr>
            </w:pPr>
            <w:r w:rsidRPr="00296D0C">
              <w:t>1271</w:t>
            </w:r>
          </w:p>
        </w:tc>
        <w:tc>
          <w:tcPr>
            <w:tcW w:w="1701" w:type="dxa"/>
            <w:shd w:val="clear" w:color="auto" w:fill="auto"/>
            <w:vAlign w:val="center"/>
          </w:tcPr>
          <w:p w14:paraId="56DC6B74" w14:textId="435DEE35" w:rsidR="00590CB8" w:rsidRPr="00296D0C" w:rsidRDefault="00590CB8" w:rsidP="00590CB8">
            <w:pPr>
              <w:spacing w:after="0" w:line="240" w:lineRule="auto"/>
              <w:jc w:val="center"/>
            </w:pPr>
            <w:r w:rsidRPr="00296D0C">
              <w:t xml:space="preserve">0.42  </w:t>
            </w:r>
          </w:p>
          <w:p w14:paraId="61131462" w14:textId="77777777" w:rsidR="00590CB8" w:rsidRPr="00296D0C" w:rsidRDefault="00590CB8" w:rsidP="00590CB8">
            <w:pPr>
              <w:spacing w:after="0" w:line="240" w:lineRule="auto"/>
              <w:jc w:val="center"/>
              <w:rPr>
                <w:rFonts w:eastAsia="Times New Roman" w:cs="Times New Roman"/>
                <w:color w:val="000000"/>
              </w:rPr>
            </w:pPr>
            <w:r w:rsidRPr="00296D0C">
              <w:t>(0.01, 0.84)</w:t>
            </w:r>
          </w:p>
        </w:tc>
        <w:tc>
          <w:tcPr>
            <w:tcW w:w="760" w:type="dxa"/>
            <w:shd w:val="clear" w:color="auto" w:fill="auto"/>
            <w:vAlign w:val="center"/>
          </w:tcPr>
          <w:p w14:paraId="3401EC3D" w14:textId="77777777" w:rsidR="00590CB8" w:rsidRPr="00296D0C" w:rsidRDefault="00590CB8" w:rsidP="00590CB8">
            <w:pPr>
              <w:spacing w:after="0" w:line="240" w:lineRule="auto"/>
              <w:jc w:val="center"/>
              <w:rPr>
                <w:rFonts w:eastAsia="Times New Roman" w:cs="Times New Roman"/>
                <w:color w:val="000000"/>
              </w:rPr>
            </w:pPr>
            <w:r w:rsidRPr="00296D0C">
              <w:t>0.045</w:t>
            </w:r>
          </w:p>
        </w:tc>
      </w:tr>
      <w:tr w:rsidR="00590CB8" w:rsidRPr="00296D0C" w14:paraId="362BCD1C" w14:textId="77777777" w:rsidTr="00590CB8">
        <w:trPr>
          <w:gridAfter w:val="4"/>
          <w:wAfter w:w="3040" w:type="dxa"/>
          <w:trHeight w:val="240"/>
        </w:trPr>
        <w:tc>
          <w:tcPr>
            <w:tcW w:w="2235" w:type="dxa"/>
            <w:shd w:val="clear" w:color="auto" w:fill="00CCFF"/>
            <w:noWrap/>
            <w:vAlign w:val="center"/>
            <w:hideMark/>
          </w:tcPr>
          <w:p w14:paraId="074648AA" w14:textId="77777777" w:rsidR="00590CB8" w:rsidRPr="00296D0C" w:rsidRDefault="00590CB8" w:rsidP="00590CB8">
            <w:pPr>
              <w:spacing w:after="0" w:line="240" w:lineRule="auto"/>
              <w:rPr>
                <w:rFonts w:eastAsia="Times New Roman" w:cs="Times New Roman"/>
                <w:color w:val="000000"/>
              </w:rPr>
            </w:pPr>
            <w:r w:rsidRPr="00296D0C">
              <w:rPr>
                <w:color w:val="000000"/>
              </w:rPr>
              <w:t xml:space="preserve">Weekday  FIQ </w:t>
            </w:r>
          </w:p>
        </w:tc>
        <w:tc>
          <w:tcPr>
            <w:tcW w:w="1417" w:type="dxa"/>
            <w:shd w:val="clear" w:color="auto" w:fill="00CCFF"/>
            <w:noWrap/>
            <w:vAlign w:val="center"/>
            <w:hideMark/>
          </w:tcPr>
          <w:p w14:paraId="2E5E4A25" w14:textId="77777777" w:rsidR="00590CB8" w:rsidRPr="00296D0C" w:rsidRDefault="00590CB8" w:rsidP="00590CB8">
            <w:pPr>
              <w:spacing w:after="0" w:line="240" w:lineRule="auto"/>
              <w:jc w:val="center"/>
              <w:rPr>
                <w:rFonts w:eastAsia="Times New Roman" w:cs="Times New Roman"/>
                <w:color w:val="000000"/>
              </w:rPr>
            </w:pPr>
            <w:r w:rsidRPr="00296D0C">
              <w:rPr>
                <w:rFonts w:eastAsia="Times New Roman" w:cs="Times New Roman"/>
                <w:color w:val="000000"/>
              </w:rPr>
              <w:t>n</w:t>
            </w:r>
          </w:p>
        </w:tc>
        <w:tc>
          <w:tcPr>
            <w:tcW w:w="1310" w:type="dxa"/>
            <w:shd w:val="clear" w:color="auto" w:fill="00CCFF"/>
            <w:noWrap/>
            <w:vAlign w:val="center"/>
            <w:hideMark/>
          </w:tcPr>
          <w:p w14:paraId="724F439B" w14:textId="77777777" w:rsidR="00590CB8" w:rsidRPr="00296D0C" w:rsidRDefault="00590CB8" w:rsidP="00590CB8">
            <w:pPr>
              <w:spacing w:after="0" w:line="240" w:lineRule="auto"/>
              <w:jc w:val="center"/>
              <w:rPr>
                <w:rFonts w:eastAsia="Times New Roman" w:cs="Times New Roman"/>
                <w:color w:val="000000"/>
              </w:rPr>
            </w:pPr>
            <w:r w:rsidRPr="00296D0C">
              <w:rPr>
                <w:rFonts w:eastAsia="Times New Roman" w:cs="Times New Roman"/>
                <w:color w:val="000000"/>
              </w:rPr>
              <w:t>Mean</w:t>
            </w:r>
          </w:p>
          <w:p w14:paraId="65E18D2A" w14:textId="77777777" w:rsidR="00590CB8" w:rsidRPr="00296D0C" w:rsidRDefault="00590CB8" w:rsidP="00590CB8">
            <w:pPr>
              <w:spacing w:after="0" w:line="240" w:lineRule="auto"/>
              <w:jc w:val="center"/>
              <w:rPr>
                <w:rFonts w:eastAsia="Times New Roman" w:cs="Times New Roman"/>
                <w:color w:val="000000"/>
              </w:rPr>
            </w:pPr>
            <w:r w:rsidRPr="00296D0C">
              <w:rPr>
                <w:rFonts w:eastAsia="Times New Roman" w:cs="Times New Roman"/>
                <w:color w:val="000000"/>
              </w:rPr>
              <w:t>(SD)</w:t>
            </w:r>
          </w:p>
        </w:tc>
        <w:tc>
          <w:tcPr>
            <w:tcW w:w="997" w:type="dxa"/>
            <w:shd w:val="clear" w:color="auto" w:fill="00CCFF"/>
            <w:noWrap/>
            <w:vAlign w:val="center"/>
            <w:hideMark/>
          </w:tcPr>
          <w:p w14:paraId="18F167D7" w14:textId="058833AF" w:rsidR="00590CB8" w:rsidRPr="00296D0C" w:rsidRDefault="004734BC" w:rsidP="004734BC">
            <w:pPr>
              <w:spacing w:after="0" w:line="240" w:lineRule="auto"/>
              <w:jc w:val="center"/>
              <w:rPr>
                <w:rFonts w:eastAsia="Times New Roman" w:cs="Times New Roman"/>
                <w:color w:val="000000"/>
              </w:rPr>
            </w:pPr>
            <w:r>
              <w:rPr>
                <w:rFonts w:eastAsia="Times New Roman" w:cs="Times New Roman"/>
                <w:color w:val="000000"/>
              </w:rPr>
              <w:t>n</w:t>
            </w:r>
          </w:p>
        </w:tc>
        <w:tc>
          <w:tcPr>
            <w:tcW w:w="1286" w:type="dxa"/>
            <w:shd w:val="clear" w:color="auto" w:fill="00CCFF"/>
            <w:noWrap/>
            <w:vAlign w:val="center"/>
            <w:hideMark/>
          </w:tcPr>
          <w:p w14:paraId="002965F2" w14:textId="77777777" w:rsidR="00590CB8" w:rsidRPr="00296D0C" w:rsidRDefault="00590CB8" w:rsidP="00590CB8">
            <w:pPr>
              <w:spacing w:after="0" w:line="240" w:lineRule="auto"/>
              <w:jc w:val="center"/>
              <w:rPr>
                <w:rFonts w:eastAsia="Times New Roman" w:cs="Times New Roman"/>
                <w:color w:val="000000"/>
              </w:rPr>
            </w:pPr>
            <w:r w:rsidRPr="00296D0C">
              <w:rPr>
                <w:rFonts w:eastAsia="Times New Roman" w:cs="Times New Roman"/>
                <w:color w:val="000000"/>
              </w:rPr>
              <w:t>Mean (SD)</w:t>
            </w:r>
          </w:p>
        </w:tc>
        <w:tc>
          <w:tcPr>
            <w:tcW w:w="1413" w:type="dxa"/>
            <w:shd w:val="clear" w:color="auto" w:fill="00CCFF"/>
            <w:noWrap/>
            <w:vAlign w:val="center"/>
            <w:hideMark/>
          </w:tcPr>
          <w:p w14:paraId="4F38A94A" w14:textId="77777777" w:rsidR="00590CB8" w:rsidRPr="00296D0C" w:rsidRDefault="00590CB8" w:rsidP="00590CB8">
            <w:pPr>
              <w:spacing w:after="0" w:line="240" w:lineRule="auto"/>
              <w:jc w:val="center"/>
              <w:rPr>
                <w:rFonts w:eastAsia="Times New Roman" w:cs="Times New Roman"/>
                <w:color w:val="000000"/>
              </w:rPr>
            </w:pPr>
            <w:r w:rsidRPr="00296D0C">
              <w:rPr>
                <w:rFonts w:eastAsia="Times New Roman" w:cs="Times New Roman"/>
                <w:color w:val="000000"/>
              </w:rPr>
              <w:t>Total</w:t>
            </w:r>
          </w:p>
          <w:p w14:paraId="4BC35473" w14:textId="77777777" w:rsidR="00590CB8" w:rsidRPr="00296D0C" w:rsidRDefault="00590CB8" w:rsidP="00590CB8">
            <w:pPr>
              <w:spacing w:after="0" w:line="240" w:lineRule="auto"/>
              <w:jc w:val="center"/>
              <w:rPr>
                <w:rFonts w:eastAsia="Times New Roman" w:cs="Times New Roman"/>
                <w:color w:val="000000"/>
              </w:rPr>
            </w:pPr>
            <w:r w:rsidRPr="00296D0C">
              <w:rPr>
                <w:rFonts w:eastAsia="Times New Roman" w:cs="Times New Roman"/>
                <w:color w:val="000000"/>
              </w:rPr>
              <w:t>n in analysis</w:t>
            </w:r>
          </w:p>
        </w:tc>
        <w:tc>
          <w:tcPr>
            <w:tcW w:w="1871" w:type="dxa"/>
            <w:shd w:val="clear" w:color="auto" w:fill="00CCFF"/>
            <w:noWrap/>
            <w:vAlign w:val="center"/>
            <w:hideMark/>
          </w:tcPr>
          <w:p w14:paraId="1F8B9C77" w14:textId="77777777" w:rsidR="00590CB8" w:rsidRPr="00296D0C" w:rsidRDefault="00590CB8" w:rsidP="00590CB8">
            <w:pPr>
              <w:spacing w:after="0" w:line="240" w:lineRule="auto"/>
              <w:jc w:val="center"/>
              <w:rPr>
                <w:rFonts w:eastAsia="Times New Roman" w:cs="Times New Roman"/>
                <w:color w:val="000000"/>
              </w:rPr>
            </w:pPr>
            <w:r w:rsidRPr="00296D0C">
              <w:rPr>
                <w:rFonts w:eastAsia="Times New Roman" w:cs="Times New Roman"/>
                <w:color w:val="000000"/>
              </w:rPr>
              <w:t>Mean difference</w:t>
            </w:r>
          </w:p>
          <w:p w14:paraId="49FE4F28" w14:textId="77777777" w:rsidR="00590CB8" w:rsidRPr="00296D0C" w:rsidRDefault="00590CB8" w:rsidP="00590CB8">
            <w:pPr>
              <w:spacing w:after="0" w:line="240" w:lineRule="auto"/>
              <w:jc w:val="center"/>
              <w:rPr>
                <w:rFonts w:eastAsia="Times New Roman" w:cs="Times New Roman"/>
                <w:color w:val="000000"/>
              </w:rPr>
            </w:pPr>
            <w:r w:rsidRPr="00296D0C">
              <w:rPr>
                <w:rFonts w:eastAsia="Times New Roman" w:cs="Times New Roman"/>
                <w:color w:val="000000"/>
              </w:rPr>
              <w:t xml:space="preserve"> (95% CI)</w:t>
            </w:r>
          </w:p>
        </w:tc>
        <w:tc>
          <w:tcPr>
            <w:tcW w:w="919" w:type="dxa"/>
            <w:shd w:val="clear" w:color="auto" w:fill="00CCFF"/>
            <w:noWrap/>
            <w:vAlign w:val="center"/>
            <w:hideMark/>
          </w:tcPr>
          <w:p w14:paraId="3C2F87C6" w14:textId="77777777" w:rsidR="00590CB8" w:rsidRPr="00296D0C" w:rsidRDefault="00590CB8" w:rsidP="00590CB8">
            <w:pPr>
              <w:spacing w:after="0" w:line="240" w:lineRule="auto"/>
              <w:jc w:val="center"/>
              <w:rPr>
                <w:rFonts w:eastAsia="Times New Roman" w:cs="Times New Roman"/>
                <w:color w:val="000000"/>
              </w:rPr>
            </w:pPr>
            <w:r w:rsidRPr="00296D0C">
              <w:rPr>
                <w:rFonts w:eastAsia="Times New Roman" w:cs="Times New Roman"/>
                <w:color w:val="000000"/>
              </w:rPr>
              <w:t>p-value</w:t>
            </w:r>
          </w:p>
        </w:tc>
        <w:tc>
          <w:tcPr>
            <w:tcW w:w="1418" w:type="dxa"/>
            <w:shd w:val="clear" w:color="auto" w:fill="00CCFF"/>
            <w:vAlign w:val="center"/>
          </w:tcPr>
          <w:p w14:paraId="06789365" w14:textId="77777777" w:rsidR="00590CB8" w:rsidRPr="00296D0C" w:rsidRDefault="00590CB8" w:rsidP="00590CB8">
            <w:pPr>
              <w:spacing w:after="0" w:line="240" w:lineRule="auto"/>
              <w:jc w:val="center"/>
              <w:rPr>
                <w:rFonts w:eastAsia="Times New Roman" w:cs="Times New Roman"/>
                <w:color w:val="000000"/>
              </w:rPr>
            </w:pPr>
            <w:r w:rsidRPr="00296D0C">
              <w:rPr>
                <w:rFonts w:eastAsia="Times New Roman" w:cs="Times New Roman"/>
                <w:color w:val="000000"/>
              </w:rPr>
              <w:t>Total</w:t>
            </w:r>
          </w:p>
          <w:p w14:paraId="5ABB42B6" w14:textId="77777777" w:rsidR="00590CB8" w:rsidRPr="00296D0C" w:rsidRDefault="00590CB8" w:rsidP="00590CB8">
            <w:pPr>
              <w:spacing w:after="0" w:line="240" w:lineRule="auto"/>
              <w:jc w:val="center"/>
              <w:rPr>
                <w:rFonts w:eastAsia="Times New Roman" w:cs="Times New Roman"/>
                <w:color w:val="000000"/>
              </w:rPr>
            </w:pPr>
            <w:r w:rsidRPr="00296D0C">
              <w:rPr>
                <w:rFonts w:eastAsia="Times New Roman" w:cs="Times New Roman"/>
                <w:color w:val="000000"/>
              </w:rPr>
              <w:t>n in analysis</w:t>
            </w:r>
          </w:p>
        </w:tc>
        <w:tc>
          <w:tcPr>
            <w:tcW w:w="1701" w:type="dxa"/>
            <w:shd w:val="clear" w:color="auto" w:fill="00CCFF"/>
            <w:vAlign w:val="center"/>
          </w:tcPr>
          <w:p w14:paraId="5CFB22B9" w14:textId="77777777" w:rsidR="00590CB8" w:rsidRPr="00296D0C" w:rsidRDefault="00590CB8" w:rsidP="00590CB8">
            <w:pPr>
              <w:spacing w:after="0" w:line="240" w:lineRule="auto"/>
              <w:jc w:val="center"/>
              <w:rPr>
                <w:rFonts w:eastAsia="Times New Roman" w:cs="Times New Roman"/>
                <w:color w:val="000000"/>
              </w:rPr>
            </w:pPr>
            <w:r w:rsidRPr="00296D0C">
              <w:rPr>
                <w:rFonts w:eastAsia="Times New Roman" w:cs="Times New Roman"/>
                <w:color w:val="000000"/>
              </w:rPr>
              <w:t>Mean difference</w:t>
            </w:r>
          </w:p>
          <w:p w14:paraId="296FEE8C" w14:textId="77777777" w:rsidR="00590CB8" w:rsidRPr="00296D0C" w:rsidRDefault="00590CB8" w:rsidP="00590CB8">
            <w:pPr>
              <w:spacing w:after="0" w:line="240" w:lineRule="auto"/>
              <w:jc w:val="center"/>
              <w:rPr>
                <w:rFonts w:eastAsia="Times New Roman" w:cs="Times New Roman"/>
                <w:color w:val="000000"/>
              </w:rPr>
            </w:pPr>
            <w:r w:rsidRPr="00296D0C">
              <w:rPr>
                <w:rFonts w:eastAsia="Times New Roman" w:cs="Times New Roman"/>
                <w:color w:val="000000"/>
              </w:rPr>
              <w:t>(95% CI)</w:t>
            </w:r>
          </w:p>
        </w:tc>
        <w:tc>
          <w:tcPr>
            <w:tcW w:w="760" w:type="dxa"/>
            <w:shd w:val="clear" w:color="auto" w:fill="00CCFF"/>
            <w:vAlign w:val="center"/>
          </w:tcPr>
          <w:p w14:paraId="461F3472" w14:textId="77777777" w:rsidR="00590CB8" w:rsidRPr="00296D0C" w:rsidRDefault="00590CB8" w:rsidP="00590CB8">
            <w:pPr>
              <w:spacing w:after="0" w:line="240" w:lineRule="auto"/>
              <w:jc w:val="center"/>
              <w:rPr>
                <w:rFonts w:eastAsia="Times New Roman" w:cs="Times New Roman"/>
                <w:color w:val="000000"/>
              </w:rPr>
            </w:pPr>
            <w:r w:rsidRPr="00296D0C">
              <w:rPr>
                <w:rFonts w:eastAsia="Times New Roman" w:cs="Times New Roman"/>
                <w:color w:val="000000"/>
              </w:rPr>
              <w:t>p-value</w:t>
            </w:r>
          </w:p>
        </w:tc>
      </w:tr>
      <w:tr w:rsidR="00590CB8" w:rsidRPr="00296D0C" w14:paraId="2ED49D7C" w14:textId="77777777" w:rsidTr="00590CB8">
        <w:trPr>
          <w:gridAfter w:val="4"/>
          <w:wAfter w:w="3040" w:type="dxa"/>
          <w:trHeight w:val="240"/>
        </w:trPr>
        <w:tc>
          <w:tcPr>
            <w:tcW w:w="2235" w:type="dxa"/>
            <w:shd w:val="clear" w:color="auto" w:fill="auto"/>
            <w:noWrap/>
            <w:vAlign w:val="center"/>
            <w:hideMark/>
          </w:tcPr>
          <w:p w14:paraId="496880E4" w14:textId="6725E6CF" w:rsidR="00590CB8" w:rsidRPr="00296D0C" w:rsidRDefault="00590CB8" w:rsidP="00590CB8">
            <w:pPr>
              <w:spacing w:after="0" w:line="240" w:lineRule="auto"/>
              <w:rPr>
                <w:rFonts w:eastAsia="Times New Roman" w:cs="Times New Roman"/>
                <w:color w:val="000000"/>
              </w:rPr>
            </w:pPr>
            <w:r w:rsidRPr="00296D0C">
              <w:rPr>
                <w:color w:val="000000"/>
              </w:rPr>
              <w:t>Energy-Dense Snacks</w:t>
            </w:r>
          </w:p>
        </w:tc>
        <w:tc>
          <w:tcPr>
            <w:tcW w:w="1417" w:type="dxa"/>
            <w:tcBorders>
              <w:top w:val="nil"/>
              <w:left w:val="nil"/>
              <w:bottom w:val="nil"/>
              <w:right w:val="nil"/>
            </w:tcBorders>
            <w:shd w:val="clear" w:color="auto" w:fill="auto"/>
            <w:noWrap/>
            <w:vAlign w:val="center"/>
            <w:hideMark/>
          </w:tcPr>
          <w:p w14:paraId="49257CE0" w14:textId="77777777" w:rsidR="00590CB8" w:rsidRPr="00296D0C" w:rsidRDefault="00590CB8" w:rsidP="00590CB8">
            <w:pPr>
              <w:spacing w:after="0" w:line="240" w:lineRule="auto"/>
              <w:jc w:val="center"/>
              <w:rPr>
                <w:rFonts w:eastAsia="Times New Roman" w:cs="Times New Roman"/>
                <w:color w:val="000000"/>
              </w:rPr>
            </w:pPr>
            <w:r w:rsidRPr="00296D0C">
              <w:rPr>
                <w:color w:val="000000"/>
              </w:rPr>
              <w:t>647</w:t>
            </w:r>
          </w:p>
        </w:tc>
        <w:tc>
          <w:tcPr>
            <w:tcW w:w="1310" w:type="dxa"/>
            <w:tcBorders>
              <w:top w:val="nil"/>
              <w:left w:val="nil"/>
              <w:bottom w:val="nil"/>
              <w:right w:val="nil"/>
            </w:tcBorders>
            <w:shd w:val="clear" w:color="auto" w:fill="auto"/>
            <w:noWrap/>
            <w:vAlign w:val="center"/>
            <w:hideMark/>
          </w:tcPr>
          <w:p w14:paraId="3E34733E" w14:textId="77777777" w:rsidR="00590CB8" w:rsidRPr="00296D0C" w:rsidRDefault="00590CB8" w:rsidP="00590CB8">
            <w:pPr>
              <w:spacing w:after="0" w:line="240" w:lineRule="auto"/>
              <w:jc w:val="center"/>
              <w:rPr>
                <w:rFonts w:eastAsia="Times New Roman" w:cs="Times New Roman"/>
                <w:color w:val="000000"/>
              </w:rPr>
            </w:pPr>
            <w:r w:rsidRPr="00296D0C">
              <w:rPr>
                <w:color w:val="000000"/>
              </w:rPr>
              <w:t>3.54  (2.03)</w:t>
            </w:r>
          </w:p>
        </w:tc>
        <w:tc>
          <w:tcPr>
            <w:tcW w:w="997" w:type="dxa"/>
            <w:tcBorders>
              <w:top w:val="nil"/>
              <w:left w:val="nil"/>
              <w:bottom w:val="nil"/>
              <w:right w:val="nil"/>
            </w:tcBorders>
            <w:shd w:val="clear" w:color="auto" w:fill="auto"/>
            <w:noWrap/>
            <w:vAlign w:val="center"/>
            <w:hideMark/>
          </w:tcPr>
          <w:p w14:paraId="7D35F181" w14:textId="77777777" w:rsidR="00590CB8" w:rsidRPr="00296D0C" w:rsidRDefault="00590CB8" w:rsidP="00590CB8">
            <w:pPr>
              <w:spacing w:after="0" w:line="240" w:lineRule="auto"/>
              <w:jc w:val="center"/>
              <w:rPr>
                <w:rFonts w:eastAsia="Times New Roman" w:cs="Times New Roman"/>
                <w:color w:val="000000"/>
              </w:rPr>
            </w:pPr>
            <w:r w:rsidRPr="00296D0C">
              <w:rPr>
                <w:color w:val="000000"/>
              </w:rPr>
              <w:t>625</w:t>
            </w:r>
          </w:p>
        </w:tc>
        <w:tc>
          <w:tcPr>
            <w:tcW w:w="1286" w:type="dxa"/>
            <w:tcBorders>
              <w:top w:val="nil"/>
              <w:left w:val="nil"/>
              <w:bottom w:val="nil"/>
              <w:right w:val="nil"/>
            </w:tcBorders>
            <w:shd w:val="clear" w:color="auto" w:fill="auto"/>
            <w:noWrap/>
            <w:vAlign w:val="center"/>
            <w:hideMark/>
          </w:tcPr>
          <w:p w14:paraId="197ED5DB" w14:textId="77777777" w:rsidR="00590CB8" w:rsidRPr="00296D0C" w:rsidRDefault="00590CB8" w:rsidP="00590CB8">
            <w:pPr>
              <w:spacing w:after="0" w:line="240" w:lineRule="auto"/>
              <w:jc w:val="center"/>
              <w:rPr>
                <w:rFonts w:eastAsia="Times New Roman" w:cs="Times New Roman"/>
                <w:color w:val="000000"/>
              </w:rPr>
            </w:pPr>
            <w:r w:rsidRPr="00296D0C">
              <w:rPr>
                <w:color w:val="000000"/>
              </w:rPr>
              <w:t>3.99  (2.27)</w:t>
            </w:r>
          </w:p>
        </w:tc>
        <w:tc>
          <w:tcPr>
            <w:tcW w:w="1413" w:type="dxa"/>
            <w:tcBorders>
              <w:top w:val="nil"/>
              <w:left w:val="nil"/>
              <w:bottom w:val="nil"/>
              <w:right w:val="nil"/>
            </w:tcBorders>
            <w:shd w:val="clear" w:color="auto" w:fill="auto"/>
            <w:noWrap/>
            <w:vAlign w:val="center"/>
            <w:hideMark/>
          </w:tcPr>
          <w:p w14:paraId="31DEECEE" w14:textId="77777777" w:rsidR="00590CB8" w:rsidRPr="00296D0C" w:rsidRDefault="00590CB8" w:rsidP="00590CB8">
            <w:pPr>
              <w:spacing w:after="0" w:line="240" w:lineRule="auto"/>
              <w:jc w:val="center"/>
              <w:rPr>
                <w:rFonts w:eastAsia="Times New Roman" w:cs="Times New Roman"/>
                <w:color w:val="000000"/>
              </w:rPr>
            </w:pPr>
            <w:r w:rsidRPr="00296D0C">
              <w:rPr>
                <w:color w:val="000000"/>
              </w:rPr>
              <w:t>1265</w:t>
            </w:r>
          </w:p>
        </w:tc>
        <w:tc>
          <w:tcPr>
            <w:tcW w:w="1871" w:type="dxa"/>
            <w:tcBorders>
              <w:top w:val="nil"/>
              <w:left w:val="nil"/>
              <w:bottom w:val="nil"/>
              <w:right w:val="nil"/>
            </w:tcBorders>
            <w:shd w:val="clear" w:color="auto" w:fill="auto"/>
            <w:noWrap/>
            <w:vAlign w:val="center"/>
            <w:hideMark/>
          </w:tcPr>
          <w:p w14:paraId="50342D0B" w14:textId="77777777" w:rsidR="00590CB8" w:rsidRPr="00296D0C" w:rsidRDefault="00590CB8" w:rsidP="00590CB8">
            <w:pPr>
              <w:spacing w:after="0" w:line="240" w:lineRule="auto"/>
              <w:jc w:val="center"/>
              <w:rPr>
                <w:color w:val="000000"/>
              </w:rPr>
            </w:pPr>
            <w:r w:rsidRPr="00296D0C">
              <w:rPr>
                <w:color w:val="000000"/>
              </w:rPr>
              <w:t xml:space="preserve">-0.47     </w:t>
            </w:r>
          </w:p>
          <w:p w14:paraId="7CB0DCE1" w14:textId="77777777" w:rsidR="00590CB8" w:rsidRPr="00296D0C" w:rsidRDefault="00590CB8" w:rsidP="00590CB8">
            <w:pPr>
              <w:spacing w:after="0" w:line="240" w:lineRule="auto"/>
              <w:jc w:val="center"/>
              <w:rPr>
                <w:rFonts w:eastAsia="Times New Roman" w:cs="Times New Roman"/>
                <w:color w:val="000000"/>
              </w:rPr>
            </w:pPr>
            <w:r w:rsidRPr="00296D0C">
              <w:rPr>
                <w:color w:val="000000"/>
              </w:rPr>
              <w:t>(-0.84, -0.11)</w:t>
            </w:r>
          </w:p>
        </w:tc>
        <w:tc>
          <w:tcPr>
            <w:tcW w:w="919" w:type="dxa"/>
            <w:tcBorders>
              <w:top w:val="nil"/>
              <w:left w:val="nil"/>
              <w:bottom w:val="nil"/>
              <w:right w:val="nil"/>
            </w:tcBorders>
            <w:shd w:val="clear" w:color="auto" w:fill="auto"/>
            <w:noWrap/>
            <w:vAlign w:val="center"/>
            <w:hideMark/>
          </w:tcPr>
          <w:p w14:paraId="2816946F" w14:textId="77777777" w:rsidR="00590CB8" w:rsidRPr="00296D0C" w:rsidRDefault="00590CB8" w:rsidP="00590CB8">
            <w:pPr>
              <w:spacing w:after="0" w:line="240" w:lineRule="auto"/>
              <w:jc w:val="center"/>
              <w:rPr>
                <w:rFonts w:eastAsia="Times New Roman" w:cs="Times New Roman"/>
                <w:color w:val="000000"/>
              </w:rPr>
            </w:pPr>
            <w:r w:rsidRPr="00296D0C">
              <w:rPr>
                <w:color w:val="000000"/>
              </w:rPr>
              <w:t>0.013</w:t>
            </w:r>
          </w:p>
        </w:tc>
        <w:tc>
          <w:tcPr>
            <w:tcW w:w="1418" w:type="dxa"/>
            <w:tcBorders>
              <w:top w:val="nil"/>
              <w:left w:val="nil"/>
              <w:bottom w:val="nil"/>
              <w:right w:val="nil"/>
            </w:tcBorders>
            <w:shd w:val="clear" w:color="auto" w:fill="auto"/>
            <w:vAlign w:val="center"/>
          </w:tcPr>
          <w:p w14:paraId="054920FF" w14:textId="77777777" w:rsidR="00590CB8" w:rsidRPr="00296D0C" w:rsidRDefault="00590CB8" w:rsidP="00590CB8">
            <w:pPr>
              <w:spacing w:after="0" w:line="240" w:lineRule="auto"/>
              <w:jc w:val="center"/>
              <w:rPr>
                <w:rFonts w:eastAsia="Times New Roman" w:cs="Times New Roman"/>
                <w:color w:val="000000"/>
              </w:rPr>
            </w:pPr>
            <w:r w:rsidRPr="00296D0C">
              <w:rPr>
                <w:color w:val="000000"/>
              </w:rPr>
              <w:t>1272</w:t>
            </w:r>
          </w:p>
        </w:tc>
        <w:tc>
          <w:tcPr>
            <w:tcW w:w="1701" w:type="dxa"/>
            <w:tcBorders>
              <w:top w:val="nil"/>
              <w:left w:val="nil"/>
              <w:bottom w:val="nil"/>
              <w:right w:val="nil"/>
            </w:tcBorders>
            <w:shd w:val="clear" w:color="auto" w:fill="auto"/>
            <w:vAlign w:val="center"/>
          </w:tcPr>
          <w:p w14:paraId="618392BA" w14:textId="77777777" w:rsidR="00590CB8" w:rsidRPr="00296D0C" w:rsidRDefault="00590CB8" w:rsidP="00590CB8">
            <w:pPr>
              <w:spacing w:after="0" w:line="240" w:lineRule="auto"/>
              <w:jc w:val="center"/>
              <w:rPr>
                <w:color w:val="000000"/>
              </w:rPr>
            </w:pPr>
            <w:r w:rsidRPr="00296D0C">
              <w:rPr>
                <w:color w:val="000000"/>
              </w:rPr>
              <w:t>-0.41</w:t>
            </w:r>
          </w:p>
          <w:p w14:paraId="0FA0DD56" w14:textId="77777777" w:rsidR="00590CB8" w:rsidRPr="00296D0C" w:rsidRDefault="00590CB8" w:rsidP="00590CB8">
            <w:pPr>
              <w:spacing w:after="0" w:line="240" w:lineRule="auto"/>
              <w:jc w:val="center"/>
              <w:rPr>
                <w:rFonts w:eastAsia="Times New Roman" w:cs="Times New Roman"/>
                <w:color w:val="000000"/>
              </w:rPr>
            </w:pPr>
            <w:r w:rsidRPr="00296D0C">
              <w:rPr>
                <w:color w:val="000000"/>
              </w:rPr>
              <w:t>(-0.83, 0.01)</w:t>
            </w:r>
          </w:p>
        </w:tc>
        <w:tc>
          <w:tcPr>
            <w:tcW w:w="760" w:type="dxa"/>
            <w:tcBorders>
              <w:top w:val="nil"/>
              <w:left w:val="nil"/>
              <w:bottom w:val="nil"/>
              <w:right w:val="nil"/>
            </w:tcBorders>
            <w:shd w:val="clear" w:color="auto" w:fill="auto"/>
            <w:vAlign w:val="center"/>
          </w:tcPr>
          <w:p w14:paraId="2957F812" w14:textId="77777777" w:rsidR="00590CB8" w:rsidRPr="00296D0C" w:rsidRDefault="00590CB8" w:rsidP="00590CB8">
            <w:pPr>
              <w:spacing w:after="0" w:line="240" w:lineRule="auto"/>
              <w:jc w:val="center"/>
              <w:rPr>
                <w:rFonts w:eastAsia="Times New Roman" w:cs="Times New Roman"/>
                <w:color w:val="000000"/>
              </w:rPr>
            </w:pPr>
            <w:r w:rsidRPr="00296D0C">
              <w:rPr>
                <w:color w:val="000000"/>
              </w:rPr>
              <w:t>0.055</w:t>
            </w:r>
          </w:p>
        </w:tc>
      </w:tr>
      <w:tr w:rsidR="00590CB8" w:rsidRPr="00296D0C" w14:paraId="7B165E9E" w14:textId="77777777" w:rsidTr="00590CB8">
        <w:trPr>
          <w:gridAfter w:val="4"/>
          <w:wAfter w:w="3040" w:type="dxa"/>
          <w:trHeight w:val="240"/>
        </w:trPr>
        <w:tc>
          <w:tcPr>
            <w:tcW w:w="2235" w:type="dxa"/>
            <w:shd w:val="clear" w:color="auto" w:fill="auto"/>
            <w:noWrap/>
            <w:vAlign w:val="center"/>
            <w:hideMark/>
          </w:tcPr>
          <w:p w14:paraId="2DAA7ACF" w14:textId="123CE10E" w:rsidR="00590CB8" w:rsidRPr="00296D0C" w:rsidRDefault="00590CB8" w:rsidP="00590CB8">
            <w:pPr>
              <w:spacing w:after="0" w:line="240" w:lineRule="auto"/>
              <w:rPr>
                <w:rFonts w:eastAsia="Times New Roman" w:cs="Times New Roman"/>
                <w:color w:val="000000"/>
              </w:rPr>
            </w:pPr>
            <w:r w:rsidRPr="00296D0C">
              <w:rPr>
                <w:color w:val="000000"/>
              </w:rPr>
              <w:t>Healthy Snacks</w:t>
            </w:r>
          </w:p>
        </w:tc>
        <w:tc>
          <w:tcPr>
            <w:tcW w:w="1417" w:type="dxa"/>
            <w:tcBorders>
              <w:top w:val="nil"/>
              <w:left w:val="nil"/>
              <w:bottom w:val="nil"/>
              <w:right w:val="nil"/>
            </w:tcBorders>
            <w:shd w:val="clear" w:color="auto" w:fill="auto"/>
            <w:noWrap/>
            <w:vAlign w:val="center"/>
            <w:hideMark/>
          </w:tcPr>
          <w:p w14:paraId="00362C19" w14:textId="77777777" w:rsidR="00590CB8" w:rsidRPr="00296D0C" w:rsidRDefault="00590CB8" w:rsidP="00590CB8">
            <w:pPr>
              <w:spacing w:after="0" w:line="240" w:lineRule="auto"/>
              <w:jc w:val="center"/>
              <w:rPr>
                <w:rFonts w:eastAsia="Times New Roman" w:cs="Times New Roman"/>
                <w:color w:val="000000"/>
              </w:rPr>
            </w:pPr>
            <w:r w:rsidRPr="00296D0C">
              <w:rPr>
                <w:color w:val="000000"/>
              </w:rPr>
              <w:t>645</w:t>
            </w:r>
          </w:p>
        </w:tc>
        <w:tc>
          <w:tcPr>
            <w:tcW w:w="1310" w:type="dxa"/>
            <w:tcBorders>
              <w:top w:val="nil"/>
              <w:left w:val="nil"/>
              <w:bottom w:val="nil"/>
              <w:right w:val="nil"/>
            </w:tcBorders>
            <w:shd w:val="clear" w:color="auto" w:fill="auto"/>
            <w:noWrap/>
            <w:vAlign w:val="center"/>
            <w:hideMark/>
          </w:tcPr>
          <w:p w14:paraId="394666D7" w14:textId="77777777" w:rsidR="00590CB8" w:rsidRPr="00296D0C" w:rsidRDefault="00590CB8" w:rsidP="00590CB8">
            <w:pPr>
              <w:spacing w:after="0" w:line="240" w:lineRule="auto"/>
              <w:jc w:val="center"/>
              <w:rPr>
                <w:rFonts w:eastAsia="Times New Roman" w:cs="Times New Roman"/>
                <w:color w:val="000000"/>
              </w:rPr>
            </w:pPr>
            <w:r w:rsidRPr="00296D0C">
              <w:rPr>
                <w:color w:val="000000"/>
              </w:rPr>
              <w:t>3.69  (1.77)</w:t>
            </w:r>
          </w:p>
        </w:tc>
        <w:tc>
          <w:tcPr>
            <w:tcW w:w="997" w:type="dxa"/>
            <w:tcBorders>
              <w:top w:val="nil"/>
              <w:left w:val="nil"/>
              <w:bottom w:val="nil"/>
              <w:right w:val="nil"/>
            </w:tcBorders>
            <w:shd w:val="clear" w:color="auto" w:fill="auto"/>
            <w:noWrap/>
            <w:vAlign w:val="center"/>
            <w:hideMark/>
          </w:tcPr>
          <w:p w14:paraId="5CE422F1" w14:textId="77777777" w:rsidR="00590CB8" w:rsidRPr="00296D0C" w:rsidRDefault="00590CB8" w:rsidP="00590CB8">
            <w:pPr>
              <w:spacing w:after="0" w:line="240" w:lineRule="auto"/>
              <w:jc w:val="center"/>
              <w:rPr>
                <w:rFonts w:eastAsia="Times New Roman" w:cs="Times New Roman"/>
                <w:color w:val="000000"/>
              </w:rPr>
            </w:pPr>
            <w:r w:rsidRPr="00296D0C">
              <w:rPr>
                <w:color w:val="000000"/>
              </w:rPr>
              <w:t>624</w:t>
            </w:r>
          </w:p>
        </w:tc>
        <w:tc>
          <w:tcPr>
            <w:tcW w:w="1286" w:type="dxa"/>
            <w:tcBorders>
              <w:top w:val="nil"/>
              <w:left w:val="nil"/>
              <w:bottom w:val="nil"/>
              <w:right w:val="nil"/>
            </w:tcBorders>
            <w:shd w:val="clear" w:color="auto" w:fill="auto"/>
            <w:noWrap/>
            <w:vAlign w:val="center"/>
            <w:hideMark/>
          </w:tcPr>
          <w:p w14:paraId="371D61CD" w14:textId="77777777" w:rsidR="00590CB8" w:rsidRPr="00296D0C" w:rsidRDefault="00590CB8" w:rsidP="00590CB8">
            <w:pPr>
              <w:spacing w:after="0" w:line="240" w:lineRule="auto"/>
              <w:jc w:val="center"/>
              <w:rPr>
                <w:rFonts w:eastAsia="Times New Roman" w:cs="Times New Roman"/>
                <w:color w:val="000000"/>
              </w:rPr>
            </w:pPr>
            <w:r w:rsidRPr="00296D0C">
              <w:rPr>
                <w:color w:val="000000"/>
              </w:rPr>
              <w:t>3.38  (1.64)</w:t>
            </w:r>
          </w:p>
        </w:tc>
        <w:tc>
          <w:tcPr>
            <w:tcW w:w="1413" w:type="dxa"/>
            <w:tcBorders>
              <w:top w:val="nil"/>
              <w:left w:val="nil"/>
              <w:bottom w:val="nil"/>
              <w:right w:val="nil"/>
            </w:tcBorders>
            <w:shd w:val="clear" w:color="auto" w:fill="auto"/>
            <w:noWrap/>
            <w:vAlign w:val="center"/>
            <w:hideMark/>
          </w:tcPr>
          <w:p w14:paraId="7D3DBEAD" w14:textId="77777777" w:rsidR="00590CB8" w:rsidRPr="00296D0C" w:rsidRDefault="00590CB8" w:rsidP="00590CB8">
            <w:pPr>
              <w:spacing w:after="0" w:line="240" w:lineRule="auto"/>
              <w:jc w:val="center"/>
              <w:rPr>
                <w:rFonts w:eastAsia="Times New Roman" w:cs="Times New Roman"/>
                <w:color w:val="000000"/>
              </w:rPr>
            </w:pPr>
            <w:r w:rsidRPr="00296D0C">
              <w:rPr>
                <w:color w:val="000000"/>
              </w:rPr>
              <w:t>1257</w:t>
            </w:r>
          </w:p>
        </w:tc>
        <w:tc>
          <w:tcPr>
            <w:tcW w:w="1871" w:type="dxa"/>
            <w:tcBorders>
              <w:top w:val="nil"/>
              <w:left w:val="nil"/>
              <w:bottom w:val="nil"/>
              <w:right w:val="nil"/>
            </w:tcBorders>
            <w:shd w:val="clear" w:color="auto" w:fill="auto"/>
            <w:noWrap/>
            <w:vAlign w:val="center"/>
            <w:hideMark/>
          </w:tcPr>
          <w:p w14:paraId="44C8DE72" w14:textId="77777777" w:rsidR="00590CB8" w:rsidRPr="00296D0C" w:rsidRDefault="00590CB8" w:rsidP="00590CB8">
            <w:pPr>
              <w:spacing w:after="0" w:line="240" w:lineRule="auto"/>
              <w:jc w:val="center"/>
              <w:rPr>
                <w:color w:val="000000"/>
              </w:rPr>
            </w:pPr>
            <w:r w:rsidRPr="00296D0C">
              <w:rPr>
                <w:color w:val="000000"/>
              </w:rPr>
              <w:t xml:space="preserve">0.23  </w:t>
            </w:r>
          </w:p>
          <w:p w14:paraId="690A8EF5" w14:textId="77777777" w:rsidR="00590CB8" w:rsidRPr="00296D0C" w:rsidRDefault="00590CB8" w:rsidP="00590CB8">
            <w:pPr>
              <w:spacing w:after="0" w:line="240" w:lineRule="auto"/>
              <w:jc w:val="center"/>
              <w:rPr>
                <w:rFonts w:eastAsia="Times New Roman" w:cs="Times New Roman"/>
                <w:color w:val="000000"/>
              </w:rPr>
            </w:pPr>
            <w:r w:rsidRPr="00296D0C">
              <w:rPr>
                <w:color w:val="000000"/>
              </w:rPr>
              <w:t>(-0.08, 0.54)</w:t>
            </w:r>
          </w:p>
        </w:tc>
        <w:tc>
          <w:tcPr>
            <w:tcW w:w="919" w:type="dxa"/>
            <w:tcBorders>
              <w:top w:val="nil"/>
              <w:left w:val="nil"/>
              <w:bottom w:val="nil"/>
              <w:right w:val="nil"/>
            </w:tcBorders>
            <w:shd w:val="clear" w:color="auto" w:fill="auto"/>
            <w:noWrap/>
            <w:vAlign w:val="center"/>
            <w:hideMark/>
          </w:tcPr>
          <w:p w14:paraId="551B3B26" w14:textId="77777777" w:rsidR="00590CB8" w:rsidRPr="00296D0C" w:rsidRDefault="00590CB8" w:rsidP="00590CB8">
            <w:pPr>
              <w:spacing w:after="0" w:line="240" w:lineRule="auto"/>
              <w:jc w:val="center"/>
              <w:rPr>
                <w:rFonts w:eastAsia="Times New Roman" w:cs="Times New Roman"/>
                <w:color w:val="000000"/>
              </w:rPr>
            </w:pPr>
            <w:r w:rsidRPr="00296D0C">
              <w:rPr>
                <w:color w:val="000000"/>
              </w:rPr>
              <w:t>0.143</w:t>
            </w:r>
          </w:p>
        </w:tc>
        <w:tc>
          <w:tcPr>
            <w:tcW w:w="1418" w:type="dxa"/>
            <w:tcBorders>
              <w:top w:val="nil"/>
              <w:left w:val="nil"/>
              <w:bottom w:val="nil"/>
              <w:right w:val="nil"/>
            </w:tcBorders>
            <w:shd w:val="clear" w:color="auto" w:fill="auto"/>
            <w:vAlign w:val="center"/>
          </w:tcPr>
          <w:p w14:paraId="10B8FB19" w14:textId="77777777" w:rsidR="00590CB8" w:rsidRPr="00296D0C" w:rsidRDefault="00590CB8" w:rsidP="00590CB8">
            <w:pPr>
              <w:spacing w:after="0" w:line="240" w:lineRule="auto"/>
              <w:jc w:val="center"/>
              <w:rPr>
                <w:rFonts w:eastAsia="Times New Roman" w:cs="Times New Roman"/>
                <w:color w:val="000000"/>
              </w:rPr>
            </w:pPr>
            <w:r w:rsidRPr="00296D0C">
              <w:rPr>
                <w:color w:val="000000"/>
              </w:rPr>
              <w:t>1269</w:t>
            </w:r>
          </w:p>
        </w:tc>
        <w:tc>
          <w:tcPr>
            <w:tcW w:w="1701" w:type="dxa"/>
            <w:tcBorders>
              <w:top w:val="nil"/>
              <w:left w:val="nil"/>
              <w:bottom w:val="nil"/>
              <w:right w:val="nil"/>
            </w:tcBorders>
            <w:shd w:val="clear" w:color="auto" w:fill="auto"/>
            <w:vAlign w:val="center"/>
          </w:tcPr>
          <w:p w14:paraId="23859CD7" w14:textId="77777777" w:rsidR="00590CB8" w:rsidRPr="00296D0C" w:rsidRDefault="00590CB8" w:rsidP="00590CB8">
            <w:pPr>
              <w:spacing w:after="0" w:line="240" w:lineRule="auto"/>
              <w:jc w:val="center"/>
              <w:rPr>
                <w:color w:val="000000"/>
              </w:rPr>
            </w:pPr>
            <w:r w:rsidRPr="00296D0C">
              <w:rPr>
                <w:color w:val="000000"/>
              </w:rPr>
              <w:t>0.30</w:t>
            </w:r>
          </w:p>
          <w:p w14:paraId="57DEA4C4" w14:textId="77777777" w:rsidR="00590CB8" w:rsidRPr="00296D0C" w:rsidRDefault="00590CB8" w:rsidP="00590CB8">
            <w:pPr>
              <w:spacing w:after="0" w:line="240" w:lineRule="auto"/>
              <w:jc w:val="center"/>
              <w:rPr>
                <w:rFonts w:eastAsia="Times New Roman" w:cs="Times New Roman"/>
                <w:color w:val="000000"/>
              </w:rPr>
            </w:pPr>
            <w:r w:rsidRPr="00296D0C">
              <w:rPr>
                <w:color w:val="000000"/>
              </w:rPr>
              <w:t>(-0.04, 0.64)</w:t>
            </w:r>
          </w:p>
        </w:tc>
        <w:tc>
          <w:tcPr>
            <w:tcW w:w="760" w:type="dxa"/>
            <w:tcBorders>
              <w:top w:val="nil"/>
              <w:left w:val="nil"/>
              <w:bottom w:val="nil"/>
              <w:right w:val="nil"/>
            </w:tcBorders>
            <w:shd w:val="clear" w:color="auto" w:fill="auto"/>
            <w:vAlign w:val="center"/>
          </w:tcPr>
          <w:p w14:paraId="1363EA0B" w14:textId="77777777" w:rsidR="00590CB8" w:rsidRPr="00296D0C" w:rsidRDefault="00590CB8" w:rsidP="00590CB8">
            <w:pPr>
              <w:spacing w:after="0" w:line="240" w:lineRule="auto"/>
              <w:jc w:val="center"/>
              <w:rPr>
                <w:rFonts w:eastAsia="Times New Roman" w:cs="Times New Roman"/>
                <w:color w:val="000000"/>
              </w:rPr>
            </w:pPr>
            <w:r w:rsidRPr="00296D0C">
              <w:rPr>
                <w:color w:val="000000"/>
              </w:rPr>
              <w:t>0.079</w:t>
            </w:r>
          </w:p>
        </w:tc>
      </w:tr>
      <w:tr w:rsidR="00590CB8" w:rsidRPr="00296D0C" w14:paraId="0AC3ABC4" w14:textId="77777777" w:rsidTr="00590CB8">
        <w:trPr>
          <w:gridAfter w:val="4"/>
          <w:wAfter w:w="3040" w:type="dxa"/>
          <w:trHeight w:val="240"/>
        </w:trPr>
        <w:tc>
          <w:tcPr>
            <w:tcW w:w="2235" w:type="dxa"/>
            <w:shd w:val="clear" w:color="auto" w:fill="auto"/>
            <w:noWrap/>
            <w:vAlign w:val="center"/>
          </w:tcPr>
          <w:p w14:paraId="2438BD33" w14:textId="72919E6A" w:rsidR="00590CB8" w:rsidRPr="00296D0C" w:rsidRDefault="00590CB8" w:rsidP="00590CB8">
            <w:pPr>
              <w:spacing w:after="0" w:line="240" w:lineRule="auto"/>
              <w:rPr>
                <w:rFonts w:eastAsia="Times New Roman" w:cs="Times New Roman"/>
                <w:color w:val="000000"/>
              </w:rPr>
            </w:pPr>
            <w:r w:rsidRPr="00296D0C">
              <w:rPr>
                <w:color w:val="000000"/>
              </w:rPr>
              <w:t>Negative Food Markers</w:t>
            </w:r>
          </w:p>
        </w:tc>
        <w:tc>
          <w:tcPr>
            <w:tcW w:w="1417" w:type="dxa"/>
            <w:tcBorders>
              <w:top w:val="nil"/>
              <w:left w:val="nil"/>
              <w:bottom w:val="nil"/>
              <w:right w:val="nil"/>
            </w:tcBorders>
            <w:shd w:val="clear" w:color="auto" w:fill="auto"/>
            <w:noWrap/>
            <w:vAlign w:val="center"/>
          </w:tcPr>
          <w:p w14:paraId="2FBF1349" w14:textId="77777777" w:rsidR="00590CB8" w:rsidRPr="00296D0C" w:rsidRDefault="00590CB8" w:rsidP="00590CB8">
            <w:pPr>
              <w:spacing w:after="0" w:line="240" w:lineRule="auto"/>
              <w:jc w:val="center"/>
              <w:rPr>
                <w:rFonts w:eastAsia="Times New Roman" w:cs="Times New Roman"/>
                <w:color w:val="000000"/>
              </w:rPr>
            </w:pPr>
            <w:r w:rsidRPr="00296D0C">
              <w:rPr>
                <w:color w:val="000000"/>
              </w:rPr>
              <w:t>647</w:t>
            </w:r>
          </w:p>
        </w:tc>
        <w:tc>
          <w:tcPr>
            <w:tcW w:w="1310" w:type="dxa"/>
            <w:tcBorders>
              <w:top w:val="nil"/>
              <w:left w:val="nil"/>
              <w:bottom w:val="nil"/>
              <w:right w:val="nil"/>
            </w:tcBorders>
            <w:shd w:val="clear" w:color="auto" w:fill="auto"/>
            <w:noWrap/>
            <w:vAlign w:val="center"/>
          </w:tcPr>
          <w:p w14:paraId="5053B57B" w14:textId="77777777" w:rsidR="00590CB8" w:rsidRPr="00296D0C" w:rsidRDefault="00590CB8" w:rsidP="00590CB8">
            <w:pPr>
              <w:spacing w:after="0" w:line="240" w:lineRule="auto"/>
              <w:jc w:val="center"/>
              <w:rPr>
                <w:rFonts w:eastAsia="Times New Roman" w:cs="Times New Roman"/>
              </w:rPr>
            </w:pPr>
            <w:r w:rsidRPr="00296D0C">
              <w:rPr>
                <w:color w:val="000000"/>
              </w:rPr>
              <w:t>5.54  (2.94)</w:t>
            </w:r>
          </w:p>
        </w:tc>
        <w:tc>
          <w:tcPr>
            <w:tcW w:w="997" w:type="dxa"/>
            <w:tcBorders>
              <w:top w:val="nil"/>
              <w:left w:val="nil"/>
              <w:bottom w:val="nil"/>
              <w:right w:val="nil"/>
            </w:tcBorders>
            <w:shd w:val="clear" w:color="auto" w:fill="auto"/>
            <w:noWrap/>
            <w:vAlign w:val="center"/>
          </w:tcPr>
          <w:p w14:paraId="366600FB" w14:textId="77777777" w:rsidR="00590CB8" w:rsidRPr="00296D0C" w:rsidRDefault="00590CB8" w:rsidP="00590CB8">
            <w:pPr>
              <w:spacing w:after="0" w:line="240" w:lineRule="auto"/>
              <w:jc w:val="center"/>
              <w:rPr>
                <w:rFonts w:eastAsia="Times New Roman" w:cs="Times New Roman"/>
              </w:rPr>
            </w:pPr>
            <w:r w:rsidRPr="00296D0C">
              <w:rPr>
                <w:color w:val="000000"/>
              </w:rPr>
              <w:t>625</w:t>
            </w:r>
          </w:p>
        </w:tc>
        <w:tc>
          <w:tcPr>
            <w:tcW w:w="1286" w:type="dxa"/>
            <w:tcBorders>
              <w:top w:val="nil"/>
              <w:left w:val="nil"/>
              <w:bottom w:val="nil"/>
              <w:right w:val="nil"/>
            </w:tcBorders>
            <w:shd w:val="clear" w:color="auto" w:fill="auto"/>
            <w:noWrap/>
            <w:vAlign w:val="center"/>
          </w:tcPr>
          <w:p w14:paraId="02407A19" w14:textId="77777777" w:rsidR="00590CB8" w:rsidRPr="00296D0C" w:rsidRDefault="00590CB8" w:rsidP="00590CB8">
            <w:pPr>
              <w:spacing w:after="0" w:line="240" w:lineRule="auto"/>
              <w:jc w:val="center"/>
              <w:rPr>
                <w:rFonts w:eastAsia="Times New Roman" w:cs="Times New Roman"/>
              </w:rPr>
            </w:pPr>
            <w:r w:rsidRPr="00296D0C">
              <w:rPr>
                <w:color w:val="000000"/>
              </w:rPr>
              <w:t>6.21  (3.28)</w:t>
            </w:r>
          </w:p>
        </w:tc>
        <w:tc>
          <w:tcPr>
            <w:tcW w:w="1413" w:type="dxa"/>
            <w:tcBorders>
              <w:top w:val="nil"/>
              <w:left w:val="nil"/>
              <w:bottom w:val="nil"/>
              <w:right w:val="nil"/>
            </w:tcBorders>
            <w:shd w:val="clear" w:color="auto" w:fill="auto"/>
            <w:noWrap/>
            <w:vAlign w:val="center"/>
          </w:tcPr>
          <w:p w14:paraId="7E98CD8C" w14:textId="77777777" w:rsidR="00590CB8" w:rsidRPr="00296D0C" w:rsidRDefault="00590CB8" w:rsidP="00590CB8">
            <w:pPr>
              <w:spacing w:after="0" w:line="240" w:lineRule="auto"/>
              <w:jc w:val="center"/>
              <w:rPr>
                <w:rFonts w:eastAsia="Times New Roman" w:cs="Times New Roman"/>
              </w:rPr>
            </w:pPr>
            <w:r w:rsidRPr="00296D0C">
              <w:rPr>
                <w:color w:val="000000"/>
              </w:rPr>
              <w:t>1266</w:t>
            </w:r>
          </w:p>
        </w:tc>
        <w:tc>
          <w:tcPr>
            <w:tcW w:w="1871" w:type="dxa"/>
            <w:tcBorders>
              <w:top w:val="nil"/>
              <w:left w:val="nil"/>
              <w:bottom w:val="nil"/>
              <w:right w:val="nil"/>
            </w:tcBorders>
            <w:shd w:val="clear" w:color="auto" w:fill="auto"/>
            <w:noWrap/>
            <w:vAlign w:val="center"/>
          </w:tcPr>
          <w:p w14:paraId="4712641B" w14:textId="3882E67D" w:rsidR="00590CB8" w:rsidRPr="00296D0C" w:rsidRDefault="00590CB8" w:rsidP="00590CB8">
            <w:pPr>
              <w:spacing w:after="0" w:line="240" w:lineRule="auto"/>
              <w:jc w:val="center"/>
              <w:rPr>
                <w:color w:val="000000"/>
              </w:rPr>
            </w:pPr>
            <w:r w:rsidRPr="00296D0C">
              <w:rPr>
                <w:color w:val="000000"/>
              </w:rPr>
              <w:t>-0.6</w:t>
            </w:r>
            <w:r w:rsidR="004431B4" w:rsidRPr="00296D0C">
              <w:rPr>
                <w:color w:val="000000"/>
              </w:rPr>
              <w:t>4</w:t>
            </w:r>
            <w:r w:rsidRPr="00296D0C">
              <w:rPr>
                <w:color w:val="000000"/>
              </w:rPr>
              <w:t xml:space="preserve"> </w:t>
            </w:r>
          </w:p>
          <w:p w14:paraId="27972E1C" w14:textId="77777777" w:rsidR="00590CB8" w:rsidRPr="00296D0C" w:rsidRDefault="00590CB8" w:rsidP="00590CB8">
            <w:pPr>
              <w:spacing w:after="0" w:line="240" w:lineRule="auto"/>
              <w:jc w:val="center"/>
              <w:rPr>
                <w:rFonts w:eastAsia="Times New Roman" w:cs="Times New Roman"/>
              </w:rPr>
            </w:pPr>
            <w:r w:rsidRPr="00296D0C">
              <w:rPr>
                <w:color w:val="000000"/>
              </w:rPr>
              <w:t>(-1.17, -0.11)</w:t>
            </w:r>
          </w:p>
        </w:tc>
        <w:tc>
          <w:tcPr>
            <w:tcW w:w="919" w:type="dxa"/>
            <w:tcBorders>
              <w:top w:val="nil"/>
              <w:left w:val="nil"/>
              <w:bottom w:val="nil"/>
              <w:right w:val="nil"/>
            </w:tcBorders>
            <w:shd w:val="clear" w:color="auto" w:fill="auto"/>
            <w:noWrap/>
            <w:vAlign w:val="center"/>
          </w:tcPr>
          <w:p w14:paraId="6DD0BAE4" w14:textId="77777777" w:rsidR="00590CB8" w:rsidRPr="00296D0C" w:rsidRDefault="00590CB8" w:rsidP="00590CB8">
            <w:pPr>
              <w:spacing w:after="0" w:line="240" w:lineRule="auto"/>
              <w:jc w:val="center"/>
              <w:rPr>
                <w:rFonts w:eastAsia="Times New Roman" w:cs="Times New Roman"/>
              </w:rPr>
            </w:pPr>
            <w:r w:rsidRPr="00296D0C">
              <w:rPr>
                <w:color w:val="000000"/>
              </w:rPr>
              <w:t>0.020</w:t>
            </w:r>
          </w:p>
        </w:tc>
        <w:tc>
          <w:tcPr>
            <w:tcW w:w="1418" w:type="dxa"/>
            <w:tcBorders>
              <w:top w:val="nil"/>
              <w:left w:val="nil"/>
              <w:bottom w:val="nil"/>
              <w:right w:val="nil"/>
            </w:tcBorders>
            <w:shd w:val="clear" w:color="auto" w:fill="auto"/>
            <w:vAlign w:val="center"/>
          </w:tcPr>
          <w:p w14:paraId="7B9EAB0B" w14:textId="77777777" w:rsidR="00590CB8" w:rsidRPr="00296D0C" w:rsidRDefault="00590CB8" w:rsidP="00590CB8">
            <w:pPr>
              <w:spacing w:after="0" w:line="240" w:lineRule="auto"/>
              <w:jc w:val="center"/>
              <w:rPr>
                <w:rFonts w:eastAsia="Times New Roman" w:cs="Times New Roman"/>
                <w:color w:val="000000"/>
              </w:rPr>
            </w:pPr>
            <w:r w:rsidRPr="00296D0C">
              <w:rPr>
                <w:color w:val="000000"/>
              </w:rPr>
              <w:t>1272</w:t>
            </w:r>
          </w:p>
        </w:tc>
        <w:tc>
          <w:tcPr>
            <w:tcW w:w="1701" w:type="dxa"/>
            <w:tcBorders>
              <w:top w:val="nil"/>
              <w:left w:val="nil"/>
              <w:bottom w:val="nil"/>
              <w:right w:val="nil"/>
            </w:tcBorders>
            <w:shd w:val="clear" w:color="auto" w:fill="auto"/>
            <w:vAlign w:val="center"/>
          </w:tcPr>
          <w:p w14:paraId="1114CCB2" w14:textId="77777777" w:rsidR="00590CB8" w:rsidRPr="00296D0C" w:rsidRDefault="00590CB8" w:rsidP="00590CB8">
            <w:pPr>
              <w:spacing w:after="0" w:line="240" w:lineRule="auto"/>
              <w:jc w:val="center"/>
              <w:rPr>
                <w:color w:val="000000"/>
              </w:rPr>
            </w:pPr>
            <w:r w:rsidRPr="00296D0C">
              <w:rPr>
                <w:color w:val="000000"/>
              </w:rPr>
              <w:t>-0.61</w:t>
            </w:r>
          </w:p>
          <w:p w14:paraId="65FD7A57" w14:textId="55337E8A" w:rsidR="00590CB8" w:rsidRPr="00296D0C" w:rsidRDefault="00590CB8" w:rsidP="004734BC">
            <w:pPr>
              <w:spacing w:after="0" w:line="240" w:lineRule="auto"/>
              <w:jc w:val="center"/>
              <w:rPr>
                <w:rFonts w:eastAsia="Times New Roman" w:cs="Times New Roman"/>
                <w:color w:val="000000"/>
              </w:rPr>
            </w:pPr>
            <w:r w:rsidRPr="00296D0C">
              <w:rPr>
                <w:color w:val="000000"/>
              </w:rPr>
              <w:t>(-1.25, 0.03)</w:t>
            </w:r>
          </w:p>
        </w:tc>
        <w:tc>
          <w:tcPr>
            <w:tcW w:w="760" w:type="dxa"/>
            <w:tcBorders>
              <w:top w:val="nil"/>
              <w:left w:val="nil"/>
              <w:bottom w:val="nil"/>
              <w:right w:val="nil"/>
            </w:tcBorders>
            <w:shd w:val="clear" w:color="auto" w:fill="auto"/>
            <w:vAlign w:val="center"/>
          </w:tcPr>
          <w:p w14:paraId="484B45DB" w14:textId="77777777" w:rsidR="00590CB8" w:rsidRPr="00296D0C" w:rsidRDefault="00590CB8" w:rsidP="00590CB8">
            <w:pPr>
              <w:spacing w:after="0" w:line="240" w:lineRule="auto"/>
              <w:jc w:val="center"/>
              <w:rPr>
                <w:rFonts w:eastAsia="Times New Roman" w:cs="Times New Roman"/>
                <w:color w:val="000000"/>
              </w:rPr>
            </w:pPr>
            <w:r w:rsidRPr="00296D0C">
              <w:rPr>
                <w:color w:val="000000"/>
              </w:rPr>
              <w:t>0.061</w:t>
            </w:r>
          </w:p>
        </w:tc>
      </w:tr>
      <w:tr w:rsidR="00590CB8" w:rsidRPr="00296D0C" w14:paraId="48823C65" w14:textId="77777777" w:rsidTr="00590CB8">
        <w:trPr>
          <w:gridAfter w:val="4"/>
          <w:wAfter w:w="3040" w:type="dxa"/>
          <w:trHeight w:val="240"/>
        </w:trPr>
        <w:tc>
          <w:tcPr>
            <w:tcW w:w="2235" w:type="dxa"/>
            <w:shd w:val="clear" w:color="auto" w:fill="auto"/>
            <w:noWrap/>
            <w:vAlign w:val="center"/>
            <w:hideMark/>
          </w:tcPr>
          <w:p w14:paraId="0FA14371" w14:textId="1CA74E38" w:rsidR="00590CB8" w:rsidRPr="00296D0C" w:rsidRDefault="00590CB8" w:rsidP="00590CB8">
            <w:pPr>
              <w:spacing w:after="0" w:line="240" w:lineRule="auto"/>
              <w:rPr>
                <w:rFonts w:eastAsia="Times New Roman" w:cs="Times New Roman"/>
                <w:color w:val="000000"/>
              </w:rPr>
            </w:pPr>
            <w:r w:rsidRPr="00296D0C">
              <w:rPr>
                <w:color w:val="000000"/>
              </w:rPr>
              <w:t>Positive Food Markers</w:t>
            </w:r>
          </w:p>
        </w:tc>
        <w:tc>
          <w:tcPr>
            <w:tcW w:w="1417" w:type="dxa"/>
            <w:tcBorders>
              <w:top w:val="nil"/>
              <w:left w:val="nil"/>
              <w:bottom w:val="nil"/>
              <w:right w:val="nil"/>
            </w:tcBorders>
            <w:shd w:val="clear" w:color="auto" w:fill="auto"/>
            <w:noWrap/>
            <w:vAlign w:val="center"/>
            <w:hideMark/>
          </w:tcPr>
          <w:p w14:paraId="38A4F33C" w14:textId="77777777" w:rsidR="00590CB8" w:rsidRPr="00296D0C" w:rsidRDefault="00590CB8" w:rsidP="00590CB8">
            <w:pPr>
              <w:spacing w:after="0" w:line="240" w:lineRule="auto"/>
              <w:jc w:val="center"/>
              <w:rPr>
                <w:rFonts w:eastAsia="Times New Roman" w:cs="Times New Roman"/>
                <w:color w:val="000000"/>
              </w:rPr>
            </w:pPr>
            <w:r w:rsidRPr="00296D0C">
              <w:rPr>
                <w:color w:val="000000"/>
              </w:rPr>
              <w:t>647</w:t>
            </w:r>
          </w:p>
        </w:tc>
        <w:tc>
          <w:tcPr>
            <w:tcW w:w="1310" w:type="dxa"/>
            <w:tcBorders>
              <w:top w:val="nil"/>
              <w:left w:val="nil"/>
              <w:bottom w:val="nil"/>
              <w:right w:val="nil"/>
            </w:tcBorders>
            <w:shd w:val="clear" w:color="auto" w:fill="auto"/>
            <w:noWrap/>
            <w:vAlign w:val="center"/>
            <w:hideMark/>
          </w:tcPr>
          <w:p w14:paraId="2B140C94" w14:textId="25F0C517" w:rsidR="00590CB8" w:rsidRPr="00296D0C" w:rsidRDefault="00590CB8" w:rsidP="004431B4">
            <w:pPr>
              <w:spacing w:after="0" w:line="240" w:lineRule="auto"/>
              <w:jc w:val="center"/>
              <w:rPr>
                <w:rFonts w:eastAsia="Times New Roman" w:cs="Times New Roman"/>
                <w:color w:val="000000"/>
              </w:rPr>
            </w:pPr>
            <w:r w:rsidRPr="00296D0C">
              <w:rPr>
                <w:color w:val="000000"/>
              </w:rPr>
              <w:t>6.28  (2.5</w:t>
            </w:r>
            <w:r w:rsidR="004431B4" w:rsidRPr="00296D0C">
              <w:rPr>
                <w:color w:val="000000"/>
              </w:rPr>
              <w:t>5</w:t>
            </w:r>
            <w:r w:rsidRPr="00296D0C">
              <w:rPr>
                <w:color w:val="000000"/>
              </w:rPr>
              <w:t>)</w:t>
            </w:r>
          </w:p>
        </w:tc>
        <w:tc>
          <w:tcPr>
            <w:tcW w:w="997" w:type="dxa"/>
            <w:tcBorders>
              <w:top w:val="nil"/>
              <w:left w:val="nil"/>
              <w:bottom w:val="nil"/>
              <w:right w:val="nil"/>
            </w:tcBorders>
            <w:shd w:val="clear" w:color="auto" w:fill="auto"/>
            <w:noWrap/>
            <w:vAlign w:val="center"/>
            <w:hideMark/>
          </w:tcPr>
          <w:p w14:paraId="3B33640E" w14:textId="77777777" w:rsidR="00590CB8" w:rsidRPr="00296D0C" w:rsidRDefault="00590CB8" w:rsidP="00590CB8">
            <w:pPr>
              <w:spacing w:after="0" w:line="240" w:lineRule="auto"/>
              <w:jc w:val="center"/>
              <w:rPr>
                <w:rFonts w:eastAsia="Times New Roman" w:cs="Times New Roman"/>
                <w:color w:val="000000"/>
              </w:rPr>
            </w:pPr>
            <w:r w:rsidRPr="00296D0C">
              <w:rPr>
                <w:color w:val="000000"/>
              </w:rPr>
              <w:t>625</w:t>
            </w:r>
          </w:p>
        </w:tc>
        <w:tc>
          <w:tcPr>
            <w:tcW w:w="1286" w:type="dxa"/>
            <w:tcBorders>
              <w:top w:val="nil"/>
              <w:left w:val="nil"/>
              <w:bottom w:val="nil"/>
              <w:right w:val="nil"/>
            </w:tcBorders>
            <w:shd w:val="clear" w:color="auto" w:fill="auto"/>
            <w:noWrap/>
            <w:vAlign w:val="center"/>
            <w:hideMark/>
          </w:tcPr>
          <w:p w14:paraId="3D924234" w14:textId="77777777" w:rsidR="00590CB8" w:rsidRPr="00296D0C" w:rsidRDefault="00590CB8" w:rsidP="00590CB8">
            <w:pPr>
              <w:spacing w:after="0" w:line="240" w:lineRule="auto"/>
              <w:jc w:val="center"/>
              <w:rPr>
                <w:rFonts w:eastAsia="Times New Roman" w:cs="Times New Roman"/>
                <w:color w:val="000000"/>
              </w:rPr>
            </w:pPr>
            <w:r w:rsidRPr="00296D0C">
              <w:rPr>
                <w:color w:val="000000"/>
              </w:rPr>
              <w:t>5.87  (2.52)</w:t>
            </w:r>
          </w:p>
        </w:tc>
        <w:tc>
          <w:tcPr>
            <w:tcW w:w="1413" w:type="dxa"/>
            <w:tcBorders>
              <w:top w:val="nil"/>
              <w:left w:val="nil"/>
              <w:bottom w:val="nil"/>
              <w:right w:val="nil"/>
            </w:tcBorders>
            <w:shd w:val="clear" w:color="auto" w:fill="auto"/>
            <w:noWrap/>
            <w:vAlign w:val="center"/>
            <w:hideMark/>
          </w:tcPr>
          <w:p w14:paraId="2F02ABEB" w14:textId="77777777" w:rsidR="00590CB8" w:rsidRPr="00296D0C" w:rsidRDefault="00590CB8" w:rsidP="00590CB8">
            <w:pPr>
              <w:spacing w:after="0" w:line="240" w:lineRule="auto"/>
              <w:jc w:val="center"/>
              <w:rPr>
                <w:rFonts w:eastAsia="Times New Roman" w:cs="Times New Roman"/>
                <w:color w:val="000000"/>
              </w:rPr>
            </w:pPr>
            <w:r w:rsidRPr="00296D0C">
              <w:rPr>
                <w:color w:val="000000"/>
              </w:rPr>
              <w:t>1266</w:t>
            </w:r>
          </w:p>
        </w:tc>
        <w:tc>
          <w:tcPr>
            <w:tcW w:w="1871" w:type="dxa"/>
            <w:tcBorders>
              <w:top w:val="nil"/>
              <w:left w:val="nil"/>
              <w:bottom w:val="nil"/>
              <w:right w:val="nil"/>
            </w:tcBorders>
            <w:shd w:val="clear" w:color="auto" w:fill="auto"/>
            <w:noWrap/>
            <w:vAlign w:val="center"/>
            <w:hideMark/>
          </w:tcPr>
          <w:p w14:paraId="148A26D9" w14:textId="77777777" w:rsidR="00590CB8" w:rsidRPr="00296D0C" w:rsidRDefault="00590CB8" w:rsidP="00590CB8">
            <w:pPr>
              <w:spacing w:after="0" w:line="240" w:lineRule="auto"/>
              <w:jc w:val="center"/>
              <w:rPr>
                <w:color w:val="000000"/>
              </w:rPr>
            </w:pPr>
            <w:r w:rsidRPr="00296D0C">
              <w:rPr>
                <w:color w:val="000000"/>
              </w:rPr>
              <w:t xml:space="preserve">0.27  </w:t>
            </w:r>
          </w:p>
          <w:p w14:paraId="13010975" w14:textId="77777777" w:rsidR="00590CB8" w:rsidRPr="00296D0C" w:rsidRDefault="00590CB8" w:rsidP="00590CB8">
            <w:pPr>
              <w:spacing w:after="0" w:line="240" w:lineRule="auto"/>
              <w:jc w:val="center"/>
              <w:rPr>
                <w:rFonts w:eastAsia="Times New Roman" w:cs="Times New Roman"/>
                <w:color w:val="000000"/>
              </w:rPr>
            </w:pPr>
            <w:r w:rsidRPr="00296D0C">
              <w:rPr>
                <w:color w:val="000000"/>
              </w:rPr>
              <w:t>(-0.18, 0.73)</w:t>
            </w:r>
          </w:p>
        </w:tc>
        <w:tc>
          <w:tcPr>
            <w:tcW w:w="919" w:type="dxa"/>
            <w:tcBorders>
              <w:top w:val="nil"/>
              <w:left w:val="nil"/>
              <w:bottom w:val="nil"/>
              <w:right w:val="nil"/>
            </w:tcBorders>
            <w:shd w:val="clear" w:color="auto" w:fill="auto"/>
            <w:noWrap/>
            <w:vAlign w:val="center"/>
            <w:hideMark/>
          </w:tcPr>
          <w:p w14:paraId="29D490F1" w14:textId="77777777" w:rsidR="00590CB8" w:rsidRPr="00296D0C" w:rsidRDefault="00590CB8" w:rsidP="00590CB8">
            <w:pPr>
              <w:spacing w:after="0" w:line="240" w:lineRule="auto"/>
              <w:jc w:val="center"/>
              <w:rPr>
                <w:rFonts w:eastAsia="Times New Roman" w:cs="Times New Roman"/>
                <w:color w:val="000000"/>
              </w:rPr>
            </w:pPr>
            <w:r w:rsidRPr="00296D0C">
              <w:rPr>
                <w:color w:val="000000"/>
              </w:rPr>
              <w:t>0.231</w:t>
            </w:r>
          </w:p>
        </w:tc>
        <w:tc>
          <w:tcPr>
            <w:tcW w:w="1418" w:type="dxa"/>
            <w:tcBorders>
              <w:top w:val="nil"/>
              <w:left w:val="nil"/>
              <w:bottom w:val="nil"/>
              <w:right w:val="nil"/>
            </w:tcBorders>
            <w:shd w:val="clear" w:color="auto" w:fill="auto"/>
            <w:vAlign w:val="center"/>
          </w:tcPr>
          <w:p w14:paraId="5AC9334F" w14:textId="77777777" w:rsidR="00590CB8" w:rsidRPr="00296D0C" w:rsidRDefault="00590CB8" w:rsidP="00590CB8">
            <w:pPr>
              <w:spacing w:after="0" w:line="240" w:lineRule="auto"/>
              <w:jc w:val="center"/>
              <w:rPr>
                <w:rFonts w:eastAsia="Times New Roman" w:cs="Times New Roman"/>
                <w:color w:val="000000"/>
              </w:rPr>
            </w:pPr>
            <w:r w:rsidRPr="00296D0C">
              <w:rPr>
                <w:color w:val="000000"/>
              </w:rPr>
              <w:t>1272</w:t>
            </w:r>
          </w:p>
        </w:tc>
        <w:tc>
          <w:tcPr>
            <w:tcW w:w="1701" w:type="dxa"/>
            <w:tcBorders>
              <w:top w:val="nil"/>
              <w:left w:val="nil"/>
              <w:bottom w:val="nil"/>
              <w:right w:val="nil"/>
            </w:tcBorders>
            <w:shd w:val="clear" w:color="auto" w:fill="auto"/>
            <w:vAlign w:val="center"/>
          </w:tcPr>
          <w:p w14:paraId="73C23BA8" w14:textId="77777777" w:rsidR="00590CB8" w:rsidRPr="00296D0C" w:rsidRDefault="00590CB8" w:rsidP="00590CB8">
            <w:pPr>
              <w:spacing w:after="0" w:line="240" w:lineRule="auto"/>
              <w:jc w:val="center"/>
              <w:rPr>
                <w:color w:val="000000"/>
              </w:rPr>
            </w:pPr>
            <w:r w:rsidRPr="00296D0C">
              <w:rPr>
                <w:color w:val="000000"/>
              </w:rPr>
              <w:t>0.39</w:t>
            </w:r>
          </w:p>
          <w:p w14:paraId="7D7793B0" w14:textId="77777777" w:rsidR="00590CB8" w:rsidRPr="00296D0C" w:rsidRDefault="00590CB8" w:rsidP="00590CB8">
            <w:pPr>
              <w:spacing w:after="0" w:line="240" w:lineRule="auto"/>
              <w:jc w:val="center"/>
              <w:rPr>
                <w:rFonts w:eastAsia="Times New Roman" w:cs="Times New Roman"/>
                <w:color w:val="000000"/>
              </w:rPr>
            </w:pPr>
            <w:r w:rsidRPr="00296D0C">
              <w:rPr>
                <w:color w:val="000000"/>
              </w:rPr>
              <w:t>(-0.09, 0.86)</w:t>
            </w:r>
          </w:p>
        </w:tc>
        <w:tc>
          <w:tcPr>
            <w:tcW w:w="760" w:type="dxa"/>
            <w:tcBorders>
              <w:top w:val="nil"/>
              <w:left w:val="nil"/>
              <w:bottom w:val="nil"/>
              <w:right w:val="nil"/>
            </w:tcBorders>
            <w:shd w:val="clear" w:color="auto" w:fill="auto"/>
            <w:vAlign w:val="center"/>
          </w:tcPr>
          <w:p w14:paraId="6F69CA49" w14:textId="77777777" w:rsidR="00590CB8" w:rsidRPr="00296D0C" w:rsidRDefault="00590CB8" w:rsidP="00590CB8">
            <w:pPr>
              <w:spacing w:after="0" w:line="240" w:lineRule="auto"/>
              <w:jc w:val="center"/>
              <w:rPr>
                <w:rFonts w:eastAsia="Times New Roman" w:cs="Times New Roman"/>
                <w:color w:val="000000"/>
              </w:rPr>
            </w:pPr>
            <w:r w:rsidRPr="00296D0C">
              <w:rPr>
                <w:color w:val="000000"/>
              </w:rPr>
              <w:t>0.104</w:t>
            </w:r>
          </w:p>
        </w:tc>
      </w:tr>
      <w:tr w:rsidR="00590CB8" w:rsidRPr="00296D0C" w14:paraId="67C97B48" w14:textId="77777777" w:rsidTr="00590CB8">
        <w:trPr>
          <w:gridAfter w:val="4"/>
          <w:wAfter w:w="3040" w:type="dxa"/>
          <w:trHeight w:val="240"/>
        </w:trPr>
        <w:tc>
          <w:tcPr>
            <w:tcW w:w="2235" w:type="dxa"/>
            <w:shd w:val="clear" w:color="auto" w:fill="00CCFF"/>
            <w:noWrap/>
            <w:vAlign w:val="center"/>
            <w:hideMark/>
          </w:tcPr>
          <w:p w14:paraId="4753BB7E" w14:textId="77777777" w:rsidR="00590CB8" w:rsidRPr="00296D0C" w:rsidRDefault="00590CB8" w:rsidP="00590CB8">
            <w:pPr>
              <w:spacing w:after="0" w:line="240" w:lineRule="auto"/>
              <w:rPr>
                <w:rFonts w:eastAsia="Times New Roman" w:cs="Times New Roman"/>
                <w:color w:val="000000"/>
              </w:rPr>
            </w:pPr>
            <w:r w:rsidRPr="00296D0C">
              <w:t>Weekend FIQ</w:t>
            </w:r>
          </w:p>
        </w:tc>
        <w:tc>
          <w:tcPr>
            <w:tcW w:w="1417" w:type="dxa"/>
            <w:shd w:val="clear" w:color="auto" w:fill="00CCFF"/>
            <w:noWrap/>
            <w:vAlign w:val="center"/>
            <w:hideMark/>
          </w:tcPr>
          <w:p w14:paraId="724CB194" w14:textId="77777777" w:rsidR="00590CB8" w:rsidRPr="00296D0C" w:rsidRDefault="00590CB8" w:rsidP="00590CB8">
            <w:pPr>
              <w:spacing w:after="0" w:line="240" w:lineRule="auto"/>
              <w:jc w:val="center"/>
              <w:rPr>
                <w:rFonts w:eastAsia="Times New Roman" w:cs="Times New Roman"/>
                <w:color w:val="000000"/>
              </w:rPr>
            </w:pPr>
            <w:r w:rsidRPr="00296D0C">
              <w:rPr>
                <w:rFonts w:eastAsia="Times New Roman" w:cs="Times New Roman"/>
                <w:color w:val="000000"/>
              </w:rPr>
              <w:t>n</w:t>
            </w:r>
          </w:p>
        </w:tc>
        <w:tc>
          <w:tcPr>
            <w:tcW w:w="1310" w:type="dxa"/>
            <w:shd w:val="clear" w:color="auto" w:fill="00CCFF"/>
            <w:noWrap/>
            <w:vAlign w:val="center"/>
            <w:hideMark/>
          </w:tcPr>
          <w:p w14:paraId="03456EAF" w14:textId="77777777" w:rsidR="00590CB8" w:rsidRPr="00296D0C" w:rsidRDefault="00590CB8" w:rsidP="00590CB8">
            <w:pPr>
              <w:spacing w:after="0" w:line="240" w:lineRule="auto"/>
              <w:jc w:val="center"/>
              <w:rPr>
                <w:rFonts w:eastAsia="Times New Roman" w:cs="Times New Roman"/>
                <w:color w:val="000000"/>
              </w:rPr>
            </w:pPr>
            <w:r w:rsidRPr="00296D0C">
              <w:rPr>
                <w:rFonts w:eastAsia="Times New Roman" w:cs="Times New Roman"/>
                <w:color w:val="000000"/>
              </w:rPr>
              <w:t xml:space="preserve">Mean </w:t>
            </w:r>
          </w:p>
          <w:p w14:paraId="19B3E30D" w14:textId="77777777" w:rsidR="00590CB8" w:rsidRPr="00296D0C" w:rsidRDefault="00590CB8" w:rsidP="00590CB8">
            <w:pPr>
              <w:spacing w:after="0" w:line="240" w:lineRule="auto"/>
              <w:jc w:val="center"/>
              <w:rPr>
                <w:rFonts w:eastAsia="Times New Roman" w:cs="Times New Roman"/>
                <w:color w:val="000000"/>
              </w:rPr>
            </w:pPr>
            <w:r w:rsidRPr="00296D0C">
              <w:rPr>
                <w:rFonts w:eastAsia="Times New Roman" w:cs="Times New Roman"/>
                <w:color w:val="000000"/>
              </w:rPr>
              <w:t>(SD)</w:t>
            </w:r>
          </w:p>
        </w:tc>
        <w:tc>
          <w:tcPr>
            <w:tcW w:w="997" w:type="dxa"/>
            <w:shd w:val="clear" w:color="auto" w:fill="00CCFF"/>
            <w:noWrap/>
            <w:vAlign w:val="center"/>
            <w:hideMark/>
          </w:tcPr>
          <w:p w14:paraId="251A3B66" w14:textId="338A564A" w:rsidR="00590CB8" w:rsidRPr="00296D0C" w:rsidRDefault="004734BC" w:rsidP="004734BC">
            <w:pPr>
              <w:spacing w:after="0" w:line="240" w:lineRule="auto"/>
              <w:jc w:val="center"/>
              <w:rPr>
                <w:rFonts w:eastAsia="Times New Roman" w:cs="Times New Roman"/>
                <w:color w:val="000000"/>
              </w:rPr>
            </w:pPr>
            <w:r>
              <w:rPr>
                <w:rFonts w:eastAsia="Times New Roman" w:cs="Times New Roman"/>
                <w:color w:val="000000"/>
              </w:rPr>
              <w:t>n</w:t>
            </w:r>
          </w:p>
        </w:tc>
        <w:tc>
          <w:tcPr>
            <w:tcW w:w="1286" w:type="dxa"/>
            <w:shd w:val="clear" w:color="auto" w:fill="00CCFF"/>
            <w:noWrap/>
            <w:vAlign w:val="center"/>
            <w:hideMark/>
          </w:tcPr>
          <w:p w14:paraId="7A658215" w14:textId="77777777" w:rsidR="00590CB8" w:rsidRPr="00296D0C" w:rsidRDefault="00590CB8" w:rsidP="00590CB8">
            <w:pPr>
              <w:spacing w:after="0" w:line="240" w:lineRule="auto"/>
              <w:jc w:val="center"/>
              <w:rPr>
                <w:rFonts w:eastAsia="Times New Roman" w:cs="Times New Roman"/>
                <w:color w:val="000000"/>
              </w:rPr>
            </w:pPr>
            <w:r w:rsidRPr="00296D0C">
              <w:rPr>
                <w:rFonts w:eastAsia="Times New Roman" w:cs="Times New Roman"/>
                <w:color w:val="000000"/>
              </w:rPr>
              <w:t>Mean (SD)</w:t>
            </w:r>
          </w:p>
        </w:tc>
        <w:tc>
          <w:tcPr>
            <w:tcW w:w="1413" w:type="dxa"/>
            <w:shd w:val="clear" w:color="auto" w:fill="00CCFF"/>
            <w:noWrap/>
            <w:vAlign w:val="center"/>
            <w:hideMark/>
          </w:tcPr>
          <w:p w14:paraId="233C4B27" w14:textId="77777777" w:rsidR="00590CB8" w:rsidRPr="00296D0C" w:rsidRDefault="00590CB8" w:rsidP="00590CB8">
            <w:pPr>
              <w:spacing w:after="0" w:line="240" w:lineRule="auto"/>
              <w:jc w:val="center"/>
              <w:rPr>
                <w:rFonts w:eastAsia="Times New Roman" w:cs="Times New Roman"/>
                <w:color w:val="000000"/>
              </w:rPr>
            </w:pPr>
            <w:r w:rsidRPr="00296D0C">
              <w:rPr>
                <w:rFonts w:eastAsia="Times New Roman" w:cs="Times New Roman"/>
                <w:color w:val="000000"/>
              </w:rPr>
              <w:t>Total</w:t>
            </w:r>
          </w:p>
          <w:p w14:paraId="5B1BE3D1" w14:textId="77777777" w:rsidR="00590CB8" w:rsidRPr="00296D0C" w:rsidRDefault="00590CB8" w:rsidP="00590CB8">
            <w:pPr>
              <w:spacing w:after="0" w:line="240" w:lineRule="auto"/>
              <w:jc w:val="center"/>
              <w:rPr>
                <w:rFonts w:eastAsia="Times New Roman" w:cs="Times New Roman"/>
                <w:color w:val="000000"/>
              </w:rPr>
            </w:pPr>
            <w:r w:rsidRPr="00296D0C">
              <w:rPr>
                <w:rFonts w:eastAsia="Times New Roman" w:cs="Times New Roman"/>
                <w:color w:val="000000"/>
              </w:rPr>
              <w:t>n in analysis</w:t>
            </w:r>
          </w:p>
        </w:tc>
        <w:tc>
          <w:tcPr>
            <w:tcW w:w="1871" w:type="dxa"/>
            <w:shd w:val="clear" w:color="auto" w:fill="00CCFF"/>
            <w:noWrap/>
            <w:vAlign w:val="center"/>
            <w:hideMark/>
          </w:tcPr>
          <w:p w14:paraId="57FFC229" w14:textId="77777777" w:rsidR="00590CB8" w:rsidRPr="00296D0C" w:rsidRDefault="00590CB8" w:rsidP="00590CB8">
            <w:pPr>
              <w:spacing w:after="0" w:line="240" w:lineRule="auto"/>
              <w:jc w:val="center"/>
              <w:rPr>
                <w:rFonts w:eastAsia="Times New Roman" w:cs="Times New Roman"/>
                <w:color w:val="000000"/>
              </w:rPr>
            </w:pPr>
            <w:r w:rsidRPr="00296D0C">
              <w:rPr>
                <w:rFonts w:eastAsia="Times New Roman" w:cs="Times New Roman"/>
                <w:color w:val="000000"/>
              </w:rPr>
              <w:t>Mean difference</w:t>
            </w:r>
          </w:p>
          <w:p w14:paraId="09C874B1" w14:textId="77777777" w:rsidR="00590CB8" w:rsidRPr="00296D0C" w:rsidRDefault="00590CB8" w:rsidP="00590CB8">
            <w:pPr>
              <w:spacing w:after="0" w:line="240" w:lineRule="auto"/>
              <w:jc w:val="center"/>
              <w:rPr>
                <w:rFonts w:eastAsia="Times New Roman" w:cs="Times New Roman"/>
                <w:color w:val="000000"/>
              </w:rPr>
            </w:pPr>
            <w:r w:rsidRPr="00296D0C">
              <w:rPr>
                <w:rFonts w:eastAsia="Times New Roman" w:cs="Times New Roman"/>
                <w:color w:val="000000"/>
              </w:rPr>
              <w:t xml:space="preserve"> (95% CI)</w:t>
            </w:r>
          </w:p>
        </w:tc>
        <w:tc>
          <w:tcPr>
            <w:tcW w:w="919" w:type="dxa"/>
            <w:shd w:val="clear" w:color="auto" w:fill="00CCFF"/>
            <w:noWrap/>
            <w:vAlign w:val="center"/>
            <w:hideMark/>
          </w:tcPr>
          <w:p w14:paraId="6A315CF3" w14:textId="77777777" w:rsidR="00590CB8" w:rsidRPr="00296D0C" w:rsidRDefault="00590CB8" w:rsidP="00590CB8">
            <w:pPr>
              <w:spacing w:after="0" w:line="240" w:lineRule="auto"/>
              <w:jc w:val="center"/>
              <w:rPr>
                <w:rFonts w:eastAsia="Times New Roman" w:cs="Times New Roman"/>
                <w:color w:val="000000"/>
              </w:rPr>
            </w:pPr>
            <w:r w:rsidRPr="00296D0C">
              <w:rPr>
                <w:rFonts w:eastAsia="Times New Roman" w:cs="Times New Roman"/>
                <w:color w:val="000000"/>
              </w:rPr>
              <w:t>p-value</w:t>
            </w:r>
          </w:p>
        </w:tc>
        <w:tc>
          <w:tcPr>
            <w:tcW w:w="1418" w:type="dxa"/>
            <w:shd w:val="clear" w:color="auto" w:fill="00CCFF"/>
            <w:vAlign w:val="center"/>
          </w:tcPr>
          <w:p w14:paraId="02C7CE64" w14:textId="77777777" w:rsidR="00590CB8" w:rsidRPr="00296D0C" w:rsidRDefault="00590CB8" w:rsidP="00590CB8">
            <w:pPr>
              <w:spacing w:after="0" w:line="240" w:lineRule="auto"/>
              <w:jc w:val="center"/>
              <w:rPr>
                <w:rFonts w:eastAsia="Times New Roman" w:cs="Times New Roman"/>
                <w:color w:val="000000"/>
              </w:rPr>
            </w:pPr>
            <w:r w:rsidRPr="00296D0C">
              <w:rPr>
                <w:rFonts w:eastAsia="Times New Roman" w:cs="Times New Roman"/>
                <w:color w:val="000000"/>
              </w:rPr>
              <w:t>Total</w:t>
            </w:r>
          </w:p>
          <w:p w14:paraId="46458C53" w14:textId="77777777" w:rsidR="00590CB8" w:rsidRPr="00296D0C" w:rsidRDefault="00590CB8" w:rsidP="00590CB8">
            <w:pPr>
              <w:spacing w:after="0" w:line="240" w:lineRule="auto"/>
              <w:jc w:val="center"/>
              <w:rPr>
                <w:rFonts w:eastAsia="Times New Roman" w:cs="Times New Roman"/>
                <w:color w:val="000000"/>
              </w:rPr>
            </w:pPr>
            <w:r w:rsidRPr="00296D0C">
              <w:rPr>
                <w:rFonts w:eastAsia="Times New Roman" w:cs="Times New Roman"/>
                <w:color w:val="000000"/>
              </w:rPr>
              <w:t>n in analysis</w:t>
            </w:r>
          </w:p>
        </w:tc>
        <w:tc>
          <w:tcPr>
            <w:tcW w:w="1701" w:type="dxa"/>
            <w:shd w:val="clear" w:color="auto" w:fill="00CCFF"/>
            <w:vAlign w:val="center"/>
          </w:tcPr>
          <w:p w14:paraId="75251641" w14:textId="77777777" w:rsidR="00590CB8" w:rsidRPr="00296D0C" w:rsidRDefault="00590CB8" w:rsidP="00590CB8">
            <w:pPr>
              <w:spacing w:after="0" w:line="240" w:lineRule="auto"/>
              <w:jc w:val="center"/>
              <w:rPr>
                <w:rFonts w:eastAsia="Times New Roman" w:cs="Times New Roman"/>
                <w:color w:val="000000"/>
              </w:rPr>
            </w:pPr>
            <w:r w:rsidRPr="00296D0C">
              <w:rPr>
                <w:rFonts w:eastAsia="Times New Roman" w:cs="Times New Roman"/>
                <w:color w:val="000000"/>
              </w:rPr>
              <w:t>Mean difference</w:t>
            </w:r>
          </w:p>
          <w:p w14:paraId="2AD3C51C" w14:textId="77777777" w:rsidR="00590CB8" w:rsidRPr="00296D0C" w:rsidRDefault="00590CB8" w:rsidP="00590CB8">
            <w:pPr>
              <w:spacing w:after="0" w:line="240" w:lineRule="auto"/>
              <w:jc w:val="center"/>
              <w:rPr>
                <w:rFonts w:eastAsia="Times New Roman" w:cs="Times New Roman"/>
                <w:color w:val="000000"/>
              </w:rPr>
            </w:pPr>
            <w:r w:rsidRPr="00296D0C">
              <w:rPr>
                <w:rFonts w:eastAsia="Times New Roman" w:cs="Times New Roman"/>
                <w:color w:val="000000"/>
              </w:rPr>
              <w:t xml:space="preserve"> (95% CI)</w:t>
            </w:r>
          </w:p>
        </w:tc>
        <w:tc>
          <w:tcPr>
            <w:tcW w:w="760" w:type="dxa"/>
            <w:shd w:val="clear" w:color="auto" w:fill="00CCFF"/>
            <w:vAlign w:val="center"/>
          </w:tcPr>
          <w:p w14:paraId="193D82A4" w14:textId="77777777" w:rsidR="00590CB8" w:rsidRPr="00296D0C" w:rsidRDefault="00590CB8" w:rsidP="00590CB8">
            <w:pPr>
              <w:spacing w:after="0" w:line="240" w:lineRule="auto"/>
              <w:jc w:val="center"/>
              <w:rPr>
                <w:rFonts w:eastAsia="Times New Roman" w:cs="Times New Roman"/>
                <w:color w:val="000000"/>
              </w:rPr>
            </w:pPr>
            <w:r w:rsidRPr="00296D0C">
              <w:rPr>
                <w:rFonts w:eastAsia="Times New Roman" w:cs="Times New Roman"/>
                <w:color w:val="000000"/>
              </w:rPr>
              <w:t>p-value</w:t>
            </w:r>
          </w:p>
        </w:tc>
      </w:tr>
      <w:tr w:rsidR="00590CB8" w:rsidRPr="00296D0C" w14:paraId="6C232C10" w14:textId="77777777" w:rsidTr="00590CB8">
        <w:trPr>
          <w:gridAfter w:val="4"/>
          <w:wAfter w:w="3040" w:type="dxa"/>
          <w:trHeight w:val="240"/>
        </w:trPr>
        <w:tc>
          <w:tcPr>
            <w:tcW w:w="2235" w:type="dxa"/>
            <w:shd w:val="clear" w:color="auto" w:fill="auto"/>
            <w:noWrap/>
            <w:vAlign w:val="center"/>
            <w:hideMark/>
          </w:tcPr>
          <w:p w14:paraId="378B71B7" w14:textId="46A138CB" w:rsidR="00590CB8" w:rsidRPr="00296D0C" w:rsidRDefault="00590CB8" w:rsidP="00590CB8">
            <w:pPr>
              <w:spacing w:after="0" w:line="240" w:lineRule="auto"/>
              <w:rPr>
                <w:rFonts w:eastAsia="Times New Roman" w:cs="Times New Roman"/>
                <w:color w:val="000000"/>
              </w:rPr>
            </w:pPr>
            <w:r w:rsidRPr="00296D0C">
              <w:rPr>
                <w:color w:val="000000"/>
              </w:rPr>
              <w:t>Energy-Dense Snacks</w:t>
            </w:r>
          </w:p>
        </w:tc>
        <w:tc>
          <w:tcPr>
            <w:tcW w:w="1417" w:type="dxa"/>
            <w:shd w:val="clear" w:color="auto" w:fill="auto"/>
            <w:noWrap/>
            <w:vAlign w:val="bottom"/>
            <w:hideMark/>
          </w:tcPr>
          <w:p w14:paraId="7B965D48" w14:textId="77777777" w:rsidR="00590CB8" w:rsidRPr="00296D0C" w:rsidRDefault="00590CB8" w:rsidP="00590CB8">
            <w:pPr>
              <w:spacing w:after="0" w:line="240" w:lineRule="auto"/>
              <w:jc w:val="center"/>
              <w:rPr>
                <w:rFonts w:eastAsia="Times New Roman" w:cs="Times New Roman"/>
                <w:color w:val="000000"/>
              </w:rPr>
            </w:pPr>
            <w:r w:rsidRPr="00296D0C">
              <w:rPr>
                <w:color w:val="000000"/>
              </w:rPr>
              <w:t>647</w:t>
            </w:r>
          </w:p>
        </w:tc>
        <w:tc>
          <w:tcPr>
            <w:tcW w:w="1310" w:type="dxa"/>
            <w:shd w:val="clear" w:color="auto" w:fill="auto"/>
            <w:noWrap/>
            <w:vAlign w:val="bottom"/>
            <w:hideMark/>
          </w:tcPr>
          <w:p w14:paraId="52859142" w14:textId="77777777" w:rsidR="00590CB8" w:rsidRPr="00296D0C" w:rsidRDefault="00590CB8" w:rsidP="00590CB8">
            <w:pPr>
              <w:spacing w:after="0" w:line="240" w:lineRule="auto"/>
              <w:jc w:val="center"/>
              <w:rPr>
                <w:rFonts w:eastAsia="Times New Roman" w:cs="Times New Roman"/>
                <w:color w:val="000000"/>
              </w:rPr>
            </w:pPr>
            <w:r w:rsidRPr="00296D0C">
              <w:rPr>
                <w:color w:val="000000"/>
              </w:rPr>
              <w:t>4.17  (2.21)</w:t>
            </w:r>
          </w:p>
        </w:tc>
        <w:tc>
          <w:tcPr>
            <w:tcW w:w="997" w:type="dxa"/>
            <w:shd w:val="clear" w:color="auto" w:fill="auto"/>
            <w:noWrap/>
            <w:vAlign w:val="bottom"/>
            <w:hideMark/>
          </w:tcPr>
          <w:p w14:paraId="692285CA" w14:textId="77777777" w:rsidR="00590CB8" w:rsidRPr="00296D0C" w:rsidRDefault="00590CB8" w:rsidP="00590CB8">
            <w:pPr>
              <w:spacing w:after="0" w:line="240" w:lineRule="auto"/>
              <w:jc w:val="center"/>
              <w:rPr>
                <w:rFonts w:eastAsia="Times New Roman" w:cs="Times New Roman"/>
                <w:color w:val="000000"/>
              </w:rPr>
            </w:pPr>
            <w:r w:rsidRPr="00296D0C">
              <w:rPr>
                <w:color w:val="000000"/>
              </w:rPr>
              <w:t>626</w:t>
            </w:r>
          </w:p>
        </w:tc>
        <w:tc>
          <w:tcPr>
            <w:tcW w:w="1286" w:type="dxa"/>
            <w:shd w:val="clear" w:color="auto" w:fill="auto"/>
            <w:noWrap/>
            <w:vAlign w:val="bottom"/>
            <w:hideMark/>
          </w:tcPr>
          <w:p w14:paraId="6C73770A" w14:textId="77777777" w:rsidR="00590CB8" w:rsidRPr="00296D0C" w:rsidRDefault="00590CB8" w:rsidP="00590CB8">
            <w:pPr>
              <w:spacing w:after="0" w:line="240" w:lineRule="auto"/>
              <w:jc w:val="center"/>
              <w:rPr>
                <w:rFonts w:eastAsia="Times New Roman" w:cs="Times New Roman"/>
                <w:color w:val="000000"/>
              </w:rPr>
            </w:pPr>
            <w:r w:rsidRPr="00296D0C">
              <w:rPr>
                <w:color w:val="000000"/>
              </w:rPr>
              <w:t>4.26  (2.35)</w:t>
            </w:r>
          </w:p>
        </w:tc>
        <w:tc>
          <w:tcPr>
            <w:tcW w:w="1413" w:type="dxa"/>
            <w:shd w:val="clear" w:color="auto" w:fill="auto"/>
            <w:noWrap/>
            <w:vAlign w:val="bottom"/>
            <w:hideMark/>
          </w:tcPr>
          <w:p w14:paraId="24AAA09D" w14:textId="77777777" w:rsidR="00590CB8" w:rsidRPr="00296D0C" w:rsidRDefault="00590CB8" w:rsidP="00590CB8">
            <w:pPr>
              <w:spacing w:after="0" w:line="240" w:lineRule="auto"/>
              <w:jc w:val="center"/>
              <w:rPr>
                <w:rFonts w:eastAsia="Times New Roman" w:cs="Times New Roman"/>
                <w:color w:val="000000"/>
              </w:rPr>
            </w:pPr>
            <w:r w:rsidRPr="00296D0C">
              <w:rPr>
                <w:color w:val="000000"/>
              </w:rPr>
              <w:t>1269</w:t>
            </w:r>
          </w:p>
        </w:tc>
        <w:tc>
          <w:tcPr>
            <w:tcW w:w="1871" w:type="dxa"/>
            <w:shd w:val="clear" w:color="auto" w:fill="auto"/>
            <w:noWrap/>
            <w:vAlign w:val="bottom"/>
            <w:hideMark/>
          </w:tcPr>
          <w:p w14:paraId="40E062C1" w14:textId="77777777" w:rsidR="00590CB8" w:rsidRPr="00296D0C" w:rsidRDefault="00590CB8" w:rsidP="00590CB8">
            <w:pPr>
              <w:spacing w:after="0" w:line="240" w:lineRule="auto"/>
              <w:jc w:val="center"/>
              <w:rPr>
                <w:color w:val="000000"/>
              </w:rPr>
            </w:pPr>
            <w:r w:rsidRPr="00296D0C">
              <w:rPr>
                <w:color w:val="000000"/>
              </w:rPr>
              <w:t xml:space="preserve">-0.10 </w:t>
            </w:r>
          </w:p>
          <w:p w14:paraId="7B395708" w14:textId="77777777" w:rsidR="00590CB8" w:rsidRPr="00296D0C" w:rsidRDefault="00590CB8" w:rsidP="00590CB8">
            <w:pPr>
              <w:spacing w:after="0" w:line="240" w:lineRule="auto"/>
              <w:jc w:val="center"/>
              <w:rPr>
                <w:rFonts w:eastAsia="Times New Roman" w:cs="Times New Roman"/>
                <w:color w:val="000000"/>
              </w:rPr>
            </w:pPr>
            <w:r w:rsidRPr="00296D0C">
              <w:rPr>
                <w:color w:val="000000"/>
              </w:rPr>
              <w:t>(-0.43, 0.24)</w:t>
            </w:r>
          </w:p>
        </w:tc>
        <w:tc>
          <w:tcPr>
            <w:tcW w:w="919" w:type="dxa"/>
            <w:shd w:val="clear" w:color="auto" w:fill="auto"/>
            <w:noWrap/>
            <w:vAlign w:val="bottom"/>
            <w:hideMark/>
          </w:tcPr>
          <w:p w14:paraId="61CCD4B3" w14:textId="77777777" w:rsidR="00590CB8" w:rsidRPr="00296D0C" w:rsidRDefault="00590CB8" w:rsidP="00590CB8">
            <w:pPr>
              <w:spacing w:after="0" w:line="240" w:lineRule="auto"/>
              <w:jc w:val="center"/>
              <w:rPr>
                <w:rFonts w:eastAsia="Times New Roman" w:cs="Times New Roman"/>
                <w:color w:val="000000"/>
              </w:rPr>
            </w:pPr>
            <w:r w:rsidRPr="00296D0C">
              <w:rPr>
                <w:color w:val="000000"/>
              </w:rPr>
              <w:t>0.556</w:t>
            </w:r>
          </w:p>
        </w:tc>
        <w:tc>
          <w:tcPr>
            <w:tcW w:w="1418" w:type="dxa"/>
            <w:shd w:val="clear" w:color="auto" w:fill="auto"/>
            <w:vAlign w:val="bottom"/>
          </w:tcPr>
          <w:p w14:paraId="0A08CE8B" w14:textId="77777777" w:rsidR="00590CB8" w:rsidRPr="00296D0C" w:rsidRDefault="00590CB8" w:rsidP="00590CB8">
            <w:pPr>
              <w:spacing w:after="0" w:line="240" w:lineRule="auto"/>
              <w:jc w:val="center"/>
              <w:rPr>
                <w:rFonts w:eastAsia="Times New Roman" w:cs="Times New Roman"/>
                <w:color w:val="000000"/>
              </w:rPr>
            </w:pPr>
            <w:r w:rsidRPr="00296D0C">
              <w:rPr>
                <w:color w:val="000000"/>
              </w:rPr>
              <w:t>1273</w:t>
            </w:r>
          </w:p>
        </w:tc>
        <w:tc>
          <w:tcPr>
            <w:tcW w:w="1701" w:type="dxa"/>
            <w:shd w:val="clear" w:color="auto" w:fill="auto"/>
            <w:vAlign w:val="bottom"/>
          </w:tcPr>
          <w:p w14:paraId="0EE8531C" w14:textId="77777777" w:rsidR="00590CB8" w:rsidRPr="00296D0C" w:rsidRDefault="00590CB8" w:rsidP="00590CB8">
            <w:pPr>
              <w:spacing w:after="0" w:line="240" w:lineRule="auto"/>
              <w:jc w:val="center"/>
              <w:rPr>
                <w:color w:val="000000"/>
              </w:rPr>
            </w:pPr>
            <w:r w:rsidRPr="00296D0C">
              <w:rPr>
                <w:color w:val="000000"/>
              </w:rPr>
              <w:t>0.01</w:t>
            </w:r>
          </w:p>
          <w:p w14:paraId="01C91DE3" w14:textId="5D1D2CC6" w:rsidR="00590CB8" w:rsidRPr="00296D0C" w:rsidRDefault="00590CB8" w:rsidP="004734BC">
            <w:pPr>
              <w:spacing w:after="0" w:line="240" w:lineRule="auto"/>
              <w:jc w:val="center"/>
              <w:rPr>
                <w:rFonts w:eastAsia="Times New Roman" w:cs="Times New Roman"/>
                <w:color w:val="000000"/>
              </w:rPr>
            </w:pPr>
            <w:r w:rsidRPr="00296D0C">
              <w:rPr>
                <w:color w:val="000000"/>
              </w:rPr>
              <w:t>(-0.37, 0.3</w:t>
            </w:r>
            <w:r w:rsidR="004734BC">
              <w:rPr>
                <w:color w:val="000000"/>
              </w:rPr>
              <w:t>8</w:t>
            </w:r>
            <w:r w:rsidRPr="00296D0C">
              <w:rPr>
                <w:color w:val="000000"/>
              </w:rPr>
              <w:t>)</w:t>
            </w:r>
          </w:p>
        </w:tc>
        <w:tc>
          <w:tcPr>
            <w:tcW w:w="760" w:type="dxa"/>
            <w:shd w:val="clear" w:color="auto" w:fill="auto"/>
            <w:vAlign w:val="bottom"/>
          </w:tcPr>
          <w:p w14:paraId="1B8C303C" w14:textId="77777777" w:rsidR="00590CB8" w:rsidRPr="00296D0C" w:rsidRDefault="00590CB8" w:rsidP="00590CB8">
            <w:pPr>
              <w:spacing w:after="0" w:line="240" w:lineRule="auto"/>
              <w:jc w:val="center"/>
              <w:rPr>
                <w:rFonts w:eastAsia="Times New Roman" w:cs="Times New Roman"/>
                <w:color w:val="000000"/>
              </w:rPr>
            </w:pPr>
            <w:r w:rsidRPr="00296D0C">
              <w:rPr>
                <w:color w:val="000000"/>
              </w:rPr>
              <w:t>0.977</w:t>
            </w:r>
          </w:p>
        </w:tc>
      </w:tr>
      <w:tr w:rsidR="00590CB8" w:rsidRPr="00296D0C" w14:paraId="0A35829D" w14:textId="77777777" w:rsidTr="00590CB8">
        <w:trPr>
          <w:gridAfter w:val="4"/>
          <w:wAfter w:w="3040" w:type="dxa"/>
          <w:trHeight w:val="240"/>
        </w:trPr>
        <w:tc>
          <w:tcPr>
            <w:tcW w:w="2235" w:type="dxa"/>
            <w:shd w:val="clear" w:color="auto" w:fill="auto"/>
            <w:noWrap/>
            <w:vAlign w:val="center"/>
            <w:hideMark/>
          </w:tcPr>
          <w:p w14:paraId="1C5E507C" w14:textId="2A3FA712" w:rsidR="00590CB8" w:rsidRPr="00296D0C" w:rsidRDefault="00590CB8" w:rsidP="00590CB8">
            <w:pPr>
              <w:spacing w:after="0" w:line="240" w:lineRule="auto"/>
              <w:rPr>
                <w:rFonts w:eastAsia="Times New Roman" w:cs="Times New Roman"/>
                <w:color w:val="000000"/>
              </w:rPr>
            </w:pPr>
            <w:r w:rsidRPr="00296D0C">
              <w:rPr>
                <w:color w:val="000000"/>
              </w:rPr>
              <w:t>Healthy Snacks</w:t>
            </w:r>
          </w:p>
        </w:tc>
        <w:tc>
          <w:tcPr>
            <w:tcW w:w="1417" w:type="dxa"/>
            <w:shd w:val="clear" w:color="auto" w:fill="auto"/>
            <w:noWrap/>
            <w:vAlign w:val="bottom"/>
            <w:hideMark/>
          </w:tcPr>
          <w:p w14:paraId="69426376" w14:textId="77777777" w:rsidR="00590CB8" w:rsidRPr="00296D0C" w:rsidRDefault="00590CB8" w:rsidP="00590CB8">
            <w:pPr>
              <w:spacing w:after="0" w:line="240" w:lineRule="auto"/>
              <w:jc w:val="center"/>
              <w:rPr>
                <w:rFonts w:eastAsia="Times New Roman" w:cs="Times New Roman"/>
                <w:color w:val="000000"/>
              </w:rPr>
            </w:pPr>
            <w:r w:rsidRPr="00296D0C">
              <w:rPr>
                <w:color w:val="000000"/>
              </w:rPr>
              <w:t>639</w:t>
            </w:r>
          </w:p>
        </w:tc>
        <w:tc>
          <w:tcPr>
            <w:tcW w:w="1310" w:type="dxa"/>
            <w:shd w:val="clear" w:color="auto" w:fill="auto"/>
            <w:noWrap/>
            <w:vAlign w:val="bottom"/>
            <w:hideMark/>
          </w:tcPr>
          <w:p w14:paraId="32EE8B79" w14:textId="14D7DF3D" w:rsidR="00590CB8" w:rsidRPr="00296D0C" w:rsidRDefault="00590CB8" w:rsidP="00590CB8">
            <w:pPr>
              <w:spacing w:after="0" w:line="240" w:lineRule="auto"/>
              <w:jc w:val="center"/>
              <w:rPr>
                <w:rFonts w:eastAsia="Times New Roman" w:cs="Times New Roman"/>
                <w:color w:val="000000"/>
              </w:rPr>
            </w:pPr>
            <w:r w:rsidRPr="00296D0C">
              <w:rPr>
                <w:color w:val="000000"/>
              </w:rPr>
              <w:t>3.42  (1.83)</w:t>
            </w:r>
          </w:p>
        </w:tc>
        <w:tc>
          <w:tcPr>
            <w:tcW w:w="997" w:type="dxa"/>
            <w:shd w:val="clear" w:color="auto" w:fill="auto"/>
            <w:noWrap/>
            <w:vAlign w:val="bottom"/>
            <w:hideMark/>
          </w:tcPr>
          <w:p w14:paraId="04696020" w14:textId="77777777" w:rsidR="00590CB8" w:rsidRPr="00296D0C" w:rsidRDefault="00590CB8" w:rsidP="00590CB8">
            <w:pPr>
              <w:spacing w:after="0" w:line="240" w:lineRule="auto"/>
              <w:jc w:val="center"/>
              <w:rPr>
                <w:rFonts w:eastAsia="Times New Roman" w:cs="Times New Roman"/>
                <w:color w:val="000000"/>
              </w:rPr>
            </w:pPr>
            <w:r w:rsidRPr="00296D0C">
              <w:rPr>
                <w:color w:val="000000"/>
              </w:rPr>
              <w:t>620</w:t>
            </w:r>
          </w:p>
        </w:tc>
        <w:tc>
          <w:tcPr>
            <w:tcW w:w="1286" w:type="dxa"/>
            <w:shd w:val="clear" w:color="auto" w:fill="auto"/>
            <w:noWrap/>
            <w:vAlign w:val="bottom"/>
            <w:hideMark/>
          </w:tcPr>
          <w:p w14:paraId="599963D2" w14:textId="77777777" w:rsidR="00590CB8" w:rsidRPr="00296D0C" w:rsidRDefault="00590CB8" w:rsidP="00590CB8">
            <w:pPr>
              <w:spacing w:after="0" w:line="240" w:lineRule="auto"/>
              <w:jc w:val="center"/>
              <w:rPr>
                <w:rFonts w:eastAsia="Times New Roman" w:cs="Times New Roman"/>
                <w:color w:val="000000"/>
              </w:rPr>
            </w:pPr>
            <w:r w:rsidRPr="00296D0C">
              <w:rPr>
                <w:color w:val="000000"/>
              </w:rPr>
              <w:t>3.12  (1.73)</w:t>
            </w:r>
          </w:p>
        </w:tc>
        <w:tc>
          <w:tcPr>
            <w:tcW w:w="1413" w:type="dxa"/>
            <w:shd w:val="clear" w:color="auto" w:fill="auto"/>
            <w:noWrap/>
            <w:vAlign w:val="bottom"/>
            <w:hideMark/>
          </w:tcPr>
          <w:p w14:paraId="6C9751F8" w14:textId="77777777" w:rsidR="00590CB8" w:rsidRPr="00296D0C" w:rsidRDefault="00590CB8" w:rsidP="00590CB8">
            <w:pPr>
              <w:spacing w:after="0" w:line="240" w:lineRule="auto"/>
              <w:jc w:val="center"/>
              <w:rPr>
                <w:rFonts w:eastAsia="Times New Roman" w:cs="Times New Roman"/>
                <w:color w:val="000000"/>
              </w:rPr>
            </w:pPr>
            <w:r w:rsidRPr="00296D0C">
              <w:rPr>
                <w:color w:val="000000"/>
              </w:rPr>
              <w:t>1242</w:t>
            </w:r>
          </w:p>
        </w:tc>
        <w:tc>
          <w:tcPr>
            <w:tcW w:w="1871" w:type="dxa"/>
            <w:shd w:val="clear" w:color="auto" w:fill="auto"/>
            <w:noWrap/>
            <w:vAlign w:val="bottom"/>
            <w:hideMark/>
          </w:tcPr>
          <w:p w14:paraId="04307967" w14:textId="77777777" w:rsidR="00590CB8" w:rsidRPr="00296D0C" w:rsidRDefault="00590CB8" w:rsidP="00590CB8">
            <w:pPr>
              <w:spacing w:after="0" w:line="240" w:lineRule="auto"/>
              <w:jc w:val="center"/>
              <w:rPr>
                <w:color w:val="000000"/>
              </w:rPr>
            </w:pPr>
            <w:r w:rsidRPr="00296D0C">
              <w:rPr>
                <w:color w:val="000000"/>
              </w:rPr>
              <w:t xml:space="preserve">0.23  </w:t>
            </w:r>
          </w:p>
          <w:p w14:paraId="52AE23E2" w14:textId="77777777" w:rsidR="00590CB8" w:rsidRPr="00296D0C" w:rsidRDefault="00590CB8" w:rsidP="00590CB8">
            <w:pPr>
              <w:spacing w:after="0" w:line="240" w:lineRule="auto"/>
              <w:jc w:val="center"/>
              <w:rPr>
                <w:rFonts w:eastAsia="Times New Roman" w:cs="Times New Roman"/>
                <w:color w:val="000000"/>
              </w:rPr>
            </w:pPr>
            <w:r w:rsidRPr="00296D0C">
              <w:rPr>
                <w:color w:val="000000"/>
              </w:rPr>
              <w:t>(-0.04, 0.50)</w:t>
            </w:r>
          </w:p>
        </w:tc>
        <w:tc>
          <w:tcPr>
            <w:tcW w:w="919" w:type="dxa"/>
            <w:shd w:val="clear" w:color="auto" w:fill="auto"/>
            <w:noWrap/>
            <w:vAlign w:val="bottom"/>
            <w:hideMark/>
          </w:tcPr>
          <w:p w14:paraId="7DA3692B" w14:textId="77777777" w:rsidR="00590CB8" w:rsidRPr="00296D0C" w:rsidRDefault="00590CB8" w:rsidP="00590CB8">
            <w:pPr>
              <w:spacing w:after="0" w:line="240" w:lineRule="auto"/>
              <w:jc w:val="center"/>
              <w:rPr>
                <w:rFonts w:eastAsia="Times New Roman" w:cs="Times New Roman"/>
                <w:color w:val="000000"/>
              </w:rPr>
            </w:pPr>
            <w:r w:rsidRPr="00296D0C">
              <w:rPr>
                <w:color w:val="000000"/>
              </w:rPr>
              <w:t>0.086</w:t>
            </w:r>
          </w:p>
        </w:tc>
        <w:tc>
          <w:tcPr>
            <w:tcW w:w="1418" w:type="dxa"/>
            <w:shd w:val="clear" w:color="auto" w:fill="auto"/>
            <w:vAlign w:val="bottom"/>
          </w:tcPr>
          <w:p w14:paraId="01068F2F" w14:textId="77777777" w:rsidR="00590CB8" w:rsidRPr="00296D0C" w:rsidRDefault="00590CB8" w:rsidP="00590CB8">
            <w:pPr>
              <w:spacing w:after="0" w:line="240" w:lineRule="auto"/>
              <w:jc w:val="center"/>
              <w:rPr>
                <w:rFonts w:eastAsia="Times New Roman" w:cs="Times New Roman"/>
                <w:color w:val="000000"/>
              </w:rPr>
            </w:pPr>
            <w:r w:rsidRPr="00296D0C">
              <w:rPr>
                <w:color w:val="000000"/>
              </w:rPr>
              <w:t>1259</w:t>
            </w:r>
          </w:p>
        </w:tc>
        <w:tc>
          <w:tcPr>
            <w:tcW w:w="1701" w:type="dxa"/>
            <w:shd w:val="clear" w:color="auto" w:fill="auto"/>
            <w:vAlign w:val="bottom"/>
          </w:tcPr>
          <w:p w14:paraId="73AFBB96" w14:textId="77777777" w:rsidR="00590CB8" w:rsidRPr="00296D0C" w:rsidRDefault="00590CB8" w:rsidP="00590CB8">
            <w:pPr>
              <w:spacing w:after="0" w:line="240" w:lineRule="auto"/>
              <w:jc w:val="center"/>
              <w:rPr>
                <w:color w:val="000000"/>
              </w:rPr>
            </w:pPr>
            <w:r w:rsidRPr="00296D0C">
              <w:rPr>
                <w:color w:val="000000"/>
              </w:rPr>
              <w:t>0.31</w:t>
            </w:r>
          </w:p>
          <w:p w14:paraId="37BC6E91" w14:textId="434B843E" w:rsidR="00590CB8" w:rsidRPr="00296D0C" w:rsidRDefault="00590CB8" w:rsidP="004734BC">
            <w:pPr>
              <w:spacing w:after="0" w:line="240" w:lineRule="auto"/>
              <w:jc w:val="center"/>
              <w:rPr>
                <w:rFonts w:eastAsia="Times New Roman" w:cs="Times New Roman"/>
                <w:color w:val="000000"/>
              </w:rPr>
            </w:pPr>
            <w:r w:rsidRPr="00296D0C">
              <w:rPr>
                <w:color w:val="000000"/>
              </w:rPr>
              <w:t>(0.02, 0.59)</w:t>
            </w:r>
          </w:p>
        </w:tc>
        <w:tc>
          <w:tcPr>
            <w:tcW w:w="760" w:type="dxa"/>
            <w:shd w:val="clear" w:color="auto" w:fill="auto"/>
            <w:vAlign w:val="bottom"/>
          </w:tcPr>
          <w:p w14:paraId="52EA8678" w14:textId="77777777" w:rsidR="00590CB8" w:rsidRPr="00296D0C" w:rsidRDefault="00590CB8" w:rsidP="00590CB8">
            <w:pPr>
              <w:spacing w:after="0" w:line="240" w:lineRule="auto"/>
              <w:jc w:val="center"/>
              <w:rPr>
                <w:rFonts w:eastAsia="Times New Roman" w:cs="Times New Roman"/>
                <w:color w:val="000000"/>
              </w:rPr>
            </w:pPr>
            <w:r w:rsidRPr="00296D0C">
              <w:rPr>
                <w:color w:val="000000"/>
              </w:rPr>
              <w:t>0.035</w:t>
            </w:r>
          </w:p>
        </w:tc>
      </w:tr>
      <w:tr w:rsidR="00590CB8" w:rsidRPr="00296D0C" w14:paraId="120264D8" w14:textId="77777777" w:rsidTr="00590CB8">
        <w:trPr>
          <w:gridAfter w:val="4"/>
          <w:wAfter w:w="3040" w:type="dxa"/>
          <w:trHeight w:val="240"/>
        </w:trPr>
        <w:tc>
          <w:tcPr>
            <w:tcW w:w="2235" w:type="dxa"/>
            <w:shd w:val="clear" w:color="auto" w:fill="auto"/>
            <w:noWrap/>
            <w:vAlign w:val="center"/>
          </w:tcPr>
          <w:p w14:paraId="41E06C6B" w14:textId="7C427DAC" w:rsidR="00590CB8" w:rsidRPr="00296D0C" w:rsidRDefault="00590CB8" w:rsidP="00590CB8">
            <w:pPr>
              <w:spacing w:after="0" w:line="240" w:lineRule="auto"/>
              <w:rPr>
                <w:color w:val="000000"/>
              </w:rPr>
            </w:pPr>
            <w:r w:rsidRPr="00296D0C">
              <w:rPr>
                <w:color w:val="000000"/>
              </w:rPr>
              <w:t>Negative Food Markers</w:t>
            </w:r>
          </w:p>
        </w:tc>
        <w:tc>
          <w:tcPr>
            <w:tcW w:w="1417" w:type="dxa"/>
            <w:shd w:val="clear" w:color="auto" w:fill="auto"/>
            <w:noWrap/>
            <w:vAlign w:val="bottom"/>
          </w:tcPr>
          <w:p w14:paraId="59AC253A" w14:textId="77777777" w:rsidR="00590CB8" w:rsidRPr="00296D0C" w:rsidRDefault="00590CB8" w:rsidP="00590CB8">
            <w:pPr>
              <w:spacing w:after="0" w:line="240" w:lineRule="auto"/>
              <w:jc w:val="center"/>
              <w:rPr>
                <w:rFonts w:eastAsia="Times New Roman" w:cs="Times New Roman"/>
                <w:color w:val="000000"/>
              </w:rPr>
            </w:pPr>
            <w:r w:rsidRPr="00296D0C">
              <w:rPr>
                <w:color w:val="000000"/>
              </w:rPr>
              <w:t>648</w:t>
            </w:r>
          </w:p>
        </w:tc>
        <w:tc>
          <w:tcPr>
            <w:tcW w:w="1310" w:type="dxa"/>
            <w:shd w:val="clear" w:color="auto" w:fill="auto"/>
            <w:noWrap/>
            <w:vAlign w:val="bottom"/>
          </w:tcPr>
          <w:p w14:paraId="3C1D128A" w14:textId="77777777" w:rsidR="00590CB8" w:rsidRPr="00296D0C" w:rsidRDefault="00590CB8" w:rsidP="00590CB8">
            <w:pPr>
              <w:spacing w:after="0" w:line="240" w:lineRule="auto"/>
              <w:jc w:val="center"/>
              <w:rPr>
                <w:rFonts w:eastAsia="Times New Roman" w:cs="Times New Roman"/>
              </w:rPr>
            </w:pPr>
            <w:r w:rsidRPr="00296D0C">
              <w:rPr>
                <w:color w:val="000000"/>
              </w:rPr>
              <w:t>6.79  (3.24)</w:t>
            </w:r>
          </w:p>
        </w:tc>
        <w:tc>
          <w:tcPr>
            <w:tcW w:w="997" w:type="dxa"/>
            <w:shd w:val="clear" w:color="auto" w:fill="auto"/>
            <w:noWrap/>
            <w:vAlign w:val="bottom"/>
          </w:tcPr>
          <w:p w14:paraId="425D0443" w14:textId="77777777" w:rsidR="00590CB8" w:rsidRPr="00296D0C" w:rsidRDefault="00590CB8" w:rsidP="00590CB8">
            <w:pPr>
              <w:spacing w:after="0" w:line="240" w:lineRule="auto"/>
              <w:jc w:val="center"/>
              <w:rPr>
                <w:rFonts w:eastAsia="Times New Roman" w:cs="Times New Roman"/>
              </w:rPr>
            </w:pPr>
            <w:r w:rsidRPr="00296D0C">
              <w:rPr>
                <w:color w:val="000000"/>
              </w:rPr>
              <w:t>626</w:t>
            </w:r>
          </w:p>
        </w:tc>
        <w:tc>
          <w:tcPr>
            <w:tcW w:w="1286" w:type="dxa"/>
            <w:shd w:val="clear" w:color="auto" w:fill="auto"/>
            <w:noWrap/>
            <w:vAlign w:val="bottom"/>
          </w:tcPr>
          <w:p w14:paraId="057946CD" w14:textId="77777777" w:rsidR="00590CB8" w:rsidRPr="00296D0C" w:rsidRDefault="00590CB8" w:rsidP="00590CB8">
            <w:pPr>
              <w:spacing w:after="0" w:line="240" w:lineRule="auto"/>
              <w:jc w:val="center"/>
              <w:rPr>
                <w:rFonts w:eastAsia="Times New Roman" w:cs="Times New Roman"/>
              </w:rPr>
            </w:pPr>
            <w:r w:rsidRPr="00296D0C">
              <w:rPr>
                <w:color w:val="000000"/>
              </w:rPr>
              <w:t>6.82  (3.36)</w:t>
            </w:r>
          </w:p>
        </w:tc>
        <w:tc>
          <w:tcPr>
            <w:tcW w:w="1413" w:type="dxa"/>
            <w:shd w:val="clear" w:color="auto" w:fill="auto"/>
            <w:noWrap/>
            <w:vAlign w:val="bottom"/>
          </w:tcPr>
          <w:p w14:paraId="189DCC64" w14:textId="77777777" w:rsidR="00590CB8" w:rsidRPr="00296D0C" w:rsidRDefault="00590CB8" w:rsidP="00590CB8">
            <w:pPr>
              <w:spacing w:after="0" w:line="240" w:lineRule="auto"/>
              <w:jc w:val="center"/>
              <w:rPr>
                <w:rFonts w:eastAsia="Times New Roman" w:cs="Times New Roman"/>
              </w:rPr>
            </w:pPr>
            <w:r w:rsidRPr="00296D0C">
              <w:rPr>
                <w:color w:val="000000"/>
              </w:rPr>
              <w:t>1270</w:t>
            </w:r>
          </w:p>
        </w:tc>
        <w:tc>
          <w:tcPr>
            <w:tcW w:w="1871" w:type="dxa"/>
            <w:shd w:val="clear" w:color="auto" w:fill="auto"/>
            <w:noWrap/>
            <w:vAlign w:val="bottom"/>
          </w:tcPr>
          <w:p w14:paraId="78B6C85B" w14:textId="77777777" w:rsidR="00590CB8" w:rsidRPr="00296D0C" w:rsidRDefault="00590CB8" w:rsidP="00590CB8">
            <w:pPr>
              <w:spacing w:after="0" w:line="240" w:lineRule="auto"/>
              <w:jc w:val="center"/>
              <w:rPr>
                <w:color w:val="000000"/>
              </w:rPr>
            </w:pPr>
            <w:r w:rsidRPr="00296D0C">
              <w:rPr>
                <w:color w:val="000000"/>
              </w:rPr>
              <w:t xml:space="preserve">-0.07 </w:t>
            </w:r>
          </w:p>
          <w:p w14:paraId="17313576" w14:textId="77777777" w:rsidR="00590CB8" w:rsidRPr="00296D0C" w:rsidRDefault="00590CB8" w:rsidP="00590CB8">
            <w:pPr>
              <w:spacing w:after="0" w:line="240" w:lineRule="auto"/>
              <w:jc w:val="center"/>
              <w:rPr>
                <w:rFonts w:eastAsia="Times New Roman" w:cs="Times New Roman"/>
              </w:rPr>
            </w:pPr>
            <w:r w:rsidRPr="00296D0C">
              <w:rPr>
                <w:color w:val="000000"/>
              </w:rPr>
              <w:t>(-0.56, 0.42)</w:t>
            </w:r>
          </w:p>
        </w:tc>
        <w:tc>
          <w:tcPr>
            <w:tcW w:w="919" w:type="dxa"/>
            <w:shd w:val="clear" w:color="auto" w:fill="auto"/>
            <w:noWrap/>
            <w:vAlign w:val="bottom"/>
          </w:tcPr>
          <w:p w14:paraId="55DCA0A5" w14:textId="77777777" w:rsidR="00590CB8" w:rsidRPr="00296D0C" w:rsidRDefault="00590CB8" w:rsidP="00590CB8">
            <w:pPr>
              <w:spacing w:after="0" w:line="240" w:lineRule="auto"/>
              <w:jc w:val="center"/>
              <w:rPr>
                <w:rFonts w:eastAsia="Times New Roman" w:cs="Times New Roman"/>
              </w:rPr>
            </w:pPr>
            <w:r w:rsidRPr="00296D0C">
              <w:rPr>
                <w:color w:val="000000"/>
              </w:rPr>
              <w:t>0.770</w:t>
            </w:r>
          </w:p>
        </w:tc>
        <w:tc>
          <w:tcPr>
            <w:tcW w:w="1418" w:type="dxa"/>
            <w:shd w:val="clear" w:color="auto" w:fill="auto"/>
            <w:vAlign w:val="bottom"/>
          </w:tcPr>
          <w:p w14:paraId="0C0BBD4D" w14:textId="77777777" w:rsidR="00590CB8" w:rsidRPr="00296D0C" w:rsidRDefault="00590CB8" w:rsidP="00590CB8">
            <w:pPr>
              <w:spacing w:after="0" w:line="240" w:lineRule="auto"/>
              <w:jc w:val="center"/>
              <w:rPr>
                <w:rFonts w:eastAsia="Times New Roman" w:cs="Times New Roman"/>
                <w:color w:val="000000"/>
              </w:rPr>
            </w:pPr>
            <w:r w:rsidRPr="00296D0C">
              <w:rPr>
                <w:color w:val="000000"/>
              </w:rPr>
              <w:t>1274</w:t>
            </w:r>
          </w:p>
        </w:tc>
        <w:tc>
          <w:tcPr>
            <w:tcW w:w="1701" w:type="dxa"/>
            <w:shd w:val="clear" w:color="auto" w:fill="auto"/>
            <w:vAlign w:val="bottom"/>
          </w:tcPr>
          <w:p w14:paraId="3969E0E8" w14:textId="77777777" w:rsidR="00590CB8" w:rsidRPr="00296D0C" w:rsidRDefault="00590CB8" w:rsidP="00590CB8">
            <w:pPr>
              <w:spacing w:after="0" w:line="240" w:lineRule="auto"/>
              <w:jc w:val="center"/>
              <w:rPr>
                <w:color w:val="000000"/>
              </w:rPr>
            </w:pPr>
            <w:r w:rsidRPr="00296D0C">
              <w:rPr>
                <w:color w:val="000000"/>
              </w:rPr>
              <w:t>0.12</w:t>
            </w:r>
          </w:p>
          <w:p w14:paraId="2DE5E505" w14:textId="77777777" w:rsidR="00590CB8" w:rsidRPr="00296D0C" w:rsidRDefault="00590CB8" w:rsidP="00590CB8">
            <w:pPr>
              <w:spacing w:after="0" w:line="240" w:lineRule="auto"/>
              <w:jc w:val="center"/>
              <w:rPr>
                <w:rFonts w:eastAsia="Times New Roman" w:cs="Times New Roman"/>
                <w:color w:val="000000"/>
              </w:rPr>
            </w:pPr>
            <w:r w:rsidRPr="00296D0C">
              <w:rPr>
                <w:color w:val="000000"/>
              </w:rPr>
              <w:t>(-0.44, 0.68)</w:t>
            </w:r>
          </w:p>
        </w:tc>
        <w:tc>
          <w:tcPr>
            <w:tcW w:w="760" w:type="dxa"/>
            <w:shd w:val="clear" w:color="auto" w:fill="auto"/>
            <w:vAlign w:val="bottom"/>
          </w:tcPr>
          <w:p w14:paraId="678FC841" w14:textId="77777777" w:rsidR="00590CB8" w:rsidRPr="00296D0C" w:rsidRDefault="00590CB8" w:rsidP="00590CB8">
            <w:pPr>
              <w:spacing w:after="0" w:line="240" w:lineRule="auto"/>
              <w:jc w:val="center"/>
              <w:rPr>
                <w:rFonts w:eastAsia="Times New Roman" w:cs="Times New Roman"/>
                <w:color w:val="000000"/>
              </w:rPr>
            </w:pPr>
            <w:r w:rsidRPr="00296D0C">
              <w:rPr>
                <w:color w:val="000000"/>
              </w:rPr>
              <w:t>0.671</w:t>
            </w:r>
          </w:p>
        </w:tc>
      </w:tr>
      <w:tr w:rsidR="00590CB8" w:rsidRPr="00296D0C" w14:paraId="5C21AEF8" w14:textId="77777777" w:rsidTr="00590CB8">
        <w:trPr>
          <w:gridAfter w:val="4"/>
          <w:wAfter w:w="3040" w:type="dxa"/>
          <w:trHeight w:val="240"/>
        </w:trPr>
        <w:tc>
          <w:tcPr>
            <w:tcW w:w="2235" w:type="dxa"/>
            <w:shd w:val="clear" w:color="auto" w:fill="auto"/>
            <w:noWrap/>
            <w:vAlign w:val="center"/>
            <w:hideMark/>
          </w:tcPr>
          <w:p w14:paraId="00E37648" w14:textId="2DF320D5" w:rsidR="00590CB8" w:rsidRPr="00296D0C" w:rsidRDefault="00590CB8" w:rsidP="00590CB8">
            <w:pPr>
              <w:spacing w:after="0" w:line="240" w:lineRule="auto"/>
              <w:rPr>
                <w:rFonts w:eastAsia="Times New Roman" w:cs="Times New Roman"/>
                <w:color w:val="000000"/>
              </w:rPr>
            </w:pPr>
            <w:r w:rsidRPr="00296D0C">
              <w:rPr>
                <w:color w:val="000000"/>
              </w:rPr>
              <w:t>Positive Food Markers</w:t>
            </w:r>
          </w:p>
        </w:tc>
        <w:tc>
          <w:tcPr>
            <w:tcW w:w="1417" w:type="dxa"/>
            <w:shd w:val="clear" w:color="auto" w:fill="auto"/>
            <w:noWrap/>
            <w:vAlign w:val="bottom"/>
            <w:hideMark/>
          </w:tcPr>
          <w:p w14:paraId="313D6A65" w14:textId="77777777" w:rsidR="00590CB8" w:rsidRPr="00296D0C" w:rsidRDefault="00590CB8" w:rsidP="00590CB8">
            <w:pPr>
              <w:spacing w:after="0" w:line="240" w:lineRule="auto"/>
              <w:jc w:val="center"/>
              <w:rPr>
                <w:rFonts w:eastAsia="Times New Roman" w:cs="Times New Roman"/>
                <w:color w:val="000000"/>
              </w:rPr>
            </w:pPr>
            <w:r w:rsidRPr="00296D0C">
              <w:rPr>
                <w:color w:val="000000"/>
              </w:rPr>
              <w:t>648</w:t>
            </w:r>
          </w:p>
        </w:tc>
        <w:tc>
          <w:tcPr>
            <w:tcW w:w="1310" w:type="dxa"/>
            <w:shd w:val="clear" w:color="auto" w:fill="auto"/>
            <w:noWrap/>
            <w:vAlign w:val="bottom"/>
            <w:hideMark/>
          </w:tcPr>
          <w:p w14:paraId="1C276E0D" w14:textId="77777777" w:rsidR="00590CB8" w:rsidRPr="00296D0C" w:rsidRDefault="00590CB8" w:rsidP="00590CB8">
            <w:pPr>
              <w:spacing w:after="0" w:line="240" w:lineRule="auto"/>
              <w:jc w:val="center"/>
              <w:rPr>
                <w:rFonts w:eastAsia="Times New Roman" w:cs="Times New Roman"/>
                <w:color w:val="000000"/>
              </w:rPr>
            </w:pPr>
            <w:r w:rsidRPr="00296D0C">
              <w:rPr>
                <w:color w:val="000000"/>
              </w:rPr>
              <w:t>6.00  (2.66)</w:t>
            </w:r>
          </w:p>
        </w:tc>
        <w:tc>
          <w:tcPr>
            <w:tcW w:w="997" w:type="dxa"/>
            <w:shd w:val="clear" w:color="auto" w:fill="auto"/>
            <w:noWrap/>
            <w:vAlign w:val="bottom"/>
            <w:hideMark/>
          </w:tcPr>
          <w:p w14:paraId="2FB5A108" w14:textId="77777777" w:rsidR="00590CB8" w:rsidRPr="00296D0C" w:rsidRDefault="00590CB8" w:rsidP="00590CB8">
            <w:pPr>
              <w:spacing w:after="0" w:line="240" w:lineRule="auto"/>
              <w:jc w:val="center"/>
              <w:rPr>
                <w:rFonts w:eastAsia="Times New Roman" w:cs="Times New Roman"/>
                <w:color w:val="000000"/>
              </w:rPr>
            </w:pPr>
            <w:r w:rsidRPr="00296D0C">
              <w:rPr>
                <w:color w:val="000000"/>
              </w:rPr>
              <w:t>626</w:t>
            </w:r>
          </w:p>
        </w:tc>
        <w:tc>
          <w:tcPr>
            <w:tcW w:w="1286" w:type="dxa"/>
            <w:shd w:val="clear" w:color="auto" w:fill="auto"/>
            <w:noWrap/>
            <w:vAlign w:val="bottom"/>
            <w:hideMark/>
          </w:tcPr>
          <w:p w14:paraId="65EF89DB" w14:textId="77777777" w:rsidR="00590CB8" w:rsidRPr="00296D0C" w:rsidRDefault="00590CB8" w:rsidP="00590CB8">
            <w:pPr>
              <w:spacing w:after="0" w:line="240" w:lineRule="auto"/>
              <w:jc w:val="center"/>
              <w:rPr>
                <w:rFonts w:eastAsia="Times New Roman" w:cs="Times New Roman"/>
                <w:color w:val="000000"/>
              </w:rPr>
            </w:pPr>
            <w:r w:rsidRPr="00296D0C">
              <w:rPr>
                <w:color w:val="000000"/>
              </w:rPr>
              <w:t>5.52  (2.64)</w:t>
            </w:r>
          </w:p>
        </w:tc>
        <w:tc>
          <w:tcPr>
            <w:tcW w:w="1413" w:type="dxa"/>
            <w:shd w:val="clear" w:color="auto" w:fill="auto"/>
            <w:noWrap/>
            <w:vAlign w:val="bottom"/>
            <w:hideMark/>
          </w:tcPr>
          <w:p w14:paraId="318885DE" w14:textId="77777777" w:rsidR="00590CB8" w:rsidRPr="00296D0C" w:rsidRDefault="00590CB8" w:rsidP="00590CB8">
            <w:pPr>
              <w:spacing w:after="0" w:line="240" w:lineRule="auto"/>
              <w:jc w:val="center"/>
              <w:rPr>
                <w:rFonts w:eastAsia="Times New Roman" w:cs="Times New Roman"/>
                <w:color w:val="000000"/>
              </w:rPr>
            </w:pPr>
            <w:r w:rsidRPr="00296D0C">
              <w:rPr>
                <w:color w:val="000000"/>
              </w:rPr>
              <w:t>1264</w:t>
            </w:r>
          </w:p>
        </w:tc>
        <w:tc>
          <w:tcPr>
            <w:tcW w:w="1871" w:type="dxa"/>
            <w:shd w:val="clear" w:color="auto" w:fill="auto"/>
            <w:noWrap/>
            <w:vAlign w:val="bottom"/>
            <w:hideMark/>
          </w:tcPr>
          <w:p w14:paraId="4D6572B0" w14:textId="77777777" w:rsidR="004431B4" w:rsidRPr="00296D0C" w:rsidRDefault="00590CB8" w:rsidP="00590CB8">
            <w:pPr>
              <w:spacing w:after="0" w:line="240" w:lineRule="auto"/>
              <w:jc w:val="center"/>
              <w:rPr>
                <w:color w:val="000000"/>
              </w:rPr>
            </w:pPr>
            <w:r w:rsidRPr="00296D0C">
              <w:rPr>
                <w:color w:val="000000"/>
              </w:rPr>
              <w:t xml:space="preserve">0.36 </w:t>
            </w:r>
          </w:p>
          <w:p w14:paraId="5D8455A3" w14:textId="47EDB649" w:rsidR="00590CB8" w:rsidRPr="00296D0C" w:rsidRDefault="00590CB8" w:rsidP="00590CB8">
            <w:pPr>
              <w:spacing w:after="0" w:line="240" w:lineRule="auto"/>
              <w:jc w:val="center"/>
              <w:rPr>
                <w:color w:val="000000"/>
              </w:rPr>
            </w:pPr>
            <w:r w:rsidRPr="00296D0C">
              <w:rPr>
                <w:color w:val="000000"/>
              </w:rPr>
              <w:t xml:space="preserve"> (-0.13, 0.84)</w:t>
            </w:r>
          </w:p>
          <w:p w14:paraId="38D62CB3" w14:textId="2FD5AF8B" w:rsidR="00590CB8" w:rsidRPr="00296D0C" w:rsidRDefault="00590CB8" w:rsidP="00590CB8">
            <w:pPr>
              <w:spacing w:after="0" w:line="240" w:lineRule="auto"/>
              <w:jc w:val="center"/>
              <w:rPr>
                <w:rFonts w:eastAsia="Times New Roman" w:cs="Times New Roman"/>
                <w:color w:val="000000"/>
              </w:rPr>
            </w:pPr>
          </w:p>
        </w:tc>
        <w:tc>
          <w:tcPr>
            <w:tcW w:w="919" w:type="dxa"/>
            <w:shd w:val="clear" w:color="auto" w:fill="auto"/>
            <w:noWrap/>
            <w:vAlign w:val="bottom"/>
            <w:hideMark/>
          </w:tcPr>
          <w:p w14:paraId="0B7DAABE" w14:textId="77777777" w:rsidR="00590CB8" w:rsidRPr="00296D0C" w:rsidRDefault="00590CB8" w:rsidP="00590CB8">
            <w:pPr>
              <w:spacing w:after="0" w:line="240" w:lineRule="auto"/>
              <w:jc w:val="center"/>
              <w:rPr>
                <w:rFonts w:eastAsia="Times New Roman" w:cs="Times New Roman"/>
                <w:color w:val="000000"/>
              </w:rPr>
            </w:pPr>
            <w:r w:rsidRPr="00296D0C">
              <w:rPr>
                <w:color w:val="000000"/>
              </w:rPr>
              <w:lastRenderedPageBreak/>
              <w:t>0.145</w:t>
            </w:r>
          </w:p>
        </w:tc>
        <w:tc>
          <w:tcPr>
            <w:tcW w:w="1418" w:type="dxa"/>
            <w:shd w:val="clear" w:color="auto" w:fill="auto"/>
            <w:vAlign w:val="bottom"/>
          </w:tcPr>
          <w:p w14:paraId="6F0BFB16" w14:textId="77777777" w:rsidR="00590CB8" w:rsidRPr="00296D0C" w:rsidRDefault="00590CB8" w:rsidP="00590CB8">
            <w:pPr>
              <w:spacing w:after="0" w:line="240" w:lineRule="auto"/>
              <w:jc w:val="center"/>
              <w:rPr>
                <w:rFonts w:eastAsia="Times New Roman" w:cs="Times New Roman"/>
                <w:color w:val="000000"/>
              </w:rPr>
            </w:pPr>
            <w:r w:rsidRPr="00296D0C">
              <w:rPr>
                <w:color w:val="000000"/>
              </w:rPr>
              <w:t>1274</w:t>
            </w:r>
          </w:p>
        </w:tc>
        <w:tc>
          <w:tcPr>
            <w:tcW w:w="1701" w:type="dxa"/>
            <w:shd w:val="clear" w:color="auto" w:fill="auto"/>
            <w:vAlign w:val="bottom"/>
          </w:tcPr>
          <w:p w14:paraId="4498DDBD" w14:textId="77777777" w:rsidR="004431B4" w:rsidRPr="00296D0C" w:rsidRDefault="00590CB8" w:rsidP="00590CB8">
            <w:pPr>
              <w:spacing w:after="0" w:line="240" w:lineRule="auto"/>
              <w:jc w:val="center"/>
              <w:rPr>
                <w:color w:val="000000"/>
              </w:rPr>
            </w:pPr>
            <w:r w:rsidRPr="00296D0C">
              <w:rPr>
                <w:color w:val="000000"/>
              </w:rPr>
              <w:t xml:space="preserve">0.50 </w:t>
            </w:r>
          </w:p>
          <w:p w14:paraId="39AC6072" w14:textId="431D0FF8" w:rsidR="00590CB8" w:rsidRPr="00296D0C" w:rsidRDefault="00590CB8" w:rsidP="00590CB8">
            <w:pPr>
              <w:spacing w:after="0" w:line="240" w:lineRule="auto"/>
              <w:jc w:val="center"/>
              <w:rPr>
                <w:color w:val="000000"/>
              </w:rPr>
            </w:pPr>
            <w:r w:rsidRPr="00296D0C">
              <w:rPr>
                <w:color w:val="000000"/>
              </w:rPr>
              <w:t>(0.05, 0.95)</w:t>
            </w:r>
          </w:p>
          <w:p w14:paraId="24FCCD28" w14:textId="36723DAA" w:rsidR="00590CB8" w:rsidRPr="00296D0C" w:rsidRDefault="00590CB8" w:rsidP="00590CB8">
            <w:pPr>
              <w:spacing w:after="0" w:line="240" w:lineRule="auto"/>
              <w:jc w:val="center"/>
              <w:rPr>
                <w:rFonts w:eastAsia="Times New Roman" w:cs="Times New Roman"/>
                <w:color w:val="000000"/>
              </w:rPr>
            </w:pPr>
          </w:p>
        </w:tc>
        <w:tc>
          <w:tcPr>
            <w:tcW w:w="760" w:type="dxa"/>
            <w:shd w:val="clear" w:color="auto" w:fill="auto"/>
            <w:vAlign w:val="bottom"/>
          </w:tcPr>
          <w:p w14:paraId="115745E9" w14:textId="77777777" w:rsidR="00590CB8" w:rsidRPr="00296D0C" w:rsidRDefault="00590CB8" w:rsidP="00590CB8">
            <w:pPr>
              <w:spacing w:after="0" w:line="240" w:lineRule="auto"/>
              <w:jc w:val="center"/>
              <w:rPr>
                <w:rFonts w:eastAsia="Times New Roman" w:cs="Times New Roman"/>
                <w:color w:val="000000"/>
              </w:rPr>
            </w:pPr>
            <w:r w:rsidRPr="00296D0C">
              <w:rPr>
                <w:color w:val="000000"/>
              </w:rPr>
              <w:lastRenderedPageBreak/>
              <w:t>0.030</w:t>
            </w:r>
          </w:p>
        </w:tc>
      </w:tr>
    </w:tbl>
    <w:p w14:paraId="3CAC12CB" w14:textId="60F37DBB" w:rsidR="004E0D59" w:rsidRPr="00296D0C" w:rsidRDefault="004E0D59" w:rsidP="004E0D59">
      <w:pPr>
        <w:keepNext/>
        <w:spacing w:line="240" w:lineRule="auto"/>
        <w:rPr>
          <w:b/>
          <w:iCs/>
        </w:rPr>
      </w:pPr>
      <w:r w:rsidRPr="00296D0C">
        <w:rPr>
          <w:b/>
          <w:iCs/>
        </w:rPr>
        <w:t>T</w:t>
      </w:r>
      <w:r w:rsidR="00EA501F" w:rsidRPr="00296D0C">
        <w:rPr>
          <w:b/>
          <w:iCs/>
        </w:rPr>
        <w:t>ABLE 1</w:t>
      </w:r>
      <w:r w:rsidR="00AB5A7B">
        <w:rPr>
          <w:b/>
          <w:iCs/>
        </w:rPr>
        <w:t>4</w:t>
      </w:r>
      <w:r w:rsidR="00EA501F" w:rsidRPr="00296D0C">
        <w:rPr>
          <w:b/>
          <w:iCs/>
        </w:rPr>
        <w:t xml:space="preserve"> </w:t>
      </w:r>
      <w:r w:rsidRPr="00296D0C">
        <w:rPr>
          <w:b/>
          <w:iCs/>
        </w:rPr>
        <w:t>Primary analysis, both adjusted and unadjusted, of Weekday and Weekend Food Intake Questionnaire Scores, modelled as ordinal outcomes, at 18 months post baseline</w:t>
      </w:r>
    </w:p>
    <w:tbl>
      <w:tblPr>
        <w:tblW w:w="14856" w:type="dxa"/>
        <w:tblInd w:w="-566" w:type="dxa"/>
        <w:tblLook w:val="04A0" w:firstRow="1" w:lastRow="0" w:firstColumn="1" w:lastColumn="0" w:noHBand="0" w:noVBand="1"/>
      </w:tblPr>
      <w:tblGrid>
        <w:gridCol w:w="2539"/>
        <w:gridCol w:w="1358"/>
        <w:gridCol w:w="1181"/>
        <w:gridCol w:w="1035"/>
        <w:gridCol w:w="1075"/>
        <w:gridCol w:w="1346"/>
        <w:gridCol w:w="1692"/>
        <w:gridCol w:w="923"/>
        <w:gridCol w:w="1041"/>
        <w:gridCol w:w="1701"/>
        <w:gridCol w:w="965"/>
      </w:tblGrid>
      <w:tr w:rsidR="00686F2A" w:rsidRPr="00296D0C" w14:paraId="3F26BF6C" w14:textId="77777777" w:rsidTr="00D83533">
        <w:trPr>
          <w:trHeight w:val="299"/>
        </w:trPr>
        <w:tc>
          <w:tcPr>
            <w:tcW w:w="2539" w:type="dxa"/>
            <w:shd w:val="clear" w:color="auto" w:fill="00CCFF"/>
            <w:noWrap/>
            <w:vAlign w:val="center"/>
          </w:tcPr>
          <w:p w14:paraId="6A80455A" w14:textId="77777777" w:rsidR="00686F2A" w:rsidRPr="00296D0C" w:rsidRDefault="00686F2A" w:rsidP="00686F2A">
            <w:pPr>
              <w:spacing w:after="0" w:line="240" w:lineRule="auto"/>
              <w:rPr>
                <w:color w:val="000000"/>
              </w:rPr>
            </w:pPr>
          </w:p>
        </w:tc>
        <w:tc>
          <w:tcPr>
            <w:tcW w:w="2539" w:type="dxa"/>
            <w:gridSpan w:val="2"/>
            <w:shd w:val="clear" w:color="auto" w:fill="00CCFF"/>
            <w:noWrap/>
            <w:vAlign w:val="center"/>
          </w:tcPr>
          <w:p w14:paraId="2C45801A" w14:textId="5C88F846" w:rsidR="00686F2A" w:rsidRPr="00296D0C" w:rsidRDefault="00686F2A" w:rsidP="00686F2A">
            <w:pPr>
              <w:spacing w:after="0" w:line="240" w:lineRule="auto"/>
              <w:jc w:val="center"/>
              <w:rPr>
                <w:rFonts w:eastAsia="Times New Roman" w:cs="Times New Roman"/>
                <w:color w:val="000000"/>
              </w:rPr>
            </w:pPr>
            <w:r w:rsidRPr="00296D0C">
              <w:rPr>
                <w:rFonts w:eastAsia="Times New Roman" w:cs="Times New Roman"/>
                <w:b/>
                <w:color w:val="000000"/>
              </w:rPr>
              <w:t>Intervention Group</w:t>
            </w:r>
          </w:p>
        </w:tc>
        <w:tc>
          <w:tcPr>
            <w:tcW w:w="2110" w:type="dxa"/>
            <w:gridSpan w:val="2"/>
            <w:shd w:val="clear" w:color="auto" w:fill="00CCFF"/>
            <w:noWrap/>
            <w:vAlign w:val="center"/>
          </w:tcPr>
          <w:p w14:paraId="7D765240" w14:textId="15409C92" w:rsidR="00686F2A" w:rsidRPr="00296D0C" w:rsidRDefault="00686F2A" w:rsidP="00686F2A">
            <w:pPr>
              <w:spacing w:after="0" w:line="240" w:lineRule="auto"/>
              <w:jc w:val="center"/>
              <w:rPr>
                <w:rFonts w:eastAsia="Times New Roman" w:cs="Times New Roman"/>
                <w:color w:val="000000"/>
              </w:rPr>
            </w:pPr>
            <w:r w:rsidRPr="00296D0C">
              <w:rPr>
                <w:rFonts w:eastAsia="Times New Roman" w:cs="Times New Roman"/>
                <w:b/>
                <w:color w:val="000000"/>
              </w:rPr>
              <w:t>Control Group</w:t>
            </w:r>
          </w:p>
        </w:tc>
        <w:tc>
          <w:tcPr>
            <w:tcW w:w="3961" w:type="dxa"/>
            <w:gridSpan w:val="3"/>
            <w:shd w:val="clear" w:color="auto" w:fill="00CCFF"/>
            <w:noWrap/>
            <w:vAlign w:val="center"/>
          </w:tcPr>
          <w:p w14:paraId="46340C1C" w14:textId="777AD00C" w:rsidR="00686F2A" w:rsidRPr="00296D0C" w:rsidRDefault="00686F2A" w:rsidP="00686F2A">
            <w:pPr>
              <w:spacing w:after="0" w:line="240" w:lineRule="auto"/>
              <w:jc w:val="center"/>
              <w:rPr>
                <w:rFonts w:eastAsia="Times New Roman" w:cs="Times New Roman"/>
                <w:color w:val="000000"/>
              </w:rPr>
            </w:pPr>
            <w:r w:rsidRPr="00296D0C">
              <w:rPr>
                <w:rFonts w:eastAsia="Times New Roman" w:cs="Times New Roman"/>
                <w:b/>
                <w:color w:val="000000"/>
              </w:rPr>
              <w:t>Adjusted analysis</w:t>
            </w:r>
          </w:p>
        </w:tc>
        <w:tc>
          <w:tcPr>
            <w:tcW w:w="3707" w:type="dxa"/>
            <w:gridSpan w:val="3"/>
            <w:shd w:val="clear" w:color="auto" w:fill="00CCFF"/>
            <w:vAlign w:val="center"/>
          </w:tcPr>
          <w:p w14:paraId="6E1F3AFC" w14:textId="150AAC6A" w:rsidR="00686F2A" w:rsidRPr="00296D0C" w:rsidRDefault="00686F2A" w:rsidP="00686F2A">
            <w:pPr>
              <w:spacing w:after="0" w:line="240" w:lineRule="auto"/>
              <w:jc w:val="center"/>
              <w:rPr>
                <w:rFonts w:eastAsia="Times New Roman" w:cs="Times New Roman"/>
                <w:color w:val="000000"/>
              </w:rPr>
            </w:pPr>
            <w:r w:rsidRPr="00296D0C">
              <w:rPr>
                <w:rFonts w:eastAsia="Times New Roman" w:cs="Times New Roman"/>
                <w:b/>
                <w:color w:val="000000"/>
              </w:rPr>
              <w:t>Unadjusted analysis</w:t>
            </w:r>
          </w:p>
        </w:tc>
      </w:tr>
      <w:tr w:rsidR="00686F2A" w:rsidRPr="00296D0C" w14:paraId="263F2A9C" w14:textId="77777777" w:rsidTr="00686F2A">
        <w:trPr>
          <w:trHeight w:val="299"/>
        </w:trPr>
        <w:tc>
          <w:tcPr>
            <w:tcW w:w="2539" w:type="dxa"/>
            <w:shd w:val="clear" w:color="auto" w:fill="00CCFF"/>
            <w:noWrap/>
            <w:vAlign w:val="center"/>
            <w:hideMark/>
          </w:tcPr>
          <w:p w14:paraId="3059CE63" w14:textId="77777777" w:rsidR="00686F2A" w:rsidRPr="00296D0C" w:rsidRDefault="00686F2A" w:rsidP="00686F2A">
            <w:pPr>
              <w:spacing w:after="0" w:line="240" w:lineRule="auto"/>
              <w:rPr>
                <w:rFonts w:eastAsia="Times New Roman" w:cs="Times New Roman"/>
                <w:color w:val="000000"/>
              </w:rPr>
            </w:pPr>
            <w:r w:rsidRPr="00296D0C">
              <w:rPr>
                <w:color w:val="000000"/>
              </w:rPr>
              <w:t>Weekday  FIQ                     (5-level ordinal outcomes)</w:t>
            </w:r>
          </w:p>
        </w:tc>
        <w:tc>
          <w:tcPr>
            <w:tcW w:w="1358" w:type="dxa"/>
            <w:shd w:val="clear" w:color="auto" w:fill="00CCFF"/>
            <w:noWrap/>
            <w:vAlign w:val="center"/>
            <w:hideMark/>
          </w:tcPr>
          <w:p w14:paraId="004F813D" w14:textId="77777777" w:rsidR="00686F2A" w:rsidRPr="00296D0C" w:rsidRDefault="00686F2A" w:rsidP="00686F2A">
            <w:pPr>
              <w:spacing w:after="0" w:line="240" w:lineRule="auto"/>
              <w:jc w:val="center"/>
              <w:rPr>
                <w:rFonts w:eastAsia="Times New Roman" w:cs="Times New Roman"/>
                <w:color w:val="000000"/>
              </w:rPr>
            </w:pPr>
            <w:r w:rsidRPr="00296D0C">
              <w:rPr>
                <w:rFonts w:eastAsia="Times New Roman" w:cs="Times New Roman"/>
                <w:color w:val="000000"/>
              </w:rPr>
              <w:t>n</w:t>
            </w:r>
          </w:p>
        </w:tc>
        <w:tc>
          <w:tcPr>
            <w:tcW w:w="1181" w:type="dxa"/>
            <w:shd w:val="clear" w:color="auto" w:fill="00CCFF"/>
            <w:noWrap/>
            <w:vAlign w:val="center"/>
            <w:hideMark/>
          </w:tcPr>
          <w:p w14:paraId="051DA967" w14:textId="77777777" w:rsidR="00686F2A" w:rsidRPr="00296D0C" w:rsidRDefault="00686F2A" w:rsidP="00686F2A">
            <w:pPr>
              <w:spacing w:after="0" w:line="240" w:lineRule="auto"/>
              <w:jc w:val="center"/>
              <w:rPr>
                <w:rFonts w:eastAsia="Times New Roman" w:cs="Times New Roman"/>
                <w:color w:val="000000"/>
              </w:rPr>
            </w:pPr>
            <w:r w:rsidRPr="00296D0C">
              <w:rPr>
                <w:rFonts w:eastAsia="Times New Roman" w:cs="Times New Roman"/>
                <w:color w:val="000000"/>
              </w:rPr>
              <w:t>Mean</w:t>
            </w:r>
          </w:p>
          <w:p w14:paraId="5DF87649" w14:textId="77777777" w:rsidR="00686F2A" w:rsidRPr="00296D0C" w:rsidRDefault="00686F2A" w:rsidP="00686F2A">
            <w:pPr>
              <w:spacing w:after="0" w:line="240" w:lineRule="auto"/>
              <w:jc w:val="center"/>
              <w:rPr>
                <w:rFonts w:eastAsia="Times New Roman" w:cs="Times New Roman"/>
                <w:color w:val="000000"/>
              </w:rPr>
            </w:pPr>
            <w:r w:rsidRPr="00296D0C">
              <w:rPr>
                <w:rFonts w:eastAsia="Times New Roman" w:cs="Times New Roman"/>
                <w:color w:val="000000"/>
              </w:rPr>
              <w:t>(SD)</w:t>
            </w:r>
          </w:p>
        </w:tc>
        <w:tc>
          <w:tcPr>
            <w:tcW w:w="1035" w:type="dxa"/>
            <w:shd w:val="clear" w:color="auto" w:fill="00CCFF"/>
            <w:noWrap/>
            <w:vAlign w:val="center"/>
            <w:hideMark/>
          </w:tcPr>
          <w:p w14:paraId="1FDEBAA1" w14:textId="4CFA87F1" w:rsidR="00686F2A" w:rsidRPr="00296D0C" w:rsidRDefault="0016101E" w:rsidP="0016101E">
            <w:pPr>
              <w:spacing w:after="0" w:line="240" w:lineRule="auto"/>
              <w:jc w:val="center"/>
              <w:rPr>
                <w:rFonts w:eastAsia="Times New Roman" w:cs="Times New Roman"/>
                <w:color w:val="000000"/>
              </w:rPr>
            </w:pPr>
            <w:r>
              <w:rPr>
                <w:rFonts w:eastAsia="Times New Roman" w:cs="Times New Roman"/>
                <w:color w:val="000000"/>
              </w:rPr>
              <w:t>n</w:t>
            </w:r>
          </w:p>
        </w:tc>
        <w:tc>
          <w:tcPr>
            <w:tcW w:w="1075" w:type="dxa"/>
            <w:shd w:val="clear" w:color="auto" w:fill="00CCFF"/>
            <w:noWrap/>
            <w:vAlign w:val="center"/>
            <w:hideMark/>
          </w:tcPr>
          <w:p w14:paraId="3EAA7998" w14:textId="77777777" w:rsidR="00686F2A" w:rsidRPr="00296D0C" w:rsidRDefault="00686F2A" w:rsidP="00686F2A">
            <w:pPr>
              <w:spacing w:after="0" w:line="240" w:lineRule="auto"/>
              <w:jc w:val="center"/>
              <w:rPr>
                <w:rFonts w:eastAsia="Times New Roman" w:cs="Times New Roman"/>
                <w:color w:val="000000"/>
              </w:rPr>
            </w:pPr>
            <w:r w:rsidRPr="00296D0C">
              <w:rPr>
                <w:rFonts w:eastAsia="Times New Roman" w:cs="Times New Roman"/>
                <w:color w:val="000000"/>
              </w:rPr>
              <w:t>Mean (SD)</w:t>
            </w:r>
          </w:p>
        </w:tc>
        <w:tc>
          <w:tcPr>
            <w:tcW w:w="1346" w:type="dxa"/>
            <w:shd w:val="clear" w:color="auto" w:fill="00CCFF"/>
            <w:noWrap/>
            <w:vAlign w:val="center"/>
            <w:hideMark/>
          </w:tcPr>
          <w:p w14:paraId="2D07A485" w14:textId="77777777" w:rsidR="00686F2A" w:rsidRPr="00296D0C" w:rsidRDefault="00686F2A" w:rsidP="00686F2A">
            <w:pPr>
              <w:spacing w:after="0" w:line="240" w:lineRule="auto"/>
              <w:jc w:val="center"/>
              <w:rPr>
                <w:rFonts w:eastAsia="Times New Roman" w:cs="Times New Roman"/>
                <w:color w:val="000000"/>
              </w:rPr>
            </w:pPr>
            <w:r w:rsidRPr="00296D0C">
              <w:rPr>
                <w:rFonts w:eastAsia="Times New Roman" w:cs="Times New Roman"/>
                <w:color w:val="000000"/>
              </w:rPr>
              <w:t>Total</w:t>
            </w:r>
          </w:p>
          <w:p w14:paraId="193F562A" w14:textId="77777777" w:rsidR="00686F2A" w:rsidRPr="00296D0C" w:rsidRDefault="00686F2A" w:rsidP="00686F2A">
            <w:pPr>
              <w:spacing w:after="0" w:line="240" w:lineRule="auto"/>
              <w:jc w:val="center"/>
              <w:rPr>
                <w:rFonts w:eastAsia="Times New Roman" w:cs="Times New Roman"/>
                <w:color w:val="000000"/>
              </w:rPr>
            </w:pPr>
            <w:r w:rsidRPr="00296D0C">
              <w:rPr>
                <w:rFonts w:eastAsia="Times New Roman" w:cs="Times New Roman"/>
                <w:color w:val="000000"/>
              </w:rPr>
              <w:t>n in analysis</w:t>
            </w:r>
          </w:p>
        </w:tc>
        <w:tc>
          <w:tcPr>
            <w:tcW w:w="1692" w:type="dxa"/>
            <w:shd w:val="clear" w:color="auto" w:fill="00CCFF"/>
            <w:noWrap/>
            <w:vAlign w:val="center"/>
            <w:hideMark/>
          </w:tcPr>
          <w:p w14:paraId="2DD9468D" w14:textId="77777777" w:rsidR="00686F2A" w:rsidRPr="00296D0C" w:rsidRDefault="00686F2A" w:rsidP="00686F2A">
            <w:pPr>
              <w:spacing w:after="0" w:line="240" w:lineRule="auto"/>
              <w:jc w:val="center"/>
              <w:rPr>
                <w:rFonts w:eastAsia="Times New Roman" w:cs="Times New Roman"/>
                <w:color w:val="000000"/>
              </w:rPr>
            </w:pPr>
            <w:r w:rsidRPr="00296D0C">
              <w:rPr>
                <w:rFonts w:eastAsia="Times New Roman" w:cs="Times New Roman"/>
                <w:color w:val="000000"/>
              </w:rPr>
              <w:t>Odds ratio</w:t>
            </w:r>
          </w:p>
          <w:p w14:paraId="03745908" w14:textId="77777777" w:rsidR="00686F2A" w:rsidRPr="00296D0C" w:rsidRDefault="00686F2A" w:rsidP="00686F2A">
            <w:pPr>
              <w:spacing w:after="0" w:line="240" w:lineRule="auto"/>
              <w:jc w:val="center"/>
              <w:rPr>
                <w:rFonts w:eastAsia="Times New Roman" w:cs="Times New Roman"/>
                <w:color w:val="000000"/>
              </w:rPr>
            </w:pPr>
            <w:r w:rsidRPr="00296D0C">
              <w:rPr>
                <w:rFonts w:eastAsia="Times New Roman" w:cs="Times New Roman"/>
                <w:color w:val="000000"/>
              </w:rPr>
              <w:t xml:space="preserve"> (95% CI)</w:t>
            </w:r>
          </w:p>
        </w:tc>
        <w:tc>
          <w:tcPr>
            <w:tcW w:w="923" w:type="dxa"/>
            <w:shd w:val="clear" w:color="auto" w:fill="00CCFF"/>
            <w:noWrap/>
            <w:vAlign w:val="center"/>
            <w:hideMark/>
          </w:tcPr>
          <w:p w14:paraId="2188382A" w14:textId="77777777" w:rsidR="00686F2A" w:rsidRPr="00296D0C" w:rsidRDefault="00686F2A" w:rsidP="00686F2A">
            <w:pPr>
              <w:spacing w:after="0" w:line="240" w:lineRule="auto"/>
              <w:jc w:val="center"/>
              <w:rPr>
                <w:rFonts w:eastAsia="Times New Roman" w:cs="Times New Roman"/>
                <w:color w:val="000000"/>
              </w:rPr>
            </w:pPr>
            <w:r w:rsidRPr="00296D0C">
              <w:rPr>
                <w:rFonts w:eastAsia="Times New Roman" w:cs="Times New Roman"/>
                <w:color w:val="000000"/>
              </w:rPr>
              <w:t>p-value</w:t>
            </w:r>
          </w:p>
        </w:tc>
        <w:tc>
          <w:tcPr>
            <w:tcW w:w="1041" w:type="dxa"/>
            <w:shd w:val="clear" w:color="auto" w:fill="00CCFF"/>
            <w:vAlign w:val="center"/>
          </w:tcPr>
          <w:p w14:paraId="01DF55D7" w14:textId="77777777" w:rsidR="00686F2A" w:rsidRPr="00296D0C" w:rsidRDefault="00686F2A" w:rsidP="00686F2A">
            <w:pPr>
              <w:spacing w:after="0" w:line="240" w:lineRule="auto"/>
              <w:jc w:val="center"/>
              <w:rPr>
                <w:rFonts w:eastAsia="Times New Roman" w:cs="Times New Roman"/>
                <w:color w:val="000000"/>
              </w:rPr>
            </w:pPr>
            <w:r w:rsidRPr="00296D0C">
              <w:rPr>
                <w:rFonts w:eastAsia="Times New Roman" w:cs="Times New Roman"/>
                <w:color w:val="000000"/>
              </w:rPr>
              <w:t>Total</w:t>
            </w:r>
          </w:p>
          <w:p w14:paraId="6FECBD85" w14:textId="77777777" w:rsidR="00686F2A" w:rsidRPr="00296D0C" w:rsidRDefault="00686F2A" w:rsidP="00686F2A">
            <w:pPr>
              <w:spacing w:after="0" w:line="240" w:lineRule="auto"/>
              <w:jc w:val="center"/>
              <w:rPr>
                <w:rFonts w:eastAsia="Times New Roman" w:cs="Times New Roman"/>
                <w:color w:val="000000"/>
              </w:rPr>
            </w:pPr>
            <w:r w:rsidRPr="00296D0C">
              <w:rPr>
                <w:rFonts w:eastAsia="Times New Roman" w:cs="Times New Roman"/>
                <w:color w:val="000000"/>
              </w:rPr>
              <w:t>n in analysis</w:t>
            </w:r>
          </w:p>
        </w:tc>
        <w:tc>
          <w:tcPr>
            <w:tcW w:w="1701" w:type="dxa"/>
            <w:shd w:val="clear" w:color="auto" w:fill="00CCFF"/>
            <w:vAlign w:val="center"/>
          </w:tcPr>
          <w:p w14:paraId="682F7BCC" w14:textId="77777777" w:rsidR="00686F2A" w:rsidRPr="00296D0C" w:rsidRDefault="00686F2A" w:rsidP="00686F2A">
            <w:pPr>
              <w:spacing w:after="0" w:line="240" w:lineRule="auto"/>
              <w:jc w:val="center"/>
              <w:rPr>
                <w:rFonts w:eastAsia="Times New Roman" w:cs="Times New Roman"/>
                <w:color w:val="000000"/>
              </w:rPr>
            </w:pPr>
            <w:r w:rsidRPr="00296D0C">
              <w:rPr>
                <w:rFonts w:eastAsia="Times New Roman" w:cs="Times New Roman"/>
                <w:color w:val="000000"/>
              </w:rPr>
              <w:t xml:space="preserve">Odds ratio </w:t>
            </w:r>
          </w:p>
          <w:p w14:paraId="00AD21D9" w14:textId="77777777" w:rsidR="00686F2A" w:rsidRPr="00296D0C" w:rsidRDefault="00686F2A" w:rsidP="00686F2A">
            <w:pPr>
              <w:spacing w:after="0" w:line="240" w:lineRule="auto"/>
              <w:jc w:val="center"/>
              <w:rPr>
                <w:rFonts w:eastAsia="Times New Roman" w:cs="Times New Roman"/>
                <w:color w:val="000000"/>
              </w:rPr>
            </w:pPr>
            <w:r w:rsidRPr="00296D0C">
              <w:rPr>
                <w:rFonts w:eastAsia="Times New Roman" w:cs="Times New Roman"/>
                <w:color w:val="000000"/>
              </w:rPr>
              <w:t>(95% CI)</w:t>
            </w:r>
          </w:p>
        </w:tc>
        <w:tc>
          <w:tcPr>
            <w:tcW w:w="965" w:type="dxa"/>
            <w:shd w:val="clear" w:color="auto" w:fill="00CCFF"/>
            <w:vAlign w:val="center"/>
          </w:tcPr>
          <w:p w14:paraId="0CF8220E" w14:textId="77777777" w:rsidR="00686F2A" w:rsidRPr="00296D0C" w:rsidRDefault="00686F2A" w:rsidP="00686F2A">
            <w:pPr>
              <w:spacing w:after="0" w:line="240" w:lineRule="auto"/>
              <w:jc w:val="center"/>
              <w:rPr>
                <w:rFonts w:eastAsia="Times New Roman" w:cs="Times New Roman"/>
                <w:color w:val="000000"/>
              </w:rPr>
            </w:pPr>
            <w:r w:rsidRPr="00296D0C">
              <w:rPr>
                <w:rFonts w:eastAsia="Times New Roman" w:cs="Times New Roman"/>
                <w:color w:val="000000"/>
              </w:rPr>
              <w:t>p-value</w:t>
            </w:r>
          </w:p>
        </w:tc>
      </w:tr>
      <w:tr w:rsidR="00686F2A" w:rsidRPr="00296D0C" w14:paraId="656E83D9" w14:textId="77777777" w:rsidTr="00686F2A">
        <w:trPr>
          <w:trHeight w:val="299"/>
        </w:trPr>
        <w:tc>
          <w:tcPr>
            <w:tcW w:w="2539" w:type="dxa"/>
            <w:shd w:val="clear" w:color="auto" w:fill="auto"/>
            <w:noWrap/>
            <w:vAlign w:val="center"/>
            <w:hideMark/>
          </w:tcPr>
          <w:p w14:paraId="60527880" w14:textId="482731BD" w:rsidR="00686F2A" w:rsidRPr="00296D0C" w:rsidRDefault="00686F2A" w:rsidP="00686F2A">
            <w:pPr>
              <w:spacing w:after="0" w:line="240" w:lineRule="auto"/>
              <w:rPr>
                <w:rFonts w:eastAsia="Times New Roman" w:cs="Times New Roman"/>
                <w:color w:val="000000"/>
              </w:rPr>
            </w:pPr>
            <w:r w:rsidRPr="00296D0C">
              <w:rPr>
                <w:color w:val="000000"/>
              </w:rPr>
              <w:t>Energy-Dense Snacks</w:t>
            </w:r>
          </w:p>
        </w:tc>
        <w:tc>
          <w:tcPr>
            <w:tcW w:w="1358" w:type="dxa"/>
            <w:shd w:val="clear" w:color="auto" w:fill="auto"/>
            <w:noWrap/>
            <w:vAlign w:val="center"/>
            <w:hideMark/>
          </w:tcPr>
          <w:p w14:paraId="56E5B62E" w14:textId="77777777" w:rsidR="00686F2A" w:rsidRPr="00296D0C" w:rsidRDefault="00686F2A" w:rsidP="00686F2A">
            <w:pPr>
              <w:spacing w:after="0" w:line="240" w:lineRule="auto"/>
              <w:jc w:val="center"/>
              <w:rPr>
                <w:rFonts w:eastAsia="Times New Roman" w:cs="Times New Roman"/>
                <w:color w:val="000000"/>
              </w:rPr>
            </w:pPr>
            <w:r w:rsidRPr="00296D0C">
              <w:rPr>
                <w:color w:val="000000"/>
              </w:rPr>
              <w:t>647</w:t>
            </w:r>
          </w:p>
        </w:tc>
        <w:tc>
          <w:tcPr>
            <w:tcW w:w="1181" w:type="dxa"/>
            <w:shd w:val="clear" w:color="auto" w:fill="auto"/>
            <w:noWrap/>
            <w:vAlign w:val="center"/>
            <w:hideMark/>
          </w:tcPr>
          <w:p w14:paraId="458AE59E" w14:textId="77777777" w:rsidR="00686F2A" w:rsidRPr="00296D0C" w:rsidRDefault="00686F2A" w:rsidP="00686F2A">
            <w:pPr>
              <w:spacing w:after="0" w:line="240" w:lineRule="auto"/>
              <w:jc w:val="center"/>
              <w:rPr>
                <w:color w:val="000000"/>
              </w:rPr>
            </w:pPr>
            <w:r w:rsidRPr="00296D0C">
              <w:rPr>
                <w:color w:val="000000"/>
              </w:rPr>
              <w:t xml:space="preserve">2.24 </w:t>
            </w:r>
          </w:p>
          <w:p w14:paraId="7C97AF3E" w14:textId="77777777" w:rsidR="00686F2A" w:rsidRPr="00296D0C" w:rsidRDefault="00686F2A" w:rsidP="00686F2A">
            <w:pPr>
              <w:spacing w:after="0" w:line="240" w:lineRule="auto"/>
              <w:jc w:val="center"/>
              <w:rPr>
                <w:rFonts w:eastAsia="Times New Roman" w:cs="Times New Roman"/>
                <w:color w:val="000000"/>
              </w:rPr>
            </w:pPr>
            <w:r w:rsidRPr="00296D0C">
              <w:rPr>
                <w:color w:val="000000"/>
              </w:rPr>
              <w:t>(1.40)</w:t>
            </w:r>
          </w:p>
        </w:tc>
        <w:tc>
          <w:tcPr>
            <w:tcW w:w="1035" w:type="dxa"/>
            <w:shd w:val="clear" w:color="auto" w:fill="auto"/>
            <w:noWrap/>
            <w:vAlign w:val="center"/>
            <w:hideMark/>
          </w:tcPr>
          <w:p w14:paraId="622ADD59" w14:textId="77777777" w:rsidR="00686F2A" w:rsidRPr="00296D0C" w:rsidRDefault="00686F2A" w:rsidP="00686F2A">
            <w:pPr>
              <w:spacing w:after="0" w:line="240" w:lineRule="auto"/>
              <w:jc w:val="center"/>
              <w:rPr>
                <w:rFonts w:eastAsia="Times New Roman" w:cs="Times New Roman"/>
                <w:color w:val="000000"/>
              </w:rPr>
            </w:pPr>
            <w:r w:rsidRPr="00296D0C">
              <w:rPr>
                <w:color w:val="000000"/>
              </w:rPr>
              <w:t>625</w:t>
            </w:r>
          </w:p>
        </w:tc>
        <w:tc>
          <w:tcPr>
            <w:tcW w:w="1075" w:type="dxa"/>
            <w:shd w:val="clear" w:color="auto" w:fill="auto"/>
            <w:noWrap/>
            <w:vAlign w:val="center"/>
            <w:hideMark/>
          </w:tcPr>
          <w:p w14:paraId="217A9B0A" w14:textId="77777777" w:rsidR="00686F2A" w:rsidRPr="00296D0C" w:rsidRDefault="00686F2A" w:rsidP="00686F2A">
            <w:pPr>
              <w:spacing w:after="0" w:line="240" w:lineRule="auto"/>
              <w:jc w:val="center"/>
              <w:rPr>
                <w:rFonts w:eastAsia="Times New Roman" w:cs="Times New Roman"/>
                <w:color w:val="000000"/>
              </w:rPr>
            </w:pPr>
            <w:r w:rsidRPr="00296D0C">
              <w:rPr>
                <w:color w:val="000000"/>
              </w:rPr>
              <w:t>2.50 (1.43)</w:t>
            </w:r>
          </w:p>
        </w:tc>
        <w:tc>
          <w:tcPr>
            <w:tcW w:w="1346" w:type="dxa"/>
            <w:shd w:val="clear" w:color="auto" w:fill="auto"/>
            <w:noWrap/>
            <w:vAlign w:val="center"/>
            <w:hideMark/>
          </w:tcPr>
          <w:p w14:paraId="779AA433" w14:textId="77777777" w:rsidR="00686F2A" w:rsidRPr="00296D0C" w:rsidRDefault="00686F2A" w:rsidP="00686F2A">
            <w:pPr>
              <w:spacing w:after="0" w:line="240" w:lineRule="auto"/>
              <w:jc w:val="center"/>
              <w:rPr>
                <w:rFonts w:eastAsia="Times New Roman" w:cs="Times New Roman"/>
                <w:color w:val="000000"/>
              </w:rPr>
            </w:pPr>
            <w:r w:rsidRPr="00296D0C">
              <w:rPr>
                <w:color w:val="000000"/>
              </w:rPr>
              <w:t>1265</w:t>
            </w:r>
          </w:p>
        </w:tc>
        <w:tc>
          <w:tcPr>
            <w:tcW w:w="1692" w:type="dxa"/>
            <w:shd w:val="clear" w:color="auto" w:fill="auto"/>
            <w:noWrap/>
            <w:vAlign w:val="center"/>
            <w:hideMark/>
          </w:tcPr>
          <w:p w14:paraId="029A2301" w14:textId="77777777" w:rsidR="00686F2A" w:rsidRPr="00296D0C" w:rsidRDefault="00686F2A" w:rsidP="00686F2A">
            <w:pPr>
              <w:spacing w:after="0" w:line="240" w:lineRule="auto"/>
              <w:jc w:val="center"/>
              <w:rPr>
                <w:color w:val="000000"/>
              </w:rPr>
            </w:pPr>
            <w:r w:rsidRPr="00296D0C">
              <w:rPr>
                <w:color w:val="000000"/>
              </w:rPr>
              <w:t xml:space="preserve">0.68 </w:t>
            </w:r>
          </w:p>
          <w:p w14:paraId="6E3D952F" w14:textId="6F5C0EE7" w:rsidR="00686F2A" w:rsidRPr="00296D0C" w:rsidRDefault="00686F2A" w:rsidP="00686F2A">
            <w:pPr>
              <w:spacing w:after="0" w:line="240" w:lineRule="auto"/>
              <w:jc w:val="center"/>
              <w:rPr>
                <w:rFonts w:eastAsia="Times New Roman" w:cs="Times New Roman"/>
                <w:color w:val="000000"/>
              </w:rPr>
            </w:pPr>
            <w:r w:rsidRPr="00296D0C">
              <w:rPr>
                <w:color w:val="000000"/>
              </w:rPr>
              <w:t>(0.51, 0.90)</w:t>
            </w:r>
          </w:p>
        </w:tc>
        <w:tc>
          <w:tcPr>
            <w:tcW w:w="923" w:type="dxa"/>
            <w:shd w:val="clear" w:color="auto" w:fill="auto"/>
            <w:noWrap/>
            <w:vAlign w:val="center"/>
            <w:hideMark/>
          </w:tcPr>
          <w:p w14:paraId="4B911247" w14:textId="77777777" w:rsidR="00686F2A" w:rsidRPr="00296D0C" w:rsidRDefault="00686F2A" w:rsidP="00686F2A">
            <w:pPr>
              <w:spacing w:after="0" w:line="240" w:lineRule="auto"/>
              <w:jc w:val="center"/>
              <w:rPr>
                <w:rFonts w:eastAsia="Times New Roman" w:cs="Times New Roman"/>
                <w:color w:val="000000"/>
              </w:rPr>
            </w:pPr>
            <w:r w:rsidRPr="00296D0C">
              <w:rPr>
                <w:color w:val="000000"/>
              </w:rPr>
              <w:t>0.007</w:t>
            </w:r>
          </w:p>
        </w:tc>
        <w:tc>
          <w:tcPr>
            <w:tcW w:w="1041" w:type="dxa"/>
            <w:shd w:val="clear" w:color="auto" w:fill="auto"/>
            <w:vAlign w:val="center"/>
          </w:tcPr>
          <w:p w14:paraId="1777156C" w14:textId="77777777" w:rsidR="00686F2A" w:rsidRPr="00296D0C" w:rsidRDefault="00686F2A" w:rsidP="00686F2A">
            <w:pPr>
              <w:spacing w:after="0" w:line="240" w:lineRule="auto"/>
              <w:jc w:val="center"/>
              <w:rPr>
                <w:rFonts w:eastAsia="Times New Roman" w:cs="Times New Roman"/>
                <w:color w:val="000000"/>
              </w:rPr>
            </w:pPr>
            <w:r w:rsidRPr="00296D0C">
              <w:rPr>
                <w:color w:val="000000"/>
              </w:rPr>
              <w:t>1272</w:t>
            </w:r>
          </w:p>
        </w:tc>
        <w:tc>
          <w:tcPr>
            <w:tcW w:w="1701" w:type="dxa"/>
            <w:shd w:val="clear" w:color="auto" w:fill="auto"/>
            <w:vAlign w:val="center"/>
          </w:tcPr>
          <w:p w14:paraId="4E7D8BBA" w14:textId="51654EA9" w:rsidR="00686F2A" w:rsidRPr="00296D0C" w:rsidRDefault="00686F2A" w:rsidP="00686F2A">
            <w:pPr>
              <w:spacing w:after="0" w:line="240" w:lineRule="auto"/>
              <w:jc w:val="center"/>
              <w:rPr>
                <w:color w:val="000000"/>
              </w:rPr>
            </w:pPr>
            <w:r w:rsidRPr="00296D0C">
              <w:rPr>
                <w:color w:val="000000"/>
              </w:rPr>
              <w:t xml:space="preserve">0.72 </w:t>
            </w:r>
          </w:p>
          <w:p w14:paraId="416640F4" w14:textId="77777777" w:rsidR="00686F2A" w:rsidRPr="00296D0C" w:rsidRDefault="00686F2A" w:rsidP="00686F2A">
            <w:pPr>
              <w:spacing w:after="0" w:line="240" w:lineRule="auto"/>
              <w:jc w:val="center"/>
              <w:rPr>
                <w:rFonts w:eastAsia="Times New Roman" w:cs="Times New Roman"/>
                <w:color w:val="000000"/>
              </w:rPr>
            </w:pPr>
            <w:r w:rsidRPr="00296D0C">
              <w:rPr>
                <w:color w:val="000000"/>
              </w:rPr>
              <w:t>(0.54, 0.98)</w:t>
            </w:r>
          </w:p>
        </w:tc>
        <w:tc>
          <w:tcPr>
            <w:tcW w:w="965" w:type="dxa"/>
            <w:shd w:val="clear" w:color="auto" w:fill="auto"/>
            <w:vAlign w:val="center"/>
          </w:tcPr>
          <w:p w14:paraId="0AD69714" w14:textId="77777777" w:rsidR="00686F2A" w:rsidRPr="00296D0C" w:rsidRDefault="00686F2A" w:rsidP="00686F2A">
            <w:pPr>
              <w:spacing w:after="0" w:line="240" w:lineRule="auto"/>
              <w:jc w:val="center"/>
              <w:rPr>
                <w:rFonts w:eastAsia="Times New Roman" w:cs="Times New Roman"/>
                <w:color w:val="000000"/>
              </w:rPr>
            </w:pPr>
            <w:r w:rsidRPr="00296D0C">
              <w:rPr>
                <w:color w:val="000000"/>
              </w:rPr>
              <w:t>0.034</w:t>
            </w:r>
          </w:p>
        </w:tc>
      </w:tr>
      <w:tr w:rsidR="00686F2A" w:rsidRPr="00296D0C" w14:paraId="5286065A" w14:textId="77777777" w:rsidTr="00686F2A">
        <w:trPr>
          <w:trHeight w:val="299"/>
        </w:trPr>
        <w:tc>
          <w:tcPr>
            <w:tcW w:w="2539" w:type="dxa"/>
            <w:shd w:val="clear" w:color="auto" w:fill="auto"/>
            <w:noWrap/>
            <w:vAlign w:val="center"/>
            <w:hideMark/>
          </w:tcPr>
          <w:p w14:paraId="5BC514C4" w14:textId="39A97F85" w:rsidR="00686F2A" w:rsidRPr="00296D0C" w:rsidRDefault="00686F2A" w:rsidP="00686F2A">
            <w:pPr>
              <w:spacing w:after="0" w:line="240" w:lineRule="auto"/>
              <w:rPr>
                <w:rFonts w:eastAsia="Times New Roman" w:cs="Times New Roman"/>
                <w:color w:val="000000"/>
              </w:rPr>
            </w:pPr>
            <w:r w:rsidRPr="00296D0C">
              <w:rPr>
                <w:color w:val="000000"/>
              </w:rPr>
              <w:t>Healthy Snacks</w:t>
            </w:r>
          </w:p>
        </w:tc>
        <w:tc>
          <w:tcPr>
            <w:tcW w:w="1358" w:type="dxa"/>
            <w:shd w:val="clear" w:color="auto" w:fill="auto"/>
            <w:noWrap/>
            <w:vAlign w:val="center"/>
            <w:hideMark/>
          </w:tcPr>
          <w:p w14:paraId="32BA837D" w14:textId="77777777" w:rsidR="00686F2A" w:rsidRPr="00296D0C" w:rsidRDefault="00686F2A" w:rsidP="00686F2A">
            <w:pPr>
              <w:spacing w:after="0" w:line="240" w:lineRule="auto"/>
              <w:jc w:val="center"/>
              <w:rPr>
                <w:rFonts w:eastAsia="Times New Roman" w:cs="Times New Roman"/>
                <w:color w:val="000000"/>
              </w:rPr>
            </w:pPr>
            <w:r w:rsidRPr="00296D0C">
              <w:rPr>
                <w:color w:val="000000"/>
              </w:rPr>
              <w:t>645</w:t>
            </w:r>
          </w:p>
        </w:tc>
        <w:tc>
          <w:tcPr>
            <w:tcW w:w="1181" w:type="dxa"/>
            <w:shd w:val="clear" w:color="auto" w:fill="auto"/>
            <w:noWrap/>
            <w:vAlign w:val="center"/>
            <w:hideMark/>
          </w:tcPr>
          <w:p w14:paraId="3853158C" w14:textId="77777777" w:rsidR="00686F2A" w:rsidRPr="00296D0C" w:rsidRDefault="00686F2A" w:rsidP="00686F2A">
            <w:pPr>
              <w:spacing w:after="0" w:line="240" w:lineRule="auto"/>
              <w:jc w:val="center"/>
              <w:rPr>
                <w:color w:val="000000"/>
              </w:rPr>
            </w:pPr>
            <w:r w:rsidRPr="00296D0C">
              <w:rPr>
                <w:color w:val="000000"/>
              </w:rPr>
              <w:t xml:space="preserve">2.46 </w:t>
            </w:r>
          </w:p>
          <w:p w14:paraId="666E6C1B" w14:textId="77777777" w:rsidR="00686F2A" w:rsidRPr="00296D0C" w:rsidRDefault="00686F2A" w:rsidP="00686F2A">
            <w:pPr>
              <w:spacing w:after="0" w:line="240" w:lineRule="auto"/>
              <w:jc w:val="center"/>
              <w:rPr>
                <w:rFonts w:eastAsia="Times New Roman" w:cs="Times New Roman"/>
                <w:color w:val="000000"/>
              </w:rPr>
            </w:pPr>
            <w:r w:rsidRPr="00296D0C">
              <w:rPr>
                <w:color w:val="000000"/>
              </w:rPr>
              <w:t>(1.35)</w:t>
            </w:r>
          </w:p>
        </w:tc>
        <w:tc>
          <w:tcPr>
            <w:tcW w:w="1035" w:type="dxa"/>
            <w:shd w:val="clear" w:color="auto" w:fill="auto"/>
            <w:noWrap/>
            <w:vAlign w:val="center"/>
            <w:hideMark/>
          </w:tcPr>
          <w:p w14:paraId="35363641" w14:textId="77777777" w:rsidR="00686F2A" w:rsidRPr="00296D0C" w:rsidRDefault="00686F2A" w:rsidP="00686F2A">
            <w:pPr>
              <w:spacing w:after="0" w:line="240" w:lineRule="auto"/>
              <w:jc w:val="center"/>
              <w:rPr>
                <w:rFonts w:eastAsia="Times New Roman" w:cs="Times New Roman"/>
                <w:color w:val="000000"/>
              </w:rPr>
            </w:pPr>
            <w:r w:rsidRPr="00296D0C">
              <w:rPr>
                <w:color w:val="000000"/>
              </w:rPr>
              <w:t>624</w:t>
            </w:r>
          </w:p>
        </w:tc>
        <w:tc>
          <w:tcPr>
            <w:tcW w:w="1075" w:type="dxa"/>
            <w:shd w:val="clear" w:color="auto" w:fill="auto"/>
            <w:noWrap/>
            <w:vAlign w:val="center"/>
            <w:hideMark/>
          </w:tcPr>
          <w:p w14:paraId="7BCC2B69" w14:textId="2597F180" w:rsidR="00686F2A" w:rsidRPr="00296D0C" w:rsidRDefault="00686F2A" w:rsidP="00686F2A">
            <w:pPr>
              <w:spacing w:after="0" w:line="240" w:lineRule="auto"/>
              <w:jc w:val="center"/>
              <w:rPr>
                <w:rFonts w:eastAsia="Times New Roman" w:cs="Times New Roman"/>
                <w:color w:val="000000"/>
              </w:rPr>
            </w:pPr>
            <w:r w:rsidRPr="00296D0C">
              <w:rPr>
                <w:color w:val="000000"/>
              </w:rPr>
              <w:t>2.25 (1.35)</w:t>
            </w:r>
          </w:p>
        </w:tc>
        <w:tc>
          <w:tcPr>
            <w:tcW w:w="1346" w:type="dxa"/>
            <w:shd w:val="clear" w:color="auto" w:fill="auto"/>
            <w:noWrap/>
            <w:vAlign w:val="center"/>
            <w:hideMark/>
          </w:tcPr>
          <w:p w14:paraId="62AA4624" w14:textId="77777777" w:rsidR="00686F2A" w:rsidRPr="00296D0C" w:rsidRDefault="00686F2A" w:rsidP="00686F2A">
            <w:pPr>
              <w:spacing w:after="0" w:line="240" w:lineRule="auto"/>
              <w:jc w:val="center"/>
              <w:rPr>
                <w:rFonts w:eastAsia="Times New Roman" w:cs="Times New Roman"/>
                <w:color w:val="000000"/>
              </w:rPr>
            </w:pPr>
            <w:r w:rsidRPr="00296D0C">
              <w:rPr>
                <w:color w:val="000000"/>
              </w:rPr>
              <w:t>1257</w:t>
            </w:r>
          </w:p>
        </w:tc>
        <w:tc>
          <w:tcPr>
            <w:tcW w:w="1692" w:type="dxa"/>
            <w:shd w:val="clear" w:color="auto" w:fill="auto"/>
            <w:noWrap/>
            <w:vAlign w:val="center"/>
            <w:hideMark/>
          </w:tcPr>
          <w:p w14:paraId="3951BB9B" w14:textId="133A433D" w:rsidR="00686F2A" w:rsidRPr="00296D0C" w:rsidRDefault="00686F2A" w:rsidP="00686F2A">
            <w:pPr>
              <w:spacing w:after="0" w:line="240" w:lineRule="auto"/>
              <w:jc w:val="center"/>
              <w:rPr>
                <w:color w:val="000000"/>
              </w:rPr>
            </w:pPr>
            <w:r w:rsidRPr="00296D0C">
              <w:rPr>
                <w:color w:val="000000"/>
              </w:rPr>
              <w:t xml:space="preserve">1.29 </w:t>
            </w:r>
          </w:p>
          <w:p w14:paraId="0F96EBB3" w14:textId="77777777" w:rsidR="00686F2A" w:rsidRPr="00296D0C" w:rsidRDefault="00686F2A" w:rsidP="00686F2A">
            <w:pPr>
              <w:spacing w:after="0" w:line="240" w:lineRule="auto"/>
              <w:jc w:val="center"/>
              <w:rPr>
                <w:rFonts w:eastAsia="Times New Roman" w:cs="Times New Roman"/>
                <w:color w:val="000000"/>
              </w:rPr>
            </w:pPr>
            <w:r w:rsidRPr="00296D0C">
              <w:rPr>
                <w:color w:val="000000"/>
              </w:rPr>
              <w:t>(0.97, 1.70)</w:t>
            </w:r>
          </w:p>
        </w:tc>
        <w:tc>
          <w:tcPr>
            <w:tcW w:w="923" w:type="dxa"/>
            <w:shd w:val="clear" w:color="auto" w:fill="auto"/>
            <w:noWrap/>
            <w:vAlign w:val="center"/>
            <w:hideMark/>
          </w:tcPr>
          <w:p w14:paraId="2BDCE2F5" w14:textId="77777777" w:rsidR="00686F2A" w:rsidRPr="00296D0C" w:rsidRDefault="00686F2A" w:rsidP="00686F2A">
            <w:pPr>
              <w:spacing w:after="0" w:line="240" w:lineRule="auto"/>
              <w:jc w:val="center"/>
              <w:rPr>
                <w:rFonts w:eastAsia="Times New Roman" w:cs="Times New Roman"/>
                <w:color w:val="000000"/>
              </w:rPr>
            </w:pPr>
            <w:r w:rsidRPr="00296D0C">
              <w:rPr>
                <w:color w:val="000000"/>
              </w:rPr>
              <w:t>0.077</w:t>
            </w:r>
          </w:p>
        </w:tc>
        <w:tc>
          <w:tcPr>
            <w:tcW w:w="1041" w:type="dxa"/>
            <w:shd w:val="clear" w:color="auto" w:fill="auto"/>
            <w:vAlign w:val="center"/>
          </w:tcPr>
          <w:p w14:paraId="53FB9BEE" w14:textId="77777777" w:rsidR="00686F2A" w:rsidRPr="00296D0C" w:rsidRDefault="00686F2A" w:rsidP="00686F2A">
            <w:pPr>
              <w:spacing w:after="0" w:line="240" w:lineRule="auto"/>
              <w:jc w:val="center"/>
              <w:rPr>
                <w:rFonts w:eastAsia="Times New Roman" w:cs="Times New Roman"/>
                <w:color w:val="000000"/>
              </w:rPr>
            </w:pPr>
            <w:r w:rsidRPr="00296D0C">
              <w:rPr>
                <w:color w:val="000000"/>
              </w:rPr>
              <w:t>1269</w:t>
            </w:r>
          </w:p>
        </w:tc>
        <w:tc>
          <w:tcPr>
            <w:tcW w:w="1701" w:type="dxa"/>
            <w:shd w:val="clear" w:color="auto" w:fill="auto"/>
            <w:vAlign w:val="center"/>
          </w:tcPr>
          <w:p w14:paraId="7699EBE0" w14:textId="48E51D87" w:rsidR="00686F2A" w:rsidRPr="00296D0C" w:rsidRDefault="00686F2A" w:rsidP="00686F2A">
            <w:pPr>
              <w:spacing w:after="0" w:line="240" w:lineRule="auto"/>
              <w:jc w:val="center"/>
              <w:rPr>
                <w:color w:val="000000"/>
              </w:rPr>
            </w:pPr>
            <w:r w:rsidRPr="00296D0C">
              <w:rPr>
                <w:color w:val="000000"/>
              </w:rPr>
              <w:t xml:space="preserve">1.36 </w:t>
            </w:r>
          </w:p>
          <w:p w14:paraId="09FAD83B" w14:textId="77777777" w:rsidR="00686F2A" w:rsidRPr="00296D0C" w:rsidRDefault="00686F2A" w:rsidP="00686F2A">
            <w:pPr>
              <w:spacing w:after="0" w:line="240" w:lineRule="auto"/>
              <w:jc w:val="center"/>
              <w:rPr>
                <w:rFonts w:eastAsia="Times New Roman" w:cs="Times New Roman"/>
                <w:color w:val="000000"/>
              </w:rPr>
            </w:pPr>
            <w:r w:rsidRPr="00296D0C">
              <w:rPr>
                <w:color w:val="000000"/>
              </w:rPr>
              <w:t>(1.00, 1.86)</w:t>
            </w:r>
          </w:p>
        </w:tc>
        <w:tc>
          <w:tcPr>
            <w:tcW w:w="965" w:type="dxa"/>
            <w:shd w:val="clear" w:color="auto" w:fill="auto"/>
            <w:vAlign w:val="center"/>
          </w:tcPr>
          <w:p w14:paraId="7745F99D" w14:textId="77777777" w:rsidR="00686F2A" w:rsidRPr="00296D0C" w:rsidRDefault="00686F2A" w:rsidP="00686F2A">
            <w:pPr>
              <w:spacing w:after="0" w:line="240" w:lineRule="auto"/>
              <w:jc w:val="center"/>
              <w:rPr>
                <w:rFonts w:eastAsia="Times New Roman" w:cs="Times New Roman"/>
                <w:color w:val="000000"/>
              </w:rPr>
            </w:pPr>
            <w:r w:rsidRPr="00296D0C">
              <w:rPr>
                <w:color w:val="000000"/>
              </w:rPr>
              <w:t>0.052</w:t>
            </w:r>
          </w:p>
        </w:tc>
      </w:tr>
      <w:tr w:rsidR="00686F2A" w:rsidRPr="00296D0C" w14:paraId="0DFC0839" w14:textId="77777777" w:rsidTr="00686F2A">
        <w:trPr>
          <w:trHeight w:val="299"/>
        </w:trPr>
        <w:tc>
          <w:tcPr>
            <w:tcW w:w="2539" w:type="dxa"/>
            <w:shd w:val="clear" w:color="auto" w:fill="auto"/>
            <w:noWrap/>
            <w:vAlign w:val="center"/>
          </w:tcPr>
          <w:p w14:paraId="7AAE9085" w14:textId="36D70811" w:rsidR="00686F2A" w:rsidRPr="00296D0C" w:rsidRDefault="00686F2A" w:rsidP="00686F2A">
            <w:pPr>
              <w:spacing w:after="0" w:line="240" w:lineRule="auto"/>
              <w:rPr>
                <w:rFonts w:eastAsia="Times New Roman" w:cs="Times New Roman"/>
                <w:color w:val="000000"/>
              </w:rPr>
            </w:pPr>
            <w:r w:rsidRPr="00296D0C">
              <w:rPr>
                <w:color w:val="000000"/>
              </w:rPr>
              <w:t>Negative Food Markers</w:t>
            </w:r>
          </w:p>
        </w:tc>
        <w:tc>
          <w:tcPr>
            <w:tcW w:w="1358" w:type="dxa"/>
            <w:shd w:val="clear" w:color="auto" w:fill="auto"/>
            <w:noWrap/>
            <w:vAlign w:val="center"/>
          </w:tcPr>
          <w:p w14:paraId="15EB38C1" w14:textId="77777777" w:rsidR="00686F2A" w:rsidRPr="00296D0C" w:rsidRDefault="00686F2A" w:rsidP="00686F2A">
            <w:pPr>
              <w:spacing w:after="0" w:line="240" w:lineRule="auto"/>
              <w:jc w:val="center"/>
              <w:rPr>
                <w:rFonts w:eastAsia="Times New Roman" w:cs="Times New Roman"/>
                <w:color w:val="000000"/>
              </w:rPr>
            </w:pPr>
            <w:r w:rsidRPr="00296D0C">
              <w:rPr>
                <w:color w:val="000000"/>
              </w:rPr>
              <w:t>647</w:t>
            </w:r>
          </w:p>
        </w:tc>
        <w:tc>
          <w:tcPr>
            <w:tcW w:w="1181" w:type="dxa"/>
            <w:shd w:val="clear" w:color="auto" w:fill="auto"/>
            <w:noWrap/>
            <w:vAlign w:val="center"/>
          </w:tcPr>
          <w:p w14:paraId="7BECF018" w14:textId="77777777" w:rsidR="00686F2A" w:rsidRPr="00296D0C" w:rsidRDefault="00686F2A" w:rsidP="00686F2A">
            <w:pPr>
              <w:spacing w:after="0" w:line="240" w:lineRule="auto"/>
              <w:jc w:val="center"/>
              <w:rPr>
                <w:color w:val="000000"/>
              </w:rPr>
            </w:pPr>
            <w:r w:rsidRPr="00296D0C">
              <w:rPr>
                <w:color w:val="000000"/>
              </w:rPr>
              <w:t xml:space="preserve">2.11 </w:t>
            </w:r>
          </w:p>
          <w:p w14:paraId="4BC3BA76" w14:textId="77777777" w:rsidR="00686F2A" w:rsidRPr="00296D0C" w:rsidRDefault="00686F2A" w:rsidP="00686F2A">
            <w:pPr>
              <w:spacing w:after="0" w:line="240" w:lineRule="auto"/>
              <w:jc w:val="center"/>
              <w:rPr>
                <w:rFonts w:eastAsia="Times New Roman" w:cs="Times New Roman"/>
              </w:rPr>
            </w:pPr>
            <w:r w:rsidRPr="00296D0C">
              <w:rPr>
                <w:color w:val="000000"/>
              </w:rPr>
              <w:t>(1.35)</w:t>
            </w:r>
          </w:p>
        </w:tc>
        <w:tc>
          <w:tcPr>
            <w:tcW w:w="1035" w:type="dxa"/>
            <w:shd w:val="clear" w:color="auto" w:fill="auto"/>
            <w:noWrap/>
            <w:vAlign w:val="center"/>
          </w:tcPr>
          <w:p w14:paraId="2ED51084" w14:textId="77777777" w:rsidR="00686F2A" w:rsidRPr="00296D0C" w:rsidRDefault="00686F2A" w:rsidP="00686F2A">
            <w:pPr>
              <w:spacing w:after="0" w:line="240" w:lineRule="auto"/>
              <w:jc w:val="center"/>
              <w:rPr>
                <w:rFonts w:eastAsia="Times New Roman" w:cs="Times New Roman"/>
              </w:rPr>
            </w:pPr>
            <w:r w:rsidRPr="00296D0C">
              <w:rPr>
                <w:color w:val="000000"/>
              </w:rPr>
              <w:t>625</w:t>
            </w:r>
          </w:p>
        </w:tc>
        <w:tc>
          <w:tcPr>
            <w:tcW w:w="1075" w:type="dxa"/>
            <w:shd w:val="clear" w:color="auto" w:fill="auto"/>
            <w:noWrap/>
            <w:vAlign w:val="center"/>
          </w:tcPr>
          <w:p w14:paraId="3EE77504" w14:textId="77777777" w:rsidR="00686F2A" w:rsidRPr="00296D0C" w:rsidRDefault="00686F2A" w:rsidP="00686F2A">
            <w:pPr>
              <w:spacing w:after="0" w:line="240" w:lineRule="auto"/>
              <w:jc w:val="center"/>
              <w:rPr>
                <w:rFonts w:eastAsia="Times New Roman" w:cs="Times New Roman"/>
              </w:rPr>
            </w:pPr>
            <w:r w:rsidRPr="00296D0C">
              <w:rPr>
                <w:color w:val="000000"/>
              </w:rPr>
              <w:t>2.39 (1.37)</w:t>
            </w:r>
          </w:p>
        </w:tc>
        <w:tc>
          <w:tcPr>
            <w:tcW w:w="1346" w:type="dxa"/>
            <w:shd w:val="clear" w:color="auto" w:fill="auto"/>
            <w:noWrap/>
            <w:vAlign w:val="center"/>
          </w:tcPr>
          <w:p w14:paraId="5080E4DB" w14:textId="77777777" w:rsidR="00686F2A" w:rsidRPr="00296D0C" w:rsidRDefault="00686F2A" w:rsidP="00686F2A">
            <w:pPr>
              <w:spacing w:after="0" w:line="240" w:lineRule="auto"/>
              <w:jc w:val="center"/>
              <w:rPr>
                <w:rFonts w:eastAsia="Times New Roman" w:cs="Times New Roman"/>
              </w:rPr>
            </w:pPr>
            <w:r w:rsidRPr="00296D0C">
              <w:rPr>
                <w:color w:val="000000"/>
              </w:rPr>
              <w:t>1266</w:t>
            </w:r>
          </w:p>
        </w:tc>
        <w:tc>
          <w:tcPr>
            <w:tcW w:w="1692" w:type="dxa"/>
            <w:shd w:val="clear" w:color="auto" w:fill="auto"/>
            <w:noWrap/>
            <w:vAlign w:val="center"/>
          </w:tcPr>
          <w:p w14:paraId="7BD88D8E" w14:textId="593CE3D0" w:rsidR="00686F2A" w:rsidRPr="00296D0C" w:rsidRDefault="00686F2A" w:rsidP="00686F2A">
            <w:pPr>
              <w:spacing w:after="0" w:line="240" w:lineRule="auto"/>
              <w:jc w:val="center"/>
              <w:rPr>
                <w:color w:val="000000"/>
              </w:rPr>
            </w:pPr>
            <w:r w:rsidRPr="00296D0C">
              <w:rPr>
                <w:color w:val="000000"/>
              </w:rPr>
              <w:t xml:space="preserve">0.69 </w:t>
            </w:r>
          </w:p>
          <w:p w14:paraId="3DBB8549" w14:textId="77777777" w:rsidR="00686F2A" w:rsidRPr="00296D0C" w:rsidRDefault="00686F2A" w:rsidP="00686F2A">
            <w:pPr>
              <w:spacing w:after="0" w:line="240" w:lineRule="auto"/>
              <w:jc w:val="center"/>
              <w:rPr>
                <w:rFonts w:eastAsia="Times New Roman" w:cs="Times New Roman"/>
              </w:rPr>
            </w:pPr>
            <w:r w:rsidRPr="00296D0C">
              <w:rPr>
                <w:color w:val="000000"/>
              </w:rPr>
              <w:t>(0.52, 0.92)</w:t>
            </w:r>
          </w:p>
        </w:tc>
        <w:tc>
          <w:tcPr>
            <w:tcW w:w="923" w:type="dxa"/>
            <w:shd w:val="clear" w:color="auto" w:fill="auto"/>
            <w:noWrap/>
            <w:vAlign w:val="center"/>
          </w:tcPr>
          <w:p w14:paraId="5DF50F5E" w14:textId="77777777" w:rsidR="00686F2A" w:rsidRPr="00296D0C" w:rsidRDefault="00686F2A" w:rsidP="00686F2A">
            <w:pPr>
              <w:spacing w:after="0" w:line="240" w:lineRule="auto"/>
              <w:jc w:val="center"/>
              <w:rPr>
                <w:rFonts w:eastAsia="Times New Roman" w:cs="Times New Roman"/>
              </w:rPr>
            </w:pPr>
            <w:r w:rsidRPr="00296D0C">
              <w:rPr>
                <w:color w:val="000000"/>
              </w:rPr>
              <w:t>0.012</w:t>
            </w:r>
          </w:p>
        </w:tc>
        <w:tc>
          <w:tcPr>
            <w:tcW w:w="1041" w:type="dxa"/>
            <w:shd w:val="clear" w:color="auto" w:fill="auto"/>
            <w:vAlign w:val="center"/>
          </w:tcPr>
          <w:p w14:paraId="1D5B7ECA" w14:textId="77777777" w:rsidR="00686F2A" w:rsidRPr="00296D0C" w:rsidRDefault="00686F2A" w:rsidP="00686F2A">
            <w:pPr>
              <w:spacing w:after="0" w:line="240" w:lineRule="auto"/>
              <w:jc w:val="center"/>
              <w:rPr>
                <w:rFonts w:eastAsia="Times New Roman" w:cs="Times New Roman"/>
                <w:color w:val="000000"/>
              </w:rPr>
            </w:pPr>
            <w:r w:rsidRPr="00296D0C">
              <w:rPr>
                <w:color w:val="000000"/>
              </w:rPr>
              <w:t>1272</w:t>
            </w:r>
          </w:p>
        </w:tc>
        <w:tc>
          <w:tcPr>
            <w:tcW w:w="1701" w:type="dxa"/>
            <w:shd w:val="clear" w:color="auto" w:fill="auto"/>
            <w:vAlign w:val="center"/>
          </w:tcPr>
          <w:p w14:paraId="5A1BC59A" w14:textId="39BFA739" w:rsidR="00686F2A" w:rsidRPr="00296D0C" w:rsidRDefault="00686F2A" w:rsidP="00686F2A">
            <w:pPr>
              <w:spacing w:after="0" w:line="240" w:lineRule="auto"/>
              <w:jc w:val="center"/>
              <w:rPr>
                <w:color w:val="000000"/>
              </w:rPr>
            </w:pPr>
            <w:r w:rsidRPr="00296D0C">
              <w:rPr>
                <w:color w:val="000000"/>
              </w:rPr>
              <w:t xml:space="preserve">0.70 </w:t>
            </w:r>
          </w:p>
          <w:p w14:paraId="767883F4" w14:textId="77777777" w:rsidR="00686F2A" w:rsidRPr="00296D0C" w:rsidRDefault="00686F2A" w:rsidP="00686F2A">
            <w:pPr>
              <w:spacing w:after="0" w:line="240" w:lineRule="auto"/>
              <w:jc w:val="center"/>
              <w:rPr>
                <w:rFonts w:eastAsia="Times New Roman" w:cs="Times New Roman"/>
                <w:color w:val="000000"/>
              </w:rPr>
            </w:pPr>
            <w:r w:rsidRPr="00296D0C">
              <w:rPr>
                <w:color w:val="000000"/>
              </w:rPr>
              <w:t>(0.50, 0.97)</w:t>
            </w:r>
          </w:p>
        </w:tc>
        <w:tc>
          <w:tcPr>
            <w:tcW w:w="965" w:type="dxa"/>
            <w:shd w:val="clear" w:color="auto" w:fill="auto"/>
            <w:vAlign w:val="center"/>
          </w:tcPr>
          <w:p w14:paraId="086B0DC6" w14:textId="77777777" w:rsidR="00686F2A" w:rsidRPr="00296D0C" w:rsidRDefault="00686F2A" w:rsidP="00686F2A">
            <w:pPr>
              <w:spacing w:after="0" w:line="240" w:lineRule="auto"/>
              <w:jc w:val="center"/>
              <w:rPr>
                <w:rFonts w:eastAsia="Times New Roman" w:cs="Times New Roman"/>
                <w:color w:val="000000"/>
              </w:rPr>
            </w:pPr>
            <w:r w:rsidRPr="00296D0C">
              <w:rPr>
                <w:color w:val="000000"/>
              </w:rPr>
              <w:t>0.033</w:t>
            </w:r>
          </w:p>
        </w:tc>
      </w:tr>
      <w:tr w:rsidR="00686F2A" w:rsidRPr="00296D0C" w14:paraId="12438981" w14:textId="77777777" w:rsidTr="00686F2A">
        <w:trPr>
          <w:trHeight w:val="299"/>
        </w:trPr>
        <w:tc>
          <w:tcPr>
            <w:tcW w:w="2539" w:type="dxa"/>
            <w:shd w:val="clear" w:color="auto" w:fill="auto"/>
            <w:noWrap/>
            <w:vAlign w:val="center"/>
            <w:hideMark/>
          </w:tcPr>
          <w:p w14:paraId="18D43B64" w14:textId="65FE2987" w:rsidR="00686F2A" w:rsidRPr="00296D0C" w:rsidRDefault="00686F2A" w:rsidP="00686F2A">
            <w:pPr>
              <w:spacing w:after="0" w:line="240" w:lineRule="auto"/>
              <w:rPr>
                <w:rFonts w:eastAsia="Times New Roman" w:cs="Times New Roman"/>
                <w:color w:val="000000"/>
              </w:rPr>
            </w:pPr>
            <w:r w:rsidRPr="00296D0C">
              <w:rPr>
                <w:color w:val="000000"/>
              </w:rPr>
              <w:t>Positive Food Markers</w:t>
            </w:r>
          </w:p>
        </w:tc>
        <w:tc>
          <w:tcPr>
            <w:tcW w:w="1358" w:type="dxa"/>
            <w:shd w:val="clear" w:color="auto" w:fill="auto"/>
            <w:noWrap/>
            <w:vAlign w:val="center"/>
            <w:hideMark/>
          </w:tcPr>
          <w:p w14:paraId="20F72626" w14:textId="77777777" w:rsidR="00686F2A" w:rsidRPr="00296D0C" w:rsidRDefault="00686F2A" w:rsidP="00686F2A">
            <w:pPr>
              <w:spacing w:after="0" w:line="240" w:lineRule="auto"/>
              <w:jc w:val="center"/>
              <w:rPr>
                <w:rFonts w:eastAsia="Times New Roman" w:cs="Times New Roman"/>
                <w:color w:val="000000"/>
              </w:rPr>
            </w:pPr>
            <w:r w:rsidRPr="00296D0C">
              <w:rPr>
                <w:color w:val="000000"/>
              </w:rPr>
              <w:t>647</w:t>
            </w:r>
          </w:p>
        </w:tc>
        <w:tc>
          <w:tcPr>
            <w:tcW w:w="1181" w:type="dxa"/>
            <w:shd w:val="clear" w:color="auto" w:fill="auto"/>
            <w:noWrap/>
            <w:vAlign w:val="center"/>
            <w:hideMark/>
          </w:tcPr>
          <w:p w14:paraId="447F49D5" w14:textId="77777777" w:rsidR="00686F2A" w:rsidRPr="00296D0C" w:rsidRDefault="00686F2A" w:rsidP="00686F2A">
            <w:pPr>
              <w:spacing w:after="0" w:line="240" w:lineRule="auto"/>
              <w:jc w:val="center"/>
              <w:rPr>
                <w:color w:val="000000"/>
              </w:rPr>
            </w:pPr>
            <w:r w:rsidRPr="00296D0C">
              <w:rPr>
                <w:color w:val="000000"/>
              </w:rPr>
              <w:t xml:space="preserve">2.35 </w:t>
            </w:r>
          </w:p>
          <w:p w14:paraId="62405BE6" w14:textId="77777777" w:rsidR="00686F2A" w:rsidRPr="00296D0C" w:rsidRDefault="00686F2A" w:rsidP="00686F2A">
            <w:pPr>
              <w:spacing w:after="0" w:line="240" w:lineRule="auto"/>
              <w:jc w:val="center"/>
              <w:rPr>
                <w:rFonts w:eastAsia="Times New Roman" w:cs="Times New Roman"/>
                <w:color w:val="000000"/>
              </w:rPr>
            </w:pPr>
            <w:r w:rsidRPr="00296D0C">
              <w:rPr>
                <w:color w:val="000000"/>
              </w:rPr>
              <w:t>(1.37)</w:t>
            </w:r>
          </w:p>
        </w:tc>
        <w:tc>
          <w:tcPr>
            <w:tcW w:w="1035" w:type="dxa"/>
            <w:shd w:val="clear" w:color="auto" w:fill="auto"/>
            <w:noWrap/>
            <w:vAlign w:val="center"/>
            <w:hideMark/>
          </w:tcPr>
          <w:p w14:paraId="5A12797E" w14:textId="77777777" w:rsidR="00686F2A" w:rsidRPr="00296D0C" w:rsidRDefault="00686F2A" w:rsidP="00686F2A">
            <w:pPr>
              <w:spacing w:after="0" w:line="240" w:lineRule="auto"/>
              <w:jc w:val="center"/>
              <w:rPr>
                <w:rFonts w:eastAsia="Times New Roman" w:cs="Times New Roman"/>
                <w:color w:val="000000"/>
              </w:rPr>
            </w:pPr>
            <w:r w:rsidRPr="00296D0C">
              <w:rPr>
                <w:color w:val="000000"/>
              </w:rPr>
              <w:t>625</w:t>
            </w:r>
          </w:p>
        </w:tc>
        <w:tc>
          <w:tcPr>
            <w:tcW w:w="1075" w:type="dxa"/>
            <w:shd w:val="clear" w:color="auto" w:fill="auto"/>
            <w:noWrap/>
            <w:vAlign w:val="center"/>
            <w:hideMark/>
          </w:tcPr>
          <w:p w14:paraId="11CBC90B" w14:textId="77777777" w:rsidR="00686F2A" w:rsidRPr="00296D0C" w:rsidRDefault="00686F2A" w:rsidP="00686F2A">
            <w:pPr>
              <w:spacing w:after="0" w:line="240" w:lineRule="auto"/>
              <w:jc w:val="center"/>
              <w:rPr>
                <w:rFonts w:eastAsia="Times New Roman" w:cs="Times New Roman"/>
                <w:color w:val="000000"/>
              </w:rPr>
            </w:pPr>
            <w:r w:rsidRPr="00296D0C">
              <w:rPr>
                <w:color w:val="000000"/>
              </w:rPr>
              <w:t>2.15 (1.35)</w:t>
            </w:r>
          </w:p>
        </w:tc>
        <w:tc>
          <w:tcPr>
            <w:tcW w:w="1346" w:type="dxa"/>
            <w:shd w:val="clear" w:color="auto" w:fill="auto"/>
            <w:noWrap/>
            <w:vAlign w:val="center"/>
            <w:hideMark/>
          </w:tcPr>
          <w:p w14:paraId="51EC5E8C" w14:textId="77777777" w:rsidR="00686F2A" w:rsidRPr="00296D0C" w:rsidRDefault="00686F2A" w:rsidP="00686F2A">
            <w:pPr>
              <w:spacing w:after="0" w:line="240" w:lineRule="auto"/>
              <w:jc w:val="center"/>
              <w:rPr>
                <w:rFonts w:eastAsia="Times New Roman" w:cs="Times New Roman"/>
                <w:color w:val="000000"/>
              </w:rPr>
            </w:pPr>
            <w:r w:rsidRPr="00296D0C">
              <w:rPr>
                <w:color w:val="000000"/>
              </w:rPr>
              <w:t>1266</w:t>
            </w:r>
          </w:p>
        </w:tc>
        <w:tc>
          <w:tcPr>
            <w:tcW w:w="1692" w:type="dxa"/>
            <w:shd w:val="clear" w:color="auto" w:fill="auto"/>
            <w:noWrap/>
            <w:vAlign w:val="center"/>
            <w:hideMark/>
          </w:tcPr>
          <w:p w14:paraId="73F3F97F" w14:textId="4BA9AE7A" w:rsidR="00686F2A" w:rsidRPr="00296D0C" w:rsidRDefault="00686F2A" w:rsidP="00686F2A">
            <w:pPr>
              <w:spacing w:after="0" w:line="240" w:lineRule="auto"/>
              <w:jc w:val="center"/>
              <w:rPr>
                <w:color w:val="000000"/>
              </w:rPr>
            </w:pPr>
            <w:r w:rsidRPr="00296D0C">
              <w:rPr>
                <w:color w:val="000000"/>
              </w:rPr>
              <w:t>1.29</w:t>
            </w:r>
          </w:p>
          <w:p w14:paraId="71B778C4" w14:textId="423E0324" w:rsidR="00686F2A" w:rsidRPr="00296D0C" w:rsidRDefault="00686F2A" w:rsidP="0016101E">
            <w:pPr>
              <w:spacing w:after="0" w:line="240" w:lineRule="auto"/>
              <w:jc w:val="center"/>
              <w:rPr>
                <w:rFonts w:eastAsia="Times New Roman" w:cs="Times New Roman"/>
                <w:color w:val="000000"/>
              </w:rPr>
            </w:pPr>
            <w:r w:rsidRPr="00296D0C">
              <w:rPr>
                <w:color w:val="000000"/>
              </w:rPr>
              <w:t xml:space="preserve"> (0.98, 1.</w:t>
            </w:r>
            <w:r w:rsidR="0016101E">
              <w:rPr>
                <w:color w:val="000000"/>
              </w:rPr>
              <w:t>69</w:t>
            </w:r>
            <w:r w:rsidRPr="00296D0C">
              <w:rPr>
                <w:color w:val="000000"/>
              </w:rPr>
              <w:t>)</w:t>
            </w:r>
          </w:p>
        </w:tc>
        <w:tc>
          <w:tcPr>
            <w:tcW w:w="923" w:type="dxa"/>
            <w:shd w:val="clear" w:color="auto" w:fill="auto"/>
            <w:noWrap/>
            <w:vAlign w:val="center"/>
            <w:hideMark/>
          </w:tcPr>
          <w:p w14:paraId="26A0EC51" w14:textId="77777777" w:rsidR="00686F2A" w:rsidRPr="00296D0C" w:rsidRDefault="00686F2A" w:rsidP="00686F2A">
            <w:pPr>
              <w:spacing w:after="0" w:line="240" w:lineRule="auto"/>
              <w:jc w:val="center"/>
              <w:rPr>
                <w:rFonts w:eastAsia="Times New Roman" w:cs="Times New Roman"/>
                <w:color w:val="000000"/>
              </w:rPr>
            </w:pPr>
            <w:r w:rsidRPr="00296D0C">
              <w:rPr>
                <w:color w:val="000000"/>
              </w:rPr>
              <w:t>0.072</w:t>
            </w:r>
          </w:p>
        </w:tc>
        <w:tc>
          <w:tcPr>
            <w:tcW w:w="1041" w:type="dxa"/>
            <w:shd w:val="clear" w:color="auto" w:fill="auto"/>
            <w:vAlign w:val="center"/>
          </w:tcPr>
          <w:p w14:paraId="0696B5AC" w14:textId="77777777" w:rsidR="00686F2A" w:rsidRPr="00296D0C" w:rsidRDefault="00686F2A" w:rsidP="00686F2A">
            <w:pPr>
              <w:spacing w:after="0" w:line="240" w:lineRule="auto"/>
              <w:jc w:val="center"/>
              <w:rPr>
                <w:rFonts w:eastAsia="Times New Roman" w:cs="Times New Roman"/>
                <w:color w:val="000000"/>
              </w:rPr>
            </w:pPr>
            <w:r w:rsidRPr="00296D0C">
              <w:rPr>
                <w:color w:val="000000"/>
              </w:rPr>
              <w:t>1272</w:t>
            </w:r>
          </w:p>
        </w:tc>
        <w:tc>
          <w:tcPr>
            <w:tcW w:w="1701" w:type="dxa"/>
            <w:shd w:val="clear" w:color="auto" w:fill="auto"/>
            <w:vAlign w:val="center"/>
          </w:tcPr>
          <w:p w14:paraId="5EC43D95" w14:textId="28425F39" w:rsidR="00686F2A" w:rsidRPr="00296D0C" w:rsidRDefault="00686F2A" w:rsidP="00686F2A">
            <w:pPr>
              <w:spacing w:after="0" w:line="240" w:lineRule="auto"/>
              <w:jc w:val="center"/>
              <w:rPr>
                <w:color w:val="000000"/>
              </w:rPr>
            </w:pPr>
            <w:r w:rsidRPr="00296D0C">
              <w:rPr>
                <w:color w:val="000000"/>
              </w:rPr>
              <w:t xml:space="preserve">1.33 </w:t>
            </w:r>
          </w:p>
          <w:p w14:paraId="297B5C84" w14:textId="77777777" w:rsidR="00686F2A" w:rsidRPr="00296D0C" w:rsidRDefault="00686F2A" w:rsidP="00686F2A">
            <w:pPr>
              <w:spacing w:after="0" w:line="240" w:lineRule="auto"/>
              <w:jc w:val="center"/>
              <w:rPr>
                <w:rFonts w:eastAsia="Times New Roman" w:cs="Times New Roman"/>
                <w:color w:val="000000"/>
              </w:rPr>
            </w:pPr>
            <w:r w:rsidRPr="00296D0C">
              <w:rPr>
                <w:color w:val="000000"/>
              </w:rPr>
              <w:t>(0.99, 1.79)</w:t>
            </w:r>
          </w:p>
        </w:tc>
        <w:tc>
          <w:tcPr>
            <w:tcW w:w="965" w:type="dxa"/>
            <w:shd w:val="clear" w:color="auto" w:fill="auto"/>
            <w:vAlign w:val="center"/>
          </w:tcPr>
          <w:p w14:paraId="7C98F031" w14:textId="77777777" w:rsidR="00686F2A" w:rsidRPr="00296D0C" w:rsidRDefault="00686F2A" w:rsidP="00686F2A">
            <w:pPr>
              <w:spacing w:after="0" w:line="240" w:lineRule="auto"/>
              <w:jc w:val="center"/>
              <w:rPr>
                <w:rFonts w:eastAsia="Times New Roman" w:cs="Times New Roman"/>
                <w:color w:val="000000"/>
              </w:rPr>
            </w:pPr>
            <w:r w:rsidRPr="00296D0C">
              <w:rPr>
                <w:color w:val="000000"/>
              </w:rPr>
              <w:t>0.057</w:t>
            </w:r>
          </w:p>
        </w:tc>
      </w:tr>
      <w:tr w:rsidR="00686F2A" w:rsidRPr="00296D0C" w14:paraId="5BE29ED7" w14:textId="77777777" w:rsidTr="00686F2A">
        <w:trPr>
          <w:trHeight w:val="299"/>
        </w:trPr>
        <w:tc>
          <w:tcPr>
            <w:tcW w:w="2539" w:type="dxa"/>
            <w:shd w:val="clear" w:color="auto" w:fill="00CCFF"/>
            <w:noWrap/>
            <w:vAlign w:val="center"/>
            <w:hideMark/>
          </w:tcPr>
          <w:p w14:paraId="43FEDD86" w14:textId="77777777" w:rsidR="00686F2A" w:rsidRPr="00296D0C" w:rsidRDefault="00686F2A" w:rsidP="00686F2A">
            <w:pPr>
              <w:spacing w:after="0" w:line="240" w:lineRule="auto"/>
            </w:pPr>
            <w:r w:rsidRPr="00296D0C">
              <w:t xml:space="preserve">Weekend FIQ </w:t>
            </w:r>
          </w:p>
          <w:p w14:paraId="23853858" w14:textId="77777777" w:rsidR="00686F2A" w:rsidRPr="00296D0C" w:rsidRDefault="00686F2A" w:rsidP="00686F2A">
            <w:pPr>
              <w:spacing w:after="0" w:line="240" w:lineRule="auto"/>
              <w:rPr>
                <w:rFonts w:eastAsia="Times New Roman" w:cs="Times New Roman"/>
                <w:color w:val="000000"/>
              </w:rPr>
            </w:pPr>
            <w:r w:rsidRPr="00296D0C">
              <w:t>(5-level ordinal outcomes)</w:t>
            </w:r>
          </w:p>
        </w:tc>
        <w:tc>
          <w:tcPr>
            <w:tcW w:w="1358" w:type="dxa"/>
            <w:shd w:val="clear" w:color="auto" w:fill="00CCFF"/>
            <w:noWrap/>
            <w:vAlign w:val="center"/>
            <w:hideMark/>
          </w:tcPr>
          <w:p w14:paraId="48CF5991" w14:textId="77777777" w:rsidR="00686F2A" w:rsidRPr="00296D0C" w:rsidRDefault="00686F2A" w:rsidP="00686F2A">
            <w:pPr>
              <w:spacing w:after="0" w:line="240" w:lineRule="auto"/>
              <w:jc w:val="center"/>
              <w:rPr>
                <w:rFonts w:eastAsia="Times New Roman" w:cs="Times New Roman"/>
                <w:color w:val="000000"/>
              </w:rPr>
            </w:pPr>
            <w:r w:rsidRPr="00296D0C">
              <w:rPr>
                <w:rFonts w:eastAsia="Times New Roman" w:cs="Times New Roman"/>
                <w:color w:val="000000"/>
              </w:rPr>
              <w:t>n</w:t>
            </w:r>
          </w:p>
        </w:tc>
        <w:tc>
          <w:tcPr>
            <w:tcW w:w="1181" w:type="dxa"/>
            <w:shd w:val="clear" w:color="auto" w:fill="00CCFF"/>
            <w:noWrap/>
            <w:vAlign w:val="center"/>
            <w:hideMark/>
          </w:tcPr>
          <w:p w14:paraId="55ABE219" w14:textId="77777777" w:rsidR="00686F2A" w:rsidRPr="00296D0C" w:rsidRDefault="00686F2A" w:rsidP="00686F2A">
            <w:pPr>
              <w:spacing w:after="0" w:line="240" w:lineRule="auto"/>
              <w:jc w:val="center"/>
              <w:rPr>
                <w:rFonts w:eastAsia="Times New Roman" w:cs="Times New Roman"/>
                <w:color w:val="000000"/>
              </w:rPr>
            </w:pPr>
            <w:r w:rsidRPr="00296D0C">
              <w:rPr>
                <w:rFonts w:eastAsia="Times New Roman" w:cs="Times New Roman"/>
                <w:color w:val="000000"/>
              </w:rPr>
              <w:t xml:space="preserve">Mean </w:t>
            </w:r>
          </w:p>
          <w:p w14:paraId="3E0DAB6E" w14:textId="77777777" w:rsidR="00686F2A" w:rsidRPr="00296D0C" w:rsidRDefault="00686F2A" w:rsidP="00686F2A">
            <w:pPr>
              <w:spacing w:after="0" w:line="240" w:lineRule="auto"/>
              <w:jc w:val="center"/>
              <w:rPr>
                <w:rFonts w:eastAsia="Times New Roman" w:cs="Times New Roman"/>
                <w:color w:val="000000"/>
              </w:rPr>
            </w:pPr>
            <w:r w:rsidRPr="00296D0C">
              <w:rPr>
                <w:rFonts w:eastAsia="Times New Roman" w:cs="Times New Roman"/>
                <w:color w:val="000000"/>
              </w:rPr>
              <w:t>(SD)</w:t>
            </w:r>
          </w:p>
        </w:tc>
        <w:tc>
          <w:tcPr>
            <w:tcW w:w="1035" w:type="dxa"/>
            <w:shd w:val="clear" w:color="auto" w:fill="00CCFF"/>
            <w:noWrap/>
            <w:vAlign w:val="center"/>
            <w:hideMark/>
          </w:tcPr>
          <w:p w14:paraId="2D766657" w14:textId="600B46B4" w:rsidR="00686F2A" w:rsidRPr="00296D0C" w:rsidRDefault="0016101E" w:rsidP="0016101E">
            <w:pPr>
              <w:spacing w:after="0" w:line="240" w:lineRule="auto"/>
              <w:jc w:val="center"/>
              <w:rPr>
                <w:rFonts w:eastAsia="Times New Roman" w:cs="Times New Roman"/>
                <w:color w:val="000000"/>
              </w:rPr>
            </w:pPr>
            <w:r>
              <w:rPr>
                <w:rFonts w:eastAsia="Times New Roman" w:cs="Times New Roman"/>
                <w:color w:val="000000"/>
              </w:rPr>
              <w:t>n</w:t>
            </w:r>
          </w:p>
        </w:tc>
        <w:tc>
          <w:tcPr>
            <w:tcW w:w="1075" w:type="dxa"/>
            <w:shd w:val="clear" w:color="auto" w:fill="00CCFF"/>
            <w:noWrap/>
            <w:vAlign w:val="center"/>
            <w:hideMark/>
          </w:tcPr>
          <w:p w14:paraId="3240E71B" w14:textId="77777777" w:rsidR="00686F2A" w:rsidRPr="00296D0C" w:rsidRDefault="00686F2A" w:rsidP="00686F2A">
            <w:pPr>
              <w:spacing w:after="0" w:line="240" w:lineRule="auto"/>
              <w:jc w:val="center"/>
              <w:rPr>
                <w:rFonts w:eastAsia="Times New Roman" w:cs="Times New Roman"/>
                <w:color w:val="000000"/>
              </w:rPr>
            </w:pPr>
            <w:r w:rsidRPr="00296D0C">
              <w:rPr>
                <w:rFonts w:eastAsia="Times New Roman" w:cs="Times New Roman"/>
                <w:color w:val="000000"/>
              </w:rPr>
              <w:t>Mean (SD)</w:t>
            </w:r>
          </w:p>
        </w:tc>
        <w:tc>
          <w:tcPr>
            <w:tcW w:w="1346" w:type="dxa"/>
            <w:shd w:val="clear" w:color="auto" w:fill="00CCFF"/>
            <w:noWrap/>
            <w:vAlign w:val="center"/>
            <w:hideMark/>
          </w:tcPr>
          <w:p w14:paraId="7EEEC5EE" w14:textId="77777777" w:rsidR="00686F2A" w:rsidRPr="00296D0C" w:rsidRDefault="00686F2A" w:rsidP="00686F2A">
            <w:pPr>
              <w:spacing w:after="0" w:line="240" w:lineRule="auto"/>
              <w:jc w:val="center"/>
              <w:rPr>
                <w:rFonts w:eastAsia="Times New Roman" w:cs="Times New Roman"/>
                <w:color w:val="000000"/>
              </w:rPr>
            </w:pPr>
            <w:r w:rsidRPr="00296D0C">
              <w:rPr>
                <w:rFonts w:eastAsia="Times New Roman" w:cs="Times New Roman"/>
                <w:color w:val="000000"/>
              </w:rPr>
              <w:t>Total</w:t>
            </w:r>
          </w:p>
          <w:p w14:paraId="292C3479" w14:textId="77777777" w:rsidR="00686F2A" w:rsidRPr="00296D0C" w:rsidRDefault="00686F2A" w:rsidP="00686F2A">
            <w:pPr>
              <w:spacing w:after="0" w:line="240" w:lineRule="auto"/>
              <w:jc w:val="center"/>
              <w:rPr>
                <w:rFonts w:eastAsia="Times New Roman" w:cs="Times New Roman"/>
                <w:color w:val="000000"/>
              </w:rPr>
            </w:pPr>
            <w:r w:rsidRPr="00296D0C">
              <w:rPr>
                <w:rFonts w:eastAsia="Times New Roman" w:cs="Times New Roman"/>
                <w:color w:val="000000"/>
              </w:rPr>
              <w:t>n in analysis</w:t>
            </w:r>
          </w:p>
        </w:tc>
        <w:tc>
          <w:tcPr>
            <w:tcW w:w="1692" w:type="dxa"/>
            <w:shd w:val="clear" w:color="auto" w:fill="00CCFF"/>
            <w:noWrap/>
            <w:vAlign w:val="center"/>
            <w:hideMark/>
          </w:tcPr>
          <w:p w14:paraId="1FE5C6EC" w14:textId="77777777" w:rsidR="00686F2A" w:rsidRPr="00296D0C" w:rsidRDefault="00686F2A" w:rsidP="00686F2A">
            <w:pPr>
              <w:spacing w:after="0" w:line="240" w:lineRule="auto"/>
              <w:jc w:val="center"/>
              <w:rPr>
                <w:rFonts w:eastAsia="Times New Roman" w:cs="Times New Roman"/>
                <w:color w:val="000000"/>
              </w:rPr>
            </w:pPr>
            <w:r w:rsidRPr="00296D0C">
              <w:rPr>
                <w:rFonts w:eastAsia="Times New Roman" w:cs="Times New Roman"/>
                <w:color w:val="000000"/>
              </w:rPr>
              <w:t xml:space="preserve">Odds ratio </w:t>
            </w:r>
          </w:p>
          <w:p w14:paraId="4D0D11B8" w14:textId="77777777" w:rsidR="00686F2A" w:rsidRPr="00296D0C" w:rsidRDefault="00686F2A" w:rsidP="00686F2A">
            <w:pPr>
              <w:spacing w:after="0" w:line="240" w:lineRule="auto"/>
              <w:jc w:val="center"/>
              <w:rPr>
                <w:rFonts w:eastAsia="Times New Roman" w:cs="Times New Roman"/>
                <w:color w:val="000000"/>
              </w:rPr>
            </w:pPr>
            <w:r w:rsidRPr="00296D0C">
              <w:rPr>
                <w:rFonts w:eastAsia="Times New Roman" w:cs="Times New Roman"/>
                <w:color w:val="000000"/>
              </w:rPr>
              <w:t>(95% CI)</w:t>
            </w:r>
          </w:p>
        </w:tc>
        <w:tc>
          <w:tcPr>
            <w:tcW w:w="923" w:type="dxa"/>
            <w:shd w:val="clear" w:color="auto" w:fill="00CCFF"/>
            <w:noWrap/>
            <w:vAlign w:val="center"/>
            <w:hideMark/>
          </w:tcPr>
          <w:p w14:paraId="096D8C59" w14:textId="77777777" w:rsidR="00686F2A" w:rsidRPr="00296D0C" w:rsidRDefault="00686F2A" w:rsidP="00686F2A">
            <w:pPr>
              <w:spacing w:after="0" w:line="240" w:lineRule="auto"/>
              <w:jc w:val="center"/>
              <w:rPr>
                <w:rFonts w:eastAsia="Times New Roman" w:cs="Times New Roman"/>
                <w:color w:val="000000"/>
              </w:rPr>
            </w:pPr>
            <w:r w:rsidRPr="00296D0C">
              <w:rPr>
                <w:rFonts w:eastAsia="Times New Roman" w:cs="Times New Roman"/>
                <w:color w:val="000000"/>
              </w:rPr>
              <w:t>p-value</w:t>
            </w:r>
          </w:p>
        </w:tc>
        <w:tc>
          <w:tcPr>
            <w:tcW w:w="1041" w:type="dxa"/>
            <w:shd w:val="clear" w:color="auto" w:fill="00CCFF"/>
            <w:vAlign w:val="center"/>
          </w:tcPr>
          <w:p w14:paraId="4AADF744" w14:textId="77777777" w:rsidR="00686F2A" w:rsidRPr="00296D0C" w:rsidRDefault="00686F2A" w:rsidP="00686F2A">
            <w:pPr>
              <w:spacing w:after="0" w:line="240" w:lineRule="auto"/>
              <w:jc w:val="center"/>
              <w:rPr>
                <w:rFonts w:eastAsia="Times New Roman" w:cs="Times New Roman"/>
                <w:color w:val="000000"/>
              </w:rPr>
            </w:pPr>
            <w:r w:rsidRPr="00296D0C">
              <w:rPr>
                <w:rFonts w:eastAsia="Times New Roman" w:cs="Times New Roman"/>
                <w:color w:val="000000"/>
              </w:rPr>
              <w:t>Total</w:t>
            </w:r>
          </w:p>
          <w:p w14:paraId="0EF3C9BE" w14:textId="77777777" w:rsidR="00686F2A" w:rsidRPr="00296D0C" w:rsidRDefault="00686F2A" w:rsidP="00686F2A">
            <w:pPr>
              <w:spacing w:after="0" w:line="240" w:lineRule="auto"/>
              <w:jc w:val="center"/>
              <w:rPr>
                <w:rFonts w:eastAsia="Times New Roman" w:cs="Times New Roman"/>
                <w:color w:val="000000"/>
              </w:rPr>
            </w:pPr>
            <w:r w:rsidRPr="00296D0C">
              <w:rPr>
                <w:rFonts w:eastAsia="Times New Roman" w:cs="Times New Roman"/>
                <w:color w:val="000000"/>
              </w:rPr>
              <w:t>n in analysis</w:t>
            </w:r>
          </w:p>
        </w:tc>
        <w:tc>
          <w:tcPr>
            <w:tcW w:w="1701" w:type="dxa"/>
            <w:shd w:val="clear" w:color="auto" w:fill="00CCFF"/>
            <w:vAlign w:val="center"/>
          </w:tcPr>
          <w:p w14:paraId="398F2FED" w14:textId="77777777" w:rsidR="00686F2A" w:rsidRPr="00296D0C" w:rsidRDefault="00686F2A" w:rsidP="00686F2A">
            <w:pPr>
              <w:spacing w:after="0" w:line="240" w:lineRule="auto"/>
              <w:jc w:val="center"/>
              <w:rPr>
                <w:rFonts w:eastAsia="Times New Roman" w:cs="Times New Roman"/>
                <w:color w:val="000000"/>
              </w:rPr>
            </w:pPr>
            <w:r w:rsidRPr="00296D0C">
              <w:rPr>
                <w:rFonts w:eastAsia="Times New Roman" w:cs="Times New Roman"/>
                <w:color w:val="000000"/>
              </w:rPr>
              <w:t xml:space="preserve"> Odds ratio </w:t>
            </w:r>
          </w:p>
          <w:p w14:paraId="452E6FE3" w14:textId="77777777" w:rsidR="00686F2A" w:rsidRPr="00296D0C" w:rsidRDefault="00686F2A" w:rsidP="00686F2A">
            <w:pPr>
              <w:spacing w:after="0" w:line="240" w:lineRule="auto"/>
              <w:jc w:val="center"/>
              <w:rPr>
                <w:rFonts w:eastAsia="Times New Roman" w:cs="Times New Roman"/>
                <w:color w:val="000000"/>
              </w:rPr>
            </w:pPr>
            <w:r w:rsidRPr="00296D0C">
              <w:rPr>
                <w:rFonts w:eastAsia="Times New Roman" w:cs="Times New Roman"/>
                <w:color w:val="000000"/>
              </w:rPr>
              <w:t>(95% CI)</w:t>
            </w:r>
          </w:p>
        </w:tc>
        <w:tc>
          <w:tcPr>
            <w:tcW w:w="965" w:type="dxa"/>
            <w:shd w:val="clear" w:color="auto" w:fill="00CCFF"/>
            <w:vAlign w:val="center"/>
          </w:tcPr>
          <w:p w14:paraId="21873AAC" w14:textId="77777777" w:rsidR="00686F2A" w:rsidRPr="00296D0C" w:rsidRDefault="00686F2A" w:rsidP="00686F2A">
            <w:pPr>
              <w:spacing w:after="0" w:line="240" w:lineRule="auto"/>
              <w:jc w:val="center"/>
              <w:rPr>
                <w:rFonts w:eastAsia="Times New Roman" w:cs="Times New Roman"/>
                <w:color w:val="000000"/>
              </w:rPr>
            </w:pPr>
            <w:r w:rsidRPr="00296D0C">
              <w:rPr>
                <w:rFonts w:eastAsia="Times New Roman" w:cs="Times New Roman"/>
                <w:color w:val="000000"/>
              </w:rPr>
              <w:t>p-value</w:t>
            </w:r>
          </w:p>
        </w:tc>
      </w:tr>
      <w:tr w:rsidR="00686F2A" w:rsidRPr="00296D0C" w14:paraId="37E6D825" w14:textId="77777777" w:rsidTr="00686F2A">
        <w:trPr>
          <w:trHeight w:val="299"/>
        </w:trPr>
        <w:tc>
          <w:tcPr>
            <w:tcW w:w="2539" w:type="dxa"/>
            <w:shd w:val="clear" w:color="auto" w:fill="auto"/>
            <w:noWrap/>
            <w:vAlign w:val="center"/>
            <w:hideMark/>
          </w:tcPr>
          <w:p w14:paraId="1FF48D74" w14:textId="5731BE23" w:rsidR="00686F2A" w:rsidRPr="00296D0C" w:rsidRDefault="00686F2A" w:rsidP="00686F2A">
            <w:pPr>
              <w:spacing w:after="0" w:line="240" w:lineRule="auto"/>
              <w:rPr>
                <w:rFonts w:eastAsia="Times New Roman" w:cs="Times New Roman"/>
                <w:color w:val="000000"/>
              </w:rPr>
            </w:pPr>
            <w:r w:rsidRPr="00296D0C">
              <w:rPr>
                <w:color w:val="000000"/>
              </w:rPr>
              <w:t>Energy-Dense Snacks</w:t>
            </w:r>
          </w:p>
        </w:tc>
        <w:tc>
          <w:tcPr>
            <w:tcW w:w="1358" w:type="dxa"/>
            <w:shd w:val="clear" w:color="auto" w:fill="auto"/>
            <w:noWrap/>
            <w:vAlign w:val="center"/>
            <w:hideMark/>
          </w:tcPr>
          <w:p w14:paraId="03E34B79" w14:textId="77777777" w:rsidR="00686F2A" w:rsidRPr="00296D0C" w:rsidRDefault="00686F2A" w:rsidP="00686F2A">
            <w:pPr>
              <w:spacing w:after="0" w:line="240" w:lineRule="auto"/>
              <w:jc w:val="center"/>
              <w:rPr>
                <w:rFonts w:eastAsia="Times New Roman" w:cs="Times New Roman"/>
                <w:color w:val="000000"/>
              </w:rPr>
            </w:pPr>
            <w:r w:rsidRPr="00296D0C">
              <w:rPr>
                <w:color w:val="000000"/>
              </w:rPr>
              <w:t>647</w:t>
            </w:r>
          </w:p>
        </w:tc>
        <w:tc>
          <w:tcPr>
            <w:tcW w:w="1181" w:type="dxa"/>
            <w:shd w:val="clear" w:color="auto" w:fill="auto"/>
            <w:noWrap/>
            <w:vAlign w:val="center"/>
            <w:hideMark/>
          </w:tcPr>
          <w:p w14:paraId="41D31A81" w14:textId="77777777" w:rsidR="00686F2A" w:rsidRPr="00296D0C" w:rsidRDefault="00686F2A" w:rsidP="00686F2A">
            <w:pPr>
              <w:spacing w:after="0" w:line="240" w:lineRule="auto"/>
              <w:jc w:val="center"/>
              <w:rPr>
                <w:color w:val="000000"/>
              </w:rPr>
            </w:pPr>
            <w:r w:rsidRPr="00296D0C">
              <w:rPr>
                <w:color w:val="000000"/>
              </w:rPr>
              <w:t xml:space="preserve">2.29 </w:t>
            </w:r>
          </w:p>
          <w:p w14:paraId="5AAC8D85" w14:textId="77777777" w:rsidR="00686F2A" w:rsidRPr="00296D0C" w:rsidRDefault="00686F2A" w:rsidP="00686F2A">
            <w:pPr>
              <w:spacing w:after="0" w:line="240" w:lineRule="auto"/>
              <w:jc w:val="center"/>
              <w:rPr>
                <w:rFonts w:eastAsia="Times New Roman" w:cs="Times New Roman"/>
                <w:color w:val="000000"/>
              </w:rPr>
            </w:pPr>
            <w:r w:rsidRPr="00296D0C">
              <w:rPr>
                <w:color w:val="000000"/>
              </w:rPr>
              <w:t>(1.27)</w:t>
            </w:r>
          </w:p>
        </w:tc>
        <w:tc>
          <w:tcPr>
            <w:tcW w:w="1035" w:type="dxa"/>
            <w:shd w:val="clear" w:color="auto" w:fill="auto"/>
            <w:noWrap/>
            <w:vAlign w:val="center"/>
            <w:hideMark/>
          </w:tcPr>
          <w:p w14:paraId="28BE0C2C" w14:textId="77777777" w:rsidR="00686F2A" w:rsidRPr="00296D0C" w:rsidRDefault="00686F2A" w:rsidP="00686F2A">
            <w:pPr>
              <w:spacing w:after="0" w:line="240" w:lineRule="auto"/>
              <w:jc w:val="center"/>
              <w:rPr>
                <w:rFonts w:eastAsia="Times New Roman" w:cs="Times New Roman"/>
                <w:color w:val="000000"/>
              </w:rPr>
            </w:pPr>
            <w:r w:rsidRPr="00296D0C">
              <w:rPr>
                <w:color w:val="000000"/>
              </w:rPr>
              <w:t>626</w:t>
            </w:r>
          </w:p>
        </w:tc>
        <w:tc>
          <w:tcPr>
            <w:tcW w:w="1075" w:type="dxa"/>
            <w:shd w:val="clear" w:color="auto" w:fill="auto"/>
            <w:noWrap/>
            <w:vAlign w:val="center"/>
            <w:hideMark/>
          </w:tcPr>
          <w:p w14:paraId="1DE5BA32" w14:textId="77777777" w:rsidR="00686F2A" w:rsidRPr="00296D0C" w:rsidRDefault="00686F2A" w:rsidP="00686F2A">
            <w:pPr>
              <w:spacing w:after="0" w:line="240" w:lineRule="auto"/>
              <w:jc w:val="center"/>
              <w:rPr>
                <w:rFonts w:eastAsia="Times New Roman" w:cs="Times New Roman"/>
                <w:color w:val="000000"/>
              </w:rPr>
            </w:pPr>
            <w:r w:rsidRPr="00296D0C">
              <w:rPr>
                <w:color w:val="000000"/>
              </w:rPr>
              <w:t>2.36 (1.28)</w:t>
            </w:r>
          </w:p>
        </w:tc>
        <w:tc>
          <w:tcPr>
            <w:tcW w:w="1346" w:type="dxa"/>
            <w:shd w:val="clear" w:color="auto" w:fill="auto"/>
            <w:noWrap/>
            <w:vAlign w:val="center"/>
            <w:hideMark/>
          </w:tcPr>
          <w:p w14:paraId="1124CB36" w14:textId="77777777" w:rsidR="00686F2A" w:rsidRPr="00296D0C" w:rsidRDefault="00686F2A" w:rsidP="00686F2A">
            <w:pPr>
              <w:spacing w:after="0" w:line="240" w:lineRule="auto"/>
              <w:jc w:val="center"/>
              <w:rPr>
                <w:rFonts w:eastAsia="Times New Roman" w:cs="Times New Roman"/>
                <w:color w:val="000000"/>
              </w:rPr>
            </w:pPr>
            <w:r w:rsidRPr="00296D0C">
              <w:rPr>
                <w:color w:val="000000"/>
              </w:rPr>
              <w:t>1269</w:t>
            </w:r>
          </w:p>
        </w:tc>
        <w:tc>
          <w:tcPr>
            <w:tcW w:w="1692" w:type="dxa"/>
            <w:shd w:val="clear" w:color="auto" w:fill="auto"/>
            <w:noWrap/>
            <w:vAlign w:val="center"/>
            <w:hideMark/>
          </w:tcPr>
          <w:p w14:paraId="4B948F30" w14:textId="77777777" w:rsidR="00686F2A" w:rsidRPr="00296D0C" w:rsidRDefault="00686F2A" w:rsidP="00686F2A">
            <w:pPr>
              <w:spacing w:after="0" w:line="240" w:lineRule="auto"/>
              <w:jc w:val="center"/>
              <w:rPr>
                <w:color w:val="000000"/>
              </w:rPr>
            </w:pPr>
            <w:r w:rsidRPr="00296D0C">
              <w:rPr>
                <w:color w:val="000000"/>
              </w:rPr>
              <w:t>0.89</w:t>
            </w:r>
          </w:p>
          <w:p w14:paraId="1D460399" w14:textId="77777777" w:rsidR="00686F2A" w:rsidRPr="00296D0C" w:rsidRDefault="00686F2A" w:rsidP="00686F2A">
            <w:pPr>
              <w:spacing w:after="0" w:line="240" w:lineRule="auto"/>
              <w:jc w:val="center"/>
              <w:rPr>
                <w:rFonts w:eastAsia="Times New Roman" w:cs="Times New Roman"/>
                <w:color w:val="000000"/>
              </w:rPr>
            </w:pPr>
            <w:r w:rsidRPr="00296D0C">
              <w:rPr>
                <w:color w:val="000000"/>
              </w:rPr>
              <w:t xml:space="preserve"> (0.69, 1.16)</w:t>
            </w:r>
          </w:p>
        </w:tc>
        <w:tc>
          <w:tcPr>
            <w:tcW w:w="923" w:type="dxa"/>
            <w:shd w:val="clear" w:color="auto" w:fill="auto"/>
            <w:noWrap/>
            <w:vAlign w:val="center"/>
            <w:hideMark/>
          </w:tcPr>
          <w:p w14:paraId="2204D249" w14:textId="77777777" w:rsidR="00686F2A" w:rsidRPr="00296D0C" w:rsidRDefault="00686F2A" w:rsidP="00686F2A">
            <w:pPr>
              <w:spacing w:after="0" w:line="240" w:lineRule="auto"/>
              <w:jc w:val="center"/>
              <w:rPr>
                <w:rFonts w:eastAsia="Times New Roman" w:cs="Times New Roman"/>
                <w:color w:val="000000"/>
              </w:rPr>
            </w:pPr>
            <w:r w:rsidRPr="00296D0C">
              <w:rPr>
                <w:color w:val="000000"/>
              </w:rPr>
              <w:t>0.395</w:t>
            </w:r>
          </w:p>
        </w:tc>
        <w:tc>
          <w:tcPr>
            <w:tcW w:w="1041" w:type="dxa"/>
            <w:shd w:val="clear" w:color="auto" w:fill="auto"/>
            <w:vAlign w:val="center"/>
          </w:tcPr>
          <w:p w14:paraId="2E03FBDC" w14:textId="77777777" w:rsidR="00686F2A" w:rsidRPr="00296D0C" w:rsidRDefault="00686F2A" w:rsidP="00686F2A">
            <w:pPr>
              <w:spacing w:after="0" w:line="240" w:lineRule="auto"/>
              <w:jc w:val="center"/>
              <w:rPr>
                <w:rFonts w:eastAsia="Times New Roman" w:cs="Times New Roman"/>
                <w:color w:val="000000"/>
              </w:rPr>
            </w:pPr>
            <w:r w:rsidRPr="00296D0C">
              <w:rPr>
                <w:color w:val="000000"/>
              </w:rPr>
              <w:t>1273</w:t>
            </w:r>
          </w:p>
        </w:tc>
        <w:tc>
          <w:tcPr>
            <w:tcW w:w="1701" w:type="dxa"/>
            <w:shd w:val="clear" w:color="auto" w:fill="auto"/>
            <w:vAlign w:val="center"/>
          </w:tcPr>
          <w:p w14:paraId="69E1E962" w14:textId="77777777" w:rsidR="00686F2A" w:rsidRPr="00296D0C" w:rsidRDefault="00686F2A" w:rsidP="00686F2A">
            <w:pPr>
              <w:spacing w:after="0" w:line="240" w:lineRule="auto"/>
              <w:jc w:val="center"/>
              <w:rPr>
                <w:color w:val="000000"/>
              </w:rPr>
            </w:pPr>
            <w:r w:rsidRPr="00296D0C">
              <w:rPr>
                <w:color w:val="000000"/>
              </w:rPr>
              <w:t xml:space="preserve">0.97 </w:t>
            </w:r>
          </w:p>
          <w:p w14:paraId="1AC332DD" w14:textId="77777777" w:rsidR="00686F2A" w:rsidRPr="00296D0C" w:rsidRDefault="00686F2A" w:rsidP="00686F2A">
            <w:pPr>
              <w:spacing w:after="0" w:line="240" w:lineRule="auto"/>
              <w:jc w:val="center"/>
              <w:rPr>
                <w:rFonts w:eastAsia="Times New Roman" w:cs="Times New Roman"/>
                <w:color w:val="000000"/>
              </w:rPr>
            </w:pPr>
            <w:r w:rsidRPr="00296D0C">
              <w:rPr>
                <w:color w:val="000000"/>
              </w:rPr>
              <w:t>(0.73, 1.28)</w:t>
            </w:r>
          </w:p>
        </w:tc>
        <w:tc>
          <w:tcPr>
            <w:tcW w:w="965" w:type="dxa"/>
            <w:shd w:val="clear" w:color="auto" w:fill="auto"/>
            <w:vAlign w:val="center"/>
          </w:tcPr>
          <w:p w14:paraId="4D830F18" w14:textId="77777777" w:rsidR="00686F2A" w:rsidRPr="00296D0C" w:rsidRDefault="00686F2A" w:rsidP="00686F2A">
            <w:pPr>
              <w:spacing w:after="0" w:line="240" w:lineRule="auto"/>
              <w:jc w:val="center"/>
              <w:rPr>
                <w:rFonts w:eastAsia="Times New Roman" w:cs="Times New Roman"/>
                <w:color w:val="000000"/>
              </w:rPr>
            </w:pPr>
            <w:r w:rsidRPr="00296D0C">
              <w:rPr>
                <w:color w:val="000000"/>
              </w:rPr>
              <w:t>0.816</w:t>
            </w:r>
          </w:p>
        </w:tc>
      </w:tr>
      <w:tr w:rsidR="00686F2A" w:rsidRPr="00296D0C" w14:paraId="7CC644B9" w14:textId="77777777" w:rsidTr="00686F2A">
        <w:trPr>
          <w:trHeight w:val="299"/>
        </w:trPr>
        <w:tc>
          <w:tcPr>
            <w:tcW w:w="2539" w:type="dxa"/>
            <w:shd w:val="clear" w:color="auto" w:fill="auto"/>
            <w:noWrap/>
            <w:vAlign w:val="center"/>
            <w:hideMark/>
          </w:tcPr>
          <w:p w14:paraId="2DFEE7C6" w14:textId="1567736B" w:rsidR="00686F2A" w:rsidRPr="00296D0C" w:rsidRDefault="00686F2A" w:rsidP="00686F2A">
            <w:pPr>
              <w:spacing w:after="0" w:line="240" w:lineRule="auto"/>
              <w:rPr>
                <w:rFonts w:eastAsia="Times New Roman" w:cs="Times New Roman"/>
                <w:color w:val="000000"/>
              </w:rPr>
            </w:pPr>
            <w:r w:rsidRPr="00296D0C">
              <w:rPr>
                <w:color w:val="000000"/>
              </w:rPr>
              <w:t>Healthy Snacks</w:t>
            </w:r>
          </w:p>
        </w:tc>
        <w:tc>
          <w:tcPr>
            <w:tcW w:w="1358" w:type="dxa"/>
            <w:shd w:val="clear" w:color="auto" w:fill="auto"/>
            <w:noWrap/>
            <w:vAlign w:val="center"/>
            <w:hideMark/>
          </w:tcPr>
          <w:p w14:paraId="270E52B9" w14:textId="77777777" w:rsidR="00686F2A" w:rsidRPr="00296D0C" w:rsidRDefault="00686F2A" w:rsidP="00686F2A">
            <w:pPr>
              <w:spacing w:after="0" w:line="240" w:lineRule="auto"/>
              <w:jc w:val="center"/>
              <w:rPr>
                <w:rFonts w:eastAsia="Times New Roman" w:cs="Times New Roman"/>
                <w:color w:val="000000"/>
              </w:rPr>
            </w:pPr>
            <w:r w:rsidRPr="00296D0C">
              <w:rPr>
                <w:color w:val="000000"/>
              </w:rPr>
              <w:t>639</w:t>
            </w:r>
          </w:p>
        </w:tc>
        <w:tc>
          <w:tcPr>
            <w:tcW w:w="1181" w:type="dxa"/>
            <w:shd w:val="clear" w:color="auto" w:fill="auto"/>
            <w:noWrap/>
            <w:vAlign w:val="center"/>
            <w:hideMark/>
          </w:tcPr>
          <w:p w14:paraId="6B885B18" w14:textId="77777777" w:rsidR="00686F2A" w:rsidRPr="00296D0C" w:rsidRDefault="00686F2A" w:rsidP="00686F2A">
            <w:pPr>
              <w:spacing w:after="0" w:line="240" w:lineRule="auto"/>
              <w:jc w:val="center"/>
              <w:rPr>
                <w:color w:val="000000"/>
              </w:rPr>
            </w:pPr>
            <w:r w:rsidRPr="00296D0C">
              <w:rPr>
                <w:color w:val="000000"/>
              </w:rPr>
              <w:t xml:space="preserve">2.22 </w:t>
            </w:r>
          </w:p>
          <w:p w14:paraId="691BAA64" w14:textId="77777777" w:rsidR="00686F2A" w:rsidRPr="00296D0C" w:rsidRDefault="00686F2A" w:rsidP="00686F2A">
            <w:pPr>
              <w:spacing w:after="0" w:line="240" w:lineRule="auto"/>
              <w:jc w:val="center"/>
              <w:rPr>
                <w:rFonts w:eastAsia="Times New Roman" w:cs="Times New Roman"/>
                <w:color w:val="000000"/>
              </w:rPr>
            </w:pPr>
            <w:r w:rsidRPr="00296D0C">
              <w:rPr>
                <w:color w:val="000000"/>
              </w:rPr>
              <w:t>(1.39)</w:t>
            </w:r>
          </w:p>
        </w:tc>
        <w:tc>
          <w:tcPr>
            <w:tcW w:w="1035" w:type="dxa"/>
            <w:shd w:val="clear" w:color="auto" w:fill="auto"/>
            <w:noWrap/>
            <w:vAlign w:val="center"/>
            <w:hideMark/>
          </w:tcPr>
          <w:p w14:paraId="6564B623" w14:textId="77777777" w:rsidR="00686F2A" w:rsidRPr="00296D0C" w:rsidRDefault="00686F2A" w:rsidP="00686F2A">
            <w:pPr>
              <w:spacing w:after="0" w:line="240" w:lineRule="auto"/>
              <w:jc w:val="center"/>
              <w:rPr>
                <w:rFonts w:eastAsia="Times New Roman" w:cs="Times New Roman"/>
                <w:color w:val="000000"/>
              </w:rPr>
            </w:pPr>
            <w:r w:rsidRPr="00296D0C">
              <w:rPr>
                <w:color w:val="000000"/>
              </w:rPr>
              <w:t>620</w:t>
            </w:r>
          </w:p>
        </w:tc>
        <w:tc>
          <w:tcPr>
            <w:tcW w:w="1075" w:type="dxa"/>
            <w:shd w:val="clear" w:color="auto" w:fill="auto"/>
            <w:noWrap/>
            <w:vAlign w:val="center"/>
            <w:hideMark/>
          </w:tcPr>
          <w:p w14:paraId="63AC4790" w14:textId="77777777" w:rsidR="00686F2A" w:rsidRPr="00296D0C" w:rsidRDefault="00686F2A" w:rsidP="00686F2A">
            <w:pPr>
              <w:spacing w:after="0" w:line="240" w:lineRule="auto"/>
              <w:jc w:val="center"/>
              <w:rPr>
                <w:rFonts w:eastAsia="Times New Roman" w:cs="Times New Roman"/>
                <w:color w:val="000000"/>
              </w:rPr>
            </w:pPr>
            <w:r w:rsidRPr="00296D0C">
              <w:rPr>
                <w:color w:val="000000"/>
              </w:rPr>
              <w:t>2.01 (1.38)</w:t>
            </w:r>
          </w:p>
        </w:tc>
        <w:tc>
          <w:tcPr>
            <w:tcW w:w="1346" w:type="dxa"/>
            <w:shd w:val="clear" w:color="auto" w:fill="auto"/>
            <w:noWrap/>
            <w:vAlign w:val="center"/>
            <w:hideMark/>
          </w:tcPr>
          <w:p w14:paraId="634239E6" w14:textId="77777777" w:rsidR="00686F2A" w:rsidRPr="00296D0C" w:rsidRDefault="00686F2A" w:rsidP="00686F2A">
            <w:pPr>
              <w:spacing w:after="0" w:line="240" w:lineRule="auto"/>
              <w:jc w:val="center"/>
              <w:rPr>
                <w:rFonts w:eastAsia="Times New Roman" w:cs="Times New Roman"/>
                <w:color w:val="000000"/>
              </w:rPr>
            </w:pPr>
            <w:r w:rsidRPr="00296D0C">
              <w:rPr>
                <w:color w:val="000000"/>
              </w:rPr>
              <w:t>1242</w:t>
            </w:r>
          </w:p>
        </w:tc>
        <w:tc>
          <w:tcPr>
            <w:tcW w:w="1692" w:type="dxa"/>
            <w:shd w:val="clear" w:color="auto" w:fill="auto"/>
            <w:noWrap/>
            <w:vAlign w:val="center"/>
            <w:hideMark/>
          </w:tcPr>
          <w:p w14:paraId="7EB41D8B" w14:textId="77777777" w:rsidR="00686F2A" w:rsidRPr="00296D0C" w:rsidRDefault="00686F2A" w:rsidP="00686F2A">
            <w:pPr>
              <w:spacing w:after="0" w:line="240" w:lineRule="auto"/>
              <w:jc w:val="center"/>
              <w:rPr>
                <w:color w:val="000000"/>
              </w:rPr>
            </w:pPr>
            <w:r w:rsidRPr="00296D0C">
              <w:rPr>
                <w:color w:val="000000"/>
              </w:rPr>
              <w:t xml:space="preserve">1.27 </w:t>
            </w:r>
          </w:p>
          <w:p w14:paraId="5EDE5A66" w14:textId="77777777" w:rsidR="00686F2A" w:rsidRPr="00296D0C" w:rsidRDefault="00686F2A" w:rsidP="00686F2A">
            <w:pPr>
              <w:spacing w:after="0" w:line="240" w:lineRule="auto"/>
              <w:jc w:val="center"/>
              <w:rPr>
                <w:rFonts w:eastAsia="Times New Roman" w:cs="Times New Roman"/>
                <w:color w:val="000000"/>
              </w:rPr>
            </w:pPr>
            <w:r w:rsidRPr="00296D0C">
              <w:rPr>
                <w:color w:val="000000"/>
              </w:rPr>
              <w:t>(1.00, 1.61)</w:t>
            </w:r>
          </w:p>
        </w:tc>
        <w:tc>
          <w:tcPr>
            <w:tcW w:w="923" w:type="dxa"/>
            <w:shd w:val="clear" w:color="auto" w:fill="auto"/>
            <w:noWrap/>
            <w:vAlign w:val="center"/>
            <w:hideMark/>
          </w:tcPr>
          <w:p w14:paraId="133EF378" w14:textId="77777777" w:rsidR="00686F2A" w:rsidRPr="00296D0C" w:rsidRDefault="00686F2A" w:rsidP="00686F2A">
            <w:pPr>
              <w:spacing w:after="0" w:line="240" w:lineRule="auto"/>
              <w:jc w:val="center"/>
              <w:rPr>
                <w:rFonts w:eastAsia="Times New Roman" w:cs="Times New Roman"/>
                <w:color w:val="000000"/>
              </w:rPr>
            </w:pPr>
            <w:r w:rsidRPr="00296D0C">
              <w:rPr>
                <w:color w:val="000000"/>
              </w:rPr>
              <w:t>0.047</w:t>
            </w:r>
          </w:p>
        </w:tc>
        <w:tc>
          <w:tcPr>
            <w:tcW w:w="1041" w:type="dxa"/>
            <w:shd w:val="clear" w:color="auto" w:fill="auto"/>
            <w:vAlign w:val="center"/>
          </w:tcPr>
          <w:p w14:paraId="710EF218" w14:textId="77777777" w:rsidR="00686F2A" w:rsidRPr="00296D0C" w:rsidRDefault="00686F2A" w:rsidP="00686F2A">
            <w:pPr>
              <w:spacing w:after="0" w:line="240" w:lineRule="auto"/>
              <w:jc w:val="center"/>
              <w:rPr>
                <w:rFonts w:eastAsia="Times New Roman" w:cs="Times New Roman"/>
                <w:color w:val="000000"/>
              </w:rPr>
            </w:pPr>
            <w:r w:rsidRPr="00296D0C">
              <w:rPr>
                <w:color w:val="000000"/>
              </w:rPr>
              <w:t>1259</w:t>
            </w:r>
          </w:p>
        </w:tc>
        <w:tc>
          <w:tcPr>
            <w:tcW w:w="1701" w:type="dxa"/>
            <w:shd w:val="clear" w:color="auto" w:fill="auto"/>
            <w:vAlign w:val="center"/>
          </w:tcPr>
          <w:p w14:paraId="656A8910" w14:textId="1D6C754E" w:rsidR="00686F2A" w:rsidRPr="00296D0C" w:rsidRDefault="00686F2A" w:rsidP="00686F2A">
            <w:pPr>
              <w:spacing w:after="0" w:line="240" w:lineRule="auto"/>
              <w:jc w:val="center"/>
              <w:rPr>
                <w:color w:val="000000"/>
              </w:rPr>
            </w:pPr>
            <w:r w:rsidRPr="00296D0C">
              <w:rPr>
                <w:color w:val="000000"/>
              </w:rPr>
              <w:t xml:space="preserve">1.32 </w:t>
            </w:r>
          </w:p>
          <w:p w14:paraId="43191EE0" w14:textId="77777777" w:rsidR="00686F2A" w:rsidRPr="00296D0C" w:rsidRDefault="00686F2A" w:rsidP="00686F2A">
            <w:pPr>
              <w:spacing w:after="0" w:line="240" w:lineRule="auto"/>
              <w:jc w:val="center"/>
              <w:rPr>
                <w:rFonts w:eastAsia="Times New Roman" w:cs="Times New Roman"/>
                <w:color w:val="000000"/>
              </w:rPr>
            </w:pPr>
            <w:r w:rsidRPr="00296D0C">
              <w:rPr>
                <w:color w:val="000000"/>
              </w:rPr>
              <w:t>(1.01, 1.72)</w:t>
            </w:r>
          </w:p>
        </w:tc>
        <w:tc>
          <w:tcPr>
            <w:tcW w:w="965" w:type="dxa"/>
            <w:shd w:val="clear" w:color="auto" w:fill="auto"/>
            <w:vAlign w:val="center"/>
          </w:tcPr>
          <w:p w14:paraId="35C25F14" w14:textId="77777777" w:rsidR="00686F2A" w:rsidRPr="00296D0C" w:rsidRDefault="00686F2A" w:rsidP="00686F2A">
            <w:pPr>
              <w:spacing w:after="0" w:line="240" w:lineRule="auto"/>
              <w:jc w:val="center"/>
              <w:rPr>
                <w:rFonts w:eastAsia="Times New Roman" w:cs="Times New Roman"/>
                <w:color w:val="000000"/>
              </w:rPr>
            </w:pPr>
            <w:r w:rsidRPr="00296D0C">
              <w:rPr>
                <w:color w:val="000000"/>
              </w:rPr>
              <w:t>0.043</w:t>
            </w:r>
          </w:p>
        </w:tc>
      </w:tr>
      <w:tr w:rsidR="00686F2A" w:rsidRPr="00296D0C" w14:paraId="4F1B7006" w14:textId="77777777" w:rsidTr="00686F2A">
        <w:trPr>
          <w:trHeight w:val="299"/>
        </w:trPr>
        <w:tc>
          <w:tcPr>
            <w:tcW w:w="2539" w:type="dxa"/>
            <w:shd w:val="clear" w:color="auto" w:fill="auto"/>
            <w:noWrap/>
            <w:vAlign w:val="center"/>
          </w:tcPr>
          <w:p w14:paraId="5D4771D4" w14:textId="794F1FBF" w:rsidR="00686F2A" w:rsidRPr="00296D0C" w:rsidRDefault="00686F2A" w:rsidP="00686F2A">
            <w:pPr>
              <w:spacing w:after="0" w:line="240" w:lineRule="auto"/>
              <w:rPr>
                <w:color w:val="000000"/>
              </w:rPr>
            </w:pPr>
            <w:r w:rsidRPr="00296D0C">
              <w:rPr>
                <w:color w:val="000000"/>
              </w:rPr>
              <w:t>Negative Food Markers</w:t>
            </w:r>
          </w:p>
        </w:tc>
        <w:tc>
          <w:tcPr>
            <w:tcW w:w="1358" w:type="dxa"/>
            <w:shd w:val="clear" w:color="auto" w:fill="auto"/>
            <w:noWrap/>
            <w:vAlign w:val="center"/>
          </w:tcPr>
          <w:p w14:paraId="18E6BF57" w14:textId="77777777" w:rsidR="00686F2A" w:rsidRPr="00296D0C" w:rsidRDefault="00686F2A" w:rsidP="00686F2A">
            <w:pPr>
              <w:spacing w:after="0" w:line="240" w:lineRule="auto"/>
              <w:jc w:val="center"/>
              <w:rPr>
                <w:rFonts w:eastAsia="Times New Roman" w:cs="Times New Roman"/>
                <w:color w:val="000000"/>
              </w:rPr>
            </w:pPr>
            <w:r w:rsidRPr="00296D0C">
              <w:rPr>
                <w:color w:val="000000"/>
              </w:rPr>
              <w:t>648</w:t>
            </w:r>
          </w:p>
        </w:tc>
        <w:tc>
          <w:tcPr>
            <w:tcW w:w="1181" w:type="dxa"/>
            <w:shd w:val="clear" w:color="auto" w:fill="auto"/>
            <w:noWrap/>
            <w:vAlign w:val="center"/>
          </w:tcPr>
          <w:p w14:paraId="6747209B" w14:textId="77777777" w:rsidR="00686F2A" w:rsidRPr="00296D0C" w:rsidRDefault="00686F2A" w:rsidP="00686F2A">
            <w:pPr>
              <w:spacing w:after="0" w:line="240" w:lineRule="auto"/>
              <w:jc w:val="center"/>
              <w:rPr>
                <w:color w:val="000000"/>
              </w:rPr>
            </w:pPr>
            <w:r w:rsidRPr="00296D0C">
              <w:rPr>
                <w:color w:val="000000"/>
              </w:rPr>
              <w:t xml:space="preserve">2.18 </w:t>
            </w:r>
          </w:p>
          <w:p w14:paraId="2EBAB666" w14:textId="77777777" w:rsidR="00686F2A" w:rsidRPr="00296D0C" w:rsidRDefault="00686F2A" w:rsidP="00686F2A">
            <w:pPr>
              <w:spacing w:after="0" w:line="240" w:lineRule="auto"/>
              <w:jc w:val="center"/>
              <w:rPr>
                <w:rFonts w:eastAsia="Times New Roman" w:cs="Times New Roman"/>
              </w:rPr>
            </w:pPr>
            <w:r w:rsidRPr="00296D0C">
              <w:rPr>
                <w:color w:val="000000"/>
              </w:rPr>
              <w:t>(1.41)</w:t>
            </w:r>
          </w:p>
        </w:tc>
        <w:tc>
          <w:tcPr>
            <w:tcW w:w="1035" w:type="dxa"/>
            <w:shd w:val="clear" w:color="auto" w:fill="auto"/>
            <w:noWrap/>
            <w:vAlign w:val="center"/>
          </w:tcPr>
          <w:p w14:paraId="4BF42399" w14:textId="77777777" w:rsidR="00686F2A" w:rsidRPr="00296D0C" w:rsidRDefault="00686F2A" w:rsidP="00686F2A">
            <w:pPr>
              <w:spacing w:after="0" w:line="240" w:lineRule="auto"/>
              <w:jc w:val="center"/>
              <w:rPr>
                <w:rFonts w:eastAsia="Times New Roman" w:cs="Times New Roman"/>
              </w:rPr>
            </w:pPr>
            <w:r w:rsidRPr="00296D0C">
              <w:rPr>
                <w:color w:val="000000"/>
              </w:rPr>
              <w:t>626</w:t>
            </w:r>
          </w:p>
        </w:tc>
        <w:tc>
          <w:tcPr>
            <w:tcW w:w="1075" w:type="dxa"/>
            <w:shd w:val="clear" w:color="auto" w:fill="auto"/>
            <w:noWrap/>
            <w:vAlign w:val="center"/>
          </w:tcPr>
          <w:p w14:paraId="7006756D" w14:textId="3D0BD717" w:rsidR="00686F2A" w:rsidRPr="00296D0C" w:rsidRDefault="00686F2A" w:rsidP="00745B48">
            <w:pPr>
              <w:spacing w:after="0" w:line="240" w:lineRule="auto"/>
              <w:jc w:val="center"/>
              <w:rPr>
                <w:rFonts w:eastAsia="Times New Roman" w:cs="Times New Roman"/>
              </w:rPr>
            </w:pPr>
            <w:r w:rsidRPr="00296D0C">
              <w:rPr>
                <w:color w:val="000000"/>
              </w:rPr>
              <w:t>2.20 (1.43)</w:t>
            </w:r>
          </w:p>
        </w:tc>
        <w:tc>
          <w:tcPr>
            <w:tcW w:w="1346" w:type="dxa"/>
            <w:shd w:val="clear" w:color="auto" w:fill="auto"/>
            <w:noWrap/>
            <w:vAlign w:val="center"/>
          </w:tcPr>
          <w:p w14:paraId="42D3D66D" w14:textId="77777777" w:rsidR="00686F2A" w:rsidRPr="00296D0C" w:rsidRDefault="00686F2A" w:rsidP="00686F2A">
            <w:pPr>
              <w:spacing w:after="0" w:line="240" w:lineRule="auto"/>
              <w:jc w:val="center"/>
              <w:rPr>
                <w:rFonts w:eastAsia="Times New Roman" w:cs="Times New Roman"/>
              </w:rPr>
            </w:pPr>
            <w:r w:rsidRPr="00296D0C">
              <w:rPr>
                <w:color w:val="000000"/>
              </w:rPr>
              <w:t>1270</w:t>
            </w:r>
          </w:p>
        </w:tc>
        <w:tc>
          <w:tcPr>
            <w:tcW w:w="1692" w:type="dxa"/>
            <w:shd w:val="clear" w:color="auto" w:fill="auto"/>
            <w:noWrap/>
            <w:vAlign w:val="center"/>
          </w:tcPr>
          <w:p w14:paraId="53D5E8F1" w14:textId="77777777" w:rsidR="00686F2A" w:rsidRPr="00296D0C" w:rsidRDefault="00686F2A" w:rsidP="00686F2A">
            <w:pPr>
              <w:spacing w:after="0" w:line="240" w:lineRule="auto"/>
              <w:jc w:val="center"/>
              <w:rPr>
                <w:color w:val="000000"/>
              </w:rPr>
            </w:pPr>
            <w:r w:rsidRPr="00296D0C">
              <w:rPr>
                <w:color w:val="000000"/>
              </w:rPr>
              <w:t xml:space="preserve">0.97 </w:t>
            </w:r>
          </w:p>
          <w:p w14:paraId="50563B1E" w14:textId="2BA4644C" w:rsidR="00686F2A" w:rsidRPr="00296D0C" w:rsidRDefault="00686F2A" w:rsidP="0016101E">
            <w:pPr>
              <w:spacing w:after="0" w:line="240" w:lineRule="auto"/>
              <w:jc w:val="center"/>
              <w:rPr>
                <w:rFonts w:eastAsia="Times New Roman" w:cs="Times New Roman"/>
              </w:rPr>
            </w:pPr>
            <w:r w:rsidRPr="00296D0C">
              <w:rPr>
                <w:color w:val="000000"/>
              </w:rPr>
              <w:t>(0.74, 1.2</w:t>
            </w:r>
            <w:r w:rsidR="0016101E">
              <w:rPr>
                <w:color w:val="000000"/>
              </w:rPr>
              <w:t>6</w:t>
            </w:r>
            <w:r w:rsidRPr="00296D0C">
              <w:rPr>
                <w:color w:val="000000"/>
              </w:rPr>
              <w:t>)</w:t>
            </w:r>
          </w:p>
        </w:tc>
        <w:tc>
          <w:tcPr>
            <w:tcW w:w="923" w:type="dxa"/>
            <w:shd w:val="clear" w:color="auto" w:fill="auto"/>
            <w:noWrap/>
            <w:vAlign w:val="center"/>
          </w:tcPr>
          <w:p w14:paraId="1726D860" w14:textId="77777777" w:rsidR="00686F2A" w:rsidRPr="00296D0C" w:rsidRDefault="00686F2A" w:rsidP="00686F2A">
            <w:pPr>
              <w:spacing w:after="0" w:line="240" w:lineRule="auto"/>
              <w:jc w:val="center"/>
              <w:rPr>
                <w:rFonts w:eastAsia="Times New Roman" w:cs="Times New Roman"/>
              </w:rPr>
            </w:pPr>
            <w:r w:rsidRPr="00296D0C">
              <w:rPr>
                <w:color w:val="000000"/>
              </w:rPr>
              <w:t>0.810</w:t>
            </w:r>
          </w:p>
        </w:tc>
        <w:tc>
          <w:tcPr>
            <w:tcW w:w="1041" w:type="dxa"/>
            <w:shd w:val="clear" w:color="auto" w:fill="auto"/>
            <w:vAlign w:val="center"/>
          </w:tcPr>
          <w:p w14:paraId="4847929F" w14:textId="77777777" w:rsidR="00686F2A" w:rsidRPr="00296D0C" w:rsidRDefault="00686F2A" w:rsidP="00686F2A">
            <w:pPr>
              <w:spacing w:after="0" w:line="240" w:lineRule="auto"/>
              <w:jc w:val="center"/>
              <w:rPr>
                <w:rFonts w:eastAsia="Times New Roman" w:cs="Times New Roman"/>
                <w:color w:val="000000"/>
              </w:rPr>
            </w:pPr>
            <w:r w:rsidRPr="00296D0C">
              <w:rPr>
                <w:color w:val="000000"/>
              </w:rPr>
              <w:t>1274</w:t>
            </w:r>
          </w:p>
        </w:tc>
        <w:tc>
          <w:tcPr>
            <w:tcW w:w="1701" w:type="dxa"/>
            <w:shd w:val="clear" w:color="auto" w:fill="auto"/>
            <w:vAlign w:val="center"/>
          </w:tcPr>
          <w:p w14:paraId="7CD0BCFE" w14:textId="411905D7" w:rsidR="00686F2A" w:rsidRPr="00296D0C" w:rsidRDefault="00686F2A" w:rsidP="00686F2A">
            <w:pPr>
              <w:spacing w:after="0" w:line="240" w:lineRule="auto"/>
              <w:jc w:val="center"/>
              <w:rPr>
                <w:color w:val="000000"/>
              </w:rPr>
            </w:pPr>
            <w:r w:rsidRPr="00296D0C">
              <w:rPr>
                <w:color w:val="000000"/>
              </w:rPr>
              <w:t xml:space="preserve">1.05 </w:t>
            </w:r>
          </w:p>
          <w:p w14:paraId="6EEF574E" w14:textId="77777777" w:rsidR="00686F2A" w:rsidRPr="00296D0C" w:rsidRDefault="00686F2A" w:rsidP="00686F2A">
            <w:pPr>
              <w:spacing w:after="0" w:line="240" w:lineRule="auto"/>
              <w:jc w:val="center"/>
              <w:rPr>
                <w:rFonts w:eastAsia="Times New Roman" w:cs="Times New Roman"/>
                <w:color w:val="000000"/>
              </w:rPr>
            </w:pPr>
            <w:r w:rsidRPr="00296D0C">
              <w:rPr>
                <w:color w:val="000000"/>
              </w:rPr>
              <w:t>(0.78, 1.41)</w:t>
            </w:r>
          </w:p>
        </w:tc>
        <w:tc>
          <w:tcPr>
            <w:tcW w:w="965" w:type="dxa"/>
            <w:shd w:val="clear" w:color="auto" w:fill="auto"/>
            <w:vAlign w:val="center"/>
          </w:tcPr>
          <w:p w14:paraId="6EF52F10" w14:textId="77777777" w:rsidR="00686F2A" w:rsidRPr="00296D0C" w:rsidRDefault="00686F2A" w:rsidP="00686F2A">
            <w:pPr>
              <w:spacing w:after="0" w:line="240" w:lineRule="auto"/>
              <w:jc w:val="center"/>
              <w:rPr>
                <w:rFonts w:eastAsia="Times New Roman" w:cs="Times New Roman"/>
                <w:color w:val="000000"/>
              </w:rPr>
            </w:pPr>
            <w:r w:rsidRPr="00296D0C">
              <w:rPr>
                <w:color w:val="000000"/>
              </w:rPr>
              <w:t>0.739</w:t>
            </w:r>
          </w:p>
        </w:tc>
      </w:tr>
      <w:tr w:rsidR="00686F2A" w:rsidRPr="00296D0C" w14:paraId="72EB1CFA" w14:textId="77777777" w:rsidTr="00686F2A">
        <w:trPr>
          <w:trHeight w:val="299"/>
        </w:trPr>
        <w:tc>
          <w:tcPr>
            <w:tcW w:w="2539" w:type="dxa"/>
            <w:shd w:val="clear" w:color="auto" w:fill="auto"/>
            <w:noWrap/>
            <w:vAlign w:val="center"/>
            <w:hideMark/>
          </w:tcPr>
          <w:p w14:paraId="6AA56FB7" w14:textId="01F63520" w:rsidR="00686F2A" w:rsidRPr="00296D0C" w:rsidRDefault="00686F2A" w:rsidP="00686F2A">
            <w:pPr>
              <w:spacing w:after="0" w:line="240" w:lineRule="auto"/>
              <w:rPr>
                <w:rFonts w:eastAsia="Times New Roman" w:cs="Times New Roman"/>
                <w:color w:val="000000"/>
              </w:rPr>
            </w:pPr>
            <w:r w:rsidRPr="00296D0C">
              <w:rPr>
                <w:color w:val="000000"/>
              </w:rPr>
              <w:t>Positive Food Markers</w:t>
            </w:r>
          </w:p>
        </w:tc>
        <w:tc>
          <w:tcPr>
            <w:tcW w:w="1358" w:type="dxa"/>
            <w:shd w:val="clear" w:color="auto" w:fill="auto"/>
            <w:noWrap/>
            <w:vAlign w:val="center"/>
            <w:hideMark/>
          </w:tcPr>
          <w:p w14:paraId="67BBC201" w14:textId="77777777" w:rsidR="00686F2A" w:rsidRPr="00296D0C" w:rsidRDefault="00686F2A" w:rsidP="00686F2A">
            <w:pPr>
              <w:spacing w:after="0" w:line="240" w:lineRule="auto"/>
              <w:jc w:val="center"/>
              <w:rPr>
                <w:rFonts w:eastAsia="Times New Roman" w:cs="Times New Roman"/>
                <w:color w:val="000000"/>
              </w:rPr>
            </w:pPr>
            <w:r w:rsidRPr="00296D0C">
              <w:rPr>
                <w:color w:val="000000"/>
              </w:rPr>
              <w:t>648</w:t>
            </w:r>
          </w:p>
        </w:tc>
        <w:tc>
          <w:tcPr>
            <w:tcW w:w="1181" w:type="dxa"/>
            <w:shd w:val="clear" w:color="auto" w:fill="auto"/>
            <w:noWrap/>
            <w:vAlign w:val="center"/>
            <w:hideMark/>
          </w:tcPr>
          <w:p w14:paraId="290E8A3D" w14:textId="77777777" w:rsidR="00686F2A" w:rsidRPr="00296D0C" w:rsidRDefault="00686F2A" w:rsidP="00686F2A">
            <w:pPr>
              <w:spacing w:after="0" w:line="240" w:lineRule="auto"/>
              <w:jc w:val="center"/>
              <w:rPr>
                <w:color w:val="000000"/>
              </w:rPr>
            </w:pPr>
            <w:r w:rsidRPr="00296D0C">
              <w:rPr>
                <w:color w:val="000000"/>
              </w:rPr>
              <w:t>2.29</w:t>
            </w:r>
          </w:p>
          <w:p w14:paraId="2DDA12E3" w14:textId="77777777" w:rsidR="00686F2A" w:rsidRPr="00296D0C" w:rsidRDefault="00686F2A" w:rsidP="00686F2A">
            <w:pPr>
              <w:spacing w:after="0" w:line="240" w:lineRule="auto"/>
              <w:jc w:val="center"/>
              <w:rPr>
                <w:rFonts w:eastAsia="Times New Roman" w:cs="Times New Roman"/>
                <w:color w:val="000000"/>
              </w:rPr>
            </w:pPr>
            <w:r w:rsidRPr="00296D0C">
              <w:rPr>
                <w:color w:val="000000"/>
              </w:rPr>
              <w:t xml:space="preserve"> (1.45)</w:t>
            </w:r>
          </w:p>
        </w:tc>
        <w:tc>
          <w:tcPr>
            <w:tcW w:w="1035" w:type="dxa"/>
            <w:shd w:val="clear" w:color="auto" w:fill="auto"/>
            <w:noWrap/>
            <w:vAlign w:val="center"/>
            <w:hideMark/>
          </w:tcPr>
          <w:p w14:paraId="2213684E" w14:textId="77777777" w:rsidR="00686F2A" w:rsidRPr="00296D0C" w:rsidRDefault="00686F2A" w:rsidP="00686F2A">
            <w:pPr>
              <w:spacing w:after="0" w:line="240" w:lineRule="auto"/>
              <w:jc w:val="center"/>
              <w:rPr>
                <w:rFonts w:eastAsia="Times New Roman" w:cs="Times New Roman"/>
                <w:color w:val="000000"/>
              </w:rPr>
            </w:pPr>
            <w:r w:rsidRPr="00296D0C">
              <w:rPr>
                <w:color w:val="000000"/>
              </w:rPr>
              <w:t>626</w:t>
            </w:r>
          </w:p>
        </w:tc>
        <w:tc>
          <w:tcPr>
            <w:tcW w:w="1075" w:type="dxa"/>
            <w:shd w:val="clear" w:color="auto" w:fill="auto"/>
            <w:noWrap/>
            <w:vAlign w:val="center"/>
            <w:hideMark/>
          </w:tcPr>
          <w:p w14:paraId="5D954A02" w14:textId="77777777" w:rsidR="00686F2A" w:rsidRPr="00296D0C" w:rsidRDefault="00686F2A" w:rsidP="00686F2A">
            <w:pPr>
              <w:spacing w:after="0" w:line="240" w:lineRule="auto"/>
              <w:jc w:val="center"/>
              <w:rPr>
                <w:rFonts w:eastAsia="Times New Roman" w:cs="Times New Roman"/>
                <w:color w:val="000000"/>
              </w:rPr>
            </w:pPr>
            <w:r w:rsidRPr="00296D0C">
              <w:rPr>
                <w:color w:val="000000"/>
              </w:rPr>
              <w:t>2.07 (1.45)</w:t>
            </w:r>
          </w:p>
        </w:tc>
        <w:tc>
          <w:tcPr>
            <w:tcW w:w="1346" w:type="dxa"/>
            <w:shd w:val="clear" w:color="auto" w:fill="auto"/>
            <w:noWrap/>
            <w:vAlign w:val="center"/>
            <w:hideMark/>
          </w:tcPr>
          <w:p w14:paraId="4345081E" w14:textId="77777777" w:rsidR="00686F2A" w:rsidRPr="00296D0C" w:rsidRDefault="00686F2A" w:rsidP="00686F2A">
            <w:pPr>
              <w:spacing w:after="0" w:line="240" w:lineRule="auto"/>
              <w:jc w:val="center"/>
              <w:rPr>
                <w:rFonts w:eastAsia="Times New Roman" w:cs="Times New Roman"/>
                <w:color w:val="000000"/>
              </w:rPr>
            </w:pPr>
            <w:r w:rsidRPr="00296D0C">
              <w:rPr>
                <w:color w:val="000000"/>
              </w:rPr>
              <w:t>1264</w:t>
            </w:r>
          </w:p>
        </w:tc>
        <w:tc>
          <w:tcPr>
            <w:tcW w:w="1692" w:type="dxa"/>
            <w:shd w:val="clear" w:color="auto" w:fill="auto"/>
            <w:noWrap/>
            <w:vAlign w:val="center"/>
            <w:hideMark/>
          </w:tcPr>
          <w:p w14:paraId="4A553520" w14:textId="77777777" w:rsidR="00686F2A" w:rsidRPr="00296D0C" w:rsidRDefault="00686F2A" w:rsidP="00686F2A">
            <w:pPr>
              <w:spacing w:after="0" w:line="240" w:lineRule="auto"/>
              <w:jc w:val="center"/>
              <w:rPr>
                <w:color w:val="000000"/>
              </w:rPr>
            </w:pPr>
            <w:r w:rsidRPr="00296D0C">
              <w:rPr>
                <w:color w:val="000000"/>
              </w:rPr>
              <w:t xml:space="preserve">1.27 </w:t>
            </w:r>
          </w:p>
          <w:p w14:paraId="41E3D861" w14:textId="77777777" w:rsidR="00686F2A" w:rsidRPr="00296D0C" w:rsidRDefault="00686F2A" w:rsidP="00686F2A">
            <w:pPr>
              <w:spacing w:after="0" w:line="240" w:lineRule="auto"/>
              <w:jc w:val="center"/>
              <w:rPr>
                <w:rFonts w:eastAsia="Times New Roman" w:cs="Times New Roman"/>
                <w:color w:val="000000"/>
              </w:rPr>
            </w:pPr>
            <w:r w:rsidRPr="00296D0C">
              <w:rPr>
                <w:color w:val="000000"/>
              </w:rPr>
              <w:t>(0.94, 1.72)</w:t>
            </w:r>
          </w:p>
        </w:tc>
        <w:tc>
          <w:tcPr>
            <w:tcW w:w="923" w:type="dxa"/>
            <w:shd w:val="clear" w:color="auto" w:fill="auto"/>
            <w:noWrap/>
            <w:vAlign w:val="center"/>
            <w:hideMark/>
          </w:tcPr>
          <w:p w14:paraId="5CF0CD37" w14:textId="77777777" w:rsidR="00686F2A" w:rsidRPr="00296D0C" w:rsidRDefault="00686F2A" w:rsidP="00686F2A">
            <w:pPr>
              <w:spacing w:after="0" w:line="240" w:lineRule="auto"/>
              <w:jc w:val="center"/>
              <w:rPr>
                <w:rFonts w:eastAsia="Times New Roman" w:cs="Times New Roman"/>
                <w:color w:val="000000"/>
              </w:rPr>
            </w:pPr>
            <w:r w:rsidRPr="00296D0C">
              <w:rPr>
                <w:color w:val="000000"/>
              </w:rPr>
              <w:t>0.124</w:t>
            </w:r>
          </w:p>
        </w:tc>
        <w:tc>
          <w:tcPr>
            <w:tcW w:w="1041" w:type="dxa"/>
            <w:shd w:val="clear" w:color="auto" w:fill="auto"/>
            <w:vAlign w:val="center"/>
          </w:tcPr>
          <w:p w14:paraId="1CFD97DD" w14:textId="77777777" w:rsidR="00686F2A" w:rsidRPr="00296D0C" w:rsidRDefault="00686F2A" w:rsidP="00686F2A">
            <w:pPr>
              <w:spacing w:after="0" w:line="240" w:lineRule="auto"/>
              <w:jc w:val="center"/>
              <w:rPr>
                <w:rFonts w:eastAsia="Times New Roman" w:cs="Times New Roman"/>
                <w:color w:val="000000"/>
              </w:rPr>
            </w:pPr>
            <w:r w:rsidRPr="00296D0C">
              <w:rPr>
                <w:color w:val="000000"/>
              </w:rPr>
              <w:t>1274</w:t>
            </w:r>
          </w:p>
        </w:tc>
        <w:tc>
          <w:tcPr>
            <w:tcW w:w="1701" w:type="dxa"/>
            <w:shd w:val="clear" w:color="auto" w:fill="auto"/>
            <w:vAlign w:val="center"/>
          </w:tcPr>
          <w:p w14:paraId="47B7CDCE" w14:textId="478EA601" w:rsidR="00686F2A" w:rsidRPr="00296D0C" w:rsidRDefault="00686F2A" w:rsidP="00686F2A">
            <w:pPr>
              <w:spacing w:after="0" w:line="240" w:lineRule="auto"/>
              <w:jc w:val="center"/>
              <w:rPr>
                <w:color w:val="000000"/>
              </w:rPr>
            </w:pPr>
            <w:r w:rsidRPr="00296D0C">
              <w:rPr>
                <w:color w:val="000000"/>
              </w:rPr>
              <w:t xml:space="preserve">1.36 </w:t>
            </w:r>
          </w:p>
          <w:p w14:paraId="715F2D7A" w14:textId="77777777" w:rsidR="00686F2A" w:rsidRPr="00296D0C" w:rsidRDefault="00686F2A" w:rsidP="00686F2A">
            <w:pPr>
              <w:spacing w:after="0" w:line="240" w:lineRule="auto"/>
              <w:jc w:val="center"/>
              <w:rPr>
                <w:rFonts w:eastAsia="Times New Roman" w:cs="Times New Roman"/>
                <w:color w:val="000000"/>
              </w:rPr>
            </w:pPr>
            <w:r w:rsidRPr="00296D0C">
              <w:rPr>
                <w:color w:val="000000"/>
              </w:rPr>
              <w:t>(1.02, 1.80)</w:t>
            </w:r>
          </w:p>
        </w:tc>
        <w:tc>
          <w:tcPr>
            <w:tcW w:w="965" w:type="dxa"/>
            <w:shd w:val="clear" w:color="auto" w:fill="auto"/>
            <w:vAlign w:val="center"/>
          </w:tcPr>
          <w:p w14:paraId="6B6092C2" w14:textId="77777777" w:rsidR="00686F2A" w:rsidRPr="00296D0C" w:rsidRDefault="00686F2A" w:rsidP="00686F2A">
            <w:pPr>
              <w:spacing w:after="0" w:line="240" w:lineRule="auto"/>
              <w:jc w:val="center"/>
              <w:rPr>
                <w:rFonts w:eastAsia="Times New Roman" w:cs="Times New Roman"/>
                <w:color w:val="000000"/>
              </w:rPr>
            </w:pPr>
            <w:r w:rsidRPr="00296D0C">
              <w:rPr>
                <w:color w:val="000000"/>
              </w:rPr>
              <w:t>0.034</w:t>
            </w:r>
          </w:p>
        </w:tc>
      </w:tr>
    </w:tbl>
    <w:p w14:paraId="40C39071" w14:textId="77777777" w:rsidR="004E0D59" w:rsidRPr="00296D0C" w:rsidRDefault="004E0D59" w:rsidP="004E0D59">
      <w:pPr>
        <w:keepNext/>
        <w:spacing w:line="240" w:lineRule="auto"/>
        <w:rPr>
          <w:b/>
          <w:iCs/>
        </w:rPr>
      </w:pPr>
    </w:p>
    <w:p w14:paraId="49C1100D" w14:textId="7526660A" w:rsidR="005C1660" w:rsidRPr="00296D0C" w:rsidRDefault="004E0D59" w:rsidP="00020C42">
      <w:pPr>
        <w:spacing w:after="0" w:line="240" w:lineRule="auto"/>
        <w:rPr>
          <w:iCs/>
        </w:rPr>
      </w:pPr>
      <w:r w:rsidRPr="00296D0C">
        <w:rPr>
          <w:iCs/>
        </w:rPr>
        <w:t xml:space="preserve"> Notes: Number and percentage of children within FIQ categories for each randomised group and estimate of the effect of the intervention (odds ratio, 95% confidence intervals and p-values) for analyses with and without adjustment for stratification variables, cohort, baseline </w:t>
      </w:r>
      <w:r w:rsidR="006E5EEE" w:rsidRPr="00296D0C">
        <w:rPr>
          <w:iCs/>
        </w:rPr>
        <w:t>measure</w:t>
      </w:r>
      <w:r w:rsidR="00497416">
        <w:rPr>
          <w:iCs/>
        </w:rPr>
        <w:t xml:space="preserve"> and gender. </w:t>
      </w:r>
    </w:p>
    <w:p w14:paraId="545952FB" w14:textId="6462D0B8" w:rsidR="00020C42" w:rsidRPr="00296D0C" w:rsidRDefault="00020C42">
      <w:r w:rsidRPr="00296D0C">
        <w:br w:type="page"/>
      </w:r>
    </w:p>
    <w:p w14:paraId="2CA7CA25" w14:textId="77777777" w:rsidR="00020C42" w:rsidRPr="00296D0C" w:rsidRDefault="00020C42" w:rsidP="004E0D59">
      <w:pPr>
        <w:sectPr w:rsidR="00020C42" w:rsidRPr="00296D0C" w:rsidSect="00C82499">
          <w:headerReference w:type="default" r:id="rId15"/>
          <w:pgSz w:w="16838" w:h="11906" w:orient="landscape"/>
          <w:pgMar w:top="1440" w:right="1440" w:bottom="1440" w:left="1440" w:header="709" w:footer="113" w:gutter="0"/>
          <w:lnNumType w:countBy="1"/>
          <w:cols w:space="708"/>
          <w:docGrid w:linePitch="360"/>
        </w:sectPr>
      </w:pPr>
    </w:p>
    <w:p w14:paraId="79CCF06E" w14:textId="6F04C5F6" w:rsidR="004E0D59" w:rsidRPr="00296D0C" w:rsidRDefault="006D291A" w:rsidP="004E0D59">
      <w:pPr>
        <w:rPr>
          <w:b/>
        </w:rPr>
      </w:pPr>
      <w:r w:rsidRPr="00296D0C">
        <w:rPr>
          <w:b/>
        </w:rPr>
        <w:lastRenderedPageBreak/>
        <w:t>3.</w:t>
      </w:r>
      <w:r w:rsidR="00121A21" w:rsidRPr="00296D0C">
        <w:rPr>
          <w:b/>
        </w:rPr>
        <w:t>8</w:t>
      </w:r>
      <w:r w:rsidRPr="00296D0C">
        <w:rPr>
          <w:b/>
        </w:rPr>
        <w:t xml:space="preserve"> </w:t>
      </w:r>
      <w:r w:rsidR="004E0D59" w:rsidRPr="00296D0C">
        <w:rPr>
          <w:b/>
        </w:rPr>
        <w:t>Intra-class correlation coefficients</w:t>
      </w:r>
    </w:p>
    <w:p w14:paraId="4630A21F" w14:textId="782B5F8C" w:rsidR="004E0D59" w:rsidRPr="00296D0C" w:rsidRDefault="00D80A59" w:rsidP="00E53CCC">
      <w:pPr>
        <w:spacing w:after="0" w:line="360" w:lineRule="auto"/>
      </w:pPr>
      <w:r w:rsidRPr="00296D0C">
        <w:t xml:space="preserve">Table </w:t>
      </w:r>
      <w:r w:rsidR="00745B48" w:rsidRPr="00296D0C">
        <w:t>1</w:t>
      </w:r>
      <w:r w:rsidR="002C35CC">
        <w:t>5</w:t>
      </w:r>
      <w:r w:rsidRPr="00296D0C">
        <w:t xml:space="preserve"> shows the intra-class correlation coefficients (ICC), and 95% confidence intervals, for each of the outcomes from the random effects models.  The estimated ICC for the primary outcome was </w:t>
      </w:r>
      <w:r w:rsidRPr="00296D0C">
        <w:rPr>
          <w:rFonts w:eastAsia="Times New Roman" w:cs="Times New Roman"/>
          <w:color w:val="000000"/>
        </w:rPr>
        <w:t xml:space="preserve">0.014 (95% CI: 0.003, 0.069), slightly lower than the estimate of 0.02 used in </w:t>
      </w:r>
      <w:r w:rsidRPr="00296D0C">
        <w:t>the sample size calculation. The estimated ICC for weight status when dichotomised (overweight and obese vs. healthy and underweight) was extremely small (estimated as 0.000). This was due to the estimated between-cluster variance for this outcome being particularly small relative to the variance of the standard logistic distribution, assumed to be that of the latent continuous distribution that determines the weight of status of individuals. The wide confidence interval for this ICC is an artefact of the estimated parameter being so close to the boundary of the parameter space, and the logit function</w:t>
      </w:r>
      <w:r w:rsidR="00121A21" w:rsidRPr="00296D0C">
        <w:t xml:space="preserve"> </w:t>
      </w:r>
      <w:r w:rsidR="00121A21" w:rsidRPr="00296D0C">
        <w:fldChar w:fldCharType="begin"/>
      </w:r>
      <w:r w:rsidR="008C43BF">
        <w:instrText xml:space="preserve"> ADDIN EN.CITE &lt;EndNote&gt;&lt;Cite&gt;&lt;Author&gt;Eldridge&lt;/Author&gt;&lt;Year&gt;2009&lt;/Year&gt;&lt;RecNum&gt;5724&lt;/RecNum&gt;&lt;DisplayText&gt;&lt;style face="superscript"&gt;55&lt;/style&gt;&lt;/DisplayText&gt;&lt;record&gt;&lt;rec-number&gt;5724&lt;/rec-number&gt;&lt;foreign-keys&gt;&lt;key app="EN" db-id="2ewa9rrvjsdsawep2vpx5x97eedzzvxx5rta" timestamp="1478619251"&gt;5724&lt;/key&gt;&lt;/foreign-keys&gt;&lt;ref-type name="Journal Article"&gt;17&lt;/ref-type&gt;&lt;contributors&gt;&lt;authors&gt;&lt;author&gt;Eldridge, S. M.,&lt;/author&gt;&lt;author&gt;Ukoumunne, O. C., &lt;/author&gt;&lt;author&gt;Carlin, J. B.&lt;/author&gt;&lt;/authors&gt;&lt;/contributors&gt;&lt;titles&gt;&lt;title&gt;The Intra-Cluster Correlation Coefficient in Cluster Randomized Trials: A Review of Definitions&lt;/title&gt;&lt;secondary-title&gt;International Statistical Review&lt;/secondary-title&gt;&lt;/titles&gt;&lt;volume&gt;77&lt;/volume&gt;&lt;number&gt;3&lt;/number&gt;&lt;section&gt;378&lt;/section&gt;&lt;dates&gt;&lt;year&gt;2009&lt;/year&gt;&lt;/dates&gt;&lt;urls&gt;&lt;/urls&gt;&lt;electronic-resource-num&gt; 10.1111/j.1751-5823.2009.00092.x&lt;/electronic-resource-num&gt;&lt;/record&gt;&lt;/Cite&gt;&lt;/EndNote&gt;</w:instrText>
      </w:r>
      <w:r w:rsidR="00121A21" w:rsidRPr="00296D0C">
        <w:fldChar w:fldCharType="separate"/>
      </w:r>
      <w:r w:rsidR="008C43BF" w:rsidRPr="008C43BF">
        <w:rPr>
          <w:noProof/>
          <w:vertAlign w:val="superscript"/>
        </w:rPr>
        <w:t>55</w:t>
      </w:r>
      <w:r w:rsidR="00121A21" w:rsidRPr="00296D0C">
        <w:fldChar w:fldCharType="end"/>
      </w:r>
      <w:r w:rsidR="00121A21" w:rsidRPr="00296D0C">
        <w:rPr>
          <w:rStyle w:val="CommentReference"/>
          <w:sz w:val="22"/>
          <w:szCs w:val="22"/>
        </w:rPr>
        <w:t xml:space="preserve"> </w:t>
      </w:r>
      <w:r w:rsidRPr="00296D0C">
        <w:t xml:space="preserve">, which yielded a lower bound very close to zero and an upper bound at one. </w:t>
      </w:r>
      <w:r w:rsidR="00121A21" w:rsidRPr="00296D0C">
        <w:t xml:space="preserve"> </w:t>
      </w:r>
      <w:r w:rsidR="004E0D59" w:rsidRPr="00296D0C">
        <w:t xml:space="preserve">The estimated ICCs for waist circumference and waist circumference </w:t>
      </w:r>
      <w:r w:rsidR="00E53CCC" w:rsidRPr="00296D0C">
        <w:t>SDS</w:t>
      </w:r>
      <w:r w:rsidR="004E0D59" w:rsidRPr="00296D0C">
        <w:t xml:space="preserve"> were higher than for the other anthropometric measures.</w:t>
      </w:r>
    </w:p>
    <w:p w14:paraId="52C86A55" w14:textId="77777777" w:rsidR="004E0D59" w:rsidRPr="00296D0C" w:rsidRDefault="004E0D59" w:rsidP="00E53CCC">
      <w:pPr>
        <w:spacing w:after="0" w:line="360" w:lineRule="auto"/>
      </w:pPr>
      <w:r w:rsidRPr="00296D0C">
        <w:br w:type="page"/>
      </w:r>
    </w:p>
    <w:p w14:paraId="6DA42E5F" w14:textId="32FD7E4A" w:rsidR="004E0D59" w:rsidRPr="00296D0C" w:rsidRDefault="004E0D59" w:rsidP="004E0D59">
      <w:pPr>
        <w:keepNext/>
        <w:spacing w:line="240" w:lineRule="auto"/>
        <w:rPr>
          <w:iCs/>
          <w:color w:val="1F497D" w:themeColor="text2"/>
        </w:rPr>
      </w:pPr>
      <w:r w:rsidRPr="00296D0C">
        <w:rPr>
          <w:b/>
          <w:iCs/>
        </w:rPr>
        <w:lastRenderedPageBreak/>
        <w:t>T</w:t>
      </w:r>
      <w:r w:rsidR="00EA501F" w:rsidRPr="00296D0C">
        <w:rPr>
          <w:b/>
          <w:iCs/>
        </w:rPr>
        <w:t>ABLE</w:t>
      </w:r>
      <w:r w:rsidRPr="00296D0C">
        <w:rPr>
          <w:b/>
          <w:iCs/>
        </w:rPr>
        <w:t xml:space="preserve"> </w:t>
      </w:r>
      <w:r w:rsidR="00745B48" w:rsidRPr="00296D0C">
        <w:rPr>
          <w:b/>
          <w:iCs/>
        </w:rPr>
        <w:t>1</w:t>
      </w:r>
      <w:r w:rsidR="00B82396">
        <w:rPr>
          <w:b/>
          <w:iCs/>
        </w:rPr>
        <w:t>5</w:t>
      </w:r>
      <w:r w:rsidRPr="00296D0C">
        <w:rPr>
          <w:b/>
          <w:iCs/>
        </w:rPr>
        <w:t xml:space="preserve"> Intra-class correlation coefficients from the random effects models for the outcomes at 18 and 24 months post baseline</w:t>
      </w:r>
    </w:p>
    <w:tbl>
      <w:tblPr>
        <w:tblW w:w="8080" w:type="dxa"/>
        <w:tblLook w:val="04A0" w:firstRow="1" w:lastRow="0" w:firstColumn="1" w:lastColumn="0" w:noHBand="0" w:noVBand="1"/>
      </w:tblPr>
      <w:tblGrid>
        <w:gridCol w:w="5812"/>
        <w:gridCol w:w="2268"/>
      </w:tblGrid>
      <w:tr w:rsidR="004E0D59" w:rsidRPr="00296D0C" w14:paraId="6682E1A9" w14:textId="77777777" w:rsidTr="002D0625">
        <w:trPr>
          <w:trHeight w:val="426"/>
        </w:trPr>
        <w:tc>
          <w:tcPr>
            <w:tcW w:w="5812" w:type="dxa"/>
            <w:tcBorders>
              <w:top w:val="nil"/>
              <w:left w:val="nil"/>
              <w:bottom w:val="nil"/>
              <w:right w:val="nil"/>
            </w:tcBorders>
            <w:shd w:val="clear" w:color="auto" w:fill="00CCFF"/>
            <w:noWrap/>
            <w:vAlign w:val="bottom"/>
            <w:hideMark/>
          </w:tcPr>
          <w:p w14:paraId="4E93D724" w14:textId="77777777" w:rsidR="004E0D59" w:rsidRPr="00296D0C" w:rsidRDefault="004E0D59" w:rsidP="004E0D59">
            <w:pPr>
              <w:spacing w:after="0" w:line="240" w:lineRule="auto"/>
              <w:rPr>
                <w:rFonts w:eastAsia="Times New Roman" w:cs="Times New Roman"/>
                <w:color w:val="000000"/>
              </w:rPr>
            </w:pPr>
            <w:r w:rsidRPr="00296D0C">
              <w:rPr>
                <w:rFonts w:eastAsia="Times New Roman" w:cs="Times New Roman"/>
                <w:color w:val="000000"/>
              </w:rPr>
              <w:t>Primary outcome at 24 months</w:t>
            </w:r>
          </w:p>
        </w:tc>
        <w:tc>
          <w:tcPr>
            <w:tcW w:w="2268" w:type="dxa"/>
            <w:tcBorders>
              <w:top w:val="nil"/>
              <w:left w:val="nil"/>
              <w:bottom w:val="nil"/>
              <w:right w:val="nil"/>
            </w:tcBorders>
            <w:shd w:val="clear" w:color="auto" w:fill="00CCFF"/>
            <w:noWrap/>
            <w:vAlign w:val="bottom"/>
            <w:hideMark/>
          </w:tcPr>
          <w:p w14:paraId="18B157D2" w14:textId="77777777" w:rsidR="004E0D59" w:rsidRPr="00296D0C" w:rsidRDefault="004E0D59" w:rsidP="004E0D59">
            <w:pPr>
              <w:spacing w:after="0" w:line="240" w:lineRule="auto"/>
              <w:rPr>
                <w:rFonts w:eastAsia="Times New Roman" w:cs="Times New Roman"/>
                <w:color w:val="000000"/>
              </w:rPr>
            </w:pPr>
            <w:r w:rsidRPr="00296D0C">
              <w:rPr>
                <w:rFonts w:eastAsia="Times New Roman" w:cs="Times New Roman"/>
                <w:color w:val="000000"/>
              </w:rPr>
              <w:t>ICC (95% CI)</w:t>
            </w:r>
          </w:p>
        </w:tc>
      </w:tr>
      <w:tr w:rsidR="004E0D59" w:rsidRPr="00296D0C" w14:paraId="2594B639" w14:textId="77777777" w:rsidTr="002D0625">
        <w:trPr>
          <w:trHeight w:val="300"/>
        </w:trPr>
        <w:tc>
          <w:tcPr>
            <w:tcW w:w="5812" w:type="dxa"/>
            <w:tcBorders>
              <w:top w:val="nil"/>
              <w:left w:val="nil"/>
              <w:bottom w:val="nil"/>
              <w:right w:val="nil"/>
            </w:tcBorders>
            <w:shd w:val="clear" w:color="auto" w:fill="auto"/>
            <w:noWrap/>
            <w:vAlign w:val="bottom"/>
            <w:hideMark/>
          </w:tcPr>
          <w:p w14:paraId="46181072" w14:textId="77777777" w:rsidR="004E0D59" w:rsidRPr="00296D0C" w:rsidRDefault="009D1C7F" w:rsidP="00AB3D54">
            <w:pPr>
              <w:spacing w:after="0" w:line="240" w:lineRule="auto"/>
              <w:rPr>
                <w:rFonts w:eastAsia="Times New Roman" w:cs="Times New Roman"/>
                <w:color w:val="000000"/>
              </w:rPr>
            </w:pPr>
            <w:r w:rsidRPr="00296D0C">
              <w:rPr>
                <w:rFonts w:eastAsia="Times New Roman" w:cs="Times New Roman"/>
                <w:color w:val="000000"/>
              </w:rPr>
              <w:t>BMI SDS</w:t>
            </w:r>
          </w:p>
        </w:tc>
        <w:tc>
          <w:tcPr>
            <w:tcW w:w="2268" w:type="dxa"/>
            <w:tcBorders>
              <w:top w:val="nil"/>
              <w:left w:val="nil"/>
              <w:bottom w:val="nil"/>
              <w:right w:val="nil"/>
            </w:tcBorders>
            <w:shd w:val="clear" w:color="auto" w:fill="auto"/>
            <w:noWrap/>
            <w:vAlign w:val="bottom"/>
            <w:hideMark/>
          </w:tcPr>
          <w:p w14:paraId="243BCF84" w14:textId="77777777" w:rsidR="004E0D59" w:rsidRPr="00296D0C" w:rsidRDefault="004E0D59" w:rsidP="004E0D59">
            <w:pPr>
              <w:spacing w:after="0" w:line="240" w:lineRule="auto"/>
              <w:rPr>
                <w:rFonts w:eastAsia="Times New Roman" w:cs="Times New Roman"/>
                <w:color w:val="000000"/>
              </w:rPr>
            </w:pPr>
            <w:r w:rsidRPr="00296D0C">
              <w:rPr>
                <w:rFonts w:eastAsia="Times New Roman" w:cs="Times New Roman"/>
                <w:color w:val="000000"/>
              </w:rPr>
              <w:t>0.014 (0.003, 0.069)</w:t>
            </w:r>
          </w:p>
        </w:tc>
      </w:tr>
      <w:tr w:rsidR="004E0D59" w:rsidRPr="00296D0C" w14:paraId="7E0528D5" w14:textId="77777777" w:rsidTr="002D0625">
        <w:trPr>
          <w:trHeight w:val="300"/>
        </w:trPr>
        <w:tc>
          <w:tcPr>
            <w:tcW w:w="5812" w:type="dxa"/>
            <w:tcBorders>
              <w:top w:val="nil"/>
              <w:left w:val="nil"/>
              <w:bottom w:val="nil"/>
              <w:right w:val="nil"/>
            </w:tcBorders>
            <w:shd w:val="clear" w:color="auto" w:fill="00CCFF"/>
            <w:noWrap/>
            <w:vAlign w:val="bottom"/>
            <w:hideMark/>
          </w:tcPr>
          <w:p w14:paraId="551F762F" w14:textId="77777777" w:rsidR="004E0D59" w:rsidRPr="00296D0C" w:rsidRDefault="004E0D59" w:rsidP="004E0D59">
            <w:pPr>
              <w:spacing w:after="0" w:line="240" w:lineRule="auto"/>
              <w:rPr>
                <w:rFonts w:eastAsia="Times New Roman" w:cs="Times New Roman"/>
                <w:color w:val="000000"/>
              </w:rPr>
            </w:pPr>
            <w:r w:rsidRPr="00296D0C">
              <w:rPr>
                <w:rFonts w:eastAsia="Times New Roman" w:cs="Times New Roman"/>
                <w:color w:val="000000"/>
              </w:rPr>
              <w:t>Secondary outcomes at 24 months</w:t>
            </w:r>
          </w:p>
        </w:tc>
        <w:tc>
          <w:tcPr>
            <w:tcW w:w="2268" w:type="dxa"/>
            <w:tcBorders>
              <w:top w:val="nil"/>
              <w:left w:val="nil"/>
              <w:bottom w:val="nil"/>
              <w:right w:val="nil"/>
            </w:tcBorders>
            <w:shd w:val="clear" w:color="auto" w:fill="00CCFF"/>
            <w:noWrap/>
            <w:vAlign w:val="bottom"/>
            <w:hideMark/>
          </w:tcPr>
          <w:p w14:paraId="3305BBDF" w14:textId="77777777" w:rsidR="004E0D59" w:rsidRPr="00296D0C" w:rsidRDefault="004E0D59" w:rsidP="004E0D59">
            <w:pPr>
              <w:spacing w:after="0" w:line="240" w:lineRule="auto"/>
              <w:rPr>
                <w:rFonts w:eastAsia="Times New Roman" w:cs="Times New Roman"/>
                <w:color w:val="000000"/>
              </w:rPr>
            </w:pPr>
            <w:r w:rsidRPr="00296D0C">
              <w:rPr>
                <w:rFonts w:eastAsia="Times New Roman" w:cs="Times New Roman"/>
                <w:color w:val="000000"/>
              </w:rPr>
              <w:t xml:space="preserve"> </w:t>
            </w:r>
          </w:p>
        </w:tc>
      </w:tr>
      <w:tr w:rsidR="004E0D59" w:rsidRPr="00296D0C" w14:paraId="6CA860EB" w14:textId="77777777" w:rsidTr="002D0625">
        <w:trPr>
          <w:trHeight w:val="300"/>
        </w:trPr>
        <w:tc>
          <w:tcPr>
            <w:tcW w:w="5812" w:type="dxa"/>
            <w:tcBorders>
              <w:top w:val="nil"/>
              <w:left w:val="nil"/>
              <w:bottom w:val="nil"/>
              <w:right w:val="nil"/>
            </w:tcBorders>
            <w:shd w:val="clear" w:color="auto" w:fill="auto"/>
            <w:noWrap/>
            <w:vAlign w:val="bottom"/>
            <w:hideMark/>
          </w:tcPr>
          <w:p w14:paraId="26FC76E1" w14:textId="77777777" w:rsidR="004E0D59" w:rsidRPr="00296D0C" w:rsidRDefault="004E0D59" w:rsidP="004E0D59">
            <w:pPr>
              <w:spacing w:after="0" w:line="240" w:lineRule="auto"/>
              <w:rPr>
                <w:rFonts w:eastAsia="Times New Roman" w:cs="Times New Roman"/>
                <w:color w:val="000000"/>
              </w:rPr>
            </w:pPr>
            <w:r w:rsidRPr="00296D0C">
              <w:rPr>
                <w:rFonts w:eastAsia="Times New Roman" w:cs="Times New Roman"/>
                <w:color w:val="000000"/>
              </w:rPr>
              <w:t>BMI</w:t>
            </w:r>
          </w:p>
        </w:tc>
        <w:tc>
          <w:tcPr>
            <w:tcW w:w="2268" w:type="dxa"/>
            <w:tcBorders>
              <w:top w:val="nil"/>
              <w:left w:val="nil"/>
              <w:bottom w:val="nil"/>
              <w:right w:val="nil"/>
            </w:tcBorders>
            <w:shd w:val="clear" w:color="auto" w:fill="auto"/>
            <w:noWrap/>
            <w:vAlign w:val="bottom"/>
            <w:hideMark/>
          </w:tcPr>
          <w:p w14:paraId="3E696730" w14:textId="77777777" w:rsidR="004E0D59" w:rsidRPr="00296D0C" w:rsidRDefault="004E0D59" w:rsidP="004E0D59">
            <w:pPr>
              <w:spacing w:after="0" w:line="240" w:lineRule="auto"/>
              <w:rPr>
                <w:rFonts w:eastAsia="Times New Roman" w:cs="Times New Roman"/>
                <w:color w:val="000000"/>
              </w:rPr>
            </w:pPr>
            <w:r w:rsidRPr="00296D0C">
              <w:rPr>
                <w:rFonts w:eastAsia="Times New Roman" w:cs="Times New Roman"/>
                <w:color w:val="000000"/>
              </w:rPr>
              <w:t>0.011 (0.001, 0.074)</w:t>
            </w:r>
          </w:p>
        </w:tc>
      </w:tr>
      <w:tr w:rsidR="004E0D59" w:rsidRPr="00296D0C" w14:paraId="36719912" w14:textId="77777777" w:rsidTr="002D0625">
        <w:trPr>
          <w:trHeight w:val="300"/>
        </w:trPr>
        <w:tc>
          <w:tcPr>
            <w:tcW w:w="5812" w:type="dxa"/>
            <w:tcBorders>
              <w:top w:val="nil"/>
              <w:left w:val="nil"/>
              <w:bottom w:val="nil"/>
              <w:right w:val="nil"/>
            </w:tcBorders>
            <w:shd w:val="clear" w:color="auto" w:fill="auto"/>
            <w:noWrap/>
            <w:vAlign w:val="bottom"/>
            <w:hideMark/>
          </w:tcPr>
          <w:p w14:paraId="129B1853" w14:textId="77777777" w:rsidR="004E0D59" w:rsidRPr="00296D0C" w:rsidRDefault="004E0D59" w:rsidP="004E0D59">
            <w:pPr>
              <w:spacing w:after="0" w:line="240" w:lineRule="auto"/>
              <w:rPr>
                <w:rFonts w:eastAsia="Times New Roman" w:cs="Times New Roman"/>
                <w:color w:val="000000"/>
              </w:rPr>
            </w:pPr>
            <w:r w:rsidRPr="00296D0C">
              <w:rPr>
                <w:rFonts w:eastAsia="Times New Roman" w:cs="Times New Roman"/>
                <w:color w:val="000000"/>
              </w:rPr>
              <w:t>Waist circumference</w:t>
            </w:r>
          </w:p>
        </w:tc>
        <w:tc>
          <w:tcPr>
            <w:tcW w:w="2268" w:type="dxa"/>
            <w:tcBorders>
              <w:top w:val="nil"/>
              <w:left w:val="nil"/>
              <w:bottom w:val="nil"/>
              <w:right w:val="nil"/>
            </w:tcBorders>
            <w:shd w:val="clear" w:color="auto" w:fill="auto"/>
            <w:noWrap/>
            <w:vAlign w:val="bottom"/>
            <w:hideMark/>
          </w:tcPr>
          <w:p w14:paraId="6300F2DB" w14:textId="77777777" w:rsidR="004E0D59" w:rsidRPr="00296D0C" w:rsidRDefault="004E0D59" w:rsidP="004E0D59">
            <w:pPr>
              <w:spacing w:after="0" w:line="240" w:lineRule="auto"/>
              <w:rPr>
                <w:rFonts w:eastAsia="Times New Roman" w:cs="Times New Roman"/>
                <w:color w:val="000000"/>
              </w:rPr>
            </w:pPr>
            <w:r w:rsidRPr="00296D0C">
              <w:rPr>
                <w:rFonts w:eastAsia="Times New Roman" w:cs="Times New Roman"/>
                <w:color w:val="000000"/>
              </w:rPr>
              <w:t>0.093 (0.049, 0.169)</w:t>
            </w:r>
          </w:p>
        </w:tc>
      </w:tr>
      <w:tr w:rsidR="004E0D59" w:rsidRPr="00296D0C" w14:paraId="2FCA3087" w14:textId="77777777" w:rsidTr="002D0625">
        <w:trPr>
          <w:trHeight w:val="300"/>
        </w:trPr>
        <w:tc>
          <w:tcPr>
            <w:tcW w:w="5812" w:type="dxa"/>
            <w:tcBorders>
              <w:top w:val="nil"/>
              <w:left w:val="nil"/>
              <w:bottom w:val="nil"/>
              <w:right w:val="nil"/>
            </w:tcBorders>
            <w:shd w:val="clear" w:color="auto" w:fill="auto"/>
            <w:noWrap/>
            <w:vAlign w:val="bottom"/>
          </w:tcPr>
          <w:p w14:paraId="3F0A1564" w14:textId="77777777" w:rsidR="004E0D59" w:rsidRPr="00296D0C" w:rsidRDefault="004E0D59" w:rsidP="004E0D59">
            <w:pPr>
              <w:spacing w:after="0" w:line="240" w:lineRule="auto"/>
              <w:rPr>
                <w:rFonts w:eastAsia="Times New Roman" w:cs="Times New Roman"/>
                <w:color w:val="000000"/>
              </w:rPr>
            </w:pPr>
            <w:r w:rsidRPr="00296D0C">
              <w:rPr>
                <w:rFonts w:eastAsia="Times New Roman" w:cs="Times New Roman"/>
                <w:color w:val="000000"/>
              </w:rPr>
              <w:t>Weight status</w:t>
            </w:r>
            <w:r w:rsidRPr="00296D0C">
              <w:rPr>
                <w:rFonts w:eastAsia="Times New Roman" w:cs="Times New Roman"/>
                <w:color w:val="000000"/>
                <w:vertAlign w:val="superscript"/>
              </w:rPr>
              <w:t>a</w:t>
            </w:r>
            <w:r w:rsidRPr="00296D0C">
              <w:rPr>
                <w:rFonts w:eastAsia="Times New Roman" w:cs="Times New Roman"/>
                <w:color w:val="000000"/>
              </w:rPr>
              <w:t xml:space="preserve"> (overweight/obese vs. healthy/underweight)</w:t>
            </w:r>
          </w:p>
        </w:tc>
        <w:tc>
          <w:tcPr>
            <w:tcW w:w="2268" w:type="dxa"/>
            <w:tcBorders>
              <w:top w:val="nil"/>
              <w:left w:val="nil"/>
              <w:bottom w:val="nil"/>
              <w:right w:val="nil"/>
            </w:tcBorders>
            <w:shd w:val="clear" w:color="auto" w:fill="auto"/>
            <w:noWrap/>
            <w:vAlign w:val="bottom"/>
          </w:tcPr>
          <w:p w14:paraId="00E36C9B" w14:textId="77777777" w:rsidR="004E0D59" w:rsidRPr="00296D0C" w:rsidRDefault="004E0D59" w:rsidP="004E0D59">
            <w:pPr>
              <w:spacing w:after="0" w:line="240" w:lineRule="auto"/>
              <w:rPr>
                <w:rFonts w:eastAsia="Times New Roman" w:cs="Times New Roman"/>
                <w:color w:val="000000"/>
              </w:rPr>
            </w:pPr>
            <w:r w:rsidRPr="00296D0C">
              <w:rPr>
                <w:rFonts w:eastAsia="Times New Roman" w:cs="Times New Roman"/>
                <w:color w:val="000000"/>
              </w:rPr>
              <w:t>0.000 (0.000, 1.000)</w:t>
            </w:r>
          </w:p>
        </w:tc>
      </w:tr>
      <w:tr w:rsidR="004E0D59" w:rsidRPr="00296D0C" w14:paraId="3CFD8309" w14:textId="77777777" w:rsidTr="002D0625">
        <w:trPr>
          <w:trHeight w:val="300"/>
        </w:trPr>
        <w:tc>
          <w:tcPr>
            <w:tcW w:w="5812" w:type="dxa"/>
            <w:tcBorders>
              <w:top w:val="nil"/>
              <w:left w:val="nil"/>
              <w:bottom w:val="nil"/>
              <w:right w:val="nil"/>
            </w:tcBorders>
            <w:shd w:val="clear" w:color="auto" w:fill="auto"/>
            <w:noWrap/>
            <w:vAlign w:val="bottom"/>
            <w:hideMark/>
          </w:tcPr>
          <w:p w14:paraId="7AB48A0D" w14:textId="77777777" w:rsidR="004E0D59" w:rsidRPr="00296D0C" w:rsidRDefault="004E0D59" w:rsidP="00AB3D54">
            <w:pPr>
              <w:spacing w:after="0" w:line="240" w:lineRule="auto"/>
              <w:rPr>
                <w:rFonts w:eastAsia="Times New Roman" w:cs="Times New Roman"/>
                <w:color w:val="000000"/>
              </w:rPr>
            </w:pPr>
            <w:r w:rsidRPr="00296D0C">
              <w:rPr>
                <w:rFonts w:eastAsia="Times New Roman" w:cs="Times New Roman"/>
                <w:color w:val="000000"/>
              </w:rPr>
              <w:t xml:space="preserve">Waist circumference </w:t>
            </w:r>
            <w:r w:rsidR="00AB3D54" w:rsidRPr="00296D0C">
              <w:rPr>
                <w:rFonts w:eastAsia="Times New Roman" w:cs="Times New Roman"/>
                <w:color w:val="000000"/>
              </w:rPr>
              <w:t>SDS</w:t>
            </w:r>
          </w:p>
        </w:tc>
        <w:tc>
          <w:tcPr>
            <w:tcW w:w="2268" w:type="dxa"/>
            <w:tcBorders>
              <w:top w:val="nil"/>
              <w:left w:val="nil"/>
              <w:bottom w:val="nil"/>
              <w:right w:val="nil"/>
            </w:tcBorders>
            <w:shd w:val="clear" w:color="auto" w:fill="auto"/>
            <w:noWrap/>
            <w:vAlign w:val="bottom"/>
            <w:hideMark/>
          </w:tcPr>
          <w:p w14:paraId="7B210659" w14:textId="77777777" w:rsidR="004E0D59" w:rsidRPr="00296D0C" w:rsidRDefault="004E0D59" w:rsidP="004E0D59">
            <w:pPr>
              <w:spacing w:after="0" w:line="240" w:lineRule="auto"/>
              <w:rPr>
                <w:rFonts w:eastAsia="Times New Roman" w:cs="Times New Roman"/>
                <w:color w:val="000000"/>
              </w:rPr>
            </w:pPr>
            <w:r w:rsidRPr="00296D0C">
              <w:rPr>
                <w:rFonts w:eastAsia="Times New Roman" w:cs="Times New Roman"/>
                <w:color w:val="000000"/>
              </w:rPr>
              <w:t>0.116 (0.064, 0.201)</w:t>
            </w:r>
          </w:p>
        </w:tc>
      </w:tr>
      <w:tr w:rsidR="004E0D59" w:rsidRPr="00296D0C" w14:paraId="6BE7001C" w14:textId="77777777" w:rsidTr="002D0625">
        <w:trPr>
          <w:trHeight w:val="300"/>
        </w:trPr>
        <w:tc>
          <w:tcPr>
            <w:tcW w:w="5812" w:type="dxa"/>
            <w:tcBorders>
              <w:top w:val="nil"/>
              <w:left w:val="nil"/>
              <w:bottom w:val="nil"/>
              <w:right w:val="nil"/>
            </w:tcBorders>
            <w:shd w:val="clear" w:color="auto" w:fill="auto"/>
            <w:noWrap/>
            <w:vAlign w:val="bottom"/>
            <w:hideMark/>
          </w:tcPr>
          <w:p w14:paraId="6498D01A" w14:textId="77777777" w:rsidR="004E0D59" w:rsidRPr="00296D0C" w:rsidRDefault="004E0D59" w:rsidP="004E0D59">
            <w:pPr>
              <w:spacing w:after="0" w:line="240" w:lineRule="auto"/>
              <w:rPr>
                <w:rFonts w:eastAsia="Times New Roman" w:cs="Times New Roman"/>
                <w:color w:val="000000"/>
              </w:rPr>
            </w:pPr>
            <w:r w:rsidRPr="00296D0C">
              <w:rPr>
                <w:rFonts w:eastAsia="Times New Roman" w:cs="Times New Roman"/>
                <w:color w:val="000000"/>
              </w:rPr>
              <w:t>%body fat</w:t>
            </w:r>
          </w:p>
        </w:tc>
        <w:tc>
          <w:tcPr>
            <w:tcW w:w="2268" w:type="dxa"/>
            <w:tcBorders>
              <w:top w:val="nil"/>
              <w:left w:val="nil"/>
              <w:bottom w:val="nil"/>
              <w:right w:val="nil"/>
            </w:tcBorders>
            <w:shd w:val="clear" w:color="auto" w:fill="auto"/>
            <w:noWrap/>
            <w:vAlign w:val="bottom"/>
            <w:hideMark/>
          </w:tcPr>
          <w:p w14:paraId="55745B7F" w14:textId="77777777" w:rsidR="004E0D59" w:rsidRPr="00296D0C" w:rsidRDefault="004E0D59" w:rsidP="004E0D59">
            <w:pPr>
              <w:spacing w:after="0" w:line="240" w:lineRule="auto"/>
              <w:rPr>
                <w:rFonts w:eastAsia="Times New Roman" w:cs="Times New Roman"/>
                <w:color w:val="000000"/>
              </w:rPr>
            </w:pPr>
            <w:r w:rsidRPr="00296D0C">
              <w:rPr>
                <w:rFonts w:eastAsia="Times New Roman" w:cs="Times New Roman"/>
                <w:color w:val="000000"/>
              </w:rPr>
              <w:t>0.021 (0.005, 0.078)</w:t>
            </w:r>
          </w:p>
        </w:tc>
      </w:tr>
      <w:tr w:rsidR="004E0D59" w:rsidRPr="00296D0C" w14:paraId="4E388971" w14:textId="77777777" w:rsidTr="002D0625">
        <w:trPr>
          <w:trHeight w:val="300"/>
        </w:trPr>
        <w:tc>
          <w:tcPr>
            <w:tcW w:w="5812" w:type="dxa"/>
            <w:tcBorders>
              <w:top w:val="nil"/>
              <w:left w:val="nil"/>
              <w:bottom w:val="nil"/>
              <w:right w:val="nil"/>
            </w:tcBorders>
            <w:shd w:val="clear" w:color="auto" w:fill="auto"/>
            <w:noWrap/>
            <w:vAlign w:val="bottom"/>
            <w:hideMark/>
          </w:tcPr>
          <w:p w14:paraId="17FC1E5F" w14:textId="77777777" w:rsidR="004E0D59" w:rsidRPr="00296D0C" w:rsidRDefault="004E0D59" w:rsidP="00AB3D54">
            <w:pPr>
              <w:spacing w:after="0" w:line="240" w:lineRule="auto"/>
              <w:rPr>
                <w:rFonts w:eastAsia="Times New Roman" w:cs="Times New Roman"/>
                <w:color w:val="000000"/>
              </w:rPr>
            </w:pPr>
            <w:r w:rsidRPr="00296D0C">
              <w:rPr>
                <w:rFonts w:eastAsia="Times New Roman" w:cs="Times New Roman"/>
                <w:color w:val="000000"/>
              </w:rPr>
              <w:t xml:space="preserve">Body fat </w:t>
            </w:r>
            <w:r w:rsidR="00AB3D54" w:rsidRPr="00296D0C">
              <w:rPr>
                <w:rFonts w:eastAsia="Times New Roman" w:cs="Times New Roman"/>
                <w:color w:val="000000"/>
              </w:rPr>
              <w:t>SDS</w:t>
            </w:r>
          </w:p>
        </w:tc>
        <w:tc>
          <w:tcPr>
            <w:tcW w:w="2268" w:type="dxa"/>
            <w:tcBorders>
              <w:top w:val="nil"/>
              <w:left w:val="nil"/>
              <w:bottom w:val="nil"/>
              <w:right w:val="nil"/>
            </w:tcBorders>
            <w:shd w:val="clear" w:color="auto" w:fill="auto"/>
            <w:noWrap/>
            <w:vAlign w:val="bottom"/>
            <w:hideMark/>
          </w:tcPr>
          <w:p w14:paraId="3E25E114" w14:textId="77777777" w:rsidR="004E0D59" w:rsidRPr="00296D0C" w:rsidRDefault="004E0D59" w:rsidP="004E0D59">
            <w:pPr>
              <w:spacing w:after="0" w:line="240" w:lineRule="auto"/>
              <w:rPr>
                <w:rFonts w:eastAsia="Times New Roman" w:cs="Times New Roman"/>
                <w:color w:val="000000"/>
              </w:rPr>
            </w:pPr>
            <w:r w:rsidRPr="00296D0C">
              <w:rPr>
                <w:rFonts w:eastAsia="Times New Roman" w:cs="Times New Roman"/>
                <w:color w:val="000000"/>
              </w:rPr>
              <w:t>0.023 (0.007, 0.075)</w:t>
            </w:r>
          </w:p>
        </w:tc>
      </w:tr>
      <w:tr w:rsidR="004E0D59" w:rsidRPr="00296D0C" w14:paraId="616D4FDC" w14:textId="77777777" w:rsidTr="002D0625">
        <w:trPr>
          <w:trHeight w:val="300"/>
        </w:trPr>
        <w:tc>
          <w:tcPr>
            <w:tcW w:w="5812" w:type="dxa"/>
            <w:tcBorders>
              <w:top w:val="nil"/>
              <w:left w:val="nil"/>
              <w:bottom w:val="nil"/>
              <w:right w:val="nil"/>
            </w:tcBorders>
            <w:shd w:val="clear" w:color="auto" w:fill="auto"/>
            <w:noWrap/>
            <w:vAlign w:val="bottom"/>
            <w:hideMark/>
          </w:tcPr>
          <w:p w14:paraId="69FD9156" w14:textId="77777777" w:rsidR="004E0D59" w:rsidRPr="00296D0C" w:rsidRDefault="004E0D59" w:rsidP="00AB3D54">
            <w:pPr>
              <w:spacing w:after="0" w:line="240" w:lineRule="auto"/>
              <w:rPr>
                <w:rFonts w:eastAsia="Times New Roman" w:cs="Times New Roman"/>
                <w:color w:val="000000"/>
              </w:rPr>
            </w:pPr>
            <w:r w:rsidRPr="00296D0C">
              <w:rPr>
                <w:rFonts w:eastAsia="Times New Roman" w:cs="Times New Roman"/>
                <w:color w:val="000000"/>
              </w:rPr>
              <w:t xml:space="preserve">Body fat </w:t>
            </w:r>
            <w:r w:rsidR="00AB3D54" w:rsidRPr="00296D0C">
              <w:rPr>
                <w:rFonts w:eastAsia="Times New Roman" w:cs="Times New Roman"/>
                <w:color w:val="000000"/>
              </w:rPr>
              <w:t>SDS</w:t>
            </w:r>
            <w:r w:rsidRPr="00296D0C">
              <w:rPr>
                <w:rFonts w:eastAsia="Times New Roman" w:cs="Times New Roman"/>
                <w:color w:val="000000"/>
                <w:vertAlign w:val="superscript"/>
              </w:rPr>
              <w:t>b</w:t>
            </w:r>
          </w:p>
        </w:tc>
        <w:tc>
          <w:tcPr>
            <w:tcW w:w="2268" w:type="dxa"/>
            <w:tcBorders>
              <w:top w:val="nil"/>
              <w:left w:val="nil"/>
              <w:bottom w:val="nil"/>
              <w:right w:val="nil"/>
            </w:tcBorders>
            <w:shd w:val="clear" w:color="auto" w:fill="auto"/>
            <w:noWrap/>
            <w:vAlign w:val="bottom"/>
            <w:hideMark/>
          </w:tcPr>
          <w:p w14:paraId="3FBD6F8D" w14:textId="77777777" w:rsidR="004E0D59" w:rsidRPr="00296D0C" w:rsidRDefault="004E0D59" w:rsidP="004E0D59">
            <w:pPr>
              <w:spacing w:after="0" w:line="240" w:lineRule="auto"/>
              <w:rPr>
                <w:rFonts w:eastAsia="Times New Roman" w:cs="Times New Roman"/>
                <w:color w:val="000000"/>
              </w:rPr>
            </w:pPr>
            <w:r w:rsidRPr="00296D0C">
              <w:rPr>
                <w:rFonts w:eastAsia="Times New Roman" w:cs="Times New Roman"/>
                <w:color w:val="000000"/>
              </w:rPr>
              <w:t>0.017 (0.003, 0.078)</w:t>
            </w:r>
          </w:p>
        </w:tc>
      </w:tr>
      <w:tr w:rsidR="004E0D59" w:rsidRPr="00296D0C" w14:paraId="08A3C6C8" w14:textId="77777777" w:rsidTr="002D0625">
        <w:trPr>
          <w:trHeight w:val="300"/>
        </w:trPr>
        <w:tc>
          <w:tcPr>
            <w:tcW w:w="5812" w:type="dxa"/>
            <w:tcBorders>
              <w:top w:val="nil"/>
              <w:left w:val="nil"/>
              <w:bottom w:val="nil"/>
              <w:right w:val="nil"/>
            </w:tcBorders>
            <w:shd w:val="clear" w:color="auto" w:fill="00CCFF"/>
            <w:noWrap/>
            <w:vAlign w:val="bottom"/>
            <w:hideMark/>
          </w:tcPr>
          <w:p w14:paraId="399D8A62" w14:textId="77777777" w:rsidR="004E0D59" w:rsidRPr="00296D0C" w:rsidRDefault="004E0D59" w:rsidP="004E0D59">
            <w:pPr>
              <w:spacing w:after="0" w:line="240" w:lineRule="auto"/>
              <w:rPr>
                <w:rFonts w:eastAsia="Times New Roman" w:cs="Times New Roman"/>
                <w:color w:val="000000"/>
              </w:rPr>
            </w:pPr>
            <w:r w:rsidRPr="00296D0C">
              <w:rPr>
                <w:rFonts w:eastAsia="Times New Roman" w:cs="Times New Roman"/>
                <w:color w:val="000000"/>
              </w:rPr>
              <w:t>Secondary outcomes at 18 months</w:t>
            </w:r>
          </w:p>
        </w:tc>
        <w:tc>
          <w:tcPr>
            <w:tcW w:w="2268" w:type="dxa"/>
            <w:tcBorders>
              <w:top w:val="nil"/>
              <w:left w:val="nil"/>
              <w:bottom w:val="nil"/>
              <w:right w:val="nil"/>
            </w:tcBorders>
            <w:shd w:val="clear" w:color="auto" w:fill="00CCFF"/>
            <w:noWrap/>
            <w:vAlign w:val="bottom"/>
            <w:hideMark/>
          </w:tcPr>
          <w:p w14:paraId="6BD294CF" w14:textId="77777777" w:rsidR="004E0D59" w:rsidRPr="00296D0C" w:rsidRDefault="004E0D59" w:rsidP="004E0D59">
            <w:pPr>
              <w:spacing w:after="0" w:line="240" w:lineRule="auto"/>
              <w:rPr>
                <w:rFonts w:eastAsia="Times New Roman" w:cs="Times New Roman"/>
                <w:color w:val="000000"/>
              </w:rPr>
            </w:pPr>
            <w:r w:rsidRPr="00296D0C">
              <w:rPr>
                <w:rFonts w:eastAsia="Times New Roman" w:cs="Times New Roman"/>
                <w:color w:val="000000"/>
              </w:rPr>
              <w:t xml:space="preserve"> </w:t>
            </w:r>
          </w:p>
        </w:tc>
      </w:tr>
      <w:tr w:rsidR="004E0D59" w:rsidRPr="00296D0C" w14:paraId="572EAB84" w14:textId="77777777" w:rsidTr="002D0625">
        <w:trPr>
          <w:trHeight w:val="300"/>
        </w:trPr>
        <w:tc>
          <w:tcPr>
            <w:tcW w:w="5812" w:type="dxa"/>
            <w:tcBorders>
              <w:top w:val="nil"/>
              <w:left w:val="nil"/>
              <w:bottom w:val="nil"/>
              <w:right w:val="nil"/>
            </w:tcBorders>
            <w:shd w:val="clear" w:color="auto" w:fill="auto"/>
            <w:noWrap/>
            <w:vAlign w:val="bottom"/>
            <w:hideMark/>
          </w:tcPr>
          <w:p w14:paraId="0E0DAA9F" w14:textId="77777777" w:rsidR="004E0D59" w:rsidRPr="00296D0C" w:rsidRDefault="004E0D59" w:rsidP="004E0D59">
            <w:pPr>
              <w:spacing w:after="0" w:line="240" w:lineRule="auto"/>
              <w:rPr>
                <w:rFonts w:eastAsia="Times New Roman" w:cs="Times New Roman"/>
                <w:b/>
                <w:color w:val="000000"/>
              </w:rPr>
            </w:pPr>
            <w:r w:rsidRPr="00296D0C">
              <w:rPr>
                <w:rFonts w:eastAsia="Times New Roman" w:cs="Times New Roman"/>
                <w:b/>
                <w:color w:val="000000"/>
              </w:rPr>
              <w:t>Anthropometric</w:t>
            </w:r>
          </w:p>
        </w:tc>
        <w:tc>
          <w:tcPr>
            <w:tcW w:w="2268" w:type="dxa"/>
            <w:tcBorders>
              <w:top w:val="nil"/>
              <w:left w:val="nil"/>
              <w:bottom w:val="nil"/>
              <w:right w:val="nil"/>
            </w:tcBorders>
            <w:shd w:val="clear" w:color="auto" w:fill="auto"/>
            <w:noWrap/>
            <w:vAlign w:val="bottom"/>
            <w:hideMark/>
          </w:tcPr>
          <w:p w14:paraId="3D573F92" w14:textId="77777777" w:rsidR="004E0D59" w:rsidRPr="00296D0C" w:rsidRDefault="004E0D59" w:rsidP="004E0D59">
            <w:pPr>
              <w:spacing w:after="0" w:line="240" w:lineRule="auto"/>
              <w:rPr>
                <w:rFonts w:eastAsia="Times New Roman" w:cs="Times New Roman"/>
                <w:b/>
                <w:color w:val="000000"/>
              </w:rPr>
            </w:pPr>
            <w:r w:rsidRPr="00296D0C">
              <w:rPr>
                <w:rFonts w:eastAsia="Times New Roman" w:cs="Times New Roman"/>
                <w:b/>
                <w:color w:val="000000"/>
              </w:rPr>
              <w:t xml:space="preserve"> </w:t>
            </w:r>
          </w:p>
        </w:tc>
      </w:tr>
      <w:tr w:rsidR="004E0D59" w:rsidRPr="00296D0C" w14:paraId="7A221DE5" w14:textId="77777777" w:rsidTr="002D0625">
        <w:trPr>
          <w:trHeight w:val="300"/>
        </w:trPr>
        <w:tc>
          <w:tcPr>
            <w:tcW w:w="5812" w:type="dxa"/>
            <w:tcBorders>
              <w:top w:val="nil"/>
              <w:left w:val="nil"/>
              <w:bottom w:val="nil"/>
              <w:right w:val="nil"/>
            </w:tcBorders>
            <w:shd w:val="clear" w:color="auto" w:fill="auto"/>
            <w:noWrap/>
            <w:vAlign w:val="bottom"/>
            <w:hideMark/>
          </w:tcPr>
          <w:p w14:paraId="3476BAE0" w14:textId="77777777" w:rsidR="004E0D59" w:rsidRPr="00296D0C" w:rsidRDefault="004E0D59" w:rsidP="004E0D59">
            <w:pPr>
              <w:spacing w:after="0" w:line="240" w:lineRule="auto"/>
              <w:rPr>
                <w:rFonts w:eastAsia="Times New Roman" w:cs="Times New Roman"/>
                <w:color w:val="000000"/>
              </w:rPr>
            </w:pPr>
            <w:r w:rsidRPr="00296D0C">
              <w:rPr>
                <w:rFonts w:eastAsia="Times New Roman" w:cs="Times New Roman"/>
                <w:color w:val="000000"/>
              </w:rPr>
              <w:t>BMI</w:t>
            </w:r>
          </w:p>
        </w:tc>
        <w:tc>
          <w:tcPr>
            <w:tcW w:w="2268" w:type="dxa"/>
            <w:tcBorders>
              <w:top w:val="nil"/>
              <w:left w:val="nil"/>
              <w:bottom w:val="nil"/>
              <w:right w:val="nil"/>
            </w:tcBorders>
            <w:shd w:val="clear" w:color="auto" w:fill="auto"/>
            <w:noWrap/>
            <w:vAlign w:val="bottom"/>
            <w:hideMark/>
          </w:tcPr>
          <w:p w14:paraId="49EBE7A2" w14:textId="77777777" w:rsidR="004E0D59" w:rsidRPr="00296D0C" w:rsidRDefault="004E0D59" w:rsidP="004E0D59">
            <w:pPr>
              <w:spacing w:after="0" w:line="240" w:lineRule="auto"/>
              <w:rPr>
                <w:rFonts w:eastAsia="Times New Roman" w:cs="Times New Roman"/>
                <w:color w:val="000000"/>
              </w:rPr>
            </w:pPr>
            <w:r w:rsidRPr="00296D0C">
              <w:rPr>
                <w:rFonts w:eastAsia="Times New Roman" w:cs="Times New Roman"/>
                <w:color w:val="000000"/>
              </w:rPr>
              <w:t>0.008 (0.001, 0.081)</w:t>
            </w:r>
          </w:p>
        </w:tc>
      </w:tr>
      <w:tr w:rsidR="004E0D59" w:rsidRPr="00296D0C" w14:paraId="624FBF33" w14:textId="77777777" w:rsidTr="002D0625">
        <w:trPr>
          <w:trHeight w:val="300"/>
        </w:trPr>
        <w:tc>
          <w:tcPr>
            <w:tcW w:w="5812" w:type="dxa"/>
            <w:tcBorders>
              <w:top w:val="nil"/>
              <w:left w:val="nil"/>
              <w:bottom w:val="nil"/>
              <w:right w:val="nil"/>
            </w:tcBorders>
            <w:shd w:val="clear" w:color="auto" w:fill="auto"/>
            <w:noWrap/>
            <w:vAlign w:val="bottom"/>
          </w:tcPr>
          <w:p w14:paraId="09E1D78D" w14:textId="77777777" w:rsidR="004E0D59" w:rsidRPr="00296D0C" w:rsidRDefault="009D1C7F" w:rsidP="00AB3D54">
            <w:pPr>
              <w:spacing w:after="0" w:line="240" w:lineRule="auto"/>
              <w:rPr>
                <w:rFonts w:eastAsia="Times New Roman" w:cs="Times New Roman"/>
                <w:color w:val="000000"/>
              </w:rPr>
            </w:pPr>
            <w:r w:rsidRPr="00296D0C">
              <w:rPr>
                <w:rFonts w:eastAsia="Times New Roman" w:cs="Times New Roman"/>
                <w:color w:val="000000"/>
              </w:rPr>
              <w:t>BMI SDS</w:t>
            </w:r>
          </w:p>
        </w:tc>
        <w:tc>
          <w:tcPr>
            <w:tcW w:w="2268" w:type="dxa"/>
            <w:tcBorders>
              <w:top w:val="nil"/>
              <w:left w:val="nil"/>
              <w:bottom w:val="nil"/>
              <w:right w:val="nil"/>
            </w:tcBorders>
            <w:shd w:val="clear" w:color="auto" w:fill="auto"/>
            <w:noWrap/>
            <w:vAlign w:val="bottom"/>
          </w:tcPr>
          <w:p w14:paraId="3816EB5A" w14:textId="77777777" w:rsidR="004E0D59" w:rsidRPr="00296D0C" w:rsidRDefault="004E0D59" w:rsidP="004E0D59">
            <w:pPr>
              <w:spacing w:after="0" w:line="240" w:lineRule="auto"/>
              <w:rPr>
                <w:rFonts w:eastAsia="Times New Roman" w:cs="Times New Roman"/>
                <w:color w:val="000000"/>
              </w:rPr>
            </w:pPr>
            <w:r w:rsidRPr="00296D0C">
              <w:rPr>
                <w:rFonts w:eastAsia="Times New Roman" w:cs="Times New Roman"/>
                <w:color w:val="000000"/>
              </w:rPr>
              <w:t>0.013 (0.003, 0.064)</w:t>
            </w:r>
          </w:p>
        </w:tc>
      </w:tr>
      <w:tr w:rsidR="004E0D59" w:rsidRPr="00296D0C" w14:paraId="3CEE396F" w14:textId="77777777" w:rsidTr="002D0625">
        <w:trPr>
          <w:trHeight w:val="300"/>
        </w:trPr>
        <w:tc>
          <w:tcPr>
            <w:tcW w:w="5812" w:type="dxa"/>
            <w:tcBorders>
              <w:top w:val="nil"/>
              <w:left w:val="nil"/>
              <w:bottom w:val="nil"/>
              <w:right w:val="nil"/>
            </w:tcBorders>
            <w:shd w:val="clear" w:color="auto" w:fill="auto"/>
            <w:noWrap/>
            <w:vAlign w:val="bottom"/>
          </w:tcPr>
          <w:p w14:paraId="2866E9C3" w14:textId="77777777" w:rsidR="004E0D59" w:rsidRPr="00296D0C" w:rsidRDefault="004E0D59" w:rsidP="004E0D59">
            <w:pPr>
              <w:spacing w:after="0" w:line="240" w:lineRule="auto"/>
              <w:rPr>
                <w:rFonts w:eastAsia="Times New Roman" w:cs="Times New Roman"/>
                <w:color w:val="000000"/>
              </w:rPr>
            </w:pPr>
            <w:r w:rsidRPr="00296D0C">
              <w:rPr>
                <w:rFonts w:eastAsia="Times New Roman" w:cs="Times New Roman"/>
                <w:color w:val="000000"/>
              </w:rPr>
              <w:t>Weight status</w:t>
            </w:r>
            <w:r w:rsidRPr="00296D0C">
              <w:rPr>
                <w:rFonts w:eastAsia="Times New Roman" w:cs="Times New Roman"/>
                <w:color w:val="000000"/>
                <w:vertAlign w:val="superscript"/>
              </w:rPr>
              <w:t>a</w:t>
            </w:r>
            <w:r w:rsidRPr="00296D0C">
              <w:rPr>
                <w:rFonts w:eastAsia="Times New Roman" w:cs="Times New Roman"/>
                <w:color w:val="000000"/>
              </w:rPr>
              <w:t xml:space="preserve"> (overweight/obese vs. healthy/underweight)</w:t>
            </w:r>
          </w:p>
        </w:tc>
        <w:tc>
          <w:tcPr>
            <w:tcW w:w="2268" w:type="dxa"/>
            <w:tcBorders>
              <w:top w:val="nil"/>
              <w:left w:val="nil"/>
              <w:bottom w:val="nil"/>
              <w:right w:val="nil"/>
            </w:tcBorders>
            <w:shd w:val="clear" w:color="auto" w:fill="auto"/>
            <w:noWrap/>
            <w:vAlign w:val="bottom"/>
          </w:tcPr>
          <w:p w14:paraId="0F229657" w14:textId="77777777" w:rsidR="004E0D59" w:rsidRPr="00296D0C" w:rsidRDefault="004E0D59" w:rsidP="004E0D59">
            <w:pPr>
              <w:spacing w:after="0" w:line="240" w:lineRule="auto"/>
              <w:rPr>
                <w:rFonts w:eastAsia="Times New Roman" w:cs="Times New Roman"/>
                <w:color w:val="000000"/>
              </w:rPr>
            </w:pPr>
            <w:r w:rsidRPr="00296D0C">
              <w:rPr>
                <w:rFonts w:eastAsia="Times New Roman" w:cs="Times New Roman"/>
                <w:color w:val="000000"/>
              </w:rPr>
              <w:t>0.060 (0.011, 0.262)</w:t>
            </w:r>
          </w:p>
        </w:tc>
      </w:tr>
      <w:tr w:rsidR="004E0D59" w:rsidRPr="00296D0C" w14:paraId="0ABCE68E" w14:textId="77777777" w:rsidTr="002D0625">
        <w:trPr>
          <w:trHeight w:val="300"/>
        </w:trPr>
        <w:tc>
          <w:tcPr>
            <w:tcW w:w="5812" w:type="dxa"/>
            <w:tcBorders>
              <w:top w:val="nil"/>
              <w:left w:val="nil"/>
              <w:bottom w:val="nil"/>
              <w:right w:val="nil"/>
            </w:tcBorders>
            <w:shd w:val="clear" w:color="auto" w:fill="auto"/>
            <w:noWrap/>
            <w:vAlign w:val="bottom"/>
            <w:hideMark/>
          </w:tcPr>
          <w:p w14:paraId="1A1E2926" w14:textId="77777777" w:rsidR="004E0D59" w:rsidRPr="00296D0C" w:rsidRDefault="004E0D59" w:rsidP="004E0D59">
            <w:pPr>
              <w:spacing w:after="0" w:line="240" w:lineRule="auto"/>
              <w:rPr>
                <w:rFonts w:eastAsia="Times New Roman" w:cs="Times New Roman"/>
                <w:color w:val="000000"/>
              </w:rPr>
            </w:pPr>
            <w:r w:rsidRPr="00296D0C">
              <w:rPr>
                <w:rFonts w:eastAsia="Times New Roman" w:cs="Times New Roman"/>
                <w:color w:val="000000"/>
              </w:rPr>
              <w:t>Waist circumference</w:t>
            </w:r>
          </w:p>
        </w:tc>
        <w:tc>
          <w:tcPr>
            <w:tcW w:w="2268" w:type="dxa"/>
            <w:tcBorders>
              <w:top w:val="nil"/>
              <w:left w:val="nil"/>
              <w:bottom w:val="nil"/>
              <w:right w:val="nil"/>
            </w:tcBorders>
            <w:shd w:val="clear" w:color="auto" w:fill="auto"/>
            <w:noWrap/>
            <w:vAlign w:val="bottom"/>
            <w:hideMark/>
          </w:tcPr>
          <w:p w14:paraId="121D57C5" w14:textId="77777777" w:rsidR="004E0D59" w:rsidRPr="00296D0C" w:rsidRDefault="004E0D59" w:rsidP="004E0D59">
            <w:pPr>
              <w:spacing w:after="0" w:line="240" w:lineRule="auto"/>
              <w:rPr>
                <w:rFonts w:eastAsia="Times New Roman" w:cs="Times New Roman"/>
                <w:color w:val="000000"/>
              </w:rPr>
            </w:pPr>
            <w:r w:rsidRPr="00296D0C">
              <w:rPr>
                <w:rFonts w:eastAsia="Times New Roman" w:cs="Times New Roman"/>
                <w:color w:val="000000"/>
              </w:rPr>
              <w:t>0.125 (0.069, 0.215)</w:t>
            </w:r>
          </w:p>
        </w:tc>
      </w:tr>
      <w:tr w:rsidR="004E0D59" w:rsidRPr="00296D0C" w14:paraId="093859E7" w14:textId="77777777" w:rsidTr="002D0625">
        <w:trPr>
          <w:trHeight w:val="300"/>
        </w:trPr>
        <w:tc>
          <w:tcPr>
            <w:tcW w:w="5812" w:type="dxa"/>
            <w:tcBorders>
              <w:top w:val="nil"/>
              <w:left w:val="nil"/>
              <w:bottom w:val="nil"/>
              <w:right w:val="nil"/>
            </w:tcBorders>
            <w:shd w:val="clear" w:color="auto" w:fill="auto"/>
            <w:noWrap/>
            <w:vAlign w:val="bottom"/>
            <w:hideMark/>
          </w:tcPr>
          <w:p w14:paraId="0BE57BBA" w14:textId="77777777" w:rsidR="004E0D59" w:rsidRPr="00296D0C" w:rsidRDefault="004E0D59" w:rsidP="00AB3D54">
            <w:pPr>
              <w:spacing w:after="0" w:line="240" w:lineRule="auto"/>
              <w:rPr>
                <w:rFonts w:eastAsia="Times New Roman" w:cs="Times New Roman"/>
                <w:color w:val="000000"/>
              </w:rPr>
            </w:pPr>
            <w:r w:rsidRPr="00296D0C">
              <w:rPr>
                <w:rFonts w:eastAsia="Times New Roman" w:cs="Times New Roman"/>
                <w:color w:val="000000"/>
              </w:rPr>
              <w:t xml:space="preserve">Waist circumference </w:t>
            </w:r>
            <w:r w:rsidR="00AB3D54" w:rsidRPr="00296D0C">
              <w:rPr>
                <w:rFonts w:eastAsia="Times New Roman" w:cs="Times New Roman"/>
                <w:color w:val="000000"/>
              </w:rPr>
              <w:t>SDS</w:t>
            </w:r>
          </w:p>
        </w:tc>
        <w:tc>
          <w:tcPr>
            <w:tcW w:w="2268" w:type="dxa"/>
            <w:tcBorders>
              <w:top w:val="nil"/>
              <w:left w:val="nil"/>
              <w:bottom w:val="nil"/>
              <w:right w:val="nil"/>
            </w:tcBorders>
            <w:shd w:val="clear" w:color="auto" w:fill="auto"/>
            <w:noWrap/>
            <w:vAlign w:val="bottom"/>
            <w:hideMark/>
          </w:tcPr>
          <w:p w14:paraId="7DC85380" w14:textId="77777777" w:rsidR="004E0D59" w:rsidRPr="00296D0C" w:rsidRDefault="004E0D59" w:rsidP="004E0D59">
            <w:pPr>
              <w:spacing w:after="0" w:line="240" w:lineRule="auto"/>
              <w:rPr>
                <w:rFonts w:eastAsia="Times New Roman" w:cs="Times New Roman"/>
                <w:color w:val="000000"/>
              </w:rPr>
            </w:pPr>
            <w:r w:rsidRPr="00296D0C">
              <w:rPr>
                <w:rFonts w:eastAsia="Times New Roman" w:cs="Times New Roman"/>
                <w:color w:val="000000"/>
              </w:rPr>
              <w:t>0.178 (0.105, 0.285)</w:t>
            </w:r>
          </w:p>
        </w:tc>
      </w:tr>
      <w:tr w:rsidR="004E0D59" w:rsidRPr="00296D0C" w14:paraId="418F7D5D" w14:textId="77777777" w:rsidTr="002D0625">
        <w:trPr>
          <w:trHeight w:val="300"/>
        </w:trPr>
        <w:tc>
          <w:tcPr>
            <w:tcW w:w="5812" w:type="dxa"/>
            <w:tcBorders>
              <w:top w:val="nil"/>
              <w:left w:val="nil"/>
              <w:bottom w:val="nil"/>
              <w:right w:val="nil"/>
            </w:tcBorders>
            <w:shd w:val="clear" w:color="auto" w:fill="auto"/>
            <w:noWrap/>
            <w:vAlign w:val="bottom"/>
            <w:hideMark/>
          </w:tcPr>
          <w:p w14:paraId="51DDA4E5" w14:textId="77777777" w:rsidR="004E0D59" w:rsidRPr="00296D0C" w:rsidRDefault="004E0D59" w:rsidP="004E0D59">
            <w:pPr>
              <w:spacing w:after="0" w:line="240" w:lineRule="auto"/>
              <w:rPr>
                <w:rFonts w:eastAsia="Times New Roman" w:cs="Times New Roman"/>
                <w:color w:val="000000"/>
              </w:rPr>
            </w:pPr>
            <w:r w:rsidRPr="00296D0C">
              <w:rPr>
                <w:rFonts w:eastAsia="Times New Roman" w:cs="Times New Roman"/>
                <w:color w:val="000000"/>
              </w:rPr>
              <w:t>%body fat</w:t>
            </w:r>
          </w:p>
        </w:tc>
        <w:tc>
          <w:tcPr>
            <w:tcW w:w="2268" w:type="dxa"/>
            <w:tcBorders>
              <w:top w:val="nil"/>
              <w:left w:val="nil"/>
              <w:bottom w:val="nil"/>
              <w:right w:val="nil"/>
            </w:tcBorders>
            <w:shd w:val="clear" w:color="auto" w:fill="auto"/>
            <w:noWrap/>
            <w:vAlign w:val="bottom"/>
            <w:hideMark/>
          </w:tcPr>
          <w:p w14:paraId="3F0BC4F3" w14:textId="77777777" w:rsidR="004E0D59" w:rsidRPr="00296D0C" w:rsidRDefault="004E0D59" w:rsidP="004E0D59">
            <w:pPr>
              <w:spacing w:after="0" w:line="240" w:lineRule="auto"/>
              <w:rPr>
                <w:rFonts w:eastAsia="Times New Roman" w:cs="Times New Roman"/>
                <w:color w:val="000000"/>
              </w:rPr>
            </w:pPr>
            <w:r w:rsidRPr="00296D0C">
              <w:rPr>
                <w:rFonts w:eastAsia="Times New Roman" w:cs="Times New Roman"/>
                <w:color w:val="000000"/>
              </w:rPr>
              <w:t>0.019 (0.004, 0.076)</w:t>
            </w:r>
          </w:p>
        </w:tc>
      </w:tr>
      <w:tr w:rsidR="004E0D59" w:rsidRPr="00296D0C" w14:paraId="0369F262" w14:textId="77777777" w:rsidTr="002D0625">
        <w:trPr>
          <w:trHeight w:val="300"/>
        </w:trPr>
        <w:tc>
          <w:tcPr>
            <w:tcW w:w="5812" w:type="dxa"/>
            <w:tcBorders>
              <w:top w:val="nil"/>
              <w:left w:val="nil"/>
              <w:bottom w:val="nil"/>
              <w:right w:val="nil"/>
            </w:tcBorders>
            <w:shd w:val="clear" w:color="auto" w:fill="auto"/>
            <w:noWrap/>
            <w:vAlign w:val="bottom"/>
            <w:hideMark/>
          </w:tcPr>
          <w:p w14:paraId="38C91F85" w14:textId="77777777" w:rsidR="004E0D59" w:rsidRPr="00296D0C" w:rsidRDefault="004E0D59" w:rsidP="00AB3D54">
            <w:pPr>
              <w:spacing w:after="0" w:line="240" w:lineRule="auto"/>
              <w:rPr>
                <w:rFonts w:eastAsia="Times New Roman" w:cs="Times New Roman"/>
                <w:color w:val="000000"/>
              </w:rPr>
            </w:pPr>
            <w:r w:rsidRPr="00296D0C">
              <w:rPr>
                <w:rFonts w:eastAsia="Times New Roman" w:cs="Times New Roman"/>
                <w:color w:val="000000"/>
              </w:rPr>
              <w:t xml:space="preserve">Body fat </w:t>
            </w:r>
            <w:r w:rsidR="00AB3D54" w:rsidRPr="00296D0C">
              <w:rPr>
                <w:rFonts w:eastAsia="Times New Roman" w:cs="Times New Roman"/>
                <w:color w:val="000000"/>
              </w:rPr>
              <w:t>SDS</w:t>
            </w:r>
          </w:p>
        </w:tc>
        <w:tc>
          <w:tcPr>
            <w:tcW w:w="2268" w:type="dxa"/>
            <w:tcBorders>
              <w:top w:val="nil"/>
              <w:left w:val="nil"/>
              <w:bottom w:val="nil"/>
              <w:right w:val="nil"/>
            </w:tcBorders>
            <w:shd w:val="clear" w:color="auto" w:fill="auto"/>
            <w:noWrap/>
            <w:vAlign w:val="bottom"/>
            <w:hideMark/>
          </w:tcPr>
          <w:p w14:paraId="16CAF6C7" w14:textId="77777777" w:rsidR="004E0D59" w:rsidRPr="00296D0C" w:rsidRDefault="004E0D59" w:rsidP="004E0D59">
            <w:pPr>
              <w:spacing w:after="0" w:line="240" w:lineRule="auto"/>
              <w:rPr>
                <w:rFonts w:eastAsia="Times New Roman" w:cs="Times New Roman"/>
                <w:color w:val="000000"/>
              </w:rPr>
            </w:pPr>
            <w:r w:rsidRPr="00296D0C">
              <w:rPr>
                <w:rFonts w:eastAsia="Times New Roman" w:cs="Times New Roman"/>
                <w:color w:val="000000"/>
              </w:rPr>
              <w:t>0.012 (0.002, 0.076)</w:t>
            </w:r>
          </w:p>
        </w:tc>
      </w:tr>
      <w:tr w:rsidR="004E0D59" w:rsidRPr="00296D0C" w14:paraId="1BB0ADFD" w14:textId="77777777" w:rsidTr="002D0625">
        <w:trPr>
          <w:trHeight w:val="300"/>
        </w:trPr>
        <w:tc>
          <w:tcPr>
            <w:tcW w:w="5812" w:type="dxa"/>
            <w:tcBorders>
              <w:top w:val="nil"/>
              <w:left w:val="nil"/>
              <w:bottom w:val="nil"/>
              <w:right w:val="nil"/>
            </w:tcBorders>
            <w:shd w:val="clear" w:color="auto" w:fill="auto"/>
            <w:noWrap/>
            <w:vAlign w:val="bottom"/>
            <w:hideMark/>
          </w:tcPr>
          <w:p w14:paraId="12845506" w14:textId="77777777" w:rsidR="004E0D59" w:rsidRPr="00296D0C" w:rsidRDefault="004E0D59" w:rsidP="00AB3D54">
            <w:pPr>
              <w:spacing w:after="0" w:line="240" w:lineRule="auto"/>
              <w:rPr>
                <w:rFonts w:eastAsia="Times New Roman" w:cs="Times New Roman"/>
                <w:color w:val="000000"/>
              </w:rPr>
            </w:pPr>
            <w:r w:rsidRPr="00296D0C">
              <w:rPr>
                <w:rFonts w:eastAsia="Times New Roman" w:cs="Times New Roman"/>
                <w:color w:val="000000"/>
              </w:rPr>
              <w:t xml:space="preserve">Body fat </w:t>
            </w:r>
            <w:r w:rsidR="00AB3D54" w:rsidRPr="00296D0C">
              <w:rPr>
                <w:rFonts w:eastAsia="Times New Roman" w:cs="Times New Roman"/>
                <w:color w:val="000000"/>
              </w:rPr>
              <w:t>SDS</w:t>
            </w:r>
            <w:r w:rsidRPr="00296D0C">
              <w:rPr>
                <w:rFonts w:eastAsia="Times New Roman" w:cs="Times New Roman"/>
                <w:color w:val="000000"/>
                <w:vertAlign w:val="superscript"/>
              </w:rPr>
              <w:t>b</w:t>
            </w:r>
          </w:p>
        </w:tc>
        <w:tc>
          <w:tcPr>
            <w:tcW w:w="2268" w:type="dxa"/>
            <w:tcBorders>
              <w:top w:val="nil"/>
              <w:left w:val="nil"/>
              <w:bottom w:val="nil"/>
              <w:right w:val="nil"/>
            </w:tcBorders>
            <w:shd w:val="clear" w:color="auto" w:fill="auto"/>
            <w:noWrap/>
            <w:vAlign w:val="bottom"/>
            <w:hideMark/>
          </w:tcPr>
          <w:p w14:paraId="79BE7C3A" w14:textId="77777777" w:rsidR="004E0D59" w:rsidRPr="00296D0C" w:rsidRDefault="004E0D59" w:rsidP="004E0D59">
            <w:pPr>
              <w:spacing w:after="0" w:line="240" w:lineRule="auto"/>
              <w:rPr>
                <w:rFonts w:eastAsia="Times New Roman" w:cs="Times New Roman"/>
                <w:color w:val="000000"/>
              </w:rPr>
            </w:pPr>
            <w:r w:rsidRPr="00296D0C">
              <w:rPr>
                <w:rFonts w:eastAsia="Times New Roman" w:cs="Times New Roman"/>
                <w:color w:val="000000"/>
              </w:rPr>
              <w:t>0.012 (0.002, 0.080)</w:t>
            </w:r>
          </w:p>
        </w:tc>
      </w:tr>
      <w:tr w:rsidR="004E0D59" w:rsidRPr="00296D0C" w14:paraId="0AA81E7F" w14:textId="77777777" w:rsidTr="002D0625">
        <w:trPr>
          <w:trHeight w:val="300"/>
        </w:trPr>
        <w:tc>
          <w:tcPr>
            <w:tcW w:w="5812" w:type="dxa"/>
            <w:tcBorders>
              <w:top w:val="nil"/>
              <w:left w:val="nil"/>
              <w:bottom w:val="nil"/>
              <w:right w:val="nil"/>
            </w:tcBorders>
            <w:shd w:val="clear" w:color="auto" w:fill="auto"/>
            <w:noWrap/>
            <w:vAlign w:val="bottom"/>
            <w:hideMark/>
          </w:tcPr>
          <w:p w14:paraId="640F928F" w14:textId="15A9C21E" w:rsidR="004E0D59" w:rsidRPr="00296D0C" w:rsidRDefault="004E0D59" w:rsidP="005940FB">
            <w:pPr>
              <w:spacing w:after="0" w:line="240" w:lineRule="auto"/>
              <w:rPr>
                <w:rFonts w:eastAsia="Times New Roman" w:cs="Times New Roman"/>
                <w:b/>
                <w:color w:val="000000"/>
              </w:rPr>
            </w:pPr>
            <w:r w:rsidRPr="00296D0C">
              <w:rPr>
                <w:rFonts w:eastAsia="Times New Roman" w:cs="Times New Roman"/>
                <w:b/>
                <w:color w:val="000000"/>
              </w:rPr>
              <w:t xml:space="preserve">Physical activity </w:t>
            </w:r>
          </w:p>
        </w:tc>
        <w:tc>
          <w:tcPr>
            <w:tcW w:w="2268" w:type="dxa"/>
            <w:tcBorders>
              <w:top w:val="nil"/>
              <w:left w:val="nil"/>
              <w:bottom w:val="nil"/>
              <w:right w:val="nil"/>
            </w:tcBorders>
            <w:shd w:val="clear" w:color="auto" w:fill="auto"/>
            <w:noWrap/>
            <w:vAlign w:val="bottom"/>
            <w:hideMark/>
          </w:tcPr>
          <w:p w14:paraId="44765503" w14:textId="77777777" w:rsidR="004E0D59" w:rsidRPr="00296D0C" w:rsidRDefault="004E0D59" w:rsidP="004E0D59">
            <w:pPr>
              <w:spacing w:after="0" w:line="240" w:lineRule="auto"/>
              <w:rPr>
                <w:rFonts w:eastAsia="Times New Roman" w:cs="Times New Roman"/>
                <w:b/>
                <w:color w:val="000000"/>
              </w:rPr>
            </w:pPr>
            <w:r w:rsidRPr="00296D0C">
              <w:rPr>
                <w:rFonts w:eastAsia="Times New Roman" w:cs="Times New Roman"/>
                <w:b/>
                <w:color w:val="000000"/>
              </w:rPr>
              <w:t xml:space="preserve"> </w:t>
            </w:r>
          </w:p>
        </w:tc>
      </w:tr>
      <w:tr w:rsidR="004E0D59" w:rsidRPr="00296D0C" w14:paraId="4B19878E" w14:textId="77777777" w:rsidTr="002D0625">
        <w:trPr>
          <w:trHeight w:val="300"/>
        </w:trPr>
        <w:tc>
          <w:tcPr>
            <w:tcW w:w="5812" w:type="dxa"/>
            <w:tcBorders>
              <w:top w:val="nil"/>
              <w:left w:val="nil"/>
              <w:bottom w:val="nil"/>
              <w:right w:val="nil"/>
            </w:tcBorders>
            <w:shd w:val="clear" w:color="auto" w:fill="auto"/>
            <w:noWrap/>
            <w:vAlign w:val="bottom"/>
            <w:hideMark/>
          </w:tcPr>
          <w:p w14:paraId="6EA6AFC5" w14:textId="50555C37" w:rsidR="004E0D59" w:rsidRPr="00296D0C" w:rsidRDefault="005940FB" w:rsidP="005C1660">
            <w:pPr>
              <w:spacing w:after="0" w:line="240" w:lineRule="auto"/>
              <w:rPr>
                <w:rFonts w:eastAsia="Times New Roman" w:cs="Times New Roman"/>
                <w:color w:val="000000"/>
              </w:rPr>
            </w:pPr>
            <w:r w:rsidRPr="00296D0C">
              <w:rPr>
                <w:rFonts w:eastAsia="Times New Roman" w:cs="Times New Roman"/>
                <w:color w:val="000000"/>
              </w:rPr>
              <w:t xml:space="preserve">Average </w:t>
            </w:r>
            <w:r w:rsidR="005C1660" w:rsidRPr="00296D0C">
              <w:rPr>
                <w:rFonts w:eastAsia="Times New Roman" w:cs="Times New Roman"/>
                <w:color w:val="000000"/>
              </w:rPr>
              <w:t>W</w:t>
            </w:r>
            <w:r w:rsidRPr="00296D0C">
              <w:rPr>
                <w:rFonts w:eastAsia="Times New Roman" w:cs="Times New Roman"/>
                <w:color w:val="000000"/>
              </w:rPr>
              <w:t xml:space="preserve">eekly </w:t>
            </w:r>
            <w:r w:rsidR="005C1660" w:rsidRPr="00296D0C">
              <w:rPr>
                <w:rFonts w:eastAsia="Times New Roman" w:cs="Times New Roman"/>
                <w:color w:val="000000"/>
              </w:rPr>
              <w:t>Vo</w:t>
            </w:r>
            <w:r w:rsidR="00AB3D54" w:rsidRPr="00296D0C">
              <w:rPr>
                <w:rFonts w:eastAsia="Times New Roman" w:cs="Times New Roman"/>
                <w:color w:val="000000"/>
              </w:rPr>
              <w:t>lume</w:t>
            </w:r>
          </w:p>
        </w:tc>
        <w:tc>
          <w:tcPr>
            <w:tcW w:w="2268" w:type="dxa"/>
            <w:tcBorders>
              <w:top w:val="nil"/>
              <w:left w:val="nil"/>
              <w:bottom w:val="nil"/>
              <w:right w:val="nil"/>
            </w:tcBorders>
            <w:shd w:val="clear" w:color="auto" w:fill="auto"/>
            <w:noWrap/>
            <w:vAlign w:val="bottom"/>
            <w:hideMark/>
          </w:tcPr>
          <w:p w14:paraId="0BB21D45" w14:textId="77777777" w:rsidR="004E0D59" w:rsidRPr="00296D0C" w:rsidRDefault="004E0D59" w:rsidP="004E0D59">
            <w:pPr>
              <w:spacing w:after="0" w:line="240" w:lineRule="auto"/>
              <w:rPr>
                <w:rFonts w:eastAsia="Times New Roman" w:cs="Times New Roman"/>
                <w:color w:val="000000"/>
              </w:rPr>
            </w:pPr>
            <w:r w:rsidRPr="00296D0C">
              <w:rPr>
                <w:rFonts w:eastAsia="Times New Roman" w:cs="Times New Roman"/>
                <w:color w:val="000000"/>
              </w:rPr>
              <w:t>0.053 (0.020, 0.130)</w:t>
            </w:r>
          </w:p>
        </w:tc>
      </w:tr>
      <w:tr w:rsidR="004E0D59" w:rsidRPr="00296D0C" w14:paraId="58D094DF" w14:textId="77777777" w:rsidTr="002D0625">
        <w:trPr>
          <w:trHeight w:val="300"/>
        </w:trPr>
        <w:tc>
          <w:tcPr>
            <w:tcW w:w="5812" w:type="dxa"/>
            <w:tcBorders>
              <w:top w:val="nil"/>
              <w:left w:val="nil"/>
              <w:bottom w:val="nil"/>
              <w:right w:val="nil"/>
            </w:tcBorders>
            <w:shd w:val="clear" w:color="auto" w:fill="auto"/>
            <w:noWrap/>
            <w:vAlign w:val="bottom"/>
            <w:hideMark/>
          </w:tcPr>
          <w:p w14:paraId="2D7221DD" w14:textId="7C69DACA" w:rsidR="004E0D59" w:rsidRPr="00296D0C" w:rsidRDefault="005940FB" w:rsidP="004E0D59">
            <w:pPr>
              <w:spacing w:after="0" w:line="240" w:lineRule="auto"/>
              <w:rPr>
                <w:rFonts w:eastAsia="Times New Roman" w:cs="Times New Roman"/>
                <w:color w:val="000000"/>
              </w:rPr>
            </w:pPr>
            <w:r w:rsidRPr="00296D0C">
              <w:rPr>
                <w:rFonts w:eastAsia="Times New Roman" w:cs="Times New Roman"/>
                <w:color w:val="000000"/>
              </w:rPr>
              <w:t xml:space="preserve">Average Daily </w:t>
            </w:r>
            <w:r w:rsidR="004E0D59" w:rsidRPr="00296D0C">
              <w:rPr>
                <w:rFonts w:eastAsia="Times New Roman" w:cs="Times New Roman"/>
                <w:color w:val="000000"/>
              </w:rPr>
              <w:t>Total</w:t>
            </w:r>
            <w:r w:rsidR="00AB3D54" w:rsidRPr="00296D0C">
              <w:rPr>
                <w:rFonts w:eastAsia="Times New Roman" w:cs="Times New Roman"/>
                <w:color w:val="000000"/>
              </w:rPr>
              <w:t xml:space="preserve"> activity</w:t>
            </w:r>
          </w:p>
        </w:tc>
        <w:tc>
          <w:tcPr>
            <w:tcW w:w="2268" w:type="dxa"/>
            <w:tcBorders>
              <w:top w:val="nil"/>
              <w:left w:val="nil"/>
              <w:bottom w:val="nil"/>
              <w:right w:val="nil"/>
            </w:tcBorders>
            <w:shd w:val="clear" w:color="auto" w:fill="auto"/>
            <w:noWrap/>
            <w:vAlign w:val="bottom"/>
            <w:hideMark/>
          </w:tcPr>
          <w:p w14:paraId="0E89D582" w14:textId="77777777" w:rsidR="004E0D59" w:rsidRPr="00296D0C" w:rsidRDefault="004E0D59" w:rsidP="004E0D59">
            <w:pPr>
              <w:spacing w:after="0" w:line="240" w:lineRule="auto"/>
              <w:rPr>
                <w:rFonts w:eastAsia="Times New Roman" w:cs="Times New Roman"/>
                <w:color w:val="000000"/>
              </w:rPr>
            </w:pPr>
            <w:r w:rsidRPr="00296D0C">
              <w:rPr>
                <w:rFonts w:eastAsia="Times New Roman" w:cs="Times New Roman"/>
                <w:color w:val="000000"/>
              </w:rPr>
              <w:t>0.084 (0.039, 0.174)</w:t>
            </w:r>
          </w:p>
        </w:tc>
      </w:tr>
      <w:tr w:rsidR="004E0D59" w:rsidRPr="00296D0C" w14:paraId="4772481B" w14:textId="77777777" w:rsidTr="002D0625">
        <w:trPr>
          <w:trHeight w:val="300"/>
        </w:trPr>
        <w:tc>
          <w:tcPr>
            <w:tcW w:w="5812" w:type="dxa"/>
            <w:tcBorders>
              <w:top w:val="nil"/>
              <w:left w:val="nil"/>
              <w:bottom w:val="nil"/>
              <w:right w:val="nil"/>
            </w:tcBorders>
            <w:shd w:val="clear" w:color="auto" w:fill="auto"/>
            <w:noWrap/>
            <w:vAlign w:val="bottom"/>
            <w:hideMark/>
          </w:tcPr>
          <w:p w14:paraId="54EC1523" w14:textId="016D165D" w:rsidR="004E0D59" w:rsidRPr="00296D0C" w:rsidRDefault="005940FB" w:rsidP="004E0D59">
            <w:pPr>
              <w:spacing w:after="0" w:line="240" w:lineRule="auto"/>
              <w:rPr>
                <w:rFonts w:eastAsia="Times New Roman" w:cs="Times New Roman"/>
                <w:color w:val="000000"/>
              </w:rPr>
            </w:pPr>
            <w:r w:rsidRPr="00296D0C">
              <w:rPr>
                <w:rFonts w:eastAsia="Times New Roman" w:cs="Times New Roman"/>
                <w:color w:val="000000"/>
              </w:rPr>
              <w:t xml:space="preserve">Average Daily </w:t>
            </w:r>
            <w:r w:rsidR="004E0D59" w:rsidRPr="00296D0C">
              <w:rPr>
                <w:rFonts w:eastAsia="Times New Roman" w:cs="Times New Roman"/>
                <w:color w:val="000000"/>
              </w:rPr>
              <w:t>Light</w:t>
            </w:r>
          </w:p>
        </w:tc>
        <w:tc>
          <w:tcPr>
            <w:tcW w:w="2268" w:type="dxa"/>
            <w:tcBorders>
              <w:top w:val="nil"/>
              <w:left w:val="nil"/>
              <w:bottom w:val="nil"/>
              <w:right w:val="nil"/>
            </w:tcBorders>
            <w:shd w:val="clear" w:color="auto" w:fill="auto"/>
            <w:noWrap/>
            <w:vAlign w:val="bottom"/>
            <w:hideMark/>
          </w:tcPr>
          <w:p w14:paraId="7FF3CFA7" w14:textId="77777777" w:rsidR="004E0D59" w:rsidRPr="00296D0C" w:rsidRDefault="004E0D59" w:rsidP="004E0D59">
            <w:pPr>
              <w:spacing w:after="0" w:line="240" w:lineRule="auto"/>
              <w:rPr>
                <w:rFonts w:eastAsia="Times New Roman" w:cs="Times New Roman"/>
                <w:color w:val="000000"/>
              </w:rPr>
            </w:pPr>
            <w:r w:rsidRPr="00296D0C">
              <w:rPr>
                <w:rFonts w:eastAsia="Times New Roman" w:cs="Times New Roman"/>
                <w:color w:val="000000"/>
              </w:rPr>
              <w:t>0.095 (0.045, 0.189)</w:t>
            </w:r>
          </w:p>
        </w:tc>
      </w:tr>
      <w:tr w:rsidR="004E0D59" w:rsidRPr="00296D0C" w14:paraId="00558560" w14:textId="77777777" w:rsidTr="002D0625">
        <w:trPr>
          <w:trHeight w:val="300"/>
        </w:trPr>
        <w:tc>
          <w:tcPr>
            <w:tcW w:w="5812" w:type="dxa"/>
            <w:tcBorders>
              <w:top w:val="nil"/>
              <w:left w:val="nil"/>
              <w:bottom w:val="nil"/>
              <w:right w:val="nil"/>
            </w:tcBorders>
            <w:shd w:val="clear" w:color="auto" w:fill="auto"/>
            <w:noWrap/>
            <w:vAlign w:val="bottom"/>
            <w:hideMark/>
          </w:tcPr>
          <w:p w14:paraId="06451931" w14:textId="22405DD3" w:rsidR="004E0D59" w:rsidRPr="00296D0C" w:rsidRDefault="005940FB" w:rsidP="004E0D59">
            <w:pPr>
              <w:spacing w:after="0" w:line="240" w:lineRule="auto"/>
              <w:rPr>
                <w:rFonts w:eastAsia="Times New Roman" w:cs="Times New Roman"/>
                <w:color w:val="000000"/>
              </w:rPr>
            </w:pPr>
            <w:r w:rsidRPr="00296D0C">
              <w:rPr>
                <w:rFonts w:eastAsia="Times New Roman" w:cs="Times New Roman"/>
                <w:color w:val="000000"/>
              </w:rPr>
              <w:t xml:space="preserve">Average Daily </w:t>
            </w:r>
            <w:r w:rsidR="004E0D59" w:rsidRPr="00296D0C">
              <w:rPr>
                <w:rFonts w:eastAsia="Times New Roman" w:cs="Times New Roman"/>
                <w:color w:val="000000"/>
              </w:rPr>
              <w:t>Moderate</w:t>
            </w:r>
          </w:p>
        </w:tc>
        <w:tc>
          <w:tcPr>
            <w:tcW w:w="2268" w:type="dxa"/>
            <w:tcBorders>
              <w:top w:val="nil"/>
              <w:left w:val="nil"/>
              <w:bottom w:val="nil"/>
              <w:right w:val="nil"/>
            </w:tcBorders>
            <w:shd w:val="clear" w:color="auto" w:fill="auto"/>
            <w:noWrap/>
            <w:vAlign w:val="bottom"/>
            <w:hideMark/>
          </w:tcPr>
          <w:p w14:paraId="23E41710" w14:textId="77777777" w:rsidR="004E0D59" w:rsidRPr="00296D0C" w:rsidRDefault="004E0D59" w:rsidP="004E0D59">
            <w:pPr>
              <w:spacing w:after="0" w:line="240" w:lineRule="auto"/>
              <w:rPr>
                <w:rFonts w:eastAsia="Times New Roman" w:cs="Times New Roman"/>
                <w:color w:val="000000"/>
              </w:rPr>
            </w:pPr>
            <w:r w:rsidRPr="00296D0C">
              <w:rPr>
                <w:rFonts w:eastAsia="Times New Roman" w:cs="Times New Roman"/>
                <w:color w:val="000000"/>
              </w:rPr>
              <w:t>0.076 (0.034, 0.163)</w:t>
            </w:r>
          </w:p>
        </w:tc>
      </w:tr>
      <w:tr w:rsidR="004E0D59" w:rsidRPr="00296D0C" w14:paraId="5BA7CDBC" w14:textId="77777777" w:rsidTr="002D0625">
        <w:trPr>
          <w:trHeight w:val="300"/>
        </w:trPr>
        <w:tc>
          <w:tcPr>
            <w:tcW w:w="5812" w:type="dxa"/>
            <w:tcBorders>
              <w:top w:val="nil"/>
              <w:left w:val="nil"/>
              <w:bottom w:val="nil"/>
              <w:right w:val="nil"/>
            </w:tcBorders>
            <w:shd w:val="clear" w:color="auto" w:fill="auto"/>
            <w:noWrap/>
            <w:vAlign w:val="bottom"/>
            <w:hideMark/>
          </w:tcPr>
          <w:p w14:paraId="6BEA6F11" w14:textId="25674562" w:rsidR="004E0D59" w:rsidRPr="00296D0C" w:rsidRDefault="005940FB" w:rsidP="004E0D59">
            <w:pPr>
              <w:spacing w:after="0" w:line="240" w:lineRule="auto"/>
              <w:rPr>
                <w:rFonts w:eastAsia="Times New Roman" w:cs="Times New Roman"/>
                <w:color w:val="000000"/>
              </w:rPr>
            </w:pPr>
            <w:r w:rsidRPr="00296D0C">
              <w:rPr>
                <w:rFonts w:eastAsia="Times New Roman" w:cs="Times New Roman"/>
                <w:color w:val="000000"/>
              </w:rPr>
              <w:t xml:space="preserve">Average Daily </w:t>
            </w:r>
            <w:r w:rsidR="004E0D59" w:rsidRPr="00296D0C">
              <w:rPr>
                <w:rFonts w:eastAsia="Times New Roman" w:cs="Times New Roman"/>
                <w:color w:val="000000"/>
              </w:rPr>
              <w:t>Moderate-vigorous</w:t>
            </w:r>
          </w:p>
        </w:tc>
        <w:tc>
          <w:tcPr>
            <w:tcW w:w="2268" w:type="dxa"/>
            <w:tcBorders>
              <w:top w:val="nil"/>
              <w:left w:val="nil"/>
              <w:bottom w:val="nil"/>
              <w:right w:val="nil"/>
            </w:tcBorders>
            <w:shd w:val="clear" w:color="auto" w:fill="auto"/>
            <w:noWrap/>
            <w:vAlign w:val="bottom"/>
            <w:hideMark/>
          </w:tcPr>
          <w:p w14:paraId="1BB3CC0D" w14:textId="77777777" w:rsidR="004E0D59" w:rsidRPr="00296D0C" w:rsidRDefault="004E0D59" w:rsidP="004E0D59">
            <w:pPr>
              <w:spacing w:after="0" w:line="240" w:lineRule="auto"/>
              <w:rPr>
                <w:rFonts w:eastAsia="Times New Roman" w:cs="Times New Roman"/>
                <w:color w:val="000000"/>
              </w:rPr>
            </w:pPr>
            <w:r w:rsidRPr="00296D0C">
              <w:rPr>
                <w:rFonts w:eastAsia="Times New Roman" w:cs="Times New Roman"/>
                <w:color w:val="000000"/>
              </w:rPr>
              <w:t>0.052 (0.020, 0.130)</w:t>
            </w:r>
          </w:p>
        </w:tc>
      </w:tr>
      <w:tr w:rsidR="004E0D59" w:rsidRPr="00296D0C" w14:paraId="201D1DD3" w14:textId="77777777" w:rsidTr="002D0625">
        <w:trPr>
          <w:trHeight w:val="300"/>
        </w:trPr>
        <w:tc>
          <w:tcPr>
            <w:tcW w:w="5812" w:type="dxa"/>
            <w:tcBorders>
              <w:top w:val="nil"/>
              <w:left w:val="nil"/>
              <w:bottom w:val="nil"/>
              <w:right w:val="nil"/>
            </w:tcBorders>
            <w:shd w:val="clear" w:color="auto" w:fill="auto"/>
            <w:noWrap/>
            <w:vAlign w:val="bottom"/>
            <w:hideMark/>
          </w:tcPr>
          <w:p w14:paraId="4F8C9C48" w14:textId="2D13EF93" w:rsidR="004E0D59" w:rsidRPr="00296D0C" w:rsidRDefault="005940FB" w:rsidP="004E0D59">
            <w:pPr>
              <w:spacing w:after="0" w:line="240" w:lineRule="auto"/>
              <w:rPr>
                <w:rFonts w:eastAsia="Times New Roman" w:cs="Times New Roman"/>
                <w:color w:val="000000"/>
              </w:rPr>
            </w:pPr>
            <w:r w:rsidRPr="00296D0C">
              <w:rPr>
                <w:rFonts w:eastAsia="Times New Roman" w:cs="Times New Roman"/>
                <w:color w:val="000000"/>
              </w:rPr>
              <w:t xml:space="preserve">Average Daily </w:t>
            </w:r>
            <w:r w:rsidR="004E0D59" w:rsidRPr="00296D0C">
              <w:rPr>
                <w:rFonts w:eastAsia="Times New Roman" w:cs="Times New Roman"/>
                <w:color w:val="000000"/>
              </w:rPr>
              <w:t>Vigorous</w:t>
            </w:r>
          </w:p>
        </w:tc>
        <w:tc>
          <w:tcPr>
            <w:tcW w:w="2268" w:type="dxa"/>
            <w:tcBorders>
              <w:top w:val="nil"/>
              <w:left w:val="nil"/>
              <w:bottom w:val="nil"/>
              <w:right w:val="nil"/>
            </w:tcBorders>
            <w:shd w:val="clear" w:color="auto" w:fill="auto"/>
            <w:noWrap/>
            <w:vAlign w:val="bottom"/>
            <w:hideMark/>
          </w:tcPr>
          <w:p w14:paraId="60546114" w14:textId="77777777" w:rsidR="004E0D59" w:rsidRPr="00296D0C" w:rsidRDefault="004E0D59" w:rsidP="004E0D59">
            <w:pPr>
              <w:spacing w:after="0" w:line="240" w:lineRule="auto"/>
              <w:rPr>
                <w:rFonts w:eastAsia="Times New Roman" w:cs="Times New Roman"/>
                <w:color w:val="000000"/>
              </w:rPr>
            </w:pPr>
            <w:r w:rsidRPr="00296D0C">
              <w:rPr>
                <w:rFonts w:eastAsia="Times New Roman" w:cs="Times New Roman"/>
                <w:color w:val="000000"/>
              </w:rPr>
              <w:t>0.047 (0.017, 0.123)</w:t>
            </w:r>
          </w:p>
        </w:tc>
      </w:tr>
      <w:tr w:rsidR="004E0D59" w:rsidRPr="00296D0C" w14:paraId="7FF90702" w14:textId="77777777" w:rsidTr="002D0625">
        <w:trPr>
          <w:trHeight w:val="300"/>
        </w:trPr>
        <w:tc>
          <w:tcPr>
            <w:tcW w:w="5812" w:type="dxa"/>
            <w:tcBorders>
              <w:top w:val="nil"/>
              <w:left w:val="nil"/>
              <w:bottom w:val="nil"/>
              <w:right w:val="nil"/>
            </w:tcBorders>
            <w:shd w:val="clear" w:color="auto" w:fill="auto"/>
            <w:noWrap/>
            <w:vAlign w:val="bottom"/>
            <w:hideMark/>
          </w:tcPr>
          <w:p w14:paraId="180DEE2A" w14:textId="3D707889" w:rsidR="004E0D59" w:rsidRPr="00296D0C" w:rsidRDefault="005940FB" w:rsidP="004E0D59">
            <w:pPr>
              <w:spacing w:after="0" w:line="240" w:lineRule="auto"/>
              <w:rPr>
                <w:rFonts w:eastAsia="Times New Roman" w:cs="Times New Roman"/>
                <w:color w:val="000000"/>
              </w:rPr>
            </w:pPr>
            <w:r w:rsidRPr="00296D0C">
              <w:rPr>
                <w:rFonts w:eastAsia="Times New Roman" w:cs="Times New Roman"/>
                <w:color w:val="000000"/>
              </w:rPr>
              <w:t xml:space="preserve">Average Daily </w:t>
            </w:r>
            <w:r w:rsidR="004E0D59" w:rsidRPr="00296D0C">
              <w:rPr>
                <w:rFonts w:eastAsia="Times New Roman" w:cs="Times New Roman"/>
                <w:color w:val="000000"/>
              </w:rPr>
              <w:t>Sedentary 6am-10pm</w:t>
            </w:r>
          </w:p>
        </w:tc>
        <w:tc>
          <w:tcPr>
            <w:tcW w:w="2268" w:type="dxa"/>
            <w:tcBorders>
              <w:top w:val="nil"/>
              <w:left w:val="nil"/>
              <w:bottom w:val="nil"/>
              <w:right w:val="nil"/>
            </w:tcBorders>
            <w:shd w:val="clear" w:color="auto" w:fill="auto"/>
            <w:noWrap/>
            <w:vAlign w:val="bottom"/>
            <w:hideMark/>
          </w:tcPr>
          <w:p w14:paraId="697671CF" w14:textId="77777777" w:rsidR="004E0D59" w:rsidRPr="00296D0C" w:rsidRDefault="004E0D59" w:rsidP="004E0D59">
            <w:pPr>
              <w:spacing w:after="0" w:line="240" w:lineRule="auto"/>
              <w:rPr>
                <w:rFonts w:eastAsia="Times New Roman" w:cs="Times New Roman"/>
                <w:color w:val="000000"/>
              </w:rPr>
            </w:pPr>
            <w:r w:rsidRPr="00296D0C">
              <w:rPr>
                <w:rFonts w:eastAsia="Times New Roman" w:cs="Times New Roman"/>
                <w:color w:val="000000"/>
              </w:rPr>
              <w:t>0.085 (0.039, 0.175)</w:t>
            </w:r>
          </w:p>
        </w:tc>
      </w:tr>
      <w:tr w:rsidR="004E0D59" w:rsidRPr="00296D0C" w14:paraId="76063088" w14:textId="77777777" w:rsidTr="002D0625">
        <w:trPr>
          <w:trHeight w:val="300"/>
        </w:trPr>
        <w:tc>
          <w:tcPr>
            <w:tcW w:w="5812" w:type="dxa"/>
            <w:tcBorders>
              <w:top w:val="nil"/>
              <w:left w:val="nil"/>
              <w:bottom w:val="nil"/>
              <w:right w:val="nil"/>
            </w:tcBorders>
            <w:shd w:val="clear" w:color="auto" w:fill="auto"/>
            <w:noWrap/>
            <w:vAlign w:val="bottom"/>
            <w:hideMark/>
          </w:tcPr>
          <w:p w14:paraId="0F8EDEC0" w14:textId="77777777" w:rsidR="004E0D59" w:rsidRPr="00296D0C" w:rsidRDefault="004E0D59" w:rsidP="004E0D59">
            <w:pPr>
              <w:spacing w:after="0" w:line="240" w:lineRule="auto"/>
              <w:rPr>
                <w:rFonts w:eastAsia="Times New Roman" w:cs="Times New Roman"/>
                <w:b/>
                <w:color w:val="000000"/>
              </w:rPr>
            </w:pPr>
            <w:r w:rsidRPr="00296D0C">
              <w:rPr>
                <w:rFonts w:eastAsia="Times New Roman" w:cs="Times New Roman"/>
                <w:b/>
                <w:color w:val="000000"/>
              </w:rPr>
              <w:t>Food intake questionnaire (average weekly)</w:t>
            </w:r>
          </w:p>
        </w:tc>
        <w:tc>
          <w:tcPr>
            <w:tcW w:w="2268" w:type="dxa"/>
            <w:tcBorders>
              <w:top w:val="nil"/>
              <w:left w:val="nil"/>
              <w:bottom w:val="nil"/>
              <w:right w:val="nil"/>
            </w:tcBorders>
            <w:shd w:val="clear" w:color="auto" w:fill="auto"/>
            <w:noWrap/>
            <w:vAlign w:val="bottom"/>
            <w:hideMark/>
          </w:tcPr>
          <w:p w14:paraId="77042B83" w14:textId="77777777" w:rsidR="004E0D59" w:rsidRPr="00296D0C" w:rsidRDefault="004E0D59" w:rsidP="004E0D59">
            <w:pPr>
              <w:spacing w:after="0" w:line="240" w:lineRule="auto"/>
              <w:rPr>
                <w:rFonts w:eastAsia="Times New Roman" w:cs="Times New Roman"/>
                <w:b/>
                <w:color w:val="000000"/>
              </w:rPr>
            </w:pPr>
            <w:r w:rsidRPr="00296D0C">
              <w:rPr>
                <w:rFonts w:eastAsia="Times New Roman" w:cs="Times New Roman"/>
                <w:b/>
                <w:color w:val="000000"/>
              </w:rPr>
              <w:t xml:space="preserve"> </w:t>
            </w:r>
          </w:p>
        </w:tc>
      </w:tr>
      <w:tr w:rsidR="004E0D59" w:rsidRPr="00296D0C" w14:paraId="031BCF39" w14:textId="77777777" w:rsidTr="002D0625">
        <w:trPr>
          <w:trHeight w:val="300"/>
        </w:trPr>
        <w:tc>
          <w:tcPr>
            <w:tcW w:w="5812" w:type="dxa"/>
            <w:tcBorders>
              <w:top w:val="nil"/>
              <w:left w:val="nil"/>
              <w:bottom w:val="nil"/>
              <w:right w:val="nil"/>
            </w:tcBorders>
            <w:shd w:val="clear" w:color="auto" w:fill="auto"/>
            <w:noWrap/>
            <w:vAlign w:val="bottom"/>
            <w:hideMark/>
          </w:tcPr>
          <w:p w14:paraId="6680B9A1" w14:textId="36B1A3A9" w:rsidR="004E0D59" w:rsidRPr="00296D0C" w:rsidRDefault="00020C42" w:rsidP="00020C42">
            <w:pPr>
              <w:spacing w:after="0" w:line="240" w:lineRule="auto"/>
              <w:rPr>
                <w:rFonts w:eastAsia="Times New Roman" w:cs="Times New Roman"/>
                <w:color w:val="000000"/>
              </w:rPr>
            </w:pPr>
            <w:r w:rsidRPr="00296D0C">
              <w:rPr>
                <w:rFonts w:eastAsia="Times New Roman" w:cs="Times New Roman"/>
                <w:color w:val="000000"/>
              </w:rPr>
              <w:t>Energy D</w:t>
            </w:r>
            <w:r w:rsidR="004E0D59" w:rsidRPr="00296D0C">
              <w:rPr>
                <w:rFonts w:eastAsia="Times New Roman" w:cs="Times New Roman"/>
                <w:color w:val="000000"/>
              </w:rPr>
              <w:t xml:space="preserve">ense </w:t>
            </w:r>
            <w:r w:rsidRPr="00296D0C">
              <w:rPr>
                <w:rFonts w:eastAsia="Times New Roman" w:cs="Times New Roman"/>
                <w:color w:val="000000"/>
              </w:rPr>
              <w:t>S</w:t>
            </w:r>
            <w:r w:rsidR="004E0D59" w:rsidRPr="00296D0C">
              <w:rPr>
                <w:rFonts w:eastAsia="Times New Roman" w:cs="Times New Roman"/>
                <w:color w:val="000000"/>
              </w:rPr>
              <w:t>nacks</w:t>
            </w:r>
          </w:p>
        </w:tc>
        <w:tc>
          <w:tcPr>
            <w:tcW w:w="2268" w:type="dxa"/>
            <w:tcBorders>
              <w:top w:val="nil"/>
              <w:left w:val="nil"/>
              <w:bottom w:val="nil"/>
              <w:right w:val="nil"/>
            </w:tcBorders>
            <w:shd w:val="clear" w:color="auto" w:fill="auto"/>
            <w:noWrap/>
            <w:vAlign w:val="bottom"/>
            <w:hideMark/>
          </w:tcPr>
          <w:p w14:paraId="735E48CD" w14:textId="77777777" w:rsidR="004E0D59" w:rsidRPr="00296D0C" w:rsidRDefault="004E0D59" w:rsidP="004E0D59">
            <w:pPr>
              <w:spacing w:after="0" w:line="240" w:lineRule="auto"/>
              <w:rPr>
                <w:rFonts w:eastAsia="Times New Roman" w:cs="Times New Roman"/>
                <w:color w:val="000000"/>
              </w:rPr>
            </w:pPr>
            <w:r w:rsidRPr="00296D0C">
              <w:rPr>
                <w:rFonts w:eastAsia="Times New Roman" w:cs="Times New Roman"/>
                <w:color w:val="000000"/>
              </w:rPr>
              <w:t>0.023 (0.008, 0.069)</w:t>
            </w:r>
          </w:p>
        </w:tc>
      </w:tr>
      <w:tr w:rsidR="004E0D59" w:rsidRPr="00296D0C" w14:paraId="53EEB285" w14:textId="77777777" w:rsidTr="002D0625">
        <w:trPr>
          <w:trHeight w:val="300"/>
        </w:trPr>
        <w:tc>
          <w:tcPr>
            <w:tcW w:w="5812" w:type="dxa"/>
            <w:tcBorders>
              <w:top w:val="nil"/>
              <w:left w:val="nil"/>
              <w:bottom w:val="nil"/>
              <w:right w:val="nil"/>
            </w:tcBorders>
            <w:shd w:val="clear" w:color="auto" w:fill="auto"/>
            <w:noWrap/>
            <w:vAlign w:val="bottom"/>
            <w:hideMark/>
          </w:tcPr>
          <w:p w14:paraId="5CE95CCD" w14:textId="48BB3263" w:rsidR="004E0D59" w:rsidRPr="00296D0C" w:rsidRDefault="004E0D59" w:rsidP="00020C42">
            <w:pPr>
              <w:spacing w:after="0" w:line="240" w:lineRule="auto"/>
              <w:rPr>
                <w:rFonts w:eastAsia="Times New Roman" w:cs="Times New Roman"/>
                <w:color w:val="000000"/>
              </w:rPr>
            </w:pPr>
            <w:r w:rsidRPr="00296D0C">
              <w:rPr>
                <w:rFonts w:eastAsia="Times New Roman" w:cs="Times New Roman"/>
                <w:color w:val="000000"/>
              </w:rPr>
              <w:t xml:space="preserve">Healthy </w:t>
            </w:r>
            <w:r w:rsidR="00020C42" w:rsidRPr="00296D0C">
              <w:rPr>
                <w:rFonts w:eastAsia="Times New Roman" w:cs="Times New Roman"/>
                <w:color w:val="000000"/>
              </w:rPr>
              <w:t>S</w:t>
            </w:r>
            <w:r w:rsidRPr="00296D0C">
              <w:rPr>
                <w:rFonts w:eastAsia="Times New Roman" w:cs="Times New Roman"/>
                <w:color w:val="000000"/>
              </w:rPr>
              <w:t>nacks</w:t>
            </w:r>
          </w:p>
        </w:tc>
        <w:tc>
          <w:tcPr>
            <w:tcW w:w="2268" w:type="dxa"/>
            <w:tcBorders>
              <w:top w:val="nil"/>
              <w:left w:val="nil"/>
              <w:bottom w:val="nil"/>
              <w:right w:val="nil"/>
            </w:tcBorders>
            <w:shd w:val="clear" w:color="auto" w:fill="auto"/>
            <w:noWrap/>
            <w:vAlign w:val="bottom"/>
            <w:hideMark/>
          </w:tcPr>
          <w:p w14:paraId="7F9A0CEC" w14:textId="77777777" w:rsidR="004E0D59" w:rsidRPr="00296D0C" w:rsidRDefault="004E0D59" w:rsidP="004E0D59">
            <w:pPr>
              <w:spacing w:after="0" w:line="240" w:lineRule="auto"/>
              <w:rPr>
                <w:rFonts w:eastAsia="Times New Roman" w:cs="Times New Roman"/>
                <w:color w:val="000000"/>
              </w:rPr>
            </w:pPr>
            <w:r w:rsidRPr="00296D0C">
              <w:rPr>
                <w:rFonts w:eastAsia="Times New Roman" w:cs="Times New Roman"/>
                <w:color w:val="000000"/>
              </w:rPr>
              <w:t>0.032 (0.012, 0.083)</w:t>
            </w:r>
          </w:p>
        </w:tc>
      </w:tr>
      <w:tr w:rsidR="004E0D59" w:rsidRPr="00296D0C" w14:paraId="35675937" w14:textId="77777777" w:rsidTr="002D0625">
        <w:trPr>
          <w:trHeight w:val="300"/>
        </w:trPr>
        <w:tc>
          <w:tcPr>
            <w:tcW w:w="5812" w:type="dxa"/>
            <w:tcBorders>
              <w:top w:val="nil"/>
              <w:left w:val="nil"/>
              <w:bottom w:val="nil"/>
              <w:right w:val="nil"/>
            </w:tcBorders>
            <w:shd w:val="clear" w:color="auto" w:fill="auto"/>
            <w:noWrap/>
            <w:vAlign w:val="bottom"/>
            <w:hideMark/>
          </w:tcPr>
          <w:p w14:paraId="07436AAB" w14:textId="04E61BE5" w:rsidR="004E0D59" w:rsidRPr="00296D0C" w:rsidRDefault="004E0D59" w:rsidP="00020C42">
            <w:pPr>
              <w:spacing w:after="0" w:line="240" w:lineRule="auto"/>
              <w:rPr>
                <w:rFonts w:eastAsia="Times New Roman" w:cs="Times New Roman"/>
                <w:color w:val="000000"/>
              </w:rPr>
            </w:pPr>
            <w:r w:rsidRPr="00296D0C">
              <w:rPr>
                <w:rFonts w:eastAsia="Times New Roman" w:cs="Times New Roman"/>
                <w:color w:val="000000"/>
              </w:rPr>
              <w:t xml:space="preserve">Negative </w:t>
            </w:r>
            <w:r w:rsidR="00020C42" w:rsidRPr="00296D0C">
              <w:rPr>
                <w:rFonts w:eastAsia="Times New Roman" w:cs="Times New Roman"/>
                <w:color w:val="000000"/>
              </w:rPr>
              <w:t>F</w:t>
            </w:r>
            <w:r w:rsidRPr="00296D0C">
              <w:rPr>
                <w:rFonts w:eastAsia="Times New Roman" w:cs="Times New Roman"/>
                <w:color w:val="000000"/>
              </w:rPr>
              <w:t xml:space="preserve">ood </w:t>
            </w:r>
            <w:r w:rsidR="00020C42" w:rsidRPr="00296D0C">
              <w:rPr>
                <w:rFonts w:eastAsia="Times New Roman" w:cs="Times New Roman"/>
                <w:color w:val="000000"/>
              </w:rPr>
              <w:t>M</w:t>
            </w:r>
            <w:r w:rsidRPr="00296D0C">
              <w:rPr>
                <w:rFonts w:eastAsia="Times New Roman" w:cs="Times New Roman"/>
                <w:color w:val="000000"/>
              </w:rPr>
              <w:t>arkers</w:t>
            </w:r>
          </w:p>
        </w:tc>
        <w:tc>
          <w:tcPr>
            <w:tcW w:w="2268" w:type="dxa"/>
            <w:tcBorders>
              <w:top w:val="nil"/>
              <w:left w:val="nil"/>
              <w:bottom w:val="nil"/>
              <w:right w:val="nil"/>
            </w:tcBorders>
            <w:shd w:val="clear" w:color="auto" w:fill="auto"/>
            <w:noWrap/>
            <w:vAlign w:val="bottom"/>
            <w:hideMark/>
          </w:tcPr>
          <w:p w14:paraId="405FC723" w14:textId="77777777" w:rsidR="004E0D59" w:rsidRPr="00296D0C" w:rsidRDefault="004E0D59" w:rsidP="004E0D59">
            <w:pPr>
              <w:spacing w:after="0" w:line="240" w:lineRule="auto"/>
              <w:rPr>
                <w:rFonts w:eastAsia="Times New Roman" w:cs="Times New Roman"/>
                <w:color w:val="000000"/>
              </w:rPr>
            </w:pPr>
            <w:r w:rsidRPr="00296D0C">
              <w:rPr>
                <w:rFonts w:eastAsia="Times New Roman" w:cs="Times New Roman"/>
                <w:color w:val="000000"/>
              </w:rPr>
              <w:t>0.026 (0.009, 0.072)</w:t>
            </w:r>
          </w:p>
        </w:tc>
      </w:tr>
      <w:tr w:rsidR="004E0D59" w:rsidRPr="00296D0C" w14:paraId="15DFE165" w14:textId="77777777" w:rsidTr="002D0625">
        <w:trPr>
          <w:trHeight w:val="300"/>
        </w:trPr>
        <w:tc>
          <w:tcPr>
            <w:tcW w:w="5812" w:type="dxa"/>
            <w:tcBorders>
              <w:top w:val="nil"/>
              <w:left w:val="nil"/>
              <w:bottom w:val="nil"/>
              <w:right w:val="nil"/>
            </w:tcBorders>
            <w:shd w:val="clear" w:color="auto" w:fill="auto"/>
            <w:noWrap/>
            <w:vAlign w:val="bottom"/>
            <w:hideMark/>
          </w:tcPr>
          <w:p w14:paraId="58D6621B" w14:textId="277CA35F" w:rsidR="004E0D59" w:rsidRPr="00296D0C" w:rsidRDefault="004E0D59" w:rsidP="00020C42">
            <w:pPr>
              <w:spacing w:after="0" w:line="240" w:lineRule="auto"/>
              <w:rPr>
                <w:rFonts w:eastAsia="Times New Roman" w:cs="Times New Roman"/>
                <w:color w:val="000000"/>
              </w:rPr>
            </w:pPr>
            <w:r w:rsidRPr="00296D0C">
              <w:rPr>
                <w:rFonts w:eastAsia="Times New Roman" w:cs="Times New Roman"/>
                <w:color w:val="000000"/>
              </w:rPr>
              <w:t xml:space="preserve">Positive </w:t>
            </w:r>
            <w:r w:rsidR="00020C42" w:rsidRPr="00296D0C">
              <w:rPr>
                <w:rFonts w:eastAsia="Times New Roman" w:cs="Times New Roman"/>
                <w:color w:val="000000"/>
              </w:rPr>
              <w:t>F</w:t>
            </w:r>
            <w:r w:rsidRPr="00296D0C">
              <w:rPr>
                <w:rFonts w:eastAsia="Times New Roman" w:cs="Times New Roman"/>
                <w:color w:val="000000"/>
              </w:rPr>
              <w:t xml:space="preserve">ood </w:t>
            </w:r>
            <w:r w:rsidR="00020C42" w:rsidRPr="00296D0C">
              <w:rPr>
                <w:rFonts w:eastAsia="Times New Roman" w:cs="Times New Roman"/>
                <w:color w:val="000000"/>
              </w:rPr>
              <w:t>M</w:t>
            </w:r>
            <w:r w:rsidRPr="00296D0C">
              <w:rPr>
                <w:rFonts w:eastAsia="Times New Roman" w:cs="Times New Roman"/>
                <w:color w:val="000000"/>
              </w:rPr>
              <w:t>arkers</w:t>
            </w:r>
          </w:p>
        </w:tc>
        <w:tc>
          <w:tcPr>
            <w:tcW w:w="2268" w:type="dxa"/>
            <w:tcBorders>
              <w:top w:val="nil"/>
              <w:left w:val="nil"/>
              <w:bottom w:val="nil"/>
              <w:right w:val="nil"/>
            </w:tcBorders>
            <w:shd w:val="clear" w:color="auto" w:fill="auto"/>
            <w:noWrap/>
            <w:vAlign w:val="bottom"/>
            <w:hideMark/>
          </w:tcPr>
          <w:p w14:paraId="337E7875" w14:textId="77777777" w:rsidR="004E0D59" w:rsidRPr="00296D0C" w:rsidRDefault="004E0D59" w:rsidP="004E0D59">
            <w:pPr>
              <w:spacing w:after="0" w:line="240" w:lineRule="auto"/>
              <w:rPr>
                <w:rFonts w:eastAsia="Times New Roman" w:cs="Times New Roman"/>
                <w:color w:val="000000"/>
              </w:rPr>
            </w:pPr>
            <w:r w:rsidRPr="00296D0C">
              <w:rPr>
                <w:rFonts w:eastAsia="Times New Roman" w:cs="Times New Roman"/>
                <w:color w:val="000000"/>
              </w:rPr>
              <w:t>0.031 (0.012, 0.080)</w:t>
            </w:r>
          </w:p>
        </w:tc>
      </w:tr>
    </w:tbl>
    <w:p w14:paraId="48D69EB5" w14:textId="77777777" w:rsidR="004E0D59" w:rsidRPr="00296D0C" w:rsidRDefault="004E0D59" w:rsidP="004E0D59"/>
    <w:p w14:paraId="6C935660" w14:textId="77777777" w:rsidR="004E0D59" w:rsidRPr="00296D0C" w:rsidRDefault="004E0D59" w:rsidP="004E0D59">
      <w:pPr>
        <w:spacing w:after="0" w:line="240" w:lineRule="auto"/>
      </w:pPr>
      <w:r w:rsidRPr="00296D0C">
        <w:t xml:space="preserve">Notes: </w:t>
      </w:r>
    </w:p>
    <w:p w14:paraId="6B658BCC" w14:textId="5B118A5F" w:rsidR="004E0D59" w:rsidRPr="00296D0C" w:rsidRDefault="004E0D59" w:rsidP="004E0D59">
      <w:pPr>
        <w:spacing w:after="0" w:line="240" w:lineRule="auto"/>
      </w:pPr>
      <w:r w:rsidRPr="00296D0C">
        <w:rPr>
          <w:vertAlign w:val="superscript"/>
        </w:rPr>
        <w:t>a</w:t>
      </w:r>
      <w:r w:rsidRPr="00296D0C">
        <w:t xml:space="preserve"> weight status categories are defined using the Public Health England definitions </w:t>
      </w:r>
      <w:r w:rsidR="00020C42" w:rsidRPr="00296D0C">
        <w:fldChar w:fldCharType="begin"/>
      </w:r>
      <w:r w:rsidR="006B3301">
        <w:instrText xml:space="preserve"> ADDIN EN.CITE &lt;EndNote&gt;&lt;Cite ExcludeYear="1"&gt;&lt;Author&gt;Public Health England&lt;/Author&gt;&lt;RecNum&gt;5675&lt;/RecNum&gt;&lt;DisplayText&gt;&lt;style face="superscript"&gt;54&lt;/style&gt;&lt;/DisplayText&gt;&lt;record&gt;&lt;rec-number&gt;5675&lt;/rec-number&gt;&lt;foreign-keys&gt;&lt;key app="EN" db-id="2ewa9rrvjsdsawep2vpx5x97eedzzvxx5rta" timestamp="1457606878"&gt;5675&lt;/key&gt;&lt;/foreign-keys&gt;&lt;ref-type name="Web Page"&gt;12&lt;/ref-type&gt;&lt;contributors&gt;&lt;authors&gt;&lt;author&gt;Public Health England,&lt;/author&gt;&lt;/authors&gt;&lt;/contributors&gt;&lt;titles&gt;&lt;title&gt;Measuring and interpreting BMI in Children&lt;/title&gt;&lt;/titles&gt;&lt;number&gt;10 March 2016&lt;/number&gt;&lt;dates&gt;&lt;/dates&gt;&lt;urls&gt;&lt;related-urls&gt;&lt;url&gt;www.noo.org.uk/NOO_about_obesity/measurement/children&lt;/url&gt;&lt;/related-urls&gt;&lt;/urls&gt;&lt;/record&gt;&lt;/Cite&gt;&lt;/EndNote&gt;</w:instrText>
      </w:r>
      <w:r w:rsidR="00020C42" w:rsidRPr="00296D0C">
        <w:fldChar w:fldCharType="separate"/>
      </w:r>
      <w:r w:rsidR="008C43BF" w:rsidRPr="008C43BF">
        <w:rPr>
          <w:noProof/>
          <w:vertAlign w:val="superscript"/>
        </w:rPr>
        <w:t>54</w:t>
      </w:r>
      <w:r w:rsidR="00020C42" w:rsidRPr="00296D0C">
        <w:fldChar w:fldCharType="end"/>
      </w:r>
    </w:p>
    <w:p w14:paraId="31B0F2BE" w14:textId="137FCF9C" w:rsidR="004E0D59" w:rsidRPr="00296D0C" w:rsidRDefault="004E0D59" w:rsidP="004E0D59">
      <w:pPr>
        <w:spacing w:after="0" w:line="240" w:lineRule="auto"/>
      </w:pPr>
      <w:r w:rsidRPr="00296D0C">
        <w:rPr>
          <w:vertAlign w:val="superscript"/>
        </w:rPr>
        <w:t>b</w:t>
      </w:r>
      <w:r w:rsidRPr="00296D0C">
        <w:t xml:space="preserve"> after excluding extreme body fat absolute</w:t>
      </w:r>
      <w:r w:rsidR="005F1983" w:rsidRPr="00296D0C">
        <w:t xml:space="preserve"> SD </w:t>
      </w:r>
      <w:r w:rsidRPr="00296D0C">
        <w:t>values greater than or equal to five</w:t>
      </w:r>
    </w:p>
    <w:p w14:paraId="6C5D3092" w14:textId="77777777" w:rsidR="004E0D59" w:rsidRPr="00296D0C" w:rsidRDefault="004E0D59" w:rsidP="004E0D59">
      <w:pPr>
        <w:rPr>
          <w:b/>
        </w:rPr>
      </w:pPr>
    </w:p>
    <w:p w14:paraId="4E1D512A" w14:textId="77777777" w:rsidR="004E0D59" w:rsidRPr="00296D0C" w:rsidRDefault="004E0D59" w:rsidP="004E0D59">
      <w:pPr>
        <w:rPr>
          <w:b/>
        </w:rPr>
      </w:pPr>
      <w:r w:rsidRPr="00296D0C">
        <w:rPr>
          <w:b/>
        </w:rPr>
        <w:br w:type="page"/>
      </w:r>
    </w:p>
    <w:p w14:paraId="55BFA979" w14:textId="114814E2" w:rsidR="004E0D59" w:rsidRPr="00296D0C" w:rsidRDefault="00317040" w:rsidP="004E0D59">
      <w:pPr>
        <w:rPr>
          <w:b/>
        </w:rPr>
      </w:pPr>
      <w:r w:rsidRPr="00296D0C">
        <w:rPr>
          <w:b/>
        </w:rPr>
        <w:lastRenderedPageBreak/>
        <w:t>3.</w:t>
      </w:r>
      <w:r w:rsidR="00121A21" w:rsidRPr="00296D0C">
        <w:rPr>
          <w:b/>
        </w:rPr>
        <w:t>9</w:t>
      </w:r>
      <w:r w:rsidRPr="00296D0C">
        <w:rPr>
          <w:b/>
        </w:rPr>
        <w:t xml:space="preserve"> </w:t>
      </w:r>
      <w:r w:rsidR="004E0D59" w:rsidRPr="00296D0C">
        <w:rPr>
          <w:b/>
        </w:rPr>
        <w:t>CACE analysis</w:t>
      </w:r>
    </w:p>
    <w:p w14:paraId="34D57268" w14:textId="77777777" w:rsidR="004E0D59" w:rsidRPr="00296D0C" w:rsidRDefault="004E0D59" w:rsidP="004E0D59">
      <w:pPr>
        <w:spacing w:after="0" w:line="360" w:lineRule="auto"/>
        <w:rPr>
          <w:rFonts w:cs="Arial"/>
        </w:rPr>
      </w:pPr>
      <w:r w:rsidRPr="00296D0C">
        <w:rPr>
          <w:rFonts w:cs="Arial"/>
        </w:rPr>
        <w:t xml:space="preserve">The original analysis plan included a CACE analysis to </w:t>
      </w:r>
      <w:r w:rsidRPr="00296D0C">
        <w:t xml:space="preserve">estimate the complier average causal effect of treatment (CACE), as a potentially unbiased estimate of receiving HeLP, with non-compliers being defined as </w:t>
      </w:r>
      <w:r w:rsidRPr="00296D0C">
        <w:rPr>
          <w:rFonts w:cs="Arial"/>
        </w:rPr>
        <w:t xml:space="preserve">children who did not receive at least 4 sessions of drama and the 1-1 goal setting session. </w:t>
      </w:r>
      <w:r w:rsidRPr="00296D0C">
        <w:t xml:space="preserve">  </w:t>
      </w:r>
      <w:r w:rsidRPr="00296D0C">
        <w:rPr>
          <w:rFonts w:cs="Arial"/>
        </w:rPr>
        <w:t>The planned CACE analysis</w:t>
      </w:r>
      <w:r w:rsidRPr="00296D0C">
        <w:t xml:space="preserve"> was subsequently deemed unnecessary by the TSC, given the small number of children who ‘switched’ between allocated treatment groups: </w:t>
      </w:r>
      <w:r w:rsidRPr="00296D0C">
        <w:rPr>
          <w:rFonts w:cs="Arial"/>
        </w:rPr>
        <w:t xml:space="preserve">there were only 24 out of 675 children allocated to the intervention group who were categorised as non-compliers (3.6%) and four of these 24 children did not provide primary outcome data. </w:t>
      </w:r>
    </w:p>
    <w:p w14:paraId="7B92C563" w14:textId="77777777" w:rsidR="004E0D59" w:rsidRPr="00296D0C" w:rsidRDefault="004E0D59" w:rsidP="004E0D59">
      <w:pPr>
        <w:rPr>
          <w:b/>
        </w:rPr>
      </w:pPr>
    </w:p>
    <w:p w14:paraId="48AB5D5A" w14:textId="77777777" w:rsidR="004E0D59" w:rsidRPr="00296D0C" w:rsidRDefault="004E0D59" w:rsidP="004E0D59">
      <w:pPr>
        <w:rPr>
          <w:b/>
        </w:rPr>
      </w:pPr>
    </w:p>
    <w:p w14:paraId="71291F3B" w14:textId="77777777" w:rsidR="004E0D59" w:rsidRPr="00296D0C" w:rsidRDefault="004E0D59" w:rsidP="004E0D59">
      <w:pPr>
        <w:rPr>
          <w:b/>
        </w:rPr>
      </w:pPr>
    </w:p>
    <w:p w14:paraId="51A01CF5" w14:textId="77777777" w:rsidR="007F0AD3" w:rsidRPr="00296D0C" w:rsidRDefault="007F0AD3" w:rsidP="00A93E46">
      <w:pPr>
        <w:rPr>
          <w:b/>
        </w:rPr>
      </w:pPr>
    </w:p>
    <w:p w14:paraId="0683CD08" w14:textId="77777777" w:rsidR="001C7D74" w:rsidRPr="00296D0C" w:rsidRDefault="001C7D74" w:rsidP="00A93E46">
      <w:pPr>
        <w:rPr>
          <w:b/>
        </w:rPr>
      </w:pPr>
    </w:p>
    <w:p w14:paraId="095D6036" w14:textId="77777777" w:rsidR="00CF5815" w:rsidRPr="00296D0C" w:rsidRDefault="00CF5815" w:rsidP="00A93E46">
      <w:pPr>
        <w:rPr>
          <w:b/>
        </w:rPr>
      </w:pPr>
    </w:p>
    <w:p w14:paraId="5E40A2D9" w14:textId="77777777" w:rsidR="00CF5815" w:rsidRPr="00296D0C" w:rsidRDefault="00CF5815" w:rsidP="00A93E46">
      <w:pPr>
        <w:rPr>
          <w:b/>
        </w:rPr>
        <w:sectPr w:rsidR="00CF5815" w:rsidRPr="00296D0C" w:rsidSect="00C82499">
          <w:footerReference w:type="default" r:id="rId16"/>
          <w:pgSz w:w="11906" w:h="16838"/>
          <w:pgMar w:top="1440" w:right="1440" w:bottom="1440" w:left="1440" w:header="709" w:footer="113" w:gutter="0"/>
          <w:lnNumType w:countBy="1"/>
          <w:cols w:space="708"/>
          <w:docGrid w:linePitch="360"/>
        </w:sectPr>
      </w:pPr>
    </w:p>
    <w:p w14:paraId="70B4579D" w14:textId="42920D5E" w:rsidR="00BC39D9" w:rsidRPr="00296D0C" w:rsidRDefault="008D5ADB" w:rsidP="00AB4D98">
      <w:pPr>
        <w:pStyle w:val="Heading1"/>
      </w:pPr>
      <w:bookmarkStart w:id="433" w:name="_Toc466639064"/>
      <w:bookmarkStart w:id="434" w:name="_Toc466710095"/>
      <w:bookmarkStart w:id="435" w:name="_Toc466711443"/>
      <w:bookmarkStart w:id="436" w:name="_Toc466712102"/>
      <w:bookmarkStart w:id="437" w:name="_Toc475974370"/>
      <w:r w:rsidRPr="00296D0C">
        <w:lastRenderedPageBreak/>
        <w:t>Chapter 4 Economic evaluation</w:t>
      </w:r>
      <w:bookmarkEnd w:id="301"/>
      <w:bookmarkEnd w:id="433"/>
      <w:bookmarkEnd w:id="434"/>
      <w:bookmarkEnd w:id="435"/>
      <w:bookmarkEnd w:id="436"/>
      <w:bookmarkEnd w:id="437"/>
    </w:p>
    <w:p w14:paraId="51921ABE" w14:textId="0F987DFB" w:rsidR="00861557" w:rsidRPr="00296D0C" w:rsidRDefault="004E08D5" w:rsidP="00861557">
      <w:pPr>
        <w:pStyle w:val="Heading2"/>
        <w:spacing w:after="120"/>
        <w:rPr>
          <w:rFonts w:asciiTheme="minorHAnsi" w:hAnsiTheme="minorHAnsi" w:cs="Arial"/>
          <w:sz w:val="22"/>
          <w:szCs w:val="22"/>
        </w:rPr>
      </w:pPr>
      <w:bookmarkStart w:id="438" w:name="_Toc433798238"/>
      <w:bookmarkStart w:id="439" w:name="_Toc433798286"/>
      <w:bookmarkStart w:id="440" w:name="_Toc452020169"/>
      <w:bookmarkStart w:id="441" w:name="_Toc452020292"/>
      <w:bookmarkStart w:id="442" w:name="_Toc466639065"/>
      <w:bookmarkStart w:id="443" w:name="_Toc466710096"/>
      <w:bookmarkStart w:id="444" w:name="_Toc466711444"/>
      <w:bookmarkStart w:id="445" w:name="_Toc466712103"/>
      <w:bookmarkStart w:id="446" w:name="_Toc475974371"/>
      <w:r w:rsidRPr="00296D0C">
        <w:rPr>
          <w:rFonts w:asciiTheme="minorHAnsi" w:hAnsiTheme="minorHAnsi" w:cs="Arial"/>
          <w:sz w:val="22"/>
          <w:szCs w:val="22"/>
        </w:rPr>
        <w:t>4.</w:t>
      </w:r>
      <w:r w:rsidR="00861557" w:rsidRPr="00296D0C">
        <w:rPr>
          <w:rFonts w:asciiTheme="minorHAnsi" w:hAnsiTheme="minorHAnsi" w:cs="Arial"/>
          <w:sz w:val="22"/>
          <w:szCs w:val="22"/>
        </w:rPr>
        <w:t>1 Introduction</w:t>
      </w:r>
      <w:bookmarkEnd w:id="438"/>
      <w:bookmarkEnd w:id="439"/>
      <w:bookmarkEnd w:id="440"/>
      <w:bookmarkEnd w:id="441"/>
      <w:bookmarkEnd w:id="442"/>
      <w:bookmarkEnd w:id="443"/>
      <w:bookmarkEnd w:id="444"/>
      <w:bookmarkEnd w:id="445"/>
      <w:bookmarkEnd w:id="446"/>
    </w:p>
    <w:p w14:paraId="3E069C02" w14:textId="77777777" w:rsidR="00F84E36" w:rsidRDefault="00861557" w:rsidP="00F84E36">
      <w:pPr>
        <w:spacing w:after="0" w:line="360" w:lineRule="auto"/>
        <w:rPr>
          <w:rFonts w:cs="Arial"/>
        </w:rPr>
      </w:pPr>
      <w:bookmarkStart w:id="447" w:name="_Toc433798239"/>
      <w:bookmarkStart w:id="448" w:name="_Toc433798287"/>
      <w:r w:rsidRPr="00296D0C">
        <w:rPr>
          <w:rFonts w:cs="Arial"/>
        </w:rPr>
        <w:t xml:space="preserve">The aims of the economic analyses </w:t>
      </w:r>
      <w:r w:rsidR="00F17EF1" w:rsidRPr="00296D0C">
        <w:rPr>
          <w:rFonts w:cs="Arial"/>
        </w:rPr>
        <w:t>were</w:t>
      </w:r>
      <w:r w:rsidRPr="00296D0C">
        <w:rPr>
          <w:rFonts w:cs="Arial"/>
        </w:rPr>
        <w:t xml:space="preserve"> to estimate the expected resource use and related costs associated with delivery of the Healthy Lifestyles Programme (HeLP), i.e. the HeLP intervention, in a policy relevant setting, and to estimate the cost effectiveness of the HeLP intervention, where it is shown to be an effective intervention compared to usual practice alone.  </w:t>
      </w:r>
    </w:p>
    <w:p w14:paraId="1EA1665F" w14:textId="74299240" w:rsidR="00F84E36" w:rsidRPr="00296D0C" w:rsidRDefault="00F84E36" w:rsidP="00F84E36">
      <w:pPr>
        <w:spacing w:after="0" w:line="360" w:lineRule="auto"/>
        <w:rPr>
          <w:rFonts w:cs="Arial"/>
        </w:rPr>
      </w:pPr>
      <w:r w:rsidRPr="00296D0C">
        <w:rPr>
          <w:rFonts w:cs="Arial"/>
        </w:rPr>
        <w:t xml:space="preserve">Given the effectiveness profile for the HeLP intervention, </w:t>
      </w:r>
      <w:r>
        <w:rPr>
          <w:rFonts w:cs="Arial"/>
        </w:rPr>
        <w:t xml:space="preserve">presented in the previous chapter, and the absence of </w:t>
      </w:r>
      <w:r w:rsidRPr="00296D0C">
        <w:rPr>
          <w:rFonts w:cs="Arial"/>
        </w:rPr>
        <w:t>statistically significant differences on the primary outcome measure of BMI SDS</w:t>
      </w:r>
      <w:r>
        <w:rPr>
          <w:rFonts w:cs="Arial"/>
        </w:rPr>
        <w:t xml:space="preserve">, we begin here with a summary statement on the cost effectiveness of HeLP versus usual practice.   We find that </w:t>
      </w:r>
      <w:r w:rsidRPr="00296D0C">
        <w:rPr>
          <w:rFonts w:cs="Arial"/>
        </w:rPr>
        <w:t>there is no expectation, using the framework</w:t>
      </w:r>
      <w:r>
        <w:rPr>
          <w:rFonts w:cs="Arial"/>
        </w:rPr>
        <w:t xml:space="preserve"> for economic evaluation developed/described below, of </w:t>
      </w:r>
      <w:r w:rsidRPr="00296D0C">
        <w:rPr>
          <w:rFonts w:cs="Arial"/>
        </w:rPr>
        <w:t>improvements in the likely incidence of weight-related health</w:t>
      </w:r>
      <w:r>
        <w:rPr>
          <w:rFonts w:cs="Arial"/>
        </w:rPr>
        <w:t xml:space="preserve"> events (e.g. CHD)</w:t>
      </w:r>
      <w:r w:rsidRPr="00296D0C">
        <w:rPr>
          <w:rFonts w:cs="Arial"/>
        </w:rPr>
        <w:t xml:space="preserve">, or </w:t>
      </w:r>
      <w:r>
        <w:rPr>
          <w:rFonts w:cs="Arial"/>
        </w:rPr>
        <w:t xml:space="preserve">related </w:t>
      </w:r>
      <w:r w:rsidRPr="00296D0C">
        <w:rPr>
          <w:rFonts w:cs="Arial"/>
        </w:rPr>
        <w:t>cost savings to the health and social care system</w:t>
      </w:r>
      <w:r>
        <w:rPr>
          <w:rFonts w:cs="Arial"/>
        </w:rPr>
        <w:t>, from the HeLP intervention</w:t>
      </w:r>
      <w:r w:rsidRPr="00296D0C">
        <w:rPr>
          <w:rFonts w:cs="Arial"/>
        </w:rPr>
        <w:t xml:space="preserve">.  </w:t>
      </w:r>
      <w:r>
        <w:rPr>
          <w:rFonts w:cs="Arial"/>
        </w:rPr>
        <w:t xml:space="preserve"> As described below, </w:t>
      </w:r>
      <w:r w:rsidRPr="00296D0C">
        <w:rPr>
          <w:rFonts w:cs="Arial"/>
        </w:rPr>
        <w:t xml:space="preserve">HeLP incurs additional costs </w:t>
      </w:r>
      <w:r>
        <w:rPr>
          <w:rFonts w:cs="Arial"/>
        </w:rPr>
        <w:t xml:space="preserve">for delivery of the intervention </w:t>
      </w:r>
      <w:r w:rsidRPr="00296D0C">
        <w:rPr>
          <w:rFonts w:cs="Arial"/>
        </w:rPr>
        <w:t>with no identified or expected health gains, using the analytical framework developed and presented here, and therefore usual practice ‘dominates’ H</w:t>
      </w:r>
      <w:r>
        <w:rPr>
          <w:rFonts w:cs="Arial"/>
        </w:rPr>
        <w:t>e</w:t>
      </w:r>
      <w:r w:rsidRPr="00296D0C">
        <w:rPr>
          <w:rFonts w:cs="Arial"/>
        </w:rPr>
        <w:t>LP in</w:t>
      </w:r>
      <w:r>
        <w:rPr>
          <w:rFonts w:cs="Arial"/>
        </w:rPr>
        <w:t xml:space="preserve"> a resource allocation context i</w:t>
      </w:r>
      <w:r w:rsidRPr="00296D0C">
        <w:rPr>
          <w:rFonts w:cs="Arial"/>
        </w:rPr>
        <w:t>.</w:t>
      </w:r>
      <w:r>
        <w:rPr>
          <w:rFonts w:cs="Arial"/>
        </w:rPr>
        <w:t xml:space="preserve">e. </w:t>
      </w:r>
      <w:r w:rsidRPr="00296D0C">
        <w:rPr>
          <w:rFonts w:cs="Arial"/>
        </w:rPr>
        <w:t xml:space="preserve">HeLP </w:t>
      </w:r>
      <w:r>
        <w:rPr>
          <w:rFonts w:cs="Arial"/>
        </w:rPr>
        <w:t xml:space="preserve">is not cost effective </w:t>
      </w:r>
      <w:r w:rsidRPr="00296D0C">
        <w:rPr>
          <w:rFonts w:cs="Arial"/>
        </w:rPr>
        <w:t>compared to usual practice.</w:t>
      </w:r>
      <w:r>
        <w:rPr>
          <w:rFonts w:cs="Arial"/>
        </w:rPr>
        <w:t xml:space="preserve"> </w:t>
      </w:r>
    </w:p>
    <w:p w14:paraId="6D18DCD6" w14:textId="42B7A1A1" w:rsidR="00861557" w:rsidRDefault="00F84E36" w:rsidP="000D0114">
      <w:pPr>
        <w:spacing w:after="0" w:line="360" w:lineRule="auto"/>
        <w:rPr>
          <w:rFonts w:cs="Arial"/>
        </w:rPr>
      </w:pPr>
      <w:r>
        <w:rPr>
          <w:rFonts w:cs="Arial"/>
        </w:rPr>
        <w:t xml:space="preserve">Although we highlight the results of the cost effectiveness analysis at the outset in this chapter, for completeness, and to inform the reader and to inform future research, we provide detail in this chapter on </w:t>
      </w:r>
      <w:r w:rsidR="00861557" w:rsidRPr="00296D0C">
        <w:rPr>
          <w:rFonts w:cs="Arial"/>
        </w:rPr>
        <w:t>the methods used, and the results of the cost analysis</w:t>
      </w:r>
      <w:r>
        <w:rPr>
          <w:rFonts w:cs="Arial"/>
        </w:rPr>
        <w:t xml:space="preserve"> estimating the cost for delivery of HeLP.  We also provide a narrative and detail on the development of a</w:t>
      </w:r>
      <w:r w:rsidR="00861557" w:rsidRPr="00296D0C">
        <w:rPr>
          <w:rFonts w:cs="Arial"/>
        </w:rPr>
        <w:t xml:space="preserve"> decision analytic modelling framewo</w:t>
      </w:r>
      <w:r w:rsidR="00576BE5">
        <w:rPr>
          <w:rFonts w:cs="Arial"/>
        </w:rPr>
        <w:t xml:space="preserve">rk developed to assess the cost </w:t>
      </w:r>
      <w:r w:rsidR="00861557" w:rsidRPr="00296D0C">
        <w:rPr>
          <w:rFonts w:cs="Arial"/>
        </w:rPr>
        <w:t xml:space="preserve">effectiveness of HeLP, </w:t>
      </w:r>
      <w:r w:rsidR="003440F3">
        <w:rPr>
          <w:rFonts w:cs="Arial"/>
        </w:rPr>
        <w:t xml:space="preserve">using this to provide illustrative and exploratory </w:t>
      </w:r>
      <w:r w:rsidR="00861557" w:rsidRPr="00296D0C">
        <w:rPr>
          <w:rFonts w:cs="Arial"/>
        </w:rPr>
        <w:t xml:space="preserve">cost effectiveness analyses.  </w:t>
      </w:r>
    </w:p>
    <w:p w14:paraId="4C3E4977" w14:textId="4BBD2D0E" w:rsidR="003440F3" w:rsidRPr="00296D0C" w:rsidRDefault="003440F3" w:rsidP="000D0114">
      <w:pPr>
        <w:spacing w:after="0" w:line="360" w:lineRule="auto"/>
        <w:rPr>
          <w:rFonts w:cs="Arial"/>
        </w:rPr>
      </w:pPr>
      <w:r>
        <w:rPr>
          <w:rFonts w:cs="Arial"/>
        </w:rPr>
        <w:t>Below we summarise the methods used to estimate resource us</w:t>
      </w:r>
      <w:r w:rsidR="00D4119A">
        <w:rPr>
          <w:rFonts w:cs="Arial"/>
        </w:rPr>
        <w:t>e and costs for delivery of HeLP</w:t>
      </w:r>
      <w:r>
        <w:rPr>
          <w:rFonts w:cs="Arial"/>
        </w:rPr>
        <w:t>, and the methods used to develop a decision analytic modelling framework.  We then present results for these two areas of research.  When describing development of a modelling framework, we present summary details of a literature review of m</w:t>
      </w:r>
      <w:r w:rsidR="00D4119A">
        <w:rPr>
          <w:rFonts w:cs="Arial"/>
        </w:rPr>
        <w:t>odel-based economic evaluations</w:t>
      </w:r>
      <w:r>
        <w:rPr>
          <w:rFonts w:cs="Arial"/>
        </w:rPr>
        <w:t>, that model childhood obesity interventions through adult years, and we describe the development of a modelling framework in this context, and the areas of evidence synthesis required to populate the model.</w:t>
      </w:r>
    </w:p>
    <w:p w14:paraId="6DDCFA92" w14:textId="0CBB06FF" w:rsidR="00861557" w:rsidRPr="00296D0C" w:rsidRDefault="004E08D5" w:rsidP="003723AE">
      <w:pPr>
        <w:pStyle w:val="Heading2"/>
        <w:rPr>
          <w:rFonts w:asciiTheme="minorHAnsi" w:hAnsiTheme="minorHAnsi" w:cs="Arial"/>
          <w:sz w:val="22"/>
          <w:szCs w:val="22"/>
        </w:rPr>
      </w:pPr>
      <w:bookmarkStart w:id="449" w:name="_Toc466639066"/>
      <w:bookmarkStart w:id="450" w:name="_Toc466710097"/>
      <w:bookmarkStart w:id="451" w:name="_Toc466711445"/>
      <w:bookmarkStart w:id="452" w:name="_Toc466712104"/>
      <w:bookmarkStart w:id="453" w:name="_Toc475974372"/>
      <w:r w:rsidRPr="00296D0C">
        <w:rPr>
          <w:rFonts w:asciiTheme="minorHAnsi" w:hAnsiTheme="minorHAnsi" w:cs="Arial"/>
          <w:sz w:val="22"/>
          <w:szCs w:val="22"/>
        </w:rPr>
        <w:t>4.</w:t>
      </w:r>
      <w:r w:rsidR="00861557" w:rsidRPr="00296D0C">
        <w:rPr>
          <w:rFonts w:asciiTheme="minorHAnsi" w:hAnsiTheme="minorHAnsi" w:cs="Arial"/>
          <w:sz w:val="22"/>
          <w:szCs w:val="22"/>
        </w:rPr>
        <w:t>2 Methods</w:t>
      </w:r>
      <w:bookmarkEnd w:id="449"/>
      <w:bookmarkEnd w:id="450"/>
      <w:bookmarkEnd w:id="451"/>
      <w:bookmarkEnd w:id="452"/>
      <w:bookmarkEnd w:id="453"/>
    </w:p>
    <w:p w14:paraId="4D1FE15E" w14:textId="77777777" w:rsidR="00D43215" w:rsidRPr="00296D0C" w:rsidRDefault="00D43215" w:rsidP="00D43215"/>
    <w:p w14:paraId="5185A48E" w14:textId="0FC58E8D" w:rsidR="00861557" w:rsidRPr="00296D0C" w:rsidRDefault="004E08D5" w:rsidP="003723AE">
      <w:pPr>
        <w:pStyle w:val="Heading3"/>
        <w:rPr>
          <w:rFonts w:asciiTheme="minorHAnsi" w:hAnsiTheme="minorHAnsi" w:cs="Arial"/>
        </w:rPr>
      </w:pPr>
      <w:bookmarkStart w:id="454" w:name="_Toc466710098"/>
      <w:bookmarkStart w:id="455" w:name="_Toc466711446"/>
      <w:bookmarkStart w:id="456" w:name="_Toc466712105"/>
      <w:bookmarkStart w:id="457" w:name="_Toc475974373"/>
      <w:r w:rsidRPr="00296D0C">
        <w:rPr>
          <w:rFonts w:asciiTheme="minorHAnsi" w:hAnsiTheme="minorHAnsi" w:cs="Arial"/>
        </w:rPr>
        <w:t>4.</w:t>
      </w:r>
      <w:r w:rsidR="00861557" w:rsidRPr="00296D0C">
        <w:rPr>
          <w:rFonts w:asciiTheme="minorHAnsi" w:hAnsiTheme="minorHAnsi" w:cs="Arial"/>
        </w:rPr>
        <w:t>2</w:t>
      </w:r>
      <w:r w:rsidRPr="00296D0C">
        <w:rPr>
          <w:rFonts w:asciiTheme="minorHAnsi" w:hAnsiTheme="minorHAnsi" w:cs="Arial"/>
        </w:rPr>
        <w:t>.</w:t>
      </w:r>
      <w:r w:rsidR="00861557" w:rsidRPr="00296D0C">
        <w:rPr>
          <w:rFonts w:asciiTheme="minorHAnsi" w:hAnsiTheme="minorHAnsi" w:cs="Arial"/>
        </w:rPr>
        <w:t>1 Estimating resource use and costs for delivery of the HeLP intervention</w:t>
      </w:r>
      <w:bookmarkEnd w:id="454"/>
      <w:bookmarkEnd w:id="455"/>
      <w:bookmarkEnd w:id="456"/>
      <w:bookmarkEnd w:id="457"/>
    </w:p>
    <w:p w14:paraId="0F06BC9F" w14:textId="05477EDE" w:rsidR="00861557" w:rsidRPr="00296D0C" w:rsidRDefault="00861557" w:rsidP="000D0114">
      <w:pPr>
        <w:spacing w:after="0" w:line="360" w:lineRule="auto"/>
        <w:rPr>
          <w:rFonts w:cs="Arial"/>
        </w:rPr>
      </w:pPr>
      <w:r w:rsidRPr="00296D0C">
        <w:rPr>
          <w:rFonts w:cs="Arial"/>
        </w:rPr>
        <w:t>In summary, the HeLP intervention comprises 24 components, with activities either delivered as school-level, i.e. delivered once regardless of school size (n</w:t>
      </w:r>
      <w:r w:rsidR="00C22C0F" w:rsidRPr="00296D0C">
        <w:rPr>
          <w:rFonts w:cs="Arial"/>
        </w:rPr>
        <w:t xml:space="preserve"> </w:t>
      </w:r>
      <w:r w:rsidRPr="00296D0C">
        <w:rPr>
          <w:rFonts w:cs="Arial"/>
        </w:rPr>
        <w:t>=</w:t>
      </w:r>
      <w:r w:rsidR="00C22C0F" w:rsidRPr="00296D0C">
        <w:rPr>
          <w:rFonts w:cs="Arial"/>
        </w:rPr>
        <w:t xml:space="preserve"> </w:t>
      </w:r>
      <w:r w:rsidRPr="00296D0C">
        <w:rPr>
          <w:rFonts w:cs="Arial"/>
        </w:rPr>
        <w:t>5) or class-level (n</w:t>
      </w:r>
      <w:r w:rsidR="00C22C0F" w:rsidRPr="00296D0C">
        <w:rPr>
          <w:rFonts w:cs="Arial"/>
        </w:rPr>
        <w:t xml:space="preserve"> </w:t>
      </w:r>
      <w:r w:rsidRPr="00296D0C">
        <w:rPr>
          <w:rFonts w:cs="Arial"/>
        </w:rPr>
        <w:t>=</w:t>
      </w:r>
      <w:r w:rsidR="00C22C0F" w:rsidRPr="00296D0C">
        <w:rPr>
          <w:rFonts w:cs="Arial"/>
        </w:rPr>
        <w:t xml:space="preserve"> </w:t>
      </w:r>
      <w:r w:rsidRPr="00296D0C">
        <w:rPr>
          <w:rFonts w:cs="Arial"/>
        </w:rPr>
        <w:t xml:space="preserve">19) (Table </w:t>
      </w:r>
      <w:r w:rsidR="00776432" w:rsidRPr="00296D0C">
        <w:rPr>
          <w:rFonts w:cs="Arial"/>
        </w:rPr>
        <w:t>1</w:t>
      </w:r>
      <w:r w:rsidR="00B82396">
        <w:rPr>
          <w:rFonts w:cs="Arial"/>
        </w:rPr>
        <w:t>6</w:t>
      </w:r>
      <w:r w:rsidRPr="00296D0C">
        <w:rPr>
          <w:rFonts w:cs="Arial"/>
        </w:rPr>
        <w:t xml:space="preserve">).  Key </w:t>
      </w:r>
      <w:r w:rsidRPr="00296D0C">
        <w:rPr>
          <w:rFonts w:cs="Arial"/>
        </w:rPr>
        <w:lastRenderedPageBreak/>
        <w:t xml:space="preserve">to the intervention are the drama activities, made up of eight components. </w:t>
      </w:r>
      <w:r w:rsidR="00204C3D" w:rsidRPr="00296D0C">
        <w:rPr>
          <w:rFonts w:cs="Arial"/>
        </w:rPr>
        <w:t>Further</w:t>
      </w:r>
      <w:r w:rsidRPr="00296D0C">
        <w:rPr>
          <w:rFonts w:cs="Arial"/>
        </w:rPr>
        <w:t xml:space="preserve"> detail</w:t>
      </w:r>
      <w:r w:rsidR="00204C3D" w:rsidRPr="00296D0C">
        <w:rPr>
          <w:rFonts w:cs="Arial"/>
        </w:rPr>
        <w:t>s</w:t>
      </w:r>
      <w:r w:rsidRPr="00296D0C">
        <w:rPr>
          <w:rFonts w:cs="Arial"/>
        </w:rPr>
        <w:t xml:space="preserve"> on </w:t>
      </w:r>
      <w:r w:rsidR="00204C3D" w:rsidRPr="00296D0C">
        <w:rPr>
          <w:rFonts w:cs="Arial"/>
        </w:rPr>
        <w:t xml:space="preserve">the </w:t>
      </w:r>
      <w:r w:rsidRPr="00296D0C">
        <w:rPr>
          <w:rFonts w:cs="Arial"/>
        </w:rPr>
        <w:t xml:space="preserve">HeLP intervention and usual care comparator </w:t>
      </w:r>
      <w:r w:rsidR="00204C3D" w:rsidRPr="00296D0C">
        <w:rPr>
          <w:rFonts w:cs="Arial"/>
        </w:rPr>
        <w:t xml:space="preserve">are given </w:t>
      </w:r>
      <w:r w:rsidRPr="00296D0C">
        <w:rPr>
          <w:rFonts w:cs="Arial"/>
        </w:rPr>
        <w:t xml:space="preserve">in </w:t>
      </w:r>
      <w:r w:rsidR="00E34A3B">
        <w:rPr>
          <w:rFonts w:cs="Arial"/>
        </w:rPr>
        <w:t>c</w:t>
      </w:r>
      <w:r w:rsidRPr="00296D0C">
        <w:rPr>
          <w:rFonts w:cs="Arial"/>
        </w:rPr>
        <w:t>hapter 2.</w:t>
      </w:r>
    </w:p>
    <w:p w14:paraId="107EDBDC" w14:textId="77777777" w:rsidR="00861557" w:rsidRPr="00296D0C" w:rsidRDefault="00861557" w:rsidP="000D0114">
      <w:pPr>
        <w:keepNext/>
        <w:spacing w:after="0" w:line="360" w:lineRule="auto"/>
        <w:rPr>
          <w:rFonts w:cs="Arial"/>
        </w:rPr>
      </w:pPr>
      <w:r w:rsidRPr="00296D0C">
        <w:rPr>
          <w:rFonts w:cs="Arial"/>
        </w:rPr>
        <w:t xml:space="preserve">The research questions here are: </w:t>
      </w:r>
    </w:p>
    <w:p w14:paraId="6DC52DF5" w14:textId="463B8AB4" w:rsidR="00861557" w:rsidRPr="00296D0C" w:rsidRDefault="00861557" w:rsidP="00204C3D">
      <w:pPr>
        <w:pStyle w:val="ListParagraph"/>
        <w:spacing w:after="0" w:line="360" w:lineRule="auto"/>
        <w:rPr>
          <w:rFonts w:cs="Arial"/>
          <w:b/>
          <w:i/>
        </w:rPr>
      </w:pPr>
      <w:r w:rsidRPr="00296D0C">
        <w:rPr>
          <w:rFonts w:cs="Arial"/>
          <w:b/>
          <w:i/>
        </w:rPr>
        <w:t xml:space="preserve">What is the estimated resource use and cost associated with delivery of the HeLP intervention? </w:t>
      </w:r>
    </w:p>
    <w:p w14:paraId="40810232" w14:textId="4C1DB747" w:rsidR="00861557" w:rsidRPr="00296D0C" w:rsidRDefault="00204C3D" w:rsidP="00204C3D">
      <w:pPr>
        <w:pStyle w:val="ListParagraph"/>
        <w:spacing w:after="0" w:line="360" w:lineRule="auto"/>
        <w:rPr>
          <w:rFonts w:cs="Arial"/>
          <w:b/>
          <w:i/>
        </w:rPr>
      </w:pPr>
      <w:r w:rsidRPr="00296D0C">
        <w:rPr>
          <w:rFonts w:cs="Arial"/>
          <w:b/>
          <w:i/>
        </w:rPr>
        <w:t xml:space="preserve"> </w:t>
      </w:r>
      <w:r w:rsidR="00861557" w:rsidRPr="00296D0C">
        <w:rPr>
          <w:rFonts w:cs="Arial"/>
          <w:b/>
          <w:i/>
        </w:rPr>
        <w:t xml:space="preserve">What is the estimated mean cost of HeLP per participant? (per school?; per class?; per cohort of </w:t>
      </w:r>
      <w:r w:rsidRPr="00296D0C">
        <w:rPr>
          <w:rFonts w:cs="Arial"/>
          <w:b/>
          <w:i/>
        </w:rPr>
        <w:t xml:space="preserve"> </w:t>
      </w:r>
      <w:r w:rsidR="00861557" w:rsidRPr="00296D0C">
        <w:rPr>
          <w:rFonts w:cs="Arial"/>
          <w:b/>
          <w:i/>
        </w:rPr>
        <w:t>schools?)</w:t>
      </w:r>
    </w:p>
    <w:p w14:paraId="303E0B1C" w14:textId="478A9F26" w:rsidR="00861557" w:rsidRPr="00296D0C" w:rsidRDefault="00861557" w:rsidP="000D0114">
      <w:pPr>
        <w:spacing w:after="0" w:line="360" w:lineRule="auto"/>
        <w:rPr>
          <w:rFonts w:cs="Arial"/>
        </w:rPr>
      </w:pPr>
      <w:r w:rsidRPr="00296D0C">
        <w:rPr>
          <w:rFonts w:cs="Arial"/>
        </w:rPr>
        <w:t xml:space="preserve">Informed through prior development research, and through conduct of the earlier </w:t>
      </w:r>
      <w:r w:rsidR="00F17EF1" w:rsidRPr="00296D0C">
        <w:rPr>
          <w:rFonts w:cs="Arial"/>
        </w:rPr>
        <w:t>exploratory</w:t>
      </w:r>
      <w:r w:rsidRPr="00296D0C">
        <w:rPr>
          <w:rFonts w:cs="Arial"/>
        </w:rPr>
        <w:t xml:space="preserve"> RCT</w:t>
      </w:r>
      <w:r w:rsidR="00204C3D" w:rsidRPr="00296D0C">
        <w:rPr>
          <w:rFonts w:cs="Arial"/>
        </w:rPr>
        <w:t xml:space="preserve"> of HeLP</w:t>
      </w:r>
      <w:r w:rsidRPr="00296D0C">
        <w:rPr>
          <w:rFonts w:cs="Arial"/>
        </w:rPr>
        <w:t xml:space="preserve"> </w:t>
      </w:r>
      <w:r w:rsidR="00963604" w:rsidRPr="00296D0C">
        <w:rPr>
          <w:rFonts w:cs="Arial"/>
        </w:rPr>
        <w:fldChar w:fldCharType="begin">
          <w:fldData xml:space="preserve">PEVuZE5vdGU+PENpdGU+PEF1dGhvcj5MbG95ZDwvQXV0aG9yPjxZZWFyPjIwMTI8L1llYXI+PFJl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</w:fldData>
        </w:fldChar>
      </w:r>
      <w:r w:rsidR="00951FF2">
        <w:rPr>
          <w:rFonts w:cs="Arial"/>
        </w:rPr>
        <w:instrText xml:space="preserve"> ADDIN EN.CITE </w:instrText>
      </w:r>
      <w:r w:rsidR="00951FF2">
        <w:rPr>
          <w:rFonts w:cs="Arial"/>
        </w:rPr>
        <w:fldChar w:fldCharType="begin">
          <w:fldData xml:space="preserve">PEVuZE5vdGU+PENpdGU+PEF1dGhvcj5MbG95ZDwvQXV0aG9yPjxZZWFyPjIwMTI8L1llYXI+PFJl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</w:fldData>
        </w:fldChar>
      </w:r>
      <w:r w:rsidR="00951FF2">
        <w:rPr>
          <w:rFonts w:cs="Arial"/>
        </w:rPr>
        <w:instrText xml:space="preserve"> ADDIN EN.CITE.DATA </w:instrText>
      </w:r>
      <w:r w:rsidR="00951FF2">
        <w:rPr>
          <w:rFonts w:cs="Arial"/>
        </w:rPr>
      </w:r>
      <w:r w:rsidR="00951FF2">
        <w:rPr>
          <w:rFonts w:cs="Arial"/>
        </w:rPr>
        <w:fldChar w:fldCharType="end"/>
      </w:r>
      <w:r w:rsidR="00963604" w:rsidRPr="00296D0C">
        <w:rPr>
          <w:rFonts w:cs="Arial"/>
        </w:rPr>
      </w:r>
      <w:r w:rsidR="00963604" w:rsidRPr="00296D0C">
        <w:rPr>
          <w:rFonts w:cs="Arial"/>
        </w:rPr>
        <w:fldChar w:fldCharType="separate"/>
      </w:r>
      <w:r w:rsidR="00F01A09" w:rsidRPr="00F01A09">
        <w:rPr>
          <w:rFonts w:cs="Arial"/>
          <w:noProof/>
          <w:vertAlign w:val="superscript"/>
        </w:rPr>
        <w:t>27,28</w:t>
      </w:r>
      <w:r w:rsidR="00963604" w:rsidRPr="00296D0C">
        <w:rPr>
          <w:rFonts w:cs="Arial"/>
        </w:rPr>
        <w:fldChar w:fldCharType="end"/>
      </w:r>
      <w:r w:rsidR="00963604" w:rsidRPr="00296D0C">
        <w:rPr>
          <w:rFonts w:cs="Arial"/>
        </w:rPr>
        <w:t>,</w:t>
      </w:r>
      <w:r w:rsidRPr="00296D0C">
        <w:rPr>
          <w:rFonts w:cs="Arial"/>
        </w:rPr>
        <w:t xml:space="preserve"> the delivery of the HeLP intervention involves resource use and cost primarily for the staff inputs required during delivery (contact, and non-contact activities), for HeLP Coordinators, Drama Coordinator, Actors, and Activity/Workshop Co-ordinators.  Teaching staff are present through some activities, and take an active role in some activit</w:t>
      </w:r>
      <w:r w:rsidR="000063C3" w:rsidRPr="00296D0C">
        <w:rPr>
          <w:rFonts w:cs="Arial"/>
        </w:rPr>
        <w:t>i</w:t>
      </w:r>
      <w:r w:rsidRPr="00296D0C">
        <w:rPr>
          <w:rFonts w:cs="Arial"/>
        </w:rPr>
        <w:t xml:space="preserve">es, but based on findings from prior pilot research their time input is not considered additional/incremental input, over and above their expected teaching role.  Therefore costs associated with teaching input are not included in the base case cost analysis; time inputs are described, and are included in a sensitivity analysis.  </w:t>
      </w:r>
    </w:p>
    <w:p w14:paraId="573D0DEF" w14:textId="77777777" w:rsidR="00861557" w:rsidRPr="00296D0C" w:rsidRDefault="00861557" w:rsidP="000D0114">
      <w:pPr>
        <w:spacing w:after="0" w:line="360" w:lineRule="auto"/>
        <w:rPr>
          <w:rFonts w:cs="Arial"/>
        </w:rPr>
      </w:pPr>
      <w:r w:rsidRPr="00296D0C">
        <w:rPr>
          <w:rFonts w:cs="Arial"/>
        </w:rPr>
        <w:t xml:space="preserve">Additional resource use and costs are incurred in the training of the delivery staff, and for materials/consumables used to support the delivery of the intervention.  </w:t>
      </w:r>
    </w:p>
    <w:p w14:paraId="3D30FD8F" w14:textId="77777777" w:rsidR="005911C1" w:rsidRPr="00296D0C" w:rsidRDefault="005911C1" w:rsidP="000D0114">
      <w:pPr>
        <w:spacing w:after="0" w:line="360" w:lineRule="auto"/>
        <w:rPr>
          <w:rFonts w:cs="Arial"/>
        </w:rPr>
      </w:pPr>
    </w:p>
    <w:p w14:paraId="5C4C5EB7" w14:textId="29F9240E" w:rsidR="00861557" w:rsidRPr="00296D0C" w:rsidRDefault="00861557" w:rsidP="000D0114">
      <w:pPr>
        <w:spacing w:after="0" w:line="360" w:lineRule="auto"/>
        <w:rPr>
          <w:rFonts w:cs="Arial"/>
        </w:rPr>
      </w:pPr>
      <w:r w:rsidRPr="00296D0C">
        <w:rPr>
          <w:rFonts w:cs="Arial"/>
        </w:rPr>
        <w:t xml:space="preserve">Data on resource use for delivery of the HeLP intervention were collected within </w:t>
      </w:r>
      <w:r w:rsidR="00204C3D" w:rsidRPr="00296D0C">
        <w:rPr>
          <w:rFonts w:cs="Arial"/>
        </w:rPr>
        <w:t xml:space="preserve">the </w:t>
      </w:r>
      <w:r w:rsidRPr="00296D0C">
        <w:rPr>
          <w:rFonts w:cs="Arial"/>
        </w:rPr>
        <w:t xml:space="preserve">trial, through completion of contact sheets by HeLP Coordinators at every contact, by component of HeLP, describing who was involved (staff type) in the contact (component of HeLP), and the time inputs for each person involved, including time associated with planning/preparation and related travel time.  Given the importance of the drama components in the HeLP intervention, alongside the data collected by HeLP Coordinator contact sheets, the Drama Coordinator also provided details of the estimated resource use associated with </w:t>
      </w:r>
      <w:r w:rsidR="000063C3" w:rsidRPr="00296D0C">
        <w:rPr>
          <w:rFonts w:cs="Arial"/>
        </w:rPr>
        <w:t>delivery of Drama, across the He</w:t>
      </w:r>
      <w:r w:rsidRPr="00296D0C">
        <w:rPr>
          <w:rFonts w:cs="Arial"/>
        </w:rPr>
        <w:t>LP intervention.</w:t>
      </w:r>
    </w:p>
    <w:p w14:paraId="0881818D" w14:textId="77777777" w:rsidR="009A5EA7" w:rsidRPr="00296D0C" w:rsidRDefault="009A5EA7" w:rsidP="000D0114">
      <w:pPr>
        <w:spacing w:after="0" w:line="360" w:lineRule="auto"/>
        <w:rPr>
          <w:rFonts w:cs="Arial"/>
        </w:rPr>
      </w:pPr>
    </w:p>
    <w:p w14:paraId="78DA8AF6" w14:textId="77777777" w:rsidR="00861557" w:rsidRPr="00296D0C" w:rsidRDefault="00861557" w:rsidP="000D0114">
      <w:pPr>
        <w:spacing w:after="0" w:line="360" w:lineRule="auto"/>
        <w:rPr>
          <w:rFonts w:cs="Arial"/>
        </w:rPr>
      </w:pPr>
      <w:r w:rsidRPr="00296D0C">
        <w:rPr>
          <w:rFonts w:cs="Arial"/>
        </w:rPr>
        <w:t>Estimates for resource use associated with the training required for those staff engaged in delivery of the HeLP intervention were provided by the HeLP Study Coordinator, based on the experiences within the running of the trial.  Estimates of materials/consumables needed to support delivery of the HeLP intervention are based on within trial requirements, and projected estimates for future delivery.</w:t>
      </w:r>
    </w:p>
    <w:p w14:paraId="2B286973" w14:textId="77777777" w:rsidR="009B7364" w:rsidRPr="00296D0C" w:rsidRDefault="009B7364" w:rsidP="000D0114">
      <w:pPr>
        <w:spacing w:after="0" w:line="360" w:lineRule="auto"/>
        <w:rPr>
          <w:rFonts w:cs="Arial"/>
        </w:rPr>
      </w:pPr>
    </w:p>
    <w:p w14:paraId="73120290" w14:textId="22DABD3A" w:rsidR="00861557" w:rsidRPr="00296D0C" w:rsidRDefault="00861557" w:rsidP="000D0114">
      <w:pPr>
        <w:spacing w:after="0" w:line="360" w:lineRule="auto"/>
        <w:rPr>
          <w:rFonts w:cs="Arial"/>
        </w:rPr>
      </w:pPr>
      <w:r w:rsidRPr="00296D0C">
        <w:rPr>
          <w:rFonts w:cs="Arial"/>
        </w:rPr>
        <w:t xml:space="preserve">Estimates of resource use by unit (e.g. time/hours) are combined with published national unit costs, or cost estimates, to estimate the mean costs for delivery of HeLP by school, by class, and to </w:t>
      </w:r>
      <w:r w:rsidRPr="00296D0C">
        <w:rPr>
          <w:rFonts w:cs="Arial"/>
        </w:rPr>
        <w:lastRenderedPageBreak/>
        <w:t>estimate the mean participant level costs for delivery of the HeLP intervention.  Costs are presented in 2015 UK pounds sterling.  Unit costs for staff inputs are predominantly taken from those published unit costs for health and social care staff gra</w:t>
      </w:r>
      <w:r w:rsidR="000D0114" w:rsidRPr="00296D0C">
        <w:rPr>
          <w:rFonts w:cs="Arial"/>
        </w:rPr>
        <w:t>des reported by</w:t>
      </w:r>
      <w:r w:rsidR="001A16FE" w:rsidRPr="00296D0C">
        <w:rPr>
          <w:rFonts w:cs="Arial"/>
        </w:rPr>
        <w:t xml:space="preserve"> Curtis</w:t>
      </w:r>
      <w:r w:rsidR="000D0114" w:rsidRPr="00296D0C">
        <w:rPr>
          <w:rFonts w:cs="Arial"/>
        </w:rPr>
        <w:t xml:space="preserve"> </w:t>
      </w:r>
      <w:r w:rsidR="00963604" w:rsidRPr="00296D0C">
        <w:rPr>
          <w:rFonts w:cs="Arial"/>
        </w:rPr>
        <w:fldChar w:fldCharType="begin"/>
      </w:r>
      <w:r w:rsidR="008C43BF">
        <w:rPr>
          <w:rFonts w:cs="Arial"/>
        </w:rPr>
        <w:instrText xml:space="preserve"> ADDIN EN.CITE &lt;EndNote&gt;&lt;Cite&gt;&lt;Author&gt;Curtis&lt;/Author&gt;&lt;Year&gt;2015&lt;/Year&gt;&lt;RecNum&gt;5737&lt;/RecNum&gt;&lt;DisplayText&gt;&lt;style face="superscript"&gt;56&lt;/style&gt;&lt;/DisplayText&gt;&lt;record&gt;&lt;rec-number&gt;5737&lt;/rec-number&gt;&lt;foreign-keys&gt;&lt;key app="EN" db-id="2ewa9rrvjsdsawep2vpx5x97eedzzvxx5rta" timestamp="1478679952"&gt;5737&lt;/key&gt;&lt;/foreign-keys&gt;&lt;ref-type name="Report"&gt;27&lt;/ref-type&gt;&lt;contributors&gt;&lt;authors&gt;&lt;author&gt;Curtis, L.&lt;/author&gt;&lt;author&gt;Burns, A.&lt;/author&gt;&lt;/authors&gt;&lt;/contributors&gt;&lt;titles&gt;&lt;title&gt;Unit Costs of Health and Social Care 2015&lt;/title&gt;&lt;/titles&gt;&lt;dates&gt;&lt;year&gt;2015&lt;/year&gt;&lt;/dates&gt;&lt;pub-location&gt;Personal Social Services Research Unit&lt;/pub-location&gt;&lt;publisher&gt;University of Canterbury&lt;/publisher&gt;&lt;urls&gt;&lt;/urls&gt;&lt;/record&gt;&lt;/Cite&gt;&lt;/EndNote&gt;</w:instrText>
      </w:r>
      <w:r w:rsidR="00963604" w:rsidRPr="00296D0C">
        <w:rPr>
          <w:rFonts w:cs="Arial"/>
        </w:rPr>
        <w:fldChar w:fldCharType="separate"/>
      </w:r>
      <w:r w:rsidR="008C43BF" w:rsidRPr="008C43BF">
        <w:rPr>
          <w:rFonts w:cs="Arial"/>
          <w:noProof/>
          <w:vertAlign w:val="superscript"/>
        </w:rPr>
        <w:t>56</w:t>
      </w:r>
      <w:r w:rsidR="00963604" w:rsidRPr="00296D0C">
        <w:rPr>
          <w:rFonts w:cs="Arial"/>
        </w:rPr>
        <w:fldChar w:fldCharType="end"/>
      </w:r>
      <w:r w:rsidR="000D0114" w:rsidRPr="00296D0C">
        <w:rPr>
          <w:rFonts w:cs="Arial"/>
        </w:rPr>
        <w:t xml:space="preserve">. </w:t>
      </w:r>
      <w:r w:rsidRPr="00296D0C">
        <w:rPr>
          <w:rFonts w:cs="Arial"/>
        </w:rPr>
        <w:t>Table</w:t>
      </w:r>
      <w:r w:rsidR="004E08D5" w:rsidRPr="00296D0C">
        <w:rPr>
          <w:rFonts w:cs="Arial"/>
        </w:rPr>
        <w:t xml:space="preserve"> </w:t>
      </w:r>
      <w:r w:rsidR="00776432" w:rsidRPr="00296D0C">
        <w:rPr>
          <w:rFonts w:cs="Arial"/>
        </w:rPr>
        <w:t>1</w:t>
      </w:r>
      <w:r w:rsidR="00B82396">
        <w:rPr>
          <w:rFonts w:cs="Arial"/>
        </w:rPr>
        <w:t>7</w:t>
      </w:r>
      <w:r w:rsidRPr="00296D0C">
        <w:rPr>
          <w:rFonts w:cs="Arial"/>
        </w:rPr>
        <w:t xml:space="preserve"> reports the units costs used in </w:t>
      </w:r>
      <w:r w:rsidR="00204C3D" w:rsidRPr="00296D0C">
        <w:rPr>
          <w:rFonts w:cs="Arial"/>
        </w:rPr>
        <w:t>the</w:t>
      </w:r>
      <w:r w:rsidR="00582B9B" w:rsidRPr="00296D0C">
        <w:rPr>
          <w:rFonts w:cs="Arial"/>
        </w:rPr>
        <w:t xml:space="preserve"> </w:t>
      </w:r>
      <w:r w:rsidRPr="00296D0C">
        <w:rPr>
          <w:rFonts w:cs="Arial"/>
        </w:rPr>
        <w:t xml:space="preserve">analyses, and the source of the unit cost and/or the assumptions used in allocating unit costs to estimates of resource use.  Cost estimates </w:t>
      </w:r>
      <w:r w:rsidR="00F17EF1" w:rsidRPr="00296D0C">
        <w:rPr>
          <w:rFonts w:cs="Arial"/>
        </w:rPr>
        <w:t>were</w:t>
      </w:r>
      <w:r w:rsidRPr="00296D0C">
        <w:rPr>
          <w:rFonts w:cs="Arial"/>
        </w:rPr>
        <w:t xml:space="preserve"> determined in a ‘bottom-up’ approach, based on detailed micro-level resource use data, collected within </w:t>
      </w:r>
      <w:r w:rsidR="00204C3D" w:rsidRPr="00296D0C">
        <w:rPr>
          <w:rFonts w:cs="Arial"/>
        </w:rPr>
        <w:t xml:space="preserve">the </w:t>
      </w:r>
      <w:r w:rsidRPr="00296D0C">
        <w:rPr>
          <w:rFonts w:cs="Arial"/>
        </w:rPr>
        <w:t>trial.</w:t>
      </w:r>
    </w:p>
    <w:p w14:paraId="3B966C14" w14:textId="00847D51" w:rsidR="00861557" w:rsidRPr="00296D0C" w:rsidRDefault="00861557" w:rsidP="007E638C">
      <w:pPr>
        <w:spacing w:after="0" w:line="360" w:lineRule="auto"/>
        <w:rPr>
          <w:rFonts w:cs="Arial"/>
          <w:b/>
        </w:rPr>
      </w:pPr>
      <w:bookmarkStart w:id="458" w:name="_Ref434846742"/>
      <w:bookmarkStart w:id="459" w:name="_Ref435718322"/>
      <w:r w:rsidRPr="00296D0C">
        <w:rPr>
          <w:rFonts w:cs="Arial"/>
        </w:rPr>
        <w:t xml:space="preserve"> </w:t>
      </w:r>
    </w:p>
    <w:p w14:paraId="14BD1B54" w14:textId="75C82FCA" w:rsidR="00861557" w:rsidRPr="00296D0C" w:rsidRDefault="004E08D5" w:rsidP="00861557">
      <w:pPr>
        <w:pStyle w:val="Caption"/>
        <w:spacing w:after="120"/>
        <w:rPr>
          <w:rFonts w:cs="Arial"/>
          <w:b/>
          <w:i w:val="0"/>
          <w:color w:val="auto"/>
          <w:sz w:val="22"/>
          <w:szCs w:val="22"/>
        </w:rPr>
      </w:pPr>
      <w:r w:rsidRPr="00296D0C">
        <w:rPr>
          <w:rFonts w:cs="Arial"/>
          <w:b/>
          <w:i w:val="0"/>
          <w:color w:val="auto"/>
          <w:sz w:val="22"/>
          <w:szCs w:val="22"/>
        </w:rPr>
        <w:t>T</w:t>
      </w:r>
      <w:r w:rsidR="005911C1" w:rsidRPr="00296D0C">
        <w:rPr>
          <w:rFonts w:cs="Arial"/>
          <w:b/>
          <w:i w:val="0"/>
          <w:color w:val="auto"/>
          <w:sz w:val="22"/>
          <w:szCs w:val="22"/>
        </w:rPr>
        <w:t>ABLE</w:t>
      </w:r>
      <w:r w:rsidRPr="00296D0C">
        <w:rPr>
          <w:rFonts w:cs="Arial"/>
          <w:b/>
          <w:i w:val="0"/>
          <w:color w:val="auto"/>
          <w:sz w:val="22"/>
          <w:szCs w:val="22"/>
        </w:rPr>
        <w:t xml:space="preserve"> </w:t>
      </w:r>
      <w:r w:rsidR="00776432" w:rsidRPr="00296D0C">
        <w:rPr>
          <w:rFonts w:cs="Arial"/>
          <w:b/>
          <w:i w:val="0"/>
          <w:color w:val="auto"/>
          <w:sz w:val="22"/>
          <w:szCs w:val="22"/>
        </w:rPr>
        <w:t>1</w:t>
      </w:r>
      <w:r w:rsidR="00472BD5">
        <w:rPr>
          <w:rFonts w:cs="Arial"/>
          <w:b/>
          <w:i w:val="0"/>
          <w:color w:val="auto"/>
          <w:sz w:val="22"/>
          <w:szCs w:val="22"/>
        </w:rPr>
        <w:t>6</w:t>
      </w:r>
      <w:r w:rsidR="00861557" w:rsidRPr="00296D0C">
        <w:rPr>
          <w:rFonts w:cs="Arial"/>
          <w:b/>
          <w:i w:val="0"/>
          <w:color w:val="auto"/>
          <w:sz w:val="22"/>
          <w:szCs w:val="22"/>
        </w:rPr>
        <w:t xml:space="preserve"> Summary of the components of the HeLP intervention</w:t>
      </w:r>
    </w:p>
    <w:tbl>
      <w:tblPr>
        <w:tblStyle w:val="TableGrid"/>
        <w:tblW w:w="0" w:type="auto"/>
        <w:tblLook w:val="04A0" w:firstRow="1" w:lastRow="0" w:firstColumn="1" w:lastColumn="0" w:noHBand="0" w:noVBand="1"/>
      </w:tblPr>
      <w:tblGrid>
        <w:gridCol w:w="1228"/>
        <w:gridCol w:w="2378"/>
        <w:gridCol w:w="2710"/>
        <w:gridCol w:w="2710"/>
      </w:tblGrid>
      <w:tr w:rsidR="00861557" w:rsidRPr="00296D0C" w14:paraId="186A043D" w14:textId="77777777" w:rsidTr="0077247E">
        <w:trPr>
          <w:trHeight w:val="323"/>
        </w:trPr>
        <w:tc>
          <w:tcPr>
            <w:tcW w:w="1242" w:type="dxa"/>
            <w:tcBorders>
              <w:top w:val="single" w:sz="12" w:space="0" w:color="auto"/>
              <w:left w:val="nil"/>
              <w:bottom w:val="single" w:sz="12" w:space="0" w:color="auto"/>
            </w:tcBorders>
          </w:tcPr>
          <w:p w14:paraId="35CE13BF" w14:textId="77777777" w:rsidR="00861557" w:rsidRPr="00296D0C" w:rsidRDefault="00861557" w:rsidP="0077247E">
            <w:pPr>
              <w:spacing w:before="40" w:after="40"/>
              <w:rPr>
                <w:rFonts w:cs="Arial"/>
              </w:rPr>
            </w:pPr>
            <w:r w:rsidRPr="00296D0C">
              <w:rPr>
                <w:rFonts w:cs="Arial"/>
              </w:rPr>
              <w:t>Phase</w:t>
            </w:r>
          </w:p>
        </w:tc>
        <w:tc>
          <w:tcPr>
            <w:tcW w:w="2410" w:type="dxa"/>
            <w:tcBorders>
              <w:top w:val="single" w:sz="12" w:space="0" w:color="auto"/>
              <w:bottom w:val="single" w:sz="12" w:space="0" w:color="auto"/>
            </w:tcBorders>
          </w:tcPr>
          <w:p w14:paraId="3DD86300" w14:textId="77777777" w:rsidR="00861557" w:rsidRPr="00296D0C" w:rsidRDefault="00861557" w:rsidP="0077247E">
            <w:pPr>
              <w:spacing w:before="40" w:after="40"/>
              <w:rPr>
                <w:rFonts w:cs="Arial"/>
              </w:rPr>
            </w:pPr>
            <w:r w:rsidRPr="00296D0C">
              <w:rPr>
                <w:rFonts w:cs="Arial"/>
              </w:rPr>
              <w:t>Activity Type</w:t>
            </w:r>
          </w:p>
        </w:tc>
        <w:tc>
          <w:tcPr>
            <w:tcW w:w="2764" w:type="dxa"/>
            <w:tcBorders>
              <w:top w:val="single" w:sz="12" w:space="0" w:color="auto"/>
              <w:bottom w:val="single" w:sz="12" w:space="0" w:color="auto"/>
              <w:right w:val="nil"/>
            </w:tcBorders>
          </w:tcPr>
          <w:p w14:paraId="315ABDF5" w14:textId="77777777" w:rsidR="00861557" w:rsidRPr="00296D0C" w:rsidRDefault="00861557" w:rsidP="0077247E">
            <w:pPr>
              <w:spacing w:before="40" w:after="40"/>
              <w:rPr>
                <w:rFonts w:cs="Arial"/>
              </w:rPr>
            </w:pPr>
            <w:r w:rsidRPr="00296D0C">
              <w:rPr>
                <w:rFonts w:cs="Arial"/>
              </w:rPr>
              <w:t>School- or class-level activity</w:t>
            </w:r>
          </w:p>
        </w:tc>
        <w:tc>
          <w:tcPr>
            <w:tcW w:w="2764" w:type="dxa"/>
            <w:tcBorders>
              <w:top w:val="single" w:sz="12" w:space="0" w:color="auto"/>
              <w:bottom w:val="single" w:sz="12" w:space="0" w:color="auto"/>
              <w:right w:val="nil"/>
            </w:tcBorders>
          </w:tcPr>
          <w:p w14:paraId="01363A5F" w14:textId="77777777" w:rsidR="00861557" w:rsidRPr="00296D0C" w:rsidRDefault="00861557" w:rsidP="0077247E">
            <w:pPr>
              <w:spacing w:before="40" w:after="40"/>
              <w:rPr>
                <w:rFonts w:cs="Arial"/>
              </w:rPr>
            </w:pPr>
            <w:r w:rsidRPr="00296D0C">
              <w:rPr>
                <w:rFonts w:cs="Arial"/>
              </w:rPr>
              <w:t>Drama, Y/N</w:t>
            </w:r>
          </w:p>
        </w:tc>
      </w:tr>
      <w:tr w:rsidR="00861557" w:rsidRPr="00296D0C" w14:paraId="554CBB7D" w14:textId="77777777" w:rsidTr="0077247E">
        <w:trPr>
          <w:trHeight w:val="323"/>
        </w:trPr>
        <w:tc>
          <w:tcPr>
            <w:tcW w:w="1242" w:type="dxa"/>
            <w:tcBorders>
              <w:top w:val="single" w:sz="12" w:space="0" w:color="auto"/>
              <w:left w:val="nil"/>
              <w:bottom w:val="nil"/>
            </w:tcBorders>
          </w:tcPr>
          <w:p w14:paraId="363154B4" w14:textId="77777777" w:rsidR="00861557" w:rsidRPr="00296D0C" w:rsidRDefault="00861557" w:rsidP="0077247E">
            <w:pPr>
              <w:spacing w:before="40" w:after="40"/>
              <w:rPr>
                <w:rFonts w:cs="Arial"/>
              </w:rPr>
            </w:pPr>
            <w:r w:rsidRPr="00296D0C">
              <w:rPr>
                <w:rFonts w:cs="Arial"/>
              </w:rPr>
              <w:t>1</w:t>
            </w:r>
          </w:p>
        </w:tc>
        <w:tc>
          <w:tcPr>
            <w:tcW w:w="2410" w:type="dxa"/>
            <w:tcBorders>
              <w:top w:val="single" w:sz="12" w:space="0" w:color="auto"/>
              <w:bottom w:val="nil"/>
            </w:tcBorders>
          </w:tcPr>
          <w:p w14:paraId="1D8B59BE" w14:textId="77777777" w:rsidR="00861557" w:rsidRPr="00296D0C" w:rsidRDefault="00861557" w:rsidP="0077247E">
            <w:pPr>
              <w:spacing w:before="40" w:after="40"/>
              <w:rPr>
                <w:rFonts w:cs="Arial"/>
              </w:rPr>
            </w:pPr>
            <w:r w:rsidRPr="00296D0C">
              <w:rPr>
                <w:rFonts w:cs="Arial"/>
              </w:rPr>
              <w:t>Whole School Meeting</w:t>
            </w:r>
          </w:p>
        </w:tc>
        <w:tc>
          <w:tcPr>
            <w:tcW w:w="2764" w:type="dxa"/>
            <w:tcBorders>
              <w:top w:val="single" w:sz="12" w:space="0" w:color="auto"/>
              <w:bottom w:val="nil"/>
              <w:right w:val="nil"/>
            </w:tcBorders>
          </w:tcPr>
          <w:p w14:paraId="05FE8FD0" w14:textId="77777777" w:rsidR="00861557" w:rsidRPr="00296D0C" w:rsidRDefault="00861557" w:rsidP="0077247E">
            <w:pPr>
              <w:spacing w:before="40" w:after="40"/>
              <w:rPr>
                <w:rFonts w:cs="Arial"/>
              </w:rPr>
            </w:pPr>
            <w:r w:rsidRPr="00296D0C">
              <w:rPr>
                <w:rFonts w:cs="Arial"/>
              </w:rPr>
              <w:t>School</w:t>
            </w:r>
          </w:p>
        </w:tc>
        <w:tc>
          <w:tcPr>
            <w:tcW w:w="2764" w:type="dxa"/>
            <w:tcBorders>
              <w:top w:val="single" w:sz="12" w:space="0" w:color="auto"/>
              <w:bottom w:val="nil"/>
              <w:right w:val="nil"/>
            </w:tcBorders>
          </w:tcPr>
          <w:p w14:paraId="11DFE479" w14:textId="77777777" w:rsidR="00861557" w:rsidRPr="00296D0C" w:rsidRDefault="00861557" w:rsidP="0077247E">
            <w:pPr>
              <w:spacing w:before="40" w:after="40"/>
              <w:rPr>
                <w:rFonts w:cs="Arial"/>
              </w:rPr>
            </w:pPr>
            <w:r w:rsidRPr="00296D0C">
              <w:rPr>
                <w:rFonts w:cs="Arial"/>
              </w:rPr>
              <w:t>N</w:t>
            </w:r>
          </w:p>
        </w:tc>
      </w:tr>
      <w:tr w:rsidR="00861557" w:rsidRPr="00296D0C" w14:paraId="7F0624FF" w14:textId="77777777" w:rsidTr="0077247E">
        <w:trPr>
          <w:trHeight w:val="323"/>
        </w:trPr>
        <w:tc>
          <w:tcPr>
            <w:tcW w:w="1242" w:type="dxa"/>
            <w:tcBorders>
              <w:top w:val="nil"/>
              <w:left w:val="nil"/>
              <w:bottom w:val="nil"/>
            </w:tcBorders>
          </w:tcPr>
          <w:p w14:paraId="7BC199D3" w14:textId="77777777" w:rsidR="00861557" w:rsidRPr="00296D0C" w:rsidRDefault="00861557" w:rsidP="0077247E">
            <w:pPr>
              <w:spacing w:before="40" w:after="40"/>
              <w:rPr>
                <w:rFonts w:cs="Arial"/>
              </w:rPr>
            </w:pPr>
            <w:r w:rsidRPr="00296D0C">
              <w:rPr>
                <w:rFonts w:cs="Arial"/>
              </w:rPr>
              <w:t>1</w:t>
            </w:r>
          </w:p>
        </w:tc>
        <w:tc>
          <w:tcPr>
            <w:tcW w:w="2410" w:type="dxa"/>
            <w:tcBorders>
              <w:top w:val="nil"/>
              <w:bottom w:val="nil"/>
            </w:tcBorders>
          </w:tcPr>
          <w:p w14:paraId="4D3737AD" w14:textId="77777777" w:rsidR="00861557" w:rsidRPr="00296D0C" w:rsidRDefault="00861557" w:rsidP="0077247E">
            <w:pPr>
              <w:spacing w:before="40" w:after="40"/>
              <w:rPr>
                <w:rFonts w:cs="Arial"/>
              </w:rPr>
            </w:pPr>
            <w:r w:rsidRPr="00296D0C">
              <w:rPr>
                <w:rFonts w:cs="Arial"/>
              </w:rPr>
              <w:t>Whole Class Assembly</w:t>
            </w:r>
          </w:p>
        </w:tc>
        <w:tc>
          <w:tcPr>
            <w:tcW w:w="2764" w:type="dxa"/>
            <w:tcBorders>
              <w:top w:val="nil"/>
              <w:bottom w:val="nil"/>
              <w:right w:val="nil"/>
            </w:tcBorders>
          </w:tcPr>
          <w:p w14:paraId="5A5FC3C9" w14:textId="77777777" w:rsidR="00861557" w:rsidRPr="00296D0C" w:rsidRDefault="00861557" w:rsidP="0077247E">
            <w:pPr>
              <w:spacing w:before="40" w:after="40"/>
              <w:rPr>
                <w:rFonts w:cs="Arial"/>
              </w:rPr>
            </w:pPr>
            <w:r w:rsidRPr="00296D0C">
              <w:rPr>
                <w:rFonts w:cs="Arial"/>
              </w:rPr>
              <w:t>School</w:t>
            </w:r>
          </w:p>
        </w:tc>
        <w:tc>
          <w:tcPr>
            <w:tcW w:w="2764" w:type="dxa"/>
            <w:tcBorders>
              <w:top w:val="nil"/>
              <w:bottom w:val="nil"/>
              <w:right w:val="nil"/>
            </w:tcBorders>
          </w:tcPr>
          <w:p w14:paraId="26E6CAFD" w14:textId="77777777" w:rsidR="00861557" w:rsidRPr="00296D0C" w:rsidRDefault="00861557" w:rsidP="0077247E">
            <w:pPr>
              <w:spacing w:before="40" w:after="40"/>
              <w:rPr>
                <w:rFonts w:cs="Arial"/>
              </w:rPr>
            </w:pPr>
            <w:r w:rsidRPr="00296D0C">
              <w:rPr>
                <w:rFonts w:cs="Arial"/>
              </w:rPr>
              <w:t>N</w:t>
            </w:r>
          </w:p>
        </w:tc>
      </w:tr>
      <w:tr w:rsidR="00861557" w:rsidRPr="00296D0C" w14:paraId="0E474AB2" w14:textId="77777777" w:rsidTr="0077247E">
        <w:trPr>
          <w:trHeight w:val="323"/>
        </w:trPr>
        <w:tc>
          <w:tcPr>
            <w:tcW w:w="1242" w:type="dxa"/>
            <w:tcBorders>
              <w:top w:val="nil"/>
              <w:left w:val="nil"/>
              <w:bottom w:val="nil"/>
            </w:tcBorders>
          </w:tcPr>
          <w:p w14:paraId="29C649B7" w14:textId="77777777" w:rsidR="00861557" w:rsidRPr="00296D0C" w:rsidRDefault="00861557" w:rsidP="0077247E">
            <w:pPr>
              <w:spacing w:before="40" w:after="40"/>
              <w:rPr>
                <w:rFonts w:cs="Arial"/>
              </w:rPr>
            </w:pPr>
            <w:r w:rsidRPr="00296D0C">
              <w:rPr>
                <w:rFonts w:cs="Arial"/>
              </w:rPr>
              <w:t>1</w:t>
            </w:r>
          </w:p>
        </w:tc>
        <w:tc>
          <w:tcPr>
            <w:tcW w:w="2410" w:type="dxa"/>
            <w:tcBorders>
              <w:top w:val="nil"/>
              <w:bottom w:val="nil"/>
            </w:tcBorders>
          </w:tcPr>
          <w:p w14:paraId="3706CDB8" w14:textId="77777777" w:rsidR="00861557" w:rsidRPr="00296D0C" w:rsidRDefault="00861557" w:rsidP="0077247E">
            <w:pPr>
              <w:spacing w:before="40" w:after="40"/>
              <w:rPr>
                <w:rFonts w:cs="Arial"/>
              </w:rPr>
            </w:pPr>
            <w:r w:rsidRPr="00296D0C">
              <w:rPr>
                <w:rFonts w:cs="Arial"/>
              </w:rPr>
              <w:t>2 x Activity Workshops</w:t>
            </w:r>
          </w:p>
        </w:tc>
        <w:tc>
          <w:tcPr>
            <w:tcW w:w="2764" w:type="dxa"/>
            <w:tcBorders>
              <w:top w:val="nil"/>
              <w:bottom w:val="nil"/>
              <w:right w:val="nil"/>
            </w:tcBorders>
          </w:tcPr>
          <w:p w14:paraId="1B0ED653" w14:textId="77777777" w:rsidR="00861557" w:rsidRPr="00296D0C" w:rsidRDefault="00861557" w:rsidP="0077247E">
            <w:pPr>
              <w:spacing w:before="40" w:after="40"/>
              <w:rPr>
                <w:rFonts w:cs="Arial"/>
              </w:rPr>
            </w:pPr>
            <w:r w:rsidRPr="00296D0C">
              <w:rPr>
                <w:rFonts w:cs="Arial"/>
              </w:rPr>
              <w:t>Class</w:t>
            </w:r>
          </w:p>
        </w:tc>
        <w:tc>
          <w:tcPr>
            <w:tcW w:w="2764" w:type="dxa"/>
            <w:tcBorders>
              <w:top w:val="nil"/>
              <w:bottom w:val="nil"/>
              <w:right w:val="nil"/>
            </w:tcBorders>
          </w:tcPr>
          <w:p w14:paraId="2340F6C3" w14:textId="77777777" w:rsidR="00861557" w:rsidRPr="00296D0C" w:rsidRDefault="00861557" w:rsidP="0077247E">
            <w:pPr>
              <w:spacing w:before="40" w:after="40"/>
              <w:rPr>
                <w:rFonts w:cs="Arial"/>
              </w:rPr>
            </w:pPr>
            <w:r w:rsidRPr="00296D0C">
              <w:rPr>
                <w:rFonts w:cs="Arial"/>
              </w:rPr>
              <w:t>N</w:t>
            </w:r>
          </w:p>
        </w:tc>
      </w:tr>
      <w:tr w:rsidR="00861557" w:rsidRPr="00296D0C" w14:paraId="6DFC8C86" w14:textId="77777777" w:rsidTr="0077247E">
        <w:trPr>
          <w:trHeight w:val="323"/>
        </w:trPr>
        <w:tc>
          <w:tcPr>
            <w:tcW w:w="1242" w:type="dxa"/>
            <w:tcBorders>
              <w:top w:val="nil"/>
              <w:left w:val="nil"/>
              <w:bottom w:val="nil"/>
            </w:tcBorders>
          </w:tcPr>
          <w:p w14:paraId="60093673" w14:textId="77777777" w:rsidR="00861557" w:rsidRPr="00296D0C" w:rsidRDefault="00861557" w:rsidP="0077247E">
            <w:pPr>
              <w:spacing w:before="40" w:after="40"/>
              <w:rPr>
                <w:rFonts w:cs="Arial"/>
              </w:rPr>
            </w:pPr>
            <w:r w:rsidRPr="00296D0C">
              <w:rPr>
                <w:rFonts w:cs="Arial"/>
              </w:rPr>
              <w:t>1</w:t>
            </w:r>
          </w:p>
        </w:tc>
        <w:tc>
          <w:tcPr>
            <w:tcW w:w="2410" w:type="dxa"/>
            <w:tcBorders>
              <w:top w:val="nil"/>
              <w:bottom w:val="nil"/>
            </w:tcBorders>
          </w:tcPr>
          <w:p w14:paraId="5C7AC4EC" w14:textId="77777777" w:rsidR="00861557" w:rsidRPr="00296D0C" w:rsidRDefault="00861557" w:rsidP="0077247E">
            <w:pPr>
              <w:spacing w:before="40" w:after="40"/>
              <w:rPr>
                <w:rFonts w:cs="Arial"/>
              </w:rPr>
            </w:pPr>
            <w:r w:rsidRPr="00296D0C">
              <w:rPr>
                <w:rFonts w:cs="Arial"/>
              </w:rPr>
              <w:t>Rap Poetry</w:t>
            </w:r>
          </w:p>
        </w:tc>
        <w:tc>
          <w:tcPr>
            <w:tcW w:w="2764" w:type="dxa"/>
            <w:tcBorders>
              <w:top w:val="nil"/>
              <w:bottom w:val="nil"/>
              <w:right w:val="nil"/>
            </w:tcBorders>
          </w:tcPr>
          <w:p w14:paraId="6CE18832" w14:textId="77777777" w:rsidR="00861557" w:rsidRPr="00296D0C" w:rsidRDefault="00861557" w:rsidP="0077247E">
            <w:pPr>
              <w:spacing w:before="40" w:after="40"/>
              <w:rPr>
                <w:rFonts w:cs="Arial"/>
              </w:rPr>
            </w:pPr>
            <w:r w:rsidRPr="00296D0C">
              <w:rPr>
                <w:rFonts w:cs="Arial"/>
              </w:rPr>
              <w:t>Class</w:t>
            </w:r>
          </w:p>
        </w:tc>
        <w:tc>
          <w:tcPr>
            <w:tcW w:w="2764" w:type="dxa"/>
            <w:tcBorders>
              <w:top w:val="nil"/>
              <w:bottom w:val="nil"/>
              <w:right w:val="nil"/>
            </w:tcBorders>
          </w:tcPr>
          <w:p w14:paraId="2332C6AC" w14:textId="77777777" w:rsidR="00861557" w:rsidRPr="00296D0C" w:rsidRDefault="00861557" w:rsidP="0077247E">
            <w:pPr>
              <w:spacing w:before="40" w:after="40"/>
              <w:rPr>
                <w:rFonts w:cs="Arial"/>
              </w:rPr>
            </w:pPr>
            <w:r w:rsidRPr="00296D0C">
              <w:rPr>
                <w:rFonts w:cs="Arial"/>
              </w:rPr>
              <w:t>N</w:t>
            </w:r>
          </w:p>
        </w:tc>
      </w:tr>
      <w:tr w:rsidR="00861557" w:rsidRPr="00296D0C" w14:paraId="351D067F" w14:textId="77777777" w:rsidTr="0077247E">
        <w:trPr>
          <w:trHeight w:val="323"/>
        </w:trPr>
        <w:tc>
          <w:tcPr>
            <w:tcW w:w="1242" w:type="dxa"/>
            <w:tcBorders>
              <w:top w:val="nil"/>
              <w:left w:val="nil"/>
              <w:bottom w:val="nil"/>
            </w:tcBorders>
          </w:tcPr>
          <w:p w14:paraId="0CA7DAEE" w14:textId="77777777" w:rsidR="00861557" w:rsidRPr="00296D0C" w:rsidRDefault="00861557" w:rsidP="0077247E">
            <w:pPr>
              <w:spacing w:before="40" w:after="40"/>
              <w:rPr>
                <w:rFonts w:cs="Arial"/>
              </w:rPr>
            </w:pPr>
            <w:r w:rsidRPr="00296D0C">
              <w:rPr>
                <w:rFonts w:cs="Arial"/>
              </w:rPr>
              <w:t>1</w:t>
            </w:r>
          </w:p>
        </w:tc>
        <w:tc>
          <w:tcPr>
            <w:tcW w:w="2410" w:type="dxa"/>
            <w:tcBorders>
              <w:top w:val="nil"/>
              <w:bottom w:val="nil"/>
            </w:tcBorders>
          </w:tcPr>
          <w:p w14:paraId="1E86A5D1" w14:textId="77777777" w:rsidR="00861557" w:rsidRPr="00296D0C" w:rsidRDefault="00861557" w:rsidP="0077247E">
            <w:pPr>
              <w:spacing w:before="40" w:after="40"/>
              <w:rPr>
                <w:rFonts w:cs="Arial"/>
              </w:rPr>
            </w:pPr>
            <w:r w:rsidRPr="00296D0C">
              <w:rPr>
                <w:rFonts w:cs="Arial"/>
              </w:rPr>
              <w:t>Newsletters</w:t>
            </w:r>
          </w:p>
        </w:tc>
        <w:tc>
          <w:tcPr>
            <w:tcW w:w="2764" w:type="dxa"/>
            <w:tcBorders>
              <w:top w:val="nil"/>
              <w:bottom w:val="nil"/>
              <w:right w:val="nil"/>
            </w:tcBorders>
          </w:tcPr>
          <w:p w14:paraId="2E941619" w14:textId="77777777" w:rsidR="00861557" w:rsidRPr="00296D0C" w:rsidRDefault="00861557" w:rsidP="0077247E">
            <w:pPr>
              <w:spacing w:before="40" w:after="40"/>
              <w:rPr>
                <w:rFonts w:cs="Arial"/>
              </w:rPr>
            </w:pPr>
            <w:r w:rsidRPr="00296D0C">
              <w:rPr>
                <w:rFonts w:cs="Arial"/>
              </w:rPr>
              <w:t>School</w:t>
            </w:r>
          </w:p>
        </w:tc>
        <w:tc>
          <w:tcPr>
            <w:tcW w:w="2764" w:type="dxa"/>
            <w:tcBorders>
              <w:top w:val="nil"/>
              <w:bottom w:val="nil"/>
              <w:right w:val="nil"/>
            </w:tcBorders>
          </w:tcPr>
          <w:p w14:paraId="02208864" w14:textId="77777777" w:rsidR="00861557" w:rsidRPr="00296D0C" w:rsidRDefault="00861557" w:rsidP="0077247E">
            <w:pPr>
              <w:spacing w:before="40" w:after="40"/>
              <w:rPr>
                <w:rFonts w:cs="Arial"/>
              </w:rPr>
            </w:pPr>
            <w:r w:rsidRPr="00296D0C">
              <w:rPr>
                <w:rFonts w:cs="Arial"/>
              </w:rPr>
              <w:t>N</w:t>
            </w:r>
          </w:p>
        </w:tc>
      </w:tr>
      <w:tr w:rsidR="00861557" w:rsidRPr="00296D0C" w14:paraId="03081595" w14:textId="77777777" w:rsidTr="0077247E">
        <w:trPr>
          <w:trHeight w:val="323"/>
        </w:trPr>
        <w:tc>
          <w:tcPr>
            <w:tcW w:w="1242" w:type="dxa"/>
            <w:tcBorders>
              <w:top w:val="nil"/>
              <w:left w:val="nil"/>
              <w:bottom w:val="single" w:sz="12" w:space="0" w:color="auto"/>
            </w:tcBorders>
          </w:tcPr>
          <w:p w14:paraId="358F0963" w14:textId="77777777" w:rsidR="00861557" w:rsidRPr="00296D0C" w:rsidRDefault="00861557" w:rsidP="0077247E">
            <w:pPr>
              <w:spacing w:before="40" w:after="40"/>
              <w:rPr>
                <w:rFonts w:cs="Arial"/>
              </w:rPr>
            </w:pPr>
            <w:r w:rsidRPr="00296D0C">
              <w:rPr>
                <w:rFonts w:cs="Arial"/>
              </w:rPr>
              <w:t>1</w:t>
            </w:r>
          </w:p>
        </w:tc>
        <w:tc>
          <w:tcPr>
            <w:tcW w:w="2410" w:type="dxa"/>
            <w:tcBorders>
              <w:top w:val="nil"/>
              <w:bottom w:val="single" w:sz="12" w:space="0" w:color="auto"/>
            </w:tcBorders>
          </w:tcPr>
          <w:p w14:paraId="4B67DDE0" w14:textId="77777777" w:rsidR="00861557" w:rsidRPr="00296D0C" w:rsidRDefault="00861557" w:rsidP="0077247E">
            <w:pPr>
              <w:spacing w:before="40" w:after="40"/>
              <w:rPr>
                <w:rFonts w:cs="Arial"/>
              </w:rPr>
            </w:pPr>
            <w:r w:rsidRPr="00296D0C">
              <w:rPr>
                <w:rFonts w:cs="Arial"/>
              </w:rPr>
              <w:t>Parents’ Assembly</w:t>
            </w:r>
          </w:p>
        </w:tc>
        <w:tc>
          <w:tcPr>
            <w:tcW w:w="2764" w:type="dxa"/>
            <w:tcBorders>
              <w:top w:val="nil"/>
              <w:bottom w:val="single" w:sz="12" w:space="0" w:color="auto"/>
              <w:right w:val="nil"/>
            </w:tcBorders>
          </w:tcPr>
          <w:p w14:paraId="6AB7BC14" w14:textId="77777777" w:rsidR="00861557" w:rsidRPr="00296D0C" w:rsidRDefault="00861557" w:rsidP="0077247E">
            <w:pPr>
              <w:spacing w:before="40" w:after="40"/>
              <w:rPr>
                <w:rFonts w:cs="Arial"/>
              </w:rPr>
            </w:pPr>
            <w:r w:rsidRPr="00296D0C">
              <w:rPr>
                <w:rFonts w:cs="Arial"/>
              </w:rPr>
              <w:t>School</w:t>
            </w:r>
          </w:p>
        </w:tc>
        <w:tc>
          <w:tcPr>
            <w:tcW w:w="2764" w:type="dxa"/>
            <w:tcBorders>
              <w:top w:val="nil"/>
              <w:bottom w:val="single" w:sz="12" w:space="0" w:color="auto"/>
              <w:right w:val="nil"/>
            </w:tcBorders>
          </w:tcPr>
          <w:p w14:paraId="25B74613" w14:textId="77777777" w:rsidR="00861557" w:rsidRPr="00296D0C" w:rsidRDefault="00861557" w:rsidP="0077247E">
            <w:pPr>
              <w:spacing w:before="40" w:after="40"/>
              <w:rPr>
                <w:rFonts w:cs="Arial"/>
              </w:rPr>
            </w:pPr>
            <w:r w:rsidRPr="00296D0C">
              <w:rPr>
                <w:rFonts w:cs="Arial"/>
              </w:rPr>
              <w:t>N</w:t>
            </w:r>
          </w:p>
        </w:tc>
      </w:tr>
      <w:tr w:rsidR="00861557" w:rsidRPr="00296D0C" w14:paraId="3DFDD847" w14:textId="77777777" w:rsidTr="0077247E">
        <w:trPr>
          <w:trHeight w:val="323"/>
        </w:trPr>
        <w:tc>
          <w:tcPr>
            <w:tcW w:w="1242" w:type="dxa"/>
            <w:tcBorders>
              <w:top w:val="single" w:sz="12" w:space="0" w:color="auto"/>
              <w:left w:val="nil"/>
              <w:bottom w:val="nil"/>
            </w:tcBorders>
          </w:tcPr>
          <w:p w14:paraId="68309DF6" w14:textId="77777777" w:rsidR="00861557" w:rsidRPr="00296D0C" w:rsidRDefault="00861557" w:rsidP="0077247E">
            <w:pPr>
              <w:spacing w:before="40" w:after="40"/>
              <w:rPr>
                <w:rFonts w:cs="Arial"/>
              </w:rPr>
            </w:pPr>
            <w:r w:rsidRPr="00296D0C">
              <w:rPr>
                <w:rFonts w:cs="Arial"/>
              </w:rPr>
              <w:t>2</w:t>
            </w:r>
          </w:p>
        </w:tc>
        <w:tc>
          <w:tcPr>
            <w:tcW w:w="2410" w:type="dxa"/>
            <w:tcBorders>
              <w:top w:val="single" w:sz="12" w:space="0" w:color="auto"/>
              <w:bottom w:val="nil"/>
            </w:tcBorders>
          </w:tcPr>
          <w:p w14:paraId="2C28E659" w14:textId="77777777" w:rsidR="00861557" w:rsidRPr="00296D0C" w:rsidRDefault="00861557" w:rsidP="0077247E">
            <w:pPr>
              <w:spacing w:before="40" w:after="40"/>
              <w:rPr>
                <w:rFonts w:cs="Arial"/>
              </w:rPr>
            </w:pPr>
            <w:r w:rsidRPr="00296D0C">
              <w:rPr>
                <w:rFonts w:cs="Arial"/>
              </w:rPr>
              <w:t>5 x PSHE Lesson</w:t>
            </w:r>
          </w:p>
        </w:tc>
        <w:tc>
          <w:tcPr>
            <w:tcW w:w="2764" w:type="dxa"/>
            <w:tcBorders>
              <w:top w:val="single" w:sz="12" w:space="0" w:color="auto"/>
              <w:bottom w:val="nil"/>
              <w:right w:val="nil"/>
            </w:tcBorders>
          </w:tcPr>
          <w:p w14:paraId="3819B81A" w14:textId="77777777" w:rsidR="00861557" w:rsidRPr="00296D0C" w:rsidRDefault="00861557" w:rsidP="0077247E">
            <w:pPr>
              <w:spacing w:before="40" w:after="40"/>
              <w:rPr>
                <w:rFonts w:cs="Arial"/>
              </w:rPr>
            </w:pPr>
            <w:r w:rsidRPr="00296D0C">
              <w:rPr>
                <w:rFonts w:cs="Arial"/>
              </w:rPr>
              <w:t>Class</w:t>
            </w:r>
          </w:p>
        </w:tc>
        <w:tc>
          <w:tcPr>
            <w:tcW w:w="2764" w:type="dxa"/>
            <w:tcBorders>
              <w:top w:val="single" w:sz="12" w:space="0" w:color="auto"/>
              <w:bottom w:val="nil"/>
              <w:right w:val="nil"/>
            </w:tcBorders>
          </w:tcPr>
          <w:p w14:paraId="4DB89A22" w14:textId="77777777" w:rsidR="00861557" w:rsidRPr="00296D0C" w:rsidRDefault="00861557" w:rsidP="0077247E">
            <w:pPr>
              <w:spacing w:before="40" w:after="40"/>
              <w:rPr>
                <w:rFonts w:cs="Arial"/>
              </w:rPr>
            </w:pPr>
            <w:r w:rsidRPr="00296D0C">
              <w:rPr>
                <w:rFonts w:cs="Arial"/>
              </w:rPr>
              <w:t>N</w:t>
            </w:r>
          </w:p>
        </w:tc>
      </w:tr>
      <w:tr w:rsidR="00861557" w:rsidRPr="00296D0C" w14:paraId="47C6A43E" w14:textId="77777777" w:rsidTr="0077247E">
        <w:trPr>
          <w:trHeight w:val="323"/>
        </w:trPr>
        <w:tc>
          <w:tcPr>
            <w:tcW w:w="1242" w:type="dxa"/>
            <w:tcBorders>
              <w:top w:val="nil"/>
              <w:left w:val="nil"/>
              <w:bottom w:val="single" w:sz="12" w:space="0" w:color="auto"/>
            </w:tcBorders>
          </w:tcPr>
          <w:p w14:paraId="4E5EF209" w14:textId="77777777" w:rsidR="00861557" w:rsidRPr="00296D0C" w:rsidRDefault="00861557" w:rsidP="0077247E">
            <w:pPr>
              <w:spacing w:before="40" w:after="40"/>
              <w:rPr>
                <w:rFonts w:cs="Arial"/>
              </w:rPr>
            </w:pPr>
            <w:r w:rsidRPr="00296D0C">
              <w:rPr>
                <w:rFonts w:cs="Arial"/>
              </w:rPr>
              <w:t>2</w:t>
            </w:r>
          </w:p>
        </w:tc>
        <w:tc>
          <w:tcPr>
            <w:tcW w:w="2410" w:type="dxa"/>
            <w:tcBorders>
              <w:top w:val="nil"/>
              <w:bottom w:val="single" w:sz="12" w:space="0" w:color="auto"/>
            </w:tcBorders>
          </w:tcPr>
          <w:p w14:paraId="2B781FBC" w14:textId="77777777" w:rsidR="00861557" w:rsidRPr="00296D0C" w:rsidRDefault="00861557" w:rsidP="0077247E">
            <w:pPr>
              <w:spacing w:before="40" w:after="40"/>
              <w:rPr>
                <w:rFonts w:cs="Arial"/>
              </w:rPr>
            </w:pPr>
            <w:r w:rsidRPr="00296D0C">
              <w:rPr>
                <w:rFonts w:cs="Arial"/>
              </w:rPr>
              <w:t>5 x Drama Workshop</w:t>
            </w:r>
          </w:p>
        </w:tc>
        <w:tc>
          <w:tcPr>
            <w:tcW w:w="2764" w:type="dxa"/>
            <w:tcBorders>
              <w:top w:val="nil"/>
              <w:bottom w:val="single" w:sz="12" w:space="0" w:color="auto"/>
              <w:right w:val="nil"/>
            </w:tcBorders>
          </w:tcPr>
          <w:p w14:paraId="3A662851" w14:textId="77777777" w:rsidR="00861557" w:rsidRPr="00296D0C" w:rsidRDefault="00861557" w:rsidP="0077247E">
            <w:pPr>
              <w:spacing w:before="40" w:after="40"/>
              <w:rPr>
                <w:rFonts w:cs="Arial"/>
              </w:rPr>
            </w:pPr>
            <w:r w:rsidRPr="00296D0C">
              <w:rPr>
                <w:rFonts w:cs="Arial"/>
              </w:rPr>
              <w:t>Class</w:t>
            </w:r>
          </w:p>
        </w:tc>
        <w:tc>
          <w:tcPr>
            <w:tcW w:w="2764" w:type="dxa"/>
            <w:tcBorders>
              <w:top w:val="nil"/>
              <w:bottom w:val="single" w:sz="12" w:space="0" w:color="auto"/>
              <w:right w:val="nil"/>
            </w:tcBorders>
          </w:tcPr>
          <w:p w14:paraId="7C258E07" w14:textId="77777777" w:rsidR="00861557" w:rsidRPr="00296D0C" w:rsidRDefault="00861557" w:rsidP="0077247E">
            <w:pPr>
              <w:spacing w:before="40" w:after="40"/>
              <w:rPr>
                <w:rFonts w:cs="Arial"/>
              </w:rPr>
            </w:pPr>
            <w:r w:rsidRPr="00296D0C">
              <w:rPr>
                <w:rFonts w:cs="Arial"/>
              </w:rPr>
              <w:t>Y</w:t>
            </w:r>
          </w:p>
        </w:tc>
      </w:tr>
      <w:tr w:rsidR="00861557" w:rsidRPr="00296D0C" w14:paraId="7B34F553" w14:textId="77777777" w:rsidTr="0077247E">
        <w:trPr>
          <w:trHeight w:val="323"/>
        </w:trPr>
        <w:tc>
          <w:tcPr>
            <w:tcW w:w="1242" w:type="dxa"/>
            <w:tcBorders>
              <w:top w:val="single" w:sz="12" w:space="0" w:color="auto"/>
              <w:left w:val="nil"/>
              <w:bottom w:val="nil"/>
            </w:tcBorders>
          </w:tcPr>
          <w:p w14:paraId="2A97C88C" w14:textId="77777777" w:rsidR="00861557" w:rsidRPr="00296D0C" w:rsidRDefault="00861557" w:rsidP="0077247E">
            <w:pPr>
              <w:spacing w:before="40" w:after="40"/>
              <w:rPr>
                <w:rFonts w:cs="Arial"/>
              </w:rPr>
            </w:pPr>
            <w:r w:rsidRPr="00296D0C">
              <w:rPr>
                <w:rFonts w:cs="Arial"/>
              </w:rPr>
              <w:t>3</w:t>
            </w:r>
          </w:p>
        </w:tc>
        <w:tc>
          <w:tcPr>
            <w:tcW w:w="2410" w:type="dxa"/>
            <w:tcBorders>
              <w:top w:val="single" w:sz="12" w:space="0" w:color="auto"/>
              <w:bottom w:val="nil"/>
            </w:tcBorders>
          </w:tcPr>
          <w:p w14:paraId="1BF57D86" w14:textId="77777777" w:rsidR="00861557" w:rsidRPr="00296D0C" w:rsidRDefault="00861557" w:rsidP="0077247E">
            <w:pPr>
              <w:spacing w:before="40" w:after="40"/>
              <w:rPr>
                <w:rFonts w:cs="Arial"/>
              </w:rPr>
            </w:pPr>
            <w:r w:rsidRPr="00296D0C">
              <w:rPr>
                <w:rFonts w:cs="Arial"/>
              </w:rPr>
              <w:t>Goal Setting # 1</w:t>
            </w:r>
          </w:p>
        </w:tc>
        <w:tc>
          <w:tcPr>
            <w:tcW w:w="2764" w:type="dxa"/>
            <w:tcBorders>
              <w:top w:val="single" w:sz="12" w:space="0" w:color="auto"/>
              <w:bottom w:val="nil"/>
              <w:right w:val="nil"/>
            </w:tcBorders>
          </w:tcPr>
          <w:p w14:paraId="33DD4F47" w14:textId="77777777" w:rsidR="00861557" w:rsidRPr="00296D0C" w:rsidRDefault="00861557" w:rsidP="0077247E">
            <w:pPr>
              <w:spacing w:before="40" w:after="40"/>
              <w:rPr>
                <w:rFonts w:cs="Arial"/>
              </w:rPr>
            </w:pPr>
            <w:r w:rsidRPr="00296D0C">
              <w:rPr>
                <w:rFonts w:cs="Arial"/>
              </w:rPr>
              <w:t>Class</w:t>
            </w:r>
          </w:p>
        </w:tc>
        <w:tc>
          <w:tcPr>
            <w:tcW w:w="2764" w:type="dxa"/>
            <w:tcBorders>
              <w:top w:val="single" w:sz="12" w:space="0" w:color="auto"/>
              <w:bottom w:val="nil"/>
              <w:right w:val="nil"/>
            </w:tcBorders>
          </w:tcPr>
          <w:p w14:paraId="4C372937" w14:textId="77777777" w:rsidR="00861557" w:rsidRPr="00296D0C" w:rsidRDefault="00861557" w:rsidP="0077247E">
            <w:pPr>
              <w:spacing w:before="40" w:after="40"/>
              <w:rPr>
                <w:rFonts w:cs="Arial"/>
              </w:rPr>
            </w:pPr>
            <w:r w:rsidRPr="00296D0C">
              <w:rPr>
                <w:rFonts w:cs="Arial"/>
              </w:rPr>
              <w:t>N</w:t>
            </w:r>
          </w:p>
        </w:tc>
      </w:tr>
      <w:tr w:rsidR="00861557" w:rsidRPr="00296D0C" w14:paraId="3E76B92E" w14:textId="77777777" w:rsidTr="0077247E">
        <w:trPr>
          <w:trHeight w:val="323"/>
        </w:trPr>
        <w:tc>
          <w:tcPr>
            <w:tcW w:w="1242" w:type="dxa"/>
            <w:tcBorders>
              <w:top w:val="nil"/>
              <w:left w:val="nil"/>
              <w:bottom w:val="nil"/>
            </w:tcBorders>
          </w:tcPr>
          <w:p w14:paraId="39B462E5" w14:textId="77777777" w:rsidR="00861557" w:rsidRPr="00296D0C" w:rsidRDefault="00861557" w:rsidP="0077247E">
            <w:pPr>
              <w:spacing w:before="40" w:after="40"/>
              <w:rPr>
                <w:rFonts w:cs="Arial"/>
              </w:rPr>
            </w:pPr>
            <w:r w:rsidRPr="00296D0C">
              <w:rPr>
                <w:rFonts w:cs="Arial"/>
              </w:rPr>
              <w:t>3</w:t>
            </w:r>
          </w:p>
        </w:tc>
        <w:tc>
          <w:tcPr>
            <w:tcW w:w="2410" w:type="dxa"/>
            <w:tcBorders>
              <w:top w:val="nil"/>
              <w:bottom w:val="nil"/>
            </w:tcBorders>
          </w:tcPr>
          <w:p w14:paraId="5842BAD7" w14:textId="77777777" w:rsidR="00861557" w:rsidRPr="00296D0C" w:rsidRDefault="00861557" w:rsidP="0077247E">
            <w:pPr>
              <w:spacing w:before="40" w:after="40"/>
              <w:rPr>
                <w:rFonts w:cs="Arial"/>
              </w:rPr>
            </w:pPr>
            <w:r w:rsidRPr="00296D0C">
              <w:rPr>
                <w:rFonts w:cs="Arial"/>
              </w:rPr>
              <w:t>Self Monitoring</w:t>
            </w:r>
          </w:p>
        </w:tc>
        <w:tc>
          <w:tcPr>
            <w:tcW w:w="2764" w:type="dxa"/>
            <w:tcBorders>
              <w:top w:val="nil"/>
              <w:bottom w:val="nil"/>
              <w:right w:val="nil"/>
            </w:tcBorders>
          </w:tcPr>
          <w:p w14:paraId="1306A72B" w14:textId="77777777" w:rsidR="00861557" w:rsidRPr="00296D0C" w:rsidRDefault="00861557" w:rsidP="0077247E">
            <w:pPr>
              <w:spacing w:before="40" w:after="40"/>
              <w:rPr>
                <w:rFonts w:cs="Arial"/>
              </w:rPr>
            </w:pPr>
            <w:r w:rsidRPr="00296D0C">
              <w:rPr>
                <w:rFonts w:cs="Arial"/>
              </w:rPr>
              <w:t>Class</w:t>
            </w:r>
          </w:p>
        </w:tc>
        <w:tc>
          <w:tcPr>
            <w:tcW w:w="2764" w:type="dxa"/>
            <w:tcBorders>
              <w:top w:val="nil"/>
              <w:bottom w:val="nil"/>
              <w:right w:val="nil"/>
            </w:tcBorders>
          </w:tcPr>
          <w:p w14:paraId="0147E707" w14:textId="77777777" w:rsidR="00861557" w:rsidRPr="00296D0C" w:rsidRDefault="00861557" w:rsidP="0077247E">
            <w:pPr>
              <w:spacing w:before="40" w:after="40"/>
              <w:rPr>
                <w:rFonts w:cs="Arial"/>
              </w:rPr>
            </w:pPr>
            <w:r w:rsidRPr="00296D0C">
              <w:rPr>
                <w:rFonts w:cs="Arial"/>
              </w:rPr>
              <w:t>N</w:t>
            </w:r>
          </w:p>
        </w:tc>
      </w:tr>
      <w:tr w:rsidR="00861557" w:rsidRPr="00296D0C" w14:paraId="3397B2DE" w14:textId="77777777" w:rsidTr="0077247E">
        <w:trPr>
          <w:trHeight w:val="323"/>
        </w:trPr>
        <w:tc>
          <w:tcPr>
            <w:tcW w:w="1242" w:type="dxa"/>
            <w:tcBorders>
              <w:top w:val="nil"/>
              <w:left w:val="nil"/>
              <w:bottom w:val="single" w:sz="12" w:space="0" w:color="auto"/>
            </w:tcBorders>
          </w:tcPr>
          <w:p w14:paraId="6BAAF80B" w14:textId="77777777" w:rsidR="00861557" w:rsidRPr="00296D0C" w:rsidRDefault="00861557" w:rsidP="0077247E">
            <w:pPr>
              <w:spacing w:before="40" w:after="40"/>
              <w:rPr>
                <w:rFonts w:cs="Arial"/>
              </w:rPr>
            </w:pPr>
            <w:r w:rsidRPr="00296D0C">
              <w:rPr>
                <w:rFonts w:cs="Arial"/>
              </w:rPr>
              <w:t>3</w:t>
            </w:r>
          </w:p>
        </w:tc>
        <w:tc>
          <w:tcPr>
            <w:tcW w:w="2410" w:type="dxa"/>
            <w:tcBorders>
              <w:top w:val="nil"/>
              <w:bottom w:val="single" w:sz="12" w:space="0" w:color="auto"/>
            </w:tcBorders>
          </w:tcPr>
          <w:p w14:paraId="18FABD9A" w14:textId="77777777" w:rsidR="00861557" w:rsidRPr="00296D0C" w:rsidRDefault="00861557" w:rsidP="0077247E">
            <w:pPr>
              <w:spacing w:before="40" w:after="40"/>
              <w:rPr>
                <w:rFonts w:cs="Arial"/>
              </w:rPr>
            </w:pPr>
            <w:r w:rsidRPr="00296D0C">
              <w:rPr>
                <w:rFonts w:cs="Arial"/>
              </w:rPr>
              <w:t>Parents’ Forum</w:t>
            </w:r>
          </w:p>
        </w:tc>
        <w:tc>
          <w:tcPr>
            <w:tcW w:w="2764" w:type="dxa"/>
            <w:tcBorders>
              <w:top w:val="nil"/>
              <w:bottom w:val="single" w:sz="12" w:space="0" w:color="auto"/>
              <w:right w:val="nil"/>
            </w:tcBorders>
          </w:tcPr>
          <w:p w14:paraId="66487D4F" w14:textId="77777777" w:rsidR="00861557" w:rsidRPr="00296D0C" w:rsidRDefault="00861557" w:rsidP="0077247E">
            <w:pPr>
              <w:spacing w:before="40" w:after="40"/>
              <w:rPr>
                <w:rFonts w:cs="Arial"/>
              </w:rPr>
            </w:pPr>
            <w:r w:rsidRPr="00296D0C">
              <w:rPr>
                <w:rFonts w:cs="Arial"/>
              </w:rPr>
              <w:t>School</w:t>
            </w:r>
          </w:p>
        </w:tc>
        <w:tc>
          <w:tcPr>
            <w:tcW w:w="2764" w:type="dxa"/>
            <w:tcBorders>
              <w:top w:val="nil"/>
              <w:bottom w:val="single" w:sz="12" w:space="0" w:color="auto"/>
              <w:right w:val="nil"/>
            </w:tcBorders>
          </w:tcPr>
          <w:p w14:paraId="05FC1AAB" w14:textId="77777777" w:rsidR="00861557" w:rsidRPr="00296D0C" w:rsidRDefault="00861557" w:rsidP="0077247E">
            <w:pPr>
              <w:spacing w:before="40" w:after="40"/>
              <w:rPr>
                <w:rFonts w:cs="Arial"/>
              </w:rPr>
            </w:pPr>
            <w:r w:rsidRPr="00296D0C">
              <w:rPr>
                <w:rFonts w:cs="Arial"/>
              </w:rPr>
              <w:t>Y</w:t>
            </w:r>
          </w:p>
        </w:tc>
      </w:tr>
      <w:tr w:rsidR="00861557" w:rsidRPr="00296D0C" w14:paraId="091AE90B" w14:textId="77777777" w:rsidTr="0077247E">
        <w:trPr>
          <w:trHeight w:val="323"/>
        </w:trPr>
        <w:tc>
          <w:tcPr>
            <w:tcW w:w="1242" w:type="dxa"/>
            <w:tcBorders>
              <w:top w:val="single" w:sz="12" w:space="0" w:color="auto"/>
              <w:left w:val="nil"/>
              <w:bottom w:val="nil"/>
            </w:tcBorders>
          </w:tcPr>
          <w:p w14:paraId="5DB5B095" w14:textId="77777777" w:rsidR="00861557" w:rsidRPr="00296D0C" w:rsidRDefault="00861557" w:rsidP="0077247E">
            <w:pPr>
              <w:spacing w:before="40" w:after="40"/>
              <w:rPr>
                <w:rFonts w:cs="Arial"/>
              </w:rPr>
            </w:pPr>
            <w:r w:rsidRPr="00296D0C">
              <w:rPr>
                <w:rFonts w:cs="Arial"/>
              </w:rPr>
              <w:t>4</w:t>
            </w:r>
          </w:p>
        </w:tc>
        <w:tc>
          <w:tcPr>
            <w:tcW w:w="2410" w:type="dxa"/>
            <w:tcBorders>
              <w:top w:val="single" w:sz="12" w:space="0" w:color="auto"/>
              <w:bottom w:val="nil"/>
            </w:tcBorders>
          </w:tcPr>
          <w:p w14:paraId="1E443E57" w14:textId="77777777" w:rsidR="00861557" w:rsidRPr="00296D0C" w:rsidRDefault="00861557" w:rsidP="0077247E">
            <w:pPr>
              <w:spacing w:before="40" w:after="40"/>
              <w:rPr>
                <w:rFonts w:cs="Arial"/>
              </w:rPr>
            </w:pPr>
            <w:r w:rsidRPr="00296D0C">
              <w:rPr>
                <w:rFonts w:cs="Arial"/>
              </w:rPr>
              <w:t>1 x Drama Workshop</w:t>
            </w:r>
          </w:p>
        </w:tc>
        <w:tc>
          <w:tcPr>
            <w:tcW w:w="2764" w:type="dxa"/>
            <w:tcBorders>
              <w:top w:val="single" w:sz="12" w:space="0" w:color="auto"/>
              <w:bottom w:val="nil"/>
              <w:right w:val="nil"/>
            </w:tcBorders>
          </w:tcPr>
          <w:p w14:paraId="3B184CE6" w14:textId="77777777" w:rsidR="00861557" w:rsidRPr="00296D0C" w:rsidRDefault="00861557" w:rsidP="0077247E">
            <w:pPr>
              <w:spacing w:before="40" w:after="40"/>
              <w:rPr>
                <w:rFonts w:cs="Arial"/>
              </w:rPr>
            </w:pPr>
            <w:r w:rsidRPr="00296D0C">
              <w:rPr>
                <w:rFonts w:cs="Arial"/>
              </w:rPr>
              <w:t>Class</w:t>
            </w:r>
          </w:p>
        </w:tc>
        <w:tc>
          <w:tcPr>
            <w:tcW w:w="2764" w:type="dxa"/>
            <w:tcBorders>
              <w:top w:val="single" w:sz="12" w:space="0" w:color="auto"/>
              <w:bottom w:val="nil"/>
              <w:right w:val="nil"/>
            </w:tcBorders>
          </w:tcPr>
          <w:p w14:paraId="2E4ADD5C" w14:textId="77777777" w:rsidR="00861557" w:rsidRPr="00296D0C" w:rsidRDefault="00861557" w:rsidP="0077247E">
            <w:pPr>
              <w:spacing w:before="40" w:after="40"/>
              <w:rPr>
                <w:rFonts w:cs="Arial"/>
              </w:rPr>
            </w:pPr>
            <w:r w:rsidRPr="00296D0C">
              <w:rPr>
                <w:rFonts w:cs="Arial"/>
              </w:rPr>
              <w:t>Y</w:t>
            </w:r>
          </w:p>
        </w:tc>
      </w:tr>
      <w:tr w:rsidR="00861557" w:rsidRPr="00296D0C" w14:paraId="002985EE" w14:textId="77777777" w:rsidTr="0077247E">
        <w:trPr>
          <w:trHeight w:val="323"/>
        </w:trPr>
        <w:tc>
          <w:tcPr>
            <w:tcW w:w="1242" w:type="dxa"/>
            <w:tcBorders>
              <w:top w:val="nil"/>
              <w:left w:val="nil"/>
              <w:bottom w:val="nil"/>
            </w:tcBorders>
          </w:tcPr>
          <w:p w14:paraId="686AFD92" w14:textId="77777777" w:rsidR="00861557" w:rsidRPr="00296D0C" w:rsidRDefault="00861557" w:rsidP="0077247E">
            <w:pPr>
              <w:spacing w:before="40" w:after="40"/>
              <w:rPr>
                <w:rFonts w:cs="Arial"/>
              </w:rPr>
            </w:pPr>
            <w:r w:rsidRPr="00296D0C">
              <w:rPr>
                <w:rFonts w:cs="Arial"/>
              </w:rPr>
              <w:t>4</w:t>
            </w:r>
          </w:p>
        </w:tc>
        <w:tc>
          <w:tcPr>
            <w:tcW w:w="2410" w:type="dxa"/>
            <w:tcBorders>
              <w:top w:val="nil"/>
              <w:bottom w:val="nil"/>
            </w:tcBorders>
          </w:tcPr>
          <w:p w14:paraId="6B8EBB2E" w14:textId="77777777" w:rsidR="00861557" w:rsidRPr="00296D0C" w:rsidRDefault="00861557" w:rsidP="0077247E">
            <w:pPr>
              <w:spacing w:before="40" w:after="40"/>
              <w:rPr>
                <w:rFonts w:cs="Arial"/>
              </w:rPr>
            </w:pPr>
            <w:r w:rsidRPr="00296D0C">
              <w:rPr>
                <w:rFonts w:cs="Arial"/>
              </w:rPr>
              <w:t>1 x Class Assembly</w:t>
            </w:r>
          </w:p>
        </w:tc>
        <w:tc>
          <w:tcPr>
            <w:tcW w:w="2764" w:type="dxa"/>
            <w:tcBorders>
              <w:top w:val="nil"/>
              <w:bottom w:val="nil"/>
              <w:right w:val="nil"/>
            </w:tcBorders>
          </w:tcPr>
          <w:p w14:paraId="5DAFB830" w14:textId="77777777" w:rsidR="00861557" w:rsidRPr="00296D0C" w:rsidRDefault="00861557" w:rsidP="0077247E">
            <w:pPr>
              <w:spacing w:before="40" w:after="40"/>
              <w:rPr>
                <w:rFonts w:cs="Arial"/>
              </w:rPr>
            </w:pPr>
            <w:r w:rsidRPr="00296D0C">
              <w:rPr>
                <w:rFonts w:cs="Arial"/>
              </w:rPr>
              <w:t>Class</w:t>
            </w:r>
          </w:p>
        </w:tc>
        <w:tc>
          <w:tcPr>
            <w:tcW w:w="2764" w:type="dxa"/>
            <w:tcBorders>
              <w:top w:val="nil"/>
              <w:bottom w:val="nil"/>
              <w:right w:val="nil"/>
            </w:tcBorders>
          </w:tcPr>
          <w:p w14:paraId="3939F99B" w14:textId="77777777" w:rsidR="00861557" w:rsidRPr="00296D0C" w:rsidRDefault="00861557" w:rsidP="0077247E">
            <w:pPr>
              <w:spacing w:before="40" w:after="40"/>
              <w:rPr>
                <w:rFonts w:cs="Arial"/>
              </w:rPr>
            </w:pPr>
            <w:r w:rsidRPr="00296D0C">
              <w:rPr>
                <w:rFonts w:cs="Arial"/>
              </w:rPr>
              <w:t>Y</w:t>
            </w:r>
          </w:p>
        </w:tc>
      </w:tr>
      <w:tr w:rsidR="00861557" w:rsidRPr="00296D0C" w14:paraId="6DFE0336" w14:textId="77777777" w:rsidTr="0077247E">
        <w:trPr>
          <w:trHeight w:val="323"/>
        </w:trPr>
        <w:tc>
          <w:tcPr>
            <w:tcW w:w="1242" w:type="dxa"/>
            <w:tcBorders>
              <w:top w:val="nil"/>
              <w:left w:val="nil"/>
              <w:bottom w:val="nil"/>
            </w:tcBorders>
          </w:tcPr>
          <w:p w14:paraId="5403AE09" w14:textId="77777777" w:rsidR="00861557" w:rsidRPr="00296D0C" w:rsidRDefault="00861557" w:rsidP="0077247E">
            <w:pPr>
              <w:spacing w:before="40" w:after="40"/>
              <w:rPr>
                <w:rFonts w:cs="Arial"/>
              </w:rPr>
            </w:pPr>
            <w:r w:rsidRPr="00296D0C">
              <w:rPr>
                <w:rFonts w:cs="Arial"/>
              </w:rPr>
              <w:t>4</w:t>
            </w:r>
          </w:p>
        </w:tc>
        <w:tc>
          <w:tcPr>
            <w:tcW w:w="2410" w:type="dxa"/>
            <w:tcBorders>
              <w:top w:val="nil"/>
              <w:bottom w:val="nil"/>
            </w:tcBorders>
          </w:tcPr>
          <w:p w14:paraId="2C38806A" w14:textId="77777777" w:rsidR="00861557" w:rsidRPr="00296D0C" w:rsidRDefault="00861557" w:rsidP="0077247E">
            <w:pPr>
              <w:spacing w:before="40" w:after="40"/>
              <w:rPr>
                <w:rFonts w:cs="Arial"/>
              </w:rPr>
            </w:pPr>
            <w:r w:rsidRPr="00296D0C">
              <w:rPr>
                <w:rFonts w:cs="Arial"/>
              </w:rPr>
              <w:t>1 x PSHE Lesson</w:t>
            </w:r>
          </w:p>
        </w:tc>
        <w:tc>
          <w:tcPr>
            <w:tcW w:w="2764" w:type="dxa"/>
            <w:tcBorders>
              <w:top w:val="nil"/>
              <w:bottom w:val="nil"/>
              <w:right w:val="nil"/>
            </w:tcBorders>
          </w:tcPr>
          <w:p w14:paraId="0EA32F03" w14:textId="77777777" w:rsidR="00861557" w:rsidRPr="00296D0C" w:rsidRDefault="00861557" w:rsidP="0077247E">
            <w:pPr>
              <w:spacing w:before="40" w:after="40"/>
              <w:rPr>
                <w:rFonts w:cs="Arial"/>
              </w:rPr>
            </w:pPr>
            <w:r w:rsidRPr="00296D0C">
              <w:rPr>
                <w:rFonts w:cs="Arial"/>
              </w:rPr>
              <w:t>Class</w:t>
            </w:r>
          </w:p>
        </w:tc>
        <w:tc>
          <w:tcPr>
            <w:tcW w:w="2764" w:type="dxa"/>
            <w:tcBorders>
              <w:top w:val="nil"/>
              <w:bottom w:val="nil"/>
              <w:right w:val="nil"/>
            </w:tcBorders>
          </w:tcPr>
          <w:p w14:paraId="254F4B07" w14:textId="77777777" w:rsidR="00861557" w:rsidRPr="00296D0C" w:rsidRDefault="00861557" w:rsidP="0077247E">
            <w:pPr>
              <w:spacing w:before="40" w:after="40"/>
              <w:rPr>
                <w:rFonts w:cs="Arial"/>
              </w:rPr>
            </w:pPr>
            <w:r w:rsidRPr="00296D0C">
              <w:rPr>
                <w:rFonts w:cs="Arial"/>
              </w:rPr>
              <w:t>N</w:t>
            </w:r>
          </w:p>
        </w:tc>
      </w:tr>
      <w:tr w:rsidR="00861557" w:rsidRPr="00296D0C" w14:paraId="3025FBCD" w14:textId="77777777" w:rsidTr="0077247E">
        <w:trPr>
          <w:trHeight w:val="323"/>
        </w:trPr>
        <w:tc>
          <w:tcPr>
            <w:tcW w:w="1242" w:type="dxa"/>
            <w:tcBorders>
              <w:top w:val="nil"/>
              <w:left w:val="nil"/>
              <w:bottom w:val="single" w:sz="12" w:space="0" w:color="auto"/>
            </w:tcBorders>
          </w:tcPr>
          <w:p w14:paraId="44CE2D3F" w14:textId="77777777" w:rsidR="00861557" w:rsidRPr="00296D0C" w:rsidRDefault="00861557" w:rsidP="0077247E">
            <w:pPr>
              <w:spacing w:before="40" w:after="40"/>
              <w:rPr>
                <w:rFonts w:cs="Arial"/>
              </w:rPr>
            </w:pPr>
            <w:r w:rsidRPr="00296D0C">
              <w:rPr>
                <w:rFonts w:cs="Arial"/>
              </w:rPr>
              <w:t>4</w:t>
            </w:r>
          </w:p>
        </w:tc>
        <w:tc>
          <w:tcPr>
            <w:tcW w:w="2410" w:type="dxa"/>
            <w:tcBorders>
              <w:top w:val="nil"/>
              <w:bottom w:val="single" w:sz="12" w:space="0" w:color="auto"/>
            </w:tcBorders>
          </w:tcPr>
          <w:p w14:paraId="34AAA2D4" w14:textId="77777777" w:rsidR="00861557" w:rsidRPr="00296D0C" w:rsidRDefault="00861557" w:rsidP="0077247E">
            <w:pPr>
              <w:spacing w:before="40" w:after="40"/>
              <w:rPr>
                <w:rFonts w:cs="Arial"/>
              </w:rPr>
            </w:pPr>
            <w:r w:rsidRPr="00296D0C">
              <w:rPr>
                <w:rFonts w:cs="Arial"/>
              </w:rPr>
              <w:t>Goal Setting # 2</w:t>
            </w:r>
          </w:p>
        </w:tc>
        <w:tc>
          <w:tcPr>
            <w:tcW w:w="2764" w:type="dxa"/>
            <w:tcBorders>
              <w:top w:val="nil"/>
              <w:bottom w:val="single" w:sz="12" w:space="0" w:color="auto"/>
              <w:right w:val="nil"/>
            </w:tcBorders>
          </w:tcPr>
          <w:p w14:paraId="113569CC" w14:textId="77777777" w:rsidR="00861557" w:rsidRPr="00296D0C" w:rsidRDefault="00861557" w:rsidP="0077247E">
            <w:pPr>
              <w:spacing w:before="40" w:after="40"/>
              <w:rPr>
                <w:rFonts w:cs="Arial"/>
              </w:rPr>
            </w:pPr>
            <w:r w:rsidRPr="00296D0C">
              <w:rPr>
                <w:rFonts w:cs="Arial"/>
              </w:rPr>
              <w:t>Class</w:t>
            </w:r>
          </w:p>
        </w:tc>
        <w:tc>
          <w:tcPr>
            <w:tcW w:w="2764" w:type="dxa"/>
            <w:tcBorders>
              <w:top w:val="nil"/>
              <w:bottom w:val="single" w:sz="12" w:space="0" w:color="auto"/>
              <w:right w:val="nil"/>
            </w:tcBorders>
          </w:tcPr>
          <w:p w14:paraId="4928753A" w14:textId="77777777" w:rsidR="00861557" w:rsidRPr="00296D0C" w:rsidRDefault="00861557" w:rsidP="0077247E">
            <w:pPr>
              <w:spacing w:before="40" w:after="40"/>
              <w:rPr>
                <w:rFonts w:cs="Arial"/>
              </w:rPr>
            </w:pPr>
            <w:r w:rsidRPr="00296D0C">
              <w:rPr>
                <w:rFonts w:cs="Arial"/>
              </w:rPr>
              <w:t>N</w:t>
            </w:r>
          </w:p>
        </w:tc>
      </w:tr>
    </w:tbl>
    <w:p w14:paraId="3C39B71F" w14:textId="6C841A97" w:rsidR="00861557" w:rsidRPr="00296D0C" w:rsidRDefault="00861557" w:rsidP="00861557">
      <w:pPr>
        <w:spacing w:after="0" w:line="240" w:lineRule="auto"/>
        <w:rPr>
          <w:rFonts w:cs="Arial"/>
        </w:rPr>
      </w:pPr>
      <w:r w:rsidRPr="00296D0C">
        <w:rPr>
          <w:rFonts w:cs="Arial"/>
        </w:rPr>
        <w:t xml:space="preserve">Key: N = No; </w:t>
      </w:r>
      <w:r w:rsidR="004E08D5" w:rsidRPr="00296D0C">
        <w:rPr>
          <w:rFonts w:cs="Arial"/>
        </w:rPr>
        <w:t>Y</w:t>
      </w:r>
      <w:r w:rsidR="00C22C0F" w:rsidRPr="00296D0C">
        <w:rPr>
          <w:rFonts w:cs="Arial"/>
        </w:rPr>
        <w:t xml:space="preserve"> </w:t>
      </w:r>
      <w:r w:rsidR="004E08D5" w:rsidRPr="00296D0C">
        <w:rPr>
          <w:rFonts w:cs="Arial"/>
        </w:rPr>
        <w:t>=</w:t>
      </w:r>
      <w:r w:rsidR="00C22C0F" w:rsidRPr="00296D0C">
        <w:rPr>
          <w:rFonts w:cs="Arial"/>
        </w:rPr>
        <w:t xml:space="preserve"> </w:t>
      </w:r>
      <w:r w:rsidR="004E08D5" w:rsidRPr="00296D0C">
        <w:rPr>
          <w:rFonts w:cs="Arial"/>
        </w:rPr>
        <w:t xml:space="preserve">Yes; </w:t>
      </w:r>
      <w:r w:rsidRPr="00296D0C">
        <w:rPr>
          <w:rFonts w:cs="Arial"/>
        </w:rPr>
        <w:t>PSHE = Personal</w:t>
      </w:r>
      <w:r w:rsidR="004E08D5" w:rsidRPr="00296D0C">
        <w:rPr>
          <w:rFonts w:cs="Arial"/>
        </w:rPr>
        <w:t>, Social, and Health Education</w:t>
      </w:r>
    </w:p>
    <w:p w14:paraId="0D32FD53" w14:textId="77777777" w:rsidR="00861557" w:rsidRPr="00296D0C" w:rsidRDefault="00861557" w:rsidP="00861557">
      <w:pPr>
        <w:pStyle w:val="Caption"/>
        <w:rPr>
          <w:rFonts w:cs="Arial"/>
          <w:b/>
          <w:sz w:val="22"/>
          <w:szCs w:val="22"/>
        </w:rPr>
      </w:pPr>
    </w:p>
    <w:p w14:paraId="782D238E" w14:textId="77777777" w:rsidR="00861557" w:rsidRPr="00296D0C" w:rsidRDefault="00861557" w:rsidP="00861557">
      <w:pPr>
        <w:rPr>
          <w:rFonts w:cs="Arial"/>
          <w:b/>
        </w:rPr>
      </w:pPr>
      <w:r w:rsidRPr="00296D0C">
        <w:rPr>
          <w:rFonts w:cs="Arial"/>
        </w:rPr>
        <w:br w:type="page"/>
      </w:r>
    </w:p>
    <w:p w14:paraId="76B9E695" w14:textId="1BDE4E66" w:rsidR="00861557" w:rsidRPr="00296D0C" w:rsidRDefault="00861557" w:rsidP="00861557">
      <w:pPr>
        <w:pStyle w:val="Caption"/>
        <w:rPr>
          <w:rFonts w:cs="Arial"/>
          <w:b/>
          <w:i w:val="0"/>
          <w:color w:val="auto"/>
          <w:sz w:val="22"/>
          <w:szCs w:val="22"/>
        </w:rPr>
      </w:pPr>
      <w:r w:rsidRPr="00296D0C">
        <w:rPr>
          <w:rFonts w:cs="Arial"/>
          <w:b/>
          <w:i w:val="0"/>
          <w:color w:val="auto"/>
          <w:sz w:val="22"/>
          <w:szCs w:val="22"/>
        </w:rPr>
        <w:lastRenderedPageBreak/>
        <w:t>T</w:t>
      </w:r>
      <w:r w:rsidR="005911C1" w:rsidRPr="00296D0C">
        <w:rPr>
          <w:rFonts w:cs="Arial"/>
          <w:b/>
          <w:i w:val="0"/>
          <w:color w:val="auto"/>
          <w:sz w:val="22"/>
          <w:szCs w:val="22"/>
        </w:rPr>
        <w:t>ABLE</w:t>
      </w:r>
      <w:r w:rsidRPr="00296D0C">
        <w:rPr>
          <w:rFonts w:cs="Arial"/>
          <w:b/>
          <w:i w:val="0"/>
          <w:color w:val="auto"/>
          <w:sz w:val="22"/>
          <w:szCs w:val="22"/>
        </w:rPr>
        <w:t xml:space="preserve"> </w:t>
      </w:r>
      <w:bookmarkEnd w:id="458"/>
      <w:r w:rsidR="00776432" w:rsidRPr="00296D0C">
        <w:rPr>
          <w:rFonts w:cs="Arial"/>
          <w:b/>
          <w:i w:val="0"/>
          <w:color w:val="auto"/>
          <w:sz w:val="22"/>
          <w:szCs w:val="22"/>
        </w:rPr>
        <w:t>1</w:t>
      </w:r>
      <w:r w:rsidR="00472BD5">
        <w:rPr>
          <w:rFonts w:cs="Arial"/>
          <w:b/>
          <w:i w:val="0"/>
          <w:color w:val="auto"/>
          <w:sz w:val="22"/>
          <w:szCs w:val="22"/>
        </w:rPr>
        <w:t>7</w:t>
      </w:r>
      <w:r w:rsidRPr="00296D0C">
        <w:rPr>
          <w:rFonts w:cs="Arial"/>
          <w:b/>
          <w:i w:val="0"/>
          <w:color w:val="auto"/>
          <w:sz w:val="22"/>
          <w:szCs w:val="22"/>
        </w:rPr>
        <w:t xml:space="preserve"> Unit costs used to estimate cost for delivery of HeLP intervention</w:t>
      </w:r>
      <w:bookmarkEnd w:id="459"/>
    </w:p>
    <w:tbl>
      <w:tblPr>
        <w:tblW w:w="5000" w:type="pct"/>
        <w:tblLayout w:type="fixed"/>
        <w:tblLook w:val="04A0" w:firstRow="1" w:lastRow="0" w:firstColumn="1" w:lastColumn="0" w:noHBand="0" w:noVBand="1"/>
      </w:tblPr>
      <w:tblGrid>
        <w:gridCol w:w="1778"/>
        <w:gridCol w:w="1235"/>
        <w:gridCol w:w="6013"/>
      </w:tblGrid>
      <w:tr w:rsidR="00861557" w:rsidRPr="00296D0C" w14:paraId="003B1370" w14:textId="77777777" w:rsidTr="003723AE">
        <w:trPr>
          <w:trHeight w:val="228"/>
          <w:tblHeader/>
        </w:trPr>
        <w:tc>
          <w:tcPr>
            <w:tcW w:w="985" w:type="pct"/>
            <w:tcBorders>
              <w:top w:val="single" w:sz="8" w:space="0" w:color="auto"/>
              <w:bottom w:val="single" w:sz="8" w:space="0" w:color="auto"/>
              <w:right w:val="nil"/>
            </w:tcBorders>
            <w:shd w:val="clear" w:color="auto" w:fill="auto"/>
            <w:noWrap/>
            <w:hideMark/>
          </w:tcPr>
          <w:p w14:paraId="54CFE6D3" w14:textId="77777777" w:rsidR="00861557" w:rsidRPr="00296D0C" w:rsidRDefault="00861557" w:rsidP="0077247E">
            <w:pPr>
              <w:spacing w:after="0" w:line="240" w:lineRule="auto"/>
              <w:rPr>
                <w:rFonts w:cs="Arial"/>
                <w:bCs/>
                <w:color w:val="000000"/>
              </w:rPr>
            </w:pPr>
            <w:r w:rsidRPr="00296D0C">
              <w:rPr>
                <w:rFonts w:cs="Arial"/>
                <w:bCs/>
                <w:color w:val="000000"/>
              </w:rPr>
              <w:t>Resource</w:t>
            </w:r>
          </w:p>
        </w:tc>
        <w:tc>
          <w:tcPr>
            <w:tcW w:w="684" w:type="pct"/>
            <w:tcBorders>
              <w:top w:val="single" w:sz="8" w:space="0" w:color="auto"/>
              <w:left w:val="nil"/>
              <w:bottom w:val="single" w:sz="8" w:space="0" w:color="auto"/>
              <w:right w:val="nil"/>
            </w:tcBorders>
            <w:shd w:val="clear" w:color="auto" w:fill="auto"/>
            <w:hideMark/>
          </w:tcPr>
          <w:p w14:paraId="4614B3EC" w14:textId="0F844972" w:rsidR="00861557" w:rsidRPr="00296D0C" w:rsidRDefault="003723AE" w:rsidP="00EC3D0A">
            <w:pPr>
              <w:spacing w:after="0" w:line="240" w:lineRule="auto"/>
              <w:rPr>
                <w:rFonts w:cs="Arial"/>
                <w:bCs/>
                <w:color w:val="000000"/>
              </w:rPr>
            </w:pPr>
            <w:r w:rsidRPr="00296D0C">
              <w:rPr>
                <w:rFonts w:cs="Arial"/>
                <w:bCs/>
                <w:color w:val="000000"/>
              </w:rPr>
              <w:t xml:space="preserve"> </w:t>
            </w:r>
            <w:r w:rsidR="00861557" w:rsidRPr="00296D0C">
              <w:rPr>
                <w:rFonts w:cs="Arial"/>
                <w:bCs/>
                <w:color w:val="000000"/>
              </w:rPr>
              <w:t xml:space="preserve">Unit cost </w:t>
            </w:r>
            <w:r w:rsidR="00EC3D0A" w:rsidRPr="00296D0C">
              <w:rPr>
                <w:rFonts w:cs="Arial"/>
                <w:bCs/>
                <w:color w:val="000000"/>
              </w:rPr>
              <w:t>£</w:t>
            </w:r>
          </w:p>
        </w:tc>
        <w:tc>
          <w:tcPr>
            <w:tcW w:w="3331" w:type="pct"/>
            <w:tcBorders>
              <w:top w:val="single" w:sz="8" w:space="0" w:color="auto"/>
              <w:left w:val="nil"/>
              <w:bottom w:val="single" w:sz="8" w:space="0" w:color="auto"/>
            </w:tcBorders>
            <w:shd w:val="clear" w:color="auto" w:fill="auto"/>
            <w:noWrap/>
            <w:hideMark/>
          </w:tcPr>
          <w:p w14:paraId="23474552" w14:textId="77777777" w:rsidR="00861557" w:rsidRPr="00296D0C" w:rsidRDefault="00861557" w:rsidP="0077247E">
            <w:pPr>
              <w:spacing w:after="0" w:line="240" w:lineRule="auto"/>
              <w:rPr>
                <w:rFonts w:cs="Arial"/>
                <w:bCs/>
                <w:color w:val="000000"/>
              </w:rPr>
            </w:pPr>
            <w:r w:rsidRPr="00296D0C">
              <w:rPr>
                <w:rFonts w:cs="Arial"/>
                <w:bCs/>
                <w:color w:val="000000"/>
              </w:rPr>
              <w:t>Source</w:t>
            </w:r>
          </w:p>
        </w:tc>
      </w:tr>
      <w:tr w:rsidR="00861557" w:rsidRPr="00296D0C" w14:paraId="21198D83" w14:textId="77777777" w:rsidTr="003723AE">
        <w:trPr>
          <w:trHeight w:val="687"/>
        </w:trPr>
        <w:tc>
          <w:tcPr>
            <w:tcW w:w="985" w:type="pct"/>
            <w:tcBorders>
              <w:top w:val="single" w:sz="4" w:space="0" w:color="auto"/>
              <w:bottom w:val="single" w:sz="4" w:space="0" w:color="auto"/>
              <w:right w:val="nil"/>
            </w:tcBorders>
            <w:shd w:val="clear" w:color="auto" w:fill="auto"/>
            <w:noWrap/>
            <w:hideMark/>
          </w:tcPr>
          <w:p w14:paraId="75656F73" w14:textId="77777777" w:rsidR="00861557" w:rsidRPr="00296D0C" w:rsidRDefault="00861557" w:rsidP="0077247E">
            <w:pPr>
              <w:spacing w:after="0" w:line="240" w:lineRule="auto"/>
              <w:rPr>
                <w:rFonts w:cs="Arial"/>
                <w:color w:val="000000"/>
              </w:rPr>
            </w:pPr>
            <w:r w:rsidRPr="00296D0C">
              <w:rPr>
                <w:rFonts w:cs="Arial"/>
                <w:color w:val="000000"/>
              </w:rPr>
              <w:t>HeLP Coordinator</w:t>
            </w:r>
          </w:p>
        </w:tc>
        <w:tc>
          <w:tcPr>
            <w:tcW w:w="684" w:type="pct"/>
            <w:tcBorders>
              <w:top w:val="single" w:sz="4" w:space="0" w:color="auto"/>
              <w:left w:val="nil"/>
              <w:bottom w:val="single" w:sz="4" w:space="0" w:color="auto"/>
              <w:right w:val="nil"/>
            </w:tcBorders>
            <w:shd w:val="clear" w:color="auto" w:fill="auto"/>
            <w:noWrap/>
            <w:hideMark/>
          </w:tcPr>
          <w:p w14:paraId="4F717EB9" w14:textId="77777777" w:rsidR="00861557" w:rsidRPr="00296D0C" w:rsidRDefault="00861557" w:rsidP="0077247E">
            <w:pPr>
              <w:spacing w:after="0" w:line="240" w:lineRule="auto"/>
              <w:jc w:val="right"/>
              <w:rPr>
                <w:rFonts w:cs="Arial"/>
                <w:color w:val="000000"/>
              </w:rPr>
            </w:pPr>
            <w:r w:rsidRPr="00296D0C">
              <w:rPr>
                <w:rFonts w:cs="Arial"/>
                <w:color w:val="000000"/>
              </w:rPr>
              <w:t>41.29</w:t>
            </w:r>
          </w:p>
        </w:tc>
        <w:tc>
          <w:tcPr>
            <w:tcW w:w="3331" w:type="pct"/>
            <w:tcBorders>
              <w:top w:val="single" w:sz="4" w:space="0" w:color="auto"/>
              <w:left w:val="nil"/>
              <w:bottom w:val="single" w:sz="4" w:space="0" w:color="auto"/>
            </w:tcBorders>
            <w:shd w:val="clear" w:color="auto" w:fill="auto"/>
            <w:hideMark/>
          </w:tcPr>
          <w:p w14:paraId="294A43D8" w14:textId="41C4DE97" w:rsidR="00861557" w:rsidRPr="00296D0C" w:rsidRDefault="00861557" w:rsidP="00EC3D0A">
            <w:pPr>
              <w:spacing w:after="0" w:line="240" w:lineRule="auto"/>
              <w:rPr>
                <w:rFonts w:cs="Arial"/>
                <w:color w:val="000000"/>
              </w:rPr>
            </w:pPr>
            <w:r w:rsidRPr="00296D0C">
              <w:rPr>
                <w:rFonts w:cs="Arial"/>
                <w:color w:val="000000"/>
              </w:rPr>
              <w:t>Salary based on median FTE Band 6 (£31,914) Agenda for Change Health Staff 2015, working 37.5 hours week/41.7 weeks per annum</w:t>
            </w:r>
            <w:r w:rsidR="00EC3D0A" w:rsidRPr="00296D0C">
              <w:rPr>
                <w:rFonts w:cs="Arial"/>
                <w:color w:val="000000"/>
              </w:rPr>
              <w:t>.</w:t>
            </w:r>
            <w:r w:rsidR="00EC3D0A" w:rsidRPr="00296D0C">
              <w:rPr>
                <w:rFonts w:cs="Arial"/>
                <w:color w:val="000000"/>
                <w:vertAlign w:val="superscript"/>
              </w:rPr>
              <w:t>a</w:t>
            </w:r>
          </w:p>
        </w:tc>
      </w:tr>
      <w:tr w:rsidR="00861557" w:rsidRPr="00296D0C" w14:paraId="62A5C947" w14:textId="77777777" w:rsidTr="003723AE">
        <w:trPr>
          <w:trHeight w:val="834"/>
        </w:trPr>
        <w:tc>
          <w:tcPr>
            <w:tcW w:w="985" w:type="pct"/>
            <w:tcBorders>
              <w:top w:val="nil"/>
              <w:bottom w:val="single" w:sz="4" w:space="0" w:color="auto"/>
              <w:right w:val="nil"/>
            </w:tcBorders>
            <w:shd w:val="clear" w:color="auto" w:fill="auto"/>
            <w:noWrap/>
            <w:hideMark/>
          </w:tcPr>
          <w:p w14:paraId="6C569E79" w14:textId="29FF235A" w:rsidR="00861557" w:rsidRPr="00296D0C" w:rsidRDefault="00861557" w:rsidP="003723AE">
            <w:pPr>
              <w:spacing w:after="0" w:line="240" w:lineRule="auto"/>
              <w:rPr>
                <w:rFonts w:cs="Arial"/>
                <w:color w:val="000000"/>
              </w:rPr>
            </w:pPr>
            <w:r w:rsidRPr="00296D0C">
              <w:rPr>
                <w:rFonts w:cs="Arial"/>
                <w:color w:val="000000"/>
              </w:rPr>
              <w:t xml:space="preserve">Drama </w:t>
            </w:r>
            <w:r w:rsidR="003723AE" w:rsidRPr="00296D0C">
              <w:rPr>
                <w:rFonts w:cs="Arial"/>
                <w:color w:val="000000"/>
              </w:rPr>
              <w:t>F</w:t>
            </w:r>
            <w:r w:rsidRPr="00296D0C">
              <w:rPr>
                <w:rFonts w:cs="Arial"/>
                <w:color w:val="000000"/>
              </w:rPr>
              <w:t>acilitator / HeLP Coordinator</w:t>
            </w:r>
          </w:p>
        </w:tc>
        <w:tc>
          <w:tcPr>
            <w:tcW w:w="684" w:type="pct"/>
            <w:tcBorders>
              <w:top w:val="single" w:sz="4" w:space="0" w:color="auto"/>
              <w:left w:val="nil"/>
              <w:bottom w:val="single" w:sz="4" w:space="0" w:color="auto"/>
              <w:right w:val="nil"/>
            </w:tcBorders>
            <w:shd w:val="clear" w:color="auto" w:fill="auto"/>
            <w:noWrap/>
            <w:hideMark/>
          </w:tcPr>
          <w:p w14:paraId="520A7786" w14:textId="77777777" w:rsidR="00861557" w:rsidRPr="00296D0C" w:rsidRDefault="00861557" w:rsidP="0077247E">
            <w:pPr>
              <w:spacing w:after="0" w:line="240" w:lineRule="auto"/>
              <w:jc w:val="right"/>
              <w:rPr>
                <w:rFonts w:cs="Arial"/>
                <w:color w:val="000000"/>
              </w:rPr>
            </w:pPr>
            <w:r w:rsidRPr="00296D0C">
              <w:rPr>
                <w:rFonts w:cs="Arial"/>
                <w:color w:val="000000"/>
              </w:rPr>
              <w:t>41.29</w:t>
            </w:r>
          </w:p>
        </w:tc>
        <w:tc>
          <w:tcPr>
            <w:tcW w:w="3331" w:type="pct"/>
            <w:tcBorders>
              <w:top w:val="single" w:sz="4" w:space="0" w:color="auto"/>
              <w:left w:val="nil"/>
              <w:bottom w:val="single" w:sz="4" w:space="0" w:color="auto"/>
            </w:tcBorders>
            <w:shd w:val="clear" w:color="auto" w:fill="auto"/>
            <w:hideMark/>
          </w:tcPr>
          <w:p w14:paraId="4929C635" w14:textId="505A1E06" w:rsidR="00861557" w:rsidRPr="00296D0C" w:rsidRDefault="00861557" w:rsidP="00EC3D0A">
            <w:pPr>
              <w:spacing w:after="0" w:line="240" w:lineRule="auto"/>
              <w:rPr>
                <w:rFonts w:cs="Arial"/>
                <w:color w:val="000000"/>
              </w:rPr>
            </w:pPr>
            <w:r w:rsidRPr="00296D0C">
              <w:rPr>
                <w:rFonts w:cs="Arial"/>
                <w:color w:val="000000"/>
              </w:rPr>
              <w:t>Salary based on median FTE Band 6 (£31,943) Agenda for Change Health Staff 2014, working 37.5 hours week/42 weeks per annum</w:t>
            </w:r>
            <w:r w:rsidR="00EC3D0A" w:rsidRPr="00296D0C">
              <w:rPr>
                <w:rFonts w:cs="Arial"/>
                <w:color w:val="000000"/>
              </w:rPr>
              <w:t>.</w:t>
            </w:r>
            <w:r w:rsidR="00EC3D0A" w:rsidRPr="00296D0C">
              <w:rPr>
                <w:rFonts w:cs="Arial"/>
                <w:color w:val="000000"/>
                <w:vertAlign w:val="superscript"/>
              </w:rPr>
              <w:t>a</w:t>
            </w:r>
          </w:p>
        </w:tc>
      </w:tr>
      <w:tr w:rsidR="00861557" w:rsidRPr="00296D0C" w14:paraId="5DCECAFE" w14:textId="77777777" w:rsidTr="003723AE">
        <w:trPr>
          <w:trHeight w:val="1631"/>
        </w:trPr>
        <w:tc>
          <w:tcPr>
            <w:tcW w:w="985" w:type="pct"/>
            <w:tcBorders>
              <w:top w:val="nil"/>
              <w:right w:val="nil"/>
            </w:tcBorders>
            <w:shd w:val="clear" w:color="auto" w:fill="auto"/>
            <w:noWrap/>
          </w:tcPr>
          <w:p w14:paraId="0D278376" w14:textId="4289FAC9" w:rsidR="00861557" w:rsidRPr="00296D0C" w:rsidRDefault="00861557" w:rsidP="0077247E">
            <w:pPr>
              <w:spacing w:after="0" w:line="240" w:lineRule="auto"/>
              <w:rPr>
                <w:rFonts w:cs="Arial"/>
                <w:color w:val="000000"/>
              </w:rPr>
            </w:pPr>
            <w:r w:rsidRPr="00296D0C">
              <w:rPr>
                <w:rFonts w:cs="Arial"/>
                <w:color w:val="000000"/>
              </w:rPr>
              <w:t xml:space="preserve">Actors </w:t>
            </w:r>
            <w:r w:rsidR="00EC3D0A" w:rsidRPr="00296D0C">
              <w:rPr>
                <w:rFonts w:cs="Arial"/>
                <w:color w:val="000000"/>
                <w:vertAlign w:val="superscript"/>
              </w:rPr>
              <w:t>b</w:t>
            </w:r>
          </w:p>
        </w:tc>
        <w:tc>
          <w:tcPr>
            <w:tcW w:w="684" w:type="pct"/>
            <w:tcBorders>
              <w:top w:val="single" w:sz="4" w:space="0" w:color="auto"/>
              <w:left w:val="nil"/>
              <w:bottom w:val="single" w:sz="4" w:space="0" w:color="auto"/>
              <w:right w:val="nil"/>
            </w:tcBorders>
            <w:shd w:val="clear" w:color="auto" w:fill="auto"/>
            <w:noWrap/>
          </w:tcPr>
          <w:p w14:paraId="3FEAF11A" w14:textId="77777777" w:rsidR="00861557" w:rsidRPr="00296D0C" w:rsidRDefault="00861557" w:rsidP="0077247E">
            <w:pPr>
              <w:spacing w:after="0" w:line="240" w:lineRule="auto"/>
              <w:jc w:val="right"/>
              <w:rPr>
                <w:rFonts w:cs="Arial"/>
                <w:color w:val="000000"/>
              </w:rPr>
            </w:pPr>
            <w:r w:rsidRPr="00296D0C">
              <w:rPr>
                <w:rFonts w:cs="Arial"/>
                <w:color w:val="000000"/>
              </w:rPr>
              <w:t>11.20</w:t>
            </w:r>
          </w:p>
        </w:tc>
        <w:tc>
          <w:tcPr>
            <w:tcW w:w="3331" w:type="pct"/>
            <w:tcBorders>
              <w:top w:val="single" w:sz="4" w:space="0" w:color="auto"/>
              <w:left w:val="nil"/>
              <w:bottom w:val="single" w:sz="4" w:space="0" w:color="auto"/>
            </w:tcBorders>
            <w:shd w:val="clear" w:color="auto" w:fill="auto"/>
          </w:tcPr>
          <w:p w14:paraId="333044DE" w14:textId="77777777" w:rsidR="00861557" w:rsidRPr="00296D0C" w:rsidRDefault="00861557" w:rsidP="0077247E">
            <w:pPr>
              <w:spacing w:after="0" w:line="240" w:lineRule="auto"/>
              <w:rPr>
                <w:rFonts w:cs="Arial"/>
                <w:color w:val="000000"/>
              </w:rPr>
            </w:pPr>
            <w:r w:rsidRPr="00296D0C">
              <w:rPr>
                <w:rFonts w:cs="Arial"/>
                <w:color w:val="000000"/>
              </w:rPr>
              <w:t xml:space="preserve">Salary based on median FTE Band 4 (£13,798) Agenda for Change Health Staff 2014, working 37 hours week/41.9 weeks per annum. </w:t>
            </w:r>
            <w:r w:rsidRPr="00296D0C">
              <w:rPr>
                <w:rFonts w:cs="Arial"/>
                <w:color w:val="000000"/>
              </w:rPr>
              <w:br/>
            </w:r>
            <w:r w:rsidRPr="00296D0C">
              <w:rPr>
                <w:rFonts w:cs="Arial"/>
                <w:color w:val="000000"/>
              </w:rPr>
              <w:br/>
              <w:t>Calculation of unit cost per hour based on cost structure</w:t>
            </w:r>
            <w:r w:rsidRPr="00296D0C">
              <w:rPr>
                <w:rFonts w:cs="Arial"/>
                <w:color w:val="000000"/>
              </w:rPr>
              <w:br/>
              <w:t>reported in Curtis (2015) - (excludes overheads); e.g. Sections 11.6 (p192).</w:t>
            </w:r>
          </w:p>
        </w:tc>
      </w:tr>
      <w:tr w:rsidR="00861557" w:rsidRPr="00296D0C" w14:paraId="1E6C7C16" w14:textId="77777777" w:rsidTr="003723AE">
        <w:trPr>
          <w:trHeight w:val="1800"/>
        </w:trPr>
        <w:tc>
          <w:tcPr>
            <w:tcW w:w="985" w:type="pct"/>
            <w:tcBorders>
              <w:top w:val="nil"/>
              <w:right w:val="nil"/>
            </w:tcBorders>
            <w:shd w:val="clear" w:color="auto" w:fill="auto"/>
            <w:noWrap/>
            <w:hideMark/>
          </w:tcPr>
          <w:p w14:paraId="614E6403" w14:textId="77777777" w:rsidR="00861557" w:rsidRPr="00296D0C" w:rsidRDefault="00861557" w:rsidP="0077247E">
            <w:pPr>
              <w:spacing w:after="0" w:line="240" w:lineRule="auto"/>
              <w:rPr>
                <w:rFonts w:cs="Arial"/>
                <w:color w:val="000000"/>
              </w:rPr>
            </w:pPr>
            <w:r w:rsidRPr="00296D0C">
              <w:rPr>
                <w:rFonts w:cs="Arial"/>
                <w:color w:val="000000"/>
              </w:rPr>
              <w:t>Actors</w:t>
            </w:r>
          </w:p>
          <w:p w14:paraId="175FBCF4" w14:textId="77777777" w:rsidR="00861557" w:rsidRPr="00296D0C" w:rsidRDefault="00861557" w:rsidP="0077247E">
            <w:pPr>
              <w:spacing w:after="0" w:line="240" w:lineRule="auto"/>
              <w:rPr>
                <w:rFonts w:cs="Arial"/>
                <w:i/>
                <w:color w:val="000000"/>
              </w:rPr>
            </w:pPr>
            <w:r w:rsidRPr="00296D0C">
              <w:rPr>
                <w:rFonts w:cs="Arial"/>
                <w:i/>
                <w:color w:val="000000"/>
              </w:rPr>
              <w:t>(sensitivity analysis)</w:t>
            </w:r>
          </w:p>
        </w:tc>
        <w:tc>
          <w:tcPr>
            <w:tcW w:w="684" w:type="pct"/>
            <w:tcBorders>
              <w:top w:val="single" w:sz="4" w:space="0" w:color="auto"/>
              <w:left w:val="nil"/>
              <w:bottom w:val="single" w:sz="4" w:space="0" w:color="auto"/>
              <w:right w:val="nil"/>
            </w:tcBorders>
            <w:shd w:val="clear" w:color="auto" w:fill="auto"/>
            <w:noWrap/>
            <w:hideMark/>
          </w:tcPr>
          <w:p w14:paraId="4EE0ABC4" w14:textId="77777777" w:rsidR="00861557" w:rsidRPr="00296D0C" w:rsidRDefault="00861557" w:rsidP="0077247E">
            <w:pPr>
              <w:spacing w:after="0" w:line="240" w:lineRule="auto"/>
              <w:jc w:val="right"/>
              <w:rPr>
                <w:rFonts w:cs="Arial"/>
                <w:color w:val="000000"/>
              </w:rPr>
            </w:pPr>
            <w:r w:rsidRPr="00296D0C">
              <w:rPr>
                <w:rFonts w:cs="Arial"/>
                <w:color w:val="000000"/>
              </w:rPr>
              <w:t>25.34</w:t>
            </w:r>
          </w:p>
        </w:tc>
        <w:tc>
          <w:tcPr>
            <w:tcW w:w="3331" w:type="pct"/>
            <w:tcBorders>
              <w:top w:val="single" w:sz="4" w:space="0" w:color="auto"/>
              <w:left w:val="nil"/>
              <w:bottom w:val="single" w:sz="4" w:space="0" w:color="auto"/>
            </w:tcBorders>
            <w:shd w:val="clear" w:color="auto" w:fill="auto"/>
            <w:hideMark/>
          </w:tcPr>
          <w:p w14:paraId="1C2A50DA" w14:textId="55463DD4" w:rsidR="00861557" w:rsidRPr="00296D0C" w:rsidRDefault="00861557" w:rsidP="008C43BF">
            <w:pPr>
              <w:spacing w:after="0" w:line="240" w:lineRule="auto"/>
              <w:rPr>
                <w:rFonts w:cs="Arial"/>
                <w:color w:val="000000"/>
              </w:rPr>
            </w:pPr>
            <w:r w:rsidRPr="00296D0C">
              <w:rPr>
                <w:rFonts w:cs="Arial"/>
                <w:color w:val="000000"/>
              </w:rPr>
              <w:t>Salary based on median FTE Band 5 (£25,764) Agenda for Change Health Staff 2014, working 37.5 hours week/42 weeks per annum. This band was chosen given rough equivalence to the Equity rate for Actors of £440 per week.</w:t>
            </w:r>
            <w:r w:rsidRPr="00296D0C">
              <w:rPr>
                <w:rFonts w:cs="Arial"/>
                <w:color w:val="000000"/>
              </w:rPr>
              <w:br/>
            </w:r>
            <w:r w:rsidRPr="00296D0C">
              <w:rPr>
                <w:rFonts w:cs="Arial"/>
                <w:color w:val="000000"/>
              </w:rPr>
              <w:br/>
              <w:t>Calculation of unit cost per hour based on cost structure</w:t>
            </w:r>
            <w:r w:rsidRPr="00296D0C">
              <w:rPr>
                <w:rFonts w:cs="Arial"/>
                <w:color w:val="000000"/>
              </w:rPr>
              <w:br/>
              <w:t xml:space="preserve">reported in Curtis (2015) </w:t>
            </w:r>
            <w:r w:rsidR="004B1882" w:rsidRPr="00296D0C">
              <w:rPr>
                <w:rFonts w:cs="Arial"/>
                <w:color w:val="000000"/>
              </w:rPr>
              <w:fldChar w:fldCharType="begin"/>
            </w:r>
            <w:r w:rsidR="008C43BF">
              <w:rPr>
                <w:rFonts w:cs="Arial"/>
                <w:color w:val="000000"/>
              </w:rPr>
              <w:instrText xml:space="preserve"> ADDIN EN.CITE &lt;EndNote&gt;&lt;Cite&gt;&lt;Author&gt;Curtis&lt;/Author&gt;&lt;Year&gt;2015&lt;/Year&gt;&lt;RecNum&gt;5737&lt;/RecNum&gt;&lt;DisplayText&gt;&lt;style face="superscript"&gt;56&lt;/style&gt;&lt;/DisplayText&gt;&lt;record&gt;&lt;rec-number&gt;5737&lt;/rec-number&gt;&lt;foreign-keys&gt;&lt;key app="EN" db-id="2ewa9rrvjsdsawep2vpx5x97eedzzvxx5rta" timestamp="1478679952"&gt;5737&lt;/key&gt;&lt;/foreign-keys&gt;&lt;ref-type name="Report"&gt;27&lt;/ref-type&gt;&lt;contributors&gt;&lt;authors&gt;&lt;author&gt;Curtis, L.&lt;/author&gt;&lt;author&gt;Burns, A.&lt;/author&gt;&lt;/authors&gt;&lt;/contributors&gt;&lt;titles&gt;&lt;title&gt;Unit Costs of Health and Social Care 2015&lt;/title&gt;&lt;/titles&gt;&lt;dates&gt;&lt;year&gt;2015&lt;/year&gt;&lt;/dates&gt;&lt;pub-location&gt;Personal Social Services Research Unit&lt;/pub-location&gt;&lt;publisher&gt;University of Canterbury&lt;/publisher&gt;&lt;urls&gt;&lt;/urls&gt;&lt;/record&gt;&lt;/Cite&gt;&lt;/EndNote&gt;</w:instrText>
            </w:r>
            <w:r w:rsidR="004B1882" w:rsidRPr="00296D0C">
              <w:rPr>
                <w:rFonts w:cs="Arial"/>
                <w:color w:val="000000"/>
              </w:rPr>
              <w:fldChar w:fldCharType="separate"/>
            </w:r>
            <w:r w:rsidR="008C43BF" w:rsidRPr="008C43BF">
              <w:rPr>
                <w:rFonts w:cs="Arial"/>
                <w:noProof/>
                <w:color w:val="000000"/>
                <w:vertAlign w:val="superscript"/>
              </w:rPr>
              <w:t>56</w:t>
            </w:r>
            <w:r w:rsidR="004B1882" w:rsidRPr="00296D0C">
              <w:rPr>
                <w:rFonts w:cs="Arial"/>
                <w:color w:val="000000"/>
              </w:rPr>
              <w:fldChar w:fldCharType="end"/>
            </w:r>
            <w:r w:rsidRPr="00296D0C">
              <w:rPr>
                <w:rFonts w:cs="Arial"/>
                <w:color w:val="000000"/>
              </w:rPr>
              <w:t>- (excludes qualifications, non-staff costs, and capital costs); e.g. Sections 10.2 (p171).</w:t>
            </w:r>
          </w:p>
        </w:tc>
      </w:tr>
      <w:tr w:rsidR="00861557" w:rsidRPr="00296D0C" w14:paraId="0558742C" w14:textId="77777777" w:rsidTr="003723AE">
        <w:trPr>
          <w:trHeight w:val="600"/>
        </w:trPr>
        <w:tc>
          <w:tcPr>
            <w:tcW w:w="985" w:type="pct"/>
            <w:tcBorders>
              <w:top w:val="single" w:sz="4" w:space="0" w:color="auto"/>
              <w:bottom w:val="single" w:sz="4" w:space="0" w:color="auto"/>
              <w:right w:val="nil"/>
            </w:tcBorders>
            <w:shd w:val="clear" w:color="auto" w:fill="auto"/>
            <w:hideMark/>
          </w:tcPr>
          <w:p w14:paraId="42E11702" w14:textId="77777777" w:rsidR="00861557" w:rsidRPr="00296D0C" w:rsidRDefault="00861557" w:rsidP="0077247E">
            <w:pPr>
              <w:spacing w:after="0" w:line="240" w:lineRule="auto"/>
              <w:rPr>
                <w:rFonts w:cs="Arial"/>
                <w:color w:val="000000"/>
              </w:rPr>
            </w:pPr>
            <w:r w:rsidRPr="00296D0C">
              <w:rPr>
                <w:rFonts w:cs="Arial"/>
                <w:color w:val="000000"/>
              </w:rPr>
              <w:t>Daily travel allowance (Actors)</w:t>
            </w:r>
          </w:p>
        </w:tc>
        <w:tc>
          <w:tcPr>
            <w:tcW w:w="684" w:type="pct"/>
            <w:tcBorders>
              <w:top w:val="single" w:sz="4" w:space="0" w:color="auto"/>
              <w:left w:val="nil"/>
              <w:bottom w:val="single" w:sz="4" w:space="0" w:color="auto"/>
              <w:right w:val="nil"/>
            </w:tcBorders>
            <w:shd w:val="clear" w:color="auto" w:fill="auto"/>
            <w:hideMark/>
          </w:tcPr>
          <w:p w14:paraId="503C7859" w14:textId="77777777" w:rsidR="00861557" w:rsidRPr="00296D0C" w:rsidRDefault="00861557" w:rsidP="0077247E">
            <w:pPr>
              <w:spacing w:after="0" w:line="240" w:lineRule="auto"/>
              <w:jc w:val="right"/>
              <w:rPr>
                <w:rFonts w:cs="Arial"/>
                <w:color w:val="000000"/>
              </w:rPr>
            </w:pPr>
            <w:r w:rsidRPr="00296D0C">
              <w:rPr>
                <w:rFonts w:cs="Arial"/>
                <w:color w:val="000000"/>
              </w:rPr>
              <w:t>19.00</w:t>
            </w:r>
          </w:p>
        </w:tc>
        <w:tc>
          <w:tcPr>
            <w:tcW w:w="3331" w:type="pct"/>
            <w:tcBorders>
              <w:top w:val="single" w:sz="4" w:space="0" w:color="auto"/>
              <w:left w:val="nil"/>
              <w:bottom w:val="single" w:sz="4" w:space="0" w:color="auto"/>
            </w:tcBorders>
            <w:shd w:val="clear" w:color="auto" w:fill="auto"/>
            <w:hideMark/>
          </w:tcPr>
          <w:p w14:paraId="3AE1D941" w14:textId="77777777" w:rsidR="00861557" w:rsidRPr="00296D0C" w:rsidRDefault="00861557" w:rsidP="0077247E">
            <w:pPr>
              <w:spacing w:after="0" w:line="240" w:lineRule="auto"/>
              <w:rPr>
                <w:rFonts w:cs="Arial"/>
                <w:color w:val="000000"/>
              </w:rPr>
            </w:pPr>
            <w:r w:rsidRPr="00296D0C">
              <w:rPr>
                <w:rFonts w:cs="Arial"/>
                <w:color w:val="000000"/>
              </w:rPr>
              <w:t>Per day allowance based on the Equity weekly rate for travel outside of London, £95.00 (5 days) and number of Actors per session</w:t>
            </w:r>
          </w:p>
        </w:tc>
      </w:tr>
      <w:tr w:rsidR="00861557" w:rsidRPr="00296D0C" w14:paraId="0BDA77C3" w14:textId="77777777" w:rsidTr="003723AE">
        <w:trPr>
          <w:trHeight w:val="900"/>
        </w:trPr>
        <w:tc>
          <w:tcPr>
            <w:tcW w:w="985" w:type="pct"/>
            <w:tcBorders>
              <w:top w:val="single" w:sz="4" w:space="0" w:color="auto"/>
              <w:bottom w:val="single" w:sz="4" w:space="0" w:color="auto"/>
              <w:right w:val="nil"/>
            </w:tcBorders>
            <w:shd w:val="clear" w:color="auto" w:fill="auto"/>
            <w:noWrap/>
            <w:hideMark/>
          </w:tcPr>
          <w:p w14:paraId="2D6D827E" w14:textId="77777777" w:rsidR="00861557" w:rsidRPr="00296D0C" w:rsidRDefault="00861557" w:rsidP="0077247E">
            <w:pPr>
              <w:spacing w:after="0" w:line="240" w:lineRule="auto"/>
              <w:rPr>
                <w:rFonts w:cs="Arial"/>
                <w:color w:val="000000"/>
              </w:rPr>
            </w:pPr>
            <w:r w:rsidRPr="00296D0C">
              <w:rPr>
                <w:rFonts w:cs="Arial"/>
                <w:color w:val="000000"/>
              </w:rPr>
              <w:t>Teaching Staff</w:t>
            </w:r>
          </w:p>
          <w:p w14:paraId="5D33F2B0" w14:textId="77777777" w:rsidR="00861557" w:rsidRPr="00296D0C" w:rsidRDefault="00861557" w:rsidP="0077247E">
            <w:pPr>
              <w:spacing w:after="0" w:line="240" w:lineRule="auto"/>
              <w:rPr>
                <w:rFonts w:cs="Arial"/>
                <w:i/>
                <w:color w:val="000000"/>
              </w:rPr>
            </w:pPr>
            <w:r w:rsidRPr="00296D0C">
              <w:rPr>
                <w:rFonts w:cs="Arial"/>
                <w:i/>
                <w:color w:val="000000"/>
              </w:rPr>
              <w:t>(sensitivity analysis)</w:t>
            </w:r>
          </w:p>
        </w:tc>
        <w:tc>
          <w:tcPr>
            <w:tcW w:w="684" w:type="pct"/>
            <w:tcBorders>
              <w:top w:val="single" w:sz="4" w:space="0" w:color="auto"/>
              <w:left w:val="nil"/>
              <w:bottom w:val="single" w:sz="4" w:space="0" w:color="auto"/>
              <w:right w:val="nil"/>
            </w:tcBorders>
            <w:shd w:val="clear" w:color="auto" w:fill="auto"/>
            <w:noWrap/>
            <w:hideMark/>
          </w:tcPr>
          <w:p w14:paraId="2CF23EC1" w14:textId="77777777" w:rsidR="00861557" w:rsidRPr="00296D0C" w:rsidRDefault="00861557" w:rsidP="0077247E">
            <w:pPr>
              <w:spacing w:after="0" w:line="240" w:lineRule="auto"/>
              <w:jc w:val="right"/>
              <w:rPr>
                <w:rFonts w:cs="Arial"/>
                <w:color w:val="000000"/>
              </w:rPr>
            </w:pPr>
            <w:r w:rsidRPr="00296D0C">
              <w:rPr>
                <w:rFonts w:cs="Arial"/>
                <w:color w:val="000000"/>
              </w:rPr>
              <w:t>21.00</w:t>
            </w:r>
          </w:p>
        </w:tc>
        <w:tc>
          <w:tcPr>
            <w:tcW w:w="3331" w:type="pct"/>
            <w:tcBorders>
              <w:top w:val="single" w:sz="4" w:space="0" w:color="auto"/>
              <w:left w:val="nil"/>
              <w:bottom w:val="single" w:sz="4" w:space="0" w:color="auto"/>
            </w:tcBorders>
            <w:shd w:val="clear" w:color="auto" w:fill="auto"/>
            <w:hideMark/>
          </w:tcPr>
          <w:p w14:paraId="645E2C68" w14:textId="0F33F5BA" w:rsidR="00861557" w:rsidRPr="00296D0C" w:rsidRDefault="00861557" w:rsidP="00931E9F">
            <w:pPr>
              <w:spacing w:after="0" w:line="240" w:lineRule="auto"/>
              <w:rPr>
                <w:rFonts w:cs="Arial"/>
                <w:color w:val="000000"/>
              </w:rPr>
            </w:pPr>
            <w:r w:rsidRPr="00296D0C">
              <w:rPr>
                <w:rFonts w:cs="Arial"/>
                <w:color w:val="000000"/>
              </w:rPr>
              <w:t xml:space="preserve">Based on Supply Teacher rate £160 per day </w:t>
            </w:r>
            <w:r w:rsidR="002F07AE" w:rsidRPr="00296D0C">
              <w:rPr>
                <w:rFonts w:cs="Arial"/>
                <w:color w:val="000000"/>
              </w:rPr>
              <w:fldChar w:fldCharType="begin"/>
            </w:r>
            <w:r w:rsidR="00931E9F">
              <w:rPr>
                <w:rFonts w:cs="Arial"/>
                <w:color w:val="000000"/>
              </w:rPr>
              <w:instrText xml:space="preserve"> ADDIN EN.CITE &lt;EndNote&gt;&lt;Cite ExcludeYear="1"&gt;&lt;Author&gt;NASUWT The Teachers&amp;apos; Union&lt;/Author&gt;&lt;RecNum&gt;5778&lt;/RecNum&gt;&lt;DisplayText&gt;&lt;style face="superscript"&gt;57&lt;/style&gt;&lt;/DisplayText&gt;&lt;record&gt;&lt;rec-number&gt;5778&lt;/rec-number&gt;&lt;foreign-keys&gt;&lt;key app="EN" db-id="2ewa9rrvjsdsawep2vpx5x97eedzzvxx5rta" timestamp="1478684276"&gt;5778&lt;/key&gt;&lt;/foreign-keys&gt;&lt;ref-type name="Web Page"&gt;12&lt;/ref-type&gt;&lt;contributors&gt;&lt;authors&gt;&lt;author&gt;NASUWT The Teachers&amp;apos; Union,&lt;/author&gt;&lt;/authors&gt;&lt;/contributors&gt;&lt;titles&gt;&lt;/titles&gt;&lt;number&gt;3 June 2016&lt;/number&gt;&lt;dates&gt;&lt;/dates&gt;&lt;urls&gt;&lt;related-urls&gt;&lt;url&gt;https://www.nasuwt.org.uk/&lt;/url&gt;&lt;/related-urls&gt;&lt;/urls&gt;&lt;/record&gt;&lt;/Cite&gt;&lt;/EndNote&gt;</w:instrText>
            </w:r>
            <w:r w:rsidR="002F07AE" w:rsidRPr="00296D0C">
              <w:rPr>
                <w:rFonts w:cs="Arial"/>
                <w:color w:val="000000"/>
              </w:rPr>
              <w:fldChar w:fldCharType="separate"/>
            </w:r>
            <w:r w:rsidR="008C43BF" w:rsidRPr="008C43BF">
              <w:rPr>
                <w:rFonts w:cs="Arial"/>
                <w:noProof/>
                <w:color w:val="000000"/>
                <w:vertAlign w:val="superscript"/>
              </w:rPr>
              <w:t>57</w:t>
            </w:r>
            <w:r w:rsidR="002F07AE" w:rsidRPr="00296D0C">
              <w:rPr>
                <w:rFonts w:cs="Arial"/>
                <w:color w:val="000000"/>
              </w:rPr>
              <w:fldChar w:fldCharType="end"/>
            </w:r>
            <w:r w:rsidRPr="00296D0C">
              <w:rPr>
                <w:rFonts w:cs="Arial"/>
                <w:color w:val="000000"/>
              </w:rPr>
              <w:t>; 37.5 hrs (this assumption follows the length of day for other job types i.e. 37.5 hours although what this rate consists of or is based on is unclear</w:t>
            </w:r>
          </w:p>
        </w:tc>
      </w:tr>
      <w:tr w:rsidR="00861557" w:rsidRPr="00296D0C" w14:paraId="0C1B6E4A" w14:textId="77777777" w:rsidTr="003723AE">
        <w:trPr>
          <w:trHeight w:val="300"/>
        </w:trPr>
        <w:tc>
          <w:tcPr>
            <w:tcW w:w="985" w:type="pct"/>
            <w:tcBorders>
              <w:top w:val="nil"/>
              <w:bottom w:val="single" w:sz="4" w:space="0" w:color="auto"/>
              <w:right w:val="nil"/>
            </w:tcBorders>
            <w:shd w:val="clear" w:color="auto" w:fill="auto"/>
            <w:noWrap/>
            <w:hideMark/>
          </w:tcPr>
          <w:p w14:paraId="57312F7B" w14:textId="77777777" w:rsidR="00861557" w:rsidRPr="00296D0C" w:rsidRDefault="00861557" w:rsidP="0077247E">
            <w:pPr>
              <w:spacing w:after="0" w:line="240" w:lineRule="auto"/>
              <w:rPr>
                <w:rFonts w:cs="Arial"/>
                <w:color w:val="000000"/>
              </w:rPr>
            </w:pPr>
            <w:r w:rsidRPr="00296D0C">
              <w:rPr>
                <w:rFonts w:cs="Arial"/>
                <w:color w:val="000000"/>
              </w:rPr>
              <w:t>Activity Coordinator</w:t>
            </w:r>
          </w:p>
        </w:tc>
        <w:tc>
          <w:tcPr>
            <w:tcW w:w="684" w:type="pct"/>
            <w:tcBorders>
              <w:top w:val="single" w:sz="4" w:space="0" w:color="auto"/>
              <w:left w:val="nil"/>
              <w:bottom w:val="single" w:sz="4" w:space="0" w:color="auto"/>
              <w:right w:val="nil"/>
            </w:tcBorders>
            <w:shd w:val="clear" w:color="auto" w:fill="auto"/>
            <w:noWrap/>
            <w:hideMark/>
          </w:tcPr>
          <w:p w14:paraId="14F77201" w14:textId="77777777" w:rsidR="00861557" w:rsidRPr="00296D0C" w:rsidRDefault="00861557" w:rsidP="0077247E">
            <w:pPr>
              <w:spacing w:after="0" w:line="240" w:lineRule="auto"/>
              <w:jc w:val="right"/>
              <w:rPr>
                <w:rFonts w:cs="Arial"/>
                <w:color w:val="000000"/>
              </w:rPr>
            </w:pPr>
            <w:r w:rsidRPr="00296D0C">
              <w:rPr>
                <w:rFonts w:cs="Arial"/>
                <w:color w:val="000000"/>
              </w:rPr>
              <w:t>20.00</w:t>
            </w:r>
          </w:p>
        </w:tc>
        <w:tc>
          <w:tcPr>
            <w:tcW w:w="3331" w:type="pct"/>
            <w:tcBorders>
              <w:top w:val="single" w:sz="4" w:space="0" w:color="auto"/>
              <w:left w:val="nil"/>
              <w:bottom w:val="single" w:sz="4" w:space="0" w:color="auto"/>
            </w:tcBorders>
            <w:shd w:val="clear" w:color="auto" w:fill="auto"/>
            <w:noWrap/>
            <w:hideMark/>
          </w:tcPr>
          <w:p w14:paraId="73DD4E8D" w14:textId="22EE43EB" w:rsidR="00861557" w:rsidRPr="00296D0C" w:rsidRDefault="00861557" w:rsidP="0077247E">
            <w:pPr>
              <w:spacing w:after="0" w:line="240" w:lineRule="auto"/>
              <w:rPr>
                <w:rFonts w:cs="Arial"/>
                <w:color w:val="000000"/>
              </w:rPr>
            </w:pPr>
            <w:r w:rsidRPr="00296D0C">
              <w:rPr>
                <w:rFonts w:cs="Arial"/>
                <w:color w:val="000000"/>
              </w:rPr>
              <w:t>Allowance of £20 per hour, incl</w:t>
            </w:r>
            <w:r w:rsidR="004E08D5" w:rsidRPr="00296D0C">
              <w:rPr>
                <w:rFonts w:cs="Arial"/>
                <w:color w:val="000000"/>
              </w:rPr>
              <w:t>uding</w:t>
            </w:r>
            <w:r w:rsidRPr="00296D0C">
              <w:rPr>
                <w:rFonts w:cs="Arial"/>
                <w:color w:val="000000"/>
              </w:rPr>
              <w:t xml:space="preserve"> travel costs, has been made for Activity Coordinators [Assumption based on within-trial experience]</w:t>
            </w:r>
          </w:p>
        </w:tc>
      </w:tr>
      <w:tr w:rsidR="00861557" w:rsidRPr="00296D0C" w14:paraId="469356DF" w14:textId="77777777" w:rsidTr="003723AE">
        <w:trPr>
          <w:trHeight w:val="1545"/>
        </w:trPr>
        <w:tc>
          <w:tcPr>
            <w:tcW w:w="985" w:type="pct"/>
            <w:tcBorders>
              <w:top w:val="nil"/>
              <w:bottom w:val="single" w:sz="4" w:space="0" w:color="auto"/>
              <w:right w:val="nil"/>
            </w:tcBorders>
            <w:shd w:val="clear" w:color="auto" w:fill="auto"/>
            <w:noWrap/>
            <w:hideMark/>
          </w:tcPr>
          <w:p w14:paraId="1362B220" w14:textId="77777777" w:rsidR="00861557" w:rsidRPr="00296D0C" w:rsidRDefault="00861557" w:rsidP="0077247E">
            <w:pPr>
              <w:spacing w:after="0" w:line="240" w:lineRule="auto"/>
              <w:rPr>
                <w:rFonts w:cs="Arial"/>
                <w:color w:val="000000"/>
              </w:rPr>
            </w:pPr>
            <w:r w:rsidRPr="00296D0C">
              <w:rPr>
                <w:rFonts w:cs="Arial"/>
                <w:color w:val="000000"/>
              </w:rPr>
              <w:t>Lead Trainer</w:t>
            </w:r>
          </w:p>
        </w:tc>
        <w:tc>
          <w:tcPr>
            <w:tcW w:w="684" w:type="pct"/>
            <w:tcBorders>
              <w:top w:val="single" w:sz="4" w:space="0" w:color="auto"/>
              <w:left w:val="nil"/>
              <w:bottom w:val="single" w:sz="4" w:space="0" w:color="auto"/>
              <w:right w:val="nil"/>
            </w:tcBorders>
            <w:shd w:val="clear" w:color="auto" w:fill="auto"/>
            <w:noWrap/>
            <w:hideMark/>
          </w:tcPr>
          <w:p w14:paraId="4C5833AA" w14:textId="77777777" w:rsidR="00861557" w:rsidRPr="00296D0C" w:rsidRDefault="00861557" w:rsidP="0077247E">
            <w:pPr>
              <w:spacing w:after="0" w:line="240" w:lineRule="auto"/>
              <w:jc w:val="right"/>
              <w:rPr>
                <w:rFonts w:cs="Arial"/>
                <w:color w:val="000000"/>
              </w:rPr>
            </w:pPr>
            <w:r w:rsidRPr="00296D0C">
              <w:rPr>
                <w:rFonts w:cs="Arial"/>
                <w:color w:val="000000"/>
              </w:rPr>
              <w:t>41.29</w:t>
            </w:r>
          </w:p>
        </w:tc>
        <w:tc>
          <w:tcPr>
            <w:tcW w:w="3331" w:type="pct"/>
            <w:tcBorders>
              <w:top w:val="single" w:sz="4" w:space="0" w:color="auto"/>
              <w:left w:val="nil"/>
              <w:bottom w:val="single" w:sz="4" w:space="0" w:color="auto"/>
            </w:tcBorders>
            <w:shd w:val="clear" w:color="auto" w:fill="auto"/>
            <w:hideMark/>
          </w:tcPr>
          <w:p w14:paraId="6EC2E9E1" w14:textId="60C28ED4" w:rsidR="00861557" w:rsidRPr="00296D0C" w:rsidRDefault="00861557" w:rsidP="004E08D5">
            <w:pPr>
              <w:spacing w:after="0" w:line="240" w:lineRule="auto"/>
              <w:rPr>
                <w:rFonts w:cs="Arial"/>
                <w:color w:val="000000"/>
              </w:rPr>
            </w:pPr>
            <w:r w:rsidRPr="00296D0C">
              <w:rPr>
                <w:rFonts w:cs="Arial"/>
                <w:color w:val="000000"/>
              </w:rPr>
              <w:t>Salary based on median FTE Band 6 Agenda for Change Health Staff 2014, working 37.5 hours week/41.7 weeks per annum</w:t>
            </w:r>
            <w:r w:rsidRPr="00296D0C">
              <w:rPr>
                <w:rFonts w:cs="Arial"/>
                <w:color w:val="000000"/>
              </w:rPr>
              <w:br/>
            </w:r>
            <w:r w:rsidRPr="00296D0C">
              <w:rPr>
                <w:rFonts w:cs="Arial"/>
                <w:color w:val="000000"/>
              </w:rPr>
              <w:br/>
              <w:t>Calculation of unit cost per hour based on cost structure</w:t>
            </w:r>
            <w:r w:rsidRPr="00296D0C">
              <w:rPr>
                <w:rFonts w:cs="Arial"/>
                <w:color w:val="000000"/>
              </w:rPr>
              <w:br/>
              <w:t>reported in Curtis (201</w:t>
            </w:r>
            <w:r w:rsidR="004E08D5" w:rsidRPr="00296D0C">
              <w:rPr>
                <w:rFonts w:cs="Arial"/>
                <w:color w:val="000000"/>
              </w:rPr>
              <w:t>5</w:t>
            </w:r>
            <w:r w:rsidRPr="00296D0C">
              <w:rPr>
                <w:rFonts w:cs="Arial"/>
                <w:color w:val="000000"/>
              </w:rPr>
              <w:t>) - (excludes qualifications and capital costs)</w:t>
            </w:r>
          </w:p>
        </w:tc>
      </w:tr>
      <w:tr w:rsidR="00861557" w:rsidRPr="00296D0C" w14:paraId="255CA1F8" w14:textId="77777777" w:rsidTr="003723AE">
        <w:trPr>
          <w:trHeight w:val="300"/>
        </w:trPr>
        <w:tc>
          <w:tcPr>
            <w:tcW w:w="985" w:type="pct"/>
            <w:tcBorders>
              <w:top w:val="nil"/>
              <w:bottom w:val="single" w:sz="8" w:space="0" w:color="auto"/>
              <w:right w:val="nil"/>
            </w:tcBorders>
            <w:shd w:val="clear" w:color="auto" w:fill="auto"/>
            <w:noWrap/>
          </w:tcPr>
          <w:p w14:paraId="1D7885DA" w14:textId="77777777" w:rsidR="00861557" w:rsidRPr="00296D0C" w:rsidRDefault="00861557" w:rsidP="0077247E">
            <w:pPr>
              <w:spacing w:after="0" w:line="240" w:lineRule="auto"/>
              <w:rPr>
                <w:rFonts w:cs="Arial"/>
                <w:color w:val="000000"/>
              </w:rPr>
            </w:pPr>
            <w:r w:rsidRPr="00296D0C">
              <w:rPr>
                <w:rFonts w:cs="Arial"/>
                <w:color w:val="000000"/>
              </w:rPr>
              <w:t>Training</w:t>
            </w:r>
          </w:p>
        </w:tc>
        <w:tc>
          <w:tcPr>
            <w:tcW w:w="684" w:type="pct"/>
            <w:tcBorders>
              <w:top w:val="nil"/>
              <w:left w:val="nil"/>
              <w:bottom w:val="single" w:sz="8" w:space="0" w:color="auto"/>
              <w:right w:val="nil"/>
            </w:tcBorders>
            <w:shd w:val="clear" w:color="auto" w:fill="auto"/>
            <w:noWrap/>
          </w:tcPr>
          <w:p w14:paraId="33B3B1B2" w14:textId="77777777" w:rsidR="00861557" w:rsidRPr="00296D0C" w:rsidRDefault="00861557" w:rsidP="0077247E">
            <w:pPr>
              <w:spacing w:after="0" w:line="240" w:lineRule="auto"/>
              <w:jc w:val="right"/>
              <w:rPr>
                <w:rFonts w:cs="Arial"/>
                <w:color w:val="000000"/>
              </w:rPr>
            </w:pPr>
            <w:r w:rsidRPr="00296D0C">
              <w:rPr>
                <w:rFonts w:cs="Arial"/>
                <w:color w:val="000000"/>
              </w:rPr>
              <w:t>–</w:t>
            </w:r>
          </w:p>
        </w:tc>
        <w:tc>
          <w:tcPr>
            <w:tcW w:w="3331" w:type="pct"/>
            <w:tcBorders>
              <w:top w:val="nil"/>
              <w:left w:val="nil"/>
              <w:bottom w:val="single" w:sz="8" w:space="0" w:color="auto"/>
            </w:tcBorders>
            <w:shd w:val="clear" w:color="auto" w:fill="auto"/>
            <w:noWrap/>
          </w:tcPr>
          <w:p w14:paraId="0FB4C7AB" w14:textId="558E4D91" w:rsidR="00861557" w:rsidRPr="00296D0C" w:rsidRDefault="00FE6FD2" w:rsidP="0077247E">
            <w:pPr>
              <w:spacing w:after="0" w:line="240" w:lineRule="auto"/>
              <w:rPr>
                <w:rFonts w:cs="Arial"/>
                <w:color w:val="000000"/>
              </w:rPr>
            </w:pPr>
            <w:r w:rsidRPr="00296D0C">
              <w:rPr>
                <w:rFonts w:cs="Arial"/>
                <w:color w:val="000000"/>
              </w:rPr>
              <w:t>See Appendix</w:t>
            </w:r>
            <w:r w:rsidR="00F8483C" w:rsidRPr="00296D0C">
              <w:rPr>
                <w:rFonts w:cs="Arial"/>
                <w:color w:val="000000"/>
              </w:rPr>
              <w:t xml:space="preserve"> 7</w:t>
            </w:r>
          </w:p>
        </w:tc>
      </w:tr>
      <w:tr w:rsidR="00861557" w:rsidRPr="00296D0C" w14:paraId="06ACF3F5" w14:textId="77777777" w:rsidTr="003723AE">
        <w:trPr>
          <w:trHeight w:val="315"/>
        </w:trPr>
        <w:tc>
          <w:tcPr>
            <w:tcW w:w="985" w:type="pct"/>
            <w:tcBorders>
              <w:top w:val="single" w:sz="8" w:space="0" w:color="auto"/>
              <w:bottom w:val="single" w:sz="8" w:space="0" w:color="auto"/>
            </w:tcBorders>
            <w:shd w:val="clear" w:color="auto" w:fill="auto"/>
            <w:noWrap/>
            <w:hideMark/>
          </w:tcPr>
          <w:p w14:paraId="6DBE7F6F" w14:textId="77777777" w:rsidR="00861557" w:rsidRPr="00296D0C" w:rsidRDefault="00861557" w:rsidP="0077247E">
            <w:pPr>
              <w:spacing w:after="0" w:line="240" w:lineRule="auto"/>
              <w:rPr>
                <w:rFonts w:cs="Arial"/>
                <w:bCs/>
                <w:color w:val="000000"/>
              </w:rPr>
            </w:pPr>
            <w:r w:rsidRPr="00296D0C">
              <w:rPr>
                <w:rFonts w:cs="Arial"/>
                <w:bCs/>
                <w:color w:val="000000"/>
              </w:rPr>
              <w:t>Other costs</w:t>
            </w:r>
          </w:p>
        </w:tc>
        <w:tc>
          <w:tcPr>
            <w:tcW w:w="684" w:type="pct"/>
            <w:tcBorders>
              <w:top w:val="single" w:sz="8" w:space="0" w:color="auto"/>
              <w:bottom w:val="single" w:sz="8" w:space="0" w:color="auto"/>
            </w:tcBorders>
            <w:shd w:val="clear" w:color="auto" w:fill="auto"/>
          </w:tcPr>
          <w:p w14:paraId="402BA515" w14:textId="77777777" w:rsidR="00861557" w:rsidRPr="00296D0C" w:rsidRDefault="00861557" w:rsidP="0077247E">
            <w:pPr>
              <w:spacing w:after="0" w:line="240" w:lineRule="auto"/>
              <w:jc w:val="right"/>
              <w:rPr>
                <w:rFonts w:cs="Arial"/>
                <w:bCs/>
                <w:color w:val="000000"/>
              </w:rPr>
            </w:pPr>
            <w:r w:rsidRPr="00296D0C">
              <w:rPr>
                <w:rFonts w:cs="Arial"/>
                <w:bCs/>
                <w:color w:val="000000"/>
              </w:rPr>
              <w:t>–</w:t>
            </w:r>
          </w:p>
        </w:tc>
        <w:tc>
          <w:tcPr>
            <w:tcW w:w="3331" w:type="pct"/>
            <w:tcBorders>
              <w:top w:val="single" w:sz="8" w:space="0" w:color="auto"/>
              <w:bottom w:val="single" w:sz="8" w:space="0" w:color="auto"/>
            </w:tcBorders>
            <w:shd w:val="clear" w:color="auto" w:fill="auto"/>
            <w:noWrap/>
          </w:tcPr>
          <w:p w14:paraId="6568F5DC" w14:textId="77777777" w:rsidR="00861557" w:rsidRPr="00296D0C" w:rsidRDefault="00861557" w:rsidP="0077247E">
            <w:pPr>
              <w:spacing w:after="0" w:line="240" w:lineRule="auto"/>
              <w:rPr>
                <w:rFonts w:cs="Arial"/>
                <w:bCs/>
                <w:color w:val="000000"/>
              </w:rPr>
            </w:pPr>
            <w:r w:rsidRPr="00296D0C">
              <w:rPr>
                <w:rFonts w:cs="Arial"/>
                <w:bCs/>
                <w:color w:val="000000"/>
              </w:rPr>
              <w:t xml:space="preserve">Consumables, see below. </w:t>
            </w:r>
          </w:p>
        </w:tc>
      </w:tr>
    </w:tbl>
    <w:p w14:paraId="3417BB39" w14:textId="77777777" w:rsidR="00861557" w:rsidRPr="00296D0C" w:rsidRDefault="00861557" w:rsidP="00861557">
      <w:pPr>
        <w:spacing w:after="0" w:line="240" w:lineRule="auto"/>
        <w:rPr>
          <w:rFonts w:cs="Arial"/>
        </w:rPr>
      </w:pPr>
      <w:r w:rsidRPr="00296D0C">
        <w:rPr>
          <w:rFonts w:cs="Arial"/>
        </w:rPr>
        <w:t>Key: hrs = hours</w:t>
      </w:r>
    </w:p>
    <w:p w14:paraId="34835B02" w14:textId="6FBC3823" w:rsidR="00EC3D0A" w:rsidRPr="00296D0C" w:rsidRDefault="00EC3D0A" w:rsidP="00EC3D0A">
      <w:pPr>
        <w:spacing w:after="0" w:line="240" w:lineRule="auto"/>
        <w:rPr>
          <w:rFonts w:cs="Arial"/>
        </w:rPr>
      </w:pPr>
      <w:r w:rsidRPr="00296D0C">
        <w:rPr>
          <w:rFonts w:cs="Arial"/>
          <w:vertAlign w:val="superscript"/>
        </w:rPr>
        <w:t>a</w:t>
      </w:r>
      <w:r w:rsidRPr="00296D0C">
        <w:rPr>
          <w:rFonts w:cs="Arial"/>
        </w:rPr>
        <w:t xml:space="preserve"> </w:t>
      </w:r>
      <w:r w:rsidRPr="00296D0C">
        <w:rPr>
          <w:rFonts w:cs="Arial"/>
          <w:color w:val="000000"/>
        </w:rPr>
        <w:t>Calculation of unit cost per hour based on cost structure</w:t>
      </w:r>
      <w:r w:rsidR="004E08D5" w:rsidRPr="00296D0C">
        <w:rPr>
          <w:rFonts w:cs="Arial"/>
          <w:color w:val="000000"/>
        </w:rPr>
        <w:t xml:space="preserve"> </w:t>
      </w:r>
      <w:r w:rsidRPr="00296D0C">
        <w:rPr>
          <w:rFonts w:cs="Arial"/>
          <w:color w:val="000000"/>
        </w:rPr>
        <w:t>reported in Curtis</w:t>
      </w:r>
      <w:r w:rsidR="00F13A24" w:rsidRPr="00296D0C">
        <w:rPr>
          <w:rFonts w:cs="Arial"/>
          <w:color w:val="000000"/>
        </w:rPr>
        <w:t xml:space="preserve"> </w:t>
      </w:r>
      <w:r w:rsidR="00630C26" w:rsidRPr="00296D0C">
        <w:rPr>
          <w:rFonts w:cs="Arial"/>
          <w:color w:val="000000"/>
        </w:rPr>
        <w:fldChar w:fldCharType="begin"/>
      </w:r>
      <w:r w:rsidR="008C43BF">
        <w:rPr>
          <w:rFonts w:cs="Arial"/>
          <w:color w:val="000000"/>
        </w:rPr>
        <w:instrText xml:space="preserve"> ADDIN EN.CITE &lt;EndNote&gt;&lt;Cite&gt;&lt;Author&gt;Curtis&lt;/Author&gt;&lt;Year&gt;2015&lt;/Year&gt;&lt;RecNum&gt;5737&lt;/RecNum&gt;&lt;DisplayText&gt;&lt;style face="superscript"&gt;56&lt;/style&gt;&lt;/DisplayText&gt;&lt;record&gt;&lt;rec-number&gt;5737&lt;/rec-number&gt;&lt;foreign-keys&gt;&lt;key app="EN" db-id="2ewa9rrvjsdsawep2vpx5x97eedzzvxx5rta" timestamp="1478679952"&gt;5737&lt;/key&gt;&lt;/foreign-keys&gt;&lt;ref-type name="Report"&gt;27&lt;/ref-type&gt;&lt;contributors&gt;&lt;authors&gt;&lt;author&gt;Curtis, L.&lt;/author&gt;&lt;author&gt;Burns, A.&lt;/author&gt;&lt;/authors&gt;&lt;/contributors&gt;&lt;titles&gt;&lt;title&gt;Unit Costs of Health and Social Care 2015&lt;/title&gt;&lt;/titles&gt;&lt;dates&gt;&lt;year&gt;2015&lt;/year&gt;&lt;/dates&gt;&lt;pub-location&gt;Personal Social Services Research Unit&lt;/pub-location&gt;&lt;publisher&gt;University of Canterbury&lt;/publisher&gt;&lt;urls&gt;&lt;/urls&gt;&lt;/record&gt;&lt;/Cite&gt;&lt;/EndNote&gt;</w:instrText>
      </w:r>
      <w:r w:rsidR="00630C26" w:rsidRPr="00296D0C">
        <w:rPr>
          <w:rFonts w:cs="Arial"/>
          <w:color w:val="000000"/>
        </w:rPr>
        <w:fldChar w:fldCharType="separate"/>
      </w:r>
      <w:r w:rsidR="008C43BF" w:rsidRPr="008C43BF">
        <w:rPr>
          <w:rFonts w:cs="Arial"/>
          <w:noProof/>
          <w:color w:val="000000"/>
          <w:vertAlign w:val="superscript"/>
        </w:rPr>
        <w:t>56</w:t>
      </w:r>
      <w:r w:rsidR="00630C26" w:rsidRPr="00296D0C">
        <w:rPr>
          <w:rFonts w:cs="Arial"/>
          <w:color w:val="000000"/>
        </w:rPr>
        <w:fldChar w:fldCharType="end"/>
      </w:r>
      <w:r w:rsidRPr="00296D0C">
        <w:rPr>
          <w:rFonts w:cs="Arial"/>
          <w:color w:val="000000"/>
        </w:rPr>
        <w:t xml:space="preserve"> - (excludes qualifications and capital costs); e.g. Sections 10.1, 10.3, 10.4 (pp169, 171-172). This unit cost includes costs associated with management, travel/transport.</w:t>
      </w:r>
    </w:p>
    <w:p w14:paraId="0D763C8C" w14:textId="2D7428B2" w:rsidR="00861557" w:rsidRPr="00296D0C" w:rsidRDefault="00EC3D0A" w:rsidP="00861557">
      <w:pPr>
        <w:spacing w:line="240" w:lineRule="auto"/>
        <w:rPr>
          <w:rFonts w:cs="Arial"/>
        </w:rPr>
      </w:pPr>
      <w:r w:rsidRPr="00296D0C">
        <w:rPr>
          <w:rFonts w:cs="Arial"/>
          <w:color w:val="000000"/>
          <w:vertAlign w:val="superscript"/>
        </w:rPr>
        <w:t>b</w:t>
      </w:r>
      <w:r w:rsidR="00861557" w:rsidRPr="00296D0C">
        <w:rPr>
          <w:rFonts w:cs="Arial"/>
        </w:rPr>
        <w:t xml:space="preserve"> Based on delivery of HeLP in the RCT, where Actors were relatively inexperienced or in training, we have applied an hourly rate at the level of the minimum wage, circa £7 per hour to the Actors.  A higher rate, as above, is applied in sensitivity analyses</w:t>
      </w:r>
      <w:r w:rsidRPr="00296D0C">
        <w:rPr>
          <w:rFonts w:cs="Arial"/>
        </w:rPr>
        <w:t>.</w:t>
      </w:r>
    </w:p>
    <w:p w14:paraId="418085EA" w14:textId="77777777" w:rsidR="00582B9B" w:rsidRPr="00296D0C" w:rsidRDefault="00582B9B">
      <w:pPr>
        <w:rPr>
          <w:rFonts w:cs="Arial"/>
          <w:b/>
        </w:rPr>
      </w:pPr>
      <w:r w:rsidRPr="00296D0C">
        <w:rPr>
          <w:rFonts w:cs="Arial"/>
          <w:b/>
        </w:rPr>
        <w:br w:type="page"/>
      </w:r>
    </w:p>
    <w:p w14:paraId="166D855D" w14:textId="6910B870" w:rsidR="00861557" w:rsidRPr="00296D0C" w:rsidRDefault="00861557" w:rsidP="009A5EA7">
      <w:pPr>
        <w:spacing w:after="0" w:line="360" w:lineRule="auto"/>
        <w:rPr>
          <w:rFonts w:cs="Arial"/>
        </w:rPr>
      </w:pPr>
      <w:r w:rsidRPr="00296D0C">
        <w:rPr>
          <w:rFonts w:cs="Arial"/>
          <w:b/>
        </w:rPr>
        <w:lastRenderedPageBreak/>
        <w:t>‘Other’ resources/costs</w:t>
      </w:r>
      <w:r w:rsidRPr="00296D0C">
        <w:rPr>
          <w:rFonts w:cs="Arial"/>
        </w:rPr>
        <w:t xml:space="preserve"> involved with the delivery of the drama intervention included: </w:t>
      </w:r>
    </w:p>
    <w:p w14:paraId="02A20F17" w14:textId="77777777" w:rsidR="00861557" w:rsidRPr="00296D0C" w:rsidRDefault="00861557" w:rsidP="00403B07">
      <w:pPr>
        <w:pStyle w:val="ListParagraph"/>
        <w:numPr>
          <w:ilvl w:val="0"/>
          <w:numId w:val="22"/>
        </w:numPr>
        <w:spacing w:after="0" w:line="360" w:lineRule="auto"/>
        <w:rPr>
          <w:rFonts w:cs="Arial"/>
        </w:rPr>
      </w:pPr>
      <w:r w:rsidRPr="00296D0C">
        <w:rPr>
          <w:rFonts w:cs="Arial"/>
        </w:rPr>
        <w:t>Costumes (drama): it was assumed that three sets of drama costumes at £80 per set would be required (based on £20 per character);</w:t>
      </w:r>
    </w:p>
    <w:p w14:paraId="1E2991B7" w14:textId="77777777" w:rsidR="00861557" w:rsidRPr="00296D0C" w:rsidRDefault="00861557" w:rsidP="00403B07">
      <w:pPr>
        <w:pStyle w:val="ListParagraph"/>
        <w:numPr>
          <w:ilvl w:val="0"/>
          <w:numId w:val="22"/>
        </w:numPr>
        <w:spacing w:after="0" w:line="360" w:lineRule="auto"/>
        <w:rPr>
          <w:rFonts w:cs="Arial"/>
        </w:rPr>
      </w:pPr>
      <w:r w:rsidRPr="00296D0C">
        <w:rPr>
          <w:rFonts w:cs="Arial"/>
        </w:rPr>
        <w:t>Materials (equipment including fizzy drinks, water, and laminated cards): it was assumed that three sets of materials would be required at a cost of £150 per set;</w:t>
      </w:r>
    </w:p>
    <w:p w14:paraId="3BC7E157" w14:textId="77777777" w:rsidR="00861557" w:rsidRPr="00296D0C" w:rsidRDefault="00861557" w:rsidP="00403B07">
      <w:pPr>
        <w:pStyle w:val="ListParagraph"/>
        <w:numPr>
          <w:ilvl w:val="0"/>
          <w:numId w:val="22"/>
        </w:numPr>
        <w:spacing w:after="0" w:line="360" w:lineRule="auto"/>
        <w:rPr>
          <w:rFonts w:cs="Arial"/>
        </w:rPr>
      </w:pPr>
      <w:r w:rsidRPr="00296D0C">
        <w:rPr>
          <w:rFonts w:cs="Arial"/>
        </w:rPr>
        <w:t>Public liability: annual cost of £250 (based on guidance from Drama provider).</w:t>
      </w:r>
    </w:p>
    <w:p w14:paraId="7E1C9880" w14:textId="77777777" w:rsidR="00861557" w:rsidRPr="00296D0C" w:rsidRDefault="00861557" w:rsidP="00861557">
      <w:pPr>
        <w:rPr>
          <w:rFonts w:cs="Arial"/>
          <w:b/>
        </w:rPr>
      </w:pPr>
      <w:r w:rsidRPr="00296D0C">
        <w:rPr>
          <w:rFonts w:cs="Arial"/>
        </w:rPr>
        <w:t>These other additional costs (totalling £940, across the cohort of 27 classes) were assumed to be for a 12-month period and were distributed across the cohort in base case analyses</w:t>
      </w:r>
      <w:r w:rsidRPr="00296D0C">
        <w:rPr>
          <w:rFonts w:cs="Arial"/>
          <w:b/>
        </w:rPr>
        <w:t>.</w:t>
      </w:r>
      <w:r w:rsidRPr="00296D0C">
        <w:rPr>
          <w:rFonts w:cs="Arial"/>
          <w:b/>
        </w:rPr>
        <w:br w:type="page"/>
      </w:r>
    </w:p>
    <w:p w14:paraId="2A1354CC" w14:textId="554C20EB" w:rsidR="00861557" w:rsidRPr="00296D0C" w:rsidRDefault="003723AE" w:rsidP="009A5EA7">
      <w:pPr>
        <w:pStyle w:val="Heading3"/>
        <w:spacing w:line="360" w:lineRule="auto"/>
        <w:rPr>
          <w:rFonts w:asciiTheme="minorHAnsi" w:hAnsiTheme="minorHAnsi" w:cs="Arial"/>
        </w:rPr>
      </w:pPr>
      <w:bookmarkStart w:id="460" w:name="_Toc466710099"/>
      <w:bookmarkStart w:id="461" w:name="_Toc466711447"/>
      <w:bookmarkStart w:id="462" w:name="_Toc466712106"/>
      <w:bookmarkStart w:id="463" w:name="_Toc475974374"/>
      <w:r w:rsidRPr="00296D0C">
        <w:rPr>
          <w:rFonts w:asciiTheme="minorHAnsi" w:hAnsiTheme="minorHAnsi" w:cs="Arial"/>
        </w:rPr>
        <w:lastRenderedPageBreak/>
        <w:t>4.</w:t>
      </w:r>
      <w:r w:rsidR="000D0114" w:rsidRPr="00296D0C">
        <w:rPr>
          <w:rFonts w:asciiTheme="minorHAnsi" w:hAnsiTheme="minorHAnsi" w:cs="Arial"/>
        </w:rPr>
        <w:t xml:space="preserve">2.2 </w:t>
      </w:r>
      <w:r w:rsidR="00861557" w:rsidRPr="00296D0C">
        <w:rPr>
          <w:rFonts w:asciiTheme="minorHAnsi" w:hAnsiTheme="minorHAnsi" w:cs="Arial"/>
        </w:rPr>
        <w:t>Development of modelling framework (Exeter Obesity Model) to estimate the cost effectiveness of the HeLP intervention versus usual practice</w:t>
      </w:r>
      <w:bookmarkEnd w:id="460"/>
      <w:bookmarkEnd w:id="461"/>
      <w:bookmarkEnd w:id="462"/>
      <w:bookmarkEnd w:id="463"/>
    </w:p>
    <w:p w14:paraId="060C8B32" w14:textId="77777777" w:rsidR="005911C1" w:rsidRPr="00296D0C" w:rsidRDefault="005911C1" w:rsidP="005911C1"/>
    <w:p w14:paraId="42A8D7F9" w14:textId="2A9B1540" w:rsidR="00861557" w:rsidRPr="00296D0C" w:rsidRDefault="00861557" w:rsidP="009A5EA7">
      <w:pPr>
        <w:spacing w:after="0" w:line="360" w:lineRule="auto"/>
        <w:rPr>
          <w:rFonts w:cs="Arial"/>
        </w:rPr>
      </w:pPr>
      <w:r w:rsidRPr="00296D0C">
        <w:rPr>
          <w:rFonts w:cs="Arial"/>
        </w:rPr>
        <w:t>As set out in the pre-specified economic analysis plan</w:t>
      </w:r>
      <w:r w:rsidR="00780F13" w:rsidRPr="00296D0C">
        <w:rPr>
          <w:rFonts w:cs="Arial"/>
        </w:rPr>
        <w:t xml:space="preserve"> </w:t>
      </w:r>
      <w:r w:rsidR="00780F13" w:rsidRPr="00296D0C">
        <w:rPr>
          <w:rFonts w:cs="Arial"/>
        </w:rPr>
        <w:fldChar w:fldCharType="begin"/>
      </w:r>
      <w:r w:rsidR="006B3301">
        <w:rPr>
          <w:rFonts w:cs="Arial"/>
        </w:rPr>
        <w:instrText xml:space="preserve"> ADDIN EN.CITE &lt;EndNote&gt;&lt;Cite ExcludeAuth="1" ExcludeYear="1"&gt;&lt;RecNum&gt;5674&lt;/RecNum&gt;&lt;DisplayText&gt;&lt;style face="superscript"&gt;42&lt;/style&gt;&lt;/DisplayText&gt;&lt;record&gt;&lt;rec-number&gt;5674&lt;/rec-number&gt;&lt;foreign-keys&gt;&lt;key app="EN" db-id="2ewa9rrvjsdsawep2vpx5x97eedzzvxx5rta" timestamp="1457530239"&gt;5674&lt;/key&gt;&lt;/foreign-keys&gt;&lt;ref-type name="Web Page"&gt;12&lt;/ref-type&gt;&lt;contributors&gt;&lt;/contributors&gt;&lt;titles&gt;&lt;title&gt;National Institute for Health Research Project PHR - 10/3010/01 &lt;/title&gt;&lt;secondary-title&gt;Cluster randomised controlled trial, economic and process evaluation to determine the effectiveness and cost effectiveness of a novel intervention (Healthy Lifestyles Programme, HeLP) to prevent obesity in school children&lt;/secondary-title&gt;&lt;/titles&gt;&lt;number&gt;01 Mar 2016&lt;/number&gt;&lt;dates&gt;&lt;/dates&gt;&lt;urls&gt;&lt;related-urls&gt;&lt;url&gt;http://www.nets.nihr.ac.uk/projects/phr/10301001&lt;/url&gt;&lt;/related-urls&gt;&lt;/urls&gt;&lt;/record&gt;&lt;/Cite&gt;&lt;/EndNote&gt;</w:instrText>
      </w:r>
      <w:r w:rsidR="00780F13" w:rsidRPr="00296D0C">
        <w:rPr>
          <w:rFonts w:cs="Arial"/>
        </w:rPr>
        <w:fldChar w:fldCharType="separate"/>
      </w:r>
      <w:r w:rsidR="008C43BF" w:rsidRPr="008C43BF">
        <w:rPr>
          <w:rFonts w:cs="Arial"/>
          <w:noProof/>
          <w:vertAlign w:val="superscript"/>
        </w:rPr>
        <w:t>42</w:t>
      </w:r>
      <w:r w:rsidR="00780F13" w:rsidRPr="00296D0C">
        <w:rPr>
          <w:rFonts w:cs="Arial"/>
        </w:rPr>
        <w:fldChar w:fldCharType="end"/>
      </w:r>
      <w:r w:rsidR="00973795" w:rsidRPr="00296D0C">
        <w:rPr>
          <w:rFonts w:cs="Arial"/>
        </w:rPr>
        <w:t xml:space="preserve">, </w:t>
      </w:r>
      <w:r w:rsidR="00963604" w:rsidRPr="00296D0C">
        <w:rPr>
          <w:rFonts w:cs="Arial"/>
        </w:rPr>
        <w:t xml:space="preserve"> </w:t>
      </w:r>
      <w:r w:rsidRPr="00296D0C">
        <w:rPr>
          <w:rFonts w:cs="Arial"/>
        </w:rPr>
        <w:t xml:space="preserve">the framework for estimating the cost effectiveness of the HeLP intervention is based on development of and subsequent use of a decision-analytic model to predict the future costs and benefits associated with an expected </w:t>
      </w:r>
      <w:r w:rsidR="009A5EA7" w:rsidRPr="00296D0C">
        <w:rPr>
          <w:rFonts w:cs="Arial"/>
        </w:rPr>
        <w:t>between group difference</w:t>
      </w:r>
      <w:r w:rsidRPr="00296D0C">
        <w:rPr>
          <w:rFonts w:cs="Arial"/>
        </w:rPr>
        <w:t xml:space="preserve"> in the HeLP RCT primary outcome measure of </w:t>
      </w:r>
      <w:r w:rsidR="009D1C7F" w:rsidRPr="00296D0C">
        <w:rPr>
          <w:rFonts w:cs="Arial"/>
        </w:rPr>
        <w:t>BMI SDS</w:t>
      </w:r>
      <w:r w:rsidRPr="00296D0C">
        <w:rPr>
          <w:rFonts w:cs="Arial"/>
        </w:rPr>
        <w:t xml:space="preserve">.  A two stage economic model has been </w:t>
      </w:r>
      <w:r w:rsidR="00F17EF1" w:rsidRPr="00296D0C">
        <w:rPr>
          <w:rFonts w:cs="Arial"/>
        </w:rPr>
        <w:t>developed</w:t>
      </w:r>
      <w:r w:rsidRPr="00296D0C">
        <w:rPr>
          <w:rFonts w:cs="Arial"/>
        </w:rPr>
        <w:t xml:space="preserve">, described in more detail below, to predict future adult weight status, from weight status profiles at 24 month </w:t>
      </w:r>
      <w:r w:rsidR="009D1C7F" w:rsidRPr="00296D0C">
        <w:rPr>
          <w:rFonts w:cs="Arial"/>
        </w:rPr>
        <w:t>follow up</w:t>
      </w:r>
      <w:r w:rsidRPr="00296D0C">
        <w:rPr>
          <w:rFonts w:cs="Arial"/>
        </w:rPr>
        <w:t xml:space="preserve"> in the HeLP RCT (</w:t>
      </w:r>
      <w:r w:rsidR="009D1C7F" w:rsidRPr="00296D0C">
        <w:rPr>
          <w:rFonts w:cs="Arial"/>
        </w:rPr>
        <w:t>BMI SDS</w:t>
      </w:r>
      <w:r w:rsidRPr="00296D0C">
        <w:rPr>
          <w:rFonts w:cs="Arial"/>
        </w:rPr>
        <w:t xml:space="preserve">) at age 11-12 years, and thereafter, in stage 2, to predict a profile of future weight related health events (e.g. T2DM, CHD) as a function of the predicted adult weight status profiles, i.e. for treatment cohort participants versus controls. The aim of the modelling framework – the Exeter Obesity Model - was to capture the difference in costs and outcomes over time in adult years, associated with weight status profiles at 24-month </w:t>
      </w:r>
      <w:r w:rsidR="009D1C7F" w:rsidRPr="00296D0C">
        <w:rPr>
          <w:rFonts w:cs="Arial"/>
        </w:rPr>
        <w:t>follow up</w:t>
      </w:r>
      <w:r w:rsidRPr="00296D0C">
        <w:rPr>
          <w:rFonts w:cs="Arial"/>
        </w:rPr>
        <w:t xml:space="preserve"> for treatment and control participants in the HeLP RCT</w:t>
      </w:r>
      <w:r w:rsidR="006223C8">
        <w:rPr>
          <w:rFonts w:cs="Arial"/>
        </w:rPr>
        <w:t>,</w:t>
      </w:r>
      <w:r w:rsidRPr="00296D0C">
        <w:rPr>
          <w:rFonts w:cs="Arial"/>
        </w:rPr>
        <w:t xml:space="preserve"> at age 11-12 years.</w:t>
      </w:r>
    </w:p>
    <w:p w14:paraId="1B7C2E65" w14:textId="77777777" w:rsidR="005911C1" w:rsidRPr="00296D0C" w:rsidRDefault="005911C1" w:rsidP="009A5EA7">
      <w:pPr>
        <w:spacing w:after="0" w:line="360" w:lineRule="auto"/>
        <w:rPr>
          <w:rFonts w:cs="Arial"/>
        </w:rPr>
      </w:pPr>
    </w:p>
    <w:p w14:paraId="62723855" w14:textId="3A72615E" w:rsidR="00861557" w:rsidRPr="00296D0C" w:rsidRDefault="00861557" w:rsidP="000D0114">
      <w:pPr>
        <w:spacing w:after="0" w:line="360" w:lineRule="auto"/>
        <w:rPr>
          <w:rFonts w:cs="Arial"/>
          <w:b/>
          <w:spacing w:val="20"/>
        </w:rPr>
      </w:pPr>
      <w:r w:rsidRPr="00296D0C">
        <w:rPr>
          <w:rFonts w:cs="Arial"/>
        </w:rPr>
        <w:t xml:space="preserve">A decision-analytic model was developed, based on a review of published models in this area (i.e. modelling impacts of childhood obesity interventions, through adult years), and discussions across stakeholder groups (see detail of the Project Advisory Group in </w:t>
      </w:r>
      <w:r w:rsidR="00E34A3B">
        <w:rPr>
          <w:rFonts w:cs="Arial"/>
        </w:rPr>
        <w:t>c</w:t>
      </w:r>
      <w:r w:rsidRPr="00296D0C">
        <w:rPr>
          <w:rFonts w:cs="Arial"/>
        </w:rPr>
        <w:t>hapter 2).  The model was informed and populated based on literature review for parameter inputs, and against good practice modelling guidance</w:t>
      </w:r>
      <w:r w:rsidR="00245476" w:rsidRPr="00296D0C">
        <w:rPr>
          <w:rFonts w:cs="Arial"/>
        </w:rPr>
        <w:t xml:space="preserve"> </w:t>
      </w:r>
      <w:r w:rsidR="00245476" w:rsidRPr="00296D0C">
        <w:rPr>
          <w:rFonts w:cs="Arial"/>
        </w:rPr>
        <w:fldChar w:fldCharType="begin"/>
      </w:r>
      <w:r w:rsidR="008C43BF">
        <w:rPr>
          <w:rFonts w:cs="Arial"/>
        </w:rPr>
        <w:instrText xml:space="preserve"> ADDIN EN.CITE &lt;EndNote&gt;&lt;Cite&gt;&lt;Author&gt;Philips&lt;/Author&gt;&lt;Year&gt;2006&lt;/Year&gt;&lt;RecNum&gt;226&lt;/RecNum&gt;&lt;DisplayText&gt;&lt;style face="superscript"&gt;58&lt;/style&gt;&lt;/DisplayText&gt;&lt;record&gt;&lt;rec-number&gt;226&lt;/rec-number&gt;&lt;foreign-keys&gt;&lt;key app="EN" db-id="0dds99xxkezfxieepft5er0c0tfe9ssed9e5" timestamp="1478101488"&gt;226&lt;/key&gt;&lt;/foreign-keys&gt;&lt;ref-type name="Journal Article"&gt;17&lt;/ref-type&gt;&lt;contributors&gt;&lt;authors&gt;&lt;author&gt;Philips, Z.&lt;/author&gt;&lt;author&gt;Bojke, L.&lt;/author&gt;&lt;author&gt;Sculpher, M.&lt;/author&gt;&lt;author&gt;Claxton, K.&lt;/author&gt;&lt;author&gt;Golder, S.&lt;/author&gt;&lt;/authors&gt;&lt;/contributors&gt;&lt;auth-address&gt;School of Economics, University of Nottingham, Nottingham, UK. Zoe.Philips@Nottingham.ac.uk&lt;/auth-address&gt;&lt;titles&gt;&lt;title&gt;Good practice guidelines for decision-analytic modelling in health technology assessment: a review and consolidation of quality assessment&lt;/title&gt;&lt;secondary-title&gt;Pharmacoeconomics&lt;/secondary-title&gt;&lt;/titles&gt;&lt;periodical&gt;&lt;full-title&gt;Pharmacoeconomics&lt;/full-title&gt;&lt;/periodical&gt;&lt;pages&gt;355-71&lt;/pages&gt;&lt;volume&gt;24&lt;/volume&gt;&lt;number&gt;4&lt;/number&gt;&lt;keywords&gt;&lt;keyword&gt;Cost-Benefit Analysis&lt;/keyword&gt;&lt;keyword&gt;*Decision Support Techniques&lt;/keyword&gt;&lt;keyword&gt;Humans&lt;/keyword&gt;&lt;keyword&gt;Interferon-beta/economics/therapeutic use&lt;/keyword&gt;&lt;keyword&gt;Models, Economic&lt;/keyword&gt;&lt;keyword&gt;Multiple Sclerosis/drug therapy/economics&lt;/keyword&gt;&lt;keyword&gt;Practice Guidelines as Topic&lt;/keyword&gt;&lt;keyword&gt;Technology Assessment, Biomedical/*methods&lt;/keyword&gt;&lt;keyword&gt;Time Factors&lt;/keyword&gt;&lt;keyword&gt;Treatment Outcome&lt;/keyword&gt;&lt;keyword&gt;Uncertainty&lt;/keyword&gt;&lt;/keywords&gt;&lt;dates&gt;&lt;year&gt;2006&lt;/year&gt;&lt;/dates&gt;&lt;isbn&gt;1170-7690 (Print)&amp;#xD;1170-7690 (Linking)&lt;/isbn&gt;&lt;accession-num&gt;16605282&lt;/accession-num&gt;&lt;urls&gt;&lt;related-urls&gt;&lt;url&gt;http://www.ncbi.nlm.nih.gov/pubmed/16605282&lt;/url&gt;&lt;/related-urls&gt;&lt;/urls&gt;&lt;/record&gt;&lt;/Cite&gt;&lt;/EndNote&gt;</w:instrText>
      </w:r>
      <w:r w:rsidR="00245476" w:rsidRPr="00296D0C">
        <w:rPr>
          <w:rFonts w:cs="Arial"/>
        </w:rPr>
        <w:fldChar w:fldCharType="separate"/>
      </w:r>
      <w:r w:rsidR="008C43BF" w:rsidRPr="008C43BF">
        <w:rPr>
          <w:rFonts w:cs="Arial"/>
          <w:noProof/>
          <w:vertAlign w:val="superscript"/>
        </w:rPr>
        <w:t>58</w:t>
      </w:r>
      <w:r w:rsidR="00245476" w:rsidRPr="00296D0C">
        <w:rPr>
          <w:rFonts w:cs="Arial"/>
        </w:rPr>
        <w:fldChar w:fldCharType="end"/>
      </w:r>
      <w:r w:rsidRPr="00296D0C">
        <w:rPr>
          <w:rFonts w:cs="Arial"/>
        </w:rPr>
        <w:t xml:space="preserve"> </w:t>
      </w:r>
      <w:r w:rsidR="00D42955" w:rsidRPr="00296D0C">
        <w:rPr>
          <w:rFonts w:cs="Arial"/>
        </w:rPr>
        <w:fldChar w:fldCharType="begin"/>
      </w:r>
      <w:r w:rsidR="008C43BF">
        <w:rPr>
          <w:rFonts w:cs="Arial"/>
        </w:rPr>
        <w:instrText xml:space="preserve"> ADDIN EN.CITE &lt;EndNote&gt;&lt;Cite&gt;&lt;Author&gt;Caro&lt;/Author&gt;&lt;Year&gt;2012&lt;/Year&gt;&lt;RecNum&gt;5733&lt;/RecNum&gt;&lt;DisplayText&gt;&lt;style face="superscript"&gt;59&lt;/style&gt;&lt;/DisplayText&gt;&lt;record&gt;&lt;rec-number&gt;5733&lt;/rec-number&gt;&lt;foreign-keys&gt;&lt;key app="EN" db-id="2ewa9rrvjsdsawep2vpx5x97eedzzvxx5rta" timestamp="1478679952"&gt;5733&lt;/key&gt;&lt;/foreign-keys&gt;&lt;ref-type name="Journal Article"&gt;17&lt;/ref-type&gt;&lt;contributors&gt;&lt;authors&gt;&lt;author&gt;Caro, J. J.&lt;/author&gt;&lt;author&gt;Briggs, A. H.&lt;/author&gt;&lt;author&gt;Siebert, U.&lt;/author&gt;&lt;author&gt;Kuntz, K. M.&lt;/author&gt;&lt;author&gt;Ispor-Smdm Modeling Good Research Practices Task Force&lt;/author&gt;&lt;/authors&gt;&lt;/contributors&gt;&lt;auth-address&gt;McGill University, Montreal, Canada. jaime.caro@mcgill.ca&lt;/auth-address&gt;&lt;titles&gt;&lt;title&gt;Modeling good research practices--overview: a report of the ISPOR-SMDM Modeling Good Research Practices Task Force-1&lt;/title&gt;&lt;secondary-title&gt;Med Decis Making&lt;/secondary-title&gt;&lt;/titles&gt;&lt;periodical&gt;&lt;full-title&gt;Medical Decision Making&lt;/full-title&gt;&lt;abbr-1&gt;Med. Decis. Making&lt;/abbr-1&gt;&lt;abbr-2&gt;Med Decis Making&lt;/abbr-2&gt;&lt;/periodical&gt;&lt;pages&gt;667-77&lt;/pages&gt;&lt;volume&gt;32&lt;/volume&gt;&lt;number&gt;5&lt;/number&gt;&lt;keywords&gt;&lt;keyword&gt;*Biomedical Research&lt;/keyword&gt;&lt;keyword&gt;Delivery of Health Care/*organization &amp;amp; administration&lt;/keyword&gt;&lt;keyword&gt;*Models, Theoretical&lt;/keyword&gt;&lt;keyword&gt;Uncertainty&lt;/keyword&gt;&lt;/keywords&gt;&lt;dates&gt;&lt;year&gt;2012&lt;/year&gt;&lt;pub-dates&gt;&lt;date&gt;Sep-Oct&lt;/date&gt;&lt;/pub-dates&gt;&lt;/dates&gt;&lt;isbn&gt;1552-681X (Electronic)&amp;#xD;0272-989X (Linking)&lt;/isbn&gt;&lt;accession-num&gt;22990082&lt;/accession-num&gt;&lt;urls&gt;&lt;related-urls&gt;&lt;url&gt;http://www.ncbi.nlm.nih.gov/pubmed/22990082&lt;/url&gt;&lt;/related-urls&gt;&lt;/urls&gt;&lt;electronic-resource-num&gt;10.1177/0272989X12454577&lt;/electronic-resource-num&gt;&lt;/record&gt;&lt;/Cite&gt;&lt;/EndNote&gt;</w:instrText>
      </w:r>
      <w:r w:rsidR="00D42955" w:rsidRPr="00296D0C">
        <w:rPr>
          <w:rFonts w:cs="Arial"/>
        </w:rPr>
        <w:fldChar w:fldCharType="separate"/>
      </w:r>
      <w:r w:rsidR="008C43BF" w:rsidRPr="008C43BF">
        <w:rPr>
          <w:rFonts w:cs="Arial"/>
          <w:noProof/>
          <w:vertAlign w:val="superscript"/>
        </w:rPr>
        <w:t>59</w:t>
      </w:r>
      <w:r w:rsidR="00D42955" w:rsidRPr="00296D0C">
        <w:rPr>
          <w:rFonts w:cs="Arial"/>
        </w:rPr>
        <w:fldChar w:fldCharType="end"/>
      </w:r>
      <w:r w:rsidRPr="00296D0C">
        <w:rPr>
          <w:rFonts w:cs="Arial"/>
        </w:rPr>
        <w:t>.  The aim of the model-based framework was to estimate the cost effectiveness of the HeLP intervention, assumed at this stage to be a relatively low cost public health intervention, versus usual practice.  The setting is a UK public health setting, involving a school-based intervention as a means of impacting on future adult weight status and health status, through reduced incidence of adverse health events.  The decision-analytic context is the question on the cost effectiveness of the HeLP intervention, versus usual practice, and the modelling framework was not intended to be an accurate prediction of the life experiences of children by weight status through adult years.  The development of a model based framework, was set out conceptually in a pre-specified economic analysis plan</w:t>
      </w:r>
      <w:r w:rsidR="00FD7E39">
        <w:rPr>
          <w:rFonts w:cs="Arial"/>
        </w:rPr>
        <w:t xml:space="preserve"> </w:t>
      </w:r>
      <w:r w:rsidR="00FD7E39">
        <w:rPr>
          <w:rFonts w:cs="Arial"/>
        </w:rPr>
        <w:fldChar w:fldCharType="begin"/>
      </w:r>
      <w:r w:rsidR="006B3301">
        <w:rPr>
          <w:rFonts w:cs="Arial"/>
        </w:rPr>
        <w:instrText xml:space="preserve"> ADDIN EN.CITE &lt;EndNote&gt;&lt;Cite ExcludeAuth="1" ExcludeYear="1"&gt;&lt;RecNum&gt;5674&lt;/RecNum&gt;&lt;DisplayText&gt;&lt;style face="superscript"&gt;42&lt;/style&gt;&lt;/DisplayText&gt;&lt;record&gt;&lt;rec-number&gt;5674&lt;/rec-number&gt;&lt;foreign-keys&gt;&lt;key app="EN" db-id="2ewa9rrvjsdsawep2vpx5x97eedzzvxx5rta" timestamp="1457530239"&gt;5674&lt;/key&gt;&lt;/foreign-keys&gt;&lt;ref-type name="Web Page"&gt;12&lt;/ref-type&gt;&lt;contributors&gt;&lt;/contributors&gt;&lt;titles&gt;&lt;title&gt;National Institute for Health Research Project PHR - 10/3010/01 &lt;/title&gt;&lt;secondary-title&gt;Cluster randomised controlled trial, economic and process evaluation to determine the effectiveness and cost effectiveness of a novel intervention (Healthy Lifestyles Programme, HeLP) to prevent obesity in school children&lt;/secondary-title&gt;&lt;/titles&gt;&lt;number&gt;01 Mar 2016&lt;/number&gt;&lt;dates&gt;&lt;/dates&gt;&lt;urls&gt;&lt;related-urls&gt;&lt;url&gt;http://www.nets.nihr.ac.uk/projects/phr/10301001&lt;/url&gt;&lt;/related-urls&gt;&lt;/urls&gt;&lt;/record&gt;&lt;/Cite&gt;&lt;/EndNote&gt;</w:instrText>
      </w:r>
      <w:r w:rsidR="00FD7E39">
        <w:rPr>
          <w:rFonts w:cs="Arial"/>
        </w:rPr>
        <w:fldChar w:fldCharType="separate"/>
      </w:r>
      <w:r w:rsidR="008C43BF" w:rsidRPr="008C43BF">
        <w:rPr>
          <w:rFonts w:cs="Arial"/>
          <w:noProof/>
          <w:vertAlign w:val="superscript"/>
        </w:rPr>
        <w:t>42</w:t>
      </w:r>
      <w:r w:rsidR="00FD7E39">
        <w:rPr>
          <w:rFonts w:cs="Arial"/>
        </w:rPr>
        <w:fldChar w:fldCharType="end"/>
      </w:r>
      <w:r w:rsidRPr="00296D0C">
        <w:rPr>
          <w:rFonts w:cs="Arial"/>
        </w:rPr>
        <w:t xml:space="preserve">. Cost effectiveness analysis </w:t>
      </w:r>
      <w:r w:rsidR="00B13AA9" w:rsidRPr="00296D0C">
        <w:rPr>
          <w:rFonts w:cs="Arial"/>
        </w:rPr>
        <w:t xml:space="preserve">(CEA) </w:t>
      </w:r>
      <w:r w:rsidRPr="00296D0C">
        <w:rPr>
          <w:rFonts w:cs="Arial"/>
        </w:rPr>
        <w:t xml:space="preserve">was expected to synthesis data on predicted mean incremental costs and benefits, taking a primary perspective as that of the NHS and Personal Social Services (i.e. Third Party Payer), consistent with the methods recommended by NICE </w:t>
      </w:r>
      <w:r w:rsidR="00630C26" w:rsidRPr="00296D0C">
        <w:rPr>
          <w:rFonts w:cs="Arial"/>
        </w:rPr>
        <w:fldChar w:fldCharType="begin"/>
      </w:r>
      <w:r w:rsidR="00931E9F">
        <w:rPr>
          <w:rFonts w:cs="Arial"/>
        </w:rPr>
        <w:instrText xml:space="preserve"> ADDIN EN.CITE &lt;EndNote&gt;&lt;Cite&gt;&lt;Author&gt;Excellence&lt;/Author&gt;&lt;Year&gt;2013&lt;/Year&gt;&lt;RecNum&gt;5570&lt;/RecNum&gt;&lt;DisplayText&gt;&lt;style face="superscript"&gt;60&lt;/style&gt;&lt;/DisplayText&gt;&lt;record&gt;&lt;rec-number&gt;5570&lt;/rec-number&gt;&lt;foreign-keys&gt;&lt;key app="EN" db-id="2ewa9rrvjsdsawep2vpx5x97eedzzvxx5rta" timestamp="1452091158"&gt;5570&lt;/key&gt;&lt;/foreign-keys&gt;&lt;ref-type name="Government Document"&gt;46&lt;/ref-type&gt;&lt;contributors&gt;&lt;authors&gt;&lt;author&gt;National Institute for Health and Care Excellence,&lt;/author&gt;&lt;/authors&gt;&lt;/contributors&gt;&lt;titles&gt;&lt;title&gt;NICE Guidelines [PH47] Managing overweight and obesity among children and young people: lifestyle weight management services&lt;/title&gt;&lt;/titles&gt;&lt;dates&gt;&lt;year&gt;2013&lt;/year&gt;&lt;/dates&gt;&lt;urls&gt;&lt;related-urls&gt;&lt;url&gt;http://guidance.nice.org.uk/PH47/Guidance/pdf/English &lt;/url&gt;&lt;/related-urls&gt;&lt;/urls&gt;&lt;access-date&gt;14 June 2016&lt;/access-date&gt;&lt;/record&gt;&lt;/Cite&gt;&lt;/EndNote&gt;</w:instrText>
      </w:r>
      <w:r w:rsidR="00630C26" w:rsidRPr="00296D0C">
        <w:rPr>
          <w:rFonts w:cs="Arial"/>
        </w:rPr>
        <w:fldChar w:fldCharType="separate"/>
      </w:r>
      <w:r w:rsidR="008C43BF" w:rsidRPr="008C43BF">
        <w:rPr>
          <w:rFonts w:cs="Arial"/>
          <w:noProof/>
          <w:vertAlign w:val="superscript"/>
        </w:rPr>
        <w:t>60</w:t>
      </w:r>
      <w:r w:rsidR="00630C26" w:rsidRPr="00296D0C">
        <w:rPr>
          <w:rFonts w:cs="Arial"/>
        </w:rPr>
        <w:fldChar w:fldCharType="end"/>
      </w:r>
      <w:r w:rsidRPr="00296D0C">
        <w:rPr>
          <w:rFonts w:cs="Arial"/>
        </w:rPr>
        <w:t>.  The primary economic endpoint was cost per quality-adjusted l</w:t>
      </w:r>
      <w:r w:rsidR="000D0114" w:rsidRPr="00296D0C">
        <w:rPr>
          <w:rFonts w:cs="Arial"/>
        </w:rPr>
        <w:t xml:space="preserve">ife-year (QALY), with CEA also </w:t>
      </w:r>
      <w:r w:rsidRPr="00296D0C">
        <w:rPr>
          <w:rFonts w:cs="Arial"/>
        </w:rPr>
        <w:t xml:space="preserve">to be presented against cost per life year gained and cost per weight-related event avoided. </w:t>
      </w:r>
      <w:bookmarkStart w:id="464" w:name="_Toc452020170"/>
      <w:bookmarkStart w:id="465" w:name="_Toc452020293"/>
      <w:r w:rsidRPr="00296D0C">
        <w:rPr>
          <w:rFonts w:cs="Arial"/>
        </w:rPr>
        <w:br w:type="page"/>
      </w:r>
    </w:p>
    <w:p w14:paraId="52E7FCA7" w14:textId="480ACE83" w:rsidR="00861557" w:rsidRPr="00296D0C" w:rsidRDefault="003723AE" w:rsidP="00861557">
      <w:pPr>
        <w:pStyle w:val="Heading2"/>
        <w:spacing w:after="120"/>
        <w:rPr>
          <w:rFonts w:asciiTheme="minorHAnsi" w:hAnsiTheme="minorHAnsi" w:cs="Arial"/>
          <w:sz w:val="22"/>
          <w:szCs w:val="22"/>
        </w:rPr>
      </w:pPr>
      <w:bookmarkStart w:id="466" w:name="_Toc466639067"/>
      <w:bookmarkStart w:id="467" w:name="_Toc466710100"/>
      <w:bookmarkStart w:id="468" w:name="_Toc466711448"/>
      <w:bookmarkStart w:id="469" w:name="_Toc466712107"/>
      <w:bookmarkStart w:id="470" w:name="_Toc475974375"/>
      <w:r w:rsidRPr="00296D0C">
        <w:rPr>
          <w:rFonts w:asciiTheme="minorHAnsi" w:hAnsiTheme="minorHAnsi" w:cs="Arial"/>
          <w:sz w:val="22"/>
          <w:szCs w:val="22"/>
        </w:rPr>
        <w:lastRenderedPageBreak/>
        <w:t>4.3</w:t>
      </w:r>
      <w:r w:rsidR="00861557" w:rsidRPr="00296D0C">
        <w:rPr>
          <w:rFonts w:asciiTheme="minorHAnsi" w:hAnsiTheme="minorHAnsi" w:cs="Arial"/>
          <w:sz w:val="22"/>
          <w:szCs w:val="22"/>
        </w:rPr>
        <w:t xml:space="preserve"> Results</w:t>
      </w:r>
      <w:bookmarkEnd w:id="466"/>
      <w:bookmarkEnd w:id="467"/>
      <w:bookmarkEnd w:id="468"/>
      <w:bookmarkEnd w:id="469"/>
      <w:bookmarkEnd w:id="470"/>
    </w:p>
    <w:p w14:paraId="28D48276" w14:textId="7BA6D404" w:rsidR="00861557" w:rsidRPr="00296D0C" w:rsidRDefault="003723AE" w:rsidP="003723AE">
      <w:pPr>
        <w:pStyle w:val="Heading3"/>
        <w:rPr>
          <w:rFonts w:asciiTheme="minorHAnsi" w:hAnsiTheme="minorHAnsi" w:cs="Arial"/>
        </w:rPr>
      </w:pPr>
      <w:bookmarkStart w:id="471" w:name="_Toc466710101"/>
      <w:bookmarkStart w:id="472" w:name="_Toc466711449"/>
      <w:bookmarkStart w:id="473" w:name="_Toc466712108"/>
      <w:bookmarkStart w:id="474" w:name="_Toc475974376"/>
      <w:r w:rsidRPr="00296D0C">
        <w:rPr>
          <w:rFonts w:asciiTheme="minorHAnsi" w:hAnsiTheme="minorHAnsi" w:cs="Arial"/>
        </w:rPr>
        <w:t>4.</w:t>
      </w:r>
      <w:r w:rsidR="00861557" w:rsidRPr="00296D0C">
        <w:rPr>
          <w:rFonts w:asciiTheme="minorHAnsi" w:hAnsiTheme="minorHAnsi" w:cs="Arial"/>
        </w:rPr>
        <w:t>3.1 Estimating the resource use and cost of the HeLP intervention</w:t>
      </w:r>
      <w:bookmarkEnd w:id="464"/>
      <w:bookmarkEnd w:id="465"/>
      <w:bookmarkEnd w:id="471"/>
      <w:bookmarkEnd w:id="472"/>
      <w:bookmarkEnd w:id="473"/>
      <w:bookmarkEnd w:id="474"/>
    </w:p>
    <w:p w14:paraId="7B9DC301" w14:textId="510E2379" w:rsidR="00861557" w:rsidRPr="00296D0C" w:rsidRDefault="00861557" w:rsidP="000D0114">
      <w:pPr>
        <w:spacing w:after="0" w:line="360" w:lineRule="auto"/>
        <w:rPr>
          <w:rFonts w:cs="Arial"/>
        </w:rPr>
      </w:pPr>
      <w:r w:rsidRPr="00296D0C">
        <w:rPr>
          <w:rFonts w:cs="Arial"/>
        </w:rPr>
        <w:t>The HeLP intervention was delivered to children in 16 schools, reflecting delivery of the intervention to 27 classes (see Table</w:t>
      </w:r>
      <w:r w:rsidR="00776432" w:rsidRPr="00296D0C">
        <w:rPr>
          <w:rFonts w:cs="Arial"/>
        </w:rPr>
        <w:t xml:space="preserve"> 1</w:t>
      </w:r>
      <w:r w:rsidR="00472BD5">
        <w:rPr>
          <w:rFonts w:cs="Arial"/>
        </w:rPr>
        <w:t>8</w:t>
      </w:r>
      <w:r w:rsidR="000D0114" w:rsidRPr="00296D0C">
        <w:rPr>
          <w:rFonts w:cs="Arial"/>
        </w:rPr>
        <w:t xml:space="preserve">). </w:t>
      </w:r>
      <w:r w:rsidRPr="00296D0C">
        <w:rPr>
          <w:rFonts w:cs="Arial"/>
        </w:rPr>
        <w:t>Within trial data on resource use for delivery comprised 719 HeLP Coordinator contact sheets, representing data on 94% of expected contacts with schools, accounting for scho</w:t>
      </w:r>
      <w:r w:rsidR="000D0114" w:rsidRPr="00296D0C">
        <w:rPr>
          <w:rFonts w:cs="Arial"/>
        </w:rPr>
        <w:t xml:space="preserve">ol and class-level activities. </w:t>
      </w:r>
    </w:p>
    <w:p w14:paraId="65953570" w14:textId="77777777" w:rsidR="005911C1" w:rsidRPr="00296D0C" w:rsidRDefault="005911C1" w:rsidP="000D0114">
      <w:pPr>
        <w:spacing w:after="0" w:line="360" w:lineRule="auto"/>
        <w:rPr>
          <w:rFonts w:cs="Arial"/>
        </w:rPr>
      </w:pPr>
    </w:p>
    <w:p w14:paraId="6E4EEAE8" w14:textId="2673A802" w:rsidR="00861557" w:rsidRPr="00296D0C" w:rsidRDefault="00861557" w:rsidP="00861557">
      <w:pPr>
        <w:pStyle w:val="Caption"/>
        <w:rPr>
          <w:rFonts w:cs="Arial"/>
          <w:b/>
          <w:i w:val="0"/>
          <w:sz w:val="22"/>
          <w:szCs w:val="22"/>
        </w:rPr>
      </w:pPr>
      <w:r w:rsidRPr="00296D0C">
        <w:rPr>
          <w:rFonts w:cs="Arial"/>
          <w:b/>
          <w:i w:val="0"/>
          <w:color w:val="auto"/>
          <w:sz w:val="22"/>
          <w:szCs w:val="22"/>
        </w:rPr>
        <w:t>T</w:t>
      </w:r>
      <w:r w:rsidR="005911C1" w:rsidRPr="00296D0C">
        <w:rPr>
          <w:rFonts w:cs="Arial"/>
          <w:b/>
          <w:i w:val="0"/>
          <w:color w:val="auto"/>
          <w:sz w:val="22"/>
          <w:szCs w:val="22"/>
        </w:rPr>
        <w:t>ABLE</w:t>
      </w:r>
      <w:r w:rsidRPr="00296D0C">
        <w:rPr>
          <w:rFonts w:cs="Arial"/>
          <w:b/>
          <w:i w:val="0"/>
          <w:color w:val="auto"/>
          <w:sz w:val="22"/>
          <w:szCs w:val="22"/>
        </w:rPr>
        <w:t xml:space="preserve"> </w:t>
      </w:r>
      <w:r w:rsidR="00776432" w:rsidRPr="00296D0C">
        <w:rPr>
          <w:rFonts w:cs="Arial"/>
          <w:b/>
          <w:i w:val="0"/>
          <w:color w:val="auto"/>
          <w:sz w:val="22"/>
          <w:szCs w:val="22"/>
        </w:rPr>
        <w:t>1</w:t>
      </w:r>
      <w:r w:rsidR="00472BD5">
        <w:rPr>
          <w:rFonts w:cs="Arial"/>
          <w:b/>
          <w:i w:val="0"/>
          <w:color w:val="auto"/>
          <w:sz w:val="22"/>
          <w:szCs w:val="22"/>
        </w:rPr>
        <w:t>8</w:t>
      </w:r>
      <w:r w:rsidR="003723AE" w:rsidRPr="00296D0C">
        <w:rPr>
          <w:rFonts w:cs="Arial"/>
          <w:b/>
          <w:i w:val="0"/>
          <w:color w:val="auto"/>
          <w:sz w:val="22"/>
          <w:szCs w:val="22"/>
        </w:rPr>
        <w:t xml:space="preserve"> </w:t>
      </w:r>
      <w:r w:rsidRPr="00296D0C">
        <w:rPr>
          <w:rFonts w:cs="Arial"/>
          <w:b/>
          <w:i w:val="0"/>
          <w:color w:val="auto"/>
          <w:sz w:val="22"/>
          <w:szCs w:val="22"/>
        </w:rPr>
        <w:t>Summary of school level characteristics for delivery of HeLP</w:t>
      </w:r>
    </w:p>
    <w:tbl>
      <w:tblPr>
        <w:tblW w:w="4423" w:type="pct"/>
        <w:tblLayout w:type="fixed"/>
        <w:tblLook w:val="04A0" w:firstRow="1" w:lastRow="0" w:firstColumn="1" w:lastColumn="0" w:noHBand="0" w:noVBand="1"/>
      </w:tblPr>
      <w:tblGrid>
        <w:gridCol w:w="903"/>
        <w:gridCol w:w="1776"/>
        <w:gridCol w:w="1016"/>
        <w:gridCol w:w="1664"/>
        <w:gridCol w:w="1108"/>
        <w:gridCol w:w="1517"/>
      </w:tblGrid>
      <w:tr w:rsidR="00861557" w:rsidRPr="00296D0C" w14:paraId="047B4AAB" w14:textId="77777777" w:rsidTr="0077247E">
        <w:trPr>
          <w:trHeight w:val="300"/>
          <w:tblHeader/>
        </w:trPr>
        <w:tc>
          <w:tcPr>
            <w:tcW w:w="566" w:type="pct"/>
            <w:tcBorders>
              <w:top w:val="single" w:sz="8" w:space="0" w:color="000000"/>
              <w:left w:val="nil"/>
              <w:bottom w:val="single" w:sz="8" w:space="0" w:color="000000"/>
              <w:right w:val="nil"/>
            </w:tcBorders>
          </w:tcPr>
          <w:p w14:paraId="6496B5B3" w14:textId="77777777" w:rsidR="00861557" w:rsidRPr="00296D0C" w:rsidRDefault="00861557" w:rsidP="0077247E">
            <w:pPr>
              <w:spacing w:before="40" w:after="40" w:line="240" w:lineRule="auto"/>
              <w:rPr>
                <w:rFonts w:cs="Arial"/>
                <w:b/>
                <w:bCs/>
                <w:color w:val="000000"/>
              </w:rPr>
            </w:pPr>
          </w:p>
        </w:tc>
        <w:tc>
          <w:tcPr>
            <w:tcW w:w="1112" w:type="pct"/>
            <w:tcBorders>
              <w:top w:val="single" w:sz="8" w:space="0" w:color="000000"/>
              <w:left w:val="nil"/>
              <w:bottom w:val="single" w:sz="8" w:space="0" w:color="000000"/>
              <w:right w:val="nil"/>
            </w:tcBorders>
            <w:shd w:val="clear" w:color="auto" w:fill="auto"/>
            <w:hideMark/>
          </w:tcPr>
          <w:p w14:paraId="04C571C4" w14:textId="77777777" w:rsidR="00861557" w:rsidRPr="00296D0C" w:rsidRDefault="00861557" w:rsidP="0077247E">
            <w:pPr>
              <w:spacing w:before="40" w:after="40" w:line="240" w:lineRule="auto"/>
              <w:rPr>
                <w:rFonts w:cs="Arial"/>
                <w:bCs/>
                <w:color w:val="000000"/>
              </w:rPr>
            </w:pPr>
            <w:r w:rsidRPr="00296D0C">
              <w:rPr>
                <w:rFonts w:cs="Arial"/>
                <w:bCs/>
                <w:color w:val="000000"/>
              </w:rPr>
              <w:t>School code</w:t>
            </w:r>
          </w:p>
        </w:tc>
        <w:tc>
          <w:tcPr>
            <w:tcW w:w="636" w:type="pct"/>
            <w:tcBorders>
              <w:top w:val="single" w:sz="8" w:space="0" w:color="000000"/>
              <w:left w:val="nil"/>
              <w:bottom w:val="single" w:sz="8" w:space="0" w:color="000000"/>
              <w:right w:val="nil"/>
            </w:tcBorders>
            <w:shd w:val="clear" w:color="auto" w:fill="auto"/>
            <w:hideMark/>
          </w:tcPr>
          <w:p w14:paraId="25AA2899" w14:textId="77777777" w:rsidR="00861557" w:rsidRPr="00296D0C" w:rsidRDefault="00861557" w:rsidP="0077247E">
            <w:pPr>
              <w:spacing w:before="40" w:after="40" w:line="240" w:lineRule="auto"/>
              <w:rPr>
                <w:rFonts w:cs="Arial"/>
                <w:bCs/>
                <w:color w:val="000000"/>
              </w:rPr>
            </w:pPr>
            <w:r w:rsidRPr="00296D0C">
              <w:rPr>
                <w:rFonts w:cs="Arial"/>
                <w:bCs/>
                <w:color w:val="000000"/>
              </w:rPr>
              <w:t>Cohort</w:t>
            </w:r>
          </w:p>
        </w:tc>
        <w:tc>
          <w:tcPr>
            <w:tcW w:w="1042" w:type="pct"/>
            <w:tcBorders>
              <w:top w:val="single" w:sz="8" w:space="0" w:color="000000"/>
              <w:left w:val="nil"/>
              <w:bottom w:val="single" w:sz="8" w:space="0" w:color="000000"/>
              <w:right w:val="nil"/>
            </w:tcBorders>
            <w:shd w:val="clear" w:color="auto" w:fill="auto"/>
            <w:hideMark/>
          </w:tcPr>
          <w:p w14:paraId="0BE4387F" w14:textId="77777777" w:rsidR="00861557" w:rsidRPr="00296D0C" w:rsidRDefault="00861557" w:rsidP="0077247E">
            <w:pPr>
              <w:spacing w:before="40" w:after="40" w:line="240" w:lineRule="auto"/>
              <w:rPr>
                <w:rFonts w:cs="Arial"/>
                <w:bCs/>
                <w:color w:val="000000"/>
              </w:rPr>
            </w:pPr>
            <w:r w:rsidRPr="00296D0C">
              <w:rPr>
                <w:rFonts w:cs="Arial"/>
                <w:bCs/>
                <w:color w:val="000000"/>
              </w:rPr>
              <w:t>Pupils (baseline), N</w:t>
            </w:r>
          </w:p>
        </w:tc>
        <w:tc>
          <w:tcPr>
            <w:tcW w:w="694" w:type="pct"/>
            <w:tcBorders>
              <w:top w:val="single" w:sz="8" w:space="0" w:color="000000"/>
              <w:left w:val="nil"/>
              <w:bottom w:val="single" w:sz="8" w:space="0" w:color="000000"/>
              <w:right w:val="nil"/>
            </w:tcBorders>
            <w:shd w:val="clear" w:color="auto" w:fill="auto"/>
            <w:hideMark/>
          </w:tcPr>
          <w:p w14:paraId="4D581B7B" w14:textId="77777777" w:rsidR="00861557" w:rsidRPr="00296D0C" w:rsidRDefault="00861557" w:rsidP="0077247E">
            <w:pPr>
              <w:spacing w:before="40" w:after="40" w:line="240" w:lineRule="auto"/>
              <w:rPr>
                <w:rFonts w:cs="Arial"/>
                <w:bCs/>
                <w:color w:val="000000"/>
              </w:rPr>
            </w:pPr>
            <w:r w:rsidRPr="00296D0C">
              <w:rPr>
                <w:rFonts w:cs="Arial"/>
                <w:bCs/>
                <w:color w:val="000000"/>
              </w:rPr>
              <w:t>Classes, N</w:t>
            </w:r>
          </w:p>
        </w:tc>
        <w:tc>
          <w:tcPr>
            <w:tcW w:w="950" w:type="pct"/>
            <w:tcBorders>
              <w:top w:val="single" w:sz="8" w:space="0" w:color="000000"/>
              <w:left w:val="nil"/>
              <w:bottom w:val="single" w:sz="8" w:space="0" w:color="000000"/>
              <w:right w:val="nil"/>
            </w:tcBorders>
          </w:tcPr>
          <w:p w14:paraId="48231221" w14:textId="77777777" w:rsidR="00861557" w:rsidRPr="00296D0C" w:rsidRDefault="00861557" w:rsidP="0077247E">
            <w:pPr>
              <w:spacing w:before="40" w:after="40" w:line="240" w:lineRule="auto"/>
              <w:rPr>
                <w:rFonts w:cs="Arial"/>
                <w:bCs/>
                <w:color w:val="000000"/>
              </w:rPr>
            </w:pPr>
            <w:r w:rsidRPr="00296D0C">
              <w:rPr>
                <w:rFonts w:cs="Arial"/>
                <w:bCs/>
                <w:color w:val="000000"/>
              </w:rPr>
              <w:t>Classes in analysis, N</w:t>
            </w:r>
          </w:p>
        </w:tc>
      </w:tr>
      <w:tr w:rsidR="00861557" w:rsidRPr="00296D0C" w14:paraId="756AFE40" w14:textId="77777777" w:rsidTr="0077247E">
        <w:trPr>
          <w:trHeight w:val="300"/>
        </w:trPr>
        <w:tc>
          <w:tcPr>
            <w:tcW w:w="566" w:type="pct"/>
            <w:tcBorders>
              <w:top w:val="nil"/>
              <w:left w:val="nil"/>
              <w:bottom w:val="nil"/>
              <w:right w:val="nil"/>
            </w:tcBorders>
          </w:tcPr>
          <w:p w14:paraId="08EC2AF6" w14:textId="77777777" w:rsidR="00861557" w:rsidRPr="00296D0C" w:rsidRDefault="00861557" w:rsidP="0077247E">
            <w:pPr>
              <w:spacing w:before="40" w:after="40" w:line="240" w:lineRule="auto"/>
              <w:rPr>
                <w:rFonts w:cs="Arial"/>
                <w:color w:val="000000"/>
              </w:rPr>
            </w:pPr>
          </w:p>
        </w:tc>
        <w:tc>
          <w:tcPr>
            <w:tcW w:w="1112" w:type="pct"/>
            <w:tcBorders>
              <w:top w:val="nil"/>
              <w:left w:val="nil"/>
              <w:bottom w:val="nil"/>
              <w:right w:val="nil"/>
            </w:tcBorders>
            <w:shd w:val="clear" w:color="auto" w:fill="auto"/>
            <w:hideMark/>
          </w:tcPr>
          <w:p w14:paraId="6738D29E" w14:textId="77777777" w:rsidR="00861557" w:rsidRPr="00296D0C" w:rsidRDefault="00861557" w:rsidP="0077247E">
            <w:pPr>
              <w:spacing w:before="40" w:after="40" w:line="240" w:lineRule="auto"/>
              <w:rPr>
                <w:rFonts w:cs="Arial"/>
                <w:color w:val="000000"/>
              </w:rPr>
            </w:pPr>
            <w:r w:rsidRPr="00296D0C">
              <w:rPr>
                <w:rFonts w:cs="Arial"/>
                <w:color w:val="000000"/>
              </w:rPr>
              <w:t>23</w:t>
            </w:r>
          </w:p>
        </w:tc>
        <w:tc>
          <w:tcPr>
            <w:tcW w:w="636" w:type="pct"/>
            <w:tcBorders>
              <w:top w:val="nil"/>
              <w:left w:val="nil"/>
              <w:bottom w:val="nil"/>
              <w:right w:val="nil"/>
            </w:tcBorders>
            <w:shd w:val="clear" w:color="auto" w:fill="auto"/>
            <w:hideMark/>
          </w:tcPr>
          <w:p w14:paraId="09F4DA88" w14:textId="77777777" w:rsidR="00861557" w:rsidRPr="00296D0C" w:rsidRDefault="00861557" w:rsidP="0077247E">
            <w:pPr>
              <w:spacing w:before="40" w:after="40" w:line="240" w:lineRule="auto"/>
              <w:rPr>
                <w:rFonts w:cs="Arial"/>
                <w:color w:val="000000"/>
              </w:rPr>
            </w:pPr>
            <w:r w:rsidRPr="00296D0C">
              <w:rPr>
                <w:rFonts w:cs="Arial"/>
                <w:color w:val="000000"/>
              </w:rPr>
              <w:t>1</w:t>
            </w:r>
          </w:p>
        </w:tc>
        <w:tc>
          <w:tcPr>
            <w:tcW w:w="1042" w:type="pct"/>
            <w:tcBorders>
              <w:top w:val="nil"/>
              <w:left w:val="nil"/>
              <w:bottom w:val="nil"/>
              <w:right w:val="nil"/>
            </w:tcBorders>
            <w:shd w:val="clear" w:color="auto" w:fill="auto"/>
            <w:hideMark/>
          </w:tcPr>
          <w:p w14:paraId="117052CC" w14:textId="77777777" w:rsidR="00861557" w:rsidRPr="00296D0C" w:rsidRDefault="00861557" w:rsidP="0077247E">
            <w:pPr>
              <w:spacing w:before="40" w:after="40" w:line="240" w:lineRule="auto"/>
              <w:rPr>
                <w:rFonts w:cs="Arial"/>
                <w:color w:val="000000"/>
              </w:rPr>
            </w:pPr>
            <w:r w:rsidRPr="00296D0C">
              <w:rPr>
                <w:rFonts w:cs="Arial"/>
                <w:color w:val="000000"/>
              </w:rPr>
              <w:t>26</w:t>
            </w:r>
          </w:p>
        </w:tc>
        <w:tc>
          <w:tcPr>
            <w:tcW w:w="694" w:type="pct"/>
            <w:tcBorders>
              <w:top w:val="nil"/>
              <w:left w:val="nil"/>
              <w:bottom w:val="nil"/>
              <w:right w:val="nil"/>
            </w:tcBorders>
            <w:shd w:val="clear" w:color="auto" w:fill="auto"/>
            <w:hideMark/>
          </w:tcPr>
          <w:p w14:paraId="1D252937" w14:textId="77777777" w:rsidR="00861557" w:rsidRPr="00296D0C" w:rsidRDefault="00861557" w:rsidP="0077247E">
            <w:pPr>
              <w:spacing w:before="40" w:after="40" w:line="240" w:lineRule="auto"/>
              <w:rPr>
                <w:rFonts w:cs="Arial"/>
                <w:color w:val="000000"/>
              </w:rPr>
            </w:pPr>
            <w:r w:rsidRPr="00296D0C">
              <w:rPr>
                <w:rFonts w:cs="Arial"/>
                <w:color w:val="000000"/>
              </w:rPr>
              <w:t>1</w:t>
            </w:r>
          </w:p>
        </w:tc>
        <w:tc>
          <w:tcPr>
            <w:tcW w:w="950" w:type="pct"/>
            <w:tcBorders>
              <w:top w:val="nil"/>
              <w:left w:val="nil"/>
              <w:bottom w:val="nil"/>
              <w:right w:val="nil"/>
            </w:tcBorders>
          </w:tcPr>
          <w:p w14:paraId="35AAD2EF" w14:textId="77777777" w:rsidR="00861557" w:rsidRPr="00296D0C" w:rsidRDefault="00861557" w:rsidP="0077247E">
            <w:pPr>
              <w:spacing w:before="40" w:after="40" w:line="240" w:lineRule="auto"/>
              <w:rPr>
                <w:rFonts w:cs="Arial"/>
                <w:color w:val="000000"/>
              </w:rPr>
            </w:pPr>
            <w:r w:rsidRPr="00296D0C">
              <w:rPr>
                <w:rFonts w:cs="Arial"/>
                <w:color w:val="000000"/>
              </w:rPr>
              <w:t>1</w:t>
            </w:r>
          </w:p>
        </w:tc>
      </w:tr>
      <w:tr w:rsidR="00861557" w:rsidRPr="00296D0C" w14:paraId="19B8BB9F" w14:textId="77777777" w:rsidTr="0077247E">
        <w:trPr>
          <w:trHeight w:val="300"/>
        </w:trPr>
        <w:tc>
          <w:tcPr>
            <w:tcW w:w="566" w:type="pct"/>
            <w:tcBorders>
              <w:top w:val="nil"/>
              <w:left w:val="nil"/>
              <w:bottom w:val="nil"/>
              <w:right w:val="nil"/>
            </w:tcBorders>
          </w:tcPr>
          <w:p w14:paraId="24A8DEE1" w14:textId="77777777" w:rsidR="00861557" w:rsidRPr="00296D0C" w:rsidRDefault="00861557" w:rsidP="0077247E">
            <w:pPr>
              <w:spacing w:before="40" w:after="40" w:line="240" w:lineRule="auto"/>
              <w:rPr>
                <w:rFonts w:cs="Arial"/>
                <w:color w:val="000000"/>
              </w:rPr>
            </w:pPr>
          </w:p>
        </w:tc>
        <w:tc>
          <w:tcPr>
            <w:tcW w:w="1112" w:type="pct"/>
            <w:tcBorders>
              <w:top w:val="nil"/>
              <w:left w:val="nil"/>
              <w:bottom w:val="nil"/>
              <w:right w:val="nil"/>
            </w:tcBorders>
            <w:shd w:val="clear" w:color="auto" w:fill="auto"/>
            <w:hideMark/>
          </w:tcPr>
          <w:p w14:paraId="7D7B1A80" w14:textId="77777777" w:rsidR="00861557" w:rsidRPr="00296D0C" w:rsidRDefault="00861557" w:rsidP="0077247E">
            <w:pPr>
              <w:spacing w:before="40" w:after="40" w:line="240" w:lineRule="auto"/>
              <w:rPr>
                <w:rFonts w:cs="Arial"/>
                <w:color w:val="000000"/>
              </w:rPr>
            </w:pPr>
            <w:r w:rsidRPr="00296D0C">
              <w:rPr>
                <w:rFonts w:cs="Arial"/>
                <w:color w:val="000000"/>
              </w:rPr>
              <w:t>2</w:t>
            </w:r>
          </w:p>
        </w:tc>
        <w:tc>
          <w:tcPr>
            <w:tcW w:w="636" w:type="pct"/>
            <w:tcBorders>
              <w:top w:val="nil"/>
              <w:left w:val="nil"/>
              <w:bottom w:val="nil"/>
              <w:right w:val="nil"/>
            </w:tcBorders>
            <w:shd w:val="clear" w:color="auto" w:fill="auto"/>
            <w:hideMark/>
          </w:tcPr>
          <w:p w14:paraId="76B4AC9D" w14:textId="77777777" w:rsidR="00861557" w:rsidRPr="00296D0C" w:rsidRDefault="00861557" w:rsidP="0077247E">
            <w:pPr>
              <w:spacing w:before="40" w:after="40" w:line="240" w:lineRule="auto"/>
              <w:rPr>
                <w:rFonts w:cs="Arial"/>
                <w:color w:val="000000"/>
              </w:rPr>
            </w:pPr>
            <w:r w:rsidRPr="00296D0C">
              <w:rPr>
                <w:rFonts w:cs="Arial"/>
                <w:color w:val="000000"/>
              </w:rPr>
              <w:t>1</w:t>
            </w:r>
          </w:p>
        </w:tc>
        <w:tc>
          <w:tcPr>
            <w:tcW w:w="1042" w:type="pct"/>
            <w:tcBorders>
              <w:top w:val="nil"/>
              <w:left w:val="nil"/>
              <w:bottom w:val="nil"/>
              <w:right w:val="nil"/>
            </w:tcBorders>
            <w:shd w:val="clear" w:color="auto" w:fill="auto"/>
            <w:hideMark/>
          </w:tcPr>
          <w:p w14:paraId="0C4EF6A7" w14:textId="77777777" w:rsidR="00861557" w:rsidRPr="00296D0C" w:rsidRDefault="00861557" w:rsidP="0077247E">
            <w:pPr>
              <w:spacing w:before="40" w:after="40" w:line="240" w:lineRule="auto"/>
              <w:rPr>
                <w:rFonts w:cs="Arial"/>
                <w:color w:val="000000"/>
              </w:rPr>
            </w:pPr>
            <w:r w:rsidRPr="00296D0C">
              <w:rPr>
                <w:rFonts w:cs="Arial"/>
                <w:color w:val="000000"/>
              </w:rPr>
              <w:t>33</w:t>
            </w:r>
          </w:p>
        </w:tc>
        <w:tc>
          <w:tcPr>
            <w:tcW w:w="694" w:type="pct"/>
            <w:tcBorders>
              <w:top w:val="nil"/>
              <w:left w:val="nil"/>
              <w:bottom w:val="nil"/>
              <w:right w:val="nil"/>
            </w:tcBorders>
            <w:shd w:val="clear" w:color="auto" w:fill="auto"/>
            <w:hideMark/>
          </w:tcPr>
          <w:p w14:paraId="4C5922A2" w14:textId="77777777" w:rsidR="00861557" w:rsidRPr="00296D0C" w:rsidRDefault="00861557" w:rsidP="0077247E">
            <w:pPr>
              <w:spacing w:before="40" w:after="40" w:line="240" w:lineRule="auto"/>
              <w:rPr>
                <w:rFonts w:cs="Arial"/>
                <w:color w:val="000000"/>
              </w:rPr>
            </w:pPr>
            <w:r w:rsidRPr="00296D0C">
              <w:rPr>
                <w:rFonts w:cs="Arial"/>
                <w:color w:val="000000"/>
              </w:rPr>
              <w:t>1</w:t>
            </w:r>
          </w:p>
        </w:tc>
        <w:tc>
          <w:tcPr>
            <w:tcW w:w="950" w:type="pct"/>
            <w:tcBorders>
              <w:top w:val="nil"/>
              <w:left w:val="nil"/>
              <w:bottom w:val="nil"/>
              <w:right w:val="nil"/>
            </w:tcBorders>
          </w:tcPr>
          <w:p w14:paraId="12928303" w14:textId="77777777" w:rsidR="00861557" w:rsidRPr="00296D0C" w:rsidRDefault="00861557" w:rsidP="0077247E">
            <w:pPr>
              <w:spacing w:before="40" w:after="40" w:line="240" w:lineRule="auto"/>
              <w:rPr>
                <w:rFonts w:cs="Arial"/>
                <w:color w:val="000000"/>
              </w:rPr>
            </w:pPr>
            <w:r w:rsidRPr="00296D0C">
              <w:rPr>
                <w:rFonts w:cs="Arial"/>
                <w:color w:val="000000"/>
              </w:rPr>
              <w:t>1</w:t>
            </w:r>
          </w:p>
        </w:tc>
      </w:tr>
      <w:tr w:rsidR="00861557" w:rsidRPr="00296D0C" w14:paraId="611889B4" w14:textId="77777777" w:rsidTr="0077247E">
        <w:trPr>
          <w:trHeight w:val="300"/>
        </w:trPr>
        <w:tc>
          <w:tcPr>
            <w:tcW w:w="566" w:type="pct"/>
            <w:tcBorders>
              <w:top w:val="nil"/>
              <w:left w:val="nil"/>
              <w:bottom w:val="nil"/>
              <w:right w:val="nil"/>
            </w:tcBorders>
          </w:tcPr>
          <w:p w14:paraId="5F0278B5" w14:textId="77777777" w:rsidR="00861557" w:rsidRPr="00296D0C" w:rsidRDefault="00861557" w:rsidP="0077247E">
            <w:pPr>
              <w:spacing w:before="40" w:after="40" w:line="240" w:lineRule="auto"/>
              <w:rPr>
                <w:rFonts w:cs="Arial"/>
                <w:color w:val="000000"/>
              </w:rPr>
            </w:pPr>
          </w:p>
        </w:tc>
        <w:tc>
          <w:tcPr>
            <w:tcW w:w="1112" w:type="pct"/>
            <w:tcBorders>
              <w:top w:val="nil"/>
              <w:left w:val="nil"/>
              <w:bottom w:val="nil"/>
              <w:right w:val="nil"/>
            </w:tcBorders>
            <w:shd w:val="clear" w:color="auto" w:fill="auto"/>
            <w:hideMark/>
          </w:tcPr>
          <w:p w14:paraId="7CDDAF90" w14:textId="77777777" w:rsidR="00861557" w:rsidRPr="00296D0C" w:rsidRDefault="00861557" w:rsidP="0077247E">
            <w:pPr>
              <w:spacing w:before="40" w:after="40" w:line="240" w:lineRule="auto"/>
              <w:rPr>
                <w:rFonts w:cs="Arial"/>
                <w:color w:val="000000"/>
              </w:rPr>
            </w:pPr>
            <w:r w:rsidRPr="00296D0C">
              <w:rPr>
                <w:rFonts w:cs="Arial"/>
                <w:color w:val="000000"/>
              </w:rPr>
              <w:t>5</w:t>
            </w:r>
          </w:p>
        </w:tc>
        <w:tc>
          <w:tcPr>
            <w:tcW w:w="636" w:type="pct"/>
            <w:tcBorders>
              <w:top w:val="nil"/>
              <w:left w:val="nil"/>
              <w:bottom w:val="nil"/>
              <w:right w:val="nil"/>
            </w:tcBorders>
            <w:shd w:val="clear" w:color="auto" w:fill="auto"/>
            <w:hideMark/>
          </w:tcPr>
          <w:p w14:paraId="5FA51229" w14:textId="77777777" w:rsidR="00861557" w:rsidRPr="00296D0C" w:rsidRDefault="00861557" w:rsidP="0077247E">
            <w:pPr>
              <w:spacing w:before="40" w:after="40" w:line="240" w:lineRule="auto"/>
              <w:rPr>
                <w:rFonts w:cs="Arial"/>
                <w:color w:val="000000"/>
              </w:rPr>
            </w:pPr>
            <w:r w:rsidRPr="00296D0C">
              <w:rPr>
                <w:rFonts w:cs="Arial"/>
                <w:color w:val="000000"/>
              </w:rPr>
              <w:t>1</w:t>
            </w:r>
          </w:p>
        </w:tc>
        <w:tc>
          <w:tcPr>
            <w:tcW w:w="1042" w:type="pct"/>
            <w:tcBorders>
              <w:top w:val="nil"/>
              <w:left w:val="nil"/>
              <w:bottom w:val="nil"/>
              <w:right w:val="nil"/>
            </w:tcBorders>
            <w:shd w:val="clear" w:color="auto" w:fill="auto"/>
            <w:hideMark/>
          </w:tcPr>
          <w:p w14:paraId="5AB689A2" w14:textId="77777777" w:rsidR="00861557" w:rsidRPr="00296D0C" w:rsidRDefault="00861557" w:rsidP="0077247E">
            <w:pPr>
              <w:spacing w:before="40" w:after="40" w:line="240" w:lineRule="auto"/>
              <w:rPr>
                <w:rFonts w:cs="Arial"/>
                <w:color w:val="000000"/>
              </w:rPr>
            </w:pPr>
            <w:r w:rsidRPr="00296D0C">
              <w:rPr>
                <w:rFonts w:cs="Arial"/>
                <w:color w:val="000000"/>
              </w:rPr>
              <w:t>27</w:t>
            </w:r>
          </w:p>
        </w:tc>
        <w:tc>
          <w:tcPr>
            <w:tcW w:w="694" w:type="pct"/>
            <w:tcBorders>
              <w:top w:val="nil"/>
              <w:left w:val="nil"/>
              <w:bottom w:val="nil"/>
              <w:right w:val="nil"/>
            </w:tcBorders>
            <w:shd w:val="clear" w:color="auto" w:fill="auto"/>
            <w:hideMark/>
          </w:tcPr>
          <w:p w14:paraId="27CAE46B" w14:textId="77777777" w:rsidR="00861557" w:rsidRPr="00296D0C" w:rsidRDefault="00861557" w:rsidP="0077247E">
            <w:pPr>
              <w:spacing w:before="40" w:after="40" w:line="240" w:lineRule="auto"/>
              <w:rPr>
                <w:rFonts w:cs="Arial"/>
                <w:color w:val="000000"/>
              </w:rPr>
            </w:pPr>
            <w:r w:rsidRPr="00296D0C">
              <w:rPr>
                <w:rFonts w:cs="Arial"/>
                <w:color w:val="000000"/>
              </w:rPr>
              <w:t>3</w:t>
            </w:r>
          </w:p>
        </w:tc>
        <w:tc>
          <w:tcPr>
            <w:tcW w:w="950" w:type="pct"/>
            <w:tcBorders>
              <w:top w:val="nil"/>
              <w:left w:val="nil"/>
              <w:bottom w:val="nil"/>
              <w:right w:val="nil"/>
            </w:tcBorders>
          </w:tcPr>
          <w:p w14:paraId="2DA9AB2C" w14:textId="77777777" w:rsidR="00861557" w:rsidRPr="00296D0C" w:rsidRDefault="00861557" w:rsidP="0077247E">
            <w:pPr>
              <w:spacing w:before="40" w:after="40" w:line="240" w:lineRule="auto"/>
              <w:rPr>
                <w:rFonts w:cs="Arial"/>
                <w:color w:val="000000"/>
              </w:rPr>
            </w:pPr>
            <w:r w:rsidRPr="00296D0C">
              <w:rPr>
                <w:rFonts w:cs="Arial"/>
                <w:color w:val="000000"/>
              </w:rPr>
              <w:t>1</w:t>
            </w:r>
            <w:r w:rsidRPr="00296D0C">
              <w:rPr>
                <w:rFonts w:cs="Arial"/>
                <w:color w:val="000000"/>
                <w:vertAlign w:val="superscript"/>
              </w:rPr>
              <w:t>a</w:t>
            </w:r>
          </w:p>
        </w:tc>
      </w:tr>
      <w:tr w:rsidR="00861557" w:rsidRPr="00296D0C" w14:paraId="30E6BA1D" w14:textId="77777777" w:rsidTr="0077247E">
        <w:trPr>
          <w:trHeight w:val="300"/>
        </w:trPr>
        <w:tc>
          <w:tcPr>
            <w:tcW w:w="566" w:type="pct"/>
            <w:tcBorders>
              <w:top w:val="nil"/>
              <w:left w:val="nil"/>
              <w:bottom w:val="nil"/>
              <w:right w:val="nil"/>
            </w:tcBorders>
          </w:tcPr>
          <w:p w14:paraId="0567AC9D" w14:textId="77777777" w:rsidR="00861557" w:rsidRPr="00296D0C" w:rsidRDefault="00861557" w:rsidP="0077247E">
            <w:pPr>
              <w:spacing w:before="40" w:after="40" w:line="240" w:lineRule="auto"/>
              <w:rPr>
                <w:rFonts w:cs="Arial"/>
                <w:color w:val="000000"/>
              </w:rPr>
            </w:pPr>
          </w:p>
        </w:tc>
        <w:tc>
          <w:tcPr>
            <w:tcW w:w="1112" w:type="pct"/>
            <w:tcBorders>
              <w:top w:val="nil"/>
              <w:left w:val="nil"/>
              <w:bottom w:val="nil"/>
              <w:right w:val="nil"/>
            </w:tcBorders>
            <w:shd w:val="clear" w:color="auto" w:fill="auto"/>
            <w:hideMark/>
          </w:tcPr>
          <w:p w14:paraId="7555BDED" w14:textId="77777777" w:rsidR="00861557" w:rsidRPr="00296D0C" w:rsidRDefault="00861557" w:rsidP="0077247E">
            <w:pPr>
              <w:spacing w:before="40" w:after="40" w:line="240" w:lineRule="auto"/>
              <w:rPr>
                <w:rFonts w:cs="Arial"/>
                <w:color w:val="000000"/>
              </w:rPr>
            </w:pPr>
            <w:r w:rsidRPr="00296D0C">
              <w:rPr>
                <w:rFonts w:cs="Arial"/>
                <w:color w:val="000000"/>
              </w:rPr>
              <w:t>9</w:t>
            </w:r>
          </w:p>
        </w:tc>
        <w:tc>
          <w:tcPr>
            <w:tcW w:w="636" w:type="pct"/>
            <w:tcBorders>
              <w:top w:val="nil"/>
              <w:left w:val="nil"/>
              <w:bottom w:val="nil"/>
              <w:right w:val="nil"/>
            </w:tcBorders>
            <w:shd w:val="clear" w:color="auto" w:fill="auto"/>
            <w:hideMark/>
          </w:tcPr>
          <w:p w14:paraId="75642475" w14:textId="77777777" w:rsidR="00861557" w:rsidRPr="00296D0C" w:rsidRDefault="00861557" w:rsidP="0077247E">
            <w:pPr>
              <w:spacing w:before="40" w:after="40" w:line="240" w:lineRule="auto"/>
              <w:rPr>
                <w:rFonts w:cs="Arial"/>
                <w:color w:val="000000"/>
              </w:rPr>
            </w:pPr>
            <w:r w:rsidRPr="00296D0C">
              <w:rPr>
                <w:rFonts w:cs="Arial"/>
                <w:color w:val="000000"/>
              </w:rPr>
              <w:t>1</w:t>
            </w:r>
          </w:p>
        </w:tc>
        <w:tc>
          <w:tcPr>
            <w:tcW w:w="1042" w:type="pct"/>
            <w:tcBorders>
              <w:top w:val="nil"/>
              <w:left w:val="nil"/>
              <w:bottom w:val="nil"/>
              <w:right w:val="nil"/>
            </w:tcBorders>
            <w:shd w:val="clear" w:color="auto" w:fill="auto"/>
            <w:hideMark/>
          </w:tcPr>
          <w:p w14:paraId="1DD783FB" w14:textId="77777777" w:rsidR="00861557" w:rsidRPr="00296D0C" w:rsidRDefault="00861557" w:rsidP="0077247E">
            <w:pPr>
              <w:spacing w:before="40" w:after="40" w:line="240" w:lineRule="auto"/>
              <w:rPr>
                <w:rFonts w:cs="Arial"/>
                <w:color w:val="000000"/>
              </w:rPr>
            </w:pPr>
            <w:r w:rsidRPr="00296D0C">
              <w:rPr>
                <w:rFonts w:cs="Arial"/>
                <w:color w:val="000000"/>
              </w:rPr>
              <w:t>25</w:t>
            </w:r>
          </w:p>
        </w:tc>
        <w:tc>
          <w:tcPr>
            <w:tcW w:w="694" w:type="pct"/>
            <w:tcBorders>
              <w:top w:val="nil"/>
              <w:left w:val="nil"/>
              <w:bottom w:val="nil"/>
              <w:right w:val="nil"/>
            </w:tcBorders>
            <w:shd w:val="clear" w:color="auto" w:fill="auto"/>
            <w:hideMark/>
          </w:tcPr>
          <w:p w14:paraId="6FEF082D" w14:textId="77777777" w:rsidR="00861557" w:rsidRPr="00296D0C" w:rsidRDefault="00861557" w:rsidP="0077247E">
            <w:pPr>
              <w:spacing w:before="40" w:after="40" w:line="240" w:lineRule="auto"/>
              <w:rPr>
                <w:rFonts w:cs="Arial"/>
                <w:color w:val="000000"/>
              </w:rPr>
            </w:pPr>
            <w:r w:rsidRPr="00296D0C">
              <w:rPr>
                <w:rFonts w:cs="Arial"/>
                <w:color w:val="000000"/>
              </w:rPr>
              <w:t>1</w:t>
            </w:r>
          </w:p>
        </w:tc>
        <w:tc>
          <w:tcPr>
            <w:tcW w:w="950" w:type="pct"/>
            <w:tcBorders>
              <w:top w:val="nil"/>
              <w:left w:val="nil"/>
              <w:bottom w:val="nil"/>
              <w:right w:val="nil"/>
            </w:tcBorders>
          </w:tcPr>
          <w:p w14:paraId="401997F0" w14:textId="77777777" w:rsidR="00861557" w:rsidRPr="00296D0C" w:rsidRDefault="00861557" w:rsidP="0077247E">
            <w:pPr>
              <w:spacing w:before="40" w:after="40" w:line="240" w:lineRule="auto"/>
              <w:rPr>
                <w:rFonts w:cs="Arial"/>
                <w:color w:val="000000"/>
              </w:rPr>
            </w:pPr>
            <w:r w:rsidRPr="00296D0C">
              <w:rPr>
                <w:rFonts w:cs="Arial"/>
                <w:color w:val="000000"/>
              </w:rPr>
              <w:t>1</w:t>
            </w:r>
          </w:p>
        </w:tc>
      </w:tr>
      <w:tr w:rsidR="00861557" w:rsidRPr="00296D0C" w14:paraId="4DF57086" w14:textId="77777777" w:rsidTr="0077247E">
        <w:trPr>
          <w:trHeight w:val="300"/>
        </w:trPr>
        <w:tc>
          <w:tcPr>
            <w:tcW w:w="566" w:type="pct"/>
            <w:tcBorders>
              <w:top w:val="nil"/>
              <w:left w:val="nil"/>
              <w:bottom w:val="nil"/>
              <w:right w:val="nil"/>
            </w:tcBorders>
          </w:tcPr>
          <w:p w14:paraId="1E7EC1E7" w14:textId="77777777" w:rsidR="00861557" w:rsidRPr="00296D0C" w:rsidRDefault="00861557" w:rsidP="0077247E">
            <w:pPr>
              <w:spacing w:before="40" w:after="40" w:line="240" w:lineRule="auto"/>
              <w:rPr>
                <w:rFonts w:cs="Arial"/>
                <w:color w:val="000000"/>
              </w:rPr>
            </w:pPr>
          </w:p>
        </w:tc>
        <w:tc>
          <w:tcPr>
            <w:tcW w:w="1112" w:type="pct"/>
            <w:tcBorders>
              <w:top w:val="nil"/>
              <w:left w:val="nil"/>
              <w:bottom w:val="nil"/>
              <w:right w:val="nil"/>
            </w:tcBorders>
            <w:shd w:val="clear" w:color="auto" w:fill="auto"/>
            <w:hideMark/>
          </w:tcPr>
          <w:p w14:paraId="7FE18CD0" w14:textId="77777777" w:rsidR="00861557" w:rsidRPr="00296D0C" w:rsidRDefault="00861557" w:rsidP="0077247E">
            <w:pPr>
              <w:spacing w:before="40" w:after="40" w:line="240" w:lineRule="auto"/>
              <w:rPr>
                <w:rFonts w:cs="Arial"/>
                <w:color w:val="000000"/>
              </w:rPr>
            </w:pPr>
            <w:r w:rsidRPr="00296D0C">
              <w:rPr>
                <w:rFonts w:cs="Arial"/>
                <w:color w:val="000000"/>
              </w:rPr>
              <w:t>15</w:t>
            </w:r>
          </w:p>
        </w:tc>
        <w:tc>
          <w:tcPr>
            <w:tcW w:w="636" w:type="pct"/>
            <w:tcBorders>
              <w:top w:val="nil"/>
              <w:left w:val="nil"/>
              <w:bottom w:val="nil"/>
              <w:right w:val="nil"/>
            </w:tcBorders>
            <w:shd w:val="clear" w:color="auto" w:fill="auto"/>
            <w:hideMark/>
          </w:tcPr>
          <w:p w14:paraId="0AE3F5DC" w14:textId="77777777" w:rsidR="00861557" w:rsidRPr="00296D0C" w:rsidRDefault="00861557" w:rsidP="0077247E">
            <w:pPr>
              <w:spacing w:before="40" w:after="40" w:line="240" w:lineRule="auto"/>
              <w:rPr>
                <w:rFonts w:cs="Arial"/>
                <w:color w:val="000000"/>
              </w:rPr>
            </w:pPr>
            <w:r w:rsidRPr="00296D0C">
              <w:rPr>
                <w:rFonts w:cs="Arial"/>
                <w:color w:val="000000"/>
              </w:rPr>
              <w:t>1</w:t>
            </w:r>
          </w:p>
        </w:tc>
        <w:tc>
          <w:tcPr>
            <w:tcW w:w="1042" w:type="pct"/>
            <w:tcBorders>
              <w:top w:val="nil"/>
              <w:left w:val="nil"/>
              <w:bottom w:val="nil"/>
              <w:right w:val="nil"/>
            </w:tcBorders>
            <w:shd w:val="clear" w:color="auto" w:fill="auto"/>
            <w:hideMark/>
          </w:tcPr>
          <w:p w14:paraId="665BBAC8" w14:textId="77777777" w:rsidR="00861557" w:rsidRPr="00296D0C" w:rsidRDefault="00861557" w:rsidP="0077247E">
            <w:pPr>
              <w:spacing w:before="40" w:after="40" w:line="240" w:lineRule="auto"/>
              <w:rPr>
                <w:rFonts w:cs="Arial"/>
                <w:color w:val="000000"/>
              </w:rPr>
            </w:pPr>
            <w:r w:rsidRPr="00296D0C">
              <w:rPr>
                <w:rFonts w:cs="Arial"/>
                <w:color w:val="000000"/>
              </w:rPr>
              <w:t>52</w:t>
            </w:r>
          </w:p>
        </w:tc>
        <w:tc>
          <w:tcPr>
            <w:tcW w:w="694" w:type="pct"/>
            <w:tcBorders>
              <w:top w:val="nil"/>
              <w:left w:val="nil"/>
              <w:bottom w:val="nil"/>
              <w:right w:val="nil"/>
            </w:tcBorders>
            <w:shd w:val="clear" w:color="auto" w:fill="auto"/>
            <w:hideMark/>
          </w:tcPr>
          <w:p w14:paraId="68197DE5" w14:textId="77777777" w:rsidR="00861557" w:rsidRPr="00296D0C" w:rsidRDefault="00861557" w:rsidP="0077247E">
            <w:pPr>
              <w:spacing w:before="40" w:after="40" w:line="240" w:lineRule="auto"/>
              <w:rPr>
                <w:rFonts w:cs="Arial"/>
                <w:color w:val="000000"/>
              </w:rPr>
            </w:pPr>
            <w:r w:rsidRPr="00296D0C">
              <w:rPr>
                <w:rFonts w:cs="Arial"/>
                <w:color w:val="000000"/>
              </w:rPr>
              <w:t>1.5</w:t>
            </w:r>
          </w:p>
        </w:tc>
        <w:tc>
          <w:tcPr>
            <w:tcW w:w="950" w:type="pct"/>
            <w:tcBorders>
              <w:top w:val="nil"/>
              <w:left w:val="nil"/>
              <w:bottom w:val="nil"/>
              <w:right w:val="nil"/>
            </w:tcBorders>
          </w:tcPr>
          <w:p w14:paraId="34FFA1F8" w14:textId="77777777" w:rsidR="00861557" w:rsidRPr="00296D0C" w:rsidRDefault="00861557" w:rsidP="0077247E">
            <w:pPr>
              <w:spacing w:before="40" w:after="40" w:line="240" w:lineRule="auto"/>
              <w:rPr>
                <w:rFonts w:cs="Arial"/>
                <w:color w:val="000000"/>
              </w:rPr>
            </w:pPr>
            <w:r w:rsidRPr="00296D0C">
              <w:rPr>
                <w:rFonts w:cs="Arial"/>
                <w:color w:val="000000"/>
              </w:rPr>
              <w:t>2</w:t>
            </w:r>
            <w:r w:rsidRPr="00296D0C">
              <w:rPr>
                <w:rFonts w:cs="Arial"/>
                <w:color w:val="000000"/>
                <w:vertAlign w:val="superscript"/>
              </w:rPr>
              <w:t>b</w:t>
            </w:r>
          </w:p>
        </w:tc>
      </w:tr>
      <w:tr w:rsidR="00861557" w:rsidRPr="00296D0C" w14:paraId="09F493DB" w14:textId="77777777" w:rsidTr="0077247E">
        <w:trPr>
          <w:trHeight w:val="300"/>
        </w:trPr>
        <w:tc>
          <w:tcPr>
            <w:tcW w:w="566" w:type="pct"/>
            <w:tcBorders>
              <w:top w:val="nil"/>
              <w:left w:val="nil"/>
              <w:bottom w:val="nil"/>
              <w:right w:val="nil"/>
            </w:tcBorders>
          </w:tcPr>
          <w:p w14:paraId="5BEA9ED1" w14:textId="77777777" w:rsidR="00861557" w:rsidRPr="00296D0C" w:rsidRDefault="00861557" w:rsidP="0077247E">
            <w:pPr>
              <w:spacing w:before="40" w:after="40" w:line="240" w:lineRule="auto"/>
              <w:rPr>
                <w:rFonts w:cs="Arial"/>
                <w:color w:val="000000"/>
              </w:rPr>
            </w:pPr>
          </w:p>
        </w:tc>
        <w:tc>
          <w:tcPr>
            <w:tcW w:w="1112" w:type="pct"/>
            <w:tcBorders>
              <w:top w:val="nil"/>
              <w:left w:val="nil"/>
              <w:bottom w:val="nil"/>
              <w:right w:val="nil"/>
            </w:tcBorders>
            <w:shd w:val="clear" w:color="auto" w:fill="auto"/>
            <w:hideMark/>
          </w:tcPr>
          <w:p w14:paraId="52DBA578" w14:textId="77777777" w:rsidR="00861557" w:rsidRPr="00296D0C" w:rsidRDefault="00861557" w:rsidP="0077247E">
            <w:pPr>
              <w:spacing w:before="40" w:after="40" w:line="240" w:lineRule="auto"/>
              <w:rPr>
                <w:rFonts w:cs="Arial"/>
                <w:color w:val="000000"/>
              </w:rPr>
            </w:pPr>
            <w:r w:rsidRPr="00296D0C">
              <w:rPr>
                <w:rFonts w:cs="Arial"/>
                <w:color w:val="000000"/>
              </w:rPr>
              <w:t>17</w:t>
            </w:r>
          </w:p>
        </w:tc>
        <w:tc>
          <w:tcPr>
            <w:tcW w:w="636" w:type="pct"/>
            <w:tcBorders>
              <w:top w:val="nil"/>
              <w:left w:val="nil"/>
              <w:bottom w:val="nil"/>
              <w:right w:val="nil"/>
            </w:tcBorders>
            <w:shd w:val="clear" w:color="auto" w:fill="auto"/>
            <w:hideMark/>
          </w:tcPr>
          <w:p w14:paraId="4F67DBDD" w14:textId="77777777" w:rsidR="00861557" w:rsidRPr="00296D0C" w:rsidRDefault="00861557" w:rsidP="0077247E">
            <w:pPr>
              <w:spacing w:before="40" w:after="40" w:line="240" w:lineRule="auto"/>
              <w:rPr>
                <w:rFonts w:cs="Arial"/>
                <w:color w:val="000000"/>
              </w:rPr>
            </w:pPr>
            <w:r w:rsidRPr="00296D0C">
              <w:rPr>
                <w:rFonts w:cs="Arial"/>
                <w:color w:val="000000"/>
              </w:rPr>
              <w:t>1</w:t>
            </w:r>
          </w:p>
        </w:tc>
        <w:tc>
          <w:tcPr>
            <w:tcW w:w="1042" w:type="pct"/>
            <w:tcBorders>
              <w:top w:val="nil"/>
              <w:left w:val="nil"/>
              <w:bottom w:val="nil"/>
              <w:right w:val="nil"/>
            </w:tcBorders>
            <w:shd w:val="clear" w:color="auto" w:fill="auto"/>
            <w:hideMark/>
          </w:tcPr>
          <w:p w14:paraId="5E6A7D02" w14:textId="77777777" w:rsidR="00861557" w:rsidRPr="00296D0C" w:rsidRDefault="00861557" w:rsidP="0077247E">
            <w:pPr>
              <w:spacing w:before="40" w:after="40" w:line="240" w:lineRule="auto"/>
              <w:rPr>
                <w:rFonts w:cs="Arial"/>
                <w:color w:val="000000"/>
              </w:rPr>
            </w:pPr>
            <w:r w:rsidRPr="00296D0C">
              <w:rPr>
                <w:rFonts w:cs="Arial"/>
                <w:color w:val="000000"/>
              </w:rPr>
              <w:t>29</w:t>
            </w:r>
          </w:p>
        </w:tc>
        <w:tc>
          <w:tcPr>
            <w:tcW w:w="694" w:type="pct"/>
            <w:tcBorders>
              <w:top w:val="nil"/>
              <w:left w:val="nil"/>
              <w:bottom w:val="nil"/>
              <w:right w:val="nil"/>
            </w:tcBorders>
            <w:shd w:val="clear" w:color="auto" w:fill="auto"/>
            <w:hideMark/>
          </w:tcPr>
          <w:p w14:paraId="364A99C2" w14:textId="77777777" w:rsidR="00861557" w:rsidRPr="00296D0C" w:rsidRDefault="00861557" w:rsidP="0077247E">
            <w:pPr>
              <w:spacing w:before="40" w:after="40" w:line="240" w:lineRule="auto"/>
              <w:rPr>
                <w:rFonts w:cs="Arial"/>
                <w:color w:val="000000"/>
              </w:rPr>
            </w:pPr>
            <w:r w:rsidRPr="00296D0C">
              <w:rPr>
                <w:rFonts w:cs="Arial"/>
                <w:color w:val="000000"/>
              </w:rPr>
              <w:t>1</w:t>
            </w:r>
          </w:p>
        </w:tc>
        <w:tc>
          <w:tcPr>
            <w:tcW w:w="950" w:type="pct"/>
            <w:tcBorders>
              <w:top w:val="nil"/>
              <w:left w:val="nil"/>
              <w:bottom w:val="nil"/>
              <w:right w:val="nil"/>
            </w:tcBorders>
          </w:tcPr>
          <w:p w14:paraId="66F96DC2" w14:textId="6A83D9BF" w:rsidR="00861557" w:rsidRPr="00296D0C" w:rsidRDefault="00861557" w:rsidP="008A66B5">
            <w:pPr>
              <w:spacing w:before="40" w:after="40" w:line="240" w:lineRule="auto"/>
              <w:rPr>
                <w:rFonts w:cs="Arial"/>
                <w:color w:val="000000"/>
              </w:rPr>
            </w:pPr>
            <w:r w:rsidRPr="00296D0C">
              <w:rPr>
                <w:rFonts w:cs="Arial"/>
                <w:color w:val="000000"/>
              </w:rPr>
              <w:t>1</w:t>
            </w:r>
          </w:p>
        </w:tc>
      </w:tr>
      <w:tr w:rsidR="00861557" w:rsidRPr="00296D0C" w14:paraId="23842722" w14:textId="77777777" w:rsidTr="0077247E">
        <w:trPr>
          <w:trHeight w:val="300"/>
        </w:trPr>
        <w:tc>
          <w:tcPr>
            <w:tcW w:w="566" w:type="pct"/>
            <w:tcBorders>
              <w:top w:val="nil"/>
              <w:left w:val="nil"/>
              <w:bottom w:val="nil"/>
              <w:right w:val="nil"/>
            </w:tcBorders>
          </w:tcPr>
          <w:p w14:paraId="06D8ED03" w14:textId="77777777" w:rsidR="00861557" w:rsidRPr="00296D0C" w:rsidRDefault="00861557" w:rsidP="0077247E">
            <w:pPr>
              <w:spacing w:before="40" w:after="40" w:line="240" w:lineRule="auto"/>
              <w:rPr>
                <w:rFonts w:cs="Arial"/>
                <w:color w:val="000000"/>
              </w:rPr>
            </w:pPr>
          </w:p>
        </w:tc>
        <w:tc>
          <w:tcPr>
            <w:tcW w:w="1112" w:type="pct"/>
            <w:tcBorders>
              <w:top w:val="nil"/>
              <w:left w:val="nil"/>
              <w:bottom w:val="nil"/>
              <w:right w:val="nil"/>
            </w:tcBorders>
            <w:shd w:val="clear" w:color="auto" w:fill="auto"/>
            <w:hideMark/>
          </w:tcPr>
          <w:p w14:paraId="4B094543" w14:textId="77777777" w:rsidR="00861557" w:rsidRPr="00296D0C" w:rsidRDefault="00861557" w:rsidP="0077247E">
            <w:pPr>
              <w:spacing w:before="40" w:after="40" w:line="240" w:lineRule="auto"/>
              <w:rPr>
                <w:rFonts w:cs="Arial"/>
                <w:color w:val="000000"/>
              </w:rPr>
            </w:pPr>
            <w:r w:rsidRPr="00296D0C">
              <w:rPr>
                <w:rFonts w:cs="Arial"/>
                <w:color w:val="000000"/>
              </w:rPr>
              <w:t>10</w:t>
            </w:r>
          </w:p>
        </w:tc>
        <w:tc>
          <w:tcPr>
            <w:tcW w:w="636" w:type="pct"/>
            <w:tcBorders>
              <w:top w:val="nil"/>
              <w:left w:val="nil"/>
              <w:bottom w:val="nil"/>
              <w:right w:val="nil"/>
            </w:tcBorders>
            <w:shd w:val="clear" w:color="auto" w:fill="auto"/>
            <w:hideMark/>
          </w:tcPr>
          <w:p w14:paraId="3DB2E585" w14:textId="77777777" w:rsidR="00861557" w:rsidRPr="00296D0C" w:rsidRDefault="00861557" w:rsidP="0077247E">
            <w:pPr>
              <w:spacing w:before="40" w:after="40" w:line="240" w:lineRule="auto"/>
              <w:rPr>
                <w:rFonts w:cs="Arial"/>
                <w:color w:val="000000"/>
              </w:rPr>
            </w:pPr>
            <w:r w:rsidRPr="00296D0C">
              <w:rPr>
                <w:rFonts w:cs="Arial"/>
                <w:color w:val="000000"/>
              </w:rPr>
              <w:t>1</w:t>
            </w:r>
          </w:p>
        </w:tc>
        <w:tc>
          <w:tcPr>
            <w:tcW w:w="1042" w:type="pct"/>
            <w:tcBorders>
              <w:top w:val="nil"/>
              <w:left w:val="nil"/>
              <w:bottom w:val="nil"/>
              <w:right w:val="nil"/>
            </w:tcBorders>
            <w:shd w:val="clear" w:color="auto" w:fill="auto"/>
            <w:hideMark/>
          </w:tcPr>
          <w:p w14:paraId="131BF26A" w14:textId="77777777" w:rsidR="00861557" w:rsidRPr="00296D0C" w:rsidRDefault="00861557" w:rsidP="0077247E">
            <w:pPr>
              <w:spacing w:before="40" w:after="40" w:line="240" w:lineRule="auto"/>
              <w:rPr>
                <w:rFonts w:cs="Arial"/>
                <w:color w:val="000000"/>
              </w:rPr>
            </w:pPr>
            <w:r w:rsidRPr="00296D0C">
              <w:rPr>
                <w:rFonts w:cs="Arial"/>
                <w:color w:val="000000"/>
              </w:rPr>
              <w:t>20</w:t>
            </w:r>
          </w:p>
        </w:tc>
        <w:tc>
          <w:tcPr>
            <w:tcW w:w="694" w:type="pct"/>
            <w:tcBorders>
              <w:top w:val="nil"/>
              <w:left w:val="nil"/>
              <w:bottom w:val="nil"/>
              <w:right w:val="nil"/>
            </w:tcBorders>
            <w:shd w:val="clear" w:color="auto" w:fill="auto"/>
            <w:hideMark/>
          </w:tcPr>
          <w:p w14:paraId="322F90D8" w14:textId="77777777" w:rsidR="00861557" w:rsidRPr="00296D0C" w:rsidRDefault="00861557" w:rsidP="0077247E">
            <w:pPr>
              <w:spacing w:before="40" w:after="40" w:line="240" w:lineRule="auto"/>
              <w:rPr>
                <w:rFonts w:cs="Arial"/>
                <w:color w:val="000000"/>
              </w:rPr>
            </w:pPr>
            <w:r w:rsidRPr="00296D0C">
              <w:rPr>
                <w:rFonts w:cs="Arial"/>
                <w:color w:val="000000"/>
              </w:rPr>
              <w:t>1</w:t>
            </w:r>
          </w:p>
        </w:tc>
        <w:tc>
          <w:tcPr>
            <w:tcW w:w="950" w:type="pct"/>
            <w:tcBorders>
              <w:top w:val="nil"/>
              <w:left w:val="nil"/>
              <w:bottom w:val="nil"/>
              <w:right w:val="nil"/>
            </w:tcBorders>
          </w:tcPr>
          <w:p w14:paraId="65D47B1E" w14:textId="77777777" w:rsidR="00861557" w:rsidRPr="00296D0C" w:rsidRDefault="00861557" w:rsidP="0077247E">
            <w:pPr>
              <w:spacing w:before="40" w:after="40" w:line="240" w:lineRule="auto"/>
              <w:rPr>
                <w:rFonts w:cs="Arial"/>
                <w:color w:val="000000"/>
              </w:rPr>
            </w:pPr>
            <w:r w:rsidRPr="00296D0C">
              <w:rPr>
                <w:rFonts w:cs="Arial"/>
                <w:color w:val="000000"/>
              </w:rPr>
              <w:t>1</w:t>
            </w:r>
          </w:p>
        </w:tc>
      </w:tr>
      <w:tr w:rsidR="00861557" w:rsidRPr="00296D0C" w14:paraId="005029B2" w14:textId="77777777" w:rsidTr="0077247E">
        <w:trPr>
          <w:trHeight w:val="300"/>
        </w:trPr>
        <w:tc>
          <w:tcPr>
            <w:tcW w:w="566" w:type="pct"/>
            <w:tcBorders>
              <w:top w:val="nil"/>
              <w:left w:val="nil"/>
              <w:bottom w:val="nil"/>
              <w:right w:val="nil"/>
            </w:tcBorders>
          </w:tcPr>
          <w:p w14:paraId="1FDE1926" w14:textId="77777777" w:rsidR="00861557" w:rsidRPr="00296D0C" w:rsidRDefault="00861557" w:rsidP="0077247E">
            <w:pPr>
              <w:spacing w:before="40" w:after="40" w:line="240" w:lineRule="auto"/>
              <w:rPr>
                <w:rFonts w:cs="Arial"/>
                <w:color w:val="000000"/>
              </w:rPr>
            </w:pPr>
          </w:p>
        </w:tc>
        <w:tc>
          <w:tcPr>
            <w:tcW w:w="1112" w:type="pct"/>
            <w:tcBorders>
              <w:top w:val="nil"/>
              <w:left w:val="nil"/>
              <w:bottom w:val="nil"/>
              <w:right w:val="nil"/>
            </w:tcBorders>
            <w:shd w:val="clear" w:color="auto" w:fill="auto"/>
            <w:hideMark/>
          </w:tcPr>
          <w:p w14:paraId="26777975" w14:textId="77777777" w:rsidR="00861557" w:rsidRPr="00296D0C" w:rsidRDefault="00861557" w:rsidP="0077247E">
            <w:pPr>
              <w:spacing w:before="40" w:after="40" w:line="240" w:lineRule="auto"/>
              <w:rPr>
                <w:rFonts w:cs="Arial"/>
                <w:color w:val="000000"/>
              </w:rPr>
            </w:pPr>
            <w:r w:rsidRPr="00296D0C">
              <w:rPr>
                <w:rFonts w:cs="Arial"/>
                <w:color w:val="000000"/>
              </w:rPr>
              <w:t>21</w:t>
            </w:r>
          </w:p>
        </w:tc>
        <w:tc>
          <w:tcPr>
            <w:tcW w:w="636" w:type="pct"/>
            <w:tcBorders>
              <w:top w:val="nil"/>
              <w:left w:val="nil"/>
              <w:bottom w:val="nil"/>
              <w:right w:val="nil"/>
            </w:tcBorders>
            <w:shd w:val="clear" w:color="auto" w:fill="auto"/>
            <w:hideMark/>
          </w:tcPr>
          <w:p w14:paraId="507B4F40" w14:textId="77777777" w:rsidR="00861557" w:rsidRPr="00296D0C" w:rsidRDefault="00861557" w:rsidP="0077247E">
            <w:pPr>
              <w:spacing w:before="40" w:after="40" w:line="240" w:lineRule="auto"/>
              <w:rPr>
                <w:rFonts w:cs="Arial"/>
                <w:color w:val="000000"/>
              </w:rPr>
            </w:pPr>
            <w:r w:rsidRPr="00296D0C">
              <w:rPr>
                <w:rFonts w:cs="Arial"/>
                <w:color w:val="000000"/>
              </w:rPr>
              <w:t>1</w:t>
            </w:r>
          </w:p>
        </w:tc>
        <w:tc>
          <w:tcPr>
            <w:tcW w:w="1042" w:type="pct"/>
            <w:tcBorders>
              <w:top w:val="nil"/>
              <w:left w:val="nil"/>
              <w:bottom w:val="nil"/>
              <w:right w:val="nil"/>
            </w:tcBorders>
            <w:shd w:val="clear" w:color="auto" w:fill="auto"/>
            <w:hideMark/>
          </w:tcPr>
          <w:p w14:paraId="259C2A9C" w14:textId="77777777" w:rsidR="00861557" w:rsidRPr="00296D0C" w:rsidRDefault="00861557" w:rsidP="0077247E">
            <w:pPr>
              <w:spacing w:before="40" w:after="40" w:line="240" w:lineRule="auto"/>
              <w:rPr>
                <w:rFonts w:cs="Arial"/>
                <w:color w:val="000000"/>
              </w:rPr>
            </w:pPr>
            <w:r w:rsidRPr="00296D0C">
              <w:rPr>
                <w:rFonts w:cs="Arial"/>
                <w:color w:val="000000"/>
              </w:rPr>
              <w:t>42</w:t>
            </w:r>
          </w:p>
        </w:tc>
        <w:tc>
          <w:tcPr>
            <w:tcW w:w="694" w:type="pct"/>
            <w:tcBorders>
              <w:top w:val="nil"/>
              <w:left w:val="nil"/>
              <w:bottom w:val="nil"/>
              <w:right w:val="nil"/>
            </w:tcBorders>
            <w:shd w:val="clear" w:color="auto" w:fill="auto"/>
            <w:hideMark/>
          </w:tcPr>
          <w:p w14:paraId="731B6CC6" w14:textId="77777777" w:rsidR="00861557" w:rsidRPr="00296D0C" w:rsidRDefault="00861557" w:rsidP="0077247E">
            <w:pPr>
              <w:spacing w:before="40" w:after="40" w:line="240" w:lineRule="auto"/>
              <w:rPr>
                <w:rFonts w:cs="Arial"/>
                <w:color w:val="000000"/>
              </w:rPr>
            </w:pPr>
            <w:r w:rsidRPr="00296D0C">
              <w:rPr>
                <w:rFonts w:cs="Arial"/>
                <w:color w:val="000000"/>
              </w:rPr>
              <w:t>2</w:t>
            </w:r>
          </w:p>
        </w:tc>
        <w:tc>
          <w:tcPr>
            <w:tcW w:w="950" w:type="pct"/>
            <w:tcBorders>
              <w:top w:val="nil"/>
              <w:left w:val="nil"/>
              <w:bottom w:val="nil"/>
              <w:right w:val="nil"/>
            </w:tcBorders>
          </w:tcPr>
          <w:p w14:paraId="7E28DA6B" w14:textId="77777777" w:rsidR="00861557" w:rsidRPr="00296D0C" w:rsidRDefault="00861557" w:rsidP="0077247E">
            <w:pPr>
              <w:spacing w:before="40" w:after="40" w:line="240" w:lineRule="auto"/>
              <w:rPr>
                <w:rFonts w:cs="Arial"/>
                <w:color w:val="000000"/>
              </w:rPr>
            </w:pPr>
            <w:r w:rsidRPr="00296D0C">
              <w:rPr>
                <w:rFonts w:cs="Arial"/>
                <w:color w:val="000000"/>
              </w:rPr>
              <w:t>2</w:t>
            </w:r>
          </w:p>
        </w:tc>
      </w:tr>
      <w:tr w:rsidR="00861557" w:rsidRPr="00296D0C" w14:paraId="24C173CF" w14:textId="77777777" w:rsidTr="0077247E">
        <w:trPr>
          <w:trHeight w:val="300"/>
        </w:trPr>
        <w:tc>
          <w:tcPr>
            <w:tcW w:w="566" w:type="pct"/>
            <w:tcBorders>
              <w:top w:val="single" w:sz="8" w:space="0" w:color="000000"/>
              <w:left w:val="nil"/>
              <w:bottom w:val="nil"/>
              <w:right w:val="nil"/>
            </w:tcBorders>
          </w:tcPr>
          <w:p w14:paraId="1E5C37A8" w14:textId="77777777" w:rsidR="00861557" w:rsidRPr="00296D0C" w:rsidRDefault="00861557" w:rsidP="0077247E">
            <w:pPr>
              <w:spacing w:before="40" w:after="40" w:line="240" w:lineRule="auto"/>
              <w:rPr>
                <w:rFonts w:cs="Arial"/>
                <w:color w:val="000000"/>
              </w:rPr>
            </w:pPr>
          </w:p>
        </w:tc>
        <w:tc>
          <w:tcPr>
            <w:tcW w:w="1112" w:type="pct"/>
            <w:tcBorders>
              <w:top w:val="single" w:sz="8" w:space="0" w:color="000000"/>
              <w:left w:val="nil"/>
              <w:bottom w:val="nil"/>
              <w:right w:val="nil"/>
            </w:tcBorders>
            <w:shd w:val="clear" w:color="auto" w:fill="auto"/>
            <w:hideMark/>
          </w:tcPr>
          <w:p w14:paraId="52CFDF07" w14:textId="77777777" w:rsidR="00861557" w:rsidRPr="00296D0C" w:rsidRDefault="00861557" w:rsidP="0077247E">
            <w:pPr>
              <w:spacing w:before="40" w:after="40" w:line="240" w:lineRule="auto"/>
              <w:rPr>
                <w:rFonts w:cs="Arial"/>
                <w:color w:val="000000"/>
              </w:rPr>
            </w:pPr>
            <w:r w:rsidRPr="00296D0C">
              <w:rPr>
                <w:rFonts w:cs="Arial"/>
                <w:color w:val="000000"/>
              </w:rPr>
              <w:t>32</w:t>
            </w:r>
          </w:p>
        </w:tc>
        <w:tc>
          <w:tcPr>
            <w:tcW w:w="636" w:type="pct"/>
            <w:tcBorders>
              <w:top w:val="single" w:sz="8" w:space="0" w:color="000000"/>
              <w:left w:val="nil"/>
              <w:bottom w:val="nil"/>
              <w:right w:val="nil"/>
            </w:tcBorders>
            <w:shd w:val="clear" w:color="auto" w:fill="auto"/>
            <w:hideMark/>
          </w:tcPr>
          <w:p w14:paraId="0BAC0436" w14:textId="77777777" w:rsidR="00861557" w:rsidRPr="00296D0C" w:rsidRDefault="00861557" w:rsidP="0077247E">
            <w:pPr>
              <w:spacing w:before="40" w:after="40" w:line="240" w:lineRule="auto"/>
              <w:rPr>
                <w:rFonts w:cs="Arial"/>
                <w:color w:val="000000"/>
              </w:rPr>
            </w:pPr>
            <w:r w:rsidRPr="00296D0C">
              <w:rPr>
                <w:rFonts w:cs="Arial"/>
                <w:color w:val="000000"/>
              </w:rPr>
              <w:t>2</w:t>
            </w:r>
          </w:p>
        </w:tc>
        <w:tc>
          <w:tcPr>
            <w:tcW w:w="1042" w:type="pct"/>
            <w:tcBorders>
              <w:top w:val="single" w:sz="8" w:space="0" w:color="000000"/>
              <w:left w:val="nil"/>
              <w:bottom w:val="nil"/>
              <w:right w:val="nil"/>
            </w:tcBorders>
            <w:shd w:val="clear" w:color="auto" w:fill="auto"/>
            <w:hideMark/>
          </w:tcPr>
          <w:p w14:paraId="612A37F9" w14:textId="77777777" w:rsidR="00861557" w:rsidRPr="00296D0C" w:rsidRDefault="00861557" w:rsidP="0077247E">
            <w:pPr>
              <w:spacing w:before="40" w:after="40" w:line="240" w:lineRule="auto"/>
              <w:rPr>
                <w:rFonts w:cs="Arial"/>
                <w:color w:val="000000"/>
              </w:rPr>
            </w:pPr>
            <w:r w:rsidRPr="00296D0C">
              <w:rPr>
                <w:rFonts w:cs="Arial"/>
                <w:color w:val="000000"/>
              </w:rPr>
              <w:t>23</w:t>
            </w:r>
          </w:p>
        </w:tc>
        <w:tc>
          <w:tcPr>
            <w:tcW w:w="694" w:type="pct"/>
            <w:tcBorders>
              <w:top w:val="single" w:sz="8" w:space="0" w:color="000000"/>
              <w:left w:val="nil"/>
              <w:bottom w:val="nil"/>
              <w:right w:val="nil"/>
            </w:tcBorders>
            <w:shd w:val="clear" w:color="auto" w:fill="auto"/>
            <w:hideMark/>
          </w:tcPr>
          <w:p w14:paraId="2BB239AE" w14:textId="77777777" w:rsidR="00861557" w:rsidRPr="00296D0C" w:rsidRDefault="00861557" w:rsidP="0077247E">
            <w:pPr>
              <w:spacing w:before="40" w:after="40" w:line="240" w:lineRule="auto"/>
              <w:rPr>
                <w:rFonts w:cs="Arial"/>
                <w:color w:val="000000"/>
              </w:rPr>
            </w:pPr>
            <w:r w:rsidRPr="00296D0C">
              <w:rPr>
                <w:rFonts w:cs="Arial"/>
                <w:color w:val="000000"/>
              </w:rPr>
              <w:t>1</w:t>
            </w:r>
          </w:p>
        </w:tc>
        <w:tc>
          <w:tcPr>
            <w:tcW w:w="950" w:type="pct"/>
            <w:tcBorders>
              <w:top w:val="single" w:sz="8" w:space="0" w:color="000000"/>
              <w:left w:val="nil"/>
              <w:bottom w:val="nil"/>
              <w:right w:val="nil"/>
            </w:tcBorders>
          </w:tcPr>
          <w:p w14:paraId="6F5B831A" w14:textId="77777777" w:rsidR="00861557" w:rsidRPr="00296D0C" w:rsidRDefault="00861557" w:rsidP="0077247E">
            <w:pPr>
              <w:spacing w:before="40" w:after="40" w:line="240" w:lineRule="auto"/>
              <w:rPr>
                <w:rFonts w:cs="Arial"/>
                <w:color w:val="000000"/>
              </w:rPr>
            </w:pPr>
            <w:r w:rsidRPr="00296D0C">
              <w:rPr>
                <w:rFonts w:cs="Arial"/>
                <w:color w:val="000000"/>
              </w:rPr>
              <w:t>1</w:t>
            </w:r>
          </w:p>
        </w:tc>
      </w:tr>
      <w:tr w:rsidR="00861557" w:rsidRPr="00296D0C" w14:paraId="616DFC74" w14:textId="77777777" w:rsidTr="0077247E">
        <w:trPr>
          <w:trHeight w:val="300"/>
        </w:trPr>
        <w:tc>
          <w:tcPr>
            <w:tcW w:w="566" w:type="pct"/>
            <w:tcBorders>
              <w:top w:val="nil"/>
              <w:left w:val="nil"/>
              <w:bottom w:val="nil"/>
              <w:right w:val="nil"/>
            </w:tcBorders>
          </w:tcPr>
          <w:p w14:paraId="2C848D50" w14:textId="77777777" w:rsidR="00861557" w:rsidRPr="00296D0C" w:rsidRDefault="00861557" w:rsidP="0077247E">
            <w:pPr>
              <w:spacing w:before="40" w:after="40" w:line="240" w:lineRule="auto"/>
              <w:rPr>
                <w:rFonts w:cs="Arial"/>
                <w:color w:val="000000"/>
              </w:rPr>
            </w:pPr>
          </w:p>
        </w:tc>
        <w:tc>
          <w:tcPr>
            <w:tcW w:w="1112" w:type="pct"/>
            <w:tcBorders>
              <w:top w:val="nil"/>
              <w:left w:val="nil"/>
              <w:bottom w:val="nil"/>
              <w:right w:val="nil"/>
            </w:tcBorders>
            <w:shd w:val="clear" w:color="auto" w:fill="auto"/>
            <w:hideMark/>
          </w:tcPr>
          <w:p w14:paraId="742E09FB" w14:textId="77777777" w:rsidR="00861557" w:rsidRPr="00296D0C" w:rsidRDefault="00861557" w:rsidP="0077247E">
            <w:pPr>
              <w:spacing w:before="40" w:after="40" w:line="240" w:lineRule="auto"/>
              <w:rPr>
                <w:rFonts w:cs="Arial"/>
                <w:color w:val="000000"/>
              </w:rPr>
            </w:pPr>
            <w:r w:rsidRPr="00296D0C">
              <w:rPr>
                <w:rFonts w:cs="Arial"/>
                <w:color w:val="000000"/>
              </w:rPr>
              <w:t>19</w:t>
            </w:r>
          </w:p>
        </w:tc>
        <w:tc>
          <w:tcPr>
            <w:tcW w:w="636" w:type="pct"/>
            <w:tcBorders>
              <w:top w:val="nil"/>
              <w:left w:val="nil"/>
              <w:bottom w:val="nil"/>
              <w:right w:val="nil"/>
            </w:tcBorders>
            <w:shd w:val="clear" w:color="auto" w:fill="auto"/>
            <w:hideMark/>
          </w:tcPr>
          <w:p w14:paraId="2541CCCF" w14:textId="77777777" w:rsidR="00861557" w:rsidRPr="00296D0C" w:rsidRDefault="00861557" w:rsidP="0077247E">
            <w:pPr>
              <w:spacing w:before="40" w:after="40" w:line="240" w:lineRule="auto"/>
              <w:rPr>
                <w:rFonts w:cs="Arial"/>
                <w:color w:val="000000"/>
              </w:rPr>
            </w:pPr>
            <w:r w:rsidRPr="00296D0C">
              <w:rPr>
                <w:rFonts w:cs="Arial"/>
                <w:color w:val="000000"/>
              </w:rPr>
              <w:t>2</w:t>
            </w:r>
          </w:p>
        </w:tc>
        <w:tc>
          <w:tcPr>
            <w:tcW w:w="1042" w:type="pct"/>
            <w:tcBorders>
              <w:top w:val="nil"/>
              <w:left w:val="nil"/>
              <w:bottom w:val="nil"/>
              <w:right w:val="nil"/>
            </w:tcBorders>
            <w:shd w:val="clear" w:color="auto" w:fill="auto"/>
            <w:hideMark/>
          </w:tcPr>
          <w:p w14:paraId="685AE6F5" w14:textId="77777777" w:rsidR="00861557" w:rsidRPr="00296D0C" w:rsidRDefault="00861557" w:rsidP="0077247E">
            <w:pPr>
              <w:spacing w:before="40" w:after="40" w:line="240" w:lineRule="auto"/>
              <w:rPr>
                <w:rFonts w:cs="Arial"/>
                <w:color w:val="000000"/>
              </w:rPr>
            </w:pPr>
            <w:r w:rsidRPr="00296D0C">
              <w:rPr>
                <w:rFonts w:cs="Arial"/>
                <w:color w:val="000000"/>
              </w:rPr>
              <w:t>48</w:t>
            </w:r>
          </w:p>
        </w:tc>
        <w:tc>
          <w:tcPr>
            <w:tcW w:w="694" w:type="pct"/>
            <w:tcBorders>
              <w:top w:val="nil"/>
              <w:left w:val="nil"/>
              <w:bottom w:val="nil"/>
              <w:right w:val="nil"/>
            </w:tcBorders>
            <w:shd w:val="clear" w:color="auto" w:fill="auto"/>
            <w:hideMark/>
          </w:tcPr>
          <w:p w14:paraId="025B22F8" w14:textId="77777777" w:rsidR="00861557" w:rsidRPr="00296D0C" w:rsidRDefault="00861557" w:rsidP="0077247E">
            <w:pPr>
              <w:spacing w:before="40" w:after="40" w:line="240" w:lineRule="auto"/>
              <w:rPr>
                <w:rFonts w:cs="Arial"/>
                <w:color w:val="000000"/>
              </w:rPr>
            </w:pPr>
            <w:r w:rsidRPr="00296D0C">
              <w:rPr>
                <w:rFonts w:cs="Arial"/>
                <w:color w:val="000000"/>
              </w:rPr>
              <w:t>2</w:t>
            </w:r>
          </w:p>
        </w:tc>
        <w:tc>
          <w:tcPr>
            <w:tcW w:w="950" w:type="pct"/>
            <w:tcBorders>
              <w:top w:val="nil"/>
              <w:left w:val="nil"/>
              <w:bottom w:val="nil"/>
              <w:right w:val="nil"/>
            </w:tcBorders>
          </w:tcPr>
          <w:p w14:paraId="7D592F06" w14:textId="77777777" w:rsidR="00861557" w:rsidRPr="00296D0C" w:rsidRDefault="00861557" w:rsidP="0077247E">
            <w:pPr>
              <w:spacing w:before="40" w:after="40" w:line="240" w:lineRule="auto"/>
              <w:rPr>
                <w:rFonts w:cs="Arial"/>
                <w:color w:val="000000"/>
              </w:rPr>
            </w:pPr>
            <w:r w:rsidRPr="00296D0C">
              <w:rPr>
                <w:rFonts w:cs="Arial"/>
                <w:color w:val="000000"/>
              </w:rPr>
              <w:t>2</w:t>
            </w:r>
          </w:p>
        </w:tc>
      </w:tr>
      <w:tr w:rsidR="00861557" w:rsidRPr="00296D0C" w14:paraId="4567A1BC" w14:textId="77777777" w:rsidTr="0077247E">
        <w:trPr>
          <w:trHeight w:val="300"/>
        </w:trPr>
        <w:tc>
          <w:tcPr>
            <w:tcW w:w="566" w:type="pct"/>
            <w:tcBorders>
              <w:top w:val="nil"/>
              <w:left w:val="nil"/>
              <w:bottom w:val="nil"/>
              <w:right w:val="nil"/>
            </w:tcBorders>
          </w:tcPr>
          <w:p w14:paraId="537AE80C" w14:textId="77777777" w:rsidR="00861557" w:rsidRPr="00296D0C" w:rsidRDefault="00861557" w:rsidP="0077247E">
            <w:pPr>
              <w:spacing w:before="40" w:after="40" w:line="240" w:lineRule="auto"/>
              <w:rPr>
                <w:rFonts w:cs="Arial"/>
                <w:color w:val="000000"/>
              </w:rPr>
            </w:pPr>
          </w:p>
        </w:tc>
        <w:tc>
          <w:tcPr>
            <w:tcW w:w="1112" w:type="pct"/>
            <w:tcBorders>
              <w:top w:val="nil"/>
              <w:left w:val="nil"/>
              <w:bottom w:val="nil"/>
              <w:right w:val="nil"/>
            </w:tcBorders>
            <w:shd w:val="clear" w:color="auto" w:fill="auto"/>
            <w:hideMark/>
          </w:tcPr>
          <w:p w14:paraId="2D250281" w14:textId="77777777" w:rsidR="00861557" w:rsidRPr="00296D0C" w:rsidRDefault="00861557" w:rsidP="0077247E">
            <w:pPr>
              <w:spacing w:before="40" w:after="40" w:line="240" w:lineRule="auto"/>
              <w:rPr>
                <w:rFonts w:cs="Arial"/>
                <w:color w:val="000000"/>
              </w:rPr>
            </w:pPr>
            <w:r w:rsidRPr="00296D0C">
              <w:rPr>
                <w:rFonts w:cs="Arial"/>
                <w:color w:val="000000"/>
              </w:rPr>
              <w:t>6</w:t>
            </w:r>
          </w:p>
        </w:tc>
        <w:tc>
          <w:tcPr>
            <w:tcW w:w="636" w:type="pct"/>
            <w:tcBorders>
              <w:top w:val="nil"/>
              <w:left w:val="nil"/>
              <w:bottom w:val="nil"/>
              <w:right w:val="nil"/>
            </w:tcBorders>
            <w:shd w:val="clear" w:color="auto" w:fill="auto"/>
            <w:hideMark/>
          </w:tcPr>
          <w:p w14:paraId="7FDDE926" w14:textId="77777777" w:rsidR="00861557" w:rsidRPr="00296D0C" w:rsidRDefault="00861557" w:rsidP="0077247E">
            <w:pPr>
              <w:spacing w:before="40" w:after="40" w:line="240" w:lineRule="auto"/>
              <w:rPr>
                <w:rFonts w:cs="Arial"/>
                <w:color w:val="000000"/>
              </w:rPr>
            </w:pPr>
            <w:r w:rsidRPr="00296D0C">
              <w:rPr>
                <w:rFonts w:cs="Arial"/>
                <w:color w:val="000000"/>
              </w:rPr>
              <w:t>2</w:t>
            </w:r>
          </w:p>
        </w:tc>
        <w:tc>
          <w:tcPr>
            <w:tcW w:w="1042" w:type="pct"/>
            <w:tcBorders>
              <w:top w:val="nil"/>
              <w:left w:val="nil"/>
              <w:bottom w:val="nil"/>
              <w:right w:val="nil"/>
            </w:tcBorders>
            <w:shd w:val="clear" w:color="auto" w:fill="auto"/>
            <w:hideMark/>
          </w:tcPr>
          <w:p w14:paraId="7F465248" w14:textId="77777777" w:rsidR="00861557" w:rsidRPr="00296D0C" w:rsidRDefault="00861557" w:rsidP="0077247E">
            <w:pPr>
              <w:spacing w:before="40" w:after="40" w:line="240" w:lineRule="auto"/>
              <w:rPr>
                <w:rFonts w:cs="Arial"/>
                <w:color w:val="000000"/>
              </w:rPr>
            </w:pPr>
            <w:r w:rsidRPr="00296D0C">
              <w:rPr>
                <w:rFonts w:cs="Arial"/>
                <w:color w:val="000000"/>
              </w:rPr>
              <w:t>84</w:t>
            </w:r>
          </w:p>
        </w:tc>
        <w:tc>
          <w:tcPr>
            <w:tcW w:w="694" w:type="pct"/>
            <w:tcBorders>
              <w:top w:val="nil"/>
              <w:left w:val="nil"/>
              <w:bottom w:val="nil"/>
              <w:right w:val="nil"/>
            </w:tcBorders>
            <w:shd w:val="clear" w:color="auto" w:fill="auto"/>
            <w:hideMark/>
          </w:tcPr>
          <w:p w14:paraId="47CFA18C" w14:textId="77777777" w:rsidR="00861557" w:rsidRPr="00296D0C" w:rsidRDefault="00861557" w:rsidP="0077247E">
            <w:pPr>
              <w:spacing w:before="40" w:after="40" w:line="240" w:lineRule="auto"/>
              <w:rPr>
                <w:rFonts w:cs="Arial"/>
                <w:color w:val="000000"/>
              </w:rPr>
            </w:pPr>
            <w:r w:rsidRPr="00296D0C">
              <w:rPr>
                <w:rFonts w:cs="Arial"/>
                <w:color w:val="000000"/>
              </w:rPr>
              <w:t>3</w:t>
            </w:r>
          </w:p>
        </w:tc>
        <w:tc>
          <w:tcPr>
            <w:tcW w:w="950" w:type="pct"/>
            <w:tcBorders>
              <w:top w:val="nil"/>
              <w:left w:val="nil"/>
              <w:bottom w:val="nil"/>
              <w:right w:val="nil"/>
            </w:tcBorders>
          </w:tcPr>
          <w:p w14:paraId="03754869" w14:textId="77777777" w:rsidR="00861557" w:rsidRPr="00296D0C" w:rsidRDefault="00861557" w:rsidP="0077247E">
            <w:pPr>
              <w:spacing w:before="40" w:after="40" w:line="240" w:lineRule="auto"/>
              <w:rPr>
                <w:rFonts w:cs="Arial"/>
                <w:color w:val="000000"/>
              </w:rPr>
            </w:pPr>
            <w:r w:rsidRPr="00296D0C">
              <w:rPr>
                <w:rFonts w:cs="Arial"/>
                <w:color w:val="000000"/>
              </w:rPr>
              <w:t>3</w:t>
            </w:r>
          </w:p>
        </w:tc>
      </w:tr>
      <w:tr w:rsidR="00861557" w:rsidRPr="00296D0C" w14:paraId="5EFDDF11" w14:textId="77777777" w:rsidTr="0077247E">
        <w:trPr>
          <w:trHeight w:val="300"/>
        </w:trPr>
        <w:tc>
          <w:tcPr>
            <w:tcW w:w="566" w:type="pct"/>
            <w:tcBorders>
              <w:top w:val="nil"/>
              <w:left w:val="nil"/>
              <w:bottom w:val="nil"/>
              <w:right w:val="nil"/>
            </w:tcBorders>
          </w:tcPr>
          <w:p w14:paraId="33B48EFA" w14:textId="77777777" w:rsidR="00861557" w:rsidRPr="00296D0C" w:rsidRDefault="00861557" w:rsidP="0077247E">
            <w:pPr>
              <w:spacing w:before="40" w:after="40" w:line="240" w:lineRule="auto"/>
              <w:rPr>
                <w:rFonts w:cs="Arial"/>
                <w:color w:val="000000"/>
              </w:rPr>
            </w:pPr>
          </w:p>
        </w:tc>
        <w:tc>
          <w:tcPr>
            <w:tcW w:w="1112" w:type="pct"/>
            <w:tcBorders>
              <w:top w:val="nil"/>
              <w:left w:val="nil"/>
              <w:bottom w:val="nil"/>
              <w:right w:val="nil"/>
            </w:tcBorders>
            <w:shd w:val="clear" w:color="auto" w:fill="auto"/>
            <w:hideMark/>
          </w:tcPr>
          <w:p w14:paraId="30DDD2F4" w14:textId="77777777" w:rsidR="00861557" w:rsidRPr="00296D0C" w:rsidRDefault="00861557" w:rsidP="0077247E">
            <w:pPr>
              <w:spacing w:before="40" w:after="40" w:line="240" w:lineRule="auto"/>
              <w:rPr>
                <w:rFonts w:cs="Arial"/>
                <w:color w:val="000000"/>
              </w:rPr>
            </w:pPr>
            <w:r w:rsidRPr="00296D0C">
              <w:rPr>
                <w:rFonts w:cs="Arial"/>
                <w:color w:val="000000"/>
              </w:rPr>
              <w:t>28</w:t>
            </w:r>
          </w:p>
        </w:tc>
        <w:tc>
          <w:tcPr>
            <w:tcW w:w="636" w:type="pct"/>
            <w:tcBorders>
              <w:top w:val="nil"/>
              <w:left w:val="nil"/>
              <w:bottom w:val="nil"/>
              <w:right w:val="nil"/>
            </w:tcBorders>
            <w:shd w:val="clear" w:color="auto" w:fill="auto"/>
            <w:hideMark/>
          </w:tcPr>
          <w:p w14:paraId="48F2B514" w14:textId="77777777" w:rsidR="00861557" w:rsidRPr="00296D0C" w:rsidRDefault="00861557" w:rsidP="0077247E">
            <w:pPr>
              <w:spacing w:before="40" w:after="40" w:line="240" w:lineRule="auto"/>
              <w:rPr>
                <w:rFonts w:cs="Arial"/>
                <w:color w:val="000000"/>
              </w:rPr>
            </w:pPr>
            <w:r w:rsidRPr="00296D0C">
              <w:rPr>
                <w:rFonts w:cs="Arial"/>
                <w:color w:val="000000"/>
              </w:rPr>
              <w:t>2</w:t>
            </w:r>
          </w:p>
        </w:tc>
        <w:tc>
          <w:tcPr>
            <w:tcW w:w="1042" w:type="pct"/>
            <w:tcBorders>
              <w:top w:val="nil"/>
              <w:left w:val="nil"/>
              <w:bottom w:val="nil"/>
              <w:right w:val="nil"/>
            </w:tcBorders>
            <w:shd w:val="clear" w:color="auto" w:fill="auto"/>
            <w:hideMark/>
          </w:tcPr>
          <w:p w14:paraId="2219A353" w14:textId="77777777" w:rsidR="00861557" w:rsidRPr="00296D0C" w:rsidRDefault="00861557" w:rsidP="0077247E">
            <w:pPr>
              <w:spacing w:before="40" w:after="40" w:line="240" w:lineRule="auto"/>
              <w:rPr>
                <w:rFonts w:cs="Arial"/>
                <w:color w:val="000000"/>
              </w:rPr>
            </w:pPr>
            <w:r w:rsidRPr="00296D0C">
              <w:rPr>
                <w:rFonts w:cs="Arial"/>
                <w:color w:val="000000"/>
              </w:rPr>
              <w:t>66</w:t>
            </w:r>
          </w:p>
        </w:tc>
        <w:tc>
          <w:tcPr>
            <w:tcW w:w="694" w:type="pct"/>
            <w:tcBorders>
              <w:top w:val="nil"/>
              <w:left w:val="nil"/>
              <w:bottom w:val="nil"/>
              <w:right w:val="nil"/>
            </w:tcBorders>
            <w:shd w:val="clear" w:color="auto" w:fill="auto"/>
            <w:hideMark/>
          </w:tcPr>
          <w:p w14:paraId="4C9B5F93" w14:textId="77777777" w:rsidR="00861557" w:rsidRPr="00296D0C" w:rsidRDefault="00861557" w:rsidP="0077247E">
            <w:pPr>
              <w:spacing w:before="40" w:after="40" w:line="240" w:lineRule="auto"/>
              <w:rPr>
                <w:rFonts w:cs="Arial"/>
                <w:color w:val="000000"/>
              </w:rPr>
            </w:pPr>
            <w:r w:rsidRPr="00296D0C">
              <w:rPr>
                <w:rFonts w:cs="Arial"/>
                <w:color w:val="000000"/>
              </w:rPr>
              <w:t>3</w:t>
            </w:r>
          </w:p>
        </w:tc>
        <w:tc>
          <w:tcPr>
            <w:tcW w:w="950" w:type="pct"/>
            <w:tcBorders>
              <w:top w:val="nil"/>
              <w:left w:val="nil"/>
              <w:bottom w:val="nil"/>
              <w:right w:val="nil"/>
            </w:tcBorders>
          </w:tcPr>
          <w:p w14:paraId="7FAE5B9F" w14:textId="77777777" w:rsidR="00861557" w:rsidRPr="00296D0C" w:rsidRDefault="00861557" w:rsidP="0077247E">
            <w:pPr>
              <w:spacing w:before="40" w:after="40" w:line="240" w:lineRule="auto"/>
              <w:rPr>
                <w:rFonts w:cs="Arial"/>
                <w:color w:val="000000"/>
              </w:rPr>
            </w:pPr>
            <w:r w:rsidRPr="00296D0C">
              <w:rPr>
                <w:rFonts w:cs="Arial"/>
                <w:color w:val="000000"/>
              </w:rPr>
              <w:t>3</w:t>
            </w:r>
          </w:p>
        </w:tc>
      </w:tr>
      <w:tr w:rsidR="00861557" w:rsidRPr="00296D0C" w14:paraId="4433B052" w14:textId="77777777" w:rsidTr="0077247E">
        <w:trPr>
          <w:trHeight w:val="300"/>
        </w:trPr>
        <w:tc>
          <w:tcPr>
            <w:tcW w:w="566" w:type="pct"/>
            <w:tcBorders>
              <w:top w:val="nil"/>
              <w:left w:val="nil"/>
              <w:bottom w:val="nil"/>
              <w:right w:val="nil"/>
            </w:tcBorders>
          </w:tcPr>
          <w:p w14:paraId="4C637634" w14:textId="77777777" w:rsidR="00861557" w:rsidRPr="00296D0C" w:rsidRDefault="00861557" w:rsidP="0077247E">
            <w:pPr>
              <w:spacing w:before="40" w:after="40" w:line="240" w:lineRule="auto"/>
              <w:rPr>
                <w:rFonts w:cs="Arial"/>
                <w:color w:val="000000"/>
              </w:rPr>
            </w:pPr>
          </w:p>
        </w:tc>
        <w:tc>
          <w:tcPr>
            <w:tcW w:w="1112" w:type="pct"/>
            <w:tcBorders>
              <w:top w:val="nil"/>
              <w:left w:val="nil"/>
              <w:bottom w:val="nil"/>
              <w:right w:val="nil"/>
            </w:tcBorders>
            <w:shd w:val="clear" w:color="auto" w:fill="auto"/>
            <w:hideMark/>
          </w:tcPr>
          <w:p w14:paraId="1EBA795E" w14:textId="77777777" w:rsidR="00861557" w:rsidRPr="00296D0C" w:rsidRDefault="00861557" w:rsidP="0077247E">
            <w:pPr>
              <w:spacing w:before="40" w:after="40" w:line="240" w:lineRule="auto"/>
              <w:rPr>
                <w:rFonts w:cs="Arial"/>
                <w:color w:val="000000"/>
              </w:rPr>
            </w:pPr>
            <w:r w:rsidRPr="00296D0C">
              <w:rPr>
                <w:rFonts w:cs="Arial"/>
                <w:color w:val="000000"/>
              </w:rPr>
              <w:t>30</w:t>
            </w:r>
          </w:p>
        </w:tc>
        <w:tc>
          <w:tcPr>
            <w:tcW w:w="636" w:type="pct"/>
            <w:tcBorders>
              <w:top w:val="nil"/>
              <w:left w:val="nil"/>
              <w:bottom w:val="nil"/>
              <w:right w:val="nil"/>
            </w:tcBorders>
            <w:shd w:val="clear" w:color="auto" w:fill="auto"/>
            <w:hideMark/>
          </w:tcPr>
          <w:p w14:paraId="72CEC1C5" w14:textId="77777777" w:rsidR="00861557" w:rsidRPr="00296D0C" w:rsidRDefault="00861557" w:rsidP="0077247E">
            <w:pPr>
              <w:spacing w:before="40" w:after="40" w:line="240" w:lineRule="auto"/>
              <w:rPr>
                <w:rFonts w:cs="Arial"/>
                <w:color w:val="000000"/>
              </w:rPr>
            </w:pPr>
            <w:r w:rsidRPr="00296D0C">
              <w:rPr>
                <w:rFonts w:cs="Arial"/>
                <w:color w:val="000000"/>
              </w:rPr>
              <w:t>2</w:t>
            </w:r>
          </w:p>
        </w:tc>
        <w:tc>
          <w:tcPr>
            <w:tcW w:w="1042" w:type="pct"/>
            <w:tcBorders>
              <w:top w:val="nil"/>
              <w:left w:val="nil"/>
              <w:bottom w:val="nil"/>
              <w:right w:val="nil"/>
            </w:tcBorders>
            <w:shd w:val="clear" w:color="auto" w:fill="auto"/>
            <w:hideMark/>
          </w:tcPr>
          <w:p w14:paraId="00EC8C5F" w14:textId="77777777" w:rsidR="00861557" w:rsidRPr="00296D0C" w:rsidRDefault="00861557" w:rsidP="0077247E">
            <w:pPr>
              <w:spacing w:before="40" w:after="40" w:line="240" w:lineRule="auto"/>
              <w:rPr>
                <w:rFonts w:cs="Arial"/>
                <w:color w:val="000000"/>
              </w:rPr>
            </w:pPr>
            <w:r w:rsidRPr="00296D0C">
              <w:rPr>
                <w:rFonts w:cs="Arial"/>
                <w:color w:val="000000"/>
              </w:rPr>
              <w:t>37</w:t>
            </w:r>
          </w:p>
        </w:tc>
        <w:tc>
          <w:tcPr>
            <w:tcW w:w="694" w:type="pct"/>
            <w:tcBorders>
              <w:top w:val="nil"/>
              <w:left w:val="nil"/>
              <w:bottom w:val="nil"/>
              <w:right w:val="nil"/>
            </w:tcBorders>
            <w:shd w:val="clear" w:color="auto" w:fill="auto"/>
            <w:hideMark/>
          </w:tcPr>
          <w:p w14:paraId="0DD1B7E9" w14:textId="77777777" w:rsidR="00861557" w:rsidRPr="00296D0C" w:rsidRDefault="00861557" w:rsidP="0077247E">
            <w:pPr>
              <w:spacing w:before="40" w:after="40" w:line="240" w:lineRule="auto"/>
              <w:rPr>
                <w:rFonts w:cs="Arial"/>
                <w:color w:val="000000"/>
              </w:rPr>
            </w:pPr>
            <w:r w:rsidRPr="00296D0C">
              <w:rPr>
                <w:rFonts w:cs="Arial"/>
                <w:color w:val="000000"/>
              </w:rPr>
              <w:t>1.5</w:t>
            </w:r>
          </w:p>
        </w:tc>
        <w:tc>
          <w:tcPr>
            <w:tcW w:w="950" w:type="pct"/>
            <w:tcBorders>
              <w:top w:val="nil"/>
              <w:left w:val="nil"/>
              <w:bottom w:val="nil"/>
              <w:right w:val="nil"/>
            </w:tcBorders>
          </w:tcPr>
          <w:p w14:paraId="41891D3E" w14:textId="5F4559D7" w:rsidR="00861557" w:rsidRPr="00296D0C" w:rsidRDefault="00861557" w:rsidP="0077247E">
            <w:pPr>
              <w:spacing w:before="40" w:after="40" w:line="240" w:lineRule="auto"/>
              <w:rPr>
                <w:rFonts w:cs="Arial"/>
                <w:color w:val="000000"/>
              </w:rPr>
            </w:pPr>
            <w:r w:rsidRPr="00296D0C">
              <w:rPr>
                <w:rFonts w:cs="Arial"/>
              </w:rPr>
              <w:t>2</w:t>
            </w:r>
            <w:r w:rsidR="008A66B5" w:rsidRPr="00296D0C">
              <w:rPr>
                <w:rFonts w:cs="Arial"/>
                <w:vertAlign w:val="superscript"/>
              </w:rPr>
              <w:t xml:space="preserve"> c</w:t>
            </w:r>
          </w:p>
        </w:tc>
      </w:tr>
      <w:tr w:rsidR="00861557" w:rsidRPr="00296D0C" w14:paraId="0AA2A794" w14:textId="77777777" w:rsidTr="0077247E">
        <w:trPr>
          <w:trHeight w:val="300"/>
        </w:trPr>
        <w:tc>
          <w:tcPr>
            <w:tcW w:w="566" w:type="pct"/>
            <w:tcBorders>
              <w:top w:val="nil"/>
              <w:left w:val="nil"/>
              <w:bottom w:val="nil"/>
              <w:right w:val="nil"/>
            </w:tcBorders>
          </w:tcPr>
          <w:p w14:paraId="0E002564" w14:textId="77777777" w:rsidR="00861557" w:rsidRPr="00296D0C" w:rsidRDefault="00861557" w:rsidP="0077247E">
            <w:pPr>
              <w:spacing w:before="40" w:after="40" w:line="240" w:lineRule="auto"/>
              <w:rPr>
                <w:rFonts w:cs="Arial"/>
                <w:color w:val="000000"/>
              </w:rPr>
            </w:pPr>
          </w:p>
        </w:tc>
        <w:tc>
          <w:tcPr>
            <w:tcW w:w="1112" w:type="pct"/>
            <w:tcBorders>
              <w:top w:val="nil"/>
              <w:left w:val="nil"/>
              <w:bottom w:val="nil"/>
              <w:right w:val="nil"/>
            </w:tcBorders>
            <w:shd w:val="clear" w:color="auto" w:fill="auto"/>
            <w:hideMark/>
          </w:tcPr>
          <w:p w14:paraId="36A71A83" w14:textId="77777777" w:rsidR="00861557" w:rsidRPr="00296D0C" w:rsidRDefault="00861557" w:rsidP="0077247E">
            <w:pPr>
              <w:spacing w:before="40" w:after="40" w:line="240" w:lineRule="auto"/>
              <w:rPr>
                <w:rFonts w:cs="Arial"/>
                <w:color w:val="000000"/>
              </w:rPr>
            </w:pPr>
            <w:r w:rsidRPr="00296D0C">
              <w:rPr>
                <w:rFonts w:cs="Arial"/>
                <w:color w:val="000000"/>
              </w:rPr>
              <w:t>29</w:t>
            </w:r>
          </w:p>
        </w:tc>
        <w:tc>
          <w:tcPr>
            <w:tcW w:w="636" w:type="pct"/>
            <w:tcBorders>
              <w:top w:val="nil"/>
              <w:left w:val="nil"/>
              <w:bottom w:val="nil"/>
              <w:right w:val="nil"/>
            </w:tcBorders>
            <w:shd w:val="clear" w:color="auto" w:fill="auto"/>
            <w:hideMark/>
          </w:tcPr>
          <w:p w14:paraId="43B0DB5F" w14:textId="77777777" w:rsidR="00861557" w:rsidRPr="00296D0C" w:rsidRDefault="00861557" w:rsidP="0077247E">
            <w:pPr>
              <w:spacing w:before="40" w:after="40" w:line="240" w:lineRule="auto"/>
              <w:rPr>
                <w:rFonts w:cs="Arial"/>
                <w:color w:val="000000"/>
              </w:rPr>
            </w:pPr>
            <w:r w:rsidRPr="00296D0C">
              <w:rPr>
                <w:rFonts w:cs="Arial"/>
                <w:color w:val="000000"/>
              </w:rPr>
              <w:t>2</w:t>
            </w:r>
          </w:p>
        </w:tc>
        <w:tc>
          <w:tcPr>
            <w:tcW w:w="1042" w:type="pct"/>
            <w:tcBorders>
              <w:top w:val="nil"/>
              <w:left w:val="nil"/>
              <w:bottom w:val="nil"/>
              <w:right w:val="nil"/>
            </w:tcBorders>
            <w:shd w:val="clear" w:color="auto" w:fill="auto"/>
            <w:hideMark/>
          </w:tcPr>
          <w:p w14:paraId="72DCA5CC" w14:textId="77777777" w:rsidR="00861557" w:rsidRPr="00296D0C" w:rsidRDefault="00861557" w:rsidP="0077247E">
            <w:pPr>
              <w:spacing w:before="40" w:after="40" w:line="240" w:lineRule="auto"/>
              <w:rPr>
                <w:rFonts w:cs="Arial"/>
                <w:color w:val="000000"/>
              </w:rPr>
            </w:pPr>
            <w:r w:rsidRPr="00296D0C">
              <w:rPr>
                <w:rFonts w:cs="Arial"/>
                <w:color w:val="000000"/>
              </w:rPr>
              <w:t>31</w:t>
            </w:r>
          </w:p>
        </w:tc>
        <w:tc>
          <w:tcPr>
            <w:tcW w:w="694" w:type="pct"/>
            <w:tcBorders>
              <w:top w:val="nil"/>
              <w:left w:val="nil"/>
              <w:bottom w:val="nil"/>
              <w:right w:val="nil"/>
            </w:tcBorders>
            <w:shd w:val="clear" w:color="auto" w:fill="auto"/>
            <w:hideMark/>
          </w:tcPr>
          <w:p w14:paraId="15D17E98" w14:textId="77777777" w:rsidR="00861557" w:rsidRPr="00296D0C" w:rsidRDefault="00861557" w:rsidP="0077247E">
            <w:pPr>
              <w:spacing w:before="40" w:after="40" w:line="240" w:lineRule="auto"/>
              <w:rPr>
                <w:rFonts w:cs="Arial"/>
                <w:color w:val="000000"/>
              </w:rPr>
            </w:pPr>
            <w:r w:rsidRPr="00296D0C">
              <w:rPr>
                <w:rFonts w:cs="Arial"/>
                <w:color w:val="000000"/>
              </w:rPr>
              <w:t>1</w:t>
            </w:r>
          </w:p>
        </w:tc>
        <w:tc>
          <w:tcPr>
            <w:tcW w:w="950" w:type="pct"/>
            <w:tcBorders>
              <w:top w:val="nil"/>
              <w:left w:val="nil"/>
              <w:bottom w:val="nil"/>
              <w:right w:val="nil"/>
            </w:tcBorders>
          </w:tcPr>
          <w:p w14:paraId="20F24DE2" w14:textId="77777777" w:rsidR="00861557" w:rsidRPr="00296D0C" w:rsidRDefault="00861557" w:rsidP="0077247E">
            <w:pPr>
              <w:spacing w:before="40" w:after="40" w:line="240" w:lineRule="auto"/>
              <w:rPr>
                <w:rFonts w:cs="Arial"/>
                <w:color w:val="000000"/>
              </w:rPr>
            </w:pPr>
            <w:r w:rsidRPr="00296D0C">
              <w:rPr>
                <w:rFonts w:cs="Arial"/>
                <w:color w:val="000000"/>
              </w:rPr>
              <w:t>1</w:t>
            </w:r>
          </w:p>
        </w:tc>
      </w:tr>
      <w:tr w:rsidR="00861557" w:rsidRPr="00296D0C" w14:paraId="58BBA0C9" w14:textId="77777777" w:rsidTr="0077247E">
        <w:trPr>
          <w:trHeight w:val="300"/>
        </w:trPr>
        <w:tc>
          <w:tcPr>
            <w:tcW w:w="566" w:type="pct"/>
            <w:tcBorders>
              <w:top w:val="nil"/>
              <w:left w:val="nil"/>
              <w:bottom w:val="nil"/>
              <w:right w:val="nil"/>
            </w:tcBorders>
          </w:tcPr>
          <w:p w14:paraId="1D038F64" w14:textId="77777777" w:rsidR="00861557" w:rsidRPr="00296D0C" w:rsidRDefault="00861557" w:rsidP="0077247E">
            <w:pPr>
              <w:spacing w:before="40" w:after="40" w:line="240" w:lineRule="auto"/>
              <w:rPr>
                <w:rFonts w:cs="Arial"/>
                <w:color w:val="000000"/>
              </w:rPr>
            </w:pPr>
          </w:p>
        </w:tc>
        <w:tc>
          <w:tcPr>
            <w:tcW w:w="1112" w:type="pct"/>
            <w:tcBorders>
              <w:top w:val="nil"/>
              <w:left w:val="nil"/>
              <w:bottom w:val="nil"/>
              <w:right w:val="nil"/>
            </w:tcBorders>
            <w:shd w:val="clear" w:color="auto" w:fill="auto"/>
            <w:hideMark/>
          </w:tcPr>
          <w:p w14:paraId="2CA0B2C4" w14:textId="77777777" w:rsidR="00861557" w:rsidRPr="00296D0C" w:rsidRDefault="00861557" w:rsidP="0077247E">
            <w:pPr>
              <w:spacing w:before="40" w:after="40" w:line="240" w:lineRule="auto"/>
              <w:rPr>
                <w:rFonts w:cs="Arial"/>
                <w:color w:val="000000"/>
              </w:rPr>
            </w:pPr>
            <w:r w:rsidRPr="00296D0C">
              <w:rPr>
                <w:rFonts w:cs="Arial"/>
                <w:color w:val="000000"/>
              </w:rPr>
              <w:t>12</w:t>
            </w:r>
          </w:p>
        </w:tc>
        <w:tc>
          <w:tcPr>
            <w:tcW w:w="636" w:type="pct"/>
            <w:tcBorders>
              <w:top w:val="nil"/>
              <w:left w:val="nil"/>
              <w:bottom w:val="nil"/>
              <w:right w:val="nil"/>
            </w:tcBorders>
            <w:shd w:val="clear" w:color="auto" w:fill="auto"/>
            <w:hideMark/>
          </w:tcPr>
          <w:p w14:paraId="2BF6CEF7" w14:textId="77777777" w:rsidR="00861557" w:rsidRPr="00296D0C" w:rsidRDefault="00861557" w:rsidP="0077247E">
            <w:pPr>
              <w:spacing w:before="40" w:after="40" w:line="240" w:lineRule="auto"/>
              <w:rPr>
                <w:rFonts w:cs="Arial"/>
                <w:color w:val="000000"/>
              </w:rPr>
            </w:pPr>
            <w:r w:rsidRPr="00296D0C">
              <w:rPr>
                <w:rFonts w:cs="Arial"/>
                <w:color w:val="000000"/>
              </w:rPr>
              <w:t>2</w:t>
            </w:r>
          </w:p>
        </w:tc>
        <w:tc>
          <w:tcPr>
            <w:tcW w:w="1042" w:type="pct"/>
            <w:tcBorders>
              <w:top w:val="nil"/>
              <w:left w:val="nil"/>
              <w:bottom w:val="nil"/>
              <w:right w:val="nil"/>
            </w:tcBorders>
            <w:shd w:val="clear" w:color="auto" w:fill="auto"/>
            <w:hideMark/>
          </w:tcPr>
          <w:p w14:paraId="366E9154" w14:textId="77777777" w:rsidR="00861557" w:rsidRPr="00296D0C" w:rsidRDefault="00861557" w:rsidP="0077247E">
            <w:pPr>
              <w:spacing w:before="40" w:after="40" w:line="240" w:lineRule="auto"/>
              <w:rPr>
                <w:rFonts w:cs="Arial"/>
                <w:color w:val="000000"/>
              </w:rPr>
            </w:pPr>
            <w:r w:rsidRPr="00296D0C">
              <w:rPr>
                <w:rFonts w:cs="Arial"/>
                <w:color w:val="000000"/>
              </w:rPr>
              <w:t>86</w:t>
            </w:r>
          </w:p>
        </w:tc>
        <w:tc>
          <w:tcPr>
            <w:tcW w:w="694" w:type="pct"/>
            <w:tcBorders>
              <w:top w:val="nil"/>
              <w:left w:val="nil"/>
              <w:bottom w:val="nil"/>
              <w:right w:val="nil"/>
            </w:tcBorders>
            <w:shd w:val="clear" w:color="auto" w:fill="auto"/>
            <w:hideMark/>
          </w:tcPr>
          <w:p w14:paraId="4ACA14D0" w14:textId="77777777" w:rsidR="00861557" w:rsidRPr="00296D0C" w:rsidRDefault="00861557" w:rsidP="0077247E">
            <w:pPr>
              <w:spacing w:before="40" w:after="40" w:line="240" w:lineRule="auto"/>
              <w:rPr>
                <w:rFonts w:cs="Arial"/>
                <w:color w:val="000000"/>
              </w:rPr>
            </w:pPr>
            <w:r w:rsidRPr="00296D0C">
              <w:rPr>
                <w:rFonts w:cs="Arial"/>
                <w:color w:val="000000"/>
              </w:rPr>
              <w:t>3</w:t>
            </w:r>
          </w:p>
        </w:tc>
        <w:tc>
          <w:tcPr>
            <w:tcW w:w="950" w:type="pct"/>
            <w:tcBorders>
              <w:top w:val="nil"/>
              <w:left w:val="nil"/>
              <w:bottom w:val="nil"/>
              <w:right w:val="nil"/>
            </w:tcBorders>
          </w:tcPr>
          <w:p w14:paraId="458D4C79" w14:textId="77777777" w:rsidR="00861557" w:rsidRPr="00296D0C" w:rsidRDefault="00861557" w:rsidP="0077247E">
            <w:pPr>
              <w:spacing w:before="40" w:after="40" w:line="240" w:lineRule="auto"/>
              <w:rPr>
                <w:rFonts w:cs="Arial"/>
                <w:color w:val="000000"/>
              </w:rPr>
            </w:pPr>
            <w:r w:rsidRPr="00296D0C">
              <w:rPr>
                <w:rFonts w:cs="Arial"/>
                <w:color w:val="000000"/>
              </w:rPr>
              <w:t>3</w:t>
            </w:r>
          </w:p>
        </w:tc>
      </w:tr>
      <w:tr w:rsidR="00861557" w:rsidRPr="00296D0C" w14:paraId="4684A3EA" w14:textId="77777777" w:rsidTr="0077247E">
        <w:trPr>
          <w:trHeight w:val="300"/>
        </w:trPr>
        <w:tc>
          <w:tcPr>
            <w:tcW w:w="566" w:type="pct"/>
            <w:tcBorders>
              <w:top w:val="nil"/>
              <w:left w:val="nil"/>
              <w:bottom w:val="nil"/>
              <w:right w:val="nil"/>
            </w:tcBorders>
          </w:tcPr>
          <w:p w14:paraId="31142F43" w14:textId="77777777" w:rsidR="00861557" w:rsidRPr="00296D0C" w:rsidRDefault="00861557" w:rsidP="0077247E">
            <w:pPr>
              <w:spacing w:before="40" w:after="40" w:line="240" w:lineRule="auto"/>
              <w:rPr>
                <w:rFonts w:cs="Arial"/>
                <w:color w:val="000000"/>
              </w:rPr>
            </w:pPr>
          </w:p>
        </w:tc>
        <w:tc>
          <w:tcPr>
            <w:tcW w:w="1112" w:type="pct"/>
            <w:tcBorders>
              <w:top w:val="nil"/>
              <w:left w:val="nil"/>
              <w:bottom w:val="nil"/>
              <w:right w:val="nil"/>
            </w:tcBorders>
            <w:shd w:val="clear" w:color="auto" w:fill="auto"/>
            <w:hideMark/>
          </w:tcPr>
          <w:p w14:paraId="6E65FAEC" w14:textId="77777777" w:rsidR="00861557" w:rsidRPr="00296D0C" w:rsidRDefault="00861557" w:rsidP="0077247E">
            <w:pPr>
              <w:spacing w:before="40" w:after="40" w:line="240" w:lineRule="auto"/>
              <w:rPr>
                <w:rFonts w:cs="Arial"/>
                <w:color w:val="000000"/>
              </w:rPr>
            </w:pPr>
            <w:r w:rsidRPr="00296D0C">
              <w:rPr>
                <w:rFonts w:cs="Arial"/>
                <w:color w:val="000000"/>
              </w:rPr>
              <w:t>33</w:t>
            </w:r>
          </w:p>
        </w:tc>
        <w:tc>
          <w:tcPr>
            <w:tcW w:w="636" w:type="pct"/>
            <w:tcBorders>
              <w:top w:val="nil"/>
              <w:left w:val="nil"/>
              <w:bottom w:val="nil"/>
              <w:right w:val="nil"/>
            </w:tcBorders>
            <w:shd w:val="clear" w:color="auto" w:fill="auto"/>
            <w:hideMark/>
          </w:tcPr>
          <w:p w14:paraId="59582AEA" w14:textId="77777777" w:rsidR="00861557" w:rsidRPr="00296D0C" w:rsidRDefault="00861557" w:rsidP="0077247E">
            <w:pPr>
              <w:spacing w:before="40" w:after="40" w:line="240" w:lineRule="auto"/>
              <w:rPr>
                <w:rFonts w:cs="Arial"/>
                <w:color w:val="000000"/>
              </w:rPr>
            </w:pPr>
            <w:r w:rsidRPr="00296D0C">
              <w:rPr>
                <w:rFonts w:cs="Arial"/>
                <w:color w:val="000000"/>
              </w:rPr>
              <w:t>2</w:t>
            </w:r>
          </w:p>
        </w:tc>
        <w:tc>
          <w:tcPr>
            <w:tcW w:w="1042" w:type="pct"/>
            <w:tcBorders>
              <w:top w:val="nil"/>
              <w:left w:val="nil"/>
              <w:bottom w:val="nil"/>
              <w:right w:val="nil"/>
            </w:tcBorders>
            <w:shd w:val="clear" w:color="auto" w:fill="auto"/>
            <w:hideMark/>
          </w:tcPr>
          <w:p w14:paraId="26734487" w14:textId="77777777" w:rsidR="00861557" w:rsidRPr="00296D0C" w:rsidRDefault="00861557" w:rsidP="0077247E">
            <w:pPr>
              <w:spacing w:before="40" w:after="40" w:line="240" w:lineRule="auto"/>
              <w:rPr>
                <w:rFonts w:cs="Arial"/>
                <w:color w:val="000000"/>
              </w:rPr>
            </w:pPr>
            <w:r w:rsidRPr="00296D0C">
              <w:rPr>
                <w:rFonts w:cs="Arial"/>
                <w:color w:val="000000"/>
              </w:rPr>
              <w:t>47</w:t>
            </w:r>
          </w:p>
        </w:tc>
        <w:tc>
          <w:tcPr>
            <w:tcW w:w="694" w:type="pct"/>
            <w:tcBorders>
              <w:top w:val="nil"/>
              <w:left w:val="nil"/>
              <w:bottom w:val="nil"/>
              <w:right w:val="nil"/>
            </w:tcBorders>
            <w:shd w:val="clear" w:color="auto" w:fill="auto"/>
            <w:hideMark/>
          </w:tcPr>
          <w:p w14:paraId="2F18A9A3" w14:textId="77777777" w:rsidR="00861557" w:rsidRPr="00296D0C" w:rsidRDefault="00861557" w:rsidP="0077247E">
            <w:pPr>
              <w:spacing w:before="40" w:after="40" w:line="240" w:lineRule="auto"/>
              <w:rPr>
                <w:rFonts w:cs="Arial"/>
                <w:color w:val="000000"/>
              </w:rPr>
            </w:pPr>
            <w:r w:rsidRPr="00296D0C">
              <w:rPr>
                <w:rFonts w:cs="Arial"/>
                <w:color w:val="000000"/>
              </w:rPr>
              <w:t>2</w:t>
            </w:r>
          </w:p>
        </w:tc>
        <w:tc>
          <w:tcPr>
            <w:tcW w:w="950" w:type="pct"/>
            <w:tcBorders>
              <w:top w:val="nil"/>
              <w:left w:val="nil"/>
              <w:bottom w:val="nil"/>
              <w:right w:val="nil"/>
            </w:tcBorders>
          </w:tcPr>
          <w:p w14:paraId="5508ABA7" w14:textId="77777777" w:rsidR="00861557" w:rsidRPr="00296D0C" w:rsidRDefault="00861557" w:rsidP="0077247E">
            <w:pPr>
              <w:spacing w:before="40" w:after="40" w:line="240" w:lineRule="auto"/>
              <w:rPr>
                <w:rFonts w:cs="Arial"/>
                <w:color w:val="000000"/>
              </w:rPr>
            </w:pPr>
            <w:r w:rsidRPr="00296D0C">
              <w:rPr>
                <w:rFonts w:cs="Arial"/>
                <w:color w:val="000000"/>
              </w:rPr>
              <w:t>2</w:t>
            </w:r>
          </w:p>
          <w:p w14:paraId="6030ADB3" w14:textId="77777777" w:rsidR="00582B9B" w:rsidRPr="00296D0C" w:rsidRDefault="00582B9B" w:rsidP="0077247E">
            <w:pPr>
              <w:spacing w:before="40" w:after="40" w:line="240" w:lineRule="auto"/>
              <w:rPr>
                <w:rFonts w:cs="Arial"/>
                <w:color w:val="000000"/>
              </w:rPr>
            </w:pPr>
          </w:p>
        </w:tc>
      </w:tr>
      <w:tr w:rsidR="00861557" w:rsidRPr="00296D0C" w14:paraId="1BF8D8FD" w14:textId="77777777" w:rsidTr="0077247E">
        <w:trPr>
          <w:trHeight w:val="300"/>
        </w:trPr>
        <w:tc>
          <w:tcPr>
            <w:tcW w:w="566" w:type="pct"/>
            <w:tcBorders>
              <w:top w:val="nil"/>
              <w:left w:val="nil"/>
              <w:bottom w:val="single" w:sz="8" w:space="0" w:color="000000"/>
              <w:right w:val="nil"/>
            </w:tcBorders>
          </w:tcPr>
          <w:p w14:paraId="69911375" w14:textId="77777777" w:rsidR="00861557" w:rsidRPr="00296D0C" w:rsidRDefault="00861557" w:rsidP="0077247E">
            <w:pPr>
              <w:spacing w:before="40" w:after="40" w:line="240" w:lineRule="auto"/>
              <w:rPr>
                <w:rFonts w:cs="Arial"/>
                <w:bCs/>
                <w:color w:val="000000"/>
              </w:rPr>
            </w:pPr>
            <w:r w:rsidRPr="00296D0C">
              <w:rPr>
                <w:rFonts w:cs="Arial"/>
                <w:bCs/>
                <w:color w:val="000000"/>
              </w:rPr>
              <w:t>Total</w:t>
            </w:r>
          </w:p>
        </w:tc>
        <w:tc>
          <w:tcPr>
            <w:tcW w:w="1112" w:type="pct"/>
            <w:tcBorders>
              <w:top w:val="nil"/>
              <w:left w:val="nil"/>
              <w:bottom w:val="single" w:sz="8" w:space="0" w:color="000000"/>
              <w:right w:val="nil"/>
            </w:tcBorders>
            <w:shd w:val="clear" w:color="auto" w:fill="auto"/>
            <w:hideMark/>
          </w:tcPr>
          <w:p w14:paraId="7DA46C55" w14:textId="48AE172F" w:rsidR="00861557" w:rsidRPr="00296D0C" w:rsidRDefault="00861557" w:rsidP="0077247E">
            <w:pPr>
              <w:spacing w:before="40" w:after="40" w:line="240" w:lineRule="auto"/>
              <w:rPr>
                <w:rFonts w:cs="Arial"/>
                <w:bCs/>
                <w:color w:val="000000"/>
              </w:rPr>
            </w:pPr>
            <w:r w:rsidRPr="00296D0C">
              <w:rPr>
                <w:rFonts w:cs="Arial"/>
                <w:bCs/>
                <w:color w:val="000000"/>
              </w:rPr>
              <w:t xml:space="preserve"> 16</w:t>
            </w:r>
          </w:p>
        </w:tc>
        <w:tc>
          <w:tcPr>
            <w:tcW w:w="636" w:type="pct"/>
            <w:tcBorders>
              <w:top w:val="nil"/>
              <w:left w:val="nil"/>
              <w:bottom w:val="single" w:sz="8" w:space="0" w:color="000000"/>
              <w:right w:val="nil"/>
            </w:tcBorders>
            <w:shd w:val="clear" w:color="auto" w:fill="auto"/>
            <w:hideMark/>
          </w:tcPr>
          <w:p w14:paraId="27DCEA3F" w14:textId="77777777" w:rsidR="00861557" w:rsidRPr="00296D0C" w:rsidRDefault="00861557" w:rsidP="0077247E">
            <w:pPr>
              <w:spacing w:before="40" w:after="40" w:line="240" w:lineRule="auto"/>
              <w:rPr>
                <w:rFonts w:cs="Arial"/>
                <w:bCs/>
              </w:rPr>
            </w:pPr>
            <w:r w:rsidRPr="00296D0C">
              <w:rPr>
                <w:rFonts w:cs="Arial"/>
                <w:bCs/>
              </w:rPr>
              <w:t>–</w:t>
            </w:r>
          </w:p>
        </w:tc>
        <w:tc>
          <w:tcPr>
            <w:tcW w:w="1042" w:type="pct"/>
            <w:tcBorders>
              <w:top w:val="nil"/>
              <w:left w:val="nil"/>
              <w:bottom w:val="single" w:sz="8" w:space="0" w:color="000000"/>
              <w:right w:val="nil"/>
            </w:tcBorders>
            <w:shd w:val="clear" w:color="auto" w:fill="auto"/>
            <w:hideMark/>
          </w:tcPr>
          <w:p w14:paraId="611345FB" w14:textId="77777777" w:rsidR="00861557" w:rsidRPr="00296D0C" w:rsidRDefault="00861557" w:rsidP="0077247E">
            <w:pPr>
              <w:spacing w:before="40" w:after="40" w:line="240" w:lineRule="auto"/>
              <w:rPr>
                <w:rFonts w:cs="Arial"/>
                <w:bCs/>
                <w:color w:val="000000"/>
              </w:rPr>
            </w:pPr>
            <w:r w:rsidRPr="00296D0C">
              <w:rPr>
                <w:rFonts w:cs="Arial"/>
                <w:bCs/>
                <w:color w:val="000000"/>
              </w:rPr>
              <w:t>676</w:t>
            </w:r>
          </w:p>
        </w:tc>
        <w:tc>
          <w:tcPr>
            <w:tcW w:w="694" w:type="pct"/>
            <w:tcBorders>
              <w:top w:val="nil"/>
              <w:left w:val="nil"/>
              <w:bottom w:val="single" w:sz="8" w:space="0" w:color="000000"/>
              <w:right w:val="nil"/>
            </w:tcBorders>
            <w:shd w:val="clear" w:color="auto" w:fill="auto"/>
            <w:hideMark/>
          </w:tcPr>
          <w:p w14:paraId="3B7098E2" w14:textId="77777777" w:rsidR="00861557" w:rsidRPr="00296D0C" w:rsidRDefault="00861557" w:rsidP="0077247E">
            <w:pPr>
              <w:spacing w:before="40" w:after="40" w:line="240" w:lineRule="auto"/>
              <w:rPr>
                <w:rFonts w:cs="Arial"/>
                <w:bCs/>
                <w:color w:val="000000"/>
              </w:rPr>
            </w:pPr>
            <w:r w:rsidRPr="00296D0C">
              <w:rPr>
                <w:rFonts w:cs="Arial"/>
                <w:bCs/>
                <w:color w:val="000000"/>
              </w:rPr>
              <w:t>28</w:t>
            </w:r>
          </w:p>
        </w:tc>
        <w:tc>
          <w:tcPr>
            <w:tcW w:w="950" w:type="pct"/>
            <w:tcBorders>
              <w:top w:val="nil"/>
              <w:left w:val="nil"/>
              <w:bottom w:val="single" w:sz="8" w:space="0" w:color="000000"/>
              <w:right w:val="nil"/>
            </w:tcBorders>
          </w:tcPr>
          <w:p w14:paraId="69A5E2C0" w14:textId="77777777" w:rsidR="00861557" w:rsidRPr="00296D0C" w:rsidRDefault="00861557" w:rsidP="0077247E">
            <w:pPr>
              <w:spacing w:before="40" w:after="40" w:line="240" w:lineRule="auto"/>
              <w:rPr>
                <w:rFonts w:cs="Arial"/>
                <w:bCs/>
                <w:color w:val="000000"/>
              </w:rPr>
            </w:pPr>
            <w:r w:rsidRPr="00296D0C">
              <w:rPr>
                <w:rFonts w:cs="Arial"/>
                <w:bCs/>
                <w:color w:val="000000"/>
              </w:rPr>
              <w:t>27</w:t>
            </w:r>
          </w:p>
        </w:tc>
      </w:tr>
      <w:tr w:rsidR="00861557" w:rsidRPr="00296D0C" w14:paraId="3BC50693" w14:textId="77777777" w:rsidTr="0077247E">
        <w:trPr>
          <w:trHeight w:val="300"/>
        </w:trPr>
        <w:tc>
          <w:tcPr>
            <w:tcW w:w="566" w:type="pct"/>
            <w:tcBorders>
              <w:top w:val="nil"/>
              <w:left w:val="nil"/>
              <w:bottom w:val="single" w:sz="8" w:space="0" w:color="000000"/>
              <w:right w:val="nil"/>
            </w:tcBorders>
          </w:tcPr>
          <w:p w14:paraId="34A91157" w14:textId="77777777" w:rsidR="00861557" w:rsidRPr="00296D0C" w:rsidRDefault="00861557" w:rsidP="0077247E">
            <w:pPr>
              <w:spacing w:before="40" w:after="40" w:line="240" w:lineRule="auto"/>
              <w:rPr>
                <w:rFonts w:cs="Arial"/>
                <w:bCs/>
              </w:rPr>
            </w:pPr>
          </w:p>
        </w:tc>
        <w:tc>
          <w:tcPr>
            <w:tcW w:w="1112" w:type="pct"/>
            <w:tcBorders>
              <w:top w:val="nil"/>
              <w:left w:val="nil"/>
              <w:bottom w:val="single" w:sz="8" w:space="0" w:color="000000"/>
              <w:right w:val="nil"/>
            </w:tcBorders>
            <w:shd w:val="clear" w:color="auto" w:fill="auto"/>
          </w:tcPr>
          <w:p w14:paraId="550B0F9F" w14:textId="77777777" w:rsidR="00861557" w:rsidRPr="00296D0C" w:rsidRDefault="00861557" w:rsidP="0077247E">
            <w:pPr>
              <w:spacing w:before="40" w:after="40" w:line="240" w:lineRule="auto"/>
              <w:rPr>
                <w:rFonts w:cs="Arial"/>
                <w:bCs/>
                <w:color w:val="000000"/>
              </w:rPr>
            </w:pPr>
            <w:r w:rsidRPr="00296D0C">
              <w:rPr>
                <w:rFonts w:cs="Arial"/>
                <w:bCs/>
              </w:rPr>
              <w:t>Mean</w:t>
            </w:r>
            <w:r w:rsidRPr="00296D0C">
              <w:rPr>
                <w:rFonts w:cs="Arial"/>
                <w:bCs/>
                <w:color w:val="000000"/>
              </w:rPr>
              <w:t xml:space="preserve"> </w:t>
            </w:r>
          </w:p>
        </w:tc>
        <w:tc>
          <w:tcPr>
            <w:tcW w:w="636" w:type="pct"/>
            <w:tcBorders>
              <w:top w:val="nil"/>
              <w:left w:val="nil"/>
              <w:bottom w:val="single" w:sz="8" w:space="0" w:color="000000"/>
              <w:right w:val="nil"/>
            </w:tcBorders>
            <w:shd w:val="clear" w:color="auto" w:fill="auto"/>
          </w:tcPr>
          <w:p w14:paraId="24631883" w14:textId="77777777" w:rsidR="00861557" w:rsidRPr="00296D0C" w:rsidRDefault="00861557" w:rsidP="0077247E">
            <w:pPr>
              <w:spacing w:before="40" w:after="40" w:line="240" w:lineRule="auto"/>
              <w:rPr>
                <w:rFonts w:cs="Arial"/>
                <w:bCs/>
              </w:rPr>
            </w:pPr>
            <w:r w:rsidRPr="00296D0C">
              <w:rPr>
                <w:rFonts w:cs="Arial"/>
                <w:bCs/>
              </w:rPr>
              <w:t>–</w:t>
            </w:r>
          </w:p>
        </w:tc>
        <w:tc>
          <w:tcPr>
            <w:tcW w:w="1042" w:type="pct"/>
            <w:tcBorders>
              <w:top w:val="nil"/>
              <w:left w:val="nil"/>
              <w:bottom w:val="single" w:sz="8" w:space="0" w:color="000000"/>
              <w:right w:val="nil"/>
            </w:tcBorders>
            <w:shd w:val="clear" w:color="auto" w:fill="auto"/>
          </w:tcPr>
          <w:p w14:paraId="08B01397" w14:textId="77777777" w:rsidR="00861557" w:rsidRPr="00296D0C" w:rsidRDefault="00861557" w:rsidP="0077247E">
            <w:pPr>
              <w:spacing w:before="40" w:after="40" w:line="240" w:lineRule="auto"/>
              <w:rPr>
                <w:rFonts w:cs="Arial"/>
                <w:bCs/>
                <w:color w:val="000000"/>
              </w:rPr>
            </w:pPr>
            <w:r w:rsidRPr="00296D0C">
              <w:rPr>
                <w:rFonts w:cs="Arial"/>
                <w:bCs/>
                <w:color w:val="000000"/>
              </w:rPr>
              <w:t>24.14</w:t>
            </w:r>
          </w:p>
        </w:tc>
        <w:tc>
          <w:tcPr>
            <w:tcW w:w="694" w:type="pct"/>
            <w:tcBorders>
              <w:top w:val="nil"/>
              <w:left w:val="nil"/>
              <w:bottom w:val="single" w:sz="8" w:space="0" w:color="000000"/>
              <w:right w:val="nil"/>
            </w:tcBorders>
            <w:shd w:val="clear" w:color="auto" w:fill="auto"/>
          </w:tcPr>
          <w:p w14:paraId="65EC2B98" w14:textId="77777777" w:rsidR="00861557" w:rsidRPr="00296D0C" w:rsidRDefault="00861557" w:rsidP="0077247E">
            <w:pPr>
              <w:spacing w:before="40" w:after="40" w:line="240" w:lineRule="auto"/>
              <w:rPr>
                <w:rFonts w:cs="Arial"/>
                <w:bCs/>
                <w:color w:val="000000"/>
              </w:rPr>
            </w:pPr>
            <w:r w:rsidRPr="00296D0C">
              <w:rPr>
                <w:rFonts w:cs="Arial"/>
                <w:bCs/>
                <w:color w:val="000000"/>
              </w:rPr>
              <w:t>1</w:t>
            </w:r>
          </w:p>
        </w:tc>
        <w:tc>
          <w:tcPr>
            <w:tcW w:w="950" w:type="pct"/>
            <w:tcBorders>
              <w:top w:val="nil"/>
              <w:left w:val="nil"/>
              <w:bottom w:val="single" w:sz="8" w:space="0" w:color="000000"/>
              <w:right w:val="nil"/>
            </w:tcBorders>
          </w:tcPr>
          <w:p w14:paraId="305158B6" w14:textId="77777777" w:rsidR="00861557" w:rsidRPr="00296D0C" w:rsidRDefault="00861557" w:rsidP="0077247E">
            <w:pPr>
              <w:spacing w:before="40" w:after="40" w:line="240" w:lineRule="auto"/>
              <w:rPr>
                <w:rFonts w:cs="Arial"/>
                <w:bCs/>
                <w:color w:val="000000"/>
              </w:rPr>
            </w:pPr>
            <w:r w:rsidRPr="00296D0C">
              <w:rPr>
                <w:rFonts w:cs="Arial"/>
                <w:bCs/>
                <w:color w:val="000000"/>
              </w:rPr>
              <w:t>–</w:t>
            </w:r>
          </w:p>
        </w:tc>
      </w:tr>
      <w:tr w:rsidR="00861557" w:rsidRPr="00296D0C" w14:paraId="44CB0958" w14:textId="77777777" w:rsidTr="0077247E">
        <w:trPr>
          <w:trHeight w:val="300"/>
        </w:trPr>
        <w:tc>
          <w:tcPr>
            <w:tcW w:w="566" w:type="pct"/>
            <w:tcBorders>
              <w:top w:val="nil"/>
              <w:left w:val="nil"/>
              <w:bottom w:val="single" w:sz="8" w:space="0" w:color="000000"/>
              <w:right w:val="nil"/>
            </w:tcBorders>
          </w:tcPr>
          <w:p w14:paraId="109A01AF" w14:textId="77777777" w:rsidR="00861557" w:rsidRPr="00296D0C" w:rsidRDefault="00861557" w:rsidP="0077247E">
            <w:pPr>
              <w:tabs>
                <w:tab w:val="left" w:pos="284"/>
              </w:tabs>
              <w:spacing w:before="40" w:after="40" w:line="240" w:lineRule="auto"/>
              <w:ind w:left="284" w:hanging="284"/>
              <w:rPr>
                <w:rFonts w:cs="Arial"/>
                <w:bCs/>
              </w:rPr>
            </w:pPr>
          </w:p>
        </w:tc>
        <w:tc>
          <w:tcPr>
            <w:tcW w:w="1112" w:type="pct"/>
            <w:tcBorders>
              <w:top w:val="nil"/>
              <w:left w:val="nil"/>
              <w:bottom w:val="single" w:sz="8" w:space="0" w:color="000000"/>
              <w:right w:val="nil"/>
            </w:tcBorders>
            <w:shd w:val="clear" w:color="auto" w:fill="auto"/>
          </w:tcPr>
          <w:p w14:paraId="7F3F469A" w14:textId="77777777" w:rsidR="00861557" w:rsidRPr="00296D0C" w:rsidRDefault="00861557" w:rsidP="0077247E">
            <w:pPr>
              <w:tabs>
                <w:tab w:val="left" w:pos="284"/>
              </w:tabs>
              <w:spacing w:before="40" w:after="40" w:line="240" w:lineRule="auto"/>
              <w:ind w:left="284" w:hanging="284"/>
              <w:rPr>
                <w:rFonts w:cs="Arial"/>
                <w:bCs/>
                <w:color w:val="000000"/>
              </w:rPr>
            </w:pPr>
            <w:r w:rsidRPr="00296D0C">
              <w:rPr>
                <w:rFonts w:cs="Arial"/>
                <w:bCs/>
              </w:rPr>
              <w:t>Mean</w:t>
            </w:r>
            <w:r w:rsidRPr="00296D0C">
              <w:rPr>
                <w:rFonts w:cs="Arial"/>
                <w:bCs/>
                <w:color w:val="000000"/>
              </w:rPr>
              <w:t xml:space="preserve"> </w:t>
            </w:r>
          </w:p>
        </w:tc>
        <w:tc>
          <w:tcPr>
            <w:tcW w:w="636" w:type="pct"/>
            <w:tcBorders>
              <w:top w:val="nil"/>
              <w:left w:val="nil"/>
              <w:bottom w:val="single" w:sz="8" w:space="0" w:color="000000"/>
              <w:right w:val="nil"/>
            </w:tcBorders>
            <w:shd w:val="clear" w:color="auto" w:fill="auto"/>
          </w:tcPr>
          <w:p w14:paraId="39846C58" w14:textId="77777777" w:rsidR="00861557" w:rsidRPr="00296D0C" w:rsidRDefault="00861557" w:rsidP="0077247E">
            <w:pPr>
              <w:tabs>
                <w:tab w:val="left" w:pos="284"/>
              </w:tabs>
              <w:spacing w:before="40" w:after="40" w:line="240" w:lineRule="auto"/>
              <w:ind w:left="284" w:hanging="284"/>
              <w:rPr>
                <w:rFonts w:cs="Arial"/>
                <w:bCs/>
              </w:rPr>
            </w:pPr>
            <w:r w:rsidRPr="00296D0C">
              <w:rPr>
                <w:rFonts w:cs="Arial"/>
                <w:bCs/>
              </w:rPr>
              <w:t>–</w:t>
            </w:r>
          </w:p>
        </w:tc>
        <w:tc>
          <w:tcPr>
            <w:tcW w:w="1042" w:type="pct"/>
            <w:tcBorders>
              <w:top w:val="nil"/>
              <w:left w:val="nil"/>
              <w:bottom w:val="single" w:sz="8" w:space="0" w:color="000000"/>
              <w:right w:val="nil"/>
            </w:tcBorders>
            <w:shd w:val="clear" w:color="auto" w:fill="auto"/>
          </w:tcPr>
          <w:p w14:paraId="283D431D" w14:textId="77777777" w:rsidR="00861557" w:rsidRPr="00296D0C" w:rsidRDefault="00861557" w:rsidP="0077247E">
            <w:pPr>
              <w:tabs>
                <w:tab w:val="left" w:pos="284"/>
              </w:tabs>
              <w:spacing w:before="40" w:after="40" w:line="240" w:lineRule="auto"/>
              <w:ind w:left="284" w:hanging="284"/>
              <w:rPr>
                <w:rFonts w:cs="Arial"/>
                <w:bCs/>
                <w:color w:val="000000"/>
              </w:rPr>
            </w:pPr>
            <w:r w:rsidRPr="00296D0C">
              <w:rPr>
                <w:rFonts w:cs="Arial"/>
                <w:bCs/>
                <w:color w:val="000000"/>
              </w:rPr>
              <w:t xml:space="preserve">25.01 </w:t>
            </w:r>
          </w:p>
        </w:tc>
        <w:tc>
          <w:tcPr>
            <w:tcW w:w="694" w:type="pct"/>
            <w:tcBorders>
              <w:top w:val="nil"/>
              <w:left w:val="nil"/>
              <w:bottom w:val="single" w:sz="8" w:space="0" w:color="000000"/>
              <w:right w:val="nil"/>
            </w:tcBorders>
            <w:shd w:val="clear" w:color="auto" w:fill="auto"/>
          </w:tcPr>
          <w:p w14:paraId="51446C87" w14:textId="77777777" w:rsidR="00861557" w:rsidRPr="00296D0C" w:rsidRDefault="00861557" w:rsidP="0077247E">
            <w:pPr>
              <w:tabs>
                <w:tab w:val="left" w:pos="284"/>
              </w:tabs>
              <w:spacing w:before="40" w:after="40" w:line="240" w:lineRule="auto"/>
              <w:ind w:left="284" w:hanging="284"/>
              <w:rPr>
                <w:rFonts w:cs="Arial"/>
                <w:bCs/>
                <w:color w:val="000000"/>
              </w:rPr>
            </w:pPr>
            <w:r w:rsidRPr="00296D0C">
              <w:rPr>
                <w:rFonts w:cs="Arial"/>
                <w:bCs/>
                <w:color w:val="000000"/>
              </w:rPr>
              <w:t>–</w:t>
            </w:r>
          </w:p>
        </w:tc>
        <w:tc>
          <w:tcPr>
            <w:tcW w:w="950" w:type="pct"/>
            <w:tcBorders>
              <w:top w:val="nil"/>
              <w:left w:val="nil"/>
              <w:bottom w:val="single" w:sz="8" w:space="0" w:color="000000"/>
              <w:right w:val="nil"/>
            </w:tcBorders>
          </w:tcPr>
          <w:p w14:paraId="49044B56" w14:textId="77777777" w:rsidR="00861557" w:rsidRPr="00296D0C" w:rsidRDefault="00861557" w:rsidP="0077247E">
            <w:pPr>
              <w:tabs>
                <w:tab w:val="left" w:pos="284"/>
              </w:tabs>
              <w:spacing w:before="40" w:after="40" w:line="240" w:lineRule="auto"/>
              <w:ind w:left="284" w:hanging="284"/>
              <w:rPr>
                <w:rFonts w:cs="Arial"/>
                <w:bCs/>
                <w:color w:val="000000"/>
              </w:rPr>
            </w:pPr>
            <w:r w:rsidRPr="00296D0C">
              <w:rPr>
                <w:rFonts w:cs="Arial"/>
                <w:bCs/>
                <w:color w:val="000000"/>
              </w:rPr>
              <w:t>N/A</w:t>
            </w:r>
          </w:p>
        </w:tc>
      </w:tr>
    </w:tbl>
    <w:p w14:paraId="4C2703E6" w14:textId="21627E6D" w:rsidR="00861557" w:rsidRDefault="00861557" w:rsidP="00D06897">
      <w:pPr>
        <w:tabs>
          <w:tab w:val="left" w:pos="284"/>
        </w:tabs>
        <w:spacing w:line="240" w:lineRule="auto"/>
        <w:ind w:left="284" w:hanging="284"/>
        <w:rPr>
          <w:color w:val="000000" w:themeColor="text1"/>
        </w:rPr>
      </w:pPr>
      <w:r w:rsidRPr="00296D0C">
        <w:rPr>
          <w:b/>
          <w:color w:val="000000" w:themeColor="text1"/>
        </w:rPr>
        <w:t xml:space="preserve">Notes: </w:t>
      </w:r>
      <w:r w:rsidRPr="006223C8">
        <w:rPr>
          <w:color w:val="000000" w:themeColor="text1"/>
          <w:vertAlign w:val="superscript"/>
        </w:rPr>
        <w:t>a</w:t>
      </w:r>
      <w:r w:rsidRPr="00296D0C">
        <w:rPr>
          <w:b/>
          <w:color w:val="000000" w:themeColor="text1"/>
        </w:rPr>
        <w:t xml:space="preserve"> </w:t>
      </w:r>
      <w:r w:rsidRPr="00296D0C">
        <w:rPr>
          <w:color w:val="000000" w:themeColor="text1"/>
        </w:rPr>
        <w:t>School 5:</w:t>
      </w:r>
      <w:r w:rsidRPr="00296D0C">
        <w:rPr>
          <w:b/>
          <w:color w:val="000000" w:themeColor="text1"/>
        </w:rPr>
        <w:t xml:space="preserve"> </w:t>
      </w:r>
      <w:r w:rsidRPr="00296D0C">
        <w:rPr>
          <w:color w:val="000000" w:themeColor="text1"/>
        </w:rPr>
        <w:t xml:space="preserve">3 classes, combined for delivery of HeLP intervention (each activity delivered as though one class); </w:t>
      </w:r>
      <w:r w:rsidRPr="006223C8">
        <w:rPr>
          <w:color w:val="000000" w:themeColor="text1"/>
          <w:vertAlign w:val="superscript"/>
        </w:rPr>
        <w:t>b</w:t>
      </w:r>
      <w:r w:rsidRPr="00296D0C">
        <w:rPr>
          <w:b/>
          <w:color w:val="000000" w:themeColor="text1"/>
        </w:rPr>
        <w:t xml:space="preserve"> </w:t>
      </w:r>
      <w:r w:rsidRPr="00296D0C">
        <w:rPr>
          <w:color w:val="000000" w:themeColor="text1"/>
        </w:rPr>
        <w:t>School 15: treated as 2 classes (class level activities delive</w:t>
      </w:r>
      <w:r w:rsidR="00C12DF6" w:rsidRPr="00296D0C">
        <w:rPr>
          <w:color w:val="000000" w:themeColor="text1"/>
        </w:rPr>
        <w:t>red x 2)</w:t>
      </w:r>
      <w:r w:rsidRPr="00296D0C">
        <w:rPr>
          <w:color w:val="000000" w:themeColor="text1"/>
        </w:rPr>
        <w:t xml:space="preserve">; </w:t>
      </w:r>
      <w:r w:rsidR="008A66B5" w:rsidRPr="006223C8">
        <w:rPr>
          <w:color w:val="000000" w:themeColor="text1"/>
          <w:vertAlign w:val="superscript"/>
        </w:rPr>
        <w:t>c</w:t>
      </w:r>
      <w:r w:rsidR="008A66B5" w:rsidRPr="00296D0C">
        <w:rPr>
          <w:b/>
          <w:color w:val="000000" w:themeColor="text1"/>
        </w:rPr>
        <w:t xml:space="preserve"> </w:t>
      </w:r>
      <w:r w:rsidRPr="00296D0C">
        <w:rPr>
          <w:color w:val="000000" w:themeColor="text1"/>
        </w:rPr>
        <w:t xml:space="preserve">School 30: differences across years 5 and 6, but assumed to be delivered </w:t>
      </w:r>
      <w:r w:rsidR="00D06897">
        <w:rPr>
          <w:color w:val="000000" w:themeColor="text1"/>
        </w:rPr>
        <w:t>x 2 for class level activities.</w:t>
      </w:r>
    </w:p>
    <w:p w14:paraId="5A98D391" w14:textId="77777777" w:rsidR="00D06897" w:rsidRPr="00D06897" w:rsidRDefault="00D06897" w:rsidP="00D06897">
      <w:pPr>
        <w:tabs>
          <w:tab w:val="left" w:pos="284"/>
        </w:tabs>
        <w:spacing w:line="240" w:lineRule="auto"/>
        <w:ind w:left="284" w:hanging="284"/>
        <w:rPr>
          <w:color w:val="000000" w:themeColor="text1"/>
        </w:rPr>
      </w:pPr>
    </w:p>
    <w:p w14:paraId="0FCD773C" w14:textId="36C0361C" w:rsidR="00861557" w:rsidRPr="00296D0C" w:rsidRDefault="00861557" w:rsidP="000D0114">
      <w:pPr>
        <w:spacing w:after="0" w:line="360" w:lineRule="auto"/>
        <w:rPr>
          <w:rFonts w:cs="Arial"/>
        </w:rPr>
      </w:pPr>
      <w:r w:rsidRPr="00296D0C">
        <w:rPr>
          <w:rFonts w:cs="Arial"/>
        </w:rPr>
        <w:t xml:space="preserve">Summary data on aggregate resource use, across all 27 classes, by staff type and with time (hours) by type of time input (preparation, task and travel) are presented in Table </w:t>
      </w:r>
      <w:r w:rsidR="00776432" w:rsidRPr="00296D0C">
        <w:rPr>
          <w:rFonts w:cs="Arial"/>
        </w:rPr>
        <w:t>1</w:t>
      </w:r>
      <w:r w:rsidR="00472BD5">
        <w:rPr>
          <w:rFonts w:cs="Arial"/>
        </w:rPr>
        <w:t>9</w:t>
      </w:r>
      <w:r w:rsidRPr="00296D0C">
        <w:rPr>
          <w:rFonts w:cs="Arial"/>
        </w:rPr>
        <w:t xml:space="preserve">.  Data by staff type and by school-class configuration are presented in Table </w:t>
      </w:r>
      <w:r w:rsidR="00472BD5">
        <w:rPr>
          <w:rFonts w:cs="Arial"/>
        </w:rPr>
        <w:t>20</w:t>
      </w:r>
      <w:r w:rsidRPr="00296D0C">
        <w:rPr>
          <w:rFonts w:cs="Arial"/>
        </w:rPr>
        <w:t xml:space="preserve">, showing economies of scale as school size increases.  Table </w:t>
      </w:r>
      <w:r w:rsidR="00472BD5">
        <w:rPr>
          <w:rFonts w:cs="Arial"/>
        </w:rPr>
        <w:t>21</w:t>
      </w:r>
      <w:r w:rsidR="002B26EC" w:rsidRPr="00296D0C">
        <w:rPr>
          <w:rFonts w:cs="Arial"/>
        </w:rPr>
        <w:t xml:space="preserve"> reports </w:t>
      </w:r>
      <w:r w:rsidRPr="00296D0C">
        <w:rPr>
          <w:rFonts w:cs="Arial"/>
        </w:rPr>
        <w:t>the estimated total costs for delivery of HeLP across all 16 schools (</w:t>
      </w:r>
      <w:r w:rsidR="00A6162D" w:rsidRPr="00296D0C">
        <w:rPr>
          <w:rFonts w:cs="Arial"/>
        </w:rPr>
        <w:t>and</w:t>
      </w:r>
      <w:r w:rsidRPr="00296D0C">
        <w:rPr>
          <w:rFonts w:cs="Arial"/>
        </w:rPr>
        <w:t xml:space="preserve"> </w:t>
      </w:r>
      <w:r w:rsidRPr="00296D0C">
        <w:rPr>
          <w:rFonts w:cs="Arial"/>
        </w:rPr>
        <w:lastRenderedPageBreak/>
        <w:t>27 classes).  Overall, it is estimated to cost circa £144,749 for delivery of HeLP to the 16 schools, with 27 classes, giving a mean estimated cost per child at £214 (n</w:t>
      </w:r>
      <w:r w:rsidR="00C22C0F" w:rsidRPr="00296D0C">
        <w:rPr>
          <w:rFonts w:cs="Arial"/>
        </w:rPr>
        <w:t xml:space="preserve"> </w:t>
      </w:r>
      <w:r w:rsidRPr="00296D0C">
        <w:rPr>
          <w:rFonts w:cs="Arial"/>
        </w:rPr>
        <w:t>=</w:t>
      </w:r>
      <w:r w:rsidR="00C22C0F" w:rsidRPr="00296D0C">
        <w:rPr>
          <w:rFonts w:cs="Arial"/>
        </w:rPr>
        <w:t xml:space="preserve"> </w:t>
      </w:r>
      <w:r w:rsidRPr="00296D0C">
        <w:rPr>
          <w:rFonts w:cs="Arial"/>
        </w:rPr>
        <w:t>676).  Drama staff costs make up 41% of the estimated delivery costs, with HeLP Coordinator costs accounting for 37% of the overall estimated costs for delivery (when combined these primary cost components are 78% of the costs for delivery of HeLP).</w:t>
      </w:r>
    </w:p>
    <w:p w14:paraId="5863E2C1" w14:textId="54FB0D94" w:rsidR="00861557" w:rsidRDefault="00861557" w:rsidP="000D0114">
      <w:pPr>
        <w:spacing w:after="0" w:line="360" w:lineRule="auto"/>
        <w:rPr>
          <w:rFonts w:cs="Arial"/>
        </w:rPr>
      </w:pPr>
      <w:r w:rsidRPr="00296D0C">
        <w:rPr>
          <w:rFonts w:cs="Arial"/>
        </w:rPr>
        <w:t>Estimates of the cost for training, required for staff involved in delivery of HeLP, and other costs, are based on expected requirements for delivery across a cohort of 16 schools (27 classes), with training for four HeLP Coordinators (1 Trainer), two Drama Facilitators, and eight (two teams) Actors.  Detail</w:t>
      </w:r>
      <w:r w:rsidR="00B13AA9" w:rsidRPr="00296D0C">
        <w:rPr>
          <w:rFonts w:cs="Arial"/>
        </w:rPr>
        <w:t>s</w:t>
      </w:r>
      <w:r w:rsidRPr="00296D0C">
        <w:rPr>
          <w:rFonts w:cs="Arial"/>
        </w:rPr>
        <w:t xml:space="preserve"> on cost estimates for training are provided in Appendix </w:t>
      </w:r>
      <w:r w:rsidR="00B9103D" w:rsidRPr="00296D0C">
        <w:rPr>
          <w:rFonts w:cs="Arial"/>
        </w:rPr>
        <w:t>7</w:t>
      </w:r>
      <w:r w:rsidRPr="00296D0C">
        <w:rPr>
          <w:rFonts w:cs="Arial"/>
        </w:rPr>
        <w:t>.</w:t>
      </w:r>
    </w:p>
    <w:p w14:paraId="33F955D1" w14:textId="77777777" w:rsidR="00D06897" w:rsidRPr="00296D0C" w:rsidRDefault="00D06897" w:rsidP="000D0114">
      <w:pPr>
        <w:spacing w:after="0" w:line="360" w:lineRule="auto"/>
        <w:rPr>
          <w:rFonts w:cs="Arial"/>
        </w:rPr>
      </w:pPr>
    </w:p>
    <w:p w14:paraId="730435B8" w14:textId="06E8A957" w:rsidR="00861557" w:rsidRPr="00296D0C" w:rsidRDefault="00861557" w:rsidP="00861557">
      <w:pPr>
        <w:pStyle w:val="Caption"/>
        <w:rPr>
          <w:rFonts w:cs="Arial"/>
          <w:b/>
          <w:i w:val="0"/>
          <w:color w:val="auto"/>
          <w:sz w:val="22"/>
          <w:szCs w:val="22"/>
          <w:u w:val="single"/>
        </w:rPr>
      </w:pPr>
      <w:bookmarkStart w:id="475" w:name="_Ref436227847"/>
      <w:r w:rsidRPr="00296D0C">
        <w:rPr>
          <w:rFonts w:cs="Arial"/>
          <w:b/>
          <w:i w:val="0"/>
          <w:color w:val="auto"/>
          <w:sz w:val="22"/>
          <w:szCs w:val="22"/>
        </w:rPr>
        <w:t>T</w:t>
      </w:r>
      <w:r w:rsidR="002B26EC" w:rsidRPr="00296D0C">
        <w:rPr>
          <w:rFonts w:cs="Arial"/>
          <w:b/>
          <w:i w:val="0"/>
          <w:color w:val="auto"/>
          <w:sz w:val="22"/>
          <w:szCs w:val="22"/>
        </w:rPr>
        <w:t>ABLE</w:t>
      </w:r>
      <w:r w:rsidRPr="00296D0C">
        <w:rPr>
          <w:rFonts w:cs="Arial"/>
          <w:b/>
          <w:i w:val="0"/>
          <w:color w:val="auto"/>
          <w:sz w:val="22"/>
          <w:szCs w:val="22"/>
        </w:rPr>
        <w:t xml:space="preserve"> </w:t>
      </w:r>
      <w:bookmarkEnd w:id="475"/>
      <w:r w:rsidR="00776432" w:rsidRPr="00296D0C">
        <w:rPr>
          <w:rFonts w:cs="Arial"/>
          <w:b/>
          <w:i w:val="0"/>
          <w:color w:val="auto"/>
          <w:sz w:val="22"/>
          <w:szCs w:val="22"/>
        </w:rPr>
        <w:t>1</w:t>
      </w:r>
      <w:r w:rsidR="00472BD5">
        <w:rPr>
          <w:rFonts w:cs="Arial"/>
          <w:b/>
          <w:i w:val="0"/>
          <w:color w:val="auto"/>
          <w:sz w:val="22"/>
          <w:szCs w:val="22"/>
        </w:rPr>
        <w:t>9</w:t>
      </w:r>
      <w:r w:rsidRPr="00296D0C">
        <w:rPr>
          <w:rFonts w:cs="Arial"/>
          <w:b/>
          <w:i w:val="0"/>
          <w:color w:val="auto"/>
          <w:sz w:val="22"/>
          <w:szCs w:val="22"/>
        </w:rPr>
        <w:t xml:space="preserve"> Resource use by staff type by type of contact (preparation, task and travel): Total across 16 schools, 27 classes</w:t>
      </w:r>
    </w:p>
    <w:tbl>
      <w:tblPr>
        <w:tblW w:w="4966" w:type="pct"/>
        <w:tblLayout w:type="fixed"/>
        <w:tblLook w:val="04A0" w:firstRow="1" w:lastRow="0" w:firstColumn="1" w:lastColumn="0" w:noHBand="0" w:noVBand="1"/>
      </w:tblPr>
      <w:tblGrid>
        <w:gridCol w:w="2110"/>
        <w:gridCol w:w="1499"/>
        <w:gridCol w:w="1242"/>
        <w:gridCol w:w="1675"/>
        <w:gridCol w:w="1469"/>
        <w:gridCol w:w="950"/>
      </w:tblGrid>
      <w:tr w:rsidR="00861557" w:rsidRPr="00296D0C" w14:paraId="1B101563" w14:textId="77777777" w:rsidTr="00613FD4">
        <w:trPr>
          <w:trHeight w:val="345"/>
        </w:trPr>
        <w:tc>
          <w:tcPr>
            <w:tcW w:w="1180" w:type="pct"/>
            <w:tcBorders>
              <w:top w:val="single" w:sz="8" w:space="0" w:color="auto"/>
              <w:left w:val="single" w:sz="8" w:space="0" w:color="auto"/>
              <w:bottom w:val="nil"/>
              <w:right w:val="single" w:sz="4" w:space="0" w:color="auto"/>
            </w:tcBorders>
            <w:shd w:val="clear" w:color="auto" w:fill="auto"/>
            <w:noWrap/>
            <w:vAlign w:val="bottom"/>
            <w:hideMark/>
          </w:tcPr>
          <w:p w14:paraId="038DBF38" w14:textId="77777777" w:rsidR="00861557" w:rsidRPr="00296D0C" w:rsidRDefault="00861557" w:rsidP="0077247E">
            <w:pPr>
              <w:spacing w:after="0" w:line="240" w:lineRule="auto"/>
              <w:rPr>
                <w:rFonts w:cs="Arial"/>
                <w:color w:val="000000"/>
              </w:rPr>
            </w:pPr>
            <w:r w:rsidRPr="00296D0C">
              <w:rPr>
                <w:rFonts w:cs="Arial"/>
                <w:color w:val="000000"/>
              </w:rPr>
              <w:t> </w:t>
            </w:r>
          </w:p>
        </w:tc>
        <w:tc>
          <w:tcPr>
            <w:tcW w:w="838" w:type="pct"/>
            <w:tcBorders>
              <w:top w:val="single" w:sz="8" w:space="0" w:color="auto"/>
              <w:left w:val="nil"/>
              <w:bottom w:val="nil"/>
              <w:right w:val="single" w:sz="4" w:space="0" w:color="auto"/>
            </w:tcBorders>
            <w:shd w:val="clear" w:color="auto" w:fill="auto"/>
            <w:noWrap/>
            <w:vAlign w:val="bottom"/>
            <w:hideMark/>
          </w:tcPr>
          <w:p w14:paraId="6FED860E" w14:textId="77777777" w:rsidR="00861557" w:rsidRPr="00296D0C" w:rsidRDefault="00861557" w:rsidP="0077247E">
            <w:pPr>
              <w:spacing w:after="0" w:line="240" w:lineRule="auto"/>
              <w:jc w:val="right"/>
              <w:rPr>
                <w:rFonts w:cs="Arial"/>
                <w:bCs/>
                <w:color w:val="000000"/>
              </w:rPr>
            </w:pPr>
            <w:r w:rsidRPr="00296D0C">
              <w:rPr>
                <w:rFonts w:cs="Arial"/>
                <w:bCs/>
                <w:color w:val="000000"/>
              </w:rPr>
              <w:t>HeLP Coordinator</w:t>
            </w:r>
          </w:p>
        </w:tc>
        <w:tc>
          <w:tcPr>
            <w:tcW w:w="694" w:type="pct"/>
            <w:tcBorders>
              <w:top w:val="single" w:sz="8" w:space="0" w:color="auto"/>
              <w:left w:val="nil"/>
              <w:bottom w:val="nil"/>
              <w:right w:val="single" w:sz="4" w:space="0" w:color="auto"/>
            </w:tcBorders>
            <w:shd w:val="clear" w:color="auto" w:fill="auto"/>
            <w:noWrap/>
            <w:vAlign w:val="bottom"/>
            <w:hideMark/>
          </w:tcPr>
          <w:p w14:paraId="063CC891" w14:textId="77777777" w:rsidR="00861557" w:rsidRPr="00296D0C" w:rsidRDefault="00861557" w:rsidP="0077247E">
            <w:pPr>
              <w:spacing w:after="0" w:line="240" w:lineRule="auto"/>
              <w:jc w:val="right"/>
              <w:rPr>
                <w:rFonts w:cs="Arial"/>
                <w:bCs/>
                <w:color w:val="000000"/>
              </w:rPr>
            </w:pPr>
            <w:r w:rsidRPr="00296D0C">
              <w:rPr>
                <w:rFonts w:cs="Arial"/>
                <w:bCs/>
                <w:color w:val="000000"/>
              </w:rPr>
              <w:t>Teaching Staff</w:t>
            </w:r>
          </w:p>
        </w:tc>
        <w:tc>
          <w:tcPr>
            <w:tcW w:w="936" w:type="pct"/>
            <w:tcBorders>
              <w:top w:val="single" w:sz="8" w:space="0" w:color="auto"/>
              <w:left w:val="nil"/>
              <w:bottom w:val="nil"/>
              <w:right w:val="single" w:sz="4" w:space="0" w:color="auto"/>
            </w:tcBorders>
            <w:shd w:val="clear" w:color="auto" w:fill="auto"/>
            <w:noWrap/>
            <w:vAlign w:val="bottom"/>
            <w:hideMark/>
          </w:tcPr>
          <w:p w14:paraId="64E7115B" w14:textId="77777777" w:rsidR="00861557" w:rsidRPr="00296D0C" w:rsidRDefault="00861557" w:rsidP="0077247E">
            <w:pPr>
              <w:spacing w:after="0" w:line="240" w:lineRule="auto"/>
              <w:jc w:val="right"/>
              <w:rPr>
                <w:rFonts w:cs="Arial"/>
                <w:bCs/>
                <w:color w:val="000000"/>
              </w:rPr>
            </w:pPr>
            <w:r w:rsidRPr="00296D0C">
              <w:rPr>
                <w:rFonts w:cs="Arial"/>
                <w:bCs/>
                <w:color w:val="000000"/>
              </w:rPr>
              <w:t>Activity Coordinator</w:t>
            </w:r>
          </w:p>
        </w:tc>
        <w:tc>
          <w:tcPr>
            <w:tcW w:w="821" w:type="pct"/>
            <w:tcBorders>
              <w:top w:val="single" w:sz="8" w:space="0" w:color="auto"/>
              <w:left w:val="nil"/>
              <w:bottom w:val="nil"/>
              <w:right w:val="single" w:sz="4" w:space="0" w:color="auto"/>
            </w:tcBorders>
            <w:shd w:val="clear" w:color="auto" w:fill="FFFFFF" w:themeFill="background1"/>
            <w:noWrap/>
            <w:vAlign w:val="bottom"/>
            <w:hideMark/>
          </w:tcPr>
          <w:p w14:paraId="0F91B01F" w14:textId="77777777" w:rsidR="00861557" w:rsidRPr="00296D0C" w:rsidRDefault="00861557" w:rsidP="0077247E">
            <w:pPr>
              <w:spacing w:after="0" w:line="240" w:lineRule="auto"/>
              <w:jc w:val="right"/>
              <w:rPr>
                <w:rFonts w:cs="Arial"/>
                <w:bCs/>
                <w:color w:val="000000"/>
              </w:rPr>
            </w:pPr>
            <w:r w:rsidRPr="00296D0C">
              <w:rPr>
                <w:rFonts w:cs="Arial"/>
                <w:bCs/>
                <w:color w:val="000000"/>
              </w:rPr>
              <w:t>Drama Facilitator</w:t>
            </w:r>
          </w:p>
        </w:tc>
        <w:tc>
          <w:tcPr>
            <w:tcW w:w="531" w:type="pct"/>
            <w:tcBorders>
              <w:top w:val="single" w:sz="8" w:space="0" w:color="auto"/>
              <w:left w:val="nil"/>
              <w:bottom w:val="nil"/>
              <w:right w:val="single" w:sz="8" w:space="0" w:color="auto"/>
            </w:tcBorders>
            <w:shd w:val="clear" w:color="000000" w:fill="FFFFFF" w:themeFill="background1"/>
            <w:noWrap/>
            <w:vAlign w:val="bottom"/>
            <w:hideMark/>
          </w:tcPr>
          <w:p w14:paraId="631E437E" w14:textId="77777777" w:rsidR="00861557" w:rsidRPr="00296D0C" w:rsidRDefault="00861557" w:rsidP="0077247E">
            <w:pPr>
              <w:spacing w:after="0" w:line="240" w:lineRule="auto"/>
              <w:jc w:val="right"/>
              <w:rPr>
                <w:rFonts w:cs="Arial"/>
                <w:bCs/>
                <w:color w:val="000000"/>
              </w:rPr>
            </w:pPr>
            <w:r w:rsidRPr="00296D0C">
              <w:rPr>
                <w:rFonts w:cs="Arial"/>
                <w:bCs/>
                <w:color w:val="000000"/>
              </w:rPr>
              <w:t>Actors</w:t>
            </w:r>
          </w:p>
        </w:tc>
      </w:tr>
      <w:tr w:rsidR="00861557" w:rsidRPr="00296D0C" w14:paraId="54C7054F" w14:textId="77777777" w:rsidTr="00613FD4">
        <w:trPr>
          <w:trHeight w:val="345"/>
        </w:trPr>
        <w:tc>
          <w:tcPr>
            <w:tcW w:w="1180" w:type="pct"/>
            <w:tcBorders>
              <w:top w:val="single" w:sz="8" w:space="0" w:color="auto"/>
              <w:left w:val="single" w:sz="8" w:space="0" w:color="auto"/>
              <w:bottom w:val="nil"/>
              <w:right w:val="single" w:sz="4" w:space="0" w:color="auto"/>
            </w:tcBorders>
            <w:shd w:val="clear" w:color="auto" w:fill="auto"/>
            <w:noWrap/>
            <w:vAlign w:val="bottom"/>
            <w:hideMark/>
          </w:tcPr>
          <w:p w14:paraId="53113DEC" w14:textId="77777777" w:rsidR="00861557" w:rsidRPr="00296D0C" w:rsidRDefault="00861557" w:rsidP="0077247E">
            <w:pPr>
              <w:spacing w:after="0" w:line="240" w:lineRule="auto"/>
              <w:rPr>
                <w:rFonts w:cs="Arial"/>
                <w:color w:val="000000"/>
              </w:rPr>
            </w:pPr>
            <w:r w:rsidRPr="00296D0C">
              <w:rPr>
                <w:rFonts w:cs="Arial"/>
                <w:color w:val="000000"/>
              </w:rPr>
              <w:t> </w:t>
            </w:r>
          </w:p>
        </w:tc>
        <w:tc>
          <w:tcPr>
            <w:tcW w:w="838" w:type="pct"/>
            <w:tcBorders>
              <w:top w:val="single" w:sz="8" w:space="0" w:color="auto"/>
              <w:left w:val="nil"/>
              <w:bottom w:val="nil"/>
              <w:right w:val="single" w:sz="4" w:space="0" w:color="auto"/>
            </w:tcBorders>
            <w:shd w:val="clear" w:color="auto" w:fill="auto"/>
            <w:noWrap/>
            <w:vAlign w:val="bottom"/>
            <w:hideMark/>
          </w:tcPr>
          <w:p w14:paraId="57816119" w14:textId="77777777" w:rsidR="00861557" w:rsidRPr="00296D0C" w:rsidRDefault="00861557" w:rsidP="0077247E">
            <w:pPr>
              <w:spacing w:after="0" w:line="240" w:lineRule="auto"/>
              <w:jc w:val="right"/>
              <w:rPr>
                <w:rFonts w:cs="Arial"/>
                <w:bCs/>
                <w:color w:val="000000"/>
              </w:rPr>
            </w:pPr>
            <w:r w:rsidRPr="00296D0C">
              <w:rPr>
                <w:rFonts w:cs="Arial"/>
                <w:bCs/>
                <w:color w:val="000000"/>
              </w:rPr>
              <w:t>Mean (hrs)</w:t>
            </w:r>
          </w:p>
        </w:tc>
        <w:tc>
          <w:tcPr>
            <w:tcW w:w="694" w:type="pct"/>
            <w:tcBorders>
              <w:top w:val="single" w:sz="8" w:space="0" w:color="auto"/>
              <w:left w:val="nil"/>
              <w:bottom w:val="nil"/>
              <w:right w:val="single" w:sz="4" w:space="0" w:color="auto"/>
            </w:tcBorders>
            <w:shd w:val="clear" w:color="auto" w:fill="auto"/>
            <w:noWrap/>
            <w:vAlign w:val="bottom"/>
            <w:hideMark/>
          </w:tcPr>
          <w:p w14:paraId="1976D82C" w14:textId="77777777" w:rsidR="00861557" w:rsidRPr="00296D0C" w:rsidRDefault="00861557" w:rsidP="0077247E">
            <w:pPr>
              <w:spacing w:after="0" w:line="240" w:lineRule="auto"/>
              <w:jc w:val="right"/>
              <w:rPr>
                <w:rFonts w:cs="Arial"/>
                <w:bCs/>
                <w:color w:val="000000"/>
              </w:rPr>
            </w:pPr>
            <w:r w:rsidRPr="00296D0C">
              <w:rPr>
                <w:rFonts w:cs="Arial"/>
                <w:bCs/>
                <w:color w:val="000000"/>
              </w:rPr>
              <w:t>Mean (hrs)</w:t>
            </w:r>
          </w:p>
        </w:tc>
        <w:tc>
          <w:tcPr>
            <w:tcW w:w="936" w:type="pct"/>
            <w:tcBorders>
              <w:top w:val="single" w:sz="8" w:space="0" w:color="auto"/>
              <w:left w:val="nil"/>
              <w:bottom w:val="nil"/>
              <w:right w:val="single" w:sz="4" w:space="0" w:color="auto"/>
            </w:tcBorders>
            <w:shd w:val="clear" w:color="auto" w:fill="auto"/>
            <w:noWrap/>
            <w:vAlign w:val="bottom"/>
            <w:hideMark/>
          </w:tcPr>
          <w:p w14:paraId="7F4FCC86" w14:textId="77777777" w:rsidR="00861557" w:rsidRPr="00296D0C" w:rsidRDefault="00861557" w:rsidP="0077247E">
            <w:pPr>
              <w:spacing w:after="0" w:line="240" w:lineRule="auto"/>
              <w:jc w:val="right"/>
              <w:rPr>
                <w:rFonts w:cs="Arial"/>
                <w:bCs/>
                <w:color w:val="000000"/>
              </w:rPr>
            </w:pPr>
            <w:r w:rsidRPr="00296D0C">
              <w:rPr>
                <w:rFonts w:cs="Arial"/>
                <w:bCs/>
                <w:color w:val="000000"/>
              </w:rPr>
              <w:t>Mean (hrs)</w:t>
            </w:r>
          </w:p>
        </w:tc>
        <w:tc>
          <w:tcPr>
            <w:tcW w:w="821" w:type="pct"/>
            <w:tcBorders>
              <w:top w:val="single" w:sz="8" w:space="0" w:color="auto"/>
              <w:left w:val="nil"/>
              <w:bottom w:val="nil"/>
              <w:right w:val="single" w:sz="4" w:space="0" w:color="auto"/>
            </w:tcBorders>
            <w:shd w:val="clear" w:color="auto" w:fill="FFFFFF" w:themeFill="background1"/>
            <w:noWrap/>
            <w:vAlign w:val="bottom"/>
            <w:hideMark/>
          </w:tcPr>
          <w:p w14:paraId="336627E4" w14:textId="77777777" w:rsidR="00861557" w:rsidRPr="00296D0C" w:rsidRDefault="00861557" w:rsidP="0077247E">
            <w:pPr>
              <w:spacing w:after="0" w:line="240" w:lineRule="auto"/>
              <w:jc w:val="right"/>
              <w:rPr>
                <w:rFonts w:cs="Arial"/>
                <w:bCs/>
                <w:color w:val="000000"/>
              </w:rPr>
            </w:pPr>
            <w:r w:rsidRPr="00296D0C">
              <w:rPr>
                <w:rFonts w:cs="Arial"/>
                <w:bCs/>
                <w:color w:val="000000"/>
              </w:rPr>
              <w:t>Mean (hrs)</w:t>
            </w:r>
          </w:p>
        </w:tc>
        <w:tc>
          <w:tcPr>
            <w:tcW w:w="531" w:type="pct"/>
            <w:tcBorders>
              <w:top w:val="single" w:sz="8" w:space="0" w:color="auto"/>
              <w:left w:val="nil"/>
              <w:bottom w:val="nil"/>
              <w:right w:val="single" w:sz="8" w:space="0" w:color="auto"/>
            </w:tcBorders>
            <w:shd w:val="clear" w:color="000000" w:fill="FFFFFF" w:themeFill="background1"/>
            <w:noWrap/>
            <w:vAlign w:val="bottom"/>
            <w:hideMark/>
          </w:tcPr>
          <w:p w14:paraId="71152F5D" w14:textId="77777777" w:rsidR="00861557" w:rsidRPr="00296D0C" w:rsidRDefault="00861557" w:rsidP="0077247E">
            <w:pPr>
              <w:spacing w:after="0" w:line="240" w:lineRule="auto"/>
              <w:jc w:val="right"/>
              <w:rPr>
                <w:rFonts w:cs="Arial"/>
                <w:bCs/>
                <w:color w:val="000000"/>
              </w:rPr>
            </w:pPr>
            <w:r w:rsidRPr="00296D0C">
              <w:rPr>
                <w:rFonts w:cs="Arial"/>
                <w:bCs/>
                <w:color w:val="000000"/>
              </w:rPr>
              <w:t>Mean (hrs)</w:t>
            </w:r>
          </w:p>
        </w:tc>
      </w:tr>
      <w:tr w:rsidR="00861557" w:rsidRPr="00296D0C" w14:paraId="56009ED2" w14:textId="77777777" w:rsidTr="00613FD4">
        <w:trPr>
          <w:trHeight w:val="330"/>
        </w:trPr>
        <w:tc>
          <w:tcPr>
            <w:tcW w:w="1180" w:type="pct"/>
            <w:tcBorders>
              <w:top w:val="single" w:sz="8" w:space="0" w:color="auto"/>
              <w:left w:val="single" w:sz="8" w:space="0" w:color="auto"/>
              <w:bottom w:val="nil"/>
              <w:right w:val="single" w:sz="4" w:space="0" w:color="auto"/>
            </w:tcBorders>
            <w:shd w:val="clear" w:color="auto" w:fill="auto"/>
            <w:noWrap/>
            <w:vAlign w:val="bottom"/>
            <w:hideMark/>
          </w:tcPr>
          <w:p w14:paraId="722391B8" w14:textId="3A2DDA91" w:rsidR="00861557" w:rsidRPr="00296D0C" w:rsidRDefault="00861557" w:rsidP="0077247E">
            <w:pPr>
              <w:spacing w:after="0" w:line="240" w:lineRule="auto"/>
              <w:rPr>
                <w:rFonts w:cs="Arial"/>
                <w:bCs/>
                <w:i/>
                <w:color w:val="000000"/>
              </w:rPr>
            </w:pPr>
            <w:r w:rsidRPr="00296D0C">
              <w:rPr>
                <w:rFonts w:cs="Arial"/>
                <w:bCs/>
                <w:i/>
                <w:color w:val="000000"/>
              </w:rPr>
              <w:t>Prep</w:t>
            </w:r>
            <w:r w:rsidR="00A6162D" w:rsidRPr="00296D0C">
              <w:rPr>
                <w:rFonts w:cs="Arial"/>
                <w:bCs/>
                <w:i/>
                <w:color w:val="000000"/>
              </w:rPr>
              <w:t>aration</w:t>
            </w:r>
            <w:r w:rsidRPr="00296D0C">
              <w:rPr>
                <w:rFonts w:cs="Arial"/>
                <w:bCs/>
                <w:i/>
                <w:color w:val="000000"/>
              </w:rPr>
              <w:t xml:space="preserve"> time</w:t>
            </w:r>
          </w:p>
        </w:tc>
        <w:tc>
          <w:tcPr>
            <w:tcW w:w="838" w:type="pct"/>
            <w:tcBorders>
              <w:top w:val="single" w:sz="8" w:space="0" w:color="auto"/>
              <w:left w:val="nil"/>
              <w:bottom w:val="nil"/>
              <w:right w:val="single" w:sz="4" w:space="0" w:color="auto"/>
            </w:tcBorders>
            <w:shd w:val="clear" w:color="auto" w:fill="auto"/>
            <w:noWrap/>
            <w:vAlign w:val="bottom"/>
            <w:hideMark/>
          </w:tcPr>
          <w:p w14:paraId="599A40DE" w14:textId="77777777" w:rsidR="00861557" w:rsidRPr="00296D0C" w:rsidRDefault="00861557" w:rsidP="0077247E">
            <w:pPr>
              <w:spacing w:after="0" w:line="240" w:lineRule="auto"/>
              <w:rPr>
                <w:rFonts w:cs="Arial"/>
                <w:color w:val="000000"/>
              </w:rPr>
            </w:pPr>
            <w:r w:rsidRPr="00296D0C">
              <w:rPr>
                <w:rFonts w:cs="Arial"/>
                <w:color w:val="000000"/>
              </w:rPr>
              <w:t> </w:t>
            </w:r>
          </w:p>
        </w:tc>
        <w:tc>
          <w:tcPr>
            <w:tcW w:w="694" w:type="pct"/>
            <w:tcBorders>
              <w:top w:val="single" w:sz="8" w:space="0" w:color="auto"/>
              <w:left w:val="nil"/>
              <w:bottom w:val="nil"/>
              <w:right w:val="single" w:sz="4" w:space="0" w:color="auto"/>
            </w:tcBorders>
            <w:shd w:val="clear" w:color="auto" w:fill="auto"/>
            <w:noWrap/>
            <w:vAlign w:val="bottom"/>
            <w:hideMark/>
          </w:tcPr>
          <w:p w14:paraId="0DB77CC3" w14:textId="77777777" w:rsidR="00861557" w:rsidRPr="00296D0C" w:rsidRDefault="00861557" w:rsidP="0077247E">
            <w:pPr>
              <w:spacing w:after="0" w:line="240" w:lineRule="auto"/>
              <w:rPr>
                <w:rFonts w:cs="Arial"/>
                <w:color w:val="000000"/>
              </w:rPr>
            </w:pPr>
            <w:r w:rsidRPr="00296D0C">
              <w:rPr>
                <w:rFonts w:cs="Arial"/>
                <w:color w:val="000000"/>
              </w:rPr>
              <w:t> </w:t>
            </w:r>
          </w:p>
        </w:tc>
        <w:tc>
          <w:tcPr>
            <w:tcW w:w="936" w:type="pct"/>
            <w:tcBorders>
              <w:top w:val="single" w:sz="8" w:space="0" w:color="auto"/>
              <w:left w:val="nil"/>
              <w:bottom w:val="nil"/>
              <w:right w:val="single" w:sz="4" w:space="0" w:color="auto"/>
            </w:tcBorders>
            <w:shd w:val="clear" w:color="auto" w:fill="auto"/>
            <w:noWrap/>
            <w:vAlign w:val="bottom"/>
            <w:hideMark/>
          </w:tcPr>
          <w:p w14:paraId="5339FED5" w14:textId="77777777" w:rsidR="00861557" w:rsidRPr="00296D0C" w:rsidRDefault="00861557" w:rsidP="0077247E">
            <w:pPr>
              <w:spacing w:after="0" w:line="240" w:lineRule="auto"/>
              <w:rPr>
                <w:rFonts w:cs="Arial"/>
                <w:color w:val="000000"/>
              </w:rPr>
            </w:pPr>
            <w:r w:rsidRPr="00296D0C">
              <w:rPr>
                <w:rFonts w:cs="Arial"/>
                <w:color w:val="000000"/>
              </w:rPr>
              <w:t> </w:t>
            </w:r>
          </w:p>
        </w:tc>
        <w:tc>
          <w:tcPr>
            <w:tcW w:w="821" w:type="pct"/>
            <w:tcBorders>
              <w:top w:val="single" w:sz="8" w:space="0" w:color="auto"/>
              <w:left w:val="nil"/>
              <w:bottom w:val="nil"/>
              <w:right w:val="single" w:sz="4" w:space="0" w:color="auto"/>
            </w:tcBorders>
            <w:shd w:val="clear" w:color="auto" w:fill="FFFFFF" w:themeFill="background1"/>
            <w:noWrap/>
            <w:vAlign w:val="bottom"/>
            <w:hideMark/>
          </w:tcPr>
          <w:p w14:paraId="72F221D8" w14:textId="77777777" w:rsidR="00861557" w:rsidRPr="00296D0C" w:rsidRDefault="00861557" w:rsidP="0077247E">
            <w:pPr>
              <w:spacing w:after="0" w:line="240" w:lineRule="auto"/>
              <w:rPr>
                <w:rFonts w:cs="Arial"/>
                <w:color w:val="000000"/>
              </w:rPr>
            </w:pPr>
            <w:r w:rsidRPr="00296D0C">
              <w:rPr>
                <w:rFonts w:cs="Arial"/>
                <w:color w:val="000000"/>
              </w:rPr>
              <w:t> </w:t>
            </w:r>
          </w:p>
        </w:tc>
        <w:tc>
          <w:tcPr>
            <w:tcW w:w="531" w:type="pct"/>
            <w:tcBorders>
              <w:top w:val="single" w:sz="8" w:space="0" w:color="auto"/>
              <w:left w:val="nil"/>
              <w:bottom w:val="nil"/>
              <w:right w:val="single" w:sz="8" w:space="0" w:color="auto"/>
            </w:tcBorders>
            <w:shd w:val="clear" w:color="000000" w:fill="FFFFFF" w:themeFill="background1"/>
            <w:noWrap/>
            <w:vAlign w:val="bottom"/>
            <w:hideMark/>
          </w:tcPr>
          <w:p w14:paraId="4E094DF5" w14:textId="77777777" w:rsidR="00861557" w:rsidRPr="00296D0C" w:rsidRDefault="00861557" w:rsidP="0077247E">
            <w:pPr>
              <w:spacing w:after="0" w:line="240" w:lineRule="auto"/>
              <w:rPr>
                <w:rFonts w:cs="Arial"/>
                <w:color w:val="000000"/>
              </w:rPr>
            </w:pPr>
            <w:r w:rsidRPr="00296D0C">
              <w:rPr>
                <w:rFonts w:cs="Arial"/>
                <w:color w:val="000000"/>
              </w:rPr>
              <w:t> </w:t>
            </w:r>
          </w:p>
        </w:tc>
      </w:tr>
      <w:tr w:rsidR="00861557" w:rsidRPr="00296D0C" w14:paraId="39976E2A" w14:textId="77777777" w:rsidTr="00613FD4">
        <w:trPr>
          <w:trHeight w:val="330"/>
        </w:trPr>
        <w:tc>
          <w:tcPr>
            <w:tcW w:w="1180" w:type="pct"/>
            <w:tcBorders>
              <w:top w:val="nil"/>
              <w:left w:val="single" w:sz="8" w:space="0" w:color="auto"/>
              <w:bottom w:val="nil"/>
              <w:right w:val="single" w:sz="4" w:space="0" w:color="auto"/>
            </w:tcBorders>
            <w:shd w:val="clear" w:color="auto" w:fill="auto"/>
            <w:noWrap/>
            <w:vAlign w:val="bottom"/>
            <w:hideMark/>
          </w:tcPr>
          <w:p w14:paraId="70D9D0ED" w14:textId="77777777" w:rsidR="00861557" w:rsidRPr="00296D0C" w:rsidRDefault="00861557" w:rsidP="0077247E">
            <w:pPr>
              <w:spacing w:after="0" w:line="240" w:lineRule="auto"/>
              <w:rPr>
                <w:rFonts w:cs="Arial"/>
                <w:color w:val="000000"/>
              </w:rPr>
            </w:pPr>
            <w:r w:rsidRPr="00296D0C">
              <w:rPr>
                <w:rFonts w:cs="Arial"/>
                <w:color w:val="000000"/>
              </w:rPr>
              <w:t>Class-level activities</w:t>
            </w:r>
          </w:p>
        </w:tc>
        <w:tc>
          <w:tcPr>
            <w:tcW w:w="838" w:type="pct"/>
            <w:tcBorders>
              <w:top w:val="nil"/>
              <w:left w:val="single" w:sz="4" w:space="0" w:color="auto"/>
              <w:bottom w:val="nil"/>
              <w:right w:val="single" w:sz="4" w:space="0" w:color="auto"/>
            </w:tcBorders>
            <w:shd w:val="clear" w:color="auto" w:fill="auto"/>
            <w:noWrap/>
            <w:vAlign w:val="bottom"/>
            <w:hideMark/>
          </w:tcPr>
          <w:p w14:paraId="6F3110DA" w14:textId="77777777" w:rsidR="00861557" w:rsidRPr="00296D0C" w:rsidRDefault="00861557" w:rsidP="0077247E">
            <w:pPr>
              <w:spacing w:after="0" w:line="240" w:lineRule="auto"/>
              <w:jc w:val="right"/>
              <w:rPr>
                <w:rFonts w:cs="Arial"/>
                <w:color w:val="000000"/>
              </w:rPr>
            </w:pPr>
            <w:r w:rsidRPr="00296D0C">
              <w:rPr>
                <w:rFonts w:cs="Arial"/>
                <w:color w:val="000000"/>
              </w:rPr>
              <w:t>228.58</w:t>
            </w:r>
          </w:p>
        </w:tc>
        <w:tc>
          <w:tcPr>
            <w:tcW w:w="694" w:type="pct"/>
            <w:tcBorders>
              <w:top w:val="nil"/>
              <w:left w:val="nil"/>
              <w:bottom w:val="nil"/>
              <w:right w:val="single" w:sz="4" w:space="0" w:color="auto"/>
            </w:tcBorders>
            <w:shd w:val="clear" w:color="auto" w:fill="auto"/>
            <w:noWrap/>
            <w:vAlign w:val="bottom"/>
            <w:hideMark/>
          </w:tcPr>
          <w:p w14:paraId="486065AB" w14:textId="77777777" w:rsidR="00861557" w:rsidRPr="00296D0C" w:rsidRDefault="00861557" w:rsidP="0077247E">
            <w:pPr>
              <w:spacing w:after="0" w:line="240" w:lineRule="auto"/>
              <w:jc w:val="right"/>
              <w:rPr>
                <w:rFonts w:cs="Arial"/>
                <w:color w:val="000000"/>
              </w:rPr>
            </w:pPr>
            <w:r w:rsidRPr="00296D0C">
              <w:rPr>
                <w:rFonts w:cs="Arial"/>
                <w:color w:val="000000"/>
              </w:rPr>
              <w:t>38.51</w:t>
            </w:r>
          </w:p>
        </w:tc>
        <w:tc>
          <w:tcPr>
            <w:tcW w:w="936" w:type="pct"/>
            <w:tcBorders>
              <w:top w:val="nil"/>
              <w:left w:val="nil"/>
              <w:bottom w:val="nil"/>
              <w:right w:val="single" w:sz="4" w:space="0" w:color="auto"/>
            </w:tcBorders>
            <w:shd w:val="clear" w:color="auto" w:fill="auto"/>
            <w:noWrap/>
            <w:vAlign w:val="bottom"/>
            <w:hideMark/>
          </w:tcPr>
          <w:p w14:paraId="35292F4F" w14:textId="77777777" w:rsidR="00861557" w:rsidRPr="00296D0C" w:rsidRDefault="00861557" w:rsidP="0077247E">
            <w:pPr>
              <w:spacing w:after="0" w:line="240" w:lineRule="auto"/>
              <w:jc w:val="right"/>
              <w:rPr>
                <w:rFonts w:cs="Arial"/>
                <w:color w:val="000000"/>
              </w:rPr>
            </w:pPr>
            <w:r w:rsidRPr="00296D0C">
              <w:rPr>
                <w:rFonts w:cs="Arial"/>
                <w:color w:val="000000"/>
              </w:rPr>
              <w:t>34.70</w:t>
            </w:r>
          </w:p>
        </w:tc>
        <w:tc>
          <w:tcPr>
            <w:tcW w:w="821" w:type="pct"/>
            <w:tcBorders>
              <w:top w:val="nil"/>
              <w:left w:val="nil"/>
              <w:bottom w:val="nil"/>
              <w:right w:val="single" w:sz="4" w:space="0" w:color="auto"/>
            </w:tcBorders>
            <w:shd w:val="clear" w:color="auto" w:fill="FFFFFF" w:themeFill="background1"/>
            <w:noWrap/>
            <w:vAlign w:val="bottom"/>
            <w:hideMark/>
          </w:tcPr>
          <w:p w14:paraId="0808A98B" w14:textId="77777777" w:rsidR="00861557" w:rsidRPr="00296D0C" w:rsidRDefault="00861557" w:rsidP="0077247E">
            <w:pPr>
              <w:spacing w:after="0" w:line="240" w:lineRule="auto"/>
              <w:jc w:val="right"/>
              <w:rPr>
                <w:rFonts w:cs="Arial"/>
                <w:color w:val="000000"/>
              </w:rPr>
            </w:pPr>
            <w:r w:rsidRPr="00296D0C">
              <w:rPr>
                <w:rFonts w:cs="Arial"/>
                <w:color w:val="000000"/>
              </w:rPr>
              <w:t>170.66</w:t>
            </w:r>
          </w:p>
        </w:tc>
        <w:tc>
          <w:tcPr>
            <w:tcW w:w="531" w:type="pct"/>
            <w:tcBorders>
              <w:top w:val="nil"/>
              <w:left w:val="single" w:sz="4" w:space="0" w:color="auto"/>
              <w:bottom w:val="nil"/>
              <w:right w:val="single" w:sz="8" w:space="0" w:color="auto"/>
            </w:tcBorders>
            <w:shd w:val="clear" w:color="000000" w:fill="FFFFFF" w:themeFill="background1"/>
            <w:noWrap/>
            <w:vAlign w:val="bottom"/>
            <w:hideMark/>
          </w:tcPr>
          <w:p w14:paraId="4F5CE3AE" w14:textId="77777777" w:rsidR="00861557" w:rsidRPr="00296D0C" w:rsidRDefault="00861557" w:rsidP="0077247E">
            <w:pPr>
              <w:spacing w:after="0" w:line="240" w:lineRule="auto"/>
              <w:jc w:val="right"/>
              <w:rPr>
                <w:rFonts w:cs="Arial"/>
                <w:color w:val="000000"/>
              </w:rPr>
            </w:pPr>
            <w:r w:rsidRPr="00296D0C">
              <w:rPr>
                <w:rFonts w:cs="Arial"/>
                <w:color w:val="000000"/>
              </w:rPr>
              <w:t>357.50</w:t>
            </w:r>
          </w:p>
        </w:tc>
      </w:tr>
      <w:tr w:rsidR="00861557" w:rsidRPr="00296D0C" w14:paraId="749B851D" w14:textId="77777777" w:rsidTr="00613FD4">
        <w:trPr>
          <w:trHeight w:val="330"/>
        </w:trPr>
        <w:tc>
          <w:tcPr>
            <w:tcW w:w="1180" w:type="pct"/>
            <w:tcBorders>
              <w:top w:val="nil"/>
              <w:left w:val="single" w:sz="8" w:space="0" w:color="auto"/>
              <w:bottom w:val="nil"/>
              <w:right w:val="single" w:sz="4" w:space="0" w:color="auto"/>
            </w:tcBorders>
            <w:shd w:val="clear" w:color="auto" w:fill="auto"/>
            <w:noWrap/>
            <w:vAlign w:val="bottom"/>
            <w:hideMark/>
          </w:tcPr>
          <w:p w14:paraId="016A26F1" w14:textId="77777777" w:rsidR="00861557" w:rsidRPr="00296D0C" w:rsidRDefault="00861557" w:rsidP="0077247E">
            <w:pPr>
              <w:spacing w:after="0" w:line="240" w:lineRule="auto"/>
              <w:rPr>
                <w:rFonts w:cs="Arial"/>
                <w:color w:val="000000"/>
              </w:rPr>
            </w:pPr>
            <w:r w:rsidRPr="00296D0C">
              <w:rPr>
                <w:rFonts w:cs="Arial"/>
                <w:color w:val="000000"/>
              </w:rPr>
              <w:t>School-level activities</w:t>
            </w:r>
          </w:p>
        </w:tc>
        <w:tc>
          <w:tcPr>
            <w:tcW w:w="838" w:type="pct"/>
            <w:tcBorders>
              <w:top w:val="nil"/>
              <w:left w:val="single" w:sz="4" w:space="0" w:color="auto"/>
              <w:bottom w:val="nil"/>
              <w:right w:val="single" w:sz="4" w:space="0" w:color="auto"/>
            </w:tcBorders>
            <w:shd w:val="clear" w:color="auto" w:fill="auto"/>
            <w:noWrap/>
            <w:vAlign w:val="bottom"/>
            <w:hideMark/>
          </w:tcPr>
          <w:p w14:paraId="60648B52" w14:textId="77777777" w:rsidR="00861557" w:rsidRPr="00296D0C" w:rsidRDefault="00861557" w:rsidP="0077247E">
            <w:pPr>
              <w:spacing w:after="0" w:line="240" w:lineRule="auto"/>
              <w:jc w:val="right"/>
              <w:rPr>
                <w:rFonts w:cs="Arial"/>
                <w:color w:val="000000"/>
              </w:rPr>
            </w:pPr>
            <w:r w:rsidRPr="00296D0C">
              <w:rPr>
                <w:rFonts w:cs="Arial"/>
                <w:color w:val="000000"/>
              </w:rPr>
              <w:t>95.38</w:t>
            </w:r>
          </w:p>
        </w:tc>
        <w:tc>
          <w:tcPr>
            <w:tcW w:w="694" w:type="pct"/>
            <w:tcBorders>
              <w:top w:val="nil"/>
              <w:left w:val="nil"/>
              <w:bottom w:val="nil"/>
              <w:right w:val="single" w:sz="4" w:space="0" w:color="auto"/>
            </w:tcBorders>
            <w:shd w:val="clear" w:color="auto" w:fill="auto"/>
            <w:noWrap/>
            <w:vAlign w:val="bottom"/>
            <w:hideMark/>
          </w:tcPr>
          <w:p w14:paraId="0C41A33B" w14:textId="77777777" w:rsidR="00861557" w:rsidRPr="00296D0C" w:rsidRDefault="00861557" w:rsidP="0077247E">
            <w:pPr>
              <w:spacing w:after="0" w:line="240" w:lineRule="auto"/>
              <w:jc w:val="right"/>
              <w:rPr>
                <w:rFonts w:cs="Arial"/>
                <w:color w:val="000000"/>
              </w:rPr>
            </w:pPr>
            <w:r w:rsidRPr="00296D0C">
              <w:rPr>
                <w:rFonts w:cs="Arial"/>
                <w:color w:val="000000"/>
              </w:rPr>
              <w:t>57.90</w:t>
            </w:r>
          </w:p>
        </w:tc>
        <w:tc>
          <w:tcPr>
            <w:tcW w:w="936" w:type="pct"/>
            <w:tcBorders>
              <w:top w:val="nil"/>
              <w:left w:val="nil"/>
              <w:bottom w:val="nil"/>
              <w:right w:val="single" w:sz="4" w:space="0" w:color="auto"/>
            </w:tcBorders>
            <w:shd w:val="clear" w:color="auto" w:fill="auto"/>
            <w:noWrap/>
            <w:vAlign w:val="bottom"/>
            <w:hideMark/>
          </w:tcPr>
          <w:p w14:paraId="4D1FD697" w14:textId="77777777" w:rsidR="00861557" w:rsidRPr="00296D0C" w:rsidRDefault="00861557" w:rsidP="0077247E">
            <w:pPr>
              <w:spacing w:after="0" w:line="240" w:lineRule="auto"/>
              <w:jc w:val="right"/>
              <w:rPr>
                <w:rFonts w:cs="Arial"/>
                <w:color w:val="000000"/>
              </w:rPr>
            </w:pPr>
            <w:r w:rsidRPr="00296D0C">
              <w:rPr>
                <w:rFonts w:cs="Arial"/>
                <w:color w:val="000000"/>
              </w:rPr>
              <w:t>0.00</w:t>
            </w:r>
          </w:p>
        </w:tc>
        <w:tc>
          <w:tcPr>
            <w:tcW w:w="821" w:type="pct"/>
            <w:tcBorders>
              <w:top w:val="nil"/>
              <w:left w:val="nil"/>
              <w:bottom w:val="nil"/>
              <w:right w:val="single" w:sz="4" w:space="0" w:color="auto"/>
            </w:tcBorders>
            <w:shd w:val="clear" w:color="auto" w:fill="FFFFFF" w:themeFill="background1"/>
            <w:noWrap/>
            <w:vAlign w:val="bottom"/>
            <w:hideMark/>
          </w:tcPr>
          <w:p w14:paraId="5978359F" w14:textId="77777777" w:rsidR="00861557" w:rsidRPr="00296D0C" w:rsidRDefault="00861557" w:rsidP="0077247E">
            <w:pPr>
              <w:spacing w:after="0" w:line="240" w:lineRule="auto"/>
              <w:jc w:val="right"/>
              <w:rPr>
                <w:rFonts w:cs="Arial"/>
                <w:color w:val="000000"/>
              </w:rPr>
            </w:pPr>
            <w:r w:rsidRPr="00296D0C">
              <w:rPr>
                <w:rFonts w:cs="Arial"/>
                <w:color w:val="000000"/>
              </w:rPr>
              <w:t>13.60</w:t>
            </w:r>
          </w:p>
        </w:tc>
        <w:tc>
          <w:tcPr>
            <w:tcW w:w="531" w:type="pct"/>
            <w:tcBorders>
              <w:top w:val="nil"/>
              <w:left w:val="single" w:sz="4" w:space="0" w:color="auto"/>
              <w:bottom w:val="nil"/>
              <w:right w:val="single" w:sz="8" w:space="0" w:color="auto"/>
            </w:tcBorders>
            <w:shd w:val="clear" w:color="000000" w:fill="FFFFFF" w:themeFill="background1"/>
            <w:noWrap/>
            <w:vAlign w:val="bottom"/>
            <w:hideMark/>
          </w:tcPr>
          <w:p w14:paraId="73ADFBA3" w14:textId="77777777" w:rsidR="00861557" w:rsidRPr="00296D0C" w:rsidRDefault="00861557" w:rsidP="0077247E">
            <w:pPr>
              <w:spacing w:after="0" w:line="240" w:lineRule="auto"/>
              <w:jc w:val="right"/>
              <w:rPr>
                <w:rFonts w:cs="Arial"/>
                <w:color w:val="000000"/>
              </w:rPr>
            </w:pPr>
            <w:r w:rsidRPr="00296D0C">
              <w:rPr>
                <w:rFonts w:cs="Arial"/>
                <w:color w:val="000000"/>
              </w:rPr>
              <w:t>40.27</w:t>
            </w:r>
          </w:p>
        </w:tc>
      </w:tr>
      <w:tr w:rsidR="00861557" w:rsidRPr="00296D0C" w14:paraId="60D43701" w14:textId="77777777" w:rsidTr="00613FD4">
        <w:trPr>
          <w:trHeight w:val="345"/>
        </w:trPr>
        <w:tc>
          <w:tcPr>
            <w:tcW w:w="1180" w:type="pct"/>
            <w:tcBorders>
              <w:top w:val="nil"/>
              <w:left w:val="single" w:sz="8" w:space="0" w:color="auto"/>
              <w:bottom w:val="single" w:sz="8" w:space="0" w:color="auto"/>
              <w:right w:val="single" w:sz="4" w:space="0" w:color="auto"/>
            </w:tcBorders>
            <w:shd w:val="clear" w:color="auto" w:fill="auto"/>
            <w:noWrap/>
            <w:vAlign w:val="bottom"/>
            <w:hideMark/>
          </w:tcPr>
          <w:p w14:paraId="0D4E8EC4" w14:textId="77777777" w:rsidR="00861557" w:rsidRPr="00296D0C" w:rsidRDefault="00861557" w:rsidP="0077247E">
            <w:pPr>
              <w:spacing w:after="0" w:line="240" w:lineRule="auto"/>
              <w:rPr>
                <w:rFonts w:cs="Arial"/>
                <w:color w:val="000000"/>
              </w:rPr>
            </w:pPr>
            <w:r w:rsidRPr="00296D0C">
              <w:rPr>
                <w:rFonts w:cs="Arial"/>
                <w:color w:val="000000"/>
              </w:rPr>
              <w:t>Total</w:t>
            </w:r>
          </w:p>
        </w:tc>
        <w:tc>
          <w:tcPr>
            <w:tcW w:w="838" w:type="pct"/>
            <w:tcBorders>
              <w:top w:val="nil"/>
              <w:left w:val="single" w:sz="4" w:space="0" w:color="auto"/>
              <w:bottom w:val="single" w:sz="8" w:space="0" w:color="auto"/>
              <w:right w:val="single" w:sz="4" w:space="0" w:color="auto"/>
            </w:tcBorders>
            <w:shd w:val="clear" w:color="auto" w:fill="auto"/>
            <w:noWrap/>
            <w:vAlign w:val="bottom"/>
            <w:hideMark/>
          </w:tcPr>
          <w:p w14:paraId="19C7B7F8" w14:textId="77777777" w:rsidR="00861557" w:rsidRPr="00296D0C" w:rsidRDefault="00861557" w:rsidP="0077247E">
            <w:pPr>
              <w:spacing w:after="0" w:line="240" w:lineRule="auto"/>
              <w:jc w:val="right"/>
              <w:rPr>
                <w:rFonts w:cs="Arial"/>
                <w:color w:val="000000"/>
              </w:rPr>
            </w:pPr>
            <w:r w:rsidRPr="00296D0C">
              <w:rPr>
                <w:rFonts w:cs="Arial"/>
                <w:color w:val="000000"/>
              </w:rPr>
              <w:t>323.96</w:t>
            </w:r>
          </w:p>
        </w:tc>
        <w:tc>
          <w:tcPr>
            <w:tcW w:w="694" w:type="pct"/>
            <w:tcBorders>
              <w:top w:val="nil"/>
              <w:left w:val="nil"/>
              <w:bottom w:val="single" w:sz="8" w:space="0" w:color="auto"/>
              <w:right w:val="single" w:sz="4" w:space="0" w:color="auto"/>
            </w:tcBorders>
            <w:shd w:val="clear" w:color="auto" w:fill="auto"/>
            <w:noWrap/>
            <w:vAlign w:val="bottom"/>
            <w:hideMark/>
          </w:tcPr>
          <w:p w14:paraId="1DE95281" w14:textId="77777777" w:rsidR="00861557" w:rsidRPr="00296D0C" w:rsidRDefault="00861557" w:rsidP="0077247E">
            <w:pPr>
              <w:spacing w:after="0" w:line="240" w:lineRule="auto"/>
              <w:jc w:val="right"/>
              <w:rPr>
                <w:rFonts w:cs="Arial"/>
                <w:color w:val="000000"/>
              </w:rPr>
            </w:pPr>
            <w:r w:rsidRPr="00296D0C">
              <w:rPr>
                <w:rFonts w:cs="Arial"/>
                <w:color w:val="000000"/>
              </w:rPr>
              <w:t>96.41</w:t>
            </w:r>
          </w:p>
        </w:tc>
        <w:tc>
          <w:tcPr>
            <w:tcW w:w="936" w:type="pct"/>
            <w:tcBorders>
              <w:top w:val="nil"/>
              <w:left w:val="nil"/>
              <w:bottom w:val="single" w:sz="8" w:space="0" w:color="auto"/>
              <w:right w:val="single" w:sz="4" w:space="0" w:color="auto"/>
            </w:tcBorders>
            <w:shd w:val="clear" w:color="auto" w:fill="auto"/>
            <w:noWrap/>
            <w:vAlign w:val="bottom"/>
            <w:hideMark/>
          </w:tcPr>
          <w:p w14:paraId="1B0ED530" w14:textId="77777777" w:rsidR="00861557" w:rsidRPr="00296D0C" w:rsidRDefault="00861557" w:rsidP="0077247E">
            <w:pPr>
              <w:spacing w:after="0" w:line="240" w:lineRule="auto"/>
              <w:jc w:val="right"/>
              <w:rPr>
                <w:rFonts w:cs="Arial"/>
                <w:color w:val="000000"/>
              </w:rPr>
            </w:pPr>
            <w:r w:rsidRPr="00296D0C">
              <w:rPr>
                <w:rFonts w:cs="Arial"/>
                <w:color w:val="000000"/>
              </w:rPr>
              <w:t>34.70</w:t>
            </w:r>
          </w:p>
        </w:tc>
        <w:tc>
          <w:tcPr>
            <w:tcW w:w="821" w:type="pct"/>
            <w:tcBorders>
              <w:top w:val="nil"/>
              <w:left w:val="nil"/>
              <w:bottom w:val="single" w:sz="8" w:space="0" w:color="auto"/>
              <w:right w:val="single" w:sz="4" w:space="0" w:color="auto"/>
            </w:tcBorders>
            <w:shd w:val="clear" w:color="auto" w:fill="FFFFFF" w:themeFill="background1"/>
            <w:noWrap/>
            <w:vAlign w:val="bottom"/>
            <w:hideMark/>
          </w:tcPr>
          <w:p w14:paraId="2315605D" w14:textId="77777777" w:rsidR="00861557" w:rsidRPr="00296D0C" w:rsidRDefault="00861557" w:rsidP="0077247E">
            <w:pPr>
              <w:spacing w:after="0" w:line="240" w:lineRule="auto"/>
              <w:jc w:val="right"/>
              <w:rPr>
                <w:rFonts w:cs="Arial"/>
                <w:color w:val="000000"/>
              </w:rPr>
            </w:pPr>
            <w:r w:rsidRPr="00296D0C">
              <w:rPr>
                <w:rFonts w:cs="Arial"/>
                <w:color w:val="000000"/>
              </w:rPr>
              <w:t>184.26</w:t>
            </w:r>
          </w:p>
        </w:tc>
        <w:tc>
          <w:tcPr>
            <w:tcW w:w="531" w:type="pct"/>
            <w:tcBorders>
              <w:top w:val="nil"/>
              <w:left w:val="single" w:sz="4" w:space="0" w:color="auto"/>
              <w:bottom w:val="single" w:sz="8" w:space="0" w:color="auto"/>
              <w:right w:val="single" w:sz="8" w:space="0" w:color="auto"/>
            </w:tcBorders>
            <w:shd w:val="clear" w:color="000000" w:fill="FFFFFF" w:themeFill="background1"/>
            <w:noWrap/>
            <w:vAlign w:val="bottom"/>
            <w:hideMark/>
          </w:tcPr>
          <w:p w14:paraId="061EA608" w14:textId="77777777" w:rsidR="00861557" w:rsidRPr="00296D0C" w:rsidRDefault="00861557" w:rsidP="0077247E">
            <w:pPr>
              <w:spacing w:after="0" w:line="240" w:lineRule="auto"/>
              <w:jc w:val="right"/>
              <w:rPr>
                <w:rFonts w:cs="Arial"/>
                <w:color w:val="000000"/>
              </w:rPr>
            </w:pPr>
            <w:r w:rsidRPr="00296D0C">
              <w:rPr>
                <w:rFonts w:cs="Arial"/>
                <w:color w:val="000000"/>
              </w:rPr>
              <w:t>397.77</w:t>
            </w:r>
          </w:p>
        </w:tc>
      </w:tr>
      <w:tr w:rsidR="00861557" w:rsidRPr="00296D0C" w14:paraId="6DA75BC0" w14:textId="77777777" w:rsidTr="00613FD4">
        <w:trPr>
          <w:trHeight w:val="330"/>
        </w:trPr>
        <w:tc>
          <w:tcPr>
            <w:tcW w:w="1180" w:type="pct"/>
            <w:tcBorders>
              <w:top w:val="single" w:sz="8" w:space="0" w:color="auto"/>
              <w:left w:val="single" w:sz="8" w:space="0" w:color="auto"/>
              <w:bottom w:val="nil"/>
              <w:right w:val="single" w:sz="4" w:space="0" w:color="auto"/>
            </w:tcBorders>
            <w:shd w:val="clear" w:color="auto" w:fill="auto"/>
            <w:noWrap/>
            <w:vAlign w:val="bottom"/>
            <w:hideMark/>
          </w:tcPr>
          <w:p w14:paraId="484F00BF" w14:textId="77777777" w:rsidR="00861557" w:rsidRPr="00296D0C" w:rsidRDefault="00861557" w:rsidP="0077247E">
            <w:pPr>
              <w:spacing w:after="0" w:line="240" w:lineRule="auto"/>
              <w:rPr>
                <w:rFonts w:cs="Arial"/>
                <w:bCs/>
                <w:i/>
                <w:color w:val="000000"/>
              </w:rPr>
            </w:pPr>
            <w:r w:rsidRPr="00296D0C">
              <w:rPr>
                <w:rFonts w:cs="Arial"/>
                <w:bCs/>
                <w:i/>
                <w:color w:val="000000"/>
              </w:rPr>
              <w:t>Task time</w:t>
            </w:r>
          </w:p>
        </w:tc>
        <w:tc>
          <w:tcPr>
            <w:tcW w:w="838" w:type="pct"/>
            <w:tcBorders>
              <w:top w:val="nil"/>
              <w:left w:val="nil"/>
              <w:bottom w:val="nil"/>
              <w:right w:val="single" w:sz="4" w:space="0" w:color="auto"/>
            </w:tcBorders>
            <w:shd w:val="clear" w:color="auto" w:fill="auto"/>
            <w:noWrap/>
            <w:vAlign w:val="bottom"/>
            <w:hideMark/>
          </w:tcPr>
          <w:p w14:paraId="19DC81FF" w14:textId="77777777" w:rsidR="00861557" w:rsidRPr="00296D0C" w:rsidRDefault="00861557" w:rsidP="0077247E">
            <w:pPr>
              <w:spacing w:after="0" w:line="240" w:lineRule="auto"/>
              <w:rPr>
                <w:rFonts w:cs="Arial"/>
                <w:color w:val="000000"/>
              </w:rPr>
            </w:pPr>
            <w:r w:rsidRPr="00296D0C">
              <w:rPr>
                <w:rFonts w:cs="Arial"/>
                <w:color w:val="000000"/>
              </w:rPr>
              <w:t> </w:t>
            </w:r>
          </w:p>
        </w:tc>
        <w:tc>
          <w:tcPr>
            <w:tcW w:w="694" w:type="pct"/>
            <w:tcBorders>
              <w:top w:val="nil"/>
              <w:left w:val="nil"/>
              <w:bottom w:val="nil"/>
              <w:right w:val="single" w:sz="4" w:space="0" w:color="auto"/>
            </w:tcBorders>
            <w:shd w:val="clear" w:color="auto" w:fill="auto"/>
            <w:noWrap/>
            <w:vAlign w:val="bottom"/>
            <w:hideMark/>
          </w:tcPr>
          <w:p w14:paraId="3B73C89D" w14:textId="77777777" w:rsidR="00861557" w:rsidRPr="00296D0C" w:rsidRDefault="00861557" w:rsidP="0077247E">
            <w:pPr>
              <w:spacing w:after="0" w:line="240" w:lineRule="auto"/>
              <w:rPr>
                <w:rFonts w:cs="Arial"/>
                <w:color w:val="000000"/>
              </w:rPr>
            </w:pPr>
            <w:r w:rsidRPr="00296D0C">
              <w:rPr>
                <w:rFonts w:cs="Arial"/>
                <w:color w:val="000000"/>
              </w:rPr>
              <w:t> </w:t>
            </w:r>
          </w:p>
        </w:tc>
        <w:tc>
          <w:tcPr>
            <w:tcW w:w="936" w:type="pct"/>
            <w:tcBorders>
              <w:top w:val="nil"/>
              <w:left w:val="nil"/>
              <w:bottom w:val="nil"/>
              <w:right w:val="single" w:sz="4" w:space="0" w:color="auto"/>
            </w:tcBorders>
            <w:shd w:val="clear" w:color="auto" w:fill="auto"/>
            <w:noWrap/>
            <w:vAlign w:val="bottom"/>
            <w:hideMark/>
          </w:tcPr>
          <w:p w14:paraId="63E3F29E" w14:textId="77777777" w:rsidR="00861557" w:rsidRPr="00296D0C" w:rsidRDefault="00861557" w:rsidP="0077247E">
            <w:pPr>
              <w:spacing w:after="0" w:line="240" w:lineRule="auto"/>
              <w:rPr>
                <w:rFonts w:cs="Arial"/>
                <w:color w:val="000000"/>
              </w:rPr>
            </w:pPr>
            <w:r w:rsidRPr="00296D0C">
              <w:rPr>
                <w:rFonts w:cs="Arial"/>
                <w:color w:val="000000"/>
              </w:rPr>
              <w:t> </w:t>
            </w:r>
          </w:p>
        </w:tc>
        <w:tc>
          <w:tcPr>
            <w:tcW w:w="821" w:type="pct"/>
            <w:tcBorders>
              <w:top w:val="nil"/>
              <w:left w:val="nil"/>
              <w:bottom w:val="nil"/>
              <w:right w:val="single" w:sz="4" w:space="0" w:color="auto"/>
            </w:tcBorders>
            <w:shd w:val="clear" w:color="auto" w:fill="FFFFFF" w:themeFill="background1"/>
            <w:noWrap/>
            <w:vAlign w:val="bottom"/>
            <w:hideMark/>
          </w:tcPr>
          <w:p w14:paraId="3ADF9175" w14:textId="77777777" w:rsidR="00861557" w:rsidRPr="00296D0C" w:rsidRDefault="00861557" w:rsidP="0077247E">
            <w:pPr>
              <w:spacing w:after="0" w:line="240" w:lineRule="auto"/>
              <w:rPr>
                <w:rFonts w:cs="Arial"/>
                <w:color w:val="000000"/>
              </w:rPr>
            </w:pPr>
            <w:r w:rsidRPr="00296D0C">
              <w:rPr>
                <w:rFonts w:cs="Arial"/>
                <w:color w:val="000000"/>
              </w:rPr>
              <w:t> </w:t>
            </w:r>
          </w:p>
        </w:tc>
        <w:tc>
          <w:tcPr>
            <w:tcW w:w="531" w:type="pct"/>
            <w:tcBorders>
              <w:top w:val="single" w:sz="8" w:space="0" w:color="auto"/>
              <w:left w:val="nil"/>
              <w:bottom w:val="nil"/>
              <w:right w:val="single" w:sz="8" w:space="0" w:color="auto"/>
            </w:tcBorders>
            <w:shd w:val="clear" w:color="000000" w:fill="FFFFFF" w:themeFill="background1"/>
            <w:noWrap/>
            <w:vAlign w:val="bottom"/>
            <w:hideMark/>
          </w:tcPr>
          <w:p w14:paraId="2DDC0B39" w14:textId="77777777" w:rsidR="00861557" w:rsidRPr="00296D0C" w:rsidRDefault="00861557" w:rsidP="0077247E">
            <w:pPr>
              <w:spacing w:after="0" w:line="240" w:lineRule="auto"/>
              <w:rPr>
                <w:rFonts w:cs="Arial"/>
                <w:color w:val="000000"/>
              </w:rPr>
            </w:pPr>
            <w:r w:rsidRPr="00296D0C">
              <w:rPr>
                <w:rFonts w:cs="Arial"/>
                <w:color w:val="000000"/>
              </w:rPr>
              <w:t> </w:t>
            </w:r>
          </w:p>
        </w:tc>
      </w:tr>
      <w:tr w:rsidR="00861557" w:rsidRPr="00296D0C" w14:paraId="44D1E8B4" w14:textId="77777777" w:rsidTr="00613FD4">
        <w:trPr>
          <w:trHeight w:val="330"/>
        </w:trPr>
        <w:tc>
          <w:tcPr>
            <w:tcW w:w="1180" w:type="pct"/>
            <w:tcBorders>
              <w:top w:val="nil"/>
              <w:left w:val="single" w:sz="8" w:space="0" w:color="auto"/>
              <w:bottom w:val="nil"/>
              <w:right w:val="single" w:sz="4" w:space="0" w:color="auto"/>
            </w:tcBorders>
            <w:shd w:val="clear" w:color="auto" w:fill="auto"/>
            <w:noWrap/>
            <w:vAlign w:val="bottom"/>
            <w:hideMark/>
          </w:tcPr>
          <w:p w14:paraId="4877D0FB" w14:textId="77777777" w:rsidR="00861557" w:rsidRPr="00296D0C" w:rsidRDefault="00861557" w:rsidP="0077247E">
            <w:pPr>
              <w:spacing w:after="0" w:line="240" w:lineRule="auto"/>
              <w:rPr>
                <w:rFonts w:cs="Arial"/>
                <w:color w:val="000000"/>
              </w:rPr>
            </w:pPr>
            <w:r w:rsidRPr="00296D0C">
              <w:rPr>
                <w:rFonts w:cs="Arial"/>
                <w:color w:val="000000"/>
              </w:rPr>
              <w:t>Class-level activities</w:t>
            </w:r>
          </w:p>
        </w:tc>
        <w:tc>
          <w:tcPr>
            <w:tcW w:w="838" w:type="pct"/>
            <w:tcBorders>
              <w:top w:val="nil"/>
              <w:left w:val="single" w:sz="4" w:space="0" w:color="auto"/>
              <w:bottom w:val="nil"/>
              <w:right w:val="single" w:sz="4" w:space="0" w:color="auto"/>
            </w:tcBorders>
            <w:shd w:val="clear" w:color="auto" w:fill="auto"/>
            <w:noWrap/>
            <w:vAlign w:val="bottom"/>
            <w:hideMark/>
          </w:tcPr>
          <w:p w14:paraId="37990D51" w14:textId="77777777" w:rsidR="00861557" w:rsidRPr="00296D0C" w:rsidRDefault="00861557" w:rsidP="0077247E">
            <w:pPr>
              <w:spacing w:after="0" w:line="240" w:lineRule="auto"/>
              <w:jc w:val="right"/>
              <w:rPr>
                <w:rFonts w:cs="Arial"/>
                <w:color w:val="000000"/>
              </w:rPr>
            </w:pPr>
            <w:r w:rsidRPr="00296D0C">
              <w:rPr>
                <w:rFonts w:cs="Arial"/>
                <w:color w:val="000000"/>
              </w:rPr>
              <w:t>536.60</w:t>
            </w:r>
          </w:p>
        </w:tc>
        <w:tc>
          <w:tcPr>
            <w:tcW w:w="694" w:type="pct"/>
            <w:tcBorders>
              <w:top w:val="nil"/>
              <w:left w:val="nil"/>
              <w:bottom w:val="nil"/>
              <w:right w:val="single" w:sz="4" w:space="0" w:color="auto"/>
            </w:tcBorders>
            <w:shd w:val="clear" w:color="auto" w:fill="auto"/>
            <w:noWrap/>
            <w:vAlign w:val="bottom"/>
            <w:hideMark/>
          </w:tcPr>
          <w:p w14:paraId="05A0B7FE" w14:textId="77777777" w:rsidR="00861557" w:rsidRPr="00296D0C" w:rsidRDefault="00861557" w:rsidP="0077247E">
            <w:pPr>
              <w:spacing w:after="0" w:line="240" w:lineRule="auto"/>
              <w:jc w:val="right"/>
              <w:rPr>
                <w:rFonts w:cs="Arial"/>
                <w:color w:val="000000"/>
              </w:rPr>
            </w:pPr>
            <w:r w:rsidRPr="00296D0C">
              <w:rPr>
                <w:rFonts w:cs="Arial"/>
                <w:color w:val="000000"/>
              </w:rPr>
              <w:t>278.41</w:t>
            </w:r>
          </w:p>
        </w:tc>
        <w:tc>
          <w:tcPr>
            <w:tcW w:w="936" w:type="pct"/>
            <w:tcBorders>
              <w:top w:val="nil"/>
              <w:left w:val="nil"/>
              <w:bottom w:val="nil"/>
              <w:right w:val="single" w:sz="4" w:space="0" w:color="auto"/>
            </w:tcBorders>
            <w:shd w:val="clear" w:color="auto" w:fill="auto"/>
            <w:noWrap/>
            <w:vAlign w:val="bottom"/>
            <w:hideMark/>
          </w:tcPr>
          <w:p w14:paraId="01BF3D68" w14:textId="77777777" w:rsidR="00861557" w:rsidRPr="00296D0C" w:rsidRDefault="00861557" w:rsidP="0077247E">
            <w:pPr>
              <w:spacing w:after="0" w:line="240" w:lineRule="auto"/>
              <w:jc w:val="right"/>
              <w:rPr>
                <w:rFonts w:cs="Arial"/>
                <w:color w:val="000000"/>
              </w:rPr>
            </w:pPr>
            <w:r w:rsidRPr="00296D0C">
              <w:rPr>
                <w:rFonts w:cs="Arial"/>
                <w:color w:val="000000"/>
              </w:rPr>
              <w:t>153.00</w:t>
            </w:r>
          </w:p>
        </w:tc>
        <w:tc>
          <w:tcPr>
            <w:tcW w:w="821" w:type="pct"/>
            <w:tcBorders>
              <w:top w:val="nil"/>
              <w:left w:val="nil"/>
              <w:bottom w:val="nil"/>
              <w:right w:val="single" w:sz="4" w:space="0" w:color="auto"/>
            </w:tcBorders>
            <w:shd w:val="clear" w:color="auto" w:fill="FFFFFF" w:themeFill="background1"/>
            <w:noWrap/>
            <w:vAlign w:val="bottom"/>
            <w:hideMark/>
          </w:tcPr>
          <w:p w14:paraId="20A35FC0" w14:textId="77777777" w:rsidR="00861557" w:rsidRPr="00296D0C" w:rsidRDefault="00861557" w:rsidP="0077247E">
            <w:pPr>
              <w:spacing w:after="0" w:line="240" w:lineRule="auto"/>
              <w:jc w:val="right"/>
              <w:rPr>
                <w:rFonts w:cs="Arial"/>
                <w:color w:val="000000"/>
              </w:rPr>
            </w:pPr>
            <w:r w:rsidRPr="00296D0C">
              <w:rPr>
                <w:rFonts w:cs="Arial"/>
                <w:color w:val="000000"/>
              </w:rPr>
              <w:t>379.16</w:t>
            </w:r>
          </w:p>
        </w:tc>
        <w:tc>
          <w:tcPr>
            <w:tcW w:w="531" w:type="pct"/>
            <w:tcBorders>
              <w:top w:val="nil"/>
              <w:left w:val="single" w:sz="4" w:space="0" w:color="auto"/>
              <w:bottom w:val="nil"/>
              <w:right w:val="single" w:sz="8" w:space="0" w:color="auto"/>
            </w:tcBorders>
            <w:shd w:val="clear" w:color="000000" w:fill="FFFFFF" w:themeFill="background1"/>
            <w:noWrap/>
            <w:vAlign w:val="bottom"/>
            <w:hideMark/>
          </w:tcPr>
          <w:p w14:paraId="369D1F98" w14:textId="77777777" w:rsidR="00861557" w:rsidRPr="00296D0C" w:rsidRDefault="00861557" w:rsidP="0077247E">
            <w:pPr>
              <w:spacing w:after="0" w:line="240" w:lineRule="auto"/>
              <w:jc w:val="right"/>
              <w:rPr>
                <w:rFonts w:cs="Arial"/>
                <w:color w:val="000000"/>
              </w:rPr>
            </w:pPr>
            <w:r w:rsidRPr="00296D0C">
              <w:rPr>
                <w:rFonts w:cs="Arial"/>
                <w:color w:val="000000"/>
              </w:rPr>
              <w:t>1412.32</w:t>
            </w:r>
          </w:p>
        </w:tc>
      </w:tr>
      <w:tr w:rsidR="00861557" w:rsidRPr="00296D0C" w14:paraId="676D0546" w14:textId="77777777" w:rsidTr="00613FD4">
        <w:trPr>
          <w:trHeight w:val="330"/>
        </w:trPr>
        <w:tc>
          <w:tcPr>
            <w:tcW w:w="1180" w:type="pct"/>
            <w:tcBorders>
              <w:top w:val="nil"/>
              <w:left w:val="single" w:sz="8" w:space="0" w:color="auto"/>
              <w:bottom w:val="nil"/>
              <w:right w:val="single" w:sz="4" w:space="0" w:color="auto"/>
            </w:tcBorders>
            <w:shd w:val="clear" w:color="auto" w:fill="auto"/>
            <w:noWrap/>
            <w:vAlign w:val="bottom"/>
            <w:hideMark/>
          </w:tcPr>
          <w:p w14:paraId="43D91D1A" w14:textId="77777777" w:rsidR="00861557" w:rsidRPr="00296D0C" w:rsidRDefault="00861557" w:rsidP="0077247E">
            <w:pPr>
              <w:spacing w:after="0" w:line="240" w:lineRule="auto"/>
              <w:rPr>
                <w:rFonts w:cs="Arial"/>
                <w:color w:val="000000"/>
              </w:rPr>
            </w:pPr>
            <w:r w:rsidRPr="00296D0C">
              <w:rPr>
                <w:rFonts w:cs="Arial"/>
                <w:color w:val="000000"/>
              </w:rPr>
              <w:t>School-level activities</w:t>
            </w:r>
          </w:p>
        </w:tc>
        <w:tc>
          <w:tcPr>
            <w:tcW w:w="838" w:type="pct"/>
            <w:tcBorders>
              <w:top w:val="nil"/>
              <w:left w:val="single" w:sz="4" w:space="0" w:color="auto"/>
              <w:bottom w:val="nil"/>
              <w:right w:val="single" w:sz="4" w:space="0" w:color="auto"/>
            </w:tcBorders>
            <w:shd w:val="clear" w:color="auto" w:fill="auto"/>
            <w:noWrap/>
            <w:vAlign w:val="bottom"/>
            <w:hideMark/>
          </w:tcPr>
          <w:p w14:paraId="7B3E54DE" w14:textId="77777777" w:rsidR="00861557" w:rsidRPr="00296D0C" w:rsidRDefault="00861557" w:rsidP="0077247E">
            <w:pPr>
              <w:spacing w:after="0" w:line="240" w:lineRule="auto"/>
              <w:jc w:val="right"/>
              <w:rPr>
                <w:rFonts w:cs="Arial"/>
                <w:color w:val="000000"/>
              </w:rPr>
            </w:pPr>
            <w:r w:rsidRPr="00296D0C">
              <w:rPr>
                <w:rFonts w:cs="Arial"/>
                <w:color w:val="000000"/>
              </w:rPr>
              <w:t>53.90</w:t>
            </w:r>
          </w:p>
        </w:tc>
        <w:tc>
          <w:tcPr>
            <w:tcW w:w="694" w:type="pct"/>
            <w:tcBorders>
              <w:top w:val="nil"/>
              <w:left w:val="nil"/>
              <w:bottom w:val="nil"/>
              <w:right w:val="single" w:sz="4" w:space="0" w:color="auto"/>
            </w:tcBorders>
            <w:shd w:val="clear" w:color="auto" w:fill="auto"/>
            <w:noWrap/>
            <w:vAlign w:val="bottom"/>
            <w:hideMark/>
          </w:tcPr>
          <w:p w14:paraId="214AD478" w14:textId="77777777" w:rsidR="00861557" w:rsidRPr="00296D0C" w:rsidRDefault="00861557" w:rsidP="0077247E">
            <w:pPr>
              <w:spacing w:after="0" w:line="240" w:lineRule="auto"/>
              <w:jc w:val="right"/>
              <w:rPr>
                <w:rFonts w:cs="Arial"/>
                <w:color w:val="000000"/>
              </w:rPr>
            </w:pPr>
            <w:r w:rsidRPr="00296D0C">
              <w:rPr>
                <w:rFonts w:cs="Arial"/>
                <w:color w:val="000000"/>
              </w:rPr>
              <w:t>33.42</w:t>
            </w:r>
          </w:p>
        </w:tc>
        <w:tc>
          <w:tcPr>
            <w:tcW w:w="936" w:type="pct"/>
            <w:tcBorders>
              <w:top w:val="nil"/>
              <w:left w:val="nil"/>
              <w:bottom w:val="nil"/>
              <w:right w:val="single" w:sz="4" w:space="0" w:color="auto"/>
            </w:tcBorders>
            <w:shd w:val="clear" w:color="auto" w:fill="auto"/>
            <w:noWrap/>
            <w:vAlign w:val="bottom"/>
            <w:hideMark/>
          </w:tcPr>
          <w:p w14:paraId="4EC5B0F9" w14:textId="77777777" w:rsidR="00861557" w:rsidRPr="00296D0C" w:rsidRDefault="00861557" w:rsidP="0077247E">
            <w:pPr>
              <w:spacing w:after="0" w:line="240" w:lineRule="auto"/>
              <w:jc w:val="right"/>
              <w:rPr>
                <w:rFonts w:cs="Arial"/>
                <w:color w:val="000000"/>
              </w:rPr>
            </w:pPr>
            <w:r w:rsidRPr="00296D0C">
              <w:rPr>
                <w:rFonts w:cs="Arial"/>
                <w:color w:val="000000"/>
              </w:rPr>
              <w:t>0.00</w:t>
            </w:r>
          </w:p>
        </w:tc>
        <w:tc>
          <w:tcPr>
            <w:tcW w:w="821" w:type="pct"/>
            <w:tcBorders>
              <w:top w:val="nil"/>
              <w:left w:val="nil"/>
              <w:bottom w:val="nil"/>
              <w:right w:val="single" w:sz="4" w:space="0" w:color="auto"/>
            </w:tcBorders>
            <w:shd w:val="clear" w:color="auto" w:fill="FFFFFF" w:themeFill="background1"/>
            <w:noWrap/>
            <w:vAlign w:val="bottom"/>
            <w:hideMark/>
          </w:tcPr>
          <w:p w14:paraId="11230ED6" w14:textId="77777777" w:rsidR="00861557" w:rsidRPr="00296D0C" w:rsidRDefault="00861557" w:rsidP="0077247E">
            <w:pPr>
              <w:spacing w:after="0" w:line="240" w:lineRule="auto"/>
              <w:jc w:val="right"/>
              <w:rPr>
                <w:rFonts w:cs="Arial"/>
                <w:color w:val="000000"/>
              </w:rPr>
            </w:pPr>
            <w:r w:rsidRPr="00296D0C">
              <w:rPr>
                <w:rFonts w:cs="Arial"/>
                <w:color w:val="000000"/>
              </w:rPr>
              <w:t>23.56</w:t>
            </w:r>
          </w:p>
        </w:tc>
        <w:tc>
          <w:tcPr>
            <w:tcW w:w="531" w:type="pct"/>
            <w:tcBorders>
              <w:top w:val="nil"/>
              <w:left w:val="single" w:sz="4" w:space="0" w:color="auto"/>
              <w:bottom w:val="nil"/>
              <w:right w:val="single" w:sz="8" w:space="0" w:color="auto"/>
            </w:tcBorders>
            <w:shd w:val="clear" w:color="000000" w:fill="FFFFFF" w:themeFill="background1"/>
            <w:noWrap/>
            <w:vAlign w:val="bottom"/>
            <w:hideMark/>
          </w:tcPr>
          <w:p w14:paraId="08FCDB12" w14:textId="77777777" w:rsidR="00861557" w:rsidRPr="00296D0C" w:rsidRDefault="00861557" w:rsidP="0077247E">
            <w:pPr>
              <w:spacing w:after="0" w:line="240" w:lineRule="auto"/>
              <w:jc w:val="right"/>
              <w:rPr>
                <w:rFonts w:cs="Arial"/>
                <w:color w:val="000000"/>
              </w:rPr>
            </w:pPr>
            <w:r w:rsidRPr="00296D0C">
              <w:rPr>
                <w:rFonts w:cs="Arial"/>
                <w:color w:val="000000"/>
              </w:rPr>
              <w:t>67.91</w:t>
            </w:r>
          </w:p>
        </w:tc>
      </w:tr>
      <w:tr w:rsidR="00861557" w:rsidRPr="00296D0C" w14:paraId="3BC6170C" w14:textId="77777777" w:rsidTr="00613FD4">
        <w:trPr>
          <w:trHeight w:val="345"/>
        </w:trPr>
        <w:tc>
          <w:tcPr>
            <w:tcW w:w="1180" w:type="pct"/>
            <w:tcBorders>
              <w:top w:val="nil"/>
              <w:left w:val="single" w:sz="8" w:space="0" w:color="auto"/>
              <w:bottom w:val="single" w:sz="8" w:space="0" w:color="auto"/>
              <w:right w:val="single" w:sz="4" w:space="0" w:color="auto"/>
            </w:tcBorders>
            <w:shd w:val="clear" w:color="auto" w:fill="auto"/>
            <w:noWrap/>
            <w:vAlign w:val="bottom"/>
            <w:hideMark/>
          </w:tcPr>
          <w:p w14:paraId="5C70300F" w14:textId="77777777" w:rsidR="00861557" w:rsidRPr="00296D0C" w:rsidRDefault="00861557" w:rsidP="0077247E">
            <w:pPr>
              <w:spacing w:after="0" w:line="240" w:lineRule="auto"/>
              <w:rPr>
                <w:rFonts w:cs="Arial"/>
                <w:color w:val="000000"/>
              </w:rPr>
            </w:pPr>
            <w:r w:rsidRPr="00296D0C">
              <w:rPr>
                <w:rFonts w:cs="Arial"/>
                <w:color w:val="000000"/>
              </w:rPr>
              <w:t>Total</w:t>
            </w:r>
          </w:p>
        </w:tc>
        <w:tc>
          <w:tcPr>
            <w:tcW w:w="838" w:type="pct"/>
            <w:tcBorders>
              <w:top w:val="nil"/>
              <w:left w:val="single" w:sz="4" w:space="0" w:color="auto"/>
              <w:bottom w:val="single" w:sz="8" w:space="0" w:color="auto"/>
              <w:right w:val="single" w:sz="4" w:space="0" w:color="auto"/>
            </w:tcBorders>
            <w:shd w:val="clear" w:color="auto" w:fill="auto"/>
            <w:noWrap/>
            <w:vAlign w:val="bottom"/>
            <w:hideMark/>
          </w:tcPr>
          <w:p w14:paraId="56F0A34A" w14:textId="77777777" w:rsidR="00861557" w:rsidRPr="00296D0C" w:rsidRDefault="00861557" w:rsidP="0077247E">
            <w:pPr>
              <w:spacing w:after="0" w:line="240" w:lineRule="auto"/>
              <w:jc w:val="right"/>
              <w:rPr>
                <w:rFonts w:cs="Arial"/>
                <w:color w:val="000000"/>
              </w:rPr>
            </w:pPr>
            <w:r w:rsidRPr="00296D0C">
              <w:rPr>
                <w:rFonts w:cs="Arial"/>
                <w:color w:val="000000"/>
              </w:rPr>
              <w:t>590.50</w:t>
            </w:r>
          </w:p>
        </w:tc>
        <w:tc>
          <w:tcPr>
            <w:tcW w:w="694" w:type="pct"/>
            <w:tcBorders>
              <w:top w:val="nil"/>
              <w:left w:val="nil"/>
              <w:bottom w:val="single" w:sz="8" w:space="0" w:color="auto"/>
              <w:right w:val="single" w:sz="4" w:space="0" w:color="auto"/>
            </w:tcBorders>
            <w:shd w:val="clear" w:color="auto" w:fill="auto"/>
            <w:noWrap/>
            <w:vAlign w:val="bottom"/>
            <w:hideMark/>
          </w:tcPr>
          <w:p w14:paraId="68B520AD" w14:textId="77777777" w:rsidR="00861557" w:rsidRPr="00296D0C" w:rsidRDefault="00861557" w:rsidP="0077247E">
            <w:pPr>
              <w:spacing w:after="0" w:line="240" w:lineRule="auto"/>
              <w:jc w:val="right"/>
              <w:rPr>
                <w:rFonts w:cs="Arial"/>
                <w:color w:val="000000"/>
              </w:rPr>
            </w:pPr>
            <w:r w:rsidRPr="00296D0C">
              <w:rPr>
                <w:rFonts w:cs="Arial"/>
                <w:color w:val="000000"/>
              </w:rPr>
              <w:t>311.83</w:t>
            </w:r>
          </w:p>
        </w:tc>
        <w:tc>
          <w:tcPr>
            <w:tcW w:w="936" w:type="pct"/>
            <w:tcBorders>
              <w:top w:val="nil"/>
              <w:left w:val="nil"/>
              <w:bottom w:val="single" w:sz="8" w:space="0" w:color="auto"/>
              <w:right w:val="single" w:sz="4" w:space="0" w:color="auto"/>
            </w:tcBorders>
            <w:shd w:val="clear" w:color="auto" w:fill="auto"/>
            <w:noWrap/>
            <w:vAlign w:val="bottom"/>
            <w:hideMark/>
          </w:tcPr>
          <w:p w14:paraId="07B3820A" w14:textId="77777777" w:rsidR="00861557" w:rsidRPr="00296D0C" w:rsidRDefault="00861557" w:rsidP="0077247E">
            <w:pPr>
              <w:spacing w:after="0" w:line="240" w:lineRule="auto"/>
              <w:jc w:val="right"/>
              <w:rPr>
                <w:rFonts w:cs="Arial"/>
                <w:color w:val="000000"/>
              </w:rPr>
            </w:pPr>
            <w:r w:rsidRPr="00296D0C">
              <w:rPr>
                <w:rFonts w:cs="Arial"/>
                <w:color w:val="000000"/>
              </w:rPr>
              <w:t>153.00</w:t>
            </w:r>
          </w:p>
        </w:tc>
        <w:tc>
          <w:tcPr>
            <w:tcW w:w="821" w:type="pct"/>
            <w:tcBorders>
              <w:top w:val="nil"/>
              <w:left w:val="nil"/>
              <w:bottom w:val="single" w:sz="8" w:space="0" w:color="auto"/>
              <w:right w:val="single" w:sz="4" w:space="0" w:color="auto"/>
            </w:tcBorders>
            <w:shd w:val="clear" w:color="auto" w:fill="FFFFFF" w:themeFill="background1"/>
            <w:noWrap/>
            <w:vAlign w:val="bottom"/>
            <w:hideMark/>
          </w:tcPr>
          <w:p w14:paraId="0C907069" w14:textId="77777777" w:rsidR="00861557" w:rsidRPr="00296D0C" w:rsidRDefault="00861557" w:rsidP="0077247E">
            <w:pPr>
              <w:spacing w:after="0" w:line="240" w:lineRule="auto"/>
              <w:jc w:val="right"/>
              <w:rPr>
                <w:rFonts w:cs="Arial"/>
                <w:color w:val="000000"/>
              </w:rPr>
            </w:pPr>
            <w:r w:rsidRPr="00296D0C">
              <w:rPr>
                <w:rFonts w:cs="Arial"/>
                <w:color w:val="000000"/>
              </w:rPr>
              <w:t>402.71</w:t>
            </w:r>
          </w:p>
        </w:tc>
        <w:tc>
          <w:tcPr>
            <w:tcW w:w="531" w:type="pct"/>
            <w:tcBorders>
              <w:top w:val="nil"/>
              <w:left w:val="single" w:sz="4" w:space="0" w:color="auto"/>
              <w:bottom w:val="single" w:sz="8" w:space="0" w:color="auto"/>
              <w:right w:val="single" w:sz="8" w:space="0" w:color="auto"/>
            </w:tcBorders>
            <w:shd w:val="clear" w:color="000000" w:fill="FFFFFF" w:themeFill="background1"/>
            <w:noWrap/>
            <w:vAlign w:val="bottom"/>
            <w:hideMark/>
          </w:tcPr>
          <w:p w14:paraId="1C351728" w14:textId="77777777" w:rsidR="00861557" w:rsidRPr="00296D0C" w:rsidRDefault="00861557" w:rsidP="0077247E">
            <w:pPr>
              <w:spacing w:after="0" w:line="240" w:lineRule="auto"/>
              <w:jc w:val="right"/>
              <w:rPr>
                <w:rFonts w:cs="Arial"/>
                <w:color w:val="000000"/>
              </w:rPr>
            </w:pPr>
            <w:r w:rsidRPr="00296D0C">
              <w:rPr>
                <w:rFonts w:cs="Arial"/>
                <w:color w:val="000000"/>
              </w:rPr>
              <w:t>1480.23</w:t>
            </w:r>
          </w:p>
        </w:tc>
      </w:tr>
      <w:tr w:rsidR="00861557" w:rsidRPr="00296D0C" w14:paraId="030000AD" w14:textId="77777777" w:rsidTr="00613FD4">
        <w:trPr>
          <w:trHeight w:val="330"/>
        </w:trPr>
        <w:tc>
          <w:tcPr>
            <w:tcW w:w="1180" w:type="pct"/>
            <w:tcBorders>
              <w:top w:val="single" w:sz="8" w:space="0" w:color="auto"/>
              <w:left w:val="single" w:sz="8" w:space="0" w:color="auto"/>
              <w:bottom w:val="nil"/>
              <w:right w:val="single" w:sz="4" w:space="0" w:color="auto"/>
            </w:tcBorders>
            <w:shd w:val="clear" w:color="000000" w:fill="FFFFFF" w:themeFill="background1"/>
            <w:noWrap/>
            <w:vAlign w:val="bottom"/>
            <w:hideMark/>
          </w:tcPr>
          <w:p w14:paraId="396F0612" w14:textId="77777777" w:rsidR="00861557" w:rsidRPr="00296D0C" w:rsidRDefault="00861557" w:rsidP="0077247E">
            <w:pPr>
              <w:spacing w:after="0" w:line="240" w:lineRule="auto"/>
              <w:rPr>
                <w:rFonts w:cs="Arial"/>
                <w:bCs/>
                <w:i/>
                <w:color w:val="000000"/>
              </w:rPr>
            </w:pPr>
            <w:r w:rsidRPr="00296D0C">
              <w:rPr>
                <w:rFonts w:cs="Arial"/>
                <w:bCs/>
                <w:i/>
                <w:color w:val="000000"/>
              </w:rPr>
              <w:t>Travel time</w:t>
            </w:r>
          </w:p>
        </w:tc>
        <w:tc>
          <w:tcPr>
            <w:tcW w:w="838" w:type="pct"/>
            <w:tcBorders>
              <w:top w:val="single" w:sz="8" w:space="0" w:color="auto"/>
              <w:left w:val="nil"/>
              <w:bottom w:val="nil"/>
              <w:right w:val="single" w:sz="4" w:space="0" w:color="auto"/>
            </w:tcBorders>
            <w:shd w:val="clear" w:color="000000" w:fill="FFFFFF" w:themeFill="background1"/>
            <w:noWrap/>
            <w:vAlign w:val="bottom"/>
            <w:hideMark/>
          </w:tcPr>
          <w:p w14:paraId="7348AACA" w14:textId="77777777" w:rsidR="00861557" w:rsidRPr="00296D0C" w:rsidRDefault="00861557" w:rsidP="0077247E">
            <w:pPr>
              <w:spacing w:after="0" w:line="240" w:lineRule="auto"/>
              <w:rPr>
                <w:rFonts w:cs="Arial"/>
                <w:color w:val="000000"/>
              </w:rPr>
            </w:pPr>
            <w:r w:rsidRPr="00296D0C">
              <w:rPr>
                <w:rFonts w:cs="Arial"/>
                <w:color w:val="000000"/>
              </w:rPr>
              <w:t> </w:t>
            </w:r>
          </w:p>
        </w:tc>
        <w:tc>
          <w:tcPr>
            <w:tcW w:w="694" w:type="pct"/>
            <w:tcBorders>
              <w:top w:val="single" w:sz="8" w:space="0" w:color="auto"/>
              <w:left w:val="nil"/>
              <w:bottom w:val="nil"/>
              <w:right w:val="single" w:sz="4" w:space="0" w:color="auto"/>
            </w:tcBorders>
            <w:shd w:val="clear" w:color="000000" w:fill="FFFFFF" w:themeFill="background1"/>
            <w:noWrap/>
            <w:vAlign w:val="bottom"/>
            <w:hideMark/>
          </w:tcPr>
          <w:p w14:paraId="45CD07CF" w14:textId="77777777" w:rsidR="00861557" w:rsidRPr="00296D0C" w:rsidRDefault="00861557" w:rsidP="0077247E">
            <w:pPr>
              <w:spacing w:after="0" w:line="240" w:lineRule="auto"/>
              <w:rPr>
                <w:rFonts w:cs="Arial"/>
                <w:color w:val="000000"/>
              </w:rPr>
            </w:pPr>
            <w:r w:rsidRPr="00296D0C">
              <w:rPr>
                <w:rFonts w:cs="Arial"/>
                <w:color w:val="000000"/>
              </w:rPr>
              <w:t> </w:t>
            </w:r>
          </w:p>
        </w:tc>
        <w:tc>
          <w:tcPr>
            <w:tcW w:w="936" w:type="pct"/>
            <w:tcBorders>
              <w:top w:val="single" w:sz="8" w:space="0" w:color="auto"/>
              <w:left w:val="nil"/>
              <w:bottom w:val="nil"/>
              <w:right w:val="single" w:sz="4" w:space="0" w:color="auto"/>
            </w:tcBorders>
            <w:shd w:val="clear" w:color="000000" w:fill="FFFFFF" w:themeFill="background1"/>
            <w:noWrap/>
            <w:vAlign w:val="bottom"/>
            <w:hideMark/>
          </w:tcPr>
          <w:p w14:paraId="65B176ED" w14:textId="77777777" w:rsidR="00861557" w:rsidRPr="00296D0C" w:rsidRDefault="00861557" w:rsidP="0077247E">
            <w:pPr>
              <w:spacing w:after="0" w:line="240" w:lineRule="auto"/>
              <w:rPr>
                <w:rFonts w:cs="Arial"/>
                <w:color w:val="000000"/>
              </w:rPr>
            </w:pPr>
            <w:r w:rsidRPr="00296D0C">
              <w:rPr>
                <w:rFonts w:cs="Arial"/>
                <w:color w:val="000000"/>
              </w:rPr>
              <w:t> </w:t>
            </w:r>
          </w:p>
        </w:tc>
        <w:tc>
          <w:tcPr>
            <w:tcW w:w="821" w:type="pct"/>
            <w:tcBorders>
              <w:top w:val="nil"/>
              <w:left w:val="nil"/>
              <w:bottom w:val="nil"/>
              <w:right w:val="single" w:sz="4" w:space="0" w:color="auto"/>
            </w:tcBorders>
            <w:shd w:val="clear" w:color="auto" w:fill="FFFFFF" w:themeFill="background1"/>
            <w:noWrap/>
            <w:vAlign w:val="bottom"/>
            <w:hideMark/>
          </w:tcPr>
          <w:p w14:paraId="642C3D0F" w14:textId="77777777" w:rsidR="00861557" w:rsidRPr="00296D0C" w:rsidRDefault="00861557" w:rsidP="0077247E">
            <w:pPr>
              <w:spacing w:after="0" w:line="240" w:lineRule="auto"/>
              <w:rPr>
                <w:rFonts w:cs="Arial"/>
                <w:color w:val="000000"/>
              </w:rPr>
            </w:pPr>
            <w:r w:rsidRPr="00296D0C">
              <w:rPr>
                <w:rFonts w:cs="Arial"/>
                <w:color w:val="000000"/>
              </w:rPr>
              <w:t> </w:t>
            </w:r>
          </w:p>
        </w:tc>
        <w:tc>
          <w:tcPr>
            <w:tcW w:w="531" w:type="pct"/>
            <w:tcBorders>
              <w:top w:val="single" w:sz="8" w:space="0" w:color="auto"/>
              <w:left w:val="nil"/>
              <w:bottom w:val="nil"/>
              <w:right w:val="single" w:sz="8" w:space="0" w:color="auto"/>
            </w:tcBorders>
            <w:shd w:val="clear" w:color="000000" w:fill="FFFFFF" w:themeFill="background1"/>
            <w:noWrap/>
            <w:vAlign w:val="bottom"/>
            <w:hideMark/>
          </w:tcPr>
          <w:p w14:paraId="102F55EC" w14:textId="77777777" w:rsidR="00861557" w:rsidRPr="00296D0C" w:rsidRDefault="00861557" w:rsidP="0077247E">
            <w:pPr>
              <w:spacing w:after="0" w:line="240" w:lineRule="auto"/>
              <w:rPr>
                <w:rFonts w:cs="Arial"/>
                <w:color w:val="000000"/>
              </w:rPr>
            </w:pPr>
            <w:r w:rsidRPr="00296D0C">
              <w:rPr>
                <w:rFonts w:cs="Arial"/>
                <w:color w:val="000000"/>
              </w:rPr>
              <w:t> </w:t>
            </w:r>
          </w:p>
        </w:tc>
      </w:tr>
      <w:tr w:rsidR="00861557" w:rsidRPr="00296D0C" w14:paraId="611A7F75" w14:textId="77777777" w:rsidTr="00613FD4">
        <w:trPr>
          <w:trHeight w:val="330"/>
        </w:trPr>
        <w:tc>
          <w:tcPr>
            <w:tcW w:w="1180" w:type="pct"/>
            <w:tcBorders>
              <w:top w:val="nil"/>
              <w:left w:val="single" w:sz="8" w:space="0" w:color="auto"/>
              <w:bottom w:val="nil"/>
              <w:right w:val="single" w:sz="4" w:space="0" w:color="auto"/>
            </w:tcBorders>
            <w:shd w:val="clear" w:color="000000" w:fill="FFFFFF" w:themeFill="background1"/>
            <w:noWrap/>
            <w:vAlign w:val="bottom"/>
            <w:hideMark/>
          </w:tcPr>
          <w:p w14:paraId="32269A55" w14:textId="77777777" w:rsidR="00861557" w:rsidRPr="00296D0C" w:rsidRDefault="00861557" w:rsidP="0077247E">
            <w:pPr>
              <w:spacing w:after="0" w:line="240" w:lineRule="auto"/>
              <w:rPr>
                <w:rFonts w:cs="Arial"/>
                <w:color w:val="000000"/>
              </w:rPr>
            </w:pPr>
            <w:r w:rsidRPr="00296D0C">
              <w:rPr>
                <w:rFonts w:cs="Arial"/>
                <w:color w:val="000000"/>
              </w:rPr>
              <w:t>Class-level activities</w:t>
            </w:r>
          </w:p>
        </w:tc>
        <w:tc>
          <w:tcPr>
            <w:tcW w:w="838" w:type="pct"/>
            <w:tcBorders>
              <w:top w:val="nil"/>
              <w:left w:val="single" w:sz="4" w:space="0" w:color="auto"/>
              <w:bottom w:val="nil"/>
              <w:right w:val="single" w:sz="4" w:space="0" w:color="auto"/>
            </w:tcBorders>
            <w:shd w:val="clear" w:color="000000" w:fill="FFFFFF" w:themeFill="background1"/>
            <w:noWrap/>
            <w:vAlign w:val="bottom"/>
            <w:hideMark/>
          </w:tcPr>
          <w:p w14:paraId="0DFB6C2D" w14:textId="77777777" w:rsidR="00861557" w:rsidRPr="00296D0C" w:rsidRDefault="00861557" w:rsidP="0077247E">
            <w:pPr>
              <w:spacing w:after="0" w:line="240" w:lineRule="auto"/>
              <w:jc w:val="right"/>
              <w:rPr>
                <w:rFonts w:cs="Arial"/>
                <w:color w:val="000000"/>
              </w:rPr>
            </w:pPr>
            <w:r w:rsidRPr="00296D0C">
              <w:rPr>
                <w:rFonts w:cs="Arial"/>
                <w:color w:val="000000"/>
              </w:rPr>
              <w:t>304.81</w:t>
            </w:r>
          </w:p>
        </w:tc>
        <w:tc>
          <w:tcPr>
            <w:tcW w:w="694" w:type="pct"/>
            <w:tcBorders>
              <w:top w:val="nil"/>
              <w:left w:val="nil"/>
              <w:bottom w:val="nil"/>
              <w:right w:val="single" w:sz="4" w:space="0" w:color="auto"/>
            </w:tcBorders>
            <w:shd w:val="clear" w:color="000000" w:fill="FFFFFF" w:themeFill="background1"/>
            <w:noWrap/>
            <w:vAlign w:val="bottom"/>
            <w:hideMark/>
          </w:tcPr>
          <w:p w14:paraId="0171B4CC" w14:textId="77777777" w:rsidR="00861557" w:rsidRPr="00296D0C" w:rsidRDefault="00861557" w:rsidP="0077247E">
            <w:pPr>
              <w:spacing w:after="0" w:line="240" w:lineRule="auto"/>
              <w:jc w:val="right"/>
              <w:rPr>
                <w:rFonts w:cs="Arial"/>
                <w:color w:val="000000"/>
              </w:rPr>
            </w:pPr>
            <w:r w:rsidRPr="00296D0C">
              <w:rPr>
                <w:rFonts w:cs="Arial"/>
                <w:color w:val="000000"/>
              </w:rPr>
              <w:t>NA</w:t>
            </w:r>
          </w:p>
        </w:tc>
        <w:tc>
          <w:tcPr>
            <w:tcW w:w="936" w:type="pct"/>
            <w:tcBorders>
              <w:top w:val="nil"/>
              <w:left w:val="nil"/>
              <w:bottom w:val="nil"/>
              <w:right w:val="single" w:sz="4" w:space="0" w:color="auto"/>
            </w:tcBorders>
            <w:shd w:val="clear" w:color="000000" w:fill="FFFFFF" w:themeFill="background1"/>
            <w:noWrap/>
            <w:vAlign w:val="bottom"/>
            <w:hideMark/>
          </w:tcPr>
          <w:p w14:paraId="02319D4D" w14:textId="77777777" w:rsidR="00861557" w:rsidRPr="00296D0C" w:rsidRDefault="00861557" w:rsidP="0077247E">
            <w:pPr>
              <w:spacing w:after="0" w:line="240" w:lineRule="auto"/>
              <w:jc w:val="right"/>
              <w:rPr>
                <w:rFonts w:cs="Arial"/>
                <w:color w:val="000000"/>
              </w:rPr>
            </w:pPr>
            <w:r w:rsidRPr="00296D0C">
              <w:rPr>
                <w:rFonts w:cs="Arial"/>
                <w:color w:val="000000"/>
              </w:rPr>
              <w:t>NA</w:t>
            </w:r>
          </w:p>
        </w:tc>
        <w:tc>
          <w:tcPr>
            <w:tcW w:w="821" w:type="pct"/>
            <w:tcBorders>
              <w:top w:val="nil"/>
              <w:left w:val="nil"/>
              <w:bottom w:val="nil"/>
              <w:right w:val="single" w:sz="4" w:space="0" w:color="auto"/>
            </w:tcBorders>
            <w:shd w:val="clear" w:color="auto" w:fill="FFFFFF" w:themeFill="background1"/>
            <w:noWrap/>
            <w:vAlign w:val="bottom"/>
            <w:hideMark/>
          </w:tcPr>
          <w:p w14:paraId="446C4660" w14:textId="77777777" w:rsidR="00861557" w:rsidRPr="00296D0C" w:rsidRDefault="00861557" w:rsidP="0077247E">
            <w:pPr>
              <w:spacing w:after="0" w:line="240" w:lineRule="auto"/>
              <w:jc w:val="right"/>
              <w:rPr>
                <w:rFonts w:cs="Arial"/>
                <w:color w:val="000000"/>
              </w:rPr>
            </w:pPr>
            <w:r w:rsidRPr="00296D0C">
              <w:rPr>
                <w:rFonts w:cs="Arial"/>
                <w:color w:val="000000"/>
              </w:rPr>
              <w:t>309.37</w:t>
            </w:r>
          </w:p>
        </w:tc>
        <w:tc>
          <w:tcPr>
            <w:tcW w:w="531" w:type="pct"/>
            <w:tcBorders>
              <w:top w:val="nil"/>
              <w:left w:val="single" w:sz="4" w:space="0" w:color="auto"/>
              <w:bottom w:val="nil"/>
              <w:right w:val="single" w:sz="8" w:space="0" w:color="auto"/>
            </w:tcBorders>
            <w:shd w:val="clear" w:color="000000" w:fill="FFFFFF" w:themeFill="background1"/>
            <w:noWrap/>
            <w:vAlign w:val="bottom"/>
            <w:hideMark/>
          </w:tcPr>
          <w:p w14:paraId="08D4A715" w14:textId="77777777" w:rsidR="00861557" w:rsidRPr="00296D0C" w:rsidRDefault="00861557" w:rsidP="0077247E">
            <w:pPr>
              <w:spacing w:after="0" w:line="240" w:lineRule="auto"/>
              <w:jc w:val="right"/>
              <w:rPr>
                <w:rFonts w:cs="Arial"/>
                <w:color w:val="000000"/>
              </w:rPr>
            </w:pPr>
            <w:r w:rsidRPr="00296D0C">
              <w:rPr>
                <w:rFonts w:cs="Arial"/>
                <w:color w:val="000000"/>
              </w:rPr>
              <w:t>NA</w:t>
            </w:r>
          </w:p>
        </w:tc>
      </w:tr>
      <w:tr w:rsidR="00861557" w:rsidRPr="00296D0C" w14:paraId="32957764" w14:textId="77777777" w:rsidTr="00613FD4">
        <w:trPr>
          <w:trHeight w:val="330"/>
        </w:trPr>
        <w:tc>
          <w:tcPr>
            <w:tcW w:w="1180" w:type="pct"/>
            <w:tcBorders>
              <w:top w:val="nil"/>
              <w:left w:val="single" w:sz="8" w:space="0" w:color="auto"/>
              <w:bottom w:val="nil"/>
              <w:right w:val="single" w:sz="4" w:space="0" w:color="auto"/>
            </w:tcBorders>
            <w:shd w:val="clear" w:color="000000" w:fill="FFFFFF" w:themeFill="background1"/>
            <w:noWrap/>
            <w:vAlign w:val="bottom"/>
            <w:hideMark/>
          </w:tcPr>
          <w:p w14:paraId="5098997F" w14:textId="77777777" w:rsidR="00861557" w:rsidRPr="00296D0C" w:rsidRDefault="00861557" w:rsidP="0077247E">
            <w:pPr>
              <w:spacing w:after="0" w:line="240" w:lineRule="auto"/>
              <w:rPr>
                <w:rFonts w:cs="Arial"/>
                <w:color w:val="000000"/>
              </w:rPr>
            </w:pPr>
            <w:r w:rsidRPr="00296D0C">
              <w:rPr>
                <w:rFonts w:cs="Arial"/>
                <w:color w:val="000000"/>
              </w:rPr>
              <w:t>School-level activities</w:t>
            </w:r>
          </w:p>
        </w:tc>
        <w:tc>
          <w:tcPr>
            <w:tcW w:w="838" w:type="pct"/>
            <w:tcBorders>
              <w:top w:val="nil"/>
              <w:left w:val="single" w:sz="4" w:space="0" w:color="auto"/>
              <w:bottom w:val="nil"/>
              <w:right w:val="single" w:sz="4" w:space="0" w:color="auto"/>
            </w:tcBorders>
            <w:shd w:val="clear" w:color="000000" w:fill="FFFFFF" w:themeFill="background1"/>
            <w:noWrap/>
            <w:vAlign w:val="bottom"/>
            <w:hideMark/>
          </w:tcPr>
          <w:p w14:paraId="09458FDB" w14:textId="77777777" w:rsidR="00861557" w:rsidRPr="00296D0C" w:rsidRDefault="00861557" w:rsidP="0077247E">
            <w:pPr>
              <w:spacing w:after="0" w:line="240" w:lineRule="auto"/>
              <w:jc w:val="right"/>
              <w:rPr>
                <w:rFonts w:cs="Arial"/>
                <w:color w:val="000000"/>
              </w:rPr>
            </w:pPr>
            <w:r w:rsidRPr="00296D0C">
              <w:rPr>
                <w:rFonts w:cs="Arial"/>
                <w:color w:val="000000"/>
              </w:rPr>
              <w:t>79.56</w:t>
            </w:r>
          </w:p>
        </w:tc>
        <w:tc>
          <w:tcPr>
            <w:tcW w:w="694" w:type="pct"/>
            <w:tcBorders>
              <w:top w:val="nil"/>
              <w:left w:val="nil"/>
              <w:bottom w:val="nil"/>
              <w:right w:val="single" w:sz="4" w:space="0" w:color="auto"/>
            </w:tcBorders>
            <w:shd w:val="clear" w:color="000000" w:fill="FFFFFF" w:themeFill="background1"/>
            <w:noWrap/>
            <w:vAlign w:val="bottom"/>
            <w:hideMark/>
          </w:tcPr>
          <w:p w14:paraId="4CAC7B8E" w14:textId="77777777" w:rsidR="00861557" w:rsidRPr="00296D0C" w:rsidRDefault="00861557" w:rsidP="0077247E">
            <w:pPr>
              <w:spacing w:after="0" w:line="240" w:lineRule="auto"/>
              <w:jc w:val="right"/>
              <w:rPr>
                <w:rFonts w:cs="Arial"/>
                <w:color w:val="000000"/>
              </w:rPr>
            </w:pPr>
            <w:r w:rsidRPr="00296D0C">
              <w:rPr>
                <w:rFonts w:cs="Arial"/>
                <w:color w:val="000000"/>
              </w:rPr>
              <w:t>NA</w:t>
            </w:r>
          </w:p>
        </w:tc>
        <w:tc>
          <w:tcPr>
            <w:tcW w:w="936" w:type="pct"/>
            <w:tcBorders>
              <w:top w:val="nil"/>
              <w:left w:val="nil"/>
              <w:bottom w:val="nil"/>
              <w:right w:val="single" w:sz="4" w:space="0" w:color="auto"/>
            </w:tcBorders>
            <w:shd w:val="clear" w:color="000000" w:fill="FFFFFF" w:themeFill="background1"/>
            <w:noWrap/>
            <w:vAlign w:val="bottom"/>
            <w:hideMark/>
          </w:tcPr>
          <w:p w14:paraId="100CDCDE" w14:textId="77777777" w:rsidR="00861557" w:rsidRPr="00296D0C" w:rsidRDefault="00861557" w:rsidP="0077247E">
            <w:pPr>
              <w:spacing w:after="0" w:line="240" w:lineRule="auto"/>
              <w:jc w:val="right"/>
              <w:rPr>
                <w:rFonts w:cs="Arial"/>
                <w:color w:val="000000"/>
              </w:rPr>
            </w:pPr>
            <w:r w:rsidRPr="00296D0C">
              <w:rPr>
                <w:rFonts w:cs="Arial"/>
                <w:color w:val="000000"/>
              </w:rPr>
              <w:t>NA</w:t>
            </w:r>
          </w:p>
        </w:tc>
        <w:tc>
          <w:tcPr>
            <w:tcW w:w="821" w:type="pct"/>
            <w:tcBorders>
              <w:top w:val="nil"/>
              <w:left w:val="nil"/>
              <w:bottom w:val="nil"/>
              <w:right w:val="single" w:sz="4" w:space="0" w:color="auto"/>
            </w:tcBorders>
            <w:shd w:val="clear" w:color="auto" w:fill="FFFFFF" w:themeFill="background1"/>
            <w:noWrap/>
            <w:vAlign w:val="bottom"/>
            <w:hideMark/>
          </w:tcPr>
          <w:p w14:paraId="5881E1CD" w14:textId="77777777" w:rsidR="00861557" w:rsidRPr="00296D0C" w:rsidRDefault="00861557" w:rsidP="0077247E">
            <w:pPr>
              <w:spacing w:after="0" w:line="240" w:lineRule="auto"/>
              <w:jc w:val="right"/>
              <w:rPr>
                <w:rFonts w:cs="Arial"/>
                <w:color w:val="000000"/>
              </w:rPr>
            </w:pPr>
            <w:r w:rsidRPr="00296D0C">
              <w:rPr>
                <w:rFonts w:cs="Arial"/>
                <w:color w:val="000000"/>
              </w:rPr>
              <w:t>27.73</w:t>
            </w:r>
          </w:p>
        </w:tc>
        <w:tc>
          <w:tcPr>
            <w:tcW w:w="531" w:type="pct"/>
            <w:tcBorders>
              <w:top w:val="nil"/>
              <w:left w:val="single" w:sz="4" w:space="0" w:color="auto"/>
              <w:bottom w:val="nil"/>
              <w:right w:val="single" w:sz="8" w:space="0" w:color="auto"/>
            </w:tcBorders>
            <w:shd w:val="clear" w:color="000000" w:fill="FFFFFF" w:themeFill="background1"/>
            <w:noWrap/>
            <w:vAlign w:val="bottom"/>
            <w:hideMark/>
          </w:tcPr>
          <w:p w14:paraId="09C0554F" w14:textId="77777777" w:rsidR="00861557" w:rsidRPr="00296D0C" w:rsidRDefault="00861557" w:rsidP="0077247E">
            <w:pPr>
              <w:spacing w:after="0" w:line="240" w:lineRule="auto"/>
              <w:jc w:val="right"/>
              <w:rPr>
                <w:rFonts w:cs="Arial"/>
                <w:color w:val="000000"/>
              </w:rPr>
            </w:pPr>
            <w:r w:rsidRPr="00296D0C">
              <w:rPr>
                <w:rFonts w:cs="Arial"/>
                <w:color w:val="000000"/>
              </w:rPr>
              <w:t>NA</w:t>
            </w:r>
          </w:p>
        </w:tc>
      </w:tr>
      <w:tr w:rsidR="00861557" w:rsidRPr="00296D0C" w14:paraId="36120582" w14:textId="77777777" w:rsidTr="00613FD4">
        <w:trPr>
          <w:trHeight w:val="345"/>
        </w:trPr>
        <w:tc>
          <w:tcPr>
            <w:tcW w:w="1180" w:type="pct"/>
            <w:tcBorders>
              <w:top w:val="nil"/>
              <w:left w:val="single" w:sz="8" w:space="0" w:color="auto"/>
              <w:bottom w:val="single" w:sz="8" w:space="0" w:color="auto"/>
              <w:right w:val="single" w:sz="4" w:space="0" w:color="auto"/>
            </w:tcBorders>
            <w:shd w:val="clear" w:color="000000" w:fill="FFFFFF" w:themeFill="background1"/>
            <w:noWrap/>
            <w:vAlign w:val="bottom"/>
            <w:hideMark/>
          </w:tcPr>
          <w:p w14:paraId="2B11F9F1" w14:textId="77777777" w:rsidR="00861557" w:rsidRPr="00296D0C" w:rsidRDefault="00861557" w:rsidP="0077247E">
            <w:pPr>
              <w:spacing w:after="0" w:line="240" w:lineRule="auto"/>
              <w:rPr>
                <w:rFonts w:cs="Arial"/>
                <w:color w:val="000000"/>
              </w:rPr>
            </w:pPr>
            <w:r w:rsidRPr="00296D0C">
              <w:rPr>
                <w:rFonts w:cs="Arial"/>
                <w:color w:val="000000"/>
              </w:rPr>
              <w:t>Total</w:t>
            </w:r>
          </w:p>
        </w:tc>
        <w:tc>
          <w:tcPr>
            <w:tcW w:w="838" w:type="pct"/>
            <w:tcBorders>
              <w:top w:val="nil"/>
              <w:left w:val="single" w:sz="4" w:space="0" w:color="auto"/>
              <w:bottom w:val="single" w:sz="8" w:space="0" w:color="auto"/>
              <w:right w:val="single" w:sz="4" w:space="0" w:color="auto"/>
            </w:tcBorders>
            <w:shd w:val="clear" w:color="000000" w:fill="FFFFFF" w:themeFill="background1"/>
            <w:noWrap/>
            <w:vAlign w:val="bottom"/>
            <w:hideMark/>
          </w:tcPr>
          <w:p w14:paraId="6BAE5862" w14:textId="77777777" w:rsidR="00861557" w:rsidRPr="00296D0C" w:rsidRDefault="00861557" w:rsidP="0077247E">
            <w:pPr>
              <w:spacing w:after="0" w:line="240" w:lineRule="auto"/>
              <w:jc w:val="right"/>
              <w:rPr>
                <w:rFonts w:cs="Arial"/>
                <w:color w:val="000000"/>
              </w:rPr>
            </w:pPr>
            <w:r w:rsidRPr="00296D0C">
              <w:rPr>
                <w:rFonts w:cs="Arial"/>
                <w:color w:val="000000"/>
              </w:rPr>
              <w:t>384.38</w:t>
            </w:r>
          </w:p>
        </w:tc>
        <w:tc>
          <w:tcPr>
            <w:tcW w:w="694" w:type="pct"/>
            <w:tcBorders>
              <w:top w:val="nil"/>
              <w:left w:val="nil"/>
              <w:bottom w:val="single" w:sz="8" w:space="0" w:color="auto"/>
              <w:right w:val="single" w:sz="4" w:space="0" w:color="auto"/>
            </w:tcBorders>
            <w:shd w:val="clear" w:color="000000" w:fill="FFFFFF" w:themeFill="background1"/>
            <w:noWrap/>
            <w:vAlign w:val="bottom"/>
            <w:hideMark/>
          </w:tcPr>
          <w:p w14:paraId="1A818C88" w14:textId="77777777" w:rsidR="00861557" w:rsidRPr="00296D0C" w:rsidRDefault="00861557" w:rsidP="0077247E">
            <w:pPr>
              <w:spacing w:after="0" w:line="240" w:lineRule="auto"/>
              <w:jc w:val="right"/>
              <w:rPr>
                <w:rFonts w:cs="Arial"/>
                <w:color w:val="000000"/>
              </w:rPr>
            </w:pPr>
            <w:r w:rsidRPr="00296D0C">
              <w:rPr>
                <w:rFonts w:cs="Arial"/>
                <w:color w:val="000000"/>
              </w:rPr>
              <w:t>NA</w:t>
            </w:r>
          </w:p>
        </w:tc>
        <w:tc>
          <w:tcPr>
            <w:tcW w:w="936" w:type="pct"/>
            <w:tcBorders>
              <w:top w:val="nil"/>
              <w:left w:val="nil"/>
              <w:bottom w:val="single" w:sz="8" w:space="0" w:color="auto"/>
              <w:right w:val="single" w:sz="4" w:space="0" w:color="auto"/>
            </w:tcBorders>
            <w:shd w:val="clear" w:color="000000" w:fill="FFFFFF" w:themeFill="background1"/>
            <w:noWrap/>
            <w:vAlign w:val="bottom"/>
            <w:hideMark/>
          </w:tcPr>
          <w:p w14:paraId="76F90AA7" w14:textId="77777777" w:rsidR="00861557" w:rsidRPr="00296D0C" w:rsidRDefault="00861557" w:rsidP="0077247E">
            <w:pPr>
              <w:spacing w:after="0" w:line="240" w:lineRule="auto"/>
              <w:jc w:val="right"/>
              <w:rPr>
                <w:rFonts w:cs="Arial"/>
                <w:color w:val="000000"/>
              </w:rPr>
            </w:pPr>
            <w:r w:rsidRPr="00296D0C">
              <w:rPr>
                <w:rFonts w:cs="Arial"/>
                <w:color w:val="000000"/>
              </w:rPr>
              <w:t>NA</w:t>
            </w:r>
          </w:p>
        </w:tc>
        <w:tc>
          <w:tcPr>
            <w:tcW w:w="821" w:type="pct"/>
            <w:tcBorders>
              <w:top w:val="nil"/>
              <w:left w:val="nil"/>
              <w:bottom w:val="single" w:sz="8" w:space="0" w:color="auto"/>
              <w:right w:val="single" w:sz="4" w:space="0" w:color="auto"/>
            </w:tcBorders>
            <w:shd w:val="clear" w:color="auto" w:fill="FFFFFF" w:themeFill="background1"/>
            <w:noWrap/>
            <w:vAlign w:val="bottom"/>
            <w:hideMark/>
          </w:tcPr>
          <w:p w14:paraId="4B1AB349" w14:textId="77777777" w:rsidR="00861557" w:rsidRPr="00296D0C" w:rsidRDefault="00861557" w:rsidP="0077247E">
            <w:pPr>
              <w:spacing w:after="0" w:line="240" w:lineRule="auto"/>
              <w:jc w:val="right"/>
              <w:rPr>
                <w:rFonts w:cs="Arial"/>
                <w:color w:val="000000"/>
              </w:rPr>
            </w:pPr>
            <w:r w:rsidRPr="00296D0C">
              <w:rPr>
                <w:rFonts w:cs="Arial"/>
                <w:color w:val="000000"/>
              </w:rPr>
              <w:t>337.10</w:t>
            </w:r>
          </w:p>
        </w:tc>
        <w:tc>
          <w:tcPr>
            <w:tcW w:w="531" w:type="pct"/>
            <w:tcBorders>
              <w:top w:val="nil"/>
              <w:left w:val="single" w:sz="4" w:space="0" w:color="auto"/>
              <w:bottom w:val="single" w:sz="8" w:space="0" w:color="auto"/>
              <w:right w:val="single" w:sz="8" w:space="0" w:color="auto"/>
            </w:tcBorders>
            <w:shd w:val="clear" w:color="000000" w:fill="FFFFFF" w:themeFill="background1"/>
            <w:noWrap/>
            <w:vAlign w:val="bottom"/>
            <w:hideMark/>
          </w:tcPr>
          <w:p w14:paraId="5A5CD2DB" w14:textId="77777777" w:rsidR="00861557" w:rsidRPr="00296D0C" w:rsidRDefault="00861557" w:rsidP="0077247E">
            <w:pPr>
              <w:spacing w:after="0" w:line="240" w:lineRule="auto"/>
              <w:jc w:val="right"/>
              <w:rPr>
                <w:rFonts w:cs="Arial"/>
                <w:color w:val="000000"/>
              </w:rPr>
            </w:pPr>
            <w:r w:rsidRPr="00296D0C">
              <w:rPr>
                <w:rFonts w:cs="Arial"/>
                <w:color w:val="000000"/>
              </w:rPr>
              <w:t>NA</w:t>
            </w:r>
          </w:p>
        </w:tc>
      </w:tr>
      <w:tr w:rsidR="00861557" w:rsidRPr="00296D0C" w14:paraId="6750E31C" w14:textId="77777777" w:rsidTr="00613FD4">
        <w:trPr>
          <w:trHeight w:val="345"/>
        </w:trPr>
        <w:tc>
          <w:tcPr>
            <w:tcW w:w="1180"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C6A1FEB" w14:textId="545A3D8D" w:rsidR="00861557" w:rsidRPr="00296D0C" w:rsidRDefault="00861557" w:rsidP="0077247E">
            <w:pPr>
              <w:spacing w:before="40" w:after="0" w:line="240" w:lineRule="auto"/>
              <w:rPr>
                <w:rFonts w:cs="Arial"/>
                <w:bCs/>
                <w:color w:val="000000"/>
                <w:spacing w:val="-6"/>
              </w:rPr>
            </w:pPr>
            <w:r w:rsidRPr="00296D0C">
              <w:rPr>
                <w:rFonts w:cs="Arial"/>
                <w:bCs/>
                <w:color w:val="000000"/>
                <w:spacing w:val="-6"/>
              </w:rPr>
              <w:t>Total time (incl</w:t>
            </w:r>
            <w:r w:rsidR="00753C4E" w:rsidRPr="00296D0C">
              <w:rPr>
                <w:rFonts w:cs="Arial"/>
                <w:bCs/>
                <w:color w:val="000000"/>
                <w:spacing w:val="-6"/>
              </w:rPr>
              <w:t>uding</w:t>
            </w:r>
            <w:r w:rsidRPr="00296D0C">
              <w:rPr>
                <w:rFonts w:cs="Arial"/>
                <w:bCs/>
                <w:color w:val="000000"/>
                <w:spacing w:val="-6"/>
              </w:rPr>
              <w:t xml:space="preserve"> travel)</w:t>
            </w:r>
          </w:p>
        </w:tc>
        <w:tc>
          <w:tcPr>
            <w:tcW w:w="838" w:type="pct"/>
            <w:tcBorders>
              <w:top w:val="nil"/>
              <w:left w:val="nil"/>
              <w:bottom w:val="single" w:sz="8" w:space="0" w:color="auto"/>
              <w:right w:val="single" w:sz="4" w:space="0" w:color="auto"/>
            </w:tcBorders>
            <w:shd w:val="clear" w:color="auto" w:fill="auto"/>
            <w:noWrap/>
            <w:vAlign w:val="bottom"/>
            <w:hideMark/>
          </w:tcPr>
          <w:p w14:paraId="3E577674" w14:textId="77777777" w:rsidR="00861557" w:rsidRPr="00296D0C" w:rsidRDefault="00861557" w:rsidP="0077247E">
            <w:pPr>
              <w:spacing w:after="0" w:line="240" w:lineRule="auto"/>
              <w:jc w:val="right"/>
              <w:rPr>
                <w:rFonts w:cs="Arial"/>
                <w:color w:val="000000"/>
              </w:rPr>
            </w:pPr>
            <w:r w:rsidRPr="00296D0C">
              <w:rPr>
                <w:rFonts w:cs="Arial"/>
                <w:color w:val="000000"/>
              </w:rPr>
              <w:t>1298.83</w:t>
            </w:r>
          </w:p>
        </w:tc>
        <w:tc>
          <w:tcPr>
            <w:tcW w:w="694" w:type="pct"/>
            <w:tcBorders>
              <w:top w:val="nil"/>
              <w:left w:val="nil"/>
              <w:bottom w:val="single" w:sz="8" w:space="0" w:color="auto"/>
              <w:right w:val="single" w:sz="4" w:space="0" w:color="auto"/>
            </w:tcBorders>
            <w:shd w:val="clear" w:color="auto" w:fill="auto"/>
            <w:noWrap/>
            <w:vAlign w:val="bottom"/>
            <w:hideMark/>
          </w:tcPr>
          <w:p w14:paraId="3C681230" w14:textId="77777777" w:rsidR="00861557" w:rsidRPr="00296D0C" w:rsidRDefault="00861557" w:rsidP="0077247E">
            <w:pPr>
              <w:spacing w:after="0" w:line="240" w:lineRule="auto"/>
              <w:jc w:val="right"/>
              <w:rPr>
                <w:rFonts w:cs="Arial"/>
                <w:color w:val="000000"/>
              </w:rPr>
            </w:pPr>
            <w:r w:rsidRPr="00296D0C">
              <w:rPr>
                <w:rFonts w:cs="Arial"/>
                <w:color w:val="000000"/>
              </w:rPr>
              <w:t>408.24</w:t>
            </w:r>
          </w:p>
        </w:tc>
        <w:tc>
          <w:tcPr>
            <w:tcW w:w="936" w:type="pct"/>
            <w:tcBorders>
              <w:top w:val="nil"/>
              <w:left w:val="nil"/>
              <w:bottom w:val="single" w:sz="8" w:space="0" w:color="auto"/>
              <w:right w:val="single" w:sz="4" w:space="0" w:color="auto"/>
            </w:tcBorders>
            <w:shd w:val="clear" w:color="auto" w:fill="auto"/>
            <w:noWrap/>
            <w:vAlign w:val="bottom"/>
            <w:hideMark/>
          </w:tcPr>
          <w:p w14:paraId="7F8E914D" w14:textId="77777777" w:rsidR="00861557" w:rsidRPr="00296D0C" w:rsidRDefault="00861557" w:rsidP="0077247E">
            <w:pPr>
              <w:spacing w:after="0" w:line="240" w:lineRule="auto"/>
              <w:jc w:val="right"/>
              <w:rPr>
                <w:rFonts w:cs="Arial"/>
                <w:color w:val="000000"/>
              </w:rPr>
            </w:pPr>
            <w:r w:rsidRPr="00296D0C">
              <w:rPr>
                <w:rFonts w:cs="Arial"/>
                <w:color w:val="000000"/>
              </w:rPr>
              <w:t>NA</w:t>
            </w:r>
          </w:p>
        </w:tc>
        <w:tc>
          <w:tcPr>
            <w:tcW w:w="821" w:type="pct"/>
            <w:tcBorders>
              <w:top w:val="nil"/>
              <w:left w:val="nil"/>
              <w:bottom w:val="single" w:sz="8" w:space="0" w:color="auto"/>
              <w:right w:val="single" w:sz="4" w:space="0" w:color="auto"/>
            </w:tcBorders>
            <w:shd w:val="clear" w:color="auto" w:fill="FFFFFF" w:themeFill="background1"/>
            <w:noWrap/>
            <w:vAlign w:val="bottom"/>
            <w:hideMark/>
          </w:tcPr>
          <w:p w14:paraId="1B693D52" w14:textId="77777777" w:rsidR="00861557" w:rsidRPr="00296D0C" w:rsidRDefault="00861557" w:rsidP="0077247E">
            <w:pPr>
              <w:spacing w:after="0" w:line="240" w:lineRule="auto"/>
              <w:jc w:val="right"/>
              <w:rPr>
                <w:rFonts w:cs="Arial"/>
                <w:color w:val="000000"/>
              </w:rPr>
            </w:pPr>
            <w:r w:rsidRPr="00296D0C">
              <w:rPr>
                <w:rFonts w:cs="Arial"/>
                <w:color w:val="000000"/>
              </w:rPr>
              <w:t>924.07</w:t>
            </w:r>
          </w:p>
        </w:tc>
        <w:tc>
          <w:tcPr>
            <w:tcW w:w="531" w:type="pct"/>
            <w:tcBorders>
              <w:top w:val="single" w:sz="8" w:space="0" w:color="auto"/>
              <w:left w:val="nil"/>
              <w:bottom w:val="single" w:sz="8" w:space="0" w:color="auto"/>
              <w:right w:val="single" w:sz="8" w:space="0" w:color="auto"/>
            </w:tcBorders>
            <w:shd w:val="clear" w:color="000000" w:fill="FFFFFF" w:themeFill="background1"/>
            <w:noWrap/>
            <w:vAlign w:val="bottom"/>
            <w:hideMark/>
          </w:tcPr>
          <w:p w14:paraId="2F62407E" w14:textId="77777777" w:rsidR="00861557" w:rsidRPr="00296D0C" w:rsidRDefault="00861557" w:rsidP="0077247E">
            <w:pPr>
              <w:spacing w:after="0" w:line="240" w:lineRule="auto"/>
              <w:jc w:val="right"/>
              <w:rPr>
                <w:rFonts w:cs="Arial"/>
                <w:color w:val="000000"/>
              </w:rPr>
            </w:pPr>
            <w:r w:rsidRPr="00296D0C">
              <w:rPr>
                <w:rFonts w:cs="Arial"/>
                <w:color w:val="000000"/>
              </w:rPr>
              <w:t>NA</w:t>
            </w:r>
          </w:p>
        </w:tc>
      </w:tr>
      <w:tr w:rsidR="00861557" w:rsidRPr="00296D0C" w14:paraId="63B4626E" w14:textId="77777777" w:rsidTr="00613FD4">
        <w:trPr>
          <w:trHeight w:val="345"/>
        </w:trPr>
        <w:tc>
          <w:tcPr>
            <w:tcW w:w="1180"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5259200" w14:textId="24F81BBF" w:rsidR="00861557" w:rsidRPr="00296D0C" w:rsidRDefault="00861557" w:rsidP="0077247E">
            <w:pPr>
              <w:spacing w:before="40" w:after="0" w:line="240" w:lineRule="auto"/>
              <w:rPr>
                <w:rFonts w:cs="Arial"/>
                <w:bCs/>
                <w:color w:val="000000"/>
                <w:spacing w:val="-6"/>
              </w:rPr>
            </w:pPr>
            <w:r w:rsidRPr="00296D0C">
              <w:rPr>
                <w:rFonts w:cs="Arial"/>
                <w:bCs/>
                <w:color w:val="000000"/>
                <w:spacing w:val="-6"/>
              </w:rPr>
              <w:t>Total time (excl</w:t>
            </w:r>
            <w:r w:rsidR="00753C4E" w:rsidRPr="00296D0C">
              <w:rPr>
                <w:rFonts w:cs="Arial"/>
                <w:bCs/>
                <w:color w:val="000000"/>
                <w:spacing w:val="-6"/>
              </w:rPr>
              <w:t>uding</w:t>
            </w:r>
            <w:r w:rsidRPr="00296D0C">
              <w:rPr>
                <w:rFonts w:cs="Arial"/>
                <w:bCs/>
                <w:color w:val="000000"/>
                <w:spacing w:val="-6"/>
              </w:rPr>
              <w:t xml:space="preserve"> travel)</w:t>
            </w:r>
          </w:p>
        </w:tc>
        <w:tc>
          <w:tcPr>
            <w:tcW w:w="838" w:type="pct"/>
            <w:tcBorders>
              <w:top w:val="nil"/>
              <w:left w:val="nil"/>
              <w:bottom w:val="single" w:sz="8" w:space="0" w:color="auto"/>
              <w:right w:val="single" w:sz="4" w:space="0" w:color="auto"/>
            </w:tcBorders>
            <w:shd w:val="clear" w:color="auto" w:fill="auto"/>
            <w:noWrap/>
            <w:vAlign w:val="bottom"/>
            <w:hideMark/>
          </w:tcPr>
          <w:p w14:paraId="2D5EC1E6" w14:textId="77777777" w:rsidR="00861557" w:rsidRPr="00296D0C" w:rsidRDefault="00861557" w:rsidP="0077247E">
            <w:pPr>
              <w:spacing w:after="0" w:line="240" w:lineRule="auto"/>
              <w:jc w:val="right"/>
              <w:rPr>
                <w:rFonts w:cs="Arial"/>
                <w:color w:val="000000"/>
              </w:rPr>
            </w:pPr>
            <w:r w:rsidRPr="00296D0C">
              <w:rPr>
                <w:rFonts w:cs="Arial"/>
                <w:color w:val="000000"/>
              </w:rPr>
              <w:t>914.46</w:t>
            </w:r>
          </w:p>
        </w:tc>
        <w:tc>
          <w:tcPr>
            <w:tcW w:w="694" w:type="pct"/>
            <w:tcBorders>
              <w:top w:val="nil"/>
              <w:left w:val="nil"/>
              <w:bottom w:val="single" w:sz="8" w:space="0" w:color="auto"/>
              <w:right w:val="single" w:sz="4" w:space="0" w:color="auto"/>
            </w:tcBorders>
            <w:shd w:val="clear" w:color="auto" w:fill="auto"/>
            <w:noWrap/>
            <w:vAlign w:val="bottom"/>
            <w:hideMark/>
          </w:tcPr>
          <w:p w14:paraId="27415B5D" w14:textId="77777777" w:rsidR="00861557" w:rsidRPr="00296D0C" w:rsidRDefault="00861557" w:rsidP="0077247E">
            <w:pPr>
              <w:spacing w:after="0" w:line="240" w:lineRule="auto"/>
              <w:jc w:val="right"/>
              <w:rPr>
                <w:rFonts w:cs="Arial"/>
                <w:color w:val="000000"/>
              </w:rPr>
            </w:pPr>
            <w:r w:rsidRPr="00296D0C">
              <w:rPr>
                <w:rFonts w:cs="Arial"/>
                <w:color w:val="000000"/>
              </w:rPr>
              <w:t>408.24</w:t>
            </w:r>
          </w:p>
        </w:tc>
        <w:tc>
          <w:tcPr>
            <w:tcW w:w="936" w:type="pct"/>
            <w:tcBorders>
              <w:top w:val="nil"/>
              <w:left w:val="nil"/>
              <w:bottom w:val="single" w:sz="8" w:space="0" w:color="auto"/>
              <w:right w:val="single" w:sz="4" w:space="0" w:color="auto"/>
            </w:tcBorders>
            <w:shd w:val="clear" w:color="auto" w:fill="auto"/>
            <w:noWrap/>
            <w:vAlign w:val="bottom"/>
            <w:hideMark/>
          </w:tcPr>
          <w:p w14:paraId="115ACB37" w14:textId="77777777" w:rsidR="00861557" w:rsidRPr="00296D0C" w:rsidRDefault="00861557" w:rsidP="0077247E">
            <w:pPr>
              <w:spacing w:after="0" w:line="240" w:lineRule="auto"/>
              <w:jc w:val="right"/>
              <w:rPr>
                <w:rFonts w:cs="Arial"/>
                <w:color w:val="000000"/>
              </w:rPr>
            </w:pPr>
            <w:r w:rsidRPr="00296D0C">
              <w:rPr>
                <w:rFonts w:cs="Arial"/>
                <w:color w:val="000000"/>
              </w:rPr>
              <w:t>187.70</w:t>
            </w:r>
          </w:p>
        </w:tc>
        <w:tc>
          <w:tcPr>
            <w:tcW w:w="821" w:type="pct"/>
            <w:tcBorders>
              <w:top w:val="nil"/>
              <w:left w:val="nil"/>
              <w:bottom w:val="single" w:sz="8" w:space="0" w:color="auto"/>
              <w:right w:val="single" w:sz="4" w:space="0" w:color="auto"/>
            </w:tcBorders>
            <w:shd w:val="clear" w:color="auto" w:fill="FFFFFF" w:themeFill="background1"/>
            <w:noWrap/>
            <w:vAlign w:val="bottom"/>
            <w:hideMark/>
          </w:tcPr>
          <w:p w14:paraId="6332BAF2" w14:textId="77777777" w:rsidR="00861557" w:rsidRPr="00296D0C" w:rsidRDefault="00861557" w:rsidP="0077247E">
            <w:pPr>
              <w:spacing w:after="0" w:line="240" w:lineRule="auto"/>
              <w:jc w:val="right"/>
              <w:rPr>
                <w:rFonts w:cs="Arial"/>
                <w:color w:val="000000"/>
              </w:rPr>
            </w:pPr>
            <w:r w:rsidRPr="00296D0C">
              <w:rPr>
                <w:rFonts w:cs="Arial"/>
                <w:color w:val="000000"/>
              </w:rPr>
              <w:t>586.97</w:t>
            </w:r>
          </w:p>
        </w:tc>
        <w:tc>
          <w:tcPr>
            <w:tcW w:w="531" w:type="pct"/>
            <w:tcBorders>
              <w:top w:val="single" w:sz="8" w:space="0" w:color="auto"/>
              <w:left w:val="nil"/>
              <w:bottom w:val="single" w:sz="8" w:space="0" w:color="auto"/>
              <w:right w:val="single" w:sz="8" w:space="0" w:color="auto"/>
            </w:tcBorders>
            <w:shd w:val="clear" w:color="000000" w:fill="FFFFFF" w:themeFill="background1"/>
            <w:noWrap/>
            <w:vAlign w:val="bottom"/>
            <w:hideMark/>
          </w:tcPr>
          <w:p w14:paraId="2C3AB812" w14:textId="77777777" w:rsidR="00861557" w:rsidRPr="00296D0C" w:rsidRDefault="00861557" w:rsidP="0077247E">
            <w:pPr>
              <w:spacing w:after="0" w:line="240" w:lineRule="auto"/>
              <w:jc w:val="right"/>
              <w:rPr>
                <w:rFonts w:cs="Arial"/>
                <w:color w:val="FFFFFF" w:themeColor="background1"/>
              </w:rPr>
            </w:pPr>
            <w:r w:rsidRPr="00296D0C">
              <w:rPr>
                <w:rFonts w:cs="Arial"/>
                <w:color w:val="000000"/>
              </w:rPr>
              <w:t>1877.99</w:t>
            </w:r>
          </w:p>
        </w:tc>
      </w:tr>
    </w:tbl>
    <w:p w14:paraId="1A30F246" w14:textId="5C3B719C" w:rsidR="00861557" w:rsidRPr="00FD7E39" w:rsidRDefault="00861557" w:rsidP="00861557">
      <w:pPr>
        <w:spacing w:after="100" w:line="240" w:lineRule="auto"/>
        <w:ind w:left="284" w:hanging="284"/>
        <w:rPr>
          <w:sz w:val="18"/>
          <w:szCs w:val="18"/>
        </w:rPr>
      </w:pPr>
      <w:r w:rsidRPr="00FD7E39">
        <w:rPr>
          <w:sz w:val="18"/>
          <w:szCs w:val="18"/>
        </w:rPr>
        <w:t>Key: HeLP = Healthy Lifestyles Programme; hr(s) = hour(s); NA = not applicable</w:t>
      </w:r>
    </w:p>
    <w:p w14:paraId="66479815" w14:textId="7A389674" w:rsidR="00F13A24" w:rsidRPr="00FD7E39" w:rsidRDefault="00861557" w:rsidP="00F13A24">
      <w:pPr>
        <w:spacing w:line="240" w:lineRule="auto"/>
        <w:ind w:left="284" w:hanging="284"/>
        <w:rPr>
          <w:sz w:val="18"/>
          <w:szCs w:val="18"/>
        </w:rPr>
        <w:sectPr w:rsidR="00F13A24" w:rsidRPr="00FD7E39" w:rsidSect="005A1444">
          <w:footerReference w:type="default" r:id="rId17"/>
          <w:pgSz w:w="11906" w:h="16838"/>
          <w:pgMar w:top="1440" w:right="1440" w:bottom="1440" w:left="1440" w:header="720" w:footer="720" w:gutter="0"/>
          <w:lnNumType w:countBy="1"/>
          <w:cols w:space="720"/>
          <w:docGrid w:linePitch="360"/>
        </w:sectPr>
      </w:pPr>
      <w:r w:rsidRPr="00FD7E39">
        <w:rPr>
          <w:sz w:val="18"/>
          <w:szCs w:val="18"/>
        </w:rPr>
        <w:t>Notes: (1) No distinction has been made between contact and non-contact time in costing the intervention; (2) Although travel time was recorded in the trial, no travel time has been included in the costing for Actors. Instead, daily travel expenses have been applied; (3) Activity Coordinator time assumes two members of staff; (4) Actor time assumes (based on data collected) four Actors in each of the five workshops in Phase 2 and three Actors for the remaining three drama activities</w:t>
      </w:r>
      <w:r w:rsidR="00F13A24" w:rsidRPr="00FD7E39">
        <w:rPr>
          <w:sz w:val="16"/>
          <w:szCs w:val="16"/>
        </w:rPr>
        <w:br w:type="page"/>
      </w:r>
    </w:p>
    <w:p w14:paraId="53A818B9" w14:textId="77777777" w:rsidR="00EC3D0A" w:rsidRPr="00296D0C" w:rsidRDefault="00EC3D0A" w:rsidP="00861557">
      <w:pPr>
        <w:rPr>
          <w:rFonts w:cs="Arial"/>
        </w:rPr>
      </w:pPr>
    </w:p>
    <w:p w14:paraId="259F533D" w14:textId="0EC98737" w:rsidR="00861557" w:rsidRPr="00296D0C" w:rsidRDefault="00861557" w:rsidP="00861557">
      <w:pPr>
        <w:pStyle w:val="Caption"/>
        <w:rPr>
          <w:rFonts w:cs="Arial"/>
          <w:b/>
          <w:i w:val="0"/>
          <w:color w:val="auto"/>
          <w:sz w:val="22"/>
          <w:szCs w:val="22"/>
        </w:rPr>
      </w:pPr>
      <w:bookmarkStart w:id="476" w:name="_Ref436227849"/>
      <w:r w:rsidRPr="00296D0C">
        <w:rPr>
          <w:rFonts w:cs="Arial"/>
          <w:b/>
          <w:i w:val="0"/>
          <w:color w:val="auto"/>
          <w:sz w:val="22"/>
          <w:szCs w:val="22"/>
        </w:rPr>
        <w:t>T</w:t>
      </w:r>
      <w:r w:rsidR="002B26EC" w:rsidRPr="00296D0C">
        <w:rPr>
          <w:rFonts w:cs="Arial"/>
          <w:b/>
          <w:i w:val="0"/>
          <w:color w:val="auto"/>
          <w:sz w:val="22"/>
          <w:szCs w:val="22"/>
        </w:rPr>
        <w:t>ABLE</w:t>
      </w:r>
      <w:r w:rsidRPr="00296D0C">
        <w:rPr>
          <w:rFonts w:cs="Arial"/>
          <w:b/>
          <w:i w:val="0"/>
          <w:color w:val="auto"/>
          <w:sz w:val="22"/>
          <w:szCs w:val="22"/>
        </w:rPr>
        <w:t xml:space="preserve"> </w:t>
      </w:r>
      <w:bookmarkEnd w:id="476"/>
      <w:r w:rsidR="00472BD5">
        <w:rPr>
          <w:rFonts w:cs="Arial"/>
          <w:b/>
          <w:i w:val="0"/>
          <w:color w:val="auto"/>
          <w:sz w:val="22"/>
          <w:szCs w:val="22"/>
        </w:rPr>
        <w:t>20</w:t>
      </w:r>
      <w:r w:rsidRPr="00296D0C">
        <w:rPr>
          <w:rFonts w:cs="Arial"/>
          <w:b/>
          <w:i w:val="0"/>
          <w:color w:val="auto"/>
          <w:sz w:val="22"/>
          <w:szCs w:val="22"/>
        </w:rPr>
        <w:t xml:space="preserve"> Resource use by school-class configuration: resource use by staff type by type of contact</w:t>
      </w:r>
      <w:r w:rsidR="00A6162D" w:rsidRPr="00296D0C">
        <w:rPr>
          <w:rFonts w:cs="Arial"/>
          <w:b/>
          <w:i w:val="0"/>
          <w:color w:val="auto"/>
          <w:sz w:val="22"/>
          <w:szCs w:val="22"/>
        </w:rPr>
        <w:t xml:space="preserve"> (preparation, task and travel)</w:t>
      </w:r>
    </w:p>
    <w:tbl>
      <w:tblPr>
        <w:tblW w:w="5000" w:type="pct"/>
        <w:tblLayout w:type="fixed"/>
        <w:tblLook w:val="04A0" w:firstRow="1" w:lastRow="0" w:firstColumn="1" w:lastColumn="0" w:noHBand="0" w:noVBand="1"/>
      </w:tblPr>
      <w:tblGrid>
        <w:gridCol w:w="2360"/>
        <w:gridCol w:w="774"/>
        <w:gridCol w:w="774"/>
        <w:gridCol w:w="774"/>
        <w:gridCol w:w="773"/>
        <w:gridCol w:w="773"/>
        <w:gridCol w:w="773"/>
        <w:gridCol w:w="773"/>
        <w:gridCol w:w="773"/>
        <w:gridCol w:w="773"/>
        <w:gridCol w:w="773"/>
        <w:gridCol w:w="773"/>
        <w:gridCol w:w="773"/>
        <w:gridCol w:w="773"/>
        <w:gridCol w:w="773"/>
        <w:gridCol w:w="773"/>
      </w:tblGrid>
      <w:tr w:rsidR="00861557" w:rsidRPr="00296D0C" w14:paraId="27C21A50" w14:textId="77777777" w:rsidTr="0077247E">
        <w:trPr>
          <w:trHeight w:val="345"/>
        </w:trPr>
        <w:tc>
          <w:tcPr>
            <w:tcW w:w="845" w:type="pct"/>
            <w:tcBorders>
              <w:top w:val="single" w:sz="8" w:space="0" w:color="auto"/>
              <w:bottom w:val="nil"/>
              <w:right w:val="single" w:sz="4" w:space="0" w:color="auto"/>
            </w:tcBorders>
            <w:shd w:val="clear" w:color="auto" w:fill="auto"/>
            <w:noWrap/>
            <w:vAlign w:val="bottom"/>
            <w:hideMark/>
          </w:tcPr>
          <w:p w14:paraId="6C4921B3" w14:textId="77777777" w:rsidR="00861557" w:rsidRPr="00296D0C" w:rsidRDefault="00861557" w:rsidP="0077247E">
            <w:pPr>
              <w:spacing w:before="40" w:after="0" w:line="240" w:lineRule="auto"/>
              <w:rPr>
                <w:rFonts w:cs="Arial"/>
                <w:color w:val="000000"/>
              </w:rPr>
            </w:pPr>
            <w:r w:rsidRPr="00296D0C">
              <w:rPr>
                <w:rFonts w:cs="Arial"/>
                <w:color w:val="000000"/>
              </w:rPr>
              <w:t> </w:t>
            </w:r>
          </w:p>
        </w:tc>
        <w:tc>
          <w:tcPr>
            <w:tcW w:w="831" w:type="pct"/>
            <w:gridSpan w:val="3"/>
            <w:tcBorders>
              <w:top w:val="single" w:sz="8" w:space="0" w:color="auto"/>
              <w:left w:val="nil"/>
              <w:bottom w:val="single" w:sz="8" w:space="0" w:color="auto"/>
              <w:right w:val="single" w:sz="4" w:space="0" w:color="auto"/>
            </w:tcBorders>
            <w:shd w:val="clear" w:color="auto" w:fill="auto"/>
            <w:noWrap/>
            <w:hideMark/>
          </w:tcPr>
          <w:p w14:paraId="4C9EC85D" w14:textId="77777777" w:rsidR="00861557" w:rsidRPr="00296D0C" w:rsidRDefault="00861557" w:rsidP="0077247E">
            <w:pPr>
              <w:spacing w:before="40" w:after="0" w:line="240" w:lineRule="auto"/>
              <w:jc w:val="center"/>
              <w:rPr>
                <w:rFonts w:cs="Arial"/>
                <w:bCs/>
                <w:color w:val="000000"/>
              </w:rPr>
            </w:pPr>
            <w:r w:rsidRPr="00296D0C">
              <w:rPr>
                <w:rFonts w:cs="Arial"/>
                <w:bCs/>
                <w:color w:val="000000"/>
              </w:rPr>
              <w:t>HeLP Coordinator</w:t>
            </w:r>
          </w:p>
          <w:p w14:paraId="027966D7" w14:textId="77777777" w:rsidR="00861557" w:rsidRPr="00296D0C" w:rsidRDefault="00861557" w:rsidP="0077247E">
            <w:pPr>
              <w:spacing w:before="40" w:after="0" w:line="240" w:lineRule="auto"/>
              <w:jc w:val="center"/>
              <w:rPr>
                <w:rFonts w:cs="Arial"/>
                <w:bCs/>
                <w:color w:val="000000"/>
              </w:rPr>
            </w:pPr>
            <w:r w:rsidRPr="00296D0C">
              <w:rPr>
                <w:rFonts w:cs="Arial"/>
                <w:bCs/>
                <w:color w:val="000000"/>
              </w:rPr>
              <w:t>(hours)</w:t>
            </w:r>
          </w:p>
        </w:tc>
        <w:tc>
          <w:tcPr>
            <w:tcW w:w="831" w:type="pct"/>
            <w:gridSpan w:val="3"/>
            <w:tcBorders>
              <w:top w:val="single" w:sz="8" w:space="0" w:color="auto"/>
              <w:left w:val="nil"/>
              <w:bottom w:val="single" w:sz="8" w:space="0" w:color="auto"/>
              <w:right w:val="single" w:sz="4" w:space="0" w:color="auto"/>
            </w:tcBorders>
            <w:shd w:val="clear" w:color="auto" w:fill="auto"/>
            <w:noWrap/>
            <w:hideMark/>
          </w:tcPr>
          <w:p w14:paraId="066AEB6C" w14:textId="77777777" w:rsidR="00861557" w:rsidRPr="00296D0C" w:rsidRDefault="00861557" w:rsidP="0077247E">
            <w:pPr>
              <w:spacing w:before="40" w:after="0" w:line="240" w:lineRule="auto"/>
              <w:jc w:val="center"/>
              <w:rPr>
                <w:rFonts w:cs="Arial"/>
                <w:bCs/>
                <w:color w:val="000000"/>
              </w:rPr>
            </w:pPr>
            <w:r w:rsidRPr="00296D0C">
              <w:rPr>
                <w:rFonts w:cs="Arial"/>
                <w:bCs/>
                <w:color w:val="000000"/>
              </w:rPr>
              <w:t>Teaching Staff</w:t>
            </w:r>
          </w:p>
          <w:p w14:paraId="4ED6533F" w14:textId="77777777" w:rsidR="00861557" w:rsidRPr="00296D0C" w:rsidRDefault="00861557" w:rsidP="0077247E">
            <w:pPr>
              <w:spacing w:before="40" w:after="0" w:line="240" w:lineRule="auto"/>
              <w:jc w:val="center"/>
              <w:rPr>
                <w:rFonts w:cs="Arial"/>
                <w:bCs/>
                <w:color w:val="000000"/>
              </w:rPr>
            </w:pPr>
            <w:r w:rsidRPr="00296D0C">
              <w:rPr>
                <w:rFonts w:cs="Arial"/>
                <w:bCs/>
                <w:color w:val="000000"/>
              </w:rPr>
              <w:t>(hours)</w:t>
            </w:r>
          </w:p>
        </w:tc>
        <w:tc>
          <w:tcPr>
            <w:tcW w:w="831" w:type="pct"/>
            <w:gridSpan w:val="3"/>
            <w:tcBorders>
              <w:top w:val="single" w:sz="8" w:space="0" w:color="auto"/>
              <w:left w:val="nil"/>
              <w:bottom w:val="single" w:sz="8" w:space="0" w:color="auto"/>
              <w:right w:val="single" w:sz="4" w:space="0" w:color="auto"/>
            </w:tcBorders>
            <w:shd w:val="clear" w:color="auto" w:fill="auto"/>
            <w:noWrap/>
            <w:hideMark/>
          </w:tcPr>
          <w:p w14:paraId="0F446D86" w14:textId="77777777" w:rsidR="00861557" w:rsidRPr="00296D0C" w:rsidRDefault="00861557" w:rsidP="0077247E">
            <w:pPr>
              <w:spacing w:before="40" w:after="0" w:line="240" w:lineRule="auto"/>
              <w:jc w:val="center"/>
              <w:rPr>
                <w:rFonts w:cs="Arial"/>
                <w:bCs/>
                <w:color w:val="000000"/>
              </w:rPr>
            </w:pPr>
            <w:r w:rsidRPr="00296D0C">
              <w:rPr>
                <w:rFonts w:cs="Arial"/>
                <w:bCs/>
                <w:color w:val="000000"/>
              </w:rPr>
              <w:t>Activity Coordinator</w:t>
            </w:r>
          </w:p>
          <w:p w14:paraId="4F2A6979" w14:textId="77777777" w:rsidR="00861557" w:rsidRPr="00296D0C" w:rsidRDefault="00861557" w:rsidP="0077247E">
            <w:pPr>
              <w:spacing w:before="40" w:after="0" w:line="240" w:lineRule="auto"/>
              <w:jc w:val="center"/>
              <w:rPr>
                <w:rFonts w:cs="Arial"/>
                <w:bCs/>
                <w:color w:val="000000"/>
              </w:rPr>
            </w:pPr>
            <w:r w:rsidRPr="00296D0C">
              <w:rPr>
                <w:rFonts w:cs="Arial"/>
                <w:bCs/>
                <w:color w:val="000000"/>
              </w:rPr>
              <w:t>(hours)</w:t>
            </w:r>
          </w:p>
        </w:tc>
        <w:tc>
          <w:tcPr>
            <w:tcW w:w="831" w:type="pct"/>
            <w:gridSpan w:val="3"/>
            <w:tcBorders>
              <w:top w:val="single" w:sz="8" w:space="0" w:color="auto"/>
              <w:left w:val="nil"/>
              <w:bottom w:val="single" w:sz="8" w:space="0" w:color="auto"/>
              <w:right w:val="single" w:sz="4" w:space="0" w:color="auto"/>
            </w:tcBorders>
            <w:shd w:val="clear" w:color="auto" w:fill="FFFFFF" w:themeFill="background1"/>
            <w:noWrap/>
            <w:hideMark/>
          </w:tcPr>
          <w:p w14:paraId="291D1EDA" w14:textId="77777777" w:rsidR="00861557" w:rsidRPr="00296D0C" w:rsidRDefault="00861557" w:rsidP="0077247E">
            <w:pPr>
              <w:spacing w:before="40" w:after="0" w:line="240" w:lineRule="auto"/>
              <w:jc w:val="center"/>
              <w:rPr>
                <w:rFonts w:cs="Arial"/>
                <w:bCs/>
                <w:color w:val="000000"/>
              </w:rPr>
            </w:pPr>
            <w:r w:rsidRPr="00296D0C">
              <w:rPr>
                <w:rFonts w:cs="Arial"/>
                <w:bCs/>
                <w:color w:val="000000"/>
              </w:rPr>
              <w:t>Drama Facilitator / HeLP Coordinator (hours)</w:t>
            </w:r>
          </w:p>
        </w:tc>
        <w:tc>
          <w:tcPr>
            <w:tcW w:w="831" w:type="pct"/>
            <w:gridSpan w:val="3"/>
            <w:tcBorders>
              <w:top w:val="single" w:sz="8" w:space="0" w:color="auto"/>
              <w:left w:val="nil"/>
              <w:bottom w:val="single" w:sz="8" w:space="0" w:color="auto"/>
            </w:tcBorders>
            <w:shd w:val="clear" w:color="auto" w:fill="FFFFFF" w:themeFill="background1"/>
            <w:noWrap/>
            <w:hideMark/>
          </w:tcPr>
          <w:p w14:paraId="5D354724" w14:textId="77777777" w:rsidR="00861557" w:rsidRPr="00296D0C" w:rsidRDefault="00861557" w:rsidP="0077247E">
            <w:pPr>
              <w:spacing w:before="40" w:after="0" w:line="240" w:lineRule="auto"/>
              <w:jc w:val="center"/>
              <w:rPr>
                <w:rFonts w:cs="Arial"/>
                <w:bCs/>
                <w:color w:val="000000"/>
              </w:rPr>
            </w:pPr>
            <w:r w:rsidRPr="00296D0C">
              <w:rPr>
                <w:rFonts w:cs="Arial"/>
                <w:bCs/>
                <w:color w:val="000000"/>
              </w:rPr>
              <w:t>Actors</w:t>
            </w:r>
          </w:p>
          <w:p w14:paraId="5FF727E3" w14:textId="77777777" w:rsidR="00861557" w:rsidRPr="00296D0C" w:rsidRDefault="00861557" w:rsidP="0077247E">
            <w:pPr>
              <w:spacing w:before="40" w:after="0" w:line="240" w:lineRule="auto"/>
              <w:jc w:val="center"/>
              <w:rPr>
                <w:rFonts w:cs="Arial"/>
                <w:bCs/>
                <w:color w:val="000000"/>
              </w:rPr>
            </w:pPr>
            <w:r w:rsidRPr="00296D0C">
              <w:rPr>
                <w:rFonts w:cs="Arial"/>
                <w:bCs/>
                <w:color w:val="000000"/>
              </w:rPr>
              <w:t>(hours)</w:t>
            </w:r>
          </w:p>
        </w:tc>
      </w:tr>
      <w:tr w:rsidR="00861557" w:rsidRPr="00296D0C" w14:paraId="78D0B3FB" w14:textId="77777777" w:rsidTr="0077247E">
        <w:trPr>
          <w:trHeight w:val="345"/>
        </w:trPr>
        <w:tc>
          <w:tcPr>
            <w:tcW w:w="845" w:type="pct"/>
            <w:tcBorders>
              <w:top w:val="single" w:sz="8" w:space="0" w:color="auto"/>
              <w:bottom w:val="nil"/>
              <w:right w:val="single" w:sz="4" w:space="0" w:color="auto"/>
            </w:tcBorders>
            <w:shd w:val="clear" w:color="auto" w:fill="auto"/>
            <w:noWrap/>
            <w:vAlign w:val="bottom"/>
            <w:hideMark/>
          </w:tcPr>
          <w:p w14:paraId="5C7849A6" w14:textId="77777777" w:rsidR="00861557" w:rsidRPr="00296D0C" w:rsidRDefault="00861557" w:rsidP="0077247E">
            <w:pPr>
              <w:spacing w:before="40" w:after="0" w:line="240" w:lineRule="auto"/>
              <w:rPr>
                <w:rFonts w:cs="Arial"/>
                <w:color w:val="000000"/>
                <w:spacing w:val="-6"/>
              </w:rPr>
            </w:pPr>
            <w:r w:rsidRPr="00296D0C">
              <w:rPr>
                <w:rFonts w:cs="Arial"/>
                <w:color w:val="000000"/>
                <w:spacing w:val="-6"/>
              </w:rPr>
              <w:t>Schools/Classes</w:t>
            </w:r>
          </w:p>
        </w:tc>
        <w:tc>
          <w:tcPr>
            <w:tcW w:w="277" w:type="pct"/>
            <w:tcBorders>
              <w:top w:val="single" w:sz="8" w:space="0" w:color="auto"/>
              <w:left w:val="nil"/>
              <w:bottom w:val="single" w:sz="4" w:space="0" w:color="auto"/>
            </w:tcBorders>
            <w:shd w:val="clear" w:color="auto" w:fill="auto"/>
            <w:noWrap/>
            <w:vAlign w:val="center"/>
          </w:tcPr>
          <w:p w14:paraId="0DAE564D" w14:textId="77777777" w:rsidR="00861557" w:rsidRPr="00296D0C" w:rsidRDefault="00861557" w:rsidP="0077247E">
            <w:pPr>
              <w:spacing w:before="40" w:after="0" w:line="240" w:lineRule="auto"/>
              <w:jc w:val="right"/>
              <w:rPr>
                <w:rFonts w:cs="Arial"/>
                <w:bCs/>
                <w:color w:val="000000"/>
              </w:rPr>
            </w:pPr>
            <w:r w:rsidRPr="00296D0C">
              <w:rPr>
                <w:rFonts w:cs="Arial"/>
                <w:bCs/>
                <w:color w:val="000000"/>
              </w:rPr>
              <w:t>1/1</w:t>
            </w:r>
          </w:p>
        </w:tc>
        <w:tc>
          <w:tcPr>
            <w:tcW w:w="277" w:type="pct"/>
            <w:tcBorders>
              <w:top w:val="single" w:sz="8" w:space="0" w:color="auto"/>
              <w:bottom w:val="single" w:sz="4" w:space="0" w:color="auto"/>
            </w:tcBorders>
            <w:shd w:val="clear" w:color="auto" w:fill="auto"/>
            <w:vAlign w:val="center"/>
          </w:tcPr>
          <w:p w14:paraId="74317826" w14:textId="77777777" w:rsidR="00861557" w:rsidRPr="00296D0C" w:rsidRDefault="00861557" w:rsidP="0077247E">
            <w:pPr>
              <w:spacing w:before="40" w:after="0" w:line="240" w:lineRule="auto"/>
              <w:jc w:val="right"/>
              <w:rPr>
                <w:rFonts w:cs="Arial"/>
                <w:bCs/>
                <w:color w:val="000000"/>
              </w:rPr>
            </w:pPr>
            <w:r w:rsidRPr="00296D0C">
              <w:rPr>
                <w:rFonts w:cs="Arial"/>
                <w:bCs/>
                <w:color w:val="000000"/>
              </w:rPr>
              <w:t>1/2</w:t>
            </w:r>
          </w:p>
        </w:tc>
        <w:tc>
          <w:tcPr>
            <w:tcW w:w="277" w:type="pct"/>
            <w:tcBorders>
              <w:top w:val="single" w:sz="8" w:space="0" w:color="auto"/>
              <w:bottom w:val="single" w:sz="4" w:space="0" w:color="auto"/>
              <w:right w:val="single" w:sz="8" w:space="0" w:color="auto"/>
            </w:tcBorders>
            <w:shd w:val="clear" w:color="auto" w:fill="auto"/>
            <w:vAlign w:val="center"/>
          </w:tcPr>
          <w:p w14:paraId="28DB4224" w14:textId="77777777" w:rsidR="00861557" w:rsidRPr="00296D0C" w:rsidRDefault="00861557" w:rsidP="0077247E">
            <w:pPr>
              <w:spacing w:before="40" w:after="0" w:line="240" w:lineRule="auto"/>
              <w:jc w:val="right"/>
              <w:rPr>
                <w:rFonts w:cs="Arial"/>
                <w:bCs/>
                <w:color w:val="000000"/>
              </w:rPr>
            </w:pPr>
            <w:r w:rsidRPr="00296D0C">
              <w:rPr>
                <w:rFonts w:cs="Arial"/>
                <w:bCs/>
                <w:color w:val="000000"/>
              </w:rPr>
              <w:t>1/3</w:t>
            </w:r>
          </w:p>
        </w:tc>
        <w:tc>
          <w:tcPr>
            <w:tcW w:w="277" w:type="pct"/>
            <w:tcBorders>
              <w:top w:val="single" w:sz="8" w:space="0" w:color="auto"/>
              <w:left w:val="nil"/>
              <w:bottom w:val="single" w:sz="4" w:space="0" w:color="auto"/>
            </w:tcBorders>
            <w:shd w:val="clear" w:color="auto" w:fill="auto"/>
            <w:vAlign w:val="center"/>
          </w:tcPr>
          <w:p w14:paraId="7E852E20" w14:textId="77777777" w:rsidR="00861557" w:rsidRPr="00296D0C" w:rsidRDefault="00861557" w:rsidP="0077247E">
            <w:pPr>
              <w:spacing w:before="40" w:after="0" w:line="240" w:lineRule="auto"/>
              <w:jc w:val="right"/>
              <w:rPr>
                <w:rFonts w:cs="Arial"/>
                <w:bCs/>
                <w:color w:val="000000"/>
              </w:rPr>
            </w:pPr>
            <w:r w:rsidRPr="00296D0C">
              <w:rPr>
                <w:rFonts w:cs="Arial"/>
                <w:bCs/>
                <w:color w:val="000000"/>
              </w:rPr>
              <w:t>1/1</w:t>
            </w:r>
          </w:p>
        </w:tc>
        <w:tc>
          <w:tcPr>
            <w:tcW w:w="277" w:type="pct"/>
            <w:tcBorders>
              <w:top w:val="single" w:sz="8" w:space="0" w:color="auto"/>
              <w:bottom w:val="single" w:sz="4" w:space="0" w:color="auto"/>
            </w:tcBorders>
            <w:shd w:val="clear" w:color="auto" w:fill="auto"/>
            <w:vAlign w:val="center"/>
          </w:tcPr>
          <w:p w14:paraId="564773AA" w14:textId="77777777" w:rsidR="00861557" w:rsidRPr="00296D0C" w:rsidRDefault="00861557" w:rsidP="0077247E">
            <w:pPr>
              <w:spacing w:before="40" w:after="0" w:line="240" w:lineRule="auto"/>
              <w:jc w:val="right"/>
              <w:rPr>
                <w:rFonts w:cs="Arial"/>
                <w:bCs/>
                <w:color w:val="000000"/>
              </w:rPr>
            </w:pPr>
            <w:r w:rsidRPr="00296D0C">
              <w:rPr>
                <w:rFonts w:cs="Arial"/>
                <w:bCs/>
                <w:color w:val="000000"/>
              </w:rPr>
              <w:t>1/2</w:t>
            </w:r>
          </w:p>
        </w:tc>
        <w:tc>
          <w:tcPr>
            <w:tcW w:w="277" w:type="pct"/>
            <w:tcBorders>
              <w:top w:val="single" w:sz="8" w:space="0" w:color="auto"/>
              <w:bottom w:val="single" w:sz="4" w:space="0" w:color="auto"/>
              <w:right w:val="single" w:sz="8" w:space="0" w:color="auto"/>
            </w:tcBorders>
            <w:shd w:val="clear" w:color="auto" w:fill="auto"/>
            <w:vAlign w:val="center"/>
          </w:tcPr>
          <w:p w14:paraId="0E2D2C49" w14:textId="77777777" w:rsidR="00861557" w:rsidRPr="00296D0C" w:rsidRDefault="00861557" w:rsidP="0077247E">
            <w:pPr>
              <w:spacing w:before="40" w:after="0" w:line="240" w:lineRule="auto"/>
              <w:jc w:val="right"/>
              <w:rPr>
                <w:rFonts w:cs="Arial"/>
                <w:bCs/>
                <w:color w:val="000000"/>
              </w:rPr>
            </w:pPr>
            <w:r w:rsidRPr="00296D0C">
              <w:rPr>
                <w:rFonts w:cs="Arial"/>
                <w:bCs/>
                <w:color w:val="000000"/>
              </w:rPr>
              <w:t>1/3</w:t>
            </w:r>
          </w:p>
        </w:tc>
        <w:tc>
          <w:tcPr>
            <w:tcW w:w="277" w:type="pct"/>
            <w:tcBorders>
              <w:top w:val="single" w:sz="8" w:space="0" w:color="auto"/>
              <w:left w:val="nil"/>
              <w:bottom w:val="single" w:sz="4" w:space="0" w:color="auto"/>
            </w:tcBorders>
            <w:shd w:val="clear" w:color="auto" w:fill="auto"/>
            <w:vAlign w:val="center"/>
          </w:tcPr>
          <w:p w14:paraId="760892BB" w14:textId="77777777" w:rsidR="00861557" w:rsidRPr="00296D0C" w:rsidRDefault="00861557" w:rsidP="0077247E">
            <w:pPr>
              <w:spacing w:before="40" w:after="0" w:line="240" w:lineRule="auto"/>
              <w:jc w:val="right"/>
              <w:rPr>
                <w:rFonts w:cs="Arial"/>
                <w:bCs/>
                <w:color w:val="000000"/>
              </w:rPr>
            </w:pPr>
            <w:r w:rsidRPr="00296D0C">
              <w:rPr>
                <w:rFonts w:cs="Arial"/>
                <w:bCs/>
                <w:color w:val="000000"/>
              </w:rPr>
              <w:t>1/1</w:t>
            </w:r>
          </w:p>
        </w:tc>
        <w:tc>
          <w:tcPr>
            <w:tcW w:w="277" w:type="pct"/>
            <w:tcBorders>
              <w:top w:val="single" w:sz="8" w:space="0" w:color="auto"/>
              <w:bottom w:val="single" w:sz="4" w:space="0" w:color="auto"/>
            </w:tcBorders>
            <w:shd w:val="clear" w:color="auto" w:fill="auto"/>
            <w:vAlign w:val="center"/>
          </w:tcPr>
          <w:p w14:paraId="41F20233" w14:textId="77777777" w:rsidR="00861557" w:rsidRPr="00296D0C" w:rsidRDefault="00861557" w:rsidP="0077247E">
            <w:pPr>
              <w:spacing w:before="40" w:after="0" w:line="240" w:lineRule="auto"/>
              <w:jc w:val="right"/>
              <w:rPr>
                <w:rFonts w:cs="Arial"/>
                <w:bCs/>
                <w:color w:val="000000"/>
              </w:rPr>
            </w:pPr>
            <w:r w:rsidRPr="00296D0C">
              <w:rPr>
                <w:rFonts w:cs="Arial"/>
                <w:bCs/>
                <w:color w:val="000000"/>
              </w:rPr>
              <w:t>1/2</w:t>
            </w:r>
          </w:p>
        </w:tc>
        <w:tc>
          <w:tcPr>
            <w:tcW w:w="277" w:type="pct"/>
            <w:tcBorders>
              <w:top w:val="single" w:sz="8" w:space="0" w:color="auto"/>
              <w:bottom w:val="single" w:sz="4" w:space="0" w:color="auto"/>
              <w:right w:val="single" w:sz="8" w:space="0" w:color="auto"/>
            </w:tcBorders>
            <w:shd w:val="clear" w:color="auto" w:fill="auto"/>
            <w:vAlign w:val="center"/>
          </w:tcPr>
          <w:p w14:paraId="7C4B3883" w14:textId="77777777" w:rsidR="00861557" w:rsidRPr="00296D0C" w:rsidRDefault="00861557" w:rsidP="0077247E">
            <w:pPr>
              <w:spacing w:before="40" w:after="0" w:line="240" w:lineRule="auto"/>
              <w:jc w:val="right"/>
              <w:rPr>
                <w:rFonts w:cs="Arial"/>
                <w:bCs/>
                <w:color w:val="000000"/>
              </w:rPr>
            </w:pPr>
            <w:r w:rsidRPr="00296D0C">
              <w:rPr>
                <w:rFonts w:cs="Arial"/>
                <w:bCs/>
                <w:color w:val="000000"/>
              </w:rPr>
              <w:t>1/3</w:t>
            </w:r>
          </w:p>
        </w:tc>
        <w:tc>
          <w:tcPr>
            <w:tcW w:w="277" w:type="pct"/>
            <w:tcBorders>
              <w:top w:val="single" w:sz="8" w:space="0" w:color="auto"/>
              <w:left w:val="nil"/>
              <w:bottom w:val="single" w:sz="4" w:space="0" w:color="auto"/>
            </w:tcBorders>
            <w:shd w:val="clear" w:color="auto" w:fill="FFFFFF" w:themeFill="background1"/>
            <w:vAlign w:val="center"/>
          </w:tcPr>
          <w:p w14:paraId="6CC3FF8F" w14:textId="77777777" w:rsidR="00861557" w:rsidRPr="00296D0C" w:rsidRDefault="00861557" w:rsidP="0077247E">
            <w:pPr>
              <w:spacing w:before="40" w:after="0" w:line="240" w:lineRule="auto"/>
              <w:jc w:val="right"/>
              <w:rPr>
                <w:rFonts w:cs="Arial"/>
                <w:bCs/>
                <w:color w:val="000000"/>
              </w:rPr>
            </w:pPr>
            <w:r w:rsidRPr="00296D0C">
              <w:rPr>
                <w:rFonts w:cs="Arial"/>
                <w:bCs/>
                <w:color w:val="000000"/>
              </w:rPr>
              <w:t>1/1</w:t>
            </w:r>
          </w:p>
        </w:tc>
        <w:tc>
          <w:tcPr>
            <w:tcW w:w="277" w:type="pct"/>
            <w:tcBorders>
              <w:top w:val="single" w:sz="8" w:space="0" w:color="auto"/>
              <w:bottom w:val="single" w:sz="4" w:space="0" w:color="auto"/>
            </w:tcBorders>
            <w:shd w:val="clear" w:color="auto" w:fill="FFFFFF" w:themeFill="background1"/>
            <w:vAlign w:val="center"/>
          </w:tcPr>
          <w:p w14:paraId="36300876" w14:textId="77777777" w:rsidR="00861557" w:rsidRPr="00296D0C" w:rsidRDefault="00861557" w:rsidP="0077247E">
            <w:pPr>
              <w:spacing w:before="40" w:after="0" w:line="240" w:lineRule="auto"/>
              <w:jc w:val="right"/>
              <w:rPr>
                <w:rFonts w:cs="Arial"/>
                <w:bCs/>
                <w:color w:val="000000"/>
              </w:rPr>
            </w:pPr>
            <w:r w:rsidRPr="00296D0C">
              <w:rPr>
                <w:rFonts w:cs="Arial"/>
                <w:bCs/>
                <w:color w:val="000000"/>
              </w:rPr>
              <w:t>1/2</w:t>
            </w:r>
          </w:p>
        </w:tc>
        <w:tc>
          <w:tcPr>
            <w:tcW w:w="277" w:type="pct"/>
            <w:tcBorders>
              <w:top w:val="single" w:sz="8" w:space="0" w:color="auto"/>
              <w:bottom w:val="single" w:sz="4" w:space="0" w:color="auto"/>
              <w:right w:val="single" w:sz="8" w:space="0" w:color="auto"/>
            </w:tcBorders>
            <w:shd w:val="clear" w:color="auto" w:fill="FFFFFF" w:themeFill="background1"/>
            <w:vAlign w:val="center"/>
          </w:tcPr>
          <w:p w14:paraId="6BC165EA" w14:textId="77777777" w:rsidR="00861557" w:rsidRPr="00296D0C" w:rsidRDefault="00861557" w:rsidP="0077247E">
            <w:pPr>
              <w:spacing w:before="40" w:after="0" w:line="240" w:lineRule="auto"/>
              <w:jc w:val="right"/>
              <w:rPr>
                <w:rFonts w:cs="Arial"/>
                <w:bCs/>
                <w:color w:val="000000"/>
              </w:rPr>
            </w:pPr>
            <w:r w:rsidRPr="00296D0C">
              <w:rPr>
                <w:rFonts w:cs="Arial"/>
                <w:bCs/>
                <w:color w:val="000000"/>
              </w:rPr>
              <w:t>1/3</w:t>
            </w:r>
          </w:p>
        </w:tc>
        <w:tc>
          <w:tcPr>
            <w:tcW w:w="277" w:type="pct"/>
            <w:tcBorders>
              <w:top w:val="single" w:sz="8" w:space="0" w:color="auto"/>
              <w:left w:val="nil"/>
              <w:bottom w:val="single" w:sz="4" w:space="0" w:color="auto"/>
            </w:tcBorders>
            <w:shd w:val="clear" w:color="auto" w:fill="FFFFFF" w:themeFill="background1"/>
            <w:vAlign w:val="center"/>
          </w:tcPr>
          <w:p w14:paraId="756FB40C" w14:textId="77777777" w:rsidR="00861557" w:rsidRPr="00296D0C" w:rsidRDefault="00861557" w:rsidP="0077247E">
            <w:pPr>
              <w:spacing w:before="40" w:after="0" w:line="240" w:lineRule="auto"/>
              <w:jc w:val="right"/>
              <w:rPr>
                <w:rFonts w:cs="Arial"/>
                <w:bCs/>
                <w:color w:val="000000"/>
              </w:rPr>
            </w:pPr>
            <w:r w:rsidRPr="00296D0C">
              <w:rPr>
                <w:rFonts w:cs="Arial"/>
                <w:bCs/>
                <w:color w:val="000000"/>
              </w:rPr>
              <w:t>1/1</w:t>
            </w:r>
          </w:p>
        </w:tc>
        <w:tc>
          <w:tcPr>
            <w:tcW w:w="277" w:type="pct"/>
            <w:tcBorders>
              <w:top w:val="single" w:sz="8" w:space="0" w:color="auto"/>
              <w:bottom w:val="single" w:sz="4" w:space="0" w:color="auto"/>
            </w:tcBorders>
            <w:shd w:val="clear" w:color="auto" w:fill="FFFFFF" w:themeFill="background1"/>
            <w:vAlign w:val="center"/>
          </w:tcPr>
          <w:p w14:paraId="595B1BE1" w14:textId="77777777" w:rsidR="00861557" w:rsidRPr="00296D0C" w:rsidRDefault="00861557" w:rsidP="0077247E">
            <w:pPr>
              <w:spacing w:before="40" w:after="0" w:line="240" w:lineRule="auto"/>
              <w:jc w:val="right"/>
              <w:rPr>
                <w:rFonts w:cs="Arial"/>
                <w:bCs/>
                <w:color w:val="000000"/>
              </w:rPr>
            </w:pPr>
            <w:r w:rsidRPr="00296D0C">
              <w:rPr>
                <w:rFonts w:cs="Arial"/>
                <w:bCs/>
                <w:color w:val="000000"/>
              </w:rPr>
              <w:t>1/2</w:t>
            </w:r>
          </w:p>
        </w:tc>
        <w:tc>
          <w:tcPr>
            <w:tcW w:w="277" w:type="pct"/>
            <w:tcBorders>
              <w:top w:val="single" w:sz="8" w:space="0" w:color="auto"/>
              <w:bottom w:val="single" w:sz="4" w:space="0" w:color="auto"/>
            </w:tcBorders>
            <w:shd w:val="clear" w:color="auto" w:fill="FFFFFF" w:themeFill="background1"/>
            <w:vAlign w:val="center"/>
          </w:tcPr>
          <w:p w14:paraId="174979C2" w14:textId="77777777" w:rsidR="00861557" w:rsidRPr="00296D0C" w:rsidRDefault="00861557" w:rsidP="0077247E">
            <w:pPr>
              <w:spacing w:before="40" w:after="0" w:line="240" w:lineRule="auto"/>
              <w:jc w:val="right"/>
              <w:rPr>
                <w:rFonts w:cs="Arial"/>
                <w:bCs/>
                <w:color w:val="000000"/>
              </w:rPr>
            </w:pPr>
            <w:r w:rsidRPr="00296D0C">
              <w:rPr>
                <w:rFonts w:cs="Arial"/>
                <w:bCs/>
                <w:color w:val="000000"/>
              </w:rPr>
              <w:t>1/3</w:t>
            </w:r>
          </w:p>
        </w:tc>
      </w:tr>
      <w:tr w:rsidR="00861557" w:rsidRPr="00296D0C" w14:paraId="2A28D671" w14:textId="77777777" w:rsidTr="0077247E">
        <w:trPr>
          <w:trHeight w:val="330"/>
        </w:trPr>
        <w:tc>
          <w:tcPr>
            <w:tcW w:w="845" w:type="pct"/>
            <w:tcBorders>
              <w:top w:val="single" w:sz="8" w:space="0" w:color="auto"/>
              <w:bottom w:val="nil"/>
              <w:right w:val="single" w:sz="4" w:space="0" w:color="auto"/>
            </w:tcBorders>
            <w:shd w:val="clear" w:color="auto" w:fill="auto"/>
            <w:noWrap/>
            <w:vAlign w:val="bottom"/>
            <w:hideMark/>
          </w:tcPr>
          <w:p w14:paraId="7995A056" w14:textId="2F0DA322" w:rsidR="00861557" w:rsidRPr="00296D0C" w:rsidRDefault="00861557" w:rsidP="0077247E">
            <w:pPr>
              <w:spacing w:before="40" w:after="0" w:line="240" w:lineRule="auto"/>
              <w:rPr>
                <w:rFonts w:cs="Arial"/>
                <w:bCs/>
                <w:i/>
                <w:color w:val="000000"/>
                <w:spacing w:val="-6"/>
              </w:rPr>
            </w:pPr>
            <w:r w:rsidRPr="00296D0C">
              <w:rPr>
                <w:rFonts w:cs="Arial"/>
                <w:bCs/>
                <w:i/>
                <w:color w:val="000000"/>
                <w:spacing w:val="-6"/>
              </w:rPr>
              <w:t>Prep</w:t>
            </w:r>
            <w:r w:rsidR="00A6162D" w:rsidRPr="00296D0C">
              <w:rPr>
                <w:rFonts w:cs="Arial"/>
                <w:bCs/>
                <w:i/>
                <w:color w:val="000000"/>
                <w:spacing w:val="-6"/>
              </w:rPr>
              <w:t>aration</w:t>
            </w:r>
            <w:r w:rsidRPr="00296D0C">
              <w:rPr>
                <w:rFonts w:cs="Arial"/>
                <w:bCs/>
                <w:i/>
                <w:color w:val="000000"/>
                <w:spacing w:val="-6"/>
              </w:rPr>
              <w:t xml:space="preserve"> time</w:t>
            </w:r>
          </w:p>
        </w:tc>
        <w:tc>
          <w:tcPr>
            <w:tcW w:w="277" w:type="pct"/>
            <w:tcBorders>
              <w:top w:val="single" w:sz="4" w:space="0" w:color="auto"/>
              <w:left w:val="nil"/>
            </w:tcBorders>
            <w:shd w:val="clear" w:color="auto" w:fill="auto"/>
            <w:noWrap/>
            <w:vAlign w:val="center"/>
          </w:tcPr>
          <w:p w14:paraId="7C3502B1" w14:textId="77777777" w:rsidR="00861557" w:rsidRPr="00296D0C" w:rsidRDefault="00861557" w:rsidP="0077247E">
            <w:pPr>
              <w:spacing w:before="40" w:after="0" w:line="240" w:lineRule="auto"/>
              <w:jc w:val="right"/>
              <w:rPr>
                <w:rFonts w:cs="Arial"/>
                <w:color w:val="000000"/>
              </w:rPr>
            </w:pPr>
          </w:p>
        </w:tc>
        <w:tc>
          <w:tcPr>
            <w:tcW w:w="277" w:type="pct"/>
            <w:tcBorders>
              <w:top w:val="single" w:sz="4" w:space="0" w:color="auto"/>
            </w:tcBorders>
            <w:shd w:val="clear" w:color="auto" w:fill="auto"/>
            <w:vAlign w:val="center"/>
          </w:tcPr>
          <w:p w14:paraId="18B53F75" w14:textId="77777777" w:rsidR="00861557" w:rsidRPr="00296D0C" w:rsidRDefault="00861557" w:rsidP="0077247E">
            <w:pPr>
              <w:spacing w:before="40" w:after="0" w:line="240" w:lineRule="auto"/>
              <w:jc w:val="right"/>
              <w:rPr>
                <w:rFonts w:cs="Arial"/>
                <w:color w:val="000000"/>
              </w:rPr>
            </w:pPr>
          </w:p>
        </w:tc>
        <w:tc>
          <w:tcPr>
            <w:tcW w:w="277" w:type="pct"/>
            <w:tcBorders>
              <w:top w:val="single" w:sz="4" w:space="0" w:color="auto"/>
              <w:right w:val="single" w:sz="8" w:space="0" w:color="auto"/>
            </w:tcBorders>
            <w:shd w:val="clear" w:color="auto" w:fill="auto"/>
            <w:vAlign w:val="center"/>
          </w:tcPr>
          <w:p w14:paraId="7C50286B" w14:textId="77777777" w:rsidR="00861557" w:rsidRPr="00296D0C" w:rsidRDefault="00861557" w:rsidP="0077247E">
            <w:pPr>
              <w:spacing w:before="40" w:after="0" w:line="240" w:lineRule="auto"/>
              <w:jc w:val="right"/>
              <w:rPr>
                <w:rFonts w:cs="Arial"/>
                <w:color w:val="000000"/>
              </w:rPr>
            </w:pPr>
          </w:p>
        </w:tc>
        <w:tc>
          <w:tcPr>
            <w:tcW w:w="277" w:type="pct"/>
            <w:tcBorders>
              <w:top w:val="single" w:sz="4" w:space="0" w:color="auto"/>
              <w:left w:val="nil"/>
            </w:tcBorders>
            <w:shd w:val="clear" w:color="auto" w:fill="auto"/>
            <w:vAlign w:val="center"/>
          </w:tcPr>
          <w:p w14:paraId="2A2B8490" w14:textId="77777777" w:rsidR="00861557" w:rsidRPr="00296D0C" w:rsidRDefault="00861557" w:rsidP="0077247E">
            <w:pPr>
              <w:spacing w:before="40" w:after="0" w:line="240" w:lineRule="auto"/>
              <w:jc w:val="right"/>
              <w:rPr>
                <w:rFonts w:cs="Arial"/>
                <w:color w:val="000000"/>
              </w:rPr>
            </w:pPr>
          </w:p>
        </w:tc>
        <w:tc>
          <w:tcPr>
            <w:tcW w:w="277" w:type="pct"/>
            <w:tcBorders>
              <w:top w:val="single" w:sz="4" w:space="0" w:color="auto"/>
            </w:tcBorders>
            <w:shd w:val="clear" w:color="auto" w:fill="auto"/>
            <w:vAlign w:val="center"/>
          </w:tcPr>
          <w:p w14:paraId="62894D2B" w14:textId="77777777" w:rsidR="00861557" w:rsidRPr="00296D0C" w:rsidRDefault="00861557" w:rsidP="0077247E">
            <w:pPr>
              <w:spacing w:before="40" w:after="0" w:line="240" w:lineRule="auto"/>
              <w:jc w:val="right"/>
              <w:rPr>
                <w:rFonts w:cs="Arial"/>
                <w:color w:val="000000"/>
              </w:rPr>
            </w:pPr>
          </w:p>
        </w:tc>
        <w:tc>
          <w:tcPr>
            <w:tcW w:w="277" w:type="pct"/>
            <w:tcBorders>
              <w:top w:val="single" w:sz="4" w:space="0" w:color="auto"/>
              <w:right w:val="single" w:sz="8" w:space="0" w:color="auto"/>
            </w:tcBorders>
            <w:shd w:val="clear" w:color="auto" w:fill="auto"/>
            <w:vAlign w:val="center"/>
          </w:tcPr>
          <w:p w14:paraId="4862680D" w14:textId="77777777" w:rsidR="00861557" w:rsidRPr="00296D0C" w:rsidRDefault="00861557" w:rsidP="0077247E">
            <w:pPr>
              <w:spacing w:before="40" w:after="0" w:line="240" w:lineRule="auto"/>
              <w:jc w:val="right"/>
              <w:rPr>
                <w:rFonts w:cs="Arial"/>
                <w:color w:val="000000"/>
              </w:rPr>
            </w:pPr>
          </w:p>
        </w:tc>
        <w:tc>
          <w:tcPr>
            <w:tcW w:w="277" w:type="pct"/>
            <w:tcBorders>
              <w:top w:val="single" w:sz="4" w:space="0" w:color="auto"/>
              <w:left w:val="nil"/>
            </w:tcBorders>
            <w:shd w:val="clear" w:color="auto" w:fill="auto"/>
            <w:vAlign w:val="center"/>
          </w:tcPr>
          <w:p w14:paraId="023E971D" w14:textId="77777777" w:rsidR="00861557" w:rsidRPr="00296D0C" w:rsidRDefault="00861557" w:rsidP="0077247E">
            <w:pPr>
              <w:spacing w:before="40" w:after="0" w:line="240" w:lineRule="auto"/>
              <w:jc w:val="right"/>
              <w:rPr>
                <w:rFonts w:cs="Arial"/>
                <w:color w:val="000000"/>
              </w:rPr>
            </w:pPr>
          </w:p>
        </w:tc>
        <w:tc>
          <w:tcPr>
            <w:tcW w:w="277" w:type="pct"/>
            <w:tcBorders>
              <w:top w:val="single" w:sz="4" w:space="0" w:color="auto"/>
            </w:tcBorders>
            <w:shd w:val="clear" w:color="auto" w:fill="auto"/>
            <w:vAlign w:val="center"/>
          </w:tcPr>
          <w:p w14:paraId="3637E597" w14:textId="77777777" w:rsidR="00861557" w:rsidRPr="00296D0C" w:rsidRDefault="00861557" w:rsidP="0077247E">
            <w:pPr>
              <w:spacing w:before="40" w:after="0" w:line="240" w:lineRule="auto"/>
              <w:jc w:val="right"/>
              <w:rPr>
                <w:rFonts w:cs="Arial"/>
                <w:color w:val="000000"/>
              </w:rPr>
            </w:pPr>
          </w:p>
        </w:tc>
        <w:tc>
          <w:tcPr>
            <w:tcW w:w="277" w:type="pct"/>
            <w:tcBorders>
              <w:top w:val="single" w:sz="4" w:space="0" w:color="auto"/>
              <w:right w:val="single" w:sz="8" w:space="0" w:color="auto"/>
            </w:tcBorders>
            <w:shd w:val="clear" w:color="auto" w:fill="auto"/>
            <w:vAlign w:val="center"/>
          </w:tcPr>
          <w:p w14:paraId="196F9239" w14:textId="77777777" w:rsidR="00861557" w:rsidRPr="00296D0C" w:rsidRDefault="00861557" w:rsidP="0077247E">
            <w:pPr>
              <w:spacing w:before="40" w:after="0" w:line="240" w:lineRule="auto"/>
              <w:jc w:val="right"/>
              <w:rPr>
                <w:rFonts w:cs="Arial"/>
                <w:color w:val="000000"/>
              </w:rPr>
            </w:pPr>
          </w:p>
        </w:tc>
        <w:tc>
          <w:tcPr>
            <w:tcW w:w="277" w:type="pct"/>
            <w:tcBorders>
              <w:top w:val="single" w:sz="4" w:space="0" w:color="auto"/>
              <w:left w:val="nil"/>
            </w:tcBorders>
            <w:shd w:val="clear" w:color="auto" w:fill="FFFFFF" w:themeFill="background1"/>
            <w:vAlign w:val="center"/>
          </w:tcPr>
          <w:p w14:paraId="6849604F" w14:textId="77777777" w:rsidR="00861557" w:rsidRPr="00296D0C" w:rsidRDefault="00861557" w:rsidP="0077247E">
            <w:pPr>
              <w:spacing w:before="40" w:after="0" w:line="240" w:lineRule="auto"/>
              <w:jc w:val="right"/>
              <w:rPr>
                <w:rFonts w:cs="Arial"/>
                <w:color w:val="000000"/>
              </w:rPr>
            </w:pPr>
          </w:p>
        </w:tc>
        <w:tc>
          <w:tcPr>
            <w:tcW w:w="277" w:type="pct"/>
            <w:tcBorders>
              <w:top w:val="single" w:sz="4" w:space="0" w:color="auto"/>
            </w:tcBorders>
            <w:shd w:val="clear" w:color="auto" w:fill="FFFFFF" w:themeFill="background1"/>
            <w:vAlign w:val="center"/>
          </w:tcPr>
          <w:p w14:paraId="62009B1A" w14:textId="77777777" w:rsidR="00861557" w:rsidRPr="00296D0C" w:rsidRDefault="00861557" w:rsidP="0077247E">
            <w:pPr>
              <w:spacing w:before="40" w:after="0" w:line="240" w:lineRule="auto"/>
              <w:jc w:val="right"/>
              <w:rPr>
                <w:rFonts w:cs="Arial"/>
                <w:color w:val="000000"/>
              </w:rPr>
            </w:pPr>
          </w:p>
        </w:tc>
        <w:tc>
          <w:tcPr>
            <w:tcW w:w="277" w:type="pct"/>
            <w:tcBorders>
              <w:top w:val="single" w:sz="4" w:space="0" w:color="auto"/>
              <w:right w:val="single" w:sz="8" w:space="0" w:color="auto"/>
            </w:tcBorders>
            <w:shd w:val="clear" w:color="auto" w:fill="FFFFFF" w:themeFill="background1"/>
            <w:vAlign w:val="center"/>
          </w:tcPr>
          <w:p w14:paraId="4C4B1D92" w14:textId="77777777" w:rsidR="00861557" w:rsidRPr="00296D0C" w:rsidRDefault="00861557" w:rsidP="0077247E">
            <w:pPr>
              <w:spacing w:before="40" w:after="0" w:line="240" w:lineRule="auto"/>
              <w:jc w:val="right"/>
              <w:rPr>
                <w:rFonts w:cs="Arial"/>
                <w:color w:val="000000"/>
              </w:rPr>
            </w:pPr>
          </w:p>
        </w:tc>
        <w:tc>
          <w:tcPr>
            <w:tcW w:w="277" w:type="pct"/>
            <w:tcBorders>
              <w:top w:val="single" w:sz="4" w:space="0" w:color="auto"/>
              <w:left w:val="nil"/>
            </w:tcBorders>
            <w:shd w:val="clear" w:color="auto" w:fill="FFFFFF" w:themeFill="background1"/>
            <w:vAlign w:val="center"/>
          </w:tcPr>
          <w:p w14:paraId="78BA3DCE" w14:textId="77777777" w:rsidR="00861557" w:rsidRPr="00296D0C" w:rsidRDefault="00861557" w:rsidP="0077247E">
            <w:pPr>
              <w:spacing w:before="40" w:after="0" w:line="240" w:lineRule="auto"/>
              <w:jc w:val="right"/>
              <w:rPr>
                <w:rFonts w:cs="Arial"/>
                <w:color w:val="000000"/>
              </w:rPr>
            </w:pPr>
          </w:p>
        </w:tc>
        <w:tc>
          <w:tcPr>
            <w:tcW w:w="277" w:type="pct"/>
            <w:tcBorders>
              <w:top w:val="single" w:sz="4" w:space="0" w:color="auto"/>
            </w:tcBorders>
            <w:shd w:val="clear" w:color="auto" w:fill="FFFFFF" w:themeFill="background1"/>
            <w:vAlign w:val="center"/>
          </w:tcPr>
          <w:p w14:paraId="1BE20AE3" w14:textId="77777777" w:rsidR="00861557" w:rsidRPr="00296D0C" w:rsidRDefault="00861557" w:rsidP="0077247E">
            <w:pPr>
              <w:spacing w:before="40" w:after="0" w:line="240" w:lineRule="auto"/>
              <w:jc w:val="right"/>
              <w:rPr>
                <w:rFonts w:cs="Arial"/>
                <w:color w:val="000000"/>
              </w:rPr>
            </w:pPr>
          </w:p>
        </w:tc>
        <w:tc>
          <w:tcPr>
            <w:tcW w:w="277" w:type="pct"/>
            <w:tcBorders>
              <w:top w:val="single" w:sz="4" w:space="0" w:color="auto"/>
            </w:tcBorders>
            <w:shd w:val="clear" w:color="auto" w:fill="FFFFFF" w:themeFill="background1"/>
            <w:vAlign w:val="center"/>
          </w:tcPr>
          <w:p w14:paraId="49C87477" w14:textId="77777777" w:rsidR="00861557" w:rsidRPr="00296D0C" w:rsidRDefault="00861557" w:rsidP="0077247E">
            <w:pPr>
              <w:spacing w:before="40" w:after="0" w:line="240" w:lineRule="auto"/>
              <w:jc w:val="right"/>
              <w:rPr>
                <w:rFonts w:cs="Arial"/>
                <w:color w:val="000000"/>
              </w:rPr>
            </w:pPr>
          </w:p>
        </w:tc>
      </w:tr>
      <w:tr w:rsidR="00861557" w:rsidRPr="00296D0C" w14:paraId="7156F1A7" w14:textId="77777777" w:rsidTr="0077247E">
        <w:trPr>
          <w:trHeight w:val="330"/>
        </w:trPr>
        <w:tc>
          <w:tcPr>
            <w:tcW w:w="845" w:type="pct"/>
            <w:tcBorders>
              <w:top w:val="nil"/>
              <w:bottom w:val="nil"/>
              <w:right w:val="single" w:sz="4" w:space="0" w:color="auto"/>
            </w:tcBorders>
            <w:shd w:val="clear" w:color="auto" w:fill="auto"/>
            <w:noWrap/>
            <w:vAlign w:val="bottom"/>
            <w:hideMark/>
          </w:tcPr>
          <w:p w14:paraId="7BB78563" w14:textId="77777777" w:rsidR="00861557" w:rsidRPr="00296D0C" w:rsidRDefault="00861557" w:rsidP="0077247E">
            <w:pPr>
              <w:spacing w:before="40" w:after="0" w:line="240" w:lineRule="auto"/>
              <w:rPr>
                <w:rFonts w:cs="Arial"/>
                <w:color w:val="000000"/>
                <w:spacing w:val="-6"/>
              </w:rPr>
            </w:pPr>
            <w:r w:rsidRPr="00296D0C">
              <w:rPr>
                <w:rFonts w:cs="Arial"/>
                <w:color w:val="000000"/>
                <w:spacing w:val="-6"/>
              </w:rPr>
              <w:t>Class</w:t>
            </w:r>
          </w:p>
        </w:tc>
        <w:tc>
          <w:tcPr>
            <w:tcW w:w="277" w:type="pct"/>
            <w:tcBorders>
              <w:left w:val="single" w:sz="4" w:space="0" w:color="auto"/>
            </w:tcBorders>
            <w:shd w:val="clear" w:color="auto" w:fill="auto"/>
            <w:noWrap/>
            <w:vAlign w:val="center"/>
          </w:tcPr>
          <w:p w14:paraId="4A852D16" w14:textId="77777777" w:rsidR="00861557" w:rsidRPr="00296D0C" w:rsidRDefault="00861557" w:rsidP="0077247E">
            <w:pPr>
              <w:spacing w:before="40" w:after="0" w:line="240" w:lineRule="auto"/>
              <w:jc w:val="center"/>
              <w:rPr>
                <w:rFonts w:cs="Arial"/>
                <w:color w:val="000000"/>
              </w:rPr>
            </w:pPr>
            <w:r w:rsidRPr="00296D0C">
              <w:rPr>
                <w:rFonts w:cs="Arial"/>
                <w:color w:val="000000"/>
              </w:rPr>
              <w:t>8.47</w:t>
            </w:r>
          </w:p>
        </w:tc>
        <w:tc>
          <w:tcPr>
            <w:tcW w:w="277" w:type="pct"/>
            <w:shd w:val="clear" w:color="auto" w:fill="auto"/>
            <w:vAlign w:val="center"/>
          </w:tcPr>
          <w:p w14:paraId="721F8439" w14:textId="77777777" w:rsidR="00861557" w:rsidRPr="00296D0C" w:rsidRDefault="00861557" w:rsidP="0077247E">
            <w:pPr>
              <w:spacing w:before="40" w:after="0" w:line="240" w:lineRule="auto"/>
              <w:jc w:val="center"/>
              <w:rPr>
                <w:rFonts w:cs="Arial"/>
                <w:color w:val="000000"/>
              </w:rPr>
            </w:pPr>
            <w:r w:rsidRPr="00296D0C">
              <w:rPr>
                <w:rFonts w:cs="Arial"/>
                <w:color w:val="000000"/>
              </w:rPr>
              <w:t>16.93</w:t>
            </w:r>
          </w:p>
        </w:tc>
        <w:tc>
          <w:tcPr>
            <w:tcW w:w="277" w:type="pct"/>
            <w:tcBorders>
              <w:right w:val="single" w:sz="8" w:space="0" w:color="auto"/>
            </w:tcBorders>
            <w:shd w:val="clear" w:color="auto" w:fill="auto"/>
            <w:vAlign w:val="center"/>
          </w:tcPr>
          <w:p w14:paraId="3E2079BD" w14:textId="77777777" w:rsidR="00861557" w:rsidRPr="00296D0C" w:rsidRDefault="00861557" w:rsidP="0077247E">
            <w:pPr>
              <w:spacing w:before="40" w:after="0" w:line="240" w:lineRule="auto"/>
              <w:jc w:val="center"/>
              <w:rPr>
                <w:rFonts w:cs="Arial"/>
                <w:color w:val="000000"/>
              </w:rPr>
            </w:pPr>
            <w:r w:rsidRPr="00296D0C">
              <w:rPr>
                <w:rFonts w:cs="Arial"/>
                <w:color w:val="000000"/>
              </w:rPr>
              <w:t>25.40</w:t>
            </w:r>
          </w:p>
        </w:tc>
        <w:tc>
          <w:tcPr>
            <w:tcW w:w="277" w:type="pct"/>
            <w:tcBorders>
              <w:left w:val="single" w:sz="4" w:space="0" w:color="auto"/>
            </w:tcBorders>
            <w:shd w:val="clear" w:color="auto" w:fill="auto"/>
            <w:vAlign w:val="center"/>
          </w:tcPr>
          <w:p w14:paraId="7EEB2B63" w14:textId="77777777" w:rsidR="00861557" w:rsidRPr="00296D0C" w:rsidRDefault="00861557" w:rsidP="0077247E">
            <w:pPr>
              <w:spacing w:before="40" w:after="0" w:line="240" w:lineRule="auto"/>
              <w:jc w:val="center"/>
              <w:rPr>
                <w:rFonts w:cs="Arial"/>
                <w:color w:val="000000"/>
              </w:rPr>
            </w:pPr>
            <w:r w:rsidRPr="00296D0C">
              <w:rPr>
                <w:rFonts w:cs="Arial"/>
                <w:color w:val="000000"/>
              </w:rPr>
              <w:t>1.43</w:t>
            </w:r>
          </w:p>
        </w:tc>
        <w:tc>
          <w:tcPr>
            <w:tcW w:w="277" w:type="pct"/>
            <w:shd w:val="clear" w:color="auto" w:fill="auto"/>
            <w:vAlign w:val="center"/>
          </w:tcPr>
          <w:p w14:paraId="1EEC6C1A" w14:textId="77777777" w:rsidR="00861557" w:rsidRPr="00296D0C" w:rsidRDefault="00861557" w:rsidP="0077247E">
            <w:pPr>
              <w:spacing w:before="40" w:after="0" w:line="240" w:lineRule="auto"/>
              <w:jc w:val="center"/>
              <w:rPr>
                <w:rFonts w:cs="Arial"/>
                <w:color w:val="000000"/>
              </w:rPr>
            </w:pPr>
            <w:r w:rsidRPr="00296D0C">
              <w:rPr>
                <w:rFonts w:cs="Arial"/>
                <w:color w:val="000000"/>
              </w:rPr>
              <w:t>2.85</w:t>
            </w:r>
          </w:p>
        </w:tc>
        <w:tc>
          <w:tcPr>
            <w:tcW w:w="277" w:type="pct"/>
            <w:tcBorders>
              <w:right w:val="single" w:sz="8" w:space="0" w:color="auto"/>
            </w:tcBorders>
            <w:shd w:val="clear" w:color="auto" w:fill="auto"/>
            <w:vAlign w:val="center"/>
          </w:tcPr>
          <w:p w14:paraId="6EFBF417" w14:textId="77777777" w:rsidR="00861557" w:rsidRPr="00296D0C" w:rsidRDefault="00861557" w:rsidP="0077247E">
            <w:pPr>
              <w:spacing w:before="40" w:after="0" w:line="240" w:lineRule="auto"/>
              <w:jc w:val="center"/>
              <w:rPr>
                <w:rFonts w:cs="Arial"/>
                <w:color w:val="000000"/>
              </w:rPr>
            </w:pPr>
            <w:r w:rsidRPr="00296D0C">
              <w:rPr>
                <w:rFonts w:cs="Arial"/>
                <w:color w:val="000000"/>
              </w:rPr>
              <w:t>4.28</w:t>
            </w:r>
          </w:p>
        </w:tc>
        <w:tc>
          <w:tcPr>
            <w:tcW w:w="277" w:type="pct"/>
            <w:tcBorders>
              <w:left w:val="single" w:sz="4" w:space="0" w:color="auto"/>
            </w:tcBorders>
            <w:shd w:val="clear" w:color="auto" w:fill="auto"/>
            <w:vAlign w:val="center"/>
          </w:tcPr>
          <w:p w14:paraId="52CFFD9B" w14:textId="77777777" w:rsidR="00861557" w:rsidRPr="00296D0C" w:rsidRDefault="00861557" w:rsidP="0077247E">
            <w:pPr>
              <w:spacing w:before="40" w:after="0" w:line="240" w:lineRule="auto"/>
              <w:jc w:val="center"/>
              <w:rPr>
                <w:rFonts w:cs="Arial"/>
                <w:color w:val="000000"/>
              </w:rPr>
            </w:pPr>
            <w:r w:rsidRPr="00296D0C">
              <w:rPr>
                <w:rFonts w:cs="Arial"/>
                <w:color w:val="000000"/>
              </w:rPr>
              <w:t>1.29</w:t>
            </w:r>
          </w:p>
        </w:tc>
        <w:tc>
          <w:tcPr>
            <w:tcW w:w="277" w:type="pct"/>
            <w:shd w:val="clear" w:color="auto" w:fill="auto"/>
            <w:vAlign w:val="center"/>
          </w:tcPr>
          <w:p w14:paraId="104108D7" w14:textId="77777777" w:rsidR="00861557" w:rsidRPr="00296D0C" w:rsidRDefault="00861557" w:rsidP="0077247E">
            <w:pPr>
              <w:spacing w:before="40" w:after="0" w:line="240" w:lineRule="auto"/>
              <w:jc w:val="center"/>
              <w:rPr>
                <w:rFonts w:cs="Arial"/>
                <w:color w:val="000000"/>
              </w:rPr>
            </w:pPr>
            <w:r w:rsidRPr="00296D0C">
              <w:rPr>
                <w:rFonts w:cs="Arial"/>
                <w:color w:val="000000"/>
              </w:rPr>
              <w:t>2.57</w:t>
            </w:r>
          </w:p>
        </w:tc>
        <w:tc>
          <w:tcPr>
            <w:tcW w:w="277" w:type="pct"/>
            <w:tcBorders>
              <w:right w:val="single" w:sz="8" w:space="0" w:color="auto"/>
            </w:tcBorders>
            <w:shd w:val="clear" w:color="auto" w:fill="auto"/>
            <w:vAlign w:val="center"/>
          </w:tcPr>
          <w:p w14:paraId="29FCD84E" w14:textId="77777777" w:rsidR="00861557" w:rsidRPr="00296D0C" w:rsidRDefault="00861557" w:rsidP="0077247E">
            <w:pPr>
              <w:spacing w:before="40" w:after="0" w:line="240" w:lineRule="auto"/>
              <w:jc w:val="center"/>
              <w:rPr>
                <w:rFonts w:cs="Arial"/>
                <w:color w:val="000000"/>
              </w:rPr>
            </w:pPr>
            <w:r w:rsidRPr="00296D0C">
              <w:rPr>
                <w:rFonts w:cs="Arial"/>
                <w:color w:val="000000"/>
              </w:rPr>
              <w:t>3.86</w:t>
            </w:r>
          </w:p>
        </w:tc>
        <w:tc>
          <w:tcPr>
            <w:tcW w:w="277" w:type="pct"/>
            <w:tcBorders>
              <w:left w:val="single" w:sz="4" w:space="0" w:color="auto"/>
            </w:tcBorders>
            <w:shd w:val="clear" w:color="auto" w:fill="FFFFFF" w:themeFill="background1"/>
            <w:vAlign w:val="center"/>
          </w:tcPr>
          <w:p w14:paraId="6402E4A7" w14:textId="77777777" w:rsidR="00861557" w:rsidRPr="00296D0C" w:rsidRDefault="00861557" w:rsidP="0077247E">
            <w:pPr>
              <w:spacing w:before="40" w:after="0" w:line="240" w:lineRule="auto"/>
              <w:jc w:val="center"/>
              <w:rPr>
                <w:rFonts w:cs="Arial"/>
                <w:color w:val="000000"/>
              </w:rPr>
            </w:pPr>
            <w:r w:rsidRPr="00296D0C">
              <w:rPr>
                <w:rFonts w:cs="Arial"/>
                <w:color w:val="000000"/>
              </w:rPr>
              <w:t>6.32</w:t>
            </w:r>
          </w:p>
        </w:tc>
        <w:tc>
          <w:tcPr>
            <w:tcW w:w="277" w:type="pct"/>
            <w:shd w:val="clear" w:color="auto" w:fill="FFFFFF" w:themeFill="background1"/>
            <w:vAlign w:val="center"/>
          </w:tcPr>
          <w:p w14:paraId="5E0ABCF9" w14:textId="77777777" w:rsidR="00861557" w:rsidRPr="00296D0C" w:rsidRDefault="00861557" w:rsidP="0077247E">
            <w:pPr>
              <w:spacing w:before="40" w:after="0" w:line="240" w:lineRule="auto"/>
              <w:jc w:val="center"/>
              <w:rPr>
                <w:rFonts w:cs="Arial"/>
                <w:color w:val="000000"/>
              </w:rPr>
            </w:pPr>
            <w:r w:rsidRPr="00296D0C">
              <w:rPr>
                <w:rFonts w:cs="Arial"/>
                <w:color w:val="000000"/>
              </w:rPr>
              <w:t>12.64</w:t>
            </w:r>
          </w:p>
        </w:tc>
        <w:tc>
          <w:tcPr>
            <w:tcW w:w="277" w:type="pct"/>
            <w:tcBorders>
              <w:right w:val="single" w:sz="8" w:space="0" w:color="auto"/>
            </w:tcBorders>
            <w:shd w:val="clear" w:color="auto" w:fill="FFFFFF" w:themeFill="background1"/>
            <w:vAlign w:val="center"/>
          </w:tcPr>
          <w:p w14:paraId="5D008248" w14:textId="77777777" w:rsidR="00861557" w:rsidRPr="00296D0C" w:rsidRDefault="00861557" w:rsidP="0077247E">
            <w:pPr>
              <w:spacing w:before="40" w:after="0" w:line="240" w:lineRule="auto"/>
              <w:jc w:val="center"/>
              <w:rPr>
                <w:rFonts w:cs="Arial"/>
                <w:color w:val="000000"/>
              </w:rPr>
            </w:pPr>
            <w:r w:rsidRPr="00296D0C">
              <w:rPr>
                <w:rFonts w:cs="Arial"/>
                <w:color w:val="000000"/>
              </w:rPr>
              <w:t>18.96</w:t>
            </w:r>
          </w:p>
        </w:tc>
        <w:tc>
          <w:tcPr>
            <w:tcW w:w="277" w:type="pct"/>
            <w:tcBorders>
              <w:left w:val="single" w:sz="4" w:space="0" w:color="auto"/>
            </w:tcBorders>
            <w:shd w:val="clear" w:color="auto" w:fill="FFFFFF" w:themeFill="background1"/>
            <w:vAlign w:val="center"/>
          </w:tcPr>
          <w:p w14:paraId="7792FE96" w14:textId="77777777" w:rsidR="00861557" w:rsidRPr="00296D0C" w:rsidRDefault="00861557" w:rsidP="0077247E">
            <w:pPr>
              <w:spacing w:before="40" w:after="0" w:line="240" w:lineRule="auto"/>
              <w:jc w:val="center"/>
              <w:rPr>
                <w:rFonts w:cs="Arial"/>
                <w:color w:val="000000"/>
              </w:rPr>
            </w:pPr>
            <w:r w:rsidRPr="00296D0C">
              <w:rPr>
                <w:rFonts w:cs="Arial"/>
                <w:color w:val="000000"/>
              </w:rPr>
              <w:t>13.24</w:t>
            </w:r>
          </w:p>
        </w:tc>
        <w:tc>
          <w:tcPr>
            <w:tcW w:w="277" w:type="pct"/>
            <w:shd w:val="clear" w:color="auto" w:fill="FFFFFF" w:themeFill="background1"/>
            <w:vAlign w:val="center"/>
          </w:tcPr>
          <w:p w14:paraId="5D3DB90D" w14:textId="77777777" w:rsidR="00861557" w:rsidRPr="00296D0C" w:rsidRDefault="00861557" w:rsidP="0077247E">
            <w:pPr>
              <w:spacing w:before="40" w:after="0" w:line="240" w:lineRule="auto"/>
              <w:jc w:val="center"/>
              <w:rPr>
                <w:rFonts w:cs="Arial"/>
                <w:color w:val="000000"/>
              </w:rPr>
            </w:pPr>
            <w:r w:rsidRPr="00296D0C">
              <w:rPr>
                <w:rFonts w:cs="Arial"/>
                <w:color w:val="000000"/>
              </w:rPr>
              <w:t>26.48</w:t>
            </w:r>
          </w:p>
        </w:tc>
        <w:tc>
          <w:tcPr>
            <w:tcW w:w="277" w:type="pct"/>
            <w:shd w:val="clear" w:color="auto" w:fill="FFFFFF" w:themeFill="background1"/>
            <w:vAlign w:val="center"/>
          </w:tcPr>
          <w:p w14:paraId="23F10B9B" w14:textId="77777777" w:rsidR="00861557" w:rsidRPr="00296D0C" w:rsidRDefault="00861557" w:rsidP="0077247E">
            <w:pPr>
              <w:spacing w:before="40" w:after="0" w:line="240" w:lineRule="auto"/>
              <w:jc w:val="center"/>
              <w:rPr>
                <w:rFonts w:cs="Arial"/>
                <w:color w:val="000000"/>
              </w:rPr>
            </w:pPr>
            <w:r w:rsidRPr="00296D0C">
              <w:rPr>
                <w:rFonts w:cs="Arial"/>
                <w:color w:val="000000"/>
              </w:rPr>
              <w:t>39.72</w:t>
            </w:r>
          </w:p>
        </w:tc>
      </w:tr>
      <w:tr w:rsidR="00861557" w:rsidRPr="00296D0C" w14:paraId="6720D5F9" w14:textId="77777777" w:rsidTr="0077247E">
        <w:trPr>
          <w:trHeight w:val="330"/>
        </w:trPr>
        <w:tc>
          <w:tcPr>
            <w:tcW w:w="845" w:type="pct"/>
            <w:tcBorders>
              <w:top w:val="nil"/>
              <w:bottom w:val="nil"/>
              <w:right w:val="single" w:sz="4" w:space="0" w:color="auto"/>
            </w:tcBorders>
            <w:shd w:val="clear" w:color="auto" w:fill="auto"/>
            <w:noWrap/>
            <w:vAlign w:val="bottom"/>
            <w:hideMark/>
          </w:tcPr>
          <w:p w14:paraId="2F818449" w14:textId="77777777" w:rsidR="00861557" w:rsidRPr="00296D0C" w:rsidRDefault="00861557" w:rsidP="0077247E">
            <w:pPr>
              <w:spacing w:before="40" w:after="0" w:line="240" w:lineRule="auto"/>
              <w:rPr>
                <w:rFonts w:cs="Arial"/>
                <w:color w:val="000000"/>
                <w:spacing w:val="-6"/>
              </w:rPr>
            </w:pPr>
            <w:r w:rsidRPr="00296D0C">
              <w:rPr>
                <w:rFonts w:cs="Arial"/>
                <w:color w:val="000000"/>
                <w:spacing w:val="-6"/>
              </w:rPr>
              <w:t>School</w:t>
            </w:r>
          </w:p>
        </w:tc>
        <w:tc>
          <w:tcPr>
            <w:tcW w:w="277" w:type="pct"/>
            <w:tcBorders>
              <w:left w:val="single" w:sz="4" w:space="0" w:color="auto"/>
            </w:tcBorders>
            <w:shd w:val="clear" w:color="auto" w:fill="auto"/>
            <w:noWrap/>
            <w:vAlign w:val="center"/>
          </w:tcPr>
          <w:p w14:paraId="16BCBEA9" w14:textId="77777777" w:rsidR="00861557" w:rsidRPr="00296D0C" w:rsidRDefault="00861557" w:rsidP="0077247E">
            <w:pPr>
              <w:spacing w:before="40" w:after="0" w:line="240" w:lineRule="auto"/>
              <w:jc w:val="center"/>
              <w:rPr>
                <w:rFonts w:cs="Arial"/>
                <w:color w:val="000000"/>
              </w:rPr>
            </w:pPr>
            <w:r w:rsidRPr="00296D0C">
              <w:rPr>
                <w:rFonts w:cs="Arial"/>
                <w:color w:val="000000"/>
              </w:rPr>
              <w:t>5.96</w:t>
            </w:r>
          </w:p>
        </w:tc>
        <w:tc>
          <w:tcPr>
            <w:tcW w:w="277" w:type="pct"/>
            <w:shd w:val="clear" w:color="auto" w:fill="auto"/>
            <w:vAlign w:val="center"/>
          </w:tcPr>
          <w:p w14:paraId="61EB2093" w14:textId="77777777" w:rsidR="00861557" w:rsidRPr="00296D0C" w:rsidRDefault="00861557" w:rsidP="0077247E">
            <w:pPr>
              <w:spacing w:before="40" w:after="0" w:line="240" w:lineRule="auto"/>
              <w:jc w:val="center"/>
              <w:rPr>
                <w:rFonts w:cs="Arial"/>
                <w:color w:val="000000"/>
              </w:rPr>
            </w:pPr>
            <w:r w:rsidRPr="00296D0C">
              <w:rPr>
                <w:rFonts w:cs="Arial"/>
                <w:color w:val="000000"/>
              </w:rPr>
              <w:t>5.96</w:t>
            </w:r>
          </w:p>
        </w:tc>
        <w:tc>
          <w:tcPr>
            <w:tcW w:w="277" w:type="pct"/>
            <w:tcBorders>
              <w:right w:val="single" w:sz="8" w:space="0" w:color="auto"/>
            </w:tcBorders>
            <w:shd w:val="clear" w:color="auto" w:fill="auto"/>
            <w:vAlign w:val="center"/>
          </w:tcPr>
          <w:p w14:paraId="144D96AD" w14:textId="77777777" w:rsidR="00861557" w:rsidRPr="00296D0C" w:rsidRDefault="00861557" w:rsidP="0077247E">
            <w:pPr>
              <w:spacing w:before="40" w:after="0" w:line="240" w:lineRule="auto"/>
              <w:jc w:val="center"/>
              <w:rPr>
                <w:rFonts w:cs="Arial"/>
                <w:color w:val="000000"/>
              </w:rPr>
            </w:pPr>
            <w:r w:rsidRPr="00296D0C">
              <w:rPr>
                <w:rFonts w:cs="Arial"/>
                <w:color w:val="000000"/>
              </w:rPr>
              <w:t>5.96</w:t>
            </w:r>
          </w:p>
        </w:tc>
        <w:tc>
          <w:tcPr>
            <w:tcW w:w="277" w:type="pct"/>
            <w:tcBorders>
              <w:left w:val="single" w:sz="4" w:space="0" w:color="auto"/>
            </w:tcBorders>
            <w:shd w:val="clear" w:color="auto" w:fill="auto"/>
            <w:vAlign w:val="center"/>
          </w:tcPr>
          <w:p w14:paraId="7F9A1434" w14:textId="77777777" w:rsidR="00861557" w:rsidRPr="00296D0C" w:rsidRDefault="00861557" w:rsidP="0077247E">
            <w:pPr>
              <w:spacing w:before="40" w:after="0" w:line="240" w:lineRule="auto"/>
              <w:jc w:val="center"/>
              <w:rPr>
                <w:rFonts w:cs="Arial"/>
                <w:color w:val="000000"/>
              </w:rPr>
            </w:pPr>
            <w:r w:rsidRPr="00296D0C">
              <w:rPr>
                <w:rFonts w:cs="Arial"/>
                <w:color w:val="000000"/>
              </w:rPr>
              <w:t>3.62</w:t>
            </w:r>
          </w:p>
        </w:tc>
        <w:tc>
          <w:tcPr>
            <w:tcW w:w="277" w:type="pct"/>
            <w:shd w:val="clear" w:color="auto" w:fill="auto"/>
            <w:vAlign w:val="center"/>
          </w:tcPr>
          <w:p w14:paraId="55061948" w14:textId="77777777" w:rsidR="00861557" w:rsidRPr="00296D0C" w:rsidRDefault="00861557" w:rsidP="0077247E">
            <w:pPr>
              <w:spacing w:before="40" w:after="0" w:line="240" w:lineRule="auto"/>
              <w:jc w:val="center"/>
              <w:rPr>
                <w:rFonts w:cs="Arial"/>
                <w:color w:val="000000"/>
              </w:rPr>
            </w:pPr>
            <w:r w:rsidRPr="00296D0C">
              <w:rPr>
                <w:rFonts w:cs="Arial"/>
                <w:color w:val="000000"/>
              </w:rPr>
              <w:t>3.62</w:t>
            </w:r>
          </w:p>
        </w:tc>
        <w:tc>
          <w:tcPr>
            <w:tcW w:w="277" w:type="pct"/>
            <w:tcBorders>
              <w:right w:val="single" w:sz="8" w:space="0" w:color="auto"/>
            </w:tcBorders>
            <w:shd w:val="clear" w:color="auto" w:fill="auto"/>
            <w:vAlign w:val="center"/>
          </w:tcPr>
          <w:p w14:paraId="6604CBE0" w14:textId="77777777" w:rsidR="00861557" w:rsidRPr="00296D0C" w:rsidRDefault="00861557" w:rsidP="0077247E">
            <w:pPr>
              <w:spacing w:before="40" w:after="0" w:line="240" w:lineRule="auto"/>
              <w:jc w:val="center"/>
              <w:rPr>
                <w:rFonts w:cs="Arial"/>
                <w:color w:val="000000"/>
              </w:rPr>
            </w:pPr>
            <w:r w:rsidRPr="00296D0C">
              <w:rPr>
                <w:rFonts w:cs="Arial"/>
                <w:color w:val="000000"/>
              </w:rPr>
              <w:t>3.62</w:t>
            </w:r>
          </w:p>
        </w:tc>
        <w:tc>
          <w:tcPr>
            <w:tcW w:w="277" w:type="pct"/>
            <w:tcBorders>
              <w:left w:val="single" w:sz="4" w:space="0" w:color="auto"/>
            </w:tcBorders>
            <w:shd w:val="clear" w:color="auto" w:fill="auto"/>
            <w:vAlign w:val="center"/>
          </w:tcPr>
          <w:p w14:paraId="610E3FB7" w14:textId="77777777" w:rsidR="00861557" w:rsidRPr="00296D0C" w:rsidRDefault="00861557" w:rsidP="0077247E">
            <w:pPr>
              <w:spacing w:before="40" w:after="0" w:line="240" w:lineRule="auto"/>
              <w:jc w:val="center"/>
              <w:rPr>
                <w:rFonts w:cs="Arial"/>
                <w:color w:val="000000"/>
              </w:rPr>
            </w:pPr>
            <w:r w:rsidRPr="00296D0C">
              <w:rPr>
                <w:rFonts w:cs="Arial"/>
                <w:color w:val="000000"/>
              </w:rPr>
              <w:t>0.00</w:t>
            </w:r>
          </w:p>
        </w:tc>
        <w:tc>
          <w:tcPr>
            <w:tcW w:w="277" w:type="pct"/>
            <w:shd w:val="clear" w:color="auto" w:fill="auto"/>
            <w:vAlign w:val="center"/>
          </w:tcPr>
          <w:p w14:paraId="7AAF4C88" w14:textId="77777777" w:rsidR="00861557" w:rsidRPr="00296D0C" w:rsidRDefault="00861557" w:rsidP="0077247E">
            <w:pPr>
              <w:spacing w:before="40" w:after="0" w:line="240" w:lineRule="auto"/>
              <w:jc w:val="center"/>
              <w:rPr>
                <w:rFonts w:cs="Arial"/>
                <w:color w:val="000000"/>
              </w:rPr>
            </w:pPr>
            <w:r w:rsidRPr="00296D0C">
              <w:rPr>
                <w:rFonts w:cs="Arial"/>
                <w:color w:val="000000"/>
              </w:rPr>
              <w:t>0.00</w:t>
            </w:r>
          </w:p>
        </w:tc>
        <w:tc>
          <w:tcPr>
            <w:tcW w:w="277" w:type="pct"/>
            <w:tcBorders>
              <w:right w:val="single" w:sz="8" w:space="0" w:color="auto"/>
            </w:tcBorders>
            <w:shd w:val="clear" w:color="auto" w:fill="auto"/>
            <w:vAlign w:val="center"/>
          </w:tcPr>
          <w:p w14:paraId="321803AE" w14:textId="77777777" w:rsidR="00861557" w:rsidRPr="00296D0C" w:rsidRDefault="00861557" w:rsidP="0077247E">
            <w:pPr>
              <w:spacing w:before="40" w:after="0" w:line="240" w:lineRule="auto"/>
              <w:jc w:val="center"/>
              <w:rPr>
                <w:rFonts w:cs="Arial"/>
                <w:color w:val="000000"/>
              </w:rPr>
            </w:pPr>
            <w:r w:rsidRPr="00296D0C">
              <w:rPr>
                <w:rFonts w:cs="Arial"/>
                <w:color w:val="000000"/>
              </w:rPr>
              <w:t>0.00</w:t>
            </w:r>
          </w:p>
        </w:tc>
        <w:tc>
          <w:tcPr>
            <w:tcW w:w="277" w:type="pct"/>
            <w:tcBorders>
              <w:left w:val="single" w:sz="4" w:space="0" w:color="auto"/>
            </w:tcBorders>
            <w:shd w:val="clear" w:color="auto" w:fill="FFFFFF" w:themeFill="background1"/>
            <w:vAlign w:val="center"/>
          </w:tcPr>
          <w:p w14:paraId="5E51F0DE" w14:textId="77777777" w:rsidR="00861557" w:rsidRPr="00296D0C" w:rsidRDefault="00861557" w:rsidP="0077247E">
            <w:pPr>
              <w:spacing w:before="40" w:after="0" w:line="240" w:lineRule="auto"/>
              <w:jc w:val="center"/>
              <w:rPr>
                <w:rFonts w:cs="Arial"/>
                <w:color w:val="000000"/>
              </w:rPr>
            </w:pPr>
            <w:r w:rsidRPr="00296D0C">
              <w:rPr>
                <w:rFonts w:cs="Arial"/>
                <w:color w:val="000000"/>
              </w:rPr>
              <w:t>0.85</w:t>
            </w:r>
          </w:p>
        </w:tc>
        <w:tc>
          <w:tcPr>
            <w:tcW w:w="277" w:type="pct"/>
            <w:shd w:val="clear" w:color="auto" w:fill="FFFFFF" w:themeFill="background1"/>
            <w:vAlign w:val="center"/>
          </w:tcPr>
          <w:p w14:paraId="08925981" w14:textId="77777777" w:rsidR="00861557" w:rsidRPr="00296D0C" w:rsidRDefault="00861557" w:rsidP="0077247E">
            <w:pPr>
              <w:spacing w:before="40" w:after="0" w:line="240" w:lineRule="auto"/>
              <w:jc w:val="center"/>
              <w:rPr>
                <w:rFonts w:cs="Arial"/>
                <w:color w:val="000000"/>
              </w:rPr>
            </w:pPr>
            <w:r w:rsidRPr="00296D0C">
              <w:rPr>
                <w:rFonts w:cs="Arial"/>
                <w:color w:val="000000"/>
              </w:rPr>
              <w:t>0.85</w:t>
            </w:r>
          </w:p>
        </w:tc>
        <w:tc>
          <w:tcPr>
            <w:tcW w:w="277" w:type="pct"/>
            <w:tcBorders>
              <w:right w:val="single" w:sz="8" w:space="0" w:color="auto"/>
            </w:tcBorders>
            <w:shd w:val="clear" w:color="auto" w:fill="FFFFFF" w:themeFill="background1"/>
            <w:vAlign w:val="center"/>
          </w:tcPr>
          <w:p w14:paraId="71807012" w14:textId="77777777" w:rsidR="00861557" w:rsidRPr="00296D0C" w:rsidRDefault="00861557" w:rsidP="0077247E">
            <w:pPr>
              <w:spacing w:before="40" w:after="0" w:line="240" w:lineRule="auto"/>
              <w:jc w:val="center"/>
              <w:rPr>
                <w:rFonts w:cs="Arial"/>
                <w:color w:val="000000"/>
              </w:rPr>
            </w:pPr>
            <w:r w:rsidRPr="00296D0C">
              <w:rPr>
                <w:rFonts w:cs="Arial"/>
                <w:color w:val="000000"/>
              </w:rPr>
              <w:t>0.85</w:t>
            </w:r>
          </w:p>
        </w:tc>
        <w:tc>
          <w:tcPr>
            <w:tcW w:w="277" w:type="pct"/>
            <w:tcBorders>
              <w:left w:val="single" w:sz="4" w:space="0" w:color="auto"/>
            </w:tcBorders>
            <w:shd w:val="clear" w:color="auto" w:fill="FFFFFF" w:themeFill="background1"/>
            <w:vAlign w:val="center"/>
          </w:tcPr>
          <w:p w14:paraId="675843F2" w14:textId="77777777" w:rsidR="00861557" w:rsidRPr="00296D0C" w:rsidRDefault="00861557" w:rsidP="0077247E">
            <w:pPr>
              <w:spacing w:before="40" w:after="0" w:line="240" w:lineRule="auto"/>
              <w:jc w:val="center"/>
              <w:rPr>
                <w:rFonts w:cs="Arial"/>
                <w:color w:val="000000"/>
              </w:rPr>
            </w:pPr>
            <w:r w:rsidRPr="00296D0C">
              <w:rPr>
                <w:rFonts w:cs="Arial"/>
                <w:color w:val="000000"/>
              </w:rPr>
              <w:t>2.52</w:t>
            </w:r>
          </w:p>
        </w:tc>
        <w:tc>
          <w:tcPr>
            <w:tcW w:w="277" w:type="pct"/>
            <w:shd w:val="clear" w:color="auto" w:fill="FFFFFF" w:themeFill="background1"/>
            <w:vAlign w:val="center"/>
          </w:tcPr>
          <w:p w14:paraId="403379D9" w14:textId="77777777" w:rsidR="00861557" w:rsidRPr="00296D0C" w:rsidRDefault="00861557" w:rsidP="0077247E">
            <w:pPr>
              <w:spacing w:before="40" w:after="0" w:line="240" w:lineRule="auto"/>
              <w:jc w:val="center"/>
              <w:rPr>
                <w:rFonts w:cs="Arial"/>
                <w:color w:val="000000"/>
              </w:rPr>
            </w:pPr>
            <w:r w:rsidRPr="00296D0C">
              <w:rPr>
                <w:rFonts w:cs="Arial"/>
                <w:color w:val="000000"/>
              </w:rPr>
              <w:t>2.52</w:t>
            </w:r>
          </w:p>
        </w:tc>
        <w:tc>
          <w:tcPr>
            <w:tcW w:w="277" w:type="pct"/>
            <w:shd w:val="clear" w:color="auto" w:fill="FFFFFF" w:themeFill="background1"/>
            <w:vAlign w:val="center"/>
          </w:tcPr>
          <w:p w14:paraId="11D658FE" w14:textId="77777777" w:rsidR="00861557" w:rsidRPr="00296D0C" w:rsidRDefault="00861557" w:rsidP="0077247E">
            <w:pPr>
              <w:spacing w:before="40" w:after="0" w:line="240" w:lineRule="auto"/>
              <w:jc w:val="center"/>
              <w:rPr>
                <w:rFonts w:cs="Arial"/>
                <w:color w:val="000000"/>
              </w:rPr>
            </w:pPr>
            <w:r w:rsidRPr="00296D0C">
              <w:rPr>
                <w:rFonts w:cs="Arial"/>
                <w:color w:val="000000"/>
              </w:rPr>
              <w:t>2.52</w:t>
            </w:r>
          </w:p>
        </w:tc>
      </w:tr>
      <w:tr w:rsidR="00861557" w:rsidRPr="00296D0C" w14:paraId="2ABC1CD3" w14:textId="77777777" w:rsidTr="0077247E">
        <w:trPr>
          <w:trHeight w:val="345"/>
        </w:trPr>
        <w:tc>
          <w:tcPr>
            <w:tcW w:w="845" w:type="pct"/>
            <w:tcBorders>
              <w:top w:val="nil"/>
              <w:bottom w:val="single" w:sz="8" w:space="0" w:color="auto"/>
              <w:right w:val="single" w:sz="4" w:space="0" w:color="auto"/>
            </w:tcBorders>
            <w:shd w:val="clear" w:color="auto" w:fill="auto"/>
            <w:noWrap/>
            <w:vAlign w:val="bottom"/>
            <w:hideMark/>
          </w:tcPr>
          <w:p w14:paraId="71BD9928" w14:textId="77777777" w:rsidR="00861557" w:rsidRPr="00296D0C" w:rsidRDefault="00861557" w:rsidP="0077247E">
            <w:pPr>
              <w:spacing w:before="40" w:after="0" w:line="240" w:lineRule="auto"/>
              <w:rPr>
                <w:rFonts w:cs="Arial"/>
                <w:color w:val="000000"/>
                <w:spacing w:val="-6"/>
              </w:rPr>
            </w:pPr>
            <w:r w:rsidRPr="00296D0C">
              <w:rPr>
                <w:rFonts w:cs="Arial"/>
                <w:color w:val="000000"/>
                <w:spacing w:val="-6"/>
              </w:rPr>
              <w:t>Total</w:t>
            </w:r>
          </w:p>
        </w:tc>
        <w:tc>
          <w:tcPr>
            <w:tcW w:w="277" w:type="pct"/>
            <w:tcBorders>
              <w:left w:val="single" w:sz="4" w:space="0" w:color="auto"/>
              <w:bottom w:val="single" w:sz="4" w:space="0" w:color="auto"/>
            </w:tcBorders>
            <w:shd w:val="clear" w:color="auto" w:fill="auto"/>
            <w:noWrap/>
            <w:vAlign w:val="center"/>
          </w:tcPr>
          <w:p w14:paraId="11A97C5C" w14:textId="77777777" w:rsidR="00861557" w:rsidRPr="00296D0C" w:rsidRDefault="00861557" w:rsidP="0077247E">
            <w:pPr>
              <w:spacing w:before="40" w:after="0" w:line="240" w:lineRule="auto"/>
              <w:jc w:val="center"/>
              <w:rPr>
                <w:rFonts w:cs="Arial"/>
                <w:color w:val="000000"/>
              </w:rPr>
            </w:pPr>
            <w:r w:rsidRPr="00296D0C">
              <w:rPr>
                <w:rFonts w:cs="Arial"/>
                <w:color w:val="000000"/>
              </w:rPr>
              <w:t>14.43</w:t>
            </w:r>
          </w:p>
        </w:tc>
        <w:tc>
          <w:tcPr>
            <w:tcW w:w="277" w:type="pct"/>
            <w:tcBorders>
              <w:bottom w:val="single" w:sz="4" w:space="0" w:color="auto"/>
            </w:tcBorders>
            <w:shd w:val="clear" w:color="auto" w:fill="auto"/>
            <w:vAlign w:val="center"/>
          </w:tcPr>
          <w:p w14:paraId="2E148D65" w14:textId="77777777" w:rsidR="00861557" w:rsidRPr="00296D0C" w:rsidRDefault="00861557" w:rsidP="0077247E">
            <w:pPr>
              <w:spacing w:before="40" w:after="0" w:line="240" w:lineRule="auto"/>
              <w:jc w:val="center"/>
              <w:rPr>
                <w:rFonts w:cs="Arial"/>
                <w:color w:val="000000"/>
              </w:rPr>
            </w:pPr>
            <w:r w:rsidRPr="00296D0C">
              <w:rPr>
                <w:rFonts w:cs="Arial"/>
                <w:color w:val="000000"/>
              </w:rPr>
              <w:t>22.89</w:t>
            </w:r>
          </w:p>
        </w:tc>
        <w:tc>
          <w:tcPr>
            <w:tcW w:w="277" w:type="pct"/>
            <w:tcBorders>
              <w:bottom w:val="single" w:sz="4" w:space="0" w:color="auto"/>
              <w:right w:val="single" w:sz="8" w:space="0" w:color="auto"/>
            </w:tcBorders>
            <w:shd w:val="clear" w:color="auto" w:fill="auto"/>
            <w:vAlign w:val="center"/>
          </w:tcPr>
          <w:p w14:paraId="65812977" w14:textId="77777777" w:rsidR="00861557" w:rsidRPr="00296D0C" w:rsidRDefault="00861557" w:rsidP="0077247E">
            <w:pPr>
              <w:spacing w:before="40" w:after="0" w:line="240" w:lineRule="auto"/>
              <w:jc w:val="center"/>
              <w:rPr>
                <w:rFonts w:cs="Arial"/>
                <w:color w:val="000000"/>
              </w:rPr>
            </w:pPr>
            <w:r w:rsidRPr="00296D0C">
              <w:rPr>
                <w:rFonts w:cs="Arial"/>
                <w:color w:val="000000"/>
              </w:rPr>
              <w:t>31.36</w:t>
            </w:r>
          </w:p>
        </w:tc>
        <w:tc>
          <w:tcPr>
            <w:tcW w:w="277" w:type="pct"/>
            <w:tcBorders>
              <w:left w:val="single" w:sz="4" w:space="0" w:color="auto"/>
              <w:bottom w:val="single" w:sz="4" w:space="0" w:color="auto"/>
            </w:tcBorders>
            <w:shd w:val="clear" w:color="auto" w:fill="auto"/>
            <w:vAlign w:val="center"/>
          </w:tcPr>
          <w:p w14:paraId="2720A8E7" w14:textId="77777777" w:rsidR="00861557" w:rsidRPr="00296D0C" w:rsidRDefault="00861557" w:rsidP="0077247E">
            <w:pPr>
              <w:spacing w:before="40" w:after="0" w:line="240" w:lineRule="auto"/>
              <w:jc w:val="center"/>
              <w:rPr>
                <w:rFonts w:cs="Arial"/>
                <w:color w:val="000000"/>
              </w:rPr>
            </w:pPr>
            <w:r w:rsidRPr="00296D0C">
              <w:rPr>
                <w:rFonts w:cs="Arial"/>
                <w:color w:val="000000"/>
              </w:rPr>
              <w:t>5.05</w:t>
            </w:r>
          </w:p>
        </w:tc>
        <w:tc>
          <w:tcPr>
            <w:tcW w:w="277" w:type="pct"/>
            <w:tcBorders>
              <w:bottom w:val="single" w:sz="4" w:space="0" w:color="auto"/>
            </w:tcBorders>
            <w:shd w:val="clear" w:color="auto" w:fill="auto"/>
            <w:vAlign w:val="center"/>
          </w:tcPr>
          <w:p w14:paraId="2AFC6443" w14:textId="77777777" w:rsidR="00861557" w:rsidRPr="00296D0C" w:rsidRDefault="00861557" w:rsidP="0077247E">
            <w:pPr>
              <w:spacing w:before="40" w:after="0" w:line="240" w:lineRule="auto"/>
              <w:jc w:val="center"/>
              <w:rPr>
                <w:rFonts w:cs="Arial"/>
                <w:color w:val="000000"/>
              </w:rPr>
            </w:pPr>
            <w:r w:rsidRPr="00296D0C">
              <w:rPr>
                <w:rFonts w:cs="Arial"/>
                <w:color w:val="000000"/>
              </w:rPr>
              <w:t>6.47</w:t>
            </w:r>
          </w:p>
        </w:tc>
        <w:tc>
          <w:tcPr>
            <w:tcW w:w="277" w:type="pct"/>
            <w:tcBorders>
              <w:bottom w:val="single" w:sz="4" w:space="0" w:color="auto"/>
              <w:right w:val="single" w:sz="8" w:space="0" w:color="auto"/>
            </w:tcBorders>
            <w:shd w:val="clear" w:color="auto" w:fill="auto"/>
            <w:vAlign w:val="center"/>
          </w:tcPr>
          <w:p w14:paraId="2F9F169D" w14:textId="77777777" w:rsidR="00861557" w:rsidRPr="00296D0C" w:rsidRDefault="00861557" w:rsidP="0077247E">
            <w:pPr>
              <w:spacing w:before="40" w:after="0" w:line="240" w:lineRule="auto"/>
              <w:jc w:val="center"/>
              <w:rPr>
                <w:rFonts w:cs="Arial"/>
                <w:color w:val="000000"/>
              </w:rPr>
            </w:pPr>
            <w:r w:rsidRPr="00296D0C">
              <w:rPr>
                <w:rFonts w:cs="Arial"/>
                <w:color w:val="000000"/>
              </w:rPr>
              <w:t>7.90</w:t>
            </w:r>
          </w:p>
        </w:tc>
        <w:tc>
          <w:tcPr>
            <w:tcW w:w="277" w:type="pct"/>
            <w:tcBorders>
              <w:left w:val="single" w:sz="4" w:space="0" w:color="auto"/>
              <w:bottom w:val="single" w:sz="4" w:space="0" w:color="auto"/>
            </w:tcBorders>
            <w:shd w:val="clear" w:color="auto" w:fill="auto"/>
            <w:vAlign w:val="center"/>
          </w:tcPr>
          <w:p w14:paraId="05334853" w14:textId="77777777" w:rsidR="00861557" w:rsidRPr="00296D0C" w:rsidRDefault="00861557" w:rsidP="0077247E">
            <w:pPr>
              <w:spacing w:before="40" w:after="0" w:line="240" w:lineRule="auto"/>
              <w:jc w:val="center"/>
              <w:rPr>
                <w:rFonts w:cs="Arial"/>
                <w:color w:val="000000"/>
              </w:rPr>
            </w:pPr>
            <w:r w:rsidRPr="00296D0C">
              <w:rPr>
                <w:rFonts w:cs="Arial"/>
                <w:color w:val="000000"/>
              </w:rPr>
              <w:t>1.29</w:t>
            </w:r>
          </w:p>
        </w:tc>
        <w:tc>
          <w:tcPr>
            <w:tcW w:w="277" w:type="pct"/>
            <w:tcBorders>
              <w:bottom w:val="single" w:sz="4" w:space="0" w:color="auto"/>
            </w:tcBorders>
            <w:shd w:val="clear" w:color="auto" w:fill="auto"/>
            <w:vAlign w:val="center"/>
          </w:tcPr>
          <w:p w14:paraId="1B6A4FFA" w14:textId="77777777" w:rsidR="00861557" w:rsidRPr="00296D0C" w:rsidRDefault="00861557" w:rsidP="0077247E">
            <w:pPr>
              <w:spacing w:before="40" w:after="0" w:line="240" w:lineRule="auto"/>
              <w:jc w:val="center"/>
              <w:rPr>
                <w:rFonts w:cs="Arial"/>
                <w:color w:val="000000"/>
              </w:rPr>
            </w:pPr>
            <w:r w:rsidRPr="00296D0C">
              <w:rPr>
                <w:rFonts w:cs="Arial"/>
                <w:color w:val="000000"/>
              </w:rPr>
              <w:t>2.57</w:t>
            </w:r>
          </w:p>
        </w:tc>
        <w:tc>
          <w:tcPr>
            <w:tcW w:w="277" w:type="pct"/>
            <w:tcBorders>
              <w:bottom w:val="single" w:sz="4" w:space="0" w:color="auto"/>
              <w:right w:val="single" w:sz="8" w:space="0" w:color="auto"/>
            </w:tcBorders>
            <w:shd w:val="clear" w:color="auto" w:fill="auto"/>
            <w:vAlign w:val="center"/>
          </w:tcPr>
          <w:p w14:paraId="588AE9A8" w14:textId="77777777" w:rsidR="00861557" w:rsidRPr="00296D0C" w:rsidRDefault="00861557" w:rsidP="0077247E">
            <w:pPr>
              <w:spacing w:before="40" w:after="0" w:line="240" w:lineRule="auto"/>
              <w:jc w:val="center"/>
              <w:rPr>
                <w:rFonts w:cs="Arial"/>
                <w:color w:val="000000"/>
              </w:rPr>
            </w:pPr>
            <w:r w:rsidRPr="00296D0C">
              <w:rPr>
                <w:rFonts w:cs="Arial"/>
                <w:color w:val="000000"/>
              </w:rPr>
              <w:t>3.86</w:t>
            </w:r>
          </w:p>
        </w:tc>
        <w:tc>
          <w:tcPr>
            <w:tcW w:w="277" w:type="pct"/>
            <w:tcBorders>
              <w:left w:val="single" w:sz="4" w:space="0" w:color="auto"/>
              <w:bottom w:val="single" w:sz="4" w:space="0" w:color="auto"/>
            </w:tcBorders>
            <w:shd w:val="clear" w:color="auto" w:fill="FFFFFF" w:themeFill="background1"/>
            <w:vAlign w:val="center"/>
          </w:tcPr>
          <w:p w14:paraId="6432C8F1" w14:textId="77777777" w:rsidR="00861557" w:rsidRPr="00296D0C" w:rsidRDefault="00861557" w:rsidP="0077247E">
            <w:pPr>
              <w:spacing w:before="40" w:after="0" w:line="240" w:lineRule="auto"/>
              <w:jc w:val="center"/>
              <w:rPr>
                <w:rFonts w:cs="Arial"/>
                <w:color w:val="000000"/>
              </w:rPr>
            </w:pPr>
            <w:r w:rsidRPr="00296D0C">
              <w:rPr>
                <w:rFonts w:cs="Arial"/>
                <w:color w:val="000000"/>
              </w:rPr>
              <w:t>7.17</w:t>
            </w:r>
          </w:p>
        </w:tc>
        <w:tc>
          <w:tcPr>
            <w:tcW w:w="277" w:type="pct"/>
            <w:tcBorders>
              <w:bottom w:val="single" w:sz="4" w:space="0" w:color="auto"/>
            </w:tcBorders>
            <w:shd w:val="clear" w:color="auto" w:fill="FFFFFF" w:themeFill="background1"/>
            <w:vAlign w:val="center"/>
          </w:tcPr>
          <w:p w14:paraId="0B53A982" w14:textId="77777777" w:rsidR="00861557" w:rsidRPr="00296D0C" w:rsidRDefault="00861557" w:rsidP="0077247E">
            <w:pPr>
              <w:spacing w:before="40" w:after="0" w:line="240" w:lineRule="auto"/>
              <w:jc w:val="center"/>
              <w:rPr>
                <w:rFonts w:cs="Arial"/>
                <w:color w:val="000000"/>
              </w:rPr>
            </w:pPr>
            <w:r w:rsidRPr="00296D0C">
              <w:rPr>
                <w:rFonts w:cs="Arial"/>
                <w:color w:val="000000"/>
              </w:rPr>
              <w:t>13.49</w:t>
            </w:r>
          </w:p>
        </w:tc>
        <w:tc>
          <w:tcPr>
            <w:tcW w:w="277" w:type="pct"/>
            <w:tcBorders>
              <w:bottom w:val="single" w:sz="4" w:space="0" w:color="auto"/>
              <w:right w:val="single" w:sz="8" w:space="0" w:color="auto"/>
            </w:tcBorders>
            <w:shd w:val="clear" w:color="auto" w:fill="FFFFFF" w:themeFill="background1"/>
            <w:vAlign w:val="center"/>
          </w:tcPr>
          <w:p w14:paraId="239A9F8B" w14:textId="77777777" w:rsidR="00861557" w:rsidRPr="00296D0C" w:rsidRDefault="00861557" w:rsidP="0077247E">
            <w:pPr>
              <w:spacing w:before="40" w:after="0" w:line="240" w:lineRule="auto"/>
              <w:jc w:val="center"/>
              <w:rPr>
                <w:rFonts w:cs="Arial"/>
                <w:color w:val="000000"/>
              </w:rPr>
            </w:pPr>
            <w:r w:rsidRPr="00296D0C">
              <w:rPr>
                <w:rFonts w:cs="Arial"/>
                <w:color w:val="000000"/>
              </w:rPr>
              <w:t>19.81</w:t>
            </w:r>
          </w:p>
        </w:tc>
        <w:tc>
          <w:tcPr>
            <w:tcW w:w="277" w:type="pct"/>
            <w:tcBorders>
              <w:left w:val="single" w:sz="4" w:space="0" w:color="auto"/>
              <w:bottom w:val="single" w:sz="4" w:space="0" w:color="auto"/>
            </w:tcBorders>
            <w:shd w:val="clear" w:color="auto" w:fill="FFFFFF" w:themeFill="background1"/>
            <w:vAlign w:val="center"/>
          </w:tcPr>
          <w:p w14:paraId="7DE75DA0" w14:textId="77777777" w:rsidR="00861557" w:rsidRPr="00296D0C" w:rsidRDefault="00861557" w:rsidP="0077247E">
            <w:pPr>
              <w:spacing w:before="40" w:after="0" w:line="240" w:lineRule="auto"/>
              <w:jc w:val="center"/>
              <w:rPr>
                <w:rFonts w:cs="Arial"/>
                <w:color w:val="000000"/>
              </w:rPr>
            </w:pPr>
            <w:r w:rsidRPr="00296D0C">
              <w:rPr>
                <w:rFonts w:cs="Arial"/>
                <w:color w:val="000000"/>
              </w:rPr>
              <w:t>15.76</w:t>
            </w:r>
          </w:p>
        </w:tc>
        <w:tc>
          <w:tcPr>
            <w:tcW w:w="277" w:type="pct"/>
            <w:tcBorders>
              <w:bottom w:val="single" w:sz="4" w:space="0" w:color="auto"/>
            </w:tcBorders>
            <w:shd w:val="clear" w:color="auto" w:fill="FFFFFF" w:themeFill="background1"/>
            <w:vAlign w:val="center"/>
          </w:tcPr>
          <w:p w14:paraId="2FFFC3EE" w14:textId="77777777" w:rsidR="00861557" w:rsidRPr="00296D0C" w:rsidRDefault="00861557" w:rsidP="0077247E">
            <w:pPr>
              <w:spacing w:before="40" w:after="0" w:line="240" w:lineRule="auto"/>
              <w:jc w:val="center"/>
              <w:rPr>
                <w:rFonts w:cs="Arial"/>
                <w:color w:val="000000"/>
              </w:rPr>
            </w:pPr>
            <w:r w:rsidRPr="00296D0C">
              <w:rPr>
                <w:rFonts w:cs="Arial"/>
                <w:color w:val="000000"/>
              </w:rPr>
              <w:t>29.00</w:t>
            </w:r>
          </w:p>
        </w:tc>
        <w:tc>
          <w:tcPr>
            <w:tcW w:w="277" w:type="pct"/>
            <w:tcBorders>
              <w:bottom w:val="single" w:sz="4" w:space="0" w:color="auto"/>
            </w:tcBorders>
            <w:shd w:val="clear" w:color="auto" w:fill="FFFFFF" w:themeFill="background1"/>
            <w:vAlign w:val="center"/>
          </w:tcPr>
          <w:p w14:paraId="020C3E3B" w14:textId="77777777" w:rsidR="00861557" w:rsidRPr="00296D0C" w:rsidRDefault="00861557" w:rsidP="0077247E">
            <w:pPr>
              <w:spacing w:before="40" w:after="0" w:line="240" w:lineRule="auto"/>
              <w:jc w:val="center"/>
              <w:rPr>
                <w:rFonts w:cs="Arial"/>
                <w:color w:val="000000"/>
              </w:rPr>
            </w:pPr>
            <w:r w:rsidRPr="00296D0C">
              <w:rPr>
                <w:rFonts w:cs="Arial"/>
                <w:color w:val="000000"/>
              </w:rPr>
              <w:t>42.24</w:t>
            </w:r>
          </w:p>
        </w:tc>
      </w:tr>
      <w:tr w:rsidR="00861557" w:rsidRPr="00296D0C" w14:paraId="5CD58A7E" w14:textId="77777777" w:rsidTr="0077247E">
        <w:trPr>
          <w:trHeight w:val="330"/>
        </w:trPr>
        <w:tc>
          <w:tcPr>
            <w:tcW w:w="845" w:type="pct"/>
            <w:tcBorders>
              <w:top w:val="single" w:sz="8" w:space="0" w:color="auto"/>
              <w:bottom w:val="nil"/>
              <w:right w:val="single" w:sz="4" w:space="0" w:color="auto"/>
            </w:tcBorders>
            <w:shd w:val="clear" w:color="auto" w:fill="auto"/>
            <w:noWrap/>
            <w:vAlign w:val="bottom"/>
            <w:hideMark/>
          </w:tcPr>
          <w:p w14:paraId="0DAA97C2" w14:textId="77777777" w:rsidR="00861557" w:rsidRPr="00296D0C" w:rsidRDefault="00861557" w:rsidP="0077247E">
            <w:pPr>
              <w:spacing w:before="40" w:after="0" w:line="240" w:lineRule="auto"/>
              <w:rPr>
                <w:rFonts w:cs="Arial"/>
                <w:bCs/>
                <w:i/>
                <w:color w:val="000000"/>
                <w:spacing w:val="-6"/>
              </w:rPr>
            </w:pPr>
            <w:r w:rsidRPr="00296D0C">
              <w:rPr>
                <w:rFonts w:cs="Arial"/>
                <w:bCs/>
                <w:i/>
                <w:color w:val="000000"/>
                <w:spacing w:val="-6"/>
              </w:rPr>
              <w:t>Task time</w:t>
            </w:r>
          </w:p>
        </w:tc>
        <w:tc>
          <w:tcPr>
            <w:tcW w:w="277" w:type="pct"/>
            <w:tcBorders>
              <w:top w:val="single" w:sz="4" w:space="0" w:color="auto"/>
              <w:left w:val="nil"/>
            </w:tcBorders>
            <w:shd w:val="clear" w:color="auto" w:fill="auto"/>
            <w:noWrap/>
            <w:vAlign w:val="center"/>
          </w:tcPr>
          <w:p w14:paraId="648CB46F" w14:textId="77777777" w:rsidR="00861557" w:rsidRPr="00296D0C" w:rsidRDefault="00861557" w:rsidP="0077247E">
            <w:pPr>
              <w:spacing w:before="40" w:after="0" w:line="240" w:lineRule="auto"/>
              <w:jc w:val="center"/>
              <w:rPr>
                <w:rFonts w:cs="Arial"/>
                <w:color w:val="000000"/>
              </w:rPr>
            </w:pPr>
          </w:p>
        </w:tc>
        <w:tc>
          <w:tcPr>
            <w:tcW w:w="277" w:type="pct"/>
            <w:tcBorders>
              <w:top w:val="single" w:sz="4" w:space="0" w:color="auto"/>
            </w:tcBorders>
            <w:shd w:val="clear" w:color="auto" w:fill="auto"/>
            <w:vAlign w:val="center"/>
          </w:tcPr>
          <w:p w14:paraId="04F2E0B1" w14:textId="77777777" w:rsidR="00861557" w:rsidRPr="00296D0C" w:rsidRDefault="00861557" w:rsidP="0077247E">
            <w:pPr>
              <w:spacing w:before="40" w:after="0" w:line="240" w:lineRule="auto"/>
              <w:jc w:val="center"/>
              <w:rPr>
                <w:rFonts w:cs="Arial"/>
                <w:color w:val="000000"/>
              </w:rPr>
            </w:pPr>
          </w:p>
        </w:tc>
        <w:tc>
          <w:tcPr>
            <w:tcW w:w="277" w:type="pct"/>
            <w:tcBorders>
              <w:top w:val="single" w:sz="4" w:space="0" w:color="auto"/>
              <w:right w:val="single" w:sz="8" w:space="0" w:color="auto"/>
            </w:tcBorders>
            <w:shd w:val="clear" w:color="auto" w:fill="auto"/>
            <w:vAlign w:val="center"/>
          </w:tcPr>
          <w:p w14:paraId="74A29C05" w14:textId="77777777" w:rsidR="00861557" w:rsidRPr="00296D0C" w:rsidRDefault="00861557" w:rsidP="0077247E">
            <w:pPr>
              <w:spacing w:before="40" w:after="0" w:line="240" w:lineRule="auto"/>
              <w:jc w:val="center"/>
              <w:rPr>
                <w:rFonts w:cs="Arial"/>
                <w:color w:val="000000"/>
              </w:rPr>
            </w:pPr>
          </w:p>
        </w:tc>
        <w:tc>
          <w:tcPr>
            <w:tcW w:w="277" w:type="pct"/>
            <w:tcBorders>
              <w:top w:val="single" w:sz="4" w:space="0" w:color="auto"/>
              <w:left w:val="nil"/>
            </w:tcBorders>
            <w:shd w:val="clear" w:color="auto" w:fill="auto"/>
            <w:vAlign w:val="center"/>
          </w:tcPr>
          <w:p w14:paraId="1D487516" w14:textId="77777777" w:rsidR="00861557" w:rsidRPr="00296D0C" w:rsidRDefault="00861557" w:rsidP="0077247E">
            <w:pPr>
              <w:spacing w:before="40" w:after="0" w:line="240" w:lineRule="auto"/>
              <w:jc w:val="center"/>
              <w:rPr>
                <w:rFonts w:cs="Arial"/>
                <w:color w:val="000000"/>
              </w:rPr>
            </w:pPr>
          </w:p>
        </w:tc>
        <w:tc>
          <w:tcPr>
            <w:tcW w:w="277" w:type="pct"/>
            <w:tcBorders>
              <w:top w:val="single" w:sz="4" w:space="0" w:color="auto"/>
            </w:tcBorders>
            <w:shd w:val="clear" w:color="auto" w:fill="auto"/>
            <w:vAlign w:val="center"/>
          </w:tcPr>
          <w:p w14:paraId="7FC09DD6" w14:textId="77777777" w:rsidR="00861557" w:rsidRPr="00296D0C" w:rsidRDefault="00861557" w:rsidP="0077247E">
            <w:pPr>
              <w:spacing w:before="40" w:after="0" w:line="240" w:lineRule="auto"/>
              <w:jc w:val="center"/>
              <w:rPr>
                <w:rFonts w:cs="Arial"/>
                <w:color w:val="000000"/>
              </w:rPr>
            </w:pPr>
          </w:p>
        </w:tc>
        <w:tc>
          <w:tcPr>
            <w:tcW w:w="277" w:type="pct"/>
            <w:tcBorders>
              <w:top w:val="single" w:sz="4" w:space="0" w:color="auto"/>
              <w:right w:val="single" w:sz="8" w:space="0" w:color="auto"/>
            </w:tcBorders>
            <w:shd w:val="clear" w:color="auto" w:fill="auto"/>
            <w:vAlign w:val="center"/>
          </w:tcPr>
          <w:p w14:paraId="1B741A93" w14:textId="77777777" w:rsidR="00861557" w:rsidRPr="00296D0C" w:rsidRDefault="00861557" w:rsidP="0077247E">
            <w:pPr>
              <w:spacing w:before="40" w:after="0" w:line="240" w:lineRule="auto"/>
              <w:jc w:val="center"/>
              <w:rPr>
                <w:rFonts w:cs="Arial"/>
                <w:color w:val="000000"/>
              </w:rPr>
            </w:pPr>
          </w:p>
        </w:tc>
        <w:tc>
          <w:tcPr>
            <w:tcW w:w="277" w:type="pct"/>
            <w:tcBorders>
              <w:top w:val="single" w:sz="4" w:space="0" w:color="auto"/>
              <w:left w:val="nil"/>
            </w:tcBorders>
            <w:shd w:val="clear" w:color="auto" w:fill="auto"/>
            <w:vAlign w:val="center"/>
          </w:tcPr>
          <w:p w14:paraId="502C2862" w14:textId="77777777" w:rsidR="00861557" w:rsidRPr="00296D0C" w:rsidRDefault="00861557" w:rsidP="0077247E">
            <w:pPr>
              <w:spacing w:before="40" w:after="0" w:line="240" w:lineRule="auto"/>
              <w:jc w:val="center"/>
              <w:rPr>
                <w:rFonts w:cs="Arial"/>
                <w:color w:val="000000"/>
              </w:rPr>
            </w:pPr>
          </w:p>
        </w:tc>
        <w:tc>
          <w:tcPr>
            <w:tcW w:w="277" w:type="pct"/>
            <w:tcBorders>
              <w:top w:val="single" w:sz="4" w:space="0" w:color="auto"/>
            </w:tcBorders>
            <w:shd w:val="clear" w:color="auto" w:fill="auto"/>
            <w:vAlign w:val="center"/>
          </w:tcPr>
          <w:p w14:paraId="49160D2B" w14:textId="77777777" w:rsidR="00861557" w:rsidRPr="00296D0C" w:rsidRDefault="00861557" w:rsidP="0077247E">
            <w:pPr>
              <w:spacing w:before="40" w:after="0" w:line="240" w:lineRule="auto"/>
              <w:jc w:val="center"/>
              <w:rPr>
                <w:rFonts w:cs="Arial"/>
                <w:color w:val="000000"/>
              </w:rPr>
            </w:pPr>
          </w:p>
        </w:tc>
        <w:tc>
          <w:tcPr>
            <w:tcW w:w="277" w:type="pct"/>
            <w:tcBorders>
              <w:top w:val="single" w:sz="4" w:space="0" w:color="auto"/>
              <w:right w:val="single" w:sz="8" w:space="0" w:color="auto"/>
            </w:tcBorders>
            <w:shd w:val="clear" w:color="auto" w:fill="auto"/>
            <w:vAlign w:val="center"/>
          </w:tcPr>
          <w:p w14:paraId="6E041517" w14:textId="77777777" w:rsidR="00861557" w:rsidRPr="00296D0C" w:rsidRDefault="00861557" w:rsidP="0077247E">
            <w:pPr>
              <w:spacing w:before="40" w:after="0" w:line="240" w:lineRule="auto"/>
              <w:jc w:val="center"/>
              <w:rPr>
                <w:rFonts w:cs="Arial"/>
                <w:color w:val="000000"/>
              </w:rPr>
            </w:pPr>
          </w:p>
        </w:tc>
        <w:tc>
          <w:tcPr>
            <w:tcW w:w="277" w:type="pct"/>
            <w:tcBorders>
              <w:top w:val="single" w:sz="4" w:space="0" w:color="auto"/>
              <w:left w:val="nil"/>
            </w:tcBorders>
            <w:shd w:val="clear" w:color="auto" w:fill="FFFFFF" w:themeFill="background1"/>
            <w:vAlign w:val="center"/>
          </w:tcPr>
          <w:p w14:paraId="2DAA17D5" w14:textId="77777777" w:rsidR="00861557" w:rsidRPr="00296D0C" w:rsidRDefault="00861557" w:rsidP="0077247E">
            <w:pPr>
              <w:spacing w:before="40" w:after="0" w:line="240" w:lineRule="auto"/>
              <w:jc w:val="center"/>
              <w:rPr>
                <w:rFonts w:cs="Arial"/>
                <w:color w:val="000000"/>
              </w:rPr>
            </w:pPr>
          </w:p>
        </w:tc>
        <w:tc>
          <w:tcPr>
            <w:tcW w:w="277" w:type="pct"/>
            <w:tcBorders>
              <w:top w:val="single" w:sz="4" w:space="0" w:color="auto"/>
            </w:tcBorders>
            <w:shd w:val="clear" w:color="auto" w:fill="FFFFFF" w:themeFill="background1"/>
            <w:vAlign w:val="center"/>
          </w:tcPr>
          <w:p w14:paraId="7160FF3F" w14:textId="77777777" w:rsidR="00861557" w:rsidRPr="00296D0C" w:rsidRDefault="00861557" w:rsidP="0077247E">
            <w:pPr>
              <w:spacing w:before="40" w:after="0" w:line="240" w:lineRule="auto"/>
              <w:jc w:val="center"/>
              <w:rPr>
                <w:rFonts w:cs="Arial"/>
                <w:color w:val="000000"/>
              </w:rPr>
            </w:pPr>
          </w:p>
        </w:tc>
        <w:tc>
          <w:tcPr>
            <w:tcW w:w="277" w:type="pct"/>
            <w:tcBorders>
              <w:top w:val="single" w:sz="4" w:space="0" w:color="auto"/>
              <w:right w:val="single" w:sz="8" w:space="0" w:color="auto"/>
            </w:tcBorders>
            <w:shd w:val="clear" w:color="auto" w:fill="FFFFFF" w:themeFill="background1"/>
            <w:vAlign w:val="center"/>
          </w:tcPr>
          <w:p w14:paraId="312D0EEC" w14:textId="77777777" w:rsidR="00861557" w:rsidRPr="00296D0C" w:rsidRDefault="00861557" w:rsidP="0077247E">
            <w:pPr>
              <w:spacing w:before="40" w:after="0" w:line="240" w:lineRule="auto"/>
              <w:jc w:val="center"/>
              <w:rPr>
                <w:rFonts w:cs="Arial"/>
                <w:color w:val="000000"/>
              </w:rPr>
            </w:pPr>
          </w:p>
        </w:tc>
        <w:tc>
          <w:tcPr>
            <w:tcW w:w="277" w:type="pct"/>
            <w:tcBorders>
              <w:top w:val="single" w:sz="4" w:space="0" w:color="auto"/>
              <w:left w:val="nil"/>
            </w:tcBorders>
            <w:shd w:val="clear" w:color="auto" w:fill="FFFFFF" w:themeFill="background1"/>
            <w:vAlign w:val="center"/>
          </w:tcPr>
          <w:p w14:paraId="28A2311A" w14:textId="77777777" w:rsidR="00861557" w:rsidRPr="00296D0C" w:rsidRDefault="00861557" w:rsidP="0077247E">
            <w:pPr>
              <w:spacing w:before="40" w:after="0" w:line="240" w:lineRule="auto"/>
              <w:jc w:val="center"/>
              <w:rPr>
                <w:rFonts w:cs="Arial"/>
                <w:color w:val="000000"/>
              </w:rPr>
            </w:pPr>
          </w:p>
        </w:tc>
        <w:tc>
          <w:tcPr>
            <w:tcW w:w="277" w:type="pct"/>
            <w:tcBorders>
              <w:top w:val="single" w:sz="4" w:space="0" w:color="auto"/>
            </w:tcBorders>
            <w:shd w:val="clear" w:color="auto" w:fill="FFFFFF" w:themeFill="background1"/>
            <w:vAlign w:val="center"/>
          </w:tcPr>
          <w:p w14:paraId="71428337" w14:textId="77777777" w:rsidR="00861557" w:rsidRPr="00296D0C" w:rsidRDefault="00861557" w:rsidP="0077247E">
            <w:pPr>
              <w:spacing w:before="40" w:after="0" w:line="240" w:lineRule="auto"/>
              <w:jc w:val="center"/>
              <w:rPr>
                <w:rFonts w:cs="Arial"/>
                <w:color w:val="000000"/>
              </w:rPr>
            </w:pPr>
          </w:p>
        </w:tc>
        <w:tc>
          <w:tcPr>
            <w:tcW w:w="277" w:type="pct"/>
            <w:tcBorders>
              <w:top w:val="single" w:sz="4" w:space="0" w:color="auto"/>
            </w:tcBorders>
            <w:shd w:val="clear" w:color="auto" w:fill="FFFFFF" w:themeFill="background1"/>
            <w:vAlign w:val="center"/>
          </w:tcPr>
          <w:p w14:paraId="1FB0CDD8" w14:textId="77777777" w:rsidR="00861557" w:rsidRPr="00296D0C" w:rsidRDefault="00861557" w:rsidP="0077247E">
            <w:pPr>
              <w:spacing w:before="40" w:after="0" w:line="240" w:lineRule="auto"/>
              <w:jc w:val="center"/>
              <w:rPr>
                <w:rFonts w:cs="Arial"/>
                <w:color w:val="000000"/>
              </w:rPr>
            </w:pPr>
          </w:p>
        </w:tc>
      </w:tr>
      <w:tr w:rsidR="00861557" w:rsidRPr="00296D0C" w14:paraId="0EACD214" w14:textId="77777777" w:rsidTr="0077247E">
        <w:trPr>
          <w:trHeight w:val="330"/>
        </w:trPr>
        <w:tc>
          <w:tcPr>
            <w:tcW w:w="845" w:type="pct"/>
            <w:tcBorders>
              <w:top w:val="nil"/>
              <w:bottom w:val="nil"/>
              <w:right w:val="single" w:sz="4" w:space="0" w:color="auto"/>
            </w:tcBorders>
            <w:shd w:val="clear" w:color="auto" w:fill="auto"/>
            <w:noWrap/>
            <w:vAlign w:val="bottom"/>
            <w:hideMark/>
          </w:tcPr>
          <w:p w14:paraId="072EF85E" w14:textId="77777777" w:rsidR="00861557" w:rsidRPr="00296D0C" w:rsidRDefault="00861557" w:rsidP="0077247E">
            <w:pPr>
              <w:spacing w:before="40" w:after="0" w:line="240" w:lineRule="auto"/>
              <w:rPr>
                <w:rFonts w:cs="Arial"/>
                <w:color w:val="000000"/>
                <w:spacing w:val="-6"/>
              </w:rPr>
            </w:pPr>
            <w:r w:rsidRPr="00296D0C">
              <w:rPr>
                <w:rFonts w:cs="Arial"/>
                <w:color w:val="000000"/>
                <w:spacing w:val="-6"/>
              </w:rPr>
              <w:t>Class</w:t>
            </w:r>
          </w:p>
        </w:tc>
        <w:tc>
          <w:tcPr>
            <w:tcW w:w="277" w:type="pct"/>
            <w:tcBorders>
              <w:left w:val="single" w:sz="4" w:space="0" w:color="auto"/>
            </w:tcBorders>
            <w:shd w:val="clear" w:color="auto" w:fill="auto"/>
            <w:noWrap/>
            <w:vAlign w:val="center"/>
          </w:tcPr>
          <w:p w14:paraId="2FFAD38A" w14:textId="77777777" w:rsidR="00861557" w:rsidRPr="00296D0C" w:rsidRDefault="00861557" w:rsidP="0077247E">
            <w:pPr>
              <w:spacing w:before="40" w:after="0" w:line="240" w:lineRule="auto"/>
              <w:jc w:val="center"/>
              <w:rPr>
                <w:rFonts w:cs="Arial"/>
                <w:color w:val="000000"/>
              </w:rPr>
            </w:pPr>
            <w:r w:rsidRPr="00296D0C">
              <w:rPr>
                <w:rFonts w:cs="Arial"/>
                <w:color w:val="000000"/>
              </w:rPr>
              <w:t>19.87</w:t>
            </w:r>
          </w:p>
        </w:tc>
        <w:tc>
          <w:tcPr>
            <w:tcW w:w="277" w:type="pct"/>
            <w:shd w:val="clear" w:color="auto" w:fill="auto"/>
            <w:vAlign w:val="center"/>
          </w:tcPr>
          <w:p w14:paraId="4492211C" w14:textId="77777777" w:rsidR="00861557" w:rsidRPr="00296D0C" w:rsidRDefault="00861557" w:rsidP="0077247E">
            <w:pPr>
              <w:spacing w:before="40" w:after="0" w:line="240" w:lineRule="auto"/>
              <w:jc w:val="center"/>
              <w:rPr>
                <w:rFonts w:cs="Arial"/>
                <w:color w:val="000000"/>
              </w:rPr>
            </w:pPr>
            <w:r w:rsidRPr="00296D0C">
              <w:rPr>
                <w:rFonts w:cs="Arial"/>
                <w:color w:val="000000"/>
              </w:rPr>
              <w:t>39.75</w:t>
            </w:r>
          </w:p>
        </w:tc>
        <w:tc>
          <w:tcPr>
            <w:tcW w:w="277" w:type="pct"/>
            <w:tcBorders>
              <w:right w:val="single" w:sz="8" w:space="0" w:color="auto"/>
            </w:tcBorders>
            <w:shd w:val="clear" w:color="auto" w:fill="auto"/>
            <w:vAlign w:val="center"/>
          </w:tcPr>
          <w:p w14:paraId="350D100E" w14:textId="77777777" w:rsidR="00861557" w:rsidRPr="00296D0C" w:rsidRDefault="00861557" w:rsidP="0077247E">
            <w:pPr>
              <w:spacing w:before="40" w:after="0" w:line="240" w:lineRule="auto"/>
              <w:jc w:val="center"/>
              <w:rPr>
                <w:rFonts w:cs="Arial"/>
                <w:color w:val="000000"/>
              </w:rPr>
            </w:pPr>
            <w:r w:rsidRPr="00296D0C">
              <w:rPr>
                <w:rFonts w:cs="Arial"/>
                <w:color w:val="000000"/>
              </w:rPr>
              <w:t>59.62</w:t>
            </w:r>
          </w:p>
        </w:tc>
        <w:tc>
          <w:tcPr>
            <w:tcW w:w="277" w:type="pct"/>
            <w:tcBorders>
              <w:left w:val="single" w:sz="4" w:space="0" w:color="auto"/>
            </w:tcBorders>
            <w:shd w:val="clear" w:color="auto" w:fill="auto"/>
            <w:vAlign w:val="center"/>
          </w:tcPr>
          <w:p w14:paraId="512DBD9B" w14:textId="77777777" w:rsidR="00861557" w:rsidRPr="00296D0C" w:rsidRDefault="00861557" w:rsidP="0077247E">
            <w:pPr>
              <w:spacing w:before="40" w:after="0" w:line="240" w:lineRule="auto"/>
              <w:jc w:val="center"/>
              <w:rPr>
                <w:rFonts w:cs="Arial"/>
                <w:color w:val="000000"/>
              </w:rPr>
            </w:pPr>
            <w:r w:rsidRPr="00296D0C">
              <w:rPr>
                <w:rFonts w:cs="Arial"/>
                <w:color w:val="000000"/>
              </w:rPr>
              <w:t>10.31</w:t>
            </w:r>
          </w:p>
        </w:tc>
        <w:tc>
          <w:tcPr>
            <w:tcW w:w="277" w:type="pct"/>
            <w:shd w:val="clear" w:color="auto" w:fill="auto"/>
            <w:vAlign w:val="center"/>
          </w:tcPr>
          <w:p w14:paraId="62CFB8F3" w14:textId="77777777" w:rsidR="00861557" w:rsidRPr="00296D0C" w:rsidRDefault="00861557" w:rsidP="0077247E">
            <w:pPr>
              <w:spacing w:before="40" w:after="0" w:line="240" w:lineRule="auto"/>
              <w:jc w:val="center"/>
              <w:rPr>
                <w:rFonts w:cs="Arial"/>
                <w:color w:val="000000"/>
              </w:rPr>
            </w:pPr>
            <w:r w:rsidRPr="00296D0C">
              <w:rPr>
                <w:rFonts w:cs="Arial"/>
                <w:color w:val="000000"/>
              </w:rPr>
              <w:t>20.62</w:t>
            </w:r>
          </w:p>
        </w:tc>
        <w:tc>
          <w:tcPr>
            <w:tcW w:w="277" w:type="pct"/>
            <w:tcBorders>
              <w:right w:val="single" w:sz="8" w:space="0" w:color="auto"/>
            </w:tcBorders>
            <w:shd w:val="clear" w:color="auto" w:fill="auto"/>
            <w:vAlign w:val="center"/>
          </w:tcPr>
          <w:p w14:paraId="55F733B8" w14:textId="77777777" w:rsidR="00861557" w:rsidRPr="00296D0C" w:rsidRDefault="00861557" w:rsidP="0077247E">
            <w:pPr>
              <w:spacing w:before="40" w:after="0" w:line="240" w:lineRule="auto"/>
              <w:jc w:val="center"/>
              <w:rPr>
                <w:rFonts w:cs="Arial"/>
                <w:color w:val="000000"/>
              </w:rPr>
            </w:pPr>
            <w:r w:rsidRPr="00296D0C">
              <w:rPr>
                <w:rFonts w:cs="Arial"/>
                <w:color w:val="000000"/>
              </w:rPr>
              <w:t>30.93</w:t>
            </w:r>
          </w:p>
        </w:tc>
        <w:tc>
          <w:tcPr>
            <w:tcW w:w="277" w:type="pct"/>
            <w:tcBorders>
              <w:left w:val="single" w:sz="4" w:space="0" w:color="auto"/>
            </w:tcBorders>
            <w:shd w:val="clear" w:color="auto" w:fill="auto"/>
            <w:vAlign w:val="center"/>
          </w:tcPr>
          <w:p w14:paraId="0787F3D6" w14:textId="77777777" w:rsidR="00861557" w:rsidRPr="00296D0C" w:rsidRDefault="00861557" w:rsidP="0077247E">
            <w:pPr>
              <w:spacing w:before="40" w:after="0" w:line="240" w:lineRule="auto"/>
              <w:jc w:val="center"/>
              <w:rPr>
                <w:rFonts w:cs="Arial"/>
                <w:color w:val="000000"/>
              </w:rPr>
            </w:pPr>
            <w:r w:rsidRPr="00296D0C">
              <w:rPr>
                <w:rFonts w:cs="Arial"/>
                <w:color w:val="000000"/>
              </w:rPr>
              <w:t>5.67</w:t>
            </w:r>
          </w:p>
        </w:tc>
        <w:tc>
          <w:tcPr>
            <w:tcW w:w="277" w:type="pct"/>
            <w:shd w:val="clear" w:color="auto" w:fill="auto"/>
            <w:vAlign w:val="center"/>
          </w:tcPr>
          <w:p w14:paraId="05A211FE" w14:textId="77777777" w:rsidR="00861557" w:rsidRPr="00296D0C" w:rsidRDefault="00861557" w:rsidP="0077247E">
            <w:pPr>
              <w:spacing w:before="40" w:after="0" w:line="240" w:lineRule="auto"/>
              <w:jc w:val="center"/>
              <w:rPr>
                <w:rFonts w:cs="Arial"/>
                <w:color w:val="000000"/>
              </w:rPr>
            </w:pPr>
            <w:r w:rsidRPr="00296D0C">
              <w:rPr>
                <w:rFonts w:cs="Arial"/>
                <w:color w:val="000000"/>
              </w:rPr>
              <w:t>11.33</w:t>
            </w:r>
          </w:p>
        </w:tc>
        <w:tc>
          <w:tcPr>
            <w:tcW w:w="277" w:type="pct"/>
            <w:tcBorders>
              <w:right w:val="single" w:sz="8" w:space="0" w:color="auto"/>
            </w:tcBorders>
            <w:shd w:val="clear" w:color="auto" w:fill="auto"/>
            <w:vAlign w:val="center"/>
          </w:tcPr>
          <w:p w14:paraId="3598E80F" w14:textId="77777777" w:rsidR="00861557" w:rsidRPr="00296D0C" w:rsidRDefault="00861557" w:rsidP="0077247E">
            <w:pPr>
              <w:spacing w:before="40" w:after="0" w:line="240" w:lineRule="auto"/>
              <w:jc w:val="center"/>
              <w:rPr>
                <w:rFonts w:cs="Arial"/>
                <w:color w:val="000000"/>
              </w:rPr>
            </w:pPr>
            <w:r w:rsidRPr="00296D0C">
              <w:rPr>
                <w:rFonts w:cs="Arial"/>
                <w:color w:val="000000"/>
              </w:rPr>
              <w:t>17.00</w:t>
            </w:r>
          </w:p>
        </w:tc>
        <w:tc>
          <w:tcPr>
            <w:tcW w:w="277" w:type="pct"/>
            <w:tcBorders>
              <w:left w:val="single" w:sz="4" w:space="0" w:color="auto"/>
            </w:tcBorders>
            <w:shd w:val="clear" w:color="auto" w:fill="FFFFFF" w:themeFill="background1"/>
            <w:vAlign w:val="center"/>
          </w:tcPr>
          <w:p w14:paraId="460B566C" w14:textId="77777777" w:rsidR="00861557" w:rsidRPr="00296D0C" w:rsidRDefault="00861557" w:rsidP="0077247E">
            <w:pPr>
              <w:spacing w:before="40" w:after="0" w:line="240" w:lineRule="auto"/>
              <w:jc w:val="center"/>
              <w:rPr>
                <w:rFonts w:cs="Arial"/>
                <w:color w:val="000000"/>
              </w:rPr>
            </w:pPr>
            <w:r w:rsidRPr="00296D0C">
              <w:rPr>
                <w:rFonts w:cs="Arial"/>
                <w:color w:val="000000"/>
              </w:rPr>
              <w:t>14.04</w:t>
            </w:r>
          </w:p>
        </w:tc>
        <w:tc>
          <w:tcPr>
            <w:tcW w:w="277" w:type="pct"/>
            <w:shd w:val="clear" w:color="auto" w:fill="FFFFFF" w:themeFill="background1"/>
            <w:vAlign w:val="center"/>
          </w:tcPr>
          <w:p w14:paraId="3BFF584F" w14:textId="77777777" w:rsidR="00861557" w:rsidRPr="00296D0C" w:rsidRDefault="00861557" w:rsidP="0077247E">
            <w:pPr>
              <w:spacing w:before="40" w:after="0" w:line="240" w:lineRule="auto"/>
              <w:jc w:val="center"/>
              <w:rPr>
                <w:rFonts w:cs="Arial"/>
                <w:color w:val="000000"/>
              </w:rPr>
            </w:pPr>
            <w:r w:rsidRPr="00296D0C">
              <w:rPr>
                <w:rFonts w:cs="Arial"/>
                <w:color w:val="000000"/>
              </w:rPr>
              <w:t>28.09</w:t>
            </w:r>
          </w:p>
        </w:tc>
        <w:tc>
          <w:tcPr>
            <w:tcW w:w="277" w:type="pct"/>
            <w:tcBorders>
              <w:right w:val="single" w:sz="8" w:space="0" w:color="auto"/>
            </w:tcBorders>
            <w:shd w:val="clear" w:color="auto" w:fill="FFFFFF" w:themeFill="background1"/>
            <w:vAlign w:val="center"/>
          </w:tcPr>
          <w:p w14:paraId="4DEB97D4" w14:textId="77777777" w:rsidR="00861557" w:rsidRPr="00296D0C" w:rsidRDefault="00861557" w:rsidP="0077247E">
            <w:pPr>
              <w:spacing w:before="40" w:after="0" w:line="240" w:lineRule="auto"/>
              <w:jc w:val="center"/>
              <w:rPr>
                <w:rFonts w:cs="Arial"/>
                <w:color w:val="000000"/>
              </w:rPr>
            </w:pPr>
            <w:r w:rsidRPr="00296D0C">
              <w:rPr>
                <w:rFonts w:cs="Arial"/>
                <w:color w:val="000000"/>
              </w:rPr>
              <w:t>42.13</w:t>
            </w:r>
          </w:p>
        </w:tc>
        <w:tc>
          <w:tcPr>
            <w:tcW w:w="277" w:type="pct"/>
            <w:tcBorders>
              <w:left w:val="single" w:sz="4" w:space="0" w:color="auto"/>
            </w:tcBorders>
            <w:shd w:val="clear" w:color="auto" w:fill="FFFFFF" w:themeFill="background1"/>
            <w:vAlign w:val="center"/>
          </w:tcPr>
          <w:p w14:paraId="622C84A4" w14:textId="77777777" w:rsidR="00861557" w:rsidRPr="00296D0C" w:rsidRDefault="00861557" w:rsidP="0077247E">
            <w:pPr>
              <w:spacing w:before="40" w:after="0" w:line="240" w:lineRule="auto"/>
              <w:jc w:val="center"/>
              <w:rPr>
                <w:rFonts w:cs="Arial"/>
                <w:color w:val="000000"/>
              </w:rPr>
            </w:pPr>
            <w:r w:rsidRPr="00296D0C">
              <w:rPr>
                <w:rFonts w:cs="Arial"/>
                <w:color w:val="000000"/>
              </w:rPr>
              <w:t>52.31</w:t>
            </w:r>
          </w:p>
        </w:tc>
        <w:tc>
          <w:tcPr>
            <w:tcW w:w="277" w:type="pct"/>
            <w:shd w:val="clear" w:color="auto" w:fill="FFFFFF" w:themeFill="background1"/>
            <w:vAlign w:val="center"/>
          </w:tcPr>
          <w:p w14:paraId="60E9859B" w14:textId="77777777" w:rsidR="00861557" w:rsidRPr="00296D0C" w:rsidRDefault="00861557" w:rsidP="0077247E">
            <w:pPr>
              <w:spacing w:before="40" w:after="0" w:line="240" w:lineRule="auto"/>
              <w:jc w:val="center"/>
              <w:rPr>
                <w:rFonts w:cs="Arial"/>
                <w:color w:val="000000"/>
              </w:rPr>
            </w:pPr>
            <w:r w:rsidRPr="00296D0C">
              <w:rPr>
                <w:rFonts w:cs="Arial"/>
                <w:color w:val="000000"/>
              </w:rPr>
              <w:t>104.6</w:t>
            </w:r>
          </w:p>
        </w:tc>
        <w:tc>
          <w:tcPr>
            <w:tcW w:w="277" w:type="pct"/>
            <w:shd w:val="clear" w:color="auto" w:fill="FFFFFF" w:themeFill="background1"/>
            <w:vAlign w:val="center"/>
          </w:tcPr>
          <w:p w14:paraId="79B77913" w14:textId="77777777" w:rsidR="00861557" w:rsidRPr="00296D0C" w:rsidRDefault="00861557" w:rsidP="0077247E">
            <w:pPr>
              <w:spacing w:before="40" w:after="0" w:line="240" w:lineRule="auto"/>
              <w:jc w:val="center"/>
              <w:rPr>
                <w:rFonts w:cs="Arial"/>
                <w:color w:val="000000"/>
              </w:rPr>
            </w:pPr>
            <w:r w:rsidRPr="00296D0C">
              <w:rPr>
                <w:rFonts w:cs="Arial"/>
                <w:color w:val="000000"/>
              </w:rPr>
              <w:t>156.9</w:t>
            </w:r>
          </w:p>
        </w:tc>
      </w:tr>
      <w:tr w:rsidR="00861557" w:rsidRPr="00296D0C" w14:paraId="495A3B74" w14:textId="77777777" w:rsidTr="0077247E">
        <w:trPr>
          <w:trHeight w:val="330"/>
        </w:trPr>
        <w:tc>
          <w:tcPr>
            <w:tcW w:w="845" w:type="pct"/>
            <w:tcBorders>
              <w:top w:val="nil"/>
              <w:bottom w:val="nil"/>
              <w:right w:val="single" w:sz="4" w:space="0" w:color="auto"/>
            </w:tcBorders>
            <w:shd w:val="clear" w:color="auto" w:fill="auto"/>
            <w:noWrap/>
            <w:vAlign w:val="bottom"/>
            <w:hideMark/>
          </w:tcPr>
          <w:p w14:paraId="17040CA1" w14:textId="77777777" w:rsidR="00861557" w:rsidRPr="00296D0C" w:rsidRDefault="00861557" w:rsidP="0077247E">
            <w:pPr>
              <w:spacing w:before="40" w:after="0" w:line="240" w:lineRule="auto"/>
              <w:rPr>
                <w:rFonts w:cs="Arial"/>
                <w:color w:val="000000"/>
                <w:spacing w:val="-6"/>
              </w:rPr>
            </w:pPr>
            <w:r w:rsidRPr="00296D0C">
              <w:rPr>
                <w:rFonts w:cs="Arial"/>
                <w:color w:val="000000"/>
                <w:spacing w:val="-6"/>
              </w:rPr>
              <w:t>School</w:t>
            </w:r>
          </w:p>
        </w:tc>
        <w:tc>
          <w:tcPr>
            <w:tcW w:w="277" w:type="pct"/>
            <w:tcBorders>
              <w:left w:val="single" w:sz="4" w:space="0" w:color="auto"/>
            </w:tcBorders>
            <w:shd w:val="clear" w:color="auto" w:fill="auto"/>
            <w:noWrap/>
            <w:vAlign w:val="center"/>
          </w:tcPr>
          <w:p w14:paraId="11653B48" w14:textId="77777777" w:rsidR="00861557" w:rsidRPr="00296D0C" w:rsidRDefault="00861557" w:rsidP="0077247E">
            <w:pPr>
              <w:spacing w:before="40" w:after="0" w:line="240" w:lineRule="auto"/>
              <w:jc w:val="center"/>
              <w:rPr>
                <w:rFonts w:cs="Arial"/>
                <w:color w:val="000000"/>
              </w:rPr>
            </w:pPr>
            <w:r w:rsidRPr="00296D0C">
              <w:rPr>
                <w:rFonts w:cs="Arial"/>
                <w:color w:val="000000"/>
              </w:rPr>
              <w:t>3.37</w:t>
            </w:r>
          </w:p>
        </w:tc>
        <w:tc>
          <w:tcPr>
            <w:tcW w:w="277" w:type="pct"/>
            <w:shd w:val="clear" w:color="auto" w:fill="auto"/>
            <w:vAlign w:val="center"/>
          </w:tcPr>
          <w:p w14:paraId="739FF4DF" w14:textId="77777777" w:rsidR="00861557" w:rsidRPr="00296D0C" w:rsidRDefault="00861557" w:rsidP="0077247E">
            <w:pPr>
              <w:spacing w:before="40" w:after="0" w:line="240" w:lineRule="auto"/>
              <w:jc w:val="center"/>
              <w:rPr>
                <w:rFonts w:cs="Arial"/>
                <w:color w:val="000000"/>
              </w:rPr>
            </w:pPr>
            <w:r w:rsidRPr="00296D0C">
              <w:rPr>
                <w:rFonts w:cs="Arial"/>
                <w:color w:val="000000"/>
              </w:rPr>
              <w:t>3.37</w:t>
            </w:r>
          </w:p>
        </w:tc>
        <w:tc>
          <w:tcPr>
            <w:tcW w:w="277" w:type="pct"/>
            <w:tcBorders>
              <w:right w:val="single" w:sz="8" w:space="0" w:color="auto"/>
            </w:tcBorders>
            <w:shd w:val="clear" w:color="auto" w:fill="auto"/>
            <w:vAlign w:val="center"/>
          </w:tcPr>
          <w:p w14:paraId="5A82064C" w14:textId="77777777" w:rsidR="00861557" w:rsidRPr="00296D0C" w:rsidRDefault="00861557" w:rsidP="0077247E">
            <w:pPr>
              <w:spacing w:before="40" w:after="0" w:line="240" w:lineRule="auto"/>
              <w:jc w:val="center"/>
              <w:rPr>
                <w:rFonts w:cs="Arial"/>
                <w:color w:val="000000"/>
              </w:rPr>
            </w:pPr>
            <w:r w:rsidRPr="00296D0C">
              <w:rPr>
                <w:rFonts w:cs="Arial"/>
                <w:color w:val="000000"/>
              </w:rPr>
              <w:t>3.37</w:t>
            </w:r>
          </w:p>
        </w:tc>
        <w:tc>
          <w:tcPr>
            <w:tcW w:w="277" w:type="pct"/>
            <w:tcBorders>
              <w:left w:val="single" w:sz="4" w:space="0" w:color="auto"/>
            </w:tcBorders>
            <w:shd w:val="clear" w:color="auto" w:fill="auto"/>
            <w:vAlign w:val="center"/>
          </w:tcPr>
          <w:p w14:paraId="4938720B" w14:textId="77777777" w:rsidR="00861557" w:rsidRPr="00296D0C" w:rsidRDefault="00861557" w:rsidP="0077247E">
            <w:pPr>
              <w:spacing w:before="40" w:after="0" w:line="240" w:lineRule="auto"/>
              <w:jc w:val="center"/>
              <w:rPr>
                <w:rFonts w:cs="Arial"/>
                <w:color w:val="000000"/>
              </w:rPr>
            </w:pPr>
            <w:r w:rsidRPr="00296D0C">
              <w:rPr>
                <w:rFonts w:cs="Arial"/>
                <w:color w:val="000000"/>
              </w:rPr>
              <w:t>2.09</w:t>
            </w:r>
          </w:p>
        </w:tc>
        <w:tc>
          <w:tcPr>
            <w:tcW w:w="277" w:type="pct"/>
            <w:shd w:val="clear" w:color="auto" w:fill="auto"/>
            <w:vAlign w:val="center"/>
          </w:tcPr>
          <w:p w14:paraId="157BE112" w14:textId="77777777" w:rsidR="00861557" w:rsidRPr="00296D0C" w:rsidRDefault="00861557" w:rsidP="0077247E">
            <w:pPr>
              <w:spacing w:before="40" w:after="0" w:line="240" w:lineRule="auto"/>
              <w:jc w:val="center"/>
              <w:rPr>
                <w:rFonts w:cs="Arial"/>
                <w:color w:val="000000"/>
              </w:rPr>
            </w:pPr>
            <w:r w:rsidRPr="00296D0C">
              <w:rPr>
                <w:rFonts w:cs="Arial"/>
                <w:color w:val="000000"/>
              </w:rPr>
              <w:t>2.09</w:t>
            </w:r>
          </w:p>
        </w:tc>
        <w:tc>
          <w:tcPr>
            <w:tcW w:w="277" w:type="pct"/>
            <w:tcBorders>
              <w:right w:val="single" w:sz="8" w:space="0" w:color="auto"/>
            </w:tcBorders>
            <w:shd w:val="clear" w:color="auto" w:fill="auto"/>
            <w:vAlign w:val="center"/>
          </w:tcPr>
          <w:p w14:paraId="4C76378B" w14:textId="77777777" w:rsidR="00861557" w:rsidRPr="00296D0C" w:rsidRDefault="00861557" w:rsidP="0077247E">
            <w:pPr>
              <w:spacing w:before="40" w:after="0" w:line="240" w:lineRule="auto"/>
              <w:jc w:val="center"/>
              <w:rPr>
                <w:rFonts w:cs="Arial"/>
                <w:color w:val="000000"/>
              </w:rPr>
            </w:pPr>
            <w:r w:rsidRPr="00296D0C">
              <w:rPr>
                <w:rFonts w:cs="Arial"/>
                <w:color w:val="000000"/>
              </w:rPr>
              <w:t>2.09</w:t>
            </w:r>
          </w:p>
        </w:tc>
        <w:tc>
          <w:tcPr>
            <w:tcW w:w="277" w:type="pct"/>
            <w:tcBorders>
              <w:left w:val="single" w:sz="4" w:space="0" w:color="auto"/>
            </w:tcBorders>
            <w:shd w:val="clear" w:color="auto" w:fill="auto"/>
            <w:vAlign w:val="center"/>
          </w:tcPr>
          <w:p w14:paraId="6E3DBEB0" w14:textId="77777777" w:rsidR="00861557" w:rsidRPr="00296D0C" w:rsidRDefault="00861557" w:rsidP="0077247E">
            <w:pPr>
              <w:spacing w:before="40" w:after="0" w:line="240" w:lineRule="auto"/>
              <w:jc w:val="center"/>
              <w:rPr>
                <w:rFonts w:cs="Arial"/>
                <w:color w:val="000000"/>
              </w:rPr>
            </w:pPr>
            <w:r w:rsidRPr="00296D0C">
              <w:rPr>
                <w:rFonts w:cs="Arial"/>
                <w:color w:val="000000"/>
              </w:rPr>
              <w:t>0.00</w:t>
            </w:r>
          </w:p>
        </w:tc>
        <w:tc>
          <w:tcPr>
            <w:tcW w:w="277" w:type="pct"/>
            <w:shd w:val="clear" w:color="auto" w:fill="auto"/>
            <w:vAlign w:val="center"/>
          </w:tcPr>
          <w:p w14:paraId="51C9550E" w14:textId="77777777" w:rsidR="00861557" w:rsidRPr="00296D0C" w:rsidRDefault="00861557" w:rsidP="0077247E">
            <w:pPr>
              <w:spacing w:before="40" w:after="0" w:line="240" w:lineRule="auto"/>
              <w:jc w:val="center"/>
              <w:rPr>
                <w:rFonts w:cs="Arial"/>
                <w:color w:val="000000"/>
              </w:rPr>
            </w:pPr>
            <w:r w:rsidRPr="00296D0C">
              <w:rPr>
                <w:rFonts w:cs="Arial"/>
                <w:color w:val="000000"/>
              </w:rPr>
              <w:t>0.00</w:t>
            </w:r>
          </w:p>
        </w:tc>
        <w:tc>
          <w:tcPr>
            <w:tcW w:w="277" w:type="pct"/>
            <w:tcBorders>
              <w:right w:val="single" w:sz="8" w:space="0" w:color="auto"/>
            </w:tcBorders>
            <w:shd w:val="clear" w:color="auto" w:fill="auto"/>
            <w:vAlign w:val="center"/>
          </w:tcPr>
          <w:p w14:paraId="33D0E250" w14:textId="77777777" w:rsidR="00861557" w:rsidRPr="00296D0C" w:rsidRDefault="00861557" w:rsidP="0077247E">
            <w:pPr>
              <w:spacing w:before="40" w:after="0" w:line="240" w:lineRule="auto"/>
              <w:jc w:val="center"/>
              <w:rPr>
                <w:rFonts w:cs="Arial"/>
                <w:color w:val="000000"/>
              </w:rPr>
            </w:pPr>
            <w:r w:rsidRPr="00296D0C">
              <w:rPr>
                <w:rFonts w:cs="Arial"/>
                <w:color w:val="000000"/>
              </w:rPr>
              <w:t>0.00</w:t>
            </w:r>
          </w:p>
        </w:tc>
        <w:tc>
          <w:tcPr>
            <w:tcW w:w="277" w:type="pct"/>
            <w:tcBorders>
              <w:left w:val="single" w:sz="4" w:space="0" w:color="auto"/>
            </w:tcBorders>
            <w:shd w:val="clear" w:color="auto" w:fill="FFFFFF" w:themeFill="background1"/>
            <w:vAlign w:val="center"/>
          </w:tcPr>
          <w:p w14:paraId="6F86E3F0" w14:textId="77777777" w:rsidR="00861557" w:rsidRPr="00296D0C" w:rsidRDefault="00861557" w:rsidP="0077247E">
            <w:pPr>
              <w:spacing w:before="40" w:after="0" w:line="240" w:lineRule="auto"/>
              <w:jc w:val="center"/>
              <w:rPr>
                <w:rFonts w:cs="Arial"/>
                <w:color w:val="000000"/>
              </w:rPr>
            </w:pPr>
            <w:r w:rsidRPr="00296D0C">
              <w:rPr>
                <w:rFonts w:cs="Arial"/>
                <w:color w:val="000000"/>
              </w:rPr>
              <w:t>1.47</w:t>
            </w:r>
          </w:p>
        </w:tc>
        <w:tc>
          <w:tcPr>
            <w:tcW w:w="277" w:type="pct"/>
            <w:shd w:val="clear" w:color="auto" w:fill="FFFFFF" w:themeFill="background1"/>
            <w:vAlign w:val="center"/>
          </w:tcPr>
          <w:p w14:paraId="24E355F7" w14:textId="77777777" w:rsidR="00861557" w:rsidRPr="00296D0C" w:rsidRDefault="00861557" w:rsidP="0077247E">
            <w:pPr>
              <w:spacing w:before="40" w:after="0" w:line="240" w:lineRule="auto"/>
              <w:jc w:val="center"/>
              <w:rPr>
                <w:rFonts w:cs="Arial"/>
                <w:color w:val="000000"/>
              </w:rPr>
            </w:pPr>
            <w:r w:rsidRPr="00296D0C">
              <w:rPr>
                <w:rFonts w:cs="Arial"/>
                <w:color w:val="000000"/>
              </w:rPr>
              <w:t>1.47</w:t>
            </w:r>
          </w:p>
        </w:tc>
        <w:tc>
          <w:tcPr>
            <w:tcW w:w="277" w:type="pct"/>
            <w:tcBorders>
              <w:right w:val="single" w:sz="8" w:space="0" w:color="auto"/>
            </w:tcBorders>
            <w:shd w:val="clear" w:color="auto" w:fill="FFFFFF" w:themeFill="background1"/>
            <w:vAlign w:val="center"/>
          </w:tcPr>
          <w:p w14:paraId="4065AE3C" w14:textId="77777777" w:rsidR="00861557" w:rsidRPr="00296D0C" w:rsidRDefault="00861557" w:rsidP="0077247E">
            <w:pPr>
              <w:spacing w:before="40" w:after="0" w:line="240" w:lineRule="auto"/>
              <w:jc w:val="center"/>
              <w:rPr>
                <w:rFonts w:cs="Arial"/>
                <w:color w:val="000000"/>
              </w:rPr>
            </w:pPr>
            <w:r w:rsidRPr="00296D0C">
              <w:rPr>
                <w:rFonts w:cs="Arial"/>
                <w:color w:val="000000"/>
              </w:rPr>
              <w:t>1.47</w:t>
            </w:r>
          </w:p>
        </w:tc>
        <w:tc>
          <w:tcPr>
            <w:tcW w:w="277" w:type="pct"/>
            <w:tcBorders>
              <w:left w:val="single" w:sz="4" w:space="0" w:color="auto"/>
            </w:tcBorders>
            <w:shd w:val="clear" w:color="auto" w:fill="FFFFFF" w:themeFill="background1"/>
            <w:vAlign w:val="center"/>
          </w:tcPr>
          <w:p w14:paraId="17DA14E8" w14:textId="77777777" w:rsidR="00861557" w:rsidRPr="00296D0C" w:rsidRDefault="00861557" w:rsidP="0077247E">
            <w:pPr>
              <w:spacing w:before="40" w:after="0" w:line="240" w:lineRule="auto"/>
              <w:jc w:val="center"/>
              <w:rPr>
                <w:rFonts w:cs="Arial"/>
                <w:color w:val="000000"/>
              </w:rPr>
            </w:pPr>
            <w:r w:rsidRPr="00296D0C">
              <w:rPr>
                <w:rFonts w:cs="Arial"/>
                <w:color w:val="000000"/>
              </w:rPr>
              <w:t>4.24</w:t>
            </w:r>
          </w:p>
        </w:tc>
        <w:tc>
          <w:tcPr>
            <w:tcW w:w="277" w:type="pct"/>
            <w:shd w:val="clear" w:color="auto" w:fill="FFFFFF" w:themeFill="background1"/>
            <w:vAlign w:val="center"/>
          </w:tcPr>
          <w:p w14:paraId="2460CB58" w14:textId="77777777" w:rsidR="00861557" w:rsidRPr="00296D0C" w:rsidRDefault="00861557" w:rsidP="0077247E">
            <w:pPr>
              <w:spacing w:before="40" w:after="0" w:line="240" w:lineRule="auto"/>
              <w:jc w:val="center"/>
              <w:rPr>
                <w:rFonts w:cs="Arial"/>
                <w:color w:val="000000"/>
              </w:rPr>
            </w:pPr>
            <w:r w:rsidRPr="00296D0C">
              <w:rPr>
                <w:rFonts w:cs="Arial"/>
                <w:color w:val="000000"/>
              </w:rPr>
              <w:t>4.24</w:t>
            </w:r>
          </w:p>
        </w:tc>
        <w:tc>
          <w:tcPr>
            <w:tcW w:w="277" w:type="pct"/>
            <w:shd w:val="clear" w:color="auto" w:fill="FFFFFF" w:themeFill="background1"/>
            <w:vAlign w:val="center"/>
          </w:tcPr>
          <w:p w14:paraId="3065B840" w14:textId="77777777" w:rsidR="00861557" w:rsidRPr="00296D0C" w:rsidRDefault="00861557" w:rsidP="0077247E">
            <w:pPr>
              <w:spacing w:before="40" w:after="0" w:line="240" w:lineRule="auto"/>
              <w:jc w:val="center"/>
              <w:rPr>
                <w:rFonts w:cs="Arial"/>
                <w:color w:val="000000"/>
              </w:rPr>
            </w:pPr>
            <w:r w:rsidRPr="00296D0C">
              <w:rPr>
                <w:rFonts w:cs="Arial"/>
                <w:color w:val="000000"/>
              </w:rPr>
              <w:t>4.24</w:t>
            </w:r>
          </w:p>
        </w:tc>
      </w:tr>
      <w:tr w:rsidR="00861557" w:rsidRPr="00296D0C" w14:paraId="10D5D2B9" w14:textId="77777777" w:rsidTr="0077247E">
        <w:trPr>
          <w:trHeight w:val="345"/>
        </w:trPr>
        <w:tc>
          <w:tcPr>
            <w:tcW w:w="845" w:type="pct"/>
            <w:tcBorders>
              <w:top w:val="nil"/>
              <w:bottom w:val="single" w:sz="8" w:space="0" w:color="auto"/>
              <w:right w:val="single" w:sz="4" w:space="0" w:color="auto"/>
            </w:tcBorders>
            <w:shd w:val="clear" w:color="auto" w:fill="auto"/>
            <w:noWrap/>
            <w:vAlign w:val="bottom"/>
            <w:hideMark/>
          </w:tcPr>
          <w:p w14:paraId="25A7A091" w14:textId="77777777" w:rsidR="00861557" w:rsidRPr="00296D0C" w:rsidRDefault="00861557" w:rsidP="0077247E">
            <w:pPr>
              <w:spacing w:before="40" w:after="0" w:line="240" w:lineRule="auto"/>
              <w:rPr>
                <w:rFonts w:cs="Arial"/>
                <w:color w:val="000000"/>
                <w:spacing w:val="-6"/>
              </w:rPr>
            </w:pPr>
            <w:r w:rsidRPr="00296D0C">
              <w:rPr>
                <w:rFonts w:cs="Arial"/>
                <w:color w:val="000000"/>
                <w:spacing w:val="-6"/>
              </w:rPr>
              <w:t>Total</w:t>
            </w:r>
          </w:p>
        </w:tc>
        <w:tc>
          <w:tcPr>
            <w:tcW w:w="277" w:type="pct"/>
            <w:tcBorders>
              <w:left w:val="single" w:sz="4" w:space="0" w:color="auto"/>
              <w:bottom w:val="single" w:sz="4" w:space="0" w:color="auto"/>
            </w:tcBorders>
            <w:shd w:val="clear" w:color="auto" w:fill="auto"/>
            <w:noWrap/>
            <w:vAlign w:val="center"/>
          </w:tcPr>
          <w:p w14:paraId="2AC7A2D5" w14:textId="77777777" w:rsidR="00861557" w:rsidRPr="00296D0C" w:rsidRDefault="00861557" w:rsidP="0077247E">
            <w:pPr>
              <w:spacing w:before="40" w:after="0" w:line="240" w:lineRule="auto"/>
              <w:jc w:val="center"/>
              <w:rPr>
                <w:rFonts w:cs="Arial"/>
                <w:color w:val="000000"/>
              </w:rPr>
            </w:pPr>
            <w:r w:rsidRPr="00296D0C">
              <w:rPr>
                <w:rFonts w:cs="Arial"/>
                <w:color w:val="000000"/>
              </w:rPr>
              <w:t>23.24</w:t>
            </w:r>
          </w:p>
        </w:tc>
        <w:tc>
          <w:tcPr>
            <w:tcW w:w="277" w:type="pct"/>
            <w:tcBorders>
              <w:bottom w:val="single" w:sz="4" w:space="0" w:color="auto"/>
            </w:tcBorders>
            <w:shd w:val="clear" w:color="auto" w:fill="auto"/>
            <w:vAlign w:val="center"/>
          </w:tcPr>
          <w:p w14:paraId="47BE9C25" w14:textId="77777777" w:rsidR="00861557" w:rsidRPr="00296D0C" w:rsidRDefault="00861557" w:rsidP="0077247E">
            <w:pPr>
              <w:spacing w:before="40" w:after="0" w:line="240" w:lineRule="auto"/>
              <w:jc w:val="center"/>
              <w:rPr>
                <w:rFonts w:cs="Arial"/>
                <w:color w:val="000000"/>
              </w:rPr>
            </w:pPr>
            <w:r w:rsidRPr="00296D0C">
              <w:rPr>
                <w:rFonts w:cs="Arial"/>
                <w:color w:val="000000"/>
              </w:rPr>
              <w:t>43.12</w:t>
            </w:r>
          </w:p>
        </w:tc>
        <w:tc>
          <w:tcPr>
            <w:tcW w:w="277" w:type="pct"/>
            <w:tcBorders>
              <w:bottom w:val="single" w:sz="4" w:space="0" w:color="auto"/>
              <w:right w:val="single" w:sz="8" w:space="0" w:color="auto"/>
            </w:tcBorders>
            <w:shd w:val="clear" w:color="auto" w:fill="auto"/>
            <w:vAlign w:val="center"/>
          </w:tcPr>
          <w:p w14:paraId="76791E51" w14:textId="77777777" w:rsidR="00861557" w:rsidRPr="00296D0C" w:rsidRDefault="00861557" w:rsidP="0077247E">
            <w:pPr>
              <w:spacing w:before="40" w:after="0" w:line="240" w:lineRule="auto"/>
              <w:jc w:val="center"/>
              <w:rPr>
                <w:rFonts w:cs="Arial"/>
                <w:color w:val="000000"/>
              </w:rPr>
            </w:pPr>
            <w:r w:rsidRPr="00296D0C">
              <w:rPr>
                <w:rFonts w:cs="Arial"/>
                <w:color w:val="000000"/>
              </w:rPr>
              <w:t>62.99</w:t>
            </w:r>
          </w:p>
        </w:tc>
        <w:tc>
          <w:tcPr>
            <w:tcW w:w="277" w:type="pct"/>
            <w:tcBorders>
              <w:left w:val="single" w:sz="4" w:space="0" w:color="auto"/>
              <w:bottom w:val="single" w:sz="4" w:space="0" w:color="auto"/>
            </w:tcBorders>
            <w:shd w:val="clear" w:color="auto" w:fill="auto"/>
            <w:vAlign w:val="center"/>
          </w:tcPr>
          <w:p w14:paraId="1F8CF254" w14:textId="77777777" w:rsidR="00861557" w:rsidRPr="00296D0C" w:rsidRDefault="00861557" w:rsidP="0077247E">
            <w:pPr>
              <w:spacing w:before="40" w:after="0" w:line="240" w:lineRule="auto"/>
              <w:jc w:val="center"/>
              <w:rPr>
                <w:rFonts w:cs="Arial"/>
                <w:color w:val="000000"/>
              </w:rPr>
            </w:pPr>
            <w:r w:rsidRPr="00296D0C">
              <w:rPr>
                <w:rFonts w:cs="Arial"/>
                <w:color w:val="000000"/>
              </w:rPr>
              <w:t>12.40</w:t>
            </w:r>
          </w:p>
        </w:tc>
        <w:tc>
          <w:tcPr>
            <w:tcW w:w="277" w:type="pct"/>
            <w:tcBorders>
              <w:bottom w:val="single" w:sz="4" w:space="0" w:color="auto"/>
            </w:tcBorders>
            <w:shd w:val="clear" w:color="auto" w:fill="auto"/>
            <w:vAlign w:val="center"/>
          </w:tcPr>
          <w:p w14:paraId="7D393F61" w14:textId="77777777" w:rsidR="00861557" w:rsidRPr="00296D0C" w:rsidRDefault="00861557" w:rsidP="0077247E">
            <w:pPr>
              <w:spacing w:before="40" w:after="0" w:line="240" w:lineRule="auto"/>
              <w:jc w:val="center"/>
              <w:rPr>
                <w:rFonts w:cs="Arial"/>
                <w:color w:val="000000"/>
              </w:rPr>
            </w:pPr>
            <w:r w:rsidRPr="00296D0C">
              <w:rPr>
                <w:rFonts w:cs="Arial"/>
                <w:color w:val="000000"/>
              </w:rPr>
              <w:t>22.71</w:t>
            </w:r>
          </w:p>
        </w:tc>
        <w:tc>
          <w:tcPr>
            <w:tcW w:w="277" w:type="pct"/>
            <w:tcBorders>
              <w:bottom w:val="single" w:sz="4" w:space="0" w:color="auto"/>
              <w:right w:val="single" w:sz="8" w:space="0" w:color="auto"/>
            </w:tcBorders>
            <w:shd w:val="clear" w:color="auto" w:fill="auto"/>
            <w:vAlign w:val="center"/>
          </w:tcPr>
          <w:p w14:paraId="1841554A" w14:textId="77777777" w:rsidR="00861557" w:rsidRPr="00296D0C" w:rsidRDefault="00861557" w:rsidP="0077247E">
            <w:pPr>
              <w:spacing w:before="40" w:after="0" w:line="240" w:lineRule="auto"/>
              <w:jc w:val="center"/>
              <w:rPr>
                <w:rFonts w:cs="Arial"/>
                <w:color w:val="000000"/>
              </w:rPr>
            </w:pPr>
            <w:r w:rsidRPr="00296D0C">
              <w:rPr>
                <w:rFonts w:cs="Arial"/>
                <w:color w:val="000000"/>
              </w:rPr>
              <w:t>33.02</w:t>
            </w:r>
          </w:p>
        </w:tc>
        <w:tc>
          <w:tcPr>
            <w:tcW w:w="277" w:type="pct"/>
            <w:tcBorders>
              <w:left w:val="single" w:sz="4" w:space="0" w:color="auto"/>
              <w:bottom w:val="single" w:sz="4" w:space="0" w:color="auto"/>
            </w:tcBorders>
            <w:shd w:val="clear" w:color="auto" w:fill="auto"/>
            <w:vAlign w:val="center"/>
          </w:tcPr>
          <w:p w14:paraId="1D71C4D6" w14:textId="77777777" w:rsidR="00861557" w:rsidRPr="00296D0C" w:rsidRDefault="00861557" w:rsidP="0077247E">
            <w:pPr>
              <w:spacing w:before="40" w:after="0" w:line="240" w:lineRule="auto"/>
              <w:jc w:val="center"/>
              <w:rPr>
                <w:rFonts w:cs="Arial"/>
                <w:color w:val="000000"/>
              </w:rPr>
            </w:pPr>
            <w:r w:rsidRPr="00296D0C">
              <w:rPr>
                <w:rFonts w:cs="Arial"/>
                <w:color w:val="000000"/>
              </w:rPr>
              <w:t>5.67</w:t>
            </w:r>
          </w:p>
        </w:tc>
        <w:tc>
          <w:tcPr>
            <w:tcW w:w="277" w:type="pct"/>
            <w:tcBorders>
              <w:bottom w:val="single" w:sz="4" w:space="0" w:color="auto"/>
            </w:tcBorders>
            <w:shd w:val="clear" w:color="auto" w:fill="auto"/>
            <w:vAlign w:val="center"/>
          </w:tcPr>
          <w:p w14:paraId="30990E20" w14:textId="77777777" w:rsidR="00861557" w:rsidRPr="00296D0C" w:rsidRDefault="00861557" w:rsidP="0077247E">
            <w:pPr>
              <w:spacing w:before="40" w:after="0" w:line="240" w:lineRule="auto"/>
              <w:jc w:val="center"/>
              <w:rPr>
                <w:rFonts w:cs="Arial"/>
                <w:color w:val="000000"/>
              </w:rPr>
            </w:pPr>
            <w:r w:rsidRPr="00296D0C">
              <w:rPr>
                <w:rFonts w:cs="Arial"/>
                <w:color w:val="000000"/>
              </w:rPr>
              <w:t>11.33</w:t>
            </w:r>
          </w:p>
        </w:tc>
        <w:tc>
          <w:tcPr>
            <w:tcW w:w="277" w:type="pct"/>
            <w:tcBorders>
              <w:bottom w:val="single" w:sz="4" w:space="0" w:color="auto"/>
              <w:right w:val="single" w:sz="8" w:space="0" w:color="auto"/>
            </w:tcBorders>
            <w:shd w:val="clear" w:color="auto" w:fill="auto"/>
            <w:vAlign w:val="center"/>
          </w:tcPr>
          <w:p w14:paraId="7ABFA6EE" w14:textId="77777777" w:rsidR="00861557" w:rsidRPr="00296D0C" w:rsidRDefault="00861557" w:rsidP="0077247E">
            <w:pPr>
              <w:spacing w:before="40" w:after="0" w:line="240" w:lineRule="auto"/>
              <w:jc w:val="center"/>
              <w:rPr>
                <w:rFonts w:cs="Arial"/>
                <w:color w:val="000000"/>
              </w:rPr>
            </w:pPr>
            <w:r w:rsidRPr="00296D0C">
              <w:rPr>
                <w:rFonts w:cs="Arial"/>
                <w:color w:val="000000"/>
              </w:rPr>
              <w:t>17.00</w:t>
            </w:r>
          </w:p>
        </w:tc>
        <w:tc>
          <w:tcPr>
            <w:tcW w:w="277" w:type="pct"/>
            <w:tcBorders>
              <w:left w:val="single" w:sz="4" w:space="0" w:color="auto"/>
              <w:bottom w:val="single" w:sz="4" w:space="0" w:color="auto"/>
            </w:tcBorders>
            <w:shd w:val="clear" w:color="auto" w:fill="FFFFFF" w:themeFill="background1"/>
            <w:vAlign w:val="center"/>
          </w:tcPr>
          <w:p w14:paraId="2573F957" w14:textId="77777777" w:rsidR="00861557" w:rsidRPr="00296D0C" w:rsidRDefault="00861557" w:rsidP="0077247E">
            <w:pPr>
              <w:spacing w:before="40" w:after="0" w:line="240" w:lineRule="auto"/>
              <w:jc w:val="center"/>
              <w:rPr>
                <w:rFonts w:cs="Arial"/>
                <w:color w:val="000000"/>
              </w:rPr>
            </w:pPr>
            <w:r w:rsidRPr="00296D0C">
              <w:rPr>
                <w:rFonts w:cs="Arial"/>
                <w:color w:val="000000"/>
              </w:rPr>
              <w:t>15.52</w:t>
            </w:r>
          </w:p>
        </w:tc>
        <w:tc>
          <w:tcPr>
            <w:tcW w:w="277" w:type="pct"/>
            <w:tcBorders>
              <w:bottom w:val="single" w:sz="4" w:space="0" w:color="auto"/>
            </w:tcBorders>
            <w:shd w:val="clear" w:color="auto" w:fill="FFFFFF" w:themeFill="background1"/>
            <w:vAlign w:val="center"/>
          </w:tcPr>
          <w:p w14:paraId="6D314243" w14:textId="77777777" w:rsidR="00861557" w:rsidRPr="00296D0C" w:rsidRDefault="00861557" w:rsidP="0077247E">
            <w:pPr>
              <w:spacing w:before="40" w:after="0" w:line="240" w:lineRule="auto"/>
              <w:jc w:val="center"/>
              <w:rPr>
                <w:rFonts w:cs="Arial"/>
                <w:color w:val="000000"/>
              </w:rPr>
            </w:pPr>
            <w:r w:rsidRPr="00296D0C">
              <w:rPr>
                <w:rFonts w:cs="Arial"/>
                <w:color w:val="000000"/>
              </w:rPr>
              <w:t>29.56</w:t>
            </w:r>
          </w:p>
        </w:tc>
        <w:tc>
          <w:tcPr>
            <w:tcW w:w="277" w:type="pct"/>
            <w:tcBorders>
              <w:bottom w:val="single" w:sz="4" w:space="0" w:color="auto"/>
              <w:right w:val="single" w:sz="8" w:space="0" w:color="auto"/>
            </w:tcBorders>
            <w:shd w:val="clear" w:color="auto" w:fill="FFFFFF" w:themeFill="background1"/>
            <w:vAlign w:val="center"/>
          </w:tcPr>
          <w:p w14:paraId="15C8055F" w14:textId="77777777" w:rsidR="00861557" w:rsidRPr="00296D0C" w:rsidRDefault="00861557" w:rsidP="0077247E">
            <w:pPr>
              <w:spacing w:before="40" w:after="0" w:line="240" w:lineRule="auto"/>
              <w:jc w:val="center"/>
              <w:rPr>
                <w:rFonts w:cs="Arial"/>
                <w:color w:val="000000"/>
              </w:rPr>
            </w:pPr>
            <w:r w:rsidRPr="00296D0C">
              <w:rPr>
                <w:rFonts w:cs="Arial"/>
                <w:color w:val="000000"/>
              </w:rPr>
              <w:t>43.60</w:t>
            </w:r>
          </w:p>
        </w:tc>
        <w:tc>
          <w:tcPr>
            <w:tcW w:w="277" w:type="pct"/>
            <w:tcBorders>
              <w:left w:val="single" w:sz="4" w:space="0" w:color="auto"/>
              <w:bottom w:val="single" w:sz="4" w:space="0" w:color="auto"/>
            </w:tcBorders>
            <w:shd w:val="clear" w:color="auto" w:fill="FFFFFF" w:themeFill="background1"/>
            <w:vAlign w:val="center"/>
          </w:tcPr>
          <w:p w14:paraId="3582B8E5" w14:textId="77777777" w:rsidR="00861557" w:rsidRPr="00296D0C" w:rsidRDefault="00861557" w:rsidP="0077247E">
            <w:pPr>
              <w:spacing w:before="40" w:after="0" w:line="240" w:lineRule="auto"/>
              <w:jc w:val="center"/>
              <w:rPr>
                <w:rFonts w:cs="Arial"/>
                <w:color w:val="000000"/>
              </w:rPr>
            </w:pPr>
            <w:r w:rsidRPr="00296D0C">
              <w:rPr>
                <w:rFonts w:cs="Arial"/>
                <w:color w:val="000000"/>
              </w:rPr>
              <w:t>56.55</w:t>
            </w:r>
          </w:p>
        </w:tc>
        <w:tc>
          <w:tcPr>
            <w:tcW w:w="277" w:type="pct"/>
            <w:tcBorders>
              <w:bottom w:val="single" w:sz="4" w:space="0" w:color="auto"/>
            </w:tcBorders>
            <w:shd w:val="clear" w:color="auto" w:fill="FFFFFF" w:themeFill="background1"/>
            <w:vAlign w:val="center"/>
          </w:tcPr>
          <w:p w14:paraId="72FC098C" w14:textId="77777777" w:rsidR="00861557" w:rsidRPr="00296D0C" w:rsidRDefault="00861557" w:rsidP="0077247E">
            <w:pPr>
              <w:spacing w:before="40" w:after="0" w:line="240" w:lineRule="auto"/>
              <w:jc w:val="center"/>
              <w:rPr>
                <w:rFonts w:cs="Arial"/>
                <w:color w:val="000000"/>
              </w:rPr>
            </w:pPr>
            <w:r w:rsidRPr="00296D0C">
              <w:rPr>
                <w:rFonts w:cs="Arial"/>
                <w:color w:val="000000"/>
              </w:rPr>
              <w:t>108.8</w:t>
            </w:r>
          </w:p>
        </w:tc>
        <w:tc>
          <w:tcPr>
            <w:tcW w:w="277" w:type="pct"/>
            <w:tcBorders>
              <w:bottom w:val="single" w:sz="4" w:space="0" w:color="auto"/>
            </w:tcBorders>
            <w:shd w:val="clear" w:color="auto" w:fill="FFFFFF" w:themeFill="background1"/>
            <w:vAlign w:val="center"/>
          </w:tcPr>
          <w:p w14:paraId="4A073054" w14:textId="77777777" w:rsidR="00861557" w:rsidRPr="00296D0C" w:rsidRDefault="00861557" w:rsidP="0077247E">
            <w:pPr>
              <w:spacing w:before="40" w:after="0" w:line="240" w:lineRule="auto"/>
              <w:jc w:val="center"/>
              <w:rPr>
                <w:rFonts w:cs="Arial"/>
                <w:color w:val="000000"/>
              </w:rPr>
            </w:pPr>
            <w:r w:rsidRPr="00296D0C">
              <w:rPr>
                <w:rFonts w:cs="Arial"/>
                <w:color w:val="000000"/>
              </w:rPr>
              <w:t>161.1</w:t>
            </w:r>
          </w:p>
        </w:tc>
      </w:tr>
      <w:tr w:rsidR="00861557" w:rsidRPr="00296D0C" w14:paraId="48972D6D" w14:textId="77777777" w:rsidTr="0077247E">
        <w:trPr>
          <w:trHeight w:val="330"/>
        </w:trPr>
        <w:tc>
          <w:tcPr>
            <w:tcW w:w="845" w:type="pct"/>
            <w:tcBorders>
              <w:top w:val="single" w:sz="8" w:space="0" w:color="auto"/>
              <w:bottom w:val="nil"/>
              <w:right w:val="single" w:sz="4" w:space="0" w:color="auto"/>
            </w:tcBorders>
            <w:shd w:val="clear" w:color="auto" w:fill="FFFFFF" w:themeFill="background1"/>
            <w:noWrap/>
            <w:vAlign w:val="bottom"/>
            <w:hideMark/>
          </w:tcPr>
          <w:p w14:paraId="7601AC44" w14:textId="77777777" w:rsidR="00861557" w:rsidRPr="00296D0C" w:rsidRDefault="00861557" w:rsidP="0077247E">
            <w:pPr>
              <w:spacing w:before="40" w:after="0" w:line="240" w:lineRule="auto"/>
              <w:rPr>
                <w:rFonts w:cs="Arial"/>
                <w:bCs/>
                <w:i/>
                <w:color w:val="000000"/>
                <w:spacing w:val="-6"/>
              </w:rPr>
            </w:pPr>
            <w:r w:rsidRPr="00296D0C">
              <w:rPr>
                <w:rFonts w:cs="Arial"/>
                <w:bCs/>
                <w:i/>
                <w:color w:val="000000"/>
                <w:spacing w:val="-6"/>
              </w:rPr>
              <w:t>Travel time</w:t>
            </w:r>
          </w:p>
        </w:tc>
        <w:tc>
          <w:tcPr>
            <w:tcW w:w="277" w:type="pct"/>
            <w:tcBorders>
              <w:top w:val="single" w:sz="4" w:space="0" w:color="auto"/>
              <w:left w:val="nil"/>
            </w:tcBorders>
            <w:shd w:val="clear" w:color="auto" w:fill="FFFFFF" w:themeFill="background1"/>
            <w:noWrap/>
            <w:vAlign w:val="center"/>
          </w:tcPr>
          <w:p w14:paraId="393A9B39" w14:textId="77777777" w:rsidR="00861557" w:rsidRPr="00296D0C" w:rsidRDefault="00861557" w:rsidP="0077247E">
            <w:pPr>
              <w:spacing w:before="40" w:after="0" w:line="240" w:lineRule="auto"/>
              <w:jc w:val="center"/>
              <w:rPr>
                <w:rFonts w:cs="Arial"/>
                <w:color w:val="000000"/>
              </w:rPr>
            </w:pPr>
          </w:p>
        </w:tc>
        <w:tc>
          <w:tcPr>
            <w:tcW w:w="277" w:type="pct"/>
            <w:tcBorders>
              <w:top w:val="single" w:sz="4" w:space="0" w:color="auto"/>
            </w:tcBorders>
            <w:shd w:val="clear" w:color="auto" w:fill="FFFFFF" w:themeFill="background1"/>
            <w:vAlign w:val="center"/>
          </w:tcPr>
          <w:p w14:paraId="1861B08D" w14:textId="77777777" w:rsidR="00861557" w:rsidRPr="00296D0C" w:rsidRDefault="00861557" w:rsidP="0077247E">
            <w:pPr>
              <w:spacing w:before="40" w:after="0" w:line="240" w:lineRule="auto"/>
              <w:jc w:val="center"/>
              <w:rPr>
                <w:rFonts w:cs="Arial"/>
                <w:color w:val="000000"/>
              </w:rPr>
            </w:pPr>
          </w:p>
        </w:tc>
        <w:tc>
          <w:tcPr>
            <w:tcW w:w="277" w:type="pct"/>
            <w:tcBorders>
              <w:top w:val="single" w:sz="4" w:space="0" w:color="auto"/>
              <w:right w:val="single" w:sz="8" w:space="0" w:color="auto"/>
            </w:tcBorders>
            <w:shd w:val="clear" w:color="auto" w:fill="FFFFFF" w:themeFill="background1"/>
            <w:vAlign w:val="center"/>
          </w:tcPr>
          <w:p w14:paraId="76BED8B4" w14:textId="77777777" w:rsidR="00861557" w:rsidRPr="00296D0C" w:rsidRDefault="00861557" w:rsidP="0077247E">
            <w:pPr>
              <w:spacing w:before="40" w:after="0" w:line="240" w:lineRule="auto"/>
              <w:jc w:val="center"/>
              <w:rPr>
                <w:rFonts w:cs="Arial"/>
                <w:color w:val="000000"/>
              </w:rPr>
            </w:pPr>
          </w:p>
        </w:tc>
        <w:tc>
          <w:tcPr>
            <w:tcW w:w="277" w:type="pct"/>
            <w:tcBorders>
              <w:top w:val="single" w:sz="4" w:space="0" w:color="auto"/>
              <w:left w:val="nil"/>
            </w:tcBorders>
            <w:shd w:val="clear" w:color="auto" w:fill="FFFFFF" w:themeFill="background1"/>
            <w:vAlign w:val="center"/>
          </w:tcPr>
          <w:p w14:paraId="128C562C" w14:textId="77777777" w:rsidR="00861557" w:rsidRPr="00296D0C" w:rsidRDefault="00861557" w:rsidP="0077247E">
            <w:pPr>
              <w:spacing w:before="40" w:after="0" w:line="240" w:lineRule="auto"/>
              <w:jc w:val="center"/>
              <w:rPr>
                <w:rFonts w:cs="Arial"/>
                <w:color w:val="000000"/>
              </w:rPr>
            </w:pPr>
          </w:p>
        </w:tc>
        <w:tc>
          <w:tcPr>
            <w:tcW w:w="277" w:type="pct"/>
            <w:tcBorders>
              <w:top w:val="single" w:sz="4" w:space="0" w:color="auto"/>
            </w:tcBorders>
            <w:shd w:val="clear" w:color="auto" w:fill="FFFFFF" w:themeFill="background1"/>
            <w:vAlign w:val="center"/>
          </w:tcPr>
          <w:p w14:paraId="2CD2954D" w14:textId="77777777" w:rsidR="00861557" w:rsidRPr="00296D0C" w:rsidRDefault="00861557" w:rsidP="0077247E">
            <w:pPr>
              <w:spacing w:before="40" w:after="0" w:line="240" w:lineRule="auto"/>
              <w:jc w:val="center"/>
              <w:rPr>
                <w:rFonts w:cs="Arial"/>
                <w:color w:val="000000"/>
              </w:rPr>
            </w:pPr>
          </w:p>
        </w:tc>
        <w:tc>
          <w:tcPr>
            <w:tcW w:w="277" w:type="pct"/>
            <w:tcBorders>
              <w:top w:val="single" w:sz="4" w:space="0" w:color="auto"/>
              <w:right w:val="single" w:sz="8" w:space="0" w:color="auto"/>
            </w:tcBorders>
            <w:shd w:val="clear" w:color="auto" w:fill="FFFFFF" w:themeFill="background1"/>
            <w:vAlign w:val="center"/>
          </w:tcPr>
          <w:p w14:paraId="25B6711C" w14:textId="77777777" w:rsidR="00861557" w:rsidRPr="00296D0C" w:rsidRDefault="00861557" w:rsidP="0077247E">
            <w:pPr>
              <w:spacing w:before="40" w:after="0" w:line="240" w:lineRule="auto"/>
              <w:jc w:val="center"/>
              <w:rPr>
                <w:rFonts w:cs="Arial"/>
                <w:color w:val="000000"/>
              </w:rPr>
            </w:pPr>
          </w:p>
        </w:tc>
        <w:tc>
          <w:tcPr>
            <w:tcW w:w="277" w:type="pct"/>
            <w:tcBorders>
              <w:top w:val="single" w:sz="4" w:space="0" w:color="auto"/>
              <w:left w:val="nil"/>
            </w:tcBorders>
            <w:shd w:val="clear" w:color="auto" w:fill="FFFFFF" w:themeFill="background1"/>
            <w:vAlign w:val="center"/>
          </w:tcPr>
          <w:p w14:paraId="631DF33F" w14:textId="77777777" w:rsidR="00861557" w:rsidRPr="00296D0C" w:rsidRDefault="00861557" w:rsidP="0077247E">
            <w:pPr>
              <w:spacing w:before="40" w:after="0" w:line="240" w:lineRule="auto"/>
              <w:jc w:val="center"/>
              <w:rPr>
                <w:rFonts w:cs="Arial"/>
                <w:color w:val="000000"/>
              </w:rPr>
            </w:pPr>
          </w:p>
        </w:tc>
        <w:tc>
          <w:tcPr>
            <w:tcW w:w="277" w:type="pct"/>
            <w:tcBorders>
              <w:top w:val="single" w:sz="4" w:space="0" w:color="auto"/>
            </w:tcBorders>
            <w:shd w:val="clear" w:color="auto" w:fill="FFFFFF" w:themeFill="background1"/>
            <w:vAlign w:val="center"/>
          </w:tcPr>
          <w:p w14:paraId="0F099AF2" w14:textId="77777777" w:rsidR="00861557" w:rsidRPr="00296D0C" w:rsidRDefault="00861557" w:rsidP="0077247E">
            <w:pPr>
              <w:spacing w:before="40" w:after="0" w:line="240" w:lineRule="auto"/>
              <w:jc w:val="center"/>
              <w:rPr>
                <w:rFonts w:cs="Arial"/>
                <w:color w:val="000000"/>
              </w:rPr>
            </w:pPr>
          </w:p>
        </w:tc>
        <w:tc>
          <w:tcPr>
            <w:tcW w:w="277" w:type="pct"/>
            <w:tcBorders>
              <w:top w:val="single" w:sz="4" w:space="0" w:color="auto"/>
              <w:right w:val="single" w:sz="8" w:space="0" w:color="auto"/>
            </w:tcBorders>
            <w:shd w:val="clear" w:color="auto" w:fill="FFFFFF" w:themeFill="background1"/>
            <w:vAlign w:val="center"/>
          </w:tcPr>
          <w:p w14:paraId="7E89EE55" w14:textId="77777777" w:rsidR="00861557" w:rsidRPr="00296D0C" w:rsidRDefault="00861557" w:rsidP="0077247E">
            <w:pPr>
              <w:spacing w:before="40" w:after="0" w:line="240" w:lineRule="auto"/>
              <w:jc w:val="center"/>
              <w:rPr>
                <w:rFonts w:cs="Arial"/>
                <w:color w:val="000000"/>
              </w:rPr>
            </w:pPr>
          </w:p>
        </w:tc>
        <w:tc>
          <w:tcPr>
            <w:tcW w:w="277" w:type="pct"/>
            <w:tcBorders>
              <w:top w:val="single" w:sz="4" w:space="0" w:color="auto"/>
              <w:left w:val="nil"/>
            </w:tcBorders>
            <w:shd w:val="clear" w:color="auto" w:fill="FFFFFF" w:themeFill="background1"/>
            <w:vAlign w:val="center"/>
          </w:tcPr>
          <w:p w14:paraId="0C892A78" w14:textId="77777777" w:rsidR="00861557" w:rsidRPr="00296D0C" w:rsidRDefault="00861557" w:rsidP="0077247E">
            <w:pPr>
              <w:spacing w:before="40" w:after="0" w:line="240" w:lineRule="auto"/>
              <w:jc w:val="center"/>
              <w:rPr>
                <w:rFonts w:cs="Arial"/>
                <w:color w:val="000000"/>
              </w:rPr>
            </w:pPr>
          </w:p>
        </w:tc>
        <w:tc>
          <w:tcPr>
            <w:tcW w:w="277" w:type="pct"/>
            <w:tcBorders>
              <w:top w:val="single" w:sz="4" w:space="0" w:color="auto"/>
            </w:tcBorders>
            <w:shd w:val="clear" w:color="auto" w:fill="FFFFFF" w:themeFill="background1"/>
            <w:vAlign w:val="center"/>
          </w:tcPr>
          <w:p w14:paraId="052EED2D" w14:textId="77777777" w:rsidR="00861557" w:rsidRPr="00296D0C" w:rsidRDefault="00861557" w:rsidP="0077247E">
            <w:pPr>
              <w:spacing w:before="40" w:after="0" w:line="240" w:lineRule="auto"/>
              <w:jc w:val="center"/>
              <w:rPr>
                <w:rFonts w:cs="Arial"/>
                <w:color w:val="000000"/>
              </w:rPr>
            </w:pPr>
          </w:p>
        </w:tc>
        <w:tc>
          <w:tcPr>
            <w:tcW w:w="277" w:type="pct"/>
            <w:tcBorders>
              <w:top w:val="single" w:sz="4" w:space="0" w:color="auto"/>
              <w:right w:val="single" w:sz="8" w:space="0" w:color="auto"/>
            </w:tcBorders>
            <w:shd w:val="clear" w:color="auto" w:fill="FFFFFF" w:themeFill="background1"/>
            <w:vAlign w:val="center"/>
          </w:tcPr>
          <w:p w14:paraId="744D97EF" w14:textId="77777777" w:rsidR="00861557" w:rsidRPr="00296D0C" w:rsidRDefault="00861557" w:rsidP="0077247E">
            <w:pPr>
              <w:spacing w:before="40" w:after="0" w:line="240" w:lineRule="auto"/>
              <w:jc w:val="center"/>
              <w:rPr>
                <w:rFonts w:cs="Arial"/>
                <w:color w:val="000000"/>
              </w:rPr>
            </w:pPr>
          </w:p>
        </w:tc>
        <w:tc>
          <w:tcPr>
            <w:tcW w:w="277" w:type="pct"/>
            <w:tcBorders>
              <w:top w:val="single" w:sz="4" w:space="0" w:color="auto"/>
              <w:left w:val="nil"/>
            </w:tcBorders>
            <w:shd w:val="clear" w:color="auto" w:fill="FFFFFF" w:themeFill="background1"/>
            <w:vAlign w:val="center"/>
          </w:tcPr>
          <w:p w14:paraId="5FCA9BB1" w14:textId="77777777" w:rsidR="00861557" w:rsidRPr="00296D0C" w:rsidRDefault="00861557" w:rsidP="0077247E">
            <w:pPr>
              <w:spacing w:before="40" w:after="0" w:line="240" w:lineRule="auto"/>
              <w:jc w:val="center"/>
              <w:rPr>
                <w:rFonts w:cs="Arial"/>
                <w:color w:val="000000"/>
              </w:rPr>
            </w:pPr>
          </w:p>
        </w:tc>
        <w:tc>
          <w:tcPr>
            <w:tcW w:w="277" w:type="pct"/>
            <w:tcBorders>
              <w:top w:val="single" w:sz="4" w:space="0" w:color="auto"/>
            </w:tcBorders>
            <w:shd w:val="clear" w:color="auto" w:fill="FFFFFF" w:themeFill="background1"/>
            <w:vAlign w:val="center"/>
          </w:tcPr>
          <w:p w14:paraId="7AC3B67B" w14:textId="77777777" w:rsidR="00861557" w:rsidRPr="00296D0C" w:rsidRDefault="00861557" w:rsidP="0077247E">
            <w:pPr>
              <w:spacing w:before="40" w:after="0" w:line="240" w:lineRule="auto"/>
              <w:jc w:val="center"/>
              <w:rPr>
                <w:rFonts w:cs="Arial"/>
                <w:color w:val="000000"/>
              </w:rPr>
            </w:pPr>
          </w:p>
        </w:tc>
        <w:tc>
          <w:tcPr>
            <w:tcW w:w="277" w:type="pct"/>
            <w:tcBorders>
              <w:top w:val="single" w:sz="4" w:space="0" w:color="auto"/>
            </w:tcBorders>
            <w:shd w:val="clear" w:color="auto" w:fill="FFFFFF" w:themeFill="background1"/>
            <w:vAlign w:val="center"/>
          </w:tcPr>
          <w:p w14:paraId="413C7D14" w14:textId="77777777" w:rsidR="00861557" w:rsidRPr="00296D0C" w:rsidRDefault="00861557" w:rsidP="0077247E">
            <w:pPr>
              <w:spacing w:before="40" w:after="0" w:line="240" w:lineRule="auto"/>
              <w:jc w:val="center"/>
              <w:rPr>
                <w:rFonts w:cs="Arial"/>
                <w:color w:val="000000"/>
              </w:rPr>
            </w:pPr>
          </w:p>
        </w:tc>
      </w:tr>
      <w:tr w:rsidR="00861557" w:rsidRPr="00296D0C" w14:paraId="38DD6368" w14:textId="77777777" w:rsidTr="0077247E">
        <w:trPr>
          <w:trHeight w:val="330"/>
        </w:trPr>
        <w:tc>
          <w:tcPr>
            <w:tcW w:w="845" w:type="pct"/>
            <w:tcBorders>
              <w:top w:val="nil"/>
              <w:bottom w:val="nil"/>
              <w:right w:val="single" w:sz="4" w:space="0" w:color="auto"/>
            </w:tcBorders>
            <w:shd w:val="clear" w:color="auto" w:fill="FFFFFF" w:themeFill="background1"/>
            <w:noWrap/>
            <w:vAlign w:val="bottom"/>
            <w:hideMark/>
          </w:tcPr>
          <w:p w14:paraId="6AB67B2C" w14:textId="77777777" w:rsidR="00861557" w:rsidRPr="00296D0C" w:rsidRDefault="00861557" w:rsidP="0077247E">
            <w:pPr>
              <w:spacing w:before="40" w:after="0" w:line="240" w:lineRule="auto"/>
              <w:rPr>
                <w:rFonts w:cs="Arial"/>
                <w:color w:val="000000"/>
                <w:spacing w:val="-6"/>
              </w:rPr>
            </w:pPr>
            <w:r w:rsidRPr="00296D0C">
              <w:rPr>
                <w:rFonts w:cs="Arial"/>
                <w:color w:val="000000"/>
                <w:spacing w:val="-6"/>
              </w:rPr>
              <w:t>Class</w:t>
            </w:r>
          </w:p>
        </w:tc>
        <w:tc>
          <w:tcPr>
            <w:tcW w:w="277" w:type="pct"/>
            <w:tcBorders>
              <w:left w:val="single" w:sz="4" w:space="0" w:color="auto"/>
            </w:tcBorders>
            <w:shd w:val="clear" w:color="auto" w:fill="FFFFFF" w:themeFill="background1"/>
            <w:noWrap/>
            <w:vAlign w:val="center"/>
          </w:tcPr>
          <w:p w14:paraId="75A0393F" w14:textId="77777777" w:rsidR="00861557" w:rsidRPr="00296D0C" w:rsidRDefault="00861557" w:rsidP="0077247E">
            <w:pPr>
              <w:spacing w:before="40" w:after="0" w:line="240" w:lineRule="auto"/>
              <w:jc w:val="center"/>
              <w:rPr>
                <w:rFonts w:cs="Arial"/>
                <w:color w:val="000000"/>
              </w:rPr>
            </w:pPr>
            <w:r w:rsidRPr="00296D0C">
              <w:rPr>
                <w:rFonts w:cs="Arial"/>
                <w:color w:val="000000"/>
              </w:rPr>
              <w:t>11.29</w:t>
            </w:r>
          </w:p>
        </w:tc>
        <w:tc>
          <w:tcPr>
            <w:tcW w:w="277" w:type="pct"/>
            <w:shd w:val="clear" w:color="auto" w:fill="FFFFFF" w:themeFill="background1"/>
            <w:vAlign w:val="center"/>
          </w:tcPr>
          <w:p w14:paraId="1EC1262B" w14:textId="77777777" w:rsidR="00861557" w:rsidRPr="00296D0C" w:rsidRDefault="00861557" w:rsidP="0077247E">
            <w:pPr>
              <w:spacing w:before="40" w:after="0" w:line="240" w:lineRule="auto"/>
              <w:jc w:val="center"/>
              <w:rPr>
                <w:rFonts w:cs="Arial"/>
                <w:color w:val="000000"/>
              </w:rPr>
            </w:pPr>
            <w:r w:rsidRPr="00296D0C">
              <w:rPr>
                <w:rFonts w:cs="Arial"/>
                <w:color w:val="000000"/>
              </w:rPr>
              <w:t>22.58</w:t>
            </w:r>
          </w:p>
        </w:tc>
        <w:tc>
          <w:tcPr>
            <w:tcW w:w="277" w:type="pct"/>
            <w:tcBorders>
              <w:right w:val="single" w:sz="8" w:space="0" w:color="auto"/>
            </w:tcBorders>
            <w:shd w:val="clear" w:color="auto" w:fill="FFFFFF" w:themeFill="background1"/>
            <w:vAlign w:val="center"/>
          </w:tcPr>
          <w:p w14:paraId="72E1F1E5" w14:textId="77777777" w:rsidR="00861557" w:rsidRPr="00296D0C" w:rsidRDefault="00861557" w:rsidP="0077247E">
            <w:pPr>
              <w:spacing w:before="40" w:after="0" w:line="240" w:lineRule="auto"/>
              <w:jc w:val="center"/>
              <w:rPr>
                <w:rFonts w:cs="Arial"/>
                <w:color w:val="000000"/>
              </w:rPr>
            </w:pPr>
            <w:r w:rsidRPr="00296D0C">
              <w:rPr>
                <w:rFonts w:cs="Arial"/>
                <w:color w:val="000000"/>
              </w:rPr>
              <w:t>33.87</w:t>
            </w:r>
          </w:p>
        </w:tc>
        <w:tc>
          <w:tcPr>
            <w:tcW w:w="277" w:type="pct"/>
            <w:tcBorders>
              <w:left w:val="single" w:sz="4" w:space="0" w:color="auto"/>
            </w:tcBorders>
            <w:shd w:val="clear" w:color="auto" w:fill="FFFFFF" w:themeFill="background1"/>
            <w:vAlign w:val="center"/>
          </w:tcPr>
          <w:p w14:paraId="6109D9D2" w14:textId="77777777" w:rsidR="00861557" w:rsidRPr="00296D0C" w:rsidRDefault="00861557" w:rsidP="0077247E">
            <w:pPr>
              <w:spacing w:before="40" w:after="0" w:line="240" w:lineRule="auto"/>
              <w:jc w:val="center"/>
              <w:rPr>
                <w:rFonts w:cs="Arial"/>
                <w:color w:val="000000"/>
              </w:rPr>
            </w:pPr>
            <w:r w:rsidRPr="00296D0C">
              <w:rPr>
                <w:rFonts w:cs="Arial"/>
                <w:color w:val="000000"/>
              </w:rPr>
              <w:t>NA</w:t>
            </w:r>
          </w:p>
        </w:tc>
        <w:tc>
          <w:tcPr>
            <w:tcW w:w="277" w:type="pct"/>
            <w:shd w:val="clear" w:color="auto" w:fill="FFFFFF" w:themeFill="background1"/>
            <w:vAlign w:val="center"/>
          </w:tcPr>
          <w:p w14:paraId="51F64267" w14:textId="77777777" w:rsidR="00861557" w:rsidRPr="00296D0C" w:rsidRDefault="00861557" w:rsidP="0077247E">
            <w:pPr>
              <w:spacing w:before="40" w:after="0" w:line="240" w:lineRule="auto"/>
              <w:jc w:val="center"/>
              <w:rPr>
                <w:rFonts w:cs="Arial"/>
                <w:color w:val="000000"/>
              </w:rPr>
            </w:pPr>
            <w:r w:rsidRPr="00296D0C">
              <w:rPr>
                <w:rFonts w:cs="Arial"/>
                <w:color w:val="000000"/>
              </w:rPr>
              <w:t>NA</w:t>
            </w:r>
          </w:p>
        </w:tc>
        <w:tc>
          <w:tcPr>
            <w:tcW w:w="277" w:type="pct"/>
            <w:tcBorders>
              <w:right w:val="single" w:sz="8" w:space="0" w:color="auto"/>
            </w:tcBorders>
            <w:shd w:val="clear" w:color="auto" w:fill="FFFFFF" w:themeFill="background1"/>
            <w:vAlign w:val="center"/>
          </w:tcPr>
          <w:p w14:paraId="6F5E3F95" w14:textId="77777777" w:rsidR="00861557" w:rsidRPr="00296D0C" w:rsidRDefault="00861557" w:rsidP="0077247E">
            <w:pPr>
              <w:spacing w:before="40" w:after="0" w:line="240" w:lineRule="auto"/>
              <w:jc w:val="center"/>
              <w:rPr>
                <w:rFonts w:cs="Arial"/>
                <w:color w:val="000000"/>
              </w:rPr>
            </w:pPr>
            <w:r w:rsidRPr="00296D0C">
              <w:rPr>
                <w:rFonts w:cs="Arial"/>
                <w:color w:val="000000"/>
              </w:rPr>
              <w:t>NA</w:t>
            </w:r>
          </w:p>
        </w:tc>
        <w:tc>
          <w:tcPr>
            <w:tcW w:w="277" w:type="pct"/>
            <w:tcBorders>
              <w:left w:val="single" w:sz="4" w:space="0" w:color="auto"/>
            </w:tcBorders>
            <w:shd w:val="clear" w:color="auto" w:fill="FFFFFF" w:themeFill="background1"/>
            <w:vAlign w:val="center"/>
          </w:tcPr>
          <w:p w14:paraId="0DBA32FD" w14:textId="77777777" w:rsidR="00861557" w:rsidRPr="00296D0C" w:rsidRDefault="00861557" w:rsidP="0077247E">
            <w:pPr>
              <w:spacing w:before="40" w:after="0" w:line="240" w:lineRule="auto"/>
              <w:jc w:val="center"/>
              <w:rPr>
                <w:rFonts w:cs="Arial"/>
                <w:color w:val="000000"/>
              </w:rPr>
            </w:pPr>
            <w:r w:rsidRPr="00296D0C">
              <w:rPr>
                <w:rFonts w:cs="Arial"/>
                <w:color w:val="000000"/>
              </w:rPr>
              <w:t>NA</w:t>
            </w:r>
          </w:p>
        </w:tc>
        <w:tc>
          <w:tcPr>
            <w:tcW w:w="277" w:type="pct"/>
            <w:shd w:val="clear" w:color="auto" w:fill="FFFFFF" w:themeFill="background1"/>
            <w:vAlign w:val="center"/>
          </w:tcPr>
          <w:p w14:paraId="3B42D121" w14:textId="77777777" w:rsidR="00861557" w:rsidRPr="00296D0C" w:rsidRDefault="00861557" w:rsidP="0077247E">
            <w:pPr>
              <w:spacing w:before="40" w:after="0" w:line="240" w:lineRule="auto"/>
              <w:jc w:val="center"/>
              <w:rPr>
                <w:rFonts w:cs="Arial"/>
                <w:color w:val="000000"/>
              </w:rPr>
            </w:pPr>
            <w:r w:rsidRPr="00296D0C">
              <w:rPr>
                <w:rFonts w:cs="Arial"/>
                <w:color w:val="000000"/>
              </w:rPr>
              <w:t>NA</w:t>
            </w:r>
          </w:p>
        </w:tc>
        <w:tc>
          <w:tcPr>
            <w:tcW w:w="277" w:type="pct"/>
            <w:tcBorders>
              <w:right w:val="single" w:sz="8" w:space="0" w:color="auto"/>
            </w:tcBorders>
            <w:shd w:val="clear" w:color="auto" w:fill="FFFFFF" w:themeFill="background1"/>
            <w:vAlign w:val="center"/>
          </w:tcPr>
          <w:p w14:paraId="0D5DA1D4" w14:textId="77777777" w:rsidR="00861557" w:rsidRPr="00296D0C" w:rsidRDefault="00861557" w:rsidP="0077247E">
            <w:pPr>
              <w:spacing w:before="40" w:after="0" w:line="240" w:lineRule="auto"/>
              <w:jc w:val="center"/>
              <w:rPr>
                <w:rFonts w:cs="Arial"/>
                <w:color w:val="000000"/>
              </w:rPr>
            </w:pPr>
            <w:r w:rsidRPr="00296D0C">
              <w:rPr>
                <w:rFonts w:cs="Arial"/>
                <w:color w:val="000000"/>
              </w:rPr>
              <w:t>NA</w:t>
            </w:r>
          </w:p>
        </w:tc>
        <w:tc>
          <w:tcPr>
            <w:tcW w:w="277" w:type="pct"/>
            <w:tcBorders>
              <w:left w:val="single" w:sz="4" w:space="0" w:color="auto"/>
            </w:tcBorders>
            <w:shd w:val="clear" w:color="auto" w:fill="FFFFFF" w:themeFill="background1"/>
            <w:vAlign w:val="center"/>
          </w:tcPr>
          <w:p w14:paraId="5C15F664" w14:textId="77777777" w:rsidR="00861557" w:rsidRPr="00296D0C" w:rsidRDefault="00861557" w:rsidP="0077247E">
            <w:pPr>
              <w:spacing w:before="40" w:after="0" w:line="240" w:lineRule="auto"/>
              <w:jc w:val="center"/>
              <w:rPr>
                <w:rFonts w:cs="Arial"/>
                <w:color w:val="000000"/>
              </w:rPr>
            </w:pPr>
            <w:r w:rsidRPr="00296D0C">
              <w:rPr>
                <w:rFonts w:cs="Arial"/>
                <w:color w:val="000000"/>
              </w:rPr>
              <w:t>11.46</w:t>
            </w:r>
          </w:p>
        </w:tc>
        <w:tc>
          <w:tcPr>
            <w:tcW w:w="277" w:type="pct"/>
            <w:shd w:val="clear" w:color="auto" w:fill="FFFFFF" w:themeFill="background1"/>
            <w:vAlign w:val="center"/>
          </w:tcPr>
          <w:p w14:paraId="519A32E5" w14:textId="77777777" w:rsidR="00861557" w:rsidRPr="00296D0C" w:rsidRDefault="00861557" w:rsidP="0077247E">
            <w:pPr>
              <w:spacing w:before="40" w:after="0" w:line="240" w:lineRule="auto"/>
              <w:jc w:val="center"/>
              <w:rPr>
                <w:rFonts w:cs="Arial"/>
                <w:color w:val="000000"/>
              </w:rPr>
            </w:pPr>
            <w:r w:rsidRPr="00296D0C">
              <w:rPr>
                <w:rFonts w:cs="Arial"/>
                <w:color w:val="000000"/>
              </w:rPr>
              <w:t>22.92</w:t>
            </w:r>
          </w:p>
        </w:tc>
        <w:tc>
          <w:tcPr>
            <w:tcW w:w="277" w:type="pct"/>
            <w:tcBorders>
              <w:right w:val="single" w:sz="8" w:space="0" w:color="auto"/>
            </w:tcBorders>
            <w:shd w:val="clear" w:color="auto" w:fill="FFFFFF" w:themeFill="background1"/>
            <w:vAlign w:val="center"/>
          </w:tcPr>
          <w:p w14:paraId="239F497E" w14:textId="77777777" w:rsidR="00861557" w:rsidRPr="00296D0C" w:rsidRDefault="00861557" w:rsidP="0077247E">
            <w:pPr>
              <w:spacing w:before="40" w:after="0" w:line="240" w:lineRule="auto"/>
              <w:jc w:val="center"/>
              <w:rPr>
                <w:rFonts w:cs="Arial"/>
                <w:color w:val="000000"/>
              </w:rPr>
            </w:pPr>
            <w:r w:rsidRPr="00296D0C">
              <w:rPr>
                <w:rFonts w:cs="Arial"/>
                <w:color w:val="000000"/>
              </w:rPr>
              <w:t>34.37</w:t>
            </w:r>
          </w:p>
        </w:tc>
        <w:tc>
          <w:tcPr>
            <w:tcW w:w="277" w:type="pct"/>
            <w:tcBorders>
              <w:left w:val="single" w:sz="4" w:space="0" w:color="auto"/>
            </w:tcBorders>
            <w:shd w:val="clear" w:color="auto" w:fill="FFFFFF" w:themeFill="background1"/>
            <w:vAlign w:val="center"/>
          </w:tcPr>
          <w:p w14:paraId="30D3397F" w14:textId="77777777" w:rsidR="00861557" w:rsidRPr="00296D0C" w:rsidRDefault="00861557" w:rsidP="0077247E">
            <w:pPr>
              <w:spacing w:before="40" w:after="0" w:line="240" w:lineRule="auto"/>
              <w:jc w:val="center"/>
              <w:rPr>
                <w:rFonts w:cs="Arial"/>
                <w:color w:val="000000"/>
              </w:rPr>
            </w:pPr>
            <w:r w:rsidRPr="00296D0C">
              <w:rPr>
                <w:rFonts w:cs="Arial"/>
                <w:color w:val="000000"/>
              </w:rPr>
              <w:t>NA</w:t>
            </w:r>
          </w:p>
        </w:tc>
        <w:tc>
          <w:tcPr>
            <w:tcW w:w="277" w:type="pct"/>
            <w:shd w:val="clear" w:color="auto" w:fill="FFFFFF" w:themeFill="background1"/>
            <w:vAlign w:val="center"/>
          </w:tcPr>
          <w:p w14:paraId="325184FE" w14:textId="77777777" w:rsidR="00861557" w:rsidRPr="00296D0C" w:rsidRDefault="00861557" w:rsidP="0077247E">
            <w:pPr>
              <w:spacing w:before="40" w:after="0" w:line="240" w:lineRule="auto"/>
              <w:jc w:val="center"/>
              <w:rPr>
                <w:rFonts w:cs="Arial"/>
                <w:color w:val="000000"/>
              </w:rPr>
            </w:pPr>
            <w:r w:rsidRPr="00296D0C">
              <w:rPr>
                <w:rFonts w:cs="Arial"/>
                <w:color w:val="000000"/>
              </w:rPr>
              <w:t>NA</w:t>
            </w:r>
          </w:p>
        </w:tc>
        <w:tc>
          <w:tcPr>
            <w:tcW w:w="277" w:type="pct"/>
            <w:shd w:val="clear" w:color="auto" w:fill="FFFFFF" w:themeFill="background1"/>
            <w:vAlign w:val="center"/>
          </w:tcPr>
          <w:p w14:paraId="7C67E587" w14:textId="77777777" w:rsidR="00861557" w:rsidRPr="00296D0C" w:rsidRDefault="00861557" w:rsidP="0077247E">
            <w:pPr>
              <w:spacing w:before="40" w:after="0" w:line="240" w:lineRule="auto"/>
              <w:jc w:val="center"/>
              <w:rPr>
                <w:rFonts w:cs="Arial"/>
                <w:color w:val="000000"/>
              </w:rPr>
            </w:pPr>
            <w:r w:rsidRPr="00296D0C">
              <w:rPr>
                <w:rFonts w:cs="Arial"/>
                <w:color w:val="000000"/>
              </w:rPr>
              <w:t>NA</w:t>
            </w:r>
          </w:p>
        </w:tc>
      </w:tr>
      <w:tr w:rsidR="00861557" w:rsidRPr="00296D0C" w14:paraId="29CFE2A9" w14:textId="77777777" w:rsidTr="0077247E">
        <w:trPr>
          <w:trHeight w:val="330"/>
        </w:trPr>
        <w:tc>
          <w:tcPr>
            <w:tcW w:w="845" w:type="pct"/>
            <w:tcBorders>
              <w:top w:val="nil"/>
              <w:bottom w:val="nil"/>
              <w:right w:val="single" w:sz="4" w:space="0" w:color="auto"/>
            </w:tcBorders>
            <w:shd w:val="clear" w:color="auto" w:fill="FFFFFF" w:themeFill="background1"/>
            <w:noWrap/>
            <w:vAlign w:val="bottom"/>
            <w:hideMark/>
          </w:tcPr>
          <w:p w14:paraId="203B4DE5" w14:textId="77777777" w:rsidR="00861557" w:rsidRPr="00296D0C" w:rsidRDefault="00861557" w:rsidP="0077247E">
            <w:pPr>
              <w:spacing w:before="40" w:after="0" w:line="240" w:lineRule="auto"/>
              <w:rPr>
                <w:rFonts w:cs="Arial"/>
                <w:color w:val="000000"/>
                <w:spacing w:val="-6"/>
              </w:rPr>
            </w:pPr>
            <w:r w:rsidRPr="00296D0C">
              <w:rPr>
                <w:rFonts w:cs="Arial"/>
                <w:color w:val="000000"/>
                <w:spacing w:val="-6"/>
              </w:rPr>
              <w:t>School</w:t>
            </w:r>
          </w:p>
        </w:tc>
        <w:tc>
          <w:tcPr>
            <w:tcW w:w="277" w:type="pct"/>
            <w:tcBorders>
              <w:left w:val="single" w:sz="4" w:space="0" w:color="auto"/>
            </w:tcBorders>
            <w:shd w:val="clear" w:color="auto" w:fill="FFFFFF" w:themeFill="background1"/>
            <w:noWrap/>
            <w:vAlign w:val="center"/>
          </w:tcPr>
          <w:p w14:paraId="1E281E1D" w14:textId="77777777" w:rsidR="00861557" w:rsidRPr="00296D0C" w:rsidRDefault="00861557" w:rsidP="0077247E">
            <w:pPr>
              <w:spacing w:before="40" w:after="0" w:line="240" w:lineRule="auto"/>
              <w:jc w:val="center"/>
              <w:rPr>
                <w:rFonts w:cs="Arial"/>
                <w:color w:val="000000"/>
              </w:rPr>
            </w:pPr>
            <w:r w:rsidRPr="00296D0C">
              <w:rPr>
                <w:rFonts w:cs="Arial"/>
                <w:color w:val="000000"/>
              </w:rPr>
              <w:t>4.97</w:t>
            </w:r>
          </w:p>
        </w:tc>
        <w:tc>
          <w:tcPr>
            <w:tcW w:w="277" w:type="pct"/>
            <w:shd w:val="clear" w:color="auto" w:fill="FFFFFF" w:themeFill="background1"/>
            <w:vAlign w:val="center"/>
          </w:tcPr>
          <w:p w14:paraId="041802CC" w14:textId="77777777" w:rsidR="00861557" w:rsidRPr="00296D0C" w:rsidRDefault="00861557" w:rsidP="0077247E">
            <w:pPr>
              <w:spacing w:before="40" w:after="0" w:line="240" w:lineRule="auto"/>
              <w:jc w:val="center"/>
              <w:rPr>
                <w:rFonts w:cs="Arial"/>
                <w:color w:val="000000"/>
              </w:rPr>
            </w:pPr>
            <w:r w:rsidRPr="00296D0C">
              <w:rPr>
                <w:rFonts w:cs="Arial"/>
                <w:color w:val="000000"/>
              </w:rPr>
              <w:t>4.97</w:t>
            </w:r>
          </w:p>
        </w:tc>
        <w:tc>
          <w:tcPr>
            <w:tcW w:w="277" w:type="pct"/>
            <w:tcBorders>
              <w:right w:val="single" w:sz="8" w:space="0" w:color="auto"/>
            </w:tcBorders>
            <w:shd w:val="clear" w:color="auto" w:fill="FFFFFF" w:themeFill="background1"/>
            <w:vAlign w:val="center"/>
          </w:tcPr>
          <w:p w14:paraId="283011CB" w14:textId="77777777" w:rsidR="00861557" w:rsidRPr="00296D0C" w:rsidRDefault="00861557" w:rsidP="0077247E">
            <w:pPr>
              <w:spacing w:before="40" w:after="0" w:line="240" w:lineRule="auto"/>
              <w:jc w:val="center"/>
              <w:rPr>
                <w:rFonts w:cs="Arial"/>
                <w:color w:val="000000"/>
              </w:rPr>
            </w:pPr>
            <w:r w:rsidRPr="00296D0C">
              <w:rPr>
                <w:rFonts w:cs="Arial"/>
                <w:color w:val="000000"/>
              </w:rPr>
              <w:t>4.97</w:t>
            </w:r>
          </w:p>
        </w:tc>
        <w:tc>
          <w:tcPr>
            <w:tcW w:w="277" w:type="pct"/>
            <w:tcBorders>
              <w:left w:val="single" w:sz="4" w:space="0" w:color="auto"/>
            </w:tcBorders>
            <w:shd w:val="clear" w:color="auto" w:fill="FFFFFF" w:themeFill="background1"/>
            <w:vAlign w:val="center"/>
          </w:tcPr>
          <w:p w14:paraId="57276FBD" w14:textId="77777777" w:rsidR="00861557" w:rsidRPr="00296D0C" w:rsidRDefault="00861557" w:rsidP="0077247E">
            <w:pPr>
              <w:spacing w:before="40" w:after="0" w:line="240" w:lineRule="auto"/>
              <w:jc w:val="center"/>
              <w:rPr>
                <w:rFonts w:cs="Arial"/>
                <w:color w:val="000000"/>
              </w:rPr>
            </w:pPr>
            <w:r w:rsidRPr="00296D0C">
              <w:rPr>
                <w:rFonts w:cs="Arial"/>
                <w:color w:val="000000"/>
              </w:rPr>
              <w:t>NA</w:t>
            </w:r>
          </w:p>
        </w:tc>
        <w:tc>
          <w:tcPr>
            <w:tcW w:w="277" w:type="pct"/>
            <w:shd w:val="clear" w:color="auto" w:fill="FFFFFF" w:themeFill="background1"/>
            <w:vAlign w:val="center"/>
          </w:tcPr>
          <w:p w14:paraId="1EF67B15" w14:textId="77777777" w:rsidR="00861557" w:rsidRPr="00296D0C" w:rsidRDefault="00861557" w:rsidP="0077247E">
            <w:pPr>
              <w:spacing w:before="40" w:after="0" w:line="240" w:lineRule="auto"/>
              <w:jc w:val="center"/>
              <w:rPr>
                <w:rFonts w:cs="Arial"/>
                <w:color w:val="000000"/>
              </w:rPr>
            </w:pPr>
            <w:r w:rsidRPr="00296D0C">
              <w:rPr>
                <w:rFonts w:cs="Arial"/>
                <w:color w:val="000000"/>
              </w:rPr>
              <w:t>NA</w:t>
            </w:r>
          </w:p>
        </w:tc>
        <w:tc>
          <w:tcPr>
            <w:tcW w:w="277" w:type="pct"/>
            <w:tcBorders>
              <w:right w:val="single" w:sz="8" w:space="0" w:color="auto"/>
            </w:tcBorders>
            <w:shd w:val="clear" w:color="auto" w:fill="FFFFFF" w:themeFill="background1"/>
            <w:vAlign w:val="center"/>
          </w:tcPr>
          <w:p w14:paraId="70DC8ACD" w14:textId="77777777" w:rsidR="00861557" w:rsidRPr="00296D0C" w:rsidRDefault="00861557" w:rsidP="0077247E">
            <w:pPr>
              <w:spacing w:before="40" w:after="0" w:line="240" w:lineRule="auto"/>
              <w:jc w:val="center"/>
              <w:rPr>
                <w:rFonts w:cs="Arial"/>
                <w:color w:val="000000"/>
              </w:rPr>
            </w:pPr>
            <w:r w:rsidRPr="00296D0C">
              <w:rPr>
                <w:rFonts w:cs="Arial"/>
                <w:color w:val="000000"/>
              </w:rPr>
              <w:t>NA</w:t>
            </w:r>
          </w:p>
        </w:tc>
        <w:tc>
          <w:tcPr>
            <w:tcW w:w="277" w:type="pct"/>
            <w:tcBorders>
              <w:left w:val="single" w:sz="4" w:space="0" w:color="auto"/>
            </w:tcBorders>
            <w:shd w:val="clear" w:color="auto" w:fill="FFFFFF" w:themeFill="background1"/>
            <w:vAlign w:val="center"/>
          </w:tcPr>
          <w:p w14:paraId="57C5C0D3" w14:textId="77777777" w:rsidR="00861557" w:rsidRPr="00296D0C" w:rsidRDefault="00861557" w:rsidP="0077247E">
            <w:pPr>
              <w:spacing w:before="40" w:after="0" w:line="240" w:lineRule="auto"/>
              <w:jc w:val="center"/>
              <w:rPr>
                <w:rFonts w:cs="Arial"/>
                <w:color w:val="000000"/>
              </w:rPr>
            </w:pPr>
            <w:r w:rsidRPr="00296D0C">
              <w:rPr>
                <w:rFonts w:cs="Arial"/>
                <w:color w:val="000000"/>
              </w:rPr>
              <w:t>NA</w:t>
            </w:r>
          </w:p>
        </w:tc>
        <w:tc>
          <w:tcPr>
            <w:tcW w:w="277" w:type="pct"/>
            <w:shd w:val="clear" w:color="auto" w:fill="FFFFFF" w:themeFill="background1"/>
            <w:vAlign w:val="center"/>
          </w:tcPr>
          <w:p w14:paraId="58833D49" w14:textId="77777777" w:rsidR="00861557" w:rsidRPr="00296D0C" w:rsidRDefault="00861557" w:rsidP="0077247E">
            <w:pPr>
              <w:spacing w:before="40" w:after="0" w:line="240" w:lineRule="auto"/>
              <w:jc w:val="center"/>
              <w:rPr>
                <w:rFonts w:cs="Arial"/>
                <w:color w:val="000000"/>
              </w:rPr>
            </w:pPr>
            <w:r w:rsidRPr="00296D0C">
              <w:rPr>
                <w:rFonts w:cs="Arial"/>
                <w:color w:val="000000"/>
              </w:rPr>
              <w:t>NA</w:t>
            </w:r>
          </w:p>
        </w:tc>
        <w:tc>
          <w:tcPr>
            <w:tcW w:w="277" w:type="pct"/>
            <w:tcBorders>
              <w:right w:val="single" w:sz="8" w:space="0" w:color="auto"/>
            </w:tcBorders>
            <w:shd w:val="clear" w:color="auto" w:fill="FFFFFF" w:themeFill="background1"/>
            <w:vAlign w:val="center"/>
          </w:tcPr>
          <w:p w14:paraId="3DD3032B" w14:textId="77777777" w:rsidR="00861557" w:rsidRPr="00296D0C" w:rsidRDefault="00861557" w:rsidP="0077247E">
            <w:pPr>
              <w:spacing w:before="40" w:after="0" w:line="240" w:lineRule="auto"/>
              <w:jc w:val="center"/>
              <w:rPr>
                <w:rFonts w:cs="Arial"/>
                <w:color w:val="000000"/>
              </w:rPr>
            </w:pPr>
            <w:r w:rsidRPr="00296D0C">
              <w:rPr>
                <w:rFonts w:cs="Arial"/>
                <w:color w:val="000000"/>
              </w:rPr>
              <w:t>NA</w:t>
            </w:r>
          </w:p>
        </w:tc>
        <w:tc>
          <w:tcPr>
            <w:tcW w:w="277" w:type="pct"/>
            <w:tcBorders>
              <w:left w:val="single" w:sz="4" w:space="0" w:color="auto"/>
            </w:tcBorders>
            <w:shd w:val="clear" w:color="auto" w:fill="FFFFFF" w:themeFill="background1"/>
            <w:vAlign w:val="center"/>
          </w:tcPr>
          <w:p w14:paraId="632D66CE" w14:textId="77777777" w:rsidR="00861557" w:rsidRPr="00296D0C" w:rsidRDefault="00861557" w:rsidP="0077247E">
            <w:pPr>
              <w:spacing w:before="40" w:after="0" w:line="240" w:lineRule="auto"/>
              <w:jc w:val="center"/>
              <w:rPr>
                <w:rFonts w:cs="Arial"/>
                <w:color w:val="000000"/>
              </w:rPr>
            </w:pPr>
            <w:r w:rsidRPr="00296D0C">
              <w:rPr>
                <w:rFonts w:cs="Arial"/>
                <w:color w:val="000000"/>
              </w:rPr>
              <w:t>1.73</w:t>
            </w:r>
          </w:p>
        </w:tc>
        <w:tc>
          <w:tcPr>
            <w:tcW w:w="277" w:type="pct"/>
            <w:shd w:val="clear" w:color="auto" w:fill="FFFFFF" w:themeFill="background1"/>
            <w:vAlign w:val="center"/>
          </w:tcPr>
          <w:p w14:paraId="5FCDD309" w14:textId="77777777" w:rsidR="00861557" w:rsidRPr="00296D0C" w:rsidRDefault="00861557" w:rsidP="0077247E">
            <w:pPr>
              <w:spacing w:before="40" w:after="0" w:line="240" w:lineRule="auto"/>
              <w:jc w:val="center"/>
              <w:rPr>
                <w:rFonts w:cs="Arial"/>
                <w:color w:val="000000"/>
              </w:rPr>
            </w:pPr>
            <w:r w:rsidRPr="00296D0C">
              <w:rPr>
                <w:rFonts w:cs="Arial"/>
                <w:color w:val="000000"/>
              </w:rPr>
              <w:t>1.73</w:t>
            </w:r>
          </w:p>
        </w:tc>
        <w:tc>
          <w:tcPr>
            <w:tcW w:w="277" w:type="pct"/>
            <w:tcBorders>
              <w:right w:val="single" w:sz="8" w:space="0" w:color="auto"/>
            </w:tcBorders>
            <w:shd w:val="clear" w:color="auto" w:fill="FFFFFF" w:themeFill="background1"/>
            <w:vAlign w:val="center"/>
          </w:tcPr>
          <w:p w14:paraId="7625F72E" w14:textId="77777777" w:rsidR="00861557" w:rsidRPr="00296D0C" w:rsidRDefault="00861557" w:rsidP="0077247E">
            <w:pPr>
              <w:spacing w:before="40" w:after="0" w:line="240" w:lineRule="auto"/>
              <w:jc w:val="center"/>
              <w:rPr>
                <w:rFonts w:cs="Arial"/>
                <w:color w:val="000000"/>
              </w:rPr>
            </w:pPr>
            <w:r w:rsidRPr="00296D0C">
              <w:rPr>
                <w:rFonts w:cs="Arial"/>
                <w:color w:val="000000"/>
              </w:rPr>
              <w:t>1.73</w:t>
            </w:r>
          </w:p>
        </w:tc>
        <w:tc>
          <w:tcPr>
            <w:tcW w:w="277" w:type="pct"/>
            <w:tcBorders>
              <w:left w:val="single" w:sz="4" w:space="0" w:color="auto"/>
            </w:tcBorders>
            <w:shd w:val="clear" w:color="auto" w:fill="FFFFFF" w:themeFill="background1"/>
            <w:vAlign w:val="center"/>
          </w:tcPr>
          <w:p w14:paraId="298883AB" w14:textId="77777777" w:rsidR="00861557" w:rsidRPr="00296D0C" w:rsidRDefault="00861557" w:rsidP="0077247E">
            <w:pPr>
              <w:spacing w:before="40" w:after="0" w:line="240" w:lineRule="auto"/>
              <w:jc w:val="center"/>
              <w:rPr>
                <w:rFonts w:cs="Arial"/>
                <w:color w:val="000000"/>
              </w:rPr>
            </w:pPr>
            <w:r w:rsidRPr="00296D0C">
              <w:rPr>
                <w:rFonts w:cs="Arial"/>
                <w:color w:val="000000"/>
              </w:rPr>
              <w:t>NA</w:t>
            </w:r>
          </w:p>
        </w:tc>
        <w:tc>
          <w:tcPr>
            <w:tcW w:w="277" w:type="pct"/>
            <w:shd w:val="clear" w:color="auto" w:fill="FFFFFF" w:themeFill="background1"/>
            <w:vAlign w:val="center"/>
          </w:tcPr>
          <w:p w14:paraId="752FF695" w14:textId="77777777" w:rsidR="00861557" w:rsidRPr="00296D0C" w:rsidRDefault="00861557" w:rsidP="0077247E">
            <w:pPr>
              <w:spacing w:before="40" w:after="0" w:line="240" w:lineRule="auto"/>
              <w:jc w:val="center"/>
              <w:rPr>
                <w:rFonts w:cs="Arial"/>
                <w:color w:val="000000"/>
              </w:rPr>
            </w:pPr>
            <w:r w:rsidRPr="00296D0C">
              <w:rPr>
                <w:rFonts w:cs="Arial"/>
                <w:color w:val="000000"/>
              </w:rPr>
              <w:t>NA</w:t>
            </w:r>
          </w:p>
        </w:tc>
        <w:tc>
          <w:tcPr>
            <w:tcW w:w="277" w:type="pct"/>
            <w:shd w:val="clear" w:color="auto" w:fill="FFFFFF" w:themeFill="background1"/>
            <w:vAlign w:val="center"/>
          </w:tcPr>
          <w:p w14:paraId="4C13AC90" w14:textId="77777777" w:rsidR="00861557" w:rsidRPr="00296D0C" w:rsidRDefault="00861557" w:rsidP="0077247E">
            <w:pPr>
              <w:spacing w:before="40" w:after="0" w:line="240" w:lineRule="auto"/>
              <w:jc w:val="center"/>
              <w:rPr>
                <w:rFonts w:cs="Arial"/>
                <w:color w:val="000000"/>
              </w:rPr>
            </w:pPr>
            <w:r w:rsidRPr="00296D0C">
              <w:rPr>
                <w:rFonts w:cs="Arial"/>
                <w:color w:val="000000"/>
              </w:rPr>
              <w:t>NA</w:t>
            </w:r>
          </w:p>
        </w:tc>
      </w:tr>
      <w:tr w:rsidR="00861557" w:rsidRPr="00296D0C" w14:paraId="78D73DE2" w14:textId="77777777" w:rsidTr="0077247E">
        <w:trPr>
          <w:trHeight w:val="345"/>
        </w:trPr>
        <w:tc>
          <w:tcPr>
            <w:tcW w:w="845" w:type="pct"/>
            <w:tcBorders>
              <w:top w:val="nil"/>
              <w:bottom w:val="single" w:sz="8" w:space="0" w:color="auto"/>
              <w:right w:val="single" w:sz="4" w:space="0" w:color="auto"/>
            </w:tcBorders>
            <w:shd w:val="clear" w:color="auto" w:fill="FFFFFF" w:themeFill="background1"/>
            <w:noWrap/>
            <w:vAlign w:val="bottom"/>
            <w:hideMark/>
          </w:tcPr>
          <w:p w14:paraId="273738C6" w14:textId="77777777" w:rsidR="00861557" w:rsidRPr="00296D0C" w:rsidRDefault="00861557" w:rsidP="0077247E">
            <w:pPr>
              <w:spacing w:before="40" w:after="0" w:line="240" w:lineRule="auto"/>
              <w:rPr>
                <w:rFonts w:cs="Arial"/>
                <w:color w:val="000000"/>
                <w:spacing w:val="-6"/>
              </w:rPr>
            </w:pPr>
            <w:r w:rsidRPr="00296D0C">
              <w:rPr>
                <w:rFonts w:cs="Arial"/>
                <w:color w:val="000000"/>
                <w:spacing w:val="-6"/>
              </w:rPr>
              <w:t>Total</w:t>
            </w:r>
          </w:p>
        </w:tc>
        <w:tc>
          <w:tcPr>
            <w:tcW w:w="277" w:type="pct"/>
            <w:tcBorders>
              <w:left w:val="single" w:sz="4" w:space="0" w:color="auto"/>
              <w:bottom w:val="single" w:sz="4" w:space="0" w:color="auto"/>
            </w:tcBorders>
            <w:shd w:val="clear" w:color="auto" w:fill="FFFFFF" w:themeFill="background1"/>
            <w:noWrap/>
            <w:vAlign w:val="center"/>
          </w:tcPr>
          <w:p w14:paraId="0C89D36F" w14:textId="77777777" w:rsidR="00861557" w:rsidRPr="00296D0C" w:rsidRDefault="00861557" w:rsidP="0077247E">
            <w:pPr>
              <w:spacing w:before="40" w:after="0" w:line="240" w:lineRule="auto"/>
              <w:jc w:val="center"/>
              <w:rPr>
                <w:rFonts w:cs="Arial"/>
                <w:color w:val="000000"/>
              </w:rPr>
            </w:pPr>
            <w:r w:rsidRPr="00296D0C">
              <w:rPr>
                <w:rFonts w:cs="Arial"/>
                <w:color w:val="000000"/>
              </w:rPr>
              <w:t>16.26</w:t>
            </w:r>
          </w:p>
        </w:tc>
        <w:tc>
          <w:tcPr>
            <w:tcW w:w="277" w:type="pct"/>
            <w:tcBorders>
              <w:bottom w:val="single" w:sz="4" w:space="0" w:color="auto"/>
            </w:tcBorders>
            <w:shd w:val="clear" w:color="auto" w:fill="FFFFFF" w:themeFill="background1"/>
            <w:vAlign w:val="center"/>
          </w:tcPr>
          <w:p w14:paraId="1E80F216" w14:textId="77777777" w:rsidR="00861557" w:rsidRPr="00296D0C" w:rsidRDefault="00861557" w:rsidP="0077247E">
            <w:pPr>
              <w:spacing w:before="40" w:after="0" w:line="240" w:lineRule="auto"/>
              <w:jc w:val="center"/>
              <w:rPr>
                <w:rFonts w:cs="Arial"/>
                <w:color w:val="000000"/>
              </w:rPr>
            </w:pPr>
            <w:r w:rsidRPr="00296D0C">
              <w:rPr>
                <w:rFonts w:cs="Arial"/>
                <w:color w:val="000000"/>
              </w:rPr>
              <w:t>27.55</w:t>
            </w:r>
          </w:p>
        </w:tc>
        <w:tc>
          <w:tcPr>
            <w:tcW w:w="277" w:type="pct"/>
            <w:tcBorders>
              <w:bottom w:val="single" w:sz="4" w:space="0" w:color="auto"/>
              <w:right w:val="single" w:sz="8" w:space="0" w:color="auto"/>
            </w:tcBorders>
            <w:shd w:val="clear" w:color="auto" w:fill="FFFFFF" w:themeFill="background1"/>
            <w:vAlign w:val="center"/>
          </w:tcPr>
          <w:p w14:paraId="53D408A3" w14:textId="77777777" w:rsidR="00861557" w:rsidRPr="00296D0C" w:rsidRDefault="00861557" w:rsidP="0077247E">
            <w:pPr>
              <w:spacing w:before="40" w:after="0" w:line="240" w:lineRule="auto"/>
              <w:jc w:val="center"/>
              <w:rPr>
                <w:rFonts w:cs="Arial"/>
                <w:color w:val="000000"/>
              </w:rPr>
            </w:pPr>
            <w:r w:rsidRPr="00296D0C">
              <w:rPr>
                <w:rFonts w:cs="Arial"/>
                <w:color w:val="000000"/>
              </w:rPr>
              <w:t>38.84</w:t>
            </w:r>
          </w:p>
        </w:tc>
        <w:tc>
          <w:tcPr>
            <w:tcW w:w="277" w:type="pct"/>
            <w:tcBorders>
              <w:left w:val="single" w:sz="4" w:space="0" w:color="auto"/>
              <w:bottom w:val="single" w:sz="4" w:space="0" w:color="auto"/>
            </w:tcBorders>
            <w:shd w:val="clear" w:color="auto" w:fill="FFFFFF" w:themeFill="background1"/>
            <w:vAlign w:val="center"/>
          </w:tcPr>
          <w:p w14:paraId="085C3C78" w14:textId="77777777" w:rsidR="00861557" w:rsidRPr="00296D0C" w:rsidRDefault="00861557" w:rsidP="0077247E">
            <w:pPr>
              <w:spacing w:before="40" w:after="0" w:line="240" w:lineRule="auto"/>
              <w:jc w:val="center"/>
              <w:rPr>
                <w:rFonts w:cs="Arial"/>
                <w:color w:val="000000"/>
              </w:rPr>
            </w:pPr>
            <w:r w:rsidRPr="00296D0C">
              <w:rPr>
                <w:rFonts w:cs="Arial"/>
                <w:color w:val="000000"/>
              </w:rPr>
              <w:t>NA</w:t>
            </w:r>
          </w:p>
        </w:tc>
        <w:tc>
          <w:tcPr>
            <w:tcW w:w="277" w:type="pct"/>
            <w:tcBorders>
              <w:bottom w:val="single" w:sz="4" w:space="0" w:color="auto"/>
            </w:tcBorders>
            <w:shd w:val="clear" w:color="auto" w:fill="FFFFFF" w:themeFill="background1"/>
            <w:vAlign w:val="center"/>
          </w:tcPr>
          <w:p w14:paraId="5588869C" w14:textId="77777777" w:rsidR="00861557" w:rsidRPr="00296D0C" w:rsidRDefault="00861557" w:rsidP="0077247E">
            <w:pPr>
              <w:spacing w:before="40" w:after="0" w:line="240" w:lineRule="auto"/>
              <w:jc w:val="center"/>
              <w:rPr>
                <w:rFonts w:cs="Arial"/>
                <w:color w:val="000000"/>
              </w:rPr>
            </w:pPr>
            <w:r w:rsidRPr="00296D0C">
              <w:rPr>
                <w:rFonts w:cs="Arial"/>
                <w:color w:val="000000"/>
              </w:rPr>
              <w:t>NA</w:t>
            </w:r>
          </w:p>
        </w:tc>
        <w:tc>
          <w:tcPr>
            <w:tcW w:w="277" w:type="pct"/>
            <w:tcBorders>
              <w:bottom w:val="single" w:sz="4" w:space="0" w:color="auto"/>
              <w:right w:val="single" w:sz="8" w:space="0" w:color="auto"/>
            </w:tcBorders>
            <w:shd w:val="clear" w:color="auto" w:fill="FFFFFF" w:themeFill="background1"/>
            <w:vAlign w:val="center"/>
          </w:tcPr>
          <w:p w14:paraId="71A0DF4B" w14:textId="77777777" w:rsidR="00861557" w:rsidRPr="00296D0C" w:rsidRDefault="00861557" w:rsidP="0077247E">
            <w:pPr>
              <w:spacing w:before="40" w:after="0" w:line="240" w:lineRule="auto"/>
              <w:jc w:val="center"/>
              <w:rPr>
                <w:rFonts w:cs="Arial"/>
                <w:color w:val="000000"/>
              </w:rPr>
            </w:pPr>
            <w:r w:rsidRPr="00296D0C">
              <w:rPr>
                <w:rFonts w:cs="Arial"/>
                <w:color w:val="000000"/>
              </w:rPr>
              <w:t>NA</w:t>
            </w:r>
          </w:p>
        </w:tc>
        <w:tc>
          <w:tcPr>
            <w:tcW w:w="277" w:type="pct"/>
            <w:tcBorders>
              <w:left w:val="single" w:sz="4" w:space="0" w:color="auto"/>
              <w:bottom w:val="single" w:sz="4" w:space="0" w:color="auto"/>
            </w:tcBorders>
            <w:shd w:val="clear" w:color="auto" w:fill="FFFFFF" w:themeFill="background1"/>
            <w:vAlign w:val="center"/>
          </w:tcPr>
          <w:p w14:paraId="43A32B2B" w14:textId="77777777" w:rsidR="00861557" w:rsidRPr="00296D0C" w:rsidRDefault="00861557" w:rsidP="0077247E">
            <w:pPr>
              <w:spacing w:before="40" w:after="0" w:line="240" w:lineRule="auto"/>
              <w:jc w:val="center"/>
              <w:rPr>
                <w:rFonts w:cs="Arial"/>
                <w:color w:val="000000"/>
              </w:rPr>
            </w:pPr>
            <w:r w:rsidRPr="00296D0C">
              <w:rPr>
                <w:rFonts w:cs="Arial"/>
                <w:color w:val="000000"/>
              </w:rPr>
              <w:t>NA</w:t>
            </w:r>
          </w:p>
        </w:tc>
        <w:tc>
          <w:tcPr>
            <w:tcW w:w="277" w:type="pct"/>
            <w:tcBorders>
              <w:bottom w:val="single" w:sz="4" w:space="0" w:color="auto"/>
            </w:tcBorders>
            <w:shd w:val="clear" w:color="auto" w:fill="FFFFFF" w:themeFill="background1"/>
            <w:vAlign w:val="center"/>
          </w:tcPr>
          <w:p w14:paraId="65BBF240" w14:textId="77777777" w:rsidR="00861557" w:rsidRPr="00296D0C" w:rsidRDefault="00861557" w:rsidP="0077247E">
            <w:pPr>
              <w:spacing w:before="40" w:after="0" w:line="240" w:lineRule="auto"/>
              <w:jc w:val="center"/>
              <w:rPr>
                <w:rFonts w:cs="Arial"/>
                <w:color w:val="000000"/>
              </w:rPr>
            </w:pPr>
            <w:r w:rsidRPr="00296D0C">
              <w:rPr>
                <w:rFonts w:cs="Arial"/>
                <w:color w:val="000000"/>
              </w:rPr>
              <w:t>NA</w:t>
            </w:r>
          </w:p>
        </w:tc>
        <w:tc>
          <w:tcPr>
            <w:tcW w:w="277" w:type="pct"/>
            <w:tcBorders>
              <w:bottom w:val="single" w:sz="4" w:space="0" w:color="auto"/>
              <w:right w:val="single" w:sz="8" w:space="0" w:color="auto"/>
            </w:tcBorders>
            <w:shd w:val="clear" w:color="auto" w:fill="FFFFFF" w:themeFill="background1"/>
            <w:vAlign w:val="center"/>
          </w:tcPr>
          <w:p w14:paraId="76497516" w14:textId="77777777" w:rsidR="00861557" w:rsidRPr="00296D0C" w:rsidRDefault="00861557" w:rsidP="0077247E">
            <w:pPr>
              <w:spacing w:before="40" w:after="0" w:line="240" w:lineRule="auto"/>
              <w:jc w:val="center"/>
              <w:rPr>
                <w:rFonts w:cs="Arial"/>
                <w:color w:val="000000"/>
              </w:rPr>
            </w:pPr>
            <w:r w:rsidRPr="00296D0C">
              <w:rPr>
                <w:rFonts w:cs="Arial"/>
                <w:color w:val="000000"/>
              </w:rPr>
              <w:t>NA</w:t>
            </w:r>
          </w:p>
        </w:tc>
        <w:tc>
          <w:tcPr>
            <w:tcW w:w="277" w:type="pct"/>
            <w:tcBorders>
              <w:left w:val="single" w:sz="4" w:space="0" w:color="auto"/>
              <w:bottom w:val="single" w:sz="4" w:space="0" w:color="auto"/>
            </w:tcBorders>
            <w:shd w:val="clear" w:color="auto" w:fill="FFFFFF" w:themeFill="background1"/>
            <w:vAlign w:val="center"/>
          </w:tcPr>
          <w:p w14:paraId="7B1DC626" w14:textId="77777777" w:rsidR="00861557" w:rsidRPr="00296D0C" w:rsidRDefault="00861557" w:rsidP="0077247E">
            <w:pPr>
              <w:spacing w:before="40" w:after="0" w:line="240" w:lineRule="auto"/>
              <w:jc w:val="center"/>
              <w:rPr>
                <w:rFonts w:cs="Arial"/>
                <w:color w:val="000000"/>
              </w:rPr>
            </w:pPr>
            <w:r w:rsidRPr="00296D0C">
              <w:rPr>
                <w:rFonts w:cs="Arial"/>
                <w:color w:val="000000"/>
              </w:rPr>
              <w:t>13.19</w:t>
            </w:r>
          </w:p>
        </w:tc>
        <w:tc>
          <w:tcPr>
            <w:tcW w:w="277" w:type="pct"/>
            <w:tcBorders>
              <w:bottom w:val="single" w:sz="4" w:space="0" w:color="auto"/>
            </w:tcBorders>
            <w:shd w:val="clear" w:color="auto" w:fill="FFFFFF" w:themeFill="background1"/>
            <w:vAlign w:val="center"/>
          </w:tcPr>
          <w:p w14:paraId="40479511" w14:textId="77777777" w:rsidR="00861557" w:rsidRPr="00296D0C" w:rsidRDefault="00861557" w:rsidP="0077247E">
            <w:pPr>
              <w:spacing w:before="40" w:after="0" w:line="240" w:lineRule="auto"/>
              <w:jc w:val="center"/>
              <w:rPr>
                <w:rFonts w:cs="Arial"/>
                <w:color w:val="000000"/>
              </w:rPr>
            </w:pPr>
            <w:r w:rsidRPr="00296D0C">
              <w:rPr>
                <w:rFonts w:cs="Arial"/>
                <w:color w:val="000000"/>
              </w:rPr>
              <w:t>24.65</w:t>
            </w:r>
          </w:p>
        </w:tc>
        <w:tc>
          <w:tcPr>
            <w:tcW w:w="277" w:type="pct"/>
            <w:tcBorders>
              <w:bottom w:val="single" w:sz="4" w:space="0" w:color="auto"/>
              <w:right w:val="single" w:sz="8" w:space="0" w:color="auto"/>
            </w:tcBorders>
            <w:shd w:val="clear" w:color="auto" w:fill="FFFFFF" w:themeFill="background1"/>
            <w:vAlign w:val="center"/>
          </w:tcPr>
          <w:p w14:paraId="152E915C" w14:textId="77777777" w:rsidR="00861557" w:rsidRPr="00296D0C" w:rsidRDefault="00861557" w:rsidP="0077247E">
            <w:pPr>
              <w:spacing w:before="40" w:after="0" w:line="240" w:lineRule="auto"/>
              <w:jc w:val="center"/>
              <w:rPr>
                <w:rFonts w:cs="Arial"/>
                <w:color w:val="000000"/>
              </w:rPr>
            </w:pPr>
            <w:r w:rsidRPr="00296D0C">
              <w:rPr>
                <w:rFonts w:cs="Arial"/>
                <w:color w:val="000000"/>
              </w:rPr>
              <w:t>36.11</w:t>
            </w:r>
          </w:p>
        </w:tc>
        <w:tc>
          <w:tcPr>
            <w:tcW w:w="277" w:type="pct"/>
            <w:tcBorders>
              <w:left w:val="single" w:sz="4" w:space="0" w:color="auto"/>
              <w:bottom w:val="single" w:sz="4" w:space="0" w:color="auto"/>
            </w:tcBorders>
            <w:shd w:val="clear" w:color="auto" w:fill="FFFFFF" w:themeFill="background1"/>
            <w:vAlign w:val="center"/>
          </w:tcPr>
          <w:p w14:paraId="368B2447" w14:textId="77777777" w:rsidR="00861557" w:rsidRPr="00296D0C" w:rsidRDefault="00861557" w:rsidP="0077247E">
            <w:pPr>
              <w:spacing w:before="40" w:after="0" w:line="240" w:lineRule="auto"/>
              <w:jc w:val="center"/>
              <w:rPr>
                <w:rFonts w:cs="Arial"/>
                <w:color w:val="000000"/>
              </w:rPr>
            </w:pPr>
            <w:r w:rsidRPr="00296D0C">
              <w:rPr>
                <w:rFonts w:cs="Arial"/>
                <w:color w:val="000000"/>
              </w:rPr>
              <w:t>NA</w:t>
            </w:r>
          </w:p>
        </w:tc>
        <w:tc>
          <w:tcPr>
            <w:tcW w:w="277" w:type="pct"/>
            <w:tcBorders>
              <w:bottom w:val="single" w:sz="4" w:space="0" w:color="auto"/>
            </w:tcBorders>
            <w:shd w:val="clear" w:color="auto" w:fill="FFFFFF" w:themeFill="background1"/>
            <w:vAlign w:val="center"/>
          </w:tcPr>
          <w:p w14:paraId="12FB97EE" w14:textId="77777777" w:rsidR="00861557" w:rsidRPr="00296D0C" w:rsidRDefault="00861557" w:rsidP="0077247E">
            <w:pPr>
              <w:spacing w:before="40" w:after="0" w:line="240" w:lineRule="auto"/>
              <w:jc w:val="center"/>
              <w:rPr>
                <w:rFonts w:cs="Arial"/>
                <w:color w:val="000000"/>
              </w:rPr>
            </w:pPr>
            <w:r w:rsidRPr="00296D0C">
              <w:rPr>
                <w:rFonts w:cs="Arial"/>
                <w:color w:val="000000"/>
              </w:rPr>
              <w:t>NA</w:t>
            </w:r>
          </w:p>
        </w:tc>
        <w:tc>
          <w:tcPr>
            <w:tcW w:w="277" w:type="pct"/>
            <w:tcBorders>
              <w:bottom w:val="single" w:sz="4" w:space="0" w:color="auto"/>
            </w:tcBorders>
            <w:shd w:val="clear" w:color="auto" w:fill="FFFFFF" w:themeFill="background1"/>
            <w:vAlign w:val="center"/>
          </w:tcPr>
          <w:p w14:paraId="59003AA9" w14:textId="77777777" w:rsidR="00861557" w:rsidRPr="00296D0C" w:rsidRDefault="00861557" w:rsidP="0077247E">
            <w:pPr>
              <w:spacing w:before="40" w:after="0" w:line="240" w:lineRule="auto"/>
              <w:jc w:val="center"/>
              <w:rPr>
                <w:rFonts w:cs="Arial"/>
                <w:color w:val="000000"/>
              </w:rPr>
            </w:pPr>
            <w:r w:rsidRPr="00296D0C">
              <w:rPr>
                <w:rFonts w:cs="Arial"/>
                <w:color w:val="000000"/>
              </w:rPr>
              <w:t>NA</w:t>
            </w:r>
          </w:p>
        </w:tc>
      </w:tr>
      <w:tr w:rsidR="00861557" w:rsidRPr="00296D0C" w14:paraId="2297AA5F" w14:textId="77777777" w:rsidTr="0077247E">
        <w:trPr>
          <w:trHeight w:val="345"/>
        </w:trPr>
        <w:tc>
          <w:tcPr>
            <w:tcW w:w="845" w:type="pct"/>
            <w:tcBorders>
              <w:top w:val="single" w:sz="8" w:space="0" w:color="auto"/>
              <w:bottom w:val="single" w:sz="8" w:space="0" w:color="auto"/>
              <w:right w:val="single" w:sz="4" w:space="0" w:color="auto"/>
            </w:tcBorders>
            <w:shd w:val="clear" w:color="auto" w:fill="auto"/>
            <w:noWrap/>
            <w:vAlign w:val="bottom"/>
            <w:hideMark/>
          </w:tcPr>
          <w:p w14:paraId="746DF4CB" w14:textId="6F824290" w:rsidR="00861557" w:rsidRPr="00296D0C" w:rsidRDefault="00861557" w:rsidP="0077247E">
            <w:pPr>
              <w:spacing w:before="40" w:after="0" w:line="240" w:lineRule="auto"/>
              <w:rPr>
                <w:rFonts w:cs="Arial"/>
                <w:bCs/>
                <w:color w:val="000000"/>
                <w:spacing w:val="-6"/>
              </w:rPr>
            </w:pPr>
            <w:r w:rsidRPr="00296D0C">
              <w:rPr>
                <w:rFonts w:cs="Arial"/>
                <w:bCs/>
                <w:color w:val="000000"/>
                <w:spacing w:val="-6"/>
              </w:rPr>
              <w:t>Total time (incl</w:t>
            </w:r>
            <w:r w:rsidR="00753C4E" w:rsidRPr="00296D0C">
              <w:rPr>
                <w:rFonts w:cs="Arial"/>
                <w:bCs/>
                <w:color w:val="000000"/>
                <w:spacing w:val="-6"/>
              </w:rPr>
              <w:t>uding</w:t>
            </w:r>
            <w:r w:rsidRPr="00296D0C">
              <w:rPr>
                <w:rFonts w:cs="Arial"/>
                <w:bCs/>
                <w:color w:val="000000"/>
                <w:spacing w:val="-6"/>
              </w:rPr>
              <w:t xml:space="preserve"> travel)</w:t>
            </w:r>
          </w:p>
        </w:tc>
        <w:tc>
          <w:tcPr>
            <w:tcW w:w="277" w:type="pct"/>
            <w:tcBorders>
              <w:top w:val="single" w:sz="4" w:space="0" w:color="auto"/>
              <w:left w:val="nil"/>
              <w:bottom w:val="single" w:sz="4" w:space="0" w:color="auto"/>
            </w:tcBorders>
            <w:shd w:val="clear" w:color="auto" w:fill="auto"/>
            <w:noWrap/>
            <w:vAlign w:val="center"/>
          </w:tcPr>
          <w:p w14:paraId="39550CF4" w14:textId="77777777" w:rsidR="00861557" w:rsidRPr="00296D0C" w:rsidRDefault="00861557" w:rsidP="0077247E">
            <w:pPr>
              <w:spacing w:before="40" w:after="0" w:line="240" w:lineRule="auto"/>
              <w:jc w:val="center"/>
              <w:rPr>
                <w:rFonts w:cs="Arial"/>
                <w:color w:val="000000"/>
              </w:rPr>
            </w:pPr>
            <w:r w:rsidRPr="00296D0C">
              <w:rPr>
                <w:rFonts w:cs="Arial"/>
                <w:color w:val="000000"/>
              </w:rPr>
              <w:t>53.93</w:t>
            </w:r>
          </w:p>
        </w:tc>
        <w:tc>
          <w:tcPr>
            <w:tcW w:w="277" w:type="pct"/>
            <w:tcBorders>
              <w:top w:val="single" w:sz="4" w:space="0" w:color="auto"/>
              <w:bottom w:val="single" w:sz="4" w:space="0" w:color="auto"/>
            </w:tcBorders>
            <w:shd w:val="clear" w:color="auto" w:fill="auto"/>
            <w:vAlign w:val="center"/>
          </w:tcPr>
          <w:p w14:paraId="0EDEB433" w14:textId="77777777" w:rsidR="00861557" w:rsidRPr="00296D0C" w:rsidRDefault="00861557" w:rsidP="0077247E">
            <w:pPr>
              <w:spacing w:before="40" w:after="0" w:line="240" w:lineRule="auto"/>
              <w:jc w:val="center"/>
              <w:rPr>
                <w:rFonts w:cs="Arial"/>
                <w:color w:val="000000"/>
              </w:rPr>
            </w:pPr>
            <w:r w:rsidRPr="00296D0C">
              <w:rPr>
                <w:rFonts w:cs="Arial"/>
                <w:color w:val="000000"/>
              </w:rPr>
              <w:t>93.56</w:t>
            </w:r>
          </w:p>
        </w:tc>
        <w:tc>
          <w:tcPr>
            <w:tcW w:w="277" w:type="pct"/>
            <w:tcBorders>
              <w:top w:val="single" w:sz="4" w:space="0" w:color="auto"/>
              <w:bottom w:val="single" w:sz="4" w:space="0" w:color="auto"/>
              <w:right w:val="single" w:sz="8" w:space="0" w:color="auto"/>
            </w:tcBorders>
            <w:shd w:val="clear" w:color="auto" w:fill="auto"/>
            <w:vAlign w:val="center"/>
          </w:tcPr>
          <w:p w14:paraId="10B3CDEA" w14:textId="77777777" w:rsidR="00861557" w:rsidRPr="00296D0C" w:rsidRDefault="00861557" w:rsidP="0077247E">
            <w:pPr>
              <w:spacing w:before="40" w:after="0" w:line="240" w:lineRule="auto"/>
              <w:jc w:val="center"/>
              <w:rPr>
                <w:rFonts w:cs="Arial"/>
                <w:color w:val="000000"/>
              </w:rPr>
            </w:pPr>
            <w:r w:rsidRPr="00296D0C">
              <w:rPr>
                <w:rFonts w:cs="Arial"/>
                <w:color w:val="000000"/>
              </w:rPr>
              <w:t>133.1</w:t>
            </w:r>
          </w:p>
        </w:tc>
        <w:tc>
          <w:tcPr>
            <w:tcW w:w="277" w:type="pct"/>
            <w:tcBorders>
              <w:top w:val="single" w:sz="4" w:space="0" w:color="auto"/>
              <w:left w:val="nil"/>
              <w:bottom w:val="single" w:sz="4" w:space="0" w:color="auto"/>
            </w:tcBorders>
            <w:shd w:val="clear" w:color="auto" w:fill="auto"/>
            <w:vAlign w:val="center"/>
          </w:tcPr>
          <w:p w14:paraId="5CEF4520" w14:textId="77777777" w:rsidR="00861557" w:rsidRPr="00296D0C" w:rsidRDefault="00861557" w:rsidP="0077247E">
            <w:pPr>
              <w:spacing w:before="40" w:after="0" w:line="240" w:lineRule="auto"/>
              <w:jc w:val="center"/>
              <w:rPr>
                <w:rFonts w:cs="Arial"/>
                <w:color w:val="000000"/>
              </w:rPr>
            </w:pPr>
            <w:r w:rsidRPr="00296D0C">
              <w:rPr>
                <w:rFonts w:cs="Arial"/>
                <w:color w:val="000000"/>
              </w:rPr>
              <w:t>NA</w:t>
            </w:r>
          </w:p>
        </w:tc>
        <w:tc>
          <w:tcPr>
            <w:tcW w:w="277" w:type="pct"/>
            <w:tcBorders>
              <w:top w:val="single" w:sz="4" w:space="0" w:color="auto"/>
              <w:bottom w:val="single" w:sz="4" w:space="0" w:color="auto"/>
            </w:tcBorders>
            <w:shd w:val="clear" w:color="auto" w:fill="auto"/>
            <w:vAlign w:val="center"/>
          </w:tcPr>
          <w:p w14:paraId="623BC287" w14:textId="77777777" w:rsidR="00861557" w:rsidRPr="00296D0C" w:rsidRDefault="00861557" w:rsidP="0077247E">
            <w:pPr>
              <w:spacing w:before="40" w:after="0" w:line="240" w:lineRule="auto"/>
              <w:jc w:val="center"/>
              <w:rPr>
                <w:rFonts w:cs="Arial"/>
                <w:color w:val="000000"/>
              </w:rPr>
            </w:pPr>
            <w:r w:rsidRPr="00296D0C">
              <w:rPr>
                <w:rFonts w:cs="Arial"/>
                <w:color w:val="000000"/>
              </w:rPr>
              <w:t>NA</w:t>
            </w:r>
          </w:p>
        </w:tc>
        <w:tc>
          <w:tcPr>
            <w:tcW w:w="277" w:type="pct"/>
            <w:tcBorders>
              <w:top w:val="single" w:sz="4" w:space="0" w:color="auto"/>
              <w:bottom w:val="single" w:sz="4" w:space="0" w:color="auto"/>
              <w:right w:val="single" w:sz="8" w:space="0" w:color="auto"/>
            </w:tcBorders>
            <w:shd w:val="clear" w:color="auto" w:fill="auto"/>
            <w:vAlign w:val="center"/>
          </w:tcPr>
          <w:p w14:paraId="29A29015" w14:textId="77777777" w:rsidR="00861557" w:rsidRPr="00296D0C" w:rsidRDefault="00861557" w:rsidP="0077247E">
            <w:pPr>
              <w:spacing w:before="40" w:after="0" w:line="240" w:lineRule="auto"/>
              <w:jc w:val="center"/>
              <w:rPr>
                <w:rFonts w:cs="Arial"/>
                <w:color w:val="000000"/>
              </w:rPr>
            </w:pPr>
            <w:r w:rsidRPr="00296D0C">
              <w:rPr>
                <w:rFonts w:cs="Arial"/>
                <w:color w:val="000000"/>
              </w:rPr>
              <w:t>NA</w:t>
            </w:r>
          </w:p>
        </w:tc>
        <w:tc>
          <w:tcPr>
            <w:tcW w:w="277" w:type="pct"/>
            <w:tcBorders>
              <w:top w:val="single" w:sz="4" w:space="0" w:color="auto"/>
              <w:left w:val="nil"/>
              <w:bottom w:val="single" w:sz="4" w:space="0" w:color="auto"/>
            </w:tcBorders>
            <w:shd w:val="clear" w:color="auto" w:fill="auto"/>
            <w:vAlign w:val="center"/>
          </w:tcPr>
          <w:p w14:paraId="5C7E43B4" w14:textId="77777777" w:rsidR="00861557" w:rsidRPr="00296D0C" w:rsidRDefault="00861557" w:rsidP="0077247E">
            <w:pPr>
              <w:spacing w:before="40" w:after="0" w:line="240" w:lineRule="auto"/>
              <w:jc w:val="center"/>
              <w:rPr>
                <w:rFonts w:cs="Arial"/>
                <w:color w:val="000000"/>
              </w:rPr>
            </w:pPr>
            <w:r w:rsidRPr="00296D0C">
              <w:rPr>
                <w:rFonts w:cs="Arial"/>
                <w:color w:val="000000"/>
              </w:rPr>
              <w:t>NA</w:t>
            </w:r>
          </w:p>
        </w:tc>
        <w:tc>
          <w:tcPr>
            <w:tcW w:w="277" w:type="pct"/>
            <w:tcBorders>
              <w:top w:val="single" w:sz="4" w:space="0" w:color="auto"/>
              <w:bottom w:val="single" w:sz="4" w:space="0" w:color="auto"/>
            </w:tcBorders>
            <w:shd w:val="clear" w:color="auto" w:fill="auto"/>
            <w:vAlign w:val="center"/>
          </w:tcPr>
          <w:p w14:paraId="72F83491" w14:textId="77777777" w:rsidR="00861557" w:rsidRPr="00296D0C" w:rsidRDefault="00861557" w:rsidP="0077247E">
            <w:pPr>
              <w:spacing w:before="40" w:after="0" w:line="240" w:lineRule="auto"/>
              <w:jc w:val="center"/>
              <w:rPr>
                <w:rFonts w:cs="Arial"/>
                <w:color w:val="000000"/>
              </w:rPr>
            </w:pPr>
            <w:r w:rsidRPr="00296D0C">
              <w:rPr>
                <w:rFonts w:cs="Arial"/>
                <w:color w:val="000000"/>
              </w:rPr>
              <w:t>NA</w:t>
            </w:r>
          </w:p>
        </w:tc>
        <w:tc>
          <w:tcPr>
            <w:tcW w:w="277" w:type="pct"/>
            <w:tcBorders>
              <w:top w:val="single" w:sz="4" w:space="0" w:color="auto"/>
              <w:bottom w:val="single" w:sz="4" w:space="0" w:color="auto"/>
              <w:right w:val="single" w:sz="8" w:space="0" w:color="auto"/>
            </w:tcBorders>
            <w:shd w:val="clear" w:color="auto" w:fill="auto"/>
            <w:vAlign w:val="center"/>
          </w:tcPr>
          <w:p w14:paraId="37059942" w14:textId="77777777" w:rsidR="00861557" w:rsidRPr="00296D0C" w:rsidRDefault="00861557" w:rsidP="0077247E">
            <w:pPr>
              <w:spacing w:before="40" w:after="0" w:line="240" w:lineRule="auto"/>
              <w:jc w:val="center"/>
              <w:rPr>
                <w:rFonts w:cs="Arial"/>
                <w:color w:val="000000"/>
              </w:rPr>
            </w:pPr>
            <w:r w:rsidRPr="00296D0C">
              <w:rPr>
                <w:rFonts w:cs="Arial"/>
                <w:color w:val="000000"/>
              </w:rPr>
              <w:t>NA</w:t>
            </w:r>
          </w:p>
        </w:tc>
        <w:tc>
          <w:tcPr>
            <w:tcW w:w="277" w:type="pct"/>
            <w:tcBorders>
              <w:top w:val="single" w:sz="4" w:space="0" w:color="auto"/>
              <w:left w:val="nil"/>
              <w:bottom w:val="single" w:sz="4" w:space="0" w:color="auto"/>
            </w:tcBorders>
            <w:shd w:val="clear" w:color="auto" w:fill="FFFFFF" w:themeFill="background1"/>
            <w:vAlign w:val="center"/>
          </w:tcPr>
          <w:p w14:paraId="6CD5591B" w14:textId="77777777" w:rsidR="00861557" w:rsidRPr="00296D0C" w:rsidRDefault="00861557" w:rsidP="0077247E">
            <w:pPr>
              <w:spacing w:before="40" w:after="0" w:line="240" w:lineRule="auto"/>
              <w:jc w:val="center"/>
              <w:rPr>
                <w:rFonts w:cs="Arial"/>
                <w:color w:val="000000"/>
              </w:rPr>
            </w:pPr>
            <w:r w:rsidRPr="00296D0C">
              <w:rPr>
                <w:rFonts w:cs="Arial"/>
                <w:color w:val="000000"/>
              </w:rPr>
              <w:t>35.88</w:t>
            </w:r>
          </w:p>
        </w:tc>
        <w:tc>
          <w:tcPr>
            <w:tcW w:w="277" w:type="pct"/>
            <w:tcBorders>
              <w:top w:val="single" w:sz="4" w:space="0" w:color="auto"/>
              <w:bottom w:val="single" w:sz="4" w:space="0" w:color="auto"/>
            </w:tcBorders>
            <w:shd w:val="clear" w:color="auto" w:fill="FFFFFF" w:themeFill="background1"/>
            <w:vAlign w:val="center"/>
          </w:tcPr>
          <w:p w14:paraId="4FC862BC" w14:textId="77777777" w:rsidR="00861557" w:rsidRPr="00296D0C" w:rsidRDefault="00861557" w:rsidP="0077247E">
            <w:pPr>
              <w:spacing w:before="40" w:after="0" w:line="240" w:lineRule="auto"/>
              <w:jc w:val="center"/>
              <w:rPr>
                <w:rFonts w:cs="Arial"/>
                <w:color w:val="000000"/>
              </w:rPr>
            </w:pPr>
            <w:r w:rsidRPr="00296D0C">
              <w:rPr>
                <w:rFonts w:cs="Arial"/>
                <w:color w:val="000000"/>
              </w:rPr>
              <w:t>67.70</w:t>
            </w:r>
          </w:p>
        </w:tc>
        <w:tc>
          <w:tcPr>
            <w:tcW w:w="277" w:type="pct"/>
            <w:tcBorders>
              <w:top w:val="single" w:sz="4" w:space="0" w:color="auto"/>
              <w:bottom w:val="single" w:sz="4" w:space="0" w:color="auto"/>
              <w:right w:val="single" w:sz="8" w:space="0" w:color="auto"/>
            </w:tcBorders>
            <w:shd w:val="clear" w:color="auto" w:fill="FFFFFF" w:themeFill="background1"/>
            <w:vAlign w:val="center"/>
          </w:tcPr>
          <w:p w14:paraId="55809EF0" w14:textId="77777777" w:rsidR="00861557" w:rsidRPr="00296D0C" w:rsidRDefault="00861557" w:rsidP="0077247E">
            <w:pPr>
              <w:spacing w:before="40" w:after="0" w:line="240" w:lineRule="auto"/>
              <w:jc w:val="center"/>
              <w:rPr>
                <w:rFonts w:cs="Arial"/>
                <w:color w:val="000000"/>
              </w:rPr>
            </w:pPr>
            <w:r w:rsidRPr="00296D0C">
              <w:rPr>
                <w:rFonts w:cs="Arial"/>
                <w:color w:val="000000"/>
              </w:rPr>
              <w:t>71.43</w:t>
            </w:r>
          </w:p>
        </w:tc>
        <w:tc>
          <w:tcPr>
            <w:tcW w:w="277" w:type="pct"/>
            <w:tcBorders>
              <w:top w:val="single" w:sz="4" w:space="0" w:color="auto"/>
              <w:left w:val="nil"/>
              <w:bottom w:val="single" w:sz="4" w:space="0" w:color="auto"/>
            </w:tcBorders>
            <w:shd w:val="clear" w:color="auto" w:fill="FFFFFF" w:themeFill="background1"/>
            <w:vAlign w:val="center"/>
          </w:tcPr>
          <w:p w14:paraId="425E3275" w14:textId="77777777" w:rsidR="00861557" w:rsidRPr="00296D0C" w:rsidRDefault="00861557" w:rsidP="0077247E">
            <w:pPr>
              <w:spacing w:before="40" w:after="0" w:line="240" w:lineRule="auto"/>
              <w:jc w:val="center"/>
              <w:rPr>
                <w:rFonts w:cs="Arial"/>
                <w:color w:val="000000"/>
              </w:rPr>
            </w:pPr>
            <w:r w:rsidRPr="00296D0C">
              <w:rPr>
                <w:rFonts w:cs="Arial"/>
                <w:color w:val="000000"/>
              </w:rPr>
              <w:t>NA</w:t>
            </w:r>
          </w:p>
        </w:tc>
        <w:tc>
          <w:tcPr>
            <w:tcW w:w="277" w:type="pct"/>
            <w:tcBorders>
              <w:top w:val="single" w:sz="4" w:space="0" w:color="auto"/>
              <w:bottom w:val="single" w:sz="4" w:space="0" w:color="auto"/>
            </w:tcBorders>
            <w:shd w:val="clear" w:color="auto" w:fill="FFFFFF" w:themeFill="background1"/>
            <w:vAlign w:val="center"/>
          </w:tcPr>
          <w:p w14:paraId="32C2811B" w14:textId="77777777" w:rsidR="00861557" w:rsidRPr="00296D0C" w:rsidRDefault="00861557" w:rsidP="0077247E">
            <w:pPr>
              <w:spacing w:before="40" w:after="0" w:line="240" w:lineRule="auto"/>
              <w:jc w:val="center"/>
              <w:rPr>
                <w:rFonts w:cs="Arial"/>
                <w:color w:val="000000"/>
              </w:rPr>
            </w:pPr>
            <w:r w:rsidRPr="00296D0C">
              <w:rPr>
                <w:rFonts w:cs="Arial"/>
                <w:color w:val="000000"/>
              </w:rPr>
              <w:t>NA</w:t>
            </w:r>
          </w:p>
        </w:tc>
        <w:tc>
          <w:tcPr>
            <w:tcW w:w="277" w:type="pct"/>
            <w:tcBorders>
              <w:top w:val="single" w:sz="4" w:space="0" w:color="auto"/>
              <w:bottom w:val="single" w:sz="4" w:space="0" w:color="auto"/>
            </w:tcBorders>
            <w:shd w:val="clear" w:color="auto" w:fill="FFFFFF" w:themeFill="background1"/>
            <w:vAlign w:val="center"/>
          </w:tcPr>
          <w:p w14:paraId="6ADFB10A" w14:textId="77777777" w:rsidR="00861557" w:rsidRPr="00296D0C" w:rsidRDefault="00861557" w:rsidP="0077247E">
            <w:pPr>
              <w:spacing w:before="40" w:after="0" w:line="240" w:lineRule="auto"/>
              <w:jc w:val="center"/>
              <w:rPr>
                <w:rFonts w:cs="Arial"/>
                <w:color w:val="000000"/>
              </w:rPr>
            </w:pPr>
            <w:r w:rsidRPr="00296D0C">
              <w:rPr>
                <w:rFonts w:cs="Arial"/>
                <w:color w:val="000000"/>
              </w:rPr>
              <w:t>NA</w:t>
            </w:r>
          </w:p>
        </w:tc>
      </w:tr>
      <w:tr w:rsidR="00861557" w:rsidRPr="00296D0C" w14:paraId="35811ED9" w14:textId="77777777" w:rsidTr="0077247E">
        <w:trPr>
          <w:trHeight w:val="345"/>
        </w:trPr>
        <w:tc>
          <w:tcPr>
            <w:tcW w:w="845" w:type="pct"/>
            <w:tcBorders>
              <w:top w:val="single" w:sz="8" w:space="0" w:color="auto"/>
              <w:bottom w:val="single" w:sz="8" w:space="0" w:color="auto"/>
              <w:right w:val="single" w:sz="4" w:space="0" w:color="auto"/>
            </w:tcBorders>
            <w:shd w:val="clear" w:color="auto" w:fill="auto"/>
            <w:noWrap/>
            <w:vAlign w:val="bottom"/>
            <w:hideMark/>
          </w:tcPr>
          <w:p w14:paraId="2F6FBAFB" w14:textId="734086CB" w:rsidR="00861557" w:rsidRPr="00296D0C" w:rsidRDefault="00861557" w:rsidP="0077247E">
            <w:pPr>
              <w:spacing w:before="40" w:after="0" w:line="240" w:lineRule="auto"/>
              <w:rPr>
                <w:rFonts w:cs="Arial"/>
                <w:bCs/>
                <w:color w:val="000000"/>
                <w:spacing w:val="-6"/>
              </w:rPr>
            </w:pPr>
            <w:r w:rsidRPr="00296D0C">
              <w:rPr>
                <w:rFonts w:cs="Arial"/>
                <w:bCs/>
                <w:color w:val="000000"/>
                <w:spacing w:val="-6"/>
              </w:rPr>
              <w:t>Total time (excl</w:t>
            </w:r>
            <w:r w:rsidR="00753C4E" w:rsidRPr="00296D0C">
              <w:rPr>
                <w:rFonts w:cs="Arial"/>
                <w:bCs/>
                <w:color w:val="000000"/>
                <w:spacing w:val="-6"/>
              </w:rPr>
              <w:t>uding</w:t>
            </w:r>
            <w:r w:rsidRPr="00296D0C">
              <w:rPr>
                <w:rFonts w:cs="Arial"/>
                <w:bCs/>
                <w:color w:val="000000"/>
                <w:spacing w:val="-6"/>
              </w:rPr>
              <w:t xml:space="preserve"> travel)</w:t>
            </w:r>
          </w:p>
        </w:tc>
        <w:tc>
          <w:tcPr>
            <w:tcW w:w="277" w:type="pct"/>
            <w:tcBorders>
              <w:top w:val="single" w:sz="4" w:space="0" w:color="auto"/>
              <w:left w:val="nil"/>
              <w:bottom w:val="single" w:sz="8" w:space="0" w:color="auto"/>
            </w:tcBorders>
            <w:shd w:val="clear" w:color="auto" w:fill="auto"/>
            <w:noWrap/>
            <w:vAlign w:val="center"/>
          </w:tcPr>
          <w:p w14:paraId="6C64F90F" w14:textId="77777777" w:rsidR="00861557" w:rsidRPr="00296D0C" w:rsidRDefault="00861557" w:rsidP="0077247E">
            <w:pPr>
              <w:spacing w:before="40" w:after="0" w:line="240" w:lineRule="auto"/>
              <w:jc w:val="center"/>
              <w:rPr>
                <w:rFonts w:cs="Arial"/>
                <w:color w:val="000000"/>
              </w:rPr>
            </w:pPr>
            <w:r w:rsidRPr="00296D0C">
              <w:rPr>
                <w:rFonts w:cs="Arial"/>
                <w:color w:val="000000"/>
              </w:rPr>
              <w:t>37.67</w:t>
            </w:r>
          </w:p>
        </w:tc>
        <w:tc>
          <w:tcPr>
            <w:tcW w:w="277" w:type="pct"/>
            <w:tcBorders>
              <w:top w:val="single" w:sz="4" w:space="0" w:color="auto"/>
              <w:bottom w:val="single" w:sz="8" w:space="0" w:color="auto"/>
            </w:tcBorders>
            <w:shd w:val="clear" w:color="auto" w:fill="auto"/>
            <w:vAlign w:val="center"/>
          </w:tcPr>
          <w:p w14:paraId="78B3B865" w14:textId="77777777" w:rsidR="00861557" w:rsidRPr="00296D0C" w:rsidRDefault="00861557" w:rsidP="0077247E">
            <w:pPr>
              <w:spacing w:before="40" w:after="0" w:line="240" w:lineRule="auto"/>
              <w:jc w:val="center"/>
              <w:rPr>
                <w:rFonts w:cs="Arial"/>
                <w:color w:val="000000"/>
              </w:rPr>
            </w:pPr>
            <w:r w:rsidRPr="00296D0C">
              <w:rPr>
                <w:rFonts w:cs="Arial"/>
                <w:color w:val="000000"/>
              </w:rPr>
              <w:t>66.01</w:t>
            </w:r>
          </w:p>
        </w:tc>
        <w:tc>
          <w:tcPr>
            <w:tcW w:w="277" w:type="pct"/>
            <w:tcBorders>
              <w:top w:val="single" w:sz="4" w:space="0" w:color="auto"/>
              <w:bottom w:val="single" w:sz="8" w:space="0" w:color="auto"/>
              <w:right w:val="single" w:sz="8" w:space="0" w:color="auto"/>
            </w:tcBorders>
            <w:shd w:val="clear" w:color="auto" w:fill="auto"/>
            <w:vAlign w:val="center"/>
          </w:tcPr>
          <w:p w14:paraId="21B5F5F3" w14:textId="77777777" w:rsidR="00861557" w:rsidRPr="00296D0C" w:rsidRDefault="00861557" w:rsidP="0077247E">
            <w:pPr>
              <w:spacing w:before="40" w:after="0" w:line="240" w:lineRule="auto"/>
              <w:jc w:val="center"/>
              <w:rPr>
                <w:rFonts w:cs="Arial"/>
                <w:color w:val="000000"/>
              </w:rPr>
            </w:pPr>
            <w:r w:rsidRPr="00296D0C">
              <w:rPr>
                <w:rFonts w:cs="Arial"/>
                <w:color w:val="000000"/>
              </w:rPr>
              <w:t>94.35</w:t>
            </w:r>
          </w:p>
        </w:tc>
        <w:tc>
          <w:tcPr>
            <w:tcW w:w="277" w:type="pct"/>
            <w:tcBorders>
              <w:top w:val="single" w:sz="4" w:space="0" w:color="auto"/>
              <w:left w:val="nil"/>
              <w:bottom w:val="single" w:sz="8" w:space="0" w:color="auto"/>
            </w:tcBorders>
            <w:shd w:val="clear" w:color="auto" w:fill="auto"/>
            <w:vAlign w:val="center"/>
          </w:tcPr>
          <w:p w14:paraId="5CA93D79" w14:textId="77777777" w:rsidR="00861557" w:rsidRPr="00296D0C" w:rsidRDefault="00861557" w:rsidP="0077247E">
            <w:pPr>
              <w:spacing w:before="40" w:after="0" w:line="240" w:lineRule="auto"/>
              <w:jc w:val="center"/>
              <w:rPr>
                <w:rFonts w:cs="Arial"/>
                <w:color w:val="000000"/>
              </w:rPr>
            </w:pPr>
            <w:r w:rsidRPr="00296D0C">
              <w:rPr>
                <w:rFonts w:cs="Arial"/>
                <w:color w:val="000000"/>
              </w:rPr>
              <w:t>17.45</w:t>
            </w:r>
          </w:p>
        </w:tc>
        <w:tc>
          <w:tcPr>
            <w:tcW w:w="277" w:type="pct"/>
            <w:tcBorders>
              <w:top w:val="single" w:sz="4" w:space="0" w:color="auto"/>
              <w:bottom w:val="single" w:sz="8" w:space="0" w:color="auto"/>
            </w:tcBorders>
            <w:shd w:val="clear" w:color="auto" w:fill="auto"/>
            <w:vAlign w:val="center"/>
          </w:tcPr>
          <w:p w14:paraId="63A82EC2" w14:textId="77777777" w:rsidR="00861557" w:rsidRPr="00296D0C" w:rsidRDefault="00861557" w:rsidP="0077247E">
            <w:pPr>
              <w:spacing w:before="40" w:after="0" w:line="240" w:lineRule="auto"/>
              <w:jc w:val="center"/>
              <w:rPr>
                <w:rFonts w:cs="Arial"/>
                <w:color w:val="000000"/>
              </w:rPr>
            </w:pPr>
            <w:r w:rsidRPr="00296D0C">
              <w:rPr>
                <w:rFonts w:cs="Arial"/>
                <w:color w:val="000000"/>
              </w:rPr>
              <w:t>29.18</w:t>
            </w:r>
          </w:p>
        </w:tc>
        <w:tc>
          <w:tcPr>
            <w:tcW w:w="277" w:type="pct"/>
            <w:tcBorders>
              <w:top w:val="single" w:sz="4" w:space="0" w:color="auto"/>
              <w:bottom w:val="single" w:sz="8" w:space="0" w:color="auto"/>
              <w:right w:val="single" w:sz="8" w:space="0" w:color="auto"/>
            </w:tcBorders>
            <w:shd w:val="clear" w:color="auto" w:fill="auto"/>
            <w:vAlign w:val="center"/>
          </w:tcPr>
          <w:p w14:paraId="4616C695" w14:textId="77777777" w:rsidR="00861557" w:rsidRPr="00296D0C" w:rsidRDefault="00861557" w:rsidP="0077247E">
            <w:pPr>
              <w:spacing w:before="40" w:after="0" w:line="240" w:lineRule="auto"/>
              <w:jc w:val="center"/>
              <w:rPr>
                <w:rFonts w:cs="Arial"/>
                <w:color w:val="000000"/>
              </w:rPr>
            </w:pPr>
            <w:r w:rsidRPr="00296D0C">
              <w:rPr>
                <w:rFonts w:cs="Arial"/>
                <w:color w:val="000000"/>
              </w:rPr>
              <w:t>40.92</w:t>
            </w:r>
          </w:p>
        </w:tc>
        <w:tc>
          <w:tcPr>
            <w:tcW w:w="277" w:type="pct"/>
            <w:tcBorders>
              <w:top w:val="single" w:sz="4" w:space="0" w:color="auto"/>
              <w:left w:val="nil"/>
              <w:bottom w:val="single" w:sz="8" w:space="0" w:color="auto"/>
            </w:tcBorders>
            <w:shd w:val="clear" w:color="auto" w:fill="auto"/>
            <w:vAlign w:val="center"/>
          </w:tcPr>
          <w:p w14:paraId="72CD1080" w14:textId="77777777" w:rsidR="00861557" w:rsidRPr="00296D0C" w:rsidRDefault="00861557" w:rsidP="0077247E">
            <w:pPr>
              <w:spacing w:before="40" w:after="0" w:line="240" w:lineRule="auto"/>
              <w:jc w:val="center"/>
              <w:rPr>
                <w:rFonts w:cs="Arial"/>
                <w:color w:val="000000"/>
              </w:rPr>
            </w:pPr>
            <w:r w:rsidRPr="00296D0C">
              <w:rPr>
                <w:rFonts w:cs="Arial"/>
                <w:color w:val="000000"/>
              </w:rPr>
              <w:t>6.95</w:t>
            </w:r>
          </w:p>
        </w:tc>
        <w:tc>
          <w:tcPr>
            <w:tcW w:w="277" w:type="pct"/>
            <w:tcBorders>
              <w:top w:val="single" w:sz="4" w:space="0" w:color="auto"/>
              <w:bottom w:val="single" w:sz="8" w:space="0" w:color="auto"/>
            </w:tcBorders>
            <w:shd w:val="clear" w:color="auto" w:fill="auto"/>
            <w:vAlign w:val="center"/>
          </w:tcPr>
          <w:p w14:paraId="3FFEFE8E" w14:textId="77777777" w:rsidR="00861557" w:rsidRPr="00296D0C" w:rsidRDefault="00861557" w:rsidP="0077247E">
            <w:pPr>
              <w:spacing w:before="40" w:after="0" w:line="240" w:lineRule="auto"/>
              <w:jc w:val="center"/>
              <w:rPr>
                <w:rFonts w:cs="Arial"/>
                <w:color w:val="000000"/>
              </w:rPr>
            </w:pPr>
            <w:r w:rsidRPr="00296D0C">
              <w:rPr>
                <w:rFonts w:cs="Arial"/>
                <w:color w:val="000000"/>
              </w:rPr>
              <w:t>13.90</w:t>
            </w:r>
          </w:p>
        </w:tc>
        <w:tc>
          <w:tcPr>
            <w:tcW w:w="277" w:type="pct"/>
            <w:tcBorders>
              <w:top w:val="single" w:sz="4" w:space="0" w:color="auto"/>
              <w:bottom w:val="single" w:sz="8" w:space="0" w:color="auto"/>
              <w:right w:val="single" w:sz="8" w:space="0" w:color="auto"/>
            </w:tcBorders>
            <w:shd w:val="clear" w:color="auto" w:fill="auto"/>
            <w:vAlign w:val="center"/>
          </w:tcPr>
          <w:p w14:paraId="34785166" w14:textId="77777777" w:rsidR="00861557" w:rsidRPr="00296D0C" w:rsidRDefault="00861557" w:rsidP="0077247E">
            <w:pPr>
              <w:spacing w:before="40" w:after="0" w:line="240" w:lineRule="auto"/>
              <w:jc w:val="center"/>
              <w:rPr>
                <w:rFonts w:cs="Arial"/>
                <w:color w:val="000000"/>
              </w:rPr>
            </w:pPr>
            <w:r w:rsidRPr="00296D0C">
              <w:rPr>
                <w:rFonts w:cs="Arial"/>
                <w:color w:val="000000"/>
              </w:rPr>
              <w:t>20.86</w:t>
            </w:r>
          </w:p>
        </w:tc>
        <w:tc>
          <w:tcPr>
            <w:tcW w:w="277" w:type="pct"/>
            <w:tcBorders>
              <w:top w:val="single" w:sz="4" w:space="0" w:color="auto"/>
              <w:left w:val="nil"/>
              <w:bottom w:val="single" w:sz="8" w:space="0" w:color="auto"/>
            </w:tcBorders>
            <w:shd w:val="clear" w:color="auto" w:fill="FFFFFF" w:themeFill="background1"/>
            <w:vAlign w:val="center"/>
          </w:tcPr>
          <w:p w14:paraId="06D7784C" w14:textId="77777777" w:rsidR="00861557" w:rsidRPr="00296D0C" w:rsidRDefault="00861557" w:rsidP="0077247E">
            <w:pPr>
              <w:spacing w:before="40" w:after="0" w:line="240" w:lineRule="auto"/>
              <w:jc w:val="center"/>
              <w:rPr>
                <w:rFonts w:cs="Arial"/>
                <w:color w:val="000000"/>
              </w:rPr>
            </w:pPr>
            <w:r w:rsidRPr="00296D0C">
              <w:rPr>
                <w:rFonts w:cs="Arial"/>
                <w:color w:val="000000"/>
              </w:rPr>
              <w:t>22.69</w:t>
            </w:r>
          </w:p>
        </w:tc>
        <w:tc>
          <w:tcPr>
            <w:tcW w:w="277" w:type="pct"/>
            <w:tcBorders>
              <w:top w:val="single" w:sz="4" w:space="0" w:color="auto"/>
              <w:bottom w:val="single" w:sz="8" w:space="0" w:color="auto"/>
            </w:tcBorders>
            <w:shd w:val="clear" w:color="auto" w:fill="FFFFFF" w:themeFill="background1"/>
            <w:vAlign w:val="center"/>
          </w:tcPr>
          <w:p w14:paraId="132E9E9B" w14:textId="77777777" w:rsidR="00861557" w:rsidRPr="00296D0C" w:rsidRDefault="00861557" w:rsidP="0077247E">
            <w:pPr>
              <w:spacing w:before="40" w:after="0" w:line="240" w:lineRule="auto"/>
              <w:jc w:val="center"/>
              <w:rPr>
                <w:rFonts w:cs="Arial"/>
                <w:color w:val="000000"/>
              </w:rPr>
            </w:pPr>
            <w:r w:rsidRPr="00296D0C">
              <w:rPr>
                <w:rFonts w:cs="Arial"/>
                <w:color w:val="000000"/>
              </w:rPr>
              <w:t>43.05</w:t>
            </w:r>
          </w:p>
        </w:tc>
        <w:tc>
          <w:tcPr>
            <w:tcW w:w="277" w:type="pct"/>
            <w:tcBorders>
              <w:top w:val="single" w:sz="4" w:space="0" w:color="auto"/>
              <w:bottom w:val="single" w:sz="8" w:space="0" w:color="auto"/>
              <w:right w:val="single" w:sz="8" w:space="0" w:color="auto"/>
            </w:tcBorders>
            <w:shd w:val="clear" w:color="auto" w:fill="FFFFFF" w:themeFill="background1"/>
            <w:vAlign w:val="center"/>
          </w:tcPr>
          <w:p w14:paraId="7E874D1D" w14:textId="77777777" w:rsidR="00861557" w:rsidRPr="00296D0C" w:rsidRDefault="00861557" w:rsidP="0077247E">
            <w:pPr>
              <w:spacing w:before="40" w:after="0" w:line="240" w:lineRule="auto"/>
              <w:jc w:val="center"/>
              <w:rPr>
                <w:rFonts w:cs="Arial"/>
                <w:color w:val="000000"/>
              </w:rPr>
            </w:pPr>
            <w:r w:rsidRPr="00296D0C">
              <w:rPr>
                <w:rFonts w:cs="Arial"/>
                <w:color w:val="000000"/>
              </w:rPr>
              <w:t>35.33</w:t>
            </w:r>
          </w:p>
        </w:tc>
        <w:tc>
          <w:tcPr>
            <w:tcW w:w="277" w:type="pct"/>
            <w:tcBorders>
              <w:top w:val="single" w:sz="4" w:space="0" w:color="auto"/>
              <w:left w:val="nil"/>
              <w:bottom w:val="single" w:sz="8" w:space="0" w:color="auto"/>
            </w:tcBorders>
            <w:shd w:val="clear" w:color="auto" w:fill="FFFFFF" w:themeFill="background1"/>
            <w:vAlign w:val="center"/>
          </w:tcPr>
          <w:p w14:paraId="27A64334" w14:textId="77777777" w:rsidR="00861557" w:rsidRPr="00296D0C" w:rsidRDefault="00861557" w:rsidP="0077247E">
            <w:pPr>
              <w:spacing w:before="40" w:after="0" w:line="240" w:lineRule="auto"/>
              <w:jc w:val="center"/>
              <w:rPr>
                <w:rFonts w:cs="Arial"/>
                <w:color w:val="000000"/>
              </w:rPr>
            </w:pPr>
            <w:r w:rsidRPr="00296D0C">
              <w:rPr>
                <w:rFonts w:cs="Arial"/>
                <w:color w:val="000000"/>
              </w:rPr>
              <w:t>72.31</w:t>
            </w:r>
          </w:p>
        </w:tc>
        <w:tc>
          <w:tcPr>
            <w:tcW w:w="277" w:type="pct"/>
            <w:tcBorders>
              <w:top w:val="single" w:sz="4" w:space="0" w:color="auto"/>
              <w:bottom w:val="single" w:sz="8" w:space="0" w:color="auto"/>
            </w:tcBorders>
            <w:shd w:val="clear" w:color="auto" w:fill="FFFFFF" w:themeFill="background1"/>
            <w:vAlign w:val="center"/>
          </w:tcPr>
          <w:p w14:paraId="306CEA7F" w14:textId="77777777" w:rsidR="00861557" w:rsidRPr="00296D0C" w:rsidRDefault="00861557" w:rsidP="0077247E">
            <w:pPr>
              <w:spacing w:before="40" w:after="0" w:line="240" w:lineRule="auto"/>
              <w:jc w:val="center"/>
              <w:rPr>
                <w:rFonts w:cs="Arial"/>
                <w:color w:val="000000"/>
              </w:rPr>
            </w:pPr>
            <w:r w:rsidRPr="00296D0C">
              <w:rPr>
                <w:rFonts w:cs="Arial"/>
                <w:color w:val="000000"/>
              </w:rPr>
              <w:t>137.8</w:t>
            </w:r>
          </w:p>
        </w:tc>
        <w:tc>
          <w:tcPr>
            <w:tcW w:w="277" w:type="pct"/>
            <w:tcBorders>
              <w:top w:val="single" w:sz="4" w:space="0" w:color="auto"/>
              <w:bottom w:val="single" w:sz="8" w:space="0" w:color="auto"/>
            </w:tcBorders>
            <w:shd w:val="clear" w:color="auto" w:fill="FFFFFF" w:themeFill="background1"/>
            <w:vAlign w:val="center"/>
          </w:tcPr>
          <w:p w14:paraId="5D6CE459" w14:textId="77777777" w:rsidR="00861557" w:rsidRPr="00296D0C" w:rsidRDefault="00861557" w:rsidP="0077247E">
            <w:pPr>
              <w:spacing w:before="40" w:after="0" w:line="240" w:lineRule="auto"/>
              <w:jc w:val="center"/>
              <w:rPr>
                <w:rFonts w:cs="Arial"/>
                <w:color w:val="000000"/>
              </w:rPr>
            </w:pPr>
            <w:r w:rsidRPr="00296D0C">
              <w:rPr>
                <w:rFonts w:cs="Arial"/>
                <w:color w:val="000000"/>
              </w:rPr>
              <w:t>203.4</w:t>
            </w:r>
          </w:p>
        </w:tc>
      </w:tr>
    </w:tbl>
    <w:p w14:paraId="35892F9E" w14:textId="06E34BDB" w:rsidR="00861557" w:rsidRPr="00296D0C" w:rsidRDefault="00861557" w:rsidP="00861557">
      <w:pPr>
        <w:spacing w:after="100" w:line="240" w:lineRule="auto"/>
        <w:ind w:left="284" w:hanging="284"/>
      </w:pPr>
      <w:r w:rsidRPr="00296D0C">
        <w:t>Key: HeLP = Healthy Lifestyles Programme; hr(s) = hour(s); NA = not applicable</w:t>
      </w:r>
    </w:p>
    <w:p w14:paraId="322B28E4" w14:textId="77777777" w:rsidR="00613FD4" w:rsidRPr="00296D0C" w:rsidRDefault="00861557" w:rsidP="00F13A24">
      <w:pPr>
        <w:spacing w:line="240" w:lineRule="auto"/>
        <w:ind w:left="284" w:hanging="284"/>
        <w:sectPr w:rsidR="00613FD4" w:rsidRPr="00296D0C" w:rsidSect="00F13A24">
          <w:pgSz w:w="16838" w:h="11906" w:orient="landscape"/>
          <w:pgMar w:top="1440" w:right="1440" w:bottom="1440" w:left="1440" w:header="720" w:footer="720" w:gutter="0"/>
          <w:cols w:space="720"/>
          <w:docGrid w:linePitch="360"/>
        </w:sectPr>
      </w:pPr>
      <w:r w:rsidRPr="00296D0C">
        <w:t>Notes: (1) No distinction has been made between contact and non-contact time in costing the intervention; (2) Although travel time was recorded in the trial, no travel time has been included in the costing for Actors. Instead, daily travel expenses have been applied; (3) Activity Coordinator time assumes two members of staff; (4) Actor time assumes (based on data collected) four Actors in each of the five workshops in Phase 2 and three Actors for the r</w:t>
      </w:r>
      <w:r w:rsidR="00F13A24" w:rsidRPr="00296D0C">
        <w:t>emaining three drama activities</w:t>
      </w:r>
    </w:p>
    <w:p w14:paraId="2A81E9FC" w14:textId="645513D5" w:rsidR="00861557" w:rsidRPr="00296D0C" w:rsidRDefault="00861557" w:rsidP="00861557">
      <w:pPr>
        <w:pStyle w:val="Caption"/>
        <w:rPr>
          <w:rFonts w:cs="Arial"/>
          <w:b/>
          <w:i w:val="0"/>
          <w:color w:val="auto"/>
          <w:spacing w:val="20"/>
          <w:sz w:val="22"/>
          <w:szCs w:val="22"/>
        </w:rPr>
      </w:pPr>
      <w:r w:rsidRPr="00296D0C">
        <w:rPr>
          <w:rFonts w:cs="Arial"/>
          <w:b/>
          <w:i w:val="0"/>
          <w:color w:val="auto"/>
          <w:sz w:val="22"/>
          <w:szCs w:val="22"/>
        </w:rPr>
        <w:lastRenderedPageBreak/>
        <w:t>T</w:t>
      </w:r>
      <w:r w:rsidR="002B26EC" w:rsidRPr="00296D0C">
        <w:rPr>
          <w:rFonts w:cs="Arial"/>
          <w:b/>
          <w:i w:val="0"/>
          <w:color w:val="auto"/>
          <w:sz w:val="22"/>
          <w:szCs w:val="22"/>
        </w:rPr>
        <w:t>ABLE</w:t>
      </w:r>
      <w:r w:rsidR="003723AE" w:rsidRPr="00296D0C">
        <w:rPr>
          <w:rFonts w:cs="Arial"/>
          <w:b/>
          <w:i w:val="0"/>
          <w:color w:val="auto"/>
          <w:sz w:val="22"/>
          <w:szCs w:val="22"/>
        </w:rPr>
        <w:t xml:space="preserve"> </w:t>
      </w:r>
      <w:r w:rsidR="00472BD5">
        <w:rPr>
          <w:rFonts w:cs="Arial"/>
          <w:b/>
          <w:i w:val="0"/>
          <w:color w:val="auto"/>
          <w:sz w:val="22"/>
          <w:szCs w:val="22"/>
        </w:rPr>
        <w:t>21</w:t>
      </w:r>
      <w:r w:rsidRPr="00296D0C">
        <w:rPr>
          <w:rFonts w:cs="Arial"/>
          <w:b/>
          <w:i w:val="0"/>
          <w:color w:val="auto"/>
          <w:sz w:val="22"/>
          <w:szCs w:val="22"/>
        </w:rPr>
        <w:t xml:space="preserve"> Estimated cost for delivery of HeLP (total cost, across 16 schools, 27 classes)</w:t>
      </w:r>
    </w:p>
    <w:tbl>
      <w:tblPr>
        <w:tblW w:w="4966" w:type="pct"/>
        <w:tblLayout w:type="fixed"/>
        <w:tblLook w:val="04A0" w:firstRow="1" w:lastRow="0" w:firstColumn="1" w:lastColumn="0" w:noHBand="0" w:noVBand="1"/>
      </w:tblPr>
      <w:tblGrid>
        <w:gridCol w:w="3842"/>
        <w:gridCol w:w="1709"/>
        <w:gridCol w:w="1707"/>
        <w:gridCol w:w="1707"/>
      </w:tblGrid>
      <w:tr w:rsidR="00861557" w:rsidRPr="00296D0C" w14:paraId="370B8B12" w14:textId="77777777" w:rsidTr="0077247E">
        <w:trPr>
          <w:trHeight w:val="300"/>
          <w:tblHeader/>
        </w:trPr>
        <w:tc>
          <w:tcPr>
            <w:tcW w:w="2143" w:type="pct"/>
            <w:tcBorders>
              <w:top w:val="single" w:sz="8" w:space="0" w:color="auto"/>
              <w:bottom w:val="single" w:sz="4" w:space="0" w:color="auto"/>
              <w:right w:val="single" w:sz="4" w:space="0" w:color="auto"/>
            </w:tcBorders>
            <w:shd w:val="clear" w:color="auto" w:fill="auto"/>
            <w:noWrap/>
            <w:hideMark/>
          </w:tcPr>
          <w:p w14:paraId="54FA2C6E" w14:textId="77777777" w:rsidR="00861557" w:rsidRPr="00296D0C" w:rsidRDefault="00861557" w:rsidP="0077247E">
            <w:pPr>
              <w:keepNext/>
              <w:spacing w:before="40" w:after="40" w:line="240" w:lineRule="auto"/>
              <w:rPr>
                <w:rFonts w:cs="Arial"/>
                <w:color w:val="000000"/>
              </w:rPr>
            </w:pPr>
            <w:r w:rsidRPr="00296D0C">
              <w:rPr>
                <w:rFonts w:cs="Arial"/>
                <w:color w:val="000000"/>
              </w:rPr>
              <w:t> </w:t>
            </w:r>
          </w:p>
        </w:tc>
        <w:tc>
          <w:tcPr>
            <w:tcW w:w="953" w:type="pct"/>
            <w:tcBorders>
              <w:top w:val="single" w:sz="8" w:space="0" w:color="auto"/>
              <w:left w:val="nil"/>
              <w:bottom w:val="single" w:sz="4" w:space="0" w:color="auto"/>
              <w:right w:val="single" w:sz="4" w:space="0" w:color="auto"/>
            </w:tcBorders>
            <w:shd w:val="clear" w:color="auto" w:fill="auto"/>
            <w:noWrap/>
            <w:hideMark/>
          </w:tcPr>
          <w:p w14:paraId="1C876788" w14:textId="77777777" w:rsidR="00861557" w:rsidRPr="00296D0C" w:rsidRDefault="00861557" w:rsidP="0077247E">
            <w:pPr>
              <w:keepNext/>
              <w:spacing w:before="40" w:after="40" w:line="240" w:lineRule="auto"/>
              <w:rPr>
                <w:rFonts w:cs="Arial"/>
                <w:bCs/>
                <w:color w:val="000000"/>
              </w:rPr>
            </w:pPr>
            <w:r w:rsidRPr="00296D0C">
              <w:rPr>
                <w:rFonts w:cs="Arial"/>
                <w:bCs/>
                <w:color w:val="000000"/>
              </w:rPr>
              <w:t>Mean (hrs)</w:t>
            </w:r>
          </w:p>
        </w:tc>
        <w:tc>
          <w:tcPr>
            <w:tcW w:w="952" w:type="pct"/>
            <w:tcBorders>
              <w:top w:val="single" w:sz="8" w:space="0" w:color="auto"/>
              <w:left w:val="nil"/>
              <w:bottom w:val="single" w:sz="4" w:space="0" w:color="auto"/>
              <w:right w:val="single" w:sz="4" w:space="0" w:color="auto"/>
            </w:tcBorders>
            <w:shd w:val="clear" w:color="auto" w:fill="auto"/>
            <w:noWrap/>
            <w:hideMark/>
          </w:tcPr>
          <w:p w14:paraId="119B91A5" w14:textId="77777777" w:rsidR="00861557" w:rsidRPr="00296D0C" w:rsidRDefault="00861557" w:rsidP="0077247E">
            <w:pPr>
              <w:keepNext/>
              <w:spacing w:before="40" w:after="40" w:line="240" w:lineRule="auto"/>
              <w:rPr>
                <w:rFonts w:cs="Arial"/>
                <w:bCs/>
                <w:color w:val="000000"/>
              </w:rPr>
            </w:pPr>
            <w:r w:rsidRPr="00296D0C">
              <w:rPr>
                <w:rFonts w:cs="Arial"/>
                <w:bCs/>
                <w:color w:val="000000"/>
              </w:rPr>
              <w:t>Unit cost £</w:t>
            </w:r>
          </w:p>
          <w:p w14:paraId="182F1420" w14:textId="77777777" w:rsidR="00861557" w:rsidRPr="00296D0C" w:rsidRDefault="00861557" w:rsidP="0077247E">
            <w:pPr>
              <w:keepNext/>
              <w:spacing w:before="40" w:after="40" w:line="240" w:lineRule="auto"/>
              <w:rPr>
                <w:rFonts w:cs="Arial"/>
                <w:bCs/>
                <w:color w:val="000000"/>
              </w:rPr>
            </w:pPr>
            <w:r w:rsidRPr="00296D0C">
              <w:rPr>
                <w:rFonts w:cs="Arial"/>
                <w:bCs/>
                <w:color w:val="000000"/>
              </w:rPr>
              <w:t xml:space="preserve">per hr* or </w:t>
            </w:r>
            <w:r w:rsidRPr="00296D0C">
              <w:rPr>
                <w:rFonts w:cs="Arial"/>
                <w:bCs/>
                <w:color w:val="000000"/>
              </w:rPr>
              <w:br/>
              <w:t>or £ per day**</w:t>
            </w:r>
          </w:p>
        </w:tc>
        <w:tc>
          <w:tcPr>
            <w:tcW w:w="952" w:type="pct"/>
            <w:tcBorders>
              <w:top w:val="single" w:sz="8" w:space="0" w:color="auto"/>
              <w:left w:val="nil"/>
              <w:bottom w:val="single" w:sz="4" w:space="0" w:color="auto"/>
            </w:tcBorders>
            <w:shd w:val="clear" w:color="auto" w:fill="auto"/>
            <w:noWrap/>
            <w:hideMark/>
          </w:tcPr>
          <w:p w14:paraId="6123D768" w14:textId="77777777" w:rsidR="00861557" w:rsidRPr="00296D0C" w:rsidRDefault="00861557" w:rsidP="0077247E">
            <w:pPr>
              <w:keepNext/>
              <w:spacing w:before="40" w:after="40" w:line="240" w:lineRule="auto"/>
              <w:rPr>
                <w:rFonts w:cs="Arial"/>
                <w:bCs/>
                <w:color w:val="000000"/>
              </w:rPr>
            </w:pPr>
            <w:r w:rsidRPr="00296D0C">
              <w:rPr>
                <w:rFonts w:cs="Arial"/>
                <w:bCs/>
                <w:color w:val="000000"/>
              </w:rPr>
              <w:t>Total cost £</w:t>
            </w:r>
          </w:p>
        </w:tc>
      </w:tr>
      <w:tr w:rsidR="00861557" w:rsidRPr="00296D0C" w14:paraId="164F9FA5" w14:textId="77777777" w:rsidTr="0077247E">
        <w:trPr>
          <w:trHeight w:val="300"/>
        </w:trPr>
        <w:tc>
          <w:tcPr>
            <w:tcW w:w="2143" w:type="pct"/>
            <w:tcBorders>
              <w:top w:val="single" w:sz="4" w:space="0" w:color="auto"/>
              <w:bottom w:val="nil"/>
              <w:right w:val="single" w:sz="4" w:space="0" w:color="auto"/>
            </w:tcBorders>
            <w:shd w:val="clear" w:color="auto" w:fill="auto"/>
            <w:noWrap/>
          </w:tcPr>
          <w:p w14:paraId="50E306A8" w14:textId="77777777" w:rsidR="00861557" w:rsidRPr="00296D0C" w:rsidRDefault="00861557" w:rsidP="0077247E">
            <w:pPr>
              <w:keepNext/>
              <w:spacing w:before="40" w:after="40" w:line="240" w:lineRule="auto"/>
              <w:rPr>
                <w:rFonts w:cs="Arial"/>
                <w:color w:val="000000"/>
              </w:rPr>
            </w:pPr>
            <w:r w:rsidRPr="00296D0C">
              <w:rPr>
                <w:rFonts w:cs="Arial"/>
                <w:color w:val="000000"/>
              </w:rPr>
              <w:t>HeLP Coordinator</w:t>
            </w:r>
            <w:r w:rsidRPr="00296D0C">
              <w:rPr>
                <w:rFonts w:cs="Arial"/>
                <w:color w:val="000000"/>
                <w:vertAlign w:val="superscript"/>
              </w:rPr>
              <w:t>a</w:t>
            </w:r>
          </w:p>
        </w:tc>
        <w:tc>
          <w:tcPr>
            <w:tcW w:w="953" w:type="pct"/>
            <w:tcBorders>
              <w:top w:val="single" w:sz="4" w:space="0" w:color="auto"/>
              <w:left w:val="nil"/>
              <w:bottom w:val="nil"/>
              <w:right w:val="single" w:sz="4" w:space="0" w:color="auto"/>
            </w:tcBorders>
            <w:shd w:val="clear" w:color="auto" w:fill="auto"/>
            <w:noWrap/>
          </w:tcPr>
          <w:p w14:paraId="3083420F"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1,298.83</w:t>
            </w:r>
          </w:p>
        </w:tc>
        <w:tc>
          <w:tcPr>
            <w:tcW w:w="952" w:type="pct"/>
            <w:tcBorders>
              <w:top w:val="single" w:sz="4" w:space="0" w:color="auto"/>
              <w:left w:val="nil"/>
              <w:bottom w:val="nil"/>
              <w:right w:val="single" w:sz="4" w:space="0" w:color="auto"/>
            </w:tcBorders>
            <w:shd w:val="clear" w:color="auto" w:fill="auto"/>
            <w:noWrap/>
          </w:tcPr>
          <w:p w14:paraId="368A09EC"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41.29*</w:t>
            </w:r>
          </w:p>
        </w:tc>
        <w:tc>
          <w:tcPr>
            <w:tcW w:w="952" w:type="pct"/>
            <w:tcBorders>
              <w:top w:val="single" w:sz="4" w:space="0" w:color="auto"/>
              <w:left w:val="nil"/>
              <w:bottom w:val="nil"/>
            </w:tcBorders>
            <w:shd w:val="clear" w:color="auto" w:fill="auto"/>
            <w:noWrap/>
          </w:tcPr>
          <w:p w14:paraId="68AB7FB8"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53,633.58</w:t>
            </w:r>
          </w:p>
        </w:tc>
      </w:tr>
      <w:tr w:rsidR="00861557" w:rsidRPr="00296D0C" w14:paraId="479308F5" w14:textId="77777777" w:rsidTr="0077247E">
        <w:trPr>
          <w:trHeight w:val="300"/>
        </w:trPr>
        <w:tc>
          <w:tcPr>
            <w:tcW w:w="2143" w:type="pct"/>
            <w:tcBorders>
              <w:top w:val="single" w:sz="4" w:space="0" w:color="auto"/>
              <w:bottom w:val="single" w:sz="4" w:space="0" w:color="auto"/>
              <w:right w:val="single" w:sz="4" w:space="0" w:color="auto"/>
            </w:tcBorders>
            <w:shd w:val="clear" w:color="auto" w:fill="auto"/>
            <w:noWrap/>
          </w:tcPr>
          <w:p w14:paraId="07AC42B4" w14:textId="77777777" w:rsidR="00861557" w:rsidRPr="00296D0C" w:rsidRDefault="00861557" w:rsidP="0077247E">
            <w:pPr>
              <w:keepNext/>
              <w:spacing w:before="40" w:after="40" w:line="240" w:lineRule="auto"/>
              <w:rPr>
                <w:rFonts w:cs="Arial"/>
                <w:color w:val="000000"/>
              </w:rPr>
            </w:pPr>
            <w:r w:rsidRPr="00296D0C">
              <w:rPr>
                <w:rFonts w:cs="Arial"/>
                <w:color w:val="000000"/>
              </w:rPr>
              <w:t>Activity Coordinator</w:t>
            </w:r>
            <w:r w:rsidRPr="00296D0C">
              <w:rPr>
                <w:rFonts w:cs="Arial"/>
                <w:color w:val="000000"/>
                <w:vertAlign w:val="superscript"/>
              </w:rPr>
              <w:t>a</w:t>
            </w:r>
          </w:p>
        </w:tc>
        <w:tc>
          <w:tcPr>
            <w:tcW w:w="953" w:type="pct"/>
            <w:tcBorders>
              <w:top w:val="single" w:sz="4" w:space="0" w:color="auto"/>
              <w:left w:val="nil"/>
              <w:bottom w:val="single" w:sz="4" w:space="0" w:color="auto"/>
              <w:right w:val="single" w:sz="4" w:space="0" w:color="auto"/>
            </w:tcBorders>
            <w:shd w:val="clear" w:color="auto" w:fill="auto"/>
            <w:noWrap/>
          </w:tcPr>
          <w:p w14:paraId="7687AAFC"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187.70</w:t>
            </w:r>
          </w:p>
        </w:tc>
        <w:tc>
          <w:tcPr>
            <w:tcW w:w="952" w:type="pct"/>
            <w:tcBorders>
              <w:top w:val="single" w:sz="4" w:space="0" w:color="auto"/>
              <w:left w:val="nil"/>
              <w:bottom w:val="single" w:sz="4" w:space="0" w:color="auto"/>
              <w:right w:val="single" w:sz="4" w:space="0" w:color="auto"/>
            </w:tcBorders>
            <w:shd w:val="clear" w:color="auto" w:fill="auto"/>
            <w:noWrap/>
          </w:tcPr>
          <w:p w14:paraId="4DB77D35"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20*</w:t>
            </w:r>
          </w:p>
        </w:tc>
        <w:tc>
          <w:tcPr>
            <w:tcW w:w="952" w:type="pct"/>
            <w:tcBorders>
              <w:top w:val="single" w:sz="4" w:space="0" w:color="auto"/>
              <w:left w:val="nil"/>
              <w:bottom w:val="single" w:sz="4" w:space="0" w:color="auto"/>
            </w:tcBorders>
            <w:shd w:val="clear" w:color="auto" w:fill="auto"/>
            <w:noWrap/>
          </w:tcPr>
          <w:p w14:paraId="134B373E"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3,754.04</w:t>
            </w:r>
          </w:p>
        </w:tc>
      </w:tr>
      <w:tr w:rsidR="00861557" w:rsidRPr="00296D0C" w14:paraId="66EAF8DB" w14:textId="77777777" w:rsidTr="0077247E">
        <w:trPr>
          <w:trHeight w:val="300"/>
        </w:trPr>
        <w:tc>
          <w:tcPr>
            <w:tcW w:w="2143" w:type="pct"/>
            <w:tcBorders>
              <w:top w:val="single" w:sz="4" w:space="0" w:color="auto"/>
              <w:right w:val="single" w:sz="4" w:space="0" w:color="auto"/>
            </w:tcBorders>
            <w:shd w:val="clear" w:color="auto" w:fill="auto"/>
            <w:noWrap/>
          </w:tcPr>
          <w:p w14:paraId="6ECB8B1F" w14:textId="77777777" w:rsidR="00861557" w:rsidRPr="00296D0C" w:rsidRDefault="00861557" w:rsidP="0077247E">
            <w:pPr>
              <w:keepNext/>
              <w:spacing w:before="40" w:after="40" w:line="240" w:lineRule="auto"/>
              <w:rPr>
                <w:rFonts w:cs="Arial"/>
                <w:color w:val="000000"/>
              </w:rPr>
            </w:pPr>
            <w:r w:rsidRPr="00296D0C">
              <w:rPr>
                <w:rFonts w:cs="Arial"/>
                <w:color w:val="000000"/>
              </w:rPr>
              <w:t>HeLP Drama:</w:t>
            </w:r>
          </w:p>
        </w:tc>
        <w:tc>
          <w:tcPr>
            <w:tcW w:w="953" w:type="pct"/>
            <w:tcBorders>
              <w:top w:val="single" w:sz="4" w:space="0" w:color="auto"/>
              <w:left w:val="nil"/>
              <w:right w:val="single" w:sz="4" w:space="0" w:color="auto"/>
            </w:tcBorders>
            <w:shd w:val="clear" w:color="auto" w:fill="auto"/>
            <w:noWrap/>
          </w:tcPr>
          <w:p w14:paraId="11A52897" w14:textId="77777777" w:rsidR="00861557" w:rsidRPr="00296D0C" w:rsidRDefault="00861557" w:rsidP="0077247E">
            <w:pPr>
              <w:keepNext/>
              <w:spacing w:before="40" w:after="40" w:line="240" w:lineRule="auto"/>
              <w:jc w:val="right"/>
              <w:rPr>
                <w:rFonts w:cs="Arial"/>
                <w:color w:val="000000"/>
              </w:rPr>
            </w:pPr>
          </w:p>
        </w:tc>
        <w:tc>
          <w:tcPr>
            <w:tcW w:w="952" w:type="pct"/>
            <w:tcBorders>
              <w:top w:val="single" w:sz="4" w:space="0" w:color="auto"/>
              <w:left w:val="nil"/>
              <w:right w:val="single" w:sz="4" w:space="0" w:color="auto"/>
            </w:tcBorders>
            <w:shd w:val="clear" w:color="auto" w:fill="auto"/>
            <w:noWrap/>
          </w:tcPr>
          <w:p w14:paraId="0812D3F1" w14:textId="77777777" w:rsidR="00861557" w:rsidRPr="00296D0C" w:rsidRDefault="00861557" w:rsidP="0077247E">
            <w:pPr>
              <w:keepNext/>
              <w:spacing w:before="40" w:after="40" w:line="240" w:lineRule="auto"/>
              <w:jc w:val="right"/>
              <w:rPr>
                <w:rFonts w:cs="Arial"/>
                <w:color w:val="000000"/>
              </w:rPr>
            </w:pPr>
          </w:p>
        </w:tc>
        <w:tc>
          <w:tcPr>
            <w:tcW w:w="952" w:type="pct"/>
            <w:tcBorders>
              <w:top w:val="single" w:sz="4" w:space="0" w:color="auto"/>
              <w:left w:val="nil"/>
            </w:tcBorders>
            <w:shd w:val="clear" w:color="auto" w:fill="auto"/>
            <w:noWrap/>
          </w:tcPr>
          <w:p w14:paraId="55598909" w14:textId="77777777" w:rsidR="00861557" w:rsidRPr="00296D0C" w:rsidRDefault="00861557" w:rsidP="0077247E">
            <w:pPr>
              <w:keepNext/>
              <w:spacing w:before="40" w:after="40" w:line="240" w:lineRule="auto"/>
              <w:jc w:val="right"/>
              <w:rPr>
                <w:rFonts w:cs="Arial"/>
                <w:color w:val="000000"/>
              </w:rPr>
            </w:pPr>
          </w:p>
        </w:tc>
      </w:tr>
      <w:tr w:rsidR="00861557" w:rsidRPr="00296D0C" w14:paraId="461ED3FE" w14:textId="77777777" w:rsidTr="0077247E">
        <w:trPr>
          <w:trHeight w:val="300"/>
        </w:trPr>
        <w:tc>
          <w:tcPr>
            <w:tcW w:w="2143" w:type="pct"/>
            <w:tcBorders>
              <w:bottom w:val="nil"/>
              <w:right w:val="single" w:sz="4" w:space="0" w:color="auto"/>
            </w:tcBorders>
            <w:shd w:val="clear" w:color="auto" w:fill="auto"/>
            <w:noWrap/>
            <w:hideMark/>
          </w:tcPr>
          <w:p w14:paraId="5F59DA8D" w14:textId="77777777" w:rsidR="00861557" w:rsidRPr="00296D0C" w:rsidRDefault="00861557" w:rsidP="0077247E">
            <w:pPr>
              <w:keepNext/>
              <w:spacing w:before="40" w:after="40" w:line="240" w:lineRule="auto"/>
              <w:rPr>
                <w:rFonts w:cs="Arial"/>
                <w:color w:val="000000"/>
              </w:rPr>
            </w:pPr>
            <w:r w:rsidRPr="00296D0C">
              <w:rPr>
                <w:rFonts w:cs="Arial"/>
                <w:color w:val="000000"/>
              </w:rPr>
              <w:t>Drama Facilitator/HeLP Coordinator</w:t>
            </w:r>
            <w:r w:rsidRPr="00296D0C">
              <w:rPr>
                <w:rFonts w:cs="Arial"/>
                <w:color w:val="000000"/>
                <w:vertAlign w:val="superscript"/>
              </w:rPr>
              <w:t>a</w:t>
            </w:r>
          </w:p>
        </w:tc>
        <w:tc>
          <w:tcPr>
            <w:tcW w:w="953" w:type="pct"/>
            <w:tcBorders>
              <w:left w:val="nil"/>
              <w:bottom w:val="nil"/>
              <w:right w:val="single" w:sz="4" w:space="0" w:color="auto"/>
            </w:tcBorders>
            <w:shd w:val="clear" w:color="auto" w:fill="auto"/>
            <w:noWrap/>
          </w:tcPr>
          <w:p w14:paraId="152229C5"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924.07</w:t>
            </w:r>
          </w:p>
        </w:tc>
        <w:tc>
          <w:tcPr>
            <w:tcW w:w="952" w:type="pct"/>
            <w:tcBorders>
              <w:left w:val="nil"/>
              <w:bottom w:val="nil"/>
              <w:right w:val="single" w:sz="4" w:space="0" w:color="auto"/>
            </w:tcBorders>
            <w:shd w:val="clear" w:color="auto" w:fill="auto"/>
            <w:noWrap/>
          </w:tcPr>
          <w:p w14:paraId="5AA9162C"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41.29*</w:t>
            </w:r>
          </w:p>
        </w:tc>
        <w:tc>
          <w:tcPr>
            <w:tcW w:w="952" w:type="pct"/>
            <w:tcBorders>
              <w:left w:val="nil"/>
              <w:bottom w:val="nil"/>
            </w:tcBorders>
            <w:shd w:val="clear" w:color="auto" w:fill="auto"/>
            <w:noWrap/>
          </w:tcPr>
          <w:p w14:paraId="23C48B40"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38,158.38</w:t>
            </w:r>
          </w:p>
        </w:tc>
      </w:tr>
      <w:tr w:rsidR="00861557" w:rsidRPr="00296D0C" w14:paraId="79271C62" w14:textId="77777777" w:rsidTr="0077247E">
        <w:trPr>
          <w:trHeight w:val="300"/>
        </w:trPr>
        <w:tc>
          <w:tcPr>
            <w:tcW w:w="2143" w:type="pct"/>
            <w:tcBorders>
              <w:top w:val="nil"/>
              <w:right w:val="single" w:sz="4" w:space="0" w:color="auto"/>
            </w:tcBorders>
            <w:shd w:val="clear" w:color="auto" w:fill="auto"/>
            <w:noWrap/>
            <w:hideMark/>
          </w:tcPr>
          <w:p w14:paraId="27B78487" w14:textId="77777777" w:rsidR="00861557" w:rsidRPr="00296D0C" w:rsidRDefault="00861557" w:rsidP="0077247E">
            <w:pPr>
              <w:keepNext/>
              <w:spacing w:before="40" w:after="40" w:line="240" w:lineRule="auto"/>
              <w:rPr>
                <w:rFonts w:cs="Arial"/>
                <w:color w:val="000000"/>
              </w:rPr>
            </w:pPr>
            <w:r w:rsidRPr="00296D0C">
              <w:rPr>
                <w:rFonts w:cs="Arial"/>
                <w:color w:val="000000"/>
              </w:rPr>
              <w:t>Actors</w:t>
            </w:r>
            <w:r w:rsidRPr="00296D0C">
              <w:rPr>
                <w:rFonts w:cs="Arial"/>
                <w:color w:val="000000"/>
                <w:vertAlign w:val="superscript"/>
              </w:rPr>
              <w:t>b</w:t>
            </w:r>
          </w:p>
        </w:tc>
        <w:tc>
          <w:tcPr>
            <w:tcW w:w="953" w:type="pct"/>
            <w:tcBorders>
              <w:top w:val="nil"/>
              <w:left w:val="single" w:sz="4" w:space="0" w:color="auto"/>
              <w:right w:val="single" w:sz="4" w:space="0" w:color="auto"/>
            </w:tcBorders>
            <w:shd w:val="clear" w:color="auto" w:fill="auto"/>
            <w:noWrap/>
          </w:tcPr>
          <w:p w14:paraId="4663ECEF"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1878</w:t>
            </w:r>
          </w:p>
        </w:tc>
        <w:tc>
          <w:tcPr>
            <w:tcW w:w="952" w:type="pct"/>
            <w:tcBorders>
              <w:top w:val="nil"/>
              <w:left w:val="nil"/>
              <w:right w:val="single" w:sz="4" w:space="0" w:color="auto"/>
            </w:tcBorders>
            <w:shd w:val="clear" w:color="auto" w:fill="auto"/>
            <w:noWrap/>
          </w:tcPr>
          <w:p w14:paraId="02856804"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11.20*</w:t>
            </w:r>
          </w:p>
        </w:tc>
        <w:tc>
          <w:tcPr>
            <w:tcW w:w="952" w:type="pct"/>
            <w:tcBorders>
              <w:top w:val="nil"/>
              <w:left w:val="nil"/>
            </w:tcBorders>
            <w:shd w:val="clear" w:color="auto" w:fill="auto"/>
            <w:noWrap/>
          </w:tcPr>
          <w:p w14:paraId="52F4171A"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21,034.32</w:t>
            </w:r>
          </w:p>
        </w:tc>
      </w:tr>
      <w:tr w:rsidR="00861557" w:rsidRPr="00296D0C" w14:paraId="74221849" w14:textId="77777777" w:rsidTr="0077247E">
        <w:trPr>
          <w:trHeight w:val="300"/>
        </w:trPr>
        <w:tc>
          <w:tcPr>
            <w:tcW w:w="2143" w:type="pct"/>
            <w:tcBorders>
              <w:right w:val="single" w:sz="4" w:space="0" w:color="auto"/>
            </w:tcBorders>
            <w:shd w:val="clear" w:color="auto" w:fill="auto"/>
            <w:noWrap/>
            <w:hideMark/>
          </w:tcPr>
          <w:p w14:paraId="6C78C792" w14:textId="77777777" w:rsidR="00861557" w:rsidRPr="00296D0C" w:rsidRDefault="00861557" w:rsidP="0077247E">
            <w:pPr>
              <w:keepNext/>
              <w:spacing w:before="40" w:after="40" w:line="240" w:lineRule="auto"/>
              <w:rPr>
                <w:rFonts w:cs="Arial"/>
                <w:color w:val="000000"/>
              </w:rPr>
            </w:pPr>
            <w:r w:rsidRPr="00296D0C">
              <w:rPr>
                <w:rFonts w:cs="Arial"/>
                <w:color w:val="000000"/>
              </w:rPr>
              <w:t>Travel allowance (Actors)</w:t>
            </w:r>
          </w:p>
        </w:tc>
        <w:tc>
          <w:tcPr>
            <w:tcW w:w="953" w:type="pct"/>
            <w:tcBorders>
              <w:left w:val="single" w:sz="4" w:space="0" w:color="auto"/>
              <w:right w:val="single" w:sz="4" w:space="0" w:color="auto"/>
            </w:tcBorders>
            <w:shd w:val="clear" w:color="auto" w:fill="auto"/>
            <w:noWrap/>
          </w:tcPr>
          <w:p w14:paraId="708D2280"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w:t>
            </w:r>
          </w:p>
        </w:tc>
        <w:tc>
          <w:tcPr>
            <w:tcW w:w="952" w:type="pct"/>
            <w:tcBorders>
              <w:left w:val="nil"/>
              <w:right w:val="single" w:sz="4" w:space="0" w:color="auto"/>
            </w:tcBorders>
            <w:shd w:val="clear" w:color="auto" w:fill="auto"/>
            <w:noWrap/>
          </w:tcPr>
          <w:p w14:paraId="71716914"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19.00**</w:t>
            </w:r>
          </w:p>
        </w:tc>
        <w:tc>
          <w:tcPr>
            <w:tcW w:w="952" w:type="pct"/>
            <w:tcBorders>
              <w:left w:val="nil"/>
            </w:tcBorders>
            <w:shd w:val="clear" w:color="auto" w:fill="auto"/>
            <w:noWrap/>
          </w:tcPr>
          <w:p w14:paraId="26D929B7"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14,250.00</w:t>
            </w:r>
          </w:p>
        </w:tc>
      </w:tr>
      <w:tr w:rsidR="00861557" w:rsidRPr="00296D0C" w14:paraId="6713E5AE" w14:textId="77777777" w:rsidTr="0077247E">
        <w:trPr>
          <w:trHeight w:val="300"/>
        </w:trPr>
        <w:tc>
          <w:tcPr>
            <w:tcW w:w="2143" w:type="pct"/>
            <w:tcBorders>
              <w:bottom w:val="single" w:sz="8" w:space="0" w:color="auto"/>
              <w:right w:val="single" w:sz="4" w:space="0" w:color="auto"/>
            </w:tcBorders>
            <w:shd w:val="clear" w:color="auto" w:fill="auto"/>
            <w:noWrap/>
          </w:tcPr>
          <w:p w14:paraId="5B0A9B4F" w14:textId="77777777" w:rsidR="00861557" w:rsidRPr="00296D0C" w:rsidRDefault="00861557" w:rsidP="0077247E">
            <w:pPr>
              <w:keepNext/>
              <w:spacing w:before="40" w:after="40" w:line="240" w:lineRule="auto"/>
              <w:rPr>
                <w:rFonts w:cs="Arial"/>
                <w:color w:val="000000"/>
              </w:rPr>
            </w:pPr>
            <w:r w:rsidRPr="00296D0C">
              <w:rPr>
                <w:rFonts w:cs="Arial"/>
                <w:color w:val="000000"/>
              </w:rPr>
              <w:t>Other costs</w:t>
            </w:r>
          </w:p>
        </w:tc>
        <w:tc>
          <w:tcPr>
            <w:tcW w:w="953" w:type="pct"/>
            <w:tcBorders>
              <w:left w:val="single" w:sz="4" w:space="0" w:color="auto"/>
              <w:bottom w:val="single" w:sz="8" w:space="0" w:color="auto"/>
              <w:right w:val="single" w:sz="4" w:space="0" w:color="auto"/>
            </w:tcBorders>
            <w:shd w:val="clear" w:color="auto" w:fill="auto"/>
            <w:noWrap/>
          </w:tcPr>
          <w:p w14:paraId="40F50A07"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w:t>
            </w:r>
          </w:p>
        </w:tc>
        <w:tc>
          <w:tcPr>
            <w:tcW w:w="952" w:type="pct"/>
            <w:tcBorders>
              <w:left w:val="nil"/>
              <w:bottom w:val="single" w:sz="8" w:space="0" w:color="auto"/>
              <w:right w:val="single" w:sz="4" w:space="0" w:color="auto"/>
            </w:tcBorders>
            <w:shd w:val="clear" w:color="auto" w:fill="auto"/>
            <w:noWrap/>
          </w:tcPr>
          <w:p w14:paraId="138E90B4"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w:t>
            </w:r>
          </w:p>
        </w:tc>
        <w:tc>
          <w:tcPr>
            <w:tcW w:w="952" w:type="pct"/>
            <w:tcBorders>
              <w:left w:val="nil"/>
              <w:bottom w:val="single" w:sz="8" w:space="0" w:color="auto"/>
            </w:tcBorders>
            <w:shd w:val="clear" w:color="auto" w:fill="auto"/>
            <w:noWrap/>
          </w:tcPr>
          <w:p w14:paraId="5F51FAEB"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940.00</w:t>
            </w:r>
          </w:p>
        </w:tc>
      </w:tr>
      <w:tr w:rsidR="00861557" w:rsidRPr="00296D0C" w14:paraId="613B621F" w14:textId="77777777" w:rsidTr="0077247E">
        <w:trPr>
          <w:trHeight w:val="300"/>
        </w:trPr>
        <w:tc>
          <w:tcPr>
            <w:tcW w:w="2143" w:type="pct"/>
            <w:tcBorders>
              <w:top w:val="single" w:sz="8" w:space="0" w:color="auto"/>
              <w:bottom w:val="nil"/>
              <w:right w:val="single" w:sz="4" w:space="0" w:color="auto"/>
            </w:tcBorders>
            <w:shd w:val="clear" w:color="auto" w:fill="auto"/>
            <w:noWrap/>
            <w:hideMark/>
          </w:tcPr>
          <w:p w14:paraId="015F3C07" w14:textId="77777777" w:rsidR="00861557" w:rsidRPr="00296D0C" w:rsidRDefault="00861557" w:rsidP="0077247E">
            <w:pPr>
              <w:keepNext/>
              <w:spacing w:before="40" w:after="40" w:line="240" w:lineRule="auto"/>
              <w:rPr>
                <w:rFonts w:cs="Arial"/>
                <w:color w:val="000000"/>
              </w:rPr>
            </w:pPr>
            <w:r w:rsidRPr="00296D0C">
              <w:rPr>
                <w:rFonts w:cs="Arial"/>
                <w:color w:val="000000"/>
              </w:rPr>
              <w:t>Training:</w:t>
            </w:r>
          </w:p>
        </w:tc>
        <w:tc>
          <w:tcPr>
            <w:tcW w:w="953" w:type="pct"/>
            <w:tcBorders>
              <w:top w:val="single" w:sz="8" w:space="0" w:color="auto"/>
              <w:left w:val="nil"/>
              <w:bottom w:val="nil"/>
              <w:right w:val="single" w:sz="4" w:space="0" w:color="auto"/>
            </w:tcBorders>
            <w:shd w:val="clear" w:color="auto" w:fill="auto"/>
            <w:noWrap/>
          </w:tcPr>
          <w:p w14:paraId="3D8E76AA" w14:textId="77777777" w:rsidR="00861557" w:rsidRPr="00296D0C" w:rsidRDefault="00861557" w:rsidP="0077247E">
            <w:pPr>
              <w:keepNext/>
              <w:spacing w:before="40" w:after="40" w:line="240" w:lineRule="auto"/>
              <w:jc w:val="right"/>
              <w:rPr>
                <w:rFonts w:cs="Arial"/>
                <w:b/>
                <w:color w:val="000000"/>
              </w:rPr>
            </w:pPr>
          </w:p>
        </w:tc>
        <w:tc>
          <w:tcPr>
            <w:tcW w:w="952" w:type="pct"/>
            <w:tcBorders>
              <w:top w:val="single" w:sz="8" w:space="0" w:color="auto"/>
              <w:left w:val="nil"/>
              <w:bottom w:val="nil"/>
              <w:right w:val="single" w:sz="4" w:space="0" w:color="auto"/>
            </w:tcBorders>
            <w:shd w:val="clear" w:color="auto" w:fill="auto"/>
            <w:noWrap/>
          </w:tcPr>
          <w:p w14:paraId="1D6B325A" w14:textId="77777777" w:rsidR="00861557" w:rsidRPr="00296D0C" w:rsidRDefault="00861557" w:rsidP="0077247E">
            <w:pPr>
              <w:keepNext/>
              <w:spacing w:before="40" w:after="40" w:line="240" w:lineRule="auto"/>
              <w:jc w:val="right"/>
              <w:rPr>
                <w:rFonts w:cs="Arial"/>
                <w:b/>
                <w:color w:val="000000"/>
              </w:rPr>
            </w:pPr>
          </w:p>
        </w:tc>
        <w:tc>
          <w:tcPr>
            <w:tcW w:w="952" w:type="pct"/>
            <w:tcBorders>
              <w:top w:val="single" w:sz="8" w:space="0" w:color="auto"/>
              <w:left w:val="nil"/>
              <w:bottom w:val="nil"/>
            </w:tcBorders>
            <w:shd w:val="clear" w:color="auto" w:fill="auto"/>
            <w:noWrap/>
          </w:tcPr>
          <w:p w14:paraId="3477566D" w14:textId="77777777" w:rsidR="00861557" w:rsidRPr="00296D0C" w:rsidRDefault="00861557" w:rsidP="0077247E">
            <w:pPr>
              <w:keepNext/>
              <w:spacing w:before="40" w:after="40" w:line="240" w:lineRule="auto"/>
              <w:jc w:val="right"/>
              <w:rPr>
                <w:rFonts w:cs="Arial"/>
                <w:b/>
                <w:color w:val="000000"/>
              </w:rPr>
            </w:pPr>
          </w:p>
        </w:tc>
      </w:tr>
      <w:tr w:rsidR="00861557" w:rsidRPr="00296D0C" w14:paraId="238D0ED2" w14:textId="77777777" w:rsidTr="0077247E">
        <w:trPr>
          <w:trHeight w:val="300"/>
        </w:trPr>
        <w:tc>
          <w:tcPr>
            <w:tcW w:w="2143" w:type="pct"/>
            <w:tcBorders>
              <w:top w:val="nil"/>
              <w:bottom w:val="nil"/>
              <w:right w:val="single" w:sz="4" w:space="0" w:color="auto"/>
            </w:tcBorders>
            <w:shd w:val="clear" w:color="auto" w:fill="auto"/>
            <w:noWrap/>
          </w:tcPr>
          <w:p w14:paraId="3E3026E3" w14:textId="77777777" w:rsidR="00861557" w:rsidRPr="00296D0C" w:rsidRDefault="00861557" w:rsidP="0077247E">
            <w:pPr>
              <w:keepNext/>
              <w:spacing w:before="40" w:after="40" w:line="240" w:lineRule="auto"/>
              <w:rPr>
                <w:rFonts w:cs="Arial"/>
                <w:color w:val="000000"/>
              </w:rPr>
            </w:pPr>
            <w:r w:rsidRPr="00296D0C">
              <w:rPr>
                <w:rFonts w:cs="Arial"/>
                <w:color w:val="000000"/>
              </w:rPr>
              <w:t>Training HeLP Coordinators</w:t>
            </w:r>
            <w:r w:rsidRPr="00296D0C">
              <w:rPr>
                <w:rFonts w:cs="Arial"/>
                <w:color w:val="000000"/>
                <w:vertAlign w:val="superscript"/>
              </w:rPr>
              <w:t>c</w:t>
            </w:r>
          </w:p>
        </w:tc>
        <w:tc>
          <w:tcPr>
            <w:tcW w:w="953" w:type="pct"/>
            <w:tcBorders>
              <w:top w:val="nil"/>
              <w:left w:val="single" w:sz="4" w:space="0" w:color="auto"/>
              <w:bottom w:val="nil"/>
              <w:right w:val="single" w:sz="4" w:space="0" w:color="auto"/>
            </w:tcBorders>
            <w:shd w:val="clear" w:color="auto" w:fill="auto"/>
            <w:noWrap/>
          </w:tcPr>
          <w:p w14:paraId="5850B452"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w:t>
            </w:r>
          </w:p>
        </w:tc>
        <w:tc>
          <w:tcPr>
            <w:tcW w:w="952" w:type="pct"/>
            <w:tcBorders>
              <w:top w:val="nil"/>
              <w:left w:val="nil"/>
              <w:bottom w:val="nil"/>
              <w:right w:val="single" w:sz="4" w:space="0" w:color="auto"/>
            </w:tcBorders>
            <w:shd w:val="clear" w:color="auto" w:fill="auto"/>
            <w:noWrap/>
          </w:tcPr>
          <w:p w14:paraId="2B22902C"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w:t>
            </w:r>
          </w:p>
        </w:tc>
        <w:tc>
          <w:tcPr>
            <w:tcW w:w="952" w:type="pct"/>
            <w:tcBorders>
              <w:top w:val="nil"/>
              <w:left w:val="nil"/>
              <w:bottom w:val="nil"/>
            </w:tcBorders>
            <w:shd w:val="clear" w:color="auto" w:fill="auto"/>
            <w:noWrap/>
          </w:tcPr>
          <w:p w14:paraId="6801AE6A"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5,145.54</w:t>
            </w:r>
          </w:p>
        </w:tc>
      </w:tr>
      <w:tr w:rsidR="00861557" w:rsidRPr="00296D0C" w14:paraId="006167BE" w14:textId="77777777" w:rsidTr="0077247E">
        <w:trPr>
          <w:trHeight w:val="300"/>
        </w:trPr>
        <w:tc>
          <w:tcPr>
            <w:tcW w:w="2143" w:type="pct"/>
            <w:tcBorders>
              <w:top w:val="nil"/>
              <w:bottom w:val="nil"/>
              <w:right w:val="single" w:sz="4" w:space="0" w:color="auto"/>
            </w:tcBorders>
            <w:shd w:val="clear" w:color="auto" w:fill="auto"/>
            <w:noWrap/>
            <w:hideMark/>
          </w:tcPr>
          <w:p w14:paraId="757E60DB" w14:textId="77777777" w:rsidR="00861557" w:rsidRPr="00296D0C" w:rsidRDefault="00861557" w:rsidP="0077247E">
            <w:pPr>
              <w:keepNext/>
              <w:spacing w:before="40" w:after="40" w:line="240" w:lineRule="auto"/>
              <w:rPr>
                <w:rFonts w:cs="Arial"/>
                <w:color w:val="000000"/>
              </w:rPr>
            </w:pPr>
            <w:r w:rsidRPr="00296D0C">
              <w:rPr>
                <w:rFonts w:cs="Arial"/>
                <w:color w:val="000000"/>
              </w:rPr>
              <w:t>Training Drama</w:t>
            </w:r>
            <w:r w:rsidRPr="00296D0C">
              <w:rPr>
                <w:rFonts w:cs="Arial"/>
                <w:color w:val="000000"/>
                <w:vertAlign w:val="superscript"/>
              </w:rPr>
              <w:t>d</w:t>
            </w:r>
          </w:p>
        </w:tc>
        <w:tc>
          <w:tcPr>
            <w:tcW w:w="953" w:type="pct"/>
            <w:tcBorders>
              <w:top w:val="nil"/>
              <w:left w:val="single" w:sz="4" w:space="0" w:color="auto"/>
              <w:bottom w:val="nil"/>
              <w:right w:val="single" w:sz="4" w:space="0" w:color="auto"/>
            </w:tcBorders>
            <w:shd w:val="clear" w:color="auto" w:fill="auto"/>
            <w:noWrap/>
          </w:tcPr>
          <w:p w14:paraId="0C56B835"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w:t>
            </w:r>
          </w:p>
        </w:tc>
        <w:tc>
          <w:tcPr>
            <w:tcW w:w="952" w:type="pct"/>
            <w:tcBorders>
              <w:top w:val="nil"/>
              <w:left w:val="nil"/>
              <w:bottom w:val="nil"/>
              <w:right w:val="single" w:sz="4" w:space="0" w:color="auto"/>
            </w:tcBorders>
            <w:shd w:val="clear" w:color="auto" w:fill="auto"/>
            <w:noWrap/>
          </w:tcPr>
          <w:p w14:paraId="75E58C76"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w:t>
            </w:r>
          </w:p>
        </w:tc>
        <w:tc>
          <w:tcPr>
            <w:tcW w:w="952" w:type="pct"/>
            <w:tcBorders>
              <w:top w:val="nil"/>
              <w:left w:val="nil"/>
              <w:bottom w:val="nil"/>
            </w:tcBorders>
            <w:shd w:val="clear" w:color="auto" w:fill="auto"/>
            <w:noWrap/>
          </w:tcPr>
          <w:p w14:paraId="024A8873"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7,833.64</w:t>
            </w:r>
          </w:p>
        </w:tc>
      </w:tr>
      <w:tr w:rsidR="00861557" w:rsidRPr="00296D0C" w14:paraId="289D9B8E" w14:textId="77777777" w:rsidTr="0077247E">
        <w:trPr>
          <w:trHeight w:val="300"/>
        </w:trPr>
        <w:tc>
          <w:tcPr>
            <w:tcW w:w="2143" w:type="pct"/>
            <w:tcBorders>
              <w:top w:val="single" w:sz="8" w:space="0" w:color="auto"/>
              <w:bottom w:val="single" w:sz="8" w:space="0" w:color="auto"/>
              <w:right w:val="single" w:sz="4" w:space="0" w:color="auto"/>
            </w:tcBorders>
            <w:shd w:val="clear" w:color="auto" w:fill="auto"/>
            <w:noWrap/>
            <w:hideMark/>
          </w:tcPr>
          <w:p w14:paraId="33D58DD6" w14:textId="77777777" w:rsidR="00861557" w:rsidRPr="00296D0C" w:rsidRDefault="00861557" w:rsidP="0077247E">
            <w:pPr>
              <w:keepNext/>
              <w:spacing w:before="40" w:after="40" w:line="240" w:lineRule="auto"/>
              <w:rPr>
                <w:rFonts w:cs="Arial"/>
                <w:color w:val="000000"/>
              </w:rPr>
            </w:pPr>
            <w:r w:rsidRPr="00296D0C">
              <w:rPr>
                <w:rFonts w:cs="Arial"/>
                <w:color w:val="000000"/>
              </w:rPr>
              <w:t>TOTAL COST</w:t>
            </w:r>
          </w:p>
        </w:tc>
        <w:tc>
          <w:tcPr>
            <w:tcW w:w="953" w:type="pct"/>
            <w:tcBorders>
              <w:top w:val="single" w:sz="8" w:space="0" w:color="auto"/>
              <w:left w:val="nil"/>
              <w:bottom w:val="single" w:sz="8" w:space="0" w:color="auto"/>
              <w:right w:val="single" w:sz="4" w:space="0" w:color="auto"/>
            </w:tcBorders>
            <w:shd w:val="clear" w:color="auto" w:fill="auto"/>
            <w:noWrap/>
          </w:tcPr>
          <w:p w14:paraId="22AF22DB"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w:t>
            </w:r>
          </w:p>
        </w:tc>
        <w:tc>
          <w:tcPr>
            <w:tcW w:w="952" w:type="pct"/>
            <w:tcBorders>
              <w:top w:val="single" w:sz="8" w:space="0" w:color="auto"/>
              <w:left w:val="nil"/>
              <w:bottom w:val="single" w:sz="8" w:space="0" w:color="auto"/>
              <w:right w:val="single" w:sz="4" w:space="0" w:color="auto"/>
            </w:tcBorders>
            <w:shd w:val="clear" w:color="auto" w:fill="auto"/>
            <w:noWrap/>
          </w:tcPr>
          <w:p w14:paraId="33D8E627"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w:t>
            </w:r>
          </w:p>
        </w:tc>
        <w:tc>
          <w:tcPr>
            <w:tcW w:w="952" w:type="pct"/>
            <w:tcBorders>
              <w:top w:val="single" w:sz="8" w:space="0" w:color="auto"/>
              <w:left w:val="nil"/>
              <w:bottom w:val="single" w:sz="8" w:space="0" w:color="auto"/>
            </w:tcBorders>
            <w:shd w:val="clear" w:color="auto" w:fill="auto"/>
            <w:noWrap/>
          </w:tcPr>
          <w:p w14:paraId="230241A8"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144,749.50</w:t>
            </w:r>
          </w:p>
        </w:tc>
      </w:tr>
      <w:tr w:rsidR="00861557" w:rsidRPr="00296D0C" w14:paraId="57DF6BD6" w14:textId="77777777" w:rsidTr="0077247E">
        <w:trPr>
          <w:trHeight w:val="300"/>
        </w:trPr>
        <w:tc>
          <w:tcPr>
            <w:tcW w:w="2143" w:type="pct"/>
            <w:tcBorders>
              <w:top w:val="single" w:sz="8" w:space="0" w:color="auto"/>
              <w:bottom w:val="single" w:sz="8" w:space="0" w:color="auto"/>
              <w:right w:val="single" w:sz="4" w:space="0" w:color="auto"/>
            </w:tcBorders>
            <w:shd w:val="clear" w:color="auto" w:fill="auto"/>
            <w:noWrap/>
          </w:tcPr>
          <w:p w14:paraId="4165620A" w14:textId="77777777" w:rsidR="00861557" w:rsidRPr="00296D0C" w:rsidRDefault="00861557" w:rsidP="0077247E">
            <w:pPr>
              <w:keepNext/>
              <w:spacing w:before="40" w:after="40" w:line="240" w:lineRule="auto"/>
              <w:rPr>
                <w:rFonts w:cs="Arial"/>
                <w:color w:val="000000"/>
              </w:rPr>
            </w:pPr>
            <w:r w:rsidRPr="00296D0C">
              <w:rPr>
                <w:rFonts w:cs="Arial"/>
                <w:color w:val="000000"/>
              </w:rPr>
              <w:t>Cost per participant</w:t>
            </w:r>
          </w:p>
        </w:tc>
        <w:tc>
          <w:tcPr>
            <w:tcW w:w="953" w:type="pct"/>
            <w:tcBorders>
              <w:top w:val="single" w:sz="8" w:space="0" w:color="auto"/>
              <w:left w:val="nil"/>
              <w:bottom w:val="single" w:sz="8" w:space="0" w:color="auto"/>
              <w:right w:val="single" w:sz="4" w:space="0" w:color="auto"/>
            </w:tcBorders>
            <w:shd w:val="clear" w:color="auto" w:fill="auto"/>
            <w:noWrap/>
          </w:tcPr>
          <w:p w14:paraId="696EF019"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w:t>
            </w:r>
          </w:p>
        </w:tc>
        <w:tc>
          <w:tcPr>
            <w:tcW w:w="952" w:type="pct"/>
            <w:tcBorders>
              <w:top w:val="single" w:sz="8" w:space="0" w:color="auto"/>
              <w:left w:val="nil"/>
              <w:bottom w:val="single" w:sz="8" w:space="0" w:color="auto"/>
              <w:right w:val="single" w:sz="4" w:space="0" w:color="auto"/>
            </w:tcBorders>
            <w:shd w:val="clear" w:color="auto" w:fill="auto"/>
            <w:noWrap/>
          </w:tcPr>
          <w:p w14:paraId="5FFDE072"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w:t>
            </w:r>
          </w:p>
        </w:tc>
        <w:tc>
          <w:tcPr>
            <w:tcW w:w="952" w:type="pct"/>
            <w:tcBorders>
              <w:top w:val="single" w:sz="8" w:space="0" w:color="auto"/>
              <w:left w:val="nil"/>
              <w:bottom w:val="single" w:sz="8" w:space="0" w:color="auto"/>
            </w:tcBorders>
            <w:shd w:val="clear" w:color="auto" w:fill="auto"/>
            <w:noWrap/>
          </w:tcPr>
          <w:p w14:paraId="29986ECD"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214.13</w:t>
            </w:r>
          </w:p>
        </w:tc>
      </w:tr>
    </w:tbl>
    <w:p w14:paraId="3138E7E1" w14:textId="77777777" w:rsidR="00861557" w:rsidRPr="00296D0C" w:rsidRDefault="00861557" w:rsidP="00861557">
      <w:pPr>
        <w:spacing w:after="100" w:line="240" w:lineRule="auto"/>
        <w:ind w:left="284" w:hanging="284"/>
        <w:rPr>
          <w:rFonts w:cs="Arial"/>
          <w:color w:val="000000"/>
        </w:rPr>
      </w:pPr>
      <w:r w:rsidRPr="00296D0C">
        <w:rPr>
          <w:rFonts w:cs="Arial"/>
          <w:color w:val="000000"/>
        </w:rPr>
        <w:t>Key:</w:t>
      </w:r>
      <w:r w:rsidRPr="00296D0C">
        <w:rPr>
          <w:rFonts w:cs="Arial"/>
          <w:b/>
          <w:color w:val="000000"/>
        </w:rPr>
        <w:t xml:space="preserve"> </w:t>
      </w:r>
      <w:r w:rsidRPr="00296D0C">
        <w:rPr>
          <w:rFonts w:cs="Arial"/>
          <w:color w:val="000000"/>
        </w:rPr>
        <w:t>hr(s) = hour(s)</w:t>
      </w:r>
    </w:p>
    <w:p w14:paraId="6F24753B" w14:textId="77777777" w:rsidR="00861557" w:rsidRPr="00296D0C" w:rsidRDefault="00861557" w:rsidP="00861557">
      <w:pPr>
        <w:spacing w:line="240" w:lineRule="auto"/>
        <w:ind w:left="284" w:hanging="284"/>
        <w:rPr>
          <w:rFonts w:cs="Arial"/>
          <w:color w:val="000000"/>
        </w:rPr>
      </w:pPr>
      <w:r w:rsidRPr="00296D0C">
        <w:rPr>
          <w:rFonts w:cs="Arial"/>
          <w:color w:val="000000"/>
        </w:rPr>
        <w:t xml:space="preserve">Notes: </w:t>
      </w:r>
      <w:r w:rsidRPr="00296D0C">
        <w:rPr>
          <w:rFonts w:cs="Arial"/>
          <w:color w:val="000000"/>
          <w:vertAlign w:val="superscript"/>
        </w:rPr>
        <w:t xml:space="preserve">a </w:t>
      </w:r>
      <w:r w:rsidRPr="00296D0C">
        <w:rPr>
          <w:rFonts w:cs="Arial"/>
          <w:color w:val="000000"/>
        </w:rPr>
        <w:t xml:space="preserve">Includes contact and non-contact (preparation and travel time); </w:t>
      </w:r>
      <w:r w:rsidRPr="00296D0C">
        <w:rPr>
          <w:rFonts w:cs="Arial"/>
          <w:color w:val="000000"/>
          <w:vertAlign w:val="superscript"/>
        </w:rPr>
        <w:t>b</w:t>
      </w:r>
      <w:r w:rsidRPr="00296D0C">
        <w:rPr>
          <w:rFonts w:cs="Arial"/>
          <w:color w:val="000000"/>
        </w:rPr>
        <w:t xml:space="preserve"> Includes contact and non-contact (preparation time); </w:t>
      </w:r>
      <w:r w:rsidRPr="00296D0C">
        <w:rPr>
          <w:rFonts w:cs="Arial"/>
          <w:color w:val="000000"/>
          <w:vertAlign w:val="superscript"/>
        </w:rPr>
        <w:t>c</w:t>
      </w:r>
      <w:r w:rsidRPr="00296D0C">
        <w:rPr>
          <w:rFonts w:cs="Arial"/>
          <w:color w:val="000000"/>
        </w:rPr>
        <w:t xml:space="preserve"> Based on 2 HeLP Coordinators; </w:t>
      </w:r>
      <w:r w:rsidRPr="00296D0C">
        <w:rPr>
          <w:rFonts w:cs="Arial"/>
          <w:color w:val="000000"/>
          <w:vertAlign w:val="superscript"/>
        </w:rPr>
        <w:t>d</w:t>
      </w:r>
      <w:r w:rsidRPr="00296D0C">
        <w:rPr>
          <w:rFonts w:cs="Arial"/>
          <w:color w:val="000000"/>
        </w:rPr>
        <w:t xml:space="preserve"> Based on 2 drama teams</w:t>
      </w:r>
    </w:p>
    <w:p w14:paraId="64B2581C" w14:textId="77777777" w:rsidR="00861557" w:rsidRPr="00296D0C" w:rsidRDefault="00861557" w:rsidP="00861557">
      <w:pPr>
        <w:rPr>
          <w:highlight w:val="yellow"/>
        </w:rPr>
      </w:pPr>
    </w:p>
    <w:p w14:paraId="28EB17CB" w14:textId="2EE6BDD4" w:rsidR="00861557" w:rsidRPr="00296D0C" w:rsidRDefault="00861557" w:rsidP="000D0114">
      <w:pPr>
        <w:spacing w:after="0" w:line="360" w:lineRule="auto"/>
        <w:rPr>
          <w:rFonts w:cs="Arial"/>
        </w:rPr>
      </w:pPr>
      <w:r w:rsidRPr="00296D0C">
        <w:rPr>
          <w:rFonts w:cs="Arial"/>
        </w:rPr>
        <w:t xml:space="preserve">Estimated delivery costs for HeLP by school-class configuration are presented in Table </w:t>
      </w:r>
      <w:r w:rsidR="00323E35">
        <w:rPr>
          <w:rFonts w:cs="Arial"/>
        </w:rPr>
        <w:t>2</w:t>
      </w:r>
      <w:r w:rsidR="00472BD5">
        <w:rPr>
          <w:rFonts w:cs="Arial"/>
        </w:rPr>
        <w:t>2</w:t>
      </w:r>
      <w:r w:rsidR="003723AE" w:rsidRPr="00296D0C">
        <w:rPr>
          <w:rFonts w:cs="Arial"/>
        </w:rPr>
        <w:t>,</w:t>
      </w:r>
      <w:r w:rsidRPr="00296D0C">
        <w:rPr>
          <w:rFonts w:cs="Arial"/>
        </w:rPr>
        <w:t xml:space="preserve"> providing an estimate by different school size (i.e. schools with 1, 2, or 3 classes by year group).  The estimated mean costs by class, and by child per class, show a mean cost per class (per child) that reduces as the school size increases, from £5,724 (£229) for a school with one class, to £15,390 (£205) for a school with three classes.  However, it is expected that the provision and delivery of HeLP would be at the level of a geographical region, involving a mix of school sizes.</w:t>
      </w:r>
    </w:p>
    <w:p w14:paraId="5DFC969E" w14:textId="77777777" w:rsidR="00861557" w:rsidRPr="00296D0C" w:rsidRDefault="00861557" w:rsidP="00861557">
      <w:pPr>
        <w:rPr>
          <w:highlight w:val="yellow"/>
        </w:rPr>
        <w:sectPr w:rsidR="00861557" w:rsidRPr="00296D0C" w:rsidSect="00613FD4">
          <w:pgSz w:w="11906" w:h="16838"/>
          <w:pgMar w:top="1440" w:right="1440" w:bottom="1440" w:left="1440" w:header="720" w:footer="720" w:gutter="0"/>
          <w:cols w:space="720"/>
          <w:docGrid w:linePitch="360"/>
        </w:sectPr>
      </w:pPr>
    </w:p>
    <w:p w14:paraId="3E2B1D5D" w14:textId="650D339F" w:rsidR="00861557" w:rsidRPr="00296D0C" w:rsidRDefault="00861557" w:rsidP="00861557">
      <w:pPr>
        <w:pStyle w:val="Caption"/>
        <w:rPr>
          <w:rFonts w:cs="Arial"/>
          <w:b/>
          <w:i w:val="0"/>
          <w:color w:val="auto"/>
          <w:spacing w:val="20"/>
          <w:sz w:val="22"/>
          <w:szCs w:val="22"/>
        </w:rPr>
      </w:pPr>
      <w:r w:rsidRPr="00296D0C">
        <w:rPr>
          <w:rFonts w:cs="Arial"/>
          <w:b/>
          <w:i w:val="0"/>
          <w:color w:val="auto"/>
          <w:sz w:val="22"/>
          <w:szCs w:val="22"/>
        </w:rPr>
        <w:lastRenderedPageBreak/>
        <w:t>T</w:t>
      </w:r>
      <w:r w:rsidR="002B26EC" w:rsidRPr="00296D0C">
        <w:rPr>
          <w:rFonts w:cs="Arial"/>
          <w:b/>
          <w:i w:val="0"/>
          <w:color w:val="auto"/>
          <w:sz w:val="22"/>
          <w:szCs w:val="22"/>
        </w:rPr>
        <w:t>ABLE</w:t>
      </w:r>
      <w:r w:rsidRPr="00296D0C">
        <w:rPr>
          <w:rFonts w:cs="Arial"/>
          <w:b/>
          <w:i w:val="0"/>
          <w:color w:val="auto"/>
          <w:sz w:val="22"/>
          <w:szCs w:val="22"/>
        </w:rPr>
        <w:t xml:space="preserve"> </w:t>
      </w:r>
      <w:r w:rsidR="002B26EC" w:rsidRPr="00296D0C">
        <w:rPr>
          <w:rFonts w:cs="Arial"/>
          <w:b/>
          <w:i w:val="0"/>
          <w:color w:val="auto"/>
          <w:sz w:val="22"/>
          <w:szCs w:val="22"/>
        </w:rPr>
        <w:t>2</w:t>
      </w:r>
      <w:r w:rsidR="00472BD5">
        <w:rPr>
          <w:rFonts w:cs="Arial"/>
          <w:b/>
          <w:i w:val="0"/>
          <w:color w:val="auto"/>
          <w:sz w:val="22"/>
          <w:szCs w:val="22"/>
        </w:rPr>
        <w:t>2</w:t>
      </w:r>
      <w:r w:rsidRPr="00296D0C">
        <w:rPr>
          <w:rFonts w:cs="Arial"/>
          <w:b/>
          <w:i w:val="0"/>
          <w:color w:val="auto"/>
          <w:sz w:val="22"/>
          <w:szCs w:val="22"/>
        </w:rPr>
        <w:t xml:space="preserve"> Estimated total cost for delivery of HeLP by school-class configuration: 1 school and 1, 2, 3 classes</w:t>
      </w:r>
    </w:p>
    <w:tbl>
      <w:tblPr>
        <w:tblW w:w="4966" w:type="pct"/>
        <w:tblLayout w:type="fixed"/>
        <w:tblLook w:val="04A0" w:firstRow="1" w:lastRow="0" w:firstColumn="1" w:lastColumn="0" w:noHBand="0" w:noVBand="1"/>
      </w:tblPr>
      <w:tblGrid>
        <w:gridCol w:w="2041"/>
        <w:gridCol w:w="968"/>
        <w:gridCol w:w="823"/>
        <w:gridCol w:w="1027"/>
        <w:gridCol w:w="922"/>
        <w:gridCol w:w="1108"/>
        <w:gridCol w:w="968"/>
        <w:gridCol w:w="1108"/>
      </w:tblGrid>
      <w:tr w:rsidR="00861557" w:rsidRPr="00296D0C" w14:paraId="5715ACCF" w14:textId="77777777" w:rsidTr="00C82499">
        <w:trPr>
          <w:trHeight w:val="300"/>
          <w:tblHeader/>
        </w:trPr>
        <w:tc>
          <w:tcPr>
            <w:tcW w:w="1138" w:type="pct"/>
            <w:vMerge w:val="restart"/>
            <w:tcBorders>
              <w:top w:val="single" w:sz="8" w:space="0" w:color="auto"/>
              <w:right w:val="single" w:sz="4" w:space="0" w:color="auto"/>
            </w:tcBorders>
            <w:shd w:val="clear" w:color="auto" w:fill="auto"/>
            <w:noWrap/>
            <w:hideMark/>
          </w:tcPr>
          <w:p w14:paraId="17125D31" w14:textId="77777777" w:rsidR="00861557" w:rsidRPr="00296D0C" w:rsidRDefault="00861557" w:rsidP="0077247E">
            <w:pPr>
              <w:keepNext/>
              <w:spacing w:before="40" w:after="40" w:line="240" w:lineRule="auto"/>
              <w:rPr>
                <w:rFonts w:cs="Arial"/>
                <w:color w:val="000000"/>
              </w:rPr>
            </w:pPr>
            <w:r w:rsidRPr="00296D0C">
              <w:rPr>
                <w:rFonts w:cs="Arial"/>
                <w:color w:val="000000"/>
              </w:rPr>
              <w:t>Staff type</w:t>
            </w:r>
          </w:p>
        </w:tc>
        <w:tc>
          <w:tcPr>
            <w:tcW w:w="540" w:type="pct"/>
            <w:vMerge w:val="restart"/>
            <w:tcBorders>
              <w:top w:val="single" w:sz="8" w:space="0" w:color="auto"/>
              <w:left w:val="nil"/>
              <w:right w:val="single" w:sz="8" w:space="0" w:color="auto"/>
            </w:tcBorders>
            <w:shd w:val="clear" w:color="auto" w:fill="auto"/>
            <w:noWrap/>
          </w:tcPr>
          <w:p w14:paraId="368DE390" w14:textId="77777777" w:rsidR="00861557" w:rsidRPr="00296D0C" w:rsidRDefault="00861557" w:rsidP="0077247E">
            <w:pPr>
              <w:keepNext/>
              <w:spacing w:before="40" w:after="40" w:line="240" w:lineRule="auto"/>
              <w:rPr>
                <w:rFonts w:cs="Arial"/>
                <w:bCs/>
                <w:color w:val="000000"/>
              </w:rPr>
            </w:pPr>
            <w:r w:rsidRPr="00296D0C">
              <w:rPr>
                <w:rFonts w:cs="Arial"/>
                <w:bCs/>
                <w:color w:val="000000"/>
              </w:rPr>
              <w:t>Unit cost</w:t>
            </w:r>
          </w:p>
        </w:tc>
        <w:tc>
          <w:tcPr>
            <w:tcW w:w="1032" w:type="pct"/>
            <w:gridSpan w:val="2"/>
            <w:tcBorders>
              <w:top w:val="single" w:sz="8" w:space="0" w:color="auto"/>
              <w:left w:val="single" w:sz="8" w:space="0" w:color="auto"/>
              <w:bottom w:val="single" w:sz="8" w:space="0" w:color="auto"/>
              <w:right w:val="single" w:sz="8" w:space="0" w:color="auto"/>
            </w:tcBorders>
            <w:shd w:val="clear" w:color="auto" w:fill="auto"/>
          </w:tcPr>
          <w:p w14:paraId="7C5FDF14" w14:textId="77777777" w:rsidR="00861557" w:rsidRPr="00296D0C" w:rsidRDefault="00861557" w:rsidP="0077247E">
            <w:pPr>
              <w:keepNext/>
              <w:spacing w:before="40" w:after="40" w:line="240" w:lineRule="auto"/>
              <w:jc w:val="center"/>
              <w:rPr>
                <w:rFonts w:cs="Arial"/>
                <w:bCs/>
                <w:color w:val="000000"/>
              </w:rPr>
            </w:pPr>
            <w:r w:rsidRPr="00296D0C">
              <w:rPr>
                <w:rFonts w:cs="Arial"/>
                <w:bCs/>
                <w:color w:val="000000"/>
              </w:rPr>
              <w:t>1 school; 1 class</w:t>
            </w:r>
          </w:p>
        </w:tc>
        <w:tc>
          <w:tcPr>
            <w:tcW w:w="1132" w:type="pct"/>
            <w:gridSpan w:val="2"/>
            <w:tcBorders>
              <w:top w:val="single" w:sz="8" w:space="0" w:color="auto"/>
              <w:left w:val="single" w:sz="8" w:space="0" w:color="auto"/>
              <w:bottom w:val="single" w:sz="8" w:space="0" w:color="auto"/>
              <w:right w:val="single" w:sz="8" w:space="0" w:color="auto"/>
            </w:tcBorders>
            <w:shd w:val="clear" w:color="auto" w:fill="auto"/>
          </w:tcPr>
          <w:p w14:paraId="04FE0552" w14:textId="77777777" w:rsidR="00861557" w:rsidRPr="00296D0C" w:rsidRDefault="00861557" w:rsidP="0077247E">
            <w:pPr>
              <w:keepNext/>
              <w:spacing w:before="40" w:after="40" w:line="240" w:lineRule="auto"/>
              <w:jc w:val="center"/>
              <w:rPr>
                <w:rFonts w:cs="Arial"/>
                <w:bCs/>
                <w:color w:val="000000"/>
              </w:rPr>
            </w:pPr>
            <w:r w:rsidRPr="00296D0C">
              <w:rPr>
                <w:rFonts w:cs="Arial"/>
                <w:bCs/>
                <w:color w:val="000000"/>
              </w:rPr>
              <w:t>1 school; 2 classes</w:t>
            </w:r>
          </w:p>
        </w:tc>
        <w:tc>
          <w:tcPr>
            <w:tcW w:w="1158" w:type="pct"/>
            <w:gridSpan w:val="2"/>
            <w:tcBorders>
              <w:top w:val="single" w:sz="8" w:space="0" w:color="auto"/>
              <w:left w:val="single" w:sz="8" w:space="0" w:color="auto"/>
              <w:bottom w:val="single" w:sz="8" w:space="0" w:color="auto"/>
            </w:tcBorders>
            <w:shd w:val="clear" w:color="auto" w:fill="auto"/>
          </w:tcPr>
          <w:p w14:paraId="201EC26E" w14:textId="77777777" w:rsidR="00861557" w:rsidRPr="00296D0C" w:rsidRDefault="00861557" w:rsidP="0077247E">
            <w:pPr>
              <w:keepNext/>
              <w:spacing w:before="40" w:after="40" w:line="240" w:lineRule="auto"/>
              <w:jc w:val="center"/>
              <w:rPr>
                <w:rFonts w:cs="Arial"/>
                <w:bCs/>
                <w:color w:val="000000"/>
              </w:rPr>
            </w:pPr>
            <w:r w:rsidRPr="00296D0C">
              <w:rPr>
                <w:rFonts w:cs="Arial"/>
                <w:bCs/>
                <w:color w:val="000000"/>
              </w:rPr>
              <w:t>1 school; 3 classes</w:t>
            </w:r>
          </w:p>
        </w:tc>
      </w:tr>
      <w:tr w:rsidR="00861557" w:rsidRPr="00296D0C" w14:paraId="4C649EF5" w14:textId="77777777" w:rsidTr="00C82499">
        <w:trPr>
          <w:trHeight w:val="300"/>
        </w:trPr>
        <w:tc>
          <w:tcPr>
            <w:tcW w:w="1138" w:type="pct"/>
            <w:vMerge/>
            <w:tcBorders>
              <w:bottom w:val="nil"/>
              <w:right w:val="single" w:sz="4" w:space="0" w:color="auto"/>
            </w:tcBorders>
            <w:shd w:val="clear" w:color="auto" w:fill="auto"/>
            <w:noWrap/>
          </w:tcPr>
          <w:p w14:paraId="75935989" w14:textId="77777777" w:rsidR="00861557" w:rsidRPr="00296D0C" w:rsidRDefault="00861557" w:rsidP="0077247E">
            <w:pPr>
              <w:keepNext/>
              <w:spacing w:before="40" w:after="40" w:line="240" w:lineRule="auto"/>
              <w:rPr>
                <w:rFonts w:cs="Arial"/>
                <w:color w:val="000000"/>
              </w:rPr>
            </w:pPr>
          </w:p>
        </w:tc>
        <w:tc>
          <w:tcPr>
            <w:tcW w:w="540" w:type="pct"/>
            <w:vMerge/>
            <w:tcBorders>
              <w:left w:val="nil"/>
              <w:bottom w:val="single" w:sz="8" w:space="0" w:color="auto"/>
              <w:right w:val="single" w:sz="8" w:space="0" w:color="auto"/>
            </w:tcBorders>
            <w:shd w:val="clear" w:color="auto" w:fill="auto"/>
            <w:noWrap/>
          </w:tcPr>
          <w:p w14:paraId="30DEE2E4" w14:textId="77777777" w:rsidR="00861557" w:rsidRPr="00296D0C" w:rsidRDefault="00861557" w:rsidP="0077247E">
            <w:pPr>
              <w:keepNext/>
              <w:spacing w:before="40" w:after="40" w:line="240" w:lineRule="auto"/>
              <w:jc w:val="right"/>
              <w:rPr>
                <w:rFonts w:cs="Arial"/>
                <w:color w:val="000000"/>
              </w:rPr>
            </w:pPr>
          </w:p>
        </w:tc>
        <w:tc>
          <w:tcPr>
            <w:tcW w:w="459" w:type="pct"/>
            <w:tcBorders>
              <w:top w:val="single" w:sz="8" w:space="0" w:color="auto"/>
              <w:left w:val="single" w:sz="8" w:space="0" w:color="auto"/>
              <w:bottom w:val="single" w:sz="8" w:space="0" w:color="auto"/>
              <w:right w:val="single" w:sz="8" w:space="0" w:color="auto"/>
            </w:tcBorders>
            <w:shd w:val="clear" w:color="auto" w:fill="auto"/>
          </w:tcPr>
          <w:p w14:paraId="71B3240F"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Mean (hrs)</w:t>
            </w:r>
          </w:p>
        </w:tc>
        <w:tc>
          <w:tcPr>
            <w:tcW w:w="573" w:type="pct"/>
            <w:tcBorders>
              <w:top w:val="single" w:sz="8" w:space="0" w:color="auto"/>
              <w:left w:val="single" w:sz="8" w:space="0" w:color="auto"/>
              <w:bottom w:val="single" w:sz="8" w:space="0" w:color="auto"/>
              <w:right w:val="single" w:sz="8" w:space="0" w:color="auto"/>
            </w:tcBorders>
            <w:shd w:val="clear" w:color="auto" w:fill="auto"/>
          </w:tcPr>
          <w:p w14:paraId="007B4E7C"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Cost</w:t>
            </w:r>
          </w:p>
        </w:tc>
        <w:tc>
          <w:tcPr>
            <w:tcW w:w="514" w:type="pct"/>
            <w:tcBorders>
              <w:top w:val="single" w:sz="8" w:space="0" w:color="auto"/>
              <w:left w:val="single" w:sz="8" w:space="0" w:color="auto"/>
              <w:bottom w:val="single" w:sz="8" w:space="0" w:color="auto"/>
              <w:right w:val="single" w:sz="8" w:space="0" w:color="auto"/>
            </w:tcBorders>
            <w:shd w:val="clear" w:color="auto" w:fill="auto"/>
          </w:tcPr>
          <w:p w14:paraId="157EA86B"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Mean (hrs)</w:t>
            </w:r>
          </w:p>
        </w:tc>
        <w:tc>
          <w:tcPr>
            <w:tcW w:w="618" w:type="pct"/>
            <w:tcBorders>
              <w:top w:val="single" w:sz="8" w:space="0" w:color="auto"/>
              <w:left w:val="single" w:sz="8" w:space="0" w:color="auto"/>
              <w:bottom w:val="single" w:sz="8" w:space="0" w:color="auto"/>
              <w:right w:val="single" w:sz="8" w:space="0" w:color="auto"/>
            </w:tcBorders>
            <w:shd w:val="clear" w:color="auto" w:fill="auto"/>
          </w:tcPr>
          <w:p w14:paraId="370FBB48"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Cost</w:t>
            </w:r>
          </w:p>
        </w:tc>
        <w:tc>
          <w:tcPr>
            <w:tcW w:w="540" w:type="pct"/>
            <w:tcBorders>
              <w:top w:val="single" w:sz="8" w:space="0" w:color="auto"/>
              <w:left w:val="single" w:sz="8" w:space="0" w:color="auto"/>
              <w:bottom w:val="single" w:sz="8" w:space="0" w:color="auto"/>
              <w:right w:val="single" w:sz="8" w:space="0" w:color="auto"/>
            </w:tcBorders>
            <w:shd w:val="clear" w:color="auto" w:fill="auto"/>
          </w:tcPr>
          <w:p w14:paraId="71909727"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Mean (hrs)</w:t>
            </w:r>
          </w:p>
        </w:tc>
        <w:tc>
          <w:tcPr>
            <w:tcW w:w="617" w:type="pct"/>
            <w:tcBorders>
              <w:top w:val="single" w:sz="8" w:space="0" w:color="auto"/>
              <w:left w:val="single" w:sz="8" w:space="0" w:color="auto"/>
              <w:bottom w:val="single" w:sz="8" w:space="0" w:color="auto"/>
            </w:tcBorders>
            <w:shd w:val="clear" w:color="auto" w:fill="auto"/>
          </w:tcPr>
          <w:p w14:paraId="53039B2B"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Cost</w:t>
            </w:r>
          </w:p>
        </w:tc>
      </w:tr>
      <w:tr w:rsidR="00861557" w:rsidRPr="00296D0C" w14:paraId="6009BCD1" w14:textId="77777777" w:rsidTr="00C82499">
        <w:trPr>
          <w:trHeight w:val="300"/>
        </w:trPr>
        <w:tc>
          <w:tcPr>
            <w:tcW w:w="1138" w:type="pct"/>
            <w:tcBorders>
              <w:top w:val="single" w:sz="4" w:space="0" w:color="auto"/>
              <w:bottom w:val="nil"/>
              <w:right w:val="single" w:sz="4" w:space="0" w:color="auto"/>
            </w:tcBorders>
            <w:shd w:val="clear" w:color="auto" w:fill="auto"/>
            <w:noWrap/>
          </w:tcPr>
          <w:p w14:paraId="4B32EAC7" w14:textId="77777777" w:rsidR="00861557" w:rsidRPr="00296D0C" w:rsidRDefault="00861557" w:rsidP="0077247E">
            <w:pPr>
              <w:keepNext/>
              <w:spacing w:before="40" w:after="40" w:line="240" w:lineRule="auto"/>
              <w:rPr>
                <w:rFonts w:cs="Arial"/>
                <w:color w:val="000000"/>
              </w:rPr>
            </w:pPr>
            <w:r w:rsidRPr="00296D0C">
              <w:rPr>
                <w:rFonts w:cs="Arial"/>
                <w:color w:val="000000"/>
              </w:rPr>
              <w:t>HeLP Coordinator</w:t>
            </w:r>
            <w:r w:rsidRPr="00296D0C">
              <w:rPr>
                <w:rFonts w:cs="Arial"/>
                <w:color w:val="000000"/>
                <w:vertAlign w:val="superscript"/>
              </w:rPr>
              <w:t>a</w:t>
            </w:r>
          </w:p>
        </w:tc>
        <w:tc>
          <w:tcPr>
            <w:tcW w:w="540" w:type="pct"/>
            <w:tcBorders>
              <w:top w:val="single" w:sz="8" w:space="0" w:color="auto"/>
              <w:left w:val="nil"/>
              <w:bottom w:val="single" w:sz="8" w:space="0" w:color="auto"/>
              <w:right w:val="single" w:sz="8" w:space="0" w:color="auto"/>
            </w:tcBorders>
            <w:shd w:val="clear" w:color="auto" w:fill="auto"/>
            <w:noWrap/>
          </w:tcPr>
          <w:p w14:paraId="7B65C2F5"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41.29</w:t>
            </w:r>
          </w:p>
        </w:tc>
        <w:tc>
          <w:tcPr>
            <w:tcW w:w="459" w:type="pct"/>
            <w:tcBorders>
              <w:top w:val="single" w:sz="8" w:space="0" w:color="auto"/>
              <w:left w:val="single" w:sz="8" w:space="0" w:color="auto"/>
              <w:bottom w:val="single" w:sz="8" w:space="0" w:color="auto"/>
              <w:right w:val="single" w:sz="8" w:space="0" w:color="auto"/>
            </w:tcBorders>
            <w:shd w:val="clear" w:color="auto" w:fill="auto"/>
          </w:tcPr>
          <w:p w14:paraId="09F53C13"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53.93</w:t>
            </w:r>
          </w:p>
        </w:tc>
        <w:tc>
          <w:tcPr>
            <w:tcW w:w="573" w:type="pct"/>
            <w:tcBorders>
              <w:top w:val="single" w:sz="8" w:space="0" w:color="auto"/>
              <w:left w:val="single" w:sz="8" w:space="0" w:color="auto"/>
              <w:bottom w:val="single" w:sz="8" w:space="0" w:color="auto"/>
              <w:right w:val="single" w:sz="8" w:space="0" w:color="auto"/>
            </w:tcBorders>
            <w:shd w:val="clear" w:color="auto" w:fill="auto"/>
          </w:tcPr>
          <w:p w14:paraId="200E5D2D"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2227.05</w:t>
            </w:r>
          </w:p>
        </w:tc>
        <w:tc>
          <w:tcPr>
            <w:tcW w:w="514" w:type="pct"/>
            <w:tcBorders>
              <w:top w:val="single" w:sz="8" w:space="0" w:color="auto"/>
              <w:left w:val="single" w:sz="8" w:space="0" w:color="auto"/>
              <w:bottom w:val="single" w:sz="8" w:space="0" w:color="auto"/>
              <w:right w:val="single" w:sz="8" w:space="0" w:color="auto"/>
            </w:tcBorders>
            <w:shd w:val="clear" w:color="auto" w:fill="auto"/>
          </w:tcPr>
          <w:p w14:paraId="62194AA2"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93.56</w:t>
            </w:r>
          </w:p>
        </w:tc>
        <w:tc>
          <w:tcPr>
            <w:tcW w:w="618" w:type="pct"/>
            <w:tcBorders>
              <w:top w:val="single" w:sz="8" w:space="0" w:color="auto"/>
              <w:left w:val="single" w:sz="8" w:space="0" w:color="auto"/>
              <w:bottom w:val="single" w:sz="8" w:space="0" w:color="auto"/>
              <w:right w:val="single" w:sz="8" w:space="0" w:color="auto"/>
            </w:tcBorders>
            <w:shd w:val="clear" w:color="auto" w:fill="auto"/>
          </w:tcPr>
          <w:p w14:paraId="7F510708"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3863.49</w:t>
            </w:r>
          </w:p>
        </w:tc>
        <w:tc>
          <w:tcPr>
            <w:tcW w:w="540" w:type="pct"/>
            <w:tcBorders>
              <w:top w:val="single" w:sz="8" w:space="0" w:color="auto"/>
              <w:left w:val="single" w:sz="8" w:space="0" w:color="auto"/>
              <w:bottom w:val="single" w:sz="8" w:space="0" w:color="auto"/>
              <w:right w:val="single" w:sz="8" w:space="0" w:color="auto"/>
            </w:tcBorders>
            <w:shd w:val="clear" w:color="auto" w:fill="auto"/>
          </w:tcPr>
          <w:p w14:paraId="6287CA78"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133.19</w:t>
            </w:r>
          </w:p>
        </w:tc>
        <w:tc>
          <w:tcPr>
            <w:tcW w:w="617" w:type="pct"/>
            <w:tcBorders>
              <w:top w:val="single" w:sz="8" w:space="0" w:color="auto"/>
              <w:left w:val="single" w:sz="8" w:space="0" w:color="auto"/>
              <w:bottom w:val="single" w:sz="8" w:space="0" w:color="auto"/>
            </w:tcBorders>
            <w:shd w:val="clear" w:color="auto" w:fill="auto"/>
          </w:tcPr>
          <w:p w14:paraId="0E6F5482"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5499.93</w:t>
            </w:r>
          </w:p>
        </w:tc>
      </w:tr>
      <w:tr w:rsidR="00861557" w:rsidRPr="00296D0C" w14:paraId="09E69B07" w14:textId="77777777" w:rsidTr="00C82499">
        <w:trPr>
          <w:trHeight w:val="300"/>
        </w:trPr>
        <w:tc>
          <w:tcPr>
            <w:tcW w:w="1138" w:type="pct"/>
            <w:tcBorders>
              <w:top w:val="single" w:sz="4" w:space="0" w:color="auto"/>
              <w:bottom w:val="nil"/>
              <w:right w:val="single" w:sz="4" w:space="0" w:color="auto"/>
            </w:tcBorders>
            <w:shd w:val="clear" w:color="auto" w:fill="auto"/>
            <w:noWrap/>
          </w:tcPr>
          <w:p w14:paraId="709D839A" w14:textId="77777777" w:rsidR="00861557" w:rsidRPr="00296D0C" w:rsidRDefault="00861557" w:rsidP="0077247E">
            <w:pPr>
              <w:keepNext/>
              <w:spacing w:before="40" w:after="40" w:line="240" w:lineRule="auto"/>
              <w:rPr>
                <w:rFonts w:cs="Arial"/>
                <w:color w:val="000000"/>
              </w:rPr>
            </w:pPr>
            <w:r w:rsidRPr="00296D0C">
              <w:rPr>
                <w:rFonts w:cs="Arial"/>
                <w:color w:val="000000"/>
              </w:rPr>
              <w:t>Activity Coordinator</w:t>
            </w:r>
            <w:r w:rsidRPr="00296D0C">
              <w:rPr>
                <w:rFonts w:cs="Arial"/>
                <w:color w:val="000000"/>
                <w:vertAlign w:val="superscript"/>
              </w:rPr>
              <w:t>a</w:t>
            </w:r>
          </w:p>
        </w:tc>
        <w:tc>
          <w:tcPr>
            <w:tcW w:w="540" w:type="pct"/>
            <w:tcBorders>
              <w:top w:val="single" w:sz="8" w:space="0" w:color="auto"/>
              <w:left w:val="nil"/>
              <w:bottom w:val="single" w:sz="8" w:space="0" w:color="auto"/>
              <w:right w:val="single" w:sz="8" w:space="0" w:color="auto"/>
            </w:tcBorders>
            <w:shd w:val="clear" w:color="auto" w:fill="auto"/>
            <w:noWrap/>
          </w:tcPr>
          <w:p w14:paraId="65CE9771"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20.00</w:t>
            </w:r>
          </w:p>
        </w:tc>
        <w:tc>
          <w:tcPr>
            <w:tcW w:w="459" w:type="pct"/>
            <w:tcBorders>
              <w:top w:val="single" w:sz="8" w:space="0" w:color="auto"/>
              <w:left w:val="single" w:sz="8" w:space="0" w:color="auto"/>
              <w:bottom w:val="single" w:sz="8" w:space="0" w:color="auto"/>
              <w:right w:val="single" w:sz="8" w:space="0" w:color="auto"/>
            </w:tcBorders>
            <w:shd w:val="clear" w:color="auto" w:fill="auto"/>
          </w:tcPr>
          <w:p w14:paraId="4194A47D"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6.95</w:t>
            </w:r>
          </w:p>
        </w:tc>
        <w:tc>
          <w:tcPr>
            <w:tcW w:w="573" w:type="pct"/>
            <w:tcBorders>
              <w:top w:val="single" w:sz="8" w:space="0" w:color="auto"/>
              <w:left w:val="single" w:sz="8" w:space="0" w:color="auto"/>
              <w:bottom w:val="single" w:sz="8" w:space="0" w:color="auto"/>
              <w:right w:val="single" w:sz="8" w:space="0" w:color="auto"/>
            </w:tcBorders>
            <w:shd w:val="clear" w:color="auto" w:fill="auto"/>
          </w:tcPr>
          <w:p w14:paraId="7E773276"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139.04</w:t>
            </w:r>
          </w:p>
        </w:tc>
        <w:tc>
          <w:tcPr>
            <w:tcW w:w="514" w:type="pct"/>
            <w:tcBorders>
              <w:top w:val="single" w:sz="8" w:space="0" w:color="auto"/>
              <w:left w:val="single" w:sz="8" w:space="0" w:color="auto"/>
              <w:bottom w:val="single" w:sz="8" w:space="0" w:color="auto"/>
              <w:right w:val="single" w:sz="8" w:space="0" w:color="auto"/>
            </w:tcBorders>
            <w:shd w:val="clear" w:color="auto" w:fill="auto"/>
          </w:tcPr>
          <w:p w14:paraId="3DD7DE04"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13.90</w:t>
            </w:r>
          </w:p>
        </w:tc>
        <w:tc>
          <w:tcPr>
            <w:tcW w:w="618" w:type="pct"/>
            <w:tcBorders>
              <w:top w:val="single" w:sz="8" w:space="0" w:color="auto"/>
              <w:left w:val="single" w:sz="8" w:space="0" w:color="auto"/>
              <w:bottom w:val="single" w:sz="8" w:space="0" w:color="auto"/>
              <w:right w:val="single" w:sz="8" w:space="0" w:color="auto"/>
            </w:tcBorders>
            <w:shd w:val="clear" w:color="auto" w:fill="auto"/>
          </w:tcPr>
          <w:p w14:paraId="1D6D10C1"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278.08</w:t>
            </w:r>
          </w:p>
        </w:tc>
        <w:tc>
          <w:tcPr>
            <w:tcW w:w="540" w:type="pct"/>
            <w:tcBorders>
              <w:top w:val="single" w:sz="8" w:space="0" w:color="auto"/>
              <w:left w:val="single" w:sz="8" w:space="0" w:color="auto"/>
              <w:bottom w:val="single" w:sz="8" w:space="0" w:color="auto"/>
              <w:right w:val="single" w:sz="8" w:space="0" w:color="auto"/>
            </w:tcBorders>
            <w:shd w:val="clear" w:color="auto" w:fill="auto"/>
          </w:tcPr>
          <w:p w14:paraId="7C2872A8"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20.86</w:t>
            </w:r>
          </w:p>
        </w:tc>
        <w:tc>
          <w:tcPr>
            <w:tcW w:w="617" w:type="pct"/>
            <w:tcBorders>
              <w:top w:val="single" w:sz="8" w:space="0" w:color="auto"/>
              <w:left w:val="single" w:sz="8" w:space="0" w:color="auto"/>
              <w:bottom w:val="single" w:sz="8" w:space="0" w:color="auto"/>
            </w:tcBorders>
            <w:shd w:val="clear" w:color="auto" w:fill="auto"/>
          </w:tcPr>
          <w:p w14:paraId="36C3A03A"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417.12</w:t>
            </w:r>
          </w:p>
        </w:tc>
      </w:tr>
      <w:tr w:rsidR="00861557" w:rsidRPr="00296D0C" w14:paraId="2A0C8BD0" w14:textId="77777777" w:rsidTr="00C82499">
        <w:trPr>
          <w:trHeight w:val="300"/>
        </w:trPr>
        <w:tc>
          <w:tcPr>
            <w:tcW w:w="1138" w:type="pct"/>
            <w:tcBorders>
              <w:top w:val="single" w:sz="4" w:space="0" w:color="auto"/>
              <w:right w:val="single" w:sz="4" w:space="0" w:color="auto"/>
            </w:tcBorders>
            <w:shd w:val="clear" w:color="auto" w:fill="auto"/>
            <w:noWrap/>
          </w:tcPr>
          <w:p w14:paraId="6ED619BB" w14:textId="77777777" w:rsidR="00861557" w:rsidRPr="00296D0C" w:rsidRDefault="00861557" w:rsidP="0077247E">
            <w:pPr>
              <w:keepNext/>
              <w:spacing w:before="40" w:after="40" w:line="240" w:lineRule="auto"/>
              <w:rPr>
                <w:rFonts w:cs="Arial"/>
                <w:color w:val="000000"/>
              </w:rPr>
            </w:pPr>
            <w:r w:rsidRPr="00296D0C">
              <w:rPr>
                <w:rFonts w:cs="Arial"/>
                <w:color w:val="000000"/>
              </w:rPr>
              <w:t>HeLP Drama:</w:t>
            </w:r>
          </w:p>
        </w:tc>
        <w:tc>
          <w:tcPr>
            <w:tcW w:w="540" w:type="pct"/>
            <w:tcBorders>
              <w:top w:val="single" w:sz="8" w:space="0" w:color="auto"/>
              <w:left w:val="nil"/>
              <w:right w:val="single" w:sz="8" w:space="0" w:color="auto"/>
            </w:tcBorders>
            <w:shd w:val="clear" w:color="auto" w:fill="auto"/>
            <w:noWrap/>
          </w:tcPr>
          <w:p w14:paraId="26A611FF" w14:textId="77777777" w:rsidR="00861557" w:rsidRPr="00296D0C" w:rsidRDefault="00861557" w:rsidP="0077247E">
            <w:pPr>
              <w:keepNext/>
              <w:spacing w:before="40" w:after="40" w:line="240" w:lineRule="auto"/>
              <w:jc w:val="right"/>
              <w:rPr>
                <w:rFonts w:cs="Arial"/>
                <w:color w:val="000000"/>
              </w:rPr>
            </w:pPr>
          </w:p>
        </w:tc>
        <w:tc>
          <w:tcPr>
            <w:tcW w:w="459" w:type="pct"/>
            <w:tcBorders>
              <w:top w:val="single" w:sz="8" w:space="0" w:color="auto"/>
              <w:left w:val="single" w:sz="8" w:space="0" w:color="auto"/>
              <w:right w:val="single" w:sz="8" w:space="0" w:color="auto"/>
            </w:tcBorders>
            <w:shd w:val="clear" w:color="auto" w:fill="auto"/>
          </w:tcPr>
          <w:p w14:paraId="4C0D2F3D" w14:textId="77777777" w:rsidR="00861557" w:rsidRPr="00296D0C" w:rsidRDefault="00861557" w:rsidP="0077247E">
            <w:pPr>
              <w:keepNext/>
              <w:spacing w:before="40" w:after="40" w:line="240" w:lineRule="auto"/>
              <w:jc w:val="right"/>
              <w:rPr>
                <w:rFonts w:cs="Arial"/>
                <w:color w:val="000000"/>
              </w:rPr>
            </w:pPr>
          </w:p>
        </w:tc>
        <w:tc>
          <w:tcPr>
            <w:tcW w:w="573" w:type="pct"/>
            <w:tcBorders>
              <w:top w:val="single" w:sz="8" w:space="0" w:color="auto"/>
              <w:left w:val="single" w:sz="8" w:space="0" w:color="auto"/>
              <w:right w:val="single" w:sz="8" w:space="0" w:color="auto"/>
            </w:tcBorders>
            <w:shd w:val="clear" w:color="auto" w:fill="auto"/>
          </w:tcPr>
          <w:p w14:paraId="30DA1B91" w14:textId="77777777" w:rsidR="00861557" w:rsidRPr="00296D0C" w:rsidRDefault="00861557" w:rsidP="0077247E">
            <w:pPr>
              <w:keepNext/>
              <w:spacing w:before="40" w:after="40" w:line="240" w:lineRule="auto"/>
              <w:jc w:val="right"/>
              <w:rPr>
                <w:rFonts w:cs="Arial"/>
                <w:color w:val="000000"/>
              </w:rPr>
            </w:pPr>
          </w:p>
        </w:tc>
        <w:tc>
          <w:tcPr>
            <w:tcW w:w="514" w:type="pct"/>
            <w:tcBorders>
              <w:top w:val="single" w:sz="8" w:space="0" w:color="auto"/>
              <w:left w:val="single" w:sz="8" w:space="0" w:color="auto"/>
              <w:right w:val="single" w:sz="8" w:space="0" w:color="auto"/>
            </w:tcBorders>
            <w:shd w:val="clear" w:color="auto" w:fill="auto"/>
          </w:tcPr>
          <w:p w14:paraId="3A604C70" w14:textId="77777777" w:rsidR="00861557" w:rsidRPr="00296D0C" w:rsidRDefault="00861557" w:rsidP="0077247E">
            <w:pPr>
              <w:keepNext/>
              <w:spacing w:before="40" w:after="40" w:line="240" w:lineRule="auto"/>
              <w:jc w:val="right"/>
              <w:rPr>
                <w:rFonts w:cs="Arial"/>
                <w:color w:val="000000"/>
              </w:rPr>
            </w:pPr>
          </w:p>
        </w:tc>
        <w:tc>
          <w:tcPr>
            <w:tcW w:w="618" w:type="pct"/>
            <w:tcBorders>
              <w:top w:val="single" w:sz="8" w:space="0" w:color="auto"/>
              <w:left w:val="single" w:sz="8" w:space="0" w:color="auto"/>
              <w:right w:val="single" w:sz="8" w:space="0" w:color="auto"/>
            </w:tcBorders>
            <w:shd w:val="clear" w:color="auto" w:fill="auto"/>
          </w:tcPr>
          <w:p w14:paraId="1B613876" w14:textId="77777777" w:rsidR="00861557" w:rsidRPr="00296D0C" w:rsidRDefault="00861557" w:rsidP="0077247E">
            <w:pPr>
              <w:keepNext/>
              <w:spacing w:before="40" w:after="40" w:line="240" w:lineRule="auto"/>
              <w:jc w:val="right"/>
              <w:rPr>
                <w:rFonts w:cs="Arial"/>
                <w:color w:val="000000"/>
              </w:rPr>
            </w:pPr>
          </w:p>
        </w:tc>
        <w:tc>
          <w:tcPr>
            <w:tcW w:w="540" w:type="pct"/>
            <w:tcBorders>
              <w:top w:val="single" w:sz="8" w:space="0" w:color="auto"/>
              <w:left w:val="single" w:sz="8" w:space="0" w:color="auto"/>
              <w:right w:val="single" w:sz="8" w:space="0" w:color="auto"/>
            </w:tcBorders>
            <w:shd w:val="clear" w:color="auto" w:fill="auto"/>
          </w:tcPr>
          <w:p w14:paraId="7BBFBD30" w14:textId="77777777" w:rsidR="00861557" w:rsidRPr="00296D0C" w:rsidRDefault="00861557" w:rsidP="0077247E">
            <w:pPr>
              <w:keepNext/>
              <w:spacing w:before="40" w:after="40" w:line="240" w:lineRule="auto"/>
              <w:jc w:val="right"/>
              <w:rPr>
                <w:rFonts w:cs="Arial"/>
                <w:color w:val="000000"/>
              </w:rPr>
            </w:pPr>
          </w:p>
        </w:tc>
        <w:tc>
          <w:tcPr>
            <w:tcW w:w="617" w:type="pct"/>
            <w:tcBorders>
              <w:top w:val="single" w:sz="8" w:space="0" w:color="auto"/>
              <w:left w:val="single" w:sz="8" w:space="0" w:color="auto"/>
            </w:tcBorders>
            <w:shd w:val="clear" w:color="auto" w:fill="auto"/>
          </w:tcPr>
          <w:p w14:paraId="05C9CEBB" w14:textId="77777777" w:rsidR="00861557" w:rsidRPr="00296D0C" w:rsidRDefault="00861557" w:rsidP="0077247E">
            <w:pPr>
              <w:keepNext/>
              <w:spacing w:before="40" w:after="40" w:line="240" w:lineRule="auto"/>
              <w:jc w:val="right"/>
              <w:rPr>
                <w:rFonts w:cs="Arial"/>
                <w:color w:val="000000"/>
              </w:rPr>
            </w:pPr>
          </w:p>
        </w:tc>
      </w:tr>
      <w:tr w:rsidR="00861557" w:rsidRPr="00296D0C" w14:paraId="1214337F" w14:textId="77777777" w:rsidTr="00C82499">
        <w:trPr>
          <w:trHeight w:val="300"/>
        </w:trPr>
        <w:tc>
          <w:tcPr>
            <w:tcW w:w="1138" w:type="pct"/>
            <w:tcBorders>
              <w:bottom w:val="nil"/>
              <w:right w:val="single" w:sz="4" w:space="0" w:color="auto"/>
            </w:tcBorders>
            <w:shd w:val="clear" w:color="auto" w:fill="auto"/>
            <w:noWrap/>
            <w:hideMark/>
          </w:tcPr>
          <w:p w14:paraId="3E5C8706" w14:textId="77777777" w:rsidR="00861557" w:rsidRPr="00296D0C" w:rsidRDefault="00861557" w:rsidP="0077247E">
            <w:pPr>
              <w:keepNext/>
              <w:spacing w:before="40" w:after="40" w:line="240" w:lineRule="auto"/>
              <w:rPr>
                <w:rFonts w:cs="Arial"/>
                <w:color w:val="000000"/>
              </w:rPr>
            </w:pPr>
            <w:r w:rsidRPr="00296D0C">
              <w:rPr>
                <w:rFonts w:cs="Arial"/>
                <w:color w:val="000000"/>
              </w:rPr>
              <w:t>Drama Facilitator/HeLP Coordinator</w:t>
            </w:r>
            <w:r w:rsidRPr="00296D0C">
              <w:rPr>
                <w:rFonts w:cs="Arial"/>
                <w:color w:val="000000"/>
                <w:vertAlign w:val="superscript"/>
              </w:rPr>
              <w:t>a</w:t>
            </w:r>
          </w:p>
        </w:tc>
        <w:tc>
          <w:tcPr>
            <w:tcW w:w="540" w:type="pct"/>
            <w:tcBorders>
              <w:left w:val="nil"/>
              <w:right w:val="single" w:sz="8" w:space="0" w:color="auto"/>
            </w:tcBorders>
            <w:shd w:val="clear" w:color="auto" w:fill="auto"/>
            <w:noWrap/>
          </w:tcPr>
          <w:p w14:paraId="7EB4D08F"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41.29</w:t>
            </w:r>
          </w:p>
        </w:tc>
        <w:tc>
          <w:tcPr>
            <w:tcW w:w="459" w:type="pct"/>
            <w:tcBorders>
              <w:left w:val="single" w:sz="8" w:space="0" w:color="auto"/>
              <w:right w:val="single" w:sz="8" w:space="0" w:color="auto"/>
            </w:tcBorders>
            <w:shd w:val="clear" w:color="auto" w:fill="auto"/>
          </w:tcPr>
          <w:p w14:paraId="79B206EA"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35.88</w:t>
            </w:r>
          </w:p>
        </w:tc>
        <w:tc>
          <w:tcPr>
            <w:tcW w:w="573" w:type="pct"/>
            <w:tcBorders>
              <w:left w:val="single" w:sz="8" w:space="0" w:color="auto"/>
              <w:right w:val="single" w:sz="8" w:space="0" w:color="auto"/>
            </w:tcBorders>
            <w:shd w:val="clear" w:color="auto" w:fill="auto"/>
          </w:tcPr>
          <w:p w14:paraId="3DC040B6"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1481.50</w:t>
            </w:r>
          </w:p>
        </w:tc>
        <w:tc>
          <w:tcPr>
            <w:tcW w:w="514" w:type="pct"/>
            <w:tcBorders>
              <w:left w:val="single" w:sz="8" w:space="0" w:color="auto"/>
              <w:right w:val="single" w:sz="8" w:space="0" w:color="auto"/>
            </w:tcBorders>
            <w:shd w:val="clear" w:color="auto" w:fill="auto"/>
          </w:tcPr>
          <w:p w14:paraId="137F49C8"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67.70</w:t>
            </w:r>
          </w:p>
        </w:tc>
        <w:tc>
          <w:tcPr>
            <w:tcW w:w="618" w:type="pct"/>
            <w:tcBorders>
              <w:left w:val="single" w:sz="8" w:space="0" w:color="auto"/>
              <w:right w:val="single" w:sz="8" w:space="0" w:color="auto"/>
            </w:tcBorders>
            <w:shd w:val="clear" w:color="auto" w:fill="auto"/>
          </w:tcPr>
          <w:p w14:paraId="153E31F6"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2795.53</w:t>
            </w:r>
          </w:p>
        </w:tc>
        <w:tc>
          <w:tcPr>
            <w:tcW w:w="540" w:type="pct"/>
            <w:tcBorders>
              <w:left w:val="single" w:sz="8" w:space="0" w:color="auto"/>
              <w:right w:val="single" w:sz="8" w:space="0" w:color="auto"/>
            </w:tcBorders>
            <w:shd w:val="clear" w:color="auto" w:fill="auto"/>
          </w:tcPr>
          <w:p w14:paraId="0E0F559B"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99.52</w:t>
            </w:r>
          </w:p>
        </w:tc>
        <w:tc>
          <w:tcPr>
            <w:tcW w:w="617" w:type="pct"/>
            <w:tcBorders>
              <w:left w:val="single" w:sz="8" w:space="0" w:color="auto"/>
            </w:tcBorders>
            <w:shd w:val="clear" w:color="auto" w:fill="auto"/>
          </w:tcPr>
          <w:p w14:paraId="7D53C75D"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4109.57</w:t>
            </w:r>
          </w:p>
        </w:tc>
      </w:tr>
      <w:tr w:rsidR="00861557" w:rsidRPr="00296D0C" w14:paraId="37256078" w14:textId="77777777" w:rsidTr="00C82499">
        <w:trPr>
          <w:trHeight w:val="300"/>
        </w:trPr>
        <w:tc>
          <w:tcPr>
            <w:tcW w:w="1138" w:type="pct"/>
            <w:tcBorders>
              <w:top w:val="nil"/>
              <w:right w:val="single" w:sz="4" w:space="0" w:color="auto"/>
            </w:tcBorders>
            <w:shd w:val="clear" w:color="auto" w:fill="auto"/>
            <w:noWrap/>
            <w:hideMark/>
          </w:tcPr>
          <w:p w14:paraId="2C085A97" w14:textId="77777777" w:rsidR="00861557" w:rsidRPr="00296D0C" w:rsidRDefault="00861557" w:rsidP="0077247E">
            <w:pPr>
              <w:keepNext/>
              <w:spacing w:before="40" w:after="40" w:line="240" w:lineRule="auto"/>
              <w:rPr>
                <w:rFonts w:cs="Arial"/>
                <w:color w:val="000000"/>
              </w:rPr>
            </w:pPr>
            <w:r w:rsidRPr="00296D0C">
              <w:rPr>
                <w:rFonts w:cs="Arial"/>
                <w:color w:val="000000"/>
              </w:rPr>
              <w:t>Actors</w:t>
            </w:r>
            <w:r w:rsidRPr="00296D0C">
              <w:rPr>
                <w:rFonts w:cs="Arial"/>
                <w:color w:val="000000"/>
                <w:vertAlign w:val="superscript"/>
              </w:rPr>
              <w:t>b</w:t>
            </w:r>
          </w:p>
        </w:tc>
        <w:tc>
          <w:tcPr>
            <w:tcW w:w="540" w:type="pct"/>
            <w:tcBorders>
              <w:left w:val="single" w:sz="4" w:space="0" w:color="auto"/>
              <w:right w:val="single" w:sz="8" w:space="0" w:color="auto"/>
            </w:tcBorders>
            <w:shd w:val="clear" w:color="auto" w:fill="auto"/>
            <w:noWrap/>
          </w:tcPr>
          <w:p w14:paraId="57882952"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11.20</w:t>
            </w:r>
          </w:p>
        </w:tc>
        <w:tc>
          <w:tcPr>
            <w:tcW w:w="459" w:type="pct"/>
            <w:tcBorders>
              <w:left w:val="single" w:sz="8" w:space="0" w:color="auto"/>
              <w:right w:val="single" w:sz="8" w:space="0" w:color="auto"/>
            </w:tcBorders>
            <w:shd w:val="clear" w:color="auto" w:fill="auto"/>
          </w:tcPr>
          <w:p w14:paraId="1DA62028"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72.31</w:t>
            </w:r>
          </w:p>
        </w:tc>
        <w:tc>
          <w:tcPr>
            <w:tcW w:w="573" w:type="pct"/>
            <w:tcBorders>
              <w:left w:val="single" w:sz="8" w:space="0" w:color="auto"/>
              <w:right w:val="single" w:sz="8" w:space="0" w:color="auto"/>
            </w:tcBorders>
            <w:shd w:val="clear" w:color="auto" w:fill="auto"/>
          </w:tcPr>
          <w:p w14:paraId="092C718E"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809.90</w:t>
            </w:r>
          </w:p>
        </w:tc>
        <w:tc>
          <w:tcPr>
            <w:tcW w:w="514" w:type="pct"/>
            <w:tcBorders>
              <w:left w:val="single" w:sz="8" w:space="0" w:color="auto"/>
              <w:right w:val="single" w:sz="8" w:space="0" w:color="auto"/>
            </w:tcBorders>
            <w:shd w:val="clear" w:color="auto" w:fill="auto"/>
          </w:tcPr>
          <w:p w14:paraId="090D11F5"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137.86</w:t>
            </w:r>
          </w:p>
        </w:tc>
        <w:tc>
          <w:tcPr>
            <w:tcW w:w="618" w:type="pct"/>
            <w:tcBorders>
              <w:left w:val="single" w:sz="8" w:space="0" w:color="auto"/>
              <w:right w:val="single" w:sz="8" w:space="0" w:color="auto"/>
            </w:tcBorders>
            <w:shd w:val="clear" w:color="auto" w:fill="auto"/>
          </w:tcPr>
          <w:p w14:paraId="55768E6A"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1544.07</w:t>
            </w:r>
          </w:p>
        </w:tc>
        <w:tc>
          <w:tcPr>
            <w:tcW w:w="540" w:type="pct"/>
            <w:tcBorders>
              <w:left w:val="single" w:sz="8" w:space="0" w:color="auto"/>
              <w:right w:val="single" w:sz="8" w:space="0" w:color="auto"/>
            </w:tcBorders>
            <w:shd w:val="clear" w:color="auto" w:fill="auto"/>
          </w:tcPr>
          <w:p w14:paraId="40424B01"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203.41</w:t>
            </w:r>
          </w:p>
        </w:tc>
        <w:tc>
          <w:tcPr>
            <w:tcW w:w="617" w:type="pct"/>
            <w:tcBorders>
              <w:left w:val="single" w:sz="8" w:space="0" w:color="auto"/>
            </w:tcBorders>
            <w:shd w:val="clear" w:color="auto" w:fill="auto"/>
          </w:tcPr>
          <w:p w14:paraId="4A443EAD"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2278.25</w:t>
            </w:r>
          </w:p>
        </w:tc>
      </w:tr>
      <w:tr w:rsidR="00861557" w:rsidRPr="00296D0C" w14:paraId="41B0C487" w14:textId="77777777" w:rsidTr="00C82499">
        <w:trPr>
          <w:trHeight w:val="300"/>
        </w:trPr>
        <w:tc>
          <w:tcPr>
            <w:tcW w:w="1138" w:type="pct"/>
            <w:tcBorders>
              <w:right w:val="single" w:sz="4" w:space="0" w:color="auto"/>
            </w:tcBorders>
            <w:shd w:val="clear" w:color="auto" w:fill="auto"/>
            <w:noWrap/>
            <w:hideMark/>
          </w:tcPr>
          <w:p w14:paraId="2FF2AB78" w14:textId="77777777" w:rsidR="00861557" w:rsidRPr="00296D0C" w:rsidRDefault="00861557" w:rsidP="0077247E">
            <w:pPr>
              <w:keepNext/>
              <w:spacing w:before="40" w:after="40" w:line="240" w:lineRule="auto"/>
              <w:rPr>
                <w:rFonts w:cs="Arial"/>
                <w:color w:val="000000"/>
              </w:rPr>
            </w:pPr>
            <w:r w:rsidRPr="00296D0C">
              <w:rPr>
                <w:rFonts w:cs="Arial"/>
                <w:color w:val="000000"/>
              </w:rPr>
              <w:t>Travel allowance (Actors)</w:t>
            </w:r>
          </w:p>
        </w:tc>
        <w:tc>
          <w:tcPr>
            <w:tcW w:w="540" w:type="pct"/>
            <w:tcBorders>
              <w:left w:val="single" w:sz="4" w:space="0" w:color="auto"/>
              <w:right w:val="single" w:sz="8" w:space="0" w:color="auto"/>
            </w:tcBorders>
            <w:shd w:val="clear" w:color="auto" w:fill="auto"/>
            <w:noWrap/>
          </w:tcPr>
          <w:p w14:paraId="0BA8E633"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19.00</w:t>
            </w:r>
          </w:p>
        </w:tc>
        <w:tc>
          <w:tcPr>
            <w:tcW w:w="459" w:type="pct"/>
            <w:tcBorders>
              <w:left w:val="single" w:sz="8" w:space="0" w:color="auto"/>
              <w:right w:val="single" w:sz="8" w:space="0" w:color="auto"/>
            </w:tcBorders>
            <w:shd w:val="clear" w:color="auto" w:fill="auto"/>
          </w:tcPr>
          <w:p w14:paraId="6993F091"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w:t>
            </w:r>
          </w:p>
        </w:tc>
        <w:tc>
          <w:tcPr>
            <w:tcW w:w="573" w:type="pct"/>
            <w:tcBorders>
              <w:left w:val="single" w:sz="8" w:space="0" w:color="auto"/>
              <w:right w:val="single" w:sz="8" w:space="0" w:color="auto"/>
            </w:tcBorders>
            <w:shd w:val="clear" w:color="auto" w:fill="auto"/>
          </w:tcPr>
          <w:p w14:paraId="6B80D3CC"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551.00</w:t>
            </w:r>
          </w:p>
        </w:tc>
        <w:tc>
          <w:tcPr>
            <w:tcW w:w="514" w:type="pct"/>
            <w:tcBorders>
              <w:left w:val="single" w:sz="8" w:space="0" w:color="auto"/>
              <w:right w:val="single" w:sz="8" w:space="0" w:color="auto"/>
            </w:tcBorders>
            <w:shd w:val="clear" w:color="auto" w:fill="auto"/>
          </w:tcPr>
          <w:p w14:paraId="484A333E"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w:t>
            </w:r>
          </w:p>
        </w:tc>
        <w:tc>
          <w:tcPr>
            <w:tcW w:w="618" w:type="pct"/>
            <w:tcBorders>
              <w:left w:val="single" w:sz="8" w:space="0" w:color="auto"/>
              <w:right w:val="single" w:sz="8" w:space="0" w:color="auto"/>
            </w:tcBorders>
            <w:shd w:val="clear" w:color="auto" w:fill="auto"/>
          </w:tcPr>
          <w:p w14:paraId="619CAE5C"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1045.00</w:t>
            </w:r>
          </w:p>
        </w:tc>
        <w:tc>
          <w:tcPr>
            <w:tcW w:w="540" w:type="pct"/>
            <w:tcBorders>
              <w:left w:val="single" w:sz="8" w:space="0" w:color="auto"/>
              <w:right w:val="single" w:sz="8" w:space="0" w:color="auto"/>
            </w:tcBorders>
            <w:shd w:val="clear" w:color="auto" w:fill="auto"/>
          </w:tcPr>
          <w:p w14:paraId="52D9DB48"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w:t>
            </w:r>
          </w:p>
        </w:tc>
        <w:tc>
          <w:tcPr>
            <w:tcW w:w="617" w:type="pct"/>
            <w:tcBorders>
              <w:left w:val="single" w:sz="8" w:space="0" w:color="auto"/>
            </w:tcBorders>
            <w:shd w:val="clear" w:color="auto" w:fill="auto"/>
          </w:tcPr>
          <w:p w14:paraId="0ABE4D86"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1539.00</w:t>
            </w:r>
          </w:p>
        </w:tc>
      </w:tr>
      <w:tr w:rsidR="00861557" w:rsidRPr="00296D0C" w14:paraId="52E8531C" w14:textId="77777777" w:rsidTr="00C82499">
        <w:trPr>
          <w:trHeight w:val="300"/>
        </w:trPr>
        <w:tc>
          <w:tcPr>
            <w:tcW w:w="1138" w:type="pct"/>
            <w:tcBorders>
              <w:bottom w:val="single" w:sz="8" w:space="0" w:color="auto"/>
              <w:right w:val="single" w:sz="4" w:space="0" w:color="auto"/>
            </w:tcBorders>
            <w:shd w:val="clear" w:color="auto" w:fill="auto"/>
            <w:noWrap/>
            <w:hideMark/>
          </w:tcPr>
          <w:p w14:paraId="35704762" w14:textId="77777777" w:rsidR="00861557" w:rsidRPr="00296D0C" w:rsidRDefault="00861557" w:rsidP="0077247E">
            <w:pPr>
              <w:keepNext/>
              <w:spacing w:before="40" w:after="40" w:line="240" w:lineRule="auto"/>
              <w:rPr>
                <w:rFonts w:cs="Arial"/>
                <w:color w:val="000000"/>
              </w:rPr>
            </w:pPr>
            <w:r w:rsidRPr="00296D0C">
              <w:rPr>
                <w:rFonts w:cs="Arial"/>
                <w:color w:val="000000"/>
              </w:rPr>
              <w:t>Other costs</w:t>
            </w:r>
          </w:p>
        </w:tc>
        <w:tc>
          <w:tcPr>
            <w:tcW w:w="540" w:type="pct"/>
            <w:tcBorders>
              <w:left w:val="nil"/>
              <w:bottom w:val="single" w:sz="8" w:space="0" w:color="auto"/>
              <w:right w:val="single" w:sz="8" w:space="0" w:color="auto"/>
            </w:tcBorders>
            <w:shd w:val="clear" w:color="auto" w:fill="auto"/>
            <w:noWrap/>
          </w:tcPr>
          <w:p w14:paraId="2F6F5A5C"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940</w:t>
            </w:r>
          </w:p>
        </w:tc>
        <w:tc>
          <w:tcPr>
            <w:tcW w:w="459" w:type="pct"/>
            <w:tcBorders>
              <w:left w:val="single" w:sz="8" w:space="0" w:color="auto"/>
              <w:bottom w:val="single" w:sz="8" w:space="0" w:color="auto"/>
              <w:right w:val="single" w:sz="8" w:space="0" w:color="auto"/>
            </w:tcBorders>
            <w:shd w:val="clear" w:color="auto" w:fill="auto"/>
          </w:tcPr>
          <w:p w14:paraId="5DEA5A81"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w:t>
            </w:r>
          </w:p>
        </w:tc>
        <w:tc>
          <w:tcPr>
            <w:tcW w:w="573" w:type="pct"/>
            <w:tcBorders>
              <w:left w:val="single" w:sz="8" w:space="0" w:color="auto"/>
              <w:bottom w:val="single" w:sz="8" w:space="0" w:color="auto"/>
              <w:right w:val="single" w:sz="8" w:space="0" w:color="auto"/>
            </w:tcBorders>
            <w:shd w:val="clear" w:color="auto" w:fill="auto"/>
          </w:tcPr>
          <w:p w14:paraId="029EF3F7"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34.81</w:t>
            </w:r>
          </w:p>
        </w:tc>
        <w:tc>
          <w:tcPr>
            <w:tcW w:w="514" w:type="pct"/>
            <w:tcBorders>
              <w:left w:val="single" w:sz="8" w:space="0" w:color="auto"/>
              <w:bottom w:val="single" w:sz="8" w:space="0" w:color="auto"/>
              <w:right w:val="single" w:sz="8" w:space="0" w:color="auto"/>
            </w:tcBorders>
            <w:shd w:val="clear" w:color="auto" w:fill="auto"/>
          </w:tcPr>
          <w:p w14:paraId="2701E9D4"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w:t>
            </w:r>
          </w:p>
        </w:tc>
        <w:tc>
          <w:tcPr>
            <w:tcW w:w="618" w:type="pct"/>
            <w:tcBorders>
              <w:left w:val="single" w:sz="8" w:space="0" w:color="auto"/>
              <w:bottom w:val="single" w:sz="8" w:space="0" w:color="auto"/>
              <w:right w:val="single" w:sz="8" w:space="0" w:color="auto"/>
            </w:tcBorders>
            <w:shd w:val="clear" w:color="auto" w:fill="auto"/>
          </w:tcPr>
          <w:p w14:paraId="0F742C1C"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69.63</w:t>
            </w:r>
          </w:p>
        </w:tc>
        <w:tc>
          <w:tcPr>
            <w:tcW w:w="540" w:type="pct"/>
            <w:tcBorders>
              <w:left w:val="single" w:sz="8" w:space="0" w:color="auto"/>
              <w:bottom w:val="single" w:sz="8" w:space="0" w:color="auto"/>
              <w:right w:val="single" w:sz="8" w:space="0" w:color="auto"/>
            </w:tcBorders>
            <w:shd w:val="clear" w:color="auto" w:fill="auto"/>
          </w:tcPr>
          <w:p w14:paraId="76CCDA3A" w14:textId="77777777" w:rsidR="00861557" w:rsidRPr="00296D0C" w:rsidRDefault="00861557" w:rsidP="0077247E">
            <w:pPr>
              <w:keepNext/>
              <w:spacing w:before="40" w:after="40" w:line="240" w:lineRule="auto"/>
              <w:jc w:val="right"/>
              <w:rPr>
                <w:rFonts w:cs="Arial"/>
                <w:color w:val="000000"/>
              </w:rPr>
            </w:pPr>
          </w:p>
        </w:tc>
        <w:tc>
          <w:tcPr>
            <w:tcW w:w="617" w:type="pct"/>
            <w:tcBorders>
              <w:left w:val="single" w:sz="8" w:space="0" w:color="auto"/>
              <w:bottom w:val="single" w:sz="8" w:space="0" w:color="auto"/>
            </w:tcBorders>
            <w:shd w:val="clear" w:color="auto" w:fill="auto"/>
          </w:tcPr>
          <w:p w14:paraId="2BDCDBC8"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104.44</w:t>
            </w:r>
          </w:p>
        </w:tc>
      </w:tr>
      <w:tr w:rsidR="00861557" w:rsidRPr="00296D0C" w14:paraId="483742B1" w14:textId="77777777" w:rsidTr="00C82499">
        <w:trPr>
          <w:trHeight w:val="300"/>
        </w:trPr>
        <w:tc>
          <w:tcPr>
            <w:tcW w:w="1138" w:type="pct"/>
            <w:tcBorders>
              <w:top w:val="single" w:sz="8" w:space="0" w:color="auto"/>
              <w:bottom w:val="nil"/>
              <w:right w:val="single" w:sz="4" w:space="0" w:color="auto"/>
            </w:tcBorders>
            <w:shd w:val="clear" w:color="auto" w:fill="auto"/>
            <w:noWrap/>
            <w:hideMark/>
          </w:tcPr>
          <w:p w14:paraId="35C92FA4" w14:textId="77777777" w:rsidR="00861557" w:rsidRPr="00296D0C" w:rsidRDefault="00861557" w:rsidP="0077247E">
            <w:pPr>
              <w:keepNext/>
              <w:spacing w:before="40" w:after="40" w:line="240" w:lineRule="auto"/>
              <w:rPr>
                <w:rFonts w:cs="Arial"/>
                <w:color w:val="000000"/>
              </w:rPr>
            </w:pPr>
            <w:r w:rsidRPr="00296D0C">
              <w:rPr>
                <w:rFonts w:cs="Arial"/>
                <w:color w:val="000000"/>
              </w:rPr>
              <w:t>Training:</w:t>
            </w:r>
          </w:p>
        </w:tc>
        <w:tc>
          <w:tcPr>
            <w:tcW w:w="540" w:type="pct"/>
            <w:tcBorders>
              <w:top w:val="single" w:sz="8" w:space="0" w:color="auto"/>
              <w:left w:val="nil"/>
              <w:right w:val="single" w:sz="8" w:space="0" w:color="auto"/>
            </w:tcBorders>
            <w:shd w:val="clear" w:color="auto" w:fill="auto"/>
            <w:noWrap/>
          </w:tcPr>
          <w:p w14:paraId="02357196" w14:textId="77777777" w:rsidR="00861557" w:rsidRPr="00296D0C" w:rsidRDefault="00861557" w:rsidP="0077247E">
            <w:pPr>
              <w:keepNext/>
              <w:spacing w:before="40" w:after="40" w:line="240" w:lineRule="auto"/>
              <w:jc w:val="right"/>
              <w:rPr>
                <w:rFonts w:cs="Arial"/>
                <w:color w:val="000000"/>
              </w:rPr>
            </w:pPr>
          </w:p>
        </w:tc>
        <w:tc>
          <w:tcPr>
            <w:tcW w:w="459" w:type="pct"/>
            <w:tcBorders>
              <w:top w:val="single" w:sz="8" w:space="0" w:color="auto"/>
              <w:left w:val="single" w:sz="8" w:space="0" w:color="auto"/>
              <w:right w:val="single" w:sz="8" w:space="0" w:color="auto"/>
            </w:tcBorders>
            <w:shd w:val="clear" w:color="auto" w:fill="auto"/>
          </w:tcPr>
          <w:p w14:paraId="57533426" w14:textId="77777777" w:rsidR="00861557" w:rsidRPr="00296D0C" w:rsidRDefault="00861557" w:rsidP="0077247E">
            <w:pPr>
              <w:keepNext/>
              <w:spacing w:before="40" w:after="40" w:line="240" w:lineRule="auto"/>
              <w:jc w:val="right"/>
              <w:rPr>
                <w:rFonts w:cs="Arial"/>
                <w:color w:val="000000"/>
              </w:rPr>
            </w:pPr>
          </w:p>
        </w:tc>
        <w:tc>
          <w:tcPr>
            <w:tcW w:w="573" w:type="pct"/>
            <w:tcBorders>
              <w:top w:val="single" w:sz="8" w:space="0" w:color="auto"/>
              <w:left w:val="single" w:sz="8" w:space="0" w:color="auto"/>
              <w:right w:val="single" w:sz="8" w:space="0" w:color="auto"/>
            </w:tcBorders>
            <w:shd w:val="clear" w:color="auto" w:fill="auto"/>
          </w:tcPr>
          <w:p w14:paraId="2E04798A" w14:textId="77777777" w:rsidR="00861557" w:rsidRPr="00296D0C" w:rsidRDefault="00861557" w:rsidP="0077247E">
            <w:pPr>
              <w:keepNext/>
              <w:spacing w:before="40" w:after="40" w:line="240" w:lineRule="auto"/>
              <w:jc w:val="right"/>
              <w:rPr>
                <w:rFonts w:cs="Arial"/>
                <w:color w:val="000000"/>
              </w:rPr>
            </w:pPr>
          </w:p>
        </w:tc>
        <w:tc>
          <w:tcPr>
            <w:tcW w:w="514" w:type="pct"/>
            <w:tcBorders>
              <w:top w:val="single" w:sz="8" w:space="0" w:color="auto"/>
              <w:left w:val="single" w:sz="8" w:space="0" w:color="auto"/>
              <w:right w:val="single" w:sz="8" w:space="0" w:color="auto"/>
            </w:tcBorders>
            <w:shd w:val="clear" w:color="auto" w:fill="auto"/>
          </w:tcPr>
          <w:p w14:paraId="7CB7648B" w14:textId="77777777" w:rsidR="00861557" w:rsidRPr="00296D0C" w:rsidRDefault="00861557" w:rsidP="0077247E">
            <w:pPr>
              <w:keepNext/>
              <w:spacing w:before="40" w:after="40" w:line="240" w:lineRule="auto"/>
              <w:jc w:val="right"/>
              <w:rPr>
                <w:rFonts w:cs="Arial"/>
                <w:color w:val="000000"/>
              </w:rPr>
            </w:pPr>
          </w:p>
        </w:tc>
        <w:tc>
          <w:tcPr>
            <w:tcW w:w="618" w:type="pct"/>
            <w:tcBorders>
              <w:top w:val="single" w:sz="8" w:space="0" w:color="auto"/>
              <w:left w:val="single" w:sz="8" w:space="0" w:color="auto"/>
              <w:right w:val="single" w:sz="8" w:space="0" w:color="auto"/>
            </w:tcBorders>
            <w:shd w:val="clear" w:color="auto" w:fill="auto"/>
          </w:tcPr>
          <w:p w14:paraId="2299184B" w14:textId="77777777" w:rsidR="00861557" w:rsidRPr="00296D0C" w:rsidRDefault="00861557" w:rsidP="0077247E">
            <w:pPr>
              <w:keepNext/>
              <w:spacing w:before="40" w:after="40" w:line="240" w:lineRule="auto"/>
              <w:jc w:val="right"/>
              <w:rPr>
                <w:rFonts w:cs="Arial"/>
                <w:color w:val="000000"/>
              </w:rPr>
            </w:pPr>
          </w:p>
        </w:tc>
        <w:tc>
          <w:tcPr>
            <w:tcW w:w="540" w:type="pct"/>
            <w:tcBorders>
              <w:top w:val="single" w:sz="8" w:space="0" w:color="auto"/>
              <w:left w:val="single" w:sz="8" w:space="0" w:color="auto"/>
              <w:right w:val="single" w:sz="8" w:space="0" w:color="auto"/>
            </w:tcBorders>
            <w:shd w:val="clear" w:color="auto" w:fill="auto"/>
          </w:tcPr>
          <w:p w14:paraId="6645A905" w14:textId="77777777" w:rsidR="00861557" w:rsidRPr="00296D0C" w:rsidRDefault="00861557" w:rsidP="0077247E">
            <w:pPr>
              <w:keepNext/>
              <w:spacing w:before="40" w:after="40" w:line="240" w:lineRule="auto"/>
              <w:jc w:val="right"/>
              <w:rPr>
                <w:rFonts w:cs="Arial"/>
                <w:color w:val="000000"/>
              </w:rPr>
            </w:pPr>
          </w:p>
        </w:tc>
        <w:tc>
          <w:tcPr>
            <w:tcW w:w="617" w:type="pct"/>
            <w:tcBorders>
              <w:top w:val="single" w:sz="8" w:space="0" w:color="auto"/>
              <w:left w:val="single" w:sz="8" w:space="0" w:color="auto"/>
            </w:tcBorders>
            <w:shd w:val="clear" w:color="auto" w:fill="auto"/>
          </w:tcPr>
          <w:p w14:paraId="1972125D" w14:textId="77777777" w:rsidR="00861557" w:rsidRPr="00296D0C" w:rsidRDefault="00861557" w:rsidP="0077247E">
            <w:pPr>
              <w:keepNext/>
              <w:spacing w:before="40" w:after="40" w:line="240" w:lineRule="auto"/>
              <w:jc w:val="right"/>
              <w:rPr>
                <w:rFonts w:cs="Arial"/>
                <w:color w:val="000000"/>
              </w:rPr>
            </w:pPr>
          </w:p>
        </w:tc>
      </w:tr>
      <w:tr w:rsidR="00861557" w:rsidRPr="00296D0C" w14:paraId="19425DAD" w14:textId="77777777" w:rsidTr="00C82499">
        <w:trPr>
          <w:trHeight w:val="300"/>
        </w:trPr>
        <w:tc>
          <w:tcPr>
            <w:tcW w:w="1138" w:type="pct"/>
            <w:tcBorders>
              <w:top w:val="nil"/>
              <w:bottom w:val="nil"/>
              <w:right w:val="single" w:sz="4" w:space="0" w:color="auto"/>
            </w:tcBorders>
            <w:shd w:val="clear" w:color="auto" w:fill="auto"/>
            <w:noWrap/>
          </w:tcPr>
          <w:p w14:paraId="0B065007" w14:textId="77777777" w:rsidR="00861557" w:rsidRPr="00296D0C" w:rsidRDefault="00861557" w:rsidP="0077247E">
            <w:pPr>
              <w:keepNext/>
              <w:spacing w:before="40" w:after="40" w:line="240" w:lineRule="auto"/>
              <w:rPr>
                <w:rFonts w:cs="Arial"/>
                <w:color w:val="000000"/>
              </w:rPr>
            </w:pPr>
            <w:r w:rsidRPr="00296D0C">
              <w:rPr>
                <w:rFonts w:cs="Arial"/>
                <w:color w:val="000000"/>
              </w:rPr>
              <w:t>Training HeLP Coordinators</w:t>
            </w:r>
            <w:r w:rsidRPr="00296D0C">
              <w:rPr>
                <w:rFonts w:cs="Arial"/>
                <w:color w:val="000000"/>
                <w:vertAlign w:val="superscript"/>
              </w:rPr>
              <w:t>c</w:t>
            </w:r>
          </w:p>
        </w:tc>
        <w:tc>
          <w:tcPr>
            <w:tcW w:w="540" w:type="pct"/>
            <w:tcBorders>
              <w:left w:val="single" w:sz="4" w:space="0" w:color="auto"/>
              <w:right w:val="single" w:sz="8" w:space="0" w:color="auto"/>
            </w:tcBorders>
            <w:shd w:val="clear" w:color="auto" w:fill="auto"/>
            <w:noWrap/>
          </w:tcPr>
          <w:p w14:paraId="0C38DA36"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5145.54</w:t>
            </w:r>
          </w:p>
        </w:tc>
        <w:tc>
          <w:tcPr>
            <w:tcW w:w="459" w:type="pct"/>
            <w:tcBorders>
              <w:left w:val="single" w:sz="8" w:space="0" w:color="auto"/>
              <w:right w:val="single" w:sz="8" w:space="0" w:color="auto"/>
            </w:tcBorders>
            <w:shd w:val="clear" w:color="auto" w:fill="auto"/>
          </w:tcPr>
          <w:p w14:paraId="7C180FE6"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w:t>
            </w:r>
          </w:p>
        </w:tc>
        <w:tc>
          <w:tcPr>
            <w:tcW w:w="573" w:type="pct"/>
            <w:tcBorders>
              <w:left w:val="single" w:sz="8" w:space="0" w:color="auto"/>
              <w:right w:val="single" w:sz="8" w:space="0" w:color="auto"/>
            </w:tcBorders>
            <w:shd w:val="clear" w:color="auto" w:fill="auto"/>
          </w:tcPr>
          <w:p w14:paraId="4226D2EE"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190.58</w:t>
            </w:r>
          </w:p>
        </w:tc>
        <w:tc>
          <w:tcPr>
            <w:tcW w:w="514" w:type="pct"/>
            <w:tcBorders>
              <w:left w:val="single" w:sz="8" w:space="0" w:color="auto"/>
              <w:right w:val="single" w:sz="8" w:space="0" w:color="auto"/>
            </w:tcBorders>
            <w:shd w:val="clear" w:color="auto" w:fill="auto"/>
          </w:tcPr>
          <w:p w14:paraId="6676CF59"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w:t>
            </w:r>
          </w:p>
        </w:tc>
        <w:tc>
          <w:tcPr>
            <w:tcW w:w="618" w:type="pct"/>
            <w:tcBorders>
              <w:left w:val="single" w:sz="8" w:space="0" w:color="auto"/>
              <w:right w:val="single" w:sz="8" w:space="0" w:color="auto"/>
            </w:tcBorders>
            <w:shd w:val="clear" w:color="auto" w:fill="auto"/>
          </w:tcPr>
          <w:p w14:paraId="76FD6FD5"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381.15</w:t>
            </w:r>
          </w:p>
        </w:tc>
        <w:tc>
          <w:tcPr>
            <w:tcW w:w="540" w:type="pct"/>
            <w:tcBorders>
              <w:left w:val="single" w:sz="8" w:space="0" w:color="auto"/>
              <w:right w:val="single" w:sz="8" w:space="0" w:color="auto"/>
            </w:tcBorders>
            <w:shd w:val="clear" w:color="auto" w:fill="auto"/>
          </w:tcPr>
          <w:p w14:paraId="73B82ACC"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w:t>
            </w:r>
          </w:p>
        </w:tc>
        <w:tc>
          <w:tcPr>
            <w:tcW w:w="617" w:type="pct"/>
            <w:tcBorders>
              <w:left w:val="single" w:sz="8" w:space="0" w:color="auto"/>
            </w:tcBorders>
            <w:shd w:val="clear" w:color="auto" w:fill="auto"/>
          </w:tcPr>
          <w:p w14:paraId="7B4ECE04"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571.73</w:t>
            </w:r>
          </w:p>
        </w:tc>
      </w:tr>
      <w:tr w:rsidR="00861557" w:rsidRPr="00296D0C" w14:paraId="3166E7AF" w14:textId="77777777" w:rsidTr="00C82499">
        <w:trPr>
          <w:trHeight w:val="300"/>
        </w:trPr>
        <w:tc>
          <w:tcPr>
            <w:tcW w:w="1138" w:type="pct"/>
            <w:tcBorders>
              <w:top w:val="nil"/>
              <w:bottom w:val="nil"/>
              <w:right w:val="single" w:sz="4" w:space="0" w:color="auto"/>
            </w:tcBorders>
            <w:shd w:val="clear" w:color="auto" w:fill="auto"/>
            <w:noWrap/>
            <w:hideMark/>
          </w:tcPr>
          <w:p w14:paraId="221070D2" w14:textId="77777777" w:rsidR="00861557" w:rsidRPr="00296D0C" w:rsidRDefault="00861557" w:rsidP="0077247E">
            <w:pPr>
              <w:keepNext/>
              <w:spacing w:before="40" w:after="40" w:line="240" w:lineRule="auto"/>
              <w:rPr>
                <w:rFonts w:cs="Arial"/>
                <w:color w:val="000000"/>
              </w:rPr>
            </w:pPr>
            <w:r w:rsidRPr="00296D0C">
              <w:rPr>
                <w:rFonts w:cs="Arial"/>
                <w:color w:val="000000"/>
              </w:rPr>
              <w:t>Training Drama</w:t>
            </w:r>
            <w:r w:rsidRPr="00296D0C">
              <w:rPr>
                <w:rFonts w:cs="Arial"/>
                <w:color w:val="000000"/>
                <w:vertAlign w:val="superscript"/>
              </w:rPr>
              <w:t>d</w:t>
            </w:r>
          </w:p>
        </w:tc>
        <w:tc>
          <w:tcPr>
            <w:tcW w:w="540" w:type="pct"/>
            <w:tcBorders>
              <w:left w:val="single" w:sz="4" w:space="0" w:color="auto"/>
              <w:bottom w:val="single" w:sz="8" w:space="0" w:color="auto"/>
              <w:right w:val="single" w:sz="8" w:space="0" w:color="auto"/>
            </w:tcBorders>
            <w:shd w:val="clear" w:color="auto" w:fill="auto"/>
            <w:noWrap/>
          </w:tcPr>
          <w:p w14:paraId="6BC4D9E4"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7833.64</w:t>
            </w:r>
          </w:p>
        </w:tc>
        <w:tc>
          <w:tcPr>
            <w:tcW w:w="459" w:type="pct"/>
            <w:tcBorders>
              <w:left w:val="single" w:sz="8" w:space="0" w:color="auto"/>
              <w:bottom w:val="single" w:sz="8" w:space="0" w:color="auto"/>
              <w:right w:val="single" w:sz="8" w:space="0" w:color="auto"/>
            </w:tcBorders>
            <w:shd w:val="clear" w:color="auto" w:fill="auto"/>
          </w:tcPr>
          <w:p w14:paraId="79E7E31B"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w:t>
            </w:r>
          </w:p>
        </w:tc>
        <w:tc>
          <w:tcPr>
            <w:tcW w:w="573" w:type="pct"/>
            <w:tcBorders>
              <w:left w:val="single" w:sz="8" w:space="0" w:color="auto"/>
              <w:bottom w:val="single" w:sz="8" w:space="0" w:color="auto"/>
              <w:right w:val="single" w:sz="8" w:space="0" w:color="auto"/>
            </w:tcBorders>
            <w:shd w:val="clear" w:color="auto" w:fill="auto"/>
          </w:tcPr>
          <w:p w14:paraId="50007692"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290.13</w:t>
            </w:r>
          </w:p>
        </w:tc>
        <w:tc>
          <w:tcPr>
            <w:tcW w:w="514" w:type="pct"/>
            <w:tcBorders>
              <w:left w:val="single" w:sz="8" w:space="0" w:color="auto"/>
              <w:bottom w:val="single" w:sz="8" w:space="0" w:color="auto"/>
              <w:right w:val="single" w:sz="8" w:space="0" w:color="auto"/>
            </w:tcBorders>
            <w:shd w:val="clear" w:color="auto" w:fill="auto"/>
          </w:tcPr>
          <w:p w14:paraId="3CD1B14E"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w:t>
            </w:r>
          </w:p>
        </w:tc>
        <w:tc>
          <w:tcPr>
            <w:tcW w:w="618" w:type="pct"/>
            <w:tcBorders>
              <w:left w:val="single" w:sz="8" w:space="0" w:color="auto"/>
              <w:bottom w:val="single" w:sz="8" w:space="0" w:color="auto"/>
              <w:right w:val="single" w:sz="8" w:space="0" w:color="auto"/>
            </w:tcBorders>
            <w:shd w:val="clear" w:color="auto" w:fill="auto"/>
          </w:tcPr>
          <w:p w14:paraId="538BD740"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580.27</w:t>
            </w:r>
          </w:p>
        </w:tc>
        <w:tc>
          <w:tcPr>
            <w:tcW w:w="540" w:type="pct"/>
            <w:tcBorders>
              <w:left w:val="single" w:sz="8" w:space="0" w:color="auto"/>
              <w:bottom w:val="single" w:sz="8" w:space="0" w:color="auto"/>
              <w:right w:val="single" w:sz="8" w:space="0" w:color="auto"/>
            </w:tcBorders>
            <w:shd w:val="clear" w:color="auto" w:fill="auto"/>
          </w:tcPr>
          <w:p w14:paraId="36CD8AE4"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w:t>
            </w:r>
          </w:p>
        </w:tc>
        <w:tc>
          <w:tcPr>
            <w:tcW w:w="617" w:type="pct"/>
            <w:tcBorders>
              <w:left w:val="single" w:sz="8" w:space="0" w:color="auto"/>
              <w:bottom w:val="single" w:sz="8" w:space="0" w:color="auto"/>
            </w:tcBorders>
            <w:shd w:val="clear" w:color="auto" w:fill="auto"/>
          </w:tcPr>
          <w:p w14:paraId="0656221A"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870.40</w:t>
            </w:r>
          </w:p>
        </w:tc>
      </w:tr>
      <w:tr w:rsidR="00861557" w:rsidRPr="00296D0C" w14:paraId="17F942AD" w14:textId="77777777" w:rsidTr="00C82499">
        <w:trPr>
          <w:trHeight w:val="300"/>
        </w:trPr>
        <w:tc>
          <w:tcPr>
            <w:tcW w:w="1138" w:type="pct"/>
            <w:tcBorders>
              <w:top w:val="single" w:sz="8" w:space="0" w:color="auto"/>
              <w:bottom w:val="single" w:sz="8" w:space="0" w:color="auto"/>
              <w:right w:val="single" w:sz="4" w:space="0" w:color="auto"/>
            </w:tcBorders>
            <w:shd w:val="clear" w:color="auto" w:fill="auto"/>
            <w:noWrap/>
            <w:hideMark/>
          </w:tcPr>
          <w:p w14:paraId="53D2ECCE" w14:textId="77777777" w:rsidR="00861557" w:rsidRPr="00296D0C" w:rsidRDefault="00861557" w:rsidP="0077247E">
            <w:pPr>
              <w:keepNext/>
              <w:spacing w:before="40" w:after="40" w:line="240" w:lineRule="auto"/>
              <w:rPr>
                <w:rFonts w:cs="Arial"/>
                <w:color w:val="000000"/>
              </w:rPr>
            </w:pPr>
            <w:r w:rsidRPr="00296D0C">
              <w:rPr>
                <w:rFonts w:cs="Arial"/>
                <w:color w:val="000000"/>
              </w:rPr>
              <w:t>TOTAL COST</w:t>
            </w:r>
          </w:p>
        </w:tc>
        <w:tc>
          <w:tcPr>
            <w:tcW w:w="540" w:type="pct"/>
            <w:tcBorders>
              <w:top w:val="single" w:sz="8" w:space="0" w:color="auto"/>
              <w:left w:val="nil"/>
              <w:bottom w:val="single" w:sz="8" w:space="0" w:color="auto"/>
              <w:right w:val="single" w:sz="8" w:space="0" w:color="auto"/>
            </w:tcBorders>
            <w:shd w:val="clear" w:color="auto" w:fill="auto"/>
            <w:noWrap/>
          </w:tcPr>
          <w:p w14:paraId="5DD37892"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w:t>
            </w:r>
          </w:p>
        </w:tc>
        <w:tc>
          <w:tcPr>
            <w:tcW w:w="459" w:type="pct"/>
            <w:tcBorders>
              <w:top w:val="single" w:sz="8" w:space="0" w:color="auto"/>
              <w:left w:val="single" w:sz="8" w:space="0" w:color="auto"/>
              <w:bottom w:val="single" w:sz="8" w:space="0" w:color="auto"/>
              <w:right w:val="single" w:sz="8" w:space="0" w:color="auto"/>
            </w:tcBorders>
            <w:shd w:val="clear" w:color="auto" w:fill="auto"/>
          </w:tcPr>
          <w:p w14:paraId="14C55BCC"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w:t>
            </w:r>
          </w:p>
        </w:tc>
        <w:tc>
          <w:tcPr>
            <w:tcW w:w="573" w:type="pct"/>
            <w:tcBorders>
              <w:top w:val="single" w:sz="8" w:space="0" w:color="auto"/>
              <w:left w:val="single" w:sz="8" w:space="0" w:color="auto"/>
              <w:bottom w:val="single" w:sz="8" w:space="0" w:color="auto"/>
              <w:right w:val="single" w:sz="8" w:space="0" w:color="auto"/>
            </w:tcBorders>
            <w:shd w:val="clear" w:color="auto" w:fill="auto"/>
          </w:tcPr>
          <w:p w14:paraId="725F6405"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5724.01</w:t>
            </w:r>
          </w:p>
        </w:tc>
        <w:tc>
          <w:tcPr>
            <w:tcW w:w="514" w:type="pct"/>
            <w:tcBorders>
              <w:top w:val="single" w:sz="8" w:space="0" w:color="auto"/>
              <w:left w:val="single" w:sz="8" w:space="0" w:color="auto"/>
              <w:bottom w:val="single" w:sz="8" w:space="0" w:color="auto"/>
              <w:right w:val="single" w:sz="8" w:space="0" w:color="auto"/>
            </w:tcBorders>
            <w:shd w:val="clear" w:color="auto" w:fill="auto"/>
          </w:tcPr>
          <w:p w14:paraId="508CF586"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w:t>
            </w:r>
          </w:p>
        </w:tc>
        <w:tc>
          <w:tcPr>
            <w:tcW w:w="618" w:type="pct"/>
            <w:tcBorders>
              <w:top w:val="single" w:sz="8" w:space="0" w:color="auto"/>
              <w:left w:val="single" w:sz="8" w:space="0" w:color="auto"/>
              <w:bottom w:val="single" w:sz="8" w:space="0" w:color="auto"/>
              <w:right w:val="single" w:sz="8" w:space="0" w:color="auto"/>
            </w:tcBorders>
            <w:shd w:val="clear" w:color="auto" w:fill="auto"/>
          </w:tcPr>
          <w:p w14:paraId="4AB3EA20"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10557.22</w:t>
            </w:r>
          </w:p>
        </w:tc>
        <w:tc>
          <w:tcPr>
            <w:tcW w:w="540" w:type="pct"/>
            <w:tcBorders>
              <w:top w:val="single" w:sz="8" w:space="0" w:color="auto"/>
              <w:left w:val="single" w:sz="8" w:space="0" w:color="auto"/>
              <w:bottom w:val="single" w:sz="8" w:space="0" w:color="auto"/>
              <w:right w:val="single" w:sz="8" w:space="0" w:color="auto"/>
            </w:tcBorders>
            <w:shd w:val="clear" w:color="auto" w:fill="auto"/>
          </w:tcPr>
          <w:p w14:paraId="73299C4C"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w:t>
            </w:r>
          </w:p>
        </w:tc>
        <w:tc>
          <w:tcPr>
            <w:tcW w:w="617" w:type="pct"/>
            <w:tcBorders>
              <w:top w:val="single" w:sz="8" w:space="0" w:color="auto"/>
              <w:left w:val="single" w:sz="8" w:space="0" w:color="auto"/>
              <w:bottom w:val="single" w:sz="8" w:space="0" w:color="auto"/>
            </w:tcBorders>
            <w:shd w:val="clear" w:color="auto" w:fill="auto"/>
          </w:tcPr>
          <w:p w14:paraId="1E5E052D"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15390.43</w:t>
            </w:r>
          </w:p>
        </w:tc>
      </w:tr>
      <w:tr w:rsidR="00861557" w:rsidRPr="00296D0C" w14:paraId="1D07CC54" w14:textId="77777777" w:rsidTr="00C82499">
        <w:trPr>
          <w:trHeight w:val="300"/>
        </w:trPr>
        <w:tc>
          <w:tcPr>
            <w:tcW w:w="1138" w:type="pct"/>
            <w:tcBorders>
              <w:top w:val="single" w:sz="8" w:space="0" w:color="auto"/>
              <w:bottom w:val="single" w:sz="8" w:space="0" w:color="auto"/>
              <w:right w:val="single" w:sz="4" w:space="0" w:color="auto"/>
            </w:tcBorders>
            <w:shd w:val="clear" w:color="auto" w:fill="auto"/>
            <w:noWrap/>
          </w:tcPr>
          <w:p w14:paraId="507FAA95" w14:textId="77777777" w:rsidR="00861557" w:rsidRPr="00296D0C" w:rsidRDefault="00861557" w:rsidP="0077247E">
            <w:pPr>
              <w:keepNext/>
              <w:spacing w:before="40" w:after="40" w:line="240" w:lineRule="auto"/>
              <w:rPr>
                <w:rFonts w:cs="Arial"/>
                <w:color w:val="000000"/>
              </w:rPr>
            </w:pPr>
            <w:r w:rsidRPr="00296D0C">
              <w:rPr>
                <w:rFonts w:cs="Arial"/>
                <w:color w:val="000000"/>
              </w:rPr>
              <w:t>Cost per participant</w:t>
            </w:r>
            <w:r w:rsidRPr="00296D0C">
              <w:rPr>
                <w:rFonts w:cs="Arial"/>
                <w:color w:val="000000"/>
                <w:vertAlign w:val="superscript"/>
              </w:rPr>
              <w:t>e</w:t>
            </w:r>
          </w:p>
        </w:tc>
        <w:tc>
          <w:tcPr>
            <w:tcW w:w="540" w:type="pct"/>
            <w:tcBorders>
              <w:top w:val="single" w:sz="8" w:space="0" w:color="auto"/>
              <w:left w:val="nil"/>
              <w:bottom w:val="single" w:sz="8" w:space="0" w:color="auto"/>
              <w:right w:val="single" w:sz="8" w:space="0" w:color="auto"/>
            </w:tcBorders>
            <w:shd w:val="clear" w:color="auto" w:fill="auto"/>
            <w:noWrap/>
          </w:tcPr>
          <w:p w14:paraId="4CBFF7C3"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w:t>
            </w:r>
          </w:p>
        </w:tc>
        <w:tc>
          <w:tcPr>
            <w:tcW w:w="459" w:type="pct"/>
            <w:tcBorders>
              <w:top w:val="single" w:sz="8" w:space="0" w:color="auto"/>
              <w:left w:val="single" w:sz="8" w:space="0" w:color="auto"/>
              <w:bottom w:val="single" w:sz="8" w:space="0" w:color="auto"/>
              <w:right w:val="single" w:sz="8" w:space="0" w:color="auto"/>
            </w:tcBorders>
            <w:shd w:val="clear" w:color="auto" w:fill="auto"/>
          </w:tcPr>
          <w:p w14:paraId="7B90C150"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w:t>
            </w:r>
          </w:p>
        </w:tc>
        <w:tc>
          <w:tcPr>
            <w:tcW w:w="573" w:type="pct"/>
            <w:tcBorders>
              <w:top w:val="single" w:sz="8" w:space="0" w:color="auto"/>
              <w:left w:val="single" w:sz="8" w:space="0" w:color="auto"/>
              <w:bottom w:val="single" w:sz="8" w:space="0" w:color="auto"/>
              <w:right w:val="single" w:sz="8" w:space="0" w:color="auto"/>
            </w:tcBorders>
            <w:shd w:val="clear" w:color="auto" w:fill="auto"/>
          </w:tcPr>
          <w:p w14:paraId="7B551338"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228.62</w:t>
            </w:r>
          </w:p>
        </w:tc>
        <w:tc>
          <w:tcPr>
            <w:tcW w:w="514" w:type="pct"/>
            <w:tcBorders>
              <w:top w:val="single" w:sz="8" w:space="0" w:color="auto"/>
              <w:left w:val="single" w:sz="8" w:space="0" w:color="auto"/>
              <w:bottom w:val="single" w:sz="8" w:space="0" w:color="auto"/>
              <w:right w:val="single" w:sz="8" w:space="0" w:color="auto"/>
            </w:tcBorders>
            <w:shd w:val="clear" w:color="auto" w:fill="auto"/>
          </w:tcPr>
          <w:p w14:paraId="09CF409C"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w:t>
            </w:r>
          </w:p>
        </w:tc>
        <w:tc>
          <w:tcPr>
            <w:tcW w:w="618" w:type="pct"/>
            <w:tcBorders>
              <w:top w:val="single" w:sz="8" w:space="0" w:color="auto"/>
              <w:left w:val="single" w:sz="8" w:space="0" w:color="auto"/>
              <w:bottom w:val="single" w:sz="8" w:space="0" w:color="auto"/>
              <w:right w:val="single" w:sz="8" w:space="0" w:color="auto"/>
            </w:tcBorders>
            <w:shd w:val="clear" w:color="auto" w:fill="auto"/>
          </w:tcPr>
          <w:p w14:paraId="6EEE5E7C"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210.83</w:t>
            </w:r>
          </w:p>
        </w:tc>
        <w:tc>
          <w:tcPr>
            <w:tcW w:w="540" w:type="pct"/>
            <w:tcBorders>
              <w:top w:val="single" w:sz="8" w:space="0" w:color="auto"/>
              <w:left w:val="single" w:sz="8" w:space="0" w:color="auto"/>
              <w:bottom w:val="single" w:sz="8" w:space="0" w:color="auto"/>
              <w:right w:val="single" w:sz="8" w:space="0" w:color="auto"/>
            </w:tcBorders>
            <w:shd w:val="clear" w:color="auto" w:fill="auto"/>
          </w:tcPr>
          <w:p w14:paraId="49ABB5A1"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w:t>
            </w:r>
          </w:p>
        </w:tc>
        <w:tc>
          <w:tcPr>
            <w:tcW w:w="617" w:type="pct"/>
            <w:tcBorders>
              <w:top w:val="single" w:sz="8" w:space="0" w:color="auto"/>
              <w:left w:val="single" w:sz="8" w:space="0" w:color="auto"/>
              <w:bottom w:val="single" w:sz="8" w:space="0" w:color="auto"/>
            </w:tcBorders>
            <w:shd w:val="clear" w:color="auto" w:fill="auto"/>
          </w:tcPr>
          <w:p w14:paraId="5B63C19F"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204.90</w:t>
            </w:r>
          </w:p>
        </w:tc>
      </w:tr>
    </w:tbl>
    <w:p w14:paraId="4F3664A4" w14:textId="77777777" w:rsidR="00861557" w:rsidRPr="00296D0C" w:rsidRDefault="00861557" w:rsidP="00861557">
      <w:pPr>
        <w:spacing w:after="100" w:line="240" w:lineRule="auto"/>
        <w:ind w:left="284" w:hanging="284"/>
        <w:rPr>
          <w:color w:val="000000"/>
        </w:rPr>
      </w:pPr>
      <w:r w:rsidRPr="00296D0C">
        <w:rPr>
          <w:color w:val="000000"/>
        </w:rPr>
        <w:t>Key:</w:t>
      </w:r>
      <w:r w:rsidRPr="00296D0C">
        <w:rPr>
          <w:b/>
          <w:color w:val="000000"/>
        </w:rPr>
        <w:t xml:space="preserve"> </w:t>
      </w:r>
      <w:r w:rsidRPr="00296D0C">
        <w:rPr>
          <w:color w:val="000000"/>
        </w:rPr>
        <w:t>GBP = Great British Pounds;</w:t>
      </w:r>
      <w:r w:rsidRPr="00296D0C">
        <w:rPr>
          <w:b/>
          <w:color w:val="000000"/>
        </w:rPr>
        <w:t xml:space="preserve"> </w:t>
      </w:r>
      <w:r w:rsidRPr="00296D0C">
        <w:rPr>
          <w:color w:val="000000"/>
        </w:rPr>
        <w:t>hr(s) = hour(s)</w:t>
      </w:r>
    </w:p>
    <w:p w14:paraId="1EE805FD" w14:textId="34ED7085" w:rsidR="00861557" w:rsidRPr="00296D0C" w:rsidRDefault="00861557" w:rsidP="00613FD4">
      <w:pPr>
        <w:spacing w:line="240" w:lineRule="auto"/>
        <w:ind w:left="284" w:hanging="284"/>
        <w:rPr>
          <w:spacing w:val="20"/>
        </w:rPr>
      </w:pPr>
      <w:r w:rsidRPr="00296D0C">
        <w:rPr>
          <w:color w:val="000000"/>
        </w:rPr>
        <w:t xml:space="preserve">Notes: </w:t>
      </w:r>
      <w:r w:rsidRPr="00FD7E39">
        <w:rPr>
          <w:color w:val="000000"/>
          <w:vertAlign w:val="superscript"/>
        </w:rPr>
        <w:t xml:space="preserve">a </w:t>
      </w:r>
      <w:r w:rsidRPr="00296D0C">
        <w:rPr>
          <w:color w:val="000000"/>
        </w:rPr>
        <w:t>Includes contact and non-contact (preparation and travel time);</w:t>
      </w:r>
      <w:r w:rsidRPr="00FD7E39">
        <w:rPr>
          <w:color w:val="000000"/>
          <w:vertAlign w:val="superscript"/>
        </w:rPr>
        <w:t xml:space="preserve"> b</w:t>
      </w:r>
      <w:r w:rsidRPr="00296D0C">
        <w:rPr>
          <w:color w:val="000000"/>
        </w:rPr>
        <w:t xml:space="preserve"> Includes contact and non-contact (preparation time); </w:t>
      </w:r>
      <w:r w:rsidRPr="00FD7E39">
        <w:rPr>
          <w:color w:val="000000"/>
          <w:vertAlign w:val="superscript"/>
        </w:rPr>
        <w:t>c</w:t>
      </w:r>
      <w:r w:rsidRPr="00296D0C">
        <w:rPr>
          <w:color w:val="000000"/>
        </w:rPr>
        <w:t xml:space="preserve"> Based on 2 HeLP Coordinators; </w:t>
      </w:r>
      <w:r w:rsidRPr="00FD7E39">
        <w:rPr>
          <w:color w:val="000000"/>
          <w:vertAlign w:val="superscript"/>
        </w:rPr>
        <w:t>d</w:t>
      </w:r>
      <w:r w:rsidRPr="00296D0C">
        <w:rPr>
          <w:color w:val="000000"/>
        </w:rPr>
        <w:t xml:space="preserve"> Based on 2 drama teams; </w:t>
      </w:r>
      <w:r w:rsidRPr="00FD7E39">
        <w:rPr>
          <w:color w:val="000000"/>
          <w:vertAlign w:val="superscript"/>
        </w:rPr>
        <w:t>e</w:t>
      </w:r>
      <w:r w:rsidRPr="00296D0C">
        <w:rPr>
          <w:color w:val="000000"/>
        </w:rPr>
        <w:t xml:space="preserve"> Based on mean class size from the </w:t>
      </w:r>
      <w:r w:rsidR="009D1C7F" w:rsidRPr="00296D0C">
        <w:rPr>
          <w:color w:val="000000"/>
        </w:rPr>
        <w:t>HeLP study</w:t>
      </w:r>
      <w:r w:rsidRPr="00296D0C">
        <w:rPr>
          <w:color w:val="000000"/>
        </w:rPr>
        <w:t>, 25.04</w:t>
      </w:r>
    </w:p>
    <w:p w14:paraId="463A805E" w14:textId="77777777" w:rsidR="00861557" w:rsidRPr="00296D0C" w:rsidRDefault="00861557" w:rsidP="00861557">
      <w:pPr>
        <w:rPr>
          <w:highlight w:val="yellow"/>
        </w:rPr>
        <w:sectPr w:rsidR="00861557" w:rsidRPr="00296D0C" w:rsidSect="00613FD4">
          <w:pgSz w:w="11906" w:h="16838"/>
          <w:pgMar w:top="1440" w:right="1440" w:bottom="1440" w:left="1440" w:header="720" w:footer="720" w:gutter="0"/>
          <w:cols w:space="720"/>
          <w:docGrid w:linePitch="360"/>
        </w:sectPr>
      </w:pPr>
    </w:p>
    <w:p w14:paraId="4D5B7E99" w14:textId="26E528BE" w:rsidR="00861557" w:rsidRPr="00296D0C" w:rsidRDefault="003723AE" w:rsidP="005126C2">
      <w:pPr>
        <w:pStyle w:val="Heading4"/>
        <w:spacing w:line="360" w:lineRule="auto"/>
        <w:rPr>
          <w:rFonts w:asciiTheme="minorHAnsi" w:hAnsiTheme="minorHAnsi" w:cs="Arial"/>
          <w:i w:val="0"/>
          <w:color w:val="auto"/>
        </w:rPr>
      </w:pPr>
      <w:bookmarkStart w:id="477" w:name="_Toc450746739"/>
      <w:bookmarkStart w:id="478" w:name="_Toc452020171"/>
      <w:bookmarkStart w:id="479" w:name="_Toc452020294"/>
      <w:bookmarkStart w:id="480" w:name="_Toc433798245"/>
      <w:bookmarkStart w:id="481" w:name="_Toc433798293"/>
      <w:bookmarkEnd w:id="447"/>
      <w:bookmarkEnd w:id="448"/>
      <w:r w:rsidRPr="00296D0C">
        <w:rPr>
          <w:rFonts w:asciiTheme="minorHAnsi" w:hAnsiTheme="minorHAnsi" w:cs="Arial"/>
          <w:i w:val="0"/>
          <w:color w:val="auto"/>
        </w:rPr>
        <w:lastRenderedPageBreak/>
        <w:t>4.3.</w:t>
      </w:r>
      <w:r w:rsidR="00C5775C" w:rsidRPr="00296D0C">
        <w:rPr>
          <w:rFonts w:asciiTheme="minorHAnsi" w:hAnsiTheme="minorHAnsi" w:cs="Arial"/>
          <w:i w:val="0"/>
          <w:color w:val="auto"/>
        </w:rPr>
        <w:t>1.1</w:t>
      </w:r>
      <w:r w:rsidRPr="00296D0C">
        <w:rPr>
          <w:rFonts w:asciiTheme="minorHAnsi" w:hAnsiTheme="minorHAnsi" w:cs="Arial"/>
          <w:i w:val="0"/>
          <w:color w:val="auto"/>
        </w:rPr>
        <w:t xml:space="preserve"> </w:t>
      </w:r>
      <w:r w:rsidR="00861557" w:rsidRPr="00296D0C">
        <w:rPr>
          <w:rFonts w:asciiTheme="minorHAnsi" w:hAnsiTheme="minorHAnsi" w:cs="Arial"/>
          <w:i w:val="0"/>
          <w:color w:val="auto"/>
        </w:rPr>
        <w:t>Sensitivity Analysis</w:t>
      </w:r>
    </w:p>
    <w:p w14:paraId="4A14955D" w14:textId="77777777" w:rsidR="00861557" w:rsidRPr="00296D0C" w:rsidRDefault="00861557" w:rsidP="005126C2">
      <w:pPr>
        <w:spacing w:after="0" w:line="360" w:lineRule="auto"/>
        <w:rPr>
          <w:rFonts w:cs="Arial"/>
        </w:rPr>
      </w:pPr>
      <w:r w:rsidRPr="00296D0C">
        <w:rPr>
          <w:rFonts w:cs="Arial"/>
        </w:rPr>
        <w:t>The following sensitivity analyses were conducted:</w:t>
      </w:r>
    </w:p>
    <w:p w14:paraId="12B2EC33" w14:textId="77777777" w:rsidR="00861557" w:rsidRPr="00296D0C" w:rsidRDefault="00861557" w:rsidP="005126C2">
      <w:pPr>
        <w:spacing w:after="0" w:line="360" w:lineRule="auto"/>
        <w:ind w:firstLine="720"/>
        <w:rPr>
          <w:rFonts w:cs="Arial"/>
        </w:rPr>
      </w:pPr>
      <w:r w:rsidRPr="00296D0C">
        <w:rPr>
          <w:rFonts w:cs="Arial"/>
        </w:rPr>
        <w:t>Sensitivity analysis 1 (SA1):  Input; Actors cost per hour increased (from £11.20 to £25.34);</w:t>
      </w:r>
    </w:p>
    <w:p w14:paraId="751C2B14" w14:textId="77777777" w:rsidR="00861557" w:rsidRPr="00296D0C" w:rsidRDefault="00861557" w:rsidP="005126C2">
      <w:pPr>
        <w:spacing w:after="0" w:line="360" w:lineRule="auto"/>
        <w:ind w:firstLine="720"/>
        <w:rPr>
          <w:rFonts w:cs="Arial"/>
        </w:rPr>
      </w:pPr>
      <w:r w:rsidRPr="00296D0C">
        <w:rPr>
          <w:rFonts w:cs="Arial"/>
        </w:rPr>
        <w:t>Sensitivity analysis 2 (SA2):  Input; Inclusion of teacher time/costs.</w:t>
      </w:r>
    </w:p>
    <w:p w14:paraId="54AD9434" w14:textId="77777777" w:rsidR="00861557" w:rsidRPr="00296D0C" w:rsidRDefault="00861557" w:rsidP="00861557">
      <w:pPr>
        <w:pStyle w:val="Heading4"/>
        <w:numPr>
          <w:ilvl w:val="3"/>
          <w:numId w:val="0"/>
        </w:numPr>
        <w:rPr>
          <w:rFonts w:asciiTheme="minorHAnsi" w:hAnsiTheme="minorHAnsi" w:cs="Arial"/>
          <w:b w:val="0"/>
          <w:i w:val="0"/>
          <w:color w:val="auto"/>
        </w:rPr>
      </w:pPr>
      <w:bookmarkStart w:id="482" w:name="_Toc436311674"/>
      <w:r w:rsidRPr="00296D0C">
        <w:rPr>
          <w:rFonts w:asciiTheme="minorHAnsi" w:hAnsiTheme="minorHAnsi" w:cs="Arial"/>
          <w:i w:val="0"/>
          <w:color w:val="auto"/>
        </w:rPr>
        <w:t>SA1: Actors unit costs uprated to £25.34 per hour (from £11.20 per hour)</w:t>
      </w:r>
      <w:bookmarkEnd w:id="482"/>
      <w:r w:rsidRPr="00296D0C">
        <w:rPr>
          <w:rFonts w:asciiTheme="minorHAnsi" w:hAnsiTheme="minorHAnsi" w:cs="Arial"/>
          <w:i w:val="0"/>
          <w:color w:val="auto"/>
        </w:rPr>
        <w:t>.</w:t>
      </w:r>
    </w:p>
    <w:p w14:paraId="221B6523" w14:textId="106FF859" w:rsidR="00861557" w:rsidRPr="00296D0C" w:rsidRDefault="00861557" w:rsidP="000D0114">
      <w:pPr>
        <w:spacing w:after="0" w:line="360" w:lineRule="auto"/>
        <w:rPr>
          <w:rFonts w:cs="Arial"/>
        </w:rPr>
      </w:pPr>
      <w:r w:rsidRPr="00296D0C">
        <w:rPr>
          <w:rFonts w:cs="Arial"/>
        </w:rPr>
        <w:t>Sensitivity analysis was conducted using a unit cost of £25.34 per hour for Actor time inputs.  This hourly rate is based on guidance from the Drama Provider, for potential salary level for professional actors, but is aligned here with salary structure for a similar</w:t>
      </w:r>
      <w:r w:rsidR="00B13AA9" w:rsidRPr="00296D0C">
        <w:rPr>
          <w:rFonts w:cs="Arial"/>
        </w:rPr>
        <w:t>l</w:t>
      </w:r>
      <w:r w:rsidRPr="00296D0C">
        <w:rPr>
          <w:rFonts w:cs="Arial"/>
        </w:rPr>
        <w:t>y paid health care worker, using the Agenda for Change Grade 5 for health staff (</w:t>
      </w:r>
      <w:r w:rsidR="005126C2" w:rsidRPr="00296D0C">
        <w:rPr>
          <w:rFonts w:cs="Arial"/>
        </w:rPr>
        <w:t>s</w:t>
      </w:r>
      <w:r w:rsidRPr="00296D0C">
        <w:rPr>
          <w:rFonts w:cs="Arial"/>
        </w:rPr>
        <w:t xml:space="preserve">ee Table </w:t>
      </w:r>
      <w:r w:rsidR="00137CBC">
        <w:rPr>
          <w:rFonts w:cs="Arial"/>
        </w:rPr>
        <w:t>1</w:t>
      </w:r>
      <w:r w:rsidR="00472BD5">
        <w:rPr>
          <w:rFonts w:cs="Arial"/>
        </w:rPr>
        <w:t>9</w:t>
      </w:r>
      <w:r w:rsidRPr="00296D0C">
        <w:rPr>
          <w:rFonts w:cs="Arial"/>
        </w:rPr>
        <w:t>), using unit costs from Curtis 2015</w:t>
      </w:r>
      <w:r w:rsidR="00D43215" w:rsidRPr="00296D0C">
        <w:rPr>
          <w:rFonts w:cs="Arial"/>
        </w:rPr>
        <w:t xml:space="preserve"> </w:t>
      </w:r>
      <w:r w:rsidR="00F13A24" w:rsidRPr="00296D0C">
        <w:rPr>
          <w:rFonts w:cs="Arial"/>
        </w:rPr>
        <w:fldChar w:fldCharType="begin"/>
      </w:r>
      <w:r w:rsidR="008C43BF">
        <w:rPr>
          <w:rFonts w:cs="Arial"/>
        </w:rPr>
        <w:instrText xml:space="preserve"> ADDIN EN.CITE &lt;EndNote&gt;&lt;Cite&gt;&lt;Author&gt;Curtis&lt;/Author&gt;&lt;Year&gt;2015&lt;/Year&gt;&lt;RecNum&gt;5737&lt;/RecNum&gt;&lt;DisplayText&gt;&lt;style face="superscript"&gt;56&lt;/style&gt;&lt;/DisplayText&gt;&lt;record&gt;&lt;rec-number&gt;5737&lt;/rec-number&gt;&lt;foreign-keys&gt;&lt;key app="EN" db-id="2ewa9rrvjsdsawep2vpx5x97eedzzvxx5rta" timestamp="1478679952"&gt;5737&lt;/key&gt;&lt;/foreign-keys&gt;&lt;ref-type name="Report"&gt;27&lt;/ref-type&gt;&lt;contributors&gt;&lt;authors&gt;&lt;author&gt;Curtis, L.&lt;/author&gt;&lt;author&gt;Burns, A.&lt;/author&gt;&lt;/authors&gt;&lt;/contributors&gt;&lt;titles&gt;&lt;title&gt;Unit Costs of Health and Social Care 2015&lt;/title&gt;&lt;/titles&gt;&lt;dates&gt;&lt;year&gt;2015&lt;/year&gt;&lt;/dates&gt;&lt;pub-location&gt;Personal Social Services Research Unit&lt;/pub-location&gt;&lt;publisher&gt;University of Canterbury&lt;/publisher&gt;&lt;urls&gt;&lt;/urls&gt;&lt;/record&gt;&lt;/Cite&gt;&lt;/EndNote&gt;</w:instrText>
      </w:r>
      <w:r w:rsidR="00F13A24" w:rsidRPr="00296D0C">
        <w:rPr>
          <w:rFonts w:cs="Arial"/>
        </w:rPr>
        <w:fldChar w:fldCharType="separate"/>
      </w:r>
      <w:r w:rsidR="008C43BF" w:rsidRPr="008C43BF">
        <w:rPr>
          <w:rFonts w:cs="Arial"/>
          <w:noProof/>
          <w:vertAlign w:val="superscript"/>
        </w:rPr>
        <w:t>56</w:t>
      </w:r>
      <w:r w:rsidR="00F13A24" w:rsidRPr="00296D0C">
        <w:rPr>
          <w:rFonts w:cs="Arial"/>
        </w:rPr>
        <w:fldChar w:fldCharType="end"/>
      </w:r>
      <w:r w:rsidRPr="00296D0C">
        <w:rPr>
          <w:rFonts w:cs="Arial"/>
        </w:rPr>
        <w:t xml:space="preserve">.  </w:t>
      </w:r>
    </w:p>
    <w:p w14:paraId="1003A5D1" w14:textId="6B51EFDC" w:rsidR="00861557" w:rsidRPr="00296D0C" w:rsidRDefault="00861557" w:rsidP="000D0114">
      <w:pPr>
        <w:spacing w:after="0" w:line="360" w:lineRule="auto"/>
        <w:rPr>
          <w:rFonts w:cs="Arial"/>
        </w:rPr>
      </w:pPr>
      <w:r w:rsidRPr="00296D0C">
        <w:rPr>
          <w:rFonts w:cs="Arial"/>
        </w:rPr>
        <w:t xml:space="preserve">In this scenario the total costs for the delivery of HeLP increase markedly from £214.13 per participant, to £258.43 per participant, based on the aggregate costing framework (Table </w:t>
      </w:r>
      <w:r w:rsidR="00137CBC">
        <w:rPr>
          <w:rFonts w:cs="Arial"/>
        </w:rPr>
        <w:t>2</w:t>
      </w:r>
      <w:r w:rsidR="00472BD5">
        <w:rPr>
          <w:rFonts w:cs="Arial"/>
        </w:rPr>
        <w:t>3</w:t>
      </w:r>
      <w:r w:rsidRPr="00296D0C">
        <w:rPr>
          <w:rFonts w:cs="Arial"/>
        </w:rPr>
        <w:t xml:space="preserve">), and total (mean) costs increase by school-class scenario from £5,724 (£229) and £15,390 (£205) for schools with 1-class and 3-classes respectively, to £6,782 (£274) and £18,643 (£248). </w:t>
      </w:r>
    </w:p>
    <w:p w14:paraId="30FDBD3E" w14:textId="77777777" w:rsidR="005126C2" w:rsidRPr="00296D0C" w:rsidRDefault="005126C2" w:rsidP="000D0114">
      <w:pPr>
        <w:spacing w:after="0" w:line="360" w:lineRule="auto"/>
        <w:rPr>
          <w:rFonts w:cs="Arial"/>
        </w:rPr>
      </w:pPr>
    </w:p>
    <w:p w14:paraId="76FCFBF1" w14:textId="416BBE03" w:rsidR="00861557" w:rsidRPr="00296D0C" w:rsidRDefault="00861557" w:rsidP="00861557">
      <w:pPr>
        <w:pStyle w:val="Caption"/>
        <w:spacing w:after="120"/>
        <w:rPr>
          <w:rFonts w:cs="Arial"/>
          <w:b/>
          <w:i w:val="0"/>
          <w:color w:val="auto"/>
          <w:spacing w:val="20"/>
          <w:sz w:val="22"/>
          <w:szCs w:val="22"/>
        </w:rPr>
      </w:pPr>
      <w:bookmarkStart w:id="483" w:name="_Ref435694233"/>
      <w:r w:rsidRPr="00296D0C">
        <w:rPr>
          <w:rFonts w:cs="Arial"/>
          <w:b/>
          <w:i w:val="0"/>
          <w:color w:val="auto"/>
          <w:sz w:val="22"/>
          <w:szCs w:val="22"/>
        </w:rPr>
        <w:t>T</w:t>
      </w:r>
      <w:r w:rsidR="000075CE" w:rsidRPr="00296D0C">
        <w:rPr>
          <w:rFonts w:cs="Arial"/>
          <w:b/>
          <w:i w:val="0"/>
          <w:color w:val="auto"/>
          <w:sz w:val="22"/>
          <w:szCs w:val="22"/>
        </w:rPr>
        <w:t>ABLE</w:t>
      </w:r>
      <w:bookmarkEnd w:id="483"/>
      <w:r w:rsidRPr="00296D0C">
        <w:rPr>
          <w:rFonts w:cs="Arial"/>
          <w:b/>
          <w:i w:val="0"/>
          <w:color w:val="auto"/>
          <w:sz w:val="22"/>
          <w:szCs w:val="22"/>
        </w:rPr>
        <w:t xml:space="preserve"> </w:t>
      </w:r>
      <w:r w:rsidR="000075CE" w:rsidRPr="00296D0C">
        <w:rPr>
          <w:rFonts w:cs="Arial"/>
          <w:b/>
          <w:i w:val="0"/>
          <w:color w:val="auto"/>
          <w:sz w:val="22"/>
          <w:szCs w:val="22"/>
        </w:rPr>
        <w:t>2</w:t>
      </w:r>
      <w:r w:rsidR="00472BD5">
        <w:rPr>
          <w:rFonts w:cs="Arial"/>
          <w:b/>
          <w:i w:val="0"/>
          <w:color w:val="auto"/>
          <w:sz w:val="22"/>
          <w:szCs w:val="22"/>
        </w:rPr>
        <w:t>3</w:t>
      </w:r>
      <w:r w:rsidRPr="00296D0C">
        <w:rPr>
          <w:rFonts w:cs="Arial"/>
          <w:b/>
          <w:i w:val="0"/>
          <w:color w:val="auto"/>
          <w:sz w:val="22"/>
          <w:szCs w:val="22"/>
        </w:rPr>
        <w:t xml:space="preserve"> Sensitivity Analysis (SA1): Estimated cost for delivery of HeLP (total cost, across 16 schools, 27 classes) using higher unit cost (£25.34) for </w:t>
      </w:r>
      <w:r w:rsidR="005126C2" w:rsidRPr="00296D0C">
        <w:rPr>
          <w:rFonts w:cs="Arial"/>
          <w:b/>
          <w:i w:val="0"/>
          <w:color w:val="auto"/>
          <w:sz w:val="22"/>
          <w:szCs w:val="22"/>
        </w:rPr>
        <w:t>Actor time</w:t>
      </w:r>
    </w:p>
    <w:tbl>
      <w:tblPr>
        <w:tblW w:w="4966" w:type="pct"/>
        <w:tblLayout w:type="fixed"/>
        <w:tblLook w:val="04A0" w:firstRow="1" w:lastRow="0" w:firstColumn="1" w:lastColumn="0" w:noHBand="0" w:noVBand="1"/>
      </w:tblPr>
      <w:tblGrid>
        <w:gridCol w:w="3843"/>
        <w:gridCol w:w="1708"/>
        <w:gridCol w:w="1707"/>
        <w:gridCol w:w="1707"/>
      </w:tblGrid>
      <w:tr w:rsidR="00861557" w:rsidRPr="00296D0C" w14:paraId="7E3D53BB" w14:textId="77777777" w:rsidTr="0077247E">
        <w:trPr>
          <w:trHeight w:val="300"/>
          <w:tblHeader/>
        </w:trPr>
        <w:tc>
          <w:tcPr>
            <w:tcW w:w="2143" w:type="pct"/>
            <w:tcBorders>
              <w:top w:val="single" w:sz="8" w:space="0" w:color="auto"/>
              <w:bottom w:val="single" w:sz="4" w:space="0" w:color="auto"/>
              <w:right w:val="single" w:sz="4" w:space="0" w:color="auto"/>
            </w:tcBorders>
            <w:shd w:val="clear" w:color="auto" w:fill="auto"/>
            <w:noWrap/>
            <w:hideMark/>
          </w:tcPr>
          <w:p w14:paraId="625A5585" w14:textId="77777777" w:rsidR="00861557" w:rsidRPr="00296D0C" w:rsidRDefault="00861557" w:rsidP="0077247E">
            <w:pPr>
              <w:keepNext/>
              <w:spacing w:before="40" w:after="40" w:line="240" w:lineRule="auto"/>
              <w:rPr>
                <w:rFonts w:cs="Arial"/>
                <w:color w:val="000000"/>
              </w:rPr>
            </w:pPr>
            <w:r w:rsidRPr="00296D0C">
              <w:rPr>
                <w:rFonts w:cs="Arial"/>
                <w:color w:val="000000"/>
              </w:rPr>
              <w:t> </w:t>
            </w:r>
          </w:p>
        </w:tc>
        <w:tc>
          <w:tcPr>
            <w:tcW w:w="952" w:type="pct"/>
            <w:tcBorders>
              <w:top w:val="single" w:sz="8" w:space="0" w:color="auto"/>
              <w:left w:val="nil"/>
              <w:bottom w:val="single" w:sz="4" w:space="0" w:color="auto"/>
              <w:right w:val="single" w:sz="4" w:space="0" w:color="auto"/>
            </w:tcBorders>
            <w:shd w:val="clear" w:color="auto" w:fill="auto"/>
            <w:noWrap/>
            <w:hideMark/>
          </w:tcPr>
          <w:p w14:paraId="3E8FAAA8" w14:textId="77777777" w:rsidR="00861557" w:rsidRPr="00296D0C" w:rsidRDefault="00861557" w:rsidP="0077247E">
            <w:pPr>
              <w:keepNext/>
              <w:spacing w:before="40" w:after="40" w:line="240" w:lineRule="auto"/>
              <w:rPr>
                <w:rFonts w:cs="Arial"/>
                <w:bCs/>
                <w:color w:val="000000"/>
              </w:rPr>
            </w:pPr>
            <w:r w:rsidRPr="00296D0C">
              <w:rPr>
                <w:rFonts w:cs="Arial"/>
                <w:bCs/>
                <w:color w:val="000000"/>
              </w:rPr>
              <w:t>Mean (hrs)</w:t>
            </w:r>
          </w:p>
        </w:tc>
        <w:tc>
          <w:tcPr>
            <w:tcW w:w="952" w:type="pct"/>
            <w:tcBorders>
              <w:top w:val="single" w:sz="8" w:space="0" w:color="auto"/>
              <w:left w:val="nil"/>
              <w:bottom w:val="single" w:sz="4" w:space="0" w:color="auto"/>
              <w:right w:val="single" w:sz="4" w:space="0" w:color="auto"/>
            </w:tcBorders>
            <w:shd w:val="clear" w:color="auto" w:fill="auto"/>
            <w:noWrap/>
            <w:hideMark/>
          </w:tcPr>
          <w:p w14:paraId="2892B29E" w14:textId="77777777" w:rsidR="00861557" w:rsidRPr="00296D0C" w:rsidRDefault="00861557" w:rsidP="0077247E">
            <w:pPr>
              <w:keepNext/>
              <w:spacing w:before="40" w:after="40" w:line="240" w:lineRule="auto"/>
              <w:rPr>
                <w:rFonts w:cs="Arial"/>
                <w:bCs/>
                <w:color w:val="000000"/>
              </w:rPr>
            </w:pPr>
            <w:r w:rsidRPr="00296D0C">
              <w:rPr>
                <w:rFonts w:cs="Arial"/>
                <w:bCs/>
                <w:color w:val="000000"/>
              </w:rPr>
              <w:t>Unit cost £</w:t>
            </w:r>
          </w:p>
          <w:p w14:paraId="1EDB2B18" w14:textId="67AECDA0" w:rsidR="00861557" w:rsidRPr="00296D0C" w:rsidRDefault="00861557" w:rsidP="00780F13">
            <w:pPr>
              <w:keepNext/>
              <w:spacing w:before="40" w:after="40" w:line="240" w:lineRule="auto"/>
              <w:rPr>
                <w:rFonts w:cs="Arial"/>
                <w:bCs/>
                <w:color w:val="000000"/>
              </w:rPr>
            </w:pPr>
            <w:r w:rsidRPr="00296D0C">
              <w:rPr>
                <w:rFonts w:cs="Arial"/>
                <w:bCs/>
                <w:color w:val="000000"/>
              </w:rPr>
              <w:t>per hr* or £ per day**</w:t>
            </w:r>
          </w:p>
        </w:tc>
        <w:tc>
          <w:tcPr>
            <w:tcW w:w="952" w:type="pct"/>
            <w:tcBorders>
              <w:top w:val="single" w:sz="8" w:space="0" w:color="auto"/>
              <w:left w:val="nil"/>
              <w:bottom w:val="single" w:sz="4" w:space="0" w:color="auto"/>
            </w:tcBorders>
            <w:shd w:val="clear" w:color="auto" w:fill="auto"/>
            <w:noWrap/>
            <w:hideMark/>
          </w:tcPr>
          <w:p w14:paraId="59110D6F" w14:textId="77777777" w:rsidR="00861557" w:rsidRPr="00296D0C" w:rsidRDefault="00861557" w:rsidP="0077247E">
            <w:pPr>
              <w:keepNext/>
              <w:spacing w:before="40" w:after="40" w:line="240" w:lineRule="auto"/>
              <w:rPr>
                <w:rFonts w:cs="Arial"/>
                <w:bCs/>
                <w:color w:val="000000"/>
              </w:rPr>
            </w:pPr>
            <w:r w:rsidRPr="00296D0C">
              <w:rPr>
                <w:rFonts w:cs="Arial"/>
                <w:bCs/>
                <w:color w:val="000000"/>
              </w:rPr>
              <w:t>Total cost £</w:t>
            </w:r>
          </w:p>
        </w:tc>
      </w:tr>
      <w:tr w:rsidR="00861557" w:rsidRPr="00296D0C" w14:paraId="6530471E" w14:textId="77777777" w:rsidTr="0077247E">
        <w:trPr>
          <w:trHeight w:val="300"/>
        </w:trPr>
        <w:tc>
          <w:tcPr>
            <w:tcW w:w="2143" w:type="pct"/>
            <w:tcBorders>
              <w:top w:val="single" w:sz="4" w:space="0" w:color="auto"/>
              <w:bottom w:val="nil"/>
              <w:right w:val="single" w:sz="4" w:space="0" w:color="auto"/>
            </w:tcBorders>
            <w:shd w:val="clear" w:color="auto" w:fill="auto"/>
            <w:noWrap/>
          </w:tcPr>
          <w:p w14:paraId="11C2292B" w14:textId="77777777" w:rsidR="00861557" w:rsidRPr="00296D0C" w:rsidRDefault="00861557" w:rsidP="0077247E">
            <w:pPr>
              <w:keepNext/>
              <w:spacing w:before="40" w:after="40" w:line="240" w:lineRule="auto"/>
              <w:rPr>
                <w:rFonts w:cs="Arial"/>
                <w:color w:val="000000"/>
              </w:rPr>
            </w:pPr>
            <w:r w:rsidRPr="00296D0C">
              <w:rPr>
                <w:rFonts w:cs="Arial"/>
                <w:color w:val="000000"/>
              </w:rPr>
              <w:t>HeLP Coordinator</w:t>
            </w:r>
            <w:r w:rsidRPr="00296D0C">
              <w:rPr>
                <w:rFonts w:cs="Arial"/>
                <w:color w:val="000000"/>
                <w:vertAlign w:val="superscript"/>
              </w:rPr>
              <w:t>a</w:t>
            </w:r>
          </w:p>
        </w:tc>
        <w:tc>
          <w:tcPr>
            <w:tcW w:w="952" w:type="pct"/>
            <w:tcBorders>
              <w:top w:val="single" w:sz="4" w:space="0" w:color="auto"/>
              <w:left w:val="nil"/>
              <w:bottom w:val="nil"/>
              <w:right w:val="single" w:sz="4" w:space="0" w:color="auto"/>
            </w:tcBorders>
            <w:shd w:val="clear" w:color="auto" w:fill="auto"/>
            <w:noWrap/>
          </w:tcPr>
          <w:p w14:paraId="60B21064"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1298.83</w:t>
            </w:r>
          </w:p>
        </w:tc>
        <w:tc>
          <w:tcPr>
            <w:tcW w:w="952" w:type="pct"/>
            <w:tcBorders>
              <w:top w:val="single" w:sz="4" w:space="0" w:color="auto"/>
              <w:left w:val="nil"/>
              <w:bottom w:val="nil"/>
              <w:right w:val="single" w:sz="4" w:space="0" w:color="auto"/>
            </w:tcBorders>
            <w:shd w:val="clear" w:color="auto" w:fill="auto"/>
            <w:noWrap/>
          </w:tcPr>
          <w:p w14:paraId="2A2BA7E4"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41.29*</w:t>
            </w:r>
          </w:p>
        </w:tc>
        <w:tc>
          <w:tcPr>
            <w:tcW w:w="952" w:type="pct"/>
            <w:tcBorders>
              <w:top w:val="single" w:sz="4" w:space="0" w:color="auto"/>
              <w:left w:val="nil"/>
              <w:bottom w:val="nil"/>
            </w:tcBorders>
            <w:shd w:val="clear" w:color="auto" w:fill="auto"/>
            <w:noWrap/>
          </w:tcPr>
          <w:p w14:paraId="67D4AE51"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53633.58</w:t>
            </w:r>
          </w:p>
        </w:tc>
      </w:tr>
      <w:tr w:rsidR="00861557" w:rsidRPr="00296D0C" w14:paraId="7EB49D29" w14:textId="77777777" w:rsidTr="0077247E">
        <w:trPr>
          <w:trHeight w:val="300"/>
        </w:trPr>
        <w:tc>
          <w:tcPr>
            <w:tcW w:w="2143" w:type="pct"/>
            <w:tcBorders>
              <w:top w:val="single" w:sz="4" w:space="0" w:color="auto"/>
              <w:bottom w:val="single" w:sz="4" w:space="0" w:color="auto"/>
              <w:right w:val="single" w:sz="4" w:space="0" w:color="auto"/>
            </w:tcBorders>
            <w:shd w:val="clear" w:color="auto" w:fill="auto"/>
            <w:noWrap/>
          </w:tcPr>
          <w:p w14:paraId="0825471B" w14:textId="77777777" w:rsidR="00861557" w:rsidRPr="00296D0C" w:rsidRDefault="00861557" w:rsidP="0077247E">
            <w:pPr>
              <w:keepNext/>
              <w:spacing w:before="40" w:after="40" w:line="240" w:lineRule="auto"/>
              <w:rPr>
                <w:rFonts w:cs="Arial"/>
                <w:color w:val="000000"/>
              </w:rPr>
            </w:pPr>
            <w:r w:rsidRPr="00296D0C">
              <w:rPr>
                <w:rFonts w:cs="Arial"/>
                <w:color w:val="000000"/>
              </w:rPr>
              <w:t>Activity Coordinator</w:t>
            </w:r>
            <w:r w:rsidRPr="00296D0C">
              <w:rPr>
                <w:rFonts w:cs="Arial"/>
                <w:color w:val="000000"/>
                <w:vertAlign w:val="superscript"/>
              </w:rPr>
              <w:t>a</w:t>
            </w:r>
          </w:p>
        </w:tc>
        <w:tc>
          <w:tcPr>
            <w:tcW w:w="952" w:type="pct"/>
            <w:tcBorders>
              <w:top w:val="single" w:sz="4" w:space="0" w:color="auto"/>
              <w:left w:val="nil"/>
              <w:bottom w:val="single" w:sz="4" w:space="0" w:color="auto"/>
              <w:right w:val="single" w:sz="4" w:space="0" w:color="auto"/>
            </w:tcBorders>
            <w:shd w:val="clear" w:color="auto" w:fill="auto"/>
            <w:noWrap/>
          </w:tcPr>
          <w:p w14:paraId="19259E4B"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187.70</w:t>
            </w:r>
          </w:p>
        </w:tc>
        <w:tc>
          <w:tcPr>
            <w:tcW w:w="952" w:type="pct"/>
            <w:tcBorders>
              <w:top w:val="single" w:sz="4" w:space="0" w:color="auto"/>
              <w:left w:val="nil"/>
              <w:bottom w:val="single" w:sz="4" w:space="0" w:color="auto"/>
              <w:right w:val="single" w:sz="4" w:space="0" w:color="auto"/>
            </w:tcBorders>
            <w:shd w:val="clear" w:color="auto" w:fill="auto"/>
            <w:noWrap/>
          </w:tcPr>
          <w:p w14:paraId="533661A9"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20*</w:t>
            </w:r>
          </w:p>
        </w:tc>
        <w:tc>
          <w:tcPr>
            <w:tcW w:w="952" w:type="pct"/>
            <w:tcBorders>
              <w:top w:val="single" w:sz="4" w:space="0" w:color="auto"/>
              <w:left w:val="nil"/>
              <w:bottom w:val="single" w:sz="4" w:space="0" w:color="auto"/>
            </w:tcBorders>
            <w:shd w:val="clear" w:color="auto" w:fill="auto"/>
            <w:noWrap/>
          </w:tcPr>
          <w:p w14:paraId="684D75FF"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3754.04</w:t>
            </w:r>
          </w:p>
        </w:tc>
      </w:tr>
      <w:tr w:rsidR="00861557" w:rsidRPr="00296D0C" w14:paraId="33780AA7" w14:textId="77777777" w:rsidTr="0077247E">
        <w:trPr>
          <w:trHeight w:val="300"/>
        </w:trPr>
        <w:tc>
          <w:tcPr>
            <w:tcW w:w="2143" w:type="pct"/>
            <w:tcBorders>
              <w:top w:val="single" w:sz="4" w:space="0" w:color="auto"/>
              <w:right w:val="single" w:sz="4" w:space="0" w:color="auto"/>
            </w:tcBorders>
            <w:shd w:val="clear" w:color="auto" w:fill="auto"/>
            <w:noWrap/>
          </w:tcPr>
          <w:p w14:paraId="71FE32D1" w14:textId="77777777" w:rsidR="00861557" w:rsidRPr="00296D0C" w:rsidRDefault="00861557" w:rsidP="0077247E">
            <w:pPr>
              <w:keepNext/>
              <w:spacing w:before="40" w:after="40" w:line="240" w:lineRule="auto"/>
              <w:rPr>
                <w:rFonts w:cs="Arial"/>
                <w:color w:val="000000"/>
              </w:rPr>
            </w:pPr>
            <w:r w:rsidRPr="00296D0C">
              <w:rPr>
                <w:rFonts w:cs="Arial"/>
                <w:color w:val="000000"/>
              </w:rPr>
              <w:t>HeLP Drama:</w:t>
            </w:r>
          </w:p>
        </w:tc>
        <w:tc>
          <w:tcPr>
            <w:tcW w:w="952" w:type="pct"/>
            <w:tcBorders>
              <w:top w:val="single" w:sz="4" w:space="0" w:color="auto"/>
              <w:left w:val="nil"/>
              <w:right w:val="single" w:sz="4" w:space="0" w:color="auto"/>
            </w:tcBorders>
            <w:shd w:val="clear" w:color="auto" w:fill="auto"/>
            <w:noWrap/>
          </w:tcPr>
          <w:p w14:paraId="3FF05EC2" w14:textId="77777777" w:rsidR="00861557" w:rsidRPr="00296D0C" w:rsidRDefault="00861557" w:rsidP="0077247E">
            <w:pPr>
              <w:keepNext/>
              <w:spacing w:before="40" w:after="40" w:line="240" w:lineRule="auto"/>
              <w:jc w:val="right"/>
              <w:rPr>
                <w:rFonts w:cs="Arial"/>
                <w:color w:val="000000"/>
              </w:rPr>
            </w:pPr>
          </w:p>
        </w:tc>
        <w:tc>
          <w:tcPr>
            <w:tcW w:w="952" w:type="pct"/>
            <w:tcBorders>
              <w:top w:val="single" w:sz="4" w:space="0" w:color="auto"/>
              <w:left w:val="nil"/>
              <w:right w:val="single" w:sz="4" w:space="0" w:color="auto"/>
            </w:tcBorders>
            <w:shd w:val="clear" w:color="auto" w:fill="auto"/>
            <w:noWrap/>
          </w:tcPr>
          <w:p w14:paraId="0370026F" w14:textId="77777777" w:rsidR="00861557" w:rsidRPr="00296D0C" w:rsidRDefault="00861557" w:rsidP="0077247E">
            <w:pPr>
              <w:keepNext/>
              <w:spacing w:before="40" w:after="40" w:line="240" w:lineRule="auto"/>
              <w:jc w:val="right"/>
              <w:rPr>
                <w:rFonts w:cs="Arial"/>
                <w:color w:val="000000"/>
              </w:rPr>
            </w:pPr>
          </w:p>
        </w:tc>
        <w:tc>
          <w:tcPr>
            <w:tcW w:w="952" w:type="pct"/>
            <w:tcBorders>
              <w:top w:val="single" w:sz="4" w:space="0" w:color="auto"/>
              <w:left w:val="nil"/>
            </w:tcBorders>
            <w:shd w:val="clear" w:color="auto" w:fill="auto"/>
            <w:noWrap/>
          </w:tcPr>
          <w:p w14:paraId="7B1A1A83" w14:textId="77777777" w:rsidR="00861557" w:rsidRPr="00296D0C" w:rsidRDefault="00861557" w:rsidP="0077247E">
            <w:pPr>
              <w:keepNext/>
              <w:spacing w:before="40" w:after="40" w:line="240" w:lineRule="auto"/>
              <w:jc w:val="right"/>
              <w:rPr>
                <w:rFonts w:cs="Arial"/>
                <w:color w:val="000000"/>
              </w:rPr>
            </w:pPr>
          </w:p>
        </w:tc>
      </w:tr>
      <w:tr w:rsidR="00861557" w:rsidRPr="00296D0C" w14:paraId="36EE50B9" w14:textId="77777777" w:rsidTr="0077247E">
        <w:trPr>
          <w:trHeight w:val="300"/>
        </w:trPr>
        <w:tc>
          <w:tcPr>
            <w:tcW w:w="2143" w:type="pct"/>
            <w:tcBorders>
              <w:bottom w:val="nil"/>
              <w:right w:val="single" w:sz="4" w:space="0" w:color="auto"/>
            </w:tcBorders>
            <w:shd w:val="clear" w:color="auto" w:fill="auto"/>
            <w:noWrap/>
            <w:hideMark/>
          </w:tcPr>
          <w:p w14:paraId="1F3D7446" w14:textId="77777777" w:rsidR="00861557" w:rsidRPr="00296D0C" w:rsidRDefault="00861557" w:rsidP="0077247E">
            <w:pPr>
              <w:keepNext/>
              <w:spacing w:before="40" w:after="40" w:line="240" w:lineRule="auto"/>
              <w:rPr>
                <w:rFonts w:cs="Arial"/>
                <w:color w:val="000000"/>
              </w:rPr>
            </w:pPr>
            <w:r w:rsidRPr="00296D0C">
              <w:rPr>
                <w:rFonts w:cs="Arial"/>
                <w:color w:val="000000"/>
              </w:rPr>
              <w:t>Drama Facilitator/HeLP Coordinator</w:t>
            </w:r>
            <w:r w:rsidRPr="00296D0C">
              <w:rPr>
                <w:rFonts w:cs="Arial"/>
                <w:color w:val="000000"/>
                <w:vertAlign w:val="superscript"/>
              </w:rPr>
              <w:t>a</w:t>
            </w:r>
          </w:p>
        </w:tc>
        <w:tc>
          <w:tcPr>
            <w:tcW w:w="952" w:type="pct"/>
            <w:tcBorders>
              <w:left w:val="nil"/>
              <w:bottom w:val="nil"/>
              <w:right w:val="single" w:sz="4" w:space="0" w:color="auto"/>
            </w:tcBorders>
            <w:shd w:val="clear" w:color="auto" w:fill="auto"/>
            <w:noWrap/>
          </w:tcPr>
          <w:p w14:paraId="13A25F79"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924.07</w:t>
            </w:r>
          </w:p>
        </w:tc>
        <w:tc>
          <w:tcPr>
            <w:tcW w:w="952" w:type="pct"/>
            <w:tcBorders>
              <w:left w:val="nil"/>
              <w:bottom w:val="nil"/>
              <w:right w:val="single" w:sz="4" w:space="0" w:color="auto"/>
            </w:tcBorders>
            <w:shd w:val="clear" w:color="auto" w:fill="auto"/>
            <w:noWrap/>
          </w:tcPr>
          <w:p w14:paraId="573567B8"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41.29*</w:t>
            </w:r>
          </w:p>
        </w:tc>
        <w:tc>
          <w:tcPr>
            <w:tcW w:w="952" w:type="pct"/>
            <w:tcBorders>
              <w:left w:val="nil"/>
              <w:bottom w:val="nil"/>
            </w:tcBorders>
            <w:shd w:val="clear" w:color="auto" w:fill="auto"/>
            <w:noWrap/>
          </w:tcPr>
          <w:p w14:paraId="36D8D19D"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38158.38</w:t>
            </w:r>
          </w:p>
        </w:tc>
      </w:tr>
      <w:tr w:rsidR="00861557" w:rsidRPr="00296D0C" w14:paraId="34DEE5B7" w14:textId="77777777" w:rsidTr="0077247E">
        <w:trPr>
          <w:trHeight w:val="300"/>
        </w:trPr>
        <w:tc>
          <w:tcPr>
            <w:tcW w:w="2143" w:type="pct"/>
            <w:tcBorders>
              <w:top w:val="nil"/>
              <w:right w:val="single" w:sz="4" w:space="0" w:color="auto"/>
            </w:tcBorders>
            <w:shd w:val="clear" w:color="auto" w:fill="auto"/>
            <w:noWrap/>
            <w:hideMark/>
          </w:tcPr>
          <w:p w14:paraId="6F9B9721" w14:textId="77777777" w:rsidR="00861557" w:rsidRPr="00296D0C" w:rsidRDefault="00861557" w:rsidP="0077247E">
            <w:pPr>
              <w:keepNext/>
              <w:spacing w:before="40" w:after="40" w:line="240" w:lineRule="auto"/>
              <w:rPr>
                <w:rFonts w:cs="Arial"/>
                <w:color w:val="000000"/>
              </w:rPr>
            </w:pPr>
            <w:r w:rsidRPr="00296D0C">
              <w:rPr>
                <w:rFonts w:cs="Arial"/>
                <w:color w:val="000000"/>
              </w:rPr>
              <w:t>Actors</w:t>
            </w:r>
            <w:r w:rsidRPr="00296D0C">
              <w:rPr>
                <w:rFonts w:cs="Arial"/>
                <w:color w:val="000000"/>
                <w:vertAlign w:val="superscript"/>
              </w:rPr>
              <w:t>b</w:t>
            </w:r>
          </w:p>
        </w:tc>
        <w:tc>
          <w:tcPr>
            <w:tcW w:w="952" w:type="pct"/>
            <w:tcBorders>
              <w:top w:val="nil"/>
              <w:left w:val="single" w:sz="4" w:space="0" w:color="auto"/>
              <w:right w:val="single" w:sz="4" w:space="0" w:color="auto"/>
            </w:tcBorders>
            <w:shd w:val="clear" w:color="auto" w:fill="auto"/>
            <w:noWrap/>
          </w:tcPr>
          <w:p w14:paraId="3F01C998"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1878</w:t>
            </w:r>
          </w:p>
        </w:tc>
        <w:tc>
          <w:tcPr>
            <w:tcW w:w="952" w:type="pct"/>
            <w:tcBorders>
              <w:top w:val="nil"/>
              <w:left w:val="nil"/>
              <w:right w:val="single" w:sz="4" w:space="0" w:color="auto"/>
            </w:tcBorders>
            <w:shd w:val="clear" w:color="auto" w:fill="auto"/>
            <w:noWrap/>
          </w:tcPr>
          <w:p w14:paraId="429FA8C1"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25.34*</w:t>
            </w:r>
          </w:p>
        </w:tc>
        <w:tc>
          <w:tcPr>
            <w:tcW w:w="952" w:type="pct"/>
            <w:tcBorders>
              <w:top w:val="nil"/>
              <w:left w:val="nil"/>
            </w:tcBorders>
            <w:shd w:val="clear" w:color="auto" w:fill="auto"/>
            <w:noWrap/>
          </w:tcPr>
          <w:p w14:paraId="0219DA78"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47588.39</w:t>
            </w:r>
          </w:p>
        </w:tc>
      </w:tr>
      <w:tr w:rsidR="00861557" w:rsidRPr="00296D0C" w14:paraId="067FED1F" w14:textId="77777777" w:rsidTr="0077247E">
        <w:trPr>
          <w:trHeight w:val="300"/>
        </w:trPr>
        <w:tc>
          <w:tcPr>
            <w:tcW w:w="2143" w:type="pct"/>
            <w:tcBorders>
              <w:right w:val="single" w:sz="4" w:space="0" w:color="auto"/>
            </w:tcBorders>
            <w:shd w:val="clear" w:color="auto" w:fill="auto"/>
            <w:noWrap/>
            <w:hideMark/>
          </w:tcPr>
          <w:p w14:paraId="661F7931" w14:textId="77777777" w:rsidR="00861557" w:rsidRPr="00296D0C" w:rsidRDefault="00861557" w:rsidP="0077247E">
            <w:pPr>
              <w:keepNext/>
              <w:spacing w:before="40" w:after="40" w:line="240" w:lineRule="auto"/>
              <w:rPr>
                <w:rFonts w:cs="Arial"/>
                <w:color w:val="000000"/>
              </w:rPr>
            </w:pPr>
            <w:r w:rsidRPr="00296D0C">
              <w:rPr>
                <w:rFonts w:cs="Arial"/>
                <w:color w:val="000000"/>
              </w:rPr>
              <w:t>Travel allowance (Actors)</w:t>
            </w:r>
          </w:p>
        </w:tc>
        <w:tc>
          <w:tcPr>
            <w:tcW w:w="952" w:type="pct"/>
            <w:tcBorders>
              <w:left w:val="single" w:sz="4" w:space="0" w:color="auto"/>
              <w:right w:val="single" w:sz="4" w:space="0" w:color="auto"/>
            </w:tcBorders>
            <w:shd w:val="clear" w:color="auto" w:fill="auto"/>
            <w:noWrap/>
          </w:tcPr>
          <w:p w14:paraId="60794A3B"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w:t>
            </w:r>
          </w:p>
        </w:tc>
        <w:tc>
          <w:tcPr>
            <w:tcW w:w="952" w:type="pct"/>
            <w:tcBorders>
              <w:left w:val="nil"/>
              <w:right w:val="single" w:sz="4" w:space="0" w:color="auto"/>
            </w:tcBorders>
            <w:shd w:val="clear" w:color="auto" w:fill="auto"/>
            <w:noWrap/>
          </w:tcPr>
          <w:p w14:paraId="282195D2"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19.00**</w:t>
            </w:r>
          </w:p>
        </w:tc>
        <w:tc>
          <w:tcPr>
            <w:tcW w:w="952" w:type="pct"/>
            <w:tcBorders>
              <w:left w:val="nil"/>
            </w:tcBorders>
            <w:shd w:val="clear" w:color="auto" w:fill="auto"/>
            <w:noWrap/>
          </w:tcPr>
          <w:p w14:paraId="2B7D71B5"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14250.00</w:t>
            </w:r>
          </w:p>
        </w:tc>
      </w:tr>
      <w:tr w:rsidR="00861557" w:rsidRPr="00296D0C" w14:paraId="407F3D6D" w14:textId="77777777" w:rsidTr="0077247E">
        <w:trPr>
          <w:trHeight w:val="300"/>
        </w:trPr>
        <w:tc>
          <w:tcPr>
            <w:tcW w:w="2143" w:type="pct"/>
            <w:tcBorders>
              <w:bottom w:val="single" w:sz="8" w:space="0" w:color="auto"/>
              <w:right w:val="single" w:sz="4" w:space="0" w:color="auto"/>
            </w:tcBorders>
            <w:shd w:val="clear" w:color="auto" w:fill="auto"/>
            <w:noWrap/>
          </w:tcPr>
          <w:p w14:paraId="74B872DC" w14:textId="77777777" w:rsidR="00861557" w:rsidRPr="00296D0C" w:rsidRDefault="00861557" w:rsidP="0077247E">
            <w:pPr>
              <w:keepNext/>
              <w:spacing w:before="40" w:after="40" w:line="240" w:lineRule="auto"/>
              <w:rPr>
                <w:rFonts w:cs="Arial"/>
                <w:color w:val="000000"/>
              </w:rPr>
            </w:pPr>
            <w:r w:rsidRPr="00296D0C">
              <w:rPr>
                <w:rFonts w:cs="Arial"/>
                <w:color w:val="000000"/>
              </w:rPr>
              <w:t>Other costs</w:t>
            </w:r>
          </w:p>
        </w:tc>
        <w:tc>
          <w:tcPr>
            <w:tcW w:w="952" w:type="pct"/>
            <w:tcBorders>
              <w:left w:val="single" w:sz="4" w:space="0" w:color="auto"/>
              <w:bottom w:val="single" w:sz="8" w:space="0" w:color="auto"/>
              <w:right w:val="single" w:sz="4" w:space="0" w:color="auto"/>
            </w:tcBorders>
            <w:shd w:val="clear" w:color="auto" w:fill="auto"/>
            <w:noWrap/>
          </w:tcPr>
          <w:p w14:paraId="631B4F64"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w:t>
            </w:r>
          </w:p>
        </w:tc>
        <w:tc>
          <w:tcPr>
            <w:tcW w:w="952" w:type="pct"/>
            <w:tcBorders>
              <w:left w:val="nil"/>
              <w:bottom w:val="single" w:sz="8" w:space="0" w:color="auto"/>
              <w:right w:val="single" w:sz="4" w:space="0" w:color="auto"/>
            </w:tcBorders>
            <w:shd w:val="clear" w:color="auto" w:fill="auto"/>
            <w:noWrap/>
          </w:tcPr>
          <w:p w14:paraId="29C197B4"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w:t>
            </w:r>
          </w:p>
        </w:tc>
        <w:tc>
          <w:tcPr>
            <w:tcW w:w="952" w:type="pct"/>
            <w:tcBorders>
              <w:left w:val="nil"/>
              <w:bottom w:val="single" w:sz="8" w:space="0" w:color="auto"/>
            </w:tcBorders>
            <w:shd w:val="clear" w:color="auto" w:fill="auto"/>
            <w:noWrap/>
          </w:tcPr>
          <w:p w14:paraId="02E5AF35"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940.00</w:t>
            </w:r>
          </w:p>
        </w:tc>
      </w:tr>
      <w:tr w:rsidR="00861557" w:rsidRPr="00296D0C" w14:paraId="4F09EC44" w14:textId="77777777" w:rsidTr="0077247E">
        <w:trPr>
          <w:trHeight w:val="300"/>
        </w:trPr>
        <w:tc>
          <w:tcPr>
            <w:tcW w:w="2143" w:type="pct"/>
            <w:tcBorders>
              <w:top w:val="single" w:sz="8" w:space="0" w:color="auto"/>
              <w:bottom w:val="nil"/>
              <w:right w:val="single" w:sz="4" w:space="0" w:color="auto"/>
            </w:tcBorders>
            <w:shd w:val="clear" w:color="auto" w:fill="auto"/>
            <w:noWrap/>
            <w:hideMark/>
          </w:tcPr>
          <w:p w14:paraId="6C6448C7" w14:textId="77777777" w:rsidR="00861557" w:rsidRPr="00296D0C" w:rsidRDefault="00861557" w:rsidP="0077247E">
            <w:pPr>
              <w:keepNext/>
              <w:spacing w:before="40" w:after="40" w:line="240" w:lineRule="auto"/>
              <w:rPr>
                <w:rFonts w:cs="Arial"/>
                <w:color w:val="000000"/>
              </w:rPr>
            </w:pPr>
            <w:r w:rsidRPr="00296D0C">
              <w:rPr>
                <w:rFonts w:cs="Arial"/>
                <w:color w:val="000000"/>
              </w:rPr>
              <w:t>Training:</w:t>
            </w:r>
          </w:p>
        </w:tc>
        <w:tc>
          <w:tcPr>
            <w:tcW w:w="952" w:type="pct"/>
            <w:tcBorders>
              <w:top w:val="single" w:sz="8" w:space="0" w:color="auto"/>
              <w:left w:val="nil"/>
              <w:bottom w:val="nil"/>
              <w:right w:val="single" w:sz="4" w:space="0" w:color="auto"/>
            </w:tcBorders>
            <w:shd w:val="clear" w:color="auto" w:fill="auto"/>
            <w:noWrap/>
          </w:tcPr>
          <w:p w14:paraId="5E48E464" w14:textId="77777777" w:rsidR="00861557" w:rsidRPr="00296D0C" w:rsidRDefault="00861557" w:rsidP="0077247E">
            <w:pPr>
              <w:keepNext/>
              <w:spacing w:before="40" w:after="40" w:line="240" w:lineRule="auto"/>
              <w:jc w:val="right"/>
              <w:rPr>
                <w:rFonts w:cs="Arial"/>
                <w:b/>
                <w:color w:val="000000"/>
              </w:rPr>
            </w:pPr>
          </w:p>
        </w:tc>
        <w:tc>
          <w:tcPr>
            <w:tcW w:w="952" w:type="pct"/>
            <w:tcBorders>
              <w:top w:val="single" w:sz="8" w:space="0" w:color="auto"/>
              <w:left w:val="nil"/>
              <w:bottom w:val="nil"/>
              <w:right w:val="single" w:sz="4" w:space="0" w:color="auto"/>
            </w:tcBorders>
            <w:shd w:val="clear" w:color="auto" w:fill="auto"/>
            <w:noWrap/>
          </w:tcPr>
          <w:p w14:paraId="2D6EB1F6" w14:textId="77777777" w:rsidR="00861557" w:rsidRPr="00296D0C" w:rsidRDefault="00861557" w:rsidP="0077247E">
            <w:pPr>
              <w:keepNext/>
              <w:spacing w:before="40" w:after="40" w:line="240" w:lineRule="auto"/>
              <w:jc w:val="right"/>
              <w:rPr>
                <w:rFonts w:cs="Arial"/>
                <w:b/>
                <w:color w:val="000000"/>
              </w:rPr>
            </w:pPr>
          </w:p>
        </w:tc>
        <w:tc>
          <w:tcPr>
            <w:tcW w:w="952" w:type="pct"/>
            <w:tcBorders>
              <w:top w:val="single" w:sz="8" w:space="0" w:color="auto"/>
              <w:left w:val="nil"/>
              <w:bottom w:val="nil"/>
            </w:tcBorders>
            <w:shd w:val="clear" w:color="auto" w:fill="auto"/>
            <w:noWrap/>
          </w:tcPr>
          <w:p w14:paraId="0AADF7D9" w14:textId="77777777" w:rsidR="00861557" w:rsidRPr="00296D0C" w:rsidRDefault="00861557" w:rsidP="0077247E">
            <w:pPr>
              <w:keepNext/>
              <w:spacing w:before="40" w:after="40" w:line="240" w:lineRule="auto"/>
              <w:jc w:val="right"/>
              <w:rPr>
                <w:rFonts w:cs="Arial"/>
                <w:b/>
                <w:color w:val="000000"/>
              </w:rPr>
            </w:pPr>
            <w:r w:rsidRPr="00296D0C">
              <w:rPr>
                <w:rFonts w:cs="Arial"/>
                <w:b/>
                <w:color w:val="000000"/>
              </w:rPr>
              <w:t> </w:t>
            </w:r>
          </w:p>
        </w:tc>
      </w:tr>
      <w:tr w:rsidR="00861557" w:rsidRPr="00296D0C" w14:paraId="3165A7F0" w14:textId="77777777" w:rsidTr="0077247E">
        <w:trPr>
          <w:trHeight w:val="300"/>
        </w:trPr>
        <w:tc>
          <w:tcPr>
            <w:tcW w:w="2143" w:type="pct"/>
            <w:tcBorders>
              <w:top w:val="nil"/>
              <w:bottom w:val="nil"/>
              <w:right w:val="single" w:sz="4" w:space="0" w:color="auto"/>
            </w:tcBorders>
            <w:shd w:val="clear" w:color="auto" w:fill="auto"/>
            <w:noWrap/>
          </w:tcPr>
          <w:p w14:paraId="4AB9BB87" w14:textId="77777777" w:rsidR="00861557" w:rsidRPr="00296D0C" w:rsidRDefault="00861557" w:rsidP="0077247E">
            <w:pPr>
              <w:keepNext/>
              <w:spacing w:before="40" w:after="40" w:line="240" w:lineRule="auto"/>
              <w:rPr>
                <w:rFonts w:cs="Arial"/>
                <w:color w:val="000000"/>
              </w:rPr>
            </w:pPr>
            <w:r w:rsidRPr="00296D0C">
              <w:rPr>
                <w:rFonts w:cs="Arial"/>
                <w:color w:val="000000"/>
              </w:rPr>
              <w:t>Training HeLP Coordinators</w:t>
            </w:r>
            <w:r w:rsidRPr="00296D0C">
              <w:rPr>
                <w:rFonts w:cs="Arial"/>
                <w:color w:val="000000"/>
                <w:vertAlign w:val="superscript"/>
              </w:rPr>
              <w:t>c</w:t>
            </w:r>
          </w:p>
        </w:tc>
        <w:tc>
          <w:tcPr>
            <w:tcW w:w="952" w:type="pct"/>
            <w:tcBorders>
              <w:top w:val="nil"/>
              <w:left w:val="single" w:sz="4" w:space="0" w:color="auto"/>
              <w:bottom w:val="nil"/>
              <w:right w:val="single" w:sz="4" w:space="0" w:color="auto"/>
            </w:tcBorders>
            <w:shd w:val="clear" w:color="auto" w:fill="auto"/>
            <w:noWrap/>
          </w:tcPr>
          <w:p w14:paraId="525C072E"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w:t>
            </w:r>
          </w:p>
        </w:tc>
        <w:tc>
          <w:tcPr>
            <w:tcW w:w="952" w:type="pct"/>
            <w:tcBorders>
              <w:top w:val="nil"/>
              <w:left w:val="nil"/>
              <w:bottom w:val="nil"/>
              <w:right w:val="single" w:sz="4" w:space="0" w:color="auto"/>
            </w:tcBorders>
            <w:shd w:val="clear" w:color="auto" w:fill="auto"/>
            <w:noWrap/>
          </w:tcPr>
          <w:p w14:paraId="2F8C4116"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w:t>
            </w:r>
          </w:p>
        </w:tc>
        <w:tc>
          <w:tcPr>
            <w:tcW w:w="952" w:type="pct"/>
            <w:tcBorders>
              <w:top w:val="nil"/>
              <w:left w:val="nil"/>
              <w:bottom w:val="nil"/>
            </w:tcBorders>
            <w:shd w:val="clear" w:color="auto" w:fill="auto"/>
            <w:noWrap/>
          </w:tcPr>
          <w:p w14:paraId="32A9A682"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5145.54</w:t>
            </w:r>
          </w:p>
        </w:tc>
      </w:tr>
      <w:tr w:rsidR="00861557" w:rsidRPr="00296D0C" w14:paraId="44B964A9" w14:textId="77777777" w:rsidTr="0077247E">
        <w:trPr>
          <w:trHeight w:val="300"/>
        </w:trPr>
        <w:tc>
          <w:tcPr>
            <w:tcW w:w="2143" w:type="pct"/>
            <w:tcBorders>
              <w:top w:val="nil"/>
              <w:bottom w:val="nil"/>
              <w:right w:val="single" w:sz="4" w:space="0" w:color="auto"/>
            </w:tcBorders>
            <w:shd w:val="clear" w:color="auto" w:fill="auto"/>
            <w:noWrap/>
            <w:hideMark/>
          </w:tcPr>
          <w:p w14:paraId="23E86C72" w14:textId="77777777" w:rsidR="00861557" w:rsidRPr="00296D0C" w:rsidRDefault="00861557" w:rsidP="0077247E">
            <w:pPr>
              <w:keepNext/>
              <w:spacing w:before="40" w:after="40" w:line="240" w:lineRule="auto"/>
              <w:rPr>
                <w:rFonts w:cs="Arial"/>
                <w:color w:val="000000"/>
              </w:rPr>
            </w:pPr>
            <w:r w:rsidRPr="00296D0C">
              <w:rPr>
                <w:rFonts w:cs="Arial"/>
                <w:color w:val="000000"/>
              </w:rPr>
              <w:t>Training Drama</w:t>
            </w:r>
            <w:r w:rsidRPr="00296D0C">
              <w:rPr>
                <w:rFonts w:cs="Arial"/>
                <w:color w:val="000000"/>
                <w:vertAlign w:val="superscript"/>
              </w:rPr>
              <w:t>d</w:t>
            </w:r>
          </w:p>
        </w:tc>
        <w:tc>
          <w:tcPr>
            <w:tcW w:w="952" w:type="pct"/>
            <w:tcBorders>
              <w:top w:val="nil"/>
              <w:left w:val="single" w:sz="4" w:space="0" w:color="auto"/>
              <w:bottom w:val="nil"/>
              <w:right w:val="single" w:sz="4" w:space="0" w:color="auto"/>
            </w:tcBorders>
            <w:shd w:val="clear" w:color="auto" w:fill="auto"/>
            <w:noWrap/>
          </w:tcPr>
          <w:p w14:paraId="2695051E"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w:t>
            </w:r>
          </w:p>
        </w:tc>
        <w:tc>
          <w:tcPr>
            <w:tcW w:w="952" w:type="pct"/>
            <w:tcBorders>
              <w:top w:val="nil"/>
              <w:left w:val="nil"/>
              <w:bottom w:val="nil"/>
              <w:right w:val="single" w:sz="4" w:space="0" w:color="auto"/>
            </w:tcBorders>
            <w:shd w:val="clear" w:color="auto" w:fill="auto"/>
            <w:noWrap/>
          </w:tcPr>
          <w:p w14:paraId="3DF2101D"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w:t>
            </w:r>
          </w:p>
        </w:tc>
        <w:tc>
          <w:tcPr>
            <w:tcW w:w="952" w:type="pct"/>
            <w:tcBorders>
              <w:top w:val="nil"/>
              <w:left w:val="nil"/>
              <w:bottom w:val="nil"/>
            </w:tcBorders>
            <w:shd w:val="clear" w:color="auto" w:fill="auto"/>
            <w:noWrap/>
          </w:tcPr>
          <w:p w14:paraId="0A60F591"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11227.07</w:t>
            </w:r>
          </w:p>
        </w:tc>
      </w:tr>
      <w:tr w:rsidR="00861557" w:rsidRPr="00296D0C" w14:paraId="063DE936" w14:textId="77777777" w:rsidTr="0077247E">
        <w:trPr>
          <w:trHeight w:val="300"/>
        </w:trPr>
        <w:tc>
          <w:tcPr>
            <w:tcW w:w="2143" w:type="pct"/>
            <w:tcBorders>
              <w:top w:val="single" w:sz="8" w:space="0" w:color="auto"/>
              <w:bottom w:val="single" w:sz="8" w:space="0" w:color="auto"/>
              <w:right w:val="single" w:sz="4" w:space="0" w:color="auto"/>
            </w:tcBorders>
            <w:shd w:val="clear" w:color="auto" w:fill="auto"/>
            <w:noWrap/>
            <w:hideMark/>
          </w:tcPr>
          <w:p w14:paraId="17578EF3" w14:textId="77777777" w:rsidR="00861557" w:rsidRPr="00296D0C" w:rsidRDefault="00861557" w:rsidP="0077247E">
            <w:pPr>
              <w:keepNext/>
              <w:spacing w:before="40" w:after="40" w:line="240" w:lineRule="auto"/>
              <w:rPr>
                <w:rFonts w:cs="Arial"/>
                <w:color w:val="000000"/>
              </w:rPr>
            </w:pPr>
            <w:r w:rsidRPr="00296D0C">
              <w:rPr>
                <w:rFonts w:cs="Arial"/>
                <w:color w:val="000000"/>
              </w:rPr>
              <w:t>Total Cost</w:t>
            </w:r>
          </w:p>
        </w:tc>
        <w:tc>
          <w:tcPr>
            <w:tcW w:w="952" w:type="pct"/>
            <w:tcBorders>
              <w:top w:val="single" w:sz="8" w:space="0" w:color="auto"/>
              <w:left w:val="nil"/>
              <w:bottom w:val="single" w:sz="8" w:space="0" w:color="auto"/>
              <w:right w:val="single" w:sz="4" w:space="0" w:color="auto"/>
            </w:tcBorders>
            <w:shd w:val="clear" w:color="auto" w:fill="auto"/>
            <w:noWrap/>
          </w:tcPr>
          <w:p w14:paraId="1513B4CE"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w:t>
            </w:r>
          </w:p>
        </w:tc>
        <w:tc>
          <w:tcPr>
            <w:tcW w:w="952" w:type="pct"/>
            <w:tcBorders>
              <w:top w:val="single" w:sz="8" w:space="0" w:color="auto"/>
              <w:left w:val="nil"/>
              <w:bottom w:val="single" w:sz="8" w:space="0" w:color="auto"/>
              <w:right w:val="single" w:sz="4" w:space="0" w:color="auto"/>
            </w:tcBorders>
            <w:shd w:val="clear" w:color="auto" w:fill="auto"/>
            <w:noWrap/>
          </w:tcPr>
          <w:p w14:paraId="300C02FA"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w:t>
            </w:r>
          </w:p>
        </w:tc>
        <w:tc>
          <w:tcPr>
            <w:tcW w:w="952" w:type="pct"/>
            <w:tcBorders>
              <w:top w:val="single" w:sz="8" w:space="0" w:color="auto"/>
              <w:left w:val="nil"/>
              <w:bottom w:val="single" w:sz="8" w:space="0" w:color="auto"/>
            </w:tcBorders>
            <w:shd w:val="clear" w:color="auto" w:fill="auto"/>
            <w:noWrap/>
          </w:tcPr>
          <w:p w14:paraId="57DAF6E1"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174697.07</w:t>
            </w:r>
          </w:p>
        </w:tc>
      </w:tr>
      <w:tr w:rsidR="00861557" w:rsidRPr="00296D0C" w14:paraId="014A19D9" w14:textId="77777777" w:rsidTr="0077247E">
        <w:trPr>
          <w:trHeight w:val="300"/>
        </w:trPr>
        <w:tc>
          <w:tcPr>
            <w:tcW w:w="2143" w:type="pct"/>
            <w:tcBorders>
              <w:top w:val="single" w:sz="8" w:space="0" w:color="auto"/>
              <w:bottom w:val="single" w:sz="8" w:space="0" w:color="auto"/>
              <w:right w:val="single" w:sz="4" w:space="0" w:color="auto"/>
            </w:tcBorders>
            <w:shd w:val="clear" w:color="auto" w:fill="auto"/>
            <w:noWrap/>
          </w:tcPr>
          <w:p w14:paraId="10287D6F" w14:textId="77777777" w:rsidR="00861557" w:rsidRPr="00296D0C" w:rsidRDefault="00861557" w:rsidP="0077247E">
            <w:pPr>
              <w:keepNext/>
              <w:spacing w:before="40" w:after="40" w:line="240" w:lineRule="auto"/>
              <w:rPr>
                <w:rFonts w:cs="Arial"/>
                <w:color w:val="000000"/>
              </w:rPr>
            </w:pPr>
            <w:r w:rsidRPr="00296D0C">
              <w:rPr>
                <w:rFonts w:cs="Arial"/>
                <w:color w:val="000000"/>
              </w:rPr>
              <w:t>Cost per participant</w:t>
            </w:r>
          </w:p>
        </w:tc>
        <w:tc>
          <w:tcPr>
            <w:tcW w:w="952" w:type="pct"/>
            <w:tcBorders>
              <w:top w:val="single" w:sz="8" w:space="0" w:color="auto"/>
              <w:left w:val="nil"/>
              <w:bottom w:val="single" w:sz="8" w:space="0" w:color="auto"/>
              <w:right w:val="single" w:sz="4" w:space="0" w:color="auto"/>
            </w:tcBorders>
            <w:shd w:val="clear" w:color="auto" w:fill="auto"/>
            <w:noWrap/>
          </w:tcPr>
          <w:p w14:paraId="7C60C35E"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w:t>
            </w:r>
          </w:p>
        </w:tc>
        <w:tc>
          <w:tcPr>
            <w:tcW w:w="952" w:type="pct"/>
            <w:tcBorders>
              <w:top w:val="single" w:sz="8" w:space="0" w:color="auto"/>
              <w:left w:val="nil"/>
              <w:bottom w:val="single" w:sz="8" w:space="0" w:color="auto"/>
              <w:right w:val="single" w:sz="4" w:space="0" w:color="auto"/>
            </w:tcBorders>
            <w:shd w:val="clear" w:color="auto" w:fill="auto"/>
            <w:noWrap/>
          </w:tcPr>
          <w:p w14:paraId="2733E842"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w:t>
            </w:r>
          </w:p>
        </w:tc>
        <w:tc>
          <w:tcPr>
            <w:tcW w:w="952" w:type="pct"/>
            <w:tcBorders>
              <w:top w:val="single" w:sz="8" w:space="0" w:color="auto"/>
              <w:left w:val="nil"/>
              <w:bottom w:val="single" w:sz="8" w:space="0" w:color="auto"/>
            </w:tcBorders>
            <w:shd w:val="clear" w:color="auto" w:fill="auto"/>
            <w:noWrap/>
          </w:tcPr>
          <w:p w14:paraId="0D61F03D"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258.43</w:t>
            </w:r>
          </w:p>
        </w:tc>
      </w:tr>
    </w:tbl>
    <w:p w14:paraId="12CE4A77" w14:textId="77777777" w:rsidR="00861557" w:rsidRPr="00296D0C" w:rsidRDefault="00861557" w:rsidP="00861557">
      <w:pPr>
        <w:spacing w:after="100" w:line="240" w:lineRule="auto"/>
        <w:ind w:left="284" w:hanging="284"/>
        <w:rPr>
          <w:rFonts w:cs="Arial"/>
          <w:color w:val="000000"/>
        </w:rPr>
      </w:pPr>
      <w:r w:rsidRPr="00296D0C">
        <w:rPr>
          <w:rFonts w:cs="Arial"/>
          <w:color w:val="000000"/>
        </w:rPr>
        <w:t>Key: hr(s) = hour(s)</w:t>
      </w:r>
    </w:p>
    <w:p w14:paraId="0F0B664A" w14:textId="77777777" w:rsidR="00861557" w:rsidRPr="00296D0C" w:rsidRDefault="00861557" w:rsidP="00861557">
      <w:pPr>
        <w:spacing w:line="240" w:lineRule="auto"/>
        <w:ind w:left="284" w:hanging="284"/>
        <w:rPr>
          <w:rFonts w:cs="Arial"/>
          <w:color w:val="000000"/>
        </w:rPr>
      </w:pPr>
      <w:r w:rsidRPr="00296D0C">
        <w:rPr>
          <w:rFonts w:cs="Arial"/>
          <w:color w:val="000000"/>
        </w:rPr>
        <w:t xml:space="preserve">Notes: </w:t>
      </w:r>
      <w:r w:rsidRPr="00296D0C">
        <w:rPr>
          <w:rFonts w:cs="Arial"/>
          <w:color w:val="000000"/>
          <w:vertAlign w:val="superscript"/>
        </w:rPr>
        <w:t>a</w:t>
      </w:r>
      <w:r w:rsidRPr="00296D0C">
        <w:rPr>
          <w:rFonts w:cs="Arial"/>
          <w:color w:val="000000"/>
        </w:rPr>
        <w:t xml:space="preserve"> Includes contact and non-contact (preparation and travel time); </w:t>
      </w:r>
      <w:r w:rsidRPr="00296D0C">
        <w:rPr>
          <w:rFonts w:cs="Arial"/>
          <w:color w:val="000000"/>
          <w:vertAlign w:val="superscript"/>
        </w:rPr>
        <w:t>b</w:t>
      </w:r>
      <w:r w:rsidRPr="00296D0C">
        <w:rPr>
          <w:rFonts w:cs="Arial"/>
          <w:color w:val="000000"/>
        </w:rPr>
        <w:t xml:space="preserve"> Includes contact and non-contact (preparation time); </w:t>
      </w:r>
      <w:r w:rsidRPr="00296D0C">
        <w:rPr>
          <w:rFonts w:cs="Arial"/>
          <w:color w:val="000000"/>
          <w:vertAlign w:val="superscript"/>
        </w:rPr>
        <w:t>c</w:t>
      </w:r>
      <w:r w:rsidRPr="00296D0C">
        <w:rPr>
          <w:rFonts w:cs="Arial"/>
          <w:color w:val="000000"/>
        </w:rPr>
        <w:t xml:space="preserve"> Based on 2 HeLP Coordinators; </w:t>
      </w:r>
      <w:r w:rsidRPr="00296D0C">
        <w:rPr>
          <w:rFonts w:cs="Arial"/>
          <w:color w:val="000000"/>
          <w:vertAlign w:val="superscript"/>
        </w:rPr>
        <w:t>d</w:t>
      </w:r>
      <w:r w:rsidRPr="00296D0C">
        <w:rPr>
          <w:rFonts w:cs="Arial"/>
          <w:color w:val="000000"/>
        </w:rPr>
        <w:t xml:space="preserve"> Based on 2 drama teams</w:t>
      </w:r>
    </w:p>
    <w:p w14:paraId="435FE68F" w14:textId="77777777" w:rsidR="00861557" w:rsidRPr="00296D0C" w:rsidRDefault="00861557" w:rsidP="005126C2">
      <w:pPr>
        <w:pStyle w:val="Heading4"/>
        <w:spacing w:line="360" w:lineRule="auto"/>
        <w:rPr>
          <w:rFonts w:asciiTheme="minorHAnsi" w:hAnsiTheme="minorHAnsi" w:cs="Arial"/>
          <w:b w:val="0"/>
          <w:i w:val="0"/>
          <w:color w:val="auto"/>
        </w:rPr>
      </w:pPr>
      <w:bookmarkStart w:id="484" w:name="_Ref436301131"/>
      <w:bookmarkStart w:id="485" w:name="_Toc436311675"/>
      <w:r w:rsidRPr="00296D0C">
        <w:rPr>
          <w:rFonts w:asciiTheme="minorHAnsi" w:hAnsiTheme="minorHAnsi" w:cs="Arial"/>
          <w:i w:val="0"/>
          <w:color w:val="auto"/>
        </w:rPr>
        <w:t>SA2: Inclusion of teacher time</w:t>
      </w:r>
      <w:bookmarkEnd w:id="484"/>
      <w:bookmarkEnd w:id="485"/>
      <w:r w:rsidRPr="00296D0C">
        <w:rPr>
          <w:rFonts w:asciiTheme="minorHAnsi" w:hAnsiTheme="minorHAnsi" w:cs="Arial"/>
          <w:i w:val="0"/>
          <w:color w:val="auto"/>
        </w:rPr>
        <w:t>/costs, added to base case estimates</w:t>
      </w:r>
    </w:p>
    <w:p w14:paraId="511CCA96" w14:textId="7E2E5FBD" w:rsidR="00861557" w:rsidRPr="00296D0C" w:rsidRDefault="00861557" w:rsidP="005126C2">
      <w:pPr>
        <w:spacing w:after="0" w:line="360" w:lineRule="auto"/>
        <w:rPr>
          <w:rFonts w:cs="Arial"/>
        </w:rPr>
      </w:pPr>
      <w:r w:rsidRPr="00296D0C">
        <w:rPr>
          <w:rFonts w:cs="Arial"/>
        </w:rPr>
        <w:t xml:space="preserve">Based on prior consideration and pilot research it is not expected that </w:t>
      </w:r>
      <w:r w:rsidR="005126C2" w:rsidRPr="00296D0C">
        <w:rPr>
          <w:rFonts w:cs="Arial"/>
        </w:rPr>
        <w:t>t</w:t>
      </w:r>
      <w:r w:rsidRPr="00296D0C">
        <w:rPr>
          <w:rFonts w:cs="Arial"/>
        </w:rPr>
        <w:t xml:space="preserve">eacher time inputs, around HeLP activities, </w:t>
      </w:r>
      <w:r w:rsidR="005126C2" w:rsidRPr="00296D0C">
        <w:rPr>
          <w:rFonts w:cs="Arial"/>
        </w:rPr>
        <w:t>are</w:t>
      </w:r>
      <w:r w:rsidRPr="00296D0C">
        <w:rPr>
          <w:rFonts w:cs="Arial"/>
        </w:rPr>
        <w:t xml:space="preserve"> additional/incremental to usual activities (</w:t>
      </w:r>
      <w:r w:rsidR="005126C2" w:rsidRPr="00296D0C">
        <w:rPr>
          <w:rFonts w:cs="Arial"/>
        </w:rPr>
        <w:t xml:space="preserve">i.e </w:t>
      </w:r>
      <w:r w:rsidRPr="00296D0C">
        <w:rPr>
          <w:rFonts w:cs="Arial"/>
        </w:rPr>
        <w:t xml:space="preserve">usual teaching practice).  However, </w:t>
      </w:r>
      <w:r w:rsidRPr="00296D0C">
        <w:rPr>
          <w:rFonts w:cs="Arial"/>
        </w:rPr>
        <w:lastRenderedPageBreak/>
        <w:t>we have explored this in sensitivity analysis, and have estimated costs here including Teacher time with a unit cost of £21 per hour (£160 per day) for Teacher time (assuming any additional time inputs will be covered using a Supply Teacher).  This hourly rate is based on published guidance from the N</w:t>
      </w:r>
      <w:r w:rsidR="006A20B7">
        <w:rPr>
          <w:rFonts w:cs="Arial"/>
        </w:rPr>
        <w:t xml:space="preserve">ational </w:t>
      </w:r>
      <w:r w:rsidRPr="00296D0C">
        <w:rPr>
          <w:rFonts w:cs="Arial"/>
        </w:rPr>
        <w:t>A</w:t>
      </w:r>
      <w:r w:rsidR="006A20B7">
        <w:rPr>
          <w:rFonts w:cs="Arial"/>
        </w:rPr>
        <w:t>ssociation of Schoolmasters Union of Women Teachers (NASUWT)</w:t>
      </w:r>
      <w:r w:rsidR="00613FD4" w:rsidRPr="00296D0C">
        <w:rPr>
          <w:rFonts w:cs="Arial"/>
        </w:rPr>
        <w:t xml:space="preserve"> </w:t>
      </w:r>
      <w:r w:rsidR="00613FD4" w:rsidRPr="00296D0C">
        <w:rPr>
          <w:rFonts w:cs="Arial"/>
        </w:rPr>
        <w:fldChar w:fldCharType="begin"/>
      </w:r>
      <w:r w:rsidR="00931E9F">
        <w:rPr>
          <w:rFonts w:cs="Arial"/>
        </w:rPr>
        <w:instrText xml:space="preserve"> ADDIN EN.CITE &lt;EndNote&gt;&lt;Cite ExcludeYear="1"&gt;&lt;Author&gt;NASUWT The Teachers&amp;apos; Union&lt;/Author&gt;&lt;RecNum&gt;5778&lt;/RecNum&gt;&lt;DisplayText&gt;&lt;style face="superscript"&gt;57&lt;/style&gt;&lt;/DisplayText&gt;&lt;record&gt;&lt;rec-number&gt;5778&lt;/rec-number&gt;&lt;foreign-keys&gt;&lt;key app="EN" db-id="2ewa9rrvjsdsawep2vpx5x97eedzzvxx5rta" timestamp="1478684276"&gt;5778&lt;/key&gt;&lt;/foreign-keys&gt;&lt;ref-type name="Web Page"&gt;12&lt;/ref-type&gt;&lt;contributors&gt;&lt;authors&gt;&lt;author&gt;NASUWT The Teachers&amp;apos; Union,&lt;/author&gt;&lt;/authors&gt;&lt;/contributors&gt;&lt;titles&gt;&lt;/titles&gt;&lt;number&gt;3 June 2016&lt;/number&gt;&lt;dates&gt;&lt;/dates&gt;&lt;urls&gt;&lt;related-urls&gt;&lt;url&gt;https://www.nasuwt.org.uk/&lt;/url&gt;&lt;/related-urls&gt;&lt;/urls&gt;&lt;/record&gt;&lt;/Cite&gt;&lt;/EndNote&gt;</w:instrText>
      </w:r>
      <w:r w:rsidR="00613FD4" w:rsidRPr="00296D0C">
        <w:rPr>
          <w:rFonts w:cs="Arial"/>
        </w:rPr>
        <w:fldChar w:fldCharType="separate"/>
      </w:r>
      <w:r w:rsidR="008C43BF" w:rsidRPr="008C43BF">
        <w:rPr>
          <w:rFonts w:cs="Arial"/>
          <w:noProof/>
          <w:vertAlign w:val="superscript"/>
        </w:rPr>
        <w:t>57</w:t>
      </w:r>
      <w:r w:rsidR="00613FD4" w:rsidRPr="00296D0C">
        <w:rPr>
          <w:rFonts w:cs="Arial"/>
        </w:rPr>
        <w:fldChar w:fldCharType="end"/>
      </w:r>
      <w:r w:rsidRPr="00296D0C">
        <w:rPr>
          <w:rFonts w:cs="Arial"/>
        </w:rPr>
        <w:t xml:space="preserve">  on Supply Teacher rates of payment (see Table </w:t>
      </w:r>
      <w:r w:rsidR="002E0A18" w:rsidRPr="00296D0C">
        <w:rPr>
          <w:rFonts w:cs="Arial"/>
        </w:rPr>
        <w:t>1</w:t>
      </w:r>
      <w:r w:rsidR="00472BD5">
        <w:rPr>
          <w:rFonts w:cs="Arial"/>
        </w:rPr>
        <w:t>7</w:t>
      </w:r>
      <w:r w:rsidRPr="00296D0C">
        <w:rPr>
          <w:rFonts w:cs="Arial"/>
        </w:rPr>
        <w:t xml:space="preserve">).  </w:t>
      </w:r>
    </w:p>
    <w:p w14:paraId="6C8183F3" w14:textId="77777777" w:rsidR="005126C2" w:rsidRPr="00296D0C" w:rsidRDefault="005126C2" w:rsidP="000D0114">
      <w:pPr>
        <w:spacing w:after="0" w:line="360" w:lineRule="auto"/>
        <w:rPr>
          <w:rFonts w:cs="Arial"/>
        </w:rPr>
      </w:pPr>
    </w:p>
    <w:p w14:paraId="5894BB5A" w14:textId="541BCA3F" w:rsidR="00861557" w:rsidRPr="00296D0C" w:rsidRDefault="00861557" w:rsidP="000D0114">
      <w:pPr>
        <w:spacing w:after="0" w:line="360" w:lineRule="auto"/>
        <w:rPr>
          <w:rFonts w:cs="Arial"/>
        </w:rPr>
      </w:pPr>
      <w:r w:rsidRPr="00296D0C">
        <w:rPr>
          <w:rFonts w:cs="Arial"/>
        </w:rPr>
        <w:t xml:space="preserve">In this scenario the total costs for the delivery of HeLP increase modestly, by less than £13 per child, from £214.13 per participant, to £227 per participant, based on the aggregate costing framework (Table </w:t>
      </w:r>
      <w:r w:rsidR="000075CE" w:rsidRPr="00296D0C">
        <w:rPr>
          <w:rFonts w:cs="Arial"/>
        </w:rPr>
        <w:t>2</w:t>
      </w:r>
      <w:r w:rsidR="00472BD5">
        <w:rPr>
          <w:rFonts w:cs="Arial"/>
        </w:rPr>
        <w:t>4</w:t>
      </w:r>
      <w:r w:rsidRPr="00296D0C">
        <w:rPr>
          <w:rFonts w:cs="Arial"/>
        </w:rPr>
        <w:t xml:space="preserve">), and total (mean) costs increase by school-class scenario from £5,724 (£229) and £15,390 (£205) for schools with 1-class and 3-classes respectively, to £6,090 (£243) and £16,249 (£216). </w:t>
      </w:r>
    </w:p>
    <w:p w14:paraId="3FAFF677" w14:textId="77777777" w:rsidR="005126C2" w:rsidRPr="00296D0C" w:rsidRDefault="005126C2" w:rsidP="00861557">
      <w:pPr>
        <w:pStyle w:val="Caption"/>
        <w:rPr>
          <w:rFonts w:cs="Arial"/>
          <w:i w:val="0"/>
          <w:color w:val="auto"/>
          <w:sz w:val="22"/>
          <w:szCs w:val="22"/>
        </w:rPr>
      </w:pPr>
    </w:p>
    <w:p w14:paraId="5CE443E2" w14:textId="492AC501" w:rsidR="00861557" w:rsidRPr="00296D0C" w:rsidRDefault="00861557" w:rsidP="00861557">
      <w:pPr>
        <w:pStyle w:val="Caption"/>
        <w:rPr>
          <w:rFonts w:cs="Arial"/>
          <w:b/>
          <w:i w:val="0"/>
          <w:color w:val="auto"/>
          <w:spacing w:val="20"/>
          <w:sz w:val="22"/>
          <w:szCs w:val="22"/>
        </w:rPr>
      </w:pPr>
      <w:r w:rsidRPr="00296D0C">
        <w:rPr>
          <w:rFonts w:cs="Arial"/>
          <w:b/>
          <w:i w:val="0"/>
          <w:color w:val="auto"/>
          <w:sz w:val="22"/>
          <w:szCs w:val="22"/>
        </w:rPr>
        <w:t>T</w:t>
      </w:r>
      <w:r w:rsidR="000075CE" w:rsidRPr="00296D0C">
        <w:rPr>
          <w:rFonts w:cs="Arial"/>
          <w:b/>
          <w:i w:val="0"/>
          <w:color w:val="auto"/>
          <w:sz w:val="22"/>
          <w:szCs w:val="22"/>
        </w:rPr>
        <w:t>ABLE</w:t>
      </w:r>
      <w:r w:rsidRPr="00296D0C">
        <w:rPr>
          <w:rFonts w:cs="Arial"/>
          <w:b/>
          <w:i w:val="0"/>
          <w:color w:val="auto"/>
          <w:sz w:val="22"/>
          <w:szCs w:val="22"/>
        </w:rPr>
        <w:t xml:space="preserve"> </w:t>
      </w:r>
      <w:r w:rsidR="000075CE" w:rsidRPr="00296D0C">
        <w:rPr>
          <w:rFonts w:cs="Arial"/>
          <w:b/>
          <w:i w:val="0"/>
          <w:color w:val="auto"/>
          <w:sz w:val="22"/>
          <w:szCs w:val="22"/>
        </w:rPr>
        <w:t>2</w:t>
      </w:r>
      <w:r w:rsidR="00472BD5">
        <w:rPr>
          <w:rFonts w:cs="Arial"/>
          <w:b/>
          <w:i w:val="0"/>
          <w:color w:val="auto"/>
          <w:sz w:val="22"/>
          <w:szCs w:val="22"/>
        </w:rPr>
        <w:t>4</w:t>
      </w:r>
      <w:r w:rsidRPr="00296D0C">
        <w:rPr>
          <w:rFonts w:cs="Arial"/>
          <w:b/>
          <w:i w:val="0"/>
          <w:color w:val="auto"/>
          <w:sz w:val="22"/>
          <w:szCs w:val="22"/>
        </w:rPr>
        <w:t xml:space="preserve"> Sensitivity Analysis</w:t>
      </w:r>
      <w:r w:rsidR="009463BC" w:rsidRPr="00296D0C">
        <w:rPr>
          <w:rFonts w:cs="Arial"/>
          <w:b/>
          <w:i w:val="0"/>
          <w:color w:val="auto"/>
          <w:sz w:val="22"/>
          <w:szCs w:val="22"/>
        </w:rPr>
        <w:t xml:space="preserve"> </w:t>
      </w:r>
      <w:r w:rsidR="000075CE" w:rsidRPr="00296D0C">
        <w:rPr>
          <w:rFonts w:cs="Arial"/>
          <w:b/>
          <w:i w:val="0"/>
          <w:color w:val="auto"/>
          <w:sz w:val="22"/>
          <w:szCs w:val="22"/>
        </w:rPr>
        <w:t>(SA2)</w:t>
      </w:r>
      <w:r w:rsidRPr="00296D0C">
        <w:rPr>
          <w:rFonts w:cs="Arial"/>
          <w:b/>
          <w:i w:val="0"/>
          <w:color w:val="auto"/>
          <w:sz w:val="22"/>
          <w:szCs w:val="22"/>
        </w:rPr>
        <w:t>: Estimated cost for delivery of HeLP (total cost, across 16 schools, 27 classes) including costs for Teacher time.</w:t>
      </w:r>
    </w:p>
    <w:tbl>
      <w:tblPr>
        <w:tblW w:w="4966" w:type="pct"/>
        <w:tblLayout w:type="fixed"/>
        <w:tblLook w:val="04A0" w:firstRow="1" w:lastRow="0" w:firstColumn="1" w:lastColumn="0" w:noHBand="0" w:noVBand="1"/>
      </w:tblPr>
      <w:tblGrid>
        <w:gridCol w:w="3842"/>
        <w:gridCol w:w="1709"/>
        <w:gridCol w:w="1707"/>
        <w:gridCol w:w="1707"/>
      </w:tblGrid>
      <w:tr w:rsidR="00861557" w:rsidRPr="00296D0C" w14:paraId="6F047F18" w14:textId="77777777" w:rsidTr="0077247E">
        <w:trPr>
          <w:trHeight w:val="300"/>
          <w:tblHeader/>
        </w:trPr>
        <w:tc>
          <w:tcPr>
            <w:tcW w:w="2143" w:type="pct"/>
            <w:tcBorders>
              <w:top w:val="single" w:sz="8" w:space="0" w:color="auto"/>
              <w:bottom w:val="single" w:sz="4" w:space="0" w:color="auto"/>
              <w:right w:val="single" w:sz="4" w:space="0" w:color="auto"/>
            </w:tcBorders>
            <w:shd w:val="clear" w:color="auto" w:fill="auto"/>
            <w:noWrap/>
            <w:hideMark/>
          </w:tcPr>
          <w:p w14:paraId="3C0D2D49" w14:textId="77777777" w:rsidR="00861557" w:rsidRPr="00296D0C" w:rsidRDefault="00861557" w:rsidP="0077247E">
            <w:pPr>
              <w:keepNext/>
              <w:spacing w:before="40" w:after="40" w:line="240" w:lineRule="auto"/>
              <w:rPr>
                <w:rFonts w:cs="Arial"/>
                <w:color w:val="000000"/>
              </w:rPr>
            </w:pPr>
            <w:r w:rsidRPr="00296D0C">
              <w:rPr>
                <w:rFonts w:cs="Arial"/>
                <w:color w:val="000000"/>
              </w:rPr>
              <w:t> </w:t>
            </w:r>
          </w:p>
        </w:tc>
        <w:tc>
          <w:tcPr>
            <w:tcW w:w="953" w:type="pct"/>
            <w:tcBorders>
              <w:top w:val="single" w:sz="8" w:space="0" w:color="auto"/>
              <w:left w:val="nil"/>
              <w:bottom w:val="single" w:sz="4" w:space="0" w:color="auto"/>
              <w:right w:val="single" w:sz="4" w:space="0" w:color="auto"/>
            </w:tcBorders>
            <w:shd w:val="clear" w:color="auto" w:fill="auto"/>
            <w:noWrap/>
            <w:hideMark/>
          </w:tcPr>
          <w:p w14:paraId="608F30D8" w14:textId="77777777" w:rsidR="00861557" w:rsidRPr="00296D0C" w:rsidRDefault="00861557" w:rsidP="0077247E">
            <w:pPr>
              <w:keepNext/>
              <w:spacing w:before="40" w:after="40" w:line="240" w:lineRule="auto"/>
              <w:rPr>
                <w:rFonts w:cs="Arial"/>
                <w:bCs/>
                <w:color w:val="000000"/>
              </w:rPr>
            </w:pPr>
            <w:r w:rsidRPr="00296D0C">
              <w:rPr>
                <w:rFonts w:cs="Arial"/>
                <w:bCs/>
                <w:color w:val="000000"/>
              </w:rPr>
              <w:t>Mean (hrs)</w:t>
            </w:r>
          </w:p>
        </w:tc>
        <w:tc>
          <w:tcPr>
            <w:tcW w:w="952" w:type="pct"/>
            <w:tcBorders>
              <w:top w:val="single" w:sz="8" w:space="0" w:color="auto"/>
              <w:left w:val="nil"/>
              <w:bottom w:val="single" w:sz="4" w:space="0" w:color="auto"/>
              <w:right w:val="single" w:sz="4" w:space="0" w:color="auto"/>
            </w:tcBorders>
            <w:shd w:val="clear" w:color="auto" w:fill="auto"/>
            <w:noWrap/>
            <w:hideMark/>
          </w:tcPr>
          <w:p w14:paraId="7051BAD0" w14:textId="77777777" w:rsidR="00861557" w:rsidRPr="00296D0C" w:rsidRDefault="00861557" w:rsidP="0077247E">
            <w:pPr>
              <w:keepNext/>
              <w:spacing w:before="40" w:after="40" w:line="240" w:lineRule="auto"/>
              <w:rPr>
                <w:rFonts w:cs="Arial"/>
                <w:bCs/>
                <w:color w:val="000000"/>
              </w:rPr>
            </w:pPr>
            <w:r w:rsidRPr="00296D0C">
              <w:rPr>
                <w:rFonts w:cs="Arial"/>
                <w:bCs/>
                <w:color w:val="000000"/>
              </w:rPr>
              <w:t>Unit cost £</w:t>
            </w:r>
          </w:p>
          <w:p w14:paraId="0A78B06E" w14:textId="5293E855" w:rsidR="00861557" w:rsidRPr="00296D0C" w:rsidRDefault="00861557" w:rsidP="00780F13">
            <w:pPr>
              <w:keepNext/>
              <w:spacing w:before="40" w:after="40" w:line="240" w:lineRule="auto"/>
              <w:rPr>
                <w:rFonts w:cs="Arial"/>
                <w:bCs/>
                <w:color w:val="000000"/>
              </w:rPr>
            </w:pPr>
            <w:r w:rsidRPr="00296D0C">
              <w:rPr>
                <w:rFonts w:cs="Arial"/>
                <w:bCs/>
                <w:color w:val="000000"/>
              </w:rPr>
              <w:t>per hr* or £ per day**</w:t>
            </w:r>
          </w:p>
        </w:tc>
        <w:tc>
          <w:tcPr>
            <w:tcW w:w="952" w:type="pct"/>
            <w:tcBorders>
              <w:top w:val="single" w:sz="8" w:space="0" w:color="auto"/>
              <w:left w:val="nil"/>
              <w:bottom w:val="single" w:sz="4" w:space="0" w:color="auto"/>
            </w:tcBorders>
            <w:shd w:val="clear" w:color="auto" w:fill="auto"/>
            <w:noWrap/>
            <w:hideMark/>
          </w:tcPr>
          <w:p w14:paraId="531530F8" w14:textId="77777777" w:rsidR="00861557" w:rsidRPr="00296D0C" w:rsidRDefault="00861557" w:rsidP="0077247E">
            <w:pPr>
              <w:keepNext/>
              <w:spacing w:before="40" w:after="40" w:line="240" w:lineRule="auto"/>
              <w:rPr>
                <w:rFonts w:cs="Arial"/>
                <w:bCs/>
                <w:color w:val="000000"/>
              </w:rPr>
            </w:pPr>
            <w:r w:rsidRPr="00296D0C">
              <w:rPr>
                <w:rFonts w:cs="Arial"/>
                <w:bCs/>
                <w:color w:val="000000"/>
              </w:rPr>
              <w:t>Total cost £</w:t>
            </w:r>
          </w:p>
        </w:tc>
      </w:tr>
      <w:tr w:rsidR="00861557" w:rsidRPr="00296D0C" w14:paraId="0BE20E88" w14:textId="77777777" w:rsidTr="0077247E">
        <w:trPr>
          <w:trHeight w:val="300"/>
        </w:trPr>
        <w:tc>
          <w:tcPr>
            <w:tcW w:w="2143" w:type="pct"/>
            <w:tcBorders>
              <w:top w:val="single" w:sz="4" w:space="0" w:color="auto"/>
              <w:bottom w:val="nil"/>
              <w:right w:val="single" w:sz="4" w:space="0" w:color="auto"/>
            </w:tcBorders>
            <w:shd w:val="clear" w:color="auto" w:fill="auto"/>
            <w:noWrap/>
          </w:tcPr>
          <w:p w14:paraId="1A8CB63B" w14:textId="77777777" w:rsidR="00861557" w:rsidRPr="00296D0C" w:rsidRDefault="00861557" w:rsidP="0077247E">
            <w:pPr>
              <w:keepNext/>
              <w:spacing w:before="40" w:after="40" w:line="240" w:lineRule="auto"/>
              <w:rPr>
                <w:rFonts w:cs="Arial"/>
                <w:color w:val="000000"/>
              </w:rPr>
            </w:pPr>
            <w:r w:rsidRPr="00296D0C">
              <w:rPr>
                <w:rFonts w:cs="Arial"/>
                <w:color w:val="000000"/>
              </w:rPr>
              <w:t>HeLP Coordinator</w:t>
            </w:r>
            <w:r w:rsidRPr="00296D0C">
              <w:rPr>
                <w:rFonts w:cs="Arial"/>
                <w:color w:val="000000"/>
                <w:vertAlign w:val="superscript"/>
              </w:rPr>
              <w:t>a</w:t>
            </w:r>
          </w:p>
        </w:tc>
        <w:tc>
          <w:tcPr>
            <w:tcW w:w="953" w:type="pct"/>
            <w:tcBorders>
              <w:top w:val="single" w:sz="4" w:space="0" w:color="auto"/>
              <w:left w:val="nil"/>
              <w:bottom w:val="nil"/>
              <w:right w:val="single" w:sz="4" w:space="0" w:color="auto"/>
            </w:tcBorders>
            <w:shd w:val="clear" w:color="auto" w:fill="auto"/>
            <w:noWrap/>
          </w:tcPr>
          <w:p w14:paraId="2337A850"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1298.83</w:t>
            </w:r>
          </w:p>
        </w:tc>
        <w:tc>
          <w:tcPr>
            <w:tcW w:w="952" w:type="pct"/>
            <w:tcBorders>
              <w:top w:val="single" w:sz="4" w:space="0" w:color="auto"/>
              <w:left w:val="nil"/>
              <w:bottom w:val="nil"/>
              <w:right w:val="single" w:sz="4" w:space="0" w:color="auto"/>
            </w:tcBorders>
            <w:shd w:val="clear" w:color="auto" w:fill="auto"/>
            <w:noWrap/>
          </w:tcPr>
          <w:p w14:paraId="2940C55A"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41.29*</w:t>
            </w:r>
          </w:p>
        </w:tc>
        <w:tc>
          <w:tcPr>
            <w:tcW w:w="952" w:type="pct"/>
            <w:tcBorders>
              <w:top w:val="single" w:sz="4" w:space="0" w:color="auto"/>
              <w:left w:val="nil"/>
              <w:bottom w:val="nil"/>
            </w:tcBorders>
            <w:shd w:val="clear" w:color="auto" w:fill="auto"/>
            <w:noWrap/>
          </w:tcPr>
          <w:p w14:paraId="34DFE1B1"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53633.58</w:t>
            </w:r>
          </w:p>
        </w:tc>
      </w:tr>
      <w:tr w:rsidR="00861557" w:rsidRPr="00296D0C" w14:paraId="14373C5C" w14:textId="77777777" w:rsidTr="0077247E">
        <w:trPr>
          <w:trHeight w:val="300"/>
        </w:trPr>
        <w:tc>
          <w:tcPr>
            <w:tcW w:w="2143" w:type="pct"/>
            <w:tcBorders>
              <w:top w:val="single" w:sz="4" w:space="0" w:color="auto"/>
              <w:bottom w:val="single" w:sz="4" w:space="0" w:color="auto"/>
              <w:right w:val="single" w:sz="4" w:space="0" w:color="auto"/>
            </w:tcBorders>
            <w:shd w:val="clear" w:color="auto" w:fill="auto"/>
            <w:noWrap/>
          </w:tcPr>
          <w:p w14:paraId="7A5438F7" w14:textId="77777777" w:rsidR="00861557" w:rsidRPr="00296D0C" w:rsidRDefault="00861557" w:rsidP="0077247E">
            <w:pPr>
              <w:keepNext/>
              <w:spacing w:before="40" w:after="40" w:line="240" w:lineRule="auto"/>
              <w:rPr>
                <w:rFonts w:cs="Arial"/>
                <w:color w:val="000000"/>
              </w:rPr>
            </w:pPr>
            <w:r w:rsidRPr="00296D0C">
              <w:rPr>
                <w:rFonts w:cs="Arial"/>
                <w:color w:val="000000"/>
              </w:rPr>
              <w:t>Teacher</w:t>
            </w:r>
          </w:p>
        </w:tc>
        <w:tc>
          <w:tcPr>
            <w:tcW w:w="953" w:type="pct"/>
            <w:tcBorders>
              <w:top w:val="single" w:sz="4" w:space="0" w:color="auto"/>
              <w:left w:val="nil"/>
              <w:bottom w:val="single" w:sz="4" w:space="0" w:color="auto"/>
              <w:right w:val="single" w:sz="4" w:space="0" w:color="auto"/>
            </w:tcBorders>
            <w:shd w:val="clear" w:color="auto" w:fill="auto"/>
            <w:noWrap/>
          </w:tcPr>
          <w:p w14:paraId="0C1A5977"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408.24</w:t>
            </w:r>
          </w:p>
        </w:tc>
        <w:tc>
          <w:tcPr>
            <w:tcW w:w="952" w:type="pct"/>
            <w:tcBorders>
              <w:top w:val="single" w:sz="4" w:space="0" w:color="auto"/>
              <w:left w:val="nil"/>
              <w:bottom w:val="single" w:sz="4" w:space="0" w:color="auto"/>
              <w:right w:val="single" w:sz="4" w:space="0" w:color="auto"/>
            </w:tcBorders>
            <w:shd w:val="clear" w:color="auto" w:fill="auto"/>
            <w:noWrap/>
          </w:tcPr>
          <w:p w14:paraId="69E6D5E9"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21.00*</w:t>
            </w:r>
          </w:p>
        </w:tc>
        <w:tc>
          <w:tcPr>
            <w:tcW w:w="952" w:type="pct"/>
            <w:tcBorders>
              <w:top w:val="single" w:sz="4" w:space="0" w:color="auto"/>
              <w:left w:val="nil"/>
              <w:bottom w:val="single" w:sz="4" w:space="0" w:color="auto"/>
            </w:tcBorders>
            <w:shd w:val="clear" w:color="auto" w:fill="auto"/>
            <w:noWrap/>
          </w:tcPr>
          <w:p w14:paraId="57A947E0"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8572.94</w:t>
            </w:r>
          </w:p>
        </w:tc>
      </w:tr>
      <w:tr w:rsidR="00861557" w:rsidRPr="00296D0C" w14:paraId="216CF841" w14:textId="77777777" w:rsidTr="0077247E">
        <w:trPr>
          <w:trHeight w:val="300"/>
        </w:trPr>
        <w:tc>
          <w:tcPr>
            <w:tcW w:w="2143" w:type="pct"/>
            <w:tcBorders>
              <w:top w:val="single" w:sz="4" w:space="0" w:color="auto"/>
              <w:bottom w:val="single" w:sz="4" w:space="0" w:color="auto"/>
              <w:right w:val="single" w:sz="4" w:space="0" w:color="auto"/>
            </w:tcBorders>
            <w:shd w:val="clear" w:color="auto" w:fill="auto"/>
            <w:noWrap/>
          </w:tcPr>
          <w:p w14:paraId="2613630D" w14:textId="77777777" w:rsidR="00861557" w:rsidRPr="00296D0C" w:rsidRDefault="00861557" w:rsidP="0077247E">
            <w:pPr>
              <w:keepNext/>
              <w:spacing w:before="40" w:after="40" w:line="240" w:lineRule="auto"/>
              <w:rPr>
                <w:rFonts w:cs="Arial"/>
                <w:color w:val="000000"/>
              </w:rPr>
            </w:pPr>
            <w:r w:rsidRPr="00296D0C">
              <w:rPr>
                <w:rFonts w:cs="Arial"/>
                <w:color w:val="000000"/>
              </w:rPr>
              <w:t>Activity Coordinator</w:t>
            </w:r>
            <w:r w:rsidRPr="00296D0C">
              <w:rPr>
                <w:rFonts w:cs="Arial"/>
                <w:color w:val="000000"/>
                <w:vertAlign w:val="superscript"/>
              </w:rPr>
              <w:t>a</w:t>
            </w:r>
          </w:p>
        </w:tc>
        <w:tc>
          <w:tcPr>
            <w:tcW w:w="953" w:type="pct"/>
            <w:tcBorders>
              <w:top w:val="single" w:sz="4" w:space="0" w:color="auto"/>
              <w:left w:val="nil"/>
              <w:bottom w:val="single" w:sz="4" w:space="0" w:color="auto"/>
              <w:right w:val="single" w:sz="4" w:space="0" w:color="auto"/>
            </w:tcBorders>
            <w:shd w:val="clear" w:color="auto" w:fill="auto"/>
            <w:noWrap/>
          </w:tcPr>
          <w:p w14:paraId="50CBA417"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187.70</w:t>
            </w:r>
          </w:p>
        </w:tc>
        <w:tc>
          <w:tcPr>
            <w:tcW w:w="952" w:type="pct"/>
            <w:tcBorders>
              <w:top w:val="single" w:sz="4" w:space="0" w:color="auto"/>
              <w:left w:val="nil"/>
              <w:bottom w:val="single" w:sz="4" w:space="0" w:color="auto"/>
              <w:right w:val="single" w:sz="4" w:space="0" w:color="auto"/>
            </w:tcBorders>
            <w:shd w:val="clear" w:color="auto" w:fill="auto"/>
            <w:noWrap/>
          </w:tcPr>
          <w:p w14:paraId="2F62F34D"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20*</w:t>
            </w:r>
          </w:p>
        </w:tc>
        <w:tc>
          <w:tcPr>
            <w:tcW w:w="952" w:type="pct"/>
            <w:tcBorders>
              <w:top w:val="single" w:sz="4" w:space="0" w:color="auto"/>
              <w:left w:val="nil"/>
              <w:bottom w:val="single" w:sz="4" w:space="0" w:color="auto"/>
            </w:tcBorders>
            <w:shd w:val="clear" w:color="auto" w:fill="auto"/>
            <w:noWrap/>
          </w:tcPr>
          <w:p w14:paraId="021CAEDD"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3754.04</w:t>
            </w:r>
          </w:p>
        </w:tc>
      </w:tr>
      <w:tr w:rsidR="00861557" w:rsidRPr="00296D0C" w14:paraId="02A3EE0C" w14:textId="77777777" w:rsidTr="0077247E">
        <w:trPr>
          <w:trHeight w:val="300"/>
        </w:trPr>
        <w:tc>
          <w:tcPr>
            <w:tcW w:w="2143" w:type="pct"/>
            <w:tcBorders>
              <w:top w:val="single" w:sz="4" w:space="0" w:color="auto"/>
              <w:right w:val="single" w:sz="4" w:space="0" w:color="auto"/>
            </w:tcBorders>
            <w:shd w:val="clear" w:color="auto" w:fill="auto"/>
            <w:noWrap/>
          </w:tcPr>
          <w:p w14:paraId="6C7C9048" w14:textId="77777777" w:rsidR="00861557" w:rsidRPr="00296D0C" w:rsidRDefault="00861557" w:rsidP="0077247E">
            <w:pPr>
              <w:keepNext/>
              <w:spacing w:before="40" w:after="40" w:line="240" w:lineRule="auto"/>
              <w:rPr>
                <w:rFonts w:cs="Arial"/>
                <w:color w:val="000000"/>
              </w:rPr>
            </w:pPr>
            <w:r w:rsidRPr="00296D0C">
              <w:rPr>
                <w:rFonts w:cs="Arial"/>
                <w:color w:val="000000"/>
              </w:rPr>
              <w:t>HeLP Drama:</w:t>
            </w:r>
          </w:p>
        </w:tc>
        <w:tc>
          <w:tcPr>
            <w:tcW w:w="953" w:type="pct"/>
            <w:tcBorders>
              <w:top w:val="single" w:sz="4" w:space="0" w:color="auto"/>
              <w:left w:val="nil"/>
              <w:right w:val="single" w:sz="4" w:space="0" w:color="auto"/>
            </w:tcBorders>
            <w:shd w:val="clear" w:color="auto" w:fill="auto"/>
            <w:noWrap/>
          </w:tcPr>
          <w:p w14:paraId="01B8139F" w14:textId="77777777" w:rsidR="00861557" w:rsidRPr="00296D0C" w:rsidRDefault="00861557" w:rsidP="0077247E">
            <w:pPr>
              <w:keepNext/>
              <w:spacing w:before="40" w:after="40" w:line="240" w:lineRule="auto"/>
              <w:jc w:val="right"/>
              <w:rPr>
                <w:rFonts w:cs="Arial"/>
                <w:color w:val="000000"/>
              </w:rPr>
            </w:pPr>
          </w:p>
        </w:tc>
        <w:tc>
          <w:tcPr>
            <w:tcW w:w="952" w:type="pct"/>
            <w:tcBorders>
              <w:top w:val="single" w:sz="4" w:space="0" w:color="auto"/>
              <w:left w:val="nil"/>
              <w:right w:val="single" w:sz="4" w:space="0" w:color="auto"/>
            </w:tcBorders>
            <w:shd w:val="clear" w:color="auto" w:fill="auto"/>
            <w:noWrap/>
          </w:tcPr>
          <w:p w14:paraId="0DD558D0" w14:textId="77777777" w:rsidR="00861557" w:rsidRPr="00296D0C" w:rsidRDefault="00861557" w:rsidP="0077247E">
            <w:pPr>
              <w:keepNext/>
              <w:spacing w:before="40" w:after="40" w:line="240" w:lineRule="auto"/>
              <w:jc w:val="right"/>
              <w:rPr>
                <w:rFonts w:cs="Arial"/>
                <w:color w:val="000000"/>
              </w:rPr>
            </w:pPr>
          </w:p>
        </w:tc>
        <w:tc>
          <w:tcPr>
            <w:tcW w:w="952" w:type="pct"/>
            <w:tcBorders>
              <w:top w:val="single" w:sz="4" w:space="0" w:color="auto"/>
              <w:left w:val="nil"/>
            </w:tcBorders>
            <w:shd w:val="clear" w:color="auto" w:fill="auto"/>
            <w:noWrap/>
          </w:tcPr>
          <w:p w14:paraId="4CBCD0D2" w14:textId="77777777" w:rsidR="00861557" w:rsidRPr="00296D0C" w:rsidRDefault="00861557" w:rsidP="0077247E">
            <w:pPr>
              <w:keepNext/>
              <w:spacing w:before="40" w:after="40" w:line="240" w:lineRule="auto"/>
              <w:jc w:val="right"/>
              <w:rPr>
                <w:rFonts w:cs="Arial"/>
                <w:color w:val="000000"/>
              </w:rPr>
            </w:pPr>
          </w:p>
        </w:tc>
      </w:tr>
      <w:tr w:rsidR="00861557" w:rsidRPr="00296D0C" w14:paraId="7287141C" w14:textId="77777777" w:rsidTr="0077247E">
        <w:trPr>
          <w:trHeight w:val="300"/>
        </w:trPr>
        <w:tc>
          <w:tcPr>
            <w:tcW w:w="2143" w:type="pct"/>
            <w:tcBorders>
              <w:bottom w:val="nil"/>
              <w:right w:val="single" w:sz="4" w:space="0" w:color="auto"/>
            </w:tcBorders>
            <w:shd w:val="clear" w:color="auto" w:fill="auto"/>
            <w:noWrap/>
            <w:hideMark/>
          </w:tcPr>
          <w:p w14:paraId="65EFE918" w14:textId="77777777" w:rsidR="00861557" w:rsidRPr="00296D0C" w:rsidRDefault="00861557" w:rsidP="0077247E">
            <w:pPr>
              <w:keepNext/>
              <w:spacing w:before="40" w:after="40" w:line="240" w:lineRule="auto"/>
              <w:rPr>
                <w:rFonts w:cs="Arial"/>
                <w:color w:val="000000"/>
              </w:rPr>
            </w:pPr>
            <w:r w:rsidRPr="00296D0C">
              <w:rPr>
                <w:rFonts w:cs="Arial"/>
                <w:color w:val="000000"/>
              </w:rPr>
              <w:t>Drama Facilitator/HeLP Coordinator</w:t>
            </w:r>
            <w:r w:rsidRPr="00296D0C">
              <w:rPr>
                <w:rFonts w:cs="Arial"/>
                <w:color w:val="000000"/>
                <w:vertAlign w:val="superscript"/>
              </w:rPr>
              <w:t>a</w:t>
            </w:r>
          </w:p>
        </w:tc>
        <w:tc>
          <w:tcPr>
            <w:tcW w:w="953" w:type="pct"/>
            <w:tcBorders>
              <w:left w:val="nil"/>
              <w:bottom w:val="nil"/>
              <w:right w:val="single" w:sz="4" w:space="0" w:color="auto"/>
            </w:tcBorders>
            <w:shd w:val="clear" w:color="auto" w:fill="auto"/>
            <w:noWrap/>
          </w:tcPr>
          <w:p w14:paraId="3FCE3A67"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924.07</w:t>
            </w:r>
          </w:p>
        </w:tc>
        <w:tc>
          <w:tcPr>
            <w:tcW w:w="952" w:type="pct"/>
            <w:tcBorders>
              <w:left w:val="nil"/>
              <w:bottom w:val="nil"/>
              <w:right w:val="single" w:sz="4" w:space="0" w:color="auto"/>
            </w:tcBorders>
            <w:shd w:val="clear" w:color="auto" w:fill="auto"/>
            <w:noWrap/>
          </w:tcPr>
          <w:p w14:paraId="65A3557C"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41.29*</w:t>
            </w:r>
          </w:p>
        </w:tc>
        <w:tc>
          <w:tcPr>
            <w:tcW w:w="952" w:type="pct"/>
            <w:tcBorders>
              <w:left w:val="nil"/>
              <w:bottom w:val="nil"/>
            </w:tcBorders>
            <w:shd w:val="clear" w:color="auto" w:fill="auto"/>
            <w:noWrap/>
          </w:tcPr>
          <w:p w14:paraId="46136E9B"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38158.38</w:t>
            </w:r>
          </w:p>
        </w:tc>
      </w:tr>
      <w:tr w:rsidR="00861557" w:rsidRPr="00296D0C" w14:paraId="3C155505" w14:textId="77777777" w:rsidTr="0077247E">
        <w:trPr>
          <w:trHeight w:val="300"/>
        </w:trPr>
        <w:tc>
          <w:tcPr>
            <w:tcW w:w="2143" w:type="pct"/>
            <w:tcBorders>
              <w:top w:val="nil"/>
              <w:right w:val="single" w:sz="4" w:space="0" w:color="auto"/>
            </w:tcBorders>
            <w:shd w:val="clear" w:color="auto" w:fill="auto"/>
            <w:noWrap/>
            <w:hideMark/>
          </w:tcPr>
          <w:p w14:paraId="431B7447" w14:textId="77777777" w:rsidR="00861557" w:rsidRPr="00296D0C" w:rsidRDefault="00861557" w:rsidP="0077247E">
            <w:pPr>
              <w:keepNext/>
              <w:spacing w:before="40" w:after="40" w:line="240" w:lineRule="auto"/>
              <w:rPr>
                <w:rFonts w:cs="Arial"/>
                <w:color w:val="000000"/>
              </w:rPr>
            </w:pPr>
            <w:r w:rsidRPr="00296D0C">
              <w:rPr>
                <w:rFonts w:cs="Arial"/>
                <w:color w:val="000000"/>
              </w:rPr>
              <w:t>Actors</w:t>
            </w:r>
            <w:r w:rsidRPr="00296D0C">
              <w:rPr>
                <w:rFonts w:cs="Arial"/>
                <w:color w:val="000000"/>
                <w:vertAlign w:val="superscript"/>
              </w:rPr>
              <w:t>b</w:t>
            </w:r>
          </w:p>
        </w:tc>
        <w:tc>
          <w:tcPr>
            <w:tcW w:w="953" w:type="pct"/>
            <w:tcBorders>
              <w:top w:val="nil"/>
              <w:left w:val="single" w:sz="4" w:space="0" w:color="auto"/>
              <w:right w:val="single" w:sz="4" w:space="0" w:color="auto"/>
            </w:tcBorders>
            <w:shd w:val="clear" w:color="auto" w:fill="auto"/>
            <w:noWrap/>
          </w:tcPr>
          <w:p w14:paraId="0F48963F"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1878</w:t>
            </w:r>
          </w:p>
        </w:tc>
        <w:tc>
          <w:tcPr>
            <w:tcW w:w="952" w:type="pct"/>
            <w:tcBorders>
              <w:top w:val="nil"/>
              <w:left w:val="nil"/>
              <w:right w:val="single" w:sz="4" w:space="0" w:color="auto"/>
            </w:tcBorders>
            <w:shd w:val="clear" w:color="auto" w:fill="auto"/>
            <w:noWrap/>
          </w:tcPr>
          <w:p w14:paraId="6EB8A92E"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11.20*</w:t>
            </w:r>
          </w:p>
        </w:tc>
        <w:tc>
          <w:tcPr>
            <w:tcW w:w="952" w:type="pct"/>
            <w:tcBorders>
              <w:top w:val="nil"/>
              <w:left w:val="nil"/>
            </w:tcBorders>
            <w:shd w:val="clear" w:color="auto" w:fill="auto"/>
            <w:noWrap/>
          </w:tcPr>
          <w:p w14:paraId="3D3F2FB0"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21034.32</w:t>
            </w:r>
          </w:p>
        </w:tc>
      </w:tr>
      <w:tr w:rsidR="00861557" w:rsidRPr="00296D0C" w14:paraId="73A8ECF1" w14:textId="77777777" w:rsidTr="0077247E">
        <w:trPr>
          <w:trHeight w:val="300"/>
        </w:trPr>
        <w:tc>
          <w:tcPr>
            <w:tcW w:w="2143" w:type="pct"/>
            <w:tcBorders>
              <w:right w:val="single" w:sz="4" w:space="0" w:color="auto"/>
            </w:tcBorders>
            <w:shd w:val="clear" w:color="auto" w:fill="auto"/>
            <w:noWrap/>
            <w:hideMark/>
          </w:tcPr>
          <w:p w14:paraId="196B71BE" w14:textId="77777777" w:rsidR="00861557" w:rsidRPr="00296D0C" w:rsidRDefault="00861557" w:rsidP="0077247E">
            <w:pPr>
              <w:keepNext/>
              <w:spacing w:before="40" w:after="40" w:line="240" w:lineRule="auto"/>
              <w:rPr>
                <w:rFonts w:cs="Arial"/>
                <w:color w:val="000000"/>
              </w:rPr>
            </w:pPr>
            <w:r w:rsidRPr="00296D0C">
              <w:rPr>
                <w:rFonts w:cs="Arial"/>
                <w:color w:val="000000"/>
              </w:rPr>
              <w:t>Travel allowance (Actors)</w:t>
            </w:r>
          </w:p>
        </w:tc>
        <w:tc>
          <w:tcPr>
            <w:tcW w:w="953" w:type="pct"/>
            <w:tcBorders>
              <w:left w:val="single" w:sz="4" w:space="0" w:color="auto"/>
              <w:right w:val="single" w:sz="4" w:space="0" w:color="auto"/>
            </w:tcBorders>
            <w:shd w:val="clear" w:color="auto" w:fill="auto"/>
            <w:noWrap/>
          </w:tcPr>
          <w:p w14:paraId="49F74018"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w:t>
            </w:r>
          </w:p>
        </w:tc>
        <w:tc>
          <w:tcPr>
            <w:tcW w:w="952" w:type="pct"/>
            <w:tcBorders>
              <w:left w:val="nil"/>
              <w:right w:val="single" w:sz="4" w:space="0" w:color="auto"/>
            </w:tcBorders>
            <w:shd w:val="clear" w:color="auto" w:fill="auto"/>
            <w:noWrap/>
          </w:tcPr>
          <w:p w14:paraId="2D62A9CB"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19.00**</w:t>
            </w:r>
          </w:p>
        </w:tc>
        <w:tc>
          <w:tcPr>
            <w:tcW w:w="952" w:type="pct"/>
            <w:tcBorders>
              <w:left w:val="nil"/>
            </w:tcBorders>
            <w:shd w:val="clear" w:color="auto" w:fill="auto"/>
            <w:noWrap/>
          </w:tcPr>
          <w:p w14:paraId="3D1898C1"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14250.00</w:t>
            </w:r>
          </w:p>
        </w:tc>
      </w:tr>
      <w:tr w:rsidR="00861557" w:rsidRPr="00296D0C" w14:paraId="6BC53C69" w14:textId="77777777" w:rsidTr="0077247E">
        <w:trPr>
          <w:trHeight w:val="300"/>
        </w:trPr>
        <w:tc>
          <w:tcPr>
            <w:tcW w:w="2143" w:type="pct"/>
            <w:tcBorders>
              <w:bottom w:val="single" w:sz="8" w:space="0" w:color="auto"/>
              <w:right w:val="single" w:sz="4" w:space="0" w:color="auto"/>
            </w:tcBorders>
            <w:shd w:val="clear" w:color="auto" w:fill="auto"/>
            <w:noWrap/>
          </w:tcPr>
          <w:p w14:paraId="3296C8AC" w14:textId="77777777" w:rsidR="00861557" w:rsidRPr="00296D0C" w:rsidRDefault="00861557" w:rsidP="0077247E">
            <w:pPr>
              <w:keepNext/>
              <w:spacing w:before="40" w:after="40" w:line="240" w:lineRule="auto"/>
              <w:rPr>
                <w:rFonts w:cs="Arial"/>
                <w:color w:val="000000"/>
              </w:rPr>
            </w:pPr>
            <w:r w:rsidRPr="00296D0C">
              <w:rPr>
                <w:rFonts w:cs="Arial"/>
                <w:color w:val="000000"/>
              </w:rPr>
              <w:t>Other costs</w:t>
            </w:r>
          </w:p>
        </w:tc>
        <w:tc>
          <w:tcPr>
            <w:tcW w:w="953" w:type="pct"/>
            <w:tcBorders>
              <w:left w:val="single" w:sz="4" w:space="0" w:color="auto"/>
              <w:bottom w:val="single" w:sz="8" w:space="0" w:color="auto"/>
              <w:right w:val="single" w:sz="4" w:space="0" w:color="auto"/>
            </w:tcBorders>
            <w:shd w:val="clear" w:color="auto" w:fill="auto"/>
            <w:noWrap/>
          </w:tcPr>
          <w:p w14:paraId="5D9D3058"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w:t>
            </w:r>
          </w:p>
        </w:tc>
        <w:tc>
          <w:tcPr>
            <w:tcW w:w="952" w:type="pct"/>
            <w:tcBorders>
              <w:left w:val="nil"/>
              <w:bottom w:val="single" w:sz="8" w:space="0" w:color="auto"/>
              <w:right w:val="single" w:sz="4" w:space="0" w:color="auto"/>
            </w:tcBorders>
            <w:shd w:val="clear" w:color="auto" w:fill="auto"/>
            <w:noWrap/>
          </w:tcPr>
          <w:p w14:paraId="72549335"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w:t>
            </w:r>
          </w:p>
        </w:tc>
        <w:tc>
          <w:tcPr>
            <w:tcW w:w="952" w:type="pct"/>
            <w:tcBorders>
              <w:left w:val="nil"/>
              <w:bottom w:val="single" w:sz="8" w:space="0" w:color="auto"/>
            </w:tcBorders>
            <w:shd w:val="clear" w:color="auto" w:fill="auto"/>
            <w:noWrap/>
          </w:tcPr>
          <w:p w14:paraId="31A04008"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940.00</w:t>
            </w:r>
          </w:p>
        </w:tc>
      </w:tr>
      <w:tr w:rsidR="00861557" w:rsidRPr="00296D0C" w14:paraId="091D4C4E" w14:textId="77777777" w:rsidTr="0077247E">
        <w:trPr>
          <w:trHeight w:val="300"/>
        </w:trPr>
        <w:tc>
          <w:tcPr>
            <w:tcW w:w="2143" w:type="pct"/>
            <w:tcBorders>
              <w:top w:val="single" w:sz="8" w:space="0" w:color="auto"/>
              <w:bottom w:val="nil"/>
              <w:right w:val="single" w:sz="4" w:space="0" w:color="auto"/>
            </w:tcBorders>
            <w:shd w:val="clear" w:color="auto" w:fill="auto"/>
            <w:noWrap/>
            <w:hideMark/>
          </w:tcPr>
          <w:p w14:paraId="08AB6941" w14:textId="77777777" w:rsidR="00861557" w:rsidRPr="00296D0C" w:rsidRDefault="00861557" w:rsidP="0077247E">
            <w:pPr>
              <w:keepNext/>
              <w:spacing w:before="40" w:after="40" w:line="240" w:lineRule="auto"/>
              <w:rPr>
                <w:rFonts w:cs="Arial"/>
                <w:color w:val="000000"/>
              </w:rPr>
            </w:pPr>
            <w:r w:rsidRPr="00296D0C">
              <w:rPr>
                <w:rFonts w:cs="Arial"/>
                <w:color w:val="000000"/>
              </w:rPr>
              <w:t>Training:</w:t>
            </w:r>
          </w:p>
        </w:tc>
        <w:tc>
          <w:tcPr>
            <w:tcW w:w="953" w:type="pct"/>
            <w:tcBorders>
              <w:top w:val="single" w:sz="8" w:space="0" w:color="auto"/>
              <w:left w:val="nil"/>
              <w:bottom w:val="nil"/>
              <w:right w:val="single" w:sz="4" w:space="0" w:color="auto"/>
            </w:tcBorders>
            <w:shd w:val="clear" w:color="auto" w:fill="auto"/>
            <w:noWrap/>
          </w:tcPr>
          <w:p w14:paraId="32F1A5AD" w14:textId="77777777" w:rsidR="00861557" w:rsidRPr="00296D0C" w:rsidRDefault="00861557" w:rsidP="0077247E">
            <w:pPr>
              <w:keepNext/>
              <w:spacing w:before="40" w:after="40" w:line="240" w:lineRule="auto"/>
              <w:jc w:val="right"/>
              <w:rPr>
                <w:rFonts w:cs="Arial"/>
                <w:b/>
                <w:color w:val="000000"/>
              </w:rPr>
            </w:pPr>
          </w:p>
        </w:tc>
        <w:tc>
          <w:tcPr>
            <w:tcW w:w="952" w:type="pct"/>
            <w:tcBorders>
              <w:top w:val="single" w:sz="8" w:space="0" w:color="auto"/>
              <w:left w:val="nil"/>
              <w:bottom w:val="nil"/>
              <w:right w:val="single" w:sz="4" w:space="0" w:color="auto"/>
            </w:tcBorders>
            <w:shd w:val="clear" w:color="auto" w:fill="auto"/>
            <w:noWrap/>
          </w:tcPr>
          <w:p w14:paraId="7B6DA720" w14:textId="77777777" w:rsidR="00861557" w:rsidRPr="00296D0C" w:rsidRDefault="00861557" w:rsidP="0077247E">
            <w:pPr>
              <w:keepNext/>
              <w:spacing w:before="40" w:after="40" w:line="240" w:lineRule="auto"/>
              <w:jc w:val="right"/>
              <w:rPr>
                <w:rFonts w:cs="Arial"/>
                <w:b/>
                <w:color w:val="000000"/>
              </w:rPr>
            </w:pPr>
          </w:p>
        </w:tc>
        <w:tc>
          <w:tcPr>
            <w:tcW w:w="952" w:type="pct"/>
            <w:tcBorders>
              <w:top w:val="single" w:sz="8" w:space="0" w:color="auto"/>
              <w:left w:val="nil"/>
              <w:bottom w:val="nil"/>
            </w:tcBorders>
            <w:shd w:val="clear" w:color="auto" w:fill="auto"/>
            <w:noWrap/>
          </w:tcPr>
          <w:p w14:paraId="38B16931" w14:textId="77777777" w:rsidR="00861557" w:rsidRPr="00296D0C" w:rsidRDefault="00861557" w:rsidP="0077247E">
            <w:pPr>
              <w:keepNext/>
              <w:spacing w:before="40" w:after="40" w:line="240" w:lineRule="auto"/>
              <w:jc w:val="right"/>
              <w:rPr>
                <w:rFonts w:cs="Arial"/>
                <w:b/>
                <w:color w:val="000000"/>
              </w:rPr>
            </w:pPr>
          </w:p>
        </w:tc>
      </w:tr>
      <w:tr w:rsidR="00861557" w:rsidRPr="00296D0C" w14:paraId="597D89BE" w14:textId="77777777" w:rsidTr="0077247E">
        <w:trPr>
          <w:trHeight w:val="300"/>
        </w:trPr>
        <w:tc>
          <w:tcPr>
            <w:tcW w:w="2143" w:type="pct"/>
            <w:tcBorders>
              <w:top w:val="nil"/>
              <w:bottom w:val="nil"/>
              <w:right w:val="single" w:sz="4" w:space="0" w:color="auto"/>
            </w:tcBorders>
            <w:shd w:val="clear" w:color="auto" w:fill="auto"/>
            <w:noWrap/>
          </w:tcPr>
          <w:p w14:paraId="4404F519" w14:textId="77777777" w:rsidR="00861557" w:rsidRPr="00296D0C" w:rsidRDefault="00861557" w:rsidP="0077247E">
            <w:pPr>
              <w:keepNext/>
              <w:spacing w:before="40" w:after="40" w:line="240" w:lineRule="auto"/>
              <w:rPr>
                <w:rFonts w:cs="Arial"/>
                <w:color w:val="000000"/>
              </w:rPr>
            </w:pPr>
            <w:r w:rsidRPr="00296D0C">
              <w:rPr>
                <w:rFonts w:cs="Arial"/>
                <w:color w:val="000000"/>
              </w:rPr>
              <w:t>Training HeLP Coordinators</w:t>
            </w:r>
            <w:r w:rsidRPr="00296D0C">
              <w:rPr>
                <w:rFonts w:cs="Arial"/>
                <w:color w:val="000000"/>
                <w:vertAlign w:val="superscript"/>
              </w:rPr>
              <w:t>c</w:t>
            </w:r>
          </w:p>
        </w:tc>
        <w:tc>
          <w:tcPr>
            <w:tcW w:w="953" w:type="pct"/>
            <w:tcBorders>
              <w:top w:val="nil"/>
              <w:left w:val="single" w:sz="4" w:space="0" w:color="auto"/>
              <w:bottom w:val="nil"/>
              <w:right w:val="single" w:sz="4" w:space="0" w:color="auto"/>
            </w:tcBorders>
            <w:shd w:val="clear" w:color="auto" w:fill="auto"/>
            <w:noWrap/>
          </w:tcPr>
          <w:p w14:paraId="0D3B92BB"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w:t>
            </w:r>
          </w:p>
        </w:tc>
        <w:tc>
          <w:tcPr>
            <w:tcW w:w="952" w:type="pct"/>
            <w:tcBorders>
              <w:top w:val="nil"/>
              <w:left w:val="nil"/>
              <w:bottom w:val="nil"/>
              <w:right w:val="single" w:sz="4" w:space="0" w:color="auto"/>
            </w:tcBorders>
            <w:shd w:val="clear" w:color="auto" w:fill="auto"/>
            <w:noWrap/>
          </w:tcPr>
          <w:p w14:paraId="4178D0D2"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w:t>
            </w:r>
          </w:p>
        </w:tc>
        <w:tc>
          <w:tcPr>
            <w:tcW w:w="952" w:type="pct"/>
            <w:tcBorders>
              <w:top w:val="nil"/>
              <w:left w:val="nil"/>
              <w:bottom w:val="nil"/>
            </w:tcBorders>
            <w:shd w:val="clear" w:color="auto" w:fill="auto"/>
            <w:noWrap/>
          </w:tcPr>
          <w:p w14:paraId="52EFEDAB"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5145.54</w:t>
            </w:r>
          </w:p>
        </w:tc>
      </w:tr>
      <w:tr w:rsidR="00861557" w:rsidRPr="00296D0C" w14:paraId="7E9B8540" w14:textId="77777777" w:rsidTr="0077247E">
        <w:trPr>
          <w:trHeight w:val="300"/>
        </w:trPr>
        <w:tc>
          <w:tcPr>
            <w:tcW w:w="2143" w:type="pct"/>
            <w:tcBorders>
              <w:top w:val="nil"/>
              <w:bottom w:val="nil"/>
              <w:right w:val="single" w:sz="4" w:space="0" w:color="auto"/>
            </w:tcBorders>
            <w:shd w:val="clear" w:color="auto" w:fill="auto"/>
            <w:noWrap/>
            <w:hideMark/>
          </w:tcPr>
          <w:p w14:paraId="401A28F2" w14:textId="77777777" w:rsidR="00861557" w:rsidRPr="00296D0C" w:rsidRDefault="00861557" w:rsidP="0077247E">
            <w:pPr>
              <w:keepNext/>
              <w:spacing w:before="40" w:after="40" w:line="240" w:lineRule="auto"/>
              <w:rPr>
                <w:rFonts w:cs="Arial"/>
                <w:color w:val="000000"/>
              </w:rPr>
            </w:pPr>
            <w:r w:rsidRPr="00296D0C">
              <w:rPr>
                <w:rFonts w:cs="Arial"/>
                <w:color w:val="000000"/>
              </w:rPr>
              <w:t>Training Drama</w:t>
            </w:r>
            <w:r w:rsidRPr="00296D0C">
              <w:rPr>
                <w:rFonts w:cs="Arial"/>
                <w:color w:val="000000"/>
                <w:vertAlign w:val="superscript"/>
              </w:rPr>
              <w:t>d</w:t>
            </w:r>
          </w:p>
        </w:tc>
        <w:tc>
          <w:tcPr>
            <w:tcW w:w="953" w:type="pct"/>
            <w:tcBorders>
              <w:top w:val="nil"/>
              <w:left w:val="single" w:sz="4" w:space="0" w:color="auto"/>
              <w:bottom w:val="nil"/>
              <w:right w:val="single" w:sz="4" w:space="0" w:color="auto"/>
            </w:tcBorders>
            <w:shd w:val="clear" w:color="auto" w:fill="auto"/>
            <w:noWrap/>
          </w:tcPr>
          <w:p w14:paraId="46A1AD78"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w:t>
            </w:r>
          </w:p>
        </w:tc>
        <w:tc>
          <w:tcPr>
            <w:tcW w:w="952" w:type="pct"/>
            <w:tcBorders>
              <w:top w:val="nil"/>
              <w:left w:val="nil"/>
              <w:bottom w:val="nil"/>
              <w:right w:val="single" w:sz="4" w:space="0" w:color="auto"/>
            </w:tcBorders>
            <w:shd w:val="clear" w:color="auto" w:fill="auto"/>
            <w:noWrap/>
          </w:tcPr>
          <w:p w14:paraId="4388C177"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w:t>
            </w:r>
          </w:p>
        </w:tc>
        <w:tc>
          <w:tcPr>
            <w:tcW w:w="952" w:type="pct"/>
            <w:tcBorders>
              <w:top w:val="nil"/>
              <w:left w:val="nil"/>
              <w:bottom w:val="nil"/>
            </w:tcBorders>
            <w:shd w:val="clear" w:color="auto" w:fill="auto"/>
            <w:noWrap/>
          </w:tcPr>
          <w:p w14:paraId="7072C925"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7833.64</w:t>
            </w:r>
          </w:p>
        </w:tc>
      </w:tr>
      <w:tr w:rsidR="00861557" w:rsidRPr="00296D0C" w14:paraId="13F5778E" w14:textId="77777777" w:rsidTr="0077247E">
        <w:trPr>
          <w:trHeight w:val="300"/>
        </w:trPr>
        <w:tc>
          <w:tcPr>
            <w:tcW w:w="2143" w:type="pct"/>
            <w:tcBorders>
              <w:top w:val="single" w:sz="8" w:space="0" w:color="auto"/>
              <w:bottom w:val="single" w:sz="8" w:space="0" w:color="auto"/>
              <w:right w:val="single" w:sz="4" w:space="0" w:color="auto"/>
            </w:tcBorders>
            <w:shd w:val="clear" w:color="auto" w:fill="auto"/>
            <w:noWrap/>
            <w:hideMark/>
          </w:tcPr>
          <w:p w14:paraId="2F53EF59" w14:textId="77777777" w:rsidR="00861557" w:rsidRPr="00296D0C" w:rsidRDefault="00861557" w:rsidP="0077247E">
            <w:pPr>
              <w:keepNext/>
              <w:spacing w:before="40" w:after="40" w:line="240" w:lineRule="auto"/>
              <w:rPr>
                <w:rFonts w:cs="Arial"/>
                <w:color w:val="000000"/>
              </w:rPr>
            </w:pPr>
            <w:r w:rsidRPr="00296D0C">
              <w:rPr>
                <w:rFonts w:cs="Arial"/>
                <w:color w:val="000000"/>
              </w:rPr>
              <w:t>Total Cost</w:t>
            </w:r>
          </w:p>
        </w:tc>
        <w:tc>
          <w:tcPr>
            <w:tcW w:w="953" w:type="pct"/>
            <w:tcBorders>
              <w:top w:val="single" w:sz="8" w:space="0" w:color="auto"/>
              <w:left w:val="nil"/>
              <w:bottom w:val="single" w:sz="8" w:space="0" w:color="auto"/>
              <w:right w:val="single" w:sz="4" w:space="0" w:color="auto"/>
            </w:tcBorders>
            <w:shd w:val="clear" w:color="auto" w:fill="auto"/>
            <w:noWrap/>
          </w:tcPr>
          <w:p w14:paraId="4211EFFD"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w:t>
            </w:r>
          </w:p>
        </w:tc>
        <w:tc>
          <w:tcPr>
            <w:tcW w:w="952" w:type="pct"/>
            <w:tcBorders>
              <w:top w:val="single" w:sz="8" w:space="0" w:color="auto"/>
              <w:left w:val="nil"/>
              <w:bottom w:val="single" w:sz="8" w:space="0" w:color="auto"/>
              <w:right w:val="single" w:sz="4" w:space="0" w:color="auto"/>
            </w:tcBorders>
            <w:shd w:val="clear" w:color="auto" w:fill="auto"/>
            <w:noWrap/>
          </w:tcPr>
          <w:p w14:paraId="4530A1C3"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w:t>
            </w:r>
          </w:p>
        </w:tc>
        <w:tc>
          <w:tcPr>
            <w:tcW w:w="952" w:type="pct"/>
            <w:tcBorders>
              <w:top w:val="single" w:sz="8" w:space="0" w:color="auto"/>
              <w:left w:val="nil"/>
              <w:bottom w:val="single" w:sz="8" w:space="0" w:color="auto"/>
            </w:tcBorders>
            <w:shd w:val="clear" w:color="auto" w:fill="auto"/>
            <w:noWrap/>
          </w:tcPr>
          <w:p w14:paraId="75BAA268"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153322.44</w:t>
            </w:r>
          </w:p>
        </w:tc>
      </w:tr>
      <w:tr w:rsidR="00861557" w:rsidRPr="00296D0C" w14:paraId="3F7216DA" w14:textId="77777777" w:rsidTr="0077247E">
        <w:trPr>
          <w:trHeight w:val="300"/>
        </w:trPr>
        <w:tc>
          <w:tcPr>
            <w:tcW w:w="2143" w:type="pct"/>
            <w:tcBorders>
              <w:top w:val="single" w:sz="8" w:space="0" w:color="auto"/>
              <w:bottom w:val="single" w:sz="8" w:space="0" w:color="auto"/>
              <w:right w:val="single" w:sz="4" w:space="0" w:color="auto"/>
            </w:tcBorders>
            <w:shd w:val="clear" w:color="auto" w:fill="auto"/>
            <w:noWrap/>
          </w:tcPr>
          <w:p w14:paraId="4AF83B28" w14:textId="77777777" w:rsidR="00861557" w:rsidRPr="00296D0C" w:rsidRDefault="00861557" w:rsidP="0077247E">
            <w:pPr>
              <w:keepNext/>
              <w:spacing w:before="40" w:after="40" w:line="240" w:lineRule="auto"/>
              <w:rPr>
                <w:rFonts w:cs="Arial"/>
                <w:color w:val="000000"/>
              </w:rPr>
            </w:pPr>
            <w:r w:rsidRPr="00296D0C">
              <w:rPr>
                <w:rFonts w:cs="Arial"/>
                <w:color w:val="000000"/>
              </w:rPr>
              <w:t>Cost per participant</w:t>
            </w:r>
          </w:p>
        </w:tc>
        <w:tc>
          <w:tcPr>
            <w:tcW w:w="953" w:type="pct"/>
            <w:tcBorders>
              <w:top w:val="single" w:sz="8" w:space="0" w:color="auto"/>
              <w:left w:val="nil"/>
              <w:bottom w:val="single" w:sz="8" w:space="0" w:color="auto"/>
              <w:right w:val="single" w:sz="4" w:space="0" w:color="auto"/>
            </w:tcBorders>
            <w:shd w:val="clear" w:color="auto" w:fill="auto"/>
            <w:noWrap/>
          </w:tcPr>
          <w:p w14:paraId="30024CB1"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w:t>
            </w:r>
          </w:p>
        </w:tc>
        <w:tc>
          <w:tcPr>
            <w:tcW w:w="952" w:type="pct"/>
            <w:tcBorders>
              <w:top w:val="single" w:sz="8" w:space="0" w:color="auto"/>
              <w:left w:val="nil"/>
              <w:bottom w:val="single" w:sz="8" w:space="0" w:color="auto"/>
              <w:right w:val="single" w:sz="4" w:space="0" w:color="auto"/>
            </w:tcBorders>
            <w:shd w:val="clear" w:color="auto" w:fill="auto"/>
            <w:noWrap/>
          </w:tcPr>
          <w:p w14:paraId="6344F000"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w:t>
            </w:r>
          </w:p>
        </w:tc>
        <w:tc>
          <w:tcPr>
            <w:tcW w:w="952" w:type="pct"/>
            <w:tcBorders>
              <w:top w:val="single" w:sz="8" w:space="0" w:color="auto"/>
              <w:left w:val="nil"/>
              <w:bottom w:val="single" w:sz="8" w:space="0" w:color="auto"/>
            </w:tcBorders>
            <w:shd w:val="clear" w:color="auto" w:fill="auto"/>
            <w:noWrap/>
          </w:tcPr>
          <w:p w14:paraId="66B817B3" w14:textId="77777777" w:rsidR="00861557" w:rsidRPr="00296D0C" w:rsidRDefault="00861557" w:rsidP="0077247E">
            <w:pPr>
              <w:keepNext/>
              <w:spacing w:before="40" w:after="40" w:line="240" w:lineRule="auto"/>
              <w:jc w:val="right"/>
              <w:rPr>
                <w:rFonts w:cs="Arial"/>
                <w:color w:val="000000"/>
              </w:rPr>
            </w:pPr>
            <w:r w:rsidRPr="00296D0C">
              <w:rPr>
                <w:rFonts w:cs="Arial"/>
                <w:color w:val="000000"/>
              </w:rPr>
              <w:t>226.81</w:t>
            </w:r>
          </w:p>
        </w:tc>
      </w:tr>
    </w:tbl>
    <w:p w14:paraId="16E38775" w14:textId="77777777" w:rsidR="00861557" w:rsidRPr="00296D0C" w:rsidRDefault="00861557" w:rsidP="00861557">
      <w:pPr>
        <w:spacing w:after="100" w:line="240" w:lineRule="auto"/>
        <w:ind w:left="284" w:hanging="284"/>
        <w:rPr>
          <w:rFonts w:cs="Arial"/>
          <w:color w:val="000000"/>
        </w:rPr>
      </w:pPr>
      <w:r w:rsidRPr="00296D0C">
        <w:rPr>
          <w:rFonts w:cs="Arial"/>
          <w:color w:val="000000"/>
        </w:rPr>
        <w:t>Key:</w:t>
      </w:r>
      <w:r w:rsidRPr="00296D0C">
        <w:rPr>
          <w:rFonts w:cs="Arial"/>
          <w:b/>
          <w:color w:val="000000"/>
        </w:rPr>
        <w:t xml:space="preserve"> </w:t>
      </w:r>
      <w:r w:rsidRPr="00296D0C">
        <w:rPr>
          <w:rFonts w:cs="Arial"/>
          <w:color w:val="000000"/>
        </w:rPr>
        <w:t>hr(s) = hour(s)</w:t>
      </w:r>
    </w:p>
    <w:p w14:paraId="31D05A50" w14:textId="77777777" w:rsidR="00861557" w:rsidRPr="00296D0C" w:rsidRDefault="00861557" w:rsidP="00861557">
      <w:pPr>
        <w:spacing w:line="240" w:lineRule="auto"/>
        <w:ind w:left="284" w:hanging="284"/>
        <w:rPr>
          <w:rFonts w:cs="Arial"/>
          <w:color w:val="000000"/>
        </w:rPr>
      </w:pPr>
      <w:r w:rsidRPr="00296D0C">
        <w:rPr>
          <w:rFonts w:cs="Arial"/>
          <w:color w:val="000000"/>
        </w:rPr>
        <w:t xml:space="preserve">Notes: </w:t>
      </w:r>
      <w:r w:rsidRPr="00296D0C">
        <w:rPr>
          <w:rFonts w:cs="Arial"/>
          <w:color w:val="000000"/>
          <w:vertAlign w:val="superscript"/>
        </w:rPr>
        <w:t>a</w:t>
      </w:r>
      <w:r w:rsidRPr="00296D0C">
        <w:rPr>
          <w:rFonts w:cs="Arial"/>
          <w:color w:val="000000"/>
        </w:rPr>
        <w:t xml:space="preserve"> Includes contact and non-contact (preparation and travel time); </w:t>
      </w:r>
      <w:r w:rsidRPr="00296D0C">
        <w:rPr>
          <w:rFonts w:cs="Arial"/>
          <w:color w:val="000000"/>
          <w:vertAlign w:val="superscript"/>
        </w:rPr>
        <w:t>b</w:t>
      </w:r>
      <w:r w:rsidRPr="00296D0C">
        <w:rPr>
          <w:rFonts w:cs="Arial"/>
          <w:color w:val="000000"/>
        </w:rPr>
        <w:t xml:space="preserve"> Includes contact and non-contact (preparation time); </w:t>
      </w:r>
      <w:r w:rsidRPr="00296D0C">
        <w:rPr>
          <w:rFonts w:cs="Arial"/>
          <w:color w:val="000000"/>
          <w:vertAlign w:val="superscript"/>
        </w:rPr>
        <w:t>c</w:t>
      </w:r>
      <w:r w:rsidRPr="00296D0C">
        <w:rPr>
          <w:rFonts w:cs="Arial"/>
          <w:color w:val="000000"/>
        </w:rPr>
        <w:t xml:space="preserve"> Based on 2 HeLP Coordinators; </w:t>
      </w:r>
      <w:r w:rsidRPr="00296D0C">
        <w:rPr>
          <w:rFonts w:cs="Arial"/>
          <w:color w:val="000000"/>
          <w:vertAlign w:val="superscript"/>
        </w:rPr>
        <w:t>d</w:t>
      </w:r>
      <w:r w:rsidRPr="00296D0C">
        <w:rPr>
          <w:rFonts w:cs="Arial"/>
          <w:color w:val="000000"/>
        </w:rPr>
        <w:t xml:space="preserve"> Based on 2 drama teams</w:t>
      </w:r>
    </w:p>
    <w:p w14:paraId="21257B7E" w14:textId="77777777" w:rsidR="00861557" w:rsidRPr="00296D0C" w:rsidRDefault="00861557" w:rsidP="00861557">
      <w:pPr>
        <w:rPr>
          <w:rFonts w:cs="Arial"/>
          <w:b/>
          <w:spacing w:val="20"/>
        </w:rPr>
      </w:pPr>
    </w:p>
    <w:p w14:paraId="35FF4EBD" w14:textId="709FBAB1" w:rsidR="00861557" w:rsidRPr="00296D0C" w:rsidRDefault="00C5775C" w:rsidP="00C5775C">
      <w:pPr>
        <w:pStyle w:val="Heading3"/>
        <w:rPr>
          <w:rFonts w:asciiTheme="minorHAnsi" w:hAnsiTheme="minorHAnsi" w:cs="Arial"/>
        </w:rPr>
      </w:pPr>
      <w:bookmarkStart w:id="486" w:name="_Toc466710102"/>
      <w:bookmarkStart w:id="487" w:name="_Toc466711450"/>
      <w:bookmarkStart w:id="488" w:name="_Toc466712109"/>
      <w:bookmarkStart w:id="489" w:name="_Toc475974377"/>
      <w:r w:rsidRPr="00296D0C">
        <w:rPr>
          <w:rFonts w:asciiTheme="minorHAnsi" w:hAnsiTheme="minorHAnsi" w:cs="Arial"/>
        </w:rPr>
        <w:t>4.</w:t>
      </w:r>
      <w:r w:rsidR="00861557" w:rsidRPr="00296D0C">
        <w:rPr>
          <w:rFonts w:asciiTheme="minorHAnsi" w:hAnsiTheme="minorHAnsi" w:cs="Arial"/>
        </w:rPr>
        <w:t>3.</w:t>
      </w:r>
      <w:r w:rsidRPr="00296D0C">
        <w:rPr>
          <w:rFonts w:asciiTheme="minorHAnsi" w:hAnsiTheme="minorHAnsi" w:cs="Arial"/>
        </w:rPr>
        <w:t>2</w:t>
      </w:r>
      <w:r w:rsidR="00861557" w:rsidRPr="00296D0C">
        <w:rPr>
          <w:rFonts w:asciiTheme="minorHAnsi" w:hAnsiTheme="minorHAnsi" w:cs="Arial"/>
        </w:rPr>
        <w:t xml:space="preserve"> A framework for the economic evaluation of HeLP</w:t>
      </w:r>
      <w:bookmarkEnd w:id="486"/>
      <w:bookmarkEnd w:id="487"/>
      <w:bookmarkEnd w:id="488"/>
      <w:bookmarkEnd w:id="489"/>
    </w:p>
    <w:p w14:paraId="1E7C8AD2" w14:textId="78461440" w:rsidR="00861557" w:rsidRPr="00296D0C" w:rsidRDefault="00861557" w:rsidP="000D0114">
      <w:pPr>
        <w:spacing w:after="0" w:line="360" w:lineRule="auto"/>
        <w:rPr>
          <w:rFonts w:cs="Arial"/>
        </w:rPr>
      </w:pPr>
      <w:r w:rsidRPr="00296D0C">
        <w:rPr>
          <w:rFonts w:cs="Arial"/>
        </w:rPr>
        <w:t>Here we describe the development of the Exeter Obesity Model, a decision-analytic model-based framework for assessment of the cost effectiveness of the HeLP school-based intervention ver</w:t>
      </w:r>
      <w:r w:rsidR="00B13AA9" w:rsidRPr="00296D0C">
        <w:rPr>
          <w:rFonts w:cs="Arial"/>
        </w:rPr>
        <w:t>s</w:t>
      </w:r>
      <w:r w:rsidRPr="00296D0C">
        <w:rPr>
          <w:rFonts w:cs="Arial"/>
        </w:rPr>
        <w:t xml:space="preserve">us usual practice, in children aged 9-10 years.  The development of the model was based on a review of </w:t>
      </w:r>
      <w:r w:rsidRPr="00296D0C">
        <w:rPr>
          <w:rFonts w:cs="Arial"/>
        </w:rPr>
        <w:lastRenderedPageBreak/>
        <w:t>model-based economic evaluations of interventions related to childhood obesity, with a focus on models tracking from childhood through to adult years, and a summary of this systematic literature search is presented below.  Thereafter we document the conceptual structure of the model, and the operational development of the model, describing data sources and the populating of the model to address the primary research question of whether the HeLP intervention could be considered cost effective compared to usual practice.</w:t>
      </w:r>
    </w:p>
    <w:p w14:paraId="2AE64BD1" w14:textId="6AAB56D2" w:rsidR="00861557" w:rsidRPr="00296D0C" w:rsidRDefault="006573CD" w:rsidP="00F44C63">
      <w:pPr>
        <w:pStyle w:val="Heading4"/>
        <w:spacing w:line="360" w:lineRule="auto"/>
        <w:rPr>
          <w:rFonts w:asciiTheme="minorHAnsi" w:hAnsiTheme="minorHAnsi" w:cs="Arial"/>
          <w:i w:val="0"/>
          <w:color w:val="auto"/>
        </w:rPr>
      </w:pPr>
      <w:r w:rsidRPr="00296D0C">
        <w:rPr>
          <w:rFonts w:asciiTheme="minorHAnsi" w:hAnsiTheme="minorHAnsi" w:cs="Arial"/>
          <w:i w:val="0"/>
          <w:color w:val="auto"/>
        </w:rPr>
        <w:t>4.</w:t>
      </w:r>
      <w:r w:rsidR="00861557" w:rsidRPr="00296D0C">
        <w:rPr>
          <w:rFonts w:asciiTheme="minorHAnsi" w:hAnsiTheme="minorHAnsi" w:cs="Arial"/>
          <w:i w:val="0"/>
          <w:color w:val="auto"/>
        </w:rPr>
        <w:t xml:space="preserve">3.2.1 Review of decision </w:t>
      </w:r>
      <w:r w:rsidR="00576BE5">
        <w:rPr>
          <w:rFonts w:asciiTheme="minorHAnsi" w:hAnsiTheme="minorHAnsi" w:cs="Arial"/>
          <w:i w:val="0"/>
          <w:color w:val="auto"/>
        </w:rPr>
        <w:t xml:space="preserve">analytic models for use in cost </w:t>
      </w:r>
      <w:r w:rsidR="00861557" w:rsidRPr="00296D0C">
        <w:rPr>
          <w:rFonts w:asciiTheme="minorHAnsi" w:hAnsiTheme="minorHAnsi" w:cs="Arial"/>
          <w:i w:val="0"/>
          <w:color w:val="auto"/>
        </w:rPr>
        <w:t>effectiveness analyses on obesity</w:t>
      </w:r>
      <w:bookmarkEnd w:id="477"/>
      <w:bookmarkEnd w:id="478"/>
      <w:bookmarkEnd w:id="479"/>
    </w:p>
    <w:p w14:paraId="39B96AC1" w14:textId="77777777" w:rsidR="00F44C63" w:rsidRPr="00296D0C" w:rsidRDefault="00F44C63" w:rsidP="00F44C63">
      <w:pPr>
        <w:spacing w:after="0" w:line="360" w:lineRule="auto"/>
        <w:rPr>
          <w:rFonts w:cs="Arial"/>
        </w:rPr>
      </w:pPr>
      <w:bookmarkStart w:id="490" w:name="_Toc450746740"/>
      <w:bookmarkStart w:id="491" w:name="_Toc452020172"/>
      <w:bookmarkStart w:id="492" w:name="_Toc452020295"/>
    </w:p>
    <w:p w14:paraId="32268E9C" w14:textId="7ABA6CDC" w:rsidR="00861557" w:rsidRPr="00296D0C" w:rsidRDefault="00861557" w:rsidP="00F44C63">
      <w:pPr>
        <w:spacing w:after="0" w:line="360" w:lineRule="auto"/>
        <w:rPr>
          <w:rFonts w:cs="Arial"/>
        </w:rPr>
      </w:pPr>
      <w:r w:rsidRPr="00296D0C">
        <w:rPr>
          <w:rFonts w:cs="Arial"/>
        </w:rPr>
        <w:t xml:space="preserve">A systematic review of model-based economic evaluations of interventions related to childhood obesity, as a means of preventing obesity in adults, was conducted in order to inform the structure and development of a modelling framework </w:t>
      </w:r>
      <w:r w:rsidR="00576BE5">
        <w:rPr>
          <w:rFonts w:cs="Arial"/>
        </w:rPr>
        <w:t xml:space="preserve">suitable for assessing the cost </w:t>
      </w:r>
      <w:r w:rsidRPr="00296D0C">
        <w:rPr>
          <w:rFonts w:cs="Arial"/>
        </w:rPr>
        <w:t>effectiveness of the HeLP intervention.</w:t>
      </w:r>
    </w:p>
    <w:p w14:paraId="0C39BB29" w14:textId="77777777" w:rsidR="00861557" w:rsidRPr="00296D0C" w:rsidRDefault="00861557" w:rsidP="00F44C63">
      <w:pPr>
        <w:spacing w:after="0" w:line="360" w:lineRule="auto"/>
        <w:rPr>
          <w:rFonts w:cs="Arial"/>
          <w:b/>
        </w:rPr>
      </w:pPr>
      <w:bookmarkStart w:id="493" w:name="_Toc453769907"/>
      <w:r w:rsidRPr="00296D0C">
        <w:rPr>
          <w:rFonts w:cs="Arial"/>
          <w:b/>
        </w:rPr>
        <w:t>Methods</w:t>
      </w:r>
      <w:bookmarkEnd w:id="493"/>
    </w:p>
    <w:p w14:paraId="1DCDC81F" w14:textId="77777777" w:rsidR="00861557" w:rsidRPr="00296D0C" w:rsidRDefault="00861557" w:rsidP="00F44C63">
      <w:pPr>
        <w:spacing w:after="0" w:line="360" w:lineRule="auto"/>
        <w:rPr>
          <w:rFonts w:cs="Arial"/>
          <w:b/>
        </w:rPr>
      </w:pPr>
      <w:bookmarkStart w:id="494" w:name="_Toc453769908"/>
      <w:r w:rsidRPr="00296D0C">
        <w:rPr>
          <w:rFonts w:cs="Arial"/>
          <w:b/>
        </w:rPr>
        <w:t>Search strategy</w:t>
      </w:r>
      <w:bookmarkEnd w:id="494"/>
    </w:p>
    <w:p w14:paraId="7A8317E3" w14:textId="4986383E" w:rsidR="00861557" w:rsidRPr="00296D0C" w:rsidRDefault="00861557" w:rsidP="005126C2">
      <w:pPr>
        <w:spacing w:after="0" w:line="360" w:lineRule="auto"/>
        <w:rPr>
          <w:rFonts w:cs="Arial"/>
          <w:b/>
        </w:rPr>
      </w:pPr>
      <w:r w:rsidRPr="00296D0C">
        <w:rPr>
          <w:rFonts w:cs="Arial"/>
        </w:rPr>
        <w:t>Systematic searches were conducted in several databases (including MEDLINE, EMBASE, PsycINFO, NHS EED, and DARE). The keywords and Medical Subject Headings (MeSH) for obesity were combined with keywords for cost and economic analysis to capture relevant economic evaluations in all databases. The search s</w:t>
      </w:r>
      <w:r w:rsidR="00B9103D" w:rsidRPr="00296D0C">
        <w:rPr>
          <w:rFonts w:cs="Arial"/>
        </w:rPr>
        <w:t>trategy is detailed in Appendix</w:t>
      </w:r>
      <w:r w:rsidR="00F8483C" w:rsidRPr="00296D0C">
        <w:rPr>
          <w:rFonts w:cs="Arial"/>
        </w:rPr>
        <w:t xml:space="preserve"> 8</w:t>
      </w:r>
      <w:r w:rsidR="00B9103D" w:rsidRPr="00296D0C">
        <w:rPr>
          <w:rFonts w:cs="Arial"/>
        </w:rPr>
        <w:t xml:space="preserve">. </w:t>
      </w:r>
      <w:r w:rsidRPr="00296D0C">
        <w:rPr>
          <w:rFonts w:cs="Arial"/>
        </w:rPr>
        <w:t>In addition, references within the included studies were reviewed to identify potentially overlooked studies. The searches were date limited 1990 – 2012 (original search). Language restrictions were not applied. Update searches were conducted in 2015.</w:t>
      </w:r>
    </w:p>
    <w:p w14:paraId="12385C60" w14:textId="77777777" w:rsidR="00861557" w:rsidRPr="00296D0C" w:rsidRDefault="00861557" w:rsidP="005126C2">
      <w:pPr>
        <w:spacing w:after="0" w:line="360" w:lineRule="auto"/>
        <w:rPr>
          <w:rFonts w:cs="Arial"/>
          <w:b/>
        </w:rPr>
      </w:pPr>
      <w:bookmarkStart w:id="495" w:name="_Toc453769909"/>
      <w:r w:rsidRPr="00296D0C">
        <w:rPr>
          <w:rFonts w:cs="Arial"/>
          <w:b/>
        </w:rPr>
        <w:t>Eligibility criteria</w:t>
      </w:r>
      <w:bookmarkEnd w:id="495"/>
    </w:p>
    <w:p w14:paraId="173C7A90" w14:textId="4A90D61A" w:rsidR="00861557" w:rsidRPr="00296D0C" w:rsidRDefault="00861557" w:rsidP="000D0114">
      <w:pPr>
        <w:pStyle w:val="NICEnormal"/>
        <w:spacing w:after="0"/>
        <w:rPr>
          <w:rFonts w:asciiTheme="minorHAnsi" w:hAnsiTheme="minorHAnsi"/>
        </w:rPr>
      </w:pPr>
      <w:r w:rsidRPr="00296D0C">
        <w:rPr>
          <w:rFonts w:asciiTheme="minorHAnsi" w:hAnsiTheme="minorHAnsi"/>
        </w:rPr>
        <w:t>Titles and abstract for all articles identified by the literature search were screened. Studies were eligible for inclusion if they were: economic evaluations (cost-benefit, cost-utility, cost</w:t>
      </w:r>
      <w:r w:rsidR="00466D16">
        <w:rPr>
          <w:rFonts w:asciiTheme="minorHAnsi" w:hAnsiTheme="minorHAnsi"/>
        </w:rPr>
        <w:t xml:space="preserve"> </w:t>
      </w:r>
      <w:r w:rsidRPr="00296D0C">
        <w:rPr>
          <w:rFonts w:asciiTheme="minorHAnsi" w:hAnsiTheme="minorHAnsi"/>
        </w:rPr>
        <w:t>effectiveness and cost-consequence analyses) of interventions related to child/adolescent overweight/obesity as a means of preven</w:t>
      </w:r>
      <w:r w:rsidR="00B9103D" w:rsidRPr="00296D0C">
        <w:rPr>
          <w:rFonts w:asciiTheme="minorHAnsi" w:hAnsiTheme="minorHAnsi"/>
        </w:rPr>
        <w:t xml:space="preserve">ting obesity in adults. Next, </w:t>
      </w:r>
      <w:r w:rsidR="00F17EF1" w:rsidRPr="00296D0C">
        <w:rPr>
          <w:rFonts w:asciiTheme="minorHAnsi" w:hAnsiTheme="minorHAnsi"/>
        </w:rPr>
        <w:t>f</w:t>
      </w:r>
      <w:r w:rsidRPr="00296D0C">
        <w:rPr>
          <w:rFonts w:asciiTheme="minorHAnsi" w:hAnsiTheme="minorHAnsi"/>
        </w:rPr>
        <w:t>ull texts of all articles deemed eligible from the previous stage were reviewed to further confirm their eligibility. At this stage, the exclusion criteria were burden-of-illness studies, cost analyses, study types other than economic evaluations, review articles, editorials or reports, or articles not written in English. Studies published as abstracts or conference presentations were only included if sufficient details were presented to allow both an appraisal of the methodology and an assessment of the results to be undertaken.</w:t>
      </w:r>
    </w:p>
    <w:p w14:paraId="063695D2" w14:textId="77777777" w:rsidR="00861557" w:rsidRPr="00296D0C" w:rsidRDefault="00861557" w:rsidP="00861557">
      <w:pPr>
        <w:pStyle w:val="NICEnormal"/>
        <w:spacing w:after="0"/>
        <w:rPr>
          <w:rFonts w:asciiTheme="minorHAnsi" w:hAnsiTheme="minorHAnsi"/>
          <w:b/>
        </w:rPr>
      </w:pPr>
      <w:bookmarkStart w:id="496" w:name="_Toc453769910"/>
      <w:r w:rsidRPr="00296D0C">
        <w:rPr>
          <w:rFonts w:asciiTheme="minorHAnsi" w:hAnsiTheme="minorHAnsi"/>
          <w:b/>
        </w:rPr>
        <w:t>Data extraction and synthesis</w:t>
      </w:r>
      <w:bookmarkEnd w:id="496"/>
    </w:p>
    <w:p w14:paraId="771E52E8" w14:textId="77777777" w:rsidR="00861557" w:rsidRPr="00296D0C" w:rsidRDefault="00861557" w:rsidP="000D0114">
      <w:pPr>
        <w:pStyle w:val="NICEnormal"/>
        <w:spacing w:after="0"/>
        <w:rPr>
          <w:rFonts w:asciiTheme="minorHAnsi" w:hAnsiTheme="minorHAnsi"/>
        </w:rPr>
      </w:pPr>
      <w:r w:rsidRPr="00296D0C">
        <w:rPr>
          <w:rFonts w:asciiTheme="minorHAnsi" w:hAnsiTheme="minorHAnsi"/>
        </w:rPr>
        <w:t xml:space="preserve">For each study included in the final review, data were extracted into a table. The information obtained included authors, country, study year, comparators, population characteristics, study </w:t>
      </w:r>
      <w:r w:rsidRPr="00296D0C">
        <w:rPr>
          <w:rFonts w:asciiTheme="minorHAnsi" w:hAnsiTheme="minorHAnsi"/>
        </w:rPr>
        <w:lastRenderedPageBreak/>
        <w:t>design, time horizon, perspective, data sources, effectiveness, cost, sensitivity analysis, and study conclusions. The identified modelling studies are summarised, the approaches available to model disease progression over time are discussed in a summary descriptive review.</w:t>
      </w:r>
    </w:p>
    <w:p w14:paraId="615F8245" w14:textId="77777777" w:rsidR="00861557" w:rsidRPr="00296D0C" w:rsidRDefault="00861557" w:rsidP="006573CD">
      <w:pPr>
        <w:rPr>
          <w:rFonts w:cs="Arial"/>
          <w:b/>
        </w:rPr>
      </w:pPr>
      <w:bookmarkStart w:id="497" w:name="_Toc450746745"/>
      <w:bookmarkStart w:id="498" w:name="_Toc452020177"/>
      <w:bookmarkStart w:id="499" w:name="_Toc452020300"/>
      <w:bookmarkEnd w:id="490"/>
      <w:bookmarkEnd w:id="491"/>
      <w:bookmarkEnd w:id="492"/>
      <w:r w:rsidRPr="00296D0C">
        <w:rPr>
          <w:rFonts w:cs="Arial"/>
          <w:b/>
        </w:rPr>
        <w:t>Results</w:t>
      </w:r>
      <w:bookmarkEnd w:id="497"/>
      <w:bookmarkEnd w:id="498"/>
      <w:bookmarkEnd w:id="499"/>
    </w:p>
    <w:p w14:paraId="281571CD" w14:textId="77777777" w:rsidR="00861557" w:rsidRPr="00296D0C" w:rsidRDefault="00861557" w:rsidP="006573CD">
      <w:pPr>
        <w:rPr>
          <w:rFonts w:cs="Arial"/>
          <w:b/>
        </w:rPr>
      </w:pPr>
      <w:bookmarkStart w:id="500" w:name="_Toc450746746"/>
      <w:bookmarkStart w:id="501" w:name="_Toc452020178"/>
      <w:bookmarkStart w:id="502" w:name="_Toc452020301"/>
      <w:r w:rsidRPr="00296D0C">
        <w:rPr>
          <w:rFonts w:cs="Arial"/>
          <w:b/>
        </w:rPr>
        <w:t>Studies identified</w:t>
      </w:r>
      <w:bookmarkEnd w:id="500"/>
      <w:bookmarkEnd w:id="501"/>
      <w:bookmarkEnd w:id="502"/>
    </w:p>
    <w:p w14:paraId="59BB8C0E" w14:textId="66209417" w:rsidR="00861557" w:rsidRPr="00296D0C" w:rsidRDefault="00861557" w:rsidP="000D0114">
      <w:pPr>
        <w:spacing w:after="0" w:line="360" w:lineRule="auto"/>
        <w:rPr>
          <w:rFonts w:cs="Arial"/>
        </w:rPr>
      </w:pPr>
      <w:r w:rsidRPr="00296D0C">
        <w:rPr>
          <w:rFonts w:cs="Arial"/>
        </w:rPr>
        <w:t xml:space="preserve">A total of </w:t>
      </w:r>
      <w:r w:rsidR="00F17EF1" w:rsidRPr="00296D0C">
        <w:rPr>
          <w:rFonts w:cs="Arial"/>
        </w:rPr>
        <w:t>seven</w:t>
      </w:r>
      <w:r w:rsidRPr="00296D0C">
        <w:rPr>
          <w:rFonts w:cs="Arial"/>
        </w:rPr>
        <w:t xml:space="preserve"> models (reported in 11 publications) were included in the final review (Wang et al</w:t>
      </w:r>
      <w:r w:rsidR="004878D6" w:rsidRPr="00296D0C">
        <w:rPr>
          <w:rFonts w:cs="Arial"/>
        </w:rPr>
        <w:t>.</w:t>
      </w:r>
      <w:r w:rsidRPr="00296D0C">
        <w:rPr>
          <w:rFonts w:cs="Arial"/>
        </w:rPr>
        <w:t>, 2003</w:t>
      </w:r>
      <w:r w:rsidR="00114D2F" w:rsidRPr="00296D0C">
        <w:rPr>
          <w:rFonts w:cs="Arial"/>
        </w:rPr>
        <w:t xml:space="preserve"> </w:t>
      </w:r>
      <w:r w:rsidR="002F07AE" w:rsidRPr="00296D0C">
        <w:rPr>
          <w:rFonts w:cs="Arial"/>
        </w:rPr>
        <w:fldChar w:fldCharType="begin"/>
      </w:r>
      <w:r w:rsidR="008C43BF">
        <w:rPr>
          <w:rFonts w:cs="Arial"/>
        </w:rPr>
        <w:instrText xml:space="preserve"> ADDIN EN.CITE &lt;EndNote&gt;&lt;Cite&gt;&lt;Author&gt;Wang&lt;/Author&gt;&lt;Year&gt;2003&lt;/Year&gt;&lt;RecNum&gt;3261&lt;/RecNum&gt;&lt;DisplayText&gt;&lt;style face="superscript"&gt;61&lt;/style&gt;&lt;/DisplayText&gt;&lt;record&gt;&lt;rec-number&gt;3261&lt;/rec-number&gt;&lt;foreign-keys&gt;&lt;key app="EN" db-id="2ewa9rrvjsdsawep2vpx5x97eedzzvxx5rta" timestamp="0"&gt;3261&lt;/key&gt;&lt;/foreign-keys&gt;&lt;ref-type name="Journal Article"&gt;17&lt;/ref-type&gt;&lt;contributors&gt;&lt;authors&gt;&lt;author&gt;Wang, L. Y.&lt;/author&gt;&lt;author&gt;Yang, Q.&lt;/author&gt;&lt;author&gt;Lowry, R.&lt;/author&gt;&lt;author&gt;Wechsler, H.&lt;/author&gt;&lt;/authors&gt;&lt;/contributors&gt;&lt;auth-address&gt;Division of Adolescent and School Health, Centers for Disease Control and Prevention, 4770 Buford Highway, MS K-33, Chamblee, GA 30341, USA. lgw0@cdc.gov&lt;/auth-address&gt;&lt;titles&gt;&lt;title&gt;Economic analysis of a school-based obesity prevention program&lt;/title&gt;&lt;secondary-title&gt;Obes Res&lt;/secondary-title&gt;&lt;/titles&gt;&lt;periodical&gt;&lt;full-title&gt;Obesity Research&lt;/full-title&gt;&lt;abbr-1&gt;Obes. Res.&lt;/abbr-1&gt;&lt;abbr-2&gt;Obes Res&lt;/abbr-2&gt;&lt;/periodical&gt;&lt;pages&gt;1313-24&lt;/pages&gt;&lt;volume&gt;11&lt;/volume&gt;&lt;number&gt;11&lt;/number&gt;&lt;edition&gt;2003/11/25&lt;/edition&gt;&lt;keywords&gt;&lt;keyword&gt;Adolescent&lt;/keyword&gt;&lt;keyword&gt;Adult&lt;/keyword&gt;&lt;keyword&gt;Body Mass Index&lt;/keyword&gt;&lt;keyword&gt;Child&lt;/keyword&gt;&lt;keyword&gt;Cost of Illness&lt;/keyword&gt;&lt;keyword&gt;Cost-Benefit Analysis&lt;/keyword&gt;&lt;keyword&gt;Female&lt;/keyword&gt;&lt;keyword&gt;Health Care Costs&lt;/keyword&gt;&lt;keyword&gt;Humans&lt;/keyword&gt;&lt;keyword&gt;Male&lt;/keyword&gt;&lt;keyword&gt;Mathematics&lt;/keyword&gt;&lt;keyword&gt;Obesity/ economics/ prevention &amp;amp; control&lt;/keyword&gt;&lt;keyword&gt;Probability&lt;/keyword&gt;&lt;keyword&gt;School Health Services/ economics&lt;/keyword&gt;&lt;/keywords&gt;&lt;dates&gt;&lt;year&gt;2003&lt;/year&gt;&lt;pub-dates&gt;&lt;date&gt;Nov&lt;/date&gt;&lt;/pub-dates&gt;&lt;/dates&gt;&lt;isbn&gt;1071-7323 (Print)&amp;#xD;1071-7323 (Linking)&lt;/isbn&gt;&lt;accession-num&gt;14627751&lt;/accession-num&gt;&lt;urls&gt;&lt;/urls&gt;&lt;electronic-resource-num&gt;10.1038/oby.2003.178 [doi]&lt;/electronic-resource-num&gt;&lt;remote-database-provider&gt;Nlm&lt;/remote-database-provider&gt;&lt;language&gt;eng&lt;/language&gt;&lt;/record&gt;&lt;/Cite&gt;&lt;/EndNote&gt;</w:instrText>
      </w:r>
      <w:r w:rsidR="002F07AE" w:rsidRPr="00296D0C">
        <w:rPr>
          <w:rFonts w:cs="Arial"/>
        </w:rPr>
        <w:fldChar w:fldCharType="separate"/>
      </w:r>
      <w:r w:rsidR="008C43BF" w:rsidRPr="008C43BF">
        <w:rPr>
          <w:rFonts w:cs="Arial"/>
          <w:noProof/>
          <w:vertAlign w:val="superscript"/>
        </w:rPr>
        <w:t>61</w:t>
      </w:r>
      <w:r w:rsidR="002F07AE" w:rsidRPr="00296D0C">
        <w:rPr>
          <w:rFonts w:cs="Arial"/>
        </w:rPr>
        <w:fldChar w:fldCharType="end"/>
      </w:r>
      <w:r w:rsidRPr="00296D0C">
        <w:rPr>
          <w:rFonts w:cs="Arial"/>
        </w:rPr>
        <w:t>, Brown et al</w:t>
      </w:r>
      <w:r w:rsidR="004878D6" w:rsidRPr="00296D0C">
        <w:rPr>
          <w:rFonts w:cs="Arial"/>
        </w:rPr>
        <w:t>.</w:t>
      </w:r>
      <w:r w:rsidRPr="00296D0C">
        <w:rPr>
          <w:rFonts w:cs="Arial"/>
        </w:rPr>
        <w:t>, 2007</w:t>
      </w:r>
      <w:r w:rsidR="007E73CE" w:rsidRPr="00296D0C">
        <w:rPr>
          <w:rFonts w:cs="Arial"/>
        </w:rPr>
        <w:t xml:space="preserve"> </w:t>
      </w:r>
      <w:r w:rsidR="002F07AE" w:rsidRPr="00296D0C">
        <w:rPr>
          <w:rFonts w:cs="Arial"/>
        </w:rPr>
        <w:fldChar w:fldCharType="begin"/>
      </w:r>
      <w:r w:rsidR="008C43BF">
        <w:rPr>
          <w:rFonts w:cs="Arial"/>
        </w:rPr>
        <w:instrText xml:space="preserve"> ADDIN EN.CITE &lt;EndNote&gt;&lt;Cite&gt;&lt;Author&gt;Brown&lt;/Author&gt;&lt;Year&gt;2007&lt;/Year&gt;&lt;RecNum&gt;5732&lt;/RecNum&gt;&lt;DisplayText&gt;&lt;style face="superscript"&gt;62&lt;/style&gt;&lt;/DisplayText&gt;&lt;record&gt;&lt;rec-number&gt;5732&lt;/rec-number&gt;&lt;foreign-keys&gt;&lt;key app="EN" db-id="2ewa9rrvjsdsawep2vpx5x97eedzzvxx5rta" timestamp="1478679952"&gt;5732&lt;/key&gt;&lt;/foreign-keys&gt;&lt;ref-type name="Journal Article"&gt;17&lt;/ref-type&gt;&lt;contributors&gt;&lt;authors&gt;&lt;author&gt;Brown, H. S., 3rd&lt;/author&gt;&lt;author&gt;Perez, A.&lt;/author&gt;&lt;author&gt;Li, Y. P.&lt;/author&gt;&lt;author&gt;Hoelscher, D. M.&lt;/author&gt;&lt;author&gt;Kelder, S. H.&lt;/author&gt;&lt;author&gt;Rivera, R.&lt;/author&gt;&lt;/authors&gt;&lt;/contributors&gt;&lt;auth-address&gt;Division of Management, Policy and Community Health, University of Texas School of Public Health, Austin, TX 78701, USA. henry.s.brown@uth.tmc.edu&lt;/auth-address&gt;&lt;titles&gt;&lt;title&gt;The cost-effectiveness of a school-based overweight program&lt;/title&gt;&lt;secondary-title&gt;Int J Behav Nutr Phys Act&lt;/secondary-title&gt;&lt;/titles&gt;&lt;periodical&gt;&lt;full-title&gt;International Journal of Behavioural Nutrition and Physical Activity&lt;/full-title&gt;&lt;abbr-1&gt;Int J Behav Nutr Phys Act&lt;/abbr-1&gt;&lt;/periodical&gt;&lt;pages&gt;47&lt;/pages&gt;&lt;volume&gt;4&lt;/volume&gt;&lt;dates&gt;&lt;year&gt;2007&lt;/year&gt;&lt;/dates&gt;&lt;isbn&gt;1479-5868 (Electronic)&amp;#xD;1479-5868 (Linking)&lt;/isbn&gt;&lt;accession-num&gt;17908315&lt;/accession-num&gt;&lt;urls&gt;&lt;related-urls&gt;&lt;url&gt;http://www.ncbi.nlm.nih.gov/pubmed/17908315&lt;/url&gt;&lt;/related-urls&gt;&lt;/urls&gt;&lt;custom2&gt;2098777&lt;/custom2&gt;&lt;electronic-resource-num&gt;10.1186/1479-5868-4-47&lt;/electronic-resource-num&gt;&lt;/record&gt;&lt;/Cite&gt;&lt;/EndNote&gt;</w:instrText>
      </w:r>
      <w:r w:rsidR="002F07AE" w:rsidRPr="00296D0C">
        <w:rPr>
          <w:rFonts w:cs="Arial"/>
        </w:rPr>
        <w:fldChar w:fldCharType="separate"/>
      </w:r>
      <w:r w:rsidR="008C43BF" w:rsidRPr="008C43BF">
        <w:rPr>
          <w:rFonts w:cs="Arial"/>
          <w:noProof/>
          <w:vertAlign w:val="superscript"/>
        </w:rPr>
        <w:t>62</w:t>
      </w:r>
      <w:r w:rsidR="002F07AE" w:rsidRPr="00296D0C">
        <w:rPr>
          <w:rFonts w:cs="Arial"/>
        </w:rPr>
        <w:fldChar w:fldCharType="end"/>
      </w:r>
      <w:r w:rsidR="002F07AE" w:rsidRPr="00296D0C">
        <w:rPr>
          <w:rFonts w:cs="Arial"/>
        </w:rPr>
        <w:t>,</w:t>
      </w:r>
      <w:r w:rsidR="00335458" w:rsidRPr="00296D0C">
        <w:rPr>
          <w:rFonts w:cs="Arial"/>
        </w:rPr>
        <w:t xml:space="preserve"> </w:t>
      </w:r>
      <w:r w:rsidRPr="00296D0C">
        <w:rPr>
          <w:rFonts w:cs="Arial"/>
        </w:rPr>
        <w:t>Hollingworth et al</w:t>
      </w:r>
      <w:r w:rsidR="004878D6" w:rsidRPr="00296D0C">
        <w:rPr>
          <w:rFonts w:cs="Arial"/>
        </w:rPr>
        <w:t>.</w:t>
      </w:r>
      <w:r w:rsidRPr="00296D0C">
        <w:rPr>
          <w:rFonts w:cs="Arial"/>
        </w:rPr>
        <w:t>, 2012</w:t>
      </w:r>
      <w:r w:rsidR="007E73CE" w:rsidRPr="00296D0C">
        <w:rPr>
          <w:rFonts w:cs="Arial"/>
        </w:rPr>
        <w:t xml:space="preserve"> </w:t>
      </w:r>
      <w:r w:rsidR="00106965" w:rsidRPr="00296D0C">
        <w:rPr>
          <w:rFonts w:cs="Arial"/>
        </w:rPr>
        <w:fldChar w:fldCharType="begin"/>
      </w:r>
      <w:r w:rsidR="008C43BF">
        <w:rPr>
          <w:rFonts w:cs="Arial"/>
        </w:rPr>
        <w:instrText xml:space="preserve"> ADDIN EN.CITE &lt;EndNote&gt;&lt;Cite&gt;&lt;Author&gt;Hollingworth&lt;/Author&gt;&lt;Year&gt;2012&lt;/Year&gt;&lt;RecNum&gt;5746&lt;/RecNum&gt;&lt;DisplayText&gt;&lt;style face="superscript"&gt;63&lt;/style&gt;&lt;/DisplayText&gt;&lt;record&gt;&lt;rec-number&gt;5746&lt;/rec-number&gt;&lt;foreign-keys&gt;&lt;key app="EN" db-id="2ewa9rrvjsdsawep2vpx5x97eedzzvxx5rta" timestamp="1478679952"&gt;5746&lt;/key&gt;&lt;/foreign-keys&gt;&lt;ref-type name="Journal Article"&gt;17&lt;/ref-type&gt;&lt;contributors&gt;&lt;authors&gt;&lt;author&gt;Hollingworth, W.&lt;/author&gt;&lt;author&gt;Hawkins, J.&lt;/author&gt;&lt;author&gt;Lawlor, D. A.&lt;/author&gt;&lt;author&gt;Brown, M.&lt;/author&gt;&lt;author&gt;Marsh, T.&lt;/author&gt;&lt;author&gt;Kipping, R. R.&lt;/author&gt;&lt;/authors&gt;&lt;/contributors&gt;&lt;auth-address&gt;School of Social and Community Medicine, University of Bristol, Bristol, UK. william.hollingworth@bristol.ac.uk&lt;/auth-address&gt;&lt;titles&gt;&lt;title&gt;Economic evaluation of lifestyle interventions to treat overweight or obesity in children&lt;/title&gt;&lt;secondary-title&gt;Int J Obes (Lond)&lt;/secondary-title&gt;&lt;/titles&gt;&lt;periodical&gt;&lt;full-title&gt;International Journal of Obesity (2005)&lt;/full-title&gt;&lt;abbr-1&gt;Int. J. Obes. (Lond.)&lt;/abbr-1&gt;&lt;abbr-2&gt;Int J Obes (Lond)&lt;/abbr-2&gt;&lt;/periodical&gt;&lt;pages&gt;559-66&lt;/pages&gt;&lt;volume&gt;36&lt;/volume&gt;&lt;number&gt;4&lt;/number&gt;&lt;keywords&gt;&lt;keyword&gt;Body Mass Index&lt;/keyword&gt;&lt;keyword&gt;Child&lt;/keyword&gt;&lt;keyword&gt;Child, Preschool&lt;/keyword&gt;&lt;keyword&gt;Cost-Benefit Analysis&lt;/keyword&gt;&lt;keyword&gt;Female&lt;/keyword&gt;&lt;keyword&gt;Great Britain/epidemiology&lt;/keyword&gt;&lt;keyword&gt;Humans&lt;/keyword&gt;&lt;keyword&gt;Male&lt;/keyword&gt;&lt;keyword&gt;Models, Economic&lt;/keyword&gt;&lt;keyword&gt;National Health Programs&lt;/keyword&gt;&lt;keyword&gt;Obesity/economics&lt;/keyword&gt;&lt;keyword&gt;Overweight/*economics/epidemiology/prevention &amp;amp; control/*therapy&lt;/keyword&gt;&lt;keyword&gt;Randomized Controlled Trials as Topic&lt;/keyword&gt;&lt;keyword&gt;*Risk Reduction Behavior&lt;/keyword&gt;&lt;/keywords&gt;&lt;dates&gt;&lt;year&gt;2012&lt;/year&gt;&lt;pub-dates&gt;&lt;date&gt;Apr&lt;/date&gt;&lt;/pub-dates&gt;&lt;/dates&gt;&lt;isbn&gt;1476-5497 (Electronic)&amp;#xD;0307-0565 (Linking)&lt;/isbn&gt;&lt;accession-num&gt;22249222&lt;/accession-num&gt;&lt;urls&gt;&lt;related-urls&gt;&lt;url&gt;http://www.ncbi.nlm.nih.gov/pubmed/22249222&lt;/url&gt;&lt;/related-urls&gt;&lt;/urls&gt;&lt;electronic-resource-num&gt;10.1038/ijo.2011.272&lt;/electronic-resource-num&gt;&lt;/record&gt;&lt;/Cite&gt;&lt;/EndNote&gt;</w:instrText>
      </w:r>
      <w:r w:rsidR="00106965" w:rsidRPr="00296D0C">
        <w:rPr>
          <w:rFonts w:cs="Arial"/>
        </w:rPr>
        <w:fldChar w:fldCharType="separate"/>
      </w:r>
      <w:r w:rsidR="008C43BF" w:rsidRPr="008C43BF">
        <w:rPr>
          <w:rFonts w:cs="Arial"/>
          <w:noProof/>
          <w:vertAlign w:val="superscript"/>
        </w:rPr>
        <w:t>63</w:t>
      </w:r>
      <w:r w:rsidR="00106965" w:rsidRPr="00296D0C">
        <w:rPr>
          <w:rFonts w:cs="Arial"/>
        </w:rPr>
        <w:fldChar w:fldCharType="end"/>
      </w:r>
      <w:r w:rsidR="00106965" w:rsidRPr="00296D0C">
        <w:rPr>
          <w:rFonts w:cs="Arial"/>
        </w:rPr>
        <w:t xml:space="preserve">, </w:t>
      </w:r>
      <w:r w:rsidR="00335458" w:rsidRPr="00296D0C">
        <w:rPr>
          <w:rFonts w:cs="Arial"/>
        </w:rPr>
        <w:t xml:space="preserve"> </w:t>
      </w:r>
      <w:r w:rsidRPr="00296D0C">
        <w:rPr>
          <w:rFonts w:cs="Arial"/>
        </w:rPr>
        <w:t>Pil et al</w:t>
      </w:r>
      <w:r w:rsidR="004878D6" w:rsidRPr="00296D0C">
        <w:rPr>
          <w:rFonts w:cs="Arial"/>
        </w:rPr>
        <w:t>.</w:t>
      </w:r>
      <w:r w:rsidRPr="00296D0C">
        <w:rPr>
          <w:rFonts w:cs="Arial"/>
        </w:rPr>
        <w:t>, 2014</w:t>
      </w:r>
      <w:r w:rsidR="00106965" w:rsidRPr="00296D0C">
        <w:rPr>
          <w:rFonts w:cs="Arial"/>
        </w:rPr>
        <w:t xml:space="preserve"> </w:t>
      </w:r>
      <w:r w:rsidR="006338E8" w:rsidRPr="00296D0C">
        <w:rPr>
          <w:rFonts w:cs="Arial"/>
        </w:rPr>
        <w:fldChar w:fldCharType="begin">
          <w:fldData xml:space="preserve">PEVuZE5vdGU+PENpdGU+PEF1dGhvcj5QaWw8L0F1dGhvcj48WWVhcj4yMDE0PC9ZZWFyPjxSZWNO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=
</w:fldData>
        </w:fldChar>
      </w:r>
      <w:r w:rsidR="008C43BF">
        <w:rPr>
          <w:rFonts w:cs="Arial"/>
        </w:rPr>
        <w:instrText xml:space="preserve"> ADDIN EN.CITE </w:instrText>
      </w:r>
      <w:r w:rsidR="008C43BF">
        <w:rPr>
          <w:rFonts w:cs="Arial"/>
        </w:rPr>
        <w:fldChar w:fldCharType="begin">
          <w:fldData xml:space="preserve">PEVuZE5vdGU+PENpdGU+PEF1dGhvcj5QaWw8L0F1dGhvcj48WWVhcj4yMDE0PC9ZZWFyPjxSZWNO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=
</w:fldData>
        </w:fldChar>
      </w:r>
      <w:r w:rsidR="008C43BF">
        <w:rPr>
          <w:rFonts w:cs="Arial"/>
        </w:rPr>
        <w:instrText xml:space="preserve"> ADDIN EN.CITE.DATA </w:instrText>
      </w:r>
      <w:r w:rsidR="008C43BF">
        <w:rPr>
          <w:rFonts w:cs="Arial"/>
        </w:rPr>
      </w:r>
      <w:r w:rsidR="008C43BF">
        <w:rPr>
          <w:rFonts w:cs="Arial"/>
        </w:rPr>
        <w:fldChar w:fldCharType="end"/>
      </w:r>
      <w:r w:rsidR="006338E8" w:rsidRPr="00296D0C">
        <w:rPr>
          <w:rFonts w:cs="Arial"/>
        </w:rPr>
      </w:r>
      <w:r w:rsidR="006338E8" w:rsidRPr="00296D0C">
        <w:rPr>
          <w:rFonts w:cs="Arial"/>
        </w:rPr>
        <w:fldChar w:fldCharType="separate"/>
      </w:r>
      <w:r w:rsidR="008C43BF" w:rsidRPr="008C43BF">
        <w:rPr>
          <w:rFonts w:cs="Arial"/>
          <w:noProof/>
          <w:vertAlign w:val="superscript"/>
        </w:rPr>
        <w:t>64</w:t>
      </w:r>
      <w:r w:rsidR="006338E8" w:rsidRPr="00296D0C">
        <w:rPr>
          <w:rFonts w:cs="Arial"/>
        </w:rPr>
        <w:fldChar w:fldCharType="end"/>
      </w:r>
      <w:r w:rsidR="00106965" w:rsidRPr="00296D0C">
        <w:rPr>
          <w:rFonts w:cs="Arial"/>
        </w:rPr>
        <w:t xml:space="preserve"> ,</w:t>
      </w:r>
      <w:r w:rsidR="00E3234A" w:rsidRPr="00296D0C">
        <w:rPr>
          <w:rFonts w:cs="Arial"/>
        </w:rPr>
        <w:t xml:space="preserve"> </w:t>
      </w:r>
      <w:r w:rsidRPr="00296D0C">
        <w:rPr>
          <w:rFonts w:cs="Arial"/>
        </w:rPr>
        <w:t>Rush et al</w:t>
      </w:r>
      <w:r w:rsidR="004878D6" w:rsidRPr="00296D0C">
        <w:rPr>
          <w:rFonts w:cs="Arial"/>
        </w:rPr>
        <w:t>.</w:t>
      </w:r>
      <w:r w:rsidRPr="00296D0C">
        <w:rPr>
          <w:rFonts w:cs="Arial"/>
        </w:rPr>
        <w:t>, 2014</w:t>
      </w:r>
      <w:r w:rsidR="007E73CE" w:rsidRPr="00296D0C">
        <w:rPr>
          <w:rFonts w:cs="Arial"/>
        </w:rPr>
        <w:t xml:space="preserve"> </w:t>
      </w:r>
      <w:r w:rsidR="006338E8" w:rsidRPr="00296D0C">
        <w:rPr>
          <w:rFonts w:cs="Arial"/>
        </w:rPr>
        <w:fldChar w:fldCharType="begin">
          <w:fldData xml:space="preserve">PEVuZE5vdGU+PENpdGU+PEF1dGhvcj5SdXNoPC9BdXRob3I+PFllYXI+MjAxNDwvWWVhcj48UmVj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=
</w:fldData>
        </w:fldChar>
      </w:r>
      <w:r w:rsidR="008C43BF">
        <w:rPr>
          <w:rFonts w:cs="Arial"/>
        </w:rPr>
        <w:instrText xml:space="preserve"> ADDIN EN.CITE </w:instrText>
      </w:r>
      <w:r w:rsidR="008C43BF">
        <w:rPr>
          <w:rFonts w:cs="Arial"/>
        </w:rPr>
        <w:fldChar w:fldCharType="begin">
          <w:fldData xml:space="preserve">PEVuZE5vdGU+PENpdGU+PEF1dGhvcj5SdXNoPC9BdXRob3I+PFllYXI+MjAxNDwvWWVhcj48UmVj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=
</w:fldData>
        </w:fldChar>
      </w:r>
      <w:r w:rsidR="008C43BF">
        <w:rPr>
          <w:rFonts w:cs="Arial"/>
        </w:rPr>
        <w:instrText xml:space="preserve"> ADDIN EN.CITE.DATA </w:instrText>
      </w:r>
      <w:r w:rsidR="008C43BF">
        <w:rPr>
          <w:rFonts w:cs="Arial"/>
        </w:rPr>
      </w:r>
      <w:r w:rsidR="008C43BF">
        <w:rPr>
          <w:rFonts w:cs="Arial"/>
        </w:rPr>
        <w:fldChar w:fldCharType="end"/>
      </w:r>
      <w:r w:rsidR="006338E8" w:rsidRPr="00296D0C">
        <w:rPr>
          <w:rFonts w:cs="Arial"/>
        </w:rPr>
      </w:r>
      <w:r w:rsidR="006338E8" w:rsidRPr="00296D0C">
        <w:rPr>
          <w:rFonts w:cs="Arial"/>
        </w:rPr>
        <w:fldChar w:fldCharType="separate"/>
      </w:r>
      <w:r w:rsidR="008C43BF" w:rsidRPr="008C43BF">
        <w:rPr>
          <w:rFonts w:cs="Arial"/>
          <w:noProof/>
          <w:vertAlign w:val="superscript"/>
        </w:rPr>
        <w:t>65</w:t>
      </w:r>
      <w:r w:rsidR="006338E8" w:rsidRPr="00296D0C">
        <w:rPr>
          <w:rFonts w:cs="Arial"/>
        </w:rPr>
        <w:fldChar w:fldCharType="end"/>
      </w:r>
      <w:r w:rsidR="00106965" w:rsidRPr="00296D0C">
        <w:rPr>
          <w:rFonts w:cs="Arial"/>
        </w:rPr>
        <w:t>,</w:t>
      </w:r>
      <w:r w:rsidR="00E3234A" w:rsidRPr="00296D0C">
        <w:rPr>
          <w:rFonts w:cs="Arial"/>
        </w:rPr>
        <w:t xml:space="preserve"> </w:t>
      </w:r>
      <w:r w:rsidRPr="00296D0C">
        <w:rPr>
          <w:rFonts w:cs="Arial"/>
        </w:rPr>
        <w:t>Tran et al</w:t>
      </w:r>
      <w:r w:rsidR="004878D6" w:rsidRPr="00296D0C">
        <w:rPr>
          <w:rFonts w:cs="Arial"/>
        </w:rPr>
        <w:t>.</w:t>
      </w:r>
      <w:r w:rsidRPr="00296D0C">
        <w:rPr>
          <w:rFonts w:cs="Arial"/>
        </w:rPr>
        <w:t>, 2014</w:t>
      </w:r>
      <w:r w:rsidR="00106965" w:rsidRPr="00296D0C">
        <w:rPr>
          <w:rFonts w:cs="Arial"/>
        </w:rPr>
        <w:t xml:space="preserve"> </w:t>
      </w:r>
      <w:r w:rsidR="006338E8" w:rsidRPr="00296D0C">
        <w:rPr>
          <w:rFonts w:cs="Arial"/>
        </w:rPr>
        <w:fldChar w:fldCharType="begin"/>
      </w:r>
      <w:r w:rsidR="008C43BF">
        <w:rPr>
          <w:rFonts w:cs="Arial"/>
        </w:rPr>
        <w:instrText xml:space="preserve"> ADDIN EN.CITE &lt;EndNote&gt;&lt;Cite&gt;&lt;Author&gt;Tran&lt;/Author&gt;&lt;Year&gt;2014&lt;/Year&gt;&lt;RecNum&gt;5771&lt;/RecNum&gt;&lt;DisplayText&gt;&lt;style face="superscript"&gt;66&lt;/style&gt;&lt;/DisplayText&gt;&lt;record&gt;&lt;rec-number&gt;5771&lt;/rec-number&gt;&lt;foreign-keys&gt;&lt;key app="EN" db-id="2ewa9rrvjsdsawep2vpx5x97eedzzvxx5rta" timestamp="1478679952"&gt;5771&lt;/key&gt;&lt;/foreign-keys&gt;&lt;ref-type name="Journal Article"&gt;17&lt;/ref-type&gt;&lt;contributors&gt;&lt;authors&gt;&lt;author&gt;Tran, B. X.&lt;/author&gt;&lt;author&gt;Ohinmaa, A.&lt;/author&gt;&lt;author&gt;Kuhle, S.&lt;/author&gt;&lt;author&gt;Johnson, J. A.&lt;/author&gt;&lt;author&gt;Veugelers, P. J.&lt;/author&gt;&lt;/authors&gt;&lt;/contributors&gt;&lt;auth-address&gt;School of Public Health, University of Alberta, Edmonton, Alberta, Canada.&amp;#xD;Department of Pediatrics, Obstetrics &amp;amp; Gynecology, Dalhousie University, Halifax, NS, Canada.&lt;/auth-address&gt;&lt;titles&gt;&lt;title&gt;Life course impact of school-based promotion of healthy eating and active living to prevent childhood obesity&lt;/title&gt;&lt;secondary-title&gt;PLoS One&lt;/secondary-title&gt;&lt;/titles&gt;&lt;periodical&gt;&lt;full-title&gt;PloS One&lt;/full-title&gt;&lt;abbr-1&gt;PLoS One&lt;/abbr-1&gt;&lt;abbr-2&gt;PLoS One&lt;/abbr-2&gt;&lt;/periodical&gt;&lt;pages&gt;e102242&lt;/pages&gt;&lt;volume&gt;9&lt;/volume&gt;&lt;number&gt;7&lt;/number&gt;&lt;keywords&gt;&lt;keyword&gt;Child&lt;/keyword&gt;&lt;keyword&gt;*Eating&lt;/keyword&gt;&lt;keyword&gt;*Health Promotion&lt;/keyword&gt;&lt;keyword&gt;Humans&lt;/keyword&gt;&lt;keyword&gt;*Life Style&lt;/keyword&gt;&lt;keyword&gt;Obesity/*prevention &amp;amp; control&lt;/keyword&gt;&lt;keyword&gt;School Health Services/*organization &amp;amp; administration&lt;/keyword&gt;&lt;/keywords&gt;&lt;dates&gt;&lt;year&gt;2014&lt;/year&gt;&lt;/dates&gt;&lt;isbn&gt;1932-6203 (Electronic)&amp;#xD;1932-6203 (Linking)&lt;/isbn&gt;&lt;accession-num&gt;25025581&lt;/accession-num&gt;&lt;urls&gt;&lt;related-urls&gt;&lt;url&gt;http://www.ncbi.nlm.nih.gov/pubmed/25025581&lt;/url&gt;&lt;/related-urls&gt;&lt;/urls&gt;&lt;custom2&gt;4099303&lt;/custom2&gt;&lt;electronic-resource-num&gt;10.1371/journal.pone.0102242&lt;/electronic-resource-num&gt;&lt;/record&gt;&lt;/Cite&gt;&lt;/EndNote&gt;</w:instrText>
      </w:r>
      <w:r w:rsidR="006338E8" w:rsidRPr="00296D0C">
        <w:rPr>
          <w:rFonts w:cs="Arial"/>
        </w:rPr>
        <w:fldChar w:fldCharType="separate"/>
      </w:r>
      <w:r w:rsidR="008C43BF" w:rsidRPr="008C43BF">
        <w:rPr>
          <w:rFonts w:cs="Arial"/>
          <w:noProof/>
          <w:vertAlign w:val="superscript"/>
        </w:rPr>
        <w:t>66</w:t>
      </w:r>
      <w:r w:rsidR="006338E8" w:rsidRPr="00296D0C">
        <w:rPr>
          <w:rFonts w:cs="Arial"/>
        </w:rPr>
        <w:fldChar w:fldCharType="end"/>
      </w:r>
      <w:r w:rsidR="00106965" w:rsidRPr="00296D0C">
        <w:rPr>
          <w:rFonts w:cs="Arial"/>
        </w:rPr>
        <w:t>,</w:t>
      </w:r>
      <w:r w:rsidR="00E3234A" w:rsidRPr="00296D0C">
        <w:rPr>
          <w:rFonts w:cs="Arial"/>
        </w:rPr>
        <w:t xml:space="preserve"> </w:t>
      </w:r>
      <w:r w:rsidRPr="00296D0C">
        <w:rPr>
          <w:rFonts w:cs="Arial"/>
        </w:rPr>
        <w:t>Barrett et al</w:t>
      </w:r>
      <w:r w:rsidR="004878D6" w:rsidRPr="00296D0C">
        <w:rPr>
          <w:rFonts w:cs="Arial"/>
        </w:rPr>
        <w:t>.</w:t>
      </w:r>
      <w:r w:rsidRPr="00296D0C">
        <w:rPr>
          <w:rFonts w:cs="Arial"/>
        </w:rPr>
        <w:t>, 2015</w:t>
      </w:r>
      <w:r w:rsidR="00106965" w:rsidRPr="00296D0C">
        <w:rPr>
          <w:rFonts w:cs="Arial"/>
        </w:rPr>
        <w:t xml:space="preserve"> </w:t>
      </w:r>
      <w:r w:rsidR="006338E8" w:rsidRPr="00296D0C">
        <w:rPr>
          <w:rFonts w:cs="Arial"/>
        </w:rPr>
        <w:fldChar w:fldCharType="begin">
          <w:fldData xml:space="preserve">PEVuZE5vdGU+PENpdGU+PEF1dGhvcj5CYXJyZXR0PC9BdXRob3I+PFllYXI+MjAxNTwvWWVhcj48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</w:fldData>
        </w:fldChar>
      </w:r>
      <w:r w:rsidR="008C43BF">
        <w:rPr>
          <w:rFonts w:cs="Arial"/>
        </w:rPr>
        <w:instrText xml:space="preserve"> ADDIN EN.CITE </w:instrText>
      </w:r>
      <w:r w:rsidR="008C43BF">
        <w:rPr>
          <w:rFonts w:cs="Arial"/>
        </w:rPr>
        <w:fldChar w:fldCharType="begin">
          <w:fldData xml:space="preserve">PEVuZE5vdGU+PENpdGU+PEF1dGhvcj5CYXJyZXR0PC9BdXRob3I+PFllYXI+MjAxNTwvWWVhcj48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</w:fldData>
        </w:fldChar>
      </w:r>
      <w:r w:rsidR="008C43BF">
        <w:rPr>
          <w:rFonts w:cs="Arial"/>
        </w:rPr>
        <w:instrText xml:space="preserve"> ADDIN EN.CITE.DATA </w:instrText>
      </w:r>
      <w:r w:rsidR="008C43BF">
        <w:rPr>
          <w:rFonts w:cs="Arial"/>
        </w:rPr>
      </w:r>
      <w:r w:rsidR="008C43BF">
        <w:rPr>
          <w:rFonts w:cs="Arial"/>
        </w:rPr>
        <w:fldChar w:fldCharType="end"/>
      </w:r>
      <w:r w:rsidR="006338E8" w:rsidRPr="00296D0C">
        <w:rPr>
          <w:rFonts w:cs="Arial"/>
        </w:rPr>
      </w:r>
      <w:r w:rsidR="006338E8" w:rsidRPr="00296D0C">
        <w:rPr>
          <w:rFonts w:cs="Arial"/>
        </w:rPr>
        <w:fldChar w:fldCharType="separate"/>
      </w:r>
      <w:r w:rsidR="008C43BF" w:rsidRPr="008C43BF">
        <w:rPr>
          <w:rFonts w:cs="Arial"/>
          <w:noProof/>
          <w:vertAlign w:val="superscript"/>
        </w:rPr>
        <w:t>67</w:t>
      </w:r>
      <w:r w:rsidR="006338E8" w:rsidRPr="00296D0C">
        <w:rPr>
          <w:rFonts w:cs="Arial"/>
        </w:rPr>
        <w:fldChar w:fldCharType="end"/>
      </w:r>
      <w:r w:rsidR="00E3234A" w:rsidRPr="00296D0C">
        <w:rPr>
          <w:rFonts w:cs="Arial"/>
        </w:rPr>
        <w:t xml:space="preserve"> </w:t>
      </w:r>
      <w:r w:rsidR="00106965" w:rsidRPr="00296D0C">
        <w:rPr>
          <w:rFonts w:cs="Arial"/>
        </w:rPr>
        <w:t xml:space="preserve">, </w:t>
      </w:r>
      <w:r w:rsidRPr="00296D0C">
        <w:rPr>
          <w:rFonts w:cs="Arial"/>
        </w:rPr>
        <w:t>Gortmaker et al</w:t>
      </w:r>
      <w:r w:rsidR="004878D6" w:rsidRPr="00296D0C">
        <w:rPr>
          <w:rFonts w:cs="Arial"/>
        </w:rPr>
        <w:t>.</w:t>
      </w:r>
      <w:r w:rsidRPr="00296D0C">
        <w:rPr>
          <w:rFonts w:cs="Arial"/>
        </w:rPr>
        <w:t>, 2015</w:t>
      </w:r>
      <w:r w:rsidR="007E73CE" w:rsidRPr="00296D0C">
        <w:rPr>
          <w:rFonts w:cs="Arial"/>
        </w:rPr>
        <w:t xml:space="preserve"> </w:t>
      </w:r>
      <w:r w:rsidR="006338E8" w:rsidRPr="00296D0C">
        <w:rPr>
          <w:rFonts w:cs="Arial"/>
        </w:rPr>
        <w:fldChar w:fldCharType="begin">
          <w:fldData xml:space="preserve">PEVuZE5vdGU+PENpdGU+PEF1dGhvcj5Hb3J0bWFrZXI8L0F1dGhvcj48WWVhcj4yMDE1PC9ZZWFy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</w:fldData>
        </w:fldChar>
      </w:r>
      <w:r w:rsidR="008C43BF">
        <w:rPr>
          <w:rFonts w:cs="Arial"/>
        </w:rPr>
        <w:instrText xml:space="preserve"> ADDIN EN.CITE </w:instrText>
      </w:r>
      <w:r w:rsidR="008C43BF">
        <w:rPr>
          <w:rFonts w:cs="Arial"/>
        </w:rPr>
        <w:fldChar w:fldCharType="begin">
          <w:fldData xml:space="preserve">PEVuZE5vdGU+PENpdGU+PEF1dGhvcj5Hb3J0bWFrZXI8L0F1dGhvcj48WWVhcj4yMDE1PC9ZZWFy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</w:fldData>
        </w:fldChar>
      </w:r>
      <w:r w:rsidR="008C43BF">
        <w:rPr>
          <w:rFonts w:cs="Arial"/>
        </w:rPr>
        <w:instrText xml:space="preserve"> ADDIN EN.CITE.DATA </w:instrText>
      </w:r>
      <w:r w:rsidR="008C43BF">
        <w:rPr>
          <w:rFonts w:cs="Arial"/>
        </w:rPr>
      </w:r>
      <w:r w:rsidR="008C43BF">
        <w:rPr>
          <w:rFonts w:cs="Arial"/>
        </w:rPr>
        <w:fldChar w:fldCharType="end"/>
      </w:r>
      <w:r w:rsidR="006338E8" w:rsidRPr="00296D0C">
        <w:rPr>
          <w:rFonts w:cs="Arial"/>
        </w:rPr>
      </w:r>
      <w:r w:rsidR="006338E8" w:rsidRPr="00296D0C">
        <w:rPr>
          <w:rFonts w:cs="Arial"/>
        </w:rPr>
        <w:fldChar w:fldCharType="separate"/>
      </w:r>
      <w:r w:rsidR="008C43BF" w:rsidRPr="008C43BF">
        <w:rPr>
          <w:rFonts w:cs="Arial"/>
          <w:noProof/>
          <w:vertAlign w:val="superscript"/>
        </w:rPr>
        <w:t>68</w:t>
      </w:r>
      <w:r w:rsidR="006338E8" w:rsidRPr="00296D0C">
        <w:rPr>
          <w:rFonts w:cs="Arial"/>
        </w:rPr>
        <w:fldChar w:fldCharType="end"/>
      </w:r>
      <w:r w:rsidR="00106965" w:rsidRPr="00296D0C">
        <w:rPr>
          <w:rFonts w:cs="Arial"/>
        </w:rPr>
        <w:t xml:space="preserve"> </w:t>
      </w:r>
      <w:r w:rsidRPr="00296D0C">
        <w:rPr>
          <w:rFonts w:cs="Arial"/>
        </w:rPr>
        <w:t>,</w:t>
      </w:r>
      <w:r w:rsidR="00E3234A" w:rsidRPr="00296D0C">
        <w:t xml:space="preserve"> </w:t>
      </w:r>
      <w:r w:rsidRPr="00296D0C">
        <w:rPr>
          <w:rFonts w:cs="Arial"/>
        </w:rPr>
        <w:t>Long et al</w:t>
      </w:r>
      <w:r w:rsidR="004878D6" w:rsidRPr="00296D0C">
        <w:rPr>
          <w:rFonts w:cs="Arial"/>
        </w:rPr>
        <w:t>.</w:t>
      </w:r>
      <w:r w:rsidRPr="00296D0C">
        <w:rPr>
          <w:rFonts w:cs="Arial"/>
        </w:rPr>
        <w:t>, 2015</w:t>
      </w:r>
      <w:r w:rsidR="00106965" w:rsidRPr="00296D0C">
        <w:rPr>
          <w:rFonts w:cs="Arial"/>
        </w:rPr>
        <w:t xml:space="preserve"> </w:t>
      </w:r>
      <w:r w:rsidR="006338E8" w:rsidRPr="00296D0C">
        <w:rPr>
          <w:rFonts w:cs="Arial"/>
        </w:rPr>
        <w:fldChar w:fldCharType="begin">
          <w:fldData xml:space="preserve">PEVuZE5vdGU+PENpdGU+PEF1dGhvcj5Mb25nPC9BdXRob3I+PFllYXI+MjAxNTwvWWVhcj48UmVj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</w:fldData>
        </w:fldChar>
      </w:r>
      <w:r w:rsidR="008C43BF">
        <w:rPr>
          <w:rFonts w:cs="Arial"/>
        </w:rPr>
        <w:instrText xml:space="preserve"> ADDIN EN.CITE </w:instrText>
      </w:r>
      <w:r w:rsidR="008C43BF">
        <w:rPr>
          <w:rFonts w:cs="Arial"/>
        </w:rPr>
        <w:fldChar w:fldCharType="begin">
          <w:fldData xml:space="preserve">PEVuZE5vdGU+PENpdGU+PEF1dGhvcj5Mb25nPC9BdXRob3I+PFllYXI+MjAxNTwvWWVhcj48UmVj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</w:fldData>
        </w:fldChar>
      </w:r>
      <w:r w:rsidR="008C43BF">
        <w:rPr>
          <w:rFonts w:cs="Arial"/>
        </w:rPr>
        <w:instrText xml:space="preserve"> ADDIN EN.CITE.DATA </w:instrText>
      </w:r>
      <w:r w:rsidR="008C43BF">
        <w:rPr>
          <w:rFonts w:cs="Arial"/>
        </w:rPr>
      </w:r>
      <w:r w:rsidR="008C43BF">
        <w:rPr>
          <w:rFonts w:cs="Arial"/>
        </w:rPr>
        <w:fldChar w:fldCharType="end"/>
      </w:r>
      <w:r w:rsidR="006338E8" w:rsidRPr="00296D0C">
        <w:rPr>
          <w:rFonts w:cs="Arial"/>
        </w:rPr>
      </w:r>
      <w:r w:rsidR="006338E8" w:rsidRPr="00296D0C">
        <w:rPr>
          <w:rFonts w:cs="Arial"/>
        </w:rPr>
        <w:fldChar w:fldCharType="separate"/>
      </w:r>
      <w:r w:rsidR="008C43BF" w:rsidRPr="008C43BF">
        <w:rPr>
          <w:rFonts w:cs="Arial"/>
          <w:noProof/>
          <w:vertAlign w:val="superscript"/>
        </w:rPr>
        <w:t>69</w:t>
      </w:r>
      <w:r w:rsidR="006338E8" w:rsidRPr="00296D0C">
        <w:rPr>
          <w:rFonts w:cs="Arial"/>
        </w:rPr>
        <w:fldChar w:fldCharType="end"/>
      </w:r>
      <w:r w:rsidRPr="00296D0C">
        <w:rPr>
          <w:rFonts w:cs="Arial"/>
        </w:rPr>
        <w:t>, Sonneville et al</w:t>
      </w:r>
      <w:r w:rsidR="004878D6" w:rsidRPr="00296D0C">
        <w:rPr>
          <w:rFonts w:cs="Arial"/>
        </w:rPr>
        <w:t>.</w:t>
      </w:r>
      <w:r w:rsidRPr="00296D0C">
        <w:rPr>
          <w:rFonts w:cs="Arial"/>
        </w:rPr>
        <w:t>, 2015</w:t>
      </w:r>
      <w:r w:rsidR="00106965" w:rsidRPr="00296D0C">
        <w:rPr>
          <w:rFonts w:cs="Arial"/>
        </w:rPr>
        <w:t xml:space="preserve"> </w:t>
      </w:r>
      <w:r w:rsidR="006338E8" w:rsidRPr="00296D0C">
        <w:rPr>
          <w:rFonts w:cs="Arial"/>
        </w:rPr>
        <w:fldChar w:fldCharType="begin">
          <w:fldData xml:space="preserve">PEVuZE5vdGU+PENpdGU+PEF1dGhvcj5Tb25uZXZpbGxlPC9BdXRob3I+PFllYXI+MjAxNTwvWWVh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</w:fldData>
        </w:fldChar>
      </w:r>
      <w:r w:rsidR="008C43BF">
        <w:rPr>
          <w:rFonts w:cs="Arial"/>
        </w:rPr>
        <w:instrText xml:space="preserve"> ADDIN EN.CITE </w:instrText>
      </w:r>
      <w:r w:rsidR="008C43BF">
        <w:rPr>
          <w:rFonts w:cs="Arial"/>
        </w:rPr>
        <w:fldChar w:fldCharType="begin">
          <w:fldData xml:space="preserve">PEVuZE5vdGU+PENpdGU+PEF1dGhvcj5Tb25uZXZpbGxlPC9BdXRob3I+PFllYXI+MjAxNTwvWWVh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</w:fldData>
        </w:fldChar>
      </w:r>
      <w:r w:rsidR="008C43BF">
        <w:rPr>
          <w:rFonts w:cs="Arial"/>
        </w:rPr>
        <w:instrText xml:space="preserve"> ADDIN EN.CITE.DATA </w:instrText>
      </w:r>
      <w:r w:rsidR="008C43BF">
        <w:rPr>
          <w:rFonts w:cs="Arial"/>
        </w:rPr>
      </w:r>
      <w:r w:rsidR="008C43BF">
        <w:rPr>
          <w:rFonts w:cs="Arial"/>
        </w:rPr>
        <w:fldChar w:fldCharType="end"/>
      </w:r>
      <w:r w:rsidR="006338E8" w:rsidRPr="00296D0C">
        <w:rPr>
          <w:rFonts w:cs="Arial"/>
        </w:rPr>
      </w:r>
      <w:r w:rsidR="006338E8" w:rsidRPr="00296D0C">
        <w:rPr>
          <w:rFonts w:cs="Arial"/>
        </w:rPr>
        <w:fldChar w:fldCharType="separate"/>
      </w:r>
      <w:r w:rsidR="008C43BF" w:rsidRPr="008C43BF">
        <w:rPr>
          <w:rFonts w:cs="Arial"/>
          <w:noProof/>
          <w:vertAlign w:val="superscript"/>
        </w:rPr>
        <w:t>70</w:t>
      </w:r>
      <w:r w:rsidR="006338E8" w:rsidRPr="00296D0C">
        <w:rPr>
          <w:rFonts w:cs="Arial"/>
        </w:rPr>
        <w:fldChar w:fldCharType="end"/>
      </w:r>
      <w:r w:rsidRPr="00296D0C">
        <w:rPr>
          <w:rFonts w:cs="Arial"/>
        </w:rPr>
        <w:t>, Wright et al</w:t>
      </w:r>
      <w:r w:rsidR="004878D6" w:rsidRPr="00296D0C">
        <w:rPr>
          <w:rFonts w:cs="Arial"/>
        </w:rPr>
        <w:t>.</w:t>
      </w:r>
      <w:r w:rsidRPr="00296D0C">
        <w:rPr>
          <w:rFonts w:cs="Arial"/>
        </w:rPr>
        <w:t>, 2015</w:t>
      </w:r>
      <w:r w:rsidR="00106965" w:rsidRPr="00296D0C">
        <w:rPr>
          <w:rFonts w:cs="Arial"/>
        </w:rPr>
        <w:t xml:space="preserve"> </w:t>
      </w:r>
      <w:r w:rsidR="006338E8" w:rsidRPr="00296D0C">
        <w:rPr>
          <w:rFonts w:cs="Arial"/>
        </w:rPr>
        <w:fldChar w:fldCharType="begin"/>
      </w:r>
      <w:r w:rsidR="008C43BF">
        <w:rPr>
          <w:rFonts w:cs="Arial"/>
        </w:rPr>
        <w:instrText xml:space="preserve"> ADDIN EN.CITE &lt;EndNote&gt;&lt;Cite&gt;&lt;Author&gt;Wright&lt;/Author&gt;&lt;Year&gt;2001&lt;/Year&gt;&lt;RecNum&gt;5776&lt;/RecNum&gt;&lt;DisplayText&gt;&lt;style face="superscript"&gt;71&lt;/style&gt;&lt;/DisplayText&gt;&lt;record&gt;&lt;rec-number&gt;5776&lt;/rec-number&gt;&lt;foreign-keys&gt;&lt;key app="EN" db-id="2ewa9rrvjsdsawep2vpx5x97eedzzvxx5rta" timestamp="1478679952"&gt;5776&lt;/key&gt;&lt;/foreign-keys&gt;&lt;ref-type name="Journal Article"&gt;17&lt;/ref-type&gt;&lt;contributors&gt;&lt;authors&gt;&lt;author&gt;Wright, C. M.&lt;/author&gt;&lt;author&gt;Parker, L.&lt;/author&gt;&lt;author&gt;Lamont, D.&lt;/author&gt;&lt;author&gt;Craft, A. W.&lt;/author&gt;&lt;/authors&gt;&lt;/contributors&gt;&lt;auth-address&gt;University of Newcastle upon Tyne, Gateshead, NE8 1EB, UK. C.M.Wright@Newcastle.ac.uk&lt;/auth-address&gt;&lt;titles&gt;&lt;title&gt;Implications of childhood obesity for adult health: findings from thousand families cohort study&lt;/title&gt;&lt;secondary-title&gt;BMJ&lt;/secondary-title&gt;&lt;/titles&gt;&lt;periodical&gt;&lt;full-title&gt;BMJ&lt;/full-title&gt;&lt;abbr-1&gt;BMJ&lt;/abbr-1&gt;&lt;abbr-2&gt;BMJ&lt;/abbr-2&gt;&lt;/periodical&gt;&lt;pages&gt;1280-4&lt;/pages&gt;&lt;volume&gt;323&lt;/volume&gt;&lt;number&gt;7324&lt;/number&gt;&lt;keywords&gt;&lt;keyword&gt;Adipose Tissue/pathology&lt;/keyword&gt;&lt;keyword&gt;Adolescent&lt;/keyword&gt;&lt;keyword&gt;Age Factors&lt;/keyword&gt;&lt;keyword&gt;Blood Glucose/metabolism&lt;/keyword&gt;&lt;keyword&gt;Body Height&lt;/keyword&gt;&lt;keyword&gt;Body Mass Index&lt;/keyword&gt;&lt;keyword&gt;Child&lt;/keyword&gt;&lt;keyword&gt;Cohort Studies&lt;/keyword&gt;&lt;keyword&gt;Female&lt;/keyword&gt;&lt;keyword&gt;Humans&lt;/keyword&gt;&lt;keyword&gt;Lipids/blood&lt;/keyword&gt;&lt;keyword&gt;Male&lt;/keyword&gt;&lt;keyword&gt;Middle Aged&lt;/keyword&gt;&lt;keyword&gt;Obesity/*complications/pathology/physiopathology&lt;/keyword&gt;&lt;keyword&gt;Prognosis&lt;/keyword&gt;&lt;keyword&gt;Prospective Studies&lt;/keyword&gt;&lt;keyword&gt;Risk Factors&lt;/keyword&gt;&lt;keyword&gt;Social Class&lt;/keyword&gt;&lt;/keywords&gt;&lt;dates&gt;&lt;year&gt;2001&lt;/year&gt;&lt;pub-dates&gt;&lt;date&gt;Dec 1&lt;/date&gt;&lt;/pub-dates&gt;&lt;/dates&gt;&lt;isbn&gt;0959-8138 (Print)&amp;#xD;0959-535X (Linking)&lt;/isbn&gt;&lt;accession-num&gt;11731390&lt;/accession-num&gt;&lt;urls&gt;&lt;related-urls&gt;&lt;url&gt;http://www.ncbi.nlm.nih.gov/pubmed/11731390&lt;/url&gt;&lt;/related-urls&gt;&lt;/urls&gt;&lt;custom2&gt;60301&lt;/custom2&gt;&lt;/record&gt;&lt;/Cite&gt;&lt;/EndNote&gt;</w:instrText>
      </w:r>
      <w:r w:rsidR="006338E8" w:rsidRPr="00296D0C">
        <w:rPr>
          <w:rFonts w:cs="Arial"/>
        </w:rPr>
        <w:fldChar w:fldCharType="separate"/>
      </w:r>
      <w:r w:rsidR="008C43BF" w:rsidRPr="008C43BF">
        <w:rPr>
          <w:rFonts w:cs="Arial"/>
          <w:noProof/>
          <w:vertAlign w:val="superscript"/>
        </w:rPr>
        <w:t>71</w:t>
      </w:r>
      <w:r w:rsidR="006338E8" w:rsidRPr="00296D0C">
        <w:rPr>
          <w:rFonts w:cs="Arial"/>
        </w:rPr>
        <w:fldChar w:fldCharType="end"/>
      </w:r>
      <w:r w:rsidRPr="00296D0C">
        <w:rPr>
          <w:rFonts w:cs="Arial"/>
        </w:rPr>
        <w:t xml:space="preserve">). The study identification process is summarized in Figure </w:t>
      </w:r>
      <w:r w:rsidR="00CE4350" w:rsidRPr="00296D0C">
        <w:rPr>
          <w:rFonts w:cs="Arial"/>
        </w:rPr>
        <w:t>5.</w:t>
      </w:r>
    </w:p>
    <w:p w14:paraId="0AF8D2FA" w14:textId="72A1BFDF" w:rsidR="000266B9" w:rsidRPr="00296D0C" w:rsidRDefault="000266B9">
      <w:r w:rsidRPr="00296D0C">
        <w:br w:type="page"/>
      </w:r>
    </w:p>
    <w:p w14:paraId="7E2AA286" w14:textId="77777777" w:rsidR="00D00567" w:rsidRPr="00296D0C" w:rsidRDefault="00D00567"/>
    <w:p w14:paraId="424ACD51" w14:textId="77777777" w:rsidR="00861557" w:rsidRPr="00296D0C" w:rsidRDefault="00861557" w:rsidP="00861557"/>
    <w:p w14:paraId="06C264CA" w14:textId="030443EF" w:rsidR="00861557" w:rsidRPr="00296D0C" w:rsidRDefault="00861557" w:rsidP="00861557">
      <w:pPr>
        <w:pStyle w:val="Caption"/>
        <w:rPr>
          <w:rFonts w:cs="Arial"/>
          <w:b/>
          <w:i w:val="0"/>
          <w:color w:val="auto"/>
          <w:sz w:val="22"/>
          <w:szCs w:val="22"/>
        </w:rPr>
      </w:pPr>
      <w:bookmarkStart w:id="503" w:name="_Ref450747154"/>
      <w:r w:rsidRPr="00296D0C">
        <w:rPr>
          <w:rFonts w:cs="Arial"/>
          <w:b/>
          <w:i w:val="0"/>
          <w:color w:val="auto"/>
          <w:sz w:val="22"/>
          <w:szCs w:val="22"/>
        </w:rPr>
        <w:t>F</w:t>
      </w:r>
      <w:r w:rsidR="009463BC" w:rsidRPr="00296D0C">
        <w:rPr>
          <w:rFonts w:cs="Arial"/>
          <w:b/>
          <w:i w:val="0"/>
          <w:color w:val="auto"/>
          <w:sz w:val="22"/>
          <w:szCs w:val="22"/>
        </w:rPr>
        <w:t>IGURE</w:t>
      </w:r>
      <w:r w:rsidRPr="00296D0C">
        <w:rPr>
          <w:rFonts w:cs="Arial"/>
          <w:b/>
          <w:i w:val="0"/>
          <w:color w:val="auto"/>
          <w:sz w:val="22"/>
          <w:szCs w:val="22"/>
        </w:rPr>
        <w:t xml:space="preserve"> </w:t>
      </w:r>
      <w:r w:rsidR="00CE4350" w:rsidRPr="00296D0C">
        <w:rPr>
          <w:rFonts w:cs="Arial"/>
          <w:b/>
          <w:i w:val="0"/>
          <w:color w:val="auto"/>
          <w:sz w:val="22"/>
          <w:szCs w:val="22"/>
        </w:rPr>
        <w:t>5</w:t>
      </w:r>
      <w:r w:rsidRPr="00296D0C">
        <w:rPr>
          <w:rFonts w:cs="Arial"/>
          <w:b/>
          <w:i w:val="0"/>
          <w:color w:val="auto"/>
          <w:sz w:val="22"/>
          <w:szCs w:val="22"/>
        </w:rPr>
        <w:t xml:space="preserve"> PRISMA flow diagram</w:t>
      </w:r>
    </w:p>
    <w:p w14:paraId="6AA1540D" w14:textId="77777777" w:rsidR="00861557" w:rsidRPr="00296D0C" w:rsidRDefault="00861557" w:rsidP="00861557">
      <w:r w:rsidRPr="00296D0C">
        <w:rPr>
          <w:noProof/>
          <w:lang w:eastAsia="zh-CN"/>
        </w:rPr>
        <w:drawing>
          <wp:inline distT="0" distB="0" distL="0" distR="0" wp14:anchorId="24DD6855" wp14:editId="5CF83847">
            <wp:extent cx="5677786" cy="651775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ISMA_HeLP.emf"/>
                    <pic:cNvPicPr/>
                  </pic:nvPicPr>
                  <pic:blipFill rotWithShape="1">
                    <a:blip r:embed="rId18" cstate="print">
                      <a:extLst>
                        <a:ext uri="{28A0092B-C50C-407E-A947-70E740481C1C}">
                          <a14:useLocalDpi xmlns:a14="http://schemas.microsoft.com/office/drawing/2010/main" val="0"/>
                        </a:ext>
                      </a:extLst>
                    </a:blip>
                    <a:srcRect t="7493" r="2313" b="13300"/>
                    <a:stretch/>
                  </pic:blipFill>
                  <pic:spPr bwMode="auto">
                    <a:xfrm>
                      <a:off x="0" y="0"/>
                      <a:ext cx="5678345" cy="6518400"/>
                    </a:xfrm>
                    <a:prstGeom prst="rect">
                      <a:avLst/>
                    </a:prstGeom>
                    <a:ln>
                      <a:noFill/>
                    </a:ln>
                    <a:extLst>
                      <a:ext uri="{53640926-AAD7-44D8-BBD7-CCE9431645EC}">
                        <a14:shadowObscured xmlns:a14="http://schemas.microsoft.com/office/drawing/2010/main"/>
                      </a:ext>
                    </a:extLst>
                  </pic:spPr>
                </pic:pic>
              </a:graphicData>
            </a:graphic>
          </wp:inline>
        </w:drawing>
      </w:r>
    </w:p>
    <w:p w14:paraId="4A22592E" w14:textId="08D48358" w:rsidR="00861557" w:rsidRPr="00296D0C" w:rsidRDefault="00861557" w:rsidP="00861557">
      <w:pPr>
        <w:pStyle w:val="Caption"/>
        <w:rPr>
          <w:rFonts w:cs="Arial"/>
          <w:i w:val="0"/>
          <w:color w:val="auto"/>
          <w:sz w:val="22"/>
          <w:szCs w:val="22"/>
        </w:rPr>
      </w:pPr>
      <w:r w:rsidRPr="00296D0C">
        <w:rPr>
          <w:rFonts w:cs="Arial"/>
          <w:i w:val="0"/>
          <w:color w:val="auto"/>
          <w:sz w:val="22"/>
          <w:szCs w:val="22"/>
        </w:rPr>
        <w:t xml:space="preserve">Study characteristics for the seven included models are summarised in Table </w:t>
      </w:r>
      <w:r w:rsidR="009463BC" w:rsidRPr="00296D0C">
        <w:rPr>
          <w:rFonts w:cs="Arial"/>
          <w:i w:val="0"/>
          <w:color w:val="auto"/>
          <w:sz w:val="22"/>
          <w:szCs w:val="22"/>
        </w:rPr>
        <w:t>2</w:t>
      </w:r>
      <w:r w:rsidR="00472BD5">
        <w:rPr>
          <w:rFonts w:cs="Arial"/>
          <w:i w:val="0"/>
          <w:color w:val="auto"/>
          <w:sz w:val="22"/>
          <w:szCs w:val="22"/>
        </w:rPr>
        <w:t>5</w:t>
      </w:r>
    </w:p>
    <w:p w14:paraId="020B08BE" w14:textId="40BBC3FE" w:rsidR="007E73CE" w:rsidRPr="00296D0C" w:rsidRDefault="007E73CE">
      <w:r w:rsidRPr="00296D0C">
        <w:br w:type="page"/>
      </w:r>
    </w:p>
    <w:p w14:paraId="75BB0344" w14:textId="77777777" w:rsidR="007E73CE" w:rsidRPr="00296D0C" w:rsidRDefault="007E73CE" w:rsidP="007E73CE">
      <w:pPr>
        <w:sectPr w:rsidR="007E73CE" w:rsidRPr="00296D0C" w:rsidSect="00613FD4">
          <w:pgSz w:w="11906" w:h="16838"/>
          <w:pgMar w:top="1440" w:right="1440" w:bottom="1440" w:left="1440" w:header="720" w:footer="720" w:gutter="0"/>
          <w:cols w:space="720"/>
          <w:docGrid w:linePitch="360"/>
        </w:sectPr>
      </w:pPr>
    </w:p>
    <w:p w14:paraId="39C155BB" w14:textId="5BBF817D" w:rsidR="00861557" w:rsidRPr="00296D0C" w:rsidRDefault="00861557" w:rsidP="00861557">
      <w:pPr>
        <w:pStyle w:val="Caption"/>
        <w:rPr>
          <w:rFonts w:cs="Arial"/>
          <w:b/>
          <w:i w:val="0"/>
          <w:color w:val="auto"/>
          <w:sz w:val="22"/>
          <w:szCs w:val="22"/>
        </w:rPr>
      </w:pPr>
      <w:r w:rsidRPr="00296D0C">
        <w:rPr>
          <w:rFonts w:cs="Arial"/>
          <w:b/>
          <w:i w:val="0"/>
          <w:color w:val="auto"/>
          <w:sz w:val="22"/>
          <w:szCs w:val="22"/>
        </w:rPr>
        <w:lastRenderedPageBreak/>
        <w:t>T</w:t>
      </w:r>
      <w:r w:rsidR="009463BC" w:rsidRPr="00296D0C">
        <w:rPr>
          <w:rFonts w:cs="Arial"/>
          <w:b/>
          <w:i w:val="0"/>
          <w:color w:val="auto"/>
          <w:sz w:val="22"/>
          <w:szCs w:val="22"/>
        </w:rPr>
        <w:t>ABLE</w:t>
      </w:r>
      <w:r w:rsidRPr="00296D0C">
        <w:rPr>
          <w:rFonts w:cs="Arial"/>
          <w:b/>
          <w:i w:val="0"/>
          <w:color w:val="auto"/>
          <w:sz w:val="22"/>
          <w:szCs w:val="22"/>
        </w:rPr>
        <w:t xml:space="preserve"> </w:t>
      </w:r>
      <w:r w:rsidR="00D04F58" w:rsidRPr="00296D0C">
        <w:rPr>
          <w:rFonts w:cs="Arial"/>
          <w:b/>
          <w:i w:val="0"/>
          <w:color w:val="auto"/>
          <w:sz w:val="22"/>
          <w:szCs w:val="22"/>
        </w:rPr>
        <w:t>2</w:t>
      </w:r>
      <w:r w:rsidR="00472BD5">
        <w:rPr>
          <w:rFonts w:cs="Arial"/>
          <w:b/>
          <w:i w:val="0"/>
          <w:color w:val="auto"/>
          <w:sz w:val="22"/>
          <w:szCs w:val="22"/>
        </w:rPr>
        <w:t>5</w:t>
      </w:r>
      <w:r w:rsidRPr="00296D0C">
        <w:rPr>
          <w:rFonts w:cs="Arial"/>
          <w:b/>
          <w:i w:val="0"/>
          <w:color w:val="auto"/>
          <w:sz w:val="22"/>
          <w:szCs w:val="22"/>
        </w:rPr>
        <w:t xml:space="preserve"> Summary characteristics of the identified models</w:t>
      </w:r>
    </w:p>
    <w:tbl>
      <w:tblPr>
        <w:tblStyle w:val="TableGrid"/>
        <w:tblW w:w="0" w:type="auto"/>
        <w:tblLook w:val="04A0" w:firstRow="1" w:lastRow="0" w:firstColumn="1" w:lastColumn="0" w:noHBand="0" w:noVBand="1"/>
      </w:tblPr>
      <w:tblGrid>
        <w:gridCol w:w="1608"/>
        <w:gridCol w:w="1332"/>
        <w:gridCol w:w="1524"/>
        <w:gridCol w:w="1415"/>
        <w:gridCol w:w="1742"/>
        <w:gridCol w:w="1635"/>
        <w:gridCol w:w="1633"/>
        <w:gridCol w:w="1435"/>
        <w:gridCol w:w="1624"/>
      </w:tblGrid>
      <w:tr w:rsidR="00861557" w:rsidRPr="00296D0C" w14:paraId="6422DD49" w14:textId="77777777" w:rsidTr="0077247E">
        <w:trPr>
          <w:trHeight w:val="323"/>
          <w:tblHeader/>
        </w:trPr>
        <w:tc>
          <w:tcPr>
            <w:tcW w:w="1674" w:type="dxa"/>
          </w:tcPr>
          <w:p w14:paraId="4902C3B2" w14:textId="77777777" w:rsidR="00861557" w:rsidRPr="00296D0C" w:rsidRDefault="00861557" w:rsidP="0077247E">
            <w:pPr>
              <w:spacing w:before="40" w:after="40"/>
              <w:rPr>
                <w:b/>
              </w:rPr>
            </w:pPr>
            <w:r w:rsidRPr="00296D0C">
              <w:rPr>
                <w:b/>
              </w:rPr>
              <w:t>First author, year</w:t>
            </w:r>
          </w:p>
        </w:tc>
        <w:tc>
          <w:tcPr>
            <w:tcW w:w="1401" w:type="dxa"/>
          </w:tcPr>
          <w:p w14:paraId="0A1A5890" w14:textId="77777777" w:rsidR="00861557" w:rsidRPr="00296D0C" w:rsidRDefault="00861557" w:rsidP="0077247E">
            <w:pPr>
              <w:spacing w:before="40" w:after="40"/>
              <w:rPr>
                <w:b/>
              </w:rPr>
            </w:pPr>
            <w:r w:rsidRPr="00296D0C">
              <w:rPr>
                <w:b/>
              </w:rPr>
              <w:t>Country setting</w:t>
            </w:r>
          </w:p>
        </w:tc>
        <w:tc>
          <w:tcPr>
            <w:tcW w:w="1557" w:type="dxa"/>
          </w:tcPr>
          <w:p w14:paraId="2FC43812" w14:textId="77777777" w:rsidR="00861557" w:rsidRPr="00296D0C" w:rsidRDefault="00861557" w:rsidP="0077247E">
            <w:pPr>
              <w:spacing w:before="40" w:after="40"/>
              <w:rPr>
                <w:b/>
              </w:rPr>
            </w:pPr>
            <w:r w:rsidRPr="00296D0C">
              <w:rPr>
                <w:b/>
              </w:rPr>
              <w:t>Intervention</w:t>
            </w:r>
          </w:p>
        </w:tc>
        <w:tc>
          <w:tcPr>
            <w:tcW w:w="1430" w:type="dxa"/>
          </w:tcPr>
          <w:p w14:paraId="15A7E761" w14:textId="77777777" w:rsidR="00861557" w:rsidRPr="00296D0C" w:rsidRDefault="00861557" w:rsidP="0077247E">
            <w:pPr>
              <w:spacing w:before="40" w:after="40"/>
              <w:rPr>
                <w:b/>
              </w:rPr>
            </w:pPr>
            <w:r w:rsidRPr="00296D0C">
              <w:rPr>
                <w:b/>
              </w:rPr>
              <w:t>Outcomes</w:t>
            </w:r>
          </w:p>
        </w:tc>
        <w:tc>
          <w:tcPr>
            <w:tcW w:w="1836" w:type="dxa"/>
          </w:tcPr>
          <w:p w14:paraId="656429BC" w14:textId="77777777" w:rsidR="00861557" w:rsidRPr="00296D0C" w:rsidRDefault="00861557" w:rsidP="0077247E">
            <w:pPr>
              <w:spacing w:before="40" w:after="40"/>
              <w:rPr>
                <w:b/>
              </w:rPr>
            </w:pPr>
            <w:r w:rsidRPr="00296D0C">
              <w:rPr>
                <w:b/>
              </w:rPr>
              <w:t>Analytical approach, WS</w:t>
            </w:r>
          </w:p>
        </w:tc>
        <w:tc>
          <w:tcPr>
            <w:tcW w:w="1709" w:type="dxa"/>
          </w:tcPr>
          <w:p w14:paraId="4EA205A9" w14:textId="77777777" w:rsidR="00861557" w:rsidRPr="00296D0C" w:rsidRDefault="00861557" w:rsidP="0077247E">
            <w:pPr>
              <w:spacing w:before="40" w:after="40"/>
              <w:rPr>
                <w:b/>
              </w:rPr>
            </w:pPr>
            <w:r w:rsidRPr="00296D0C">
              <w:rPr>
                <w:b/>
              </w:rPr>
              <w:t>Health events</w:t>
            </w:r>
          </w:p>
        </w:tc>
        <w:tc>
          <w:tcPr>
            <w:tcW w:w="1713" w:type="dxa"/>
          </w:tcPr>
          <w:p w14:paraId="38C0019B" w14:textId="77777777" w:rsidR="00861557" w:rsidRPr="00296D0C" w:rsidRDefault="00861557" w:rsidP="0077247E">
            <w:pPr>
              <w:spacing w:before="40" w:after="40"/>
              <w:rPr>
                <w:b/>
              </w:rPr>
            </w:pPr>
            <w:r w:rsidRPr="00296D0C">
              <w:rPr>
                <w:b/>
              </w:rPr>
              <w:t>Intervention effect</w:t>
            </w:r>
          </w:p>
        </w:tc>
        <w:tc>
          <w:tcPr>
            <w:tcW w:w="1577" w:type="dxa"/>
          </w:tcPr>
          <w:p w14:paraId="390A6FA6" w14:textId="77777777" w:rsidR="00861557" w:rsidRPr="00296D0C" w:rsidRDefault="00861557" w:rsidP="0077247E">
            <w:pPr>
              <w:spacing w:before="40" w:after="40"/>
              <w:rPr>
                <w:b/>
              </w:rPr>
            </w:pPr>
            <w:r w:rsidRPr="00296D0C">
              <w:rPr>
                <w:b/>
              </w:rPr>
              <w:t>Time horizon</w:t>
            </w:r>
          </w:p>
          <w:p w14:paraId="606A1310" w14:textId="77777777" w:rsidR="00861557" w:rsidRPr="00296D0C" w:rsidRDefault="00861557" w:rsidP="0077247E">
            <w:pPr>
              <w:spacing w:before="40" w:after="40"/>
              <w:rPr>
                <w:b/>
              </w:rPr>
            </w:pPr>
            <w:r w:rsidRPr="00296D0C">
              <w:rPr>
                <w:b/>
              </w:rPr>
              <w:t>Cycle length</w:t>
            </w:r>
          </w:p>
        </w:tc>
        <w:tc>
          <w:tcPr>
            <w:tcW w:w="1719" w:type="dxa"/>
          </w:tcPr>
          <w:p w14:paraId="606A2BE5" w14:textId="77777777" w:rsidR="00861557" w:rsidRPr="00296D0C" w:rsidRDefault="00861557" w:rsidP="0077247E">
            <w:pPr>
              <w:spacing w:before="40" w:after="40"/>
              <w:rPr>
                <w:b/>
              </w:rPr>
            </w:pPr>
            <w:r w:rsidRPr="00296D0C">
              <w:rPr>
                <w:b/>
              </w:rPr>
              <w:t>Perspective</w:t>
            </w:r>
          </w:p>
        </w:tc>
      </w:tr>
      <w:tr w:rsidR="00861557" w:rsidRPr="00296D0C" w14:paraId="44E1E0EA" w14:textId="77777777" w:rsidTr="0077247E">
        <w:trPr>
          <w:trHeight w:val="323"/>
        </w:trPr>
        <w:tc>
          <w:tcPr>
            <w:tcW w:w="1674" w:type="dxa"/>
          </w:tcPr>
          <w:p w14:paraId="28902558" w14:textId="2E6DF879" w:rsidR="00861557" w:rsidRPr="00296D0C" w:rsidRDefault="00861557" w:rsidP="008C43BF">
            <w:pPr>
              <w:spacing w:before="40" w:after="40"/>
            </w:pPr>
            <w:r w:rsidRPr="00296D0C">
              <w:t>Wang et al., 2003</w:t>
            </w:r>
            <w:r w:rsidR="007E73CE" w:rsidRPr="00296D0C">
              <w:t xml:space="preserve"> </w:t>
            </w:r>
            <w:r w:rsidR="007E73CE" w:rsidRPr="00296D0C">
              <w:fldChar w:fldCharType="begin"/>
            </w:r>
            <w:r w:rsidR="008C43BF">
              <w:instrText xml:space="preserve"> ADDIN EN.CITE &lt;EndNote&gt;&lt;Cite&gt;&lt;Author&gt;Wang&lt;/Author&gt;&lt;Year&gt;2003&lt;/Year&gt;&lt;RecNum&gt;3261&lt;/RecNum&gt;&lt;DisplayText&gt;&lt;style face="superscript"&gt;61&lt;/style&gt;&lt;/DisplayText&gt;&lt;record&gt;&lt;rec-number&gt;3261&lt;/rec-number&gt;&lt;foreign-keys&gt;&lt;key app="EN" db-id="2ewa9rrvjsdsawep2vpx5x97eedzzvxx5rta" timestamp="0"&gt;3261&lt;/key&gt;&lt;/foreign-keys&gt;&lt;ref-type name="Journal Article"&gt;17&lt;/ref-type&gt;&lt;contributors&gt;&lt;authors&gt;&lt;author&gt;Wang, L. Y.&lt;/author&gt;&lt;author&gt;Yang, Q.&lt;/author&gt;&lt;author&gt;Lowry, R.&lt;/author&gt;&lt;author&gt;Wechsler, H.&lt;/author&gt;&lt;/authors&gt;&lt;/contributors&gt;&lt;auth-address&gt;Division of Adolescent and School Health, Centers for Disease Control and Prevention, 4770 Buford Highway, MS K-33, Chamblee, GA 30341, USA. lgw0@cdc.gov&lt;/auth-address&gt;&lt;titles&gt;&lt;title&gt;Economic analysis of a school-based obesity prevention program&lt;/title&gt;&lt;secondary-title&gt;Obes Res&lt;/secondary-title&gt;&lt;/titles&gt;&lt;periodical&gt;&lt;full-title&gt;Obesity Research&lt;/full-title&gt;&lt;abbr-1&gt;Obes. Res.&lt;/abbr-1&gt;&lt;abbr-2&gt;Obes Res&lt;/abbr-2&gt;&lt;/periodical&gt;&lt;pages&gt;1313-24&lt;/pages&gt;&lt;volume&gt;11&lt;/volume&gt;&lt;number&gt;11&lt;/number&gt;&lt;edition&gt;2003/11/25&lt;/edition&gt;&lt;keywords&gt;&lt;keyword&gt;Adolescent&lt;/keyword&gt;&lt;keyword&gt;Adult&lt;/keyword&gt;&lt;keyword&gt;Body Mass Index&lt;/keyword&gt;&lt;keyword&gt;Child&lt;/keyword&gt;&lt;keyword&gt;Cost of Illness&lt;/keyword&gt;&lt;keyword&gt;Cost-Benefit Analysis&lt;/keyword&gt;&lt;keyword&gt;Female&lt;/keyword&gt;&lt;keyword&gt;Health Care Costs&lt;/keyword&gt;&lt;keyword&gt;Humans&lt;/keyword&gt;&lt;keyword&gt;Male&lt;/keyword&gt;&lt;keyword&gt;Mathematics&lt;/keyword&gt;&lt;keyword&gt;Obesity/ economics/ prevention &amp;amp; control&lt;/keyword&gt;&lt;keyword&gt;Probability&lt;/keyword&gt;&lt;keyword&gt;School Health Services/ economics&lt;/keyword&gt;&lt;/keywords&gt;&lt;dates&gt;&lt;year&gt;2003&lt;/year&gt;&lt;pub-dates&gt;&lt;date&gt;Nov&lt;/date&gt;&lt;/pub-dates&gt;&lt;/dates&gt;&lt;isbn&gt;1071-7323 (Print)&amp;#xD;1071-7323 (Linking)&lt;/isbn&gt;&lt;accession-num&gt;14627751&lt;/accession-num&gt;&lt;urls&gt;&lt;/urls&gt;&lt;electronic-resource-num&gt;10.1038/oby.2003.178 [doi]&lt;/electronic-resource-num&gt;&lt;remote-database-provider&gt;Nlm&lt;/remote-database-provider&gt;&lt;language&gt;eng&lt;/language&gt;&lt;/record&gt;&lt;/Cite&gt;&lt;/EndNote&gt;</w:instrText>
            </w:r>
            <w:r w:rsidR="007E73CE" w:rsidRPr="00296D0C">
              <w:fldChar w:fldCharType="separate"/>
            </w:r>
            <w:r w:rsidR="008C43BF" w:rsidRPr="008C43BF">
              <w:rPr>
                <w:noProof/>
                <w:vertAlign w:val="superscript"/>
              </w:rPr>
              <w:t>61</w:t>
            </w:r>
            <w:r w:rsidR="007E73CE" w:rsidRPr="00296D0C">
              <w:fldChar w:fldCharType="end"/>
            </w:r>
          </w:p>
        </w:tc>
        <w:tc>
          <w:tcPr>
            <w:tcW w:w="1401" w:type="dxa"/>
          </w:tcPr>
          <w:p w14:paraId="3CF5630E" w14:textId="77777777" w:rsidR="00861557" w:rsidRPr="00296D0C" w:rsidRDefault="00861557" w:rsidP="0077247E">
            <w:pPr>
              <w:spacing w:before="40" w:after="40"/>
            </w:pPr>
            <w:r w:rsidRPr="00296D0C">
              <w:t>USA</w:t>
            </w:r>
          </w:p>
        </w:tc>
        <w:tc>
          <w:tcPr>
            <w:tcW w:w="1557" w:type="dxa"/>
          </w:tcPr>
          <w:p w14:paraId="2CE5F1DE" w14:textId="77777777" w:rsidR="00861557" w:rsidRPr="00296D0C" w:rsidRDefault="00861557" w:rsidP="0077247E">
            <w:pPr>
              <w:spacing w:before="40" w:after="40"/>
            </w:pPr>
            <w:r w:rsidRPr="00296D0C">
              <w:t>Planet Health</w:t>
            </w:r>
          </w:p>
        </w:tc>
        <w:tc>
          <w:tcPr>
            <w:tcW w:w="1430" w:type="dxa"/>
          </w:tcPr>
          <w:p w14:paraId="0C7CAD10" w14:textId="77777777" w:rsidR="00861557" w:rsidRPr="00296D0C" w:rsidRDefault="00861557" w:rsidP="0077247E">
            <w:pPr>
              <w:spacing w:before="40" w:after="40"/>
            </w:pPr>
            <w:r w:rsidRPr="00296D0C">
              <w:t>Cases of adulthood OW prevented; Costs; QALYs; ICER</w:t>
            </w:r>
          </w:p>
        </w:tc>
        <w:tc>
          <w:tcPr>
            <w:tcW w:w="1836" w:type="dxa"/>
          </w:tcPr>
          <w:p w14:paraId="2608095E" w14:textId="77777777" w:rsidR="00861557" w:rsidRPr="00296D0C" w:rsidRDefault="00861557" w:rsidP="0077247E">
            <w:pPr>
              <w:spacing w:before="40" w:after="40"/>
            </w:pPr>
            <w:r w:rsidRPr="00296D0C">
              <w:t>Extrapolation from childhood WS to adult (21–29 yrs) WS using Whitaker et al (1997); and from 21-29 yrs using NHANES I EFS</w:t>
            </w:r>
          </w:p>
        </w:tc>
        <w:tc>
          <w:tcPr>
            <w:tcW w:w="1709" w:type="dxa"/>
          </w:tcPr>
          <w:p w14:paraId="1D5C2ABA" w14:textId="77777777" w:rsidR="00861557" w:rsidRPr="00296D0C" w:rsidRDefault="00861557" w:rsidP="0077247E">
            <w:pPr>
              <w:spacing w:before="40" w:after="40"/>
            </w:pPr>
            <w:r w:rsidRPr="00296D0C">
              <w:t>Estimated 25-yr direct healthcare &amp; medication costs</w:t>
            </w:r>
            <w:r w:rsidRPr="00296D0C">
              <w:rPr>
                <w:vertAlign w:val="superscript"/>
              </w:rPr>
              <w:t>b</w:t>
            </w:r>
            <w:r w:rsidRPr="00296D0C">
              <w:t xml:space="preserve"> in women aged 40 yrs who maintain an OW status to age 65 yrs</w:t>
            </w:r>
          </w:p>
        </w:tc>
        <w:tc>
          <w:tcPr>
            <w:tcW w:w="1713" w:type="dxa"/>
          </w:tcPr>
          <w:p w14:paraId="73DFD14C" w14:textId="77777777" w:rsidR="00861557" w:rsidRPr="00296D0C" w:rsidRDefault="00861557" w:rsidP="0077247E">
            <w:pPr>
              <w:spacing w:before="40" w:after="40"/>
            </w:pPr>
            <w:r w:rsidRPr="00296D0C">
              <w:t>Intervention effect expressed as probability of OW and at-risk OW at age 11 yrs</w:t>
            </w:r>
          </w:p>
        </w:tc>
        <w:tc>
          <w:tcPr>
            <w:tcW w:w="1577" w:type="dxa"/>
          </w:tcPr>
          <w:p w14:paraId="6C6D457F" w14:textId="77777777" w:rsidR="00861557" w:rsidRPr="00296D0C" w:rsidRDefault="00861557" w:rsidP="0077247E">
            <w:pPr>
              <w:spacing w:before="40" w:after="40"/>
            </w:pPr>
            <w:r w:rsidRPr="00296D0C">
              <w:t>25 yrs</w:t>
            </w:r>
          </w:p>
          <w:p w14:paraId="371000C3" w14:textId="77777777" w:rsidR="00861557" w:rsidRPr="00296D0C" w:rsidRDefault="00861557" w:rsidP="0077247E">
            <w:pPr>
              <w:spacing w:before="40" w:after="40"/>
            </w:pPr>
            <w:r w:rsidRPr="00296D0C">
              <w:t>NA</w:t>
            </w:r>
          </w:p>
        </w:tc>
        <w:tc>
          <w:tcPr>
            <w:tcW w:w="1719" w:type="dxa"/>
          </w:tcPr>
          <w:p w14:paraId="7BFA1AC5" w14:textId="77777777" w:rsidR="00861557" w:rsidRPr="00296D0C" w:rsidRDefault="00861557" w:rsidP="0077247E">
            <w:pPr>
              <w:spacing w:before="40" w:after="40"/>
            </w:pPr>
            <w:r w:rsidRPr="00296D0C">
              <w:t>Societal perspective (healthcare sector costs and costs related to productivity loss)</w:t>
            </w:r>
          </w:p>
        </w:tc>
      </w:tr>
      <w:tr w:rsidR="00861557" w:rsidRPr="00296D0C" w14:paraId="097461F1" w14:textId="77777777" w:rsidTr="0077247E">
        <w:trPr>
          <w:trHeight w:val="323"/>
        </w:trPr>
        <w:tc>
          <w:tcPr>
            <w:tcW w:w="1674" w:type="dxa"/>
          </w:tcPr>
          <w:p w14:paraId="287E59D6" w14:textId="7AA33024" w:rsidR="00861557" w:rsidRPr="00296D0C" w:rsidRDefault="00861557" w:rsidP="008C43BF">
            <w:pPr>
              <w:spacing w:before="40" w:after="40"/>
            </w:pPr>
            <w:r w:rsidRPr="00296D0C">
              <w:t>Brown et al., 2007</w:t>
            </w:r>
            <w:r w:rsidR="007E73CE" w:rsidRPr="00296D0C">
              <w:t xml:space="preserve"> </w:t>
            </w:r>
            <w:r w:rsidR="007E73CE" w:rsidRPr="00296D0C">
              <w:fldChar w:fldCharType="begin"/>
            </w:r>
            <w:r w:rsidR="008C43BF">
              <w:instrText xml:space="preserve"> ADDIN EN.CITE &lt;EndNote&gt;&lt;Cite&gt;&lt;Author&gt;Brown&lt;/Author&gt;&lt;Year&gt;2007&lt;/Year&gt;&lt;RecNum&gt;5732&lt;/RecNum&gt;&lt;DisplayText&gt;&lt;style face="superscript"&gt;62&lt;/style&gt;&lt;/DisplayText&gt;&lt;record&gt;&lt;rec-number&gt;5732&lt;/rec-number&gt;&lt;foreign-keys&gt;&lt;key app="EN" db-id="2ewa9rrvjsdsawep2vpx5x97eedzzvxx5rta" timestamp="1478679952"&gt;5732&lt;/key&gt;&lt;/foreign-keys&gt;&lt;ref-type name="Journal Article"&gt;17&lt;/ref-type&gt;&lt;contributors&gt;&lt;authors&gt;&lt;author&gt;Brown, H. S., 3rd&lt;/author&gt;&lt;author&gt;Perez, A.&lt;/author&gt;&lt;author&gt;Li, Y. P.&lt;/author&gt;&lt;author&gt;Hoelscher, D. M.&lt;/author&gt;&lt;author&gt;Kelder, S. H.&lt;/author&gt;&lt;author&gt;Rivera, R.&lt;/author&gt;&lt;/authors&gt;&lt;/contributors&gt;&lt;auth-address&gt;Division of Management, Policy and Community Health, University of Texas School of Public Health, Austin, TX 78701, USA. henry.s.brown@uth.tmc.edu&lt;/auth-address&gt;&lt;titles&gt;&lt;title&gt;The cost-effectiveness of a school-based overweight program&lt;/title&gt;&lt;secondary-title&gt;Int J Behav Nutr Phys Act&lt;/secondary-title&gt;&lt;/titles&gt;&lt;periodical&gt;&lt;full-title&gt;International Journal of Behavioural Nutrition and Physical Activity&lt;/full-title&gt;&lt;abbr-1&gt;Int J Behav Nutr Phys Act&lt;/abbr-1&gt;&lt;/periodical&gt;&lt;pages&gt;47&lt;/pages&gt;&lt;volume&gt;4&lt;/volume&gt;&lt;dates&gt;&lt;year&gt;2007&lt;/year&gt;&lt;/dates&gt;&lt;isbn&gt;1479-5868 (Electronic)&amp;#xD;1479-5868 (Linking)&lt;/isbn&gt;&lt;accession-num&gt;17908315&lt;/accession-num&gt;&lt;urls&gt;&lt;related-urls&gt;&lt;url&gt;http://www.ncbi.nlm.nih.gov/pubmed/17908315&lt;/url&gt;&lt;/related-urls&gt;&lt;/urls&gt;&lt;custom2&gt;2098777&lt;/custom2&gt;&lt;electronic-resource-num&gt;10.1186/1479-5868-4-47&lt;/electronic-resource-num&gt;&lt;/record&gt;&lt;/Cite&gt;&lt;/EndNote&gt;</w:instrText>
            </w:r>
            <w:r w:rsidR="007E73CE" w:rsidRPr="00296D0C">
              <w:fldChar w:fldCharType="separate"/>
            </w:r>
            <w:r w:rsidR="008C43BF" w:rsidRPr="008C43BF">
              <w:rPr>
                <w:noProof/>
                <w:vertAlign w:val="superscript"/>
              </w:rPr>
              <w:t>62</w:t>
            </w:r>
            <w:r w:rsidR="007E73CE" w:rsidRPr="00296D0C">
              <w:fldChar w:fldCharType="end"/>
            </w:r>
          </w:p>
        </w:tc>
        <w:tc>
          <w:tcPr>
            <w:tcW w:w="1401" w:type="dxa"/>
          </w:tcPr>
          <w:p w14:paraId="12491EA4" w14:textId="77777777" w:rsidR="00861557" w:rsidRPr="00296D0C" w:rsidRDefault="00861557" w:rsidP="0077247E">
            <w:pPr>
              <w:spacing w:before="40" w:after="40"/>
            </w:pPr>
            <w:r w:rsidRPr="00296D0C">
              <w:t>USA</w:t>
            </w:r>
          </w:p>
        </w:tc>
        <w:tc>
          <w:tcPr>
            <w:tcW w:w="1557" w:type="dxa"/>
          </w:tcPr>
          <w:p w14:paraId="1A294063" w14:textId="77777777" w:rsidR="00861557" w:rsidRPr="00296D0C" w:rsidRDefault="00861557" w:rsidP="0077247E">
            <w:pPr>
              <w:spacing w:before="40" w:after="40"/>
            </w:pPr>
            <w:r w:rsidRPr="00296D0C">
              <w:t>CATCH</w:t>
            </w:r>
          </w:p>
        </w:tc>
        <w:tc>
          <w:tcPr>
            <w:tcW w:w="1430" w:type="dxa"/>
          </w:tcPr>
          <w:p w14:paraId="3B97E264" w14:textId="77777777" w:rsidR="00861557" w:rsidRPr="00296D0C" w:rsidRDefault="00861557" w:rsidP="0077247E">
            <w:pPr>
              <w:spacing w:before="40" w:after="40"/>
            </w:pPr>
            <w:r w:rsidRPr="00296D0C">
              <w:t>Cases of adulthood OW prevented; Costs; QALYs; ICER</w:t>
            </w:r>
          </w:p>
        </w:tc>
        <w:tc>
          <w:tcPr>
            <w:tcW w:w="1836" w:type="dxa"/>
          </w:tcPr>
          <w:p w14:paraId="4CD4FAA8" w14:textId="77777777" w:rsidR="00861557" w:rsidRPr="00296D0C" w:rsidRDefault="00861557" w:rsidP="0077247E">
            <w:pPr>
              <w:spacing w:before="40" w:after="40"/>
            </w:pPr>
            <w:r w:rsidRPr="00296D0C">
              <w:t xml:space="preserve">Based on – same as - Wang et al (2003), above. </w:t>
            </w:r>
          </w:p>
        </w:tc>
        <w:tc>
          <w:tcPr>
            <w:tcW w:w="1709" w:type="dxa"/>
          </w:tcPr>
          <w:p w14:paraId="21A0E131" w14:textId="77777777" w:rsidR="00861557" w:rsidRPr="00296D0C" w:rsidRDefault="00861557" w:rsidP="0077247E">
            <w:pPr>
              <w:spacing w:before="40" w:after="40"/>
            </w:pPr>
            <w:r w:rsidRPr="00296D0C">
              <w:t>Estimated 25-yr direct healthcare &amp; medication costs</w:t>
            </w:r>
            <w:r w:rsidRPr="00296D0C">
              <w:rPr>
                <w:vertAlign w:val="superscript"/>
              </w:rPr>
              <w:t>b</w:t>
            </w:r>
            <w:r w:rsidRPr="00296D0C">
              <w:t xml:space="preserve"> in women aged 40 yrs who maintain an OW status to age 65 yrs</w:t>
            </w:r>
          </w:p>
        </w:tc>
        <w:tc>
          <w:tcPr>
            <w:tcW w:w="1713" w:type="dxa"/>
          </w:tcPr>
          <w:p w14:paraId="33EBC654" w14:textId="77777777" w:rsidR="00861557" w:rsidRPr="00296D0C" w:rsidRDefault="00861557" w:rsidP="0077247E">
            <w:pPr>
              <w:spacing w:before="40" w:after="40"/>
            </w:pPr>
            <w:r w:rsidRPr="00296D0C">
              <w:t>Intervention effect expressed as probability of OB and non-OB at age 14 yrs</w:t>
            </w:r>
          </w:p>
        </w:tc>
        <w:tc>
          <w:tcPr>
            <w:tcW w:w="1577" w:type="dxa"/>
          </w:tcPr>
          <w:p w14:paraId="772460D3" w14:textId="77777777" w:rsidR="00861557" w:rsidRPr="00296D0C" w:rsidRDefault="00861557" w:rsidP="0077247E">
            <w:pPr>
              <w:spacing w:before="40" w:after="40"/>
            </w:pPr>
            <w:r w:rsidRPr="00296D0C">
              <w:t>25 yrs</w:t>
            </w:r>
          </w:p>
          <w:p w14:paraId="49A37676" w14:textId="77777777" w:rsidR="00861557" w:rsidRPr="00296D0C" w:rsidRDefault="00861557" w:rsidP="0077247E">
            <w:pPr>
              <w:spacing w:before="40" w:after="40"/>
            </w:pPr>
            <w:r w:rsidRPr="00296D0C">
              <w:t>NA</w:t>
            </w:r>
          </w:p>
        </w:tc>
        <w:tc>
          <w:tcPr>
            <w:tcW w:w="1719" w:type="dxa"/>
          </w:tcPr>
          <w:p w14:paraId="1F0477CB" w14:textId="77777777" w:rsidR="00861557" w:rsidRPr="00296D0C" w:rsidRDefault="00861557" w:rsidP="0077247E">
            <w:pPr>
              <w:spacing w:before="40" w:after="40"/>
            </w:pPr>
            <w:r w:rsidRPr="00296D0C">
              <w:t>Societal perspective (healthcare sector costs and costs related to productivity loss)</w:t>
            </w:r>
          </w:p>
        </w:tc>
      </w:tr>
      <w:tr w:rsidR="00861557" w:rsidRPr="00296D0C" w14:paraId="5AD2848F" w14:textId="77777777" w:rsidTr="0077247E">
        <w:trPr>
          <w:trHeight w:val="323"/>
        </w:trPr>
        <w:tc>
          <w:tcPr>
            <w:tcW w:w="1674" w:type="dxa"/>
          </w:tcPr>
          <w:p w14:paraId="50DE210F" w14:textId="20D49E52" w:rsidR="00861557" w:rsidRPr="00296D0C" w:rsidRDefault="00861557" w:rsidP="008C43BF">
            <w:pPr>
              <w:spacing w:before="40" w:after="40"/>
            </w:pPr>
            <w:r w:rsidRPr="00296D0C">
              <w:t>Hollingworth et al., 2012</w:t>
            </w:r>
            <w:r w:rsidR="007E73CE" w:rsidRPr="00296D0C">
              <w:t xml:space="preserve"> </w:t>
            </w:r>
            <w:r w:rsidR="007E73CE" w:rsidRPr="00296D0C">
              <w:fldChar w:fldCharType="begin"/>
            </w:r>
            <w:r w:rsidR="008C43BF">
              <w:instrText xml:space="preserve"> ADDIN EN.CITE &lt;EndNote&gt;&lt;Cite&gt;&lt;Author&gt;Hollingworth&lt;/Author&gt;&lt;Year&gt;2012&lt;/Year&gt;&lt;RecNum&gt;5746&lt;/RecNum&gt;&lt;DisplayText&gt;&lt;style face="superscript"&gt;63&lt;/style&gt;&lt;/DisplayText&gt;&lt;record&gt;&lt;rec-number&gt;5746&lt;/rec-number&gt;&lt;foreign-keys&gt;&lt;key app="EN" db-id="2ewa9rrvjsdsawep2vpx5x97eedzzvxx5rta" timestamp="1478679952"&gt;5746&lt;/key&gt;&lt;/foreign-keys&gt;&lt;ref-type name="Journal Article"&gt;17&lt;/ref-type&gt;&lt;contributors&gt;&lt;authors&gt;&lt;author&gt;Hollingworth, W.&lt;/author&gt;&lt;author&gt;Hawkins, J.&lt;/author&gt;&lt;author&gt;Lawlor, D. A.&lt;/author&gt;&lt;author&gt;Brown, M.&lt;/author&gt;&lt;author&gt;Marsh, T.&lt;/author&gt;&lt;author&gt;Kipping, R. R.&lt;/author&gt;&lt;/authors&gt;&lt;/contributors&gt;&lt;auth-address&gt;School of Social and Community Medicine, University of Bristol, Bristol, UK. william.hollingworth@bristol.ac.uk&lt;/auth-address&gt;&lt;titles&gt;&lt;title&gt;Economic evaluation of lifestyle interventions to treat overweight or obesity in children&lt;/title&gt;&lt;secondary-title&gt;Int J Obes (Lond)&lt;/secondary-title&gt;&lt;/titles&gt;&lt;periodical&gt;&lt;full-title&gt;International Journal of Obesity (2005)&lt;/full-title&gt;&lt;abbr-1&gt;Int. J. Obes. (Lond.)&lt;/abbr-1&gt;&lt;abbr-2&gt;Int J Obes (Lond)&lt;/abbr-2&gt;&lt;/periodical&gt;&lt;pages&gt;559-66&lt;/pages&gt;&lt;volume&gt;36&lt;/volume&gt;&lt;number&gt;4&lt;/number&gt;&lt;keywords&gt;&lt;keyword&gt;Body Mass Index&lt;/keyword&gt;&lt;keyword&gt;Child&lt;/keyword&gt;&lt;keyword&gt;Child, Preschool&lt;/keyword&gt;&lt;keyword&gt;Cost-Benefit Analysis&lt;/keyword&gt;&lt;keyword&gt;Female&lt;/keyword&gt;&lt;keyword&gt;Great Britain/epidemiology&lt;/keyword&gt;&lt;keyword&gt;Humans&lt;/keyword&gt;&lt;keyword&gt;Male&lt;/keyword&gt;&lt;keyword&gt;Models, Economic&lt;/keyword&gt;&lt;keyword&gt;National Health Programs&lt;/keyword&gt;&lt;keyword&gt;Obesity/economics&lt;/keyword&gt;&lt;keyword&gt;Overweight/*economics/epidemiology/prevention &amp;amp; control/*therapy&lt;/keyword&gt;&lt;keyword&gt;Randomized Controlled Trials as Topic&lt;/keyword&gt;&lt;keyword&gt;*Risk Reduction Behavior&lt;/keyword&gt;&lt;/keywords&gt;&lt;dates&gt;&lt;year&gt;2012&lt;/year&gt;&lt;pub-dates&gt;&lt;date&gt;Apr&lt;/date&gt;&lt;/pub-dates&gt;&lt;/dates&gt;&lt;isbn&gt;1476-5497 (Electronic)&amp;#xD;0307-0565 (Linking)&lt;/isbn&gt;&lt;accession-num&gt;22249222&lt;/accession-num&gt;&lt;urls&gt;&lt;related-urls&gt;&lt;url&gt;http://www.ncbi.nlm.nih.gov/pubmed/22249222&lt;/url&gt;&lt;/related-urls&gt;&lt;/urls&gt;&lt;electronic-resource-num&gt;10.1038/ijo.2011.272&lt;/electronic-resource-num&gt;&lt;/record&gt;&lt;/Cite&gt;&lt;/EndNote&gt;</w:instrText>
            </w:r>
            <w:r w:rsidR="007E73CE" w:rsidRPr="00296D0C">
              <w:fldChar w:fldCharType="separate"/>
            </w:r>
            <w:r w:rsidR="008C43BF" w:rsidRPr="008C43BF">
              <w:rPr>
                <w:noProof/>
                <w:vertAlign w:val="superscript"/>
              </w:rPr>
              <w:t>63</w:t>
            </w:r>
            <w:r w:rsidR="007E73CE" w:rsidRPr="00296D0C">
              <w:fldChar w:fldCharType="end"/>
            </w:r>
          </w:p>
        </w:tc>
        <w:tc>
          <w:tcPr>
            <w:tcW w:w="1401" w:type="dxa"/>
          </w:tcPr>
          <w:p w14:paraId="74A7135D" w14:textId="77777777" w:rsidR="00861557" w:rsidRPr="00296D0C" w:rsidRDefault="00861557" w:rsidP="0077247E">
            <w:pPr>
              <w:spacing w:before="40" w:after="40"/>
            </w:pPr>
            <w:r w:rsidRPr="00296D0C">
              <w:t>UK</w:t>
            </w:r>
          </w:p>
        </w:tc>
        <w:tc>
          <w:tcPr>
            <w:tcW w:w="1557" w:type="dxa"/>
          </w:tcPr>
          <w:p w14:paraId="489ECB99" w14:textId="77777777" w:rsidR="00861557" w:rsidRPr="00296D0C" w:rsidRDefault="00861557" w:rsidP="0077247E">
            <w:pPr>
              <w:spacing w:before="40" w:after="40"/>
            </w:pPr>
            <w:r w:rsidRPr="00296D0C">
              <w:t>Lifestyle interventions</w:t>
            </w:r>
          </w:p>
        </w:tc>
        <w:tc>
          <w:tcPr>
            <w:tcW w:w="1430" w:type="dxa"/>
          </w:tcPr>
          <w:p w14:paraId="0EF58D51" w14:textId="77777777" w:rsidR="00861557" w:rsidRPr="00296D0C" w:rsidRDefault="00861557" w:rsidP="0077247E">
            <w:pPr>
              <w:spacing w:before="40" w:after="40"/>
            </w:pPr>
            <w:r w:rsidRPr="00296D0C">
              <w:t>Costs; incidence of weight-related events; cost per life year gained</w:t>
            </w:r>
          </w:p>
        </w:tc>
        <w:tc>
          <w:tcPr>
            <w:tcW w:w="1836" w:type="dxa"/>
          </w:tcPr>
          <w:p w14:paraId="7D3B2301" w14:textId="77777777" w:rsidR="00861557" w:rsidRPr="00296D0C" w:rsidRDefault="00861557" w:rsidP="0077247E">
            <w:pPr>
              <w:spacing w:before="40" w:after="40"/>
            </w:pPr>
            <w:r w:rsidRPr="00296D0C">
              <w:t xml:space="preserve">Extrapolation over time estimated using a BMI growth equation simulated using Monte Carlo techniques </w:t>
            </w:r>
          </w:p>
        </w:tc>
        <w:tc>
          <w:tcPr>
            <w:tcW w:w="1709" w:type="dxa"/>
          </w:tcPr>
          <w:p w14:paraId="60BAE19C" w14:textId="77777777" w:rsidR="00861557" w:rsidRPr="00296D0C" w:rsidRDefault="00861557" w:rsidP="0077247E">
            <w:pPr>
              <w:spacing w:before="40" w:after="40"/>
            </w:pPr>
            <w:r w:rsidRPr="00296D0C">
              <w:t xml:space="preserve">Events include: CHD, stroke, diabetes, breast cancer, colorectal cancer </w:t>
            </w:r>
          </w:p>
        </w:tc>
        <w:tc>
          <w:tcPr>
            <w:tcW w:w="1713" w:type="dxa"/>
          </w:tcPr>
          <w:p w14:paraId="7C6E0E70" w14:textId="77777777" w:rsidR="00861557" w:rsidRPr="00296D0C" w:rsidRDefault="00861557" w:rsidP="0077247E">
            <w:pPr>
              <w:spacing w:before="40" w:after="40"/>
            </w:pPr>
            <w:r w:rsidRPr="00296D0C">
              <w:t xml:space="preserve">Intervention effect modelled as reduction in </w:t>
            </w:r>
            <w:r w:rsidR="009D1C7F" w:rsidRPr="00296D0C">
              <w:t>BMI SDS</w:t>
            </w:r>
          </w:p>
        </w:tc>
        <w:tc>
          <w:tcPr>
            <w:tcW w:w="1577" w:type="dxa"/>
          </w:tcPr>
          <w:p w14:paraId="252CC6B1" w14:textId="77777777" w:rsidR="00861557" w:rsidRPr="00296D0C" w:rsidRDefault="00861557" w:rsidP="0077247E">
            <w:pPr>
              <w:spacing w:before="40" w:after="40"/>
            </w:pPr>
            <w:r w:rsidRPr="00296D0C">
              <w:t>Lifetime</w:t>
            </w:r>
          </w:p>
          <w:p w14:paraId="41CF2C46" w14:textId="77777777" w:rsidR="00861557" w:rsidRPr="00296D0C" w:rsidRDefault="00861557" w:rsidP="0077247E">
            <w:pPr>
              <w:spacing w:before="40" w:after="40"/>
            </w:pPr>
            <w:r w:rsidRPr="00296D0C">
              <w:t>1 yr</w:t>
            </w:r>
          </w:p>
        </w:tc>
        <w:tc>
          <w:tcPr>
            <w:tcW w:w="1719" w:type="dxa"/>
          </w:tcPr>
          <w:p w14:paraId="43E24735" w14:textId="77777777" w:rsidR="00861557" w:rsidRPr="00296D0C" w:rsidRDefault="00861557" w:rsidP="0077247E">
            <w:pPr>
              <w:spacing w:before="40" w:after="40"/>
            </w:pPr>
            <w:r w:rsidRPr="00296D0C">
              <w:t>Third party payer (UK NHS)</w:t>
            </w:r>
          </w:p>
        </w:tc>
      </w:tr>
      <w:tr w:rsidR="00861557" w:rsidRPr="00296D0C" w14:paraId="527FF424" w14:textId="77777777" w:rsidTr="0077247E">
        <w:trPr>
          <w:trHeight w:val="323"/>
        </w:trPr>
        <w:tc>
          <w:tcPr>
            <w:tcW w:w="1674" w:type="dxa"/>
          </w:tcPr>
          <w:p w14:paraId="593446A7" w14:textId="2C11D973" w:rsidR="00861557" w:rsidRPr="00296D0C" w:rsidRDefault="00861557" w:rsidP="008C43BF">
            <w:pPr>
              <w:spacing w:before="40" w:after="40"/>
            </w:pPr>
            <w:r w:rsidRPr="00296D0C">
              <w:lastRenderedPageBreak/>
              <w:t>Pil et al., 2014</w:t>
            </w:r>
            <w:r w:rsidR="007E73CE" w:rsidRPr="00296D0C">
              <w:t xml:space="preserve"> </w:t>
            </w:r>
            <w:r w:rsidR="007E73CE" w:rsidRPr="00296D0C">
              <w:fldChar w:fldCharType="begin">
                <w:fldData xml:space="preserve">PEVuZE5vdGU+PENpdGU+PEF1dGhvcj5QaWw8L0F1dGhvcj48WWVhcj4yMDE0PC9ZZWFyPjxSZWNO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=
</w:fldData>
              </w:fldChar>
            </w:r>
            <w:r w:rsidR="008C43BF">
              <w:instrText xml:space="preserve"> ADDIN EN.CITE </w:instrText>
            </w:r>
            <w:r w:rsidR="008C43BF">
              <w:fldChar w:fldCharType="begin">
                <w:fldData xml:space="preserve">PEVuZE5vdGU+PENpdGU+PEF1dGhvcj5QaWw8L0F1dGhvcj48WWVhcj4yMDE0PC9ZZWFyPjxSZWNO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=
</w:fldData>
              </w:fldChar>
            </w:r>
            <w:r w:rsidR="008C43BF">
              <w:instrText xml:space="preserve"> ADDIN EN.CITE.DATA </w:instrText>
            </w:r>
            <w:r w:rsidR="008C43BF">
              <w:fldChar w:fldCharType="end"/>
            </w:r>
            <w:r w:rsidR="007E73CE" w:rsidRPr="00296D0C">
              <w:fldChar w:fldCharType="separate"/>
            </w:r>
            <w:r w:rsidR="008C43BF" w:rsidRPr="008C43BF">
              <w:rPr>
                <w:noProof/>
                <w:vertAlign w:val="superscript"/>
              </w:rPr>
              <w:t>64</w:t>
            </w:r>
            <w:r w:rsidR="007E73CE" w:rsidRPr="00296D0C">
              <w:fldChar w:fldCharType="end"/>
            </w:r>
          </w:p>
        </w:tc>
        <w:tc>
          <w:tcPr>
            <w:tcW w:w="1401" w:type="dxa"/>
          </w:tcPr>
          <w:p w14:paraId="4587534D" w14:textId="77777777" w:rsidR="00861557" w:rsidRPr="00296D0C" w:rsidRDefault="00861557" w:rsidP="0077247E">
            <w:pPr>
              <w:spacing w:before="40" w:after="40"/>
            </w:pPr>
            <w:r w:rsidRPr="00296D0C">
              <w:t>6 EU countries (Belgium, Bulgaria, Germany, Greece, Poland and Spain)</w:t>
            </w:r>
          </w:p>
        </w:tc>
        <w:tc>
          <w:tcPr>
            <w:tcW w:w="1557" w:type="dxa"/>
          </w:tcPr>
          <w:p w14:paraId="73939A9E" w14:textId="77777777" w:rsidR="00861557" w:rsidRPr="00296D0C" w:rsidRDefault="00861557" w:rsidP="0077247E">
            <w:pPr>
              <w:spacing w:before="40" w:after="40"/>
            </w:pPr>
            <w:r w:rsidRPr="00296D0C">
              <w:t>ToyBox</w:t>
            </w:r>
          </w:p>
        </w:tc>
        <w:tc>
          <w:tcPr>
            <w:tcW w:w="1430" w:type="dxa"/>
          </w:tcPr>
          <w:p w14:paraId="009FA3F3" w14:textId="77777777" w:rsidR="00861557" w:rsidRPr="00296D0C" w:rsidRDefault="00861557" w:rsidP="0077247E">
            <w:pPr>
              <w:spacing w:before="40" w:after="40"/>
            </w:pPr>
            <w:r w:rsidRPr="00296D0C">
              <w:t>Costs; incidence of weight-related events;  QALYs; ICER</w:t>
            </w:r>
          </w:p>
        </w:tc>
        <w:tc>
          <w:tcPr>
            <w:tcW w:w="1836" w:type="dxa"/>
          </w:tcPr>
          <w:p w14:paraId="07616132" w14:textId="77777777" w:rsidR="00861557" w:rsidRPr="00296D0C" w:rsidRDefault="00861557" w:rsidP="0077247E">
            <w:pPr>
              <w:spacing w:before="40" w:after="40"/>
            </w:pPr>
            <w:r w:rsidRPr="00296D0C">
              <w:t>Extrapolation from childhood WS to adult (30-34 yrs) WS using Venn et al; projection of the incidence of events (IASO) and mortality from age 30–34 yrs onwards (Markov model)</w:t>
            </w:r>
          </w:p>
        </w:tc>
        <w:tc>
          <w:tcPr>
            <w:tcW w:w="1709" w:type="dxa"/>
          </w:tcPr>
          <w:p w14:paraId="3DDA6C52" w14:textId="77777777" w:rsidR="00861557" w:rsidRPr="00296D0C" w:rsidRDefault="00861557" w:rsidP="0077247E">
            <w:pPr>
              <w:spacing w:before="40" w:after="40"/>
            </w:pPr>
            <w:r w:rsidRPr="00296D0C">
              <w:t>Event-free; CHD</w:t>
            </w:r>
            <w:r w:rsidRPr="00296D0C">
              <w:rPr>
                <w:vertAlign w:val="superscript"/>
              </w:rPr>
              <w:t>a</w:t>
            </w:r>
            <w:r w:rsidRPr="00296D0C">
              <w:t>; T2DM; Stroke</w:t>
            </w:r>
            <w:r w:rsidRPr="00296D0C">
              <w:rPr>
                <w:vertAlign w:val="superscript"/>
              </w:rPr>
              <w:t>a</w:t>
            </w:r>
            <w:r w:rsidRPr="00296D0C">
              <w:t>; CRC</w:t>
            </w:r>
            <w:r w:rsidRPr="00296D0C">
              <w:rPr>
                <w:vertAlign w:val="superscript"/>
              </w:rPr>
              <w:t>a</w:t>
            </w:r>
            <w:r w:rsidRPr="00296D0C">
              <w:t>; breast cancer</w:t>
            </w:r>
            <w:r w:rsidRPr="00296D0C">
              <w:rPr>
                <w:vertAlign w:val="superscript"/>
              </w:rPr>
              <w:t>a</w:t>
            </w:r>
            <w:r w:rsidRPr="00296D0C">
              <w:t>; death</w:t>
            </w:r>
          </w:p>
          <w:p w14:paraId="7F7A4AC2" w14:textId="77777777" w:rsidR="00861557" w:rsidRPr="00296D0C" w:rsidRDefault="00861557" w:rsidP="0077247E">
            <w:pPr>
              <w:spacing w:before="40" w:after="40"/>
            </w:pPr>
          </w:p>
          <w:p w14:paraId="1192E938" w14:textId="77777777" w:rsidR="00861557" w:rsidRPr="00296D0C" w:rsidRDefault="00861557" w:rsidP="0077247E">
            <w:pPr>
              <w:spacing w:before="40" w:after="40"/>
            </w:pPr>
            <w:r w:rsidRPr="00296D0C">
              <w:t>Suffering from &gt;1 condition not possible in the model</w:t>
            </w:r>
          </w:p>
        </w:tc>
        <w:tc>
          <w:tcPr>
            <w:tcW w:w="1713" w:type="dxa"/>
          </w:tcPr>
          <w:p w14:paraId="4C09BCD2" w14:textId="77777777" w:rsidR="00861557" w:rsidRPr="00296D0C" w:rsidRDefault="00861557" w:rsidP="0077247E">
            <w:pPr>
              <w:spacing w:before="40" w:after="40"/>
            </w:pPr>
            <w:r w:rsidRPr="00296D0C">
              <w:t>Intervention effect expressed as a relative risk reduction applied to country-specific probabilities of the weight categories in the adult general population</w:t>
            </w:r>
          </w:p>
        </w:tc>
        <w:tc>
          <w:tcPr>
            <w:tcW w:w="1577" w:type="dxa"/>
          </w:tcPr>
          <w:p w14:paraId="2C9D95F6" w14:textId="77777777" w:rsidR="00861557" w:rsidRPr="00296D0C" w:rsidRDefault="00861557" w:rsidP="0077247E">
            <w:pPr>
              <w:spacing w:before="40" w:after="40"/>
            </w:pPr>
            <w:r w:rsidRPr="00296D0C">
              <w:t>70 yrs</w:t>
            </w:r>
          </w:p>
          <w:p w14:paraId="348ED7C2" w14:textId="77777777" w:rsidR="00861557" w:rsidRPr="00296D0C" w:rsidRDefault="00861557" w:rsidP="0077247E">
            <w:pPr>
              <w:spacing w:before="40" w:after="40"/>
            </w:pPr>
            <w:r w:rsidRPr="00296D0C">
              <w:t>1 yr</w:t>
            </w:r>
          </w:p>
        </w:tc>
        <w:tc>
          <w:tcPr>
            <w:tcW w:w="1719" w:type="dxa"/>
          </w:tcPr>
          <w:p w14:paraId="66F7FBB3" w14:textId="77777777" w:rsidR="00861557" w:rsidRPr="00296D0C" w:rsidRDefault="00861557" w:rsidP="0077247E">
            <w:pPr>
              <w:spacing w:before="40" w:after="40"/>
            </w:pPr>
            <w:r w:rsidRPr="00296D0C">
              <w:t>Societal perspective (healthcare sector costs and costs related to productivity loss)</w:t>
            </w:r>
          </w:p>
        </w:tc>
      </w:tr>
      <w:tr w:rsidR="00861557" w:rsidRPr="00296D0C" w14:paraId="48511F3B" w14:textId="77777777" w:rsidTr="0077247E">
        <w:trPr>
          <w:trHeight w:val="323"/>
        </w:trPr>
        <w:tc>
          <w:tcPr>
            <w:tcW w:w="1674" w:type="dxa"/>
          </w:tcPr>
          <w:p w14:paraId="11C5FB6C" w14:textId="2E8FB8C2" w:rsidR="00861557" w:rsidRPr="00296D0C" w:rsidRDefault="00861557" w:rsidP="008C43BF">
            <w:pPr>
              <w:spacing w:before="40" w:after="40"/>
            </w:pPr>
            <w:r w:rsidRPr="00296D0C">
              <w:t>Rush et al.,2014</w:t>
            </w:r>
            <w:r w:rsidR="007E638C">
              <w:t xml:space="preserve"> </w:t>
            </w:r>
            <w:r w:rsidR="007E73CE" w:rsidRPr="00296D0C">
              <w:fldChar w:fldCharType="begin">
                <w:fldData xml:space="preserve">PEVuZE5vdGU+PENpdGU+PEF1dGhvcj5SdXNoPC9BdXRob3I+PFllYXI+MjAxNDwvWWVhcj48UmVj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=
</w:fldData>
              </w:fldChar>
            </w:r>
            <w:r w:rsidR="008C43BF">
              <w:instrText xml:space="preserve"> ADDIN EN.CITE </w:instrText>
            </w:r>
            <w:r w:rsidR="008C43BF">
              <w:fldChar w:fldCharType="begin">
                <w:fldData xml:space="preserve">PEVuZE5vdGU+PENpdGU+PEF1dGhvcj5SdXNoPC9BdXRob3I+PFllYXI+MjAxNDwvWWVhcj48UmVj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=
</w:fldData>
              </w:fldChar>
            </w:r>
            <w:r w:rsidR="008C43BF">
              <w:instrText xml:space="preserve"> ADDIN EN.CITE.DATA </w:instrText>
            </w:r>
            <w:r w:rsidR="008C43BF">
              <w:fldChar w:fldCharType="end"/>
            </w:r>
            <w:r w:rsidR="007E73CE" w:rsidRPr="00296D0C">
              <w:fldChar w:fldCharType="separate"/>
            </w:r>
            <w:r w:rsidR="008C43BF" w:rsidRPr="008C43BF">
              <w:rPr>
                <w:noProof/>
                <w:vertAlign w:val="superscript"/>
              </w:rPr>
              <w:t>65</w:t>
            </w:r>
            <w:r w:rsidR="007E73CE" w:rsidRPr="00296D0C">
              <w:fldChar w:fldCharType="end"/>
            </w:r>
          </w:p>
        </w:tc>
        <w:tc>
          <w:tcPr>
            <w:tcW w:w="1401" w:type="dxa"/>
          </w:tcPr>
          <w:p w14:paraId="734B18C0" w14:textId="77777777" w:rsidR="00861557" w:rsidRPr="00296D0C" w:rsidRDefault="00861557" w:rsidP="0077247E">
            <w:pPr>
              <w:spacing w:before="40" w:after="40"/>
            </w:pPr>
            <w:r w:rsidRPr="00296D0C">
              <w:t>New Zealand</w:t>
            </w:r>
          </w:p>
        </w:tc>
        <w:tc>
          <w:tcPr>
            <w:tcW w:w="1557" w:type="dxa"/>
          </w:tcPr>
          <w:p w14:paraId="230178A2" w14:textId="77777777" w:rsidR="00861557" w:rsidRPr="00296D0C" w:rsidRDefault="00861557" w:rsidP="0077247E">
            <w:pPr>
              <w:spacing w:before="40" w:after="40"/>
            </w:pPr>
            <w:r w:rsidRPr="00296D0C">
              <w:t>Project Energise</w:t>
            </w:r>
          </w:p>
        </w:tc>
        <w:tc>
          <w:tcPr>
            <w:tcW w:w="1430" w:type="dxa"/>
          </w:tcPr>
          <w:p w14:paraId="0A7DB480" w14:textId="77777777" w:rsidR="00861557" w:rsidRPr="00296D0C" w:rsidRDefault="00861557" w:rsidP="0077247E">
            <w:pPr>
              <w:spacing w:before="40" w:after="40"/>
            </w:pPr>
            <w:r w:rsidRPr="00296D0C">
              <w:t>Costs; QALYs; ICER</w:t>
            </w:r>
          </w:p>
        </w:tc>
        <w:tc>
          <w:tcPr>
            <w:tcW w:w="1836" w:type="dxa"/>
            <w:shd w:val="clear" w:color="auto" w:fill="auto"/>
          </w:tcPr>
          <w:p w14:paraId="13823738" w14:textId="77777777" w:rsidR="00861557" w:rsidRPr="00296D0C" w:rsidRDefault="00861557" w:rsidP="0077247E">
            <w:pPr>
              <w:spacing w:before="40" w:after="40"/>
            </w:pPr>
            <w:r w:rsidRPr="00296D0C">
              <w:t>Population (aged from 2 to 75 yrs categorised (HE, OV, OB) by fitting a log-normal distribution to mean BMI &amp; SE reported in population survey data</w:t>
            </w:r>
          </w:p>
        </w:tc>
        <w:tc>
          <w:tcPr>
            <w:tcW w:w="1709" w:type="dxa"/>
          </w:tcPr>
          <w:p w14:paraId="058D12F9" w14:textId="77777777" w:rsidR="00861557" w:rsidRPr="00296D0C" w:rsidRDefault="00861557" w:rsidP="0077247E">
            <w:pPr>
              <w:spacing w:before="40" w:after="40"/>
            </w:pPr>
            <w:r w:rsidRPr="00296D0C">
              <w:t>Risk of 14 obesity-related conditions</w:t>
            </w:r>
            <w:r w:rsidRPr="00296D0C">
              <w:rPr>
                <w:vertAlign w:val="superscript"/>
              </w:rPr>
              <w:t>c</w:t>
            </w:r>
            <w:r w:rsidRPr="00296D0C">
              <w:t xml:space="preserve"> using life tables, &amp; data on RRs of disease incidence and mortality conditional on BMI</w:t>
            </w:r>
          </w:p>
        </w:tc>
        <w:tc>
          <w:tcPr>
            <w:tcW w:w="1713" w:type="dxa"/>
          </w:tcPr>
          <w:p w14:paraId="101D93B5" w14:textId="77777777" w:rsidR="00861557" w:rsidRPr="00296D0C" w:rsidRDefault="00861557" w:rsidP="0077247E">
            <w:pPr>
              <w:spacing w:before="40" w:after="40"/>
            </w:pPr>
            <w:r w:rsidRPr="00296D0C">
              <w:t>Intervention effect expressed as median difference in BMI between children receiving PE and historical control (not receiving PE)</w:t>
            </w:r>
          </w:p>
        </w:tc>
        <w:tc>
          <w:tcPr>
            <w:tcW w:w="1577" w:type="dxa"/>
          </w:tcPr>
          <w:p w14:paraId="59B83189" w14:textId="77777777" w:rsidR="00861557" w:rsidRPr="00296D0C" w:rsidRDefault="00861557" w:rsidP="0077247E">
            <w:pPr>
              <w:spacing w:before="40" w:after="40"/>
            </w:pPr>
            <w:r w:rsidRPr="00296D0C">
              <w:t>Lifetime</w:t>
            </w:r>
          </w:p>
          <w:p w14:paraId="0A514A1C" w14:textId="77777777" w:rsidR="00861557" w:rsidRPr="00296D0C" w:rsidRDefault="00861557" w:rsidP="0077247E">
            <w:pPr>
              <w:spacing w:before="40" w:after="40"/>
            </w:pPr>
            <w:r w:rsidRPr="00296D0C">
              <w:t>NA</w:t>
            </w:r>
          </w:p>
        </w:tc>
        <w:tc>
          <w:tcPr>
            <w:tcW w:w="1719" w:type="dxa"/>
          </w:tcPr>
          <w:p w14:paraId="6B94D8E1" w14:textId="77777777" w:rsidR="00861557" w:rsidRPr="00296D0C" w:rsidRDefault="00861557" w:rsidP="0077247E">
            <w:pPr>
              <w:spacing w:before="40" w:after="40"/>
            </w:pPr>
            <w:r w:rsidRPr="00296D0C">
              <w:t>Third party payer (healthcare budget)</w:t>
            </w:r>
          </w:p>
        </w:tc>
      </w:tr>
      <w:tr w:rsidR="00861557" w:rsidRPr="00296D0C" w14:paraId="4DA4A533" w14:textId="77777777" w:rsidTr="0077247E">
        <w:trPr>
          <w:trHeight w:val="323"/>
        </w:trPr>
        <w:tc>
          <w:tcPr>
            <w:tcW w:w="1674" w:type="dxa"/>
          </w:tcPr>
          <w:p w14:paraId="6B27FF0F" w14:textId="066A051B" w:rsidR="00861557" w:rsidRPr="00296D0C" w:rsidRDefault="00861557" w:rsidP="008C43BF">
            <w:pPr>
              <w:spacing w:before="40" w:after="40"/>
            </w:pPr>
            <w:r w:rsidRPr="00296D0C">
              <w:t>Tran et al., 2014</w:t>
            </w:r>
            <w:r w:rsidR="007E73CE" w:rsidRPr="00296D0C">
              <w:t xml:space="preserve"> </w:t>
            </w:r>
            <w:r w:rsidR="007E73CE" w:rsidRPr="00296D0C">
              <w:fldChar w:fldCharType="begin"/>
            </w:r>
            <w:r w:rsidR="008C43BF">
              <w:instrText xml:space="preserve"> ADDIN EN.CITE &lt;EndNote&gt;&lt;Cite&gt;&lt;Author&gt;Tran&lt;/Author&gt;&lt;Year&gt;2014&lt;/Year&gt;&lt;RecNum&gt;5771&lt;/RecNum&gt;&lt;DisplayText&gt;&lt;style face="superscript"&gt;66&lt;/style&gt;&lt;/DisplayText&gt;&lt;record&gt;&lt;rec-number&gt;5771&lt;/rec-number&gt;&lt;foreign-keys&gt;&lt;key app="EN" db-id="2ewa9rrvjsdsawep2vpx5x97eedzzvxx5rta" timestamp="1478679952"&gt;5771&lt;/key&gt;&lt;/foreign-keys&gt;&lt;ref-type name="Journal Article"&gt;17&lt;/ref-type&gt;&lt;contributors&gt;&lt;authors&gt;&lt;author&gt;Tran, B. X.&lt;/author&gt;&lt;author&gt;Ohinmaa, A.&lt;/author&gt;&lt;author&gt;Kuhle, S.&lt;/author&gt;&lt;author&gt;Johnson, J. A.&lt;/author&gt;&lt;author&gt;Veugelers, P. J.&lt;/author&gt;&lt;/authors&gt;&lt;/contributors&gt;&lt;auth-address&gt;School of Public Health, University of Alberta, Edmonton, Alberta, Canada.&amp;#xD;Department of Pediatrics, Obstetrics &amp;amp; Gynecology, Dalhousie University, Halifax, NS, Canada.&lt;/auth-address&gt;&lt;titles&gt;&lt;title&gt;Life course impact of school-based promotion of healthy eating and active living to prevent childhood obesity&lt;/title&gt;&lt;secondary-title&gt;PLoS One&lt;/secondary-title&gt;&lt;/titles&gt;&lt;periodical&gt;&lt;full-title&gt;PloS One&lt;/full-title&gt;&lt;abbr-1&gt;PLoS One&lt;/abbr-1&gt;&lt;abbr-2&gt;PLoS One&lt;/abbr-2&gt;&lt;/periodical&gt;&lt;pages&gt;e102242&lt;/pages&gt;&lt;volume&gt;9&lt;/volume&gt;&lt;number&gt;7&lt;/number&gt;&lt;keywords&gt;&lt;keyword&gt;Child&lt;/keyword&gt;&lt;keyword&gt;*Eating&lt;/keyword&gt;&lt;keyword&gt;*Health Promotion&lt;/keyword&gt;&lt;keyword&gt;Humans&lt;/keyword&gt;&lt;keyword&gt;*Life Style&lt;/keyword&gt;&lt;keyword&gt;Obesity/*prevention &amp;amp; control&lt;/keyword&gt;&lt;keyword&gt;School Health Services/*organization &amp;amp; administration&lt;/keyword&gt;&lt;/keywords&gt;&lt;dates&gt;&lt;year&gt;2014&lt;/year&gt;&lt;/dates&gt;&lt;isbn&gt;1932-6203 (Electronic)&amp;#xD;1932-6203 (Linking)&lt;/isbn&gt;&lt;accession-num&gt;25025581&lt;/accession-num&gt;&lt;urls&gt;&lt;related-urls&gt;&lt;url&gt;http://www.ncbi.nlm.nih.gov/pubmed/25025581&lt;/url&gt;&lt;/related-urls&gt;&lt;/urls&gt;&lt;custom2&gt;4099303&lt;/custom2&gt;&lt;electronic-resource-num&gt;10.1371/journal.pone.0102242&lt;/electronic-resource-num&gt;&lt;/record&gt;&lt;/Cite&gt;&lt;/EndNote&gt;</w:instrText>
            </w:r>
            <w:r w:rsidR="007E73CE" w:rsidRPr="00296D0C">
              <w:fldChar w:fldCharType="separate"/>
            </w:r>
            <w:r w:rsidR="008C43BF" w:rsidRPr="008C43BF">
              <w:rPr>
                <w:noProof/>
                <w:vertAlign w:val="superscript"/>
              </w:rPr>
              <w:t>66</w:t>
            </w:r>
            <w:r w:rsidR="007E73CE" w:rsidRPr="00296D0C">
              <w:fldChar w:fldCharType="end"/>
            </w:r>
          </w:p>
        </w:tc>
        <w:tc>
          <w:tcPr>
            <w:tcW w:w="1401" w:type="dxa"/>
          </w:tcPr>
          <w:p w14:paraId="7870E07A" w14:textId="77777777" w:rsidR="00861557" w:rsidRPr="00296D0C" w:rsidRDefault="00861557" w:rsidP="0077247E">
            <w:pPr>
              <w:spacing w:before="40" w:after="40"/>
            </w:pPr>
            <w:r w:rsidRPr="00296D0C">
              <w:t>Canada</w:t>
            </w:r>
          </w:p>
        </w:tc>
        <w:tc>
          <w:tcPr>
            <w:tcW w:w="1557" w:type="dxa"/>
          </w:tcPr>
          <w:p w14:paraId="1D60963E" w14:textId="77777777" w:rsidR="00861557" w:rsidRPr="00296D0C" w:rsidRDefault="00861557" w:rsidP="0077247E">
            <w:pPr>
              <w:spacing w:before="40" w:after="40"/>
            </w:pPr>
            <w:r w:rsidRPr="00296D0C">
              <w:t>APPLE</w:t>
            </w:r>
          </w:p>
        </w:tc>
        <w:tc>
          <w:tcPr>
            <w:tcW w:w="1430" w:type="dxa"/>
            <w:shd w:val="clear" w:color="auto" w:fill="auto"/>
          </w:tcPr>
          <w:p w14:paraId="1D708DFC" w14:textId="77777777" w:rsidR="00861557" w:rsidRPr="00296D0C" w:rsidRDefault="00861557" w:rsidP="0077247E">
            <w:pPr>
              <w:spacing w:before="40" w:after="40"/>
            </w:pPr>
            <w:r w:rsidRPr="00296D0C">
              <w:t>Costs; OW and OB cases prevented</w:t>
            </w:r>
          </w:p>
        </w:tc>
        <w:tc>
          <w:tcPr>
            <w:tcW w:w="1836" w:type="dxa"/>
          </w:tcPr>
          <w:p w14:paraId="0203BEA3" w14:textId="77777777" w:rsidR="00861557" w:rsidRPr="00296D0C" w:rsidRDefault="00861557" w:rsidP="0077247E">
            <w:pPr>
              <w:spacing w:before="40" w:after="40"/>
            </w:pPr>
            <w:r w:rsidRPr="00296D0C">
              <w:t xml:space="preserve">Applied parameters from growth curve models to OW and OB </w:t>
            </w:r>
            <w:r w:rsidRPr="00296D0C">
              <w:lastRenderedPageBreak/>
              <w:t>prevalence rates of Alberta (APPLE vs no APPLE)</w:t>
            </w:r>
          </w:p>
        </w:tc>
        <w:tc>
          <w:tcPr>
            <w:tcW w:w="1709" w:type="dxa"/>
          </w:tcPr>
          <w:p w14:paraId="64B52EA2" w14:textId="77777777" w:rsidR="00861557" w:rsidRPr="00296D0C" w:rsidRDefault="00861557" w:rsidP="0077247E">
            <w:pPr>
              <w:spacing w:before="40" w:after="40"/>
            </w:pPr>
            <w:r w:rsidRPr="00296D0C">
              <w:lastRenderedPageBreak/>
              <w:t xml:space="preserve">Health events not measured. Estimated by multiplying the total direct </w:t>
            </w:r>
            <w:r w:rsidRPr="00296D0C">
              <w:lastRenderedPageBreak/>
              <w:t>healthcare cost for OB by the proportion of OW / OB cases prevented by the intervention.</w:t>
            </w:r>
          </w:p>
        </w:tc>
        <w:tc>
          <w:tcPr>
            <w:tcW w:w="1713" w:type="dxa"/>
          </w:tcPr>
          <w:p w14:paraId="15CAD845" w14:textId="77777777" w:rsidR="00861557" w:rsidRPr="00296D0C" w:rsidRDefault="00861557" w:rsidP="0077247E">
            <w:pPr>
              <w:spacing w:before="40" w:after="40"/>
            </w:pPr>
            <w:r w:rsidRPr="00296D0C">
              <w:lastRenderedPageBreak/>
              <w:t xml:space="preserve">Intervention effect expressed as the prevalence of obesity </w:t>
            </w:r>
            <w:r w:rsidRPr="00296D0C">
              <w:lastRenderedPageBreak/>
              <w:t xml:space="preserve">among children attending APPLE schools vs those not attending APPLE schools  </w:t>
            </w:r>
          </w:p>
        </w:tc>
        <w:tc>
          <w:tcPr>
            <w:tcW w:w="1577" w:type="dxa"/>
          </w:tcPr>
          <w:p w14:paraId="21D78A43" w14:textId="77777777" w:rsidR="00861557" w:rsidRPr="00296D0C" w:rsidRDefault="00861557" w:rsidP="0077247E">
            <w:pPr>
              <w:spacing w:before="40" w:after="40"/>
            </w:pPr>
            <w:r w:rsidRPr="00296D0C">
              <w:lastRenderedPageBreak/>
              <w:t>Lifetime</w:t>
            </w:r>
          </w:p>
          <w:p w14:paraId="64DFF2D8" w14:textId="77777777" w:rsidR="00861557" w:rsidRPr="00296D0C" w:rsidRDefault="00861557" w:rsidP="0077247E">
            <w:pPr>
              <w:spacing w:before="40" w:after="40"/>
            </w:pPr>
            <w:r w:rsidRPr="00296D0C">
              <w:t>NA</w:t>
            </w:r>
          </w:p>
        </w:tc>
        <w:tc>
          <w:tcPr>
            <w:tcW w:w="1719" w:type="dxa"/>
          </w:tcPr>
          <w:p w14:paraId="7E7445BF" w14:textId="77777777" w:rsidR="00861557" w:rsidRPr="00296D0C" w:rsidRDefault="00861557" w:rsidP="0077247E">
            <w:pPr>
              <w:spacing w:before="40" w:after="40"/>
            </w:pPr>
            <w:r w:rsidRPr="00296D0C">
              <w:t>Healthcare perspective</w:t>
            </w:r>
          </w:p>
        </w:tc>
      </w:tr>
      <w:tr w:rsidR="00861557" w:rsidRPr="00296D0C" w14:paraId="30D60150" w14:textId="77777777" w:rsidTr="0077247E">
        <w:trPr>
          <w:trHeight w:val="323"/>
        </w:trPr>
        <w:tc>
          <w:tcPr>
            <w:tcW w:w="1674" w:type="dxa"/>
          </w:tcPr>
          <w:p w14:paraId="40627643" w14:textId="5BA52776" w:rsidR="00861557" w:rsidRPr="00296D0C" w:rsidRDefault="00861557" w:rsidP="008C43BF">
            <w:pPr>
              <w:spacing w:before="40" w:after="40"/>
            </w:pPr>
            <w:r w:rsidRPr="00296D0C">
              <w:t xml:space="preserve">Gortmaker et al., 2015 </w:t>
            </w:r>
            <w:r w:rsidR="007E73CE" w:rsidRPr="00296D0C">
              <w:t xml:space="preserve"> </w:t>
            </w:r>
            <w:r w:rsidR="007E73CE" w:rsidRPr="00296D0C">
              <w:fldChar w:fldCharType="begin">
                <w:fldData xml:space="preserve">PEVuZE5vdGU+PENpdGU+PEF1dGhvcj5Hb3J0bWFrZXI8L0F1dGhvcj48WWVhcj4yMDE1PC9ZZWFy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</w:fldData>
              </w:fldChar>
            </w:r>
            <w:r w:rsidR="008C43BF">
              <w:instrText xml:space="preserve"> ADDIN EN.CITE </w:instrText>
            </w:r>
            <w:r w:rsidR="008C43BF">
              <w:fldChar w:fldCharType="begin">
                <w:fldData xml:space="preserve">PEVuZE5vdGU+PENpdGU+PEF1dGhvcj5Hb3J0bWFrZXI8L0F1dGhvcj48WWVhcj4yMDE1PC9ZZWFy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</w:fldData>
              </w:fldChar>
            </w:r>
            <w:r w:rsidR="008C43BF">
              <w:instrText xml:space="preserve"> ADDIN EN.CITE.DATA </w:instrText>
            </w:r>
            <w:r w:rsidR="008C43BF">
              <w:fldChar w:fldCharType="end"/>
            </w:r>
            <w:r w:rsidR="007E73CE" w:rsidRPr="00296D0C">
              <w:fldChar w:fldCharType="separate"/>
            </w:r>
            <w:r w:rsidR="008C43BF" w:rsidRPr="008C43BF">
              <w:rPr>
                <w:noProof/>
                <w:vertAlign w:val="superscript"/>
              </w:rPr>
              <w:t>68</w:t>
            </w:r>
            <w:r w:rsidR="007E73CE" w:rsidRPr="00296D0C">
              <w:fldChar w:fldCharType="end"/>
            </w:r>
            <w:r w:rsidRPr="00296D0C">
              <w:t>[[multiple publications: Wright et al., 2015</w:t>
            </w:r>
            <w:r w:rsidR="007E73CE" w:rsidRPr="00296D0C">
              <w:t xml:space="preserve"> </w:t>
            </w:r>
            <w:r w:rsidR="007E73CE" w:rsidRPr="00296D0C">
              <w:fldChar w:fldCharType="begin">
                <w:fldData xml:space="preserve">PEVuZE5vdGU+PENpdGU+PEF1dGhvcj5XcmlnaHQ8L0F1dGhvcj48WWVhcj4yMDE1PC9ZZWFyPjxS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</w:fldData>
              </w:fldChar>
            </w:r>
            <w:r w:rsidR="008C43BF">
              <w:instrText xml:space="preserve"> ADDIN EN.CITE </w:instrText>
            </w:r>
            <w:r w:rsidR="008C43BF">
              <w:fldChar w:fldCharType="begin">
                <w:fldData xml:space="preserve">PEVuZE5vdGU+PENpdGU+PEF1dGhvcj5XcmlnaHQ8L0F1dGhvcj48WWVhcj4yMDE1PC9ZZWFyPjxS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</w:fldData>
              </w:fldChar>
            </w:r>
            <w:r w:rsidR="008C43BF">
              <w:instrText xml:space="preserve"> ADDIN EN.CITE.DATA </w:instrText>
            </w:r>
            <w:r w:rsidR="008C43BF">
              <w:fldChar w:fldCharType="end"/>
            </w:r>
            <w:r w:rsidR="007E73CE" w:rsidRPr="00296D0C">
              <w:fldChar w:fldCharType="separate"/>
            </w:r>
            <w:r w:rsidR="008C43BF" w:rsidRPr="008C43BF">
              <w:rPr>
                <w:noProof/>
                <w:vertAlign w:val="superscript"/>
              </w:rPr>
              <w:t>72</w:t>
            </w:r>
            <w:r w:rsidR="007E73CE" w:rsidRPr="00296D0C">
              <w:fldChar w:fldCharType="end"/>
            </w:r>
            <w:r w:rsidRPr="00296D0C">
              <w:t>; Sonneville et al., 2015</w:t>
            </w:r>
            <w:r w:rsidR="007E73CE" w:rsidRPr="00296D0C">
              <w:t xml:space="preserve"> </w:t>
            </w:r>
            <w:r w:rsidR="007E73CE" w:rsidRPr="00296D0C">
              <w:fldChar w:fldCharType="begin">
                <w:fldData xml:space="preserve">PEVuZE5vdGU+PENpdGU+PEF1dGhvcj5Tb25uZXZpbGxlPC9BdXRob3I+PFllYXI+MjAxNTwvWWVh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</w:fldData>
              </w:fldChar>
            </w:r>
            <w:r w:rsidR="008C43BF">
              <w:instrText xml:space="preserve"> ADDIN EN.CITE </w:instrText>
            </w:r>
            <w:r w:rsidR="008C43BF">
              <w:fldChar w:fldCharType="begin">
                <w:fldData xml:space="preserve">PEVuZE5vdGU+PENpdGU+PEF1dGhvcj5Tb25uZXZpbGxlPC9BdXRob3I+PFllYXI+MjAxNTwvWWVh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</w:fldData>
              </w:fldChar>
            </w:r>
            <w:r w:rsidR="008C43BF">
              <w:instrText xml:space="preserve"> ADDIN EN.CITE.DATA </w:instrText>
            </w:r>
            <w:r w:rsidR="008C43BF">
              <w:fldChar w:fldCharType="end"/>
            </w:r>
            <w:r w:rsidR="007E73CE" w:rsidRPr="00296D0C">
              <w:fldChar w:fldCharType="separate"/>
            </w:r>
            <w:r w:rsidR="008C43BF" w:rsidRPr="008C43BF">
              <w:rPr>
                <w:noProof/>
                <w:vertAlign w:val="superscript"/>
              </w:rPr>
              <w:t>70</w:t>
            </w:r>
            <w:r w:rsidR="007E73CE" w:rsidRPr="00296D0C">
              <w:fldChar w:fldCharType="end"/>
            </w:r>
            <w:r w:rsidRPr="00296D0C">
              <w:t>; Long et al., 2015</w:t>
            </w:r>
            <w:r w:rsidR="007E638C">
              <w:t xml:space="preserve"> </w:t>
            </w:r>
            <w:r w:rsidR="007E73CE" w:rsidRPr="00296D0C">
              <w:fldChar w:fldCharType="begin">
                <w:fldData xml:space="preserve">PEVuZE5vdGU+PENpdGU+PEF1dGhvcj5Mb25nPC9BdXRob3I+PFllYXI+MjAxNTwvWWVhcj48UmVj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</w:fldData>
              </w:fldChar>
            </w:r>
            <w:r w:rsidR="008C43BF">
              <w:instrText xml:space="preserve"> ADDIN EN.CITE </w:instrText>
            </w:r>
            <w:r w:rsidR="008C43BF">
              <w:fldChar w:fldCharType="begin">
                <w:fldData xml:space="preserve">PEVuZE5vdGU+PENpdGU+PEF1dGhvcj5Mb25nPC9BdXRob3I+PFllYXI+MjAxNTwvWWVhcj48UmVj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</w:fldData>
              </w:fldChar>
            </w:r>
            <w:r w:rsidR="008C43BF">
              <w:instrText xml:space="preserve"> ADDIN EN.CITE.DATA </w:instrText>
            </w:r>
            <w:r w:rsidR="008C43BF">
              <w:fldChar w:fldCharType="end"/>
            </w:r>
            <w:r w:rsidR="007E73CE" w:rsidRPr="00296D0C">
              <w:fldChar w:fldCharType="separate"/>
            </w:r>
            <w:r w:rsidR="008C43BF" w:rsidRPr="008C43BF">
              <w:rPr>
                <w:noProof/>
                <w:vertAlign w:val="superscript"/>
              </w:rPr>
              <w:t>69</w:t>
            </w:r>
            <w:r w:rsidR="007E73CE" w:rsidRPr="00296D0C">
              <w:fldChar w:fldCharType="end"/>
            </w:r>
            <w:r w:rsidRPr="00296D0C">
              <w:t>; Barrett et al., 2015</w:t>
            </w:r>
            <w:r w:rsidR="007E73CE" w:rsidRPr="00296D0C">
              <w:fldChar w:fldCharType="begin">
                <w:fldData xml:space="preserve">PEVuZE5vdGU+PENpdGU+PEF1dGhvcj5CYXJyZXR0PC9BdXRob3I+PFllYXI+MjAxNTwvWWVhcj48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</w:fldData>
              </w:fldChar>
            </w:r>
            <w:r w:rsidR="008C43BF">
              <w:instrText xml:space="preserve"> ADDIN EN.CITE </w:instrText>
            </w:r>
            <w:r w:rsidR="008C43BF">
              <w:fldChar w:fldCharType="begin">
                <w:fldData xml:space="preserve">PEVuZE5vdGU+PENpdGU+PEF1dGhvcj5CYXJyZXR0PC9BdXRob3I+PFllYXI+MjAxNTwvWWVhcj48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</w:fldData>
              </w:fldChar>
            </w:r>
            <w:r w:rsidR="008C43BF">
              <w:instrText xml:space="preserve"> ADDIN EN.CITE.DATA </w:instrText>
            </w:r>
            <w:r w:rsidR="008C43BF">
              <w:fldChar w:fldCharType="end"/>
            </w:r>
            <w:r w:rsidR="007E73CE" w:rsidRPr="00296D0C">
              <w:fldChar w:fldCharType="separate"/>
            </w:r>
            <w:r w:rsidR="008C43BF" w:rsidRPr="008C43BF">
              <w:rPr>
                <w:noProof/>
                <w:vertAlign w:val="superscript"/>
              </w:rPr>
              <w:t>67</w:t>
            </w:r>
            <w:r w:rsidR="007E73CE" w:rsidRPr="00296D0C">
              <w:fldChar w:fldCharType="end"/>
            </w:r>
            <w:r w:rsidRPr="00296D0C">
              <w:t>]]</w:t>
            </w:r>
          </w:p>
        </w:tc>
        <w:tc>
          <w:tcPr>
            <w:tcW w:w="1401" w:type="dxa"/>
          </w:tcPr>
          <w:p w14:paraId="1C5FAEED" w14:textId="77777777" w:rsidR="00861557" w:rsidRPr="00296D0C" w:rsidRDefault="00861557" w:rsidP="0077247E">
            <w:pPr>
              <w:spacing w:before="40" w:after="40"/>
            </w:pPr>
            <w:r w:rsidRPr="00296D0C">
              <w:t>USA</w:t>
            </w:r>
          </w:p>
        </w:tc>
        <w:tc>
          <w:tcPr>
            <w:tcW w:w="1557" w:type="dxa"/>
          </w:tcPr>
          <w:p w14:paraId="1DC6719F" w14:textId="77777777" w:rsidR="00861557" w:rsidRPr="00296D0C" w:rsidRDefault="00861557" w:rsidP="0077247E">
            <w:pPr>
              <w:spacing w:before="40" w:after="40"/>
            </w:pPr>
            <w:r w:rsidRPr="00296D0C">
              <w:t>SSB; TV AD; ECE; Active PE</w:t>
            </w:r>
          </w:p>
        </w:tc>
        <w:tc>
          <w:tcPr>
            <w:tcW w:w="1430" w:type="dxa"/>
          </w:tcPr>
          <w:p w14:paraId="6101AB17" w14:textId="77777777" w:rsidR="00861557" w:rsidRPr="00296D0C" w:rsidRDefault="00861557" w:rsidP="0077247E">
            <w:pPr>
              <w:spacing w:before="40" w:after="40"/>
            </w:pPr>
            <w:r w:rsidRPr="00296D0C">
              <w:t>Cost per BMI change; Costs; DALYs</w:t>
            </w:r>
            <w:r w:rsidRPr="00296D0C">
              <w:rPr>
                <w:vertAlign w:val="superscript"/>
              </w:rPr>
              <w:t>d</w:t>
            </w:r>
            <w:r w:rsidRPr="00296D0C">
              <w:t>; QALYs</w:t>
            </w:r>
            <w:r w:rsidRPr="00296D0C">
              <w:rPr>
                <w:vertAlign w:val="superscript"/>
              </w:rPr>
              <w:t>e</w:t>
            </w:r>
            <w:r w:rsidRPr="00296D0C">
              <w:t>; bet savings per dollar spent on an intervention</w:t>
            </w:r>
            <w:r w:rsidRPr="00296D0C">
              <w:rPr>
                <w:vertAlign w:val="superscript"/>
              </w:rPr>
              <w:t>f</w:t>
            </w:r>
          </w:p>
        </w:tc>
        <w:tc>
          <w:tcPr>
            <w:tcW w:w="1836" w:type="dxa"/>
            <w:shd w:val="clear" w:color="auto" w:fill="auto"/>
          </w:tcPr>
          <w:p w14:paraId="180D7264" w14:textId="30F41D20" w:rsidR="00861557" w:rsidRPr="00296D0C" w:rsidRDefault="00861557" w:rsidP="0077247E">
            <w:pPr>
              <w:spacing w:before="40" w:after="40"/>
            </w:pPr>
            <w:r w:rsidRPr="00296D0C">
              <w:t xml:space="preserve">Logic models link the intervention to </w:t>
            </w:r>
            <w:r w:rsidR="00C914C0" w:rsidRPr="00296D0C">
              <w:t>behaviour</w:t>
            </w:r>
            <w:r w:rsidRPr="00296D0C">
              <w:t xml:space="preserve"> change or change in energy levels and thus change in BMI</w:t>
            </w:r>
          </w:p>
        </w:tc>
        <w:tc>
          <w:tcPr>
            <w:tcW w:w="1709" w:type="dxa"/>
          </w:tcPr>
          <w:p w14:paraId="56EA226B" w14:textId="77777777" w:rsidR="00861557" w:rsidRPr="00296D0C" w:rsidRDefault="00861557" w:rsidP="0077247E">
            <w:pPr>
              <w:spacing w:before="40" w:after="40"/>
            </w:pPr>
            <w:r w:rsidRPr="00296D0C">
              <w:t>Excess healthcare costs associated with obesity among children and adults</w:t>
            </w:r>
          </w:p>
        </w:tc>
        <w:tc>
          <w:tcPr>
            <w:tcW w:w="1713" w:type="dxa"/>
          </w:tcPr>
          <w:p w14:paraId="6F3756A2" w14:textId="77777777" w:rsidR="00861557" w:rsidRPr="00296D0C" w:rsidRDefault="00861557" w:rsidP="0077247E">
            <w:pPr>
              <w:spacing w:before="40" w:after="40"/>
            </w:pPr>
            <w:r w:rsidRPr="00296D0C">
              <w:t>Evidence review; studies linking the intervention to behavioural change or shift in energy balance</w:t>
            </w:r>
          </w:p>
        </w:tc>
        <w:tc>
          <w:tcPr>
            <w:tcW w:w="1577" w:type="dxa"/>
          </w:tcPr>
          <w:p w14:paraId="3903770B" w14:textId="77777777" w:rsidR="00861557" w:rsidRPr="00296D0C" w:rsidRDefault="00861557" w:rsidP="0077247E">
            <w:pPr>
              <w:spacing w:before="40" w:after="40"/>
            </w:pPr>
            <w:r w:rsidRPr="00296D0C">
              <w:t>10 yrs or lifetime</w:t>
            </w:r>
          </w:p>
        </w:tc>
        <w:tc>
          <w:tcPr>
            <w:tcW w:w="1719" w:type="dxa"/>
          </w:tcPr>
          <w:p w14:paraId="54FAB3F1" w14:textId="77777777" w:rsidR="00861557" w:rsidRPr="00296D0C" w:rsidRDefault="00861557" w:rsidP="0077247E">
            <w:pPr>
              <w:spacing w:before="40" w:after="40"/>
            </w:pPr>
            <w:r w:rsidRPr="00296D0C">
              <w:t>Societal perspective</w:t>
            </w:r>
          </w:p>
        </w:tc>
      </w:tr>
    </w:tbl>
    <w:p w14:paraId="1CFD2EF5" w14:textId="5CD76CEE" w:rsidR="00861557" w:rsidRPr="00C914C0" w:rsidRDefault="00861557" w:rsidP="00861557">
      <w:pPr>
        <w:spacing w:line="240" w:lineRule="auto"/>
        <w:rPr>
          <w:sz w:val="20"/>
          <w:szCs w:val="20"/>
        </w:rPr>
      </w:pPr>
      <w:r w:rsidRPr="00C914C0">
        <w:rPr>
          <w:sz w:val="20"/>
          <w:szCs w:val="20"/>
        </w:rPr>
        <w:t>Key: Active PE = active physical education; APPLE = Alberta Project Promoting active Livi</w:t>
      </w:r>
      <w:r w:rsidR="00C914C0">
        <w:rPr>
          <w:sz w:val="20"/>
          <w:szCs w:val="20"/>
        </w:rPr>
        <w:t>n</w:t>
      </w:r>
      <w:r w:rsidRPr="00C914C0">
        <w:rPr>
          <w:sz w:val="20"/>
          <w:szCs w:val="20"/>
        </w:rPr>
        <w:t>g and healthy Eating (in Schools); CATCH = Coordinated Approach to Child Health; CG = clinical guidelines; CHD = coronary heart disease; CRC = colorectal cancer; DALYs = disability adjusted life years; ECE = early care and education policy change; EFS = Epidemiologic Follow</w:t>
      </w:r>
      <w:r w:rsidR="00C914C0">
        <w:rPr>
          <w:sz w:val="20"/>
          <w:szCs w:val="20"/>
        </w:rPr>
        <w:t xml:space="preserve"> </w:t>
      </w:r>
      <w:r w:rsidRPr="00C914C0">
        <w:rPr>
          <w:sz w:val="20"/>
          <w:szCs w:val="20"/>
        </w:rPr>
        <w:t>up Study; EU = Europe(an); IASO = International Association of Obesity; ICER = incremental cost</w:t>
      </w:r>
      <w:r w:rsidR="00576BE5">
        <w:rPr>
          <w:sz w:val="20"/>
          <w:szCs w:val="20"/>
        </w:rPr>
        <w:t xml:space="preserve"> </w:t>
      </w:r>
      <w:r w:rsidRPr="00C914C0">
        <w:rPr>
          <w:sz w:val="20"/>
          <w:szCs w:val="20"/>
        </w:rPr>
        <w:t xml:space="preserve">effectiveness ratio; NHANES = </w:t>
      </w:r>
      <w:r w:rsidR="006A20B7">
        <w:rPr>
          <w:sz w:val="20"/>
          <w:szCs w:val="20"/>
        </w:rPr>
        <w:t>N</w:t>
      </w:r>
      <w:r w:rsidRPr="00C914C0">
        <w:rPr>
          <w:sz w:val="20"/>
          <w:szCs w:val="20"/>
        </w:rPr>
        <w:t>ational Health and Nutrition Examination Survey; NICE = National Institute for Health and Care Excellence; OW = overweight; PE = Project Energise; QALYs = quality-adjusted life year(s); RoW = rest of world; SE = standard error; SSB = sugar-sweetened beverage; T2DM = type 2 diabetes mellitus; TV AD = television advertising; UK = United Kingdom; USA = United States of America; WS = weight status; yr(s) = year(s)</w:t>
      </w:r>
    </w:p>
    <w:p w14:paraId="37FF3F20" w14:textId="279DFFF3" w:rsidR="002F3D51" w:rsidRPr="00C914C0" w:rsidRDefault="00861557" w:rsidP="00861557">
      <w:pPr>
        <w:spacing w:line="240" w:lineRule="auto"/>
        <w:rPr>
          <w:sz w:val="20"/>
          <w:szCs w:val="20"/>
        </w:rPr>
      </w:pPr>
      <w:r w:rsidRPr="00C914C0">
        <w:rPr>
          <w:sz w:val="20"/>
          <w:szCs w:val="20"/>
        </w:rPr>
        <w:t xml:space="preserve">Notes: (a) The first year is a transitional state in which participants remain in for one cycle in this state after which they can move to a </w:t>
      </w:r>
      <w:r w:rsidR="009D1C7F" w:rsidRPr="00C914C0">
        <w:rPr>
          <w:sz w:val="20"/>
          <w:szCs w:val="20"/>
        </w:rPr>
        <w:t>follow up</w:t>
      </w:r>
      <w:r w:rsidRPr="00C914C0">
        <w:rPr>
          <w:sz w:val="20"/>
          <w:szCs w:val="20"/>
        </w:rPr>
        <w:t xml:space="preserve"> state or die; (b) Medical costs estimated were those associated with events of fatal and non-fatal CHD, hypertension, diabetes, symptomatic gallstones, and osteoarthritis expected to occur during a 25-year period in each weight cohort; (c) Obesity-related conditions included: chronic heart failure, type 2 diabetes mellitus; (d) DALY outcomes only reported for the SSB outcome as for the other three interventions participants will be aged &lt;30 years at </w:t>
      </w:r>
      <w:r w:rsidR="009D1C7F" w:rsidRPr="00C914C0">
        <w:rPr>
          <w:sz w:val="20"/>
          <w:szCs w:val="20"/>
        </w:rPr>
        <w:t>follow up</w:t>
      </w:r>
      <w:r w:rsidRPr="00C914C0">
        <w:rPr>
          <w:sz w:val="20"/>
          <w:szCs w:val="20"/>
        </w:rPr>
        <w:t xml:space="preserve"> and RRs of obesity-related diseases are 1.0 at age &lt;35 years; (e) QALY outcomes not reported for the ECE or Active PE interventions as few participants would be adults after 10 years; (f) Calculated for SSB, TV-AD, and ECE interventions only.</w:t>
      </w:r>
    </w:p>
    <w:bookmarkEnd w:id="503"/>
    <w:p w14:paraId="15746540" w14:textId="7BAE731F" w:rsidR="007E73CE" w:rsidRPr="00296D0C" w:rsidRDefault="007E73CE" w:rsidP="00861557">
      <w:pPr>
        <w:sectPr w:rsidR="007E73CE" w:rsidRPr="00296D0C" w:rsidSect="007E73CE">
          <w:pgSz w:w="16838" w:h="11906" w:orient="landscape"/>
          <w:pgMar w:top="1440" w:right="1440" w:bottom="1440" w:left="1440" w:header="720" w:footer="720" w:gutter="0"/>
          <w:cols w:space="720"/>
          <w:docGrid w:linePitch="360"/>
        </w:sectPr>
      </w:pPr>
    </w:p>
    <w:p w14:paraId="0A651F7C" w14:textId="3174A0F9" w:rsidR="00861557" w:rsidRPr="00296D0C" w:rsidRDefault="00861557" w:rsidP="006573CD">
      <w:pPr>
        <w:rPr>
          <w:rFonts w:cs="Arial"/>
          <w:b/>
        </w:rPr>
      </w:pPr>
      <w:r w:rsidRPr="00296D0C">
        <w:rPr>
          <w:rFonts w:cs="Arial"/>
          <w:b/>
        </w:rPr>
        <w:lastRenderedPageBreak/>
        <w:t>Summary of the literature identifi</w:t>
      </w:r>
      <w:r w:rsidR="00576BE5">
        <w:rPr>
          <w:rFonts w:cs="Arial"/>
          <w:b/>
        </w:rPr>
        <w:t xml:space="preserve">ed on the modelling of the cost </w:t>
      </w:r>
      <w:r w:rsidRPr="00296D0C">
        <w:rPr>
          <w:rFonts w:cs="Arial"/>
          <w:b/>
        </w:rPr>
        <w:t>effectiveness of interventions to address obesity in children</w:t>
      </w:r>
    </w:p>
    <w:p w14:paraId="64758D52" w14:textId="4F7ABC1A" w:rsidR="00861557" w:rsidRPr="00296D0C" w:rsidRDefault="00861557" w:rsidP="000D0114">
      <w:pPr>
        <w:spacing w:after="0" w:line="360" w:lineRule="auto"/>
        <w:rPr>
          <w:rFonts w:cs="Arial"/>
        </w:rPr>
      </w:pPr>
      <w:r w:rsidRPr="00296D0C">
        <w:rPr>
          <w:rFonts w:cs="Arial"/>
        </w:rPr>
        <w:t>Results from the literature review indicated that seven studies (reported in 11 publications) used model-based economic evaluations to assess the co</w:t>
      </w:r>
      <w:r w:rsidR="00576BE5">
        <w:rPr>
          <w:rFonts w:cs="Arial"/>
        </w:rPr>
        <w:t xml:space="preserve">st </w:t>
      </w:r>
      <w:r w:rsidRPr="00296D0C">
        <w:rPr>
          <w:rFonts w:cs="Arial"/>
        </w:rPr>
        <w:t>effectiveness of interventions aimed at reducing obesity in children. Most of the models identified in the review were from North America (Wang et al</w:t>
      </w:r>
      <w:r w:rsidR="00AA5D61" w:rsidRPr="00296D0C">
        <w:rPr>
          <w:rFonts w:cs="Arial"/>
        </w:rPr>
        <w:t>.</w:t>
      </w:r>
      <w:r w:rsidRPr="00296D0C">
        <w:rPr>
          <w:rFonts w:cs="Arial"/>
        </w:rPr>
        <w:t>, 2003</w:t>
      </w:r>
      <w:r w:rsidR="00A27F84" w:rsidRPr="00296D0C">
        <w:rPr>
          <w:rFonts w:cs="Arial"/>
        </w:rPr>
        <w:t xml:space="preserve"> </w:t>
      </w:r>
      <w:r w:rsidR="00A27F84" w:rsidRPr="00296D0C">
        <w:rPr>
          <w:rFonts w:cs="Arial"/>
        </w:rPr>
        <w:fldChar w:fldCharType="begin"/>
      </w:r>
      <w:r w:rsidR="008C43BF">
        <w:rPr>
          <w:rFonts w:cs="Arial"/>
        </w:rPr>
        <w:instrText xml:space="preserve"> ADDIN EN.CITE &lt;EndNote&gt;&lt;Cite&gt;&lt;Author&gt;Wang&lt;/Author&gt;&lt;Year&gt;2003&lt;/Year&gt;&lt;RecNum&gt;3261&lt;/RecNum&gt;&lt;DisplayText&gt;&lt;style face="superscript"&gt;61&lt;/style&gt;&lt;/DisplayText&gt;&lt;record&gt;&lt;rec-number&gt;3261&lt;/rec-number&gt;&lt;foreign-keys&gt;&lt;key app="EN" db-id="2ewa9rrvjsdsawep2vpx5x97eedzzvxx5rta" timestamp="0"&gt;3261&lt;/key&gt;&lt;/foreign-keys&gt;&lt;ref-type name="Journal Article"&gt;17&lt;/ref-type&gt;&lt;contributors&gt;&lt;authors&gt;&lt;author&gt;Wang, L. Y.&lt;/author&gt;&lt;author&gt;Yang, Q.&lt;/author&gt;&lt;author&gt;Lowry, R.&lt;/author&gt;&lt;author&gt;Wechsler, H.&lt;/author&gt;&lt;/authors&gt;&lt;/contributors&gt;&lt;auth-address&gt;Division of Adolescent and School Health, Centers for Disease Control and Prevention, 4770 Buford Highway, MS K-33, Chamblee, GA 30341, USA. lgw0@cdc.gov&lt;/auth-address&gt;&lt;titles&gt;&lt;title&gt;Economic analysis of a school-based obesity prevention program&lt;/title&gt;&lt;secondary-title&gt;Obes Res&lt;/secondary-title&gt;&lt;/titles&gt;&lt;periodical&gt;&lt;full-title&gt;Obesity Research&lt;/full-title&gt;&lt;abbr-1&gt;Obes. Res.&lt;/abbr-1&gt;&lt;abbr-2&gt;Obes Res&lt;/abbr-2&gt;&lt;/periodical&gt;&lt;pages&gt;1313-24&lt;/pages&gt;&lt;volume&gt;11&lt;/volume&gt;&lt;number&gt;11&lt;/number&gt;&lt;edition&gt;2003/11/25&lt;/edition&gt;&lt;keywords&gt;&lt;keyword&gt;Adolescent&lt;/keyword&gt;&lt;keyword&gt;Adult&lt;/keyword&gt;&lt;keyword&gt;Body Mass Index&lt;/keyword&gt;&lt;keyword&gt;Child&lt;/keyword&gt;&lt;keyword&gt;Cost of Illness&lt;/keyword&gt;&lt;keyword&gt;Cost-Benefit Analysis&lt;/keyword&gt;&lt;keyword&gt;Female&lt;/keyword&gt;&lt;keyword&gt;Health Care Costs&lt;/keyword&gt;&lt;keyword&gt;Humans&lt;/keyword&gt;&lt;keyword&gt;Male&lt;/keyword&gt;&lt;keyword&gt;Mathematics&lt;/keyword&gt;&lt;keyword&gt;Obesity/ economics/ prevention &amp;amp; control&lt;/keyword&gt;&lt;keyword&gt;Probability&lt;/keyword&gt;&lt;keyword&gt;School Health Services/ economics&lt;/keyword&gt;&lt;/keywords&gt;&lt;dates&gt;&lt;year&gt;2003&lt;/year&gt;&lt;pub-dates&gt;&lt;date&gt;Nov&lt;/date&gt;&lt;/pub-dates&gt;&lt;/dates&gt;&lt;isbn&gt;1071-7323 (Print)&amp;#xD;1071-7323 (Linking)&lt;/isbn&gt;&lt;accession-num&gt;14627751&lt;/accession-num&gt;&lt;urls&gt;&lt;/urls&gt;&lt;electronic-resource-num&gt;10.1038/oby.2003.178 [doi]&lt;/electronic-resource-num&gt;&lt;remote-database-provider&gt;Nlm&lt;/remote-database-provider&gt;&lt;language&gt;eng&lt;/language&gt;&lt;/record&gt;&lt;/Cite&gt;&lt;/EndNote&gt;</w:instrText>
      </w:r>
      <w:r w:rsidR="00A27F84" w:rsidRPr="00296D0C">
        <w:rPr>
          <w:rFonts w:cs="Arial"/>
        </w:rPr>
        <w:fldChar w:fldCharType="separate"/>
      </w:r>
      <w:r w:rsidR="008C43BF" w:rsidRPr="008C43BF">
        <w:rPr>
          <w:rFonts w:cs="Arial"/>
          <w:noProof/>
          <w:vertAlign w:val="superscript"/>
        </w:rPr>
        <w:t>61</w:t>
      </w:r>
      <w:r w:rsidR="00A27F84" w:rsidRPr="00296D0C">
        <w:rPr>
          <w:rFonts w:cs="Arial"/>
        </w:rPr>
        <w:fldChar w:fldCharType="end"/>
      </w:r>
      <w:r w:rsidRPr="00296D0C">
        <w:rPr>
          <w:rFonts w:cs="Arial"/>
        </w:rPr>
        <w:t>, Brown et al</w:t>
      </w:r>
      <w:r w:rsidR="00AA5D61" w:rsidRPr="00296D0C">
        <w:rPr>
          <w:rFonts w:cs="Arial"/>
        </w:rPr>
        <w:t>.</w:t>
      </w:r>
      <w:r w:rsidRPr="00296D0C">
        <w:rPr>
          <w:rFonts w:cs="Arial"/>
        </w:rPr>
        <w:t>, 2007</w:t>
      </w:r>
      <w:r w:rsidR="00A27F84" w:rsidRPr="00296D0C">
        <w:rPr>
          <w:rFonts w:cs="Arial"/>
        </w:rPr>
        <w:t xml:space="preserve"> </w:t>
      </w:r>
      <w:r w:rsidR="00A27F84" w:rsidRPr="00296D0C">
        <w:rPr>
          <w:rFonts w:cs="Arial"/>
        </w:rPr>
        <w:fldChar w:fldCharType="begin"/>
      </w:r>
      <w:r w:rsidR="008C43BF">
        <w:rPr>
          <w:rFonts w:cs="Arial"/>
        </w:rPr>
        <w:instrText xml:space="preserve"> ADDIN EN.CITE &lt;EndNote&gt;&lt;Cite&gt;&lt;Author&gt;Brown&lt;/Author&gt;&lt;Year&gt;2007&lt;/Year&gt;&lt;RecNum&gt;5732&lt;/RecNum&gt;&lt;DisplayText&gt;&lt;style face="superscript"&gt;62&lt;/style&gt;&lt;/DisplayText&gt;&lt;record&gt;&lt;rec-number&gt;5732&lt;/rec-number&gt;&lt;foreign-keys&gt;&lt;key app="EN" db-id="2ewa9rrvjsdsawep2vpx5x97eedzzvxx5rta" timestamp="1478679952"&gt;5732&lt;/key&gt;&lt;/foreign-keys&gt;&lt;ref-type name="Journal Article"&gt;17&lt;/ref-type&gt;&lt;contributors&gt;&lt;authors&gt;&lt;author&gt;Brown, H. S., 3rd&lt;/author&gt;&lt;author&gt;Perez, A.&lt;/author&gt;&lt;author&gt;Li, Y. P.&lt;/author&gt;&lt;author&gt;Hoelscher, D. M.&lt;/author&gt;&lt;author&gt;Kelder, S. H.&lt;/author&gt;&lt;author&gt;Rivera, R.&lt;/author&gt;&lt;/authors&gt;&lt;/contributors&gt;&lt;auth-address&gt;Division of Management, Policy and Community Health, University of Texas School of Public Health, Austin, TX 78701, USA. henry.s.brown@uth.tmc.edu&lt;/auth-address&gt;&lt;titles&gt;&lt;title&gt;The cost-effectiveness of a school-based overweight program&lt;/title&gt;&lt;secondary-title&gt;Int J Behav Nutr Phys Act&lt;/secondary-title&gt;&lt;/titles&gt;&lt;periodical&gt;&lt;full-title&gt;International Journal of Behavioural Nutrition and Physical Activity&lt;/full-title&gt;&lt;abbr-1&gt;Int J Behav Nutr Phys Act&lt;/abbr-1&gt;&lt;/periodical&gt;&lt;pages&gt;47&lt;/pages&gt;&lt;volume&gt;4&lt;/volume&gt;&lt;dates&gt;&lt;year&gt;2007&lt;/year&gt;&lt;/dates&gt;&lt;isbn&gt;1479-5868 (Electronic)&amp;#xD;1479-5868 (Linking)&lt;/isbn&gt;&lt;accession-num&gt;17908315&lt;/accession-num&gt;&lt;urls&gt;&lt;related-urls&gt;&lt;url&gt;http://www.ncbi.nlm.nih.gov/pubmed/17908315&lt;/url&gt;&lt;/related-urls&gt;&lt;/urls&gt;&lt;custom2&gt;2098777&lt;/custom2&gt;&lt;electronic-resource-num&gt;10.1186/1479-5868-4-47&lt;/electronic-resource-num&gt;&lt;/record&gt;&lt;/Cite&gt;&lt;/EndNote&gt;</w:instrText>
      </w:r>
      <w:r w:rsidR="00A27F84" w:rsidRPr="00296D0C">
        <w:rPr>
          <w:rFonts w:cs="Arial"/>
        </w:rPr>
        <w:fldChar w:fldCharType="separate"/>
      </w:r>
      <w:r w:rsidR="008C43BF" w:rsidRPr="008C43BF">
        <w:rPr>
          <w:rFonts w:cs="Arial"/>
          <w:noProof/>
          <w:vertAlign w:val="superscript"/>
        </w:rPr>
        <w:t>62</w:t>
      </w:r>
      <w:r w:rsidR="00A27F84" w:rsidRPr="00296D0C">
        <w:rPr>
          <w:rFonts w:cs="Arial"/>
        </w:rPr>
        <w:fldChar w:fldCharType="end"/>
      </w:r>
      <w:r w:rsidRPr="00296D0C">
        <w:rPr>
          <w:rFonts w:cs="Arial"/>
        </w:rPr>
        <w:t>, Tran et al</w:t>
      </w:r>
      <w:r w:rsidR="00AA5D61" w:rsidRPr="00296D0C">
        <w:rPr>
          <w:rFonts w:cs="Arial"/>
        </w:rPr>
        <w:t>.</w:t>
      </w:r>
      <w:r w:rsidRPr="00296D0C">
        <w:rPr>
          <w:rFonts w:cs="Arial"/>
        </w:rPr>
        <w:t>, 2014</w:t>
      </w:r>
      <w:r w:rsidR="00A27F84" w:rsidRPr="00296D0C">
        <w:rPr>
          <w:rFonts w:cs="Arial"/>
        </w:rPr>
        <w:t xml:space="preserve"> </w:t>
      </w:r>
      <w:r w:rsidR="00A27F84" w:rsidRPr="00296D0C">
        <w:rPr>
          <w:rFonts w:cs="Arial"/>
        </w:rPr>
        <w:fldChar w:fldCharType="begin"/>
      </w:r>
      <w:r w:rsidR="008C43BF">
        <w:rPr>
          <w:rFonts w:cs="Arial"/>
        </w:rPr>
        <w:instrText xml:space="preserve"> ADDIN EN.CITE &lt;EndNote&gt;&lt;Cite&gt;&lt;Author&gt;Tran&lt;/Author&gt;&lt;Year&gt;2014&lt;/Year&gt;&lt;RecNum&gt;5771&lt;/RecNum&gt;&lt;DisplayText&gt;&lt;style face="superscript"&gt;66&lt;/style&gt;&lt;/DisplayText&gt;&lt;record&gt;&lt;rec-number&gt;5771&lt;/rec-number&gt;&lt;foreign-keys&gt;&lt;key app="EN" db-id="2ewa9rrvjsdsawep2vpx5x97eedzzvxx5rta" timestamp="1478679952"&gt;5771&lt;/key&gt;&lt;/foreign-keys&gt;&lt;ref-type name="Journal Article"&gt;17&lt;/ref-type&gt;&lt;contributors&gt;&lt;authors&gt;&lt;author&gt;Tran, B. X.&lt;/author&gt;&lt;author&gt;Ohinmaa, A.&lt;/author&gt;&lt;author&gt;Kuhle, S.&lt;/author&gt;&lt;author&gt;Johnson, J. A.&lt;/author&gt;&lt;author&gt;Veugelers, P. J.&lt;/author&gt;&lt;/authors&gt;&lt;/contributors&gt;&lt;auth-address&gt;School of Public Health, University of Alberta, Edmonton, Alberta, Canada.&amp;#xD;Department of Pediatrics, Obstetrics &amp;amp; Gynecology, Dalhousie University, Halifax, NS, Canada.&lt;/auth-address&gt;&lt;titles&gt;&lt;title&gt;Life course impact of school-based promotion of healthy eating and active living to prevent childhood obesity&lt;/title&gt;&lt;secondary-title&gt;PLoS One&lt;/secondary-title&gt;&lt;/titles&gt;&lt;periodical&gt;&lt;full-title&gt;PloS One&lt;/full-title&gt;&lt;abbr-1&gt;PLoS One&lt;/abbr-1&gt;&lt;abbr-2&gt;PLoS One&lt;/abbr-2&gt;&lt;/periodical&gt;&lt;pages&gt;e102242&lt;/pages&gt;&lt;volume&gt;9&lt;/volume&gt;&lt;number&gt;7&lt;/number&gt;&lt;keywords&gt;&lt;keyword&gt;Child&lt;/keyword&gt;&lt;keyword&gt;*Eating&lt;/keyword&gt;&lt;keyword&gt;*Health Promotion&lt;/keyword&gt;&lt;keyword&gt;Humans&lt;/keyword&gt;&lt;keyword&gt;*Life Style&lt;/keyword&gt;&lt;keyword&gt;Obesity/*prevention &amp;amp; control&lt;/keyword&gt;&lt;keyword&gt;School Health Services/*organization &amp;amp; administration&lt;/keyword&gt;&lt;/keywords&gt;&lt;dates&gt;&lt;year&gt;2014&lt;/year&gt;&lt;/dates&gt;&lt;isbn&gt;1932-6203 (Electronic)&amp;#xD;1932-6203 (Linking)&lt;/isbn&gt;&lt;accession-num&gt;25025581&lt;/accession-num&gt;&lt;urls&gt;&lt;related-urls&gt;&lt;url&gt;http://www.ncbi.nlm.nih.gov/pubmed/25025581&lt;/url&gt;&lt;/related-urls&gt;&lt;/urls&gt;&lt;custom2&gt;4099303&lt;/custom2&gt;&lt;electronic-resource-num&gt;10.1371/journal.pone.0102242&lt;/electronic-resource-num&gt;&lt;/record&gt;&lt;/Cite&gt;&lt;/EndNote&gt;</w:instrText>
      </w:r>
      <w:r w:rsidR="00A27F84" w:rsidRPr="00296D0C">
        <w:rPr>
          <w:rFonts w:cs="Arial"/>
        </w:rPr>
        <w:fldChar w:fldCharType="separate"/>
      </w:r>
      <w:r w:rsidR="008C43BF" w:rsidRPr="008C43BF">
        <w:rPr>
          <w:rFonts w:cs="Arial"/>
          <w:noProof/>
          <w:vertAlign w:val="superscript"/>
        </w:rPr>
        <w:t>66</w:t>
      </w:r>
      <w:r w:rsidR="00A27F84" w:rsidRPr="00296D0C">
        <w:rPr>
          <w:rFonts w:cs="Arial"/>
        </w:rPr>
        <w:fldChar w:fldCharType="end"/>
      </w:r>
      <w:r w:rsidRPr="00296D0C">
        <w:rPr>
          <w:rFonts w:cs="Arial"/>
        </w:rPr>
        <w:t>, Barrett et al</w:t>
      </w:r>
      <w:r w:rsidR="00AA5D61" w:rsidRPr="00296D0C">
        <w:rPr>
          <w:rFonts w:cs="Arial"/>
        </w:rPr>
        <w:t>.</w:t>
      </w:r>
      <w:r w:rsidRPr="00296D0C">
        <w:rPr>
          <w:rFonts w:cs="Arial"/>
        </w:rPr>
        <w:t>, 2015</w:t>
      </w:r>
      <w:r w:rsidR="00A27F84" w:rsidRPr="00296D0C">
        <w:rPr>
          <w:rFonts w:cs="Arial"/>
        </w:rPr>
        <w:t xml:space="preserve"> </w:t>
      </w:r>
      <w:r w:rsidR="00A27F84" w:rsidRPr="00296D0C">
        <w:rPr>
          <w:rFonts w:cs="Arial"/>
        </w:rPr>
        <w:fldChar w:fldCharType="begin">
          <w:fldData xml:space="preserve">PEVuZE5vdGU+PENpdGU+PEF1dGhvcj5CYXJyZXR0PC9BdXRob3I+PFllYXI+MjAxNTwvWWVhcj48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</w:fldData>
        </w:fldChar>
      </w:r>
      <w:r w:rsidR="008C43BF">
        <w:rPr>
          <w:rFonts w:cs="Arial"/>
        </w:rPr>
        <w:instrText xml:space="preserve"> ADDIN EN.CITE </w:instrText>
      </w:r>
      <w:r w:rsidR="008C43BF">
        <w:rPr>
          <w:rFonts w:cs="Arial"/>
        </w:rPr>
        <w:fldChar w:fldCharType="begin">
          <w:fldData xml:space="preserve">PEVuZE5vdGU+PENpdGU+PEF1dGhvcj5CYXJyZXR0PC9BdXRob3I+PFllYXI+MjAxNTwvWWVhcj48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</w:fldData>
        </w:fldChar>
      </w:r>
      <w:r w:rsidR="008C43BF">
        <w:rPr>
          <w:rFonts w:cs="Arial"/>
        </w:rPr>
        <w:instrText xml:space="preserve"> ADDIN EN.CITE.DATA </w:instrText>
      </w:r>
      <w:r w:rsidR="008C43BF">
        <w:rPr>
          <w:rFonts w:cs="Arial"/>
        </w:rPr>
      </w:r>
      <w:r w:rsidR="008C43BF">
        <w:rPr>
          <w:rFonts w:cs="Arial"/>
        </w:rPr>
        <w:fldChar w:fldCharType="end"/>
      </w:r>
      <w:r w:rsidR="00A27F84" w:rsidRPr="00296D0C">
        <w:rPr>
          <w:rFonts w:cs="Arial"/>
        </w:rPr>
      </w:r>
      <w:r w:rsidR="00A27F84" w:rsidRPr="00296D0C">
        <w:rPr>
          <w:rFonts w:cs="Arial"/>
        </w:rPr>
        <w:fldChar w:fldCharType="separate"/>
      </w:r>
      <w:r w:rsidR="008C43BF" w:rsidRPr="008C43BF">
        <w:rPr>
          <w:rFonts w:cs="Arial"/>
          <w:noProof/>
          <w:vertAlign w:val="superscript"/>
        </w:rPr>
        <w:t>67</w:t>
      </w:r>
      <w:r w:rsidR="00A27F84" w:rsidRPr="00296D0C">
        <w:rPr>
          <w:rFonts w:cs="Arial"/>
        </w:rPr>
        <w:fldChar w:fldCharType="end"/>
      </w:r>
      <w:r w:rsidRPr="00296D0C">
        <w:rPr>
          <w:rFonts w:cs="Arial"/>
        </w:rPr>
        <w:t>, Gortmaker et al</w:t>
      </w:r>
      <w:r w:rsidR="00AA5D61" w:rsidRPr="00296D0C">
        <w:rPr>
          <w:rFonts w:cs="Arial"/>
        </w:rPr>
        <w:t>.</w:t>
      </w:r>
      <w:r w:rsidRPr="00296D0C">
        <w:rPr>
          <w:rFonts w:cs="Arial"/>
        </w:rPr>
        <w:t>, 2015</w:t>
      </w:r>
      <w:r w:rsidR="00A27F84" w:rsidRPr="00296D0C">
        <w:rPr>
          <w:rFonts w:cs="Arial"/>
        </w:rPr>
        <w:t xml:space="preserve"> </w:t>
      </w:r>
      <w:r w:rsidR="00A27F84" w:rsidRPr="00296D0C">
        <w:rPr>
          <w:rFonts w:cs="Arial"/>
        </w:rPr>
        <w:fldChar w:fldCharType="begin">
          <w:fldData xml:space="preserve">PEVuZE5vdGU+PENpdGU+PEF1dGhvcj5Hb3J0bWFrZXI8L0F1dGhvcj48WWVhcj4yMDE1PC9ZZWFy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</w:fldData>
        </w:fldChar>
      </w:r>
      <w:r w:rsidR="008C43BF">
        <w:rPr>
          <w:rFonts w:cs="Arial"/>
        </w:rPr>
        <w:instrText xml:space="preserve"> ADDIN EN.CITE </w:instrText>
      </w:r>
      <w:r w:rsidR="008C43BF">
        <w:rPr>
          <w:rFonts w:cs="Arial"/>
        </w:rPr>
        <w:fldChar w:fldCharType="begin">
          <w:fldData xml:space="preserve">PEVuZE5vdGU+PENpdGU+PEF1dGhvcj5Hb3J0bWFrZXI8L0F1dGhvcj48WWVhcj4yMDE1PC9ZZWFy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</w:fldData>
        </w:fldChar>
      </w:r>
      <w:r w:rsidR="008C43BF">
        <w:rPr>
          <w:rFonts w:cs="Arial"/>
        </w:rPr>
        <w:instrText xml:space="preserve"> ADDIN EN.CITE.DATA </w:instrText>
      </w:r>
      <w:r w:rsidR="008C43BF">
        <w:rPr>
          <w:rFonts w:cs="Arial"/>
        </w:rPr>
      </w:r>
      <w:r w:rsidR="008C43BF">
        <w:rPr>
          <w:rFonts w:cs="Arial"/>
        </w:rPr>
        <w:fldChar w:fldCharType="end"/>
      </w:r>
      <w:r w:rsidR="00A27F84" w:rsidRPr="00296D0C">
        <w:rPr>
          <w:rFonts w:cs="Arial"/>
        </w:rPr>
      </w:r>
      <w:r w:rsidR="00A27F84" w:rsidRPr="00296D0C">
        <w:rPr>
          <w:rFonts w:cs="Arial"/>
        </w:rPr>
        <w:fldChar w:fldCharType="separate"/>
      </w:r>
      <w:r w:rsidR="008C43BF" w:rsidRPr="008C43BF">
        <w:rPr>
          <w:rFonts w:cs="Arial"/>
          <w:noProof/>
          <w:vertAlign w:val="superscript"/>
        </w:rPr>
        <w:t>68</w:t>
      </w:r>
      <w:r w:rsidR="00A27F84" w:rsidRPr="00296D0C">
        <w:rPr>
          <w:rFonts w:cs="Arial"/>
        </w:rPr>
        <w:fldChar w:fldCharType="end"/>
      </w:r>
      <w:r w:rsidRPr="00296D0C">
        <w:rPr>
          <w:rFonts w:cs="Arial"/>
        </w:rPr>
        <w:t>, Long et al</w:t>
      </w:r>
      <w:r w:rsidR="00AA5D61" w:rsidRPr="00296D0C">
        <w:rPr>
          <w:rFonts w:cs="Arial"/>
        </w:rPr>
        <w:t>.</w:t>
      </w:r>
      <w:r w:rsidRPr="00296D0C">
        <w:rPr>
          <w:rFonts w:cs="Arial"/>
        </w:rPr>
        <w:t>, 2015</w:t>
      </w:r>
      <w:r w:rsidR="00A27F84" w:rsidRPr="00296D0C">
        <w:rPr>
          <w:rFonts w:cs="Arial"/>
        </w:rPr>
        <w:t xml:space="preserve"> </w:t>
      </w:r>
      <w:r w:rsidR="00A27F84" w:rsidRPr="00296D0C">
        <w:rPr>
          <w:rFonts w:cs="Arial"/>
        </w:rPr>
        <w:fldChar w:fldCharType="begin">
          <w:fldData xml:space="preserve">PEVuZE5vdGU+PENpdGU+PEF1dGhvcj5Mb25nPC9BdXRob3I+PFllYXI+MjAxNTwvWWVhcj48UmVj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</w:fldData>
        </w:fldChar>
      </w:r>
      <w:r w:rsidR="008C43BF">
        <w:rPr>
          <w:rFonts w:cs="Arial"/>
        </w:rPr>
        <w:instrText xml:space="preserve"> ADDIN EN.CITE </w:instrText>
      </w:r>
      <w:r w:rsidR="008C43BF">
        <w:rPr>
          <w:rFonts w:cs="Arial"/>
        </w:rPr>
        <w:fldChar w:fldCharType="begin">
          <w:fldData xml:space="preserve">PEVuZE5vdGU+PENpdGU+PEF1dGhvcj5Mb25nPC9BdXRob3I+PFllYXI+MjAxNTwvWWVhcj48UmVj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</w:fldData>
        </w:fldChar>
      </w:r>
      <w:r w:rsidR="008C43BF">
        <w:rPr>
          <w:rFonts w:cs="Arial"/>
        </w:rPr>
        <w:instrText xml:space="preserve"> ADDIN EN.CITE.DATA </w:instrText>
      </w:r>
      <w:r w:rsidR="008C43BF">
        <w:rPr>
          <w:rFonts w:cs="Arial"/>
        </w:rPr>
      </w:r>
      <w:r w:rsidR="008C43BF">
        <w:rPr>
          <w:rFonts w:cs="Arial"/>
        </w:rPr>
        <w:fldChar w:fldCharType="end"/>
      </w:r>
      <w:r w:rsidR="00A27F84" w:rsidRPr="00296D0C">
        <w:rPr>
          <w:rFonts w:cs="Arial"/>
        </w:rPr>
      </w:r>
      <w:r w:rsidR="00A27F84" w:rsidRPr="00296D0C">
        <w:rPr>
          <w:rFonts w:cs="Arial"/>
        </w:rPr>
        <w:fldChar w:fldCharType="separate"/>
      </w:r>
      <w:r w:rsidR="008C43BF" w:rsidRPr="008C43BF">
        <w:rPr>
          <w:rFonts w:cs="Arial"/>
          <w:noProof/>
          <w:vertAlign w:val="superscript"/>
        </w:rPr>
        <w:t>69</w:t>
      </w:r>
      <w:r w:rsidR="00A27F84" w:rsidRPr="00296D0C">
        <w:rPr>
          <w:rFonts w:cs="Arial"/>
        </w:rPr>
        <w:fldChar w:fldCharType="end"/>
      </w:r>
      <w:r w:rsidRPr="00296D0C">
        <w:rPr>
          <w:rFonts w:cs="Arial"/>
        </w:rPr>
        <w:t>, Sonneville et al</w:t>
      </w:r>
      <w:r w:rsidR="00AA5D61" w:rsidRPr="00296D0C">
        <w:rPr>
          <w:rFonts w:cs="Arial"/>
        </w:rPr>
        <w:t>.</w:t>
      </w:r>
      <w:r w:rsidRPr="00296D0C">
        <w:rPr>
          <w:rFonts w:cs="Arial"/>
        </w:rPr>
        <w:t>, 2015</w:t>
      </w:r>
      <w:r w:rsidR="00A27F84" w:rsidRPr="00296D0C">
        <w:rPr>
          <w:rFonts w:cs="Arial"/>
        </w:rPr>
        <w:t xml:space="preserve"> </w:t>
      </w:r>
      <w:r w:rsidR="00A27F84" w:rsidRPr="00296D0C">
        <w:rPr>
          <w:rFonts w:cs="Arial"/>
        </w:rPr>
        <w:fldChar w:fldCharType="begin">
          <w:fldData xml:space="preserve">PEVuZE5vdGU+PENpdGU+PEF1dGhvcj5Tb25uZXZpbGxlPC9BdXRob3I+PFllYXI+MjAxNTwvWWVh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</w:fldData>
        </w:fldChar>
      </w:r>
      <w:r w:rsidR="008C43BF">
        <w:rPr>
          <w:rFonts w:cs="Arial"/>
        </w:rPr>
        <w:instrText xml:space="preserve"> ADDIN EN.CITE </w:instrText>
      </w:r>
      <w:r w:rsidR="008C43BF">
        <w:rPr>
          <w:rFonts w:cs="Arial"/>
        </w:rPr>
        <w:fldChar w:fldCharType="begin">
          <w:fldData xml:space="preserve">PEVuZE5vdGU+PENpdGU+PEF1dGhvcj5Tb25uZXZpbGxlPC9BdXRob3I+PFllYXI+MjAxNTwvWWVh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</w:fldData>
        </w:fldChar>
      </w:r>
      <w:r w:rsidR="008C43BF">
        <w:rPr>
          <w:rFonts w:cs="Arial"/>
        </w:rPr>
        <w:instrText xml:space="preserve"> ADDIN EN.CITE.DATA </w:instrText>
      </w:r>
      <w:r w:rsidR="008C43BF">
        <w:rPr>
          <w:rFonts w:cs="Arial"/>
        </w:rPr>
      </w:r>
      <w:r w:rsidR="008C43BF">
        <w:rPr>
          <w:rFonts w:cs="Arial"/>
        </w:rPr>
        <w:fldChar w:fldCharType="end"/>
      </w:r>
      <w:r w:rsidR="00A27F84" w:rsidRPr="00296D0C">
        <w:rPr>
          <w:rFonts w:cs="Arial"/>
        </w:rPr>
      </w:r>
      <w:r w:rsidR="00A27F84" w:rsidRPr="00296D0C">
        <w:rPr>
          <w:rFonts w:cs="Arial"/>
        </w:rPr>
        <w:fldChar w:fldCharType="separate"/>
      </w:r>
      <w:r w:rsidR="008C43BF" w:rsidRPr="008C43BF">
        <w:rPr>
          <w:rFonts w:cs="Arial"/>
          <w:noProof/>
          <w:vertAlign w:val="superscript"/>
        </w:rPr>
        <w:t>70</w:t>
      </w:r>
      <w:r w:rsidR="00A27F84" w:rsidRPr="00296D0C">
        <w:rPr>
          <w:rFonts w:cs="Arial"/>
        </w:rPr>
        <w:fldChar w:fldCharType="end"/>
      </w:r>
      <w:r w:rsidRPr="00296D0C">
        <w:rPr>
          <w:rFonts w:cs="Arial"/>
        </w:rPr>
        <w:t>, Wright et al</w:t>
      </w:r>
      <w:r w:rsidR="00AA5D61" w:rsidRPr="00296D0C">
        <w:rPr>
          <w:rFonts w:cs="Arial"/>
        </w:rPr>
        <w:t>.</w:t>
      </w:r>
      <w:r w:rsidRPr="00296D0C">
        <w:rPr>
          <w:rFonts w:cs="Arial"/>
        </w:rPr>
        <w:t>, 2015</w:t>
      </w:r>
      <w:r w:rsidR="00A27F84" w:rsidRPr="00296D0C">
        <w:rPr>
          <w:rFonts w:cs="Arial"/>
        </w:rPr>
        <w:t xml:space="preserve"> </w:t>
      </w:r>
      <w:r w:rsidR="00A27F84" w:rsidRPr="00296D0C">
        <w:rPr>
          <w:rFonts w:cs="Arial"/>
        </w:rPr>
        <w:fldChar w:fldCharType="begin">
          <w:fldData xml:space="preserve">PEVuZE5vdGU+PENpdGU+PEF1dGhvcj5XcmlnaHQ8L0F1dGhvcj48WWVhcj4yMDE1PC9ZZWFyPjxS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</w:fldData>
        </w:fldChar>
      </w:r>
      <w:r w:rsidR="008C43BF">
        <w:rPr>
          <w:rFonts w:cs="Arial"/>
        </w:rPr>
        <w:instrText xml:space="preserve"> ADDIN EN.CITE </w:instrText>
      </w:r>
      <w:r w:rsidR="008C43BF">
        <w:rPr>
          <w:rFonts w:cs="Arial"/>
        </w:rPr>
        <w:fldChar w:fldCharType="begin">
          <w:fldData xml:space="preserve">PEVuZE5vdGU+PENpdGU+PEF1dGhvcj5XcmlnaHQ8L0F1dGhvcj48WWVhcj4yMDE1PC9ZZWFyPjxS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</w:fldData>
        </w:fldChar>
      </w:r>
      <w:r w:rsidR="008C43BF">
        <w:rPr>
          <w:rFonts w:cs="Arial"/>
        </w:rPr>
        <w:instrText xml:space="preserve"> ADDIN EN.CITE.DATA </w:instrText>
      </w:r>
      <w:r w:rsidR="008C43BF">
        <w:rPr>
          <w:rFonts w:cs="Arial"/>
        </w:rPr>
      </w:r>
      <w:r w:rsidR="008C43BF">
        <w:rPr>
          <w:rFonts w:cs="Arial"/>
        </w:rPr>
        <w:fldChar w:fldCharType="end"/>
      </w:r>
      <w:r w:rsidR="00A27F84" w:rsidRPr="00296D0C">
        <w:rPr>
          <w:rFonts w:cs="Arial"/>
        </w:rPr>
      </w:r>
      <w:r w:rsidR="00A27F84" w:rsidRPr="00296D0C">
        <w:rPr>
          <w:rFonts w:cs="Arial"/>
        </w:rPr>
        <w:fldChar w:fldCharType="separate"/>
      </w:r>
      <w:r w:rsidR="008C43BF" w:rsidRPr="008C43BF">
        <w:rPr>
          <w:rFonts w:cs="Arial"/>
          <w:noProof/>
          <w:vertAlign w:val="superscript"/>
        </w:rPr>
        <w:t>72</w:t>
      </w:r>
      <w:r w:rsidR="00A27F84" w:rsidRPr="00296D0C">
        <w:rPr>
          <w:rFonts w:cs="Arial"/>
        </w:rPr>
        <w:fldChar w:fldCharType="end"/>
      </w:r>
      <w:r w:rsidRPr="00296D0C">
        <w:rPr>
          <w:rFonts w:cs="Arial"/>
        </w:rPr>
        <w:t>), with two European studies (Hollingworth</w:t>
      </w:r>
      <w:r w:rsidR="005126C2" w:rsidRPr="00296D0C">
        <w:rPr>
          <w:rFonts w:cs="Arial"/>
        </w:rPr>
        <w:t xml:space="preserve"> et al</w:t>
      </w:r>
      <w:r w:rsidR="00AA5D61" w:rsidRPr="00296D0C">
        <w:rPr>
          <w:rFonts w:cs="Arial"/>
        </w:rPr>
        <w:t>.</w:t>
      </w:r>
      <w:r w:rsidR="005126C2" w:rsidRPr="00296D0C">
        <w:rPr>
          <w:rFonts w:cs="Arial"/>
        </w:rPr>
        <w:t>, 2012</w:t>
      </w:r>
      <w:r w:rsidR="00A27F84" w:rsidRPr="00296D0C">
        <w:rPr>
          <w:rFonts w:cs="Arial"/>
        </w:rPr>
        <w:t xml:space="preserve"> </w:t>
      </w:r>
      <w:r w:rsidR="00A27F84" w:rsidRPr="00296D0C">
        <w:rPr>
          <w:rFonts w:cs="Arial"/>
        </w:rPr>
        <w:fldChar w:fldCharType="begin"/>
      </w:r>
      <w:r w:rsidR="008C43BF">
        <w:rPr>
          <w:rFonts w:cs="Arial"/>
        </w:rPr>
        <w:instrText xml:space="preserve"> ADDIN EN.CITE &lt;EndNote&gt;&lt;Cite&gt;&lt;Author&gt;Hollingworth&lt;/Author&gt;&lt;Year&gt;2012&lt;/Year&gt;&lt;RecNum&gt;5746&lt;/RecNum&gt;&lt;DisplayText&gt;&lt;style face="superscript"&gt;63&lt;/style&gt;&lt;/DisplayText&gt;&lt;record&gt;&lt;rec-number&gt;5746&lt;/rec-number&gt;&lt;foreign-keys&gt;&lt;key app="EN" db-id="2ewa9rrvjsdsawep2vpx5x97eedzzvxx5rta" timestamp="1478679952"&gt;5746&lt;/key&gt;&lt;/foreign-keys&gt;&lt;ref-type name="Journal Article"&gt;17&lt;/ref-type&gt;&lt;contributors&gt;&lt;authors&gt;&lt;author&gt;Hollingworth, W.&lt;/author&gt;&lt;author&gt;Hawkins, J.&lt;/author&gt;&lt;author&gt;Lawlor, D. A.&lt;/author&gt;&lt;author&gt;Brown, M.&lt;/author&gt;&lt;author&gt;Marsh, T.&lt;/author&gt;&lt;author&gt;Kipping, R. R.&lt;/author&gt;&lt;/authors&gt;&lt;/contributors&gt;&lt;auth-address&gt;School of Social and Community Medicine, University of Bristol, Bristol, UK. william.hollingworth@bristol.ac.uk&lt;/auth-address&gt;&lt;titles&gt;&lt;title&gt;Economic evaluation of lifestyle interventions to treat overweight or obesity in children&lt;/title&gt;&lt;secondary-title&gt;Int J Obes (Lond)&lt;/secondary-title&gt;&lt;/titles&gt;&lt;periodical&gt;&lt;full-title&gt;International Journal of Obesity (2005)&lt;/full-title&gt;&lt;abbr-1&gt;Int. J. Obes. (Lond.)&lt;/abbr-1&gt;&lt;abbr-2&gt;Int J Obes (Lond)&lt;/abbr-2&gt;&lt;/periodical&gt;&lt;pages&gt;559-66&lt;/pages&gt;&lt;volume&gt;36&lt;/volume&gt;&lt;number&gt;4&lt;/number&gt;&lt;keywords&gt;&lt;keyword&gt;Body Mass Index&lt;/keyword&gt;&lt;keyword&gt;Child&lt;/keyword&gt;&lt;keyword&gt;Child, Preschool&lt;/keyword&gt;&lt;keyword&gt;Cost-Benefit Analysis&lt;/keyword&gt;&lt;keyword&gt;Female&lt;/keyword&gt;&lt;keyword&gt;Great Britain/epidemiology&lt;/keyword&gt;&lt;keyword&gt;Humans&lt;/keyword&gt;&lt;keyword&gt;Male&lt;/keyword&gt;&lt;keyword&gt;Models, Economic&lt;/keyword&gt;&lt;keyword&gt;National Health Programs&lt;/keyword&gt;&lt;keyword&gt;Obesity/economics&lt;/keyword&gt;&lt;keyword&gt;Overweight/*economics/epidemiology/prevention &amp;amp; control/*therapy&lt;/keyword&gt;&lt;keyword&gt;Randomized Controlled Trials as Topic&lt;/keyword&gt;&lt;keyword&gt;*Risk Reduction Behavior&lt;/keyword&gt;&lt;/keywords&gt;&lt;dates&gt;&lt;year&gt;2012&lt;/year&gt;&lt;pub-dates&gt;&lt;date&gt;Apr&lt;/date&gt;&lt;/pub-dates&gt;&lt;/dates&gt;&lt;isbn&gt;1476-5497 (Electronic)&amp;#xD;0307-0565 (Linking)&lt;/isbn&gt;&lt;accession-num&gt;22249222&lt;/accession-num&gt;&lt;urls&gt;&lt;related-urls&gt;&lt;url&gt;http://www.ncbi.nlm.nih.gov/pubmed/22249222&lt;/url&gt;&lt;/related-urls&gt;&lt;/urls&gt;&lt;electronic-resource-num&gt;10.1038/ijo.2011.272&lt;/electronic-resource-num&gt;&lt;/record&gt;&lt;/Cite&gt;&lt;/EndNote&gt;</w:instrText>
      </w:r>
      <w:r w:rsidR="00A27F84" w:rsidRPr="00296D0C">
        <w:rPr>
          <w:rFonts w:cs="Arial"/>
        </w:rPr>
        <w:fldChar w:fldCharType="separate"/>
      </w:r>
      <w:r w:rsidR="008C43BF" w:rsidRPr="008C43BF">
        <w:rPr>
          <w:rFonts w:cs="Arial"/>
          <w:noProof/>
          <w:vertAlign w:val="superscript"/>
        </w:rPr>
        <w:t>63</w:t>
      </w:r>
      <w:r w:rsidR="00A27F84" w:rsidRPr="00296D0C">
        <w:rPr>
          <w:rFonts w:cs="Arial"/>
        </w:rPr>
        <w:fldChar w:fldCharType="end"/>
      </w:r>
      <w:r w:rsidR="005126C2" w:rsidRPr="00296D0C">
        <w:rPr>
          <w:rFonts w:cs="Arial"/>
        </w:rPr>
        <w:t>, Pil et al</w:t>
      </w:r>
      <w:r w:rsidR="00AA5D61" w:rsidRPr="00296D0C">
        <w:rPr>
          <w:rFonts w:cs="Arial"/>
        </w:rPr>
        <w:t>.</w:t>
      </w:r>
      <w:r w:rsidR="005126C2" w:rsidRPr="00296D0C">
        <w:rPr>
          <w:rFonts w:cs="Arial"/>
        </w:rPr>
        <w:t>, 2014</w:t>
      </w:r>
      <w:r w:rsidR="00A27F84" w:rsidRPr="00296D0C">
        <w:rPr>
          <w:rFonts w:cs="Arial"/>
        </w:rPr>
        <w:t xml:space="preserve"> </w:t>
      </w:r>
      <w:r w:rsidR="00A27F84" w:rsidRPr="00296D0C">
        <w:rPr>
          <w:rFonts w:cs="Arial"/>
        </w:rPr>
        <w:fldChar w:fldCharType="begin">
          <w:fldData xml:space="preserve">PEVuZE5vdGU+PENpdGU+PEF1dGhvcj5QaWw8L0F1dGhvcj48WWVhcj4yMDE0PC9ZZWFyPjxSZWNO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=
</w:fldData>
        </w:fldChar>
      </w:r>
      <w:r w:rsidR="008C43BF">
        <w:rPr>
          <w:rFonts w:cs="Arial"/>
        </w:rPr>
        <w:instrText xml:space="preserve"> ADDIN EN.CITE </w:instrText>
      </w:r>
      <w:r w:rsidR="008C43BF">
        <w:rPr>
          <w:rFonts w:cs="Arial"/>
        </w:rPr>
        <w:fldChar w:fldCharType="begin">
          <w:fldData xml:space="preserve">PEVuZE5vdGU+PENpdGU+PEF1dGhvcj5QaWw8L0F1dGhvcj48WWVhcj4yMDE0PC9ZZWFyPjxSZWNO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=
</w:fldData>
        </w:fldChar>
      </w:r>
      <w:r w:rsidR="008C43BF">
        <w:rPr>
          <w:rFonts w:cs="Arial"/>
        </w:rPr>
        <w:instrText xml:space="preserve"> ADDIN EN.CITE.DATA </w:instrText>
      </w:r>
      <w:r w:rsidR="008C43BF">
        <w:rPr>
          <w:rFonts w:cs="Arial"/>
        </w:rPr>
      </w:r>
      <w:r w:rsidR="008C43BF">
        <w:rPr>
          <w:rFonts w:cs="Arial"/>
        </w:rPr>
        <w:fldChar w:fldCharType="end"/>
      </w:r>
      <w:r w:rsidR="00A27F84" w:rsidRPr="00296D0C">
        <w:rPr>
          <w:rFonts w:cs="Arial"/>
        </w:rPr>
      </w:r>
      <w:r w:rsidR="00A27F84" w:rsidRPr="00296D0C">
        <w:rPr>
          <w:rFonts w:cs="Arial"/>
        </w:rPr>
        <w:fldChar w:fldCharType="separate"/>
      </w:r>
      <w:r w:rsidR="008C43BF" w:rsidRPr="008C43BF">
        <w:rPr>
          <w:rFonts w:cs="Arial"/>
          <w:noProof/>
          <w:vertAlign w:val="superscript"/>
        </w:rPr>
        <w:t>64</w:t>
      </w:r>
      <w:r w:rsidR="00A27F84" w:rsidRPr="00296D0C">
        <w:rPr>
          <w:rFonts w:cs="Arial"/>
        </w:rPr>
        <w:fldChar w:fldCharType="end"/>
      </w:r>
      <w:r w:rsidR="005126C2" w:rsidRPr="00296D0C">
        <w:rPr>
          <w:rFonts w:cs="Arial"/>
        </w:rPr>
        <w:t xml:space="preserve">) </w:t>
      </w:r>
      <w:r w:rsidRPr="00296D0C">
        <w:rPr>
          <w:rFonts w:cs="Arial"/>
        </w:rPr>
        <w:t xml:space="preserve"> (one being a multisite study across six countries in Europe (Pil et al</w:t>
      </w:r>
      <w:r w:rsidR="00AA5D61" w:rsidRPr="00296D0C">
        <w:rPr>
          <w:rFonts w:cs="Arial"/>
        </w:rPr>
        <w:t>.</w:t>
      </w:r>
      <w:r w:rsidRPr="00296D0C">
        <w:rPr>
          <w:rFonts w:cs="Arial"/>
        </w:rPr>
        <w:t>, 2014</w:t>
      </w:r>
      <w:r w:rsidR="00A27F84" w:rsidRPr="00296D0C">
        <w:rPr>
          <w:rFonts w:cs="Arial"/>
        </w:rPr>
        <w:t xml:space="preserve"> </w:t>
      </w:r>
      <w:r w:rsidR="00A27F84" w:rsidRPr="00296D0C">
        <w:rPr>
          <w:rFonts w:cs="Arial"/>
        </w:rPr>
        <w:fldChar w:fldCharType="begin">
          <w:fldData xml:space="preserve">PEVuZE5vdGU+PENpdGU+PEF1dGhvcj5QaWw8L0F1dGhvcj48WWVhcj4yMDE0PC9ZZWFyPjxSZWNO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=
</w:fldData>
        </w:fldChar>
      </w:r>
      <w:r w:rsidR="008C43BF">
        <w:rPr>
          <w:rFonts w:cs="Arial"/>
        </w:rPr>
        <w:instrText xml:space="preserve"> ADDIN EN.CITE </w:instrText>
      </w:r>
      <w:r w:rsidR="008C43BF">
        <w:rPr>
          <w:rFonts w:cs="Arial"/>
        </w:rPr>
        <w:fldChar w:fldCharType="begin">
          <w:fldData xml:space="preserve">PEVuZE5vdGU+PENpdGU+PEF1dGhvcj5QaWw8L0F1dGhvcj48WWVhcj4yMDE0PC9ZZWFyPjxSZWNO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=
</w:fldData>
        </w:fldChar>
      </w:r>
      <w:r w:rsidR="008C43BF">
        <w:rPr>
          <w:rFonts w:cs="Arial"/>
        </w:rPr>
        <w:instrText xml:space="preserve"> ADDIN EN.CITE.DATA </w:instrText>
      </w:r>
      <w:r w:rsidR="008C43BF">
        <w:rPr>
          <w:rFonts w:cs="Arial"/>
        </w:rPr>
      </w:r>
      <w:r w:rsidR="008C43BF">
        <w:rPr>
          <w:rFonts w:cs="Arial"/>
        </w:rPr>
        <w:fldChar w:fldCharType="end"/>
      </w:r>
      <w:r w:rsidR="00A27F84" w:rsidRPr="00296D0C">
        <w:rPr>
          <w:rFonts w:cs="Arial"/>
        </w:rPr>
      </w:r>
      <w:r w:rsidR="00A27F84" w:rsidRPr="00296D0C">
        <w:rPr>
          <w:rFonts w:cs="Arial"/>
        </w:rPr>
        <w:fldChar w:fldCharType="separate"/>
      </w:r>
      <w:r w:rsidR="008C43BF" w:rsidRPr="008C43BF">
        <w:rPr>
          <w:rFonts w:cs="Arial"/>
          <w:noProof/>
          <w:vertAlign w:val="superscript"/>
        </w:rPr>
        <w:t>64</w:t>
      </w:r>
      <w:r w:rsidR="00A27F84" w:rsidRPr="00296D0C">
        <w:rPr>
          <w:rFonts w:cs="Arial"/>
        </w:rPr>
        <w:fldChar w:fldCharType="end"/>
      </w:r>
      <w:r w:rsidRPr="00296D0C">
        <w:rPr>
          <w:rFonts w:cs="Arial"/>
        </w:rPr>
        <w:t>), and one from New Zealand (Rush et al</w:t>
      </w:r>
      <w:r w:rsidR="00AA5D61" w:rsidRPr="00296D0C">
        <w:rPr>
          <w:rFonts w:cs="Arial"/>
        </w:rPr>
        <w:t>.</w:t>
      </w:r>
      <w:r w:rsidRPr="00296D0C">
        <w:rPr>
          <w:rFonts w:cs="Arial"/>
        </w:rPr>
        <w:t>, 2014</w:t>
      </w:r>
      <w:r w:rsidR="00A27F84" w:rsidRPr="00296D0C">
        <w:rPr>
          <w:rFonts w:cs="Arial"/>
        </w:rPr>
        <w:t xml:space="preserve"> </w:t>
      </w:r>
      <w:r w:rsidR="00A27F84" w:rsidRPr="00296D0C">
        <w:rPr>
          <w:rFonts w:cs="Arial"/>
        </w:rPr>
        <w:fldChar w:fldCharType="begin">
          <w:fldData xml:space="preserve">PEVuZE5vdGU+PENpdGU+PEF1dGhvcj5SdXNoPC9BdXRob3I+PFllYXI+MjAxNDwvWWVhcj48UmVj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=
</w:fldData>
        </w:fldChar>
      </w:r>
      <w:r w:rsidR="008C43BF">
        <w:rPr>
          <w:rFonts w:cs="Arial"/>
        </w:rPr>
        <w:instrText xml:space="preserve"> ADDIN EN.CITE </w:instrText>
      </w:r>
      <w:r w:rsidR="008C43BF">
        <w:rPr>
          <w:rFonts w:cs="Arial"/>
        </w:rPr>
        <w:fldChar w:fldCharType="begin">
          <w:fldData xml:space="preserve">PEVuZE5vdGU+PENpdGU+PEF1dGhvcj5SdXNoPC9BdXRob3I+PFllYXI+MjAxNDwvWWVhcj48UmVj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=
</w:fldData>
        </w:fldChar>
      </w:r>
      <w:r w:rsidR="008C43BF">
        <w:rPr>
          <w:rFonts w:cs="Arial"/>
        </w:rPr>
        <w:instrText xml:space="preserve"> ADDIN EN.CITE.DATA </w:instrText>
      </w:r>
      <w:r w:rsidR="008C43BF">
        <w:rPr>
          <w:rFonts w:cs="Arial"/>
        </w:rPr>
      </w:r>
      <w:r w:rsidR="008C43BF">
        <w:rPr>
          <w:rFonts w:cs="Arial"/>
        </w:rPr>
        <w:fldChar w:fldCharType="end"/>
      </w:r>
      <w:r w:rsidR="00A27F84" w:rsidRPr="00296D0C">
        <w:rPr>
          <w:rFonts w:cs="Arial"/>
        </w:rPr>
      </w:r>
      <w:r w:rsidR="00A27F84" w:rsidRPr="00296D0C">
        <w:rPr>
          <w:rFonts w:cs="Arial"/>
        </w:rPr>
        <w:fldChar w:fldCharType="separate"/>
      </w:r>
      <w:r w:rsidR="008C43BF" w:rsidRPr="008C43BF">
        <w:rPr>
          <w:rFonts w:cs="Arial"/>
          <w:noProof/>
          <w:vertAlign w:val="superscript"/>
        </w:rPr>
        <w:t>65</w:t>
      </w:r>
      <w:r w:rsidR="00A27F84" w:rsidRPr="00296D0C">
        <w:rPr>
          <w:rFonts w:cs="Arial"/>
        </w:rPr>
        <w:fldChar w:fldCharType="end"/>
      </w:r>
      <w:r w:rsidRPr="00296D0C">
        <w:rPr>
          <w:rFonts w:cs="Arial"/>
        </w:rPr>
        <w:t xml:space="preserve">).  The studies varied in terms of the modelling approach used, the range of health states (including weight-related events) included in the models, techniques used to predict weight status in adulthood as a function of childhood weight status, and the outcomes included in the models.  Nine of the studies were published </w:t>
      </w:r>
      <w:r w:rsidR="005126C2" w:rsidRPr="00296D0C">
        <w:rPr>
          <w:rFonts w:cs="Arial"/>
        </w:rPr>
        <w:t xml:space="preserve">in </w:t>
      </w:r>
      <w:r w:rsidRPr="00296D0C">
        <w:rPr>
          <w:rFonts w:cs="Arial"/>
        </w:rPr>
        <w:t xml:space="preserve">2012 </w:t>
      </w:r>
      <w:r w:rsidR="005126C2" w:rsidRPr="00296D0C">
        <w:rPr>
          <w:rFonts w:cs="Arial"/>
        </w:rPr>
        <w:t xml:space="preserve">or </w:t>
      </w:r>
      <w:r w:rsidRPr="00296D0C">
        <w:rPr>
          <w:rFonts w:cs="Arial"/>
        </w:rPr>
        <w:t>onwards (Hollingworth et al</w:t>
      </w:r>
      <w:r w:rsidR="00AA5D61" w:rsidRPr="00296D0C">
        <w:rPr>
          <w:rFonts w:cs="Arial"/>
        </w:rPr>
        <w:t>.</w:t>
      </w:r>
      <w:r w:rsidRPr="00296D0C">
        <w:rPr>
          <w:rFonts w:cs="Arial"/>
        </w:rPr>
        <w:t>, 2012</w:t>
      </w:r>
      <w:r w:rsidR="00A27F84" w:rsidRPr="00296D0C">
        <w:rPr>
          <w:rFonts w:cs="Arial"/>
        </w:rPr>
        <w:t xml:space="preserve"> </w:t>
      </w:r>
      <w:r w:rsidR="00A27F84" w:rsidRPr="00296D0C">
        <w:rPr>
          <w:rFonts w:cs="Arial"/>
        </w:rPr>
        <w:fldChar w:fldCharType="begin"/>
      </w:r>
      <w:r w:rsidR="008C43BF">
        <w:rPr>
          <w:rFonts w:cs="Arial"/>
        </w:rPr>
        <w:instrText xml:space="preserve"> ADDIN EN.CITE &lt;EndNote&gt;&lt;Cite&gt;&lt;Author&gt;Hollingworth&lt;/Author&gt;&lt;Year&gt;2012&lt;/Year&gt;&lt;RecNum&gt;5746&lt;/RecNum&gt;&lt;DisplayText&gt;&lt;style face="superscript"&gt;63&lt;/style&gt;&lt;/DisplayText&gt;&lt;record&gt;&lt;rec-number&gt;5746&lt;/rec-number&gt;&lt;foreign-keys&gt;&lt;key app="EN" db-id="2ewa9rrvjsdsawep2vpx5x97eedzzvxx5rta" timestamp="1478679952"&gt;5746&lt;/key&gt;&lt;/foreign-keys&gt;&lt;ref-type name="Journal Article"&gt;17&lt;/ref-type&gt;&lt;contributors&gt;&lt;authors&gt;&lt;author&gt;Hollingworth, W.&lt;/author&gt;&lt;author&gt;Hawkins, J.&lt;/author&gt;&lt;author&gt;Lawlor, D. A.&lt;/author&gt;&lt;author&gt;Brown, M.&lt;/author&gt;&lt;author&gt;Marsh, T.&lt;/author&gt;&lt;author&gt;Kipping, R. R.&lt;/author&gt;&lt;/authors&gt;&lt;/contributors&gt;&lt;auth-address&gt;School of Social and Community Medicine, University of Bristol, Bristol, UK. william.hollingworth@bristol.ac.uk&lt;/auth-address&gt;&lt;titles&gt;&lt;title&gt;Economic evaluation of lifestyle interventions to treat overweight or obesity in children&lt;/title&gt;&lt;secondary-title&gt;Int J Obes (Lond)&lt;/secondary-title&gt;&lt;/titles&gt;&lt;periodical&gt;&lt;full-title&gt;International Journal of Obesity (2005)&lt;/full-title&gt;&lt;abbr-1&gt;Int. J. Obes. (Lond.)&lt;/abbr-1&gt;&lt;abbr-2&gt;Int J Obes (Lond)&lt;/abbr-2&gt;&lt;/periodical&gt;&lt;pages&gt;559-66&lt;/pages&gt;&lt;volume&gt;36&lt;/volume&gt;&lt;number&gt;4&lt;/number&gt;&lt;keywords&gt;&lt;keyword&gt;Body Mass Index&lt;/keyword&gt;&lt;keyword&gt;Child&lt;/keyword&gt;&lt;keyword&gt;Child, Preschool&lt;/keyword&gt;&lt;keyword&gt;Cost-Benefit Analysis&lt;/keyword&gt;&lt;keyword&gt;Female&lt;/keyword&gt;&lt;keyword&gt;Great Britain/epidemiology&lt;/keyword&gt;&lt;keyword&gt;Humans&lt;/keyword&gt;&lt;keyword&gt;Male&lt;/keyword&gt;&lt;keyword&gt;Models, Economic&lt;/keyword&gt;&lt;keyword&gt;National Health Programs&lt;/keyword&gt;&lt;keyword&gt;Obesity/economics&lt;/keyword&gt;&lt;keyword&gt;Overweight/*economics/epidemiology/prevention &amp;amp; control/*therapy&lt;/keyword&gt;&lt;keyword&gt;Randomized Controlled Trials as Topic&lt;/keyword&gt;&lt;keyword&gt;*Risk Reduction Behavior&lt;/keyword&gt;&lt;/keywords&gt;&lt;dates&gt;&lt;year&gt;2012&lt;/year&gt;&lt;pub-dates&gt;&lt;date&gt;Apr&lt;/date&gt;&lt;/pub-dates&gt;&lt;/dates&gt;&lt;isbn&gt;1476-5497 (Electronic)&amp;#xD;0307-0565 (Linking)&lt;/isbn&gt;&lt;accession-num&gt;22249222&lt;/accession-num&gt;&lt;urls&gt;&lt;related-urls&gt;&lt;url&gt;http://www.ncbi.nlm.nih.gov/pubmed/22249222&lt;/url&gt;&lt;/related-urls&gt;&lt;/urls&gt;&lt;electronic-resource-num&gt;10.1038/ijo.2011.272&lt;/electronic-resource-num&gt;&lt;/record&gt;&lt;/Cite&gt;&lt;/EndNote&gt;</w:instrText>
      </w:r>
      <w:r w:rsidR="00A27F84" w:rsidRPr="00296D0C">
        <w:rPr>
          <w:rFonts w:cs="Arial"/>
        </w:rPr>
        <w:fldChar w:fldCharType="separate"/>
      </w:r>
      <w:r w:rsidR="008C43BF" w:rsidRPr="008C43BF">
        <w:rPr>
          <w:rFonts w:cs="Arial"/>
          <w:noProof/>
          <w:vertAlign w:val="superscript"/>
        </w:rPr>
        <w:t>63</w:t>
      </w:r>
      <w:r w:rsidR="00A27F84" w:rsidRPr="00296D0C">
        <w:rPr>
          <w:rFonts w:cs="Arial"/>
        </w:rPr>
        <w:fldChar w:fldCharType="end"/>
      </w:r>
      <w:r w:rsidRPr="00296D0C">
        <w:rPr>
          <w:rFonts w:cs="Arial"/>
        </w:rPr>
        <w:t>, Pil et al</w:t>
      </w:r>
      <w:r w:rsidR="00AA5D61" w:rsidRPr="00296D0C">
        <w:rPr>
          <w:rFonts w:cs="Arial"/>
        </w:rPr>
        <w:t>.</w:t>
      </w:r>
      <w:r w:rsidRPr="00296D0C">
        <w:rPr>
          <w:rFonts w:cs="Arial"/>
        </w:rPr>
        <w:t>, 2014</w:t>
      </w:r>
      <w:r w:rsidR="00A27F84" w:rsidRPr="00296D0C">
        <w:rPr>
          <w:rFonts w:cs="Arial"/>
        </w:rPr>
        <w:t xml:space="preserve"> </w:t>
      </w:r>
      <w:r w:rsidR="00A27F84" w:rsidRPr="00296D0C">
        <w:rPr>
          <w:rFonts w:cs="Arial"/>
        </w:rPr>
        <w:fldChar w:fldCharType="begin">
          <w:fldData xml:space="preserve">PEVuZE5vdGU+PENpdGU+PEF1dGhvcj5QaWw8L0F1dGhvcj48WWVhcj4yMDE0PC9ZZWFyPjxSZWNO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=
</w:fldData>
        </w:fldChar>
      </w:r>
      <w:r w:rsidR="008C43BF">
        <w:rPr>
          <w:rFonts w:cs="Arial"/>
        </w:rPr>
        <w:instrText xml:space="preserve"> ADDIN EN.CITE </w:instrText>
      </w:r>
      <w:r w:rsidR="008C43BF">
        <w:rPr>
          <w:rFonts w:cs="Arial"/>
        </w:rPr>
        <w:fldChar w:fldCharType="begin">
          <w:fldData xml:space="preserve">PEVuZE5vdGU+PENpdGU+PEF1dGhvcj5QaWw8L0F1dGhvcj48WWVhcj4yMDE0PC9ZZWFyPjxSZWNO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=
</w:fldData>
        </w:fldChar>
      </w:r>
      <w:r w:rsidR="008C43BF">
        <w:rPr>
          <w:rFonts w:cs="Arial"/>
        </w:rPr>
        <w:instrText xml:space="preserve"> ADDIN EN.CITE.DATA </w:instrText>
      </w:r>
      <w:r w:rsidR="008C43BF">
        <w:rPr>
          <w:rFonts w:cs="Arial"/>
        </w:rPr>
      </w:r>
      <w:r w:rsidR="008C43BF">
        <w:rPr>
          <w:rFonts w:cs="Arial"/>
        </w:rPr>
        <w:fldChar w:fldCharType="end"/>
      </w:r>
      <w:r w:rsidR="00A27F84" w:rsidRPr="00296D0C">
        <w:rPr>
          <w:rFonts w:cs="Arial"/>
        </w:rPr>
      </w:r>
      <w:r w:rsidR="00A27F84" w:rsidRPr="00296D0C">
        <w:rPr>
          <w:rFonts w:cs="Arial"/>
        </w:rPr>
        <w:fldChar w:fldCharType="separate"/>
      </w:r>
      <w:r w:rsidR="008C43BF" w:rsidRPr="008C43BF">
        <w:rPr>
          <w:rFonts w:cs="Arial"/>
          <w:noProof/>
          <w:vertAlign w:val="superscript"/>
        </w:rPr>
        <w:t>64</w:t>
      </w:r>
      <w:r w:rsidR="00A27F84" w:rsidRPr="00296D0C">
        <w:rPr>
          <w:rFonts w:cs="Arial"/>
        </w:rPr>
        <w:fldChar w:fldCharType="end"/>
      </w:r>
      <w:r w:rsidRPr="00296D0C">
        <w:rPr>
          <w:rFonts w:cs="Arial"/>
        </w:rPr>
        <w:t>, Rush et al</w:t>
      </w:r>
      <w:r w:rsidR="00AA5D61" w:rsidRPr="00296D0C">
        <w:rPr>
          <w:rFonts w:cs="Arial"/>
        </w:rPr>
        <w:t>.</w:t>
      </w:r>
      <w:r w:rsidRPr="00296D0C">
        <w:rPr>
          <w:rFonts w:cs="Arial"/>
        </w:rPr>
        <w:t>, 2014</w:t>
      </w:r>
      <w:r w:rsidR="00A27F84" w:rsidRPr="00296D0C">
        <w:rPr>
          <w:rFonts w:cs="Arial"/>
        </w:rPr>
        <w:t xml:space="preserve"> </w:t>
      </w:r>
      <w:r w:rsidR="00A27F84" w:rsidRPr="00296D0C">
        <w:rPr>
          <w:rFonts w:cs="Arial"/>
        </w:rPr>
        <w:fldChar w:fldCharType="begin">
          <w:fldData xml:space="preserve">PEVuZE5vdGU+PENpdGU+PEF1dGhvcj5SdXNoPC9BdXRob3I+PFllYXI+MjAxNDwvWWVhcj48UmVj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=
</w:fldData>
        </w:fldChar>
      </w:r>
      <w:r w:rsidR="008C43BF">
        <w:rPr>
          <w:rFonts w:cs="Arial"/>
        </w:rPr>
        <w:instrText xml:space="preserve"> ADDIN EN.CITE </w:instrText>
      </w:r>
      <w:r w:rsidR="008C43BF">
        <w:rPr>
          <w:rFonts w:cs="Arial"/>
        </w:rPr>
        <w:fldChar w:fldCharType="begin">
          <w:fldData xml:space="preserve">PEVuZE5vdGU+PENpdGU+PEF1dGhvcj5SdXNoPC9BdXRob3I+PFllYXI+MjAxNDwvWWVhcj48UmVj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=
</w:fldData>
        </w:fldChar>
      </w:r>
      <w:r w:rsidR="008C43BF">
        <w:rPr>
          <w:rFonts w:cs="Arial"/>
        </w:rPr>
        <w:instrText xml:space="preserve"> ADDIN EN.CITE.DATA </w:instrText>
      </w:r>
      <w:r w:rsidR="008C43BF">
        <w:rPr>
          <w:rFonts w:cs="Arial"/>
        </w:rPr>
      </w:r>
      <w:r w:rsidR="008C43BF">
        <w:rPr>
          <w:rFonts w:cs="Arial"/>
        </w:rPr>
        <w:fldChar w:fldCharType="end"/>
      </w:r>
      <w:r w:rsidR="00A27F84" w:rsidRPr="00296D0C">
        <w:rPr>
          <w:rFonts w:cs="Arial"/>
        </w:rPr>
      </w:r>
      <w:r w:rsidR="00A27F84" w:rsidRPr="00296D0C">
        <w:rPr>
          <w:rFonts w:cs="Arial"/>
        </w:rPr>
        <w:fldChar w:fldCharType="separate"/>
      </w:r>
      <w:r w:rsidR="008C43BF" w:rsidRPr="008C43BF">
        <w:rPr>
          <w:rFonts w:cs="Arial"/>
          <w:noProof/>
          <w:vertAlign w:val="superscript"/>
        </w:rPr>
        <w:t>65</w:t>
      </w:r>
      <w:r w:rsidR="00A27F84" w:rsidRPr="00296D0C">
        <w:rPr>
          <w:rFonts w:cs="Arial"/>
        </w:rPr>
        <w:fldChar w:fldCharType="end"/>
      </w:r>
      <w:r w:rsidRPr="00296D0C">
        <w:rPr>
          <w:rFonts w:cs="Arial"/>
        </w:rPr>
        <w:t>, Tran et al</w:t>
      </w:r>
      <w:r w:rsidR="00AA5D61" w:rsidRPr="00296D0C">
        <w:rPr>
          <w:rFonts w:cs="Arial"/>
        </w:rPr>
        <w:t>.</w:t>
      </w:r>
      <w:r w:rsidRPr="00296D0C">
        <w:rPr>
          <w:rFonts w:cs="Arial"/>
        </w:rPr>
        <w:t>, 2014</w:t>
      </w:r>
      <w:r w:rsidR="00A27F84" w:rsidRPr="00296D0C">
        <w:rPr>
          <w:rFonts w:cs="Arial"/>
        </w:rPr>
        <w:t xml:space="preserve"> </w:t>
      </w:r>
      <w:r w:rsidR="00A27F84" w:rsidRPr="00296D0C">
        <w:rPr>
          <w:rFonts w:cs="Arial"/>
        </w:rPr>
        <w:fldChar w:fldCharType="begin"/>
      </w:r>
      <w:r w:rsidR="008C43BF">
        <w:rPr>
          <w:rFonts w:cs="Arial"/>
        </w:rPr>
        <w:instrText xml:space="preserve"> ADDIN EN.CITE &lt;EndNote&gt;&lt;Cite&gt;&lt;Author&gt;Tran&lt;/Author&gt;&lt;Year&gt;2014&lt;/Year&gt;&lt;RecNum&gt;5771&lt;/RecNum&gt;&lt;DisplayText&gt;&lt;style face="superscript"&gt;66&lt;/style&gt;&lt;/DisplayText&gt;&lt;record&gt;&lt;rec-number&gt;5771&lt;/rec-number&gt;&lt;foreign-keys&gt;&lt;key app="EN" db-id="2ewa9rrvjsdsawep2vpx5x97eedzzvxx5rta" timestamp="1478679952"&gt;5771&lt;/key&gt;&lt;/foreign-keys&gt;&lt;ref-type name="Journal Article"&gt;17&lt;/ref-type&gt;&lt;contributors&gt;&lt;authors&gt;&lt;author&gt;Tran, B. X.&lt;/author&gt;&lt;author&gt;Ohinmaa, A.&lt;/author&gt;&lt;author&gt;Kuhle, S.&lt;/author&gt;&lt;author&gt;Johnson, J. A.&lt;/author&gt;&lt;author&gt;Veugelers, P. J.&lt;/author&gt;&lt;/authors&gt;&lt;/contributors&gt;&lt;auth-address&gt;School of Public Health, University of Alberta, Edmonton, Alberta, Canada.&amp;#xD;Department of Pediatrics, Obstetrics &amp;amp; Gynecology, Dalhousie University, Halifax, NS, Canada.&lt;/auth-address&gt;&lt;titles&gt;&lt;title&gt;Life course impact of school-based promotion of healthy eating and active living to prevent childhood obesity&lt;/title&gt;&lt;secondary-title&gt;PLoS One&lt;/secondary-title&gt;&lt;/titles&gt;&lt;periodical&gt;&lt;full-title&gt;PloS One&lt;/full-title&gt;&lt;abbr-1&gt;PLoS One&lt;/abbr-1&gt;&lt;abbr-2&gt;PLoS One&lt;/abbr-2&gt;&lt;/periodical&gt;&lt;pages&gt;e102242&lt;/pages&gt;&lt;volume&gt;9&lt;/volume&gt;&lt;number&gt;7&lt;/number&gt;&lt;keywords&gt;&lt;keyword&gt;Child&lt;/keyword&gt;&lt;keyword&gt;*Eating&lt;/keyword&gt;&lt;keyword&gt;*Health Promotion&lt;/keyword&gt;&lt;keyword&gt;Humans&lt;/keyword&gt;&lt;keyword&gt;*Life Style&lt;/keyword&gt;&lt;keyword&gt;Obesity/*prevention &amp;amp; control&lt;/keyword&gt;&lt;keyword&gt;School Health Services/*organization &amp;amp; administration&lt;/keyword&gt;&lt;/keywords&gt;&lt;dates&gt;&lt;year&gt;2014&lt;/year&gt;&lt;/dates&gt;&lt;isbn&gt;1932-6203 (Electronic)&amp;#xD;1932-6203 (Linking)&lt;/isbn&gt;&lt;accession-num&gt;25025581&lt;/accession-num&gt;&lt;urls&gt;&lt;related-urls&gt;&lt;url&gt;http://www.ncbi.nlm.nih.gov/pubmed/25025581&lt;/url&gt;&lt;/related-urls&gt;&lt;/urls&gt;&lt;custom2&gt;4099303&lt;/custom2&gt;&lt;electronic-resource-num&gt;10.1371/journal.pone.0102242&lt;/electronic-resource-num&gt;&lt;/record&gt;&lt;/Cite&gt;&lt;/EndNote&gt;</w:instrText>
      </w:r>
      <w:r w:rsidR="00A27F84" w:rsidRPr="00296D0C">
        <w:rPr>
          <w:rFonts w:cs="Arial"/>
        </w:rPr>
        <w:fldChar w:fldCharType="separate"/>
      </w:r>
      <w:r w:rsidR="008C43BF" w:rsidRPr="008C43BF">
        <w:rPr>
          <w:rFonts w:cs="Arial"/>
          <w:noProof/>
          <w:vertAlign w:val="superscript"/>
        </w:rPr>
        <w:t>66</w:t>
      </w:r>
      <w:r w:rsidR="00A27F84" w:rsidRPr="00296D0C">
        <w:rPr>
          <w:rFonts w:cs="Arial"/>
        </w:rPr>
        <w:fldChar w:fldCharType="end"/>
      </w:r>
      <w:r w:rsidR="00A27F84" w:rsidRPr="00296D0C">
        <w:rPr>
          <w:rFonts w:cs="Arial"/>
        </w:rPr>
        <w:t xml:space="preserve"> </w:t>
      </w:r>
      <w:r w:rsidRPr="00296D0C">
        <w:rPr>
          <w:rFonts w:cs="Arial"/>
        </w:rPr>
        <w:t>, Barrett et al</w:t>
      </w:r>
      <w:r w:rsidR="00AA5D61" w:rsidRPr="00296D0C">
        <w:rPr>
          <w:rFonts w:cs="Arial"/>
        </w:rPr>
        <w:t>.</w:t>
      </w:r>
      <w:r w:rsidRPr="00296D0C">
        <w:rPr>
          <w:rFonts w:cs="Arial"/>
        </w:rPr>
        <w:t>, 2015</w:t>
      </w:r>
      <w:r w:rsidR="00A27F84" w:rsidRPr="00296D0C">
        <w:rPr>
          <w:rFonts w:cs="Arial"/>
        </w:rPr>
        <w:t xml:space="preserve"> </w:t>
      </w:r>
      <w:r w:rsidR="00A27F84" w:rsidRPr="00296D0C">
        <w:rPr>
          <w:rFonts w:cs="Arial"/>
        </w:rPr>
        <w:fldChar w:fldCharType="begin">
          <w:fldData xml:space="preserve">PEVuZE5vdGU+PENpdGU+PEF1dGhvcj5CYXJyZXR0PC9BdXRob3I+PFllYXI+MjAxNTwvWWVhcj48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</w:fldData>
        </w:fldChar>
      </w:r>
      <w:r w:rsidR="008C43BF">
        <w:rPr>
          <w:rFonts w:cs="Arial"/>
        </w:rPr>
        <w:instrText xml:space="preserve"> ADDIN EN.CITE </w:instrText>
      </w:r>
      <w:r w:rsidR="008C43BF">
        <w:rPr>
          <w:rFonts w:cs="Arial"/>
        </w:rPr>
        <w:fldChar w:fldCharType="begin">
          <w:fldData xml:space="preserve">PEVuZE5vdGU+PENpdGU+PEF1dGhvcj5CYXJyZXR0PC9BdXRob3I+PFllYXI+MjAxNTwvWWVhcj48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</w:fldData>
        </w:fldChar>
      </w:r>
      <w:r w:rsidR="008C43BF">
        <w:rPr>
          <w:rFonts w:cs="Arial"/>
        </w:rPr>
        <w:instrText xml:space="preserve"> ADDIN EN.CITE.DATA </w:instrText>
      </w:r>
      <w:r w:rsidR="008C43BF">
        <w:rPr>
          <w:rFonts w:cs="Arial"/>
        </w:rPr>
      </w:r>
      <w:r w:rsidR="008C43BF">
        <w:rPr>
          <w:rFonts w:cs="Arial"/>
        </w:rPr>
        <w:fldChar w:fldCharType="end"/>
      </w:r>
      <w:r w:rsidR="00A27F84" w:rsidRPr="00296D0C">
        <w:rPr>
          <w:rFonts w:cs="Arial"/>
        </w:rPr>
      </w:r>
      <w:r w:rsidR="00A27F84" w:rsidRPr="00296D0C">
        <w:rPr>
          <w:rFonts w:cs="Arial"/>
        </w:rPr>
        <w:fldChar w:fldCharType="separate"/>
      </w:r>
      <w:r w:rsidR="008C43BF" w:rsidRPr="008C43BF">
        <w:rPr>
          <w:rFonts w:cs="Arial"/>
          <w:noProof/>
          <w:vertAlign w:val="superscript"/>
        </w:rPr>
        <w:t>67</w:t>
      </w:r>
      <w:r w:rsidR="00A27F84" w:rsidRPr="00296D0C">
        <w:rPr>
          <w:rFonts w:cs="Arial"/>
        </w:rPr>
        <w:fldChar w:fldCharType="end"/>
      </w:r>
      <w:r w:rsidRPr="00296D0C">
        <w:rPr>
          <w:rFonts w:cs="Arial"/>
        </w:rPr>
        <w:t>, Gortmaker et al</w:t>
      </w:r>
      <w:r w:rsidR="00AA5D61" w:rsidRPr="00296D0C">
        <w:rPr>
          <w:rFonts w:cs="Arial"/>
        </w:rPr>
        <w:t>.</w:t>
      </w:r>
      <w:r w:rsidRPr="00296D0C">
        <w:rPr>
          <w:rFonts w:cs="Arial"/>
        </w:rPr>
        <w:t>, 2015</w:t>
      </w:r>
      <w:r w:rsidR="00A348B9" w:rsidRPr="00296D0C">
        <w:rPr>
          <w:rFonts w:cs="Arial"/>
        </w:rPr>
        <w:t xml:space="preserve"> </w:t>
      </w:r>
      <w:r w:rsidR="00A348B9" w:rsidRPr="00296D0C">
        <w:rPr>
          <w:rFonts w:cs="Arial"/>
        </w:rPr>
        <w:fldChar w:fldCharType="begin">
          <w:fldData xml:space="preserve">PEVuZE5vdGU+PENpdGU+PEF1dGhvcj5Hb3J0bWFrZXI8L0F1dGhvcj48WWVhcj4yMDE1PC9ZZWFy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</w:fldData>
        </w:fldChar>
      </w:r>
      <w:r w:rsidR="008C43BF">
        <w:rPr>
          <w:rFonts w:cs="Arial"/>
        </w:rPr>
        <w:instrText xml:space="preserve"> ADDIN EN.CITE </w:instrText>
      </w:r>
      <w:r w:rsidR="008C43BF">
        <w:rPr>
          <w:rFonts w:cs="Arial"/>
        </w:rPr>
        <w:fldChar w:fldCharType="begin">
          <w:fldData xml:space="preserve">PEVuZE5vdGU+PENpdGU+PEF1dGhvcj5Hb3J0bWFrZXI8L0F1dGhvcj48WWVhcj4yMDE1PC9ZZWFy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</w:fldData>
        </w:fldChar>
      </w:r>
      <w:r w:rsidR="008C43BF">
        <w:rPr>
          <w:rFonts w:cs="Arial"/>
        </w:rPr>
        <w:instrText xml:space="preserve"> ADDIN EN.CITE.DATA </w:instrText>
      </w:r>
      <w:r w:rsidR="008C43BF">
        <w:rPr>
          <w:rFonts w:cs="Arial"/>
        </w:rPr>
      </w:r>
      <w:r w:rsidR="008C43BF">
        <w:rPr>
          <w:rFonts w:cs="Arial"/>
        </w:rPr>
        <w:fldChar w:fldCharType="end"/>
      </w:r>
      <w:r w:rsidR="00A348B9" w:rsidRPr="00296D0C">
        <w:rPr>
          <w:rFonts w:cs="Arial"/>
        </w:rPr>
      </w:r>
      <w:r w:rsidR="00A348B9" w:rsidRPr="00296D0C">
        <w:rPr>
          <w:rFonts w:cs="Arial"/>
        </w:rPr>
        <w:fldChar w:fldCharType="separate"/>
      </w:r>
      <w:r w:rsidR="008C43BF" w:rsidRPr="008C43BF">
        <w:rPr>
          <w:rFonts w:cs="Arial"/>
          <w:noProof/>
          <w:vertAlign w:val="superscript"/>
        </w:rPr>
        <w:t>68</w:t>
      </w:r>
      <w:r w:rsidR="00A348B9" w:rsidRPr="00296D0C">
        <w:rPr>
          <w:rFonts w:cs="Arial"/>
        </w:rPr>
        <w:fldChar w:fldCharType="end"/>
      </w:r>
      <w:r w:rsidR="00A348B9" w:rsidRPr="00296D0C">
        <w:rPr>
          <w:rFonts w:cs="Arial"/>
        </w:rPr>
        <w:t xml:space="preserve"> </w:t>
      </w:r>
      <w:r w:rsidRPr="00296D0C">
        <w:rPr>
          <w:rFonts w:cs="Arial"/>
        </w:rPr>
        <w:t>, Long et al</w:t>
      </w:r>
      <w:r w:rsidR="00AA5D61" w:rsidRPr="00296D0C">
        <w:rPr>
          <w:rFonts w:cs="Arial"/>
        </w:rPr>
        <w:t>.</w:t>
      </w:r>
      <w:r w:rsidRPr="00296D0C">
        <w:rPr>
          <w:rFonts w:cs="Arial"/>
        </w:rPr>
        <w:t>, 2015</w:t>
      </w:r>
      <w:r w:rsidR="00A348B9" w:rsidRPr="00296D0C">
        <w:rPr>
          <w:rFonts w:cs="Arial"/>
        </w:rPr>
        <w:t xml:space="preserve"> </w:t>
      </w:r>
      <w:r w:rsidR="00A348B9" w:rsidRPr="00296D0C">
        <w:rPr>
          <w:rFonts w:cs="Arial"/>
        </w:rPr>
        <w:fldChar w:fldCharType="begin">
          <w:fldData xml:space="preserve">PEVuZE5vdGU+PENpdGU+PEF1dGhvcj5Mb25nPC9BdXRob3I+PFllYXI+MjAxNTwvWWVhcj48UmVj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</w:fldData>
        </w:fldChar>
      </w:r>
      <w:r w:rsidR="008C43BF">
        <w:rPr>
          <w:rFonts w:cs="Arial"/>
        </w:rPr>
        <w:instrText xml:space="preserve"> ADDIN EN.CITE </w:instrText>
      </w:r>
      <w:r w:rsidR="008C43BF">
        <w:rPr>
          <w:rFonts w:cs="Arial"/>
        </w:rPr>
        <w:fldChar w:fldCharType="begin">
          <w:fldData xml:space="preserve">PEVuZE5vdGU+PENpdGU+PEF1dGhvcj5Mb25nPC9BdXRob3I+PFllYXI+MjAxNTwvWWVhcj48UmVj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</w:fldData>
        </w:fldChar>
      </w:r>
      <w:r w:rsidR="008C43BF">
        <w:rPr>
          <w:rFonts w:cs="Arial"/>
        </w:rPr>
        <w:instrText xml:space="preserve"> ADDIN EN.CITE.DATA </w:instrText>
      </w:r>
      <w:r w:rsidR="008C43BF">
        <w:rPr>
          <w:rFonts w:cs="Arial"/>
        </w:rPr>
      </w:r>
      <w:r w:rsidR="008C43BF">
        <w:rPr>
          <w:rFonts w:cs="Arial"/>
        </w:rPr>
        <w:fldChar w:fldCharType="end"/>
      </w:r>
      <w:r w:rsidR="00A348B9" w:rsidRPr="00296D0C">
        <w:rPr>
          <w:rFonts w:cs="Arial"/>
        </w:rPr>
      </w:r>
      <w:r w:rsidR="00A348B9" w:rsidRPr="00296D0C">
        <w:rPr>
          <w:rFonts w:cs="Arial"/>
        </w:rPr>
        <w:fldChar w:fldCharType="separate"/>
      </w:r>
      <w:r w:rsidR="008C43BF" w:rsidRPr="008C43BF">
        <w:rPr>
          <w:rFonts w:cs="Arial"/>
          <w:noProof/>
          <w:vertAlign w:val="superscript"/>
        </w:rPr>
        <w:t>69</w:t>
      </w:r>
      <w:r w:rsidR="00A348B9" w:rsidRPr="00296D0C">
        <w:rPr>
          <w:rFonts w:cs="Arial"/>
        </w:rPr>
        <w:fldChar w:fldCharType="end"/>
      </w:r>
      <w:r w:rsidRPr="00296D0C">
        <w:rPr>
          <w:rFonts w:cs="Arial"/>
        </w:rPr>
        <w:t>, Sonneville et al</w:t>
      </w:r>
      <w:r w:rsidR="00AA5D61" w:rsidRPr="00296D0C">
        <w:rPr>
          <w:rFonts w:cs="Arial"/>
        </w:rPr>
        <w:t>.</w:t>
      </w:r>
      <w:r w:rsidRPr="00296D0C">
        <w:rPr>
          <w:rFonts w:cs="Arial"/>
        </w:rPr>
        <w:t>, 2015</w:t>
      </w:r>
      <w:r w:rsidR="00A348B9" w:rsidRPr="00296D0C">
        <w:rPr>
          <w:rFonts w:cs="Arial"/>
        </w:rPr>
        <w:t xml:space="preserve"> </w:t>
      </w:r>
      <w:r w:rsidR="00A348B9" w:rsidRPr="00296D0C">
        <w:rPr>
          <w:rFonts w:cs="Arial"/>
        </w:rPr>
        <w:fldChar w:fldCharType="begin">
          <w:fldData xml:space="preserve">PEVuZE5vdGU+PENpdGU+PEF1dGhvcj5Tb25uZXZpbGxlPC9BdXRob3I+PFllYXI+MjAxNTwvWWVh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</w:fldData>
        </w:fldChar>
      </w:r>
      <w:r w:rsidR="008C43BF">
        <w:rPr>
          <w:rFonts w:cs="Arial"/>
        </w:rPr>
        <w:instrText xml:space="preserve"> ADDIN EN.CITE </w:instrText>
      </w:r>
      <w:r w:rsidR="008C43BF">
        <w:rPr>
          <w:rFonts w:cs="Arial"/>
        </w:rPr>
        <w:fldChar w:fldCharType="begin">
          <w:fldData xml:space="preserve">PEVuZE5vdGU+PENpdGU+PEF1dGhvcj5Tb25uZXZpbGxlPC9BdXRob3I+PFllYXI+MjAxNTwvWWVh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</w:fldData>
        </w:fldChar>
      </w:r>
      <w:r w:rsidR="008C43BF">
        <w:rPr>
          <w:rFonts w:cs="Arial"/>
        </w:rPr>
        <w:instrText xml:space="preserve"> ADDIN EN.CITE.DATA </w:instrText>
      </w:r>
      <w:r w:rsidR="008C43BF">
        <w:rPr>
          <w:rFonts w:cs="Arial"/>
        </w:rPr>
      </w:r>
      <w:r w:rsidR="008C43BF">
        <w:rPr>
          <w:rFonts w:cs="Arial"/>
        </w:rPr>
        <w:fldChar w:fldCharType="end"/>
      </w:r>
      <w:r w:rsidR="00A348B9" w:rsidRPr="00296D0C">
        <w:rPr>
          <w:rFonts w:cs="Arial"/>
        </w:rPr>
      </w:r>
      <w:r w:rsidR="00A348B9" w:rsidRPr="00296D0C">
        <w:rPr>
          <w:rFonts w:cs="Arial"/>
        </w:rPr>
        <w:fldChar w:fldCharType="separate"/>
      </w:r>
      <w:r w:rsidR="008C43BF" w:rsidRPr="008C43BF">
        <w:rPr>
          <w:rFonts w:cs="Arial"/>
          <w:noProof/>
          <w:vertAlign w:val="superscript"/>
        </w:rPr>
        <w:t>70</w:t>
      </w:r>
      <w:r w:rsidR="00A348B9" w:rsidRPr="00296D0C">
        <w:rPr>
          <w:rFonts w:cs="Arial"/>
        </w:rPr>
        <w:fldChar w:fldCharType="end"/>
      </w:r>
      <w:r w:rsidR="00A348B9" w:rsidRPr="00296D0C">
        <w:rPr>
          <w:rFonts w:cs="Arial"/>
        </w:rPr>
        <w:t xml:space="preserve"> </w:t>
      </w:r>
      <w:r w:rsidRPr="00296D0C">
        <w:rPr>
          <w:rFonts w:cs="Arial"/>
        </w:rPr>
        <w:t>, Wright et al</w:t>
      </w:r>
      <w:r w:rsidR="00AA5D61" w:rsidRPr="00296D0C">
        <w:rPr>
          <w:rFonts w:cs="Arial"/>
        </w:rPr>
        <w:t>.</w:t>
      </w:r>
      <w:r w:rsidRPr="00296D0C">
        <w:rPr>
          <w:rFonts w:cs="Arial"/>
        </w:rPr>
        <w:t>, 2015</w:t>
      </w:r>
      <w:r w:rsidR="00A348B9" w:rsidRPr="00296D0C">
        <w:rPr>
          <w:rFonts w:cs="Arial"/>
        </w:rPr>
        <w:t xml:space="preserve"> </w:t>
      </w:r>
      <w:r w:rsidR="00A348B9" w:rsidRPr="00296D0C">
        <w:rPr>
          <w:rFonts w:cs="Arial"/>
        </w:rPr>
        <w:fldChar w:fldCharType="begin">
          <w:fldData xml:space="preserve">PEVuZE5vdGU+PENpdGU+PEF1dGhvcj5XcmlnaHQ8L0F1dGhvcj48WWVhcj4yMDE1PC9ZZWFyPjxS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</w:fldData>
        </w:fldChar>
      </w:r>
      <w:r w:rsidR="008C43BF">
        <w:rPr>
          <w:rFonts w:cs="Arial"/>
        </w:rPr>
        <w:instrText xml:space="preserve"> ADDIN EN.CITE </w:instrText>
      </w:r>
      <w:r w:rsidR="008C43BF">
        <w:rPr>
          <w:rFonts w:cs="Arial"/>
        </w:rPr>
        <w:fldChar w:fldCharType="begin">
          <w:fldData xml:space="preserve">PEVuZE5vdGU+PENpdGU+PEF1dGhvcj5XcmlnaHQ8L0F1dGhvcj48WWVhcj4yMDE1PC9ZZWFyPjxS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</w:fldData>
        </w:fldChar>
      </w:r>
      <w:r w:rsidR="008C43BF">
        <w:rPr>
          <w:rFonts w:cs="Arial"/>
        </w:rPr>
        <w:instrText xml:space="preserve"> ADDIN EN.CITE.DATA </w:instrText>
      </w:r>
      <w:r w:rsidR="008C43BF">
        <w:rPr>
          <w:rFonts w:cs="Arial"/>
        </w:rPr>
      </w:r>
      <w:r w:rsidR="008C43BF">
        <w:rPr>
          <w:rFonts w:cs="Arial"/>
        </w:rPr>
        <w:fldChar w:fldCharType="end"/>
      </w:r>
      <w:r w:rsidR="00A348B9" w:rsidRPr="00296D0C">
        <w:rPr>
          <w:rFonts w:cs="Arial"/>
        </w:rPr>
      </w:r>
      <w:r w:rsidR="00A348B9" w:rsidRPr="00296D0C">
        <w:rPr>
          <w:rFonts w:cs="Arial"/>
        </w:rPr>
        <w:fldChar w:fldCharType="separate"/>
      </w:r>
      <w:r w:rsidR="008C43BF" w:rsidRPr="008C43BF">
        <w:rPr>
          <w:rFonts w:cs="Arial"/>
          <w:noProof/>
          <w:vertAlign w:val="superscript"/>
        </w:rPr>
        <w:t>72</w:t>
      </w:r>
      <w:r w:rsidR="00A348B9" w:rsidRPr="00296D0C">
        <w:rPr>
          <w:rFonts w:cs="Arial"/>
        </w:rPr>
        <w:fldChar w:fldCharType="end"/>
      </w:r>
      <w:r w:rsidRPr="00296D0C">
        <w:rPr>
          <w:rFonts w:cs="Arial"/>
        </w:rPr>
        <w:t xml:space="preserve">), and of note in the current report is that the initial searching of the literature in 2012, was used as the basis for the conceptual modelling framework for HeLP, as set out below, and it was therefore based on a limited literature (as described below, and </w:t>
      </w:r>
      <w:r w:rsidRPr="00C914C0">
        <w:rPr>
          <w:rFonts w:cs="Arial"/>
        </w:rPr>
        <w:t xml:space="preserve">in Table </w:t>
      </w:r>
      <w:r w:rsidR="00C914C0" w:rsidRPr="00C914C0">
        <w:rPr>
          <w:rFonts w:cs="Arial"/>
        </w:rPr>
        <w:t>2</w:t>
      </w:r>
      <w:r w:rsidR="00472BD5">
        <w:rPr>
          <w:rFonts w:cs="Arial"/>
        </w:rPr>
        <w:t>5</w:t>
      </w:r>
      <w:r w:rsidRPr="00296D0C">
        <w:rPr>
          <w:rFonts w:cs="Arial"/>
        </w:rPr>
        <w:t xml:space="preserve">). However, a number of the more recent studies adopt the methodological framework used in the earlier literature, which has influenced the conceptual framework used for the HeLP specific research. </w:t>
      </w:r>
    </w:p>
    <w:p w14:paraId="0CBB6240" w14:textId="7F8F67BC" w:rsidR="00861557" w:rsidRPr="00296D0C" w:rsidRDefault="00861557" w:rsidP="000D0114">
      <w:pPr>
        <w:spacing w:after="0" w:line="360" w:lineRule="auto"/>
        <w:rPr>
          <w:rFonts w:cs="Arial"/>
        </w:rPr>
      </w:pPr>
      <w:r w:rsidRPr="00296D0C">
        <w:rPr>
          <w:rFonts w:cs="Arial"/>
        </w:rPr>
        <w:t>Prior to 2012 the evidence base for the assessment of the cost</w:t>
      </w:r>
      <w:r w:rsidR="00576BE5">
        <w:rPr>
          <w:rFonts w:cs="Arial"/>
        </w:rPr>
        <w:t xml:space="preserve"> </w:t>
      </w:r>
      <w:r w:rsidRPr="00296D0C">
        <w:rPr>
          <w:rFonts w:cs="Arial"/>
        </w:rPr>
        <w:t>effectiveness of interventions aimed at reducing obesity in children was small. Two models were identified (Wang et al., 2003</w:t>
      </w:r>
      <w:r w:rsidR="00A348B9" w:rsidRPr="00296D0C">
        <w:rPr>
          <w:rFonts w:cs="Arial"/>
        </w:rPr>
        <w:t xml:space="preserve"> </w:t>
      </w:r>
      <w:r w:rsidR="009129D1" w:rsidRPr="00296D0C">
        <w:rPr>
          <w:rFonts w:cs="Arial"/>
        </w:rPr>
        <w:fldChar w:fldCharType="begin"/>
      </w:r>
      <w:r w:rsidR="008C43BF">
        <w:rPr>
          <w:rFonts w:cs="Arial"/>
        </w:rPr>
        <w:instrText xml:space="preserve"> ADDIN EN.CITE &lt;EndNote&gt;&lt;Cite&gt;&lt;Author&gt;Wang&lt;/Author&gt;&lt;Year&gt;2003&lt;/Year&gt;&lt;RecNum&gt;3261&lt;/RecNum&gt;&lt;DisplayText&gt;&lt;style face="superscript"&gt;61&lt;/style&gt;&lt;/DisplayText&gt;&lt;record&gt;&lt;rec-number&gt;3261&lt;/rec-number&gt;&lt;foreign-keys&gt;&lt;key app="EN" db-id="2ewa9rrvjsdsawep2vpx5x97eedzzvxx5rta" timestamp="0"&gt;3261&lt;/key&gt;&lt;/foreign-keys&gt;&lt;ref-type name="Journal Article"&gt;17&lt;/ref-type&gt;&lt;contributors&gt;&lt;authors&gt;&lt;author&gt;Wang, L. Y.&lt;/author&gt;&lt;author&gt;Yang, Q.&lt;/author&gt;&lt;author&gt;Lowry, R.&lt;/author&gt;&lt;author&gt;Wechsler, H.&lt;/author&gt;&lt;/authors&gt;&lt;/contributors&gt;&lt;auth-address&gt;Division of Adolescent and School Health, Centers for Disease Control and Prevention, 4770 Buford Highway, MS K-33, Chamblee, GA 30341, USA. lgw0@cdc.gov&lt;/auth-address&gt;&lt;titles&gt;&lt;title&gt;Economic analysis of a school-based obesity prevention program&lt;/title&gt;&lt;secondary-title&gt;Obes Res&lt;/secondary-title&gt;&lt;/titles&gt;&lt;periodical&gt;&lt;full-title&gt;Obesity Research&lt;/full-title&gt;&lt;abbr-1&gt;Obes. Res.&lt;/abbr-1&gt;&lt;abbr-2&gt;Obes Res&lt;/abbr-2&gt;&lt;/periodical&gt;&lt;pages&gt;1313-24&lt;/pages&gt;&lt;volume&gt;11&lt;/volume&gt;&lt;number&gt;11&lt;/number&gt;&lt;edition&gt;2003/11/25&lt;/edition&gt;&lt;keywords&gt;&lt;keyword&gt;Adolescent&lt;/keyword&gt;&lt;keyword&gt;Adult&lt;/keyword&gt;&lt;keyword&gt;Body Mass Index&lt;/keyword&gt;&lt;keyword&gt;Child&lt;/keyword&gt;&lt;keyword&gt;Cost of Illness&lt;/keyword&gt;&lt;keyword&gt;Cost-Benefit Analysis&lt;/keyword&gt;&lt;keyword&gt;Female&lt;/keyword&gt;&lt;keyword&gt;Health Care Costs&lt;/keyword&gt;&lt;keyword&gt;Humans&lt;/keyword&gt;&lt;keyword&gt;Male&lt;/keyword&gt;&lt;keyword&gt;Mathematics&lt;/keyword&gt;&lt;keyword&gt;Obesity/ economics/ prevention &amp;amp; control&lt;/keyword&gt;&lt;keyword&gt;Probability&lt;/keyword&gt;&lt;keyword&gt;School Health Services/ economics&lt;/keyword&gt;&lt;/keywords&gt;&lt;dates&gt;&lt;year&gt;2003&lt;/year&gt;&lt;pub-dates&gt;&lt;date&gt;Nov&lt;/date&gt;&lt;/pub-dates&gt;&lt;/dates&gt;&lt;isbn&gt;1071-7323 (Print)&amp;#xD;1071-7323 (Linking)&lt;/isbn&gt;&lt;accession-num&gt;14627751&lt;/accession-num&gt;&lt;urls&gt;&lt;/urls&gt;&lt;electronic-resource-num&gt;10.1038/oby.2003.178 [doi]&lt;/electronic-resource-num&gt;&lt;remote-database-provider&gt;Nlm&lt;/remote-database-provider&gt;&lt;language&gt;eng&lt;/language&gt;&lt;/record&gt;&lt;/Cite&gt;&lt;/EndNote&gt;</w:instrText>
      </w:r>
      <w:r w:rsidR="009129D1" w:rsidRPr="00296D0C">
        <w:rPr>
          <w:rFonts w:cs="Arial"/>
        </w:rPr>
        <w:fldChar w:fldCharType="separate"/>
      </w:r>
      <w:r w:rsidR="008C43BF" w:rsidRPr="008C43BF">
        <w:rPr>
          <w:rFonts w:cs="Arial"/>
          <w:noProof/>
          <w:vertAlign w:val="superscript"/>
        </w:rPr>
        <w:t>61</w:t>
      </w:r>
      <w:r w:rsidR="009129D1" w:rsidRPr="00296D0C">
        <w:rPr>
          <w:rFonts w:cs="Arial"/>
        </w:rPr>
        <w:fldChar w:fldCharType="end"/>
      </w:r>
      <w:r w:rsidRPr="00296D0C">
        <w:rPr>
          <w:rFonts w:cs="Arial"/>
        </w:rPr>
        <w:t xml:space="preserve"> and Brown et al., 2007</w:t>
      </w:r>
      <w:r w:rsidR="00A348B9" w:rsidRPr="00296D0C">
        <w:rPr>
          <w:rFonts w:cs="Arial"/>
        </w:rPr>
        <w:t xml:space="preserve"> </w:t>
      </w:r>
      <w:r w:rsidR="009129D1" w:rsidRPr="00296D0C">
        <w:rPr>
          <w:rFonts w:cs="Arial"/>
        </w:rPr>
        <w:fldChar w:fldCharType="begin"/>
      </w:r>
      <w:r w:rsidR="008C43BF">
        <w:rPr>
          <w:rFonts w:cs="Arial"/>
        </w:rPr>
        <w:instrText xml:space="preserve"> ADDIN EN.CITE &lt;EndNote&gt;&lt;Cite&gt;&lt;Author&gt;Brown&lt;/Author&gt;&lt;Year&gt;2007&lt;/Year&gt;&lt;RecNum&gt;5732&lt;/RecNum&gt;&lt;DisplayText&gt;&lt;style face="superscript"&gt;62&lt;/style&gt;&lt;/DisplayText&gt;&lt;record&gt;&lt;rec-number&gt;5732&lt;/rec-number&gt;&lt;foreign-keys&gt;&lt;key app="EN" db-id="2ewa9rrvjsdsawep2vpx5x97eedzzvxx5rta" timestamp="1478679952"&gt;5732&lt;/key&gt;&lt;/foreign-keys&gt;&lt;ref-type name="Journal Article"&gt;17&lt;/ref-type&gt;&lt;contributors&gt;&lt;authors&gt;&lt;author&gt;Brown, H. S., 3rd&lt;/author&gt;&lt;author&gt;Perez, A.&lt;/author&gt;&lt;author&gt;Li, Y. P.&lt;/author&gt;&lt;author&gt;Hoelscher, D. M.&lt;/author&gt;&lt;author&gt;Kelder, S. H.&lt;/author&gt;&lt;author&gt;Rivera, R.&lt;/author&gt;&lt;/authors&gt;&lt;/contributors&gt;&lt;auth-address&gt;Division of Management, Policy and Community Health, University of Texas School of Public Health, Austin, TX 78701, USA. henry.s.brown@uth.tmc.edu&lt;/auth-address&gt;&lt;titles&gt;&lt;title&gt;The cost-effectiveness of a school-based overweight program&lt;/title&gt;&lt;secondary-title&gt;Int J Behav Nutr Phys Act&lt;/secondary-title&gt;&lt;/titles&gt;&lt;periodical&gt;&lt;full-title&gt;International Journal of Behavioural Nutrition and Physical Activity&lt;/full-title&gt;&lt;abbr-1&gt;Int J Behav Nutr Phys Act&lt;/abbr-1&gt;&lt;/periodical&gt;&lt;pages&gt;47&lt;/pages&gt;&lt;volume&gt;4&lt;/volume&gt;&lt;dates&gt;&lt;year&gt;2007&lt;/year&gt;&lt;/dates&gt;&lt;isbn&gt;1479-5868 (Electronic)&amp;#xD;1479-5868 (Linking)&lt;/isbn&gt;&lt;accession-num&gt;17908315&lt;/accession-num&gt;&lt;urls&gt;&lt;related-urls&gt;&lt;url&gt;http://www.ncbi.nlm.nih.gov/pubmed/17908315&lt;/url&gt;&lt;/related-urls&gt;&lt;/urls&gt;&lt;custom2&gt;2098777&lt;/custom2&gt;&lt;electronic-resource-num&gt;10.1186/1479-5868-4-47&lt;/electronic-resource-num&gt;&lt;/record&gt;&lt;/Cite&gt;&lt;/EndNote&gt;</w:instrText>
      </w:r>
      <w:r w:rsidR="009129D1" w:rsidRPr="00296D0C">
        <w:rPr>
          <w:rFonts w:cs="Arial"/>
        </w:rPr>
        <w:fldChar w:fldCharType="separate"/>
      </w:r>
      <w:r w:rsidR="008C43BF" w:rsidRPr="008C43BF">
        <w:rPr>
          <w:rFonts w:cs="Arial"/>
          <w:noProof/>
          <w:vertAlign w:val="superscript"/>
        </w:rPr>
        <w:t>62</w:t>
      </w:r>
      <w:r w:rsidR="009129D1" w:rsidRPr="00296D0C">
        <w:rPr>
          <w:rFonts w:cs="Arial"/>
        </w:rPr>
        <w:fldChar w:fldCharType="end"/>
      </w:r>
      <w:r w:rsidRPr="00296D0C">
        <w:rPr>
          <w:rFonts w:cs="Arial"/>
        </w:rPr>
        <w:t xml:space="preserve">).  Five models (reported in nine publications) were </w:t>
      </w:r>
      <w:r w:rsidR="005126C2" w:rsidRPr="00296D0C">
        <w:rPr>
          <w:rFonts w:cs="Arial"/>
        </w:rPr>
        <w:t xml:space="preserve">subsequently </w:t>
      </w:r>
      <w:r w:rsidRPr="00296D0C">
        <w:rPr>
          <w:rFonts w:cs="Arial"/>
        </w:rPr>
        <w:t>identified that were published between 2012 and 2015 (Hollingworth et al., 2012</w:t>
      </w:r>
      <w:r w:rsidR="00A348B9" w:rsidRPr="00296D0C">
        <w:rPr>
          <w:rFonts w:cs="Arial"/>
        </w:rPr>
        <w:t xml:space="preserve"> </w:t>
      </w:r>
      <w:r w:rsidR="00A348B9" w:rsidRPr="00296D0C">
        <w:rPr>
          <w:rFonts w:cs="Arial"/>
        </w:rPr>
        <w:fldChar w:fldCharType="begin"/>
      </w:r>
      <w:r w:rsidR="008C43BF">
        <w:rPr>
          <w:rFonts w:cs="Arial"/>
        </w:rPr>
        <w:instrText xml:space="preserve"> ADDIN EN.CITE &lt;EndNote&gt;&lt;Cite&gt;&lt;Author&gt;Hollingworth&lt;/Author&gt;&lt;Year&gt;2012&lt;/Year&gt;&lt;RecNum&gt;5746&lt;/RecNum&gt;&lt;DisplayText&gt;&lt;style face="superscript"&gt;63&lt;/style&gt;&lt;/DisplayText&gt;&lt;record&gt;&lt;rec-number&gt;5746&lt;/rec-number&gt;&lt;foreign-keys&gt;&lt;key app="EN" db-id="2ewa9rrvjsdsawep2vpx5x97eedzzvxx5rta" timestamp="1478679952"&gt;5746&lt;/key&gt;&lt;/foreign-keys&gt;&lt;ref-type name="Journal Article"&gt;17&lt;/ref-type&gt;&lt;contributors&gt;&lt;authors&gt;&lt;author&gt;Hollingworth, W.&lt;/author&gt;&lt;author&gt;Hawkins, J.&lt;/author&gt;&lt;author&gt;Lawlor, D. A.&lt;/author&gt;&lt;author&gt;Brown, M.&lt;/author&gt;&lt;author&gt;Marsh, T.&lt;/author&gt;&lt;author&gt;Kipping, R. R.&lt;/author&gt;&lt;/authors&gt;&lt;/contributors&gt;&lt;auth-address&gt;School of Social and Community Medicine, University of Bristol, Bristol, UK. william.hollingworth@bristol.ac.uk&lt;/auth-address&gt;&lt;titles&gt;&lt;title&gt;Economic evaluation of lifestyle interventions to treat overweight or obesity in children&lt;/title&gt;&lt;secondary-title&gt;Int J Obes (Lond)&lt;/secondary-title&gt;&lt;/titles&gt;&lt;periodical&gt;&lt;full-title&gt;International Journal of Obesity (2005)&lt;/full-title&gt;&lt;abbr-1&gt;Int. J. Obes. (Lond.)&lt;/abbr-1&gt;&lt;abbr-2&gt;Int J Obes (Lond)&lt;/abbr-2&gt;&lt;/periodical&gt;&lt;pages&gt;559-66&lt;/pages&gt;&lt;volume&gt;36&lt;/volume&gt;&lt;number&gt;4&lt;/number&gt;&lt;keywords&gt;&lt;keyword&gt;Body Mass Index&lt;/keyword&gt;&lt;keyword&gt;Child&lt;/keyword&gt;&lt;keyword&gt;Child, Preschool&lt;/keyword&gt;&lt;keyword&gt;Cost-Benefit Analysis&lt;/keyword&gt;&lt;keyword&gt;Female&lt;/keyword&gt;&lt;keyword&gt;Great Britain/epidemiology&lt;/keyword&gt;&lt;keyword&gt;Humans&lt;/keyword&gt;&lt;keyword&gt;Male&lt;/keyword&gt;&lt;keyword&gt;Models, Economic&lt;/keyword&gt;&lt;keyword&gt;National Health Programs&lt;/keyword&gt;&lt;keyword&gt;Obesity/economics&lt;/keyword&gt;&lt;keyword&gt;Overweight/*economics/epidemiology/prevention &amp;amp; control/*therapy&lt;/keyword&gt;&lt;keyword&gt;Randomized Controlled Trials as Topic&lt;/keyword&gt;&lt;keyword&gt;*Risk Reduction Behavior&lt;/keyword&gt;&lt;/keywords&gt;&lt;dates&gt;&lt;year&gt;2012&lt;/year&gt;&lt;pub-dates&gt;&lt;date&gt;Apr&lt;/date&gt;&lt;/pub-dates&gt;&lt;/dates&gt;&lt;isbn&gt;1476-5497 (Electronic)&amp;#xD;0307-0565 (Linking)&lt;/isbn&gt;&lt;accession-num&gt;22249222&lt;/accession-num&gt;&lt;urls&gt;&lt;related-urls&gt;&lt;url&gt;http://www.ncbi.nlm.nih.gov/pubmed/22249222&lt;/url&gt;&lt;/related-urls&gt;&lt;/urls&gt;&lt;electronic-resource-num&gt;10.1038/ijo.2011.272&lt;/electronic-resource-num&gt;&lt;/record&gt;&lt;/Cite&gt;&lt;/EndNote&gt;</w:instrText>
      </w:r>
      <w:r w:rsidR="00A348B9" w:rsidRPr="00296D0C">
        <w:rPr>
          <w:rFonts w:cs="Arial"/>
        </w:rPr>
        <w:fldChar w:fldCharType="separate"/>
      </w:r>
      <w:r w:rsidR="008C43BF" w:rsidRPr="008C43BF">
        <w:rPr>
          <w:rFonts w:cs="Arial"/>
          <w:noProof/>
          <w:vertAlign w:val="superscript"/>
        </w:rPr>
        <w:t>63</w:t>
      </w:r>
      <w:r w:rsidR="00A348B9" w:rsidRPr="00296D0C">
        <w:rPr>
          <w:rFonts w:cs="Arial"/>
        </w:rPr>
        <w:fldChar w:fldCharType="end"/>
      </w:r>
      <w:r w:rsidR="00A348B9" w:rsidRPr="00296D0C">
        <w:rPr>
          <w:rFonts w:cs="Arial"/>
        </w:rPr>
        <w:t xml:space="preserve"> </w:t>
      </w:r>
      <w:r w:rsidRPr="00296D0C">
        <w:rPr>
          <w:rFonts w:cs="Arial"/>
        </w:rPr>
        <w:t>; Pil et al., 2014</w:t>
      </w:r>
      <w:r w:rsidR="00A348B9" w:rsidRPr="00296D0C">
        <w:rPr>
          <w:rFonts w:cs="Arial"/>
        </w:rPr>
        <w:t xml:space="preserve"> </w:t>
      </w:r>
      <w:r w:rsidR="00A348B9" w:rsidRPr="00296D0C">
        <w:rPr>
          <w:rFonts w:cs="Arial"/>
        </w:rPr>
        <w:fldChar w:fldCharType="begin">
          <w:fldData xml:space="preserve">PEVuZE5vdGU+PENpdGU+PEF1dGhvcj5QaWw8L0F1dGhvcj48WWVhcj4yMDE0PC9ZZWFyPjxSZWNO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=
</w:fldData>
        </w:fldChar>
      </w:r>
      <w:r w:rsidR="008C43BF">
        <w:rPr>
          <w:rFonts w:cs="Arial"/>
        </w:rPr>
        <w:instrText xml:space="preserve"> ADDIN EN.CITE </w:instrText>
      </w:r>
      <w:r w:rsidR="008C43BF">
        <w:rPr>
          <w:rFonts w:cs="Arial"/>
        </w:rPr>
        <w:fldChar w:fldCharType="begin">
          <w:fldData xml:space="preserve">PEVuZE5vdGU+PENpdGU+PEF1dGhvcj5QaWw8L0F1dGhvcj48WWVhcj4yMDE0PC9ZZWFyPjxSZWNO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=
</w:fldData>
        </w:fldChar>
      </w:r>
      <w:r w:rsidR="008C43BF">
        <w:rPr>
          <w:rFonts w:cs="Arial"/>
        </w:rPr>
        <w:instrText xml:space="preserve"> ADDIN EN.CITE.DATA </w:instrText>
      </w:r>
      <w:r w:rsidR="008C43BF">
        <w:rPr>
          <w:rFonts w:cs="Arial"/>
        </w:rPr>
      </w:r>
      <w:r w:rsidR="008C43BF">
        <w:rPr>
          <w:rFonts w:cs="Arial"/>
        </w:rPr>
        <w:fldChar w:fldCharType="end"/>
      </w:r>
      <w:r w:rsidR="00A348B9" w:rsidRPr="00296D0C">
        <w:rPr>
          <w:rFonts w:cs="Arial"/>
        </w:rPr>
      </w:r>
      <w:r w:rsidR="00A348B9" w:rsidRPr="00296D0C">
        <w:rPr>
          <w:rFonts w:cs="Arial"/>
        </w:rPr>
        <w:fldChar w:fldCharType="separate"/>
      </w:r>
      <w:r w:rsidR="008C43BF" w:rsidRPr="008C43BF">
        <w:rPr>
          <w:rFonts w:cs="Arial"/>
          <w:noProof/>
          <w:vertAlign w:val="superscript"/>
        </w:rPr>
        <w:t>64</w:t>
      </w:r>
      <w:r w:rsidR="00A348B9" w:rsidRPr="00296D0C">
        <w:rPr>
          <w:rFonts w:cs="Arial"/>
        </w:rPr>
        <w:fldChar w:fldCharType="end"/>
      </w:r>
      <w:r w:rsidR="00A348B9" w:rsidRPr="00296D0C">
        <w:rPr>
          <w:rFonts w:cs="Arial"/>
        </w:rPr>
        <w:t xml:space="preserve"> </w:t>
      </w:r>
      <w:r w:rsidRPr="00296D0C">
        <w:rPr>
          <w:rFonts w:cs="Arial"/>
        </w:rPr>
        <w:t>; Rush et al., 2014</w:t>
      </w:r>
      <w:r w:rsidR="00A348B9" w:rsidRPr="00296D0C">
        <w:rPr>
          <w:rFonts w:cs="Arial"/>
        </w:rPr>
        <w:t xml:space="preserve"> </w:t>
      </w:r>
      <w:r w:rsidR="00A348B9" w:rsidRPr="00296D0C">
        <w:rPr>
          <w:rFonts w:cs="Arial"/>
        </w:rPr>
        <w:fldChar w:fldCharType="begin">
          <w:fldData xml:space="preserve">PEVuZE5vdGU+PENpdGU+PEF1dGhvcj5SdXNoPC9BdXRob3I+PFllYXI+MjAxNDwvWWVhcj48UmVj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=
</w:fldData>
        </w:fldChar>
      </w:r>
      <w:r w:rsidR="008C43BF">
        <w:rPr>
          <w:rFonts w:cs="Arial"/>
        </w:rPr>
        <w:instrText xml:space="preserve"> ADDIN EN.CITE </w:instrText>
      </w:r>
      <w:r w:rsidR="008C43BF">
        <w:rPr>
          <w:rFonts w:cs="Arial"/>
        </w:rPr>
        <w:fldChar w:fldCharType="begin">
          <w:fldData xml:space="preserve">PEVuZE5vdGU+PENpdGU+PEF1dGhvcj5SdXNoPC9BdXRob3I+PFllYXI+MjAxNDwvWWVhcj48UmVj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=
</w:fldData>
        </w:fldChar>
      </w:r>
      <w:r w:rsidR="008C43BF">
        <w:rPr>
          <w:rFonts w:cs="Arial"/>
        </w:rPr>
        <w:instrText xml:space="preserve"> ADDIN EN.CITE.DATA </w:instrText>
      </w:r>
      <w:r w:rsidR="008C43BF">
        <w:rPr>
          <w:rFonts w:cs="Arial"/>
        </w:rPr>
      </w:r>
      <w:r w:rsidR="008C43BF">
        <w:rPr>
          <w:rFonts w:cs="Arial"/>
        </w:rPr>
        <w:fldChar w:fldCharType="end"/>
      </w:r>
      <w:r w:rsidR="00A348B9" w:rsidRPr="00296D0C">
        <w:rPr>
          <w:rFonts w:cs="Arial"/>
        </w:rPr>
      </w:r>
      <w:r w:rsidR="00A348B9" w:rsidRPr="00296D0C">
        <w:rPr>
          <w:rFonts w:cs="Arial"/>
        </w:rPr>
        <w:fldChar w:fldCharType="separate"/>
      </w:r>
      <w:r w:rsidR="008C43BF" w:rsidRPr="008C43BF">
        <w:rPr>
          <w:rFonts w:cs="Arial"/>
          <w:noProof/>
          <w:vertAlign w:val="superscript"/>
        </w:rPr>
        <w:t>65</w:t>
      </w:r>
      <w:r w:rsidR="00A348B9" w:rsidRPr="00296D0C">
        <w:rPr>
          <w:rFonts w:cs="Arial"/>
        </w:rPr>
        <w:fldChar w:fldCharType="end"/>
      </w:r>
      <w:r w:rsidRPr="00296D0C">
        <w:rPr>
          <w:rFonts w:cs="Arial"/>
        </w:rPr>
        <w:t>; Tran et al., 2014</w:t>
      </w:r>
      <w:r w:rsidR="00A348B9" w:rsidRPr="00296D0C">
        <w:rPr>
          <w:rFonts w:cs="Arial"/>
        </w:rPr>
        <w:t xml:space="preserve"> </w:t>
      </w:r>
      <w:r w:rsidR="00A348B9" w:rsidRPr="00296D0C">
        <w:rPr>
          <w:rFonts w:cs="Arial"/>
        </w:rPr>
        <w:fldChar w:fldCharType="begin"/>
      </w:r>
      <w:r w:rsidR="008C43BF">
        <w:rPr>
          <w:rFonts w:cs="Arial"/>
        </w:rPr>
        <w:instrText xml:space="preserve"> ADDIN EN.CITE &lt;EndNote&gt;&lt;Cite&gt;&lt;Author&gt;Tran&lt;/Author&gt;&lt;Year&gt;2014&lt;/Year&gt;&lt;RecNum&gt;5771&lt;/RecNum&gt;&lt;DisplayText&gt;&lt;style face="superscript"&gt;66&lt;/style&gt;&lt;/DisplayText&gt;&lt;record&gt;&lt;rec-number&gt;5771&lt;/rec-number&gt;&lt;foreign-keys&gt;&lt;key app="EN" db-id="2ewa9rrvjsdsawep2vpx5x97eedzzvxx5rta" timestamp="1478679952"&gt;5771&lt;/key&gt;&lt;/foreign-keys&gt;&lt;ref-type name="Journal Article"&gt;17&lt;/ref-type&gt;&lt;contributors&gt;&lt;authors&gt;&lt;author&gt;Tran, B. X.&lt;/author&gt;&lt;author&gt;Ohinmaa, A.&lt;/author&gt;&lt;author&gt;Kuhle, S.&lt;/author&gt;&lt;author&gt;Johnson, J. A.&lt;/author&gt;&lt;author&gt;Veugelers, P. J.&lt;/author&gt;&lt;/authors&gt;&lt;/contributors&gt;&lt;auth-address&gt;School of Public Health, University of Alberta, Edmonton, Alberta, Canada.&amp;#xD;Department of Pediatrics, Obstetrics &amp;amp; Gynecology, Dalhousie University, Halifax, NS, Canada.&lt;/auth-address&gt;&lt;titles&gt;&lt;title&gt;Life course impact of school-based promotion of healthy eating and active living to prevent childhood obesity&lt;/title&gt;&lt;secondary-title&gt;PLoS One&lt;/secondary-title&gt;&lt;/titles&gt;&lt;periodical&gt;&lt;full-title&gt;PloS One&lt;/full-title&gt;&lt;abbr-1&gt;PLoS One&lt;/abbr-1&gt;&lt;abbr-2&gt;PLoS One&lt;/abbr-2&gt;&lt;/periodical&gt;&lt;pages&gt;e102242&lt;/pages&gt;&lt;volume&gt;9&lt;/volume&gt;&lt;number&gt;7&lt;/number&gt;&lt;keywords&gt;&lt;keyword&gt;Child&lt;/keyword&gt;&lt;keyword&gt;*Eating&lt;/keyword&gt;&lt;keyword&gt;*Health Promotion&lt;/keyword&gt;&lt;keyword&gt;Humans&lt;/keyword&gt;&lt;keyword&gt;*Life Style&lt;/keyword&gt;&lt;keyword&gt;Obesity/*prevention &amp;amp; control&lt;/keyword&gt;&lt;keyword&gt;School Health Services/*organization &amp;amp; administration&lt;/keyword&gt;&lt;/keywords&gt;&lt;dates&gt;&lt;year&gt;2014&lt;/year&gt;&lt;/dates&gt;&lt;isbn&gt;1932-6203 (Electronic)&amp;#xD;1932-6203 (Linking)&lt;/isbn&gt;&lt;accession-num&gt;25025581&lt;/accession-num&gt;&lt;urls&gt;&lt;related-urls&gt;&lt;url&gt;http://www.ncbi.nlm.nih.gov/pubmed/25025581&lt;/url&gt;&lt;/related-urls&gt;&lt;/urls&gt;&lt;custom2&gt;4099303&lt;/custom2&gt;&lt;electronic-resource-num&gt;10.1371/journal.pone.0102242&lt;/electronic-resource-num&gt;&lt;/record&gt;&lt;/Cite&gt;&lt;/EndNote&gt;</w:instrText>
      </w:r>
      <w:r w:rsidR="00A348B9" w:rsidRPr="00296D0C">
        <w:rPr>
          <w:rFonts w:cs="Arial"/>
        </w:rPr>
        <w:fldChar w:fldCharType="separate"/>
      </w:r>
      <w:r w:rsidR="008C43BF" w:rsidRPr="008C43BF">
        <w:rPr>
          <w:rFonts w:cs="Arial"/>
          <w:noProof/>
          <w:vertAlign w:val="superscript"/>
        </w:rPr>
        <w:t>66</w:t>
      </w:r>
      <w:r w:rsidR="00A348B9" w:rsidRPr="00296D0C">
        <w:rPr>
          <w:rFonts w:cs="Arial"/>
        </w:rPr>
        <w:fldChar w:fldCharType="end"/>
      </w:r>
      <w:r w:rsidRPr="00296D0C">
        <w:rPr>
          <w:rFonts w:cs="Arial"/>
        </w:rPr>
        <w:t>; Gortmaker et al., 2015</w:t>
      </w:r>
      <w:r w:rsidR="00A348B9" w:rsidRPr="00296D0C">
        <w:rPr>
          <w:rFonts w:cs="Arial"/>
        </w:rPr>
        <w:t xml:space="preserve"> </w:t>
      </w:r>
      <w:r w:rsidR="00A348B9" w:rsidRPr="00296D0C">
        <w:rPr>
          <w:rFonts w:cs="Arial"/>
        </w:rPr>
        <w:fldChar w:fldCharType="begin">
          <w:fldData xml:space="preserve">PEVuZE5vdGU+PENpdGU+PEF1dGhvcj5Hb3J0bWFrZXI8L0F1dGhvcj48WWVhcj4yMDE1PC9ZZWFy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</w:fldData>
        </w:fldChar>
      </w:r>
      <w:r w:rsidR="008C43BF">
        <w:rPr>
          <w:rFonts w:cs="Arial"/>
        </w:rPr>
        <w:instrText xml:space="preserve"> ADDIN EN.CITE </w:instrText>
      </w:r>
      <w:r w:rsidR="008C43BF">
        <w:rPr>
          <w:rFonts w:cs="Arial"/>
        </w:rPr>
        <w:fldChar w:fldCharType="begin">
          <w:fldData xml:space="preserve">PEVuZE5vdGU+PENpdGU+PEF1dGhvcj5Hb3J0bWFrZXI8L0F1dGhvcj48WWVhcj4yMDE1PC9ZZWFy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</w:fldData>
        </w:fldChar>
      </w:r>
      <w:r w:rsidR="008C43BF">
        <w:rPr>
          <w:rFonts w:cs="Arial"/>
        </w:rPr>
        <w:instrText xml:space="preserve"> ADDIN EN.CITE.DATA </w:instrText>
      </w:r>
      <w:r w:rsidR="008C43BF">
        <w:rPr>
          <w:rFonts w:cs="Arial"/>
        </w:rPr>
      </w:r>
      <w:r w:rsidR="008C43BF">
        <w:rPr>
          <w:rFonts w:cs="Arial"/>
        </w:rPr>
        <w:fldChar w:fldCharType="end"/>
      </w:r>
      <w:r w:rsidR="00A348B9" w:rsidRPr="00296D0C">
        <w:rPr>
          <w:rFonts w:cs="Arial"/>
        </w:rPr>
      </w:r>
      <w:r w:rsidR="00A348B9" w:rsidRPr="00296D0C">
        <w:rPr>
          <w:rFonts w:cs="Arial"/>
        </w:rPr>
        <w:fldChar w:fldCharType="separate"/>
      </w:r>
      <w:r w:rsidR="008C43BF" w:rsidRPr="008C43BF">
        <w:rPr>
          <w:rFonts w:cs="Arial"/>
          <w:noProof/>
          <w:vertAlign w:val="superscript"/>
        </w:rPr>
        <w:t>68</w:t>
      </w:r>
      <w:r w:rsidR="00A348B9" w:rsidRPr="00296D0C">
        <w:rPr>
          <w:rFonts w:cs="Arial"/>
        </w:rPr>
        <w:fldChar w:fldCharType="end"/>
      </w:r>
      <w:r w:rsidRPr="00296D0C">
        <w:rPr>
          <w:rFonts w:cs="Arial"/>
        </w:rPr>
        <w:t xml:space="preserve">) with the majority of these published in the last two years.  </w:t>
      </w:r>
    </w:p>
    <w:p w14:paraId="38132A16" w14:textId="5BDB2BE5" w:rsidR="00861557" w:rsidRPr="00296D0C" w:rsidRDefault="00861557" w:rsidP="006573CD">
      <w:pPr>
        <w:spacing w:after="0" w:line="360" w:lineRule="auto"/>
        <w:rPr>
          <w:rFonts w:cs="Arial"/>
        </w:rPr>
      </w:pPr>
      <w:r w:rsidRPr="00296D0C">
        <w:rPr>
          <w:rFonts w:cs="Arial"/>
        </w:rPr>
        <w:t>The earlier models (Wang et al</w:t>
      </w:r>
      <w:r w:rsidR="00AA5D61" w:rsidRPr="00296D0C">
        <w:rPr>
          <w:rFonts w:cs="Arial"/>
        </w:rPr>
        <w:t>.</w:t>
      </w:r>
      <w:r w:rsidRPr="00296D0C">
        <w:rPr>
          <w:rFonts w:cs="Arial"/>
        </w:rPr>
        <w:t>, 2003</w:t>
      </w:r>
      <w:r w:rsidR="00A348B9" w:rsidRPr="00296D0C">
        <w:rPr>
          <w:rFonts w:cs="Arial"/>
        </w:rPr>
        <w:t xml:space="preserve"> </w:t>
      </w:r>
      <w:r w:rsidR="009129D1" w:rsidRPr="00296D0C">
        <w:rPr>
          <w:rFonts w:cs="Arial"/>
        </w:rPr>
        <w:fldChar w:fldCharType="begin"/>
      </w:r>
      <w:r w:rsidR="008C43BF">
        <w:rPr>
          <w:rFonts w:cs="Arial"/>
        </w:rPr>
        <w:instrText xml:space="preserve"> ADDIN EN.CITE &lt;EndNote&gt;&lt;Cite&gt;&lt;Author&gt;Wang&lt;/Author&gt;&lt;Year&gt;2003&lt;/Year&gt;&lt;RecNum&gt;3261&lt;/RecNum&gt;&lt;DisplayText&gt;&lt;style face="superscript"&gt;61&lt;/style&gt;&lt;/DisplayText&gt;&lt;record&gt;&lt;rec-number&gt;3261&lt;/rec-number&gt;&lt;foreign-keys&gt;&lt;key app="EN" db-id="2ewa9rrvjsdsawep2vpx5x97eedzzvxx5rta" timestamp="0"&gt;3261&lt;/key&gt;&lt;/foreign-keys&gt;&lt;ref-type name="Journal Article"&gt;17&lt;/ref-type&gt;&lt;contributors&gt;&lt;authors&gt;&lt;author&gt;Wang, L. Y.&lt;/author&gt;&lt;author&gt;Yang, Q.&lt;/author&gt;&lt;author&gt;Lowry, R.&lt;/author&gt;&lt;author&gt;Wechsler, H.&lt;/author&gt;&lt;/authors&gt;&lt;/contributors&gt;&lt;auth-address&gt;Division of Adolescent and School Health, Centers for Disease Control and Prevention, 4770 Buford Highway, MS K-33, Chamblee, GA 30341, USA. lgw0@cdc.gov&lt;/auth-address&gt;&lt;titles&gt;&lt;title&gt;Economic analysis of a school-based obesity prevention program&lt;/title&gt;&lt;secondary-title&gt;Obes Res&lt;/secondary-title&gt;&lt;/titles&gt;&lt;periodical&gt;&lt;full-title&gt;Obesity Research&lt;/full-title&gt;&lt;abbr-1&gt;Obes. Res.&lt;/abbr-1&gt;&lt;abbr-2&gt;Obes Res&lt;/abbr-2&gt;&lt;/periodical&gt;&lt;pages&gt;1313-24&lt;/pages&gt;&lt;volume&gt;11&lt;/volume&gt;&lt;number&gt;11&lt;/number&gt;&lt;edition&gt;2003/11/25&lt;/edition&gt;&lt;keywords&gt;&lt;keyword&gt;Adolescent&lt;/keyword&gt;&lt;keyword&gt;Adult&lt;/keyword&gt;&lt;keyword&gt;Body Mass Index&lt;/keyword&gt;&lt;keyword&gt;Child&lt;/keyword&gt;&lt;keyword&gt;Cost of Illness&lt;/keyword&gt;&lt;keyword&gt;Cost-Benefit Analysis&lt;/keyword&gt;&lt;keyword&gt;Female&lt;/keyword&gt;&lt;keyword&gt;Health Care Costs&lt;/keyword&gt;&lt;keyword&gt;Humans&lt;/keyword&gt;&lt;keyword&gt;Male&lt;/keyword&gt;&lt;keyword&gt;Mathematics&lt;/keyword&gt;&lt;keyword&gt;Obesity/ economics/ prevention &amp;amp; control&lt;/keyword&gt;&lt;keyword&gt;Probability&lt;/keyword&gt;&lt;keyword&gt;School Health Services/ economics&lt;/keyword&gt;&lt;/keywords&gt;&lt;dates&gt;&lt;year&gt;2003&lt;/year&gt;&lt;pub-dates&gt;&lt;date&gt;Nov&lt;/date&gt;&lt;/pub-dates&gt;&lt;/dates&gt;&lt;isbn&gt;1071-7323 (Print)&amp;#xD;1071-7323 (Linking)&lt;/isbn&gt;&lt;accession-num&gt;14627751&lt;/accession-num&gt;&lt;urls&gt;&lt;/urls&gt;&lt;electronic-resource-num&gt;10.1038/oby.2003.178 [doi]&lt;/electronic-resource-num&gt;&lt;remote-database-provider&gt;Nlm&lt;/remote-database-provider&gt;&lt;language&gt;eng&lt;/language&gt;&lt;/record&gt;&lt;/Cite&gt;&lt;/EndNote&gt;</w:instrText>
      </w:r>
      <w:r w:rsidR="009129D1" w:rsidRPr="00296D0C">
        <w:rPr>
          <w:rFonts w:cs="Arial"/>
        </w:rPr>
        <w:fldChar w:fldCharType="separate"/>
      </w:r>
      <w:r w:rsidR="008C43BF" w:rsidRPr="008C43BF">
        <w:rPr>
          <w:rFonts w:cs="Arial"/>
          <w:noProof/>
          <w:vertAlign w:val="superscript"/>
        </w:rPr>
        <w:t>61</w:t>
      </w:r>
      <w:r w:rsidR="009129D1" w:rsidRPr="00296D0C">
        <w:rPr>
          <w:rFonts w:cs="Arial"/>
        </w:rPr>
        <w:fldChar w:fldCharType="end"/>
      </w:r>
      <w:r w:rsidRPr="00296D0C">
        <w:rPr>
          <w:rFonts w:cs="Arial"/>
        </w:rPr>
        <w:t>, and Brown et al</w:t>
      </w:r>
      <w:r w:rsidR="00AA5D61" w:rsidRPr="00296D0C">
        <w:rPr>
          <w:rFonts w:cs="Arial"/>
        </w:rPr>
        <w:t>.</w:t>
      </w:r>
      <w:r w:rsidRPr="00296D0C">
        <w:rPr>
          <w:rFonts w:cs="Arial"/>
        </w:rPr>
        <w:t xml:space="preserve">, </w:t>
      </w:r>
      <w:r w:rsidR="00A348B9" w:rsidRPr="00296D0C">
        <w:rPr>
          <w:rFonts w:cs="Arial"/>
        </w:rPr>
        <w:t xml:space="preserve">2007 </w:t>
      </w:r>
      <w:r w:rsidR="00A348B9" w:rsidRPr="00296D0C">
        <w:rPr>
          <w:rFonts w:cs="Arial"/>
        </w:rPr>
        <w:fldChar w:fldCharType="begin"/>
      </w:r>
      <w:r w:rsidR="008C43BF">
        <w:rPr>
          <w:rFonts w:cs="Arial"/>
        </w:rPr>
        <w:instrText xml:space="preserve"> ADDIN EN.CITE &lt;EndNote&gt;&lt;Cite&gt;&lt;Author&gt;Brown&lt;/Author&gt;&lt;Year&gt;2007&lt;/Year&gt;&lt;RecNum&gt;5732&lt;/RecNum&gt;&lt;DisplayText&gt;&lt;style face="superscript"&gt;62&lt;/style&gt;&lt;/DisplayText&gt;&lt;record&gt;&lt;rec-number&gt;5732&lt;/rec-number&gt;&lt;foreign-keys&gt;&lt;key app="EN" db-id="2ewa9rrvjsdsawep2vpx5x97eedzzvxx5rta" timestamp="1478679952"&gt;5732&lt;/key&gt;&lt;/foreign-keys&gt;&lt;ref-type name="Journal Article"&gt;17&lt;/ref-type&gt;&lt;contributors&gt;&lt;authors&gt;&lt;author&gt;Brown, H. S., 3rd&lt;/author&gt;&lt;author&gt;Perez, A.&lt;/author&gt;&lt;author&gt;Li, Y. P.&lt;/author&gt;&lt;author&gt;Hoelscher, D. M.&lt;/author&gt;&lt;author&gt;Kelder, S. H.&lt;/author&gt;&lt;author&gt;Rivera, R.&lt;/author&gt;&lt;/authors&gt;&lt;/contributors&gt;&lt;auth-address&gt;Division of Management, Policy and Community Health, University of Texas School of Public Health, Austin, TX 78701, USA. henry.s.brown@uth.tmc.edu&lt;/auth-address&gt;&lt;titles&gt;&lt;title&gt;The cost-effectiveness of a school-based overweight program&lt;/title&gt;&lt;secondary-title&gt;Int J Behav Nutr Phys Act&lt;/secondary-title&gt;&lt;/titles&gt;&lt;periodical&gt;&lt;full-title&gt;International Journal of Behavioural Nutrition and Physical Activity&lt;/full-title&gt;&lt;abbr-1&gt;Int J Behav Nutr Phys Act&lt;/abbr-1&gt;&lt;/periodical&gt;&lt;pages&gt;47&lt;/pages&gt;&lt;volume&gt;4&lt;/volume&gt;&lt;dates&gt;&lt;year&gt;2007&lt;/year&gt;&lt;/dates&gt;&lt;isbn&gt;1479-5868 (Electronic)&amp;#xD;1479-5868 (Linking)&lt;/isbn&gt;&lt;accession-num&gt;17908315&lt;/accession-num&gt;&lt;urls&gt;&lt;related-urls&gt;&lt;url&gt;http://www.ncbi.nlm.nih.gov/pubmed/17908315&lt;/url&gt;&lt;/related-urls&gt;&lt;/urls&gt;&lt;custom2&gt;2098777&lt;/custom2&gt;&lt;electronic-resource-num&gt;10.1186/1479-5868-4-47&lt;/electronic-resource-num&gt;&lt;/record&gt;&lt;/Cite&gt;&lt;/EndNote&gt;</w:instrText>
      </w:r>
      <w:r w:rsidR="00A348B9" w:rsidRPr="00296D0C">
        <w:rPr>
          <w:rFonts w:cs="Arial"/>
        </w:rPr>
        <w:fldChar w:fldCharType="separate"/>
      </w:r>
      <w:r w:rsidR="008C43BF" w:rsidRPr="008C43BF">
        <w:rPr>
          <w:rFonts w:cs="Arial"/>
          <w:noProof/>
          <w:vertAlign w:val="superscript"/>
        </w:rPr>
        <w:t>62</w:t>
      </w:r>
      <w:r w:rsidR="00A348B9" w:rsidRPr="00296D0C">
        <w:rPr>
          <w:rFonts w:cs="Arial"/>
        </w:rPr>
        <w:fldChar w:fldCharType="end"/>
      </w:r>
      <w:r w:rsidR="00A348B9" w:rsidRPr="00296D0C">
        <w:rPr>
          <w:rFonts w:cs="Arial"/>
        </w:rPr>
        <w:t>)</w:t>
      </w:r>
      <w:r w:rsidRPr="00296D0C">
        <w:rPr>
          <w:rFonts w:cs="Arial"/>
        </w:rPr>
        <w:t xml:space="preserve"> adopted a two-stage approach. The first stage used a decision tree structure and affixed a probability estimate that an individual (child) may change weight status between childhood and adult years. These predictions for adult weight status were based on longitudinal data from either Whitaker et al.</w:t>
      </w:r>
      <w:r w:rsidR="00AA5D61" w:rsidRPr="00296D0C">
        <w:rPr>
          <w:rFonts w:cs="Arial"/>
        </w:rPr>
        <w:t>,</w:t>
      </w:r>
      <w:r w:rsidRPr="00296D0C">
        <w:rPr>
          <w:rFonts w:cs="Arial"/>
        </w:rPr>
        <w:t xml:space="preserve"> 1997</w:t>
      </w:r>
      <w:r w:rsidR="00A348B9" w:rsidRPr="00296D0C">
        <w:rPr>
          <w:rFonts w:cs="Arial"/>
        </w:rPr>
        <w:t xml:space="preserve"> </w:t>
      </w:r>
      <w:r w:rsidR="009129D1" w:rsidRPr="00296D0C">
        <w:rPr>
          <w:rFonts w:cs="Arial"/>
        </w:rPr>
        <w:fldChar w:fldCharType="begin"/>
      </w:r>
      <w:r w:rsidR="008C43BF">
        <w:rPr>
          <w:rFonts w:cs="Arial"/>
        </w:rPr>
        <w:instrText xml:space="preserve"> ADDIN EN.CITE &lt;EndNote&gt;&lt;Cite&gt;&lt;Author&gt;Whitaker&lt;/Author&gt;&lt;Year&gt;1997&lt;/Year&gt;&lt;RecNum&gt;3573&lt;/RecNum&gt;&lt;DisplayText&gt;&lt;style face="superscript"&gt;73&lt;/style&gt;&lt;/DisplayText&gt;&lt;record&gt;&lt;rec-number&gt;3573&lt;/rec-number&gt;&lt;foreign-keys&gt;&lt;key app="EN" db-id="2ewa9rrvjsdsawep2vpx5x97eedzzvxx5rta" timestamp="0"&gt;3573&lt;/key&gt;&lt;/foreign-keys&gt;&lt;ref-type name="Journal Article"&gt;17&lt;/ref-type&gt;&lt;contributors&gt;&lt;authors&gt;&lt;author&gt;Whitaker, R.C., &lt;/author&gt;&lt;author&gt;Wright, J.A., &lt;/author&gt;&lt;author&gt;Pepe, M.S. et al&lt;/author&gt;&lt;/authors&gt;&lt;/contributors&gt;&lt;titles&gt;&lt;title&gt;Predicting obesity in young adulthood from childhood and parental obesity&lt;/title&gt;&lt;secondary-title&gt;N Engl J Med&lt;/secondary-title&gt;&lt;/titles&gt;&lt;periodical&gt;&lt;full-title&gt;The New England Journal of Medicine&lt;/full-title&gt;&lt;abbr-1&gt;N Engl J Med&lt;/abbr-1&gt;&lt;/periodical&gt;&lt;pages&gt;869 - 873&lt;/pages&gt;&lt;volume&gt;337&lt;/volume&gt;&lt;dates&gt;&lt;year&gt;1997&lt;/year&gt;&lt;/dates&gt;&lt;urls&gt;&lt;/urls&gt;&lt;/record&gt;&lt;/Cite&gt;&lt;/EndNote&gt;</w:instrText>
      </w:r>
      <w:r w:rsidR="009129D1" w:rsidRPr="00296D0C">
        <w:rPr>
          <w:rFonts w:cs="Arial"/>
        </w:rPr>
        <w:fldChar w:fldCharType="separate"/>
      </w:r>
      <w:r w:rsidR="008C43BF" w:rsidRPr="008C43BF">
        <w:rPr>
          <w:rFonts w:cs="Arial"/>
          <w:noProof/>
          <w:vertAlign w:val="superscript"/>
        </w:rPr>
        <w:t>73</w:t>
      </w:r>
      <w:r w:rsidR="009129D1" w:rsidRPr="00296D0C">
        <w:rPr>
          <w:rFonts w:cs="Arial"/>
        </w:rPr>
        <w:fldChar w:fldCharType="end"/>
      </w:r>
      <w:r w:rsidRPr="00296D0C">
        <w:rPr>
          <w:rFonts w:cs="Arial"/>
        </w:rPr>
        <w:t xml:space="preserve"> or NHANES I (epidemiological study data) (Cox et al</w:t>
      </w:r>
      <w:r w:rsidR="00AA5D61" w:rsidRPr="00296D0C">
        <w:rPr>
          <w:rFonts w:cs="Arial"/>
        </w:rPr>
        <w:t>.</w:t>
      </w:r>
      <w:r w:rsidRPr="00296D0C">
        <w:rPr>
          <w:rFonts w:cs="Arial"/>
        </w:rPr>
        <w:t>, 1997</w:t>
      </w:r>
      <w:r w:rsidR="00A348B9" w:rsidRPr="00296D0C">
        <w:rPr>
          <w:rFonts w:cs="Arial"/>
        </w:rPr>
        <w:t xml:space="preserve"> </w:t>
      </w:r>
      <w:r w:rsidR="00D83533" w:rsidRPr="00296D0C">
        <w:rPr>
          <w:rFonts w:cs="Arial"/>
        </w:rPr>
        <w:fldChar w:fldCharType="begin">
          <w:fldData xml:space="preserve">PEVuZE5vdGU+PENpdGU+PEF1dGhvcj5Db3g8L0F1dGhvcj48WWVhcj4xOTkyPC9ZZWFyPjxSZWNO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</w:fldData>
        </w:fldChar>
      </w:r>
      <w:r w:rsidR="008C43BF">
        <w:rPr>
          <w:rFonts w:cs="Arial"/>
        </w:rPr>
        <w:instrText xml:space="preserve"> ADDIN EN.CITE </w:instrText>
      </w:r>
      <w:r w:rsidR="008C43BF">
        <w:rPr>
          <w:rFonts w:cs="Arial"/>
        </w:rPr>
        <w:fldChar w:fldCharType="begin">
          <w:fldData xml:space="preserve">PEVuZE5vdGU+PENpdGU+PEF1dGhvcj5Db3g8L0F1dGhvcj48WWVhcj4xOTkyPC9ZZWFyPjxSZWNO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</w:fldData>
        </w:fldChar>
      </w:r>
      <w:r w:rsidR="008C43BF">
        <w:rPr>
          <w:rFonts w:cs="Arial"/>
        </w:rPr>
        <w:instrText xml:space="preserve"> ADDIN EN.CITE.DATA </w:instrText>
      </w:r>
      <w:r w:rsidR="008C43BF">
        <w:rPr>
          <w:rFonts w:cs="Arial"/>
        </w:rPr>
      </w:r>
      <w:r w:rsidR="008C43BF">
        <w:rPr>
          <w:rFonts w:cs="Arial"/>
        </w:rPr>
        <w:fldChar w:fldCharType="end"/>
      </w:r>
      <w:r w:rsidR="00D83533" w:rsidRPr="00296D0C">
        <w:rPr>
          <w:rFonts w:cs="Arial"/>
        </w:rPr>
      </w:r>
      <w:r w:rsidR="00D83533" w:rsidRPr="00296D0C">
        <w:rPr>
          <w:rFonts w:cs="Arial"/>
        </w:rPr>
        <w:fldChar w:fldCharType="separate"/>
      </w:r>
      <w:r w:rsidR="008C43BF" w:rsidRPr="008C43BF">
        <w:rPr>
          <w:rFonts w:cs="Arial"/>
          <w:noProof/>
          <w:vertAlign w:val="superscript"/>
        </w:rPr>
        <w:t>74</w:t>
      </w:r>
      <w:r w:rsidR="00D83533" w:rsidRPr="00296D0C">
        <w:rPr>
          <w:rFonts w:cs="Arial"/>
        </w:rPr>
        <w:fldChar w:fldCharType="end"/>
      </w:r>
      <w:r w:rsidRPr="00296D0C">
        <w:rPr>
          <w:rFonts w:cs="Arial"/>
        </w:rPr>
        <w:t xml:space="preserve">). The second stage of the model used a Markov type approach, allocating the cohort in adult years to states by weight status (overweight, not overweight) and followed people up over time (through annual cycles) to compare a treatment versus control group in order to estimate the number of cases that were overweight in each groups, </w:t>
      </w:r>
      <w:r w:rsidRPr="00296D0C">
        <w:rPr>
          <w:rFonts w:cs="Arial"/>
        </w:rPr>
        <w:lastRenderedPageBreak/>
        <w:t xml:space="preserve">and the medical care costs averted and number of quality-adjusted life years (QALYs) saved per case of adulthood overweight prevented.  Two models published in </w:t>
      </w:r>
      <w:r w:rsidR="009129D1" w:rsidRPr="00296D0C">
        <w:rPr>
          <w:rFonts w:cs="Arial"/>
        </w:rPr>
        <w:t>recent years (Rush et al.</w:t>
      </w:r>
      <w:r w:rsidR="00AA5D61" w:rsidRPr="00296D0C">
        <w:rPr>
          <w:rFonts w:cs="Arial"/>
        </w:rPr>
        <w:t>,</w:t>
      </w:r>
      <w:r w:rsidR="009129D1" w:rsidRPr="00296D0C">
        <w:rPr>
          <w:rFonts w:cs="Arial"/>
        </w:rPr>
        <w:t xml:space="preserve"> 2014 </w:t>
      </w:r>
      <w:r w:rsidR="009129D1" w:rsidRPr="00296D0C">
        <w:rPr>
          <w:rFonts w:cs="Arial"/>
        </w:rPr>
        <w:fldChar w:fldCharType="begin">
          <w:fldData xml:space="preserve">PEVuZE5vdGU+PENpdGU+PEF1dGhvcj5SdXNoPC9BdXRob3I+PFllYXI+MjAxNDwvWWVhcj48UmVj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=
</w:fldData>
        </w:fldChar>
      </w:r>
      <w:r w:rsidR="008C43BF">
        <w:rPr>
          <w:rFonts w:cs="Arial"/>
        </w:rPr>
        <w:instrText xml:space="preserve"> ADDIN EN.CITE </w:instrText>
      </w:r>
      <w:r w:rsidR="008C43BF">
        <w:rPr>
          <w:rFonts w:cs="Arial"/>
        </w:rPr>
        <w:fldChar w:fldCharType="begin">
          <w:fldData xml:space="preserve">PEVuZE5vdGU+PENpdGU+PEF1dGhvcj5SdXNoPC9BdXRob3I+PFllYXI+MjAxNDwvWWVhcj48UmVj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=
</w:fldData>
        </w:fldChar>
      </w:r>
      <w:r w:rsidR="008C43BF">
        <w:rPr>
          <w:rFonts w:cs="Arial"/>
        </w:rPr>
        <w:instrText xml:space="preserve"> ADDIN EN.CITE.DATA </w:instrText>
      </w:r>
      <w:r w:rsidR="008C43BF">
        <w:rPr>
          <w:rFonts w:cs="Arial"/>
        </w:rPr>
      </w:r>
      <w:r w:rsidR="008C43BF">
        <w:rPr>
          <w:rFonts w:cs="Arial"/>
        </w:rPr>
        <w:fldChar w:fldCharType="end"/>
      </w:r>
      <w:r w:rsidR="009129D1" w:rsidRPr="00296D0C">
        <w:rPr>
          <w:rFonts w:cs="Arial"/>
        </w:rPr>
      </w:r>
      <w:r w:rsidR="009129D1" w:rsidRPr="00296D0C">
        <w:rPr>
          <w:rFonts w:cs="Arial"/>
        </w:rPr>
        <w:fldChar w:fldCharType="separate"/>
      </w:r>
      <w:r w:rsidR="008C43BF" w:rsidRPr="008C43BF">
        <w:rPr>
          <w:rFonts w:cs="Arial"/>
          <w:noProof/>
          <w:vertAlign w:val="superscript"/>
        </w:rPr>
        <w:t>65</w:t>
      </w:r>
      <w:r w:rsidR="009129D1" w:rsidRPr="00296D0C">
        <w:rPr>
          <w:rFonts w:cs="Arial"/>
        </w:rPr>
        <w:fldChar w:fldCharType="end"/>
      </w:r>
      <w:r w:rsidR="009129D1" w:rsidRPr="00296D0C">
        <w:rPr>
          <w:rFonts w:cs="Arial"/>
        </w:rPr>
        <w:t xml:space="preserve"> and</w:t>
      </w:r>
      <w:r w:rsidRPr="00296D0C">
        <w:rPr>
          <w:rFonts w:cs="Arial"/>
        </w:rPr>
        <w:t xml:space="preserve"> Pil et al.</w:t>
      </w:r>
      <w:r w:rsidR="00AA5D61" w:rsidRPr="00296D0C">
        <w:rPr>
          <w:rFonts w:cs="Arial"/>
        </w:rPr>
        <w:t>,</w:t>
      </w:r>
      <w:r w:rsidRPr="00296D0C">
        <w:rPr>
          <w:rFonts w:cs="Arial"/>
        </w:rPr>
        <w:t xml:space="preserve"> </w:t>
      </w:r>
      <w:r w:rsidR="009129D1" w:rsidRPr="00296D0C">
        <w:rPr>
          <w:rFonts w:cs="Arial"/>
        </w:rPr>
        <w:t xml:space="preserve">2014 </w:t>
      </w:r>
      <w:r w:rsidR="009129D1" w:rsidRPr="00296D0C">
        <w:rPr>
          <w:rFonts w:cs="Arial"/>
        </w:rPr>
        <w:fldChar w:fldCharType="begin">
          <w:fldData xml:space="preserve">PEVuZE5vdGU+PENpdGU+PEF1dGhvcj5QaWw8L0F1dGhvcj48WWVhcj4yMDE0PC9ZZWFyPjxSZWNO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=
</w:fldData>
        </w:fldChar>
      </w:r>
      <w:r w:rsidR="008C43BF">
        <w:rPr>
          <w:rFonts w:cs="Arial"/>
        </w:rPr>
        <w:instrText xml:space="preserve"> ADDIN EN.CITE </w:instrText>
      </w:r>
      <w:r w:rsidR="008C43BF">
        <w:rPr>
          <w:rFonts w:cs="Arial"/>
        </w:rPr>
        <w:fldChar w:fldCharType="begin">
          <w:fldData xml:space="preserve">PEVuZE5vdGU+PENpdGU+PEF1dGhvcj5QaWw8L0F1dGhvcj48WWVhcj4yMDE0PC9ZZWFyPjxSZWNO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=
</w:fldData>
        </w:fldChar>
      </w:r>
      <w:r w:rsidR="008C43BF">
        <w:rPr>
          <w:rFonts w:cs="Arial"/>
        </w:rPr>
        <w:instrText xml:space="preserve"> ADDIN EN.CITE.DATA </w:instrText>
      </w:r>
      <w:r w:rsidR="008C43BF">
        <w:rPr>
          <w:rFonts w:cs="Arial"/>
        </w:rPr>
      </w:r>
      <w:r w:rsidR="008C43BF">
        <w:rPr>
          <w:rFonts w:cs="Arial"/>
        </w:rPr>
        <w:fldChar w:fldCharType="end"/>
      </w:r>
      <w:r w:rsidR="009129D1" w:rsidRPr="00296D0C">
        <w:rPr>
          <w:rFonts w:cs="Arial"/>
        </w:rPr>
      </w:r>
      <w:r w:rsidR="009129D1" w:rsidRPr="00296D0C">
        <w:rPr>
          <w:rFonts w:cs="Arial"/>
        </w:rPr>
        <w:fldChar w:fldCharType="separate"/>
      </w:r>
      <w:r w:rsidR="008C43BF" w:rsidRPr="008C43BF">
        <w:rPr>
          <w:rFonts w:cs="Arial"/>
          <w:noProof/>
          <w:vertAlign w:val="superscript"/>
        </w:rPr>
        <w:t>64</w:t>
      </w:r>
      <w:r w:rsidR="009129D1" w:rsidRPr="00296D0C">
        <w:rPr>
          <w:rFonts w:cs="Arial"/>
        </w:rPr>
        <w:fldChar w:fldCharType="end"/>
      </w:r>
      <w:r w:rsidR="009129D1" w:rsidRPr="00296D0C">
        <w:rPr>
          <w:rFonts w:cs="Arial"/>
        </w:rPr>
        <w:t>)</w:t>
      </w:r>
      <w:r w:rsidRPr="00296D0C">
        <w:rPr>
          <w:rFonts w:cs="Arial"/>
        </w:rPr>
        <w:t xml:space="preserve"> also adopted a similar two-stage approach. In one model (Pil et al., 2014</w:t>
      </w:r>
      <w:r w:rsidR="009129D1" w:rsidRPr="00296D0C">
        <w:rPr>
          <w:rFonts w:cs="Arial"/>
        </w:rPr>
        <w:t xml:space="preserve"> </w:t>
      </w:r>
      <w:r w:rsidR="009129D1" w:rsidRPr="00296D0C">
        <w:rPr>
          <w:rFonts w:cs="Arial"/>
        </w:rPr>
        <w:fldChar w:fldCharType="begin">
          <w:fldData xml:space="preserve">PEVuZE5vdGU+PENpdGU+PEF1dGhvcj5QaWw8L0F1dGhvcj48WWVhcj4yMDE0PC9ZZWFyPjxSZWNO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=
</w:fldData>
        </w:fldChar>
      </w:r>
      <w:r w:rsidR="008C43BF">
        <w:rPr>
          <w:rFonts w:cs="Arial"/>
        </w:rPr>
        <w:instrText xml:space="preserve"> ADDIN EN.CITE </w:instrText>
      </w:r>
      <w:r w:rsidR="008C43BF">
        <w:rPr>
          <w:rFonts w:cs="Arial"/>
        </w:rPr>
        <w:fldChar w:fldCharType="begin">
          <w:fldData xml:space="preserve">PEVuZE5vdGU+PENpdGU+PEF1dGhvcj5QaWw8L0F1dGhvcj48WWVhcj4yMDE0PC9ZZWFyPjxSZWNO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=
</w:fldData>
        </w:fldChar>
      </w:r>
      <w:r w:rsidR="008C43BF">
        <w:rPr>
          <w:rFonts w:cs="Arial"/>
        </w:rPr>
        <w:instrText xml:space="preserve"> ADDIN EN.CITE.DATA </w:instrText>
      </w:r>
      <w:r w:rsidR="008C43BF">
        <w:rPr>
          <w:rFonts w:cs="Arial"/>
        </w:rPr>
      </w:r>
      <w:r w:rsidR="008C43BF">
        <w:rPr>
          <w:rFonts w:cs="Arial"/>
        </w:rPr>
        <w:fldChar w:fldCharType="end"/>
      </w:r>
      <w:r w:rsidR="009129D1" w:rsidRPr="00296D0C">
        <w:rPr>
          <w:rFonts w:cs="Arial"/>
        </w:rPr>
      </w:r>
      <w:r w:rsidR="009129D1" w:rsidRPr="00296D0C">
        <w:rPr>
          <w:rFonts w:cs="Arial"/>
        </w:rPr>
        <w:fldChar w:fldCharType="separate"/>
      </w:r>
      <w:r w:rsidR="008C43BF" w:rsidRPr="008C43BF">
        <w:rPr>
          <w:rFonts w:cs="Arial"/>
          <w:noProof/>
          <w:vertAlign w:val="superscript"/>
        </w:rPr>
        <w:t>64</w:t>
      </w:r>
      <w:r w:rsidR="009129D1" w:rsidRPr="00296D0C">
        <w:rPr>
          <w:rFonts w:cs="Arial"/>
        </w:rPr>
        <w:fldChar w:fldCharType="end"/>
      </w:r>
      <w:r w:rsidRPr="00296D0C">
        <w:rPr>
          <w:rFonts w:cs="Arial"/>
        </w:rPr>
        <w:t xml:space="preserve">), the first stage takes a similar approach to that in Wang et al. </w:t>
      </w:r>
      <w:r w:rsidR="00D1226D" w:rsidRPr="00296D0C">
        <w:rPr>
          <w:rFonts w:cs="Arial"/>
        </w:rPr>
        <w:fldChar w:fldCharType="begin"/>
      </w:r>
      <w:r w:rsidR="008C43BF">
        <w:rPr>
          <w:rFonts w:cs="Arial"/>
        </w:rPr>
        <w:instrText xml:space="preserve"> ADDIN EN.CITE &lt;EndNote&gt;&lt;Cite&gt;&lt;Author&gt;Wang&lt;/Author&gt;&lt;Year&gt;2003&lt;/Year&gt;&lt;RecNum&gt;3261&lt;/RecNum&gt;&lt;DisplayText&gt;&lt;style face="superscript"&gt;61&lt;/style&gt;&lt;/DisplayText&gt;&lt;record&gt;&lt;rec-number&gt;3261&lt;/rec-number&gt;&lt;foreign-keys&gt;&lt;key app="EN" db-id="2ewa9rrvjsdsawep2vpx5x97eedzzvxx5rta" timestamp="0"&gt;3261&lt;/key&gt;&lt;/foreign-keys&gt;&lt;ref-type name="Journal Article"&gt;17&lt;/ref-type&gt;&lt;contributors&gt;&lt;authors&gt;&lt;author&gt;Wang, L. Y.&lt;/author&gt;&lt;author&gt;Yang, Q.&lt;/author&gt;&lt;author&gt;Lowry, R.&lt;/author&gt;&lt;author&gt;Wechsler, H.&lt;/author&gt;&lt;/authors&gt;&lt;/contributors&gt;&lt;auth-address&gt;Division of Adolescent and School Health, Centers for Disease Control and Prevention, 4770 Buford Highway, MS K-33, Chamblee, GA 30341, USA. lgw0@cdc.gov&lt;/auth-address&gt;&lt;titles&gt;&lt;title&gt;Economic analysis of a school-based obesity prevention program&lt;/title&gt;&lt;secondary-title&gt;Obes Res&lt;/secondary-title&gt;&lt;/titles&gt;&lt;periodical&gt;&lt;full-title&gt;Obesity Research&lt;/full-title&gt;&lt;abbr-1&gt;Obes. Res.&lt;/abbr-1&gt;&lt;abbr-2&gt;Obes Res&lt;/abbr-2&gt;&lt;/periodical&gt;&lt;pages&gt;1313-24&lt;/pages&gt;&lt;volume&gt;11&lt;/volume&gt;&lt;number&gt;11&lt;/number&gt;&lt;edition&gt;2003/11/25&lt;/edition&gt;&lt;keywords&gt;&lt;keyword&gt;Adolescent&lt;/keyword&gt;&lt;keyword&gt;Adult&lt;/keyword&gt;&lt;keyword&gt;Body Mass Index&lt;/keyword&gt;&lt;keyword&gt;Child&lt;/keyword&gt;&lt;keyword&gt;Cost of Illness&lt;/keyword&gt;&lt;keyword&gt;Cost-Benefit Analysis&lt;/keyword&gt;&lt;keyword&gt;Female&lt;/keyword&gt;&lt;keyword&gt;Health Care Costs&lt;/keyword&gt;&lt;keyword&gt;Humans&lt;/keyword&gt;&lt;keyword&gt;Male&lt;/keyword&gt;&lt;keyword&gt;Mathematics&lt;/keyword&gt;&lt;keyword&gt;Obesity/ economics/ prevention &amp;amp; control&lt;/keyword&gt;&lt;keyword&gt;Probability&lt;/keyword&gt;&lt;keyword&gt;School Health Services/ economics&lt;/keyword&gt;&lt;/keywords&gt;&lt;dates&gt;&lt;year&gt;2003&lt;/year&gt;&lt;pub-dates&gt;&lt;date&gt;Nov&lt;/date&gt;&lt;/pub-dates&gt;&lt;/dates&gt;&lt;isbn&gt;1071-7323 (Print)&amp;#xD;1071-7323 (Linking)&lt;/isbn&gt;&lt;accession-num&gt;14627751&lt;/accession-num&gt;&lt;urls&gt;&lt;/urls&gt;&lt;electronic-resource-num&gt;10.1038/oby.2003.178 [doi]&lt;/electronic-resource-num&gt;&lt;remote-database-provider&gt;Nlm&lt;/remote-database-provider&gt;&lt;language&gt;eng&lt;/language&gt;&lt;/record&gt;&lt;/Cite&gt;&lt;/EndNote&gt;</w:instrText>
      </w:r>
      <w:r w:rsidR="00D1226D" w:rsidRPr="00296D0C">
        <w:rPr>
          <w:rFonts w:cs="Arial"/>
        </w:rPr>
        <w:fldChar w:fldCharType="separate"/>
      </w:r>
      <w:r w:rsidR="008C43BF" w:rsidRPr="008C43BF">
        <w:rPr>
          <w:rFonts w:cs="Arial"/>
          <w:noProof/>
          <w:vertAlign w:val="superscript"/>
        </w:rPr>
        <w:t>61</w:t>
      </w:r>
      <w:r w:rsidR="00D1226D" w:rsidRPr="00296D0C">
        <w:rPr>
          <w:rFonts w:cs="Arial"/>
        </w:rPr>
        <w:fldChar w:fldCharType="end"/>
      </w:r>
      <w:r w:rsidR="00D1226D" w:rsidRPr="00296D0C">
        <w:rPr>
          <w:rFonts w:cs="Arial"/>
        </w:rPr>
        <w:t xml:space="preserve"> </w:t>
      </w:r>
      <w:r w:rsidRPr="00296D0C">
        <w:rPr>
          <w:rFonts w:cs="Arial"/>
        </w:rPr>
        <w:t>and Brown et al.</w:t>
      </w:r>
      <w:r w:rsidR="00D1226D" w:rsidRPr="00296D0C">
        <w:rPr>
          <w:rFonts w:cs="Arial"/>
        </w:rPr>
        <w:t xml:space="preserve"> </w:t>
      </w:r>
      <w:r w:rsidR="00D1226D" w:rsidRPr="00296D0C">
        <w:rPr>
          <w:rFonts w:cs="Arial"/>
        </w:rPr>
        <w:fldChar w:fldCharType="begin"/>
      </w:r>
      <w:r w:rsidR="008C43BF">
        <w:rPr>
          <w:rFonts w:cs="Arial"/>
        </w:rPr>
        <w:instrText xml:space="preserve"> ADDIN EN.CITE &lt;EndNote&gt;&lt;Cite&gt;&lt;Author&gt;Brown&lt;/Author&gt;&lt;Year&gt;2007&lt;/Year&gt;&lt;RecNum&gt;5732&lt;/RecNum&gt;&lt;DisplayText&gt;&lt;style face="superscript"&gt;62&lt;/style&gt;&lt;/DisplayText&gt;&lt;record&gt;&lt;rec-number&gt;5732&lt;/rec-number&gt;&lt;foreign-keys&gt;&lt;key app="EN" db-id="2ewa9rrvjsdsawep2vpx5x97eedzzvxx5rta" timestamp="1478679952"&gt;5732&lt;/key&gt;&lt;/foreign-keys&gt;&lt;ref-type name="Journal Article"&gt;17&lt;/ref-type&gt;&lt;contributors&gt;&lt;authors&gt;&lt;author&gt;Brown, H. S., 3rd&lt;/author&gt;&lt;author&gt;Perez, A.&lt;/author&gt;&lt;author&gt;Li, Y. P.&lt;/author&gt;&lt;author&gt;Hoelscher, D. M.&lt;/author&gt;&lt;author&gt;Kelder, S. H.&lt;/author&gt;&lt;author&gt;Rivera, R.&lt;/author&gt;&lt;/authors&gt;&lt;/contributors&gt;&lt;auth-address&gt;Division of Management, Policy and Community Health, University of Texas School of Public Health, Austin, TX 78701, USA. henry.s.brown@uth.tmc.edu&lt;/auth-address&gt;&lt;titles&gt;&lt;title&gt;The cost-effectiveness of a school-based overweight program&lt;/title&gt;&lt;secondary-title&gt;Int J Behav Nutr Phys Act&lt;/secondary-title&gt;&lt;/titles&gt;&lt;periodical&gt;&lt;full-title&gt;International Journal of Behavioural Nutrition and Physical Activity&lt;/full-title&gt;&lt;abbr-1&gt;Int J Behav Nutr Phys Act&lt;/abbr-1&gt;&lt;/periodical&gt;&lt;pages&gt;47&lt;/pages&gt;&lt;volume&gt;4&lt;/volume&gt;&lt;dates&gt;&lt;year&gt;2007&lt;/year&gt;&lt;/dates&gt;&lt;isbn&gt;1479-5868 (Electronic)&amp;#xD;1479-5868 (Linking)&lt;/isbn&gt;&lt;accession-num&gt;17908315&lt;/accession-num&gt;&lt;urls&gt;&lt;related-urls&gt;&lt;url&gt;http://www.ncbi.nlm.nih.gov/pubmed/17908315&lt;/url&gt;&lt;/related-urls&gt;&lt;/urls&gt;&lt;custom2&gt;2098777&lt;/custom2&gt;&lt;electronic-resource-num&gt;10.1186/1479-5868-4-47&lt;/electronic-resource-num&gt;&lt;/record&gt;&lt;/Cite&gt;&lt;/EndNote&gt;</w:instrText>
      </w:r>
      <w:r w:rsidR="00D1226D" w:rsidRPr="00296D0C">
        <w:rPr>
          <w:rFonts w:cs="Arial"/>
        </w:rPr>
        <w:fldChar w:fldCharType="separate"/>
      </w:r>
      <w:r w:rsidR="008C43BF" w:rsidRPr="008C43BF">
        <w:rPr>
          <w:rFonts w:cs="Arial"/>
          <w:noProof/>
          <w:vertAlign w:val="superscript"/>
        </w:rPr>
        <w:t>62</w:t>
      </w:r>
      <w:r w:rsidR="00D1226D" w:rsidRPr="00296D0C">
        <w:rPr>
          <w:rFonts w:cs="Arial"/>
        </w:rPr>
        <w:fldChar w:fldCharType="end"/>
      </w:r>
      <w:r w:rsidRPr="00296D0C">
        <w:rPr>
          <w:rFonts w:cs="Arial"/>
        </w:rPr>
        <w:t>; i.e. the long-term extrapolation of the intervention effect on childhood weight status to adult age based on longitudinal data from Venn et al.</w:t>
      </w:r>
      <w:r w:rsidR="00AA5D61" w:rsidRPr="00296D0C">
        <w:rPr>
          <w:rFonts w:cs="Arial"/>
        </w:rPr>
        <w:t>,</w:t>
      </w:r>
      <w:r w:rsidRPr="00296D0C">
        <w:rPr>
          <w:rFonts w:cs="Arial"/>
        </w:rPr>
        <w:t xml:space="preserve"> 2007</w:t>
      </w:r>
      <w:r w:rsidR="00D1226D" w:rsidRPr="00296D0C">
        <w:rPr>
          <w:rFonts w:cs="Arial"/>
        </w:rPr>
        <w:t xml:space="preserve"> </w:t>
      </w:r>
      <w:r w:rsidR="00780F13" w:rsidRPr="00296D0C">
        <w:rPr>
          <w:rFonts w:cs="Arial"/>
        </w:rPr>
        <w:fldChar w:fldCharType="begin"/>
      </w:r>
      <w:r w:rsidR="008C43BF">
        <w:rPr>
          <w:rFonts w:cs="Arial"/>
        </w:rPr>
        <w:instrText xml:space="preserve"> ADDIN EN.CITE &lt;EndNote&gt;&lt;Cite&gt;&lt;Author&gt;Venn&lt;/Author&gt;&lt;Year&gt;2007&lt;/Year&gt;&lt;RecNum&gt;5773&lt;/RecNum&gt;&lt;DisplayText&gt;&lt;style face="superscript"&gt;75&lt;/style&gt;&lt;/DisplayText&gt;&lt;record&gt;&lt;rec-number&gt;5773&lt;/rec-number&gt;&lt;foreign-keys&gt;&lt;key app="EN" db-id="2ewa9rrvjsdsawep2vpx5x97eedzzvxx5rta" timestamp="1478679952"&gt;5773&lt;/key&gt;&lt;/foreign-keys&gt;&lt;ref-type name="Journal Article"&gt;17&lt;/ref-type&gt;&lt;contributors&gt;&lt;authors&gt;&lt;author&gt;Venn, A. J.&lt;/author&gt;&lt;author&gt;Thomson, R. J.&lt;/author&gt;&lt;author&gt;Schmidt, M. D.&lt;/author&gt;&lt;author&gt;Cleland, V. J.&lt;/author&gt;&lt;author&gt;Curry, B. A.&lt;/author&gt;&lt;author&gt;Gennat, H. C.&lt;/author&gt;&lt;author&gt;Dwyer, T.&lt;/author&gt;&lt;/authors&gt;&lt;/contributors&gt;&lt;auth-address&gt;Menzies Research Institute, Hobart, Tasmania, Australia. Alison.Venn@utas.edu.au&lt;/auth-address&gt;&lt;titles&gt;&lt;title&gt;Overweight and obesity from childhood to adulthood: a follow-up of participants in the 1985 Australian Schools Health and Fitness Survey&lt;/title&gt;&lt;secondary-title&gt;Med J Aust&lt;/secondary-title&gt;&lt;/titles&gt;&lt;periodical&gt;&lt;full-title&gt;Medical Journal of Australia&lt;/full-title&gt;&lt;abbr-1&gt;Med. J. Aust.&lt;/abbr-1&gt;&lt;abbr-2&gt;Med J Aust&lt;/abbr-2&gt;&lt;/periodical&gt;&lt;pages&gt;458-60&lt;/pages&gt;&lt;volume&gt;186&lt;/volume&gt;&lt;number&gt;9&lt;/number&gt;&lt;keywords&gt;&lt;keyword&gt;Adolescent&lt;/keyword&gt;&lt;keyword&gt;Adult&lt;/keyword&gt;&lt;keyword&gt;Australia/epidemiology&lt;/keyword&gt;&lt;keyword&gt;Body Height&lt;/keyword&gt;&lt;keyword&gt;Body Mass Index&lt;/keyword&gt;&lt;keyword&gt;Child&lt;/keyword&gt;&lt;keyword&gt;Cohort Studies&lt;/keyword&gt;&lt;keyword&gt;Female&lt;/keyword&gt;&lt;keyword&gt;Follow-Up Studies&lt;/keyword&gt;&lt;keyword&gt;Health Surveys&lt;/keyword&gt;&lt;keyword&gt;Humans&lt;/keyword&gt;&lt;keyword&gt;Male&lt;/keyword&gt;&lt;keyword&gt;Obesity/*epidemiology&lt;/keyword&gt;&lt;keyword&gt;*Overweight&lt;/keyword&gt;&lt;keyword&gt;Prevalence&lt;/keyword&gt;&lt;/keywords&gt;&lt;dates&gt;&lt;year&gt;2007&lt;/year&gt;&lt;pub-dates&gt;&lt;date&gt;May 7&lt;/date&gt;&lt;/pub-dates&gt;&lt;/dates&gt;&lt;isbn&gt;0025-729X (Print)&amp;#xD;0025-729X (Linking)&lt;/isbn&gt;&lt;accession-num&gt;17484707&lt;/accession-num&gt;&lt;urls&gt;&lt;related-urls&gt;&lt;url&gt;http://www.ncbi.nlm.nih.gov/pubmed/17484707&lt;/url&gt;&lt;/related-urls&gt;&lt;/urls&gt;&lt;/record&gt;&lt;/Cite&gt;&lt;/EndNote&gt;</w:instrText>
      </w:r>
      <w:r w:rsidR="00780F13" w:rsidRPr="00296D0C">
        <w:rPr>
          <w:rFonts w:cs="Arial"/>
        </w:rPr>
        <w:fldChar w:fldCharType="separate"/>
      </w:r>
      <w:r w:rsidR="008C43BF" w:rsidRPr="008C43BF">
        <w:rPr>
          <w:rFonts w:cs="Arial"/>
          <w:noProof/>
          <w:vertAlign w:val="superscript"/>
        </w:rPr>
        <w:t>75</w:t>
      </w:r>
      <w:r w:rsidR="00780F13" w:rsidRPr="00296D0C">
        <w:rPr>
          <w:rFonts w:cs="Arial"/>
        </w:rPr>
        <w:fldChar w:fldCharType="end"/>
      </w:r>
      <w:r w:rsidRPr="00296D0C">
        <w:rPr>
          <w:rFonts w:cs="Arial"/>
        </w:rPr>
        <w:t>. The later models (Rush et al.</w:t>
      </w:r>
      <w:r w:rsidR="00AA5D61" w:rsidRPr="00296D0C">
        <w:rPr>
          <w:rFonts w:cs="Arial"/>
        </w:rPr>
        <w:t>,</w:t>
      </w:r>
      <w:r w:rsidRPr="00296D0C">
        <w:rPr>
          <w:rFonts w:cs="Arial"/>
        </w:rPr>
        <w:t xml:space="preserve"> 2014 </w:t>
      </w:r>
      <w:r w:rsidR="00D83533" w:rsidRPr="00296D0C">
        <w:rPr>
          <w:rFonts w:cs="Arial"/>
        </w:rPr>
        <w:fldChar w:fldCharType="begin">
          <w:fldData xml:space="preserve">PEVuZE5vdGU+PENpdGU+PEF1dGhvcj5SdXNoPC9BdXRob3I+PFllYXI+MjAxNDwvWWVhcj48UmVj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=
</w:fldData>
        </w:fldChar>
      </w:r>
      <w:r w:rsidR="008C43BF">
        <w:rPr>
          <w:rFonts w:cs="Arial"/>
        </w:rPr>
        <w:instrText xml:space="preserve"> ADDIN EN.CITE </w:instrText>
      </w:r>
      <w:r w:rsidR="008C43BF">
        <w:rPr>
          <w:rFonts w:cs="Arial"/>
        </w:rPr>
        <w:fldChar w:fldCharType="begin">
          <w:fldData xml:space="preserve">PEVuZE5vdGU+PENpdGU+PEF1dGhvcj5SdXNoPC9BdXRob3I+PFllYXI+MjAxNDwvWWVhcj48UmVj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=
</w:fldData>
        </w:fldChar>
      </w:r>
      <w:r w:rsidR="008C43BF">
        <w:rPr>
          <w:rFonts w:cs="Arial"/>
        </w:rPr>
        <w:instrText xml:space="preserve"> ADDIN EN.CITE.DATA </w:instrText>
      </w:r>
      <w:r w:rsidR="008C43BF">
        <w:rPr>
          <w:rFonts w:cs="Arial"/>
        </w:rPr>
      </w:r>
      <w:r w:rsidR="008C43BF">
        <w:rPr>
          <w:rFonts w:cs="Arial"/>
        </w:rPr>
        <w:fldChar w:fldCharType="end"/>
      </w:r>
      <w:r w:rsidR="00D83533" w:rsidRPr="00296D0C">
        <w:rPr>
          <w:rFonts w:cs="Arial"/>
        </w:rPr>
      </w:r>
      <w:r w:rsidR="00D83533" w:rsidRPr="00296D0C">
        <w:rPr>
          <w:rFonts w:cs="Arial"/>
        </w:rPr>
        <w:fldChar w:fldCharType="separate"/>
      </w:r>
      <w:r w:rsidR="008C43BF" w:rsidRPr="008C43BF">
        <w:rPr>
          <w:rFonts w:cs="Arial"/>
          <w:noProof/>
          <w:vertAlign w:val="superscript"/>
        </w:rPr>
        <w:t>65</w:t>
      </w:r>
      <w:r w:rsidR="00D83533" w:rsidRPr="00296D0C">
        <w:rPr>
          <w:rFonts w:cs="Arial"/>
        </w:rPr>
        <w:fldChar w:fldCharType="end"/>
      </w:r>
      <w:r w:rsidR="00D83533" w:rsidRPr="00296D0C">
        <w:rPr>
          <w:rFonts w:cs="Arial"/>
        </w:rPr>
        <w:t xml:space="preserve"> </w:t>
      </w:r>
      <w:r w:rsidRPr="00296D0C">
        <w:rPr>
          <w:rFonts w:cs="Arial"/>
        </w:rPr>
        <w:t>and Pil et al.</w:t>
      </w:r>
      <w:r w:rsidR="00AA5D61" w:rsidRPr="00296D0C">
        <w:rPr>
          <w:rFonts w:cs="Arial"/>
        </w:rPr>
        <w:t>,</w:t>
      </w:r>
      <w:r w:rsidRPr="00296D0C">
        <w:rPr>
          <w:rFonts w:cs="Arial"/>
        </w:rPr>
        <w:t xml:space="preserve"> 2014</w:t>
      </w:r>
      <w:r w:rsidR="00D83533" w:rsidRPr="00296D0C">
        <w:rPr>
          <w:rFonts w:cs="Arial"/>
        </w:rPr>
        <w:t xml:space="preserve"> </w:t>
      </w:r>
      <w:r w:rsidR="00D83533" w:rsidRPr="00296D0C">
        <w:rPr>
          <w:rFonts w:cs="Arial"/>
        </w:rPr>
        <w:fldChar w:fldCharType="begin">
          <w:fldData xml:space="preserve">PEVuZE5vdGU+PENpdGU+PEF1dGhvcj5QaWw8L0F1dGhvcj48WWVhcj4yMDE0PC9ZZWFyPjxSZWNO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=
</w:fldData>
        </w:fldChar>
      </w:r>
      <w:r w:rsidR="008C43BF">
        <w:rPr>
          <w:rFonts w:cs="Arial"/>
        </w:rPr>
        <w:instrText xml:space="preserve"> ADDIN EN.CITE </w:instrText>
      </w:r>
      <w:r w:rsidR="008C43BF">
        <w:rPr>
          <w:rFonts w:cs="Arial"/>
        </w:rPr>
        <w:fldChar w:fldCharType="begin">
          <w:fldData xml:space="preserve">PEVuZE5vdGU+PENpdGU+PEF1dGhvcj5QaWw8L0F1dGhvcj48WWVhcj4yMDE0PC9ZZWFyPjxSZWNO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=
</w:fldData>
        </w:fldChar>
      </w:r>
      <w:r w:rsidR="008C43BF">
        <w:rPr>
          <w:rFonts w:cs="Arial"/>
        </w:rPr>
        <w:instrText xml:space="preserve"> ADDIN EN.CITE.DATA </w:instrText>
      </w:r>
      <w:r w:rsidR="008C43BF">
        <w:rPr>
          <w:rFonts w:cs="Arial"/>
        </w:rPr>
      </w:r>
      <w:r w:rsidR="008C43BF">
        <w:rPr>
          <w:rFonts w:cs="Arial"/>
        </w:rPr>
        <w:fldChar w:fldCharType="end"/>
      </w:r>
      <w:r w:rsidR="00D83533" w:rsidRPr="00296D0C">
        <w:rPr>
          <w:rFonts w:cs="Arial"/>
        </w:rPr>
      </w:r>
      <w:r w:rsidR="00D83533" w:rsidRPr="00296D0C">
        <w:rPr>
          <w:rFonts w:cs="Arial"/>
        </w:rPr>
        <w:fldChar w:fldCharType="separate"/>
      </w:r>
      <w:r w:rsidR="008C43BF" w:rsidRPr="008C43BF">
        <w:rPr>
          <w:rFonts w:cs="Arial"/>
          <w:noProof/>
          <w:vertAlign w:val="superscript"/>
        </w:rPr>
        <w:t>64</w:t>
      </w:r>
      <w:r w:rsidR="00D83533" w:rsidRPr="00296D0C">
        <w:rPr>
          <w:rFonts w:cs="Arial"/>
        </w:rPr>
        <w:fldChar w:fldCharType="end"/>
      </w:r>
      <w:r w:rsidRPr="00296D0C">
        <w:rPr>
          <w:rFonts w:cs="Arial"/>
        </w:rPr>
        <w:t>), adopted a different approach in the second stage. Rather than estimating the medical care costs averted per case of adulthood overweight prevented, both studies projected the incidence of chronic diseases associated with obesity and mortality in adulthood. A core set of weight-related events were included in the models: coronary heart disease; strok</w:t>
      </w:r>
      <w:r w:rsidR="005126C2" w:rsidRPr="00296D0C">
        <w:rPr>
          <w:rFonts w:cs="Arial"/>
        </w:rPr>
        <w:t>e; diabetes; breast cancer; and</w:t>
      </w:r>
      <w:r w:rsidRPr="00296D0C">
        <w:rPr>
          <w:rFonts w:cs="Arial"/>
        </w:rPr>
        <w:t xml:space="preserve"> colorectal cancer. The remaining three models (Hollingworth et al.</w:t>
      </w:r>
      <w:r w:rsidR="00AA5D61" w:rsidRPr="00296D0C">
        <w:rPr>
          <w:rFonts w:cs="Arial"/>
        </w:rPr>
        <w:t>,</w:t>
      </w:r>
      <w:r w:rsidRPr="00296D0C">
        <w:rPr>
          <w:rFonts w:cs="Arial"/>
        </w:rPr>
        <w:t xml:space="preserve"> 2012</w:t>
      </w:r>
      <w:r w:rsidR="00AF4B75" w:rsidRPr="00296D0C">
        <w:rPr>
          <w:rFonts w:cs="Arial"/>
        </w:rPr>
        <w:t xml:space="preserve"> </w:t>
      </w:r>
      <w:r w:rsidR="00AF4B75" w:rsidRPr="00296D0C">
        <w:rPr>
          <w:rFonts w:cs="Arial"/>
        </w:rPr>
        <w:fldChar w:fldCharType="begin"/>
      </w:r>
      <w:r w:rsidR="008C43BF">
        <w:rPr>
          <w:rFonts w:cs="Arial"/>
        </w:rPr>
        <w:instrText xml:space="preserve"> ADDIN EN.CITE &lt;EndNote&gt;&lt;Cite&gt;&lt;Author&gt;Hollingworth&lt;/Author&gt;&lt;Year&gt;2012&lt;/Year&gt;&lt;RecNum&gt;5746&lt;/RecNum&gt;&lt;DisplayText&gt;&lt;style face="superscript"&gt;63&lt;/style&gt;&lt;/DisplayText&gt;&lt;record&gt;&lt;rec-number&gt;5746&lt;/rec-number&gt;&lt;foreign-keys&gt;&lt;key app="EN" db-id="2ewa9rrvjsdsawep2vpx5x97eedzzvxx5rta" timestamp="1478679952"&gt;5746&lt;/key&gt;&lt;/foreign-keys&gt;&lt;ref-type name="Journal Article"&gt;17&lt;/ref-type&gt;&lt;contributors&gt;&lt;authors&gt;&lt;author&gt;Hollingworth, W.&lt;/author&gt;&lt;author&gt;Hawkins, J.&lt;/author&gt;&lt;author&gt;Lawlor, D. A.&lt;/author&gt;&lt;author&gt;Brown, M.&lt;/author&gt;&lt;author&gt;Marsh, T.&lt;/author&gt;&lt;author&gt;Kipping, R. R.&lt;/author&gt;&lt;/authors&gt;&lt;/contributors&gt;&lt;auth-address&gt;School of Social and Community Medicine, University of Bristol, Bristol, UK. william.hollingworth@bristol.ac.uk&lt;/auth-address&gt;&lt;titles&gt;&lt;title&gt;Economic evaluation of lifestyle interventions to treat overweight or obesity in children&lt;/title&gt;&lt;secondary-title&gt;Int J Obes (Lond)&lt;/secondary-title&gt;&lt;/titles&gt;&lt;periodical&gt;&lt;full-title&gt;International Journal of Obesity (2005)&lt;/full-title&gt;&lt;abbr-1&gt;Int. J. Obes. (Lond.)&lt;/abbr-1&gt;&lt;abbr-2&gt;Int J Obes (Lond)&lt;/abbr-2&gt;&lt;/periodical&gt;&lt;pages&gt;559-66&lt;/pages&gt;&lt;volume&gt;36&lt;/volume&gt;&lt;number&gt;4&lt;/number&gt;&lt;keywords&gt;&lt;keyword&gt;Body Mass Index&lt;/keyword&gt;&lt;keyword&gt;Child&lt;/keyword&gt;&lt;keyword&gt;Child, Preschool&lt;/keyword&gt;&lt;keyword&gt;Cost-Benefit Analysis&lt;/keyword&gt;&lt;keyword&gt;Female&lt;/keyword&gt;&lt;keyword&gt;Great Britain/epidemiology&lt;/keyword&gt;&lt;keyword&gt;Humans&lt;/keyword&gt;&lt;keyword&gt;Male&lt;/keyword&gt;&lt;keyword&gt;Models, Economic&lt;/keyword&gt;&lt;keyword&gt;National Health Programs&lt;/keyword&gt;&lt;keyword&gt;Obesity/economics&lt;/keyword&gt;&lt;keyword&gt;Overweight/*economics/epidemiology/prevention &amp;amp; control/*therapy&lt;/keyword&gt;&lt;keyword&gt;Randomized Controlled Trials as Topic&lt;/keyword&gt;&lt;keyword&gt;*Risk Reduction Behavior&lt;/keyword&gt;&lt;/keywords&gt;&lt;dates&gt;&lt;year&gt;2012&lt;/year&gt;&lt;pub-dates&gt;&lt;date&gt;Apr&lt;/date&gt;&lt;/pub-dates&gt;&lt;/dates&gt;&lt;isbn&gt;1476-5497 (Electronic)&amp;#xD;0307-0565 (Linking)&lt;/isbn&gt;&lt;accession-num&gt;22249222&lt;/accession-num&gt;&lt;urls&gt;&lt;related-urls&gt;&lt;url&gt;http://www.ncbi.nlm.nih.gov/pubmed/22249222&lt;/url&gt;&lt;/related-urls&gt;&lt;/urls&gt;&lt;electronic-resource-num&gt;10.1038/ijo.2011.272&lt;/electronic-resource-num&gt;&lt;/record&gt;&lt;/Cite&gt;&lt;/EndNote&gt;</w:instrText>
      </w:r>
      <w:r w:rsidR="00AF4B75" w:rsidRPr="00296D0C">
        <w:rPr>
          <w:rFonts w:cs="Arial"/>
        </w:rPr>
        <w:fldChar w:fldCharType="separate"/>
      </w:r>
      <w:r w:rsidR="008C43BF" w:rsidRPr="008C43BF">
        <w:rPr>
          <w:rFonts w:cs="Arial"/>
          <w:noProof/>
          <w:vertAlign w:val="superscript"/>
        </w:rPr>
        <w:t>63</w:t>
      </w:r>
      <w:r w:rsidR="00AF4B75" w:rsidRPr="00296D0C">
        <w:rPr>
          <w:rFonts w:cs="Arial"/>
        </w:rPr>
        <w:fldChar w:fldCharType="end"/>
      </w:r>
      <w:r w:rsidRPr="00296D0C">
        <w:rPr>
          <w:rFonts w:cs="Arial"/>
        </w:rPr>
        <w:t>, Tran et al.</w:t>
      </w:r>
      <w:r w:rsidR="00AA5D61" w:rsidRPr="00296D0C">
        <w:rPr>
          <w:rFonts w:cs="Arial"/>
        </w:rPr>
        <w:t>,</w:t>
      </w:r>
      <w:r w:rsidRPr="00296D0C">
        <w:rPr>
          <w:rFonts w:cs="Arial"/>
        </w:rPr>
        <w:t xml:space="preserve"> 2014</w:t>
      </w:r>
      <w:r w:rsidR="00AF4B75" w:rsidRPr="00296D0C">
        <w:rPr>
          <w:rFonts w:cs="Arial"/>
        </w:rPr>
        <w:t xml:space="preserve"> </w:t>
      </w:r>
      <w:r w:rsidR="00AF4B75" w:rsidRPr="00296D0C">
        <w:rPr>
          <w:rFonts w:cs="Arial"/>
        </w:rPr>
        <w:fldChar w:fldCharType="begin"/>
      </w:r>
      <w:r w:rsidR="008C43BF">
        <w:rPr>
          <w:rFonts w:cs="Arial"/>
        </w:rPr>
        <w:instrText xml:space="preserve"> ADDIN EN.CITE &lt;EndNote&gt;&lt;Cite&gt;&lt;Author&gt;Tran&lt;/Author&gt;&lt;Year&gt;2014&lt;/Year&gt;&lt;RecNum&gt;5771&lt;/RecNum&gt;&lt;DisplayText&gt;&lt;style face="superscript"&gt;66&lt;/style&gt;&lt;/DisplayText&gt;&lt;record&gt;&lt;rec-number&gt;5771&lt;/rec-number&gt;&lt;foreign-keys&gt;&lt;key app="EN" db-id="2ewa9rrvjsdsawep2vpx5x97eedzzvxx5rta" timestamp="1478679952"&gt;5771&lt;/key&gt;&lt;/foreign-keys&gt;&lt;ref-type name="Journal Article"&gt;17&lt;/ref-type&gt;&lt;contributors&gt;&lt;authors&gt;&lt;author&gt;Tran, B. X.&lt;/author&gt;&lt;author&gt;Ohinmaa, A.&lt;/author&gt;&lt;author&gt;Kuhle, S.&lt;/author&gt;&lt;author&gt;Johnson, J. A.&lt;/author&gt;&lt;author&gt;Veugelers, P. J.&lt;/author&gt;&lt;/authors&gt;&lt;/contributors&gt;&lt;auth-address&gt;School of Public Health, University of Alberta, Edmonton, Alberta, Canada.&amp;#xD;Department of Pediatrics, Obstetrics &amp;amp; Gynecology, Dalhousie University, Halifax, NS, Canada.&lt;/auth-address&gt;&lt;titles&gt;&lt;title&gt;Life course impact of school-based promotion of healthy eating and active living to prevent childhood obesity&lt;/title&gt;&lt;secondary-title&gt;PLoS One&lt;/secondary-title&gt;&lt;/titles&gt;&lt;periodical&gt;&lt;full-title&gt;PloS One&lt;/full-title&gt;&lt;abbr-1&gt;PLoS One&lt;/abbr-1&gt;&lt;abbr-2&gt;PLoS One&lt;/abbr-2&gt;&lt;/periodical&gt;&lt;pages&gt;e102242&lt;/pages&gt;&lt;volume&gt;9&lt;/volume&gt;&lt;number&gt;7&lt;/number&gt;&lt;keywords&gt;&lt;keyword&gt;Child&lt;/keyword&gt;&lt;keyword&gt;*Eating&lt;/keyword&gt;&lt;keyword&gt;*Health Promotion&lt;/keyword&gt;&lt;keyword&gt;Humans&lt;/keyword&gt;&lt;keyword&gt;*Life Style&lt;/keyword&gt;&lt;keyword&gt;Obesity/*prevention &amp;amp; control&lt;/keyword&gt;&lt;keyword&gt;School Health Services/*organization &amp;amp; administration&lt;/keyword&gt;&lt;/keywords&gt;&lt;dates&gt;&lt;year&gt;2014&lt;/year&gt;&lt;/dates&gt;&lt;isbn&gt;1932-6203 (Electronic)&amp;#xD;1932-6203 (Linking)&lt;/isbn&gt;&lt;accession-num&gt;25025581&lt;/accession-num&gt;&lt;urls&gt;&lt;related-urls&gt;&lt;url&gt;http://www.ncbi.nlm.nih.gov/pubmed/25025581&lt;/url&gt;&lt;/related-urls&gt;&lt;/urls&gt;&lt;custom2&gt;4099303&lt;/custom2&gt;&lt;electronic-resource-num&gt;10.1371/journal.pone.0102242&lt;/electronic-resource-num&gt;&lt;/record&gt;&lt;/Cite&gt;&lt;/EndNote&gt;</w:instrText>
      </w:r>
      <w:r w:rsidR="00AF4B75" w:rsidRPr="00296D0C">
        <w:rPr>
          <w:rFonts w:cs="Arial"/>
        </w:rPr>
        <w:fldChar w:fldCharType="separate"/>
      </w:r>
      <w:r w:rsidR="008C43BF" w:rsidRPr="008C43BF">
        <w:rPr>
          <w:rFonts w:cs="Arial"/>
          <w:noProof/>
          <w:vertAlign w:val="superscript"/>
        </w:rPr>
        <w:t>66</w:t>
      </w:r>
      <w:r w:rsidR="00AF4B75" w:rsidRPr="00296D0C">
        <w:rPr>
          <w:rFonts w:cs="Arial"/>
        </w:rPr>
        <w:fldChar w:fldCharType="end"/>
      </w:r>
      <w:r w:rsidR="00AF4B75" w:rsidRPr="00296D0C">
        <w:rPr>
          <w:rFonts w:cs="Arial"/>
        </w:rPr>
        <w:t xml:space="preserve"> </w:t>
      </w:r>
      <w:r w:rsidRPr="00296D0C">
        <w:rPr>
          <w:rFonts w:cs="Arial"/>
        </w:rPr>
        <w:t>, and Gortmaker et al.</w:t>
      </w:r>
      <w:r w:rsidR="00AA5D61" w:rsidRPr="00296D0C">
        <w:rPr>
          <w:rFonts w:cs="Arial"/>
        </w:rPr>
        <w:t>,</w:t>
      </w:r>
      <w:r w:rsidRPr="00296D0C">
        <w:rPr>
          <w:rFonts w:cs="Arial"/>
        </w:rPr>
        <w:t xml:space="preserve"> 2015</w:t>
      </w:r>
      <w:r w:rsidR="00AF4B75" w:rsidRPr="00296D0C">
        <w:rPr>
          <w:rFonts w:cs="Arial"/>
        </w:rPr>
        <w:t xml:space="preserve"> </w:t>
      </w:r>
      <w:r w:rsidR="00AF4B75" w:rsidRPr="00296D0C">
        <w:rPr>
          <w:rFonts w:cs="Arial"/>
        </w:rPr>
        <w:fldChar w:fldCharType="begin">
          <w:fldData xml:space="preserve">PEVuZE5vdGU+PENpdGU+PEF1dGhvcj5Hb3J0bWFrZXI8L0F1dGhvcj48WWVhcj4yMDE1PC9ZZWFy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</w:fldData>
        </w:fldChar>
      </w:r>
      <w:r w:rsidR="008C43BF">
        <w:rPr>
          <w:rFonts w:cs="Arial"/>
        </w:rPr>
        <w:instrText xml:space="preserve"> ADDIN EN.CITE </w:instrText>
      </w:r>
      <w:r w:rsidR="008C43BF">
        <w:rPr>
          <w:rFonts w:cs="Arial"/>
        </w:rPr>
        <w:fldChar w:fldCharType="begin">
          <w:fldData xml:space="preserve">PEVuZE5vdGU+PENpdGU+PEF1dGhvcj5Hb3J0bWFrZXI8L0F1dGhvcj48WWVhcj4yMDE1PC9ZZWFy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</w:fldData>
        </w:fldChar>
      </w:r>
      <w:r w:rsidR="008C43BF">
        <w:rPr>
          <w:rFonts w:cs="Arial"/>
        </w:rPr>
        <w:instrText xml:space="preserve"> ADDIN EN.CITE.DATA </w:instrText>
      </w:r>
      <w:r w:rsidR="008C43BF">
        <w:rPr>
          <w:rFonts w:cs="Arial"/>
        </w:rPr>
      </w:r>
      <w:r w:rsidR="008C43BF">
        <w:rPr>
          <w:rFonts w:cs="Arial"/>
        </w:rPr>
        <w:fldChar w:fldCharType="end"/>
      </w:r>
      <w:r w:rsidR="00AF4B75" w:rsidRPr="00296D0C">
        <w:rPr>
          <w:rFonts w:cs="Arial"/>
        </w:rPr>
      </w:r>
      <w:r w:rsidR="00AF4B75" w:rsidRPr="00296D0C">
        <w:rPr>
          <w:rFonts w:cs="Arial"/>
        </w:rPr>
        <w:fldChar w:fldCharType="separate"/>
      </w:r>
      <w:r w:rsidR="008C43BF" w:rsidRPr="008C43BF">
        <w:rPr>
          <w:rFonts w:cs="Arial"/>
          <w:noProof/>
          <w:vertAlign w:val="superscript"/>
        </w:rPr>
        <w:t>68</w:t>
      </w:r>
      <w:r w:rsidR="00AF4B75" w:rsidRPr="00296D0C">
        <w:rPr>
          <w:rFonts w:cs="Arial"/>
        </w:rPr>
        <w:fldChar w:fldCharType="end"/>
      </w:r>
      <w:r w:rsidRPr="00296D0C">
        <w:rPr>
          <w:rFonts w:cs="Arial"/>
        </w:rPr>
        <w:t>), used epidemiological models; statistical (Hollingworth et al.</w:t>
      </w:r>
      <w:r w:rsidR="00AA5D61" w:rsidRPr="00296D0C">
        <w:rPr>
          <w:rFonts w:cs="Arial"/>
        </w:rPr>
        <w:t>,</w:t>
      </w:r>
      <w:r w:rsidRPr="00296D0C">
        <w:rPr>
          <w:rFonts w:cs="Arial"/>
        </w:rPr>
        <w:t xml:space="preserve"> 2012</w:t>
      </w:r>
      <w:r w:rsidR="00AF4B75" w:rsidRPr="00296D0C">
        <w:rPr>
          <w:rFonts w:cs="Arial"/>
        </w:rPr>
        <w:t xml:space="preserve"> </w:t>
      </w:r>
      <w:r w:rsidR="00AF4B75" w:rsidRPr="00296D0C">
        <w:rPr>
          <w:rFonts w:cs="Arial"/>
        </w:rPr>
        <w:fldChar w:fldCharType="begin"/>
      </w:r>
      <w:r w:rsidR="008C43BF">
        <w:rPr>
          <w:rFonts w:cs="Arial"/>
        </w:rPr>
        <w:instrText xml:space="preserve"> ADDIN EN.CITE &lt;EndNote&gt;&lt;Cite&gt;&lt;Author&gt;Hollingworth&lt;/Author&gt;&lt;Year&gt;2012&lt;/Year&gt;&lt;RecNum&gt;5746&lt;/RecNum&gt;&lt;DisplayText&gt;&lt;style face="superscript"&gt;63&lt;/style&gt;&lt;/DisplayText&gt;&lt;record&gt;&lt;rec-number&gt;5746&lt;/rec-number&gt;&lt;foreign-keys&gt;&lt;key app="EN" db-id="2ewa9rrvjsdsawep2vpx5x97eedzzvxx5rta" timestamp="1478679952"&gt;5746&lt;/key&gt;&lt;/foreign-keys&gt;&lt;ref-type name="Journal Article"&gt;17&lt;/ref-type&gt;&lt;contributors&gt;&lt;authors&gt;&lt;author&gt;Hollingworth, W.&lt;/author&gt;&lt;author&gt;Hawkins, J.&lt;/author&gt;&lt;author&gt;Lawlor, D. A.&lt;/author&gt;&lt;author&gt;Brown, M.&lt;/author&gt;&lt;author&gt;Marsh, T.&lt;/author&gt;&lt;author&gt;Kipping, R. R.&lt;/author&gt;&lt;/authors&gt;&lt;/contributors&gt;&lt;auth-address&gt;School of Social and Community Medicine, University of Bristol, Bristol, UK. william.hollingworth@bristol.ac.uk&lt;/auth-address&gt;&lt;titles&gt;&lt;title&gt;Economic evaluation of lifestyle interventions to treat overweight or obesity in children&lt;/title&gt;&lt;secondary-title&gt;Int J Obes (Lond)&lt;/secondary-title&gt;&lt;/titles&gt;&lt;periodical&gt;&lt;full-title&gt;International Journal of Obesity (2005)&lt;/full-title&gt;&lt;abbr-1&gt;Int. J. Obes. (Lond.)&lt;/abbr-1&gt;&lt;abbr-2&gt;Int J Obes (Lond)&lt;/abbr-2&gt;&lt;/periodical&gt;&lt;pages&gt;559-66&lt;/pages&gt;&lt;volume&gt;36&lt;/volume&gt;&lt;number&gt;4&lt;/number&gt;&lt;keywords&gt;&lt;keyword&gt;Body Mass Index&lt;/keyword&gt;&lt;keyword&gt;Child&lt;/keyword&gt;&lt;keyword&gt;Child, Preschool&lt;/keyword&gt;&lt;keyword&gt;Cost-Benefit Analysis&lt;/keyword&gt;&lt;keyword&gt;Female&lt;/keyword&gt;&lt;keyword&gt;Great Britain/epidemiology&lt;/keyword&gt;&lt;keyword&gt;Humans&lt;/keyword&gt;&lt;keyword&gt;Male&lt;/keyword&gt;&lt;keyword&gt;Models, Economic&lt;/keyword&gt;&lt;keyword&gt;National Health Programs&lt;/keyword&gt;&lt;keyword&gt;Obesity/economics&lt;/keyword&gt;&lt;keyword&gt;Overweight/*economics/epidemiology/prevention &amp;amp; control/*therapy&lt;/keyword&gt;&lt;keyword&gt;Randomized Controlled Trials as Topic&lt;/keyword&gt;&lt;keyword&gt;*Risk Reduction Behavior&lt;/keyword&gt;&lt;/keywords&gt;&lt;dates&gt;&lt;year&gt;2012&lt;/year&gt;&lt;pub-dates&gt;&lt;date&gt;Apr&lt;/date&gt;&lt;/pub-dates&gt;&lt;/dates&gt;&lt;isbn&gt;1476-5497 (Electronic)&amp;#xD;0307-0565 (Linking)&lt;/isbn&gt;&lt;accession-num&gt;22249222&lt;/accession-num&gt;&lt;urls&gt;&lt;related-urls&gt;&lt;url&gt;http://www.ncbi.nlm.nih.gov/pubmed/22249222&lt;/url&gt;&lt;/related-urls&gt;&lt;/urls&gt;&lt;electronic-resource-num&gt;10.1038/ijo.2011.272&lt;/electronic-resource-num&gt;&lt;/record&gt;&lt;/Cite&gt;&lt;/EndNote&gt;</w:instrText>
      </w:r>
      <w:r w:rsidR="00AF4B75" w:rsidRPr="00296D0C">
        <w:rPr>
          <w:rFonts w:cs="Arial"/>
        </w:rPr>
        <w:fldChar w:fldCharType="separate"/>
      </w:r>
      <w:r w:rsidR="008C43BF" w:rsidRPr="008C43BF">
        <w:rPr>
          <w:rFonts w:cs="Arial"/>
          <w:noProof/>
          <w:vertAlign w:val="superscript"/>
        </w:rPr>
        <w:t>63</w:t>
      </w:r>
      <w:r w:rsidR="00AF4B75" w:rsidRPr="00296D0C">
        <w:rPr>
          <w:rFonts w:cs="Arial"/>
        </w:rPr>
        <w:fldChar w:fldCharType="end"/>
      </w:r>
      <w:r w:rsidRPr="00296D0C">
        <w:rPr>
          <w:rFonts w:cs="Arial"/>
        </w:rPr>
        <w:t xml:space="preserve"> and Gortmaker et al.</w:t>
      </w:r>
      <w:r w:rsidR="00AA5D61" w:rsidRPr="00296D0C">
        <w:rPr>
          <w:rFonts w:cs="Arial"/>
        </w:rPr>
        <w:t>,</w:t>
      </w:r>
      <w:r w:rsidRPr="00296D0C">
        <w:rPr>
          <w:rFonts w:cs="Arial"/>
        </w:rPr>
        <w:t xml:space="preserve"> 2015</w:t>
      </w:r>
      <w:r w:rsidR="00AF4B75" w:rsidRPr="00296D0C">
        <w:rPr>
          <w:rFonts w:cs="Arial"/>
        </w:rPr>
        <w:t xml:space="preserve"> </w:t>
      </w:r>
      <w:r w:rsidR="00AF4B75" w:rsidRPr="00296D0C">
        <w:rPr>
          <w:rFonts w:cs="Arial"/>
        </w:rPr>
        <w:fldChar w:fldCharType="begin">
          <w:fldData xml:space="preserve">PEVuZE5vdGU+PENpdGU+PEF1dGhvcj5Hb3J0bWFrZXI8L0F1dGhvcj48WWVhcj4yMDE1PC9ZZWFy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</w:fldData>
        </w:fldChar>
      </w:r>
      <w:r w:rsidR="008C43BF">
        <w:rPr>
          <w:rFonts w:cs="Arial"/>
        </w:rPr>
        <w:instrText xml:space="preserve"> ADDIN EN.CITE </w:instrText>
      </w:r>
      <w:r w:rsidR="008C43BF">
        <w:rPr>
          <w:rFonts w:cs="Arial"/>
        </w:rPr>
        <w:fldChar w:fldCharType="begin">
          <w:fldData xml:space="preserve">PEVuZE5vdGU+PENpdGU+PEF1dGhvcj5Hb3J0bWFrZXI8L0F1dGhvcj48WWVhcj4yMDE1PC9ZZWFy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</w:fldData>
        </w:fldChar>
      </w:r>
      <w:r w:rsidR="008C43BF">
        <w:rPr>
          <w:rFonts w:cs="Arial"/>
        </w:rPr>
        <w:instrText xml:space="preserve"> ADDIN EN.CITE.DATA </w:instrText>
      </w:r>
      <w:r w:rsidR="008C43BF">
        <w:rPr>
          <w:rFonts w:cs="Arial"/>
        </w:rPr>
      </w:r>
      <w:r w:rsidR="008C43BF">
        <w:rPr>
          <w:rFonts w:cs="Arial"/>
        </w:rPr>
        <w:fldChar w:fldCharType="end"/>
      </w:r>
      <w:r w:rsidR="00AF4B75" w:rsidRPr="00296D0C">
        <w:rPr>
          <w:rFonts w:cs="Arial"/>
        </w:rPr>
      </w:r>
      <w:r w:rsidR="00AF4B75" w:rsidRPr="00296D0C">
        <w:rPr>
          <w:rFonts w:cs="Arial"/>
        </w:rPr>
        <w:fldChar w:fldCharType="separate"/>
      </w:r>
      <w:r w:rsidR="008C43BF" w:rsidRPr="008C43BF">
        <w:rPr>
          <w:rFonts w:cs="Arial"/>
          <w:noProof/>
          <w:vertAlign w:val="superscript"/>
        </w:rPr>
        <w:t>68</w:t>
      </w:r>
      <w:r w:rsidR="00AF4B75" w:rsidRPr="00296D0C">
        <w:rPr>
          <w:rFonts w:cs="Arial"/>
        </w:rPr>
        <w:fldChar w:fldCharType="end"/>
      </w:r>
      <w:r w:rsidRPr="00296D0C">
        <w:rPr>
          <w:rFonts w:cs="Arial"/>
        </w:rPr>
        <w:t>) and prevalence profile (Tran et al.</w:t>
      </w:r>
      <w:r w:rsidR="00AA5D61" w:rsidRPr="00296D0C">
        <w:rPr>
          <w:rFonts w:cs="Arial"/>
        </w:rPr>
        <w:t>,</w:t>
      </w:r>
      <w:r w:rsidRPr="00296D0C">
        <w:rPr>
          <w:rFonts w:cs="Arial"/>
        </w:rPr>
        <w:t xml:space="preserve"> 2014</w:t>
      </w:r>
      <w:r w:rsidR="00AF4B75" w:rsidRPr="00296D0C">
        <w:rPr>
          <w:rFonts w:cs="Arial"/>
        </w:rPr>
        <w:t xml:space="preserve"> </w:t>
      </w:r>
      <w:r w:rsidR="00AF4B75" w:rsidRPr="00296D0C">
        <w:rPr>
          <w:rFonts w:cs="Arial"/>
        </w:rPr>
        <w:fldChar w:fldCharType="begin"/>
      </w:r>
      <w:r w:rsidR="008C43BF">
        <w:rPr>
          <w:rFonts w:cs="Arial"/>
        </w:rPr>
        <w:instrText xml:space="preserve"> ADDIN EN.CITE &lt;EndNote&gt;&lt;Cite&gt;&lt;Author&gt;Tran&lt;/Author&gt;&lt;Year&gt;2014&lt;/Year&gt;&lt;RecNum&gt;5771&lt;/RecNum&gt;&lt;DisplayText&gt;&lt;style face="superscript"&gt;66&lt;/style&gt;&lt;/DisplayText&gt;&lt;record&gt;&lt;rec-number&gt;5771&lt;/rec-number&gt;&lt;foreign-keys&gt;&lt;key app="EN" db-id="2ewa9rrvjsdsawep2vpx5x97eedzzvxx5rta" timestamp="1478679952"&gt;5771&lt;/key&gt;&lt;/foreign-keys&gt;&lt;ref-type name="Journal Article"&gt;17&lt;/ref-type&gt;&lt;contributors&gt;&lt;authors&gt;&lt;author&gt;Tran, B. X.&lt;/author&gt;&lt;author&gt;Ohinmaa, A.&lt;/author&gt;&lt;author&gt;Kuhle, S.&lt;/author&gt;&lt;author&gt;Johnson, J. A.&lt;/author&gt;&lt;author&gt;Veugelers, P. J.&lt;/author&gt;&lt;/authors&gt;&lt;/contributors&gt;&lt;auth-address&gt;School of Public Health, University of Alberta, Edmonton, Alberta, Canada.&amp;#xD;Department of Pediatrics, Obstetrics &amp;amp; Gynecology, Dalhousie University, Halifax, NS, Canada.&lt;/auth-address&gt;&lt;titles&gt;&lt;title&gt;Life course impact of school-based promotion of healthy eating and active living to prevent childhood obesity&lt;/title&gt;&lt;secondary-title&gt;PLoS One&lt;/secondary-title&gt;&lt;/titles&gt;&lt;periodical&gt;&lt;full-title&gt;PloS One&lt;/full-title&gt;&lt;abbr-1&gt;PLoS One&lt;/abbr-1&gt;&lt;abbr-2&gt;PLoS One&lt;/abbr-2&gt;&lt;/periodical&gt;&lt;pages&gt;e102242&lt;/pages&gt;&lt;volume&gt;9&lt;/volume&gt;&lt;number&gt;7&lt;/number&gt;&lt;keywords&gt;&lt;keyword&gt;Child&lt;/keyword&gt;&lt;keyword&gt;*Eating&lt;/keyword&gt;&lt;keyword&gt;*Health Promotion&lt;/keyword&gt;&lt;keyword&gt;Humans&lt;/keyword&gt;&lt;keyword&gt;*Life Style&lt;/keyword&gt;&lt;keyword&gt;Obesity/*prevention &amp;amp; control&lt;/keyword&gt;&lt;keyword&gt;School Health Services/*organization &amp;amp; administration&lt;/keyword&gt;&lt;/keywords&gt;&lt;dates&gt;&lt;year&gt;2014&lt;/year&gt;&lt;/dates&gt;&lt;isbn&gt;1932-6203 (Electronic)&amp;#xD;1932-6203 (Linking)&lt;/isbn&gt;&lt;accession-num&gt;25025581&lt;/accession-num&gt;&lt;urls&gt;&lt;related-urls&gt;&lt;url&gt;http://www.ncbi.nlm.nih.gov/pubmed/25025581&lt;/url&gt;&lt;/related-urls&gt;&lt;/urls&gt;&lt;custom2&gt;4099303&lt;/custom2&gt;&lt;electronic-resource-num&gt;10.1371/journal.pone.0102242&lt;/electronic-resource-num&gt;&lt;/record&gt;&lt;/Cite&gt;&lt;/EndNote&gt;</w:instrText>
      </w:r>
      <w:r w:rsidR="00AF4B75" w:rsidRPr="00296D0C">
        <w:rPr>
          <w:rFonts w:cs="Arial"/>
        </w:rPr>
        <w:fldChar w:fldCharType="separate"/>
      </w:r>
      <w:r w:rsidR="008C43BF" w:rsidRPr="008C43BF">
        <w:rPr>
          <w:rFonts w:cs="Arial"/>
          <w:noProof/>
          <w:vertAlign w:val="superscript"/>
        </w:rPr>
        <w:t>66</w:t>
      </w:r>
      <w:r w:rsidR="00AF4B75" w:rsidRPr="00296D0C">
        <w:rPr>
          <w:rFonts w:cs="Arial"/>
        </w:rPr>
        <w:fldChar w:fldCharType="end"/>
      </w:r>
      <w:r w:rsidRPr="00296D0C">
        <w:rPr>
          <w:rFonts w:cs="Arial"/>
        </w:rPr>
        <w:t xml:space="preserve">) approaches. These models present as potentially useful modelling frameworks for the assessment of interventions for childhood obesity, but at the present time the detail reported for these approaches was not sufficient to fully understand the specific detail and methods employed, and importantly the detail available did not allow us to replicate the methods used.  </w:t>
      </w:r>
    </w:p>
    <w:p w14:paraId="524251F4" w14:textId="77777777" w:rsidR="00861557" w:rsidRPr="00296D0C" w:rsidRDefault="00861557" w:rsidP="00861557"/>
    <w:p w14:paraId="554ECDD0" w14:textId="77777777" w:rsidR="00861557" w:rsidRPr="00296D0C" w:rsidRDefault="00861557" w:rsidP="00861557">
      <w:pPr>
        <w:rPr>
          <w:rFonts w:cs="Arial"/>
          <w:b/>
          <w:spacing w:val="20"/>
        </w:rPr>
      </w:pPr>
      <w:r w:rsidRPr="00296D0C">
        <w:rPr>
          <w:rFonts w:cs="Arial"/>
        </w:rPr>
        <w:br w:type="page"/>
      </w:r>
    </w:p>
    <w:p w14:paraId="4B3A8C0A" w14:textId="13D44482" w:rsidR="00861557" w:rsidRPr="00296D0C" w:rsidRDefault="006573CD" w:rsidP="006573CD">
      <w:pPr>
        <w:pStyle w:val="Heading4"/>
        <w:rPr>
          <w:rFonts w:asciiTheme="minorHAnsi" w:hAnsiTheme="minorHAnsi" w:cs="Arial"/>
          <w:i w:val="0"/>
          <w:color w:val="auto"/>
        </w:rPr>
      </w:pPr>
      <w:r w:rsidRPr="00296D0C">
        <w:rPr>
          <w:rFonts w:asciiTheme="minorHAnsi" w:hAnsiTheme="minorHAnsi" w:cs="Arial"/>
          <w:i w:val="0"/>
          <w:color w:val="auto"/>
        </w:rPr>
        <w:lastRenderedPageBreak/>
        <w:t>4.</w:t>
      </w:r>
      <w:r w:rsidR="00576BE5">
        <w:rPr>
          <w:rFonts w:asciiTheme="minorHAnsi" w:hAnsiTheme="minorHAnsi" w:cs="Arial"/>
          <w:i w:val="0"/>
          <w:color w:val="auto"/>
        </w:rPr>
        <w:t xml:space="preserve">3.2.2 Model Development (Cost </w:t>
      </w:r>
      <w:r w:rsidR="00861557" w:rsidRPr="00296D0C">
        <w:rPr>
          <w:rFonts w:asciiTheme="minorHAnsi" w:hAnsiTheme="minorHAnsi" w:cs="Arial"/>
          <w:i w:val="0"/>
          <w:color w:val="auto"/>
        </w:rPr>
        <w:t>Effectiveness Framework)</w:t>
      </w:r>
    </w:p>
    <w:p w14:paraId="201B2F8E" w14:textId="77777777" w:rsidR="00861557" w:rsidRPr="00296D0C" w:rsidRDefault="00861557" w:rsidP="00B6524B">
      <w:pPr>
        <w:rPr>
          <w:rFonts w:cs="Arial"/>
          <w:b/>
        </w:rPr>
      </w:pPr>
      <w:r w:rsidRPr="00296D0C">
        <w:rPr>
          <w:rFonts w:cs="Arial"/>
          <w:b/>
        </w:rPr>
        <w:t>Introduction/Context</w:t>
      </w:r>
    </w:p>
    <w:p w14:paraId="4DFC1ED8" w14:textId="47660006" w:rsidR="00861557" w:rsidRPr="00296D0C" w:rsidRDefault="00861557" w:rsidP="000D0114">
      <w:pPr>
        <w:spacing w:after="0" w:line="360" w:lineRule="auto"/>
        <w:rPr>
          <w:rFonts w:cs="Arial"/>
        </w:rPr>
      </w:pPr>
      <w:r w:rsidRPr="00296D0C">
        <w:rPr>
          <w:rFonts w:cs="Arial"/>
        </w:rPr>
        <w:t xml:space="preserve">The effectiveness outcomes in the </w:t>
      </w:r>
      <w:r w:rsidR="00022313" w:rsidRPr="00296D0C">
        <w:rPr>
          <w:rFonts w:cs="Arial"/>
        </w:rPr>
        <w:t>definitive trial</w:t>
      </w:r>
      <w:r w:rsidRPr="00296D0C">
        <w:rPr>
          <w:rFonts w:cs="Arial"/>
        </w:rPr>
        <w:t xml:space="preserve"> of HeLP versus usual practice (e.g. </w:t>
      </w:r>
      <w:r w:rsidR="009D1C7F" w:rsidRPr="00296D0C">
        <w:rPr>
          <w:rFonts w:cs="Arial"/>
        </w:rPr>
        <w:t>BMI SDS</w:t>
      </w:r>
      <w:r w:rsidRPr="00296D0C">
        <w:rPr>
          <w:rFonts w:cs="Arial"/>
        </w:rPr>
        <w:t>) do not provide a strong basis for the direct estimation and presentation of trial-based cost</w:t>
      </w:r>
      <w:r w:rsidR="00576BE5">
        <w:rPr>
          <w:rFonts w:cs="Arial"/>
        </w:rPr>
        <w:t xml:space="preserve"> </w:t>
      </w:r>
      <w:r w:rsidRPr="00296D0C">
        <w:rPr>
          <w:rFonts w:cs="Arial"/>
        </w:rPr>
        <w:t>effectiveness analysis, with decision makers requiring estimates of cost per QALY and or cost per life year saved (i.e. longer term outcomes) in order to consider and to compare results of cost</w:t>
      </w:r>
      <w:r w:rsidR="00576BE5">
        <w:rPr>
          <w:rFonts w:cs="Arial"/>
        </w:rPr>
        <w:t xml:space="preserve"> </w:t>
      </w:r>
      <w:r w:rsidRPr="00296D0C">
        <w:rPr>
          <w:rFonts w:cs="Arial"/>
        </w:rPr>
        <w:t>effectiveness analyses across a wide range of healthcare interventions.  Therefore, a modelling framework was developed to assess the cost</w:t>
      </w:r>
      <w:r w:rsidR="00576BE5">
        <w:rPr>
          <w:rFonts w:cs="Arial"/>
        </w:rPr>
        <w:t xml:space="preserve"> </w:t>
      </w:r>
      <w:r w:rsidRPr="00296D0C">
        <w:rPr>
          <w:rFonts w:cs="Arial"/>
        </w:rPr>
        <w:t xml:space="preserve">effectiveness of the HeLP intervention versus usual practice, in a UK school/education setting, in preventing childhood overweight and obesity.  The model development process was informed and guided by the need to extrapolate from effectiveness data </w:t>
      </w:r>
      <w:r w:rsidR="00022313" w:rsidRPr="00296D0C">
        <w:rPr>
          <w:rFonts w:cs="Arial"/>
        </w:rPr>
        <w:t xml:space="preserve">from the HeLP RCT (at 24 </w:t>
      </w:r>
      <w:r w:rsidRPr="00296D0C">
        <w:rPr>
          <w:rFonts w:cs="Arial"/>
        </w:rPr>
        <w:t xml:space="preserve">month </w:t>
      </w:r>
      <w:r w:rsidR="009D1C7F" w:rsidRPr="00296D0C">
        <w:rPr>
          <w:rFonts w:cs="Arial"/>
        </w:rPr>
        <w:t>follow up</w:t>
      </w:r>
      <w:r w:rsidRPr="00296D0C">
        <w:rPr>
          <w:rFonts w:cs="Arial"/>
        </w:rPr>
        <w:t xml:space="preserve">) over a longer term and policy relevant time horizon.  That is, the modelling aimed to predict the expected impact of a change in childhood </w:t>
      </w:r>
      <w:r w:rsidR="009D1C7F" w:rsidRPr="00296D0C">
        <w:rPr>
          <w:rFonts w:cs="Arial"/>
        </w:rPr>
        <w:t>BMI SDS</w:t>
      </w:r>
      <w:r w:rsidRPr="00296D0C">
        <w:rPr>
          <w:rFonts w:cs="Arial"/>
        </w:rPr>
        <w:t xml:space="preserve"> (primary outcome), and any resulting change in the distribution of children by weight status (</w:t>
      </w:r>
      <w:r w:rsidR="00022313" w:rsidRPr="00296D0C">
        <w:rPr>
          <w:rFonts w:cs="Arial"/>
        </w:rPr>
        <w:t>intervention</w:t>
      </w:r>
      <w:r w:rsidRPr="00296D0C">
        <w:rPr>
          <w:rFonts w:cs="Arial"/>
        </w:rPr>
        <w:t xml:space="preserve"> versus control) over time.  </w:t>
      </w:r>
    </w:p>
    <w:p w14:paraId="5C383084" w14:textId="390A0011" w:rsidR="00861557" w:rsidRPr="00296D0C" w:rsidRDefault="00861557" w:rsidP="000D0114">
      <w:pPr>
        <w:spacing w:after="0" w:line="360" w:lineRule="auto"/>
        <w:rPr>
          <w:rFonts w:cs="Arial"/>
        </w:rPr>
      </w:pPr>
      <w:r w:rsidRPr="00296D0C">
        <w:rPr>
          <w:rFonts w:cs="Arial"/>
        </w:rPr>
        <w:t>At the outset the HeLP intervention was expected to be a relatively low cost (per child) intervention, and the objective was to develop a simple model to estimate the cost</w:t>
      </w:r>
      <w:r w:rsidR="00576BE5">
        <w:rPr>
          <w:rFonts w:cs="Arial"/>
        </w:rPr>
        <w:t xml:space="preserve"> </w:t>
      </w:r>
      <w:r w:rsidRPr="00296D0C">
        <w:rPr>
          <w:rFonts w:cs="Arial"/>
        </w:rPr>
        <w:t>effectiveness of HeLP.  At the time of developing the model</w:t>
      </w:r>
      <w:r w:rsidR="00022313" w:rsidRPr="00296D0C">
        <w:rPr>
          <w:rFonts w:cs="Arial"/>
        </w:rPr>
        <w:t>,</w:t>
      </w:r>
      <w:r w:rsidRPr="00296D0C">
        <w:rPr>
          <w:rFonts w:cs="Arial"/>
        </w:rPr>
        <w:t xml:space="preserve"> the literature was sparse and there was no readily available modelling framework publicly available.  We sought to develop a simple decision-analytic model, building on the published literature in this area, using weight-related health events of primary importance (where there was robust evidence of the relationship between incidence of events and weight status, applicable to a general population analysis) to assess the cost</w:t>
      </w:r>
      <w:r w:rsidR="00576BE5">
        <w:rPr>
          <w:rFonts w:cs="Arial"/>
        </w:rPr>
        <w:t xml:space="preserve"> </w:t>
      </w:r>
      <w:r w:rsidRPr="00296D0C">
        <w:rPr>
          <w:rFonts w:cs="Arial"/>
        </w:rPr>
        <w:t>effectiveness of the HeLP intervention.</w:t>
      </w:r>
    </w:p>
    <w:p w14:paraId="4F004EC0" w14:textId="77777777" w:rsidR="00022313" w:rsidRPr="00296D0C" w:rsidRDefault="00022313" w:rsidP="00B6524B">
      <w:pPr>
        <w:rPr>
          <w:rFonts w:cs="Arial"/>
          <w:b/>
        </w:rPr>
      </w:pPr>
    </w:p>
    <w:p w14:paraId="72AA0EF1" w14:textId="77777777" w:rsidR="00861557" w:rsidRPr="00296D0C" w:rsidRDefault="00861557" w:rsidP="00B6524B">
      <w:pPr>
        <w:rPr>
          <w:rFonts w:cs="Arial"/>
          <w:b/>
        </w:rPr>
      </w:pPr>
      <w:r w:rsidRPr="00296D0C">
        <w:rPr>
          <w:rFonts w:cs="Arial"/>
          <w:b/>
        </w:rPr>
        <w:t>Model Structure</w:t>
      </w:r>
      <w:r w:rsidR="002D0625" w:rsidRPr="00296D0C">
        <w:rPr>
          <w:rFonts w:cs="Arial"/>
          <w:b/>
        </w:rPr>
        <w:t xml:space="preserve"> </w:t>
      </w:r>
      <w:r w:rsidRPr="00296D0C">
        <w:rPr>
          <w:rFonts w:cs="Arial"/>
          <w:b/>
        </w:rPr>
        <w:t>(summary)</w:t>
      </w:r>
    </w:p>
    <w:p w14:paraId="010C2F56" w14:textId="6C028255" w:rsidR="00861557" w:rsidRPr="00296D0C" w:rsidRDefault="00861557" w:rsidP="000D0114">
      <w:pPr>
        <w:spacing w:after="0" w:line="360" w:lineRule="auto"/>
        <w:rPr>
          <w:rFonts w:cs="Arial"/>
        </w:rPr>
      </w:pPr>
      <w:r w:rsidRPr="00296D0C">
        <w:rPr>
          <w:rFonts w:cs="Arial"/>
        </w:rPr>
        <w:t xml:space="preserve">The model development process is described in further detail below.  In summary, the final model is a two stage model (Figure </w:t>
      </w:r>
      <w:r w:rsidR="00CE4350" w:rsidRPr="00296D0C">
        <w:rPr>
          <w:rFonts w:cs="Arial"/>
        </w:rPr>
        <w:t>6</w:t>
      </w:r>
      <w:r w:rsidRPr="00296D0C">
        <w:rPr>
          <w:rFonts w:cs="Arial"/>
        </w:rPr>
        <w:t xml:space="preserve">). In stage 1 it predicts adult weight status (healthy weight, overweight and obese) from childhood weight status (BMI </w:t>
      </w:r>
      <w:r w:rsidR="00C23936" w:rsidRPr="00296D0C">
        <w:rPr>
          <w:rFonts w:cs="Arial"/>
        </w:rPr>
        <w:t>SD</w:t>
      </w:r>
      <w:r w:rsidRPr="00296D0C">
        <w:rPr>
          <w:rFonts w:cs="Arial"/>
        </w:rPr>
        <w:t xml:space="preserve"> centile), and in stage 2 it predicts against a set of weight-related health events in adult years.  A simplifying assumption is the use of only three weight status categories in adults; healthy weight (HE), overweight (OV), and obese (OB).  The use of three states, and the terminology used here (i.e. healthy weight), is consistent with the identified published model-based economi</w:t>
      </w:r>
      <w:r w:rsidR="000D0114" w:rsidRPr="00296D0C">
        <w:rPr>
          <w:rFonts w:cs="Arial"/>
        </w:rPr>
        <w:t xml:space="preserve">c evaluations, and also the </w:t>
      </w:r>
      <w:r w:rsidRPr="00296D0C">
        <w:rPr>
          <w:rFonts w:cs="Arial"/>
        </w:rPr>
        <w:t xml:space="preserve">available longitudinal data on the tracking of obesity from childhood to adult years.  We acknowledge, and note here, that a small percentage of people will be underweight, however for simplicity they are part of the group referred </w:t>
      </w:r>
      <w:r w:rsidRPr="00296D0C">
        <w:rPr>
          <w:rFonts w:cs="Arial"/>
        </w:rPr>
        <w:lastRenderedPageBreak/>
        <w:t>to as healthy weight, and are treated in the same way as others in the healthy weight status category.</w:t>
      </w:r>
    </w:p>
    <w:p w14:paraId="4B80AC6A" w14:textId="77777777" w:rsidR="00861557" w:rsidRPr="00296D0C" w:rsidRDefault="00861557" w:rsidP="00861557">
      <w:pPr>
        <w:rPr>
          <w:rFonts w:cs="Arial"/>
        </w:rPr>
      </w:pPr>
    </w:p>
    <w:p w14:paraId="226344DD" w14:textId="1C6F51DC" w:rsidR="00861557" w:rsidRDefault="00063FAB" w:rsidP="00861557">
      <w:pPr>
        <w:pStyle w:val="Caption"/>
        <w:rPr>
          <w:rFonts w:cs="Arial"/>
          <w:b/>
          <w:i w:val="0"/>
          <w:color w:val="auto"/>
          <w:sz w:val="22"/>
          <w:szCs w:val="22"/>
        </w:rPr>
      </w:pPr>
      <w:r w:rsidRPr="00296D0C">
        <w:rPr>
          <w:rFonts w:cs="Arial"/>
          <w:b/>
          <w:i w:val="0"/>
          <w:noProof/>
          <w:color w:val="auto"/>
          <w:sz w:val="22"/>
          <w:szCs w:val="22"/>
          <w:lang w:eastAsia="zh-CN"/>
        </w:rPr>
        <mc:AlternateContent>
          <mc:Choice Requires="wpg">
            <w:drawing>
              <wp:anchor distT="0" distB="0" distL="114300" distR="114300" simplePos="0" relativeHeight="251636736" behindDoc="0" locked="0" layoutInCell="1" allowOverlap="1" wp14:anchorId="3993ECDC" wp14:editId="7AF2916E">
                <wp:simplePos x="0" y="0"/>
                <wp:positionH relativeFrom="column">
                  <wp:posOffset>0</wp:posOffset>
                </wp:positionH>
                <wp:positionV relativeFrom="paragraph">
                  <wp:posOffset>237490</wp:posOffset>
                </wp:positionV>
                <wp:extent cx="5608955" cy="1425575"/>
                <wp:effectExtent l="0" t="0" r="10795" b="22225"/>
                <wp:wrapNone/>
                <wp:docPr id="3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8955" cy="1425575"/>
                          <a:chOff x="0" y="0"/>
                          <a:chExt cx="5629702" cy="1364776"/>
                        </a:xfrm>
                      </wpg:grpSpPr>
                      <wps:wsp>
                        <wps:cNvPr id="31" name="Text Box 14"/>
                        <wps:cNvSpPr txBox="1">
                          <a:spLocks noChangeArrowheads="1"/>
                        </wps:cNvSpPr>
                        <wps:spPr bwMode="auto">
                          <a:xfrm>
                            <a:off x="2019869" y="634621"/>
                            <a:ext cx="1623695" cy="654685"/>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1C26EA61" w14:textId="35AAE379" w:rsidR="00DE3537" w:rsidRPr="00C36AFA" w:rsidRDefault="00DE3537" w:rsidP="00861557">
                              <w:pPr>
                                <w:widowControl w:val="0"/>
                                <w:spacing w:after="0" w:line="240" w:lineRule="auto"/>
                                <w:rPr>
                                  <w:sz w:val="20"/>
                                </w:rPr>
                              </w:pPr>
                              <w:r w:rsidRPr="00C36AFA">
                                <w:rPr>
                                  <w:sz w:val="20"/>
                                </w:rPr>
                                <w:t xml:space="preserve">Distribution of adulthood WS (HE, OV, OB) as a function of childhood WS (BMI </w:t>
                              </w:r>
                              <w:r>
                                <w:rPr>
                                  <w:sz w:val="20"/>
                                </w:rPr>
                                <w:t>SD</w:t>
                              </w:r>
                              <w:r w:rsidRPr="00C36AFA">
                                <w:rPr>
                                  <w:sz w:val="20"/>
                                </w:rPr>
                                <w:t xml:space="preserve"> centiles)</w:t>
                              </w:r>
                              <w:r>
                                <w:rPr>
                                  <w:sz w:val="20"/>
                                </w:rPr>
                                <w:t>.</w:t>
                              </w:r>
                            </w:p>
                          </w:txbxContent>
                        </wps:txbx>
                        <wps:bodyPr rot="0" vert="horz" wrap="square" lIns="36576" tIns="36576" rIns="36576" bIns="36576" anchor="t" anchorCtr="0" upright="1">
                          <a:noAutofit/>
                        </wps:bodyPr>
                      </wps:wsp>
                      <wps:wsp>
                        <wps:cNvPr id="672" name="Text Box 15"/>
                        <wps:cNvSpPr txBox="1">
                          <a:spLocks noChangeArrowheads="1"/>
                        </wps:cNvSpPr>
                        <wps:spPr bwMode="auto">
                          <a:xfrm>
                            <a:off x="156950" y="627797"/>
                            <a:ext cx="1623695" cy="654685"/>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6D979DDF" w14:textId="232FEA4C" w:rsidR="00DE3537" w:rsidRPr="00483635" w:rsidRDefault="00DE3537" w:rsidP="00861557">
                              <w:pPr>
                                <w:widowControl w:val="0"/>
                                <w:spacing w:after="0" w:line="240" w:lineRule="auto"/>
                                <w:rPr>
                                  <w:sz w:val="20"/>
                                  <w:szCs w:val="20"/>
                                </w:rPr>
                              </w:pPr>
                              <w:r w:rsidRPr="00483635">
                                <w:rPr>
                                  <w:sz w:val="20"/>
                                  <w:szCs w:val="20"/>
                                </w:rPr>
                                <w:t>Cohort of children described by weight status (e.g. HW, OV, OB) using BMI SD centiles.</w:t>
                              </w:r>
                            </w:p>
                          </w:txbxContent>
                        </wps:txbx>
                        <wps:bodyPr rot="0" vert="horz" wrap="square" lIns="36576" tIns="36576" rIns="36576" bIns="36576" anchor="t" anchorCtr="0" upright="1">
                          <a:noAutofit/>
                        </wps:bodyPr>
                      </wps:wsp>
                      <wps:wsp>
                        <wps:cNvPr id="673" name="Text Box 16"/>
                        <wps:cNvSpPr txBox="1">
                          <a:spLocks noChangeArrowheads="1"/>
                        </wps:cNvSpPr>
                        <wps:spPr bwMode="auto">
                          <a:xfrm>
                            <a:off x="852985" y="109182"/>
                            <a:ext cx="1779245" cy="436788"/>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78212944" w14:textId="3E0D472E" w:rsidR="00DE3537" w:rsidRPr="00C36AFA" w:rsidRDefault="00DE3537" w:rsidP="00861557">
                              <w:pPr>
                                <w:widowControl w:val="0"/>
                                <w:spacing w:after="0" w:line="240" w:lineRule="auto"/>
                                <w:jc w:val="center"/>
                                <w:rPr>
                                  <w:bCs/>
                                  <w:sz w:val="20"/>
                                </w:rPr>
                              </w:pPr>
                              <w:r w:rsidRPr="00C36AFA">
                                <w:rPr>
                                  <w:bCs/>
                                  <w:sz w:val="20"/>
                                </w:rPr>
                                <w:t xml:space="preserve">STAGE </w:t>
                              </w:r>
                              <w:r>
                                <w:rPr>
                                  <w:bCs/>
                                  <w:sz w:val="20"/>
                                </w:rPr>
                                <w:t>1</w:t>
                              </w:r>
                              <w:r w:rsidRPr="00C36AFA">
                                <w:rPr>
                                  <w:bCs/>
                                  <w:sz w:val="20"/>
                                </w:rPr>
                                <w:t>: Prediction of adult WS from childhood WS</w:t>
                              </w:r>
                              <w:r>
                                <w:rPr>
                                  <w:bCs/>
                                  <w:sz w:val="20"/>
                                </w:rPr>
                                <w:t>.</w:t>
                              </w:r>
                            </w:p>
                            <w:p w14:paraId="2B390845" w14:textId="77777777" w:rsidR="00DE3537" w:rsidRDefault="00DE3537" w:rsidP="00861557">
                              <w:pPr>
                                <w:widowControl w:val="0"/>
                                <w:rPr>
                                  <w:b/>
                                  <w:bCs/>
                                </w:rPr>
                              </w:pPr>
                              <w:r>
                                <w:rPr>
                                  <w:b/>
                                  <w:bCs/>
                                </w:rPr>
                                <w:t> </w:t>
                              </w:r>
                            </w:p>
                          </w:txbxContent>
                        </wps:txbx>
                        <wps:bodyPr rot="0" vert="horz" wrap="square" lIns="36576" tIns="36576" rIns="36576" bIns="36576" anchor="t" anchorCtr="0" upright="1">
                          <a:noAutofit/>
                        </wps:bodyPr>
                      </wps:wsp>
                      <wps:wsp>
                        <wps:cNvPr id="674" name="Text Box 17"/>
                        <wps:cNvSpPr txBox="1">
                          <a:spLocks noChangeArrowheads="1"/>
                        </wps:cNvSpPr>
                        <wps:spPr bwMode="auto">
                          <a:xfrm>
                            <a:off x="2961564" y="109182"/>
                            <a:ext cx="1788795" cy="44577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64DE9FCC" w14:textId="65BF52DE" w:rsidR="00DE3537" w:rsidRPr="00C36AFA" w:rsidRDefault="00DE3537" w:rsidP="00861557">
                              <w:pPr>
                                <w:widowControl w:val="0"/>
                                <w:spacing w:after="0" w:line="240" w:lineRule="auto"/>
                                <w:jc w:val="center"/>
                                <w:rPr>
                                  <w:bCs/>
                                  <w:sz w:val="20"/>
                                </w:rPr>
                              </w:pPr>
                              <w:r w:rsidRPr="00C36AFA">
                                <w:rPr>
                                  <w:bCs/>
                                  <w:sz w:val="20"/>
                                </w:rPr>
                                <w:t xml:space="preserve">STAGE </w:t>
                              </w:r>
                              <w:r>
                                <w:rPr>
                                  <w:bCs/>
                                  <w:sz w:val="20"/>
                                </w:rPr>
                                <w:t>2</w:t>
                              </w:r>
                              <w:r w:rsidRPr="00C36AFA">
                                <w:rPr>
                                  <w:bCs/>
                                  <w:sz w:val="20"/>
                                </w:rPr>
                                <w:t>: Prediction of weight-related events in adult years</w:t>
                              </w:r>
                              <w:r>
                                <w:rPr>
                                  <w:bCs/>
                                  <w:sz w:val="20"/>
                                </w:rPr>
                                <w:t>.</w:t>
                              </w:r>
                            </w:p>
                            <w:p w14:paraId="4BA54E1E" w14:textId="77777777" w:rsidR="00DE3537" w:rsidRDefault="00DE3537" w:rsidP="00861557">
                              <w:pPr>
                                <w:widowControl w:val="0"/>
                                <w:rPr>
                                  <w:b/>
                                  <w:bCs/>
                                </w:rPr>
                              </w:pPr>
                              <w:r>
                                <w:rPr>
                                  <w:b/>
                                  <w:bCs/>
                                </w:rPr>
                                <w:t> </w:t>
                              </w:r>
                            </w:p>
                            <w:p w14:paraId="1FB2BC27" w14:textId="77777777" w:rsidR="00DE3537" w:rsidRDefault="00DE3537" w:rsidP="00861557">
                              <w:pPr>
                                <w:widowControl w:val="0"/>
                                <w:rPr>
                                  <w:b/>
                                  <w:bCs/>
                                </w:rPr>
                              </w:pPr>
                              <w:r>
                                <w:rPr>
                                  <w:b/>
                                  <w:bCs/>
                                </w:rPr>
                                <w:t>Prediction of weight-related events in adult years</w:t>
                              </w:r>
                            </w:p>
                          </w:txbxContent>
                        </wps:txbx>
                        <wps:bodyPr rot="0" vert="horz" wrap="square" lIns="36576" tIns="36576" rIns="36576" bIns="36576" anchor="t" anchorCtr="0" upright="1">
                          <a:noAutofit/>
                        </wps:bodyPr>
                      </wps:wsp>
                      <wps:wsp>
                        <wps:cNvPr id="675" name="Text Box 18"/>
                        <wps:cNvSpPr txBox="1">
                          <a:spLocks noChangeArrowheads="1"/>
                        </wps:cNvSpPr>
                        <wps:spPr bwMode="auto">
                          <a:xfrm>
                            <a:off x="3855493" y="627797"/>
                            <a:ext cx="1630045" cy="65532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4F6052B2" w14:textId="77777777" w:rsidR="00DE3537" w:rsidRPr="00C36AFA" w:rsidRDefault="00DE3537" w:rsidP="00861557">
                              <w:pPr>
                                <w:widowControl w:val="0"/>
                                <w:spacing w:after="0" w:line="240" w:lineRule="auto"/>
                                <w:rPr>
                                  <w:sz w:val="20"/>
                                  <w:szCs w:val="20"/>
                                </w:rPr>
                              </w:pPr>
                              <w:r w:rsidRPr="00C36AFA">
                                <w:rPr>
                                  <w:sz w:val="20"/>
                                  <w:szCs w:val="20"/>
                                </w:rPr>
                                <w:t>Predict the weight-related events associated with adult WS (T2DM, CHD, stroke, CRC)</w:t>
                              </w:r>
                              <w:r>
                                <w:rPr>
                                  <w:sz w:val="20"/>
                                  <w:szCs w:val="20"/>
                                </w:rPr>
                                <w:t>.</w:t>
                              </w:r>
                            </w:p>
                          </w:txbxContent>
                        </wps:txbx>
                        <wps:bodyPr rot="0" vert="horz" wrap="square" lIns="36576" tIns="36576" rIns="36576" bIns="36576" anchor="t" anchorCtr="0" upright="1">
                          <a:noAutofit/>
                        </wps:bodyPr>
                      </wps:wsp>
                      <wps:wsp>
                        <wps:cNvPr id="676" name="Straight Arrow Connector 19"/>
                        <wps:cNvCnPr>
                          <a:cxnSpLocks noChangeShapeType="1"/>
                        </wps:cNvCnPr>
                        <wps:spPr bwMode="auto">
                          <a:xfrm>
                            <a:off x="1781033" y="955343"/>
                            <a:ext cx="238125" cy="0"/>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77" name="Straight Arrow Connector 20"/>
                        <wps:cNvCnPr>
                          <a:cxnSpLocks noChangeShapeType="1"/>
                        </wps:cNvCnPr>
                        <wps:spPr bwMode="auto">
                          <a:xfrm>
                            <a:off x="3643953" y="962167"/>
                            <a:ext cx="209550" cy="0"/>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78" name="Rectangle 21"/>
                        <wps:cNvSpPr/>
                        <wps:spPr>
                          <a:xfrm>
                            <a:off x="0" y="0"/>
                            <a:ext cx="5629702" cy="1364776"/>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93ECDC" id="Group 12" o:spid="_x0000_s1190" style="position:absolute;margin-left:0;margin-top:18.7pt;width:441.65pt;height:112.25pt;z-index:251636736;mso-position-horizontal-relative:text;mso-position-vertical-relative:text;mso-width-relative:margin;mso-height-relative:margin" coordsize="56297,13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">
                <v:shape id="Text Box 14" o:spid="_x0000_s1191" type="#_x0000_t202" style="position:absolute;left:20198;top:6346;width:16237;height:6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PXvsQA&#10;AADbAAAADwAAAGRycy9kb3ducmV2LnhtbESP0WrCQBRE3wv+w3IF38zGFKSNrlIFi6VF2qQfcMle&#10;k9Ds3ZjdmPj33YLQx2FmzjDr7WgacaXO1ZYVLKIYBHFhdc2lgu/8MH8C4TyyxsYyKbiRg+1m8rDG&#10;VNuBv+ia+VIECLsUFVTet6mUrqjIoItsSxy8s+0M+iC7UuoOhwA3jUzieCkN1hwWKmxpX1Hxk/VG&#10;wfvS5qdn/Hjd6WQgfesvb58elZpNx5cVCE+j/w/f20et4HEBf1/CD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T177EAAAA2wAAAA8AAAAAAAAAAAAAAAAAmAIAAGRycy9k&#10;b3ducmV2LnhtbFBLBQYAAAAABAAEAPUAAACJAwAAAAA=&#10;" filled="f" strokecolor="black [0]" insetpen="t">
                  <v:shadow color="#eeece1"/>
                  <v:textbox inset="2.88pt,2.88pt,2.88pt,2.88pt">
                    <w:txbxContent>
                      <w:p w14:paraId="1C26EA61" w14:textId="35AAE379" w:rsidR="00DE3537" w:rsidRPr="00C36AFA" w:rsidRDefault="00DE3537" w:rsidP="00861557">
                        <w:pPr>
                          <w:widowControl w:val="0"/>
                          <w:spacing w:after="0" w:line="240" w:lineRule="auto"/>
                          <w:rPr>
                            <w:sz w:val="20"/>
                          </w:rPr>
                        </w:pPr>
                        <w:r w:rsidRPr="00C36AFA">
                          <w:rPr>
                            <w:sz w:val="20"/>
                          </w:rPr>
                          <w:t xml:space="preserve">Distribution of adulthood WS (HE, OV, OB) as a function of childhood WS (BMI </w:t>
                        </w:r>
                        <w:r>
                          <w:rPr>
                            <w:sz w:val="20"/>
                          </w:rPr>
                          <w:t>SD</w:t>
                        </w:r>
                        <w:r w:rsidRPr="00C36AFA">
                          <w:rPr>
                            <w:sz w:val="20"/>
                          </w:rPr>
                          <w:t xml:space="preserve"> centiles)</w:t>
                        </w:r>
                        <w:r>
                          <w:rPr>
                            <w:sz w:val="20"/>
                          </w:rPr>
                          <w:t>.</w:t>
                        </w:r>
                      </w:p>
                    </w:txbxContent>
                  </v:textbox>
                </v:shape>
                <v:shape id="Text Box 15" o:spid="_x0000_s1192" type="#_x0000_t202" style="position:absolute;left:1569;top:6277;width:16237;height:6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f0hsQA&#10;AADcAAAADwAAAGRycy9kb3ducmV2LnhtbESP0WrCQBRE34X+w3ILfdNN85DamI1UwaJUSqt+wCV7&#10;TYLZuzG7mvj33YLg4zAzZ5hsPphGXKlztWUFr5MIBHFhdc2lgsN+NZ6CcB5ZY2OZFNzIwTx/GmWY&#10;atvzL113vhQBwi5FBZX3bSqlKyoy6Ca2JQ7e0XYGfZBdKXWHfYCbRsZRlEiDNYeFCltaVlScdhej&#10;4Cux++933H4udNyTvl3Omx+PSr08Dx8zEJ4G/wjf22utIHmL4f9MO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X9IbEAAAA3AAAAA8AAAAAAAAAAAAAAAAAmAIAAGRycy9k&#10;b3ducmV2LnhtbFBLBQYAAAAABAAEAPUAAACJAwAAAAA=&#10;" filled="f" strokecolor="black [0]" insetpen="t">
                  <v:shadow color="#eeece1"/>
                  <v:textbox inset="2.88pt,2.88pt,2.88pt,2.88pt">
                    <w:txbxContent>
                      <w:p w14:paraId="6D979DDF" w14:textId="232FEA4C" w:rsidR="00DE3537" w:rsidRPr="00483635" w:rsidRDefault="00DE3537" w:rsidP="00861557">
                        <w:pPr>
                          <w:widowControl w:val="0"/>
                          <w:spacing w:after="0" w:line="240" w:lineRule="auto"/>
                          <w:rPr>
                            <w:sz w:val="20"/>
                            <w:szCs w:val="20"/>
                          </w:rPr>
                        </w:pPr>
                        <w:r w:rsidRPr="00483635">
                          <w:rPr>
                            <w:sz w:val="20"/>
                            <w:szCs w:val="20"/>
                          </w:rPr>
                          <w:t>Cohort of children described by weight status (e.g. HW, OV, OB) using BMI SD centiles.</w:t>
                        </w:r>
                      </w:p>
                    </w:txbxContent>
                  </v:textbox>
                </v:shape>
                <v:shape id="Text Box 16" o:spid="_x0000_s1193" type="#_x0000_t202" style="position:absolute;left:8529;top:1091;width:17793;height:4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tRHcMA&#10;AADcAAAADwAAAGRycy9kb3ducmV2LnhtbESP0WrCQBRE3wv+w3IF33SjQqqpq6igKBVp1Q+4ZG+T&#10;YPZuzK4m/n23IPRxmJkzzGzRmlI8qHaFZQXDQQSCOLW64EzB5bzpT0A4j6yxtEwKnuRgMe+8zTDR&#10;tuFvepx8JgKEXYIKcu+rREqX5mTQDWxFHLwfWxv0QdaZ1DU2AW5KOYqiWBosOCzkWNE6p/R6uhsF&#10;n7E9H6d42K70qCH9vN/2Xx6V6nXb5QcIT63/D7/aO60gfh/D35lwB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tRHcMAAADcAAAADwAAAAAAAAAAAAAAAACYAgAAZHJzL2Rv&#10;d25yZXYueG1sUEsFBgAAAAAEAAQA9QAAAIgDAAAAAA==&#10;" filled="f" strokecolor="black [0]" insetpen="t">
                  <v:shadow color="#eeece1"/>
                  <v:textbox inset="2.88pt,2.88pt,2.88pt,2.88pt">
                    <w:txbxContent>
                      <w:p w14:paraId="78212944" w14:textId="3E0D472E" w:rsidR="00DE3537" w:rsidRPr="00C36AFA" w:rsidRDefault="00DE3537" w:rsidP="00861557">
                        <w:pPr>
                          <w:widowControl w:val="0"/>
                          <w:spacing w:after="0" w:line="240" w:lineRule="auto"/>
                          <w:jc w:val="center"/>
                          <w:rPr>
                            <w:bCs/>
                            <w:sz w:val="20"/>
                          </w:rPr>
                        </w:pPr>
                        <w:r w:rsidRPr="00C36AFA">
                          <w:rPr>
                            <w:bCs/>
                            <w:sz w:val="20"/>
                          </w:rPr>
                          <w:t xml:space="preserve">STAGE </w:t>
                        </w:r>
                        <w:r>
                          <w:rPr>
                            <w:bCs/>
                            <w:sz w:val="20"/>
                          </w:rPr>
                          <w:t>1</w:t>
                        </w:r>
                        <w:r w:rsidRPr="00C36AFA">
                          <w:rPr>
                            <w:bCs/>
                            <w:sz w:val="20"/>
                          </w:rPr>
                          <w:t>: Prediction of adult WS from childhood WS</w:t>
                        </w:r>
                        <w:r>
                          <w:rPr>
                            <w:bCs/>
                            <w:sz w:val="20"/>
                          </w:rPr>
                          <w:t>.</w:t>
                        </w:r>
                      </w:p>
                      <w:p w14:paraId="2B390845" w14:textId="77777777" w:rsidR="00DE3537" w:rsidRDefault="00DE3537" w:rsidP="00861557">
                        <w:pPr>
                          <w:widowControl w:val="0"/>
                          <w:rPr>
                            <w:b/>
                            <w:bCs/>
                          </w:rPr>
                        </w:pPr>
                        <w:r>
                          <w:rPr>
                            <w:b/>
                            <w:bCs/>
                          </w:rPr>
                          <w:t> </w:t>
                        </w:r>
                      </w:p>
                    </w:txbxContent>
                  </v:textbox>
                </v:shape>
                <v:shape id="Text Box 17" o:spid="_x0000_s1194" type="#_x0000_t202" style="position:absolute;left:29615;top:1091;width:17888;height:4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JacMA&#10;AADcAAAADwAAAGRycy9kb3ducmV2LnhtbESP0WrCQBRE3wv+w3IF33SjSKqpq6igKBVp1Q+4ZG+T&#10;YPZuzK4m/n23IPRxmJkzzGzRmlI8qHaFZQXDQQSCOLW64EzB5bzpT0A4j6yxtEwKnuRgMe+8zTDR&#10;tuFvepx8JgKEXYIKcu+rREqX5mTQDWxFHLwfWxv0QdaZ1DU2AW5KOYqiWBosOCzkWNE6p/R6uhsF&#10;n7E9H6d42K70qCH9vN/2Xx6V6nXb5QcIT63/D7/aO60gfh/D35lwB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LJacMAAADcAAAADwAAAAAAAAAAAAAAAACYAgAAZHJzL2Rv&#10;d25yZXYueG1sUEsFBgAAAAAEAAQA9QAAAIgDAAAAAA==&#10;" filled="f" strokecolor="black [0]" insetpen="t">
                  <v:shadow color="#eeece1"/>
                  <v:textbox inset="2.88pt,2.88pt,2.88pt,2.88pt">
                    <w:txbxContent>
                      <w:p w14:paraId="64DE9FCC" w14:textId="65BF52DE" w:rsidR="00DE3537" w:rsidRPr="00C36AFA" w:rsidRDefault="00DE3537" w:rsidP="00861557">
                        <w:pPr>
                          <w:widowControl w:val="0"/>
                          <w:spacing w:after="0" w:line="240" w:lineRule="auto"/>
                          <w:jc w:val="center"/>
                          <w:rPr>
                            <w:bCs/>
                            <w:sz w:val="20"/>
                          </w:rPr>
                        </w:pPr>
                        <w:r w:rsidRPr="00C36AFA">
                          <w:rPr>
                            <w:bCs/>
                            <w:sz w:val="20"/>
                          </w:rPr>
                          <w:t xml:space="preserve">STAGE </w:t>
                        </w:r>
                        <w:r>
                          <w:rPr>
                            <w:bCs/>
                            <w:sz w:val="20"/>
                          </w:rPr>
                          <w:t>2</w:t>
                        </w:r>
                        <w:r w:rsidRPr="00C36AFA">
                          <w:rPr>
                            <w:bCs/>
                            <w:sz w:val="20"/>
                          </w:rPr>
                          <w:t>: Prediction of weight-related events in adult years</w:t>
                        </w:r>
                        <w:r>
                          <w:rPr>
                            <w:bCs/>
                            <w:sz w:val="20"/>
                          </w:rPr>
                          <w:t>.</w:t>
                        </w:r>
                      </w:p>
                      <w:p w14:paraId="4BA54E1E" w14:textId="77777777" w:rsidR="00DE3537" w:rsidRDefault="00DE3537" w:rsidP="00861557">
                        <w:pPr>
                          <w:widowControl w:val="0"/>
                          <w:rPr>
                            <w:b/>
                            <w:bCs/>
                          </w:rPr>
                        </w:pPr>
                        <w:r>
                          <w:rPr>
                            <w:b/>
                            <w:bCs/>
                          </w:rPr>
                          <w:t> </w:t>
                        </w:r>
                      </w:p>
                      <w:p w14:paraId="1FB2BC27" w14:textId="77777777" w:rsidR="00DE3537" w:rsidRDefault="00DE3537" w:rsidP="00861557">
                        <w:pPr>
                          <w:widowControl w:val="0"/>
                          <w:rPr>
                            <w:b/>
                            <w:bCs/>
                          </w:rPr>
                        </w:pPr>
                        <w:r>
                          <w:rPr>
                            <w:b/>
                            <w:bCs/>
                          </w:rPr>
                          <w:t>Prediction of weight-related events in adult years</w:t>
                        </w:r>
                      </w:p>
                    </w:txbxContent>
                  </v:textbox>
                </v:shape>
                <v:shape id="Text Box 18" o:spid="_x0000_s1195" type="#_x0000_t202" style="position:absolute;left:38554;top:6277;width:16301;height:6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5s8sMA&#10;AADcAAAADwAAAGRycy9kb3ducmV2LnhtbESP0WrCQBRE3wv+w3IF33SjYKqpq6igKBVp1Q+4ZG+T&#10;YPZuzK4m/n23IPRxmJkzzGzRmlI8qHaFZQXDQQSCOLW64EzB5bzpT0A4j6yxtEwKnuRgMe+8zTDR&#10;tuFvepx8JgKEXYIKcu+rREqX5mTQDWxFHLwfWxv0QdaZ1DU2AW5KOYqiWBosOCzkWNE6p/R6uhsF&#10;n7E9H6d42K70qCH9vN/2Xx6V6nXb5QcIT63/D7/aO60gfh/D35lwB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5s8sMAAADcAAAADwAAAAAAAAAAAAAAAACYAgAAZHJzL2Rv&#10;d25yZXYueG1sUEsFBgAAAAAEAAQA9QAAAIgDAAAAAA==&#10;" filled="f" strokecolor="black [0]" insetpen="t">
                  <v:shadow color="#eeece1"/>
                  <v:textbox inset="2.88pt,2.88pt,2.88pt,2.88pt">
                    <w:txbxContent>
                      <w:p w14:paraId="4F6052B2" w14:textId="77777777" w:rsidR="00DE3537" w:rsidRPr="00C36AFA" w:rsidRDefault="00DE3537" w:rsidP="00861557">
                        <w:pPr>
                          <w:widowControl w:val="0"/>
                          <w:spacing w:after="0" w:line="240" w:lineRule="auto"/>
                          <w:rPr>
                            <w:sz w:val="20"/>
                            <w:szCs w:val="20"/>
                          </w:rPr>
                        </w:pPr>
                        <w:r w:rsidRPr="00C36AFA">
                          <w:rPr>
                            <w:sz w:val="20"/>
                            <w:szCs w:val="20"/>
                          </w:rPr>
                          <w:t>Predict the weight-related events associated with adult WS (T2DM, CHD, stroke, CRC)</w:t>
                        </w:r>
                        <w:r>
                          <w:rPr>
                            <w:sz w:val="20"/>
                            <w:szCs w:val="20"/>
                          </w:rPr>
                          <w:t>.</w:t>
                        </w:r>
                      </w:p>
                    </w:txbxContent>
                  </v:textbox>
                </v:shape>
                <v:shape id="Straight Arrow Connector 19" o:spid="_x0000_s1196" type="#_x0000_t32" style="position:absolute;left:17810;top:9553;width:23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eNrsUAAADcAAAADwAAAGRycy9kb3ducmV2LnhtbESPQWvCQBSE74L/YXmF3nRjD2mJrtIK&#10;hR5ailEEb4/sM4nNvg3ZF03+fbcg9DjMzDfMajO4Rl2pC7VnA4t5Aoq48Lbm0sBh/z57ARUE2WLj&#10;mQyMFGCznk5WmFl/4x1dcylVhHDI0EAl0mZah6Iih2HuW+LonX3nUKLsSm07vEW4a/RTkqTaYc1x&#10;ocKWthUVP3nvIuXYn/rhUuzf7FHKhXzm3+PXaMzjw/C6BCU0yH/43v6wBtLnFP7OxCO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eNrsUAAADcAAAADwAAAAAAAAAA&#10;AAAAAAChAgAAZHJzL2Rvd25yZXYueG1sUEsFBgAAAAAEAAQA+QAAAJMDAAAAAA==&#10;" strokecolor="black [0]">
                  <v:stroke endarrow="block"/>
                  <v:shadow color="#eeece1"/>
                </v:shape>
                <v:shape id="Straight Arrow Connector 20" o:spid="_x0000_s1197" type="#_x0000_t32" style="position:absolute;left:36439;top:9621;width:20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soNcUAAADcAAAADwAAAGRycy9kb3ducmV2LnhtbESPQWvCQBSE74X+h+UVeqsbe9CSuooW&#10;Cj1UxEQEb4/sa5I2+zZkXzT5964g9DjMzDfMYjW4Rp2pC7VnA9NJAoq48Lbm0sAh/3x5AxUE2WLj&#10;mQyMFGC1fHxYYGr9hfd0zqRUEcIhRQOVSJtqHYqKHIaJb4mj9+M7hxJlV2rb4SXCXaNfk2SmHdYc&#10;Fyps6aOi4i/rXaQc+1M//Bb5xh6lnMp3thu3ozHPT8P6HZTQIP/he/vLGpjN53A7E4+AXl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soNcUAAADcAAAADwAAAAAAAAAA&#10;AAAAAAChAgAAZHJzL2Rvd25yZXYueG1sUEsFBgAAAAAEAAQA+QAAAJMDAAAAAA==&#10;" strokecolor="black [0]">
                  <v:stroke endarrow="block"/>
                  <v:shadow color="#eeece1"/>
                </v:shape>
                <v:rect id="Rectangle 21" o:spid="_x0000_s1198" style="position:absolute;width:56297;height:13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5c07wA&#10;AADcAAAADwAAAGRycy9kb3ducmV2LnhtbERPvQrCMBDeBd8hnOCmqQpVqlFEEEQnqzgfzdkWm0tp&#10;osa3N4Pg+PH9rzbBNOJFnastK5iMExDEhdU1lwqul/1oAcJ5ZI2NZVLwIQebdb+3wkzbN5/plftS&#10;xBB2GSqovG8zKV1RkUE3ti1x5O62M+gj7EqpO3zHcNPIaZKk0mDNsaHClnYVFY/8aRTcFmddXsMx&#10;N6fZc3efps4E75QaDsJ2CcJT8H/xz33QCtJ5XBvPxCMg1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6zlzTvAAAANwAAAAPAAAAAAAAAAAAAAAAAJgCAABkcnMvZG93bnJldi54&#10;bWxQSwUGAAAAAAQABAD1AAAAgQMAAAAA&#10;" filled="f" strokecolor="black [3213]" strokeweight=".5pt"/>
              </v:group>
            </w:pict>
          </mc:Fallback>
        </mc:AlternateContent>
      </w:r>
      <w:r w:rsidR="00861557" w:rsidRPr="00296D0C">
        <w:rPr>
          <w:rFonts w:cs="Arial"/>
          <w:b/>
          <w:i w:val="0"/>
          <w:color w:val="auto"/>
          <w:sz w:val="22"/>
          <w:szCs w:val="22"/>
        </w:rPr>
        <w:t>F</w:t>
      </w:r>
      <w:r w:rsidR="009463BC" w:rsidRPr="00296D0C">
        <w:rPr>
          <w:rFonts w:cs="Arial"/>
          <w:b/>
          <w:i w:val="0"/>
          <w:color w:val="auto"/>
          <w:sz w:val="22"/>
          <w:szCs w:val="22"/>
        </w:rPr>
        <w:t>IGURE</w:t>
      </w:r>
      <w:r w:rsidR="00861557" w:rsidRPr="00296D0C">
        <w:rPr>
          <w:rFonts w:cs="Arial"/>
          <w:b/>
          <w:i w:val="0"/>
          <w:color w:val="auto"/>
          <w:sz w:val="22"/>
          <w:szCs w:val="22"/>
        </w:rPr>
        <w:t xml:space="preserve"> </w:t>
      </w:r>
      <w:r w:rsidR="00CE4350" w:rsidRPr="00296D0C">
        <w:rPr>
          <w:rFonts w:cs="Arial"/>
          <w:b/>
          <w:i w:val="0"/>
          <w:color w:val="auto"/>
          <w:sz w:val="22"/>
          <w:szCs w:val="22"/>
        </w:rPr>
        <w:t>6</w:t>
      </w:r>
      <w:r w:rsidR="00861557" w:rsidRPr="00296D0C">
        <w:rPr>
          <w:rFonts w:cs="Arial"/>
          <w:b/>
          <w:i w:val="0"/>
          <w:color w:val="auto"/>
          <w:sz w:val="22"/>
          <w:szCs w:val="22"/>
        </w:rPr>
        <w:t xml:space="preserve"> Model overview</w:t>
      </w:r>
    </w:p>
    <w:p w14:paraId="46801E04" w14:textId="77777777" w:rsidR="001B481E" w:rsidRPr="001B481E" w:rsidRDefault="001B481E" w:rsidP="001B481E"/>
    <w:p w14:paraId="555595DF" w14:textId="77777777" w:rsidR="00861557" w:rsidRPr="00296D0C" w:rsidRDefault="00861557" w:rsidP="00861557">
      <w:pPr>
        <w:spacing w:after="0" w:line="240" w:lineRule="auto"/>
      </w:pPr>
    </w:p>
    <w:p w14:paraId="4F635FB5" w14:textId="77777777" w:rsidR="00861557" w:rsidRPr="00296D0C" w:rsidRDefault="00861557" w:rsidP="00861557">
      <w:pPr>
        <w:rPr>
          <w:b/>
        </w:rPr>
      </w:pPr>
    </w:p>
    <w:p w14:paraId="325B7879" w14:textId="77777777" w:rsidR="00861557" w:rsidRPr="00296D0C" w:rsidRDefault="00861557" w:rsidP="00861557">
      <w:pPr>
        <w:rPr>
          <w:b/>
        </w:rPr>
      </w:pPr>
    </w:p>
    <w:p w14:paraId="7A298C00" w14:textId="77777777" w:rsidR="00861557" w:rsidRPr="00296D0C" w:rsidRDefault="00861557" w:rsidP="00861557">
      <w:pPr>
        <w:rPr>
          <w:b/>
        </w:rPr>
      </w:pPr>
    </w:p>
    <w:p w14:paraId="26ECD83C" w14:textId="77777777" w:rsidR="00861557" w:rsidRPr="00296D0C" w:rsidRDefault="00861557" w:rsidP="00861557">
      <w:pPr>
        <w:spacing w:after="0"/>
        <w:rPr>
          <w:b/>
        </w:rPr>
      </w:pPr>
    </w:p>
    <w:p w14:paraId="59D9FEBB" w14:textId="77777777" w:rsidR="00022313" w:rsidRPr="00296D0C" w:rsidRDefault="00022313" w:rsidP="00861557">
      <w:pPr>
        <w:rPr>
          <w:b/>
        </w:rPr>
      </w:pPr>
    </w:p>
    <w:p w14:paraId="67302F91" w14:textId="77777777" w:rsidR="00861557" w:rsidRPr="00296D0C" w:rsidRDefault="00861557" w:rsidP="00861557">
      <w:r w:rsidRPr="00296D0C">
        <w:rPr>
          <w:b/>
        </w:rPr>
        <w:t>Key:</w:t>
      </w:r>
      <w:r w:rsidRPr="00296D0C">
        <w:t xml:space="preserve"> HE = healthy; OB = obesity; OV = overweight; WS = weight status</w:t>
      </w:r>
    </w:p>
    <w:p w14:paraId="3E9DA93D" w14:textId="001CB34A" w:rsidR="00861557" w:rsidRPr="00296D0C" w:rsidRDefault="00861557" w:rsidP="000D0114">
      <w:pPr>
        <w:spacing w:after="0" w:line="360" w:lineRule="auto"/>
        <w:rPr>
          <w:rFonts w:cs="Arial"/>
        </w:rPr>
      </w:pPr>
      <w:r w:rsidRPr="00296D0C">
        <w:rPr>
          <w:rFonts w:cs="Arial"/>
        </w:rPr>
        <w:t>In Stage 1 of the model, a decision tree structure is used to predict adult weight status as a function of childhood weight status. The model starts with a cohort of children distributed by weight status per the UK90 growth reference standards (Cole et al</w:t>
      </w:r>
      <w:r w:rsidR="00AA5D61" w:rsidRPr="00296D0C">
        <w:rPr>
          <w:rFonts w:cs="Arial"/>
        </w:rPr>
        <w:t>.</w:t>
      </w:r>
      <w:r w:rsidR="00780F13" w:rsidRPr="00296D0C">
        <w:rPr>
          <w:rFonts w:cs="Arial"/>
        </w:rPr>
        <w:fldChar w:fldCharType="begin"/>
      </w:r>
      <w:r w:rsidR="008C43BF">
        <w:rPr>
          <w:rFonts w:cs="Arial"/>
        </w:rPr>
        <w:instrText xml:space="preserve"> ADDIN EN.CITE &lt;EndNote&gt;&lt;Cite&gt;&lt;Author&gt;Cole&lt;/Author&gt;&lt;Year&gt;1995&lt;/Year&gt;&lt;RecNum&gt;215&lt;/RecNum&gt;&lt;DisplayText&gt;&lt;style face="superscript"&gt;50&lt;/style&gt;&lt;/DisplayText&gt;&lt;record&gt;&lt;rec-number&gt;215&lt;/rec-number&gt;&lt;foreign-keys&gt;&lt;key app="EN" db-id="2ewa9rrvjsdsawep2vpx5x97eedzzvxx5rta" timestamp="0"&gt;215&lt;/key&gt;&lt;/foreign-keys&gt;&lt;ref-type name="Journal Article"&gt;17&lt;/ref-type&gt;&lt;contributors&gt;&lt;authors&gt;&lt;author&gt;Cole, T. J.&lt;/author&gt;&lt;author&gt;Freeman, J. V.&lt;/author&gt;&lt;author&gt;Preece, M. A.&lt;/author&gt;&lt;/authors&gt;&lt;/contributors&gt;&lt;auth-address&gt;MRC Dunn Nutrition Centre, Cambridge.&lt;/auth-address&gt;&lt;titles&gt;&lt;title&gt;Body mass index reference curves for the UK, 1990&lt;/title&gt;&lt;secondary-title&gt;Archives of Disease in Childhood&lt;/secondary-title&gt;&lt;/titles&gt;&lt;periodical&gt;&lt;full-title&gt;Archives of Disease in Childhood&lt;/full-title&gt;&lt;abbr-1&gt;Arch. Dis. Child.&lt;/abbr-1&gt;&lt;abbr-2&gt;Arch Dis Child&lt;/abbr-2&gt;&lt;/periodical&gt;&lt;pages&gt;25-9&lt;/pages&gt;&lt;volume&gt;73&lt;/volume&gt;&lt;number&gt;1&lt;/number&gt;&lt;keywords&gt;&lt;keyword&gt;Adolescent&lt;/keyword&gt;&lt;keyword&gt;Adult&lt;/keyword&gt;&lt;keyword&gt;*Body Mass Index&lt;/keyword&gt;&lt;keyword&gt;Child&lt;/keyword&gt;&lt;keyword&gt;Child, Preschool&lt;/keyword&gt;&lt;keyword&gt;Female&lt;/keyword&gt;&lt;keyword&gt;Great Britain&lt;/keyword&gt;&lt;keyword&gt;Humans&lt;/keyword&gt;&lt;keyword&gt;Infant&lt;/keyword&gt;&lt;keyword&gt;Infant, Newborn&lt;/keyword&gt;&lt;keyword&gt;Male&lt;/keyword&gt;&lt;keyword&gt;Reference Values&lt;/keyword&gt;&lt;/keywords&gt;&lt;dates&gt;&lt;year&gt;1995&lt;/year&gt;&lt;pub-dates&gt;&lt;date&gt;Jul&lt;/date&gt;&lt;/pub-dates&gt;&lt;/dates&gt;&lt;accession-num&gt;7639544&lt;/accession-num&gt;&lt;urls&gt;&lt;related-urls&gt;&lt;url&gt;http://www.ncbi.nlm.nih.gov/entrez/query.fcgi?cmd=Retrieve&amp;amp;db=PubMed&amp;amp;dopt=Citation&amp;amp;list_uids=7639544 &lt;/url&gt;&lt;/related-urls&gt;&lt;/urls&gt;&lt;/record&gt;&lt;/Cite&gt;&lt;/EndNote&gt;</w:instrText>
      </w:r>
      <w:r w:rsidR="00780F13" w:rsidRPr="00296D0C">
        <w:rPr>
          <w:rFonts w:cs="Arial"/>
        </w:rPr>
        <w:fldChar w:fldCharType="separate"/>
      </w:r>
      <w:r w:rsidR="008C43BF" w:rsidRPr="008C43BF">
        <w:rPr>
          <w:rFonts w:cs="Arial"/>
          <w:noProof/>
          <w:vertAlign w:val="superscript"/>
        </w:rPr>
        <w:t>50</w:t>
      </w:r>
      <w:r w:rsidR="00780F13" w:rsidRPr="00296D0C">
        <w:rPr>
          <w:rFonts w:cs="Arial"/>
        </w:rPr>
        <w:fldChar w:fldCharType="end"/>
      </w:r>
      <w:r w:rsidR="00AA5D61" w:rsidRPr="00296D0C">
        <w:rPr>
          <w:rFonts w:cs="Arial"/>
        </w:rPr>
        <w:t>)</w:t>
      </w:r>
      <w:r w:rsidRPr="00296D0C">
        <w:rPr>
          <w:rFonts w:cs="Arial"/>
        </w:rPr>
        <w:t xml:space="preserve"> using clinical assessment classifications (≤91</w:t>
      </w:r>
      <w:r w:rsidRPr="00296D0C">
        <w:rPr>
          <w:rFonts w:cs="Arial"/>
          <w:vertAlign w:val="superscript"/>
        </w:rPr>
        <w:t>st</w:t>
      </w:r>
      <w:r w:rsidRPr="00296D0C">
        <w:rPr>
          <w:rFonts w:cs="Arial"/>
        </w:rPr>
        <w:t xml:space="preserve"> centile; &gt;91</w:t>
      </w:r>
      <w:r w:rsidRPr="00296D0C">
        <w:rPr>
          <w:rFonts w:cs="Arial"/>
          <w:vertAlign w:val="superscript"/>
        </w:rPr>
        <w:t>st</w:t>
      </w:r>
      <w:r w:rsidRPr="00296D0C">
        <w:rPr>
          <w:rFonts w:cs="Arial"/>
        </w:rPr>
        <w:t xml:space="preserve"> to ≤95</w:t>
      </w:r>
      <w:r w:rsidRPr="00296D0C">
        <w:rPr>
          <w:rFonts w:cs="Arial"/>
          <w:vertAlign w:val="superscript"/>
        </w:rPr>
        <w:t>th</w:t>
      </w:r>
      <w:r w:rsidRPr="00296D0C">
        <w:rPr>
          <w:rFonts w:cs="Arial"/>
        </w:rPr>
        <w:t xml:space="preserve"> centile; &gt;95</w:t>
      </w:r>
      <w:r w:rsidRPr="00296D0C">
        <w:rPr>
          <w:rFonts w:cs="Arial"/>
          <w:vertAlign w:val="superscript"/>
        </w:rPr>
        <w:t>th</w:t>
      </w:r>
      <w:r w:rsidRPr="00296D0C">
        <w:rPr>
          <w:rFonts w:cs="Arial"/>
        </w:rPr>
        <w:t xml:space="preserve"> centile to ≤98</w:t>
      </w:r>
      <w:r w:rsidRPr="00296D0C">
        <w:rPr>
          <w:rFonts w:cs="Arial"/>
          <w:vertAlign w:val="superscript"/>
        </w:rPr>
        <w:t>th</w:t>
      </w:r>
      <w:r w:rsidRPr="00296D0C">
        <w:rPr>
          <w:rFonts w:cs="Arial"/>
        </w:rPr>
        <w:t xml:space="preserve"> centile; and, &gt;98</w:t>
      </w:r>
      <w:r w:rsidRPr="00296D0C">
        <w:rPr>
          <w:rFonts w:cs="Arial"/>
          <w:vertAlign w:val="superscript"/>
        </w:rPr>
        <w:t>th</w:t>
      </w:r>
      <w:r w:rsidRPr="00296D0C">
        <w:rPr>
          <w:rFonts w:cs="Arial"/>
        </w:rPr>
        <w:t xml:space="preserve"> centile), and predicts the expected distribution of the cohort by weight status in adulthood.  Data from the UK longitudinal study reported by Power et al.</w:t>
      </w:r>
      <w:r w:rsidR="00AA5D61" w:rsidRPr="00296D0C">
        <w:rPr>
          <w:rFonts w:cs="Arial"/>
        </w:rPr>
        <w:t>,</w:t>
      </w:r>
      <w:r w:rsidRPr="00296D0C">
        <w:rPr>
          <w:rFonts w:cs="Arial"/>
        </w:rPr>
        <w:t xml:space="preserve"> 1997</w:t>
      </w:r>
      <w:r w:rsidR="00780F13" w:rsidRPr="00296D0C">
        <w:rPr>
          <w:rFonts w:cs="Arial"/>
        </w:rPr>
        <w:t xml:space="preserve"> </w:t>
      </w:r>
      <w:r w:rsidR="00780F13" w:rsidRPr="00296D0C">
        <w:rPr>
          <w:rFonts w:cs="Arial"/>
        </w:rPr>
        <w:fldChar w:fldCharType="begin"/>
      </w:r>
      <w:r w:rsidR="008C43BF">
        <w:rPr>
          <w:rFonts w:cs="Arial"/>
        </w:rPr>
        <w:instrText xml:space="preserve"> ADDIN EN.CITE &lt;EndNote&gt;&lt;Cite&gt;&lt;Author&gt;Power&lt;/Author&gt;&lt;Year&gt;1997&lt;/Year&gt;&lt;RecNum&gt;5762&lt;/RecNum&gt;&lt;DisplayText&gt;&lt;style face="superscript"&gt;76&lt;/style&gt;&lt;/DisplayText&gt;&lt;record&gt;&lt;rec-number&gt;5762&lt;/rec-number&gt;&lt;foreign-keys&gt;&lt;key app="EN" db-id="2ewa9rrvjsdsawep2vpx5x97eedzzvxx5rta" timestamp="1478679952"&gt;5762&lt;/key&gt;&lt;/foreign-keys&gt;&lt;ref-type name="Journal Article"&gt;17&lt;/ref-type&gt;&lt;contributors&gt;&lt;authors&gt;&lt;author&gt;Power, C.&lt;/author&gt;&lt;author&gt;Hertzman, C.&lt;/author&gt;&lt;author&gt;Matthews, S.&lt;/author&gt;&lt;author&gt;Manor, O.&lt;/author&gt;&lt;/authors&gt;&lt;/contributors&gt;&lt;auth-address&gt;Department of Epidemiology and Biostatistics, Institute of Child Health, London, England.&lt;/auth-address&gt;&lt;titles&gt;&lt;title&gt;Social differences in health: life-cycle effects between ages 23 and 33 in the 1958 British birth cohort&lt;/title&gt;&lt;secondary-title&gt;Am J Public Health&lt;/secondary-title&gt;&lt;/titles&gt;&lt;periodical&gt;&lt;full-title&gt;American Journal of Public Health&lt;/full-title&gt;&lt;abbr-1&gt;Am. J. Public Health&lt;/abbr-1&gt;&lt;abbr-2&gt;Am J Public Health&lt;/abbr-2&gt;&lt;/periodical&gt;&lt;pages&gt;1499-503&lt;/pages&gt;&lt;volume&gt;87&lt;/volume&gt;&lt;number&gt;9&lt;/number&gt;&lt;keywords&gt;&lt;keyword&gt;Adult&lt;/keyword&gt;&lt;keyword&gt;Aging&lt;/keyword&gt;&lt;keyword&gt;Asthma/epidemiology&lt;/keyword&gt;&lt;keyword&gt;Cohort Studies&lt;/keyword&gt;&lt;keyword&gt;Female&lt;/keyword&gt;&lt;keyword&gt;Great Britain/epidemiology&lt;/keyword&gt;&lt;keyword&gt;*Health Status&lt;/keyword&gt;&lt;keyword&gt;Humans&lt;/keyword&gt;&lt;keyword&gt;Male&lt;/keyword&gt;&lt;keyword&gt;Obesity/epidemiology&lt;/keyword&gt;&lt;keyword&gt;Prevalence&lt;/keyword&gt;&lt;keyword&gt;Sex Factors&lt;/keyword&gt;&lt;keyword&gt;*Social Class&lt;/keyword&gt;&lt;/keywords&gt;&lt;dates&gt;&lt;year&gt;1997&lt;/year&gt;&lt;pub-dates&gt;&lt;date&gt;Sep&lt;/date&gt;&lt;/pub-dates&gt;&lt;/dates&gt;&lt;isbn&gt;0090-0036 (Print)&amp;#xD;0090-0036 (Linking)&lt;/isbn&gt;&lt;accession-num&gt;9314803&lt;/accession-num&gt;&lt;urls&gt;&lt;related-urls&gt;&lt;url&gt;http://www.ncbi.nlm.nih.gov/pubmed/9314803&lt;/url&gt;&lt;/related-urls&gt;&lt;/urls&gt;&lt;custom2&gt;1380976&lt;/custom2&gt;&lt;/record&gt;&lt;/Cite&gt;&lt;/EndNote&gt;</w:instrText>
      </w:r>
      <w:r w:rsidR="00780F13" w:rsidRPr="00296D0C">
        <w:rPr>
          <w:rFonts w:cs="Arial"/>
        </w:rPr>
        <w:fldChar w:fldCharType="separate"/>
      </w:r>
      <w:r w:rsidR="008C43BF" w:rsidRPr="008C43BF">
        <w:rPr>
          <w:rFonts w:cs="Arial"/>
          <w:noProof/>
          <w:vertAlign w:val="superscript"/>
        </w:rPr>
        <w:t>76</w:t>
      </w:r>
      <w:r w:rsidR="00780F13" w:rsidRPr="00296D0C">
        <w:rPr>
          <w:rFonts w:cs="Arial"/>
        </w:rPr>
        <w:fldChar w:fldCharType="end"/>
      </w:r>
      <w:r w:rsidRPr="00296D0C">
        <w:rPr>
          <w:rFonts w:cs="Arial"/>
        </w:rPr>
        <w:t>, which followed up participants from age 7 to age 33 years (see detail below), is used to predict adult weight status.  Based on data reported by Power et al.</w:t>
      </w:r>
      <w:r w:rsidR="00780F13" w:rsidRPr="00296D0C">
        <w:rPr>
          <w:rFonts w:cs="Arial"/>
        </w:rPr>
        <w:t xml:space="preserve"> </w:t>
      </w:r>
      <w:r w:rsidR="00780F13" w:rsidRPr="00296D0C">
        <w:rPr>
          <w:rFonts w:cs="Arial"/>
        </w:rPr>
        <w:fldChar w:fldCharType="begin"/>
      </w:r>
      <w:r w:rsidR="008C43BF">
        <w:rPr>
          <w:rFonts w:cs="Arial"/>
        </w:rPr>
        <w:instrText xml:space="preserve"> ADDIN EN.CITE &lt;EndNote&gt;&lt;Cite&gt;&lt;Author&gt;Power&lt;/Author&gt;&lt;Year&gt;1997&lt;/Year&gt;&lt;RecNum&gt;5762&lt;/RecNum&gt;&lt;DisplayText&gt;&lt;style face="superscript"&gt;76&lt;/style&gt;&lt;/DisplayText&gt;&lt;record&gt;&lt;rec-number&gt;5762&lt;/rec-number&gt;&lt;foreign-keys&gt;&lt;key app="EN" db-id="2ewa9rrvjsdsawep2vpx5x97eedzzvxx5rta" timestamp="1478679952"&gt;5762&lt;/key&gt;&lt;/foreign-keys&gt;&lt;ref-type name="Journal Article"&gt;17&lt;/ref-type&gt;&lt;contributors&gt;&lt;authors&gt;&lt;author&gt;Power, C.&lt;/author&gt;&lt;author&gt;Hertzman, C.&lt;/author&gt;&lt;author&gt;Matthews, S.&lt;/author&gt;&lt;author&gt;Manor, O.&lt;/author&gt;&lt;/authors&gt;&lt;/contributors&gt;&lt;auth-address&gt;Department of Epidemiology and Biostatistics, Institute of Child Health, London, England.&lt;/auth-address&gt;&lt;titles&gt;&lt;title&gt;Social differences in health: life-cycle effects between ages 23 and 33 in the 1958 British birth cohort&lt;/title&gt;&lt;secondary-title&gt;Am J Public Health&lt;/secondary-title&gt;&lt;/titles&gt;&lt;periodical&gt;&lt;full-title&gt;American Journal of Public Health&lt;/full-title&gt;&lt;abbr-1&gt;Am. J. Public Health&lt;/abbr-1&gt;&lt;abbr-2&gt;Am J Public Health&lt;/abbr-2&gt;&lt;/periodical&gt;&lt;pages&gt;1499-503&lt;/pages&gt;&lt;volume&gt;87&lt;/volume&gt;&lt;number&gt;9&lt;/number&gt;&lt;keywords&gt;&lt;keyword&gt;Adult&lt;/keyword&gt;&lt;keyword&gt;Aging&lt;/keyword&gt;&lt;keyword&gt;Asthma/epidemiology&lt;/keyword&gt;&lt;keyword&gt;Cohort Studies&lt;/keyword&gt;&lt;keyword&gt;Female&lt;/keyword&gt;&lt;keyword&gt;Great Britain/epidemiology&lt;/keyword&gt;&lt;keyword&gt;*Health Status&lt;/keyword&gt;&lt;keyword&gt;Humans&lt;/keyword&gt;&lt;keyword&gt;Male&lt;/keyword&gt;&lt;keyword&gt;Obesity/epidemiology&lt;/keyword&gt;&lt;keyword&gt;Prevalence&lt;/keyword&gt;&lt;keyword&gt;Sex Factors&lt;/keyword&gt;&lt;keyword&gt;*Social Class&lt;/keyword&gt;&lt;/keywords&gt;&lt;dates&gt;&lt;year&gt;1997&lt;/year&gt;&lt;pub-dates&gt;&lt;date&gt;Sep&lt;/date&gt;&lt;/pub-dates&gt;&lt;/dates&gt;&lt;isbn&gt;0090-0036 (Print)&amp;#xD;0090-0036 (Linking)&lt;/isbn&gt;&lt;accession-num&gt;9314803&lt;/accession-num&gt;&lt;urls&gt;&lt;related-urls&gt;&lt;url&gt;http://www.ncbi.nlm.nih.gov/pubmed/9314803&lt;/url&gt;&lt;/related-urls&gt;&lt;/urls&gt;&lt;custom2&gt;1380976&lt;/custom2&gt;&lt;/record&gt;&lt;/Cite&gt;&lt;/EndNote&gt;</w:instrText>
      </w:r>
      <w:r w:rsidR="00780F13" w:rsidRPr="00296D0C">
        <w:rPr>
          <w:rFonts w:cs="Arial"/>
        </w:rPr>
        <w:fldChar w:fldCharType="separate"/>
      </w:r>
      <w:r w:rsidR="008C43BF" w:rsidRPr="008C43BF">
        <w:rPr>
          <w:rFonts w:cs="Arial"/>
          <w:noProof/>
          <w:vertAlign w:val="superscript"/>
        </w:rPr>
        <w:t>76</w:t>
      </w:r>
      <w:r w:rsidR="00780F13" w:rsidRPr="00296D0C">
        <w:rPr>
          <w:rFonts w:cs="Arial"/>
        </w:rPr>
        <w:fldChar w:fldCharType="end"/>
      </w:r>
      <w:r w:rsidRPr="00296D0C">
        <w:rPr>
          <w:rFonts w:cs="Arial"/>
        </w:rPr>
        <w:t>, the probability of children from a particular weight category remaining or changing weight status at age 33 years was estimated. These probabilities were applied to the starting cohort of children distributed by weight status in order to predict the likely distribution of people in a</w:t>
      </w:r>
      <w:r w:rsidR="00B13AA9" w:rsidRPr="00296D0C">
        <w:rPr>
          <w:rFonts w:cs="Arial"/>
        </w:rPr>
        <w:t>dulthood, by weight status cate</w:t>
      </w:r>
      <w:r w:rsidRPr="00296D0C">
        <w:rPr>
          <w:rFonts w:cs="Arial"/>
        </w:rPr>
        <w:t>g</w:t>
      </w:r>
      <w:r w:rsidR="00B13AA9" w:rsidRPr="00296D0C">
        <w:rPr>
          <w:rFonts w:cs="Arial"/>
        </w:rPr>
        <w:t>o</w:t>
      </w:r>
      <w:r w:rsidRPr="00296D0C">
        <w:rPr>
          <w:rFonts w:cs="Arial"/>
        </w:rPr>
        <w:t xml:space="preserve">ry.  The impact of interventions, in this instance HeLP, can be considered/integrated in this first stage of the model via the specification of the starting distribution of children by weight status (e.g. an effective intervention will have fewer children in BMI </w:t>
      </w:r>
      <w:r w:rsidR="00C23936" w:rsidRPr="00296D0C">
        <w:rPr>
          <w:rFonts w:cs="Arial"/>
        </w:rPr>
        <w:t>SD</w:t>
      </w:r>
      <w:r w:rsidRPr="00296D0C">
        <w:rPr>
          <w:rFonts w:cs="Arial"/>
        </w:rPr>
        <w:t xml:space="preserve"> centile categories associated with overweight and/or obese weight status). The model structure uses (starts with) inputs for a base cohort distribution of children by weight status </w:t>
      </w:r>
      <w:r w:rsidR="00C23936" w:rsidRPr="00296D0C">
        <w:rPr>
          <w:rFonts w:cs="Arial"/>
        </w:rPr>
        <w:t>categories</w:t>
      </w:r>
      <w:r w:rsidRPr="00296D0C">
        <w:rPr>
          <w:rFonts w:cs="Arial"/>
        </w:rPr>
        <w:t xml:space="preserve"> and applies effectiveness data (e.g. hazard rates/relative risks) to proportions of children in categories of weight status associated with overweight and obesity, in order to simulate the reported treatment effectiveness in a comparison of the same cohort of people both with and without the intervention (effectiveness).</w:t>
      </w:r>
    </w:p>
    <w:p w14:paraId="417261A7" w14:textId="77777777" w:rsidR="00861557" w:rsidRPr="00296D0C" w:rsidRDefault="00861557" w:rsidP="000D0114">
      <w:pPr>
        <w:spacing w:after="0" w:line="360" w:lineRule="auto"/>
        <w:rPr>
          <w:rFonts w:cs="Arial"/>
        </w:rPr>
      </w:pPr>
    </w:p>
    <w:p w14:paraId="5C190B00" w14:textId="23D7EC01" w:rsidR="00861557" w:rsidRPr="00296D0C" w:rsidRDefault="00861557" w:rsidP="000D0114">
      <w:pPr>
        <w:spacing w:after="0" w:line="360" w:lineRule="auto"/>
        <w:rPr>
          <w:rFonts w:cs="Arial"/>
        </w:rPr>
      </w:pPr>
      <w:r w:rsidRPr="00296D0C">
        <w:rPr>
          <w:rFonts w:cs="Arial"/>
        </w:rPr>
        <w:lastRenderedPageBreak/>
        <w:t xml:space="preserve">In Stage 2, a Markov model is used to model weight-related health events over time by adult weight status (see Figure </w:t>
      </w:r>
      <w:r w:rsidR="00DA314F" w:rsidRPr="00296D0C">
        <w:rPr>
          <w:rFonts w:cs="Arial"/>
        </w:rPr>
        <w:t>7</w:t>
      </w:r>
      <w:r w:rsidRPr="00296D0C">
        <w:rPr>
          <w:rFonts w:cs="Arial"/>
        </w:rPr>
        <w:t>). Weight-related health events included in the model are type 2 diabetes mellitus (T2DM), coronary heart disease (CHD), stroke and colorectal cancer (CRC), see detail below. The model cycle length is one-year, with a 30-year time horizon. The time horizon is chosen to reflect a longer term adult time horizon, over which adult weight related health events may be predicted (i.e. over age 33 to 62 years).  Adults enter the model in one of three event-free health states depending on their weight status (healthy weight, overweight, or obese). In the base case model adult overweight and obese weight status categories are BMI 25.0–30.0 kg/m</w:t>
      </w:r>
      <w:r w:rsidRPr="00296D0C">
        <w:rPr>
          <w:rFonts w:cs="Arial"/>
          <w:vertAlign w:val="superscript"/>
        </w:rPr>
        <w:t>2</w:t>
      </w:r>
      <w:r w:rsidRPr="00296D0C">
        <w:rPr>
          <w:rFonts w:cs="Arial"/>
        </w:rPr>
        <w:t xml:space="preserve"> and BMI &gt;30.0 kg/m</w:t>
      </w:r>
      <w:r w:rsidRPr="00296D0C">
        <w:rPr>
          <w:rFonts w:cs="Arial"/>
          <w:vertAlign w:val="superscript"/>
        </w:rPr>
        <w:t>2</w:t>
      </w:r>
      <w:r w:rsidRPr="00296D0C">
        <w:rPr>
          <w:rFonts w:cs="Arial"/>
        </w:rPr>
        <w:t xml:space="preserve"> respective</w:t>
      </w:r>
      <w:r w:rsidR="00BE60C7" w:rsidRPr="00296D0C">
        <w:rPr>
          <w:rFonts w:cs="Arial"/>
        </w:rPr>
        <w:t>ly, with healthy weight being &lt;</w:t>
      </w:r>
      <w:r w:rsidRPr="00296D0C">
        <w:rPr>
          <w:rFonts w:cs="Arial"/>
        </w:rPr>
        <w:t>BMI 25 kg/m</w:t>
      </w:r>
      <w:r w:rsidRPr="00296D0C">
        <w:rPr>
          <w:rFonts w:cs="Arial"/>
          <w:vertAlign w:val="superscript"/>
        </w:rPr>
        <w:t>2</w:t>
      </w:r>
      <w:r w:rsidRPr="00296D0C">
        <w:rPr>
          <w:rFonts w:cs="Arial"/>
        </w:rPr>
        <w:t xml:space="preserve">.  Each year (1-year cycle) adults are at risk of remaining in the event-free health state, developing a weight-related event, or death. The model assumes that adults who experience an event will remain in that health state until death and are not exposed to any other events; this is a simplifying assumption, consistent with previously published model-based evaluations.  People in the event free health state are exposed to general population all cause mortality risks.  People in states defined by weight-related events are exposed to condition specific mortality risks (see detail on mortality below).  Costs and </w:t>
      </w:r>
      <w:r w:rsidR="00BE60C7" w:rsidRPr="00296D0C">
        <w:rPr>
          <w:rFonts w:cs="Arial"/>
        </w:rPr>
        <w:t>outcomes associated with weight-</w:t>
      </w:r>
      <w:r w:rsidRPr="00296D0C">
        <w:rPr>
          <w:rFonts w:cs="Arial"/>
        </w:rPr>
        <w:t>related events are estimated based on a review of the published literature, costs are presented as 2015 GB pounds (£).  Data on mortality are from national data sources (all cause mortality) and from published literature on event related mortality.  Future costs and benefits are discounted at 3.5% per annum in base case analysis, with the option to vary this in sensitivity analyses, and the perspective of the analysis, consistent with the context of the decision problem, is that of the UK NHS and Personal Social Services (Third Party Payer perspective).  The decision-analytic context is guided by the UK NHS decision making context, using methods guidance for conduct of economic evaluations issued by UK NICE (2013)</w:t>
      </w:r>
      <w:r w:rsidR="00CF6549" w:rsidRPr="00296D0C">
        <w:t xml:space="preserve"> </w:t>
      </w:r>
      <w:r w:rsidR="00CF6549" w:rsidRPr="00296D0C">
        <w:rPr>
          <w:rFonts w:cs="Arial"/>
        </w:rPr>
        <w:fldChar w:fldCharType="begin"/>
      </w:r>
      <w:r w:rsidR="00931E9F">
        <w:rPr>
          <w:rFonts w:cs="Arial"/>
        </w:rPr>
        <w:instrText xml:space="preserve"> ADDIN EN.CITE &lt;EndNote&gt;&lt;Cite&gt;&lt;Author&gt;Excellence&lt;/Author&gt;&lt;Year&gt;2013&lt;/Year&gt;&lt;RecNum&gt;5781&lt;/RecNum&gt;&lt;DisplayText&gt;&lt;style face="superscript"&gt;77&lt;/style&gt;&lt;/DisplayText&gt;&lt;record&gt;&lt;rec-number&gt;5781&lt;/rec-number&gt;&lt;foreign-keys&gt;&lt;key app="EN" db-id="2ewa9rrvjsdsawep2vpx5x97eedzzvxx5rta" timestamp="1478698216"&gt;5781&lt;/key&gt;&lt;/foreign-keys&gt;&lt;ref-type name="Report"&gt;27&lt;/ref-type&gt;&lt;contributors&gt;&lt;authors&gt;&lt;author&gt;National Institute for Health and Care Excellence,&lt;/author&gt;&lt;/authors&gt;&lt;/contributors&gt;&lt;titles&gt;&lt;title&gt;Guide to the method of technology appraisal 2013&lt;/title&gt;&lt;/titles&gt;&lt;dates&gt;&lt;year&gt;2013&lt;/year&gt;&lt;/dates&gt;&lt;urls&gt;&lt;related-urls&gt;&lt;url&gt;https://www.nice.org.uk/process/pmg9/resources/guide-to-the-methods-of-technology-appraisal-2013-pdf-2007975843781&lt;/url&gt;&lt;/related-urls&gt;&lt;/urls&gt;&lt;access-date&gt;01 Nov 2016&lt;/access-date&gt;&lt;/record&gt;&lt;/Cite&gt;&lt;/EndNote&gt;</w:instrText>
      </w:r>
      <w:r w:rsidR="00CF6549" w:rsidRPr="00296D0C">
        <w:rPr>
          <w:rFonts w:cs="Arial"/>
        </w:rPr>
        <w:fldChar w:fldCharType="separate"/>
      </w:r>
      <w:r w:rsidR="008C43BF" w:rsidRPr="008C43BF">
        <w:rPr>
          <w:rFonts w:cs="Arial"/>
          <w:noProof/>
          <w:vertAlign w:val="superscript"/>
        </w:rPr>
        <w:t>77</w:t>
      </w:r>
      <w:r w:rsidR="00CF6549" w:rsidRPr="00296D0C">
        <w:rPr>
          <w:rFonts w:cs="Arial"/>
        </w:rPr>
        <w:fldChar w:fldCharType="end"/>
      </w:r>
      <w:r w:rsidRPr="00296D0C">
        <w:rPr>
          <w:rFonts w:cs="Arial"/>
        </w:rPr>
        <w:t>.</w:t>
      </w:r>
    </w:p>
    <w:p w14:paraId="1B278007" w14:textId="77777777" w:rsidR="00BE60C7" w:rsidRPr="00296D0C" w:rsidRDefault="00BE60C7" w:rsidP="00861557">
      <w:pPr>
        <w:pStyle w:val="Caption"/>
        <w:rPr>
          <w:rFonts w:cs="Arial"/>
          <w:b/>
          <w:i w:val="0"/>
          <w:color w:val="auto"/>
          <w:sz w:val="22"/>
          <w:szCs w:val="22"/>
        </w:rPr>
      </w:pPr>
    </w:p>
    <w:p w14:paraId="12DDC65A" w14:textId="77777777" w:rsidR="00BE60C7" w:rsidRPr="00296D0C" w:rsidRDefault="00BE60C7">
      <w:pPr>
        <w:rPr>
          <w:rFonts w:cs="Arial"/>
          <w:b/>
          <w:iCs/>
        </w:rPr>
      </w:pPr>
      <w:r w:rsidRPr="00296D0C">
        <w:rPr>
          <w:rFonts w:cs="Arial"/>
          <w:b/>
          <w:i/>
        </w:rPr>
        <w:br w:type="page"/>
      </w:r>
    </w:p>
    <w:p w14:paraId="47C7D5D7" w14:textId="7303C7E8" w:rsidR="00861557" w:rsidRPr="00296D0C" w:rsidRDefault="00861557" w:rsidP="00861557">
      <w:pPr>
        <w:pStyle w:val="Caption"/>
        <w:rPr>
          <w:rFonts w:cs="Arial"/>
          <w:b/>
          <w:i w:val="0"/>
          <w:color w:val="auto"/>
          <w:sz w:val="22"/>
          <w:szCs w:val="22"/>
        </w:rPr>
      </w:pPr>
      <w:r w:rsidRPr="00296D0C">
        <w:rPr>
          <w:rFonts w:cs="Arial"/>
          <w:b/>
          <w:i w:val="0"/>
          <w:color w:val="auto"/>
          <w:sz w:val="22"/>
          <w:szCs w:val="22"/>
        </w:rPr>
        <w:lastRenderedPageBreak/>
        <w:t>F</w:t>
      </w:r>
      <w:r w:rsidR="009463BC" w:rsidRPr="00296D0C">
        <w:rPr>
          <w:rFonts w:cs="Arial"/>
          <w:b/>
          <w:i w:val="0"/>
          <w:color w:val="auto"/>
          <w:sz w:val="22"/>
          <w:szCs w:val="22"/>
        </w:rPr>
        <w:t>IGURE</w:t>
      </w:r>
      <w:r w:rsidRPr="00296D0C">
        <w:rPr>
          <w:rFonts w:cs="Arial"/>
          <w:b/>
          <w:i w:val="0"/>
          <w:color w:val="auto"/>
          <w:sz w:val="22"/>
          <w:szCs w:val="22"/>
        </w:rPr>
        <w:t xml:space="preserve"> </w:t>
      </w:r>
      <w:r w:rsidR="00DA314F" w:rsidRPr="00296D0C">
        <w:rPr>
          <w:rFonts w:cs="Arial"/>
          <w:b/>
          <w:i w:val="0"/>
          <w:color w:val="auto"/>
          <w:sz w:val="22"/>
          <w:szCs w:val="22"/>
        </w:rPr>
        <w:t>7</w:t>
      </w:r>
      <w:r w:rsidRPr="00296D0C">
        <w:rPr>
          <w:rFonts w:cs="Arial"/>
          <w:b/>
          <w:i w:val="0"/>
          <w:color w:val="auto"/>
          <w:sz w:val="22"/>
          <w:szCs w:val="22"/>
        </w:rPr>
        <w:t xml:space="preserve"> Markov model structure</w:t>
      </w:r>
    </w:p>
    <w:p w14:paraId="586386F3" w14:textId="77777777" w:rsidR="00861557" w:rsidRPr="00296D0C" w:rsidRDefault="00861557" w:rsidP="00861557">
      <w:pPr>
        <w:spacing w:after="0" w:line="240" w:lineRule="auto"/>
      </w:pPr>
      <w:r w:rsidRPr="00296D0C">
        <w:rPr>
          <w:noProof/>
          <w:lang w:eastAsia="zh-CN"/>
        </w:rPr>
        <w:drawing>
          <wp:inline distT="0" distB="0" distL="0" distR="0" wp14:anchorId="46C21D2D" wp14:editId="1FE616B3">
            <wp:extent cx="5943600" cy="2326642"/>
            <wp:effectExtent l="19050" t="19050" r="19050" b="165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326642"/>
                    </a:xfrm>
                    <a:prstGeom prst="rect">
                      <a:avLst/>
                    </a:prstGeom>
                    <a:noFill/>
                    <a:ln>
                      <a:solidFill>
                        <a:schemeClr val="tx1"/>
                      </a:solidFill>
                    </a:ln>
                  </pic:spPr>
                </pic:pic>
              </a:graphicData>
            </a:graphic>
          </wp:inline>
        </w:drawing>
      </w:r>
    </w:p>
    <w:p w14:paraId="7D3CFD0D" w14:textId="77777777" w:rsidR="00861557" w:rsidRPr="00296D0C" w:rsidRDefault="00861557" w:rsidP="00861557">
      <w:pPr>
        <w:spacing w:after="0" w:line="240" w:lineRule="auto"/>
      </w:pPr>
      <w:r w:rsidRPr="00296D0C">
        <w:rPr>
          <w:rFonts w:cs="Arial"/>
        </w:rPr>
        <w:t>Costs by event/state: costCHD; costT2DM; costCRC; costStroke.</w:t>
      </w:r>
    </w:p>
    <w:p w14:paraId="6FAC5E6F" w14:textId="2062BB30" w:rsidR="00F03E84" w:rsidRPr="00296D0C" w:rsidRDefault="00861557" w:rsidP="00312529">
      <w:pPr>
        <w:spacing w:after="0" w:line="240" w:lineRule="auto"/>
      </w:pPr>
      <w:r w:rsidRPr="00296D0C">
        <w:rPr>
          <w:rFonts w:cs="Arial"/>
        </w:rPr>
        <w:t>Health state values (QALY weights) by event/state: hsvGenPop; hsvCHD; hsvT2DM; hsvCRC; hsvStroke.</w:t>
      </w:r>
      <w:bookmarkStart w:id="504" w:name="_Toc453769916"/>
    </w:p>
    <w:p w14:paraId="35E3B28E" w14:textId="77777777" w:rsidR="006E30C7" w:rsidRDefault="006E30C7" w:rsidP="00312529">
      <w:pPr>
        <w:rPr>
          <w:rFonts w:cs="Arial"/>
          <w:b/>
        </w:rPr>
      </w:pPr>
    </w:p>
    <w:p w14:paraId="3DC523CA" w14:textId="7B45CEA5" w:rsidR="00861557" w:rsidRPr="00296D0C" w:rsidRDefault="00861557" w:rsidP="00312529">
      <w:pPr>
        <w:rPr>
          <w:rFonts w:cs="Arial"/>
          <w:b/>
        </w:rPr>
      </w:pPr>
      <w:r w:rsidRPr="00296D0C">
        <w:rPr>
          <w:rFonts w:cs="Arial"/>
          <w:b/>
        </w:rPr>
        <w:t>Model Development (Stage 1): Predicting adult weight status from child weight status</w:t>
      </w:r>
      <w:bookmarkEnd w:id="504"/>
    </w:p>
    <w:p w14:paraId="4EFADF10" w14:textId="77777777" w:rsidR="00861557" w:rsidRPr="00296D0C" w:rsidRDefault="00861557" w:rsidP="000D0114">
      <w:pPr>
        <w:spacing w:after="0" w:line="360" w:lineRule="auto"/>
        <w:rPr>
          <w:rFonts w:cs="Arial"/>
        </w:rPr>
      </w:pPr>
      <w:r w:rsidRPr="00296D0C">
        <w:rPr>
          <w:rFonts w:cs="Arial"/>
        </w:rPr>
        <w:t>Longitudinal studies were used to inform the prediction of the proportion of children that will be healthy weight, overweight or obese in adulthood based on their childhood weight status.</w:t>
      </w:r>
    </w:p>
    <w:p w14:paraId="5090A0B0" w14:textId="022FE589" w:rsidR="006E30C7" w:rsidRPr="00296D0C" w:rsidRDefault="00861557" w:rsidP="000D0114">
      <w:pPr>
        <w:spacing w:after="0" w:line="360" w:lineRule="auto"/>
        <w:rPr>
          <w:rFonts w:cs="Arial"/>
        </w:rPr>
      </w:pPr>
      <w:r w:rsidRPr="00296D0C">
        <w:rPr>
          <w:rFonts w:cs="Arial"/>
        </w:rPr>
        <w:t>A literature search was undertaken to identify systematic reviews that reviewed the literature concerning the tracking of childhood weight status into adulthood. A total of three systematic reviews were identified – Singh et al.</w:t>
      </w:r>
      <w:r w:rsidR="001A55B7" w:rsidRPr="00296D0C">
        <w:rPr>
          <w:rFonts w:cs="Arial"/>
        </w:rPr>
        <w:t>,</w:t>
      </w:r>
      <w:r w:rsidRPr="00296D0C">
        <w:rPr>
          <w:rFonts w:cs="Arial"/>
        </w:rPr>
        <w:t xml:space="preserve"> 2008</w:t>
      </w:r>
      <w:r w:rsidR="00CF6549" w:rsidRPr="00296D0C">
        <w:rPr>
          <w:rFonts w:cs="Arial"/>
        </w:rPr>
        <w:t xml:space="preserve"> </w:t>
      </w:r>
      <w:r w:rsidR="00DC137F" w:rsidRPr="00296D0C">
        <w:rPr>
          <w:rFonts w:cs="Arial"/>
        </w:rPr>
        <w:fldChar w:fldCharType="begin"/>
      </w:r>
      <w:r w:rsidR="008C43BF">
        <w:rPr>
          <w:rFonts w:cs="Arial"/>
        </w:rPr>
        <w:instrText xml:space="preserve"> ADDIN EN.CITE &lt;EndNote&gt;&lt;Cite&gt;&lt;Author&gt;Singh&lt;/Author&gt;&lt;Year&gt;2008&lt;/Year&gt;&lt;RecNum&gt;5568&lt;/RecNum&gt;&lt;DisplayText&gt;&lt;style face="superscript"&gt;78&lt;/style&gt;&lt;/DisplayText&gt;&lt;record&gt;&lt;rec-number&gt;5568&lt;/rec-number&gt;&lt;foreign-keys&gt;&lt;key app="EN" db-id="2ewa9rrvjsdsawep2vpx5x97eedzzvxx5rta" timestamp="1452091158"&gt;5568&lt;/key&gt;&lt;/foreign-keys&gt;&lt;ref-type name="Journal Article"&gt;17&lt;/ref-type&gt;&lt;contributors&gt;&lt;authors&gt;&lt;author&gt;Singh, A. S.&lt;/author&gt;&lt;author&gt;Mulder, C.&lt;/author&gt;&lt;author&gt;Twisk, J. W.&lt;/author&gt;&lt;author&gt;van Mechelen, W.&lt;/author&gt;&lt;author&gt;Chinapaw, M. J.&lt;/author&gt;&lt;/authors&gt;&lt;/contributors&gt;&lt;auth-address&gt;VU University Medical Center, EMGO Institute, Department of Public and Occupational Health, Amsterdam, the Netherlands. a.singh@vumc.nl&lt;/auth-address&gt;&lt;titles&gt;&lt;title&gt;Tracking of childhood overweight into adulthood: a systematic review of the literature&lt;/title&gt;&lt;secondary-title&gt;Obes Rev&lt;/secondary-title&gt;&lt;/titles&gt;&lt;periodical&gt;&lt;full-title&gt;Obesity Reviews&lt;/full-title&gt;&lt;abbr-1&gt;Obes. Rev.&lt;/abbr-1&gt;&lt;abbr-2&gt;Obes Rev&lt;/abbr-2&gt;&lt;/periodical&gt;&lt;pages&gt;474-88&lt;/pages&gt;&lt;volume&gt;9&lt;/volume&gt;&lt;number&gt;5&lt;/number&gt;&lt;keywords&gt;&lt;keyword&gt;Adolescent&lt;/keyword&gt;&lt;keyword&gt;Adult&lt;/keyword&gt;&lt;keyword&gt;Aging/*physiology&lt;/keyword&gt;&lt;keyword&gt;Child&lt;/keyword&gt;&lt;keyword&gt;Female&lt;/keyword&gt;&lt;keyword&gt;Humans&lt;/keyword&gt;&lt;keyword&gt;Longitudinal Studies&lt;/keyword&gt;&lt;keyword&gt;Male&lt;/keyword&gt;&lt;keyword&gt;Obesity/*epidemiology/prevention &amp;amp; control&lt;/keyword&gt;&lt;keyword&gt;Overweight/*epidemiology/prevention &amp;amp; control&lt;/keyword&gt;&lt;keyword&gt;Predictive Value of Tests&lt;/keyword&gt;&lt;keyword&gt;*Public Health&lt;/keyword&gt;&lt;keyword&gt;Risk Factors&lt;/keyword&gt;&lt;/keywords&gt;&lt;dates&gt;&lt;year&gt;2008&lt;/year&gt;&lt;pub-dates&gt;&lt;date&gt;Sep&lt;/date&gt;&lt;/pub-dates&gt;&lt;/dates&gt;&lt;isbn&gt;1467-789X (Electronic)&amp;#xD;1467-7881 (Linking)&lt;/isbn&gt;&lt;accession-num&gt;18331423&lt;/accession-num&gt;&lt;urls&gt;&lt;related-urls&gt;&lt;url&gt;http://www.ncbi.nlm.nih.gov/pubmed/18331423&lt;/url&gt;&lt;/related-urls&gt;&lt;/urls&gt;&lt;electronic-resource-num&gt;10.1111/j.1467-789X.2008.00475.x&lt;/electronic-resource-num&gt;&lt;/record&gt;&lt;/Cite&gt;&lt;/EndNote&gt;</w:instrText>
      </w:r>
      <w:r w:rsidR="00DC137F" w:rsidRPr="00296D0C">
        <w:rPr>
          <w:rFonts w:cs="Arial"/>
        </w:rPr>
        <w:fldChar w:fldCharType="separate"/>
      </w:r>
      <w:r w:rsidR="008C43BF" w:rsidRPr="008C43BF">
        <w:rPr>
          <w:rFonts w:cs="Arial"/>
          <w:noProof/>
          <w:vertAlign w:val="superscript"/>
        </w:rPr>
        <w:t>78</w:t>
      </w:r>
      <w:r w:rsidR="00DC137F" w:rsidRPr="00296D0C">
        <w:rPr>
          <w:rFonts w:cs="Arial"/>
        </w:rPr>
        <w:fldChar w:fldCharType="end"/>
      </w:r>
      <w:r w:rsidRPr="00296D0C">
        <w:rPr>
          <w:rFonts w:cs="Arial"/>
        </w:rPr>
        <w:t>, Brisbois et al.</w:t>
      </w:r>
      <w:r w:rsidR="001A55B7" w:rsidRPr="00296D0C">
        <w:rPr>
          <w:rFonts w:cs="Arial"/>
        </w:rPr>
        <w:t xml:space="preserve">, </w:t>
      </w:r>
      <w:r w:rsidRPr="00296D0C">
        <w:rPr>
          <w:rFonts w:cs="Arial"/>
        </w:rPr>
        <w:t>2012</w:t>
      </w:r>
      <w:r w:rsidR="001A55B7" w:rsidRPr="00296D0C">
        <w:rPr>
          <w:rFonts w:cs="Arial"/>
        </w:rPr>
        <w:t xml:space="preserve"> </w:t>
      </w:r>
      <w:r w:rsidR="00DC137F" w:rsidRPr="00296D0C">
        <w:rPr>
          <w:rFonts w:cs="Arial"/>
        </w:rPr>
        <w:fldChar w:fldCharType="begin"/>
      </w:r>
      <w:r w:rsidR="008C43BF">
        <w:rPr>
          <w:rFonts w:cs="Arial"/>
        </w:rPr>
        <w:instrText xml:space="preserve"> ADDIN EN.CITE &lt;EndNote&gt;&lt;Cite&gt;&lt;Author&gt;Brisbois&lt;/Author&gt;&lt;Year&gt;2012&lt;/Year&gt;&lt;RecNum&gt;5731&lt;/RecNum&gt;&lt;DisplayText&gt;&lt;style face="superscript"&gt;79&lt;/style&gt;&lt;/DisplayText&gt;&lt;record&gt;&lt;rec-number&gt;5731&lt;/rec-number&gt;&lt;foreign-keys&gt;&lt;key app="EN" db-id="2ewa9rrvjsdsawep2vpx5x97eedzzvxx5rta" timestamp="1478679952"&gt;5731&lt;/key&gt;&lt;/foreign-keys&gt;&lt;ref-type name="Journal Article"&gt;17&lt;/ref-type&gt;&lt;contributors&gt;&lt;authors&gt;&lt;author&gt;Brisbois, T. D.&lt;/author&gt;&lt;author&gt;Farmer, A. P.&lt;/author&gt;&lt;author&gt;McCargar, L. J.&lt;/author&gt;&lt;/authors&gt;&lt;/contributors&gt;&lt;auth-address&gt;Department of Agricultural, Food and Nutritional Science, University of Alberta, Edmonton, Alberta, Canada.&lt;/auth-address&gt;&lt;titles&gt;&lt;title&gt;Early markers of adult obesity: a review&lt;/title&gt;&lt;secondary-title&gt;Obes Rev&lt;/secondary-title&gt;&lt;/titles&gt;&lt;periodical&gt;&lt;full-title&gt;Obesity Reviews&lt;/full-title&gt;&lt;abbr-1&gt;Obes. Rev.&lt;/abbr-1&gt;&lt;abbr-2&gt;Obes Rev&lt;/abbr-2&gt;&lt;/periodical&gt;&lt;pages&gt;347-67&lt;/pages&gt;&lt;volume&gt;13&lt;/volume&gt;&lt;number&gt;4&lt;/number&gt;&lt;keywords&gt;&lt;keyword&gt;Adult&lt;/keyword&gt;&lt;keyword&gt;Body Mass Index&lt;/keyword&gt;&lt;keyword&gt;*Child Development&lt;/keyword&gt;&lt;keyword&gt;Child, Preschool&lt;/keyword&gt;&lt;keyword&gt;Female&lt;/keyword&gt;&lt;keyword&gt;Humans&lt;/keyword&gt;&lt;keyword&gt;Infant&lt;/keyword&gt;&lt;keyword&gt;Infant, Newborn&lt;/keyword&gt;&lt;keyword&gt;Male&lt;/keyword&gt;&lt;keyword&gt;Obesity/*epidemiology/*etiology/prevention &amp;amp; control&lt;/keyword&gt;&lt;keyword&gt;Predictive Value of Tests&lt;/keyword&gt;&lt;keyword&gt;Pregnancy&lt;/keyword&gt;&lt;keyword&gt;Prenatal Exposure Delayed Effects&lt;/keyword&gt;&lt;keyword&gt;Risk Factors&lt;/keyword&gt;&lt;keyword&gt;Smoking/adverse effects&lt;/keyword&gt;&lt;keyword&gt;Socioeconomic Factors&lt;/keyword&gt;&lt;keyword&gt;Weight Gain/physiology&lt;/keyword&gt;&lt;/keywords&gt;&lt;dates&gt;&lt;year&gt;2012&lt;/year&gt;&lt;pub-dates&gt;&lt;date&gt;Apr&lt;/date&gt;&lt;/pub-dates&gt;&lt;/dates&gt;&lt;isbn&gt;1467-789X (Electronic)&amp;#xD;1467-7881 (Linking)&lt;/isbn&gt;&lt;accession-num&gt;22171945&lt;/accession-num&gt;&lt;urls&gt;&lt;related-urls&gt;&lt;url&gt;http://www.ncbi.nlm.nih.gov/pubmed/22171945&lt;/url&gt;&lt;/related-urls&gt;&lt;/urls&gt;&lt;custom2&gt;3531624&lt;/custom2&gt;&lt;electronic-resource-num&gt;10.1111/j.1467-789X.2011.00965.x&lt;/electronic-resource-num&gt;&lt;/record&gt;&lt;/Cite&gt;&lt;/EndNote&gt;</w:instrText>
      </w:r>
      <w:r w:rsidR="00DC137F" w:rsidRPr="00296D0C">
        <w:rPr>
          <w:rFonts w:cs="Arial"/>
        </w:rPr>
        <w:fldChar w:fldCharType="separate"/>
      </w:r>
      <w:r w:rsidR="008C43BF" w:rsidRPr="008C43BF">
        <w:rPr>
          <w:rFonts w:cs="Arial"/>
          <w:noProof/>
          <w:vertAlign w:val="superscript"/>
        </w:rPr>
        <w:t>79</w:t>
      </w:r>
      <w:r w:rsidR="00DC137F" w:rsidRPr="00296D0C">
        <w:rPr>
          <w:rFonts w:cs="Arial"/>
        </w:rPr>
        <w:fldChar w:fldCharType="end"/>
      </w:r>
      <w:r w:rsidRPr="00296D0C">
        <w:rPr>
          <w:rFonts w:cs="Arial"/>
        </w:rPr>
        <w:t>, and Simmonds et al.</w:t>
      </w:r>
      <w:r w:rsidR="00483635">
        <w:rPr>
          <w:rFonts w:cs="Arial"/>
        </w:rPr>
        <w:t xml:space="preserve">, </w:t>
      </w:r>
      <w:r w:rsidRPr="00296D0C">
        <w:rPr>
          <w:rFonts w:cs="Arial"/>
        </w:rPr>
        <w:t>2015</w:t>
      </w:r>
      <w:r w:rsidR="00CF6549" w:rsidRPr="00296D0C">
        <w:t xml:space="preserve"> </w:t>
      </w:r>
      <w:r w:rsidR="00DC137F" w:rsidRPr="00296D0C">
        <w:rPr>
          <w:rFonts w:cs="Arial"/>
        </w:rPr>
        <w:fldChar w:fldCharType="begin"/>
      </w:r>
      <w:r w:rsidR="008C43BF">
        <w:rPr>
          <w:rFonts w:cs="Arial"/>
        </w:rPr>
        <w:instrText xml:space="preserve"> ADDIN EN.CITE &lt;EndNote&gt;&lt;Cite&gt;&lt;Author&gt;Simmonds&lt;/Author&gt;&lt;Year&gt;2016&lt;/Year&gt;&lt;RecNum&gt;123&lt;/RecNum&gt;&lt;DisplayText&gt;&lt;style face="superscript"&gt;80&lt;/style&gt;&lt;/DisplayText&gt;&lt;record&gt;&lt;rec-number&gt;123&lt;/rec-number&gt;&lt;foreign-keys&gt;&lt;key app="EN" db-id="0dds99xxkezfxieepft5er0c0tfe9ssed9e5" timestamp="1464510741"&gt;123&lt;/key&gt;&lt;/foreign-keys&gt;&lt;ref-type name="Journal Article"&gt;17&lt;/ref-type&gt;&lt;contributors&gt;&lt;authors&gt;&lt;author&gt;Simmonds, M.&lt;/author&gt;&lt;author&gt;Llewellyn, A.&lt;/author&gt;&lt;author&gt;Owen, C. G.&lt;/author&gt;&lt;author&gt;Woolacott, N.&lt;/author&gt;&lt;/authors&gt;&lt;/contributors&gt;&lt;auth-address&gt;Centre for Reviews and Dissemination, University of York, York, UK.&amp;#xD;Population Health Research Institute, St George&amp;apos;s, University of London, London, UK.&lt;/auth-address&gt;&lt;titles&gt;&lt;title&gt;Predicting adult obesity from childhood obesity: a systematic review and meta-analysis&lt;/title&gt;&lt;secondary-title&gt;Obes Rev&lt;/secondary-title&gt;&lt;/titles&gt;&lt;periodical&gt;&lt;full-title&gt;Obes Rev&lt;/full-title&gt;&lt;/periodical&gt;&lt;pages&gt;95-107&lt;/pages&gt;&lt;volume&gt;17&lt;/volume&gt;&lt;number&gt;2&lt;/number&gt;&lt;keywords&gt;&lt;keyword&gt;Childhood obesity&lt;/keyword&gt;&lt;keyword&gt;meta-analysis&lt;/keyword&gt;&lt;keyword&gt;prediction&lt;/keyword&gt;&lt;keyword&gt;systematic review&lt;/keyword&gt;&lt;/keywords&gt;&lt;dates&gt;&lt;year&gt;2016&lt;/year&gt;&lt;pub-dates&gt;&lt;date&gt;Feb&lt;/date&gt;&lt;/pub-dates&gt;&lt;/dates&gt;&lt;isbn&gt;1467-789X (Electronic)&amp;#xD;1467-7881 (Linking)&lt;/isbn&gt;&lt;accession-num&gt;26696565&lt;/accession-num&gt;&lt;urls&gt;&lt;related-urls&gt;&lt;url&gt;http://www.ncbi.nlm.nih.gov/pubmed/26696565&lt;/url&gt;&lt;/related-urls&gt;&lt;/urls&gt;&lt;electronic-resource-num&gt;10.1111/obr.12334&lt;/electronic-resource-num&gt;&lt;/record&gt;&lt;/Cite&gt;&lt;/EndNote&gt;</w:instrText>
      </w:r>
      <w:r w:rsidR="00DC137F" w:rsidRPr="00296D0C">
        <w:rPr>
          <w:rFonts w:cs="Arial"/>
        </w:rPr>
        <w:fldChar w:fldCharType="separate"/>
      </w:r>
      <w:r w:rsidR="008C43BF" w:rsidRPr="008C43BF">
        <w:rPr>
          <w:rFonts w:cs="Arial"/>
          <w:noProof/>
          <w:vertAlign w:val="superscript"/>
        </w:rPr>
        <w:t>80</w:t>
      </w:r>
      <w:r w:rsidR="00DC137F" w:rsidRPr="00296D0C">
        <w:rPr>
          <w:rFonts w:cs="Arial"/>
        </w:rPr>
        <w:fldChar w:fldCharType="end"/>
      </w:r>
      <w:r w:rsidRPr="00296D0C">
        <w:rPr>
          <w:rFonts w:cs="Arial"/>
        </w:rPr>
        <w:t>. Due to methodological differences between the reviews, the bibliographies of included studies for all three reviews were scrutinised for cohort studies reporting cohort data tracking childhood weight status into adulthood. A total of eight studies were identified: Hawk et al., 1979</w:t>
      </w:r>
      <w:r w:rsidR="00A86BB4" w:rsidRPr="00296D0C">
        <w:rPr>
          <w:rFonts w:cs="Arial"/>
        </w:rPr>
        <w:t xml:space="preserve"> </w:t>
      </w:r>
      <w:r w:rsidR="001B6106" w:rsidRPr="00296D0C">
        <w:rPr>
          <w:rFonts w:cs="Arial"/>
        </w:rPr>
        <w:fldChar w:fldCharType="begin"/>
      </w:r>
      <w:r w:rsidR="008C43BF">
        <w:rPr>
          <w:rFonts w:cs="Arial"/>
        </w:rPr>
        <w:instrText xml:space="preserve"> ADDIN EN.CITE &lt;EndNote&gt;&lt;Cite&gt;&lt;Author&gt;Hawk&lt;/Author&gt;&lt;Year&gt;1979&lt;/Year&gt;&lt;RecNum&gt;5803&lt;/RecNum&gt;&lt;DisplayText&gt;&lt;style face="superscript"&gt;81&lt;/style&gt;&lt;/DisplayText&gt;&lt;record&gt;&lt;rec-number&gt;5803&lt;/rec-number&gt;&lt;foreign-keys&gt;&lt;key app="EN" db-id="2ewa9rrvjsdsawep2vpx5x97eedzzvxx5rta" timestamp="1478776902"&gt;5803&lt;/key&gt;&lt;/foreign-keys&gt;&lt;ref-type name="Journal Article"&gt;17&lt;/ref-type&gt;&lt;contributors&gt;&lt;authors&gt;&lt;author&gt;Hawk, L. J.&lt;/author&gt;&lt;author&gt;Brook, C. G.&lt;/author&gt;&lt;/authors&gt;&lt;/contributors&gt;&lt;titles&gt;&lt;title&gt;Influence of body fatness in childhood on fatness in adult life&lt;/title&gt;&lt;secondary-title&gt;Br Med J&lt;/secondary-title&gt;&lt;/titles&gt;&lt;periodical&gt;&lt;full-title&gt;British Medical Journal&lt;/full-title&gt;&lt;abbr-1&gt;Br. Med. J.&lt;/abbr-1&gt;&lt;abbr-2&gt;Br Med J&lt;/abbr-2&gt;&lt;/periodical&gt;&lt;pages&gt;151-2&lt;/pages&gt;&lt;volume&gt;1&lt;/volume&gt;&lt;number&gt;6157&lt;/number&gt;&lt;keywords&gt;&lt;keyword&gt;Adolescent&lt;/keyword&gt;&lt;keyword&gt;Adult&lt;/keyword&gt;&lt;keyword&gt;Age Factors&lt;/keyword&gt;&lt;keyword&gt;Child&lt;/keyword&gt;&lt;keyword&gt;Child, Preschool&lt;/keyword&gt;&lt;keyword&gt;Female&lt;/keyword&gt;&lt;keyword&gt;Humans&lt;/keyword&gt;&lt;keyword&gt;Male&lt;/keyword&gt;&lt;keyword&gt;Obesity/*etiology&lt;/keyword&gt;&lt;keyword&gt;Prospective Studies&lt;/keyword&gt;&lt;keyword&gt;Skinfold Thickness&lt;/keyword&gt;&lt;/keywords&gt;&lt;dates&gt;&lt;year&gt;1979&lt;/year&gt;&lt;pub-dates&gt;&lt;date&gt;Jan 20&lt;/date&gt;&lt;/pub-dates&gt;&lt;/dates&gt;&lt;isbn&gt;0007-1447 (Print)&amp;#xD;0007-1447 (Linking)&lt;/isbn&gt;&lt;accession-num&gt;420997&lt;/accession-num&gt;&lt;urls&gt;&lt;related-urls&gt;&lt;url&gt;https://www.ncbi.nlm.nih.gov/pubmed/420997&lt;/url&gt;&lt;/related-urls&gt;&lt;/urls&gt;&lt;custom2&gt;PMC1597642&lt;/custom2&gt;&lt;/record&gt;&lt;/Cite&gt;&lt;/EndNote&gt;</w:instrText>
      </w:r>
      <w:r w:rsidR="001B6106" w:rsidRPr="00296D0C">
        <w:rPr>
          <w:rFonts w:cs="Arial"/>
        </w:rPr>
        <w:fldChar w:fldCharType="separate"/>
      </w:r>
      <w:r w:rsidR="008C43BF" w:rsidRPr="008C43BF">
        <w:rPr>
          <w:rFonts w:cs="Arial"/>
          <w:noProof/>
          <w:vertAlign w:val="superscript"/>
        </w:rPr>
        <w:t>81</w:t>
      </w:r>
      <w:r w:rsidR="001B6106" w:rsidRPr="00296D0C">
        <w:rPr>
          <w:rFonts w:cs="Arial"/>
        </w:rPr>
        <w:fldChar w:fldCharType="end"/>
      </w:r>
      <w:r w:rsidRPr="00296D0C">
        <w:rPr>
          <w:rFonts w:cs="Arial"/>
        </w:rPr>
        <w:t>; Power et al., 1997</w:t>
      </w:r>
      <w:r w:rsidR="006A4907" w:rsidRPr="00296D0C">
        <w:rPr>
          <w:rFonts w:cs="Arial"/>
        </w:rPr>
        <w:t xml:space="preserve"> </w:t>
      </w:r>
      <w:r w:rsidR="00DC137F" w:rsidRPr="00296D0C">
        <w:rPr>
          <w:rFonts w:cs="Arial"/>
        </w:rPr>
        <w:fldChar w:fldCharType="begin"/>
      </w:r>
      <w:r w:rsidR="008C43BF">
        <w:rPr>
          <w:rFonts w:cs="Arial"/>
        </w:rPr>
        <w:instrText xml:space="preserve"> ADDIN EN.CITE &lt;EndNote&gt;&lt;Cite&gt;&lt;Author&gt;Power&lt;/Author&gt;&lt;Year&gt;1997&lt;/Year&gt;&lt;RecNum&gt;5762&lt;/RecNum&gt;&lt;DisplayText&gt;&lt;style face="superscript"&gt;76&lt;/style&gt;&lt;/DisplayText&gt;&lt;record&gt;&lt;rec-number&gt;5762&lt;/rec-number&gt;&lt;foreign-keys&gt;&lt;key app="EN" db-id="2ewa9rrvjsdsawep2vpx5x97eedzzvxx5rta" timestamp="1478679952"&gt;5762&lt;/key&gt;&lt;/foreign-keys&gt;&lt;ref-type name="Journal Article"&gt;17&lt;/ref-type&gt;&lt;contributors&gt;&lt;authors&gt;&lt;author&gt;Power, C.&lt;/author&gt;&lt;author&gt;Hertzman, C.&lt;/author&gt;&lt;author&gt;Matthews, S.&lt;/author&gt;&lt;author&gt;Manor, O.&lt;/author&gt;&lt;/authors&gt;&lt;/contributors&gt;&lt;auth-address&gt;Department of Epidemiology and Biostatistics, Institute of Child Health, London, England.&lt;/auth-address&gt;&lt;titles&gt;&lt;title&gt;Social differences in health: life-cycle effects between ages 23 and 33 in the 1958 British birth cohort&lt;/title&gt;&lt;secondary-title&gt;Am J Public Health&lt;/secondary-title&gt;&lt;/titles&gt;&lt;periodical&gt;&lt;full-title&gt;American Journal of Public Health&lt;/full-title&gt;&lt;abbr-1&gt;Am. J. Public Health&lt;/abbr-1&gt;&lt;abbr-2&gt;Am J Public Health&lt;/abbr-2&gt;&lt;/periodical&gt;&lt;pages&gt;1499-503&lt;/pages&gt;&lt;volume&gt;87&lt;/volume&gt;&lt;number&gt;9&lt;/number&gt;&lt;keywords&gt;&lt;keyword&gt;Adult&lt;/keyword&gt;&lt;keyword&gt;Aging&lt;/keyword&gt;&lt;keyword&gt;Asthma/epidemiology&lt;/keyword&gt;&lt;keyword&gt;Cohort Studies&lt;/keyword&gt;&lt;keyword&gt;Female&lt;/keyword&gt;&lt;keyword&gt;Great Britain/epidemiology&lt;/keyword&gt;&lt;keyword&gt;*Health Status&lt;/keyword&gt;&lt;keyword&gt;Humans&lt;/keyword&gt;&lt;keyword&gt;Male&lt;/keyword&gt;&lt;keyword&gt;Obesity/epidemiology&lt;/keyword&gt;&lt;keyword&gt;Prevalence&lt;/keyword&gt;&lt;keyword&gt;Sex Factors&lt;/keyword&gt;&lt;keyword&gt;*Social Class&lt;/keyword&gt;&lt;/keywords&gt;&lt;dates&gt;&lt;year&gt;1997&lt;/year&gt;&lt;pub-dates&gt;&lt;date&gt;Sep&lt;/date&gt;&lt;/pub-dates&gt;&lt;/dates&gt;&lt;isbn&gt;0090-0036 (Print)&amp;#xD;0090-0036 (Linking)&lt;/isbn&gt;&lt;accession-num&gt;9314803&lt;/accession-num&gt;&lt;urls&gt;&lt;related-urls&gt;&lt;url&gt;http://www.ncbi.nlm.nih.gov/pubmed/9314803&lt;/url&gt;&lt;/related-urls&gt;&lt;/urls&gt;&lt;custom2&gt;1380976&lt;/custom2&gt;&lt;/record&gt;&lt;/Cite&gt;&lt;/EndNote&gt;</w:instrText>
      </w:r>
      <w:r w:rsidR="00DC137F" w:rsidRPr="00296D0C">
        <w:rPr>
          <w:rFonts w:cs="Arial"/>
        </w:rPr>
        <w:fldChar w:fldCharType="separate"/>
      </w:r>
      <w:r w:rsidR="008C43BF" w:rsidRPr="008C43BF">
        <w:rPr>
          <w:rFonts w:cs="Arial"/>
          <w:noProof/>
          <w:vertAlign w:val="superscript"/>
        </w:rPr>
        <w:t>76</w:t>
      </w:r>
      <w:r w:rsidR="00DC137F" w:rsidRPr="00296D0C">
        <w:rPr>
          <w:rFonts w:cs="Arial"/>
        </w:rPr>
        <w:fldChar w:fldCharType="end"/>
      </w:r>
      <w:r w:rsidRPr="00296D0C">
        <w:rPr>
          <w:rFonts w:cs="Arial"/>
        </w:rPr>
        <w:t>; Wright et al., 2001</w:t>
      </w:r>
      <w:r w:rsidR="001A55B7" w:rsidRPr="00296D0C">
        <w:rPr>
          <w:rFonts w:cs="Arial"/>
        </w:rPr>
        <w:t xml:space="preserve"> </w:t>
      </w:r>
      <w:r w:rsidR="00DC137F" w:rsidRPr="00296D0C">
        <w:rPr>
          <w:rFonts w:cs="Arial"/>
        </w:rPr>
        <w:fldChar w:fldCharType="begin"/>
      </w:r>
      <w:r w:rsidR="008C43BF">
        <w:rPr>
          <w:rFonts w:cs="Arial"/>
        </w:rPr>
        <w:instrText xml:space="preserve"> ADDIN EN.CITE &lt;EndNote&gt;&lt;Cite&gt;&lt;Author&gt;Whitaker&lt;/Author&gt;&lt;Year&gt;1997&lt;/Year&gt;&lt;RecNum&gt;5775&lt;/RecNum&gt;&lt;DisplayText&gt;&lt;style face="superscript"&gt;82&lt;/style&gt;&lt;/DisplayText&gt;&lt;record&gt;&lt;rec-number&gt;5775&lt;/rec-number&gt;&lt;foreign-keys&gt;&lt;key app="EN" db-id="2ewa9rrvjsdsawep2vpx5x97eedzzvxx5rta" timestamp="0"&gt;5775&lt;/key&gt;&lt;/foreign-keys&gt;&lt;ref-type name="Journal Article"&gt;17&lt;/ref-type&gt;&lt;contributors&gt;&lt;authors&gt;&lt;author&gt;Whitaker, R. C.&lt;/author&gt;&lt;author&gt;Wright, J. A.&lt;/author&gt;&lt;author&gt;Pepe, M. S.&lt;/author&gt;&lt;author&gt;Seidel, K. D.&lt;/author&gt;&lt;author&gt;Dietz, W. H.&lt;/author&gt;&lt;/authors&gt;&lt;/contributors&gt;&lt;auth-address&gt;Department of Pediatrics, Children&amp;apos;s Hospital Medical Center and the University of Cincinnati College of Medicine, OH 45229-3039, USA.&lt;/auth-address&gt;&lt;titles&gt;&lt;title&gt;Predicting obesity in young adulthood from childhood and parental obesity&lt;/title&gt;&lt;secondary-title&gt;N Engl J Med&lt;/secondary-title&gt;&lt;/titles&gt;&lt;periodical&gt;&lt;full-title&gt;The New England Journal of Medicine&lt;/full-title&gt;&lt;abbr-1&gt;N Engl J Med&lt;/abbr-1&gt;&lt;/periodical&gt;&lt;pages&gt;869-73&lt;/pages&gt;&lt;volume&gt;337&lt;/volume&gt;&lt;number&gt;13&lt;/number&gt;&lt;keywords&gt;&lt;keyword&gt;Adolescent&lt;/keyword&gt;&lt;keyword&gt;Adult&lt;/keyword&gt;&lt;keyword&gt;Age Factors&lt;/keyword&gt;&lt;keyword&gt;Body Mass Index&lt;/keyword&gt;&lt;keyword&gt;Child&lt;/keyword&gt;&lt;keyword&gt;Child, Preschool&lt;/keyword&gt;&lt;keyword&gt;Cohort Studies&lt;/keyword&gt;&lt;keyword&gt;Female&lt;/keyword&gt;&lt;keyword&gt;Humans&lt;/keyword&gt;&lt;keyword&gt;Infant&lt;/keyword&gt;&lt;keyword&gt;Male&lt;/keyword&gt;&lt;keyword&gt;Obesity/*etiology/genetics&lt;/keyword&gt;&lt;keyword&gt;Odds Ratio&lt;/keyword&gt;&lt;keyword&gt;Parents&lt;/keyword&gt;&lt;keyword&gt;Retrospective Studies&lt;/keyword&gt;&lt;keyword&gt;Risk Factors&lt;/keyword&gt;&lt;/keywords&gt;&lt;dates&gt;&lt;year&gt;1997&lt;/year&gt;&lt;pub-dates&gt;&lt;date&gt;Sep 25&lt;/date&gt;&lt;/pub-dates&gt;&lt;/dates&gt;&lt;isbn&gt;0028-4793 (Print)&amp;#xD;0028-4793 (Linking)&lt;/isbn&gt;&lt;accession-num&gt;9302300&lt;/accession-num&gt;&lt;urls&gt;&lt;related-urls&gt;&lt;url&gt;http://www.ncbi.nlm.nih.gov/pubmed/9302300&lt;/url&gt;&lt;/related-urls&gt;&lt;/urls&gt;&lt;electronic-resource-num&gt;10.1056/NEJM199709253371301&lt;/electronic-resource-num&gt;&lt;/record&gt;&lt;/Cite&gt;&lt;/EndNote&gt;</w:instrText>
      </w:r>
      <w:r w:rsidR="00DC137F" w:rsidRPr="00296D0C">
        <w:rPr>
          <w:rFonts w:cs="Arial"/>
        </w:rPr>
        <w:fldChar w:fldCharType="separate"/>
      </w:r>
      <w:r w:rsidR="008C43BF" w:rsidRPr="008C43BF">
        <w:rPr>
          <w:rFonts w:cs="Arial"/>
          <w:noProof/>
          <w:vertAlign w:val="superscript"/>
        </w:rPr>
        <w:t>82</w:t>
      </w:r>
      <w:r w:rsidR="00DC137F" w:rsidRPr="00296D0C">
        <w:rPr>
          <w:rFonts w:cs="Arial"/>
        </w:rPr>
        <w:fldChar w:fldCharType="end"/>
      </w:r>
      <w:r w:rsidRPr="00296D0C">
        <w:rPr>
          <w:rFonts w:cs="Arial"/>
        </w:rPr>
        <w:t>; Cheung et al., 2004</w:t>
      </w:r>
      <w:r w:rsidR="00A86BB4" w:rsidRPr="00296D0C">
        <w:rPr>
          <w:rFonts w:cs="Arial"/>
        </w:rPr>
        <w:t xml:space="preserve"> </w:t>
      </w:r>
      <w:r w:rsidR="00A86BB4" w:rsidRPr="00296D0C">
        <w:rPr>
          <w:rFonts w:cs="Arial"/>
        </w:rPr>
        <w:fldChar w:fldCharType="begin"/>
      </w:r>
      <w:r w:rsidR="008C43BF">
        <w:rPr>
          <w:rFonts w:cs="Arial"/>
        </w:rPr>
        <w:instrText xml:space="preserve"> ADDIN EN.CITE &lt;EndNote&gt;&lt;Cite&gt;&lt;Author&gt;Cheung&lt;/Author&gt;&lt;Year&gt;2004&lt;/Year&gt;&lt;RecNum&gt;5802&lt;/RecNum&gt;&lt;DisplayText&gt;&lt;style face="superscript"&gt;83&lt;/style&gt;&lt;/DisplayText&gt;&lt;record&gt;&lt;rec-number&gt;5802&lt;/rec-number&gt;&lt;foreign-keys&gt;&lt;key app="EN" db-id="2ewa9rrvjsdsawep2vpx5x97eedzzvxx5rta" timestamp="1478776591"&gt;5802&lt;/key&gt;&lt;/foreign-keys&gt;&lt;ref-type name="Journal Article"&gt;17&lt;/ref-type&gt;&lt;contributors&gt;&lt;authors&gt;&lt;author&gt;Cheung, Y. B.&lt;/author&gt;&lt;author&gt;Machin, D.&lt;/author&gt;&lt;author&gt;Karlberg, J.&lt;/author&gt;&lt;author&gt;Khoo, K. S.&lt;/author&gt;&lt;/authors&gt;&lt;/contributors&gt;&lt;auth-address&gt;Division of Clinical Trials and Epidemiological Sciences, National Cancer Centre, Singapore 169610. cheungyb@graduate.hku.hk&lt;/auth-address&gt;&lt;titles&gt;&lt;title&gt;A longitudinal study of pediatric body mass index values predicted health in middle age&lt;/title&gt;&lt;secondary-title&gt;J Clin Epidemiol&lt;/secondary-title&gt;&lt;/titles&gt;&lt;periodical&gt;&lt;full-title&gt;Journal of Clinical Epidemiology&lt;/full-title&gt;&lt;abbr-1&gt;J. Clin. Epidemiol.&lt;/abbr-1&gt;&lt;abbr-2&gt;J Clin Epidemiol&lt;/abbr-2&gt;&lt;/periodical&gt;&lt;pages&gt;1316-22&lt;/pages&gt;&lt;volume&gt;57&lt;/volume&gt;&lt;number&gt;12&lt;/number&gt;&lt;keywords&gt;&lt;keyword&gt;Adolescent&lt;/keyword&gt;&lt;keyword&gt;Adult&lt;/keyword&gt;&lt;keyword&gt;*Body Mass Index&lt;/keyword&gt;&lt;keyword&gt;Cardiovascular Diseases/diagnosis&lt;/keyword&gt;&lt;keyword&gt;Child&lt;/keyword&gt;&lt;keyword&gt;*Child Welfare&lt;/keyword&gt;&lt;keyword&gt;Diabetes Mellitus/diagnosis&lt;/keyword&gt;&lt;keyword&gt;Female&lt;/keyword&gt;&lt;keyword&gt;Forecasting&lt;/keyword&gt;&lt;keyword&gt;*Health Status&lt;/keyword&gt;&lt;keyword&gt;Humans&lt;/keyword&gt;&lt;keyword&gt;Hypertension/diagnosis&lt;/keyword&gt;&lt;keyword&gt;Longitudinal Studies&lt;/keyword&gt;&lt;keyword&gt;Male&lt;/keyword&gt;&lt;keyword&gt;Neoplasms/diagnosis&lt;/keyword&gt;&lt;keyword&gt;Obesity/diagnosis&lt;/keyword&gt;&lt;keyword&gt;ROC Curve&lt;/keyword&gt;&lt;keyword&gt;Sensitivity and Specificity&lt;/keyword&gt;&lt;/keywords&gt;&lt;dates&gt;&lt;year&gt;2004&lt;/year&gt;&lt;pub-dates&gt;&lt;date&gt;Dec&lt;/date&gt;&lt;/pub-dates&gt;&lt;/dates&gt;&lt;isbn&gt;0895-4356 (Print)&amp;#xD;0895-4356 (Linking)&lt;/isbn&gt;&lt;accession-num&gt;15617958&lt;/accession-num&gt;&lt;urls&gt;&lt;related-urls&gt;&lt;url&gt;https://www.ncbi.nlm.nih.gov/pubmed/15617958&lt;/url&gt;&lt;/related-urls&gt;&lt;/urls&gt;&lt;electronic-resource-num&gt;10.1016/j.jclinepi.2004.04.010&lt;/electronic-resource-num&gt;&lt;/record&gt;&lt;/Cite&gt;&lt;/EndNote&gt;</w:instrText>
      </w:r>
      <w:r w:rsidR="00A86BB4" w:rsidRPr="00296D0C">
        <w:rPr>
          <w:rFonts w:cs="Arial"/>
        </w:rPr>
        <w:fldChar w:fldCharType="separate"/>
      </w:r>
      <w:r w:rsidR="008C43BF" w:rsidRPr="008C43BF">
        <w:rPr>
          <w:rFonts w:cs="Arial"/>
          <w:noProof/>
          <w:vertAlign w:val="superscript"/>
        </w:rPr>
        <w:t>83</w:t>
      </w:r>
      <w:r w:rsidR="00A86BB4" w:rsidRPr="00296D0C">
        <w:rPr>
          <w:rFonts w:cs="Arial"/>
        </w:rPr>
        <w:fldChar w:fldCharType="end"/>
      </w:r>
      <w:r w:rsidRPr="00296D0C">
        <w:rPr>
          <w:rFonts w:cs="Arial"/>
        </w:rPr>
        <w:t>; McCarthy et al., 2007</w:t>
      </w:r>
      <w:r w:rsidR="00B80570" w:rsidRPr="00296D0C">
        <w:rPr>
          <w:rFonts w:cs="Arial"/>
        </w:rPr>
        <w:t xml:space="preserve"> </w:t>
      </w:r>
      <w:r w:rsidR="001B6106" w:rsidRPr="00296D0C">
        <w:rPr>
          <w:rFonts w:cs="Arial"/>
        </w:rPr>
        <w:fldChar w:fldCharType="begin">
          <w:fldData xml:space="preserve">PEVuZE5vdGU+PENpdGU+PEF1dGhvcj5NY0NhcnRoeTwvQXV0aG9yPjxZZWFyPjIwMDc8L1llYXI+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</w:fldData>
        </w:fldChar>
      </w:r>
      <w:r w:rsidR="008C43BF">
        <w:rPr>
          <w:rFonts w:cs="Arial"/>
        </w:rPr>
        <w:instrText xml:space="preserve"> ADDIN EN.CITE </w:instrText>
      </w:r>
      <w:r w:rsidR="008C43BF">
        <w:rPr>
          <w:rFonts w:cs="Arial"/>
        </w:rPr>
        <w:fldChar w:fldCharType="begin">
          <w:fldData xml:space="preserve">PEVuZE5vdGU+PENpdGU+PEF1dGhvcj5NY0NhcnRoeTwvQXV0aG9yPjxZZWFyPjIwMDc8L1llYXI+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</w:fldData>
        </w:fldChar>
      </w:r>
      <w:r w:rsidR="008C43BF">
        <w:rPr>
          <w:rFonts w:cs="Arial"/>
        </w:rPr>
        <w:instrText xml:space="preserve"> ADDIN EN.CITE.DATA </w:instrText>
      </w:r>
      <w:r w:rsidR="008C43BF">
        <w:rPr>
          <w:rFonts w:cs="Arial"/>
        </w:rPr>
      </w:r>
      <w:r w:rsidR="008C43BF">
        <w:rPr>
          <w:rFonts w:cs="Arial"/>
        </w:rPr>
        <w:fldChar w:fldCharType="end"/>
      </w:r>
      <w:r w:rsidR="001B6106" w:rsidRPr="00296D0C">
        <w:rPr>
          <w:rFonts w:cs="Arial"/>
        </w:rPr>
      </w:r>
      <w:r w:rsidR="001B6106" w:rsidRPr="00296D0C">
        <w:rPr>
          <w:rFonts w:cs="Arial"/>
        </w:rPr>
        <w:fldChar w:fldCharType="separate"/>
      </w:r>
      <w:r w:rsidR="008C43BF" w:rsidRPr="008C43BF">
        <w:rPr>
          <w:rFonts w:cs="Arial"/>
          <w:noProof/>
          <w:vertAlign w:val="superscript"/>
        </w:rPr>
        <w:t>84</w:t>
      </w:r>
      <w:r w:rsidR="001B6106" w:rsidRPr="00296D0C">
        <w:rPr>
          <w:rFonts w:cs="Arial"/>
        </w:rPr>
        <w:fldChar w:fldCharType="end"/>
      </w:r>
      <w:r w:rsidRPr="00296D0C">
        <w:rPr>
          <w:rFonts w:cs="Arial"/>
        </w:rPr>
        <w:t>; Venn et al., 2007</w:t>
      </w:r>
      <w:r w:rsidR="006A4907" w:rsidRPr="00296D0C">
        <w:rPr>
          <w:rFonts w:cs="Arial"/>
        </w:rPr>
        <w:t xml:space="preserve"> </w:t>
      </w:r>
      <w:r w:rsidR="00DC137F" w:rsidRPr="00296D0C">
        <w:rPr>
          <w:rFonts w:cs="Arial"/>
        </w:rPr>
        <w:fldChar w:fldCharType="begin"/>
      </w:r>
      <w:r w:rsidR="008C43BF">
        <w:rPr>
          <w:rFonts w:cs="Arial"/>
        </w:rPr>
        <w:instrText xml:space="preserve"> ADDIN EN.CITE &lt;EndNote&gt;&lt;Cite&gt;&lt;Author&gt;Venn&lt;/Author&gt;&lt;Year&gt;2007&lt;/Year&gt;&lt;RecNum&gt;5773&lt;/RecNum&gt;&lt;DisplayText&gt;&lt;style face="superscript"&gt;75&lt;/style&gt;&lt;/DisplayText&gt;&lt;record&gt;&lt;rec-number&gt;5773&lt;/rec-number&gt;&lt;foreign-keys&gt;&lt;key app="EN" db-id="2ewa9rrvjsdsawep2vpx5x97eedzzvxx5rta" timestamp="1478679952"&gt;5773&lt;/key&gt;&lt;/foreign-keys&gt;&lt;ref-type name="Journal Article"&gt;17&lt;/ref-type&gt;&lt;contributors&gt;&lt;authors&gt;&lt;author&gt;Venn, A. J.&lt;/author&gt;&lt;author&gt;Thomson, R. J.&lt;/author&gt;&lt;author&gt;Schmidt, M. D.&lt;/author&gt;&lt;author&gt;Cleland, V. J.&lt;/author&gt;&lt;author&gt;Curry, B. A.&lt;/author&gt;&lt;author&gt;Gennat, H. C.&lt;/author&gt;&lt;author&gt;Dwyer, T.&lt;/author&gt;&lt;/authors&gt;&lt;/contributors&gt;&lt;auth-address&gt;Menzies Research Institute, Hobart, Tasmania, Australia. Alison.Venn@utas.edu.au&lt;/auth-address&gt;&lt;titles&gt;&lt;title&gt;Overweight and obesity from childhood to adulthood: a follow-up of participants in the 1985 Australian Schools Health and Fitness Survey&lt;/title&gt;&lt;secondary-title&gt;Med J Aust&lt;/secondary-title&gt;&lt;/titles&gt;&lt;periodical&gt;&lt;full-title&gt;Medical Journal of Australia&lt;/full-title&gt;&lt;abbr-1&gt;Med. J. Aust.&lt;/abbr-1&gt;&lt;abbr-2&gt;Med J Aust&lt;/abbr-2&gt;&lt;/periodical&gt;&lt;pages&gt;458-60&lt;/pages&gt;&lt;volume&gt;186&lt;/volume&gt;&lt;number&gt;9&lt;/number&gt;&lt;keywords&gt;&lt;keyword&gt;Adolescent&lt;/keyword&gt;&lt;keyword&gt;Adult&lt;/keyword&gt;&lt;keyword&gt;Australia/epidemiology&lt;/keyword&gt;&lt;keyword&gt;Body Height&lt;/keyword&gt;&lt;keyword&gt;Body Mass Index&lt;/keyword&gt;&lt;keyword&gt;Child&lt;/keyword&gt;&lt;keyword&gt;Cohort Studies&lt;/keyword&gt;&lt;keyword&gt;Female&lt;/keyword&gt;&lt;keyword&gt;Follow-Up Studies&lt;/keyword&gt;&lt;keyword&gt;Health Surveys&lt;/keyword&gt;&lt;keyword&gt;Humans&lt;/keyword&gt;&lt;keyword&gt;Male&lt;/keyword&gt;&lt;keyword&gt;Obesity/*epidemiology&lt;/keyword&gt;&lt;keyword&gt;*Overweight&lt;/keyword&gt;&lt;keyword&gt;Prevalence&lt;/keyword&gt;&lt;/keywords&gt;&lt;dates&gt;&lt;year&gt;2007&lt;/year&gt;&lt;pub-dates&gt;&lt;date&gt;May 7&lt;/date&gt;&lt;/pub-dates&gt;&lt;/dates&gt;&lt;isbn&gt;0025-729X (Print)&amp;#xD;0025-729X (Linking)&lt;/isbn&gt;&lt;accession-num&gt;17484707&lt;/accession-num&gt;&lt;urls&gt;&lt;related-urls&gt;&lt;url&gt;http://www.ncbi.nlm.nih.gov/pubmed/17484707&lt;/url&gt;&lt;/related-urls&gt;&lt;/urls&gt;&lt;/record&gt;&lt;/Cite&gt;&lt;/EndNote&gt;</w:instrText>
      </w:r>
      <w:r w:rsidR="00DC137F" w:rsidRPr="00296D0C">
        <w:rPr>
          <w:rFonts w:cs="Arial"/>
        </w:rPr>
        <w:fldChar w:fldCharType="separate"/>
      </w:r>
      <w:r w:rsidR="008C43BF" w:rsidRPr="008C43BF">
        <w:rPr>
          <w:rFonts w:cs="Arial"/>
          <w:noProof/>
          <w:vertAlign w:val="superscript"/>
        </w:rPr>
        <w:t>75</w:t>
      </w:r>
      <w:r w:rsidR="00DC137F" w:rsidRPr="00296D0C">
        <w:rPr>
          <w:rFonts w:cs="Arial"/>
        </w:rPr>
        <w:fldChar w:fldCharType="end"/>
      </w:r>
      <w:r w:rsidRPr="00296D0C">
        <w:rPr>
          <w:rFonts w:cs="Arial"/>
        </w:rPr>
        <w:t xml:space="preserve"> and, Reilly et al., 2011</w:t>
      </w:r>
      <w:r w:rsidR="00B80570" w:rsidRPr="00296D0C">
        <w:rPr>
          <w:rFonts w:cs="Arial"/>
        </w:rPr>
        <w:t xml:space="preserve"> </w:t>
      </w:r>
      <w:r w:rsidR="008262D6" w:rsidRPr="00296D0C">
        <w:rPr>
          <w:rFonts w:cs="Arial"/>
        </w:rPr>
        <w:fldChar w:fldCharType="begin">
          <w:fldData xml:space="preserve">PEVuZE5vdGU+PENpdGU+PEF1dGhvcj5SZWlsbHk8L0F1dGhvcj48WWVhcj4yMDExPC9ZZWFyPjxS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</w:fldData>
        </w:fldChar>
      </w:r>
      <w:r w:rsidR="008C43BF">
        <w:rPr>
          <w:rFonts w:cs="Arial"/>
        </w:rPr>
        <w:instrText xml:space="preserve"> ADDIN EN.CITE </w:instrText>
      </w:r>
      <w:r w:rsidR="008C43BF">
        <w:rPr>
          <w:rFonts w:cs="Arial"/>
        </w:rPr>
        <w:fldChar w:fldCharType="begin">
          <w:fldData xml:space="preserve">PEVuZE5vdGU+PENpdGU+PEF1dGhvcj5SZWlsbHk8L0F1dGhvcj48WWVhcj4yMDExPC9ZZWFyPjxS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</w:fldData>
        </w:fldChar>
      </w:r>
      <w:r w:rsidR="008C43BF">
        <w:rPr>
          <w:rFonts w:cs="Arial"/>
        </w:rPr>
        <w:instrText xml:space="preserve"> ADDIN EN.CITE.DATA </w:instrText>
      </w:r>
      <w:r w:rsidR="008C43BF">
        <w:rPr>
          <w:rFonts w:cs="Arial"/>
        </w:rPr>
      </w:r>
      <w:r w:rsidR="008C43BF">
        <w:rPr>
          <w:rFonts w:cs="Arial"/>
        </w:rPr>
        <w:fldChar w:fldCharType="end"/>
      </w:r>
      <w:r w:rsidR="008262D6" w:rsidRPr="00296D0C">
        <w:rPr>
          <w:rFonts w:cs="Arial"/>
        </w:rPr>
      </w:r>
      <w:r w:rsidR="008262D6" w:rsidRPr="00296D0C">
        <w:rPr>
          <w:rFonts w:cs="Arial"/>
        </w:rPr>
        <w:fldChar w:fldCharType="separate"/>
      </w:r>
      <w:r w:rsidR="008C43BF" w:rsidRPr="008C43BF">
        <w:rPr>
          <w:rFonts w:cs="Arial"/>
          <w:noProof/>
          <w:vertAlign w:val="superscript"/>
        </w:rPr>
        <w:t>85</w:t>
      </w:r>
      <w:r w:rsidR="008262D6" w:rsidRPr="00296D0C">
        <w:rPr>
          <w:rFonts w:cs="Arial"/>
        </w:rPr>
        <w:fldChar w:fldCharType="end"/>
      </w:r>
      <w:r w:rsidRPr="00296D0C">
        <w:rPr>
          <w:rFonts w:cs="Arial"/>
        </w:rPr>
        <w:t>. Of these, four studies presented data projecting weight status from childhood into adulthood and included classifications by weight status (healthy weight, overweight), and were therefor</w:t>
      </w:r>
      <w:r w:rsidR="00BE60C7" w:rsidRPr="00296D0C">
        <w:rPr>
          <w:rFonts w:cs="Arial"/>
        </w:rPr>
        <w:t>e</w:t>
      </w:r>
      <w:r w:rsidRPr="00296D0C">
        <w:rPr>
          <w:rFonts w:cs="Arial"/>
        </w:rPr>
        <w:t xml:space="preserve"> selected for consideration to populate the model (Power et al., 1997</w:t>
      </w:r>
      <w:r w:rsidR="001A55B7" w:rsidRPr="00296D0C">
        <w:rPr>
          <w:rFonts w:cs="Arial"/>
        </w:rPr>
        <w:t xml:space="preserve"> </w:t>
      </w:r>
      <w:r w:rsidR="00DC137F" w:rsidRPr="00296D0C">
        <w:rPr>
          <w:rFonts w:cs="Arial"/>
        </w:rPr>
        <w:fldChar w:fldCharType="begin"/>
      </w:r>
      <w:r w:rsidR="008C43BF">
        <w:rPr>
          <w:rFonts w:cs="Arial"/>
        </w:rPr>
        <w:instrText xml:space="preserve"> ADDIN EN.CITE &lt;EndNote&gt;&lt;Cite&gt;&lt;Author&gt;Power&lt;/Author&gt;&lt;Year&gt;1997&lt;/Year&gt;&lt;RecNum&gt;5762&lt;/RecNum&gt;&lt;DisplayText&gt;&lt;style face="superscript"&gt;76&lt;/style&gt;&lt;/DisplayText&gt;&lt;record&gt;&lt;rec-number&gt;5762&lt;/rec-number&gt;&lt;foreign-keys&gt;&lt;key app="EN" db-id="2ewa9rrvjsdsawep2vpx5x97eedzzvxx5rta" timestamp="1478679952"&gt;5762&lt;/key&gt;&lt;/foreign-keys&gt;&lt;ref-type name="Journal Article"&gt;17&lt;/ref-type&gt;&lt;contributors&gt;&lt;authors&gt;&lt;author&gt;Power, C.&lt;/author&gt;&lt;author&gt;Hertzman, C.&lt;/author&gt;&lt;author&gt;Matthews, S.&lt;/author&gt;&lt;author&gt;Manor, O.&lt;/author&gt;&lt;/authors&gt;&lt;/contributors&gt;&lt;auth-address&gt;Department of Epidemiology and Biostatistics, Institute of Child Health, London, England.&lt;/auth-address&gt;&lt;titles&gt;&lt;title&gt;Social differences in health: life-cycle effects between ages 23 and 33 in the 1958 British birth cohort&lt;/title&gt;&lt;secondary-title&gt;Am J Public Health&lt;/secondary-title&gt;&lt;/titles&gt;&lt;periodical&gt;&lt;full-title&gt;American Journal of Public Health&lt;/full-title&gt;&lt;abbr-1&gt;Am. J. Public Health&lt;/abbr-1&gt;&lt;abbr-2&gt;Am J Public Health&lt;/abbr-2&gt;&lt;/periodical&gt;&lt;pages&gt;1499-503&lt;/pages&gt;&lt;volume&gt;87&lt;/volume&gt;&lt;number&gt;9&lt;/number&gt;&lt;keywords&gt;&lt;keyword&gt;Adult&lt;/keyword&gt;&lt;keyword&gt;Aging&lt;/keyword&gt;&lt;keyword&gt;Asthma/epidemiology&lt;/keyword&gt;&lt;keyword&gt;Cohort Studies&lt;/keyword&gt;&lt;keyword&gt;Female&lt;/keyword&gt;&lt;keyword&gt;Great Britain/epidemiology&lt;/keyword&gt;&lt;keyword&gt;*Health Status&lt;/keyword&gt;&lt;keyword&gt;Humans&lt;/keyword&gt;&lt;keyword&gt;Male&lt;/keyword&gt;&lt;keyword&gt;Obesity/epidemiology&lt;/keyword&gt;&lt;keyword&gt;Prevalence&lt;/keyword&gt;&lt;keyword&gt;Sex Factors&lt;/keyword&gt;&lt;keyword&gt;*Social Class&lt;/keyword&gt;&lt;/keywords&gt;&lt;dates&gt;&lt;year&gt;1997&lt;/year&gt;&lt;pub-dates&gt;&lt;date&gt;Sep&lt;/date&gt;&lt;/pub-dates&gt;&lt;/dates&gt;&lt;isbn&gt;0090-0036 (Print)&amp;#xD;0090-0036 (Linking)&lt;/isbn&gt;&lt;accession-num&gt;9314803&lt;/accession-num&gt;&lt;urls&gt;&lt;related-urls&gt;&lt;url&gt;http://www.ncbi.nlm.nih.gov/pubmed/9314803&lt;/url&gt;&lt;/related-urls&gt;&lt;/urls&gt;&lt;custom2&gt;1380976&lt;/custom2&gt;&lt;/record&gt;&lt;/Cite&gt;&lt;/EndNote&gt;</w:instrText>
      </w:r>
      <w:r w:rsidR="00DC137F" w:rsidRPr="00296D0C">
        <w:rPr>
          <w:rFonts w:cs="Arial"/>
        </w:rPr>
        <w:fldChar w:fldCharType="separate"/>
      </w:r>
      <w:r w:rsidR="008C43BF" w:rsidRPr="008C43BF">
        <w:rPr>
          <w:rFonts w:cs="Arial"/>
          <w:noProof/>
          <w:vertAlign w:val="superscript"/>
        </w:rPr>
        <w:t>76</w:t>
      </w:r>
      <w:r w:rsidR="00DC137F" w:rsidRPr="00296D0C">
        <w:rPr>
          <w:rFonts w:cs="Arial"/>
        </w:rPr>
        <w:fldChar w:fldCharType="end"/>
      </w:r>
      <w:r w:rsidRPr="00296D0C">
        <w:rPr>
          <w:rFonts w:cs="Arial"/>
        </w:rPr>
        <w:t>; Laitinen et al., 2001</w:t>
      </w:r>
      <w:r w:rsidR="006A4907" w:rsidRPr="00296D0C">
        <w:rPr>
          <w:rFonts w:cs="Arial"/>
        </w:rPr>
        <w:t xml:space="preserve"> </w:t>
      </w:r>
      <w:r w:rsidR="00DC137F" w:rsidRPr="00296D0C">
        <w:rPr>
          <w:rFonts w:cs="Arial"/>
        </w:rPr>
        <w:fldChar w:fldCharType="begin"/>
      </w:r>
      <w:r w:rsidR="008C43BF">
        <w:rPr>
          <w:rFonts w:cs="Arial"/>
        </w:rPr>
        <w:instrText xml:space="preserve"> ADDIN EN.CITE &lt;EndNote&gt;&lt;Cite&gt;&lt;Author&gt;Laitinen&lt;/Author&gt;&lt;Year&gt;2001&lt;/Year&gt;&lt;RecNum&gt;125&lt;/RecNum&gt;&lt;DisplayText&gt;&lt;style face="superscript"&gt;86&lt;/style&gt;&lt;/DisplayText&gt;&lt;record&gt;&lt;rec-number&gt;125&lt;/rec-number&gt;&lt;foreign-keys&gt;&lt;key app="EN" db-id="2ewa9rrvjsdsawep2vpx5x97eedzzvxx5rta" timestamp="0"&gt;125&lt;/key&gt;&lt;/foreign-keys&gt;&lt;ref-type name="Journal Article"&gt;17&lt;/ref-type&gt;&lt;contributors&gt;&lt;authors&gt;&lt;author&gt;Laitinen, J.&lt;/author&gt;&lt;author&gt;Power, C.&lt;/author&gt;&lt;author&gt;Jarvelin, M. R.&lt;/author&gt;&lt;/authors&gt;&lt;/contributors&gt;&lt;auth-address&gt;Oulu Regional Institute of Occupational Health, Oulu, Finland. jaana.laitinen@occuphealth.fi&lt;/auth-address&gt;&lt;titles&gt;&lt;title&gt;Family social class, maternal body mass index, childhood body mass index, and age at menarche as predictors of adult obesity&lt;/title&gt;&lt;secondary-title&gt;Am J Clin Nutr&lt;/secondary-title&gt;&lt;/titles&gt;&lt;periodical&gt;&lt;full-title&gt;American Journal of Clinical Nutrition&lt;/full-title&gt;&lt;abbr-1&gt;Am. J. Clin. Nutr.&lt;/abbr-1&gt;&lt;abbr-2&gt;Am J Clin Nutr&lt;/abbr-2&gt;&lt;/periodical&gt;&lt;pages&gt;287-94&lt;/pages&gt;&lt;volume&gt;74&lt;/volume&gt;&lt;number&gt;3&lt;/number&gt;&lt;keywords&gt;&lt;keyword&gt;Adolescent&lt;/keyword&gt;&lt;keyword&gt;Adult&lt;/keyword&gt;&lt;keyword&gt;Age Factors&lt;/keyword&gt;&lt;keyword&gt;Birth Weight&lt;/keyword&gt;&lt;keyword&gt;Body Constitution&lt;/keyword&gt;&lt;keyword&gt;*Body Mass Index&lt;/keyword&gt;&lt;keyword&gt;Cohort Studies&lt;/keyword&gt;&lt;keyword&gt;Female&lt;/keyword&gt;&lt;keyword&gt;Finland/epidemiology&lt;/keyword&gt;&lt;keyword&gt;Humans&lt;/keyword&gt;&lt;keyword&gt;Infant&lt;/keyword&gt;&lt;keyword&gt;Infant, Newborn&lt;/keyword&gt;&lt;keyword&gt;Longitudinal Studies&lt;/keyword&gt;&lt;keyword&gt;Male&lt;/keyword&gt;&lt;keyword&gt;*Menarche&lt;/keyword&gt;&lt;keyword&gt;Obesity/epidemiology/*etiology&lt;/keyword&gt;&lt;keyword&gt;Prevalence&lt;/keyword&gt;&lt;keyword&gt;Probability&lt;/keyword&gt;&lt;keyword&gt;Research Support, Non-U.S. Gov&amp;apos;t&lt;/keyword&gt;&lt;keyword&gt;*Social Class&lt;/keyword&gt;&lt;/keywords&gt;&lt;dates&gt;&lt;year&gt;2001&lt;/year&gt;&lt;pub-dates&gt;&lt;date&gt;Sep&lt;/date&gt;&lt;/pub-dates&gt;&lt;/dates&gt;&lt;accession-num&gt;11522550&lt;/accession-num&gt;&lt;urls&gt;&lt;related-urls&gt;&lt;url&gt;http://www.ncbi.nlm.nih.gov/entrez/query.fcgi?cmd=Retrieve&amp;amp;db=PubMed&amp;amp;dopt=Citation&amp;amp;list_uids=11522550 &lt;/url&gt;&lt;/related-urls&gt;&lt;/urls&gt;&lt;/record&gt;&lt;/Cite&gt;&lt;/EndNote&gt;</w:instrText>
      </w:r>
      <w:r w:rsidR="00DC137F" w:rsidRPr="00296D0C">
        <w:rPr>
          <w:rFonts w:cs="Arial"/>
        </w:rPr>
        <w:fldChar w:fldCharType="separate"/>
      </w:r>
      <w:r w:rsidR="008C43BF" w:rsidRPr="008C43BF">
        <w:rPr>
          <w:rFonts w:cs="Arial"/>
          <w:noProof/>
          <w:vertAlign w:val="superscript"/>
        </w:rPr>
        <w:t>86</w:t>
      </w:r>
      <w:r w:rsidR="00DC137F" w:rsidRPr="00296D0C">
        <w:rPr>
          <w:rFonts w:cs="Arial"/>
        </w:rPr>
        <w:fldChar w:fldCharType="end"/>
      </w:r>
      <w:r w:rsidRPr="00296D0C">
        <w:rPr>
          <w:rFonts w:cs="Arial"/>
        </w:rPr>
        <w:t>; Wright et al., 2001</w:t>
      </w:r>
      <w:r w:rsidR="006A4907" w:rsidRPr="00296D0C">
        <w:rPr>
          <w:rFonts w:cs="Arial"/>
        </w:rPr>
        <w:t xml:space="preserve"> </w:t>
      </w:r>
      <w:r w:rsidR="00DC137F" w:rsidRPr="00296D0C">
        <w:rPr>
          <w:rFonts w:cs="Arial"/>
        </w:rPr>
        <w:fldChar w:fldCharType="begin"/>
      </w:r>
      <w:r w:rsidR="008C43BF">
        <w:rPr>
          <w:rFonts w:cs="Arial"/>
        </w:rPr>
        <w:instrText xml:space="preserve"> ADDIN EN.CITE &lt;EndNote&gt;&lt;Cite&gt;&lt;Author&gt;Wright&lt;/Author&gt;&lt;Year&gt;2001&lt;/Year&gt;&lt;RecNum&gt;5776&lt;/RecNum&gt;&lt;DisplayText&gt;&lt;style face="superscript"&gt;71&lt;/style&gt;&lt;/DisplayText&gt;&lt;record&gt;&lt;rec-number&gt;5776&lt;/rec-number&gt;&lt;foreign-keys&gt;&lt;key app="EN" db-id="2ewa9rrvjsdsawep2vpx5x97eedzzvxx5rta" timestamp="1478679952"&gt;5776&lt;/key&gt;&lt;/foreign-keys&gt;&lt;ref-type name="Journal Article"&gt;17&lt;/ref-type&gt;&lt;contributors&gt;&lt;authors&gt;&lt;author&gt;Wright, C. M.&lt;/author&gt;&lt;author&gt;Parker, L.&lt;/author&gt;&lt;author&gt;Lamont, D.&lt;/author&gt;&lt;author&gt;Craft, A. W.&lt;/author&gt;&lt;/authors&gt;&lt;/contributors&gt;&lt;auth-address&gt;University of Newcastle upon Tyne, Gateshead, NE8 1EB, UK. C.M.Wright@Newcastle.ac.uk&lt;/auth-address&gt;&lt;titles&gt;&lt;title&gt;Implications of childhood obesity for adult health: findings from thousand families cohort study&lt;/title&gt;&lt;secondary-title&gt;BMJ&lt;/secondary-title&gt;&lt;/titles&gt;&lt;periodical&gt;&lt;full-title&gt;BMJ&lt;/full-title&gt;&lt;abbr-1&gt;BMJ&lt;/abbr-1&gt;&lt;abbr-2&gt;BMJ&lt;/abbr-2&gt;&lt;/periodical&gt;&lt;pages&gt;1280-4&lt;/pages&gt;&lt;volume&gt;323&lt;/volume&gt;&lt;number&gt;7324&lt;/number&gt;&lt;keywords&gt;&lt;keyword&gt;Adipose Tissue/pathology&lt;/keyword&gt;&lt;keyword&gt;Adolescent&lt;/keyword&gt;&lt;keyword&gt;Age Factors&lt;/keyword&gt;&lt;keyword&gt;Blood Glucose/metabolism&lt;/keyword&gt;&lt;keyword&gt;Body Height&lt;/keyword&gt;&lt;keyword&gt;Body Mass Index&lt;/keyword&gt;&lt;keyword&gt;Child&lt;/keyword&gt;&lt;keyword&gt;Cohort Studies&lt;/keyword&gt;&lt;keyword&gt;Female&lt;/keyword&gt;&lt;keyword&gt;Humans&lt;/keyword&gt;&lt;keyword&gt;Lipids/blood&lt;/keyword&gt;&lt;keyword&gt;Male&lt;/keyword&gt;&lt;keyword&gt;Middle Aged&lt;/keyword&gt;&lt;keyword&gt;Obesity/*complications/pathology/physiopathology&lt;/keyword&gt;&lt;keyword&gt;Prognosis&lt;/keyword&gt;&lt;keyword&gt;Prospective Studies&lt;/keyword&gt;&lt;keyword&gt;Risk Factors&lt;/keyword&gt;&lt;keyword&gt;Social Class&lt;/keyword&gt;&lt;/keywords&gt;&lt;dates&gt;&lt;year&gt;2001&lt;/year&gt;&lt;pub-dates&gt;&lt;date&gt;Dec 1&lt;/date&gt;&lt;/pub-dates&gt;&lt;/dates&gt;&lt;isbn&gt;0959-8138 (Print)&amp;#xD;0959-535X (Linking)&lt;/isbn&gt;&lt;accession-num&gt;11731390&lt;/accession-num&gt;&lt;urls&gt;&lt;related-urls&gt;&lt;url&gt;http://www.ncbi.nlm.nih.gov/pubmed/11731390&lt;/url&gt;&lt;/related-urls&gt;&lt;/urls&gt;&lt;custom2&gt;60301&lt;/custom2&gt;&lt;/record&gt;&lt;/Cite&gt;&lt;/EndNote&gt;</w:instrText>
      </w:r>
      <w:r w:rsidR="00DC137F" w:rsidRPr="00296D0C">
        <w:rPr>
          <w:rFonts w:cs="Arial"/>
        </w:rPr>
        <w:fldChar w:fldCharType="separate"/>
      </w:r>
      <w:r w:rsidR="008C43BF" w:rsidRPr="008C43BF">
        <w:rPr>
          <w:rFonts w:cs="Arial"/>
          <w:noProof/>
          <w:vertAlign w:val="superscript"/>
        </w:rPr>
        <w:t>71</w:t>
      </w:r>
      <w:r w:rsidR="00DC137F" w:rsidRPr="00296D0C">
        <w:rPr>
          <w:rFonts w:cs="Arial"/>
        </w:rPr>
        <w:fldChar w:fldCharType="end"/>
      </w:r>
      <w:r w:rsidRPr="00296D0C">
        <w:rPr>
          <w:rFonts w:cs="Arial"/>
        </w:rPr>
        <w:t>; and, Venn et al., 2007</w:t>
      </w:r>
      <w:r w:rsidR="006A4907" w:rsidRPr="00296D0C">
        <w:rPr>
          <w:rFonts w:cs="Arial"/>
        </w:rPr>
        <w:t xml:space="preserve"> </w:t>
      </w:r>
      <w:r w:rsidR="00DC137F" w:rsidRPr="00296D0C">
        <w:rPr>
          <w:rFonts w:cs="Arial"/>
        </w:rPr>
        <w:fldChar w:fldCharType="begin"/>
      </w:r>
      <w:r w:rsidR="008C43BF">
        <w:rPr>
          <w:rFonts w:cs="Arial"/>
        </w:rPr>
        <w:instrText xml:space="preserve"> ADDIN EN.CITE &lt;EndNote&gt;&lt;Cite&gt;&lt;Author&gt;Venn&lt;/Author&gt;&lt;Year&gt;2007&lt;/Year&gt;&lt;RecNum&gt;5773&lt;/RecNum&gt;&lt;DisplayText&gt;&lt;style face="superscript"&gt;75&lt;/style&gt;&lt;/DisplayText&gt;&lt;record&gt;&lt;rec-number&gt;5773&lt;/rec-number&gt;&lt;foreign-keys&gt;&lt;key app="EN" db-id="2ewa9rrvjsdsawep2vpx5x97eedzzvxx5rta" timestamp="1478679952"&gt;5773&lt;/key&gt;&lt;/foreign-keys&gt;&lt;ref-type name="Journal Article"&gt;17&lt;/ref-type&gt;&lt;contributors&gt;&lt;authors&gt;&lt;author&gt;Venn, A. J.&lt;/author&gt;&lt;author&gt;Thomson, R. J.&lt;/author&gt;&lt;author&gt;Schmidt, M. D.&lt;/author&gt;&lt;author&gt;Cleland, V. J.&lt;/author&gt;&lt;author&gt;Curry, B. A.&lt;/author&gt;&lt;author&gt;Gennat, H. C.&lt;/author&gt;&lt;author&gt;Dwyer, T.&lt;/author&gt;&lt;/authors&gt;&lt;/contributors&gt;&lt;auth-address&gt;Menzies Research Institute, Hobart, Tasmania, Australia. Alison.Venn@utas.edu.au&lt;/auth-address&gt;&lt;titles&gt;&lt;title&gt;Overweight and obesity from childhood to adulthood: a follow-up of participants in the 1985 Australian Schools Health and Fitness Survey&lt;/title&gt;&lt;secondary-title&gt;Med J Aust&lt;/secondary-title&gt;&lt;/titles&gt;&lt;periodical&gt;&lt;full-title&gt;Medical Journal of Australia&lt;/full-title&gt;&lt;abbr-1&gt;Med. J. Aust.&lt;/abbr-1&gt;&lt;abbr-2&gt;Med J Aust&lt;/abbr-2&gt;&lt;/periodical&gt;&lt;pages&gt;458-60&lt;/pages&gt;&lt;volume&gt;186&lt;/volume&gt;&lt;number&gt;9&lt;/number&gt;&lt;keywords&gt;&lt;keyword&gt;Adolescent&lt;/keyword&gt;&lt;keyword&gt;Adult&lt;/keyword&gt;&lt;keyword&gt;Australia/epidemiology&lt;/keyword&gt;&lt;keyword&gt;Body Height&lt;/keyword&gt;&lt;keyword&gt;Body Mass Index&lt;/keyword&gt;&lt;keyword&gt;Child&lt;/keyword&gt;&lt;keyword&gt;Cohort Studies&lt;/keyword&gt;&lt;keyword&gt;Female&lt;/keyword&gt;&lt;keyword&gt;Follow-Up Studies&lt;/keyword&gt;&lt;keyword&gt;Health Surveys&lt;/keyword&gt;&lt;keyword&gt;Humans&lt;/keyword&gt;&lt;keyword&gt;Male&lt;/keyword&gt;&lt;keyword&gt;Obesity/*epidemiology&lt;/keyword&gt;&lt;keyword&gt;*Overweight&lt;/keyword&gt;&lt;keyword&gt;Prevalence&lt;/keyword&gt;&lt;/keywords&gt;&lt;dates&gt;&lt;year&gt;2007&lt;/year&gt;&lt;pub-dates&gt;&lt;date&gt;May 7&lt;/date&gt;&lt;/pub-dates&gt;&lt;/dates&gt;&lt;isbn&gt;0025-729X (Print)&amp;#xD;0025-729X (Linking)&lt;/isbn&gt;&lt;accession-num&gt;17484707&lt;/accession-num&gt;&lt;urls&gt;&lt;related-urls&gt;&lt;url&gt;http://www.ncbi.nlm.nih.gov/pubmed/17484707&lt;/url&gt;&lt;/related-urls&gt;&lt;/urls&gt;&lt;/record&gt;&lt;/Cite&gt;&lt;/EndNote&gt;</w:instrText>
      </w:r>
      <w:r w:rsidR="00DC137F" w:rsidRPr="00296D0C">
        <w:rPr>
          <w:rFonts w:cs="Arial"/>
        </w:rPr>
        <w:fldChar w:fldCharType="separate"/>
      </w:r>
      <w:r w:rsidR="008C43BF" w:rsidRPr="008C43BF">
        <w:rPr>
          <w:rFonts w:cs="Arial"/>
          <w:noProof/>
          <w:vertAlign w:val="superscript"/>
        </w:rPr>
        <w:t>75</w:t>
      </w:r>
      <w:r w:rsidR="00DC137F" w:rsidRPr="00296D0C">
        <w:rPr>
          <w:rFonts w:cs="Arial"/>
        </w:rPr>
        <w:fldChar w:fldCharType="end"/>
      </w:r>
      <w:r w:rsidRPr="00296D0C">
        <w:rPr>
          <w:rFonts w:cs="Arial"/>
        </w:rPr>
        <w:t>).  The remaining four studies were excluded, either because they provided no usable data (Hawk, 1979</w:t>
      </w:r>
      <w:r w:rsidR="00A86BB4" w:rsidRPr="00296D0C">
        <w:rPr>
          <w:rFonts w:cs="Arial"/>
        </w:rPr>
        <w:t xml:space="preserve"> </w:t>
      </w:r>
      <w:r w:rsidR="001B6106" w:rsidRPr="00296D0C">
        <w:rPr>
          <w:rFonts w:cs="Arial"/>
        </w:rPr>
        <w:fldChar w:fldCharType="begin"/>
      </w:r>
      <w:r w:rsidR="008C43BF">
        <w:rPr>
          <w:rFonts w:cs="Arial"/>
        </w:rPr>
        <w:instrText xml:space="preserve"> ADDIN EN.CITE &lt;EndNote&gt;&lt;Cite&gt;&lt;Author&gt;Hawk&lt;/Author&gt;&lt;Year&gt;1979&lt;/Year&gt;&lt;RecNum&gt;5803&lt;/RecNum&gt;&lt;DisplayText&gt;&lt;style face="superscript"&gt;81&lt;/style&gt;&lt;/DisplayText&gt;&lt;record&gt;&lt;rec-number&gt;5803&lt;/rec-number&gt;&lt;foreign-keys&gt;&lt;key app="EN" db-id="2ewa9rrvjsdsawep2vpx5x97eedzzvxx5rta" timestamp="1478776902"&gt;5803&lt;/key&gt;&lt;/foreign-keys&gt;&lt;ref-type name="Journal Article"&gt;17&lt;/ref-type&gt;&lt;contributors&gt;&lt;authors&gt;&lt;author&gt;Hawk, L. J.&lt;/author&gt;&lt;author&gt;Brook, C. G.&lt;/author&gt;&lt;/authors&gt;&lt;/contributors&gt;&lt;titles&gt;&lt;title&gt;Influence of body fatness in childhood on fatness in adult life&lt;/title&gt;&lt;secondary-title&gt;Br Med J&lt;/secondary-title&gt;&lt;/titles&gt;&lt;periodical&gt;&lt;full-title&gt;British Medical Journal&lt;/full-title&gt;&lt;abbr-1&gt;Br. Med. J.&lt;/abbr-1&gt;&lt;abbr-2&gt;Br Med J&lt;/abbr-2&gt;&lt;/periodical&gt;&lt;pages&gt;151-2&lt;/pages&gt;&lt;volume&gt;1&lt;/volume&gt;&lt;number&gt;6157&lt;/number&gt;&lt;keywords&gt;&lt;keyword&gt;Adolescent&lt;/keyword&gt;&lt;keyword&gt;Adult&lt;/keyword&gt;&lt;keyword&gt;Age Factors&lt;/keyword&gt;&lt;keyword&gt;Child&lt;/keyword&gt;&lt;keyword&gt;Child, Preschool&lt;/keyword&gt;&lt;keyword&gt;Female&lt;/keyword&gt;&lt;keyword&gt;Humans&lt;/keyword&gt;&lt;keyword&gt;Male&lt;/keyword&gt;&lt;keyword&gt;Obesity/*etiology&lt;/keyword&gt;&lt;keyword&gt;Prospective Studies&lt;/keyword&gt;&lt;keyword&gt;Skinfold Thickness&lt;/keyword&gt;&lt;/keywords&gt;&lt;dates&gt;&lt;year&gt;1979&lt;/year&gt;&lt;pub-dates&gt;&lt;date&gt;Jan 20&lt;/date&gt;&lt;/pub-dates&gt;&lt;/dates&gt;&lt;isbn&gt;0007-1447 (Print)&amp;#xD;0007-1447 (Linking)&lt;/isbn&gt;&lt;accession-num&gt;420997&lt;/accession-num&gt;&lt;urls&gt;&lt;related-urls&gt;&lt;url&gt;https://www.ncbi.nlm.nih.gov/pubmed/420997&lt;/url&gt;&lt;/related-urls&gt;&lt;/urls&gt;&lt;custom2&gt;PMC1597642&lt;/custom2&gt;&lt;/record&gt;&lt;/Cite&gt;&lt;/EndNote&gt;</w:instrText>
      </w:r>
      <w:r w:rsidR="001B6106" w:rsidRPr="00296D0C">
        <w:rPr>
          <w:rFonts w:cs="Arial"/>
        </w:rPr>
        <w:fldChar w:fldCharType="separate"/>
      </w:r>
      <w:r w:rsidR="008C43BF" w:rsidRPr="008C43BF">
        <w:rPr>
          <w:rFonts w:cs="Arial"/>
          <w:noProof/>
          <w:vertAlign w:val="superscript"/>
        </w:rPr>
        <w:t>81</w:t>
      </w:r>
      <w:r w:rsidR="001B6106" w:rsidRPr="00296D0C">
        <w:rPr>
          <w:rFonts w:cs="Arial"/>
        </w:rPr>
        <w:fldChar w:fldCharType="end"/>
      </w:r>
      <w:r w:rsidRPr="00296D0C">
        <w:rPr>
          <w:rFonts w:cs="Arial"/>
        </w:rPr>
        <w:t>; Cheung et al., 2004</w:t>
      </w:r>
      <w:r w:rsidR="00A86BB4" w:rsidRPr="00296D0C">
        <w:rPr>
          <w:rFonts w:cs="Arial"/>
        </w:rPr>
        <w:t xml:space="preserve"> </w:t>
      </w:r>
      <w:r w:rsidR="00A86BB4" w:rsidRPr="00296D0C">
        <w:rPr>
          <w:rFonts w:cs="Arial"/>
        </w:rPr>
        <w:fldChar w:fldCharType="begin"/>
      </w:r>
      <w:r w:rsidR="008C43BF">
        <w:rPr>
          <w:rFonts w:cs="Arial"/>
        </w:rPr>
        <w:instrText xml:space="preserve"> ADDIN EN.CITE &lt;EndNote&gt;&lt;Cite&gt;&lt;Author&gt;Cheung&lt;/Author&gt;&lt;Year&gt;2004&lt;/Year&gt;&lt;RecNum&gt;5802&lt;/RecNum&gt;&lt;DisplayText&gt;&lt;style face="superscript"&gt;83&lt;/style&gt;&lt;/DisplayText&gt;&lt;record&gt;&lt;rec-number&gt;5802&lt;/rec-number&gt;&lt;foreign-keys&gt;&lt;key app="EN" db-id="2ewa9rrvjsdsawep2vpx5x97eedzzvxx5rta" timestamp="1478776591"&gt;5802&lt;/key&gt;&lt;/foreign-keys&gt;&lt;ref-type name="Journal Article"&gt;17&lt;/ref-type&gt;&lt;contributors&gt;&lt;authors&gt;&lt;author&gt;Cheung, Y. B.&lt;/author&gt;&lt;author&gt;Machin, D.&lt;/author&gt;&lt;author&gt;Karlberg, J.&lt;/author&gt;&lt;author&gt;Khoo, K. S.&lt;/author&gt;&lt;/authors&gt;&lt;/contributors&gt;&lt;auth-address&gt;Division of Clinical Trials and Epidemiological Sciences, National Cancer Centre, Singapore 169610. cheungyb@graduate.hku.hk&lt;/auth-address&gt;&lt;titles&gt;&lt;title&gt;A longitudinal study of pediatric body mass index values predicted health in middle age&lt;/title&gt;&lt;secondary-title&gt;J Clin Epidemiol&lt;/secondary-title&gt;&lt;/titles&gt;&lt;periodical&gt;&lt;full-title&gt;Journal of Clinical Epidemiology&lt;/full-title&gt;&lt;abbr-1&gt;J. Clin. Epidemiol.&lt;/abbr-1&gt;&lt;abbr-2&gt;J Clin Epidemiol&lt;/abbr-2&gt;&lt;/periodical&gt;&lt;pages&gt;1316-22&lt;/pages&gt;&lt;volume&gt;57&lt;/volume&gt;&lt;number&gt;12&lt;/number&gt;&lt;keywords&gt;&lt;keyword&gt;Adolescent&lt;/keyword&gt;&lt;keyword&gt;Adult&lt;/keyword&gt;&lt;keyword&gt;*Body Mass Index&lt;/keyword&gt;&lt;keyword&gt;Cardiovascular Diseases/diagnosis&lt;/keyword&gt;&lt;keyword&gt;Child&lt;/keyword&gt;&lt;keyword&gt;*Child Welfare&lt;/keyword&gt;&lt;keyword&gt;Diabetes Mellitus/diagnosis&lt;/keyword&gt;&lt;keyword&gt;Female&lt;/keyword&gt;&lt;keyword&gt;Forecasting&lt;/keyword&gt;&lt;keyword&gt;*Health Status&lt;/keyword&gt;&lt;keyword&gt;Humans&lt;/keyword&gt;&lt;keyword&gt;Hypertension/diagnosis&lt;/keyword&gt;&lt;keyword&gt;Longitudinal Studies&lt;/keyword&gt;&lt;keyword&gt;Male&lt;/keyword&gt;&lt;keyword&gt;Neoplasms/diagnosis&lt;/keyword&gt;&lt;keyword&gt;Obesity/diagnosis&lt;/keyword&gt;&lt;keyword&gt;ROC Curve&lt;/keyword&gt;&lt;keyword&gt;Sensitivity and Specificity&lt;/keyword&gt;&lt;/keywords&gt;&lt;dates&gt;&lt;year&gt;2004&lt;/year&gt;&lt;pub-dates&gt;&lt;date&gt;Dec&lt;/date&gt;&lt;/pub-dates&gt;&lt;/dates&gt;&lt;isbn&gt;0895-4356 (Print)&amp;#xD;0895-4356 (Linking)&lt;/isbn&gt;&lt;accession-num&gt;15617958&lt;/accession-num&gt;&lt;urls&gt;&lt;related-urls&gt;&lt;url&gt;https://www.ncbi.nlm.nih.gov/pubmed/15617958&lt;/url&gt;&lt;/related-urls&gt;&lt;/urls&gt;&lt;electronic-resource-num&gt;10.1016/j.jclinepi.2004.04.010&lt;/electronic-resource-num&gt;&lt;/record&gt;&lt;/Cite&gt;&lt;/EndNote&gt;</w:instrText>
      </w:r>
      <w:r w:rsidR="00A86BB4" w:rsidRPr="00296D0C">
        <w:rPr>
          <w:rFonts w:cs="Arial"/>
        </w:rPr>
        <w:fldChar w:fldCharType="separate"/>
      </w:r>
      <w:r w:rsidR="008C43BF" w:rsidRPr="008C43BF">
        <w:rPr>
          <w:rFonts w:cs="Arial"/>
          <w:noProof/>
          <w:vertAlign w:val="superscript"/>
        </w:rPr>
        <w:t>83</w:t>
      </w:r>
      <w:r w:rsidR="00A86BB4" w:rsidRPr="00296D0C">
        <w:rPr>
          <w:rFonts w:cs="Arial"/>
        </w:rPr>
        <w:fldChar w:fldCharType="end"/>
      </w:r>
      <w:r w:rsidRPr="00296D0C">
        <w:rPr>
          <w:rFonts w:cs="Arial"/>
        </w:rPr>
        <w:t>; and, Reilly et al., 2011</w:t>
      </w:r>
      <w:r w:rsidR="008262D6" w:rsidRPr="00296D0C">
        <w:rPr>
          <w:rFonts w:cs="Arial"/>
        </w:rPr>
        <w:t xml:space="preserve"> </w:t>
      </w:r>
      <w:r w:rsidR="008262D6" w:rsidRPr="00296D0C">
        <w:rPr>
          <w:rFonts w:cs="Arial"/>
        </w:rPr>
        <w:fldChar w:fldCharType="begin">
          <w:fldData xml:space="preserve">PEVuZE5vdGU+PENpdGU+PEF1dGhvcj5SZWlsbHk8L0F1dGhvcj48WWVhcj4yMDExPC9ZZWFyPjxS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</w:fldData>
        </w:fldChar>
      </w:r>
      <w:r w:rsidR="008C43BF">
        <w:rPr>
          <w:rFonts w:cs="Arial"/>
        </w:rPr>
        <w:instrText xml:space="preserve"> ADDIN EN.CITE </w:instrText>
      </w:r>
      <w:r w:rsidR="008C43BF">
        <w:rPr>
          <w:rFonts w:cs="Arial"/>
        </w:rPr>
        <w:fldChar w:fldCharType="begin">
          <w:fldData xml:space="preserve">PEVuZE5vdGU+PENpdGU+PEF1dGhvcj5SZWlsbHk8L0F1dGhvcj48WWVhcj4yMDExPC9ZZWFyPjxS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</w:fldData>
        </w:fldChar>
      </w:r>
      <w:r w:rsidR="008C43BF">
        <w:rPr>
          <w:rFonts w:cs="Arial"/>
        </w:rPr>
        <w:instrText xml:space="preserve"> ADDIN EN.CITE.DATA </w:instrText>
      </w:r>
      <w:r w:rsidR="008C43BF">
        <w:rPr>
          <w:rFonts w:cs="Arial"/>
        </w:rPr>
      </w:r>
      <w:r w:rsidR="008C43BF">
        <w:rPr>
          <w:rFonts w:cs="Arial"/>
        </w:rPr>
        <w:fldChar w:fldCharType="end"/>
      </w:r>
      <w:r w:rsidR="008262D6" w:rsidRPr="00296D0C">
        <w:rPr>
          <w:rFonts w:cs="Arial"/>
        </w:rPr>
      </w:r>
      <w:r w:rsidR="008262D6" w:rsidRPr="00296D0C">
        <w:rPr>
          <w:rFonts w:cs="Arial"/>
        </w:rPr>
        <w:fldChar w:fldCharType="separate"/>
      </w:r>
      <w:r w:rsidR="008C43BF" w:rsidRPr="008C43BF">
        <w:rPr>
          <w:rFonts w:cs="Arial"/>
          <w:noProof/>
          <w:vertAlign w:val="superscript"/>
        </w:rPr>
        <w:t>85</w:t>
      </w:r>
      <w:r w:rsidR="008262D6" w:rsidRPr="00296D0C">
        <w:rPr>
          <w:rFonts w:cs="Arial"/>
        </w:rPr>
        <w:fldChar w:fldCharType="end"/>
      </w:r>
      <w:r w:rsidR="00B80570" w:rsidRPr="00296D0C">
        <w:rPr>
          <w:rFonts w:cs="Arial"/>
        </w:rPr>
        <w:t xml:space="preserve"> </w:t>
      </w:r>
      <w:r w:rsidRPr="00296D0C">
        <w:rPr>
          <w:rFonts w:cs="Arial"/>
        </w:rPr>
        <w:t>)</w:t>
      </w:r>
      <w:r w:rsidR="00B13AA9" w:rsidRPr="00296D0C">
        <w:rPr>
          <w:rFonts w:cs="Arial"/>
        </w:rPr>
        <w:t xml:space="preserve"> or because the data were for a</w:t>
      </w:r>
      <w:r w:rsidRPr="00296D0C">
        <w:rPr>
          <w:rFonts w:cs="Arial"/>
        </w:rPr>
        <w:t xml:space="preserve"> child age range that was inappropriate for the current research (McCarthy et al., 2007</w:t>
      </w:r>
      <w:r w:rsidR="00B80570" w:rsidRPr="00296D0C">
        <w:rPr>
          <w:rFonts w:cs="Arial"/>
        </w:rPr>
        <w:t xml:space="preserve"> </w:t>
      </w:r>
      <w:r w:rsidR="001B6106" w:rsidRPr="00296D0C">
        <w:rPr>
          <w:rFonts w:cs="Arial"/>
        </w:rPr>
        <w:fldChar w:fldCharType="begin">
          <w:fldData xml:space="preserve">PEVuZE5vdGU+PENpdGU+PEF1dGhvcj5NY0NhcnRoeTwvQXV0aG9yPjxZZWFyPjIwMDc8L1llYXI+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</w:fldData>
        </w:fldChar>
      </w:r>
      <w:r w:rsidR="008C43BF">
        <w:rPr>
          <w:rFonts w:cs="Arial"/>
        </w:rPr>
        <w:instrText xml:space="preserve"> ADDIN EN.CITE </w:instrText>
      </w:r>
      <w:r w:rsidR="008C43BF">
        <w:rPr>
          <w:rFonts w:cs="Arial"/>
        </w:rPr>
        <w:fldChar w:fldCharType="begin">
          <w:fldData xml:space="preserve">PEVuZE5vdGU+PENpdGU+PEF1dGhvcj5NY0NhcnRoeTwvQXV0aG9yPjxZZWFyPjIwMDc8L1llYXI+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</w:fldData>
        </w:fldChar>
      </w:r>
      <w:r w:rsidR="008C43BF">
        <w:rPr>
          <w:rFonts w:cs="Arial"/>
        </w:rPr>
        <w:instrText xml:space="preserve"> ADDIN EN.CITE.DATA </w:instrText>
      </w:r>
      <w:r w:rsidR="008C43BF">
        <w:rPr>
          <w:rFonts w:cs="Arial"/>
        </w:rPr>
      </w:r>
      <w:r w:rsidR="008C43BF">
        <w:rPr>
          <w:rFonts w:cs="Arial"/>
        </w:rPr>
        <w:fldChar w:fldCharType="end"/>
      </w:r>
      <w:r w:rsidR="001B6106" w:rsidRPr="00296D0C">
        <w:rPr>
          <w:rFonts w:cs="Arial"/>
        </w:rPr>
      </w:r>
      <w:r w:rsidR="001B6106" w:rsidRPr="00296D0C">
        <w:rPr>
          <w:rFonts w:cs="Arial"/>
        </w:rPr>
        <w:fldChar w:fldCharType="separate"/>
      </w:r>
      <w:r w:rsidR="008C43BF" w:rsidRPr="008C43BF">
        <w:rPr>
          <w:rFonts w:cs="Arial"/>
          <w:noProof/>
          <w:vertAlign w:val="superscript"/>
        </w:rPr>
        <w:t>84</w:t>
      </w:r>
      <w:r w:rsidR="001B6106" w:rsidRPr="00296D0C">
        <w:rPr>
          <w:rFonts w:cs="Arial"/>
        </w:rPr>
        <w:fldChar w:fldCharType="end"/>
      </w:r>
      <w:r w:rsidR="00B80570" w:rsidRPr="00296D0C">
        <w:rPr>
          <w:rFonts w:cs="Arial"/>
        </w:rPr>
        <w:t>;</w:t>
      </w:r>
      <w:r w:rsidRPr="00296D0C">
        <w:rPr>
          <w:rFonts w:cs="Arial"/>
        </w:rPr>
        <w:t>). Study characteristics for the included studies are presented in Table</w:t>
      </w:r>
      <w:r w:rsidR="00C678CB" w:rsidRPr="00296D0C">
        <w:rPr>
          <w:rFonts w:cs="Arial"/>
        </w:rPr>
        <w:t xml:space="preserve"> </w:t>
      </w:r>
      <w:r w:rsidR="001B5A2E" w:rsidRPr="00296D0C">
        <w:rPr>
          <w:rFonts w:cs="Arial"/>
        </w:rPr>
        <w:t>2</w:t>
      </w:r>
      <w:r w:rsidR="00472BD5">
        <w:rPr>
          <w:rFonts w:cs="Arial"/>
        </w:rPr>
        <w:t>6</w:t>
      </w:r>
      <w:r w:rsidRPr="00296D0C">
        <w:rPr>
          <w:rFonts w:cs="Arial"/>
        </w:rPr>
        <w:t>, and a summary description is provided below.</w:t>
      </w:r>
    </w:p>
    <w:p w14:paraId="13F787D5" w14:textId="77777777" w:rsidR="006E30C7" w:rsidRDefault="006E30C7" w:rsidP="00312529">
      <w:pPr>
        <w:rPr>
          <w:rFonts w:cs="Arial"/>
        </w:rPr>
      </w:pPr>
    </w:p>
    <w:p w14:paraId="4EEAA3BA" w14:textId="77777777" w:rsidR="00861557" w:rsidRPr="00497416" w:rsidRDefault="00861557" w:rsidP="00312529">
      <w:pPr>
        <w:rPr>
          <w:rFonts w:cs="Arial"/>
          <w:i/>
          <w:u w:val="single"/>
        </w:rPr>
      </w:pPr>
      <w:r w:rsidRPr="00497416">
        <w:rPr>
          <w:rFonts w:cs="Arial"/>
          <w:u w:val="single"/>
        </w:rPr>
        <w:t>Power et al., 1997</w:t>
      </w:r>
      <w:r w:rsidRPr="00497416">
        <w:rPr>
          <w:rFonts w:cs="Arial"/>
          <w:i/>
          <w:u w:val="single"/>
        </w:rPr>
        <w:t xml:space="preserve"> (1958 UK Birth Cohort)</w:t>
      </w:r>
    </w:p>
    <w:p w14:paraId="1A22B552" w14:textId="7BD7667C" w:rsidR="006E30C7" w:rsidRPr="00296D0C" w:rsidRDefault="00861557" w:rsidP="006E30C7">
      <w:pPr>
        <w:spacing w:after="0" w:line="360" w:lineRule="auto"/>
        <w:rPr>
          <w:rFonts w:cs="Arial"/>
        </w:rPr>
      </w:pPr>
      <w:r w:rsidRPr="00296D0C">
        <w:rPr>
          <w:rFonts w:cs="Arial"/>
        </w:rPr>
        <w:lastRenderedPageBreak/>
        <w:t>Power et al.</w:t>
      </w:r>
      <w:r w:rsidR="00AA5D61" w:rsidRPr="00296D0C">
        <w:rPr>
          <w:rFonts w:cs="Arial"/>
        </w:rPr>
        <w:t xml:space="preserve"> </w:t>
      </w:r>
      <w:r w:rsidR="00DC137F" w:rsidRPr="00296D0C">
        <w:rPr>
          <w:rFonts w:cs="Arial"/>
        </w:rPr>
        <w:fldChar w:fldCharType="begin"/>
      </w:r>
      <w:r w:rsidR="008C43BF">
        <w:rPr>
          <w:rFonts w:cs="Arial"/>
        </w:rPr>
        <w:instrText xml:space="preserve"> ADDIN EN.CITE &lt;EndNote&gt;&lt;Cite&gt;&lt;Author&gt;Power&lt;/Author&gt;&lt;Year&gt;1997&lt;/Year&gt;&lt;RecNum&gt;5762&lt;/RecNum&gt;&lt;DisplayText&gt;&lt;style face="superscript"&gt;76&lt;/style&gt;&lt;/DisplayText&gt;&lt;record&gt;&lt;rec-number&gt;5762&lt;/rec-number&gt;&lt;foreign-keys&gt;&lt;key app="EN" db-id="2ewa9rrvjsdsawep2vpx5x97eedzzvxx5rta" timestamp="1478679952"&gt;5762&lt;/key&gt;&lt;/foreign-keys&gt;&lt;ref-type name="Journal Article"&gt;17&lt;/ref-type&gt;&lt;contributors&gt;&lt;authors&gt;&lt;author&gt;Power, C.&lt;/author&gt;&lt;author&gt;Hertzman, C.&lt;/author&gt;&lt;author&gt;Matthews, S.&lt;/author&gt;&lt;author&gt;Manor, O.&lt;/author&gt;&lt;/authors&gt;&lt;/contributors&gt;&lt;auth-address&gt;Department of Epidemiology and Biostatistics, Institute of Child Health, London, England.&lt;/auth-address&gt;&lt;titles&gt;&lt;title&gt;Social differences in health: life-cycle effects between ages 23 and 33 in the 1958 British birth cohort&lt;/title&gt;&lt;secondary-title&gt;Am J Public Health&lt;/secondary-title&gt;&lt;/titles&gt;&lt;periodical&gt;&lt;full-title&gt;American Journal of Public Health&lt;/full-title&gt;&lt;abbr-1&gt;Am. J. Public Health&lt;/abbr-1&gt;&lt;abbr-2&gt;Am J Public Health&lt;/abbr-2&gt;&lt;/periodical&gt;&lt;pages&gt;1499-503&lt;/pages&gt;&lt;volume&gt;87&lt;/volume&gt;&lt;number&gt;9&lt;/number&gt;&lt;keywords&gt;&lt;keyword&gt;Adult&lt;/keyword&gt;&lt;keyword&gt;Aging&lt;/keyword&gt;&lt;keyword&gt;Asthma/epidemiology&lt;/keyword&gt;&lt;keyword&gt;Cohort Studies&lt;/keyword&gt;&lt;keyword&gt;Female&lt;/keyword&gt;&lt;keyword&gt;Great Britain/epidemiology&lt;/keyword&gt;&lt;keyword&gt;*Health Status&lt;/keyword&gt;&lt;keyword&gt;Humans&lt;/keyword&gt;&lt;keyword&gt;Male&lt;/keyword&gt;&lt;keyword&gt;Obesity/epidemiology&lt;/keyword&gt;&lt;keyword&gt;Prevalence&lt;/keyword&gt;&lt;keyword&gt;Sex Factors&lt;/keyword&gt;&lt;keyword&gt;*Social Class&lt;/keyword&gt;&lt;/keywords&gt;&lt;dates&gt;&lt;year&gt;1997&lt;/year&gt;&lt;pub-dates&gt;&lt;date&gt;Sep&lt;/date&gt;&lt;/pub-dates&gt;&lt;/dates&gt;&lt;isbn&gt;0090-0036 (Print)&amp;#xD;0090-0036 (Linking)&lt;/isbn&gt;&lt;accession-num&gt;9314803&lt;/accession-num&gt;&lt;urls&gt;&lt;related-urls&gt;&lt;url&gt;http://www.ncbi.nlm.nih.gov/pubmed/9314803&lt;/url&gt;&lt;/related-urls&gt;&lt;/urls&gt;&lt;custom2&gt;1380976&lt;/custom2&gt;&lt;/record&gt;&lt;/Cite&gt;&lt;/EndNote&gt;</w:instrText>
      </w:r>
      <w:r w:rsidR="00DC137F" w:rsidRPr="00296D0C">
        <w:rPr>
          <w:rFonts w:cs="Arial"/>
        </w:rPr>
        <w:fldChar w:fldCharType="separate"/>
      </w:r>
      <w:r w:rsidR="008C43BF" w:rsidRPr="008C43BF">
        <w:rPr>
          <w:rFonts w:cs="Arial"/>
          <w:noProof/>
          <w:vertAlign w:val="superscript"/>
        </w:rPr>
        <w:t>76</w:t>
      </w:r>
      <w:r w:rsidR="00DC137F" w:rsidRPr="00296D0C">
        <w:rPr>
          <w:rFonts w:cs="Arial"/>
        </w:rPr>
        <w:fldChar w:fldCharType="end"/>
      </w:r>
      <w:r w:rsidRPr="00296D0C">
        <w:rPr>
          <w:rFonts w:cs="Arial"/>
        </w:rPr>
        <w:t xml:space="preserve"> followed up a cohort of children who were born in Britain in March 1958 (The 1958 UK Birth Cohort).  In this longitudinal study, height and weight measurements were taken at various time</w:t>
      </w:r>
      <w:r w:rsidR="00BE60C7" w:rsidRPr="00296D0C">
        <w:rPr>
          <w:rFonts w:cs="Arial"/>
        </w:rPr>
        <w:t>-</w:t>
      </w:r>
      <w:r w:rsidRPr="00296D0C">
        <w:rPr>
          <w:rFonts w:cs="Arial"/>
        </w:rPr>
        <w:t>points between the age of 7 and 33 years. The weight status of children was defined by the UK 90 growth reference standards</w:t>
      </w:r>
      <w:r w:rsidR="006A4907" w:rsidRPr="00296D0C">
        <w:rPr>
          <w:rFonts w:cs="Arial"/>
        </w:rPr>
        <w:t xml:space="preserve"> </w:t>
      </w:r>
      <w:r w:rsidR="00DC137F" w:rsidRPr="00296D0C">
        <w:rPr>
          <w:rFonts w:cs="Arial"/>
        </w:rPr>
        <w:fldChar w:fldCharType="begin"/>
      </w:r>
      <w:r w:rsidR="008C43BF">
        <w:rPr>
          <w:rFonts w:cs="Arial"/>
        </w:rPr>
        <w:instrText xml:space="preserve"> ADDIN EN.CITE &lt;EndNote&gt;&lt;Cite&gt;&lt;Author&gt;Cole&lt;/Author&gt;&lt;Year&gt;1995&lt;/Year&gt;&lt;RecNum&gt;95&lt;/RecNum&gt;&lt;DisplayText&gt;&lt;style face="superscript"&gt;87&lt;/style&gt;&lt;/DisplayText&gt;&lt;record&gt;&lt;rec-number&gt;95&lt;/rec-number&gt;&lt;foreign-keys&gt;&lt;key app="EN" db-id="0dds99xxkezfxieepft5er0c0tfe9ssed9e5" timestamp="1464510319"&gt;95&lt;/key&gt;&lt;/foreign-keys&gt;&lt;ref-type name="Journal Article"&gt;17&lt;/ref-type&gt;&lt;contributors&gt;&lt;authors&gt;&lt;author&gt;Cole, T. J.&lt;/author&gt;&lt;author&gt;Freeman, J. V.&lt;/author&gt;&lt;author&gt;Preece, M. A.&lt;/author&gt;&lt;/authors&gt;&lt;/contributors&gt;&lt;auth-address&gt;MRC Dunn Nutrition Centre, Cambridge.&lt;/auth-address&gt;&lt;titles&gt;&lt;title&gt;Body mass index reference curves for the UK, 1990&lt;/title&gt;&lt;secondary-title&gt;Arch Dis Child&lt;/secondary-title&gt;&lt;/titles&gt;&lt;periodical&gt;&lt;full-title&gt;Arch Dis Child&lt;/full-title&gt;&lt;/periodical&gt;&lt;pages&gt;25-9&lt;/pages&gt;&lt;volume&gt;73&lt;/volume&gt;&lt;number&gt;1&lt;/number&gt;&lt;keywords&gt;&lt;keyword&gt;Adolescent&lt;/keyword&gt;&lt;keyword&gt;Adult&lt;/keyword&gt;&lt;keyword&gt;*Body Mass Index&lt;/keyword&gt;&lt;keyword&gt;Child&lt;/keyword&gt;&lt;keyword&gt;Child, Preschool&lt;/keyword&gt;&lt;keyword&gt;Female&lt;/keyword&gt;&lt;keyword&gt;Great Britain&lt;/keyword&gt;&lt;keyword&gt;Humans&lt;/keyword&gt;&lt;keyword&gt;Infant&lt;/keyword&gt;&lt;keyword&gt;Infant, Newborn&lt;/keyword&gt;&lt;keyword&gt;Male&lt;/keyword&gt;&lt;keyword&gt;Reference Values&lt;/keyword&gt;&lt;/keywords&gt;&lt;dates&gt;&lt;year&gt;1995&lt;/year&gt;&lt;pub-dates&gt;&lt;date&gt;Jul&lt;/date&gt;&lt;/pub-dates&gt;&lt;/dates&gt;&lt;isbn&gt;1468-2044 (Electronic)&amp;#xD;0003-9888 (Linking)&lt;/isbn&gt;&lt;accession-num&gt;7639544&lt;/accession-num&gt;&lt;urls&gt;&lt;related-urls&gt;&lt;url&gt;http://www.ncbi.nlm.nih.gov/pubmed/7639544&lt;/url&gt;&lt;/related-urls&gt;&lt;/urls&gt;&lt;custom2&gt;1511150&lt;/custom2&gt;&lt;/record&gt;&lt;/Cite&gt;&lt;/EndNote&gt;</w:instrText>
      </w:r>
      <w:r w:rsidR="00DC137F" w:rsidRPr="00296D0C">
        <w:rPr>
          <w:rFonts w:cs="Arial"/>
        </w:rPr>
        <w:fldChar w:fldCharType="separate"/>
      </w:r>
      <w:r w:rsidR="008C43BF" w:rsidRPr="008C43BF">
        <w:rPr>
          <w:rFonts w:cs="Arial"/>
          <w:noProof/>
          <w:vertAlign w:val="superscript"/>
        </w:rPr>
        <w:t>87</w:t>
      </w:r>
      <w:r w:rsidR="00DC137F" w:rsidRPr="00296D0C">
        <w:rPr>
          <w:rFonts w:cs="Arial"/>
        </w:rPr>
        <w:fldChar w:fldCharType="end"/>
      </w:r>
      <w:r w:rsidRPr="00296D0C">
        <w:rPr>
          <w:rFonts w:cs="Arial"/>
        </w:rPr>
        <w:t>.  At the end of the data collection, measurements were available for 11,212 adults to be analysed.  Adult BMI was categorised as healthy weight (20.0–24.9 kg/m</w:t>
      </w:r>
      <w:r w:rsidRPr="00296D0C">
        <w:rPr>
          <w:rFonts w:cs="Arial"/>
          <w:vertAlign w:val="superscript"/>
        </w:rPr>
        <w:t>2</w:t>
      </w:r>
      <w:r w:rsidRPr="00296D0C">
        <w:rPr>
          <w:rFonts w:cs="Arial"/>
        </w:rPr>
        <w:t>), overweight (25.0–30.0 kg/m</w:t>
      </w:r>
      <w:r w:rsidRPr="00296D0C">
        <w:rPr>
          <w:rFonts w:cs="Arial"/>
          <w:vertAlign w:val="superscript"/>
        </w:rPr>
        <w:t>2</w:t>
      </w:r>
      <w:r w:rsidRPr="00296D0C">
        <w:rPr>
          <w:rFonts w:cs="Arial"/>
        </w:rPr>
        <w:t>), and obese (&gt;30.0 kg/m</w:t>
      </w:r>
      <w:r w:rsidRPr="00296D0C">
        <w:rPr>
          <w:rFonts w:cs="Arial"/>
          <w:vertAlign w:val="superscript"/>
        </w:rPr>
        <w:t>2</w:t>
      </w:r>
      <w:r w:rsidRPr="00296D0C">
        <w:rPr>
          <w:rFonts w:cs="Arial"/>
        </w:rPr>
        <w:t xml:space="preserve">).   From the study, the authors reported weight status of an adult aged 33 years as a function of child weight status at age 11-years. </w:t>
      </w:r>
    </w:p>
    <w:p w14:paraId="511167C6" w14:textId="77777777" w:rsidR="00861557" w:rsidRPr="00497416" w:rsidRDefault="00861557" w:rsidP="006E30C7">
      <w:pPr>
        <w:spacing w:after="0" w:line="360" w:lineRule="auto"/>
        <w:rPr>
          <w:rFonts w:cs="Arial"/>
          <w:u w:val="single"/>
        </w:rPr>
      </w:pPr>
      <w:r w:rsidRPr="00497416">
        <w:rPr>
          <w:rFonts w:cs="Arial"/>
          <w:u w:val="single"/>
        </w:rPr>
        <w:t>Wright et al., 2001</w:t>
      </w:r>
    </w:p>
    <w:p w14:paraId="23C6FABC" w14:textId="2A335C13" w:rsidR="00861557" w:rsidRPr="00296D0C" w:rsidRDefault="00861557" w:rsidP="006E30C7">
      <w:pPr>
        <w:spacing w:after="0" w:line="360" w:lineRule="auto"/>
        <w:rPr>
          <w:rFonts w:cs="Arial"/>
        </w:rPr>
      </w:pPr>
      <w:r w:rsidRPr="00296D0C">
        <w:rPr>
          <w:rFonts w:cs="Arial"/>
        </w:rPr>
        <w:t xml:space="preserve">Wright et al. </w:t>
      </w:r>
      <w:r w:rsidR="00DC137F" w:rsidRPr="00296D0C">
        <w:rPr>
          <w:rFonts w:cs="Arial"/>
        </w:rPr>
        <w:fldChar w:fldCharType="begin"/>
      </w:r>
      <w:r w:rsidR="008C43BF">
        <w:rPr>
          <w:rFonts w:cs="Arial"/>
        </w:rPr>
        <w:instrText xml:space="preserve"> ADDIN EN.CITE &lt;EndNote&gt;&lt;Cite&gt;&lt;Author&gt;Wright&lt;/Author&gt;&lt;Year&gt;2001&lt;/Year&gt;&lt;RecNum&gt;5776&lt;/RecNum&gt;&lt;DisplayText&gt;&lt;style face="superscript"&gt;71&lt;/style&gt;&lt;/DisplayText&gt;&lt;record&gt;&lt;rec-number&gt;5776&lt;/rec-number&gt;&lt;foreign-keys&gt;&lt;key app="EN" db-id="2ewa9rrvjsdsawep2vpx5x97eedzzvxx5rta" timestamp="1478679952"&gt;5776&lt;/key&gt;&lt;/foreign-keys&gt;&lt;ref-type name="Journal Article"&gt;17&lt;/ref-type&gt;&lt;contributors&gt;&lt;authors&gt;&lt;author&gt;Wright, C. M.&lt;/author&gt;&lt;author&gt;Parker, L.&lt;/author&gt;&lt;author&gt;Lamont, D.&lt;/author&gt;&lt;author&gt;Craft, A. W.&lt;/author&gt;&lt;/authors&gt;&lt;/contributors&gt;&lt;auth-address&gt;University of Newcastle upon Tyne, Gateshead, NE8 1EB, UK. C.M.Wright@Newcastle.ac.uk&lt;/auth-address&gt;&lt;titles&gt;&lt;title&gt;Implications of childhood obesity for adult health: findings from thousand families cohort study&lt;/title&gt;&lt;secondary-title&gt;BMJ&lt;/secondary-title&gt;&lt;/titles&gt;&lt;periodical&gt;&lt;full-title&gt;BMJ&lt;/full-title&gt;&lt;abbr-1&gt;BMJ&lt;/abbr-1&gt;&lt;abbr-2&gt;BMJ&lt;/abbr-2&gt;&lt;/periodical&gt;&lt;pages&gt;1280-4&lt;/pages&gt;&lt;volume&gt;323&lt;/volume&gt;&lt;number&gt;7324&lt;/number&gt;&lt;keywords&gt;&lt;keyword&gt;Adipose Tissue/pathology&lt;/keyword&gt;&lt;keyword&gt;Adolescent&lt;/keyword&gt;&lt;keyword&gt;Age Factors&lt;/keyword&gt;&lt;keyword&gt;Blood Glucose/metabolism&lt;/keyword&gt;&lt;keyword&gt;Body Height&lt;/keyword&gt;&lt;keyword&gt;Body Mass Index&lt;/keyword&gt;&lt;keyword&gt;Child&lt;/keyword&gt;&lt;keyword&gt;Cohort Studies&lt;/keyword&gt;&lt;keyword&gt;Female&lt;/keyword&gt;&lt;keyword&gt;Humans&lt;/keyword&gt;&lt;keyword&gt;Lipids/blood&lt;/keyword&gt;&lt;keyword&gt;Male&lt;/keyword&gt;&lt;keyword&gt;Middle Aged&lt;/keyword&gt;&lt;keyword&gt;Obesity/*complications/pathology/physiopathology&lt;/keyword&gt;&lt;keyword&gt;Prognosis&lt;/keyword&gt;&lt;keyword&gt;Prospective Studies&lt;/keyword&gt;&lt;keyword&gt;Risk Factors&lt;/keyword&gt;&lt;keyword&gt;Social Class&lt;/keyword&gt;&lt;/keywords&gt;&lt;dates&gt;&lt;year&gt;2001&lt;/year&gt;&lt;pub-dates&gt;&lt;date&gt;Dec 1&lt;/date&gt;&lt;/pub-dates&gt;&lt;/dates&gt;&lt;isbn&gt;0959-8138 (Print)&amp;#xD;0959-535X (Linking)&lt;/isbn&gt;&lt;accession-num&gt;11731390&lt;/accession-num&gt;&lt;urls&gt;&lt;related-urls&gt;&lt;url&gt;http://www.ncbi.nlm.nih.gov/pubmed/11731390&lt;/url&gt;&lt;/related-urls&gt;&lt;/urls&gt;&lt;custom2&gt;60301&lt;/custom2&gt;&lt;/record&gt;&lt;/Cite&gt;&lt;/EndNote&gt;</w:instrText>
      </w:r>
      <w:r w:rsidR="00DC137F" w:rsidRPr="00296D0C">
        <w:rPr>
          <w:rFonts w:cs="Arial"/>
        </w:rPr>
        <w:fldChar w:fldCharType="separate"/>
      </w:r>
      <w:r w:rsidR="008C43BF" w:rsidRPr="008C43BF">
        <w:rPr>
          <w:rFonts w:cs="Arial"/>
          <w:noProof/>
          <w:vertAlign w:val="superscript"/>
        </w:rPr>
        <w:t>71</w:t>
      </w:r>
      <w:r w:rsidR="00DC137F" w:rsidRPr="00296D0C">
        <w:rPr>
          <w:rFonts w:cs="Arial"/>
        </w:rPr>
        <w:fldChar w:fldCharType="end"/>
      </w:r>
      <w:r w:rsidR="006A4907" w:rsidRPr="00296D0C">
        <w:rPr>
          <w:rFonts w:cs="Arial"/>
        </w:rPr>
        <w:t xml:space="preserve"> </w:t>
      </w:r>
      <w:r w:rsidRPr="00296D0C">
        <w:rPr>
          <w:rFonts w:cs="Arial"/>
        </w:rPr>
        <w:t>report data on a UK cohort of children who were born between May and June 1947, in Newcastle upon Tyne. Height and weight measurements were taken at 9, 13 and 50 years. Weight status of children was defined by UK90 growth reference standards.</w:t>
      </w:r>
      <w:r w:rsidR="00C71026" w:rsidRPr="00296D0C">
        <w:rPr>
          <w:rFonts w:cs="Arial"/>
        </w:rPr>
        <w:fldChar w:fldCharType="begin"/>
      </w:r>
      <w:r w:rsidR="00D91A26">
        <w:rPr>
          <w:rFonts w:cs="Arial"/>
        </w:rPr>
        <w:instrText xml:space="preserve"> ADDIN EN.CITE &lt;EndNote&gt;&lt;Cite&gt;&lt;Author&gt;Wright&lt;/Author&gt;&lt;Year&gt;2001&lt;/Year&gt;&lt;RecNum&gt;5776&lt;/RecNum&gt;&lt;DisplayText&gt;&lt;style face="superscript"&gt;71&lt;/style&gt;&lt;/DisplayText&gt;&lt;record&gt;&lt;rec-number&gt;5776&lt;/rec-number&gt;&lt;foreign-keys&gt;&lt;key app="EN" db-id="2ewa9rrvjsdsawep2vpx5x97eedzzvxx5rta" timestamp="1478679952"&gt;5776&lt;/key&gt;&lt;/foreign-keys&gt;&lt;ref-type name="Journal Article"&gt;17&lt;/ref-type&gt;&lt;contributors&gt;&lt;authors&gt;&lt;author&gt;Wright, C. M.&lt;/author&gt;&lt;author&gt;Parker, L.&lt;/author&gt;&lt;author&gt;Lamont, D.&lt;/author&gt;&lt;author&gt;Craft, A. W.&lt;/author&gt;&lt;/authors&gt;&lt;/contributors&gt;&lt;auth-address&gt;University of Newcastle upon Tyne, Gateshead, NE8 1EB, UK. C.M.Wright@Newcastle.ac.uk&lt;/auth-address&gt;&lt;titles&gt;&lt;title&gt;Implications of childhood obesity for adult health: findings from thousand families cohort study&lt;/title&gt;&lt;secondary-title&gt;BMJ&lt;/secondary-title&gt;&lt;/titles&gt;&lt;periodical&gt;&lt;full-title&gt;BMJ&lt;/full-title&gt;&lt;abbr-1&gt;BMJ&lt;/abbr-1&gt;&lt;abbr-2&gt;BMJ&lt;/abbr-2&gt;&lt;/periodical&gt;&lt;pages&gt;1280-4&lt;/pages&gt;&lt;volume&gt;323&lt;/volume&gt;&lt;number&gt;7324&lt;/number&gt;&lt;keywords&gt;&lt;keyword&gt;Adipose Tissue/pathology&lt;/keyword&gt;&lt;keyword&gt;Adolescent&lt;/keyword&gt;&lt;keyword&gt;Age Factors&lt;/keyword&gt;&lt;keyword&gt;Blood Glucose/metabolism&lt;/keyword&gt;&lt;keyword&gt;Body Height&lt;/keyword&gt;&lt;keyword&gt;Body Mass Index&lt;/keyword&gt;&lt;keyword&gt;Child&lt;/keyword&gt;&lt;keyword&gt;Cohort Studies&lt;/keyword&gt;&lt;keyword&gt;Female&lt;/keyword&gt;&lt;keyword&gt;Humans&lt;/keyword&gt;&lt;keyword&gt;Lipids/blood&lt;/keyword&gt;&lt;keyword&gt;Male&lt;/keyword&gt;&lt;keyword&gt;Middle Aged&lt;/keyword&gt;&lt;keyword&gt;Obesity/*complications/pathology/physiopathology&lt;/keyword&gt;&lt;keyword&gt;Prognosis&lt;/keyword&gt;&lt;keyword&gt;Prospective Studies&lt;/keyword&gt;&lt;keyword&gt;Risk Factors&lt;/keyword&gt;&lt;keyword&gt;Social Class&lt;/keyword&gt;&lt;/keywords&gt;&lt;dates&gt;&lt;year&gt;2001&lt;/year&gt;&lt;pub-dates&gt;&lt;date&gt;Dec 1&lt;/date&gt;&lt;/pub-dates&gt;&lt;/dates&gt;&lt;isbn&gt;0959-8138 (Print)&amp;#xD;0959-535X (Linking)&lt;/isbn&gt;&lt;accession-num&gt;11731390&lt;/accession-num&gt;&lt;urls&gt;&lt;related-urls&gt;&lt;url&gt;http://www.ncbi.nlm.nih.gov/pubmed/11731390&lt;/url&gt;&lt;/related-urls&gt;&lt;/urls&gt;&lt;custom2&gt;60301&lt;/custom2&gt;&lt;/record&gt;&lt;/Cite&gt;&lt;/EndNote&gt;</w:instrText>
      </w:r>
      <w:r w:rsidR="00C71026" w:rsidRPr="00296D0C">
        <w:rPr>
          <w:rFonts w:cs="Arial"/>
        </w:rPr>
        <w:fldChar w:fldCharType="end"/>
      </w:r>
      <w:r w:rsidR="00D91A26" w:rsidRPr="00D91A26">
        <w:rPr>
          <w:rFonts w:cs="Arial"/>
          <w:vertAlign w:val="superscript"/>
        </w:rPr>
        <w:t xml:space="preserve"> </w:t>
      </w:r>
      <w:r w:rsidRPr="00296D0C">
        <w:rPr>
          <w:rFonts w:cs="Arial"/>
        </w:rPr>
        <w:t xml:space="preserve">The analyses were based on the proportion of adults who were overweight or obese at age 50 years as a result of weight status at 9 and 13 years respectively. </w:t>
      </w:r>
    </w:p>
    <w:p w14:paraId="238DD60A" w14:textId="77777777" w:rsidR="00861557" w:rsidRPr="00497416" w:rsidRDefault="00861557" w:rsidP="006E30C7">
      <w:pPr>
        <w:spacing w:after="0" w:line="360" w:lineRule="auto"/>
        <w:rPr>
          <w:rFonts w:cs="Arial"/>
          <w:u w:val="single"/>
        </w:rPr>
      </w:pPr>
      <w:r w:rsidRPr="00497416">
        <w:rPr>
          <w:rFonts w:cs="Arial"/>
          <w:u w:val="single"/>
        </w:rPr>
        <w:t>Laitinen et al., 2001</w:t>
      </w:r>
    </w:p>
    <w:p w14:paraId="13590C03" w14:textId="4EC48840" w:rsidR="00861557" w:rsidRPr="00296D0C" w:rsidRDefault="00861557" w:rsidP="006E30C7">
      <w:pPr>
        <w:spacing w:after="0" w:line="360" w:lineRule="auto"/>
        <w:rPr>
          <w:rFonts w:cs="Arial"/>
        </w:rPr>
      </w:pPr>
      <w:r w:rsidRPr="00296D0C">
        <w:rPr>
          <w:rFonts w:cs="Arial"/>
        </w:rPr>
        <w:t xml:space="preserve">Laitinen et al. </w:t>
      </w:r>
      <w:r w:rsidR="00DC137F" w:rsidRPr="00296D0C">
        <w:rPr>
          <w:rFonts w:cs="Arial"/>
        </w:rPr>
        <w:fldChar w:fldCharType="begin"/>
      </w:r>
      <w:r w:rsidR="008C43BF">
        <w:rPr>
          <w:rFonts w:cs="Arial"/>
        </w:rPr>
        <w:instrText xml:space="preserve"> ADDIN EN.CITE &lt;EndNote&gt;&lt;Cite&gt;&lt;Author&gt;Laitinen&lt;/Author&gt;&lt;Year&gt;2001&lt;/Year&gt;&lt;RecNum&gt;125&lt;/RecNum&gt;&lt;DisplayText&gt;&lt;style face="superscript"&gt;86&lt;/style&gt;&lt;/DisplayText&gt;&lt;record&gt;&lt;rec-number&gt;125&lt;/rec-number&gt;&lt;foreign-keys&gt;&lt;key app="EN" db-id="2ewa9rrvjsdsawep2vpx5x97eedzzvxx5rta" timestamp="0"&gt;125&lt;/key&gt;&lt;/foreign-keys&gt;&lt;ref-type name="Journal Article"&gt;17&lt;/ref-type&gt;&lt;contributors&gt;&lt;authors&gt;&lt;author&gt;Laitinen, J.&lt;/author&gt;&lt;author&gt;Power, C.&lt;/author&gt;&lt;author&gt;Jarvelin, M. R.&lt;/author&gt;&lt;/authors&gt;&lt;/contributors&gt;&lt;auth-address&gt;Oulu Regional Institute of Occupational Health, Oulu, Finland. jaana.laitinen@occuphealth.fi&lt;/auth-address&gt;&lt;titles&gt;&lt;title&gt;Family social class, maternal body mass index, childhood body mass index, and age at menarche as predictors of adult obesity&lt;/title&gt;&lt;secondary-title&gt;Am J Clin Nutr&lt;/secondary-title&gt;&lt;/titles&gt;&lt;periodical&gt;&lt;full-title&gt;American Journal of Clinical Nutrition&lt;/full-title&gt;&lt;abbr-1&gt;Am. J. Clin. Nutr.&lt;/abbr-1&gt;&lt;abbr-2&gt;Am J Clin Nutr&lt;/abbr-2&gt;&lt;/periodical&gt;&lt;pages&gt;287-94&lt;/pages&gt;&lt;volume&gt;74&lt;/volume&gt;&lt;number&gt;3&lt;/number&gt;&lt;keywords&gt;&lt;keyword&gt;Adolescent&lt;/keyword&gt;&lt;keyword&gt;Adult&lt;/keyword&gt;&lt;keyword&gt;Age Factors&lt;/keyword&gt;&lt;keyword&gt;Birth Weight&lt;/keyword&gt;&lt;keyword&gt;Body Constitution&lt;/keyword&gt;&lt;keyword&gt;*Body Mass Index&lt;/keyword&gt;&lt;keyword&gt;Cohort Studies&lt;/keyword&gt;&lt;keyword&gt;Female&lt;/keyword&gt;&lt;keyword&gt;Finland/epidemiology&lt;/keyword&gt;&lt;keyword&gt;Humans&lt;/keyword&gt;&lt;keyword&gt;Infant&lt;/keyword&gt;&lt;keyword&gt;Infant, Newborn&lt;/keyword&gt;&lt;keyword&gt;Longitudinal Studies&lt;/keyword&gt;&lt;keyword&gt;Male&lt;/keyword&gt;&lt;keyword&gt;*Menarche&lt;/keyword&gt;&lt;keyword&gt;Obesity/epidemiology/*etiology&lt;/keyword&gt;&lt;keyword&gt;Prevalence&lt;/keyword&gt;&lt;keyword&gt;Probability&lt;/keyword&gt;&lt;keyword&gt;Research Support, Non-U.S. Gov&amp;apos;t&lt;/keyword&gt;&lt;keyword&gt;*Social Class&lt;/keyword&gt;&lt;/keywords&gt;&lt;dates&gt;&lt;year&gt;2001&lt;/year&gt;&lt;pub-dates&gt;&lt;date&gt;Sep&lt;/date&gt;&lt;/pub-dates&gt;&lt;/dates&gt;&lt;accession-num&gt;11522550&lt;/accession-num&gt;&lt;urls&gt;&lt;related-urls&gt;&lt;url&gt;http://www.ncbi.nlm.nih.gov/entrez/query.fcgi?cmd=Retrieve&amp;amp;db=PubMed&amp;amp;dopt=Citation&amp;amp;list_uids=11522550 &lt;/url&gt;&lt;/related-urls&gt;&lt;/urls&gt;&lt;/record&gt;&lt;/Cite&gt;&lt;/EndNote&gt;</w:instrText>
      </w:r>
      <w:r w:rsidR="00DC137F" w:rsidRPr="00296D0C">
        <w:rPr>
          <w:rFonts w:cs="Arial"/>
        </w:rPr>
        <w:fldChar w:fldCharType="separate"/>
      </w:r>
      <w:r w:rsidR="008C43BF" w:rsidRPr="008C43BF">
        <w:rPr>
          <w:rFonts w:cs="Arial"/>
          <w:noProof/>
          <w:vertAlign w:val="superscript"/>
        </w:rPr>
        <w:t>86</w:t>
      </w:r>
      <w:r w:rsidR="00DC137F" w:rsidRPr="00296D0C">
        <w:rPr>
          <w:rFonts w:cs="Arial"/>
        </w:rPr>
        <w:fldChar w:fldCharType="end"/>
      </w:r>
      <w:r w:rsidR="00EE036F" w:rsidRPr="00296D0C">
        <w:rPr>
          <w:rFonts w:cs="Arial"/>
        </w:rPr>
        <w:t xml:space="preserve"> </w:t>
      </w:r>
      <w:r w:rsidRPr="00296D0C">
        <w:rPr>
          <w:rFonts w:cs="Arial"/>
        </w:rPr>
        <w:t xml:space="preserve">followed a cohort of children from birth year 1966 in northern Finland. Height and weight measurements were taken at birth, and at 1, 14, and 31 years of age.  Data at 14 years were obtained from a questionnaire that was sent to participants and </w:t>
      </w:r>
      <w:r w:rsidR="009D1C7F" w:rsidRPr="00296D0C">
        <w:rPr>
          <w:rFonts w:cs="Arial"/>
        </w:rPr>
        <w:t>follow up</w:t>
      </w:r>
      <w:r w:rsidRPr="00296D0C">
        <w:rPr>
          <w:rFonts w:cs="Arial"/>
        </w:rPr>
        <w:t xml:space="preserve"> </w:t>
      </w:r>
      <w:r w:rsidR="00BE60C7" w:rsidRPr="00296D0C">
        <w:rPr>
          <w:rFonts w:cs="Arial"/>
        </w:rPr>
        <w:t xml:space="preserve">data </w:t>
      </w:r>
      <w:r w:rsidRPr="00296D0C">
        <w:rPr>
          <w:rFonts w:cs="Arial"/>
        </w:rPr>
        <w:t>at 31 years (1997–1998) were obtained from a questionnaire, a clinical examination, or both.  Adolescence (age 14 years) overweight was defined as a BMI ≥85th to &lt;95th percentile and obesity as a BMI ≥95th percentile. Adult BMI at 31 y</w:t>
      </w:r>
      <w:r w:rsidR="004C3670">
        <w:rPr>
          <w:rFonts w:cs="Arial"/>
        </w:rPr>
        <w:t>ears</w:t>
      </w:r>
      <w:r w:rsidRPr="00296D0C">
        <w:rPr>
          <w:rFonts w:cs="Arial"/>
        </w:rPr>
        <w:t xml:space="preserve"> was classified as follows: underweight (&lt;18.5), normal weight (18.5–24.9), overweight (25.0–29.9), and obese (≥30.0).  The analysis was restricted to individuals for whom BMI data were available for all measurement points (n</w:t>
      </w:r>
      <w:r w:rsidR="00890008" w:rsidRPr="00296D0C">
        <w:rPr>
          <w:rFonts w:cs="Arial"/>
        </w:rPr>
        <w:t xml:space="preserve"> </w:t>
      </w:r>
      <w:r w:rsidRPr="00296D0C">
        <w:rPr>
          <w:rFonts w:cs="Arial"/>
        </w:rPr>
        <w:t>=</w:t>
      </w:r>
      <w:r w:rsidR="00890008" w:rsidRPr="00296D0C">
        <w:rPr>
          <w:rFonts w:cs="Arial"/>
        </w:rPr>
        <w:t xml:space="preserve"> </w:t>
      </w:r>
      <w:r w:rsidRPr="00296D0C">
        <w:rPr>
          <w:rFonts w:cs="Arial"/>
        </w:rPr>
        <w:t xml:space="preserve">2,876 males and </w:t>
      </w:r>
      <w:r w:rsidR="00BE60C7" w:rsidRPr="00296D0C">
        <w:rPr>
          <w:rFonts w:cs="Arial"/>
        </w:rPr>
        <w:t>n</w:t>
      </w:r>
      <w:r w:rsidR="00890008" w:rsidRPr="00296D0C">
        <w:rPr>
          <w:rFonts w:cs="Arial"/>
        </w:rPr>
        <w:t xml:space="preserve"> </w:t>
      </w:r>
      <w:r w:rsidR="00BE60C7" w:rsidRPr="00296D0C">
        <w:rPr>
          <w:rFonts w:cs="Arial"/>
        </w:rPr>
        <w:t xml:space="preserve">= </w:t>
      </w:r>
      <w:r w:rsidRPr="00296D0C">
        <w:rPr>
          <w:rFonts w:cs="Arial"/>
        </w:rPr>
        <w:t xml:space="preserve">3,404 females). </w:t>
      </w:r>
    </w:p>
    <w:p w14:paraId="5A2E826A" w14:textId="77777777" w:rsidR="00861557" w:rsidRPr="00497416" w:rsidRDefault="00861557" w:rsidP="006E30C7">
      <w:pPr>
        <w:spacing w:after="0" w:line="360" w:lineRule="auto"/>
        <w:rPr>
          <w:rFonts w:cs="Arial"/>
          <w:u w:val="single"/>
        </w:rPr>
      </w:pPr>
      <w:r w:rsidRPr="00497416">
        <w:rPr>
          <w:rFonts w:cs="Arial"/>
          <w:u w:val="single"/>
        </w:rPr>
        <w:t>Venn et al., 2007</w:t>
      </w:r>
    </w:p>
    <w:p w14:paraId="454E069B" w14:textId="3AC10781" w:rsidR="00861557" w:rsidRPr="00296D0C" w:rsidRDefault="00861557" w:rsidP="006E30C7">
      <w:pPr>
        <w:spacing w:after="0" w:line="360" w:lineRule="auto"/>
        <w:rPr>
          <w:rFonts w:cs="Arial"/>
        </w:rPr>
      </w:pPr>
      <w:r w:rsidRPr="00296D0C">
        <w:rPr>
          <w:rFonts w:cs="Arial"/>
        </w:rPr>
        <w:t xml:space="preserve">Venn et al. </w:t>
      </w:r>
      <w:r w:rsidR="00DC137F" w:rsidRPr="00296D0C">
        <w:rPr>
          <w:rFonts w:cs="Arial"/>
        </w:rPr>
        <w:fldChar w:fldCharType="begin"/>
      </w:r>
      <w:r w:rsidR="008C43BF">
        <w:rPr>
          <w:rFonts w:cs="Arial"/>
        </w:rPr>
        <w:instrText xml:space="preserve"> ADDIN EN.CITE &lt;EndNote&gt;&lt;Cite&gt;&lt;Author&gt;Venn&lt;/Author&gt;&lt;Year&gt;2007&lt;/Year&gt;&lt;RecNum&gt;5773&lt;/RecNum&gt;&lt;DisplayText&gt;&lt;style face="superscript"&gt;75&lt;/style&gt;&lt;/DisplayText&gt;&lt;record&gt;&lt;rec-number&gt;5773&lt;/rec-number&gt;&lt;foreign-keys&gt;&lt;key app="EN" db-id="2ewa9rrvjsdsawep2vpx5x97eedzzvxx5rta" timestamp="1478679952"&gt;5773&lt;/key&gt;&lt;/foreign-keys&gt;&lt;ref-type name="Journal Article"&gt;17&lt;/ref-type&gt;&lt;contributors&gt;&lt;authors&gt;&lt;author&gt;Venn, A. J.&lt;/author&gt;&lt;author&gt;Thomson, R. J.&lt;/author&gt;&lt;author&gt;Schmidt, M. D.&lt;/author&gt;&lt;author&gt;Cleland, V. J.&lt;/author&gt;&lt;author&gt;Curry, B. A.&lt;/author&gt;&lt;author&gt;Gennat, H. C.&lt;/author&gt;&lt;author&gt;Dwyer, T.&lt;/author&gt;&lt;/authors&gt;&lt;/contributors&gt;&lt;auth-address&gt;Menzies Research Institute, Hobart, Tasmania, Australia. Alison.Venn@utas.edu.au&lt;/auth-address&gt;&lt;titles&gt;&lt;title&gt;Overweight and obesity from childhood to adulthood: a follow-up of participants in the 1985 Australian Schools Health and Fitness Survey&lt;/title&gt;&lt;secondary-title&gt;Med J Aust&lt;/secondary-title&gt;&lt;/titles&gt;&lt;periodical&gt;&lt;full-title&gt;Medical Journal of Australia&lt;/full-title&gt;&lt;abbr-1&gt;Med. J. Aust.&lt;/abbr-1&gt;&lt;abbr-2&gt;Med J Aust&lt;/abbr-2&gt;&lt;/periodical&gt;&lt;pages&gt;458-60&lt;/pages&gt;&lt;volume&gt;186&lt;/volume&gt;&lt;number&gt;9&lt;/number&gt;&lt;keywords&gt;&lt;keyword&gt;Adolescent&lt;/keyword&gt;&lt;keyword&gt;Adult&lt;/keyword&gt;&lt;keyword&gt;Australia/epidemiology&lt;/keyword&gt;&lt;keyword&gt;Body Height&lt;/keyword&gt;&lt;keyword&gt;Body Mass Index&lt;/keyword&gt;&lt;keyword&gt;Child&lt;/keyword&gt;&lt;keyword&gt;Cohort Studies&lt;/keyword&gt;&lt;keyword&gt;Female&lt;/keyword&gt;&lt;keyword&gt;Follow-Up Studies&lt;/keyword&gt;&lt;keyword&gt;Health Surveys&lt;/keyword&gt;&lt;keyword&gt;Humans&lt;/keyword&gt;&lt;keyword&gt;Male&lt;/keyword&gt;&lt;keyword&gt;Obesity/*epidemiology&lt;/keyword&gt;&lt;keyword&gt;*Overweight&lt;/keyword&gt;&lt;keyword&gt;Prevalence&lt;/keyword&gt;&lt;/keywords&gt;&lt;dates&gt;&lt;year&gt;2007&lt;/year&gt;&lt;pub-dates&gt;&lt;date&gt;May 7&lt;/date&gt;&lt;/pub-dates&gt;&lt;/dates&gt;&lt;isbn&gt;0025-729X (Print)&amp;#xD;0025-729X (Linking)&lt;/isbn&gt;&lt;accession-num&gt;17484707&lt;/accession-num&gt;&lt;urls&gt;&lt;related-urls&gt;&lt;url&gt;http://www.ncbi.nlm.nih.gov/pubmed/17484707&lt;/url&gt;&lt;/related-urls&gt;&lt;/urls&gt;&lt;/record&gt;&lt;/Cite&gt;&lt;/EndNote&gt;</w:instrText>
      </w:r>
      <w:r w:rsidR="00DC137F" w:rsidRPr="00296D0C">
        <w:rPr>
          <w:rFonts w:cs="Arial"/>
        </w:rPr>
        <w:fldChar w:fldCharType="separate"/>
      </w:r>
      <w:r w:rsidR="008C43BF" w:rsidRPr="008C43BF">
        <w:rPr>
          <w:rFonts w:cs="Arial"/>
          <w:noProof/>
          <w:vertAlign w:val="superscript"/>
        </w:rPr>
        <w:t>75</w:t>
      </w:r>
      <w:r w:rsidR="00DC137F" w:rsidRPr="00296D0C">
        <w:rPr>
          <w:rFonts w:cs="Arial"/>
        </w:rPr>
        <w:fldChar w:fldCharType="end"/>
      </w:r>
      <w:r w:rsidR="00EE036F" w:rsidRPr="00296D0C">
        <w:rPr>
          <w:rFonts w:cs="Arial"/>
        </w:rPr>
        <w:t xml:space="preserve"> </w:t>
      </w:r>
      <w:r w:rsidRPr="00296D0C">
        <w:rPr>
          <w:rFonts w:cs="Arial"/>
        </w:rPr>
        <w:t xml:space="preserve">examined overweight and obesity in Australian children followed through to adulthood. A cohort study of 8,498 children aged 7 to 15 years who participated in the 1985 Australian Schools Health and Fitness Survey.  Of these, 4,571 completed a </w:t>
      </w:r>
      <w:r w:rsidR="009D1C7F" w:rsidRPr="00296D0C">
        <w:rPr>
          <w:rFonts w:cs="Arial"/>
        </w:rPr>
        <w:t>follow up</w:t>
      </w:r>
      <w:r w:rsidRPr="00296D0C">
        <w:rPr>
          <w:rFonts w:cs="Arial"/>
        </w:rPr>
        <w:t xml:space="preserve"> questionnaire at age 24–34 years in 2001–2005.  Height and weight were measured in 1985, and self-reported at </w:t>
      </w:r>
      <w:r w:rsidR="009D1C7F" w:rsidRPr="00296D0C">
        <w:rPr>
          <w:rFonts w:cs="Arial"/>
        </w:rPr>
        <w:t>follow up</w:t>
      </w:r>
      <w:r w:rsidRPr="00296D0C">
        <w:rPr>
          <w:rFonts w:cs="Arial"/>
        </w:rPr>
        <w:t>.  The accuracy of self-reported data was checked in 1,185 participants.  Overweight and obesity in childhood were defined according to international standard definitions for BMI, and, in adulthood, as a BMI of 25–29.9 and ≥30kg/m</w:t>
      </w:r>
      <w:r w:rsidRPr="00296D0C">
        <w:rPr>
          <w:rFonts w:cs="Arial"/>
          <w:vertAlign w:val="superscript"/>
        </w:rPr>
        <w:t>2</w:t>
      </w:r>
      <w:r w:rsidRPr="00296D0C">
        <w:rPr>
          <w:rFonts w:cs="Arial"/>
        </w:rPr>
        <w:t xml:space="preserve">, respectively, after correcting for self-report error. </w:t>
      </w:r>
    </w:p>
    <w:p w14:paraId="5D6049F0" w14:textId="1DF8E538" w:rsidR="00861557" w:rsidRPr="00296D0C" w:rsidRDefault="00861557" w:rsidP="00312529">
      <w:pPr>
        <w:rPr>
          <w:rFonts w:cs="Arial"/>
          <w:b/>
          <w:i/>
        </w:rPr>
      </w:pPr>
      <w:r w:rsidRPr="00296D0C">
        <w:rPr>
          <w:rFonts w:cs="Arial"/>
          <w:b/>
          <w:i/>
        </w:rPr>
        <w:t>Summary</w:t>
      </w:r>
    </w:p>
    <w:p w14:paraId="52017007" w14:textId="5BE9BB6E" w:rsidR="00861557" w:rsidRPr="00296D0C" w:rsidRDefault="00861557" w:rsidP="000D0114">
      <w:pPr>
        <w:spacing w:after="0" w:line="360" w:lineRule="auto"/>
        <w:rPr>
          <w:rFonts w:cs="Arial"/>
        </w:rPr>
      </w:pPr>
      <w:r w:rsidRPr="00296D0C">
        <w:rPr>
          <w:rFonts w:cs="Arial"/>
        </w:rPr>
        <w:t xml:space="preserve">The longitudinal studies identified here presented data on tracking of weight status from childhood into adulthood. The results presented for each of the identified studies indicate that childhood overweight/obesity persists into adulthood, endorsing the broader evidence base which supports </w:t>
      </w:r>
      <w:r w:rsidRPr="00296D0C">
        <w:rPr>
          <w:rFonts w:cs="Arial"/>
        </w:rPr>
        <w:lastRenderedPageBreak/>
        <w:t>the use of childhood weight status as a strong predictor of adult weight status, in a policy context (e.g. Whitaker et al</w:t>
      </w:r>
      <w:r w:rsidR="00AA5D61" w:rsidRPr="00296D0C">
        <w:rPr>
          <w:rFonts w:cs="Arial"/>
        </w:rPr>
        <w:t>.</w:t>
      </w:r>
      <w:r w:rsidRPr="00296D0C">
        <w:rPr>
          <w:rFonts w:cs="Arial"/>
        </w:rPr>
        <w:t>, 1997</w:t>
      </w:r>
      <w:r w:rsidR="00DC137F" w:rsidRPr="00296D0C">
        <w:rPr>
          <w:rFonts w:cs="Arial"/>
        </w:rPr>
        <w:t xml:space="preserve"> </w:t>
      </w:r>
      <w:r w:rsidR="00DC137F" w:rsidRPr="00296D0C">
        <w:rPr>
          <w:rFonts w:cs="Arial"/>
        </w:rPr>
        <w:fldChar w:fldCharType="begin"/>
      </w:r>
      <w:r w:rsidR="008C43BF">
        <w:rPr>
          <w:rFonts w:cs="Arial"/>
        </w:rPr>
        <w:instrText xml:space="preserve"> ADDIN EN.CITE &lt;EndNote&gt;&lt;Cite&gt;&lt;Author&gt;Whitaker&lt;/Author&gt;&lt;Year&gt;1997&lt;/Year&gt;&lt;RecNum&gt;5775&lt;/RecNum&gt;&lt;DisplayText&gt;&lt;style face="superscript"&gt;82&lt;/style&gt;&lt;/DisplayText&gt;&lt;record&gt;&lt;rec-number&gt;5775&lt;/rec-number&gt;&lt;foreign-keys&gt;&lt;key app="EN" db-id="2ewa9rrvjsdsawep2vpx5x97eedzzvxx5rta" timestamp="0"&gt;5775&lt;/key&gt;&lt;/foreign-keys&gt;&lt;ref-type name="Journal Article"&gt;17&lt;/ref-type&gt;&lt;contributors&gt;&lt;authors&gt;&lt;author&gt;Whitaker, R. C.&lt;/author&gt;&lt;author&gt;Wright, J. A.&lt;/author&gt;&lt;author&gt;Pepe, M. S.&lt;/author&gt;&lt;author&gt;Seidel, K. D.&lt;/author&gt;&lt;author&gt;Dietz, W. H.&lt;/author&gt;&lt;/authors&gt;&lt;/contributors&gt;&lt;auth-address&gt;Department of Pediatrics, Children&amp;apos;s Hospital Medical Center and the University of Cincinnati College of Medicine, OH 45229-3039, USA.&lt;/auth-address&gt;&lt;titles&gt;&lt;title&gt;Predicting obesity in young adulthood from childhood and parental obesity&lt;/title&gt;&lt;secondary-title&gt;N Engl J Med&lt;/secondary-title&gt;&lt;/titles&gt;&lt;periodical&gt;&lt;full-title&gt;The New England Journal of Medicine&lt;/full-title&gt;&lt;abbr-1&gt;N Engl J Med&lt;/abbr-1&gt;&lt;/periodical&gt;&lt;pages&gt;869-73&lt;/pages&gt;&lt;volume&gt;337&lt;/volume&gt;&lt;number&gt;13&lt;/number&gt;&lt;keywords&gt;&lt;keyword&gt;Adolescent&lt;/keyword&gt;&lt;keyword&gt;Adult&lt;/keyword&gt;&lt;keyword&gt;Age Factors&lt;/keyword&gt;&lt;keyword&gt;Body Mass Index&lt;/keyword&gt;&lt;keyword&gt;Child&lt;/keyword&gt;&lt;keyword&gt;Child, Preschool&lt;/keyword&gt;&lt;keyword&gt;Cohort Studies&lt;/keyword&gt;&lt;keyword&gt;Female&lt;/keyword&gt;&lt;keyword&gt;Humans&lt;/keyword&gt;&lt;keyword&gt;Infant&lt;/keyword&gt;&lt;keyword&gt;Male&lt;/keyword&gt;&lt;keyword&gt;Obesity/*etiology/genetics&lt;/keyword&gt;&lt;keyword&gt;Odds Ratio&lt;/keyword&gt;&lt;keyword&gt;Parents&lt;/keyword&gt;&lt;keyword&gt;Retrospective Studies&lt;/keyword&gt;&lt;keyword&gt;Risk Factors&lt;/keyword&gt;&lt;/keywords&gt;&lt;dates&gt;&lt;year&gt;1997&lt;/year&gt;&lt;pub-dates&gt;&lt;date&gt;Sep 25&lt;/date&gt;&lt;/pub-dates&gt;&lt;/dates&gt;&lt;isbn&gt;0028-4793 (Print)&amp;#xD;0028-4793 (Linking)&lt;/isbn&gt;&lt;accession-num&gt;9302300&lt;/accession-num&gt;&lt;urls&gt;&lt;related-urls&gt;&lt;url&gt;http://www.ncbi.nlm.nih.gov/pubmed/9302300&lt;/url&gt;&lt;/related-urls&gt;&lt;/urls&gt;&lt;electronic-resource-num&gt;10.1056/NEJM199709253371301&lt;/electronic-resource-num&gt;&lt;/record&gt;&lt;/Cite&gt;&lt;/EndNote&gt;</w:instrText>
      </w:r>
      <w:r w:rsidR="00DC137F" w:rsidRPr="00296D0C">
        <w:rPr>
          <w:rFonts w:cs="Arial"/>
        </w:rPr>
        <w:fldChar w:fldCharType="separate"/>
      </w:r>
      <w:r w:rsidR="008C43BF" w:rsidRPr="008C43BF">
        <w:rPr>
          <w:rFonts w:cs="Arial"/>
          <w:noProof/>
          <w:vertAlign w:val="superscript"/>
        </w:rPr>
        <w:t>82</w:t>
      </w:r>
      <w:r w:rsidR="00DC137F" w:rsidRPr="00296D0C">
        <w:rPr>
          <w:rFonts w:cs="Arial"/>
        </w:rPr>
        <w:fldChar w:fldCharType="end"/>
      </w:r>
      <w:r w:rsidRPr="00296D0C">
        <w:rPr>
          <w:rFonts w:cs="Arial"/>
        </w:rPr>
        <w:t xml:space="preserve">). There were methodological differences between the included studies; e.g. the number of participants included in the studies, the ages at which authors predicted weight status to and from, prevalence of overweight and obese across the studies, the thresholds used to define weight status as a child, centile categories used to describe the distribution of weight status, and the growth reference population.  All studies have limitations, however the studies are considered to be high quality longitudinal studies.  </w:t>
      </w:r>
    </w:p>
    <w:p w14:paraId="5CBCB4E1" w14:textId="77777777" w:rsidR="002F3D51" w:rsidRPr="00296D0C" w:rsidRDefault="002F3D51" w:rsidP="000D0114">
      <w:pPr>
        <w:spacing w:after="0" w:line="360" w:lineRule="auto"/>
        <w:rPr>
          <w:rFonts w:cs="Arial"/>
        </w:rPr>
      </w:pPr>
    </w:p>
    <w:p w14:paraId="1C338F57" w14:textId="0285571F" w:rsidR="00861557" w:rsidRPr="00296D0C" w:rsidRDefault="00861557" w:rsidP="000D0114">
      <w:pPr>
        <w:spacing w:after="0" w:line="360" w:lineRule="auto"/>
        <w:rPr>
          <w:rFonts w:cs="Arial"/>
        </w:rPr>
      </w:pPr>
      <w:r w:rsidRPr="00296D0C">
        <w:rPr>
          <w:rFonts w:cs="Arial"/>
        </w:rPr>
        <w:t xml:space="preserve">Data from each of these four longitudinal studies have been used to predict adult weight status by childhood weight status, represented in the form of transition probabilities across the defined child to adult weight status categories (see Table </w:t>
      </w:r>
      <w:r w:rsidR="009463BC" w:rsidRPr="00296D0C">
        <w:rPr>
          <w:rFonts w:cs="Arial"/>
        </w:rPr>
        <w:t>2</w:t>
      </w:r>
      <w:r w:rsidR="00472BD5">
        <w:rPr>
          <w:rFonts w:cs="Arial"/>
        </w:rPr>
        <w:t>7</w:t>
      </w:r>
      <w:r w:rsidRPr="00296D0C">
        <w:rPr>
          <w:rFonts w:cs="Arial"/>
        </w:rPr>
        <w:t>).  For Stage 1 of the Exeter Obesity Model transition probabilities derived from the longitudinal data reported by Pow</w:t>
      </w:r>
      <w:r w:rsidR="00C800FF" w:rsidRPr="00296D0C">
        <w:rPr>
          <w:rFonts w:cs="Arial"/>
        </w:rPr>
        <w:t>er et al</w:t>
      </w:r>
      <w:r w:rsidR="001A55B7" w:rsidRPr="00296D0C">
        <w:rPr>
          <w:rFonts w:cs="Arial"/>
        </w:rPr>
        <w:t>.,</w:t>
      </w:r>
      <w:r w:rsidR="00C800FF" w:rsidRPr="00296D0C">
        <w:rPr>
          <w:rFonts w:cs="Arial"/>
        </w:rPr>
        <w:t xml:space="preserve"> 1997</w:t>
      </w:r>
      <w:r w:rsidR="00DC137F" w:rsidRPr="00296D0C">
        <w:rPr>
          <w:rFonts w:cs="Arial"/>
        </w:rPr>
        <w:t xml:space="preserve"> </w:t>
      </w:r>
      <w:r w:rsidR="00DC137F" w:rsidRPr="00296D0C">
        <w:rPr>
          <w:rFonts w:cs="Arial"/>
        </w:rPr>
        <w:fldChar w:fldCharType="begin"/>
      </w:r>
      <w:r w:rsidR="008C43BF">
        <w:rPr>
          <w:rFonts w:cs="Arial"/>
        </w:rPr>
        <w:instrText xml:space="preserve"> ADDIN EN.CITE &lt;EndNote&gt;&lt;Cite&gt;&lt;Author&gt;Power&lt;/Author&gt;&lt;Year&gt;1997&lt;/Year&gt;&lt;RecNum&gt;5762&lt;/RecNum&gt;&lt;DisplayText&gt;&lt;style face="superscript"&gt;76&lt;/style&gt;&lt;/DisplayText&gt;&lt;record&gt;&lt;rec-number&gt;5762&lt;/rec-number&gt;&lt;foreign-keys&gt;&lt;key app="EN" db-id="2ewa9rrvjsdsawep2vpx5x97eedzzvxx5rta" timestamp="1478679952"&gt;5762&lt;/key&gt;&lt;/foreign-keys&gt;&lt;ref-type name="Journal Article"&gt;17&lt;/ref-type&gt;&lt;contributors&gt;&lt;authors&gt;&lt;author&gt;Power, C.&lt;/author&gt;&lt;author&gt;Hertzman, C.&lt;/author&gt;&lt;author&gt;Matthews, S.&lt;/author&gt;&lt;author&gt;Manor, O.&lt;/author&gt;&lt;/authors&gt;&lt;/contributors&gt;&lt;auth-address&gt;Department of Epidemiology and Biostatistics, Institute of Child Health, London, England.&lt;/auth-address&gt;&lt;titles&gt;&lt;title&gt;Social differences in health: life-cycle effects between ages 23 and 33 in the 1958 British birth cohort&lt;/title&gt;&lt;secondary-title&gt;Am J Public Health&lt;/secondary-title&gt;&lt;/titles&gt;&lt;periodical&gt;&lt;full-title&gt;American Journal of Public Health&lt;/full-title&gt;&lt;abbr-1&gt;Am. J. Public Health&lt;/abbr-1&gt;&lt;abbr-2&gt;Am J Public Health&lt;/abbr-2&gt;&lt;/periodical&gt;&lt;pages&gt;1499-503&lt;/pages&gt;&lt;volume&gt;87&lt;/volume&gt;&lt;number&gt;9&lt;/number&gt;&lt;keywords&gt;&lt;keyword&gt;Adult&lt;/keyword&gt;&lt;keyword&gt;Aging&lt;/keyword&gt;&lt;keyword&gt;Asthma/epidemiology&lt;/keyword&gt;&lt;keyword&gt;Cohort Studies&lt;/keyword&gt;&lt;keyword&gt;Female&lt;/keyword&gt;&lt;keyword&gt;Great Britain/epidemiology&lt;/keyword&gt;&lt;keyword&gt;*Health Status&lt;/keyword&gt;&lt;keyword&gt;Humans&lt;/keyword&gt;&lt;keyword&gt;Male&lt;/keyword&gt;&lt;keyword&gt;Obesity/epidemiology&lt;/keyword&gt;&lt;keyword&gt;Prevalence&lt;/keyword&gt;&lt;keyword&gt;Sex Factors&lt;/keyword&gt;&lt;keyword&gt;*Social Class&lt;/keyword&gt;&lt;/keywords&gt;&lt;dates&gt;&lt;year&gt;1997&lt;/year&gt;&lt;pub-dates&gt;&lt;date&gt;Sep&lt;/date&gt;&lt;/pub-dates&gt;&lt;/dates&gt;&lt;isbn&gt;0090-0036 (Print)&amp;#xD;0090-0036 (Linking)&lt;/isbn&gt;&lt;accession-num&gt;9314803&lt;/accession-num&gt;&lt;urls&gt;&lt;related-urls&gt;&lt;url&gt;http://www.ncbi.nlm.nih.gov/pubmed/9314803&lt;/url&gt;&lt;/related-urls&gt;&lt;/urls&gt;&lt;custom2&gt;1380976&lt;/custom2&gt;&lt;/record&gt;&lt;/Cite&gt;&lt;/EndNote&gt;</w:instrText>
      </w:r>
      <w:r w:rsidR="00DC137F" w:rsidRPr="00296D0C">
        <w:rPr>
          <w:rFonts w:cs="Arial"/>
        </w:rPr>
        <w:fldChar w:fldCharType="separate"/>
      </w:r>
      <w:r w:rsidR="008C43BF" w:rsidRPr="008C43BF">
        <w:rPr>
          <w:rFonts w:cs="Arial"/>
          <w:noProof/>
          <w:vertAlign w:val="superscript"/>
        </w:rPr>
        <w:t>76</w:t>
      </w:r>
      <w:r w:rsidR="00DC137F" w:rsidRPr="00296D0C">
        <w:rPr>
          <w:rFonts w:cs="Arial"/>
        </w:rPr>
        <w:fldChar w:fldCharType="end"/>
      </w:r>
      <w:r w:rsidR="00C800FF" w:rsidRPr="00296D0C">
        <w:rPr>
          <w:rFonts w:cs="Arial"/>
        </w:rPr>
        <w:t xml:space="preserve">, for </w:t>
      </w:r>
      <w:r w:rsidRPr="00296D0C">
        <w:rPr>
          <w:rFonts w:cs="Arial"/>
        </w:rPr>
        <w:t>the 1958 British birth cohort, are used in the base case analysis (model structure); predicting the proportions of children (aged 11-12 years) expected to be healthy weight, overweight, or obese at 33 years.  These probabilities were applied to the distribution of children at the start of the model, ex</w:t>
      </w:r>
      <w:r w:rsidR="00C800FF" w:rsidRPr="00296D0C">
        <w:rPr>
          <w:rFonts w:cs="Arial"/>
        </w:rPr>
        <w:t xml:space="preserve">pected to be informed by the 24 </w:t>
      </w:r>
      <w:r w:rsidRPr="00296D0C">
        <w:rPr>
          <w:rFonts w:cs="Arial"/>
        </w:rPr>
        <w:t xml:space="preserve">month </w:t>
      </w:r>
      <w:r w:rsidR="009D1C7F" w:rsidRPr="00296D0C">
        <w:rPr>
          <w:rFonts w:cs="Arial"/>
        </w:rPr>
        <w:t>follow up</w:t>
      </w:r>
      <w:r w:rsidRPr="00296D0C">
        <w:rPr>
          <w:rFonts w:cs="Arial"/>
        </w:rPr>
        <w:t xml:space="preserve"> data in the </w:t>
      </w:r>
      <w:r w:rsidR="009D1C7F" w:rsidRPr="00296D0C">
        <w:rPr>
          <w:rFonts w:cs="Arial"/>
        </w:rPr>
        <w:t>HeLP study</w:t>
      </w:r>
      <w:r w:rsidRPr="00296D0C">
        <w:rPr>
          <w:rFonts w:cs="Arial"/>
        </w:rPr>
        <w:t>, in order to predict the expected distribution of the cohort by adult weight status at the age of 33 years.</w:t>
      </w:r>
    </w:p>
    <w:p w14:paraId="55540B17" w14:textId="77777777" w:rsidR="002F3D51" w:rsidRPr="00296D0C" w:rsidRDefault="002F3D51" w:rsidP="000D0114">
      <w:pPr>
        <w:spacing w:after="0" w:line="360" w:lineRule="auto"/>
        <w:rPr>
          <w:rFonts w:cs="Arial"/>
        </w:rPr>
      </w:pPr>
    </w:p>
    <w:p w14:paraId="010ECB6F" w14:textId="506BE308" w:rsidR="00861557" w:rsidRPr="00296D0C" w:rsidRDefault="00861557" w:rsidP="000D0114">
      <w:pPr>
        <w:spacing w:after="0" w:line="360" w:lineRule="auto"/>
        <w:rPr>
          <w:rFonts w:cs="Arial"/>
        </w:rPr>
      </w:pPr>
      <w:r w:rsidRPr="00296D0C">
        <w:rPr>
          <w:rFonts w:cs="Arial"/>
        </w:rPr>
        <w:t>Data from Wright et al.</w:t>
      </w:r>
      <w:r w:rsidR="00AA5D61" w:rsidRPr="00296D0C">
        <w:rPr>
          <w:rFonts w:cs="Arial"/>
        </w:rPr>
        <w:t>,</w:t>
      </w:r>
      <w:r w:rsidRPr="00296D0C">
        <w:rPr>
          <w:rFonts w:cs="Arial"/>
        </w:rPr>
        <w:t xml:space="preserve"> 2001 (British cohort data to age 50 years)</w:t>
      </w:r>
      <w:r w:rsidR="00DC137F" w:rsidRPr="00296D0C">
        <w:rPr>
          <w:rFonts w:cs="Arial"/>
        </w:rPr>
        <w:t xml:space="preserve"> </w:t>
      </w:r>
      <w:r w:rsidR="00DC137F" w:rsidRPr="00296D0C">
        <w:rPr>
          <w:rFonts w:cs="Arial"/>
        </w:rPr>
        <w:fldChar w:fldCharType="begin"/>
      </w:r>
      <w:r w:rsidR="008C43BF">
        <w:rPr>
          <w:rFonts w:cs="Arial"/>
        </w:rPr>
        <w:instrText xml:space="preserve"> ADDIN EN.CITE &lt;EndNote&gt;&lt;Cite&gt;&lt;Author&gt;Wright&lt;/Author&gt;&lt;Year&gt;2001&lt;/Year&gt;&lt;RecNum&gt;5776&lt;/RecNum&gt;&lt;DisplayText&gt;&lt;style face="superscript"&gt;71&lt;/style&gt;&lt;/DisplayText&gt;&lt;record&gt;&lt;rec-number&gt;5776&lt;/rec-number&gt;&lt;foreign-keys&gt;&lt;key app="EN" db-id="2ewa9rrvjsdsawep2vpx5x97eedzzvxx5rta" timestamp="1478679952"&gt;5776&lt;/key&gt;&lt;/foreign-keys&gt;&lt;ref-type name="Journal Article"&gt;17&lt;/ref-type&gt;&lt;contributors&gt;&lt;authors&gt;&lt;author&gt;Wright, C. M.&lt;/author&gt;&lt;author&gt;Parker, L.&lt;/author&gt;&lt;author&gt;Lamont, D.&lt;/author&gt;&lt;author&gt;Craft, A. W.&lt;/author&gt;&lt;/authors&gt;&lt;/contributors&gt;&lt;auth-address&gt;University of Newcastle upon Tyne, Gateshead, NE8 1EB, UK. C.M.Wright@Newcastle.ac.uk&lt;/auth-address&gt;&lt;titles&gt;&lt;title&gt;Implications of childhood obesity for adult health: findings from thousand families cohort study&lt;/title&gt;&lt;secondary-title&gt;BMJ&lt;/secondary-title&gt;&lt;/titles&gt;&lt;periodical&gt;&lt;full-title&gt;BMJ&lt;/full-title&gt;&lt;abbr-1&gt;BMJ&lt;/abbr-1&gt;&lt;abbr-2&gt;BMJ&lt;/abbr-2&gt;&lt;/periodical&gt;&lt;pages&gt;1280-4&lt;/pages&gt;&lt;volume&gt;323&lt;/volume&gt;&lt;number&gt;7324&lt;/number&gt;&lt;keywords&gt;&lt;keyword&gt;Adipose Tissue/pathology&lt;/keyword&gt;&lt;keyword&gt;Adolescent&lt;/keyword&gt;&lt;keyword&gt;Age Factors&lt;/keyword&gt;&lt;keyword&gt;Blood Glucose/metabolism&lt;/keyword&gt;&lt;keyword&gt;Body Height&lt;/keyword&gt;&lt;keyword&gt;Body Mass Index&lt;/keyword&gt;&lt;keyword&gt;Child&lt;/keyword&gt;&lt;keyword&gt;Cohort Studies&lt;/keyword&gt;&lt;keyword&gt;Female&lt;/keyword&gt;&lt;keyword&gt;Humans&lt;/keyword&gt;&lt;keyword&gt;Lipids/blood&lt;/keyword&gt;&lt;keyword&gt;Male&lt;/keyword&gt;&lt;keyword&gt;Middle Aged&lt;/keyword&gt;&lt;keyword&gt;Obesity/*complications/pathology/physiopathology&lt;/keyword&gt;&lt;keyword&gt;Prognosis&lt;/keyword&gt;&lt;keyword&gt;Prospective Studies&lt;/keyword&gt;&lt;keyword&gt;Risk Factors&lt;/keyword&gt;&lt;keyword&gt;Social Class&lt;/keyword&gt;&lt;/keywords&gt;&lt;dates&gt;&lt;year&gt;2001&lt;/year&gt;&lt;pub-dates&gt;&lt;date&gt;Dec 1&lt;/date&gt;&lt;/pub-dates&gt;&lt;/dates&gt;&lt;isbn&gt;0959-8138 (Print)&amp;#xD;0959-535X (Linking)&lt;/isbn&gt;&lt;accession-num&gt;11731390&lt;/accession-num&gt;&lt;urls&gt;&lt;related-urls&gt;&lt;url&gt;http://www.ncbi.nlm.nih.gov/pubmed/11731390&lt;/url&gt;&lt;/related-urls&gt;&lt;/urls&gt;&lt;custom2&gt;60301&lt;/custom2&gt;&lt;/record&gt;&lt;/Cite&gt;&lt;/EndNote&gt;</w:instrText>
      </w:r>
      <w:r w:rsidR="00DC137F" w:rsidRPr="00296D0C">
        <w:rPr>
          <w:rFonts w:cs="Arial"/>
        </w:rPr>
        <w:fldChar w:fldCharType="separate"/>
      </w:r>
      <w:r w:rsidR="008C43BF" w:rsidRPr="008C43BF">
        <w:rPr>
          <w:rFonts w:cs="Arial"/>
          <w:noProof/>
          <w:vertAlign w:val="superscript"/>
        </w:rPr>
        <w:t>71</w:t>
      </w:r>
      <w:r w:rsidR="00DC137F" w:rsidRPr="00296D0C">
        <w:rPr>
          <w:rFonts w:cs="Arial"/>
        </w:rPr>
        <w:fldChar w:fldCharType="end"/>
      </w:r>
      <w:r w:rsidRPr="00296D0C">
        <w:rPr>
          <w:rFonts w:cs="Arial"/>
        </w:rPr>
        <w:t>, Laitinen et al.</w:t>
      </w:r>
      <w:r w:rsidR="00AA5D61" w:rsidRPr="00296D0C">
        <w:rPr>
          <w:rFonts w:cs="Arial"/>
        </w:rPr>
        <w:t>,</w:t>
      </w:r>
      <w:r w:rsidRPr="00296D0C">
        <w:rPr>
          <w:rFonts w:cs="Arial"/>
        </w:rPr>
        <w:t xml:space="preserve"> 2001 (Finnish cohort data to age 31 years)</w:t>
      </w:r>
      <w:r w:rsidR="00DC137F" w:rsidRPr="00296D0C">
        <w:rPr>
          <w:rFonts w:cs="Arial"/>
        </w:rPr>
        <w:t xml:space="preserve"> </w:t>
      </w:r>
      <w:r w:rsidR="00DC137F" w:rsidRPr="00296D0C">
        <w:rPr>
          <w:rFonts w:cs="Arial"/>
        </w:rPr>
        <w:fldChar w:fldCharType="begin"/>
      </w:r>
      <w:r w:rsidR="008C43BF">
        <w:rPr>
          <w:rFonts w:cs="Arial"/>
        </w:rPr>
        <w:instrText xml:space="preserve"> ADDIN EN.CITE &lt;EndNote&gt;&lt;Cite&gt;&lt;Author&gt;Laitinen&lt;/Author&gt;&lt;Year&gt;2001&lt;/Year&gt;&lt;RecNum&gt;125&lt;/RecNum&gt;&lt;DisplayText&gt;&lt;style face="superscript"&gt;86&lt;/style&gt;&lt;/DisplayText&gt;&lt;record&gt;&lt;rec-number&gt;125&lt;/rec-number&gt;&lt;foreign-keys&gt;&lt;key app="EN" db-id="2ewa9rrvjsdsawep2vpx5x97eedzzvxx5rta" timestamp="0"&gt;125&lt;/key&gt;&lt;/foreign-keys&gt;&lt;ref-type name="Journal Article"&gt;17&lt;/ref-type&gt;&lt;contributors&gt;&lt;authors&gt;&lt;author&gt;Laitinen, J.&lt;/author&gt;&lt;author&gt;Power, C.&lt;/author&gt;&lt;author&gt;Jarvelin, M. R.&lt;/author&gt;&lt;/authors&gt;&lt;/contributors&gt;&lt;auth-address&gt;Oulu Regional Institute of Occupational Health, Oulu, Finland. jaana.laitinen@occuphealth.fi&lt;/auth-address&gt;&lt;titles&gt;&lt;title&gt;Family social class, maternal body mass index, childhood body mass index, and age at menarche as predictors of adult obesity&lt;/title&gt;&lt;secondary-title&gt;Am J Clin Nutr&lt;/secondary-title&gt;&lt;/titles&gt;&lt;periodical&gt;&lt;full-title&gt;American Journal of Clinical Nutrition&lt;/full-title&gt;&lt;abbr-1&gt;Am. J. Clin. Nutr.&lt;/abbr-1&gt;&lt;abbr-2&gt;Am J Clin Nutr&lt;/abbr-2&gt;&lt;/periodical&gt;&lt;pages&gt;287-94&lt;/pages&gt;&lt;volume&gt;74&lt;/volume&gt;&lt;number&gt;3&lt;/number&gt;&lt;keywords&gt;&lt;keyword&gt;Adolescent&lt;/keyword&gt;&lt;keyword&gt;Adult&lt;/keyword&gt;&lt;keyword&gt;Age Factors&lt;/keyword&gt;&lt;keyword&gt;Birth Weight&lt;/keyword&gt;&lt;keyword&gt;Body Constitution&lt;/keyword&gt;&lt;keyword&gt;*Body Mass Index&lt;/keyword&gt;&lt;keyword&gt;Cohort Studies&lt;/keyword&gt;&lt;keyword&gt;Female&lt;/keyword&gt;&lt;keyword&gt;Finland/epidemiology&lt;/keyword&gt;&lt;keyword&gt;Humans&lt;/keyword&gt;&lt;keyword&gt;Infant&lt;/keyword&gt;&lt;keyword&gt;Infant, Newborn&lt;/keyword&gt;&lt;keyword&gt;Longitudinal Studies&lt;/keyword&gt;&lt;keyword&gt;Male&lt;/keyword&gt;&lt;keyword&gt;*Menarche&lt;/keyword&gt;&lt;keyword&gt;Obesity/epidemiology/*etiology&lt;/keyword&gt;&lt;keyword&gt;Prevalence&lt;/keyword&gt;&lt;keyword&gt;Probability&lt;/keyword&gt;&lt;keyword&gt;Research Support, Non-U.S. Gov&amp;apos;t&lt;/keyword&gt;&lt;keyword&gt;*Social Class&lt;/keyword&gt;&lt;/keywords&gt;&lt;dates&gt;&lt;year&gt;2001&lt;/year&gt;&lt;pub-dates&gt;&lt;date&gt;Sep&lt;/date&gt;&lt;/pub-dates&gt;&lt;/dates&gt;&lt;accession-num&gt;11522550&lt;/accession-num&gt;&lt;urls&gt;&lt;related-urls&gt;&lt;url&gt;http://www.ncbi.nlm.nih.gov/entrez/query.fcgi?cmd=Retrieve&amp;amp;db=PubMed&amp;amp;dopt=Citation&amp;amp;list_uids=11522550 &lt;/url&gt;&lt;/related-urls&gt;&lt;/urls&gt;&lt;/record&gt;&lt;/Cite&gt;&lt;/EndNote&gt;</w:instrText>
      </w:r>
      <w:r w:rsidR="00DC137F" w:rsidRPr="00296D0C">
        <w:rPr>
          <w:rFonts w:cs="Arial"/>
        </w:rPr>
        <w:fldChar w:fldCharType="separate"/>
      </w:r>
      <w:r w:rsidR="008C43BF" w:rsidRPr="008C43BF">
        <w:rPr>
          <w:rFonts w:cs="Arial"/>
          <w:noProof/>
          <w:vertAlign w:val="superscript"/>
        </w:rPr>
        <w:t>86</w:t>
      </w:r>
      <w:r w:rsidR="00DC137F" w:rsidRPr="00296D0C">
        <w:rPr>
          <w:rFonts w:cs="Arial"/>
        </w:rPr>
        <w:fldChar w:fldCharType="end"/>
      </w:r>
      <w:r w:rsidRPr="00296D0C">
        <w:rPr>
          <w:rFonts w:cs="Arial"/>
        </w:rPr>
        <w:t xml:space="preserve">, were set out for potential use in sensitivity analysis to assess structural uncertainty (see Table </w:t>
      </w:r>
      <w:r w:rsidR="009463BC" w:rsidRPr="00296D0C">
        <w:rPr>
          <w:rFonts w:cs="Arial"/>
        </w:rPr>
        <w:t>2</w:t>
      </w:r>
      <w:r w:rsidR="00472BD5">
        <w:rPr>
          <w:rFonts w:cs="Arial"/>
        </w:rPr>
        <w:t>7</w:t>
      </w:r>
      <w:r w:rsidRPr="00296D0C">
        <w:rPr>
          <w:rFonts w:cs="Arial"/>
        </w:rPr>
        <w:t>).  Although not specifically appropriate for sensitiv</w:t>
      </w:r>
      <w:r w:rsidR="006E7949" w:rsidRPr="00296D0C">
        <w:rPr>
          <w:rFonts w:cs="Arial"/>
        </w:rPr>
        <w:t>it</w:t>
      </w:r>
      <w:r w:rsidRPr="00296D0C">
        <w:rPr>
          <w:rFonts w:cs="Arial"/>
        </w:rPr>
        <w:t>y analyses the estimate transit probabilities using data reported by Venn et al.</w:t>
      </w:r>
      <w:r w:rsidR="00AA5D61" w:rsidRPr="00296D0C">
        <w:rPr>
          <w:rFonts w:cs="Arial"/>
        </w:rPr>
        <w:t>,</w:t>
      </w:r>
      <w:r w:rsidRPr="00296D0C">
        <w:rPr>
          <w:rFonts w:cs="Arial"/>
        </w:rPr>
        <w:t xml:space="preserve"> 2007 (Australian cohort data to age 29 years) </w:t>
      </w:r>
      <w:r w:rsidR="00DC137F" w:rsidRPr="00296D0C">
        <w:rPr>
          <w:rFonts w:cs="Arial"/>
        </w:rPr>
        <w:fldChar w:fldCharType="begin"/>
      </w:r>
      <w:r w:rsidR="008C43BF">
        <w:rPr>
          <w:rFonts w:cs="Arial"/>
        </w:rPr>
        <w:instrText xml:space="preserve"> ADDIN EN.CITE &lt;EndNote&gt;&lt;Cite&gt;&lt;Author&gt;Venn&lt;/Author&gt;&lt;Year&gt;2007&lt;/Year&gt;&lt;RecNum&gt;5773&lt;/RecNum&gt;&lt;DisplayText&gt;&lt;style face="superscript"&gt;75&lt;/style&gt;&lt;/DisplayText&gt;&lt;record&gt;&lt;rec-number&gt;5773&lt;/rec-number&gt;&lt;foreign-keys&gt;&lt;key app="EN" db-id="2ewa9rrvjsdsawep2vpx5x97eedzzvxx5rta" timestamp="1478679952"&gt;5773&lt;/key&gt;&lt;/foreign-keys&gt;&lt;ref-type name="Journal Article"&gt;17&lt;/ref-type&gt;&lt;contributors&gt;&lt;authors&gt;&lt;author&gt;Venn, A. J.&lt;/author&gt;&lt;author&gt;Thomson, R. J.&lt;/author&gt;&lt;author&gt;Schmidt, M. D.&lt;/author&gt;&lt;author&gt;Cleland, V. J.&lt;/author&gt;&lt;author&gt;Curry, B. A.&lt;/author&gt;&lt;author&gt;Gennat, H. C.&lt;/author&gt;&lt;author&gt;Dwyer, T.&lt;/author&gt;&lt;/authors&gt;&lt;/contributors&gt;&lt;auth-address&gt;Menzies Research Institute, Hobart, Tasmania, Australia. Alison.Venn@utas.edu.au&lt;/auth-address&gt;&lt;titles&gt;&lt;title&gt;Overweight and obesity from childhood to adulthood: a follow-up of participants in the 1985 Australian Schools Health and Fitness Survey&lt;/title&gt;&lt;secondary-title&gt;Med J Aust&lt;/secondary-title&gt;&lt;/titles&gt;&lt;periodical&gt;&lt;full-title&gt;Medical Journal of Australia&lt;/full-title&gt;&lt;abbr-1&gt;Med. J. Aust.&lt;/abbr-1&gt;&lt;abbr-2&gt;Med J Aust&lt;/abbr-2&gt;&lt;/periodical&gt;&lt;pages&gt;458-60&lt;/pages&gt;&lt;volume&gt;186&lt;/volume&gt;&lt;number&gt;9&lt;/number&gt;&lt;keywords&gt;&lt;keyword&gt;Adolescent&lt;/keyword&gt;&lt;keyword&gt;Adult&lt;/keyword&gt;&lt;keyword&gt;Australia/epidemiology&lt;/keyword&gt;&lt;keyword&gt;Body Height&lt;/keyword&gt;&lt;keyword&gt;Body Mass Index&lt;/keyword&gt;&lt;keyword&gt;Child&lt;/keyword&gt;&lt;keyword&gt;Cohort Studies&lt;/keyword&gt;&lt;keyword&gt;Female&lt;/keyword&gt;&lt;keyword&gt;Follow-Up Studies&lt;/keyword&gt;&lt;keyword&gt;Health Surveys&lt;/keyword&gt;&lt;keyword&gt;Humans&lt;/keyword&gt;&lt;keyword&gt;Male&lt;/keyword&gt;&lt;keyword&gt;Obesity/*epidemiology&lt;/keyword&gt;&lt;keyword&gt;*Overweight&lt;/keyword&gt;&lt;keyword&gt;Prevalence&lt;/keyword&gt;&lt;/keywords&gt;&lt;dates&gt;&lt;year&gt;2007&lt;/year&gt;&lt;pub-dates&gt;&lt;date&gt;May 7&lt;/date&gt;&lt;/pub-dates&gt;&lt;/dates&gt;&lt;isbn&gt;0025-729X (Print)&amp;#xD;0025-729X (Linking)&lt;/isbn&gt;&lt;accession-num&gt;17484707&lt;/accession-num&gt;&lt;urls&gt;&lt;related-urls&gt;&lt;url&gt;http://www.ncbi.nlm.nih.gov/pubmed/17484707&lt;/url&gt;&lt;/related-urls&gt;&lt;/urls&gt;&lt;/record&gt;&lt;/Cite&gt;&lt;/EndNote&gt;</w:instrText>
      </w:r>
      <w:r w:rsidR="00DC137F" w:rsidRPr="00296D0C">
        <w:rPr>
          <w:rFonts w:cs="Arial"/>
        </w:rPr>
        <w:fldChar w:fldCharType="separate"/>
      </w:r>
      <w:r w:rsidR="008C43BF" w:rsidRPr="008C43BF">
        <w:rPr>
          <w:rFonts w:cs="Arial"/>
          <w:noProof/>
          <w:vertAlign w:val="superscript"/>
        </w:rPr>
        <w:t>75</w:t>
      </w:r>
      <w:r w:rsidR="00DC137F" w:rsidRPr="00296D0C">
        <w:rPr>
          <w:rFonts w:cs="Arial"/>
        </w:rPr>
        <w:fldChar w:fldCharType="end"/>
      </w:r>
      <w:r w:rsidR="00DC137F" w:rsidRPr="00296D0C">
        <w:rPr>
          <w:rFonts w:cs="Arial"/>
        </w:rPr>
        <w:t xml:space="preserve"> </w:t>
      </w:r>
      <w:r w:rsidRPr="00296D0C">
        <w:rPr>
          <w:rFonts w:cs="Arial"/>
        </w:rPr>
        <w:t>are presented to provide a comparison between a relatively recent set of data and the data from other cohort studies (Power et al</w:t>
      </w:r>
      <w:r w:rsidR="00AA5D61" w:rsidRPr="00296D0C">
        <w:rPr>
          <w:rFonts w:cs="Arial"/>
        </w:rPr>
        <w:t>.</w:t>
      </w:r>
      <w:r w:rsidR="00DC137F" w:rsidRPr="00296D0C">
        <w:rPr>
          <w:rFonts w:cs="Arial"/>
        </w:rPr>
        <w:t xml:space="preserve"> </w:t>
      </w:r>
      <w:r w:rsidR="00DC137F" w:rsidRPr="00296D0C">
        <w:rPr>
          <w:rFonts w:cs="Arial"/>
        </w:rPr>
        <w:fldChar w:fldCharType="begin"/>
      </w:r>
      <w:r w:rsidR="008C43BF">
        <w:rPr>
          <w:rFonts w:cs="Arial"/>
        </w:rPr>
        <w:instrText xml:space="preserve"> ADDIN EN.CITE &lt;EndNote&gt;&lt;Cite&gt;&lt;Author&gt;Power&lt;/Author&gt;&lt;Year&gt;1997&lt;/Year&gt;&lt;RecNum&gt;5762&lt;/RecNum&gt;&lt;DisplayText&gt;&lt;style face="superscript"&gt;76&lt;/style&gt;&lt;/DisplayText&gt;&lt;record&gt;&lt;rec-number&gt;5762&lt;/rec-number&gt;&lt;foreign-keys&gt;&lt;key app="EN" db-id="2ewa9rrvjsdsawep2vpx5x97eedzzvxx5rta" timestamp="1478679952"&gt;5762&lt;/key&gt;&lt;/foreign-keys&gt;&lt;ref-type name="Journal Article"&gt;17&lt;/ref-type&gt;&lt;contributors&gt;&lt;authors&gt;&lt;author&gt;Power, C.&lt;/author&gt;&lt;author&gt;Hertzman, C.&lt;/author&gt;&lt;author&gt;Matthews, S.&lt;/author&gt;&lt;author&gt;Manor, O.&lt;/author&gt;&lt;/authors&gt;&lt;/contributors&gt;&lt;auth-address&gt;Department of Epidemiology and Biostatistics, Institute of Child Health, London, England.&lt;/auth-address&gt;&lt;titles&gt;&lt;title&gt;Social differences in health: life-cycle effects between ages 23 and 33 in the 1958 British birth cohort&lt;/title&gt;&lt;secondary-title&gt;Am J Public Health&lt;/secondary-title&gt;&lt;/titles&gt;&lt;periodical&gt;&lt;full-title&gt;American Journal of Public Health&lt;/full-title&gt;&lt;abbr-1&gt;Am. J. Public Health&lt;/abbr-1&gt;&lt;abbr-2&gt;Am J Public Health&lt;/abbr-2&gt;&lt;/periodical&gt;&lt;pages&gt;1499-503&lt;/pages&gt;&lt;volume&gt;87&lt;/volume&gt;&lt;number&gt;9&lt;/number&gt;&lt;keywords&gt;&lt;keyword&gt;Adult&lt;/keyword&gt;&lt;keyword&gt;Aging&lt;/keyword&gt;&lt;keyword&gt;Asthma/epidemiology&lt;/keyword&gt;&lt;keyword&gt;Cohort Studies&lt;/keyword&gt;&lt;keyword&gt;Female&lt;/keyword&gt;&lt;keyword&gt;Great Britain/epidemiology&lt;/keyword&gt;&lt;keyword&gt;*Health Status&lt;/keyword&gt;&lt;keyword&gt;Humans&lt;/keyword&gt;&lt;keyword&gt;Male&lt;/keyword&gt;&lt;keyword&gt;Obesity/epidemiology&lt;/keyword&gt;&lt;keyword&gt;Prevalence&lt;/keyword&gt;&lt;keyword&gt;Sex Factors&lt;/keyword&gt;&lt;keyword&gt;*Social Class&lt;/keyword&gt;&lt;/keywords&gt;&lt;dates&gt;&lt;year&gt;1997&lt;/year&gt;&lt;pub-dates&gt;&lt;date&gt;Sep&lt;/date&gt;&lt;/pub-dates&gt;&lt;/dates&gt;&lt;isbn&gt;0090-0036 (Print)&amp;#xD;0090-0036 (Linking)&lt;/isbn&gt;&lt;accession-num&gt;9314803&lt;/accession-num&gt;&lt;urls&gt;&lt;related-urls&gt;&lt;url&gt;http://www.ncbi.nlm.nih.gov/pubmed/9314803&lt;/url&gt;&lt;/related-urls&gt;&lt;/urls&gt;&lt;custom2&gt;1380976&lt;/custom2&gt;&lt;/record&gt;&lt;/Cite&gt;&lt;/EndNote&gt;</w:instrText>
      </w:r>
      <w:r w:rsidR="00DC137F" w:rsidRPr="00296D0C">
        <w:rPr>
          <w:rFonts w:cs="Arial"/>
        </w:rPr>
        <w:fldChar w:fldCharType="separate"/>
      </w:r>
      <w:r w:rsidR="008C43BF" w:rsidRPr="008C43BF">
        <w:rPr>
          <w:rFonts w:cs="Arial"/>
          <w:noProof/>
          <w:vertAlign w:val="superscript"/>
        </w:rPr>
        <w:t>76</w:t>
      </w:r>
      <w:r w:rsidR="00DC137F" w:rsidRPr="00296D0C">
        <w:rPr>
          <w:rFonts w:cs="Arial"/>
        </w:rPr>
        <w:fldChar w:fldCharType="end"/>
      </w:r>
      <w:r w:rsidRPr="00296D0C">
        <w:rPr>
          <w:rFonts w:cs="Arial"/>
        </w:rPr>
        <w:t xml:space="preserve">, Wright et </w:t>
      </w:r>
      <w:r w:rsidR="00DC137F" w:rsidRPr="00296D0C">
        <w:rPr>
          <w:rFonts w:cs="Arial"/>
        </w:rPr>
        <w:t>al</w:t>
      </w:r>
      <w:r w:rsidR="00AA5D61" w:rsidRPr="00296D0C">
        <w:rPr>
          <w:rFonts w:cs="Arial"/>
        </w:rPr>
        <w:t>.</w:t>
      </w:r>
      <w:r w:rsidR="00DC137F" w:rsidRPr="00296D0C">
        <w:rPr>
          <w:rFonts w:cs="Arial"/>
        </w:rPr>
        <w:t xml:space="preserve"> </w:t>
      </w:r>
      <w:r w:rsidR="00DC137F" w:rsidRPr="00296D0C">
        <w:rPr>
          <w:rFonts w:cs="Arial"/>
        </w:rPr>
        <w:fldChar w:fldCharType="begin"/>
      </w:r>
      <w:r w:rsidR="008C43BF">
        <w:rPr>
          <w:rFonts w:cs="Arial"/>
        </w:rPr>
        <w:instrText xml:space="preserve"> ADDIN EN.CITE &lt;EndNote&gt;&lt;Cite&gt;&lt;Author&gt;Wright&lt;/Author&gt;&lt;Year&gt;2001&lt;/Year&gt;&lt;RecNum&gt;5776&lt;/RecNum&gt;&lt;DisplayText&gt;&lt;style face="superscript"&gt;71&lt;/style&gt;&lt;/DisplayText&gt;&lt;record&gt;&lt;rec-number&gt;5776&lt;/rec-number&gt;&lt;foreign-keys&gt;&lt;key app="EN" db-id="2ewa9rrvjsdsawep2vpx5x97eedzzvxx5rta" timestamp="1478679952"&gt;5776&lt;/key&gt;&lt;/foreign-keys&gt;&lt;ref-type name="Journal Article"&gt;17&lt;/ref-type&gt;&lt;contributors&gt;&lt;authors&gt;&lt;author&gt;Wright, C. M.&lt;/author&gt;&lt;author&gt;Parker, L.&lt;/author&gt;&lt;author&gt;Lamont, D.&lt;/author&gt;&lt;author&gt;Craft, A. W.&lt;/author&gt;&lt;/authors&gt;&lt;/contributors&gt;&lt;auth-address&gt;University of Newcastle upon Tyne, Gateshead, NE8 1EB, UK. C.M.Wright@Newcastle.ac.uk&lt;/auth-address&gt;&lt;titles&gt;&lt;title&gt;Implications of childhood obesity for adult health: findings from thousand families cohort study&lt;/title&gt;&lt;secondary-title&gt;BMJ&lt;/secondary-title&gt;&lt;/titles&gt;&lt;periodical&gt;&lt;full-title&gt;BMJ&lt;/full-title&gt;&lt;abbr-1&gt;BMJ&lt;/abbr-1&gt;&lt;abbr-2&gt;BMJ&lt;/abbr-2&gt;&lt;/periodical&gt;&lt;pages&gt;1280-4&lt;/pages&gt;&lt;volume&gt;323&lt;/volume&gt;&lt;number&gt;7324&lt;/number&gt;&lt;keywords&gt;&lt;keyword&gt;Adipose Tissue/pathology&lt;/keyword&gt;&lt;keyword&gt;Adolescent&lt;/keyword&gt;&lt;keyword&gt;Age Factors&lt;/keyword&gt;&lt;keyword&gt;Blood Glucose/metabolism&lt;/keyword&gt;&lt;keyword&gt;Body Height&lt;/keyword&gt;&lt;keyword&gt;Body Mass Index&lt;/keyword&gt;&lt;keyword&gt;Child&lt;/keyword&gt;&lt;keyword&gt;Cohort Studies&lt;/keyword&gt;&lt;keyword&gt;Female&lt;/keyword&gt;&lt;keyword&gt;Humans&lt;/keyword&gt;&lt;keyword&gt;Lipids/blood&lt;/keyword&gt;&lt;keyword&gt;Male&lt;/keyword&gt;&lt;keyword&gt;Middle Aged&lt;/keyword&gt;&lt;keyword&gt;Obesity/*complications/pathology/physiopathology&lt;/keyword&gt;&lt;keyword&gt;Prognosis&lt;/keyword&gt;&lt;keyword&gt;Prospective Studies&lt;/keyword&gt;&lt;keyword&gt;Risk Factors&lt;/keyword&gt;&lt;keyword&gt;Social Class&lt;/keyword&gt;&lt;/keywords&gt;&lt;dates&gt;&lt;year&gt;2001&lt;/year&gt;&lt;pub-dates&gt;&lt;date&gt;Dec 1&lt;/date&gt;&lt;/pub-dates&gt;&lt;/dates&gt;&lt;isbn&gt;0959-8138 (Print)&amp;#xD;0959-535X (Linking)&lt;/isbn&gt;&lt;accession-num&gt;11731390&lt;/accession-num&gt;&lt;urls&gt;&lt;related-urls&gt;&lt;url&gt;http://www.ncbi.nlm.nih.gov/pubmed/11731390&lt;/url&gt;&lt;/related-urls&gt;&lt;/urls&gt;&lt;custom2&gt;60301&lt;/custom2&gt;&lt;/record&gt;&lt;/Cite&gt;&lt;/EndNote&gt;</w:instrText>
      </w:r>
      <w:r w:rsidR="00DC137F" w:rsidRPr="00296D0C">
        <w:rPr>
          <w:rFonts w:cs="Arial"/>
        </w:rPr>
        <w:fldChar w:fldCharType="separate"/>
      </w:r>
      <w:r w:rsidR="008C43BF" w:rsidRPr="008C43BF">
        <w:rPr>
          <w:rFonts w:cs="Arial"/>
          <w:noProof/>
          <w:vertAlign w:val="superscript"/>
        </w:rPr>
        <w:t>71</w:t>
      </w:r>
      <w:r w:rsidR="00DC137F" w:rsidRPr="00296D0C">
        <w:rPr>
          <w:rFonts w:cs="Arial"/>
        </w:rPr>
        <w:fldChar w:fldCharType="end"/>
      </w:r>
      <w:r w:rsidR="00DC137F" w:rsidRPr="00296D0C">
        <w:rPr>
          <w:rFonts w:cs="Arial"/>
        </w:rPr>
        <w:t>)</w:t>
      </w:r>
      <w:r w:rsidRPr="00296D0C">
        <w:rPr>
          <w:rFonts w:cs="Arial"/>
        </w:rPr>
        <w:t xml:space="preserve"> which were collected in earlier years.</w:t>
      </w:r>
    </w:p>
    <w:p w14:paraId="6056D0AC" w14:textId="77777777" w:rsidR="00861557" w:rsidRPr="00296D0C" w:rsidRDefault="00861557" w:rsidP="00861557">
      <w:pPr>
        <w:spacing w:after="120"/>
        <w:rPr>
          <w:rFonts w:cs="Arial"/>
        </w:rPr>
      </w:pPr>
    </w:p>
    <w:p w14:paraId="7D904783" w14:textId="77777777" w:rsidR="00861557" w:rsidRPr="00296D0C" w:rsidRDefault="00861557" w:rsidP="00861557">
      <w:pPr>
        <w:spacing w:after="120"/>
        <w:rPr>
          <w:rFonts w:cs="Arial"/>
        </w:rPr>
      </w:pPr>
    </w:p>
    <w:p w14:paraId="1C9928E3" w14:textId="77777777" w:rsidR="00DC137F" w:rsidRPr="00296D0C" w:rsidRDefault="002F3D51">
      <w:pPr>
        <w:rPr>
          <w:rFonts w:cs="Arial"/>
        </w:rPr>
        <w:sectPr w:rsidR="00DC137F" w:rsidRPr="00296D0C" w:rsidSect="00574571">
          <w:pgSz w:w="11906" w:h="16838"/>
          <w:pgMar w:top="1440" w:right="1440" w:bottom="1440" w:left="1440" w:header="720" w:footer="720" w:gutter="0"/>
          <w:lnNumType w:countBy="1"/>
          <w:cols w:space="720"/>
          <w:docGrid w:linePitch="360"/>
        </w:sectPr>
      </w:pPr>
      <w:r w:rsidRPr="00296D0C">
        <w:rPr>
          <w:rFonts w:cs="Arial"/>
        </w:rPr>
        <w:br w:type="page"/>
      </w:r>
    </w:p>
    <w:p w14:paraId="231459D6" w14:textId="7C3BC8F4" w:rsidR="002F3D51" w:rsidRPr="00296D0C" w:rsidRDefault="002F3D51">
      <w:pPr>
        <w:rPr>
          <w:rFonts w:cs="Arial"/>
        </w:rPr>
      </w:pPr>
    </w:p>
    <w:p w14:paraId="1C13F0AB" w14:textId="55F17F2B" w:rsidR="00861557" w:rsidRPr="00296D0C" w:rsidRDefault="002F3D51" w:rsidP="00861557">
      <w:pPr>
        <w:pStyle w:val="Caption"/>
        <w:rPr>
          <w:rFonts w:cs="Arial"/>
          <w:b/>
          <w:i w:val="0"/>
          <w:color w:val="auto"/>
          <w:sz w:val="22"/>
          <w:szCs w:val="22"/>
        </w:rPr>
      </w:pPr>
      <w:bookmarkStart w:id="505" w:name="_Ref448407461"/>
      <w:r w:rsidRPr="00296D0C">
        <w:rPr>
          <w:rFonts w:cs="Arial"/>
          <w:b/>
          <w:i w:val="0"/>
          <w:color w:val="auto"/>
          <w:sz w:val="22"/>
          <w:szCs w:val="22"/>
        </w:rPr>
        <w:t>T</w:t>
      </w:r>
      <w:r w:rsidR="009463BC" w:rsidRPr="00296D0C">
        <w:rPr>
          <w:rFonts w:cs="Arial"/>
          <w:b/>
          <w:i w:val="0"/>
          <w:color w:val="auto"/>
          <w:sz w:val="22"/>
          <w:szCs w:val="22"/>
        </w:rPr>
        <w:t>ABLE</w:t>
      </w:r>
      <w:r w:rsidRPr="00296D0C">
        <w:rPr>
          <w:rFonts w:cs="Arial"/>
          <w:b/>
          <w:i w:val="0"/>
          <w:color w:val="auto"/>
          <w:sz w:val="22"/>
          <w:szCs w:val="22"/>
        </w:rPr>
        <w:t xml:space="preserve"> </w:t>
      </w:r>
      <w:bookmarkEnd w:id="505"/>
      <w:r w:rsidR="009463BC" w:rsidRPr="00296D0C">
        <w:rPr>
          <w:rFonts w:cs="Arial"/>
          <w:b/>
          <w:i w:val="0"/>
          <w:color w:val="auto"/>
          <w:sz w:val="22"/>
          <w:szCs w:val="22"/>
        </w:rPr>
        <w:t>2</w:t>
      </w:r>
      <w:r w:rsidR="00472BD5">
        <w:rPr>
          <w:rFonts w:cs="Arial"/>
          <w:b/>
          <w:i w:val="0"/>
          <w:color w:val="auto"/>
          <w:sz w:val="22"/>
          <w:szCs w:val="22"/>
        </w:rPr>
        <w:t>6</w:t>
      </w:r>
      <w:r w:rsidRPr="00296D0C">
        <w:rPr>
          <w:rFonts w:cs="Arial"/>
          <w:b/>
          <w:i w:val="0"/>
          <w:color w:val="auto"/>
          <w:sz w:val="22"/>
          <w:szCs w:val="22"/>
        </w:rPr>
        <w:t xml:space="preserve"> Study characteristics of the included weight status tracking studies</w:t>
      </w:r>
    </w:p>
    <w:tbl>
      <w:tblPr>
        <w:tblStyle w:val="TableGrid"/>
        <w:tblW w:w="4931" w:type="pct"/>
        <w:tblInd w:w="108" w:type="dxa"/>
        <w:tblLook w:val="04A0" w:firstRow="1" w:lastRow="0" w:firstColumn="1" w:lastColumn="0" w:noHBand="0" w:noVBand="1"/>
      </w:tblPr>
      <w:tblGrid>
        <w:gridCol w:w="1057"/>
        <w:gridCol w:w="1046"/>
        <w:gridCol w:w="2482"/>
        <w:gridCol w:w="1519"/>
        <w:gridCol w:w="2394"/>
        <w:gridCol w:w="1413"/>
        <w:gridCol w:w="1156"/>
        <w:gridCol w:w="1387"/>
        <w:gridCol w:w="1302"/>
      </w:tblGrid>
      <w:tr w:rsidR="00861557" w:rsidRPr="00296D0C" w14:paraId="37A0441F" w14:textId="77777777" w:rsidTr="006E30C7">
        <w:trPr>
          <w:trHeight w:val="914"/>
        </w:trPr>
        <w:tc>
          <w:tcPr>
            <w:tcW w:w="385" w:type="pct"/>
          </w:tcPr>
          <w:p w14:paraId="4404840C" w14:textId="77777777" w:rsidR="00861557" w:rsidRPr="00296D0C" w:rsidRDefault="00861557" w:rsidP="0077247E">
            <w:pPr>
              <w:spacing w:before="40" w:after="40"/>
              <w:rPr>
                <w:b/>
                <w:color w:val="000000" w:themeColor="text1"/>
              </w:rPr>
            </w:pPr>
            <w:r w:rsidRPr="00296D0C">
              <w:rPr>
                <w:b/>
                <w:color w:val="000000" w:themeColor="text1"/>
              </w:rPr>
              <w:t>Author, year</w:t>
            </w:r>
          </w:p>
        </w:tc>
        <w:tc>
          <w:tcPr>
            <w:tcW w:w="381" w:type="pct"/>
          </w:tcPr>
          <w:p w14:paraId="7C4A9579" w14:textId="77777777" w:rsidR="00861557" w:rsidRPr="00296D0C" w:rsidRDefault="00861557" w:rsidP="0077247E">
            <w:pPr>
              <w:spacing w:before="40" w:after="40"/>
              <w:rPr>
                <w:b/>
                <w:color w:val="000000" w:themeColor="text1"/>
              </w:rPr>
            </w:pPr>
            <w:r w:rsidRPr="00296D0C">
              <w:rPr>
                <w:b/>
                <w:color w:val="000000" w:themeColor="text1"/>
              </w:rPr>
              <w:t>Country</w:t>
            </w:r>
          </w:p>
        </w:tc>
        <w:tc>
          <w:tcPr>
            <w:tcW w:w="903" w:type="pct"/>
          </w:tcPr>
          <w:p w14:paraId="54555059" w14:textId="77777777" w:rsidR="00861557" w:rsidRPr="00296D0C" w:rsidRDefault="00861557" w:rsidP="0077247E">
            <w:pPr>
              <w:spacing w:before="40" w:after="40"/>
              <w:rPr>
                <w:b/>
                <w:color w:val="000000" w:themeColor="text1"/>
              </w:rPr>
            </w:pPr>
            <w:r w:rsidRPr="00296D0C">
              <w:rPr>
                <w:b/>
                <w:color w:val="000000" w:themeColor="text1"/>
              </w:rPr>
              <w:t xml:space="preserve">Reference standard </w:t>
            </w:r>
          </w:p>
        </w:tc>
        <w:tc>
          <w:tcPr>
            <w:tcW w:w="553" w:type="pct"/>
          </w:tcPr>
          <w:p w14:paraId="67F836E1" w14:textId="77777777" w:rsidR="00861557" w:rsidRPr="00296D0C" w:rsidRDefault="00861557" w:rsidP="0077247E">
            <w:pPr>
              <w:spacing w:before="40" w:after="40"/>
              <w:rPr>
                <w:b/>
                <w:color w:val="000000" w:themeColor="text1"/>
              </w:rPr>
            </w:pPr>
            <w:r w:rsidRPr="00296D0C">
              <w:rPr>
                <w:b/>
                <w:color w:val="000000" w:themeColor="text1"/>
              </w:rPr>
              <w:t>Age</w:t>
            </w:r>
          </w:p>
          <w:p w14:paraId="385E39B2" w14:textId="77777777" w:rsidR="00861557" w:rsidRPr="00296D0C" w:rsidRDefault="00861557" w:rsidP="0077247E">
            <w:pPr>
              <w:spacing w:before="40" w:after="40"/>
              <w:rPr>
                <w:b/>
                <w:color w:val="000000" w:themeColor="text1"/>
              </w:rPr>
            </w:pPr>
            <w:r w:rsidRPr="00296D0C">
              <w:rPr>
                <w:b/>
                <w:color w:val="000000" w:themeColor="text1"/>
              </w:rPr>
              <w:t>(assessment time points)</w:t>
            </w:r>
          </w:p>
        </w:tc>
        <w:tc>
          <w:tcPr>
            <w:tcW w:w="871" w:type="pct"/>
          </w:tcPr>
          <w:p w14:paraId="11D820FB" w14:textId="77777777" w:rsidR="00861557" w:rsidRPr="00296D0C" w:rsidRDefault="00861557" w:rsidP="0077247E">
            <w:pPr>
              <w:spacing w:before="40" w:after="40"/>
              <w:rPr>
                <w:b/>
                <w:color w:val="000000" w:themeColor="text1"/>
              </w:rPr>
            </w:pPr>
            <w:r w:rsidRPr="00296D0C">
              <w:rPr>
                <w:b/>
                <w:color w:val="000000" w:themeColor="text1"/>
              </w:rPr>
              <w:t>BMI Centile Group</w:t>
            </w:r>
            <w:r w:rsidRPr="00296D0C">
              <w:rPr>
                <w:b/>
                <w:color w:val="000000" w:themeColor="text1"/>
                <w:vertAlign w:val="superscript"/>
              </w:rPr>
              <w:t>a</w:t>
            </w:r>
          </w:p>
        </w:tc>
        <w:tc>
          <w:tcPr>
            <w:tcW w:w="507" w:type="pct"/>
          </w:tcPr>
          <w:p w14:paraId="2B760351" w14:textId="77777777" w:rsidR="00861557" w:rsidRPr="00296D0C" w:rsidRDefault="00861557" w:rsidP="0077247E">
            <w:pPr>
              <w:spacing w:before="40" w:after="40"/>
              <w:rPr>
                <w:b/>
                <w:color w:val="000000" w:themeColor="text1"/>
              </w:rPr>
            </w:pPr>
            <w:r w:rsidRPr="00296D0C">
              <w:rPr>
                <w:b/>
                <w:color w:val="000000" w:themeColor="text1"/>
              </w:rPr>
              <w:t>Underweight</w:t>
            </w:r>
          </w:p>
          <w:p w14:paraId="696A14DD" w14:textId="77777777" w:rsidR="00861557" w:rsidRPr="00296D0C" w:rsidRDefault="00861557" w:rsidP="0077247E">
            <w:pPr>
              <w:spacing w:before="40" w:after="40"/>
              <w:rPr>
                <w:b/>
                <w:color w:val="000000" w:themeColor="text1"/>
              </w:rPr>
            </w:pPr>
            <w:r w:rsidRPr="00296D0C">
              <w:rPr>
                <w:b/>
                <w:color w:val="000000" w:themeColor="text1"/>
              </w:rPr>
              <w:t>(BMI)</w:t>
            </w:r>
          </w:p>
        </w:tc>
        <w:tc>
          <w:tcPr>
            <w:tcW w:w="421" w:type="pct"/>
          </w:tcPr>
          <w:p w14:paraId="25AF4558" w14:textId="77777777" w:rsidR="00861557" w:rsidRPr="00296D0C" w:rsidRDefault="00861557" w:rsidP="0077247E">
            <w:pPr>
              <w:spacing w:before="40" w:after="40"/>
              <w:rPr>
                <w:b/>
                <w:color w:val="000000" w:themeColor="text1"/>
              </w:rPr>
            </w:pPr>
            <w:r w:rsidRPr="00296D0C">
              <w:rPr>
                <w:b/>
                <w:color w:val="000000" w:themeColor="text1"/>
              </w:rPr>
              <w:t>Healthy weight (BMI)</w:t>
            </w:r>
          </w:p>
        </w:tc>
        <w:tc>
          <w:tcPr>
            <w:tcW w:w="505" w:type="pct"/>
          </w:tcPr>
          <w:p w14:paraId="5003F964" w14:textId="77777777" w:rsidR="00861557" w:rsidRPr="00296D0C" w:rsidRDefault="00861557" w:rsidP="0077247E">
            <w:pPr>
              <w:spacing w:before="40" w:after="40"/>
              <w:rPr>
                <w:b/>
                <w:color w:val="000000" w:themeColor="text1"/>
              </w:rPr>
            </w:pPr>
            <w:r w:rsidRPr="00296D0C">
              <w:rPr>
                <w:b/>
                <w:color w:val="000000" w:themeColor="text1"/>
              </w:rPr>
              <w:t>Overweight</w:t>
            </w:r>
          </w:p>
          <w:p w14:paraId="4383428D" w14:textId="77777777" w:rsidR="00861557" w:rsidRPr="00296D0C" w:rsidRDefault="00861557" w:rsidP="0077247E">
            <w:pPr>
              <w:spacing w:before="40" w:after="40"/>
              <w:rPr>
                <w:b/>
                <w:color w:val="000000" w:themeColor="text1"/>
              </w:rPr>
            </w:pPr>
            <w:r w:rsidRPr="00296D0C">
              <w:rPr>
                <w:b/>
                <w:color w:val="000000" w:themeColor="text1"/>
              </w:rPr>
              <w:t>(BMI)</w:t>
            </w:r>
          </w:p>
        </w:tc>
        <w:tc>
          <w:tcPr>
            <w:tcW w:w="474" w:type="pct"/>
          </w:tcPr>
          <w:p w14:paraId="1D9CF12B" w14:textId="77777777" w:rsidR="00861557" w:rsidRPr="00296D0C" w:rsidRDefault="00861557" w:rsidP="0077247E">
            <w:pPr>
              <w:spacing w:before="40" w:after="40"/>
              <w:rPr>
                <w:b/>
                <w:color w:val="000000" w:themeColor="text1"/>
              </w:rPr>
            </w:pPr>
            <w:r w:rsidRPr="00296D0C">
              <w:rPr>
                <w:b/>
                <w:color w:val="000000" w:themeColor="text1"/>
              </w:rPr>
              <w:t>Obese</w:t>
            </w:r>
          </w:p>
          <w:p w14:paraId="28DCBF36" w14:textId="77777777" w:rsidR="00861557" w:rsidRPr="00296D0C" w:rsidRDefault="00861557" w:rsidP="0077247E">
            <w:pPr>
              <w:spacing w:before="40" w:after="40"/>
              <w:rPr>
                <w:b/>
                <w:color w:val="000000" w:themeColor="text1"/>
              </w:rPr>
            </w:pPr>
            <w:r w:rsidRPr="00296D0C">
              <w:rPr>
                <w:b/>
                <w:color w:val="000000" w:themeColor="text1"/>
              </w:rPr>
              <w:t>(BMI)a</w:t>
            </w:r>
          </w:p>
        </w:tc>
      </w:tr>
      <w:tr w:rsidR="00861557" w:rsidRPr="00296D0C" w14:paraId="1F4ACD0B" w14:textId="77777777" w:rsidTr="006E30C7">
        <w:trPr>
          <w:trHeight w:val="1238"/>
        </w:trPr>
        <w:tc>
          <w:tcPr>
            <w:tcW w:w="385" w:type="pct"/>
          </w:tcPr>
          <w:p w14:paraId="0192A8D1" w14:textId="77777777" w:rsidR="00DC137F" w:rsidRPr="00296D0C" w:rsidRDefault="00861557" w:rsidP="0077247E">
            <w:pPr>
              <w:spacing w:before="40" w:after="40"/>
              <w:rPr>
                <w:color w:val="000000" w:themeColor="text1"/>
              </w:rPr>
            </w:pPr>
            <w:r w:rsidRPr="00296D0C">
              <w:rPr>
                <w:color w:val="000000" w:themeColor="text1"/>
              </w:rPr>
              <w:t>Power et al., 1997</w:t>
            </w:r>
          </w:p>
          <w:p w14:paraId="1A623A5F" w14:textId="1DFB87D5" w:rsidR="00861557" w:rsidRPr="00296D0C" w:rsidRDefault="00DC137F" w:rsidP="008C43BF">
            <w:pPr>
              <w:spacing w:before="40" w:after="40"/>
              <w:rPr>
                <w:color w:val="000000" w:themeColor="text1"/>
              </w:rPr>
            </w:pPr>
            <w:r w:rsidRPr="00296D0C">
              <w:rPr>
                <w:color w:val="000000" w:themeColor="text1"/>
              </w:rPr>
              <w:fldChar w:fldCharType="begin"/>
            </w:r>
            <w:r w:rsidR="008C43BF">
              <w:rPr>
                <w:color w:val="000000" w:themeColor="text1"/>
              </w:rPr>
              <w:instrText xml:space="preserve"> ADDIN EN.CITE &lt;EndNote&gt;&lt;Cite&gt;&lt;Author&gt;Power&lt;/Author&gt;&lt;Year&gt;1997&lt;/Year&gt;&lt;RecNum&gt;5762&lt;/RecNum&gt;&lt;DisplayText&gt;&lt;style face="superscript"&gt;76&lt;/style&gt;&lt;/DisplayText&gt;&lt;record&gt;&lt;rec-number&gt;5762&lt;/rec-number&gt;&lt;foreign-keys&gt;&lt;key app="EN" db-id="2ewa9rrvjsdsawep2vpx5x97eedzzvxx5rta" timestamp="1478679952"&gt;5762&lt;/key&gt;&lt;/foreign-keys&gt;&lt;ref-type name="Journal Article"&gt;17&lt;/ref-type&gt;&lt;contributors&gt;&lt;authors&gt;&lt;author&gt;Power, C.&lt;/author&gt;&lt;author&gt;Hertzman, C.&lt;/author&gt;&lt;author&gt;Matthews, S.&lt;/author&gt;&lt;author&gt;Manor, O.&lt;/author&gt;&lt;/authors&gt;&lt;/contributors&gt;&lt;auth-address&gt;Department of Epidemiology and Biostatistics, Institute of Child Health, London, England.&lt;/auth-address&gt;&lt;titles&gt;&lt;title&gt;Social differences in health: life-cycle effects between ages 23 and 33 in the 1958 British birth cohort&lt;/title&gt;&lt;secondary-title&gt;Am J Public Health&lt;/secondary-title&gt;&lt;/titles&gt;&lt;periodical&gt;&lt;full-title&gt;American Journal of Public Health&lt;/full-title&gt;&lt;abbr-1&gt;Am. J. Public Health&lt;/abbr-1&gt;&lt;abbr-2&gt;Am J Public Health&lt;/abbr-2&gt;&lt;/periodical&gt;&lt;pages&gt;1499-503&lt;/pages&gt;&lt;volume&gt;87&lt;/volume&gt;&lt;number&gt;9&lt;/number&gt;&lt;keywords&gt;&lt;keyword&gt;Adult&lt;/keyword&gt;&lt;keyword&gt;Aging&lt;/keyword&gt;&lt;keyword&gt;Asthma/epidemiology&lt;/keyword&gt;&lt;keyword&gt;Cohort Studies&lt;/keyword&gt;&lt;keyword&gt;Female&lt;/keyword&gt;&lt;keyword&gt;Great Britain/epidemiology&lt;/keyword&gt;&lt;keyword&gt;*Health Status&lt;/keyword&gt;&lt;keyword&gt;Humans&lt;/keyword&gt;&lt;keyword&gt;Male&lt;/keyword&gt;&lt;keyword&gt;Obesity/epidemiology&lt;/keyword&gt;&lt;keyword&gt;Prevalence&lt;/keyword&gt;&lt;keyword&gt;Sex Factors&lt;/keyword&gt;&lt;keyword&gt;*Social Class&lt;/keyword&gt;&lt;/keywords&gt;&lt;dates&gt;&lt;year&gt;1997&lt;/year&gt;&lt;pub-dates&gt;&lt;date&gt;Sep&lt;/date&gt;&lt;/pub-dates&gt;&lt;/dates&gt;&lt;isbn&gt;0090-0036 (Print)&amp;#xD;0090-0036 (Linking)&lt;/isbn&gt;&lt;accession-num&gt;9314803&lt;/accession-num&gt;&lt;urls&gt;&lt;related-urls&gt;&lt;url&gt;http://www.ncbi.nlm.nih.gov/pubmed/9314803&lt;/url&gt;&lt;/related-urls&gt;&lt;/urls&gt;&lt;custom2&gt;1380976&lt;/custom2&gt;&lt;/record&gt;&lt;/Cite&gt;&lt;/EndNote&gt;</w:instrText>
            </w:r>
            <w:r w:rsidRPr="00296D0C">
              <w:rPr>
                <w:color w:val="000000" w:themeColor="text1"/>
              </w:rPr>
              <w:fldChar w:fldCharType="separate"/>
            </w:r>
            <w:r w:rsidR="008C43BF" w:rsidRPr="008C43BF">
              <w:rPr>
                <w:noProof/>
                <w:color w:val="000000" w:themeColor="text1"/>
                <w:vertAlign w:val="superscript"/>
              </w:rPr>
              <w:t>76</w:t>
            </w:r>
            <w:r w:rsidRPr="00296D0C">
              <w:rPr>
                <w:color w:val="000000" w:themeColor="text1"/>
              </w:rPr>
              <w:fldChar w:fldCharType="end"/>
            </w:r>
            <w:r w:rsidRPr="00296D0C">
              <w:rPr>
                <w:color w:val="000000" w:themeColor="text1"/>
              </w:rPr>
              <w:t xml:space="preserve"> </w:t>
            </w:r>
          </w:p>
        </w:tc>
        <w:tc>
          <w:tcPr>
            <w:tcW w:w="381" w:type="pct"/>
          </w:tcPr>
          <w:p w14:paraId="45661193" w14:textId="77777777" w:rsidR="00861557" w:rsidRPr="00296D0C" w:rsidRDefault="00861557" w:rsidP="0077247E">
            <w:pPr>
              <w:spacing w:before="40" w:after="40"/>
              <w:rPr>
                <w:color w:val="000000" w:themeColor="text1"/>
              </w:rPr>
            </w:pPr>
            <w:r w:rsidRPr="00296D0C">
              <w:rPr>
                <w:color w:val="000000" w:themeColor="text1"/>
              </w:rPr>
              <w:t>UK</w:t>
            </w:r>
          </w:p>
        </w:tc>
        <w:tc>
          <w:tcPr>
            <w:tcW w:w="903" w:type="pct"/>
          </w:tcPr>
          <w:p w14:paraId="77BCFDAE" w14:textId="77777777" w:rsidR="00861557" w:rsidRPr="00296D0C" w:rsidRDefault="00861557" w:rsidP="0077247E">
            <w:pPr>
              <w:spacing w:before="40" w:after="40"/>
              <w:rPr>
                <w:color w:val="000000" w:themeColor="text1"/>
              </w:rPr>
            </w:pPr>
            <w:r w:rsidRPr="00296D0C">
              <w:rPr>
                <w:color w:val="000000" w:themeColor="text1"/>
              </w:rPr>
              <w:t>UK90</w:t>
            </w:r>
          </w:p>
          <w:p w14:paraId="285CEEC7" w14:textId="77777777" w:rsidR="00861557" w:rsidRPr="00296D0C" w:rsidRDefault="00861557" w:rsidP="0077247E">
            <w:pPr>
              <w:spacing w:before="40" w:after="40"/>
              <w:rPr>
                <w:color w:val="000000" w:themeColor="text1"/>
              </w:rPr>
            </w:pPr>
            <w:r w:rsidRPr="00296D0C">
              <w:rPr>
                <w:color w:val="000000" w:themeColor="text1"/>
              </w:rPr>
              <w:t>Cole TJ et al. Arch Dis Child 1995 73:25-29.</w:t>
            </w:r>
          </w:p>
        </w:tc>
        <w:tc>
          <w:tcPr>
            <w:tcW w:w="553" w:type="pct"/>
          </w:tcPr>
          <w:p w14:paraId="104117CC" w14:textId="77777777" w:rsidR="00861557" w:rsidRPr="00296D0C" w:rsidRDefault="00861557" w:rsidP="0077247E">
            <w:pPr>
              <w:spacing w:before="40" w:after="40"/>
              <w:rPr>
                <w:color w:val="000000" w:themeColor="text1"/>
              </w:rPr>
            </w:pPr>
            <w:r w:rsidRPr="00296D0C">
              <w:rPr>
                <w:color w:val="000000" w:themeColor="text1"/>
              </w:rPr>
              <w:t>11–33 yrs</w:t>
            </w:r>
          </w:p>
        </w:tc>
        <w:tc>
          <w:tcPr>
            <w:tcW w:w="871" w:type="pct"/>
          </w:tcPr>
          <w:p w14:paraId="2C3A95DF" w14:textId="77777777" w:rsidR="00861557" w:rsidRPr="00296D0C" w:rsidRDefault="00861557" w:rsidP="0077247E">
            <w:pPr>
              <w:spacing w:before="40" w:after="40"/>
              <w:rPr>
                <w:color w:val="000000" w:themeColor="text1"/>
              </w:rPr>
            </w:pPr>
            <w:r w:rsidRPr="00296D0C">
              <w:rPr>
                <w:color w:val="000000" w:themeColor="text1"/>
              </w:rPr>
              <w:t>≤91st</w:t>
            </w:r>
          </w:p>
          <w:p w14:paraId="5E945EA8" w14:textId="77777777" w:rsidR="00861557" w:rsidRPr="00296D0C" w:rsidRDefault="00861557" w:rsidP="0077247E">
            <w:pPr>
              <w:spacing w:before="40" w:after="40"/>
              <w:rPr>
                <w:color w:val="000000" w:themeColor="text1"/>
              </w:rPr>
            </w:pPr>
            <w:r w:rsidRPr="00296D0C">
              <w:rPr>
                <w:color w:val="000000" w:themeColor="text1"/>
              </w:rPr>
              <w:t>&gt;91</w:t>
            </w:r>
            <w:r w:rsidRPr="00296D0C">
              <w:rPr>
                <w:color w:val="000000" w:themeColor="text1"/>
                <w:vertAlign w:val="superscript"/>
              </w:rPr>
              <w:t>st</w:t>
            </w:r>
            <w:r w:rsidRPr="00296D0C">
              <w:rPr>
                <w:color w:val="000000" w:themeColor="text1"/>
              </w:rPr>
              <w:t xml:space="preserve"> to ≤95</w:t>
            </w:r>
            <w:r w:rsidRPr="00296D0C">
              <w:rPr>
                <w:color w:val="000000" w:themeColor="text1"/>
                <w:vertAlign w:val="superscript"/>
              </w:rPr>
              <w:t>th</w:t>
            </w:r>
            <w:r w:rsidRPr="00296D0C">
              <w:rPr>
                <w:color w:val="000000" w:themeColor="text1"/>
              </w:rPr>
              <w:t xml:space="preserve"> </w:t>
            </w:r>
          </w:p>
          <w:p w14:paraId="7D003A47" w14:textId="77777777" w:rsidR="00861557" w:rsidRPr="00296D0C" w:rsidRDefault="00861557" w:rsidP="0077247E">
            <w:pPr>
              <w:spacing w:before="40" w:after="40"/>
              <w:rPr>
                <w:color w:val="000000" w:themeColor="text1"/>
              </w:rPr>
            </w:pPr>
            <w:r w:rsidRPr="00296D0C">
              <w:rPr>
                <w:color w:val="000000" w:themeColor="text1"/>
              </w:rPr>
              <w:t>&gt;95</w:t>
            </w:r>
            <w:r w:rsidRPr="00296D0C">
              <w:rPr>
                <w:color w:val="000000" w:themeColor="text1"/>
                <w:vertAlign w:val="superscript"/>
              </w:rPr>
              <w:t>th</w:t>
            </w:r>
            <w:r w:rsidRPr="00296D0C">
              <w:rPr>
                <w:color w:val="000000" w:themeColor="text1"/>
              </w:rPr>
              <w:t xml:space="preserve"> to ≤98</w:t>
            </w:r>
            <w:r w:rsidRPr="00296D0C">
              <w:rPr>
                <w:color w:val="000000" w:themeColor="text1"/>
                <w:vertAlign w:val="superscript"/>
              </w:rPr>
              <w:t>th</w:t>
            </w:r>
            <w:r w:rsidRPr="00296D0C">
              <w:rPr>
                <w:color w:val="000000" w:themeColor="text1"/>
              </w:rPr>
              <w:t xml:space="preserve"> </w:t>
            </w:r>
          </w:p>
          <w:p w14:paraId="0CC8C18A" w14:textId="77777777" w:rsidR="00861557" w:rsidRPr="00296D0C" w:rsidRDefault="00861557" w:rsidP="0077247E">
            <w:pPr>
              <w:spacing w:before="40" w:after="40"/>
              <w:rPr>
                <w:color w:val="000000" w:themeColor="text1"/>
              </w:rPr>
            </w:pPr>
            <w:r w:rsidRPr="00296D0C">
              <w:rPr>
                <w:color w:val="000000" w:themeColor="text1"/>
              </w:rPr>
              <w:t>&gt;98</w:t>
            </w:r>
            <w:r w:rsidRPr="00296D0C">
              <w:rPr>
                <w:color w:val="000000" w:themeColor="text1"/>
                <w:vertAlign w:val="superscript"/>
              </w:rPr>
              <w:t>th</w:t>
            </w:r>
            <w:r w:rsidRPr="00296D0C">
              <w:rPr>
                <w:color w:val="000000" w:themeColor="text1"/>
              </w:rPr>
              <w:t xml:space="preserve"> </w:t>
            </w:r>
          </w:p>
        </w:tc>
        <w:tc>
          <w:tcPr>
            <w:tcW w:w="507" w:type="pct"/>
          </w:tcPr>
          <w:p w14:paraId="0CB57579" w14:textId="77777777" w:rsidR="00861557" w:rsidRPr="00296D0C" w:rsidRDefault="00861557" w:rsidP="0077247E">
            <w:pPr>
              <w:spacing w:before="40" w:after="40"/>
              <w:rPr>
                <w:color w:val="000000" w:themeColor="text1"/>
              </w:rPr>
            </w:pPr>
            <w:r w:rsidRPr="00296D0C">
              <w:rPr>
                <w:color w:val="000000" w:themeColor="text1"/>
              </w:rPr>
              <w:t>&lt;20</w:t>
            </w:r>
          </w:p>
        </w:tc>
        <w:tc>
          <w:tcPr>
            <w:tcW w:w="421" w:type="pct"/>
          </w:tcPr>
          <w:p w14:paraId="28684820" w14:textId="77777777" w:rsidR="00861557" w:rsidRPr="00296D0C" w:rsidRDefault="00861557" w:rsidP="0077247E">
            <w:pPr>
              <w:spacing w:before="40" w:after="40"/>
              <w:rPr>
                <w:color w:val="000000" w:themeColor="text1"/>
              </w:rPr>
            </w:pPr>
            <w:r w:rsidRPr="00296D0C">
              <w:rPr>
                <w:color w:val="000000" w:themeColor="text1"/>
              </w:rPr>
              <w:t>20–24.9</w:t>
            </w:r>
          </w:p>
        </w:tc>
        <w:tc>
          <w:tcPr>
            <w:tcW w:w="505" w:type="pct"/>
          </w:tcPr>
          <w:p w14:paraId="43A3AAB3" w14:textId="77777777" w:rsidR="00861557" w:rsidRPr="00296D0C" w:rsidRDefault="00861557" w:rsidP="0077247E">
            <w:pPr>
              <w:spacing w:before="40" w:after="40"/>
              <w:rPr>
                <w:color w:val="000000" w:themeColor="text1"/>
              </w:rPr>
            </w:pPr>
            <w:r w:rsidRPr="00296D0C">
              <w:rPr>
                <w:color w:val="000000" w:themeColor="text1"/>
              </w:rPr>
              <w:t>25.0-30.0</w:t>
            </w:r>
          </w:p>
        </w:tc>
        <w:tc>
          <w:tcPr>
            <w:tcW w:w="474" w:type="pct"/>
          </w:tcPr>
          <w:p w14:paraId="78D85BE8" w14:textId="77777777" w:rsidR="00861557" w:rsidRPr="00296D0C" w:rsidRDefault="00861557" w:rsidP="0077247E">
            <w:pPr>
              <w:spacing w:before="40" w:after="40"/>
              <w:rPr>
                <w:color w:val="000000" w:themeColor="text1"/>
              </w:rPr>
            </w:pPr>
            <w:r w:rsidRPr="00296D0C">
              <w:rPr>
                <w:color w:val="000000" w:themeColor="text1"/>
              </w:rPr>
              <w:t>&gt;30.0</w:t>
            </w:r>
          </w:p>
        </w:tc>
      </w:tr>
      <w:tr w:rsidR="00861557" w:rsidRPr="00296D0C" w14:paraId="42BBFB33" w14:textId="77777777" w:rsidTr="006E30C7">
        <w:trPr>
          <w:trHeight w:val="1252"/>
        </w:trPr>
        <w:tc>
          <w:tcPr>
            <w:tcW w:w="385" w:type="pct"/>
          </w:tcPr>
          <w:p w14:paraId="278DA6EB" w14:textId="77777777" w:rsidR="00861557" w:rsidRPr="00296D0C" w:rsidRDefault="00861557" w:rsidP="0077247E">
            <w:pPr>
              <w:spacing w:before="40" w:after="40"/>
              <w:rPr>
                <w:color w:val="000000" w:themeColor="text1"/>
              </w:rPr>
            </w:pPr>
            <w:r w:rsidRPr="00296D0C">
              <w:rPr>
                <w:color w:val="000000" w:themeColor="text1"/>
              </w:rPr>
              <w:t>Wright et al., 2001</w:t>
            </w:r>
          </w:p>
          <w:p w14:paraId="13A8D8EB" w14:textId="5740EB4F" w:rsidR="00DC137F" w:rsidRPr="00296D0C" w:rsidRDefault="00DC137F" w:rsidP="008C43BF">
            <w:pPr>
              <w:spacing w:before="40" w:after="40"/>
              <w:rPr>
                <w:color w:val="000000" w:themeColor="text1"/>
              </w:rPr>
            </w:pPr>
            <w:r w:rsidRPr="00296D0C">
              <w:rPr>
                <w:color w:val="000000" w:themeColor="text1"/>
              </w:rPr>
              <w:fldChar w:fldCharType="begin"/>
            </w:r>
            <w:r w:rsidR="008C43BF">
              <w:rPr>
                <w:color w:val="000000" w:themeColor="text1"/>
              </w:rPr>
              <w:instrText xml:space="preserve"> ADDIN EN.CITE &lt;EndNote&gt;&lt;Cite&gt;&lt;Author&gt;Wright&lt;/Author&gt;&lt;Year&gt;2001&lt;/Year&gt;&lt;RecNum&gt;5776&lt;/RecNum&gt;&lt;DisplayText&gt;&lt;style face="superscript"&gt;71&lt;/style&gt;&lt;/DisplayText&gt;&lt;record&gt;&lt;rec-number&gt;5776&lt;/rec-number&gt;&lt;foreign-keys&gt;&lt;key app="EN" db-id="2ewa9rrvjsdsawep2vpx5x97eedzzvxx5rta" timestamp="1478679952"&gt;5776&lt;/key&gt;&lt;/foreign-keys&gt;&lt;ref-type name="Journal Article"&gt;17&lt;/ref-type&gt;&lt;contributors&gt;&lt;authors&gt;&lt;author&gt;Wright, C. M.&lt;/author&gt;&lt;author&gt;Parker, L.&lt;/author&gt;&lt;author&gt;Lamont, D.&lt;/author&gt;&lt;author&gt;Craft, A. W.&lt;/author&gt;&lt;/authors&gt;&lt;/contributors&gt;&lt;auth-address&gt;University of Newcastle upon Tyne, Gateshead, NE8 1EB, UK. C.M.Wright@Newcastle.ac.uk&lt;/auth-address&gt;&lt;titles&gt;&lt;title&gt;Implications of childhood obesity for adult health: findings from thousand families cohort study&lt;/title&gt;&lt;secondary-title&gt;BMJ&lt;/secondary-title&gt;&lt;/titles&gt;&lt;periodical&gt;&lt;full-title&gt;BMJ&lt;/full-title&gt;&lt;abbr-1&gt;BMJ&lt;/abbr-1&gt;&lt;abbr-2&gt;BMJ&lt;/abbr-2&gt;&lt;/periodical&gt;&lt;pages&gt;1280-4&lt;/pages&gt;&lt;volume&gt;323&lt;/volume&gt;&lt;number&gt;7324&lt;/number&gt;&lt;keywords&gt;&lt;keyword&gt;Adipose Tissue/pathology&lt;/keyword&gt;&lt;keyword&gt;Adolescent&lt;/keyword&gt;&lt;keyword&gt;Age Factors&lt;/keyword&gt;&lt;keyword&gt;Blood Glucose/metabolism&lt;/keyword&gt;&lt;keyword&gt;Body Height&lt;/keyword&gt;&lt;keyword&gt;Body Mass Index&lt;/keyword&gt;&lt;keyword&gt;Child&lt;/keyword&gt;&lt;keyword&gt;Cohort Studies&lt;/keyword&gt;&lt;keyword&gt;Female&lt;/keyword&gt;&lt;keyword&gt;Humans&lt;/keyword&gt;&lt;keyword&gt;Lipids/blood&lt;/keyword&gt;&lt;keyword&gt;Male&lt;/keyword&gt;&lt;keyword&gt;Middle Aged&lt;/keyword&gt;&lt;keyword&gt;Obesity/*complications/pathology/physiopathology&lt;/keyword&gt;&lt;keyword&gt;Prognosis&lt;/keyword&gt;&lt;keyword&gt;Prospective Studies&lt;/keyword&gt;&lt;keyword&gt;Risk Factors&lt;/keyword&gt;&lt;keyword&gt;Social Class&lt;/keyword&gt;&lt;/keywords&gt;&lt;dates&gt;&lt;year&gt;2001&lt;/year&gt;&lt;pub-dates&gt;&lt;date&gt;Dec 1&lt;/date&gt;&lt;/pub-dates&gt;&lt;/dates&gt;&lt;isbn&gt;0959-8138 (Print)&amp;#xD;0959-535X (Linking)&lt;/isbn&gt;&lt;accession-num&gt;11731390&lt;/accession-num&gt;&lt;urls&gt;&lt;related-urls&gt;&lt;url&gt;http://www.ncbi.nlm.nih.gov/pubmed/11731390&lt;/url&gt;&lt;/related-urls&gt;&lt;/urls&gt;&lt;custom2&gt;60301&lt;/custom2&gt;&lt;/record&gt;&lt;/Cite&gt;&lt;/EndNote&gt;</w:instrText>
            </w:r>
            <w:r w:rsidRPr="00296D0C">
              <w:rPr>
                <w:color w:val="000000" w:themeColor="text1"/>
              </w:rPr>
              <w:fldChar w:fldCharType="separate"/>
            </w:r>
            <w:r w:rsidR="008C43BF" w:rsidRPr="008C43BF">
              <w:rPr>
                <w:noProof/>
                <w:color w:val="000000" w:themeColor="text1"/>
                <w:vertAlign w:val="superscript"/>
              </w:rPr>
              <w:t>71</w:t>
            </w:r>
            <w:r w:rsidRPr="00296D0C">
              <w:rPr>
                <w:color w:val="000000" w:themeColor="text1"/>
              </w:rPr>
              <w:fldChar w:fldCharType="end"/>
            </w:r>
          </w:p>
        </w:tc>
        <w:tc>
          <w:tcPr>
            <w:tcW w:w="381" w:type="pct"/>
          </w:tcPr>
          <w:p w14:paraId="4F967282" w14:textId="77777777" w:rsidR="00861557" w:rsidRPr="00296D0C" w:rsidRDefault="00861557" w:rsidP="0077247E">
            <w:pPr>
              <w:spacing w:before="40" w:after="40"/>
              <w:rPr>
                <w:color w:val="000000" w:themeColor="text1"/>
              </w:rPr>
            </w:pPr>
            <w:r w:rsidRPr="00296D0C">
              <w:rPr>
                <w:color w:val="000000" w:themeColor="text1"/>
              </w:rPr>
              <w:t>UK</w:t>
            </w:r>
          </w:p>
        </w:tc>
        <w:tc>
          <w:tcPr>
            <w:tcW w:w="903" w:type="pct"/>
          </w:tcPr>
          <w:p w14:paraId="59B3B579" w14:textId="77777777" w:rsidR="00861557" w:rsidRPr="00296D0C" w:rsidRDefault="00861557" w:rsidP="0077247E">
            <w:pPr>
              <w:spacing w:before="40" w:after="40"/>
              <w:rPr>
                <w:color w:val="000000" w:themeColor="text1"/>
              </w:rPr>
            </w:pPr>
            <w:r w:rsidRPr="00296D0C">
              <w:rPr>
                <w:color w:val="000000" w:themeColor="text1"/>
              </w:rPr>
              <w:t>UK 90</w:t>
            </w:r>
          </w:p>
          <w:p w14:paraId="5E45D166" w14:textId="77777777" w:rsidR="00861557" w:rsidRPr="00296D0C" w:rsidRDefault="00861557" w:rsidP="0077247E">
            <w:pPr>
              <w:spacing w:before="40" w:after="40"/>
              <w:rPr>
                <w:color w:val="000000" w:themeColor="text1"/>
              </w:rPr>
            </w:pPr>
            <w:r w:rsidRPr="00296D0C">
              <w:rPr>
                <w:color w:val="000000" w:themeColor="text1"/>
              </w:rPr>
              <w:t>Cole TJ et al. Arch Dis Child 1995 73:25-29.</w:t>
            </w:r>
          </w:p>
        </w:tc>
        <w:tc>
          <w:tcPr>
            <w:tcW w:w="553" w:type="pct"/>
          </w:tcPr>
          <w:p w14:paraId="377F2C38" w14:textId="77777777" w:rsidR="00861557" w:rsidRPr="00296D0C" w:rsidRDefault="00861557" w:rsidP="0077247E">
            <w:pPr>
              <w:spacing w:before="40" w:after="40"/>
              <w:rPr>
                <w:color w:val="000000" w:themeColor="text1"/>
              </w:rPr>
            </w:pPr>
            <w:r w:rsidRPr="00296D0C">
              <w:rPr>
                <w:color w:val="000000" w:themeColor="text1"/>
              </w:rPr>
              <w:t xml:space="preserve">11–50 yrs </w:t>
            </w:r>
          </w:p>
        </w:tc>
        <w:tc>
          <w:tcPr>
            <w:tcW w:w="871" w:type="pct"/>
          </w:tcPr>
          <w:p w14:paraId="24D024FB" w14:textId="77777777" w:rsidR="00861557" w:rsidRPr="00296D0C" w:rsidRDefault="00861557" w:rsidP="0077247E">
            <w:pPr>
              <w:spacing w:before="40" w:after="40"/>
              <w:rPr>
                <w:color w:val="000000" w:themeColor="text1"/>
                <w:vertAlign w:val="superscript"/>
              </w:rPr>
            </w:pPr>
            <w:r w:rsidRPr="00296D0C">
              <w:rPr>
                <w:color w:val="000000" w:themeColor="text1"/>
              </w:rPr>
              <w:t>&lt;25</w:t>
            </w:r>
            <w:r w:rsidRPr="00296D0C">
              <w:rPr>
                <w:color w:val="000000" w:themeColor="text1"/>
                <w:vertAlign w:val="superscript"/>
              </w:rPr>
              <w:t>th</w:t>
            </w:r>
          </w:p>
          <w:p w14:paraId="60277358" w14:textId="77777777" w:rsidR="00861557" w:rsidRPr="00296D0C" w:rsidRDefault="00861557" w:rsidP="0077247E">
            <w:pPr>
              <w:spacing w:before="40" w:after="40"/>
              <w:rPr>
                <w:color w:val="000000" w:themeColor="text1"/>
              </w:rPr>
            </w:pPr>
            <w:r w:rsidRPr="00296D0C">
              <w:rPr>
                <w:color w:val="000000" w:themeColor="text1"/>
              </w:rPr>
              <w:t>25-74th</w:t>
            </w:r>
          </w:p>
          <w:p w14:paraId="6480DFB7" w14:textId="77777777" w:rsidR="00861557" w:rsidRPr="00296D0C" w:rsidRDefault="00861557" w:rsidP="0077247E">
            <w:pPr>
              <w:spacing w:before="40" w:after="40"/>
              <w:rPr>
                <w:color w:val="000000" w:themeColor="text1"/>
              </w:rPr>
            </w:pPr>
            <w:r w:rsidRPr="00296D0C">
              <w:rPr>
                <w:color w:val="000000" w:themeColor="text1"/>
              </w:rPr>
              <w:t>75-90th</w:t>
            </w:r>
          </w:p>
          <w:p w14:paraId="3F136D23" w14:textId="77777777" w:rsidR="00861557" w:rsidRPr="00296D0C" w:rsidRDefault="00861557" w:rsidP="0077247E">
            <w:pPr>
              <w:spacing w:before="40" w:after="40"/>
              <w:rPr>
                <w:color w:val="000000" w:themeColor="text1"/>
              </w:rPr>
            </w:pPr>
            <w:r w:rsidRPr="00296D0C">
              <w:rPr>
                <w:color w:val="000000" w:themeColor="text1"/>
              </w:rPr>
              <w:t>&gt;90th</w:t>
            </w:r>
          </w:p>
        </w:tc>
        <w:tc>
          <w:tcPr>
            <w:tcW w:w="507" w:type="pct"/>
          </w:tcPr>
          <w:p w14:paraId="674EA2A4" w14:textId="77777777" w:rsidR="00861557" w:rsidRPr="00296D0C" w:rsidRDefault="00861557" w:rsidP="0077247E">
            <w:pPr>
              <w:spacing w:before="40" w:after="40"/>
              <w:rPr>
                <w:color w:val="000000" w:themeColor="text1"/>
              </w:rPr>
            </w:pPr>
            <w:r w:rsidRPr="00296D0C">
              <w:rPr>
                <w:color w:val="000000" w:themeColor="text1"/>
              </w:rPr>
              <w:t>–</w:t>
            </w:r>
          </w:p>
        </w:tc>
        <w:tc>
          <w:tcPr>
            <w:tcW w:w="421" w:type="pct"/>
          </w:tcPr>
          <w:p w14:paraId="4EC25FFE" w14:textId="77777777" w:rsidR="00861557" w:rsidRPr="00296D0C" w:rsidRDefault="00861557" w:rsidP="0077247E">
            <w:pPr>
              <w:spacing w:before="40" w:after="40"/>
              <w:rPr>
                <w:color w:val="000000" w:themeColor="text1"/>
              </w:rPr>
            </w:pPr>
            <w:r w:rsidRPr="00296D0C">
              <w:rPr>
                <w:color w:val="000000" w:themeColor="text1"/>
              </w:rPr>
              <w:t>–</w:t>
            </w:r>
          </w:p>
        </w:tc>
        <w:tc>
          <w:tcPr>
            <w:tcW w:w="505" w:type="pct"/>
          </w:tcPr>
          <w:p w14:paraId="11E97B21" w14:textId="77777777" w:rsidR="00861557" w:rsidRPr="00296D0C" w:rsidRDefault="00861557" w:rsidP="0077247E">
            <w:pPr>
              <w:spacing w:before="40" w:after="40"/>
              <w:rPr>
                <w:color w:val="000000" w:themeColor="text1"/>
              </w:rPr>
            </w:pPr>
            <w:r w:rsidRPr="00296D0C">
              <w:rPr>
                <w:color w:val="000000" w:themeColor="text1"/>
              </w:rPr>
              <w:t>&gt;24</w:t>
            </w:r>
          </w:p>
        </w:tc>
        <w:tc>
          <w:tcPr>
            <w:tcW w:w="474" w:type="pct"/>
          </w:tcPr>
          <w:p w14:paraId="45254B06" w14:textId="77777777" w:rsidR="00861557" w:rsidRPr="00296D0C" w:rsidRDefault="00861557" w:rsidP="0077247E">
            <w:pPr>
              <w:spacing w:before="40" w:after="40"/>
              <w:rPr>
                <w:color w:val="000000" w:themeColor="text1"/>
              </w:rPr>
            </w:pPr>
            <w:r w:rsidRPr="00296D0C">
              <w:rPr>
                <w:color w:val="000000" w:themeColor="text1"/>
              </w:rPr>
              <w:t>&gt;30</w:t>
            </w:r>
          </w:p>
        </w:tc>
      </w:tr>
      <w:tr w:rsidR="00861557" w:rsidRPr="00296D0C" w14:paraId="0F05D5E2" w14:textId="77777777" w:rsidTr="006E30C7">
        <w:trPr>
          <w:trHeight w:val="1989"/>
        </w:trPr>
        <w:tc>
          <w:tcPr>
            <w:tcW w:w="385" w:type="pct"/>
          </w:tcPr>
          <w:p w14:paraId="1E913459" w14:textId="77777777" w:rsidR="00861557" w:rsidRPr="00296D0C" w:rsidRDefault="00861557" w:rsidP="0077247E">
            <w:pPr>
              <w:spacing w:before="40" w:after="40"/>
              <w:rPr>
                <w:color w:val="000000" w:themeColor="text1"/>
              </w:rPr>
            </w:pPr>
            <w:r w:rsidRPr="00296D0C">
              <w:rPr>
                <w:color w:val="000000" w:themeColor="text1"/>
              </w:rPr>
              <w:t>Laitinen et al., 2001</w:t>
            </w:r>
          </w:p>
          <w:p w14:paraId="40A09B16" w14:textId="222DB18F" w:rsidR="00DC137F" w:rsidRPr="00296D0C" w:rsidRDefault="00DC137F" w:rsidP="008C43BF">
            <w:pPr>
              <w:spacing w:before="40" w:after="40"/>
              <w:rPr>
                <w:color w:val="000000" w:themeColor="text1"/>
              </w:rPr>
            </w:pPr>
            <w:r w:rsidRPr="00296D0C">
              <w:rPr>
                <w:color w:val="000000" w:themeColor="text1"/>
              </w:rPr>
              <w:fldChar w:fldCharType="begin"/>
            </w:r>
            <w:r w:rsidR="008C43BF">
              <w:rPr>
                <w:color w:val="000000" w:themeColor="text1"/>
              </w:rPr>
              <w:instrText xml:space="preserve"> ADDIN EN.CITE &lt;EndNote&gt;&lt;Cite&gt;&lt;Author&gt;Laitinen&lt;/Author&gt;&lt;Year&gt;2001&lt;/Year&gt;&lt;RecNum&gt;125&lt;/RecNum&gt;&lt;DisplayText&gt;&lt;style face="superscript"&gt;86&lt;/style&gt;&lt;/DisplayText&gt;&lt;record&gt;&lt;rec-number&gt;125&lt;/rec-number&gt;&lt;foreign-keys&gt;&lt;key app="EN" db-id="2ewa9rrvjsdsawep2vpx5x97eedzzvxx5rta" timestamp="0"&gt;125&lt;/key&gt;&lt;/foreign-keys&gt;&lt;ref-type name="Journal Article"&gt;17&lt;/ref-type&gt;&lt;contributors&gt;&lt;authors&gt;&lt;author&gt;Laitinen, J.&lt;/author&gt;&lt;author&gt;Power, C.&lt;/author&gt;&lt;author&gt;Jarvelin, M. R.&lt;/author&gt;&lt;/authors&gt;&lt;/contributors&gt;&lt;auth-address&gt;Oulu Regional Institute of Occupational Health, Oulu, Finland. jaana.laitinen@occuphealth.fi&lt;/auth-address&gt;&lt;titles&gt;&lt;title&gt;Family social class, maternal body mass index, childhood body mass index, and age at menarche as predictors of adult obesity&lt;/title&gt;&lt;secondary-title&gt;Am J Clin Nutr&lt;/secondary-title&gt;&lt;/titles&gt;&lt;periodical&gt;&lt;full-title&gt;American Journal of Clinical Nutrition&lt;/full-title&gt;&lt;abbr-1&gt;Am. J. Clin. Nutr.&lt;/abbr-1&gt;&lt;abbr-2&gt;Am J Clin Nutr&lt;/abbr-2&gt;&lt;/periodical&gt;&lt;pages&gt;287-94&lt;/pages&gt;&lt;volume&gt;74&lt;/volume&gt;&lt;number&gt;3&lt;/number&gt;&lt;keywords&gt;&lt;keyword&gt;Adolescent&lt;/keyword&gt;&lt;keyword&gt;Adult&lt;/keyword&gt;&lt;keyword&gt;Age Factors&lt;/keyword&gt;&lt;keyword&gt;Birth Weight&lt;/keyword&gt;&lt;keyword&gt;Body Constitution&lt;/keyword&gt;&lt;keyword&gt;*Body Mass Index&lt;/keyword&gt;&lt;keyword&gt;Cohort Studies&lt;/keyword&gt;&lt;keyword&gt;Female&lt;/keyword&gt;&lt;keyword&gt;Finland/epidemiology&lt;/keyword&gt;&lt;keyword&gt;Humans&lt;/keyword&gt;&lt;keyword&gt;Infant&lt;/keyword&gt;&lt;keyword&gt;Infant, Newborn&lt;/keyword&gt;&lt;keyword&gt;Longitudinal Studies&lt;/keyword&gt;&lt;keyword&gt;Male&lt;/keyword&gt;&lt;keyword&gt;*Menarche&lt;/keyword&gt;&lt;keyword&gt;Obesity/epidemiology/*etiology&lt;/keyword&gt;&lt;keyword&gt;Prevalence&lt;/keyword&gt;&lt;keyword&gt;Probability&lt;/keyword&gt;&lt;keyword&gt;Research Support, Non-U.S. Gov&amp;apos;t&lt;/keyword&gt;&lt;keyword&gt;*Social Class&lt;/keyword&gt;&lt;/keywords&gt;&lt;dates&gt;&lt;year&gt;2001&lt;/year&gt;&lt;pub-dates&gt;&lt;date&gt;Sep&lt;/date&gt;&lt;/pub-dates&gt;&lt;/dates&gt;&lt;accession-num&gt;11522550&lt;/accession-num&gt;&lt;urls&gt;&lt;related-urls&gt;&lt;url&gt;http://www.ncbi.nlm.nih.gov/entrez/query.fcgi?cmd=Retrieve&amp;amp;db=PubMed&amp;amp;dopt=Citation&amp;amp;list_uids=11522550 &lt;/url&gt;&lt;/related-urls&gt;&lt;/urls&gt;&lt;/record&gt;&lt;/Cite&gt;&lt;/EndNote&gt;</w:instrText>
            </w:r>
            <w:r w:rsidRPr="00296D0C">
              <w:rPr>
                <w:color w:val="000000" w:themeColor="text1"/>
              </w:rPr>
              <w:fldChar w:fldCharType="separate"/>
            </w:r>
            <w:r w:rsidR="008C43BF" w:rsidRPr="008C43BF">
              <w:rPr>
                <w:noProof/>
                <w:color w:val="000000" w:themeColor="text1"/>
                <w:vertAlign w:val="superscript"/>
              </w:rPr>
              <w:t>86</w:t>
            </w:r>
            <w:r w:rsidRPr="00296D0C">
              <w:rPr>
                <w:color w:val="000000" w:themeColor="text1"/>
              </w:rPr>
              <w:fldChar w:fldCharType="end"/>
            </w:r>
          </w:p>
        </w:tc>
        <w:tc>
          <w:tcPr>
            <w:tcW w:w="381" w:type="pct"/>
          </w:tcPr>
          <w:p w14:paraId="6C6A6060" w14:textId="77777777" w:rsidR="00861557" w:rsidRPr="00296D0C" w:rsidRDefault="00861557" w:rsidP="0077247E">
            <w:pPr>
              <w:spacing w:before="40" w:after="40"/>
            </w:pPr>
            <w:r w:rsidRPr="00296D0C">
              <w:t>Finland</w:t>
            </w:r>
          </w:p>
        </w:tc>
        <w:tc>
          <w:tcPr>
            <w:tcW w:w="903" w:type="pct"/>
          </w:tcPr>
          <w:p w14:paraId="4800245B" w14:textId="77777777" w:rsidR="00861557" w:rsidRPr="00296D0C" w:rsidRDefault="00861557" w:rsidP="0077247E">
            <w:pPr>
              <w:spacing w:before="40" w:after="40"/>
            </w:pPr>
            <w:r w:rsidRPr="00296D0C">
              <w:t>NHANES I and II</w:t>
            </w:r>
          </w:p>
          <w:p w14:paraId="487F9D09" w14:textId="77777777" w:rsidR="00861557" w:rsidRPr="00296D0C" w:rsidRDefault="00861557" w:rsidP="0077247E">
            <w:pPr>
              <w:spacing w:before="40" w:after="40"/>
            </w:pPr>
            <w:r w:rsidRPr="00296D0C">
              <w:t>Whitaker RC et al. N Engl J Med 1997;337: 869–73.</w:t>
            </w:r>
          </w:p>
          <w:p w14:paraId="522021BF" w14:textId="77777777" w:rsidR="00861557" w:rsidRPr="00296D0C" w:rsidRDefault="00861557" w:rsidP="0077247E">
            <w:pPr>
              <w:spacing w:before="40" w:after="40"/>
            </w:pPr>
            <w:r w:rsidRPr="00296D0C">
              <w:t>Frisancho AR. Ann Arbor: University of Michigan Press, 1990. [[citation from Whitaker]]</w:t>
            </w:r>
          </w:p>
        </w:tc>
        <w:tc>
          <w:tcPr>
            <w:tcW w:w="553" w:type="pct"/>
          </w:tcPr>
          <w:p w14:paraId="35BB80F1" w14:textId="77777777" w:rsidR="00861557" w:rsidRPr="00296D0C" w:rsidRDefault="00861557" w:rsidP="0077247E">
            <w:pPr>
              <w:spacing w:before="40" w:after="40"/>
              <w:rPr>
                <w:color w:val="000000" w:themeColor="text1"/>
              </w:rPr>
            </w:pPr>
            <w:r w:rsidRPr="00296D0C">
              <w:rPr>
                <w:color w:val="000000" w:themeColor="text1"/>
              </w:rPr>
              <w:t>14–31 yrs</w:t>
            </w:r>
          </w:p>
        </w:tc>
        <w:tc>
          <w:tcPr>
            <w:tcW w:w="871" w:type="pct"/>
          </w:tcPr>
          <w:p w14:paraId="754E6E3F" w14:textId="77777777" w:rsidR="00861557" w:rsidRPr="00296D0C" w:rsidRDefault="00861557" w:rsidP="0077247E">
            <w:pPr>
              <w:spacing w:before="40" w:after="40"/>
              <w:rPr>
                <w:color w:val="000000" w:themeColor="text1"/>
              </w:rPr>
            </w:pPr>
            <w:r w:rsidRPr="00296D0C">
              <w:rPr>
                <w:color w:val="000000" w:themeColor="text1"/>
              </w:rPr>
              <w:t>&lt;85</w:t>
            </w:r>
            <w:r w:rsidRPr="00296D0C">
              <w:rPr>
                <w:color w:val="000000" w:themeColor="text1"/>
                <w:vertAlign w:val="superscript"/>
              </w:rPr>
              <w:t>th</w:t>
            </w:r>
            <w:r w:rsidRPr="00296D0C">
              <w:rPr>
                <w:color w:val="000000" w:themeColor="text1"/>
              </w:rPr>
              <w:t xml:space="preserve"> </w:t>
            </w:r>
          </w:p>
          <w:p w14:paraId="5CE858C7" w14:textId="77777777" w:rsidR="00861557" w:rsidRPr="00296D0C" w:rsidRDefault="00861557" w:rsidP="0077247E">
            <w:pPr>
              <w:spacing w:before="40" w:after="40"/>
              <w:rPr>
                <w:color w:val="000000" w:themeColor="text1"/>
              </w:rPr>
            </w:pPr>
            <w:r w:rsidRPr="00296D0C">
              <w:rPr>
                <w:color w:val="000000" w:themeColor="text1"/>
              </w:rPr>
              <w:t>85</w:t>
            </w:r>
            <w:r w:rsidRPr="00296D0C">
              <w:rPr>
                <w:color w:val="000000" w:themeColor="text1"/>
                <w:vertAlign w:val="superscript"/>
              </w:rPr>
              <w:t>th</w:t>
            </w:r>
            <w:r w:rsidRPr="00296D0C">
              <w:rPr>
                <w:color w:val="000000" w:themeColor="text1"/>
              </w:rPr>
              <w:t xml:space="preserve"> to &lt;95</w:t>
            </w:r>
            <w:r w:rsidRPr="00296D0C">
              <w:rPr>
                <w:color w:val="000000" w:themeColor="text1"/>
                <w:vertAlign w:val="superscript"/>
              </w:rPr>
              <w:t xml:space="preserve">th </w:t>
            </w:r>
            <w:r w:rsidRPr="00296D0C">
              <w:rPr>
                <w:color w:val="000000" w:themeColor="text1"/>
              </w:rPr>
              <w:t>(obese)</w:t>
            </w:r>
          </w:p>
          <w:p w14:paraId="58A2A7BA" w14:textId="77777777" w:rsidR="00861557" w:rsidRPr="00296D0C" w:rsidRDefault="00861557" w:rsidP="0077247E">
            <w:pPr>
              <w:spacing w:before="40" w:after="40"/>
              <w:rPr>
                <w:color w:val="000000" w:themeColor="text1"/>
              </w:rPr>
            </w:pPr>
            <w:r w:rsidRPr="00296D0C">
              <w:rPr>
                <w:color w:val="000000" w:themeColor="text1"/>
              </w:rPr>
              <w:t>≥95</w:t>
            </w:r>
            <w:r w:rsidRPr="00296D0C">
              <w:rPr>
                <w:color w:val="000000" w:themeColor="text1"/>
                <w:vertAlign w:val="superscript"/>
              </w:rPr>
              <w:t>th</w:t>
            </w:r>
            <w:r w:rsidRPr="00296D0C">
              <w:rPr>
                <w:color w:val="000000" w:themeColor="text1"/>
              </w:rPr>
              <w:t xml:space="preserve"> (very obese)</w:t>
            </w:r>
          </w:p>
        </w:tc>
        <w:tc>
          <w:tcPr>
            <w:tcW w:w="507" w:type="pct"/>
          </w:tcPr>
          <w:p w14:paraId="730977D0" w14:textId="77777777" w:rsidR="00861557" w:rsidRPr="00296D0C" w:rsidRDefault="00861557" w:rsidP="0077247E">
            <w:pPr>
              <w:spacing w:before="40" w:after="40"/>
              <w:rPr>
                <w:color w:val="000000" w:themeColor="text1"/>
              </w:rPr>
            </w:pPr>
            <w:r w:rsidRPr="00296D0C">
              <w:rPr>
                <w:color w:val="000000" w:themeColor="text1"/>
              </w:rPr>
              <w:t>&lt;18.5</w:t>
            </w:r>
          </w:p>
        </w:tc>
        <w:tc>
          <w:tcPr>
            <w:tcW w:w="421" w:type="pct"/>
          </w:tcPr>
          <w:p w14:paraId="4D466052" w14:textId="77777777" w:rsidR="00861557" w:rsidRPr="00296D0C" w:rsidRDefault="00861557" w:rsidP="0077247E">
            <w:pPr>
              <w:spacing w:before="40" w:after="40"/>
              <w:rPr>
                <w:color w:val="000000" w:themeColor="text1"/>
              </w:rPr>
            </w:pPr>
            <w:r w:rsidRPr="00296D0C">
              <w:rPr>
                <w:color w:val="000000" w:themeColor="text1"/>
              </w:rPr>
              <w:t>18.5–24.9</w:t>
            </w:r>
          </w:p>
        </w:tc>
        <w:tc>
          <w:tcPr>
            <w:tcW w:w="505" w:type="pct"/>
          </w:tcPr>
          <w:p w14:paraId="1FEA0A13" w14:textId="77777777" w:rsidR="00861557" w:rsidRPr="00296D0C" w:rsidRDefault="00861557" w:rsidP="0077247E">
            <w:pPr>
              <w:spacing w:before="40" w:after="40"/>
              <w:rPr>
                <w:color w:val="000000" w:themeColor="text1"/>
              </w:rPr>
            </w:pPr>
            <w:r w:rsidRPr="00296D0C">
              <w:rPr>
                <w:color w:val="000000" w:themeColor="text1"/>
              </w:rPr>
              <w:t>25.0-29.9</w:t>
            </w:r>
          </w:p>
        </w:tc>
        <w:tc>
          <w:tcPr>
            <w:tcW w:w="474" w:type="pct"/>
          </w:tcPr>
          <w:p w14:paraId="70913E09" w14:textId="77777777" w:rsidR="00861557" w:rsidRPr="00296D0C" w:rsidRDefault="00861557" w:rsidP="0077247E">
            <w:pPr>
              <w:spacing w:before="40" w:after="40"/>
              <w:rPr>
                <w:color w:val="000000" w:themeColor="text1"/>
              </w:rPr>
            </w:pPr>
            <w:r w:rsidRPr="00296D0C">
              <w:rPr>
                <w:color w:val="000000" w:themeColor="text1"/>
              </w:rPr>
              <w:t>≥30</w:t>
            </w:r>
          </w:p>
        </w:tc>
      </w:tr>
      <w:tr w:rsidR="00861557" w:rsidRPr="00296D0C" w14:paraId="45671EA0" w14:textId="77777777" w:rsidTr="006E30C7">
        <w:trPr>
          <w:trHeight w:val="1223"/>
        </w:trPr>
        <w:tc>
          <w:tcPr>
            <w:tcW w:w="385" w:type="pct"/>
          </w:tcPr>
          <w:p w14:paraId="525C98DA" w14:textId="77777777" w:rsidR="00861557" w:rsidRPr="00296D0C" w:rsidRDefault="00861557" w:rsidP="0077247E">
            <w:pPr>
              <w:spacing w:before="40" w:after="40"/>
              <w:rPr>
                <w:color w:val="000000" w:themeColor="text1"/>
              </w:rPr>
            </w:pPr>
            <w:r w:rsidRPr="00296D0C">
              <w:rPr>
                <w:color w:val="000000" w:themeColor="text1"/>
              </w:rPr>
              <w:t>Venn et al., 2007</w:t>
            </w:r>
          </w:p>
          <w:p w14:paraId="6DEB0741" w14:textId="1F7854C5" w:rsidR="00DC137F" w:rsidRPr="00296D0C" w:rsidRDefault="00DC137F" w:rsidP="008C43BF">
            <w:pPr>
              <w:spacing w:before="40" w:after="40"/>
              <w:rPr>
                <w:color w:val="000000" w:themeColor="text1"/>
              </w:rPr>
            </w:pPr>
            <w:r w:rsidRPr="00296D0C">
              <w:rPr>
                <w:color w:val="000000" w:themeColor="text1"/>
              </w:rPr>
              <w:fldChar w:fldCharType="begin"/>
            </w:r>
            <w:r w:rsidR="008C43BF">
              <w:rPr>
                <w:color w:val="000000" w:themeColor="text1"/>
              </w:rPr>
              <w:instrText xml:space="preserve"> ADDIN EN.CITE &lt;EndNote&gt;&lt;Cite&gt;&lt;Author&gt;Venn&lt;/Author&gt;&lt;Year&gt;2007&lt;/Year&gt;&lt;RecNum&gt;5773&lt;/RecNum&gt;&lt;DisplayText&gt;&lt;style face="superscript"&gt;75&lt;/style&gt;&lt;/DisplayText&gt;&lt;record&gt;&lt;rec-number&gt;5773&lt;/rec-number&gt;&lt;foreign-keys&gt;&lt;key app="EN" db-id="2ewa9rrvjsdsawep2vpx5x97eedzzvxx5rta" timestamp="1478679952"&gt;5773&lt;/key&gt;&lt;/foreign-keys&gt;&lt;ref-type name="Journal Article"&gt;17&lt;/ref-type&gt;&lt;contributors&gt;&lt;authors&gt;&lt;author&gt;Venn, A. J.&lt;/author&gt;&lt;author&gt;Thomson, R. J.&lt;/author&gt;&lt;author&gt;Schmidt, M. D.&lt;/author&gt;&lt;author&gt;Cleland, V. J.&lt;/author&gt;&lt;author&gt;Curry, B. A.&lt;/author&gt;&lt;author&gt;Gennat, H. C.&lt;/author&gt;&lt;author&gt;Dwyer, T.&lt;/author&gt;&lt;/authors&gt;&lt;/contributors&gt;&lt;auth-address&gt;Menzies Research Institute, Hobart, Tasmania, Australia. Alison.Venn@utas.edu.au&lt;/auth-address&gt;&lt;titles&gt;&lt;title&gt;Overweight and obesity from childhood to adulthood: a follow-up of participants in the 1985 Australian Schools Health and Fitness Survey&lt;/title&gt;&lt;secondary-title&gt;Med J Aust&lt;/secondary-title&gt;&lt;/titles&gt;&lt;periodical&gt;&lt;full-title&gt;Medical Journal of Australia&lt;/full-title&gt;&lt;abbr-1&gt;Med. J. Aust.&lt;/abbr-1&gt;&lt;abbr-2&gt;Med J Aust&lt;/abbr-2&gt;&lt;/periodical&gt;&lt;pages&gt;458-60&lt;/pages&gt;&lt;volume&gt;186&lt;/volume&gt;&lt;number&gt;9&lt;/number&gt;&lt;keywords&gt;&lt;keyword&gt;Adolescent&lt;/keyword&gt;&lt;keyword&gt;Adult&lt;/keyword&gt;&lt;keyword&gt;Australia/epidemiology&lt;/keyword&gt;&lt;keyword&gt;Body Height&lt;/keyword&gt;&lt;keyword&gt;Body Mass Index&lt;/keyword&gt;&lt;keyword&gt;Child&lt;/keyword&gt;&lt;keyword&gt;Cohort Studies&lt;/keyword&gt;&lt;keyword&gt;Female&lt;/keyword&gt;&lt;keyword&gt;Follow-Up Studies&lt;/keyword&gt;&lt;keyword&gt;Health Surveys&lt;/keyword&gt;&lt;keyword&gt;Humans&lt;/keyword&gt;&lt;keyword&gt;Male&lt;/keyword&gt;&lt;keyword&gt;Obesity/*epidemiology&lt;/keyword&gt;&lt;keyword&gt;*Overweight&lt;/keyword&gt;&lt;keyword&gt;Prevalence&lt;/keyword&gt;&lt;/keywords&gt;&lt;dates&gt;&lt;year&gt;2007&lt;/year&gt;&lt;pub-dates&gt;&lt;date&gt;May 7&lt;/date&gt;&lt;/pub-dates&gt;&lt;/dates&gt;&lt;isbn&gt;0025-729X (Print)&amp;#xD;0025-729X (Linking)&lt;/isbn&gt;&lt;accession-num&gt;17484707&lt;/accession-num&gt;&lt;urls&gt;&lt;related-urls&gt;&lt;url&gt;http://www.ncbi.nlm.nih.gov/pubmed/17484707&lt;/url&gt;&lt;/related-urls&gt;&lt;/urls&gt;&lt;/record&gt;&lt;/Cite&gt;&lt;/EndNote&gt;</w:instrText>
            </w:r>
            <w:r w:rsidRPr="00296D0C">
              <w:rPr>
                <w:color w:val="000000" w:themeColor="text1"/>
              </w:rPr>
              <w:fldChar w:fldCharType="separate"/>
            </w:r>
            <w:r w:rsidR="008C43BF" w:rsidRPr="008C43BF">
              <w:rPr>
                <w:noProof/>
                <w:color w:val="000000" w:themeColor="text1"/>
                <w:vertAlign w:val="superscript"/>
              </w:rPr>
              <w:t>75</w:t>
            </w:r>
            <w:r w:rsidRPr="00296D0C">
              <w:rPr>
                <w:color w:val="000000" w:themeColor="text1"/>
              </w:rPr>
              <w:fldChar w:fldCharType="end"/>
            </w:r>
          </w:p>
        </w:tc>
        <w:tc>
          <w:tcPr>
            <w:tcW w:w="381" w:type="pct"/>
          </w:tcPr>
          <w:p w14:paraId="6C8245BE" w14:textId="77777777" w:rsidR="00861557" w:rsidRPr="00296D0C" w:rsidRDefault="00861557" w:rsidP="0077247E">
            <w:pPr>
              <w:spacing w:before="40" w:after="40"/>
              <w:rPr>
                <w:color w:val="000000" w:themeColor="text1"/>
              </w:rPr>
            </w:pPr>
            <w:r w:rsidRPr="00296D0C">
              <w:rPr>
                <w:color w:val="000000" w:themeColor="text1"/>
              </w:rPr>
              <w:t>Australia</w:t>
            </w:r>
          </w:p>
        </w:tc>
        <w:tc>
          <w:tcPr>
            <w:tcW w:w="903" w:type="pct"/>
          </w:tcPr>
          <w:p w14:paraId="5CBA710C" w14:textId="77777777" w:rsidR="00861557" w:rsidRPr="00296D0C" w:rsidRDefault="00861557" w:rsidP="0077247E">
            <w:pPr>
              <w:spacing w:before="40" w:after="40"/>
              <w:rPr>
                <w:color w:val="000000" w:themeColor="text1"/>
              </w:rPr>
            </w:pPr>
            <w:r w:rsidRPr="00296D0C">
              <w:rPr>
                <w:color w:val="000000" w:themeColor="text1"/>
              </w:rPr>
              <w:t>IOTF</w:t>
            </w:r>
          </w:p>
          <w:p w14:paraId="778FD044" w14:textId="77777777" w:rsidR="00861557" w:rsidRPr="00296D0C" w:rsidRDefault="00861557" w:rsidP="0077247E">
            <w:pPr>
              <w:spacing w:before="40" w:after="40"/>
              <w:rPr>
                <w:color w:val="000000" w:themeColor="text1"/>
              </w:rPr>
            </w:pPr>
            <w:r w:rsidRPr="00296D0C">
              <w:rPr>
                <w:color w:val="000000" w:themeColor="text1"/>
              </w:rPr>
              <w:t>Cole TJ et al. BMJ 2000; 320: 1240-1243.</w:t>
            </w:r>
          </w:p>
        </w:tc>
        <w:tc>
          <w:tcPr>
            <w:tcW w:w="553" w:type="pct"/>
          </w:tcPr>
          <w:p w14:paraId="6335CB05" w14:textId="77777777" w:rsidR="00861557" w:rsidRPr="00296D0C" w:rsidRDefault="00861557" w:rsidP="0077247E">
            <w:pPr>
              <w:spacing w:before="40" w:after="40"/>
              <w:rPr>
                <w:color w:val="000000" w:themeColor="text1"/>
              </w:rPr>
            </w:pPr>
            <w:r w:rsidRPr="00296D0C">
              <w:rPr>
                <w:color w:val="000000" w:themeColor="text1"/>
              </w:rPr>
              <w:t>15–34 yrs</w:t>
            </w:r>
          </w:p>
        </w:tc>
        <w:tc>
          <w:tcPr>
            <w:tcW w:w="871" w:type="pct"/>
          </w:tcPr>
          <w:p w14:paraId="21BA64A5" w14:textId="77777777" w:rsidR="00861557" w:rsidRPr="00296D0C" w:rsidRDefault="00861557" w:rsidP="0077247E">
            <w:pPr>
              <w:spacing w:before="40" w:after="40"/>
              <w:rPr>
                <w:color w:val="000000" w:themeColor="text1"/>
              </w:rPr>
            </w:pPr>
            <w:r w:rsidRPr="00296D0C">
              <w:rPr>
                <w:color w:val="000000" w:themeColor="text1"/>
              </w:rPr>
              <w:t>≥5</w:t>
            </w:r>
            <w:r w:rsidRPr="00296D0C">
              <w:rPr>
                <w:color w:val="000000" w:themeColor="text1"/>
                <w:vertAlign w:val="superscript"/>
              </w:rPr>
              <w:t>th</w:t>
            </w:r>
            <w:r w:rsidRPr="00296D0C">
              <w:rPr>
                <w:color w:val="000000" w:themeColor="text1"/>
              </w:rPr>
              <w:t xml:space="preserve"> to 90</w:t>
            </w:r>
            <w:r w:rsidRPr="00296D0C">
              <w:rPr>
                <w:color w:val="000000" w:themeColor="text1"/>
                <w:vertAlign w:val="superscript"/>
              </w:rPr>
              <w:t xml:space="preserve">th </w:t>
            </w:r>
            <w:r w:rsidRPr="00296D0C">
              <w:rPr>
                <w:color w:val="000000" w:themeColor="text1"/>
              </w:rPr>
              <w:t>(Normal)</w:t>
            </w:r>
          </w:p>
          <w:p w14:paraId="06B3E204" w14:textId="77777777" w:rsidR="00861557" w:rsidRPr="00296D0C" w:rsidRDefault="00861557" w:rsidP="0077247E">
            <w:pPr>
              <w:spacing w:before="40" w:after="40"/>
              <w:rPr>
                <w:color w:val="000000" w:themeColor="text1"/>
              </w:rPr>
            </w:pPr>
            <w:r w:rsidRPr="00296D0C">
              <w:rPr>
                <w:color w:val="000000" w:themeColor="text1"/>
              </w:rPr>
              <w:t>≥90</w:t>
            </w:r>
            <w:r w:rsidRPr="00296D0C">
              <w:rPr>
                <w:color w:val="000000" w:themeColor="text1"/>
                <w:vertAlign w:val="superscript"/>
              </w:rPr>
              <w:t>th</w:t>
            </w:r>
            <w:r w:rsidRPr="00296D0C">
              <w:rPr>
                <w:color w:val="000000" w:themeColor="text1"/>
              </w:rPr>
              <w:t xml:space="preserve"> to 97</w:t>
            </w:r>
            <w:r w:rsidRPr="00296D0C">
              <w:rPr>
                <w:color w:val="000000" w:themeColor="text1"/>
                <w:vertAlign w:val="superscript"/>
              </w:rPr>
              <w:t>th</w:t>
            </w:r>
            <w:r w:rsidRPr="00296D0C">
              <w:rPr>
                <w:color w:val="000000" w:themeColor="text1"/>
              </w:rPr>
              <w:t xml:space="preserve"> (at risk OW)</w:t>
            </w:r>
          </w:p>
          <w:p w14:paraId="3DF25F49" w14:textId="77777777" w:rsidR="00861557" w:rsidRPr="00296D0C" w:rsidRDefault="00861557" w:rsidP="0077247E">
            <w:pPr>
              <w:spacing w:before="40" w:after="40"/>
              <w:rPr>
                <w:color w:val="000000" w:themeColor="text1"/>
              </w:rPr>
            </w:pPr>
            <w:r w:rsidRPr="00296D0C">
              <w:rPr>
                <w:color w:val="000000" w:themeColor="text1"/>
              </w:rPr>
              <w:t>&gt;97</w:t>
            </w:r>
            <w:r w:rsidRPr="00296D0C">
              <w:rPr>
                <w:color w:val="000000" w:themeColor="text1"/>
                <w:vertAlign w:val="superscript"/>
              </w:rPr>
              <w:t>th</w:t>
            </w:r>
            <w:r w:rsidRPr="00296D0C">
              <w:rPr>
                <w:color w:val="000000" w:themeColor="text1"/>
              </w:rPr>
              <w:t xml:space="preserve"> (OW)</w:t>
            </w:r>
          </w:p>
        </w:tc>
        <w:tc>
          <w:tcPr>
            <w:tcW w:w="507" w:type="pct"/>
          </w:tcPr>
          <w:p w14:paraId="163E5754" w14:textId="77777777" w:rsidR="00861557" w:rsidRPr="00296D0C" w:rsidRDefault="00861557" w:rsidP="0077247E">
            <w:pPr>
              <w:spacing w:before="40" w:after="40"/>
              <w:rPr>
                <w:color w:val="000000" w:themeColor="text1"/>
              </w:rPr>
            </w:pPr>
            <w:r w:rsidRPr="00296D0C">
              <w:rPr>
                <w:color w:val="000000" w:themeColor="text1"/>
              </w:rPr>
              <w:t>Not defined as a separate category</w:t>
            </w:r>
          </w:p>
        </w:tc>
        <w:tc>
          <w:tcPr>
            <w:tcW w:w="421" w:type="pct"/>
          </w:tcPr>
          <w:p w14:paraId="70A8E2E4" w14:textId="77777777" w:rsidR="00861557" w:rsidRPr="00296D0C" w:rsidRDefault="00861557" w:rsidP="0077247E">
            <w:pPr>
              <w:spacing w:before="40" w:after="40"/>
              <w:rPr>
                <w:color w:val="000000" w:themeColor="text1"/>
              </w:rPr>
            </w:pPr>
            <w:r w:rsidRPr="00296D0C">
              <w:rPr>
                <w:color w:val="000000" w:themeColor="text1"/>
              </w:rPr>
              <w:t>&lt;25.0</w:t>
            </w:r>
          </w:p>
        </w:tc>
        <w:tc>
          <w:tcPr>
            <w:tcW w:w="505" w:type="pct"/>
          </w:tcPr>
          <w:p w14:paraId="1A153992" w14:textId="77777777" w:rsidR="00861557" w:rsidRPr="00296D0C" w:rsidRDefault="00861557" w:rsidP="0077247E">
            <w:pPr>
              <w:spacing w:before="40" w:after="40"/>
              <w:rPr>
                <w:color w:val="000000" w:themeColor="text1"/>
              </w:rPr>
            </w:pPr>
            <w:r w:rsidRPr="00296D0C">
              <w:rPr>
                <w:color w:val="000000" w:themeColor="text1"/>
              </w:rPr>
              <w:t>25.0-29.9</w:t>
            </w:r>
          </w:p>
        </w:tc>
        <w:tc>
          <w:tcPr>
            <w:tcW w:w="474" w:type="pct"/>
          </w:tcPr>
          <w:p w14:paraId="3B4E4984" w14:textId="77777777" w:rsidR="00861557" w:rsidRPr="00296D0C" w:rsidRDefault="00861557" w:rsidP="0077247E">
            <w:pPr>
              <w:spacing w:before="40" w:after="40"/>
              <w:rPr>
                <w:color w:val="000000" w:themeColor="text1"/>
              </w:rPr>
            </w:pPr>
            <w:r w:rsidRPr="00296D0C">
              <w:rPr>
                <w:color w:val="000000" w:themeColor="text1"/>
              </w:rPr>
              <w:t>≥30</w:t>
            </w:r>
            <w:r w:rsidRPr="00296D0C">
              <w:rPr>
                <w:color w:val="000000" w:themeColor="text1"/>
                <w:vertAlign w:val="superscript"/>
              </w:rPr>
              <w:t>b</w:t>
            </w:r>
          </w:p>
        </w:tc>
      </w:tr>
    </w:tbl>
    <w:p w14:paraId="6FEFCB2D" w14:textId="5C67B57F" w:rsidR="00861557" w:rsidRPr="00296D0C" w:rsidRDefault="00861557" w:rsidP="000266B9">
      <w:pPr>
        <w:spacing w:after="0" w:line="240" w:lineRule="auto"/>
        <w:rPr>
          <w:rFonts w:cs="Arial"/>
        </w:rPr>
      </w:pPr>
      <w:r w:rsidRPr="00296D0C">
        <w:t>Key: CDC = Centre for Disease Control; IOTF = International Obesity Task Force; NHANES = National Health and Nutrition Examination Survey; OW =</w:t>
      </w:r>
      <w:r w:rsidR="006E30C7">
        <w:t xml:space="preserve"> overweight; UK = United Kingdom. </w:t>
      </w:r>
      <w:r w:rsidRPr="00296D0C">
        <w:t>Notes: (a) The centile indicates the relative position of the child's body mass index (BMI) number among children of the same sex and age. The growth charts show the weight status categories used with children and teens: underweight, healthy weight, overweight, and obese; (b) Also included a very obese group defined as BMI ≥35</w:t>
      </w:r>
    </w:p>
    <w:p w14:paraId="73CA5601" w14:textId="77777777" w:rsidR="00861557" w:rsidRPr="00296D0C" w:rsidRDefault="00861557" w:rsidP="00861557">
      <w:pPr>
        <w:spacing w:after="120"/>
        <w:rPr>
          <w:rFonts w:cs="Arial"/>
        </w:rPr>
        <w:sectPr w:rsidR="00861557" w:rsidRPr="00296D0C" w:rsidSect="00DC137F">
          <w:pgSz w:w="16838" w:h="11906" w:orient="landscape"/>
          <w:pgMar w:top="1440" w:right="1440" w:bottom="1440" w:left="1440" w:header="720" w:footer="720" w:gutter="0"/>
          <w:cols w:space="720"/>
          <w:docGrid w:linePitch="360"/>
        </w:sectPr>
      </w:pPr>
    </w:p>
    <w:p w14:paraId="34525B20" w14:textId="2CA881F1" w:rsidR="00861557" w:rsidRPr="00296D0C" w:rsidRDefault="00861557" w:rsidP="00861557">
      <w:pPr>
        <w:pStyle w:val="Caption"/>
        <w:rPr>
          <w:rFonts w:cs="Arial"/>
          <w:b/>
          <w:i w:val="0"/>
          <w:color w:val="auto"/>
          <w:sz w:val="22"/>
          <w:szCs w:val="22"/>
        </w:rPr>
      </w:pPr>
      <w:bookmarkStart w:id="506" w:name="_Ref453764326"/>
      <w:r w:rsidRPr="00296D0C">
        <w:rPr>
          <w:rFonts w:cs="Arial"/>
          <w:b/>
          <w:i w:val="0"/>
          <w:color w:val="auto"/>
          <w:sz w:val="22"/>
          <w:szCs w:val="22"/>
        </w:rPr>
        <w:lastRenderedPageBreak/>
        <w:t>T</w:t>
      </w:r>
      <w:r w:rsidR="009463BC" w:rsidRPr="00296D0C">
        <w:rPr>
          <w:rFonts w:cs="Arial"/>
          <w:b/>
          <w:i w:val="0"/>
          <w:color w:val="auto"/>
          <w:sz w:val="22"/>
          <w:szCs w:val="22"/>
        </w:rPr>
        <w:t>ABLE</w:t>
      </w:r>
      <w:r w:rsidRPr="00296D0C">
        <w:rPr>
          <w:rFonts w:cs="Arial"/>
          <w:b/>
          <w:i w:val="0"/>
          <w:color w:val="auto"/>
          <w:sz w:val="22"/>
          <w:szCs w:val="22"/>
        </w:rPr>
        <w:t xml:space="preserve"> </w:t>
      </w:r>
      <w:bookmarkEnd w:id="506"/>
      <w:r w:rsidR="009463BC" w:rsidRPr="00296D0C">
        <w:rPr>
          <w:rFonts w:cs="Arial"/>
          <w:b/>
          <w:i w:val="0"/>
          <w:color w:val="auto"/>
          <w:sz w:val="22"/>
          <w:szCs w:val="22"/>
        </w:rPr>
        <w:t>2</w:t>
      </w:r>
      <w:r w:rsidR="0041502B">
        <w:rPr>
          <w:rFonts w:cs="Arial"/>
          <w:b/>
          <w:i w:val="0"/>
          <w:color w:val="auto"/>
          <w:sz w:val="22"/>
          <w:szCs w:val="22"/>
        </w:rPr>
        <w:t>7</w:t>
      </w:r>
      <w:r w:rsidR="009463BC" w:rsidRPr="00296D0C">
        <w:rPr>
          <w:rFonts w:cs="Arial"/>
          <w:b/>
          <w:i w:val="0"/>
          <w:color w:val="auto"/>
          <w:sz w:val="22"/>
          <w:szCs w:val="22"/>
        </w:rPr>
        <w:t xml:space="preserve"> </w:t>
      </w:r>
      <w:r w:rsidRPr="00296D0C">
        <w:rPr>
          <w:rFonts w:cs="Arial"/>
          <w:b/>
          <w:i w:val="0"/>
          <w:color w:val="auto"/>
          <w:sz w:val="22"/>
          <w:szCs w:val="22"/>
        </w:rPr>
        <w:t>Predicted probabilities of adult weight status by child BMI centile category</w:t>
      </w:r>
    </w:p>
    <w:tbl>
      <w:tblPr>
        <w:tblStyle w:val="TableGrid"/>
        <w:tblW w:w="0" w:type="auto"/>
        <w:tblLook w:val="04A0" w:firstRow="1" w:lastRow="0" w:firstColumn="1" w:lastColumn="0" w:noHBand="0" w:noVBand="1"/>
      </w:tblPr>
      <w:tblGrid>
        <w:gridCol w:w="4590"/>
        <w:gridCol w:w="1475"/>
        <w:gridCol w:w="1475"/>
        <w:gridCol w:w="1476"/>
      </w:tblGrid>
      <w:tr w:rsidR="00861557" w:rsidRPr="00296D0C" w14:paraId="5F577466" w14:textId="77777777" w:rsidTr="0077247E">
        <w:tc>
          <w:tcPr>
            <w:tcW w:w="4729" w:type="dxa"/>
            <w:tcBorders>
              <w:bottom w:val="nil"/>
              <w:right w:val="nil"/>
            </w:tcBorders>
          </w:tcPr>
          <w:p w14:paraId="567EB0B7" w14:textId="11856204" w:rsidR="00861557" w:rsidRPr="00296D0C" w:rsidRDefault="00861557" w:rsidP="008C43BF">
            <w:pPr>
              <w:spacing w:before="40" w:after="40"/>
              <w:rPr>
                <w:b/>
              </w:rPr>
            </w:pPr>
            <w:r w:rsidRPr="00296D0C">
              <w:rPr>
                <w:b/>
              </w:rPr>
              <w:t>Data from: Power et al</w:t>
            </w:r>
            <w:r w:rsidR="001A55B7" w:rsidRPr="00296D0C">
              <w:rPr>
                <w:b/>
              </w:rPr>
              <w:t>.</w:t>
            </w:r>
            <w:r w:rsidR="001B5A2E" w:rsidRPr="00296D0C">
              <w:rPr>
                <w:b/>
              </w:rPr>
              <w:t xml:space="preserve"> </w:t>
            </w:r>
            <w:r w:rsidR="001B5A2E" w:rsidRPr="00296D0C">
              <w:rPr>
                <w:b/>
                <w:color w:val="000000" w:themeColor="text1"/>
              </w:rPr>
              <w:fldChar w:fldCharType="begin"/>
            </w:r>
            <w:r w:rsidR="008C43BF">
              <w:rPr>
                <w:b/>
                <w:color w:val="000000" w:themeColor="text1"/>
              </w:rPr>
              <w:instrText xml:space="preserve"> ADDIN EN.CITE &lt;EndNote&gt;&lt;Cite&gt;&lt;Author&gt;Power&lt;/Author&gt;&lt;Year&gt;1997&lt;/Year&gt;&lt;RecNum&gt;5762&lt;/RecNum&gt;&lt;DisplayText&gt;&lt;style face="superscript"&gt;76&lt;/style&gt;&lt;/DisplayText&gt;&lt;record&gt;&lt;rec-number&gt;5762&lt;/rec-number&gt;&lt;foreign-keys&gt;&lt;key app="EN" db-id="2ewa9rrvjsdsawep2vpx5x97eedzzvxx5rta" timestamp="1478679952"&gt;5762&lt;/key&gt;&lt;/foreign-keys&gt;&lt;ref-type name="Journal Article"&gt;17&lt;/ref-type&gt;&lt;contributors&gt;&lt;authors&gt;&lt;author&gt;Power, C.&lt;/author&gt;&lt;author&gt;Hertzman, C.&lt;/author&gt;&lt;author&gt;Matthews, S.&lt;/author&gt;&lt;author&gt;Manor, O.&lt;/author&gt;&lt;/authors&gt;&lt;/contributors&gt;&lt;auth-address&gt;Department of Epidemiology and Biostatistics, Institute of Child Health, London, England.&lt;/auth-address&gt;&lt;titles&gt;&lt;title&gt;Social differences in health: life-cycle effects between ages 23 and 33 in the 1958 British birth cohort&lt;/title&gt;&lt;secondary-title&gt;Am J Public Health&lt;/secondary-title&gt;&lt;/titles&gt;&lt;periodical&gt;&lt;full-title&gt;American Journal of Public Health&lt;/full-title&gt;&lt;abbr-1&gt;Am. J. Public Health&lt;/abbr-1&gt;&lt;abbr-2&gt;Am J Public Health&lt;/abbr-2&gt;&lt;/periodical&gt;&lt;pages&gt;1499-503&lt;/pages&gt;&lt;volume&gt;87&lt;/volume&gt;&lt;number&gt;9&lt;/number&gt;&lt;keywords&gt;&lt;keyword&gt;Adult&lt;/keyword&gt;&lt;keyword&gt;Aging&lt;/keyword&gt;&lt;keyword&gt;Asthma/epidemiology&lt;/keyword&gt;&lt;keyword&gt;Cohort Studies&lt;/keyword&gt;&lt;keyword&gt;Female&lt;/keyword&gt;&lt;keyword&gt;Great Britain/epidemiology&lt;/keyword&gt;&lt;keyword&gt;*Health Status&lt;/keyword&gt;&lt;keyword&gt;Humans&lt;/keyword&gt;&lt;keyword&gt;Male&lt;/keyword&gt;&lt;keyword&gt;Obesity/epidemiology&lt;/keyword&gt;&lt;keyword&gt;Prevalence&lt;/keyword&gt;&lt;keyword&gt;Sex Factors&lt;/keyword&gt;&lt;keyword&gt;*Social Class&lt;/keyword&gt;&lt;/keywords&gt;&lt;dates&gt;&lt;year&gt;1997&lt;/year&gt;&lt;pub-dates&gt;&lt;date&gt;Sep&lt;/date&gt;&lt;/pub-dates&gt;&lt;/dates&gt;&lt;isbn&gt;0090-0036 (Print)&amp;#xD;0090-0036 (Linking)&lt;/isbn&gt;&lt;accession-num&gt;9314803&lt;/accession-num&gt;&lt;urls&gt;&lt;related-urls&gt;&lt;url&gt;http://www.ncbi.nlm.nih.gov/pubmed/9314803&lt;/url&gt;&lt;/related-urls&gt;&lt;/urls&gt;&lt;custom2&gt;1380976&lt;/custom2&gt;&lt;/record&gt;&lt;/Cite&gt;&lt;/EndNote&gt;</w:instrText>
            </w:r>
            <w:r w:rsidR="001B5A2E" w:rsidRPr="00296D0C">
              <w:rPr>
                <w:b/>
                <w:color w:val="000000" w:themeColor="text1"/>
              </w:rPr>
              <w:fldChar w:fldCharType="separate"/>
            </w:r>
            <w:r w:rsidR="008C43BF" w:rsidRPr="008C43BF">
              <w:rPr>
                <w:b/>
                <w:noProof/>
                <w:color w:val="000000" w:themeColor="text1"/>
                <w:vertAlign w:val="superscript"/>
              </w:rPr>
              <w:t>76</w:t>
            </w:r>
            <w:r w:rsidR="001B5A2E" w:rsidRPr="00296D0C">
              <w:rPr>
                <w:b/>
                <w:color w:val="000000" w:themeColor="text1"/>
              </w:rPr>
              <w:fldChar w:fldCharType="end"/>
            </w:r>
          </w:p>
        </w:tc>
        <w:tc>
          <w:tcPr>
            <w:tcW w:w="1504" w:type="dxa"/>
            <w:tcBorders>
              <w:left w:val="nil"/>
              <w:bottom w:val="nil"/>
              <w:right w:val="nil"/>
            </w:tcBorders>
          </w:tcPr>
          <w:p w14:paraId="554E515E" w14:textId="77777777" w:rsidR="00861557" w:rsidRPr="00296D0C" w:rsidRDefault="00861557" w:rsidP="0077247E">
            <w:pPr>
              <w:spacing w:before="40" w:after="40"/>
              <w:rPr>
                <w:b/>
              </w:rPr>
            </w:pPr>
          </w:p>
        </w:tc>
        <w:tc>
          <w:tcPr>
            <w:tcW w:w="1504" w:type="dxa"/>
            <w:tcBorders>
              <w:left w:val="nil"/>
              <w:bottom w:val="nil"/>
              <w:right w:val="nil"/>
            </w:tcBorders>
          </w:tcPr>
          <w:p w14:paraId="38946AC6" w14:textId="77777777" w:rsidR="00861557" w:rsidRPr="00296D0C" w:rsidRDefault="00861557" w:rsidP="0077247E">
            <w:pPr>
              <w:spacing w:before="40" w:after="40"/>
              <w:rPr>
                <w:b/>
              </w:rPr>
            </w:pPr>
          </w:p>
        </w:tc>
        <w:tc>
          <w:tcPr>
            <w:tcW w:w="1505" w:type="dxa"/>
            <w:tcBorders>
              <w:left w:val="nil"/>
              <w:bottom w:val="nil"/>
            </w:tcBorders>
          </w:tcPr>
          <w:p w14:paraId="30D10FCA" w14:textId="77777777" w:rsidR="00861557" w:rsidRPr="00296D0C" w:rsidRDefault="00861557" w:rsidP="0077247E">
            <w:pPr>
              <w:spacing w:before="40" w:after="40"/>
              <w:rPr>
                <w:b/>
              </w:rPr>
            </w:pPr>
          </w:p>
        </w:tc>
      </w:tr>
      <w:tr w:rsidR="00861557" w:rsidRPr="00296D0C" w14:paraId="2D75EE04" w14:textId="77777777" w:rsidTr="0077247E">
        <w:tc>
          <w:tcPr>
            <w:tcW w:w="4729" w:type="dxa"/>
            <w:tcBorders>
              <w:top w:val="nil"/>
              <w:bottom w:val="nil"/>
              <w:right w:val="nil"/>
            </w:tcBorders>
          </w:tcPr>
          <w:p w14:paraId="391959DA" w14:textId="77777777" w:rsidR="00861557" w:rsidRPr="00296D0C" w:rsidRDefault="00861557" w:rsidP="0077247E">
            <w:pPr>
              <w:spacing w:before="40" w:after="40"/>
              <w:rPr>
                <w:b/>
              </w:rPr>
            </w:pPr>
          </w:p>
        </w:tc>
        <w:tc>
          <w:tcPr>
            <w:tcW w:w="4513" w:type="dxa"/>
            <w:gridSpan w:val="3"/>
            <w:tcBorders>
              <w:top w:val="nil"/>
              <w:left w:val="nil"/>
              <w:bottom w:val="nil"/>
            </w:tcBorders>
          </w:tcPr>
          <w:p w14:paraId="1C98D025" w14:textId="77777777" w:rsidR="00861557" w:rsidRPr="00296D0C" w:rsidRDefault="00861557" w:rsidP="0077247E">
            <w:pPr>
              <w:spacing w:before="40" w:after="40"/>
              <w:jc w:val="center"/>
              <w:rPr>
                <w:b/>
              </w:rPr>
            </w:pPr>
            <w:r w:rsidRPr="00296D0C">
              <w:rPr>
                <w:b/>
              </w:rPr>
              <w:t>Weight status at age 33 years</w:t>
            </w:r>
          </w:p>
        </w:tc>
      </w:tr>
      <w:tr w:rsidR="00861557" w:rsidRPr="00296D0C" w14:paraId="23E18EBD" w14:textId="77777777" w:rsidTr="0077247E">
        <w:tc>
          <w:tcPr>
            <w:tcW w:w="4729" w:type="dxa"/>
            <w:tcBorders>
              <w:top w:val="nil"/>
              <w:bottom w:val="nil"/>
              <w:right w:val="nil"/>
            </w:tcBorders>
          </w:tcPr>
          <w:p w14:paraId="2038C960" w14:textId="77777777" w:rsidR="00861557" w:rsidRPr="00296D0C" w:rsidRDefault="00861557" w:rsidP="0077247E">
            <w:pPr>
              <w:spacing w:before="40" w:after="40"/>
              <w:rPr>
                <w:b/>
              </w:rPr>
            </w:pPr>
            <w:r w:rsidRPr="00296D0C">
              <w:rPr>
                <w:b/>
              </w:rPr>
              <w:t>BMI centile category (age 11 years)</w:t>
            </w:r>
          </w:p>
        </w:tc>
        <w:tc>
          <w:tcPr>
            <w:tcW w:w="1504" w:type="dxa"/>
            <w:tcBorders>
              <w:top w:val="nil"/>
              <w:left w:val="nil"/>
              <w:bottom w:val="nil"/>
              <w:right w:val="nil"/>
            </w:tcBorders>
          </w:tcPr>
          <w:p w14:paraId="3D922B03" w14:textId="77777777" w:rsidR="00861557" w:rsidRPr="00296D0C" w:rsidRDefault="00861557" w:rsidP="0077247E">
            <w:pPr>
              <w:spacing w:before="40" w:after="40"/>
              <w:jc w:val="right"/>
              <w:rPr>
                <w:b/>
              </w:rPr>
            </w:pPr>
            <w:r w:rsidRPr="00296D0C">
              <w:rPr>
                <w:b/>
              </w:rPr>
              <w:t>HE</w:t>
            </w:r>
          </w:p>
        </w:tc>
        <w:tc>
          <w:tcPr>
            <w:tcW w:w="1504" w:type="dxa"/>
            <w:tcBorders>
              <w:top w:val="nil"/>
              <w:left w:val="nil"/>
              <w:bottom w:val="nil"/>
              <w:right w:val="nil"/>
            </w:tcBorders>
          </w:tcPr>
          <w:p w14:paraId="2B88E257" w14:textId="77777777" w:rsidR="00861557" w:rsidRPr="00296D0C" w:rsidRDefault="00861557" w:rsidP="0077247E">
            <w:pPr>
              <w:spacing w:before="40" w:after="40"/>
              <w:jc w:val="right"/>
              <w:rPr>
                <w:b/>
              </w:rPr>
            </w:pPr>
            <w:r w:rsidRPr="00296D0C">
              <w:rPr>
                <w:b/>
              </w:rPr>
              <w:t>OV</w:t>
            </w:r>
          </w:p>
        </w:tc>
        <w:tc>
          <w:tcPr>
            <w:tcW w:w="1505" w:type="dxa"/>
            <w:tcBorders>
              <w:top w:val="nil"/>
              <w:left w:val="nil"/>
              <w:bottom w:val="nil"/>
            </w:tcBorders>
          </w:tcPr>
          <w:p w14:paraId="3D5FEBB0" w14:textId="77777777" w:rsidR="00861557" w:rsidRPr="00296D0C" w:rsidRDefault="00861557" w:rsidP="0077247E">
            <w:pPr>
              <w:spacing w:before="40" w:after="40"/>
              <w:jc w:val="right"/>
              <w:rPr>
                <w:b/>
              </w:rPr>
            </w:pPr>
            <w:r w:rsidRPr="00296D0C">
              <w:rPr>
                <w:b/>
              </w:rPr>
              <w:t>OB</w:t>
            </w:r>
          </w:p>
        </w:tc>
      </w:tr>
      <w:tr w:rsidR="00861557" w:rsidRPr="00296D0C" w14:paraId="3A2383C6" w14:textId="77777777" w:rsidTr="0077247E">
        <w:tc>
          <w:tcPr>
            <w:tcW w:w="4729" w:type="dxa"/>
            <w:tcBorders>
              <w:top w:val="nil"/>
              <w:bottom w:val="nil"/>
              <w:right w:val="nil"/>
            </w:tcBorders>
          </w:tcPr>
          <w:p w14:paraId="1F2DAD4C" w14:textId="77777777" w:rsidR="00861557" w:rsidRPr="00296D0C" w:rsidRDefault="00861557" w:rsidP="0077247E">
            <w:pPr>
              <w:spacing w:before="40" w:after="40"/>
            </w:pPr>
            <w:r w:rsidRPr="00296D0C">
              <w:t>≤91</w:t>
            </w:r>
            <w:r w:rsidRPr="00296D0C">
              <w:rPr>
                <w:vertAlign w:val="superscript"/>
              </w:rPr>
              <w:t>st</w:t>
            </w:r>
          </w:p>
        </w:tc>
        <w:tc>
          <w:tcPr>
            <w:tcW w:w="1504" w:type="dxa"/>
            <w:tcBorders>
              <w:top w:val="nil"/>
              <w:left w:val="nil"/>
              <w:bottom w:val="nil"/>
              <w:right w:val="nil"/>
            </w:tcBorders>
          </w:tcPr>
          <w:p w14:paraId="365DFEC6" w14:textId="77777777" w:rsidR="00861557" w:rsidRPr="00296D0C" w:rsidRDefault="00861557" w:rsidP="0077247E">
            <w:pPr>
              <w:spacing w:before="40" w:after="40"/>
              <w:jc w:val="right"/>
            </w:pPr>
            <w:r w:rsidRPr="00296D0C">
              <w:t>59.0 (0.59)</w:t>
            </w:r>
          </w:p>
        </w:tc>
        <w:tc>
          <w:tcPr>
            <w:tcW w:w="1504" w:type="dxa"/>
            <w:tcBorders>
              <w:top w:val="nil"/>
              <w:left w:val="nil"/>
              <w:bottom w:val="nil"/>
              <w:right w:val="nil"/>
            </w:tcBorders>
          </w:tcPr>
          <w:p w14:paraId="4F03B451" w14:textId="77777777" w:rsidR="00861557" w:rsidRPr="00296D0C" w:rsidRDefault="00861557" w:rsidP="0077247E">
            <w:pPr>
              <w:spacing w:before="40" w:after="40"/>
              <w:jc w:val="right"/>
            </w:pPr>
            <w:r w:rsidRPr="00296D0C">
              <w:t>32.0 (0.32)</w:t>
            </w:r>
          </w:p>
        </w:tc>
        <w:tc>
          <w:tcPr>
            <w:tcW w:w="1505" w:type="dxa"/>
            <w:tcBorders>
              <w:top w:val="nil"/>
              <w:left w:val="nil"/>
              <w:bottom w:val="nil"/>
            </w:tcBorders>
          </w:tcPr>
          <w:p w14:paraId="5C295EB7" w14:textId="77777777" w:rsidR="00861557" w:rsidRPr="00296D0C" w:rsidRDefault="00861557" w:rsidP="0077247E">
            <w:pPr>
              <w:spacing w:before="40" w:after="40"/>
              <w:jc w:val="right"/>
            </w:pPr>
            <w:r w:rsidRPr="00296D0C">
              <w:t>8.0 (0.08)</w:t>
            </w:r>
          </w:p>
        </w:tc>
      </w:tr>
      <w:tr w:rsidR="00861557" w:rsidRPr="00296D0C" w14:paraId="0704166B" w14:textId="77777777" w:rsidTr="0077247E">
        <w:tc>
          <w:tcPr>
            <w:tcW w:w="4729" w:type="dxa"/>
            <w:tcBorders>
              <w:top w:val="nil"/>
              <w:bottom w:val="nil"/>
              <w:right w:val="nil"/>
            </w:tcBorders>
          </w:tcPr>
          <w:p w14:paraId="7F830EFA" w14:textId="77777777" w:rsidR="00861557" w:rsidRPr="00296D0C" w:rsidRDefault="00861557" w:rsidP="0077247E">
            <w:pPr>
              <w:spacing w:before="40" w:after="40"/>
            </w:pPr>
            <w:r w:rsidRPr="00296D0C">
              <w:t>&gt;91</w:t>
            </w:r>
            <w:r w:rsidRPr="00296D0C">
              <w:rPr>
                <w:vertAlign w:val="superscript"/>
              </w:rPr>
              <w:t>st</w:t>
            </w:r>
            <w:r w:rsidRPr="00296D0C">
              <w:t xml:space="preserve"> to ≤95</w:t>
            </w:r>
            <w:r w:rsidRPr="00296D0C">
              <w:rPr>
                <w:vertAlign w:val="superscript"/>
              </w:rPr>
              <w:t>th</w:t>
            </w:r>
          </w:p>
        </w:tc>
        <w:tc>
          <w:tcPr>
            <w:tcW w:w="1504" w:type="dxa"/>
            <w:tcBorders>
              <w:top w:val="nil"/>
              <w:left w:val="nil"/>
              <w:bottom w:val="nil"/>
              <w:right w:val="nil"/>
            </w:tcBorders>
          </w:tcPr>
          <w:p w14:paraId="61E29B08" w14:textId="77777777" w:rsidR="00861557" w:rsidRPr="00296D0C" w:rsidRDefault="00861557" w:rsidP="0077247E">
            <w:pPr>
              <w:spacing w:before="40" w:after="40"/>
              <w:jc w:val="right"/>
            </w:pPr>
            <w:r w:rsidRPr="00296D0C">
              <w:t>25.0 (0.25)</w:t>
            </w:r>
          </w:p>
        </w:tc>
        <w:tc>
          <w:tcPr>
            <w:tcW w:w="1504" w:type="dxa"/>
            <w:tcBorders>
              <w:top w:val="nil"/>
              <w:left w:val="nil"/>
              <w:bottom w:val="nil"/>
              <w:right w:val="nil"/>
            </w:tcBorders>
          </w:tcPr>
          <w:p w14:paraId="4D6278D1" w14:textId="77777777" w:rsidR="00861557" w:rsidRPr="00296D0C" w:rsidRDefault="00861557" w:rsidP="0077247E">
            <w:pPr>
              <w:spacing w:before="40" w:after="40"/>
              <w:jc w:val="right"/>
            </w:pPr>
            <w:r w:rsidRPr="00296D0C">
              <w:t>39.0 (0.39)</w:t>
            </w:r>
          </w:p>
        </w:tc>
        <w:tc>
          <w:tcPr>
            <w:tcW w:w="1505" w:type="dxa"/>
            <w:tcBorders>
              <w:top w:val="nil"/>
              <w:left w:val="nil"/>
              <w:bottom w:val="nil"/>
            </w:tcBorders>
          </w:tcPr>
          <w:p w14:paraId="55C1CDE1" w14:textId="77777777" w:rsidR="00861557" w:rsidRPr="00296D0C" w:rsidRDefault="00861557" w:rsidP="0077247E">
            <w:pPr>
              <w:spacing w:before="40" w:after="40"/>
              <w:jc w:val="right"/>
            </w:pPr>
            <w:r w:rsidRPr="00296D0C">
              <w:t>36.0 (0.36)</w:t>
            </w:r>
          </w:p>
        </w:tc>
      </w:tr>
      <w:tr w:rsidR="00861557" w:rsidRPr="00296D0C" w14:paraId="4793BB3D" w14:textId="77777777" w:rsidTr="0077247E">
        <w:tc>
          <w:tcPr>
            <w:tcW w:w="4729" w:type="dxa"/>
            <w:tcBorders>
              <w:top w:val="nil"/>
              <w:bottom w:val="nil"/>
              <w:right w:val="nil"/>
            </w:tcBorders>
          </w:tcPr>
          <w:p w14:paraId="42DCCD01" w14:textId="77777777" w:rsidR="00861557" w:rsidRPr="00296D0C" w:rsidRDefault="00861557" w:rsidP="0077247E">
            <w:pPr>
              <w:spacing w:before="40" w:after="40"/>
            </w:pPr>
            <w:r w:rsidRPr="00296D0C">
              <w:t>&gt;95</w:t>
            </w:r>
            <w:r w:rsidRPr="00296D0C">
              <w:rPr>
                <w:vertAlign w:val="superscript"/>
              </w:rPr>
              <w:t>th</w:t>
            </w:r>
            <w:r w:rsidRPr="00296D0C">
              <w:t xml:space="preserve"> to ≤98</w:t>
            </w:r>
            <w:r w:rsidRPr="00296D0C">
              <w:rPr>
                <w:vertAlign w:val="superscript"/>
              </w:rPr>
              <w:t>th</w:t>
            </w:r>
          </w:p>
        </w:tc>
        <w:tc>
          <w:tcPr>
            <w:tcW w:w="1504" w:type="dxa"/>
            <w:tcBorders>
              <w:top w:val="nil"/>
              <w:left w:val="nil"/>
              <w:bottom w:val="nil"/>
              <w:right w:val="nil"/>
            </w:tcBorders>
          </w:tcPr>
          <w:p w14:paraId="2BB179CE" w14:textId="77777777" w:rsidR="00861557" w:rsidRPr="00296D0C" w:rsidRDefault="00861557" w:rsidP="0077247E">
            <w:pPr>
              <w:spacing w:before="40" w:after="40"/>
              <w:jc w:val="right"/>
            </w:pPr>
            <w:r w:rsidRPr="00296D0C">
              <w:t>24.0 (0.24)</w:t>
            </w:r>
          </w:p>
        </w:tc>
        <w:tc>
          <w:tcPr>
            <w:tcW w:w="1504" w:type="dxa"/>
            <w:tcBorders>
              <w:top w:val="nil"/>
              <w:left w:val="nil"/>
              <w:bottom w:val="nil"/>
              <w:right w:val="nil"/>
            </w:tcBorders>
          </w:tcPr>
          <w:p w14:paraId="529A9087" w14:textId="77777777" w:rsidR="00861557" w:rsidRPr="00296D0C" w:rsidRDefault="00861557" w:rsidP="0077247E">
            <w:pPr>
              <w:spacing w:before="40" w:after="40"/>
              <w:jc w:val="right"/>
            </w:pPr>
            <w:r w:rsidRPr="00296D0C">
              <w:t>37.0 (0.37)</w:t>
            </w:r>
          </w:p>
        </w:tc>
        <w:tc>
          <w:tcPr>
            <w:tcW w:w="1505" w:type="dxa"/>
            <w:tcBorders>
              <w:top w:val="nil"/>
              <w:left w:val="nil"/>
              <w:bottom w:val="nil"/>
            </w:tcBorders>
          </w:tcPr>
          <w:p w14:paraId="0EA769D5" w14:textId="77777777" w:rsidR="00861557" w:rsidRPr="00296D0C" w:rsidRDefault="00861557" w:rsidP="0077247E">
            <w:pPr>
              <w:spacing w:before="40" w:after="40"/>
              <w:jc w:val="right"/>
            </w:pPr>
            <w:r w:rsidRPr="00296D0C">
              <w:t>39.0 (0.39)</w:t>
            </w:r>
          </w:p>
        </w:tc>
      </w:tr>
      <w:tr w:rsidR="00861557" w:rsidRPr="00296D0C" w14:paraId="58E9EC61" w14:textId="77777777" w:rsidTr="0077247E">
        <w:tc>
          <w:tcPr>
            <w:tcW w:w="4729" w:type="dxa"/>
            <w:tcBorders>
              <w:top w:val="nil"/>
              <w:bottom w:val="single" w:sz="4" w:space="0" w:color="auto"/>
              <w:right w:val="nil"/>
            </w:tcBorders>
          </w:tcPr>
          <w:p w14:paraId="0982E91B" w14:textId="77777777" w:rsidR="00861557" w:rsidRPr="00296D0C" w:rsidRDefault="00861557" w:rsidP="0077247E">
            <w:pPr>
              <w:spacing w:before="40" w:after="40"/>
            </w:pPr>
            <w:r w:rsidRPr="00296D0C">
              <w:t>&gt;98th</w:t>
            </w:r>
          </w:p>
        </w:tc>
        <w:tc>
          <w:tcPr>
            <w:tcW w:w="1504" w:type="dxa"/>
            <w:tcBorders>
              <w:top w:val="nil"/>
              <w:left w:val="nil"/>
              <w:bottom w:val="single" w:sz="4" w:space="0" w:color="auto"/>
              <w:right w:val="nil"/>
            </w:tcBorders>
          </w:tcPr>
          <w:p w14:paraId="7E357165" w14:textId="77777777" w:rsidR="00861557" w:rsidRPr="00296D0C" w:rsidRDefault="00861557" w:rsidP="0077247E">
            <w:pPr>
              <w:spacing w:before="40" w:after="40"/>
              <w:jc w:val="right"/>
            </w:pPr>
            <w:r w:rsidRPr="00296D0C">
              <w:t>10.0 (0.10)</w:t>
            </w:r>
          </w:p>
        </w:tc>
        <w:tc>
          <w:tcPr>
            <w:tcW w:w="1504" w:type="dxa"/>
            <w:tcBorders>
              <w:top w:val="nil"/>
              <w:left w:val="nil"/>
              <w:bottom w:val="single" w:sz="4" w:space="0" w:color="auto"/>
              <w:right w:val="nil"/>
            </w:tcBorders>
          </w:tcPr>
          <w:p w14:paraId="634C1F8F" w14:textId="77777777" w:rsidR="00861557" w:rsidRPr="00296D0C" w:rsidRDefault="00861557" w:rsidP="0077247E">
            <w:pPr>
              <w:spacing w:before="40" w:after="40"/>
              <w:jc w:val="right"/>
            </w:pPr>
            <w:r w:rsidRPr="00296D0C">
              <w:t>34.0 (0.34)</w:t>
            </w:r>
          </w:p>
        </w:tc>
        <w:tc>
          <w:tcPr>
            <w:tcW w:w="1505" w:type="dxa"/>
            <w:tcBorders>
              <w:top w:val="nil"/>
              <w:left w:val="nil"/>
              <w:bottom w:val="single" w:sz="4" w:space="0" w:color="auto"/>
            </w:tcBorders>
          </w:tcPr>
          <w:p w14:paraId="7A639221" w14:textId="77777777" w:rsidR="00861557" w:rsidRPr="00296D0C" w:rsidRDefault="00861557" w:rsidP="0077247E">
            <w:pPr>
              <w:spacing w:before="40" w:after="40"/>
              <w:jc w:val="right"/>
            </w:pPr>
            <w:r w:rsidRPr="00296D0C">
              <w:t>56.0 (0.56)</w:t>
            </w:r>
          </w:p>
        </w:tc>
      </w:tr>
      <w:tr w:rsidR="00861557" w:rsidRPr="00296D0C" w14:paraId="3133451C" w14:textId="77777777" w:rsidTr="0077247E">
        <w:tc>
          <w:tcPr>
            <w:tcW w:w="4729" w:type="dxa"/>
            <w:tcBorders>
              <w:bottom w:val="nil"/>
              <w:right w:val="nil"/>
            </w:tcBorders>
          </w:tcPr>
          <w:p w14:paraId="211E30C3" w14:textId="269B3C26" w:rsidR="00861557" w:rsidRPr="00296D0C" w:rsidRDefault="00861557" w:rsidP="008C43BF">
            <w:pPr>
              <w:spacing w:before="40" w:after="40"/>
              <w:rPr>
                <w:b/>
              </w:rPr>
            </w:pPr>
            <w:r w:rsidRPr="00296D0C">
              <w:rPr>
                <w:b/>
              </w:rPr>
              <w:t>Data from: Wright et al</w:t>
            </w:r>
            <w:r w:rsidR="001A55B7" w:rsidRPr="00296D0C">
              <w:rPr>
                <w:b/>
              </w:rPr>
              <w:t>.</w:t>
            </w:r>
            <w:r w:rsidR="001B5A2E" w:rsidRPr="00296D0C">
              <w:rPr>
                <w:b/>
              </w:rPr>
              <w:t xml:space="preserve"> </w:t>
            </w:r>
            <w:r w:rsidR="001B5A2E" w:rsidRPr="00296D0C">
              <w:rPr>
                <w:b/>
                <w:color w:val="000000" w:themeColor="text1"/>
              </w:rPr>
              <w:fldChar w:fldCharType="begin"/>
            </w:r>
            <w:r w:rsidR="008C43BF">
              <w:rPr>
                <w:b/>
                <w:color w:val="000000" w:themeColor="text1"/>
              </w:rPr>
              <w:instrText xml:space="preserve"> ADDIN EN.CITE &lt;EndNote&gt;&lt;Cite&gt;&lt;Author&gt;Wright&lt;/Author&gt;&lt;Year&gt;2001&lt;/Year&gt;&lt;RecNum&gt;5776&lt;/RecNum&gt;&lt;DisplayText&gt;&lt;style face="superscript"&gt;71&lt;/style&gt;&lt;/DisplayText&gt;&lt;record&gt;&lt;rec-number&gt;5776&lt;/rec-number&gt;&lt;foreign-keys&gt;&lt;key app="EN" db-id="2ewa9rrvjsdsawep2vpx5x97eedzzvxx5rta" timestamp="1478679952"&gt;5776&lt;/key&gt;&lt;/foreign-keys&gt;&lt;ref-type name="Journal Article"&gt;17&lt;/ref-type&gt;&lt;contributors&gt;&lt;authors&gt;&lt;author&gt;Wright, C. M.&lt;/author&gt;&lt;author&gt;Parker, L.&lt;/author&gt;&lt;author&gt;Lamont, D.&lt;/author&gt;&lt;author&gt;Craft, A. W.&lt;/author&gt;&lt;/authors&gt;&lt;/contributors&gt;&lt;auth-address&gt;University of Newcastle upon Tyne, Gateshead, NE8 1EB, UK. C.M.Wright@Newcastle.ac.uk&lt;/auth-address&gt;&lt;titles&gt;&lt;title&gt;Implications of childhood obesity for adult health: findings from thousand families cohort study&lt;/title&gt;&lt;secondary-title&gt;BMJ&lt;/secondary-title&gt;&lt;/titles&gt;&lt;periodical&gt;&lt;full-title&gt;BMJ&lt;/full-title&gt;&lt;abbr-1&gt;BMJ&lt;/abbr-1&gt;&lt;abbr-2&gt;BMJ&lt;/abbr-2&gt;&lt;/periodical&gt;&lt;pages&gt;1280-4&lt;/pages&gt;&lt;volume&gt;323&lt;/volume&gt;&lt;number&gt;7324&lt;/number&gt;&lt;keywords&gt;&lt;keyword&gt;Adipose Tissue/pathology&lt;/keyword&gt;&lt;keyword&gt;Adolescent&lt;/keyword&gt;&lt;keyword&gt;Age Factors&lt;/keyword&gt;&lt;keyword&gt;Blood Glucose/metabolism&lt;/keyword&gt;&lt;keyword&gt;Body Height&lt;/keyword&gt;&lt;keyword&gt;Body Mass Index&lt;/keyword&gt;&lt;keyword&gt;Child&lt;/keyword&gt;&lt;keyword&gt;Cohort Studies&lt;/keyword&gt;&lt;keyword&gt;Female&lt;/keyword&gt;&lt;keyword&gt;Humans&lt;/keyword&gt;&lt;keyword&gt;Lipids/blood&lt;/keyword&gt;&lt;keyword&gt;Male&lt;/keyword&gt;&lt;keyword&gt;Middle Aged&lt;/keyword&gt;&lt;keyword&gt;Obesity/*complications/pathology/physiopathology&lt;/keyword&gt;&lt;keyword&gt;Prognosis&lt;/keyword&gt;&lt;keyword&gt;Prospective Studies&lt;/keyword&gt;&lt;keyword&gt;Risk Factors&lt;/keyword&gt;&lt;keyword&gt;Social Class&lt;/keyword&gt;&lt;/keywords&gt;&lt;dates&gt;&lt;year&gt;2001&lt;/year&gt;&lt;pub-dates&gt;&lt;date&gt;Dec 1&lt;/date&gt;&lt;/pub-dates&gt;&lt;/dates&gt;&lt;isbn&gt;0959-8138 (Print)&amp;#xD;0959-535X (Linking)&lt;/isbn&gt;&lt;accession-num&gt;11731390&lt;/accession-num&gt;&lt;urls&gt;&lt;related-urls&gt;&lt;url&gt;http://www.ncbi.nlm.nih.gov/pubmed/11731390&lt;/url&gt;&lt;/related-urls&gt;&lt;/urls&gt;&lt;custom2&gt;60301&lt;/custom2&gt;&lt;/record&gt;&lt;/Cite&gt;&lt;/EndNote&gt;</w:instrText>
            </w:r>
            <w:r w:rsidR="001B5A2E" w:rsidRPr="00296D0C">
              <w:rPr>
                <w:b/>
                <w:color w:val="000000" w:themeColor="text1"/>
              </w:rPr>
              <w:fldChar w:fldCharType="separate"/>
            </w:r>
            <w:r w:rsidR="008C43BF" w:rsidRPr="008C43BF">
              <w:rPr>
                <w:b/>
                <w:noProof/>
                <w:color w:val="000000" w:themeColor="text1"/>
                <w:vertAlign w:val="superscript"/>
              </w:rPr>
              <w:t>71</w:t>
            </w:r>
            <w:r w:rsidR="001B5A2E" w:rsidRPr="00296D0C">
              <w:rPr>
                <w:b/>
                <w:color w:val="000000" w:themeColor="text1"/>
              </w:rPr>
              <w:fldChar w:fldCharType="end"/>
            </w:r>
          </w:p>
        </w:tc>
        <w:tc>
          <w:tcPr>
            <w:tcW w:w="1504" w:type="dxa"/>
            <w:tcBorders>
              <w:left w:val="nil"/>
              <w:bottom w:val="nil"/>
              <w:right w:val="nil"/>
            </w:tcBorders>
          </w:tcPr>
          <w:p w14:paraId="1E41756B" w14:textId="77777777" w:rsidR="00861557" w:rsidRPr="00296D0C" w:rsidRDefault="00861557" w:rsidP="0077247E">
            <w:pPr>
              <w:spacing w:before="40" w:after="40"/>
              <w:rPr>
                <w:b/>
              </w:rPr>
            </w:pPr>
          </w:p>
        </w:tc>
        <w:tc>
          <w:tcPr>
            <w:tcW w:w="1504" w:type="dxa"/>
            <w:tcBorders>
              <w:left w:val="nil"/>
              <w:bottom w:val="nil"/>
              <w:right w:val="nil"/>
            </w:tcBorders>
          </w:tcPr>
          <w:p w14:paraId="504255C6" w14:textId="77777777" w:rsidR="00861557" w:rsidRPr="00296D0C" w:rsidRDefault="00861557" w:rsidP="0077247E">
            <w:pPr>
              <w:spacing w:before="40" w:after="40"/>
              <w:rPr>
                <w:b/>
              </w:rPr>
            </w:pPr>
          </w:p>
        </w:tc>
        <w:tc>
          <w:tcPr>
            <w:tcW w:w="1505" w:type="dxa"/>
            <w:tcBorders>
              <w:left w:val="nil"/>
              <w:bottom w:val="nil"/>
            </w:tcBorders>
          </w:tcPr>
          <w:p w14:paraId="1BE166D9" w14:textId="77777777" w:rsidR="00861557" w:rsidRPr="00296D0C" w:rsidRDefault="00861557" w:rsidP="0077247E">
            <w:pPr>
              <w:spacing w:before="40" w:after="40"/>
              <w:rPr>
                <w:b/>
              </w:rPr>
            </w:pPr>
          </w:p>
        </w:tc>
      </w:tr>
      <w:tr w:rsidR="00861557" w:rsidRPr="00296D0C" w14:paraId="4D734FE6" w14:textId="77777777" w:rsidTr="0077247E">
        <w:tc>
          <w:tcPr>
            <w:tcW w:w="4729" w:type="dxa"/>
            <w:tcBorders>
              <w:top w:val="nil"/>
              <w:bottom w:val="nil"/>
              <w:right w:val="nil"/>
            </w:tcBorders>
          </w:tcPr>
          <w:p w14:paraId="16EF1871" w14:textId="77777777" w:rsidR="00861557" w:rsidRPr="00296D0C" w:rsidRDefault="00861557" w:rsidP="0077247E">
            <w:pPr>
              <w:spacing w:before="40" w:after="40"/>
              <w:rPr>
                <w:b/>
              </w:rPr>
            </w:pPr>
          </w:p>
        </w:tc>
        <w:tc>
          <w:tcPr>
            <w:tcW w:w="4513" w:type="dxa"/>
            <w:gridSpan w:val="3"/>
            <w:tcBorders>
              <w:top w:val="nil"/>
              <w:left w:val="nil"/>
              <w:bottom w:val="nil"/>
            </w:tcBorders>
          </w:tcPr>
          <w:p w14:paraId="6D8975A6" w14:textId="77777777" w:rsidR="00861557" w:rsidRPr="00296D0C" w:rsidRDefault="00861557" w:rsidP="0077247E">
            <w:pPr>
              <w:spacing w:before="40" w:after="40"/>
              <w:jc w:val="center"/>
              <w:rPr>
                <w:b/>
              </w:rPr>
            </w:pPr>
            <w:r w:rsidRPr="00296D0C">
              <w:rPr>
                <w:b/>
              </w:rPr>
              <w:t>Weight status at age 50 years</w:t>
            </w:r>
          </w:p>
        </w:tc>
      </w:tr>
      <w:tr w:rsidR="00861557" w:rsidRPr="00296D0C" w14:paraId="1F454758" w14:textId="77777777" w:rsidTr="0077247E">
        <w:tc>
          <w:tcPr>
            <w:tcW w:w="4729" w:type="dxa"/>
            <w:tcBorders>
              <w:top w:val="nil"/>
              <w:bottom w:val="nil"/>
              <w:right w:val="nil"/>
            </w:tcBorders>
          </w:tcPr>
          <w:p w14:paraId="5BCD084A" w14:textId="77777777" w:rsidR="00861557" w:rsidRPr="00296D0C" w:rsidRDefault="00861557" w:rsidP="0077247E">
            <w:pPr>
              <w:spacing w:before="40" w:after="40"/>
              <w:rPr>
                <w:b/>
              </w:rPr>
            </w:pPr>
            <w:r w:rsidRPr="00296D0C">
              <w:rPr>
                <w:b/>
              </w:rPr>
              <w:t>BMI centile category (age 13 years)</w:t>
            </w:r>
          </w:p>
        </w:tc>
        <w:tc>
          <w:tcPr>
            <w:tcW w:w="1504" w:type="dxa"/>
            <w:tcBorders>
              <w:top w:val="nil"/>
              <w:left w:val="nil"/>
              <w:bottom w:val="nil"/>
              <w:right w:val="nil"/>
            </w:tcBorders>
          </w:tcPr>
          <w:p w14:paraId="63C3E1A3" w14:textId="77777777" w:rsidR="00861557" w:rsidRPr="00296D0C" w:rsidRDefault="00861557" w:rsidP="0077247E">
            <w:pPr>
              <w:spacing w:before="40" w:after="40"/>
              <w:jc w:val="right"/>
              <w:rPr>
                <w:b/>
              </w:rPr>
            </w:pPr>
            <w:r w:rsidRPr="00296D0C">
              <w:rPr>
                <w:b/>
              </w:rPr>
              <w:t>HE</w:t>
            </w:r>
          </w:p>
        </w:tc>
        <w:tc>
          <w:tcPr>
            <w:tcW w:w="1504" w:type="dxa"/>
            <w:tcBorders>
              <w:top w:val="nil"/>
              <w:left w:val="nil"/>
              <w:bottom w:val="nil"/>
              <w:right w:val="nil"/>
            </w:tcBorders>
          </w:tcPr>
          <w:p w14:paraId="6CB4137D" w14:textId="77777777" w:rsidR="00861557" w:rsidRPr="00296D0C" w:rsidRDefault="00861557" w:rsidP="0077247E">
            <w:pPr>
              <w:spacing w:before="40" w:after="40"/>
              <w:jc w:val="right"/>
              <w:rPr>
                <w:b/>
              </w:rPr>
            </w:pPr>
            <w:r w:rsidRPr="00296D0C">
              <w:rPr>
                <w:b/>
              </w:rPr>
              <w:t>OV</w:t>
            </w:r>
          </w:p>
        </w:tc>
        <w:tc>
          <w:tcPr>
            <w:tcW w:w="1505" w:type="dxa"/>
            <w:tcBorders>
              <w:top w:val="nil"/>
              <w:left w:val="nil"/>
              <w:bottom w:val="nil"/>
            </w:tcBorders>
          </w:tcPr>
          <w:p w14:paraId="535C841E" w14:textId="77777777" w:rsidR="00861557" w:rsidRPr="00296D0C" w:rsidRDefault="00861557" w:rsidP="0077247E">
            <w:pPr>
              <w:spacing w:before="40" w:after="40"/>
              <w:jc w:val="right"/>
              <w:rPr>
                <w:b/>
              </w:rPr>
            </w:pPr>
            <w:r w:rsidRPr="00296D0C">
              <w:rPr>
                <w:b/>
              </w:rPr>
              <w:t>OB</w:t>
            </w:r>
          </w:p>
        </w:tc>
      </w:tr>
      <w:tr w:rsidR="00861557" w:rsidRPr="00296D0C" w14:paraId="7D91FAB6" w14:textId="77777777" w:rsidTr="0077247E">
        <w:tc>
          <w:tcPr>
            <w:tcW w:w="4729" w:type="dxa"/>
            <w:tcBorders>
              <w:top w:val="nil"/>
              <w:bottom w:val="nil"/>
              <w:right w:val="nil"/>
            </w:tcBorders>
          </w:tcPr>
          <w:p w14:paraId="3FCEC9A5" w14:textId="77777777" w:rsidR="00861557" w:rsidRPr="00296D0C" w:rsidRDefault="00861557" w:rsidP="0077247E">
            <w:pPr>
              <w:spacing w:before="40" w:after="40"/>
            </w:pPr>
            <w:r w:rsidRPr="00296D0C">
              <w:t>&lt;25</w:t>
            </w:r>
            <w:r w:rsidRPr="00296D0C">
              <w:rPr>
                <w:vertAlign w:val="superscript"/>
              </w:rPr>
              <w:t>th</w:t>
            </w:r>
          </w:p>
        </w:tc>
        <w:tc>
          <w:tcPr>
            <w:tcW w:w="1504" w:type="dxa"/>
            <w:tcBorders>
              <w:top w:val="nil"/>
              <w:left w:val="nil"/>
              <w:bottom w:val="nil"/>
              <w:right w:val="nil"/>
            </w:tcBorders>
          </w:tcPr>
          <w:p w14:paraId="7B1A8E23" w14:textId="77777777" w:rsidR="00861557" w:rsidRPr="00296D0C" w:rsidRDefault="00861557" w:rsidP="0077247E">
            <w:pPr>
              <w:spacing w:before="40" w:after="40"/>
              <w:jc w:val="right"/>
            </w:pPr>
            <w:r w:rsidRPr="00296D0C">
              <w:t>57.0 (0.57)</w:t>
            </w:r>
          </w:p>
        </w:tc>
        <w:tc>
          <w:tcPr>
            <w:tcW w:w="1504" w:type="dxa"/>
            <w:tcBorders>
              <w:top w:val="nil"/>
              <w:left w:val="nil"/>
              <w:bottom w:val="nil"/>
              <w:right w:val="nil"/>
            </w:tcBorders>
          </w:tcPr>
          <w:p w14:paraId="44CBD4B1" w14:textId="77777777" w:rsidR="00861557" w:rsidRPr="00296D0C" w:rsidRDefault="00861557" w:rsidP="0077247E">
            <w:pPr>
              <w:spacing w:before="40" w:after="40"/>
              <w:jc w:val="right"/>
            </w:pPr>
            <w:r w:rsidRPr="00296D0C">
              <w:t>38.0 (0.38)</w:t>
            </w:r>
          </w:p>
        </w:tc>
        <w:tc>
          <w:tcPr>
            <w:tcW w:w="1505" w:type="dxa"/>
            <w:tcBorders>
              <w:top w:val="nil"/>
              <w:left w:val="nil"/>
              <w:bottom w:val="nil"/>
            </w:tcBorders>
          </w:tcPr>
          <w:p w14:paraId="5AAB6D6E" w14:textId="77777777" w:rsidR="00861557" w:rsidRPr="00296D0C" w:rsidRDefault="00861557" w:rsidP="0077247E">
            <w:pPr>
              <w:spacing w:before="40" w:after="40"/>
              <w:jc w:val="right"/>
            </w:pPr>
            <w:r w:rsidRPr="00296D0C">
              <w:t>5.0 (0.05)</w:t>
            </w:r>
          </w:p>
        </w:tc>
      </w:tr>
      <w:tr w:rsidR="00861557" w:rsidRPr="00296D0C" w14:paraId="1FFA731E" w14:textId="77777777" w:rsidTr="0077247E">
        <w:tc>
          <w:tcPr>
            <w:tcW w:w="4729" w:type="dxa"/>
            <w:tcBorders>
              <w:top w:val="nil"/>
              <w:bottom w:val="nil"/>
              <w:right w:val="nil"/>
            </w:tcBorders>
          </w:tcPr>
          <w:p w14:paraId="644C0B94" w14:textId="77777777" w:rsidR="00861557" w:rsidRPr="00296D0C" w:rsidRDefault="00861557" w:rsidP="0077247E">
            <w:pPr>
              <w:spacing w:before="40" w:after="40"/>
            </w:pPr>
            <w:r w:rsidRPr="00296D0C">
              <w:rPr>
                <w:rFonts w:cs="Arial"/>
              </w:rPr>
              <w:t>≥25</w:t>
            </w:r>
            <w:r w:rsidRPr="00296D0C">
              <w:rPr>
                <w:rFonts w:cs="Arial"/>
                <w:vertAlign w:val="superscript"/>
              </w:rPr>
              <w:t>th</w:t>
            </w:r>
            <w:r w:rsidRPr="00296D0C">
              <w:rPr>
                <w:rFonts w:cs="Arial"/>
              </w:rPr>
              <w:t xml:space="preserve"> to </w:t>
            </w:r>
            <w:r w:rsidRPr="00296D0C">
              <w:t>≤</w:t>
            </w:r>
            <w:r w:rsidRPr="00296D0C">
              <w:rPr>
                <w:rFonts w:cs="Arial"/>
              </w:rPr>
              <w:t>74th</w:t>
            </w:r>
          </w:p>
        </w:tc>
        <w:tc>
          <w:tcPr>
            <w:tcW w:w="1504" w:type="dxa"/>
            <w:tcBorders>
              <w:top w:val="nil"/>
              <w:left w:val="nil"/>
              <w:bottom w:val="nil"/>
              <w:right w:val="nil"/>
            </w:tcBorders>
          </w:tcPr>
          <w:p w14:paraId="54652985" w14:textId="77777777" w:rsidR="00861557" w:rsidRPr="00296D0C" w:rsidRDefault="00861557" w:rsidP="0077247E">
            <w:pPr>
              <w:spacing w:before="40" w:after="40"/>
              <w:jc w:val="right"/>
            </w:pPr>
            <w:r w:rsidRPr="00296D0C">
              <w:t>32.0 (0.32)</w:t>
            </w:r>
          </w:p>
        </w:tc>
        <w:tc>
          <w:tcPr>
            <w:tcW w:w="1504" w:type="dxa"/>
            <w:tcBorders>
              <w:top w:val="nil"/>
              <w:left w:val="nil"/>
              <w:bottom w:val="nil"/>
              <w:right w:val="nil"/>
            </w:tcBorders>
          </w:tcPr>
          <w:p w14:paraId="47F6BDB7" w14:textId="77777777" w:rsidR="00861557" w:rsidRPr="00296D0C" w:rsidRDefault="00861557" w:rsidP="0077247E">
            <w:pPr>
              <w:spacing w:before="40" w:after="40"/>
              <w:jc w:val="right"/>
            </w:pPr>
            <w:r w:rsidRPr="00296D0C">
              <w:t>54.0 (0.54)</w:t>
            </w:r>
          </w:p>
        </w:tc>
        <w:tc>
          <w:tcPr>
            <w:tcW w:w="1505" w:type="dxa"/>
            <w:tcBorders>
              <w:top w:val="nil"/>
              <w:left w:val="nil"/>
              <w:bottom w:val="nil"/>
            </w:tcBorders>
          </w:tcPr>
          <w:p w14:paraId="5FD8EC9F" w14:textId="77777777" w:rsidR="00861557" w:rsidRPr="00296D0C" w:rsidRDefault="00861557" w:rsidP="0077247E">
            <w:pPr>
              <w:spacing w:before="40" w:after="40"/>
              <w:jc w:val="right"/>
            </w:pPr>
            <w:r w:rsidRPr="00296D0C">
              <w:t>14.0 (0.14)</w:t>
            </w:r>
          </w:p>
        </w:tc>
      </w:tr>
      <w:tr w:rsidR="00861557" w:rsidRPr="00296D0C" w14:paraId="292401D8" w14:textId="77777777" w:rsidTr="0077247E">
        <w:tc>
          <w:tcPr>
            <w:tcW w:w="4729" w:type="dxa"/>
            <w:tcBorders>
              <w:top w:val="nil"/>
              <w:bottom w:val="nil"/>
              <w:right w:val="nil"/>
            </w:tcBorders>
          </w:tcPr>
          <w:p w14:paraId="661F1A31" w14:textId="77777777" w:rsidR="00861557" w:rsidRPr="00296D0C" w:rsidRDefault="00861557" w:rsidP="0077247E">
            <w:pPr>
              <w:spacing w:before="40" w:after="40"/>
            </w:pPr>
            <w:r w:rsidRPr="00296D0C">
              <w:t>&gt;74</w:t>
            </w:r>
            <w:r w:rsidRPr="00296D0C">
              <w:rPr>
                <w:vertAlign w:val="superscript"/>
              </w:rPr>
              <w:t>th</w:t>
            </w:r>
            <w:r w:rsidRPr="00296D0C">
              <w:t xml:space="preserve"> to ≤90</w:t>
            </w:r>
            <w:r w:rsidRPr="00296D0C">
              <w:rPr>
                <w:vertAlign w:val="superscript"/>
              </w:rPr>
              <w:t>th</w:t>
            </w:r>
          </w:p>
        </w:tc>
        <w:tc>
          <w:tcPr>
            <w:tcW w:w="1504" w:type="dxa"/>
            <w:tcBorders>
              <w:top w:val="nil"/>
              <w:left w:val="nil"/>
              <w:bottom w:val="nil"/>
              <w:right w:val="nil"/>
            </w:tcBorders>
          </w:tcPr>
          <w:p w14:paraId="523CB0E7" w14:textId="77777777" w:rsidR="00861557" w:rsidRPr="00296D0C" w:rsidRDefault="00861557" w:rsidP="0077247E">
            <w:pPr>
              <w:spacing w:before="40" w:after="40"/>
              <w:jc w:val="right"/>
            </w:pPr>
            <w:r w:rsidRPr="00296D0C">
              <w:t>23.0 (0.23)</w:t>
            </w:r>
          </w:p>
        </w:tc>
        <w:tc>
          <w:tcPr>
            <w:tcW w:w="1504" w:type="dxa"/>
            <w:tcBorders>
              <w:top w:val="nil"/>
              <w:left w:val="nil"/>
              <w:bottom w:val="nil"/>
              <w:right w:val="nil"/>
            </w:tcBorders>
          </w:tcPr>
          <w:p w14:paraId="7D5B655B" w14:textId="77777777" w:rsidR="00861557" w:rsidRPr="00296D0C" w:rsidRDefault="00861557" w:rsidP="0077247E">
            <w:pPr>
              <w:spacing w:before="40" w:after="40"/>
              <w:jc w:val="right"/>
            </w:pPr>
            <w:r w:rsidRPr="00296D0C">
              <w:t>55.0 (0.55)</w:t>
            </w:r>
          </w:p>
        </w:tc>
        <w:tc>
          <w:tcPr>
            <w:tcW w:w="1505" w:type="dxa"/>
            <w:tcBorders>
              <w:top w:val="nil"/>
              <w:left w:val="nil"/>
              <w:bottom w:val="nil"/>
            </w:tcBorders>
          </w:tcPr>
          <w:p w14:paraId="364C534A" w14:textId="77777777" w:rsidR="00861557" w:rsidRPr="00296D0C" w:rsidRDefault="00861557" w:rsidP="0077247E">
            <w:pPr>
              <w:spacing w:before="40" w:after="40"/>
              <w:jc w:val="right"/>
            </w:pPr>
            <w:r w:rsidRPr="00296D0C">
              <w:t>23.0 (0.23)</w:t>
            </w:r>
          </w:p>
        </w:tc>
      </w:tr>
      <w:tr w:rsidR="00861557" w:rsidRPr="00296D0C" w14:paraId="794B7697" w14:textId="77777777" w:rsidTr="0077247E">
        <w:tc>
          <w:tcPr>
            <w:tcW w:w="4729" w:type="dxa"/>
            <w:tcBorders>
              <w:top w:val="nil"/>
              <w:bottom w:val="single" w:sz="4" w:space="0" w:color="auto"/>
              <w:right w:val="nil"/>
            </w:tcBorders>
          </w:tcPr>
          <w:p w14:paraId="65678BA4" w14:textId="77777777" w:rsidR="00861557" w:rsidRPr="00296D0C" w:rsidRDefault="00861557" w:rsidP="0077247E">
            <w:pPr>
              <w:spacing w:before="40" w:after="40"/>
            </w:pPr>
            <w:r w:rsidRPr="00296D0C">
              <w:t>&gt;90th</w:t>
            </w:r>
          </w:p>
        </w:tc>
        <w:tc>
          <w:tcPr>
            <w:tcW w:w="1504" w:type="dxa"/>
            <w:tcBorders>
              <w:top w:val="nil"/>
              <w:left w:val="nil"/>
              <w:bottom w:val="single" w:sz="4" w:space="0" w:color="auto"/>
              <w:right w:val="nil"/>
            </w:tcBorders>
          </w:tcPr>
          <w:p w14:paraId="5064FA0E" w14:textId="77777777" w:rsidR="00861557" w:rsidRPr="00296D0C" w:rsidRDefault="00861557" w:rsidP="0077247E">
            <w:pPr>
              <w:spacing w:before="40" w:after="40"/>
              <w:jc w:val="right"/>
            </w:pPr>
            <w:r w:rsidRPr="00296D0C">
              <w:t>13.0 (0.13)</w:t>
            </w:r>
          </w:p>
        </w:tc>
        <w:tc>
          <w:tcPr>
            <w:tcW w:w="1504" w:type="dxa"/>
            <w:tcBorders>
              <w:top w:val="nil"/>
              <w:left w:val="nil"/>
              <w:bottom w:val="single" w:sz="4" w:space="0" w:color="auto"/>
              <w:right w:val="nil"/>
            </w:tcBorders>
          </w:tcPr>
          <w:p w14:paraId="4CD9BF01" w14:textId="77777777" w:rsidR="00861557" w:rsidRPr="00296D0C" w:rsidRDefault="00861557" w:rsidP="0077247E">
            <w:pPr>
              <w:spacing w:before="40" w:after="40"/>
              <w:jc w:val="right"/>
            </w:pPr>
            <w:r w:rsidRPr="00296D0C">
              <w:t>42.0 (0.42)</w:t>
            </w:r>
          </w:p>
        </w:tc>
        <w:tc>
          <w:tcPr>
            <w:tcW w:w="1505" w:type="dxa"/>
            <w:tcBorders>
              <w:top w:val="nil"/>
              <w:left w:val="nil"/>
              <w:bottom w:val="single" w:sz="4" w:space="0" w:color="auto"/>
            </w:tcBorders>
          </w:tcPr>
          <w:p w14:paraId="588173FC" w14:textId="77777777" w:rsidR="00861557" w:rsidRPr="00296D0C" w:rsidRDefault="00861557" w:rsidP="0077247E">
            <w:pPr>
              <w:spacing w:before="40" w:after="40"/>
              <w:jc w:val="right"/>
            </w:pPr>
            <w:r w:rsidRPr="00296D0C">
              <w:t>45.0 (0.45)</w:t>
            </w:r>
          </w:p>
        </w:tc>
      </w:tr>
      <w:tr w:rsidR="00861557" w:rsidRPr="00296D0C" w14:paraId="20886B21" w14:textId="77777777" w:rsidTr="0077247E">
        <w:tc>
          <w:tcPr>
            <w:tcW w:w="4729" w:type="dxa"/>
            <w:tcBorders>
              <w:bottom w:val="nil"/>
              <w:right w:val="nil"/>
            </w:tcBorders>
          </w:tcPr>
          <w:p w14:paraId="5F117C35" w14:textId="7B251377" w:rsidR="00861557" w:rsidRPr="00296D0C" w:rsidRDefault="00861557" w:rsidP="008C43BF">
            <w:pPr>
              <w:spacing w:before="40" w:after="40"/>
              <w:rPr>
                <w:b/>
              </w:rPr>
            </w:pPr>
            <w:r w:rsidRPr="00296D0C">
              <w:rPr>
                <w:b/>
              </w:rPr>
              <w:t>Data from: Laitinen et al</w:t>
            </w:r>
            <w:r w:rsidR="001A55B7" w:rsidRPr="00296D0C">
              <w:rPr>
                <w:b/>
              </w:rPr>
              <w:t>.</w:t>
            </w:r>
            <w:r w:rsidR="001B5A2E" w:rsidRPr="00296D0C">
              <w:rPr>
                <w:b/>
              </w:rPr>
              <w:t xml:space="preserve"> </w:t>
            </w:r>
            <w:r w:rsidR="001B5A2E" w:rsidRPr="00296D0C">
              <w:rPr>
                <w:b/>
                <w:color w:val="000000" w:themeColor="text1"/>
              </w:rPr>
              <w:fldChar w:fldCharType="begin"/>
            </w:r>
            <w:r w:rsidR="008C43BF">
              <w:rPr>
                <w:b/>
                <w:color w:val="000000" w:themeColor="text1"/>
              </w:rPr>
              <w:instrText xml:space="preserve"> ADDIN EN.CITE &lt;EndNote&gt;&lt;Cite&gt;&lt;Author&gt;Laitinen&lt;/Author&gt;&lt;Year&gt;2001&lt;/Year&gt;&lt;RecNum&gt;125&lt;/RecNum&gt;&lt;DisplayText&gt;&lt;style face="superscript"&gt;86&lt;/style&gt;&lt;/DisplayText&gt;&lt;record&gt;&lt;rec-number&gt;125&lt;/rec-number&gt;&lt;foreign-keys&gt;&lt;key app="EN" db-id="2ewa9rrvjsdsawep2vpx5x97eedzzvxx5rta" timestamp="0"&gt;125&lt;/key&gt;&lt;/foreign-keys&gt;&lt;ref-type name="Journal Article"&gt;17&lt;/ref-type&gt;&lt;contributors&gt;&lt;authors&gt;&lt;author&gt;Laitinen, J.&lt;/author&gt;&lt;author&gt;Power, C.&lt;/author&gt;&lt;author&gt;Jarvelin, M. R.&lt;/author&gt;&lt;/authors&gt;&lt;/contributors&gt;&lt;auth-address&gt;Oulu Regional Institute of Occupational Health, Oulu, Finland. jaana.laitinen@occuphealth.fi&lt;/auth-address&gt;&lt;titles&gt;&lt;title&gt;Family social class, maternal body mass index, childhood body mass index, and age at menarche as predictors of adult obesity&lt;/title&gt;&lt;secondary-title&gt;Am J Clin Nutr&lt;/secondary-title&gt;&lt;/titles&gt;&lt;periodical&gt;&lt;full-title&gt;American Journal of Clinical Nutrition&lt;/full-title&gt;&lt;abbr-1&gt;Am. J. Clin. Nutr.&lt;/abbr-1&gt;&lt;abbr-2&gt;Am J Clin Nutr&lt;/abbr-2&gt;&lt;/periodical&gt;&lt;pages&gt;287-94&lt;/pages&gt;&lt;volume&gt;74&lt;/volume&gt;&lt;number&gt;3&lt;/number&gt;&lt;keywords&gt;&lt;keyword&gt;Adolescent&lt;/keyword&gt;&lt;keyword&gt;Adult&lt;/keyword&gt;&lt;keyword&gt;Age Factors&lt;/keyword&gt;&lt;keyword&gt;Birth Weight&lt;/keyword&gt;&lt;keyword&gt;Body Constitution&lt;/keyword&gt;&lt;keyword&gt;*Body Mass Index&lt;/keyword&gt;&lt;keyword&gt;Cohort Studies&lt;/keyword&gt;&lt;keyword&gt;Female&lt;/keyword&gt;&lt;keyword&gt;Finland/epidemiology&lt;/keyword&gt;&lt;keyword&gt;Humans&lt;/keyword&gt;&lt;keyword&gt;Infant&lt;/keyword&gt;&lt;keyword&gt;Infant, Newborn&lt;/keyword&gt;&lt;keyword&gt;Longitudinal Studies&lt;/keyword&gt;&lt;keyword&gt;Male&lt;/keyword&gt;&lt;keyword&gt;*Menarche&lt;/keyword&gt;&lt;keyword&gt;Obesity/epidemiology/*etiology&lt;/keyword&gt;&lt;keyword&gt;Prevalence&lt;/keyword&gt;&lt;keyword&gt;Probability&lt;/keyword&gt;&lt;keyword&gt;Research Support, Non-U.S. Gov&amp;apos;t&lt;/keyword&gt;&lt;keyword&gt;*Social Class&lt;/keyword&gt;&lt;/keywords&gt;&lt;dates&gt;&lt;year&gt;2001&lt;/year&gt;&lt;pub-dates&gt;&lt;date&gt;Sep&lt;/date&gt;&lt;/pub-dates&gt;&lt;/dates&gt;&lt;accession-num&gt;11522550&lt;/accession-num&gt;&lt;urls&gt;&lt;related-urls&gt;&lt;url&gt;http://www.ncbi.nlm.nih.gov/entrez/query.fcgi?cmd=Retrieve&amp;amp;db=PubMed&amp;amp;dopt=Citation&amp;amp;list_uids=11522550 &lt;/url&gt;&lt;/related-urls&gt;&lt;/urls&gt;&lt;/record&gt;&lt;/Cite&gt;&lt;/EndNote&gt;</w:instrText>
            </w:r>
            <w:r w:rsidR="001B5A2E" w:rsidRPr="00296D0C">
              <w:rPr>
                <w:b/>
                <w:color w:val="000000" w:themeColor="text1"/>
              </w:rPr>
              <w:fldChar w:fldCharType="separate"/>
            </w:r>
            <w:r w:rsidR="008C43BF" w:rsidRPr="008C43BF">
              <w:rPr>
                <w:b/>
                <w:noProof/>
                <w:color w:val="000000" w:themeColor="text1"/>
                <w:vertAlign w:val="superscript"/>
              </w:rPr>
              <w:t>86</w:t>
            </w:r>
            <w:r w:rsidR="001B5A2E" w:rsidRPr="00296D0C">
              <w:rPr>
                <w:b/>
                <w:color w:val="000000" w:themeColor="text1"/>
              </w:rPr>
              <w:fldChar w:fldCharType="end"/>
            </w:r>
          </w:p>
        </w:tc>
        <w:tc>
          <w:tcPr>
            <w:tcW w:w="1504" w:type="dxa"/>
            <w:tcBorders>
              <w:left w:val="nil"/>
              <w:bottom w:val="nil"/>
              <w:right w:val="nil"/>
            </w:tcBorders>
          </w:tcPr>
          <w:p w14:paraId="3CD6F91C" w14:textId="77777777" w:rsidR="00861557" w:rsidRPr="00296D0C" w:rsidRDefault="00861557" w:rsidP="0077247E">
            <w:pPr>
              <w:spacing w:before="40" w:after="40"/>
              <w:rPr>
                <w:b/>
              </w:rPr>
            </w:pPr>
          </w:p>
        </w:tc>
        <w:tc>
          <w:tcPr>
            <w:tcW w:w="1504" w:type="dxa"/>
            <w:tcBorders>
              <w:left w:val="nil"/>
              <w:bottom w:val="nil"/>
              <w:right w:val="nil"/>
            </w:tcBorders>
          </w:tcPr>
          <w:p w14:paraId="1E1F8AAE" w14:textId="77777777" w:rsidR="00861557" w:rsidRPr="00296D0C" w:rsidRDefault="00861557" w:rsidP="0077247E">
            <w:pPr>
              <w:spacing w:before="40" w:after="40"/>
              <w:rPr>
                <w:b/>
              </w:rPr>
            </w:pPr>
          </w:p>
        </w:tc>
        <w:tc>
          <w:tcPr>
            <w:tcW w:w="1505" w:type="dxa"/>
            <w:tcBorders>
              <w:left w:val="nil"/>
              <w:bottom w:val="nil"/>
            </w:tcBorders>
          </w:tcPr>
          <w:p w14:paraId="3B17F114" w14:textId="77777777" w:rsidR="00861557" w:rsidRPr="00296D0C" w:rsidRDefault="00861557" w:rsidP="0077247E">
            <w:pPr>
              <w:spacing w:before="40" w:after="40"/>
              <w:rPr>
                <w:b/>
              </w:rPr>
            </w:pPr>
          </w:p>
        </w:tc>
      </w:tr>
      <w:tr w:rsidR="00861557" w:rsidRPr="00296D0C" w14:paraId="51D64FB6" w14:textId="77777777" w:rsidTr="0077247E">
        <w:tc>
          <w:tcPr>
            <w:tcW w:w="4729" w:type="dxa"/>
            <w:tcBorders>
              <w:top w:val="nil"/>
              <w:bottom w:val="nil"/>
              <w:right w:val="nil"/>
            </w:tcBorders>
          </w:tcPr>
          <w:p w14:paraId="2C8282D1" w14:textId="77777777" w:rsidR="00861557" w:rsidRPr="00296D0C" w:rsidRDefault="00861557" w:rsidP="0077247E">
            <w:pPr>
              <w:spacing w:before="40" w:after="40"/>
              <w:rPr>
                <w:b/>
              </w:rPr>
            </w:pPr>
          </w:p>
        </w:tc>
        <w:tc>
          <w:tcPr>
            <w:tcW w:w="4513" w:type="dxa"/>
            <w:gridSpan w:val="3"/>
            <w:tcBorders>
              <w:top w:val="nil"/>
              <w:left w:val="nil"/>
              <w:bottom w:val="nil"/>
            </w:tcBorders>
          </w:tcPr>
          <w:p w14:paraId="25E15DC0" w14:textId="77777777" w:rsidR="00861557" w:rsidRPr="00296D0C" w:rsidRDefault="00861557" w:rsidP="0077247E">
            <w:pPr>
              <w:spacing w:before="40" w:after="40"/>
              <w:jc w:val="center"/>
              <w:rPr>
                <w:b/>
              </w:rPr>
            </w:pPr>
            <w:r w:rsidRPr="00296D0C">
              <w:rPr>
                <w:b/>
              </w:rPr>
              <w:t>Weight status at age 31 years</w:t>
            </w:r>
          </w:p>
        </w:tc>
      </w:tr>
      <w:tr w:rsidR="00861557" w:rsidRPr="00296D0C" w14:paraId="1EACE7F0" w14:textId="77777777" w:rsidTr="0077247E">
        <w:tc>
          <w:tcPr>
            <w:tcW w:w="4729" w:type="dxa"/>
            <w:tcBorders>
              <w:top w:val="nil"/>
              <w:bottom w:val="nil"/>
              <w:right w:val="nil"/>
            </w:tcBorders>
          </w:tcPr>
          <w:p w14:paraId="25BCE577" w14:textId="77777777" w:rsidR="00861557" w:rsidRPr="00296D0C" w:rsidRDefault="00861557" w:rsidP="0077247E">
            <w:pPr>
              <w:spacing w:before="40" w:after="40"/>
              <w:rPr>
                <w:b/>
              </w:rPr>
            </w:pPr>
            <w:r w:rsidRPr="00296D0C">
              <w:rPr>
                <w:b/>
              </w:rPr>
              <w:t>BMI centile category (age 14 years)</w:t>
            </w:r>
          </w:p>
        </w:tc>
        <w:tc>
          <w:tcPr>
            <w:tcW w:w="1504" w:type="dxa"/>
            <w:tcBorders>
              <w:top w:val="nil"/>
              <w:left w:val="nil"/>
              <w:bottom w:val="nil"/>
              <w:right w:val="nil"/>
            </w:tcBorders>
          </w:tcPr>
          <w:p w14:paraId="5ABBD2BB" w14:textId="77777777" w:rsidR="00861557" w:rsidRPr="00296D0C" w:rsidRDefault="00861557" w:rsidP="0077247E">
            <w:pPr>
              <w:spacing w:before="40" w:after="40"/>
              <w:jc w:val="right"/>
              <w:rPr>
                <w:b/>
              </w:rPr>
            </w:pPr>
            <w:r w:rsidRPr="00296D0C">
              <w:rPr>
                <w:b/>
              </w:rPr>
              <w:t>HE</w:t>
            </w:r>
          </w:p>
        </w:tc>
        <w:tc>
          <w:tcPr>
            <w:tcW w:w="1504" w:type="dxa"/>
            <w:tcBorders>
              <w:top w:val="nil"/>
              <w:left w:val="nil"/>
              <w:bottom w:val="nil"/>
              <w:right w:val="nil"/>
            </w:tcBorders>
          </w:tcPr>
          <w:p w14:paraId="72903B3A" w14:textId="77777777" w:rsidR="00861557" w:rsidRPr="00296D0C" w:rsidRDefault="00861557" w:rsidP="0077247E">
            <w:pPr>
              <w:spacing w:before="40" w:after="40"/>
              <w:jc w:val="right"/>
              <w:rPr>
                <w:b/>
              </w:rPr>
            </w:pPr>
            <w:r w:rsidRPr="00296D0C">
              <w:rPr>
                <w:b/>
              </w:rPr>
              <w:t>OV</w:t>
            </w:r>
          </w:p>
        </w:tc>
        <w:tc>
          <w:tcPr>
            <w:tcW w:w="1505" w:type="dxa"/>
            <w:tcBorders>
              <w:top w:val="nil"/>
              <w:left w:val="nil"/>
              <w:bottom w:val="nil"/>
            </w:tcBorders>
          </w:tcPr>
          <w:p w14:paraId="223D2479" w14:textId="77777777" w:rsidR="00861557" w:rsidRPr="00296D0C" w:rsidRDefault="00861557" w:rsidP="0077247E">
            <w:pPr>
              <w:spacing w:before="40" w:after="40"/>
              <w:jc w:val="right"/>
              <w:rPr>
                <w:b/>
              </w:rPr>
            </w:pPr>
            <w:r w:rsidRPr="00296D0C">
              <w:rPr>
                <w:b/>
              </w:rPr>
              <w:t>OB</w:t>
            </w:r>
          </w:p>
        </w:tc>
      </w:tr>
      <w:tr w:rsidR="00861557" w:rsidRPr="00296D0C" w14:paraId="6F525AA3" w14:textId="77777777" w:rsidTr="0077247E">
        <w:tc>
          <w:tcPr>
            <w:tcW w:w="4729" w:type="dxa"/>
            <w:tcBorders>
              <w:top w:val="nil"/>
              <w:bottom w:val="nil"/>
              <w:right w:val="nil"/>
            </w:tcBorders>
          </w:tcPr>
          <w:p w14:paraId="6A4A9B95" w14:textId="77777777" w:rsidR="00861557" w:rsidRPr="00296D0C" w:rsidRDefault="00861557" w:rsidP="0077247E">
            <w:pPr>
              <w:spacing w:before="40" w:after="40"/>
            </w:pPr>
            <w:r w:rsidRPr="00296D0C">
              <w:t>&lt;85</w:t>
            </w:r>
            <w:r w:rsidRPr="00296D0C">
              <w:rPr>
                <w:vertAlign w:val="superscript"/>
              </w:rPr>
              <w:t>th</w:t>
            </w:r>
            <w:r w:rsidRPr="00296D0C">
              <w:t xml:space="preserve"> </w:t>
            </w:r>
          </w:p>
        </w:tc>
        <w:tc>
          <w:tcPr>
            <w:tcW w:w="1504" w:type="dxa"/>
            <w:tcBorders>
              <w:top w:val="nil"/>
              <w:left w:val="nil"/>
              <w:bottom w:val="nil"/>
              <w:right w:val="nil"/>
            </w:tcBorders>
          </w:tcPr>
          <w:p w14:paraId="4B3F8236" w14:textId="77777777" w:rsidR="00861557" w:rsidRPr="00296D0C" w:rsidRDefault="00861557" w:rsidP="0077247E">
            <w:pPr>
              <w:spacing w:before="40" w:after="40"/>
              <w:jc w:val="right"/>
            </w:pPr>
            <w:r w:rsidRPr="00296D0C">
              <w:t>69.0 (0.69)</w:t>
            </w:r>
          </w:p>
        </w:tc>
        <w:tc>
          <w:tcPr>
            <w:tcW w:w="1504" w:type="dxa"/>
            <w:tcBorders>
              <w:top w:val="nil"/>
              <w:left w:val="nil"/>
              <w:bottom w:val="nil"/>
              <w:right w:val="nil"/>
            </w:tcBorders>
          </w:tcPr>
          <w:p w14:paraId="5E733EB6" w14:textId="77777777" w:rsidR="00861557" w:rsidRPr="00296D0C" w:rsidRDefault="00861557" w:rsidP="0077247E">
            <w:pPr>
              <w:spacing w:before="40" w:after="40"/>
              <w:jc w:val="right"/>
            </w:pPr>
            <w:r w:rsidRPr="00296D0C">
              <w:t>27.0 (0.27)</w:t>
            </w:r>
          </w:p>
        </w:tc>
        <w:tc>
          <w:tcPr>
            <w:tcW w:w="1505" w:type="dxa"/>
            <w:tcBorders>
              <w:top w:val="nil"/>
              <w:left w:val="nil"/>
              <w:bottom w:val="nil"/>
            </w:tcBorders>
          </w:tcPr>
          <w:p w14:paraId="0639B7F1" w14:textId="77777777" w:rsidR="00861557" w:rsidRPr="00296D0C" w:rsidRDefault="00861557" w:rsidP="0077247E">
            <w:pPr>
              <w:spacing w:before="40" w:after="40"/>
              <w:jc w:val="right"/>
            </w:pPr>
            <w:r w:rsidRPr="00296D0C">
              <w:t>4.0 0.04)</w:t>
            </w:r>
          </w:p>
        </w:tc>
      </w:tr>
      <w:tr w:rsidR="00861557" w:rsidRPr="00296D0C" w14:paraId="7954C271" w14:textId="77777777" w:rsidTr="0077247E">
        <w:tc>
          <w:tcPr>
            <w:tcW w:w="4729" w:type="dxa"/>
            <w:tcBorders>
              <w:top w:val="nil"/>
              <w:bottom w:val="nil"/>
              <w:right w:val="nil"/>
            </w:tcBorders>
          </w:tcPr>
          <w:p w14:paraId="456C00FF" w14:textId="77777777" w:rsidR="00861557" w:rsidRPr="00296D0C" w:rsidRDefault="00861557" w:rsidP="0077247E">
            <w:pPr>
              <w:spacing w:before="40" w:after="40"/>
            </w:pPr>
            <w:r w:rsidRPr="00296D0C">
              <w:rPr>
                <w:rFonts w:cs="Arial"/>
              </w:rPr>
              <w:t>≥</w:t>
            </w:r>
            <w:r w:rsidRPr="00296D0C">
              <w:t>85</w:t>
            </w:r>
            <w:r w:rsidRPr="00296D0C">
              <w:rPr>
                <w:vertAlign w:val="superscript"/>
              </w:rPr>
              <w:t>th</w:t>
            </w:r>
            <w:r w:rsidRPr="00296D0C">
              <w:t xml:space="preserve"> to &lt;95</w:t>
            </w:r>
            <w:r w:rsidRPr="00296D0C">
              <w:rPr>
                <w:vertAlign w:val="superscript"/>
              </w:rPr>
              <w:t>th</w:t>
            </w:r>
          </w:p>
        </w:tc>
        <w:tc>
          <w:tcPr>
            <w:tcW w:w="1504" w:type="dxa"/>
            <w:tcBorders>
              <w:top w:val="nil"/>
              <w:left w:val="nil"/>
              <w:bottom w:val="nil"/>
              <w:right w:val="nil"/>
            </w:tcBorders>
          </w:tcPr>
          <w:p w14:paraId="5B6F121F" w14:textId="77777777" w:rsidR="00861557" w:rsidRPr="00296D0C" w:rsidRDefault="00861557" w:rsidP="0077247E">
            <w:pPr>
              <w:spacing w:before="40" w:after="40"/>
              <w:jc w:val="right"/>
            </w:pPr>
            <w:r w:rsidRPr="00296D0C">
              <w:t>28.0 (0.28)</w:t>
            </w:r>
          </w:p>
        </w:tc>
        <w:tc>
          <w:tcPr>
            <w:tcW w:w="1504" w:type="dxa"/>
            <w:tcBorders>
              <w:top w:val="nil"/>
              <w:left w:val="nil"/>
              <w:bottom w:val="nil"/>
              <w:right w:val="nil"/>
            </w:tcBorders>
          </w:tcPr>
          <w:p w14:paraId="4F172725" w14:textId="77777777" w:rsidR="00861557" w:rsidRPr="00296D0C" w:rsidRDefault="00861557" w:rsidP="0077247E">
            <w:pPr>
              <w:spacing w:before="40" w:after="40"/>
              <w:jc w:val="right"/>
            </w:pPr>
            <w:r w:rsidRPr="00296D0C">
              <w:t>48.0 (0.48)</w:t>
            </w:r>
          </w:p>
        </w:tc>
        <w:tc>
          <w:tcPr>
            <w:tcW w:w="1505" w:type="dxa"/>
            <w:tcBorders>
              <w:top w:val="nil"/>
              <w:left w:val="nil"/>
              <w:bottom w:val="nil"/>
            </w:tcBorders>
          </w:tcPr>
          <w:p w14:paraId="4645A842" w14:textId="77777777" w:rsidR="00861557" w:rsidRPr="00296D0C" w:rsidRDefault="00861557" w:rsidP="0077247E">
            <w:pPr>
              <w:spacing w:before="40" w:after="40"/>
              <w:jc w:val="right"/>
            </w:pPr>
            <w:r w:rsidRPr="00296D0C">
              <w:t>23.0 (0.23)</w:t>
            </w:r>
          </w:p>
        </w:tc>
      </w:tr>
      <w:tr w:rsidR="00861557" w:rsidRPr="00296D0C" w14:paraId="407D20E8" w14:textId="77777777" w:rsidTr="0077247E">
        <w:tc>
          <w:tcPr>
            <w:tcW w:w="4729" w:type="dxa"/>
            <w:tcBorders>
              <w:top w:val="nil"/>
              <w:bottom w:val="single" w:sz="4" w:space="0" w:color="auto"/>
              <w:right w:val="nil"/>
            </w:tcBorders>
          </w:tcPr>
          <w:p w14:paraId="43B45A6B" w14:textId="77777777" w:rsidR="00861557" w:rsidRPr="00296D0C" w:rsidRDefault="00861557" w:rsidP="0077247E">
            <w:pPr>
              <w:spacing w:before="40" w:after="40"/>
            </w:pPr>
            <w:r w:rsidRPr="00296D0C">
              <w:rPr>
                <w:rFonts w:cs="Arial"/>
              </w:rPr>
              <w:t>≥</w:t>
            </w:r>
            <w:r w:rsidRPr="00296D0C">
              <w:t>95th</w:t>
            </w:r>
          </w:p>
        </w:tc>
        <w:tc>
          <w:tcPr>
            <w:tcW w:w="1504" w:type="dxa"/>
            <w:tcBorders>
              <w:top w:val="nil"/>
              <w:left w:val="nil"/>
              <w:bottom w:val="single" w:sz="4" w:space="0" w:color="auto"/>
              <w:right w:val="nil"/>
            </w:tcBorders>
          </w:tcPr>
          <w:p w14:paraId="78FD8DF7" w14:textId="77777777" w:rsidR="00861557" w:rsidRPr="00296D0C" w:rsidRDefault="00861557" w:rsidP="0077247E">
            <w:pPr>
              <w:spacing w:before="40" w:after="40"/>
              <w:jc w:val="right"/>
            </w:pPr>
            <w:r w:rsidRPr="00296D0C">
              <w:t>15.0 (0.15)</w:t>
            </w:r>
          </w:p>
        </w:tc>
        <w:tc>
          <w:tcPr>
            <w:tcW w:w="1504" w:type="dxa"/>
            <w:tcBorders>
              <w:top w:val="nil"/>
              <w:left w:val="nil"/>
              <w:bottom w:val="single" w:sz="4" w:space="0" w:color="auto"/>
              <w:right w:val="nil"/>
            </w:tcBorders>
          </w:tcPr>
          <w:p w14:paraId="323C276E" w14:textId="77777777" w:rsidR="00861557" w:rsidRPr="00296D0C" w:rsidRDefault="00861557" w:rsidP="0077247E">
            <w:pPr>
              <w:spacing w:before="40" w:after="40"/>
              <w:jc w:val="right"/>
            </w:pPr>
            <w:r w:rsidRPr="00296D0C">
              <w:t>33.0 (0.33)</w:t>
            </w:r>
          </w:p>
        </w:tc>
        <w:tc>
          <w:tcPr>
            <w:tcW w:w="1505" w:type="dxa"/>
            <w:tcBorders>
              <w:top w:val="nil"/>
              <w:left w:val="nil"/>
              <w:bottom w:val="single" w:sz="4" w:space="0" w:color="auto"/>
            </w:tcBorders>
          </w:tcPr>
          <w:p w14:paraId="48C1739D" w14:textId="77777777" w:rsidR="00861557" w:rsidRPr="00296D0C" w:rsidRDefault="00861557" w:rsidP="0077247E">
            <w:pPr>
              <w:spacing w:before="40" w:after="40"/>
              <w:jc w:val="right"/>
            </w:pPr>
            <w:r w:rsidRPr="00296D0C">
              <w:t>51.0 (0.51)</w:t>
            </w:r>
          </w:p>
        </w:tc>
      </w:tr>
      <w:tr w:rsidR="00861557" w:rsidRPr="00296D0C" w14:paraId="279EF0F4" w14:textId="77777777" w:rsidTr="0077247E">
        <w:tc>
          <w:tcPr>
            <w:tcW w:w="4729" w:type="dxa"/>
            <w:tcBorders>
              <w:bottom w:val="nil"/>
              <w:right w:val="nil"/>
            </w:tcBorders>
          </w:tcPr>
          <w:p w14:paraId="1B643A14" w14:textId="590C2499" w:rsidR="00861557" w:rsidRPr="00296D0C" w:rsidRDefault="00861557" w:rsidP="008C43BF">
            <w:pPr>
              <w:spacing w:before="40" w:after="40"/>
              <w:rPr>
                <w:b/>
              </w:rPr>
            </w:pPr>
            <w:r w:rsidRPr="00296D0C">
              <w:rPr>
                <w:b/>
              </w:rPr>
              <w:t>Data from: Venn et al</w:t>
            </w:r>
            <w:r w:rsidR="001A55B7" w:rsidRPr="00296D0C">
              <w:rPr>
                <w:b/>
              </w:rPr>
              <w:t>.</w:t>
            </w:r>
            <w:r w:rsidR="001B5A2E" w:rsidRPr="00296D0C">
              <w:rPr>
                <w:b/>
              </w:rPr>
              <w:t xml:space="preserve"> </w:t>
            </w:r>
            <w:r w:rsidR="001B5A2E" w:rsidRPr="00296D0C">
              <w:rPr>
                <w:b/>
                <w:color w:val="000000" w:themeColor="text1"/>
              </w:rPr>
              <w:fldChar w:fldCharType="begin"/>
            </w:r>
            <w:r w:rsidR="008C43BF">
              <w:rPr>
                <w:b/>
                <w:color w:val="000000" w:themeColor="text1"/>
              </w:rPr>
              <w:instrText xml:space="preserve"> ADDIN EN.CITE &lt;EndNote&gt;&lt;Cite&gt;&lt;Author&gt;Venn&lt;/Author&gt;&lt;Year&gt;2007&lt;/Year&gt;&lt;RecNum&gt;5773&lt;/RecNum&gt;&lt;DisplayText&gt;&lt;style face="superscript"&gt;75&lt;/style&gt;&lt;/DisplayText&gt;&lt;record&gt;&lt;rec-number&gt;5773&lt;/rec-number&gt;&lt;foreign-keys&gt;&lt;key app="EN" db-id="2ewa9rrvjsdsawep2vpx5x97eedzzvxx5rta" timestamp="1478679952"&gt;5773&lt;/key&gt;&lt;/foreign-keys&gt;&lt;ref-type name="Journal Article"&gt;17&lt;/ref-type&gt;&lt;contributors&gt;&lt;authors&gt;&lt;author&gt;Venn, A. J.&lt;/author&gt;&lt;author&gt;Thomson, R. J.&lt;/author&gt;&lt;author&gt;Schmidt, M. D.&lt;/author&gt;&lt;author&gt;Cleland, V. J.&lt;/author&gt;&lt;author&gt;Curry, B. A.&lt;/author&gt;&lt;author&gt;Gennat, H. C.&lt;/author&gt;&lt;author&gt;Dwyer, T.&lt;/author&gt;&lt;/authors&gt;&lt;/contributors&gt;&lt;auth-address&gt;Menzies Research Institute, Hobart, Tasmania, Australia. Alison.Venn@utas.edu.au&lt;/auth-address&gt;&lt;titles&gt;&lt;title&gt;Overweight and obesity from childhood to adulthood: a follow-up of participants in the 1985 Australian Schools Health and Fitness Survey&lt;/title&gt;&lt;secondary-title&gt;Med J Aust&lt;/secondary-title&gt;&lt;/titles&gt;&lt;periodical&gt;&lt;full-title&gt;Medical Journal of Australia&lt;/full-title&gt;&lt;abbr-1&gt;Med. J. Aust.&lt;/abbr-1&gt;&lt;abbr-2&gt;Med J Aust&lt;/abbr-2&gt;&lt;/periodical&gt;&lt;pages&gt;458-60&lt;/pages&gt;&lt;volume&gt;186&lt;/volume&gt;&lt;number&gt;9&lt;/number&gt;&lt;keywords&gt;&lt;keyword&gt;Adolescent&lt;/keyword&gt;&lt;keyword&gt;Adult&lt;/keyword&gt;&lt;keyword&gt;Australia/epidemiology&lt;/keyword&gt;&lt;keyword&gt;Body Height&lt;/keyword&gt;&lt;keyword&gt;Body Mass Index&lt;/keyword&gt;&lt;keyword&gt;Child&lt;/keyword&gt;&lt;keyword&gt;Cohort Studies&lt;/keyword&gt;&lt;keyword&gt;Female&lt;/keyword&gt;&lt;keyword&gt;Follow-Up Studies&lt;/keyword&gt;&lt;keyword&gt;Health Surveys&lt;/keyword&gt;&lt;keyword&gt;Humans&lt;/keyword&gt;&lt;keyword&gt;Male&lt;/keyword&gt;&lt;keyword&gt;Obesity/*epidemiology&lt;/keyword&gt;&lt;keyword&gt;*Overweight&lt;/keyword&gt;&lt;keyword&gt;Prevalence&lt;/keyword&gt;&lt;/keywords&gt;&lt;dates&gt;&lt;year&gt;2007&lt;/year&gt;&lt;pub-dates&gt;&lt;date&gt;May 7&lt;/date&gt;&lt;/pub-dates&gt;&lt;/dates&gt;&lt;isbn&gt;0025-729X (Print)&amp;#xD;0025-729X (Linking)&lt;/isbn&gt;&lt;accession-num&gt;17484707&lt;/accession-num&gt;&lt;urls&gt;&lt;related-urls&gt;&lt;url&gt;http://www.ncbi.nlm.nih.gov/pubmed/17484707&lt;/url&gt;&lt;/related-urls&gt;&lt;/urls&gt;&lt;/record&gt;&lt;/Cite&gt;&lt;/EndNote&gt;</w:instrText>
            </w:r>
            <w:r w:rsidR="001B5A2E" w:rsidRPr="00296D0C">
              <w:rPr>
                <w:b/>
                <w:color w:val="000000" w:themeColor="text1"/>
              </w:rPr>
              <w:fldChar w:fldCharType="separate"/>
            </w:r>
            <w:r w:rsidR="008C43BF" w:rsidRPr="008C43BF">
              <w:rPr>
                <w:b/>
                <w:noProof/>
                <w:color w:val="000000" w:themeColor="text1"/>
                <w:vertAlign w:val="superscript"/>
              </w:rPr>
              <w:t>75</w:t>
            </w:r>
            <w:r w:rsidR="001B5A2E" w:rsidRPr="00296D0C">
              <w:rPr>
                <w:b/>
                <w:color w:val="000000" w:themeColor="text1"/>
              </w:rPr>
              <w:fldChar w:fldCharType="end"/>
            </w:r>
          </w:p>
        </w:tc>
        <w:tc>
          <w:tcPr>
            <w:tcW w:w="1504" w:type="dxa"/>
            <w:tcBorders>
              <w:left w:val="nil"/>
              <w:bottom w:val="nil"/>
              <w:right w:val="nil"/>
            </w:tcBorders>
          </w:tcPr>
          <w:p w14:paraId="6F14C3EA" w14:textId="77777777" w:rsidR="00861557" w:rsidRPr="00296D0C" w:rsidRDefault="00861557" w:rsidP="0077247E">
            <w:pPr>
              <w:spacing w:before="40" w:after="40"/>
              <w:rPr>
                <w:b/>
              </w:rPr>
            </w:pPr>
          </w:p>
        </w:tc>
        <w:tc>
          <w:tcPr>
            <w:tcW w:w="1504" w:type="dxa"/>
            <w:tcBorders>
              <w:left w:val="nil"/>
              <w:bottom w:val="nil"/>
              <w:right w:val="nil"/>
            </w:tcBorders>
          </w:tcPr>
          <w:p w14:paraId="0AACE01F" w14:textId="77777777" w:rsidR="00861557" w:rsidRPr="00296D0C" w:rsidRDefault="00861557" w:rsidP="0077247E">
            <w:pPr>
              <w:spacing w:before="40" w:after="40"/>
              <w:rPr>
                <w:b/>
              </w:rPr>
            </w:pPr>
          </w:p>
        </w:tc>
        <w:tc>
          <w:tcPr>
            <w:tcW w:w="1505" w:type="dxa"/>
            <w:tcBorders>
              <w:left w:val="nil"/>
              <w:bottom w:val="nil"/>
            </w:tcBorders>
          </w:tcPr>
          <w:p w14:paraId="251EBF55" w14:textId="77777777" w:rsidR="00861557" w:rsidRPr="00296D0C" w:rsidRDefault="00861557" w:rsidP="0077247E">
            <w:pPr>
              <w:spacing w:before="40" w:after="40"/>
              <w:rPr>
                <w:b/>
              </w:rPr>
            </w:pPr>
          </w:p>
        </w:tc>
      </w:tr>
      <w:tr w:rsidR="00861557" w:rsidRPr="00296D0C" w14:paraId="40273478" w14:textId="77777777" w:rsidTr="0077247E">
        <w:tc>
          <w:tcPr>
            <w:tcW w:w="4729" w:type="dxa"/>
            <w:tcBorders>
              <w:top w:val="nil"/>
              <w:bottom w:val="nil"/>
              <w:right w:val="nil"/>
            </w:tcBorders>
          </w:tcPr>
          <w:p w14:paraId="178E88A6" w14:textId="77777777" w:rsidR="00861557" w:rsidRPr="00296D0C" w:rsidRDefault="00861557" w:rsidP="0077247E">
            <w:pPr>
              <w:spacing w:before="40" w:after="40"/>
              <w:rPr>
                <w:b/>
              </w:rPr>
            </w:pPr>
          </w:p>
        </w:tc>
        <w:tc>
          <w:tcPr>
            <w:tcW w:w="4513" w:type="dxa"/>
            <w:gridSpan w:val="3"/>
            <w:tcBorders>
              <w:top w:val="nil"/>
              <w:left w:val="nil"/>
              <w:bottom w:val="nil"/>
            </w:tcBorders>
          </w:tcPr>
          <w:p w14:paraId="521D1122" w14:textId="77777777" w:rsidR="00861557" w:rsidRPr="00296D0C" w:rsidRDefault="00861557" w:rsidP="0077247E">
            <w:pPr>
              <w:spacing w:before="40" w:after="40"/>
              <w:jc w:val="center"/>
              <w:rPr>
                <w:b/>
              </w:rPr>
            </w:pPr>
            <w:r w:rsidRPr="00296D0C">
              <w:rPr>
                <w:b/>
              </w:rPr>
              <w:t>Weight status at 29 years</w:t>
            </w:r>
          </w:p>
        </w:tc>
      </w:tr>
      <w:tr w:rsidR="00861557" w:rsidRPr="00296D0C" w14:paraId="723C0ACB" w14:textId="77777777" w:rsidTr="0077247E">
        <w:tc>
          <w:tcPr>
            <w:tcW w:w="4729" w:type="dxa"/>
            <w:tcBorders>
              <w:top w:val="nil"/>
              <w:bottom w:val="nil"/>
              <w:right w:val="nil"/>
            </w:tcBorders>
          </w:tcPr>
          <w:p w14:paraId="3B14C7BF" w14:textId="77777777" w:rsidR="00861557" w:rsidRPr="00296D0C" w:rsidRDefault="00861557" w:rsidP="0077247E">
            <w:pPr>
              <w:spacing w:before="40" w:after="40"/>
              <w:rPr>
                <w:b/>
              </w:rPr>
            </w:pPr>
            <w:r w:rsidRPr="00296D0C">
              <w:rPr>
                <w:b/>
              </w:rPr>
              <w:t>BMI centile category (age 11 years)</w:t>
            </w:r>
          </w:p>
        </w:tc>
        <w:tc>
          <w:tcPr>
            <w:tcW w:w="1504" w:type="dxa"/>
            <w:tcBorders>
              <w:top w:val="nil"/>
              <w:left w:val="nil"/>
              <w:bottom w:val="nil"/>
              <w:right w:val="nil"/>
            </w:tcBorders>
          </w:tcPr>
          <w:p w14:paraId="273FB04C" w14:textId="77777777" w:rsidR="00861557" w:rsidRPr="00296D0C" w:rsidRDefault="00861557" w:rsidP="0077247E">
            <w:pPr>
              <w:spacing w:before="40" w:after="40"/>
              <w:jc w:val="right"/>
              <w:rPr>
                <w:b/>
              </w:rPr>
            </w:pPr>
            <w:r w:rsidRPr="00296D0C">
              <w:rPr>
                <w:b/>
              </w:rPr>
              <w:t>HE</w:t>
            </w:r>
          </w:p>
        </w:tc>
        <w:tc>
          <w:tcPr>
            <w:tcW w:w="1504" w:type="dxa"/>
            <w:tcBorders>
              <w:top w:val="nil"/>
              <w:left w:val="nil"/>
              <w:bottom w:val="nil"/>
              <w:right w:val="nil"/>
            </w:tcBorders>
          </w:tcPr>
          <w:p w14:paraId="515B1924" w14:textId="77777777" w:rsidR="00861557" w:rsidRPr="00296D0C" w:rsidRDefault="00861557" w:rsidP="0077247E">
            <w:pPr>
              <w:spacing w:before="40" w:after="40"/>
              <w:jc w:val="right"/>
              <w:rPr>
                <w:b/>
              </w:rPr>
            </w:pPr>
            <w:r w:rsidRPr="00296D0C">
              <w:rPr>
                <w:b/>
              </w:rPr>
              <w:t>OV</w:t>
            </w:r>
          </w:p>
        </w:tc>
        <w:tc>
          <w:tcPr>
            <w:tcW w:w="1505" w:type="dxa"/>
            <w:tcBorders>
              <w:top w:val="nil"/>
              <w:left w:val="nil"/>
              <w:bottom w:val="nil"/>
            </w:tcBorders>
          </w:tcPr>
          <w:p w14:paraId="2EE0697F" w14:textId="77777777" w:rsidR="00861557" w:rsidRPr="00296D0C" w:rsidRDefault="00861557" w:rsidP="0077247E">
            <w:pPr>
              <w:spacing w:before="40" w:after="40"/>
              <w:jc w:val="right"/>
              <w:rPr>
                <w:b/>
              </w:rPr>
            </w:pPr>
            <w:r w:rsidRPr="00296D0C">
              <w:rPr>
                <w:b/>
              </w:rPr>
              <w:t>OB</w:t>
            </w:r>
          </w:p>
        </w:tc>
      </w:tr>
      <w:tr w:rsidR="00861557" w:rsidRPr="00296D0C" w14:paraId="5BA5A6E1" w14:textId="77777777" w:rsidTr="0077247E">
        <w:tc>
          <w:tcPr>
            <w:tcW w:w="4729" w:type="dxa"/>
            <w:tcBorders>
              <w:top w:val="nil"/>
              <w:bottom w:val="nil"/>
              <w:right w:val="nil"/>
            </w:tcBorders>
          </w:tcPr>
          <w:p w14:paraId="04770FE7" w14:textId="77777777" w:rsidR="00861557" w:rsidRPr="00296D0C" w:rsidRDefault="00861557" w:rsidP="0077247E">
            <w:pPr>
              <w:spacing w:before="40" w:after="40"/>
            </w:pPr>
            <w:r w:rsidRPr="00296D0C">
              <w:t xml:space="preserve">Centile 1 </w:t>
            </w:r>
            <w:r w:rsidRPr="00296D0C">
              <w:rPr>
                <w:color w:val="000000" w:themeColor="text1"/>
              </w:rPr>
              <w:t>≥5</w:t>
            </w:r>
            <w:r w:rsidRPr="00296D0C">
              <w:rPr>
                <w:color w:val="000000" w:themeColor="text1"/>
                <w:vertAlign w:val="superscript"/>
              </w:rPr>
              <w:t>th</w:t>
            </w:r>
            <w:r w:rsidRPr="00296D0C">
              <w:rPr>
                <w:color w:val="000000" w:themeColor="text1"/>
              </w:rPr>
              <w:t xml:space="preserve"> to &lt;90</w:t>
            </w:r>
            <w:r w:rsidRPr="00296D0C">
              <w:rPr>
                <w:color w:val="000000" w:themeColor="text1"/>
                <w:vertAlign w:val="superscript"/>
              </w:rPr>
              <w:t>th</w:t>
            </w:r>
          </w:p>
        </w:tc>
        <w:tc>
          <w:tcPr>
            <w:tcW w:w="1504" w:type="dxa"/>
            <w:tcBorders>
              <w:top w:val="nil"/>
              <w:left w:val="nil"/>
              <w:bottom w:val="nil"/>
              <w:right w:val="nil"/>
            </w:tcBorders>
          </w:tcPr>
          <w:p w14:paraId="66A9B1A9" w14:textId="77777777" w:rsidR="00861557" w:rsidRPr="00296D0C" w:rsidRDefault="00861557" w:rsidP="0077247E">
            <w:pPr>
              <w:spacing w:before="40" w:after="40"/>
              <w:jc w:val="right"/>
            </w:pPr>
            <w:r w:rsidRPr="00296D0C">
              <w:t>62.0 (0.62)</w:t>
            </w:r>
          </w:p>
        </w:tc>
        <w:tc>
          <w:tcPr>
            <w:tcW w:w="1504" w:type="dxa"/>
            <w:tcBorders>
              <w:top w:val="nil"/>
              <w:left w:val="nil"/>
              <w:bottom w:val="nil"/>
              <w:right w:val="nil"/>
            </w:tcBorders>
          </w:tcPr>
          <w:p w14:paraId="171188B3" w14:textId="77777777" w:rsidR="00861557" w:rsidRPr="00296D0C" w:rsidRDefault="00861557" w:rsidP="0077247E">
            <w:pPr>
              <w:spacing w:before="40" w:after="40"/>
              <w:jc w:val="right"/>
            </w:pPr>
            <w:r w:rsidRPr="00296D0C">
              <w:t>29.0 (0.29)</w:t>
            </w:r>
          </w:p>
        </w:tc>
        <w:tc>
          <w:tcPr>
            <w:tcW w:w="1505" w:type="dxa"/>
            <w:tcBorders>
              <w:top w:val="nil"/>
              <w:left w:val="nil"/>
              <w:bottom w:val="nil"/>
            </w:tcBorders>
          </w:tcPr>
          <w:p w14:paraId="16B5E883" w14:textId="77777777" w:rsidR="00861557" w:rsidRPr="00296D0C" w:rsidRDefault="00861557" w:rsidP="0077247E">
            <w:pPr>
              <w:spacing w:before="40" w:after="40"/>
              <w:jc w:val="right"/>
            </w:pPr>
            <w:r w:rsidRPr="00296D0C">
              <w:t>9.0 (0.09)</w:t>
            </w:r>
          </w:p>
        </w:tc>
      </w:tr>
      <w:tr w:rsidR="00861557" w:rsidRPr="00296D0C" w14:paraId="73E92D90" w14:textId="77777777" w:rsidTr="0077247E">
        <w:tc>
          <w:tcPr>
            <w:tcW w:w="4729" w:type="dxa"/>
            <w:tcBorders>
              <w:top w:val="nil"/>
              <w:bottom w:val="nil"/>
              <w:right w:val="nil"/>
            </w:tcBorders>
          </w:tcPr>
          <w:p w14:paraId="7CFFF5E7" w14:textId="77777777" w:rsidR="00861557" w:rsidRPr="00296D0C" w:rsidRDefault="00861557" w:rsidP="0077247E">
            <w:pPr>
              <w:spacing w:before="40" w:after="40"/>
            </w:pPr>
            <w:r w:rsidRPr="00296D0C">
              <w:t xml:space="preserve">Centile 2 </w:t>
            </w:r>
            <w:r w:rsidRPr="00296D0C">
              <w:rPr>
                <w:color w:val="000000" w:themeColor="text1"/>
              </w:rPr>
              <w:t>≥90</w:t>
            </w:r>
            <w:r w:rsidRPr="00296D0C">
              <w:rPr>
                <w:color w:val="000000" w:themeColor="text1"/>
                <w:vertAlign w:val="superscript"/>
              </w:rPr>
              <w:t>th</w:t>
            </w:r>
            <w:r w:rsidRPr="00296D0C">
              <w:rPr>
                <w:color w:val="000000" w:themeColor="text1"/>
              </w:rPr>
              <w:t xml:space="preserve"> to &lt;97</w:t>
            </w:r>
            <w:r w:rsidRPr="00296D0C">
              <w:rPr>
                <w:color w:val="000000" w:themeColor="text1"/>
                <w:vertAlign w:val="superscript"/>
              </w:rPr>
              <w:t>th</w:t>
            </w:r>
          </w:p>
        </w:tc>
        <w:tc>
          <w:tcPr>
            <w:tcW w:w="1504" w:type="dxa"/>
            <w:tcBorders>
              <w:top w:val="nil"/>
              <w:left w:val="nil"/>
              <w:bottom w:val="nil"/>
              <w:right w:val="nil"/>
            </w:tcBorders>
          </w:tcPr>
          <w:p w14:paraId="02899BE7" w14:textId="77777777" w:rsidR="00861557" w:rsidRPr="00296D0C" w:rsidRDefault="00861557" w:rsidP="0077247E">
            <w:pPr>
              <w:spacing w:before="40" w:after="40"/>
              <w:jc w:val="right"/>
            </w:pPr>
            <w:r w:rsidRPr="00296D0C">
              <w:t>21.0 (0.21</w:t>
            </w:r>
          </w:p>
        </w:tc>
        <w:tc>
          <w:tcPr>
            <w:tcW w:w="1504" w:type="dxa"/>
            <w:tcBorders>
              <w:top w:val="nil"/>
              <w:left w:val="nil"/>
              <w:bottom w:val="nil"/>
              <w:right w:val="nil"/>
            </w:tcBorders>
          </w:tcPr>
          <w:p w14:paraId="742E9F7E" w14:textId="77777777" w:rsidR="00861557" w:rsidRPr="00296D0C" w:rsidRDefault="00861557" w:rsidP="0077247E">
            <w:pPr>
              <w:spacing w:before="40" w:after="40"/>
              <w:jc w:val="right"/>
            </w:pPr>
            <w:r w:rsidRPr="00296D0C">
              <w:t>37.0 (0.37)</w:t>
            </w:r>
          </w:p>
        </w:tc>
        <w:tc>
          <w:tcPr>
            <w:tcW w:w="1505" w:type="dxa"/>
            <w:tcBorders>
              <w:top w:val="nil"/>
              <w:left w:val="nil"/>
              <w:bottom w:val="nil"/>
            </w:tcBorders>
          </w:tcPr>
          <w:p w14:paraId="3BA995EB" w14:textId="77777777" w:rsidR="00861557" w:rsidRPr="00296D0C" w:rsidRDefault="00861557" w:rsidP="0077247E">
            <w:pPr>
              <w:spacing w:before="40" w:after="40"/>
              <w:jc w:val="right"/>
            </w:pPr>
            <w:r w:rsidRPr="00296D0C">
              <w:t>42.0 (0.42)</w:t>
            </w:r>
          </w:p>
        </w:tc>
      </w:tr>
      <w:tr w:rsidR="00861557" w:rsidRPr="00296D0C" w14:paraId="3B0EE4CC" w14:textId="77777777" w:rsidTr="0077247E">
        <w:tc>
          <w:tcPr>
            <w:tcW w:w="4729" w:type="dxa"/>
            <w:tcBorders>
              <w:top w:val="nil"/>
              <w:right w:val="nil"/>
            </w:tcBorders>
          </w:tcPr>
          <w:p w14:paraId="5385DB4E" w14:textId="77777777" w:rsidR="00861557" w:rsidRPr="00296D0C" w:rsidRDefault="00861557" w:rsidP="0077247E">
            <w:pPr>
              <w:spacing w:before="40" w:after="40"/>
            </w:pPr>
            <w:r w:rsidRPr="00296D0C">
              <w:t xml:space="preserve">Centile 3 </w:t>
            </w:r>
            <w:r w:rsidRPr="00296D0C">
              <w:rPr>
                <w:color w:val="000000" w:themeColor="text1"/>
              </w:rPr>
              <w:t>≥97</w:t>
            </w:r>
            <w:r w:rsidRPr="00296D0C">
              <w:rPr>
                <w:color w:val="000000" w:themeColor="text1"/>
                <w:vertAlign w:val="superscript"/>
              </w:rPr>
              <w:t>th</w:t>
            </w:r>
          </w:p>
        </w:tc>
        <w:tc>
          <w:tcPr>
            <w:tcW w:w="1504" w:type="dxa"/>
            <w:tcBorders>
              <w:top w:val="nil"/>
              <w:left w:val="nil"/>
              <w:right w:val="nil"/>
            </w:tcBorders>
          </w:tcPr>
          <w:p w14:paraId="513B320D" w14:textId="77777777" w:rsidR="00861557" w:rsidRPr="00296D0C" w:rsidRDefault="00861557" w:rsidP="0077247E">
            <w:pPr>
              <w:spacing w:before="40" w:after="40"/>
              <w:jc w:val="right"/>
            </w:pPr>
            <w:r w:rsidRPr="00296D0C">
              <w:t>14.0 (0.41)</w:t>
            </w:r>
          </w:p>
        </w:tc>
        <w:tc>
          <w:tcPr>
            <w:tcW w:w="1504" w:type="dxa"/>
            <w:tcBorders>
              <w:top w:val="nil"/>
              <w:left w:val="nil"/>
              <w:right w:val="nil"/>
            </w:tcBorders>
          </w:tcPr>
          <w:p w14:paraId="66FBFA15" w14:textId="77777777" w:rsidR="00861557" w:rsidRPr="00296D0C" w:rsidRDefault="00861557" w:rsidP="0077247E">
            <w:pPr>
              <w:spacing w:before="40" w:after="40"/>
              <w:jc w:val="right"/>
            </w:pPr>
            <w:r w:rsidRPr="00296D0C">
              <w:t>29.0 (0.29)</w:t>
            </w:r>
          </w:p>
        </w:tc>
        <w:tc>
          <w:tcPr>
            <w:tcW w:w="1505" w:type="dxa"/>
            <w:tcBorders>
              <w:top w:val="nil"/>
              <w:left w:val="nil"/>
            </w:tcBorders>
          </w:tcPr>
          <w:p w14:paraId="6BB5DDE7" w14:textId="77777777" w:rsidR="00861557" w:rsidRPr="00296D0C" w:rsidRDefault="00861557" w:rsidP="0077247E">
            <w:pPr>
              <w:spacing w:before="40" w:after="40"/>
              <w:jc w:val="right"/>
            </w:pPr>
            <w:r w:rsidRPr="00296D0C">
              <w:t>57.0 (0.57)</w:t>
            </w:r>
          </w:p>
        </w:tc>
      </w:tr>
    </w:tbl>
    <w:p w14:paraId="456C45F1" w14:textId="77777777" w:rsidR="00861557" w:rsidRPr="00296D0C" w:rsidRDefault="00861557" w:rsidP="00861557">
      <w:r w:rsidRPr="00296D0C">
        <w:t>Key: HE = healthy; OB = obese; OV = overweight</w:t>
      </w:r>
    </w:p>
    <w:p w14:paraId="65C4149A" w14:textId="77777777" w:rsidR="00861557" w:rsidRPr="00296D0C" w:rsidRDefault="00861557" w:rsidP="00861557">
      <w:pPr>
        <w:spacing w:after="120"/>
        <w:rPr>
          <w:rFonts w:cs="Arial"/>
        </w:rPr>
        <w:sectPr w:rsidR="00861557" w:rsidRPr="00296D0C" w:rsidSect="00DC137F">
          <w:pgSz w:w="11906" w:h="16838"/>
          <w:pgMar w:top="1440" w:right="1440" w:bottom="1440" w:left="1440" w:header="720" w:footer="720" w:gutter="0"/>
          <w:cols w:space="720"/>
          <w:docGrid w:linePitch="360"/>
        </w:sectPr>
      </w:pPr>
    </w:p>
    <w:bookmarkEnd w:id="480"/>
    <w:bookmarkEnd w:id="481"/>
    <w:p w14:paraId="64626391" w14:textId="707E6823" w:rsidR="00861557" w:rsidRPr="00296D0C" w:rsidRDefault="00861557" w:rsidP="00312529">
      <w:pPr>
        <w:rPr>
          <w:b/>
        </w:rPr>
      </w:pPr>
      <w:r w:rsidRPr="00296D0C">
        <w:rPr>
          <w:rFonts w:cs="Arial"/>
          <w:b/>
        </w:rPr>
        <w:lastRenderedPageBreak/>
        <w:t>Model Development (Stage 2): Predicting the impact of overweight and obesity on incidence of weight-related health events</w:t>
      </w:r>
    </w:p>
    <w:p w14:paraId="2D92969B" w14:textId="77777777" w:rsidR="00861557" w:rsidRPr="00497416" w:rsidRDefault="00861557" w:rsidP="00861557">
      <w:pPr>
        <w:spacing w:after="120"/>
        <w:rPr>
          <w:rFonts w:cs="Arial"/>
          <w:u w:val="single"/>
        </w:rPr>
      </w:pPr>
      <w:r w:rsidRPr="00497416">
        <w:rPr>
          <w:rFonts w:cs="Arial"/>
          <w:u w:val="single"/>
        </w:rPr>
        <w:t>Weight-</w:t>
      </w:r>
      <w:r w:rsidR="000D0114" w:rsidRPr="00497416">
        <w:rPr>
          <w:rFonts w:cs="Arial"/>
          <w:u w:val="single"/>
        </w:rPr>
        <w:t>related</w:t>
      </w:r>
      <w:r w:rsidRPr="00497416">
        <w:rPr>
          <w:rFonts w:cs="Arial"/>
          <w:u w:val="single"/>
        </w:rPr>
        <w:t xml:space="preserve"> events</w:t>
      </w:r>
    </w:p>
    <w:p w14:paraId="6BA8857B" w14:textId="7F08207E" w:rsidR="00861557" w:rsidRPr="00296D0C" w:rsidRDefault="00861557" w:rsidP="000D0114">
      <w:pPr>
        <w:spacing w:after="0" w:line="360" w:lineRule="auto"/>
        <w:rPr>
          <w:rFonts w:cs="Arial"/>
        </w:rPr>
      </w:pPr>
      <w:r w:rsidRPr="00296D0C">
        <w:rPr>
          <w:rFonts w:cs="Arial"/>
        </w:rPr>
        <w:t xml:space="preserve">Stage 2 of the model starts with a cohort of people with a given distribution by weight status (healthy weight, overweight, or obese), as described in stage 1.  All persons start stage 2 as disease free, i.e. free of the major weight-related health events modelled in stage 2.  Stage 2 includes coronary heart disease (CHD), stroke, type 2 diabetes mellitus (T2DM), and colorectal cancer (CRC) as the weight-related health events of interest.  The selection and inclusion of these four events is considered a conservative assumption, i.e. it is expected that the incidence of a greater number of health events will be influenced by weight status.  The selection and inclusion of these four events is based on the review of the previously published model-based economic evaluations, discussed above, which typically included a small core set of weight related health events similar to those selected here, and consideration of the data on incidence of events by weight status (see below), plus discussion of the conceptual modelling framework across </w:t>
      </w:r>
      <w:r w:rsidR="00C800FF" w:rsidRPr="00296D0C">
        <w:rPr>
          <w:rFonts w:cs="Arial"/>
        </w:rPr>
        <w:t xml:space="preserve">the HeLP stakeholder group/s.  </w:t>
      </w:r>
      <w:r w:rsidRPr="00296D0C">
        <w:rPr>
          <w:rFonts w:cs="Arial"/>
        </w:rPr>
        <w:t>Of importance, when identifying health events for inclusion in the model, was the simplifying assumption in the model that once a person experienced a condition they were then not exposed further to additional events. This led to a focus on the main primary health conditions, rather than events such as hypertension, which whilst relatively frequent (and serious) was considered to be analogous to an intermediate outcome increasing the future risk of events such as CHD, stroke, and T2DM.</w:t>
      </w:r>
    </w:p>
    <w:p w14:paraId="5D2574BC" w14:textId="77777777" w:rsidR="00497416" w:rsidRDefault="00497416" w:rsidP="000D0114">
      <w:pPr>
        <w:spacing w:after="0" w:line="360" w:lineRule="auto"/>
        <w:rPr>
          <w:rFonts w:cs="Arial"/>
        </w:rPr>
      </w:pPr>
    </w:p>
    <w:p w14:paraId="3B15C355" w14:textId="56579F7C" w:rsidR="00861557" w:rsidRPr="00296D0C" w:rsidRDefault="00861557" w:rsidP="000D0114">
      <w:pPr>
        <w:spacing w:after="0" w:line="360" w:lineRule="auto"/>
        <w:rPr>
          <w:rFonts w:cs="Arial"/>
        </w:rPr>
      </w:pPr>
      <w:r w:rsidRPr="00296D0C">
        <w:rPr>
          <w:rFonts w:cs="Arial"/>
        </w:rPr>
        <w:t xml:space="preserve">Incidence (probability) of the weight-related health events was informed using a targeted keyword literature search (in MEDLINE) to identify studies that estimated the incidence of co-morbidities related to obesity and overweight. The search strategy was structured using the following terms: (obesity OR adipose tissue OR body mass index OR body composition) AND (comorbidit$ OR multimorbidit$ OR chronic disease). No date limits or language restrictions were applied to the search.  Eligible studies were systematic reviews of cohort studies, reporting risk estimates based on the incidence of weight-related events including Type 2 diabetes mellitus (T2DM), cardiovascular disease (including hypertension, coronary artery disease, congestive heart failure, pulmonary embolism, stroke, dislipidemia), and colorectal cancer (CRC). The searches retrieved 126 titles and abstracts. Ten reviews were considered at full text stage.  Of these, </w:t>
      </w:r>
      <w:r w:rsidR="00C800FF" w:rsidRPr="00296D0C">
        <w:rPr>
          <w:rFonts w:cs="Arial"/>
        </w:rPr>
        <w:t xml:space="preserve">only </w:t>
      </w:r>
      <w:r w:rsidRPr="00296D0C">
        <w:rPr>
          <w:rFonts w:cs="Arial"/>
        </w:rPr>
        <w:t>one was considered eligible for inclusion (Guh et al., 2009</w:t>
      </w:r>
      <w:r w:rsidR="00DC137F" w:rsidRPr="00296D0C">
        <w:rPr>
          <w:rFonts w:cs="Arial"/>
        </w:rPr>
        <w:t xml:space="preserve"> </w:t>
      </w:r>
      <w:r w:rsidR="004C3048" w:rsidRPr="00296D0C">
        <w:rPr>
          <w:rFonts w:cs="Arial"/>
        </w:rPr>
        <w:fldChar w:fldCharType="begin"/>
      </w:r>
      <w:r w:rsidR="008C43BF">
        <w:rPr>
          <w:rFonts w:cs="Arial"/>
        </w:rPr>
        <w:instrText xml:space="preserve"> ADDIN EN.CITE &lt;EndNote&gt;&lt;Cite&gt;&lt;Author&gt;Guh&lt;/Author&gt;&lt;Year&gt;2009&lt;/Year&gt;&lt;RecNum&gt;5743&lt;/RecNum&gt;&lt;DisplayText&gt;&lt;style face="superscript"&gt;88&lt;/style&gt;&lt;/DisplayText&gt;&lt;record&gt;&lt;rec-number&gt;5743&lt;/rec-number&gt;&lt;foreign-keys&gt;&lt;key app="EN" db-id="2ewa9rrvjsdsawep2vpx5x97eedzzvxx5rta" timestamp="1478679952"&gt;5743&lt;/key&gt;&lt;/foreign-keys&gt;&lt;ref-type name="Journal Article"&gt;17&lt;/ref-type&gt;&lt;contributors&gt;&lt;authors&gt;&lt;author&gt;Guh, D. P.&lt;/author&gt;&lt;author&gt;Zhang, W.&lt;/author&gt;&lt;author&gt;Bansback, N.&lt;/author&gt;&lt;author&gt;Amarsi, Z.&lt;/author&gt;&lt;author&gt;Birmingham, C. L.&lt;/author&gt;&lt;author&gt;Anis, A. H.&lt;/author&gt;&lt;/authors&gt;&lt;/contributors&gt;&lt;auth-address&gt;Centre for Health Evaluation and Outcome Sciences, St Paul&amp;apos;s Hospital, BC, Canada. daphne@sm.hivnet.ubc.ca&lt;/auth-address&gt;&lt;titles&gt;&lt;title&gt;The incidence of co-morbidities related to obesity and overweight: a systematic review and meta-analysis&lt;/title&gt;&lt;secondary-title&gt;BMC Public Health&lt;/secondary-title&gt;&lt;/titles&gt;&lt;periodical&gt;&lt;full-title&gt;BMC Public Health&lt;/full-title&gt;&lt;abbr-1&gt;BMC Public Health&lt;/abbr-1&gt;&lt;abbr-2&gt;BMC Public Health&lt;/abbr-2&gt;&lt;/periodical&gt;&lt;pages&gt;88&lt;/pages&gt;&lt;volume&gt;9&lt;/volume&gt;&lt;keywords&gt;&lt;keyword&gt;Cardiovascular Diseases/*epidemiology&lt;/keyword&gt;&lt;keyword&gt;Comorbidity&lt;/keyword&gt;&lt;keyword&gt;Diabetes Mellitus, Type 2/epidemiology&lt;/keyword&gt;&lt;keyword&gt;Female&lt;/keyword&gt;&lt;keyword&gt;Gallbladder Diseases/epidemiology&lt;/keyword&gt;&lt;keyword&gt;Humans&lt;/keyword&gt;&lt;keyword&gt;Incidence&lt;/keyword&gt;&lt;keyword&gt;Male&lt;/keyword&gt;&lt;keyword&gt;Neoplasms/*epidemiology&lt;/keyword&gt;&lt;keyword&gt;Obesity/*epidemiology&lt;/keyword&gt;&lt;keyword&gt;Osteoarthritis/epidemiology&lt;/keyword&gt;&lt;keyword&gt;Overweight/*epidemiology&lt;/keyword&gt;&lt;/keywords&gt;&lt;dates&gt;&lt;year&gt;2009&lt;/year&gt;&lt;/dates&gt;&lt;isbn&gt;1471-2458 (Electronic)&amp;#xD;1471-2458 (Linking)&lt;/isbn&gt;&lt;accession-num&gt;19320986&lt;/accession-num&gt;&lt;urls&gt;&lt;related-urls&gt;&lt;url&gt;http://www.ncbi.nlm.nih.gov/pubmed/19320986&lt;/url&gt;&lt;/related-urls&gt;&lt;/urls&gt;&lt;custom2&gt;2667420&lt;/custom2&gt;&lt;electronic-resource-num&gt;10.1186/1471-2458-9-88&lt;/electronic-resource-num&gt;&lt;/record&gt;&lt;/Cite&gt;&lt;/EndNote&gt;</w:instrText>
      </w:r>
      <w:r w:rsidR="004C3048" w:rsidRPr="00296D0C">
        <w:rPr>
          <w:rFonts w:cs="Arial"/>
        </w:rPr>
        <w:fldChar w:fldCharType="separate"/>
      </w:r>
      <w:r w:rsidR="008C43BF" w:rsidRPr="008C43BF">
        <w:rPr>
          <w:rFonts w:cs="Arial"/>
          <w:noProof/>
          <w:vertAlign w:val="superscript"/>
        </w:rPr>
        <w:t>88</w:t>
      </w:r>
      <w:r w:rsidR="004C3048" w:rsidRPr="00296D0C">
        <w:rPr>
          <w:rFonts w:cs="Arial"/>
        </w:rPr>
        <w:fldChar w:fldCharType="end"/>
      </w:r>
      <w:r w:rsidRPr="00296D0C">
        <w:rPr>
          <w:rFonts w:cs="Arial"/>
        </w:rPr>
        <w:t xml:space="preserve">). </w:t>
      </w:r>
    </w:p>
    <w:p w14:paraId="00FC27BE" w14:textId="77777777" w:rsidR="00497416" w:rsidRDefault="00497416" w:rsidP="000D0114">
      <w:pPr>
        <w:spacing w:after="0" w:line="360" w:lineRule="auto"/>
        <w:rPr>
          <w:rFonts w:cs="Arial"/>
        </w:rPr>
      </w:pPr>
    </w:p>
    <w:p w14:paraId="4CF37343" w14:textId="6FBF4329" w:rsidR="00861557" w:rsidRPr="00296D0C" w:rsidRDefault="00861557" w:rsidP="000D0114">
      <w:pPr>
        <w:spacing w:after="0" w:line="360" w:lineRule="auto"/>
        <w:rPr>
          <w:rFonts w:cs="Arial"/>
        </w:rPr>
      </w:pPr>
      <w:r w:rsidRPr="00296D0C">
        <w:rPr>
          <w:rFonts w:cs="Arial"/>
        </w:rPr>
        <w:lastRenderedPageBreak/>
        <w:t>Guh et al.</w:t>
      </w:r>
      <w:r w:rsidR="001A55B7" w:rsidRPr="00296D0C">
        <w:rPr>
          <w:rFonts w:cs="Arial"/>
        </w:rPr>
        <w:t>,</w:t>
      </w:r>
      <w:r w:rsidRPr="00296D0C">
        <w:rPr>
          <w:rFonts w:cs="Arial"/>
        </w:rPr>
        <w:t xml:space="preserve"> 2009 </w:t>
      </w:r>
      <w:r w:rsidR="004C3048" w:rsidRPr="00296D0C">
        <w:rPr>
          <w:rFonts w:cs="Arial"/>
        </w:rPr>
        <w:fldChar w:fldCharType="begin"/>
      </w:r>
      <w:r w:rsidR="008C43BF">
        <w:rPr>
          <w:rFonts w:cs="Arial"/>
        </w:rPr>
        <w:instrText xml:space="preserve"> ADDIN EN.CITE &lt;EndNote&gt;&lt;Cite&gt;&lt;Author&gt;Guh&lt;/Author&gt;&lt;Year&gt;2009&lt;/Year&gt;&lt;RecNum&gt;5743&lt;/RecNum&gt;&lt;DisplayText&gt;&lt;style face="superscript"&gt;88&lt;/style&gt;&lt;/DisplayText&gt;&lt;record&gt;&lt;rec-number&gt;5743&lt;/rec-number&gt;&lt;foreign-keys&gt;&lt;key app="EN" db-id="2ewa9rrvjsdsawep2vpx5x97eedzzvxx5rta" timestamp="1478679952"&gt;5743&lt;/key&gt;&lt;/foreign-keys&gt;&lt;ref-type name="Journal Article"&gt;17&lt;/ref-type&gt;&lt;contributors&gt;&lt;authors&gt;&lt;author&gt;Guh, D. P.&lt;/author&gt;&lt;author&gt;Zhang, W.&lt;/author&gt;&lt;author&gt;Bansback, N.&lt;/author&gt;&lt;author&gt;Amarsi, Z.&lt;/author&gt;&lt;author&gt;Birmingham, C. L.&lt;/author&gt;&lt;author&gt;Anis, A. H.&lt;/author&gt;&lt;/authors&gt;&lt;/contributors&gt;&lt;auth-address&gt;Centre for Health Evaluation and Outcome Sciences, St Paul&amp;apos;s Hospital, BC, Canada. daphne@sm.hivnet.ubc.ca&lt;/auth-address&gt;&lt;titles&gt;&lt;title&gt;The incidence of co-morbidities related to obesity and overweight: a systematic review and meta-analysis&lt;/title&gt;&lt;secondary-title&gt;BMC Public Health&lt;/secondary-title&gt;&lt;/titles&gt;&lt;periodical&gt;&lt;full-title&gt;BMC Public Health&lt;/full-title&gt;&lt;abbr-1&gt;BMC Public Health&lt;/abbr-1&gt;&lt;abbr-2&gt;BMC Public Health&lt;/abbr-2&gt;&lt;/periodical&gt;&lt;pages&gt;88&lt;/pages&gt;&lt;volume&gt;9&lt;/volume&gt;&lt;keywords&gt;&lt;keyword&gt;Cardiovascular Diseases/*epidemiology&lt;/keyword&gt;&lt;keyword&gt;Comorbidity&lt;/keyword&gt;&lt;keyword&gt;Diabetes Mellitus, Type 2/epidemiology&lt;/keyword&gt;&lt;keyword&gt;Female&lt;/keyword&gt;&lt;keyword&gt;Gallbladder Diseases/epidemiology&lt;/keyword&gt;&lt;keyword&gt;Humans&lt;/keyword&gt;&lt;keyword&gt;Incidence&lt;/keyword&gt;&lt;keyword&gt;Male&lt;/keyword&gt;&lt;keyword&gt;Neoplasms/*epidemiology&lt;/keyword&gt;&lt;keyword&gt;Obesity/*epidemiology&lt;/keyword&gt;&lt;keyword&gt;Osteoarthritis/epidemiology&lt;/keyword&gt;&lt;keyword&gt;Overweight/*epidemiology&lt;/keyword&gt;&lt;/keywords&gt;&lt;dates&gt;&lt;year&gt;2009&lt;/year&gt;&lt;/dates&gt;&lt;isbn&gt;1471-2458 (Electronic)&amp;#xD;1471-2458 (Linking)&lt;/isbn&gt;&lt;accession-num&gt;19320986&lt;/accession-num&gt;&lt;urls&gt;&lt;related-urls&gt;&lt;url&gt;http://www.ncbi.nlm.nih.gov/pubmed/19320986&lt;/url&gt;&lt;/related-urls&gt;&lt;/urls&gt;&lt;custom2&gt;2667420&lt;/custom2&gt;&lt;electronic-resource-num&gt;10.1186/1471-2458-9-88&lt;/electronic-resource-num&gt;&lt;/record&gt;&lt;/Cite&gt;&lt;/EndNote&gt;</w:instrText>
      </w:r>
      <w:r w:rsidR="004C3048" w:rsidRPr="00296D0C">
        <w:rPr>
          <w:rFonts w:cs="Arial"/>
        </w:rPr>
        <w:fldChar w:fldCharType="separate"/>
      </w:r>
      <w:r w:rsidR="008C43BF" w:rsidRPr="008C43BF">
        <w:rPr>
          <w:rFonts w:cs="Arial"/>
          <w:noProof/>
          <w:vertAlign w:val="superscript"/>
        </w:rPr>
        <w:t>88</w:t>
      </w:r>
      <w:r w:rsidR="004C3048" w:rsidRPr="00296D0C">
        <w:rPr>
          <w:rFonts w:cs="Arial"/>
        </w:rPr>
        <w:fldChar w:fldCharType="end"/>
      </w:r>
      <w:r w:rsidR="00DC137F" w:rsidRPr="00296D0C">
        <w:rPr>
          <w:rFonts w:cs="Arial"/>
        </w:rPr>
        <w:t xml:space="preserve"> </w:t>
      </w:r>
      <w:r w:rsidRPr="00296D0C">
        <w:rPr>
          <w:rFonts w:cs="Arial"/>
        </w:rPr>
        <w:t xml:space="preserve">conducted a literature search to provide an estimate of the incidence of each co-morbidity related to obesity and overweight using a meta-analysis.  Twenty co-morbidities were initially included in this analysis: cancer (kidney, colorectal, prostate, ovarian, uterine/endometrial, esophageal, pancreatic, and postmenopausal breast), type II diabetes, cardiovascular disease (hypertension, coronary artery disease, congestive heart failure, pulmonary embolism, stroke, dislipidaemia), gallbladder disease, chronic back pain, osteoarthritis, asthma, and sleep apnoea. </w:t>
      </w:r>
    </w:p>
    <w:p w14:paraId="3299B3F2" w14:textId="7878D3EB" w:rsidR="00861557" w:rsidRPr="00296D0C" w:rsidRDefault="00861557" w:rsidP="000D0114">
      <w:pPr>
        <w:spacing w:after="0" w:line="360" w:lineRule="auto"/>
        <w:rPr>
          <w:rFonts w:cs="Arial"/>
        </w:rPr>
      </w:pPr>
      <w:r w:rsidRPr="00296D0C">
        <w:rPr>
          <w:rFonts w:cs="Arial"/>
        </w:rPr>
        <w:t>For each of the weight-related events evaluated in Guh et al.</w:t>
      </w:r>
      <w:r w:rsidR="00A72606" w:rsidRPr="00296D0C">
        <w:rPr>
          <w:rFonts w:cs="Arial"/>
        </w:rPr>
        <w:t xml:space="preserve"> </w:t>
      </w:r>
      <w:r w:rsidR="004C3048" w:rsidRPr="00296D0C">
        <w:rPr>
          <w:rFonts w:cs="Arial"/>
        </w:rPr>
        <w:fldChar w:fldCharType="begin"/>
      </w:r>
      <w:r w:rsidR="008C43BF">
        <w:rPr>
          <w:rFonts w:cs="Arial"/>
        </w:rPr>
        <w:instrText xml:space="preserve"> ADDIN EN.CITE &lt;EndNote&gt;&lt;Cite&gt;&lt;Author&gt;Guh&lt;/Author&gt;&lt;Year&gt;2009&lt;/Year&gt;&lt;RecNum&gt;5743&lt;/RecNum&gt;&lt;DisplayText&gt;&lt;style face="superscript"&gt;88&lt;/style&gt;&lt;/DisplayText&gt;&lt;record&gt;&lt;rec-number&gt;5743&lt;/rec-number&gt;&lt;foreign-keys&gt;&lt;key app="EN" db-id="2ewa9rrvjsdsawep2vpx5x97eedzzvxx5rta" timestamp="1478679952"&gt;5743&lt;/key&gt;&lt;/foreign-keys&gt;&lt;ref-type name="Journal Article"&gt;17&lt;/ref-type&gt;&lt;contributors&gt;&lt;authors&gt;&lt;author&gt;Guh, D. P.&lt;/author&gt;&lt;author&gt;Zhang, W.&lt;/author&gt;&lt;author&gt;Bansback, N.&lt;/author&gt;&lt;author&gt;Amarsi, Z.&lt;/author&gt;&lt;author&gt;Birmingham, C. L.&lt;/author&gt;&lt;author&gt;Anis, A. H.&lt;/author&gt;&lt;/authors&gt;&lt;/contributors&gt;&lt;auth-address&gt;Centre for Health Evaluation and Outcome Sciences, St Paul&amp;apos;s Hospital, BC, Canada. daphne@sm.hivnet.ubc.ca&lt;/auth-address&gt;&lt;titles&gt;&lt;title&gt;The incidence of co-morbidities related to obesity and overweight: a systematic review and meta-analysis&lt;/title&gt;&lt;secondary-title&gt;BMC Public Health&lt;/secondary-title&gt;&lt;/titles&gt;&lt;periodical&gt;&lt;full-title&gt;BMC Public Health&lt;/full-title&gt;&lt;abbr-1&gt;BMC Public Health&lt;/abbr-1&gt;&lt;abbr-2&gt;BMC Public Health&lt;/abbr-2&gt;&lt;/periodical&gt;&lt;pages&gt;88&lt;/pages&gt;&lt;volume&gt;9&lt;/volume&gt;&lt;keywords&gt;&lt;keyword&gt;Cardiovascular Diseases/*epidemiology&lt;/keyword&gt;&lt;keyword&gt;Comorbidity&lt;/keyword&gt;&lt;keyword&gt;Diabetes Mellitus, Type 2/epidemiology&lt;/keyword&gt;&lt;keyword&gt;Female&lt;/keyword&gt;&lt;keyword&gt;Gallbladder Diseases/epidemiology&lt;/keyword&gt;&lt;keyword&gt;Humans&lt;/keyword&gt;&lt;keyword&gt;Incidence&lt;/keyword&gt;&lt;keyword&gt;Male&lt;/keyword&gt;&lt;keyword&gt;Neoplasms/*epidemiology&lt;/keyword&gt;&lt;keyword&gt;Obesity/*epidemiology&lt;/keyword&gt;&lt;keyword&gt;Osteoarthritis/epidemiology&lt;/keyword&gt;&lt;keyword&gt;Overweight/*epidemiology&lt;/keyword&gt;&lt;/keywords&gt;&lt;dates&gt;&lt;year&gt;2009&lt;/year&gt;&lt;/dates&gt;&lt;isbn&gt;1471-2458 (Electronic)&amp;#xD;1471-2458 (Linking)&lt;/isbn&gt;&lt;accession-num&gt;19320986&lt;/accession-num&gt;&lt;urls&gt;&lt;related-urls&gt;&lt;url&gt;http://www.ncbi.nlm.nih.gov/pubmed/19320986&lt;/url&gt;&lt;/related-urls&gt;&lt;/urls&gt;&lt;custom2&gt;2667420&lt;/custom2&gt;&lt;electronic-resource-num&gt;10.1186/1471-2458-9-88&lt;/electronic-resource-num&gt;&lt;/record&gt;&lt;/Cite&gt;&lt;/EndNote&gt;</w:instrText>
      </w:r>
      <w:r w:rsidR="004C3048" w:rsidRPr="00296D0C">
        <w:rPr>
          <w:rFonts w:cs="Arial"/>
        </w:rPr>
        <w:fldChar w:fldCharType="separate"/>
      </w:r>
      <w:r w:rsidR="008C43BF" w:rsidRPr="008C43BF">
        <w:rPr>
          <w:rFonts w:cs="Arial"/>
          <w:noProof/>
          <w:vertAlign w:val="superscript"/>
        </w:rPr>
        <w:t>88</w:t>
      </w:r>
      <w:r w:rsidR="004C3048" w:rsidRPr="00296D0C">
        <w:rPr>
          <w:rFonts w:cs="Arial"/>
        </w:rPr>
        <w:fldChar w:fldCharType="end"/>
      </w:r>
      <w:r w:rsidRPr="00296D0C">
        <w:rPr>
          <w:rFonts w:cs="Arial"/>
        </w:rPr>
        <w:t>, we sourced the studies included in the review, and extracted the data on number of incident cases and person years, from the primary papers contributing to the reported pooled relative risk estimate.   We used this data to estimate the incidence of the events in the reference group (i.e. healthy weight), assuming a gender ratio of 1:1 male/female.  Using this raw data on incidence in the reference group we then applied the risk ratios reported by Guh et al</w:t>
      </w:r>
      <w:r w:rsidR="001A55B7" w:rsidRPr="00296D0C">
        <w:rPr>
          <w:rFonts w:cs="Arial"/>
        </w:rPr>
        <w:t>.</w:t>
      </w:r>
      <w:r w:rsidRPr="00296D0C">
        <w:rPr>
          <w:rFonts w:cs="Arial"/>
        </w:rPr>
        <w:t xml:space="preserve"> </w:t>
      </w:r>
      <w:r w:rsidR="004C3048" w:rsidRPr="00296D0C">
        <w:rPr>
          <w:rFonts w:cs="Arial"/>
        </w:rPr>
        <w:fldChar w:fldCharType="begin"/>
      </w:r>
      <w:r w:rsidR="008C43BF">
        <w:rPr>
          <w:rFonts w:cs="Arial"/>
        </w:rPr>
        <w:instrText xml:space="preserve"> ADDIN EN.CITE &lt;EndNote&gt;&lt;Cite&gt;&lt;Author&gt;Guh&lt;/Author&gt;&lt;Year&gt;2009&lt;/Year&gt;&lt;RecNum&gt;5743&lt;/RecNum&gt;&lt;DisplayText&gt;&lt;style face="superscript"&gt;88&lt;/style&gt;&lt;/DisplayText&gt;&lt;record&gt;&lt;rec-number&gt;5743&lt;/rec-number&gt;&lt;foreign-keys&gt;&lt;key app="EN" db-id="2ewa9rrvjsdsawep2vpx5x97eedzzvxx5rta" timestamp="1478679952"&gt;5743&lt;/key&gt;&lt;/foreign-keys&gt;&lt;ref-type name="Journal Article"&gt;17&lt;/ref-type&gt;&lt;contributors&gt;&lt;authors&gt;&lt;author&gt;Guh, D. P.&lt;/author&gt;&lt;author&gt;Zhang, W.&lt;/author&gt;&lt;author&gt;Bansback, N.&lt;/author&gt;&lt;author&gt;Amarsi, Z.&lt;/author&gt;&lt;author&gt;Birmingham, C. L.&lt;/author&gt;&lt;author&gt;Anis, A. H.&lt;/author&gt;&lt;/authors&gt;&lt;/contributors&gt;&lt;auth-address&gt;Centre for Health Evaluation and Outcome Sciences, St Paul&amp;apos;s Hospital, BC, Canada. daphne@sm.hivnet.ubc.ca&lt;/auth-address&gt;&lt;titles&gt;&lt;title&gt;The incidence of co-morbidities related to obesity and overweight: a systematic review and meta-analysis&lt;/title&gt;&lt;secondary-title&gt;BMC Public Health&lt;/secondary-title&gt;&lt;/titles&gt;&lt;periodical&gt;&lt;full-title&gt;BMC Public Health&lt;/full-title&gt;&lt;abbr-1&gt;BMC Public Health&lt;/abbr-1&gt;&lt;abbr-2&gt;BMC Public Health&lt;/abbr-2&gt;&lt;/periodical&gt;&lt;pages&gt;88&lt;/pages&gt;&lt;volume&gt;9&lt;/volume&gt;&lt;keywords&gt;&lt;keyword&gt;Cardiovascular Diseases/*epidemiology&lt;/keyword&gt;&lt;keyword&gt;Comorbidity&lt;/keyword&gt;&lt;keyword&gt;Diabetes Mellitus, Type 2/epidemiology&lt;/keyword&gt;&lt;keyword&gt;Female&lt;/keyword&gt;&lt;keyword&gt;Gallbladder Diseases/epidemiology&lt;/keyword&gt;&lt;keyword&gt;Humans&lt;/keyword&gt;&lt;keyword&gt;Incidence&lt;/keyword&gt;&lt;keyword&gt;Male&lt;/keyword&gt;&lt;keyword&gt;Neoplasms/*epidemiology&lt;/keyword&gt;&lt;keyword&gt;Obesity/*epidemiology&lt;/keyword&gt;&lt;keyword&gt;Osteoarthritis/epidemiology&lt;/keyword&gt;&lt;keyword&gt;Overweight/*epidemiology&lt;/keyword&gt;&lt;/keywords&gt;&lt;dates&gt;&lt;year&gt;2009&lt;/year&gt;&lt;/dates&gt;&lt;isbn&gt;1471-2458 (Electronic)&amp;#xD;1471-2458 (Linking)&lt;/isbn&gt;&lt;accession-num&gt;19320986&lt;/accession-num&gt;&lt;urls&gt;&lt;related-urls&gt;&lt;url&gt;http://www.ncbi.nlm.nih.gov/pubmed/19320986&lt;/url&gt;&lt;/related-urls&gt;&lt;/urls&gt;&lt;custom2&gt;2667420&lt;/custom2&gt;&lt;electronic-resource-num&gt;10.1186/1471-2458-9-88&lt;/electronic-resource-num&gt;&lt;/record&gt;&lt;/Cite&gt;&lt;/EndNote&gt;</w:instrText>
      </w:r>
      <w:r w:rsidR="004C3048" w:rsidRPr="00296D0C">
        <w:rPr>
          <w:rFonts w:cs="Arial"/>
        </w:rPr>
        <w:fldChar w:fldCharType="separate"/>
      </w:r>
      <w:r w:rsidR="008C43BF" w:rsidRPr="008C43BF">
        <w:rPr>
          <w:rFonts w:cs="Arial"/>
          <w:noProof/>
          <w:vertAlign w:val="superscript"/>
        </w:rPr>
        <w:t>88</w:t>
      </w:r>
      <w:r w:rsidR="004C3048" w:rsidRPr="00296D0C">
        <w:rPr>
          <w:rFonts w:cs="Arial"/>
        </w:rPr>
        <w:fldChar w:fldCharType="end"/>
      </w:r>
      <w:r w:rsidR="00A72606" w:rsidRPr="00296D0C">
        <w:rPr>
          <w:rFonts w:cs="Arial"/>
        </w:rPr>
        <w:t xml:space="preserve"> </w:t>
      </w:r>
      <w:r w:rsidRPr="00296D0C">
        <w:rPr>
          <w:rFonts w:cs="Arial"/>
        </w:rPr>
        <w:t>to estimate the incidence of the weight-related events in people with weight status at overweight and obese, (see Table</w:t>
      </w:r>
      <w:r w:rsidR="00C678CB" w:rsidRPr="00296D0C">
        <w:rPr>
          <w:rFonts w:cs="Arial"/>
        </w:rPr>
        <w:t xml:space="preserve"> </w:t>
      </w:r>
      <w:r w:rsidR="00A26062" w:rsidRPr="00296D0C">
        <w:rPr>
          <w:rFonts w:cs="Arial"/>
        </w:rPr>
        <w:t>2</w:t>
      </w:r>
      <w:r w:rsidR="0041502B">
        <w:rPr>
          <w:rFonts w:cs="Arial"/>
        </w:rPr>
        <w:t>8</w:t>
      </w:r>
      <w:r w:rsidRPr="00296D0C">
        <w:rPr>
          <w:rFonts w:cs="Arial"/>
        </w:rPr>
        <w:t xml:space="preserve">). </w:t>
      </w:r>
    </w:p>
    <w:p w14:paraId="4D992640" w14:textId="4E66D9ED" w:rsidR="00861557" w:rsidRPr="00296D0C" w:rsidRDefault="00861557" w:rsidP="00861557">
      <w:pPr>
        <w:pStyle w:val="Caption"/>
        <w:spacing w:before="240" w:after="120" w:line="360" w:lineRule="auto"/>
        <w:rPr>
          <w:rFonts w:cs="Arial"/>
          <w:b/>
          <w:i w:val="0"/>
          <w:color w:val="auto"/>
          <w:sz w:val="22"/>
          <w:szCs w:val="22"/>
        </w:rPr>
      </w:pPr>
      <w:r w:rsidRPr="00296D0C">
        <w:rPr>
          <w:rFonts w:cs="Arial"/>
          <w:b/>
          <w:i w:val="0"/>
          <w:color w:val="auto"/>
          <w:sz w:val="22"/>
          <w:szCs w:val="22"/>
        </w:rPr>
        <w:t>T</w:t>
      </w:r>
      <w:r w:rsidR="001A55B7" w:rsidRPr="00296D0C">
        <w:rPr>
          <w:rFonts w:cs="Arial"/>
          <w:b/>
          <w:i w:val="0"/>
          <w:color w:val="auto"/>
          <w:sz w:val="22"/>
          <w:szCs w:val="22"/>
        </w:rPr>
        <w:t>ABLE</w:t>
      </w:r>
      <w:r w:rsidRPr="00296D0C">
        <w:rPr>
          <w:rFonts w:cs="Arial"/>
          <w:b/>
          <w:i w:val="0"/>
          <w:color w:val="auto"/>
          <w:sz w:val="22"/>
          <w:szCs w:val="22"/>
        </w:rPr>
        <w:t xml:space="preserve"> </w:t>
      </w:r>
      <w:r w:rsidR="008755E2" w:rsidRPr="00296D0C">
        <w:rPr>
          <w:rFonts w:cs="Arial"/>
          <w:b/>
          <w:i w:val="0"/>
          <w:color w:val="auto"/>
          <w:sz w:val="22"/>
          <w:szCs w:val="22"/>
        </w:rPr>
        <w:t>2</w:t>
      </w:r>
      <w:r w:rsidR="0041502B">
        <w:rPr>
          <w:rFonts w:cs="Arial"/>
          <w:b/>
          <w:i w:val="0"/>
          <w:color w:val="auto"/>
          <w:sz w:val="22"/>
          <w:szCs w:val="22"/>
        </w:rPr>
        <w:t>8</w:t>
      </w:r>
      <w:r w:rsidRPr="00296D0C">
        <w:rPr>
          <w:rFonts w:cs="Arial"/>
          <w:b/>
          <w:i w:val="0"/>
          <w:color w:val="auto"/>
          <w:sz w:val="22"/>
          <w:szCs w:val="22"/>
        </w:rPr>
        <w:t xml:space="preserve"> Estimated incidence rate (probability) of adult weight-related events by weight status, cases per 1,000 person years</w:t>
      </w:r>
    </w:p>
    <w:tbl>
      <w:tblPr>
        <w:tblW w:w="4907" w:type="pct"/>
        <w:tblInd w:w="108" w:type="dxa"/>
        <w:tblBorders>
          <w:top w:val="single" w:sz="8" w:space="0" w:color="auto"/>
          <w:left w:val="single" w:sz="8" w:space="0" w:color="auto"/>
          <w:bottom w:val="single" w:sz="8" w:space="0" w:color="auto"/>
          <w:right w:val="single" w:sz="8" w:space="0" w:color="auto"/>
          <w:insideV w:val="single" w:sz="8" w:space="0" w:color="auto"/>
        </w:tblBorders>
        <w:tblLook w:val="04A0" w:firstRow="1" w:lastRow="0" w:firstColumn="1" w:lastColumn="0" w:noHBand="0" w:noVBand="1"/>
      </w:tblPr>
      <w:tblGrid>
        <w:gridCol w:w="2187"/>
        <w:gridCol w:w="2217"/>
        <w:gridCol w:w="2217"/>
        <w:gridCol w:w="2217"/>
      </w:tblGrid>
      <w:tr w:rsidR="00861557" w:rsidRPr="00296D0C" w14:paraId="4F4BF1CF" w14:textId="77777777" w:rsidTr="0077247E">
        <w:trPr>
          <w:trHeight w:val="300"/>
        </w:trPr>
        <w:tc>
          <w:tcPr>
            <w:tcW w:w="1238" w:type="pct"/>
            <w:tcBorders>
              <w:top w:val="single" w:sz="8" w:space="0" w:color="auto"/>
              <w:bottom w:val="single" w:sz="8" w:space="0" w:color="auto"/>
            </w:tcBorders>
            <w:shd w:val="clear" w:color="auto" w:fill="auto"/>
            <w:noWrap/>
            <w:vAlign w:val="bottom"/>
            <w:hideMark/>
          </w:tcPr>
          <w:p w14:paraId="075D4F34" w14:textId="77777777" w:rsidR="00861557" w:rsidRPr="00296D0C" w:rsidRDefault="00861557" w:rsidP="0077247E">
            <w:pPr>
              <w:spacing w:after="0" w:line="240" w:lineRule="auto"/>
              <w:rPr>
                <w:rFonts w:cs="Arial"/>
                <w:bCs/>
                <w:color w:val="000000"/>
              </w:rPr>
            </w:pPr>
            <w:r w:rsidRPr="00296D0C">
              <w:rPr>
                <w:rFonts w:cs="Arial"/>
                <w:bCs/>
                <w:color w:val="000000"/>
              </w:rPr>
              <w:t>Weight-related event</w:t>
            </w:r>
          </w:p>
        </w:tc>
        <w:tc>
          <w:tcPr>
            <w:tcW w:w="1254" w:type="pct"/>
            <w:tcBorders>
              <w:top w:val="single" w:sz="8" w:space="0" w:color="auto"/>
              <w:bottom w:val="single" w:sz="8" w:space="0" w:color="auto"/>
            </w:tcBorders>
            <w:shd w:val="clear" w:color="auto" w:fill="auto"/>
            <w:noWrap/>
            <w:vAlign w:val="bottom"/>
          </w:tcPr>
          <w:p w14:paraId="21B42B39" w14:textId="77777777" w:rsidR="00861557" w:rsidRPr="00296D0C" w:rsidRDefault="00861557" w:rsidP="0077247E">
            <w:pPr>
              <w:spacing w:after="0" w:line="240" w:lineRule="auto"/>
              <w:jc w:val="right"/>
              <w:rPr>
                <w:rFonts w:cs="Arial"/>
                <w:bCs/>
                <w:color w:val="000000"/>
              </w:rPr>
            </w:pPr>
            <w:r w:rsidRPr="00296D0C">
              <w:rPr>
                <w:rFonts w:cs="Arial"/>
                <w:bCs/>
                <w:color w:val="000000"/>
              </w:rPr>
              <w:t>Healthy Weight</w:t>
            </w:r>
          </w:p>
        </w:tc>
        <w:tc>
          <w:tcPr>
            <w:tcW w:w="1254" w:type="pct"/>
            <w:tcBorders>
              <w:top w:val="single" w:sz="8" w:space="0" w:color="auto"/>
              <w:bottom w:val="single" w:sz="8" w:space="0" w:color="auto"/>
            </w:tcBorders>
            <w:shd w:val="clear" w:color="auto" w:fill="auto"/>
            <w:noWrap/>
            <w:vAlign w:val="bottom"/>
          </w:tcPr>
          <w:p w14:paraId="17EAFF6E" w14:textId="77777777" w:rsidR="00861557" w:rsidRPr="00296D0C" w:rsidRDefault="00861557" w:rsidP="0077247E">
            <w:pPr>
              <w:spacing w:after="0" w:line="240" w:lineRule="auto"/>
              <w:jc w:val="right"/>
              <w:rPr>
                <w:rFonts w:cs="Arial"/>
                <w:bCs/>
                <w:color w:val="000000"/>
              </w:rPr>
            </w:pPr>
            <w:r w:rsidRPr="00296D0C">
              <w:rPr>
                <w:rFonts w:cs="Arial"/>
                <w:bCs/>
                <w:color w:val="000000"/>
              </w:rPr>
              <w:t>Overweight</w:t>
            </w:r>
          </w:p>
        </w:tc>
        <w:tc>
          <w:tcPr>
            <w:tcW w:w="1254" w:type="pct"/>
            <w:tcBorders>
              <w:top w:val="single" w:sz="8" w:space="0" w:color="auto"/>
              <w:bottom w:val="single" w:sz="8" w:space="0" w:color="auto"/>
            </w:tcBorders>
            <w:shd w:val="clear" w:color="auto" w:fill="auto"/>
            <w:noWrap/>
            <w:vAlign w:val="bottom"/>
          </w:tcPr>
          <w:p w14:paraId="2D55CAA5" w14:textId="77777777" w:rsidR="00861557" w:rsidRPr="00296D0C" w:rsidRDefault="00861557" w:rsidP="0077247E">
            <w:pPr>
              <w:spacing w:after="0" w:line="240" w:lineRule="auto"/>
              <w:jc w:val="right"/>
              <w:rPr>
                <w:rFonts w:cs="Arial"/>
                <w:bCs/>
                <w:color w:val="000000"/>
              </w:rPr>
            </w:pPr>
            <w:r w:rsidRPr="00296D0C">
              <w:rPr>
                <w:rFonts w:cs="Arial"/>
                <w:bCs/>
                <w:color w:val="000000"/>
              </w:rPr>
              <w:t>Obese</w:t>
            </w:r>
          </w:p>
        </w:tc>
      </w:tr>
      <w:tr w:rsidR="00861557" w:rsidRPr="00296D0C" w14:paraId="67F18544" w14:textId="77777777" w:rsidTr="0077247E">
        <w:trPr>
          <w:trHeight w:val="300"/>
        </w:trPr>
        <w:tc>
          <w:tcPr>
            <w:tcW w:w="1238" w:type="pct"/>
            <w:tcBorders>
              <w:top w:val="single" w:sz="8" w:space="0" w:color="auto"/>
            </w:tcBorders>
            <w:shd w:val="clear" w:color="auto" w:fill="auto"/>
            <w:noWrap/>
            <w:vAlign w:val="bottom"/>
            <w:hideMark/>
          </w:tcPr>
          <w:p w14:paraId="2F88722F" w14:textId="77777777" w:rsidR="00861557" w:rsidRPr="00296D0C" w:rsidRDefault="00861557" w:rsidP="0077247E">
            <w:pPr>
              <w:spacing w:after="0" w:line="240" w:lineRule="auto"/>
              <w:rPr>
                <w:rFonts w:cs="Arial"/>
                <w:color w:val="000000"/>
              </w:rPr>
            </w:pPr>
            <w:r w:rsidRPr="00296D0C">
              <w:rPr>
                <w:rFonts w:cs="Arial"/>
                <w:color w:val="000000"/>
              </w:rPr>
              <w:t>CRC</w:t>
            </w:r>
          </w:p>
        </w:tc>
        <w:tc>
          <w:tcPr>
            <w:tcW w:w="1254" w:type="pct"/>
            <w:tcBorders>
              <w:top w:val="single" w:sz="8" w:space="0" w:color="auto"/>
            </w:tcBorders>
            <w:shd w:val="clear" w:color="auto" w:fill="auto"/>
            <w:noWrap/>
            <w:vAlign w:val="bottom"/>
            <w:hideMark/>
          </w:tcPr>
          <w:p w14:paraId="209142B4" w14:textId="77777777" w:rsidR="00861557" w:rsidRPr="00296D0C" w:rsidRDefault="00861557" w:rsidP="0077247E">
            <w:pPr>
              <w:spacing w:after="0" w:line="240" w:lineRule="auto"/>
              <w:jc w:val="right"/>
              <w:rPr>
                <w:rFonts w:cs="Arial"/>
                <w:color w:val="000000"/>
              </w:rPr>
            </w:pPr>
            <w:r w:rsidRPr="00296D0C">
              <w:rPr>
                <w:rFonts w:cs="Arial"/>
                <w:color w:val="000000"/>
              </w:rPr>
              <w:t>0.00087</w:t>
            </w:r>
          </w:p>
        </w:tc>
        <w:tc>
          <w:tcPr>
            <w:tcW w:w="1254" w:type="pct"/>
            <w:tcBorders>
              <w:top w:val="single" w:sz="8" w:space="0" w:color="auto"/>
            </w:tcBorders>
            <w:shd w:val="clear" w:color="auto" w:fill="auto"/>
            <w:noWrap/>
            <w:vAlign w:val="bottom"/>
            <w:hideMark/>
          </w:tcPr>
          <w:p w14:paraId="7FB8ADC2" w14:textId="77777777" w:rsidR="00861557" w:rsidRPr="00296D0C" w:rsidRDefault="00861557" w:rsidP="0077247E">
            <w:pPr>
              <w:spacing w:after="0" w:line="240" w:lineRule="auto"/>
              <w:jc w:val="right"/>
              <w:rPr>
                <w:rFonts w:cs="Arial"/>
                <w:color w:val="000000"/>
              </w:rPr>
            </w:pPr>
            <w:r w:rsidRPr="00296D0C">
              <w:rPr>
                <w:rFonts w:cs="Arial"/>
                <w:color w:val="000000"/>
              </w:rPr>
              <w:t>0.00129</w:t>
            </w:r>
          </w:p>
        </w:tc>
        <w:tc>
          <w:tcPr>
            <w:tcW w:w="1254" w:type="pct"/>
            <w:tcBorders>
              <w:top w:val="single" w:sz="8" w:space="0" w:color="auto"/>
            </w:tcBorders>
            <w:shd w:val="clear" w:color="auto" w:fill="auto"/>
            <w:noWrap/>
            <w:vAlign w:val="bottom"/>
            <w:hideMark/>
          </w:tcPr>
          <w:p w14:paraId="6AEED86C" w14:textId="77777777" w:rsidR="00861557" w:rsidRPr="00296D0C" w:rsidRDefault="00861557" w:rsidP="0077247E">
            <w:pPr>
              <w:spacing w:after="0" w:line="240" w:lineRule="auto"/>
              <w:jc w:val="right"/>
              <w:rPr>
                <w:rFonts w:cs="Arial"/>
                <w:color w:val="000000"/>
              </w:rPr>
            </w:pPr>
            <w:r w:rsidRPr="00296D0C">
              <w:rPr>
                <w:rFonts w:cs="Arial"/>
                <w:color w:val="000000"/>
              </w:rPr>
              <w:t>0.00159</w:t>
            </w:r>
          </w:p>
        </w:tc>
      </w:tr>
      <w:tr w:rsidR="00861557" w:rsidRPr="00296D0C" w14:paraId="5DA3E1B9" w14:textId="77777777" w:rsidTr="0077247E">
        <w:trPr>
          <w:trHeight w:val="300"/>
        </w:trPr>
        <w:tc>
          <w:tcPr>
            <w:tcW w:w="1238" w:type="pct"/>
            <w:shd w:val="clear" w:color="auto" w:fill="auto"/>
            <w:noWrap/>
            <w:vAlign w:val="bottom"/>
            <w:hideMark/>
          </w:tcPr>
          <w:p w14:paraId="37928068" w14:textId="77777777" w:rsidR="00861557" w:rsidRPr="00296D0C" w:rsidRDefault="00861557" w:rsidP="0077247E">
            <w:pPr>
              <w:spacing w:after="0" w:line="240" w:lineRule="auto"/>
              <w:rPr>
                <w:rFonts w:cs="Arial"/>
                <w:color w:val="000000"/>
              </w:rPr>
            </w:pPr>
            <w:r w:rsidRPr="00296D0C">
              <w:rPr>
                <w:rFonts w:cs="Arial"/>
                <w:color w:val="000000"/>
              </w:rPr>
              <w:t>T2DM</w:t>
            </w:r>
          </w:p>
        </w:tc>
        <w:tc>
          <w:tcPr>
            <w:tcW w:w="1254" w:type="pct"/>
            <w:shd w:val="clear" w:color="auto" w:fill="auto"/>
            <w:noWrap/>
            <w:vAlign w:val="bottom"/>
            <w:hideMark/>
          </w:tcPr>
          <w:p w14:paraId="0A54F58B" w14:textId="77777777" w:rsidR="00861557" w:rsidRPr="00296D0C" w:rsidRDefault="00861557" w:rsidP="0077247E">
            <w:pPr>
              <w:spacing w:after="0" w:line="240" w:lineRule="auto"/>
              <w:jc w:val="right"/>
              <w:rPr>
                <w:rFonts w:cs="Arial"/>
                <w:color w:val="000000"/>
              </w:rPr>
            </w:pPr>
            <w:r w:rsidRPr="00296D0C">
              <w:rPr>
                <w:rFonts w:cs="Arial"/>
                <w:color w:val="000000"/>
              </w:rPr>
              <w:t>0.00165</w:t>
            </w:r>
          </w:p>
        </w:tc>
        <w:tc>
          <w:tcPr>
            <w:tcW w:w="1254" w:type="pct"/>
            <w:shd w:val="clear" w:color="auto" w:fill="auto"/>
            <w:noWrap/>
            <w:vAlign w:val="bottom"/>
            <w:hideMark/>
          </w:tcPr>
          <w:p w14:paraId="785C8E37" w14:textId="77777777" w:rsidR="00861557" w:rsidRPr="00296D0C" w:rsidRDefault="00861557" w:rsidP="0077247E">
            <w:pPr>
              <w:spacing w:after="0" w:line="240" w:lineRule="auto"/>
              <w:jc w:val="right"/>
              <w:rPr>
                <w:rFonts w:cs="Arial"/>
                <w:color w:val="000000"/>
              </w:rPr>
            </w:pPr>
            <w:r w:rsidRPr="00296D0C">
              <w:rPr>
                <w:rFonts w:cs="Arial"/>
                <w:color w:val="000000"/>
              </w:rPr>
              <w:t>0.00456</w:t>
            </w:r>
          </w:p>
        </w:tc>
        <w:tc>
          <w:tcPr>
            <w:tcW w:w="1254" w:type="pct"/>
            <w:shd w:val="clear" w:color="auto" w:fill="auto"/>
            <w:noWrap/>
            <w:vAlign w:val="bottom"/>
            <w:hideMark/>
          </w:tcPr>
          <w:p w14:paraId="11C8C114" w14:textId="77777777" w:rsidR="00861557" w:rsidRPr="00296D0C" w:rsidRDefault="00861557" w:rsidP="0077247E">
            <w:pPr>
              <w:spacing w:after="0" w:line="240" w:lineRule="auto"/>
              <w:jc w:val="right"/>
              <w:rPr>
                <w:rFonts w:cs="Arial"/>
                <w:color w:val="000000"/>
              </w:rPr>
            </w:pPr>
            <w:r w:rsidRPr="00296D0C">
              <w:rPr>
                <w:rFonts w:cs="Arial"/>
                <w:color w:val="000000"/>
              </w:rPr>
              <w:t>0.01334</w:t>
            </w:r>
          </w:p>
        </w:tc>
      </w:tr>
      <w:tr w:rsidR="00861557" w:rsidRPr="00296D0C" w14:paraId="19DBF358" w14:textId="77777777" w:rsidTr="0077247E">
        <w:trPr>
          <w:trHeight w:val="300"/>
        </w:trPr>
        <w:tc>
          <w:tcPr>
            <w:tcW w:w="1238" w:type="pct"/>
            <w:shd w:val="clear" w:color="auto" w:fill="auto"/>
            <w:noWrap/>
            <w:vAlign w:val="bottom"/>
            <w:hideMark/>
          </w:tcPr>
          <w:p w14:paraId="73175EA7" w14:textId="77777777" w:rsidR="00861557" w:rsidRPr="00296D0C" w:rsidRDefault="00861557" w:rsidP="0077247E">
            <w:pPr>
              <w:spacing w:after="0" w:line="240" w:lineRule="auto"/>
              <w:rPr>
                <w:rFonts w:cs="Arial"/>
                <w:color w:val="000000"/>
              </w:rPr>
            </w:pPr>
            <w:r w:rsidRPr="00296D0C">
              <w:rPr>
                <w:rFonts w:cs="Arial"/>
                <w:color w:val="000000"/>
              </w:rPr>
              <w:t>Stroke</w:t>
            </w:r>
          </w:p>
        </w:tc>
        <w:tc>
          <w:tcPr>
            <w:tcW w:w="1254" w:type="pct"/>
            <w:shd w:val="clear" w:color="auto" w:fill="auto"/>
            <w:noWrap/>
            <w:vAlign w:val="bottom"/>
            <w:hideMark/>
          </w:tcPr>
          <w:p w14:paraId="629734D0" w14:textId="77777777" w:rsidR="00861557" w:rsidRPr="00296D0C" w:rsidRDefault="00861557" w:rsidP="0077247E">
            <w:pPr>
              <w:spacing w:after="0" w:line="240" w:lineRule="auto"/>
              <w:jc w:val="right"/>
              <w:rPr>
                <w:rFonts w:cs="Arial"/>
                <w:color w:val="000000"/>
              </w:rPr>
            </w:pPr>
            <w:r w:rsidRPr="00296D0C">
              <w:rPr>
                <w:rFonts w:cs="Arial"/>
                <w:color w:val="000000"/>
              </w:rPr>
              <w:t>0.00141</w:t>
            </w:r>
          </w:p>
        </w:tc>
        <w:tc>
          <w:tcPr>
            <w:tcW w:w="1254" w:type="pct"/>
            <w:shd w:val="clear" w:color="auto" w:fill="auto"/>
            <w:noWrap/>
            <w:vAlign w:val="bottom"/>
            <w:hideMark/>
          </w:tcPr>
          <w:p w14:paraId="5DD1EB0C" w14:textId="77777777" w:rsidR="00861557" w:rsidRPr="00296D0C" w:rsidRDefault="00861557" w:rsidP="0077247E">
            <w:pPr>
              <w:spacing w:after="0" w:line="240" w:lineRule="auto"/>
              <w:jc w:val="right"/>
              <w:rPr>
                <w:rFonts w:cs="Arial"/>
                <w:color w:val="000000"/>
              </w:rPr>
            </w:pPr>
            <w:r w:rsidRPr="00296D0C">
              <w:rPr>
                <w:rFonts w:cs="Arial"/>
                <w:color w:val="000000"/>
              </w:rPr>
              <w:t>0.00188</w:t>
            </w:r>
          </w:p>
        </w:tc>
        <w:tc>
          <w:tcPr>
            <w:tcW w:w="1254" w:type="pct"/>
            <w:shd w:val="clear" w:color="auto" w:fill="auto"/>
            <w:noWrap/>
            <w:vAlign w:val="bottom"/>
            <w:hideMark/>
          </w:tcPr>
          <w:p w14:paraId="5933233E" w14:textId="77777777" w:rsidR="00861557" w:rsidRPr="00296D0C" w:rsidRDefault="00861557" w:rsidP="0077247E">
            <w:pPr>
              <w:spacing w:after="0" w:line="240" w:lineRule="auto"/>
              <w:jc w:val="right"/>
              <w:rPr>
                <w:rFonts w:cs="Arial"/>
                <w:color w:val="000000"/>
              </w:rPr>
            </w:pPr>
            <w:r w:rsidRPr="00296D0C">
              <w:rPr>
                <w:rFonts w:cs="Arial"/>
                <w:color w:val="000000"/>
              </w:rPr>
              <w:t>0.00234</w:t>
            </w:r>
          </w:p>
        </w:tc>
      </w:tr>
      <w:tr w:rsidR="00861557" w:rsidRPr="00296D0C" w14:paraId="7907F829" w14:textId="77777777" w:rsidTr="0077247E">
        <w:trPr>
          <w:trHeight w:val="300"/>
        </w:trPr>
        <w:tc>
          <w:tcPr>
            <w:tcW w:w="1238" w:type="pct"/>
            <w:shd w:val="clear" w:color="auto" w:fill="auto"/>
            <w:noWrap/>
            <w:vAlign w:val="bottom"/>
            <w:hideMark/>
          </w:tcPr>
          <w:p w14:paraId="26132713" w14:textId="77777777" w:rsidR="00861557" w:rsidRPr="00296D0C" w:rsidRDefault="00861557" w:rsidP="0077247E">
            <w:pPr>
              <w:spacing w:after="0" w:line="240" w:lineRule="auto"/>
              <w:rPr>
                <w:rFonts w:cs="Arial"/>
                <w:color w:val="000000"/>
              </w:rPr>
            </w:pPr>
            <w:r w:rsidRPr="00296D0C">
              <w:rPr>
                <w:rFonts w:cs="Arial"/>
                <w:color w:val="000000"/>
              </w:rPr>
              <w:t>CHD</w:t>
            </w:r>
          </w:p>
        </w:tc>
        <w:tc>
          <w:tcPr>
            <w:tcW w:w="1254" w:type="pct"/>
            <w:shd w:val="clear" w:color="auto" w:fill="auto"/>
            <w:noWrap/>
            <w:vAlign w:val="bottom"/>
            <w:hideMark/>
          </w:tcPr>
          <w:p w14:paraId="47CECEE8" w14:textId="77777777" w:rsidR="00861557" w:rsidRPr="00296D0C" w:rsidRDefault="00861557" w:rsidP="0077247E">
            <w:pPr>
              <w:spacing w:after="0" w:line="240" w:lineRule="auto"/>
              <w:jc w:val="right"/>
              <w:rPr>
                <w:rFonts w:cs="Arial"/>
                <w:color w:val="000000"/>
              </w:rPr>
            </w:pPr>
            <w:r w:rsidRPr="00296D0C">
              <w:rPr>
                <w:rFonts w:cs="Arial"/>
                <w:color w:val="000000"/>
              </w:rPr>
              <w:t>0.00237</w:t>
            </w:r>
          </w:p>
        </w:tc>
        <w:tc>
          <w:tcPr>
            <w:tcW w:w="1254" w:type="pct"/>
            <w:shd w:val="clear" w:color="auto" w:fill="auto"/>
            <w:noWrap/>
            <w:vAlign w:val="bottom"/>
            <w:hideMark/>
          </w:tcPr>
          <w:p w14:paraId="63E46D4D" w14:textId="77777777" w:rsidR="00861557" w:rsidRPr="00296D0C" w:rsidRDefault="00861557" w:rsidP="0077247E">
            <w:pPr>
              <w:spacing w:after="0" w:line="240" w:lineRule="auto"/>
              <w:jc w:val="right"/>
              <w:rPr>
                <w:rFonts w:cs="Arial"/>
                <w:color w:val="000000"/>
              </w:rPr>
            </w:pPr>
            <w:r w:rsidRPr="00296D0C">
              <w:rPr>
                <w:rFonts w:cs="Arial"/>
                <w:color w:val="000000"/>
              </w:rPr>
              <w:t>0.00329</w:t>
            </w:r>
          </w:p>
        </w:tc>
        <w:tc>
          <w:tcPr>
            <w:tcW w:w="1254" w:type="pct"/>
            <w:shd w:val="clear" w:color="auto" w:fill="auto"/>
            <w:noWrap/>
            <w:vAlign w:val="bottom"/>
            <w:hideMark/>
          </w:tcPr>
          <w:p w14:paraId="4D4206B4" w14:textId="77777777" w:rsidR="00861557" w:rsidRPr="00296D0C" w:rsidRDefault="00861557" w:rsidP="0077247E">
            <w:pPr>
              <w:spacing w:after="0" w:line="240" w:lineRule="auto"/>
              <w:jc w:val="right"/>
              <w:rPr>
                <w:rFonts w:cs="Arial"/>
                <w:color w:val="000000"/>
              </w:rPr>
            </w:pPr>
            <w:r w:rsidRPr="00296D0C">
              <w:rPr>
                <w:rFonts w:cs="Arial"/>
                <w:color w:val="000000"/>
              </w:rPr>
              <w:t>0.00482</w:t>
            </w:r>
          </w:p>
        </w:tc>
      </w:tr>
    </w:tbl>
    <w:p w14:paraId="41C835C1" w14:textId="2D930141" w:rsidR="00861557" w:rsidRPr="00296D0C" w:rsidRDefault="00861557" w:rsidP="00861557">
      <w:pPr>
        <w:spacing w:after="40" w:line="240" w:lineRule="auto"/>
      </w:pPr>
      <w:r w:rsidRPr="00296D0C">
        <w:t>Data source:  Guh et al</w:t>
      </w:r>
      <w:r w:rsidR="001A55B7" w:rsidRPr="00296D0C">
        <w:t xml:space="preserve">., </w:t>
      </w:r>
      <w:r w:rsidRPr="00296D0C">
        <w:t>2009</w:t>
      </w:r>
      <w:r w:rsidR="00A72606" w:rsidRPr="00296D0C">
        <w:rPr>
          <w:rFonts w:cs="Arial"/>
        </w:rPr>
        <w:t xml:space="preserve"> </w:t>
      </w:r>
      <w:r w:rsidR="004C3048" w:rsidRPr="00296D0C">
        <w:rPr>
          <w:rFonts w:cs="Arial"/>
        </w:rPr>
        <w:fldChar w:fldCharType="begin"/>
      </w:r>
      <w:r w:rsidR="008C43BF">
        <w:rPr>
          <w:rFonts w:cs="Arial"/>
        </w:rPr>
        <w:instrText xml:space="preserve"> ADDIN EN.CITE &lt;EndNote&gt;&lt;Cite&gt;&lt;Author&gt;Guh&lt;/Author&gt;&lt;Year&gt;2009&lt;/Year&gt;&lt;RecNum&gt;5743&lt;/RecNum&gt;&lt;DisplayText&gt;&lt;style face="superscript"&gt;88&lt;/style&gt;&lt;/DisplayText&gt;&lt;record&gt;&lt;rec-number&gt;5743&lt;/rec-number&gt;&lt;foreign-keys&gt;&lt;key app="EN" db-id="2ewa9rrvjsdsawep2vpx5x97eedzzvxx5rta" timestamp="1478679952"&gt;5743&lt;/key&gt;&lt;/foreign-keys&gt;&lt;ref-type name="Journal Article"&gt;17&lt;/ref-type&gt;&lt;contributors&gt;&lt;authors&gt;&lt;author&gt;Guh, D. P.&lt;/author&gt;&lt;author&gt;Zhang, W.&lt;/author&gt;&lt;author&gt;Bansback, N.&lt;/author&gt;&lt;author&gt;Amarsi, Z.&lt;/author&gt;&lt;author&gt;Birmingham, C. L.&lt;/author&gt;&lt;author&gt;Anis, A. H.&lt;/author&gt;&lt;/authors&gt;&lt;/contributors&gt;&lt;auth-address&gt;Centre for Health Evaluation and Outcome Sciences, St Paul&amp;apos;s Hospital, BC, Canada. daphne@sm.hivnet.ubc.ca&lt;/auth-address&gt;&lt;titles&gt;&lt;title&gt;The incidence of co-morbidities related to obesity and overweight: a systematic review and meta-analysis&lt;/title&gt;&lt;secondary-title&gt;BMC Public Health&lt;/secondary-title&gt;&lt;/titles&gt;&lt;periodical&gt;&lt;full-title&gt;BMC Public Health&lt;/full-title&gt;&lt;abbr-1&gt;BMC Public Health&lt;/abbr-1&gt;&lt;abbr-2&gt;BMC Public Health&lt;/abbr-2&gt;&lt;/periodical&gt;&lt;pages&gt;88&lt;/pages&gt;&lt;volume&gt;9&lt;/volume&gt;&lt;keywords&gt;&lt;keyword&gt;Cardiovascular Diseases/*epidemiology&lt;/keyword&gt;&lt;keyword&gt;Comorbidity&lt;/keyword&gt;&lt;keyword&gt;Diabetes Mellitus, Type 2/epidemiology&lt;/keyword&gt;&lt;keyword&gt;Female&lt;/keyword&gt;&lt;keyword&gt;Gallbladder Diseases/epidemiology&lt;/keyword&gt;&lt;keyword&gt;Humans&lt;/keyword&gt;&lt;keyword&gt;Incidence&lt;/keyword&gt;&lt;keyword&gt;Male&lt;/keyword&gt;&lt;keyword&gt;Neoplasms/*epidemiology&lt;/keyword&gt;&lt;keyword&gt;Obesity/*epidemiology&lt;/keyword&gt;&lt;keyword&gt;Osteoarthritis/epidemiology&lt;/keyword&gt;&lt;keyword&gt;Overweight/*epidemiology&lt;/keyword&gt;&lt;/keywords&gt;&lt;dates&gt;&lt;year&gt;2009&lt;/year&gt;&lt;/dates&gt;&lt;isbn&gt;1471-2458 (Electronic)&amp;#xD;1471-2458 (Linking)&lt;/isbn&gt;&lt;accession-num&gt;19320986&lt;/accession-num&gt;&lt;urls&gt;&lt;related-urls&gt;&lt;url&gt;http://www.ncbi.nlm.nih.gov/pubmed/19320986&lt;/url&gt;&lt;/related-urls&gt;&lt;/urls&gt;&lt;custom2&gt;2667420&lt;/custom2&gt;&lt;electronic-resource-num&gt;10.1186/1471-2458-9-88&lt;/electronic-resource-num&gt;&lt;/record&gt;&lt;/Cite&gt;&lt;/EndNote&gt;</w:instrText>
      </w:r>
      <w:r w:rsidR="004C3048" w:rsidRPr="00296D0C">
        <w:rPr>
          <w:rFonts w:cs="Arial"/>
        </w:rPr>
        <w:fldChar w:fldCharType="separate"/>
      </w:r>
      <w:r w:rsidR="008C43BF" w:rsidRPr="008C43BF">
        <w:rPr>
          <w:rFonts w:cs="Arial"/>
          <w:noProof/>
          <w:vertAlign w:val="superscript"/>
        </w:rPr>
        <w:t>88</w:t>
      </w:r>
      <w:r w:rsidR="004C3048" w:rsidRPr="00296D0C">
        <w:rPr>
          <w:rFonts w:cs="Arial"/>
        </w:rPr>
        <w:fldChar w:fldCharType="end"/>
      </w:r>
    </w:p>
    <w:p w14:paraId="38C30681" w14:textId="77777777" w:rsidR="00861557" w:rsidRPr="00296D0C" w:rsidRDefault="00861557" w:rsidP="00861557">
      <w:pPr>
        <w:spacing w:after="40" w:line="240" w:lineRule="auto"/>
      </w:pPr>
      <w:r w:rsidRPr="00296D0C">
        <w:t>Key: CHD = coronary heart disease; CRC = colorectal cancer; T2DM = type 2 diabetes mellitus</w:t>
      </w:r>
    </w:p>
    <w:p w14:paraId="648D5686" w14:textId="77777777" w:rsidR="00497416" w:rsidRDefault="00497416" w:rsidP="00861557">
      <w:pPr>
        <w:spacing w:after="120"/>
      </w:pPr>
    </w:p>
    <w:p w14:paraId="417CAB1C" w14:textId="77777777" w:rsidR="00861557" w:rsidRPr="00497416" w:rsidRDefault="00861557" w:rsidP="00861557">
      <w:pPr>
        <w:spacing w:after="120"/>
        <w:rPr>
          <w:rFonts w:cs="Arial"/>
          <w:u w:val="single"/>
        </w:rPr>
      </w:pPr>
      <w:r w:rsidRPr="00497416">
        <w:rPr>
          <w:rFonts w:cs="Arial"/>
          <w:u w:val="single"/>
        </w:rPr>
        <w:t>Mortality data</w:t>
      </w:r>
    </w:p>
    <w:p w14:paraId="66BD1D26" w14:textId="48E83DFE" w:rsidR="00861557" w:rsidRPr="00296D0C" w:rsidRDefault="00861557" w:rsidP="000D0114">
      <w:pPr>
        <w:spacing w:after="0" w:line="360" w:lineRule="auto"/>
        <w:rPr>
          <w:rFonts w:cs="Arial"/>
        </w:rPr>
      </w:pPr>
      <w:r w:rsidRPr="00296D0C">
        <w:rPr>
          <w:rFonts w:cs="Arial"/>
        </w:rPr>
        <w:t xml:space="preserve">People are exposed to an annual mortality risk in each cycle of the model in Stage 2.  For people in the disease free state (no weight related event) they are subject to all cause mortality risks based on age-specific data from the UK Office for National Statistics </w:t>
      </w:r>
      <w:r w:rsidR="005A361E" w:rsidRPr="00296D0C">
        <w:rPr>
          <w:rFonts w:cs="Arial"/>
        </w:rPr>
        <w:fldChar w:fldCharType="begin"/>
      </w:r>
      <w:r w:rsidR="00931E9F">
        <w:rPr>
          <w:rFonts w:cs="Arial"/>
        </w:rPr>
        <w:instrText xml:space="preserve"> ADDIN EN.CITE &lt;EndNote&gt;&lt;Cite ExcludeYear="1"&gt;&lt;Author&gt;Office for National Statistics&lt;/Author&gt;&lt;RecNum&gt;5786&lt;/RecNum&gt;&lt;DisplayText&gt;&lt;style face="superscript"&gt;89&lt;/style&gt;&lt;/DisplayText&gt;&lt;record&gt;&lt;rec-number&gt;5786&lt;/rec-number&gt;&lt;foreign-keys&gt;&lt;key app="EN" db-id="2ewa9rrvjsdsawep2vpx5x97eedzzvxx5rta" timestamp="1478702353"&gt;5786&lt;/key&gt;&lt;/foreign-keys&gt;&lt;ref-type name="Web Page"&gt;12&lt;/ref-type&gt;&lt;contributors&gt;&lt;authors&gt;&lt;author&gt;Office for National Statistics,&lt;/author&gt;&lt;/authors&gt;&lt;/contributors&gt;&lt;titles&gt;&lt;title&gt;National Life Tables, United Kingdom: 2012 - 2014&lt;/title&gt;&lt;/titles&gt;&lt;number&gt;3 April 2016&lt;/number&gt;&lt;dates&gt;&lt;/dates&gt;&lt;urls&gt;&lt;related-urls&gt;&lt;url&gt;https://www.ons.gov.uk/peoplepopulationandcommunity/birthsdeathsandmarriages/lifeexpectancies/bulletins/nationallifetablesunitedkingdom/2015-09-23&lt;/url&gt;&lt;/related-urls&gt;&lt;/urls&gt;&lt;/record&gt;&lt;/Cite&gt;&lt;/EndNote&gt;</w:instrText>
      </w:r>
      <w:r w:rsidR="005A361E" w:rsidRPr="00296D0C">
        <w:rPr>
          <w:rFonts w:cs="Arial"/>
        </w:rPr>
        <w:fldChar w:fldCharType="separate"/>
      </w:r>
      <w:r w:rsidR="008C43BF" w:rsidRPr="008C43BF">
        <w:rPr>
          <w:rFonts w:cs="Arial"/>
          <w:noProof/>
          <w:vertAlign w:val="superscript"/>
        </w:rPr>
        <w:t>89</w:t>
      </w:r>
      <w:r w:rsidR="005A361E" w:rsidRPr="00296D0C">
        <w:rPr>
          <w:rFonts w:cs="Arial"/>
        </w:rPr>
        <w:fldChar w:fldCharType="end"/>
      </w:r>
      <w:r w:rsidRPr="00296D0C">
        <w:rPr>
          <w:rFonts w:cs="Arial"/>
        </w:rPr>
        <w:t>, using data reported for 2012-2014, assuming a cohort of p</w:t>
      </w:r>
      <w:r w:rsidR="00497416">
        <w:rPr>
          <w:rFonts w:cs="Arial"/>
        </w:rPr>
        <w:t xml:space="preserve">eople with a gender ratio 1:1. </w:t>
      </w:r>
    </w:p>
    <w:p w14:paraId="2EA3AAAE" w14:textId="77777777" w:rsidR="00497416" w:rsidRDefault="00497416" w:rsidP="00A72606">
      <w:pPr>
        <w:spacing w:after="0" w:line="360" w:lineRule="auto"/>
        <w:rPr>
          <w:rFonts w:cs="Arial"/>
        </w:rPr>
      </w:pPr>
    </w:p>
    <w:p w14:paraId="0129B930" w14:textId="5AC3472A" w:rsidR="00BA7C6B" w:rsidRPr="00296D0C" w:rsidRDefault="00861557" w:rsidP="00A72606">
      <w:pPr>
        <w:spacing w:after="0" w:line="360" w:lineRule="auto"/>
        <w:rPr>
          <w:rFonts w:cs="Arial"/>
        </w:rPr>
      </w:pPr>
      <w:r w:rsidRPr="00296D0C">
        <w:rPr>
          <w:rFonts w:cs="Arial"/>
        </w:rPr>
        <w:t xml:space="preserve">Data on mortality risks by health condition, where people are in health states defined by the weight-related health events, </w:t>
      </w:r>
      <w:r w:rsidR="00753A03" w:rsidRPr="00296D0C">
        <w:rPr>
          <w:rFonts w:cs="Arial"/>
        </w:rPr>
        <w:t>were</w:t>
      </w:r>
      <w:r w:rsidRPr="00296D0C">
        <w:rPr>
          <w:rFonts w:cs="Arial"/>
        </w:rPr>
        <w:t xml:space="preserve"> informed by a targeted literature search of the published literature.  We search</w:t>
      </w:r>
      <w:r w:rsidR="00753A03" w:rsidRPr="00296D0C">
        <w:rPr>
          <w:rFonts w:cs="Arial"/>
        </w:rPr>
        <w:t>ed</w:t>
      </w:r>
      <w:r w:rsidRPr="00296D0C">
        <w:rPr>
          <w:rFonts w:cs="Arial"/>
        </w:rPr>
        <w:t xml:space="preserve"> the literature using terms for the population of interest (i.e. T2DM, CHD, Stroke, and CRC) with terms for mortality rate, using the MEDLINE database in December 2015.  Table </w:t>
      </w:r>
      <w:r w:rsidR="00A26062" w:rsidRPr="00296D0C">
        <w:rPr>
          <w:rFonts w:cs="Arial"/>
        </w:rPr>
        <w:t>2</w:t>
      </w:r>
      <w:r w:rsidR="0041502B">
        <w:rPr>
          <w:rFonts w:cs="Arial"/>
        </w:rPr>
        <w:t>9</w:t>
      </w:r>
      <w:r w:rsidRPr="00296D0C">
        <w:rPr>
          <w:rFonts w:cs="Arial"/>
        </w:rPr>
        <w:t xml:space="preserve"> presents the data we have used to populate the model on mortality risks for the health events.  For stroke and colorectal cancer we have used a mortality input for year 1 of the event, together with a separate </w:t>
      </w:r>
      <w:r w:rsidRPr="00296D0C">
        <w:rPr>
          <w:rFonts w:cs="Arial"/>
        </w:rPr>
        <w:lastRenderedPageBreak/>
        <w:t xml:space="preserve">mortality parameter for subsequent years in that condition / health state.  This structure on mortality data is consistent with the findings from the literature search. </w:t>
      </w:r>
    </w:p>
    <w:p w14:paraId="1E770376" w14:textId="108E0FF2" w:rsidR="00861557" w:rsidRPr="00296D0C" w:rsidRDefault="00861557" w:rsidP="00861557">
      <w:pPr>
        <w:pStyle w:val="Caption"/>
        <w:spacing w:before="240" w:after="120"/>
        <w:rPr>
          <w:rFonts w:cs="Arial"/>
          <w:b/>
          <w:i w:val="0"/>
          <w:color w:val="auto"/>
          <w:sz w:val="22"/>
          <w:szCs w:val="22"/>
        </w:rPr>
      </w:pPr>
      <w:bookmarkStart w:id="507" w:name="_Toc452020201"/>
      <w:bookmarkStart w:id="508" w:name="_Toc452020306"/>
      <w:r w:rsidRPr="00296D0C">
        <w:rPr>
          <w:rFonts w:cs="Arial"/>
          <w:b/>
          <w:i w:val="0"/>
          <w:color w:val="auto"/>
          <w:sz w:val="22"/>
          <w:szCs w:val="22"/>
        </w:rPr>
        <w:t>T</w:t>
      </w:r>
      <w:r w:rsidR="001A55B7" w:rsidRPr="00296D0C">
        <w:rPr>
          <w:rFonts w:cs="Arial"/>
          <w:b/>
          <w:i w:val="0"/>
          <w:color w:val="auto"/>
          <w:sz w:val="22"/>
          <w:szCs w:val="22"/>
        </w:rPr>
        <w:t>ABLE</w:t>
      </w:r>
      <w:r w:rsidRPr="00296D0C">
        <w:rPr>
          <w:rFonts w:cs="Arial"/>
          <w:b/>
          <w:i w:val="0"/>
          <w:color w:val="auto"/>
          <w:sz w:val="22"/>
          <w:szCs w:val="22"/>
        </w:rPr>
        <w:t xml:space="preserve"> </w:t>
      </w:r>
      <w:r w:rsidR="00A26062" w:rsidRPr="00296D0C">
        <w:rPr>
          <w:rFonts w:cs="Arial"/>
          <w:b/>
          <w:i w:val="0"/>
          <w:color w:val="auto"/>
          <w:sz w:val="22"/>
          <w:szCs w:val="22"/>
        </w:rPr>
        <w:t>2</w:t>
      </w:r>
      <w:r w:rsidR="0041502B">
        <w:rPr>
          <w:rFonts w:cs="Arial"/>
          <w:b/>
          <w:i w:val="0"/>
          <w:color w:val="auto"/>
          <w:sz w:val="22"/>
          <w:szCs w:val="22"/>
        </w:rPr>
        <w:t>9</w:t>
      </w:r>
      <w:r w:rsidRPr="00296D0C">
        <w:rPr>
          <w:rFonts w:cs="Arial"/>
          <w:b/>
          <w:i w:val="0"/>
          <w:color w:val="auto"/>
          <w:sz w:val="22"/>
          <w:szCs w:val="22"/>
        </w:rPr>
        <w:t xml:space="preserve"> Mortality rates by condition of interest</w:t>
      </w:r>
    </w:p>
    <w:tbl>
      <w:tblPr>
        <w:tblW w:w="10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3"/>
        <w:gridCol w:w="1727"/>
        <w:gridCol w:w="5320"/>
      </w:tblGrid>
      <w:tr w:rsidR="00861557" w:rsidRPr="00296D0C" w14:paraId="17DE1724" w14:textId="77777777" w:rsidTr="0077247E">
        <w:trPr>
          <w:trHeight w:val="300"/>
        </w:trPr>
        <w:tc>
          <w:tcPr>
            <w:tcW w:w="3093" w:type="dxa"/>
            <w:shd w:val="clear" w:color="auto" w:fill="auto"/>
          </w:tcPr>
          <w:p w14:paraId="56CC7526" w14:textId="77777777" w:rsidR="00861557" w:rsidRPr="00296D0C" w:rsidRDefault="00861557" w:rsidP="0077247E">
            <w:pPr>
              <w:spacing w:after="0" w:line="240" w:lineRule="auto"/>
              <w:rPr>
                <w:rFonts w:cs="Arial"/>
                <w:b/>
                <w:color w:val="000000"/>
              </w:rPr>
            </w:pPr>
            <w:r w:rsidRPr="00296D0C">
              <w:rPr>
                <w:rFonts w:cs="Arial"/>
                <w:b/>
                <w:color w:val="000000"/>
              </w:rPr>
              <w:t>Health state</w:t>
            </w:r>
          </w:p>
        </w:tc>
        <w:tc>
          <w:tcPr>
            <w:tcW w:w="1727" w:type="dxa"/>
            <w:shd w:val="clear" w:color="auto" w:fill="auto"/>
          </w:tcPr>
          <w:p w14:paraId="7CB70B84" w14:textId="77777777" w:rsidR="00861557" w:rsidRPr="00296D0C" w:rsidRDefault="00861557" w:rsidP="0077247E">
            <w:pPr>
              <w:spacing w:after="0" w:line="240" w:lineRule="auto"/>
              <w:rPr>
                <w:rFonts w:cs="Arial"/>
                <w:b/>
                <w:color w:val="000000"/>
              </w:rPr>
            </w:pPr>
            <w:r w:rsidRPr="00296D0C">
              <w:rPr>
                <w:rFonts w:cs="Arial"/>
                <w:b/>
                <w:color w:val="000000"/>
              </w:rPr>
              <w:t>Annual Mortality Rate</w:t>
            </w:r>
          </w:p>
        </w:tc>
        <w:tc>
          <w:tcPr>
            <w:tcW w:w="5320" w:type="dxa"/>
            <w:shd w:val="clear" w:color="auto" w:fill="auto"/>
          </w:tcPr>
          <w:p w14:paraId="1541C98E" w14:textId="77777777" w:rsidR="00861557" w:rsidRPr="00296D0C" w:rsidRDefault="00861557" w:rsidP="0077247E">
            <w:pPr>
              <w:spacing w:after="0" w:line="240" w:lineRule="auto"/>
              <w:rPr>
                <w:rFonts w:cs="Arial"/>
                <w:b/>
                <w:color w:val="000000"/>
              </w:rPr>
            </w:pPr>
            <w:r w:rsidRPr="00296D0C">
              <w:rPr>
                <w:rFonts w:cs="Arial"/>
                <w:b/>
                <w:color w:val="000000"/>
              </w:rPr>
              <w:t>Source</w:t>
            </w:r>
          </w:p>
        </w:tc>
      </w:tr>
      <w:tr w:rsidR="00861557" w:rsidRPr="00296D0C" w14:paraId="721BE969" w14:textId="77777777" w:rsidTr="0077247E">
        <w:trPr>
          <w:trHeight w:val="300"/>
        </w:trPr>
        <w:tc>
          <w:tcPr>
            <w:tcW w:w="3093" w:type="dxa"/>
            <w:shd w:val="clear" w:color="auto" w:fill="auto"/>
            <w:hideMark/>
          </w:tcPr>
          <w:p w14:paraId="3E2A8FA7" w14:textId="77777777" w:rsidR="00861557" w:rsidRPr="00296D0C" w:rsidRDefault="00861557" w:rsidP="0077247E">
            <w:pPr>
              <w:spacing w:after="0" w:line="240" w:lineRule="auto"/>
              <w:rPr>
                <w:rFonts w:cs="Arial"/>
                <w:color w:val="000000"/>
              </w:rPr>
            </w:pPr>
            <w:r w:rsidRPr="00296D0C">
              <w:rPr>
                <w:rFonts w:cs="Arial"/>
                <w:color w:val="000000"/>
              </w:rPr>
              <w:t>Coronary Heart Disease</w:t>
            </w:r>
          </w:p>
        </w:tc>
        <w:tc>
          <w:tcPr>
            <w:tcW w:w="1727" w:type="dxa"/>
            <w:shd w:val="clear" w:color="auto" w:fill="auto"/>
            <w:hideMark/>
          </w:tcPr>
          <w:p w14:paraId="01D5CFC4" w14:textId="77777777" w:rsidR="00861557" w:rsidRPr="00296D0C" w:rsidRDefault="00861557" w:rsidP="0077247E">
            <w:pPr>
              <w:spacing w:after="0" w:line="240" w:lineRule="auto"/>
              <w:rPr>
                <w:rFonts w:cs="Arial"/>
                <w:color w:val="000000"/>
              </w:rPr>
            </w:pPr>
            <w:bookmarkStart w:id="509" w:name="RANGE!C40"/>
            <w:r w:rsidRPr="00296D0C">
              <w:rPr>
                <w:rFonts w:cs="Arial"/>
                <w:color w:val="000000"/>
              </w:rPr>
              <w:t>0.170</w:t>
            </w:r>
            <w:bookmarkEnd w:id="509"/>
          </w:p>
        </w:tc>
        <w:tc>
          <w:tcPr>
            <w:tcW w:w="5320" w:type="dxa"/>
            <w:shd w:val="clear" w:color="auto" w:fill="auto"/>
            <w:hideMark/>
          </w:tcPr>
          <w:p w14:paraId="02903A5E" w14:textId="6E68952B" w:rsidR="00861557" w:rsidRPr="00296D0C" w:rsidRDefault="00861557" w:rsidP="008C43BF">
            <w:pPr>
              <w:spacing w:after="0" w:line="240" w:lineRule="auto"/>
              <w:rPr>
                <w:rFonts w:cs="Arial"/>
                <w:color w:val="000000"/>
              </w:rPr>
            </w:pPr>
            <w:r w:rsidRPr="00296D0C">
              <w:rPr>
                <w:rFonts w:cs="Arial"/>
                <w:color w:val="000000"/>
              </w:rPr>
              <w:t>Sigurdsson, 1995</w:t>
            </w:r>
            <w:r w:rsidR="00A72606" w:rsidRPr="00296D0C">
              <w:rPr>
                <w:rFonts w:cs="Arial"/>
                <w:color w:val="000000"/>
              </w:rPr>
              <w:t xml:space="preserve"> </w:t>
            </w:r>
            <w:r w:rsidR="004C3048" w:rsidRPr="00296D0C">
              <w:rPr>
                <w:rFonts w:cs="Arial"/>
                <w:color w:val="000000"/>
              </w:rPr>
              <w:fldChar w:fldCharType="begin">
                <w:fldData xml:space="preserve">PEVuZE5vdGU+PENpdGU+PEF1dGhvcj5TaWd1cmRzc29uPC9BdXRob3I+PFllYXI+MTk5NTwvWWVh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</w:fldData>
              </w:fldChar>
            </w:r>
            <w:r w:rsidR="008C43BF">
              <w:rPr>
                <w:rFonts w:cs="Arial"/>
                <w:color w:val="000000"/>
              </w:rPr>
              <w:instrText xml:space="preserve"> ADDIN EN.CITE </w:instrText>
            </w:r>
            <w:r w:rsidR="008C43BF">
              <w:rPr>
                <w:rFonts w:cs="Arial"/>
                <w:color w:val="000000"/>
              </w:rPr>
              <w:fldChar w:fldCharType="begin">
                <w:fldData xml:space="preserve">PEVuZE5vdGU+PENpdGU+PEF1dGhvcj5TaWd1cmRzc29uPC9BdXRob3I+PFllYXI+MTk5NTwvWWVh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</w:fldData>
              </w:fldChar>
            </w:r>
            <w:r w:rsidR="008C43BF">
              <w:rPr>
                <w:rFonts w:cs="Arial"/>
                <w:color w:val="000000"/>
              </w:rPr>
              <w:instrText xml:space="preserve"> ADDIN EN.CITE.DATA </w:instrText>
            </w:r>
            <w:r w:rsidR="008C43BF">
              <w:rPr>
                <w:rFonts w:cs="Arial"/>
                <w:color w:val="000000"/>
              </w:rPr>
            </w:r>
            <w:r w:rsidR="008C43BF">
              <w:rPr>
                <w:rFonts w:cs="Arial"/>
                <w:color w:val="000000"/>
              </w:rPr>
              <w:fldChar w:fldCharType="end"/>
            </w:r>
            <w:r w:rsidR="004C3048" w:rsidRPr="00296D0C">
              <w:rPr>
                <w:rFonts w:cs="Arial"/>
                <w:color w:val="000000"/>
              </w:rPr>
            </w:r>
            <w:r w:rsidR="004C3048" w:rsidRPr="00296D0C">
              <w:rPr>
                <w:rFonts w:cs="Arial"/>
                <w:color w:val="000000"/>
              </w:rPr>
              <w:fldChar w:fldCharType="separate"/>
            </w:r>
            <w:r w:rsidR="008C43BF" w:rsidRPr="008C43BF">
              <w:rPr>
                <w:rFonts w:cs="Arial"/>
                <w:noProof/>
                <w:color w:val="000000"/>
                <w:vertAlign w:val="superscript"/>
              </w:rPr>
              <w:t>90</w:t>
            </w:r>
            <w:r w:rsidR="004C3048" w:rsidRPr="00296D0C">
              <w:rPr>
                <w:rFonts w:cs="Arial"/>
                <w:color w:val="000000"/>
              </w:rPr>
              <w:fldChar w:fldCharType="end"/>
            </w:r>
          </w:p>
        </w:tc>
      </w:tr>
      <w:tr w:rsidR="00861557" w:rsidRPr="00296D0C" w14:paraId="6BF3677D" w14:textId="77777777" w:rsidTr="0077247E">
        <w:trPr>
          <w:trHeight w:val="300"/>
        </w:trPr>
        <w:tc>
          <w:tcPr>
            <w:tcW w:w="3093" w:type="dxa"/>
            <w:shd w:val="clear" w:color="auto" w:fill="auto"/>
            <w:hideMark/>
          </w:tcPr>
          <w:p w14:paraId="33D65A00" w14:textId="77777777" w:rsidR="00861557" w:rsidRPr="00296D0C" w:rsidRDefault="00861557" w:rsidP="0077247E">
            <w:pPr>
              <w:spacing w:after="0" w:line="240" w:lineRule="auto"/>
              <w:rPr>
                <w:rFonts w:cs="Arial"/>
                <w:color w:val="000000"/>
              </w:rPr>
            </w:pPr>
            <w:r w:rsidRPr="00296D0C">
              <w:rPr>
                <w:rFonts w:cs="Arial"/>
                <w:color w:val="000000"/>
              </w:rPr>
              <w:t>Diabetes (T2DM)</w:t>
            </w:r>
          </w:p>
        </w:tc>
        <w:tc>
          <w:tcPr>
            <w:tcW w:w="1727" w:type="dxa"/>
            <w:shd w:val="clear" w:color="auto" w:fill="auto"/>
            <w:hideMark/>
          </w:tcPr>
          <w:p w14:paraId="414783BF" w14:textId="77777777" w:rsidR="00861557" w:rsidRPr="00296D0C" w:rsidRDefault="00861557" w:rsidP="0077247E">
            <w:pPr>
              <w:spacing w:after="0" w:line="240" w:lineRule="auto"/>
              <w:rPr>
                <w:rFonts w:cs="Arial"/>
                <w:color w:val="000000"/>
              </w:rPr>
            </w:pPr>
            <w:bookmarkStart w:id="510" w:name="RANGE!C41"/>
            <w:r w:rsidRPr="00296D0C">
              <w:rPr>
                <w:rFonts w:cs="Arial"/>
                <w:color w:val="000000"/>
              </w:rPr>
              <w:t>0.056</w:t>
            </w:r>
            <w:bookmarkEnd w:id="510"/>
          </w:p>
        </w:tc>
        <w:tc>
          <w:tcPr>
            <w:tcW w:w="5320" w:type="dxa"/>
            <w:shd w:val="clear" w:color="auto" w:fill="auto"/>
            <w:hideMark/>
          </w:tcPr>
          <w:p w14:paraId="6F9616BE" w14:textId="4D6F829F" w:rsidR="00861557" w:rsidRPr="00296D0C" w:rsidRDefault="00861557" w:rsidP="008C43BF">
            <w:pPr>
              <w:spacing w:after="0" w:line="240" w:lineRule="auto"/>
              <w:rPr>
                <w:rFonts w:cs="Arial"/>
                <w:color w:val="000000"/>
              </w:rPr>
            </w:pPr>
            <w:r w:rsidRPr="00296D0C">
              <w:rPr>
                <w:rFonts w:cs="Arial"/>
                <w:color w:val="000000"/>
              </w:rPr>
              <w:t>Roper et al, 2002</w:t>
            </w:r>
            <w:r w:rsidR="00A72606" w:rsidRPr="00296D0C">
              <w:rPr>
                <w:rFonts w:cs="Arial"/>
                <w:color w:val="000000"/>
              </w:rPr>
              <w:t xml:space="preserve"> </w:t>
            </w:r>
            <w:r w:rsidR="004C3048" w:rsidRPr="00296D0C">
              <w:rPr>
                <w:rFonts w:cs="Arial"/>
                <w:color w:val="000000"/>
              </w:rPr>
              <w:fldChar w:fldCharType="begin"/>
            </w:r>
            <w:r w:rsidR="008C43BF">
              <w:rPr>
                <w:rFonts w:cs="Arial"/>
                <w:color w:val="000000"/>
              </w:rPr>
              <w:instrText xml:space="preserve"> ADDIN EN.CITE &lt;EndNote&gt;&lt;Cite&gt;&lt;Author&gt;Roper&lt;/Author&gt;&lt;Year&gt;2002&lt;/Year&gt;&lt;RecNum&gt;5783&lt;/RecNum&gt;&lt;DisplayText&gt;&lt;style face="superscript"&gt;91&lt;/style&gt;&lt;/DisplayText&gt;&lt;record&gt;&lt;rec-number&gt;5783&lt;/rec-number&gt;&lt;foreign-keys&gt;&lt;key app="EN" db-id="2ewa9rrvjsdsawep2vpx5x97eedzzvxx5rta" timestamp="1478700511"&gt;5783&lt;/key&gt;&lt;/foreign-keys&gt;&lt;ref-type name="Journal Article"&gt;17&lt;/ref-type&gt;&lt;contributors&gt;&lt;authors&gt;&lt;author&gt;Roper, N. A.&lt;/author&gt;&lt;author&gt;Bilous, R. W.&lt;/author&gt;&lt;author&gt;Kelly, W. F.&lt;/author&gt;&lt;author&gt;Unwin, N. C.&lt;/author&gt;&lt;author&gt;Connolly, V. M.&lt;/author&gt;&lt;author&gt;South Tees Diabetes Mortality, Study&lt;/author&gt;&lt;/authors&gt;&lt;/contributors&gt;&lt;auth-address&gt;Diabetes Care Centre, Middlesbrough General Hospital, Middlesbrough, UK.&lt;/auth-address&gt;&lt;titles&gt;&lt;title&gt;Cause-specific mortality in a population with diabetes: South Tees Diabetes Mortality Study&lt;/title&gt;&lt;secondary-title&gt;Diabetes Care&lt;/secondary-title&gt;&lt;/titles&gt;&lt;periodical&gt;&lt;full-title&gt;Diabetes Care&lt;/full-title&gt;&lt;abbr-1&gt;Diabetes Care&lt;/abbr-1&gt;&lt;abbr-2&gt;Diabetes Care&lt;/abbr-2&gt;&lt;/periodical&gt;&lt;pages&gt;43-8&lt;/pages&gt;&lt;volume&gt;25&lt;/volume&gt;&lt;number&gt;1&lt;/number&gt;&lt;keywords&gt;&lt;keyword&gt;Adult&lt;/keyword&gt;&lt;keyword&gt;Aged&lt;/keyword&gt;&lt;keyword&gt;Aged, 80 and over&lt;/keyword&gt;&lt;keyword&gt;Cardiovascular Diseases/mortality&lt;/keyword&gt;&lt;keyword&gt;Cause of Death&lt;/keyword&gt;&lt;keyword&gt;Cerebrovascular Disorders/mortality&lt;/keyword&gt;&lt;keyword&gt;Cohort Studies&lt;/keyword&gt;&lt;keyword&gt;*Diabetes Complications&lt;/keyword&gt;&lt;keyword&gt;Diabetes Mellitus/mortality&lt;/keyword&gt;&lt;keyword&gt;Diabetes Mellitus, Type 1/mortality&lt;/keyword&gt;&lt;keyword&gt;Diabetes Mellitus, Type 2/mortality&lt;/keyword&gt;&lt;keyword&gt;Female&lt;/keyword&gt;&lt;keyword&gt;Great Britain/epidemiology&lt;/keyword&gt;&lt;keyword&gt;Humans&lt;/keyword&gt;&lt;keyword&gt;Male&lt;/keyword&gt;&lt;keyword&gt;Middle Aged&lt;/keyword&gt;&lt;keyword&gt;Myocardial Ischemia/mortality&lt;/keyword&gt;&lt;keyword&gt;Sex Factors&lt;/keyword&gt;&lt;/keywords&gt;&lt;dates&gt;&lt;year&gt;2002&lt;/year&gt;&lt;pub-dates&gt;&lt;date&gt;Jan&lt;/date&gt;&lt;/pub-dates&gt;&lt;/dates&gt;&lt;isbn&gt;0149-5992 (Print)&amp;#xD;0149-5992 (Linking)&lt;/isbn&gt;&lt;accession-num&gt;11772899&lt;/accession-num&gt;&lt;urls&gt;&lt;related-urls&gt;&lt;url&gt;https://www.ncbi.nlm.nih.gov/pubmed/11772899&lt;/url&gt;&lt;/related-urls&gt;&lt;/urls&gt;&lt;/record&gt;&lt;/Cite&gt;&lt;/EndNote&gt;</w:instrText>
            </w:r>
            <w:r w:rsidR="004C3048" w:rsidRPr="00296D0C">
              <w:rPr>
                <w:rFonts w:cs="Arial"/>
                <w:color w:val="000000"/>
              </w:rPr>
              <w:fldChar w:fldCharType="separate"/>
            </w:r>
            <w:r w:rsidR="008C43BF" w:rsidRPr="008C43BF">
              <w:rPr>
                <w:rFonts w:cs="Arial"/>
                <w:noProof/>
                <w:color w:val="000000"/>
                <w:vertAlign w:val="superscript"/>
              </w:rPr>
              <w:t>91</w:t>
            </w:r>
            <w:r w:rsidR="004C3048" w:rsidRPr="00296D0C">
              <w:rPr>
                <w:rFonts w:cs="Arial"/>
                <w:color w:val="000000"/>
              </w:rPr>
              <w:fldChar w:fldCharType="end"/>
            </w:r>
          </w:p>
        </w:tc>
      </w:tr>
      <w:tr w:rsidR="00861557" w:rsidRPr="00296D0C" w14:paraId="2CF5E99A" w14:textId="77777777" w:rsidTr="0077247E">
        <w:trPr>
          <w:trHeight w:val="300"/>
        </w:trPr>
        <w:tc>
          <w:tcPr>
            <w:tcW w:w="3093" w:type="dxa"/>
            <w:shd w:val="clear" w:color="auto" w:fill="auto"/>
            <w:hideMark/>
          </w:tcPr>
          <w:p w14:paraId="73D618F9" w14:textId="77777777" w:rsidR="00861557" w:rsidRPr="00296D0C" w:rsidRDefault="00861557" w:rsidP="0077247E">
            <w:pPr>
              <w:spacing w:after="0" w:line="240" w:lineRule="auto"/>
              <w:rPr>
                <w:rFonts w:cs="Arial"/>
                <w:color w:val="000000"/>
              </w:rPr>
            </w:pPr>
            <w:r w:rsidRPr="00296D0C">
              <w:rPr>
                <w:rFonts w:cs="Arial"/>
                <w:color w:val="000000"/>
              </w:rPr>
              <w:t>Stroke - Year 1</w:t>
            </w:r>
          </w:p>
        </w:tc>
        <w:tc>
          <w:tcPr>
            <w:tcW w:w="1727" w:type="dxa"/>
            <w:shd w:val="clear" w:color="auto" w:fill="auto"/>
            <w:hideMark/>
          </w:tcPr>
          <w:p w14:paraId="7788FE51" w14:textId="77777777" w:rsidR="00861557" w:rsidRPr="00296D0C" w:rsidRDefault="00861557" w:rsidP="0077247E">
            <w:pPr>
              <w:spacing w:after="0" w:line="240" w:lineRule="auto"/>
              <w:rPr>
                <w:rFonts w:cs="Arial"/>
                <w:color w:val="000000"/>
              </w:rPr>
            </w:pPr>
            <w:bookmarkStart w:id="511" w:name="RANGE!C42"/>
            <w:r w:rsidRPr="00296D0C">
              <w:rPr>
                <w:rFonts w:cs="Arial"/>
                <w:color w:val="000000"/>
              </w:rPr>
              <w:t>0.370</w:t>
            </w:r>
            <w:bookmarkEnd w:id="511"/>
          </w:p>
        </w:tc>
        <w:tc>
          <w:tcPr>
            <w:tcW w:w="5320" w:type="dxa"/>
            <w:shd w:val="clear" w:color="auto" w:fill="auto"/>
            <w:hideMark/>
          </w:tcPr>
          <w:p w14:paraId="5D915EFD" w14:textId="295C3E85" w:rsidR="00861557" w:rsidRPr="00296D0C" w:rsidRDefault="00861557" w:rsidP="008C43BF">
            <w:pPr>
              <w:spacing w:after="0" w:line="240" w:lineRule="auto"/>
              <w:rPr>
                <w:rFonts w:cs="Arial"/>
                <w:color w:val="000000"/>
              </w:rPr>
            </w:pPr>
            <w:r w:rsidRPr="00296D0C">
              <w:rPr>
                <w:rFonts w:cs="Arial"/>
                <w:color w:val="000000"/>
              </w:rPr>
              <w:t>Hankey et al, 2000</w:t>
            </w:r>
            <w:r w:rsidR="00A72606" w:rsidRPr="00296D0C">
              <w:rPr>
                <w:rFonts w:cs="Arial"/>
                <w:color w:val="000000"/>
              </w:rPr>
              <w:t xml:space="preserve"> </w:t>
            </w:r>
            <w:r w:rsidR="004C3048" w:rsidRPr="00296D0C">
              <w:rPr>
                <w:rFonts w:cs="Arial"/>
                <w:color w:val="000000"/>
              </w:rPr>
              <w:fldChar w:fldCharType="begin"/>
            </w:r>
            <w:r w:rsidR="008C43BF">
              <w:rPr>
                <w:rFonts w:cs="Arial"/>
                <w:color w:val="000000"/>
              </w:rPr>
              <w:instrText xml:space="preserve"> ADDIN EN.CITE &lt;EndNote&gt;&lt;Cite&gt;&lt;Author&gt;Hankey&lt;/Author&gt;&lt;Year&gt;2000&lt;/Year&gt;&lt;RecNum&gt;5784&lt;/RecNum&gt;&lt;DisplayText&gt;&lt;style face="superscript"&gt;92&lt;/style&gt;&lt;/DisplayText&gt;&lt;record&gt;&lt;rec-number&gt;5784&lt;/rec-number&gt;&lt;foreign-keys&gt;&lt;key app="EN" db-id="2ewa9rrvjsdsawep2vpx5x97eedzzvxx5rta" timestamp="1478700619"&gt;5784&lt;/key&gt;&lt;/foreign-keys&gt;&lt;ref-type name="Journal Article"&gt;17&lt;/ref-type&gt;&lt;contributors&gt;&lt;authors&gt;&lt;author&gt;Hankey, G. J.&lt;/author&gt;&lt;author&gt;Jamrozik, K.&lt;/author&gt;&lt;author&gt;Broadhurst, R. J.&lt;/author&gt;&lt;author&gt;Forbes, S.&lt;/author&gt;&lt;author&gt;Burvill, P. W.&lt;/author&gt;&lt;author&gt;Anderson, C. S.&lt;/author&gt;&lt;author&gt;Stewart-Wynne, E. G.&lt;/author&gt;&lt;/authors&gt;&lt;/contributors&gt;&lt;auth-address&gt;Stroke Unit, Department of Neurology, Royal Perth Hospital (Western Australia). gjhankey@cyllene.uwa.edu.au&lt;/auth-address&gt;&lt;titles&gt;&lt;title&gt;Five-year survival after first-ever stroke and related prognostic factors in the Perth Community Stroke Study&lt;/title&gt;&lt;secondary-title&gt;Stroke&lt;/secondary-title&gt;&lt;/titles&gt;&lt;periodical&gt;&lt;full-title&gt;Stroke&lt;/full-title&gt;&lt;abbr-1&gt;Stroke&lt;/abbr-1&gt;&lt;abbr-2&gt;Stroke&lt;/abbr-2&gt;&lt;/periodical&gt;&lt;pages&gt;2080-6&lt;/pages&gt;&lt;volume&gt;31&lt;/volume&gt;&lt;number&gt;9&lt;/number&gt;&lt;keywords&gt;&lt;keyword&gt;Age Factors&lt;/keyword&gt;&lt;keyword&gt;Aged&lt;/keyword&gt;&lt;keyword&gt;Aged, 80 and over&lt;/keyword&gt;&lt;keyword&gt;Australia/epidemiology&lt;/keyword&gt;&lt;keyword&gt;Cardiovascular Diseases/prevention &amp;amp; control&lt;/keyword&gt;&lt;keyword&gt;Cause of Death&lt;/keyword&gt;&lt;keyword&gt;Ethics, Medical&lt;/keyword&gt;&lt;keyword&gt;Female&lt;/keyword&gt;&lt;keyword&gt;Humans&lt;/keyword&gt;&lt;keyword&gt;Male&lt;/keyword&gt;&lt;keyword&gt;Middle Aged&lt;/keyword&gt;&lt;keyword&gt;Neurologic Examination&lt;/keyword&gt;&lt;keyword&gt;Prognosis&lt;/keyword&gt;&lt;keyword&gt;Prospective Studies&lt;/keyword&gt;&lt;keyword&gt;Risk&lt;/keyword&gt;&lt;keyword&gt;Sex Factors&lt;/keyword&gt;&lt;keyword&gt;Stroke/*epidemiology/mortality/pathology&lt;/keyword&gt;&lt;keyword&gt;Survival Analysis&lt;/keyword&gt;&lt;/keywords&gt;&lt;dates&gt;&lt;year&gt;2000&lt;/year&gt;&lt;pub-dates&gt;&lt;date&gt;Sep&lt;/date&gt;&lt;/pub-dates&gt;&lt;/dates&gt;&lt;isbn&gt;1524-4628 (Electronic)&amp;#xD;0039-2499 (Linking)&lt;/isbn&gt;&lt;accession-num&gt;10978033&lt;/accession-num&gt;&lt;urls&gt;&lt;related-urls&gt;&lt;url&gt;https://www.ncbi.nlm.nih.gov/pubmed/10978033&lt;/url&gt;&lt;/related-urls&gt;&lt;/urls&gt;&lt;/record&gt;&lt;/Cite&gt;&lt;/EndNote&gt;</w:instrText>
            </w:r>
            <w:r w:rsidR="004C3048" w:rsidRPr="00296D0C">
              <w:rPr>
                <w:rFonts w:cs="Arial"/>
                <w:color w:val="000000"/>
              </w:rPr>
              <w:fldChar w:fldCharType="separate"/>
            </w:r>
            <w:r w:rsidR="008C43BF" w:rsidRPr="008C43BF">
              <w:rPr>
                <w:rFonts w:cs="Arial"/>
                <w:noProof/>
                <w:color w:val="000000"/>
                <w:vertAlign w:val="superscript"/>
              </w:rPr>
              <w:t>92</w:t>
            </w:r>
            <w:r w:rsidR="004C3048" w:rsidRPr="00296D0C">
              <w:rPr>
                <w:rFonts w:cs="Arial"/>
                <w:color w:val="000000"/>
              </w:rPr>
              <w:fldChar w:fldCharType="end"/>
            </w:r>
          </w:p>
        </w:tc>
      </w:tr>
      <w:tr w:rsidR="00861557" w:rsidRPr="00296D0C" w14:paraId="50E595A8" w14:textId="77777777" w:rsidTr="0077247E">
        <w:trPr>
          <w:trHeight w:val="300"/>
        </w:trPr>
        <w:tc>
          <w:tcPr>
            <w:tcW w:w="3093" w:type="dxa"/>
            <w:shd w:val="clear" w:color="auto" w:fill="auto"/>
            <w:hideMark/>
          </w:tcPr>
          <w:p w14:paraId="710F7CAE" w14:textId="77777777" w:rsidR="00861557" w:rsidRPr="00296D0C" w:rsidRDefault="00861557" w:rsidP="0077247E">
            <w:pPr>
              <w:spacing w:after="0" w:line="240" w:lineRule="auto"/>
              <w:rPr>
                <w:rFonts w:cs="Arial"/>
                <w:color w:val="000000"/>
              </w:rPr>
            </w:pPr>
            <w:r w:rsidRPr="00296D0C">
              <w:rPr>
                <w:rFonts w:cs="Arial"/>
                <w:color w:val="000000"/>
              </w:rPr>
              <w:t>Stroke Subsequent Years</w:t>
            </w:r>
          </w:p>
        </w:tc>
        <w:tc>
          <w:tcPr>
            <w:tcW w:w="1727" w:type="dxa"/>
            <w:shd w:val="clear" w:color="auto" w:fill="auto"/>
            <w:hideMark/>
          </w:tcPr>
          <w:p w14:paraId="7A2F00D7" w14:textId="77777777" w:rsidR="00861557" w:rsidRPr="00296D0C" w:rsidRDefault="00861557" w:rsidP="0077247E">
            <w:pPr>
              <w:spacing w:after="0" w:line="240" w:lineRule="auto"/>
              <w:rPr>
                <w:rFonts w:cs="Arial"/>
                <w:color w:val="000000"/>
              </w:rPr>
            </w:pPr>
            <w:bookmarkStart w:id="512" w:name="RANGE!C43"/>
            <w:r w:rsidRPr="00296D0C">
              <w:rPr>
                <w:rFonts w:cs="Arial"/>
                <w:color w:val="000000"/>
              </w:rPr>
              <w:t>0.100</w:t>
            </w:r>
            <w:bookmarkEnd w:id="512"/>
          </w:p>
        </w:tc>
        <w:tc>
          <w:tcPr>
            <w:tcW w:w="5320" w:type="dxa"/>
            <w:shd w:val="clear" w:color="auto" w:fill="auto"/>
            <w:hideMark/>
          </w:tcPr>
          <w:p w14:paraId="78402C04" w14:textId="6162E88B" w:rsidR="00861557" w:rsidRPr="00296D0C" w:rsidRDefault="00861557" w:rsidP="008C43BF">
            <w:pPr>
              <w:spacing w:after="0" w:line="240" w:lineRule="auto"/>
              <w:rPr>
                <w:rFonts w:cs="Arial"/>
                <w:color w:val="000000"/>
              </w:rPr>
            </w:pPr>
            <w:r w:rsidRPr="00296D0C">
              <w:rPr>
                <w:rFonts w:cs="Arial"/>
                <w:color w:val="000000"/>
              </w:rPr>
              <w:t>Hankey et al., 2000</w:t>
            </w:r>
            <w:r w:rsidR="00A72606" w:rsidRPr="00296D0C">
              <w:rPr>
                <w:rFonts w:cs="Arial"/>
                <w:color w:val="000000"/>
              </w:rPr>
              <w:t xml:space="preserve"> </w:t>
            </w:r>
            <w:r w:rsidR="004C3048" w:rsidRPr="00296D0C">
              <w:rPr>
                <w:rFonts w:cs="Arial"/>
                <w:color w:val="000000"/>
              </w:rPr>
              <w:fldChar w:fldCharType="begin"/>
            </w:r>
            <w:r w:rsidR="008C43BF">
              <w:rPr>
                <w:rFonts w:cs="Arial"/>
                <w:color w:val="000000"/>
              </w:rPr>
              <w:instrText xml:space="preserve"> ADDIN EN.CITE &lt;EndNote&gt;&lt;Cite&gt;&lt;Author&gt;Hankey&lt;/Author&gt;&lt;Year&gt;2000&lt;/Year&gt;&lt;RecNum&gt;5784&lt;/RecNum&gt;&lt;DisplayText&gt;&lt;style face="superscript"&gt;92&lt;/style&gt;&lt;/DisplayText&gt;&lt;record&gt;&lt;rec-number&gt;5784&lt;/rec-number&gt;&lt;foreign-keys&gt;&lt;key app="EN" db-id="2ewa9rrvjsdsawep2vpx5x97eedzzvxx5rta" timestamp="1478700619"&gt;5784&lt;/key&gt;&lt;/foreign-keys&gt;&lt;ref-type name="Journal Article"&gt;17&lt;/ref-type&gt;&lt;contributors&gt;&lt;authors&gt;&lt;author&gt;Hankey, G. J.&lt;/author&gt;&lt;author&gt;Jamrozik, K.&lt;/author&gt;&lt;author&gt;Broadhurst, R. J.&lt;/author&gt;&lt;author&gt;Forbes, S.&lt;/author&gt;&lt;author&gt;Burvill, P. W.&lt;/author&gt;&lt;author&gt;Anderson, C. S.&lt;/author&gt;&lt;author&gt;Stewart-Wynne, E. G.&lt;/author&gt;&lt;/authors&gt;&lt;/contributors&gt;&lt;auth-address&gt;Stroke Unit, Department of Neurology, Royal Perth Hospital (Western Australia). gjhankey@cyllene.uwa.edu.au&lt;/auth-address&gt;&lt;titles&gt;&lt;title&gt;Five-year survival after first-ever stroke and related prognostic factors in the Perth Community Stroke Study&lt;/title&gt;&lt;secondary-title&gt;Stroke&lt;/secondary-title&gt;&lt;/titles&gt;&lt;periodical&gt;&lt;full-title&gt;Stroke&lt;/full-title&gt;&lt;abbr-1&gt;Stroke&lt;/abbr-1&gt;&lt;abbr-2&gt;Stroke&lt;/abbr-2&gt;&lt;/periodical&gt;&lt;pages&gt;2080-6&lt;/pages&gt;&lt;volume&gt;31&lt;/volume&gt;&lt;number&gt;9&lt;/number&gt;&lt;keywords&gt;&lt;keyword&gt;Age Factors&lt;/keyword&gt;&lt;keyword&gt;Aged&lt;/keyword&gt;&lt;keyword&gt;Aged, 80 and over&lt;/keyword&gt;&lt;keyword&gt;Australia/epidemiology&lt;/keyword&gt;&lt;keyword&gt;Cardiovascular Diseases/prevention &amp;amp; control&lt;/keyword&gt;&lt;keyword&gt;Cause of Death&lt;/keyword&gt;&lt;keyword&gt;Ethics, Medical&lt;/keyword&gt;&lt;keyword&gt;Female&lt;/keyword&gt;&lt;keyword&gt;Humans&lt;/keyword&gt;&lt;keyword&gt;Male&lt;/keyword&gt;&lt;keyword&gt;Middle Aged&lt;/keyword&gt;&lt;keyword&gt;Neurologic Examination&lt;/keyword&gt;&lt;keyword&gt;Prognosis&lt;/keyword&gt;&lt;keyword&gt;Prospective Studies&lt;/keyword&gt;&lt;keyword&gt;Risk&lt;/keyword&gt;&lt;keyword&gt;Sex Factors&lt;/keyword&gt;&lt;keyword&gt;Stroke/*epidemiology/mortality/pathology&lt;/keyword&gt;&lt;keyword&gt;Survival Analysis&lt;/keyword&gt;&lt;/keywords&gt;&lt;dates&gt;&lt;year&gt;2000&lt;/year&gt;&lt;pub-dates&gt;&lt;date&gt;Sep&lt;/date&gt;&lt;/pub-dates&gt;&lt;/dates&gt;&lt;isbn&gt;1524-4628 (Electronic)&amp;#xD;0039-2499 (Linking)&lt;/isbn&gt;&lt;accession-num&gt;10978033&lt;/accession-num&gt;&lt;urls&gt;&lt;related-urls&gt;&lt;url&gt;https://www.ncbi.nlm.nih.gov/pubmed/10978033&lt;/url&gt;&lt;/related-urls&gt;&lt;/urls&gt;&lt;/record&gt;&lt;/Cite&gt;&lt;/EndNote&gt;</w:instrText>
            </w:r>
            <w:r w:rsidR="004C3048" w:rsidRPr="00296D0C">
              <w:rPr>
                <w:rFonts w:cs="Arial"/>
                <w:color w:val="000000"/>
              </w:rPr>
              <w:fldChar w:fldCharType="separate"/>
            </w:r>
            <w:r w:rsidR="008C43BF" w:rsidRPr="008C43BF">
              <w:rPr>
                <w:rFonts w:cs="Arial"/>
                <w:noProof/>
                <w:color w:val="000000"/>
                <w:vertAlign w:val="superscript"/>
              </w:rPr>
              <w:t>92</w:t>
            </w:r>
            <w:r w:rsidR="004C3048" w:rsidRPr="00296D0C">
              <w:rPr>
                <w:rFonts w:cs="Arial"/>
                <w:color w:val="000000"/>
              </w:rPr>
              <w:fldChar w:fldCharType="end"/>
            </w:r>
          </w:p>
        </w:tc>
      </w:tr>
      <w:tr w:rsidR="00861557" w:rsidRPr="00296D0C" w14:paraId="5746650E" w14:textId="77777777" w:rsidTr="0077247E">
        <w:trPr>
          <w:trHeight w:val="300"/>
        </w:trPr>
        <w:tc>
          <w:tcPr>
            <w:tcW w:w="3093" w:type="dxa"/>
            <w:shd w:val="clear" w:color="auto" w:fill="auto"/>
            <w:hideMark/>
          </w:tcPr>
          <w:p w14:paraId="12AB1FC8" w14:textId="77777777" w:rsidR="00861557" w:rsidRPr="00296D0C" w:rsidRDefault="00861557" w:rsidP="0077247E">
            <w:pPr>
              <w:spacing w:after="0" w:line="240" w:lineRule="auto"/>
              <w:rPr>
                <w:rFonts w:cs="Arial"/>
                <w:color w:val="000000"/>
              </w:rPr>
            </w:pPr>
            <w:r w:rsidRPr="00296D0C">
              <w:rPr>
                <w:rFonts w:cs="Arial"/>
                <w:color w:val="000000"/>
              </w:rPr>
              <w:t>Colorectal Cancer – Year 1</w:t>
            </w:r>
          </w:p>
        </w:tc>
        <w:tc>
          <w:tcPr>
            <w:tcW w:w="1727" w:type="dxa"/>
            <w:shd w:val="clear" w:color="auto" w:fill="auto"/>
            <w:hideMark/>
          </w:tcPr>
          <w:p w14:paraId="49EEF5A7" w14:textId="77777777" w:rsidR="00861557" w:rsidRPr="00296D0C" w:rsidRDefault="00861557" w:rsidP="0077247E">
            <w:pPr>
              <w:spacing w:after="0" w:line="240" w:lineRule="auto"/>
              <w:rPr>
                <w:rFonts w:cs="Arial"/>
                <w:color w:val="000000"/>
              </w:rPr>
            </w:pPr>
            <w:bookmarkStart w:id="513" w:name="RANGE!C44"/>
            <w:r w:rsidRPr="00296D0C">
              <w:rPr>
                <w:rFonts w:cs="Arial"/>
                <w:color w:val="000000"/>
              </w:rPr>
              <w:t>0.243</w:t>
            </w:r>
            <w:bookmarkEnd w:id="513"/>
          </w:p>
        </w:tc>
        <w:tc>
          <w:tcPr>
            <w:tcW w:w="5320" w:type="dxa"/>
            <w:shd w:val="clear" w:color="auto" w:fill="auto"/>
            <w:hideMark/>
          </w:tcPr>
          <w:p w14:paraId="6F52D1C5" w14:textId="41FA50CD" w:rsidR="00861557" w:rsidRPr="00296D0C" w:rsidRDefault="00861557" w:rsidP="00931E9F">
            <w:pPr>
              <w:spacing w:after="0" w:line="240" w:lineRule="auto"/>
              <w:rPr>
                <w:rFonts w:cs="Arial"/>
                <w:color w:val="000000"/>
              </w:rPr>
            </w:pPr>
            <w:r w:rsidRPr="00296D0C">
              <w:rPr>
                <w:rFonts w:cs="Arial"/>
                <w:color w:val="000000"/>
              </w:rPr>
              <w:t>Bowel Cancer UK Mortality, 2012</w:t>
            </w:r>
            <w:r w:rsidR="004C3048" w:rsidRPr="00296D0C">
              <w:rPr>
                <w:rFonts w:cs="Arial"/>
                <w:color w:val="000000"/>
              </w:rPr>
              <w:t xml:space="preserve"> </w:t>
            </w:r>
            <w:r w:rsidR="004C3048" w:rsidRPr="00296D0C">
              <w:rPr>
                <w:rFonts w:cs="Arial"/>
                <w:color w:val="000000"/>
              </w:rPr>
              <w:fldChar w:fldCharType="begin"/>
            </w:r>
            <w:r w:rsidR="00931E9F">
              <w:rPr>
                <w:rFonts w:cs="Arial"/>
                <w:color w:val="000000"/>
              </w:rPr>
              <w:instrText xml:space="preserve"> ADDIN EN.CITE &lt;EndNote&gt;&lt;Cite&gt;&lt;Author&gt;Bowel Cancer UK&lt;/Author&gt;&lt;Year&gt;2012&lt;/Year&gt;&lt;RecNum&gt;5785&lt;/RecNum&gt;&lt;DisplayText&gt;&lt;style face="superscript"&gt;93&lt;/style&gt;&lt;/DisplayText&gt;&lt;record&gt;&lt;rec-number&gt;5785&lt;/rec-number&gt;&lt;foreign-keys&gt;&lt;key app="EN" db-id="2ewa9rrvjsdsawep2vpx5x97eedzzvxx5rta" timestamp="1478700904"&gt;5785&lt;/key&gt;&lt;/foreign-keys&gt;&lt;ref-type name="Web Page"&gt;12&lt;/ref-type&gt;&lt;contributors&gt;&lt;authors&gt;&lt;author&gt;Bowel Cancer UK,&lt;/author&gt;&lt;/authors&gt;&lt;/contributors&gt;&lt;titles&gt;&lt;title&gt;Bowel cancer survival statistics&lt;/title&gt;&lt;/titles&gt;&lt;number&gt;20 June 2016&lt;/number&gt;&lt;dates&gt;&lt;year&gt;2012&lt;/year&gt;&lt;/dates&gt;&lt;urls&gt;&lt;related-urls&gt;&lt;url&gt;http://www.cancerresearchuk.org/health-professional/cancer-statistics/statistics-by-cancer-type/bowel-cancer/survival&lt;/url&gt;&lt;/related-urls&gt;&lt;/urls&gt;&lt;/record&gt;&lt;/Cite&gt;&lt;/EndNote&gt;</w:instrText>
            </w:r>
            <w:r w:rsidR="004C3048" w:rsidRPr="00296D0C">
              <w:rPr>
                <w:rFonts w:cs="Arial"/>
                <w:color w:val="000000"/>
              </w:rPr>
              <w:fldChar w:fldCharType="separate"/>
            </w:r>
            <w:r w:rsidR="008C43BF" w:rsidRPr="008C43BF">
              <w:rPr>
                <w:rFonts w:cs="Arial"/>
                <w:noProof/>
                <w:color w:val="000000"/>
                <w:vertAlign w:val="superscript"/>
              </w:rPr>
              <w:t>93</w:t>
            </w:r>
            <w:r w:rsidR="004C3048" w:rsidRPr="00296D0C">
              <w:rPr>
                <w:rFonts w:cs="Arial"/>
                <w:color w:val="000000"/>
              </w:rPr>
              <w:fldChar w:fldCharType="end"/>
            </w:r>
          </w:p>
        </w:tc>
      </w:tr>
      <w:tr w:rsidR="00861557" w:rsidRPr="00296D0C" w14:paraId="2F2B5001" w14:textId="77777777" w:rsidTr="0077247E">
        <w:trPr>
          <w:trHeight w:val="300"/>
        </w:trPr>
        <w:tc>
          <w:tcPr>
            <w:tcW w:w="3093" w:type="dxa"/>
            <w:shd w:val="clear" w:color="auto" w:fill="auto"/>
            <w:hideMark/>
          </w:tcPr>
          <w:p w14:paraId="429FB8E8" w14:textId="77777777" w:rsidR="00861557" w:rsidRPr="00296D0C" w:rsidRDefault="00861557" w:rsidP="0077247E">
            <w:pPr>
              <w:spacing w:after="0" w:line="240" w:lineRule="auto"/>
              <w:rPr>
                <w:rFonts w:cs="Arial"/>
                <w:color w:val="000000"/>
              </w:rPr>
            </w:pPr>
            <w:r w:rsidRPr="00296D0C">
              <w:rPr>
                <w:rFonts w:cs="Arial"/>
                <w:color w:val="000000"/>
              </w:rPr>
              <w:t>Colorectal Cancer – Subsequent Years</w:t>
            </w:r>
          </w:p>
        </w:tc>
        <w:tc>
          <w:tcPr>
            <w:tcW w:w="1727" w:type="dxa"/>
            <w:shd w:val="clear" w:color="auto" w:fill="auto"/>
            <w:hideMark/>
          </w:tcPr>
          <w:p w14:paraId="04856890" w14:textId="77777777" w:rsidR="00861557" w:rsidRPr="00296D0C" w:rsidRDefault="00861557" w:rsidP="0077247E">
            <w:pPr>
              <w:spacing w:after="0" w:line="240" w:lineRule="auto"/>
              <w:rPr>
                <w:rFonts w:cs="Arial"/>
                <w:color w:val="000000"/>
              </w:rPr>
            </w:pPr>
            <w:bookmarkStart w:id="514" w:name="RANGE!C45"/>
            <w:r w:rsidRPr="00296D0C">
              <w:rPr>
                <w:rFonts w:cs="Arial"/>
                <w:color w:val="000000"/>
              </w:rPr>
              <w:t>0.080</w:t>
            </w:r>
            <w:bookmarkEnd w:id="514"/>
          </w:p>
        </w:tc>
        <w:tc>
          <w:tcPr>
            <w:tcW w:w="5320" w:type="dxa"/>
            <w:shd w:val="clear" w:color="auto" w:fill="auto"/>
            <w:hideMark/>
          </w:tcPr>
          <w:p w14:paraId="0D090C58" w14:textId="7D35371E" w:rsidR="00861557" w:rsidRPr="00296D0C" w:rsidRDefault="00861557" w:rsidP="00931E9F">
            <w:pPr>
              <w:spacing w:after="0" w:line="240" w:lineRule="auto"/>
              <w:rPr>
                <w:rFonts w:cs="Arial"/>
                <w:color w:val="000000"/>
              </w:rPr>
            </w:pPr>
            <w:r w:rsidRPr="00296D0C">
              <w:rPr>
                <w:rFonts w:cs="Arial"/>
                <w:color w:val="000000"/>
              </w:rPr>
              <w:t>Bowel Cancer UK Mortality, 2012</w:t>
            </w:r>
            <w:r w:rsidR="004C3048" w:rsidRPr="00296D0C">
              <w:rPr>
                <w:rFonts w:cs="Arial"/>
                <w:color w:val="000000"/>
              </w:rPr>
              <w:t xml:space="preserve"> </w:t>
            </w:r>
            <w:r w:rsidR="004C3048" w:rsidRPr="00296D0C">
              <w:rPr>
                <w:rFonts w:cs="Arial"/>
                <w:color w:val="000000"/>
              </w:rPr>
              <w:fldChar w:fldCharType="begin"/>
            </w:r>
            <w:r w:rsidR="00931E9F">
              <w:rPr>
                <w:rFonts w:cs="Arial"/>
                <w:color w:val="000000"/>
              </w:rPr>
              <w:instrText xml:space="preserve"> ADDIN EN.CITE &lt;EndNote&gt;&lt;Cite&gt;&lt;Author&gt;Bowel Cancer UK&lt;/Author&gt;&lt;Year&gt;2012&lt;/Year&gt;&lt;RecNum&gt;5785&lt;/RecNum&gt;&lt;DisplayText&gt;&lt;style face="superscript"&gt;93&lt;/style&gt;&lt;/DisplayText&gt;&lt;record&gt;&lt;rec-number&gt;5785&lt;/rec-number&gt;&lt;foreign-keys&gt;&lt;key app="EN" db-id="2ewa9rrvjsdsawep2vpx5x97eedzzvxx5rta" timestamp="1478700904"&gt;5785&lt;/key&gt;&lt;/foreign-keys&gt;&lt;ref-type name="Web Page"&gt;12&lt;/ref-type&gt;&lt;contributors&gt;&lt;authors&gt;&lt;author&gt;Bowel Cancer UK,&lt;/author&gt;&lt;/authors&gt;&lt;/contributors&gt;&lt;titles&gt;&lt;title&gt;Bowel cancer survival statistics&lt;/title&gt;&lt;/titles&gt;&lt;number&gt;20 June 2016&lt;/number&gt;&lt;dates&gt;&lt;year&gt;2012&lt;/year&gt;&lt;/dates&gt;&lt;urls&gt;&lt;related-urls&gt;&lt;url&gt;http://www.cancerresearchuk.org/health-professional/cancer-statistics/statistics-by-cancer-type/bowel-cancer/survival&lt;/url&gt;&lt;/related-urls&gt;&lt;/urls&gt;&lt;/record&gt;&lt;/Cite&gt;&lt;/EndNote&gt;</w:instrText>
            </w:r>
            <w:r w:rsidR="004C3048" w:rsidRPr="00296D0C">
              <w:rPr>
                <w:rFonts w:cs="Arial"/>
                <w:color w:val="000000"/>
              </w:rPr>
              <w:fldChar w:fldCharType="separate"/>
            </w:r>
            <w:r w:rsidR="008C43BF" w:rsidRPr="008C43BF">
              <w:rPr>
                <w:rFonts w:cs="Arial"/>
                <w:noProof/>
                <w:color w:val="000000"/>
                <w:vertAlign w:val="superscript"/>
              </w:rPr>
              <w:t>93</w:t>
            </w:r>
            <w:r w:rsidR="004C3048" w:rsidRPr="00296D0C">
              <w:rPr>
                <w:rFonts w:cs="Arial"/>
                <w:color w:val="000000"/>
              </w:rPr>
              <w:fldChar w:fldCharType="end"/>
            </w:r>
          </w:p>
        </w:tc>
      </w:tr>
    </w:tbl>
    <w:p w14:paraId="3798CA20" w14:textId="77777777" w:rsidR="000C3DC3" w:rsidRPr="00296D0C" w:rsidRDefault="000C3DC3" w:rsidP="00BA7C6B">
      <w:pPr>
        <w:rPr>
          <w:rFonts w:cs="Arial"/>
          <w:i/>
        </w:rPr>
      </w:pPr>
      <w:bookmarkStart w:id="515" w:name="_Toc452020206"/>
      <w:bookmarkEnd w:id="507"/>
      <w:bookmarkEnd w:id="508"/>
    </w:p>
    <w:p w14:paraId="0F77F139" w14:textId="4D375C0E" w:rsidR="00861557" w:rsidRPr="00497416" w:rsidRDefault="00861557" w:rsidP="00BA7C6B">
      <w:pPr>
        <w:rPr>
          <w:rFonts w:cs="Arial"/>
          <w:u w:val="single"/>
        </w:rPr>
      </w:pPr>
      <w:r w:rsidRPr="00497416">
        <w:rPr>
          <w:rFonts w:cs="Arial"/>
          <w:u w:val="single"/>
        </w:rPr>
        <w:t>Health State Values (QALY-weights)</w:t>
      </w:r>
    </w:p>
    <w:p w14:paraId="076DC5A4" w14:textId="2874EDEF" w:rsidR="00861557" w:rsidRPr="00296D0C" w:rsidRDefault="00861557" w:rsidP="000D0114">
      <w:pPr>
        <w:spacing w:after="0" w:line="360" w:lineRule="auto"/>
        <w:rPr>
          <w:rFonts w:cs="Arial"/>
        </w:rPr>
      </w:pPr>
      <w:r w:rsidRPr="00296D0C">
        <w:rPr>
          <w:rFonts w:cs="Arial"/>
        </w:rPr>
        <w:t>Data used in the model on health state values, to derive QALYs, are reported in Table</w:t>
      </w:r>
      <w:r w:rsidR="00C678CB" w:rsidRPr="00296D0C">
        <w:rPr>
          <w:rFonts w:cs="Arial"/>
        </w:rPr>
        <w:t xml:space="preserve"> </w:t>
      </w:r>
      <w:r w:rsidR="0041502B">
        <w:rPr>
          <w:rFonts w:cs="Arial"/>
        </w:rPr>
        <w:t>30</w:t>
      </w:r>
      <w:r w:rsidRPr="00296D0C">
        <w:rPr>
          <w:rFonts w:cs="Arial"/>
        </w:rPr>
        <w:t>.  The health state value used for the ‘event free’ state (0.86) is based on UK EQ-5D data, consistent with methods guidance from NICE (2013)</w:t>
      </w:r>
      <w:r w:rsidR="004C3048" w:rsidRPr="00296D0C">
        <w:rPr>
          <w:rFonts w:cs="Arial"/>
        </w:rPr>
        <w:t xml:space="preserve"> </w:t>
      </w:r>
      <w:r w:rsidR="004C3048" w:rsidRPr="00296D0C">
        <w:rPr>
          <w:rFonts w:cs="Arial"/>
        </w:rPr>
        <w:fldChar w:fldCharType="begin"/>
      </w:r>
      <w:r w:rsidR="00931E9F">
        <w:rPr>
          <w:rFonts w:cs="Arial"/>
        </w:rPr>
        <w:instrText xml:space="preserve"> ADDIN EN.CITE &lt;EndNote&gt;&lt;Cite&gt;&lt;Author&gt;Excellence&lt;/Author&gt;&lt;Year&gt;2013&lt;/Year&gt;&lt;RecNum&gt;5570&lt;/RecNum&gt;&lt;DisplayText&gt;&lt;style face="superscript"&gt;60&lt;/style&gt;&lt;/DisplayText&gt;&lt;record&gt;&lt;rec-number&gt;5570&lt;/rec-number&gt;&lt;foreign-keys&gt;&lt;key app="EN" db-id="2ewa9rrvjsdsawep2vpx5x97eedzzvxx5rta" timestamp="1452091158"&gt;5570&lt;/key&gt;&lt;/foreign-keys&gt;&lt;ref-type name="Government Document"&gt;46&lt;/ref-type&gt;&lt;contributors&gt;&lt;authors&gt;&lt;author&gt;National Institute for Health and Care Excellence,&lt;/author&gt;&lt;/authors&gt;&lt;/contributors&gt;&lt;titles&gt;&lt;title&gt;NICE Guidelines [PH47] Managing overweight and obesity among children and young people: lifestyle weight management services&lt;/title&gt;&lt;/titles&gt;&lt;dates&gt;&lt;year&gt;2013&lt;/year&gt;&lt;/dates&gt;&lt;urls&gt;&lt;related-urls&gt;&lt;url&gt;http://guidance.nice.org.uk/PH47/Guidance/pdf/English &lt;/url&gt;&lt;/related-urls&gt;&lt;/urls&gt;&lt;access-date&gt;14 June 2016&lt;/access-date&gt;&lt;/record&gt;&lt;/Cite&gt;&lt;/EndNote&gt;</w:instrText>
      </w:r>
      <w:r w:rsidR="004C3048" w:rsidRPr="00296D0C">
        <w:rPr>
          <w:rFonts w:cs="Arial"/>
        </w:rPr>
        <w:fldChar w:fldCharType="separate"/>
      </w:r>
      <w:r w:rsidR="008C43BF" w:rsidRPr="008C43BF">
        <w:rPr>
          <w:rFonts w:cs="Arial"/>
          <w:noProof/>
          <w:vertAlign w:val="superscript"/>
        </w:rPr>
        <w:t>60</w:t>
      </w:r>
      <w:r w:rsidR="004C3048" w:rsidRPr="00296D0C">
        <w:rPr>
          <w:rFonts w:cs="Arial"/>
        </w:rPr>
        <w:fldChar w:fldCharType="end"/>
      </w:r>
      <w:r w:rsidRPr="00296D0C">
        <w:rPr>
          <w:rFonts w:cs="Arial"/>
        </w:rPr>
        <w:t xml:space="preserve">, and is the general population mean health state value </w:t>
      </w:r>
      <w:r w:rsidR="000D0114" w:rsidRPr="00296D0C">
        <w:rPr>
          <w:rFonts w:cs="Arial"/>
        </w:rPr>
        <w:t>reported by Kind et al</w:t>
      </w:r>
      <w:r w:rsidR="00916192" w:rsidRPr="00296D0C">
        <w:rPr>
          <w:rFonts w:cs="Arial"/>
        </w:rPr>
        <w:t xml:space="preserve">., </w:t>
      </w:r>
      <w:r w:rsidR="000D0114" w:rsidRPr="00296D0C">
        <w:rPr>
          <w:rFonts w:cs="Arial"/>
        </w:rPr>
        <w:t>1999</w:t>
      </w:r>
      <w:r w:rsidR="004C3048" w:rsidRPr="00296D0C">
        <w:rPr>
          <w:rFonts w:cs="Arial"/>
        </w:rPr>
        <w:t xml:space="preserve"> </w:t>
      </w:r>
      <w:r w:rsidR="004C3048" w:rsidRPr="00296D0C">
        <w:rPr>
          <w:rFonts w:cs="Arial"/>
        </w:rPr>
        <w:fldChar w:fldCharType="begin"/>
      </w:r>
      <w:r w:rsidR="008C43BF">
        <w:rPr>
          <w:rFonts w:cs="Arial"/>
        </w:rPr>
        <w:instrText xml:space="preserve"> ADDIN EN.CITE &lt;EndNote&gt;&lt;Cite&gt;&lt;Author&gt;Kind&lt;/Author&gt;&lt;Year&gt;1999&lt;/Year&gt;&lt;RecNum&gt;5748&lt;/RecNum&gt;&lt;DisplayText&gt;&lt;style face="superscript"&gt;94&lt;/style&gt;&lt;/DisplayText&gt;&lt;record&gt;&lt;rec-number&gt;5748&lt;/rec-number&gt;&lt;foreign-keys&gt;&lt;key app="EN" db-id="2ewa9rrvjsdsawep2vpx5x97eedzzvxx5rta" timestamp="1478679952"&gt;5748&lt;/key&gt;&lt;/foreign-keys&gt;&lt;ref-type name="Report"&gt;27&lt;/ref-type&gt;&lt;contributors&gt;&lt;authors&gt;&lt;author&gt;Kind, P.&lt;/author&gt;&lt;author&gt;Hardman, G.&lt;/author&gt;&lt;author&gt;Macran, S.&lt;/author&gt;&lt;/authors&gt;&lt;/contributors&gt;&lt;titles&gt;&lt;title&gt;UK Population Norms for EQ-5D&lt;/title&gt;&lt;/titles&gt;&lt;dates&gt;&lt;year&gt;1999&lt;/year&gt;&lt;/dates&gt;&lt;pub-location&gt;York&lt;/pub-location&gt;&lt;publisher&gt;University of York&lt;/publisher&gt;&lt;urls&gt;&lt;/urls&gt;&lt;/record&gt;&lt;/Cite&gt;&lt;/EndNote&gt;</w:instrText>
      </w:r>
      <w:r w:rsidR="004C3048" w:rsidRPr="00296D0C">
        <w:rPr>
          <w:rFonts w:cs="Arial"/>
        </w:rPr>
        <w:fldChar w:fldCharType="separate"/>
      </w:r>
      <w:r w:rsidR="008C43BF" w:rsidRPr="008C43BF">
        <w:rPr>
          <w:rFonts w:cs="Arial"/>
          <w:noProof/>
          <w:vertAlign w:val="superscript"/>
        </w:rPr>
        <w:t>94</w:t>
      </w:r>
      <w:r w:rsidR="004C3048" w:rsidRPr="00296D0C">
        <w:rPr>
          <w:rFonts w:cs="Arial"/>
        </w:rPr>
        <w:fldChar w:fldCharType="end"/>
      </w:r>
      <w:r w:rsidR="000D0114" w:rsidRPr="00296D0C">
        <w:rPr>
          <w:rFonts w:cs="Arial"/>
        </w:rPr>
        <w:t xml:space="preserve">. </w:t>
      </w:r>
      <w:r w:rsidRPr="00296D0C">
        <w:rPr>
          <w:rFonts w:cs="Arial"/>
        </w:rPr>
        <w:t xml:space="preserve">Data inputs for other model states were based </w:t>
      </w:r>
      <w:r w:rsidR="00753A03" w:rsidRPr="00296D0C">
        <w:rPr>
          <w:rFonts w:cs="Arial"/>
        </w:rPr>
        <w:t xml:space="preserve">on </w:t>
      </w:r>
      <w:r w:rsidRPr="00296D0C">
        <w:rPr>
          <w:rFonts w:cs="Arial"/>
        </w:rPr>
        <w:t>a literature review, to identify published systematic reviews reporting health state values (utilities) associated with the health states (events, conditions) used in the model.  The search method involved targeted keyword searching in MEDLINE (December 2015) for coronary heart disease, type 2 diabetes mellitus, stroke, and colorectal cancer. Terms for health state values (“health state value$” and “EQ-5D” and “EQ5D”) were combined with terms for the specified conditions of interest. A filter was applied to the searches to identify systematic reviews (review or “systematic review” or “literature review” or meta$).  In addition, we used the data reported in the model-based economic evaluations for obesity identified earlier (Table</w:t>
      </w:r>
      <w:r w:rsidR="00C678CB" w:rsidRPr="00296D0C">
        <w:rPr>
          <w:rFonts w:cs="Arial"/>
        </w:rPr>
        <w:t xml:space="preserve"> </w:t>
      </w:r>
      <w:r w:rsidR="001A55B7" w:rsidRPr="00296D0C">
        <w:rPr>
          <w:rFonts w:cs="Arial"/>
        </w:rPr>
        <w:t>2</w:t>
      </w:r>
      <w:r w:rsidR="0041502B">
        <w:rPr>
          <w:rFonts w:cs="Arial"/>
        </w:rPr>
        <w:t>5</w:t>
      </w:r>
      <w:r w:rsidR="000D0114" w:rsidRPr="00296D0C">
        <w:rPr>
          <w:rFonts w:cs="Arial"/>
        </w:rPr>
        <w:t xml:space="preserve">). </w:t>
      </w:r>
      <w:r w:rsidRPr="00296D0C">
        <w:rPr>
          <w:rFonts w:cs="Arial"/>
        </w:rPr>
        <w:t xml:space="preserve">In considering the appropriateness of the identified health state values, the following attributes were taken into account: the population describing the health state (e.g. age, sex, disease severity); utility value elicitation technique e.g. time trade-off, standard gamble, visual analogue score; sample size; and, country.  Further detail on the literature identified is presented below.  Data used in the model for health state values are broadly in line with published estimates used in other public health modelling contexts (e.g. see studies reported in Table </w:t>
      </w:r>
      <w:r w:rsidR="00A26062" w:rsidRPr="00296D0C">
        <w:rPr>
          <w:rFonts w:cs="Arial"/>
        </w:rPr>
        <w:t>2</w:t>
      </w:r>
      <w:r w:rsidR="0041502B">
        <w:rPr>
          <w:rFonts w:cs="Arial"/>
        </w:rPr>
        <w:t>6</w:t>
      </w:r>
      <w:r w:rsidRPr="00296D0C">
        <w:rPr>
          <w:rFonts w:cs="Arial"/>
        </w:rPr>
        <w:t xml:space="preserve">).  </w:t>
      </w:r>
    </w:p>
    <w:p w14:paraId="1943E552" w14:textId="77777777" w:rsidR="00861557" w:rsidRPr="00296D0C" w:rsidRDefault="00861557" w:rsidP="00861557">
      <w:pPr>
        <w:rPr>
          <w:rFonts w:cs="Arial"/>
          <w:b/>
        </w:rPr>
      </w:pPr>
      <w:r w:rsidRPr="00296D0C">
        <w:rPr>
          <w:rFonts w:cs="Arial"/>
        </w:rPr>
        <w:br w:type="page"/>
      </w:r>
    </w:p>
    <w:p w14:paraId="5CC12BDE" w14:textId="1B33CC55" w:rsidR="00861557" w:rsidRPr="00296D0C" w:rsidRDefault="00861557" w:rsidP="00861557">
      <w:pPr>
        <w:pStyle w:val="Caption"/>
        <w:spacing w:after="0" w:line="360" w:lineRule="auto"/>
        <w:rPr>
          <w:rFonts w:cs="Arial"/>
          <w:b/>
          <w:i w:val="0"/>
          <w:color w:val="auto"/>
          <w:sz w:val="22"/>
          <w:szCs w:val="22"/>
        </w:rPr>
      </w:pPr>
      <w:r w:rsidRPr="00296D0C">
        <w:rPr>
          <w:rFonts w:cs="Arial"/>
          <w:b/>
          <w:i w:val="0"/>
          <w:color w:val="auto"/>
          <w:sz w:val="22"/>
          <w:szCs w:val="22"/>
        </w:rPr>
        <w:lastRenderedPageBreak/>
        <w:t>T</w:t>
      </w:r>
      <w:r w:rsidR="00916192" w:rsidRPr="00296D0C">
        <w:rPr>
          <w:rFonts w:cs="Arial"/>
          <w:b/>
          <w:i w:val="0"/>
          <w:color w:val="auto"/>
          <w:sz w:val="22"/>
          <w:szCs w:val="22"/>
        </w:rPr>
        <w:t>ABLE</w:t>
      </w:r>
      <w:r w:rsidRPr="00296D0C">
        <w:rPr>
          <w:rFonts w:cs="Arial"/>
          <w:b/>
          <w:i w:val="0"/>
          <w:color w:val="auto"/>
          <w:sz w:val="22"/>
          <w:szCs w:val="22"/>
        </w:rPr>
        <w:t xml:space="preserve"> </w:t>
      </w:r>
      <w:r w:rsidR="0041502B">
        <w:rPr>
          <w:rFonts w:cs="Arial"/>
          <w:b/>
          <w:i w:val="0"/>
          <w:color w:val="auto"/>
          <w:sz w:val="22"/>
          <w:szCs w:val="22"/>
        </w:rPr>
        <w:t>30</w:t>
      </w:r>
      <w:r w:rsidRPr="00296D0C">
        <w:rPr>
          <w:rFonts w:cs="Arial"/>
          <w:b/>
          <w:i w:val="0"/>
          <w:color w:val="auto"/>
          <w:sz w:val="22"/>
          <w:szCs w:val="22"/>
        </w:rPr>
        <w:t xml:space="preserve"> Health state values</w:t>
      </w:r>
    </w:p>
    <w:tbl>
      <w:tblPr>
        <w:tblStyle w:val="TableGrid"/>
        <w:tblW w:w="0" w:type="auto"/>
        <w:tblInd w:w="221" w:type="dxa"/>
        <w:tblLook w:val="04A0" w:firstRow="1" w:lastRow="0" w:firstColumn="1" w:lastColumn="0" w:noHBand="0" w:noVBand="1"/>
      </w:tblPr>
      <w:tblGrid>
        <w:gridCol w:w="2862"/>
        <w:gridCol w:w="6"/>
        <w:gridCol w:w="2967"/>
        <w:gridCol w:w="2960"/>
      </w:tblGrid>
      <w:tr w:rsidR="00861557" w:rsidRPr="00296D0C" w14:paraId="0A106448" w14:textId="77777777" w:rsidTr="00BA7C6B">
        <w:trPr>
          <w:trHeight w:val="323"/>
        </w:trPr>
        <w:tc>
          <w:tcPr>
            <w:tcW w:w="2862" w:type="dxa"/>
          </w:tcPr>
          <w:p w14:paraId="79BCBC83" w14:textId="77777777" w:rsidR="00861557" w:rsidRPr="00296D0C" w:rsidRDefault="00861557" w:rsidP="0077247E">
            <w:pPr>
              <w:rPr>
                <w:rFonts w:cs="Arial"/>
                <w:b/>
              </w:rPr>
            </w:pPr>
            <w:r w:rsidRPr="00296D0C">
              <w:rPr>
                <w:rFonts w:cs="Arial"/>
                <w:b/>
              </w:rPr>
              <w:t>Health state</w:t>
            </w:r>
          </w:p>
        </w:tc>
        <w:tc>
          <w:tcPr>
            <w:tcW w:w="2974" w:type="dxa"/>
            <w:gridSpan w:val="2"/>
          </w:tcPr>
          <w:p w14:paraId="5898D7C3" w14:textId="77777777" w:rsidR="00861557" w:rsidRPr="00296D0C" w:rsidRDefault="00861557" w:rsidP="0077247E">
            <w:pPr>
              <w:rPr>
                <w:rFonts w:cs="Arial"/>
                <w:b/>
              </w:rPr>
            </w:pPr>
            <w:r w:rsidRPr="00296D0C">
              <w:rPr>
                <w:rFonts w:cs="Arial"/>
                <w:b/>
              </w:rPr>
              <w:t>Parameter value, Mean (SD)</w:t>
            </w:r>
          </w:p>
        </w:tc>
        <w:tc>
          <w:tcPr>
            <w:tcW w:w="2959" w:type="dxa"/>
          </w:tcPr>
          <w:p w14:paraId="7A9A3C83" w14:textId="77777777" w:rsidR="00861557" w:rsidRPr="00296D0C" w:rsidRDefault="00861557" w:rsidP="0077247E">
            <w:pPr>
              <w:rPr>
                <w:rFonts w:cs="Arial"/>
                <w:b/>
              </w:rPr>
            </w:pPr>
            <w:r w:rsidRPr="00296D0C">
              <w:rPr>
                <w:rFonts w:cs="Arial"/>
                <w:b/>
              </w:rPr>
              <w:t>Source</w:t>
            </w:r>
          </w:p>
        </w:tc>
      </w:tr>
      <w:tr w:rsidR="00861557" w:rsidRPr="00296D0C" w14:paraId="50FFC691" w14:textId="77777777" w:rsidTr="00BA7C6B">
        <w:trPr>
          <w:trHeight w:val="323"/>
        </w:trPr>
        <w:tc>
          <w:tcPr>
            <w:tcW w:w="2868" w:type="dxa"/>
            <w:gridSpan w:val="2"/>
          </w:tcPr>
          <w:p w14:paraId="31E3C6D8" w14:textId="2387702A" w:rsidR="00861557" w:rsidRPr="00296D0C" w:rsidRDefault="00C678CB" w:rsidP="0077247E">
            <w:pPr>
              <w:rPr>
                <w:rFonts w:cs="Arial"/>
              </w:rPr>
            </w:pPr>
            <w:r w:rsidRPr="00296D0C">
              <w:br w:type="page"/>
            </w:r>
            <w:r w:rsidR="00861557" w:rsidRPr="00296D0C">
              <w:rPr>
                <w:rFonts w:cs="Arial"/>
              </w:rPr>
              <w:t>Event-free</w:t>
            </w:r>
          </w:p>
        </w:tc>
        <w:tc>
          <w:tcPr>
            <w:tcW w:w="2966" w:type="dxa"/>
          </w:tcPr>
          <w:p w14:paraId="0A501826" w14:textId="77777777" w:rsidR="00861557" w:rsidRPr="00296D0C" w:rsidRDefault="00861557" w:rsidP="0077247E">
            <w:pPr>
              <w:rPr>
                <w:rFonts w:cs="Arial"/>
              </w:rPr>
            </w:pPr>
            <w:r w:rsidRPr="00296D0C">
              <w:rPr>
                <w:rFonts w:cs="Arial"/>
              </w:rPr>
              <w:t>0.86 (0.23)</w:t>
            </w:r>
          </w:p>
        </w:tc>
        <w:tc>
          <w:tcPr>
            <w:tcW w:w="2961" w:type="dxa"/>
          </w:tcPr>
          <w:p w14:paraId="3DBB2ED0" w14:textId="289C97FC" w:rsidR="00861557" w:rsidRPr="00296D0C" w:rsidRDefault="00861557" w:rsidP="008C43BF">
            <w:pPr>
              <w:rPr>
                <w:rFonts w:cs="Arial"/>
              </w:rPr>
            </w:pPr>
            <w:r w:rsidRPr="00296D0C">
              <w:rPr>
                <w:rFonts w:cs="Arial"/>
              </w:rPr>
              <w:t>Kind et al., 1999</w:t>
            </w:r>
            <w:r w:rsidR="004C3048" w:rsidRPr="00296D0C">
              <w:rPr>
                <w:rFonts w:cs="Arial"/>
              </w:rPr>
              <w:t xml:space="preserve"> </w:t>
            </w:r>
            <w:r w:rsidR="004C3048" w:rsidRPr="00296D0C">
              <w:rPr>
                <w:rFonts w:cs="Arial"/>
              </w:rPr>
              <w:fldChar w:fldCharType="begin"/>
            </w:r>
            <w:r w:rsidR="008C43BF">
              <w:rPr>
                <w:rFonts w:cs="Arial"/>
              </w:rPr>
              <w:instrText xml:space="preserve"> ADDIN EN.CITE &lt;EndNote&gt;&lt;Cite&gt;&lt;Author&gt;Kind&lt;/Author&gt;&lt;Year&gt;1999&lt;/Year&gt;&lt;RecNum&gt;5748&lt;/RecNum&gt;&lt;DisplayText&gt;&lt;style face="superscript"&gt;94&lt;/style&gt;&lt;/DisplayText&gt;&lt;record&gt;&lt;rec-number&gt;5748&lt;/rec-number&gt;&lt;foreign-keys&gt;&lt;key app="EN" db-id="2ewa9rrvjsdsawep2vpx5x97eedzzvxx5rta" timestamp="1478679952"&gt;5748&lt;/key&gt;&lt;/foreign-keys&gt;&lt;ref-type name="Report"&gt;27&lt;/ref-type&gt;&lt;contributors&gt;&lt;authors&gt;&lt;author&gt;Kind, P.&lt;/author&gt;&lt;author&gt;Hardman, G.&lt;/author&gt;&lt;author&gt;Macran, S.&lt;/author&gt;&lt;/authors&gt;&lt;/contributors&gt;&lt;titles&gt;&lt;title&gt;UK Population Norms for EQ-5D&lt;/title&gt;&lt;/titles&gt;&lt;dates&gt;&lt;year&gt;1999&lt;/year&gt;&lt;/dates&gt;&lt;pub-location&gt;York&lt;/pub-location&gt;&lt;publisher&gt;University of York&lt;/publisher&gt;&lt;urls&gt;&lt;/urls&gt;&lt;/record&gt;&lt;/Cite&gt;&lt;/EndNote&gt;</w:instrText>
            </w:r>
            <w:r w:rsidR="004C3048" w:rsidRPr="00296D0C">
              <w:rPr>
                <w:rFonts w:cs="Arial"/>
              </w:rPr>
              <w:fldChar w:fldCharType="separate"/>
            </w:r>
            <w:r w:rsidR="008C43BF" w:rsidRPr="008C43BF">
              <w:rPr>
                <w:rFonts w:cs="Arial"/>
                <w:noProof/>
                <w:vertAlign w:val="superscript"/>
              </w:rPr>
              <w:t>94</w:t>
            </w:r>
            <w:r w:rsidR="004C3048" w:rsidRPr="00296D0C">
              <w:rPr>
                <w:rFonts w:cs="Arial"/>
              </w:rPr>
              <w:fldChar w:fldCharType="end"/>
            </w:r>
          </w:p>
        </w:tc>
      </w:tr>
      <w:tr w:rsidR="00861557" w:rsidRPr="00296D0C" w14:paraId="4985D882" w14:textId="77777777" w:rsidTr="00BA7C6B">
        <w:trPr>
          <w:trHeight w:val="323"/>
        </w:trPr>
        <w:tc>
          <w:tcPr>
            <w:tcW w:w="2868" w:type="dxa"/>
            <w:gridSpan w:val="2"/>
          </w:tcPr>
          <w:p w14:paraId="7F717CD1" w14:textId="77777777" w:rsidR="00861557" w:rsidRPr="00296D0C" w:rsidRDefault="00861557" w:rsidP="0077247E">
            <w:pPr>
              <w:rPr>
                <w:rFonts w:cs="Arial"/>
              </w:rPr>
            </w:pPr>
            <w:r w:rsidRPr="00296D0C">
              <w:rPr>
                <w:rFonts w:cs="Arial"/>
              </w:rPr>
              <w:t>Type 2 diabetes mellitus</w:t>
            </w:r>
          </w:p>
        </w:tc>
        <w:tc>
          <w:tcPr>
            <w:tcW w:w="2966" w:type="dxa"/>
          </w:tcPr>
          <w:p w14:paraId="3FCE5D74" w14:textId="77777777" w:rsidR="00861557" w:rsidRPr="00296D0C" w:rsidRDefault="00861557" w:rsidP="0077247E">
            <w:pPr>
              <w:rPr>
                <w:rFonts w:cs="Arial"/>
              </w:rPr>
            </w:pPr>
            <w:r w:rsidRPr="00296D0C">
              <w:rPr>
                <w:rFonts w:cs="Arial"/>
              </w:rPr>
              <w:t>0.78 (0.77)</w:t>
            </w:r>
          </w:p>
        </w:tc>
        <w:tc>
          <w:tcPr>
            <w:tcW w:w="2961" w:type="dxa"/>
          </w:tcPr>
          <w:p w14:paraId="6AE40AF9" w14:textId="582CCD47" w:rsidR="00861557" w:rsidRPr="00296D0C" w:rsidRDefault="00861557" w:rsidP="008C43BF">
            <w:pPr>
              <w:rPr>
                <w:rFonts w:cs="Arial"/>
              </w:rPr>
            </w:pPr>
            <w:r w:rsidRPr="00296D0C">
              <w:rPr>
                <w:rFonts w:cs="Arial"/>
              </w:rPr>
              <w:t>Clarke et al., 2002</w:t>
            </w:r>
            <w:r w:rsidR="004C3048" w:rsidRPr="00296D0C">
              <w:rPr>
                <w:rFonts w:cs="Arial"/>
              </w:rPr>
              <w:t xml:space="preserve"> </w:t>
            </w:r>
            <w:r w:rsidR="004C3048" w:rsidRPr="00296D0C">
              <w:rPr>
                <w:rFonts w:cs="Arial"/>
              </w:rPr>
              <w:fldChar w:fldCharType="begin"/>
            </w:r>
            <w:r w:rsidR="008C43BF">
              <w:rPr>
                <w:rFonts w:cs="Arial"/>
              </w:rPr>
              <w:instrText xml:space="preserve"> ADDIN EN.CITE &lt;EndNote&gt;&lt;Cite&gt;&lt;Author&gt;Clarke&lt;/Author&gt;&lt;Year&gt;2002&lt;/Year&gt;&lt;RecNum&gt;5734&lt;/RecNum&gt;&lt;DisplayText&gt;&lt;style face="superscript"&gt;95&lt;/style&gt;&lt;/DisplayText&gt;&lt;record&gt;&lt;rec-number&gt;5734&lt;/rec-number&gt;&lt;foreign-keys&gt;&lt;key app="EN" db-id="2ewa9rrvjsdsawep2vpx5x97eedzzvxx5rta" timestamp="1478679952"&gt;5734&lt;/key&gt;&lt;/foreign-keys&gt;&lt;ref-type name="Journal Article"&gt;17&lt;/ref-type&gt;&lt;contributors&gt;&lt;authors&gt;&lt;author&gt;Clarke, P.&lt;/author&gt;&lt;author&gt;Gray, A.&lt;/author&gt;&lt;author&gt;Holman, R.&lt;/author&gt;&lt;/authors&gt;&lt;/contributors&gt;&lt;auth-address&gt;philip.clarke@dphpc.ox.ac.uk&lt;/auth-address&gt;&lt;titles&gt;&lt;title&gt;Estimating utility values for health states of type 2 diabetic patients using the EQ-5D (UKPDS 62)&lt;/title&gt;&lt;secondary-title&gt;Med Decis Making&lt;/secondary-title&gt;&lt;/titles&gt;&lt;periodical&gt;&lt;full-title&gt;Medical Decision Making&lt;/full-title&gt;&lt;abbr-1&gt;Med. Decis. Making&lt;/abbr-1&gt;&lt;abbr-2&gt;Med Decis Making&lt;/abbr-2&gt;&lt;/periodical&gt;&lt;pages&gt;340-9&lt;/pages&gt;&lt;volume&gt;22&lt;/volume&gt;&lt;number&gt;4&lt;/number&gt;&lt;keywords&gt;&lt;keyword&gt;Adolescent&lt;/keyword&gt;&lt;keyword&gt;Child&lt;/keyword&gt;&lt;keyword&gt;Diabetes Mellitus, Type 2/*complications/psychology&lt;/keyword&gt;&lt;keyword&gt;Female&lt;/keyword&gt;&lt;keyword&gt;Great Britain&lt;/keyword&gt;&lt;keyword&gt;Humans&lt;/keyword&gt;&lt;keyword&gt;Male&lt;/keyword&gt;&lt;keyword&gt;Outcome Assessment (Health Care)&lt;/keyword&gt;&lt;keyword&gt;Pain Measurement&lt;/keyword&gt;&lt;keyword&gt;Prospective Studies&lt;/keyword&gt;&lt;keyword&gt;Quality of Life/*psychology&lt;/keyword&gt;&lt;keyword&gt;Regression Analysis&lt;/keyword&gt;&lt;keyword&gt;*Sickness Impact Profile&lt;/keyword&gt;&lt;keyword&gt;Surveys and Questionnaires&lt;/keyword&gt;&lt;/keywords&gt;&lt;dates&gt;&lt;year&gt;2002&lt;/year&gt;&lt;pub-dates&gt;&lt;date&gt;Jul-Aug&lt;/date&gt;&lt;/pub-dates&gt;&lt;/dates&gt;&lt;isbn&gt;0272-989X (Print)&amp;#xD;0272-989X (Linking)&lt;/isbn&gt;&lt;accession-num&gt;12150599&lt;/accession-num&gt;&lt;urls&gt;&lt;related-urls&gt;&lt;url&gt;http://www.ncbi.nlm.nih.gov/pubmed/12150599&lt;/url&gt;&lt;/related-urls&gt;&lt;/urls&gt;&lt;/record&gt;&lt;/Cite&gt;&lt;/EndNote&gt;</w:instrText>
            </w:r>
            <w:r w:rsidR="004C3048" w:rsidRPr="00296D0C">
              <w:rPr>
                <w:rFonts w:cs="Arial"/>
              </w:rPr>
              <w:fldChar w:fldCharType="separate"/>
            </w:r>
            <w:r w:rsidR="008C43BF" w:rsidRPr="008C43BF">
              <w:rPr>
                <w:rFonts w:cs="Arial"/>
                <w:noProof/>
                <w:vertAlign w:val="superscript"/>
              </w:rPr>
              <w:t>95</w:t>
            </w:r>
            <w:r w:rsidR="004C3048" w:rsidRPr="00296D0C">
              <w:rPr>
                <w:rFonts w:cs="Arial"/>
              </w:rPr>
              <w:fldChar w:fldCharType="end"/>
            </w:r>
          </w:p>
        </w:tc>
      </w:tr>
      <w:tr w:rsidR="00861557" w:rsidRPr="00296D0C" w14:paraId="0A446E60" w14:textId="77777777" w:rsidTr="00BA7C6B">
        <w:trPr>
          <w:trHeight w:val="323"/>
        </w:trPr>
        <w:tc>
          <w:tcPr>
            <w:tcW w:w="2868" w:type="dxa"/>
            <w:gridSpan w:val="2"/>
          </w:tcPr>
          <w:p w14:paraId="2ECFDC5A" w14:textId="77777777" w:rsidR="00861557" w:rsidRPr="00296D0C" w:rsidRDefault="00861557" w:rsidP="0077247E">
            <w:pPr>
              <w:rPr>
                <w:rFonts w:cs="Arial"/>
              </w:rPr>
            </w:pPr>
            <w:r w:rsidRPr="00296D0C">
              <w:rPr>
                <w:rFonts w:cs="Arial"/>
              </w:rPr>
              <w:t>Coronary heart disease</w:t>
            </w:r>
          </w:p>
        </w:tc>
        <w:tc>
          <w:tcPr>
            <w:tcW w:w="2966" w:type="dxa"/>
          </w:tcPr>
          <w:p w14:paraId="77453C76" w14:textId="77777777" w:rsidR="00861557" w:rsidRPr="00296D0C" w:rsidRDefault="00861557" w:rsidP="0077247E">
            <w:pPr>
              <w:rPr>
                <w:rFonts w:cs="Arial"/>
              </w:rPr>
            </w:pPr>
            <w:r w:rsidRPr="00296D0C">
              <w:rPr>
                <w:rFonts w:cs="Arial"/>
              </w:rPr>
              <w:t>0.67 (0.34)</w:t>
            </w:r>
          </w:p>
        </w:tc>
        <w:tc>
          <w:tcPr>
            <w:tcW w:w="2961" w:type="dxa"/>
          </w:tcPr>
          <w:p w14:paraId="362D7DEB" w14:textId="60B1FA38" w:rsidR="00861557" w:rsidRPr="00296D0C" w:rsidRDefault="00861557" w:rsidP="008C43BF">
            <w:pPr>
              <w:rPr>
                <w:rFonts w:cs="Arial"/>
              </w:rPr>
            </w:pPr>
            <w:r w:rsidRPr="00296D0C">
              <w:rPr>
                <w:rFonts w:cs="Arial"/>
              </w:rPr>
              <w:t>Matza et al., 2015</w:t>
            </w:r>
            <w:r w:rsidR="004C3048" w:rsidRPr="00296D0C">
              <w:rPr>
                <w:rFonts w:cs="Arial"/>
              </w:rPr>
              <w:t xml:space="preserve"> </w:t>
            </w:r>
            <w:r w:rsidR="004C3048" w:rsidRPr="00296D0C">
              <w:rPr>
                <w:rFonts w:cs="Arial"/>
              </w:rPr>
              <w:fldChar w:fldCharType="begin">
                <w:fldData xml:space="preserve">PEVuZE5vdGU+PENpdGU+PEF1dGhvcj5NYXR6YTwvQXV0aG9yPjxZZWFyPjIwMTU8L1llYXI+PFJl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</w:fldData>
              </w:fldChar>
            </w:r>
            <w:r w:rsidR="008C43BF">
              <w:rPr>
                <w:rFonts w:cs="Arial"/>
              </w:rPr>
              <w:instrText xml:space="preserve"> ADDIN EN.CITE </w:instrText>
            </w:r>
            <w:r w:rsidR="008C43BF">
              <w:rPr>
                <w:rFonts w:cs="Arial"/>
              </w:rPr>
              <w:fldChar w:fldCharType="begin">
                <w:fldData xml:space="preserve">PEVuZE5vdGU+PENpdGU+PEF1dGhvcj5NYXR6YTwvQXV0aG9yPjxZZWFyPjIwMTU8L1llYXI+PFJl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</w:fldData>
              </w:fldChar>
            </w:r>
            <w:r w:rsidR="008C43BF">
              <w:rPr>
                <w:rFonts w:cs="Arial"/>
              </w:rPr>
              <w:instrText xml:space="preserve"> ADDIN EN.CITE.DATA </w:instrText>
            </w:r>
            <w:r w:rsidR="008C43BF">
              <w:rPr>
                <w:rFonts w:cs="Arial"/>
              </w:rPr>
            </w:r>
            <w:r w:rsidR="008C43BF">
              <w:rPr>
                <w:rFonts w:cs="Arial"/>
              </w:rPr>
              <w:fldChar w:fldCharType="end"/>
            </w:r>
            <w:r w:rsidR="004C3048" w:rsidRPr="00296D0C">
              <w:rPr>
                <w:rFonts w:cs="Arial"/>
              </w:rPr>
            </w:r>
            <w:r w:rsidR="004C3048" w:rsidRPr="00296D0C">
              <w:rPr>
                <w:rFonts w:cs="Arial"/>
              </w:rPr>
              <w:fldChar w:fldCharType="separate"/>
            </w:r>
            <w:r w:rsidR="008C43BF" w:rsidRPr="008C43BF">
              <w:rPr>
                <w:rFonts w:cs="Arial"/>
                <w:noProof/>
                <w:vertAlign w:val="superscript"/>
              </w:rPr>
              <w:t>96</w:t>
            </w:r>
            <w:r w:rsidR="004C3048" w:rsidRPr="00296D0C">
              <w:rPr>
                <w:rFonts w:cs="Arial"/>
              </w:rPr>
              <w:fldChar w:fldCharType="end"/>
            </w:r>
          </w:p>
        </w:tc>
      </w:tr>
      <w:tr w:rsidR="00861557" w:rsidRPr="00296D0C" w14:paraId="69E5C25A" w14:textId="77777777" w:rsidTr="00BA7C6B">
        <w:trPr>
          <w:trHeight w:val="323"/>
        </w:trPr>
        <w:tc>
          <w:tcPr>
            <w:tcW w:w="2868" w:type="dxa"/>
            <w:gridSpan w:val="2"/>
          </w:tcPr>
          <w:p w14:paraId="7E4B0FB8" w14:textId="77777777" w:rsidR="00861557" w:rsidRPr="00296D0C" w:rsidRDefault="00861557" w:rsidP="0077247E">
            <w:pPr>
              <w:rPr>
                <w:rFonts w:cs="Arial"/>
              </w:rPr>
            </w:pPr>
            <w:r w:rsidRPr="00296D0C">
              <w:rPr>
                <w:rFonts w:cs="Arial"/>
              </w:rPr>
              <w:t xml:space="preserve">Stroke </w:t>
            </w:r>
          </w:p>
        </w:tc>
        <w:tc>
          <w:tcPr>
            <w:tcW w:w="2966" w:type="dxa"/>
          </w:tcPr>
          <w:p w14:paraId="20A7048D" w14:textId="77777777" w:rsidR="00861557" w:rsidRPr="00296D0C" w:rsidRDefault="00861557" w:rsidP="0077247E">
            <w:pPr>
              <w:rPr>
                <w:rFonts w:cs="Arial"/>
              </w:rPr>
            </w:pPr>
            <w:r w:rsidRPr="00296D0C">
              <w:rPr>
                <w:rFonts w:cs="Arial"/>
              </w:rPr>
              <w:t>0.52 (0.38)</w:t>
            </w:r>
          </w:p>
        </w:tc>
        <w:tc>
          <w:tcPr>
            <w:tcW w:w="2961" w:type="dxa"/>
          </w:tcPr>
          <w:p w14:paraId="42664EB1" w14:textId="08118E2D" w:rsidR="00861557" w:rsidRPr="00296D0C" w:rsidRDefault="00861557" w:rsidP="008C43BF">
            <w:pPr>
              <w:rPr>
                <w:rFonts w:cs="Arial"/>
              </w:rPr>
            </w:pPr>
            <w:r w:rsidRPr="00296D0C">
              <w:rPr>
                <w:rFonts w:cs="Arial"/>
              </w:rPr>
              <w:t>Matza et al., 2015</w:t>
            </w:r>
            <w:r w:rsidR="004C3048" w:rsidRPr="00296D0C">
              <w:rPr>
                <w:rFonts w:cs="Arial"/>
              </w:rPr>
              <w:t xml:space="preserve"> </w:t>
            </w:r>
            <w:r w:rsidR="004C3048" w:rsidRPr="00296D0C">
              <w:rPr>
                <w:rFonts w:cs="Arial"/>
              </w:rPr>
              <w:fldChar w:fldCharType="begin">
                <w:fldData xml:space="preserve">PEVuZE5vdGU+PENpdGU+PEF1dGhvcj5NYXR6YTwvQXV0aG9yPjxZZWFyPjIwMTU8L1llYXI+PFJl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</w:fldData>
              </w:fldChar>
            </w:r>
            <w:r w:rsidR="008C43BF">
              <w:rPr>
                <w:rFonts w:cs="Arial"/>
              </w:rPr>
              <w:instrText xml:space="preserve"> ADDIN EN.CITE </w:instrText>
            </w:r>
            <w:r w:rsidR="008C43BF">
              <w:rPr>
                <w:rFonts w:cs="Arial"/>
              </w:rPr>
              <w:fldChar w:fldCharType="begin">
                <w:fldData xml:space="preserve">PEVuZE5vdGU+PENpdGU+PEF1dGhvcj5NYXR6YTwvQXV0aG9yPjxZZWFyPjIwMTU8L1llYXI+PFJl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</w:fldData>
              </w:fldChar>
            </w:r>
            <w:r w:rsidR="008C43BF">
              <w:rPr>
                <w:rFonts w:cs="Arial"/>
              </w:rPr>
              <w:instrText xml:space="preserve"> ADDIN EN.CITE.DATA </w:instrText>
            </w:r>
            <w:r w:rsidR="008C43BF">
              <w:rPr>
                <w:rFonts w:cs="Arial"/>
              </w:rPr>
            </w:r>
            <w:r w:rsidR="008C43BF">
              <w:rPr>
                <w:rFonts w:cs="Arial"/>
              </w:rPr>
              <w:fldChar w:fldCharType="end"/>
            </w:r>
            <w:r w:rsidR="004C3048" w:rsidRPr="00296D0C">
              <w:rPr>
                <w:rFonts w:cs="Arial"/>
              </w:rPr>
            </w:r>
            <w:r w:rsidR="004C3048" w:rsidRPr="00296D0C">
              <w:rPr>
                <w:rFonts w:cs="Arial"/>
              </w:rPr>
              <w:fldChar w:fldCharType="separate"/>
            </w:r>
            <w:r w:rsidR="008C43BF" w:rsidRPr="008C43BF">
              <w:rPr>
                <w:rFonts w:cs="Arial"/>
                <w:noProof/>
                <w:vertAlign w:val="superscript"/>
              </w:rPr>
              <w:t>96</w:t>
            </w:r>
            <w:r w:rsidR="004C3048" w:rsidRPr="00296D0C">
              <w:rPr>
                <w:rFonts w:cs="Arial"/>
              </w:rPr>
              <w:fldChar w:fldCharType="end"/>
            </w:r>
          </w:p>
        </w:tc>
      </w:tr>
      <w:tr w:rsidR="00861557" w:rsidRPr="00296D0C" w14:paraId="700F9F3B" w14:textId="77777777" w:rsidTr="00BA7C6B">
        <w:trPr>
          <w:trHeight w:val="323"/>
        </w:trPr>
        <w:tc>
          <w:tcPr>
            <w:tcW w:w="2868" w:type="dxa"/>
            <w:gridSpan w:val="2"/>
          </w:tcPr>
          <w:p w14:paraId="2E5DDFAC" w14:textId="77777777" w:rsidR="00861557" w:rsidRPr="00296D0C" w:rsidRDefault="00861557" w:rsidP="0077247E">
            <w:pPr>
              <w:rPr>
                <w:rFonts w:cs="Arial"/>
              </w:rPr>
            </w:pPr>
            <w:r w:rsidRPr="00296D0C">
              <w:rPr>
                <w:rFonts w:cs="Arial"/>
              </w:rPr>
              <w:t>Colorectal cancer</w:t>
            </w:r>
          </w:p>
        </w:tc>
        <w:tc>
          <w:tcPr>
            <w:tcW w:w="2966" w:type="dxa"/>
          </w:tcPr>
          <w:p w14:paraId="625A8F51" w14:textId="77777777" w:rsidR="00861557" w:rsidRPr="00296D0C" w:rsidRDefault="00861557" w:rsidP="0077247E">
            <w:pPr>
              <w:rPr>
                <w:rFonts w:cs="Arial"/>
              </w:rPr>
            </w:pPr>
            <w:r w:rsidRPr="00296D0C">
              <w:rPr>
                <w:rFonts w:cs="Arial"/>
              </w:rPr>
              <w:t>0.76 (NR)</w:t>
            </w:r>
          </w:p>
        </w:tc>
        <w:tc>
          <w:tcPr>
            <w:tcW w:w="2961" w:type="dxa"/>
          </w:tcPr>
          <w:p w14:paraId="4738FB5B" w14:textId="081B27DF" w:rsidR="00861557" w:rsidRPr="00296D0C" w:rsidRDefault="00861557" w:rsidP="008C43BF">
            <w:pPr>
              <w:rPr>
                <w:rFonts w:cs="Arial"/>
              </w:rPr>
            </w:pPr>
            <w:r w:rsidRPr="00296D0C">
              <w:rPr>
                <w:rFonts w:cs="Arial"/>
              </w:rPr>
              <w:t>Djalalov et al., 2014</w:t>
            </w:r>
            <w:r w:rsidR="004C3048" w:rsidRPr="00296D0C">
              <w:rPr>
                <w:rFonts w:cs="Arial"/>
              </w:rPr>
              <w:t xml:space="preserve"> </w:t>
            </w:r>
            <w:r w:rsidR="004C3048" w:rsidRPr="00296D0C">
              <w:rPr>
                <w:rFonts w:cs="Arial"/>
              </w:rPr>
              <w:fldChar w:fldCharType="begin">
                <w:fldData xml:space="preserve">PEVuZE5vdGU+PENpdGU+PEF1dGhvcj5EamFsYWxvdjwvQXV0aG9yPjxZZWFyPjIwMTQ8L1llYXI+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</w:fldData>
              </w:fldChar>
            </w:r>
            <w:r w:rsidR="008C43BF">
              <w:rPr>
                <w:rFonts w:cs="Arial"/>
              </w:rPr>
              <w:instrText xml:space="preserve"> ADDIN EN.CITE </w:instrText>
            </w:r>
            <w:r w:rsidR="008C43BF">
              <w:rPr>
                <w:rFonts w:cs="Arial"/>
              </w:rPr>
              <w:fldChar w:fldCharType="begin">
                <w:fldData xml:space="preserve">PEVuZE5vdGU+PENpdGU+PEF1dGhvcj5EamFsYWxvdjwvQXV0aG9yPjxZZWFyPjIwMTQ8L1llYXI+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</w:fldData>
              </w:fldChar>
            </w:r>
            <w:r w:rsidR="008C43BF">
              <w:rPr>
                <w:rFonts w:cs="Arial"/>
              </w:rPr>
              <w:instrText xml:space="preserve"> ADDIN EN.CITE.DATA </w:instrText>
            </w:r>
            <w:r w:rsidR="008C43BF">
              <w:rPr>
                <w:rFonts w:cs="Arial"/>
              </w:rPr>
            </w:r>
            <w:r w:rsidR="008C43BF">
              <w:rPr>
                <w:rFonts w:cs="Arial"/>
              </w:rPr>
              <w:fldChar w:fldCharType="end"/>
            </w:r>
            <w:r w:rsidR="004C3048" w:rsidRPr="00296D0C">
              <w:rPr>
                <w:rFonts w:cs="Arial"/>
              </w:rPr>
            </w:r>
            <w:r w:rsidR="004C3048" w:rsidRPr="00296D0C">
              <w:rPr>
                <w:rFonts w:cs="Arial"/>
              </w:rPr>
              <w:fldChar w:fldCharType="separate"/>
            </w:r>
            <w:r w:rsidR="008C43BF" w:rsidRPr="008C43BF">
              <w:rPr>
                <w:rFonts w:cs="Arial"/>
                <w:noProof/>
                <w:vertAlign w:val="superscript"/>
              </w:rPr>
              <w:t>97</w:t>
            </w:r>
            <w:r w:rsidR="004C3048" w:rsidRPr="00296D0C">
              <w:rPr>
                <w:rFonts w:cs="Arial"/>
              </w:rPr>
              <w:fldChar w:fldCharType="end"/>
            </w:r>
          </w:p>
        </w:tc>
      </w:tr>
    </w:tbl>
    <w:p w14:paraId="225C9E16" w14:textId="77777777" w:rsidR="00861557" w:rsidRPr="00296D0C" w:rsidRDefault="00861557" w:rsidP="000C3DC3">
      <w:pPr>
        <w:rPr>
          <w:rFonts w:cs="Arial"/>
          <w:i/>
        </w:rPr>
      </w:pPr>
      <w:r w:rsidRPr="00296D0C">
        <w:rPr>
          <w:rFonts w:cs="Arial"/>
        </w:rPr>
        <w:t>NR = not reported</w:t>
      </w:r>
    </w:p>
    <w:bookmarkEnd w:id="515"/>
    <w:p w14:paraId="56296B03" w14:textId="77777777" w:rsidR="00861557" w:rsidRPr="00296D0C" w:rsidRDefault="00861557" w:rsidP="000C3DC3">
      <w:pPr>
        <w:rPr>
          <w:rFonts w:cs="Arial"/>
          <w:b/>
        </w:rPr>
      </w:pPr>
      <w:r w:rsidRPr="00296D0C">
        <w:rPr>
          <w:rFonts w:cs="Arial"/>
          <w:b/>
        </w:rPr>
        <w:t>Summary of literature identified, and selection of health state values as model inputs</w:t>
      </w:r>
    </w:p>
    <w:p w14:paraId="0DFB34B3" w14:textId="77777777" w:rsidR="00861557" w:rsidRPr="00296D0C" w:rsidRDefault="00861557" w:rsidP="000C3DC3">
      <w:pPr>
        <w:rPr>
          <w:rFonts w:cs="Arial"/>
        </w:rPr>
      </w:pPr>
      <w:r w:rsidRPr="00296D0C">
        <w:rPr>
          <w:rFonts w:cs="Arial"/>
        </w:rPr>
        <w:t>Type 2 diabetes mellitus</w:t>
      </w:r>
    </w:p>
    <w:p w14:paraId="79216C00" w14:textId="2705F7A2" w:rsidR="00861557" w:rsidRPr="00296D0C" w:rsidRDefault="00861557" w:rsidP="00507D7B">
      <w:pPr>
        <w:spacing w:after="0" w:line="360" w:lineRule="auto"/>
        <w:rPr>
          <w:rFonts w:cs="Arial"/>
        </w:rPr>
      </w:pPr>
      <w:r w:rsidRPr="00296D0C">
        <w:rPr>
          <w:rFonts w:cs="Arial"/>
        </w:rPr>
        <w:t>One systematic review was identified (Beaudet et al., 2014</w:t>
      </w:r>
      <w:r w:rsidR="004C3048" w:rsidRPr="00296D0C">
        <w:rPr>
          <w:rFonts w:cs="Arial"/>
        </w:rPr>
        <w:t xml:space="preserve"> </w:t>
      </w:r>
      <w:r w:rsidR="00035556" w:rsidRPr="00296D0C">
        <w:rPr>
          <w:rFonts w:cs="Arial"/>
        </w:rPr>
        <w:fldChar w:fldCharType="begin"/>
      </w:r>
      <w:r w:rsidR="008C43BF">
        <w:rPr>
          <w:rFonts w:cs="Arial"/>
        </w:rPr>
        <w:instrText xml:space="preserve"> ADDIN EN.CITE &lt;EndNote&gt;&lt;Cite&gt;&lt;Author&gt;Beaudet&lt;/Author&gt;&lt;Year&gt;2014&lt;/Year&gt;&lt;RecNum&gt;5728&lt;/RecNum&gt;&lt;DisplayText&gt;&lt;style face="superscript"&gt;98&lt;/style&gt;&lt;/DisplayText&gt;&lt;record&gt;&lt;rec-number&gt;5728&lt;/rec-number&gt;&lt;foreign-keys&gt;&lt;key app="EN" db-id="2ewa9rrvjsdsawep2vpx5x97eedzzvxx5rta" timestamp="1478679952"&gt;5728&lt;/key&gt;&lt;/foreign-keys&gt;&lt;ref-type name="Journal Article"&gt;17&lt;/ref-type&gt;&lt;contributors&gt;&lt;authors&gt;&lt;author&gt;Beaudet, A.&lt;/author&gt;&lt;author&gt;Clegg, J.&lt;/author&gt;&lt;author&gt;Thuresson, P. O.&lt;/author&gt;&lt;author&gt;Lloyd, A.&lt;/author&gt;&lt;author&gt;McEwan, P.&lt;/author&gt;&lt;/authors&gt;&lt;/contributors&gt;&lt;auth-address&gt;IMS Health, Basel, Switzerland. Electronic address: abeaudet@ch.imshealth.com.&amp;#xD;IMS Health, Basel, Switzerland.&amp;#xD;IMS Health, London, UK.&amp;#xD;Centre for Health Economics, Swansea University, Swansea, UK.&lt;/auth-address&gt;&lt;titles&gt;&lt;title&gt;Review of utility values for economic modeling in type 2 diabetes&lt;/title&gt;&lt;secondary-title&gt;Value Health&lt;/secondary-title&gt;&lt;/titles&gt;&lt;periodical&gt;&lt;full-title&gt;Value in Health&lt;/full-title&gt;&lt;abbr-1&gt;Value Health&lt;/abbr-1&gt;&lt;abbr-2&gt;Value Health&lt;/abbr-2&gt;&lt;/periodical&gt;&lt;pages&gt;462-70&lt;/pages&gt;&lt;volume&gt;17&lt;/volume&gt;&lt;number&gt;4&lt;/number&gt;&lt;keywords&gt;&lt;keyword&gt;Cost-Benefit Analysis&lt;/keyword&gt;&lt;keyword&gt;Diabetes Complications/*economics&lt;/keyword&gt;&lt;keyword&gt;Diabetes Mellitus, Type 2/*economics&lt;/keyword&gt;&lt;keyword&gt;Health Status&lt;/keyword&gt;&lt;keyword&gt;Humans&lt;/keyword&gt;&lt;keyword&gt;*Models, Economic&lt;/keyword&gt;&lt;keyword&gt;*Quality of Life&lt;/keyword&gt;&lt;keyword&gt;Eq-5d&lt;/keyword&gt;&lt;keyword&gt;diabetes&lt;/keyword&gt;&lt;keyword&gt;quality of life&lt;/keyword&gt;&lt;keyword&gt;systematic review&lt;/keyword&gt;&lt;keyword&gt;utility&lt;/keyword&gt;&lt;/keywords&gt;&lt;dates&gt;&lt;year&gt;2014&lt;/year&gt;&lt;pub-dates&gt;&lt;date&gt;Jun&lt;/date&gt;&lt;/pub-dates&gt;&lt;/dates&gt;&lt;isbn&gt;1524-4733 (Electronic)&amp;#xD;1098-3015 (Linking)&lt;/isbn&gt;&lt;accession-num&gt;24969008&lt;/accession-num&gt;&lt;urls&gt;&lt;related-urls&gt;&lt;url&gt;http://www.ncbi.nlm.nih.gov/pubmed/24969008&lt;/url&gt;&lt;/related-urls&gt;&lt;/urls&gt;&lt;electronic-resource-num&gt;10.1016/j.jval.2014.03.003&lt;/electronic-resource-num&gt;&lt;/record&gt;&lt;/Cite&gt;&lt;/EndNote&gt;</w:instrText>
      </w:r>
      <w:r w:rsidR="00035556" w:rsidRPr="00296D0C">
        <w:rPr>
          <w:rFonts w:cs="Arial"/>
        </w:rPr>
        <w:fldChar w:fldCharType="separate"/>
      </w:r>
      <w:r w:rsidR="008C43BF" w:rsidRPr="008C43BF">
        <w:rPr>
          <w:rFonts w:cs="Arial"/>
          <w:noProof/>
          <w:vertAlign w:val="superscript"/>
        </w:rPr>
        <w:t>98</w:t>
      </w:r>
      <w:r w:rsidR="00035556" w:rsidRPr="00296D0C">
        <w:rPr>
          <w:rFonts w:cs="Arial"/>
        </w:rPr>
        <w:fldChar w:fldCharType="end"/>
      </w:r>
      <w:r w:rsidRPr="00296D0C">
        <w:rPr>
          <w:rFonts w:cs="Arial"/>
        </w:rPr>
        <w:t>) which identified a set of health state/utility values for one or more complications in people with diabetes. The methodology of identified studies was considered against the requirements of the UK NICE reference case (2013) (i.e. criteria included use of EQ-5D questionnaire value set or other established measure of preference, health states should be determined by patients, and valuation performed using a societal valuation algorithm [preferences of general public]). The authors created a preferred input set of utility values. Of 16,574 records identified,</w:t>
      </w:r>
      <w:r w:rsidR="00D20C12" w:rsidRPr="00296D0C">
        <w:rPr>
          <w:rFonts w:cs="Arial"/>
        </w:rPr>
        <w:t xml:space="preserve"> they report</w:t>
      </w:r>
      <w:r w:rsidRPr="00296D0C">
        <w:rPr>
          <w:rFonts w:cs="Arial"/>
        </w:rPr>
        <w:t xml:space="preserve"> on 61 studies, of which we considered 19 to be consistent with the NICE criteria. </w:t>
      </w:r>
    </w:p>
    <w:p w14:paraId="123925F4" w14:textId="793743B5" w:rsidR="00861557" w:rsidRPr="00296D0C" w:rsidRDefault="00861557" w:rsidP="00507D7B">
      <w:pPr>
        <w:spacing w:after="0" w:line="360" w:lineRule="auto"/>
        <w:rPr>
          <w:rFonts w:cs="Arial"/>
        </w:rPr>
      </w:pPr>
      <w:r w:rsidRPr="00296D0C">
        <w:rPr>
          <w:rFonts w:cs="Arial"/>
        </w:rPr>
        <w:t>The studies included in the Beaudet et al.</w:t>
      </w:r>
      <w:r w:rsidR="00A26062" w:rsidRPr="00296D0C">
        <w:rPr>
          <w:rFonts w:cs="Arial"/>
        </w:rPr>
        <w:t>, 2014</w:t>
      </w:r>
      <w:r w:rsidRPr="00296D0C">
        <w:rPr>
          <w:rFonts w:cs="Arial"/>
        </w:rPr>
        <w:t xml:space="preserve"> </w:t>
      </w:r>
      <w:r w:rsidR="00035556" w:rsidRPr="00296D0C">
        <w:rPr>
          <w:rFonts w:cs="Arial"/>
        </w:rPr>
        <w:fldChar w:fldCharType="begin"/>
      </w:r>
      <w:r w:rsidR="008C43BF">
        <w:rPr>
          <w:rFonts w:cs="Arial"/>
        </w:rPr>
        <w:instrText xml:space="preserve"> ADDIN EN.CITE &lt;EndNote&gt;&lt;Cite&gt;&lt;Author&gt;Beaudet&lt;/Author&gt;&lt;Year&gt;2014&lt;/Year&gt;&lt;RecNum&gt;5728&lt;/RecNum&gt;&lt;DisplayText&gt;&lt;style face="superscript"&gt;98&lt;/style&gt;&lt;/DisplayText&gt;&lt;record&gt;&lt;rec-number&gt;5728&lt;/rec-number&gt;&lt;foreign-keys&gt;&lt;key app="EN" db-id="2ewa9rrvjsdsawep2vpx5x97eedzzvxx5rta" timestamp="1478679952"&gt;5728&lt;/key&gt;&lt;/foreign-keys&gt;&lt;ref-type name="Journal Article"&gt;17&lt;/ref-type&gt;&lt;contributors&gt;&lt;authors&gt;&lt;author&gt;Beaudet, A.&lt;/author&gt;&lt;author&gt;Clegg, J.&lt;/author&gt;&lt;author&gt;Thuresson, P. O.&lt;/author&gt;&lt;author&gt;Lloyd, A.&lt;/author&gt;&lt;author&gt;McEwan, P.&lt;/author&gt;&lt;/authors&gt;&lt;/contributors&gt;&lt;auth-address&gt;IMS Health, Basel, Switzerland. Electronic address: abeaudet@ch.imshealth.com.&amp;#xD;IMS Health, Basel, Switzerland.&amp;#xD;IMS Health, London, UK.&amp;#xD;Centre for Health Economics, Swansea University, Swansea, UK.&lt;/auth-address&gt;&lt;titles&gt;&lt;title&gt;Review of utility values for economic modeling in type 2 diabetes&lt;/title&gt;&lt;secondary-title&gt;Value Health&lt;/secondary-title&gt;&lt;/titles&gt;&lt;periodical&gt;&lt;full-title&gt;Value in Health&lt;/full-title&gt;&lt;abbr-1&gt;Value Health&lt;/abbr-1&gt;&lt;abbr-2&gt;Value Health&lt;/abbr-2&gt;&lt;/periodical&gt;&lt;pages&gt;462-70&lt;/pages&gt;&lt;volume&gt;17&lt;/volume&gt;&lt;number&gt;4&lt;/number&gt;&lt;keywords&gt;&lt;keyword&gt;Cost-Benefit Analysis&lt;/keyword&gt;&lt;keyword&gt;Diabetes Complications/*economics&lt;/keyword&gt;&lt;keyword&gt;Diabetes Mellitus, Type 2/*economics&lt;/keyword&gt;&lt;keyword&gt;Health Status&lt;/keyword&gt;&lt;keyword&gt;Humans&lt;/keyword&gt;&lt;keyword&gt;*Models, Economic&lt;/keyword&gt;&lt;keyword&gt;*Quality of Life&lt;/keyword&gt;&lt;keyword&gt;Eq-5d&lt;/keyword&gt;&lt;keyword&gt;diabetes&lt;/keyword&gt;&lt;keyword&gt;quality of life&lt;/keyword&gt;&lt;keyword&gt;systematic review&lt;/keyword&gt;&lt;keyword&gt;utility&lt;/keyword&gt;&lt;/keywords&gt;&lt;dates&gt;&lt;year&gt;2014&lt;/year&gt;&lt;pub-dates&gt;&lt;date&gt;Jun&lt;/date&gt;&lt;/pub-dates&gt;&lt;/dates&gt;&lt;isbn&gt;1524-4733 (Electronic)&amp;#xD;1098-3015 (Linking)&lt;/isbn&gt;&lt;accession-num&gt;24969008&lt;/accession-num&gt;&lt;urls&gt;&lt;related-urls&gt;&lt;url&gt;http://www.ncbi.nlm.nih.gov/pubmed/24969008&lt;/url&gt;&lt;/related-urls&gt;&lt;/urls&gt;&lt;electronic-resource-num&gt;10.1016/j.jval.2014.03.003&lt;/electronic-resource-num&gt;&lt;/record&gt;&lt;/Cite&gt;&lt;/EndNote&gt;</w:instrText>
      </w:r>
      <w:r w:rsidR="00035556" w:rsidRPr="00296D0C">
        <w:rPr>
          <w:rFonts w:cs="Arial"/>
        </w:rPr>
        <w:fldChar w:fldCharType="separate"/>
      </w:r>
      <w:r w:rsidR="008C43BF" w:rsidRPr="008C43BF">
        <w:rPr>
          <w:rFonts w:cs="Arial"/>
          <w:noProof/>
          <w:vertAlign w:val="superscript"/>
        </w:rPr>
        <w:t>98</w:t>
      </w:r>
      <w:r w:rsidR="00035556" w:rsidRPr="00296D0C">
        <w:rPr>
          <w:rFonts w:cs="Arial"/>
        </w:rPr>
        <w:fldChar w:fldCharType="end"/>
      </w:r>
      <w:r w:rsidR="004C3048" w:rsidRPr="00296D0C">
        <w:rPr>
          <w:rFonts w:cs="Arial"/>
        </w:rPr>
        <w:t xml:space="preserve"> </w:t>
      </w:r>
      <w:r w:rsidRPr="00296D0C">
        <w:rPr>
          <w:rFonts w:cs="Arial"/>
        </w:rPr>
        <w:t>review were scrutinised and baseline T2DM utility values were extracted. For the base case for the current Exeter Obesity Model, the utility value of 0.78 reported in the study by Clarke et al.</w:t>
      </w:r>
      <w:r w:rsidR="00916192" w:rsidRPr="00296D0C">
        <w:rPr>
          <w:rFonts w:cs="Arial"/>
        </w:rPr>
        <w:t xml:space="preserve">, </w:t>
      </w:r>
      <w:r w:rsidRPr="00296D0C">
        <w:rPr>
          <w:rFonts w:cs="Arial"/>
        </w:rPr>
        <w:t>2002</w:t>
      </w:r>
      <w:r w:rsidR="004C3048" w:rsidRPr="00296D0C">
        <w:rPr>
          <w:rFonts w:cs="Arial"/>
        </w:rPr>
        <w:t xml:space="preserve"> </w:t>
      </w:r>
      <w:r w:rsidR="00035556" w:rsidRPr="00296D0C">
        <w:rPr>
          <w:rFonts w:cs="Arial"/>
        </w:rPr>
        <w:fldChar w:fldCharType="begin"/>
      </w:r>
      <w:r w:rsidR="008C43BF">
        <w:rPr>
          <w:rFonts w:cs="Arial"/>
        </w:rPr>
        <w:instrText xml:space="preserve"> ADDIN EN.CITE &lt;EndNote&gt;&lt;Cite&gt;&lt;Author&gt;Clarke&lt;/Author&gt;&lt;Year&gt;2002&lt;/Year&gt;&lt;RecNum&gt;5734&lt;/RecNum&gt;&lt;DisplayText&gt;&lt;style face="superscript"&gt;95&lt;/style&gt;&lt;/DisplayText&gt;&lt;record&gt;&lt;rec-number&gt;5734&lt;/rec-number&gt;&lt;foreign-keys&gt;&lt;key app="EN" db-id="2ewa9rrvjsdsawep2vpx5x97eedzzvxx5rta" timestamp="1478679952"&gt;5734&lt;/key&gt;&lt;/foreign-keys&gt;&lt;ref-type name="Journal Article"&gt;17&lt;/ref-type&gt;&lt;contributors&gt;&lt;authors&gt;&lt;author&gt;Clarke, P.&lt;/author&gt;&lt;author&gt;Gray, A.&lt;/author&gt;&lt;author&gt;Holman, R.&lt;/author&gt;&lt;/authors&gt;&lt;/contributors&gt;&lt;auth-address&gt;philip.clarke@dphpc.ox.ac.uk&lt;/auth-address&gt;&lt;titles&gt;&lt;title&gt;Estimating utility values for health states of type 2 diabetic patients using the EQ-5D (UKPDS 62)&lt;/title&gt;&lt;secondary-title&gt;Med Decis Making&lt;/secondary-title&gt;&lt;/titles&gt;&lt;periodical&gt;&lt;full-title&gt;Medical Decision Making&lt;/full-title&gt;&lt;abbr-1&gt;Med. Decis. Making&lt;/abbr-1&gt;&lt;abbr-2&gt;Med Decis Making&lt;/abbr-2&gt;&lt;/periodical&gt;&lt;pages&gt;340-9&lt;/pages&gt;&lt;volume&gt;22&lt;/volume&gt;&lt;number&gt;4&lt;/number&gt;&lt;keywords&gt;&lt;keyword&gt;Adolescent&lt;/keyword&gt;&lt;keyword&gt;Child&lt;/keyword&gt;&lt;keyword&gt;Diabetes Mellitus, Type 2/*complications/psychology&lt;/keyword&gt;&lt;keyword&gt;Female&lt;/keyword&gt;&lt;keyword&gt;Great Britain&lt;/keyword&gt;&lt;keyword&gt;Humans&lt;/keyword&gt;&lt;keyword&gt;Male&lt;/keyword&gt;&lt;keyword&gt;Outcome Assessment (Health Care)&lt;/keyword&gt;&lt;keyword&gt;Pain Measurement&lt;/keyword&gt;&lt;keyword&gt;Prospective Studies&lt;/keyword&gt;&lt;keyword&gt;Quality of Life/*psychology&lt;/keyword&gt;&lt;keyword&gt;Regression Analysis&lt;/keyword&gt;&lt;keyword&gt;*Sickness Impact Profile&lt;/keyword&gt;&lt;keyword&gt;Surveys and Questionnaires&lt;/keyword&gt;&lt;/keywords&gt;&lt;dates&gt;&lt;year&gt;2002&lt;/year&gt;&lt;pub-dates&gt;&lt;date&gt;Jul-Aug&lt;/date&gt;&lt;/pub-dates&gt;&lt;/dates&gt;&lt;isbn&gt;0272-989X (Print)&amp;#xD;0272-989X (Linking)&lt;/isbn&gt;&lt;accession-num&gt;12150599&lt;/accession-num&gt;&lt;urls&gt;&lt;related-urls&gt;&lt;url&gt;http://www.ncbi.nlm.nih.gov/pubmed/12150599&lt;/url&gt;&lt;/related-urls&gt;&lt;/urls&gt;&lt;/record&gt;&lt;/Cite&gt;&lt;/EndNote&gt;</w:instrText>
      </w:r>
      <w:r w:rsidR="00035556" w:rsidRPr="00296D0C">
        <w:rPr>
          <w:rFonts w:cs="Arial"/>
        </w:rPr>
        <w:fldChar w:fldCharType="separate"/>
      </w:r>
      <w:r w:rsidR="008C43BF" w:rsidRPr="008C43BF">
        <w:rPr>
          <w:rFonts w:cs="Arial"/>
          <w:noProof/>
          <w:vertAlign w:val="superscript"/>
        </w:rPr>
        <w:t>95</w:t>
      </w:r>
      <w:r w:rsidR="00035556" w:rsidRPr="00296D0C">
        <w:rPr>
          <w:rFonts w:cs="Arial"/>
        </w:rPr>
        <w:fldChar w:fldCharType="end"/>
      </w:r>
      <w:r w:rsidRPr="00296D0C">
        <w:rPr>
          <w:rFonts w:cs="Arial"/>
        </w:rPr>
        <w:t xml:space="preserve"> was considered to be the most methodologically robust, given its large sample size, T2DM-specific population, and use of the EQ-5D in a UK population.  This estimate is also broadly consistent with other published estimates for T2DM without complications (e.g. NICE 2006</w:t>
      </w:r>
      <w:r w:rsidR="004C3048" w:rsidRPr="00296D0C">
        <w:rPr>
          <w:rFonts w:cs="Arial"/>
        </w:rPr>
        <w:t xml:space="preserve"> </w:t>
      </w:r>
      <w:r w:rsidR="00035556" w:rsidRPr="00296D0C">
        <w:rPr>
          <w:rFonts w:cs="Arial"/>
        </w:rPr>
        <w:fldChar w:fldCharType="begin"/>
      </w:r>
      <w:r w:rsidR="008C43BF">
        <w:rPr>
          <w:rFonts w:cs="Arial"/>
        </w:rPr>
        <w:instrText xml:space="preserve"> ADDIN EN.CITE &lt;EndNote&gt;&lt;Cite&gt;&lt;Author&gt;NICE&lt;/Author&gt;&lt;Year&gt;2006&lt;/Year&gt;&lt;RecNum&gt;246&lt;/RecNum&gt;&lt;DisplayText&gt;&lt;style face="superscript"&gt;99&lt;/style&gt;&lt;/DisplayText&gt;&lt;record&gt;&lt;rec-number&gt;246&lt;/rec-number&gt;&lt;foreign-keys&gt;&lt;key app="EN" db-id="2ewa9rrvjsdsawep2vpx5x97eedzzvxx5rta" timestamp="0"&gt;246&lt;/key&gt;&lt;/foreign-keys&gt;&lt;ref-type name="Government Document"&gt;46&lt;/ref-type&gt;&lt;contributors&gt;&lt;authors&gt;&lt;author&gt;NICE&lt;/author&gt;&lt;/authors&gt;&lt;secondary-authors&gt;&lt;author&gt;NICE Obesity&lt;/author&gt;&lt;/secondary-authors&gt;&lt;/contributors&gt;&lt;titles&gt;&lt;title&gt;&lt;style face="normal" font="Times New Roman" size="100%"&gt;Section 6 Health Economics; Economic Modelling&lt;/style&gt;&lt;/title&gt;&lt;/titles&gt;&lt;volume&gt;Clinical Guidelines CG43&lt;/volume&gt;&lt;section&gt;&lt;style face="normal" font="Times New Roman" size="100%"&gt;Obesity: the prevention, identification, assessment and management of overweight and obesity in adults and children&lt;/style&gt;&lt;/section&gt;&lt;dates&gt;&lt;year&gt;2006&lt;/year&gt;&lt;/dates&gt;&lt;pub-location&gt;London&lt;/pub-location&gt;&lt;publisher&gt;NICE&lt;/publisher&gt;&lt;urls&gt;&lt;/urls&gt;&lt;/record&gt;&lt;/Cite&gt;&lt;/EndNote&gt;</w:instrText>
      </w:r>
      <w:r w:rsidR="00035556" w:rsidRPr="00296D0C">
        <w:rPr>
          <w:rFonts w:cs="Arial"/>
        </w:rPr>
        <w:fldChar w:fldCharType="separate"/>
      </w:r>
      <w:r w:rsidR="008C43BF" w:rsidRPr="008C43BF">
        <w:rPr>
          <w:rFonts w:cs="Arial"/>
          <w:noProof/>
          <w:vertAlign w:val="superscript"/>
        </w:rPr>
        <w:t>99</w:t>
      </w:r>
      <w:r w:rsidR="00035556" w:rsidRPr="00296D0C">
        <w:rPr>
          <w:rFonts w:cs="Arial"/>
        </w:rPr>
        <w:fldChar w:fldCharType="end"/>
      </w:r>
      <w:r w:rsidRPr="00296D0C">
        <w:rPr>
          <w:rFonts w:cs="Arial"/>
        </w:rPr>
        <w:t>).</w:t>
      </w:r>
    </w:p>
    <w:p w14:paraId="3D45E0C5" w14:textId="77777777" w:rsidR="00AA5D61" w:rsidRPr="00296D0C" w:rsidRDefault="00AA5D61" w:rsidP="00507D7B">
      <w:pPr>
        <w:spacing w:after="0" w:line="360" w:lineRule="auto"/>
        <w:rPr>
          <w:rFonts w:cs="Arial"/>
        </w:rPr>
      </w:pPr>
    </w:p>
    <w:p w14:paraId="3571AF20" w14:textId="77777777" w:rsidR="00861557" w:rsidRPr="00296D0C" w:rsidRDefault="00861557" w:rsidP="000C3DC3">
      <w:pPr>
        <w:rPr>
          <w:rFonts w:cs="Arial"/>
        </w:rPr>
      </w:pPr>
      <w:r w:rsidRPr="00296D0C">
        <w:rPr>
          <w:rFonts w:cs="Arial"/>
        </w:rPr>
        <w:t>Coronary heart disease</w:t>
      </w:r>
    </w:p>
    <w:p w14:paraId="65581BEA" w14:textId="4B83B240" w:rsidR="00861557" w:rsidRPr="00296D0C" w:rsidRDefault="00861557" w:rsidP="00507D7B">
      <w:pPr>
        <w:spacing w:after="0" w:line="360" w:lineRule="auto"/>
        <w:rPr>
          <w:rFonts w:cs="Arial"/>
        </w:rPr>
      </w:pPr>
      <w:r w:rsidRPr="00296D0C">
        <w:rPr>
          <w:rFonts w:cs="Arial"/>
        </w:rPr>
        <w:t>One systematic review was identified (Dyer et al., 2010</w:t>
      </w:r>
      <w:r w:rsidR="004C3048" w:rsidRPr="00296D0C">
        <w:rPr>
          <w:rFonts w:cs="Arial"/>
        </w:rPr>
        <w:t xml:space="preserve"> </w:t>
      </w:r>
      <w:r w:rsidR="00035556" w:rsidRPr="00296D0C">
        <w:rPr>
          <w:rFonts w:cs="Arial"/>
        </w:rPr>
        <w:fldChar w:fldCharType="begin"/>
      </w:r>
      <w:r w:rsidR="008C43BF">
        <w:rPr>
          <w:rFonts w:cs="Arial"/>
        </w:rPr>
        <w:instrText xml:space="preserve"> ADDIN EN.CITE &lt;EndNote&gt;&lt;Cite&gt;&lt;Author&gt;Dyer&lt;/Author&gt;&lt;Year&gt;2010&lt;/Year&gt;&lt;RecNum&gt;5739&lt;/RecNum&gt;&lt;DisplayText&gt;&lt;style face="superscript"&gt;100&lt;/style&gt;&lt;/DisplayText&gt;&lt;record&gt;&lt;rec-number&gt;5739&lt;/rec-number&gt;&lt;foreign-keys&gt;&lt;key app="EN" db-id="2ewa9rrvjsdsawep2vpx5x97eedzzvxx5rta" timestamp="1478679952"&gt;5739&lt;/key&gt;&lt;/foreign-keys&gt;&lt;ref-type name="Journal Article"&gt;17&lt;/ref-type&gt;&lt;contributors&gt;&lt;authors&gt;&lt;author&gt;Dyer, M. T.&lt;/author&gt;&lt;author&gt;Goldsmith, K. A.&lt;/author&gt;&lt;author&gt;Sharples, L. S.&lt;/author&gt;&lt;author&gt;Buxton, M. J.&lt;/author&gt;&lt;/authors&gt;&lt;/contributors&gt;&lt;auth-address&gt;Health Economics Research Group, Brunel University, Uxbridge, UK. mdyer@cru.rcpsych.ac.uk&lt;/auth-address&gt;&lt;titles&gt;&lt;title&gt;A review of health utilities using the EQ-5D in studies of cardiovascular disease&lt;/title&gt;&lt;secondary-title&gt;Health Qual Life Outcomes&lt;/secondary-title&gt;&lt;/titles&gt;&lt;pages&gt;13&lt;/pages&gt;&lt;volume&gt;8&lt;/volume&gt;&lt;keywords&gt;&lt;keyword&gt;*Cardiovascular Diseases&lt;/keyword&gt;&lt;keyword&gt;Humans&lt;/keyword&gt;&lt;keyword&gt;*Psychometrics&lt;/keyword&gt;&lt;keyword&gt;*Quality of Life&lt;/keyword&gt;&lt;keyword&gt;Reproducibility of Results&lt;/keyword&gt;&lt;keyword&gt;*Surveys and Questionnaires&lt;/keyword&gt;&lt;/keywords&gt;&lt;dates&gt;&lt;year&gt;2010&lt;/year&gt;&lt;/dates&gt;&lt;isbn&gt;1477-7525 (Electronic)&amp;#xD;1477-7525 (Linking)&lt;/isbn&gt;&lt;accession-num&gt;20109189&lt;/accession-num&gt;&lt;urls&gt;&lt;related-urls&gt;&lt;url&gt;http://www.ncbi.nlm.nih.gov/pubmed/20109189&lt;/url&gt;&lt;/related-urls&gt;&lt;/urls&gt;&lt;custom2&gt;PMC2824714&lt;/custom2&gt;&lt;electronic-resource-num&gt;10.1186/1477-7525-8-13&lt;/electronic-resource-num&gt;&lt;/record&gt;&lt;/Cite&gt;&lt;/EndNote&gt;</w:instrText>
      </w:r>
      <w:r w:rsidR="00035556" w:rsidRPr="00296D0C">
        <w:rPr>
          <w:rFonts w:cs="Arial"/>
        </w:rPr>
        <w:fldChar w:fldCharType="separate"/>
      </w:r>
      <w:r w:rsidR="008C43BF" w:rsidRPr="008C43BF">
        <w:rPr>
          <w:rFonts w:cs="Arial"/>
          <w:noProof/>
          <w:vertAlign w:val="superscript"/>
        </w:rPr>
        <w:t>100</w:t>
      </w:r>
      <w:r w:rsidR="00035556" w:rsidRPr="00296D0C">
        <w:rPr>
          <w:rFonts w:cs="Arial"/>
        </w:rPr>
        <w:fldChar w:fldCharType="end"/>
      </w:r>
      <w:r w:rsidRPr="00296D0C">
        <w:rPr>
          <w:rFonts w:cs="Arial"/>
        </w:rPr>
        <w:t>) which reviewed utility data based on EQ-5D in cardiovascular disease.  Sixty articles were identified that reported EQ-5D scores (health state values). There was wide variation in terms of cardiovascular disease (CVD) subgroups, disease stage, age distribution and other methodological aspects. The majority of studies reported EQ-5D index scores using the UK-based algorithm. The majority of identified studies reported data for ischemic heart disease (IHD) and cerebrovascular disease. Stratification by disease severity was possible for IHD and heart failure participants.</w:t>
      </w:r>
    </w:p>
    <w:p w14:paraId="0033D02E" w14:textId="5326E268" w:rsidR="00861557" w:rsidRPr="00296D0C" w:rsidRDefault="00861557" w:rsidP="00507D7B">
      <w:pPr>
        <w:spacing w:after="0" w:line="360" w:lineRule="auto"/>
        <w:rPr>
          <w:rFonts w:cs="Arial"/>
        </w:rPr>
      </w:pPr>
      <w:r w:rsidRPr="00296D0C">
        <w:rPr>
          <w:rFonts w:cs="Arial"/>
        </w:rPr>
        <w:lastRenderedPageBreak/>
        <w:t>Supplementary searches in PubMed, identified one additional study (Matza et al., 2015</w:t>
      </w:r>
      <w:r w:rsidR="004C3048" w:rsidRPr="00296D0C">
        <w:rPr>
          <w:rFonts w:cs="Arial"/>
        </w:rPr>
        <w:t xml:space="preserve"> </w:t>
      </w:r>
      <w:r w:rsidR="00035556" w:rsidRPr="00296D0C">
        <w:rPr>
          <w:rFonts w:cs="Arial"/>
        </w:rPr>
        <w:fldChar w:fldCharType="begin">
          <w:fldData xml:space="preserve">PEVuZE5vdGU+PENpdGU+PEF1dGhvcj5NYXR6YTwvQXV0aG9yPjxZZWFyPjIwMTU8L1llYXI+PFJl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</w:fldData>
        </w:fldChar>
      </w:r>
      <w:r w:rsidR="008C43BF">
        <w:rPr>
          <w:rFonts w:cs="Arial"/>
        </w:rPr>
        <w:instrText xml:space="preserve"> ADDIN EN.CITE </w:instrText>
      </w:r>
      <w:r w:rsidR="008C43BF">
        <w:rPr>
          <w:rFonts w:cs="Arial"/>
        </w:rPr>
        <w:fldChar w:fldCharType="begin">
          <w:fldData xml:space="preserve">PEVuZE5vdGU+PENpdGU+PEF1dGhvcj5NYXR6YTwvQXV0aG9yPjxZZWFyPjIwMTU8L1llYXI+PFJl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</w:fldData>
        </w:fldChar>
      </w:r>
      <w:r w:rsidR="008C43BF">
        <w:rPr>
          <w:rFonts w:cs="Arial"/>
        </w:rPr>
        <w:instrText xml:space="preserve"> ADDIN EN.CITE.DATA </w:instrText>
      </w:r>
      <w:r w:rsidR="008C43BF">
        <w:rPr>
          <w:rFonts w:cs="Arial"/>
        </w:rPr>
      </w:r>
      <w:r w:rsidR="008C43BF">
        <w:rPr>
          <w:rFonts w:cs="Arial"/>
        </w:rPr>
        <w:fldChar w:fldCharType="end"/>
      </w:r>
      <w:r w:rsidR="00035556" w:rsidRPr="00296D0C">
        <w:rPr>
          <w:rFonts w:cs="Arial"/>
        </w:rPr>
      </w:r>
      <w:r w:rsidR="00035556" w:rsidRPr="00296D0C">
        <w:rPr>
          <w:rFonts w:cs="Arial"/>
        </w:rPr>
        <w:fldChar w:fldCharType="separate"/>
      </w:r>
      <w:r w:rsidR="008C43BF" w:rsidRPr="008C43BF">
        <w:rPr>
          <w:rFonts w:cs="Arial"/>
          <w:noProof/>
          <w:vertAlign w:val="superscript"/>
        </w:rPr>
        <w:t>96</w:t>
      </w:r>
      <w:r w:rsidR="00035556" w:rsidRPr="00296D0C">
        <w:rPr>
          <w:rFonts w:cs="Arial"/>
        </w:rPr>
        <w:fldChar w:fldCharType="end"/>
      </w:r>
      <w:r w:rsidRPr="00296D0C">
        <w:rPr>
          <w:rFonts w:cs="Arial"/>
        </w:rPr>
        <w:t>) reporting health state values for cardiovascular conditions, also distinguishing between acute impact including the cardiovascular event and the chronic post-event impact. Three cardiovascular conditions were described: stroke, acute coronary syndrome and heart failure. One-year acute health states represented the event and its immediate impact, and post-event health states represented chronic impact. Values were from a sample (n</w:t>
      </w:r>
      <w:r w:rsidR="00890008" w:rsidRPr="00296D0C">
        <w:rPr>
          <w:rFonts w:cs="Arial"/>
        </w:rPr>
        <w:t xml:space="preserve"> </w:t>
      </w:r>
      <w:r w:rsidRPr="00296D0C">
        <w:rPr>
          <w:rFonts w:cs="Arial"/>
        </w:rPr>
        <w:t>=</w:t>
      </w:r>
      <w:r w:rsidR="00890008" w:rsidRPr="00296D0C">
        <w:rPr>
          <w:rFonts w:cs="Arial"/>
        </w:rPr>
        <w:t xml:space="preserve"> </w:t>
      </w:r>
      <w:r w:rsidRPr="00296D0C">
        <w:rPr>
          <w:rFonts w:cs="Arial"/>
        </w:rPr>
        <w:t xml:space="preserve">200) of the UK general population. Mean </w:t>
      </w:r>
      <w:r w:rsidR="008364E2" w:rsidRPr="00296D0C">
        <w:rPr>
          <w:rFonts w:cs="Arial"/>
        </w:rPr>
        <w:t>Time Trade Off (</w:t>
      </w:r>
      <w:r w:rsidRPr="00296D0C">
        <w:rPr>
          <w:rFonts w:cs="Arial"/>
        </w:rPr>
        <w:t>TTO</w:t>
      </w:r>
      <w:r w:rsidR="008364E2" w:rsidRPr="00296D0C">
        <w:rPr>
          <w:rFonts w:cs="Arial"/>
        </w:rPr>
        <w:t>)</w:t>
      </w:r>
      <w:r w:rsidRPr="00296D0C">
        <w:rPr>
          <w:rFonts w:cs="Arial"/>
        </w:rPr>
        <w:t xml:space="preserve"> health state value for acute coronary syndrome was 0.67 (SD 0.34) and for chronic post event health states was 0.82 (0.17).</w:t>
      </w:r>
    </w:p>
    <w:p w14:paraId="751BC2D1" w14:textId="77777777" w:rsidR="00AA5D61" w:rsidRPr="00296D0C" w:rsidRDefault="00AA5D61" w:rsidP="00507D7B">
      <w:pPr>
        <w:spacing w:after="0" w:line="360" w:lineRule="auto"/>
        <w:rPr>
          <w:rFonts w:cs="Arial"/>
        </w:rPr>
      </w:pPr>
    </w:p>
    <w:p w14:paraId="5EC624F7" w14:textId="595BBCCE" w:rsidR="00861557" w:rsidRPr="00296D0C" w:rsidRDefault="00861557" w:rsidP="00507D7B">
      <w:pPr>
        <w:spacing w:after="0" w:line="360" w:lineRule="auto"/>
        <w:rPr>
          <w:rFonts w:cs="Arial"/>
        </w:rPr>
      </w:pPr>
      <w:r w:rsidRPr="00296D0C">
        <w:rPr>
          <w:rFonts w:cs="Arial"/>
        </w:rPr>
        <w:t>For the base case in the Exeter Obesity Model, the TTO value of 0.67 (SD 0.34) reported by Matza et al.</w:t>
      </w:r>
      <w:r w:rsidR="00916192" w:rsidRPr="00296D0C">
        <w:rPr>
          <w:rFonts w:cs="Arial"/>
        </w:rPr>
        <w:t>,</w:t>
      </w:r>
      <w:r w:rsidRPr="00296D0C">
        <w:rPr>
          <w:rFonts w:cs="Arial"/>
        </w:rPr>
        <w:t xml:space="preserve"> 2015 </w:t>
      </w:r>
      <w:r w:rsidR="00035556" w:rsidRPr="00296D0C">
        <w:rPr>
          <w:rFonts w:cs="Arial"/>
        </w:rPr>
        <w:fldChar w:fldCharType="begin">
          <w:fldData xml:space="preserve">PEVuZE5vdGU+PENpdGU+PEF1dGhvcj5NYXR6YTwvQXV0aG9yPjxZZWFyPjIwMTU8L1llYXI+PFJl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</w:fldData>
        </w:fldChar>
      </w:r>
      <w:r w:rsidR="008C43BF">
        <w:rPr>
          <w:rFonts w:cs="Arial"/>
        </w:rPr>
        <w:instrText xml:space="preserve"> ADDIN EN.CITE </w:instrText>
      </w:r>
      <w:r w:rsidR="008C43BF">
        <w:rPr>
          <w:rFonts w:cs="Arial"/>
        </w:rPr>
        <w:fldChar w:fldCharType="begin">
          <w:fldData xml:space="preserve">PEVuZE5vdGU+PENpdGU+PEF1dGhvcj5NYXR6YTwvQXV0aG9yPjxZZWFyPjIwMTU8L1llYXI+PFJl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</w:fldData>
        </w:fldChar>
      </w:r>
      <w:r w:rsidR="008C43BF">
        <w:rPr>
          <w:rFonts w:cs="Arial"/>
        </w:rPr>
        <w:instrText xml:space="preserve"> ADDIN EN.CITE.DATA </w:instrText>
      </w:r>
      <w:r w:rsidR="008C43BF">
        <w:rPr>
          <w:rFonts w:cs="Arial"/>
        </w:rPr>
      </w:r>
      <w:r w:rsidR="008C43BF">
        <w:rPr>
          <w:rFonts w:cs="Arial"/>
        </w:rPr>
        <w:fldChar w:fldCharType="end"/>
      </w:r>
      <w:r w:rsidR="00035556" w:rsidRPr="00296D0C">
        <w:rPr>
          <w:rFonts w:cs="Arial"/>
        </w:rPr>
      </w:r>
      <w:r w:rsidR="00035556" w:rsidRPr="00296D0C">
        <w:rPr>
          <w:rFonts w:cs="Arial"/>
        </w:rPr>
        <w:fldChar w:fldCharType="separate"/>
      </w:r>
      <w:r w:rsidR="008C43BF" w:rsidRPr="008C43BF">
        <w:rPr>
          <w:rFonts w:cs="Arial"/>
          <w:noProof/>
          <w:vertAlign w:val="superscript"/>
        </w:rPr>
        <w:t>96</w:t>
      </w:r>
      <w:r w:rsidR="00035556" w:rsidRPr="00296D0C">
        <w:rPr>
          <w:rFonts w:cs="Arial"/>
        </w:rPr>
        <w:fldChar w:fldCharType="end"/>
      </w:r>
      <w:r w:rsidR="004C3048" w:rsidRPr="00296D0C">
        <w:rPr>
          <w:rFonts w:cs="Arial"/>
        </w:rPr>
        <w:t xml:space="preserve"> </w:t>
      </w:r>
      <w:r w:rsidRPr="00296D0C">
        <w:rPr>
          <w:rFonts w:cs="Arial"/>
        </w:rPr>
        <w:t>was considered the most reflective of the health state in the model. This is in line with estimates used in other models of this type (Anokye et al., 2011</w:t>
      </w:r>
      <w:r w:rsidR="004C3048" w:rsidRPr="00296D0C">
        <w:rPr>
          <w:rFonts w:cs="Arial"/>
        </w:rPr>
        <w:t xml:space="preserve"> </w:t>
      </w:r>
      <w:r w:rsidR="00035556" w:rsidRPr="00296D0C">
        <w:rPr>
          <w:rFonts w:cs="Arial"/>
        </w:rPr>
        <w:fldChar w:fldCharType="begin"/>
      </w:r>
      <w:r w:rsidR="008C43BF">
        <w:rPr>
          <w:rFonts w:cs="Arial"/>
        </w:rPr>
        <w:instrText xml:space="preserve"> ADDIN EN.CITE &lt;EndNote&gt;&lt;Cite&gt;&lt;Author&gt;Anokye&lt;/Author&gt;&lt;Year&gt;2011&lt;/Year&gt;&lt;RecNum&gt;5726&lt;/RecNum&gt;&lt;DisplayText&gt;&lt;style face="superscript"&gt;101&lt;/style&gt;&lt;/DisplayText&gt;&lt;record&gt;&lt;rec-number&gt;5726&lt;/rec-number&gt;&lt;foreign-keys&gt;&lt;key app="EN" db-id="2ewa9rrvjsdsawep2vpx5x97eedzzvxx5rta" timestamp="1478679952"&gt;5726&lt;/key&gt;&lt;/foreign-keys&gt;&lt;ref-type name="Journal Article"&gt;17&lt;/ref-type&gt;&lt;contributors&gt;&lt;authors&gt;&lt;author&gt;Anokye, N. K.&lt;/author&gt;&lt;author&gt;Trueman, P.&lt;/author&gt;&lt;author&gt;Green, C.&lt;/author&gt;&lt;author&gt;Pavey, T. G.&lt;/author&gt;&lt;author&gt;Hillsdon, M.&lt;/author&gt;&lt;author&gt;Taylor, R. S.&lt;/author&gt;&lt;/authors&gt;&lt;/contributors&gt;&lt;auth-address&gt;Health Economics Research Group (HERG), Brunel University, Uxbridge, Middlesex UB8 3PH, UK. nana.anokye@brunel.ac.uk&lt;/auth-address&gt;&lt;titles&gt;&lt;title&gt;The cost-effectiveness of exercise referral schemes&lt;/title&gt;&lt;secondary-title&gt;BMC Public Health&lt;/secondary-title&gt;&lt;/titles&gt;&lt;periodical&gt;&lt;full-title&gt;BMC Public Health&lt;/full-title&gt;&lt;abbr-1&gt;BMC Public Health&lt;/abbr-1&gt;&lt;abbr-2&gt;BMC Public Health&lt;/abbr-2&gt;&lt;/periodical&gt;&lt;pages&gt;954&lt;/pages&gt;&lt;volume&gt;11&lt;/volume&gt;&lt;keywords&gt;&lt;keyword&gt;Adult&lt;/keyword&gt;&lt;keyword&gt;Cost-Benefit Analysis&lt;/keyword&gt;&lt;keyword&gt;*Exercise&lt;/keyword&gt;&lt;keyword&gt;Female&lt;/keyword&gt;&lt;keyword&gt;Great Britain&lt;/keyword&gt;&lt;keyword&gt;Humans&lt;/keyword&gt;&lt;keyword&gt;Male&lt;/keyword&gt;&lt;keyword&gt;Middle Aged&lt;/keyword&gt;&lt;keyword&gt;Primary Health Care&lt;/keyword&gt;&lt;keyword&gt;Quality-Adjusted Life Years&lt;/keyword&gt;&lt;keyword&gt;Referral and Consultation/*economics&lt;/keyword&gt;&lt;keyword&gt;State Medicine&lt;/keyword&gt;&lt;/keywords&gt;&lt;dates&gt;&lt;year&gt;2011&lt;/year&gt;&lt;/dates&gt;&lt;isbn&gt;1471-2458 (Electronic)&amp;#xD;1471-2458 (Linking)&lt;/isbn&gt;&lt;accession-num&gt;22200193&lt;/accession-num&gt;&lt;urls&gt;&lt;related-urls&gt;&lt;url&gt;http://www.ncbi.nlm.nih.gov/pubmed/22200193&lt;/url&gt;&lt;/related-urls&gt;&lt;/urls&gt;&lt;custom2&gt;PMC3268756&lt;/custom2&gt;&lt;electronic-resource-num&gt;10.1186/1471-2458-11-954&lt;/electronic-resource-num&gt;&lt;/record&gt;&lt;/Cite&gt;&lt;/EndNote&gt;</w:instrText>
      </w:r>
      <w:r w:rsidR="00035556" w:rsidRPr="00296D0C">
        <w:rPr>
          <w:rFonts w:cs="Arial"/>
        </w:rPr>
        <w:fldChar w:fldCharType="separate"/>
      </w:r>
      <w:r w:rsidR="008C43BF" w:rsidRPr="008C43BF">
        <w:rPr>
          <w:rFonts w:cs="Arial"/>
          <w:noProof/>
          <w:vertAlign w:val="superscript"/>
        </w:rPr>
        <w:t>101</w:t>
      </w:r>
      <w:r w:rsidR="00035556" w:rsidRPr="00296D0C">
        <w:rPr>
          <w:rFonts w:cs="Arial"/>
        </w:rPr>
        <w:fldChar w:fldCharType="end"/>
      </w:r>
      <w:r w:rsidRPr="00296D0C">
        <w:rPr>
          <w:rFonts w:cs="Arial"/>
        </w:rPr>
        <w:t>; Pavey et al., 2011</w:t>
      </w:r>
      <w:r w:rsidR="00186DB8">
        <w:rPr>
          <w:rFonts w:cs="Arial"/>
        </w:rPr>
        <w:t xml:space="preserve"> </w:t>
      </w:r>
      <w:r w:rsidR="00035556" w:rsidRPr="00296D0C">
        <w:rPr>
          <w:rFonts w:cs="Arial"/>
        </w:rPr>
        <w:fldChar w:fldCharType="begin">
          <w:fldData xml:space="preserve">PEVuZE5vdGU+PENpdGU+PEF1dGhvcj5QYXZleTwvQXV0aG9yPjxZZWFyPjIwMTE8L1llYXI+PFJl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</w:fldData>
        </w:fldChar>
      </w:r>
      <w:r w:rsidR="008C43BF">
        <w:rPr>
          <w:rFonts w:cs="Arial"/>
        </w:rPr>
        <w:instrText xml:space="preserve"> ADDIN EN.CITE </w:instrText>
      </w:r>
      <w:r w:rsidR="008C43BF">
        <w:rPr>
          <w:rFonts w:cs="Arial"/>
        </w:rPr>
        <w:fldChar w:fldCharType="begin">
          <w:fldData xml:space="preserve">PEVuZE5vdGU+PENpdGU+PEF1dGhvcj5QYXZleTwvQXV0aG9yPjxZZWFyPjIwMTE8L1llYXI+PFJl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</w:fldData>
        </w:fldChar>
      </w:r>
      <w:r w:rsidR="008C43BF">
        <w:rPr>
          <w:rFonts w:cs="Arial"/>
        </w:rPr>
        <w:instrText xml:space="preserve"> ADDIN EN.CITE.DATA </w:instrText>
      </w:r>
      <w:r w:rsidR="008C43BF">
        <w:rPr>
          <w:rFonts w:cs="Arial"/>
        </w:rPr>
      </w:r>
      <w:r w:rsidR="008C43BF">
        <w:rPr>
          <w:rFonts w:cs="Arial"/>
        </w:rPr>
        <w:fldChar w:fldCharType="end"/>
      </w:r>
      <w:r w:rsidR="00035556" w:rsidRPr="00296D0C">
        <w:rPr>
          <w:rFonts w:cs="Arial"/>
        </w:rPr>
      </w:r>
      <w:r w:rsidR="00035556" w:rsidRPr="00296D0C">
        <w:rPr>
          <w:rFonts w:cs="Arial"/>
        </w:rPr>
        <w:fldChar w:fldCharType="separate"/>
      </w:r>
      <w:r w:rsidR="008C43BF" w:rsidRPr="008C43BF">
        <w:rPr>
          <w:rFonts w:cs="Arial"/>
          <w:noProof/>
          <w:vertAlign w:val="superscript"/>
        </w:rPr>
        <w:t>102</w:t>
      </w:r>
      <w:r w:rsidR="00035556" w:rsidRPr="00296D0C">
        <w:rPr>
          <w:rFonts w:cs="Arial"/>
        </w:rPr>
        <w:fldChar w:fldCharType="end"/>
      </w:r>
      <w:r w:rsidRPr="00296D0C">
        <w:rPr>
          <w:rFonts w:cs="Arial"/>
        </w:rPr>
        <w:t>; NICE/Matrix report, 2006</w:t>
      </w:r>
      <w:r w:rsidR="009F4829" w:rsidRPr="00296D0C">
        <w:rPr>
          <w:rFonts w:cs="Arial"/>
        </w:rPr>
        <w:t xml:space="preserve"> </w:t>
      </w:r>
      <w:r w:rsidR="009F4829" w:rsidRPr="00296D0C">
        <w:rPr>
          <w:rFonts w:cs="Arial"/>
        </w:rPr>
        <w:fldChar w:fldCharType="begin"/>
      </w:r>
      <w:r w:rsidR="008C43BF">
        <w:rPr>
          <w:rFonts w:cs="Arial"/>
        </w:rPr>
        <w:instrText xml:space="preserve"> ADDIN EN.CITE &lt;EndNote&gt;&lt;Cite&gt;&lt;Author&gt;National Institute for Health and Care Excellence&lt;/Author&gt;&lt;Year&gt;2012&lt;/Year&gt;&lt;RecNum&gt;5756&lt;/RecNum&gt;&lt;DisplayText&gt;&lt;style face="superscript"&gt;103&lt;/style&gt;&lt;/DisplayText&gt;&lt;record&gt;&lt;rec-number&gt;5756&lt;/rec-number&gt;&lt;foreign-keys&gt;&lt;key app="EN" db-id="2ewa9rrvjsdsawep2vpx5x97eedzzvxx5rta" timestamp="1478679952"&gt;5756&lt;/key&gt;&lt;/foreign-keys&gt;&lt;ref-type name="Report"&gt;27&lt;/ref-type&gt;&lt;contributors&gt;&lt;authors&gt;&lt;author&gt;National Institute for Health and Care Excellence,&lt;/author&gt;&lt;/authors&gt;&lt;/contributors&gt;&lt;titles&gt;&lt;title&gt;Apixaban for the Prevention of Stroke and Systemic Embolism in People with Non-valvular Atrial Fibrillation: STA Report&lt;/title&gt;&lt;/titles&gt;&lt;dates&gt;&lt;year&gt;2012&lt;/year&gt;&lt;/dates&gt;&lt;pub-location&gt;London&lt;/pub-location&gt;&lt;publisher&gt;NICE&lt;/publisher&gt;&lt;urls&gt;&lt;/urls&gt;&lt;/record&gt;&lt;/Cite&gt;&lt;/EndNote&gt;</w:instrText>
      </w:r>
      <w:r w:rsidR="009F4829" w:rsidRPr="00296D0C">
        <w:rPr>
          <w:rFonts w:cs="Arial"/>
        </w:rPr>
        <w:fldChar w:fldCharType="separate"/>
      </w:r>
      <w:r w:rsidR="008C43BF" w:rsidRPr="008C43BF">
        <w:rPr>
          <w:rFonts w:cs="Arial"/>
          <w:noProof/>
          <w:vertAlign w:val="superscript"/>
        </w:rPr>
        <w:t>103</w:t>
      </w:r>
      <w:r w:rsidR="009F4829" w:rsidRPr="00296D0C">
        <w:rPr>
          <w:rFonts w:cs="Arial"/>
        </w:rPr>
        <w:fldChar w:fldCharType="end"/>
      </w:r>
      <w:r w:rsidRPr="00296D0C">
        <w:rPr>
          <w:rFonts w:cs="Arial"/>
        </w:rPr>
        <w:t>).</w:t>
      </w:r>
    </w:p>
    <w:p w14:paraId="450DCB87" w14:textId="77777777" w:rsidR="00AA5D61" w:rsidRPr="00296D0C" w:rsidRDefault="00AA5D61" w:rsidP="00507D7B">
      <w:pPr>
        <w:spacing w:after="0" w:line="360" w:lineRule="auto"/>
        <w:rPr>
          <w:rFonts w:cs="Arial"/>
        </w:rPr>
      </w:pPr>
    </w:p>
    <w:p w14:paraId="7284F0AB" w14:textId="77777777" w:rsidR="00861557" w:rsidRPr="00296D0C" w:rsidRDefault="00861557" w:rsidP="000C3DC3">
      <w:pPr>
        <w:rPr>
          <w:rFonts w:cs="Arial"/>
        </w:rPr>
      </w:pPr>
      <w:r w:rsidRPr="00296D0C">
        <w:rPr>
          <w:rFonts w:cs="Arial"/>
        </w:rPr>
        <w:t>Stroke</w:t>
      </w:r>
    </w:p>
    <w:p w14:paraId="7111CFA5" w14:textId="4DDF5A01" w:rsidR="00861557" w:rsidRPr="00296D0C" w:rsidRDefault="00861557" w:rsidP="00507D7B">
      <w:pPr>
        <w:spacing w:after="0" w:line="360" w:lineRule="auto"/>
        <w:rPr>
          <w:rFonts w:cs="Arial"/>
        </w:rPr>
      </w:pPr>
      <w:r w:rsidRPr="00296D0C">
        <w:rPr>
          <w:rFonts w:cs="Arial"/>
        </w:rPr>
        <w:t>One systematic review was identified (Post et al.</w:t>
      </w:r>
      <w:r w:rsidR="00916192" w:rsidRPr="00296D0C">
        <w:rPr>
          <w:rFonts w:cs="Arial"/>
        </w:rPr>
        <w:t>,</w:t>
      </w:r>
      <w:r w:rsidRPr="00296D0C">
        <w:rPr>
          <w:rFonts w:cs="Arial"/>
        </w:rPr>
        <w:t xml:space="preserve"> 2001</w:t>
      </w:r>
      <w:r w:rsidR="00E22C01" w:rsidRPr="00296D0C">
        <w:rPr>
          <w:rFonts w:cs="Arial"/>
        </w:rPr>
        <w:t xml:space="preserve"> </w:t>
      </w:r>
      <w:r w:rsidR="00035556" w:rsidRPr="00296D0C">
        <w:rPr>
          <w:rFonts w:cs="Arial"/>
        </w:rPr>
        <w:fldChar w:fldCharType="begin"/>
      </w:r>
      <w:r w:rsidR="008C43BF">
        <w:rPr>
          <w:rFonts w:cs="Arial"/>
        </w:rPr>
        <w:instrText xml:space="preserve"> ADDIN EN.CITE &lt;EndNote&gt;&lt;Cite&gt;&lt;Author&gt;Post&lt;/Author&gt;&lt;Year&gt;2001&lt;/Year&gt;&lt;RecNum&gt;5761&lt;/RecNum&gt;&lt;DisplayText&gt;&lt;style face="superscript"&gt;104&lt;/style&gt;&lt;/DisplayText&gt;&lt;record&gt;&lt;rec-number&gt;5761&lt;/rec-number&gt;&lt;foreign-keys&gt;&lt;key app="EN" db-id="2ewa9rrvjsdsawep2vpx5x97eedzzvxx5rta" timestamp="1478679952"&gt;5761&lt;/key&gt;&lt;/foreign-keys&gt;&lt;ref-type name="Journal Article"&gt;17&lt;/ref-type&gt;&lt;contributors&gt;&lt;authors&gt;&lt;author&gt;Post, P. N.&lt;/author&gt;&lt;author&gt;Stiggelbout, A. M.&lt;/author&gt;&lt;author&gt;Wakker, P. P.&lt;/author&gt;&lt;/authors&gt;&lt;/contributors&gt;&lt;auth-address&gt;Department of Medical Decision Making, Leiden University Medical Center, Netherlands. P.N.Post@lumc.nl&lt;/auth-address&gt;&lt;titles&gt;&lt;title&gt;The utility of health states after stroke: a systematic review of the literature&lt;/title&gt;&lt;secondary-title&gt;Stroke&lt;/secondary-title&gt;&lt;/titles&gt;&lt;periodical&gt;&lt;full-title&gt;Stroke&lt;/full-title&gt;&lt;abbr-1&gt;Stroke&lt;/abbr-1&gt;&lt;abbr-2&gt;Stroke&lt;/abbr-2&gt;&lt;/periodical&gt;&lt;pages&gt;1425-9&lt;/pages&gt;&lt;volume&gt;32&lt;/volume&gt;&lt;number&gt;6&lt;/number&gt;&lt;keywords&gt;&lt;keyword&gt;Adolescent&lt;/keyword&gt;&lt;keyword&gt;Adult&lt;/keyword&gt;&lt;keyword&gt;Aged&lt;/keyword&gt;&lt;keyword&gt;Aged, 80 and over&lt;/keyword&gt;&lt;keyword&gt;Comorbidity&lt;/keyword&gt;&lt;keyword&gt;Cost-Benefit Analysis/standards&lt;/keyword&gt;&lt;keyword&gt;*Decision Support Techniques&lt;/keyword&gt;&lt;keyword&gt;Female&lt;/keyword&gt;&lt;keyword&gt;*Health Status Indicators&lt;/keyword&gt;&lt;keyword&gt;Humans&lt;/keyword&gt;&lt;keyword&gt;Male&lt;/keyword&gt;&lt;keyword&gt;Middle Aged&lt;/keyword&gt;&lt;keyword&gt;*Models, Statistical&lt;/keyword&gt;&lt;keyword&gt;Nervous System Diseases/*epidemiology&lt;/keyword&gt;&lt;keyword&gt;Quality of Life&lt;/keyword&gt;&lt;keyword&gt;Risk Adjustment/standards&lt;/keyword&gt;&lt;keyword&gt;Stroke/classification/economics/*epidemiology&lt;/keyword&gt;&lt;keyword&gt;Survivors&lt;/keyword&gt;&lt;/keywords&gt;&lt;dates&gt;&lt;year&gt;2001&lt;/year&gt;&lt;pub-dates&gt;&lt;date&gt;Jun&lt;/date&gt;&lt;/pub-dates&gt;&lt;/dates&gt;&lt;isbn&gt;1524-4628 (Electronic)&amp;#xD;0039-2499 (Linking)&lt;/isbn&gt;&lt;accession-num&gt;11387509&lt;/accession-num&gt;&lt;urls&gt;&lt;related-urls&gt;&lt;url&gt;http://www.ncbi.nlm.nih.gov/pubmed/11387509&lt;/url&gt;&lt;/related-urls&gt;&lt;/urls&gt;&lt;/record&gt;&lt;/Cite&gt;&lt;/EndNote&gt;</w:instrText>
      </w:r>
      <w:r w:rsidR="00035556" w:rsidRPr="00296D0C">
        <w:rPr>
          <w:rFonts w:cs="Arial"/>
        </w:rPr>
        <w:fldChar w:fldCharType="separate"/>
      </w:r>
      <w:r w:rsidR="008C43BF" w:rsidRPr="008C43BF">
        <w:rPr>
          <w:rFonts w:cs="Arial"/>
          <w:noProof/>
          <w:vertAlign w:val="superscript"/>
        </w:rPr>
        <w:t>104</w:t>
      </w:r>
      <w:r w:rsidR="00035556" w:rsidRPr="00296D0C">
        <w:rPr>
          <w:rFonts w:cs="Arial"/>
        </w:rPr>
        <w:fldChar w:fldCharType="end"/>
      </w:r>
      <w:r w:rsidRPr="00296D0C">
        <w:rPr>
          <w:rFonts w:cs="Arial"/>
        </w:rPr>
        <w:t>), which reviewed evidence on health state values for stroke. Mean utilities of major stroke (Rankin Scale 4 to 5) and minor stroke (Rankin Scale 2 to 3) were presented, stratified by study design and elicitation method. A total of 23 studies were included in the review. Study populations in the included studies were healthy people, people at risk for stroke, or stroke survivors.  The studies included in the review reporting data from general public (non-patient, healthy participants) were considered most relevant to the health state used in the Exeter Obesity Model (Adar et al., 1994</w:t>
      </w:r>
      <w:r w:rsidR="00035556" w:rsidRPr="00296D0C">
        <w:rPr>
          <w:rFonts w:cs="Arial"/>
        </w:rPr>
        <w:t xml:space="preserve"> </w:t>
      </w:r>
      <w:r w:rsidR="00035556" w:rsidRPr="00296D0C">
        <w:rPr>
          <w:rFonts w:cs="Arial"/>
        </w:rPr>
        <w:fldChar w:fldCharType="begin">
          <w:fldData xml:space="preserve">PEVuZE5vdGU+PENpdGU+PEF1dGhvcj5BZGFyPC9BdXRob3I+PFllYXI+MTk5NDwvWWVhcj48UmVj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</w:fldData>
        </w:fldChar>
      </w:r>
      <w:r w:rsidR="008C43BF">
        <w:rPr>
          <w:rFonts w:cs="Arial"/>
        </w:rPr>
        <w:instrText xml:space="preserve"> ADDIN EN.CITE </w:instrText>
      </w:r>
      <w:r w:rsidR="008C43BF">
        <w:rPr>
          <w:rFonts w:cs="Arial"/>
        </w:rPr>
        <w:fldChar w:fldCharType="begin">
          <w:fldData xml:space="preserve">PEVuZE5vdGU+PENpdGU+PEF1dGhvcj5BZGFyPC9BdXRob3I+PFllYXI+MTk5NDwvWWVhcj48UmVj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</w:fldData>
        </w:fldChar>
      </w:r>
      <w:r w:rsidR="008C43BF">
        <w:rPr>
          <w:rFonts w:cs="Arial"/>
        </w:rPr>
        <w:instrText xml:space="preserve"> ADDIN EN.CITE.DATA </w:instrText>
      </w:r>
      <w:r w:rsidR="008C43BF">
        <w:rPr>
          <w:rFonts w:cs="Arial"/>
        </w:rPr>
      </w:r>
      <w:r w:rsidR="008C43BF">
        <w:rPr>
          <w:rFonts w:cs="Arial"/>
        </w:rPr>
        <w:fldChar w:fldCharType="end"/>
      </w:r>
      <w:r w:rsidR="00035556" w:rsidRPr="00296D0C">
        <w:rPr>
          <w:rFonts w:cs="Arial"/>
        </w:rPr>
      </w:r>
      <w:r w:rsidR="00035556" w:rsidRPr="00296D0C">
        <w:rPr>
          <w:rFonts w:cs="Arial"/>
        </w:rPr>
        <w:fldChar w:fldCharType="separate"/>
      </w:r>
      <w:r w:rsidR="008C43BF" w:rsidRPr="008C43BF">
        <w:rPr>
          <w:rFonts w:cs="Arial"/>
          <w:noProof/>
          <w:vertAlign w:val="superscript"/>
        </w:rPr>
        <w:t>105</w:t>
      </w:r>
      <w:r w:rsidR="00035556" w:rsidRPr="00296D0C">
        <w:rPr>
          <w:rFonts w:cs="Arial"/>
        </w:rPr>
        <w:fldChar w:fldCharType="end"/>
      </w:r>
      <w:r w:rsidRPr="00296D0C">
        <w:rPr>
          <w:rFonts w:cs="Arial"/>
        </w:rPr>
        <w:t>; Hallan et al., 1999</w:t>
      </w:r>
      <w:r w:rsidR="00035556" w:rsidRPr="00296D0C">
        <w:rPr>
          <w:rFonts w:cs="Arial"/>
        </w:rPr>
        <w:t xml:space="preserve"> </w:t>
      </w:r>
      <w:r w:rsidR="00035556" w:rsidRPr="00296D0C">
        <w:rPr>
          <w:rFonts w:cs="Arial"/>
        </w:rPr>
        <w:fldChar w:fldCharType="begin"/>
      </w:r>
      <w:r w:rsidR="008C43BF">
        <w:rPr>
          <w:rFonts w:cs="Arial"/>
        </w:rPr>
        <w:instrText xml:space="preserve"> ADDIN EN.CITE &lt;EndNote&gt;&lt;Cite&gt;&lt;Author&gt;Hallan&lt;/Author&gt;&lt;Year&gt;1999&lt;/Year&gt;&lt;RecNum&gt;5744&lt;/RecNum&gt;&lt;DisplayText&gt;&lt;style face="superscript"&gt;106&lt;/style&gt;&lt;/DisplayText&gt;&lt;record&gt;&lt;rec-number&gt;5744&lt;/rec-number&gt;&lt;foreign-keys&gt;&lt;key app="EN" db-id="2ewa9rrvjsdsawep2vpx5x97eedzzvxx5rta" timestamp="1478679952"&gt;5744&lt;/key&gt;&lt;/foreign-keys&gt;&lt;ref-type name="Journal Article"&gt;17&lt;/ref-type&gt;&lt;contributors&gt;&lt;authors&gt;&lt;author&gt;Hallan, S.&lt;/author&gt;&lt;author&gt;Asberg, A.&lt;/author&gt;&lt;author&gt;Indredavik, B.&lt;/author&gt;&lt;author&gt;Wideroe, T. E.&lt;/author&gt;&lt;/authors&gt;&lt;/contributors&gt;&lt;auth-address&gt;Department of Medicine, University Hospital of Trondheim, Norway.&lt;/auth-address&gt;&lt;titles&gt;&lt;title&gt;Quality of life after cerebrovascular stroke: a systematic study of patients&amp;apos; preferences for different functional outcomes&lt;/title&gt;&lt;secondary-title&gt;J Intern Med&lt;/secondary-title&gt;&lt;/titles&gt;&lt;periodical&gt;&lt;full-title&gt;Journal of Internal Medicine&lt;/full-title&gt;&lt;abbr-1&gt;J. Intern. Med.&lt;/abbr-1&gt;&lt;abbr-2&gt;J Intern Med&lt;/abbr-2&gt;&lt;/periodical&gt;&lt;pages&gt;309-16&lt;/pages&gt;&lt;volume&gt;246&lt;/volume&gt;&lt;number&gt;3&lt;/number&gt;&lt;keywords&gt;&lt;keyword&gt;Adult&lt;/keyword&gt;&lt;keyword&gt;Age Factors&lt;/keyword&gt;&lt;keyword&gt;Aged&lt;/keyword&gt;&lt;keyword&gt;Aged, 80 and over&lt;/keyword&gt;&lt;keyword&gt;Cerebrovascular Disorders/*physiopathology/*psychology&lt;/keyword&gt;&lt;keyword&gt;Decision Support Techniques&lt;/keyword&gt;&lt;keyword&gt;Female&lt;/keyword&gt;&lt;keyword&gt;Humans&lt;/keyword&gt;&lt;keyword&gt;Male&lt;/keyword&gt;&lt;keyword&gt;Marital Status&lt;/keyword&gt;&lt;keyword&gt;Middle Aged&lt;/keyword&gt;&lt;keyword&gt;*Quality of Life&lt;/keyword&gt;&lt;keyword&gt;Recurrence&lt;/keyword&gt;&lt;keyword&gt;Treatment Outcome&lt;/keyword&gt;&lt;/keywords&gt;&lt;dates&gt;&lt;year&gt;1999&lt;/year&gt;&lt;pub-dates&gt;&lt;date&gt;Sep&lt;/date&gt;&lt;/pub-dates&gt;&lt;/dates&gt;&lt;isbn&gt;0954-6820 (Print)&amp;#xD;0954-6820 (Linking)&lt;/isbn&gt;&lt;accession-num&gt;10475999&lt;/accession-num&gt;&lt;urls&gt;&lt;related-urls&gt;&lt;url&gt;http://www.ncbi.nlm.nih.gov/pubmed/10475999&lt;/url&gt;&lt;/related-urls&gt;&lt;/urls&gt;&lt;/record&gt;&lt;/Cite&gt;&lt;/EndNote&gt;</w:instrText>
      </w:r>
      <w:r w:rsidR="00035556" w:rsidRPr="00296D0C">
        <w:rPr>
          <w:rFonts w:cs="Arial"/>
        </w:rPr>
        <w:fldChar w:fldCharType="separate"/>
      </w:r>
      <w:r w:rsidR="008C43BF" w:rsidRPr="008C43BF">
        <w:rPr>
          <w:rFonts w:cs="Arial"/>
          <w:noProof/>
          <w:vertAlign w:val="superscript"/>
        </w:rPr>
        <w:t>106</w:t>
      </w:r>
      <w:r w:rsidR="00035556" w:rsidRPr="00296D0C">
        <w:rPr>
          <w:rFonts w:cs="Arial"/>
        </w:rPr>
        <w:fldChar w:fldCharType="end"/>
      </w:r>
      <w:r w:rsidRPr="00296D0C">
        <w:rPr>
          <w:rFonts w:cs="Arial"/>
        </w:rPr>
        <w:t>; Lenert et al.,</w:t>
      </w:r>
      <w:r w:rsidR="00916192" w:rsidRPr="00296D0C">
        <w:rPr>
          <w:rFonts w:cs="Arial"/>
        </w:rPr>
        <w:t xml:space="preserve"> </w:t>
      </w:r>
      <w:r w:rsidRPr="00296D0C">
        <w:rPr>
          <w:rFonts w:cs="Arial"/>
        </w:rPr>
        <w:t>1997</w:t>
      </w:r>
      <w:r w:rsidR="00035556" w:rsidRPr="00296D0C">
        <w:rPr>
          <w:rFonts w:cs="Arial"/>
        </w:rPr>
        <w:t xml:space="preserve"> </w:t>
      </w:r>
      <w:r w:rsidR="00035556" w:rsidRPr="00296D0C">
        <w:rPr>
          <w:rFonts w:cs="Arial"/>
        </w:rPr>
        <w:fldChar w:fldCharType="begin">
          <w:fldData xml:space="preserve">PEVuZE5vdGU+PENpdGU+PEF1dGhvcj5MZW5lcnQ8L0F1dGhvcj48WWVhcj4xOTk3PC9ZZWFyPjxS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</w:fldData>
        </w:fldChar>
      </w:r>
      <w:r w:rsidR="008C43BF">
        <w:rPr>
          <w:rFonts w:cs="Arial"/>
        </w:rPr>
        <w:instrText xml:space="preserve"> ADDIN EN.CITE </w:instrText>
      </w:r>
      <w:r w:rsidR="008C43BF">
        <w:rPr>
          <w:rFonts w:cs="Arial"/>
        </w:rPr>
        <w:fldChar w:fldCharType="begin">
          <w:fldData xml:space="preserve">PEVuZE5vdGU+PENpdGU+PEF1dGhvcj5MZW5lcnQ8L0F1dGhvcj48WWVhcj4xOTk3PC9ZZWFyPjxS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</w:fldData>
        </w:fldChar>
      </w:r>
      <w:r w:rsidR="008C43BF">
        <w:rPr>
          <w:rFonts w:cs="Arial"/>
        </w:rPr>
        <w:instrText xml:space="preserve"> ADDIN EN.CITE.DATA </w:instrText>
      </w:r>
      <w:r w:rsidR="008C43BF">
        <w:rPr>
          <w:rFonts w:cs="Arial"/>
        </w:rPr>
      </w:r>
      <w:r w:rsidR="008C43BF">
        <w:rPr>
          <w:rFonts w:cs="Arial"/>
        </w:rPr>
        <w:fldChar w:fldCharType="end"/>
      </w:r>
      <w:r w:rsidR="00035556" w:rsidRPr="00296D0C">
        <w:rPr>
          <w:rFonts w:cs="Arial"/>
        </w:rPr>
      </w:r>
      <w:r w:rsidR="00035556" w:rsidRPr="00296D0C">
        <w:rPr>
          <w:rFonts w:cs="Arial"/>
        </w:rPr>
        <w:fldChar w:fldCharType="separate"/>
      </w:r>
      <w:r w:rsidR="008C43BF" w:rsidRPr="008C43BF">
        <w:rPr>
          <w:rFonts w:cs="Arial"/>
          <w:noProof/>
          <w:vertAlign w:val="superscript"/>
        </w:rPr>
        <w:t>107</w:t>
      </w:r>
      <w:r w:rsidR="00035556" w:rsidRPr="00296D0C">
        <w:rPr>
          <w:rFonts w:cs="Arial"/>
        </w:rPr>
        <w:fldChar w:fldCharType="end"/>
      </w:r>
      <w:r w:rsidRPr="00296D0C">
        <w:rPr>
          <w:rFonts w:cs="Arial"/>
        </w:rPr>
        <w:t>; and, Man-Son-Hing et al., 2000</w:t>
      </w:r>
      <w:r w:rsidR="00035556" w:rsidRPr="00296D0C">
        <w:rPr>
          <w:rFonts w:cs="Arial"/>
        </w:rPr>
        <w:t xml:space="preserve"> </w:t>
      </w:r>
      <w:r w:rsidR="00035556" w:rsidRPr="00296D0C">
        <w:rPr>
          <w:rFonts w:cs="Arial"/>
        </w:rPr>
        <w:fldChar w:fldCharType="begin">
          <w:fldData xml:space="preserve">PEVuZE5vdGU+PENpdGU+PEF1dGhvcj5NYW4tU29uLUhpbmc8L0F1dGhvcj48WWVhcj4yMDAwPC9Z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=
</w:fldData>
        </w:fldChar>
      </w:r>
      <w:r w:rsidR="008C43BF">
        <w:rPr>
          <w:rFonts w:cs="Arial"/>
        </w:rPr>
        <w:instrText xml:space="preserve"> ADDIN EN.CITE </w:instrText>
      </w:r>
      <w:r w:rsidR="008C43BF">
        <w:rPr>
          <w:rFonts w:cs="Arial"/>
        </w:rPr>
        <w:fldChar w:fldCharType="begin">
          <w:fldData xml:space="preserve">PEVuZE5vdGU+PENpdGU+PEF1dGhvcj5NYW4tU29uLUhpbmc8L0F1dGhvcj48WWVhcj4yMDAwPC9Z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=
</w:fldData>
        </w:fldChar>
      </w:r>
      <w:r w:rsidR="008C43BF">
        <w:rPr>
          <w:rFonts w:cs="Arial"/>
        </w:rPr>
        <w:instrText xml:space="preserve"> ADDIN EN.CITE.DATA </w:instrText>
      </w:r>
      <w:r w:rsidR="008C43BF">
        <w:rPr>
          <w:rFonts w:cs="Arial"/>
        </w:rPr>
      </w:r>
      <w:r w:rsidR="008C43BF">
        <w:rPr>
          <w:rFonts w:cs="Arial"/>
        </w:rPr>
        <w:fldChar w:fldCharType="end"/>
      </w:r>
      <w:r w:rsidR="00035556" w:rsidRPr="00296D0C">
        <w:rPr>
          <w:rFonts w:cs="Arial"/>
        </w:rPr>
      </w:r>
      <w:r w:rsidR="00035556" w:rsidRPr="00296D0C">
        <w:rPr>
          <w:rFonts w:cs="Arial"/>
        </w:rPr>
        <w:fldChar w:fldCharType="separate"/>
      </w:r>
      <w:r w:rsidR="008C43BF" w:rsidRPr="008C43BF">
        <w:rPr>
          <w:rFonts w:cs="Arial"/>
          <w:noProof/>
          <w:vertAlign w:val="superscript"/>
        </w:rPr>
        <w:t>108</w:t>
      </w:r>
      <w:r w:rsidR="00035556" w:rsidRPr="00296D0C">
        <w:rPr>
          <w:rFonts w:cs="Arial"/>
        </w:rPr>
        <w:fldChar w:fldCharType="end"/>
      </w:r>
      <w:r w:rsidRPr="00296D0C">
        <w:rPr>
          <w:rFonts w:cs="Arial"/>
        </w:rPr>
        <w:t>). However, two of these studies used only the visual analogue scale (VAS) to elicit utilities (Adar et al., 1994</w:t>
      </w:r>
      <w:r w:rsidR="00035556" w:rsidRPr="00296D0C">
        <w:rPr>
          <w:rFonts w:cs="Arial"/>
        </w:rPr>
        <w:t xml:space="preserve"> </w:t>
      </w:r>
      <w:r w:rsidR="00035556" w:rsidRPr="00296D0C">
        <w:rPr>
          <w:rFonts w:cs="Arial"/>
        </w:rPr>
        <w:fldChar w:fldCharType="begin">
          <w:fldData xml:space="preserve">PEVuZE5vdGU+PENpdGU+PEF1dGhvcj5BZGFyPC9BdXRob3I+PFllYXI+MTk5NDwvWWVhcj48UmVj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</w:fldData>
        </w:fldChar>
      </w:r>
      <w:r w:rsidR="008C43BF">
        <w:rPr>
          <w:rFonts w:cs="Arial"/>
        </w:rPr>
        <w:instrText xml:space="preserve"> ADDIN EN.CITE </w:instrText>
      </w:r>
      <w:r w:rsidR="008C43BF">
        <w:rPr>
          <w:rFonts w:cs="Arial"/>
        </w:rPr>
        <w:fldChar w:fldCharType="begin">
          <w:fldData xml:space="preserve">PEVuZE5vdGU+PENpdGU+PEF1dGhvcj5BZGFyPC9BdXRob3I+PFllYXI+MTk5NDwvWWVhcj48UmVj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</w:fldData>
        </w:fldChar>
      </w:r>
      <w:r w:rsidR="008C43BF">
        <w:rPr>
          <w:rFonts w:cs="Arial"/>
        </w:rPr>
        <w:instrText xml:space="preserve"> ADDIN EN.CITE.DATA </w:instrText>
      </w:r>
      <w:r w:rsidR="008C43BF">
        <w:rPr>
          <w:rFonts w:cs="Arial"/>
        </w:rPr>
      </w:r>
      <w:r w:rsidR="008C43BF">
        <w:rPr>
          <w:rFonts w:cs="Arial"/>
        </w:rPr>
        <w:fldChar w:fldCharType="end"/>
      </w:r>
      <w:r w:rsidR="00035556" w:rsidRPr="00296D0C">
        <w:rPr>
          <w:rFonts w:cs="Arial"/>
        </w:rPr>
      </w:r>
      <w:r w:rsidR="00035556" w:rsidRPr="00296D0C">
        <w:rPr>
          <w:rFonts w:cs="Arial"/>
        </w:rPr>
        <w:fldChar w:fldCharType="separate"/>
      </w:r>
      <w:r w:rsidR="008C43BF" w:rsidRPr="008C43BF">
        <w:rPr>
          <w:rFonts w:cs="Arial"/>
          <w:noProof/>
          <w:vertAlign w:val="superscript"/>
        </w:rPr>
        <w:t>105</w:t>
      </w:r>
      <w:r w:rsidR="00035556" w:rsidRPr="00296D0C">
        <w:rPr>
          <w:rFonts w:cs="Arial"/>
        </w:rPr>
        <w:fldChar w:fldCharType="end"/>
      </w:r>
      <w:r w:rsidRPr="00296D0C">
        <w:rPr>
          <w:rFonts w:cs="Arial"/>
        </w:rPr>
        <w:t>; Man-Son-Hing et al., 2000</w:t>
      </w:r>
      <w:r w:rsidR="00035556" w:rsidRPr="00296D0C">
        <w:rPr>
          <w:rFonts w:cs="Arial"/>
        </w:rPr>
        <w:t xml:space="preserve"> </w:t>
      </w:r>
      <w:r w:rsidR="00035556" w:rsidRPr="00296D0C">
        <w:rPr>
          <w:rFonts w:cs="Arial"/>
        </w:rPr>
        <w:fldChar w:fldCharType="begin">
          <w:fldData xml:space="preserve">PEVuZE5vdGU+PENpdGU+PEF1dGhvcj5NYW4tU29uLUhpbmc8L0F1dGhvcj48WWVhcj4yMDAwPC9Z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=
</w:fldData>
        </w:fldChar>
      </w:r>
      <w:r w:rsidR="008C43BF">
        <w:rPr>
          <w:rFonts w:cs="Arial"/>
        </w:rPr>
        <w:instrText xml:space="preserve"> ADDIN EN.CITE </w:instrText>
      </w:r>
      <w:r w:rsidR="008C43BF">
        <w:rPr>
          <w:rFonts w:cs="Arial"/>
        </w:rPr>
        <w:fldChar w:fldCharType="begin">
          <w:fldData xml:space="preserve">PEVuZE5vdGU+PENpdGU+PEF1dGhvcj5NYW4tU29uLUhpbmc8L0F1dGhvcj48WWVhcj4yMDAwPC9Z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=
</w:fldData>
        </w:fldChar>
      </w:r>
      <w:r w:rsidR="008C43BF">
        <w:rPr>
          <w:rFonts w:cs="Arial"/>
        </w:rPr>
        <w:instrText xml:space="preserve"> ADDIN EN.CITE.DATA </w:instrText>
      </w:r>
      <w:r w:rsidR="008C43BF">
        <w:rPr>
          <w:rFonts w:cs="Arial"/>
        </w:rPr>
      </w:r>
      <w:r w:rsidR="008C43BF">
        <w:rPr>
          <w:rFonts w:cs="Arial"/>
        </w:rPr>
        <w:fldChar w:fldCharType="end"/>
      </w:r>
      <w:r w:rsidR="00035556" w:rsidRPr="00296D0C">
        <w:rPr>
          <w:rFonts w:cs="Arial"/>
        </w:rPr>
      </w:r>
      <w:r w:rsidR="00035556" w:rsidRPr="00296D0C">
        <w:rPr>
          <w:rFonts w:cs="Arial"/>
        </w:rPr>
        <w:fldChar w:fldCharType="separate"/>
      </w:r>
      <w:r w:rsidR="008C43BF" w:rsidRPr="008C43BF">
        <w:rPr>
          <w:rFonts w:cs="Arial"/>
          <w:noProof/>
          <w:vertAlign w:val="superscript"/>
        </w:rPr>
        <w:t>108</w:t>
      </w:r>
      <w:r w:rsidR="00035556" w:rsidRPr="00296D0C">
        <w:rPr>
          <w:rFonts w:cs="Arial"/>
        </w:rPr>
        <w:fldChar w:fldCharType="end"/>
      </w:r>
      <w:r w:rsidRPr="00296D0C">
        <w:rPr>
          <w:rFonts w:cs="Arial"/>
        </w:rPr>
        <w:t>), and the remaining studies used mixed samples, and had relatively small sample sizes.  The supplementary searches carried out to identify utility values for CHD identified one paper (Matza et al., 2015</w:t>
      </w:r>
      <w:r w:rsidR="00035556" w:rsidRPr="00296D0C">
        <w:rPr>
          <w:rFonts w:cs="Arial"/>
        </w:rPr>
        <w:t xml:space="preserve"> </w:t>
      </w:r>
      <w:r w:rsidR="005A361E" w:rsidRPr="00296D0C">
        <w:rPr>
          <w:rFonts w:cs="Arial"/>
        </w:rPr>
        <w:fldChar w:fldCharType="begin">
          <w:fldData xml:space="preserve">PEVuZE5vdGU+PENpdGU+PEF1dGhvcj5NYXR6YTwvQXV0aG9yPjxZZWFyPjIwMTU8L1llYXI+PFJl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</w:fldData>
        </w:fldChar>
      </w:r>
      <w:r w:rsidR="008C43BF">
        <w:rPr>
          <w:rFonts w:cs="Arial"/>
        </w:rPr>
        <w:instrText xml:space="preserve"> ADDIN EN.CITE </w:instrText>
      </w:r>
      <w:r w:rsidR="008C43BF">
        <w:rPr>
          <w:rFonts w:cs="Arial"/>
        </w:rPr>
        <w:fldChar w:fldCharType="begin">
          <w:fldData xml:space="preserve">PEVuZE5vdGU+PENpdGU+PEF1dGhvcj5NYXR6YTwvQXV0aG9yPjxZZWFyPjIwMTU8L1llYXI+PFJl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</w:fldData>
        </w:fldChar>
      </w:r>
      <w:r w:rsidR="008C43BF">
        <w:rPr>
          <w:rFonts w:cs="Arial"/>
        </w:rPr>
        <w:instrText xml:space="preserve"> ADDIN EN.CITE.DATA </w:instrText>
      </w:r>
      <w:r w:rsidR="008C43BF">
        <w:rPr>
          <w:rFonts w:cs="Arial"/>
        </w:rPr>
      </w:r>
      <w:r w:rsidR="008C43BF">
        <w:rPr>
          <w:rFonts w:cs="Arial"/>
        </w:rPr>
        <w:fldChar w:fldCharType="end"/>
      </w:r>
      <w:r w:rsidR="005A361E" w:rsidRPr="00296D0C">
        <w:rPr>
          <w:rFonts w:cs="Arial"/>
        </w:rPr>
      </w:r>
      <w:r w:rsidR="005A361E" w:rsidRPr="00296D0C">
        <w:rPr>
          <w:rFonts w:cs="Arial"/>
        </w:rPr>
        <w:fldChar w:fldCharType="separate"/>
      </w:r>
      <w:r w:rsidR="008C43BF" w:rsidRPr="008C43BF">
        <w:rPr>
          <w:rFonts w:cs="Arial"/>
          <w:noProof/>
          <w:vertAlign w:val="superscript"/>
        </w:rPr>
        <w:t>96</w:t>
      </w:r>
      <w:r w:rsidR="005A361E" w:rsidRPr="00296D0C">
        <w:rPr>
          <w:rFonts w:cs="Arial"/>
        </w:rPr>
        <w:fldChar w:fldCharType="end"/>
      </w:r>
      <w:r w:rsidRPr="00296D0C">
        <w:rPr>
          <w:rFonts w:cs="Arial"/>
        </w:rPr>
        <w:t>) which also reported health state values for stroke. In that study a number of health state values are reported, including a mean (</w:t>
      </w:r>
      <w:r w:rsidR="0045433E" w:rsidRPr="00296D0C">
        <w:rPr>
          <w:rFonts w:cs="Arial"/>
        </w:rPr>
        <w:t>SD</w:t>
      </w:r>
      <w:r w:rsidRPr="00296D0C">
        <w:rPr>
          <w:rFonts w:cs="Arial"/>
        </w:rPr>
        <w:t>) value of 0.52 (0.38) for chronic stroke.  We also reviewed previous health technology appraisals and clinical guidelines reported by NICE for stroke, identifying data presented for stroke in the appraisal of apixaban for the prevention of stroke and systemic embolism in people with non-valvular atrial fibrillation (NICE, STA Report, 2012</w:t>
      </w:r>
      <w:r w:rsidR="00035556" w:rsidRPr="00296D0C">
        <w:rPr>
          <w:rFonts w:cs="Arial"/>
        </w:rPr>
        <w:t xml:space="preserve"> </w:t>
      </w:r>
      <w:r w:rsidR="005A361E" w:rsidRPr="00296D0C">
        <w:rPr>
          <w:rFonts w:cs="Arial"/>
        </w:rPr>
        <w:fldChar w:fldCharType="begin"/>
      </w:r>
      <w:r w:rsidR="008C43BF">
        <w:rPr>
          <w:rFonts w:cs="Arial"/>
        </w:rPr>
        <w:instrText xml:space="preserve"> ADDIN EN.CITE &lt;EndNote&gt;&lt;Cite&gt;&lt;Author&gt;National Institute for Health and Care Excellence&lt;/Author&gt;&lt;Year&gt;2012&lt;/Year&gt;&lt;RecNum&gt;5756&lt;/RecNum&gt;&lt;DisplayText&gt;&lt;style face="superscript"&gt;103&lt;/style&gt;&lt;/DisplayText&gt;&lt;record&gt;&lt;rec-number&gt;5756&lt;/rec-number&gt;&lt;foreign-keys&gt;&lt;key app="EN" db-id="2ewa9rrvjsdsawep2vpx5x97eedzzvxx5rta" timestamp="1478679952"&gt;5756&lt;/key&gt;&lt;/foreign-keys&gt;&lt;ref-type name="Report"&gt;27&lt;/ref-type&gt;&lt;contributors&gt;&lt;authors&gt;&lt;author&gt;National Institute for Health and Care Excellence,&lt;/author&gt;&lt;/authors&gt;&lt;/contributors&gt;&lt;titles&gt;&lt;title&gt;Apixaban for the Prevention of Stroke and Systemic Embolism in People with Non-valvular Atrial Fibrillation: STA Report&lt;/title&gt;&lt;/titles&gt;&lt;dates&gt;&lt;year&gt;2012&lt;/year&gt;&lt;/dates&gt;&lt;pub-location&gt;London&lt;/pub-location&gt;&lt;publisher&gt;NICE&lt;/publisher&gt;&lt;urls&gt;&lt;/urls&gt;&lt;/record&gt;&lt;/Cite&gt;&lt;/EndNote&gt;</w:instrText>
      </w:r>
      <w:r w:rsidR="005A361E" w:rsidRPr="00296D0C">
        <w:rPr>
          <w:rFonts w:cs="Arial"/>
        </w:rPr>
        <w:fldChar w:fldCharType="separate"/>
      </w:r>
      <w:r w:rsidR="008C43BF" w:rsidRPr="008C43BF">
        <w:rPr>
          <w:rFonts w:cs="Arial"/>
          <w:noProof/>
          <w:vertAlign w:val="superscript"/>
        </w:rPr>
        <w:t>103</w:t>
      </w:r>
      <w:r w:rsidR="005A361E" w:rsidRPr="00296D0C">
        <w:rPr>
          <w:rFonts w:cs="Arial"/>
        </w:rPr>
        <w:fldChar w:fldCharType="end"/>
      </w:r>
      <w:r w:rsidRPr="00296D0C">
        <w:rPr>
          <w:rFonts w:cs="Arial"/>
        </w:rPr>
        <w:t>, Edwards et al</w:t>
      </w:r>
      <w:r w:rsidR="00916192" w:rsidRPr="00296D0C">
        <w:rPr>
          <w:rFonts w:cs="Arial"/>
        </w:rPr>
        <w:t>.</w:t>
      </w:r>
      <w:r w:rsidRPr="00296D0C">
        <w:rPr>
          <w:rFonts w:cs="Arial"/>
        </w:rPr>
        <w:t>, 2012</w:t>
      </w:r>
      <w:r w:rsidR="005A361E" w:rsidRPr="00296D0C">
        <w:rPr>
          <w:rFonts w:cs="Arial"/>
        </w:rPr>
        <w:t xml:space="preserve"> </w:t>
      </w:r>
      <w:r w:rsidR="005A361E" w:rsidRPr="00296D0C">
        <w:rPr>
          <w:rFonts w:cs="Arial"/>
        </w:rPr>
        <w:fldChar w:fldCharType="begin"/>
      </w:r>
      <w:r w:rsidR="008C43BF">
        <w:rPr>
          <w:rFonts w:cs="Arial"/>
        </w:rPr>
        <w:instrText xml:space="preserve"> ADDIN EN.CITE &lt;EndNote&gt;&lt;Cite&gt;&lt;Author&gt;Edwards&lt;/Author&gt;&lt;Year&gt;2012&lt;/Year&gt;&lt;RecNum&gt;5740&lt;/RecNum&gt;&lt;DisplayText&gt;&lt;style face="superscript"&gt;109&lt;/style&gt;&lt;/DisplayText&gt;&lt;record&gt;&lt;rec-number&gt;5740&lt;/rec-number&gt;&lt;foreign-keys&gt;&lt;key app="EN" db-id="2ewa9rrvjsdsawep2vpx5x97eedzzvxx5rta" timestamp="1478679952"&gt;5740&lt;/key&gt;&lt;/foreign-keys&gt;&lt;ref-type name="Report"&gt;27&lt;/ref-type&gt;&lt;contributors&gt;&lt;authors&gt;&lt;author&gt;Edwards, S.J,.&lt;/author&gt;&lt;author&gt;Hamilton, V. &lt;/author&gt;&lt;author&gt;Trevor, N. &lt;/author&gt;&lt;author&gt;Nherera, L.&lt;/author&gt;&lt;author&gt;Karner, C. &lt;/author&gt;&lt;author&gt;Thurgar, E.&lt;/author&gt;&lt;/authors&gt;&lt;/contributors&gt;&lt;titles&gt;&lt;title&gt;Apixaban for the prevention of stroke and systemic embolism in people with non-valvular atrial fibrillation: A Single Technology Appraisal&lt;/title&gt;&lt;/titles&gt;&lt;dates&gt;&lt;year&gt;2012&lt;/year&gt;&lt;/dates&gt;&lt;pub-location&gt;London&lt;/pub-location&gt;&lt;publisher&gt;BMJ-TAG&lt;/publisher&gt;&lt;urls&gt;&lt;/urls&gt;&lt;/record&gt;&lt;/Cite&gt;&lt;/EndNote&gt;</w:instrText>
      </w:r>
      <w:r w:rsidR="005A361E" w:rsidRPr="00296D0C">
        <w:rPr>
          <w:rFonts w:cs="Arial"/>
        </w:rPr>
        <w:fldChar w:fldCharType="separate"/>
      </w:r>
      <w:r w:rsidR="008C43BF" w:rsidRPr="008C43BF">
        <w:rPr>
          <w:rFonts w:cs="Arial"/>
          <w:noProof/>
          <w:vertAlign w:val="superscript"/>
        </w:rPr>
        <w:t>109</w:t>
      </w:r>
      <w:r w:rsidR="005A361E" w:rsidRPr="00296D0C">
        <w:rPr>
          <w:rFonts w:cs="Arial"/>
        </w:rPr>
        <w:fldChar w:fldCharType="end"/>
      </w:r>
      <w:r w:rsidRPr="00296D0C">
        <w:rPr>
          <w:rFonts w:cs="Arial"/>
        </w:rPr>
        <w:t xml:space="preserve">). </w:t>
      </w:r>
    </w:p>
    <w:p w14:paraId="5357F323" w14:textId="20181B25" w:rsidR="00861557" w:rsidRPr="00296D0C" w:rsidRDefault="00861557" w:rsidP="00507D7B">
      <w:pPr>
        <w:spacing w:after="0" w:line="360" w:lineRule="auto"/>
        <w:rPr>
          <w:rFonts w:cs="Arial"/>
        </w:rPr>
      </w:pPr>
      <w:r w:rsidRPr="00296D0C">
        <w:rPr>
          <w:rFonts w:cs="Arial"/>
        </w:rPr>
        <w:t>Considering the varied evidence available, we use the data reported by Matza et al</w:t>
      </w:r>
      <w:r w:rsidR="00916192" w:rsidRPr="00296D0C">
        <w:rPr>
          <w:rFonts w:cs="Arial"/>
        </w:rPr>
        <w:t>.,</w:t>
      </w:r>
      <w:r w:rsidRPr="00296D0C">
        <w:rPr>
          <w:rFonts w:cs="Arial"/>
        </w:rPr>
        <w:t xml:space="preserve"> 2015</w:t>
      </w:r>
      <w:r w:rsidR="00035556" w:rsidRPr="00296D0C">
        <w:rPr>
          <w:rFonts w:cs="Arial"/>
        </w:rPr>
        <w:t xml:space="preserve"> </w:t>
      </w:r>
      <w:r w:rsidR="005A361E" w:rsidRPr="00296D0C">
        <w:rPr>
          <w:rFonts w:cs="Arial"/>
        </w:rPr>
        <w:fldChar w:fldCharType="begin">
          <w:fldData xml:space="preserve">PEVuZE5vdGU+PENpdGU+PEF1dGhvcj5NYXR6YTwvQXV0aG9yPjxZZWFyPjIwMTU8L1llYXI+PFJl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</w:fldData>
        </w:fldChar>
      </w:r>
      <w:r w:rsidR="008C43BF">
        <w:rPr>
          <w:rFonts w:cs="Arial"/>
        </w:rPr>
        <w:instrText xml:space="preserve"> ADDIN EN.CITE </w:instrText>
      </w:r>
      <w:r w:rsidR="008C43BF">
        <w:rPr>
          <w:rFonts w:cs="Arial"/>
        </w:rPr>
        <w:fldChar w:fldCharType="begin">
          <w:fldData xml:space="preserve">PEVuZE5vdGU+PENpdGU+PEF1dGhvcj5NYXR6YTwvQXV0aG9yPjxZZWFyPjIwMTU8L1llYXI+PFJl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</w:fldData>
        </w:fldChar>
      </w:r>
      <w:r w:rsidR="008C43BF">
        <w:rPr>
          <w:rFonts w:cs="Arial"/>
        </w:rPr>
        <w:instrText xml:space="preserve"> ADDIN EN.CITE.DATA </w:instrText>
      </w:r>
      <w:r w:rsidR="008C43BF">
        <w:rPr>
          <w:rFonts w:cs="Arial"/>
        </w:rPr>
      </w:r>
      <w:r w:rsidR="008C43BF">
        <w:rPr>
          <w:rFonts w:cs="Arial"/>
        </w:rPr>
        <w:fldChar w:fldCharType="end"/>
      </w:r>
      <w:r w:rsidR="005A361E" w:rsidRPr="00296D0C">
        <w:rPr>
          <w:rFonts w:cs="Arial"/>
        </w:rPr>
      </w:r>
      <w:r w:rsidR="005A361E" w:rsidRPr="00296D0C">
        <w:rPr>
          <w:rFonts w:cs="Arial"/>
        </w:rPr>
        <w:fldChar w:fldCharType="separate"/>
      </w:r>
      <w:r w:rsidR="008C43BF" w:rsidRPr="008C43BF">
        <w:rPr>
          <w:rFonts w:cs="Arial"/>
          <w:noProof/>
          <w:vertAlign w:val="superscript"/>
        </w:rPr>
        <w:t>96</w:t>
      </w:r>
      <w:r w:rsidR="005A361E" w:rsidRPr="00296D0C">
        <w:rPr>
          <w:rFonts w:cs="Arial"/>
        </w:rPr>
        <w:fldChar w:fldCharType="end"/>
      </w:r>
      <w:r w:rsidRPr="00296D0C">
        <w:rPr>
          <w:rFonts w:cs="Arial"/>
        </w:rPr>
        <w:t xml:space="preserve"> in the base case for the model presented here. This estimate is consistent with health state values used for </w:t>
      </w:r>
      <w:r w:rsidRPr="00296D0C">
        <w:rPr>
          <w:rFonts w:cs="Arial"/>
        </w:rPr>
        <w:lastRenderedPageBreak/>
        <w:t>stroke in prior public health modelling contexts, e.g. exercise referral schemes (Pavey et al., 2011</w:t>
      </w:r>
      <w:r w:rsidR="005A361E" w:rsidRPr="00296D0C">
        <w:rPr>
          <w:rFonts w:cs="Arial"/>
        </w:rPr>
        <w:t xml:space="preserve"> </w:t>
      </w:r>
      <w:r w:rsidR="009F4829" w:rsidRPr="00296D0C">
        <w:rPr>
          <w:rFonts w:cs="Arial"/>
        </w:rPr>
        <w:fldChar w:fldCharType="begin">
          <w:fldData xml:space="preserve">PEVuZE5vdGU+PENpdGU+PEF1dGhvcj5QYXZleTwvQXV0aG9yPjxZZWFyPjIwMTE8L1llYXI+PFJl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</w:fldData>
        </w:fldChar>
      </w:r>
      <w:r w:rsidR="008C43BF">
        <w:rPr>
          <w:rFonts w:cs="Arial"/>
        </w:rPr>
        <w:instrText xml:space="preserve"> ADDIN EN.CITE </w:instrText>
      </w:r>
      <w:r w:rsidR="008C43BF">
        <w:rPr>
          <w:rFonts w:cs="Arial"/>
        </w:rPr>
        <w:fldChar w:fldCharType="begin">
          <w:fldData xml:space="preserve">PEVuZE5vdGU+PENpdGU+PEF1dGhvcj5QYXZleTwvQXV0aG9yPjxZZWFyPjIwMTE8L1llYXI+PFJl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</w:fldData>
        </w:fldChar>
      </w:r>
      <w:r w:rsidR="008C43BF">
        <w:rPr>
          <w:rFonts w:cs="Arial"/>
        </w:rPr>
        <w:instrText xml:space="preserve"> ADDIN EN.CITE.DATA </w:instrText>
      </w:r>
      <w:r w:rsidR="008C43BF">
        <w:rPr>
          <w:rFonts w:cs="Arial"/>
        </w:rPr>
      </w:r>
      <w:r w:rsidR="008C43BF">
        <w:rPr>
          <w:rFonts w:cs="Arial"/>
        </w:rPr>
        <w:fldChar w:fldCharType="end"/>
      </w:r>
      <w:r w:rsidR="009F4829" w:rsidRPr="00296D0C">
        <w:rPr>
          <w:rFonts w:cs="Arial"/>
        </w:rPr>
      </w:r>
      <w:r w:rsidR="009F4829" w:rsidRPr="00296D0C">
        <w:rPr>
          <w:rFonts w:cs="Arial"/>
        </w:rPr>
        <w:fldChar w:fldCharType="separate"/>
      </w:r>
      <w:r w:rsidR="008C43BF" w:rsidRPr="008C43BF">
        <w:rPr>
          <w:rFonts w:cs="Arial"/>
          <w:noProof/>
          <w:vertAlign w:val="superscript"/>
        </w:rPr>
        <w:t>102</w:t>
      </w:r>
      <w:r w:rsidR="009F4829" w:rsidRPr="00296D0C">
        <w:rPr>
          <w:rFonts w:cs="Arial"/>
        </w:rPr>
        <w:fldChar w:fldCharType="end"/>
      </w:r>
      <w:r w:rsidRPr="00296D0C">
        <w:rPr>
          <w:rFonts w:cs="Arial"/>
        </w:rPr>
        <w:t xml:space="preserve">; </w:t>
      </w:r>
      <w:r w:rsidR="005A361E" w:rsidRPr="00296D0C">
        <w:rPr>
          <w:rFonts w:cs="Arial"/>
        </w:rPr>
        <w:t xml:space="preserve">NICE/Matrix report, 2006 </w:t>
      </w:r>
      <w:r w:rsidR="009F4829" w:rsidRPr="00296D0C">
        <w:rPr>
          <w:rFonts w:cs="Arial"/>
        </w:rPr>
        <w:fldChar w:fldCharType="begin"/>
      </w:r>
      <w:r w:rsidR="006B3301">
        <w:rPr>
          <w:rFonts w:cs="Arial"/>
        </w:rPr>
        <w:instrText xml:space="preserve"> ADDIN EN.CITE &lt;EndNote&gt;&lt;Cite&gt;&lt;Author&gt;National Institute for Health and Care Excellence (NICE)&lt;/Author&gt;&lt;Year&gt;2006&lt;/Year&gt;&lt;RecNum&gt;5787&lt;/RecNum&gt;&lt;DisplayText&gt;&lt;style face="superscript"&gt;110&lt;/style&gt;&lt;/DisplayText&gt;&lt;record&gt;&lt;rec-number&gt;5787&lt;/rec-number&gt;&lt;foreign-keys&gt;&lt;key app="EN" db-id="2ewa9rrvjsdsawep2vpx5x97eedzzvxx5rta" timestamp="1478703185"&gt;5787&lt;/key&gt;&lt;/foreign-keys&gt;&lt;ref-type name="Report"&gt;27&lt;/ref-type&gt;&lt;contributors&gt;&lt;authors&gt;&lt;author&gt;National Institute for Health and Care Excellence (NICE),&lt;/author&gt;&lt;/authors&gt;&lt;secondary-authors&gt;&lt;author&gt;Matrix research and consultancy&lt;/author&gt;&lt;/secondary-authors&gt;&lt;/contributors&gt;&lt;titles&gt;&lt;title&gt;Modelling the cost effectiveness of physical activity interventions&lt;/title&gt;&lt;/titles&gt;&lt;dates&gt;&lt;year&gt;2006 &lt;/year&gt;&lt;/dates&gt;&lt;urls&gt;&lt;related-urls&gt;&lt;url&gt;https://www.nice.org.uk/guidance/PH2/documents/physical-activity-economics-modelling-report2&lt;/url&gt;&lt;/related-urls&gt;&lt;/urls&gt;&lt;access-date&gt;15 May 2016&lt;/access-date&gt;&lt;/record&gt;&lt;/Cite&gt;&lt;/EndNote&gt;</w:instrText>
      </w:r>
      <w:r w:rsidR="009F4829" w:rsidRPr="00296D0C">
        <w:rPr>
          <w:rFonts w:cs="Arial"/>
        </w:rPr>
        <w:fldChar w:fldCharType="separate"/>
      </w:r>
      <w:r w:rsidR="008C43BF" w:rsidRPr="008C43BF">
        <w:rPr>
          <w:rFonts w:cs="Arial"/>
          <w:noProof/>
          <w:vertAlign w:val="superscript"/>
        </w:rPr>
        <w:t>110</w:t>
      </w:r>
      <w:r w:rsidR="009F4829" w:rsidRPr="00296D0C">
        <w:rPr>
          <w:rFonts w:cs="Arial"/>
        </w:rPr>
        <w:fldChar w:fldCharType="end"/>
      </w:r>
      <w:r w:rsidRPr="00296D0C">
        <w:rPr>
          <w:rFonts w:cs="Arial"/>
        </w:rPr>
        <w:t>).</w:t>
      </w:r>
    </w:p>
    <w:p w14:paraId="79616A28" w14:textId="77777777" w:rsidR="002F3D51" w:rsidRPr="00296D0C" w:rsidRDefault="002F3D51" w:rsidP="00507D7B">
      <w:pPr>
        <w:spacing w:after="0" w:line="360" w:lineRule="auto"/>
        <w:rPr>
          <w:rFonts w:cs="Arial"/>
        </w:rPr>
      </w:pPr>
    </w:p>
    <w:p w14:paraId="70176BD7" w14:textId="77777777" w:rsidR="00861557" w:rsidRPr="00296D0C" w:rsidRDefault="00861557" w:rsidP="000C3DC3">
      <w:pPr>
        <w:rPr>
          <w:rFonts w:cs="Arial"/>
        </w:rPr>
      </w:pPr>
      <w:r w:rsidRPr="00296D0C">
        <w:rPr>
          <w:rFonts w:cs="Arial"/>
        </w:rPr>
        <w:t>Colorectal cancer</w:t>
      </w:r>
    </w:p>
    <w:p w14:paraId="4D91070C" w14:textId="2BB43E2C" w:rsidR="00861557" w:rsidRPr="00296D0C" w:rsidRDefault="00861557" w:rsidP="00507D7B">
      <w:pPr>
        <w:spacing w:after="0" w:line="360" w:lineRule="auto"/>
        <w:rPr>
          <w:rFonts w:cs="Arial"/>
        </w:rPr>
      </w:pPr>
      <w:r w:rsidRPr="00296D0C">
        <w:rPr>
          <w:rFonts w:cs="Arial"/>
        </w:rPr>
        <w:t>One systematic review was identified (Djalalov et al., 2014</w:t>
      </w:r>
      <w:r w:rsidR="00916192" w:rsidRPr="00296D0C">
        <w:rPr>
          <w:rFonts w:cs="Arial"/>
        </w:rPr>
        <w:t xml:space="preserve"> </w:t>
      </w:r>
      <w:r w:rsidR="00916192" w:rsidRPr="00296D0C">
        <w:rPr>
          <w:rFonts w:cs="Arial"/>
        </w:rPr>
        <w:fldChar w:fldCharType="begin">
          <w:fldData xml:space="preserve">PEVuZE5vdGU+PENpdGU+PEF1dGhvcj5EamFsYWxvdjwvQXV0aG9yPjxZZWFyPjIwMTQ8L1llYXI+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</w:fldData>
        </w:fldChar>
      </w:r>
      <w:r w:rsidR="008C43BF">
        <w:rPr>
          <w:rFonts w:cs="Arial"/>
        </w:rPr>
        <w:instrText xml:space="preserve"> ADDIN EN.CITE </w:instrText>
      </w:r>
      <w:r w:rsidR="008C43BF">
        <w:rPr>
          <w:rFonts w:cs="Arial"/>
        </w:rPr>
        <w:fldChar w:fldCharType="begin">
          <w:fldData xml:space="preserve">PEVuZE5vdGU+PENpdGU+PEF1dGhvcj5EamFsYWxvdjwvQXV0aG9yPjxZZWFyPjIwMTQ8L1llYXI+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</w:fldData>
        </w:fldChar>
      </w:r>
      <w:r w:rsidR="008C43BF">
        <w:rPr>
          <w:rFonts w:cs="Arial"/>
        </w:rPr>
        <w:instrText xml:space="preserve"> ADDIN EN.CITE.DATA </w:instrText>
      </w:r>
      <w:r w:rsidR="008C43BF">
        <w:rPr>
          <w:rFonts w:cs="Arial"/>
        </w:rPr>
      </w:r>
      <w:r w:rsidR="008C43BF">
        <w:rPr>
          <w:rFonts w:cs="Arial"/>
        </w:rPr>
        <w:fldChar w:fldCharType="end"/>
      </w:r>
      <w:r w:rsidR="00916192" w:rsidRPr="00296D0C">
        <w:rPr>
          <w:rFonts w:cs="Arial"/>
        </w:rPr>
      </w:r>
      <w:r w:rsidR="00916192" w:rsidRPr="00296D0C">
        <w:rPr>
          <w:rFonts w:cs="Arial"/>
        </w:rPr>
        <w:fldChar w:fldCharType="separate"/>
      </w:r>
      <w:r w:rsidR="008C43BF" w:rsidRPr="008C43BF">
        <w:rPr>
          <w:rFonts w:cs="Arial"/>
          <w:noProof/>
          <w:vertAlign w:val="superscript"/>
        </w:rPr>
        <w:t>97</w:t>
      </w:r>
      <w:r w:rsidR="00916192" w:rsidRPr="00296D0C">
        <w:rPr>
          <w:rFonts w:cs="Arial"/>
        </w:rPr>
        <w:fldChar w:fldCharType="end"/>
      </w:r>
      <w:r w:rsidRPr="00296D0C">
        <w:rPr>
          <w:rFonts w:cs="Arial"/>
        </w:rPr>
        <w:t xml:space="preserve">) which reviewed evidence on utility weights for </w:t>
      </w:r>
      <w:r w:rsidR="00B74B30" w:rsidRPr="00296D0C">
        <w:rPr>
          <w:rFonts w:cs="Arial"/>
        </w:rPr>
        <w:t>Colorectal Cancer (</w:t>
      </w:r>
      <w:r w:rsidRPr="00296D0C">
        <w:rPr>
          <w:rFonts w:cs="Arial"/>
        </w:rPr>
        <w:t>CRC</w:t>
      </w:r>
      <w:r w:rsidR="00B74B30" w:rsidRPr="00296D0C">
        <w:rPr>
          <w:rFonts w:cs="Arial"/>
        </w:rPr>
        <w:t>)</w:t>
      </w:r>
      <w:r w:rsidRPr="00296D0C">
        <w:rPr>
          <w:rFonts w:cs="Arial"/>
        </w:rPr>
        <w:t xml:space="preserve"> health states. Twenty-six articles met the inclusion criteria for the review.  The authors report a mean EQ-5D health state value of 0.76 (based on 33 reported utilities), and this is used in the current model framework.  This estimate is broadly consistent with data used to inform the NICE technology appraisal of drugs for colorectal cancer (NICE TA176), aligned to first line and second line treatment health states</w:t>
      </w:r>
      <w:r w:rsidR="009F4829" w:rsidRPr="00296D0C">
        <w:rPr>
          <w:rFonts w:cs="Arial"/>
        </w:rPr>
        <w:t xml:space="preserve"> </w:t>
      </w:r>
      <w:r w:rsidR="009F4829" w:rsidRPr="00296D0C">
        <w:rPr>
          <w:rFonts w:cs="Arial"/>
        </w:rPr>
        <w:fldChar w:fldCharType="begin"/>
      </w:r>
      <w:r w:rsidR="006B3301">
        <w:rPr>
          <w:rFonts w:cs="Arial"/>
        </w:rPr>
        <w:instrText xml:space="preserve"> ADDIN EN.CITE &lt;EndNote&gt;&lt;Cite&gt;&lt;Author&gt;National Institute for Health and Care Excellence (NICE)&lt;/Author&gt;&lt;Year&gt;2009&lt;/Year&gt;&lt;RecNum&gt;5788&lt;/RecNum&gt;&lt;DisplayText&gt;&lt;style face="superscript"&gt;111&lt;/style&gt;&lt;/DisplayText&gt;&lt;record&gt;&lt;rec-number&gt;5788&lt;/rec-number&gt;&lt;foreign-keys&gt;&lt;key app="EN" db-id="2ewa9rrvjsdsawep2vpx5x97eedzzvxx5rta" timestamp="1478703501"&gt;5788&lt;/key&gt;&lt;/foreign-keys&gt;&lt;ref-type name="Report"&gt;27&lt;/ref-type&gt;&lt;contributors&gt;&lt;authors&gt;&lt;author&gt;National Institute for Health and Care Excellence (NICE),&lt;/author&gt;&lt;/authors&gt;&lt;/contributors&gt;&lt;titles&gt;&lt;title&gt;Cetuximab for the first-line treatment of metastatic colorectal cancer&lt;/title&gt;&lt;/titles&gt;&lt;dates&gt;&lt;year&gt;2009&lt;/year&gt;&lt;/dates&gt;&lt;urls&gt;&lt;related-urls&gt;&lt;url&gt;https://www.nice.org.uk/guidance/ta176?unlid=1029021802016102112359&lt;/url&gt;&lt;/related-urls&gt;&lt;/urls&gt;&lt;access-date&gt;15 May 2016&lt;/access-date&gt;&lt;/record&gt;&lt;/Cite&gt;&lt;/EndNote&gt;</w:instrText>
      </w:r>
      <w:r w:rsidR="009F4829" w:rsidRPr="00296D0C">
        <w:rPr>
          <w:rFonts w:cs="Arial"/>
        </w:rPr>
        <w:fldChar w:fldCharType="separate"/>
      </w:r>
      <w:r w:rsidR="008C43BF" w:rsidRPr="008C43BF">
        <w:rPr>
          <w:rFonts w:cs="Arial"/>
          <w:noProof/>
          <w:vertAlign w:val="superscript"/>
        </w:rPr>
        <w:t>111</w:t>
      </w:r>
      <w:r w:rsidR="009F4829" w:rsidRPr="00296D0C">
        <w:rPr>
          <w:rFonts w:cs="Arial"/>
        </w:rPr>
        <w:fldChar w:fldCharType="end"/>
      </w:r>
      <w:r w:rsidR="009F4829" w:rsidRPr="00296D0C">
        <w:rPr>
          <w:rFonts w:cs="Arial"/>
        </w:rPr>
        <w:t>.</w:t>
      </w:r>
    </w:p>
    <w:p w14:paraId="4F01F64E" w14:textId="77777777" w:rsidR="00916192" w:rsidRPr="00296D0C" w:rsidRDefault="00916192" w:rsidP="00507D7B">
      <w:pPr>
        <w:spacing w:after="0" w:line="360" w:lineRule="auto"/>
        <w:rPr>
          <w:rFonts w:cs="Arial"/>
        </w:rPr>
      </w:pPr>
    </w:p>
    <w:p w14:paraId="4FC83F96" w14:textId="77777777" w:rsidR="00861557" w:rsidRPr="00296D0C" w:rsidRDefault="00861557" w:rsidP="00B958DE">
      <w:pPr>
        <w:rPr>
          <w:rFonts w:cs="Arial"/>
          <w:b/>
        </w:rPr>
      </w:pPr>
      <w:bookmarkStart w:id="516" w:name="_Toc453769921"/>
      <w:r w:rsidRPr="00296D0C">
        <w:rPr>
          <w:rFonts w:cs="Arial"/>
          <w:b/>
        </w:rPr>
        <w:t>Cost data</w:t>
      </w:r>
      <w:bookmarkEnd w:id="516"/>
    </w:p>
    <w:p w14:paraId="503C2A5E" w14:textId="77777777" w:rsidR="00861557" w:rsidRPr="00296D0C" w:rsidRDefault="00861557" w:rsidP="00507D7B">
      <w:pPr>
        <w:spacing w:after="0" w:line="360" w:lineRule="auto"/>
        <w:rPr>
          <w:rFonts w:cs="Arial"/>
        </w:rPr>
      </w:pPr>
      <w:r w:rsidRPr="00296D0C">
        <w:rPr>
          <w:rFonts w:cs="Arial"/>
        </w:rPr>
        <w:t>As stated previously the perspective applied for the economic analyses is that of the UK NHS and Personal Social Services, and cost estimates included for model inputs are consistent with that perspective (i.e. Third Party Payer).</w:t>
      </w:r>
    </w:p>
    <w:p w14:paraId="2F323FED" w14:textId="77777777" w:rsidR="00861557" w:rsidRPr="00296D0C" w:rsidRDefault="00861557" w:rsidP="00507D7B">
      <w:pPr>
        <w:spacing w:after="0" w:line="360" w:lineRule="auto"/>
        <w:rPr>
          <w:rFonts w:cs="Arial"/>
        </w:rPr>
      </w:pPr>
    </w:p>
    <w:p w14:paraId="35CB3087" w14:textId="77777777" w:rsidR="00861557" w:rsidRPr="00296D0C" w:rsidRDefault="00861557" w:rsidP="000C3DC3">
      <w:pPr>
        <w:rPr>
          <w:rFonts w:cs="Arial"/>
          <w:i/>
        </w:rPr>
      </w:pPr>
      <w:r w:rsidRPr="00296D0C">
        <w:rPr>
          <w:rFonts w:cs="Arial"/>
        </w:rPr>
        <w:t>Intervention costs (HeLP)</w:t>
      </w:r>
    </w:p>
    <w:p w14:paraId="4F11852E" w14:textId="2D32AAC7" w:rsidR="00861557" w:rsidRPr="00296D0C" w:rsidRDefault="00861557" w:rsidP="00507D7B">
      <w:pPr>
        <w:spacing w:after="0" w:line="360" w:lineRule="auto"/>
        <w:rPr>
          <w:rFonts w:cs="Arial"/>
        </w:rPr>
      </w:pPr>
      <w:r w:rsidRPr="00296D0C">
        <w:rPr>
          <w:rFonts w:cs="Arial"/>
        </w:rPr>
        <w:t>The additional cost included for the delivery of the HeLP intervention, in the base case analysis, is the estimated mean per participant cost of £214.14 (see Table</w:t>
      </w:r>
      <w:r w:rsidR="00B958DE" w:rsidRPr="00296D0C">
        <w:rPr>
          <w:rFonts w:cs="Arial"/>
        </w:rPr>
        <w:t xml:space="preserve"> </w:t>
      </w:r>
      <w:r w:rsidR="00916192" w:rsidRPr="00296D0C">
        <w:rPr>
          <w:rFonts w:cs="Arial"/>
        </w:rPr>
        <w:t>2</w:t>
      </w:r>
      <w:r w:rsidR="0041502B">
        <w:rPr>
          <w:rFonts w:cs="Arial"/>
        </w:rPr>
        <w:t>1</w:t>
      </w:r>
      <w:r w:rsidRPr="00296D0C">
        <w:rPr>
          <w:rFonts w:cs="Arial"/>
        </w:rPr>
        <w:t>).</w:t>
      </w:r>
    </w:p>
    <w:p w14:paraId="6E2F2341" w14:textId="77777777" w:rsidR="00861557" w:rsidRPr="00296D0C" w:rsidRDefault="00861557" w:rsidP="00507D7B">
      <w:pPr>
        <w:spacing w:after="0" w:line="360" w:lineRule="auto"/>
        <w:rPr>
          <w:rFonts w:cs="Arial"/>
          <w:i/>
        </w:rPr>
      </w:pPr>
    </w:p>
    <w:p w14:paraId="216863E2" w14:textId="77777777" w:rsidR="00861557" w:rsidRPr="00F0041F" w:rsidRDefault="00861557" w:rsidP="00507D7B">
      <w:pPr>
        <w:spacing w:after="0" w:line="360" w:lineRule="auto"/>
        <w:rPr>
          <w:rFonts w:cs="Arial"/>
        </w:rPr>
      </w:pPr>
      <w:r w:rsidRPr="00F0041F">
        <w:rPr>
          <w:rFonts w:cs="Arial"/>
        </w:rPr>
        <w:t>Costs for disease states (weight-related events)</w:t>
      </w:r>
    </w:p>
    <w:p w14:paraId="3CCCA4E7" w14:textId="0BCE5C3A" w:rsidR="00861557" w:rsidRPr="00296D0C" w:rsidRDefault="00861557" w:rsidP="00507D7B">
      <w:pPr>
        <w:spacing w:after="0" w:line="360" w:lineRule="auto"/>
        <w:rPr>
          <w:rFonts w:cs="Arial"/>
        </w:rPr>
      </w:pPr>
      <w:r w:rsidRPr="00296D0C">
        <w:rPr>
          <w:rFonts w:cs="Arial"/>
        </w:rPr>
        <w:t xml:space="preserve">An annual estimate of costs associated with model states by condition (weight-related event) is applied in the model when people are in these states.  The estimates of annual costs used are presented in Table </w:t>
      </w:r>
      <w:r w:rsidR="00916192" w:rsidRPr="00296D0C">
        <w:rPr>
          <w:rFonts w:cs="Arial"/>
        </w:rPr>
        <w:t>3</w:t>
      </w:r>
      <w:r w:rsidR="0041502B">
        <w:rPr>
          <w:rFonts w:cs="Arial"/>
        </w:rPr>
        <w:t>1</w:t>
      </w:r>
      <w:r w:rsidRPr="00296D0C">
        <w:rPr>
          <w:rFonts w:cs="Arial"/>
        </w:rPr>
        <w:t xml:space="preserve">.  The estimates used are informed by a literature search to identify published systematic reviews of the literature in each of the disease areas.  </w:t>
      </w:r>
    </w:p>
    <w:p w14:paraId="11DEF68E" w14:textId="7AF90FDE" w:rsidR="00861557" w:rsidRPr="00296D0C" w:rsidRDefault="00861557" w:rsidP="00507D7B">
      <w:pPr>
        <w:spacing w:after="0" w:line="360" w:lineRule="auto"/>
        <w:rPr>
          <w:rFonts w:cs="Arial"/>
        </w:rPr>
      </w:pPr>
      <w:r w:rsidRPr="00296D0C">
        <w:rPr>
          <w:rFonts w:cs="Arial"/>
        </w:rPr>
        <w:t>Targeted literature searches in MEDLINE and web searches combining terms for the population of interest (i.e. T2DM, CHD, Stroke, and CRC) with terms for costs (e.g. cost, annual cost, per patient cost, UK cost) were conducted in December 2015.  Cost estimates used in the model were inflated/uprated to 2014/15 prices where appropriate, using inflation indices from the Personal Social Services Research Unit (PSSRU) (Curtis, 2015</w:t>
      </w:r>
      <w:r w:rsidR="009F4829" w:rsidRPr="00296D0C">
        <w:rPr>
          <w:rFonts w:cs="Arial"/>
        </w:rPr>
        <w:t xml:space="preserve"> </w:t>
      </w:r>
      <w:r w:rsidR="009F4829" w:rsidRPr="00296D0C">
        <w:rPr>
          <w:rFonts w:cs="Arial"/>
        </w:rPr>
        <w:fldChar w:fldCharType="begin"/>
      </w:r>
      <w:r w:rsidR="008C43BF">
        <w:rPr>
          <w:rFonts w:cs="Arial"/>
        </w:rPr>
        <w:instrText xml:space="preserve"> ADDIN EN.CITE &lt;EndNote&gt;&lt;Cite&gt;&lt;Author&gt;Curtis&lt;/Author&gt;&lt;Year&gt;2015&lt;/Year&gt;&lt;RecNum&gt;5737&lt;/RecNum&gt;&lt;DisplayText&gt;&lt;style face="superscript"&gt;56&lt;/style&gt;&lt;/DisplayText&gt;&lt;record&gt;&lt;rec-number&gt;5737&lt;/rec-number&gt;&lt;foreign-keys&gt;&lt;key app="EN" db-id="2ewa9rrvjsdsawep2vpx5x97eedzzvxx5rta" timestamp="1478679952"&gt;5737&lt;/key&gt;&lt;/foreign-keys&gt;&lt;ref-type name="Report"&gt;27&lt;/ref-type&gt;&lt;contributors&gt;&lt;authors&gt;&lt;author&gt;Curtis, L.&lt;/author&gt;&lt;author&gt;Burns, A.&lt;/author&gt;&lt;/authors&gt;&lt;/contributors&gt;&lt;titles&gt;&lt;title&gt;Unit Costs of Health and Social Care 2015&lt;/title&gt;&lt;/titles&gt;&lt;dates&gt;&lt;year&gt;2015&lt;/year&gt;&lt;/dates&gt;&lt;pub-location&gt;Personal Social Services Research Unit&lt;/pub-location&gt;&lt;publisher&gt;University of Canterbury&lt;/publisher&gt;&lt;urls&gt;&lt;/urls&gt;&lt;/record&gt;&lt;/Cite&gt;&lt;/EndNote&gt;</w:instrText>
      </w:r>
      <w:r w:rsidR="009F4829" w:rsidRPr="00296D0C">
        <w:rPr>
          <w:rFonts w:cs="Arial"/>
        </w:rPr>
        <w:fldChar w:fldCharType="separate"/>
      </w:r>
      <w:r w:rsidR="008C43BF" w:rsidRPr="008C43BF">
        <w:rPr>
          <w:rFonts w:cs="Arial"/>
          <w:noProof/>
          <w:vertAlign w:val="superscript"/>
        </w:rPr>
        <w:t>56</w:t>
      </w:r>
      <w:r w:rsidR="009F4829" w:rsidRPr="00296D0C">
        <w:rPr>
          <w:rFonts w:cs="Arial"/>
        </w:rPr>
        <w:fldChar w:fldCharType="end"/>
      </w:r>
      <w:r w:rsidRPr="00296D0C">
        <w:rPr>
          <w:rFonts w:cs="Arial"/>
        </w:rPr>
        <w:t xml:space="preserve">). </w:t>
      </w:r>
    </w:p>
    <w:p w14:paraId="276E9688" w14:textId="77777777" w:rsidR="005D489A" w:rsidRDefault="005D489A">
      <w:pPr>
        <w:rPr>
          <w:rFonts w:cs="Arial"/>
          <w:b/>
          <w:iCs/>
        </w:rPr>
      </w:pPr>
      <w:r>
        <w:rPr>
          <w:rFonts w:cs="Arial"/>
          <w:b/>
          <w:i/>
        </w:rPr>
        <w:br w:type="page"/>
      </w:r>
    </w:p>
    <w:p w14:paraId="31A567C0" w14:textId="06B4DEF0" w:rsidR="00861557" w:rsidRPr="00296D0C" w:rsidRDefault="00861557" w:rsidP="00861557">
      <w:pPr>
        <w:pStyle w:val="Caption"/>
        <w:spacing w:before="240"/>
        <w:rPr>
          <w:rFonts w:cs="Arial"/>
          <w:b/>
          <w:i w:val="0"/>
          <w:color w:val="auto"/>
          <w:sz w:val="22"/>
          <w:szCs w:val="22"/>
        </w:rPr>
      </w:pPr>
      <w:r w:rsidRPr="00296D0C">
        <w:rPr>
          <w:rFonts w:cs="Arial"/>
          <w:b/>
          <w:i w:val="0"/>
          <w:color w:val="auto"/>
          <w:sz w:val="22"/>
          <w:szCs w:val="22"/>
        </w:rPr>
        <w:lastRenderedPageBreak/>
        <w:t>T</w:t>
      </w:r>
      <w:r w:rsidR="00916192" w:rsidRPr="00296D0C">
        <w:rPr>
          <w:rFonts w:cs="Arial"/>
          <w:b/>
          <w:i w:val="0"/>
          <w:color w:val="auto"/>
          <w:sz w:val="22"/>
          <w:szCs w:val="22"/>
        </w:rPr>
        <w:t>ABLE</w:t>
      </w:r>
      <w:r w:rsidRPr="00296D0C">
        <w:rPr>
          <w:rFonts w:cs="Arial"/>
          <w:b/>
          <w:i w:val="0"/>
          <w:color w:val="auto"/>
          <w:sz w:val="22"/>
          <w:szCs w:val="22"/>
        </w:rPr>
        <w:t xml:space="preserve"> </w:t>
      </w:r>
      <w:r w:rsidR="00916192" w:rsidRPr="00296D0C">
        <w:rPr>
          <w:rFonts w:cs="Arial"/>
          <w:b/>
          <w:i w:val="0"/>
          <w:color w:val="auto"/>
          <w:sz w:val="22"/>
          <w:szCs w:val="22"/>
        </w:rPr>
        <w:t>3</w:t>
      </w:r>
      <w:r w:rsidR="0041502B">
        <w:rPr>
          <w:rFonts w:cs="Arial"/>
          <w:b/>
          <w:i w:val="0"/>
          <w:color w:val="auto"/>
          <w:sz w:val="22"/>
          <w:szCs w:val="22"/>
        </w:rPr>
        <w:t>1</w:t>
      </w:r>
      <w:r w:rsidRPr="00296D0C">
        <w:rPr>
          <w:rFonts w:cs="Arial"/>
          <w:b/>
          <w:i w:val="0"/>
          <w:color w:val="auto"/>
          <w:sz w:val="22"/>
          <w:szCs w:val="22"/>
        </w:rPr>
        <w:t xml:space="preserve"> Treatment costs per health state</w:t>
      </w:r>
    </w:p>
    <w:tbl>
      <w:tblPr>
        <w:tblStyle w:val="TableGrid"/>
        <w:tblW w:w="0" w:type="auto"/>
        <w:tblInd w:w="108" w:type="dxa"/>
        <w:tblLook w:val="04A0" w:firstRow="1" w:lastRow="0" w:firstColumn="1" w:lastColumn="0" w:noHBand="0" w:noVBand="1"/>
      </w:tblPr>
      <w:tblGrid>
        <w:gridCol w:w="2899"/>
        <w:gridCol w:w="3009"/>
        <w:gridCol w:w="3000"/>
      </w:tblGrid>
      <w:tr w:rsidR="00861557" w:rsidRPr="00296D0C" w14:paraId="6C4C5915" w14:textId="77777777" w:rsidTr="0077247E">
        <w:trPr>
          <w:trHeight w:val="323"/>
        </w:trPr>
        <w:tc>
          <w:tcPr>
            <w:tcW w:w="2972" w:type="dxa"/>
          </w:tcPr>
          <w:p w14:paraId="3189F323" w14:textId="77777777" w:rsidR="00861557" w:rsidRPr="00296D0C" w:rsidRDefault="00861557" w:rsidP="0077247E">
            <w:pPr>
              <w:spacing w:before="40" w:after="40"/>
              <w:rPr>
                <w:rFonts w:cs="Arial"/>
                <w:b/>
              </w:rPr>
            </w:pPr>
            <w:r w:rsidRPr="00296D0C">
              <w:rPr>
                <w:rFonts w:cs="Arial"/>
                <w:b/>
              </w:rPr>
              <w:t>Health state / Condition</w:t>
            </w:r>
          </w:p>
        </w:tc>
        <w:tc>
          <w:tcPr>
            <w:tcW w:w="3081" w:type="dxa"/>
          </w:tcPr>
          <w:p w14:paraId="14415D02" w14:textId="77777777" w:rsidR="00861557" w:rsidRPr="00296D0C" w:rsidRDefault="00861557" w:rsidP="0077247E">
            <w:pPr>
              <w:spacing w:before="40" w:after="40"/>
              <w:rPr>
                <w:rFonts w:cs="Arial"/>
                <w:b/>
              </w:rPr>
            </w:pPr>
            <w:r w:rsidRPr="00296D0C">
              <w:rPr>
                <w:rFonts w:cs="Arial"/>
                <w:b/>
              </w:rPr>
              <w:t>Parameter value/costs (£)</w:t>
            </w:r>
          </w:p>
        </w:tc>
        <w:tc>
          <w:tcPr>
            <w:tcW w:w="3081" w:type="dxa"/>
          </w:tcPr>
          <w:p w14:paraId="2A99E0A8" w14:textId="77777777" w:rsidR="00861557" w:rsidRPr="00296D0C" w:rsidRDefault="00861557" w:rsidP="0077247E">
            <w:pPr>
              <w:spacing w:before="40" w:after="40"/>
              <w:rPr>
                <w:rFonts w:cs="Arial"/>
                <w:b/>
              </w:rPr>
            </w:pPr>
            <w:r w:rsidRPr="00296D0C">
              <w:rPr>
                <w:rFonts w:cs="Arial"/>
                <w:b/>
              </w:rPr>
              <w:t>Source</w:t>
            </w:r>
          </w:p>
        </w:tc>
      </w:tr>
      <w:tr w:rsidR="00861557" w:rsidRPr="00296D0C" w14:paraId="146A0BA5" w14:textId="77777777" w:rsidTr="0077247E">
        <w:trPr>
          <w:trHeight w:val="323"/>
        </w:trPr>
        <w:tc>
          <w:tcPr>
            <w:tcW w:w="2972" w:type="dxa"/>
          </w:tcPr>
          <w:p w14:paraId="4802627B" w14:textId="77777777" w:rsidR="00861557" w:rsidRPr="00296D0C" w:rsidRDefault="00861557" w:rsidP="0077247E">
            <w:pPr>
              <w:spacing w:before="40" w:after="40"/>
              <w:rPr>
                <w:rFonts w:cs="Arial"/>
              </w:rPr>
            </w:pPr>
            <w:r w:rsidRPr="00296D0C">
              <w:rPr>
                <w:rFonts w:cs="Arial"/>
              </w:rPr>
              <w:t>Type 2 diabetes mellitus</w:t>
            </w:r>
          </w:p>
        </w:tc>
        <w:tc>
          <w:tcPr>
            <w:tcW w:w="3081" w:type="dxa"/>
          </w:tcPr>
          <w:p w14:paraId="1E88D93C" w14:textId="77777777" w:rsidR="00861557" w:rsidRPr="00296D0C" w:rsidRDefault="00861557" w:rsidP="0077247E">
            <w:pPr>
              <w:spacing w:before="40" w:after="40"/>
              <w:rPr>
                <w:rFonts w:cs="Arial"/>
                <w:vertAlign w:val="subscript"/>
              </w:rPr>
            </w:pPr>
            <w:r w:rsidRPr="00296D0C">
              <w:rPr>
                <w:rFonts w:cs="Arial"/>
              </w:rPr>
              <w:t>£3,717</w:t>
            </w:r>
            <w:r w:rsidRPr="00296D0C">
              <w:rPr>
                <w:rFonts w:cs="Arial"/>
                <w:vertAlign w:val="superscript"/>
              </w:rPr>
              <w:t xml:space="preserve">a </w:t>
            </w:r>
            <w:r w:rsidRPr="00296D0C">
              <w:rPr>
                <w:rFonts w:cs="Arial"/>
              </w:rPr>
              <w:t xml:space="preserve"> per year</w:t>
            </w:r>
          </w:p>
        </w:tc>
        <w:tc>
          <w:tcPr>
            <w:tcW w:w="3081" w:type="dxa"/>
          </w:tcPr>
          <w:p w14:paraId="03029064" w14:textId="7726D7BB" w:rsidR="00861557" w:rsidRPr="00296D0C" w:rsidRDefault="00861557" w:rsidP="008C43BF">
            <w:pPr>
              <w:spacing w:before="40" w:after="40"/>
              <w:rPr>
                <w:rFonts w:cs="Arial"/>
              </w:rPr>
            </w:pPr>
            <w:r w:rsidRPr="00296D0C">
              <w:rPr>
                <w:rFonts w:cs="Arial"/>
              </w:rPr>
              <w:t>Kanavos et al., 2012</w:t>
            </w:r>
            <w:r w:rsidR="00B6671E" w:rsidRPr="00296D0C">
              <w:rPr>
                <w:rFonts w:cs="Arial"/>
              </w:rPr>
              <w:t xml:space="preserve"> </w:t>
            </w:r>
            <w:r w:rsidR="004B1882" w:rsidRPr="00296D0C">
              <w:rPr>
                <w:rFonts w:cs="Arial"/>
              </w:rPr>
              <w:fldChar w:fldCharType="begin"/>
            </w:r>
            <w:r w:rsidR="008C43BF">
              <w:rPr>
                <w:rFonts w:cs="Arial"/>
              </w:rPr>
              <w:instrText xml:space="preserve"> ADDIN EN.CITE &lt;EndNote&gt;&lt;Cite&gt;&lt;Author&gt;Kanavos&lt;/Author&gt;&lt;Year&gt;2012&lt;/Year&gt;&lt;RecNum&gt;5747&lt;/RecNum&gt;&lt;DisplayText&gt;&lt;style face="superscript"&gt;112&lt;/style&gt;&lt;/DisplayText&gt;&lt;record&gt;&lt;rec-number&gt;5747&lt;/rec-number&gt;&lt;foreign-keys&gt;&lt;key app="EN" db-id="2ewa9rrvjsdsawep2vpx5x97eedzzvxx5rta" timestamp="1478679952"&gt;5747&lt;/key&gt;&lt;/foreign-keys&gt;&lt;ref-type name="Report"&gt;27&lt;/ref-type&gt;&lt;contributors&gt;&lt;authors&gt;&lt;author&gt;Kanavos, P.&lt;/author&gt;&lt;author&gt;van den Aardweg, S.&lt;/author&gt;&lt;author&gt;Schurer, W.&lt;/author&gt;&lt;/authors&gt;&lt;/contributors&gt;&lt;titles&gt;&lt;title&gt;Diabetes expenditure, burden of disease and management in 5 EU countries&lt;/title&gt;&lt;/titles&gt;&lt;dates&gt;&lt;year&gt;2012&lt;/year&gt;&lt;/dates&gt;&lt;pub-location&gt;London&lt;/pub-location&gt;&lt;publisher&gt;London School of Economics (Health)&lt;/publisher&gt;&lt;urls&gt;&lt;/urls&gt;&lt;/record&gt;&lt;/Cite&gt;&lt;/EndNote&gt;</w:instrText>
            </w:r>
            <w:r w:rsidR="004B1882" w:rsidRPr="00296D0C">
              <w:rPr>
                <w:rFonts w:cs="Arial"/>
              </w:rPr>
              <w:fldChar w:fldCharType="separate"/>
            </w:r>
            <w:r w:rsidR="008C43BF" w:rsidRPr="008C43BF">
              <w:rPr>
                <w:rFonts w:cs="Arial"/>
                <w:noProof/>
                <w:vertAlign w:val="superscript"/>
              </w:rPr>
              <w:t>112</w:t>
            </w:r>
            <w:r w:rsidR="004B1882" w:rsidRPr="00296D0C">
              <w:rPr>
                <w:rFonts w:cs="Arial"/>
              </w:rPr>
              <w:fldChar w:fldCharType="end"/>
            </w:r>
          </w:p>
        </w:tc>
      </w:tr>
      <w:tr w:rsidR="00861557" w:rsidRPr="00296D0C" w14:paraId="773FF09C" w14:textId="77777777" w:rsidTr="0077247E">
        <w:trPr>
          <w:trHeight w:val="323"/>
        </w:trPr>
        <w:tc>
          <w:tcPr>
            <w:tcW w:w="2972" w:type="dxa"/>
          </w:tcPr>
          <w:p w14:paraId="434D7F14" w14:textId="77777777" w:rsidR="00861557" w:rsidRPr="00296D0C" w:rsidRDefault="00861557" w:rsidP="0077247E">
            <w:pPr>
              <w:spacing w:before="40" w:after="40"/>
              <w:rPr>
                <w:rFonts w:cs="Arial"/>
              </w:rPr>
            </w:pPr>
            <w:r w:rsidRPr="00296D0C">
              <w:rPr>
                <w:rFonts w:cs="Arial"/>
              </w:rPr>
              <w:t>Coronary heart disease</w:t>
            </w:r>
          </w:p>
        </w:tc>
        <w:tc>
          <w:tcPr>
            <w:tcW w:w="3081" w:type="dxa"/>
          </w:tcPr>
          <w:p w14:paraId="0F10ED59" w14:textId="77777777" w:rsidR="00861557" w:rsidRPr="00296D0C" w:rsidRDefault="00861557" w:rsidP="0077247E">
            <w:pPr>
              <w:spacing w:before="40" w:after="40"/>
              <w:rPr>
                <w:rFonts w:cs="Arial"/>
              </w:rPr>
            </w:pPr>
            <w:r w:rsidRPr="00296D0C">
              <w:rPr>
                <w:rFonts w:cs="Arial"/>
              </w:rPr>
              <w:t>£2,852   per year</w:t>
            </w:r>
          </w:p>
        </w:tc>
        <w:tc>
          <w:tcPr>
            <w:tcW w:w="3081" w:type="dxa"/>
          </w:tcPr>
          <w:p w14:paraId="176E22F6" w14:textId="6815AC76" w:rsidR="00861557" w:rsidRPr="00296D0C" w:rsidRDefault="00861557" w:rsidP="008C43BF">
            <w:pPr>
              <w:spacing w:before="40" w:after="40"/>
              <w:rPr>
                <w:rFonts w:cs="Arial"/>
              </w:rPr>
            </w:pPr>
            <w:r w:rsidRPr="00296D0C">
              <w:rPr>
                <w:rFonts w:cs="Arial"/>
              </w:rPr>
              <w:t>NHS Scotland, 2007</w:t>
            </w:r>
            <w:r w:rsidR="00B37B9D" w:rsidRPr="00296D0C">
              <w:rPr>
                <w:rFonts w:cs="Arial"/>
              </w:rPr>
              <w:t xml:space="preserve"> </w:t>
            </w:r>
            <w:r w:rsidR="004B1882" w:rsidRPr="00296D0C">
              <w:rPr>
                <w:rFonts w:cs="Arial"/>
              </w:rPr>
              <w:fldChar w:fldCharType="begin"/>
            </w:r>
            <w:r w:rsidR="008C43BF">
              <w:rPr>
                <w:rFonts w:cs="Arial"/>
              </w:rPr>
              <w:instrText xml:space="preserve"> ADDIN EN.CITE &lt;EndNote&gt;&lt;Cite&gt;&lt;Author&gt;NHS Scotland&lt;/Author&gt;&lt;Year&gt;2007&lt;/Year&gt;&lt;RecNum&gt;5757&lt;/RecNum&gt;&lt;DisplayText&gt;&lt;style face="superscript"&gt;113&lt;/style&gt;&lt;/DisplayText&gt;&lt;record&gt;&lt;rec-number&gt;5757&lt;/rec-number&gt;&lt;foreign-keys&gt;&lt;key app="EN" db-id="2ewa9rrvjsdsawep2vpx5x97eedzzvxx5rta" timestamp="1478679952"&gt;5757&lt;/key&gt;&lt;/foreign-keys&gt;&lt;ref-type name="Report"&gt;27&lt;/ref-type&gt;&lt;contributors&gt;&lt;authors&gt;&lt;author&gt;NHS Scotland, &lt;/author&gt;&lt;/authors&gt;&lt;/contributors&gt;&lt;titles&gt;&lt;title&gt;Management of coronary heart disease: A national clinical and resource impact assessment&lt;/title&gt;&lt;/titles&gt;&lt;dates&gt;&lt;year&gt;2007&lt;/year&gt;&lt;/dates&gt;&lt;pub-location&gt;Edinburgh&lt;/pub-location&gt;&lt;publisher&gt;NHS Scotland&lt;/publisher&gt;&lt;urls&gt;&lt;/urls&gt;&lt;/record&gt;&lt;/Cite&gt;&lt;/EndNote&gt;</w:instrText>
            </w:r>
            <w:r w:rsidR="004B1882" w:rsidRPr="00296D0C">
              <w:rPr>
                <w:rFonts w:cs="Arial"/>
              </w:rPr>
              <w:fldChar w:fldCharType="separate"/>
            </w:r>
            <w:r w:rsidR="008C43BF" w:rsidRPr="008C43BF">
              <w:rPr>
                <w:rFonts w:cs="Arial"/>
                <w:noProof/>
                <w:vertAlign w:val="superscript"/>
              </w:rPr>
              <w:t>113</w:t>
            </w:r>
            <w:r w:rsidR="004B1882" w:rsidRPr="00296D0C">
              <w:rPr>
                <w:rFonts w:cs="Arial"/>
              </w:rPr>
              <w:fldChar w:fldCharType="end"/>
            </w:r>
            <w:r w:rsidR="00B37B9D" w:rsidRPr="00296D0C">
              <w:rPr>
                <w:rFonts w:cs="Arial"/>
              </w:rPr>
              <w:t xml:space="preserve"> </w:t>
            </w:r>
          </w:p>
        </w:tc>
      </w:tr>
      <w:tr w:rsidR="00861557" w:rsidRPr="00296D0C" w14:paraId="26AA0238" w14:textId="77777777" w:rsidTr="0077247E">
        <w:trPr>
          <w:trHeight w:val="323"/>
        </w:trPr>
        <w:tc>
          <w:tcPr>
            <w:tcW w:w="2972" w:type="dxa"/>
          </w:tcPr>
          <w:p w14:paraId="6AFE882E" w14:textId="77777777" w:rsidR="00861557" w:rsidRPr="00296D0C" w:rsidRDefault="00861557" w:rsidP="0077247E">
            <w:pPr>
              <w:spacing w:before="40" w:after="40"/>
              <w:rPr>
                <w:rFonts w:cs="Arial"/>
              </w:rPr>
            </w:pPr>
            <w:r w:rsidRPr="00296D0C">
              <w:rPr>
                <w:rFonts w:cs="Arial"/>
              </w:rPr>
              <w:t xml:space="preserve">Stroke </w:t>
            </w:r>
          </w:p>
        </w:tc>
        <w:tc>
          <w:tcPr>
            <w:tcW w:w="3081" w:type="dxa"/>
          </w:tcPr>
          <w:p w14:paraId="41BB4220" w14:textId="77777777" w:rsidR="00861557" w:rsidRPr="00296D0C" w:rsidRDefault="00861557" w:rsidP="0077247E">
            <w:pPr>
              <w:spacing w:before="40" w:after="40"/>
              <w:rPr>
                <w:rFonts w:cs="Arial"/>
              </w:rPr>
            </w:pPr>
            <w:r w:rsidRPr="00296D0C">
              <w:rPr>
                <w:rFonts w:cs="Arial"/>
              </w:rPr>
              <w:t>£2,800</w:t>
            </w:r>
            <w:r w:rsidRPr="00296D0C">
              <w:rPr>
                <w:rFonts w:cs="Arial"/>
                <w:vertAlign w:val="superscript"/>
              </w:rPr>
              <w:t>b</w:t>
            </w:r>
          </w:p>
        </w:tc>
        <w:tc>
          <w:tcPr>
            <w:tcW w:w="3081" w:type="dxa"/>
          </w:tcPr>
          <w:p w14:paraId="47E49161" w14:textId="6F5060FC" w:rsidR="00861557" w:rsidRPr="00296D0C" w:rsidRDefault="00861557" w:rsidP="008C43BF">
            <w:pPr>
              <w:spacing w:before="40" w:after="40"/>
              <w:rPr>
                <w:rFonts w:cs="Arial"/>
              </w:rPr>
            </w:pPr>
            <w:r w:rsidRPr="00296D0C">
              <w:rPr>
                <w:rFonts w:cs="Arial"/>
              </w:rPr>
              <w:t>Saka et al., 2009</w:t>
            </w:r>
            <w:r w:rsidR="00B37B9D" w:rsidRPr="00296D0C">
              <w:rPr>
                <w:rFonts w:cs="Arial"/>
              </w:rPr>
              <w:t xml:space="preserve"> </w:t>
            </w:r>
            <w:r w:rsidR="004B1882" w:rsidRPr="00296D0C">
              <w:rPr>
                <w:rFonts w:cs="Arial"/>
              </w:rPr>
              <w:fldChar w:fldCharType="begin"/>
            </w:r>
            <w:r w:rsidR="008C43BF">
              <w:rPr>
                <w:rFonts w:cs="Arial"/>
              </w:rPr>
              <w:instrText xml:space="preserve"> ADDIN EN.CITE &lt;EndNote&gt;&lt;Cite&gt;&lt;Author&gt;Saka&lt;/Author&gt;&lt;Year&gt;2009&lt;/Year&gt;&lt;RecNum&gt;5764&lt;/RecNum&gt;&lt;DisplayText&gt;&lt;style face="superscript"&gt;114&lt;/style&gt;&lt;/DisplayText&gt;&lt;record&gt;&lt;rec-number&gt;5764&lt;/rec-number&gt;&lt;foreign-keys&gt;&lt;key app="EN" db-id="2ewa9rrvjsdsawep2vpx5x97eedzzvxx5rta" timestamp="1478679952"&gt;5764&lt;/key&gt;&lt;/foreign-keys&gt;&lt;ref-type name="Journal Article"&gt;17&lt;/ref-type&gt;&lt;contributors&gt;&lt;authors&gt;&lt;author&gt;Saka, O.&lt;/author&gt;&lt;author&gt;McGuire, A.&lt;/author&gt;&lt;author&gt;Wolfe, C.&lt;/author&gt;&lt;/authors&gt;&lt;/contributors&gt;&lt;auth-address&gt;King&amp;apos;s College London, Division of Health and Social Care Research, London SE1 3QD, UK. omer.saka@kcl.ac.uk&lt;/auth-address&gt;&lt;titles&gt;&lt;title&gt;Cost of stroke in the United Kingdom&lt;/title&gt;&lt;secondary-title&gt;Age Ageing&lt;/secondary-title&gt;&lt;/titles&gt;&lt;periodical&gt;&lt;full-title&gt;Age and Ageing&lt;/full-title&gt;&lt;abbr-1&gt;Age Ageing&lt;/abbr-1&gt;&lt;abbr-2&gt;Age Ageing&lt;/abbr-2&gt;&lt;abbr-3&gt;Age &amp;amp; Ageing&lt;/abbr-3&gt;&lt;/periodical&gt;&lt;pages&gt;27-32&lt;/pages&gt;&lt;volume&gt;38&lt;/volume&gt;&lt;number&gt;1&lt;/number&gt;&lt;keywords&gt;&lt;keyword&gt;Adult&lt;/keyword&gt;&lt;keyword&gt;Aged&lt;/keyword&gt;&lt;keyword&gt;Aged, 80 and over&lt;/keyword&gt;&lt;keyword&gt;*Cost of Illness&lt;/keyword&gt;&lt;keyword&gt;Efficiency, Organizational/economics&lt;/keyword&gt;&lt;keyword&gt;Great Britain/epidemiology&lt;/keyword&gt;&lt;keyword&gt;Health Care Costs/*statistics &amp;amp; numerical data&lt;/keyword&gt;&lt;keyword&gt;Humans&lt;/keyword&gt;&lt;keyword&gt;Middle Aged&lt;/keyword&gt;&lt;keyword&gt;Prevalence&lt;/keyword&gt;&lt;keyword&gt;Registries&lt;/keyword&gt;&lt;keyword&gt;State Medicine/economics&lt;/keyword&gt;&lt;keyword&gt;Stroke/*economics/epidemiology&lt;/keyword&gt;&lt;/keywords&gt;&lt;dates&gt;&lt;year&gt;2009&lt;/year&gt;&lt;pub-dates&gt;&lt;date&gt;Jan&lt;/date&gt;&lt;/pub-dates&gt;&lt;/dates&gt;&lt;isbn&gt;1468-2834 (Electronic)&amp;#xD;0002-0729 (Linking)&lt;/isbn&gt;&lt;accession-num&gt;19141506&lt;/accession-num&gt;&lt;urls&gt;&lt;related-urls&gt;&lt;url&gt;http://www.ncbi.nlm.nih.gov/pubmed/19141506&lt;/url&gt;&lt;/related-urls&gt;&lt;/urls&gt;&lt;electronic-resource-num&gt;10.1093/ageing/afn281&lt;/electronic-resource-num&gt;&lt;/record&gt;&lt;/Cite&gt;&lt;/EndNote&gt;</w:instrText>
            </w:r>
            <w:r w:rsidR="004B1882" w:rsidRPr="00296D0C">
              <w:rPr>
                <w:rFonts w:cs="Arial"/>
              </w:rPr>
              <w:fldChar w:fldCharType="separate"/>
            </w:r>
            <w:r w:rsidR="008C43BF" w:rsidRPr="008C43BF">
              <w:rPr>
                <w:rFonts w:cs="Arial"/>
                <w:noProof/>
                <w:vertAlign w:val="superscript"/>
              </w:rPr>
              <w:t>114</w:t>
            </w:r>
            <w:r w:rsidR="004B1882" w:rsidRPr="00296D0C">
              <w:rPr>
                <w:rFonts w:cs="Arial"/>
              </w:rPr>
              <w:fldChar w:fldCharType="end"/>
            </w:r>
          </w:p>
        </w:tc>
      </w:tr>
      <w:tr w:rsidR="00861557" w:rsidRPr="00296D0C" w14:paraId="3FE7D7D6" w14:textId="77777777" w:rsidTr="0077247E">
        <w:trPr>
          <w:trHeight w:val="323"/>
        </w:trPr>
        <w:tc>
          <w:tcPr>
            <w:tcW w:w="2972" w:type="dxa"/>
          </w:tcPr>
          <w:p w14:paraId="6323D8DC" w14:textId="77777777" w:rsidR="00861557" w:rsidRPr="00296D0C" w:rsidRDefault="00861557" w:rsidP="0077247E">
            <w:pPr>
              <w:spacing w:before="40" w:after="40"/>
              <w:rPr>
                <w:rFonts w:cs="Arial"/>
              </w:rPr>
            </w:pPr>
            <w:r w:rsidRPr="00296D0C">
              <w:rPr>
                <w:rFonts w:cs="Arial"/>
              </w:rPr>
              <w:t>Colorectal cancer</w:t>
            </w:r>
          </w:p>
        </w:tc>
        <w:tc>
          <w:tcPr>
            <w:tcW w:w="3081" w:type="dxa"/>
          </w:tcPr>
          <w:p w14:paraId="71436ACD" w14:textId="77777777" w:rsidR="00861557" w:rsidRPr="00296D0C" w:rsidRDefault="00861557" w:rsidP="0077247E">
            <w:pPr>
              <w:spacing w:before="40" w:after="40"/>
              <w:rPr>
                <w:rFonts w:cs="Arial"/>
              </w:rPr>
            </w:pPr>
            <w:r w:rsidRPr="00296D0C">
              <w:rPr>
                <w:rFonts w:cs="Arial"/>
              </w:rPr>
              <w:t>£8,441  per year</w:t>
            </w:r>
          </w:p>
        </w:tc>
        <w:tc>
          <w:tcPr>
            <w:tcW w:w="3081" w:type="dxa"/>
          </w:tcPr>
          <w:p w14:paraId="4265367B" w14:textId="28009F14" w:rsidR="00861557" w:rsidRPr="00296D0C" w:rsidRDefault="00861557" w:rsidP="00931E9F">
            <w:pPr>
              <w:spacing w:before="40" w:after="40"/>
              <w:rPr>
                <w:rFonts w:cs="Arial"/>
              </w:rPr>
            </w:pPr>
            <w:r w:rsidRPr="00296D0C">
              <w:rPr>
                <w:rFonts w:cs="Arial"/>
              </w:rPr>
              <w:t>CRUK</w:t>
            </w:r>
            <w:r w:rsidR="00916192" w:rsidRPr="00296D0C">
              <w:rPr>
                <w:rFonts w:cs="Arial"/>
              </w:rPr>
              <w:t xml:space="preserve">, 2014 </w:t>
            </w:r>
            <w:r w:rsidR="00916192" w:rsidRPr="00296D0C">
              <w:rPr>
                <w:rFonts w:cs="Arial"/>
              </w:rPr>
              <w:fldChar w:fldCharType="begin"/>
            </w:r>
            <w:r w:rsidR="00931E9F">
              <w:rPr>
                <w:rFonts w:cs="Arial"/>
              </w:rPr>
              <w:instrText xml:space="preserve"> ADDIN EN.CITE &lt;EndNote&gt;&lt;Cite&gt;&lt;Author&gt;Cancer Research UK (CRUK)&lt;/Author&gt;&lt;Year&gt;2014&lt;/Year&gt;&lt;RecNum&gt;5806&lt;/RecNum&gt;&lt;DisplayText&gt;&lt;style face="superscript"&gt;115&lt;/style&gt;&lt;/DisplayText&gt;&lt;record&gt;&lt;rec-number&gt;5806&lt;/rec-number&gt;&lt;foreign-keys&gt;&lt;key app="EN" db-id="2ewa9rrvjsdsawep2vpx5x97eedzzvxx5rta" timestamp="1478777495"&gt;5806&lt;/key&gt;&lt;/foreign-keys&gt;&lt;ref-type name="Report"&gt;27&lt;/ref-type&gt;&lt;contributors&gt;&lt;authors&gt;&lt;author&gt;Cancer Research UK (CRUK),&lt;/author&gt;&lt;/authors&gt;&lt;/contributors&gt;&lt;titles&gt;&lt;title&gt;Saving Lives through Research&lt;/title&gt;&lt;/titles&gt;&lt;dates&gt;&lt;year&gt;2014&lt;/year&gt;&lt;/dates&gt;&lt;urls&gt;&lt;related-urls&gt;&lt;url&gt;http://www.cancerresearchuk.org/sites/default/files/cruk_report_and_accounts_2013_14.pdf&lt;/url&gt;&lt;/related-urls&gt;&lt;/urls&gt;&lt;access-date&gt;17 June 2016&lt;/access-date&gt;&lt;/record&gt;&lt;/Cite&gt;&lt;/EndNote&gt;</w:instrText>
            </w:r>
            <w:r w:rsidR="00916192" w:rsidRPr="00296D0C">
              <w:rPr>
                <w:rFonts w:cs="Arial"/>
              </w:rPr>
              <w:fldChar w:fldCharType="separate"/>
            </w:r>
            <w:r w:rsidR="008C43BF" w:rsidRPr="008C43BF">
              <w:rPr>
                <w:rFonts w:cs="Arial"/>
                <w:noProof/>
                <w:vertAlign w:val="superscript"/>
              </w:rPr>
              <w:t>115</w:t>
            </w:r>
            <w:r w:rsidR="00916192" w:rsidRPr="00296D0C">
              <w:rPr>
                <w:rFonts w:cs="Arial"/>
              </w:rPr>
              <w:fldChar w:fldCharType="end"/>
            </w:r>
            <w:r w:rsidR="00916192" w:rsidRPr="00296D0C">
              <w:rPr>
                <w:rFonts w:cs="Arial"/>
              </w:rPr>
              <w:t xml:space="preserve"> </w:t>
            </w:r>
            <w:r w:rsidRPr="00296D0C">
              <w:rPr>
                <w:rFonts w:cs="Arial"/>
              </w:rPr>
              <w:t xml:space="preserve">   </w:t>
            </w:r>
          </w:p>
        </w:tc>
      </w:tr>
    </w:tbl>
    <w:p w14:paraId="3C500DB3" w14:textId="77777777" w:rsidR="00861557" w:rsidRPr="00296D0C" w:rsidRDefault="00861557" w:rsidP="000D0114">
      <w:pPr>
        <w:spacing w:after="0" w:line="240" w:lineRule="auto"/>
        <w:rPr>
          <w:rFonts w:cs="Arial"/>
        </w:rPr>
      </w:pPr>
      <w:r w:rsidRPr="00296D0C">
        <w:rPr>
          <w:rFonts w:cs="Arial"/>
        </w:rPr>
        <w:t>Notes: (a) 2010/2011 costs; (b) Reflects cost of a rapid recovery case, applied as a one-off treat</w:t>
      </w:r>
      <w:r w:rsidR="000D0114" w:rsidRPr="00296D0C">
        <w:rPr>
          <w:rFonts w:cs="Arial"/>
        </w:rPr>
        <w:t>ment cost (in year 1 of stroke)</w:t>
      </w:r>
    </w:p>
    <w:p w14:paraId="168836CC" w14:textId="77777777" w:rsidR="009F4829" w:rsidRPr="00296D0C" w:rsidRDefault="009F4829" w:rsidP="000D0114">
      <w:pPr>
        <w:spacing w:after="0" w:line="240" w:lineRule="auto"/>
        <w:rPr>
          <w:rFonts w:cs="Arial"/>
        </w:rPr>
      </w:pPr>
    </w:p>
    <w:p w14:paraId="02AAEB02" w14:textId="77777777" w:rsidR="009F4829" w:rsidRPr="00296D0C" w:rsidRDefault="009F4829" w:rsidP="000D0114">
      <w:pPr>
        <w:spacing w:after="0" w:line="240" w:lineRule="auto"/>
        <w:rPr>
          <w:rFonts w:cs="Arial"/>
        </w:rPr>
      </w:pPr>
    </w:p>
    <w:p w14:paraId="662A6783" w14:textId="77777777" w:rsidR="00861557" w:rsidRPr="001B481E" w:rsidRDefault="00861557" w:rsidP="000C3DC3">
      <w:pPr>
        <w:rPr>
          <w:rFonts w:cs="Arial"/>
          <w:u w:val="single"/>
        </w:rPr>
      </w:pPr>
      <w:r w:rsidRPr="001B481E">
        <w:rPr>
          <w:rFonts w:cs="Arial"/>
          <w:u w:val="single"/>
        </w:rPr>
        <w:t>Type 2 diabetes mellitus</w:t>
      </w:r>
    </w:p>
    <w:p w14:paraId="03D2047B" w14:textId="2D50AE38" w:rsidR="00861557" w:rsidRPr="00296D0C" w:rsidRDefault="00861557" w:rsidP="00507D7B">
      <w:pPr>
        <w:spacing w:after="0" w:line="360" w:lineRule="auto"/>
        <w:rPr>
          <w:rFonts w:cs="Arial"/>
        </w:rPr>
      </w:pPr>
      <w:r w:rsidRPr="00296D0C">
        <w:rPr>
          <w:rFonts w:cs="Arial"/>
        </w:rPr>
        <w:t>Kanavos et al</w:t>
      </w:r>
      <w:r w:rsidR="00756F9D" w:rsidRPr="00296D0C">
        <w:rPr>
          <w:rFonts w:cs="Arial"/>
        </w:rPr>
        <w:t xml:space="preserve">., </w:t>
      </w:r>
      <w:r w:rsidRPr="00296D0C">
        <w:rPr>
          <w:rFonts w:cs="Arial"/>
        </w:rPr>
        <w:t>2012</w:t>
      </w:r>
      <w:r w:rsidR="009F4829" w:rsidRPr="00296D0C">
        <w:rPr>
          <w:rFonts w:cs="Arial"/>
        </w:rPr>
        <w:t xml:space="preserve"> </w:t>
      </w:r>
      <w:r w:rsidR="00C1277A" w:rsidRPr="00296D0C">
        <w:rPr>
          <w:rFonts w:cs="Arial"/>
        </w:rPr>
        <w:fldChar w:fldCharType="begin"/>
      </w:r>
      <w:r w:rsidR="008C43BF">
        <w:rPr>
          <w:rFonts w:cs="Arial"/>
        </w:rPr>
        <w:instrText xml:space="preserve"> ADDIN EN.CITE &lt;EndNote&gt;&lt;Cite&gt;&lt;Author&gt;Kanavos&lt;/Author&gt;&lt;Year&gt;2012&lt;/Year&gt;&lt;RecNum&gt;5747&lt;/RecNum&gt;&lt;DisplayText&gt;&lt;style face="superscript"&gt;112&lt;/style&gt;&lt;/DisplayText&gt;&lt;record&gt;&lt;rec-number&gt;5747&lt;/rec-number&gt;&lt;foreign-keys&gt;&lt;key app="EN" db-id="2ewa9rrvjsdsawep2vpx5x97eedzzvxx5rta" timestamp="1478679952"&gt;5747&lt;/key&gt;&lt;/foreign-keys&gt;&lt;ref-type name="Report"&gt;27&lt;/ref-type&gt;&lt;contributors&gt;&lt;authors&gt;&lt;author&gt;Kanavos, P.&lt;/author&gt;&lt;author&gt;van den Aardweg, S.&lt;/author&gt;&lt;author&gt;Schurer, W.&lt;/author&gt;&lt;/authors&gt;&lt;/contributors&gt;&lt;titles&gt;&lt;title&gt;Diabetes expenditure, burden of disease and management in 5 EU countries&lt;/title&gt;&lt;/titles&gt;&lt;dates&gt;&lt;year&gt;2012&lt;/year&gt;&lt;/dates&gt;&lt;pub-location&gt;London&lt;/pub-location&gt;&lt;publisher&gt;London School of Economics (Health)&lt;/publisher&gt;&lt;urls&gt;&lt;/urls&gt;&lt;/record&gt;&lt;/Cite&gt;&lt;/EndNote&gt;</w:instrText>
      </w:r>
      <w:r w:rsidR="00C1277A" w:rsidRPr="00296D0C">
        <w:rPr>
          <w:rFonts w:cs="Arial"/>
        </w:rPr>
        <w:fldChar w:fldCharType="separate"/>
      </w:r>
      <w:r w:rsidR="008C43BF" w:rsidRPr="008C43BF">
        <w:rPr>
          <w:rFonts w:cs="Arial"/>
          <w:noProof/>
          <w:vertAlign w:val="superscript"/>
        </w:rPr>
        <w:t>112</w:t>
      </w:r>
      <w:r w:rsidR="00C1277A" w:rsidRPr="00296D0C">
        <w:rPr>
          <w:rFonts w:cs="Arial"/>
        </w:rPr>
        <w:fldChar w:fldCharType="end"/>
      </w:r>
      <w:r w:rsidRPr="00296D0C">
        <w:rPr>
          <w:rFonts w:cs="Arial"/>
        </w:rPr>
        <w:t xml:space="preserve"> report costs for diabetes (direct and indirect) across France, Germany, Italy, Spain and the UK. Estimates include inpatient, outpatient, primary and community costs, and medication related costs.  Annual UK costs for T2DM are estimated at £3,717, mean per person costs.  These costs are based on high quality data from large retrospective cohort studies for primary care and outpatient activity (Currie et al.</w:t>
      </w:r>
      <w:r w:rsidR="00916192" w:rsidRPr="00296D0C">
        <w:rPr>
          <w:rFonts w:cs="Arial"/>
        </w:rPr>
        <w:t>,</w:t>
      </w:r>
      <w:r w:rsidRPr="00296D0C">
        <w:rPr>
          <w:rFonts w:cs="Arial"/>
        </w:rPr>
        <w:t xml:space="preserve"> 2010</w:t>
      </w:r>
      <w:r w:rsidR="009F4829" w:rsidRPr="00296D0C">
        <w:rPr>
          <w:rFonts w:cs="Arial"/>
        </w:rPr>
        <w:t xml:space="preserve"> </w:t>
      </w:r>
      <w:r w:rsidR="00C1277A" w:rsidRPr="00296D0C">
        <w:rPr>
          <w:rFonts w:cs="Arial"/>
        </w:rPr>
        <w:fldChar w:fldCharType="begin"/>
      </w:r>
      <w:r w:rsidR="008C43BF">
        <w:rPr>
          <w:rFonts w:cs="Arial"/>
        </w:rPr>
        <w:instrText xml:space="preserve"> ADDIN EN.CITE &lt;EndNote&gt;&lt;Cite&gt;&lt;Author&gt;Currie&lt;/Author&gt;&lt;Year&gt;2010&lt;/Year&gt;&lt;RecNum&gt;5736&lt;/RecNum&gt;&lt;DisplayText&gt;&lt;style face="superscript"&gt;116&lt;/style&gt;&lt;/DisplayText&gt;&lt;record&gt;&lt;rec-number&gt;5736&lt;/rec-number&gt;&lt;foreign-keys&gt;&lt;key app="EN" db-id="2ewa9rrvjsdsawep2vpx5x97eedzzvxx5rta" timestamp="1478679952"&gt;5736&lt;/key&gt;&lt;/foreign-keys&gt;&lt;ref-type name="Journal Article"&gt;17&lt;/ref-type&gt;&lt;contributors&gt;&lt;authors&gt;&lt;author&gt;Currie, C. J.&lt;/author&gt;&lt;author&gt;Gale, E. A.&lt;/author&gt;&lt;author&gt;Poole, C. D.&lt;/author&gt;&lt;/authors&gt;&lt;/contributors&gt;&lt;auth-address&gt;Department of Medicine, School of Medicine, Cardiff University, Cardiff, UK. currie@cardiff.ac.uk&lt;/auth-address&gt;&lt;titles&gt;&lt;title&gt;Estimation of primary care treatment costs and treatment efficacy for people with Type 1 and Type 2 diabetes in the United Kingdom from 1997 to 2007*&lt;/title&gt;&lt;secondary-title&gt;Diabet Med&lt;/secondary-title&gt;&lt;/titles&gt;&lt;periodical&gt;&lt;full-title&gt;Diabetic Medicine&lt;/full-title&gt;&lt;abbr-1&gt;Diabet. Med.&lt;/abbr-1&gt;&lt;abbr-2&gt;Diabet Med&lt;/abbr-2&gt;&lt;/periodical&gt;&lt;pages&gt;938-48&lt;/pages&gt;&lt;volume&gt;27&lt;/volume&gt;&lt;number&gt;8&lt;/number&gt;&lt;keywords&gt;&lt;keyword&gt;Adolescent&lt;/keyword&gt;&lt;keyword&gt;Cost-Benefit Analysis&lt;/keyword&gt;&lt;keyword&gt;Diabetes Mellitus, Type 1/drug therapy/*economics&lt;/keyword&gt;&lt;keyword&gt;Diabetes Mellitus, Type 2/drug therapy/*economics&lt;/keyword&gt;&lt;keyword&gt;Female&lt;/keyword&gt;&lt;keyword&gt;Great Britain&lt;/keyword&gt;&lt;keyword&gt;Health Care Costs&lt;/keyword&gt;&lt;keyword&gt;Humans&lt;/keyword&gt;&lt;keyword&gt;Male&lt;/keyword&gt;&lt;keyword&gt;Middle Aged&lt;/keyword&gt;&lt;keyword&gt;Practice Patterns, Physicians&amp;apos;/*economics&lt;/keyword&gt;&lt;keyword&gt;Primary Health Care/*economics&lt;/keyword&gt;&lt;/keywords&gt;&lt;dates&gt;&lt;year&gt;2010&lt;/year&gt;&lt;pub-dates&gt;&lt;date&gt;Aug&lt;/date&gt;&lt;/pub-dates&gt;&lt;/dates&gt;&lt;isbn&gt;1464-5491 (Electronic)&amp;#xD;0742-3071 (Linking)&lt;/isbn&gt;&lt;accession-num&gt;20653753&lt;/accession-num&gt;&lt;urls&gt;&lt;related-urls&gt;&lt;url&gt;http://www.ncbi.nlm.nih.gov/pubmed/20653753&lt;/url&gt;&lt;/related-urls&gt;&lt;/urls&gt;&lt;electronic-resource-num&gt;10.1111/j.1464-5491.2010.03040.x&lt;/electronic-resource-num&gt;&lt;/record&gt;&lt;/Cite&gt;&lt;/EndNote&gt;</w:instrText>
      </w:r>
      <w:r w:rsidR="00C1277A" w:rsidRPr="00296D0C">
        <w:rPr>
          <w:rFonts w:cs="Arial"/>
        </w:rPr>
        <w:fldChar w:fldCharType="separate"/>
      </w:r>
      <w:r w:rsidR="008C43BF" w:rsidRPr="008C43BF">
        <w:rPr>
          <w:rFonts w:cs="Arial"/>
          <w:noProof/>
          <w:vertAlign w:val="superscript"/>
        </w:rPr>
        <w:t>116</w:t>
      </w:r>
      <w:r w:rsidR="00C1277A" w:rsidRPr="00296D0C">
        <w:rPr>
          <w:rFonts w:cs="Arial"/>
        </w:rPr>
        <w:fldChar w:fldCharType="end"/>
      </w:r>
      <w:r w:rsidR="009F4829" w:rsidRPr="00296D0C">
        <w:rPr>
          <w:rFonts w:cs="Arial"/>
        </w:rPr>
        <w:t>)</w:t>
      </w:r>
      <w:r w:rsidRPr="00296D0C">
        <w:rPr>
          <w:rFonts w:cs="Arial"/>
        </w:rPr>
        <w:t xml:space="preserve"> and inpatient costs (Morgan et al.</w:t>
      </w:r>
      <w:r w:rsidR="00916192" w:rsidRPr="00296D0C">
        <w:rPr>
          <w:rFonts w:cs="Arial"/>
        </w:rPr>
        <w:t>,</w:t>
      </w:r>
      <w:r w:rsidRPr="00296D0C">
        <w:rPr>
          <w:rFonts w:cs="Arial"/>
        </w:rPr>
        <w:t xml:space="preserve"> 2010</w:t>
      </w:r>
      <w:r w:rsidR="009F4829" w:rsidRPr="00296D0C">
        <w:rPr>
          <w:rFonts w:cs="Arial"/>
        </w:rPr>
        <w:t xml:space="preserve"> </w:t>
      </w:r>
      <w:r w:rsidR="00C1277A" w:rsidRPr="00296D0C">
        <w:rPr>
          <w:rFonts w:cs="Arial"/>
        </w:rPr>
        <w:fldChar w:fldCharType="begin"/>
      </w:r>
      <w:r w:rsidR="008C43BF">
        <w:rPr>
          <w:rFonts w:cs="Arial"/>
        </w:rPr>
        <w:instrText xml:space="preserve"> ADDIN EN.CITE &lt;EndNote&gt;&lt;Cite&gt;&lt;Author&gt;Morgan&lt;/Author&gt;&lt;Year&gt;2010&lt;/Year&gt;&lt;RecNum&gt;5755&lt;/RecNum&gt;&lt;DisplayText&gt;&lt;style face="superscript"&gt;117&lt;/style&gt;&lt;/DisplayText&gt;&lt;record&gt;&lt;rec-number&gt;5755&lt;/rec-number&gt;&lt;foreign-keys&gt;&lt;key app="EN" db-id="2ewa9rrvjsdsawep2vpx5x97eedzzvxx5rta" timestamp="1478679952"&gt;5755&lt;/key&gt;&lt;/foreign-keys&gt;&lt;ref-type name="Journal Article"&gt;17&lt;/ref-type&gt;&lt;contributors&gt;&lt;authors&gt;&lt;author&gt;Morgan, C. L.&lt;/author&gt;&lt;author&gt;Peters, J. R.&lt;/author&gt;&lt;author&gt;Dixon, S.&lt;/author&gt;&lt;author&gt;Currie, C. J.&lt;/author&gt;&lt;/authors&gt;&lt;/contributors&gt;&lt;auth-address&gt;Department of Epidemiology, Pharmatelligence, Cardiff, UK.&lt;/auth-address&gt;&lt;titles&gt;&lt;title&gt;Estimated costs of acute hospital care for people with diabetes in the United Kingdom: a routine record linkage study in a large region&lt;/title&gt;&lt;secondary-title&gt;Diabet Med&lt;/secondary-title&gt;&lt;/titles&gt;&lt;periodical&gt;&lt;full-title&gt;Diabetic Medicine&lt;/full-title&gt;&lt;abbr-1&gt;Diabet. Med.&lt;/abbr-1&gt;&lt;abbr-2&gt;Diabet Med&lt;/abbr-2&gt;&lt;/periodical&gt;&lt;pages&gt;1066-73&lt;/pages&gt;&lt;volume&gt;27&lt;/volume&gt;&lt;number&gt;9&lt;/number&gt;&lt;keywords&gt;&lt;keyword&gt;Diabetes Mellitus, Type 1/complications/*economics/therapy&lt;/keyword&gt;&lt;keyword&gt;Diabetes Mellitus, Type 2/complications/*economics/therapy&lt;/keyword&gt;&lt;keyword&gt;Diabetic Angiopathies/*economics/therapy&lt;/keyword&gt;&lt;keyword&gt;Female&lt;/keyword&gt;&lt;keyword&gt;Great Britain/epidemiology&lt;/keyword&gt;&lt;keyword&gt;Hospitalization/*economics&lt;/keyword&gt;&lt;keyword&gt;Humans&lt;/keyword&gt;&lt;keyword&gt;Male&lt;/keyword&gt;&lt;keyword&gt;Medical Record Linkage&lt;/keyword&gt;&lt;keyword&gt;Prevalence&lt;/keyword&gt;&lt;keyword&gt;Retrospective Studies&lt;/keyword&gt;&lt;/keywords&gt;&lt;dates&gt;&lt;year&gt;2010&lt;/year&gt;&lt;pub-dates&gt;&lt;date&gt;Sep&lt;/date&gt;&lt;/pub-dates&gt;&lt;/dates&gt;&lt;isbn&gt;1464-5491 (Electronic)&amp;#xD;0742-3071 (Linking)&lt;/isbn&gt;&lt;accession-num&gt;20722682&lt;/accession-num&gt;&lt;urls&gt;&lt;related-urls&gt;&lt;url&gt;http://www.ncbi.nlm.nih.gov/pubmed/20722682&lt;/url&gt;&lt;/related-urls&gt;&lt;/urls&gt;&lt;electronic-resource-num&gt;10.1111/j.1464-5491.2010.03086.x&lt;/electronic-resource-num&gt;&lt;/record&gt;&lt;/Cite&gt;&lt;/EndNote&gt;</w:instrText>
      </w:r>
      <w:r w:rsidR="00C1277A" w:rsidRPr="00296D0C">
        <w:rPr>
          <w:rFonts w:cs="Arial"/>
        </w:rPr>
        <w:fldChar w:fldCharType="separate"/>
      </w:r>
      <w:r w:rsidR="008C43BF" w:rsidRPr="008C43BF">
        <w:rPr>
          <w:rFonts w:cs="Arial"/>
          <w:noProof/>
          <w:vertAlign w:val="superscript"/>
        </w:rPr>
        <w:t>117</w:t>
      </w:r>
      <w:r w:rsidR="00C1277A" w:rsidRPr="00296D0C">
        <w:rPr>
          <w:rFonts w:cs="Arial"/>
        </w:rPr>
        <w:fldChar w:fldCharType="end"/>
      </w:r>
      <w:r w:rsidRPr="00296D0C">
        <w:rPr>
          <w:rFonts w:cs="Arial"/>
        </w:rPr>
        <w:t>).</w:t>
      </w:r>
    </w:p>
    <w:p w14:paraId="2B0287C6" w14:textId="77777777" w:rsidR="00861557" w:rsidRPr="00296D0C" w:rsidRDefault="00861557" w:rsidP="00507D7B">
      <w:pPr>
        <w:spacing w:after="0" w:line="360" w:lineRule="auto"/>
        <w:rPr>
          <w:highlight w:val="green"/>
        </w:rPr>
      </w:pPr>
    </w:p>
    <w:p w14:paraId="1B1F8D66" w14:textId="77777777" w:rsidR="00861557" w:rsidRPr="001B481E" w:rsidRDefault="00861557" w:rsidP="000C3DC3">
      <w:pPr>
        <w:rPr>
          <w:rFonts w:cs="Arial"/>
          <w:u w:val="single"/>
        </w:rPr>
      </w:pPr>
      <w:r w:rsidRPr="001B481E">
        <w:rPr>
          <w:rFonts w:cs="Arial"/>
          <w:u w:val="single"/>
        </w:rPr>
        <w:t>Coronary heart disease</w:t>
      </w:r>
    </w:p>
    <w:p w14:paraId="24804D0F" w14:textId="4E45F50C" w:rsidR="00861557" w:rsidRPr="00296D0C" w:rsidRDefault="00861557" w:rsidP="00507D7B">
      <w:pPr>
        <w:spacing w:after="0" w:line="360" w:lineRule="auto"/>
        <w:rPr>
          <w:rFonts w:cs="Arial"/>
        </w:rPr>
      </w:pPr>
      <w:r w:rsidRPr="00296D0C">
        <w:rPr>
          <w:rFonts w:cs="Arial"/>
        </w:rPr>
        <w:t>A report from NHS Scotland</w:t>
      </w:r>
      <w:r w:rsidR="004878D6" w:rsidRPr="00296D0C">
        <w:rPr>
          <w:rFonts w:cs="Arial"/>
        </w:rPr>
        <w:t xml:space="preserve"> (</w:t>
      </w:r>
      <w:r w:rsidRPr="00296D0C">
        <w:rPr>
          <w:rFonts w:cs="Arial"/>
        </w:rPr>
        <w:t>2007</w:t>
      </w:r>
      <w:r w:rsidR="004878D6" w:rsidRPr="00296D0C">
        <w:rPr>
          <w:rFonts w:cs="Arial"/>
        </w:rPr>
        <w:t>)</w:t>
      </w:r>
      <w:r w:rsidRPr="00296D0C">
        <w:rPr>
          <w:rFonts w:cs="Arial"/>
        </w:rPr>
        <w:t xml:space="preserve"> </w:t>
      </w:r>
      <w:r w:rsidR="00C1277A" w:rsidRPr="00296D0C">
        <w:rPr>
          <w:rFonts w:cs="Arial"/>
        </w:rPr>
        <w:fldChar w:fldCharType="begin"/>
      </w:r>
      <w:r w:rsidR="008C43BF">
        <w:rPr>
          <w:rFonts w:cs="Arial"/>
        </w:rPr>
        <w:instrText xml:space="preserve"> ADDIN EN.CITE &lt;EndNote&gt;&lt;Cite&gt;&lt;Author&gt;NHS Scotland&lt;/Author&gt;&lt;Year&gt;2007&lt;/Year&gt;&lt;RecNum&gt;5757&lt;/RecNum&gt;&lt;DisplayText&gt;&lt;style face="superscript"&gt;113&lt;/style&gt;&lt;/DisplayText&gt;&lt;record&gt;&lt;rec-number&gt;5757&lt;/rec-number&gt;&lt;foreign-keys&gt;&lt;key app="EN" db-id="2ewa9rrvjsdsawep2vpx5x97eedzzvxx5rta" timestamp="1478679952"&gt;5757&lt;/key&gt;&lt;/foreign-keys&gt;&lt;ref-type name="Report"&gt;27&lt;/ref-type&gt;&lt;contributors&gt;&lt;authors&gt;&lt;author&gt;NHS Scotland, &lt;/author&gt;&lt;/authors&gt;&lt;/contributors&gt;&lt;titles&gt;&lt;title&gt;Management of coronary heart disease: A national clinical and resource impact assessment&lt;/title&gt;&lt;/titles&gt;&lt;dates&gt;&lt;year&gt;2007&lt;/year&gt;&lt;/dates&gt;&lt;pub-location&gt;Edinburgh&lt;/pub-location&gt;&lt;publisher&gt;NHS Scotland&lt;/publisher&gt;&lt;urls&gt;&lt;/urls&gt;&lt;/record&gt;&lt;/Cite&gt;&lt;/EndNote&gt;</w:instrText>
      </w:r>
      <w:r w:rsidR="00C1277A" w:rsidRPr="00296D0C">
        <w:rPr>
          <w:rFonts w:cs="Arial"/>
        </w:rPr>
        <w:fldChar w:fldCharType="separate"/>
      </w:r>
      <w:r w:rsidR="008C43BF" w:rsidRPr="008C43BF">
        <w:rPr>
          <w:rFonts w:cs="Arial"/>
          <w:noProof/>
          <w:vertAlign w:val="superscript"/>
        </w:rPr>
        <w:t>113</w:t>
      </w:r>
      <w:r w:rsidR="00C1277A" w:rsidRPr="00296D0C">
        <w:rPr>
          <w:rFonts w:cs="Arial"/>
        </w:rPr>
        <w:fldChar w:fldCharType="end"/>
      </w:r>
      <w:r w:rsidR="00C1277A" w:rsidRPr="00296D0C">
        <w:rPr>
          <w:rFonts w:cs="Arial"/>
        </w:rPr>
        <w:t xml:space="preserve"> </w:t>
      </w:r>
      <w:r w:rsidRPr="00296D0C">
        <w:rPr>
          <w:rFonts w:cs="Arial"/>
        </w:rPr>
        <w:t xml:space="preserve">presents estimates of resource use and costs associated with CVD-related diagnoses. The cost per patient for coronary heart disease was estimated as £2,852. This estimate was based on a comprehensive costing methodology, assessing the average cost per patient for the following principal diagnoses: unstable angina £1,760; acute myocardial infarction £3,990; subsequent myocardial infarction £4,240; chronic ischaemic heart disease unspecified £2,765; and stable angina £1,500. </w:t>
      </w:r>
    </w:p>
    <w:p w14:paraId="69190B78" w14:textId="77777777" w:rsidR="00861557" w:rsidRPr="00296D0C" w:rsidRDefault="00861557" w:rsidP="00507D7B">
      <w:pPr>
        <w:spacing w:after="0" w:line="360" w:lineRule="auto"/>
        <w:rPr>
          <w:rFonts w:cs="Arial"/>
        </w:rPr>
      </w:pPr>
    </w:p>
    <w:p w14:paraId="00D9DE54" w14:textId="77777777" w:rsidR="00861557" w:rsidRPr="001B481E" w:rsidRDefault="00861557" w:rsidP="000C3DC3">
      <w:pPr>
        <w:rPr>
          <w:rFonts w:cs="Arial"/>
          <w:u w:val="single"/>
        </w:rPr>
      </w:pPr>
      <w:r w:rsidRPr="001B481E">
        <w:rPr>
          <w:rFonts w:cs="Arial"/>
          <w:u w:val="single"/>
        </w:rPr>
        <w:t>Stroke</w:t>
      </w:r>
    </w:p>
    <w:p w14:paraId="4132E6ED" w14:textId="04E2FF47" w:rsidR="00861557" w:rsidRPr="00296D0C" w:rsidRDefault="00861557" w:rsidP="00507D7B">
      <w:pPr>
        <w:autoSpaceDE w:val="0"/>
        <w:autoSpaceDN w:val="0"/>
        <w:adjustRightInd w:val="0"/>
        <w:spacing w:after="0" w:line="360" w:lineRule="auto"/>
        <w:rPr>
          <w:rFonts w:eastAsiaTheme="minorHAnsi" w:cs="Arial"/>
        </w:rPr>
      </w:pPr>
      <w:r w:rsidRPr="00296D0C">
        <w:rPr>
          <w:rFonts w:eastAsiaTheme="minorHAnsi" w:cs="Arial"/>
        </w:rPr>
        <w:t>Saka et al</w:t>
      </w:r>
      <w:r w:rsidR="004878D6" w:rsidRPr="00296D0C">
        <w:rPr>
          <w:rFonts w:eastAsiaTheme="minorHAnsi" w:cs="Arial"/>
        </w:rPr>
        <w:t>.,</w:t>
      </w:r>
      <w:r w:rsidRPr="00296D0C">
        <w:rPr>
          <w:rFonts w:eastAsiaTheme="minorHAnsi" w:cs="Arial"/>
        </w:rPr>
        <w:t xml:space="preserve"> </w:t>
      </w:r>
      <w:r w:rsidRPr="00296D0C">
        <w:rPr>
          <w:rFonts w:cs="Arial"/>
        </w:rPr>
        <w:t>2009</w:t>
      </w:r>
      <w:r w:rsidR="00C1277A" w:rsidRPr="00296D0C">
        <w:rPr>
          <w:rFonts w:cs="Arial"/>
        </w:rPr>
        <w:t xml:space="preserve"> </w:t>
      </w:r>
      <w:r w:rsidR="00C1277A" w:rsidRPr="00296D0C">
        <w:rPr>
          <w:rFonts w:cs="Arial"/>
        </w:rPr>
        <w:fldChar w:fldCharType="begin"/>
      </w:r>
      <w:r w:rsidR="008C43BF">
        <w:rPr>
          <w:rFonts w:cs="Arial"/>
        </w:rPr>
        <w:instrText xml:space="preserve"> ADDIN EN.CITE &lt;EndNote&gt;&lt;Cite&gt;&lt;Author&gt;Saka&lt;/Author&gt;&lt;Year&gt;2009&lt;/Year&gt;&lt;RecNum&gt;5764&lt;/RecNum&gt;&lt;DisplayText&gt;&lt;style face="superscript"&gt;114&lt;/style&gt;&lt;/DisplayText&gt;&lt;record&gt;&lt;rec-number&gt;5764&lt;/rec-number&gt;&lt;foreign-keys&gt;&lt;key app="EN" db-id="2ewa9rrvjsdsawep2vpx5x97eedzzvxx5rta" timestamp="1478679952"&gt;5764&lt;/key&gt;&lt;/foreign-keys&gt;&lt;ref-type name="Journal Article"&gt;17&lt;/ref-type&gt;&lt;contributors&gt;&lt;authors&gt;&lt;author&gt;Saka, O.&lt;/author&gt;&lt;author&gt;McGuire, A.&lt;/author&gt;&lt;author&gt;Wolfe, C.&lt;/author&gt;&lt;/authors&gt;&lt;/contributors&gt;&lt;auth-address&gt;King&amp;apos;s College London, Division of Health and Social Care Research, London SE1 3QD, UK. omer.saka@kcl.ac.uk&lt;/auth-address&gt;&lt;titles&gt;&lt;title&gt;Cost of stroke in the United Kingdom&lt;/title&gt;&lt;secondary-title&gt;Age Ageing&lt;/secondary-title&gt;&lt;/titles&gt;&lt;periodical&gt;&lt;full-title&gt;Age and Ageing&lt;/full-title&gt;&lt;abbr-1&gt;Age Ageing&lt;/abbr-1&gt;&lt;abbr-2&gt;Age Ageing&lt;/abbr-2&gt;&lt;abbr-3&gt;Age &amp;amp; Ageing&lt;/abbr-3&gt;&lt;/periodical&gt;&lt;pages&gt;27-32&lt;/pages&gt;&lt;volume&gt;38&lt;/volume&gt;&lt;number&gt;1&lt;/number&gt;&lt;keywords&gt;&lt;keyword&gt;Adult&lt;/keyword&gt;&lt;keyword&gt;Aged&lt;/keyword&gt;&lt;keyword&gt;Aged, 80 and over&lt;/keyword&gt;&lt;keyword&gt;*Cost of Illness&lt;/keyword&gt;&lt;keyword&gt;Efficiency, Organizational/economics&lt;/keyword&gt;&lt;keyword&gt;Great Britain/epidemiology&lt;/keyword&gt;&lt;keyword&gt;Health Care Costs/*statistics &amp;amp; numerical data&lt;/keyword&gt;&lt;keyword&gt;Humans&lt;/keyword&gt;&lt;keyword&gt;Middle Aged&lt;/keyword&gt;&lt;keyword&gt;Prevalence&lt;/keyword&gt;&lt;keyword&gt;Registries&lt;/keyword&gt;&lt;keyword&gt;State Medicine/economics&lt;/keyword&gt;&lt;keyword&gt;Stroke/*economics/epidemiology&lt;/keyword&gt;&lt;/keywords&gt;&lt;dates&gt;&lt;year&gt;2009&lt;/year&gt;&lt;pub-dates&gt;&lt;date&gt;Jan&lt;/date&gt;&lt;/pub-dates&gt;&lt;/dates&gt;&lt;isbn&gt;1468-2834 (Electronic)&amp;#xD;0002-0729 (Linking)&lt;/isbn&gt;&lt;accession-num&gt;19141506&lt;/accession-num&gt;&lt;urls&gt;&lt;related-urls&gt;&lt;url&gt;http://www.ncbi.nlm.nih.gov/pubmed/19141506&lt;/url&gt;&lt;/related-urls&gt;&lt;/urls&gt;&lt;electronic-resource-num&gt;10.1093/ageing/afn281&lt;/electronic-resource-num&gt;&lt;/record&gt;&lt;/Cite&gt;&lt;/EndNote&gt;</w:instrText>
      </w:r>
      <w:r w:rsidR="00C1277A" w:rsidRPr="00296D0C">
        <w:rPr>
          <w:rFonts w:cs="Arial"/>
        </w:rPr>
        <w:fldChar w:fldCharType="separate"/>
      </w:r>
      <w:r w:rsidR="008C43BF" w:rsidRPr="008C43BF">
        <w:rPr>
          <w:rFonts w:cs="Arial"/>
          <w:noProof/>
          <w:vertAlign w:val="superscript"/>
        </w:rPr>
        <w:t>114</w:t>
      </w:r>
      <w:r w:rsidR="00C1277A" w:rsidRPr="00296D0C">
        <w:rPr>
          <w:rFonts w:cs="Arial"/>
        </w:rPr>
        <w:fldChar w:fldCharType="end"/>
      </w:r>
      <w:r w:rsidRPr="00296D0C">
        <w:rPr>
          <w:rFonts w:cs="Arial"/>
        </w:rPr>
        <w:t xml:space="preserve"> have reported detailed data on the resource use and cost associated with stroke, estimating societal and direct costs of care.  </w:t>
      </w:r>
      <w:r w:rsidRPr="00296D0C">
        <w:rPr>
          <w:rFonts w:eastAsiaTheme="minorHAnsi" w:cs="Arial"/>
        </w:rPr>
        <w:t>Direct care costs include diagnosis, inpatient care and outpatient care, based on data from a population based register.  The data are pre</w:t>
      </w:r>
      <w:r w:rsidR="00B13AA9" w:rsidRPr="00296D0C">
        <w:rPr>
          <w:rFonts w:eastAsiaTheme="minorHAnsi" w:cs="Arial"/>
        </w:rPr>
        <w:t>dominantly presented as aggregat</w:t>
      </w:r>
      <w:r w:rsidRPr="00296D0C">
        <w:rPr>
          <w:rFonts w:eastAsiaTheme="minorHAnsi" w:cs="Arial"/>
        </w:rPr>
        <w:t>e burden/cost of illness results, however, when considering an estimate of cost per case/per stroke patient (applying a</w:t>
      </w:r>
      <w:r w:rsidRPr="00296D0C">
        <w:rPr>
          <w:rFonts w:cs="Arial"/>
        </w:rPr>
        <w:t>ssumptions/methods from Bosanquet and Franks</w:t>
      </w:r>
      <w:r w:rsidR="0021085E">
        <w:rPr>
          <w:rFonts w:cs="Arial"/>
        </w:rPr>
        <w:t xml:space="preserve">, </w:t>
      </w:r>
      <w:r w:rsidRPr="00296D0C">
        <w:rPr>
          <w:rFonts w:cs="Arial"/>
        </w:rPr>
        <w:t>1998</w:t>
      </w:r>
      <w:r w:rsidR="00C1277A" w:rsidRPr="00296D0C">
        <w:rPr>
          <w:rFonts w:cs="Arial"/>
        </w:rPr>
        <w:t xml:space="preserve"> </w:t>
      </w:r>
      <w:r w:rsidR="00C1277A" w:rsidRPr="00296D0C">
        <w:rPr>
          <w:rFonts w:cs="Arial"/>
        </w:rPr>
        <w:fldChar w:fldCharType="begin"/>
      </w:r>
      <w:r w:rsidR="008C43BF">
        <w:rPr>
          <w:rFonts w:cs="Arial"/>
        </w:rPr>
        <w:instrText xml:space="preserve"> ADDIN EN.CITE &lt;EndNote&gt;&lt;Cite&gt;&lt;Author&gt;Bosanquet&lt;/Author&gt;&lt;Year&gt;1998&lt;/Year&gt;&lt;RecNum&gt;5730&lt;/RecNum&gt;&lt;DisplayText&gt;&lt;style face="superscript"&gt;118&lt;/style&gt;&lt;/DisplayText&gt;&lt;record&gt;&lt;rec-number&gt;5730&lt;/rec-number&gt;&lt;foreign-keys&gt;&lt;key app="EN" db-id="2ewa9rrvjsdsawep2vpx5x97eedzzvxx5rta" timestamp="1478679952"&gt;5730&lt;/key&gt;&lt;/foreign-keys&gt;&lt;ref-type name="Report"&gt;27&lt;/ref-type&gt;&lt;contributors&gt;&lt;authors&gt;&lt;author&gt;Bosanquet, N.&lt;/author&gt;&lt;author&gt;Franks, P.&lt;/author&gt;&lt;/authors&gt;&lt;/contributors&gt;&lt;titles&gt;&lt;title&gt; Stroke care: reducing the burden of disease&lt;/title&gt;&lt;/titles&gt;&lt;dates&gt;&lt;year&gt;1998&lt;/year&gt;&lt;/dates&gt;&lt;pub-location&gt;London&lt;/pub-location&gt;&lt;publisher&gt;The Stroke Association&lt;/publisher&gt;&lt;urls&gt;&lt;/urls&gt;&lt;/record&gt;&lt;/Cite&gt;&lt;/EndNote&gt;</w:instrText>
      </w:r>
      <w:r w:rsidR="00C1277A" w:rsidRPr="00296D0C">
        <w:rPr>
          <w:rFonts w:cs="Arial"/>
        </w:rPr>
        <w:fldChar w:fldCharType="separate"/>
      </w:r>
      <w:r w:rsidR="008C43BF" w:rsidRPr="008C43BF">
        <w:rPr>
          <w:rFonts w:cs="Arial"/>
          <w:noProof/>
          <w:vertAlign w:val="superscript"/>
        </w:rPr>
        <w:t>118</w:t>
      </w:r>
      <w:r w:rsidR="00C1277A" w:rsidRPr="00296D0C">
        <w:rPr>
          <w:rFonts w:cs="Arial"/>
        </w:rPr>
        <w:fldChar w:fldCharType="end"/>
      </w:r>
      <w:r w:rsidRPr="00296D0C">
        <w:rPr>
          <w:rFonts w:cs="Arial"/>
        </w:rPr>
        <w:t>)</w:t>
      </w:r>
      <w:r w:rsidRPr="00296D0C">
        <w:rPr>
          <w:rFonts w:eastAsiaTheme="minorHAnsi" w:cs="Arial"/>
        </w:rPr>
        <w:t xml:space="preserve">, the authors present estimates of £2,800 and £17,500 for costs associated with a rapid recovery case and a case with disability but discharged into the community.  As a conservative assumption here we use the cost estimate of £2,800 for the treatment of stroke events arising in the model </w:t>
      </w:r>
      <w:r w:rsidRPr="00296D0C">
        <w:rPr>
          <w:rFonts w:eastAsiaTheme="minorHAnsi" w:cs="Arial"/>
        </w:rPr>
        <w:lastRenderedPageBreak/>
        <w:t>presented here.  This cost is applied as a one-off treatment cost (model payoff), rather than an annual treatment cost.</w:t>
      </w:r>
    </w:p>
    <w:p w14:paraId="58D1E498" w14:textId="77777777" w:rsidR="00861557" w:rsidRPr="00296D0C" w:rsidRDefault="00861557" w:rsidP="00507D7B">
      <w:pPr>
        <w:autoSpaceDE w:val="0"/>
        <w:autoSpaceDN w:val="0"/>
        <w:adjustRightInd w:val="0"/>
        <w:spacing w:after="0" w:line="360" w:lineRule="auto"/>
        <w:rPr>
          <w:rFonts w:cs="Arial"/>
          <w:highlight w:val="green"/>
        </w:rPr>
      </w:pPr>
    </w:p>
    <w:p w14:paraId="073B8000" w14:textId="77777777" w:rsidR="00861557" w:rsidRPr="001B481E" w:rsidRDefault="00861557" w:rsidP="000C3DC3">
      <w:pPr>
        <w:rPr>
          <w:rFonts w:cs="Arial"/>
          <w:u w:val="single"/>
        </w:rPr>
      </w:pPr>
      <w:r w:rsidRPr="001B481E">
        <w:rPr>
          <w:rFonts w:cs="Arial"/>
          <w:u w:val="single"/>
        </w:rPr>
        <w:t>Colorectal cancer</w:t>
      </w:r>
    </w:p>
    <w:p w14:paraId="6E48ECAF" w14:textId="50918296" w:rsidR="00861557" w:rsidRPr="00296D0C" w:rsidRDefault="00861557" w:rsidP="00507D7B">
      <w:pPr>
        <w:spacing w:after="0" w:line="360" w:lineRule="auto"/>
        <w:rPr>
          <w:rFonts w:cs="Arial"/>
        </w:rPr>
      </w:pPr>
      <w:r w:rsidRPr="00296D0C">
        <w:rPr>
          <w:rFonts w:cs="Arial"/>
        </w:rPr>
        <w:t>A report from Cancer Research UK (2014)</w:t>
      </w:r>
      <w:r w:rsidR="00E52E74" w:rsidRPr="00296D0C">
        <w:rPr>
          <w:rFonts w:cs="Arial"/>
        </w:rPr>
        <w:t xml:space="preserve"> </w:t>
      </w:r>
      <w:r w:rsidR="00E52E74" w:rsidRPr="00296D0C">
        <w:rPr>
          <w:rFonts w:cs="Arial"/>
        </w:rPr>
        <w:fldChar w:fldCharType="begin"/>
      </w:r>
      <w:r w:rsidR="00931E9F">
        <w:rPr>
          <w:rFonts w:cs="Arial"/>
        </w:rPr>
        <w:instrText xml:space="preserve"> ADDIN EN.CITE &lt;EndNote&gt;&lt;Cite&gt;&lt;Author&gt;Cancer Research UK (CRUK)&lt;/Author&gt;&lt;Year&gt;2014&lt;/Year&gt;&lt;RecNum&gt;5806&lt;/RecNum&gt;&lt;DisplayText&gt;&lt;style face="superscript"&gt;115&lt;/style&gt;&lt;/DisplayText&gt;&lt;record&gt;&lt;rec-number&gt;5806&lt;/rec-number&gt;&lt;foreign-keys&gt;&lt;key app="EN" db-id="2ewa9rrvjsdsawep2vpx5x97eedzzvxx5rta" timestamp="1478777495"&gt;5806&lt;/key&gt;&lt;/foreign-keys&gt;&lt;ref-type name="Report"&gt;27&lt;/ref-type&gt;&lt;contributors&gt;&lt;authors&gt;&lt;author&gt;Cancer Research UK (CRUK),&lt;/author&gt;&lt;/authors&gt;&lt;/contributors&gt;&lt;titles&gt;&lt;title&gt;Saving Lives through Research&lt;/title&gt;&lt;/titles&gt;&lt;dates&gt;&lt;year&gt;2014&lt;/year&gt;&lt;/dates&gt;&lt;urls&gt;&lt;related-urls&gt;&lt;url&gt;http://www.cancerresearchuk.org/sites/default/files/cruk_report_and_accounts_2013_14.pdf&lt;/url&gt;&lt;/related-urls&gt;&lt;/urls&gt;&lt;access-date&gt;17 June 2016&lt;/access-date&gt;&lt;/record&gt;&lt;/Cite&gt;&lt;/EndNote&gt;</w:instrText>
      </w:r>
      <w:r w:rsidR="00E52E74" w:rsidRPr="00296D0C">
        <w:rPr>
          <w:rFonts w:cs="Arial"/>
        </w:rPr>
        <w:fldChar w:fldCharType="separate"/>
      </w:r>
      <w:r w:rsidR="008C43BF" w:rsidRPr="008C43BF">
        <w:rPr>
          <w:rFonts w:cs="Arial"/>
          <w:noProof/>
          <w:vertAlign w:val="superscript"/>
        </w:rPr>
        <w:t>115</w:t>
      </w:r>
      <w:r w:rsidR="00E52E74" w:rsidRPr="00296D0C">
        <w:rPr>
          <w:rFonts w:cs="Arial"/>
        </w:rPr>
        <w:fldChar w:fldCharType="end"/>
      </w:r>
      <w:r w:rsidRPr="00296D0C">
        <w:rPr>
          <w:rFonts w:cs="Arial"/>
        </w:rPr>
        <w:t xml:space="preserve"> presents mean estimated costs for colorectal cancer of £8,441, covering diagnosis and treatment costs, across disease stages 1-4.  Cost estimates are based on a mapping of national treatment guidelines, national datasets and clinical audit data.  This cost estimate is similar to the data presented by Trueman et al</w:t>
      </w:r>
      <w:r w:rsidR="004878D6" w:rsidRPr="00296D0C">
        <w:rPr>
          <w:rFonts w:cs="Arial"/>
        </w:rPr>
        <w:t>.,</w:t>
      </w:r>
      <w:r w:rsidRPr="00296D0C">
        <w:rPr>
          <w:rFonts w:cs="Arial"/>
        </w:rPr>
        <w:t xml:space="preserve"> 2007</w:t>
      </w:r>
      <w:r w:rsidR="00C1277A" w:rsidRPr="00296D0C">
        <w:rPr>
          <w:rFonts w:cs="Arial"/>
        </w:rPr>
        <w:t xml:space="preserve"> </w:t>
      </w:r>
      <w:r w:rsidR="00C71026" w:rsidRPr="00296D0C">
        <w:rPr>
          <w:rFonts w:cs="Arial"/>
        </w:rPr>
        <w:fldChar w:fldCharType="begin"/>
      </w:r>
      <w:r w:rsidR="008C43BF">
        <w:rPr>
          <w:rFonts w:cs="Arial"/>
        </w:rPr>
        <w:instrText xml:space="preserve"> ADDIN EN.CITE &lt;EndNote&gt;&lt;Cite&gt;&lt;Author&gt;Trueman&lt;/Author&gt;&lt;Year&gt;2007&lt;/Year&gt;&lt;RecNum&gt;5772&lt;/RecNum&gt;&lt;DisplayText&gt;&lt;style face="superscript"&gt;119&lt;/style&gt;&lt;/DisplayText&gt;&lt;record&gt;&lt;rec-number&gt;5772&lt;/rec-number&gt;&lt;foreign-keys&gt;&lt;key app="EN" db-id="2ewa9rrvjsdsawep2vpx5x97eedzzvxx5rta" timestamp="1478679952"&gt;5772&lt;/key&gt;&lt;/foreign-keys&gt;&lt;ref-type name="Report"&gt;27&lt;/ref-type&gt;&lt;contributors&gt;&lt;authors&gt;&lt;author&gt;Trueman, P.&lt;/author&gt;&lt;author&gt;Lowson, K.&lt;/author&gt;&lt;author&gt;Bending, M.&lt;/author&gt;&lt;author&gt;Ganderton, M.&lt;/author&gt;&lt;author&gt;Chaplin, S.&lt;/author&gt;&lt;author&gt;Wright, D. H.&lt;/author&gt;&lt;author&gt;Duffy, S.&lt;/author&gt;&lt;author&gt;Saxby, R.&lt;/author&gt;&lt;author&gt;Chilcott, J.&lt;/author&gt;&lt;author&gt;Tappenden, P.&lt;/author&gt;&lt;author&gt;Pilgrim, H.&lt;/author&gt;&lt;author&gt;Shorthouse, A. &lt;/author&gt;&lt;author&gt;Tappenden, J.&lt;/author&gt;&lt;/authors&gt;&lt;/contributors&gt;&lt;titles&gt;&lt;title&gt;Bowel Cancer Services: Costs and Benefits (Summary Report to the Department of Health)&lt;/title&gt;&lt;/titles&gt;&lt;dates&gt;&lt;year&gt;2007&lt;/year&gt;&lt;/dates&gt;&lt;pub-location&gt;York (UK)&lt;/pub-location&gt;&lt;publisher&gt;York Health Economics Consortium and School of Health and Related Research (University of Sheffield)&lt;/publisher&gt;&lt;urls&gt;&lt;/urls&gt;&lt;/record&gt;&lt;/Cite&gt;&lt;/EndNote&gt;</w:instrText>
      </w:r>
      <w:r w:rsidR="00C71026" w:rsidRPr="00296D0C">
        <w:rPr>
          <w:rFonts w:cs="Arial"/>
        </w:rPr>
        <w:fldChar w:fldCharType="separate"/>
      </w:r>
      <w:r w:rsidR="008C43BF" w:rsidRPr="008C43BF">
        <w:rPr>
          <w:rFonts w:cs="Arial"/>
          <w:noProof/>
          <w:vertAlign w:val="superscript"/>
        </w:rPr>
        <w:t>119</w:t>
      </w:r>
      <w:r w:rsidR="00C71026" w:rsidRPr="00296D0C">
        <w:rPr>
          <w:rFonts w:cs="Arial"/>
        </w:rPr>
        <w:fldChar w:fldCharType="end"/>
      </w:r>
      <w:r w:rsidRPr="00296D0C">
        <w:rPr>
          <w:rFonts w:cs="Arial"/>
        </w:rPr>
        <w:t>, in a report commissioned by the UK Department of Health (mean cost at approx. £8,800).</w:t>
      </w:r>
    </w:p>
    <w:p w14:paraId="7EACFA7E" w14:textId="77777777" w:rsidR="00861557" w:rsidRPr="00296D0C" w:rsidRDefault="00861557" w:rsidP="00507D7B">
      <w:pPr>
        <w:spacing w:after="0" w:line="360" w:lineRule="auto"/>
        <w:rPr>
          <w:rFonts w:cs="Arial"/>
        </w:rPr>
      </w:pPr>
      <w:r w:rsidRPr="00296D0C">
        <w:rPr>
          <w:rFonts w:cs="Arial"/>
        </w:rPr>
        <w:t xml:space="preserve"> </w:t>
      </w:r>
    </w:p>
    <w:p w14:paraId="4D12BCF7" w14:textId="77777777" w:rsidR="00861557" w:rsidRPr="00F0041F" w:rsidRDefault="00861557" w:rsidP="00507D7B">
      <w:pPr>
        <w:spacing w:after="0" w:line="360" w:lineRule="auto"/>
        <w:rPr>
          <w:rFonts w:cs="Arial"/>
          <w:b/>
        </w:rPr>
      </w:pPr>
      <w:r w:rsidRPr="00F0041F">
        <w:rPr>
          <w:rFonts w:cs="Arial"/>
          <w:b/>
        </w:rPr>
        <w:t>Modelling Summary</w:t>
      </w:r>
    </w:p>
    <w:p w14:paraId="62E8400C" w14:textId="63D943B3" w:rsidR="00861557" w:rsidRPr="00296D0C" w:rsidRDefault="00861557" w:rsidP="00507D7B">
      <w:pPr>
        <w:spacing w:after="0" w:line="360" w:lineRule="auto"/>
        <w:rPr>
          <w:rFonts w:cs="Arial"/>
        </w:rPr>
      </w:pPr>
      <w:r w:rsidRPr="00296D0C">
        <w:rPr>
          <w:rFonts w:cs="Arial"/>
        </w:rPr>
        <w:t>The model structure has been described above, and the parameter inputs to populate the model have been presented, together with a description of methods and rationale for dat</w:t>
      </w:r>
      <w:r w:rsidR="00E656CC" w:rsidRPr="00296D0C">
        <w:rPr>
          <w:rFonts w:cs="Arial"/>
        </w:rPr>
        <w:t xml:space="preserve">a inputs and assumptions used. </w:t>
      </w:r>
      <w:r w:rsidRPr="00296D0C">
        <w:rPr>
          <w:rFonts w:cs="Arial"/>
        </w:rPr>
        <w:t xml:space="preserve">Appendix </w:t>
      </w:r>
      <w:r w:rsidR="00705B64">
        <w:rPr>
          <w:rFonts w:cs="Arial"/>
        </w:rPr>
        <w:t>9</w:t>
      </w:r>
      <w:r w:rsidR="00E656CC" w:rsidRPr="00296D0C">
        <w:rPr>
          <w:rFonts w:cs="Arial"/>
        </w:rPr>
        <w:t xml:space="preserve"> </w:t>
      </w:r>
      <w:r w:rsidRPr="00296D0C">
        <w:rPr>
          <w:rFonts w:cs="Arial"/>
        </w:rPr>
        <w:t>presents a summary of the model param</w:t>
      </w:r>
      <w:r w:rsidR="00DF1CF3" w:rsidRPr="00296D0C">
        <w:rPr>
          <w:rFonts w:cs="Arial"/>
        </w:rPr>
        <w:t>e</w:t>
      </w:r>
      <w:r w:rsidRPr="00296D0C">
        <w:rPr>
          <w:rFonts w:cs="Arial"/>
        </w:rPr>
        <w:t>ters and inputs used.</w:t>
      </w:r>
    </w:p>
    <w:p w14:paraId="02EDF0EB" w14:textId="3A851C6E" w:rsidR="00861557" w:rsidRPr="00296D0C" w:rsidRDefault="00861557" w:rsidP="00507D7B">
      <w:pPr>
        <w:spacing w:after="0" w:line="360" w:lineRule="auto"/>
        <w:rPr>
          <w:rFonts w:cs="Arial"/>
        </w:rPr>
      </w:pPr>
      <w:r w:rsidRPr="00296D0C">
        <w:rPr>
          <w:rFonts w:cs="Arial"/>
        </w:rPr>
        <w:t>The Exeter Obesity Model has been developed as part of the research funded alongside the NIHR funded clinical trial (RCT) on HeLP versus usual practice.  The model is set out here as a parsimonious modelling framework appropriate for estimating cost</w:t>
      </w:r>
      <w:r w:rsidR="00576BE5">
        <w:rPr>
          <w:rFonts w:cs="Arial"/>
        </w:rPr>
        <w:t xml:space="preserve"> </w:t>
      </w:r>
      <w:r w:rsidRPr="00296D0C">
        <w:rPr>
          <w:rFonts w:cs="Arial"/>
        </w:rPr>
        <w:t xml:space="preserve">effectiveness for HeLP versus usual practice, given the expectation of a relatively low cost intervention being used in a public health context, with benefits accruing over the longer term (i.e. in adult years, 20 to 50 years after the intervention is delivered).  The specific focus of the model development has been </w:t>
      </w:r>
      <w:r w:rsidR="006E5729" w:rsidRPr="00296D0C">
        <w:rPr>
          <w:rFonts w:cs="Arial"/>
        </w:rPr>
        <w:t>on use of key weight-</w:t>
      </w:r>
      <w:r w:rsidRPr="00296D0C">
        <w:rPr>
          <w:rFonts w:cs="Arial"/>
        </w:rPr>
        <w:t>related events as outcomes of interest in the model, the use of published data to populate the model, and the presentation of cost</w:t>
      </w:r>
      <w:r w:rsidR="00576BE5">
        <w:rPr>
          <w:rFonts w:cs="Arial"/>
        </w:rPr>
        <w:t xml:space="preserve"> </w:t>
      </w:r>
      <w:r w:rsidRPr="00296D0C">
        <w:rPr>
          <w:rFonts w:cs="Arial"/>
        </w:rPr>
        <w:t>effectiveness analyses using cost per QA, and cost per life year saved, in order to inform health policy and decision-making in a UK</w:t>
      </w:r>
      <w:r w:rsidR="006E5729" w:rsidRPr="00296D0C">
        <w:rPr>
          <w:rFonts w:cs="Arial"/>
        </w:rPr>
        <w:t xml:space="preserve"> context.  The conceptual model</w:t>
      </w:r>
      <w:r w:rsidRPr="00296D0C">
        <w:rPr>
          <w:rFonts w:cs="Arial"/>
        </w:rPr>
        <w:t xml:space="preserve"> and the simple model design are based on the need to answer the </w:t>
      </w:r>
      <w:r w:rsidR="00D4119A" w:rsidRPr="00D4119A">
        <w:rPr>
          <w:rFonts w:cs="Arial"/>
          <w:i/>
        </w:rPr>
        <w:t>a priori</w:t>
      </w:r>
      <w:r w:rsidR="00D4119A">
        <w:rPr>
          <w:rFonts w:cs="Arial"/>
        </w:rPr>
        <w:t xml:space="preserve"> </w:t>
      </w:r>
      <w:r w:rsidRPr="00296D0C">
        <w:rPr>
          <w:rFonts w:cs="Arial"/>
        </w:rPr>
        <w:t>research question on whether HeLP is cost</w:t>
      </w:r>
      <w:r w:rsidR="00576BE5">
        <w:rPr>
          <w:rFonts w:cs="Arial"/>
        </w:rPr>
        <w:t xml:space="preserve"> </w:t>
      </w:r>
      <w:r w:rsidRPr="00296D0C">
        <w:rPr>
          <w:rFonts w:cs="Arial"/>
        </w:rPr>
        <w:t>effective versus usual practice, i.e. whether it represents value for money to a UK third party payer (such as the NHS) when assessed against commonly used estimates of willingness to pay for health benefits (i.e. cost per QALY thresholds) (NICE, 2013</w:t>
      </w:r>
      <w:r w:rsidR="00C1277A" w:rsidRPr="00296D0C">
        <w:rPr>
          <w:rFonts w:cs="Arial"/>
        </w:rPr>
        <w:t xml:space="preserve"> </w:t>
      </w:r>
      <w:r w:rsidR="00C1277A" w:rsidRPr="00296D0C">
        <w:rPr>
          <w:rFonts w:cs="Arial"/>
        </w:rPr>
        <w:fldChar w:fldCharType="begin"/>
      </w:r>
      <w:r w:rsidR="00931E9F">
        <w:rPr>
          <w:rFonts w:cs="Arial"/>
        </w:rPr>
        <w:instrText xml:space="preserve"> ADDIN EN.CITE &lt;EndNote&gt;&lt;Cite&gt;&lt;Author&gt;National Institute for Health and Care Excellence&lt;/Author&gt;&lt;Year&gt;2013&lt;/Year&gt;&lt;RecNum&gt;5781&lt;/RecNum&gt;&lt;DisplayText&gt;&lt;style face="superscript"&gt;77&lt;/style&gt;&lt;/DisplayText&gt;&lt;record&gt;&lt;rec-number&gt;5781&lt;/rec-number&gt;&lt;foreign-keys&gt;&lt;key app="EN" db-id="2ewa9rrvjsdsawep2vpx5x97eedzzvxx5rta" timestamp="1478698216"&gt;5781&lt;/key&gt;&lt;/foreign-keys&gt;&lt;ref-type name="Report"&gt;27&lt;/ref-type&gt;&lt;contributors&gt;&lt;authors&gt;&lt;author&gt;National Institute for Health and Care Excellence,&lt;/author&gt;&lt;/authors&gt;&lt;/contributors&gt;&lt;titles&gt;&lt;title&gt;Guide to the method of technology appraisal 2013&lt;/title&gt;&lt;/titles&gt;&lt;dates&gt;&lt;year&gt;2013&lt;/year&gt;&lt;/dates&gt;&lt;urls&gt;&lt;related-urls&gt;&lt;url&gt;https://www.nice.org.uk/process/pmg9/resources/guide-to-the-methods-of-technology-appraisal-2013-pdf-2007975843781&lt;/url&gt;&lt;/related-urls&gt;&lt;/urls&gt;&lt;access-date&gt;01 Nov 2016&lt;/access-date&gt;&lt;/record&gt;&lt;/Cite&gt;&lt;/EndNote&gt;</w:instrText>
      </w:r>
      <w:r w:rsidR="00C1277A" w:rsidRPr="00296D0C">
        <w:rPr>
          <w:rFonts w:cs="Arial"/>
        </w:rPr>
        <w:fldChar w:fldCharType="separate"/>
      </w:r>
      <w:r w:rsidR="008C43BF" w:rsidRPr="008C43BF">
        <w:rPr>
          <w:rFonts w:cs="Arial"/>
          <w:noProof/>
          <w:vertAlign w:val="superscript"/>
        </w:rPr>
        <w:t>77</w:t>
      </w:r>
      <w:r w:rsidR="00C1277A" w:rsidRPr="00296D0C">
        <w:rPr>
          <w:rFonts w:cs="Arial"/>
        </w:rPr>
        <w:fldChar w:fldCharType="end"/>
      </w:r>
      <w:r w:rsidRPr="00296D0C">
        <w:rPr>
          <w:rFonts w:cs="Arial"/>
        </w:rPr>
        <w:t>).</w:t>
      </w:r>
    </w:p>
    <w:p w14:paraId="53825465" w14:textId="77777777" w:rsidR="005638A8" w:rsidRPr="00296D0C" w:rsidRDefault="005638A8" w:rsidP="00507D7B">
      <w:pPr>
        <w:spacing w:after="0" w:line="360" w:lineRule="auto"/>
        <w:rPr>
          <w:rFonts w:cs="Arial"/>
        </w:rPr>
      </w:pPr>
    </w:p>
    <w:p w14:paraId="7D4011B4" w14:textId="546DBA80" w:rsidR="00861557" w:rsidRPr="00296D0C" w:rsidRDefault="00861557" w:rsidP="00507D7B">
      <w:pPr>
        <w:spacing w:after="0" w:line="360" w:lineRule="auto"/>
        <w:rPr>
          <w:rFonts w:cs="Arial"/>
        </w:rPr>
      </w:pPr>
      <w:r w:rsidRPr="00296D0C">
        <w:rPr>
          <w:rFonts w:cs="Arial"/>
        </w:rPr>
        <w:t xml:space="preserve">However, </w:t>
      </w:r>
      <w:r w:rsidR="00D4119A">
        <w:rPr>
          <w:rFonts w:cs="Arial"/>
        </w:rPr>
        <w:t xml:space="preserve">as referred to above, the HeLP intervention is not effective compared to usual practice, therefore </w:t>
      </w:r>
      <w:r w:rsidRPr="00296D0C">
        <w:rPr>
          <w:rFonts w:cs="Arial"/>
        </w:rPr>
        <w:t>the modelling framework is presented here as a potentially useful generic contribution to the methods available to model the effectiveness and cost</w:t>
      </w:r>
      <w:r w:rsidR="00576BE5">
        <w:rPr>
          <w:rFonts w:cs="Arial"/>
        </w:rPr>
        <w:t xml:space="preserve"> </w:t>
      </w:r>
      <w:r w:rsidRPr="00296D0C">
        <w:rPr>
          <w:rFonts w:cs="Arial"/>
        </w:rPr>
        <w:t>effectiveness of interventions for childhood obesity, where it is important to extrapolate from relatively short term effectiveness outcomes to longer term impacts of interventions, into and over adult years.</w:t>
      </w:r>
    </w:p>
    <w:p w14:paraId="1DF41849" w14:textId="77777777" w:rsidR="00861557" w:rsidRPr="00296D0C" w:rsidRDefault="00861557" w:rsidP="00861557">
      <w:pPr>
        <w:rPr>
          <w:rFonts w:cs="Arial"/>
          <w:b/>
        </w:rPr>
      </w:pPr>
      <w:r w:rsidRPr="00296D0C">
        <w:rPr>
          <w:rFonts w:cs="Arial"/>
          <w:b/>
        </w:rPr>
        <w:br w:type="page"/>
      </w:r>
    </w:p>
    <w:p w14:paraId="385476AC" w14:textId="6851652F" w:rsidR="00861557" w:rsidRPr="00296D0C" w:rsidRDefault="00B958DE" w:rsidP="00B958DE">
      <w:pPr>
        <w:pStyle w:val="Heading3"/>
        <w:rPr>
          <w:rFonts w:asciiTheme="minorHAnsi" w:hAnsiTheme="minorHAnsi" w:cs="Arial"/>
        </w:rPr>
      </w:pPr>
      <w:bookmarkStart w:id="517" w:name="_Toc466710103"/>
      <w:bookmarkStart w:id="518" w:name="_Toc466711451"/>
      <w:bookmarkStart w:id="519" w:name="_Toc466712110"/>
      <w:bookmarkStart w:id="520" w:name="_Toc475974378"/>
      <w:r w:rsidRPr="00296D0C">
        <w:rPr>
          <w:rFonts w:asciiTheme="minorHAnsi" w:hAnsiTheme="minorHAnsi" w:cs="Arial"/>
        </w:rPr>
        <w:lastRenderedPageBreak/>
        <w:t>4.</w:t>
      </w:r>
      <w:r w:rsidR="00312529" w:rsidRPr="00296D0C">
        <w:rPr>
          <w:rFonts w:asciiTheme="minorHAnsi" w:hAnsiTheme="minorHAnsi" w:cs="Arial"/>
        </w:rPr>
        <w:t xml:space="preserve">3.3 </w:t>
      </w:r>
      <w:r w:rsidR="00861557" w:rsidRPr="00296D0C">
        <w:rPr>
          <w:rFonts w:asciiTheme="minorHAnsi" w:hAnsiTheme="minorHAnsi" w:cs="Arial"/>
        </w:rPr>
        <w:t>Cost Effectiveness Analyses (HeLP versus Usual Practice)</w:t>
      </w:r>
      <w:bookmarkEnd w:id="517"/>
      <w:bookmarkEnd w:id="518"/>
      <w:bookmarkEnd w:id="519"/>
      <w:bookmarkEnd w:id="520"/>
    </w:p>
    <w:p w14:paraId="1B596945" w14:textId="41939C80" w:rsidR="00861557" w:rsidRPr="00296D0C" w:rsidRDefault="00861557" w:rsidP="00507D7B">
      <w:pPr>
        <w:spacing w:after="0" w:line="360" w:lineRule="auto"/>
        <w:rPr>
          <w:rFonts w:cs="Arial"/>
        </w:rPr>
      </w:pPr>
      <w:bookmarkStart w:id="521" w:name="_Toc452020214"/>
      <w:r w:rsidRPr="00296D0C">
        <w:rPr>
          <w:rFonts w:cs="Arial"/>
        </w:rPr>
        <w:t>The above sections have presented results of the estimates of the costs associated with delivery of the HeLP intervention, and have described the modelling framework set out to estimate the cost</w:t>
      </w:r>
      <w:r w:rsidR="00576BE5">
        <w:rPr>
          <w:rFonts w:cs="Arial"/>
        </w:rPr>
        <w:t xml:space="preserve"> </w:t>
      </w:r>
      <w:r w:rsidRPr="00296D0C">
        <w:rPr>
          <w:rFonts w:cs="Arial"/>
        </w:rPr>
        <w:t xml:space="preserve"> effectiveness of the HeLP intervention versus usual practice.</w:t>
      </w:r>
    </w:p>
    <w:p w14:paraId="50284C2A" w14:textId="77777777" w:rsidR="00861557" w:rsidRPr="00296D0C" w:rsidRDefault="00861557" w:rsidP="00507D7B">
      <w:pPr>
        <w:spacing w:after="0" w:line="360" w:lineRule="auto"/>
        <w:rPr>
          <w:rFonts w:cs="Arial"/>
        </w:rPr>
      </w:pPr>
    </w:p>
    <w:p w14:paraId="34FEC7C4" w14:textId="77777777" w:rsidR="00861557" w:rsidRPr="00296D0C" w:rsidRDefault="00861557" w:rsidP="00507D7B">
      <w:pPr>
        <w:spacing w:after="0" w:line="360" w:lineRule="auto"/>
        <w:rPr>
          <w:rFonts w:cs="Arial"/>
          <w:b/>
        </w:rPr>
      </w:pPr>
      <w:r w:rsidRPr="00296D0C">
        <w:rPr>
          <w:rFonts w:cs="Arial"/>
          <w:b/>
        </w:rPr>
        <w:t>Effectiveness of HeLP versus Usual Practice</w:t>
      </w:r>
    </w:p>
    <w:p w14:paraId="6B8B6EC5" w14:textId="73C204A6" w:rsidR="00861557" w:rsidRPr="00296D0C" w:rsidRDefault="00B6478A" w:rsidP="00507D7B">
      <w:pPr>
        <w:spacing w:after="0" w:line="360" w:lineRule="auto"/>
        <w:rPr>
          <w:rFonts w:cs="Arial"/>
        </w:rPr>
      </w:pPr>
      <w:r w:rsidRPr="00296D0C">
        <w:rPr>
          <w:rFonts w:cs="Arial"/>
        </w:rPr>
        <w:t xml:space="preserve">Data presented in </w:t>
      </w:r>
      <w:r w:rsidR="00E34A3B">
        <w:rPr>
          <w:rFonts w:cs="Arial"/>
        </w:rPr>
        <w:t>c</w:t>
      </w:r>
      <w:r w:rsidRPr="00296D0C">
        <w:rPr>
          <w:rFonts w:cs="Arial"/>
        </w:rPr>
        <w:t>hapter 3</w:t>
      </w:r>
      <w:r w:rsidR="00861557" w:rsidRPr="00296D0C">
        <w:rPr>
          <w:rFonts w:cs="Arial"/>
        </w:rPr>
        <w:t xml:space="preserve"> have reported that there is no evidence that HeLP is more </w:t>
      </w:r>
      <w:r w:rsidRPr="00296D0C">
        <w:rPr>
          <w:rFonts w:cs="Arial"/>
        </w:rPr>
        <w:t xml:space="preserve">effective than usual practice. </w:t>
      </w:r>
      <w:r w:rsidR="00861557" w:rsidRPr="00296D0C">
        <w:rPr>
          <w:rFonts w:cs="Arial"/>
        </w:rPr>
        <w:t>Table</w:t>
      </w:r>
      <w:r w:rsidR="00B958DE" w:rsidRPr="00296D0C">
        <w:rPr>
          <w:rFonts w:cs="Arial"/>
        </w:rPr>
        <w:t xml:space="preserve"> </w:t>
      </w:r>
      <w:r w:rsidR="0041502B">
        <w:rPr>
          <w:rFonts w:cs="Arial"/>
        </w:rPr>
        <w:t>8</w:t>
      </w:r>
      <w:r w:rsidR="002D0625" w:rsidRPr="00296D0C">
        <w:rPr>
          <w:rFonts w:cs="Arial"/>
        </w:rPr>
        <w:t xml:space="preserve"> </w:t>
      </w:r>
      <w:r w:rsidR="00861557" w:rsidRPr="00296D0C">
        <w:rPr>
          <w:rFonts w:cs="Arial"/>
        </w:rPr>
        <w:t xml:space="preserve">reports no statistically significant differences between HeLP participants and controls at 24-month </w:t>
      </w:r>
      <w:r w:rsidR="009D1C7F" w:rsidRPr="00296D0C">
        <w:rPr>
          <w:rFonts w:cs="Arial"/>
        </w:rPr>
        <w:t>follow up</w:t>
      </w:r>
      <w:r w:rsidR="00861557" w:rsidRPr="00296D0C">
        <w:rPr>
          <w:rFonts w:cs="Arial"/>
        </w:rPr>
        <w:t xml:space="preserve"> on the primary outcome measure of BMI </w:t>
      </w:r>
      <w:r w:rsidR="0045433E" w:rsidRPr="00296D0C">
        <w:rPr>
          <w:rFonts w:cs="Arial"/>
        </w:rPr>
        <w:t>SDS</w:t>
      </w:r>
      <w:r w:rsidR="00861557" w:rsidRPr="00296D0C">
        <w:rPr>
          <w:rFonts w:cs="Arial"/>
        </w:rPr>
        <w:t>.  The Exeter Obesity Model estimates cost</w:t>
      </w:r>
      <w:r w:rsidR="00576BE5">
        <w:rPr>
          <w:rFonts w:cs="Arial"/>
        </w:rPr>
        <w:t xml:space="preserve"> </w:t>
      </w:r>
      <w:r w:rsidR="00861557" w:rsidRPr="00296D0C">
        <w:rPr>
          <w:rFonts w:cs="Arial"/>
        </w:rPr>
        <w:t xml:space="preserve">effectiveness with a starting premise that an intervention has shown a difference in effectiveness which can be translated to a reduction in the relative risk associated with being in BMI </w:t>
      </w:r>
      <w:r w:rsidR="00B958DE" w:rsidRPr="00296D0C">
        <w:rPr>
          <w:rFonts w:cs="Arial"/>
        </w:rPr>
        <w:t>SDS</w:t>
      </w:r>
      <w:r w:rsidR="00861557" w:rsidRPr="00296D0C">
        <w:rPr>
          <w:rFonts w:cs="Arial"/>
        </w:rPr>
        <w:t xml:space="preserve"> weight status categories associated with overweight and/or obesity, using the BMI centile categories applied in the base data drawn from Power et al</w:t>
      </w:r>
      <w:r w:rsidR="004878D6" w:rsidRPr="00296D0C">
        <w:rPr>
          <w:rFonts w:cs="Arial"/>
        </w:rPr>
        <w:t>.,</w:t>
      </w:r>
      <w:r w:rsidR="00861557" w:rsidRPr="00296D0C">
        <w:rPr>
          <w:rFonts w:cs="Arial"/>
        </w:rPr>
        <w:t xml:space="preserve"> 1997</w:t>
      </w:r>
      <w:r w:rsidR="00A125D3" w:rsidRPr="00296D0C">
        <w:rPr>
          <w:rFonts w:cs="Arial"/>
        </w:rPr>
        <w:t xml:space="preserve"> </w:t>
      </w:r>
      <w:r w:rsidR="004B1882" w:rsidRPr="00296D0C">
        <w:rPr>
          <w:rFonts w:cs="Arial"/>
        </w:rPr>
        <w:fldChar w:fldCharType="begin"/>
      </w:r>
      <w:r w:rsidR="008C43BF">
        <w:rPr>
          <w:rFonts w:cs="Arial"/>
        </w:rPr>
        <w:instrText xml:space="preserve"> ADDIN EN.CITE &lt;EndNote&gt;&lt;Cite&gt;&lt;Author&gt;Power&lt;/Author&gt;&lt;Year&gt;1997&lt;/Year&gt;&lt;RecNum&gt;3572&lt;/RecNum&gt;&lt;DisplayText&gt;&lt;style face="superscript"&gt;120&lt;/style&gt;&lt;/DisplayText&gt;&lt;record&gt;&lt;rec-number&gt;3572&lt;/rec-number&gt;&lt;foreign-keys&gt;&lt;key app="EN" db-id="2ewa9rrvjsdsawep2vpx5x97eedzzvxx5rta" timestamp="0"&gt;3572&lt;/key&gt;&lt;/foreign-keys&gt;&lt;ref-type name="Journal Article"&gt;17&lt;/ref-type&gt;&lt;contributors&gt;&lt;authors&gt;&lt;author&gt;Power, C., &lt;/author&gt;&lt;author&gt;Lake, J.K., &lt;/author&gt;&lt;author&gt;Cole, T.J.&lt;/author&gt;&lt;/authors&gt;&lt;/contributors&gt;&lt;titles&gt;&lt;title&gt;Body mass index and height from childhood to adulthood in the 1958 British born cohort&lt;/title&gt;&lt;secondary-title&gt;American Journal of Clinical Nutrition&lt;/secondary-title&gt;&lt;/titles&gt;&lt;periodical&gt;&lt;full-title&gt;American Journal of Clinical Nutrition&lt;/full-title&gt;&lt;abbr-1&gt;Am. J. Clin. Nutr.&lt;/abbr-1&gt;&lt;abbr-2&gt;Am J Clin Nutr&lt;/abbr-2&gt;&lt;/periodical&gt;&lt;pages&gt;1094-101&lt;/pages&gt;&lt;volume&gt;66&lt;/volume&gt;&lt;dates&gt;&lt;year&gt;1997&lt;/year&gt;&lt;/dates&gt;&lt;urls&gt;&lt;/urls&gt;&lt;/record&gt;&lt;/Cite&gt;&lt;/EndNote&gt;</w:instrText>
      </w:r>
      <w:r w:rsidR="004B1882" w:rsidRPr="00296D0C">
        <w:rPr>
          <w:rFonts w:cs="Arial"/>
        </w:rPr>
        <w:fldChar w:fldCharType="separate"/>
      </w:r>
      <w:r w:rsidR="008C43BF" w:rsidRPr="008C43BF">
        <w:rPr>
          <w:rFonts w:cs="Arial"/>
          <w:noProof/>
          <w:vertAlign w:val="superscript"/>
        </w:rPr>
        <w:t>120</w:t>
      </w:r>
      <w:r w:rsidR="004B1882" w:rsidRPr="00296D0C">
        <w:rPr>
          <w:rFonts w:cs="Arial"/>
        </w:rPr>
        <w:fldChar w:fldCharType="end"/>
      </w:r>
      <w:r w:rsidR="00861557" w:rsidRPr="00296D0C">
        <w:rPr>
          <w:rFonts w:cs="Arial"/>
        </w:rPr>
        <w:t xml:space="preserve">, see Table </w:t>
      </w:r>
      <w:r w:rsidR="00B87C4D" w:rsidRPr="00296D0C">
        <w:rPr>
          <w:rFonts w:cs="Arial"/>
        </w:rPr>
        <w:t>2</w:t>
      </w:r>
      <w:r w:rsidR="0041502B">
        <w:rPr>
          <w:rFonts w:cs="Arial"/>
        </w:rPr>
        <w:t>7</w:t>
      </w:r>
      <w:r w:rsidRPr="00296D0C">
        <w:rPr>
          <w:rFonts w:cs="Arial"/>
        </w:rPr>
        <w:t xml:space="preserve">. </w:t>
      </w:r>
      <w:r w:rsidR="00861557" w:rsidRPr="00296D0C">
        <w:rPr>
          <w:rFonts w:cs="Arial"/>
        </w:rPr>
        <w:t xml:space="preserve">This model structure allows comparison of a cohort of children over time, with and without the intervention.  The results from the HeLP RCT do not show reductions in the relative risk for being in states aligned to overweight and/or obesity, finding no statistically significant difference between </w:t>
      </w:r>
      <w:r w:rsidR="006E5729" w:rsidRPr="00296D0C">
        <w:rPr>
          <w:rFonts w:cs="Arial"/>
        </w:rPr>
        <w:t xml:space="preserve">the </w:t>
      </w:r>
      <w:r w:rsidR="00861557" w:rsidRPr="00296D0C">
        <w:rPr>
          <w:rFonts w:cs="Arial"/>
        </w:rPr>
        <w:t>intervention</w:t>
      </w:r>
      <w:r w:rsidR="006E5729" w:rsidRPr="00296D0C">
        <w:rPr>
          <w:rFonts w:cs="Arial"/>
        </w:rPr>
        <w:t xml:space="preserve"> group and control group</w:t>
      </w:r>
      <w:r w:rsidR="00861557" w:rsidRPr="00296D0C">
        <w:rPr>
          <w:rFonts w:cs="Arial"/>
        </w:rPr>
        <w:t xml:space="preserve"> </w:t>
      </w:r>
      <w:r w:rsidR="00861557" w:rsidRPr="00F0041F">
        <w:rPr>
          <w:rFonts w:cs="Arial"/>
        </w:rPr>
        <w:t>(see Table</w:t>
      </w:r>
      <w:r w:rsidR="00AC190C" w:rsidRPr="00F0041F">
        <w:rPr>
          <w:rFonts w:cs="Arial"/>
        </w:rPr>
        <w:t xml:space="preserve"> </w:t>
      </w:r>
      <w:r w:rsidR="0041502B">
        <w:rPr>
          <w:rFonts w:cs="Arial"/>
        </w:rPr>
        <w:t>10</w:t>
      </w:r>
      <w:r w:rsidR="00B74B30" w:rsidRPr="00F0041F">
        <w:rPr>
          <w:rFonts w:cs="Arial"/>
        </w:rPr>
        <w:t>)</w:t>
      </w:r>
      <w:r w:rsidR="00181790" w:rsidRPr="00F0041F">
        <w:rPr>
          <w:rFonts w:cs="Arial"/>
        </w:rPr>
        <w:t>.</w:t>
      </w:r>
    </w:p>
    <w:p w14:paraId="6D3F636E" w14:textId="77777777" w:rsidR="006E5729" w:rsidRPr="00296D0C" w:rsidRDefault="006E5729" w:rsidP="00507D7B">
      <w:pPr>
        <w:spacing w:after="0" w:line="360" w:lineRule="auto"/>
        <w:rPr>
          <w:rFonts w:cs="Arial"/>
        </w:rPr>
      </w:pPr>
    </w:p>
    <w:p w14:paraId="5F256B22" w14:textId="143B1561" w:rsidR="00861557" w:rsidRPr="00296D0C" w:rsidRDefault="00861557" w:rsidP="00507D7B">
      <w:pPr>
        <w:spacing w:after="0" w:line="360" w:lineRule="auto"/>
        <w:rPr>
          <w:rFonts w:cs="Arial"/>
          <w:b/>
        </w:rPr>
      </w:pPr>
      <w:r w:rsidRPr="00296D0C">
        <w:rPr>
          <w:rFonts w:cs="Arial"/>
          <w:b/>
        </w:rPr>
        <w:t>Cost</w:t>
      </w:r>
      <w:r w:rsidR="00576BE5">
        <w:rPr>
          <w:rFonts w:cs="Arial"/>
          <w:b/>
        </w:rPr>
        <w:t xml:space="preserve"> </w:t>
      </w:r>
      <w:r w:rsidRPr="00296D0C">
        <w:rPr>
          <w:rFonts w:cs="Arial"/>
          <w:b/>
        </w:rPr>
        <w:t>effectiveness of HeLP versus Usual Practice</w:t>
      </w:r>
    </w:p>
    <w:p w14:paraId="398BE306" w14:textId="4DC6016E" w:rsidR="00861557" w:rsidRPr="00296D0C" w:rsidRDefault="00861557" w:rsidP="00507D7B">
      <w:pPr>
        <w:spacing w:after="0" w:line="360" w:lineRule="auto"/>
        <w:rPr>
          <w:rFonts w:cs="Arial"/>
        </w:rPr>
      </w:pPr>
      <w:r w:rsidRPr="00296D0C">
        <w:rPr>
          <w:rFonts w:cs="Arial"/>
        </w:rPr>
        <w:t>Given the effectiveness profile for the HeLP intervention, there is no expectation, using the Exeter Obesity Model framework, that there will be any improvements in the likely incidence of the weight-related health events (CHD,</w:t>
      </w:r>
      <w:r w:rsidR="002D0625" w:rsidRPr="00296D0C">
        <w:rPr>
          <w:rFonts w:cs="Arial"/>
        </w:rPr>
        <w:t xml:space="preserve"> </w:t>
      </w:r>
      <w:r w:rsidRPr="00296D0C">
        <w:rPr>
          <w:rFonts w:cs="Arial"/>
        </w:rPr>
        <w:t>stroke, T2DM, CRC), or cost savings to the health and social care system associated with weight related events.  This profile</w:t>
      </w:r>
      <w:r w:rsidR="002D0625" w:rsidRPr="00296D0C">
        <w:rPr>
          <w:rFonts w:cs="Arial"/>
        </w:rPr>
        <w:t>,</w:t>
      </w:r>
      <w:r w:rsidRPr="00296D0C">
        <w:rPr>
          <w:rFonts w:cs="Arial"/>
        </w:rPr>
        <w:t xml:space="preserve"> together with a certain expectation that the introduction of the HeLP intervention is associated with additional resource use and costs, in the short-term, leads to the clear conclusion that HeLP is not considered to be a cost</w:t>
      </w:r>
      <w:r w:rsidR="00576BE5">
        <w:rPr>
          <w:rFonts w:cs="Arial"/>
        </w:rPr>
        <w:t xml:space="preserve"> </w:t>
      </w:r>
      <w:r w:rsidRPr="00296D0C">
        <w:rPr>
          <w:rFonts w:cs="Arial"/>
        </w:rPr>
        <w:t xml:space="preserve">effective alternative to usual practice.  </w:t>
      </w:r>
    </w:p>
    <w:p w14:paraId="469137B1" w14:textId="75394392" w:rsidR="00861557" w:rsidRPr="00296D0C" w:rsidRDefault="00861557" w:rsidP="00507D7B">
      <w:pPr>
        <w:spacing w:after="0" w:line="360" w:lineRule="auto"/>
        <w:rPr>
          <w:rFonts w:cs="Arial"/>
        </w:rPr>
      </w:pPr>
      <w:r w:rsidRPr="00296D0C">
        <w:rPr>
          <w:rFonts w:cs="Arial"/>
        </w:rPr>
        <w:t>HeLP incurs additional costs with no identified or expected health gains, using the analytical framework developed and presented here, and therefore usual practice ‘dominates’ H</w:t>
      </w:r>
      <w:r w:rsidR="0021085E">
        <w:rPr>
          <w:rFonts w:cs="Arial"/>
        </w:rPr>
        <w:t>e</w:t>
      </w:r>
      <w:r w:rsidRPr="00296D0C">
        <w:rPr>
          <w:rFonts w:cs="Arial"/>
        </w:rPr>
        <w:t xml:space="preserve">LP in a resource allocation context (Table </w:t>
      </w:r>
      <w:r w:rsidR="0021085E">
        <w:rPr>
          <w:rFonts w:cs="Arial"/>
        </w:rPr>
        <w:t>3</w:t>
      </w:r>
      <w:r w:rsidR="0041502B">
        <w:rPr>
          <w:rFonts w:cs="Arial"/>
        </w:rPr>
        <w:t>2</w:t>
      </w:r>
      <w:r w:rsidR="00507D7B" w:rsidRPr="00296D0C">
        <w:rPr>
          <w:rFonts w:cs="Arial"/>
        </w:rPr>
        <w:t xml:space="preserve">). </w:t>
      </w:r>
      <w:r w:rsidRPr="00296D0C">
        <w:rPr>
          <w:rFonts w:cs="Arial"/>
        </w:rPr>
        <w:t>HeLP does not offer value for money to the UK health care system, compared to usual practice.</w:t>
      </w:r>
    </w:p>
    <w:p w14:paraId="4C126B53" w14:textId="77777777" w:rsidR="00861557" w:rsidRPr="00296D0C" w:rsidRDefault="00861557" w:rsidP="00507D7B">
      <w:pPr>
        <w:spacing w:after="0" w:line="360" w:lineRule="auto"/>
        <w:rPr>
          <w:rFonts w:cs="Arial"/>
          <w:b/>
        </w:rPr>
      </w:pPr>
      <w:r w:rsidRPr="00296D0C">
        <w:rPr>
          <w:rFonts w:cs="Arial"/>
          <w:b/>
        </w:rPr>
        <w:br w:type="page"/>
      </w:r>
    </w:p>
    <w:p w14:paraId="79AC29D0" w14:textId="30E22E34" w:rsidR="00861557" w:rsidRPr="00296D0C" w:rsidRDefault="00861557" w:rsidP="00861557">
      <w:pPr>
        <w:spacing w:before="240" w:after="0" w:line="240" w:lineRule="auto"/>
        <w:rPr>
          <w:rFonts w:cs="Arial"/>
          <w:b/>
        </w:rPr>
      </w:pPr>
      <w:r w:rsidRPr="00296D0C">
        <w:rPr>
          <w:rFonts w:cs="Arial"/>
          <w:b/>
        </w:rPr>
        <w:lastRenderedPageBreak/>
        <w:t>T</w:t>
      </w:r>
      <w:r w:rsidR="004878D6" w:rsidRPr="00296D0C">
        <w:rPr>
          <w:rFonts w:cs="Arial"/>
          <w:b/>
        </w:rPr>
        <w:t>ABLE</w:t>
      </w:r>
      <w:r w:rsidRPr="00296D0C">
        <w:rPr>
          <w:rFonts w:cs="Arial"/>
          <w:b/>
        </w:rPr>
        <w:t xml:space="preserve"> </w:t>
      </w:r>
      <w:r w:rsidR="004878D6" w:rsidRPr="00296D0C">
        <w:rPr>
          <w:rFonts w:cs="Arial"/>
          <w:b/>
        </w:rPr>
        <w:t>3</w:t>
      </w:r>
      <w:r w:rsidR="006C0879">
        <w:rPr>
          <w:rFonts w:cs="Arial"/>
          <w:b/>
        </w:rPr>
        <w:t>2</w:t>
      </w:r>
      <w:r w:rsidRPr="00296D0C">
        <w:rPr>
          <w:rFonts w:cs="Arial"/>
          <w:b/>
        </w:rPr>
        <w:t xml:space="preserve"> Summary of differences in outcomes and costs (HeLP treatment vs. control)</w:t>
      </w:r>
    </w:p>
    <w:tbl>
      <w:tblPr>
        <w:tblStyle w:val="TableGrid"/>
        <w:tblW w:w="0" w:type="auto"/>
        <w:tblLook w:val="04A0" w:firstRow="1" w:lastRow="0" w:firstColumn="1" w:lastColumn="0" w:noHBand="0" w:noVBand="1"/>
      </w:tblPr>
      <w:tblGrid>
        <w:gridCol w:w="2274"/>
        <w:gridCol w:w="2069"/>
        <w:gridCol w:w="2054"/>
        <w:gridCol w:w="2619"/>
      </w:tblGrid>
      <w:tr w:rsidR="00861557" w:rsidRPr="00296D0C" w14:paraId="736C821E" w14:textId="77777777" w:rsidTr="0077247E">
        <w:tc>
          <w:tcPr>
            <w:tcW w:w="2310" w:type="dxa"/>
          </w:tcPr>
          <w:p w14:paraId="5CCD0885" w14:textId="77777777" w:rsidR="00861557" w:rsidRPr="00296D0C" w:rsidRDefault="00861557" w:rsidP="0077247E">
            <w:pPr>
              <w:rPr>
                <w:rFonts w:cs="Arial"/>
              </w:rPr>
            </w:pPr>
            <w:r w:rsidRPr="00296D0C">
              <w:rPr>
                <w:rFonts w:cs="Arial"/>
              </w:rPr>
              <w:t>Outcome</w:t>
            </w:r>
          </w:p>
        </w:tc>
        <w:tc>
          <w:tcPr>
            <w:tcW w:w="2098" w:type="dxa"/>
          </w:tcPr>
          <w:p w14:paraId="40CCCF2D" w14:textId="717914BC" w:rsidR="00861557" w:rsidRPr="00296D0C" w:rsidRDefault="006E5729" w:rsidP="0077247E">
            <w:pPr>
              <w:jc w:val="center"/>
              <w:rPr>
                <w:rFonts w:cs="Arial"/>
              </w:rPr>
            </w:pPr>
            <w:r w:rsidRPr="00296D0C">
              <w:rPr>
                <w:rFonts w:cs="Arial"/>
              </w:rPr>
              <w:t>Intervention</w:t>
            </w:r>
            <w:r w:rsidR="00861557" w:rsidRPr="00296D0C">
              <w:rPr>
                <w:rFonts w:cs="Arial"/>
              </w:rPr>
              <w:t xml:space="preserve"> (HeLP)</w:t>
            </w:r>
          </w:p>
        </w:tc>
        <w:tc>
          <w:tcPr>
            <w:tcW w:w="2098" w:type="dxa"/>
          </w:tcPr>
          <w:p w14:paraId="0C34CAAA" w14:textId="77777777" w:rsidR="00861557" w:rsidRPr="00296D0C" w:rsidRDefault="00861557" w:rsidP="0077247E">
            <w:pPr>
              <w:jc w:val="center"/>
              <w:rPr>
                <w:rFonts w:cs="Arial"/>
              </w:rPr>
            </w:pPr>
            <w:r w:rsidRPr="00296D0C">
              <w:rPr>
                <w:rFonts w:cs="Arial"/>
              </w:rPr>
              <w:t>Control (Usual Practice</w:t>
            </w:r>
          </w:p>
        </w:tc>
        <w:tc>
          <w:tcPr>
            <w:tcW w:w="2665" w:type="dxa"/>
          </w:tcPr>
          <w:p w14:paraId="604FA303" w14:textId="46A98086" w:rsidR="00861557" w:rsidRPr="00296D0C" w:rsidRDefault="006E5729" w:rsidP="0077247E">
            <w:pPr>
              <w:rPr>
                <w:rFonts w:cs="Arial"/>
              </w:rPr>
            </w:pPr>
            <w:r w:rsidRPr="00296D0C">
              <w:rPr>
                <w:rFonts w:cs="Arial"/>
              </w:rPr>
              <w:t>Adjusted d</w:t>
            </w:r>
            <w:r w:rsidR="00861557" w:rsidRPr="00296D0C">
              <w:rPr>
                <w:rFonts w:cs="Arial"/>
              </w:rPr>
              <w:t>ifference (</w:t>
            </w:r>
            <w:r w:rsidRPr="00296D0C">
              <w:rPr>
                <w:rFonts w:cs="Arial"/>
              </w:rPr>
              <w:t>intervention</w:t>
            </w:r>
            <w:r w:rsidR="00861557" w:rsidRPr="00296D0C">
              <w:rPr>
                <w:rFonts w:cs="Arial"/>
              </w:rPr>
              <w:t xml:space="preserve"> vs. control)</w:t>
            </w:r>
          </w:p>
          <w:p w14:paraId="6A2DA053" w14:textId="77777777" w:rsidR="00861557" w:rsidRPr="00296D0C" w:rsidRDefault="00861557" w:rsidP="0077247E">
            <w:pPr>
              <w:rPr>
                <w:rFonts w:cs="Arial"/>
              </w:rPr>
            </w:pPr>
          </w:p>
        </w:tc>
      </w:tr>
      <w:tr w:rsidR="00861557" w:rsidRPr="00296D0C" w14:paraId="6F692232" w14:textId="77777777" w:rsidTr="0077247E">
        <w:tc>
          <w:tcPr>
            <w:tcW w:w="2310" w:type="dxa"/>
            <w:tcBorders>
              <w:bottom w:val="single" w:sz="4" w:space="0" w:color="auto"/>
            </w:tcBorders>
          </w:tcPr>
          <w:p w14:paraId="24C89D4E" w14:textId="173D6460" w:rsidR="00861557" w:rsidRPr="00296D0C" w:rsidRDefault="00861557" w:rsidP="0077247E">
            <w:pPr>
              <w:rPr>
                <w:rFonts w:cs="Arial"/>
              </w:rPr>
            </w:pPr>
            <w:r w:rsidRPr="00296D0C">
              <w:rPr>
                <w:rFonts w:cs="Arial"/>
              </w:rPr>
              <w:t xml:space="preserve">Mean BMI </w:t>
            </w:r>
            <w:r w:rsidR="0045433E" w:rsidRPr="00296D0C">
              <w:rPr>
                <w:rFonts w:cs="Arial"/>
              </w:rPr>
              <w:t>SDS</w:t>
            </w:r>
            <w:r w:rsidRPr="00296D0C">
              <w:rPr>
                <w:rFonts w:cs="Arial"/>
              </w:rPr>
              <w:t xml:space="preserve"> (</w:t>
            </w:r>
            <w:r w:rsidR="0045433E" w:rsidRPr="00296D0C">
              <w:rPr>
                <w:rFonts w:cs="Arial"/>
              </w:rPr>
              <w:t>SD</w:t>
            </w:r>
            <w:r w:rsidRPr="00296D0C">
              <w:rPr>
                <w:rFonts w:cs="Arial"/>
              </w:rPr>
              <w:t>)</w:t>
            </w:r>
            <w:r w:rsidRPr="00296D0C">
              <w:rPr>
                <w:rFonts w:cs="Arial"/>
                <w:vertAlign w:val="superscript"/>
              </w:rPr>
              <w:t>a</w:t>
            </w:r>
          </w:p>
          <w:p w14:paraId="3F477C19" w14:textId="7967517C" w:rsidR="00861557" w:rsidRPr="00296D0C" w:rsidRDefault="00861557" w:rsidP="0077247E">
            <w:pPr>
              <w:rPr>
                <w:rFonts w:cs="Arial"/>
              </w:rPr>
            </w:pPr>
            <w:r w:rsidRPr="00296D0C">
              <w:rPr>
                <w:rFonts w:cs="Arial"/>
              </w:rPr>
              <w:t>(n</w:t>
            </w:r>
            <w:r w:rsidR="00890008" w:rsidRPr="00296D0C">
              <w:rPr>
                <w:rFonts w:cs="Arial"/>
              </w:rPr>
              <w:t xml:space="preserve"> </w:t>
            </w:r>
            <w:r w:rsidRPr="00296D0C">
              <w:rPr>
                <w:rFonts w:cs="Arial"/>
              </w:rPr>
              <w:t>=</w:t>
            </w:r>
            <w:r w:rsidR="006E5729" w:rsidRPr="00296D0C">
              <w:rPr>
                <w:rFonts w:cs="Arial"/>
              </w:rPr>
              <w:t xml:space="preserve"> 650</w:t>
            </w:r>
            <w:r w:rsidRPr="00296D0C">
              <w:rPr>
                <w:rFonts w:cs="Arial"/>
              </w:rPr>
              <w:t>)</w:t>
            </w:r>
          </w:p>
        </w:tc>
        <w:tc>
          <w:tcPr>
            <w:tcW w:w="2098" w:type="dxa"/>
            <w:tcBorders>
              <w:bottom w:val="single" w:sz="4" w:space="0" w:color="auto"/>
            </w:tcBorders>
          </w:tcPr>
          <w:p w14:paraId="34709EDA" w14:textId="4425EC67" w:rsidR="00861557" w:rsidRPr="00296D0C" w:rsidRDefault="00861557" w:rsidP="0077247E">
            <w:pPr>
              <w:jc w:val="center"/>
              <w:rPr>
                <w:rFonts w:cs="Arial"/>
              </w:rPr>
            </w:pPr>
            <w:r w:rsidRPr="00296D0C">
              <w:rPr>
                <w:rFonts w:cs="Arial"/>
              </w:rPr>
              <w:t>0.</w:t>
            </w:r>
            <w:r w:rsidR="006E5729" w:rsidRPr="00296D0C">
              <w:rPr>
                <w:rFonts w:cs="Arial"/>
              </w:rPr>
              <w:t xml:space="preserve">35 </w:t>
            </w:r>
            <w:r w:rsidRPr="00296D0C">
              <w:rPr>
                <w:rFonts w:cs="Arial"/>
              </w:rPr>
              <w:t>(1.</w:t>
            </w:r>
            <w:r w:rsidR="006E5729" w:rsidRPr="00296D0C">
              <w:rPr>
                <w:rFonts w:cs="Arial"/>
              </w:rPr>
              <w:t>25</w:t>
            </w:r>
            <w:r w:rsidRPr="00296D0C">
              <w:rPr>
                <w:rFonts w:cs="Arial"/>
              </w:rPr>
              <w:t>)</w:t>
            </w:r>
          </w:p>
          <w:p w14:paraId="5F8AEDE1" w14:textId="10AC024F" w:rsidR="00861557" w:rsidRPr="00296D0C" w:rsidRDefault="00861557" w:rsidP="0077247E">
            <w:pPr>
              <w:jc w:val="center"/>
              <w:rPr>
                <w:rFonts w:cs="Arial"/>
              </w:rPr>
            </w:pPr>
            <w:r w:rsidRPr="00296D0C">
              <w:rPr>
                <w:rFonts w:cs="Arial"/>
              </w:rPr>
              <w:t>(n</w:t>
            </w:r>
            <w:r w:rsidR="00890008" w:rsidRPr="00296D0C">
              <w:rPr>
                <w:rFonts w:cs="Arial"/>
              </w:rPr>
              <w:t xml:space="preserve"> </w:t>
            </w:r>
            <w:r w:rsidRPr="00296D0C">
              <w:rPr>
                <w:rFonts w:cs="Arial"/>
              </w:rPr>
              <w:t>=</w:t>
            </w:r>
            <w:r w:rsidR="00890008" w:rsidRPr="00296D0C">
              <w:rPr>
                <w:rFonts w:cs="Arial"/>
              </w:rPr>
              <w:t xml:space="preserve"> </w:t>
            </w:r>
            <w:r w:rsidRPr="00296D0C">
              <w:rPr>
                <w:rFonts w:cs="Arial"/>
              </w:rPr>
              <w:t>630)</w:t>
            </w:r>
          </w:p>
        </w:tc>
        <w:tc>
          <w:tcPr>
            <w:tcW w:w="2098" w:type="dxa"/>
            <w:tcBorders>
              <w:bottom w:val="single" w:sz="4" w:space="0" w:color="auto"/>
            </w:tcBorders>
          </w:tcPr>
          <w:p w14:paraId="6FD4C506" w14:textId="3A91D988" w:rsidR="00861557" w:rsidRPr="00296D0C" w:rsidRDefault="00861557" w:rsidP="0077247E">
            <w:pPr>
              <w:jc w:val="center"/>
              <w:rPr>
                <w:rFonts w:cs="Arial"/>
              </w:rPr>
            </w:pPr>
            <w:r w:rsidRPr="00296D0C">
              <w:rPr>
                <w:rFonts w:cs="Arial"/>
              </w:rPr>
              <w:t>0.</w:t>
            </w:r>
            <w:r w:rsidR="006E5729" w:rsidRPr="00296D0C">
              <w:rPr>
                <w:rFonts w:cs="Arial"/>
              </w:rPr>
              <w:t xml:space="preserve">22 </w:t>
            </w:r>
            <w:r w:rsidRPr="00296D0C">
              <w:rPr>
                <w:rFonts w:cs="Arial"/>
              </w:rPr>
              <w:t>(1.</w:t>
            </w:r>
            <w:r w:rsidR="006E5729" w:rsidRPr="00296D0C">
              <w:rPr>
                <w:rFonts w:cs="Arial"/>
              </w:rPr>
              <w:t>22</w:t>
            </w:r>
            <w:r w:rsidRPr="00296D0C">
              <w:rPr>
                <w:rFonts w:cs="Arial"/>
              </w:rPr>
              <w:t>)</w:t>
            </w:r>
          </w:p>
          <w:p w14:paraId="509773C9" w14:textId="0AA5C0CC" w:rsidR="00861557" w:rsidRPr="00296D0C" w:rsidRDefault="00861557" w:rsidP="0077247E">
            <w:pPr>
              <w:jc w:val="center"/>
              <w:rPr>
                <w:rFonts w:cs="Arial"/>
              </w:rPr>
            </w:pPr>
            <w:r w:rsidRPr="00296D0C">
              <w:rPr>
                <w:rFonts w:cs="Arial"/>
              </w:rPr>
              <w:t>(n</w:t>
            </w:r>
            <w:r w:rsidR="00890008" w:rsidRPr="00296D0C">
              <w:rPr>
                <w:rFonts w:cs="Arial"/>
              </w:rPr>
              <w:t xml:space="preserve"> </w:t>
            </w:r>
            <w:r w:rsidRPr="00296D0C">
              <w:rPr>
                <w:rFonts w:cs="Arial"/>
              </w:rPr>
              <w:t>=</w:t>
            </w:r>
            <w:r w:rsidR="00890008" w:rsidRPr="00296D0C">
              <w:rPr>
                <w:rFonts w:cs="Arial"/>
              </w:rPr>
              <w:t xml:space="preserve"> </w:t>
            </w:r>
            <w:r w:rsidRPr="00296D0C">
              <w:rPr>
                <w:rFonts w:cs="Arial"/>
              </w:rPr>
              <w:t>620)</w:t>
            </w:r>
          </w:p>
        </w:tc>
        <w:tc>
          <w:tcPr>
            <w:tcW w:w="2665" w:type="dxa"/>
            <w:tcBorders>
              <w:bottom w:val="single" w:sz="4" w:space="0" w:color="auto"/>
            </w:tcBorders>
          </w:tcPr>
          <w:p w14:paraId="5D41C28E" w14:textId="28838408" w:rsidR="00861557" w:rsidRPr="00296D0C" w:rsidRDefault="00861557" w:rsidP="0077247E">
            <w:pPr>
              <w:rPr>
                <w:rFonts w:cs="Arial"/>
              </w:rPr>
            </w:pPr>
            <w:r w:rsidRPr="00296D0C">
              <w:rPr>
                <w:rFonts w:cs="Arial"/>
              </w:rPr>
              <w:t>-0.02 (95% CI: -0.082, 0.045); p</w:t>
            </w:r>
            <w:r w:rsidR="00890008" w:rsidRPr="00296D0C">
              <w:rPr>
                <w:rFonts w:cs="Arial"/>
              </w:rPr>
              <w:t xml:space="preserve"> </w:t>
            </w:r>
            <w:r w:rsidRPr="00296D0C">
              <w:rPr>
                <w:rFonts w:cs="Arial"/>
              </w:rPr>
              <w:t>=</w:t>
            </w:r>
            <w:r w:rsidR="00890008" w:rsidRPr="00296D0C">
              <w:rPr>
                <w:rFonts w:cs="Arial"/>
              </w:rPr>
              <w:t xml:space="preserve"> </w:t>
            </w:r>
            <w:r w:rsidRPr="00296D0C">
              <w:rPr>
                <w:rFonts w:cs="Arial"/>
              </w:rPr>
              <w:t>0.568.</w:t>
            </w:r>
          </w:p>
          <w:p w14:paraId="3ED1A7F0" w14:textId="77777777" w:rsidR="00861557" w:rsidRPr="00296D0C" w:rsidRDefault="00861557" w:rsidP="0077247E">
            <w:pPr>
              <w:rPr>
                <w:rFonts w:cs="Arial"/>
              </w:rPr>
            </w:pPr>
            <w:r w:rsidRPr="00296D0C">
              <w:rPr>
                <w:rFonts w:cs="Arial"/>
              </w:rPr>
              <w:t>[Control = lower]</w:t>
            </w:r>
          </w:p>
          <w:p w14:paraId="0C2480AD" w14:textId="77777777" w:rsidR="00861557" w:rsidRPr="00296D0C" w:rsidRDefault="00861557" w:rsidP="0077247E">
            <w:pPr>
              <w:rPr>
                <w:rFonts w:cs="Arial"/>
              </w:rPr>
            </w:pPr>
            <w:r w:rsidRPr="00296D0C">
              <w:rPr>
                <w:rFonts w:cs="Arial"/>
              </w:rPr>
              <w:t>No statistically significant difference.</w:t>
            </w:r>
          </w:p>
        </w:tc>
      </w:tr>
      <w:tr w:rsidR="00861557" w:rsidRPr="00296D0C" w14:paraId="56246E86" w14:textId="77777777" w:rsidTr="0077247E">
        <w:tc>
          <w:tcPr>
            <w:tcW w:w="2310" w:type="dxa"/>
            <w:tcBorders>
              <w:top w:val="single" w:sz="4" w:space="0" w:color="auto"/>
              <w:left w:val="single" w:sz="4" w:space="0" w:color="auto"/>
              <w:bottom w:val="nil"/>
              <w:right w:val="single" w:sz="4" w:space="0" w:color="auto"/>
            </w:tcBorders>
          </w:tcPr>
          <w:p w14:paraId="2F51BE98" w14:textId="77777777" w:rsidR="00861557" w:rsidRPr="00296D0C" w:rsidRDefault="00861557" w:rsidP="0077247E">
            <w:pPr>
              <w:rPr>
                <w:rFonts w:cs="Arial"/>
              </w:rPr>
            </w:pPr>
            <w:r w:rsidRPr="00296D0C">
              <w:rPr>
                <w:rFonts w:cs="Arial"/>
              </w:rPr>
              <w:t xml:space="preserve">Proportion (%) Overweight at 24 mth </w:t>
            </w:r>
            <w:r w:rsidR="009D1C7F" w:rsidRPr="00296D0C">
              <w:rPr>
                <w:rFonts w:cs="Arial"/>
              </w:rPr>
              <w:t>follow up</w:t>
            </w:r>
            <w:r w:rsidRPr="00296D0C">
              <w:rPr>
                <w:rFonts w:cs="Arial"/>
                <w:vertAlign w:val="superscript"/>
              </w:rPr>
              <w:t>b</w:t>
            </w:r>
            <w:r w:rsidRPr="00296D0C">
              <w:rPr>
                <w:rFonts w:cs="Arial"/>
              </w:rPr>
              <w:t xml:space="preserve"> (baseline)</w:t>
            </w:r>
            <w:r w:rsidRPr="00296D0C">
              <w:rPr>
                <w:rFonts w:cs="Arial"/>
                <w:vertAlign w:val="superscript"/>
              </w:rPr>
              <w:t>c</w:t>
            </w:r>
          </w:p>
        </w:tc>
        <w:tc>
          <w:tcPr>
            <w:tcW w:w="2098" w:type="dxa"/>
            <w:tcBorders>
              <w:top w:val="single" w:sz="4" w:space="0" w:color="auto"/>
              <w:left w:val="single" w:sz="4" w:space="0" w:color="auto"/>
              <w:bottom w:val="nil"/>
              <w:right w:val="single" w:sz="4" w:space="0" w:color="auto"/>
            </w:tcBorders>
          </w:tcPr>
          <w:p w14:paraId="6E098C61" w14:textId="2F31B66E" w:rsidR="00861557" w:rsidRPr="00296D0C" w:rsidRDefault="00861557" w:rsidP="0077247E">
            <w:pPr>
              <w:jc w:val="center"/>
              <w:rPr>
                <w:rFonts w:cs="Arial"/>
              </w:rPr>
            </w:pPr>
            <w:r w:rsidRPr="00296D0C">
              <w:rPr>
                <w:rFonts w:cs="Arial"/>
              </w:rPr>
              <w:t>14.1 (12</w:t>
            </w:r>
            <w:r w:rsidR="008E4297" w:rsidRPr="00296D0C">
              <w:rPr>
                <w:rFonts w:cs="Arial"/>
              </w:rPr>
              <w:t>.1</w:t>
            </w:r>
            <w:r w:rsidRPr="00296D0C">
              <w:rPr>
                <w:rFonts w:cs="Arial"/>
              </w:rPr>
              <w:t>)</w:t>
            </w:r>
          </w:p>
        </w:tc>
        <w:tc>
          <w:tcPr>
            <w:tcW w:w="2098" w:type="dxa"/>
            <w:tcBorders>
              <w:top w:val="single" w:sz="4" w:space="0" w:color="auto"/>
              <w:left w:val="single" w:sz="4" w:space="0" w:color="auto"/>
              <w:bottom w:val="nil"/>
              <w:right w:val="single" w:sz="4" w:space="0" w:color="auto"/>
            </w:tcBorders>
          </w:tcPr>
          <w:p w14:paraId="7F5B6A28" w14:textId="5FCA1783" w:rsidR="00861557" w:rsidRPr="00296D0C" w:rsidRDefault="00861557" w:rsidP="0077247E">
            <w:pPr>
              <w:jc w:val="center"/>
              <w:rPr>
                <w:rFonts w:cs="Arial"/>
              </w:rPr>
            </w:pPr>
            <w:r w:rsidRPr="00296D0C">
              <w:rPr>
                <w:rFonts w:cs="Arial"/>
              </w:rPr>
              <w:t>13.5 (10</w:t>
            </w:r>
            <w:r w:rsidR="008E4297" w:rsidRPr="00296D0C">
              <w:rPr>
                <w:rFonts w:cs="Arial"/>
              </w:rPr>
              <w:t>.7</w:t>
            </w:r>
            <w:r w:rsidRPr="00296D0C">
              <w:rPr>
                <w:rFonts w:cs="Arial"/>
              </w:rPr>
              <w:t>)</w:t>
            </w:r>
          </w:p>
        </w:tc>
        <w:tc>
          <w:tcPr>
            <w:tcW w:w="2665" w:type="dxa"/>
            <w:tcBorders>
              <w:top w:val="single" w:sz="4" w:space="0" w:color="auto"/>
              <w:left w:val="single" w:sz="4" w:space="0" w:color="auto"/>
              <w:bottom w:val="nil"/>
              <w:right w:val="single" w:sz="4" w:space="0" w:color="auto"/>
            </w:tcBorders>
          </w:tcPr>
          <w:p w14:paraId="710489B9" w14:textId="77777777" w:rsidR="00861557" w:rsidRPr="00296D0C" w:rsidRDefault="00861557" w:rsidP="0077247E">
            <w:pPr>
              <w:rPr>
                <w:rFonts w:cs="Arial"/>
              </w:rPr>
            </w:pPr>
            <w:r w:rsidRPr="00296D0C">
              <w:rPr>
                <w:rFonts w:cs="Arial"/>
              </w:rPr>
              <w:t>N/A</w:t>
            </w:r>
          </w:p>
        </w:tc>
      </w:tr>
      <w:tr w:rsidR="00861557" w:rsidRPr="00296D0C" w14:paraId="104C674A" w14:textId="77777777" w:rsidTr="0077247E">
        <w:tc>
          <w:tcPr>
            <w:tcW w:w="2310" w:type="dxa"/>
            <w:tcBorders>
              <w:top w:val="nil"/>
              <w:left w:val="single" w:sz="4" w:space="0" w:color="auto"/>
              <w:bottom w:val="nil"/>
              <w:right w:val="single" w:sz="4" w:space="0" w:color="auto"/>
            </w:tcBorders>
          </w:tcPr>
          <w:p w14:paraId="4EB0EF4F" w14:textId="77777777" w:rsidR="00861557" w:rsidRPr="00296D0C" w:rsidRDefault="00861557" w:rsidP="0077247E">
            <w:pPr>
              <w:spacing w:before="120"/>
              <w:rPr>
                <w:rFonts w:cs="Arial"/>
              </w:rPr>
            </w:pPr>
            <w:r w:rsidRPr="00296D0C">
              <w:rPr>
                <w:rFonts w:cs="Arial"/>
              </w:rPr>
              <w:t xml:space="preserve">Proportion obese at 24 mth </w:t>
            </w:r>
            <w:r w:rsidR="009D1C7F" w:rsidRPr="00296D0C">
              <w:rPr>
                <w:rFonts w:cs="Arial"/>
              </w:rPr>
              <w:t>follow up</w:t>
            </w:r>
            <w:r w:rsidRPr="00296D0C">
              <w:rPr>
                <w:rFonts w:cs="Arial"/>
                <w:vertAlign w:val="superscript"/>
              </w:rPr>
              <w:t xml:space="preserve">b </w:t>
            </w:r>
            <w:r w:rsidRPr="00296D0C">
              <w:rPr>
                <w:rFonts w:cs="Arial"/>
              </w:rPr>
              <w:t>(baseline)</w:t>
            </w:r>
            <w:r w:rsidRPr="00296D0C">
              <w:rPr>
                <w:rFonts w:cs="Arial"/>
                <w:vertAlign w:val="superscript"/>
              </w:rPr>
              <w:t>c</w:t>
            </w:r>
          </w:p>
        </w:tc>
        <w:tc>
          <w:tcPr>
            <w:tcW w:w="2098" w:type="dxa"/>
            <w:tcBorders>
              <w:top w:val="nil"/>
              <w:left w:val="single" w:sz="4" w:space="0" w:color="auto"/>
              <w:bottom w:val="nil"/>
              <w:right w:val="single" w:sz="4" w:space="0" w:color="auto"/>
            </w:tcBorders>
          </w:tcPr>
          <w:p w14:paraId="74D9815D" w14:textId="77777777" w:rsidR="00861557" w:rsidRPr="00296D0C" w:rsidRDefault="00861557" w:rsidP="0077247E">
            <w:pPr>
              <w:spacing w:before="120"/>
              <w:jc w:val="center"/>
              <w:rPr>
                <w:rFonts w:cs="Arial"/>
              </w:rPr>
            </w:pPr>
            <w:r w:rsidRPr="00296D0C">
              <w:rPr>
                <w:rFonts w:cs="Arial"/>
              </w:rPr>
              <w:t>16.7 (14.6)</w:t>
            </w:r>
          </w:p>
        </w:tc>
        <w:tc>
          <w:tcPr>
            <w:tcW w:w="2098" w:type="dxa"/>
            <w:tcBorders>
              <w:top w:val="nil"/>
              <w:left w:val="single" w:sz="4" w:space="0" w:color="auto"/>
              <w:bottom w:val="nil"/>
              <w:right w:val="single" w:sz="4" w:space="0" w:color="auto"/>
            </w:tcBorders>
          </w:tcPr>
          <w:p w14:paraId="5744BA8E" w14:textId="77777777" w:rsidR="00861557" w:rsidRPr="00296D0C" w:rsidRDefault="00861557" w:rsidP="0077247E">
            <w:pPr>
              <w:spacing w:before="120"/>
              <w:jc w:val="center"/>
              <w:rPr>
                <w:rFonts w:cs="Arial"/>
              </w:rPr>
            </w:pPr>
            <w:r w:rsidRPr="00296D0C">
              <w:rPr>
                <w:rFonts w:cs="Arial"/>
              </w:rPr>
              <w:t>13.1 (12.6)</w:t>
            </w:r>
          </w:p>
        </w:tc>
        <w:tc>
          <w:tcPr>
            <w:tcW w:w="2665" w:type="dxa"/>
            <w:tcBorders>
              <w:top w:val="nil"/>
              <w:left w:val="single" w:sz="4" w:space="0" w:color="auto"/>
              <w:bottom w:val="nil"/>
              <w:right w:val="single" w:sz="4" w:space="0" w:color="auto"/>
            </w:tcBorders>
          </w:tcPr>
          <w:p w14:paraId="02B5B77A" w14:textId="77777777" w:rsidR="00861557" w:rsidRPr="00296D0C" w:rsidRDefault="00861557" w:rsidP="0077247E">
            <w:pPr>
              <w:rPr>
                <w:rFonts w:cs="Arial"/>
              </w:rPr>
            </w:pPr>
            <w:r w:rsidRPr="00296D0C">
              <w:rPr>
                <w:rFonts w:cs="Arial"/>
              </w:rPr>
              <w:t>N/A</w:t>
            </w:r>
          </w:p>
        </w:tc>
      </w:tr>
      <w:tr w:rsidR="00861557" w:rsidRPr="00296D0C" w14:paraId="0A47E7B0" w14:textId="77777777" w:rsidTr="0077247E">
        <w:tc>
          <w:tcPr>
            <w:tcW w:w="2310" w:type="dxa"/>
            <w:tcBorders>
              <w:top w:val="nil"/>
              <w:left w:val="single" w:sz="4" w:space="0" w:color="auto"/>
              <w:bottom w:val="single" w:sz="4" w:space="0" w:color="auto"/>
              <w:right w:val="single" w:sz="4" w:space="0" w:color="auto"/>
            </w:tcBorders>
          </w:tcPr>
          <w:p w14:paraId="5E233C8D" w14:textId="77777777" w:rsidR="00861557" w:rsidRPr="00296D0C" w:rsidRDefault="00861557" w:rsidP="0077247E">
            <w:pPr>
              <w:rPr>
                <w:rFonts w:cs="Arial"/>
              </w:rPr>
            </w:pPr>
          </w:p>
          <w:p w14:paraId="08D6E6AF" w14:textId="77777777" w:rsidR="00861557" w:rsidRPr="00296D0C" w:rsidRDefault="00861557" w:rsidP="0077247E">
            <w:pPr>
              <w:rPr>
                <w:rFonts w:cs="Arial"/>
              </w:rPr>
            </w:pPr>
            <w:r w:rsidRPr="00296D0C">
              <w:rPr>
                <w:rFonts w:cs="Arial"/>
              </w:rPr>
              <w:t xml:space="preserve">Proportion (%) overweight or obese at 24-mth </w:t>
            </w:r>
            <w:r w:rsidR="009D1C7F" w:rsidRPr="00296D0C">
              <w:rPr>
                <w:rFonts w:cs="Arial"/>
              </w:rPr>
              <w:t>follow up</w:t>
            </w:r>
            <w:r w:rsidRPr="00296D0C">
              <w:rPr>
                <w:rFonts w:cs="Arial"/>
                <w:vertAlign w:val="superscript"/>
              </w:rPr>
              <w:t xml:space="preserve">b  </w:t>
            </w:r>
            <w:r w:rsidRPr="00296D0C">
              <w:rPr>
                <w:rFonts w:cs="Arial"/>
              </w:rPr>
              <w:t>(baseline)</w:t>
            </w:r>
            <w:r w:rsidRPr="00296D0C">
              <w:rPr>
                <w:rFonts w:cs="Arial"/>
                <w:vertAlign w:val="superscript"/>
              </w:rPr>
              <w:t>c</w:t>
            </w:r>
          </w:p>
        </w:tc>
        <w:tc>
          <w:tcPr>
            <w:tcW w:w="2098" w:type="dxa"/>
            <w:tcBorders>
              <w:top w:val="nil"/>
              <w:left w:val="single" w:sz="4" w:space="0" w:color="auto"/>
              <w:bottom w:val="single" w:sz="4" w:space="0" w:color="auto"/>
              <w:right w:val="single" w:sz="4" w:space="0" w:color="auto"/>
            </w:tcBorders>
          </w:tcPr>
          <w:p w14:paraId="375C8BE9" w14:textId="77777777" w:rsidR="00861557" w:rsidRPr="00296D0C" w:rsidRDefault="00861557" w:rsidP="0077247E">
            <w:pPr>
              <w:jc w:val="center"/>
              <w:rPr>
                <w:rFonts w:cs="Arial"/>
              </w:rPr>
            </w:pPr>
          </w:p>
          <w:p w14:paraId="7470364B" w14:textId="085303A9" w:rsidR="00861557" w:rsidRPr="00296D0C" w:rsidRDefault="00861557" w:rsidP="00B81B94">
            <w:pPr>
              <w:jc w:val="center"/>
              <w:rPr>
                <w:rFonts w:cs="Arial"/>
              </w:rPr>
            </w:pPr>
            <w:r w:rsidRPr="00296D0C">
              <w:rPr>
                <w:rFonts w:cs="Arial"/>
              </w:rPr>
              <w:t>30.8 (26.</w:t>
            </w:r>
            <w:r w:rsidR="00B81B94" w:rsidRPr="00296D0C">
              <w:rPr>
                <w:rFonts w:cs="Arial"/>
              </w:rPr>
              <w:t>8</w:t>
            </w:r>
            <w:r w:rsidRPr="00296D0C">
              <w:rPr>
                <w:rFonts w:cs="Arial"/>
              </w:rPr>
              <w:t>)</w:t>
            </w:r>
          </w:p>
        </w:tc>
        <w:tc>
          <w:tcPr>
            <w:tcW w:w="2098" w:type="dxa"/>
            <w:tcBorders>
              <w:top w:val="nil"/>
              <w:left w:val="single" w:sz="4" w:space="0" w:color="auto"/>
              <w:bottom w:val="single" w:sz="4" w:space="0" w:color="auto"/>
              <w:right w:val="single" w:sz="4" w:space="0" w:color="auto"/>
            </w:tcBorders>
          </w:tcPr>
          <w:p w14:paraId="0FDFD47C" w14:textId="77777777" w:rsidR="00861557" w:rsidRPr="00296D0C" w:rsidRDefault="00861557" w:rsidP="0077247E">
            <w:pPr>
              <w:jc w:val="center"/>
              <w:rPr>
                <w:rFonts w:cs="Arial"/>
              </w:rPr>
            </w:pPr>
          </w:p>
          <w:p w14:paraId="18E748A1" w14:textId="73C02848" w:rsidR="00861557" w:rsidRPr="00296D0C" w:rsidRDefault="00861557" w:rsidP="00B81B94">
            <w:pPr>
              <w:jc w:val="center"/>
              <w:rPr>
                <w:rFonts w:cs="Arial"/>
              </w:rPr>
            </w:pPr>
            <w:r w:rsidRPr="00296D0C">
              <w:rPr>
                <w:rFonts w:cs="Arial"/>
              </w:rPr>
              <w:t>26.6 (</w:t>
            </w:r>
            <w:r w:rsidR="00B81B94" w:rsidRPr="00296D0C">
              <w:rPr>
                <w:rFonts w:cs="Arial"/>
              </w:rPr>
              <w:t>23.3</w:t>
            </w:r>
            <w:r w:rsidRPr="00296D0C">
              <w:rPr>
                <w:rFonts w:cs="Arial"/>
              </w:rPr>
              <w:t>)</w:t>
            </w:r>
          </w:p>
        </w:tc>
        <w:tc>
          <w:tcPr>
            <w:tcW w:w="2665" w:type="dxa"/>
            <w:tcBorders>
              <w:top w:val="nil"/>
              <w:left w:val="single" w:sz="4" w:space="0" w:color="auto"/>
              <w:bottom w:val="single" w:sz="4" w:space="0" w:color="auto"/>
              <w:right w:val="single" w:sz="4" w:space="0" w:color="auto"/>
            </w:tcBorders>
          </w:tcPr>
          <w:p w14:paraId="7BDA0913" w14:textId="77777777" w:rsidR="00861557" w:rsidRPr="00296D0C" w:rsidRDefault="00861557" w:rsidP="0077247E">
            <w:pPr>
              <w:rPr>
                <w:rFonts w:cs="Arial"/>
              </w:rPr>
            </w:pPr>
          </w:p>
          <w:p w14:paraId="769B0DC4" w14:textId="28BC93F7" w:rsidR="00861557" w:rsidRPr="00296D0C" w:rsidRDefault="00861557" w:rsidP="0077247E">
            <w:pPr>
              <w:rPr>
                <w:rFonts w:cs="Arial"/>
                <w:vertAlign w:val="superscript"/>
              </w:rPr>
            </w:pPr>
            <w:r w:rsidRPr="00296D0C">
              <w:rPr>
                <w:rFonts w:cs="Arial"/>
              </w:rPr>
              <w:t>Odds ratio (Adjusted analyses): 1.1</w:t>
            </w:r>
            <w:r w:rsidR="00B74B30" w:rsidRPr="00296D0C">
              <w:rPr>
                <w:rFonts w:cs="Arial"/>
              </w:rPr>
              <w:t>5</w:t>
            </w:r>
            <w:r w:rsidRPr="00296D0C">
              <w:rPr>
                <w:rFonts w:cs="Arial"/>
              </w:rPr>
              <w:t xml:space="preserve"> (95% CI: 0.7</w:t>
            </w:r>
            <w:r w:rsidR="00B74B30" w:rsidRPr="00296D0C">
              <w:rPr>
                <w:rFonts w:cs="Arial"/>
              </w:rPr>
              <w:t>9</w:t>
            </w:r>
            <w:r w:rsidRPr="00296D0C">
              <w:rPr>
                <w:rFonts w:cs="Arial"/>
              </w:rPr>
              <w:t>, 1.67)</w:t>
            </w:r>
            <w:r w:rsidR="00A552FF" w:rsidRPr="00296D0C">
              <w:rPr>
                <w:rFonts w:cs="Arial"/>
                <w:vertAlign w:val="superscript"/>
              </w:rPr>
              <w:t>b</w:t>
            </w:r>
          </w:p>
          <w:p w14:paraId="356C1FC0" w14:textId="76FDC201" w:rsidR="00861557" w:rsidRPr="00296D0C" w:rsidRDefault="00861557" w:rsidP="0077247E">
            <w:pPr>
              <w:rPr>
                <w:rFonts w:cs="Arial"/>
              </w:rPr>
            </w:pPr>
            <w:r w:rsidRPr="00296D0C">
              <w:rPr>
                <w:rFonts w:cs="Arial"/>
              </w:rPr>
              <w:t xml:space="preserve">[Control lower odds than </w:t>
            </w:r>
            <w:r w:rsidR="00B81B94" w:rsidRPr="00296D0C">
              <w:rPr>
                <w:rFonts w:cs="Arial"/>
              </w:rPr>
              <w:t>intervention</w:t>
            </w:r>
            <w:r w:rsidRPr="00296D0C">
              <w:rPr>
                <w:rFonts w:cs="Arial"/>
              </w:rPr>
              <w:t xml:space="preserve">]  </w:t>
            </w:r>
          </w:p>
          <w:p w14:paraId="100AD2DB" w14:textId="77777777" w:rsidR="00861557" w:rsidRPr="00296D0C" w:rsidRDefault="00861557" w:rsidP="0077247E">
            <w:pPr>
              <w:rPr>
                <w:rFonts w:cs="Arial"/>
              </w:rPr>
            </w:pPr>
            <w:r w:rsidRPr="00296D0C">
              <w:rPr>
                <w:rFonts w:cs="Arial"/>
              </w:rPr>
              <w:t>No statistically significant difference.</w:t>
            </w:r>
          </w:p>
        </w:tc>
      </w:tr>
      <w:tr w:rsidR="00861557" w:rsidRPr="00296D0C" w14:paraId="4F31CA8D" w14:textId="77777777" w:rsidTr="0077247E">
        <w:tc>
          <w:tcPr>
            <w:tcW w:w="2310" w:type="dxa"/>
            <w:tcBorders>
              <w:top w:val="single" w:sz="4" w:space="0" w:color="auto"/>
              <w:bottom w:val="single" w:sz="4" w:space="0" w:color="auto"/>
            </w:tcBorders>
          </w:tcPr>
          <w:p w14:paraId="03901366" w14:textId="77B65FAC" w:rsidR="00861557" w:rsidRPr="00296D0C" w:rsidRDefault="00861557" w:rsidP="0077247E">
            <w:pPr>
              <w:rPr>
                <w:rFonts w:cs="Arial"/>
              </w:rPr>
            </w:pPr>
            <w:r w:rsidRPr="00296D0C">
              <w:rPr>
                <w:rFonts w:cs="Arial"/>
              </w:rPr>
              <w:t>Physical activity outcomes, 18-mth follow up</w:t>
            </w:r>
            <w:r w:rsidRPr="00296D0C">
              <w:rPr>
                <w:rFonts w:cs="Arial"/>
                <w:vertAlign w:val="superscript"/>
              </w:rPr>
              <w:t>d</w:t>
            </w:r>
            <w:r w:rsidRPr="00296D0C">
              <w:rPr>
                <w:rFonts w:cs="Arial"/>
              </w:rPr>
              <w:t>:</w:t>
            </w:r>
          </w:p>
          <w:p w14:paraId="4944D5F8" w14:textId="15C2FB02" w:rsidR="00861557" w:rsidRPr="00296D0C" w:rsidRDefault="00181790" w:rsidP="0077247E">
            <w:pPr>
              <w:rPr>
                <w:rFonts w:cs="Arial"/>
              </w:rPr>
            </w:pPr>
            <w:r w:rsidRPr="00296D0C">
              <w:rPr>
                <w:rFonts w:cs="Arial"/>
              </w:rPr>
              <w:t xml:space="preserve">Average Daily </w:t>
            </w:r>
            <w:r w:rsidR="00861557" w:rsidRPr="00296D0C">
              <w:rPr>
                <w:rFonts w:cs="Arial"/>
              </w:rPr>
              <w:t>Total mean</w:t>
            </w:r>
            <w:r w:rsidR="00B81B94" w:rsidRPr="00296D0C">
              <w:rPr>
                <w:rFonts w:cs="Arial"/>
              </w:rPr>
              <w:t xml:space="preserve"> (SD)</w:t>
            </w:r>
          </w:p>
        </w:tc>
        <w:tc>
          <w:tcPr>
            <w:tcW w:w="2098" w:type="dxa"/>
            <w:tcBorders>
              <w:top w:val="single" w:sz="4" w:space="0" w:color="auto"/>
              <w:bottom w:val="single" w:sz="4" w:space="0" w:color="auto"/>
            </w:tcBorders>
          </w:tcPr>
          <w:p w14:paraId="70D1617C" w14:textId="77777777" w:rsidR="00861557" w:rsidRPr="00296D0C" w:rsidRDefault="00861557" w:rsidP="0077247E">
            <w:pPr>
              <w:jc w:val="center"/>
              <w:rPr>
                <w:rFonts w:cs="Arial"/>
              </w:rPr>
            </w:pPr>
          </w:p>
          <w:p w14:paraId="6E6582F0" w14:textId="77777777" w:rsidR="00861557" w:rsidRPr="00296D0C" w:rsidRDefault="00861557" w:rsidP="0077247E">
            <w:pPr>
              <w:jc w:val="center"/>
              <w:rPr>
                <w:rFonts w:cs="Arial"/>
              </w:rPr>
            </w:pPr>
          </w:p>
          <w:p w14:paraId="475D2BD8" w14:textId="77777777" w:rsidR="00861557" w:rsidRPr="00296D0C" w:rsidRDefault="00861557" w:rsidP="0077247E">
            <w:pPr>
              <w:jc w:val="center"/>
              <w:rPr>
                <w:rFonts w:cs="Arial"/>
              </w:rPr>
            </w:pPr>
            <w:r w:rsidRPr="00296D0C">
              <w:rPr>
                <w:rFonts w:cs="Arial"/>
              </w:rPr>
              <w:t>199.71 (43.9)</w:t>
            </w:r>
          </w:p>
          <w:p w14:paraId="5C67E4A5" w14:textId="1BFE4DF2" w:rsidR="00861557" w:rsidRPr="00296D0C" w:rsidRDefault="00861557" w:rsidP="0077247E">
            <w:pPr>
              <w:jc w:val="center"/>
              <w:rPr>
                <w:rFonts w:cs="Arial"/>
              </w:rPr>
            </w:pPr>
            <w:r w:rsidRPr="00296D0C">
              <w:rPr>
                <w:rFonts w:cs="Arial"/>
              </w:rPr>
              <w:t>(n</w:t>
            </w:r>
            <w:r w:rsidR="00890008" w:rsidRPr="00296D0C">
              <w:rPr>
                <w:rFonts w:cs="Arial"/>
              </w:rPr>
              <w:t xml:space="preserve"> </w:t>
            </w:r>
            <w:r w:rsidRPr="00296D0C">
              <w:rPr>
                <w:rFonts w:cs="Arial"/>
              </w:rPr>
              <w:t>=</w:t>
            </w:r>
            <w:r w:rsidR="00890008" w:rsidRPr="00296D0C">
              <w:rPr>
                <w:rFonts w:cs="Arial"/>
              </w:rPr>
              <w:t xml:space="preserve"> </w:t>
            </w:r>
            <w:r w:rsidRPr="00296D0C">
              <w:rPr>
                <w:rFonts w:cs="Arial"/>
              </w:rPr>
              <w:t>359)</w:t>
            </w:r>
          </w:p>
        </w:tc>
        <w:tc>
          <w:tcPr>
            <w:tcW w:w="2098" w:type="dxa"/>
            <w:tcBorders>
              <w:top w:val="single" w:sz="4" w:space="0" w:color="auto"/>
              <w:bottom w:val="single" w:sz="4" w:space="0" w:color="auto"/>
            </w:tcBorders>
          </w:tcPr>
          <w:p w14:paraId="18BB6C5B" w14:textId="77777777" w:rsidR="00861557" w:rsidRPr="00296D0C" w:rsidRDefault="00861557" w:rsidP="0077247E">
            <w:pPr>
              <w:jc w:val="center"/>
              <w:rPr>
                <w:rFonts w:cs="Arial"/>
              </w:rPr>
            </w:pPr>
          </w:p>
          <w:p w14:paraId="69388D70" w14:textId="77777777" w:rsidR="00861557" w:rsidRPr="00296D0C" w:rsidRDefault="00861557" w:rsidP="0077247E">
            <w:pPr>
              <w:jc w:val="center"/>
              <w:rPr>
                <w:rFonts w:cs="Arial"/>
              </w:rPr>
            </w:pPr>
          </w:p>
          <w:p w14:paraId="6968D27C" w14:textId="77777777" w:rsidR="00861557" w:rsidRPr="00296D0C" w:rsidRDefault="00861557" w:rsidP="0077247E">
            <w:pPr>
              <w:jc w:val="center"/>
              <w:rPr>
                <w:rFonts w:cs="Arial"/>
              </w:rPr>
            </w:pPr>
            <w:r w:rsidRPr="00296D0C">
              <w:rPr>
                <w:rFonts w:cs="Arial"/>
              </w:rPr>
              <w:t>198.05 (40.2)</w:t>
            </w:r>
          </w:p>
          <w:p w14:paraId="755FDA73" w14:textId="0B5315C9" w:rsidR="00861557" w:rsidRPr="00296D0C" w:rsidRDefault="00861557" w:rsidP="0077247E">
            <w:pPr>
              <w:jc w:val="center"/>
              <w:rPr>
                <w:rFonts w:cs="Arial"/>
              </w:rPr>
            </w:pPr>
            <w:r w:rsidRPr="00296D0C">
              <w:rPr>
                <w:rFonts w:cs="Arial"/>
              </w:rPr>
              <w:t>(n</w:t>
            </w:r>
            <w:r w:rsidR="00890008" w:rsidRPr="00296D0C">
              <w:rPr>
                <w:rFonts w:cs="Arial"/>
              </w:rPr>
              <w:t xml:space="preserve"> </w:t>
            </w:r>
            <w:r w:rsidRPr="00296D0C">
              <w:rPr>
                <w:rFonts w:cs="Arial"/>
              </w:rPr>
              <w:t>=</w:t>
            </w:r>
            <w:r w:rsidR="00890008" w:rsidRPr="00296D0C">
              <w:rPr>
                <w:rFonts w:cs="Arial"/>
              </w:rPr>
              <w:t xml:space="preserve"> </w:t>
            </w:r>
            <w:r w:rsidRPr="00296D0C">
              <w:rPr>
                <w:rFonts w:cs="Arial"/>
              </w:rPr>
              <w:t>386)</w:t>
            </w:r>
          </w:p>
        </w:tc>
        <w:tc>
          <w:tcPr>
            <w:tcW w:w="2665" w:type="dxa"/>
            <w:tcBorders>
              <w:top w:val="single" w:sz="4" w:space="0" w:color="auto"/>
              <w:bottom w:val="single" w:sz="4" w:space="0" w:color="auto"/>
            </w:tcBorders>
          </w:tcPr>
          <w:p w14:paraId="794C7432" w14:textId="77777777" w:rsidR="00861557" w:rsidRPr="00296D0C" w:rsidRDefault="00861557" w:rsidP="0077247E">
            <w:pPr>
              <w:rPr>
                <w:rFonts w:cs="Arial"/>
              </w:rPr>
            </w:pPr>
          </w:p>
          <w:p w14:paraId="05129D46" w14:textId="77777777" w:rsidR="00861557" w:rsidRPr="00296D0C" w:rsidRDefault="00861557" w:rsidP="0077247E">
            <w:pPr>
              <w:rPr>
                <w:rFonts w:cs="Arial"/>
              </w:rPr>
            </w:pPr>
          </w:p>
          <w:p w14:paraId="47DEF38A" w14:textId="77777777" w:rsidR="00861557" w:rsidRPr="00296D0C" w:rsidRDefault="00861557" w:rsidP="0077247E">
            <w:pPr>
              <w:rPr>
                <w:rFonts w:cs="Arial"/>
                <w:b/>
              </w:rPr>
            </w:pPr>
            <w:r w:rsidRPr="00296D0C">
              <w:rPr>
                <w:rFonts w:cs="Arial"/>
              </w:rPr>
              <w:t>1.26 (95% CI: -6.84, 9.36); No statistically significant difference.</w:t>
            </w:r>
          </w:p>
        </w:tc>
      </w:tr>
      <w:tr w:rsidR="00861557" w:rsidRPr="00296D0C" w14:paraId="756F4585" w14:textId="77777777" w:rsidTr="0077247E">
        <w:tc>
          <w:tcPr>
            <w:tcW w:w="2310" w:type="dxa"/>
            <w:tcBorders>
              <w:top w:val="single" w:sz="4" w:space="0" w:color="auto"/>
              <w:left w:val="single" w:sz="4" w:space="0" w:color="auto"/>
              <w:bottom w:val="nil"/>
              <w:right w:val="single" w:sz="4" w:space="0" w:color="auto"/>
            </w:tcBorders>
          </w:tcPr>
          <w:p w14:paraId="44345FC2" w14:textId="77777777" w:rsidR="00861557" w:rsidRPr="00296D0C" w:rsidRDefault="00861557" w:rsidP="0077247E">
            <w:pPr>
              <w:rPr>
                <w:rFonts w:cs="Arial"/>
              </w:rPr>
            </w:pPr>
            <w:r w:rsidRPr="00296D0C">
              <w:rPr>
                <w:rFonts w:cs="Arial"/>
              </w:rPr>
              <w:t xml:space="preserve">Mean weekly FIQ (18-mth </w:t>
            </w:r>
            <w:r w:rsidR="009D1C7F" w:rsidRPr="00296D0C">
              <w:rPr>
                <w:rFonts w:cs="Arial"/>
              </w:rPr>
              <w:t>follow up</w:t>
            </w:r>
            <w:r w:rsidRPr="00296D0C">
              <w:rPr>
                <w:rFonts w:cs="Arial"/>
              </w:rPr>
              <w:t>)</w:t>
            </w:r>
            <w:r w:rsidRPr="00296D0C">
              <w:rPr>
                <w:rFonts w:cs="Arial"/>
                <w:vertAlign w:val="superscript"/>
              </w:rPr>
              <w:t>d</w:t>
            </w:r>
            <w:r w:rsidRPr="00296D0C">
              <w:rPr>
                <w:rFonts w:cs="Arial"/>
              </w:rPr>
              <w:t>:</w:t>
            </w:r>
          </w:p>
        </w:tc>
        <w:tc>
          <w:tcPr>
            <w:tcW w:w="2098" w:type="dxa"/>
            <w:tcBorders>
              <w:top w:val="single" w:sz="4" w:space="0" w:color="auto"/>
              <w:left w:val="single" w:sz="4" w:space="0" w:color="auto"/>
              <w:bottom w:val="nil"/>
              <w:right w:val="single" w:sz="4" w:space="0" w:color="auto"/>
            </w:tcBorders>
          </w:tcPr>
          <w:p w14:paraId="284A7BD5" w14:textId="77777777" w:rsidR="00861557" w:rsidRPr="00296D0C" w:rsidRDefault="00861557" w:rsidP="0077247E">
            <w:pPr>
              <w:jc w:val="center"/>
              <w:rPr>
                <w:rFonts w:cs="Arial"/>
              </w:rPr>
            </w:pPr>
          </w:p>
          <w:p w14:paraId="4C7D5280" w14:textId="77777777" w:rsidR="00861557" w:rsidRPr="00296D0C" w:rsidRDefault="00861557" w:rsidP="0077247E">
            <w:pPr>
              <w:jc w:val="center"/>
              <w:rPr>
                <w:rFonts w:cs="Arial"/>
              </w:rPr>
            </w:pPr>
          </w:p>
        </w:tc>
        <w:tc>
          <w:tcPr>
            <w:tcW w:w="2098" w:type="dxa"/>
            <w:tcBorders>
              <w:top w:val="single" w:sz="4" w:space="0" w:color="auto"/>
              <w:left w:val="single" w:sz="4" w:space="0" w:color="auto"/>
              <w:bottom w:val="nil"/>
              <w:right w:val="single" w:sz="4" w:space="0" w:color="auto"/>
            </w:tcBorders>
          </w:tcPr>
          <w:p w14:paraId="7ED2D435" w14:textId="77777777" w:rsidR="00861557" w:rsidRPr="00296D0C" w:rsidRDefault="00861557" w:rsidP="0077247E">
            <w:pPr>
              <w:jc w:val="center"/>
              <w:rPr>
                <w:rFonts w:cs="Arial"/>
              </w:rPr>
            </w:pPr>
          </w:p>
        </w:tc>
        <w:tc>
          <w:tcPr>
            <w:tcW w:w="2665" w:type="dxa"/>
            <w:tcBorders>
              <w:top w:val="single" w:sz="4" w:space="0" w:color="auto"/>
              <w:left w:val="single" w:sz="4" w:space="0" w:color="auto"/>
              <w:bottom w:val="nil"/>
              <w:right w:val="single" w:sz="4" w:space="0" w:color="auto"/>
            </w:tcBorders>
          </w:tcPr>
          <w:p w14:paraId="7924020A" w14:textId="77777777" w:rsidR="00861557" w:rsidRPr="00296D0C" w:rsidRDefault="00861557" w:rsidP="0077247E">
            <w:pPr>
              <w:rPr>
                <w:rFonts w:cs="Arial"/>
              </w:rPr>
            </w:pPr>
          </w:p>
        </w:tc>
      </w:tr>
      <w:tr w:rsidR="00861557" w:rsidRPr="00296D0C" w14:paraId="117F951A" w14:textId="77777777" w:rsidTr="0077247E">
        <w:tc>
          <w:tcPr>
            <w:tcW w:w="2310" w:type="dxa"/>
            <w:tcBorders>
              <w:top w:val="nil"/>
              <w:left w:val="single" w:sz="4" w:space="0" w:color="auto"/>
              <w:bottom w:val="nil"/>
              <w:right w:val="single" w:sz="4" w:space="0" w:color="auto"/>
            </w:tcBorders>
          </w:tcPr>
          <w:p w14:paraId="48CB0450" w14:textId="19699842" w:rsidR="00861557" w:rsidRPr="00296D0C" w:rsidRDefault="0045433E" w:rsidP="0045433E">
            <w:pPr>
              <w:spacing w:before="120"/>
              <w:rPr>
                <w:rFonts w:cs="Arial"/>
              </w:rPr>
            </w:pPr>
            <w:r w:rsidRPr="00296D0C">
              <w:rPr>
                <w:rFonts w:cs="Arial"/>
              </w:rPr>
              <w:t>Energy Dense S</w:t>
            </w:r>
            <w:r w:rsidR="00861557" w:rsidRPr="00296D0C">
              <w:rPr>
                <w:rFonts w:cs="Arial"/>
              </w:rPr>
              <w:t>nacks, mean number (</w:t>
            </w:r>
            <w:r w:rsidRPr="00296D0C">
              <w:rPr>
                <w:rFonts w:cs="Arial"/>
              </w:rPr>
              <w:t>SD</w:t>
            </w:r>
            <w:r w:rsidR="00861557" w:rsidRPr="00296D0C">
              <w:rPr>
                <w:rFonts w:cs="Arial"/>
              </w:rPr>
              <w:t>)</w:t>
            </w:r>
          </w:p>
        </w:tc>
        <w:tc>
          <w:tcPr>
            <w:tcW w:w="2098" w:type="dxa"/>
            <w:tcBorders>
              <w:top w:val="nil"/>
              <w:left w:val="single" w:sz="4" w:space="0" w:color="auto"/>
              <w:bottom w:val="nil"/>
              <w:right w:val="single" w:sz="4" w:space="0" w:color="auto"/>
            </w:tcBorders>
          </w:tcPr>
          <w:p w14:paraId="2F715ACA" w14:textId="77777777" w:rsidR="00861557" w:rsidRPr="00296D0C" w:rsidRDefault="00861557" w:rsidP="0077247E">
            <w:pPr>
              <w:spacing w:before="120"/>
              <w:jc w:val="center"/>
              <w:rPr>
                <w:rFonts w:cs="Arial"/>
              </w:rPr>
            </w:pPr>
            <w:r w:rsidRPr="00296D0C">
              <w:rPr>
                <w:rFonts w:cs="Arial"/>
              </w:rPr>
              <w:t>3.72 (1.86)</w:t>
            </w:r>
          </w:p>
        </w:tc>
        <w:tc>
          <w:tcPr>
            <w:tcW w:w="2098" w:type="dxa"/>
            <w:tcBorders>
              <w:top w:val="nil"/>
              <w:left w:val="single" w:sz="4" w:space="0" w:color="auto"/>
              <w:bottom w:val="nil"/>
              <w:right w:val="single" w:sz="4" w:space="0" w:color="auto"/>
            </w:tcBorders>
          </w:tcPr>
          <w:p w14:paraId="2AB4B62D" w14:textId="77777777" w:rsidR="00861557" w:rsidRPr="00296D0C" w:rsidRDefault="00861557" w:rsidP="0077247E">
            <w:pPr>
              <w:spacing w:before="120"/>
              <w:jc w:val="center"/>
              <w:rPr>
                <w:rFonts w:cs="Arial"/>
              </w:rPr>
            </w:pPr>
            <w:r w:rsidRPr="00296D0C">
              <w:rPr>
                <w:rFonts w:cs="Arial"/>
              </w:rPr>
              <w:t>4.06 (2.07)</w:t>
            </w:r>
          </w:p>
        </w:tc>
        <w:tc>
          <w:tcPr>
            <w:tcW w:w="2665" w:type="dxa"/>
            <w:tcBorders>
              <w:top w:val="nil"/>
              <w:left w:val="single" w:sz="4" w:space="0" w:color="auto"/>
              <w:bottom w:val="nil"/>
              <w:right w:val="single" w:sz="4" w:space="0" w:color="auto"/>
            </w:tcBorders>
          </w:tcPr>
          <w:p w14:paraId="71BD9810" w14:textId="125622D8" w:rsidR="00861557" w:rsidRPr="00296D0C" w:rsidRDefault="00861557" w:rsidP="00B81B94">
            <w:pPr>
              <w:spacing w:before="120"/>
              <w:rPr>
                <w:rFonts w:cs="Arial"/>
              </w:rPr>
            </w:pPr>
            <w:r w:rsidRPr="00296D0C">
              <w:rPr>
                <w:rFonts w:cs="Arial"/>
              </w:rPr>
              <w:t xml:space="preserve">-0.37 (95% CI: -0.066, -0.07); Statistically significant improvement with </w:t>
            </w:r>
            <w:r w:rsidR="00B81B94" w:rsidRPr="00296D0C">
              <w:rPr>
                <w:rFonts w:cs="Arial"/>
              </w:rPr>
              <w:t>intervention</w:t>
            </w:r>
            <w:r w:rsidRPr="00296D0C">
              <w:rPr>
                <w:rFonts w:cs="Arial"/>
              </w:rPr>
              <w:t>.</w:t>
            </w:r>
          </w:p>
        </w:tc>
      </w:tr>
      <w:tr w:rsidR="00861557" w:rsidRPr="00296D0C" w14:paraId="0BBB204F" w14:textId="77777777" w:rsidTr="0077247E">
        <w:tc>
          <w:tcPr>
            <w:tcW w:w="2310" w:type="dxa"/>
            <w:tcBorders>
              <w:top w:val="nil"/>
              <w:left w:val="single" w:sz="4" w:space="0" w:color="auto"/>
              <w:bottom w:val="nil"/>
              <w:right w:val="single" w:sz="4" w:space="0" w:color="auto"/>
            </w:tcBorders>
          </w:tcPr>
          <w:p w14:paraId="6687C083" w14:textId="7F92F9D2" w:rsidR="00861557" w:rsidRPr="00296D0C" w:rsidRDefault="00861557" w:rsidP="0045433E">
            <w:pPr>
              <w:spacing w:before="120"/>
              <w:rPr>
                <w:rFonts w:cs="Arial"/>
              </w:rPr>
            </w:pPr>
            <w:r w:rsidRPr="00296D0C">
              <w:rPr>
                <w:rFonts w:cs="Arial"/>
              </w:rPr>
              <w:t xml:space="preserve">Healthy </w:t>
            </w:r>
            <w:r w:rsidR="0045433E" w:rsidRPr="00296D0C">
              <w:rPr>
                <w:rFonts w:cs="Arial"/>
              </w:rPr>
              <w:t>S</w:t>
            </w:r>
            <w:r w:rsidRPr="00296D0C">
              <w:rPr>
                <w:rFonts w:cs="Arial"/>
              </w:rPr>
              <w:t>nacks, mean number (</w:t>
            </w:r>
            <w:r w:rsidR="0045433E" w:rsidRPr="00296D0C">
              <w:rPr>
                <w:rFonts w:cs="Arial"/>
              </w:rPr>
              <w:t>SD</w:t>
            </w:r>
            <w:r w:rsidRPr="00296D0C">
              <w:rPr>
                <w:rFonts w:cs="Arial"/>
              </w:rPr>
              <w:t>)</w:t>
            </w:r>
          </w:p>
        </w:tc>
        <w:tc>
          <w:tcPr>
            <w:tcW w:w="2098" w:type="dxa"/>
            <w:tcBorders>
              <w:top w:val="nil"/>
              <w:left w:val="single" w:sz="4" w:space="0" w:color="auto"/>
              <w:bottom w:val="nil"/>
              <w:right w:val="single" w:sz="4" w:space="0" w:color="auto"/>
            </w:tcBorders>
          </w:tcPr>
          <w:p w14:paraId="00F15908" w14:textId="77777777" w:rsidR="00861557" w:rsidRPr="00296D0C" w:rsidRDefault="00861557" w:rsidP="0077247E">
            <w:pPr>
              <w:spacing w:before="120"/>
              <w:jc w:val="center"/>
              <w:rPr>
                <w:rFonts w:cs="Arial"/>
              </w:rPr>
            </w:pPr>
            <w:r w:rsidRPr="00296D0C">
              <w:rPr>
                <w:rFonts w:cs="Arial"/>
              </w:rPr>
              <w:t>3.61 (1.63)</w:t>
            </w:r>
          </w:p>
        </w:tc>
        <w:tc>
          <w:tcPr>
            <w:tcW w:w="2098" w:type="dxa"/>
            <w:tcBorders>
              <w:top w:val="nil"/>
              <w:left w:val="single" w:sz="4" w:space="0" w:color="auto"/>
              <w:bottom w:val="nil"/>
              <w:right w:val="single" w:sz="4" w:space="0" w:color="auto"/>
            </w:tcBorders>
          </w:tcPr>
          <w:p w14:paraId="45F1298D" w14:textId="77777777" w:rsidR="00861557" w:rsidRPr="00296D0C" w:rsidRDefault="00861557" w:rsidP="0077247E">
            <w:pPr>
              <w:spacing w:before="120"/>
              <w:jc w:val="center"/>
              <w:rPr>
                <w:rFonts w:cs="Arial"/>
              </w:rPr>
            </w:pPr>
            <w:r w:rsidRPr="00296D0C">
              <w:rPr>
                <w:rFonts w:cs="Arial"/>
              </w:rPr>
              <w:t>3.30 (1.5)</w:t>
            </w:r>
          </w:p>
        </w:tc>
        <w:tc>
          <w:tcPr>
            <w:tcW w:w="2665" w:type="dxa"/>
            <w:tcBorders>
              <w:top w:val="nil"/>
              <w:left w:val="single" w:sz="4" w:space="0" w:color="auto"/>
              <w:bottom w:val="nil"/>
              <w:right w:val="single" w:sz="4" w:space="0" w:color="auto"/>
            </w:tcBorders>
          </w:tcPr>
          <w:p w14:paraId="4FD3CF0E" w14:textId="072CC4F1" w:rsidR="00861557" w:rsidRPr="00296D0C" w:rsidRDefault="00861557" w:rsidP="00B81B94">
            <w:pPr>
              <w:spacing w:before="120"/>
              <w:rPr>
                <w:rFonts w:cs="Arial"/>
              </w:rPr>
            </w:pPr>
            <w:r w:rsidRPr="00296D0C">
              <w:rPr>
                <w:rFonts w:cs="Arial"/>
              </w:rPr>
              <w:t>0.22 (95% CI: -0.</w:t>
            </w:r>
            <w:r w:rsidR="00B81B94" w:rsidRPr="00296D0C">
              <w:rPr>
                <w:rFonts w:cs="Arial"/>
              </w:rPr>
              <w:t>04</w:t>
            </w:r>
            <w:r w:rsidRPr="00296D0C">
              <w:rPr>
                <w:rFonts w:cs="Arial"/>
              </w:rPr>
              <w:t>, 0.47). No statistically significant difference.</w:t>
            </w:r>
          </w:p>
        </w:tc>
      </w:tr>
      <w:tr w:rsidR="00861557" w:rsidRPr="00296D0C" w14:paraId="6798836E" w14:textId="77777777" w:rsidTr="0077247E">
        <w:tc>
          <w:tcPr>
            <w:tcW w:w="2310" w:type="dxa"/>
            <w:tcBorders>
              <w:top w:val="nil"/>
              <w:left w:val="single" w:sz="4" w:space="0" w:color="auto"/>
              <w:bottom w:val="nil"/>
              <w:right w:val="single" w:sz="4" w:space="0" w:color="auto"/>
            </w:tcBorders>
          </w:tcPr>
          <w:p w14:paraId="24D33079" w14:textId="0E5D3986" w:rsidR="00861557" w:rsidRPr="00296D0C" w:rsidRDefault="00861557" w:rsidP="0045433E">
            <w:pPr>
              <w:spacing w:before="120"/>
              <w:rPr>
                <w:rFonts w:cs="Arial"/>
              </w:rPr>
            </w:pPr>
            <w:r w:rsidRPr="00296D0C">
              <w:rPr>
                <w:rFonts w:cs="Arial"/>
              </w:rPr>
              <w:t xml:space="preserve">Negative </w:t>
            </w:r>
            <w:r w:rsidR="0045433E" w:rsidRPr="00296D0C">
              <w:rPr>
                <w:rFonts w:cs="Arial"/>
              </w:rPr>
              <w:t>F</w:t>
            </w:r>
            <w:r w:rsidRPr="00296D0C">
              <w:rPr>
                <w:rFonts w:cs="Arial"/>
              </w:rPr>
              <w:t xml:space="preserve">ood </w:t>
            </w:r>
            <w:r w:rsidR="0045433E" w:rsidRPr="00296D0C">
              <w:rPr>
                <w:rFonts w:cs="Arial"/>
              </w:rPr>
              <w:t>M</w:t>
            </w:r>
            <w:r w:rsidRPr="00296D0C">
              <w:rPr>
                <w:rFonts w:cs="Arial"/>
              </w:rPr>
              <w:t>arkers, mean number (</w:t>
            </w:r>
            <w:r w:rsidR="0045433E" w:rsidRPr="00296D0C">
              <w:rPr>
                <w:rFonts w:cs="Arial"/>
              </w:rPr>
              <w:t>SD</w:t>
            </w:r>
            <w:r w:rsidRPr="00296D0C">
              <w:rPr>
                <w:rFonts w:cs="Arial"/>
              </w:rPr>
              <w:t>)</w:t>
            </w:r>
          </w:p>
        </w:tc>
        <w:tc>
          <w:tcPr>
            <w:tcW w:w="2098" w:type="dxa"/>
            <w:tcBorders>
              <w:top w:val="nil"/>
              <w:left w:val="single" w:sz="4" w:space="0" w:color="auto"/>
              <w:bottom w:val="nil"/>
              <w:right w:val="single" w:sz="4" w:space="0" w:color="auto"/>
            </w:tcBorders>
          </w:tcPr>
          <w:p w14:paraId="54F74728" w14:textId="61CEE74D" w:rsidR="00861557" w:rsidRPr="00296D0C" w:rsidRDefault="00861557" w:rsidP="0077247E">
            <w:pPr>
              <w:spacing w:before="120"/>
              <w:jc w:val="center"/>
              <w:rPr>
                <w:rFonts w:cs="Arial"/>
              </w:rPr>
            </w:pPr>
            <w:r w:rsidRPr="00296D0C">
              <w:rPr>
                <w:rFonts w:cs="Arial"/>
              </w:rPr>
              <w:t>5.9</w:t>
            </w:r>
            <w:r w:rsidR="00B81B94" w:rsidRPr="00296D0C">
              <w:rPr>
                <w:rFonts w:cs="Arial"/>
              </w:rPr>
              <w:t>0</w:t>
            </w:r>
            <w:r w:rsidRPr="00296D0C">
              <w:rPr>
                <w:rFonts w:cs="Arial"/>
              </w:rPr>
              <w:t xml:space="preserve"> (2.73)</w:t>
            </w:r>
          </w:p>
        </w:tc>
        <w:tc>
          <w:tcPr>
            <w:tcW w:w="2098" w:type="dxa"/>
            <w:tcBorders>
              <w:top w:val="nil"/>
              <w:left w:val="single" w:sz="4" w:space="0" w:color="auto"/>
              <w:bottom w:val="nil"/>
              <w:right w:val="single" w:sz="4" w:space="0" w:color="auto"/>
            </w:tcBorders>
          </w:tcPr>
          <w:p w14:paraId="2D71A206" w14:textId="77777777" w:rsidR="00861557" w:rsidRPr="00296D0C" w:rsidRDefault="00861557" w:rsidP="0077247E">
            <w:pPr>
              <w:spacing w:before="120"/>
              <w:jc w:val="center"/>
              <w:rPr>
                <w:rFonts w:cs="Arial"/>
              </w:rPr>
            </w:pPr>
            <w:r w:rsidRPr="00296D0C">
              <w:rPr>
                <w:rFonts w:cs="Arial"/>
              </w:rPr>
              <w:t>6.38 (3.0)</w:t>
            </w:r>
          </w:p>
        </w:tc>
        <w:tc>
          <w:tcPr>
            <w:tcW w:w="2665" w:type="dxa"/>
            <w:tcBorders>
              <w:top w:val="nil"/>
              <w:left w:val="single" w:sz="4" w:space="0" w:color="auto"/>
              <w:bottom w:val="nil"/>
              <w:right w:val="single" w:sz="4" w:space="0" w:color="auto"/>
            </w:tcBorders>
          </w:tcPr>
          <w:p w14:paraId="7B618782" w14:textId="259B4FDD" w:rsidR="00861557" w:rsidRPr="00296D0C" w:rsidRDefault="00861557" w:rsidP="00B81B94">
            <w:pPr>
              <w:spacing w:before="120"/>
              <w:rPr>
                <w:rFonts w:cs="Arial"/>
              </w:rPr>
            </w:pPr>
            <w:r w:rsidRPr="00296D0C">
              <w:rPr>
                <w:rFonts w:cs="Arial"/>
              </w:rPr>
              <w:t>-0.</w:t>
            </w:r>
            <w:r w:rsidR="00B81B94" w:rsidRPr="00296D0C">
              <w:rPr>
                <w:rFonts w:cs="Arial"/>
              </w:rPr>
              <w:t xml:space="preserve">47 </w:t>
            </w:r>
            <w:r w:rsidRPr="00296D0C">
              <w:rPr>
                <w:rFonts w:cs="Arial"/>
              </w:rPr>
              <w:t>(95% CI: -0.</w:t>
            </w:r>
            <w:r w:rsidR="00B81B94" w:rsidRPr="00296D0C">
              <w:rPr>
                <w:rFonts w:cs="Arial"/>
              </w:rPr>
              <w:t>91</w:t>
            </w:r>
            <w:r w:rsidRPr="00296D0C">
              <w:rPr>
                <w:rFonts w:cs="Arial"/>
              </w:rPr>
              <w:t xml:space="preserve">, -0.02); Statistically significant improvement with </w:t>
            </w:r>
            <w:r w:rsidR="00B81B94" w:rsidRPr="00296D0C">
              <w:rPr>
                <w:rFonts w:cs="Arial"/>
              </w:rPr>
              <w:t>intervention</w:t>
            </w:r>
            <w:r w:rsidRPr="00296D0C">
              <w:rPr>
                <w:rFonts w:cs="Arial"/>
              </w:rPr>
              <w:t>.</w:t>
            </w:r>
          </w:p>
        </w:tc>
      </w:tr>
      <w:tr w:rsidR="00861557" w:rsidRPr="00296D0C" w14:paraId="4BB673D2" w14:textId="77777777" w:rsidTr="0077247E">
        <w:tc>
          <w:tcPr>
            <w:tcW w:w="2310" w:type="dxa"/>
            <w:tcBorders>
              <w:top w:val="nil"/>
              <w:left w:val="single" w:sz="4" w:space="0" w:color="auto"/>
              <w:bottom w:val="single" w:sz="4" w:space="0" w:color="auto"/>
              <w:right w:val="single" w:sz="4" w:space="0" w:color="auto"/>
            </w:tcBorders>
          </w:tcPr>
          <w:p w14:paraId="60F700E1" w14:textId="3FB57E01" w:rsidR="00861557" w:rsidRPr="00296D0C" w:rsidRDefault="00861557" w:rsidP="0045433E">
            <w:pPr>
              <w:spacing w:before="120"/>
              <w:rPr>
                <w:rFonts w:cs="Arial"/>
              </w:rPr>
            </w:pPr>
            <w:r w:rsidRPr="00296D0C">
              <w:rPr>
                <w:rFonts w:cs="Arial"/>
              </w:rPr>
              <w:t xml:space="preserve">Positive </w:t>
            </w:r>
            <w:r w:rsidR="0045433E" w:rsidRPr="00296D0C">
              <w:rPr>
                <w:rFonts w:cs="Arial"/>
              </w:rPr>
              <w:t>F</w:t>
            </w:r>
            <w:r w:rsidRPr="00296D0C">
              <w:rPr>
                <w:rFonts w:cs="Arial"/>
              </w:rPr>
              <w:t xml:space="preserve">ood </w:t>
            </w:r>
            <w:r w:rsidR="0045433E" w:rsidRPr="00296D0C">
              <w:rPr>
                <w:rFonts w:cs="Arial"/>
              </w:rPr>
              <w:t>M</w:t>
            </w:r>
            <w:r w:rsidRPr="00296D0C">
              <w:rPr>
                <w:rFonts w:cs="Arial"/>
              </w:rPr>
              <w:t>arkers, mean number (</w:t>
            </w:r>
            <w:r w:rsidR="0045433E" w:rsidRPr="00296D0C">
              <w:rPr>
                <w:rFonts w:cs="Arial"/>
              </w:rPr>
              <w:t>SD</w:t>
            </w:r>
            <w:r w:rsidRPr="00296D0C">
              <w:rPr>
                <w:rFonts w:cs="Arial"/>
              </w:rPr>
              <w:t>)</w:t>
            </w:r>
          </w:p>
        </w:tc>
        <w:tc>
          <w:tcPr>
            <w:tcW w:w="2098" w:type="dxa"/>
            <w:tcBorders>
              <w:top w:val="nil"/>
              <w:left w:val="single" w:sz="4" w:space="0" w:color="auto"/>
              <w:bottom w:val="single" w:sz="4" w:space="0" w:color="auto"/>
              <w:right w:val="single" w:sz="4" w:space="0" w:color="auto"/>
            </w:tcBorders>
          </w:tcPr>
          <w:p w14:paraId="7EE9A37B" w14:textId="0BD0BC27" w:rsidR="00861557" w:rsidRPr="00296D0C" w:rsidRDefault="00861557" w:rsidP="0077247E">
            <w:pPr>
              <w:spacing w:before="120"/>
              <w:jc w:val="center"/>
              <w:rPr>
                <w:rFonts w:cs="Arial"/>
              </w:rPr>
            </w:pPr>
            <w:r w:rsidRPr="00296D0C">
              <w:rPr>
                <w:rFonts w:cs="Arial"/>
              </w:rPr>
              <w:t>6.2</w:t>
            </w:r>
            <w:r w:rsidR="00B81B94" w:rsidRPr="00296D0C">
              <w:rPr>
                <w:rFonts w:cs="Arial"/>
              </w:rPr>
              <w:t>0</w:t>
            </w:r>
            <w:r w:rsidRPr="00296D0C">
              <w:rPr>
                <w:rFonts w:cs="Arial"/>
              </w:rPr>
              <w:t xml:space="preserve"> (2.36)</w:t>
            </w:r>
          </w:p>
        </w:tc>
        <w:tc>
          <w:tcPr>
            <w:tcW w:w="2098" w:type="dxa"/>
            <w:tcBorders>
              <w:top w:val="nil"/>
              <w:left w:val="single" w:sz="4" w:space="0" w:color="auto"/>
              <w:bottom w:val="single" w:sz="4" w:space="0" w:color="auto"/>
              <w:right w:val="single" w:sz="4" w:space="0" w:color="auto"/>
            </w:tcBorders>
          </w:tcPr>
          <w:p w14:paraId="6431AD87" w14:textId="77777777" w:rsidR="00861557" w:rsidRPr="00296D0C" w:rsidRDefault="00861557" w:rsidP="0077247E">
            <w:pPr>
              <w:spacing w:before="120"/>
              <w:jc w:val="center"/>
              <w:rPr>
                <w:rFonts w:cs="Arial"/>
              </w:rPr>
            </w:pPr>
            <w:r w:rsidRPr="00296D0C">
              <w:rPr>
                <w:rFonts w:cs="Arial"/>
              </w:rPr>
              <w:t>5.77 (2.31)</w:t>
            </w:r>
          </w:p>
        </w:tc>
        <w:tc>
          <w:tcPr>
            <w:tcW w:w="2665" w:type="dxa"/>
            <w:tcBorders>
              <w:top w:val="nil"/>
              <w:left w:val="single" w:sz="4" w:space="0" w:color="auto"/>
              <w:bottom w:val="single" w:sz="4" w:space="0" w:color="auto"/>
              <w:right w:val="single" w:sz="4" w:space="0" w:color="auto"/>
            </w:tcBorders>
          </w:tcPr>
          <w:p w14:paraId="60DAFA05" w14:textId="6C1E3BB8" w:rsidR="00861557" w:rsidRPr="00296D0C" w:rsidRDefault="00861557" w:rsidP="00B81B94">
            <w:pPr>
              <w:spacing w:before="120"/>
              <w:rPr>
                <w:rFonts w:cs="Arial"/>
              </w:rPr>
            </w:pPr>
            <w:r w:rsidRPr="00296D0C">
              <w:rPr>
                <w:rFonts w:cs="Arial"/>
              </w:rPr>
              <w:t>0.26 (-0.12, 0.64); No statistically significant difference.</w:t>
            </w:r>
          </w:p>
        </w:tc>
      </w:tr>
      <w:tr w:rsidR="00861557" w:rsidRPr="00296D0C" w14:paraId="14077C57" w14:textId="77777777" w:rsidTr="0077247E">
        <w:tc>
          <w:tcPr>
            <w:tcW w:w="2310" w:type="dxa"/>
            <w:tcBorders>
              <w:top w:val="single" w:sz="4" w:space="0" w:color="auto"/>
            </w:tcBorders>
          </w:tcPr>
          <w:p w14:paraId="31862F9C" w14:textId="711BAE65" w:rsidR="00861557" w:rsidRPr="00296D0C" w:rsidRDefault="00861557" w:rsidP="006E7949">
            <w:pPr>
              <w:rPr>
                <w:rFonts w:cs="Arial"/>
              </w:rPr>
            </w:pPr>
            <w:r w:rsidRPr="00296D0C">
              <w:rPr>
                <w:rFonts w:cs="Arial"/>
              </w:rPr>
              <w:t>Additional treatment costs (mean, per participant)</w:t>
            </w:r>
            <w:r w:rsidRPr="00296D0C">
              <w:rPr>
                <w:rFonts w:cs="Arial"/>
                <w:vertAlign w:val="superscript"/>
              </w:rPr>
              <w:t>e</w:t>
            </w:r>
          </w:p>
        </w:tc>
        <w:tc>
          <w:tcPr>
            <w:tcW w:w="2098" w:type="dxa"/>
            <w:tcBorders>
              <w:top w:val="single" w:sz="4" w:space="0" w:color="auto"/>
            </w:tcBorders>
          </w:tcPr>
          <w:p w14:paraId="03DD31DE" w14:textId="77777777" w:rsidR="00861557" w:rsidRPr="00296D0C" w:rsidRDefault="00861557" w:rsidP="0077247E">
            <w:pPr>
              <w:jc w:val="center"/>
              <w:rPr>
                <w:rFonts w:cs="Arial"/>
              </w:rPr>
            </w:pPr>
            <w:r w:rsidRPr="00296D0C">
              <w:rPr>
                <w:rFonts w:cs="Arial"/>
              </w:rPr>
              <w:t>£214.13</w:t>
            </w:r>
          </w:p>
        </w:tc>
        <w:tc>
          <w:tcPr>
            <w:tcW w:w="2098" w:type="dxa"/>
            <w:tcBorders>
              <w:top w:val="single" w:sz="4" w:space="0" w:color="auto"/>
            </w:tcBorders>
          </w:tcPr>
          <w:p w14:paraId="57CEBBFB" w14:textId="77777777" w:rsidR="00861557" w:rsidRPr="00296D0C" w:rsidRDefault="00861557" w:rsidP="0077247E">
            <w:pPr>
              <w:jc w:val="center"/>
              <w:rPr>
                <w:rFonts w:cs="Arial"/>
              </w:rPr>
            </w:pPr>
            <w:r w:rsidRPr="00296D0C">
              <w:rPr>
                <w:rFonts w:cs="Arial"/>
              </w:rPr>
              <w:t>None</w:t>
            </w:r>
          </w:p>
        </w:tc>
        <w:tc>
          <w:tcPr>
            <w:tcW w:w="2665" w:type="dxa"/>
            <w:tcBorders>
              <w:top w:val="single" w:sz="4" w:space="0" w:color="auto"/>
            </w:tcBorders>
          </w:tcPr>
          <w:p w14:paraId="310E7E13" w14:textId="29D07529" w:rsidR="00861557" w:rsidRPr="00296D0C" w:rsidRDefault="00861557" w:rsidP="00B74B30">
            <w:pPr>
              <w:rPr>
                <w:rFonts w:cs="Arial"/>
              </w:rPr>
            </w:pPr>
            <w:r w:rsidRPr="00296D0C">
              <w:rPr>
                <w:rFonts w:cs="Arial"/>
              </w:rPr>
              <w:t xml:space="preserve">£214.13; </w:t>
            </w:r>
            <w:r w:rsidR="00B74B30" w:rsidRPr="00296D0C">
              <w:rPr>
                <w:rFonts w:cs="Arial"/>
              </w:rPr>
              <w:t>intervention</w:t>
            </w:r>
            <w:r w:rsidRPr="00296D0C">
              <w:rPr>
                <w:rFonts w:cs="Arial"/>
              </w:rPr>
              <w:t xml:space="preserve"> more costly than control.</w:t>
            </w:r>
          </w:p>
        </w:tc>
      </w:tr>
    </w:tbl>
    <w:p w14:paraId="7E39DC7C" w14:textId="59556075" w:rsidR="00861557" w:rsidRPr="00296D0C" w:rsidRDefault="00861557" w:rsidP="00861557">
      <w:pPr>
        <w:spacing w:after="0" w:line="240" w:lineRule="auto"/>
        <w:rPr>
          <w:rFonts w:cs="Arial"/>
        </w:rPr>
      </w:pPr>
      <w:r w:rsidRPr="00AC190C">
        <w:rPr>
          <w:rFonts w:cs="Arial"/>
          <w:vertAlign w:val="superscript"/>
        </w:rPr>
        <w:t>a</w:t>
      </w:r>
      <w:r w:rsidRPr="00AC190C">
        <w:rPr>
          <w:rFonts w:cs="Arial"/>
        </w:rPr>
        <w:t xml:space="preserve"> See Table </w:t>
      </w:r>
      <w:r w:rsidR="006C0879">
        <w:rPr>
          <w:rFonts w:cs="Arial"/>
        </w:rPr>
        <w:t>8</w:t>
      </w:r>
      <w:r w:rsidRPr="00AC190C">
        <w:rPr>
          <w:rFonts w:cs="Arial"/>
        </w:rPr>
        <w:t xml:space="preserve">; </w:t>
      </w:r>
      <w:r w:rsidRPr="00AC190C">
        <w:rPr>
          <w:rFonts w:cs="Arial"/>
          <w:vertAlign w:val="superscript"/>
        </w:rPr>
        <w:t>b</w:t>
      </w:r>
      <w:r w:rsidRPr="00AC190C">
        <w:rPr>
          <w:rFonts w:cs="Arial"/>
        </w:rPr>
        <w:t xml:space="preserve"> See Table </w:t>
      </w:r>
      <w:r w:rsidR="006C0879">
        <w:rPr>
          <w:rFonts w:cs="Arial"/>
        </w:rPr>
        <w:t>6</w:t>
      </w:r>
      <w:r w:rsidRPr="00AC190C">
        <w:rPr>
          <w:rFonts w:cs="Arial"/>
        </w:rPr>
        <w:t xml:space="preserve">; </w:t>
      </w:r>
      <w:r w:rsidRPr="00AC190C">
        <w:rPr>
          <w:rFonts w:cs="Arial"/>
          <w:vertAlign w:val="superscript"/>
        </w:rPr>
        <w:t>c</w:t>
      </w:r>
      <w:r w:rsidRPr="00AC190C">
        <w:rPr>
          <w:rFonts w:cs="Arial"/>
        </w:rPr>
        <w:t xml:space="preserve"> See Table </w:t>
      </w:r>
      <w:r w:rsidR="006C0879">
        <w:rPr>
          <w:rFonts w:cs="Arial"/>
        </w:rPr>
        <w:t>10</w:t>
      </w:r>
      <w:r w:rsidRPr="00AC190C">
        <w:rPr>
          <w:rFonts w:cs="Arial"/>
        </w:rPr>
        <w:t xml:space="preserve">; </w:t>
      </w:r>
      <w:r w:rsidRPr="00AC190C">
        <w:rPr>
          <w:rFonts w:cs="Arial"/>
          <w:vertAlign w:val="superscript"/>
        </w:rPr>
        <w:t>d</w:t>
      </w:r>
      <w:r w:rsidRPr="00AC190C">
        <w:rPr>
          <w:rFonts w:cs="Arial"/>
        </w:rPr>
        <w:t xml:space="preserve"> See Table </w:t>
      </w:r>
      <w:r w:rsidR="00AB75A3" w:rsidRPr="00AC190C">
        <w:rPr>
          <w:rFonts w:cs="Arial"/>
        </w:rPr>
        <w:t>1</w:t>
      </w:r>
      <w:r w:rsidR="006C0879">
        <w:rPr>
          <w:rFonts w:cs="Arial"/>
        </w:rPr>
        <w:t>3</w:t>
      </w:r>
      <w:r w:rsidRPr="00AC190C">
        <w:rPr>
          <w:rFonts w:cs="Arial"/>
        </w:rPr>
        <w:t xml:space="preserve">; </w:t>
      </w:r>
      <w:r w:rsidRPr="00AC190C">
        <w:rPr>
          <w:rFonts w:cs="Arial"/>
          <w:vertAlign w:val="superscript"/>
        </w:rPr>
        <w:t>e</w:t>
      </w:r>
      <w:r w:rsidRPr="00AC190C">
        <w:rPr>
          <w:rFonts w:cs="Arial"/>
        </w:rPr>
        <w:t xml:space="preserve"> See Table </w:t>
      </w:r>
      <w:r w:rsidR="006C0879">
        <w:rPr>
          <w:rFonts w:cs="Arial"/>
        </w:rPr>
        <w:t>21</w:t>
      </w:r>
      <w:r w:rsidRPr="00AC190C">
        <w:rPr>
          <w:rFonts w:cs="Arial"/>
        </w:rPr>
        <w:t>.</w:t>
      </w:r>
    </w:p>
    <w:p w14:paraId="0CCC7ACF" w14:textId="77777777" w:rsidR="00861557" w:rsidRPr="00296D0C" w:rsidRDefault="00861557" w:rsidP="00861557">
      <w:pPr>
        <w:spacing w:after="0"/>
        <w:rPr>
          <w:rFonts w:cs="Arial"/>
        </w:rPr>
      </w:pPr>
    </w:p>
    <w:p w14:paraId="1B90111F" w14:textId="4BF8E76A" w:rsidR="00861557" w:rsidRPr="00296D0C" w:rsidRDefault="00861557" w:rsidP="00507D7B">
      <w:pPr>
        <w:spacing w:after="0" w:line="360" w:lineRule="auto"/>
        <w:rPr>
          <w:rFonts w:cs="Arial"/>
        </w:rPr>
      </w:pPr>
      <w:r w:rsidRPr="00296D0C">
        <w:rPr>
          <w:rFonts w:cs="Arial"/>
        </w:rPr>
        <w:lastRenderedPageBreak/>
        <w:t>As this is a clear and unambiguous outcome, consistent with agreement with the Trial Steering Committee, no further detailed cost</w:t>
      </w:r>
      <w:r w:rsidR="00576BE5">
        <w:rPr>
          <w:rFonts w:cs="Arial"/>
        </w:rPr>
        <w:t xml:space="preserve"> </w:t>
      </w:r>
      <w:r w:rsidRPr="00296D0C">
        <w:rPr>
          <w:rFonts w:cs="Arial"/>
        </w:rPr>
        <w:t>effectiveness analysis is presented here.  We have presented detailed cost analysis and results on the estimated expected mean incremental cost per child for delivery of the HeLP intervention, together with estimates of expected additional costs per school (per class).</w:t>
      </w:r>
    </w:p>
    <w:p w14:paraId="00ED9567" w14:textId="77777777" w:rsidR="00861557" w:rsidRPr="00296D0C" w:rsidRDefault="00861557" w:rsidP="00861557">
      <w:pPr>
        <w:spacing w:after="0"/>
        <w:rPr>
          <w:rFonts w:cs="Arial"/>
        </w:rPr>
      </w:pPr>
    </w:p>
    <w:p w14:paraId="35893A4E" w14:textId="77777777" w:rsidR="00861557" w:rsidRPr="00296D0C" w:rsidRDefault="00861557" w:rsidP="00861557">
      <w:pPr>
        <w:spacing w:after="0"/>
        <w:rPr>
          <w:rFonts w:cs="Arial"/>
          <w:b/>
        </w:rPr>
      </w:pPr>
      <w:r w:rsidRPr="00296D0C">
        <w:rPr>
          <w:rFonts w:cs="Arial"/>
          <w:b/>
        </w:rPr>
        <w:t>Exploratory Cost Effectiveness Analyses Using the Exeter Obesity Model</w:t>
      </w:r>
    </w:p>
    <w:p w14:paraId="6C8E8A6A" w14:textId="77777777" w:rsidR="00861557" w:rsidRPr="00296D0C" w:rsidRDefault="00861557" w:rsidP="00861557">
      <w:pPr>
        <w:spacing w:after="0"/>
        <w:rPr>
          <w:rFonts w:cs="Arial"/>
        </w:rPr>
      </w:pPr>
    </w:p>
    <w:p w14:paraId="33610623" w14:textId="77777777" w:rsidR="00861557" w:rsidRPr="00296D0C" w:rsidRDefault="00861557" w:rsidP="00861557">
      <w:pPr>
        <w:spacing w:after="0"/>
        <w:rPr>
          <w:rFonts w:cs="Arial"/>
          <w:b/>
        </w:rPr>
      </w:pPr>
      <w:r w:rsidRPr="00296D0C">
        <w:rPr>
          <w:rFonts w:cs="Arial"/>
          <w:b/>
        </w:rPr>
        <w:t>Predicted results for control participants</w:t>
      </w:r>
    </w:p>
    <w:p w14:paraId="2C35297C" w14:textId="3B625440" w:rsidR="00861557" w:rsidRPr="00296D0C" w:rsidRDefault="00861557" w:rsidP="00507D7B">
      <w:pPr>
        <w:spacing w:after="0" w:line="360" w:lineRule="auto"/>
        <w:rPr>
          <w:rFonts w:cs="Arial"/>
        </w:rPr>
      </w:pPr>
      <w:r w:rsidRPr="00296D0C">
        <w:rPr>
          <w:rFonts w:cs="Arial"/>
        </w:rPr>
        <w:t xml:space="preserve">In the HeLP RCT the distribution of children starting the trial and at 24 month </w:t>
      </w:r>
      <w:r w:rsidR="009D1C7F" w:rsidRPr="00296D0C">
        <w:rPr>
          <w:rFonts w:cs="Arial"/>
        </w:rPr>
        <w:t>follow up</w:t>
      </w:r>
      <w:r w:rsidRPr="00296D0C">
        <w:rPr>
          <w:rFonts w:cs="Arial"/>
        </w:rPr>
        <w:t xml:space="preserve"> by weight status categories, as centile categories used by Power et al</w:t>
      </w:r>
      <w:r w:rsidR="004878D6" w:rsidRPr="00296D0C">
        <w:rPr>
          <w:rFonts w:cs="Arial"/>
        </w:rPr>
        <w:t>.,</w:t>
      </w:r>
      <w:r w:rsidRPr="00296D0C">
        <w:rPr>
          <w:rFonts w:cs="Arial"/>
        </w:rPr>
        <w:t xml:space="preserve"> 1997</w:t>
      </w:r>
      <w:r w:rsidR="00A52645" w:rsidRPr="00296D0C">
        <w:rPr>
          <w:rFonts w:cs="Arial"/>
        </w:rPr>
        <w:t xml:space="preserve"> </w:t>
      </w:r>
      <w:r w:rsidR="004B1882" w:rsidRPr="00296D0C">
        <w:rPr>
          <w:rFonts w:cs="Arial"/>
        </w:rPr>
        <w:fldChar w:fldCharType="begin"/>
      </w:r>
      <w:r w:rsidR="008C43BF">
        <w:rPr>
          <w:rFonts w:cs="Arial"/>
        </w:rPr>
        <w:instrText xml:space="preserve"> ADDIN EN.CITE &lt;EndNote&gt;&lt;Cite&gt;&lt;Author&gt;Power&lt;/Author&gt;&lt;Year&gt;1997&lt;/Year&gt;&lt;RecNum&gt;3572&lt;/RecNum&gt;&lt;DisplayText&gt;&lt;style face="superscript"&gt;120&lt;/style&gt;&lt;/DisplayText&gt;&lt;record&gt;&lt;rec-number&gt;3572&lt;/rec-number&gt;&lt;foreign-keys&gt;&lt;key app="EN" db-id="2ewa9rrvjsdsawep2vpx5x97eedzzvxx5rta" timestamp="0"&gt;3572&lt;/key&gt;&lt;/foreign-keys&gt;&lt;ref-type name="Journal Article"&gt;17&lt;/ref-type&gt;&lt;contributors&gt;&lt;authors&gt;&lt;author&gt;Power, C., &lt;/author&gt;&lt;author&gt;Lake, J.K., &lt;/author&gt;&lt;author&gt;Cole, T.J.&lt;/author&gt;&lt;/authors&gt;&lt;/contributors&gt;&lt;titles&gt;&lt;title&gt;Body mass index and height from childhood to adulthood in the 1958 British born cohort&lt;/title&gt;&lt;secondary-title&gt;American Journal of Clinical Nutrition&lt;/secondary-title&gt;&lt;/titles&gt;&lt;periodical&gt;&lt;full-title&gt;American Journal of Clinical Nutrition&lt;/full-title&gt;&lt;abbr-1&gt;Am. J. Clin. Nutr.&lt;/abbr-1&gt;&lt;abbr-2&gt;Am J Clin Nutr&lt;/abbr-2&gt;&lt;/periodical&gt;&lt;pages&gt;1094-101&lt;/pages&gt;&lt;volume&gt;66&lt;/volume&gt;&lt;dates&gt;&lt;year&gt;1997&lt;/year&gt;&lt;/dates&gt;&lt;urls&gt;&lt;/urls&gt;&lt;/record&gt;&lt;/Cite&gt;&lt;/EndNote&gt;</w:instrText>
      </w:r>
      <w:r w:rsidR="004B1882" w:rsidRPr="00296D0C">
        <w:rPr>
          <w:rFonts w:cs="Arial"/>
        </w:rPr>
        <w:fldChar w:fldCharType="separate"/>
      </w:r>
      <w:r w:rsidR="008C43BF" w:rsidRPr="008C43BF">
        <w:rPr>
          <w:rFonts w:cs="Arial"/>
          <w:noProof/>
          <w:vertAlign w:val="superscript"/>
        </w:rPr>
        <w:t>120</w:t>
      </w:r>
      <w:r w:rsidR="004B1882" w:rsidRPr="00296D0C">
        <w:rPr>
          <w:rFonts w:cs="Arial"/>
        </w:rPr>
        <w:fldChar w:fldCharType="end"/>
      </w:r>
      <w:r w:rsidRPr="00296D0C">
        <w:rPr>
          <w:rFonts w:cs="Arial"/>
        </w:rPr>
        <w:t xml:space="preserve">, are reported in Table </w:t>
      </w:r>
      <w:r w:rsidR="004878D6" w:rsidRPr="00296D0C">
        <w:rPr>
          <w:rFonts w:cs="Arial"/>
        </w:rPr>
        <w:t>3</w:t>
      </w:r>
      <w:r w:rsidR="006C0879">
        <w:rPr>
          <w:rFonts w:cs="Arial"/>
        </w:rPr>
        <w:t>3</w:t>
      </w:r>
      <w:r w:rsidRPr="00296D0C">
        <w:rPr>
          <w:rFonts w:cs="Arial"/>
        </w:rPr>
        <w:t>, together with their predicted weight status profile as adults aged 33-years (using standard adult BMI categories).</w:t>
      </w:r>
    </w:p>
    <w:p w14:paraId="0E853971" w14:textId="31559B70" w:rsidR="00861557" w:rsidRPr="00296D0C" w:rsidRDefault="00861557" w:rsidP="00507D7B">
      <w:pPr>
        <w:spacing w:after="0" w:line="360" w:lineRule="auto"/>
        <w:rPr>
          <w:rFonts w:cs="Arial"/>
        </w:rPr>
      </w:pPr>
      <w:r w:rsidRPr="00296D0C">
        <w:rPr>
          <w:rFonts w:cs="Arial"/>
        </w:rPr>
        <w:t>When modelling the experiences of a cohort (n</w:t>
      </w:r>
      <w:r w:rsidR="00890008" w:rsidRPr="00296D0C">
        <w:rPr>
          <w:rFonts w:cs="Arial"/>
        </w:rPr>
        <w:t xml:space="preserve"> </w:t>
      </w:r>
      <w:r w:rsidRPr="00296D0C">
        <w:rPr>
          <w:rFonts w:cs="Arial"/>
        </w:rPr>
        <w:t>=</w:t>
      </w:r>
      <w:r w:rsidR="00890008" w:rsidRPr="00296D0C">
        <w:rPr>
          <w:rFonts w:cs="Arial"/>
        </w:rPr>
        <w:t xml:space="preserve"> </w:t>
      </w:r>
      <w:r w:rsidRPr="00296D0C">
        <w:rPr>
          <w:rFonts w:cs="Arial"/>
        </w:rPr>
        <w:t xml:space="preserve">1,000) of children defined using the weight status data for the control participants in the </w:t>
      </w:r>
      <w:r w:rsidR="009D1C7F" w:rsidRPr="00296D0C">
        <w:rPr>
          <w:rFonts w:cs="Arial"/>
        </w:rPr>
        <w:t>HeLP study</w:t>
      </w:r>
      <w:r w:rsidRPr="00296D0C">
        <w:rPr>
          <w:rFonts w:cs="Arial"/>
        </w:rPr>
        <w:t xml:space="preserve">, we predict that at age 33-years the cohort will result in an adult cohort with 49% as overweight or obese, and 51% healthy weight adults.  We predict that 33% will be overweight and 15.5% will be obese, and this is consistent with the data reported by age in the </w:t>
      </w:r>
      <w:r w:rsidRPr="00AC190C">
        <w:rPr>
          <w:rFonts w:cs="Arial"/>
        </w:rPr>
        <w:t>Health Survey for England (2009 data).</w:t>
      </w:r>
      <w:r w:rsidRPr="00296D0C">
        <w:rPr>
          <w:rFonts w:cs="Arial"/>
        </w:rPr>
        <w:t xml:space="preserve">  Over the 30-year follow up period, adult years, there are 252 weight related events (CHD, stroke, T2DM, CRC).  These 252 events comprise; 76 cases of CHD, 105 cases T2DM, 28 cases of CRC, 42 cases of stroke; 675 participants remain event free at age 62-63 years.  The mean per participant cost associated with those events is estimated at £1,140 (£6,821 undiscounted; £3,145 discounted at 1.5% pa).  Over the 30 year time horizon (30 adult years) where events, costs, and event related outcomes are estimated, in addition to all cause mortality, the mean number of life years per participant is 26.75, prior to discounting (4.47 when discounted at 3.5% pa; 12.34 at 1.5% pa), and the mean number of QALYS is 22.78 prior to discounting (3.8 when discounted at 3.5% pa; 10.5 at 1.5% pa).  Of note, overall we are modelling life expectancy over a 50-year time horizon, with specific payoffs (future costs and outcomes for health events) captured in the latter 30-years.</w:t>
      </w:r>
    </w:p>
    <w:p w14:paraId="27F94ACA" w14:textId="77777777" w:rsidR="00861557" w:rsidRPr="00296D0C" w:rsidRDefault="00861557" w:rsidP="00861557">
      <w:pPr>
        <w:spacing w:after="0"/>
        <w:rPr>
          <w:rFonts w:cs="Arial"/>
        </w:rPr>
      </w:pPr>
    </w:p>
    <w:p w14:paraId="2DA5EB85" w14:textId="77777777" w:rsidR="009E4785" w:rsidRPr="00296D0C" w:rsidRDefault="009E4785">
      <w:pPr>
        <w:rPr>
          <w:rFonts w:cs="Arial"/>
          <w:b/>
        </w:rPr>
      </w:pPr>
      <w:r w:rsidRPr="00296D0C">
        <w:rPr>
          <w:rFonts w:cs="Arial"/>
          <w:b/>
        </w:rPr>
        <w:br w:type="page"/>
      </w:r>
    </w:p>
    <w:p w14:paraId="21B6FDB4" w14:textId="4646FCBB" w:rsidR="00861557" w:rsidRPr="00296D0C" w:rsidRDefault="00861557" w:rsidP="00861557">
      <w:pPr>
        <w:spacing w:after="120" w:line="240" w:lineRule="auto"/>
        <w:rPr>
          <w:rFonts w:cs="Arial"/>
          <w:b/>
        </w:rPr>
      </w:pPr>
      <w:r w:rsidRPr="00296D0C">
        <w:rPr>
          <w:rFonts w:cs="Arial"/>
          <w:b/>
        </w:rPr>
        <w:lastRenderedPageBreak/>
        <w:t>T</w:t>
      </w:r>
      <w:r w:rsidR="004878D6" w:rsidRPr="00296D0C">
        <w:rPr>
          <w:rFonts w:cs="Arial"/>
          <w:b/>
        </w:rPr>
        <w:t>ABLE</w:t>
      </w:r>
      <w:r w:rsidRPr="00296D0C">
        <w:rPr>
          <w:rFonts w:cs="Arial"/>
          <w:b/>
        </w:rPr>
        <w:t xml:space="preserve"> </w:t>
      </w:r>
      <w:r w:rsidR="004878D6" w:rsidRPr="00296D0C">
        <w:rPr>
          <w:rFonts w:cs="Arial"/>
          <w:b/>
        </w:rPr>
        <w:t>3</w:t>
      </w:r>
      <w:r w:rsidR="006C0879">
        <w:rPr>
          <w:rFonts w:cs="Arial"/>
          <w:b/>
        </w:rPr>
        <w:t>3</w:t>
      </w:r>
      <w:r w:rsidRPr="00296D0C">
        <w:rPr>
          <w:rFonts w:cs="Arial"/>
          <w:b/>
        </w:rPr>
        <w:t xml:space="preserve"> Summary of weight status profile by group at childhood and by adult predicted profile</w:t>
      </w:r>
    </w:p>
    <w:tbl>
      <w:tblPr>
        <w:tblStyle w:val="TableGrid"/>
        <w:tblW w:w="0" w:type="auto"/>
        <w:tblLayout w:type="fixed"/>
        <w:tblLook w:val="04A0" w:firstRow="1" w:lastRow="0" w:firstColumn="1" w:lastColumn="0" w:noHBand="0" w:noVBand="1"/>
      </w:tblPr>
      <w:tblGrid>
        <w:gridCol w:w="2376"/>
        <w:gridCol w:w="1531"/>
        <w:gridCol w:w="1531"/>
        <w:gridCol w:w="1531"/>
        <w:gridCol w:w="1531"/>
      </w:tblGrid>
      <w:tr w:rsidR="00861557" w:rsidRPr="00296D0C" w14:paraId="30EE937F" w14:textId="77777777" w:rsidTr="0077247E">
        <w:tc>
          <w:tcPr>
            <w:tcW w:w="2376" w:type="dxa"/>
          </w:tcPr>
          <w:p w14:paraId="042F9F76" w14:textId="77777777" w:rsidR="00861557" w:rsidRPr="00296D0C" w:rsidRDefault="00861557" w:rsidP="0077247E">
            <w:pPr>
              <w:spacing w:before="40" w:after="40"/>
              <w:rPr>
                <w:rFonts w:cs="Arial"/>
                <w:b/>
              </w:rPr>
            </w:pPr>
          </w:p>
        </w:tc>
        <w:tc>
          <w:tcPr>
            <w:tcW w:w="1531" w:type="dxa"/>
          </w:tcPr>
          <w:p w14:paraId="320526C5" w14:textId="77777777" w:rsidR="00861557" w:rsidRPr="00296D0C" w:rsidRDefault="00861557" w:rsidP="0077247E">
            <w:pPr>
              <w:rPr>
                <w:rFonts w:cs="Arial"/>
              </w:rPr>
            </w:pPr>
            <w:r w:rsidRPr="00296D0C">
              <w:rPr>
                <w:rFonts w:cs="Arial"/>
              </w:rPr>
              <w:t>HeLP</w:t>
            </w:r>
          </w:p>
          <w:p w14:paraId="0AAD1030" w14:textId="77777777" w:rsidR="00861557" w:rsidRPr="00296D0C" w:rsidRDefault="00861557" w:rsidP="0077247E">
            <w:pPr>
              <w:rPr>
                <w:rFonts w:cs="Arial"/>
              </w:rPr>
            </w:pPr>
            <w:r w:rsidRPr="00296D0C">
              <w:rPr>
                <w:rFonts w:cs="Arial"/>
              </w:rPr>
              <w:t>Treatment</w:t>
            </w:r>
          </w:p>
          <w:p w14:paraId="2C52B2E4" w14:textId="77777777" w:rsidR="00861557" w:rsidRPr="00296D0C" w:rsidRDefault="00861557" w:rsidP="0077247E">
            <w:pPr>
              <w:rPr>
                <w:rFonts w:cs="Arial"/>
              </w:rPr>
            </w:pPr>
            <w:r w:rsidRPr="00296D0C">
              <w:rPr>
                <w:rFonts w:cs="Arial"/>
              </w:rPr>
              <w:t>Baseline</w:t>
            </w:r>
          </w:p>
        </w:tc>
        <w:tc>
          <w:tcPr>
            <w:tcW w:w="1531" w:type="dxa"/>
          </w:tcPr>
          <w:p w14:paraId="7BA5AA2B" w14:textId="77777777" w:rsidR="00861557" w:rsidRPr="00296D0C" w:rsidRDefault="00861557" w:rsidP="0077247E">
            <w:pPr>
              <w:rPr>
                <w:rFonts w:cs="Arial"/>
              </w:rPr>
            </w:pPr>
            <w:r w:rsidRPr="00296D0C">
              <w:rPr>
                <w:rFonts w:cs="Arial"/>
              </w:rPr>
              <w:t>HeLP</w:t>
            </w:r>
          </w:p>
          <w:p w14:paraId="1D7E2F8E" w14:textId="77777777" w:rsidR="00861557" w:rsidRPr="00296D0C" w:rsidRDefault="00861557" w:rsidP="0077247E">
            <w:pPr>
              <w:rPr>
                <w:rFonts w:cs="Arial"/>
              </w:rPr>
            </w:pPr>
            <w:r w:rsidRPr="00296D0C">
              <w:rPr>
                <w:rFonts w:cs="Arial"/>
              </w:rPr>
              <w:t>Treatment</w:t>
            </w:r>
          </w:p>
          <w:p w14:paraId="0CF31ED9" w14:textId="77777777" w:rsidR="00861557" w:rsidRPr="00296D0C" w:rsidRDefault="00861557" w:rsidP="0077247E">
            <w:pPr>
              <w:rPr>
                <w:rFonts w:cs="Arial"/>
              </w:rPr>
            </w:pPr>
            <w:r w:rsidRPr="00296D0C">
              <w:rPr>
                <w:rFonts w:cs="Arial"/>
              </w:rPr>
              <w:t>24-mths</w:t>
            </w:r>
          </w:p>
        </w:tc>
        <w:tc>
          <w:tcPr>
            <w:tcW w:w="1531" w:type="dxa"/>
          </w:tcPr>
          <w:p w14:paraId="65F33083" w14:textId="77777777" w:rsidR="00861557" w:rsidRPr="00296D0C" w:rsidRDefault="00861557" w:rsidP="0077247E">
            <w:pPr>
              <w:rPr>
                <w:rFonts w:cs="Arial"/>
              </w:rPr>
            </w:pPr>
            <w:r w:rsidRPr="00296D0C">
              <w:rPr>
                <w:rFonts w:cs="Arial"/>
              </w:rPr>
              <w:t>UP</w:t>
            </w:r>
          </w:p>
          <w:p w14:paraId="3D990EF2" w14:textId="77777777" w:rsidR="00861557" w:rsidRPr="00296D0C" w:rsidRDefault="00861557" w:rsidP="0077247E">
            <w:pPr>
              <w:rPr>
                <w:rFonts w:cs="Arial"/>
              </w:rPr>
            </w:pPr>
            <w:r w:rsidRPr="00296D0C">
              <w:rPr>
                <w:rFonts w:cs="Arial"/>
              </w:rPr>
              <w:t>Controls</w:t>
            </w:r>
          </w:p>
          <w:p w14:paraId="33DF2F55" w14:textId="77777777" w:rsidR="00861557" w:rsidRPr="00296D0C" w:rsidRDefault="00861557" w:rsidP="0077247E">
            <w:pPr>
              <w:rPr>
                <w:rFonts w:cs="Arial"/>
              </w:rPr>
            </w:pPr>
            <w:r w:rsidRPr="00296D0C">
              <w:rPr>
                <w:rFonts w:cs="Arial"/>
              </w:rPr>
              <w:t>Baseline</w:t>
            </w:r>
          </w:p>
        </w:tc>
        <w:tc>
          <w:tcPr>
            <w:tcW w:w="1531" w:type="dxa"/>
          </w:tcPr>
          <w:p w14:paraId="1427AC6B" w14:textId="77777777" w:rsidR="00861557" w:rsidRPr="00296D0C" w:rsidRDefault="00861557" w:rsidP="0077247E">
            <w:pPr>
              <w:rPr>
                <w:rFonts w:cs="Arial"/>
              </w:rPr>
            </w:pPr>
            <w:r w:rsidRPr="00296D0C">
              <w:rPr>
                <w:rFonts w:cs="Arial"/>
              </w:rPr>
              <w:t>UP</w:t>
            </w:r>
          </w:p>
          <w:p w14:paraId="510E44DC" w14:textId="77777777" w:rsidR="00861557" w:rsidRPr="00296D0C" w:rsidRDefault="00861557" w:rsidP="0077247E">
            <w:pPr>
              <w:rPr>
                <w:rFonts w:cs="Arial"/>
              </w:rPr>
            </w:pPr>
            <w:r w:rsidRPr="00296D0C">
              <w:rPr>
                <w:rFonts w:cs="Arial"/>
              </w:rPr>
              <w:t>Controls</w:t>
            </w:r>
          </w:p>
          <w:p w14:paraId="2B748A68" w14:textId="77777777" w:rsidR="00861557" w:rsidRPr="00296D0C" w:rsidRDefault="00861557" w:rsidP="0077247E">
            <w:pPr>
              <w:rPr>
                <w:rFonts w:cs="Arial"/>
              </w:rPr>
            </w:pPr>
            <w:r w:rsidRPr="00296D0C">
              <w:rPr>
                <w:rFonts w:cs="Arial"/>
              </w:rPr>
              <w:t>24-mths</w:t>
            </w:r>
          </w:p>
        </w:tc>
      </w:tr>
      <w:tr w:rsidR="00861557" w:rsidRPr="00296D0C" w14:paraId="2A1234A3" w14:textId="77777777" w:rsidTr="0077247E">
        <w:tc>
          <w:tcPr>
            <w:tcW w:w="2376" w:type="dxa"/>
          </w:tcPr>
          <w:p w14:paraId="4B9D2F33" w14:textId="77777777" w:rsidR="00861557" w:rsidRPr="00296D0C" w:rsidRDefault="00861557" w:rsidP="0077247E">
            <w:pPr>
              <w:spacing w:before="40" w:after="40"/>
              <w:rPr>
                <w:rFonts w:cs="Arial"/>
                <w:b/>
              </w:rPr>
            </w:pPr>
            <w:r w:rsidRPr="00296D0C">
              <w:rPr>
                <w:rFonts w:cs="Arial"/>
                <w:b/>
              </w:rPr>
              <w:t>BMI centile category (Power et al, 1997)*</w:t>
            </w:r>
          </w:p>
        </w:tc>
        <w:tc>
          <w:tcPr>
            <w:tcW w:w="1531" w:type="dxa"/>
          </w:tcPr>
          <w:p w14:paraId="68289CFA" w14:textId="77777777" w:rsidR="00861557" w:rsidRPr="00296D0C" w:rsidRDefault="00861557" w:rsidP="0077247E">
            <w:pPr>
              <w:rPr>
                <w:rFonts w:cs="Arial"/>
              </w:rPr>
            </w:pPr>
          </w:p>
        </w:tc>
        <w:tc>
          <w:tcPr>
            <w:tcW w:w="1531" w:type="dxa"/>
          </w:tcPr>
          <w:p w14:paraId="791B20C6" w14:textId="77777777" w:rsidR="00861557" w:rsidRPr="00296D0C" w:rsidRDefault="00861557" w:rsidP="0077247E">
            <w:pPr>
              <w:rPr>
                <w:rFonts w:cs="Arial"/>
              </w:rPr>
            </w:pPr>
          </w:p>
        </w:tc>
        <w:tc>
          <w:tcPr>
            <w:tcW w:w="1531" w:type="dxa"/>
          </w:tcPr>
          <w:p w14:paraId="20C532BC" w14:textId="77777777" w:rsidR="00861557" w:rsidRPr="00296D0C" w:rsidRDefault="00861557" w:rsidP="0077247E">
            <w:pPr>
              <w:rPr>
                <w:rFonts w:cs="Arial"/>
              </w:rPr>
            </w:pPr>
          </w:p>
        </w:tc>
        <w:tc>
          <w:tcPr>
            <w:tcW w:w="1531" w:type="dxa"/>
          </w:tcPr>
          <w:p w14:paraId="483811DD" w14:textId="77777777" w:rsidR="00861557" w:rsidRPr="00296D0C" w:rsidRDefault="00861557" w:rsidP="0077247E">
            <w:pPr>
              <w:rPr>
                <w:rFonts w:cs="Arial"/>
              </w:rPr>
            </w:pPr>
          </w:p>
        </w:tc>
      </w:tr>
      <w:tr w:rsidR="00861557" w:rsidRPr="00296D0C" w14:paraId="552A0858" w14:textId="77777777" w:rsidTr="0077247E">
        <w:tc>
          <w:tcPr>
            <w:tcW w:w="2376" w:type="dxa"/>
          </w:tcPr>
          <w:p w14:paraId="177A1387" w14:textId="77777777" w:rsidR="00861557" w:rsidRPr="00296D0C" w:rsidRDefault="00861557" w:rsidP="0077247E">
            <w:pPr>
              <w:spacing w:after="60"/>
              <w:rPr>
                <w:rFonts w:cs="Arial"/>
              </w:rPr>
            </w:pPr>
            <w:r w:rsidRPr="00296D0C">
              <w:rPr>
                <w:rFonts w:cs="Arial"/>
              </w:rPr>
              <w:t>≤91</w:t>
            </w:r>
            <w:r w:rsidRPr="00296D0C">
              <w:rPr>
                <w:rFonts w:cs="Arial"/>
                <w:vertAlign w:val="superscript"/>
              </w:rPr>
              <w:t>st</w:t>
            </w:r>
          </w:p>
        </w:tc>
        <w:tc>
          <w:tcPr>
            <w:tcW w:w="1531" w:type="dxa"/>
          </w:tcPr>
          <w:p w14:paraId="414BF25E" w14:textId="77777777" w:rsidR="00861557" w:rsidRPr="00296D0C" w:rsidRDefault="00861557" w:rsidP="0077247E">
            <w:pPr>
              <w:spacing w:after="60"/>
              <w:rPr>
                <w:rFonts w:cs="Arial"/>
              </w:rPr>
            </w:pPr>
            <w:r w:rsidRPr="00296D0C">
              <w:rPr>
                <w:rFonts w:cs="Arial"/>
              </w:rPr>
              <w:t>80.42%</w:t>
            </w:r>
          </w:p>
        </w:tc>
        <w:tc>
          <w:tcPr>
            <w:tcW w:w="1531" w:type="dxa"/>
          </w:tcPr>
          <w:p w14:paraId="199DCF33" w14:textId="77777777" w:rsidR="00861557" w:rsidRPr="00296D0C" w:rsidRDefault="00861557" w:rsidP="0077247E">
            <w:pPr>
              <w:spacing w:after="60"/>
              <w:rPr>
                <w:rFonts w:cs="Arial"/>
              </w:rPr>
            </w:pPr>
            <w:r w:rsidRPr="00296D0C">
              <w:rPr>
                <w:rFonts w:cs="Arial"/>
              </w:rPr>
              <w:t>76.51%</w:t>
            </w:r>
          </w:p>
        </w:tc>
        <w:tc>
          <w:tcPr>
            <w:tcW w:w="1531" w:type="dxa"/>
          </w:tcPr>
          <w:p w14:paraId="5622A334" w14:textId="77777777" w:rsidR="00861557" w:rsidRPr="00296D0C" w:rsidRDefault="00861557" w:rsidP="0077247E">
            <w:pPr>
              <w:spacing w:after="60"/>
              <w:rPr>
                <w:rFonts w:cs="Arial"/>
              </w:rPr>
            </w:pPr>
            <w:r w:rsidRPr="00296D0C">
              <w:rPr>
                <w:rFonts w:cs="Arial"/>
              </w:rPr>
              <w:t>82.27%</w:t>
            </w:r>
          </w:p>
        </w:tc>
        <w:tc>
          <w:tcPr>
            <w:tcW w:w="1531" w:type="dxa"/>
          </w:tcPr>
          <w:p w14:paraId="09DBED44" w14:textId="77777777" w:rsidR="00861557" w:rsidRPr="00296D0C" w:rsidRDefault="00861557" w:rsidP="0077247E">
            <w:pPr>
              <w:spacing w:after="60"/>
              <w:rPr>
                <w:rFonts w:cs="Arial"/>
              </w:rPr>
            </w:pPr>
            <w:r w:rsidRPr="00296D0C">
              <w:rPr>
                <w:rFonts w:cs="Arial"/>
              </w:rPr>
              <w:t>80.32%</w:t>
            </w:r>
          </w:p>
        </w:tc>
      </w:tr>
      <w:tr w:rsidR="00861557" w:rsidRPr="00296D0C" w14:paraId="6E9BF8D3" w14:textId="77777777" w:rsidTr="0077247E">
        <w:tc>
          <w:tcPr>
            <w:tcW w:w="2376" w:type="dxa"/>
          </w:tcPr>
          <w:p w14:paraId="488EEC1D" w14:textId="77777777" w:rsidR="00861557" w:rsidRPr="00296D0C" w:rsidRDefault="00861557" w:rsidP="0077247E">
            <w:pPr>
              <w:spacing w:after="60"/>
              <w:rPr>
                <w:rFonts w:cs="Arial"/>
              </w:rPr>
            </w:pPr>
            <w:r w:rsidRPr="00296D0C">
              <w:rPr>
                <w:rFonts w:cs="Arial"/>
              </w:rPr>
              <w:t>&gt;91</w:t>
            </w:r>
            <w:r w:rsidRPr="00296D0C">
              <w:rPr>
                <w:rFonts w:cs="Arial"/>
                <w:vertAlign w:val="superscript"/>
              </w:rPr>
              <w:t>st</w:t>
            </w:r>
            <w:r w:rsidRPr="00296D0C">
              <w:rPr>
                <w:rFonts w:cs="Arial"/>
              </w:rPr>
              <w:t xml:space="preserve"> to ≤95</w:t>
            </w:r>
            <w:r w:rsidRPr="00296D0C">
              <w:rPr>
                <w:rFonts w:cs="Arial"/>
                <w:vertAlign w:val="superscript"/>
              </w:rPr>
              <w:t>th</w:t>
            </w:r>
          </w:p>
        </w:tc>
        <w:tc>
          <w:tcPr>
            <w:tcW w:w="1531" w:type="dxa"/>
          </w:tcPr>
          <w:p w14:paraId="2E04EDB4" w14:textId="77777777" w:rsidR="00861557" w:rsidRPr="00296D0C" w:rsidRDefault="00861557" w:rsidP="0077247E">
            <w:pPr>
              <w:spacing w:after="60"/>
              <w:rPr>
                <w:rFonts w:cs="Arial"/>
              </w:rPr>
            </w:pPr>
            <w:r w:rsidRPr="00296D0C">
              <w:rPr>
                <w:rFonts w:cs="Arial"/>
              </w:rPr>
              <w:t>4.93%</w:t>
            </w:r>
          </w:p>
        </w:tc>
        <w:tc>
          <w:tcPr>
            <w:tcW w:w="1531" w:type="dxa"/>
          </w:tcPr>
          <w:p w14:paraId="0E1FCBB7" w14:textId="77777777" w:rsidR="00861557" w:rsidRPr="00296D0C" w:rsidRDefault="00861557" w:rsidP="0077247E">
            <w:pPr>
              <w:spacing w:after="60"/>
              <w:rPr>
                <w:rFonts w:cs="Arial"/>
              </w:rPr>
            </w:pPr>
            <w:r w:rsidRPr="00296D0C">
              <w:rPr>
                <w:rFonts w:cs="Arial"/>
              </w:rPr>
              <w:t>6.83%</w:t>
            </w:r>
          </w:p>
        </w:tc>
        <w:tc>
          <w:tcPr>
            <w:tcW w:w="1531" w:type="dxa"/>
          </w:tcPr>
          <w:p w14:paraId="74D6DD3B" w14:textId="77777777" w:rsidR="00861557" w:rsidRPr="00296D0C" w:rsidRDefault="00861557" w:rsidP="0077247E">
            <w:pPr>
              <w:spacing w:after="60"/>
              <w:rPr>
                <w:rFonts w:cs="Arial"/>
              </w:rPr>
            </w:pPr>
            <w:r w:rsidRPr="00296D0C">
              <w:rPr>
                <w:rFonts w:cs="Arial"/>
              </w:rPr>
              <w:t>5.13%</w:t>
            </w:r>
          </w:p>
        </w:tc>
        <w:tc>
          <w:tcPr>
            <w:tcW w:w="1531" w:type="dxa"/>
          </w:tcPr>
          <w:p w14:paraId="71F211A6" w14:textId="77777777" w:rsidR="00861557" w:rsidRPr="00296D0C" w:rsidRDefault="00861557" w:rsidP="0077247E">
            <w:pPr>
              <w:spacing w:after="60"/>
              <w:rPr>
                <w:rFonts w:cs="Arial"/>
              </w:rPr>
            </w:pPr>
            <w:r w:rsidRPr="00296D0C">
              <w:rPr>
                <w:rFonts w:cs="Arial"/>
              </w:rPr>
              <w:t>6.61%</w:t>
            </w:r>
          </w:p>
        </w:tc>
      </w:tr>
      <w:tr w:rsidR="00861557" w:rsidRPr="00296D0C" w14:paraId="008839CB" w14:textId="77777777" w:rsidTr="0077247E">
        <w:tc>
          <w:tcPr>
            <w:tcW w:w="2376" w:type="dxa"/>
          </w:tcPr>
          <w:p w14:paraId="70A5A9AA" w14:textId="77777777" w:rsidR="00861557" w:rsidRPr="00296D0C" w:rsidRDefault="00861557" w:rsidP="0077247E">
            <w:pPr>
              <w:spacing w:after="60"/>
              <w:rPr>
                <w:rFonts w:cs="Arial"/>
              </w:rPr>
            </w:pPr>
            <w:r w:rsidRPr="00296D0C">
              <w:rPr>
                <w:rFonts w:cs="Arial"/>
              </w:rPr>
              <w:t>&gt;95</w:t>
            </w:r>
            <w:r w:rsidRPr="00296D0C">
              <w:rPr>
                <w:rFonts w:cs="Arial"/>
                <w:vertAlign w:val="superscript"/>
              </w:rPr>
              <w:t>th</w:t>
            </w:r>
            <w:r w:rsidRPr="00296D0C">
              <w:rPr>
                <w:rFonts w:cs="Arial"/>
              </w:rPr>
              <w:t xml:space="preserve"> to ≤98</w:t>
            </w:r>
            <w:r w:rsidRPr="00296D0C">
              <w:rPr>
                <w:rFonts w:cs="Arial"/>
                <w:vertAlign w:val="superscript"/>
              </w:rPr>
              <w:t>th</w:t>
            </w:r>
          </w:p>
        </w:tc>
        <w:tc>
          <w:tcPr>
            <w:tcW w:w="1531" w:type="dxa"/>
          </w:tcPr>
          <w:p w14:paraId="1E6AD812" w14:textId="77777777" w:rsidR="00861557" w:rsidRPr="00296D0C" w:rsidRDefault="00861557" w:rsidP="0077247E">
            <w:pPr>
              <w:spacing w:after="60"/>
              <w:rPr>
                <w:rFonts w:cs="Arial"/>
              </w:rPr>
            </w:pPr>
            <w:r w:rsidRPr="00296D0C">
              <w:rPr>
                <w:rFonts w:cs="Arial"/>
              </w:rPr>
              <w:t>6.28%</w:t>
            </w:r>
          </w:p>
        </w:tc>
        <w:tc>
          <w:tcPr>
            <w:tcW w:w="1531" w:type="dxa"/>
          </w:tcPr>
          <w:p w14:paraId="03EFE104" w14:textId="77777777" w:rsidR="00861557" w:rsidRPr="00296D0C" w:rsidRDefault="00861557" w:rsidP="0077247E">
            <w:pPr>
              <w:spacing w:after="60"/>
              <w:rPr>
                <w:rFonts w:cs="Arial"/>
              </w:rPr>
            </w:pPr>
            <w:r w:rsidRPr="00296D0C">
              <w:rPr>
                <w:rFonts w:cs="Arial"/>
              </w:rPr>
              <w:t>7.46%</w:t>
            </w:r>
          </w:p>
        </w:tc>
        <w:tc>
          <w:tcPr>
            <w:tcW w:w="1531" w:type="dxa"/>
          </w:tcPr>
          <w:p w14:paraId="24980BF4" w14:textId="77777777" w:rsidR="00861557" w:rsidRPr="00296D0C" w:rsidRDefault="00861557" w:rsidP="0077247E">
            <w:pPr>
              <w:spacing w:after="60"/>
              <w:rPr>
                <w:rFonts w:cs="Arial"/>
              </w:rPr>
            </w:pPr>
            <w:r w:rsidRPr="00296D0C">
              <w:rPr>
                <w:rFonts w:cs="Arial"/>
              </w:rPr>
              <w:t>6.38%</w:t>
            </w:r>
          </w:p>
        </w:tc>
        <w:tc>
          <w:tcPr>
            <w:tcW w:w="1531" w:type="dxa"/>
          </w:tcPr>
          <w:p w14:paraId="780F5DA3" w14:textId="77777777" w:rsidR="00861557" w:rsidRPr="00296D0C" w:rsidRDefault="00861557" w:rsidP="0077247E">
            <w:pPr>
              <w:spacing w:after="60"/>
              <w:rPr>
                <w:rFonts w:cs="Arial"/>
              </w:rPr>
            </w:pPr>
            <w:r w:rsidRPr="00296D0C">
              <w:rPr>
                <w:rFonts w:cs="Arial"/>
              </w:rPr>
              <w:t>4.84%</w:t>
            </w:r>
          </w:p>
        </w:tc>
      </w:tr>
      <w:tr w:rsidR="00861557" w:rsidRPr="00296D0C" w14:paraId="061762DA" w14:textId="77777777" w:rsidTr="0077247E">
        <w:tc>
          <w:tcPr>
            <w:tcW w:w="2376" w:type="dxa"/>
          </w:tcPr>
          <w:p w14:paraId="051DD2BA" w14:textId="77777777" w:rsidR="00861557" w:rsidRPr="00296D0C" w:rsidRDefault="00861557" w:rsidP="0077247E">
            <w:pPr>
              <w:spacing w:after="60"/>
              <w:rPr>
                <w:rFonts w:cs="Arial"/>
              </w:rPr>
            </w:pPr>
            <w:r w:rsidRPr="00296D0C">
              <w:rPr>
                <w:rFonts w:cs="Arial"/>
              </w:rPr>
              <w:t>&gt;98th</w:t>
            </w:r>
          </w:p>
        </w:tc>
        <w:tc>
          <w:tcPr>
            <w:tcW w:w="1531" w:type="dxa"/>
          </w:tcPr>
          <w:p w14:paraId="6429E2F7" w14:textId="77777777" w:rsidR="00861557" w:rsidRPr="00296D0C" w:rsidRDefault="00861557" w:rsidP="0077247E">
            <w:pPr>
              <w:spacing w:after="60"/>
              <w:rPr>
                <w:rFonts w:cs="Arial"/>
              </w:rPr>
            </w:pPr>
            <w:r w:rsidRPr="00296D0C">
              <w:rPr>
                <w:rFonts w:cs="Arial"/>
              </w:rPr>
              <w:t>8.37%</w:t>
            </w:r>
          </w:p>
        </w:tc>
        <w:tc>
          <w:tcPr>
            <w:tcW w:w="1531" w:type="dxa"/>
          </w:tcPr>
          <w:p w14:paraId="35F50850" w14:textId="77777777" w:rsidR="00861557" w:rsidRPr="00296D0C" w:rsidRDefault="00861557" w:rsidP="0077247E">
            <w:pPr>
              <w:spacing w:after="60"/>
              <w:rPr>
                <w:rFonts w:cs="Arial"/>
              </w:rPr>
            </w:pPr>
            <w:r w:rsidRPr="00296D0C">
              <w:rPr>
                <w:rFonts w:cs="Arial"/>
              </w:rPr>
              <w:t>9.21%</w:t>
            </w:r>
          </w:p>
        </w:tc>
        <w:tc>
          <w:tcPr>
            <w:tcW w:w="1531" w:type="dxa"/>
          </w:tcPr>
          <w:p w14:paraId="144CB2D7" w14:textId="77777777" w:rsidR="00861557" w:rsidRPr="00296D0C" w:rsidRDefault="00861557" w:rsidP="0077247E">
            <w:pPr>
              <w:spacing w:after="60"/>
              <w:rPr>
                <w:rFonts w:cs="Arial"/>
              </w:rPr>
            </w:pPr>
            <w:r w:rsidRPr="00296D0C">
              <w:rPr>
                <w:rFonts w:cs="Arial"/>
              </w:rPr>
              <w:t>6.22%</w:t>
            </w:r>
          </w:p>
        </w:tc>
        <w:tc>
          <w:tcPr>
            <w:tcW w:w="1531" w:type="dxa"/>
          </w:tcPr>
          <w:p w14:paraId="5D75AA69" w14:textId="77777777" w:rsidR="00861557" w:rsidRPr="00296D0C" w:rsidRDefault="00861557" w:rsidP="0077247E">
            <w:pPr>
              <w:spacing w:after="60"/>
              <w:rPr>
                <w:rFonts w:cs="Arial"/>
              </w:rPr>
            </w:pPr>
            <w:r w:rsidRPr="00296D0C">
              <w:rPr>
                <w:rFonts w:cs="Arial"/>
              </w:rPr>
              <w:t>8.23%</w:t>
            </w:r>
          </w:p>
        </w:tc>
      </w:tr>
      <w:tr w:rsidR="00861557" w:rsidRPr="00296D0C" w14:paraId="78443640" w14:textId="77777777" w:rsidTr="0077247E">
        <w:tc>
          <w:tcPr>
            <w:tcW w:w="2376" w:type="dxa"/>
          </w:tcPr>
          <w:p w14:paraId="4A37FD77" w14:textId="77777777" w:rsidR="00861557" w:rsidRPr="00296D0C" w:rsidRDefault="00861557" w:rsidP="0077247E">
            <w:pPr>
              <w:spacing w:before="40" w:after="60"/>
              <w:rPr>
                <w:rFonts w:cs="Arial"/>
                <w:b/>
              </w:rPr>
            </w:pPr>
            <w:r w:rsidRPr="00296D0C">
              <w:rPr>
                <w:rFonts w:cs="Arial"/>
                <w:b/>
              </w:rPr>
              <w:t>Adult Weight Status: **</w:t>
            </w:r>
          </w:p>
        </w:tc>
        <w:tc>
          <w:tcPr>
            <w:tcW w:w="1531" w:type="dxa"/>
          </w:tcPr>
          <w:p w14:paraId="6103A7E1" w14:textId="77777777" w:rsidR="00861557" w:rsidRPr="00296D0C" w:rsidRDefault="00861557" w:rsidP="0077247E">
            <w:pPr>
              <w:spacing w:after="60"/>
              <w:rPr>
                <w:rFonts w:cs="Arial"/>
              </w:rPr>
            </w:pPr>
          </w:p>
        </w:tc>
        <w:tc>
          <w:tcPr>
            <w:tcW w:w="1531" w:type="dxa"/>
          </w:tcPr>
          <w:p w14:paraId="644C40EC" w14:textId="77777777" w:rsidR="00861557" w:rsidRPr="00296D0C" w:rsidRDefault="00861557" w:rsidP="0077247E">
            <w:pPr>
              <w:spacing w:after="60"/>
              <w:rPr>
                <w:rFonts w:cs="Arial"/>
              </w:rPr>
            </w:pPr>
          </w:p>
        </w:tc>
        <w:tc>
          <w:tcPr>
            <w:tcW w:w="1531" w:type="dxa"/>
          </w:tcPr>
          <w:p w14:paraId="5C6383EF" w14:textId="77777777" w:rsidR="00861557" w:rsidRPr="00296D0C" w:rsidRDefault="00861557" w:rsidP="0077247E">
            <w:pPr>
              <w:spacing w:after="60"/>
              <w:rPr>
                <w:rFonts w:cs="Arial"/>
              </w:rPr>
            </w:pPr>
          </w:p>
        </w:tc>
        <w:tc>
          <w:tcPr>
            <w:tcW w:w="1531" w:type="dxa"/>
          </w:tcPr>
          <w:p w14:paraId="70C95EBC" w14:textId="77777777" w:rsidR="00861557" w:rsidRPr="00296D0C" w:rsidRDefault="00861557" w:rsidP="0077247E">
            <w:pPr>
              <w:spacing w:after="60"/>
              <w:rPr>
                <w:rFonts w:cs="Arial"/>
              </w:rPr>
            </w:pPr>
          </w:p>
        </w:tc>
      </w:tr>
      <w:tr w:rsidR="00861557" w:rsidRPr="00296D0C" w14:paraId="2331C9E7" w14:textId="77777777" w:rsidTr="0077247E">
        <w:tc>
          <w:tcPr>
            <w:tcW w:w="2376" w:type="dxa"/>
          </w:tcPr>
          <w:p w14:paraId="6BE21B13" w14:textId="77777777" w:rsidR="00861557" w:rsidRPr="00296D0C" w:rsidRDefault="00861557" w:rsidP="0077247E">
            <w:pPr>
              <w:spacing w:after="60"/>
              <w:rPr>
                <w:rFonts w:cs="Arial"/>
              </w:rPr>
            </w:pPr>
            <w:r w:rsidRPr="00296D0C">
              <w:rPr>
                <w:rFonts w:cs="Arial"/>
              </w:rPr>
              <w:t>Healthy weight</w:t>
            </w:r>
          </w:p>
        </w:tc>
        <w:tc>
          <w:tcPr>
            <w:tcW w:w="1531" w:type="dxa"/>
          </w:tcPr>
          <w:p w14:paraId="5C35A269" w14:textId="77777777" w:rsidR="00861557" w:rsidRPr="00296D0C" w:rsidRDefault="00861557" w:rsidP="0077247E">
            <w:pPr>
              <w:spacing w:after="60"/>
              <w:rPr>
                <w:rFonts w:cs="Arial"/>
              </w:rPr>
            </w:pPr>
            <w:r w:rsidRPr="00296D0C">
              <w:rPr>
                <w:rFonts w:cs="Arial"/>
              </w:rPr>
              <w:t>N/A</w:t>
            </w:r>
          </w:p>
        </w:tc>
        <w:tc>
          <w:tcPr>
            <w:tcW w:w="1531" w:type="dxa"/>
          </w:tcPr>
          <w:p w14:paraId="10A46F63" w14:textId="77777777" w:rsidR="00861557" w:rsidRPr="00296D0C" w:rsidRDefault="00861557" w:rsidP="0077247E">
            <w:pPr>
              <w:spacing w:after="60"/>
              <w:rPr>
                <w:rFonts w:cs="Arial"/>
              </w:rPr>
            </w:pPr>
            <w:r w:rsidRPr="00296D0C">
              <w:rPr>
                <w:rFonts w:cs="Arial"/>
              </w:rPr>
              <w:t>49.87%</w:t>
            </w:r>
          </w:p>
        </w:tc>
        <w:tc>
          <w:tcPr>
            <w:tcW w:w="1531" w:type="dxa"/>
          </w:tcPr>
          <w:p w14:paraId="0F51E942" w14:textId="77777777" w:rsidR="00861557" w:rsidRPr="00296D0C" w:rsidRDefault="00861557" w:rsidP="0077247E">
            <w:pPr>
              <w:spacing w:after="60"/>
            </w:pPr>
            <w:r w:rsidRPr="00296D0C">
              <w:rPr>
                <w:rFonts w:cs="Arial"/>
              </w:rPr>
              <w:t>N/A</w:t>
            </w:r>
          </w:p>
        </w:tc>
        <w:tc>
          <w:tcPr>
            <w:tcW w:w="1531" w:type="dxa"/>
          </w:tcPr>
          <w:p w14:paraId="546E369B" w14:textId="77777777" w:rsidR="00861557" w:rsidRPr="00296D0C" w:rsidRDefault="00861557" w:rsidP="0077247E">
            <w:pPr>
              <w:spacing w:after="60"/>
              <w:rPr>
                <w:rFonts w:cs="Arial"/>
              </w:rPr>
            </w:pPr>
            <w:r w:rsidRPr="00296D0C">
              <w:rPr>
                <w:rFonts w:cs="Arial"/>
              </w:rPr>
              <w:t>51.37%</w:t>
            </w:r>
          </w:p>
        </w:tc>
      </w:tr>
      <w:tr w:rsidR="00861557" w:rsidRPr="00296D0C" w14:paraId="3ADC3EFF" w14:textId="77777777" w:rsidTr="0077247E">
        <w:tc>
          <w:tcPr>
            <w:tcW w:w="2376" w:type="dxa"/>
          </w:tcPr>
          <w:p w14:paraId="481B647B" w14:textId="77777777" w:rsidR="00861557" w:rsidRPr="00296D0C" w:rsidRDefault="00861557" w:rsidP="0077247E">
            <w:pPr>
              <w:spacing w:after="60"/>
              <w:rPr>
                <w:rFonts w:cs="Arial"/>
              </w:rPr>
            </w:pPr>
            <w:r w:rsidRPr="00296D0C">
              <w:rPr>
                <w:rFonts w:cs="Arial"/>
              </w:rPr>
              <w:t>Overweight</w:t>
            </w:r>
          </w:p>
        </w:tc>
        <w:tc>
          <w:tcPr>
            <w:tcW w:w="1531" w:type="dxa"/>
          </w:tcPr>
          <w:p w14:paraId="5DEA9A0C" w14:textId="77777777" w:rsidR="00861557" w:rsidRPr="00296D0C" w:rsidRDefault="00861557" w:rsidP="0077247E">
            <w:pPr>
              <w:spacing w:after="60"/>
            </w:pPr>
            <w:r w:rsidRPr="00296D0C">
              <w:rPr>
                <w:rFonts w:cs="Arial"/>
              </w:rPr>
              <w:t>N/A</w:t>
            </w:r>
          </w:p>
        </w:tc>
        <w:tc>
          <w:tcPr>
            <w:tcW w:w="1531" w:type="dxa"/>
          </w:tcPr>
          <w:p w14:paraId="0C24B69F" w14:textId="77777777" w:rsidR="00861557" w:rsidRPr="00296D0C" w:rsidRDefault="00861557" w:rsidP="0077247E">
            <w:pPr>
              <w:spacing w:after="60"/>
              <w:rPr>
                <w:rFonts w:cs="Arial"/>
              </w:rPr>
            </w:pPr>
            <w:r w:rsidRPr="00296D0C">
              <w:rPr>
                <w:rFonts w:cs="Arial"/>
              </w:rPr>
              <w:t>33.31%</w:t>
            </w:r>
          </w:p>
        </w:tc>
        <w:tc>
          <w:tcPr>
            <w:tcW w:w="1531" w:type="dxa"/>
          </w:tcPr>
          <w:p w14:paraId="777EB9B1" w14:textId="77777777" w:rsidR="00861557" w:rsidRPr="00296D0C" w:rsidRDefault="00861557" w:rsidP="0077247E">
            <w:pPr>
              <w:spacing w:after="60"/>
            </w:pPr>
            <w:r w:rsidRPr="00296D0C">
              <w:rPr>
                <w:rFonts w:cs="Arial"/>
              </w:rPr>
              <w:t>N/A</w:t>
            </w:r>
          </w:p>
        </w:tc>
        <w:tc>
          <w:tcPr>
            <w:tcW w:w="1531" w:type="dxa"/>
          </w:tcPr>
          <w:p w14:paraId="53A6A386" w14:textId="77777777" w:rsidR="00861557" w:rsidRPr="00296D0C" w:rsidRDefault="00861557" w:rsidP="0077247E">
            <w:pPr>
              <w:spacing w:after="60"/>
              <w:rPr>
                <w:rFonts w:cs="Arial"/>
              </w:rPr>
            </w:pPr>
            <w:r w:rsidRPr="00296D0C">
              <w:rPr>
                <w:rFonts w:cs="Arial"/>
              </w:rPr>
              <w:t>33.14%</w:t>
            </w:r>
          </w:p>
        </w:tc>
      </w:tr>
      <w:tr w:rsidR="00861557" w:rsidRPr="00296D0C" w14:paraId="3B76F6E6" w14:textId="77777777" w:rsidTr="0077247E">
        <w:tc>
          <w:tcPr>
            <w:tcW w:w="2376" w:type="dxa"/>
          </w:tcPr>
          <w:p w14:paraId="2E698505" w14:textId="77777777" w:rsidR="00861557" w:rsidRPr="00296D0C" w:rsidRDefault="00861557" w:rsidP="0077247E">
            <w:pPr>
              <w:spacing w:after="60"/>
              <w:rPr>
                <w:rFonts w:cs="Arial"/>
              </w:rPr>
            </w:pPr>
            <w:r w:rsidRPr="00296D0C">
              <w:rPr>
                <w:rFonts w:cs="Arial"/>
              </w:rPr>
              <w:t>Obese</w:t>
            </w:r>
          </w:p>
        </w:tc>
        <w:tc>
          <w:tcPr>
            <w:tcW w:w="1531" w:type="dxa"/>
          </w:tcPr>
          <w:p w14:paraId="2120D621" w14:textId="77777777" w:rsidR="00861557" w:rsidRPr="00296D0C" w:rsidRDefault="00861557" w:rsidP="0077247E">
            <w:pPr>
              <w:spacing w:after="60"/>
            </w:pPr>
            <w:r w:rsidRPr="00296D0C">
              <w:rPr>
                <w:rFonts w:cs="Arial"/>
              </w:rPr>
              <w:t>N/A</w:t>
            </w:r>
          </w:p>
        </w:tc>
        <w:tc>
          <w:tcPr>
            <w:tcW w:w="1531" w:type="dxa"/>
          </w:tcPr>
          <w:p w14:paraId="03C36424" w14:textId="77777777" w:rsidR="00861557" w:rsidRPr="00296D0C" w:rsidRDefault="00861557" w:rsidP="0077247E">
            <w:pPr>
              <w:spacing w:after="60"/>
              <w:rPr>
                <w:rFonts w:cs="Arial"/>
              </w:rPr>
            </w:pPr>
            <w:r w:rsidRPr="00296D0C">
              <w:rPr>
                <w:rFonts w:cs="Arial"/>
              </w:rPr>
              <w:t>16.82%</w:t>
            </w:r>
          </w:p>
        </w:tc>
        <w:tc>
          <w:tcPr>
            <w:tcW w:w="1531" w:type="dxa"/>
          </w:tcPr>
          <w:p w14:paraId="79E57CBC" w14:textId="77777777" w:rsidR="00861557" w:rsidRPr="00296D0C" w:rsidRDefault="00861557" w:rsidP="0077247E">
            <w:pPr>
              <w:spacing w:after="60"/>
            </w:pPr>
            <w:r w:rsidRPr="00296D0C">
              <w:rPr>
                <w:rFonts w:cs="Arial"/>
              </w:rPr>
              <w:t>N/A</w:t>
            </w:r>
          </w:p>
        </w:tc>
        <w:tc>
          <w:tcPr>
            <w:tcW w:w="1531" w:type="dxa"/>
          </w:tcPr>
          <w:p w14:paraId="73EF3952" w14:textId="77777777" w:rsidR="00861557" w:rsidRPr="00296D0C" w:rsidRDefault="00861557" w:rsidP="0077247E">
            <w:pPr>
              <w:spacing w:after="60"/>
              <w:rPr>
                <w:rFonts w:cs="Arial"/>
              </w:rPr>
            </w:pPr>
            <w:r w:rsidRPr="00296D0C">
              <w:rPr>
                <w:rFonts w:cs="Arial"/>
              </w:rPr>
              <w:t>15.48%</w:t>
            </w:r>
          </w:p>
        </w:tc>
      </w:tr>
    </w:tbl>
    <w:p w14:paraId="5DEAB5FC" w14:textId="77777777" w:rsidR="00861557" w:rsidRPr="00296D0C" w:rsidRDefault="00861557" w:rsidP="00861557">
      <w:pPr>
        <w:spacing w:after="0" w:line="240" w:lineRule="auto"/>
        <w:rPr>
          <w:rFonts w:cs="Arial"/>
        </w:rPr>
      </w:pPr>
      <w:r w:rsidRPr="00296D0C">
        <w:rPr>
          <w:rFonts w:cs="Arial"/>
        </w:rPr>
        <w:t>* source:  HeLP RCT, ITT participants</w:t>
      </w:r>
    </w:p>
    <w:p w14:paraId="10547BFC" w14:textId="61BD06BB" w:rsidR="00861557" w:rsidRPr="00296D0C" w:rsidRDefault="00861557" w:rsidP="00861557">
      <w:pPr>
        <w:spacing w:after="0" w:line="240" w:lineRule="auto"/>
        <w:rPr>
          <w:rFonts w:cs="Arial"/>
        </w:rPr>
      </w:pPr>
      <w:r w:rsidRPr="00296D0C">
        <w:rPr>
          <w:rFonts w:cs="Arial"/>
        </w:rPr>
        <w:t>** predictions using data from Power et al</w:t>
      </w:r>
      <w:r w:rsidR="004878D6" w:rsidRPr="00296D0C">
        <w:rPr>
          <w:rFonts w:cs="Arial"/>
        </w:rPr>
        <w:t>.,</w:t>
      </w:r>
      <w:r w:rsidR="000B31E9" w:rsidRPr="00296D0C">
        <w:rPr>
          <w:rFonts w:cs="Arial"/>
        </w:rPr>
        <w:t xml:space="preserve"> </w:t>
      </w:r>
      <w:r w:rsidRPr="00296D0C">
        <w:rPr>
          <w:rFonts w:cs="Arial"/>
        </w:rPr>
        <w:t>1997</w:t>
      </w:r>
      <w:r w:rsidR="00A52645" w:rsidRPr="00296D0C">
        <w:rPr>
          <w:rFonts w:cs="Arial"/>
        </w:rPr>
        <w:t xml:space="preserve"> </w:t>
      </w:r>
      <w:r w:rsidR="004B1882" w:rsidRPr="00296D0C">
        <w:rPr>
          <w:rFonts w:cs="Arial"/>
        </w:rPr>
        <w:fldChar w:fldCharType="begin"/>
      </w:r>
      <w:r w:rsidR="008C43BF">
        <w:rPr>
          <w:rFonts w:cs="Arial"/>
        </w:rPr>
        <w:instrText xml:space="preserve"> ADDIN EN.CITE &lt;EndNote&gt;&lt;Cite&gt;&lt;Author&gt;Power&lt;/Author&gt;&lt;Year&gt;1997&lt;/Year&gt;&lt;RecNum&gt;3572&lt;/RecNum&gt;&lt;DisplayText&gt;&lt;style face="superscript"&gt;120&lt;/style&gt;&lt;/DisplayText&gt;&lt;record&gt;&lt;rec-number&gt;3572&lt;/rec-number&gt;&lt;foreign-keys&gt;&lt;key app="EN" db-id="2ewa9rrvjsdsawep2vpx5x97eedzzvxx5rta" timestamp="0"&gt;3572&lt;/key&gt;&lt;/foreign-keys&gt;&lt;ref-type name="Journal Article"&gt;17&lt;/ref-type&gt;&lt;contributors&gt;&lt;authors&gt;&lt;author&gt;Power, C., &lt;/author&gt;&lt;author&gt;Lake, J.K., &lt;/author&gt;&lt;author&gt;Cole, T.J.&lt;/author&gt;&lt;/authors&gt;&lt;/contributors&gt;&lt;titles&gt;&lt;title&gt;Body mass index and height from childhood to adulthood in the 1958 British born cohort&lt;/title&gt;&lt;secondary-title&gt;American Journal of Clinical Nutrition&lt;/secondary-title&gt;&lt;/titles&gt;&lt;periodical&gt;&lt;full-title&gt;American Journal of Clinical Nutrition&lt;/full-title&gt;&lt;abbr-1&gt;Am. J. Clin. Nutr.&lt;/abbr-1&gt;&lt;abbr-2&gt;Am J Clin Nutr&lt;/abbr-2&gt;&lt;/periodical&gt;&lt;pages&gt;1094-101&lt;/pages&gt;&lt;volume&gt;66&lt;/volume&gt;&lt;dates&gt;&lt;year&gt;1997&lt;/year&gt;&lt;/dates&gt;&lt;urls&gt;&lt;/urls&gt;&lt;/record&gt;&lt;/Cite&gt;&lt;/EndNote&gt;</w:instrText>
      </w:r>
      <w:r w:rsidR="004B1882" w:rsidRPr="00296D0C">
        <w:rPr>
          <w:rFonts w:cs="Arial"/>
        </w:rPr>
        <w:fldChar w:fldCharType="separate"/>
      </w:r>
      <w:r w:rsidR="008C43BF" w:rsidRPr="008C43BF">
        <w:rPr>
          <w:rFonts w:cs="Arial"/>
          <w:noProof/>
          <w:vertAlign w:val="superscript"/>
        </w:rPr>
        <w:t>120</w:t>
      </w:r>
      <w:r w:rsidR="004B1882" w:rsidRPr="00296D0C">
        <w:rPr>
          <w:rFonts w:cs="Arial"/>
        </w:rPr>
        <w:fldChar w:fldCharType="end"/>
      </w:r>
    </w:p>
    <w:p w14:paraId="14253A8E" w14:textId="77777777" w:rsidR="00861557" w:rsidRPr="00296D0C" w:rsidRDefault="00861557" w:rsidP="00861557">
      <w:pPr>
        <w:spacing w:after="0"/>
        <w:rPr>
          <w:rFonts w:cs="Arial"/>
        </w:rPr>
      </w:pPr>
    </w:p>
    <w:p w14:paraId="7344226A" w14:textId="2C5A77D6" w:rsidR="00861557" w:rsidRPr="00296D0C" w:rsidRDefault="00861557" w:rsidP="00507D7B">
      <w:pPr>
        <w:spacing w:before="120" w:after="0" w:line="360" w:lineRule="auto"/>
        <w:rPr>
          <w:rFonts w:cs="Arial"/>
        </w:rPr>
      </w:pPr>
      <w:r w:rsidRPr="00296D0C">
        <w:rPr>
          <w:rFonts w:cs="Arial"/>
        </w:rPr>
        <w:t>The modelling framework developed to assess the cost</w:t>
      </w:r>
      <w:r w:rsidR="00576BE5">
        <w:rPr>
          <w:rFonts w:cs="Arial"/>
        </w:rPr>
        <w:t xml:space="preserve"> </w:t>
      </w:r>
      <w:r w:rsidRPr="00296D0C">
        <w:rPr>
          <w:rFonts w:cs="Arial"/>
        </w:rPr>
        <w:t xml:space="preserve">effectiveness of interventions such as HeLP is dependent on identifying a beneficial (effective) intervention, with effectiveness reflected through an improved weight status profile in childhood.  That </w:t>
      </w:r>
      <w:r w:rsidR="002D0625" w:rsidRPr="00296D0C">
        <w:rPr>
          <w:rFonts w:cs="Arial"/>
        </w:rPr>
        <w:t>mechanism</w:t>
      </w:r>
      <w:r w:rsidRPr="00296D0C">
        <w:rPr>
          <w:rFonts w:cs="Arial"/>
        </w:rPr>
        <w:t xml:space="preserve"> of effect provides an opportunity to consider the future potential impact of a change in childhood weight status, into adult years, and the estimation of that effect over adult years through a reduction in future incidence of a core set of weight-related health events.  When a</w:t>
      </w:r>
      <w:r w:rsidR="002D0625" w:rsidRPr="00296D0C">
        <w:rPr>
          <w:rFonts w:cs="Arial"/>
        </w:rPr>
        <w:t xml:space="preserve">pplying the data from the HeLP exploratory </w:t>
      </w:r>
      <w:r w:rsidRPr="00296D0C">
        <w:rPr>
          <w:rFonts w:cs="Arial"/>
        </w:rPr>
        <w:t xml:space="preserve">trial (crude unadjusted relative risks, by </w:t>
      </w:r>
      <w:r w:rsidR="009D1C7F" w:rsidRPr="00296D0C">
        <w:rPr>
          <w:rFonts w:cs="Arial"/>
        </w:rPr>
        <w:t>BMI SDS</w:t>
      </w:r>
      <w:r w:rsidRPr="00296D0C">
        <w:rPr>
          <w:rFonts w:cs="Arial"/>
        </w:rPr>
        <w:t xml:space="preserve"> category), the modelling framework indicates that HeLP has the potential to be a cost</w:t>
      </w:r>
      <w:r w:rsidR="00576BE5">
        <w:rPr>
          <w:rFonts w:cs="Arial"/>
        </w:rPr>
        <w:t xml:space="preserve"> </w:t>
      </w:r>
      <w:r w:rsidRPr="00296D0C">
        <w:rPr>
          <w:rFonts w:cs="Arial"/>
        </w:rPr>
        <w:t xml:space="preserve">effective intervention (see scenario analyses E, Table </w:t>
      </w:r>
      <w:r w:rsidR="001E551C" w:rsidRPr="00296D0C">
        <w:rPr>
          <w:rFonts w:cs="Arial"/>
        </w:rPr>
        <w:t>3</w:t>
      </w:r>
      <w:r w:rsidR="006C0879">
        <w:rPr>
          <w:rFonts w:cs="Arial"/>
        </w:rPr>
        <w:t>4</w:t>
      </w:r>
      <w:r w:rsidR="003F684E" w:rsidRPr="00296D0C">
        <w:rPr>
          <w:rFonts w:cs="Arial"/>
        </w:rPr>
        <w:t xml:space="preserve">). </w:t>
      </w:r>
      <w:r w:rsidRPr="00296D0C">
        <w:rPr>
          <w:rFonts w:cs="Arial"/>
        </w:rPr>
        <w:t xml:space="preserve">This is primarily due to the reduced number of participants in the HeLP </w:t>
      </w:r>
      <w:r w:rsidR="002D0625" w:rsidRPr="00296D0C">
        <w:rPr>
          <w:rFonts w:cs="Arial"/>
        </w:rPr>
        <w:t>exploratory</w:t>
      </w:r>
      <w:r w:rsidRPr="00296D0C">
        <w:rPr>
          <w:rFonts w:cs="Arial"/>
        </w:rPr>
        <w:t xml:space="preserve"> trial intervention arm, compared to control, that ended up in the childhood weight status category associated with obesity.  However, the sample size in the </w:t>
      </w:r>
      <w:r w:rsidR="002D0625" w:rsidRPr="00296D0C">
        <w:rPr>
          <w:rFonts w:cs="Arial"/>
        </w:rPr>
        <w:t>exploratory</w:t>
      </w:r>
      <w:r w:rsidRPr="00296D0C">
        <w:rPr>
          <w:rFonts w:cs="Arial"/>
        </w:rPr>
        <w:t xml:space="preserve"> trial was very small, and the distributions by weights status in the </w:t>
      </w:r>
      <w:r w:rsidR="00B81B94" w:rsidRPr="00296D0C">
        <w:rPr>
          <w:rFonts w:cs="Arial"/>
        </w:rPr>
        <w:t xml:space="preserve">intervention </w:t>
      </w:r>
      <w:r w:rsidRPr="00296D0C">
        <w:rPr>
          <w:rFonts w:cs="Arial"/>
        </w:rPr>
        <w:t>and control arms were not balanced at baseline, given the study design was for a</w:t>
      </w:r>
      <w:r w:rsidR="003662C2" w:rsidRPr="00296D0C">
        <w:rPr>
          <w:rFonts w:cs="Arial"/>
        </w:rPr>
        <w:t>n</w:t>
      </w:r>
      <w:r w:rsidRPr="00296D0C">
        <w:rPr>
          <w:rFonts w:cs="Arial"/>
        </w:rPr>
        <w:t xml:space="preserve"> </w:t>
      </w:r>
      <w:r w:rsidR="002D0625" w:rsidRPr="00296D0C">
        <w:rPr>
          <w:rFonts w:cs="Arial"/>
        </w:rPr>
        <w:t>exploratory</w:t>
      </w:r>
      <w:r w:rsidRPr="00296D0C">
        <w:rPr>
          <w:rFonts w:cs="Arial"/>
        </w:rPr>
        <w:t xml:space="preserve"> trial, and feasibility research.  </w:t>
      </w:r>
    </w:p>
    <w:p w14:paraId="17E92BA1" w14:textId="25B427C8" w:rsidR="00861557" w:rsidRPr="00296D0C" w:rsidRDefault="00861557" w:rsidP="00507D7B">
      <w:pPr>
        <w:spacing w:before="120" w:after="0" w:line="360" w:lineRule="auto"/>
        <w:rPr>
          <w:rFonts w:cs="Arial"/>
        </w:rPr>
      </w:pPr>
      <w:r w:rsidRPr="00296D0C">
        <w:rPr>
          <w:rFonts w:cs="Arial"/>
        </w:rPr>
        <w:t>Here, to illustrate the use of the modelling framework, and to illustrate the potential scenarios where an intervention such as HeLP may be considered cost</w:t>
      </w:r>
      <w:r w:rsidR="00576BE5">
        <w:rPr>
          <w:rFonts w:cs="Arial"/>
        </w:rPr>
        <w:t xml:space="preserve"> </w:t>
      </w:r>
      <w:r w:rsidRPr="00296D0C">
        <w:rPr>
          <w:rFonts w:cs="Arial"/>
        </w:rPr>
        <w:t>effective, we present a series of scenario analyses below (Table</w:t>
      </w:r>
      <w:r w:rsidR="003662C2" w:rsidRPr="00296D0C">
        <w:rPr>
          <w:rFonts w:cs="Arial"/>
        </w:rPr>
        <w:t xml:space="preserve"> </w:t>
      </w:r>
      <w:r w:rsidR="001E551C" w:rsidRPr="00296D0C">
        <w:rPr>
          <w:rFonts w:cs="Arial"/>
        </w:rPr>
        <w:t>3</w:t>
      </w:r>
      <w:r w:rsidR="006C0879">
        <w:rPr>
          <w:rFonts w:cs="Arial"/>
        </w:rPr>
        <w:t>4</w:t>
      </w:r>
      <w:r w:rsidRPr="00296D0C">
        <w:rPr>
          <w:rFonts w:cs="Arial"/>
        </w:rPr>
        <w:t>) describing alternative weight status profiles for the a potential hypothetical treatment group, compared to the data reported for the HeLP control participants (standardised to a cohort of n</w:t>
      </w:r>
      <w:r w:rsidR="00890008" w:rsidRPr="00296D0C">
        <w:rPr>
          <w:rFonts w:cs="Arial"/>
        </w:rPr>
        <w:t xml:space="preserve"> </w:t>
      </w:r>
      <w:r w:rsidRPr="00296D0C">
        <w:rPr>
          <w:rFonts w:cs="Arial"/>
        </w:rPr>
        <w:t>=</w:t>
      </w:r>
      <w:r w:rsidR="00890008" w:rsidRPr="00296D0C">
        <w:rPr>
          <w:rFonts w:cs="Arial"/>
        </w:rPr>
        <w:t xml:space="preserve"> </w:t>
      </w:r>
      <w:r w:rsidRPr="00296D0C">
        <w:rPr>
          <w:rFonts w:cs="Arial"/>
        </w:rPr>
        <w:t>1,000).</w:t>
      </w:r>
    </w:p>
    <w:p w14:paraId="673B8159" w14:textId="2471E68C" w:rsidR="00861557" w:rsidRPr="00296D0C" w:rsidRDefault="00861557" w:rsidP="00507D7B">
      <w:pPr>
        <w:spacing w:after="0" w:line="360" w:lineRule="auto"/>
        <w:rPr>
          <w:rFonts w:cs="Arial"/>
        </w:rPr>
      </w:pPr>
      <w:r w:rsidRPr="00296D0C">
        <w:rPr>
          <w:rFonts w:cs="Arial"/>
        </w:rPr>
        <w:t>In these exploratory analyses we have used the inputs on expected additional costs for the HeLP intervention, and have used the data on the weight status of the control participants in HeLP at 24-</w:t>
      </w:r>
      <w:r w:rsidRPr="00296D0C">
        <w:rPr>
          <w:rFonts w:cs="Arial"/>
        </w:rPr>
        <w:lastRenderedPageBreak/>
        <w:t>month follow, to explore the cost</w:t>
      </w:r>
      <w:r w:rsidR="00576BE5">
        <w:rPr>
          <w:rFonts w:cs="Arial"/>
        </w:rPr>
        <w:t xml:space="preserve"> </w:t>
      </w:r>
      <w:r w:rsidRPr="00296D0C">
        <w:rPr>
          <w:rFonts w:cs="Arial"/>
        </w:rPr>
        <w:t>effectiveness of the HeLP intervention at hypothetical scenarios on intervention effectiveness (i.e. relative risk/s of being overweight and/or obese).  We use hypothetical estimates of the relative risk, between controls and intervention, and we present data on predicted distribution by adult weight status, and summary data on weight related events, cost per life year saved and cost per QALY gained.</w:t>
      </w:r>
    </w:p>
    <w:p w14:paraId="70DE2692" w14:textId="77777777" w:rsidR="00861557" w:rsidRPr="00296D0C" w:rsidRDefault="00861557" w:rsidP="00507D7B">
      <w:pPr>
        <w:spacing w:after="0" w:line="360" w:lineRule="auto"/>
        <w:rPr>
          <w:rFonts w:cs="Arial"/>
        </w:rPr>
      </w:pPr>
    </w:p>
    <w:p w14:paraId="157A96D1" w14:textId="073A7023" w:rsidR="00861557" w:rsidRPr="00296D0C" w:rsidRDefault="00861557" w:rsidP="00507D7B">
      <w:pPr>
        <w:spacing w:after="0" w:line="360" w:lineRule="auto"/>
        <w:rPr>
          <w:rFonts w:cs="Arial"/>
        </w:rPr>
      </w:pPr>
      <w:r w:rsidRPr="00296D0C">
        <w:rPr>
          <w:rFonts w:cs="Arial"/>
        </w:rPr>
        <w:t xml:space="preserve">The exploratory results demonstrate that where the relative risks are 0.75 and above (25% reduction in proportion in BMI </w:t>
      </w:r>
      <w:r w:rsidR="003662C2" w:rsidRPr="00296D0C">
        <w:rPr>
          <w:rFonts w:cs="Arial"/>
        </w:rPr>
        <w:t>SD</w:t>
      </w:r>
      <w:r w:rsidRPr="00296D0C">
        <w:rPr>
          <w:rFonts w:cs="Arial"/>
        </w:rPr>
        <w:t xml:space="preserve"> centile category, or less) that the cost per QALY is above the commonly referred to UK NHS willingness to pay for a QALY, of between £20,000</w:t>
      </w:r>
      <w:r w:rsidR="00E52E74" w:rsidRPr="00296D0C">
        <w:rPr>
          <w:rFonts w:cs="Arial"/>
        </w:rPr>
        <w:t xml:space="preserve"> </w:t>
      </w:r>
      <w:r w:rsidRPr="00296D0C">
        <w:rPr>
          <w:rFonts w:cs="Arial"/>
        </w:rPr>
        <w:t>-</w:t>
      </w:r>
      <w:r w:rsidR="00E52E74" w:rsidRPr="00296D0C">
        <w:rPr>
          <w:rFonts w:cs="Arial"/>
        </w:rPr>
        <w:t xml:space="preserve"> </w:t>
      </w:r>
      <w:r w:rsidRPr="00296D0C">
        <w:rPr>
          <w:rFonts w:cs="Arial"/>
        </w:rPr>
        <w:t>£30,000 per QALY (NICE, 2013)</w:t>
      </w:r>
      <w:r w:rsidR="00E52E74" w:rsidRPr="00296D0C">
        <w:rPr>
          <w:rFonts w:cs="Arial"/>
        </w:rPr>
        <w:t xml:space="preserve"> </w:t>
      </w:r>
      <w:r w:rsidR="009C291C" w:rsidRPr="00296D0C">
        <w:rPr>
          <w:rFonts w:cs="Arial"/>
        </w:rPr>
        <w:fldChar w:fldCharType="begin"/>
      </w:r>
      <w:r w:rsidR="00931E9F">
        <w:rPr>
          <w:rFonts w:cs="Arial"/>
        </w:rPr>
        <w:instrText xml:space="preserve"> ADDIN EN.CITE &lt;EndNote&gt;&lt;Cite&gt;&lt;Author&gt;Excellence&lt;/Author&gt;&lt;Year&gt;2013&lt;/Year&gt;&lt;RecNum&gt;5570&lt;/RecNum&gt;&lt;DisplayText&gt;&lt;style face="superscript"&gt;60&lt;/style&gt;&lt;/DisplayText&gt;&lt;record&gt;&lt;rec-number&gt;5570&lt;/rec-number&gt;&lt;foreign-keys&gt;&lt;key app="EN" db-id="2ewa9rrvjsdsawep2vpx5x97eedzzvxx5rta" timestamp="1452091158"&gt;5570&lt;/key&gt;&lt;/foreign-keys&gt;&lt;ref-type name="Government Document"&gt;46&lt;/ref-type&gt;&lt;contributors&gt;&lt;authors&gt;&lt;author&gt;National Institute for Health and Care Excellence,&lt;/author&gt;&lt;/authors&gt;&lt;/contributors&gt;&lt;titles&gt;&lt;title&gt;NICE Guidelines [PH47] Managing overweight and obesity among children and young people: lifestyle weight management services&lt;/title&gt;&lt;/titles&gt;&lt;dates&gt;&lt;year&gt;2013&lt;/year&gt;&lt;/dates&gt;&lt;urls&gt;&lt;related-urls&gt;&lt;url&gt;http://guidance.nice.org.uk/PH47/Guidance/pdf/English &lt;/url&gt;&lt;/related-urls&gt;&lt;/urls&gt;&lt;access-date&gt;14 June 2016&lt;/access-date&gt;&lt;/record&gt;&lt;/Cite&gt;&lt;/EndNote&gt;</w:instrText>
      </w:r>
      <w:r w:rsidR="009C291C" w:rsidRPr="00296D0C">
        <w:rPr>
          <w:rFonts w:cs="Arial"/>
        </w:rPr>
        <w:fldChar w:fldCharType="separate"/>
      </w:r>
      <w:r w:rsidR="008C43BF" w:rsidRPr="008C43BF">
        <w:rPr>
          <w:rFonts w:cs="Arial"/>
          <w:noProof/>
          <w:vertAlign w:val="superscript"/>
        </w:rPr>
        <w:t>60</w:t>
      </w:r>
      <w:r w:rsidR="009C291C" w:rsidRPr="00296D0C">
        <w:rPr>
          <w:rFonts w:cs="Arial"/>
        </w:rPr>
        <w:fldChar w:fldCharType="end"/>
      </w:r>
      <w:r w:rsidRPr="00296D0C">
        <w:rPr>
          <w:rFonts w:cs="Arial"/>
        </w:rPr>
        <w:t xml:space="preserve">.  However, of note is that the numbers of persons in the BMI </w:t>
      </w:r>
      <w:r w:rsidR="003662C2" w:rsidRPr="00296D0C">
        <w:rPr>
          <w:rFonts w:cs="Arial"/>
        </w:rPr>
        <w:t>SD</w:t>
      </w:r>
      <w:r w:rsidRPr="00296D0C">
        <w:rPr>
          <w:rFonts w:cs="Arial"/>
        </w:rPr>
        <w:t xml:space="preserve"> centiles associated with overweight and obesity is relatively small, i.e. circa 6% in each category, therefore requiring a relatively high risk reduction in order to make a meaningful impact on the actual numbers of children, and thereafter adults, in the overweight and/or obesity related weight status categories (e.g. a RR of 0.75 for childhood obesity represents a difference of approx.</w:t>
      </w:r>
      <w:r w:rsidR="000E2780" w:rsidRPr="00296D0C">
        <w:rPr>
          <w:rFonts w:cs="Arial"/>
        </w:rPr>
        <w:t xml:space="preserve"> 20 cases per 1,000 children). </w:t>
      </w:r>
      <w:r w:rsidR="00E15479">
        <w:rPr>
          <w:rFonts w:cs="Arial"/>
        </w:rPr>
        <w:t xml:space="preserve"> We therefore suggest that relatively modest effectiveness results may lead to a scenario where an intervention is cost effective, regardless of the apparent magnitude of the estimated relative risk (for small proportions of the cohort).   We advise that the exploratory results presented here should not be interpreted in a way that indicates only where dramatic effects are seen that interventions may be cost effective.  </w:t>
      </w:r>
      <w:r w:rsidRPr="00296D0C">
        <w:rPr>
          <w:rFonts w:cs="Arial"/>
        </w:rPr>
        <w:t>The exploratory results also illustrate that when considering the impacts of such a public health intervention over time, the mean incremental costs and outcomes are very small, and the cost per life year gained, and cost per QALY gained, estimates are very sensitive to small changes in the mean incremental inputs to the cost</w:t>
      </w:r>
      <w:r w:rsidR="00576BE5">
        <w:rPr>
          <w:rFonts w:cs="Arial"/>
        </w:rPr>
        <w:t xml:space="preserve"> </w:t>
      </w:r>
      <w:r w:rsidRPr="00296D0C">
        <w:rPr>
          <w:rFonts w:cs="Arial"/>
        </w:rPr>
        <w:t>effectiveness ratios.  Furthermore, the exploratory results highlight that the results are sensitive to the parameter used to discount future costs and outcomes, with cost</w:t>
      </w:r>
      <w:r w:rsidR="00576BE5">
        <w:rPr>
          <w:rFonts w:cs="Arial"/>
        </w:rPr>
        <w:t xml:space="preserve"> </w:t>
      </w:r>
      <w:r w:rsidRPr="00296D0C">
        <w:rPr>
          <w:rFonts w:cs="Arial"/>
        </w:rPr>
        <w:t>effectiveness estimates markedly different (more attractive) when using a discount rate of 1.5% per annum (versus base case 3.5% per annum).</w:t>
      </w:r>
    </w:p>
    <w:p w14:paraId="1AF8996F" w14:textId="77777777" w:rsidR="00861557" w:rsidRPr="00296D0C" w:rsidRDefault="00861557" w:rsidP="00507D7B">
      <w:pPr>
        <w:spacing w:after="0" w:line="360" w:lineRule="auto"/>
        <w:rPr>
          <w:rFonts w:cs="Arial"/>
          <w:b/>
        </w:rPr>
      </w:pPr>
    </w:p>
    <w:p w14:paraId="4E22F211" w14:textId="77777777" w:rsidR="00861557" w:rsidRPr="00296D0C" w:rsidRDefault="00861557" w:rsidP="00861557">
      <w:pPr>
        <w:rPr>
          <w:rFonts w:cs="Arial"/>
          <w:b/>
        </w:rPr>
      </w:pPr>
    </w:p>
    <w:p w14:paraId="4F5E9A29" w14:textId="0D59E6C0" w:rsidR="00861557" w:rsidRPr="00296D0C" w:rsidRDefault="00A52645" w:rsidP="00861557">
      <w:pPr>
        <w:rPr>
          <w:rFonts w:cs="Arial"/>
          <w:b/>
        </w:rPr>
        <w:sectPr w:rsidR="00861557" w:rsidRPr="00296D0C" w:rsidSect="00C82499">
          <w:footerReference w:type="default" r:id="rId20"/>
          <w:pgSz w:w="11906" w:h="16838"/>
          <w:pgMar w:top="1440" w:right="1440" w:bottom="1440" w:left="1440" w:header="708" w:footer="708" w:gutter="0"/>
          <w:lnNumType w:countBy="1"/>
          <w:cols w:space="708"/>
          <w:docGrid w:linePitch="360"/>
        </w:sectPr>
      </w:pPr>
      <w:r w:rsidRPr="00296D0C">
        <w:rPr>
          <w:rFonts w:cs="Arial"/>
          <w:b/>
        </w:rPr>
        <w:br w:type="page"/>
      </w:r>
    </w:p>
    <w:p w14:paraId="6F396039" w14:textId="0B66F1BC" w:rsidR="00861557" w:rsidRPr="00296D0C" w:rsidRDefault="00861557" w:rsidP="00861557">
      <w:pPr>
        <w:spacing w:after="0" w:line="240" w:lineRule="auto"/>
        <w:rPr>
          <w:rFonts w:cs="Arial"/>
          <w:b/>
        </w:rPr>
      </w:pPr>
      <w:r w:rsidRPr="00296D0C">
        <w:rPr>
          <w:rFonts w:cs="Arial"/>
          <w:b/>
        </w:rPr>
        <w:lastRenderedPageBreak/>
        <w:t>T</w:t>
      </w:r>
      <w:r w:rsidR="001E551C" w:rsidRPr="00296D0C">
        <w:rPr>
          <w:rFonts w:cs="Arial"/>
          <w:b/>
        </w:rPr>
        <w:t>ABLE</w:t>
      </w:r>
      <w:r w:rsidRPr="00296D0C">
        <w:rPr>
          <w:rFonts w:cs="Arial"/>
          <w:b/>
        </w:rPr>
        <w:t xml:space="preserve"> </w:t>
      </w:r>
      <w:r w:rsidR="001E551C" w:rsidRPr="00296D0C">
        <w:rPr>
          <w:rFonts w:cs="Arial"/>
          <w:b/>
        </w:rPr>
        <w:t>3</w:t>
      </w:r>
      <w:r w:rsidR="006C0879">
        <w:rPr>
          <w:rFonts w:cs="Arial"/>
          <w:b/>
        </w:rPr>
        <w:t>4</w:t>
      </w:r>
      <w:r w:rsidR="003F684E" w:rsidRPr="00296D0C">
        <w:rPr>
          <w:rFonts w:cs="Arial"/>
          <w:b/>
        </w:rPr>
        <w:t xml:space="preserve"> </w:t>
      </w:r>
      <w:r w:rsidRPr="00296D0C">
        <w:rPr>
          <w:rFonts w:cs="Arial"/>
          <w:b/>
        </w:rPr>
        <w:t>Scenario analyses:  Controls (HeLP RCT) versus hypothetical comparison scenarios for effectiveness</w:t>
      </w:r>
    </w:p>
    <w:p w14:paraId="700D7D10" w14:textId="77777777" w:rsidR="005257EF" w:rsidRPr="00296D0C" w:rsidRDefault="005257EF" w:rsidP="00861557">
      <w:pPr>
        <w:spacing w:after="0" w:line="240" w:lineRule="auto"/>
        <w:rPr>
          <w:rFonts w:cs="Arial"/>
          <w:b/>
        </w:rPr>
      </w:pPr>
    </w:p>
    <w:tbl>
      <w:tblPr>
        <w:tblStyle w:val="TableGrid"/>
        <w:tblW w:w="0" w:type="auto"/>
        <w:tblInd w:w="678" w:type="dxa"/>
        <w:tblLook w:val="04A0" w:firstRow="1" w:lastRow="0" w:firstColumn="1" w:lastColumn="0" w:noHBand="0" w:noVBand="1"/>
      </w:tblPr>
      <w:tblGrid>
        <w:gridCol w:w="1686"/>
        <w:gridCol w:w="821"/>
        <w:gridCol w:w="771"/>
        <w:gridCol w:w="771"/>
        <w:gridCol w:w="801"/>
        <w:gridCol w:w="879"/>
        <w:gridCol w:w="879"/>
        <w:gridCol w:w="879"/>
        <w:gridCol w:w="1018"/>
        <w:gridCol w:w="982"/>
        <w:gridCol w:w="839"/>
        <w:gridCol w:w="796"/>
        <w:gridCol w:w="1074"/>
        <w:gridCol w:w="1074"/>
      </w:tblGrid>
      <w:tr w:rsidR="003662C2" w:rsidRPr="00296D0C" w14:paraId="2E1F5730" w14:textId="77777777" w:rsidTr="003662C2">
        <w:tc>
          <w:tcPr>
            <w:tcW w:w="1733" w:type="dxa"/>
          </w:tcPr>
          <w:p w14:paraId="072D5D47" w14:textId="77777777" w:rsidR="00861557" w:rsidRPr="00296D0C" w:rsidRDefault="00861557" w:rsidP="0077247E">
            <w:pPr>
              <w:rPr>
                <w:rFonts w:cs="Arial"/>
              </w:rPr>
            </w:pPr>
          </w:p>
        </w:tc>
        <w:tc>
          <w:tcPr>
            <w:tcW w:w="3197" w:type="dxa"/>
            <w:gridSpan w:val="4"/>
            <w:vAlign w:val="center"/>
          </w:tcPr>
          <w:p w14:paraId="726015ED" w14:textId="4095F1EF" w:rsidR="00861557" w:rsidRPr="00296D0C" w:rsidRDefault="00861557" w:rsidP="003662C2">
            <w:pPr>
              <w:jc w:val="center"/>
              <w:rPr>
                <w:rFonts w:cs="Arial"/>
                <w:b/>
              </w:rPr>
            </w:pPr>
            <w:r w:rsidRPr="00296D0C">
              <w:rPr>
                <w:rFonts w:cs="Arial"/>
                <w:b/>
              </w:rPr>
              <w:t xml:space="preserve">BMI </w:t>
            </w:r>
            <w:r w:rsidR="003662C2" w:rsidRPr="00296D0C">
              <w:rPr>
                <w:rFonts w:cs="Arial"/>
                <w:b/>
              </w:rPr>
              <w:t>SD</w:t>
            </w:r>
            <w:r w:rsidRPr="00296D0C">
              <w:rPr>
                <w:rFonts w:cs="Arial"/>
                <w:b/>
              </w:rPr>
              <w:t xml:space="preserve"> Centile category</w:t>
            </w:r>
          </w:p>
        </w:tc>
        <w:tc>
          <w:tcPr>
            <w:tcW w:w="2637" w:type="dxa"/>
            <w:gridSpan w:val="3"/>
            <w:vAlign w:val="center"/>
          </w:tcPr>
          <w:p w14:paraId="6B361A95" w14:textId="77777777" w:rsidR="00861557" w:rsidRPr="00296D0C" w:rsidRDefault="00861557" w:rsidP="0077247E">
            <w:pPr>
              <w:jc w:val="center"/>
              <w:rPr>
                <w:rFonts w:cs="Arial"/>
                <w:b/>
              </w:rPr>
            </w:pPr>
            <w:r w:rsidRPr="00296D0C">
              <w:rPr>
                <w:rFonts w:cs="Arial"/>
                <w:b/>
              </w:rPr>
              <w:t>Adult WS distributions</w:t>
            </w:r>
          </w:p>
        </w:tc>
        <w:tc>
          <w:tcPr>
            <w:tcW w:w="1031" w:type="dxa"/>
            <w:vMerge w:val="restart"/>
            <w:vAlign w:val="center"/>
          </w:tcPr>
          <w:p w14:paraId="15A6BF24" w14:textId="77777777" w:rsidR="00861557" w:rsidRPr="00296D0C" w:rsidRDefault="00861557" w:rsidP="0077247E">
            <w:pPr>
              <w:jc w:val="center"/>
              <w:rPr>
                <w:rFonts w:cs="Arial"/>
                <w:b/>
              </w:rPr>
            </w:pPr>
            <w:r w:rsidRPr="00296D0C">
              <w:rPr>
                <w:rFonts w:cs="Arial"/>
                <w:b/>
              </w:rPr>
              <w:t>Events</w:t>
            </w:r>
            <w:r w:rsidRPr="00296D0C">
              <w:rPr>
                <w:rFonts w:cs="Arial"/>
                <w:b/>
                <w:vertAlign w:val="superscript"/>
              </w:rPr>
              <w:t>a</w:t>
            </w:r>
          </w:p>
          <w:p w14:paraId="38FF890B" w14:textId="77777777" w:rsidR="00861557" w:rsidRPr="00296D0C" w:rsidRDefault="00861557" w:rsidP="0077247E">
            <w:pPr>
              <w:jc w:val="center"/>
              <w:rPr>
                <w:rFonts w:cs="Arial"/>
                <w:b/>
              </w:rPr>
            </w:pPr>
            <w:r w:rsidRPr="00296D0C">
              <w:rPr>
                <w:rFonts w:cs="Arial"/>
                <w:b/>
              </w:rPr>
              <w:t>(n)</w:t>
            </w:r>
          </w:p>
        </w:tc>
        <w:tc>
          <w:tcPr>
            <w:tcW w:w="998" w:type="dxa"/>
            <w:vMerge w:val="restart"/>
            <w:vAlign w:val="center"/>
          </w:tcPr>
          <w:p w14:paraId="3E3930FB" w14:textId="77777777" w:rsidR="00861557" w:rsidRPr="00296D0C" w:rsidRDefault="00861557" w:rsidP="0077247E">
            <w:pPr>
              <w:jc w:val="center"/>
              <w:rPr>
                <w:rFonts w:cs="Arial"/>
                <w:b/>
              </w:rPr>
            </w:pPr>
            <w:r w:rsidRPr="00296D0C">
              <w:rPr>
                <w:rFonts w:cs="Arial"/>
                <w:b/>
              </w:rPr>
              <w:t>Mean costs</w:t>
            </w:r>
          </w:p>
        </w:tc>
        <w:tc>
          <w:tcPr>
            <w:tcW w:w="849" w:type="dxa"/>
            <w:vMerge w:val="restart"/>
            <w:vAlign w:val="center"/>
          </w:tcPr>
          <w:p w14:paraId="3318D9B0" w14:textId="77777777" w:rsidR="00861557" w:rsidRPr="00296D0C" w:rsidRDefault="00861557" w:rsidP="0077247E">
            <w:pPr>
              <w:jc w:val="center"/>
              <w:rPr>
                <w:rFonts w:cs="Arial"/>
                <w:b/>
              </w:rPr>
            </w:pPr>
            <w:r w:rsidRPr="00296D0C">
              <w:rPr>
                <w:rFonts w:cs="Arial"/>
                <w:b/>
              </w:rPr>
              <w:t>Mean Life-Years</w:t>
            </w:r>
          </w:p>
        </w:tc>
        <w:tc>
          <w:tcPr>
            <w:tcW w:w="790" w:type="dxa"/>
            <w:vMerge w:val="restart"/>
            <w:vAlign w:val="center"/>
          </w:tcPr>
          <w:p w14:paraId="5B63F9DF" w14:textId="77777777" w:rsidR="00861557" w:rsidRPr="00296D0C" w:rsidRDefault="00861557" w:rsidP="0077247E">
            <w:pPr>
              <w:jc w:val="center"/>
              <w:rPr>
                <w:rFonts w:cs="Arial"/>
                <w:b/>
              </w:rPr>
            </w:pPr>
            <w:r w:rsidRPr="00296D0C">
              <w:rPr>
                <w:rFonts w:cs="Arial"/>
                <w:b/>
              </w:rPr>
              <w:t>Mean QALYs</w:t>
            </w:r>
          </w:p>
        </w:tc>
        <w:tc>
          <w:tcPr>
            <w:tcW w:w="1074" w:type="dxa"/>
            <w:vMerge w:val="restart"/>
            <w:vAlign w:val="center"/>
          </w:tcPr>
          <w:p w14:paraId="2575BE0C" w14:textId="77777777" w:rsidR="00861557" w:rsidRPr="00296D0C" w:rsidRDefault="00861557" w:rsidP="0077247E">
            <w:pPr>
              <w:jc w:val="center"/>
              <w:rPr>
                <w:rFonts w:cs="Arial"/>
                <w:b/>
              </w:rPr>
            </w:pPr>
            <w:r w:rsidRPr="00296D0C">
              <w:rPr>
                <w:rFonts w:cs="Arial"/>
                <w:b/>
              </w:rPr>
              <w:t>Cost per</w:t>
            </w:r>
          </w:p>
          <w:p w14:paraId="3108AAA0" w14:textId="77777777" w:rsidR="00861557" w:rsidRPr="00296D0C" w:rsidRDefault="00861557" w:rsidP="0077247E">
            <w:pPr>
              <w:jc w:val="center"/>
              <w:rPr>
                <w:rFonts w:cs="Arial"/>
                <w:b/>
                <w:vertAlign w:val="superscript"/>
              </w:rPr>
            </w:pPr>
            <w:r w:rsidRPr="00296D0C">
              <w:rPr>
                <w:rFonts w:cs="Arial"/>
                <w:b/>
              </w:rPr>
              <w:t>LYG</w:t>
            </w:r>
            <w:r w:rsidRPr="00296D0C">
              <w:rPr>
                <w:rFonts w:cs="Arial"/>
                <w:b/>
                <w:vertAlign w:val="superscript"/>
              </w:rPr>
              <w:t>a</w:t>
            </w:r>
          </w:p>
          <w:p w14:paraId="348694EB" w14:textId="6B38E077" w:rsidR="00C045BD" w:rsidRPr="00296D0C" w:rsidRDefault="00C045BD" w:rsidP="0077247E">
            <w:pPr>
              <w:jc w:val="center"/>
              <w:rPr>
                <w:rFonts w:cs="Arial"/>
                <w:b/>
              </w:rPr>
            </w:pPr>
          </w:p>
        </w:tc>
        <w:tc>
          <w:tcPr>
            <w:tcW w:w="1074" w:type="dxa"/>
            <w:vMerge w:val="restart"/>
            <w:vAlign w:val="center"/>
          </w:tcPr>
          <w:p w14:paraId="2A0BB837" w14:textId="77777777" w:rsidR="00861557" w:rsidRPr="00296D0C" w:rsidRDefault="00861557" w:rsidP="0077247E">
            <w:pPr>
              <w:rPr>
                <w:rFonts w:cs="Arial"/>
                <w:b/>
              </w:rPr>
            </w:pPr>
            <w:r w:rsidRPr="00296D0C">
              <w:rPr>
                <w:rFonts w:cs="Arial"/>
                <w:b/>
              </w:rPr>
              <w:t>Cost per</w:t>
            </w:r>
          </w:p>
          <w:p w14:paraId="1EA6DC57" w14:textId="77777777" w:rsidR="00861557" w:rsidRPr="00296D0C" w:rsidRDefault="00861557" w:rsidP="0077247E">
            <w:pPr>
              <w:jc w:val="center"/>
              <w:rPr>
                <w:rFonts w:cs="Arial"/>
                <w:b/>
                <w:vertAlign w:val="superscript"/>
              </w:rPr>
            </w:pPr>
            <w:r w:rsidRPr="00296D0C">
              <w:rPr>
                <w:rFonts w:cs="Arial"/>
                <w:b/>
              </w:rPr>
              <w:t>QALY</w:t>
            </w:r>
            <w:r w:rsidRPr="00296D0C">
              <w:rPr>
                <w:rFonts w:cs="Arial"/>
                <w:b/>
                <w:vertAlign w:val="superscript"/>
              </w:rPr>
              <w:t>b</w:t>
            </w:r>
          </w:p>
          <w:p w14:paraId="025FBE97" w14:textId="780A6017" w:rsidR="00C045BD" w:rsidRPr="00296D0C" w:rsidRDefault="00C045BD" w:rsidP="0077247E">
            <w:pPr>
              <w:jc w:val="center"/>
              <w:rPr>
                <w:rFonts w:cs="Arial"/>
                <w:b/>
              </w:rPr>
            </w:pPr>
          </w:p>
        </w:tc>
      </w:tr>
      <w:tr w:rsidR="003662C2" w:rsidRPr="00296D0C" w14:paraId="4E73E832" w14:textId="77777777" w:rsidTr="003662C2">
        <w:tc>
          <w:tcPr>
            <w:tcW w:w="1733" w:type="dxa"/>
          </w:tcPr>
          <w:p w14:paraId="036085FD" w14:textId="77777777" w:rsidR="00861557" w:rsidRPr="00296D0C" w:rsidRDefault="00861557" w:rsidP="0077247E">
            <w:pPr>
              <w:rPr>
                <w:rFonts w:cs="Arial"/>
              </w:rPr>
            </w:pPr>
          </w:p>
        </w:tc>
        <w:tc>
          <w:tcPr>
            <w:tcW w:w="828" w:type="dxa"/>
          </w:tcPr>
          <w:p w14:paraId="2900F235" w14:textId="77777777" w:rsidR="00861557" w:rsidRPr="00296D0C" w:rsidRDefault="00861557" w:rsidP="0077247E">
            <w:pPr>
              <w:rPr>
                <w:rFonts w:cs="Arial"/>
                <w:b/>
              </w:rPr>
            </w:pPr>
            <w:r w:rsidRPr="00296D0C">
              <w:rPr>
                <w:rFonts w:cs="Arial"/>
                <w:b/>
              </w:rPr>
              <w:t>≤91</w:t>
            </w:r>
            <w:r w:rsidRPr="00296D0C">
              <w:rPr>
                <w:rFonts w:cs="Arial"/>
                <w:b/>
                <w:vertAlign w:val="superscript"/>
              </w:rPr>
              <w:t>st</w:t>
            </w:r>
          </w:p>
        </w:tc>
        <w:tc>
          <w:tcPr>
            <w:tcW w:w="781" w:type="dxa"/>
          </w:tcPr>
          <w:p w14:paraId="2458B70B" w14:textId="77777777" w:rsidR="00861557" w:rsidRPr="00296D0C" w:rsidRDefault="00861557" w:rsidP="0077247E">
            <w:pPr>
              <w:rPr>
                <w:rFonts w:cs="Arial"/>
                <w:b/>
              </w:rPr>
            </w:pPr>
            <w:r w:rsidRPr="00296D0C">
              <w:rPr>
                <w:rFonts w:cs="Arial"/>
                <w:b/>
              </w:rPr>
              <w:t>&gt;91</w:t>
            </w:r>
            <w:r w:rsidRPr="00296D0C">
              <w:rPr>
                <w:rFonts w:cs="Arial"/>
                <w:b/>
                <w:vertAlign w:val="superscript"/>
              </w:rPr>
              <w:t>st</w:t>
            </w:r>
            <w:r w:rsidRPr="00296D0C">
              <w:rPr>
                <w:rFonts w:cs="Arial"/>
                <w:b/>
              </w:rPr>
              <w:t xml:space="preserve"> to ≤95</w:t>
            </w:r>
            <w:r w:rsidRPr="00296D0C">
              <w:rPr>
                <w:rFonts w:cs="Arial"/>
                <w:b/>
                <w:vertAlign w:val="superscript"/>
              </w:rPr>
              <w:t>th</w:t>
            </w:r>
          </w:p>
        </w:tc>
        <w:tc>
          <w:tcPr>
            <w:tcW w:w="781" w:type="dxa"/>
          </w:tcPr>
          <w:p w14:paraId="7A72E806" w14:textId="77777777" w:rsidR="00861557" w:rsidRPr="00296D0C" w:rsidRDefault="00861557" w:rsidP="0077247E">
            <w:pPr>
              <w:rPr>
                <w:rFonts w:cs="Arial"/>
                <w:b/>
              </w:rPr>
            </w:pPr>
            <w:r w:rsidRPr="00296D0C">
              <w:rPr>
                <w:rFonts w:cs="Arial"/>
                <w:b/>
              </w:rPr>
              <w:t>&gt;95</w:t>
            </w:r>
            <w:r w:rsidRPr="00296D0C">
              <w:rPr>
                <w:rFonts w:cs="Arial"/>
                <w:b/>
                <w:vertAlign w:val="superscript"/>
              </w:rPr>
              <w:t>th</w:t>
            </w:r>
            <w:r w:rsidRPr="00296D0C">
              <w:rPr>
                <w:rFonts w:cs="Arial"/>
                <w:b/>
              </w:rPr>
              <w:t xml:space="preserve"> to ≤98</w:t>
            </w:r>
            <w:r w:rsidRPr="00296D0C">
              <w:rPr>
                <w:rFonts w:cs="Arial"/>
                <w:b/>
                <w:vertAlign w:val="superscript"/>
              </w:rPr>
              <w:t>th</w:t>
            </w:r>
          </w:p>
        </w:tc>
        <w:tc>
          <w:tcPr>
            <w:tcW w:w="807" w:type="dxa"/>
          </w:tcPr>
          <w:p w14:paraId="253C35E0" w14:textId="77777777" w:rsidR="00861557" w:rsidRPr="00296D0C" w:rsidRDefault="00861557" w:rsidP="0077247E">
            <w:pPr>
              <w:rPr>
                <w:rFonts w:cs="Arial"/>
                <w:b/>
              </w:rPr>
            </w:pPr>
            <w:r w:rsidRPr="00296D0C">
              <w:rPr>
                <w:rFonts w:cs="Arial"/>
                <w:b/>
              </w:rPr>
              <w:t>&gt;98th</w:t>
            </w:r>
          </w:p>
        </w:tc>
        <w:tc>
          <w:tcPr>
            <w:tcW w:w="879" w:type="dxa"/>
            <w:vAlign w:val="center"/>
          </w:tcPr>
          <w:p w14:paraId="11EBAA6B" w14:textId="77777777" w:rsidR="00861557" w:rsidRPr="00296D0C" w:rsidRDefault="00861557" w:rsidP="0077247E">
            <w:pPr>
              <w:jc w:val="center"/>
              <w:rPr>
                <w:rFonts w:cs="Arial"/>
                <w:b/>
              </w:rPr>
            </w:pPr>
            <w:r w:rsidRPr="00296D0C">
              <w:rPr>
                <w:rFonts w:cs="Arial"/>
                <w:b/>
              </w:rPr>
              <w:t>HW</w:t>
            </w:r>
          </w:p>
        </w:tc>
        <w:tc>
          <w:tcPr>
            <w:tcW w:w="879" w:type="dxa"/>
            <w:vAlign w:val="center"/>
          </w:tcPr>
          <w:p w14:paraId="18F58EC2" w14:textId="77777777" w:rsidR="00861557" w:rsidRPr="00296D0C" w:rsidRDefault="00861557" w:rsidP="0077247E">
            <w:pPr>
              <w:jc w:val="center"/>
              <w:rPr>
                <w:rFonts w:cs="Arial"/>
                <w:b/>
              </w:rPr>
            </w:pPr>
            <w:r w:rsidRPr="00296D0C">
              <w:rPr>
                <w:rFonts w:cs="Arial"/>
                <w:b/>
              </w:rPr>
              <w:t>OW</w:t>
            </w:r>
          </w:p>
        </w:tc>
        <w:tc>
          <w:tcPr>
            <w:tcW w:w="879" w:type="dxa"/>
            <w:vAlign w:val="center"/>
          </w:tcPr>
          <w:p w14:paraId="1F7271AF" w14:textId="77777777" w:rsidR="00861557" w:rsidRPr="00296D0C" w:rsidRDefault="00861557" w:rsidP="0077247E">
            <w:pPr>
              <w:jc w:val="center"/>
              <w:rPr>
                <w:rFonts w:cs="Arial"/>
                <w:b/>
              </w:rPr>
            </w:pPr>
            <w:r w:rsidRPr="00296D0C">
              <w:rPr>
                <w:rFonts w:cs="Arial"/>
                <w:b/>
              </w:rPr>
              <w:t>OB</w:t>
            </w:r>
          </w:p>
        </w:tc>
        <w:tc>
          <w:tcPr>
            <w:tcW w:w="1031" w:type="dxa"/>
            <w:vMerge/>
          </w:tcPr>
          <w:p w14:paraId="04800BD0" w14:textId="77777777" w:rsidR="00861557" w:rsidRPr="00296D0C" w:rsidRDefault="00861557" w:rsidP="0077247E">
            <w:pPr>
              <w:rPr>
                <w:rFonts w:cs="Arial"/>
                <w:b/>
              </w:rPr>
            </w:pPr>
          </w:p>
        </w:tc>
        <w:tc>
          <w:tcPr>
            <w:tcW w:w="998" w:type="dxa"/>
            <w:vMerge/>
          </w:tcPr>
          <w:p w14:paraId="3F51D7BF" w14:textId="77777777" w:rsidR="00861557" w:rsidRPr="00296D0C" w:rsidRDefault="00861557" w:rsidP="0077247E">
            <w:pPr>
              <w:rPr>
                <w:rFonts w:cs="Arial"/>
                <w:b/>
              </w:rPr>
            </w:pPr>
          </w:p>
        </w:tc>
        <w:tc>
          <w:tcPr>
            <w:tcW w:w="849" w:type="dxa"/>
            <w:vMerge/>
          </w:tcPr>
          <w:p w14:paraId="41CE822B" w14:textId="77777777" w:rsidR="00861557" w:rsidRPr="00296D0C" w:rsidRDefault="00861557" w:rsidP="0077247E">
            <w:pPr>
              <w:rPr>
                <w:rFonts w:cs="Arial"/>
                <w:b/>
              </w:rPr>
            </w:pPr>
          </w:p>
        </w:tc>
        <w:tc>
          <w:tcPr>
            <w:tcW w:w="790" w:type="dxa"/>
            <w:vMerge/>
          </w:tcPr>
          <w:p w14:paraId="2A6485E9" w14:textId="77777777" w:rsidR="00861557" w:rsidRPr="00296D0C" w:rsidRDefault="00861557" w:rsidP="0077247E">
            <w:pPr>
              <w:rPr>
                <w:rFonts w:cs="Arial"/>
                <w:b/>
              </w:rPr>
            </w:pPr>
          </w:p>
        </w:tc>
        <w:tc>
          <w:tcPr>
            <w:tcW w:w="1074" w:type="dxa"/>
            <w:vMerge/>
          </w:tcPr>
          <w:p w14:paraId="6D7210C3" w14:textId="77777777" w:rsidR="00861557" w:rsidRPr="00296D0C" w:rsidRDefault="00861557" w:rsidP="0077247E">
            <w:pPr>
              <w:rPr>
                <w:rFonts w:cs="Arial"/>
                <w:b/>
              </w:rPr>
            </w:pPr>
          </w:p>
        </w:tc>
        <w:tc>
          <w:tcPr>
            <w:tcW w:w="1074" w:type="dxa"/>
            <w:vMerge/>
          </w:tcPr>
          <w:p w14:paraId="4BF9EFDE" w14:textId="77777777" w:rsidR="00861557" w:rsidRPr="00296D0C" w:rsidRDefault="00861557" w:rsidP="0077247E">
            <w:pPr>
              <w:rPr>
                <w:rFonts w:cs="Arial"/>
                <w:b/>
              </w:rPr>
            </w:pPr>
          </w:p>
        </w:tc>
      </w:tr>
      <w:tr w:rsidR="003662C2" w:rsidRPr="00296D0C" w14:paraId="19EED45D" w14:textId="77777777" w:rsidTr="003662C2">
        <w:tc>
          <w:tcPr>
            <w:tcW w:w="1733" w:type="dxa"/>
          </w:tcPr>
          <w:p w14:paraId="4F9FAA1E" w14:textId="77777777" w:rsidR="00861557" w:rsidRPr="00296D0C" w:rsidRDefault="00861557" w:rsidP="0077247E">
            <w:pPr>
              <w:rPr>
                <w:rFonts w:cs="Arial"/>
              </w:rPr>
            </w:pPr>
            <w:r w:rsidRPr="00296D0C">
              <w:rPr>
                <w:rFonts w:cs="Arial"/>
              </w:rPr>
              <w:t xml:space="preserve">Control, 24-mth </w:t>
            </w:r>
          </w:p>
        </w:tc>
        <w:tc>
          <w:tcPr>
            <w:tcW w:w="828" w:type="dxa"/>
          </w:tcPr>
          <w:p w14:paraId="3B4E2694" w14:textId="77777777" w:rsidR="00861557" w:rsidRPr="00296D0C" w:rsidRDefault="00861557" w:rsidP="0077247E">
            <w:pPr>
              <w:rPr>
                <w:rFonts w:cs="Arial"/>
              </w:rPr>
            </w:pPr>
            <w:r w:rsidRPr="00296D0C">
              <w:rPr>
                <w:rFonts w:cs="Arial"/>
              </w:rPr>
              <w:t>80.3%</w:t>
            </w:r>
          </w:p>
        </w:tc>
        <w:tc>
          <w:tcPr>
            <w:tcW w:w="781" w:type="dxa"/>
          </w:tcPr>
          <w:p w14:paraId="402AC1E6" w14:textId="77777777" w:rsidR="00861557" w:rsidRPr="00296D0C" w:rsidRDefault="00861557" w:rsidP="0077247E">
            <w:pPr>
              <w:rPr>
                <w:rFonts w:cs="Arial"/>
              </w:rPr>
            </w:pPr>
            <w:r w:rsidRPr="00296D0C">
              <w:rPr>
                <w:rFonts w:cs="Arial"/>
              </w:rPr>
              <w:t>6.6%</w:t>
            </w:r>
          </w:p>
        </w:tc>
        <w:tc>
          <w:tcPr>
            <w:tcW w:w="781" w:type="dxa"/>
          </w:tcPr>
          <w:p w14:paraId="435D6EFE" w14:textId="77777777" w:rsidR="00861557" w:rsidRPr="00296D0C" w:rsidRDefault="00861557" w:rsidP="0077247E">
            <w:pPr>
              <w:rPr>
                <w:rFonts w:cs="Arial"/>
              </w:rPr>
            </w:pPr>
            <w:r w:rsidRPr="00296D0C">
              <w:rPr>
                <w:rFonts w:cs="Arial"/>
              </w:rPr>
              <w:t>4.8%</w:t>
            </w:r>
          </w:p>
        </w:tc>
        <w:tc>
          <w:tcPr>
            <w:tcW w:w="807" w:type="dxa"/>
          </w:tcPr>
          <w:p w14:paraId="7277E953" w14:textId="77777777" w:rsidR="00861557" w:rsidRPr="00296D0C" w:rsidRDefault="00861557" w:rsidP="0077247E">
            <w:pPr>
              <w:rPr>
                <w:rFonts w:cs="Arial"/>
              </w:rPr>
            </w:pPr>
            <w:r w:rsidRPr="00296D0C">
              <w:rPr>
                <w:rFonts w:cs="Arial"/>
              </w:rPr>
              <w:t>8.2%</w:t>
            </w:r>
          </w:p>
        </w:tc>
        <w:tc>
          <w:tcPr>
            <w:tcW w:w="879" w:type="dxa"/>
          </w:tcPr>
          <w:p w14:paraId="7D3F1A4C" w14:textId="77777777" w:rsidR="00861557" w:rsidRPr="00296D0C" w:rsidRDefault="00861557" w:rsidP="0077247E">
            <w:pPr>
              <w:rPr>
                <w:rFonts w:cs="Arial"/>
              </w:rPr>
            </w:pPr>
            <w:r w:rsidRPr="00296D0C">
              <w:rPr>
                <w:rFonts w:cs="Arial"/>
              </w:rPr>
              <w:t>51.4%</w:t>
            </w:r>
          </w:p>
        </w:tc>
        <w:tc>
          <w:tcPr>
            <w:tcW w:w="879" w:type="dxa"/>
          </w:tcPr>
          <w:p w14:paraId="78E0CD44" w14:textId="77777777" w:rsidR="00861557" w:rsidRPr="00296D0C" w:rsidRDefault="00861557" w:rsidP="0077247E">
            <w:pPr>
              <w:rPr>
                <w:rFonts w:cs="Arial"/>
              </w:rPr>
            </w:pPr>
            <w:r w:rsidRPr="00296D0C">
              <w:rPr>
                <w:rFonts w:cs="Arial"/>
              </w:rPr>
              <w:t>33.1%</w:t>
            </w:r>
          </w:p>
        </w:tc>
        <w:tc>
          <w:tcPr>
            <w:tcW w:w="879" w:type="dxa"/>
          </w:tcPr>
          <w:p w14:paraId="632FAD0D" w14:textId="77777777" w:rsidR="00861557" w:rsidRPr="00296D0C" w:rsidRDefault="00861557" w:rsidP="0077247E">
            <w:pPr>
              <w:rPr>
                <w:rFonts w:cs="Arial"/>
              </w:rPr>
            </w:pPr>
            <w:r w:rsidRPr="00296D0C">
              <w:rPr>
                <w:rFonts w:cs="Arial"/>
              </w:rPr>
              <w:t>15.5%</w:t>
            </w:r>
          </w:p>
        </w:tc>
        <w:tc>
          <w:tcPr>
            <w:tcW w:w="1031" w:type="dxa"/>
          </w:tcPr>
          <w:p w14:paraId="370EB599" w14:textId="77777777" w:rsidR="00861557" w:rsidRPr="00296D0C" w:rsidRDefault="00861557" w:rsidP="0077247E">
            <w:pPr>
              <w:jc w:val="center"/>
              <w:rPr>
                <w:rFonts w:cs="Arial"/>
              </w:rPr>
            </w:pPr>
            <w:r w:rsidRPr="00296D0C">
              <w:rPr>
                <w:rFonts w:cs="Arial"/>
              </w:rPr>
              <w:t>252</w:t>
            </w:r>
          </w:p>
        </w:tc>
        <w:tc>
          <w:tcPr>
            <w:tcW w:w="998" w:type="dxa"/>
          </w:tcPr>
          <w:p w14:paraId="4A597B4F" w14:textId="77777777" w:rsidR="00861557" w:rsidRPr="00296D0C" w:rsidRDefault="00861557" w:rsidP="0077247E">
            <w:pPr>
              <w:rPr>
                <w:rFonts w:cs="Arial"/>
              </w:rPr>
            </w:pPr>
            <w:r w:rsidRPr="00296D0C">
              <w:rPr>
                <w:rFonts w:cs="Arial"/>
              </w:rPr>
              <w:t>£1,140</w:t>
            </w:r>
          </w:p>
        </w:tc>
        <w:tc>
          <w:tcPr>
            <w:tcW w:w="849" w:type="dxa"/>
          </w:tcPr>
          <w:p w14:paraId="65DC5F89" w14:textId="77777777" w:rsidR="00861557" w:rsidRPr="00296D0C" w:rsidRDefault="00861557" w:rsidP="0077247E">
            <w:pPr>
              <w:rPr>
                <w:rFonts w:cs="Arial"/>
              </w:rPr>
            </w:pPr>
            <w:r w:rsidRPr="00296D0C">
              <w:rPr>
                <w:rFonts w:cs="Arial"/>
              </w:rPr>
              <w:t>4.47</w:t>
            </w:r>
          </w:p>
        </w:tc>
        <w:tc>
          <w:tcPr>
            <w:tcW w:w="790" w:type="dxa"/>
          </w:tcPr>
          <w:p w14:paraId="524A02CE" w14:textId="77777777" w:rsidR="00861557" w:rsidRPr="00296D0C" w:rsidRDefault="00861557" w:rsidP="0077247E">
            <w:pPr>
              <w:rPr>
                <w:rFonts w:cs="Arial"/>
              </w:rPr>
            </w:pPr>
            <w:r w:rsidRPr="00296D0C">
              <w:rPr>
                <w:rFonts w:cs="Arial"/>
              </w:rPr>
              <w:t>3.81</w:t>
            </w:r>
          </w:p>
        </w:tc>
        <w:tc>
          <w:tcPr>
            <w:tcW w:w="1074" w:type="dxa"/>
          </w:tcPr>
          <w:p w14:paraId="7C5A7239" w14:textId="77777777" w:rsidR="00861557" w:rsidRPr="00296D0C" w:rsidRDefault="00861557" w:rsidP="0077247E">
            <w:pPr>
              <w:rPr>
                <w:rFonts w:cs="Arial"/>
              </w:rPr>
            </w:pPr>
            <w:r w:rsidRPr="00296D0C">
              <w:rPr>
                <w:rFonts w:cs="Arial"/>
              </w:rPr>
              <w:t>N/A</w:t>
            </w:r>
          </w:p>
        </w:tc>
        <w:tc>
          <w:tcPr>
            <w:tcW w:w="1074" w:type="dxa"/>
          </w:tcPr>
          <w:p w14:paraId="34DCE94C" w14:textId="77777777" w:rsidR="00861557" w:rsidRPr="00296D0C" w:rsidRDefault="00861557" w:rsidP="0077247E">
            <w:pPr>
              <w:rPr>
                <w:rFonts w:cs="Arial"/>
              </w:rPr>
            </w:pPr>
            <w:r w:rsidRPr="00296D0C">
              <w:rPr>
                <w:rFonts w:cs="Arial"/>
              </w:rPr>
              <w:t>N/A</w:t>
            </w:r>
          </w:p>
        </w:tc>
      </w:tr>
      <w:tr w:rsidR="003662C2" w:rsidRPr="00296D0C" w14:paraId="60DB877F" w14:textId="77777777" w:rsidTr="003662C2">
        <w:trPr>
          <w:trHeight w:val="111"/>
        </w:trPr>
        <w:tc>
          <w:tcPr>
            <w:tcW w:w="1733" w:type="dxa"/>
          </w:tcPr>
          <w:p w14:paraId="7A55BFC2" w14:textId="77777777" w:rsidR="00861557" w:rsidRPr="00296D0C" w:rsidRDefault="00861557" w:rsidP="0077247E">
            <w:pPr>
              <w:rPr>
                <w:rFonts w:cs="Arial"/>
              </w:rPr>
            </w:pPr>
          </w:p>
        </w:tc>
        <w:tc>
          <w:tcPr>
            <w:tcW w:w="828" w:type="dxa"/>
          </w:tcPr>
          <w:p w14:paraId="46AA7CB9" w14:textId="77777777" w:rsidR="00861557" w:rsidRPr="00296D0C" w:rsidRDefault="00861557" w:rsidP="0077247E">
            <w:pPr>
              <w:rPr>
                <w:rFonts w:cs="Arial"/>
              </w:rPr>
            </w:pPr>
          </w:p>
        </w:tc>
        <w:tc>
          <w:tcPr>
            <w:tcW w:w="781" w:type="dxa"/>
          </w:tcPr>
          <w:p w14:paraId="157F99CE" w14:textId="77777777" w:rsidR="00861557" w:rsidRPr="00296D0C" w:rsidRDefault="00861557" w:rsidP="0077247E">
            <w:pPr>
              <w:rPr>
                <w:rFonts w:cs="Arial"/>
              </w:rPr>
            </w:pPr>
          </w:p>
        </w:tc>
        <w:tc>
          <w:tcPr>
            <w:tcW w:w="781" w:type="dxa"/>
          </w:tcPr>
          <w:p w14:paraId="5B3C2A15" w14:textId="77777777" w:rsidR="00861557" w:rsidRPr="00296D0C" w:rsidRDefault="00861557" w:rsidP="0077247E">
            <w:pPr>
              <w:rPr>
                <w:rFonts w:cs="Arial"/>
              </w:rPr>
            </w:pPr>
          </w:p>
        </w:tc>
        <w:tc>
          <w:tcPr>
            <w:tcW w:w="807" w:type="dxa"/>
          </w:tcPr>
          <w:p w14:paraId="2E2754F3" w14:textId="77777777" w:rsidR="00861557" w:rsidRPr="00296D0C" w:rsidRDefault="00861557" w:rsidP="0077247E">
            <w:pPr>
              <w:rPr>
                <w:rFonts w:cs="Arial"/>
              </w:rPr>
            </w:pPr>
          </w:p>
        </w:tc>
        <w:tc>
          <w:tcPr>
            <w:tcW w:w="879" w:type="dxa"/>
          </w:tcPr>
          <w:p w14:paraId="35F2C8A4" w14:textId="77777777" w:rsidR="00861557" w:rsidRPr="00296D0C" w:rsidRDefault="00861557" w:rsidP="0077247E">
            <w:pPr>
              <w:rPr>
                <w:rFonts w:cs="Arial"/>
              </w:rPr>
            </w:pPr>
          </w:p>
        </w:tc>
        <w:tc>
          <w:tcPr>
            <w:tcW w:w="879" w:type="dxa"/>
          </w:tcPr>
          <w:p w14:paraId="3E0817AA" w14:textId="77777777" w:rsidR="00861557" w:rsidRPr="00296D0C" w:rsidRDefault="00861557" w:rsidP="0077247E">
            <w:pPr>
              <w:rPr>
                <w:rFonts w:cs="Arial"/>
              </w:rPr>
            </w:pPr>
          </w:p>
        </w:tc>
        <w:tc>
          <w:tcPr>
            <w:tcW w:w="879" w:type="dxa"/>
          </w:tcPr>
          <w:p w14:paraId="5780B7A9" w14:textId="77777777" w:rsidR="00861557" w:rsidRPr="00296D0C" w:rsidRDefault="00861557" w:rsidP="0077247E">
            <w:pPr>
              <w:rPr>
                <w:rFonts w:cs="Arial"/>
              </w:rPr>
            </w:pPr>
          </w:p>
        </w:tc>
        <w:tc>
          <w:tcPr>
            <w:tcW w:w="1031" w:type="dxa"/>
          </w:tcPr>
          <w:p w14:paraId="0012C59C" w14:textId="77777777" w:rsidR="00861557" w:rsidRPr="00296D0C" w:rsidRDefault="00861557" w:rsidP="0077247E">
            <w:pPr>
              <w:jc w:val="center"/>
              <w:rPr>
                <w:rFonts w:cs="Arial"/>
              </w:rPr>
            </w:pPr>
          </w:p>
        </w:tc>
        <w:tc>
          <w:tcPr>
            <w:tcW w:w="998" w:type="dxa"/>
          </w:tcPr>
          <w:p w14:paraId="6B33A4C5" w14:textId="77777777" w:rsidR="00861557" w:rsidRPr="00296D0C" w:rsidRDefault="00861557" w:rsidP="0077247E">
            <w:pPr>
              <w:rPr>
                <w:rFonts w:cs="Arial"/>
              </w:rPr>
            </w:pPr>
          </w:p>
        </w:tc>
        <w:tc>
          <w:tcPr>
            <w:tcW w:w="849" w:type="dxa"/>
          </w:tcPr>
          <w:p w14:paraId="37451520" w14:textId="77777777" w:rsidR="00861557" w:rsidRPr="00296D0C" w:rsidRDefault="00861557" w:rsidP="0077247E">
            <w:pPr>
              <w:rPr>
                <w:rFonts w:cs="Arial"/>
              </w:rPr>
            </w:pPr>
          </w:p>
        </w:tc>
        <w:tc>
          <w:tcPr>
            <w:tcW w:w="790" w:type="dxa"/>
          </w:tcPr>
          <w:p w14:paraId="704841F7" w14:textId="77777777" w:rsidR="00861557" w:rsidRPr="00296D0C" w:rsidRDefault="00861557" w:rsidP="0077247E">
            <w:pPr>
              <w:rPr>
                <w:rFonts w:cs="Arial"/>
              </w:rPr>
            </w:pPr>
          </w:p>
        </w:tc>
        <w:tc>
          <w:tcPr>
            <w:tcW w:w="1074" w:type="dxa"/>
          </w:tcPr>
          <w:p w14:paraId="1F179CAA" w14:textId="77777777" w:rsidR="00861557" w:rsidRPr="00296D0C" w:rsidRDefault="00861557" w:rsidP="0077247E">
            <w:pPr>
              <w:rPr>
                <w:rFonts w:cs="Arial"/>
              </w:rPr>
            </w:pPr>
          </w:p>
        </w:tc>
        <w:tc>
          <w:tcPr>
            <w:tcW w:w="1074" w:type="dxa"/>
          </w:tcPr>
          <w:p w14:paraId="67E1EA04" w14:textId="77777777" w:rsidR="00861557" w:rsidRPr="00296D0C" w:rsidRDefault="00861557" w:rsidP="0077247E">
            <w:pPr>
              <w:rPr>
                <w:rFonts w:cs="Arial"/>
              </w:rPr>
            </w:pPr>
          </w:p>
        </w:tc>
      </w:tr>
      <w:tr w:rsidR="003662C2" w:rsidRPr="00296D0C" w14:paraId="64814D95" w14:textId="77777777" w:rsidTr="003662C2">
        <w:tc>
          <w:tcPr>
            <w:tcW w:w="1733" w:type="dxa"/>
          </w:tcPr>
          <w:p w14:paraId="60EA107D" w14:textId="77777777" w:rsidR="00861557" w:rsidRPr="00296D0C" w:rsidRDefault="00861557" w:rsidP="0077247E">
            <w:pPr>
              <w:rPr>
                <w:rFonts w:cs="Arial"/>
              </w:rPr>
            </w:pPr>
            <w:r w:rsidRPr="00296D0C">
              <w:rPr>
                <w:rFonts w:cs="Arial"/>
              </w:rPr>
              <w:t>A: vs. control, 25% reduction in OB (RR 0.75)</w:t>
            </w:r>
          </w:p>
        </w:tc>
        <w:tc>
          <w:tcPr>
            <w:tcW w:w="828" w:type="dxa"/>
          </w:tcPr>
          <w:p w14:paraId="0E878732" w14:textId="77777777" w:rsidR="00861557" w:rsidRPr="00296D0C" w:rsidRDefault="00861557" w:rsidP="0077247E">
            <w:pPr>
              <w:rPr>
                <w:rFonts w:cs="Arial"/>
              </w:rPr>
            </w:pPr>
            <w:r w:rsidRPr="00296D0C">
              <w:rPr>
                <w:rFonts w:cs="Arial"/>
              </w:rPr>
              <w:t>82.3%</w:t>
            </w:r>
          </w:p>
        </w:tc>
        <w:tc>
          <w:tcPr>
            <w:tcW w:w="781" w:type="dxa"/>
          </w:tcPr>
          <w:p w14:paraId="005A3F57" w14:textId="77777777" w:rsidR="00861557" w:rsidRPr="00296D0C" w:rsidRDefault="00861557" w:rsidP="0077247E">
            <w:pPr>
              <w:rPr>
                <w:rFonts w:cs="Arial"/>
              </w:rPr>
            </w:pPr>
            <w:r w:rsidRPr="00296D0C">
              <w:rPr>
                <w:rFonts w:cs="Arial"/>
              </w:rPr>
              <w:t>6.6%</w:t>
            </w:r>
          </w:p>
        </w:tc>
        <w:tc>
          <w:tcPr>
            <w:tcW w:w="781" w:type="dxa"/>
          </w:tcPr>
          <w:p w14:paraId="213CAC99" w14:textId="77777777" w:rsidR="00861557" w:rsidRPr="00296D0C" w:rsidRDefault="00861557" w:rsidP="0077247E">
            <w:pPr>
              <w:rPr>
                <w:rFonts w:cs="Arial"/>
              </w:rPr>
            </w:pPr>
            <w:r w:rsidRPr="00296D0C">
              <w:rPr>
                <w:rFonts w:cs="Arial"/>
              </w:rPr>
              <w:t>4.8%</w:t>
            </w:r>
          </w:p>
        </w:tc>
        <w:tc>
          <w:tcPr>
            <w:tcW w:w="807" w:type="dxa"/>
          </w:tcPr>
          <w:p w14:paraId="2FB621B5" w14:textId="77777777" w:rsidR="00861557" w:rsidRPr="00296D0C" w:rsidRDefault="00861557" w:rsidP="0077247E">
            <w:pPr>
              <w:rPr>
                <w:rFonts w:cs="Arial"/>
              </w:rPr>
            </w:pPr>
            <w:r w:rsidRPr="00296D0C">
              <w:rPr>
                <w:rFonts w:cs="Arial"/>
              </w:rPr>
              <w:t>6.2%</w:t>
            </w:r>
          </w:p>
        </w:tc>
        <w:tc>
          <w:tcPr>
            <w:tcW w:w="879" w:type="dxa"/>
          </w:tcPr>
          <w:p w14:paraId="7937E07C" w14:textId="77777777" w:rsidR="00861557" w:rsidRPr="00296D0C" w:rsidRDefault="00861557" w:rsidP="0077247E">
            <w:pPr>
              <w:rPr>
                <w:rFonts w:cs="Arial"/>
              </w:rPr>
            </w:pPr>
            <w:r w:rsidRPr="00296D0C">
              <w:rPr>
                <w:rFonts w:cs="Arial"/>
              </w:rPr>
              <w:t>52.4%</w:t>
            </w:r>
          </w:p>
        </w:tc>
        <w:tc>
          <w:tcPr>
            <w:tcW w:w="879" w:type="dxa"/>
          </w:tcPr>
          <w:p w14:paraId="6FABFD0A" w14:textId="77777777" w:rsidR="00861557" w:rsidRPr="00296D0C" w:rsidRDefault="00861557" w:rsidP="0077247E">
            <w:pPr>
              <w:rPr>
                <w:rFonts w:cs="Arial"/>
              </w:rPr>
            </w:pPr>
            <w:r w:rsidRPr="00296D0C">
              <w:rPr>
                <w:rFonts w:cs="Arial"/>
              </w:rPr>
              <w:t>33.1%</w:t>
            </w:r>
          </w:p>
        </w:tc>
        <w:tc>
          <w:tcPr>
            <w:tcW w:w="879" w:type="dxa"/>
          </w:tcPr>
          <w:p w14:paraId="34175C8C" w14:textId="77777777" w:rsidR="00861557" w:rsidRPr="00296D0C" w:rsidRDefault="00861557" w:rsidP="0077247E">
            <w:pPr>
              <w:rPr>
                <w:rFonts w:cs="Arial"/>
              </w:rPr>
            </w:pPr>
            <w:r w:rsidRPr="00296D0C">
              <w:rPr>
                <w:rFonts w:cs="Arial"/>
              </w:rPr>
              <w:t>14.5%</w:t>
            </w:r>
          </w:p>
        </w:tc>
        <w:tc>
          <w:tcPr>
            <w:tcW w:w="1031" w:type="dxa"/>
          </w:tcPr>
          <w:p w14:paraId="7F4640B2" w14:textId="77777777" w:rsidR="00861557" w:rsidRPr="00296D0C" w:rsidRDefault="00861557" w:rsidP="0077247E">
            <w:pPr>
              <w:jc w:val="center"/>
              <w:rPr>
                <w:rFonts w:cs="Arial"/>
              </w:rPr>
            </w:pPr>
            <w:r w:rsidRPr="00296D0C">
              <w:rPr>
                <w:rFonts w:cs="Arial"/>
              </w:rPr>
              <w:t>249</w:t>
            </w:r>
          </w:p>
        </w:tc>
        <w:tc>
          <w:tcPr>
            <w:tcW w:w="998" w:type="dxa"/>
          </w:tcPr>
          <w:p w14:paraId="452CE4B3" w14:textId="77777777" w:rsidR="00861557" w:rsidRPr="00296D0C" w:rsidRDefault="00861557" w:rsidP="0077247E">
            <w:pPr>
              <w:rPr>
                <w:rFonts w:cs="Arial"/>
              </w:rPr>
            </w:pPr>
            <w:r w:rsidRPr="00296D0C">
              <w:rPr>
                <w:rFonts w:cs="Arial"/>
              </w:rPr>
              <w:t>£1,335</w:t>
            </w:r>
          </w:p>
        </w:tc>
        <w:tc>
          <w:tcPr>
            <w:tcW w:w="849" w:type="dxa"/>
          </w:tcPr>
          <w:p w14:paraId="664E8091" w14:textId="77777777" w:rsidR="00861557" w:rsidRPr="00296D0C" w:rsidRDefault="00861557" w:rsidP="0077247E">
            <w:pPr>
              <w:rPr>
                <w:rFonts w:cs="Arial"/>
              </w:rPr>
            </w:pPr>
            <w:r w:rsidRPr="00296D0C">
              <w:rPr>
                <w:rFonts w:cs="Arial"/>
              </w:rPr>
              <w:t>4.476</w:t>
            </w:r>
          </w:p>
        </w:tc>
        <w:tc>
          <w:tcPr>
            <w:tcW w:w="790" w:type="dxa"/>
          </w:tcPr>
          <w:p w14:paraId="6CA716D6" w14:textId="77777777" w:rsidR="00861557" w:rsidRPr="00296D0C" w:rsidRDefault="00861557" w:rsidP="0077247E">
            <w:pPr>
              <w:rPr>
                <w:rFonts w:cs="Arial"/>
              </w:rPr>
            </w:pPr>
            <w:r w:rsidRPr="00296D0C">
              <w:rPr>
                <w:rFonts w:cs="Arial"/>
              </w:rPr>
              <w:t>3.812</w:t>
            </w:r>
          </w:p>
        </w:tc>
        <w:tc>
          <w:tcPr>
            <w:tcW w:w="1074" w:type="dxa"/>
          </w:tcPr>
          <w:p w14:paraId="6123F99D" w14:textId="77777777" w:rsidR="00861557" w:rsidRPr="00296D0C" w:rsidRDefault="00861557" w:rsidP="0077247E">
            <w:pPr>
              <w:rPr>
                <w:rFonts w:cs="Arial"/>
              </w:rPr>
            </w:pPr>
            <w:r w:rsidRPr="00296D0C">
              <w:rPr>
                <w:rFonts w:cs="Arial"/>
              </w:rPr>
              <w:t>£44,723</w:t>
            </w:r>
          </w:p>
          <w:p w14:paraId="3C2BEF33" w14:textId="77777777" w:rsidR="00861557" w:rsidRPr="00296D0C" w:rsidRDefault="00861557" w:rsidP="0077247E">
            <w:pPr>
              <w:rPr>
                <w:rFonts w:cs="Arial"/>
              </w:rPr>
            </w:pPr>
            <w:r w:rsidRPr="00296D0C">
              <w:rPr>
                <w:rFonts w:cs="Arial"/>
              </w:rPr>
              <w:t>(£13,540)</w:t>
            </w:r>
          </w:p>
        </w:tc>
        <w:tc>
          <w:tcPr>
            <w:tcW w:w="1074" w:type="dxa"/>
          </w:tcPr>
          <w:p w14:paraId="7C845855" w14:textId="77777777" w:rsidR="00861557" w:rsidRPr="00296D0C" w:rsidRDefault="00861557" w:rsidP="0077247E">
            <w:pPr>
              <w:rPr>
                <w:rFonts w:cs="Arial"/>
              </w:rPr>
            </w:pPr>
            <w:r w:rsidRPr="00296D0C">
              <w:rPr>
                <w:rFonts w:cs="Arial"/>
              </w:rPr>
              <w:t>£46,654</w:t>
            </w:r>
          </w:p>
          <w:p w14:paraId="7C3DA8CA" w14:textId="77777777" w:rsidR="00861557" w:rsidRPr="00296D0C" w:rsidRDefault="00861557" w:rsidP="0077247E">
            <w:pPr>
              <w:rPr>
                <w:rFonts w:cs="Arial"/>
              </w:rPr>
            </w:pPr>
            <w:r w:rsidRPr="00296D0C">
              <w:rPr>
                <w:rFonts w:cs="Arial"/>
              </w:rPr>
              <w:t>(£14,124)</w:t>
            </w:r>
          </w:p>
        </w:tc>
      </w:tr>
      <w:tr w:rsidR="003662C2" w:rsidRPr="00296D0C" w14:paraId="2337953D" w14:textId="77777777" w:rsidTr="003662C2">
        <w:tc>
          <w:tcPr>
            <w:tcW w:w="1733" w:type="dxa"/>
          </w:tcPr>
          <w:p w14:paraId="4F8A453D" w14:textId="77777777" w:rsidR="00861557" w:rsidRPr="00296D0C" w:rsidRDefault="00861557" w:rsidP="0077247E">
            <w:pPr>
              <w:rPr>
                <w:rFonts w:cs="Arial"/>
              </w:rPr>
            </w:pPr>
            <w:r w:rsidRPr="00296D0C">
              <w:rPr>
                <w:rFonts w:cs="Arial"/>
              </w:rPr>
              <w:t>B: vs. control 50% reduction in OB (RR 0.50)</w:t>
            </w:r>
          </w:p>
        </w:tc>
        <w:tc>
          <w:tcPr>
            <w:tcW w:w="828" w:type="dxa"/>
          </w:tcPr>
          <w:p w14:paraId="068F1586" w14:textId="77777777" w:rsidR="00861557" w:rsidRPr="00296D0C" w:rsidRDefault="00861557" w:rsidP="0077247E">
            <w:pPr>
              <w:rPr>
                <w:rFonts w:cs="Arial"/>
              </w:rPr>
            </w:pPr>
            <w:r w:rsidRPr="00296D0C">
              <w:rPr>
                <w:rFonts w:cs="Arial"/>
              </w:rPr>
              <w:t>84.4%</w:t>
            </w:r>
          </w:p>
        </w:tc>
        <w:tc>
          <w:tcPr>
            <w:tcW w:w="781" w:type="dxa"/>
          </w:tcPr>
          <w:p w14:paraId="3A39596C" w14:textId="77777777" w:rsidR="00861557" w:rsidRPr="00296D0C" w:rsidRDefault="00861557" w:rsidP="0077247E">
            <w:pPr>
              <w:rPr>
                <w:rFonts w:cs="Arial"/>
              </w:rPr>
            </w:pPr>
            <w:r w:rsidRPr="00296D0C">
              <w:rPr>
                <w:rFonts w:cs="Arial"/>
              </w:rPr>
              <w:t>6.6%</w:t>
            </w:r>
          </w:p>
        </w:tc>
        <w:tc>
          <w:tcPr>
            <w:tcW w:w="781" w:type="dxa"/>
          </w:tcPr>
          <w:p w14:paraId="4528505D" w14:textId="77777777" w:rsidR="00861557" w:rsidRPr="00296D0C" w:rsidRDefault="00861557" w:rsidP="0077247E">
            <w:pPr>
              <w:rPr>
                <w:rFonts w:cs="Arial"/>
              </w:rPr>
            </w:pPr>
            <w:r w:rsidRPr="00296D0C">
              <w:rPr>
                <w:rFonts w:cs="Arial"/>
              </w:rPr>
              <w:t>4.8%</w:t>
            </w:r>
          </w:p>
        </w:tc>
        <w:tc>
          <w:tcPr>
            <w:tcW w:w="807" w:type="dxa"/>
          </w:tcPr>
          <w:p w14:paraId="369FC83E" w14:textId="77777777" w:rsidR="00861557" w:rsidRPr="00296D0C" w:rsidRDefault="00861557" w:rsidP="0077247E">
            <w:pPr>
              <w:rPr>
                <w:rFonts w:cs="Arial"/>
              </w:rPr>
            </w:pPr>
            <w:r w:rsidRPr="00296D0C">
              <w:rPr>
                <w:rFonts w:cs="Arial"/>
              </w:rPr>
              <w:t>4.1%</w:t>
            </w:r>
          </w:p>
        </w:tc>
        <w:tc>
          <w:tcPr>
            <w:tcW w:w="879" w:type="dxa"/>
          </w:tcPr>
          <w:p w14:paraId="2AD1BECD" w14:textId="77777777" w:rsidR="00861557" w:rsidRPr="00296D0C" w:rsidRDefault="00861557" w:rsidP="0077247E">
            <w:pPr>
              <w:rPr>
                <w:rFonts w:cs="Arial"/>
              </w:rPr>
            </w:pPr>
            <w:r w:rsidRPr="00296D0C">
              <w:rPr>
                <w:rFonts w:cs="Arial"/>
              </w:rPr>
              <w:t>53.4%</w:t>
            </w:r>
          </w:p>
        </w:tc>
        <w:tc>
          <w:tcPr>
            <w:tcW w:w="879" w:type="dxa"/>
          </w:tcPr>
          <w:p w14:paraId="4B9194DD" w14:textId="77777777" w:rsidR="00861557" w:rsidRPr="00296D0C" w:rsidRDefault="00861557" w:rsidP="0077247E">
            <w:pPr>
              <w:rPr>
                <w:rFonts w:cs="Arial"/>
              </w:rPr>
            </w:pPr>
            <w:r w:rsidRPr="00296D0C">
              <w:rPr>
                <w:rFonts w:cs="Arial"/>
              </w:rPr>
              <w:t>33.1%</w:t>
            </w:r>
          </w:p>
        </w:tc>
        <w:tc>
          <w:tcPr>
            <w:tcW w:w="879" w:type="dxa"/>
          </w:tcPr>
          <w:p w14:paraId="2B08CCAF" w14:textId="77777777" w:rsidR="00861557" w:rsidRPr="00296D0C" w:rsidRDefault="00861557" w:rsidP="0077247E">
            <w:pPr>
              <w:rPr>
                <w:rFonts w:cs="Arial"/>
              </w:rPr>
            </w:pPr>
            <w:r w:rsidRPr="00296D0C">
              <w:rPr>
                <w:rFonts w:cs="Arial"/>
              </w:rPr>
              <w:t>13.5%</w:t>
            </w:r>
          </w:p>
        </w:tc>
        <w:tc>
          <w:tcPr>
            <w:tcW w:w="1031" w:type="dxa"/>
          </w:tcPr>
          <w:p w14:paraId="0BA12CB8" w14:textId="77777777" w:rsidR="00861557" w:rsidRPr="00296D0C" w:rsidRDefault="00861557" w:rsidP="0077247E">
            <w:pPr>
              <w:jc w:val="center"/>
              <w:rPr>
                <w:rFonts w:cs="Arial"/>
              </w:rPr>
            </w:pPr>
            <w:r w:rsidRPr="00296D0C">
              <w:rPr>
                <w:rFonts w:cs="Arial"/>
              </w:rPr>
              <w:t>246</w:t>
            </w:r>
          </w:p>
        </w:tc>
        <w:tc>
          <w:tcPr>
            <w:tcW w:w="998" w:type="dxa"/>
          </w:tcPr>
          <w:p w14:paraId="413D4BD6" w14:textId="77777777" w:rsidR="00861557" w:rsidRPr="00296D0C" w:rsidRDefault="00861557" w:rsidP="0077247E">
            <w:pPr>
              <w:rPr>
                <w:rFonts w:cs="Arial"/>
              </w:rPr>
            </w:pPr>
            <w:r w:rsidRPr="00296D0C">
              <w:rPr>
                <w:rFonts w:cs="Arial"/>
              </w:rPr>
              <w:t>£1,318</w:t>
            </w:r>
          </w:p>
        </w:tc>
        <w:tc>
          <w:tcPr>
            <w:tcW w:w="849" w:type="dxa"/>
          </w:tcPr>
          <w:p w14:paraId="67932509" w14:textId="77777777" w:rsidR="00861557" w:rsidRPr="00296D0C" w:rsidRDefault="00861557" w:rsidP="0077247E">
            <w:pPr>
              <w:rPr>
                <w:rFonts w:cs="Arial"/>
              </w:rPr>
            </w:pPr>
            <w:r w:rsidRPr="00296D0C">
              <w:rPr>
                <w:rFonts w:cs="Arial"/>
              </w:rPr>
              <w:t>4.480</w:t>
            </w:r>
          </w:p>
        </w:tc>
        <w:tc>
          <w:tcPr>
            <w:tcW w:w="790" w:type="dxa"/>
          </w:tcPr>
          <w:p w14:paraId="1300B160" w14:textId="77777777" w:rsidR="00861557" w:rsidRPr="00296D0C" w:rsidRDefault="00861557" w:rsidP="0077247E">
            <w:pPr>
              <w:rPr>
                <w:rFonts w:cs="Arial"/>
              </w:rPr>
            </w:pPr>
            <w:r w:rsidRPr="00296D0C">
              <w:rPr>
                <w:rFonts w:cs="Arial"/>
              </w:rPr>
              <w:t>3.816</w:t>
            </w:r>
          </w:p>
        </w:tc>
        <w:tc>
          <w:tcPr>
            <w:tcW w:w="1074" w:type="dxa"/>
          </w:tcPr>
          <w:p w14:paraId="1CA160F5" w14:textId="77777777" w:rsidR="00861557" w:rsidRPr="00296D0C" w:rsidRDefault="00861557" w:rsidP="0077247E">
            <w:pPr>
              <w:rPr>
                <w:rFonts w:cs="Arial"/>
              </w:rPr>
            </w:pPr>
            <w:r w:rsidRPr="00296D0C">
              <w:rPr>
                <w:rFonts w:cs="Arial"/>
              </w:rPr>
              <w:t>£20,264</w:t>
            </w:r>
          </w:p>
          <w:p w14:paraId="76114981" w14:textId="77777777" w:rsidR="00861557" w:rsidRPr="00296D0C" w:rsidRDefault="00861557" w:rsidP="0077247E">
            <w:pPr>
              <w:rPr>
                <w:rFonts w:cs="Arial"/>
              </w:rPr>
            </w:pPr>
            <w:r w:rsidRPr="00296D0C">
              <w:rPr>
                <w:rFonts w:cs="Arial"/>
              </w:rPr>
              <w:t>(£4,673)</w:t>
            </w:r>
          </w:p>
        </w:tc>
        <w:tc>
          <w:tcPr>
            <w:tcW w:w="1074" w:type="dxa"/>
          </w:tcPr>
          <w:p w14:paraId="103DC40A" w14:textId="77777777" w:rsidR="00861557" w:rsidRPr="00296D0C" w:rsidRDefault="00861557" w:rsidP="0077247E">
            <w:pPr>
              <w:rPr>
                <w:rFonts w:cs="Arial"/>
              </w:rPr>
            </w:pPr>
            <w:r w:rsidRPr="00296D0C">
              <w:rPr>
                <w:rFonts w:cs="Arial"/>
              </w:rPr>
              <w:t>£21,139</w:t>
            </w:r>
          </w:p>
          <w:p w14:paraId="2C9675F2" w14:textId="77777777" w:rsidR="00861557" w:rsidRPr="00296D0C" w:rsidRDefault="00861557" w:rsidP="0077247E">
            <w:pPr>
              <w:rPr>
                <w:rFonts w:cs="Arial"/>
              </w:rPr>
            </w:pPr>
            <w:r w:rsidRPr="00296D0C">
              <w:rPr>
                <w:rFonts w:cs="Arial"/>
              </w:rPr>
              <w:t>(£4,875)</w:t>
            </w:r>
          </w:p>
        </w:tc>
      </w:tr>
      <w:tr w:rsidR="003662C2" w:rsidRPr="00296D0C" w14:paraId="27AC7C3A" w14:textId="77777777" w:rsidTr="003662C2">
        <w:tc>
          <w:tcPr>
            <w:tcW w:w="1733" w:type="dxa"/>
          </w:tcPr>
          <w:p w14:paraId="26651436" w14:textId="77777777" w:rsidR="00861557" w:rsidRPr="00296D0C" w:rsidRDefault="00861557" w:rsidP="0077247E">
            <w:pPr>
              <w:rPr>
                <w:rFonts w:cs="Arial"/>
              </w:rPr>
            </w:pPr>
            <w:r w:rsidRPr="00296D0C">
              <w:rPr>
                <w:rFonts w:cs="Arial"/>
              </w:rPr>
              <w:t>C: 25% reduction in OB &amp; OW (RRs 0.75)</w:t>
            </w:r>
          </w:p>
        </w:tc>
        <w:tc>
          <w:tcPr>
            <w:tcW w:w="828" w:type="dxa"/>
          </w:tcPr>
          <w:p w14:paraId="0EC5274C" w14:textId="77777777" w:rsidR="00861557" w:rsidRPr="00296D0C" w:rsidRDefault="00861557" w:rsidP="0077247E">
            <w:pPr>
              <w:rPr>
                <w:rFonts w:cs="Arial"/>
              </w:rPr>
            </w:pPr>
            <w:r w:rsidRPr="00296D0C">
              <w:rPr>
                <w:rFonts w:cs="Arial"/>
              </w:rPr>
              <w:t>83.6%</w:t>
            </w:r>
          </w:p>
        </w:tc>
        <w:tc>
          <w:tcPr>
            <w:tcW w:w="781" w:type="dxa"/>
          </w:tcPr>
          <w:p w14:paraId="3C81539E" w14:textId="77777777" w:rsidR="00861557" w:rsidRPr="00296D0C" w:rsidRDefault="00861557" w:rsidP="0077247E">
            <w:pPr>
              <w:rPr>
                <w:rFonts w:cs="Arial"/>
              </w:rPr>
            </w:pPr>
            <w:r w:rsidRPr="00296D0C">
              <w:rPr>
                <w:rFonts w:cs="Arial"/>
              </w:rPr>
              <w:t>6.6%</w:t>
            </w:r>
          </w:p>
        </w:tc>
        <w:tc>
          <w:tcPr>
            <w:tcW w:w="781" w:type="dxa"/>
          </w:tcPr>
          <w:p w14:paraId="4871B967" w14:textId="77777777" w:rsidR="00861557" w:rsidRPr="00296D0C" w:rsidRDefault="00861557" w:rsidP="0077247E">
            <w:pPr>
              <w:rPr>
                <w:rFonts w:cs="Arial"/>
              </w:rPr>
            </w:pPr>
            <w:r w:rsidRPr="00296D0C">
              <w:rPr>
                <w:rFonts w:cs="Arial"/>
              </w:rPr>
              <w:t>3.6%</w:t>
            </w:r>
          </w:p>
        </w:tc>
        <w:tc>
          <w:tcPr>
            <w:tcW w:w="807" w:type="dxa"/>
          </w:tcPr>
          <w:p w14:paraId="4DE27890" w14:textId="77777777" w:rsidR="00861557" w:rsidRPr="00296D0C" w:rsidRDefault="00861557" w:rsidP="0077247E">
            <w:pPr>
              <w:rPr>
                <w:rFonts w:cs="Arial"/>
              </w:rPr>
            </w:pPr>
            <w:r w:rsidRPr="00296D0C">
              <w:rPr>
                <w:rFonts w:cs="Arial"/>
              </w:rPr>
              <w:t>6.2%</w:t>
            </w:r>
          </w:p>
        </w:tc>
        <w:tc>
          <w:tcPr>
            <w:tcW w:w="879" w:type="dxa"/>
          </w:tcPr>
          <w:p w14:paraId="0438057B" w14:textId="77777777" w:rsidR="00861557" w:rsidRPr="00296D0C" w:rsidRDefault="00861557" w:rsidP="0077247E">
            <w:pPr>
              <w:rPr>
                <w:rFonts w:cs="Arial"/>
              </w:rPr>
            </w:pPr>
            <w:r w:rsidRPr="00296D0C">
              <w:rPr>
                <w:rFonts w:cs="Arial"/>
              </w:rPr>
              <w:t>52.83%</w:t>
            </w:r>
          </w:p>
        </w:tc>
        <w:tc>
          <w:tcPr>
            <w:tcW w:w="879" w:type="dxa"/>
          </w:tcPr>
          <w:p w14:paraId="7436F900" w14:textId="77777777" w:rsidR="00861557" w:rsidRPr="00296D0C" w:rsidRDefault="00861557" w:rsidP="0077247E">
            <w:pPr>
              <w:rPr>
                <w:rFonts w:cs="Arial"/>
              </w:rPr>
            </w:pPr>
            <w:r w:rsidRPr="00296D0C">
              <w:rPr>
                <w:rFonts w:cs="Arial"/>
              </w:rPr>
              <w:t>33.04%</w:t>
            </w:r>
          </w:p>
        </w:tc>
        <w:tc>
          <w:tcPr>
            <w:tcW w:w="879" w:type="dxa"/>
          </w:tcPr>
          <w:p w14:paraId="7BFB737A" w14:textId="77777777" w:rsidR="00861557" w:rsidRPr="00296D0C" w:rsidRDefault="00861557" w:rsidP="0077247E">
            <w:pPr>
              <w:rPr>
                <w:rFonts w:cs="Arial"/>
              </w:rPr>
            </w:pPr>
            <w:r w:rsidRPr="00296D0C">
              <w:rPr>
                <w:rFonts w:cs="Arial"/>
              </w:rPr>
              <w:t>14.13%</w:t>
            </w:r>
          </w:p>
        </w:tc>
        <w:tc>
          <w:tcPr>
            <w:tcW w:w="1031" w:type="dxa"/>
          </w:tcPr>
          <w:p w14:paraId="788A0089" w14:textId="77777777" w:rsidR="00861557" w:rsidRPr="00296D0C" w:rsidRDefault="00861557" w:rsidP="0077247E">
            <w:pPr>
              <w:jc w:val="center"/>
              <w:rPr>
                <w:rFonts w:cs="Arial"/>
              </w:rPr>
            </w:pPr>
            <w:r w:rsidRPr="00296D0C">
              <w:rPr>
                <w:rFonts w:cs="Arial"/>
              </w:rPr>
              <w:t>248</w:t>
            </w:r>
          </w:p>
        </w:tc>
        <w:tc>
          <w:tcPr>
            <w:tcW w:w="998" w:type="dxa"/>
          </w:tcPr>
          <w:p w14:paraId="6143734A" w14:textId="77777777" w:rsidR="00861557" w:rsidRPr="00296D0C" w:rsidRDefault="00861557" w:rsidP="0077247E">
            <w:pPr>
              <w:rPr>
                <w:rFonts w:cs="Arial"/>
              </w:rPr>
            </w:pPr>
            <w:r w:rsidRPr="00296D0C">
              <w:rPr>
                <w:rFonts w:cs="Arial"/>
              </w:rPr>
              <w:t>£1,328</w:t>
            </w:r>
          </w:p>
        </w:tc>
        <w:tc>
          <w:tcPr>
            <w:tcW w:w="849" w:type="dxa"/>
          </w:tcPr>
          <w:p w14:paraId="73AAD0E5" w14:textId="77777777" w:rsidR="00861557" w:rsidRPr="00296D0C" w:rsidRDefault="00861557" w:rsidP="0077247E">
            <w:pPr>
              <w:rPr>
                <w:rFonts w:cs="Arial"/>
              </w:rPr>
            </w:pPr>
            <w:r w:rsidRPr="00296D0C">
              <w:rPr>
                <w:rFonts w:cs="Arial"/>
              </w:rPr>
              <w:t>4.478</w:t>
            </w:r>
          </w:p>
        </w:tc>
        <w:tc>
          <w:tcPr>
            <w:tcW w:w="790" w:type="dxa"/>
          </w:tcPr>
          <w:p w14:paraId="7B1CDA6C" w14:textId="77777777" w:rsidR="00861557" w:rsidRPr="00296D0C" w:rsidRDefault="00861557" w:rsidP="0077247E">
            <w:pPr>
              <w:rPr>
                <w:rFonts w:cs="Arial"/>
              </w:rPr>
            </w:pPr>
            <w:r w:rsidRPr="00296D0C">
              <w:rPr>
                <w:rFonts w:cs="Arial"/>
              </w:rPr>
              <w:t>3.813</w:t>
            </w:r>
          </w:p>
        </w:tc>
        <w:tc>
          <w:tcPr>
            <w:tcW w:w="1074" w:type="dxa"/>
          </w:tcPr>
          <w:p w14:paraId="1CF45D8B" w14:textId="77777777" w:rsidR="00861557" w:rsidRPr="00296D0C" w:rsidRDefault="00861557" w:rsidP="0077247E">
            <w:pPr>
              <w:rPr>
                <w:rFonts w:cs="Arial"/>
              </w:rPr>
            </w:pPr>
            <w:r w:rsidRPr="00296D0C">
              <w:rPr>
                <w:rFonts w:cs="Arial"/>
              </w:rPr>
              <w:t>£30,850</w:t>
            </w:r>
          </w:p>
          <w:p w14:paraId="65B55E28" w14:textId="77777777" w:rsidR="00861557" w:rsidRPr="00296D0C" w:rsidRDefault="00861557" w:rsidP="0077247E">
            <w:pPr>
              <w:rPr>
                <w:rFonts w:cs="Arial"/>
              </w:rPr>
            </w:pPr>
            <w:r w:rsidRPr="00296D0C">
              <w:rPr>
                <w:rFonts w:cs="Arial"/>
              </w:rPr>
              <w:t>(£8,513)</w:t>
            </w:r>
          </w:p>
        </w:tc>
        <w:tc>
          <w:tcPr>
            <w:tcW w:w="1074" w:type="dxa"/>
          </w:tcPr>
          <w:p w14:paraId="79EA1B5D" w14:textId="77777777" w:rsidR="00861557" w:rsidRPr="00296D0C" w:rsidRDefault="00861557" w:rsidP="0077247E">
            <w:pPr>
              <w:rPr>
                <w:rFonts w:cs="Arial"/>
              </w:rPr>
            </w:pPr>
            <w:r w:rsidRPr="00296D0C">
              <w:rPr>
                <w:rFonts w:cs="Arial"/>
              </w:rPr>
              <w:t>£32,183</w:t>
            </w:r>
          </w:p>
          <w:p w14:paraId="2528C223" w14:textId="77777777" w:rsidR="00861557" w:rsidRPr="00296D0C" w:rsidRDefault="00861557" w:rsidP="0077247E">
            <w:pPr>
              <w:rPr>
                <w:rFonts w:cs="Arial"/>
              </w:rPr>
            </w:pPr>
            <w:r w:rsidRPr="00296D0C">
              <w:rPr>
                <w:rFonts w:cs="Arial"/>
              </w:rPr>
              <w:t>(£8,881)</w:t>
            </w:r>
          </w:p>
        </w:tc>
      </w:tr>
      <w:tr w:rsidR="003662C2" w:rsidRPr="00296D0C" w14:paraId="12C4572C" w14:textId="77777777" w:rsidTr="003662C2">
        <w:tc>
          <w:tcPr>
            <w:tcW w:w="1733" w:type="dxa"/>
          </w:tcPr>
          <w:p w14:paraId="1F2689CD" w14:textId="77777777" w:rsidR="00861557" w:rsidRPr="00296D0C" w:rsidRDefault="00861557" w:rsidP="0077247E">
            <w:pPr>
              <w:rPr>
                <w:rFonts w:cs="Arial"/>
              </w:rPr>
            </w:pPr>
            <w:r w:rsidRPr="00296D0C">
              <w:rPr>
                <w:rFonts w:cs="Arial"/>
              </w:rPr>
              <w:t>D: 50% reduction in OW and OB (RRs 0.50)</w:t>
            </w:r>
          </w:p>
        </w:tc>
        <w:tc>
          <w:tcPr>
            <w:tcW w:w="828" w:type="dxa"/>
          </w:tcPr>
          <w:p w14:paraId="248130F3" w14:textId="77777777" w:rsidR="00861557" w:rsidRPr="00296D0C" w:rsidRDefault="00861557" w:rsidP="0077247E">
            <w:pPr>
              <w:rPr>
                <w:rFonts w:cs="Arial"/>
              </w:rPr>
            </w:pPr>
            <w:r w:rsidRPr="00296D0C">
              <w:rPr>
                <w:rFonts w:cs="Arial"/>
              </w:rPr>
              <w:t>86.9%</w:t>
            </w:r>
          </w:p>
        </w:tc>
        <w:tc>
          <w:tcPr>
            <w:tcW w:w="781" w:type="dxa"/>
          </w:tcPr>
          <w:p w14:paraId="0B3FABF4" w14:textId="77777777" w:rsidR="00861557" w:rsidRPr="00296D0C" w:rsidRDefault="00861557" w:rsidP="0077247E">
            <w:pPr>
              <w:rPr>
                <w:rFonts w:cs="Arial"/>
              </w:rPr>
            </w:pPr>
            <w:r w:rsidRPr="00296D0C">
              <w:rPr>
                <w:rFonts w:cs="Arial"/>
              </w:rPr>
              <w:t>6.6%</w:t>
            </w:r>
          </w:p>
        </w:tc>
        <w:tc>
          <w:tcPr>
            <w:tcW w:w="781" w:type="dxa"/>
          </w:tcPr>
          <w:p w14:paraId="24B462AB" w14:textId="77777777" w:rsidR="00861557" w:rsidRPr="00296D0C" w:rsidRDefault="00861557" w:rsidP="0077247E">
            <w:pPr>
              <w:rPr>
                <w:rFonts w:cs="Arial"/>
              </w:rPr>
            </w:pPr>
            <w:r w:rsidRPr="00296D0C">
              <w:rPr>
                <w:rFonts w:cs="Arial"/>
              </w:rPr>
              <w:t>2.4%</w:t>
            </w:r>
          </w:p>
        </w:tc>
        <w:tc>
          <w:tcPr>
            <w:tcW w:w="807" w:type="dxa"/>
          </w:tcPr>
          <w:p w14:paraId="373A0859" w14:textId="77777777" w:rsidR="00861557" w:rsidRPr="00296D0C" w:rsidRDefault="00861557" w:rsidP="0077247E">
            <w:pPr>
              <w:rPr>
                <w:rFonts w:cs="Arial"/>
              </w:rPr>
            </w:pPr>
            <w:r w:rsidRPr="00296D0C">
              <w:rPr>
                <w:rFonts w:cs="Arial"/>
              </w:rPr>
              <w:t>4.1%</w:t>
            </w:r>
          </w:p>
        </w:tc>
        <w:tc>
          <w:tcPr>
            <w:tcW w:w="879" w:type="dxa"/>
          </w:tcPr>
          <w:p w14:paraId="485F0A16" w14:textId="77777777" w:rsidR="00861557" w:rsidRPr="00296D0C" w:rsidRDefault="00861557" w:rsidP="0077247E">
            <w:pPr>
              <w:rPr>
                <w:rFonts w:cs="Arial"/>
              </w:rPr>
            </w:pPr>
            <w:r w:rsidRPr="00296D0C">
              <w:rPr>
                <w:rFonts w:cs="Arial"/>
              </w:rPr>
              <w:t>54.29%</w:t>
            </w:r>
          </w:p>
        </w:tc>
        <w:tc>
          <w:tcPr>
            <w:tcW w:w="879" w:type="dxa"/>
          </w:tcPr>
          <w:p w14:paraId="0112B9F9" w14:textId="77777777" w:rsidR="00861557" w:rsidRPr="00296D0C" w:rsidRDefault="00861557" w:rsidP="0077247E">
            <w:pPr>
              <w:rPr>
                <w:rFonts w:cs="Arial"/>
              </w:rPr>
            </w:pPr>
            <w:r w:rsidRPr="00296D0C">
              <w:rPr>
                <w:rFonts w:cs="Arial"/>
              </w:rPr>
              <w:t>32.93%</w:t>
            </w:r>
          </w:p>
        </w:tc>
        <w:tc>
          <w:tcPr>
            <w:tcW w:w="879" w:type="dxa"/>
          </w:tcPr>
          <w:p w14:paraId="46753FFA" w14:textId="77777777" w:rsidR="00861557" w:rsidRPr="00296D0C" w:rsidRDefault="00861557" w:rsidP="0077247E">
            <w:pPr>
              <w:rPr>
                <w:rFonts w:cs="Arial"/>
              </w:rPr>
            </w:pPr>
            <w:r w:rsidRPr="00296D0C">
              <w:rPr>
                <w:rFonts w:cs="Arial"/>
              </w:rPr>
              <w:t>12.78%</w:t>
            </w:r>
          </w:p>
        </w:tc>
        <w:tc>
          <w:tcPr>
            <w:tcW w:w="1031" w:type="dxa"/>
          </w:tcPr>
          <w:p w14:paraId="1B242E58" w14:textId="77777777" w:rsidR="00861557" w:rsidRPr="00296D0C" w:rsidRDefault="00861557" w:rsidP="0077247E">
            <w:pPr>
              <w:jc w:val="center"/>
              <w:rPr>
                <w:rFonts w:cs="Arial"/>
              </w:rPr>
            </w:pPr>
            <w:r w:rsidRPr="00296D0C">
              <w:rPr>
                <w:rFonts w:cs="Arial"/>
              </w:rPr>
              <w:t>243</w:t>
            </w:r>
          </w:p>
        </w:tc>
        <w:tc>
          <w:tcPr>
            <w:tcW w:w="998" w:type="dxa"/>
          </w:tcPr>
          <w:p w14:paraId="5612A0B6" w14:textId="77777777" w:rsidR="00861557" w:rsidRPr="00296D0C" w:rsidRDefault="00861557" w:rsidP="0077247E">
            <w:pPr>
              <w:rPr>
                <w:rFonts w:cs="Arial"/>
              </w:rPr>
            </w:pPr>
            <w:r w:rsidRPr="00296D0C">
              <w:rPr>
                <w:rFonts w:cs="Arial"/>
              </w:rPr>
              <w:t>£1,303</w:t>
            </w:r>
          </w:p>
        </w:tc>
        <w:tc>
          <w:tcPr>
            <w:tcW w:w="849" w:type="dxa"/>
          </w:tcPr>
          <w:p w14:paraId="23AC4F8B" w14:textId="77777777" w:rsidR="00861557" w:rsidRPr="00296D0C" w:rsidRDefault="00861557" w:rsidP="0077247E">
            <w:pPr>
              <w:rPr>
                <w:rFonts w:cs="Arial"/>
              </w:rPr>
            </w:pPr>
            <w:r w:rsidRPr="00296D0C">
              <w:rPr>
                <w:rFonts w:cs="Arial"/>
              </w:rPr>
              <w:t>4.484</w:t>
            </w:r>
          </w:p>
        </w:tc>
        <w:tc>
          <w:tcPr>
            <w:tcW w:w="790" w:type="dxa"/>
          </w:tcPr>
          <w:p w14:paraId="247450C7" w14:textId="77777777" w:rsidR="00861557" w:rsidRPr="00296D0C" w:rsidRDefault="00861557" w:rsidP="0077247E">
            <w:pPr>
              <w:rPr>
                <w:rFonts w:cs="Arial"/>
              </w:rPr>
            </w:pPr>
            <w:r w:rsidRPr="00296D0C">
              <w:rPr>
                <w:rFonts w:cs="Arial"/>
              </w:rPr>
              <w:t>3.819</w:t>
            </w:r>
          </w:p>
        </w:tc>
        <w:tc>
          <w:tcPr>
            <w:tcW w:w="1074" w:type="dxa"/>
          </w:tcPr>
          <w:p w14:paraId="1D4BAE7F" w14:textId="77777777" w:rsidR="00861557" w:rsidRPr="00296D0C" w:rsidRDefault="00861557" w:rsidP="0077247E">
            <w:pPr>
              <w:rPr>
                <w:rFonts w:cs="Arial"/>
              </w:rPr>
            </w:pPr>
            <w:r w:rsidRPr="00296D0C">
              <w:rPr>
                <w:rFonts w:cs="Arial"/>
              </w:rPr>
              <w:t>£13,330</w:t>
            </w:r>
          </w:p>
          <w:p w14:paraId="7B720D8F" w14:textId="77777777" w:rsidR="00861557" w:rsidRPr="00296D0C" w:rsidRDefault="00861557" w:rsidP="0077247E">
            <w:pPr>
              <w:rPr>
                <w:rFonts w:cs="Arial"/>
              </w:rPr>
            </w:pPr>
            <w:r w:rsidRPr="00296D0C">
              <w:rPr>
                <w:rFonts w:cs="Arial"/>
              </w:rPr>
              <w:t>(£2,162)</w:t>
            </w:r>
          </w:p>
        </w:tc>
        <w:tc>
          <w:tcPr>
            <w:tcW w:w="1074" w:type="dxa"/>
          </w:tcPr>
          <w:p w14:paraId="617F1577" w14:textId="77777777" w:rsidR="00861557" w:rsidRPr="00296D0C" w:rsidRDefault="00861557" w:rsidP="0077247E">
            <w:pPr>
              <w:rPr>
                <w:rFonts w:cs="Arial"/>
              </w:rPr>
            </w:pPr>
            <w:r w:rsidRPr="00296D0C">
              <w:rPr>
                <w:rFonts w:cs="Arial"/>
              </w:rPr>
              <w:t>£13,906</w:t>
            </w:r>
          </w:p>
          <w:p w14:paraId="6367736F" w14:textId="77777777" w:rsidR="00861557" w:rsidRPr="00296D0C" w:rsidRDefault="00861557" w:rsidP="0077247E">
            <w:pPr>
              <w:rPr>
                <w:rFonts w:cs="Arial"/>
              </w:rPr>
            </w:pPr>
            <w:r w:rsidRPr="00296D0C">
              <w:rPr>
                <w:rFonts w:cs="Arial"/>
              </w:rPr>
              <w:t>(£2,255)</w:t>
            </w:r>
          </w:p>
        </w:tc>
      </w:tr>
      <w:tr w:rsidR="003662C2" w:rsidRPr="00296D0C" w14:paraId="0EFFD1B0" w14:textId="77777777" w:rsidTr="003662C2">
        <w:tc>
          <w:tcPr>
            <w:tcW w:w="1733" w:type="dxa"/>
          </w:tcPr>
          <w:p w14:paraId="1150F167" w14:textId="4F3CAFC4" w:rsidR="00861557" w:rsidRPr="00296D0C" w:rsidRDefault="00861557" w:rsidP="0077247E">
            <w:pPr>
              <w:rPr>
                <w:rFonts w:cs="Arial"/>
              </w:rPr>
            </w:pPr>
            <w:r w:rsidRPr="00296D0C">
              <w:rPr>
                <w:rFonts w:cs="Arial"/>
              </w:rPr>
              <w:t xml:space="preserve">E: Applying data from HeLP </w:t>
            </w:r>
            <w:r w:rsidR="00C045BD" w:rsidRPr="00296D0C">
              <w:rPr>
                <w:rFonts w:cs="Arial"/>
              </w:rPr>
              <w:t xml:space="preserve">Exploratory </w:t>
            </w:r>
            <w:r w:rsidRPr="00296D0C">
              <w:rPr>
                <w:rFonts w:cs="Arial"/>
              </w:rPr>
              <w:t xml:space="preserve"> RCT</w:t>
            </w:r>
            <w:r w:rsidRPr="00296D0C">
              <w:rPr>
                <w:rFonts w:cs="Arial"/>
                <w:vertAlign w:val="superscript"/>
              </w:rPr>
              <w:t>c</w:t>
            </w:r>
            <w:r w:rsidRPr="00296D0C">
              <w:rPr>
                <w:rFonts w:cs="Arial"/>
              </w:rPr>
              <w:t>, (crude RRs)</w:t>
            </w:r>
          </w:p>
        </w:tc>
        <w:tc>
          <w:tcPr>
            <w:tcW w:w="828" w:type="dxa"/>
          </w:tcPr>
          <w:p w14:paraId="6949BBA8" w14:textId="77777777" w:rsidR="00861557" w:rsidRPr="00296D0C" w:rsidRDefault="00861557" w:rsidP="0077247E">
            <w:pPr>
              <w:rPr>
                <w:rFonts w:cs="Arial"/>
              </w:rPr>
            </w:pPr>
            <w:r w:rsidRPr="00296D0C">
              <w:rPr>
                <w:rFonts w:cs="Arial"/>
              </w:rPr>
              <w:t>87.6%</w:t>
            </w:r>
          </w:p>
        </w:tc>
        <w:tc>
          <w:tcPr>
            <w:tcW w:w="781" w:type="dxa"/>
          </w:tcPr>
          <w:p w14:paraId="4CB1018F" w14:textId="77777777" w:rsidR="00861557" w:rsidRPr="00296D0C" w:rsidRDefault="00861557" w:rsidP="0077247E">
            <w:pPr>
              <w:rPr>
                <w:rFonts w:cs="Arial"/>
              </w:rPr>
            </w:pPr>
            <w:r w:rsidRPr="00296D0C">
              <w:rPr>
                <w:rFonts w:cs="Arial"/>
              </w:rPr>
              <w:t>5.2%</w:t>
            </w:r>
          </w:p>
        </w:tc>
        <w:tc>
          <w:tcPr>
            <w:tcW w:w="781" w:type="dxa"/>
          </w:tcPr>
          <w:p w14:paraId="3D95A982" w14:textId="77777777" w:rsidR="00861557" w:rsidRPr="00296D0C" w:rsidRDefault="00861557" w:rsidP="0077247E">
            <w:pPr>
              <w:rPr>
                <w:rFonts w:cs="Arial"/>
              </w:rPr>
            </w:pPr>
            <w:r w:rsidRPr="00296D0C">
              <w:rPr>
                <w:rFonts w:cs="Arial"/>
              </w:rPr>
              <w:t>4.7%</w:t>
            </w:r>
          </w:p>
        </w:tc>
        <w:tc>
          <w:tcPr>
            <w:tcW w:w="807" w:type="dxa"/>
          </w:tcPr>
          <w:p w14:paraId="3194C2E9" w14:textId="77777777" w:rsidR="00861557" w:rsidRPr="00296D0C" w:rsidRDefault="00861557" w:rsidP="0077247E">
            <w:pPr>
              <w:rPr>
                <w:rFonts w:cs="Arial"/>
              </w:rPr>
            </w:pPr>
            <w:r w:rsidRPr="00296D0C">
              <w:rPr>
                <w:rFonts w:cs="Arial"/>
              </w:rPr>
              <w:t>2.6%</w:t>
            </w:r>
          </w:p>
        </w:tc>
        <w:tc>
          <w:tcPr>
            <w:tcW w:w="879" w:type="dxa"/>
          </w:tcPr>
          <w:p w14:paraId="33062097" w14:textId="77777777" w:rsidR="00861557" w:rsidRPr="00296D0C" w:rsidRDefault="00861557" w:rsidP="0077247E">
            <w:pPr>
              <w:rPr>
                <w:rFonts w:cs="Arial"/>
              </w:rPr>
            </w:pPr>
            <w:r w:rsidRPr="00296D0C">
              <w:rPr>
                <w:rFonts w:cs="Arial"/>
              </w:rPr>
              <w:t>54.7</w:t>
            </w:r>
          </w:p>
        </w:tc>
        <w:tc>
          <w:tcPr>
            <w:tcW w:w="879" w:type="dxa"/>
          </w:tcPr>
          <w:p w14:paraId="0D1D0053" w14:textId="77777777" w:rsidR="00861557" w:rsidRPr="00296D0C" w:rsidRDefault="00861557" w:rsidP="0077247E">
            <w:pPr>
              <w:rPr>
                <w:rFonts w:cs="Arial"/>
              </w:rPr>
            </w:pPr>
            <w:r w:rsidRPr="00296D0C">
              <w:rPr>
                <w:rFonts w:cs="Arial"/>
              </w:rPr>
              <w:t>32.9</w:t>
            </w:r>
          </w:p>
        </w:tc>
        <w:tc>
          <w:tcPr>
            <w:tcW w:w="879" w:type="dxa"/>
          </w:tcPr>
          <w:p w14:paraId="2CA21DDC" w14:textId="77777777" w:rsidR="00861557" w:rsidRPr="00296D0C" w:rsidRDefault="00861557" w:rsidP="0077247E">
            <w:pPr>
              <w:rPr>
                <w:rFonts w:cs="Arial"/>
              </w:rPr>
            </w:pPr>
            <w:r w:rsidRPr="00296D0C">
              <w:rPr>
                <w:rFonts w:cs="Arial"/>
              </w:rPr>
              <w:t>12.4</w:t>
            </w:r>
          </w:p>
        </w:tc>
        <w:tc>
          <w:tcPr>
            <w:tcW w:w="1031" w:type="dxa"/>
          </w:tcPr>
          <w:p w14:paraId="6260531E" w14:textId="77777777" w:rsidR="00861557" w:rsidRPr="00296D0C" w:rsidRDefault="00861557" w:rsidP="0077247E">
            <w:pPr>
              <w:jc w:val="center"/>
              <w:rPr>
                <w:rFonts w:cs="Arial"/>
              </w:rPr>
            </w:pPr>
            <w:r w:rsidRPr="00296D0C">
              <w:rPr>
                <w:rFonts w:cs="Arial"/>
              </w:rPr>
              <w:t>242</w:t>
            </w:r>
          </w:p>
        </w:tc>
        <w:tc>
          <w:tcPr>
            <w:tcW w:w="998" w:type="dxa"/>
          </w:tcPr>
          <w:p w14:paraId="246189B4" w14:textId="77777777" w:rsidR="00861557" w:rsidRPr="00296D0C" w:rsidRDefault="00861557" w:rsidP="0077247E">
            <w:pPr>
              <w:rPr>
                <w:rFonts w:cs="Arial"/>
              </w:rPr>
            </w:pPr>
            <w:r w:rsidRPr="00296D0C">
              <w:rPr>
                <w:rFonts w:cs="Arial"/>
              </w:rPr>
              <w:t>£1,295</w:t>
            </w:r>
          </w:p>
        </w:tc>
        <w:tc>
          <w:tcPr>
            <w:tcW w:w="849" w:type="dxa"/>
          </w:tcPr>
          <w:p w14:paraId="4CEC9622" w14:textId="77777777" w:rsidR="00861557" w:rsidRPr="00296D0C" w:rsidRDefault="00861557" w:rsidP="0077247E">
            <w:pPr>
              <w:rPr>
                <w:rFonts w:cs="Arial"/>
              </w:rPr>
            </w:pPr>
            <w:r w:rsidRPr="00296D0C">
              <w:rPr>
                <w:rFonts w:cs="Arial"/>
              </w:rPr>
              <w:t>4.486</w:t>
            </w:r>
          </w:p>
        </w:tc>
        <w:tc>
          <w:tcPr>
            <w:tcW w:w="790" w:type="dxa"/>
          </w:tcPr>
          <w:p w14:paraId="2B4864BA" w14:textId="77777777" w:rsidR="00861557" w:rsidRPr="00296D0C" w:rsidRDefault="00861557" w:rsidP="0077247E">
            <w:pPr>
              <w:rPr>
                <w:rFonts w:cs="Arial"/>
              </w:rPr>
            </w:pPr>
            <w:r w:rsidRPr="00296D0C">
              <w:rPr>
                <w:rFonts w:cs="Arial"/>
              </w:rPr>
              <w:t>3.821</w:t>
            </w:r>
          </w:p>
        </w:tc>
        <w:tc>
          <w:tcPr>
            <w:tcW w:w="1074" w:type="dxa"/>
          </w:tcPr>
          <w:p w14:paraId="134D0D43" w14:textId="77777777" w:rsidR="00861557" w:rsidRPr="00296D0C" w:rsidRDefault="00861557" w:rsidP="0077247E">
            <w:pPr>
              <w:rPr>
                <w:rFonts w:cs="Arial"/>
              </w:rPr>
            </w:pPr>
            <w:r w:rsidRPr="00296D0C">
              <w:rPr>
                <w:rFonts w:cs="Arial"/>
              </w:rPr>
              <w:t>£10,996</w:t>
            </w:r>
          </w:p>
          <w:p w14:paraId="0E028714" w14:textId="77777777" w:rsidR="00861557" w:rsidRPr="00296D0C" w:rsidRDefault="00861557" w:rsidP="0077247E">
            <w:pPr>
              <w:rPr>
                <w:rFonts w:cs="Arial"/>
              </w:rPr>
            </w:pPr>
            <w:r w:rsidRPr="00296D0C">
              <w:rPr>
                <w:rFonts w:cs="Arial"/>
              </w:rPr>
              <w:t>(£1,302)</w:t>
            </w:r>
          </w:p>
        </w:tc>
        <w:tc>
          <w:tcPr>
            <w:tcW w:w="1074" w:type="dxa"/>
          </w:tcPr>
          <w:p w14:paraId="1204C589" w14:textId="77777777" w:rsidR="00861557" w:rsidRPr="00296D0C" w:rsidRDefault="00861557" w:rsidP="0077247E">
            <w:pPr>
              <w:rPr>
                <w:rFonts w:cs="Arial"/>
              </w:rPr>
            </w:pPr>
            <w:r w:rsidRPr="00296D0C">
              <w:rPr>
                <w:rFonts w:cs="Arial"/>
              </w:rPr>
              <w:t>£11,439</w:t>
            </w:r>
          </w:p>
          <w:p w14:paraId="5C1AE63E" w14:textId="77777777" w:rsidR="00861557" w:rsidRPr="00296D0C" w:rsidRDefault="00861557" w:rsidP="0077247E">
            <w:pPr>
              <w:rPr>
                <w:rFonts w:cs="Arial"/>
              </w:rPr>
            </w:pPr>
            <w:r w:rsidRPr="00296D0C">
              <w:rPr>
                <w:rFonts w:cs="Arial"/>
              </w:rPr>
              <w:t>(£1,361)</w:t>
            </w:r>
          </w:p>
        </w:tc>
      </w:tr>
    </w:tbl>
    <w:p w14:paraId="071BF567" w14:textId="28C6419F" w:rsidR="00861557" w:rsidRPr="00C82499" w:rsidRDefault="00861557" w:rsidP="00861557">
      <w:pPr>
        <w:spacing w:after="0" w:line="240" w:lineRule="auto"/>
        <w:rPr>
          <w:sz w:val="20"/>
          <w:szCs w:val="20"/>
        </w:rPr>
      </w:pPr>
      <w:r w:rsidRPr="00C82499">
        <w:rPr>
          <w:sz w:val="20"/>
          <w:szCs w:val="20"/>
        </w:rPr>
        <w:t>RR</w:t>
      </w:r>
      <w:r w:rsidR="00890008" w:rsidRPr="00C82499">
        <w:rPr>
          <w:sz w:val="20"/>
          <w:szCs w:val="20"/>
        </w:rPr>
        <w:t xml:space="preserve"> </w:t>
      </w:r>
      <w:r w:rsidRPr="00C82499">
        <w:rPr>
          <w:sz w:val="20"/>
          <w:szCs w:val="20"/>
        </w:rPr>
        <w:t>= relative risk; LYG</w:t>
      </w:r>
      <w:r w:rsidR="00890008" w:rsidRPr="00C82499">
        <w:rPr>
          <w:sz w:val="20"/>
          <w:szCs w:val="20"/>
        </w:rPr>
        <w:t xml:space="preserve"> </w:t>
      </w:r>
      <w:r w:rsidRPr="00C82499">
        <w:rPr>
          <w:sz w:val="20"/>
          <w:szCs w:val="20"/>
        </w:rPr>
        <w:t>= life-year gained; WS = weight status; HW = healthy weight; OW = overweight, OB</w:t>
      </w:r>
      <w:r w:rsidR="00890008" w:rsidRPr="00C82499">
        <w:rPr>
          <w:sz w:val="20"/>
          <w:szCs w:val="20"/>
        </w:rPr>
        <w:t xml:space="preserve"> </w:t>
      </w:r>
      <w:r w:rsidRPr="00C82499">
        <w:rPr>
          <w:sz w:val="20"/>
          <w:szCs w:val="20"/>
        </w:rPr>
        <w:t>= obese.</w:t>
      </w:r>
    </w:p>
    <w:p w14:paraId="56A22731" w14:textId="77777777" w:rsidR="00861557" w:rsidRPr="00C82499" w:rsidRDefault="00861557" w:rsidP="00861557">
      <w:pPr>
        <w:spacing w:after="0" w:line="240" w:lineRule="auto"/>
        <w:rPr>
          <w:sz w:val="20"/>
          <w:szCs w:val="20"/>
        </w:rPr>
      </w:pPr>
      <w:r w:rsidRPr="00C82499">
        <w:rPr>
          <w:sz w:val="20"/>
          <w:szCs w:val="20"/>
          <w:vertAlign w:val="superscript"/>
        </w:rPr>
        <w:t>a</w:t>
      </w:r>
      <w:r w:rsidRPr="00C82499">
        <w:rPr>
          <w:sz w:val="20"/>
          <w:szCs w:val="20"/>
        </w:rPr>
        <w:t xml:space="preserve"> Events comprising CHD, stroke, T2DM, CRC.</w:t>
      </w:r>
    </w:p>
    <w:p w14:paraId="25C6542D" w14:textId="28154AB3" w:rsidR="00861557" w:rsidRPr="00C82499" w:rsidRDefault="00861557" w:rsidP="00861557">
      <w:pPr>
        <w:spacing w:after="0" w:line="240" w:lineRule="auto"/>
        <w:rPr>
          <w:sz w:val="20"/>
          <w:szCs w:val="20"/>
        </w:rPr>
      </w:pPr>
      <w:r w:rsidRPr="00C82499">
        <w:rPr>
          <w:sz w:val="20"/>
          <w:szCs w:val="20"/>
          <w:vertAlign w:val="superscript"/>
        </w:rPr>
        <w:t>b</w:t>
      </w:r>
      <w:r w:rsidRPr="00C82499">
        <w:rPr>
          <w:sz w:val="20"/>
          <w:szCs w:val="20"/>
        </w:rPr>
        <w:t xml:space="preserve"> Cost per life year &amp; QALY at base case discount rate of 3.5% pa, with figure in brackets the estimated cost per life year and QALY when using a discoun</w:t>
      </w:r>
      <w:r w:rsidR="00C045BD" w:rsidRPr="00C82499">
        <w:rPr>
          <w:sz w:val="20"/>
          <w:szCs w:val="20"/>
        </w:rPr>
        <w:t>t</w:t>
      </w:r>
      <w:r w:rsidRPr="00C82499">
        <w:rPr>
          <w:sz w:val="20"/>
          <w:szCs w:val="20"/>
        </w:rPr>
        <w:t xml:space="preserve"> rate of 1.5% pa.</w:t>
      </w:r>
    </w:p>
    <w:p w14:paraId="4497FFDD" w14:textId="2C8EA7E0" w:rsidR="00861557" w:rsidRPr="00C82499" w:rsidRDefault="00861557" w:rsidP="00861557">
      <w:pPr>
        <w:spacing w:after="0" w:line="240" w:lineRule="auto"/>
        <w:rPr>
          <w:sz w:val="20"/>
          <w:szCs w:val="20"/>
        </w:rPr>
      </w:pPr>
      <w:r w:rsidRPr="00C82499">
        <w:rPr>
          <w:rFonts w:cs="Arial"/>
          <w:sz w:val="20"/>
          <w:szCs w:val="20"/>
          <w:vertAlign w:val="superscript"/>
        </w:rPr>
        <w:t xml:space="preserve">c </w:t>
      </w:r>
      <w:r w:rsidRPr="00C82499">
        <w:rPr>
          <w:sz w:val="20"/>
          <w:szCs w:val="20"/>
        </w:rPr>
        <w:t>Lloyd et al</w:t>
      </w:r>
      <w:r w:rsidR="001E551C" w:rsidRPr="00C82499">
        <w:rPr>
          <w:sz w:val="20"/>
          <w:szCs w:val="20"/>
        </w:rPr>
        <w:t>.</w:t>
      </w:r>
      <w:r w:rsidRPr="00C82499">
        <w:rPr>
          <w:sz w:val="20"/>
          <w:szCs w:val="20"/>
        </w:rPr>
        <w:t>, 2012</w:t>
      </w:r>
      <w:r w:rsidR="00A52645" w:rsidRPr="00C82499">
        <w:rPr>
          <w:sz w:val="20"/>
          <w:szCs w:val="20"/>
        </w:rPr>
        <w:t xml:space="preserve"> </w:t>
      </w:r>
      <w:r w:rsidR="004B1882" w:rsidRPr="00C82499">
        <w:rPr>
          <w:sz w:val="20"/>
          <w:szCs w:val="20"/>
        </w:rPr>
        <w:fldChar w:fldCharType="begin"/>
      </w:r>
      <w:r w:rsidR="00FF0067">
        <w:rPr>
          <w:sz w:val="20"/>
          <w:szCs w:val="20"/>
        </w:rPr>
        <w:instrText xml:space="preserve"> ADDIN EN.CITE &lt;EndNote&gt;&lt;Cite&gt;&lt;Author&gt;Lloyd&lt;/Author&gt;&lt;Year&gt;2012&lt;/Year&gt;&lt;RecNum&gt;4625&lt;/RecNum&gt;&lt;DisplayText&gt;&lt;style face="superscript"&gt;28&lt;/style&gt;&lt;/DisplayText&gt;&lt;record&gt;&lt;rec-number&gt;4625&lt;/rec-number&gt;&lt;foreign-keys&gt;&lt;key app="EN" db-id="2ewa9rrvjsdsawep2vpx5x97eedzzvxx5rta" timestamp="0"&gt;4625&lt;/key&gt;&lt;/foreign-keys&gt;&lt;ref-type name="Journal Article"&gt;17&lt;/ref-type&gt;&lt;contributors&gt;&lt;authors&gt;&lt;author&gt;Lloyd, J. J.&lt;/author&gt;&lt;author&gt;Wyatt, K. M.&lt;/author&gt;&lt;author&gt;Creanor, S.&lt;/author&gt;&lt;/authors&gt;&lt;/contributors&gt;&lt;auth-address&gt;Institute for Health Service Research, Peninsula College of Medicine and Dentistry, University of Exeter, Exeter, UK.&lt;/auth-address&gt;&lt;titles&gt;&lt;title&gt;Behavioural and weight status outcomes from an exploratory trial of the Healthy Lifestyles Programme (HeLP): a novel school-based obesity prevention programme&lt;/title&gt;&lt;secondary-title&gt;BMJ Open&lt;/secondary-title&gt;&lt;/titles&gt;&lt;volume&gt;2&lt;/volume&gt;&lt;number&gt;3&lt;/number&gt;&lt;edition&gt;2012/05/16&lt;/edition&gt;&lt;dates&gt;&lt;year&gt;2012&lt;/year&gt;&lt;/dates&gt;&lt;isbn&gt;2044-6055 (Electronic)&lt;/isbn&gt;&lt;accession-num&gt;22586282&lt;/accession-num&gt;&lt;urls&gt;&lt;related-urls&gt;&lt;url&gt;http://www.ncbi.nlm.nih.gov/pubmed/22586282&lt;/url&gt;&lt;/related-urls&gt;&lt;/urls&gt;&lt;custom2&gt;3358612&lt;/custom2&gt;&lt;electronic-resource-num&gt;10.1136/bmjopen-2011-000390&lt;/electronic-resource-num&gt;&lt;language&gt;eng&lt;/language&gt;&lt;/record&gt;&lt;/Cite&gt;&lt;/EndNote&gt;</w:instrText>
      </w:r>
      <w:r w:rsidR="004B1882" w:rsidRPr="00C82499">
        <w:rPr>
          <w:sz w:val="20"/>
          <w:szCs w:val="20"/>
        </w:rPr>
        <w:fldChar w:fldCharType="separate"/>
      </w:r>
      <w:r w:rsidR="006347BE" w:rsidRPr="00C82499">
        <w:rPr>
          <w:noProof/>
          <w:sz w:val="20"/>
          <w:szCs w:val="20"/>
          <w:vertAlign w:val="superscript"/>
        </w:rPr>
        <w:t>28</w:t>
      </w:r>
      <w:r w:rsidR="004B1882" w:rsidRPr="00C82499">
        <w:rPr>
          <w:sz w:val="20"/>
          <w:szCs w:val="20"/>
        </w:rPr>
        <w:fldChar w:fldCharType="end"/>
      </w:r>
      <w:r w:rsidRPr="00C82499">
        <w:rPr>
          <w:sz w:val="20"/>
          <w:szCs w:val="20"/>
        </w:rPr>
        <w:t>.</w:t>
      </w:r>
    </w:p>
    <w:p w14:paraId="163F9FFF" w14:textId="0554AE6F" w:rsidR="00861557" w:rsidRPr="00C82499" w:rsidRDefault="00861557" w:rsidP="00861557">
      <w:pPr>
        <w:rPr>
          <w:rFonts w:cs="Arial"/>
          <w:sz w:val="20"/>
          <w:szCs w:val="20"/>
        </w:rPr>
      </w:pPr>
      <w:r w:rsidRPr="00C82499">
        <w:rPr>
          <w:rFonts w:cs="Arial"/>
          <w:sz w:val="20"/>
          <w:szCs w:val="20"/>
        </w:rPr>
        <w:t>Note: Baseline/starting distribution (standardised to cohort, n</w:t>
      </w:r>
      <w:r w:rsidR="00890008" w:rsidRPr="00C82499">
        <w:rPr>
          <w:rFonts w:cs="Arial"/>
          <w:sz w:val="20"/>
          <w:szCs w:val="20"/>
        </w:rPr>
        <w:t xml:space="preserve"> </w:t>
      </w:r>
      <w:r w:rsidRPr="00C82499">
        <w:rPr>
          <w:rFonts w:cs="Arial"/>
          <w:sz w:val="20"/>
          <w:szCs w:val="20"/>
        </w:rPr>
        <w:t>=</w:t>
      </w:r>
      <w:r w:rsidR="00890008" w:rsidRPr="00C82499">
        <w:rPr>
          <w:rFonts w:cs="Arial"/>
          <w:sz w:val="20"/>
          <w:szCs w:val="20"/>
        </w:rPr>
        <w:t xml:space="preserve"> </w:t>
      </w:r>
      <w:r w:rsidRPr="00C82499">
        <w:rPr>
          <w:rFonts w:cs="Arial"/>
          <w:sz w:val="20"/>
          <w:szCs w:val="20"/>
        </w:rPr>
        <w:t xml:space="preserve">1,000): 82.3% BMI </w:t>
      </w:r>
      <w:r w:rsidR="00BA7C6B" w:rsidRPr="00C82499">
        <w:rPr>
          <w:rFonts w:cs="Arial"/>
          <w:sz w:val="20"/>
          <w:szCs w:val="20"/>
        </w:rPr>
        <w:t>SD</w:t>
      </w:r>
      <w:r w:rsidRPr="00C82499">
        <w:rPr>
          <w:rFonts w:cs="Arial"/>
          <w:sz w:val="20"/>
          <w:szCs w:val="20"/>
        </w:rPr>
        <w:t xml:space="preserve"> centile </w:t>
      </w:r>
      <w:r w:rsidRPr="00C82499">
        <w:rPr>
          <w:rFonts w:cs="Arial" w:hint="eastAsia"/>
          <w:sz w:val="20"/>
          <w:szCs w:val="20"/>
        </w:rPr>
        <w:t>≤</w:t>
      </w:r>
      <w:r w:rsidRPr="00C82499">
        <w:rPr>
          <w:rFonts w:cs="Arial"/>
          <w:sz w:val="20"/>
          <w:szCs w:val="20"/>
        </w:rPr>
        <w:t>91</w:t>
      </w:r>
      <w:r w:rsidRPr="00C82499">
        <w:rPr>
          <w:rFonts w:cs="Arial"/>
          <w:sz w:val="20"/>
          <w:szCs w:val="20"/>
          <w:vertAlign w:val="superscript"/>
        </w:rPr>
        <w:t>st</w:t>
      </w:r>
      <w:r w:rsidRPr="00C82499">
        <w:rPr>
          <w:rFonts w:cs="Arial"/>
          <w:sz w:val="20"/>
          <w:szCs w:val="20"/>
        </w:rPr>
        <w:t xml:space="preserve">, 5.1% BMI </w:t>
      </w:r>
      <w:r w:rsidR="00BA7C6B" w:rsidRPr="00C82499">
        <w:rPr>
          <w:rFonts w:cs="Arial"/>
          <w:sz w:val="20"/>
          <w:szCs w:val="20"/>
        </w:rPr>
        <w:t>SD</w:t>
      </w:r>
      <w:r w:rsidRPr="00C82499">
        <w:rPr>
          <w:rFonts w:cs="Arial"/>
          <w:sz w:val="20"/>
          <w:szCs w:val="20"/>
        </w:rPr>
        <w:t xml:space="preserve"> centile &gt;91</w:t>
      </w:r>
      <w:r w:rsidRPr="00C82499">
        <w:rPr>
          <w:rFonts w:cs="Arial"/>
          <w:sz w:val="20"/>
          <w:szCs w:val="20"/>
          <w:vertAlign w:val="superscript"/>
        </w:rPr>
        <w:t>st</w:t>
      </w:r>
      <w:r w:rsidRPr="00C82499">
        <w:rPr>
          <w:rFonts w:cs="Arial"/>
          <w:sz w:val="20"/>
          <w:szCs w:val="20"/>
        </w:rPr>
        <w:t xml:space="preserve"> to </w:t>
      </w:r>
      <w:r w:rsidRPr="00C82499">
        <w:rPr>
          <w:rFonts w:cs="Arial" w:hint="eastAsia"/>
          <w:sz w:val="20"/>
          <w:szCs w:val="20"/>
        </w:rPr>
        <w:t>≤</w:t>
      </w:r>
      <w:r w:rsidRPr="00C82499">
        <w:rPr>
          <w:rFonts w:cs="Arial"/>
          <w:sz w:val="20"/>
          <w:szCs w:val="20"/>
        </w:rPr>
        <w:t>95</w:t>
      </w:r>
      <w:r w:rsidRPr="00C82499">
        <w:rPr>
          <w:rFonts w:cs="Arial"/>
          <w:sz w:val="20"/>
          <w:szCs w:val="20"/>
          <w:vertAlign w:val="superscript"/>
        </w:rPr>
        <w:t>th</w:t>
      </w:r>
      <w:r w:rsidRPr="00C82499">
        <w:rPr>
          <w:rFonts w:cs="Arial"/>
          <w:sz w:val="20"/>
          <w:szCs w:val="20"/>
        </w:rPr>
        <w:t xml:space="preserve">, 6.3% BMI </w:t>
      </w:r>
      <w:r w:rsidR="00BA7C6B" w:rsidRPr="00C82499">
        <w:rPr>
          <w:rFonts w:cs="Arial"/>
          <w:sz w:val="20"/>
          <w:szCs w:val="20"/>
        </w:rPr>
        <w:t>SD</w:t>
      </w:r>
      <w:r w:rsidRPr="00C82499">
        <w:rPr>
          <w:rFonts w:cs="Arial"/>
          <w:sz w:val="20"/>
          <w:szCs w:val="20"/>
        </w:rPr>
        <w:t xml:space="preserve"> centile &gt;95</w:t>
      </w:r>
      <w:r w:rsidRPr="00C82499">
        <w:rPr>
          <w:rFonts w:cs="Arial"/>
          <w:sz w:val="20"/>
          <w:szCs w:val="20"/>
          <w:vertAlign w:val="superscript"/>
        </w:rPr>
        <w:t>th</w:t>
      </w:r>
      <w:r w:rsidRPr="00C82499">
        <w:rPr>
          <w:rFonts w:cs="Arial"/>
          <w:sz w:val="20"/>
          <w:szCs w:val="20"/>
        </w:rPr>
        <w:t xml:space="preserve"> to </w:t>
      </w:r>
      <w:r w:rsidRPr="00C82499">
        <w:rPr>
          <w:rFonts w:cs="Arial" w:hint="eastAsia"/>
          <w:sz w:val="20"/>
          <w:szCs w:val="20"/>
        </w:rPr>
        <w:t>≤</w:t>
      </w:r>
      <w:r w:rsidRPr="00C82499">
        <w:rPr>
          <w:rFonts w:cs="Arial"/>
          <w:sz w:val="20"/>
          <w:szCs w:val="20"/>
        </w:rPr>
        <w:t>98</w:t>
      </w:r>
      <w:r w:rsidRPr="00C82499">
        <w:rPr>
          <w:rFonts w:cs="Arial"/>
          <w:sz w:val="20"/>
          <w:szCs w:val="20"/>
          <w:vertAlign w:val="superscript"/>
        </w:rPr>
        <w:t>th</w:t>
      </w:r>
      <w:r w:rsidRPr="00C82499">
        <w:rPr>
          <w:rFonts w:cs="Arial"/>
          <w:sz w:val="20"/>
          <w:szCs w:val="20"/>
        </w:rPr>
        <w:t xml:space="preserve">, 6.2% BMI </w:t>
      </w:r>
      <w:r w:rsidR="00BA7C6B" w:rsidRPr="00C82499">
        <w:rPr>
          <w:rFonts w:cs="Arial"/>
          <w:sz w:val="20"/>
          <w:szCs w:val="20"/>
        </w:rPr>
        <w:t>SD</w:t>
      </w:r>
      <w:r w:rsidRPr="00C82499">
        <w:rPr>
          <w:rFonts w:cs="Arial"/>
          <w:sz w:val="20"/>
          <w:szCs w:val="20"/>
        </w:rPr>
        <w:t xml:space="preserve"> centile &gt;98</w:t>
      </w:r>
      <w:r w:rsidRPr="00C82499">
        <w:rPr>
          <w:rFonts w:cs="Arial"/>
          <w:sz w:val="20"/>
          <w:szCs w:val="20"/>
          <w:vertAlign w:val="superscript"/>
        </w:rPr>
        <w:t>th</w:t>
      </w:r>
      <w:r w:rsidRPr="00C82499">
        <w:rPr>
          <w:rFonts w:cs="Arial"/>
          <w:sz w:val="20"/>
          <w:szCs w:val="20"/>
        </w:rPr>
        <w:t>.</w:t>
      </w:r>
    </w:p>
    <w:p w14:paraId="5199F812" w14:textId="77777777" w:rsidR="00DE7EBD" w:rsidRPr="00296D0C" w:rsidRDefault="00DE7EBD">
      <w:pPr>
        <w:rPr>
          <w:rFonts w:cs="Arial"/>
          <w:b/>
        </w:rPr>
        <w:sectPr w:rsidR="00DE7EBD" w:rsidRPr="00296D0C" w:rsidSect="00A52645">
          <w:pgSz w:w="16838" w:h="11906" w:orient="landscape"/>
          <w:pgMar w:top="1440" w:right="1440" w:bottom="1440" w:left="1440" w:header="709" w:footer="709" w:gutter="0"/>
          <w:cols w:space="708"/>
          <w:docGrid w:linePitch="360"/>
        </w:sectPr>
      </w:pPr>
    </w:p>
    <w:p w14:paraId="4E72EA1C" w14:textId="3FE3ECDF" w:rsidR="000266B9" w:rsidRPr="00296D0C" w:rsidRDefault="00BA7C6B" w:rsidP="00BA7C6B">
      <w:pPr>
        <w:pStyle w:val="Heading2"/>
        <w:rPr>
          <w:rFonts w:asciiTheme="minorHAnsi" w:hAnsiTheme="minorHAnsi" w:cs="Arial"/>
          <w:sz w:val="22"/>
          <w:szCs w:val="22"/>
        </w:rPr>
      </w:pPr>
      <w:bookmarkStart w:id="522" w:name="_Toc466639068"/>
      <w:bookmarkStart w:id="523" w:name="_Toc466710104"/>
      <w:bookmarkStart w:id="524" w:name="_Toc466711452"/>
      <w:bookmarkStart w:id="525" w:name="_Toc466712111"/>
      <w:bookmarkStart w:id="526" w:name="_Toc475974379"/>
      <w:bookmarkEnd w:id="521"/>
      <w:r w:rsidRPr="00296D0C">
        <w:rPr>
          <w:rFonts w:asciiTheme="minorHAnsi" w:hAnsiTheme="minorHAnsi" w:cs="Arial"/>
          <w:sz w:val="22"/>
          <w:szCs w:val="22"/>
        </w:rPr>
        <w:lastRenderedPageBreak/>
        <w:t xml:space="preserve">4.4 </w:t>
      </w:r>
      <w:r w:rsidR="000266B9" w:rsidRPr="00296D0C">
        <w:rPr>
          <w:rFonts w:asciiTheme="minorHAnsi" w:hAnsiTheme="minorHAnsi" w:cs="Arial"/>
          <w:sz w:val="22"/>
          <w:szCs w:val="22"/>
        </w:rPr>
        <w:t>Discussion</w:t>
      </w:r>
      <w:bookmarkEnd w:id="522"/>
      <w:bookmarkEnd w:id="523"/>
      <w:bookmarkEnd w:id="524"/>
      <w:bookmarkEnd w:id="525"/>
      <w:bookmarkEnd w:id="526"/>
    </w:p>
    <w:p w14:paraId="200CDBE5" w14:textId="009B6BF3" w:rsidR="003F13E2" w:rsidRPr="00296D0C" w:rsidRDefault="003F13E2" w:rsidP="003F13E2">
      <w:pPr>
        <w:spacing w:after="0" w:line="360" w:lineRule="auto"/>
        <w:rPr>
          <w:rFonts w:cs="Arial"/>
        </w:rPr>
      </w:pPr>
      <w:r w:rsidRPr="00296D0C">
        <w:rPr>
          <w:rFonts w:cs="Arial"/>
        </w:rPr>
        <w:t xml:space="preserve">We have estimated the additional cost for delivery of the HeLP intervention to be £214 per participant, based on delivery to a cohort of schools (classes) similar to that in the </w:t>
      </w:r>
      <w:r w:rsidR="009D1C7F" w:rsidRPr="00296D0C">
        <w:rPr>
          <w:rFonts w:cs="Arial"/>
        </w:rPr>
        <w:t>HeLP study</w:t>
      </w:r>
      <w:r w:rsidRPr="00296D0C">
        <w:rPr>
          <w:rFonts w:cs="Arial"/>
        </w:rPr>
        <w:t>. The estimated cost is based on good quality data collected within trial, describing the staff inputs and resource use required to deliver the intervention, alongside realistic estimates of the costs associated with the resource inputs. The drama component, integral to the HeLP intervention, is the primary area of resource use and cost, and together with the costs associated with the HeLP Coordinator role accounts for over three quarters of the cost for delivery of HeLP. There are economies of scale when delivering HeLP in larger schools, given that some components are delivered once at the school level, with costs spread over a larger number of children receiving the intervention.  We would anticipate that interventions such as HeLP would be commissioned (funded) across a cohort of schools, and in that setting we report an estimated mean cost per class of approx. £5,350.  This is a significant additional cost per class, at the level of the school budget, but we have shown in the illustrative cost</w:t>
      </w:r>
      <w:r w:rsidR="00576BE5">
        <w:rPr>
          <w:rFonts w:cs="Arial"/>
        </w:rPr>
        <w:t xml:space="preserve"> </w:t>
      </w:r>
      <w:r w:rsidRPr="00296D0C">
        <w:rPr>
          <w:rFonts w:cs="Arial"/>
        </w:rPr>
        <w:t xml:space="preserve">effectiveness analyses that a relatively small reduction, in the predicted number of adverse weight-related health events (e.g. T2DM, CHD) in future adult years demonstrates that this investment represents value for money using a health and social care sector perspective.  </w:t>
      </w:r>
    </w:p>
    <w:p w14:paraId="285CA068" w14:textId="55327451" w:rsidR="003F13E2" w:rsidRPr="00296D0C" w:rsidRDefault="003F13E2" w:rsidP="003F13E2">
      <w:pPr>
        <w:spacing w:after="0" w:line="360" w:lineRule="auto"/>
        <w:rPr>
          <w:rFonts w:cs="Arial"/>
        </w:rPr>
      </w:pPr>
      <w:r w:rsidRPr="00296D0C">
        <w:rPr>
          <w:rFonts w:cs="Arial"/>
        </w:rPr>
        <w:t xml:space="preserve">However, in the trial we have found no evidence that the HeLP intervention was effective, in terms of a difference in mean </w:t>
      </w:r>
      <w:r w:rsidR="009D1C7F" w:rsidRPr="00296D0C">
        <w:rPr>
          <w:rFonts w:cs="Arial"/>
        </w:rPr>
        <w:t>BMI SDS</w:t>
      </w:r>
      <w:r w:rsidRPr="00296D0C">
        <w:rPr>
          <w:rFonts w:cs="Arial"/>
        </w:rPr>
        <w:t>, and in preventing overweight or obesity at 24-month follow up.  Given the scenario of additional costs, together with an absence of demonstrated benefits in weight status, the result of the cost</w:t>
      </w:r>
      <w:r w:rsidR="00576BE5">
        <w:rPr>
          <w:rFonts w:cs="Arial"/>
        </w:rPr>
        <w:t xml:space="preserve"> </w:t>
      </w:r>
      <w:r w:rsidRPr="00296D0C">
        <w:rPr>
          <w:rFonts w:cs="Arial"/>
        </w:rPr>
        <w:t xml:space="preserve">effectiveness analyses is unambiguous with usual care dominating the HeLP intervention. </w:t>
      </w:r>
    </w:p>
    <w:p w14:paraId="048282D0" w14:textId="77777777" w:rsidR="003F13E2" w:rsidRPr="00296D0C" w:rsidRDefault="003F13E2" w:rsidP="003F13E2">
      <w:pPr>
        <w:spacing w:after="0" w:line="360" w:lineRule="auto"/>
        <w:rPr>
          <w:rFonts w:cs="Arial"/>
        </w:rPr>
      </w:pPr>
    </w:p>
    <w:p w14:paraId="1DE10E8D" w14:textId="1F801CE6" w:rsidR="003F13E2" w:rsidRPr="00296D0C" w:rsidRDefault="003F13E2" w:rsidP="003F13E2">
      <w:pPr>
        <w:spacing w:after="0" w:line="360" w:lineRule="auto"/>
        <w:rPr>
          <w:rFonts w:cs="Arial"/>
        </w:rPr>
      </w:pPr>
      <w:r w:rsidRPr="00296D0C">
        <w:rPr>
          <w:rFonts w:cs="Arial"/>
        </w:rPr>
        <w:t>As part of the research process, we have described the development of a framework for assessing the cost</w:t>
      </w:r>
      <w:r w:rsidR="00576BE5">
        <w:rPr>
          <w:rFonts w:cs="Arial"/>
        </w:rPr>
        <w:t xml:space="preserve"> </w:t>
      </w:r>
      <w:r w:rsidRPr="00296D0C">
        <w:rPr>
          <w:rFonts w:cs="Arial"/>
        </w:rPr>
        <w:t>effectiveness of the HeLP intervention (or similar interventions).  We have described the Exeter Obesity Model, which builds on the published evidence base for methods surrounding the model-based economic evaluation of interventions for childhood obesity, in a public health context.  When seeking to estimate the cost</w:t>
      </w:r>
      <w:r w:rsidR="00576BE5">
        <w:rPr>
          <w:rFonts w:cs="Arial"/>
        </w:rPr>
        <w:t xml:space="preserve"> </w:t>
      </w:r>
      <w:r w:rsidRPr="00296D0C">
        <w:rPr>
          <w:rFonts w:cs="Arial"/>
        </w:rPr>
        <w:t xml:space="preserve">effectiveness of interventions such as HeLP there is no readily available decision-analytic modelling framework to utilise.  We have therefore set down such a framework, and described it in detail to support any future research in a similar context.  The modelling framework is simple, using good quality longitudinal data, and limiting its scope to a small number of health events where there is robust evidence that the incidence of disease has a strong association with weight status, and where there is a published meta-analysis reporting relative risks by weight status categories.  However, the modelling framework makes a number of simplifying assumptions, which are deserving of further sensitivity analyses and research.  We have not </w:t>
      </w:r>
      <w:r w:rsidRPr="00296D0C">
        <w:rPr>
          <w:rFonts w:cs="Arial"/>
        </w:rPr>
        <w:lastRenderedPageBreak/>
        <w:t>presented a full detailed set of cost</w:t>
      </w:r>
      <w:r w:rsidR="00576BE5">
        <w:rPr>
          <w:rFonts w:cs="Arial"/>
        </w:rPr>
        <w:t xml:space="preserve"> </w:t>
      </w:r>
      <w:r w:rsidRPr="00296D0C">
        <w:rPr>
          <w:rFonts w:cs="Arial"/>
        </w:rPr>
        <w:t>effectiveness results, due to the effectiveness scenario for the HeLP intervention. We had anticipated presenting cost</w:t>
      </w:r>
      <w:r w:rsidR="00576BE5">
        <w:rPr>
          <w:rFonts w:cs="Arial"/>
        </w:rPr>
        <w:t xml:space="preserve"> </w:t>
      </w:r>
      <w:r w:rsidRPr="00296D0C">
        <w:rPr>
          <w:rFonts w:cs="Arial"/>
        </w:rPr>
        <w:t>effectiveness analyses (results) when addressing structural uncertainty, and applying alternative estimates of the predictions of adult weight status as a function of childhood weight status (</w:t>
      </w:r>
      <w:r w:rsidR="009D1C7F" w:rsidRPr="00296D0C">
        <w:rPr>
          <w:rFonts w:cs="Arial"/>
        </w:rPr>
        <w:t>BMI SD</w:t>
      </w:r>
      <w:r w:rsidRPr="00296D0C">
        <w:rPr>
          <w:rFonts w:cs="Arial"/>
        </w:rPr>
        <w:t xml:space="preserve"> centiles), i.e. alternatives to the data use in the base case analysis (Power et al, 1997)</w:t>
      </w:r>
      <w:r w:rsidR="00A52645" w:rsidRPr="00296D0C">
        <w:rPr>
          <w:rFonts w:cs="Arial"/>
        </w:rPr>
        <w:t xml:space="preserve"> </w:t>
      </w:r>
      <w:r w:rsidR="004B1882" w:rsidRPr="00296D0C">
        <w:rPr>
          <w:rFonts w:cs="Arial"/>
        </w:rPr>
        <w:fldChar w:fldCharType="begin"/>
      </w:r>
      <w:r w:rsidR="008C43BF">
        <w:rPr>
          <w:rFonts w:cs="Arial"/>
        </w:rPr>
        <w:instrText xml:space="preserve"> ADDIN EN.CITE &lt;EndNote&gt;&lt;Cite&gt;&lt;Author&gt;Power&lt;/Author&gt;&lt;Year&gt;1997&lt;/Year&gt;&lt;RecNum&gt;3572&lt;/RecNum&gt;&lt;DisplayText&gt;&lt;style face="superscript"&gt;120&lt;/style&gt;&lt;/DisplayText&gt;&lt;record&gt;&lt;rec-number&gt;3572&lt;/rec-number&gt;&lt;foreign-keys&gt;&lt;key app="EN" db-id="2ewa9rrvjsdsawep2vpx5x97eedzzvxx5rta" timestamp="0"&gt;3572&lt;/key&gt;&lt;/foreign-keys&gt;&lt;ref-type name="Journal Article"&gt;17&lt;/ref-type&gt;&lt;contributors&gt;&lt;authors&gt;&lt;author&gt;Power, C., &lt;/author&gt;&lt;author&gt;Lake, J.K., &lt;/author&gt;&lt;author&gt;Cole, T.J.&lt;/author&gt;&lt;/authors&gt;&lt;/contributors&gt;&lt;titles&gt;&lt;title&gt;Body mass index and height from childhood to adulthood in the 1958 British born cohort&lt;/title&gt;&lt;secondary-title&gt;American Journal of Clinical Nutrition&lt;/secondary-title&gt;&lt;/titles&gt;&lt;periodical&gt;&lt;full-title&gt;American Journal of Clinical Nutrition&lt;/full-title&gt;&lt;abbr-1&gt;Am. J. Clin. Nutr.&lt;/abbr-1&gt;&lt;abbr-2&gt;Am J Clin Nutr&lt;/abbr-2&gt;&lt;/periodical&gt;&lt;pages&gt;1094-101&lt;/pages&gt;&lt;volume&gt;66&lt;/volume&gt;&lt;dates&gt;&lt;year&gt;1997&lt;/year&gt;&lt;/dates&gt;&lt;urls&gt;&lt;/urls&gt;&lt;/record&gt;&lt;/Cite&gt;&lt;/EndNote&gt;</w:instrText>
      </w:r>
      <w:r w:rsidR="004B1882" w:rsidRPr="00296D0C">
        <w:rPr>
          <w:rFonts w:cs="Arial"/>
        </w:rPr>
        <w:fldChar w:fldCharType="separate"/>
      </w:r>
      <w:r w:rsidR="008C43BF" w:rsidRPr="008C43BF">
        <w:rPr>
          <w:rFonts w:cs="Arial"/>
          <w:noProof/>
          <w:vertAlign w:val="superscript"/>
        </w:rPr>
        <w:t>120</w:t>
      </w:r>
      <w:r w:rsidR="004B1882" w:rsidRPr="00296D0C">
        <w:rPr>
          <w:rFonts w:cs="Arial"/>
        </w:rPr>
        <w:fldChar w:fldCharType="end"/>
      </w:r>
      <w:r w:rsidRPr="00296D0C">
        <w:rPr>
          <w:rFonts w:cs="Arial"/>
        </w:rPr>
        <w:t>.  Such sensitivity analyses have not been undertaken, however we do report the estimated transition probabilities for alternative sources of data in order to inform future modelling developments.  Based on our preliminary modelling, when using data from Wright et al</w:t>
      </w:r>
      <w:r w:rsidR="0021085E">
        <w:rPr>
          <w:rFonts w:cs="Arial"/>
        </w:rPr>
        <w:t>.,</w:t>
      </w:r>
      <w:r w:rsidRPr="00296D0C">
        <w:rPr>
          <w:rFonts w:cs="Arial"/>
        </w:rPr>
        <w:t xml:space="preserve"> 200</w:t>
      </w:r>
      <w:r w:rsidR="00A52645" w:rsidRPr="00296D0C">
        <w:rPr>
          <w:rFonts w:cs="Arial"/>
        </w:rPr>
        <w:t xml:space="preserve">1 </w:t>
      </w:r>
      <w:r w:rsidR="004B1882" w:rsidRPr="00296D0C">
        <w:rPr>
          <w:rFonts w:cs="Arial"/>
        </w:rPr>
        <w:fldChar w:fldCharType="begin"/>
      </w:r>
      <w:r w:rsidR="008C43BF">
        <w:rPr>
          <w:rFonts w:cs="Arial"/>
        </w:rPr>
        <w:instrText xml:space="preserve"> ADDIN EN.CITE &lt;EndNote&gt;&lt;Cite&gt;&lt;Author&gt;Wright&lt;/Author&gt;&lt;Year&gt;2001&lt;/Year&gt;&lt;RecNum&gt;5776&lt;/RecNum&gt;&lt;DisplayText&gt;&lt;style face="superscript"&gt;71&lt;/style&gt;&lt;/DisplayText&gt;&lt;record&gt;&lt;rec-number&gt;5776&lt;/rec-number&gt;&lt;foreign-keys&gt;&lt;key app="EN" db-id="2ewa9rrvjsdsawep2vpx5x97eedzzvxx5rta" timestamp="1478679952"&gt;5776&lt;/key&gt;&lt;/foreign-keys&gt;&lt;ref-type name="Journal Article"&gt;17&lt;/ref-type&gt;&lt;contributors&gt;&lt;authors&gt;&lt;author&gt;Wright, C. M.&lt;/author&gt;&lt;author&gt;Parker, L.&lt;/author&gt;&lt;author&gt;Lamont, D.&lt;/author&gt;&lt;author&gt;Craft, A. W.&lt;/author&gt;&lt;/authors&gt;&lt;/contributors&gt;&lt;auth-address&gt;University of Newcastle upon Tyne, Gateshead, NE8 1EB, UK. C.M.Wright@Newcastle.ac.uk&lt;/auth-address&gt;&lt;titles&gt;&lt;title&gt;Implications of childhood obesity for adult health: findings from thousand families cohort study&lt;/title&gt;&lt;secondary-title&gt;BMJ&lt;/secondary-title&gt;&lt;/titles&gt;&lt;periodical&gt;&lt;full-title&gt;BMJ&lt;/full-title&gt;&lt;abbr-1&gt;BMJ&lt;/abbr-1&gt;&lt;abbr-2&gt;BMJ&lt;/abbr-2&gt;&lt;/periodical&gt;&lt;pages&gt;1280-4&lt;/pages&gt;&lt;volume&gt;323&lt;/volume&gt;&lt;number&gt;7324&lt;/number&gt;&lt;keywords&gt;&lt;keyword&gt;Adipose Tissue/pathology&lt;/keyword&gt;&lt;keyword&gt;Adolescent&lt;/keyword&gt;&lt;keyword&gt;Age Factors&lt;/keyword&gt;&lt;keyword&gt;Blood Glucose/metabolism&lt;/keyword&gt;&lt;keyword&gt;Body Height&lt;/keyword&gt;&lt;keyword&gt;Body Mass Index&lt;/keyword&gt;&lt;keyword&gt;Child&lt;/keyword&gt;&lt;keyword&gt;Cohort Studies&lt;/keyword&gt;&lt;keyword&gt;Female&lt;/keyword&gt;&lt;keyword&gt;Humans&lt;/keyword&gt;&lt;keyword&gt;Lipids/blood&lt;/keyword&gt;&lt;keyword&gt;Male&lt;/keyword&gt;&lt;keyword&gt;Middle Aged&lt;/keyword&gt;&lt;keyword&gt;Obesity/*complications/pathology/physiopathology&lt;/keyword&gt;&lt;keyword&gt;Prognosis&lt;/keyword&gt;&lt;keyword&gt;Prospective Studies&lt;/keyword&gt;&lt;keyword&gt;Risk Factors&lt;/keyword&gt;&lt;keyword&gt;Social Class&lt;/keyword&gt;&lt;/keywords&gt;&lt;dates&gt;&lt;year&gt;2001&lt;/year&gt;&lt;pub-dates&gt;&lt;date&gt;Dec 1&lt;/date&gt;&lt;/pub-dates&gt;&lt;/dates&gt;&lt;isbn&gt;0959-8138 (Print)&amp;#xD;0959-535X (Linking)&lt;/isbn&gt;&lt;accession-num&gt;11731390&lt;/accession-num&gt;&lt;urls&gt;&lt;related-urls&gt;&lt;url&gt;http://www.ncbi.nlm.nih.gov/pubmed/11731390&lt;/url&gt;&lt;/related-urls&gt;&lt;/urls&gt;&lt;custom2&gt;60301&lt;/custom2&gt;&lt;/record&gt;&lt;/Cite&gt;&lt;/EndNote&gt;</w:instrText>
      </w:r>
      <w:r w:rsidR="004B1882" w:rsidRPr="00296D0C">
        <w:rPr>
          <w:rFonts w:cs="Arial"/>
        </w:rPr>
        <w:fldChar w:fldCharType="separate"/>
      </w:r>
      <w:r w:rsidR="008C43BF" w:rsidRPr="008C43BF">
        <w:rPr>
          <w:rFonts w:cs="Arial"/>
          <w:noProof/>
          <w:vertAlign w:val="superscript"/>
        </w:rPr>
        <w:t>71</w:t>
      </w:r>
      <w:r w:rsidR="004B1882" w:rsidRPr="00296D0C">
        <w:rPr>
          <w:rFonts w:cs="Arial"/>
        </w:rPr>
        <w:fldChar w:fldCharType="end"/>
      </w:r>
      <w:r w:rsidRPr="00296D0C">
        <w:rPr>
          <w:rFonts w:cs="Arial"/>
        </w:rPr>
        <w:t xml:space="preserve"> or Laitinen et al</w:t>
      </w:r>
      <w:r w:rsidR="0021085E">
        <w:rPr>
          <w:rFonts w:cs="Arial"/>
        </w:rPr>
        <w:t>.,</w:t>
      </w:r>
      <w:r w:rsidRPr="00296D0C">
        <w:rPr>
          <w:rFonts w:cs="Arial"/>
        </w:rPr>
        <w:t xml:space="preserve"> 2001</w:t>
      </w:r>
      <w:r w:rsidR="00A52645" w:rsidRPr="00296D0C">
        <w:rPr>
          <w:rFonts w:cs="Arial"/>
        </w:rPr>
        <w:t xml:space="preserve"> </w:t>
      </w:r>
      <w:r w:rsidR="004B1882" w:rsidRPr="00296D0C">
        <w:rPr>
          <w:rFonts w:cs="Arial"/>
        </w:rPr>
        <w:fldChar w:fldCharType="begin"/>
      </w:r>
      <w:r w:rsidR="008C43BF">
        <w:rPr>
          <w:rFonts w:cs="Arial"/>
        </w:rPr>
        <w:instrText xml:space="preserve"> ADDIN EN.CITE &lt;EndNote&gt;&lt;Cite&gt;&lt;Author&gt;Laitinen&lt;/Author&gt;&lt;Year&gt;2001&lt;/Year&gt;&lt;RecNum&gt;125&lt;/RecNum&gt;&lt;DisplayText&gt;&lt;style face="superscript"&gt;86&lt;/style&gt;&lt;/DisplayText&gt;&lt;record&gt;&lt;rec-number&gt;125&lt;/rec-number&gt;&lt;foreign-keys&gt;&lt;key app="EN" db-id="2ewa9rrvjsdsawep2vpx5x97eedzzvxx5rta" timestamp="0"&gt;125&lt;/key&gt;&lt;/foreign-keys&gt;&lt;ref-type name="Journal Article"&gt;17&lt;/ref-type&gt;&lt;contributors&gt;&lt;authors&gt;&lt;author&gt;Laitinen, J.&lt;/author&gt;&lt;author&gt;Power, C.&lt;/author&gt;&lt;author&gt;Jarvelin, M. R.&lt;/author&gt;&lt;/authors&gt;&lt;/contributors&gt;&lt;auth-address&gt;Oulu Regional Institute of Occupational Health, Oulu, Finland. jaana.laitinen@occuphealth.fi&lt;/auth-address&gt;&lt;titles&gt;&lt;title&gt;Family social class, maternal body mass index, childhood body mass index, and age at menarche as predictors of adult obesity&lt;/title&gt;&lt;secondary-title&gt;Am J Clin Nutr&lt;/secondary-title&gt;&lt;/titles&gt;&lt;periodical&gt;&lt;full-title&gt;American Journal of Clinical Nutrition&lt;/full-title&gt;&lt;abbr-1&gt;Am. J. Clin. Nutr.&lt;/abbr-1&gt;&lt;abbr-2&gt;Am J Clin Nutr&lt;/abbr-2&gt;&lt;/periodical&gt;&lt;pages&gt;287-94&lt;/pages&gt;&lt;volume&gt;74&lt;/volume&gt;&lt;number&gt;3&lt;/number&gt;&lt;keywords&gt;&lt;keyword&gt;Adolescent&lt;/keyword&gt;&lt;keyword&gt;Adult&lt;/keyword&gt;&lt;keyword&gt;Age Factors&lt;/keyword&gt;&lt;keyword&gt;Birth Weight&lt;/keyword&gt;&lt;keyword&gt;Body Constitution&lt;/keyword&gt;&lt;keyword&gt;*Body Mass Index&lt;/keyword&gt;&lt;keyword&gt;Cohort Studies&lt;/keyword&gt;&lt;keyword&gt;Female&lt;/keyword&gt;&lt;keyword&gt;Finland/epidemiology&lt;/keyword&gt;&lt;keyword&gt;Humans&lt;/keyword&gt;&lt;keyword&gt;Infant&lt;/keyword&gt;&lt;keyword&gt;Infant, Newborn&lt;/keyword&gt;&lt;keyword&gt;Longitudinal Studies&lt;/keyword&gt;&lt;keyword&gt;Male&lt;/keyword&gt;&lt;keyword&gt;*Menarche&lt;/keyword&gt;&lt;keyword&gt;Obesity/epidemiology/*etiology&lt;/keyword&gt;&lt;keyword&gt;Prevalence&lt;/keyword&gt;&lt;keyword&gt;Probability&lt;/keyword&gt;&lt;keyword&gt;Research Support, Non-U.S. Gov&amp;apos;t&lt;/keyword&gt;&lt;keyword&gt;*Social Class&lt;/keyword&gt;&lt;/keywords&gt;&lt;dates&gt;&lt;year&gt;2001&lt;/year&gt;&lt;pub-dates&gt;&lt;date&gt;Sep&lt;/date&gt;&lt;/pub-dates&gt;&lt;/dates&gt;&lt;accession-num&gt;11522550&lt;/accession-num&gt;&lt;urls&gt;&lt;related-urls&gt;&lt;url&gt;http://www.ncbi.nlm.nih.gov/entrez/query.fcgi?cmd=Retrieve&amp;amp;db=PubMed&amp;amp;dopt=Citation&amp;amp;list_uids=11522550 &lt;/url&gt;&lt;/related-urls&gt;&lt;/urls&gt;&lt;/record&gt;&lt;/Cite&gt;&lt;/EndNote&gt;</w:instrText>
      </w:r>
      <w:r w:rsidR="004B1882" w:rsidRPr="00296D0C">
        <w:rPr>
          <w:rFonts w:cs="Arial"/>
        </w:rPr>
        <w:fldChar w:fldCharType="separate"/>
      </w:r>
      <w:r w:rsidR="008C43BF" w:rsidRPr="008C43BF">
        <w:rPr>
          <w:rFonts w:cs="Arial"/>
          <w:noProof/>
          <w:vertAlign w:val="superscript"/>
        </w:rPr>
        <w:t>86</w:t>
      </w:r>
      <w:r w:rsidR="004B1882" w:rsidRPr="00296D0C">
        <w:rPr>
          <w:rFonts w:cs="Arial"/>
        </w:rPr>
        <w:fldChar w:fldCharType="end"/>
      </w:r>
      <w:r w:rsidRPr="00296D0C">
        <w:rPr>
          <w:rFonts w:cs="Arial"/>
        </w:rPr>
        <w:t xml:space="preserve">, see Table </w:t>
      </w:r>
      <w:r w:rsidR="0021085E">
        <w:rPr>
          <w:rFonts w:cs="Arial"/>
        </w:rPr>
        <w:t>2</w:t>
      </w:r>
      <w:r w:rsidR="006C0879">
        <w:rPr>
          <w:rFonts w:cs="Arial"/>
        </w:rPr>
        <w:t>6</w:t>
      </w:r>
      <w:r w:rsidRPr="00296D0C">
        <w:rPr>
          <w:rFonts w:cs="Arial"/>
        </w:rPr>
        <w:t xml:space="preserve"> we would expect the outcome for estimates of cost</w:t>
      </w:r>
      <w:r w:rsidR="00576BE5">
        <w:rPr>
          <w:rFonts w:cs="Arial"/>
        </w:rPr>
        <w:t xml:space="preserve"> </w:t>
      </w:r>
      <w:r w:rsidRPr="00296D0C">
        <w:rPr>
          <w:rFonts w:cs="Arial"/>
        </w:rPr>
        <w:t>effectiveness (i.e. binary outcome where intervention is either considered cost</w:t>
      </w:r>
      <w:r w:rsidR="00576BE5">
        <w:rPr>
          <w:rFonts w:cs="Arial"/>
        </w:rPr>
        <w:t xml:space="preserve"> </w:t>
      </w:r>
      <w:r w:rsidRPr="00296D0C">
        <w:rPr>
          <w:rFonts w:cs="Arial"/>
        </w:rPr>
        <w:t>effective or not) to be similar to that when using the base case data from Power et al</w:t>
      </w:r>
      <w:r w:rsidR="0021085E">
        <w:rPr>
          <w:rFonts w:cs="Arial"/>
        </w:rPr>
        <w:t>.,</w:t>
      </w:r>
      <w:r w:rsidRPr="00296D0C">
        <w:rPr>
          <w:rFonts w:cs="Arial"/>
        </w:rPr>
        <w:t xml:space="preserve"> 1997</w:t>
      </w:r>
      <w:r w:rsidR="00A52645" w:rsidRPr="00296D0C">
        <w:rPr>
          <w:rFonts w:cs="Arial"/>
        </w:rPr>
        <w:t xml:space="preserve"> </w:t>
      </w:r>
      <w:r w:rsidR="004B1882" w:rsidRPr="00296D0C">
        <w:rPr>
          <w:rFonts w:cs="Arial"/>
        </w:rPr>
        <w:fldChar w:fldCharType="begin"/>
      </w:r>
      <w:r w:rsidR="008C43BF">
        <w:rPr>
          <w:rFonts w:cs="Arial"/>
        </w:rPr>
        <w:instrText xml:space="preserve"> ADDIN EN.CITE &lt;EndNote&gt;&lt;Cite&gt;&lt;Author&gt;Power&lt;/Author&gt;&lt;Year&gt;1997&lt;/Year&gt;&lt;RecNum&gt;3572&lt;/RecNum&gt;&lt;DisplayText&gt;&lt;style face="superscript"&gt;120&lt;/style&gt;&lt;/DisplayText&gt;&lt;record&gt;&lt;rec-number&gt;3572&lt;/rec-number&gt;&lt;foreign-keys&gt;&lt;key app="EN" db-id="2ewa9rrvjsdsawep2vpx5x97eedzzvxx5rta" timestamp="0"&gt;3572&lt;/key&gt;&lt;/foreign-keys&gt;&lt;ref-type name="Journal Article"&gt;17&lt;/ref-type&gt;&lt;contributors&gt;&lt;authors&gt;&lt;author&gt;Power, C., &lt;/author&gt;&lt;author&gt;Lake, J.K., &lt;/author&gt;&lt;author&gt;Cole, T.J.&lt;/author&gt;&lt;/authors&gt;&lt;/contributors&gt;&lt;titles&gt;&lt;title&gt;Body mass index and height from childhood to adulthood in the 1958 British born cohort&lt;/title&gt;&lt;secondary-title&gt;American Journal of Clinical Nutrition&lt;/secondary-title&gt;&lt;/titles&gt;&lt;periodical&gt;&lt;full-title&gt;American Journal of Clinical Nutrition&lt;/full-title&gt;&lt;abbr-1&gt;Am. J. Clin. Nutr.&lt;/abbr-1&gt;&lt;abbr-2&gt;Am J Clin Nutr&lt;/abbr-2&gt;&lt;/periodical&gt;&lt;pages&gt;1094-101&lt;/pages&gt;&lt;volume&gt;66&lt;/volume&gt;&lt;dates&gt;&lt;year&gt;1997&lt;/year&gt;&lt;/dates&gt;&lt;urls&gt;&lt;/urls&gt;&lt;/record&gt;&lt;/Cite&gt;&lt;/EndNote&gt;</w:instrText>
      </w:r>
      <w:r w:rsidR="004B1882" w:rsidRPr="00296D0C">
        <w:rPr>
          <w:rFonts w:cs="Arial"/>
        </w:rPr>
        <w:fldChar w:fldCharType="separate"/>
      </w:r>
      <w:r w:rsidR="008C43BF" w:rsidRPr="008C43BF">
        <w:rPr>
          <w:rFonts w:cs="Arial"/>
          <w:noProof/>
          <w:vertAlign w:val="superscript"/>
        </w:rPr>
        <w:t>120</w:t>
      </w:r>
      <w:r w:rsidR="004B1882" w:rsidRPr="00296D0C">
        <w:rPr>
          <w:rFonts w:cs="Arial"/>
        </w:rPr>
        <w:fldChar w:fldCharType="end"/>
      </w:r>
      <w:r w:rsidR="00A52645" w:rsidRPr="00296D0C">
        <w:rPr>
          <w:rFonts w:cs="Arial"/>
        </w:rPr>
        <w:t xml:space="preserve">. </w:t>
      </w:r>
    </w:p>
    <w:p w14:paraId="5DF7F869" w14:textId="77777777" w:rsidR="003F13E2" w:rsidRPr="00296D0C" w:rsidRDefault="003F13E2" w:rsidP="003F13E2">
      <w:pPr>
        <w:spacing w:after="0" w:line="360" w:lineRule="auto"/>
        <w:rPr>
          <w:rFonts w:cs="Arial"/>
        </w:rPr>
      </w:pPr>
    </w:p>
    <w:p w14:paraId="0D01AF09" w14:textId="5A021B24" w:rsidR="003F13E2" w:rsidRPr="00296D0C" w:rsidRDefault="003F13E2" w:rsidP="003F13E2">
      <w:pPr>
        <w:spacing w:after="0" w:line="360" w:lineRule="auto"/>
        <w:rPr>
          <w:rFonts w:cs="Arial"/>
        </w:rPr>
      </w:pPr>
      <w:r w:rsidRPr="00296D0C">
        <w:rPr>
          <w:rFonts w:cs="Arial"/>
        </w:rPr>
        <w:t>Modelling the cost</w:t>
      </w:r>
      <w:r w:rsidR="00576BE5">
        <w:rPr>
          <w:rFonts w:cs="Arial"/>
        </w:rPr>
        <w:t xml:space="preserve"> </w:t>
      </w:r>
      <w:r w:rsidRPr="00296D0C">
        <w:rPr>
          <w:rFonts w:cs="Arial"/>
        </w:rPr>
        <w:t>effectiveness of public health interventions typically results in the use of a long term time horizon, often over 30-40 years into the future, and given the expectation that interventions are population based with only a small number of identifiable beneficiaries (in terms of hard outcomes) the mean incremental differences in costs and outcomes are relatively small (averaged across a large target group for the intervention).  This leads to difficulties in articulating the expected benefits at a population level, and to difficulties associated with sensitivity in cost</w:t>
      </w:r>
      <w:r w:rsidR="0051715E">
        <w:rPr>
          <w:rFonts w:cs="Arial"/>
        </w:rPr>
        <w:t>-</w:t>
      </w:r>
      <w:r w:rsidRPr="00296D0C">
        <w:rPr>
          <w:rFonts w:cs="Arial"/>
        </w:rPr>
        <w:t xml:space="preserve"> effectiveness ratios (e.g. cost per QALY estimates) to very small changes to the estimated incremental costs and effects.  We see these scenarios played out here in the exploratory cost</w:t>
      </w:r>
      <w:r w:rsidR="0051715E">
        <w:rPr>
          <w:rFonts w:cs="Arial"/>
        </w:rPr>
        <w:t>-</w:t>
      </w:r>
      <w:r w:rsidRPr="00296D0C">
        <w:rPr>
          <w:rFonts w:cs="Arial"/>
        </w:rPr>
        <w:t xml:space="preserve"> effectiveness analyses and cost per life year and cost per QALY estimates.  For example, in scenario B (Table </w:t>
      </w:r>
      <w:r w:rsidR="006C0879" w:rsidRPr="0051668E">
        <w:rPr>
          <w:rFonts w:cs="Arial"/>
        </w:rPr>
        <w:t>3</w:t>
      </w:r>
      <w:r w:rsidR="009E712E">
        <w:rPr>
          <w:rFonts w:cs="Arial"/>
        </w:rPr>
        <w:t>4</w:t>
      </w:r>
      <w:r w:rsidRPr="00296D0C">
        <w:rPr>
          <w:rFonts w:cs="Arial"/>
        </w:rPr>
        <w:t xml:space="preserve">) we report a gain of 10 life years (approx. 6.5 QALYs) per 1,000 children exposed to the HeLP intervention, due to prevention of approximately six adverse health events (including preventing 5 cases of T2DM).  At a geographical region, such as in Devon, we would see this multiplied using the target population of 9-10 year olds, circa. 10,000 children, and benefits would be in the region of 100 life years saved per year.  This estimate is adjusted using a discount rate, but an unadjusted (non discounted) estimate would be in the region of 520 life years saved, per 10,000 children receiving an intervention (or 240 life years saved, using a discount rate of 1.5% per year).  These illustrations are speculative and hypothetical, and scenario B assumes an effectiveness scenario with a relative risk of 0.5 for obesity, so we must urge caution here where we seek to illustrate a potential analytical framework (although the HeLP </w:t>
      </w:r>
      <w:r w:rsidR="00DD3A59" w:rsidRPr="00296D0C">
        <w:rPr>
          <w:rFonts w:cs="Arial"/>
        </w:rPr>
        <w:t>exploratory</w:t>
      </w:r>
      <w:r w:rsidRPr="00296D0C">
        <w:rPr>
          <w:rFonts w:cs="Arial"/>
        </w:rPr>
        <w:t xml:space="preserve"> RCT suggested an effect which was much higher than this scenario).  </w:t>
      </w:r>
    </w:p>
    <w:p w14:paraId="14A4AC69" w14:textId="77777777" w:rsidR="003F13E2" w:rsidRPr="00296D0C" w:rsidRDefault="003F13E2" w:rsidP="003F13E2">
      <w:pPr>
        <w:spacing w:after="0" w:line="360" w:lineRule="auto"/>
        <w:rPr>
          <w:rFonts w:cs="Arial"/>
        </w:rPr>
      </w:pPr>
    </w:p>
    <w:p w14:paraId="0C76FE35" w14:textId="10E16B0A" w:rsidR="003F13E2" w:rsidRPr="00296D0C" w:rsidRDefault="003F13E2" w:rsidP="003F13E2">
      <w:pPr>
        <w:spacing w:after="0" w:line="360" w:lineRule="auto"/>
        <w:rPr>
          <w:rFonts w:cs="Arial"/>
        </w:rPr>
      </w:pPr>
      <w:r w:rsidRPr="00296D0C">
        <w:rPr>
          <w:rFonts w:cs="Arial"/>
        </w:rPr>
        <w:lastRenderedPageBreak/>
        <w:t xml:space="preserve">A related characteristic of the modelling framework, although more specific to estimates of effectiveness, is that the magnitude of the relative risk estimates is likely to be quite sensitive to changes in weight status for relatively small numbers of children.  That is, given the small numbers of children considered obese in the starting control cohort (e.g. approx. 60-80 per 1,000 children), and the large numbers in other weight status categories, the relative risk statistic can be in the region of 0.5 when there are differences of only 20 children in differing directions of weight status (when comparing two similarly distributed cohorts).  </w:t>
      </w:r>
      <w:r w:rsidRPr="0051668E">
        <w:rPr>
          <w:rFonts w:cs="Arial"/>
        </w:rPr>
        <w:t xml:space="preserve">The exploratory data presented in Table </w:t>
      </w:r>
      <w:r w:rsidR="0051668E" w:rsidRPr="0051668E">
        <w:rPr>
          <w:rFonts w:cs="Arial"/>
        </w:rPr>
        <w:t>3</w:t>
      </w:r>
      <w:r w:rsidR="00BA7C6B" w:rsidRPr="0051668E">
        <w:rPr>
          <w:rFonts w:cs="Arial"/>
        </w:rPr>
        <w:t>4</w:t>
      </w:r>
      <w:r w:rsidRPr="00296D0C">
        <w:rPr>
          <w:rFonts w:cs="Arial"/>
        </w:rPr>
        <w:t xml:space="preserve"> gives some indication of this prevailing characteristic of the effectiveness inputs (albeit in a hypothetical setting), although further consideration is recommended.</w:t>
      </w:r>
    </w:p>
    <w:p w14:paraId="5083C533" w14:textId="77777777" w:rsidR="005257EF" w:rsidRPr="00296D0C" w:rsidRDefault="005257EF" w:rsidP="003F13E2">
      <w:pPr>
        <w:spacing w:after="0" w:line="360" w:lineRule="auto"/>
        <w:rPr>
          <w:rFonts w:cs="Arial"/>
        </w:rPr>
      </w:pPr>
    </w:p>
    <w:p w14:paraId="4C02E45C" w14:textId="77777777" w:rsidR="003F13E2" w:rsidRPr="00296D0C" w:rsidRDefault="003F13E2" w:rsidP="003F13E2">
      <w:pPr>
        <w:spacing w:after="0" w:line="360" w:lineRule="auto"/>
        <w:rPr>
          <w:rFonts w:cs="Arial"/>
        </w:rPr>
      </w:pPr>
      <w:r w:rsidRPr="00296D0C">
        <w:rPr>
          <w:rFonts w:cs="Arial"/>
        </w:rPr>
        <w:t>Specific challenges in modelling impacts of childhood obesity interventions, using the framework suggested here, include the profiles for the incidence of health events by weight status.  The differences in the distributions by weight status are small in both child and adult populations, with only around 1/5</w:t>
      </w:r>
      <w:r w:rsidRPr="00296D0C">
        <w:rPr>
          <w:rFonts w:cs="Arial"/>
          <w:vertAlign w:val="superscript"/>
        </w:rPr>
        <w:t>th</w:t>
      </w:r>
      <w:r w:rsidRPr="00296D0C">
        <w:rPr>
          <w:rFonts w:cs="Arial"/>
        </w:rPr>
        <w:t xml:space="preserve"> of the population likely to be overweight or obese.  This combined with the data available on the difference in rates of events by weight status presents an analytical challenge.  For example, the incidence of T2DM and CHD is circa. 13.3 cases and 4.8 cases respectively, per 1,000 person years in obese states, compared to estimates of 1.7 cases and 2.4 cases per 1,000 person years in healthy weight status.  Of note here is the 8.5 fold risk of T2DM for obese versus healthy weight status, compared to the two fold risk of CHD for obese versus healthy weight status.  We see this reflected in the modelling results with the vast majority of the differences in predicted events being due to cases of T2DM, with very little difference in the incidence of the other events when comparing a potential treatment cohort with controls.  Such results provide a rationale for modelling only those health events that exhibit a potentially meaningful difference in incidence by weight status (i.e. meaningful in a mathematical modelling context).</w:t>
      </w:r>
    </w:p>
    <w:p w14:paraId="6A310F10" w14:textId="77777777" w:rsidR="005257EF" w:rsidRPr="00296D0C" w:rsidRDefault="005257EF" w:rsidP="003F13E2">
      <w:pPr>
        <w:spacing w:after="0" w:line="360" w:lineRule="auto"/>
        <w:rPr>
          <w:rFonts w:cs="Arial"/>
        </w:rPr>
      </w:pPr>
    </w:p>
    <w:p w14:paraId="25FF849A" w14:textId="4C4CD26E" w:rsidR="003F13E2" w:rsidRPr="00296D0C" w:rsidRDefault="003F13E2" w:rsidP="003F13E2">
      <w:pPr>
        <w:spacing w:after="0" w:line="360" w:lineRule="auto"/>
        <w:rPr>
          <w:rFonts w:cs="Arial"/>
        </w:rPr>
      </w:pPr>
      <w:r w:rsidRPr="00296D0C">
        <w:rPr>
          <w:rFonts w:cs="Arial"/>
        </w:rPr>
        <w:t>The model presented here has simplifying assumptions, which in many instances are due to the parsimonious structure of the modelling framework, although the absence of data in some areas is also a mitigating factor. We suggest that the model is likely to be sufficient to answer the research question on the cost</w:t>
      </w:r>
      <w:r w:rsidR="00576BE5">
        <w:rPr>
          <w:rFonts w:cs="Arial"/>
        </w:rPr>
        <w:t xml:space="preserve"> </w:t>
      </w:r>
      <w:r w:rsidRPr="00296D0C">
        <w:rPr>
          <w:rFonts w:cs="Arial"/>
        </w:rPr>
        <w:t>effectiveness of an intervention versus usual practice (or other), where the intervention is shown to be effective on weight status outcomes, but we do not propose this modelling framework for more detailed examination of the consequences of overweight and obesity.</w:t>
      </w:r>
    </w:p>
    <w:p w14:paraId="771BDB56" w14:textId="77777777" w:rsidR="005257EF" w:rsidRPr="00296D0C" w:rsidRDefault="005257EF" w:rsidP="003F13E2">
      <w:pPr>
        <w:spacing w:after="0" w:line="360" w:lineRule="auto"/>
        <w:rPr>
          <w:rFonts w:cs="Arial"/>
        </w:rPr>
      </w:pPr>
    </w:p>
    <w:p w14:paraId="568EBFFE" w14:textId="73112159" w:rsidR="00B9143B" w:rsidRPr="00296D0C" w:rsidRDefault="003F13E2" w:rsidP="003F13E2">
      <w:pPr>
        <w:spacing w:after="0" w:line="360" w:lineRule="auto"/>
        <w:rPr>
          <w:rFonts w:cs="Arial"/>
        </w:rPr>
      </w:pPr>
      <w:r w:rsidRPr="00296D0C">
        <w:rPr>
          <w:rFonts w:cs="Arial"/>
        </w:rPr>
        <w:lastRenderedPageBreak/>
        <w:t>The HeLP intervention has been shown to have positive outcomes, in areas of secondary importance, and the overall feedback and satisfaction with HeLP from the school setting is very positive.  That there is no specific policy relevant evidence to indicate it is cost</w:t>
      </w:r>
      <w:r w:rsidR="00576BE5">
        <w:rPr>
          <w:rFonts w:cs="Arial"/>
        </w:rPr>
        <w:t xml:space="preserve"> </w:t>
      </w:r>
      <w:r w:rsidRPr="00296D0C">
        <w:rPr>
          <w:rFonts w:cs="Arial"/>
        </w:rPr>
        <w:t>effective, when considering weight status, points commissioners to the dominance of usual practice.  However, given there are a wide range of other interventions being used across the school setting, in the absence of evidence of their effectiveness and cost</w:t>
      </w:r>
      <w:r w:rsidR="00576BE5">
        <w:rPr>
          <w:rFonts w:cs="Arial"/>
        </w:rPr>
        <w:t xml:space="preserve"> </w:t>
      </w:r>
      <w:r w:rsidRPr="00296D0C">
        <w:rPr>
          <w:rFonts w:cs="Arial"/>
        </w:rPr>
        <w:t>effectiveness, it may be that Commissioners consider the po</w:t>
      </w:r>
      <w:r w:rsidR="00926DE8" w:rsidRPr="00296D0C">
        <w:rPr>
          <w:rFonts w:cs="Arial"/>
        </w:rPr>
        <w:t xml:space="preserve">tential use of </w:t>
      </w:r>
      <w:r w:rsidR="00926DE8" w:rsidRPr="0051715E">
        <w:rPr>
          <w:rFonts w:cs="Arial"/>
        </w:rPr>
        <w:t>HeLP</w:t>
      </w:r>
      <w:r w:rsidR="004C2A01" w:rsidRPr="0051715E">
        <w:rPr>
          <w:rFonts w:cs="Arial"/>
        </w:rPr>
        <w:t>,</w:t>
      </w:r>
      <w:r w:rsidR="00926DE8" w:rsidRPr="0051715E">
        <w:rPr>
          <w:rFonts w:cs="Arial"/>
        </w:rPr>
        <w:t xml:space="preserve"> </w:t>
      </w:r>
      <w:r w:rsidR="004C2A01" w:rsidRPr="0051715E">
        <w:rPr>
          <w:rFonts w:cs="Arial"/>
        </w:rPr>
        <w:t xml:space="preserve"> or HeLP-like interventions,</w:t>
      </w:r>
      <w:r w:rsidR="004C2A01" w:rsidRPr="00296D0C">
        <w:rPr>
          <w:rFonts w:cs="Arial"/>
        </w:rPr>
        <w:t xml:space="preserve"> </w:t>
      </w:r>
      <w:r w:rsidR="00926DE8" w:rsidRPr="00296D0C">
        <w:rPr>
          <w:rFonts w:cs="Arial"/>
        </w:rPr>
        <w:t>in a school-</w:t>
      </w:r>
      <w:r w:rsidRPr="00296D0C">
        <w:rPr>
          <w:rFonts w:cs="Arial"/>
        </w:rPr>
        <w:t xml:space="preserve">based setting, and if so here we have provided strong evidence on the resource use and cost associated with delivery of HeLP, and a framework that may be used in any further future assessment, of HeLP or similar interventions. </w:t>
      </w:r>
    </w:p>
    <w:p w14:paraId="373E9F3C" w14:textId="77777777" w:rsidR="00B9143B" w:rsidRPr="00296D0C" w:rsidRDefault="00B9143B">
      <w:pPr>
        <w:rPr>
          <w:rFonts w:cs="Arial"/>
        </w:rPr>
      </w:pPr>
      <w:r w:rsidRPr="00296D0C">
        <w:rPr>
          <w:rFonts w:cs="Arial"/>
        </w:rPr>
        <w:br w:type="page"/>
      </w:r>
    </w:p>
    <w:p w14:paraId="14F34214" w14:textId="7817AC5B" w:rsidR="00DB5BA7" w:rsidRPr="00296D0C" w:rsidRDefault="00DB5BA7" w:rsidP="00DB5BA7">
      <w:pPr>
        <w:keepNext/>
        <w:keepLines/>
        <w:spacing w:before="480" w:after="0" w:line="360" w:lineRule="auto"/>
        <w:jc w:val="both"/>
        <w:outlineLvl w:val="0"/>
        <w:rPr>
          <w:rFonts w:eastAsiaTheme="majorEastAsia" w:cs="Times New Roman"/>
          <w:b/>
          <w:bCs/>
        </w:rPr>
      </w:pPr>
      <w:bookmarkStart w:id="527" w:name="_Toc454450838"/>
      <w:bookmarkStart w:id="528" w:name="_Toc466639069"/>
      <w:bookmarkStart w:id="529" w:name="_Toc466710105"/>
      <w:bookmarkStart w:id="530" w:name="_Toc466711453"/>
      <w:bookmarkStart w:id="531" w:name="_Toc466712112"/>
      <w:bookmarkStart w:id="532" w:name="_Toc475974380"/>
      <w:bookmarkStart w:id="533" w:name="_Toc454450843"/>
      <w:bookmarkStart w:id="534" w:name="_Toc454450852"/>
      <w:r w:rsidRPr="00296D0C">
        <w:rPr>
          <w:rFonts w:eastAsiaTheme="majorEastAsia" w:cs="Times New Roman"/>
          <w:b/>
          <w:bCs/>
        </w:rPr>
        <w:lastRenderedPageBreak/>
        <w:t>Chapter 5 Process evaluation</w:t>
      </w:r>
      <w:bookmarkEnd w:id="527"/>
      <w:bookmarkEnd w:id="528"/>
      <w:bookmarkEnd w:id="529"/>
      <w:bookmarkEnd w:id="530"/>
      <w:bookmarkEnd w:id="531"/>
      <w:bookmarkEnd w:id="532"/>
      <w:r w:rsidRPr="00296D0C">
        <w:rPr>
          <w:rFonts w:eastAsiaTheme="majorEastAsia" w:cs="Times New Roman"/>
          <w:b/>
          <w:bCs/>
        </w:rPr>
        <w:t xml:space="preserve"> </w:t>
      </w:r>
    </w:p>
    <w:p w14:paraId="533AC6AA" w14:textId="4162ED24" w:rsidR="00DB5BA7" w:rsidRPr="00296D0C" w:rsidRDefault="00A00706" w:rsidP="00DB5BA7">
      <w:pPr>
        <w:keepNext/>
        <w:keepLines/>
        <w:spacing w:before="200" w:after="0" w:line="360" w:lineRule="auto"/>
        <w:outlineLvl w:val="1"/>
        <w:rPr>
          <w:rFonts w:eastAsiaTheme="majorEastAsia" w:cs="Times New Roman"/>
          <w:b/>
          <w:bCs/>
        </w:rPr>
      </w:pPr>
      <w:bookmarkStart w:id="535" w:name="_Toc454450834"/>
      <w:bookmarkStart w:id="536" w:name="_Toc466639070"/>
      <w:bookmarkStart w:id="537" w:name="_Toc466710106"/>
      <w:bookmarkStart w:id="538" w:name="_Toc466711454"/>
      <w:bookmarkStart w:id="539" w:name="_Toc466712113"/>
      <w:bookmarkStart w:id="540" w:name="_Toc475974381"/>
      <w:r w:rsidRPr="00296D0C">
        <w:rPr>
          <w:rFonts w:eastAsiaTheme="majorEastAsia" w:cs="Times New Roman"/>
          <w:b/>
          <w:bCs/>
        </w:rPr>
        <w:t xml:space="preserve">5.1 </w:t>
      </w:r>
      <w:r w:rsidR="00DB5BA7" w:rsidRPr="00296D0C">
        <w:rPr>
          <w:rFonts w:eastAsiaTheme="majorEastAsia" w:cs="Times New Roman"/>
          <w:b/>
          <w:bCs/>
        </w:rPr>
        <w:t>Introduction</w:t>
      </w:r>
      <w:bookmarkEnd w:id="535"/>
      <w:bookmarkEnd w:id="536"/>
      <w:bookmarkEnd w:id="537"/>
      <w:bookmarkEnd w:id="538"/>
      <w:bookmarkEnd w:id="539"/>
      <w:bookmarkEnd w:id="540"/>
    </w:p>
    <w:p w14:paraId="10E459F4" w14:textId="777A9535" w:rsidR="00DB5BA7" w:rsidRPr="00296D0C" w:rsidRDefault="00DB5BA7" w:rsidP="00DB5BA7">
      <w:pPr>
        <w:spacing w:after="0" w:line="360" w:lineRule="auto"/>
      </w:pPr>
      <w:r w:rsidRPr="00296D0C">
        <w:t>The overarching aim of the process evaluation for the cluster RCT of the Healthy Lifestyles Programme was to contextualise the trial effectiveness and cost</w:t>
      </w:r>
      <w:r w:rsidR="00576BE5">
        <w:t xml:space="preserve"> </w:t>
      </w:r>
      <w:r w:rsidRPr="00296D0C">
        <w:t>effectiveness results, with respect to how the intervention may or may not have worked.</w:t>
      </w:r>
    </w:p>
    <w:p w14:paraId="235B923A" w14:textId="3CFAEF16" w:rsidR="00DB5BA7" w:rsidRPr="00296D0C" w:rsidRDefault="00A00706" w:rsidP="00A00706">
      <w:pPr>
        <w:keepNext/>
        <w:keepLines/>
        <w:spacing w:before="200" w:after="0"/>
        <w:outlineLvl w:val="2"/>
        <w:rPr>
          <w:rFonts w:eastAsiaTheme="majorEastAsia" w:cstheme="majorBidi"/>
          <w:b/>
          <w:bCs/>
        </w:rPr>
      </w:pPr>
      <w:bookmarkStart w:id="541" w:name="_Toc466710107"/>
      <w:bookmarkStart w:id="542" w:name="_Toc466711455"/>
      <w:bookmarkStart w:id="543" w:name="_Toc466712114"/>
      <w:bookmarkStart w:id="544" w:name="_Toc475974382"/>
      <w:r w:rsidRPr="00296D0C">
        <w:rPr>
          <w:rFonts w:eastAsiaTheme="majorEastAsia" w:cstheme="majorBidi"/>
          <w:b/>
          <w:bCs/>
        </w:rPr>
        <w:t xml:space="preserve">5.1.1 </w:t>
      </w:r>
      <w:r w:rsidR="00DB5BA7" w:rsidRPr="00296D0C">
        <w:rPr>
          <w:rFonts w:eastAsiaTheme="majorEastAsia" w:cstheme="majorBidi"/>
          <w:b/>
          <w:bCs/>
        </w:rPr>
        <w:t>Aims</w:t>
      </w:r>
      <w:bookmarkEnd w:id="541"/>
      <w:bookmarkEnd w:id="542"/>
      <w:bookmarkEnd w:id="543"/>
      <w:bookmarkEnd w:id="544"/>
    </w:p>
    <w:p w14:paraId="0B057179" w14:textId="77777777" w:rsidR="00DB5BA7" w:rsidRPr="00296D0C" w:rsidRDefault="00DB5BA7" w:rsidP="00DB5BA7">
      <w:pPr>
        <w:spacing w:after="0" w:line="360" w:lineRule="auto"/>
      </w:pPr>
      <w:r w:rsidRPr="00296D0C">
        <w:t>There were two main aims of the process evaluation:</w:t>
      </w:r>
    </w:p>
    <w:p w14:paraId="6ADEDD7C" w14:textId="73DB2BC8" w:rsidR="00DB5BA7" w:rsidRPr="00296D0C" w:rsidRDefault="00DB5BA7" w:rsidP="00BA7C6B">
      <w:pPr>
        <w:spacing w:after="0" w:line="360" w:lineRule="auto"/>
        <w:ind w:left="720"/>
        <w:contextualSpacing/>
      </w:pPr>
      <w:r w:rsidRPr="00296D0C">
        <w:t>To assess uptake and the fidelity of the intervention</w:t>
      </w:r>
    </w:p>
    <w:p w14:paraId="02E3D689" w14:textId="34B835C1" w:rsidR="00DB5BA7" w:rsidRPr="00296D0C" w:rsidRDefault="00DB5BA7" w:rsidP="00BA7C6B">
      <w:pPr>
        <w:spacing w:after="0" w:line="360" w:lineRule="auto"/>
        <w:ind w:left="720"/>
        <w:contextualSpacing/>
      </w:pPr>
      <w:r w:rsidRPr="00296D0C">
        <w:t xml:space="preserve">To assess whether the intervention worked in the way it was expected to, in terms of the </w:t>
      </w:r>
      <w:r w:rsidR="00F0041F">
        <w:t xml:space="preserve">     </w:t>
      </w:r>
      <w:r w:rsidRPr="00296D0C">
        <w:t>intervention logic model</w:t>
      </w:r>
    </w:p>
    <w:p w14:paraId="79A9FC3D" w14:textId="01B2F9A9" w:rsidR="00DB5BA7" w:rsidRPr="00296D0C" w:rsidRDefault="00A00706" w:rsidP="00A00706">
      <w:pPr>
        <w:keepNext/>
        <w:keepLines/>
        <w:spacing w:before="200" w:after="0" w:line="360" w:lineRule="auto"/>
        <w:outlineLvl w:val="2"/>
        <w:rPr>
          <w:rFonts w:eastAsiaTheme="majorEastAsia" w:cs="Times New Roman"/>
          <w:b/>
          <w:bCs/>
        </w:rPr>
      </w:pPr>
      <w:bookmarkStart w:id="545" w:name="_Toc466710108"/>
      <w:bookmarkStart w:id="546" w:name="_Toc466711456"/>
      <w:bookmarkStart w:id="547" w:name="_Toc466712115"/>
      <w:bookmarkStart w:id="548" w:name="_Toc475974383"/>
      <w:bookmarkStart w:id="549" w:name="_Toc454450835"/>
      <w:r w:rsidRPr="00296D0C">
        <w:rPr>
          <w:rFonts w:eastAsiaTheme="majorEastAsia" w:cs="Times New Roman"/>
          <w:b/>
          <w:bCs/>
        </w:rPr>
        <w:t xml:space="preserve">5.1.2 </w:t>
      </w:r>
      <w:r w:rsidR="00DB5BA7" w:rsidRPr="00296D0C">
        <w:rPr>
          <w:rFonts w:eastAsiaTheme="majorEastAsia" w:cs="Times New Roman"/>
          <w:b/>
          <w:bCs/>
        </w:rPr>
        <w:t>Research Questions</w:t>
      </w:r>
      <w:bookmarkEnd w:id="545"/>
      <w:bookmarkEnd w:id="546"/>
      <w:bookmarkEnd w:id="547"/>
      <w:bookmarkEnd w:id="548"/>
    </w:p>
    <w:p w14:paraId="093EB264" w14:textId="77777777" w:rsidR="00DB5BA7" w:rsidRPr="00296D0C" w:rsidRDefault="00DB5BA7" w:rsidP="00DB5BA7">
      <w:pPr>
        <w:spacing w:after="0" w:line="360" w:lineRule="auto"/>
      </w:pPr>
      <w:r w:rsidRPr="00296D0C">
        <w:t>In order to address the aims of the process evaluation, we devised the following research questions:</w:t>
      </w:r>
    </w:p>
    <w:p w14:paraId="454E650B" w14:textId="77777777" w:rsidR="00DB5BA7" w:rsidRPr="00296D0C" w:rsidRDefault="00DB5BA7" w:rsidP="00DB5BA7">
      <w:pPr>
        <w:spacing w:after="0" w:line="360" w:lineRule="auto"/>
      </w:pPr>
      <w:r w:rsidRPr="00296D0C">
        <w:rPr>
          <w:b/>
        </w:rPr>
        <w:t>Aim 1:</w:t>
      </w:r>
      <w:r w:rsidRPr="00296D0C">
        <w:t xml:space="preserve"> To assess uptake and fidelity of the HeLP intervention</w:t>
      </w:r>
    </w:p>
    <w:p w14:paraId="6B87321B" w14:textId="4700EC30" w:rsidR="00DB5BA7" w:rsidRPr="00296D0C" w:rsidRDefault="00BA7C6B" w:rsidP="00BA7C6B">
      <w:pPr>
        <w:spacing w:after="0" w:line="360" w:lineRule="auto"/>
        <w:ind w:left="720"/>
        <w:contextualSpacing/>
      </w:pPr>
      <w:r w:rsidRPr="00296D0C">
        <w:t xml:space="preserve">      </w:t>
      </w:r>
      <w:r w:rsidR="00DB5BA7" w:rsidRPr="00296D0C">
        <w:t>RQ 1. How much of HeLP did children and families receive?</w:t>
      </w:r>
    </w:p>
    <w:p w14:paraId="3C9A3137" w14:textId="32D41D0D" w:rsidR="00DB5BA7" w:rsidRPr="00296D0C" w:rsidRDefault="00BA7C6B" w:rsidP="00BA7C6B">
      <w:pPr>
        <w:spacing w:after="0" w:line="360" w:lineRule="auto"/>
        <w:ind w:left="720"/>
        <w:contextualSpacing/>
      </w:pPr>
      <w:r w:rsidRPr="00296D0C">
        <w:t xml:space="preserve">      </w:t>
      </w:r>
      <w:r w:rsidR="00DB5BA7" w:rsidRPr="00296D0C">
        <w:t xml:space="preserve">RQ 2. Was </w:t>
      </w:r>
      <w:r w:rsidR="00FE6FD2" w:rsidRPr="00296D0C">
        <w:t xml:space="preserve">the </w:t>
      </w:r>
      <w:r w:rsidR="00AA7A6D">
        <w:t>p</w:t>
      </w:r>
      <w:r w:rsidR="00FE6FD2" w:rsidRPr="00296D0C">
        <w:t>rogramme</w:t>
      </w:r>
      <w:r w:rsidR="00DB5BA7" w:rsidRPr="00296D0C">
        <w:t xml:space="preserve"> delivered as designed?</w:t>
      </w:r>
    </w:p>
    <w:p w14:paraId="025EEB1E" w14:textId="77777777" w:rsidR="00DB5BA7" w:rsidRPr="00296D0C" w:rsidRDefault="00DB5BA7" w:rsidP="00DB5BA7">
      <w:pPr>
        <w:spacing w:after="0" w:line="360" w:lineRule="auto"/>
        <w:ind w:left="720"/>
        <w:contextualSpacing/>
      </w:pPr>
    </w:p>
    <w:p w14:paraId="0E6E931A" w14:textId="54BE42BC" w:rsidR="00DB5BA7" w:rsidRPr="00296D0C" w:rsidRDefault="00DB5BA7" w:rsidP="00DB5BA7">
      <w:pPr>
        <w:spacing w:after="0" w:line="360" w:lineRule="auto"/>
      </w:pPr>
      <w:r w:rsidRPr="00296D0C">
        <w:rPr>
          <w:b/>
        </w:rPr>
        <w:t>Aim 2:</w:t>
      </w:r>
      <w:r w:rsidRPr="00296D0C">
        <w:t xml:space="preserve"> To assess whether the intervention worked in the way it was expected to, in terms of the intervention logic model (see Fig</w:t>
      </w:r>
      <w:r w:rsidR="009C6E6D" w:rsidRPr="00296D0C">
        <w:t>ure 8</w:t>
      </w:r>
      <w:r w:rsidRPr="00296D0C">
        <w:t>)</w:t>
      </w:r>
    </w:p>
    <w:p w14:paraId="430DFE93" w14:textId="4FE2DEE6" w:rsidR="00DB5BA7" w:rsidRPr="00296D0C" w:rsidRDefault="00BA7C6B" w:rsidP="00BA7C6B">
      <w:pPr>
        <w:spacing w:after="0" w:line="360" w:lineRule="auto"/>
        <w:ind w:left="720"/>
        <w:contextualSpacing/>
      </w:pPr>
      <w:r w:rsidRPr="00296D0C">
        <w:t xml:space="preserve">      </w:t>
      </w:r>
      <w:r w:rsidR="00DB5BA7" w:rsidRPr="00296D0C">
        <w:t xml:space="preserve">RQ </w:t>
      </w:r>
      <w:r w:rsidR="00F21C70" w:rsidRPr="00296D0C">
        <w:t>3</w:t>
      </w:r>
      <w:r w:rsidR="00DB5BA7" w:rsidRPr="00296D0C">
        <w:t>. Did schools, children and parents engage with HeLP?</w:t>
      </w:r>
    </w:p>
    <w:p w14:paraId="0AEC2BBE" w14:textId="5A6FAE54" w:rsidR="00DB5BA7" w:rsidRPr="00296D0C" w:rsidRDefault="00BA7C6B" w:rsidP="00BA7C6B">
      <w:pPr>
        <w:spacing w:after="0" w:line="360" w:lineRule="auto"/>
        <w:ind w:left="720"/>
        <w:contextualSpacing/>
      </w:pPr>
      <w:r w:rsidRPr="00296D0C">
        <w:t xml:space="preserve">      </w:t>
      </w:r>
      <w:r w:rsidR="00DB5BA7" w:rsidRPr="00296D0C">
        <w:t xml:space="preserve">RQ </w:t>
      </w:r>
      <w:r w:rsidR="00F21C70" w:rsidRPr="00296D0C">
        <w:t>4</w:t>
      </w:r>
      <w:r w:rsidR="00DB5BA7" w:rsidRPr="00296D0C">
        <w:t>. How were the attempts to change behaviours experienced by the children?</w:t>
      </w:r>
    </w:p>
    <w:p w14:paraId="2156BF70" w14:textId="01DB7A33" w:rsidR="00DB5BA7" w:rsidRPr="00296D0C" w:rsidRDefault="00BA7C6B" w:rsidP="00BA7C6B">
      <w:pPr>
        <w:spacing w:after="0" w:line="360" w:lineRule="auto"/>
        <w:ind w:left="720"/>
        <w:contextualSpacing/>
      </w:pPr>
      <w:r w:rsidRPr="00296D0C">
        <w:t xml:space="preserve">      </w:t>
      </w:r>
      <w:r w:rsidR="00DB5BA7" w:rsidRPr="00296D0C">
        <w:t xml:space="preserve">RQ </w:t>
      </w:r>
      <w:r w:rsidR="00F21C70" w:rsidRPr="00296D0C">
        <w:t>5</w:t>
      </w:r>
      <w:r w:rsidR="00DB5BA7" w:rsidRPr="00296D0C">
        <w:t>. Were there reported changes to children’s eating and physical activity behaviours?</w:t>
      </w:r>
    </w:p>
    <w:p w14:paraId="17FAF3FF" w14:textId="3F351627" w:rsidR="00DB5BA7" w:rsidRPr="00296D0C" w:rsidRDefault="00BA7C6B" w:rsidP="00BA7C6B">
      <w:pPr>
        <w:spacing w:after="0" w:line="360" w:lineRule="auto"/>
        <w:ind w:left="720"/>
        <w:contextualSpacing/>
      </w:pPr>
      <w:r w:rsidRPr="00296D0C">
        <w:t xml:space="preserve">      </w:t>
      </w:r>
      <w:r w:rsidR="00DB5BA7" w:rsidRPr="00296D0C">
        <w:t xml:space="preserve">RQ </w:t>
      </w:r>
      <w:r w:rsidR="00F21C70" w:rsidRPr="00296D0C">
        <w:t>6</w:t>
      </w:r>
      <w:r w:rsidR="00DB5BA7" w:rsidRPr="00296D0C">
        <w:t xml:space="preserve">. </w:t>
      </w:r>
      <w:r w:rsidR="00B046E3" w:rsidRPr="00296D0C">
        <w:t xml:space="preserve">Do statistical models combining potential cognitive and behavioural changes   </w:t>
      </w:r>
      <w:r w:rsidR="001B481E">
        <w:t xml:space="preserve">    </w:t>
      </w:r>
      <w:r w:rsidR="00B046E3" w:rsidRPr="00296D0C">
        <w:t>mediate observed between group differences in outcomes?</w:t>
      </w:r>
    </w:p>
    <w:p w14:paraId="116F3BFB" w14:textId="4A2073A1" w:rsidR="00DB5BA7" w:rsidRPr="00296D0C" w:rsidRDefault="00A00706" w:rsidP="00A00706">
      <w:pPr>
        <w:keepNext/>
        <w:keepLines/>
        <w:spacing w:before="200" w:after="0" w:line="360" w:lineRule="auto"/>
        <w:outlineLvl w:val="2"/>
        <w:rPr>
          <w:rFonts w:eastAsiaTheme="majorEastAsia" w:cs="Times New Roman"/>
          <w:b/>
          <w:bCs/>
        </w:rPr>
      </w:pPr>
      <w:bookmarkStart w:id="550" w:name="_Toc466710109"/>
      <w:bookmarkStart w:id="551" w:name="_Toc466711457"/>
      <w:bookmarkStart w:id="552" w:name="_Toc466712116"/>
      <w:bookmarkStart w:id="553" w:name="_Toc475974384"/>
      <w:r w:rsidRPr="00296D0C">
        <w:rPr>
          <w:rFonts w:eastAsiaTheme="majorEastAsia" w:cs="Times New Roman"/>
          <w:b/>
          <w:bCs/>
        </w:rPr>
        <w:t xml:space="preserve">5.1.3 </w:t>
      </w:r>
      <w:r w:rsidR="00DB5BA7" w:rsidRPr="00296D0C">
        <w:rPr>
          <w:rFonts w:eastAsiaTheme="majorEastAsia" w:cs="Times New Roman"/>
          <w:b/>
          <w:bCs/>
        </w:rPr>
        <w:t>Logic Model</w:t>
      </w:r>
      <w:bookmarkEnd w:id="550"/>
      <w:bookmarkEnd w:id="551"/>
      <w:bookmarkEnd w:id="552"/>
      <w:bookmarkEnd w:id="553"/>
    </w:p>
    <w:p w14:paraId="735CC474" w14:textId="5536BDA8" w:rsidR="00DB5BA7" w:rsidRPr="00296D0C" w:rsidRDefault="00DB5BA7" w:rsidP="00DB5BA7">
      <w:pPr>
        <w:adjustRightInd w:val="0"/>
        <w:snapToGrid w:val="0"/>
        <w:spacing w:after="0" w:line="360" w:lineRule="auto"/>
        <w:rPr>
          <w:rFonts w:cs="Arial"/>
        </w:rPr>
      </w:pPr>
      <w:r w:rsidRPr="00296D0C">
        <w:t xml:space="preserve">The logic model for the Healthy Lifestyles </w:t>
      </w:r>
      <w:r w:rsidR="004F35DF" w:rsidRPr="00296D0C">
        <w:t>P</w:t>
      </w:r>
      <w:r w:rsidRPr="00296D0C">
        <w:t>rogramme (Fig</w:t>
      </w:r>
      <w:r w:rsidR="00EC353A" w:rsidRPr="00296D0C">
        <w:t>ure</w:t>
      </w:r>
      <w:r w:rsidRPr="00296D0C">
        <w:t xml:space="preserve"> </w:t>
      </w:r>
      <w:r w:rsidR="00796D98" w:rsidRPr="00296D0C">
        <w:t>8</w:t>
      </w:r>
      <w:r w:rsidRPr="00296D0C">
        <w:t xml:space="preserve">) attempts to visually represent the theoretical underpinnings of the intervention, the content of the intervention, the process by which the intervention was assumed to work, the context in which the intervention was delivered and the outcomes it was hoped would be achieved. </w:t>
      </w:r>
      <w:r w:rsidRPr="00296D0C">
        <w:rPr>
          <w:rFonts w:cs="Arial"/>
        </w:rPr>
        <w:t xml:space="preserve">From the outset we wanted to develop a programme which impacted both school and family environment as well as affecting individual processes related to health behaviours </w:t>
      </w:r>
      <w:r w:rsidRPr="00296D0C">
        <w:rPr>
          <w:rFonts w:cs="Arial"/>
        </w:rPr>
        <w:fldChar w:fldCharType="begin"/>
      </w:r>
      <w:r w:rsidR="008C43BF">
        <w:rPr>
          <w:rFonts w:cs="Arial"/>
        </w:rPr>
        <w:instrText xml:space="preserve"> ADDIN EN.CITE &lt;EndNote&gt;&lt;Cite&gt;&lt;Author&gt;Bonell&lt;/Author&gt;&lt;Year&gt;2013&lt;/Year&gt;&lt;RecNum&gt;5267&lt;/RecNum&gt;&lt;DisplayText&gt;&lt;style face="superscript"&gt;121&lt;/style&gt;&lt;/DisplayText&gt;&lt;record&gt;&lt;rec-number&gt;5267&lt;/rec-number&gt;&lt;foreign-keys&gt;&lt;key app="EN" db-id="2ewa9rrvjsdsawep2vpx5x97eedzzvxx5rta" timestamp="0"&gt;5267&lt;/key&gt;&lt;/foreign-keys&gt;&lt;ref-type name="Journal Article"&gt;17&lt;/ref-type&gt;&lt;contributors&gt;&lt;authors&gt;&lt;author&gt;Bonell, CP&lt;/author&gt;&lt;author&gt;Fletcher, A&lt;/author&gt;&lt;author&gt;Jamal, F&lt;/author&gt;&lt;author&gt;Wells, H&lt;/author&gt;&lt;author&gt;Harden, A&lt;/author&gt;&lt;author&gt;Murphy, S&lt;/author&gt;&lt;author&gt;Thomas, J&lt;/author&gt;&lt;/authors&gt;&lt;/contributors&gt;&lt;titles&gt;&lt;title&gt;Theories of how the school environment impacts on student health: Systematic review and synthesis&lt;/title&gt;&lt;secondary-title&gt;Health &amp;amp; Place&lt;/secondary-title&gt;&lt;/titles&gt;&lt;pages&gt;242-249&lt;/pages&gt;&lt;volume&gt;24&lt;/volume&gt;&lt;dates&gt;&lt;year&gt;2013&lt;/year&gt;&lt;/dates&gt;&lt;isbn&gt;1353-8292&lt;/isbn&gt;&lt;urls&gt;&lt;/urls&gt;&lt;/record&gt;&lt;/Cite&gt;&lt;/EndNote&gt;</w:instrText>
      </w:r>
      <w:r w:rsidRPr="00296D0C">
        <w:rPr>
          <w:rFonts w:cs="Arial"/>
        </w:rPr>
        <w:fldChar w:fldCharType="separate"/>
      </w:r>
      <w:r w:rsidR="008C43BF" w:rsidRPr="008C43BF">
        <w:rPr>
          <w:rFonts w:cs="Arial"/>
          <w:noProof/>
          <w:vertAlign w:val="superscript"/>
        </w:rPr>
        <w:t>121</w:t>
      </w:r>
      <w:r w:rsidRPr="00296D0C">
        <w:rPr>
          <w:rFonts w:cs="Arial"/>
        </w:rPr>
        <w:fldChar w:fldCharType="end"/>
      </w:r>
      <w:r w:rsidRPr="00296D0C">
        <w:rPr>
          <w:rFonts w:cs="Arial"/>
        </w:rPr>
        <w:t>.</w:t>
      </w:r>
      <w:r w:rsidR="004F35DF" w:rsidRPr="00296D0C">
        <w:rPr>
          <w:rFonts w:cs="Arial"/>
        </w:rPr>
        <w:t xml:space="preserve"> </w:t>
      </w:r>
      <w:r w:rsidRPr="00296D0C">
        <w:rPr>
          <w:rFonts w:cs="Arial"/>
        </w:rPr>
        <w:t xml:space="preserve">The underpinning assumptions were to create supportive environments for healthy lifestyles choices and positive relationships at the level of the school, child and family. In line with the WHO’s Health Promoting Schools framework we aimed to develop activities that impacted the school environment, the curriculum and linked to families </w:t>
      </w:r>
      <w:r w:rsidRPr="00296D0C">
        <w:rPr>
          <w:rFonts w:cs="Arial"/>
        </w:rPr>
        <w:fldChar w:fldCharType="begin"/>
      </w:r>
      <w:r w:rsidR="006A7004">
        <w:rPr>
          <w:rFonts w:cs="Arial"/>
        </w:rPr>
        <w:instrText xml:space="preserve"> ADDIN EN.CITE &lt;EndNote&gt;&lt;Cite&gt;&lt;Author&gt;Langford&lt;/Author&gt;&lt;Year&gt;2011&lt;/Year&gt;&lt;RecNum&gt;5266&lt;/RecNum&gt;&lt;DisplayText&gt;&lt;style face="superscript"&gt;21&lt;/style&gt;&lt;/DisplayText&gt;&lt;record&gt;&lt;rec-number&gt;5266&lt;/rec-number&gt;&lt;foreign-keys&gt;&lt;key app="EN" db-id="2ewa9rrvjsdsawep2vpx5x97eedzzvxx5rta" timestamp="0"&gt;5266&lt;/key&gt;&lt;/foreign-keys&gt;&lt;ref-type name="Journal Article"&gt;17&lt;/ref-type&gt;&lt;contributors&gt;&lt;authors&gt;&lt;author&gt;Langford, Rebecca&lt;/author&gt;&lt;author&gt;Campbell, Rona&lt;/author&gt;&lt;author&gt;Magnus, Daniel&lt;/author&gt;&lt;author&gt;Bonell, Chris P&lt;/author&gt;&lt;author&gt;Murphy, Simon M&lt;/author&gt;&lt;author&gt;Waters, Elizabeth&lt;/author&gt;&lt;author&gt;Komro, Kelli A&lt;/author&gt;&lt;author&gt;Gibbs, Lisa F&lt;/author&gt;&lt;/authors&gt;&lt;/contributors&gt;&lt;titles&gt;&lt;title&gt;The WHO Health Promoting School framework for improving the health and well‐being of students and staff&lt;/title&gt;&lt;secondary-title&gt;The Cochrane Library&lt;/secondary-title&gt;&lt;/titles&gt;&lt;dates&gt;&lt;year&gt;2011&lt;/year&gt;&lt;/dates&gt;&lt;isbn&gt;1465-1858&lt;/isbn&gt;&lt;urls&gt;&lt;/urls&gt;&lt;electronic-resource-num&gt;10.1002/14651858.CD008958&lt;/electronic-resource-num&gt;&lt;access-date&gt;2/11/2016&lt;/access-date&gt;&lt;/record&gt;&lt;/Cite&gt;&lt;/EndNote&gt;</w:instrText>
      </w:r>
      <w:r w:rsidRPr="00296D0C">
        <w:rPr>
          <w:rFonts w:cs="Arial"/>
        </w:rPr>
        <w:fldChar w:fldCharType="separate"/>
      </w:r>
      <w:r w:rsidR="006347BE" w:rsidRPr="006347BE">
        <w:rPr>
          <w:rFonts w:cs="Arial"/>
          <w:noProof/>
          <w:vertAlign w:val="superscript"/>
        </w:rPr>
        <w:t>21</w:t>
      </w:r>
      <w:r w:rsidRPr="00296D0C">
        <w:rPr>
          <w:rFonts w:cs="Arial"/>
        </w:rPr>
        <w:fldChar w:fldCharType="end"/>
      </w:r>
      <w:r w:rsidRPr="00296D0C">
        <w:rPr>
          <w:rFonts w:cs="Arial"/>
        </w:rPr>
        <w:t>.</w:t>
      </w:r>
      <w:r w:rsidR="004F35DF" w:rsidRPr="00296D0C">
        <w:rPr>
          <w:rFonts w:cs="Arial"/>
        </w:rPr>
        <w:t xml:space="preserve"> </w:t>
      </w:r>
      <w:r w:rsidRPr="00296D0C">
        <w:t xml:space="preserve">The delivery methods used were </w:t>
      </w:r>
      <w:r w:rsidRPr="00296D0C">
        <w:lastRenderedPageBreak/>
        <w:t xml:space="preserve">highly interactive and encouraged identification with and ownership of the healthy lifestyle messages so that the children were motivated to take them home to their parents and effect change within the family. </w:t>
      </w:r>
    </w:p>
    <w:p w14:paraId="48E97FCA" w14:textId="77777777" w:rsidR="00DB5BA7" w:rsidRPr="00296D0C" w:rsidRDefault="00DB5BA7" w:rsidP="00DB5BA7">
      <w:pPr>
        <w:spacing w:after="0" w:line="360" w:lineRule="auto"/>
      </w:pPr>
    </w:p>
    <w:p w14:paraId="40D846B8" w14:textId="02F9C00F" w:rsidR="00DB5BA7" w:rsidRPr="00296D0C" w:rsidRDefault="00B046E3" w:rsidP="00B046E3">
      <w:pPr>
        <w:spacing w:after="0" w:line="360" w:lineRule="auto"/>
      </w:pPr>
      <w:r w:rsidRPr="00296D0C">
        <w:t>The HeLP intervention used the Information Motivation and Behavioural skills model</w:t>
      </w:r>
      <w:r w:rsidR="004F35DF" w:rsidRPr="00296D0C">
        <w:t xml:space="preserve"> </w:t>
      </w:r>
      <w:r w:rsidR="004F35DF" w:rsidRPr="00296D0C">
        <w:fldChar w:fldCharType="begin"/>
      </w:r>
      <w:r w:rsidR="008C43BF">
        <w:instrText xml:space="preserve"> ADDIN EN.CITE &lt;EndNote&gt;&lt;Cite&gt;&lt;Author&gt;Fisher&lt;/Author&gt;&lt;Year&gt;1992&lt;/Year&gt;&lt;RecNum&gt;3602&lt;/RecNum&gt;&lt;DisplayText&gt;&lt;style face="superscript"&gt;122&lt;/style&gt;&lt;/DisplayText&gt;&lt;record&gt;&lt;rec-number&gt;3602&lt;/rec-number&gt;&lt;foreign-keys&gt;&lt;key app="EN" db-id="2ewa9rrvjsdsawep2vpx5x97eedzzvxx5rta" timestamp="0"&gt;3602&lt;/key&gt;&lt;/foreign-keys&gt;&lt;ref-type name="Journal Article"&gt;17&lt;/ref-type&gt;&lt;contributors&gt;&lt;authors&gt;&lt;author&gt;Fisher, JD&lt;/author&gt;&lt;author&gt;Fisher, WA&lt;/author&gt;&lt;/authors&gt;&lt;/contributors&gt;&lt;titles&gt;&lt;title&gt;Modifiable determinants of behaviour: information, motivation, behaviour skills model&lt;/title&gt;&lt;secondary-title&gt;Psychological Bulletin&lt;/secondary-title&gt;&lt;/titles&gt;&lt;periodical&gt;&lt;full-title&gt;Psychological Bulletin&lt;/full-title&gt;&lt;abbr-1&gt;Psychol. Bull.&lt;/abbr-1&gt;&lt;abbr-2&gt;Psychol Bull&lt;/abbr-2&gt;&lt;/periodical&gt;&lt;dates&gt;&lt;year&gt;1992&lt;/year&gt;&lt;/dates&gt;&lt;urls&gt;&lt;/urls&gt;&lt;/record&gt;&lt;/Cite&gt;&lt;/EndNote&gt;</w:instrText>
      </w:r>
      <w:r w:rsidR="004F35DF" w:rsidRPr="00296D0C">
        <w:fldChar w:fldCharType="separate"/>
      </w:r>
      <w:r w:rsidR="008C43BF" w:rsidRPr="008C43BF">
        <w:rPr>
          <w:noProof/>
          <w:vertAlign w:val="superscript"/>
        </w:rPr>
        <w:t>122</w:t>
      </w:r>
      <w:r w:rsidR="004F35DF" w:rsidRPr="00296D0C">
        <w:fldChar w:fldCharType="end"/>
      </w:r>
      <w:r w:rsidR="004F35DF" w:rsidRPr="00296D0C">
        <w:t xml:space="preserve"> a</w:t>
      </w:r>
      <w:r w:rsidRPr="00296D0C">
        <w:t xml:space="preserve">s a guide to selecting cognitive and behavioural antecedents targeted by the intervention; antecedents that could lead to behaviour change. </w:t>
      </w:r>
      <w:r w:rsidRPr="00296D0C">
        <w:rPr>
          <w:rFonts w:cs="Times New Roman"/>
          <w:noProof/>
        </w:rPr>
        <w:t>Intervention activities were then ordered to enable, support and sustain behaviour change in accordance with the Health Action Process Model (HAPA)</w:t>
      </w:r>
      <w:r w:rsidR="004F35DF" w:rsidRPr="00296D0C">
        <w:rPr>
          <w:rFonts w:cs="Times New Roman"/>
          <w:noProof/>
        </w:rPr>
        <w:t xml:space="preserve"> </w:t>
      </w:r>
      <w:r w:rsidR="004F35DF" w:rsidRPr="00296D0C">
        <w:rPr>
          <w:rFonts w:cs="Times New Roman"/>
          <w:noProof/>
        </w:rPr>
        <w:fldChar w:fldCharType="begin"/>
      </w:r>
      <w:r w:rsidR="006347BE">
        <w:rPr>
          <w:rFonts w:cs="Times New Roman"/>
          <w:noProof/>
        </w:rPr>
        <w:instrText xml:space="preserve"> ADDIN EN.CITE &lt;EndNote&gt;&lt;Cite&gt;&lt;Author&gt;Schwarzer&lt;/Author&gt;&lt;Year&gt;1992&lt;/Year&gt;&lt;RecNum&gt;3214&lt;/RecNum&gt;&lt;DisplayText&gt;&lt;style face="superscript"&gt;26&lt;/style&gt;&lt;/DisplayText&gt;&lt;record&gt;&lt;rec-number&gt;3214&lt;/rec-number&gt;&lt;foreign-keys&gt;&lt;key app="EN" db-id="2ewa9rrvjsdsawep2vpx5x97eedzzvxx5rta" timestamp="0"&gt;3214&lt;/key&gt;&lt;/foreign-keys&gt;&lt;ref-type name="Book Section"&gt;5&lt;/ref-type&gt;&lt;contributors&gt;&lt;authors&gt;&lt;author&gt;Schwarzer, R &lt;/author&gt;&lt;/authors&gt;&lt;secondary-authors&gt;&lt;author&gt;Schwarzer R&lt;/author&gt;&lt;/secondary-authors&gt;&lt;/contributors&gt;&lt;titles&gt;&lt;title&gt;Self-efficacy in the adoption and maintenance of health behaviors: Theoretical approaches and a new model.&lt;/title&gt;&lt;secondary-title&gt;Self-efficacy: thought control of action&lt;/secondary-title&gt;&lt;/titles&gt;&lt;pages&gt;217-243.&lt;/pages&gt;&lt;dates&gt;&lt;year&gt;1992&lt;/year&gt;&lt;/dates&gt;&lt;pub-location&gt;London&lt;/pub-location&gt;&lt;publisher&gt;Hemisphere&lt;/publisher&gt;&lt;urls&gt;&lt;/urls&gt;&lt;/record&gt;&lt;/Cite&gt;&lt;/EndNote&gt;</w:instrText>
      </w:r>
      <w:r w:rsidR="004F35DF" w:rsidRPr="00296D0C">
        <w:rPr>
          <w:rFonts w:cs="Times New Roman"/>
          <w:noProof/>
        </w:rPr>
        <w:fldChar w:fldCharType="separate"/>
      </w:r>
      <w:r w:rsidR="006347BE" w:rsidRPr="006347BE">
        <w:rPr>
          <w:rFonts w:cs="Times New Roman"/>
          <w:noProof/>
          <w:vertAlign w:val="superscript"/>
        </w:rPr>
        <w:t>26</w:t>
      </w:r>
      <w:r w:rsidR="004F35DF" w:rsidRPr="00296D0C">
        <w:rPr>
          <w:rFonts w:cs="Times New Roman"/>
          <w:noProof/>
        </w:rPr>
        <w:fldChar w:fldCharType="end"/>
      </w:r>
      <w:r w:rsidR="00DB5BA7" w:rsidRPr="00296D0C">
        <w:rPr>
          <w:rFonts w:cs="Times New Roman"/>
          <w:noProof/>
        </w:rPr>
        <w:t xml:space="preserve">. </w:t>
      </w:r>
    </w:p>
    <w:p w14:paraId="468C7211" w14:textId="48BE8439" w:rsidR="0021085E" w:rsidRDefault="0021085E">
      <w:r>
        <w:br w:type="page"/>
      </w:r>
    </w:p>
    <w:p w14:paraId="4FE34ECE" w14:textId="77777777" w:rsidR="00DB5BA7" w:rsidRPr="00296D0C" w:rsidRDefault="00DB5BA7" w:rsidP="00DB5BA7">
      <w:pPr>
        <w:sectPr w:rsidR="00DB5BA7" w:rsidRPr="00296D0C" w:rsidSect="009E712E">
          <w:footerReference w:type="default" r:id="rId21"/>
          <w:pgSz w:w="11906" w:h="16838"/>
          <w:pgMar w:top="1440" w:right="1440" w:bottom="1440" w:left="1440" w:header="709" w:footer="709" w:gutter="0"/>
          <w:lnNumType w:countBy="1"/>
          <w:cols w:space="708"/>
          <w:docGrid w:linePitch="360"/>
        </w:sectPr>
      </w:pPr>
    </w:p>
    <w:p w14:paraId="1500DAE2" w14:textId="54CA36AE" w:rsidR="00DB5BA7" w:rsidRPr="00296D0C" w:rsidRDefault="00532B50" w:rsidP="00DB5BA7">
      <w:pPr>
        <w:rPr>
          <w:b/>
        </w:rPr>
      </w:pPr>
      <w:r w:rsidRPr="00296D0C">
        <w:rPr>
          <w:noProof/>
          <w:lang w:eastAsia="zh-CN"/>
        </w:rPr>
        <w:lastRenderedPageBreak/>
        <mc:AlternateContent>
          <mc:Choice Requires="wpg">
            <w:drawing>
              <wp:anchor distT="0" distB="0" distL="114300" distR="114300" simplePos="0" relativeHeight="251638784" behindDoc="0" locked="0" layoutInCell="1" allowOverlap="1" wp14:anchorId="12757C85" wp14:editId="6F6D500E">
                <wp:simplePos x="0" y="0"/>
                <wp:positionH relativeFrom="column">
                  <wp:posOffset>-542925</wp:posOffset>
                </wp:positionH>
                <wp:positionV relativeFrom="paragraph">
                  <wp:posOffset>85725</wp:posOffset>
                </wp:positionV>
                <wp:extent cx="9268571" cy="6458585"/>
                <wp:effectExtent l="38100" t="38100" r="161290" b="18415"/>
                <wp:wrapNone/>
                <wp:docPr id="15"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68571" cy="6458585"/>
                          <a:chOff x="585" y="345"/>
                          <a:chExt cx="15988" cy="11441"/>
                        </a:xfrm>
                      </wpg:grpSpPr>
                      <wps:wsp>
                        <wps:cNvPr id="16" name="Text Box 2"/>
                        <wps:cNvSpPr txBox="1">
                          <a:spLocks noChangeArrowheads="1"/>
                        </wps:cNvSpPr>
                        <wps:spPr bwMode="auto">
                          <a:xfrm>
                            <a:off x="600" y="2040"/>
                            <a:ext cx="2085" cy="9036"/>
                          </a:xfrm>
                          <a:prstGeom prst="rect">
                            <a:avLst/>
                          </a:prstGeom>
                          <a:solidFill>
                            <a:srgbClr val="FFFFFF"/>
                          </a:solidFill>
                          <a:ln w="19050">
                            <a:solidFill>
                              <a:srgbClr val="000000"/>
                            </a:solidFill>
                            <a:miter lim="800000"/>
                            <a:headEnd/>
                            <a:tailEnd/>
                          </a:ln>
                        </wps:spPr>
                        <wps:txbx>
                          <w:txbxContent>
                            <w:p w14:paraId="68515DD0" w14:textId="77777777" w:rsidR="00DE3537" w:rsidRPr="00D44E2C" w:rsidRDefault="00DE3537" w:rsidP="00DB5BA7">
                              <w:pPr>
                                <w:spacing w:after="0" w:line="240" w:lineRule="auto"/>
                                <w:rPr>
                                  <w:sz w:val="18"/>
                                  <w:szCs w:val="18"/>
                                </w:rPr>
                              </w:pPr>
                              <w:r w:rsidRPr="00D44E2C">
                                <w:rPr>
                                  <w:sz w:val="18"/>
                                  <w:szCs w:val="18"/>
                                </w:rPr>
                                <w:t>Drama group</w:t>
                              </w:r>
                            </w:p>
                            <w:p w14:paraId="1488DE4A" w14:textId="77777777" w:rsidR="00DE3537" w:rsidRPr="00D44E2C" w:rsidRDefault="00DE3537" w:rsidP="00DB5BA7">
                              <w:pPr>
                                <w:spacing w:after="0" w:line="240" w:lineRule="auto"/>
                                <w:rPr>
                                  <w:sz w:val="18"/>
                                  <w:szCs w:val="18"/>
                                </w:rPr>
                              </w:pPr>
                              <w:r w:rsidRPr="00D44E2C">
                                <w:rPr>
                                  <w:sz w:val="18"/>
                                  <w:szCs w:val="18"/>
                                </w:rPr>
                                <w:t>(4 actors and a Drama Facilitator per Healthy Lifestyle Week)</w:t>
                              </w:r>
                            </w:p>
                            <w:p w14:paraId="61C47BAC" w14:textId="77777777" w:rsidR="00DE3537" w:rsidRPr="00D44E2C" w:rsidRDefault="00DE3537" w:rsidP="00DB5BA7">
                              <w:pPr>
                                <w:spacing w:after="0" w:line="240" w:lineRule="auto"/>
                                <w:rPr>
                                  <w:sz w:val="18"/>
                                  <w:szCs w:val="18"/>
                                </w:rPr>
                              </w:pPr>
                            </w:p>
                            <w:p w14:paraId="49C95791" w14:textId="77777777" w:rsidR="00DE3537" w:rsidRPr="00D44E2C" w:rsidRDefault="00DE3537" w:rsidP="00DB5BA7">
                              <w:pPr>
                                <w:spacing w:after="0" w:line="240" w:lineRule="auto"/>
                                <w:rPr>
                                  <w:sz w:val="18"/>
                                  <w:szCs w:val="18"/>
                                </w:rPr>
                              </w:pPr>
                              <w:r w:rsidRPr="00D44E2C">
                                <w:rPr>
                                  <w:sz w:val="18"/>
                                  <w:szCs w:val="18"/>
                                </w:rPr>
                                <w:t>HeLP Coordinator X4</w:t>
                              </w:r>
                            </w:p>
                            <w:p w14:paraId="4C312699" w14:textId="77777777" w:rsidR="00DE3537" w:rsidRPr="00D44E2C" w:rsidRDefault="00DE3537" w:rsidP="00DB5BA7">
                              <w:pPr>
                                <w:spacing w:after="0" w:line="240" w:lineRule="auto"/>
                                <w:rPr>
                                  <w:sz w:val="18"/>
                                  <w:szCs w:val="18"/>
                                </w:rPr>
                              </w:pPr>
                            </w:p>
                            <w:p w14:paraId="14A29C05" w14:textId="77777777" w:rsidR="00DE3537" w:rsidRPr="00D44E2C" w:rsidRDefault="00DE3537" w:rsidP="00DB5BA7">
                              <w:pPr>
                                <w:spacing w:after="0" w:line="240" w:lineRule="auto"/>
                                <w:rPr>
                                  <w:sz w:val="18"/>
                                  <w:szCs w:val="18"/>
                                </w:rPr>
                              </w:pPr>
                              <w:r w:rsidRPr="00D44E2C">
                                <w:rPr>
                                  <w:sz w:val="18"/>
                                  <w:szCs w:val="18"/>
                                </w:rPr>
                                <w:t>Multi-disciplinary research team</w:t>
                              </w:r>
                            </w:p>
                            <w:p w14:paraId="3D481687" w14:textId="77777777" w:rsidR="00DE3537" w:rsidRPr="00D44E2C" w:rsidRDefault="00DE3537" w:rsidP="00DB5BA7">
                              <w:pPr>
                                <w:spacing w:after="0" w:line="240" w:lineRule="auto"/>
                                <w:rPr>
                                  <w:sz w:val="18"/>
                                  <w:szCs w:val="18"/>
                                </w:rPr>
                              </w:pPr>
                            </w:p>
                            <w:p w14:paraId="1195010D" w14:textId="77777777" w:rsidR="00DE3537" w:rsidRPr="00D44E2C" w:rsidRDefault="00DE3537" w:rsidP="00DB5BA7">
                              <w:pPr>
                                <w:spacing w:after="0" w:line="240" w:lineRule="auto"/>
                                <w:rPr>
                                  <w:sz w:val="18"/>
                                  <w:szCs w:val="18"/>
                                </w:rPr>
                              </w:pPr>
                              <w:r w:rsidRPr="00D44E2C">
                                <w:rPr>
                                  <w:sz w:val="18"/>
                                  <w:szCs w:val="18"/>
                                </w:rPr>
                                <w:t>Project Advisory Group (stakeholders)</w:t>
                              </w:r>
                            </w:p>
                            <w:p w14:paraId="1C56188E" w14:textId="77777777" w:rsidR="00DE3537" w:rsidRPr="00D44E2C" w:rsidRDefault="00DE3537" w:rsidP="00DB5BA7">
                              <w:pPr>
                                <w:spacing w:after="0" w:line="240" w:lineRule="auto"/>
                                <w:rPr>
                                  <w:sz w:val="18"/>
                                  <w:szCs w:val="18"/>
                                </w:rPr>
                              </w:pPr>
                            </w:p>
                            <w:p w14:paraId="2DF8C858" w14:textId="77777777" w:rsidR="00DE3537" w:rsidRPr="00D44E2C" w:rsidRDefault="00DE3537" w:rsidP="00DB5BA7">
                              <w:pPr>
                                <w:spacing w:after="0" w:line="240" w:lineRule="auto"/>
                                <w:rPr>
                                  <w:sz w:val="18"/>
                                  <w:szCs w:val="18"/>
                                </w:rPr>
                              </w:pPr>
                              <w:r w:rsidRPr="00D44E2C">
                                <w:rPr>
                                  <w:sz w:val="18"/>
                                  <w:szCs w:val="18"/>
                                </w:rPr>
                                <w:t>Local network of primary school head teachers</w:t>
                              </w:r>
                            </w:p>
                            <w:p w14:paraId="3C2A99C2" w14:textId="77777777" w:rsidR="00DE3537" w:rsidRPr="00D44E2C" w:rsidRDefault="00DE3537" w:rsidP="00DB5BA7">
                              <w:pPr>
                                <w:spacing w:after="0" w:line="240" w:lineRule="auto"/>
                                <w:rPr>
                                  <w:sz w:val="18"/>
                                  <w:szCs w:val="18"/>
                                </w:rPr>
                              </w:pPr>
                            </w:p>
                            <w:p w14:paraId="49596D62" w14:textId="77777777" w:rsidR="00DE3537" w:rsidRPr="00D44E2C" w:rsidRDefault="00DE3537" w:rsidP="00DB5BA7">
                              <w:pPr>
                                <w:spacing w:after="0" w:line="240" w:lineRule="auto"/>
                                <w:rPr>
                                  <w:sz w:val="18"/>
                                  <w:szCs w:val="18"/>
                                </w:rPr>
                              </w:pPr>
                              <w:r w:rsidRPr="00D44E2C">
                                <w:rPr>
                                  <w:sz w:val="18"/>
                                  <w:szCs w:val="18"/>
                                </w:rPr>
                                <w:t>Funding (intervention and research)</w:t>
                              </w:r>
                            </w:p>
                            <w:p w14:paraId="06C63481" w14:textId="77777777" w:rsidR="00DE3537" w:rsidRPr="00785037" w:rsidRDefault="00DE3537" w:rsidP="00DB5BA7">
                              <w:pPr>
                                <w:spacing w:after="0" w:line="240" w:lineRule="auto"/>
                                <w:rPr>
                                  <w:sz w:val="18"/>
                                  <w:szCs w:val="18"/>
                                </w:rPr>
                              </w:pPr>
                            </w:p>
                            <w:p w14:paraId="7CD8DB8D" w14:textId="77777777" w:rsidR="00DE3537" w:rsidRPr="00D44E2C" w:rsidRDefault="00DE3537" w:rsidP="00DB5BA7">
                              <w:pPr>
                                <w:spacing w:after="0" w:line="240" w:lineRule="auto"/>
                                <w:rPr>
                                  <w:sz w:val="18"/>
                                  <w:szCs w:val="18"/>
                                </w:rPr>
                              </w:pPr>
                              <w:r w:rsidRPr="00785037">
                                <w:rPr>
                                  <w:sz w:val="18"/>
                                  <w:szCs w:val="18"/>
                                </w:rPr>
                                <w:t>HeLP Coordinator</w:t>
                              </w:r>
                              <w:r w:rsidRPr="00D44E2C">
                                <w:rPr>
                                  <w:sz w:val="18"/>
                                  <w:szCs w:val="18"/>
                                </w:rPr>
                                <w:t xml:space="preserve"> manual and resources</w:t>
                              </w:r>
                            </w:p>
                            <w:p w14:paraId="266BB440" w14:textId="77777777" w:rsidR="00DE3537" w:rsidRPr="00D44E2C" w:rsidRDefault="00DE3537" w:rsidP="00DB5BA7">
                              <w:pPr>
                                <w:spacing w:after="0" w:line="240" w:lineRule="auto"/>
                                <w:rPr>
                                  <w:sz w:val="18"/>
                                  <w:szCs w:val="18"/>
                                </w:rPr>
                              </w:pPr>
                            </w:p>
                            <w:p w14:paraId="0CEEB0D4" w14:textId="77777777" w:rsidR="00DE3537" w:rsidRPr="00D44E2C" w:rsidRDefault="00DE3537" w:rsidP="00DB5BA7">
                              <w:pPr>
                                <w:spacing w:after="0" w:line="240" w:lineRule="auto"/>
                                <w:rPr>
                                  <w:sz w:val="18"/>
                                  <w:szCs w:val="18"/>
                                </w:rPr>
                              </w:pPr>
                              <w:r w:rsidRPr="00D44E2C">
                                <w:rPr>
                                  <w:sz w:val="18"/>
                                  <w:szCs w:val="18"/>
                                </w:rPr>
                                <w:t>Actor manual and drama resource box</w:t>
                              </w:r>
                            </w:p>
                            <w:p w14:paraId="3C02639F" w14:textId="77777777" w:rsidR="00DE3537" w:rsidRPr="00411D5F" w:rsidRDefault="00DE3537" w:rsidP="00DB5BA7">
                              <w:pPr>
                                <w:spacing w:after="0" w:line="240" w:lineRule="auto"/>
                              </w:pPr>
                            </w:p>
                            <w:p w14:paraId="42B4A3DA" w14:textId="77777777" w:rsidR="00DE3537" w:rsidRPr="00D44E2C" w:rsidRDefault="00DE3537" w:rsidP="00DB5BA7">
                              <w:pPr>
                                <w:spacing w:after="0" w:line="240" w:lineRule="auto"/>
                                <w:rPr>
                                  <w:sz w:val="18"/>
                                  <w:szCs w:val="18"/>
                                </w:rPr>
                              </w:pPr>
                              <w:r w:rsidRPr="00D44E2C">
                                <w:rPr>
                                  <w:sz w:val="18"/>
                                  <w:szCs w:val="18"/>
                                </w:rPr>
                                <w:t>Teacher manual and resources</w:t>
                              </w:r>
                            </w:p>
                          </w:txbxContent>
                        </wps:txbx>
                        <wps:bodyPr rot="0" vert="horz" wrap="square" lIns="91440" tIns="45720" rIns="91440" bIns="45720" anchor="t" anchorCtr="0" upright="1">
                          <a:noAutofit/>
                        </wps:bodyPr>
                      </wps:wsp>
                      <wps:wsp>
                        <wps:cNvPr id="17" name="Text Box 2"/>
                        <wps:cNvSpPr txBox="1">
                          <a:spLocks noChangeArrowheads="1"/>
                        </wps:cNvSpPr>
                        <wps:spPr bwMode="auto">
                          <a:xfrm>
                            <a:off x="3075" y="2115"/>
                            <a:ext cx="1800" cy="5205"/>
                          </a:xfrm>
                          <a:prstGeom prst="rect">
                            <a:avLst/>
                          </a:prstGeom>
                          <a:solidFill>
                            <a:srgbClr val="FFFFFF"/>
                          </a:solidFill>
                          <a:ln w="19050">
                            <a:solidFill>
                              <a:srgbClr val="000000"/>
                            </a:solidFill>
                            <a:miter lim="800000"/>
                            <a:headEnd/>
                            <a:tailEnd/>
                          </a:ln>
                        </wps:spPr>
                        <wps:txbx>
                          <w:txbxContent>
                            <w:p w14:paraId="26FEBAEA" w14:textId="77777777" w:rsidR="00DE3537" w:rsidRPr="00D44E2C" w:rsidRDefault="00DE3537" w:rsidP="00DB5BA7">
                              <w:pPr>
                                <w:rPr>
                                  <w:sz w:val="18"/>
                                  <w:szCs w:val="18"/>
                                </w:rPr>
                              </w:pPr>
                              <w:r w:rsidRPr="00D44E2C">
                                <w:rPr>
                                  <w:sz w:val="18"/>
                                  <w:szCs w:val="18"/>
                                </w:rPr>
                                <w:t>Training week for pool of actors and facilitators</w:t>
                              </w:r>
                            </w:p>
                            <w:p w14:paraId="155558E2" w14:textId="77777777" w:rsidR="00DE3537" w:rsidRPr="00D44E2C" w:rsidRDefault="00DE3537" w:rsidP="00DB5BA7">
                              <w:pPr>
                                <w:rPr>
                                  <w:sz w:val="18"/>
                                  <w:szCs w:val="18"/>
                                </w:rPr>
                              </w:pPr>
                              <w:r w:rsidRPr="00D44E2C">
                                <w:rPr>
                                  <w:sz w:val="18"/>
                                  <w:szCs w:val="18"/>
                                </w:rPr>
                                <w:t>Ongoing training for the HeLP Coordinators</w:t>
                              </w:r>
                            </w:p>
                            <w:p w14:paraId="063FA096" w14:textId="77777777" w:rsidR="00DE3537" w:rsidRPr="00D44E2C" w:rsidRDefault="00DE3537" w:rsidP="00DB5BA7">
                              <w:pPr>
                                <w:rPr>
                                  <w:sz w:val="18"/>
                                  <w:szCs w:val="18"/>
                                </w:rPr>
                              </w:pPr>
                              <w:r w:rsidRPr="00D44E2C">
                                <w:rPr>
                                  <w:sz w:val="18"/>
                                  <w:szCs w:val="18"/>
                                </w:rPr>
                                <w:t>Regular HeLP team meetings</w:t>
                              </w:r>
                            </w:p>
                            <w:p w14:paraId="52003CBC" w14:textId="77777777" w:rsidR="00DE3537" w:rsidRPr="00D44E2C" w:rsidRDefault="00DE3537" w:rsidP="00DB5BA7">
                              <w:pPr>
                                <w:spacing w:after="0" w:line="240" w:lineRule="auto"/>
                                <w:rPr>
                                  <w:sz w:val="18"/>
                                  <w:szCs w:val="18"/>
                                </w:rPr>
                              </w:pPr>
                              <w:r w:rsidRPr="00D44E2C">
                                <w:rPr>
                                  <w:sz w:val="18"/>
                                  <w:szCs w:val="18"/>
                                </w:rPr>
                                <w:t>HeLP intervention</w:t>
                              </w:r>
                            </w:p>
                            <w:p w14:paraId="6E26D282" w14:textId="77777777" w:rsidR="00DE3537" w:rsidRPr="00D44E2C" w:rsidRDefault="00DE3537" w:rsidP="00DB5BA7">
                              <w:pPr>
                                <w:spacing w:after="0" w:line="240" w:lineRule="auto"/>
                                <w:rPr>
                                  <w:sz w:val="18"/>
                                  <w:szCs w:val="18"/>
                                </w:rPr>
                              </w:pPr>
                              <w:r w:rsidRPr="00D44E2C">
                                <w:rPr>
                                  <w:sz w:val="18"/>
                                  <w:szCs w:val="18"/>
                                </w:rPr>
                                <w:t>(4 phases over three school terms)</w:t>
                              </w:r>
                            </w:p>
                          </w:txbxContent>
                        </wps:txbx>
                        <wps:bodyPr rot="0" vert="horz" wrap="square" lIns="91440" tIns="45720" rIns="91440" bIns="45720" anchor="t" anchorCtr="0" upright="1">
                          <a:noAutofit/>
                        </wps:bodyPr>
                      </wps:wsp>
                      <wps:wsp>
                        <wps:cNvPr id="18" name="Text Box 2"/>
                        <wps:cNvSpPr txBox="1">
                          <a:spLocks noChangeArrowheads="1"/>
                        </wps:cNvSpPr>
                        <wps:spPr bwMode="auto">
                          <a:xfrm>
                            <a:off x="5280" y="2040"/>
                            <a:ext cx="1935" cy="7006"/>
                          </a:xfrm>
                          <a:prstGeom prst="rect">
                            <a:avLst/>
                          </a:prstGeom>
                          <a:solidFill>
                            <a:srgbClr val="FFFFFF"/>
                          </a:solidFill>
                          <a:ln w="19050">
                            <a:solidFill>
                              <a:srgbClr val="000000"/>
                            </a:solidFill>
                            <a:miter lim="800000"/>
                            <a:headEnd/>
                            <a:tailEnd/>
                          </a:ln>
                        </wps:spPr>
                        <wps:txbx>
                          <w:txbxContent>
                            <w:p w14:paraId="6266B9BD" w14:textId="77777777" w:rsidR="00DE3537" w:rsidRPr="00D44E2C" w:rsidRDefault="00DE3537" w:rsidP="00DB5BA7">
                              <w:pPr>
                                <w:rPr>
                                  <w:sz w:val="18"/>
                                  <w:szCs w:val="18"/>
                                </w:rPr>
                              </w:pPr>
                              <w:r w:rsidRPr="00D44E2C">
                                <w:rPr>
                                  <w:sz w:val="18"/>
                                  <w:szCs w:val="18"/>
                                </w:rPr>
                                <w:t>Establish relationships (schools, children and parents)</w:t>
                              </w:r>
                            </w:p>
                            <w:p w14:paraId="19F072E3" w14:textId="77777777" w:rsidR="00DE3537" w:rsidRPr="00D44E2C" w:rsidRDefault="00DE3537" w:rsidP="00DB5BA7">
                              <w:pPr>
                                <w:rPr>
                                  <w:sz w:val="18"/>
                                  <w:szCs w:val="18"/>
                                </w:rPr>
                              </w:pPr>
                              <w:r w:rsidRPr="00D44E2C">
                                <w:rPr>
                                  <w:sz w:val="18"/>
                                  <w:szCs w:val="18"/>
                                </w:rPr>
                                <w:t>‘Buy in’ (schools, children and parents)</w:t>
                              </w:r>
                            </w:p>
                            <w:p w14:paraId="38741F2B" w14:textId="77777777" w:rsidR="00DE3537" w:rsidRPr="00D44E2C" w:rsidRDefault="00DE3537" w:rsidP="00DB5BA7">
                              <w:pPr>
                                <w:rPr>
                                  <w:sz w:val="18"/>
                                  <w:szCs w:val="18"/>
                                </w:rPr>
                              </w:pPr>
                              <w:r w:rsidRPr="00D44E2C">
                                <w:rPr>
                                  <w:sz w:val="18"/>
                                  <w:szCs w:val="18"/>
                                </w:rPr>
                                <w:t>Awareness of HeLP messages (schools, children and parents)</w:t>
                              </w:r>
                            </w:p>
                            <w:p w14:paraId="59DC9102" w14:textId="77777777" w:rsidR="00DE3537" w:rsidRPr="00D44E2C" w:rsidRDefault="00DE3537" w:rsidP="00DB5BA7">
                              <w:pPr>
                                <w:rPr>
                                  <w:sz w:val="18"/>
                                  <w:szCs w:val="18"/>
                                </w:rPr>
                              </w:pPr>
                              <w:r w:rsidRPr="00D44E2C">
                                <w:rPr>
                                  <w:sz w:val="18"/>
                                  <w:szCs w:val="18"/>
                                </w:rPr>
                                <w:t>Buzz and excitement in school about HeLP (school, children and parents)</w:t>
                              </w:r>
                            </w:p>
                          </w:txbxContent>
                        </wps:txbx>
                        <wps:bodyPr rot="0" vert="horz" wrap="square" lIns="91440" tIns="45720" rIns="91440" bIns="45720" anchor="t" anchorCtr="0" upright="1">
                          <a:noAutofit/>
                        </wps:bodyPr>
                      </wps:wsp>
                      <wps:wsp>
                        <wps:cNvPr id="19" name="Text Box 3"/>
                        <wps:cNvSpPr txBox="1">
                          <a:spLocks noChangeArrowheads="1"/>
                        </wps:cNvSpPr>
                        <wps:spPr bwMode="auto">
                          <a:xfrm>
                            <a:off x="7785" y="2025"/>
                            <a:ext cx="1845" cy="9761"/>
                          </a:xfrm>
                          <a:prstGeom prst="rect">
                            <a:avLst/>
                          </a:prstGeom>
                          <a:solidFill>
                            <a:sysClr val="window" lastClr="FFFFFF">
                              <a:lumMod val="100000"/>
                              <a:lumOff val="0"/>
                            </a:sysClr>
                          </a:solidFill>
                          <a:ln w="19050">
                            <a:solidFill>
                              <a:srgbClr val="000000"/>
                            </a:solidFill>
                            <a:miter lim="800000"/>
                            <a:headEnd/>
                            <a:tailEnd/>
                          </a:ln>
                        </wps:spPr>
                        <wps:txbx>
                          <w:txbxContent>
                            <w:p w14:paraId="7DB3D223" w14:textId="77777777" w:rsidR="00DE3537" w:rsidRPr="00D44E2C" w:rsidRDefault="00DE3537" w:rsidP="00DB5BA7">
                              <w:pPr>
                                <w:rPr>
                                  <w:sz w:val="18"/>
                                  <w:szCs w:val="18"/>
                                </w:rPr>
                              </w:pPr>
                              <w:r w:rsidRPr="00D44E2C">
                                <w:rPr>
                                  <w:sz w:val="18"/>
                                  <w:szCs w:val="18"/>
                                </w:rPr>
                                <w:t>Strengthen relationships (schools, children, families)</w:t>
                              </w:r>
                            </w:p>
                            <w:p w14:paraId="769195CD" w14:textId="77777777" w:rsidR="00DE3537" w:rsidRPr="00D44E2C" w:rsidRDefault="00DE3537" w:rsidP="00DB5BA7">
                              <w:pPr>
                                <w:rPr>
                                  <w:sz w:val="18"/>
                                  <w:szCs w:val="18"/>
                                </w:rPr>
                              </w:pPr>
                              <w:r w:rsidRPr="00D44E2C">
                                <w:rPr>
                                  <w:sz w:val="18"/>
                                  <w:szCs w:val="18"/>
                                </w:rPr>
                                <w:t>Skill building (children)</w:t>
                              </w:r>
                            </w:p>
                            <w:p w14:paraId="4A2CDAE0" w14:textId="77777777" w:rsidR="00DE3537" w:rsidRPr="00D44E2C" w:rsidRDefault="00DE3537" w:rsidP="00DB5BA7">
                              <w:pPr>
                                <w:rPr>
                                  <w:sz w:val="18"/>
                                  <w:szCs w:val="18"/>
                                </w:rPr>
                              </w:pPr>
                              <w:r w:rsidRPr="00D44E2C">
                                <w:rPr>
                                  <w:sz w:val="18"/>
                                  <w:szCs w:val="18"/>
                                </w:rPr>
                                <w:t>Confidence building (children)</w:t>
                              </w:r>
                            </w:p>
                            <w:p w14:paraId="35D59187" w14:textId="77777777" w:rsidR="00DE3537" w:rsidRPr="00D44E2C" w:rsidRDefault="00DE3537" w:rsidP="00DB5BA7">
                              <w:pPr>
                                <w:rPr>
                                  <w:sz w:val="18"/>
                                  <w:szCs w:val="18"/>
                                </w:rPr>
                              </w:pPr>
                              <w:r w:rsidRPr="00D44E2C">
                                <w:rPr>
                                  <w:sz w:val="18"/>
                                  <w:szCs w:val="18"/>
                                </w:rPr>
                                <w:t>Increasing knowledge (children, parents and teachers)</w:t>
                              </w:r>
                            </w:p>
                            <w:p w14:paraId="5D3CACD3" w14:textId="77777777" w:rsidR="00DE3537" w:rsidRPr="00D44E2C" w:rsidRDefault="00DE3537" w:rsidP="00DB5BA7">
                              <w:pPr>
                                <w:rPr>
                                  <w:sz w:val="18"/>
                                  <w:szCs w:val="18"/>
                                </w:rPr>
                              </w:pPr>
                              <w:r w:rsidRPr="00D44E2C">
                                <w:rPr>
                                  <w:sz w:val="18"/>
                                  <w:szCs w:val="18"/>
                                </w:rPr>
                                <w:t>Increasing self- awareness (children, parents, teachers)</w:t>
                              </w:r>
                            </w:p>
                            <w:p w14:paraId="7BBF111C" w14:textId="77777777" w:rsidR="00DE3537" w:rsidRPr="00D44E2C" w:rsidRDefault="00DE3537" w:rsidP="00DB5BA7">
                              <w:pPr>
                                <w:rPr>
                                  <w:sz w:val="18"/>
                                  <w:szCs w:val="18"/>
                                </w:rPr>
                              </w:pPr>
                              <w:r w:rsidRPr="00D44E2C">
                                <w:rPr>
                                  <w:sz w:val="18"/>
                                  <w:szCs w:val="18"/>
                                </w:rPr>
                                <w:t>Increase social support (peers, school, and family)</w:t>
                              </w:r>
                            </w:p>
                            <w:p w14:paraId="6C00660A" w14:textId="77777777" w:rsidR="00DE3537" w:rsidRPr="00D44E2C" w:rsidRDefault="00DE3537" w:rsidP="00DB5BA7">
                              <w:pPr>
                                <w:rPr>
                                  <w:sz w:val="18"/>
                                  <w:szCs w:val="18"/>
                                </w:rPr>
                              </w:pPr>
                              <w:r w:rsidRPr="00D44E2C">
                                <w:rPr>
                                  <w:sz w:val="18"/>
                                  <w:szCs w:val="18"/>
                                </w:rPr>
                                <w:t>Talking to parents about healthy lifestyles (children)</w:t>
                              </w:r>
                            </w:p>
                            <w:p w14:paraId="66578C09" w14:textId="77777777" w:rsidR="00DE3537" w:rsidRPr="00D44E2C" w:rsidRDefault="00DE3537" w:rsidP="00DB5BA7">
                              <w:pPr>
                                <w:rPr>
                                  <w:sz w:val="18"/>
                                  <w:szCs w:val="18"/>
                                </w:rPr>
                              </w:pPr>
                              <w:r w:rsidRPr="00D44E2C">
                                <w:rPr>
                                  <w:sz w:val="18"/>
                                  <w:szCs w:val="18"/>
                                </w:rPr>
                                <w:t>Reflect on snacking and physical activity behaviours (children and parents)</w:t>
                              </w:r>
                            </w:p>
                            <w:p w14:paraId="47A41F98" w14:textId="77777777" w:rsidR="00DE3537" w:rsidRPr="00D44E2C" w:rsidRDefault="00DE3537" w:rsidP="00DB5BA7">
                              <w:pPr>
                                <w:rPr>
                                  <w:sz w:val="18"/>
                                  <w:szCs w:val="18"/>
                                </w:rPr>
                              </w:pPr>
                            </w:p>
                            <w:p w14:paraId="7E5CDA63" w14:textId="77777777" w:rsidR="00DE3537" w:rsidRDefault="00DE3537" w:rsidP="00DB5BA7"/>
                            <w:p w14:paraId="4B3315CE" w14:textId="77777777" w:rsidR="00DE3537" w:rsidRDefault="00DE3537" w:rsidP="00DB5BA7"/>
                          </w:txbxContent>
                        </wps:txbx>
                        <wps:bodyPr rot="0" vert="horz" wrap="square" lIns="91440" tIns="45720" rIns="91440" bIns="45720" anchor="t" anchorCtr="0" upright="1">
                          <a:noAutofit/>
                        </wps:bodyPr>
                      </wps:wsp>
                      <wps:wsp>
                        <wps:cNvPr id="20" name="Text Box 4"/>
                        <wps:cNvSpPr txBox="1">
                          <a:spLocks noChangeArrowheads="1"/>
                        </wps:cNvSpPr>
                        <wps:spPr bwMode="auto">
                          <a:xfrm>
                            <a:off x="10153" y="2018"/>
                            <a:ext cx="1875" cy="9625"/>
                          </a:xfrm>
                          <a:prstGeom prst="rect">
                            <a:avLst/>
                          </a:prstGeom>
                          <a:solidFill>
                            <a:sysClr val="window" lastClr="FFFFFF">
                              <a:lumMod val="100000"/>
                              <a:lumOff val="0"/>
                            </a:sysClr>
                          </a:solidFill>
                          <a:ln w="19050">
                            <a:solidFill>
                              <a:srgbClr val="000000"/>
                            </a:solidFill>
                            <a:miter lim="800000"/>
                            <a:headEnd/>
                            <a:tailEnd/>
                          </a:ln>
                        </wps:spPr>
                        <wps:txbx>
                          <w:txbxContent>
                            <w:p w14:paraId="01D853D6" w14:textId="77777777" w:rsidR="00DE3537" w:rsidRPr="00D44E2C" w:rsidRDefault="00DE3537" w:rsidP="00DB5BA7">
                              <w:pPr>
                                <w:rPr>
                                  <w:sz w:val="18"/>
                                  <w:szCs w:val="18"/>
                                </w:rPr>
                              </w:pPr>
                              <w:r w:rsidRPr="00D44E2C">
                                <w:rPr>
                                  <w:sz w:val="18"/>
                                  <w:szCs w:val="18"/>
                                </w:rPr>
                                <w:t>Setting goals and self-monitoring (children)</w:t>
                              </w:r>
                            </w:p>
                            <w:p w14:paraId="6314DD9B" w14:textId="77777777" w:rsidR="00DE3537" w:rsidRPr="00D44E2C" w:rsidRDefault="00DE3537" w:rsidP="00DB5BA7">
                              <w:pPr>
                                <w:rPr>
                                  <w:sz w:val="18"/>
                                  <w:szCs w:val="18"/>
                                </w:rPr>
                              </w:pPr>
                              <w:r w:rsidRPr="00D44E2C">
                                <w:rPr>
                                  <w:sz w:val="18"/>
                                  <w:szCs w:val="18"/>
                                </w:rPr>
                                <w:t>Resisting temptation children (children)</w:t>
                              </w:r>
                            </w:p>
                            <w:p w14:paraId="32866B3D" w14:textId="77777777" w:rsidR="00DE3537" w:rsidRPr="00D44E2C" w:rsidRDefault="00DE3537" w:rsidP="00DB5BA7">
                              <w:pPr>
                                <w:rPr>
                                  <w:sz w:val="18"/>
                                  <w:szCs w:val="18"/>
                                </w:rPr>
                              </w:pPr>
                              <w:r w:rsidRPr="00D44E2C">
                                <w:rPr>
                                  <w:sz w:val="18"/>
                                  <w:szCs w:val="18"/>
                                </w:rPr>
                                <w:t>Buy healthy snacks and drinks and make them available (parents)</w:t>
                              </w:r>
                            </w:p>
                            <w:p w14:paraId="69CCCB2A" w14:textId="77777777" w:rsidR="00DE3537" w:rsidRPr="00D44E2C" w:rsidRDefault="00DE3537" w:rsidP="00DB5BA7">
                              <w:pPr>
                                <w:rPr>
                                  <w:sz w:val="18"/>
                                  <w:szCs w:val="18"/>
                                </w:rPr>
                              </w:pPr>
                              <w:r w:rsidRPr="00D44E2C">
                                <w:rPr>
                                  <w:sz w:val="18"/>
                                  <w:szCs w:val="18"/>
                                </w:rPr>
                                <w:t>Shopping, cooking and trying new healthy food (children)</w:t>
                              </w:r>
                            </w:p>
                            <w:p w14:paraId="709AF973" w14:textId="77777777" w:rsidR="00DE3537" w:rsidRPr="00D44E2C" w:rsidRDefault="00DE3537" w:rsidP="00DB5BA7">
                              <w:pPr>
                                <w:rPr>
                                  <w:sz w:val="18"/>
                                  <w:szCs w:val="18"/>
                                </w:rPr>
                              </w:pPr>
                              <w:r w:rsidRPr="00D44E2C">
                                <w:rPr>
                                  <w:sz w:val="18"/>
                                  <w:szCs w:val="18"/>
                                </w:rPr>
                                <w:t>Reinforce rules around screen time and around snacking (parents)</w:t>
                              </w:r>
                            </w:p>
                            <w:p w14:paraId="04609FE6" w14:textId="77777777" w:rsidR="00DE3537" w:rsidRPr="00D44E2C" w:rsidRDefault="00DE3537" w:rsidP="00DB5BA7">
                              <w:pPr>
                                <w:rPr>
                                  <w:sz w:val="18"/>
                                  <w:szCs w:val="18"/>
                                </w:rPr>
                              </w:pPr>
                              <w:r w:rsidRPr="00D44E2C">
                                <w:rPr>
                                  <w:sz w:val="18"/>
                                  <w:szCs w:val="18"/>
                                </w:rPr>
                                <w:t>Monitor child behaviours (parents)</w:t>
                              </w:r>
                            </w:p>
                            <w:p w14:paraId="09E2FC6C" w14:textId="77777777" w:rsidR="00DE3537" w:rsidRPr="00D44E2C" w:rsidRDefault="00DE3537" w:rsidP="00DB5BA7">
                              <w:pPr>
                                <w:rPr>
                                  <w:sz w:val="18"/>
                                  <w:szCs w:val="18"/>
                                </w:rPr>
                              </w:pPr>
                              <w:r w:rsidRPr="00D44E2C">
                                <w:rPr>
                                  <w:sz w:val="18"/>
                                  <w:szCs w:val="18"/>
                                </w:rPr>
                                <w:t>Adapt goals (children)</w:t>
                              </w:r>
                            </w:p>
                            <w:p w14:paraId="63FA61BF" w14:textId="77777777" w:rsidR="00DE3537" w:rsidRPr="00D44E2C" w:rsidRDefault="00DE3537" w:rsidP="00DB5BA7">
                              <w:pPr>
                                <w:rPr>
                                  <w:sz w:val="18"/>
                                  <w:szCs w:val="18"/>
                                </w:rPr>
                              </w:pPr>
                              <w:r w:rsidRPr="00D44E2C">
                                <w:rPr>
                                  <w:sz w:val="18"/>
                                  <w:szCs w:val="18"/>
                                </w:rPr>
                                <w:t>Reinforce behaviour change (teachers, head teacher)</w:t>
                              </w:r>
                            </w:p>
                          </w:txbxContent>
                        </wps:txbx>
                        <wps:bodyPr rot="0" vert="horz" wrap="square" lIns="91440" tIns="45720" rIns="91440" bIns="45720" anchor="t" anchorCtr="0" upright="1">
                          <a:noAutofit/>
                        </wps:bodyPr>
                      </wps:wsp>
                      <wps:wsp>
                        <wps:cNvPr id="21" name="Text Box 2"/>
                        <wps:cNvSpPr txBox="1">
                          <a:spLocks noChangeArrowheads="1"/>
                        </wps:cNvSpPr>
                        <wps:spPr bwMode="auto">
                          <a:xfrm>
                            <a:off x="12421" y="2108"/>
                            <a:ext cx="2003" cy="9610"/>
                          </a:xfrm>
                          <a:prstGeom prst="rect">
                            <a:avLst/>
                          </a:prstGeom>
                          <a:solidFill>
                            <a:srgbClr val="FFFFFF"/>
                          </a:solidFill>
                          <a:ln w="19050">
                            <a:solidFill>
                              <a:srgbClr val="000000"/>
                            </a:solidFill>
                            <a:miter lim="800000"/>
                            <a:headEnd/>
                            <a:tailEnd/>
                          </a:ln>
                        </wps:spPr>
                        <wps:txbx>
                          <w:txbxContent>
                            <w:p w14:paraId="1784C42A" w14:textId="77777777" w:rsidR="00DE3537" w:rsidRPr="00D44E2C" w:rsidRDefault="00DE3537" w:rsidP="00DB5BA7">
                              <w:pPr>
                                <w:rPr>
                                  <w:sz w:val="18"/>
                                  <w:szCs w:val="18"/>
                                </w:rPr>
                              </w:pPr>
                              <w:r w:rsidRPr="00D44E2C">
                                <w:rPr>
                                  <w:sz w:val="18"/>
                                  <w:szCs w:val="18"/>
                                </w:rPr>
                                <w:t>Increase physical activity (children and family)</w:t>
                              </w:r>
                            </w:p>
                            <w:p w14:paraId="5B6648B0" w14:textId="77777777" w:rsidR="00DE3537" w:rsidRPr="00D44E2C" w:rsidRDefault="00DE3537" w:rsidP="00DB5BA7">
                              <w:pPr>
                                <w:rPr>
                                  <w:sz w:val="18"/>
                                  <w:szCs w:val="18"/>
                                </w:rPr>
                              </w:pPr>
                              <w:r w:rsidRPr="00D44E2C">
                                <w:rPr>
                                  <w:sz w:val="18"/>
                                  <w:szCs w:val="18"/>
                                </w:rPr>
                                <w:t>Decrease sedentary behaviours (children and family)</w:t>
                              </w:r>
                            </w:p>
                            <w:p w14:paraId="7DFF6213" w14:textId="77777777" w:rsidR="00DE3537" w:rsidRPr="00D44E2C" w:rsidRDefault="00DE3537" w:rsidP="00DB5BA7">
                              <w:pPr>
                                <w:rPr>
                                  <w:sz w:val="18"/>
                                  <w:szCs w:val="18"/>
                                </w:rPr>
                              </w:pPr>
                              <w:r w:rsidRPr="00D44E2C">
                                <w:rPr>
                                  <w:sz w:val="18"/>
                                  <w:szCs w:val="18"/>
                                </w:rPr>
                                <w:t>Maintenance of increased consumption of healthy snacks/positive food markers (children and family)</w:t>
                              </w:r>
                            </w:p>
                            <w:p w14:paraId="49626073" w14:textId="77777777" w:rsidR="00DE3537" w:rsidRPr="00D44E2C" w:rsidRDefault="00DE3537" w:rsidP="00DB5BA7">
                              <w:pPr>
                                <w:rPr>
                                  <w:sz w:val="18"/>
                                  <w:szCs w:val="18"/>
                                </w:rPr>
                              </w:pPr>
                              <w:r w:rsidRPr="00D44E2C">
                                <w:rPr>
                                  <w:sz w:val="18"/>
                                  <w:szCs w:val="18"/>
                                </w:rPr>
                                <w:t>Maintenance of decreased consumption of energy dense snacks/</w:t>
                              </w:r>
                              <w:r>
                                <w:rPr>
                                  <w:sz w:val="18"/>
                                  <w:szCs w:val="18"/>
                                </w:rPr>
                                <w:t>Negative Food Markers</w:t>
                              </w:r>
                              <w:r w:rsidRPr="00D44E2C">
                                <w:rPr>
                                  <w:sz w:val="18"/>
                                  <w:szCs w:val="18"/>
                                </w:rPr>
                                <w:t xml:space="preserve"> (children and family)</w:t>
                              </w:r>
                            </w:p>
                            <w:p w14:paraId="5E1AE4D5" w14:textId="77777777" w:rsidR="00DE3537" w:rsidRDefault="00DE3537" w:rsidP="00DB5BA7"/>
                            <w:p w14:paraId="48C99D0A" w14:textId="77777777" w:rsidR="00DE3537" w:rsidRDefault="00DE3537" w:rsidP="00DB5BA7"/>
                          </w:txbxContent>
                        </wps:txbx>
                        <wps:bodyPr rot="0" vert="horz" wrap="square" lIns="91440" tIns="45720" rIns="91440" bIns="45720" anchor="t" anchorCtr="0" upright="1">
                          <a:noAutofit/>
                        </wps:bodyPr>
                      </wps:wsp>
                      <wps:wsp>
                        <wps:cNvPr id="22" name="Text Box 2"/>
                        <wps:cNvSpPr txBox="1">
                          <a:spLocks noChangeArrowheads="1"/>
                        </wps:cNvSpPr>
                        <wps:spPr bwMode="auto">
                          <a:xfrm>
                            <a:off x="14904" y="2069"/>
                            <a:ext cx="1575" cy="4944"/>
                          </a:xfrm>
                          <a:prstGeom prst="rect">
                            <a:avLst/>
                          </a:prstGeom>
                          <a:solidFill>
                            <a:srgbClr val="FFFFFF"/>
                          </a:solidFill>
                          <a:ln w="19050">
                            <a:solidFill>
                              <a:srgbClr val="000000"/>
                            </a:solidFill>
                            <a:miter lim="800000"/>
                            <a:headEnd/>
                            <a:tailEnd/>
                          </a:ln>
                        </wps:spPr>
                        <wps:txbx>
                          <w:txbxContent>
                            <w:p w14:paraId="799A646B" w14:textId="77777777" w:rsidR="00DE3537" w:rsidRPr="00D44E2C" w:rsidRDefault="00DE3537" w:rsidP="00DB5BA7">
                              <w:pPr>
                                <w:rPr>
                                  <w:sz w:val="18"/>
                                  <w:szCs w:val="18"/>
                                </w:rPr>
                              </w:pPr>
                              <w:r w:rsidRPr="00D44E2C">
                                <w:rPr>
                                  <w:sz w:val="18"/>
                                  <w:szCs w:val="18"/>
                                </w:rPr>
                                <w:t>Family leads a more healthy lifestyle generally</w:t>
                              </w:r>
                            </w:p>
                            <w:p w14:paraId="330B4A44" w14:textId="77777777" w:rsidR="00DE3537" w:rsidRPr="00D44E2C" w:rsidRDefault="00DE3537" w:rsidP="00DB5BA7">
                              <w:pPr>
                                <w:rPr>
                                  <w:sz w:val="18"/>
                                  <w:szCs w:val="18"/>
                                </w:rPr>
                              </w:pPr>
                              <w:r w:rsidRPr="00D44E2C">
                                <w:rPr>
                                  <w:sz w:val="18"/>
                                  <w:szCs w:val="18"/>
                                </w:rPr>
                                <w:t>Improved quality of life</w:t>
                              </w:r>
                            </w:p>
                            <w:p w14:paraId="532CF409" w14:textId="77777777" w:rsidR="00DE3537" w:rsidRPr="00D44E2C" w:rsidRDefault="00DE3537" w:rsidP="00DB5BA7">
                              <w:pPr>
                                <w:rPr>
                                  <w:sz w:val="18"/>
                                  <w:szCs w:val="18"/>
                                </w:rPr>
                              </w:pPr>
                              <w:r w:rsidRPr="00D44E2C">
                                <w:rPr>
                                  <w:sz w:val="18"/>
                                  <w:szCs w:val="18"/>
                                </w:rPr>
                                <w:t>Reduced incidence of obesity</w:t>
                              </w:r>
                            </w:p>
                          </w:txbxContent>
                        </wps:txbx>
                        <wps:bodyPr rot="0" vert="horz" wrap="square" lIns="91440" tIns="45720" rIns="91440" bIns="45720" anchor="t" anchorCtr="0" upright="1">
                          <a:noAutofit/>
                        </wps:bodyPr>
                      </wps:wsp>
                      <wps:wsp>
                        <wps:cNvPr id="23" name="Rectangle 396"/>
                        <wps:cNvSpPr>
                          <a:spLocks noChangeArrowheads="1"/>
                        </wps:cNvSpPr>
                        <wps:spPr bwMode="auto">
                          <a:xfrm flipH="1">
                            <a:off x="585" y="345"/>
                            <a:ext cx="15988" cy="1487"/>
                          </a:xfrm>
                          <a:prstGeom prst="rect">
                            <a:avLst/>
                          </a:prstGeom>
                          <a:solidFill>
                            <a:sysClr val="window" lastClr="FFFFFF">
                              <a:lumMod val="100000"/>
                              <a:lumOff val="0"/>
                            </a:sysClr>
                          </a:solidFill>
                          <a:ln w="19050">
                            <a:solidFill>
                              <a:sysClr val="windowText" lastClr="000000">
                                <a:lumMod val="50000"/>
                                <a:lumOff val="50000"/>
                              </a:sysClr>
                            </a:solidFill>
                            <a:miter lim="800000"/>
                            <a:headEnd/>
                            <a:tailEnd/>
                          </a:ln>
                          <a:effectLst>
                            <a:outerShdw blurRad="50800" dist="38100" dir="2700000" sx="100500" sy="100500" algn="tl" rotWithShape="0">
                              <a:srgbClr val="000000">
                                <a:alpha val="39999"/>
                              </a:srgbClr>
                            </a:outerShdw>
                          </a:effectLst>
                        </wps:spPr>
                        <wps:txbx>
                          <w:txbxContent>
                            <w:p w14:paraId="7E9AD53B" w14:textId="77777777" w:rsidR="00DE3537" w:rsidRDefault="00DE3537" w:rsidP="00DB5BA7">
                              <w:pPr>
                                <w:rPr>
                                  <w:color w:val="4F81BD" w:themeColor="accent1"/>
                                  <w:sz w:val="20"/>
                                  <w:szCs w:val="20"/>
                                </w:rPr>
                              </w:pPr>
                              <w:r>
                                <w:rPr>
                                  <w:b/>
                                  <w:sz w:val="28"/>
                                  <w:szCs w:val="28"/>
                                </w:rPr>
                                <w:t>R</w:t>
                              </w:r>
                              <w:r w:rsidRPr="00E9322E">
                                <w:rPr>
                                  <w:b/>
                                  <w:sz w:val="28"/>
                                  <w:szCs w:val="28"/>
                                </w:rPr>
                                <w:t>esources</w:t>
                              </w:r>
                              <w:r w:rsidRPr="00E9322E">
                                <w:rPr>
                                  <w:b/>
                                  <w:sz w:val="28"/>
                                  <w:szCs w:val="28"/>
                                </w:rPr>
                                <w:tab/>
                              </w:r>
                              <w:r>
                                <w:rPr>
                                  <w:b/>
                                  <w:sz w:val="28"/>
                                  <w:szCs w:val="28"/>
                                </w:rPr>
                                <w:tab/>
                              </w:r>
                              <w:r w:rsidRPr="00E9322E">
                                <w:rPr>
                                  <w:b/>
                                  <w:sz w:val="28"/>
                                  <w:szCs w:val="28"/>
                                </w:rPr>
                                <w:t>A</w:t>
                              </w:r>
                              <w:r>
                                <w:rPr>
                                  <w:b/>
                                  <w:sz w:val="28"/>
                                  <w:szCs w:val="28"/>
                                </w:rPr>
                                <w:t>ctivities</w:t>
                              </w:r>
                              <w:r>
                                <w:rPr>
                                  <w:b/>
                                  <w:sz w:val="28"/>
                                  <w:szCs w:val="28"/>
                                </w:rPr>
                                <w:tab/>
                              </w:r>
                              <w:r>
                                <w:rPr>
                                  <w:b/>
                                  <w:sz w:val="28"/>
                                  <w:szCs w:val="28"/>
                                </w:rPr>
                                <w:tab/>
                                <w:t>Short term outcomes</w:t>
                              </w:r>
                              <w:r>
                                <w:rPr>
                                  <w:b/>
                                  <w:sz w:val="28"/>
                                  <w:szCs w:val="28"/>
                                </w:rPr>
                                <w:tab/>
                              </w:r>
                              <w:r w:rsidRPr="00E9322E">
                                <w:rPr>
                                  <w:b/>
                                  <w:sz w:val="28"/>
                                  <w:szCs w:val="28"/>
                                </w:rPr>
                                <w:t>Medium term outcomes</w:t>
                              </w:r>
                              <w:r w:rsidRPr="00E9322E">
                                <w:rPr>
                                  <w:b/>
                                  <w:sz w:val="28"/>
                                  <w:szCs w:val="28"/>
                                </w:rPr>
                                <w:tab/>
                              </w:r>
                              <w:r w:rsidRPr="00E9322E">
                                <w:rPr>
                                  <w:b/>
                                  <w:sz w:val="28"/>
                                  <w:szCs w:val="28"/>
                                </w:rPr>
                                <w:tab/>
                              </w:r>
                              <w:r>
                                <w:rPr>
                                  <w:b/>
                                  <w:sz w:val="28"/>
                                  <w:szCs w:val="28"/>
                                </w:rPr>
                                <w:t xml:space="preserve">    </w:t>
                              </w:r>
                              <w:r w:rsidRPr="00E9322E">
                                <w:rPr>
                                  <w:b/>
                                  <w:sz w:val="28"/>
                                  <w:szCs w:val="28"/>
                                </w:rPr>
                                <w:t>Long term outcomes</w:t>
                              </w:r>
                            </w:p>
                          </w:txbxContent>
                        </wps:txbx>
                        <wps:bodyPr rot="0" vert="horz" wrap="square" lIns="274320" tIns="274320" rIns="274320" bIns="274320" anchor="ctr" anchorCtr="0" upright="1">
                          <a:noAutofit/>
                        </wps:bodyPr>
                      </wps:wsp>
                      <wps:wsp>
                        <wps:cNvPr id="24" name="Straight Arrow Connector 8"/>
                        <wps:cNvCnPr/>
                        <wps:spPr bwMode="auto">
                          <a:xfrm flipV="1">
                            <a:off x="2670" y="4552"/>
                            <a:ext cx="390" cy="0"/>
                          </a:xfrm>
                          <a:prstGeom prst="straightConnector1">
                            <a:avLst/>
                          </a:prstGeom>
                          <a:noFill/>
                          <a:ln w="19050" cap="flat" cmpd="sng" algn="ctr">
                            <a:solidFill>
                              <a:srgbClr val="4F81BD">
                                <a:lumMod val="95000"/>
                                <a:lumOff val="0"/>
                              </a:srgbClr>
                            </a:solidFill>
                            <a:prstDash val="solid"/>
                            <a:round/>
                            <a:headEnd/>
                            <a:tailEnd type="arrow" w="med" len="med"/>
                          </a:ln>
                          <a:extLst>
                            <a:ext uri="{909E8E84-426E-40DD-AFC4-6F175D3DCCD1}">
                              <a14:hiddenFill xmlns:a14="http://schemas.microsoft.com/office/drawing/2010/main">
                                <a:noFill/>
                              </a14:hiddenFill>
                            </a:ext>
                          </a:extLst>
                        </wps:spPr>
                        <wps:bodyPr/>
                      </wps:wsp>
                      <wps:wsp>
                        <wps:cNvPr id="25" name="Straight Arrow Connector 9"/>
                        <wps:cNvCnPr/>
                        <wps:spPr bwMode="auto">
                          <a:xfrm>
                            <a:off x="4845" y="4522"/>
                            <a:ext cx="405" cy="0"/>
                          </a:xfrm>
                          <a:prstGeom prst="straightConnector1">
                            <a:avLst/>
                          </a:prstGeom>
                          <a:noFill/>
                          <a:ln w="19050" cap="flat" cmpd="sng" algn="ctr">
                            <a:solidFill>
                              <a:srgbClr val="4A7EBB"/>
                            </a:solidFill>
                            <a:prstDash val="solid"/>
                            <a:round/>
                            <a:headEnd/>
                            <a:tailEnd type="arrow" w="med" len="med"/>
                          </a:ln>
                          <a:extLst>
                            <a:ext uri="{909E8E84-426E-40DD-AFC4-6F175D3DCCD1}">
                              <a14:hiddenFill xmlns:a14="http://schemas.microsoft.com/office/drawing/2010/main">
                                <a:noFill/>
                              </a14:hiddenFill>
                            </a:ext>
                          </a:extLst>
                        </wps:spPr>
                        <wps:bodyPr/>
                      </wps:wsp>
                      <wps:wsp>
                        <wps:cNvPr id="26" name="Straight Arrow Connector 10"/>
                        <wps:cNvCnPr/>
                        <wps:spPr bwMode="auto">
                          <a:xfrm>
                            <a:off x="7200" y="4972"/>
                            <a:ext cx="585" cy="0"/>
                          </a:xfrm>
                          <a:prstGeom prst="straightConnector1">
                            <a:avLst/>
                          </a:prstGeom>
                          <a:noFill/>
                          <a:ln w="19050" cap="flat" cmpd="sng" algn="ctr">
                            <a:solidFill>
                              <a:srgbClr val="4F81BD">
                                <a:lumMod val="95000"/>
                                <a:lumOff val="0"/>
                              </a:srgbClr>
                            </a:solidFill>
                            <a:prstDash val="solid"/>
                            <a:round/>
                            <a:headEnd type="arrow" w="med" len="med"/>
                            <a:tailEnd type="arrow" w="med" len="med"/>
                          </a:ln>
                          <a:extLst>
                            <a:ext uri="{909E8E84-426E-40DD-AFC4-6F175D3DCCD1}">
                              <a14:hiddenFill xmlns:a14="http://schemas.microsoft.com/office/drawing/2010/main">
                                <a:noFill/>
                              </a14:hiddenFill>
                            </a:ext>
                          </a:extLst>
                        </wps:spPr>
                        <wps:bodyPr/>
                      </wps:wsp>
                      <wps:wsp>
                        <wps:cNvPr id="27" name="Straight Arrow Connector 11"/>
                        <wps:cNvCnPr/>
                        <wps:spPr bwMode="auto">
                          <a:xfrm>
                            <a:off x="9630" y="5092"/>
                            <a:ext cx="523" cy="0"/>
                          </a:xfrm>
                          <a:prstGeom prst="straightConnector1">
                            <a:avLst/>
                          </a:prstGeom>
                          <a:noFill/>
                          <a:ln w="19050" cap="flat" cmpd="sng" algn="ctr">
                            <a:solidFill>
                              <a:srgbClr val="4A7EBB"/>
                            </a:solidFill>
                            <a:prstDash val="solid"/>
                            <a:round/>
                            <a:headEnd type="arrow" w="med" len="med"/>
                            <a:tailEnd type="arrow" w="med" len="med"/>
                          </a:ln>
                          <a:extLst>
                            <a:ext uri="{909E8E84-426E-40DD-AFC4-6F175D3DCCD1}">
                              <a14:hiddenFill xmlns:a14="http://schemas.microsoft.com/office/drawing/2010/main">
                                <a:noFill/>
                              </a14:hiddenFill>
                            </a:ext>
                          </a:extLst>
                        </wps:spPr>
                        <wps:bodyPr/>
                      </wps:wsp>
                      <wps:wsp>
                        <wps:cNvPr id="28" name="Straight Arrow Connector 12"/>
                        <wps:cNvCnPr/>
                        <wps:spPr bwMode="auto">
                          <a:xfrm>
                            <a:off x="11986" y="5555"/>
                            <a:ext cx="435" cy="0"/>
                          </a:xfrm>
                          <a:prstGeom prst="straightConnector1">
                            <a:avLst/>
                          </a:prstGeom>
                          <a:noFill/>
                          <a:ln w="19050" cap="flat" cmpd="sng" algn="ctr">
                            <a:solidFill>
                              <a:srgbClr val="4A7EBB"/>
                            </a:solidFill>
                            <a:prstDash val="solid"/>
                            <a:round/>
                            <a:headEnd type="arrow" w="med" len="med"/>
                            <a:tailEnd type="arrow" w="med" len="med"/>
                          </a:ln>
                          <a:extLst>
                            <a:ext uri="{909E8E84-426E-40DD-AFC4-6F175D3DCCD1}">
                              <a14:hiddenFill xmlns:a14="http://schemas.microsoft.com/office/drawing/2010/main">
                                <a:noFill/>
                              </a14:hiddenFill>
                            </a:ext>
                          </a:extLst>
                        </wps:spPr>
                        <wps:bodyPr/>
                      </wps:wsp>
                      <wps:wsp>
                        <wps:cNvPr id="29" name="Straight Arrow Connector 14"/>
                        <wps:cNvCnPr/>
                        <wps:spPr bwMode="auto">
                          <a:xfrm>
                            <a:off x="14424" y="4666"/>
                            <a:ext cx="480" cy="0"/>
                          </a:xfrm>
                          <a:prstGeom prst="straightConnector1">
                            <a:avLst/>
                          </a:prstGeom>
                          <a:noFill/>
                          <a:ln w="19050" cap="flat" cmpd="sng" algn="ctr">
                            <a:solidFill>
                              <a:srgbClr val="4F81BD">
                                <a:lumMod val="95000"/>
                                <a:lumOff val="0"/>
                              </a:srgbClr>
                            </a:solidFill>
                            <a:prstDash val="solid"/>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757C85" id="Group 214" o:spid="_x0000_s1199" style="position:absolute;margin-left:-42.75pt;margin-top:6.75pt;width:729.8pt;height:508.55pt;z-index:251638784;mso-position-horizontal-relative:text;mso-position-vertical-relative:text" coordorigin="585,345" coordsize="15988,11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">
                <v:shape id="_x0000_s1200" type="#_x0000_t202" style="position:absolute;left:600;top:2040;width:2085;height:9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zNQsAA&#10;AADbAAAADwAAAGRycy9kb3ducmV2LnhtbERP32vCMBB+H/g/hBP2NlOHE+mMIoJlj9o69nprzqTY&#10;XEqT1frfm8Fgb/fx/bz1dnStGKgPjWcF81kGgrj2umGj4FwdXlYgQkTW2HomBXcKsN1MntaYa3/j&#10;Ew1lNCKFcMhRgY2xy6UMtSWHYeY74sRdfO8wJtgbqXu8pXDXytcsW0qHDacGix3tLdXX8scpeAtf&#10;x8Vw/26sWX0WshjdaVEVSj1Px907iEhj/Bf/uT90mr+E31/SA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FzNQsAAAADbAAAADwAAAAAAAAAAAAAAAACYAgAAZHJzL2Rvd25y&#10;ZXYueG1sUEsFBgAAAAAEAAQA9QAAAIUDAAAAAA==&#10;" strokeweight="1.5pt">
                  <v:textbox>
                    <w:txbxContent>
                      <w:p w14:paraId="68515DD0" w14:textId="77777777" w:rsidR="00DE3537" w:rsidRPr="00D44E2C" w:rsidRDefault="00DE3537" w:rsidP="00DB5BA7">
                        <w:pPr>
                          <w:spacing w:after="0" w:line="240" w:lineRule="auto"/>
                          <w:rPr>
                            <w:sz w:val="18"/>
                            <w:szCs w:val="18"/>
                          </w:rPr>
                        </w:pPr>
                        <w:r w:rsidRPr="00D44E2C">
                          <w:rPr>
                            <w:sz w:val="18"/>
                            <w:szCs w:val="18"/>
                          </w:rPr>
                          <w:t>Drama group</w:t>
                        </w:r>
                      </w:p>
                      <w:p w14:paraId="1488DE4A" w14:textId="77777777" w:rsidR="00DE3537" w:rsidRPr="00D44E2C" w:rsidRDefault="00DE3537" w:rsidP="00DB5BA7">
                        <w:pPr>
                          <w:spacing w:after="0" w:line="240" w:lineRule="auto"/>
                          <w:rPr>
                            <w:sz w:val="18"/>
                            <w:szCs w:val="18"/>
                          </w:rPr>
                        </w:pPr>
                        <w:r w:rsidRPr="00D44E2C">
                          <w:rPr>
                            <w:sz w:val="18"/>
                            <w:szCs w:val="18"/>
                          </w:rPr>
                          <w:t>(4 actors and a Drama Facilitator per Healthy Lifestyle Week)</w:t>
                        </w:r>
                      </w:p>
                      <w:p w14:paraId="61C47BAC" w14:textId="77777777" w:rsidR="00DE3537" w:rsidRPr="00D44E2C" w:rsidRDefault="00DE3537" w:rsidP="00DB5BA7">
                        <w:pPr>
                          <w:spacing w:after="0" w:line="240" w:lineRule="auto"/>
                          <w:rPr>
                            <w:sz w:val="18"/>
                            <w:szCs w:val="18"/>
                          </w:rPr>
                        </w:pPr>
                      </w:p>
                      <w:p w14:paraId="49C95791" w14:textId="77777777" w:rsidR="00DE3537" w:rsidRPr="00D44E2C" w:rsidRDefault="00DE3537" w:rsidP="00DB5BA7">
                        <w:pPr>
                          <w:spacing w:after="0" w:line="240" w:lineRule="auto"/>
                          <w:rPr>
                            <w:sz w:val="18"/>
                            <w:szCs w:val="18"/>
                          </w:rPr>
                        </w:pPr>
                        <w:r w:rsidRPr="00D44E2C">
                          <w:rPr>
                            <w:sz w:val="18"/>
                            <w:szCs w:val="18"/>
                          </w:rPr>
                          <w:t>HeLP Coordinator X4</w:t>
                        </w:r>
                      </w:p>
                      <w:p w14:paraId="4C312699" w14:textId="77777777" w:rsidR="00DE3537" w:rsidRPr="00D44E2C" w:rsidRDefault="00DE3537" w:rsidP="00DB5BA7">
                        <w:pPr>
                          <w:spacing w:after="0" w:line="240" w:lineRule="auto"/>
                          <w:rPr>
                            <w:sz w:val="18"/>
                            <w:szCs w:val="18"/>
                          </w:rPr>
                        </w:pPr>
                      </w:p>
                      <w:p w14:paraId="14A29C05" w14:textId="77777777" w:rsidR="00DE3537" w:rsidRPr="00D44E2C" w:rsidRDefault="00DE3537" w:rsidP="00DB5BA7">
                        <w:pPr>
                          <w:spacing w:after="0" w:line="240" w:lineRule="auto"/>
                          <w:rPr>
                            <w:sz w:val="18"/>
                            <w:szCs w:val="18"/>
                          </w:rPr>
                        </w:pPr>
                        <w:r w:rsidRPr="00D44E2C">
                          <w:rPr>
                            <w:sz w:val="18"/>
                            <w:szCs w:val="18"/>
                          </w:rPr>
                          <w:t>Multi-disciplinary research team</w:t>
                        </w:r>
                      </w:p>
                      <w:p w14:paraId="3D481687" w14:textId="77777777" w:rsidR="00DE3537" w:rsidRPr="00D44E2C" w:rsidRDefault="00DE3537" w:rsidP="00DB5BA7">
                        <w:pPr>
                          <w:spacing w:after="0" w:line="240" w:lineRule="auto"/>
                          <w:rPr>
                            <w:sz w:val="18"/>
                            <w:szCs w:val="18"/>
                          </w:rPr>
                        </w:pPr>
                      </w:p>
                      <w:p w14:paraId="1195010D" w14:textId="77777777" w:rsidR="00DE3537" w:rsidRPr="00D44E2C" w:rsidRDefault="00DE3537" w:rsidP="00DB5BA7">
                        <w:pPr>
                          <w:spacing w:after="0" w:line="240" w:lineRule="auto"/>
                          <w:rPr>
                            <w:sz w:val="18"/>
                            <w:szCs w:val="18"/>
                          </w:rPr>
                        </w:pPr>
                        <w:r w:rsidRPr="00D44E2C">
                          <w:rPr>
                            <w:sz w:val="18"/>
                            <w:szCs w:val="18"/>
                          </w:rPr>
                          <w:t>Project Advisory Group (stakeholders)</w:t>
                        </w:r>
                      </w:p>
                      <w:p w14:paraId="1C56188E" w14:textId="77777777" w:rsidR="00DE3537" w:rsidRPr="00D44E2C" w:rsidRDefault="00DE3537" w:rsidP="00DB5BA7">
                        <w:pPr>
                          <w:spacing w:after="0" w:line="240" w:lineRule="auto"/>
                          <w:rPr>
                            <w:sz w:val="18"/>
                            <w:szCs w:val="18"/>
                          </w:rPr>
                        </w:pPr>
                      </w:p>
                      <w:p w14:paraId="2DF8C858" w14:textId="77777777" w:rsidR="00DE3537" w:rsidRPr="00D44E2C" w:rsidRDefault="00DE3537" w:rsidP="00DB5BA7">
                        <w:pPr>
                          <w:spacing w:after="0" w:line="240" w:lineRule="auto"/>
                          <w:rPr>
                            <w:sz w:val="18"/>
                            <w:szCs w:val="18"/>
                          </w:rPr>
                        </w:pPr>
                        <w:r w:rsidRPr="00D44E2C">
                          <w:rPr>
                            <w:sz w:val="18"/>
                            <w:szCs w:val="18"/>
                          </w:rPr>
                          <w:t>Local network of primary school head teachers</w:t>
                        </w:r>
                      </w:p>
                      <w:p w14:paraId="3C2A99C2" w14:textId="77777777" w:rsidR="00DE3537" w:rsidRPr="00D44E2C" w:rsidRDefault="00DE3537" w:rsidP="00DB5BA7">
                        <w:pPr>
                          <w:spacing w:after="0" w:line="240" w:lineRule="auto"/>
                          <w:rPr>
                            <w:sz w:val="18"/>
                            <w:szCs w:val="18"/>
                          </w:rPr>
                        </w:pPr>
                      </w:p>
                      <w:p w14:paraId="49596D62" w14:textId="77777777" w:rsidR="00DE3537" w:rsidRPr="00D44E2C" w:rsidRDefault="00DE3537" w:rsidP="00DB5BA7">
                        <w:pPr>
                          <w:spacing w:after="0" w:line="240" w:lineRule="auto"/>
                          <w:rPr>
                            <w:sz w:val="18"/>
                            <w:szCs w:val="18"/>
                          </w:rPr>
                        </w:pPr>
                        <w:r w:rsidRPr="00D44E2C">
                          <w:rPr>
                            <w:sz w:val="18"/>
                            <w:szCs w:val="18"/>
                          </w:rPr>
                          <w:t>Funding (intervention and research)</w:t>
                        </w:r>
                      </w:p>
                      <w:p w14:paraId="06C63481" w14:textId="77777777" w:rsidR="00DE3537" w:rsidRPr="00785037" w:rsidRDefault="00DE3537" w:rsidP="00DB5BA7">
                        <w:pPr>
                          <w:spacing w:after="0" w:line="240" w:lineRule="auto"/>
                          <w:rPr>
                            <w:sz w:val="18"/>
                            <w:szCs w:val="18"/>
                          </w:rPr>
                        </w:pPr>
                      </w:p>
                      <w:p w14:paraId="7CD8DB8D" w14:textId="77777777" w:rsidR="00DE3537" w:rsidRPr="00D44E2C" w:rsidRDefault="00DE3537" w:rsidP="00DB5BA7">
                        <w:pPr>
                          <w:spacing w:after="0" w:line="240" w:lineRule="auto"/>
                          <w:rPr>
                            <w:sz w:val="18"/>
                            <w:szCs w:val="18"/>
                          </w:rPr>
                        </w:pPr>
                        <w:r w:rsidRPr="00785037">
                          <w:rPr>
                            <w:sz w:val="18"/>
                            <w:szCs w:val="18"/>
                          </w:rPr>
                          <w:t>HeLP Coordinator</w:t>
                        </w:r>
                        <w:r w:rsidRPr="00D44E2C">
                          <w:rPr>
                            <w:sz w:val="18"/>
                            <w:szCs w:val="18"/>
                          </w:rPr>
                          <w:t xml:space="preserve"> manual and resources</w:t>
                        </w:r>
                      </w:p>
                      <w:p w14:paraId="266BB440" w14:textId="77777777" w:rsidR="00DE3537" w:rsidRPr="00D44E2C" w:rsidRDefault="00DE3537" w:rsidP="00DB5BA7">
                        <w:pPr>
                          <w:spacing w:after="0" w:line="240" w:lineRule="auto"/>
                          <w:rPr>
                            <w:sz w:val="18"/>
                            <w:szCs w:val="18"/>
                          </w:rPr>
                        </w:pPr>
                      </w:p>
                      <w:p w14:paraId="0CEEB0D4" w14:textId="77777777" w:rsidR="00DE3537" w:rsidRPr="00D44E2C" w:rsidRDefault="00DE3537" w:rsidP="00DB5BA7">
                        <w:pPr>
                          <w:spacing w:after="0" w:line="240" w:lineRule="auto"/>
                          <w:rPr>
                            <w:sz w:val="18"/>
                            <w:szCs w:val="18"/>
                          </w:rPr>
                        </w:pPr>
                        <w:r w:rsidRPr="00D44E2C">
                          <w:rPr>
                            <w:sz w:val="18"/>
                            <w:szCs w:val="18"/>
                          </w:rPr>
                          <w:t>Actor manual and drama resource box</w:t>
                        </w:r>
                      </w:p>
                      <w:p w14:paraId="3C02639F" w14:textId="77777777" w:rsidR="00DE3537" w:rsidRPr="00411D5F" w:rsidRDefault="00DE3537" w:rsidP="00DB5BA7">
                        <w:pPr>
                          <w:spacing w:after="0" w:line="240" w:lineRule="auto"/>
                        </w:pPr>
                      </w:p>
                      <w:p w14:paraId="42B4A3DA" w14:textId="77777777" w:rsidR="00DE3537" w:rsidRPr="00D44E2C" w:rsidRDefault="00DE3537" w:rsidP="00DB5BA7">
                        <w:pPr>
                          <w:spacing w:after="0" w:line="240" w:lineRule="auto"/>
                          <w:rPr>
                            <w:sz w:val="18"/>
                            <w:szCs w:val="18"/>
                          </w:rPr>
                        </w:pPr>
                        <w:r w:rsidRPr="00D44E2C">
                          <w:rPr>
                            <w:sz w:val="18"/>
                            <w:szCs w:val="18"/>
                          </w:rPr>
                          <w:t>Teacher manual and resources</w:t>
                        </w:r>
                      </w:p>
                    </w:txbxContent>
                  </v:textbox>
                </v:shape>
                <v:shape id="_x0000_s1201" type="#_x0000_t202" style="position:absolute;left:3075;top:2115;width:1800;height:5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Bo2cEA&#10;AADbAAAADwAAAGRycy9kb3ducmV2LnhtbERPS2vCQBC+C/0PyxR6001LbCW6Sik0eDRq6XWaHbOh&#10;2dmQ3ebx711B6G0+vudsdqNtRE+drx0reF4kIIhLp2uuFJxPn/MVCB+QNTaOScFEHnbbh9kGM+0G&#10;Lqg/hkrEEPYZKjAhtJmUvjRk0S9cSxy5i+sshgi7SuoOhxhuG/mSJK/SYs2xwWBLH4bK3+OfVbD0&#10;34e0n35qU62+cpmPtkhPuVJPj+P7GkSgMfyL7+69jvPf4PZLPEBu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QaNnBAAAA2wAAAA8AAAAAAAAAAAAAAAAAmAIAAGRycy9kb3du&#10;cmV2LnhtbFBLBQYAAAAABAAEAPUAAACGAwAAAAA=&#10;" strokeweight="1.5pt">
                  <v:textbox>
                    <w:txbxContent>
                      <w:p w14:paraId="26FEBAEA" w14:textId="77777777" w:rsidR="00DE3537" w:rsidRPr="00D44E2C" w:rsidRDefault="00DE3537" w:rsidP="00DB5BA7">
                        <w:pPr>
                          <w:rPr>
                            <w:sz w:val="18"/>
                            <w:szCs w:val="18"/>
                          </w:rPr>
                        </w:pPr>
                        <w:r w:rsidRPr="00D44E2C">
                          <w:rPr>
                            <w:sz w:val="18"/>
                            <w:szCs w:val="18"/>
                          </w:rPr>
                          <w:t>Training week for pool of actors and facilitators</w:t>
                        </w:r>
                      </w:p>
                      <w:p w14:paraId="155558E2" w14:textId="77777777" w:rsidR="00DE3537" w:rsidRPr="00D44E2C" w:rsidRDefault="00DE3537" w:rsidP="00DB5BA7">
                        <w:pPr>
                          <w:rPr>
                            <w:sz w:val="18"/>
                            <w:szCs w:val="18"/>
                          </w:rPr>
                        </w:pPr>
                        <w:r w:rsidRPr="00D44E2C">
                          <w:rPr>
                            <w:sz w:val="18"/>
                            <w:szCs w:val="18"/>
                          </w:rPr>
                          <w:t>Ongoing training for the HeLP Coordinators</w:t>
                        </w:r>
                      </w:p>
                      <w:p w14:paraId="063FA096" w14:textId="77777777" w:rsidR="00DE3537" w:rsidRPr="00D44E2C" w:rsidRDefault="00DE3537" w:rsidP="00DB5BA7">
                        <w:pPr>
                          <w:rPr>
                            <w:sz w:val="18"/>
                            <w:szCs w:val="18"/>
                          </w:rPr>
                        </w:pPr>
                        <w:r w:rsidRPr="00D44E2C">
                          <w:rPr>
                            <w:sz w:val="18"/>
                            <w:szCs w:val="18"/>
                          </w:rPr>
                          <w:t>Regular HeLP team meetings</w:t>
                        </w:r>
                      </w:p>
                      <w:p w14:paraId="52003CBC" w14:textId="77777777" w:rsidR="00DE3537" w:rsidRPr="00D44E2C" w:rsidRDefault="00DE3537" w:rsidP="00DB5BA7">
                        <w:pPr>
                          <w:spacing w:after="0" w:line="240" w:lineRule="auto"/>
                          <w:rPr>
                            <w:sz w:val="18"/>
                            <w:szCs w:val="18"/>
                          </w:rPr>
                        </w:pPr>
                        <w:r w:rsidRPr="00D44E2C">
                          <w:rPr>
                            <w:sz w:val="18"/>
                            <w:szCs w:val="18"/>
                          </w:rPr>
                          <w:t>HeLP intervention</w:t>
                        </w:r>
                      </w:p>
                      <w:p w14:paraId="6E26D282" w14:textId="77777777" w:rsidR="00DE3537" w:rsidRPr="00D44E2C" w:rsidRDefault="00DE3537" w:rsidP="00DB5BA7">
                        <w:pPr>
                          <w:spacing w:after="0" w:line="240" w:lineRule="auto"/>
                          <w:rPr>
                            <w:sz w:val="18"/>
                            <w:szCs w:val="18"/>
                          </w:rPr>
                        </w:pPr>
                        <w:r w:rsidRPr="00D44E2C">
                          <w:rPr>
                            <w:sz w:val="18"/>
                            <w:szCs w:val="18"/>
                          </w:rPr>
                          <w:t>(4 phases over three school terms)</w:t>
                        </w:r>
                      </w:p>
                    </w:txbxContent>
                  </v:textbox>
                </v:shape>
                <v:shape id="_x0000_s1202" type="#_x0000_t202" style="position:absolute;left:5280;top:2040;width:1935;height:7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8q8MA&#10;AADbAAAADwAAAGRycy9kb3ducmV2LnhtbESPT2vCQBDF7wW/wzKCt7qxWJHUVUQweKz/8DrNTrOh&#10;2dmQ3cb47TuHgrcZ3pv3frPaDL5RPXWxDmxgNs1AEZfB1lwZuJz3r0tQMSFbbAKTgQdF2KxHLyvM&#10;bbjzkfpTqpSEcMzRgEupzbWOpSOPcRpaYtG+Q+cxydpV2nZ4l3Df6LcsW2iPNUuDw5Z2jsqf0683&#10;8B5vn/P+8VW7anktdDH44/xcGDMZD9sPUImG9DT/Xx+s4Aus/CID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8q8MAAADbAAAADwAAAAAAAAAAAAAAAACYAgAAZHJzL2Rv&#10;d25yZXYueG1sUEsFBgAAAAAEAAQA9QAAAIgDAAAAAA==&#10;" strokeweight="1.5pt">
                  <v:textbox>
                    <w:txbxContent>
                      <w:p w14:paraId="6266B9BD" w14:textId="77777777" w:rsidR="00DE3537" w:rsidRPr="00D44E2C" w:rsidRDefault="00DE3537" w:rsidP="00DB5BA7">
                        <w:pPr>
                          <w:rPr>
                            <w:sz w:val="18"/>
                            <w:szCs w:val="18"/>
                          </w:rPr>
                        </w:pPr>
                        <w:r w:rsidRPr="00D44E2C">
                          <w:rPr>
                            <w:sz w:val="18"/>
                            <w:szCs w:val="18"/>
                          </w:rPr>
                          <w:t>Establish relationships (schools, children and parents)</w:t>
                        </w:r>
                      </w:p>
                      <w:p w14:paraId="19F072E3" w14:textId="77777777" w:rsidR="00DE3537" w:rsidRPr="00D44E2C" w:rsidRDefault="00DE3537" w:rsidP="00DB5BA7">
                        <w:pPr>
                          <w:rPr>
                            <w:sz w:val="18"/>
                            <w:szCs w:val="18"/>
                          </w:rPr>
                        </w:pPr>
                        <w:r w:rsidRPr="00D44E2C">
                          <w:rPr>
                            <w:sz w:val="18"/>
                            <w:szCs w:val="18"/>
                          </w:rPr>
                          <w:t>‘Buy in’ (schools, children and parents)</w:t>
                        </w:r>
                      </w:p>
                      <w:p w14:paraId="38741F2B" w14:textId="77777777" w:rsidR="00DE3537" w:rsidRPr="00D44E2C" w:rsidRDefault="00DE3537" w:rsidP="00DB5BA7">
                        <w:pPr>
                          <w:rPr>
                            <w:sz w:val="18"/>
                            <w:szCs w:val="18"/>
                          </w:rPr>
                        </w:pPr>
                        <w:r w:rsidRPr="00D44E2C">
                          <w:rPr>
                            <w:sz w:val="18"/>
                            <w:szCs w:val="18"/>
                          </w:rPr>
                          <w:t>Awareness of HeLP messages (schools, children and parents)</w:t>
                        </w:r>
                      </w:p>
                      <w:p w14:paraId="59DC9102" w14:textId="77777777" w:rsidR="00DE3537" w:rsidRPr="00D44E2C" w:rsidRDefault="00DE3537" w:rsidP="00DB5BA7">
                        <w:pPr>
                          <w:rPr>
                            <w:sz w:val="18"/>
                            <w:szCs w:val="18"/>
                          </w:rPr>
                        </w:pPr>
                        <w:r w:rsidRPr="00D44E2C">
                          <w:rPr>
                            <w:sz w:val="18"/>
                            <w:szCs w:val="18"/>
                          </w:rPr>
                          <w:t>Buzz and excitement in school about HeLP (school, children and parents)</w:t>
                        </w:r>
                      </w:p>
                    </w:txbxContent>
                  </v:textbox>
                </v:shape>
                <v:shape id="Text Box 3" o:spid="_x0000_s1203" type="#_x0000_t202" style="position:absolute;left:7785;top:2025;width:1845;height:9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NZML8A&#10;AADbAAAADwAAAGRycy9kb3ducmV2LnhtbERPS4vCMBC+L/gfwgje1lRxRatRRLDscX3hdWzGpthM&#10;ShNr/febhQVv8/E9Z7nubCVaanzpWMFomIAgzp0uuVBwOu4+ZyB8QNZYOSYFL/KwXvU+lphq9+Q9&#10;tYdQiBjCPkUFJoQ6ldLnhiz6oauJI3dzjcUQYVNI3eAzhttKjpNkKi2WHBsM1rQ1lN8PD6vgy19+&#10;Ju3rWppids5k1tn95JgpNeh3mwWIQF14i//d3zrOn8PfL/EAuf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w1kwvwAAANsAAAAPAAAAAAAAAAAAAAAAAJgCAABkcnMvZG93bnJl&#10;di54bWxQSwUGAAAAAAQABAD1AAAAhAMAAAAA&#10;" strokeweight="1.5pt">
                  <v:textbox>
                    <w:txbxContent>
                      <w:p w14:paraId="7DB3D223" w14:textId="77777777" w:rsidR="00DE3537" w:rsidRPr="00D44E2C" w:rsidRDefault="00DE3537" w:rsidP="00DB5BA7">
                        <w:pPr>
                          <w:rPr>
                            <w:sz w:val="18"/>
                            <w:szCs w:val="18"/>
                          </w:rPr>
                        </w:pPr>
                        <w:r w:rsidRPr="00D44E2C">
                          <w:rPr>
                            <w:sz w:val="18"/>
                            <w:szCs w:val="18"/>
                          </w:rPr>
                          <w:t>Strengthen relationships (schools, children, families)</w:t>
                        </w:r>
                      </w:p>
                      <w:p w14:paraId="769195CD" w14:textId="77777777" w:rsidR="00DE3537" w:rsidRPr="00D44E2C" w:rsidRDefault="00DE3537" w:rsidP="00DB5BA7">
                        <w:pPr>
                          <w:rPr>
                            <w:sz w:val="18"/>
                            <w:szCs w:val="18"/>
                          </w:rPr>
                        </w:pPr>
                        <w:r w:rsidRPr="00D44E2C">
                          <w:rPr>
                            <w:sz w:val="18"/>
                            <w:szCs w:val="18"/>
                          </w:rPr>
                          <w:t>Skill building (children)</w:t>
                        </w:r>
                      </w:p>
                      <w:p w14:paraId="4A2CDAE0" w14:textId="77777777" w:rsidR="00DE3537" w:rsidRPr="00D44E2C" w:rsidRDefault="00DE3537" w:rsidP="00DB5BA7">
                        <w:pPr>
                          <w:rPr>
                            <w:sz w:val="18"/>
                            <w:szCs w:val="18"/>
                          </w:rPr>
                        </w:pPr>
                        <w:r w:rsidRPr="00D44E2C">
                          <w:rPr>
                            <w:sz w:val="18"/>
                            <w:szCs w:val="18"/>
                          </w:rPr>
                          <w:t>Confidence building (children)</w:t>
                        </w:r>
                      </w:p>
                      <w:p w14:paraId="35D59187" w14:textId="77777777" w:rsidR="00DE3537" w:rsidRPr="00D44E2C" w:rsidRDefault="00DE3537" w:rsidP="00DB5BA7">
                        <w:pPr>
                          <w:rPr>
                            <w:sz w:val="18"/>
                            <w:szCs w:val="18"/>
                          </w:rPr>
                        </w:pPr>
                        <w:r w:rsidRPr="00D44E2C">
                          <w:rPr>
                            <w:sz w:val="18"/>
                            <w:szCs w:val="18"/>
                          </w:rPr>
                          <w:t>Increasing knowledge (children, parents and teachers)</w:t>
                        </w:r>
                      </w:p>
                      <w:p w14:paraId="5D3CACD3" w14:textId="77777777" w:rsidR="00DE3537" w:rsidRPr="00D44E2C" w:rsidRDefault="00DE3537" w:rsidP="00DB5BA7">
                        <w:pPr>
                          <w:rPr>
                            <w:sz w:val="18"/>
                            <w:szCs w:val="18"/>
                          </w:rPr>
                        </w:pPr>
                        <w:r w:rsidRPr="00D44E2C">
                          <w:rPr>
                            <w:sz w:val="18"/>
                            <w:szCs w:val="18"/>
                          </w:rPr>
                          <w:t>Increasing self- awareness (children, parents, teachers)</w:t>
                        </w:r>
                      </w:p>
                      <w:p w14:paraId="7BBF111C" w14:textId="77777777" w:rsidR="00DE3537" w:rsidRPr="00D44E2C" w:rsidRDefault="00DE3537" w:rsidP="00DB5BA7">
                        <w:pPr>
                          <w:rPr>
                            <w:sz w:val="18"/>
                            <w:szCs w:val="18"/>
                          </w:rPr>
                        </w:pPr>
                        <w:r w:rsidRPr="00D44E2C">
                          <w:rPr>
                            <w:sz w:val="18"/>
                            <w:szCs w:val="18"/>
                          </w:rPr>
                          <w:t>Increase social support (peers, school, and family)</w:t>
                        </w:r>
                      </w:p>
                      <w:p w14:paraId="6C00660A" w14:textId="77777777" w:rsidR="00DE3537" w:rsidRPr="00D44E2C" w:rsidRDefault="00DE3537" w:rsidP="00DB5BA7">
                        <w:pPr>
                          <w:rPr>
                            <w:sz w:val="18"/>
                            <w:szCs w:val="18"/>
                          </w:rPr>
                        </w:pPr>
                        <w:r w:rsidRPr="00D44E2C">
                          <w:rPr>
                            <w:sz w:val="18"/>
                            <w:szCs w:val="18"/>
                          </w:rPr>
                          <w:t>Talking to parents about healthy lifestyles (children)</w:t>
                        </w:r>
                      </w:p>
                      <w:p w14:paraId="66578C09" w14:textId="77777777" w:rsidR="00DE3537" w:rsidRPr="00D44E2C" w:rsidRDefault="00DE3537" w:rsidP="00DB5BA7">
                        <w:pPr>
                          <w:rPr>
                            <w:sz w:val="18"/>
                            <w:szCs w:val="18"/>
                          </w:rPr>
                        </w:pPr>
                        <w:r w:rsidRPr="00D44E2C">
                          <w:rPr>
                            <w:sz w:val="18"/>
                            <w:szCs w:val="18"/>
                          </w:rPr>
                          <w:t>Reflect on snacking and physical activity behaviours (children and parents)</w:t>
                        </w:r>
                      </w:p>
                      <w:p w14:paraId="47A41F98" w14:textId="77777777" w:rsidR="00DE3537" w:rsidRPr="00D44E2C" w:rsidRDefault="00DE3537" w:rsidP="00DB5BA7">
                        <w:pPr>
                          <w:rPr>
                            <w:sz w:val="18"/>
                            <w:szCs w:val="18"/>
                          </w:rPr>
                        </w:pPr>
                      </w:p>
                      <w:p w14:paraId="7E5CDA63" w14:textId="77777777" w:rsidR="00DE3537" w:rsidRDefault="00DE3537" w:rsidP="00DB5BA7"/>
                      <w:p w14:paraId="4B3315CE" w14:textId="77777777" w:rsidR="00DE3537" w:rsidRDefault="00DE3537" w:rsidP="00DB5BA7"/>
                    </w:txbxContent>
                  </v:textbox>
                </v:shape>
                <v:shape id="Text Box 4" o:spid="_x0000_s1204" type="#_x0000_t202" style="position:absolute;left:10153;top:2018;width:1875;height:9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U6EMAA&#10;AADbAAAADwAAAGRycy9kb3ducmV2LnhtbERPz2vCMBS+C/4P4Q1203TiRGpTEcGy46obu741z6bY&#10;vJQm1va/Xw4Djx/f72w/2lYM1PvGsYK3ZQKCuHK64VrB1+W02ILwAVlj65gUTORhn89nGabaPbik&#10;4RxqEUPYp6jAhNClUvrKkEW/dB1x5K6utxgi7Gupe3zEcNvKVZJspMWGY4PBjo6Gqtv5bhW8+5/P&#10;9TD9NqbefheyGG25vhRKvb6Mhx2IQGN4iv/dH1rBKq6PX+IPkPk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U6EMAAAADbAAAADwAAAAAAAAAAAAAAAACYAgAAZHJzL2Rvd25y&#10;ZXYueG1sUEsFBgAAAAAEAAQA9QAAAIUDAAAAAA==&#10;" strokeweight="1.5pt">
                  <v:textbox>
                    <w:txbxContent>
                      <w:p w14:paraId="01D853D6" w14:textId="77777777" w:rsidR="00DE3537" w:rsidRPr="00D44E2C" w:rsidRDefault="00DE3537" w:rsidP="00DB5BA7">
                        <w:pPr>
                          <w:rPr>
                            <w:sz w:val="18"/>
                            <w:szCs w:val="18"/>
                          </w:rPr>
                        </w:pPr>
                        <w:r w:rsidRPr="00D44E2C">
                          <w:rPr>
                            <w:sz w:val="18"/>
                            <w:szCs w:val="18"/>
                          </w:rPr>
                          <w:t>Setting goals and self-monitoring (children)</w:t>
                        </w:r>
                      </w:p>
                      <w:p w14:paraId="6314DD9B" w14:textId="77777777" w:rsidR="00DE3537" w:rsidRPr="00D44E2C" w:rsidRDefault="00DE3537" w:rsidP="00DB5BA7">
                        <w:pPr>
                          <w:rPr>
                            <w:sz w:val="18"/>
                            <w:szCs w:val="18"/>
                          </w:rPr>
                        </w:pPr>
                        <w:r w:rsidRPr="00D44E2C">
                          <w:rPr>
                            <w:sz w:val="18"/>
                            <w:szCs w:val="18"/>
                          </w:rPr>
                          <w:t>Resisting temptation children (children)</w:t>
                        </w:r>
                      </w:p>
                      <w:p w14:paraId="32866B3D" w14:textId="77777777" w:rsidR="00DE3537" w:rsidRPr="00D44E2C" w:rsidRDefault="00DE3537" w:rsidP="00DB5BA7">
                        <w:pPr>
                          <w:rPr>
                            <w:sz w:val="18"/>
                            <w:szCs w:val="18"/>
                          </w:rPr>
                        </w:pPr>
                        <w:r w:rsidRPr="00D44E2C">
                          <w:rPr>
                            <w:sz w:val="18"/>
                            <w:szCs w:val="18"/>
                          </w:rPr>
                          <w:t>Buy healthy snacks and drinks and make them available (parents)</w:t>
                        </w:r>
                      </w:p>
                      <w:p w14:paraId="69CCCB2A" w14:textId="77777777" w:rsidR="00DE3537" w:rsidRPr="00D44E2C" w:rsidRDefault="00DE3537" w:rsidP="00DB5BA7">
                        <w:pPr>
                          <w:rPr>
                            <w:sz w:val="18"/>
                            <w:szCs w:val="18"/>
                          </w:rPr>
                        </w:pPr>
                        <w:r w:rsidRPr="00D44E2C">
                          <w:rPr>
                            <w:sz w:val="18"/>
                            <w:szCs w:val="18"/>
                          </w:rPr>
                          <w:t>Shopping, cooking and trying new healthy food (children)</w:t>
                        </w:r>
                      </w:p>
                      <w:p w14:paraId="709AF973" w14:textId="77777777" w:rsidR="00DE3537" w:rsidRPr="00D44E2C" w:rsidRDefault="00DE3537" w:rsidP="00DB5BA7">
                        <w:pPr>
                          <w:rPr>
                            <w:sz w:val="18"/>
                            <w:szCs w:val="18"/>
                          </w:rPr>
                        </w:pPr>
                        <w:r w:rsidRPr="00D44E2C">
                          <w:rPr>
                            <w:sz w:val="18"/>
                            <w:szCs w:val="18"/>
                          </w:rPr>
                          <w:t>Reinforce rules around screen time and around snacking (parents)</w:t>
                        </w:r>
                      </w:p>
                      <w:p w14:paraId="04609FE6" w14:textId="77777777" w:rsidR="00DE3537" w:rsidRPr="00D44E2C" w:rsidRDefault="00DE3537" w:rsidP="00DB5BA7">
                        <w:pPr>
                          <w:rPr>
                            <w:sz w:val="18"/>
                            <w:szCs w:val="18"/>
                          </w:rPr>
                        </w:pPr>
                        <w:r w:rsidRPr="00D44E2C">
                          <w:rPr>
                            <w:sz w:val="18"/>
                            <w:szCs w:val="18"/>
                          </w:rPr>
                          <w:t>Monitor child behaviours (parents)</w:t>
                        </w:r>
                      </w:p>
                      <w:p w14:paraId="09E2FC6C" w14:textId="77777777" w:rsidR="00DE3537" w:rsidRPr="00D44E2C" w:rsidRDefault="00DE3537" w:rsidP="00DB5BA7">
                        <w:pPr>
                          <w:rPr>
                            <w:sz w:val="18"/>
                            <w:szCs w:val="18"/>
                          </w:rPr>
                        </w:pPr>
                        <w:r w:rsidRPr="00D44E2C">
                          <w:rPr>
                            <w:sz w:val="18"/>
                            <w:szCs w:val="18"/>
                          </w:rPr>
                          <w:t>Adapt goals (children)</w:t>
                        </w:r>
                      </w:p>
                      <w:p w14:paraId="63FA61BF" w14:textId="77777777" w:rsidR="00DE3537" w:rsidRPr="00D44E2C" w:rsidRDefault="00DE3537" w:rsidP="00DB5BA7">
                        <w:pPr>
                          <w:rPr>
                            <w:sz w:val="18"/>
                            <w:szCs w:val="18"/>
                          </w:rPr>
                        </w:pPr>
                        <w:r w:rsidRPr="00D44E2C">
                          <w:rPr>
                            <w:sz w:val="18"/>
                            <w:szCs w:val="18"/>
                          </w:rPr>
                          <w:t>Reinforce behaviour change (teachers, head teacher)</w:t>
                        </w:r>
                      </w:p>
                    </w:txbxContent>
                  </v:textbox>
                </v:shape>
                <v:shape id="_x0000_s1205" type="#_x0000_t202" style="position:absolute;left:12421;top:2108;width:2003;height:9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mfi8EA&#10;AADbAAAADwAAAGRycy9kb3ducmV2LnhtbESPT4vCMBTE7wt+h/AEb2uqqEg1iggWj/7ZxeuzeTbF&#10;5qU0sdZvbxYWPA4z8xtmue5sJVpqfOlYwWiYgCDOnS65UPBz3n3PQfiArLFyTApe5GG96n0tMdXu&#10;yUdqT6EQEcI+RQUmhDqV0ueGLPqhq4mjd3ONxRBlU0jd4DPCbSXHSTKTFkuOCwZr2hrK76eHVTD1&#10;l8OkfV1LU8x/M5l19jg5Z0oN+t1mASJQFz7h//ZeKxiP4O9L/AF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Zn4vBAAAA2wAAAA8AAAAAAAAAAAAAAAAAmAIAAGRycy9kb3du&#10;cmV2LnhtbFBLBQYAAAAABAAEAPUAAACGAwAAAAA=&#10;" strokeweight="1.5pt">
                  <v:textbox>
                    <w:txbxContent>
                      <w:p w14:paraId="1784C42A" w14:textId="77777777" w:rsidR="00DE3537" w:rsidRPr="00D44E2C" w:rsidRDefault="00DE3537" w:rsidP="00DB5BA7">
                        <w:pPr>
                          <w:rPr>
                            <w:sz w:val="18"/>
                            <w:szCs w:val="18"/>
                          </w:rPr>
                        </w:pPr>
                        <w:r w:rsidRPr="00D44E2C">
                          <w:rPr>
                            <w:sz w:val="18"/>
                            <w:szCs w:val="18"/>
                          </w:rPr>
                          <w:t>Increase physical activity (children and family)</w:t>
                        </w:r>
                      </w:p>
                      <w:p w14:paraId="5B6648B0" w14:textId="77777777" w:rsidR="00DE3537" w:rsidRPr="00D44E2C" w:rsidRDefault="00DE3537" w:rsidP="00DB5BA7">
                        <w:pPr>
                          <w:rPr>
                            <w:sz w:val="18"/>
                            <w:szCs w:val="18"/>
                          </w:rPr>
                        </w:pPr>
                        <w:r w:rsidRPr="00D44E2C">
                          <w:rPr>
                            <w:sz w:val="18"/>
                            <w:szCs w:val="18"/>
                          </w:rPr>
                          <w:t>Decrease sedentary behaviours (children and family)</w:t>
                        </w:r>
                      </w:p>
                      <w:p w14:paraId="7DFF6213" w14:textId="77777777" w:rsidR="00DE3537" w:rsidRPr="00D44E2C" w:rsidRDefault="00DE3537" w:rsidP="00DB5BA7">
                        <w:pPr>
                          <w:rPr>
                            <w:sz w:val="18"/>
                            <w:szCs w:val="18"/>
                          </w:rPr>
                        </w:pPr>
                        <w:r w:rsidRPr="00D44E2C">
                          <w:rPr>
                            <w:sz w:val="18"/>
                            <w:szCs w:val="18"/>
                          </w:rPr>
                          <w:t>Maintenance of increased consumption of healthy snacks/positive food markers (children and family)</w:t>
                        </w:r>
                      </w:p>
                      <w:p w14:paraId="49626073" w14:textId="77777777" w:rsidR="00DE3537" w:rsidRPr="00D44E2C" w:rsidRDefault="00DE3537" w:rsidP="00DB5BA7">
                        <w:pPr>
                          <w:rPr>
                            <w:sz w:val="18"/>
                            <w:szCs w:val="18"/>
                          </w:rPr>
                        </w:pPr>
                        <w:r w:rsidRPr="00D44E2C">
                          <w:rPr>
                            <w:sz w:val="18"/>
                            <w:szCs w:val="18"/>
                          </w:rPr>
                          <w:t>Maintenance of decreased consumption of energy dense snacks/</w:t>
                        </w:r>
                        <w:r>
                          <w:rPr>
                            <w:sz w:val="18"/>
                            <w:szCs w:val="18"/>
                          </w:rPr>
                          <w:t>Negative Food Markers</w:t>
                        </w:r>
                        <w:r w:rsidRPr="00D44E2C">
                          <w:rPr>
                            <w:sz w:val="18"/>
                            <w:szCs w:val="18"/>
                          </w:rPr>
                          <w:t xml:space="preserve"> (children and family)</w:t>
                        </w:r>
                      </w:p>
                      <w:p w14:paraId="5E1AE4D5" w14:textId="77777777" w:rsidR="00DE3537" w:rsidRDefault="00DE3537" w:rsidP="00DB5BA7"/>
                      <w:p w14:paraId="48C99D0A" w14:textId="77777777" w:rsidR="00DE3537" w:rsidRDefault="00DE3537" w:rsidP="00DB5BA7"/>
                    </w:txbxContent>
                  </v:textbox>
                </v:shape>
                <v:shape id="_x0000_s1206" type="#_x0000_t202" style="position:absolute;left:14904;top:2069;width:1575;height:4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sB/MEA&#10;AADbAAAADwAAAGRycy9kb3ducmV2LnhtbESPT4vCMBTE7wt+h/AEb2tqUZGuUUSwePQvXt82b5uy&#10;zUtpYq3f3iwseBxm5jfMct3bWnTU+sqxgsk4AUFcOF1xqeBy3n0uQPiArLF2TAqe5GG9GnwsMdPu&#10;wUfqTqEUEcI+QwUmhCaT0heGLPqxa4ij9+NaiyHKtpS6xUeE21qmSTKXFiuOCwYb2hoqfk93q2Dm&#10;b4dp9/yuTLm45jLv7XF6zpUaDfvNF4hAfXiH/9t7rSBN4e9L/AF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LAfzBAAAA2wAAAA8AAAAAAAAAAAAAAAAAmAIAAGRycy9kb3du&#10;cmV2LnhtbFBLBQYAAAAABAAEAPUAAACGAwAAAAA=&#10;" strokeweight="1.5pt">
                  <v:textbox>
                    <w:txbxContent>
                      <w:p w14:paraId="799A646B" w14:textId="77777777" w:rsidR="00DE3537" w:rsidRPr="00D44E2C" w:rsidRDefault="00DE3537" w:rsidP="00DB5BA7">
                        <w:pPr>
                          <w:rPr>
                            <w:sz w:val="18"/>
                            <w:szCs w:val="18"/>
                          </w:rPr>
                        </w:pPr>
                        <w:r w:rsidRPr="00D44E2C">
                          <w:rPr>
                            <w:sz w:val="18"/>
                            <w:szCs w:val="18"/>
                          </w:rPr>
                          <w:t>Family leads a more healthy lifestyle generally</w:t>
                        </w:r>
                      </w:p>
                      <w:p w14:paraId="330B4A44" w14:textId="77777777" w:rsidR="00DE3537" w:rsidRPr="00D44E2C" w:rsidRDefault="00DE3537" w:rsidP="00DB5BA7">
                        <w:pPr>
                          <w:rPr>
                            <w:sz w:val="18"/>
                            <w:szCs w:val="18"/>
                          </w:rPr>
                        </w:pPr>
                        <w:r w:rsidRPr="00D44E2C">
                          <w:rPr>
                            <w:sz w:val="18"/>
                            <w:szCs w:val="18"/>
                          </w:rPr>
                          <w:t>Improved quality of life</w:t>
                        </w:r>
                      </w:p>
                      <w:p w14:paraId="532CF409" w14:textId="77777777" w:rsidR="00DE3537" w:rsidRPr="00D44E2C" w:rsidRDefault="00DE3537" w:rsidP="00DB5BA7">
                        <w:pPr>
                          <w:rPr>
                            <w:sz w:val="18"/>
                            <w:szCs w:val="18"/>
                          </w:rPr>
                        </w:pPr>
                        <w:r w:rsidRPr="00D44E2C">
                          <w:rPr>
                            <w:sz w:val="18"/>
                            <w:szCs w:val="18"/>
                          </w:rPr>
                          <w:t>Reduced incidence of obesity</w:t>
                        </w:r>
                      </w:p>
                    </w:txbxContent>
                  </v:textbox>
                </v:shape>
                <v:rect id="Rectangle 396" o:spid="_x0000_s1207" style="position:absolute;left:585;top:345;width:15988;height:148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7G7cIA&#10;AADbAAAADwAAAGRycy9kb3ducmV2LnhtbESPzWrDMBCE74W+g9hCb43cFEziRjZtqCG3ErcPsLXW&#10;P8RaGUv+e/uoEMhxmJlvmEO2mE5MNLjWsoLXTQSCuLS65VrB70/+sgPhPLLGzjIpWMlBlj4+HDDR&#10;duYzTYWvRYCwS1BB432fSOnKhgy6je2Jg1fZwaAPcqilHnAOcNPJbRTF0mDLYaHBno4NlZdiNArG&#10;z+8v76pLEf/ltVzztdof95VSz0/LxzsIT4u/h2/tk1awfYP/L+EHyPQ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sbtwgAAANsAAAAPAAAAAAAAAAAAAAAAAJgCAABkcnMvZG93&#10;bnJldi54bWxQSwUGAAAAAAQABAD1AAAAhwMAAAAA&#10;" strokecolor="#7f7f7f" strokeweight="1.5pt">
                  <v:shadow on="t" type="perspective" color="black" opacity="26213f" origin="-.5,-.5" offset=".74836mm,.74836mm" matrix="65864f,,,65864f"/>
                  <v:textbox inset="21.6pt,21.6pt,21.6pt,21.6pt">
                    <w:txbxContent>
                      <w:p w14:paraId="7E9AD53B" w14:textId="77777777" w:rsidR="00DE3537" w:rsidRDefault="00DE3537" w:rsidP="00DB5BA7">
                        <w:pPr>
                          <w:rPr>
                            <w:color w:val="4F81BD" w:themeColor="accent1"/>
                            <w:sz w:val="20"/>
                            <w:szCs w:val="20"/>
                          </w:rPr>
                        </w:pPr>
                        <w:r>
                          <w:rPr>
                            <w:b/>
                            <w:sz w:val="28"/>
                            <w:szCs w:val="28"/>
                          </w:rPr>
                          <w:t>R</w:t>
                        </w:r>
                        <w:r w:rsidRPr="00E9322E">
                          <w:rPr>
                            <w:b/>
                            <w:sz w:val="28"/>
                            <w:szCs w:val="28"/>
                          </w:rPr>
                          <w:t>esources</w:t>
                        </w:r>
                        <w:r w:rsidRPr="00E9322E">
                          <w:rPr>
                            <w:b/>
                            <w:sz w:val="28"/>
                            <w:szCs w:val="28"/>
                          </w:rPr>
                          <w:tab/>
                        </w:r>
                        <w:r>
                          <w:rPr>
                            <w:b/>
                            <w:sz w:val="28"/>
                            <w:szCs w:val="28"/>
                          </w:rPr>
                          <w:tab/>
                        </w:r>
                        <w:r w:rsidRPr="00E9322E">
                          <w:rPr>
                            <w:b/>
                            <w:sz w:val="28"/>
                            <w:szCs w:val="28"/>
                          </w:rPr>
                          <w:t>A</w:t>
                        </w:r>
                        <w:r>
                          <w:rPr>
                            <w:b/>
                            <w:sz w:val="28"/>
                            <w:szCs w:val="28"/>
                          </w:rPr>
                          <w:t>ctivities</w:t>
                        </w:r>
                        <w:r>
                          <w:rPr>
                            <w:b/>
                            <w:sz w:val="28"/>
                            <w:szCs w:val="28"/>
                          </w:rPr>
                          <w:tab/>
                        </w:r>
                        <w:r>
                          <w:rPr>
                            <w:b/>
                            <w:sz w:val="28"/>
                            <w:szCs w:val="28"/>
                          </w:rPr>
                          <w:tab/>
                          <w:t>Short term outcomes</w:t>
                        </w:r>
                        <w:r>
                          <w:rPr>
                            <w:b/>
                            <w:sz w:val="28"/>
                            <w:szCs w:val="28"/>
                          </w:rPr>
                          <w:tab/>
                        </w:r>
                        <w:r w:rsidRPr="00E9322E">
                          <w:rPr>
                            <w:b/>
                            <w:sz w:val="28"/>
                            <w:szCs w:val="28"/>
                          </w:rPr>
                          <w:t>Medium term outcomes</w:t>
                        </w:r>
                        <w:r w:rsidRPr="00E9322E">
                          <w:rPr>
                            <w:b/>
                            <w:sz w:val="28"/>
                            <w:szCs w:val="28"/>
                          </w:rPr>
                          <w:tab/>
                        </w:r>
                        <w:r w:rsidRPr="00E9322E">
                          <w:rPr>
                            <w:b/>
                            <w:sz w:val="28"/>
                            <w:szCs w:val="28"/>
                          </w:rPr>
                          <w:tab/>
                        </w:r>
                        <w:r>
                          <w:rPr>
                            <w:b/>
                            <w:sz w:val="28"/>
                            <w:szCs w:val="28"/>
                          </w:rPr>
                          <w:t xml:space="preserve">    </w:t>
                        </w:r>
                        <w:r w:rsidRPr="00E9322E">
                          <w:rPr>
                            <w:b/>
                            <w:sz w:val="28"/>
                            <w:szCs w:val="28"/>
                          </w:rPr>
                          <w:t>Long term outcomes</w:t>
                        </w:r>
                      </w:p>
                    </w:txbxContent>
                  </v:textbox>
                </v:rect>
                <v:shape id="Straight Arrow Connector 8" o:spid="_x0000_s1208" type="#_x0000_t32" style="position:absolute;left:2670;top:4552;width:39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5RcUAAADbAAAADwAAAGRycy9kb3ducmV2LnhtbESP3WrCQBSE74W+w3IK3tWN8YcaXaVV&#10;FPFCqPoAh+xpkpo9G7KrSd7eFQpeDjPzDbNYtaYUd6pdYVnBcBCBIE6tLjhTcDlvPz5BOI+ssbRM&#10;CjpysFq+9RaYaNvwD91PPhMBwi5BBbn3VSKlS3My6Aa2Ig7er60N+iDrTOoamwA3pYyjaCoNFhwW&#10;cqxonVN6Pd2MgnP3Pd4cJqO/TdONLpPjbBdn651S/ff2aw7CU+tf4f/2XiuIx/D8En6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5RcUAAADbAAAADwAAAAAAAAAA&#10;AAAAAAChAgAAZHJzL2Rvd25yZXYueG1sUEsFBgAAAAAEAAQA+QAAAJMDAAAAAA==&#10;" strokecolor="#457ab9" strokeweight="1.5pt">
                  <v:stroke endarrow="open"/>
                </v:shape>
                <v:shape id="Straight Arrow Connector 9" o:spid="_x0000_s1209" type="#_x0000_t32" style="position:absolute;left:4845;top:4522;width:4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5rXsMAAADbAAAADwAAAGRycy9kb3ducmV2LnhtbESP3WoCMRSE7wXfIRyhd5qtRdmuRikF&#10;YaUI/vQBDslxs3RzsmxS3fr0piB4OczMN8xy3btGXKgLtWcFr5MMBLH2puZKwfdpM85BhIhssPFM&#10;Cv4owHo1HCyxMP7KB7ocYyUShEOBCmyMbSFl0JYcholviZN39p3DmGRXSdPhNcFdI6dZNpcOa04L&#10;Flv6tKR/jr9OQb7d7sr9XOtbvsns+8z5ty9dKvUy6j8WICL18Rl+tEujYDqD/y/pB8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ua17DAAAA2wAAAA8AAAAAAAAAAAAA&#10;AAAAoQIAAGRycy9kb3ducmV2LnhtbFBLBQYAAAAABAAEAPkAAACRAwAAAAA=&#10;" strokecolor="#4a7ebb" strokeweight="1.5pt">
                  <v:stroke endarrow="open"/>
                </v:shape>
                <v:shape id="Straight Arrow Connector 10" o:spid="_x0000_s1210" type="#_x0000_t32" style="position:absolute;left:7200;top:4972;width:5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2xN8QAAADbAAAADwAAAGRycy9kb3ducmV2LnhtbESPQWvCQBSE70L/w/IKvdVNI4Q2dQ22&#10;IEhvRsEen9nXbDD7Ns2uMe2vdwXB4zAz3zDzYrStGKj3jWMFL9MEBHHldMO1gt129fwKwgdkja1j&#10;UvBHHorFw2SOuXZn3tBQhlpECPscFZgQulxKXxmy6KeuI47ej+sthij7WuoezxFuW5kmSSYtNhwX&#10;DHb0aag6lieroHxLv7rsEAxmv9//h6be7GfJh1JPj+PyHUSgMdzDt/ZaK0gzuH6JP0Au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DbE3xAAAANsAAAAPAAAAAAAAAAAA&#10;AAAAAKECAABkcnMvZG93bnJldi54bWxQSwUGAAAAAAQABAD5AAAAkgMAAAAA&#10;" strokecolor="#457ab9" strokeweight="1.5pt">
                  <v:stroke startarrow="open" endarrow="open"/>
                </v:shape>
                <v:shape id="Straight Arrow Connector 11" o:spid="_x0000_s1211" type="#_x0000_t32" style="position:absolute;left:9630;top:5092;width:5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n68MYAAADbAAAADwAAAGRycy9kb3ducmV2LnhtbESPT2vCQBTE74V+h+UVequb5KAldRNE&#10;UUSwUP9Ae3vNPpNo9m3IbmP67bsFweMwM79hpvlgGtFT52rLCuJRBIK4sLrmUsFhv3x5BeE8ssbG&#10;Min4JQd59vgwxVTbK39Qv/OlCBB2KSqovG9TKV1RkUE3si1x8E62M+iD7EqpO7wGuGlkEkVjabDm&#10;sFBhS/OKisvuxyjo468kXm2/D+fP8eZYbNr9+0IulHp+GmZvIDwN/h6+tddaQTKB/y/hB8j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J+vDGAAAA2wAAAA8AAAAAAAAA&#10;AAAAAAAAoQIAAGRycy9kb3ducmV2LnhtbFBLBQYAAAAABAAEAPkAAACUAwAAAAA=&#10;" strokecolor="#4a7ebb" strokeweight="1.5pt">
                  <v:stroke startarrow="open" endarrow="open"/>
                </v:shape>
                <v:shape id="Straight Arrow Connector 12" o:spid="_x0000_s1212" type="#_x0000_t32" style="position:absolute;left:11986;top:5555;width:4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ZugsMAAADbAAAADwAAAGRycy9kb3ducmV2LnhtbERPTWvCQBC9C/0PyxR6M5vkIJK6Sqm0&#10;FKGCJoX2NmbHJG12NmS3Sfz37kHw+Hjfq81kWjFQ7xrLCpIoBkFcWt1wpaDI3+ZLEM4ja2wtk4IL&#10;OdisH2YrzLQd+UDD0VcihLDLUEHtfZdJ6cqaDLrIdsSBO9veoA+wr6TucQzhppVpHC+kwYZDQ40d&#10;vdZU/h3/jYIh+UmT989T8fu92H2Vuy7fb+VWqafH6eUZhKfJ38U394dWkIax4Uv4AXJ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WboLDAAAA2wAAAA8AAAAAAAAAAAAA&#10;AAAAoQIAAGRycy9kb3ducmV2LnhtbFBLBQYAAAAABAAEAPkAAACRAwAAAAA=&#10;" strokecolor="#4a7ebb" strokeweight="1.5pt">
                  <v:stroke startarrow="open" endarrow="open"/>
                </v:shape>
                <v:shape id="Straight Arrow Connector 14" o:spid="_x0000_s1213" type="#_x0000_t32" style="position:absolute;left:14424;top:4666;width: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IADMEAAADbAAAADwAAAGRycy9kb3ducmV2LnhtbESPQYvCMBSE7wv+h/AEb2tqD6LVKIui&#10;CJ6s/oBn87btbvNSm1jbf28EweMwM98wy3VnKtFS40rLCibjCARxZnXJuYLLefc9A+E8ssbKMino&#10;ycF6NfhaYqLtg0/Upj4XAcIuQQWF93UipcsKMujGtiYO3q9tDPogm1zqBh8BbioZR9FUGiw5LBRY&#10;06ag7D+9GwVHPt5tW//5/lal167c7vu5jZUaDbufBQhPnf+E3+2DVhDP4fUl/AC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IgAMwQAAANsAAAAPAAAAAAAAAAAAAAAA&#10;AKECAABkcnMvZG93bnJldi54bWxQSwUGAAAAAAQABAD5AAAAjwMAAAAA&#10;" strokecolor="#457ab9" strokeweight="1.5pt">
                  <v:stroke endarrow="open"/>
                </v:shape>
              </v:group>
            </w:pict>
          </mc:Fallback>
        </mc:AlternateContent>
      </w:r>
      <w:r w:rsidR="00796D98" w:rsidRPr="00296D0C">
        <w:rPr>
          <w:b/>
          <w:noProof/>
          <w:lang w:eastAsia="zh-CN"/>
        </w:rPr>
        <mc:AlternateContent>
          <mc:Choice Requires="wps">
            <w:drawing>
              <wp:anchor distT="45720" distB="45720" distL="114300" distR="114300" simplePos="0" relativeHeight="251642880" behindDoc="0" locked="0" layoutInCell="1" allowOverlap="1" wp14:anchorId="64BBA669" wp14:editId="6CA0947D">
                <wp:simplePos x="0" y="0"/>
                <wp:positionH relativeFrom="column">
                  <wp:posOffset>-143510</wp:posOffset>
                </wp:positionH>
                <wp:positionV relativeFrom="paragraph">
                  <wp:posOffset>-428625</wp:posOffset>
                </wp:positionV>
                <wp:extent cx="5076825" cy="257175"/>
                <wp:effectExtent l="0" t="0" r="9525" b="9525"/>
                <wp:wrapSquare wrapText="bothSides"/>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257175"/>
                        </a:xfrm>
                        <a:prstGeom prst="rect">
                          <a:avLst/>
                        </a:prstGeom>
                        <a:solidFill>
                          <a:srgbClr val="FFFFFF"/>
                        </a:solidFill>
                        <a:ln w="9525">
                          <a:noFill/>
                          <a:miter lim="800000"/>
                          <a:headEnd/>
                          <a:tailEnd/>
                        </a:ln>
                      </wps:spPr>
                      <wps:txbx>
                        <w:txbxContent>
                          <w:p w14:paraId="310373BC" w14:textId="4A5CD1CC" w:rsidR="00DE3537" w:rsidRPr="00796D98" w:rsidRDefault="00DE3537">
                            <w:pPr>
                              <w:rPr>
                                <w:b/>
                              </w:rPr>
                            </w:pPr>
                            <w:r w:rsidRPr="005257EF">
                              <w:rPr>
                                <w:b/>
                              </w:rPr>
                              <w:t>F</w:t>
                            </w:r>
                            <w:r>
                              <w:rPr>
                                <w:b/>
                              </w:rPr>
                              <w:t>IGURE</w:t>
                            </w:r>
                            <w:r w:rsidRPr="005257EF">
                              <w:rPr>
                                <w:b/>
                              </w:rPr>
                              <w:t xml:space="preserve"> 8 The logic model for the Healthy Lifestyles Programme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BA669" id="_x0000_s1214" type="#_x0000_t202" style="position:absolute;margin-left:-11.3pt;margin-top:-33.75pt;width:399.75pt;height:20.25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" stroked="f">
                <v:textbox>
                  <w:txbxContent>
                    <w:p w14:paraId="310373BC" w14:textId="4A5CD1CC" w:rsidR="00DE3537" w:rsidRPr="00796D98" w:rsidRDefault="00DE3537">
                      <w:pPr>
                        <w:rPr>
                          <w:b/>
                        </w:rPr>
                      </w:pPr>
                      <w:r w:rsidRPr="005257EF">
                        <w:rPr>
                          <w:b/>
                        </w:rPr>
                        <w:t>F</w:t>
                      </w:r>
                      <w:r>
                        <w:rPr>
                          <w:b/>
                        </w:rPr>
                        <w:t>IGURE</w:t>
                      </w:r>
                      <w:r w:rsidRPr="005257EF">
                        <w:rPr>
                          <w:b/>
                        </w:rPr>
                        <w:t xml:space="preserve"> 8 The logic model for the Healthy Lifestyles Programme</w:t>
                      </w:r>
                    </w:p>
                  </w:txbxContent>
                </v:textbox>
                <w10:wrap type="square"/>
              </v:shape>
            </w:pict>
          </mc:Fallback>
        </mc:AlternateContent>
      </w:r>
    </w:p>
    <w:p w14:paraId="5CD9C85F" w14:textId="77777777" w:rsidR="00DB5BA7" w:rsidRPr="00296D0C" w:rsidRDefault="00DB5BA7" w:rsidP="00DB5BA7">
      <w:pPr>
        <w:rPr>
          <w:b/>
        </w:rPr>
      </w:pPr>
    </w:p>
    <w:p w14:paraId="29E8CE2A" w14:textId="77777777" w:rsidR="00DB5BA7" w:rsidRPr="00296D0C" w:rsidRDefault="00DB5BA7" w:rsidP="00DB5BA7">
      <w:r w:rsidRPr="00296D0C">
        <w:br w:type="page"/>
      </w:r>
    </w:p>
    <w:p w14:paraId="6339D914" w14:textId="77777777" w:rsidR="00DB5BA7" w:rsidRPr="00296D0C" w:rsidRDefault="00DB5BA7" w:rsidP="00DB5BA7">
      <w:pPr>
        <w:spacing w:after="0" w:line="360" w:lineRule="auto"/>
        <w:sectPr w:rsidR="00DB5BA7" w:rsidRPr="00296D0C" w:rsidSect="0021085E">
          <w:pgSz w:w="16838" w:h="11906" w:orient="landscape"/>
          <w:pgMar w:top="1440" w:right="1440" w:bottom="1440" w:left="1440" w:header="709" w:footer="709" w:gutter="0"/>
          <w:cols w:space="708"/>
          <w:docGrid w:linePitch="360"/>
        </w:sectPr>
      </w:pPr>
    </w:p>
    <w:p w14:paraId="3D49BA78" w14:textId="76B48A32" w:rsidR="00DB5BA7" w:rsidRPr="00296D0C" w:rsidRDefault="00DB5BA7" w:rsidP="00DB5BA7">
      <w:pPr>
        <w:spacing w:after="0" w:line="360" w:lineRule="auto"/>
      </w:pPr>
      <w:r w:rsidRPr="00296D0C">
        <w:lastRenderedPageBreak/>
        <w:t xml:space="preserve">The process evaluation explored whether the intervention worked in the way it was expected to by carrying out a thematic analysis </w:t>
      </w:r>
      <w:r w:rsidR="00A77DAF" w:rsidRPr="00296D0C">
        <w:fldChar w:fldCharType="begin"/>
      </w:r>
      <w:r w:rsidR="008C43BF">
        <w:instrText xml:space="preserve"> ADDIN EN.CITE &lt;EndNote&gt;&lt;Cite&gt;&lt;Author&gt;Braun&lt;/Author&gt;&lt;Year&gt;2006&lt;/Year&gt;&lt;RecNum&gt;5590&lt;/RecNum&gt;&lt;DisplayText&gt;&lt;style face="superscript"&gt;123&lt;/style&gt;&lt;/DisplayText&gt;&lt;record&gt;&lt;rec-number&gt;5590&lt;/rec-number&gt;&lt;foreign-keys&gt;&lt;key app="EN" db-id="2ewa9rrvjsdsawep2vpx5x97eedzzvxx5rta" timestamp="1452091158"&gt;5590&lt;/key&gt;&lt;/foreign-keys&gt;&lt;ref-type name="Journal Article"&gt;17&lt;/ref-type&gt;&lt;contributors&gt;&lt;authors&gt;&lt;author&gt;Braun, Virginia&lt;/author&gt;&lt;author&gt;Clarke, Victoria&lt;/author&gt;&lt;/authors&gt;&lt;/contributors&gt;&lt;titles&gt;&lt;title&gt;Using thematic analysis in psychology&lt;/title&gt;&lt;secondary-title&gt;Qualitative research in psychology&lt;/secondary-title&gt;&lt;/titles&gt;&lt;pages&gt;77-101&lt;/pages&gt;&lt;volume&gt;3&lt;/volume&gt;&lt;number&gt;2&lt;/number&gt;&lt;dates&gt;&lt;year&gt;2006&lt;/year&gt;&lt;/dates&gt;&lt;isbn&gt;1478-0887&lt;/isbn&gt;&lt;urls&gt;&lt;/urls&gt;&lt;/record&gt;&lt;/Cite&gt;&lt;/EndNote&gt;</w:instrText>
      </w:r>
      <w:r w:rsidR="00A77DAF" w:rsidRPr="00296D0C">
        <w:fldChar w:fldCharType="separate"/>
      </w:r>
      <w:r w:rsidR="008C43BF" w:rsidRPr="008C43BF">
        <w:rPr>
          <w:noProof/>
          <w:vertAlign w:val="superscript"/>
        </w:rPr>
        <w:t>123</w:t>
      </w:r>
      <w:r w:rsidR="00A77DAF" w:rsidRPr="00296D0C">
        <w:fldChar w:fldCharType="end"/>
      </w:r>
      <w:r w:rsidRPr="00296D0C">
        <w:t xml:space="preserve"> using a Framework approach</w:t>
      </w:r>
      <w:r w:rsidR="00A77DAF" w:rsidRPr="00296D0C">
        <w:t xml:space="preserve"> </w:t>
      </w:r>
      <w:r w:rsidR="00A77DAF" w:rsidRPr="00296D0C">
        <w:fldChar w:fldCharType="begin"/>
      </w:r>
      <w:r w:rsidR="008C43BF">
        <w:instrText xml:space="preserve"> ADDIN EN.CITE &lt;EndNote&gt;&lt;Cite&gt;&lt;Author&gt;Richie&lt;/Author&gt;&lt;Year&gt;1994&lt;/Year&gt;&lt;RecNum&gt;5634&lt;/RecNum&gt;&lt;DisplayText&gt;&lt;style face="superscript"&gt;124&lt;/style&gt;&lt;/DisplayText&gt;&lt;record&gt;&lt;rec-number&gt;5634&lt;/rec-number&gt;&lt;foreign-keys&gt;&lt;key app="EN" db-id="2ewa9rrvjsdsawep2vpx5x97eedzzvxx5rta" timestamp="1452091158"&gt;5634&lt;/key&gt;&lt;/foreign-keys&gt;&lt;ref-type name="Book Section"&gt;5&lt;/ref-type&gt;&lt;contributors&gt;&lt;authors&gt;&lt;author&gt;Richie, J&lt;/author&gt;&lt;author&gt;Spencer, L&lt;/author&gt;&lt;/authors&gt;&lt;secondary-authors&gt;&lt;author&gt;Bryman&lt;/author&gt;&lt;author&gt;Burgess&lt;/author&gt;&lt;/secondary-authors&gt;&lt;/contributors&gt;&lt;titles&gt;&lt;title&gt;Qualitative data analysis for applied policy research&lt;/title&gt;&lt;secondary-title&gt;Analysing Qualitative Data, &lt;/secondary-title&gt;&lt;/titles&gt;&lt;pages&gt;173-194&lt;/pages&gt;&lt;dates&gt;&lt;year&gt;1994&lt;/year&gt;&lt;/dates&gt;&lt;pub-location&gt;London&lt;/pub-location&gt;&lt;publisher&gt;Routledge&lt;/publisher&gt;&lt;urls&gt;&lt;/urls&gt;&lt;/record&gt;&lt;/Cite&gt;&lt;/EndNote&gt;</w:instrText>
      </w:r>
      <w:r w:rsidR="00A77DAF" w:rsidRPr="00296D0C">
        <w:fldChar w:fldCharType="separate"/>
      </w:r>
      <w:r w:rsidR="008C43BF" w:rsidRPr="008C43BF">
        <w:rPr>
          <w:noProof/>
          <w:vertAlign w:val="superscript"/>
        </w:rPr>
        <w:t>124</w:t>
      </w:r>
      <w:r w:rsidR="00A77DAF" w:rsidRPr="00296D0C">
        <w:fldChar w:fldCharType="end"/>
      </w:r>
      <w:r w:rsidR="00A77DAF" w:rsidRPr="00296D0C">
        <w:t xml:space="preserve"> </w:t>
      </w:r>
      <w:r w:rsidRPr="00296D0C">
        <w:t>of the qualitative data collected from focus groups with children and interviews with teachers and parents as w</w:t>
      </w:r>
      <w:r w:rsidR="007E540F" w:rsidRPr="00296D0C">
        <w:t>ell as a mediation</w:t>
      </w:r>
      <w:r w:rsidRPr="00296D0C">
        <w:t xml:space="preserve"> analysis </w:t>
      </w:r>
      <w:r w:rsidR="007F480C" w:rsidRPr="00296D0C">
        <w:fldChar w:fldCharType="begin"/>
      </w:r>
      <w:r w:rsidR="008C43BF">
        <w:instrText xml:space="preserve"> ADDIN EN.CITE &lt;EndNote&gt;&lt;Cite&gt;&lt;Author&gt;Baron&lt;/Author&gt;&lt;Year&gt;1986&lt;/Year&gt;&lt;RecNum&gt;5790&lt;/RecNum&gt;&lt;DisplayText&gt;&lt;style face="superscript"&gt;125&lt;/style&gt;&lt;/DisplayText&gt;&lt;record&gt;&lt;rec-number&gt;5790&lt;/rec-number&gt;&lt;foreign-keys&gt;&lt;key app="EN" db-id="2ewa9rrvjsdsawep2vpx5x97eedzzvxx5rta" timestamp="1478767347"&gt;5790&lt;/key&gt;&lt;/foreign-keys&gt;&lt;ref-type name="Journal Article"&gt;17&lt;/ref-type&gt;&lt;contributors&gt;&lt;authors&gt;&lt;author&gt;Baron, R. M.&lt;/author&gt;&lt;author&gt;Kenny, D. A.&lt;/author&gt;&lt;/authors&gt;&lt;/contributors&gt;&lt;titles&gt;&lt;title&gt;The moderator-mediator variable distinction in social psychological research: conceptual, strategic, and statistical considerations&lt;/title&gt;&lt;secondary-title&gt;J Pers Soc Psychol&lt;/secondary-title&gt;&lt;/titles&gt;&lt;periodical&gt;&lt;full-title&gt;Journal of Personality and Social Psychology&lt;/full-title&gt;&lt;abbr-1&gt;J. Pers. Soc. Psychol.&lt;/abbr-1&gt;&lt;abbr-2&gt;J Pers Soc Psychol&lt;/abbr-2&gt;&lt;abbr-3&gt;Journal of Personality &amp;amp; Social Psychology&lt;/abbr-3&gt;&lt;/periodical&gt;&lt;pages&gt;1173-82&lt;/pages&gt;&lt;volume&gt;51&lt;/volume&gt;&lt;number&gt;6&lt;/number&gt;&lt;keywords&gt;&lt;keyword&gt;Attitude&lt;/keyword&gt;&lt;keyword&gt;Behavior&lt;/keyword&gt;&lt;keyword&gt;Humans&lt;/keyword&gt;&lt;keyword&gt;*Models, Psychological&lt;/keyword&gt;&lt;keyword&gt;Personality&lt;/keyword&gt;&lt;keyword&gt;*Psychology, Social&lt;/keyword&gt;&lt;keyword&gt;Research&lt;/keyword&gt;&lt;keyword&gt;Statistics as Topic&lt;/keyword&gt;&lt;/keywords&gt;&lt;dates&gt;&lt;year&gt;1986&lt;/year&gt;&lt;pub-dates&gt;&lt;date&gt;Dec&lt;/date&gt;&lt;/pub-dates&gt;&lt;/dates&gt;&lt;isbn&gt;0022-3514 (Print)&amp;#xD;0022-3514 (Linking)&lt;/isbn&gt;&lt;accession-num&gt;3806354&lt;/accession-num&gt;&lt;urls&gt;&lt;related-urls&gt;&lt;url&gt;https://www.ncbi.nlm.nih.gov/pubmed/3806354&lt;/url&gt;&lt;/related-urls&gt;&lt;/urls&gt;&lt;/record&gt;&lt;/Cite&gt;&lt;/EndNote&gt;</w:instrText>
      </w:r>
      <w:r w:rsidR="007F480C" w:rsidRPr="00296D0C">
        <w:fldChar w:fldCharType="separate"/>
      </w:r>
      <w:r w:rsidR="008C43BF" w:rsidRPr="008C43BF">
        <w:rPr>
          <w:noProof/>
          <w:vertAlign w:val="superscript"/>
        </w:rPr>
        <w:t>125</w:t>
      </w:r>
      <w:r w:rsidR="007F480C" w:rsidRPr="00296D0C">
        <w:fldChar w:fldCharType="end"/>
      </w:r>
      <w:r w:rsidRPr="00296D0C">
        <w:t xml:space="preserve"> using Structural Equation Modelling</w:t>
      </w:r>
      <w:r w:rsidR="00CA73F3" w:rsidRPr="00296D0C">
        <w:t xml:space="preserve"> </w:t>
      </w:r>
      <w:r w:rsidRPr="00296D0C">
        <w:t xml:space="preserve"> </w:t>
      </w:r>
      <w:r w:rsidR="007F480C" w:rsidRPr="00296D0C">
        <w:fldChar w:fldCharType="begin"/>
      </w:r>
      <w:r w:rsidR="008C43BF">
        <w:instrText xml:space="preserve"> ADDIN EN.CITE &lt;EndNote&gt;&lt;Cite&gt;&lt;Author&gt;Cole&lt;/Author&gt;&lt;Year&gt;2003&lt;/Year&gt;&lt;RecNum&gt;5791&lt;/RecNum&gt;&lt;DisplayText&gt;&lt;style face="superscript"&gt;126&lt;/style&gt;&lt;/DisplayText&gt;&lt;record&gt;&lt;rec-number&gt;5791&lt;/rec-number&gt;&lt;foreign-keys&gt;&lt;key app="EN" db-id="2ewa9rrvjsdsawep2vpx5x97eedzzvxx5rta" timestamp="1478767473"&gt;5791&lt;/key&gt;&lt;/foreign-keys&gt;&lt;ref-type name="Journal Article"&gt;17&lt;/ref-type&gt;&lt;contributors&gt;&lt;authors&gt;&lt;author&gt;Cole, D. A.&lt;/author&gt;&lt;author&gt;Maxwell, S. E.&lt;/author&gt;&lt;/authors&gt;&lt;/contributors&gt;&lt;auth-address&gt;Psychology and Human Development, Vanderbilt University, Nashville, TN 37203, USA. david.cole@vanderbilt.edu&lt;/auth-address&gt;&lt;titles&gt;&lt;title&gt;Testing mediational models with longitudinal data: questions and tips in the use of structural equation modeling&lt;/title&gt;&lt;secondary-title&gt;J Abnorm Psychol&lt;/secondary-title&gt;&lt;/titles&gt;&lt;periodical&gt;&lt;full-title&gt;Journal of Abnormal Psychology&lt;/full-title&gt;&lt;abbr-1&gt;J. Abnorm. Psychol.&lt;/abbr-1&gt;&lt;abbr-2&gt;J Abnorm Psychol&lt;/abbr-2&gt;&lt;/periodical&gt;&lt;pages&gt;558-77&lt;/pages&gt;&lt;volume&gt;112&lt;/volume&gt;&lt;number&gt;4&lt;/number&gt;&lt;keywords&gt;&lt;keyword&gt;Cross-Sectional Studies&lt;/keyword&gt;&lt;keyword&gt;Data Collection/statistics &amp;amp; numerical data&lt;/keyword&gt;&lt;keyword&gt;Humans&lt;/keyword&gt;&lt;keyword&gt;*Longitudinal Studies&lt;/keyword&gt;&lt;keyword&gt;*Models, Statistical&lt;/keyword&gt;&lt;keyword&gt;Psychometrics/*statistics &amp;amp; numerical data&lt;/keyword&gt;&lt;keyword&gt;Psychopathology/*statistics &amp;amp; numerical data&lt;/keyword&gt;&lt;keyword&gt;Reproducibility of Results&lt;/keyword&gt;&lt;/keywords&gt;&lt;dates&gt;&lt;year&gt;2003&lt;/year&gt;&lt;pub-dates&gt;&lt;date&gt;Nov&lt;/date&gt;&lt;/pub-dates&gt;&lt;/dates&gt;&lt;isbn&gt;0021-843X (Print)&amp;#xD;0021-843X (Linking)&lt;/isbn&gt;&lt;accession-num&gt;14674869&lt;/accession-num&gt;&lt;urls&gt;&lt;related-urls&gt;&lt;url&gt;https://www.ncbi.nlm.nih.gov/pubmed/14674869&lt;/url&gt;&lt;/related-urls&gt;&lt;/urls&gt;&lt;electronic-resource-num&gt;10.1037/0021-843X.112.4.558&lt;/electronic-resource-num&gt;&lt;/record&gt;&lt;/Cite&gt;&lt;/EndNote&gt;</w:instrText>
      </w:r>
      <w:r w:rsidR="007F480C" w:rsidRPr="00296D0C">
        <w:fldChar w:fldCharType="separate"/>
      </w:r>
      <w:r w:rsidR="008C43BF" w:rsidRPr="008C43BF">
        <w:rPr>
          <w:noProof/>
          <w:vertAlign w:val="superscript"/>
        </w:rPr>
        <w:t>126</w:t>
      </w:r>
      <w:r w:rsidR="007F480C" w:rsidRPr="00296D0C">
        <w:fldChar w:fldCharType="end"/>
      </w:r>
      <w:r w:rsidR="007F480C" w:rsidRPr="00296D0C">
        <w:t xml:space="preserve"> </w:t>
      </w:r>
      <w:r w:rsidRPr="00296D0C">
        <w:t>with the MLQ data from both the intervention and the control groups.</w:t>
      </w:r>
    </w:p>
    <w:p w14:paraId="50835E24" w14:textId="197F63CC" w:rsidR="00DB5BA7" w:rsidRPr="00296D0C" w:rsidRDefault="00A00706" w:rsidP="00F21C70">
      <w:pPr>
        <w:keepNext/>
        <w:keepLines/>
        <w:spacing w:before="200" w:after="0" w:line="360" w:lineRule="auto"/>
        <w:outlineLvl w:val="2"/>
        <w:rPr>
          <w:rFonts w:eastAsiaTheme="majorEastAsia" w:cs="Times New Roman"/>
          <w:b/>
          <w:bCs/>
        </w:rPr>
      </w:pPr>
      <w:bookmarkStart w:id="554" w:name="_Toc466710110"/>
      <w:bookmarkStart w:id="555" w:name="_Toc466711458"/>
      <w:bookmarkStart w:id="556" w:name="_Toc466712117"/>
      <w:bookmarkStart w:id="557" w:name="_Toc475974385"/>
      <w:r w:rsidRPr="00296D0C">
        <w:rPr>
          <w:rFonts w:eastAsiaTheme="majorEastAsia" w:cs="Times New Roman"/>
          <w:b/>
          <w:bCs/>
        </w:rPr>
        <w:t>5.</w:t>
      </w:r>
      <w:r w:rsidR="00F21C70" w:rsidRPr="00296D0C">
        <w:rPr>
          <w:rFonts w:eastAsiaTheme="majorEastAsia" w:cs="Times New Roman"/>
          <w:b/>
          <w:bCs/>
        </w:rPr>
        <w:t>1.4</w:t>
      </w:r>
      <w:r w:rsidRPr="00296D0C">
        <w:rPr>
          <w:rFonts w:eastAsiaTheme="majorEastAsia" w:cs="Times New Roman"/>
          <w:b/>
          <w:bCs/>
        </w:rPr>
        <w:t xml:space="preserve"> </w:t>
      </w:r>
      <w:r w:rsidR="005F6B15" w:rsidRPr="00296D0C">
        <w:rPr>
          <w:rFonts w:eastAsiaTheme="majorEastAsia" w:cs="Times New Roman"/>
          <w:b/>
          <w:bCs/>
        </w:rPr>
        <w:t xml:space="preserve">General </w:t>
      </w:r>
      <w:r w:rsidR="00DB5BA7" w:rsidRPr="00296D0C">
        <w:rPr>
          <w:rFonts w:eastAsiaTheme="majorEastAsia" w:cs="Times New Roman"/>
          <w:b/>
          <w:bCs/>
        </w:rPr>
        <w:t>Methods</w:t>
      </w:r>
      <w:bookmarkEnd w:id="549"/>
      <w:bookmarkEnd w:id="554"/>
      <w:bookmarkEnd w:id="555"/>
      <w:bookmarkEnd w:id="556"/>
      <w:bookmarkEnd w:id="557"/>
    </w:p>
    <w:p w14:paraId="5ABF6F08" w14:textId="0E6B3AF7" w:rsidR="00DB5BA7" w:rsidRPr="00296D0C" w:rsidRDefault="00DB5BA7" w:rsidP="00DB5BA7">
      <w:pPr>
        <w:spacing w:after="0" w:line="360" w:lineRule="auto"/>
        <w:rPr>
          <w:rFonts w:cs="Times New Roman"/>
        </w:rPr>
      </w:pPr>
      <w:r w:rsidRPr="00296D0C">
        <w:rPr>
          <w:rFonts w:cs="Times New Roman"/>
        </w:rPr>
        <w:t>The process evaluation of the HeLP study distinguishes between methods and analyses relating to (i) the intervention arm only and (ii) the overall trial (including data from intervention and control arms). The analytical approach for (i) is hypothesis-raising only, synthesising data from field notes, observations, interviews, focus groups and questionnaires and for (ii) is hypoth</w:t>
      </w:r>
      <w:r w:rsidR="007E540F" w:rsidRPr="00296D0C">
        <w:rPr>
          <w:rFonts w:cs="Times New Roman"/>
        </w:rPr>
        <w:t>esis testing using a meditation</w:t>
      </w:r>
      <w:r w:rsidRPr="00296D0C">
        <w:rPr>
          <w:rFonts w:cs="Times New Roman"/>
        </w:rPr>
        <w:t xml:space="preserve"> analysis. For ea</w:t>
      </w:r>
      <w:r w:rsidR="00EC353A" w:rsidRPr="00296D0C">
        <w:rPr>
          <w:rFonts w:cs="Times New Roman"/>
        </w:rPr>
        <w:t xml:space="preserve">se of reading, this chapter is </w:t>
      </w:r>
      <w:r w:rsidRPr="00296D0C">
        <w:rPr>
          <w:rFonts w:cs="Times New Roman"/>
        </w:rPr>
        <w:t>presented in two s</w:t>
      </w:r>
      <w:r w:rsidR="00EC353A" w:rsidRPr="00296D0C">
        <w:rPr>
          <w:rFonts w:cs="Times New Roman"/>
        </w:rPr>
        <w:t xml:space="preserve">ections. The first section </w:t>
      </w:r>
      <w:r w:rsidRPr="00296D0C">
        <w:rPr>
          <w:rFonts w:cs="Times New Roman"/>
        </w:rPr>
        <w:t>present</w:t>
      </w:r>
      <w:r w:rsidR="00EC353A" w:rsidRPr="00296D0C">
        <w:rPr>
          <w:rFonts w:cs="Times New Roman"/>
        </w:rPr>
        <w:t>s</w:t>
      </w:r>
      <w:r w:rsidRPr="00296D0C">
        <w:rPr>
          <w:rFonts w:cs="Times New Roman"/>
        </w:rPr>
        <w:t xml:space="preserve"> all process data collected from the intervention arm of the trial and the second sect</w:t>
      </w:r>
      <w:r w:rsidR="00EC353A" w:rsidRPr="00296D0C">
        <w:rPr>
          <w:rFonts w:cs="Times New Roman"/>
        </w:rPr>
        <w:t xml:space="preserve">ion presents </w:t>
      </w:r>
      <w:r w:rsidR="007E540F" w:rsidRPr="00296D0C">
        <w:rPr>
          <w:rFonts w:cs="Times New Roman"/>
        </w:rPr>
        <w:t>the mediation</w:t>
      </w:r>
      <w:r w:rsidRPr="00296D0C">
        <w:rPr>
          <w:rFonts w:cs="Times New Roman"/>
        </w:rPr>
        <w:t xml:space="preserve"> analysis, which includes data from both the intervention and the control arms. Table </w:t>
      </w:r>
      <w:r w:rsidR="005257EF" w:rsidRPr="00296D0C">
        <w:rPr>
          <w:rFonts w:cs="Times New Roman"/>
        </w:rPr>
        <w:t>3</w:t>
      </w:r>
      <w:r w:rsidR="006C0879">
        <w:rPr>
          <w:rFonts w:cs="Times New Roman"/>
        </w:rPr>
        <w:t>5</w:t>
      </w:r>
      <w:r w:rsidRPr="00296D0C">
        <w:rPr>
          <w:rFonts w:cs="Times New Roman"/>
        </w:rPr>
        <w:t xml:space="preserve"> provides a summary of the data sources for each process evaluation research question and the process evaluation dimension it assessed.</w:t>
      </w:r>
    </w:p>
    <w:p w14:paraId="5051AF4A" w14:textId="77777777" w:rsidR="00D93066" w:rsidRPr="00296D0C" w:rsidRDefault="00D93066" w:rsidP="00DB5BA7">
      <w:pPr>
        <w:spacing w:after="0" w:line="360" w:lineRule="auto"/>
        <w:rPr>
          <w:rFonts w:cs="Times New Roman"/>
        </w:rPr>
      </w:pPr>
    </w:p>
    <w:p w14:paraId="626B14DC" w14:textId="14A7CDE9" w:rsidR="00DC1DBA" w:rsidRPr="00296D0C" w:rsidRDefault="00DC1DBA">
      <w:pPr>
        <w:rPr>
          <w:rFonts w:cs="Times New Roman"/>
        </w:rPr>
      </w:pPr>
      <w:r w:rsidRPr="00296D0C">
        <w:rPr>
          <w:rFonts w:cs="Times New Roman"/>
        </w:rPr>
        <w:br w:type="page"/>
      </w:r>
    </w:p>
    <w:p w14:paraId="7D136B95" w14:textId="42C1D4E5" w:rsidR="00DB5BA7" w:rsidRPr="00296D0C" w:rsidRDefault="005257EF" w:rsidP="00DB5BA7">
      <w:pPr>
        <w:spacing w:after="0" w:line="360" w:lineRule="auto"/>
        <w:rPr>
          <w:rFonts w:cs="Times New Roman"/>
          <w:b/>
        </w:rPr>
      </w:pPr>
      <w:r w:rsidRPr="00296D0C">
        <w:rPr>
          <w:rFonts w:cs="Times New Roman"/>
          <w:b/>
        </w:rPr>
        <w:lastRenderedPageBreak/>
        <w:t>T</w:t>
      </w:r>
      <w:r w:rsidR="001E551C" w:rsidRPr="00296D0C">
        <w:rPr>
          <w:rFonts w:cs="Times New Roman"/>
          <w:b/>
        </w:rPr>
        <w:t>ABLE</w:t>
      </w:r>
      <w:r w:rsidRPr="00296D0C">
        <w:rPr>
          <w:rFonts w:cs="Times New Roman"/>
          <w:b/>
        </w:rPr>
        <w:t xml:space="preserve"> 3</w:t>
      </w:r>
      <w:r w:rsidR="006C0879">
        <w:rPr>
          <w:rFonts w:cs="Times New Roman"/>
          <w:b/>
        </w:rPr>
        <w:t>5</w:t>
      </w:r>
      <w:r w:rsidRPr="00296D0C">
        <w:rPr>
          <w:rFonts w:cs="Times New Roman"/>
          <w:b/>
        </w:rPr>
        <w:t xml:space="preserve"> Summary of </w:t>
      </w:r>
      <w:r w:rsidR="00D93066" w:rsidRPr="00296D0C">
        <w:rPr>
          <w:rFonts w:cs="Times New Roman"/>
          <w:b/>
        </w:rPr>
        <w:t>R</w:t>
      </w:r>
      <w:r w:rsidRPr="00296D0C">
        <w:rPr>
          <w:rFonts w:cs="Times New Roman"/>
          <w:b/>
        </w:rPr>
        <w:t xml:space="preserve">esearch </w:t>
      </w:r>
      <w:r w:rsidR="00D93066" w:rsidRPr="00296D0C">
        <w:rPr>
          <w:rFonts w:cs="Times New Roman"/>
          <w:b/>
        </w:rPr>
        <w:t>Q</w:t>
      </w:r>
      <w:r w:rsidRPr="00296D0C">
        <w:rPr>
          <w:rFonts w:cs="Times New Roman"/>
          <w:b/>
        </w:rPr>
        <w:t>uestions</w:t>
      </w:r>
      <w:r w:rsidR="00E3205A">
        <w:rPr>
          <w:rFonts w:cs="Times New Roman"/>
          <w:b/>
        </w:rPr>
        <w:t xml:space="preserve"> for the Process E</w:t>
      </w:r>
      <w:r w:rsidR="00D34C5A">
        <w:rPr>
          <w:rFonts w:cs="Times New Roman"/>
          <w:b/>
        </w:rPr>
        <w:t>valuation</w:t>
      </w:r>
    </w:p>
    <w:p w14:paraId="6D131F9F" w14:textId="77777777" w:rsidR="00DB5BA7" w:rsidRPr="00296D0C" w:rsidRDefault="00DB5BA7" w:rsidP="00DB5BA7">
      <w:pPr>
        <w:spacing w:after="0" w:line="360" w:lineRule="auto"/>
        <w:rPr>
          <w:rFonts w:cs="Times New Roman"/>
        </w:rPr>
      </w:pPr>
    </w:p>
    <w:tbl>
      <w:tblPr>
        <w:tblStyle w:val="TableGrid"/>
        <w:tblW w:w="9180" w:type="dxa"/>
        <w:tblLook w:val="04A0" w:firstRow="1" w:lastRow="0" w:firstColumn="1" w:lastColumn="0" w:noHBand="0" w:noVBand="1"/>
      </w:tblPr>
      <w:tblGrid>
        <w:gridCol w:w="2329"/>
        <w:gridCol w:w="2599"/>
        <w:gridCol w:w="4252"/>
      </w:tblGrid>
      <w:tr w:rsidR="00DB5BA7" w:rsidRPr="00296D0C" w14:paraId="12D191F1" w14:textId="77777777" w:rsidTr="00A77DAF">
        <w:tc>
          <w:tcPr>
            <w:tcW w:w="2329" w:type="dxa"/>
          </w:tcPr>
          <w:p w14:paraId="11B11791" w14:textId="77777777" w:rsidR="00DB5BA7" w:rsidRPr="00296D0C" w:rsidRDefault="00DB5BA7" w:rsidP="00DB5BA7">
            <w:pPr>
              <w:rPr>
                <w:b/>
              </w:rPr>
            </w:pPr>
            <w:r w:rsidRPr="00296D0C">
              <w:rPr>
                <w:b/>
              </w:rPr>
              <w:t>Research Question</w:t>
            </w:r>
          </w:p>
        </w:tc>
        <w:tc>
          <w:tcPr>
            <w:tcW w:w="2599" w:type="dxa"/>
          </w:tcPr>
          <w:p w14:paraId="51E1D271" w14:textId="77777777" w:rsidR="00DB5BA7" w:rsidRPr="00296D0C" w:rsidRDefault="00DB5BA7" w:rsidP="00DB5BA7">
            <w:pPr>
              <w:rPr>
                <w:b/>
              </w:rPr>
            </w:pPr>
            <w:r w:rsidRPr="00296D0C">
              <w:rPr>
                <w:b/>
              </w:rPr>
              <w:t>Process Evaluation Dimension assessed</w:t>
            </w:r>
          </w:p>
        </w:tc>
        <w:tc>
          <w:tcPr>
            <w:tcW w:w="4252" w:type="dxa"/>
          </w:tcPr>
          <w:p w14:paraId="5F531ECD" w14:textId="77777777" w:rsidR="00DB5BA7" w:rsidRPr="00296D0C" w:rsidRDefault="00DB5BA7" w:rsidP="00DB5BA7">
            <w:pPr>
              <w:rPr>
                <w:b/>
              </w:rPr>
            </w:pPr>
            <w:r w:rsidRPr="00296D0C">
              <w:rPr>
                <w:b/>
              </w:rPr>
              <w:t>Data Source</w:t>
            </w:r>
          </w:p>
        </w:tc>
      </w:tr>
      <w:tr w:rsidR="00DB5BA7" w:rsidRPr="00296D0C" w14:paraId="519F7035" w14:textId="77777777" w:rsidTr="00A77DAF">
        <w:tc>
          <w:tcPr>
            <w:tcW w:w="2329" w:type="dxa"/>
          </w:tcPr>
          <w:p w14:paraId="0CD87A82" w14:textId="77777777" w:rsidR="00DB5BA7" w:rsidRPr="00296D0C" w:rsidRDefault="00DB5BA7" w:rsidP="00DB5BA7">
            <w:r w:rsidRPr="00296D0C">
              <w:t>How much of HeLP did the children and families receive?</w:t>
            </w:r>
          </w:p>
        </w:tc>
        <w:tc>
          <w:tcPr>
            <w:tcW w:w="2599" w:type="dxa"/>
          </w:tcPr>
          <w:p w14:paraId="67E08A4A" w14:textId="77777777" w:rsidR="00DB5BA7" w:rsidRPr="00296D0C" w:rsidRDefault="00DB5BA7" w:rsidP="00DB5BA7">
            <w:r w:rsidRPr="00296D0C">
              <w:t>Uptake</w:t>
            </w:r>
          </w:p>
        </w:tc>
        <w:tc>
          <w:tcPr>
            <w:tcW w:w="4252" w:type="dxa"/>
          </w:tcPr>
          <w:p w14:paraId="2C263A83" w14:textId="77777777" w:rsidR="00DB5BA7" w:rsidRPr="00296D0C" w:rsidRDefault="00DB5BA7" w:rsidP="00DB5BA7">
            <w:r w:rsidRPr="00296D0C">
              <w:t xml:space="preserve">Child and/or family registers for each component </w:t>
            </w:r>
          </w:p>
        </w:tc>
      </w:tr>
      <w:tr w:rsidR="00DB5BA7" w:rsidRPr="00296D0C" w14:paraId="4B2F2838" w14:textId="77777777" w:rsidTr="00A77DAF">
        <w:tc>
          <w:tcPr>
            <w:tcW w:w="2329" w:type="dxa"/>
          </w:tcPr>
          <w:p w14:paraId="6CA07911" w14:textId="211133C1" w:rsidR="00DB5BA7" w:rsidRPr="00296D0C" w:rsidRDefault="00DB5BA7" w:rsidP="00DB5BA7">
            <w:r w:rsidRPr="00296D0C">
              <w:t xml:space="preserve">Was </w:t>
            </w:r>
            <w:r w:rsidR="00FE6FD2" w:rsidRPr="00296D0C">
              <w:t xml:space="preserve">the </w:t>
            </w:r>
            <w:r w:rsidR="00AA7A6D">
              <w:t>p</w:t>
            </w:r>
            <w:r w:rsidR="00FE6FD2" w:rsidRPr="00296D0C">
              <w:t>rogramme</w:t>
            </w:r>
            <w:r w:rsidRPr="00296D0C">
              <w:t xml:space="preserve"> delivered as designed?</w:t>
            </w:r>
          </w:p>
        </w:tc>
        <w:tc>
          <w:tcPr>
            <w:tcW w:w="2599" w:type="dxa"/>
          </w:tcPr>
          <w:p w14:paraId="63517CE1" w14:textId="77777777" w:rsidR="00DB5BA7" w:rsidRPr="00296D0C" w:rsidRDefault="00DB5BA7" w:rsidP="00DB5BA7">
            <w:r w:rsidRPr="00296D0C">
              <w:t>Delivery - Fidelity to form and function</w:t>
            </w:r>
          </w:p>
        </w:tc>
        <w:tc>
          <w:tcPr>
            <w:tcW w:w="4252" w:type="dxa"/>
          </w:tcPr>
          <w:p w14:paraId="4830BFBF" w14:textId="77777777" w:rsidR="00DB5BA7" w:rsidRPr="00296D0C" w:rsidRDefault="00DB5BA7" w:rsidP="00DB5BA7">
            <w:r w:rsidRPr="00296D0C">
              <w:t>Observation checklists</w:t>
            </w:r>
          </w:p>
          <w:p w14:paraId="1138CD78" w14:textId="77777777" w:rsidR="00DB5BA7" w:rsidRPr="00296D0C" w:rsidRDefault="00DB5BA7" w:rsidP="00DB5BA7">
            <w:r w:rsidRPr="00296D0C">
              <w:t>Field notes</w:t>
            </w:r>
          </w:p>
        </w:tc>
      </w:tr>
      <w:tr w:rsidR="00DB5BA7" w:rsidRPr="00296D0C" w14:paraId="6F04CE70" w14:textId="77777777" w:rsidTr="00A77DAF">
        <w:tc>
          <w:tcPr>
            <w:tcW w:w="2329" w:type="dxa"/>
          </w:tcPr>
          <w:p w14:paraId="6B26CBF3" w14:textId="77777777" w:rsidR="00DB5BA7" w:rsidRPr="00296D0C" w:rsidRDefault="00DB5BA7" w:rsidP="00DB5BA7">
            <w:r w:rsidRPr="00296D0C">
              <w:t>Did schools, children and parents engage with HeLP?</w:t>
            </w:r>
          </w:p>
        </w:tc>
        <w:tc>
          <w:tcPr>
            <w:tcW w:w="2599" w:type="dxa"/>
          </w:tcPr>
          <w:p w14:paraId="4A6B20CA" w14:textId="77777777" w:rsidR="00DB5BA7" w:rsidRPr="00296D0C" w:rsidRDefault="00DB5BA7" w:rsidP="00DB5BA7">
            <w:r w:rsidRPr="00296D0C">
              <w:t>Engagement</w:t>
            </w:r>
          </w:p>
        </w:tc>
        <w:tc>
          <w:tcPr>
            <w:tcW w:w="4252" w:type="dxa"/>
          </w:tcPr>
          <w:p w14:paraId="0AD5B470" w14:textId="77777777" w:rsidR="00DB5BA7" w:rsidRPr="00296D0C" w:rsidRDefault="00DB5BA7" w:rsidP="00DB5BA7">
            <w:r w:rsidRPr="00296D0C">
              <w:t>Observations</w:t>
            </w:r>
          </w:p>
          <w:p w14:paraId="4377D200" w14:textId="77777777" w:rsidR="00DB5BA7" w:rsidRPr="00296D0C" w:rsidRDefault="00DB5BA7" w:rsidP="00DB5BA7">
            <w:r w:rsidRPr="00296D0C">
              <w:t>Field notes</w:t>
            </w:r>
          </w:p>
          <w:p w14:paraId="66C0355F" w14:textId="77777777" w:rsidR="00DB5BA7" w:rsidRPr="00296D0C" w:rsidRDefault="00DB5BA7" w:rsidP="00DB5BA7">
            <w:r w:rsidRPr="00296D0C">
              <w:t>Parental signature on goal setting sheet</w:t>
            </w:r>
          </w:p>
          <w:p w14:paraId="76CC6283" w14:textId="77777777" w:rsidR="00DB5BA7" w:rsidRPr="00296D0C" w:rsidRDefault="00DB5BA7" w:rsidP="00DB5BA7">
            <w:r w:rsidRPr="00296D0C">
              <w:t>Qualitative evaluation</w:t>
            </w:r>
          </w:p>
          <w:p w14:paraId="19EC361A" w14:textId="77777777" w:rsidR="00DB5BA7" w:rsidRPr="00296D0C" w:rsidRDefault="00DB5BA7" w:rsidP="00DB5BA7">
            <w:r w:rsidRPr="00296D0C">
              <w:t>(interviews and focus groups with teachers, children and parents)</w:t>
            </w:r>
          </w:p>
          <w:p w14:paraId="15E43653" w14:textId="77777777" w:rsidR="00DB5BA7" w:rsidRPr="00296D0C" w:rsidRDefault="00DB5BA7" w:rsidP="00DB5BA7">
            <w:r w:rsidRPr="00296D0C">
              <w:t>Parent questionnaire</w:t>
            </w:r>
          </w:p>
        </w:tc>
      </w:tr>
      <w:tr w:rsidR="00DB5BA7" w:rsidRPr="00296D0C" w14:paraId="02BEF2C1" w14:textId="77777777" w:rsidTr="00A77DAF">
        <w:tc>
          <w:tcPr>
            <w:tcW w:w="2329" w:type="dxa"/>
          </w:tcPr>
          <w:p w14:paraId="2670990C" w14:textId="77777777" w:rsidR="00DB5BA7" w:rsidRPr="00296D0C" w:rsidRDefault="00DB5BA7" w:rsidP="00DB5BA7">
            <w:r w:rsidRPr="00296D0C">
              <w:t>How were attempts to change behaviours experienced by the children?</w:t>
            </w:r>
          </w:p>
        </w:tc>
        <w:tc>
          <w:tcPr>
            <w:tcW w:w="2599" w:type="dxa"/>
          </w:tcPr>
          <w:p w14:paraId="48AC2CA9" w14:textId="77777777" w:rsidR="00DB5BA7" w:rsidRPr="00296D0C" w:rsidRDefault="00DB5BA7" w:rsidP="00DB5BA7">
            <w:r w:rsidRPr="00296D0C">
              <w:t>Experience</w:t>
            </w:r>
          </w:p>
        </w:tc>
        <w:tc>
          <w:tcPr>
            <w:tcW w:w="4252" w:type="dxa"/>
          </w:tcPr>
          <w:p w14:paraId="103A3E4B" w14:textId="77777777" w:rsidR="00DB5BA7" w:rsidRPr="00296D0C" w:rsidRDefault="00DB5BA7" w:rsidP="00DB5BA7">
            <w:r w:rsidRPr="00296D0C">
              <w:t>Qualitative evaluation</w:t>
            </w:r>
          </w:p>
          <w:p w14:paraId="25747021" w14:textId="77777777" w:rsidR="00DB5BA7" w:rsidRPr="00296D0C" w:rsidRDefault="00DB5BA7" w:rsidP="00DB5BA7">
            <w:r w:rsidRPr="00296D0C">
              <w:t>(interviews and focus groups with teachers, children and parents)</w:t>
            </w:r>
          </w:p>
          <w:p w14:paraId="7EFE7442" w14:textId="77777777" w:rsidR="00DB5BA7" w:rsidRPr="00296D0C" w:rsidRDefault="00DB5BA7" w:rsidP="00DB5BA7">
            <w:r w:rsidRPr="00296D0C">
              <w:t>Parent questionnaire</w:t>
            </w:r>
          </w:p>
        </w:tc>
      </w:tr>
      <w:tr w:rsidR="00DB5BA7" w:rsidRPr="00296D0C" w14:paraId="4095CE0B" w14:textId="77777777" w:rsidTr="00A77DAF">
        <w:tc>
          <w:tcPr>
            <w:tcW w:w="2329" w:type="dxa"/>
          </w:tcPr>
          <w:p w14:paraId="72738371" w14:textId="77777777" w:rsidR="00DB5BA7" w:rsidRPr="00296D0C" w:rsidRDefault="00DB5BA7" w:rsidP="00DB5BA7">
            <w:r w:rsidRPr="00296D0C">
              <w:t>Were there reported changes to children’s eating and physical activity behaviours?</w:t>
            </w:r>
          </w:p>
        </w:tc>
        <w:tc>
          <w:tcPr>
            <w:tcW w:w="2599" w:type="dxa"/>
          </w:tcPr>
          <w:p w14:paraId="54868222" w14:textId="77777777" w:rsidR="00DB5BA7" w:rsidRPr="00296D0C" w:rsidRDefault="00DB5BA7" w:rsidP="00DB5BA7">
            <w:r w:rsidRPr="00296D0C">
              <w:t>Impact</w:t>
            </w:r>
          </w:p>
        </w:tc>
        <w:tc>
          <w:tcPr>
            <w:tcW w:w="4252" w:type="dxa"/>
          </w:tcPr>
          <w:p w14:paraId="473B3B7A" w14:textId="77777777" w:rsidR="00DB5BA7" w:rsidRPr="00296D0C" w:rsidRDefault="00DB5BA7" w:rsidP="00DB5BA7">
            <w:r w:rsidRPr="00296D0C">
              <w:t>Qualitative evaluation (interviews and focus groups with teachers, children and parents)</w:t>
            </w:r>
          </w:p>
          <w:p w14:paraId="46658B17" w14:textId="77777777" w:rsidR="00DB5BA7" w:rsidRPr="00296D0C" w:rsidRDefault="00DB5BA7" w:rsidP="00DB5BA7">
            <w:r w:rsidRPr="00296D0C">
              <w:t>Parent questionnaire</w:t>
            </w:r>
          </w:p>
        </w:tc>
      </w:tr>
      <w:tr w:rsidR="0048082A" w:rsidRPr="00296D0C" w14:paraId="366BB8D0" w14:textId="77777777" w:rsidTr="00A77DAF">
        <w:tc>
          <w:tcPr>
            <w:tcW w:w="2329" w:type="dxa"/>
          </w:tcPr>
          <w:p w14:paraId="4E0E49EC" w14:textId="0AC68B81" w:rsidR="0048082A" w:rsidRPr="00296D0C" w:rsidRDefault="0048082A" w:rsidP="001E551C">
            <w:r w:rsidRPr="00296D0C">
              <w:t xml:space="preserve">Do statistical models combining potential cognitive and behavioural changes mediate observed between group differences in outcomes? </w:t>
            </w:r>
          </w:p>
        </w:tc>
        <w:tc>
          <w:tcPr>
            <w:tcW w:w="2599" w:type="dxa"/>
          </w:tcPr>
          <w:p w14:paraId="1536B8FB" w14:textId="6C17B5F1" w:rsidR="0048082A" w:rsidRPr="00296D0C" w:rsidRDefault="0048082A" w:rsidP="00DB5BA7">
            <w:r w:rsidRPr="00296D0C">
              <w:t>Statistical mediators of group differences in outcomes</w:t>
            </w:r>
          </w:p>
        </w:tc>
        <w:tc>
          <w:tcPr>
            <w:tcW w:w="4252" w:type="dxa"/>
          </w:tcPr>
          <w:p w14:paraId="2D5468E7" w14:textId="77777777" w:rsidR="0048082A" w:rsidRPr="00296D0C" w:rsidRDefault="0048082A">
            <w:r w:rsidRPr="00296D0C">
              <w:t>Variables derived from measures included in the My Lifestyle Questionnaire</w:t>
            </w:r>
          </w:p>
          <w:p w14:paraId="4A80488A" w14:textId="1A4938CB" w:rsidR="0048082A" w:rsidRPr="00296D0C" w:rsidRDefault="0048082A" w:rsidP="00DB5BA7">
            <w:r w:rsidRPr="00296D0C">
              <w:t>for intervention and control children</w:t>
            </w:r>
          </w:p>
        </w:tc>
      </w:tr>
    </w:tbl>
    <w:p w14:paraId="0C5DEE8B" w14:textId="77777777" w:rsidR="00F21C70" w:rsidRPr="00296D0C" w:rsidRDefault="00F21C70" w:rsidP="0069394B">
      <w:pPr>
        <w:rPr>
          <w:rFonts w:eastAsiaTheme="majorEastAsia" w:cs="Times New Roman"/>
          <w:b/>
          <w:bCs/>
        </w:rPr>
      </w:pPr>
    </w:p>
    <w:p w14:paraId="0D885B7B" w14:textId="11F67EC5" w:rsidR="00DB5BA7" w:rsidRPr="00296D0C" w:rsidRDefault="00F21C70" w:rsidP="00F21C70">
      <w:pPr>
        <w:pStyle w:val="Heading2"/>
        <w:rPr>
          <w:rFonts w:asciiTheme="minorHAnsi" w:hAnsiTheme="minorHAnsi" w:cs="Times New Roman"/>
          <w:sz w:val="22"/>
          <w:szCs w:val="22"/>
        </w:rPr>
      </w:pPr>
      <w:bookmarkStart w:id="558" w:name="_Toc466639071"/>
      <w:bookmarkStart w:id="559" w:name="_Toc466710111"/>
      <w:bookmarkStart w:id="560" w:name="_Toc466711459"/>
      <w:bookmarkStart w:id="561" w:name="_Toc466712118"/>
      <w:bookmarkStart w:id="562" w:name="_Toc475974386"/>
      <w:r w:rsidRPr="00296D0C">
        <w:rPr>
          <w:rFonts w:asciiTheme="minorHAnsi" w:hAnsiTheme="minorHAnsi" w:cs="Times New Roman"/>
          <w:sz w:val="22"/>
          <w:szCs w:val="22"/>
        </w:rPr>
        <w:t xml:space="preserve">5.2 </w:t>
      </w:r>
      <w:r w:rsidR="00DB5BA7" w:rsidRPr="00296D0C">
        <w:rPr>
          <w:rFonts w:asciiTheme="minorHAnsi" w:hAnsiTheme="minorHAnsi" w:cs="Times New Roman"/>
          <w:sz w:val="22"/>
          <w:szCs w:val="22"/>
        </w:rPr>
        <w:t>Section 1: Process data collected from the intervention arm of the trial</w:t>
      </w:r>
      <w:bookmarkEnd w:id="558"/>
      <w:bookmarkEnd w:id="559"/>
      <w:bookmarkEnd w:id="560"/>
      <w:bookmarkEnd w:id="561"/>
      <w:bookmarkEnd w:id="562"/>
    </w:p>
    <w:p w14:paraId="488B6E4A" w14:textId="769D6AB9" w:rsidR="004D1213" w:rsidRPr="00296D0C" w:rsidRDefault="00F21C70" w:rsidP="00F21C70">
      <w:pPr>
        <w:pStyle w:val="Heading3"/>
        <w:rPr>
          <w:rFonts w:asciiTheme="minorHAnsi" w:hAnsiTheme="minorHAnsi" w:cs="Times New Roman"/>
          <w:bCs w:val="0"/>
        </w:rPr>
      </w:pPr>
      <w:bookmarkStart w:id="563" w:name="_Toc466710112"/>
      <w:bookmarkStart w:id="564" w:name="_Toc466711460"/>
      <w:bookmarkStart w:id="565" w:name="_Toc466712119"/>
      <w:bookmarkStart w:id="566" w:name="_Toc475974387"/>
      <w:r w:rsidRPr="00296D0C">
        <w:rPr>
          <w:rFonts w:asciiTheme="minorHAnsi" w:hAnsiTheme="minorHAnsi" w:cs="Times New Roman"/>
          <w:bCs w:val="0"/>
        </w:rPr>
        <w:t>5.2.1</w:t>
      </w:r>
      <w:r w:rsidR="004D1213" w:rsidRPr="00296D0C">
        <w:rPr>
          <w:rFonts w:asciiTheme="minorHAnsi" w:hAnsiTheme="minorHAnsi" w:cs="Times New Roman"/>
          <w:bCs w:val="0"/>
        </w:rPr>
        <w:t xml:space="preserve"> Methods</w:t>
      </w:r>
      <w:bookmarkEnd w:id="563"/>
      <w:bookmarkEnd w:id="564"/>
      <w:bookmarkEnd w:id="565"/>
      <w:bookmarkEnd w:id="566"/>
    </w:p>
    <w:p w14:paraId="432A2B64" w14:textId="6B85E1AE" w:rsidR="00DB5BA7" w:rsidRPr="00296D0C" w:rsidRDefault="004D1213" w:rsidP="004D1213">
      <w:pPr>
        <w:pStyle w:val="Heading4"/>
        <w:rPr>
          <w:rFonts w:asciiTheme="minorHAnsi" w:hAnsiTheme="minorHAnsi" w:cs="Times New Roman"/>
          <w:bCs w:val="0"/>
          <w:i w:val="0"/>
          <w:color w:val="auto"/>
        </w:rPr>
      </w:pPr>
      <w:r w:rsidRPr="00296D0C">
        <w:rPr>
          <w:rFonts w:asciiTheme="minorHAnsi" w:hAnsiTheme="minorHAnsi" w:cs="Times New Roman"/>
          <w:bCs w:val="0"/>
          <w:i w:val="0"/>
          <w:color w:val="auto"/>
        </w:rPr>
        <w:t>5.2.1.1</w:t>
      </w:r>
      <w:r w:rsidR="00F21C70" w:rsidRPr="00296D0C">
        <w:rPr>
          <w:rFonts w:asciiTheme="minorHAnsi" w:hAnsiTheme="minorHAnsi" w:cs="Times New Roman"/>
          <w:bCs w:val="0"/>
          <w:i w:val="0"/>
          <w:color w:val="auto"/>
        </w:rPr>
        <w:t xml:space="preserve"> </w:t>
      </w:r>
      <w:r w:rsidR="00DB5BA7" w:rsidRPr="00296D0C">
        <w:rPr>
          <w:rFonts w:asciiTheme="minorHAnsi" w:hAnsiTheme="minorHAnsi" w:cs="Times New Roman"/>
          <w:i w:val="0"/>
          <w:color w:val="auto"/>
        </w:rPr>
        <w:t>Sampling and Recruitment</w:t>
      </w:r>
    </w:p>
    <w:p w14:paraId="43CF6D86" w14:textId="0FBD90FB" w:rsidR="00DB5BA7" w:rsidRPr="00296D0C" w:rsidRDefault="00DB5BA7" w:rsidP="0051715E">
      <w:pPr>
        <w:spacing w:after="0" w:line="360" w:lineRule="auto"/>
        <w:rPr>
          <w:rFonts w:cs="Times New Roman"/>
        </w:rPr>
      </w:pPr>
      <w:r w:rsidRPr="00296D0C">
        <w:rPr>
          <w:rFonts w:cs="Times New Roman"/>
        </w:rPr>
        <w:t>This</w:t>
      </w:r>
      <w:r w:rsidR="00EC353A" w:rsidRPr="00296D0C">
        <w:rPr>
          <w:rFonts w:cs="Times New Roman"/>
        </w:rPr>
        <w:t xml:space="preserve"> involved collecting data from Y</w:t>
      </w:r>
      <w:r w:rsidRPr="00296D0C">
        <w:rPr>
          <w:rFonts w:cs="Times New Roman"/>
        </w:rPr>
        <w:t xml:space="preserve">ear 5 teachers, children and parents of participating children. </w:t>
      </w:r>
    </w:p>
    <w:p w14:paraId="07A9917D" w14:textId="33986131" w:rsidR="00DB5BA7" w:rsidRPr="00296D0C" w:rsidRDefault="00EC353A" w:rsidP="0051715E">
      <w:pPr>
        <w:spacing w:after="0" w:line="360" w:lineRule="auto"/>
        <w:rPr>
          <w:rFonts w:cs="Times New Roman"/>
        </w:rPr>
      </w:pPr>
      <w:r w:rsidRPr="00296D0C">
        <w:rPr>
          <w:rFonts w:cs="Times New Roman"/>
        </w:rPr>
        <w:t>All Y</w:t>
      </w:r>
      <w:r w:rsidR="00DB5BA7" w:rsidRPr="00296D0C">
        <w:rPr>
          <w:rFonts w:cs="Times New Roman"/>
        </w:rPr>
        <w:t>ear 5 te</w:t>
      </w:r>
      <w:r w:rsidRPr="00296D0C">
        <w:rPr>
          <w:rFonts w:cs="Times New Roman"/>
        </w:rPr>
        <w:t xml:space="preserve">achers from each of the 16 </w:t>
      </w:r>
      <w:r w:rsidR="00DB5BA7" w:rsidRPr="00296D0C">
        <w:rPr>
          <w:rFonts w:cs="Times New Roman"/>
        </w:rPr>
        <w:t>intervention schools participated in a semi-structured interview. Children were selected to participate in a focus gr</w:t>
      </w:r>
      <w:r w:rsidR="007E540F" w:rsidRPr="00296D0C">
        <w:rPr>
          <w:rFonts w:cs="Times New Roman"/>
        </w:rPr>
        <w:t xml:space="preserve">oup by the HeLP Coordinator </w:t>
      </w:r>
      <w:r w:rsidR="00DB5BA7" w:rsidRPr="00296D0C">
        <w:rPr>
          <w:rFonts w:cs="Times New Roman"/>
        </w:rPr>
        <w:t xml:space="preserve">based on the child’s level of </w:t>
      </w:r>
      <w:r w:rsidR="00DB5BA7" w:rsidRPr="0051715E">
        <w:rPr>
          <w:rFonts w:cs="Times New Roman"/>
        </w:rPr>
        <w:t xml:space="preserve">engagement (see </w:t>
      </w:r>
      <w:r w:rsidR="0051715E" w:rsidRPr="0051715E">
        <w:rPr>
          <w:rFonts w:cs="Times New Roman"/>
        </w:rPr>
        <w:t xml:space="preserve">later </w:t>
      </w:r>
      <w:r w:rsidR="00DB5BA7" w:rsidRPr="0051715E">
        <w:rPr>
          <w:rFonts w:cs="Times New Roman"/>
        </w:rPr>
        <w:t>section</w:t>
      </w:r>
      <w:r w:rsidR="0051715E" w:rsidRPr="0051715E">
        <w:rPr>
          <w:rFonts w:cs="Times New Roman"/>
        </w:rPr>
        <w:t xml:space="preserve"> on</w:t>
      </w:r>
      <w:r w:rsidR="00DB5BA7" w:rsidRPr="0051715E">
        <w:rPr>
          <w:rFonts w:cs="Times New Roman"/>
        </w:rPr>
        <w:t xml:space="preserve"> </w:t>
      </w:r>
      <w:r w:rsidR="0051715E" w:rsidRPr="0051715E">
        <w:rPr>
          <w:rFonts w:cs="Times New Roman"/>
        </w:rPr>
        <w:t>observations</w:t>
      </w:r>
      <w:r w:rsidR="00DB5BA7" w:rsidRPr="0051715E">
        <w:rPr>
          <w:rFonts w:cs="Times New Roman"/>
        </w:rPr>
        <w:t xml:space="preserve">). The </w:t>
      </w:r>
      <w:r w:rsidR="00DB5BA7" w:rsidRPr="0051715E">
        <w:t>HeLP</w:t>
      </w:r>
      <w:r w:rsidR="00DB5BA7" w:rsidRPr="00296D0C">
        <w:t xml:space="preserve"> Coordinator</w:t>
      </w:r>
      <w:r w:rsidR="00DB5BA7" w:rsidRPr="00296D0C">
        <w:rPr>
          <w:rFonts w:cs="Times New Roman"/>
        </w:rPr>
        <w:t xml:space="preserve"> selected groups to ensure that there were equal numbers of boys and girls where possible. Each school had </w:t>
      </w:r>
      <w:r w:rsidR="007E540F" w:rsidRPr="00296D0C">
        <w:rPr>
          <w:rFonts w:cs="Times New Roman"/>
        </w:rPr>
        <w:t xml:space="preserve">at least </w:t>
      </w:r>
      <w:r w:rsidR="00DB5BA7" w:rsidRPr="00296D0C">
        <w:rPr>
          <w:rFonts w:cs="Times New Roman"/>
        </w:rPr>
        <w:t>two focus groups of between six and eight children (one with children who were</w:t>
      </w:r>
      <w:r w:rsidRPr="00296D0C">
        <w:rPr>
          <w:rFonts w:cs="Times New Roman"/>
        </w:rPr>
        <w:t xml:space="preserve"> categorised as being</w:t>
      </w:r>
      <w:r w:rsidR="00DB5BA7" w:rsidRPr="00296D0C">
        <w:rPr>
          <w:rFonts w:cs="Times New Roman"/>
        </w:rPr>
        <w:t xml:space="preserve"> engaged and one with children who were less engaged). </w:t>
      </w:r>
    </w:p>
    <w:p w14:paraId="0F3F19CB" w14:textId="77777777" w:rsidR="00DB5BA7" w:rsidRPr="00296D0C" w:rsidRDefault="00DB5BA7" w:rsidP="0051715E">
      <w:pPr>
        <w:spacing w:after="0" w:line="360" w:lineRule="auto"/>
      </w:pPr>
    </w:p>
    <w:p w14:paraId="02CD28C3" w14:textId="2BFB2F6F" w:rsidR="00DB5BA7" w:rsidRPr="00296D0C" w:rsidRDefault="00DB5BA7" w:rsidP="0051715E">
      <w:pPr>
        <w:spacing w:after="0" w:line="360" w:lineRule="auto"/>
      </w:pPr>
      <w:r w:rsidRPr="00296D0C">
        <w:lastRenderedPageBreak/>
        <w:t xml:space="preserve">All parents of participating children were sent a questionnaire </w:t>
      </w:r>
      <w:r w:rsidR="009C5B2B" w:rsidRPr="00296D0C">
        <w:t xml:space="preserve">about the </w:t>
      </w:r>
      <w:r w:rsidR="00AA7A6D">
        <w:t>p</w:t>
      </w:r>
      <w:r w:rsidR="009C5B2B" w:rsidRPr="00296D0C">
        <w:t xml:space="preserve">rogramme </w:t>
      </w:r>
      <w:r w:rsidRPr="00296D0C">
        <w:t xml:space="preserve">directly to their home address with a stamped addressed envelope. Parents were invited to participate in a semi-structured interview by completing a section at the end of the questionnaire. </w:t>
      </w:r>
    </w:p>
    <w:p w14:paraId="13A1742B" w14:textId="25DE2141" w:rsidR="00DB5BA7" w:rsidRPr="00296D0C" w:rsidRDefault="00DB5BA7" w:rsidP="0051715E">
      <w:pPr>
        <w:spacing w:after="0" w:line="360" w:lineRule="auto"/>
        <w:rPr>
          <w:rFonts w:eastAsiaTheme="majorEastAsia" w:cs="Times New Roman"/>
          <w:b/>
          <w:bCs/>
        </w:rPr>
      </w:pPr>
      <w:r w:rsidRPr="00296D0C">
        <w:rPr>
          <w:rFonts w:eastAsiaTheme="majorEastAsia" w:cs="Times New Roman"/>
          <w:b/>
          <w:bCs/>
        </w:rPr>
        <w:t>Data collection</w:t>
      </w:r>
    </w:p>
    <w:p w14:paraId="33F2595C" w14:textId="77777777" w:rsidR="00DB5BA7" w:rsidRPr="00296D0C" w:rsidRDefault="00DB5BA7" w:rsidP="0051715E">
      <w:pPr>
        <w:spacing w:after="0" w:line="360" w:lineRule="auto"/>
        <w:rPr>
          <w:rFonts w:cs="Times New Roman"/>
        </w:rPr>
      </w:pPr>
      <w:r w:rsidRPr="00296D0C">
        <w:rPr>
          <w:rFonts w:cs="Times New Roman"/>
        </w:rPr>
        <w:t>All data were anonymised and any comments or observations relating to specific individuals or schools in a way that could allow them to be recognised were removed.</w:t>
      </w:r>
    </w:p>
    <w:p w14:paraId="02D0A114" w14:textId="77777777" w:rsidR="00DB5BA7" w:rsidRPr="00296D0C" w:rsidRDefault="00DB5BA7" w:rsidP="0051715E">
      <w:pPr>
        <w:spacing w:after="0" w:line="360" w:lineRule="auto"/>
        <w:rPr>
          <w:rFonts w:cs="Times New Roman"/>
          <w:b/>
        </w:rPr>
      </w:pPr>
      <w:r w:rsidRPr="00296D0C">
        <w:rPr>
          <w:rFonts w:cs="Times New Roman"/>
          <w:b/>
        </w:rPr>
        <w:t>Parent questionnaire</w:t>
      </w:r>
    </w:p>
    <w:p w14:paraId="18C0299A" w14:textId="5BA12388" w:rsidR="00DB5BA7" w:rsidRPr="00296D0C" w:rsidRDefault="00DB5BA7" w:rsidP="0051715E">
      <w:pPr>
        <w:spacing w:after="0" w:line="360" w:lineRule="auto"/>
        <w:rPr>
          <w:rFonts w:cs="Times New Roman"/>
        </w:rPr>
      </w:pPr>
      <w:r w:rsidRPr="00296D0C">
        <w:rPr>
          <w:rFonts w:cs="Times New Roman"/>
        </w:rPr>
        <w:t>A parent questionnaire (</w:t>
      </w:r>
      <w:r w:rsidR="00FE6FD2" w:rsidRPr="00296D0C">
        <w:rPr>
          <w:rFonts w:cs="Times New Roman"/>
        </w:rPr>
        <w:t>see Appendix</w:t>
      </w:r>
      <w:r w:rsidR="00F8483C" w:rsidRPr="00296D0C">
        <w:rPr>
          <w:rFonts w:cs="Times New Roman"/>
        </w:rPr>
        <w:t xml:space="preserve"> 1</w:t>
      </w:r>
      <w:r w:rsidR="007B3A2C">
        <w:rPr>
          <w:rFonts w:cs="Times New Roman"/>
        </w:rPr>
        <w:t>0</w:t>
      </w:r>
      <w:r w:rsidRPr="00296D0C">
        <w:rPr>
          <w:rFonts w:cs="Times New Roman"/>
        </w:rPr>
        <w:t xml:space="preserve">) was distributed to all parents in December 2013/2014 after the end of the intervention. Questions aimed to obtain data on any discussions </w:t>
      </w:r>
      <w:r w:rsidR="009C5B2B" w:rsidRPr="00296D0C">
        <w:rPr>
          <w:rFonts w:cs="Times New Roman"/>
        </w:rPr>
        <w:t xml:space="preserve">they had had </w:t>
      </w:r>
      <w:r w:rsidRPr="00296D0C">
        <w:rPr>
          <w:rFonts w:cs="Times New Roman"/>
        </w:rPr>
        <w:t xml:space="preserve">with their child about healthy lifestyles; knowledge about </w:t>
      </w:r>
      <w:r w:rsidR="00FE6FD2" w:rsidRPr="00296D0C">
        <w:rPr>
          <w:rFonts w:cs="Times New Roman"/>
        </w:rPr>
        <w:t xml:space="preserve">the </w:t>
      </w:r>
      <w:r w:rsidR="00AA7A6D">
        <w:rPr>
          <w:rFonts w:cs="Times New Roman"/>
        </w:rPr>
        <w:t>p</w:t>
      </w:r>
      <w:r w:rsidR="00FE6FD2" w:rsidRPr="00296D0C">
        <w:rPr>
          <w:rFonts w:cs="Times New Roman"/>
        </w:rPr>
        <w:t>rogramme</w:t>
      </w:r>
      <w:r w:rsidRPr="00296D0C">
        <w:rPr>
          <w:rFonts w:cs="Times New Roman"/>
        </w:rPr>
        <w:t xml:space="preserve">’s aims; awareness of their child’s goals and how </w:t>
      </w:r>
      <w:r w:rsidR="009C5B2B" w:rsidRPr="00296D0C">
        <w:rPr>
          <w:rFonts w:cs="Times New Roman"/>
        </w:rPr>
        <w:t xml:space="preserve">easy or </w:t>
      </w:r>
      <w:r w:rsidRPr="00296D0C">
        <w:rPr>
          <w:rFonts w:cs="Times New Roman"/>
        </w:rPr>
        <w:t xml:space="preserve">difficult </w:t>
      </w:r>
      <w:r w:rsidR="009C5B2B" w:rsidRPr="00296D0C">
        <w:rPr>
          <w:rFonts w:cs="Times New Roman"/>
        </w:rPr>
        <w:t xml:space="preserve">they felt </w:t>
      </w:r>
      <w:r w:rsidRPr="00296D0C">
        <w:rPr>
          <w:rFonts w:cs="Times New Roman"/>
        </w:rPr>
        <w:t xml:space="preserve">it was for them to achieve them; details of any changes made to behaviours at either a child level and/or family level and whether these had been maintained. </w:t>
      </w:r>
    </w:p>
    <w:p w14:paraId="2A2D7B06" w14:textId="77777777" w:rsidR="00DB5BA7" w:rsidRPr="00296D0C" w:rsidRDefault="00DB5BA7" w:rsidP="0051715E">
      <w:pPr>
        <w:spacing w:after="0" w:line="360" w:lineRule="auto"/>
        <w:rPr>
          <w:rFonts w:cs="Times New Roman"/>
          <w:b/>
        </w:rPr>
      </w:pPr>
      <w:r w:rsidRPr="00296D0C">
        <w:rPr>
          <w:rFonts w:cs="Times New Roman"/>
          <w:b/>
        </w:rPr>
        <w:t>Interviews</w:t>
      </w:r>
    </w:p>
    <w:p w14:paraId="2DD561FC" w14:textId="4FDCEC7A" w:rsidR="00DB5BA7" w:rsidRPr="00296D0C" w:rsidRDefault="00DB5BA7" w:rsidP="0051715E">
      <w:pPr>
        <w:spacing w:after="0" w:line="360" w:lineRule="auto"/>
        <w:rPr>
          <w:rFonts w:cs="Times New Roman"/>
        </w:rPr>
      </w:pPr>
      <w:r w:rsidRPr="00296D0C">
        <w:rPr>
          <w:rFonts w:cs="Times New Roman"/>
        </w:rPr>
        <w:t>All Year 5 teachers in each intervention school participated in a 45-60 minute semi- structured interview on school premises about their attitudes towards, and experiences of, participating in the HeLP intervention and any impact they believed it to have had on themselves, the children and their parents as well as the school as a whole (</w:t>
      </w:r>
      <w:r w:rsidR="00FE6FD2" w:rsidRPr="00296D0C">
        <w:rPr>
          <w:rFonts w:cs="Times New Roman"/>
        </w:rPr>
        <w:t>see Appendix</w:t>
      </w:r>
      <w:r w:rsidRPr="00296D0C">
        <w:rPr>
          <w:rFonts w:cs="Times New Roman"/>
        </w:rPr>
        <w:t xml:space="preserve"> 1</w:t>
      </w:r>
      <w:r w:rsidR="007B3A2C">
        <w:rPr>
          <w:rFonts w:cs="Times New Roman"/>
        </w:rPr>
        <w:t>1</w:t>
      </w:r>
      <w:r w:rsidRPr="00296D0C">
        <w:rPr>
          <w:rFonts w:cs="Times New Roman"/>
        </w:rPr>
        <w:t>). All teacher interviews were carried out by the Tri</w:t>
      </w:r>
      <w:r w:rsidR="00EC353A" w:rsidRPr="00296D0C">
        <w:rPr>
          <w:rFonts w:cs="Times New Roman"/>
        </w:rPr>
        <w:t>al Manager in June/July 2013/14 following Phase 3 of the intervention prior to schools breaking up for the Summer terms.</w:t>
      </w:r>
    </w:p>
    <w:p w14:paraId="5F3E6FD3" w14:textId="75FA69C1" w:rsidR="00DB5BA7" w:rsidRPr="00296D0C" w:rsidRDefault="00DB5BA7" w:rsidP="0051715E">
      <w:pPr>
        <w:spacing w:after="0" w:line="360" w:lineRule="auto"/>
        <w:rPr>
          <w:rFonts w:cs="Times New Roman"/>
        </w:rPr>
      </w:pPr>
      <w:r w:rsidRPr="00296D0C">
        <w:rPr>
          <w:rFonts w:cs="Times New Roman"/>
        </w:rPr>
        <w:t xml:space="preserve">Those parents indicating that they were happy to be interviewed were contacted via email and/or </w:t>
      </w:r>
      <w:r w:rsidR="0088531D" w:rsidRPr="00296D0C">
        <w:rPr>
          <w:rFonts w:cs="Times New Roman"/>
        </w:rPr>
        <w:t>tele</w:t>
      </w:r>
      <w:r w:rsidRPr="00296D0C">
        <w:rPr>
          <w:rFonts w:cs="Times New Roman"/>
        </w:rPr>
        <w:t xml:space="preserve">phone by the </w:t>
      </w:r>
      <w:r w:rsidRPr="00296D0C">
        <w:t>HeLP Coordinator</w:t>
      </w:r>
      <w:r w:rsidRPr="00296D0C">
        <w:rPr>
          <w:rFonts w:cs="Times New Roman"/>
        </w:rPr>
        <w:t xml:space="preserve"> to arrange the interview. These were conducted either by </w:t>
      </w:r>
      <w:r w:rsidR="0088531D" w:rsidRPr="00296D0C">
        <w:rPr>
          <w:rFonts w:cs="Times New Roman"/>
        </w:rPr>
        <w:t>tele</w:t>
      </w:r>
      <w:r w:rsidRPr="00296D0C">
        <w:rPr>
          <w:rFonts w:cs="Times New Roman"/>
        </w:rPr>
        <w:t xml:space="preserve">phone or face to face at either the school or their home, whichever was most convenient for the parent. The </w:t>
      </w:r>
      <w:r w:rsidRPr="00296D0C">
        <w:t>HeLP Coordinator</w:t>
      </w:r>
      <w:r w:rsidRPr="00296D0C">
        <w:rPr>
          <w:rFonts w:cs="Times New Roman"/>
        </w:rPr>
        <w:t xml:space="preserve">s carried out all </w:t>
      </w:r>
      <w:r w:rsidR="0088531D" w:rsidRPr="00296D0C">
        <w:rPr>
          <w:rFonts w:cs="Times New Roman"/>
        </w:rPr>
        <w:t xml:space="preserve">parent </w:t>
      </w:r>
      <w:r w:rsidRPr="00296D0C">
        <w:rPr>
          <w:rFonts w:cs="Times New Roman"/>
        </w:rPr>
        <w:t>interviews for their respective schools. The interviews aimed to obtain</w:t>
      </w:r>
      <w:r w:rsidR="0088531D" w:rsidRPr="00296D0C">
        <w:rPr>
          <w:rFonts w:cs="Times New Roman"/>
        </w:rPr>
        <w:t xml:space="preserve"> detailed</w:t>
      </w:r>
      <w:r w:rsidRPr="00296D0C">
        <w:rPr>
          <w:rFonts w:cs="Times New Roman"/>
        </w:rPr>
        <w:t xml:space="preserve"> data on parental views of HeLP, discussions which took place at home about healthy lifestyles, the barriers and facilitators to the achievement of personalised goals, any child and/or family changes made as a result of </w:t>
      </w:r>
      <w:r w:rsidR="00FE6FD2" w:rsidRPr="00296D0C">
        <w:rPr>
          <w:rFonts w:cs="Times New Roman"/>
        </w:rPr>
        <w:t xml:space="preserve">the </w:t>
      </w:r>
      <w:r w:rsidR="00AA7A6D">
        <w:rPr>
          <w:rFonts w:cs="Times New Roman"/>
        </w:rPr>
        <w:t>p</w:t>
      </w:r>
      <w:r w:rsidR="00FE6FD2" w:rsidRPr="00296D0C">
        <w:rPr>
          <w:rFonts w:cs="Times New Roman"/>
        </w:rPr>
        <w:t>rogramme</w:t>
      </w:r>
      <w:r w:rsidRPr="00296D0C">
        <w:rPr>
          <w:rFonts w:cs="Times New Roman"/>
        </w:rPr>
        <w:t xml:space="preserve"> and wheth</w:t>
      </w:r>
      <w:r w:rsidR="0088531D" w:rsidRPr="00296D0C">
        <w:rPr>
          <w:rFonts w:cs="Times New Roman"/>
        </w:rPr>
        <w:t>er these are being maintained (</w:t>
      </w:r>
      <w:r w:rsidR="00FE6FD2" w:rsidRPr="00296D0C">
        <w:rPr>
          <w:rFonts w:cs="Times New Roman"/>
        </w:rPr>
        <w:t>see Appendix</w:t>
      </w:r>
      <w:r w:rsidRPr="00296D0C">
        <w:rPr>
          <w:rFonts w:cs="Times New Roman"/>
        </w:rPr>
        <w:t xml:space="preserve"> 1</w:t>
      </w:r>
      <w:r w:rsidR="007B3A2C">
        <w:rPr>
          <w:rFonts w:cs="Times New Roman"/>
        </w:rPr>
        <w:t>2</w:t>
      </w:r>
      <w:r w:rsidR="00F2752D" w:rsidRPr="00296D0C">
        <w:rPr>
          <w:rFonts w:cs="Times New Roman"/>
        </w:rPr>
        <w:t xml:space="preserve"> for parent interview schedule</w:t>
      </w:r>
      <w:r w:rsidRPr="00296D0C">
        <w:rPr>
          <w:rFonts w:cs="Times New Roman"/>
        </w:rPr>
        <w:t>). These interviews were carried out be</w:t>
      </w:r>
      <w:r w:rsidR="0088531D" w:rsidRPr="00296D0C">
        <w:rPr>
          <w:rFonts w:cs="Times New Roman"/>
        </w:rPr>
        <w:t>tween January and March 2014/15, during the Spring term</w:t>
      </w:r>
      <w:r w:rsidR="009C5B2B" w:rsidRPr="00296D0C">
        <w:rPr>
          <w:rFonts w:cs="Times New Roman"/>
        </w:rPr>
        <w:t>,</w:t>
      </w:r>
      <w:r w:rsidR="0088531D" w:rsidRPr="00296D0C">
        <w:rPr>
          <w:rFonts w:cs="Times New Roman"/>
        </w:rPr>
        <w:t xml:space="preserve"> after the intervention</w:t>
      </w:r>
      <w:r w:rsidR="007A4083" w:rsidRPr="00296D0C">
        <w:rPr>
          <w:rFonts w:cs="Times New Roman"/>
        </w:rPr>
        <w:t xml:space="preserve"> had finished.</w:t>
      </w:r>
    </w:p>
    <w:p w14:paraId="450F7272" w14:textId="77777777" w:rsidR="00DB5BA7" w:rsidRPr="00296D0C" w:rsidRDefault="00DB5BA7" w:rsidP="0051715E">
      <w:pPr>
        <w:spacing w:after="0" w:line="360" w:lineRule="auto"/>
        <w:rPr>
          <w:rFonts w:cs="Times New Roman"/>
          <w:b/>
        </w:rPr>
      </w:pPr>
      <w:r w:rsidRPr="00296D0C">
        <w:rPr>
          <w:rFonts w:cs="Times New Roman"/>
          <w:b/>
        </w:rPr>
        <w:t>Focus groups</w:t>
      </w:r>
    </w:p>
    <w:p w14:paraId="7CA658F3" w14:textId="0A2CA5CC" w:rsidR="00DB5BA7" w:rsidRPr="00296D0C" w:rsidRDefault="00DB5BA7" w:rsidP="0051715E">
      <w:pPr>
        <w:spacing w:after="0" w:line="360" w:lineRule="auto"/>
        <w:rPr>
          <w:rFonts w:cs="Times New Roman"/>
        </w:rPr>
      </w:pPr>
      <w:r w:rsidRPr="00296D0C">
        <w:rPr>
          <w:rFonts w:cs="Times New Roman"/>
        </w:rPr>
        <w:t xml:space="preserve">A selection of children from each school participated in a focus group which consisted of between six and eight children. Two or three focus groups were carried out per school depending upon school size, by the </w:t>
      </w:r>
      <w:r w:rsidRPr="00296D0C">
        <w:t>HeLP Coordinator</w:t>
      </w:r>
      <w:r w:rsidRPr="00296D0C">
        <w:rPr>
          <w:rFonts w:cs="Times New Roman"/>
        </w:rPr>
        <w:t xml:space="preserve"> for that school. A focus group was carried out with children who were considered to be engaged (E children) and one with children considered to be less engaged children </w:t>
      </w:r>
      <w:r w:rsidRPr="00296D0C">
        <w:rPr>
          <w:rFonts w:cs="Times New Roman"/>
        </w:rPr>
        <w:lastRenderedPageBreak/>
        <w:t xml:space="preserve">(LE children). </w:t>
      </w:r>
      <w:r w:rsidR="009C5B2B" w:rsidRPr="00296D0C">
        <w:rPr>
          <w:rFonts w:cs="Times New Roman"/>
        </w:rPr>
        <w:t>(Details of how these categories were given are presented below)</w:t>
      </w:r>
      <w:r w:rsidRPr="00296D0C">
        <w:rPr>
          <w:rFonts w:cs="Times New Roman"/>
        </w:rPr>
        <w:t xml:space="preserve">. The focus groups aimed to obtain </w:t>
      </w:r>
      <w:r w:rsidR="008F728C" w:rsidRPr="00296D0C">
        <w:rPr>
          <w:rFonts w:cs="Times New Roman"/>
        </w:rPr>
        <w:t xml:space="preserve">detailed </w:t>
      </w:r>
      <w:r w:rsidRPr="00296D0C">
        <w:rPr>
          <w:rFonts w:cs="Times New Roman"/>
        </w:rPr>
        <w:t xml:space="preserve">data on what children had learnt; whether they talked about healthy lifestyles at home with their family and peer group and what they discussed; what they thought about </w:t>
      </w:r>
      <w:r w:rsidR="00FE6FD2" w:rsidRPr="00296D0C">
        <w:rPr>
          <w:rFonts w:cs="Times New Roman"/>
        </w:rPr>
        <w:t xml:space="preserve">the </w:t>
      </w:r>
      <w:r w:rsidR="00AA7A6D">
        <w:rPr>
          <w:rFonts w:cs="Times New Roman"/>
        </w:rPr>
        <w:t>p</w:t>
      </w:r>
      <w:r w:rsidR="00FE6FD2" w:rsidRPr="00296D0C">
        <w:rPr>
          <w:rFonts w:cs="Times New Roman"/>
        </w:rPr>
        <w:t>rogramme</w:t>
      </w:r>
      <w:r w:rsidRPr="00296D0C">
        <w:rPr>
          <w:rFonts w:cs="Times New Roman"/>
        </w:rPr>
        <w:t xml:space="preserve"> and how they felt it differed from the usual curriculum; how they felt about choosing and working with a character like themselves; what it was like to try and set and achieve their goals; what strategies they used to help them achieve their goals and whether there had been any changes at a family level (</w:t>
      </w:r>
      <w:r w:rsidR="00FE6FD2" w:rsidRPr="00296D0C">
        <w:rPr>
          <w:rFonts w:cs="Times New Roman"/>
        </w:rPr>
        <w:t>see Appendix</w:t>
      </w:r>
      <w:r w:rsidRPr="00296D0C">
        <w:rPr>
          <w:rFonts w:cs="Times New Roman"/>
        </w:rPr>
        <w:t xml:space="preserve"> 1</w:t>
      </w:r>
      <w:r w:rsidR="007B3A2C">
        <w:rPr>
          <w:rFonts w:cs="Times New Roman"/>
        </w:rPr>
        <w:t>5</w:t>
      </w:r>
      <w:r w:rsidR="00F2752D" w:rsidRPr="00296D0C">
        <w:rPr>
          <w:rFonts w:cs="Times New Roman"/>
        </w:rPr>
        <w:t xml:space="preserve"> for focus group schedule</w:t>
      </w:r>
      <w:r w:rsidRPr="00296D0C">
        <w:rPr>
          <w:rFonts w:cs="Times New Roman"/>
        </w:rPr>
        <w:t>)</w:t>
      </w:r>
      <w:r w:rsidR="00FA7959" w:rsidRPr="00296D0C">
        <w:rPr>
          <w:rFonts w:cs="Times New Roman"/>
        </w:rPr>
        <w:t>.</w:t>
      </w:r>
    </w:p>
    <w:p w14:paraId="27BAF67F" w14:textId="6DE13D67" w:rsidR="00DB5BA7" w:rsidRPr="00296D0C" w:rsidRDefault="00DB5BA7" w:rsidP="0051715E">
      <w:pPr>
        <w:spacing w:after="0" w:line="360" w:lineRule="auto"/>
        <w:rPr>
          <w:rFonts w:cs="Times New Roman"/>
        </w:rPr>
      </w:pPr>
      <w:r w:rsidRPr="00296D0C">
        <w:rPr>
          <w:rFonts w:cs="Times New Roman"/>
        </w:rPr>
        <w:t xml:space="preserve">Focus groups took place during lesson time, when the children were in Year 6 between February and April 2014 for Cohort 1 and 2015 for Cohort 2 and were led by the </w:t>
      </w:r>
      <w:r w:rsidRPr="00296D0C">
        <w:t>HeLP Coordinator</w:t>
      </w:r>
      <w:r w:rsidRPr="00296D0C">
        <w:rPr>
          <w:rFonts w:cs="Times New Roman"/>
        </w:rPr>
        <w:t xml:space="preserve"> for that school and facilitated by an additional </w:t>
      </w:r>
      <w:r w:rsidRPr="00296D0C">
        <w:t>HeLP Coordinator</w:t>
      </w:r>
      <w:r w:rsidRPr="00296D0C">
        <w:rPr>
          <w:rFonts w:cs="Times New Roman"/>
        </w:rPr>
        <w:t xml:space="preserve">, who took notes and supported the management of the group. In order to help children remember the details of </w:t>
      </w:r>
      <w:r w:rsidR="00FE6FD2" w:rsidRPr="00296D0C">
        <w:rPr>
          <w:rFonts w:cs="Times New Roman"/>
        </w:rPr>
        <w:t xml:space="preserve">the </w:t>
      </w:r>
      <w:r w:rsidR="00AA7A6D">
        <w:rPr>
          <w:rFonts w:cs="Times New Roman"/>
        </w:rPr>
        <w:t>p</w:t>
      </w:r>
      <w:r w:rsidR="00FE6FD2" w:rsidRPr="00296D0C">
        <w:rPr>
          <w:rFonts w:cs="Times New Roman"/>
        </w:rPr>
        <w:t>rogramme</w:t>
      </w:r>
      <w:r w:rsidRPr="00296D0C">
        <w:rPr>
          <w:rFonts w:cs="Times New Roman"/>
        </w:rPr>
        <w:t xml:space="preserve"> visual cues were provided with a short summary of the activities they participated in for each phase. </w:t>
      </w:r>
    </w:p>
    <w:p w14:paraId="74B5CA11" w14:textId="77777777" w:rsidR="00DB5BA7" w:rsidRPr="00296D0C" w:rsidRDefault="00DB5BA7" w:rsidP="0051715E">
      <w:pPr>
        <w:spacing w:after="0" w:line="360" w:lineRule="auto"/>
        <w:rPr>
          <w:rFonts w:cs="Times New Roman"/>
          <w:b/>
        </w:rPr>
      </w:pPr>
      <w:r w:rsidRPr="00296D0C">
        <w:rPr>
          <w:rFonts w:cs="Times New Roman"/>
          <w:b/>
        </w:rPr>
        <w:t>Observations</w:t>
      </w:r>
    </w:p>
    <w:p w14:paraId="7D15E6F5" w14:textId="74FD7E64" w:rsidR="00DB5BA7" w:rsidRPr="00296D0C" w:rsidRDefault="00DB5BA7" w:rsidP="0051715E">
      <w:pPr>
        <w:spacing w:after="0" w:line="360" w:lineRule="auto"/>
        <w:rPr>
          <w:iCs/>
        </w:rPr>
      </w:pPr>
      <w:r w:rsidRPr="00296D0C">
        <w:rPr>
          <w:rFonts w:cs="Times New Roman"/>
        </w:rPr>
        <w:t>Observations</w:t>
      </w:r>
      <w:r w:rsidR="00FA7959" w:rsidRPr="00296D0C">
        <w:rPr>
          <w:rFonts w:cs="Times New Roman"/>
        </w:rPr>
        <w:t xml:space="preserve"> of</w:t>
      </w:r>
      <w:r w:rsidR="00E31D9C" w:rsidRPr="00296D0C">
        <w:rPr>
          <w:rFonts w:cs="Times New Roman"/>
        </w:rPr>
        <w:t xml:space="preserve"> intervention</w:t>
      </w:r>
      <w:r w:rsidR="00FA7959" w:rsidRPr="00296D0C">
        <w:rPr>
          <w:rFonts w:cs="Times New Roman"/>
        </w:rPr>
        <w:t xml:space="preserve"> components</w:t>
      </w:r>
      <w:r w:rsidRPr="00296D0C">
        <w:rPr>
          <w:rFonts w:cs="Times New Roman"/>
        </w:rPr>
        <w:t xml:space="preserve"> were carried out to obtain data on fidelity to form (i.e. were all the HeLP components delivered in the correct order</w:t>
      </w:r>
      <w:r w:rsidR="00E31D9C" w:rsidRPr="00296D0C">
        <w:rPr>
          <w:rFonts w:cs="Times New Roman"/>
        </w:rPr>
        <w:t>?</w:t>
      </w:r>
      <w:r w:rsidRPr="00296D0C">
        <w:rPr>
          <w:rFonts w:cs="Times New Roman"/>
        </w:rPr>
        <w:t>) and fidelity to function (i.e. were key components delivered in the ‘spirit’ of HeLP</w:t>
      </w:r>
      <w:r w:rsidR="00E31D9C" w:rsidRPr="00296D0C">
        <w:rPr>
          <w:rFonts w:cs="Times New Roman"/>
        </w:rPr>
        <w:t>?</w:t>
      </w:r>
      <w:r w:rsidRPr="00296D0C">
        <w:rPr>
          <w:rFonts w:cs="Times New Roman"/>
        </w:rPr>
        <w:t xml:space="preserve">). </w:t>
      </w:r>
      <w:r w:rsidRPr="00296D0C">
        <w:rPr>
          <w:iCs/>
        </w:rPr>
        <w:t>To assess fidelity to form</w:t>
      </w:r>
      <w:r w:rsidR="00E31D9C" w:rsidRPr="00296D0C">
        <w:rPr>
          <w:iCs/>
        </w:rPr>
        <w:t>,</w:t>
      </w:r>
      <w:r w:rsidRPr="00296D0C">
        <w:rPr>
          <w:iCs/>
        </w:rPr>
        <w:t xml:space="preserve"> a yes/no checklist was completed (by the </w:t>
      </w:r>
      <w:r w:rsidRPr="00296D0C">
        <w:t>HeLP Coordinator</w:t>
      </w:r>
      <w:r w:rsidRPr="00296D0C">
        <w:rPr>
          <w:iCs/>
        </w:rPr>
        <w:t>)</w:t>
      </w:r>
      <w:r w:rsidR="00E31D9C" w:rsidRPr="00296D0C">
        <w:rPr>
          <w:iCs/>
        </w:rPr>
        <w:t xml:space="preserve"> for all HeLP components to indicate</w:t>
      </w:r>
      <w:r w:rsidRPr="00296D0C">
        <w:rPr>
          <w:iCs/>
        </w:rPr>
        <w:t xml:space="preserve"> whether a component had been de</w:t>
      </w:r>
      <w:r w:rsidR="00E31D9C" w:rsidRPr="00296D0C">
        <w:rPr>
          <w:iCs/>
        </w:rPr>
        <w:t>livered or not (</w:t>
      </w:r>
      <w:r w:rsidR="00FE6FD2" w:rsidRPr="00296D0C">
        <w:rPr>
          <w:iCs/>
        </w:rPr>
        <w:t>See Appendix</w:t>
      </w:r>
      <w:r w:rsidR="00F8483C" w:rsidRPr="00296D0C">
        <w:rPr>
          <w:iCs/>
        </w:rPr>
        <w:t xml:space="preserve"> 1</w:t>
      </w:r>
      <w:r w:rsidR="007B3A2C">
        <w:rPr>
          <w:iCs/>
        </w:rPr>
        <w:t>4</w:t>
      </w:r>
      <w:r w:rsidR="00F8483C" w:rsidRPr="00296D0C">
        <w:rPr>
          <w:iCs/>
        </w:rPr>
        <w:t xml:space="preserve"> </w:t>
      </w:r>
      <w:r w:rsidRPr="00296D0C">
        <w:rPr>
          <w:iCs/>
        </w:rPr>
        <w:t>for an example checklist).</w:t>
      </w:r>
    </w:p>
    <w:p w14:paraId="4C4A3DB7" w14:textId="381BEB07" w:rsidR="00DB5BA7" w:rsidRPr="00296D0C" w:rsidRDefault="00DB5BA7" w:rsidP="0051715E">
      <w:pPr>
        <w:spacing w:after="0" w:line="360" w:lineRule="auto"/>
        <w:rPr>
          <w:iCs/>
        </w:rPr>
      </w:pPr>
      <w:r w:rsidRPr="00296D0C">
        <w:rPr>
          <w:rFonts w:cs="Arial"/>
          <w:noProof/>
        </w:rPr>
        <w:t xml:space="preserve">Spirit was defined as </w:t>
      </w:r>
      <w:r w:rsidRPr="00296D0C">
        <w:rPr>
          <w:iCs/>
        </w:rPr>
        <w:t>enthusiastic delivery, open body language, responsive to child/school needs and clear and friendly communication. The key components observed to assess fidelity to function were the parent assembly (</w:t>
      </w:r>
      <w:r w:rsidR="009C5B2B" w:rsidRPr="00296D0C">
        <w:rPr>
          <w:iCs/>
        </w:rPr>
        <w:t>P</w:t>
      </w:r>
      <w:r w:rsidRPr="00296D0C">
        <w:rPr>
          <w:iCs/>
        </w:rPr>
        <w:t>hase 1), the Healthy Lifestyles We</w:t>
      </w:r>
      <w:r w:rsidR="009C5B2B" w:rsidRPr="00296D0C">
        <w:rPr>
          <w:iCs/>
        </w:rPr>
        <w:t>ek (P</w:t>
      </w:r>
      <w:r w:rsidRPr="00296D0C">
        <w:rPr>
          <w:iCs/>
        </w:rPr>
        <w:t>hase 2), the parent assembly (Phase 3) and</w:t>
      </w:r>
      <w:r w:rsidR="009C5B2B" w:rsidRPr="00296D0C">
        <w:rPr>
          <w:iCs/>
        </w:rPr>
        <w:t xml:space="preserve"> the class delivered assembly (P</w:t>
      </w:r>
      <w:r w:rsidRPr="00296D0C">
        <w:rPr>
          <w:iCs/>
        </w:rPr>
        <w:t xml:space="preserve">hase 4). </w:t>
      </w:r>
    </w:p>
    <w:p w14:paraId="572E60EF" w14:textId="3BE6CAC6" w:rsidR="00DB5BA7" w:rsidRPr="00296D0C" w:rsidRDefault="00DB5BA7" w:rsidP="0051715E">
      <w:pPr>
        <w:spacing w:after="0" w:line="360" w:lineRule="auto"/>
        <w:rPr>
          <w:rFonts w:cs="Arial"/>
        </w:rPr>
      </w:pPr>
      <w:r w:rsidRPr="00296D0C">
        <w:rPr>
          <w:rFonts w:cs="Arial"/>
        </w:rPr>
        <w:t>To assess fidelity to function a score between 1 and 10 was given for (i) delivery; (</w:t>
      </w:r>
      <w:r w:rsidR="001B481E">
        <w:rPr>
          <w:rFonts w:cs="Arial"/>
        </w:rPr>
        <w:t xml:space="preserve">ii) child responsiveness; (iii) </w:t>
      </w:r>
      <w:r w:rsidRPr="00296D0C">
        <w:rPr>
          <w:rFonts w:cs="Arial"/>
        </w:rPr>
        <w:t>paren</w:t>
      </w:r>
      <w:r w:rsidR="001B481E">
        <w:rPr>
          <w:rFonts w:cs="Arial"/>
        </w:rPr>
        <w:t xml:space="preserve">t responsiveness and (iv) </w:t>
      </w:r>
      <w:r w:rsidRPr="00296D0C">
        <w:rPr>
          <w:rFonts w:cs="Arial"/>
        </w:rPr>
        <w:t xml:space="preserve">teacher responsiveness for each of the </w:t>
      </w:r>
      <w:r w:rsidR="009C5B2B" w:rsidRPr="00296D0C">
        <w:rPr>
          <w:rFonts w:cs="Arial"/>
        </w:rPr>
        <w:t>four</w:t>
      </w:r>
      <w:r w:rsidRPr="00296D0C">
        <w:rPr>
          <w:rFonts w:cs="Arial"/>
        </w:rPr>
        <w:t xml:space="preserve"> key components observed. At the beginning of data collection the Trial Manager and the Principal Investigator independently scored fidelity to function for the parent assembly </w:t>
      </w:r>
      <w:r w:rsidR="009C5B2B" w:rsidRPr="00296D0C">
        <w:rPr>
          <w:rFonts w:cs="Arial"/>
        </w:rPr>
        <w:t xml:space="preserve">(Phase 1) </w:t>
      </w:r>
      <w:r w:rsidRPr="00296D0C">
        <w:rPr>
          <w:rFonts w:cs="Arial"/>
        </w:rPr>
        <w:t xml:space="preserve">across three schools. No discrepancy in scoring was observed. Thereafter the majority of observations were carried out by the Trial Manager. The </w:t>
      </w:r>
      <w:r w:rsidRPr="00296D0C">
        <w:t>HeLP Coordinator</w:t>
      </w:r>
      <w:r w:rsidRPr="00296D0C">
        <w:rPr>
          <w:rFonts w:cs="Arial"/>
        </w:rPr>
        <w:t xml:space="preserve"> assessed the majority of the heal</w:t>
      </w:r>
      <w:r w:rsidR="009C5B2B" w:rsidRPr="00296D0C">
        <w:rPr>
          <w:rFonts w:cs="Arial"/>
        </w:rPr>
        <w:t>thy lifestyle week components (P</w:t>
      </w:r>
      <w:r w:rsidRPr="00296D0C">
        <w:rPr>
          <w:rFonts w:cs="Arial"/>
        </w:rPr>
        <w:t xml:space="preserve">hase 2), after having carried out initial assessments </w:t>
      </w:r>
      <w:r w:rsidR="00A83748" w:rsidRPr="00296D0C">
        <w:rPr>
          <w:rFonts w:cs="Arial"/>
        </w:rPr>
        <w:t>alongside the Trial Manager</w:t>
      </w:r>
      <w:r w:rsidRPr="00296D0C">
        <w:rPr>
          <w:rFonts w:cs="Arial"/>
        </w:rPr>
        <w:t xml:space="preserve">. Once again, no discrepancies in scoring were observed </w:t>
      </w:r>
      <w:r w:rsidRPr="00296D0C">
        <w:rPr>
          <w:iCs/>
        </w:rPr>
        <w:t>(</w:t>
      </w:r>
      <w:r w:rsidR="00FE6FD2" w:rsidRPr="00296D0C">
        <w:rPr>
          <w:iCs/>
        </w:rPr>
        <w:t>see Appendix</w:t>
      </w:r>
      <w:r w:rsidRPr="00296D0C">
        <w:rPr>
          <w:iCs/>
        </w:rPr>
        <w:t xml:space="preserve"> 1</w:t>
      </w:r>
      <w:r w:rsidR="007B3A2C">
        <w:rPr>
          <w:iCs/>
        </w:rPr>
        <w:t>5</w:t>
      </w:r>
      <w:r w:rsidRPr="00296D0C">
        <w:rPr>
          <w:iCs/>
        </w:rPr>
        <w:t xml:space="preserve"> for an example checklist).</w:t>
      </w:r>
    </w:p>
    <w:p w14:paraId="70B5DBE6" w14:textId="13B00069" w:rsidR="001D34D8" w:rsidRDefault="00DB5BA7" w:rsidP="0051715E">
      <w:pPr>
        <w:spacing w:after="0" w:line="360" w:lineRule="auto"/>
      </w:pPr>
      <w:r w:rsidRPr="00296D0C">
        <w:rPr>
          <w:rFonts w:cs="Arial"/>
        </w:rPr>
        <w:t xml:space="preserve">Informal observational data were also collected by each </w:t>
      </w:r>
      <w:r w:rsidRPr="00296D0C">
        <w:t>HeLP Coordinator</w:t>
      </w:r>
      <w:r w:rsidRPr="00296D0C">
        <w:rPr>
          <w:rFonts w:cs="Arial"/>
        </w:rPr>
        <w:t xml:space="preserve"> in the form of field notes (see below) for child and school engagement. </w:t>
      </w:r>
      <w:r w:rsidRPr="00296D0C">
        <w:rPr>
          <w:rFonts w:cs="Times New Roman"/>
        </w:rPr>
        <w:t xml:space="preserve">Assessment of a child’s engagement was based on the interaction of the </w:t>
      </w:r>
      <w:r w:rsidRPr="00296D0C">
        <w:t>HeLP Coordinator</w:t>
      </w:r>
      <w:r w:rsidRPr="00296D0C">
        <w:rPr>
          <w:rFonts w:cs="Times New Roman"/>
        </w:rPr>
        <w:t xml:space="preserve"> with the child during the 1-1 goal setting interview and from </w:t>
      </w:r>
      <w:r w:rsidRPr="00296D0C">
        <w:rPr>
          <w:rFonts w:cs="Times New Roman"/>
        </w:rPr>
        <w:lastRenderedPageBreak/>
        <w:t xml:space="preserve">more general observations during the course of the intervention. </w:t>
      </w:r>
      <w:r w:rsidRPr="00296D0C">
        <w:t xml:space="preserve">The HeLP Coordinator gave each child an engagement score between 0 and 3. The criteria for scoring were: </w:t>
      </w:r>
    </w:p>
    <w:p w14:paraId="70675145" w14:textId="77777777" w:rsidR="00DB5BA7" w:rsidRPr="00296D0C" w:rsidRDefault="00DB5BA7" w:rsidP="00055A28">
      <w:pPr>
        <w:spacing w:after="0" w:line="360" w:lineRule="auto"/>
        <w:ind w:firstLine="720"/>
      </w:pPr>
      <w:r w:rsidRPr="00296D0C">
        <w:t>0 = disinterested/unaware goals needed to be set;</w:t>
      </w:r>
    </w:p>
    <w:p w14:paraId="46A5A7CC" w14:textId="77777777" w:rsidR="00DB5BA7" w:rsidRPr="00296D0C" w:rsidRDefault="00DB5BA7" w:rsidP="00055A28">
      <w:pPr>
        <w:spacing w:after="0" w:line="360" w:lineRule="auto"/>
        <w:ind w:firstLine="720"/>
      </w:pPr>
      <w:r w:rsidRPr="00296D0C">
        <w:t xml:space="preserve">1 = reluctant/needs a lot of prompting; </w:t>
      </w:r>
    </w:p>
    <w:p w14:paraId="5C230DF5" w14:textId="77777777" w:rsidR="00DB5BA7" w:rsidRPr="00296D0C" w:rsidRDefault="00DB5BA7" w:rsidP="00055A28">
      <w:pPr>
        <w:spacing w:after="0" w:line="360" w:lineRule="auto"/>
        <w:ind w:firstLine="720"/>
      </w:pPr>
      <w:r w:rsidRPr="00296D0C">
        <w:t xml:space="preserve">2 = enthusiastic and happy to chat about goals and how they will achieve them; </w:t>
      </w:r>
    </w:p>
    <w:p w14:paraId="47DB4978" w14:textId="77777777" w:rsidR="00DB5BA7" w:rsidRPr="00296D0C" w:rsidRDefault="00DB5BA7" w:rsidP="00055A28">
      <w:pPr>
        <w:spacing w:after="0" w:line="360" w:lineRule="auto"/>
        <w:ind w:firstLine="720"/>
      </w:pPr>
      <w:r w:rsidRPr="00296D0C">
        <w:t xml:space="preserve">3 = very enthusiastic, has discussed them at home and has clear strategies for achieving them. </w:t>
      </w:r>
    </w:p>
    <w:p w14:paraId="429E55CA" w14:textId="77777777" w:rsidR="00DB5BA7" w:rsidRPr="00296D0C" w:rsidRDefault="00DB5BA7" w:rsidP="0051715E">
      <w:pPr>
        <w:spacing w:after="0" w:line="360" w:lineRule="auto"/>
        <w:rPr>
          <w:rFonts w:cs="Arial"/>
        </w:rPr>
      </w:pPr>
    </w:p>
    <w:p w14:paraId="4F4DEE03" w14:textId="0CD5DAF0" w:rsidR="00DB5BA7" w:rsidRPr="00296D0C" w:rsidRDefault="00DB5BA7" w:rsidP="0051715E">
      <w:pPr>
        <w:spacing w:after="0" w:line="360" w:lineRule="auto"/>
        <w:rPr>
          <w:rFonts w:eastAsia="Times New Roman"/>
        </w:rPr>
      </w:pPr>
      <w:r w:rsidRPr="00296D0C">
        <w:rPr>
          <w:rFonts w:cs="Arial"/>
        </w:rPr>
        <w:t xml:space="preserve">School </w:t>
      </w:r>
      <w:r w:rsidR="00A83748" w:rsidRPr="00296D0C">
        <w:rPr>
          <w:rFonts w:cs="Arial"/>
        </w:rPr>
        <w:t xml:space="preserve">level </w:t>
      </w:r>
      <w:r w:rsidRPr="00296D0C">
        <w:rPr>
          <w:rFonts w:cs="Arial"/>
        </w:rPr>
        <w:t xml:space="preserve">engagement </w:t>
      </w:r>
      <w:r w:rsidRPr="00296D0C">
        <w:rPr>
          <w:rFonts w:eastAsia="Times New Roman"/>
        </w:rPr>
        <w:t xml:space="preserve">was assessed using three scores based on the </w:t>
      </w:r>
      <w:r w:rsidRPr="00296D0C">
        <w:t>HeLP Coordinator</w:t>
      </w:r>
      <w:r w:rsidRPr="00296D0C">
        <w:rPr>
          <w:rFonts w:eastAsia="Times New Roman"/>
        </w:rPr>
        <w:t xml:space="preserve"> interaction with and observations of the h</w:t>
      </w:r>
      <w:r w:rsidR="00A83748" w:rsidRPr="00296D0C">
        <w:rPr>
          <w:rFonts w:eastAsia="Times New Roman"/>
        </w:rPr>
        <w:t>ead teacher, the Y</w:t>
      </w:r>
      <w:r w:rsidRPr="00296D0C">
        <w:rPr>
          <w:rFonts w:eastAsia="Times New Roman"/>
        </w:rPr>
        <w:t xml:space="preserve">ear 5 teacher(s) and the </w:t>
      </w:r>
      <w:r w:rsidR="00A83748" w:rsidRPr="00296D0C">
        <w:rPr>
          <w:rFonts w:eastAsia="Times New Roman"/>
        </w:rPr>
        <w:t>school</w:t>
      </w:r>
      <w:r w:rsidR="00A77DAF" w:rsidRPr="00296D0C">
        <w:rPr>
          <w:rFonts w:eastAsia="Times New Roman"/>
        </w:rPr>
        <w:t xml:space="preserve"> </w:t>
      </w:r>
      <w:r w:rsidRPr="00296D0C">
        <w:rPr>
          <w:rFonts w:eastAsia="Times New Roman"/>
        </w:rPr>
        <w:t xml:space="preserve">support staff. </w:t>
      </w:r>
    </w:p>
    <w:p w14:paraId="66558B0A" w14:textId="4894E8B3" w:rsidR="001D34D8" w:rsidRPr="00296D0C" w:rsidRDefault="00DB5BA7" w:rsidP="0051715E">
      <w:pPr>
        <w:spacing w:after="0" w:line="360" w:lineRule="auto"/>
        <w:rPr>
          <w:rFonts w:eastAsia="Times New Roman"/>
        </w:rPr>
      </w:pPr>
      <w:r w:rsidRPr="00296D0C">
        <w:rPr>
          <w:rFonts w:eastAsia="Times New Roman"/>
        </w:rPr>
        <w:t xml:space="preserve">A score between 0 and 3 was given to each </w:t>
      </w:r>
      <w:r w:rsidR="001D34D8">
        <w:rPr>
          <w:rFonts w:eastAsia="Times New Roman"/>
        </w:rPr>
        <w:t>staff member, outlined above:</w:t>
      </w:r>
    </w:p>
    <w:p w14:paraId="60023E42" w14:textId="77777777" w:rsidR="001D34D8" w:rsidRDefault="00DB5BA7" w:rsidP="00055A28">
      <w:pPr>
        <w:spacing w:after="0" w:line="360" w:lineRule="auto"/>
        <w:ind w:firstLine="720"/>
        <w:rPr>
          <w:rFonts w:eastAsia="Times New Roman"/>
        </w:rPr>
      </w:pPr>
      <w:r w:rsidRPr="00296D0C">
        <w:rPr>
          <w:rFonts w:eastAsia="Times New Roman"/>
        </w:rPr>
        <w:t>0</w:t>
      </w:r>
      <w:r w:rsidR="00890008" w:rsidRPr="00296D0C">
        <w:rPr>
          <w:rFonts w:eastAsia="Times New Roman"/>
        </w:rPr>
        <w:t xml:space="preserve"> </w:t>
      </w:r>
      <w:r w:rsidR="001D34D8">
        <w:rPr>
          <w:rFonts w:eastAsia="Times New Roman"/>
        </w:rPr>
        <w:t>= unengaged/uncooperative</w:t>
      </w:r>
    </w:p>
    <w:p w14:paraId="7B66764C" w14:textId="77777777" w:rsidR="001D34D8" w:rsidRDefault="00DB5BA7" w:rsidP="00055A28">
      <w:pPr>
        <w:spacing w:after="0" w:line="360" w:lineRule="auto"/>
        <w:ind w:firstLine="720"/>
        <w:rPr>
          <w:rFonts w:eastAsia="Times New Roman"/>
        </w:rPr>
      </w:pPr>
      <w:r w:rsidRPr="00296D0C">
        <w:rPr>
          <w:rFonts w:eastAsia="Times New Roman"/>
        </w:rPr>
        <w:t>1</w:t>
      </w:r>
      <w:r w:rsidR="00890008" w:rsidRPr="00296D0C">
        <w:rPr>
          <w:rFonts w:eastAsia="Times New Roman"/>
        </w:rPr>
        <w:t xml:space="preserve"> </w:t>
      </w:r>
      <w:r w:rsidR="001D34D8">
        <w:rPr>
          <w:rFonts w:eastAsia="Times New Roman"/>
        </w:rPr>
        <w:t>= supportive</w:t>
      </w:r>
    </w:p>
    <w:p w14:paraId="35D486D3" w14:textId="77777777" w:rsidR="001D34D8" w:rsidRDefault="00DB5BA7" w:rsidP="00055A28">
      <w:pPr>
        <w:spacing w:after="0" w:line="360" w:lineRule="auto"/>
        <w:ind w:firstLine="720"/>
        <w:rPr>
          <w:rFonts w:eastAsia="Times New Roman"/>
        </w:rPr>
      </w:pPr>
      <w:r w:rsidRPr="00296D0C">
        <w:rPr>
          <w:rFonts w:eastAsia="Times New Roman"/>
        </w:rPr>
        <w:t>2</w:t>
      </w:r>
      <w:r w:rsidR="00890008" w:rsidRPr="00296D0C">
        <w:rPr>
          <w:rFonts w:eastAsia="Times New Roman"/>
        </w:rPr>
        <w:t xml:space="preserve"> </w:t>
      </w:r>
      <w:r w:rsidR="001D34D8">
        <w:rPr>
          <w:rFonts w:eastAsia="Times New Roman"/>
        </w:rPr>
        <w:t>= enthusiastic and supportive</w:t>
      </w:r>
      <w:r w:rsidRPr="00296D0C">
        <w:rPr>
          <w:rFonts w:eastAsia="Times New Roman"/>
        </w:rPr>
        <w:t xml:space="preserve"> </w:t>
      </w:r>
    </w:p>
    <w:p w14:paraId="7BB0DBCD" w14:textId="2E14B6F3" w:rsidR="00DB5BA7" w:rsidRPr="00296D0C" w:rsidRDefault="00DB5BA7" w:rsidP="00055A28">
      <w:pPr>
        <w:spacing w:after="0" w:line="360" w:lineRule="auto"/>
        <w:ind w:firstLine="720"/>
        <w:rPr>
          <w:rFonts w:eastAsia="Times New Roman"/>
        </w:rPr>
      </w:pPr>
      <w:r w:rsidRPr="00296D0C">
        <w:rPr>
          <w:rFonts w:eastAsia="Times New Roman"/>
        </w:rPr>
        <w:t>3</w:t>
      </w:r>
      <w:r w:rsidR="00890008" w:rsidRPr="00296D0C">
        <w:rPr>
          <w:rFonts w:eastAsia="Times New Roman"/>
        </w:rPr>
        <w:t xml:space="preserve"> </w:t>
      </w:r>
      <w:r w:rsidRPr="00296D0C">
        <w:rPr>
          <w:rFonts w:eastAsia="Times New Roman"/>
        </w:rPr>
        <w:t>= very enthusiastic and used HeLP in other aspect</w:t>
      </w:r>
      <w:r w:rsidR="001D34D8">
        <w:rPr>
          <w:rFonts w:eastAsia="Times New Roman"/>
        </w:rPr>
        <w:t>s of teaching/school activities</w:t>
      </w:r>
      <w:r w:rsidRPr="00296D0C">
        <w:rPr>
          <w:rFonts w:eastAsia="Times New Roman"/>
        </w:rPr>
        <w:t xml:space="preserve">. </w:t>
      </w:r>
    </w:p>
    <w:p w14:paraId="4AED4B32" w14:textId="77777777" w:rsidR="00DB5BA7" w:rsidRPr="00296D0C" w:rsidRDefault="00DB5BA7" w:rsidP="0051715E">
      <w:pPr>
        <w:spacing w:after="0" w:line="360" w:lineRule="auto"/>
        <w:rPr>
          <w:rFonts w:eastAsiaTheme="majorEastAsia" w:cs="Times New Roman"/>
          <w:b/>
        </w:rPr>
      </w:pPr>
      <w:r w:rsidRPr="00296D0C">
        <w:rPr>
          <w:rFonts w:eastAsiaTheme="majorEastAsia" w:cs="Times New Roman"/>
          <w:b/>
        </w:rPr>
        <w:t>Field notes</w:t>
      </w:r>
    </w:p>
    <w:p w14:paraId="0C6AA398" w14:textId="1FFDDEEE" w:rsidR="00DB5BA7" w:rsidRPr="00296D0C" w:rsidRDefault="00DB5BA7" w:rsidP="0051715E">
      <w:pPr>
        <w:spacing w:after="0" w:line="360" w:lineRule="auto"/>
        <w:rPr>
          <w:rFonts w:cs="Times New Roman"/>
        </w:rPr>
      </w:pPr>
      <w:r w:rsidRPr="00296D0C">
        <w:rPr>
          <w:rFonts w:cs="Times New Roman"/>
        </w:rPr>
        <w:t xml:space="preserve">Each </w:t>
      </w:r>
      <w:r w:rsidRPr="00296D0C">
        <w:t>HeLP Coordinator</w:t>
      </w:r>
      <w:r w:rsidRPr="00296D0C">
        <w:rPr>
          <w:rFonts w:cs="Arial"/>
        </w:rPr>
        <w:t xml:space="preserve"> </w:t>
      </w:r>
      <w:r w:rsidRPr="00296D0C">
        <w:rPr>
          <w:rFonts w:cs="Times New Roman"/>
        </w:rPr>
        <w:t>kept recorded notes in a diary of their informal interactions and observations of staff and children during the intervention, which fed into their assessment of staff and ch</w:t>
      </w:r>
      <w:r w:rsidR="00A83748" w:rsidRPr="00296D0C">
        <w:rPr>
          <w:rFonts w:cs="Times New Roman"/>
        </w:rPr>
        <w:t>ild engagement. In addition the HeLP Coordinators</w:t>
      </w:r>
      <w:r w:rsidRPr="00296D0C">
        <w:rPr>
          <w:rFonts w:cs="Times New Roman"/>
        </w:rPr>
        <w:t xml:space="preserve"> recorded any unintended </w:t>
      </w:r>
      <w:r w:rsidR="009C5B2B" w:rsidRPr="00296D0C">
        <w:rPr>
          <w:rFonts w:cs="Times New Roman"/>
        </w:rPr>
        <w:t xml:space="preserve">consequences of the </w:t>
      </w:r>
      <w:r w:rsidR="00AA7A6D">
        <w:rPr>
          <w:rFonts w:cs="Times New Roman"/>
        </w:rPr>
        <w:t>p</w:t>
      </w:r>
      <w:r w:rsidR="009C5B2B" w:rsidRPr="00296D0C">
        <w:rPr>
          <w:rFonts w:cs="Times New Roman"/>
        </w:rPr>
        <w:t>rogramme.</w:t>
      </w:r>
    </w:p>
    <w:p w14:paraId="7212BD4E" w14:textId="77777777" w:rsidR="00DB5BA7" w:rsidRPr="00296D0C" w:rsidRDefault="00DB5BA7" w:rsidP="0051715E">
      <w:pPr>
        <w:spacing w:after="0" w:line="360" w:lineRule="auto"/>
        <w:rPr>
          <w:rFonts w:eastAsiaTheme="majorEastAsia" w:cs="Times New Roman"/>
          <w:b/>
        </w:rPr>
      </w:pPr>
      <w:r w:rsidRPr="00296D0C">
        <w:rPr>
          <w:rFonts w:eastAsiaTheme="majorEastAsia" w:cs="Times New Roman"/>
          <w:b/>
        </w:rPr>
        <w:t>Registers of attendance</w:t>
      </w:r>
    </w:p>
    <w:p w14:paraId="53F5574A" w14:textId="4D29947F" w:rsidR="00DB5BA7" w:rsidRPr="00296D0C" w:rsidRDefault="00DB5BA7" w:rsidP="0051715E">
      <w:pPr>
        <w:spacing w:after="0" w:line="360" w:lineRule="auto"/>
        <w:rPr>
          <w:rFonts w:cs="Times New Roman"/>
        </w:rPr>
      </w:pPr>
      <w:r w:rsidRPr="00296D0C">
        <w:rPr>
          <w:rFonts w:cs="Times New Roman"/>
        </w:rPr>
        <w:t xml:space="preserve">Registers of attendance were kept by the </w:t>
      </w:r>
      <w:r w:rsidRPr="00296D0C">
        <w:t>HeLP Coordinator</w:t>
      </w:r>
      <w:r w:rsidRPr="00296D0C">
        <w:rPr>
          <w:rFonts w:cs="Arial"/>
        </w:rPr>
        <w:t xml:space="preserve"> </w:t>
      </w:r>
      <w:r w:rsidRPr="00296D0C">
        <w:rPr>
          <w:rFonts w:cs="Times New Roman"/>
        </w:rPr>
        <w:t>for all intervention components and for parental attendance at parental engagement events (i.e. parents invited to the school to observe activities). The Year 5 teachers were asked to keep a register for each P</w:t>
      </w:r>
      <w:r w:rsidR="009C5B2B" w:rsidRPr="00296D0C">
        <w:rPr>
          <w:rFonts w:cs="Times New Roman"/>
        </w:rPr>
        <w:t xml:space="preserve">ersonal </w:t>
      </w:r>
      <w:r w:rsidRPr="00296D0C">
        <w:rPr>
          <w:rFonts w:cs="Times New Roman"/>
        </w:rPr>
        <w:t>S</w:t>
      </w:r>
      <w:r w:rsidR="009C5B2B" w:rsidRPr="00296D0C">
        <w:rPr>
          <w:rFonts w:cs="Times New Roman"/>
        </w:rPr>
        <w:t xml:space="preserve">ocial </w:t>
      </w:r>
      <w:r w:rsidRPr="00296D0C">
        <w:rPr>
          <w:rFonts w:cs="Times New Roman"/>
        </w:rPr>
        <w:t>H</w:t>
      </w:r>
      <w:r w:rsidR="009C5B2B" w:rsidRPr="00296D0C">
        <w:rPr>
          <w:rFonts w:cs="Times New Roman"/>
        </w:rPr>
        <w:t xml:space="preserve">ealth </w:t>
      </w:r>
      <w:r w:rsidRPr="00296D0C">
        <w:rPr>
          <w:rFonts w:cs="Times New Roman"/>
        </w:rPr>
        <w:t>E</w:t>
      </w:r>
      <w:r w:rsidR="009C5B2B" w:rsidRPr="00296D0C">
        <w:rPr>
          <w:rFonts w:cs="Times New Roman"/>
        </w:rPr>
        <w:t>ducation</w:t>
      </w:r>
      <w:r w:rsidRPr="00296D0C">
        <w:rPr>
          <w:rFonts w:cs="Times New Roman"/>
        </w:rPr>
        <w:t xml:space="preserve"> lesson they delivered during the Healthy Lifestyles Week and this was given to the </w:t>
      </w:r>
      <w:r w:rsidRPr="00296D0C">
        <w:t>HeLP Coordinator</w:t>
      </w:r>
      <w:r w:rsidRPr="00296D0C">
        <w:rPr>
          <w:rFonts w:cs="Times New Roman"/>
        </w:rPr>
        <w:t xml:space="preserve">. </w:t>
      </w:r>
    </w:p>
    <w:p w14:paraId="062298C3" w14:textId="77777777" w:rsidR="00DB5BA7" w:rsidRPr="00296D0C" w:rsidRDefault="00DB5BA7" w:rsidP="0051715E">
      <w:pPr>
        <w:spacing w:after="0" w:line="360" w:lineRule="auto"/>
        <w:rPr>
          <w:rFonts w:eastAsiaTheme="majorEastAsia" w:cs="Times New Roman"/>
          <w:b/>
        </w:rPr>
      </w:pPr>
      <w:r w:rsidRPr="00296D0C">
        <w:rPr>
          <w:rFonts w:eastAsiaTheme="majorEastAsia" w:cs="Times New Roman"/>
          <w:b/>
        </w:rPr>
        <w:t>Parental signature</w:t>
      </w:r>
    </w:p>
    <w:p w14:paraId="784B3360" w14:textId="728D37D4" w:rsidR="00DB5BA7" w:rsidRPr="00296D0C" w:rsidRDefault="00DB5BA7" w:rsidP="0051715E">
      <w:pPr>
        <w:spacing w:after="0" w:line="360" w:lineRule="auto"/>
        <w:rPr>
          <w:rFonts w:cs="Times New Roman"/>
        </w:rPr>
      </w:pPr>
      <w:r w:rsidRPr="00296D0C">
        <w:rPr>
          <w:rFonts w:cs="Times New Roman"/>
        </w:rPr>
        <w:t xml:space="preserve">In Phase 3 of the intervention, children were asked to set goals at home with their parents on a goal setting proforma prior to having their 1-1 discussion with the </w:t>
      </w:r>
      <w:r w:rsidRPr="00296D0C">
        <w:t>HeLP Coordinator</w:t>
      </w:r>
      <w:r w:rsidRPr="00296D0C">
        <w:rPr>
          <w:rFonts w:cs="Times New Roman"/>
        </w:rPr>
        <w:t>. Parents were asked to sign the form once discussions had taken place. All goal set</w:t>
      </w:r>
      <w:r w:rsidR="00A83748" w:rsidRPr="00296D0C">
        <w:rPr>
          <w:rFonts w:cs="Times New Roman"/>
        </w:rPr>
        <w:t>ting proformas were collected</w:t>
      </w:r>
      <w:r w:rsidRPr="00296D0C">
        <w:rPr>
          <w:rFonts w:cs="Times New Roman"/>
        </w:rPr>
        <w:t xml:space="preserve"> by the </w:t>
      </w:r>
      <w:r w:rsidRPr="00296D0C">
        <w:t>HeLP Coordinator</w:t>
      </w:r>
      <w:r w:rsidR="009C5B2B" w:rsidRPr="00296D0C">
        <w:rPr>
          <w:rFonts w:cs="Times New Roman"/>
        </w:rPr>
        <w:t xml:space="preserve"> following the 1-1 discussion and a copy of the goals sent back to each parent/ carer.</w:t>
      </w:r>
    </w:p>
    <w:p w14:paraId="77FECF1A" w14:textId="4DA0846E" w:rsidR="00DB5BA7" w:rsidRPr="00296D0C" w:rsidRDefault="00A00706" w:rsidP="005F6B15">
      <w:pPr>
        <w:keepNext/>
        <w:keepLines/>
        <w:spacing w:before="200" w:after="0"/>
        <w:outlineLvl w:val="3"/>
        <w:rPr>
          <w:rFonts w:eastAsiaTheme="majorEastAsia" w:cs="Times New Roman"/>
          <w:b/>
        </w:rPr>
      </w:pPr>
      <w:r w:rsidRPr="00296D0C">
        <w:rPr>
          <w:rFonts w:eastAsiaTheme="majorEastAsia" w:cs="Times New Roman"/>
          <w:b/>
        </w:rPr>
        <w:lastRenderedPageBreak/>
        <w:t>5.</w:t>
      </w:r>
      <w:r w:rsidR="00764A81" w:rsidRPr="00296D0C">
        <w:rPr>
          <w:rFonts w:eastAsiaTheme="majorEastAsia" w:cs="Times New Roman"/>
          <w:b/>
        </w:rPr>
        <w:t>2.</w:t>
      </w:r>
      <w:r w:rsidR="005F6B15" w:rsidRPr="00296D0C">
        <w:rPr>
          <w:rFonts w:eastAsiaTheme="majorEastAsia" w:cs="Times New Roman"/>
          <w:b/>
        </w:rPr>
        <w:t>1.</w:t>
      </w:r>
      <w:r w:rsidR="00F21C70" w:rsidRPr="00296D0C">
        <w:rPr>
          <w:rFonts w:eastAsiaTheme="majorEastAsia" w:cs="Times New Roman"/>
          <w:b/>
        </w:rPr>
        <w:t>2</w:t>
      </w:r>
      <w:r w:rsidRPr="00296D0C">
        <w:rPr>
          <w:rFonts w:eastAsiaTheme="majorEastAsia" w:cs="Times New Roman"/>
          <w:b/>
        </w:rPr>
        <w:t xml:space="preserve"> </w:t>
      </w:r>
      <w:r w:rsidR="00DB5BA7" w:rsidRPr="00296D0C">
        <w:rPr>
          <w:rFonts w:eastAsiaTheme="majorEastAsia" w:cs="Times New Roman"/>
          <w:b/>
        </w:rPr>
        <w:t>Analysis</w:t>
      </w:r>
    </w:p>
    <w:p w14:paraId="44F59767" w14:textId="0CFE524B" w:rsidR="00D93066" w:rsidRPr="00296D0C" w:rsidRDefault="00DB5BA7" w:rsidP="001D34D8">
      <w:pPr>
        <w:spacing w:after="0" w:line="360" w:lineRule="auto"/>
        <w:rPr>
          <w:rFonts w:cs="Times New Roman"/>
        </w:rPr>
      </w:pPr>
      <w:r w:rsidRPr="00296D0C">
        <w:rPr>
          <w:rFonts w:cs="Times New Roman"/>
        </w:rPr>
        <w:t>All qualitative and quantitative process data were analysed blind to trial outcome and, initially, analysed separately. The different data sources were then combined to address each research question. Details of the analyses and subsequent synthesis are d</w:t>
      </w:r>
      <w:r w:rsidR="001D34D8">
        <w:rPr>
          <w:rFonts w:cs="Times New Roman"/>
        </w:rPr>
        <w:t>escribed in the sections below.</w:t>
      </w:r>
    </w:p>
    <w:p w14:paraId="45D7DDE1" w14:textId="77777777" w:rsidR="001D34D8" w:rsidRDefault="00DB5BA7" w:rsidP="001D34D8">
      <w:pPr>
        <w:spacing w:after="0" w:line="360" w:lineRule="auto"/>
        <w:rPr>
          <w:rFonts w:eastAsiaTheme="majorEastAsia" w:cs="Times New Roman"/>
          <w:b/>
          <w:bCs/>
          <w:iCs/>
        </w:rPr>
      </w:pPr>
      <w:r w:rsidRPr="00296D0C">
        <w:rPr>
          <w:rFonts w:eastAsiaTheme="majorEastAsia" w:cs="Times New Roman"/>
          <w:b/>
          <w:bCs/>
          <w:iCs/>
        </w:rPr>
        <w:t xml:space="preserve">Data from </w:t>
      </w:r>
      <w:r w:rsidR="00A83748" w:rsidRPr="00296D0C">
        <w:rPr>
          <w:rFonts w:eastAsiaTheme="majorEastAsia" w:cs="Times New Roman"/>
          <w:b/>
          <w:bCs/>
          <w:iCs/>
        </w:rPr>
        <w:t>registers, parent questionnaire and</w:t>
      </w:r>
      <w:r w:rsidRPr="00296D0C">
        <w:rPr>
          <w:rFonts w:eastAsiaTheme="majorEastAsia" w:cs="Times New Roman"/>
          <w:b/>
          <w:bCs/>
          <w:iCs/>
        </w:rPr>
        <w:t xml:space="preserve"> goal setting sheets</w:t>
      </w:r>
    </w:p>
    <w:p w14:paraId="7E7BEEC1" w14:textId="0567EBD1" w:rsidR="00DB5BA7" w:rsidRPr="00296D0C" w:rsidRDefault="00DB5BA7" w:rsidP="001D34D8">
      <w:pPr>
        <w:spacing w:after="0" w:line="360" w:lineRule="auto"/>
      </w:pPr>
      <w:r w:rsidRPr="00296D0C">
        <w:t>Child and parental attendance at events, parental signature on the goal setting sheet and both quantitative and more open qualitative responses from the parent questionnaire were entered into a Microsoft Access® (2014 version, Microsoft Corporation, Redmond, WA, USA) database. The data were then exported into Microsoft Excel® (2014 version, Microsoft Corporation, Redmond, WA, USA) and then imported to NVivo (Version 11, QRS International, Warrington, UK) or Stata (Version</w:t>
      </w:r>
      <w:r w:rsidR="00A90974" w:rsidRPr="00296D0C">
        <w:t xml:space="preserve"> 14</w:t>
      </w:r>
      <w:r w:rsidRPr="00296D0C">
        <w:t xml:space="preserve">, StataCorp LP, College Station, TX, USA). </w:t>
      </w:r>
    </w:p>
    <w:p w14:paraId="4F5EB2E9" w14:textId="6238C9BF" w:rsidR="000235E2" w:rsidRDefault="00DB5BA7" w:rsidP="001D34D8">
      <w:pPr>
        <w:spacing w:after="0" w:line="360" w:lineRule="auto"/>
      </w:pPr>
      <w:r w:rsidRPr="00296D0C">
        <w:t xml:space="preserve">The parental engagement score was measured using two sources of data; attendance at one or more parent events and/or signature on the goal setting sheet. A score between 0 </w:t>
      </w:r>
      <w:r w:rsidR="001D34D8">
        <w:t xml:space="preserve">and 2 was given to each </w:t>
      </w:r>
      <w:r w:rsidR="000235E2">
        <w:t>parent;</w:t>
      </w:r>
    </w:p>
    <w:p w14:paraId="3CF17939" w14:textId="77777777" w:rsidR="001D34D8" w:rsidRDefault="00DB5BA7" w:rsidP="000235E2">
      <w:pPr>
        <w:spacing w:after="0" w:line="360" w:lineRule="auto"/>
        <w:ind w:firstLine="720"/>
      </w:pPr>
      <w:r w:rsidRPr="00296D0C">
        <w:t>0</w:t>
      </w:r>
      <w:r w:rsidR="00890008" w:rsidRPr="00296D0C">
        <w:t xml:space="preserve"> </w:t>
      </w:r>
      <w:r w:rsidRPr="00296D0C">
        <w:t>= did not attend</w:t>
      </w:r>
      <w:r w:rsidR="001D34D8">
        <w:t xml:space="preserve"> any activity</w:t>
      </w:r>
      <w:r w:rsidRPr="00296D0C">
        <w:t>/did not sign</w:t>
      </w:r>
      <w:r w:rsidR="001D34D8">
        <w:t xml:space="preserve"> the goal setting sheet</w:t>
      </w:r>
      <w:r w:rsidRPr="00296D0C">
        <w:t>;</w:t>
      </w:r>
    </w:p>
    <w:p w14:paraId="15C4B56E" w14:textId="77777777" w:rsidR="001D34D8" w:rsidRDefault="00DB5BA7" w:rsidP="000235E2">
      <w:pPr>
        <w:spacing w:after="0" w:line="360" w:lineRule="auto"/>
        <w:ind w:firstLine="720"/>
      </w:pPr>
      <w:r w:rsidRPr="00296D0C">
        <w:t>1</w:t>
      </w:r>
      <w:r w:rsidR="00890008" w:rsidRPr="00296D0C">
        <w:t xml:space="preserve"> </w:t>
      </w:r>
      <w:r w:rsidRPr="00296D0C">
        <w:t>=</w:t>
      </w:r>
      <w:r w:rsidR="00890008" w:rsidRPr="00296D0C">
        <w:t xml:space="preserve"> </w:t>
      </w:r>
      <w:r w:rsidRPr="00296D0C">
        <w:t xml:space="preserve">attended one or more events or signed the goal setting sheet (but not both); </w:t>
      </w:r>
    </w:p>
    <w:p w14:paraId="491BA0DE" w14:textId="41C48664" w:rsidR="001D34D8" w:rsidRDefault="00DB5BA7" w:rsidP="000235E2">
      <w:pPr>
        <w:spacing w:after="0" w:line="360" w:lineRule="auto"/>
        <w:ind w:firstLine="720"/>
      </w:pPr>
      <w:r w:rsidRPr="00296D0C">
        <w:t xml:space="preserve">2 = attended one or more events and signed the sheet). </w:t>
      </w:r>
    </w:p>
    <w:p w14:paraId="73835247" w14:textId="0F2993E6" w:rsidR="00DB5BA7" w:rsidRPr="00296D0C" w:rsidRDefault="00DB5BA7" w:rsidP="001D34D8">
      <w:pPr>
        <w:spacing w:after="0" w:line="360" w:lineRule="auto"/>
      </w:pPr>
      <w:r w:rsidRPr="00296D0C">
        <w:t>Parents were then dichotomised into two groups (≥ 1 = engaged parent, &lt; 1 = less engaged parent).</w:t>
      </w:r>
    </w:p>
    <w:p w14:paraId="0FF86ADA" w14:textId="77777777" w:rsidR="00DB5BA7" w:rsidRPr="00296D0C" w:rsidRDefault="00DB5BA7" w:rsidP="001D34D8">
      <w:pPr>
        <w:spacing w:after="0" w:line="360" w:lineRule="auto"/>
      </w:pPr>
    </w:p>
    <w:p w14:paraId="4827E6D1" w14:textId="77777777" w:rsidR="00DB5BA7" w:rsidRPr="00296D0C" w:rsidRDefault="00DB5BA7" w:rsidP="001D34D8">
      <w:pPr>
        <w:spacing w:after="0" w:line="360" w:lineRule="auto"/>
        <w:rPr>
          <w:rFonts w:eastAsiaTheme="majorEastAsia" w:cs="Times New Roman"/>
          <w:b/>
          <w:bCs/>
          <w:iCs/>
        </w:rPr>
      </w:pPr>
      <w:r w:rsidRPr="00296D0C">
        <w:rPr>
          <w:rFonts w:eastAsiaTheme="majorEastAsia" w:cs="Times New Roman"/>
          <w:b/>
          <w:bCs/>
          <w:iCs/>
        </w:rPr>
        <w:t>Qualitative Data (interviews and focus groups)</w:t>
      </w:r>
    </w:p>
    <w:p w14:paraId="1CBE3079" w14:textId="79629B82" w:rsidR="00D93066" w:rsidRPr="00296D0C" w:rsidRDefault="00A83748" w:rsidP="00A83748">
      <w:pPr>
        <w:spacing w:after="0" w:line="360" w:lineRule="auto"/>
      </w:pPr>
      <w:r w:rsidRPr="00296D0C">
        <w:t>Interviews and focus groups were digitally recorded and verbatim transcripts prepared from the sound files. The transcripts were checked for accuracy against the sound files and corrections were made if required. Any comments that could identify people or schools were anonymised before the transcripts were imported into NVivo. A deductive approach was used to code the data.  Four transcripts from the Cohort 1 focus groups were selected (two engaged and two less engaged) from each HeLP Coordinator’s group of schools and read by the Cohort 1 HeLP Coordinators and Trial Manager and an initial code framework was agreed.  Minor edits were made to the topic guide for the Cohort 2 focus groups. A similar process was used with the Cohort 2 focus groups and the initial codes were discussed, refined or amended and a new coding framework produced by HeLP Coordinators and Trial Manager.  This coding framework was then used by the HeLP Coordinators and one independent researcher to code the remaining focus groups. The parent and teacher interviews were coded using a similar approach with the coding framework being edited at each stage. The Trial Manager coded 20% of the transcripts, with the Principal Investigator providing verification for half of the 20% checked by the T</w:t>
      </w:r>
      <w:r w:rsidR="00383B6B" w:rsidRPr="00296D0C">
        <w:t xml:space="preserve">rial </w:t>
      </w:r>
      <w:r w:rsidRPr="00296D0C">
        <w:t>M</w:t>
      </w:r>
      <w:r w:rsidR="00383B6B" w:rsidRPr="00296D0C">
        <w:t>anager</w:t>
      </w:r>
      <w:r w:rsidRPr="00296D0C">
        <w:t xml:space="preserve">. The codes were then categorised (second cycle coding) to identify emerging themes and sub-themes. Data from all sources (parent </w:t>
      </w:r>
      <w:r w:rsidRPr="00296D0C">
        <w:lastRenderedPageBreak/>
        <w:t>and teacher interviews and focus groups) were collated for each theme/sub-theme and transferred into tables. The resulting tables were then analysed to look for agreement, partial agreement, silence or dissonance fr</w:t>
      </w:r>
      <w:r w:rsidR="001D34D8">
        <w:t xml:space="preserve">om the different data sources. </w:t>
      </w:r>
    </w:p>
    <w:p w14:paraId="0B7CAA10" w14:textId="77777777" w:rsidR="00055A28" w:rsidRDefault="00055A28" w:rsidP="001D34D8">
      <w:pPr>
        <w:spacing w:after="0" w:line="360" w:lineRule="auto"/>
        <w:rPr>
          <w:rFonts w:eastAsiaTheme="majorEastAsia" w:cs="Times New Roman"/>
          <w:b/>
          <w:bCs/>
          <w:iCs/>
        </w:rPr>
      </w:pPr>
    </w:p>
    <w:p w14:paraId="3CE4DAF5" w14:textId="77777777" w:rsidR="00DB5BA7" w:rsidRPr="00296D0C" w:rsidRDefault="00DB5BA7" w:rsidP="001D34D8">
      <w:pPr>
        <w:spacing w:after="0" w:line="360" w:lineRule="auto"/>
        <w:rPr>
          <w:rFonts w:eastAsiaTheme="majorEastAsia" w:cs="Times New Roman"/>
          <w:b/>
          <w:bCs/>
          <w:iCs/>
        </w:rPr>
      </w:pPr>
      <w:r w:rsidRPr="00296D0C">
        <w:rPr>
          <w:rFonts w:eastAsiaTheme="majorEastAsia" w:cs="Times New Roman"/>
          <w:b/>
          <w:bCs/>
          <w:iCs/>
        </w:rPr>
        <w:t>Observational Data (checklists and field notes)</w:t>
      </w:r>
    </w:p>
    <w:p w14:paraId="32B0AF96" w14:textId="5429D040" w:rsidR="00DB5BA7" w:rsidRPr="00296D0C" w:rsidRDefault="00DB5BA7" w:rsidP="001D34D8">
      <w:pPr>
        <w:spacing w:after="0" w:line="360" w:lineRule="auto"/>
        <w:rPr>
          <w:rFonts w:cs="Arial"/>
        </w:rPr>
      </w:pPr>
      <w:r w:rsidRPr="00296D0C">
        <w:rPr>
          <w:rFonts w:cs="Arial"/>
        </w:rPr>
        <w:t>Delivery to function: The four scores</w:t>
      </w:r>
      <w:r w:rsidR="002B27DF" w:rsidRPr="00296D0C">
        <w:rPr>
          <w:rFonts w:cs="Arial"/>
        </w:rPr>
        <w:t xml:space="preserve"> (enthusiastic delivery, engaged/ participating children, engaged parents, engaged school staff) </w:t>
      </w:r>
      <w:r w:rsidRPr="00296D0C">
        <w:rPr>
          <w:rFonts w:cs="Arial"/>
        </w:rPr>
        <w:t>per observation in each school were averaged</w:t>
      </w:r>
      <w:r w:rsidR="00A83748" w:rsidRPr="00296D0C">
        <w:rPr>
          <w:rFonts w:cs="Arial"/>
        </w:rPr>
        <w:t xml:space="preserve"> (mean score)</w:t>
      </w:r>
      <w:r w:rsidRPr="00296D0C">
        <w:rPr>
          <w:rFonts w:cs="Arial"/>
        </w:rPr>
        <w:t xml:space="preserve"> to create a single score out of 10 for each of the four components observed</w:t>
      </w:r>
      <w:r w:rsidR="002B27DF" w:rsidRPr="00296D0C">
        <w:rPr>
          <w:rFonts w:cs="Arial"/>
        </w:rPr>
        <w:t xml:space="preserve"> (</w:t>
      </w:r>
      <w:r w:rsidR="002B27DF" w:rsidRPr="00296D0C">
        <w:rPr>
          <w:iCs/>
        </w:rPr>
        <w:t>parent assembly in Phase 1, the Healthy Lifestyles Week in Phase 2, the parent assembly in Phase 3 and the class delivered assembly in Phase 4)</w:t>
      </w:r>
      <w:r w:rsidRPr="00296D0C">
        <w:rPr>
          <w:rFonts w:cs="Arial"/>
        </w:rPr>
        <w:t xml:space="preserve">. These four scores were then averaged </w:t>
      </w:r>
      <w:r w:rsidR="00A83748" w:rsidRPr="00296D0C">
        <w:rPr>
          <w:rFonts w:cs="Arial"/>
        </w:rPr>
        <w:t xml:space="preserve">again </w:t>
      </w:r>
      <w:r w:rsidRPr="00296D0C">
        <w:rPr>
          <w:rFonts w:cs="Arial"/>
        </w:rPr>
        <w:t xml:space="preserve">to produce a single delivery </w:t>
      </w:r>
      <w:r w:rsidR="002B27DF" w:rsidRPr="00296D0C">
        <w:rPr>
          <w:rFonts w:cs="Arial"/>
        </w:rPr>
        <w:t xml:space="preserve">mean </w:t>
      </w:r>
      <w:r w:rsidRPr="00296D0C">
        <w:rPr>
          <w:rFonts w:cs="Arial"/>
        </w:rPr>
        <w:t xml:space="preserve">score per school. A score ≥ to 8 </w:t>
      </w:r>
      <w:r w:rsidR="002B27DF" w:rsidRPr="00296D0C">
        <w:rPr>
          <w:rFonts w:cs="Arial"/>
        </w:rPr>
        <w:t>was pre-specified to indicate</w:t>
      </w:r>
      <w:r w:rsidRPr="00296D0C">
        <w:rPr>
          <w:rFonts w:cs="Arial"/>
        </w:rPr>
        <w:t xml:space="preserve"> that the intervention had been delivered as designed i.e. in the ‘spirit’ of HeLP.</w:t>
      </w:r>
    </w:p>
    <w:p w14:paraId="3F4CEB61" w14:textId="695E117F" w:rsidR="00DB5BA7" w:rsidRPr="00296D0C" w:rsidRDefault="00DB5BA7" w:rsidP="001D34D8">
      <w:pPr>
        <w:spacing w:after="0" w:line="360" w:lineRule="auto"/>
      </w:pPr>
      <w:r w:rsidRPr="00296D0C">
        <w:rPr>
          <w:rFonts w:cs="Arial"/>
        </w:rPr>
        <w:t xml:space="preserve">Delivery to form: if all components for each phase were delivered (represented as a tick on the checklist) then it was recorded that 100% of HeLP components had been delivered in that school. If a minor activity (e.g. the </w:t>
      </w:r>
      <w:r w:rsidRPr="00296D0C">
        <w:t xml:space="preserve">practise of a chant, a missed scene from a drama workshop) </w:t>
      </w:r>
      <w:r w:rsidRPr="00296D0C">
        <w:rPr>
          <w:rFonts w:cs="Arial"/>
        </w:rPr>
        <w:t xml:space="preserve">was missing from a particular component, </w:t>
      </w:r>
      <w:r w:rsidRPr="00296D0C">
        <w:t xml:space="preserve">2% was deducted for each missing minor activity from the overall total. See Table </w:t>
      </w:r>
      <w:r w:rsidR="009C372B" w:rsidRPr="00296D0C">
        <w:t>3</w:t>
      </w:r>
      <w:r w:rsidR="006C0879">
        <w:t>7</w:t>
      </w:r>
      <w:r w:rsidRPr="00296D0C">
        <w:t>.</w:t>
      </w:r>
    </w:p>
    <w:p w14:paraId="0360C3CF" w14:textId="77777777" w:rsidR="001D34D8" w:rsidRDefault="001D34D8" w:rsidP="001D34D8">
      <w:pPr>
        <w:spacing w:after="0" w:line="360" w:lineRule="auto"/>
        <w:rPr>
          <w:rFonts w:cs="Arial"/>
        </w:rPr>
      </w:pPr>
    </w:p>
    <w:p w14:paraId="544545B5" w14:textId="0D315B8A" w:rsidR="00DB5BA7" w:rsidRDefault="00A83748" w:rsidP="001D34D8">
      <w:pPr>
        <w:spacing w:after="0" w:line="360" w:lineRule="auto"/>
      </w:pPr>
      <w:r w:rsidRPr="00296D0C">
        <w:rPr>
          <w:rFonts w:cs="Arial"/>
        </w:rPr>
        <w:t xml:space="preserve">Child level </w:t>
      </w:r>
      <w:r w:rsidR="00DB5BA7" w:rsidRPr="00296D0C">
        <w:rPr>
          <w:rFonts w:cs="Arial"/>
        </w:rPr>
        <w:t xml:space="preserve">engagement: Individual child scores were </w:t>
      </w:r>
      <w:r w:rsidR="00DB5BA7" w:rsidRPr="00296D0C">
        <w:t>dichotomised to create two groups (≤ 1 = less engaged childre</w:t>
      </w:r>
      <w:r w:rsidR="001D34D8">
        <w:t xml:space="preserve">n and &gt; 1 = engaged children). </w:t>
      </w:r>
    </w:p>
    <w:p w14:paraId="3991661F" w14:textId="77777777" w:rsidR="001D34D8" w:rsidRPr="00296D0C" w:rsidRDefault="001D34D8" w:rsidP="001D34D8">
      <w:pPr>
        <w:spacing w:after="0" w:line="360" w:lineRule="auto"/>
      </w:pPr>
    </w:p>
    <w:p w14:paraId="00901337" w14:textId="43B36BBD" w:rsidR="00DB5BA7" w:rsidRPr="00296D0C" w:rsidRDefault="00DB5BA7" w:rsidP="00DB5BA7">
      <w:pPr>
        <w:spacing w:line="360" w:lineRule="auto"/>
        <w:rPr>
          <w:rFonts w:eastAsia="Times New Roman"/>
        </w:rPr>
      </w:pPr>
      <w:r w:rsidRPr="00296D0C">
        <w:t xml:space="preserve">School </w:t>
      </w:r>
      <w:r w:rsidR="00A83748" w:rsidRPr="00296D0C">
        <w:t xml:space="preserve">level </w:t>
      </w:r>
      <w:r w:rsidRPr="00296D0C">
        <w:t xml:space="preserve">engagement:  Individual scores for the head teacher, Year 5 teacher and the support staff were </w:t>
      </w:r>
      <w:r w:rsidRPr="00296D0C">
        <w:rPr>
          <w:rFonts w:eastAsia="Times New Roman"/>
        </w:rPr>
        <w:t>aggregated to give a score out of 9 for each school. Schools were then dichotomised into two groups (0-3 = less engaged school and 4-9 = engaged school).</w:t>
      </w:r>
    </w:p>
    <w:p w14:paraId="323DCC05" w14:textId="345A71C8" w:rsidR="00DB5BA7" w:rsidRPr="00296D0C" w:rsidRDefault="00DB5BA7" w:rsidP="00DB5BA7">
      <w:pPr>
        <w:spacing w:line="360" w:lineRule="auto"/>
        <w:rPr>
          <w:rFonts w:cs="Arial"/>
        </w:rPr>
      </w:pPr>
      <w:r w:rsidRPr="00296D0C">
        <w:rPr>
          <w:rFonts w:eastAsia="Times New Roman"/>
        </w:rPr>
        <w:t xml:space="preserve">The hand written field notes were typed up by each </w:t>
      </w:r>
      <w:r w:rsidRPr="00296D0C">
        <w:t>HeLP Coordinator</w:t>
      </w:r>
      <w:r w:rsidRPr="00296D0C">
        <w:rPr>
          <w:rFonts w:eastAsia="Times New Roman"/>
        </w:rPr>
        <w:t xml:space="preserve"> and entered into </w:t>
      </w:r>
      <w:r w:rsidRPr="00296D0C">
        <w:t>Microsoft Excel® (2014 version, Microsoft Corporation, Redmond, WA, USA) and then imported to NVivo (Version 11, QRS International, Warrington, UK). Any comments that could identify people or sch</w:t>
      </w:r>
      <w:r w:rsidR="00EA5015" w:rsidRPr="00296D0C">
        <w:t xml:space="preserve">ools were anonymised before </w:t>
      </w:r>
      <w:r w:rsidR="009C0AB3" w:rsidRPr="00296D0C">
        <w:t xml:space="preserve">they </w:t>
      </w:r>
      <w:r w:rsidRPr="00296D0C">
        <w:t>were imported into NVivo.</w:t>
      </w:r>
      <w:bookmarkStart w:id="567" w:name="_Toc454450836"/>
    </w:p>
    <w:p w14:paraId="07C8A7A6" w14:textId="40E44406" w:rsidR="00DB5BA7" w:rsidRPr="00296D0C" w:rsidRDefault="00A00706" w:rsidP="00764A81">
      <w:pPr>
        <w:keepNext/>
        <w:keepLines/>
        <w:spacing w:before="200" w:after="0"/>
        <w:outlineLvl w:val="2"/>
        <w:rPr>
          <w:rFonts w:eastAsiaTheme="majorEastAsia" w:cs="Arial"/>
          <w:b/>
          <w:bCs/>
        </w:rPr>
      </w:pPr>
      <w:bookmarkStart w:id="568" w:name="_Toc466710113"/>
      <w:bookmarkStart w:id="569" w:name="_Toc466711461"/>
      <w:bookmarkStart w:id="570" w:name="_Toc466712120"/>
      <w:bookmarkStart w:id="571" w:name="_Toc475974388"/>
      <w:r w:rsidRPr="00296D0C">
        <w:rPr>
          <w:rFonts w:eastAsiaTheme="majorEastAsia" w:cs="Times New Roman"/>
          <w:b/>
        </w:rPr>
        <w:t>5.</w:t>
      </w:r>
      <w:r w:rsidR="00764A81" w:rsidRPr="00296D0C">
        <w:rPr>
          <w:rFonts w:eastAsiaTheme="majorEastAsia" w:cs="Times New Roman"/>
          <w:b/>
        </w:rPr>
        <w:t>2.</w:t>
      </w:r>
      <w:r w:rsidR="005F6B15" w:rsidRPr="00296D0C">
        <w:rPr>
          <w:rFonts w:eastAsiaTheme="majorEastAsia" w:cs="Times New Roman"/>
          <w:b/>
        </w:rPr>
        <w:t>2</w:t>
      </w:r>
      <w:r w:rsidRPr="00296D0C">
        <w:rPr>
          <w:rFonts w:eastAsiaTheme="majorEastAsia" w:cs="Times New Roman"/>
          <w:b/>
        </w:rPr>
        <w:t xml:space="preserve"> </w:t>
      </w:r>
      <w:r w:rsidR="00DB5BA7" w:rsidRPr="00296D0C">
        <w:rPr>
          <w:rFonts w:eastAsiaTheme="majorEastAsia" w:cs="Times New Roman"/>
          <w:b/>
        </w:rPr>
        <w:t>Results</w:t>
      </w:r>
      <w:bookmarkEnd w:id="567"/>
      <w:bookmarkEnd w:id="568"/>
      <w:bookmarkEnd w:id="569"/>
      <w:bookmarkEnd w:id="570"/>
      <w:bookmarkEnd w:id="571"/>
    </w:p>
    <w:p w14:paraId="37D44364" w14:textId="77777777" w:rsidR="00DB5BA7" w:rsidRPr="00296D0C" w:rsidRDefault="00DB5BA7" w:rsidP="00DB5BA7">
      <w:pPr>
        <w:spacing w:after="0" w:line="360" w:lineRule="auto"/>
        <w:rPr>
          <w:rFonts w:cs="Times New Roman"/>
        </w:rPr>
      </w:pPr>
      <w:r w:rsidRPr="00296D0C">
        <w:rPr>
          <w:rFonts w:cs="Times New Roman"/>
        </w:rPr>
        <w:t>The results from this section of the process evaluation are presented under each aim and their associated research questions.</w:t>
      </w:r>
    </w:p>
    <w:p w14:paraId="4334EAB0" w14:textId="77777777" w:rsidR="00514CBE" w:rsidRPr="00296D0C" w:rsidRDefault="00514CBE" w:rsidP="00DB5BA7">
      <w:pPr>
        <w:spacing w:after="0" w:line="360" w:lineRule="auto"/>
        <w:rPr>
          <w:rFonts w:cs="Times New Roman"/>
        </w:rPr>
      </w:pPr>
    </w:p>
    <w:p w14:paraId="652A185F" w14:textId="77777777" w:rsidR="00DB5BA7" w:rsidRPr="00296D0C" w:rsidRDefault="00DB5BA7" w:rsidP="00DB5BA7">
      <w:pPr>
        <w:spacing w:after="0" w:line="360" w:lineRule="auto"/>
        <w:rPr>
          <w:b/>
        </w:rPr>
      </w:pPr>
      <w:bookmarkStart w:id="572" w:name="_Toc454450837"/>
      <w:r w:rsidRPr="00296D0C">
        <w:rPr>
          <w:b/>
        </w:rPr>
        <w:t>Aim 1: To assess uptake and fidelity of the HeLP intervention</w:t>
      </w:r>
    </w:p>
    <w:p w14:paraId="1AF5F025" w14:textId="77777777" w:rsidR="00DB5BA7" w:rsidRPr="00296D0C" w:rsidRDefault="00DB5BA7" w:rsidP="00DB5BA7">
      <w:pPr>
        <w:spacing w:after="0" w:line="360" w:lineRule="auto"/>
        <w:ind w:left="720"/>
        <w:contextualSpacing/>
        <w:rPr>
          <w:b/>
          <w:i/>
        </w:rPr>
      </w:pPr>
      <w:r w:rsidRPr="00296D0C">
        <w:rPr>
          <w:b/>
          <w:i/>
        </w:rPr>
        <w:t>Research Question 1. How much of HeLP did children and families receive?</w:t>
      </w:r>
    </w:p>
    <w:p w14:paraId="40F03C05" w14:textId="58D22873" w:rsidR="00514CBE" w:rsidRPr="00296D0C" w:rsidRDefault="00DB5BA7" w:rsidP="00514CBE">
      <w:pPr>
        <w:spacing w:line="360" w:lineRule="auto"/>
      </w:pPr>
      <w:r w:rsidRPr="00296D0C">
        <w:lastRenderedPageBreak/>
        <w:t>Across Cohort 1 and Cohort 2, 676 children were randomised to receive the intervention. Table 3</w:t>
      </w:r>
      <w:r w:rsidR="006C0879">
        <w:t>6</w:t>
      </w:r>
      <w:r w:rsidRPr="00296D0C">
        <w:t xml:space="preserve"> shows the percentage of children participating in each phase of HeLP and the percentage of children receiving the four drama sessions in phase 2 and the 1-1 goal setting in phase 3 (considered to be the key components of the intervention essential for behaviour change to occur) delivered in the manner in which HeLP had been designed. </w:t>
      </w:r>
    </w:p>
    <w:p w14:paraId="01CFDECF" w14:textId="1166B286" w:rsidR="00DB5BA7" w:rsidRPr="00296D0C" w:rsidRDefault="00DB5BA7" w:rsidP="00DB5BA7">
      <w:pPr>
        <w:spacing w:line="360" w:lineRule="auto"/>
        <w:rPr>
          <w:b/>
        </w:rPr>
      </w:pPr>
      <w:r w:rsidRPr="00296D0C">
        <w:rPr>
          <w:b/>
        </w:rPr>
        <w:t>T</w:t>
      </w:r>
      <w:r w:rsidR="001E551C" w:rsidRPr="00296D0C">
        <w:rPr>
          <w:b/>
        </w:rPr>
        <w:t>ABLE</w:t>
      </w:r>
      <w:r w:rsidRPr="00296D0C">
        <w:rPr>
          <w:b/>
        </w:rPr>
        <w:t xml:space="preserve"> </w:t>
      </w:r>
      <w:r w:rsidR="00D93066" w:rsidRPr="00296D0C">
        <w:rPr>
          <w:b/>
        </w:rPr>
        <w:t>3</w:t>
      </w:r>
      <w:r w:rsidR="006C0879">
        <w:rPr>
          <w:b/>
        </w:rPr>
        <w:t>6</w:t>
      </w:r>
      <w:r w:rsidRPr="00296D0C">
        <w:rPr>
          <w:b/>
        </w:rPr>
        <w:t xml:space="preserve"> Uptake of HeLP</w:t>
      </w:r>
    </w:p>
    <w:tbl>
      <w:tblPr>
        <w:tblStyle w:val="TableGrid"/>
        <w:tblW w:w="9110" w:type="dxa"/>
        <w:tblLayout w:type="fixed"/>
        <w:tblLook w:val="04A0" w:firstRow="1" w:lastRow="0" w:firstColumn="1" w:lastColumn="0" w:noHBand="0" w:noVBand="1"/>
      </w:tblPr>
      <w:tblGrid>
        <w:gridCol w:w="1152"/>
        <w:gridCol w:w="1286"/>
        <w:gridCol w:w="1309"/>
        <w:gridCol w:w="1308"/>
        <w:gridCol w:w="1309"/>
        <w:gridCol w:w="2746"/>
      </w:tblGrid>
      <w:tr w:rsidR="00422B4F" w:rsidRPr="00296D0C" w14:paraId="17312FF6" w14:textId="77777777" w:rsidTr="001D34D8">
        <w:trPr>
          <w:trHeight w:val="1595"/>
        </w:trPr>
        <w:tc>
          <w:tcPr>
            <w:tcW w:w="1152" w:type="dxa"/>
          </w:tcPr>
          <w:p w14:paraId="03A75780" w14:textId="54585C1F" w:rsidR="00422B4F" w:rsidRPr="00296D0C" w:rsidRDefault="00422B4F" w:rsidP="00422B4F">
            <w:pPr>
              <w:rPr>
                <w:b/>
              </w:rPr>
            </w:pPr>
          </w:p>
        </w:tc>
        <w:tc>
          <w:tcPr>
            <w:tcW w:w="1286" w:type="dxa"/>
          </w:tcPr>
          <w:p w14:paraId="7DCCD500" w14:textId="60003969" w:rsidR="00422B4F" w:rsidRPr="00296D0C" w:rsidRDefault="00422B4F" w:rsidP="00422B4F">
            <w:pPr>
              <w:ind w:left="360"/>
              <w:jc w:val="center"/>
              <w:rPr>
                <w:b/>
              </w:rPr>
            </w:pPr>
            <w:r w:rsidRPr="00296D0C">
              <w:rPr>
                <w:b/>
              </w:rPr>
              <w:t>Phase 1</w:t>
            </w:r>
          </w:p>
        </w:tc>
        <w:tc>
          <w:tcPr>
            <w:tcW w:w="1309" w:type="dxa"/>
          </w:tcPr>
          <w:p w14:paraId="36145597" w14:textId="77777777" w:rsidR="00422B4F" w:rsidRPr="00296D0C" w:rsidRDefault="00422B4F" w:rsidP="00422B4F">
            <w:pPr>
              <w:ind w:left="360"/>
              <w:jc w:val="center"/>
              <w:rPr>
                <w:b/>
              </w:rPr>
            </w:pPr>
            <w:r w:rsidRPr="00296D0C">
              <w:rPr>
                <w:b/>
              </w:rPr>
              <w:t>Phase 2</w:t>
            </w:r>
          </w:p>
        </w:tc>
        <w:tc>
          <w:tcPr>
            <w:tcW w:w="1308" w:type="dxa"/>
          </w:tcPr>
          <w:p w14:paraId="45244D9C" w14:textId="77777777" w:rsidR="00422B4F" w:rsidRPr="00296D0C" w:rsidRDefault="00422B4F" w:rsidP="00422B4F">
            <w:pPr>
              <w:ind w:left="360"/>
              <w:jc w:val="center"/>
              <w:rPr>
                <w:b/>
              </w:rPr>
            </w:pPr>
            <w:r w:rsidRPr="00296D0C">
              <w:rPr>
                <w:b/>
              </w:rPr>
              <w:t>Phase 3</w:t>
            </w:r>
          </w:p>
        </w:tc>
        <w:tc>
          <w:tcPr>
            <w:tcW w:w="1309" w:type="dxa"/>
          </w:tcPr>
          <w:p w14:paraId="1CC225A7" w14:textId="77777777" w:rsidR="00422B4F" w:rsidRPr="00296D0C" w:rsidRDefault="00422B4F" w:rsidP="00422B4F">
            <w:pPr>
              <w:ind w:left="360"/>
              <w:jc w:val="center"/>
              <w:rPr>
                <w:b/>
              </w:rPr>
            </w:pPr>
            <w:r w:rsidRPr="00296D0C">
              <w:rPr>
                <w:b/>
              </w:rPr>
              <w:t>Phase 4</w:t>
            </w:r>
          </w:p>
        </w:tc>
        <w:tc>
          <w:tcPr>
            <w:tcW w:w="2746" w:type="dxa"/>
          </w:tcPr>
          <w:p w14:paraId="5F2B322F" w14:textId="320BFCF8" w:rsidR="00422B4F" w:rsidRPr="00296D0C" w:rsidRDefault="00422B4F" w:rsidP="00DB5BA7">
            <w:pPr>
              <w:ind w:left="360"/>
              <w:rPr>
                <w:b/>
              </w:rPr>
            </w:pPr>
            <w:r w:rsidRPr="00296D0C">
              <w:rPr>
                <w:b/>
              </w:rPr>
              <w:t>Percentage of childr</w:t>
            </w:r>
            <w:r w:rsidR="001D34D8">
              <w:rPr>
                <w:b/>
              </w:rPr>
              <w:t>en receiving 4 drama sessions (P</w:t>
            </w:r>
            <w:r w:rsidRPr="00296D0C">
              <w:rPr>
                <w:b/>
              </w:rPr>
              <w:t>hase 2) and the goal</w:t>
            </w:r>
            <w:r w:rsidR="001D34D8">
              <w:rPr>
                <w:b/>
              </w:rPr>
              <w:t xml:space="preserve"> setting (P</w:t>
            </w:r>
            <w:r w:rsidRPr="00296D0C">
              <w:rPr>
                <w:b/>
              </w:rPr>
              <w:t>hase 3)* delivered in the spirit of HeLP**</w:t>
            </w:r>
          </w:p>
        </w:tc>
      </w:tr>
      <w:tr w:rsidR="00334B62" w:rsidRPr="00296D0C" w14:paraId="24DDCFE5" w14:textId="77777777" w:rsidTr="00DA1C42">
        <w:trPr>
          <w:trHeight w:val="268"/>
        </w:trPr>
        <w:tc>
          <w:tcPr>
            <w:tcW w:w="1152" w:type="dxa"/>
          </w:tcPr>
          <w:p w14:paraId="047D8C7A" w14:textId="5E9F8E0D" w:rsidR="00334B62" w:rsidRPr="00296D0C" w:rsidRDefault="00334B62" w:rsidP="00334B62">
            <w:pPr>
              <w:jc w:val="both"/>
            </w:pPr>
            <w:r w:rsidRPr="00296D0C">
              <w:rPr>
                <w:b/>
              </w:rPr>
              <w:t>Cohort 1</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tcPr>
          <w:p w14:paraId="6D3E6E61" w14:textId="67B2DC42" w:rsidR="00334B62" w:rsidRPr="00296D0C" w:rsidRDefault="00334B62" w:rsidP="00334B62">
            <w:pPr>
              <w:ind w:left="360"/>
              <w:jc w:val="both"/>
            </w:pPr>
            <w:r>
              <w:rPr>
                <w:rFonts w:ascii="Calibri" w:hAnsi="Calibri"/>
                <w:color w:val="000000"/>
              </w:rPr>
              <w:t>91.2</w:t>
            </w:r>
            <w:r w:rsidR="00DA4B3D">
              <w:rPr>
                <w:rFonts w:ascii="Calibri" w:hAnsi="Calibri"/>
                <w:color w:val="000000"/>
              </w:rPr>
              <w:t>%</w:t>
            </w:r>
          </w:p>
        </w:tc>
        <w:tc>
          <w:tcPr>
            <w:tcW w:w="1309" w:type="dxa"/>
            <w:tcBorders>
              <w:top w:val="single" w:sz="4" w:space="0" w:color="auto"/>
              <w:left w:val="nil"/>
              <w:bottom w:val="single" w:sz="4" w:space="0" w:color="auto"/>
              <w:right w:val="single" w:sz="4" w:space="0" w:color="auto"/>
            </w:tcBorders>
            <w:shd w:val="clear" w:color="auto" w:fill="auto"/>
            <w:vAlign w:val="center"/>
          </w:tcPr>
          <w:p w14:paraId="0F1D7F98" w14:textId="53B8ABEA" w:rsidR="00334B62" w:rsidRPr="00296D0C" w:rsidRDefault="00334B62" w:rsidP="00334B62">
            <w:pPr>
              <w:ind w:left="360"/>
              <w:jc w:val="both"/>
            </w:pPr>
            <w:r>
              <w:rPr>
                <w:rFonts w:ascii="Calibri" w:hAnsi="Calibri"/>
                <w:color w:val="000000"/>
              </w:rPr>
              <w:t>94.1</w:t>
            </w:r>
            <w:r w:rsidR="00DA4B3D">
              <w:rPr>
                <w:rFonts w:ascii="Calibri" w:hAnsi="Calibri"/>
                <w:color w:val="000000"/>
              </w:rPr>
              <w:t>%</w:t>
            </w:r>
          </w:p>
        </w:tc>
        <w:tc>
          <w:tcPr>
            <w:tcW w:w="1308" w:type="dxa"/>
            <w:tcBorders>
              <w:top w:val="single" w:sz="4" w:space="0" w:color="auto"/>
              <w:left w:val="nil"/>
              <w:bottom w:val="single" w:sz="4" w:space="0" w:color="auto"/>
              <w:right w:val="single" w:sz="4" w:space="0" w:color="auto"/>
            </w:tcBorders>
            <w:shd w:val="clear" w:color="auto" w:fill="auto"/>
            <w:vAlign w:val="center"/>
          </w:tcPr>
          <w:p w14:paraId="79B4A389" w14:textId="6EA804F9" w:rsidR="00334B62" w:rsidRPr="00296D0C" w:rsidRDefault="00334B62" w:rsidP="00334B62">
            <w:pPr>
              <w:ind w:left="360"/>
              <w:jc w:val="both"/>
            </w:pPr>
            <w:r>
              <w:rPr>
                <w:rFonts w:ascii="Calibri" w:hAnsi="Calibri"/>
                <w:color w:val="000000"/>
              </w:rPr>
              <w:t>91.1</w:t>
            </w:r>
            <w:r w:rsidR="00DA4B3D">
              <w:rPr>
                <w:rFonts w:ascii="Calibri" w:hAnsi="Calibri"/>
                <w:color w:val="000000"/>
              </w:rPr>
              <w:t>%</w:t>
            </w:r>
          </w:p>
        </w:tc>
        <w:tc>
          <w:tcPr>
            <w:tcW w:w="1309" w:type="dxa"/>
            <w:tcBorders>
              <w:top w:val="single" w:sz="4" w:space="0" w:color="auto"/>
              <w:left w:val="nil"/>
              <w:bottom w:val="single" w:sz="4" w:space="0" w:color="auto"/>
              <w:right w:val="single" w:sz="4" w:space="0" w:color="auto"/>
            </w:tcBorders>
            <w:shd w:val="clear" w:color="auto" w:fill="auto"/>
            <w:vAlign w:val="center"/>
          </w:tcPr>
          <w:p w14:paraId="21F2BD40" w14:textId="3ED3C3E9" w:rsidR="00334B62" w:rsidRPr="00296D0C" w:rsidRDefault="00334B62" w:rsidP="00334B62">
            <w:pPr>
              <w:ind w:left="360"/>
              <w:jc w:val="both"/>
            </w:pPr>
            <w:r>
              <w:rPr>
                <w:rFonts w:ascii="Calibri" w:hAnsi="Calibri"/>
                <w:color w:val="000000"/>
              </w:rPr>
              <w:t>92.1</w:t>
            </w:r>
            <w:r w:rsidR="00DA4B3D">
              <w:rPr>
                <w:rFonts w:ascii="Calibri" w:hAnsi="Calibri"/>
                <w:color w:val="000000"/>
              </w:rPr>
              <w:t>%</w:t>
            </w:r>
          </w:p>
        </w:tc>
        <w:tc>
          <w:tcPr>
            <w:tcW w:w="2746" w:type="dxa"/>
            <w:tcBorders>
              <w:top w:val="single" w:sz="4" w:space="0" w:color="auto"/>
              <w:left w:val="nil"/>
              <w:bottom w:val="single" w:sz="4" w:space="0" w:color="auto"/>
              <w:right w:val="single" w:sz="4" w:space="0" w:color="auto"/>
            </w:tcBorders>
            <w:shd w:val="clear" w:color="auto" w:fill="auto"/>
            <w:vAlign w:val="center"/>
          </w:tcPr>
          <w:p w14:paraId="78530B1A" w14:textId="5D0F9A6F" w:rsidR="00334B62" w:rsidRPr="00DA4B3D" w:rsidRDefault="00334B62" w:rsidP="00334B62">
            <w:pPr>
              <w:ind w:left="360"/>
              <w:jc w:val="both"/>
            </w:pPr>
            <w:r w:rsidRPr="00DA4B3D">
              <w:rPr>
                <w:rFonts w:ascii="Calibri" w:hAnsi="Calibri"/>
                <w:color w:val="000000"/>
              </w:rPr>
              <w:t>93.7</w:t>
            </w:r>
            <w:r w:rsidR="00DA4B3D" w:rsidRPr="00DA4B3D">
              <w:rPr>
                <w:rFonts w:ascii="Calibri" w:hAnsi="Calibri"/>
                <w:color w:val="000000"/>
              </w:rPr>
              <w:t>%</w:t>
            </w:r>
          </w:p>
        </w:tc>
      </w:tr>
      <w:tr w:rsidR="00334B62" w:rsidRPr="00296D0C" w14:paraId="6AB51026" w14:textId="77777777" w:rsidTr="00DA1C42">
        <w:trPr>
          <w:trHeight w:val="268"/>
        </w:trPr>
        <w:tc>
          <w:tcPr>
            <w:tcW w:w="1152" w:type="dxa"/>
          </w:tcPr>
          <w:p w14:paraId="3B80690E" w14:textId="6459A555" w:rsidR="00334B62" w:rsidRPr="00296D0C" w:rsidRDefault="00334B62" w:rsidP="00334B62">
            <w:pPr>
              <w:jc w:val="both"/>
            </w:pPr>
            <w:r w:rsidRPr="00296D0C">
              <w:rPr>
                <w:b/>
              </w:rPr>
              <w:t>Cohort 2</w:t>
            </w:r>
          </w:p>
        </w:tc>
        <w:tc>
          <w:tcPr>
            <w:tcW w:w="1286" w:type="dxa"/>
            <w:tcBorders>
              <w:top w:val="nil"/>
              <w:left w:val="single" w:sz="4" w:space="0" w:color="auto"/>
              <w:bottom w:val="single" w:sz="4" w:space="0" w:color="auto"/>
              <w:right w:val="single" w:sz="4" w:space="0" w:color="auto"/>
            </w:tcBorders>
            <w:shd w:val="clear" w:color="auto" w:fill="auto"/>
            <w:vAlign w:val="center"/>
          </w:tcPr>
          <w:p w14:paraId="1D8ACD3D" w14:textId="3AA47788" w:rsidR="00334B62" w:rsidRPr="00296D0C" w:rsidRDefault="00334B62" w:rsidP="00334B62">
            <w:pPr>
              <w:ind w:left="360"/>
              <w:jc w:val="both"/>
            </w:pPr>
            <w:r>
              <w:rPr>
                <w:rFonts w:ascii="Calibri" w:hAnsi="Calibri"/>
                <w:color w:val="000000"/>
              </w:rPr>
              <w:t>94.7</w:t>
            </w:r>
            <w:r w:rsidR="00DA4B3D">
              <w:rPr>
                <w:rFonts w:ascii="Calibri" w:hAnsi="Calibri"/>
                <w:color w:val="000000"/>
              </w:rPr>
              <w:t>%</w:t>
            </w:r>
          </w:p>
        </w:tc>
        <w:tc>
          <w:tcPr>
            <w:tcW w:w="1309" w:type="dxa"/>
            <w:tcBorders>
              <w:top w:val="nil"/>
              <w:left w:val="nil"/>
              <w:bottom w:val="single" w:sz="4" w:space="0" w:color="auto"/>
              <w:right w:val="single" w:sz="4" w:space="0" w:color="auto"/>
            </w:tcBorders>
            <w:shd w:val="clear" w:color="auto" w:fill="auto"/>
            <w:vAlign w:val="center"/>
          </w:tcPr>
          <w:p w14:paraId="70F06E9B" w14:textId="528A62C3" w:rsidR="00334B62" w:rsidRPr="00296D0C" w:rsidRDefault="00334B62" w:rsidP="00334B62">
            <w:pPr>
              <w:ind w:left="360"/>
              <w:jc w:val="both"/>
            </w:pPr>
            <w:r>
              <w:rPr>
                <w:rFonts w:ascii="Calibri" w:hAnsi="Calibri"/>
                <w:color w:val="000000"/>
              </w:rPr>
              <w:t>93.7</w:t>
            </w:r>
            <w:r w:rsidR="00DA4B3D">
              <w:rPr>
                <w:rFonts w:ascii="Calibri" w:hAnsi="Calibri"/>
                <w:color w:val="000000"/>
              </w:rPr>
              <w:t>%</w:t>
            </w:r>
          </w:p>
        </w:tc>
        <w:tc>
          <w:tcPr>
            <w:tcW w:w="1308" w:type="dxa"/>
            <w:tcBorders>
              <w:top w:val="nil"/>
              <w:left w:val="nil"/>
              <w:bottom w:val="single" w:sz="4" w:space="0" w:color="auto"/>
              <w:right w:val="single" w:sz="4" w:space="0" w:color="auto"/>
            </w:tcBorders>
            <w:shd w:val="clear" w:color="auto" w:fill="auto"/>
            <w:vAlign w:val="center"/>
          </w:tcPr>
          <w:p w14:paraId="52D01B28" w14:textId="21FBC22F" w:rsidR="00334B62" w:rsidRPr="00296D0C" w:rsidRDefault="00334B62" w:rsidP="00334B62">
            <w:pPr>
              <w:ind w:left="360"/>
              <w:jc w:val="both"/>
            </w:pPr>
            <w:r>
              <w:rPr>
                <w:rFonts w:ascii="Calibri" w:hAnsi="Calibri"/>
                <w:color w:val="000000"/>
              </w:rPr>
              <w:t>92.5</w:t>
            </w:r>
            <w:r w:rsidR="00DA4B3D">
              <w:rPr>
                <w:rFonts w:ascii="Calibri" w:hAnsi="Calibri"/>
                <w:color w:val="000000"/>
              </w:rPr>
              <w:t>%</w:t>
            </w:r>
          </w:p>
        </w:tc>
        <w:tc>
          <w:tcPr>
            <w:tcW w:w="1309" w:type="dxa"/>
            <w:tcBorders>
              <w:top w:val="nil"/>
              <w:left w:val="nil"/>
              <w:bottom w:val="single" w:sz="4" w:space="0" w:color="auto"/>
              <w:right w:val="single" w:sz="4" w:space="0" w:color="auto"/>
            </w:tcBorders>
            <w:shd w:val="clear" w:color="auto" w:fill="auto"/>
            <w:vAlign w:val="center"/>
          </w:tcPr>
          <w:p w14:paraId="14AEA846" w14:textId="52555BC4" w:rsidR="00334B62" w:rsidRPr="00296D0C" w:rsidRDefault="00334B62" w:rsidP="00334B62">
            <w:pPr>
              <w:ind w:left="360"/>
              <w:jc w:val="both"/>
            </w:pPr>
            <w:r>
              <w:rPr>
                <w:rFonts w:ascii="Calibri" w:hAnsi="Calibri"/>
                <w:color w:val="000000"/>
              </w:rPr>
              <w:t>91.4</w:t>
            </w:r>
            <w:r w:rsidR="00DA4B3D">
              <w:rPr>
                <w:rFonts w:ascii="Calibri" w:hAnsi="Calibri"/>
                <w:color w:val="000000"/>
              </w:rPr>
              <w:t>%</w:t>
            </w:r>
          </w:p>
        </w:tc>
        <w:tc>
          <w:tcPr>
            <w:tcW w:w="2746" w:type="dxa"/>
            <w:tcBorders>
              <w:top w:val="nil"/>
              <w:left w:val="nil"/>
              <w:bottom w:val="single" w:sz="4" w:space="0" w:color="auto"/>
              <w:right w:val="single" w:sz="4" w:space="0" w:color="auto"/>
            </w:tcBorders>
            <w:shd w:val="clear" w:color="auto" w:fill="auto"/>
            <w:vAlign w:val="bottom"/>
          </w:tcPr>
          <w:p w14:paraId="0B7A37A3" w14:textId="2FAE4E1D" w:rsidR="00334B62" w:rsidRPr="00DA4B3D" w:rsidRDefault="00334B62" w:rsidP="00334B62">
            <w:pPr>
              <w:ind w:left="360"/>
              <w:jc w:val="both"/>
            </w:pPr>
            <w:r w:rsidRPr="00DA4B3D">
              <w:rPr>
                <w:rFonts w:ascii="Calibri" w:hAnsi="Calibri"/>
                <w:color w:val="000000"/>
              </w:rPr>
              <w:t>92.7</w:t>
            </w:r>
            <w:r w:rsidR="00DA4B3D" w:rsidRPr="00DA4B3D">
              <w:rPr>
                <w:rFonts w:ascii="Calibri" w:hAnsi="Calibri"/>
                <w:color w:val="000000"/>
              </w:rPr>
              <w:t>%</w:t>
            </w:r>
          </w:p>
        </w:tc>
      </w:tr>
      <w:tr w:rsidR="00334B62" w:rsidRPr="00296D0C" w14:paraId="08690BC5" w14:textId="77777777" w:rsidTr="00DA1C42">
        <w:trPr>
          <w:trHeight w:val="268"/>
        </w:trPr>
        <w:tc>
          <w:tcPr>
            <w:tcW w:w="1152" w:type="dxa"/>
          </w:tcPr>
          <w:p w14:paraId="038B74A7" w14:textId="5E28A158" w:rsidR="00334B62" w:rsidRPr="00296D0C" w:rsidRDefault="00334B62" w:rsidP="00334B62">
            <w:pPr>
              <w:ind w:left="360"/>
              <w:jc w:val="both"/>
              <w:rPr>
                <w:b/>
              </w:rPr>
            </w:pPr>
            <w:r w:rsidRPr="00296D0C">
              <w:rPr>
                <w:b/>
              </w:rPr>
              <w:t>Total</w:t>
            </w:r>
          </w:p>
        </w:tc>
        <w:tc>
          <w:tcPr>
            <w:tcW w:w="1286" w:type="dxa"/>
            <w:tcBorders>
              <w:top w:val="nil"/>
              <w:left w:val="single" w:sz="4" w:space="0" w:color="auto"/>
              <w:bottom w:val="single" w:sz="4" w:space="0" w:color="auto"/>
              <w:right w:val="single" w:sz="4" w:space="0" w:color="auto"/>
            </w:tcBorders>
            <w:shd w:val="clear" w:color="auto" w:fill="auto"/>
            <w:vAlign w:val="center"/>
          </w:tcPr>
          <w:p w14:paraId="1B2C44B0" w14:textId="4CF77531" w:rsidR="00334B62" w:rsidRPr="00296D0C" w:rsidRDefault="00334B62" w:rsidP="00334B62">
            <w:pPr>
              <w:ind w:left="360"/>
              <w:jc w:val="both"/>
            </w:pPr>
            <w:r>
              <w:rPr>
                <w:rFonts w:ascii="Calibri" w:hAnsi="Calibri"/>
                <w:color w:val="000000"/>
              </w:rPr>
              <w:t>93.4</w:t>
            </w:r>
            <w:r w:rsidR="00DA4B3D">
              <w:rPr>
                <w:rFonts w:ascii="Calibri" w:hAnsi="Calibri"/>
                <w:color w:val="000000"/>
              </w:rPr>
              <w:t>%</w:t>
            </w:r>
          </w:p>
        </w:tc>
        <w:tc>
          <w:tcPr>
            <w:tcW w:w="1309" w:type="dxa"/>
            <w:tcBorders>
              <w:top w:val="nil"/>
              <w:left w:val="nil"/>
              <w:bottom w:val="single" w:sz="4" w:space="0" w:color="auto"/>
              <w:right w:val="single" w:sz="4" w:space="0" w:color="auto"/>
            </w:tcBorders>
            <w:shd w:val="clear" w:color="auto" w:fill="auto"/>
            <w:vAlign w:val="center"/>
          </w:tcPr>
          <w:p w14:paraId="0C53CED6" w14:textId="4C57BDA7" w:rsidR="00334B62" w:rsidRPr="00296D0C" w:rsidRDefault="00334B62" w:rsidP="00334B62">
            <w:pPr>
              <w:ind w:left="360"/>
              <w:jc w:val="both"/>
            </w:pPr>
            <w:r>
              <w:rPr>
                <w:rFonts w:ascii="Calibri" w:hAnsi="Calibri"/>
                <w:color w:val="000000"/>
              </w:rPr>
              <w:t>93.9</w:t>
            </w:r>
            <w:r w:rsidR="00DA4B3D">
              <w:rPr>
                <w:rFonts w:ascii="Calibri" w:hAnsi="Calibri"/>
                <w:color w:val="000000"/>
              </w:rPr>
              <w:t>%</w:t>
            </w:r>
          </w:p>
        </w:tc>
        <w:tc>
          <w:tcPr>
            <w:tcW w:w="1308" w:type="dxa"/>
            <w:tcBorders>
              <w:top w:val="nil"/>
              <w:left w:val="nil"/>
              <w:bottom w:val="single" w:sz="4" w:space="0" w:color="auto"/>
              <w:right w:val="single" w:sz="4" w:space="0" w:color="auto"/>
            </w:tcBorders>
            <w:shd w:val="clear" w:color="auto" w:fill="auto"/>
            <w:vAlign w:val="center"/>
          </w:tcPr>
          <w:p w14:paraId="06329261" w14:textId="5D139C3D" w:rsidR="00334B62" w:rsidRPr="00296D0C" w:rsidRDefault="00334B62" w:rsidP="00334B62">
            <w:pPr>
              <w:ind w:left="360"/>
              <w:jc w:val="both"/>
            </w:pPr>
            <w:r>
              <w:rPr>
                <w:rFonts w:ascii="Calibri" w:hAnsi="Calibri"/>
                <w:color w:val="000000"/>
              </w:rPr>
              <w:t>92.0</w:t>
            </w:r>
            <w:r w:rsidR="00DA4B3D">
              <w:rPr>
                <w:rFonts w:ascii="Calibri" w:hAnsi="Calibri"/>
                <w:color w:val="000000"/>
              </w:rPr>
              <w:t>%</w:t>
            </w:r>
          </w:p>
        </w:tc>
        <w:tc>
          <w:tcPr>
            <w:tcW w:w="1309" w:type="dxa"/>
            <w:tcBorders>
              <w:top w:val="nil"/>
              <w:left w:val="nil"/>
              <w:bottom w:val="single" w:sz="4" w:space="0" w:color="auto"/>
              <w:right w:val="single" w:sz="4" w:space="0" w:color="auto"/>
            </w:tcBorders>
            <w:shd w:val="clear" w:color="auto" w:fill="auto"/>
            <w:vAlign w:val="center"/>
          </w:tcPr>
          <w:p w14:paraId="5D265446" w14:textId="545DB191" w:rsidR="00334B62" w:rsidRPr="00296D0C" w:rsidRDefault="00334B62" w:rsidP="00334B62">
            <w:pPr>
              <w:ind w:left="360"/>
              <w:jc w:val="both"/>
            </w:pPr>
            <w:r>
              <w:rPr>
                <w:rFonts w:ascii="Calibri" w:hAnsi="Calibri"/>
                <w:color w:val="000000"/>
              </w:rPr>
              <w:t>91.6</w:t>
            </w:r>
            <w:r w:rsidR="00DA4B3D">
              <w:rPr>
                <w:rFonts w:ascii="Calibri" w:hAnsi="Calibri"/>
                <w:color w:val="000000"/>
              </w:rPr>
              <w:t>%</w:t>
            </w:r>
          </w:p>
        </w:tc>
        <w:tc>
          <w:tcPr>
            <w:tcW w:w="2746" w:type="dxa"/>
            <w:tcBorders>
              <w:top w:val="nil"/>
              <w:left w:val="nil"/>
              <w:bottom w:val="single" w:sz="4" w:space="0" w:color="auto"/>
              <w:right w:val="single" w:sz="4" w:space="0" w:color="auto"/>
            </w:tcBorders>
            <w:shd w:val="clear" w:color="auto" w:fill="auto"/>
            <w:vAlign w:val="bottom"/>
          </w:tcPr>
          <w:p w14:paraId="227BF4BF" w14:textId="2971E69D" w:rsidR="00334B62" w:rsidRPr="00DA4B3D" w:rsidRDefault="00334B62" w:rsidP="00334B62">
            <w:pPr>
              <w:ind w:left="360"/>
              <w:jc w:val="both"/>
            </w:pPr>
            <w:r w:rsidRPr="00DA4B3D">
              <w:rPr>
                <w:rFonts w:ascii="Calibri" w:hAnsi="Calibri"/>
                <w:color w:val="000000"/>
              </w:rPr>
              <w:t>93.0</w:t>
            </w:r>
            <w:r w:rsidR="00DA4B3D" w:rsidRPr="00DA4B3D">
              <w:rPr>
                <w:rFonts w:ascii="Calibri" w:hAnsi="Calibri"/>
                <w:color w:val="000000"/>
              </w:rPr>
              <w:t>%</w:t>
            </w:r>
          </w:p>
        </w:tc>
      </w:tr>
    </w:tbl>
    <w:p w14:paraId="16B92DA0" w14:textId="77777777" w:rsidR="00DD0B4C" w:rsidRDefault="00DD0B4C" w:rsidP="00DB5BA7">
      <w:pPr>
        <w:spacing w:after="0" w:line="240" w:lineRule="auto"/>
      </w:pPr>
    </w:p>
    <w:p w14:paraId="40F549E0" w14:textId="77777777" w:rsidR="00DB5BA7" w:rsidRPr="00296D0C" w:rsidRDefault="00DB5BA7" w:rsidP="00DB5BA7">
      <w:pPr>
        <w:spacing w:after="0" w:line="240" w:lineRule="auto"/>
      </w:pPr>
      <w:r w:rsidRPr="00296D0C">
        <w:t>*Dose of HeLP deemed to be essential for behaviour change</w:t>
      </w:r>
    </w:p>
    <w:p w14:paraId="1D1FF0E4" w14:textId="77777777" w:rsidR="00DB5BA7" w:rsidRPr="00296D0C" w:rsidRDefault="00DB5BA7" w:rsidP="00DB5BA7">
      <w:pPr>
        <w:spacing w:after="0" w:line="240" w:lineRule="auto"/>
      </w:pPr>
      <w:r w:rsidRPr="00296D0C">
        <w:t>**</w:t>
      </w:r>
      <w:r w:rsidRPr="00296D0C">
        <w:rPr>
          <w:i/>
          <w:iCs/>
        </w:rPr>
        <w:t>Enthusiastic delivery, open body language, responsive to child/school needs and clear and friendly communication</w:t>
      </w:r>
    </w:p>
    <w:p w14:paraId="04911300" w14:textId="77777777" w:rsidR="00514CBE" w:rsidRPr="00296D0C" w:rsidRDefault="00514CBE" w:rsidP="00DB5BA7">
      <w:pPr>
        <w:spacing w:line="360" w:lineRule="auto"/>
      </w:pPr>
    </w:p>
    <w:p w14:paraId="74C37C12" w14:textId="2A9046A4" w:rsidR="00DB5BA7" w:rsidRPr="00296D0C" w:rsidRDefault="00DB5BA7" w:rsidP="00DB5BA7">
      <w:pPr>
        <w:spacing w:line="360" w:lineRule="auto"/>
      </w:pPr>
      <w:r w:rsidRPr="00296D0C">
        <w:t xml:space="preserve">Across </w:t>
      </w:r>
      <w:r w:rsidR="00FE6FD2" w:rsidRPr="00296D0C">
        <w:t xml:space="preserve">the </w:t>
      </w:r>
      <w:r w:rsidR="00AA7A6D">
        <w:t>p</w:t>
      </w:r>
      <w:r w:rsidR="00FE6FD2" w:rsidRPr="00296D0C">
        <w:t>rogramme</w:t>
      </w:r>
      <w:r w:rsidRPr="00296D0C">
        <w:t xml:space="preserve"> there were six invitations for parents and carers to come into the school and take part in </w:t>
      </w:r>
      <w:r w:rsidR="00FE6FD2" w:rsidRPr="00296D0C">
        <w:t xml:space="preserve">the </w:t>
      </w:r>
      <w:r w:rsidR="00AA7A6D">
        <w:t>p</w:t>
      </w:r>
      <w:r w:rsidR="00FE6FD2" w:rsidRPr="00296D0C">
        <w:t>rogramme</w:t>
      </w:r>
      <w:r w:rsidRPr="00296D0C">
        <w:t>. These included the parent assembly and observation of the two activity workshops in phase 1, observation of work in progress in the final two drama sessions of the Healthy Lifestyle Week in phase 2 and the forum theatre assembly in phase 3 (See Table</w:t>
      </w:r>
      <w:r w:rsidR="00422B4F" w:rsidRPr="00296D0C">
        <w:t>s</w:t>
      </w:r>
      <w:r w:rsidRPr="00296D0C">
        <w:t xml:space="preserve"> </w:t>
      </w:r>
      <w:r w:rsidR="00C06FE1">
        <w:t>2</w:t>
      </w:r>
      <w:r w:rsidR="00422B4F" w:rsidRPr="00296D0C">
        <w:t xml:space="preserve"> and </w:t>
      </w:r>
      <w:r w:rsidR="00C06FE1">
        <w:t>3</w:t>
      </w:r>
      <w:r w:rsidRPr="00296D0C">
        <w:t xml:space="preserve">). </w:t>
      </w:r>
    </w:p>
    <w:p w14:paraId="2D9EA460" w14:textId="311E757B" w:rsidR="00DD0B4C" w:rsidRDefault="00EA5015" w:rsidP="001D34D8">
      <w:pPr>
        <w:spacing w:line="360" w:lineRule="auto"/>
        <w:rPr>
          <w:b/>
          <w:i/>
        </w:rPr>
      </w:pPr>
      <w:r w:rsidRPr="00296D0C">
        <w:t xml:space="preserve">Just over half, 52% </w:t>
      </w:r>
      <w:r w:rsidR="00DD0B4C">
        <w:t>(</w:t>
      </w:r>
      <w:r w:rsidR="00DB5BA7" w:rsidRPr="00296D0C">
        <w:t>353/676) of children had family attending at least one parent event.</w:t>
      </w:r>
      <w:r w:rsidR="001D34D8">
        <w:t xml:space="preserve"> </w:t>
      </w:r>
    </w:p>
    <w:p w14:paraId="471ADEBD" w14:textId="7BF2D32C" w:rsidR="00DB5BA7" w:rsidRPr="00296D0C" w:rsidRDefault="00DB5BA7" w:rsidP="00DB5BA7">
      <w:pPr>
        <w:spacing w:after="0" w:line="360" w:lineRule="auto"/>
        <w:ind w:left="360"/>
        <w:contextualSpacing/>
        <w:rPr>
          <w:b/>
          <w:i/>
        </w:rPr>
      </w:pPr>
      <w:r w:rsidRPr="00296D0C">
        <w:rPr>
          <w:b/>
          <w:i/>
        </w:rPr>
        <w:t xml:space="preserve">Research Question 2. Was </w:t>
      </w:r>
      <w:r w:rsidR="00FE6FD2" w:rsidRPr="00296D0C">
        <w:rPr>
          <w:b/>
          <w:i/>
        </w:rPr>
        <w:t xml:space="preserve">the </w:t>
      </w:r>
      <w:r w:rsidR="00AA7A6D">
        <w:rPr>
          <w:b/>
          <w:i/>
        </w:rPr>
        <w:t>p</w:t>
      </w:r>
      <w:r w:rsidR="00FE6FD2" w:rsidRPr="00296D0C">
        <w:rPr>
          <w:b/>
          <w:i/>
        </w:rPr>
        <w:t>rogramme</w:t>
      </w:r>
      <w:r w:rsidRPr="00296D0C">
        <w:rPr>
          <w:b/>
          <w:i/>
        </w:rPr>
        <w:t xml:space="preserve"> delivered </w:t>
      </w:r>
      <w:r w:rsidR="00F21C70" w:rsidRPr="00296D0C">
        <w:rPr>
          <w:b/>
          <w:i/>
        </w:rPr>
        <w:t>as designed</w:t>
      </w:r>
      <w:r w:rsidRPr="00296D0C">
        <w:rPr>
          <w:b/>
          <w:i/>
        </w:rPr>
        <w:t>?</w:t>
      </w:r>
    </w:p>
    <w:p w14:paraId="7C6C1930" w14:textId="77777777" w:rsidR="00514CBE" w:rsidRPr="00296D0C" w:rsidRDefault="00514CBE" w:rsidP="00DB5BA7">
      <w:pPr>
        <w:spacing w:after="0" w:line="360" w:lineRule="auto"/>
        <w:ind w:left="360"/>
        <w:contextualSpacing/>
        <w:rPr>
          <w:b/>
          <w:i/>
        </w:rPr>
      </w:pPr>
    </w:p>
    <w:p w14:paraId="6CDFC9BB" w14:textId="5D1452E9" w:rsidR="00DB5BA7" w:rsidRPr="00296D0C" w:rsidRDefault="00DB5BA7" w:rsidP="00DB5BA7">
      <w:pPr>
        <w:spacing w:line="360" w:lineRule="auto"/>
        <w:rPr>
          <w:rFonts w:cs="Arial"/>
        </w:rPr>
      </w:pPr>
      <w:r w:rsidRPr="00296D0C">
        <w:rPr>
          <w:rFonts w:cs="Arial"/>
        </w:rPr>
        <w:t xml:space="preserve">Table </w:t>
      </w:r>
      <w:r w:rsidR="001E551C" w:rsidRPr="00296D0C">
        <w:rPr>
          <w:rFonts w:cs="Arial"/>
        </w:rPr>
        <w:t>3</w:t>
      </w:r>
      <w:r w:rsidR="006C0879">
        <w:rPr>
          <w:rFonts w:cs="Arial"/>
        </w:rPr>
        <w:t>7</w:t>
      </w:r>
      <w:r w:rsidRPr="00296D0C">
        <w:rPr>
          <w:rFonts w:cs="Arial"/>
        </w:rPr>
        <w:t xml:space="preserve"> shows that we can be confident that all intervention schools received a complete or near complete </w:t>
      </w:r>
      <w:r w:rsidR="00AA7A6D">
        <w:rPr>
          <w:rFonts w:cs="Arial"/>
        </w:rPr>
        <w:t>p</w:t>
      </w:r>
      <w:r w:rsidR="00077A75" w:rsidRPr="00296D0C">
        <w:rPr>
          <w:rFonts w:cs="Arial"/>
        </w:rPr>
        <w:t>rogramme which</w:t>
      </w:r>
      <w:r w:rsidRPr="00296D0C">
        <w:rPr>
          <w:rFonts w:cs="Arial"/>
        </w:rPr>
        <w:t xml:space="preserve"> was delivered</w:t>
      </w:r>
      <w:r w:rsidR="00EA5015" w:rsidRPr="00296D0C">
        <w:rPr>
          <w:rFonts w:cs="Arial"/>
        </w:rPr>
        <w:t xml:space="preserve"> as designed </w:t>
      </w:r>
      <w:r w:rsidRPr="00296D0C">
        <w:rPr>
          <w:rFonts w:cs="Arial"/>
        </w:rPr>
        <w:t xml:space="preserve">(i.e. all school scored over 8 for fidelity to function). </w:t>
      </w:r>
    </w:p>
    <w:p w14:paraId="71C0F3A0" w14:textId="77777777" w:rsidR="001D34D8" w:rsidRDefault="001D34D8">
      <w:pPr>
        <w:rPr>
          <w:rFonts w:cs="Arial"/>
          <w:b/>
        </w:rPr>
      </w:pPr>
      <w:r>
        <w:rPr>
          <w:rFonts w:cs="Arial"/>
          <w:b/>
        </w:rPr>
        <w:br w:type="page"/>
      </w:r>
    </w:p>
    <w:p w14:paraId="604AF94D" w14:textId="6FBDA662" w:rsidR="00DB5BA7" w:rsidRPr="00296D0C" w:rsidRDefault="00DB5BA7" w:rsidP="00DB5BA7">
      <w:pPr>
        <w:spacing w:line="360" w:lineRule="auto"/>
        <w:rPr>
          <w:rFonts w:cs="Arial"/>
          <w:b/>
        </w:rPr>
      </w:pPr>
      <w:r w:rsidRPr="00055A28">
        <w:rPr>
          <w:rFonts w:cs="Arial"/>
          <w:b/>
        </w:rPr>
        <w:lastRenderedPageBreak/>
        <w:t>T</w:t>
      </w:r>
      <w:r w:rsidR="001E551C" w:rsidRPr="00055A28">
        <w:rPr>
          <w:rFonts w:cs="Arial"/>
          <w:b/>
        </w:rPr>
        <w:t>ABLE</w:t>
      </w:r>
      <w:r w:rsidRPr="00055A28">
        <w:rPr>
          <w:rFonts w:cs="Arial"/>
          <w:b/>
        </w:rPr>
        <w:t xml:space="preserve"> </w:t>
      </w:r>
      <w:r w:rsidR="00422B4F" w:rsidRPr="00055A28">
        <w:rPr>
          <w:rFonts w:cs="Arial"/>
          <w:b/>
        </w:rPr>
        <w:t>3</w:t>
      </w:r>
      <w:r w:rsidR="006C0879">
        <w:rPr>
          <w:rFonts w:cs="Arial"/>
          <w:b/>
        </w:rPr>
        <w:t>7</w:t>
      </w:r>
      <w:r w:rsidRPr="00055A28">
        <w:rPr>
          <w:rFonts w:cs="Arial"/>
          <w:b/>
        </w:rPr>
        <w:t xml:space="preserve"> Fidelity </w:t>
      </w:r>
      <w:r w:rsidR="001D34D8" w:rsidRPr="00055A28">
        <w:rPr>
          <w:rFonts w:cs="Arial"/>
          <w:b/>
        </w:rPr>
        <w:t>of delivery of HeLP (</w:t>
      </w:r>
      <w:r w:rsidRPr="00055A28">
        <w:rPr>
          <w:rFonts w:cs="Arial"/>
          <w:b/>
        </w:rPr>
        <w:t>form and function</w:t>
      </w:r>
      <w:r w:rsidR="001D34D8" w:rsidRPr="00055A28">
        <w:rPr>
          <w:rFonts w:cs="Arial"/>
          <w:b/>
        </w:rPr>
        <w:t>)</w:t>
      </w:r>
    </w:p>
    <w:tbl>
      <w:tblPr>
        <w:tblStyle w:val="TableGrid"/>
        <w:tblW w:w="0" w:type="auto"/>
        <w:tblLook w:val="04A0" w:firstRow="1" w:lastRow="0" w:firstColumn="1" w:lastColumn="0" w:noHBand="0" w:noVBand="1"/>
      </w:tblPr>
      <w:tblGrid>
        <w:gridCol w:w="1951"/>
        <w:gridCol w:w="2966"/>
        <w:gridCol w:w="2562"/>
      </w:tblGrid>
      <w:tr w:rsidR="00DB5BA7" w:rsidRPr="00296D0C" w14:paraId="4789E0BC" w14:textId="77777777" w:rsidTr="00422B4F">
        <w:tc>
          <w:tcPr>
            <w:tcW w:w="1951" w:type="dxa"/>
          </w:tcPr>
          <w:p w14:paraId="374AEE3E" w14:textId="77777777" w:rsidR="00DB5BA7" w:rsidRDefault="00DB5BA7" w:rsidP="00DB5BA7">
            <w:pPr>
              <w:ind w:left="360"/>
              <w:rPr>
                <w:rFonts w:cs="Arial"/>
                <w:b/>
              </w:rPr>
            </w:pPr>
            <w:r w:rsidRPr="00296D0C">
              <w:rPr>
                <w:rFonts w:cs="Arial"/>
                <w:b/>
              </w:rPr>
              <w:t xml:space="preserve">School </w:t>
            </w:r>
          </w:p>
          <w:p w14:paraId="13A7EA7A" w14:textId="77777777" w:rsidR="00055A28" w:rsidRPr="00296D0C" w:rsidRDefault="00055A28" w:rsidP="00DB5BA7">
            <w:pPr>
              <w:ind w:left="360"/>
              <w:rPr>
                <w:rFonts w:cs="Arial"/>
                <w:b/>
              </w:rPr>
            </w:pPr>
          </w:p>
          <w:p w14:paraId="50A2903F" w14:textId="77777777" w:rsidR="00DB5BA7" w:rsidRPr="00055A28" w:rsidRDefault="00DB5BA7" w:rsidP="00055A28">
            <w:pPr>
              <w:rPr>
                <w:b/>
              </w:rPr>
            </w:pPr>
            <w:r w:rsidRPr="00055A28">
              <w:rPr>
                <w:b/>
              </w:rPr>
              <w:t>Cohort 1 (1-8)</w:t>
            </w:r>
          </w:p>
          <w:p w14:paraId="0784A4EB" w14:textId="77777777" w:rsidR="00DB5BA7" w:rsidRPr="00296D0C" w:rsidRDefault="00DB5BA7" w:rsidP="00055A28">
            <w:pPr>
              <w:rPr>
                <w:rFonts w:cs="Arial"/>
                <w:b/>
              </w:rPr>
            </w:pPr>
            <w:r w:rsidRPr="00055A28">
              <w:rPr>
                <w:b/>
              </w:rPr>
              <w:t>Cohort 2 (9-16)</w:t>
            </w:r>
          </w:p>
        </w:tc>
        <w:tc>
          <w:tcPr>
            <w:tcW w:w="2966" w:type="dxa"/>
          </w:tcPr>
          <w:p w14:paraId="06B791A8" w14:textId="77777777" w:rsidR="00DB5BA7" w:rsidRPr="00296D0C" w:rsidRDefault="00DB5BA7" w:rsidP="00DB5BA7">
            <w:pPr>
              <w:ind w:left="360"/>
              <w:rPr>
                <w:rFonts w:cs="Arial"/>
                <w:b/>
              </w:rPr>
            </w:pPr>
            <w:r w:rsidRPr="00296D0C">
              <w:rPr>
                <w:rFonts w:cs="Arial"/>
                <w:b/>
              </w:rPr>
              <w:t>% of components delivered in complete form</w:t>
            </w:r>
          </w:p>
          <w:p w14:paraId="4B5B9C0B" w14:textId="77777777" w:rsidR="00DB5BA7" w:rsidRPr="00296D0C" w:rsidRDefault="00DB5BA7" w:rsidP="00DB5BA7">
            <w:pPr>
              <w:ind w:left="360"/>
              <w:rPr>
                <w:rFonts w:cs="Arial"/>
                <w:b/>
              </w:rPr>
            </w:pPr>
            <w:r w:rsidRPr="00296D0C">
              <w:rPr>
                <w:rFonts w:cs="Arial"/>
                <w:b/>
              </w:rPr>
              <w:t>(Fidelity to form)</w:t>
            </w:r>
          </w:p>
        </w:tc>
        <w:tc>
          <w:tcPr>
            <w:tcW w:w="2562" w:type="dxa"/>
          </w:tcPr>
          <w:p w14:paraId="560218C4" w14:textId="77777777" w:rsidR="00055A28" w:rsidRDefault="00DB5BA7" w:rsidP="00DB5BA7">
            <w:pPr>
              <w:ind w:left="360"/>
              <w:rPr>
                <w:rFonts w:cs="Arial"/>
                <w:b/>
              </w:rPr>
            </w:pPr>
            <w:r w:rsidRPr="00296D0C">
              <w:rPr>
                <w:rFonts w:cs="Arial"/>
                <w:b/>
              </w:rPr>
              <w:t>HeLP delivery score (Fidelity to function)</w:t>
            </w:r>
            <w:r w:rsidR="00EA5015" w:rsidRPr="00296D0C">
              <w:rPr>
                <w:rFonts w:cs="Arial"/>
                <w:b/>
              </w:rPr>
              <w:t xml:space="preserve"> </w:t>
            </w:r>
          </w:p>
          <w:p w14:paraId="38C7E9B6" w14:textId="77777777" w:rsidR="00055A28" w:rsidRDefault="00055A28" w:rsidP="00DB5BA7">
            <w:pPr>
              <w:ind w:left="360"/>
              <w:rPr>
                <w:rFonts w:cs="Arial"/>
                <w:b/>
              </w:rPr>
            </w:pPr>
          </w:p>
          <w:p w14:paraId="147E2CD0" w14:textId="297CEE1F" w:rsidR="00DB5BA7" w:rsidRPr="00296D0C" w:rsidRDefault="00EA5015" w:rsidP="00DB5BA7">
            <w:pPr>
              <w:ind w:left="360"/>
              <w:rPr>
                <w:rFonts w:cs="Arial"/>
                <w:b/>
              </w:rPr>
            </w:pPr>
            <w:r w:rsidRPr="00296D0C">
              <w:rPr>
                <w:rFonts w:cs="Arial"/>
                <w:b/>
              </w:rPr>
              <w:t>Max score 10</w:t>
            </w:r>
          </w:p>
        </w:tc>
      </w:tr>
      <w:tr w:rsidR="00DB5BA7" w:rsidRPr="00296D0C" w14:paraId="4D0117E8" w14:textId="77777777" w:rsidTr="00422B4F">
        <w:tc>
          <w:tcPr>
            <w:tcW w:w="1951" w:type="dxa"/>
          </w:tcPr>
          <w:p w14:paraId="0F7F567B" w14:textId="77777777" w:rsidR="00DB5BA7" w:rsidRPr="00296D0C" w:rsidRDefault="00DB5BA7" w:rsidP="00DB5BA7">
            <w:pPr>
              <w:ind w:left="360"/>
            </w:pPr>
            <w:r w:rsidRPr="00296D0C">
              <w:t>1</w:t>
            </w:r>
          </w:p>
        </w:tc>
        <w:tc>
          <w:tcPr>
            <w:tcW w:w="2966" w:type="dxa"/>
          </w:tcPr>
          <w:p w14:paraId="2325596B" w14:textId="77777777" w:rsidR="00DB5BA7" w:rsidRPr="00055A28" w:rsidRDefault="00DB5BA7" w:rsidP="00DB5BA7">
            <w:pPr>
              <w:ind w:left="360"/>
              <w:rPr>
                <w:rFonts w:cs="Arial"/>
              </w:rPr>
            </w:pPr>
            <w:r w:rsidRPr="00055A28">
              <w:rPr>
                <w:rFonts w:cs="Arial"/>
              </w:rPr>
              <w:t>100%</w:t>
            </w:r>
          </w:p>
        </w:tc>
        <w:tc>
          <w:tcPr>
            <w:tcW w:w="2562" w:type="dxa"/>
          </w:tcPr>
          <w:p w14:paraId="6AE42234" w14:textId="77777777" w:rsidR="00DB5BA7" w:rsidRPr="00055A28" w:rsidRDefault="00DB5BA7" w:rsidP="00DB5BA7">
            <w:pPr>
              <w:ind w:left="360"/>
              <w:rPr>
                <w:rFonts w:cs="Arial"/>
              </w:rPr>
            </w:pPr>
            <w:r w:rsidRPr="00055A28">
              <w:rPr>
                <w:rFonts w:cs="Arial"/>
              </w:rPr>
              <w:t>8.9</w:t>
            </w:r>
          </w:p>
        </w:tc>
      </w:tr>
      <w:tr w:rsidR="00DB5BA7" w:rsidRPr="00296D0C" w14:paraId="57E87EA0" w14:textId="77777777" w:rsidTr="00422B4F">
        <w:tc>
          <w:tcPr>
            <w:tcW w:w="1951" w:type="dxa"/>
          </w:tcPr>
          <w:p w14:paraId="3DFEF23A" w14:textId="77777777" w:rsidR="00DB5BA7" w:rsidRPr="00296D0C" w:rsidRDefault="00DB5BA7" w:rsidP="00DB5BA7">
            <w:pPr>
              <w:ind w:left="360"/>
            </w:pPr>
            <w:r w:rsidRPr="00296D0C">
              <w:t>2</w:t>
            </w:r>
          </w:p>
        </w:tc>
        <w:tc>
          <w:tcPr>
            <w:tcW w:w="2966" w:type="dxa"/>
          </w:tcPr>
          <w:p w14:paraId="789F77D4" w14:textId="77777777" w:rsidR="00DB5BA7" w:rsidRPr="00055A28" w:rsidRDefault="00DB5BA7" w:rsidP="00DB5BA7">
            <w:pPr>
              <w:ind w:left="360"/>
              <w:rPr>
                <w:rFonts w:cs="Arial"/>
              </w:rPr>
            </w:pPr>
            <w:r w:rsidRPr="00055A28">
              <w:rPr>
                <w:rFonts w:cs="Arial"/>
              </w:rPr>
              <w:t>100%</w:t>
            </w:r>
          </w:p>
        </w:tc>
        <w:tc>
          <w:tcPr>
            <w:tcW w:w="2562" w:type="dxa"/>
          </w:tcPr>
          <w:p w14:paraId="18C4FB46" w14:textId="77777777" w:rsidR="00DB5BA7" w:rsidRPr="00055A28" w:rsidRDefault="00DB5BA7" w:rsidP="00DB5BA7">
            <w:pPr>
              <w:ind w:left="360"/>
              <w:rPr>
                <w:rFonts w:cs="Arial"/>
              </w:rPr>
            </w:pPr>
            <w:r w:rsidRPr="00055A28">
              <w:rPr>
                <w:rFonts w:cs="Arial"/>
              </w:rPr>
              <w:t>9.0</w:t>
            </w:r>
          </w:p>
        </w:tc>
      </w:tr>
      <w:tr w:rsidR="00DB5BA7" w:rsidRPr="00296D0C" w14:paraId="3239E065" w14:textId="77777777" w:rsidTr="00422B4F">
        <w:tc>
          <w:tcPr>
            <w:tcW w:w="1951" w:type="dxa"/>
          </w:tcPr>
          <w:p w14:paraId="0D4EA3EF" w14:textId="77777777" w:rsidR="00DB5BA7" w:rsidRPr="00296D0C" w:rsidRDefault="00DB5BA7" w:rsidP="00DB5BA7">
            <w:pPr>
              <w:ind w:left="360"/>
            </w:pPr>
            <w:r w:rsidRPr="00296D0C">
              <w:t>3</w:t>
            </w:r>
          </w:p>
        </w:tc>
        <w:tc>
          <w:tcPr>
            <w:tcW w:w="2966" w:type="dxa"/>
          </w:tcPr>
          <w:p w14:paraId="1CF3B934" w14:textId="77777777" w:rsidR="00DB5BA7" w:rsidRPr="00055A28" w:rsidRDefault="00DB5BA7" w:rsidP="00DB5BA7">
            <w:pPr>
              <w:ind w:left="360"/>
              <w:rPr>
                <w:rFonts w:cs="Arial"/>
              </w:rPr>
            </w:pPr>
            <w:r w:rsidRPr="00055A28">
              <w:rPr>
                <w:rFonts w:cs="Arial"/>
              </w:rPr>
              <w:t>100%</w:t>
            </w:r>
          </w:p>
        </w:tc>
        <w:tc>
          <w:tcPr>
            <w:tcW w:w="2562" w:type="dxa"/>
          </w:tcPr>
          <w:p w14:paraId="4D14CE44" w14:textId="77777777" w:rsidR="00DB5BA7" w:rsidRPr="00055A28" w:rsidRDefault="00DB5BA7" w:rsidP="00DB5BA7">
            <w:pPr>
              <w:ind w:left="360"/>
              <w:rPr>
                <w:rFonts w:cs="Arial"/>
              </w:rPr>
            </w:pPr>
            <w:r w:rsidRPr="00055A28">
              <w:rPr>
                <w:rFonts w:cs="Arial"/>
              </w:rPr>
              <w:t>9.1</w:t>
            </w:r>
          </w:p>
        </w:tc>
      </w:tr>
      <w:tr w:rsidR="00DB5BA7" w:rsidRPr="00296D0C" w14:paraId="3C8DBE50" w14:textId="77777777" w:rsidTr="00422B4F">
        <w:tc>
          <w:tcPr>
            <w:tcW w:w="1951" w:type="dxa"/>
          </w:tcPr>
          <w:p w14:paraId="7162466D" w14:textId="77777777" w:rsidR="00DB5BA7" w:rsidRPr="00296D0C" w:rsidRDefault="00DB5BA7" w:rsidP="00DB5BA7">
            <w:pPr>
              <w:ind w:left="360"/>
            </w:pPr>
            <w:r w:rsidRPr="00296D0C">
              <w:t>4</w:t>
            </w:r>
          </w:p>
        </w:tc>
        <w:tc>
          <w:tcPr>
            <w:tcW w:w="2966" w:type="dxa"/>
          </w:tcPr>
          <w:p w14:paraId="6234A53A" w14:textId="77777777" w:rsidR="00DB5BA7" w:rsidRPr="00055A28" w:rsidRDefault="00DB5BA7" w:rsidP="00DB5BA7">
            <w:pPr>
              <w:ind w:left="360"/>
              <w:rPr>
                <w:rFonts w:cs="Arial"/>
              </w:rPr>
            </w:pPr>
            <w:r w:rsidRPr="00055A28">
              <w:rPr>
                <w:rFonts w:cs="Arial"/>
              </w:rPr>
              <w:t>100%</w:t>
            </w:r>
          </w:p>
        </w:tc>
        <w:tc>
          <w:tcPr>
            <w:tcW w:w="2562" w:type="dxa"/>
          </w:tcPr>
          <w:p w14:paraId="18B395FD" w14:textId="77777777" w:rsidR="00DB5BA7" w:rsidRPr="00055A28" w:rsidRDefault="00DB5BA7" w:rsidP="00DB5BA7">
            <w:pPr>
              <w:ind w:left="360"/>
              <w:rPr>
                <w:rFonts w:cs="Arial"/>
              </w:rPr>
            </w:pPr>
            <w:r w:rsidRPr="00055A28">
              <w:rPr>
                <w:rFonts w:cs="Arial"/>
              </w:rPr>
              <w:t>9.8</w:t>
            </w:r>
          </w:p>
        </w:tc>
      </w:tr>
      <w:tr w:rsidR="00DB5BA7" w:rsidRPr="00296D0C" w14:paraId="56E5BB27" w14:textId="77777777" w:rsidTr="00422B4F">
        <w:tc>
          <w:tcPr>
            <w:tcW w:w="1951" w:type="dxa"/>
          </w:tcPr>
          <w:p w14:paraId="24CACDC5" w14:textId="77777777" w:rsidR="00DB5BA7" w:rsidRPr="00296D0C" w:rsidRDefault="00DB5BA7" w:rsidP="00DB5BA7">
            <w:pPr>
              <w:ind w:left="360"/>
            </w:pPr>
            <w:r w:rsidRPr="00296D0C">
              <w:t>5</w:t>
            </w:r>
          </w:p>
        </w:tc>
        <w:tc>
          <w:tcPr>
            <w:tcW w:w="2966" w:type="dxa"/>
          </w:tcPr>
          <w:p w14:paraId="1344B5B7" w14:textId="77777777" w:rsidR="00DB5BA7" w:rsidRPr="00055A28" w:rsidRDefault="00DB5BA7" w:rsidP="00DB5BA7">
            <w:pPr>
              <w:ind w:left="360"/>
              <w:rPr>
                <w:rFonts w:cs="Arial"/>
              </w:rPr>
            </w:pPr>
            <w:r w:rsidRPr="00055A28">
              <w:rPr>
                <w:rFonts w:cs="Arial"/>
              </w:rPr>
              <w:t>96%</w:t>
            </w:r>
          </w:p>
        </w:tc>
        <w:tc>
          <w:tcPr>
            <w:tcW w:w="2562" w:type="dxa"/>
          </w:tcPr>
          <w:p w14:paraId="4DFBFB55" w14:textId="77777777" w:rsidR="00DB5BA7" w:rsidRPr="00055A28" w:rsidRDefault="00DB5BA7" w:rsidP="00DB5BA7">
            <w:pPr>
              <w:ind w:left="360"/>
              <w:rPr>
                <w:rFonts w:cs="Arial"/>
              </w:rPr>
            </w:pPr>
            <w:r w:rsidRPr="00055A28">
              <w:rPr>
                <w:rFonts w:cs="Arial"/>
              </w:rPr>
              <w:t>9.7</w:t>
            </w:r>
          </w:p>
        </w:tc>
      </w:tr>
      <w:tr w:rsidR="00DB5BA7" w:rsidRPr="00296D0C" w14:paraId="30E122E4" w14:textId="77777777" w:rsidTr="00422B4F">
        <w:tc>
          <w:tcPr>
            <w:tcW w:w="1951" w:type="dxa"/>
          </w:tcPr>
          <w:p w14:paraId="4649A7C0" w14:textId="77777777" w:rsidR="00DB5BA7" w:rsidRPr="00296D0C" w:rsidRDefault="00DB5BA7" w:rsidP="00DB5BA7">
            <w:pPr>
              <w:ind w:left="360"/>
            </w:pPr>
            <w:r w:rsidRPr="00296D0C">
              <w:t>6</w:t>
            </w:r>
          </w:p>
        </w:tc>
        <w:tc>
          <w:tcPr>
            <w:tcW w:w="2966" w:type="dxa"/>
          </w:tcPr>
          <w:p w14:paraId="12B54FC3" w14:textId="77777777" w:rsidR="00DB5BA7" w:rsidRPr="00055A28" w:rsidRDefault="00DB5BA7" w:rsidP="00DB5BA7">
            <w:pPr>
              <w:ind w:left="360"/>
              <w:rPr>
                <w:rFonts w:cs="Arial"/>
              </w:rPr>
            </w:pPr>
            <w:r w:rsidRPr="00055A28">
              <w:rPr>
                <w:rFonts w:cs="Arial"/>
              </w:rPr>
              <w:t>94%</w:t>
            </w:r>
          </w:p>
        </w:tc>
        <w:tc>
          <w:tcPr>
            <w:tcW w:w="2562" w:type="dxa"/>
          </w:tcPr>
          <w:p w14:paraId="50C1AB9A" w14:textId="77777777" w:rsidR="00DB5BA7" w:rsidRPr="00055A28" w:rsidRDefault="00DB5BA7" w:rsidP="00DB5BA7">
            <w:pPr>
              <w:ind w:left="360"/>
              <w:rPr>
                <w:rFonts w:cs="Arial"/>
              </w:rPr>
            </w:pPr>
            <w:r w:rsidRPr="00055A28">
              <w:rPr>
                <w:rFonts w:cs="Arial"/>
              </w:rPr>
              <w:t>9.4</w:t>
            </w:r>
          </w:p>
        </w:tc>
      </w:tr>
      <w:tr w:rsidR="00DB5BA7" w:rsidRPr="00296D0C" w14:paraId="0D2CCBA7" w14:textId="77777777" w:rsidTr="00422B4F">
        <w:tc>
          <w:tcPr>
            <w:tcW w:w="1951" w:type="dxa"/>
          </w:tcPr>
          <w:p w14:paraId="4804468A" w14:textId="77777777" w:rsidR="00DB5BA7" w:rsidRPr="00296D0C" w:rsidRDefault="00DB5BA7" w:rsidP="00DB5BA7">
            <w:pPr>
              <w:ind w:left="360"/>
            </w:pPr>
            <w:r w:rsidRPr="00296D0C">
              <w:t>7</w:t>
            </w:r>
          </w:p>
        </w:tc>
        <w:tc>
          <w:tcPr>
            <w:tcW w:w="2966" w:type="dxa"/>
          </w:tcPr>
          <w:p w14:paraId="6713016F" w14:textId="77777777" w:rsidR="00DB5BA7" w:rsidRPr="00055A28" w:rsidRDefault="00DB5BA7" w:rsidP="00DB5BA7">
            <w:pPr>
              <w:ind w:left="360"/>
              <w:rPr>
                <w:rFonts w:cs="Arial"/>
              </w:rPr>
            </w:pPr>
            <w:r w:rsidRPr="00055A28">
              <w:rPr>
                <w:rFonts w:cs="Arial"/>
              </w:rPr>
              <w:t>96%</w:t>
            </w:r>
          </w:p>
        </w:tc>
        <w:tc>
          <w:tcPr>
            <w:tcW w:w="2562" w:type="dxa"/>
          </w:tcPr>
          <w:p w14:paraId="5F2AEF57" w14:textId="77777777" w:rsidR="00DB5BA7" w:rsidRPr="00055A28" w:rsidRDefault="00DB5BA7" w:rsidP="00DB5BA7">
            <w:pPr>
              <w:ind w:left="360"/>
              <w:rPr>
                <w:rFonts w:cs="Arial"/>
              </w:rPr>
            </w:pPr>
            <w:r w:rsidRPr="00055A28">
              <w:rPr>
                <w:rFonts w:cs="Arial"/>
              </w:rPr>
              <w:t>9.5</w:t>
            </w:r>
          </w:p>
        </w:tc>
      </w:tr>
      <w:tr w:rsidR="00DB5BA7" w:rsidRPr="00296D0C" w14:paraId="6A4B3544" w14:textId="77777777" w:rsidTr="00422B4F">
        <w:tc>
          <w:tcPr>
            <w:tcW w:w="1951" w:type="dxa"/>
          </w:tcPr>
          <w:p w14:paraId="0A8D807E" w14:textId="77777777" w:rsidR="00DB5BA7" w:rsidRPr="00296D0C" w:rsidRDefault="00DB5BA7" w:rsidP="00DB5BA7">
            <w:pPr>
              <w:ind w:left="360"/>
            </w:pPr>
            <w:r w:rsidRPr="00296D0C">
              <w:t>8</w:t>
            </w:r>
          </w:p>
        </w:tc>
        <w:tc>
          <w:tcPr>
            <w:tcW w:w="2966" w:type="dxa"/>
          </w:tcPr>
          <w:p w14:paraId="71870570" w14:textId="77777777" w:rsidR="00DB5BA7" w:rsidRPr="00055A28" w:rsidRDefault="00DB5BA7" w:rsidP="00DB5BA7">
            <w:pPr>
              <w:ind w:left="360"/>
              <w:rPr>
                <w:rFonts w:cs="Arial"/>
              </w:rPr>
            </w:pPr>
            <w:r w:rsidRPr="00055A28">
              <w:rPr>
                <w:rFonts w:cs="Arial"/>
              </w:rPr>
              <w:t>98%</w:t>
            </w:r>
          </w:p>
        </w:tc>
        <w:tc>
          <w:tcPr>
            <w:tcW w:w="2562" w:type="dxa"/>
          </w:tcPr>
          <w:p w14:paraId="63E88535" w14:textId="77777777" w:rsidR="00DB5BA7" w:rsidRPr="00055A28" w:rsidRDefault="00DB5BA7" w:rsidP="00DB5BA7">
            <w:pPr>
              <w:ind w:left="360"/>
              <w:rPr>
                <w:rFonts w:cs="Arial"/>
              </w:rPr>
            </w:pPr>
            <w:r w:rsidRPr="00055A28">
              <w:rPr>
                <w:rFonts w:cs="Arial"/>
              </w:rPr>
              <w:t>9.6</w:t>
            </w:r>
          </w:p>
        </w:tc>
      </w:tr>
      <w:tr w:rsidR="00DB5BA7" w:rsidRPr="00296D0C" w14:paraId="220E9247" w14:textId="77777777" w:rsidTr="00422B4F">
        <w:tc>
          <w:tcPr>
            <w:tcW w:w="1951" w:type="dxa"/>
          </w:tcPr>
          <w:p w14:paraId="62476AEF" w14:textId="77777777" w:rsidR="00DB5BA7" w:rsidRPr="00296D0C" w:rsidRDefault="00DB5BA7" w:rsidP="00DB5BA7">
            <w:pPr>
              <w:ind w:left="360"/>
            </w:pPr>
            <w:r w:rsidRPr="00296D0C">
              <w:t>9</w:t>
            </w:r>
          </w:p>
        </w:tc>
        <w:tc>
          <w:tcPr>
            <w:tcW w:w="2966" w:type="dxa"/>
          </w:tcPr>
          <w:p w14:paraId="68DE4EFA" w14:textId="77777777" w:rsidR="00DB5BA7" w:rsidRPr="00055A28" w:rsidRDefault="00DB5BA7" w:rsidP="00DB5BA7">
            <w:pPr>
              <w:ind w:left="360"/>
              <w:rPr>
                <w:rFonts w:cs="Arial"/>
              </w:rPr>
            </w:pPr>
            <w:r w:rsidRPr="00055A28">
              <w:rPr>
                <w:rFonts w:cs="Arial"/>
              </w:rPr>
              <w:t>94%</w:t>
            </w:r>
          </w:p>
        </w:tc>
        <w:tc>
          <w:tcPr>
            <w:tcW w:w="2562" w:type="dxa"/>
          </w:tcPr>
          <w:p w14:paraId="3388CC33" w14:textId="77777777" w:rsidR="00DB5BA7" w:rsidRPr="00055A28" w:rsidRDefault="00DB5BA7" w:rsidP="00DB5BA7">
            <w:pPr>
              <w:ind w:left="360"/>
              <w:rPr>
                <w:rFonts w:cs="Arial"/>
              </w:rPr>
            </w:pPr>
            <w:r w:rsidRPr="00055A28">
              <w:rPr>
                <w:rFonts w:cs="Arial"/>
              </w:rPr>
              <w:t>9.0</w:t>
            </w:r>
          </w:p>
        </w:tc>
      </w:tr>
      <w:tr w:rsidR="00DB5BA7" w:rsidRPr="00296D0C" w14:paraId="4D414B97" w14:textId="77777777" w:rsidTr="00422B4F">
        <w:tc>
          <w:tcPr>
            <w:tcW w:w="1951" w:type="dxa"/>
          </w:tcPr>
          <w:p w14:paraId="240E67CA" w14:textId="77777777" w:rsidR="00DB5BA7" w:rsidRPr="00296D0C" w:rsidRDefault="00DB5BA7" w:rsidP="00DB5BA7">
            <w:pPr>
              <w:ind w:left="360"/>
            </w:pPr>
            <w:r w:rsidRPr="00296D0C">
              <w:t>10</w:t>
            </w:r>
          </w:p>
        </w:tc>
        <w:tc>
          <w:tcPr>
            <w:tcW w:w="2966" w:type="dxa"/>
          </w:tcPr>
          <w:p w14:paraId="57B07A7C" w14:textId="77777777" w:rsidR="00DB5BA7" w:rsidRPr="00055A28" w:rsidRDefault="00DB5BA7" w:rsidP="00DB5BA7">
            <w:pPr>
              <w:ind w:left="360"/>
              <w:rPr>
                <w:rFonts w:cs="Arial"/>
              </w:rPr>
            </w:pPr>
            <w:r w:rsidRPr="00055A28">
              <w:rPr>
                <w:rFonts w:cs="Arial"/>
              </w:rPr>
              <w:t>94%</w:t>
            </w:r>
          </w:p>
        </w:tc>
        <w:tc>
          <w:tcPr>
            <w:tcW w:w="2562" w:type="dxa"/>
          </w:tcPr>
          <w:p w14:paraId="2857D98A" w14:textId="77777777" w:rsidR="00DB5BA7" w:rsidRPr="00055A28" w:rsidRDefault="00DB5BA7" w:rsidP="00DB5BA7">
            <w:pPr>
              <w:ind w:left="360"/>
              <w:rPr>
                <w:rFonts w:cs="Arial"/>
              </w:rPr>
            </w:pPr>
            <w:r w:rsidRPr="00055A28">
              <w:rPr>
                <w:rFonts w:cs="Arial"/>
              </w:rPr>
              <w:t>9.1</w:t>
            </w:r>
          </w:p>
        </w:tc>
      </w:tr>
      <w:tr w:rsidR="00DB5BA7" w:rsidRPr="00296D0C" w14:paraId="70F63760" w14:textId="77777777" w:rsidTr="00422B4F">
        <w:tc>
          <w:tcPr>
            <w:tcW w:w="1951" w:type="dxa"/>
          </w:tcPr>
          <w:p w14:paraId="5CFDAC22" w14:textId="77777777" w:rsidR="00DB5BA7" w:rsidRPr="00296D0C" w:rsidRDefault="00DB5BA7" w:rsidP="00DB5BA7">
            <w:pPr>
              <w:ind w:left="360"/>
            </w:pPr>
            <w:r w:rsidRPr="00296D0C">
              <w:t>11</w:t>
            </w:r>
          </w:p>
        </w:tc>
        <w:tc>
          <w:tcPr>
            <w:tcW w:w="2966" w:type="dxa"/>
          </w:tcPr>
          <w:p w14:paraId="0AC16ABF" w14:textId="77777777" w:rsidR="00DB5BA7" w:rsidRPr="00055A28" w:rsidRDefault="00DB5BA7" w:rsidP="00DB5BA7">
            <w:pPr>
              <w:ind w:left="360"/>
              <w:rPr>
                <w:rFonts w:cs="Arial"/>
              </w:rPr>
            </w:pPr>
            <w:r w:rsidRPr="00055A28">
              <w:rPr>
                <w:rFonts w:cs="Arial"/>
              </w:rPr>
              <w:t>96%</w:t>
            </w:r>
          </w:p>
        </w:tc>
        <w:tc>
          <w:tcPr>
            <w:tcW w:w="2562" w:type="dxa"/>
          </w:tcPr>
          <w:p w14:paraId="3928E56C" w14:textId="77777777" w:rsidR="00DB5BA7" w:rsidRPr="00055A28" w:rsidRDefault="00DB5BA7" w:rsidP="00DB5BA7">
            <w:pPr>
              <w:ind w:left="360"/>
              <w:rPr>
                <w:rFonts w:cs="Arial"/>
              </w:rPr>
            </w:pPr>
            <w:r w:rsidRPr="00055A28">
              <w:rPr>
                <w:rFonts w:cs="Arial"/>
              </w:rPr>
              <w:t>9.4</w:t>
            </w:r>
          </w:p>
        </w:tc>
      </w:tr>
      <w:tr w:rsidR="00DB5BA7" w:rsidRPr="00296D0C" w14:paraId="6C85E7B5" w14:textId="77777777" w:rsidTr="00422B4F">
        <w:tc>
          <w:tcPr>
            <w:tcW w:w="1951" w:type="dxa"/>
          </w:tcPr>
          <w:p w14:paraId="30B7413B" w14:textId="77777777" w:rsidR="00DB5BA7" w:rsidRPr="00296D0C" w:rsidRDefault="00DB5BA7" w:rsidP="00DB5BA7">
            <w:pPr>
              <w:ind w:left="360"/>
            </w:pPr>
            <w:r w:rsidRPr="00296D0C">
              <w:t>12</w:t>
            </w:r>
          </w:p>
        </w:tc>
        <w:tc>
          <w:tcPr>
            <w:tcW w:w="2966" w:type="dxa"/>
          </w:tcPr>
          <w:p w14:paraId="014E48E2" w14:textId="77777777" w:rsidR="00DB5BA7" w:rsidRPr="00055A28" w:rsidRDefault="00DB5BA7" w:rsidP="00DB5BA7">
            <w:pPr>
              <w:ind w:left="360"/>
              <w:rPr>
                <w:rFonts w:cs="Arial"/>
              </w:rPr>
            </w:pPr>
            <w:r w:rsidRPr="00055A28">
              <w:rPr>
                <w:rFonts w:cs="Arial"/>
              </w:rPr>
              <w:t>96%</w:t>
            </w:r>
          </w:p>
        </w:tc>
        <w:tc>
          <w:tcPr>
            <w:tcW w:w="2562" w:type="dxa"/>
          </w:tcPr>
          <w:p w14:paraId="334EAE6A" w14:textId="77777777" w:rsidR="00DB5BA7" w:rsidRPr="00055A28" w:rsidRDefault="00DB5BA7" w:rsidP="00DB5BA7">
            <w:pPr>
              <w:ind w:left="360"/>
              <w:rPr>
                <w:rFonts w:cs="Arial"/>
              </w:rPr>
            </w:pPr>
            <w:r w:rsidRPr="00055A28">
              <w:rPr>
                <w:rFonts w:cs="Arial"/>
              </w:rPr>
              <w:t>9.7</w:t>
            </w:r>
          </w:p>
        </w:tc>
      </w:tr>
      <w:tr w:rsidR="00DB5BA7" w:rsidRPr="00296D0C" w14:paraId="31FECE08" w14:textId="77777777" w:rsidTr="00422B4F">
        <w:tc>
          <w:tcPr>
            <w:tcW w:w="1951" w:type="dxa"/>
          </w:tcPr>
          <w:p w14:paraId="6816EFDE" w14:textId="77777777" w:rsidR="00DB5BA7" w:rsidRPr="00296D0C" w:rsidRDefault="00DB5BA7" w:rsidP="00DB5BA7">
            <w:pPr>
              <w:ind w:left="360"/>
            </w:pPr>
            <w:r w:rsidRPr="00296D0C">
              <w:t>13</w:t>
            </w:r>
          </w:p>
        </w:tc>
        <w:tc>
          <w:tcPr>
            <w:tcW w:w="2966" w:type="dxa"/>
          </w:tcPr>
          <w:p w14:paraId="52FD0977" w14:textId="77777777" w:rsidR="00DB5BA7" w:rsidRPr="00055A28" w:rsidRDefault="00DB5BA7" w:rsidP="00DB5BA7">
            <w:pPr>
              <w:ind w:left="360"/>
              <w:rPr>
                <w:rFonts w:cs="Arial"/>
              </w:rPr>
            </w:pPr>
            <w:r w:rsidRPr="00055A28">
              <w:rPr>
                <w:rFonts w:cs="Arial"/>
              </w:rPr>
              <w:t>98%</w:t>
            </w:r>
          </w:p>
        </w:tc>
        <w:tc>
          <w:tcPr>
            <w:tcW w:w="2562" w:type="dxa"/>
          </w:tcPr>
          <w:p w14:paraId="5060F0B2" w14:textId="77777777" w:rsidR="00DB5BA7" w:rsidRPr="00055A28" w:rsidRDefault="00DB5BA7" w:rsidP="00DB5BA7">
            <w:pPr>
              <w:ind w:left="360"/>
              <w:rPr>
                <w:rFonts w:cs="Arial"/>
              </w:rPr>
            </w:pPr>
            <w:r w:rsidRPr="00055A28">
              <w:rPr>
                <w:rFonts w:cs="Arial"/>
              </w:rPr>
              <w:t>9.2</w:t>
            </w:r>
          </w:p>
        </w:tc>
      </w:tr>
      <w:tr w:rsidR="00DB5BA7" w:rsidRPr="00296D0C" w14:paraId="369D5EE1" w14:textId="77777777" w:rsidTr="00422B4F">
        <w:tc>
          <w:tcPr>
            <w:tcW w:w="1951" w:type="dxa"/>
          </w:tcPr>
          <w:p w14:paraId="1732DBEE" w14:textId="77777777" w:rsidR="00DB5BA7" w:rsidRPr="00296D0C" w:rsidRDefault="00DB5BA7" w:rsidP="00DB5BA7">
            <w:pPr>
              <w:ind w:left="360"/>
            </w:pPr>
            <w:r w:rsidRPr="00296D0C">
              <w:t>14</w:t>
            </w:r>
          </w:p>
        </w:tc>
        <w:tc>
          <w:tcPr>
            <w:tcW w:w="2966" w:type="dxa"/>
          </w:tcPr>
          <w:p w14:paraId="152BF6D5" w14:textId="77777777" w:rsidR="00DB5BA7" w:rsidRPr="00055A28" w:rsidRDefault="00DB5BA7" w:rsidP="00DB5BA7">
            <w:pPr>
              <w:ind w:left="360"/>
              <w:rPr>
                <w:rFonts w:cs="Arial"/>
              </w:rPr>
            </w:pPr>
            <w:r w:rsidRPr="00055A28">
              <w:rPr>
                <w:rFonts w:cs="Arial"/>
              </w:rPr>
              <w:t>96%</w:t>
            </w:r>
          </w:p>
        </w:tc>
        <w:tc>
          <w:tcPr>
            <w:tcW w:w="2562" w:type="dxa"/>
          </w:tcPr>
          <w:p w14:paraId="52A8F3CA" w14:textId="77777777" w:rsidR="00DB5BA7" w:rsidRPr="00055A28" w:rsidRDefault="00DB5BA7" w:rsidP="00DB5BA7">
            <w:pPr>
              <w:ind w:left="360"/>
              <w:rPr>
                <w:rFonts w:cs="Arial"/>
              </w:rPr>
            </w:pPr>
            <w:r w:rsidRPr="00055A28">
              <w:rPr>
                <w:rFonts w:cs="Arial"/>
              </w:rPr>
              <w:t>8.1</w:t>
            </w:r>
          </w:p>
        </w:tc>
      </w:tr>
      <w:tr w:rsidR="00DB5BA7" w:rsidRPr="00296D0C" w14:paraId="3D034012" w14:textId="77777777" w:rsidTr="00422B4F">
        <w:tc>
          <w:tcPr>
            <w:tcW w:w="1951" w:type="dxa"/>
          </w:tcPr>
          <w:p w14:paraId="4E4DB70D" w14:textId="77777777" w:rsidR="00DB5BA7" w:rsidRPr="00296D0C" w:rsidRDefault="00DB5BA7" w:rsidP="00DB5BA7">
            <w:pPr>
              <w:ind w:left="360"/>
            </w:pPr>
            <w:r w:rsidRPr="00296D0C">
              <w:t>15</w:t>
            </w:r>
          </w:p>
        </w:tc>
        <w:tc>
          <w:tcPr>
            <w:tcW w:w="2966" w:type="dxa"/>
          </w:tcPr>
          <w:p w14:paraId="16745B58" w14:textId="77777777" w:rsidR="00DB5BA7" w:rsidRPr="00055A28" w:rsidRDefault="00DB5BA7" w:rsidP="00DB5BA7">
            <w:pPr>
              <w:ind w:left="360"/>
              <w:rPr>
                <w:rFonts w:cs="Arial"/>
              </w:rPr>
            </w:pPr>
            <w:r w:rsidRPr="00055A28">
              <w:rPr>
                <w:rFonts w:cs="Arial"/>
              </w:rPr>
              <w:t>100%</w:t>
            </w:r>
          </w:p>
        </w:tc>
        <w:tc>
          <w:tcPr>
            <w:tcW w:w="2562" w:type="dxa"/>
          </w:tcPr>
          <w:p w14:paraId="08E10ED9" w14:textId="77777777" w:rsidR="00DB5BA7" w:rsidRPr="00055A28" w:rsidRDefault="00DB5BA7" w:rsidP="00DB5BA7">
            <w:pPr>
              <w:ind w:left="360"/>
              <w:rPr>
                <w:rFonts w:cs="Arial"/>
              </w:rPr>
            </w:pPr>
            <w:r w:rsidRPr="00055A28">
              <w:rPr>
                <w:rFonts w:cs="Arial"/>
              </w:rPr>
              <w:t>9.7</w:t>
            </w:r>
          </w:p>
        </w:tc>
      </w:tr>
      <w:tr w:rsidR="00DB5BA7" w:rsidRPr="00296D0C" w14:paraId="32892E16" w14:textId="77777777" w:rsidTr="00422B4F">
        <w:tc>
          <w:tcPr>
            <w:tcW w:w="1951" w:type="dxa"/>
          </w:tcPr>
          <w:p w14:paraId="40BDD6F1" w14:textId="77777777" w:rsidR="00DB5BA7" w:rsidRPr="00296D0C" w:rsidRDefault="00DB5BA7" w:rsidP="00DB5BA7">
            <w:pPr>
              <w:ind w:left="360"/>
            </w:pPr>
            <w:r w:rsidRPr="00296D0C">
              <w:t>16</w:t>
            </w:r>
          </w:p>
        </w:tc>
        <w:tc>
          <w:tcPr>
            <w:tcW w:w="2966" w:type="dxa"/>
          </w:tcPr>
          <w:p w14:paraId="4DEBC4AD" w14:textId="77777777" w:rsidR="00DB5BA7" w:rsidRPr="00055A28" w:rsidRDefault="00DB5BA7" w:rsidP="00DB5BA7">
            <w:pPr>
              <w:ind w:left="360"/>
              <w:rPr>
                <w:rFonts w:cs="Arial"/>
              </w:rPr>
            </w:pPr>
            <w:r w:rsidRPr="00055A28">
              <w:rPr>
                <w:rFonts w:cs="Arial"/>
              </w:rPr>
              <w:t>94%</w:t>
            </w:r>
          </w:p>
        </w:tc>
        <w:tc>
          <w:tcPr>
            <w:tcW w:w="2562" w:type="dxa"/>
          </w:tcPr>
          <w:p w14:paraId="68E4F49E" w14:textId="77777777" w:rsidR="00DB5BA7" w:rsidRPr="00055A28" w:rsidRDefault="00DB5BA7" w:rsidP="00DB5BA7">
            <w:pPr>
              <w:ind w:left="360"/>
              <w:rPr>
                <w:rFonts w:cs="Arial"/>
              </w:rPr>
            </w:pPr>
            <w:r w:rsidRPr="00055A28">
              <w:rPr>
                <w:rFonts w:cs="Arial"/>
              </w:rPr>
              <w:t>9.2</w:t>
            </w:r>
          </w:p>
        </w:tc>
      </w:tr>
    </w:tbl>
    <w:p w14:paraId="2AA53A51" w14:textId="77777777" w:rsidR="00422B4F" w:rsidRPr="00296D0C" w:rsidRDefault="00422B4F" w:rsidP="00DB5BA7">
      <w:pPr>
        <w:spacing w:after="0" w:line="360" w:lineRule="auto"/>
        <w:rPr>
          <w:rFonts w:cs="Arial"/>
          <w:b/>
        </w:rPr>
      </w:pPr>
    </w:p>
    <w:p w14:paraId="1A6A409E" w14:textId="25181471" w:rsidR="00DB5BA7" w:rsidRPr="00296D0C" w:rsidRDefault="00DB5BA7" w:rsidP="00DB5BA7">
      <w:pPr>
        <w:spacing w:after="0" w:line="360" w:lineRule="auto"/>
      </w:pPr>
      <w:r w:rsidRPr="00296D0C">
        <w:rPr>
          <w:b/>
        </w:rPr>
        <w:t>Aim 2:</w:t>
      </w:r>
      <w:r w:rsidRPr="00296D0C">
        <w:t xml:space="preserve"> </w:t>
      </w:r>
      <w:r w:rsidRPr="00296D0C">
        <w:rPr>
          <w:b/>
        </w:rPr>
        <w:t xml:space="preserve">To assess whether the intervention worked in the way it was expected to, in terms of the intervention logic model (see </w:t>
      </w:r>
      <w:r w:rsidR="00422B4F" w:rsidRPr="00296D0C">
        <w:rPr>
          <w:b/>
        </w:rPr>
        <w:t>figure 8</w:t>
      </w:r>
      <w:r w:rsidRPr="00296D0C">
        <w:rPr>
          <w:b/>
        </w:rPr>
        <w:t>).</w:t>
      </w:r>
    </w:p>
    <w:p w14:paraId="390C1191" w14:textId="230FAD7A" w:rsidR="00EA5015" w:rsidRPr="00296D0C" w:rsidRDefault="00EA5015" w:rsidP="00EA5015">
      <w:pPr>
        <w:spacing w:line="360" w:lineRule="auto"/>
        <w:rPr>
          <w:rFonts w:cs="Arial"/>
          <w:noProof/>
        </w:rPr>
      </w:pPr>
      <w:r w:rsidRPr="00296D0C">
        <w:rPr>
          <w:rFonts w:cs="Arial"/>
          <w:noProof/>
        </w:rPr>
        <w:t>All Year 5 teachers from the 16 schools that received the intervention were interviewed (n = 28) and all parents of participating children in the intervention schools were sent a questionnaire in the post following the intervention. Just over a quarter of parents (26%; 176/676) returned the questionnaire, of which 80 (45%) indicated that they were happy to be interviewed. As there is some evidence that health promotion programmes can (unintentionally) widen health inequalities, we wanted to see whether engagement with HeLP and the trial process was the same across all socioencomic groups. Analysis by individual level IMD rank (i.e. based on the child’s postcode), showed that there was an equal spread across the socioeconomic spectrum for questionnaire returns. Fifty two parents (of which two were fathers) were interviewed, with slightly more parents from the higher two than the lower two IMD quartiles participating (60% and 40%). Forty five parents (87%) interviewed were categorised as engaged, 81% of whom also had an engaged child. Thirteen percent of parents interviewed were less engaged, of whom 2% (one parent) had a less engaged child.</w:t>
      </w:r>
    </w:p>
    <w:p w14:paraId="1F0AC6C3" w14:textId="77777777" w:rsidR="00EA5015" w:rsidRPr="00296D0C" w:rsidRDefault="00EA5015" w:rsidP="00EA5015">
      <w:pPr>
        <w:spacing w:line="360" w:lineRule="auto"/>
        <w:rPr>
          <w:rFonts w:cs="Arial"/>
          <w:noProof/>
        </w:rPr>
      </w:pPr>
      <w:r w:rsidRPr="00296D0C">
        <w:rPr>
          <w:rFonts w:cs="Arial"/>
          <w:noProof/>
        </w:rPr>
        <w:t>A total of 35 focus groups (18 with engaged children and 17 with less engaged children) were conducted across both cohorts.</w:t>
      </w:r>
    </w:p>
    <w:p w14:paraId="01BDB700" w14:textId="399A4432" w:rsidR="00DB5BA7" w:rsidRPr="00296D0C" w:rsidRDefault="00DB5BA7" w:rsidP="001D34D8">
      <w:pPr>
        <w:spacing w:after="0" w:line="360" w:lineRule="auto"/>
        <w:ind w:left="360"/>
        <w:contextualSpacing/>
        <w:rPr>
          <w:b/>
          <w:i/>
        </w:rPr>
      </w:pPr>
      <w:r w:rsidRPr="00296D0C">
        <w:rPr>
          <w:b/>
          <w:i/>
        </w:rPr>
        <w:lastRenderedPageBreak/>
        <w:t xml:space="preserve">Research Question </w:t>
      </w:r>
      <w:r w:rsidR="00F21C70" w:rsidRPr="00296D0C">
        <w:rPr>
          <w:b/>
          <w:i/>
        </w:rPr>
        <w:t>3</w:t>
      </w:r>
      <w:r w:rsidRPr="00296D0C">
        <w:rPr>
          <w:b/>
          <w:i/>
        </w:rPr>
        <w:t>. Did schools, children and parents engage with HeLP?</w:t>
      </w:r>
    </w:p>
    <w:p w14:paraId="662236F1" w14:textId="77777777" w:rsidR="00DB5BA7" w:rsidRPr="00296D0C" w:rsidRDefault="00DB5BA7" w:rsidP="001D34D8">
      <w:pPr>
        <w:spacing w:after="0" w:line="360" w:lineRule="auto"/>
        <w:contextualSpacing/>
      </w:pPr>
    </w:p>
    <w:p w14:paraId="4881317C" w14:textId="281CEB6E" w:rsidR="001D34D8" w:rsidRPr="00296D0C" w:rsidRDefault="00DB5BA7" w:rsidP="001D34D8">
      <w:pPr>
        <w:spacing w:after="0" w:line="360" w:lineRule="auto"/>
        <w:contextualSpacing/>
        <w:rPr>
          <w:rFonts w:cs="Arial"/>
          <w:noProof/>
        </w:rPr>
      </w:pPr>
      <w:r w:rsidRPr="00296D0C">
        <w:t xml:space="preserve">Child, parent and school engagement scores as well as the qualitative data from the focus groups and interviews relating to enjoyment and engagement of </w:t>
      </w:r>
      <w:r w:rsidR="00FE6FD2" w:rsidRPr="00296D0C">
        <w:t xml:space="preserve">the </w:t>
      </w:r>
      <w:r w:rsidR="009D57AD">
        <w:t>p</w:t>
      </w:r>
      <w:r w:rsidR="00FE6FD2" w:rsidRPr="00296D0C">
        <w:t>rogramme</w:t>
      </w:r>
      <w:r w:rsidRPr="00296D0C">
        <w:t xml:space="preserve"> are presented here. </w:t>
      </w:r>
      <w:r w:rsidRPr="00296D0C">
        <w:rPr>
          <w:rFonts w:cs="Arial"/>
          <w:noProof/>
        </w:rPr>
        <w:t xml:space="preserve">Evidence of possible mechanisms leading to engagement/enjoyment (e.g. knowledge and understanding, discussions </w:t>
      </w:r>
      <w:r w:rsidR="004C6369" w:rsidRPr="00296D0C">
        <w:rPr>
          <w:rFonts w:cs="Arial"/>
          <w:noProof/>
        </w:rPr>
        <w:t xml:space="preserve">at home </w:t>
      </w:r>
      <w:r w:rsidRPr="00296D0C">
        <w:rPr>
          <w:rFonts w:cs="Arial"/>
          <w:noProof/>
        </w:rPr>
        <w:t>about healthy lifestyles, delivery methods and identification with the characters) are also presented here. Each quote presented is referenced with the source. (School number, P</w:t>
      </w:r>
      <w:r w:rsidR="00890008" w:rsidRPr="00296D0C">
        <w:rPr>
          <w:rFonts w:cs="Arial"/>
          <w:noProof/>
        </w:rPr>
        <w:t xml:space="preserve"> </w:t>
      </w:r>
      <w:r w:rsidRPr="00296D0C">
        <w:rPr>
          <w:rFonts w:cs="Arial"/>
          <w:noProof/>
        </w:rPr>
        <w:t>= parent, T</w:t>
      </w:r>
      <w:r w:rsidR="00890008" w:rsidRPr="00296D0C">
        <w:rPr>
          <w:rFonts w:cs="Arial"/>
          <w:noProof/>
        </w:rPr>
        <w:t xml:space="preserve"> </w:t>
      </w:r>
      <w:r w:rsidRPr="00296D0C">
        <w:rPr>
          <w:rFonts w:cs="Arial"/>
          <w:noProof/>
        </w:rPr>
        <w:t>= teacher, LEC = less engaged child, EC = engaged child). We also present relevant data from the parent questionnaire (Appendix 1</w:t>
      </w:r>
      <w:r w:rsidR="007B3A2C">
        <w:rPr>
          <w:rFonts w:cs="Arial"/>
          <w:noProof/>
        </w:rPr>
        <w:t>0</w:t>
      </w:r>
      <w:r w:rsidR="001D34D8">
        <w:rPr>
          <w:rFonts w:cs="Arial"/>
          <w:noProof/>
        </w:rPr>
        <w:t>).</w:t>
      </w:r>
    </w:p>
    <w:p w14:paraId="31554C37" w14:textId="77777777" w:rsidR="001D34D8" w:rsidRDefault="001D34D8" w:rsidP="001D34D8">
      <w:pPr>
        <w:spacing w:after="0" w:line="360" w:lineRule="auto"/>
        <w:rPr>
          <w:b/>
        </w:rPr>
      </w:pPr>
    </w:p>
    <w:p w14:paraId="447838BA" w14:textId="77777777" w:rsidR="002B5626" w:rsidRPr="00296D0C" w:rsidRDefault="002B5626" w:rsidP="001D34D8">
      <w:pPr>
        <w:spacing w:after="0" w:line="360" w:lineRule="auto"/>
        <w:rPr>
          <w:b/>
        </w:rPr>
      </w:pPr>
      <w:r w:rsidRPr="00296D0C">
        <w:rPr>
          <w:b/>
        </w:rPr>
        <w:t>Child engagement</w:t>
      </w:r>
    </w:p>
    <w:p w14:paraId="53250F63" w14:textId="77777777" w:rsidR="002B5626" w:rsidRPr="00296D0C" w:rsidRDefault="002B5626" w:rsidP="001D34D8">
      <w:pPr>
        <w:spacing w:after="0" w:line="360" w:lineRule="auto"/>
      </w:pPr>
      <w:r w:rsidRPr="00296D0C">
        <w:t xml:space="preserve">Ninety six percent (652/676) of children set goals with the HeLP Coordinator in phase 3 and of these children, 63% (411/652) had parental support, as indicated by a parent signature on the goal setting sheet and/or written comments regarding how the parent would support the child in achieving their goals. </w:t>
      </w:r>
    </w:p>
    <w:p w14:paraId="4FCC1E4F" w14:textId="77777777" w:rsidR="002B5626" w:rsidRPr="00296D0C" w:rsidRDefault="002B5626" w:rsidP="001D34D8">
      <w:pPr>
        <w:spacing w:after="0" w:line="360" w:lineRule="auto"/>
        <w:rPr>
          <w:rFonts w:eastAsia="Times New Roman" w:cs="Times New Roman"/>
          <w:iCs/>
          <w:color w:val="000000"/>
        </w:rPr>
      </w:pPr>
      <w:r w:rsidRPr="00296D0C">
        <w:rPr>
          <w:rFonts w:eastAsia="Times New Roman" w:cs="Times New Roman"/>
          <w:iCs/>
          <w:color w:val="000000"/>
        </w:rPr>
        <w:t xml:space="preserve">Twenty four children had missing engagement scores (13 children had moved out of the area; 8 children had changed schools prior to the 1-1 goal setting discussion; and 3 children were absent on multiple visits by the </w:t>
      </w:r>
      <w:r w:rsidRPr="00296D0C">
        <w:t>HeLP Coordinator</w:t>
      </w:r>
      <w:r w:rsidRPr="00296D0C">
        <w:rPr>
          <w:rFonts w:eastAsia="Times New Roman" w:cs="Times New Roman"/>
          <w:iCs/>
          <w:color w:val="000000"/>
        </w:rPr>
        <w:t>) and had not set goals.</w:t>
      </w:r>
    </w:p>
    <w:p w14:paraId="64B39244" w14:textId="137D9D3D" w:rsidR="002B5626" w:rsidRDefault="002B5626" w:rsidP="001D34D8">
      <w:pPr>
        <w:spacing w:after="0" w:line="360" w:lineRule="auto"/>
      </w:pPr>
      <w:r w:rsidRPr="00296D0C">
        <w:t xml:space="preserve">Based on the child engagement scoring system, 92% (602/652) of children were deemed to be engaged with HeLP. Similar percentages of boys and girls were considered engaged (91% and 94% respectively), however, those children in schools that had more than one Year 5 class had a greater percentage of engaged children than those with only one Year 5 class (97% and 82% respectively). Table </w:t>
      </w:r>
      <w:r w:rsidR="000968A2" w:rsidRPr="00296D0C">
        <w:t>3</w:t>
      </w:r>
      <w:r w:rsidR="00C06FE1">
        <w:t>8</w:t>
      </w:r>
      <w:r w:rsidRPr="00296D0C">
        <w:t xml:space="preserve"> shows that HeLP was able to engage children across the socioeconomic spectrum, although there were slightly more children from the most deprived quartiles in the less engaged category.</w:t>
      </w:r>
    </w:p>
    <w:p w14:paraId="0489B0EE" w14:textId="77777777" w:rsidR="001D34D8" w:rsidRPr="00296D0C" w:rsidRDefault="001D34D8" w:rsidP="001D34D8">
      <w:pPr>
        <w:spacing w:after="0" w:line="360" w:lineRule="auto"/>
      </w:pPr>
    </w:p>
    <w:p w14:paraId="7A156AD3" w14:textId="77777777" w:rsidR="001D34D8" w:rsidRDefault="001D34D8">
      <w:pPr>
        <w:rPr>
          <w:b/>
        </w:rPr>
      </w:pPr>
      <w:r>
        <w:rPr>
          <w:b/>
        </w:rPr>
        <w:br w:type="page"/>
      </w:r>
    </w:p>
    <w:p w14:paraId="72420D74" w14:textId="5505DAF1" w:rsidR="002B5626" w:rsidRPr="00296D0C" w:rsidRDefault="000968A2" w:rsidP="002B5626">
      <w:pPr>
        <w:spacing w:after="0" w:line="360" w:lineRule="auto"/>
        <w:rPr>
          <w:b/>
        </w:rPr>
      </w:pPr>
      <w:r w:rsidRPr="00296D0C">
        <w:rPr>
          <w:b/>
        </w:rPr>
        <w:lastRenderedPageBreak/>
        <w:t>T</w:t>
      </w:r>
      <w:r w:rsidR="001E551C" w:rsidRPr="00296D0C">
        <w:rPr>
          <w:b/>
        </w:rPr>
        <w:t>ABLE</w:t>
      </w:r>
      <w:r w:rsidRPr="00296D0C">
        <w:rPr>
          <w:b/>
        </w:rPr>
        <w:t xml:space="preserve"> 3</w:t>
      </w:r>
      <w:r w:rsidR="00C06FE1">
        <w:rPr>
          <w:b/>
        </w:rPr>
        <w:t>8</w:t>
      </w:r>
      <w:r w:rsidR="002B5626" w:rsidRPr="00296D0C">
        <w:rPr>
          <w:b/>
        </w:rPr>
        <w:t xml:space="preserve"> Child engagement by IMD rank*</w:t>
      </w:r>
    </w:p>
    <w:tbl>
      <w:tblPr>
        <w:tblW w:w="7812" w:type="dxa"/>
        <w:tblInd w:w="93" w:type="dxa"/>
        <w:tblLook w:val="04A0" w:firstRow="1" w:lastRow="0" w:firstColumn="1" w:lastColumn="0" w:noHBand="0" w:noVBand="1"/>
      </w:tblPr>
      <w:tblGrid>
        <w:gridCol w:w="2283"/>
        <w:gridCol w:w="1985"/>
        <w:gridCol w:w="1843"/>
        <w:gridCol w:w="472"/>
        <w:gridCol w:w="236"/>
        <w:gridCol w:w="993"/>
      </w:tblGrid>
      <w:tr w:rsidR="002B5626" w:rsidRPr="00296D0C" w14:paraId="22355634" w14:textId="77777777" w:rsidTr="001E551C">
        <w:trPr>
          <w:trHeight w:val="34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0B20BC" w14:textId="77777777" w:rsidR="002B5626" w:rsidRPr="00296D0C" w:rsidRDefault="002B5626" w:rsidP="00C83DA3">
            <w:pPr>
              <w:spacing w:after="0" w:line="240" w:lineRule="auto"/>
              <w:ind w:left="360"/>
              <w:rPr>
                <w:rFonts w:eastAsia="Times New Roman" w:cs="Times New Roman"/>
                <w:b/>
                <w:bCs/>
                <w:color w:val="000000"/>
              </w:rPr>
            </w:pPr>
            <w:r w:rsidRPr="00296D0C">
              <w:rPr>
                <w:rFonts w:eastAsia="Times New Roman" w:cs="Times New Roman"/>
                <w:b/>
                <w:bCs/>
                <w:color w:val="000000"/>
              </w:rPr>
              <w:t>Deprivation Quartile</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14:paraId="24F3C768" w14:textId="6421147B" w:rsidR="002B5626" w:rsidRPr="00296D0C" w:rsidRDefault="002B5626" w:rsidP="005C3553">
            <w:pPr>
              <w:spacing w:after="0" w:line="240" w:lineRule="auto"/>
              <w:ind w:left="360"/>
              <w:rPr>
                <w:rFonts w:eastAsia="Times New Roman" w:cs="Times New Roman"/>
                <w:b/>
                <w:bCs/>
                <w:color w:val="000000"/>
              </w:rPr>
            </w:pPr>
            <w:r w:rsidRPr="00296D0C">
              <w:rPr>
                <w:rFonts w:eastAsia="Times New Roman" w:cs="Times New Roman"/>
                <w:b/>
                <w:bCs/>
                <w:color w:val="000000"/>
              </w:rPr>
              <w:t>Number</w:t>
            </w:r>
            <w:r w:rsidR="005C3553" w:rsidRPr="00296D0C">
              <w:rPr>
                <w:rFonts w:eastAsia="Times New Roman" w:cs="Times New Roman"/>
                <w:b/>
                <w:bCs/>
                <w:color w:val="000000"/>
              </w:rPr>
              <w:t xml:space="preserve"> (and %) of</w:t>
            </w:r>
            <w:r w:rsidRPr="00296D0C">
              <w:rPr>
                <w:rFonts w:eastAsia="Times New Roman" w:cs="Times New Roman"/>
                <w:b/>
                <w:bCs/>
                <w:color w:val="000000"/>
              </w:rPr>
              <w:t xml:space="preserve"> less engaged children (LE)</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14:paraId="3735A50B" w14:textId="0DCD73F9" w:rsidR="002B5626" w:rsidRPr="00296D0C" w:rsidRDefault="002B5626" w:rsidP="005C3553">
            <w:pPr>
              <w:spacing w:after="0" w:line="240" w:lineRule="auto"/>
              <w:ind w:left="360"/>
              <w:rPr>
                <w:rFonts w:eastAsia="Times New Roman" w:cs="Times New Roman"/>
                <w:b/>
                <w:bCs/>
                <w:color w:val="000000"/>
              </w:rPr>
            </w:pPr>
            <w:r w:rsidRPr="00296D0C">
              <w:rPr>
                <w:rFonts w:eastAsia="Times New Roman" w:cs="Times New Roman"/>
                <w:b/>
                <w:bCs/>
                <w:color w:val="000000"/>
              </w:rPr>
              <w:t xml:space="preserve">Number </w:t>
            </w:r>
            <w:r w:rsidR="005C3553" w:rsidRPr="00296D0C">
              <w:rPr>
                <w:rFonts w:eastAsia="Times New Roman" w:cs="Times New Roman"/>
                <w:b/>
                <w:bCs/>
                <w:color w:val="000000"/>
              </w:rPr>
              <w:t xml:space="preserve">(and %) </w:t>
            </w:r>
            <w:r w:rsidRPr="00296D0C">
              <w:rPr>
                <w:rFonts w:eastAsia="Times New Roman" w:cs="Times New Roman"/>
                <w:b/>
                <w:bCs/>
                <w:color w:val="000000"/>
              </w:rPr>
              <w:t>of engaged children (EC)</w:t>
            </w:r>
          </w:p>
        </w:tc>
        <w:tc>
          <w:tcPr>
            <w:tcW w:w="1701" w:type="dxa"/>
            <w:gridSpan w:val="3"/>
            <w:tcBorders>
              <w:top w:val="single" w:sz="4" w:space="0" w:color="auto"/>
              <w:left w:val="nil"/>
              <w:bottom w:val="single" w:sz="4" w:space="0" w:color="auto"/>
              <w:right w:val="single" w:sz="4" w:space="0" w:color="auto"/>
            </w:tcBorders>
            <w:shd w:val="clear" w:color="auto" w:fill="auto"/>
            <w:noWrap/>
            <w:vAlign w:val="bottom"/>
            <w:hideMark/>
          </w:tcPr>
          <w:p w14:paraId="20095CAF" w14:textId="77777777" w:rsidR="002B5626" w:rsidRPr="00296D0C" w:rsidRDefault="002B5626" w:rsidP="00C83DA3">
            <w:pPr>
              <w:spacing w:after="0" w:line="240" w:lineRule="auto"/>
              <w:ind w:left="360"/>
              <w:rPr>
                <w:rFonts w:eastAsia="Times New Roman" w:cs="Times New Roman"/>
                <w:b/>
                <w:bCs/>
                <w:color w:val="000000"/>
              </w:rPr>
            </w:pPr>
            <w:r w:rsidRPr="00296D0C">
              <w:rPr>
                <w:rFonts w:eastAsia="Times New Roman" w:cs="Times New Roman"/>
                <w:b/>
                <w:bCs/>
                <w:color w:val="000000"/>
              </w:rPr>
              <w:t>Total number of children</w:t>
            </w:r>
          </w:p>
        </w:tc>
      </w:tr>
      <w:tr w:rsidR="002B5626" w:rsidRPr="00296D0C" w14:paraId="39136D7D" w14:textId="77777777" w:rsidTr="001E551C">
        <w:trPr>
          <w:trHeight w:val="340"/>
        </w:trPr>
        <w:tc>
          <w:tcPr>
            <w:tcW w:w="2283" w:type="dxa"/>
            <w:tcBorders>
              <w:top w:val="nil"/>
              <w:left w:val="single" w:sz="4" w:space="0" w:color="auto"/>
              <w:bottom w:val="single" w:sz="4" w:space="0" w:color="auto"/>
              <w:right w:val="single" w:sz="4" w:space="0" w:color="auto"/>
            </w:tcBorders>
            <w:shd w:val="clear" w:color="auto" w:fill="auto"/>
            <w:vAlign w:val="bottom"/>
            <w:hideMark/>
          </w:tcPr>
          <w:p w14:paraId="7338DE4E" w14:textId="77777777" w:rsidR="002B5626" w:rsidRPr="00296D0C" w:rsidRDefault="002B5626" w:rsidP="00C83DA3">
            <w:pPr>
              <w:spacing w:after="0" w:line="240" w:lineRule="auto"/>
              <w:ind w:left="360"/>
              <w:rPr>
                <w:rFonts w:eastAsia="Times New Roman" w:cs="Times New Roman"/>
                <w:b/>
                <w:bCs/>
                <w:color w:val="000000"/>
              </w:rPr>
            </w:pPr>
            <w:r w:rsidRPr="00296D0C">
              <w:rPr>
                <w:rFonts w:eastAsia="Times New Roman" w:cs="Times New Roman"/>
                <w:b/>
                <w:bCs/>
                <w:color w:val="000000"/>
              </w:rPr>
              <w:t>1 (most deprived)</w:t>
            </w:r>
          </w:p>
        </w:tc>
        <w:tc>
          <w:tcPr>
            <w:tcW w:w="1985" w:type="dxa"/>
            <w:tcBorders>
              <w:top w:val="nil"/>
              <w:left w:val="nil"/>
              <w:bottom w:val="single" w:sz="4" w:space="0" w:color="auto"/>
              <w:right w:val="single" w:sz="4" w:space="0" w:color="auto"/>
            </w:tcBorders>
            <w:shd w:val="clear" w:color="auto" w:fill="auto"/>
            <w:noWrap/>
            <w:vAlign w:val="bottom"/>
            <w:hideMark/>
          </w:tcPr>
          <w:p w14:paraId="67B5593C" w14:textId="39E1860C" w:rsidR="002B5626" w:rsidRPr="00296D0C" w:rsidRDefault="002B5626" w:rsidP="005C3553">
            <w:pPr>
              <w:spacing w:after="0" w:line="240" w:lineRule="auto"/>
              <w:ind w:left="360"/>
              <w:jc w:val="right"/>
              <w:rPr>
                <w:rFonts w:eastAsia="Times New Roman" w:cs="Times New Roman"/>
                <w:color w:val="000000"/>
              </w:rPr>
            </w:pPr>
            <w:r w:rsidRPr="00296D0C">
              <w:rPr>
                <w:rFonts w:eastAsia="Times New Roman" w:cs="Times New Roman"/>
                <w:color w:val="000000"/>
              </w:rPr>
              <w:t>16</w:t>
            </w:r>
            <w:r w:rsidR="005C3553" w:rsidRPr="00296D0C">
              <w:rPr>
                <w:rFonts w:eastAsia="Times New Roman" w:cs="Times New Roman"/>
                <w:color w:val="000000"/>
              </w:rPr>
              <w:t xml:space="preserve"> (33)</w:t>
            </w:r>
          </w:p>
        </w:tc>
        <w:tc>
          <w:tcPr>
            <w:tcW w:w="1843" w:type="dxa"/>
            <w:tcBorders>
              <w:top w:val="nil"/>
              <w:left w:val="nil"/>
              <w:bottom w:val="single" w:sz="4" w:space="0" w:color="auto"/>
              <w:right w:val="single" w:sz="4" w:space="0" w:color="auto"/>
            </w:tcBorders>
            <w:shd w:val="clear" w:color="auto" w:fill="auto"/>
            <w:noWrap/>
            <w:vAlign w:val="bottom"/>
            <w:hideMark/>
          </w:tcPr>
          <w:p w14:paraId="332D393A" w14:textId="397107BC" w:rsidR="002B5626" w:rsidRPr="00296D0C" w:rsidRDefault="002B5626" w:rsidP="00C83DA3">
            <w:pPr>
              <w:spacing w:after="0" w:line="240" w:lineRule="auto"/>
              <w:ind w:left="360"/>
              <w:jc w:val="right"/>
              <w:rPr>
                <w:rFonts w:eastAsia="Times New Roman" w:cs="Times New Roman"/>
                <w:color w:val="000000"/>
              </w:rPr>
            </w:pPr>
            <w:r w:rsidRPr="00296D0C">
              <w:rPr>
                <w:rFonts w:eastAsia="Times New Roman" w:cs="Times New Roman"/>
                <w:color w:val="000000"/>
              </w:rPr>
              <w:t>156</w:t>
            </w:r>
            <w:r w:rsidR="005C3553" w:rsidRPr="00296D0C">
              <w:rPr>
                <w:rFonts w:eastAsia="Times New Roman" w:cs="Times New Roman"/>
                <w:color w:val="000000"/>
              </w:rPr>
              <w:t xml:space="preserve"> (26)</w:t>
            </w:r>
          </w:p>
        </w:tc>
        <w:tc>
          <w:tcPr>
            <w:tcW w:w="1701" w:type="dxa"/>
            <w:gridSpan w:val="3"/>
            <w:tcBorders>
              <w:top w:val="nil"/>
              <w:left w:val="nil"/>
              <w:bottom w:val="single" w:sz="4" w:space="0" w:color="auto"/>
              <w:right w:val="single" w:sz="4" w:space="0" w:color="auto"/>
            </w:tcBorders>
            <w:shd w:val="clear" w:color="auto" w:fill="auto"/>
            <w:noWrap/>
            <w:vAlign w:val="bottom"/>
            <w:hideMark/>
          </w:tcPr>
          <w:p w14:paraId="68F92528" w14:textId="77777777" w:rsidR="002B5626" w:rsidRPr="00296D0C" w:rsidRDefault="002B5626" w:rsidP="00C83DA3">
            <w:pPr>
              <w:spacing w:after="0" w:line="240" w:lineRule="auto"/>
              <w:ind w:left="360"/>
              <w:jc w:val="right"/>
              <w:rPr>
                <w:rFonts w:eastAsia="Times New Roman" w:cs="Times New Roman"/>
                <w:color w:val="000000"/>
              </w:rPr>
            </w:pPr>
            <w:r w:rsidRPr="00296D0C">
              <w:rPr>
                <w:rFonts w:eastAsia="Times New Roman" w:cs="Times New Roman"/>
                <w:color w:val="000000"/>
              </w:rPr>
              <w:t>172</w:t>
            </w:r>
          </w:p>
        </w:tc>
      </w:tr>
      <w:tr w:rsidR="002B5626" w:rsidRPr="00296D0C" w14:paraId="2C349EDC" w14:textId="77777777" w:rsidTr="001E551C">
        <w:trPr>
          <w:trHeight w:val="34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14:paraId="395C14D9" w14:textId="77777777" w:rsidR="002B5626" w:rsidRPr="00296D0C" w:rsidRDefault="002B5626" w:rsidP="00C83DA3">
            <w:pPr>
              <w:spacing w:after="0" w:line="240" w:lineRule="auto"/>
              <w:ind w:left="360"/>
              <w:rPr>
                <w:rFonts w:eastAsia="Times New Roman" w:cs="Times New Roman"/>
                <w:b/>
                <w:bCs/>
                <w:color w:val="000000"/>
              </w:rPr>
            </w:pPr>
            <w:r w:rsidRPr="00296D0C">
              <w:rPr>
                <w:rFonts w:eastAsia="Times New Roman" w:cs="Times New Roman"/>
                <w:b/>
                <w:bCs/>
                <w:color w:val="000000"/>
              </w:rPr>
              <w:t>2</w:t>
            </w:r>
          </w:p>
        </w:tc>
        <w:tc>
          <w:tcPr>
            <w:tcW w:w="1985" w:type="dxa"/>
            <w:tcBorders>
              <w:top w:val="nil"/>
              <w:left w:val="nil"/>
              <w:bottom w:val="single" w:sz="4" w:space="0" w:color="auto"/>
              <w:right w:val="single" w:sz="4" w:space="0" w:color="auto"/>
            </w:tcBorders>
            <w:shd w:val="clear" w:color="auto" w:fill="auto"/>
            <w:noWrap/>
            <w:vAlign w:val="bottom"/>
            <w:hideMark/>
          </w:tcPr>
          <w:p w14:paraId="1C98AAC4" w14:textId="1DE6CA09" w:rsidR="002B5626" w:rsidRPr="00296D0C" w:rsidRDefault="002B5626" w:rsidP="00C83DA3">
            <w:pPr>
              <w:spacing w:after="0" w:line="240" w:lineRule="auto"/>
              <w:ind w:left="360"/>
              <w:jc w:val="right"/>
              <w:rPr>
                <w:rFonts w:eastAsia="Times New Roman" w:cs="Times New Roman"/>
                <w:color w:val="000000"/>
              </w:rPr>
            </w:pPr>
            <w:r w:rsidRPr="00296D0C">
              <w:rPr>
                <w:rFonts w:eastAsia="Times New Roman" w:cs="Times New Roman"/>
                <w:color w:val="000000"/>
              </w:rPr>
              <w:t>15</w:t>
            </w:r>
            <w:r w:rsidR="005C3553" w:rsidRPr="00296D0C">
              <w:rPr>
                <w:rFonts w:eastAsia="Times New Roman" w:cs="Times New Roman"/>
                <w:color w:val="000000"/>
              </w:rPr>
              <w:t xml:space="preserve"> (31)</w:t>
            </w:r>
          </w:p>
        </w:tc>
        <w:tc>
          <w:tcPr>
            <w:tcW w:w="1843" w:type="dxa"/>
            <w:tcBorders>
              <w:top w:val="nil"/>
              <w:left w:val="nil"/>
              <w:bottom w:val="single" w:sz="4" w:space="0" w:color="auto"/>
              <w:right w:val="single" w:sz="4" w:space="0" w:color="auto"/>
            </w:tcBorders>
            <w:shd w:val="clear" w:color="auto" w:fill="auto"/>
            <w:noWrap/>
            <w:vAlign w:val="bottom"/>
            <w:hideMark/>
          </w:tcPr>
          <w:p w14:paraId="27DBE431" w14:textId="404278EF" w:rsidR="002B5626" w:rsidRPr="00296D0C" w:rsidRDefault="002B5626" w:rsidP="00C83DA3">
            <w:pPr>
              <w:spacing w:after="0" w:line="240" w:lineRule="auto"/>
              <w:ind w:left="360"/>
              <w:jc w:val="right"/>
              <w:rPr>
                <w:rFonts w:eastAsia="Times New Roman" w:cs="Times New Roman"/>
                <w:color w:val="000000"/>
              </w:rPr>
            </w:pPr>
            <w:r w:rsidRPr="00296D0C">
              <w:rPr>
                <w:rFonts w:eastAsia="Times New Roman" w:cs="Times New Roman"/>
                <w:color w:val="000000"/>
              </w:rPr>
              <w:t>143</w:t>
            </w:r>
            <w:r w:rsidR="005C3553" w:rsidRPr="00296D0C">
              <w:rPr>
                <w:rFonts w:eastAsia="Times New Roman" w:cs="Times New Roman"/>
                <w:color w:val="000000"/>
              </w:rPr>
              <w:t xml:space="preserve"> (24)</w:t>
            </w:r>
          </w:p>
        </w:tc>
        <w:tc>
          <w:tcPr>
            <w:tcW w:w="1701" w:type="dxa"/>
            <w:gridSpan w:val="3"/>
            <w:tcBorders>
              <w:top w:val="nil"/>
              <w:left w:val="nil"/>
              <w:bottom w:val="single" w:sz="4" w:space="0" w:color="auto"/>
              <w:right w:val="single" w:sz="4" w:space="0" w:color="auto"/>
            </w:tcBorders>
            <w:shd w:val="clear" w:color="auto" w:fill="auto"/>
            <w:noWrap/>
            <w:vAlign w:val="bottom"/>
            <w:hideMark/>
          </w:tcPr>
          <w:p w14:paraId="39CDEE1D" w14:textId="77777777" w:rsidR="002B5626" w:rsidRPr="00296D0C" w:rsidRDefault="002B5626" w:rsidP="00C83DA3">
            <w:pPr>
              <w:spacing w:after="0" w:line="240" w:lineRule="auto"/>
              <w:ind w:left="360"/>
              <w:jc w:val="right"/>
              <w:rPr>
                <w:rFonts w:eastAsia="Times New Roman" w:cs="Times New Roman"/>
                <w:color w:val="000000"/>
              </w:rPr>
            </w:pPr>
            <w:r w:rsidRPr="00296D0C">
              <w:rPr>
                <w:rFonts w:eastAsia="Times New Roman" w:cs="Times New Roman"/>
                <w:color w:val="000000"/>
              </w:rPr>
              <w:t>158</w:t>
            </w:r>
          </w:p>
        </w:tc>
      </w:tr>
      <w:tr w:rsidR="002B5626" w:rsidRPr="00296D0C" w14:paraId="5C4724C3" w14:textId="77777777" w:rsidTr="001E551C">
        <w:trPr>
          <w:trHeight w:val="34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14:paraId="79BF2CF8" w14:textId="77777777" w:rsidR="002B5626" w:rsidRPr="00296D0C" w:rsidRDefault="002B5626" w:rsidP="00C83DA3">
            <w:pPr>
              <w:spacing w:after="0" w:line="240" w:lineRule="auto"/>
              <w:ind w:left="360"/>
              <w:rPr>
                <w:rFonts w:eastAsia="Times New Roman" w:cs="Times New Roman"/>
                <w:b/>
                <w:bCs/>
                <w:color w:val="000000"/>
              </w:rPr>
            </w:pPr>
            <w:r w:rsidRPr="00296D0C">
              <w:rPr>
                <w:rFonts w:eastAsia="Times New Roman" w:cs="Times New Roman"/>
                <w:b/>
                <w:bCs/>
                <w:color w:val="000000"/>
              </w:rPr>
              <w:t>3</w:t>
            </w:r>
          </w:p>
        </w:tc>
        <w:tc>
          <w:tcPr>
            <w:tcW w:w="1985" w:type="dxa"/>
            <w:tcBorders>
              <w:top w:val="nil"/>
              <w:left w:val="nil"/>
              <w:bottom w:val="single" w:sz="4" w:space="0" w:color="auto"/>
              <w:right w:val="single" w:sz="4" w:space="0" w:color="auto"/>
            </w:tcBorders>
            <w:shd w:val="clear" w:color="auto" w:fill="auto"/>
            <w:noWrap/>
            <w:vAlign w:val="bottom"/>
            <w:hideMark/>
          </w:tcPr>
          <w:p w14:paraId="362D1823" w14:textId="41B43564" w:rsidR="002B5626" w:rsidRPr="00296D0C" w:rsidRDefault="002B5626" w:rsidP="00C83DA3">
            <w:pPr>
              <w:spacing w:after="0" w:line="240" w:lineRule="auto"/>
              <w:ind w:left="360"/>
              <w:jc w:val="right"/>
              <w:rPr>
                <w:rFonts w:eastAsia="Times New Roman" w:cs="Times New Roman"/>
                <w:color w:val="000000"/>
              </w:rPr>
            </w:pPr>
            <w:r w:rsidRPr="00296D0C">
              <w:rPr>
                <w:rFonts w:eastAsia="Times New Roman" w:cs="Times New Roman"/>
                <w:color w:val="000000"/>
              </w:rPr>
              <w:t>8</w:t>
            </w:r>
            <w:r w:rsidR="005C3553" w:rsidRPr="00296D0C">
              <w:rPr>
                <w:rFonts w:eastAsia="Times New Roman" w:cs="Times New Roman"/>
                <w:color w:val="000000"/>
              </w:rPr>
              <w:t xml:space="preserve"> (16)</w:t>
            </w:r>
          </w:p>
        </w:tc>
        <w:tc>
          <w:tcPr>
            <w:tcW w:w="1843" w:type="dxa"/>
            <w:tcBorders>
              <w:top w:val="nil"/>
              <w:left w:val="nil"/>
              <w:bottom w:val="single" w:sz="4" w:space="0" w:color="auto"/>
              <w:right w:val="single" w:sz="4" w:space="0" w:color="auto"/>
            </w:tcBorders>
            <w:shd w:val="clear" w:color="auto" w:fill="auto"/>
            <w:noWrap/>
            <w:vAlign w:val="bottom"/>
            <w:hideMark/>
          </w:tcPr>
          <w:p w14:paraId="7B03BBB8" w14:textId="4484BDAC" w:rsidR="002B5626" w:rsidRPr="00296D0C" w:rsidRDefault="002B5626" w:rsidP="00C83DA3">
            <w:pPr>
              <w:spacing w:after="0" w:line="240" w:lineRule="auto"/>
              <w:ind w:left="360"/>
              <w:jc w:val="right"/>
              <w:rPr>
                <w:rFonts w:eastAsia="Times New Roman" w:cs="Times New Roman"/>
                <w:color w:val="000000"/>
              </w:rPr>
            </w:pPr>
            <w:r w:rsidRPr="00296D0C">
              <w:rPr>
                <w:rFonts w:eastAsia="Times New Roman" w:cs="Times New Roman"/>
                <w:color w:val="000000"/>
              </w:rPr>
              <w:t>147</w:t>
            </w:r>
            <w:r w:rsidR="005C3553" w:rsidRPr="00296D0C">
              <w:rPr>
                <w:rFonts w:eastAsia="Times New Roman" w:cs="Times New Roman"/>
                <w:color w:val="000000"/>
              </w:rPr>
              <w:t xml:space="preserve"> (24)</w:t>
            </w:r>
          </w:p>
        </w:tc>
        <w:tc>
          <w:tcPr>
            <w:tcW w:w="1701" w:type="dxa"/>
            <w:gridSpan w:val="3"/>
            <w:tcBorders>
              <w:top w:val="nil"/>
              <w:left w:val="nil"/>
              <w:bottom w:val="single" w:sz="4" w:space="0" w:color="auto"/>
              <w:right w:val="single" w:sz="4" w:space="0" w:color="auto"/>
            </w:tcBorders>
            <w:shd w:val="clear" w:color="auto" w:fill="auto"/>
            <w:noWrap/>
            <w:vAlign w:val="bottom"/>
            <w:hideMark/>
          </w:tcPr>
          <w:p w14:paraId="59458D36" w14:textId="77777777" w:rsidR="002B5626" w:rsidRPr="00296D0C" w:rsidRDefault="002B5626" w:rsidP="00C83DA3">
            <w:pPr>
              <w:spacing w:after="0" w:line="240" w:lineRule="auto"/>
              <w:ind w:left="360"/>
              <w:jc w:val="right"/>
              <w:rPr>
                <w:rFonts w:eastAsia="Times New Roman" w:cs="Times New Roman"/>
                <w:color w:val="000000"/>
              </w:rPr>
            </w:pPr>
            <w:r w:rsidRPr="00296D0C">
              <w:rPr>
                <w:rFonts w:eastAsia="Times New Roman" w:cs="Times New Roman"/>
                <w:color w:val="000000"/>
              </w:rPr>
              <w:t>155</w:t>
            </w:r>
          </w:p>
        </w:tc>
      </w:tr>
      <w:tr w:rsidR="002B5626" w:rsidRPr="00296D0C" w14:paraId="2096526F" w14:textId="77777777" w:rsidTr="001E551C">
        <w:trPr>
          <w:trHeight w:val="340"/>
        </w:trPr>
        <w:tc>
          <w:tcPr>
            <w:tcW w:w="2283" w:type="dxa"/>
            <w:tcBorders>
              <w:top w:val="nil"/>
              <w:left w:val="single" w:sz="4" w:space="0" w:color="auto"/>
              <w:bottom w:val="single" w:sz="4" w:space="0" w:color="auto"/>
              <w:right w:val="single" w:sz="4" w:space="0" w:color="auto"/>
            </w:tcBorders>
            <w:shd w:val="clear" w:color="auto" w:fill="auto"/>
            <w:vAlign w:val="bottom"/>
            <w:hideMark/>
          </w:tcPr>
          <w:p w14:paraId="305A2601" w14:textId="77777777" w:rsidR="002B5626" w:rsidRPr="00296D0C" w:rsidRDefault="002B5626" w:rsidP="00C83DA3">
            <w:pPr>
              <w:spacing w:after="0" w:line="240" w:lineRule="auto"/>
              <w:ind w:left="360"/>
              <w:rPr>
                <w:rFonts w:eastAsia="Times New Roman" w:cs="Times New Roman"/>
                <w:b/>
                <w:bCs/>
                <w:color w:val="000000"/>
              </w:rPr>
            </w:pPr>
            <w:r w:rsidRPr="00296D0C">
              <w:rPr>
                <w:rFonts w:eastAsia="Times New Roman" w:cs="Times New Roman"/>
                <w:b/>
                <w:bCs/>
                <w:color w:val="000000"/>
              </w:rPr>
              <w:t>4  (least deprived)</w:t>
            </w:r>
          </w:p>
        </w:tc>
        <w:tc>
          <w:tcPr>
            <w:tcW w:w="1985" w:type="dxa"/>
            <w:tcBorders>
              <w:top w:val="nil"/>
              <w:left w:val="nil"/>
              <w:bottom w:val="single" w:sz="4" w:space="0" w:color="auto"/>
              <w:right w:val="single" w:sz="4" w:space="0" w:color="auto"/>
            </w:tcBorders>
            <w:shd w:val="clear" w:color="auto" w:fill="auto"/>
            <w:noWrap/>
            <w:vAlign w:val="bottom"/>
            <w:hideMark/>
          </w:tcPr>
          <w:p w14:paraId="0D70D40D" w14:textId="533C0C64" w:rsidR="002B5626" w:rsidRPr="00296D0C" w:rsidRDefault="002B5626" w:rsidP="00C83DA3">
            <w:pPr>
              <w:spacing w:after="0" w:line="240" w:lineRule="auto"/>
              <w:ind w:left="360"/>
              <w:jc w:val="right"/>
              <w:rPr>
                <w:rFonts w:eastAsia="Times New Roman" w:cs="Times New Roman"/>
                <w:color w:val="000000"/>
              </w:rPr>
            </w:pPr>
            <w:r w:rsidRPr="00296D0C">
              <w:rPr>
                <w:rFonts w:eastAsia="Times New Roman" w:cs="Times New Roman"/>
                <w:color w:val="000000"/>
              </w:rPr>
              <w:t>10</w:t>
            </w:r>
            <w:r w:rsidR="005C3553" w:rsidRPr="00296D0C">
              <w:rPr>
                <w:rFonts w:eastAsia="Times New Roman" w:cs="Times New Roman"/>
                <w:color w:val="000000"/>
              </w:rPr>
              <w:t xml:space="preserve"> (20)</w:t>
            </w:r>
          </w:p>
        </w:tc>
        <w:tc>
          <w:tcPr>
            <w:tcW w:w="1843" w:type="dxa"/>
            <w:tcBorders>
              <w:top w:val="nil"/>
              <w:left w:val="nil"/>
              <w:bottom w:val="single" w:sz="4" w:space="0" w:color="auto"/>
              <w:right w:val="single" w:sz="4" w:space="0" w:color="auto"/>
            </w:tcBorders>
            <w:shd w:val="clear" w:color="auto" w:fill="auto"/>
            <w:noWrap/>
            <w:vAlign w:val="bottom"/>
            <w:hideMark/>
          </w:tcPr>
          <w:p w14:paraId="3C83A87A" w14:textId="336D37CB" w:rsidR="002B5626" w:rsidRPr="00296D0C" w:rsidRDefault="002B5626" w:rsidP="00C83DA3">
            <w:pPr>
              <w:spacing w:after="0" w:line="240" w:lineRule="auto"/>
              <w:ind w:left="360"/>
              <w:jc w:val="right"/>
              <w:rPr>
                <w:rFonts w:eastAsia="Times New Roman" w:cs="Times New Roman"/>
                <w:color w:val="000000"/>
              </w:rPr>
            </w:pPr>
            <w:r w:rsidRPr="00296D0C">
              <w:rPr>
                <w:rFonts w:eastAsia="Times New Roman" w:cs="Times New Roman"/>
                <w:color w:val="000000"/>
              </w:rPr>
              <w:t>155</w:t>
            </w:r>
            <w:r w:rsidR="005C3553" w:rsidRPr="00296D0C">
              <w:rPr>
                <w:rFonts w:eastAsia="Times New Roman" w:cs="Times New Roman"/>
                <w:color w:val="000000"/>
              </w:rPr>
              <w:t xml:space="preserve"> (26)</w:t>
            </w:r>
          </w:p>
        </w:tc>
        <w:tc>
          <w:tcPr>
            <w:tcW w:w="1701" w:type="dxa"/>
            <w:gridSpan w:val="3"/>
            <w:tcBorders>
              <w:top w:val="nil"/>
              <w:left w:val="nil"/>
              <w:bottom w:val="single" w:sz="4" w:space="0" w:color="auto"/>
              <w:right w:val="single" w:sz="4" w:space="0" w:color="auto"/>
            </w:tcBorders>
            <w:shd w:val="clear" w:color="auto" w:fill="auto"/>
            <w:noWrap/>
            <w:vAlign w:val="bottom"/>
            <w:hideMark/>
          </w:tcPr>
          <w:p w14:paraId="21E31B2D" w14:textId="77777777" w:rsidR="002B5626" w:rsidRPr="00296D0C" w:rsidRDefault="002B5626" w:rsidP="00C83DA3">
            <w:pPr>
              <w:spacing w:after="0" w:line="240" w:lineRule="auto"/>
              <w:ind w:left="360"/>
              <w:jc w:val="right"/>
              <w:rPr>
                <w:rFonts w:eastAsia="Times New Roman" w:cs="Times New Roman"/>
                <w:color w:val="000000"/>
              </w:rPr>
            </w:pPr>
            <w:r w:rsidRPr="00296D0C">
              <w:rPr>
                <w:rFonts w:eastAsia="Times New Roman" w:cs="Times New Roman"/>
                <w:color w:val="000000"/>
              </w:rPr>
              <w:t>165</w:t>
            </w:r>
          </w:p>
        </w:tc>
      </w:tr>
      <w:tr w:rsidR="002B5626" w:rsidRPr="00296D0C" w14:paraId="785A575B" w14:textId="77777777" w:rsidTr="001E551C">
        <w:trPr>
          <w:trHeight w:val="34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14:paraId="41E531EF" w14:textId="77777777" w:rsidR="002B5626" w:rsidRPr="00296D0C" w:rsidRDefault="002B5626" w:rsidP="00C83DA3">
            <w:pPr>
              <w:spacing w:after="0" w:line="240" w:lineRule="auto"/>
              <w:ind w:left="360"/>
              <w:rPr>
                <w:rFonts w:eastAsia="Times New Roman" w:cs="Times New Roman"/>
                <w:b/>
                <w:bCs/>
                <w:color w:val="000000"/>
              </w:rPr>
            </w:pPr>
            <w:r w:rsidRPr="00296D0C">
              <w:rPr>
                <w:rFonts w:eastAsia="Times New Roman" w:cs="Times New Roman"/>
                <w:b/>
                <w:bCs/>
                <w:color w:val="000000"/>
              </w:rPr>
              <w:t>Total</w:t>
            </w:r>
          </w:p>
        </w:tc>
        <w:tc>
          <w:tcPr>
            <w:tcW w:w="1985" w:type="dxa"/>
            <w:tcBorders>
              <w:top w:val="nil"/>
              <w:left w:val="nil"/>
              <w:bottom w:val="single" w:sz="4" w:space="0" w:color="auto"/>
              <w:right w:val="single" w:sz="4" w:space="0" w:color="auto"/>
            </w:tcBorders>
            <w:shd w:val="clear" w:color="auto" w:fill="auto"/>
            <w:noWrap/>
            <w:vAlign w:val="bottom"/>
            <w:hideMark/>
          </w:tcPr>
          <w:p w14:paraId="10B96DDA" w14:textId="77777777" w:rsidR="002B5626" w:rsidRPr="00296D0C" w:rsidRDefault="002B5626" w:rsidP="00C83DA3">
            <w:pPr>
              <w:spacing w:after="0" w:line="240" w:lineRule="auto"/>
              <w:ind w:left="360"/>
              <w:jc w:val="right"/>
              <w:rPr>
                <w:rFonts w:eastAsia="Times New Roman" w:cs="Times New Roman"/>
                <w:color w:val="000000"/>
              </w:rPr>
            </w:pPr>
            <w:r w:rsidRPr="00296D0C">
              <w:rPr>
                <w:rFonts w:eastAsia="Times New Roman" w:cs="Times New Roman"/>
                <w:color w:val="000000"/>
              </w:rPr>
              <w:t>49</w:t>
            </w:r>
          </w:p>
        </w:tc>
        <w:tc>
          <w:tcPr>
            <w:tcW w:w="1843" w:type="dxa"/>
            <w:tcBorders>
              <w:top w:val="nil"/>
              <w:left w:val="nil"/>
              <w:bottom w:val="single" w:sz="4" w:space="0" w:color="auto"/>
              <w:right w:val="single" w:sz="4" w:space="0" w:color="auto"/>
            </w:tcBorders>
            <w:shd w:val="clear" w:color="auto" w:fill="auto"/>
            <w:noWrap/>
            <w:vAlign w:val="bottom"/>
            <w:hideMark/>
          </w:tcPr>
          <w:p w14:paraId="34B7F75F" w14:textId="77777777" w:rsidR="002B5626" w:rsidRPr="00296D0C" w:rsidRDefault="002B5626" w:rsidP="00C83DA3">
            <w:pPr>
              <w:spacing w:after="0" w:line="240" w:lineRule="auto"/>
              <w:ind w:left="360"/>
              <w:jc w:val="right"/>
              <w:rPr>
                <w:rFonts w:eastAsia="Times New Roman" w:cs="Times New Roman"/>
                <w:color w:val="000000"/>
              </w:rPr>
            </w:pPr>
            <w:r w:rsidRPr="00296D0C">
              <w:rPr>
                <w:rFonts w:eastAsia="Times New Roman" w:cs="Times New Roman"/>
                <w:color w:val="000000"/>
              </w:rPr>
              <w:t>601</w:t>
            </w:r>
          </w:p>
        </w:tc>
        <w:tc>
          <w:tcPr>
            <w:tcW w:w="1701" w:type="dxa"/>
            <w:gridSpan w:val="3"/>
            <w:tcBorders>
              <w:top w:val="nil"/>
              <w:left w:val="nil"/>
              <w:bottom w:val="single" w:sz="4" w:space="0" w:color="auto"/>
              <w:right w:val="single" w:sz="4" w:space="0" w:color="auto"/>
            </w:tcBorders>
            <w:shd w:val="clear" w:color="auto" w:fill="auto"/>
            <w:noWrap/>
            <w:vAlign w:val="bottom"/>
            <w:hideMark/>
          </w:tcPr>
          <w:p w14:paraId="1099D3AD" w14:textId="77777777" w:rsidR="002B5626" w:rsidRPr="00296D0C" w:rsidRDefault="002B5626" w:rsidP="00C83DA3">
            <w:pPr>
              <w:spacing w:after="0" w:line="240" w:lineRule="auto"/>
              <w:ind w:left="360"/>
              <w:jc w:val="right"/>
              <w:rPr>
                <w:rFonts w:eastAsia="Times New Roman" w:cs="Times New Roman"/>
                <w:color w:val="000000"/>
              </w:rPr>
            </w:pPr>
            <w:r w:rsidRPr="00296D0C">
              <w:rPr>
                <w:rFonts w:eastAsia="Times New Roman" w:cs="Times New Roman"/>
                <w:color w:val="000000"/>
              </w:rPr>
              <w:t>650</w:t>
            </w:r>
          </w:p>
        </w:tc>
      </w:tr>
      <w:tr w:rsidR="002B5626" w:rsidRPr="00296D0C" w14:paraId="1B0EF76E" w14:textId="77777777" w:rsidTr="001E551C">
        <w:trPr>
          <w:gridAfter w:val="3"/>
          <w:wAfter w:w="1701" w:type="dxa"/>
          <w:trHeight w:val="300"/>
        </w:trPr>
        <w:tc>
          <w:tcPr>
            <w:tcW w:w="2283" w:type="dxa"/>
            <w:tcBorders>
              <w:top w:val="nil"/>
              <w:left w:val="nil"/>
              <w:bottom w:val="nil"/>
              <w:right w:val="nil"/>
            </w:tcBorders>
            <w:shd w:val="clear" w:color="auto" w:fill="auto"/>
            <w:noWrap/>
            <w:vAlign w:val="bottom"/>
            <w:hideMark/>
          </w:tcPr>
          <w:p w14:paraId="3CD63126" w14:textId="77777777" w:rsidR="002B5626" w:rsidRPr="00296D0C" w:rsidRDefault="002B5626" w:rsidP="00DC1DBA">
            <w:pPr>
              <w:spacing w:after="0" w:line="240" w:lineRule="auto"/>
              <w:rPr>
                <w:rFonts w:eastAsia="Times New Roman" w:cs="Times New Roman"/>
                <w:b/>
                <w:bCs/>
                <w:color w:val="000000"/>
              </w:rPr>
            </w:pPr>
          </w:p>
        </w:tc>
        <w:tc>
          <w:tcPr>
            <w:tcW w:w="1985" w:type="dxa"/>
            <w:tcBorders>
              <w:top w:val="nil"/>
              <w:left w:val="nil"/>
              <w:bottom w:val="nil"/>
              <w:right w:val="nil"/>
            </w:tcBorders>
            <w:shd w:val="clear" w:color="auto" w:fill="auto"/>
            <w:noWrap/>
            <w:vAlign w:val="bottom"/>
            <w:hideMark/>
          </w:tcPr>
          <w:p w14:paraId="002858A6" w14:textId="77777777" w:rsidR="002B5626" w:rsidRPr="00296D0C" w:rsidRDefault="002B5626" w:rsidP="00C83DA3">
            <w:pPr>
              <w:spacing w:after="0" w:line="240" w:lineRule="auto"/>
              <w:ind w:left="360"/>
              <w:rPr>
                <w:rFonts w:eastAsia="Times New Roman" w:cs="Times New Roman"/>
                <w:color w:val="000000"/>
              </w:rPr>
            </w:pPr>
          </w:p>
        </w:tc>
        <w:tc>
          <w:tcPr>
            <w:tcW w:w="1843" w:type="dxa"/>
            <w:tcBorders>
              <w:top w:val="nil"/>
              <w:left w:val="nil"/>
              <w:bottom w:val="nil"/>
              <w:right w:val="nil"/>
            </w:tcBorders>
            <w:shd w:val="clear" w:color="auto" w:fill="auto"/>
            <w:noWrap/>
            <w:vAlign w:val="bottom"/>
            <w:hideMark/>
          </w:tcPr>
          <w:p w14:paraId="26DD839D" w14:textId="77777777" w:rsidR="002B5626" w:rsidRPr="00296D0C" w:rsidRDefault="002B5626" w:rsidP="00C83DA3">
            <w:pPr>
              <w:spacing w:after="0" w:line="240" w:lineRule="auto"/>
              <w:ind w:left="360"/>
              <w:rPr>
                <w:rFonts w:eastAsia="Times New Roman" w:cs="Times New Roman"/>
                <w:color w:val="000000"/>
              </w:rPr>
            </w:pPr>
          </w:p>
        </w:tc>
      </w:tr>
      <w:tr w:rsidR="002B5626" w:rsidRPr="00296D0C" w14:paraId="7DC49CC3" w14:textId="77777777" w:rsidTr="001E551C">
        <w:trPr>
          <w:gridAfter w:val="1"/>
          <w:wAfter w:w="993" w:type="dxa"/>
          <w:trHeight w:val="300"/>
        </w:trPr>
        <w:tc>
          <w:tcPr>
            <w:tcW w:w="6583" w:type="dxa"/>
            <w:gridSpan w:val="4"/>
            <w:tcBorders>
              <w:top w:val="nil"/>
              <w:left w:val="nil"/>
              <w:bottom w:val="nil"/>
              <w:right w:val="nil"/>
            </w:tcBorders>
            <w:shd w:val="clear" w:color="auto" w:fill="auto"/>
            <w:noWrap/>
            <w:vAlign w:val="bottom"/>
          </w:tcPr>
          <w:p w14:paraId="2836ED36" w14:textId="77777777" w:rsidR="002B5626" w:rsidRPr="00296D0C" w:rsidRDefault="002B5626" w:rsidP="00C83DA3">
            <w:pPr>
              <w:spacing w:after="0" w:line="240" w:lineRule="auto"/>
              <w:rPr>
                <w:rFonts w:eastAsia="Times New Roman" w:cs="Times New Roman"/>
                <w:i/>
                <w:color w:val="000000"/>
              </w:rPr>
            </w:pPr>
          </w:p>
        </w:tc>
        <w:tc>
          <w:tcPr>
            <w:tcW w:w="236" w:type="dxa"/>
            <w:tcBorders>
              <w:top w:val="nil"/>
              <w:left w:val="nil"/>
              <w:bottom w:val="nil"/>
              <w:right w:val="nil"/>
            </w:tcBorders>
            <w:shd w:val="clear" w:color="auto" w:fill="auto"/>
            <w:noWrap/>
            <w:vAlign w:val="bottom"/>
          </w:tcPr>
          <w:p w14:paraId="5E36F793" w14:textId="77777777" w:rsidR="002B5626" w:rsidRPr="00296D0C" w:rsidRDefault="002B5626" w:rsidP="00C83DA3">
            <w:pPr>
              <w:spacing w:after="0" w:line="240" w:lineRule="auto"/>
              <w:ind w:left="360"/>
              <w:rPr>
                <w:rFonts w:eastAsia="Times New Roman" w:cs="Times New Roman"/>
                <w:i/>
                <w:color w:val="000000"/>
              </w:rPr>
            </w:pPr>
          </w:p>
        </w:tc>
      </w:tr>
    </w:tbl>
    <w:p w14:paraId="7ABEE749" w14:textId="77777777" w:rsidR="002B5626" w:rsidRPr="00296D0C" w:rsidRDefault="002B5626" w:rsidP="002B5626">
      <w:pPr>
        <w:spacing w:after="0" w:line="240" w:lineRule="auto"/>
      </w:pPr>
      <w:r w:rsidRPr="00296D0C">
        <w:t>*Two children could not be included in the analysis of engagement by IMD rank as we did not have their postcodes.</w:t>
      </w:r>
    </w:p>
    <w:p w14:paraId="08BBE4DE" w14:textId="77777777" w:rsidR="002B5626" w:rsidRPr="00296D0C" w:rsidRDefault="002B5626" w:rsidP="002B5626">
      <w:pPr>
        <w:spacing w:after="0" w:line="360" w:lineRule="auto"/>
        <w:ind w:left="360"/>
      </w:pPr>
    </w:p>
    <w:p w14:paraId="2B47CA2D" w14:textId="5CAD28B7" w:rsidR="002B5626" w:rsidRPr="00296D0C" w:rsidRDefault="002B5626" w:rsidP="002B5626">
      <w:pPr>
        <w:spacing w:line="360" w:lineRule="auto"/>
        <w:rPr>
          <w:rFonts w:cs="Arial"/>
          <w:noProof/>
        </w:rPr>
      </w:pPr>
      <w:r w:rsidRPr="00296D0C">
        <w:rPr>
          <w:rFonts w:cs="Arial"/>
          <w:noProof/>
        </w:rPr>
        <w:t xml:space="preserve">There was very clear evidence from all sources (teachers, parents and children) in the interviews and focus groups that children really enjoyed and engaged with all aspects of the </w:t>
      </w:r>
      <w:r w:rsidR="00FE6FD2" w:rsidRPr="00296D0C">
        <w:rPr>
          <w:rFonts w:cs="Arial"/>
          <w:noProof/>
        </w:rPr>
        <w:t xml:space="preserve">the </w:t>
      </w:r>
      <w:r w:rsidR="009D57AD">
        <w:rPr>
          <w:rFonts w:cs="Arial"/>
          <w:noProof/>
        </w:rPr>
        <w:t>p</w:t>
      </w:r>
      <w:r w:rsidR="00FE6FD2" w:rsidRPr="00296D0C">
        <w:rPr>
          <w:rFonts w:cs="Arial"/>
          <w:noProof/>
        </w:rPr>
        <w:t>rogramme</w:t>
      </w:r>
      <w:r w:rsidRPr="00296D0C">
        <w:rPr>
          <w:rFonts w:cs="Arial"/>
          <w:noProof/>
        </w:rPr>
        <w:t xml:space="preserve"> across all schools. All children spoke postively about HeLP:</w:t>
      </w:r>
    </w:p>
    <w:p w14:paraId="453A71EF" w14:textId="40BFD51A" w:rsidR="00DB5BA7" w:rsidRPr="00296D0C" w:rsidRDefault="002B5626" w:rsidP="004E440B">
      <w:pPr>
        <w:spacing w:after="0" w:line="360" w:lineRule="auto"/>
        <w:ind w:left="720"/>
        <w:rPr>
          <w:rFonts w:cs="Arial"/>
          <w:b/>
          <w:noProof/>
        </w:rPr>
      </w:pPr>
      <w:r w:rsidRPr="00296D0C">
        <w:rPr>
          <w:rFonts w:cs="Arial"/>
          <w:i/>
          <w:noProof/>
        </w:rPr>
        <w:t xml:space="preserve"> </w:t>
      </w:r>
      <w:r w:rsidR="00DB5BA7" w:rsidRPr="00296D0C">
        <w:rPr>
          <w:rFonts w:cs="Arial"/>
          <w:i/>
          <w:noProof/>
        </w:rPr>
        <w:t xml:space="preserve">‘I thought it was much more different than I thought it would be, because I didn’t really exactly imagine it as a boring old literacy lesson or anything but I didn’t really think it was going to be that joyful and exciting. It was much more than I expected.’ </w:t>
      </w:r>
      <w:r w:rsidR="00DB5BA7" w:rsidRPr="00296D0C">
        <w:rPr>
          <w:rFonts w:cs="Arial"/>
          <w:b/>
          <w:noProof/>
        </w:rPr>
        <w:t>(female LEC, school 14)</w:t>
      </w:r>
    </w:p>
    <w:p w14:paraId="2219DC8E" w14:textId="77777777" w:rsidR="004E440B" w:rsidRPr="00296D0C" w:rsidRDefault="004E440B" w:rsidP="004E440B">
      <w:pPr>
        <w:spacing w:after="0" w:line="360" w:lineRule="auto"/>
        <w:ind w:left="720"/>
        <w:rPr>
          <w:rFonts w:cs="Arial"/>
          <w:i/>
          <w:noProof/>
        </w:rPr>
      </w:pPr>
    </w:p>
    <w:p w14:paraId="6E31A574" w14:textId="77777777" w:rsidR="00DB5BA7" w:rsidRPr="00296D0C" w:rsidRDefault="00DB5BA7" w:rsidP="004E440B">
      <w:pPr>
        <w:spacing w:after="0" w:line="360" w:lineRule="auto"/>
        <w:ind w:firstLine="720"/>
        <w:rPr>
          <w:rFonts w:cs="Arial"/>
          <w:b/>
          <w:noProof/>
        </w:rPr>
      </w:pPr>
      <w:r w:rsidRPr="00296D0C">
        <w:rPr>
          <w:rFonts w:cs="Arial"/>
          <w:i/>
          <w:noProof/>
        </w:rPr>
        <w:t xml:space="preserve">‘Amazing, fun, healthy, extraordinary and the best!’ </w:t>
      </w:r>
      <w:r w:rsidRPr="00296D0C">
        <w:rPr>
          <w:rFonts w:cs="Arial"/>
          <w:b/>
          <w:noProof/>
        </w:rPr>
        <w:t>(female EC, school 7)</w:t>
      </w:r>
    </w:p>
    <w:p w14:paraId="01A545DC" w14:textId="77777777" w:rsidR="00DB5BA7" w:rsidRPr="00296D0C" w:rsidRDefault="00DB5BA7" w:rsidP="004E440B">
      <w:pPr>
        <w:spacing w:after="0" w:line="360" w:lineRule="auto"/>
        <w:ind w:left="720"/>
        <w:rPr>
          <w:rFonts w:cs="Arial"/>
          <w:b/>
          <w:noProof/>
        </w:rPr>
      </w:pPr>
      <w:r w:rsidRPr="00296D0C">
        <w:rPr>
          <w:rFonts w:cs="Arial"/>
          <w:i/>
          <w:noProof/>
        </w:rPr>
        <w:t>‘It was brilliant it was such good fun; the children reacted to it really positively. In fact I have not heard them say anything negative about it at all. They’ve never said ‘oh no we’re doing this again’ they’ve always been really open and engaged….’</w:t>
      </w:r>
      <w:r w:rsidRPr="00296D0C">
        <w:rPr>
          <w:rFonts w:cs="Arial"/>
          <w:b/>
          <w:noProof/>
        </w:rPr>
        <w:t>(T, school 15)</w:t>
      </w:r>
    </w:p>
    <w:p w14:paraId="790DD10D" w14:textId="77777777" w:rsidR="004E440B" w:rsidRPr="00296D0C" w:rsidRDefault="004E440B" w:rsidP="004E440B">
      <w:pPr>
        <w:spacing w:after="0" w:line="360" w:lineRule="auto"/>
        <w:rPr>
          <w:rFonts w:cs="Arial"/>
          <w:b/>
          <w:noProof/>
        </w:rPr>
      </w:pPr>
    </w:p>
    <w:p w14:paraId="3C75BFFF" w14:textId="4C63C878" w:rsidR="00DB5BA7" w:rsidRPr="00296D0C" w:rsidRDefault="00DB5BA7" w:rsidP="004E440B">
      <w:pPr>
        <w:spacing w:after="0" w:line="360" w:lineRule="auto"/>
        <w:ind w:left="720"/>
        <w:rPr>
          <w:rFonts w:cs="Arial"/>
          <w:b/>
          <w:noProof/>
        </w:rPr>
      </w:pPr>
      <w:r w:rsidRPr="00296D0C">
        <w:rPr>
          <w:rFonts w:cs="Arial"/>
          <w:i/>
          <w:noProof/>
        </w:rPr>
        <w:t xml:space="preserve">‘she was coming home and really enthusiastic and sort of you know explaining to us about what she’d made in school and wanted us …wanting us to try it, to do it and share it with her, so you know I think that certainly helped a lot you know and …… she wanted us to be a part of it.’ </w:t>
      </w:r>
      <w:r w:rsidR="00EA6020" w:rsidRPr="00296D0C">
        <w:rPr>
          <w:rFonts w:cs="Arial"/>
          <w:noProof/>
        </w:rPr>
        <w:t>(</w:t>
      </w:r>
      <w:r w:rsidR="004E440B" w:rsidRPr="00296D0C">
        <w:rPr>
          <w:rFonts w:cs="Arial"/>
          <w:i/>
          <w:noProof/>
        </w:rPr>
        <w:t xml:space="preserve"> </w:t>
      </w:r>
      <w:r w:rsidRPr="00296D0C">
        <w:rPr>
          <w:rFonts w:cs="Arial"/>
          <w:b/>
          <w:noProof/>
        </w:rPr>
        <w:t>P, school 4)</w:t>
      </w:r>
    </w:p>
    <w:p w14:paraId="4F8CAA1B" w14:textId="77777777" w:rsidR="004E440B" w:rsidRPr="00296D0C" w:rsidRDefault="004E440B" w:rsidP="00DB5BA7">
      <w:pPr>
        <w:spacing w:line="360" w:lineRule="auto"/>
        <w:rPr>
          <w:rFonts w:cs="Arial"/>
          <w:noProof/>
        </w:rPr>
      </w:pPr>
    </w:p>
    <w:p w14:paraId="0C536086" w14:textId="77777777" w:rsidR="00DB5BA7" w:rsidRPr="00296D0C" w:rsidRDefault="00DB5BA7" w:rsidP="00DB5BA7">
      <w:pPr>
        <w:spacing w:line="360" w:lineRule="auto"/>
        <w:rPr>
          <w:rFonts w:cs="Arial"/>
          <w:noProof/>
        </w:rPr>
      </w:pPr>
      <w:r w:rsidRPr="00296D0C">
        <w:rPr>
          <w:rFonts w:cs="Arial"/>
          <w:noProof/>
        </w:rPr>
        <w:t>The Healthy Lifestyles Week seemed to be the most enjoyable aspect, with the majority of children reporting that they liked the interactive and dynamic nature of the sessions and working with the actors and characters, with whom they identified.</w:t>
      </w:r>
    </w:p>
    <w:p w14:paraId="75AAAD2C" w14:textId="77777777" w:rsidR="00DB5BA7" w:rsidRPr="00296D0C" w:rsidRDefault="00DB5BA7" w:rsidP="004E440B">
      <w:pPr>
        <w:spacing w:after="0" w:line="360" w:lineRule="auto"/>
        <w:ind w:left="720"/>
        <w:rPr>
          <w:rFonts w:eastAsiaTheme="minorHAnsi"/>
          <w:lang w:eastAsia="en-US"/>
        </w:rPr>
      </w:pPr>
      <w:r w:rsidRPr="00296D0C">
        <w:rPr>
          <w:rFonts w:eastAsiaTheme="minorHAnsi"/>
          <w:i/>
          <w:lang w:eastAsia="en-US"/>
        </w:rPr>
        <w:lastRenderedPageBreak/>
        <w:t xml:space="preserve">'we had lots and lots of fun and everyone was getting excited for the next day and the next and the next, and for that week of activities, I was really excited about actually going to school, usually I’m just ‘oh I want to stay in bed’ but that week I was really excited about going to school </w:t>
      </w:r>
      <w:r w:rsidRPr="00296D0C">
        <w:rPr>
          <w:rFonts w:eastAsiaTheme="minorHAnsi"/>
          <w:lang w:eastAsia="en-US"/>
        </w:rPr>
        <w:t>(</w:t>
      </w:r>
      <w:r w:rsidRPr="00296D0C">
        <w:rPr>
          <w:rFonts w:eastAsiaTheme="minorHAnsi"/>
          <w:b/>
          <w:lang w:eastAsia="en-US"/>
        </w:rPr>
        <w:t>male LEC, school 12</w:t>
      </w:r>
      <w:r w:rsidRPr="00296D0C">
        <w:rPr>
          <w:rFonts w:eastAsiaTheme="minorHAnsi"/>
          <w:lang w:eastAsia="en-US"/>
        </w:rPr>
        <w:t>)</w:t>
      </w:r>
    </w:p>
    <w:p w14:paraId="2FC26F8A" w14:textId="77777777" w:rsidR="00DB5BA7" w:rsidRPr="00296D0C" w:rsidRDefault="00DB5BA7" w:rsidP="00DB5BA7">
      <w:pPr>
        <w:spacing w:line="240" w:lineRule="auto"/>
        <w:ind w:left="720"/>
        <w:rPr>
          <w:rFonts w:cs="Arial"/>
          <w:i/>
          <w:noProof/>
        </w:rPr>
      </w:pPr>
    </w:p>
    <w:p w14:paraId="513DD307" w14:textId="62A1B053" w:rsidR="00DB5BA7" w:rsidRPr="00296D0C" w:rsidRDefault="00DB5BA7" w:rsidP="004E440B">
      <w:pPr>
        <w:spacing w:after="0" w:line="360" w:lineRule="auto"/>
        <w:ind w:left="720"/>
        <w:rPr>
          <w:rFonts w:cs="Arial"/>
          <w:b/>
          <w:noProof/>
        </w:rPr>
      </w:pPr>
      <w:r w:rsidRPr="00296D0C">
        <w:rPr>
          <w:rFonts w:cs="Arial"/>
          <w:i/>
          <w:noProof/>
        </w:rPr>
        <w:t>‘the reason I liked the H</w:t>
      </w:r>
      <w:r w:rsidR="00EA6020" w:rsidRPr="00296D0C">
        <w:rPr>
          <w:rFonts w:cs="Arial"/>
          <w:i/>
          <w:noProof/>
        </w:rPr>
        <w:t xml:space="preserve">ealthy </w:t>
      </w:r>
      <w:r w:rsidRPr="00296D0C">
        <w:rPr>
          <w:rFonts w:cs="Arial"/>
          <w:i/>
          <w:noProof/>
        </w:rPr>
        <w:t>L</w:t>
      </w:r>
      <w:r w:rsidR="00EA6020" w:rsidRPr="00296D0C">
        <w:rPr>
          <w:rFonts w:cs="Arial"/>
          <w:i/>
          <w:noProof/>
        </w:rPr>
        <w:t xml:space="preserve">ifestyles </w:t>
      </w:r>
      <w:r w:rsidRPr="00296D0C">
        <w:rPr>
          <w:rFonts w:cs="Arial"/>
          <w:i/>
          <w:noProof/>
        </w:rPr>
        <w:t>W</w:t>
      </w:r>
      <w:r w:rsidR="00EA6020" w:rsidRPr="00296D0C">
        <w:rPr>
          <w:rFonts w:cs="Arial"/>
          <w:i/>
          <w:noProof/>
        </w:rPr>
        <w:t xml:space="preserve">eek </w:t>
      </w:r>
      <w:r w:rsidRPr="00296D0C">
        <w:rPr>
          <w:rFonts w:cs="Arial"/>
          <w:i/>
          <w:noProof/>
        </w:rPr>
        <w:t xml:space="preserve"> was because you were actually seeing what, sort of like a made up version of four different people who have trouble and the ways you can improve it by just following them.’ </w:t>
      </w:r>
      <w:r w:rsidRPr="00296D0C">
        <w:rPr>
          <w:rFonts w:cs="Arial"/>
          <w:b/>
          <w:noProof/>
        </w:rPr>
        <w:t>(female LEC, school 12)</w:t>
      </w:r>
    </w:p>
    <w:p w14:paraId="24D36B69" w14:textId="77777777" w:rsidR="004E440B" w:rsidRPr="00296D0C" w:rsidRDefault="004E440B" w:rsidP="004E440B">
      <w:pPr>
        <w:spacing w:after="0" w:line="360" w:lineRule="auto"/>
        <w:ind w:left="720"/>
        <w:rPr>
          <w:rFonts w:cs="Arial"/>
          <w:b/>
          <w:noProof/>
        </w:rPr>
      </w:pPr>
    </w:p>
    <w:p w14:paraId="4BD5A1D6" w14:textId="77777777" w:rsidR="00DB5BA7" w:rsidRPr="00296D0C" w:rsidRDefault="00DB5BA7" w:rsidP="004E440B">
      <w:pPr>
        <w:spacing w:after="0" w:line="360" w:lineRule="auto"/>
        <w:ind w:left="720"/>
        <w:rPr>
          <w:rFonts w:cs="Arial"/>
          <w:b/>
          <w:noProof/>
        </w:rPr>
      </w:pPr>
      <w:r w:rsidRPr="00296D0C">
        <w:rPr>
          <w:rFonts w:cs="Arial"/>
          <w:i/>
          <w:noProof/>
        </w:rPr>
        <w:t xml:space="preserve">‘um, my favourite part ……. was probably in the drama was like when we were, because it was so totally different to what we normally do. In school we obviously do literacy and maths when we have to write stuff down but you could really express your emotions through drama, I really liked that.’ </w:t>
      </w:r>
      <w:r w:rsidRPr="00296D0C">
        <w:rPr>
          <w:rFonts w:cs="Arial"/>
          <w:b/>
          <w:noProof/>
        </w:rPr>
        <w:t>(female EC, school 6)</w:t>
      </w:r>
    </w:p>
    <w:p w14:paraId="5F63E66B" w14:textId="77777777" w:rsidR="004E440B" w:rsidRPr="00296D0C" w:rsidRDefault="004E440B" w:rsidP="004E440B">
      <w:pPr>
        <w:spacing w:after="0" w:line="360" w:lineRule="auto"/>
        <w:ind w:left="720"/>
        <w:rPr>
          <w:rFonts w:cs="Arial"/>
          <w:b/>
          <w:noProof/>
        </w:rPr>
      </w:pPr>
    </w:p>
    <w:p w14:paraId="5DAE76F7" w14:textId="77777777" w:rsidR="00DB5BA7" w:rsidRPr="00296D0C" w:rsidRDefault="00DB5BA7" w:rsidP="004E440B">
      <w:pPr>
        <w:spacing w:after="0" w:line="360" w:lineRule="auto"/>
        <w:ind w:left="720"/>
        <w:rPr>
          <w:rFonts w:eastAsiaTheme="minorHAnsi"/>
          <w:lang w:eastAsia="en-US"/>
        </w:rPr>
      </w:pPr>
      <w:r w:rsidRPr="00296D0C">
        <w:rPr>
          <w:rFonts w:eastAsiaTheme="minorHAnsi"/>
          <w:i/>
          <w:lang w:eastAsia="en-US"/>
        </w:rPr>
        <w:t xml:space="preserve">' awesome, it was really fun though because we got to act and then they told us what was in stuff' </w:t>
      </w:r>
      <w:r w:rsidRPr="00296D0C">
        <w:rPr>
          <w:rFonts w:eastAsiaTheme="minorHAnsi"/>
          <w:lang w:eastAsia="en-US"/>
        </w:rPr>
        <w:t>(</w:t>
      </w:r>
      <w:r w:rsidRPr="00296D0C">
        <w:rPr>
          <w:rFonts w:eastAsiaTheme="minorHAnsi"/>
          <w:b/>
          <w:lang w:eastAsia="en-US"/>
        </w:rPr>
        <w:t>male EC, school 11</w:t>
      </w:r>
      <w:r w:rsidRPr="00296D0C">
        <w:rPr>
          <w:rFonts w:eastAsiaTheme="minorHAnsi"/>
          <w:lang w:eastAsia="en-US"/>
        </w:rPr>
        <w:t>)</w:t>
      </w:r>
    </w:p>
    <w:p w14:paraId="0916D4F9" w14:textId="77777777" w:rsidR="00DB5BA7" w:rsidRPr="00296D0C" w:rsidRDefault="00DB5BA7" w:rsidP="00DB5BA7">
      <w:pPr>
        <w:spacing w:line="360" w:lineRule="auto"/>
        <w:rPr>
          <w:rFonts w:cs="Arial"/>
          <w:noProof/>
        </w:rPr>
      </w:pPr>
    </w:p>
    <w:p w14:paraId="4BF515DE" w14:textId="53B8738B" w:rsidR="00DB5BA7" w:rsidRPr="00296D0C" w:rsidRDefault="00DB5BA7" w:rsidP="00DB5BA7">
      <w:pPr>
        <w:spacing w:line="360" w:lineRule="auto"/>
        <w:rPr>
          <w:rFonts w:cs="Arial"/>
          <w:noProof/>
        </w:rPr>
      </w:pPr>
      <w:r w:rsidRPr="00296D0C">
        <w:rPr>
          <w:rFonts w:cs="Arial"/>
          <w:noProof/>
        </w:rPr>
        <w:t>However there w</w:t>
      </w:r>
      <w:r w:rsidR="00EA6020" w:rsidRPr="00296D0C">
        <w:rPr>
          <w:rFonts w:cs="Arial"/>
          <w:noProof/>
        </w:rPr>
        <w:t xml:space="preserve">ere a minority of children who less keen on </w:t>
      </w:r>
      <w:r w:rsidRPr="00296D0C">
        <w:rPr>
          <w:rFonts w:cs="Arial"/>
          <w:noProof/>
        </w:rPr>
        <w:t>the acting aspect:</w:t>
      </w:r>
    </w:p>
    <w:p w14:paraId="1454D572" w14:textId="77777777" w:rsidR="00DB5BA7" w:rsidRPr="00296D0C" w:rsidRDefault="00DB5BA7" w:rsidP="00EA6020">
      <w:pPr>
        <w:spacing w:after="0" w:line="360" w:lineRule="auto"/>
        <w:ind w:left="720"/>
        <w:rPr>
          <w:rFonts w:cs="Arial"/>
          <w:b/>
          <w:noProof/>
        </w:rPr>
      </w:pPr>
      <w:r w:rsidRPr="00296D0C">
        <w:rPr>
          <w:rFonts w:cs="Arial"/>
          <w:i/>
          <w:noProof/>
        </w:rPr>
        <w:t xml:space="preserve">‘I didn’t like doing the acting but it was ok when we were doing the non-acting.’ </w:t>
      </w:r>
      <w:r w:rsidRPr="00296D0C">
        <w:rPr>
          <w:rFonts w:cs="Arial"/>
          <w:noProof/>
        </w:rPr>
        <w:t>(</w:t>
      </w:r>
      <w:r w:rsidRPr="00296D0C">
        <w:rPr>
          <w:rFonts w:cs="Arial"/>
          <w:b/>
          <w:noProof/>
        </w:rPr>
        <w:t>male EC, school 3)</w:t>
      </w:r>
    </w:p>
    <w:p w14:paraId="158D2A31" w14:textId="77777777" w:rsidR="00DB5BA7" w:rsidRPr="00296D0C" w:rsidRDefault="00DB5BA7" w:rsidP="00DB5BA7">
      <w:pPr>
        <w:spacing w:after="0" w:line="240" w:lineRule="auto"/>
        <w:ind w:left="720"/>
        <w:rPr>
          <w:rFonts w:cs="Arial"/>
          <w:noProof/>
        </w:rPr>
      </w:pPr>
    </w:p>
    <w:p w14:paraId="639860FB" w14:textId="770EB57A" w:rsidR="00DB5BA7" w:rsidRPr="00296D0C" w:rsidRDefault="00DB5BA7" w:rsidP="00EA6020">
      <w:pPr>
        <w:spacing w:after="0" w:line="360" w:lineRule="auto"/>
        <w:ind w:left="720"/>
        <w:rPr>
          <w:rFonts w:cs="Arial"/>
          <w:i/>
          <w:noProof/>
        </w:rPr>
      </w:pPr>
      <w:r w:rsidRPr="00296D0C">
        <w:rPr>
          <w:rFonts w:cs="Arial"/>
          <w:i/>
          <w:noProof/>
        </w:rPr>
        <w:t xml:space="preserve">‘well they were really good but when the characters asked us to come up do a bit of acting and stuff it was a bit embarrassing, because I put my hand up and I didn’t know what I was in for.’ </w:t>
      </w:r>
      <w:r w:rsidRPr="00296D0C">
        <w:rPr>
          <w:rFonts w:cs="Arial"/>
          <w:noProof/>
        </w:rPr>
        <w:t>(</w:t>
      </w:r>
      <w:r w:rsidRPr="00296D0C">
        <w:rPr>
          <w:rFonts w:cs="Arial"/>
          <w:b/>
          <w:noProof/>
        </w:rPr>
        <w:t>female LEC, school 9</w:t>
      </w:r>
      <w:r w:rsidR="00EA6020" w:rsidRPr="00296D0C">
        <w:rPr>
          <w:rFonts w:cs="Arial"/>
          <w:noProof/>
        </w:rPr>
        <w:t>)</w:t>
      </w:r>
    </w:p>
    <w:p w14:paraId="67CD6C73" w14:textId="77777777" w:rsidR="00DB5BA7" w:rsidRPr="00296D0C" w:rsidRDefault="00DB5BA7" w:rsidP="00DB5BA7">
      <w:pPr>
        <w:spacing w:line="360" w:lineRule="auto"/>
        <w:rPr>
          <w:rFonts w:cs="Arial"/>
          <w:noProof/>
        </w:rPr>
      </w:pPr>
    </w:p>
    <w:p w14:paraId="4EC66DDD" w14:textId="4F4C5E81" w:rsidR="00DB5BA7" w:rsidRPr="00296D0C" w:rsidRDefault="00DB5BA7" w:rsidP="00DB5BA7">
      <w:pPr>
        <w:spacing w:line="360" w:lineRule="auto"/>
        <w:rPr>
          <w:rFonts w:cs="Arial"/>
          <w:noProof/>
        </w:rPr>
      </w:pPr>
      <w:r w:rsidRPr="00296D0C">
        <w:rPr>
          <w:rFonts w:cs="Arial"/>
          <w:noProof/>
        </w:rPr>
        <w:t xml:space="preserve">The teachers reported that the delivery of the Healthy Lifestyles Week and the activity workshops engaged the children, and in some cases </w:t>
      </w:r>
      <w:r w:rsidR="002D2C8D" w:rsidRPr="00296D0C">
        <w:rPr>
          <w:rFonts w:cs="Arial"/>
          <w:noProof/>
        </w:rPr>
        <w:t xml:space="preserve">even </w:t>
      </w:r>
      <w:r w:rsidRPr="00296D0C">
        <w:rPr>
          <w:rFonts w:cs="Arial"/>
          <w:noProof/>
        </w:rPr>
        <w:t>the ones who were usually shy or disruptive.</w:t>
      </w:r>
    </w:p>
    <w:p w14:paraId="2D719B51" w14:textId="77777777" w:rsidR="00DB5BA7" w:rsidRPr="00296D0C" w:rsidRDefault="00DB5BA7" w:rsidP="00EA6020">
      <w:pPr>
        <w:spacing w:after="0" w:line="360" w:lineRule="auto"/>
        <w:ind w:left="720"/>
        <w:rPr>
          <w:rFonts w:cs="Arial"/>
          <w:b/>
          <w:noProof/>
        </w:rPr>
      </w:pPr>
      <w:r w:rsidRPr="00296D0C">
        <w:rPr>
          <w:rFonts w:cs="Arial"/>
          <w:i/>
          <w:noProof/>
        </w:rPr>
        <w:t xml:space="preserve">‘I thought that the cleverness of the drama was that they did it from a child’s perspective. They acted out as children, but they were like the cool teenage children which children can relate to. Interestingly enough, there are several children in my class that could switch off so easily but they didn’t, because they immediately were drawn in to this character, this role play character. I thought the idea of having the Duncan and the Active Amy and all the rest </w:t>
      </w:r>
      <w:r w:rsidRPr="00296D0C">
        <w:rPr>
          <w:rFonts w:cs="Arial"/>
          <w:i/>
          <w:noProof/>
        </w:rPr>
        <w:lastRenderedPageBreak/>
        <w:t xml:space="preserve">of it, initially when you heard it you thought oh this isn’t going to work, and then you saw them go straight in to role, the acting was fantastic…..’ </w:t>
      </w:r>
      <w:r w:rsidRPr="00296D0C">
        <w:rPr>
          <w:rFonts w:cs="Arial"/>
          <w:b/>
          <w:noProof/>
        </w:rPr>
        <w:t>(T, school 13)</w:t>
      </w:r>
    </w:p>
    <w:p w14:paraId="37FA5A7E" w14:textId="77777777" w:rsidR="00EA6020" w:rsidRPr="00296D0C" w:rsidRDefault="00EA6020" w:rsidP="00EA6020">
      <w:pPr>
        <w:spacing w:after="0" w:line="360" w:lineRule="auto"/>
        <w:ind w:left="720"/>
        <w:rPr>
          <w:rFonts w:cs="Arial"/>
          <w:b/>
          <w:noProof/>
        </w:rPr>
      </w:pPr>
    </w:p>
    <w:p w14:paraId="7A6038B5" w14:textId="77777777" w:rsidR="00DB5BA7" w:rsidRPr="00296D0C" w:rsidRDefault="00DB5BA7" w:rsidP="00EA6020">
      <w:pPr>
        <w:spacing w:after="0" w:line="360" w:lineRule="auto"/>
        <w:ind w:left="720"/>
        <w:rPr>
          <w:rFonts w:cs="Arial"/>
          <w:b/>
          <w:noProof/>
        </w:rPr>
      </w:pPr>
      <w:r w:rsidRPr="00296D0C">
        <w:rPr>
          <w:rFonts w:cs="Arial"/>
          <w:i/>
          <w:noProof/>
        </w:rPr>
        <w:t xml:space="preserve">‘Yes, yeah there was one boy who would, well no two of them in fact that would never ever ever get up and do any drama or anything and they were up taking part in everything. I was so touched with emotion I had to run out and tell mum at the end of the day. So I think that it bought him out cos he, he was one of the ones that did it in the hall as well.’ </w:t>
      </w:r>
      <w:r w:rsidRPr="00296D0C">
        <w:rPr>
          <w:rFonts w:cs="Arial"/>
          <w:b/>
          <w:noProof/>
        </w:rPr>
        <w:t>(T, school 10)</w:t>
      </w:r>
    </w:p>
    <w:p w14:paraId="1A6E5D6E" w14:textId="77777777" w:rsidR="00EA6020" w:rsidRPr="00296D0C" w:rsidRDefault="00EA6020" w:rsidP="00EA6020">
      <w:pPr>
        <w:spacing w:after="0" w:line="360" w:lineRule="auto"/>
        <w:ind w:left="720"/>
        <w:rPr>
          <w:rFonts w:cs="Arial"/>
          <w:i/>
          <w:noProof/>
        </w:rPr>
      </w:pPr>
    </w:p>
    <w:p w14:paraId="586C6021" w14:textId="77777777" w:rsidR="00DB5BA7" w:rsidRPr="00296D0C" w:rsidRDefault="00DB5BA7" w:rsidP="00EA6020">
      <w:pPr>
        <w:spacing w:after="0" w:line="360" w:lineRule="auto"/>
        <w:ind w:left="720"/>
        <w:rPr>
          <w:rFonts w:cs="Arial"/>
          <w:b/>
          <w:noProof/>
        </w:rPr>
      </w:pPr>
      <w:r w:rsidRPr="00296D0C">
        <w:rPr>
          <w:rFonts w:cs="Arial"/>
          <w:i/>
          <w:noProof/>
        </w:rPr>
        <w:t>‘And the acting just lifted it 100 times more and to them it was so important and to them …we did the lesson in the morning but they couldn’t wait until the afternoon. They were so linked to those characters and it was such a clever thing.’</w:t>
      </w:r>
      <w:r w:rsidRPr="00296D0C">
        <w:rPr>
          <w:rFonts w:cs="Arial"/>
          <w:noProof/>
        </w:rPr>
        <w:t xml:space="preserve"> </w:t>
      </w:r>
      <w:r w:rsidRPr="00296D0C">
        <w:rPr>
          <w:rFonts w:cs="Arial"/>
          <w:b/>
          <w:noProof/>
        </w:rPr>
        <w:t>(T, school 15)</w:t>
      </w:r>
    </w:p>
    <w:p w14:paraId="17030DA5" w14:textId="77777777" w:rsidR="00EA6020" w:rsidRPr="00296D0C" w:rsidRDefault="00EA6020" w:rsidP="00EA6020">
      <w:pPr>
        <w:spacing w:after="0" w:line="360" w:lineRule="auto"/>
        <w:ind w:left="720"/>
        <w:rPr>
          <w:rFonts w:cs="Arial"/>
          <w:noProof/>
        </w:rPr>
      </w:pPr>
    </w:p>
    <w:p w14:paraId="50B0ACE0" w14:textId="667B275F" w:rsidR="00DB5BA7" w:rsidRPr="00296D0C" w:rsidRDefault="00DB5BA7" w:rsidP="00DB5BA7">
      <w:pPr>
        <w:spacing w:line="360" w:lineRule="auto"/>
        <w:rPr>
          <w:rFonts w:cs="Arial"/>
          <w:noProof/>
        </w:rPr>
      </w:pPr>
      <w:r w:rsidRPr="00296D0C">
        <w:rPr>
          <w:rFonts w:cs="Arial"/>
          <w:noProof/>
        </w:rPr>
        <w:t xml:space="preserve">In the parent questionnaire, almost two thirds of parents reported that their child had talked a lot about </w:t>
      </w:r>
      <w:r w:rsidR="00FE6FD2" w:rsidRPr="00296D0C">
        <w:rPr>
          <w:rFonts w:cs="Arial"/>
          <w:noProof/>
        </w:rPr>
        <w:t xml:space="preserve">the </w:t>
      </w:r>
      <w:r w:rsidR="009D57AD">
        <w:rPr>
          <w:rFonts w:cs="Arial"/>
          <w:noProof/>
        </w:rPr>
        <w:t>p</w:t>
      </w:r>
      <w:r w:rsidR="00FE6FD2" w:rsidRPr="00296D0C">
        <w:rPr>
          <w:rFonts w:cs="Arial"/>
          <w:noProof/>
        </w:rPr>
        <w:t>rogramme</w:t>
      </w:r>
      <w:r w:rsidRPr="00296D0C">
        <w:rPr>
          <w:rFonts w:cs="Arial"/>
          <w:noProof/>
        </w:rPr>
        <w:t xml:space="preserve"> at home (</w:t>
      </w:r>
      <w:r w:rsidR="00FE6FD2" w:rsidRPr="00296D0C">
        <w:rPr>
          <w:rFonts w:cs="Arial"/>
          <w:noProof/>
        </w:rPr>
        <w:t>see Appendix</w:t>
      </w:r>
      <w:r w:rsidRPr="00296D0C">
        <w:rPr>
          <w:rFonts w:cs="Arial"/>
          <w:noProof/>
        </w:rPr>
        <w:t xml:space="preserve"> 1</w:t>
      </w:r>
      <w:r w:rsidR="007B3A2C">
        <w:rPr>
          <w:rFonts w:cs="Arial"/>
          <w:noProof/>
        </w:rPr>
        <w:t>0</w:t>
      </w:r>
      <w:r w:rsidRPr="00296D0C">
        <w:rPr>
          <w:rFonts w:cs="Arial"/>
          <w:noProof/>
        </w:rPr>
        <w:t>). Parents</w:t>
      </w:r>
      <w:r w:rsidR="00F04AC9" w:rsidRPr="00296D0C">
        <w:rPr>
          <w:rFonts w:cs="Arial"/>
          <w:noProof/>
        </w:rPr>
        <w:t xml:space="preserve"> who were</w:t>
      </w:r>
      <w:r w:rsidRPr="00296D0C">
        <w:rPr>
          <w:rFonts w:cs="Arial"/>
          <w:noProof/>
        </w:rPr>
        <w:t xml:space="preserve"> interviewed reported that their child was enthused and motivated to make changes, and that discussions had taken place at home about what</w:t>
      </w:r>
      <w:r w:rsidR="00F04AC9" w:rsidRPr="00296D0C">
        <w:rPr>
          <w:rFonts w:cs="Arial"/>
          <w:noProof/>
        </w:rPr>
        <w:t xml:space="preserve"> they had been doing in school.</w:t>
      </w:r>
    </w:p>
    <w:p w14:paraId="24E4F3E1" w14:textId="77777777" w:rsidR="00DB5BA7" w:rsidRPr="00296D0C" w:rsidRDefault="00DB5BA7" w:rsidP="00EA6020">
      <w:pPr>
        <w:spacing w:after="0" w:line="360" w:lineRule="auto"/>
        <w:ind w:left="720"/>
        <w:rPr>
          <w:rFonts w:cs="Arial"/>
          <w:i/>
          <w:noProof/>
        </w:rPr>
      </w:pPr>
      <w:r w:rsidRPr="00296D0C">
        <w:rPr>
          <w:rFonts w:cs="Arial"/>
          <w:i/>
          <w:noProof/>
        </w:rPr>
        <w:t>‘ She was always coming back and telling me what had been discussed. One of the main things, she was talking about exercise and that was one of the topics at the time and she was coming back and she said that part of her plan was to spend less time looking at the TV or on the computer and spend more time playing, and she went straight out on the trampoline with her little brother and since then- it’s like, she’s out now.’</w:t>
      </w:r>
      <w:r w:rsidRPr="00296D0C">
        <w:rPr>
          <w:rFonts w:cs="Arial"/>
          <w:b/>
          <w:noProof/>
        </w:rPr>
        <w:t>(P, school 3)</w:t>
      </w:r>
      <w:r w:rsidRPr="00296D0C">
        <w:rPr>
          <w:rFonts w:cs="Arial"/>
          <w:b/>
          <w:noProof/>
        </w:rPr>
        <w:tab/>
      </w:r>
    </w:p>
    <w:p w14:paraId="7E6CC4CB" w14:textId="77777777" w:rsidR="00DB5BA7" w:rsidRPr="00296D0C" w:rsidRDefault="00DB5BA7" w:rsidP="00EA6020">
      <w:pPr>
        <w:spacing w:after="0" w:line="360" w:lineRule="auto"/>
        <w:ind w:left="720"/>
        <w:rPr>
          <w:rFonts w:cs="Arial"/>
          <w:b/>
          <w:noProof/>
        </w:rPr>
      </w:pPr>
      <w:r w:rsidRPr="00296D0C">
        <w:rPr>
          <w:rFonts w:cs="Arial"/>
          <w:i/>
          <w:noProof/>
        </w:rPr>
        <w:t>‘yeah, he came home with oh saying these are the things that we should be looking for on the shopping list (I: okay) he was saying about how, you know, what was good to eat and what’s not good to eat and he was particularly talks about it when we all sit round for tea, cos when we- I make sure that at the end of the day, we are all sat together eating the evening meal together (I: yeah) so, I think that’s really important cos I think you can all talk and just…’</w:t>
      </w:r>
      <w:r w:rsidRPr="00296D0C">
        <w:rPr>
          <w:rFonts w:cs="Arial"/>
          <w:b/>
          <w:noProof/>
        </w:rPr>
        <w:t>(P, school 2)</w:t>
      </w:r>
    </w:p>
    <w:p w14:paraId="3FD2559A" w14:textId="77777777" w:rsidR="002D2C8D" w:rsidRPr="00296D0C" w:rsidRDefault="002D2C8D" w:rsidP="00EA6020">
      <w:pPr>
        <w:spacing w:after="0" w:line="360" w:lineRule="auto"/>
        <w:ind w:left="720"/>
        <w:rPr>
          <w:rFonts w:cs="Arial"/>
          <w:i/>
          <w:noProof/>
        </w:rPr>
      </w:pPr>
    </w:p>
    <w:p w14:paraId="2DC69995" w14:textId="77777777" w:rsidR="00DB5BA7" w:rsidRPr="00296D0C" w:rsidRDefault="00DB5BA7" w:rsidP="002D2C8D">
      <w:pPr>
        <w:spacing w:after="0" w:line="360" w:lineRule="auto"/>
        <w:ind w:left="720"/>
        <w:rPr>
          <w:rFonts w:cs="Arial"/>
          <w:b/>
          <w:noProof/>
        </w:rPr>
      </w:pPr>
      <w:r w:rsidRPr="00296D0C" w:rsidDel="00F976E6">
        <w:rPr>
          <w:rFonts w:cs="Arial"/>
          <w:i/>
          <w:noProof/>
        </w:rPr>
        <w:t xml:space="preserve"> </w:t>
      </w:r>
      <w:r w:rsidRPr="00296D0C">
        <w:rPr>
          <w:rFonts w:cs="Arial"/>
          <w:i/>
          <w:noProof/>
        </w:rPr>
        <w:t>Yeah they’ll stay with him for life ‘cos he talks about it a lot (I: Excellent) and you know I think that they have continued to talk about it at school and he’s taken it on board..’(</w:t>
      </w:r>
      <w:r w:rsidRPr="00296D0C">
        <w:rPr>
          <w:rFonts w:cs="Arial"/>
          <w:b/>
          <w:noProof/>
        </w:rPr>
        <w:t>P, school 7)</w:t>
      </w:r>
    </w:p>
    <w:p w14:paraId="36FEAA18" w14:textId="1DA258BB" w:rsidR="00DB5BA7" w:rsidRPr="00296D0C" w:rsidRDefault="00DB5BA7" w:rsidP="00DB5BA7">
      <w:pPr>
        <w:spacing w:line="360" w:lineRule="auto"/>
        <w:rPr>
          <w:rFonts w:cs="Arial"/>
          <w:noProof/>
        </w:rPr>
      </w:pPr>
      <w:r w:rsidRPr="00296D0C">
        <w:rPr>
          <w:rFonts w:cs="Arial"/>
          <w:noProof/>
        </w:rPr>
        <w:t xml:space="preserve">Children’s knowledge and understanding of the key messages were considered to provide further evidence that children had engaged with </w:t>
      </w:r>
      <w:r w:rsidR="00FE6FD2" w:rsidRPr="00296D0C">
        <w:rPr>
          <w:rFonts w:cs="Arial"/>
          <w:noProof/>
        </w:rPr>
        <w:t xml:space="preserve">the </w:t>
      </w:r>
      <w:r w:rsidR="009D57AD">
        <w:rPr>
          <w:rFonts w:cs="Arial"/>
          <w:noProof/>
        </w:rPr>
        <w:t>p</w:t>
      </w:r>
      <w:r w:rsidR="00FE6FD2" w:rsidRPr="00296D0C">
        <w:rPr>
          <w:rFonts w:cs="Arial"/>
          <w:noProof/>
        </w:rPr>
        <w:t>rogramme</w:t>
      </w:r>
      <w:r w:rsidRPr="00296D0C">
        <w:rPr>
          <w:rFonts w:cs="Arial"/>
          <w:noProof/>
        </w:rPr>
        <w:t>;  there was also evidence from the focus groups of their understanding of the messages around marketing, moderation and food labelling.</w:t>
      </w:r>
    </w:p>
    <w:p w14:paraId="62D020B3" w14:textId="77777777" w:rsidR="00DB5BA7" w:rsidRPr="00296D0C" w:rsidRDefault="00DB5BA7" w:rsidP="002D2C8D">
      <w:pPr>
        <w:spacing w:after="0" w:line="360" w:lineRule="auto"/>
        <w:ind w:left="720"/>
        <w:rPr>
          <w:rFonts w:cs="Arial"/>
          <w:b/>
          <w:noProof/>
        </w:rPr>
      </w:pPr>
      <w:r w:rsidRPr="00296D0C">
        <w:rPr>
          <w:rFonts w:cs="Arial"/>
          <w:i/>
          <w:noProof/>
        </w:rPr>
        <w:lastRenderedPageBreak/>
        <w:t xml:space="preserve">‘what helped me a massive amount was looking at the ingredients and looking at what’s inside stuff, like if it says like fruit on it, it may not actually be made out of fruit. Like fruit winders and stuff and some stuff and my mum said like if they make the big front of the packet really appetising and want to make you feel like you want to buy them but then the back is like all small and you can hardly read it so they are trying to trick you to get the really unhealthy stuff but make it look really appetising.’ </w:t>
      </w:r>
      <w:r w:rsidRPr="00296D0C">
        <w:rPr>
          <w:rFonts w:cs="Arial"/>
          <w:b/>
          <w:noProof/>
        </w:rPr>
        <w:t>(male EC, school 16)</w:t>
      </w:r>
    </w:p>
    <w:p w14:paraId="7D14B2BF" w14:textId="77777777" w:rsidR="002D2C8D" w:rsidRPr="00296D0C" w:rsidRDefault="002D2C8D" w:rsidP="002D2C8D">
      <w:pPr>
        <w:spacing w:after="0" w:line="360" w:lineRule="auto"/>
        <w:ind w:left="720"/>
        <w:rPr>
          <w:rFonts w:cs="Arial"/>
          <w:noProof/>
        </w:rPr>
      </w:pPr>
    </w:p>
    <w:p w14:paraId="658365E4" w14:textId="77777777" w:rsidR="00DB5BA7" w:rsidRPr="00296D0C" w:rsidRDefault="00DB5BA7" w:rsidP="002D2C8D">
      <w:pPr>
        <w:spacing w:after="0" w:line="360" w:lineRule="auto"/>
        <w:ind w:left="720"/>
        <w:rPr>
          <w:rFonts w:cs="Arial"/>
          <w:b/>
          <w:noProof/>
        </w:rPr>
      </w:pPr>
      <w:r w:rsidRPr="00296D0C">
        <w:rPr>
          <w:rFonts w:cs="Arial"/>
          <w:i/>
          <w:noProof/>
        </w:rPr>
        <w:t xml:space="preserve">‘I think my favourite part about it was doing the food machines. I especially liked how they used acting to show how the foods were made and what process they go through.’ </w:t>
      </w:r>
      <w:r w:rsidRPr="00296D0C">
        <w:rPr>
          <w:rFonts w:cs="Arial"/>
          <w:b/>
          <w:noProof/>
        </w:rPr>
        <w:t>(male LEC, school 12)</w:t>
      </w:r>
    </w:p>
    <w:p w14:paraId="41EEEED0" w14:textId="77777777" w:rsidR="002D2C8D" w:rsidRPr="00296D0C" w:rsidRDefault="002D2C8D" w:rsidP="002D2C8D">
      <w:pPr>
        <w:spacing w:after="0" w:line="360" w:lineRule="auto"/>
        <w:ind w:left="720"/>
        <w:rPr>
          <w:rFonts w:cs="Arial"/>
          <w:b/>
          <w:noProof/>
        </w:rPr>
      </w:pPr>
    </w:p>
    <w:p w14:paraId="7CE8C71F" w14:textId="77777777" w:rsidR="00DB5BA7" w:rsidRPr="00296D0C" w:rsidRDefault="00DB5BA7" w:rsidP="002D2C8D">
      <w:pPr>
        <w:spacing w:after="0" w:line="360" w:lineRule="auto"/>
        <w:ind w:left="720"/>
        <w:rPr>
          <w:rFonts w:cs="Arial"/>
          <w:b/>
          <w:noProof/>
        </w:rPr>
      </w:pPr>
      <w:r w:rsidRPr="00296D0C">
        <w:rPr>
          <w:rFonts w:cs="Arial"/>
          <w:i/>
          <w:noProof/>
        </w:rPr>
        <w:t xml:space="preserve">‘Yeah I just think it’s really raised their awareness, yes the 80:20 so yes and he did talk about that with his brother and sister and you know that was the bit that really raise his awareness. You know impacted us…………’. </w:t>
      </w:r>
      <w:r w:rsidRPr="00296D0C">
        <w:rPr>
          <w:rFonts w:cs="Arial"/>
          <w:b/>
          <w:noProof/>
        </w:rPr>
        <w:t>(P, school 14)</w:t>
      </w:r>
    </w:p>
    <w:p w14:paraId="064C6DC5" w14:textId="77777777" w:rsidR="002D2C8D" w:rsidRPr="00296D0C" w:rsidRDefault="002D2C8D" w:rsidP="00DB5BA7">
      <w:pPr>
        <w:spacing w:after="0" w:line="360" w:lineRule="auto"/>
        <w:rPr>
          <w:u w:val="single"/>
        </w:rPr>
      </w:pPr>
    </w:p>
    <w:p w14:paraId="092BF4AA" w14:textId="77777777" w:rsidR="00DB5BA7" w:rsidRPr="00296D0C" w:rsidRDefault="00DB5BA7" w:rsidP="00DB5BA7">
      <w:pPr>
        <w:spacing w:after="0" w:line="360" w:lineRule="auto"/>
        <w:rPr>
          <w:b/>
        </w:rPr>
      </w:pPr>
      <w:r w:rsidRPr="00296D0C">
        <w:rPr>
          <w:b/>
        </w:rPr>
        <w:t>Parent engagement</w:t>
      </w:r>
    </w:p>
    <w:p w14:paraId="3DAC7BB5" w14:textId="4E705C6D" w:rsidR="003B78B6" w:rsidRPr="00296D0C" w:rsidRDefault="003B78B6" w:rsidP="00F04AC9">
      <w:pPr>
        <w:spacing w:after="0" w:line="360" w:lineRule="auto"/>
      </w:pPr>
      <w:r w:rsidRPr="00296D0C">
        <w:t>Based on the parental engagement scoring system, just over three quarters (77%: 520/676)</w:t>
      </w:r>
      <w:r w:rsidR="003D5A0D" w:rsidRPr="00296D0C">
        <w:t xml:space="preserve"> of parents were deemed to have engaged with HeLP. Table </w:t>
      </w:r>
      <w:r w:rsidR="005C3553" w:rsidRPr="00296D0C">
        <w:t>3</w:t>
      </w:r>
      <w:r w:rsidR="00D80862">
        <w:t>9</w:t>
      </w:r>
      <w:r w:rsidR="003D5A0D" w:rsidRPr="00296D0C">
        <w:t xml:space="preserve"> shows a similar pattern of parental engagement and IMD rank as was observed for child engagement, with more parents from the lowest IMD ranking considered to be ‘less engaged’ than the highest IMD ranking, although similar proportions were engaged with the </w:t>
      </w:r>
      <w:r w:rsidR="009D57AD">
        <w:t>p</w:t>
      </w:r>
      <w:r w:rsidR="003D5A0D" w:rsidRPr="00296D0C">
        <w:t xml:space="preserve">rogramme. </w:t>
      </w:r>
    </w:p>
    <w:p w14:paraId="37DC3726" w14:textId="77777777" w:rsidR="003D5A0D" w:rsidRPr="00296D0C" w:rsidRDefault="003D5A0D" w:rsidP="00F04AC9">
      <w:pPr>
        <w:spacing w:after="0" w:line="360" w:lineRule="auto"/>
      </w:pPr>
    </w:p>
    <w:p w14:paraId="62FB7157" w14:textId="77777777" w:rsidR="00F04AC9" w:rsidRPr="00296D0C" w:rsidRDefault="00F04AC9" w:rsidP="00F04AC9">
      <w:pPr>
        <w:spacing w:after="0" w:line="360" w:lineRule="auto"/>
      </w:pPr>
      <w:r w:rsidRPr="00296D0C">
        <w:t>Of the ninety two percent of ‘engaged’ children, the majority had parents who were also considered to be engaged. Of the 130 parents who were considered less engaged, 20 also had less engaged children, whilst the other 30 less engaged children had engaged parents.</w:t>
      </w:r>
    </w:p>
    <w:p w14:paraId="6337F863" w14:textId="77777777" w:rsidR="00F04AC9" w:rsidRPr="00296D0C" w:rsidRDefault="00F04AC9" w:rsidP="00F04AC9">
      <w:pPr>
        <w:spacing w:after="0" w:line="360" w:lineRule="auto"/>
      </w:pPr>
    </w:p>
    <w:tbl>
      <w:tblPr>
        <w:tblW w:w="9137" w:type="dxa"/>
        <w:tblInd w:w="93" w:type="dxa"/>
        <w:tblLook w:val="04A0" w:firstRow="1" w:lastRow="0" w:firstColumn="1" w:lastColumn="0" w:noHBand="0" w:noVBand="1"/>
      </w:tblPr>
      <w:tblGrid>
        <w:gridCol w:w="4102"/>
        <w:gridCol w:w="2605"/>
        <w:gridCol w:w="1438"/>
        <w:gridCol w:w="992"/>
      </w:tblGrid>
      <w:tr w:rsidR="00F04AC9" w:rsidRPr="00296D0C" w14:paraId="0CC403F5" w14:textId="77777777" w:rsidTr="00C83DA3">
        <w:trPr>
          <w:trHeight w:val="80"/>
        </w:trPr>
        <w:tc>
          <w:tcPr>
            <w:tcW w:w="4102" w:type="dxa"/>
            <w:tcBorders>
              <w:top w:val="nil"/>
              <w:left w:val="nil"/>
              <w:bottom w:val="nil"/>
              <w:right w:val="nil"/>
            </w:tcBorders>
            <w:shd w:val="clear" w:color="auto" w:fill="auto"/>
            <w:noWrap/>
            <w:vAlign w:val="bottom"/>
            <w:hideMark/>
          </w:tcPr>
          <w:p w14:paraId="10F01701" w14:textId="479691B2" w:rsidR="00F04AC9" w:rsidRPr="00296D0C" w:rsidRDefault="00F04AC9" w:rsidP="00C83DA3">
            <w:pPr>
              <w:spacing w:after="0" w:line="240" w:lineRule="auto"/>
              <w:rPr>
                <w:b/>
              </w:rPr>
            </w:pPr>
            <w:r w:rsidRPr="00296D0C">
              <w:rPr>
                <w:b/>
              </w:rPr>
              <w:t>T</w:t>
            </w:r>
            <w:r w:rsidR="001E551C" w:rsidRPr="00296D0C">
              <w:rPr>
                <w:b/>
              </w:rPr>
              <w:t>ABLE</w:t>
            </w:r>
            <w:r w:rsidRPr="00296D0C">
              <w:rPr>
                <w:b/>
              </w:rPr>
              <w:t xml:space="preserve"> </w:t>
            </w:r>
            <w:r w:rsidR="005C3553" w:rsidRPr="00296D0C">
              <w:rPr>
                <w:b/>
              </w:rPr>
              <w:t>3</w:t>
            </w:r>
            <w:r w:rsidR="00D80862">
              <w:rPr>
                <w:b/>
              </w:rPr>
              <w:t>9</w:t>
            </w:r>
            <w:r w:rsidRPr="00296D0C">
              <w:rPr>
                <w:b/>
              </w:rPr>
              <w:t xml:space="preserve"> Parent engagement by IMD rank</w:t>
            </w:r>
          </w:p>
          <w:p w14:paraId="517A58CB" w14:textId="506CA41E" w:rsidR="00DC1DBA" w:rsidRPr="00296D0C" w:rsidRDefault="00DC1DBA" w:rsidP="00C83DA3">
            <w:pPr>
              <w:spacing w:after="0" w:line="240" w:lineRule="auto"/>
              <w:rPr>
                <w:rFonts w:eastAsia="Times New Roman" w:cs="Times New Roman"/>
                <w:color w:val="000000"/>
              </w:rPr>
            </w:pPr>
          </w:p>
        </w:tc>
        <w:tc>
          <w:tcPr>
            <w:tcW w:w="2605" w:type="dxa"/>
            <w:tcBorders>
              <w:top w:val="nil"/>
              <w:left w:val="nil"/>
              <w:bottom w:val="nil"/>
              <w:right w:val="nil"/>
            </w:tcBorders>
            <w:shd w:val="clear" w:color="auto" w:fill="auto"/>
            <w:noWrap/>
            <w:vAlign w:val="bottom"/>
            <w:hideMark/>
          </w:tcPr>
          <w:p w14:paraId="5DAD3365" w14:textId="77777777" w:rsidR="00F04AC9" w:rsidRPr="00296D0C" w:rsidRDefault="00F04AC9" w:rsidP="00C83DA3">
            <w:pPr>
              <w:spacing w:after="0" w:line="240" w:lineRule="auto"/>
              <w:rPr>
                <w:rFonts w:eastAsia="Times New Roman" w:cs="Times New Roman"/>
                <w:color w:val="000000"/>
              </w:rPr>
            </w:pPr>
          </w:p>
        </w:tc>
        <w:tc>
          <w:tcPr>
            <w:tcW w:w="1438" w:type="dxa"/>
            <w:tcBorders>
              <w:top w:val="nil"/>
              <w:left w:val="nil"/>
              <w:bottom w:val="nil"/>
              <w:right w:val="nil"/>
            </w:tcBorders>
            <w:shd w:val="clear" w:color="auto" w:fill="auto"/>
            <w:noWrap/>
            <w:vAlign w:val="bottom"/>
            <w:hideMark/>
          </w:tcPr>
          <w:p w14:paraId="589986C0" w14:textId="77777777" w:rsidR="00F04AC9" w:rsidRPr="00296D0C" w:rsidRDefault="00F04AC9" w:rsidP="00C83DA3">
            <w:pPr>
              <w:spacing w:after="0" w:line="240" w:lineRule="auto"/>
              <w:rPr>
                <w:rFonts w:eastAsia="Times New Roman" w:cs="Times New Roman"/>
                <w:color w:val="000000"/>
              </w:rPr>
            </w:pPr>
          </w:p>
        </w:tc>
        <w:tc>
          <w:tcPr>
            <w:tcW w:w="992" w:type="dxa"/>
            <w:tcBorders>
              <w:top w:val="nil"/>
              <w:left w:val="nil"/>
              <w:bottom w:val="nil"/>
              <w:right w:val="nil"/>
            </w:tcBorders>
            <w:shd w:val="clear" w:color="auto" w:fill="auto"/>
            <w:noWrap/>
            <w:vAlign w:val="bottom"/>
            <w:hideMark/>
          </w:tcPr>
          <w:p w14:paraId="14D36485" w14:textId="77777777" w:rsidR="00F04AC9" w:rsidRPr="00296D0C" w:rsidRDefault="00F04AC9" w:rsidP="00C83DA3">
            <w:pPr>
              <w:spacing w:after="0" w:line="240" w:lineRule="auto"/>
              <w:rPr>
                <w:rFonts w:eastAsia="Times New Roman" w:cs="Times New Roman"/>
                <w:color w:val="000000"/>
              </w:rPr>
            </w:pPr>
          </w:p>
        </w:tc>
      </w:tr>
      <w:tr w:rsidR="00F04AC9" w:rsidRPr="00296D0C" w14:paraId="260AA5B4" w14:textId="77777777" w:rsidTr="00C83DA3">
        <w:trPr>
          <w:trHeight w:val="300"/>
        </w:trPr>
        <w:tc>
          <w:tcPr>
            <w:tcW w:w="6707" w:type="dxa"/>
            <w:gridSpan w:val="2"/>
            <w:tcBorders>
              <w:top w:val="nil"/>
              <w:left w:val="nil"/>
              <w:bottom w:val="nil"/>
              <w:right w:val="nil"/>
            </w:tcBorders>
            <w:shd w:val="clear" w:color="auto" w:fill="auto"/>
            <w:noWrap/>
            <w:vAlign w:val="bottom"/>
            <w:hideMark/>
          </w:tcPr>
          <w:tbl>
            <w:tblPr>
              <w:tblpPr w:leftFromText="180" w:rightFromText="180" w:vertAnchor="text" w:horzAnchor="margin" w:tblpY="-314"/>
              <w:tblOverlap w:val="never"/>
              <w:tblW w:w="6481" w:type="dxa"/>
              <w:tblLook w:val="04A0" w:firstRow="1" w:lastRow="0" w:firstColumn="1" w:lastColumn="0" w:noHBand="0" w:noVBand="1"/>
            </w:tblPr>
            <w:tblGrid>
              <w:gridCol w:w="2064"/>
              <w:gridCol w:w="1617"/>
              <w:gridCol w:w="1417"/>
              <w:gridCol w:w="1383"/>
            </w:tblGrid>
            <w:tr w:rsidR="00F04AC9" w:rsidRPr="00296D0C" w14:paraId="25C0FB42" w14:textId="77777777" w:rsidTr="00DC1DBA">
              <w:trPr>
                <w:trHeight w:val="340"/>
              </w:trPr>
              <w:tc>
                <w:tcPr>
                  <w:tcW w:w="20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D885F9" w14:textId="77777777" w:rsidR="00F04AC9" w:rsidRPr="00296D0C" w:rsidRDefault="00F04AC9" w:rsidP="00C83DA3">
                  <w:pPr>
                    <w:spacing w:after="0" w:line="240" w:lineRule="auto"/>
                    <w:rPr>
                      <w:rFonts w:eastAsia="Times New Roman" w:cs="Times New Roman"/>
                      <w:b/>
                      <w:bCs/>
                      <w:color w:val="000000"/>
                    </w:rPr>
                  </w:pPr>
                  <w:r w:rsidRPr="00296D0C">
                    <w:rPr>
                      <w:rFonts w:eastAsia="Times New Roman" w:cs="Times New Roman"/>
                      <w:b/>
                      <w:bCs/>
                      <w:color w:val="000000"/>
                    </w:rPr>
                    <w:t>Deprivation Quartile</w:t>
                  </w:r>
                </w:p>
              </w:tc>
              <w:tc>
                <w:tcPr>
                  <w:tcW w:w="1617" w:type="dxa"/>
                  <w:tcBorders>
                    <w:top w:val="single" w:sz="4" w:space="0" w:color="auto"/>
                    <w:left w:val="nil"/>
                    <w:bottom w:val="single" w:sz="4" w:space="0" w:color="auto"/>
                    <w:right w:val="single" w:sz="4" w:space="0" w:color="auto"/>
                  </w:tcBorders>
                  <w:shd w:val="clear" w:color="auto" w:fill="auto"/>
                  <w:vAlign w:val="bottom"/>
                  <w:hideMark/>
                </w:tcPr>
                <w:p w14:paraId="4B989598" w14:textId="4AAEAF9A" w:rsidR="00F04AC9" w:rsidRPr="00296D0C" w:rsidRDefault="00F04AC9" w:rsidP="00DC1DBA">
                  <w:pPr>
                    <w:spacing w:after="0" w:line="240" w:lineRule="auto"/>
                    <w:rPr>
                      <w:rFonts w:eastAsia="Times New Roman" w:cs="Times New Roman"/>
                      <w:b/>
                      <w:bCs/>
                      <w:color w:val="000000"/>
                    </w:rPr>
                  </w:pPr>
                  <w:r w:rsidRPr="00296D0C">
                    <w:rPr>
                      <w:rFonts w:eastAsia="Times New Roman" w:cs="Times New Roman"/>
                      <w:b/>
                      <w:bCs/>
                      <w:color w:val="000000"/>
                    </w:rPr>
                    <w:t>Number</w:t>
                  </w:r>
                  <w:r w:rsidR="005C3553" w:rsidRPr="00296D0C">
                    <w:rPr>
                      <w:rFonts w:eastAsia="Times New Roman" w:cs="Times New Roman"/>
                      <w:b/>
                      <w:bCs/>
                      <w:color w:val="000000"/>
                    </w:rPr>
                    <w:t xml:space="preserve"> (%)</w:t>
                  </w:r>
                  <w:r w:rsidRPr="00296D0C">
                    <w:rPr>
                      <w:rFonts w:eastAsia="Times New Roman" w:cs="Times New Roman"/>
                      <w:b/>
                      <w:bCs/>
                      <w:color w:val="000000"/>
                    </w:rPr>
                    <w:t xml:space="preserve"> of less engaged parents</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37AFD6E3" w14:textId="1C84E90B" w:rsidR="00F04AC9" w:rsidRPr="00296D0C" w:rsidRDefault="00F04AC9" w:rsidP="00DC1DBA">
                  <w:pPr>
                    <w:spacing w:after="0" w:line="240" w:lineRule="auto"/>
                    <w:rPr>
                      <w:rFonts w:eastAsia="Times New Roman" w:cs="Times New Roman"/>
                      <w:b/>
                      <w:bCs/>
                      <w:color w:val="000000"/>
                    </w:rPr>
                  </w:pPr>
                  <w:r w:rsidRPr="00296D0C">
                    <w:rPr>
                      <w:rFonts w:eastAsia="Times New Roman" w:cs="Times New Roman"/>
                      <w:b/>
                      <w:bCs/>
                      <w:color w:val="000000"/>
                    </w:rPr>
                    <w:t>Number</w:t>
                  </w:r>
                  <w:r w:rsidR="00DC1DBA" w:rsidRPr="00296D0C">
                    <w:rPr>
                      <w:rFonts w:eastAsia="Times New Roman" w:cs="Times New Roman"/>
                      <w:b/>
                      <w:bCs/>
                      <w:color w:val="000000"/>
                    </w:rPr>
                    <w:t xml:space="preserve"> (</w:t>
                  </w:r>
                  <w:r w:rsidR="005C3553" w:rsidRPr="00296D0C">
                    <w:rPr>
                      <w:rFonts w:eastAsia="Times New Roman" w:cs="Times New Roman"/>
                      <w:b/>
                      <w:bCs/>
                      <w:color w:val="000000"/>
                    </w:rPr>
                    <w:t>%)</w:t>
                  </w:r>
                  <w:r w:rsidRPr="00296D0C">
                    <w:rPr>
                      <w:rFonts w:eastAsia="Times New Roman" w:cs="Times New Roman"/>
                      <w:b/>
                      <w:bCs/>
                      <w:color w:val="000000"/>
                    </w:rPr>
                    <w:t xml:space="preserve"> of engaged parents</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6FD3A72A" w14:textId="77777777" w:rsidR="00F04AC9" w:rsidRPr="00296D0C" w:rsidRDefault="00F04AC9" w:rsidP="00C83DA3">
                  <w:pPr>
                    <w:spacing w:after="0" w:line="240" w:lineRule="auto"/>
                    <w:rPr>
                      <w:rFonts w:eastAsia="Times New Roman" w:cs="Times New Roman"/>
                      <w:b/>
                      <w:color w:val="000000"/>
                    </w:rPr>
                  </w:pPr>
                  <w:r w:rsidRPr="00296D0C">
                    <w:rPr>
                      <w:rFonts w:eastAsia="Times New Roman" w:cs="Times New Roman"/>
                      <w:b/>
                      <w:color w:val="000000"/>
                    </w:rPr>
                    <w:t xml:space="preserve">Total number of parents </w:t>
                  </w:r>
                </w:p>
              </w:tc>
            </w:tr>
            <w:tr w:rsidR="00F04AC9" w:rsidRPr="00296D0C" w14:paraId="206459A1" w14:textId="77777777" w:rsidTr="00DC1DBA">
              <w:trPr>
                <w:trHeight w:val="340"/>
              </w:trPr>
              <w:tc>
                <w:tcPr>
                  <w:tcW w:w="2064" w:type="dxa"/>
                  <w:tcBorders>
                    <w:top w:val="nil"/>
                    <w:left w:val="single" w:sz="4" w:space="0" w:color="auto"/>
                    <w:bottom w:val="single" w:sz="4" w:space="0" w:color="auto"/>
                    <w:right w:val="single" w:sz="4" w:space="0" w:color="auto"/>
                  </w:tcBorders>
                  <w:shd w:val="clear" w:color="auto" w:fill="auto"/>
                  <w:vAlign w:val="bottom"/>
                  <w:hideMark/>
                </w:tcPr>
                <w:p w14:paraId="7773D656" w14:textId="77777777" w:rsidR="00F04AC9" w:rsidRPr="00296D0C" w:rsidRDefault="00F04AC9" w:rsidP="00C83DA3">
                  <w:pPr>
                    <w:spacing w:after="0" w:line="240" w:lineRule="auto"/>
                    <w:rPr>
                      <w:rFonts w:eastAsia="Times New Roman" w:cs="Times New Roman"/>
                      <w:b/>
                      <w:bCs/>
                      <w:color w:val="000000"/>
                    </w:rPr>
                  </w:pPr>
                  <w:r w:rsidRPr="00296D0C">
                    <w:rPr>
                      <w:rFonts w:eastAsia="Times New Roman" w:cs="Times New Roman"/>
                      <w:b/>
                      <w:bCs/>
                      <w:color w:val="000000"/>
                    </w:rPr>
                    <w:t>1 (most deprived)</w:t>
                  </w:r>
                </w:p>
              </w:tc>
              <w:tc>
                <w:tcPr>
                  <w:tcW w:w="1617" w:type="dxa"/>
                  <w:tcBorders>
                    <w:top w:val="nil"/>
                    <w:left w:val="nil"/>
                    <w:bottom w:val="single" w:sz="4" w:space="0" w:color="auto"/>
                    <w:right w:val="single" w:sz="4" w:space="0" w:color="auto"/>
                  </w:tcBorders>
                  <w:shd w:val="clear" w:color="auto" w:fill="auto"/>
                  <w:noWrap/>
                  <w:vAlign w:val="bottom"/>
                  <w:hideMark/>
                </w:tcPr>
                <w:p w14:paraId="31F28666" w14:textId="1632BD3E" w:rsidR="00F04AC9" w:rsidRPr="00296D0C" w:rsidRDefault="00F04AC9" w:rsidP="00C83DA3">
                  <w:pPr>
                    <w:spacing w:after="0" w:line="240" w:lineRule="auto"/>
                    <w:jc w:val="right"/>
                    <w:rPr>
                      <w:rFonts w:eastAsia="Times New Roman" w:cs="Times New Roman"/>
                      <w:color w:val="000000"/>
                    </w:rPr>
                  </w:pPr>
                  <w:r w:rsidRPr="00296D0C">
                    <w:rPr>
                      <w:rFonts w:eastAsia="Times New Roman" w:cs="Times New Roman"/>
                      <w:color w:val="000000"/>
                    </w:rPr>
                    <w:t>45</w:t>
                  </w:r>
                  <w:r w:rsidR="005C3553" w:rsidRPr="00296D0C">
                    <w:rPr>
                      <w:rFonts w:eastAsia="Times New Roman" w:cs="Times New Roman"/>
                      <w:color w:val="000000"/>
                    </w:rPr>
                    <w:t xml:space="preserve"> (35) </w:t>
                  </w:r>
                </w:p>
              </w:tc>
              <w:tc>
                <w:tcPr>
                  <w:tcW w:w="1417" w:type="dxa"/>
                  <w:tcBorders>
                    <w:top w:val="nil"/>
                    <w:left w:val="nil"/>
                    <w:bottom w:val="single" w:sz="4" w:space="0" w:color="auto"/>
                    <w:right w:val="single" w:sz="4" w:space="0" w:color="auto"/>
                  </w:tcBorders>
                  <w:shd w:val="clear" w:color="auto" w:fill="auto"/>
                  <w:noWrap/>
                  <w:vAlign w:val="bottom"/>
                  <w:hideMark/>
                </w:tcPr>
                <w:p w14:paraId="401AB2C6" w14:textId="3392C08D" w:rsidR="00F04AC9" w:rsidRPr="00296D0C" w:rsidRDefault="00F04AC9" w:rsidP="00C83DA3">
                  <w:pPr>
                    <w:spacing w:after="0" w:line="240" w:lineRule="auto"/>
                    <w:jc w:val="right"/>
                    <w:rPr>
                      <w:rFonts w:eastAsia="Times New Roman" w:cs="Times New Roman"/>
                      <w:color w:val="000000"/>
                    </w:rPr>
                  </w:pPr>
                  <w:r w:rsidRPr="00296D0C">
                    <w:rPr>
                      <w:rFonts w:eastAsia="Times New Roman" w:cs="Times New Roman"/>
                      <w:color w:val="000000"/>
                    </w:rPr>
                    <w:t>127</w:t>
                  </w:r>
                  <w:r w:rsidR="005C3553" w:rsidRPr="00296D0C">
                    <w:rPr>
                      <w:rFonts w:eastAsia="Times New Roman" w:cs="Times New Roman"/>
                      <w:color w:val="000000"/>
                    </w:rPr>
                    <w:t xml:space="preserve"> (24)</w:t>
                  </w:r>
                </w:p>
              </w:tc>
              <w:tc>
                <w:tcPr>
                  <w:tcW w:w="1383" w:type="dxa"/>
                  <w:tcBorders>
                    <w:top w:val="nil"/>
                    <w:left w:val="nil"/>
                    <w:bottom w:val="single" w:sz="4" w:space="0" w:color="auto"/>
                    <w:right w:val="single" w:sz="4" w:space="0" w:color="auto"/>
                  </w:tcBorders>
                  <w:shd w:val="clear" w:color="auto" w:fill="auto"/>
                  <w:noWrap/>
                  <w:vAlign w:val="bottom"/>
                  <w:hideMark/>
                </w:tcPr>
                <w:p w14:paraId="5B4926DA" w14:textId="77777777" w:rsidR="00F04AC9" w:rsidRPr="00296D0C" w:rsidRDefault="00F04AC9" w:rsidP="00C83DA3">
                  <w:pPr>
                    <w:spacing w:after="0" w:line="240" w:lineRule="auto"/>
                    <w:jc w:val="right"/>
                    <w:rPr>
                      <w:rFonts w:eastAsia="Times New Roman" w:cs="Times New Roman"/>
                      <w:color w:val="000000"/>
                    </w:rPr>
                  </w:pPr>
                  <w:r w:rsidRPr="00296D0C">
                    <w:rPr>
                      <w:rFonts w:eastAsia="Times New Roman" w:cs="Times New Roman"/>
                      <w:color w:val="000000"/>
                    </w:rPr>
                    <w:t>172</w:t>
                  </w:r>
                </w:p>
              </w:tc>
            </w:tr>
            <w:tr w:rsidR="00F04AC9" w:rsidRPr="00296D0C" w14:paraId="237C701B" w14:textId="77777777" w:rsidTr="00DC1DBA">
              <w:trPr>
                <w:trHeight w:val="340"/>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44CF4690" w14:textId="77777777" w:rsidR="00F04AC9" w:rsidRPr="00296D0C" w:rsidRDefault="00F04AC9" w:rsidP="00C83DA3">
                  <w:pPr>
                    <w:spacing w:after="0" w:line="240" w:lineRule="auto"/>
                    <w:rPr>
                      <w:rFonts w:eastAsia="Times New Roman" w:cs="Times New Roman"/>
                      <w:b/>
                      <w:bCs/>
                      <w:color w:val="000000"/>
                    </w:rPr>
                  </w:pPr>
                  <w:r w:rsidRPr="00296D0C">
                    <w:rPr>
                      <w:rFonts w:eastAsia="Times New Roman" w:cs="Times New Roman"/>
                      <w:b/>
                      <w:bCs/>
                      <w:color w:val="000000"/>
                    </w:rPr>
                    <w:t>2</w:t>
                  </w:r>
                </w:p>
              </w:tc>
              <w:tc>
                <w:tcPr>
                  <w:tcW w:w="1617" w:type="dxa"/>
                  <w:tcBorders>
                    <w:top w:val="nil"/>
                    <w:left w:val="nil"/>
                    <w:bottom w:val="single" w:sz="4" w:space="0" w:color="auto"/>
                    <w:right w:val="single" w:sz="4" w:space="0" w:color="auto"/>
                  </w:tcBorders>
                  <w:shd w:val="clear" w:color="auto" w:fill="auto"/>
                  <w:noWrap/>
                  <w:vAlign w:val="bottom"/>
                  <w:hideMark/>
                </w:tcPr>
                <w:p w14:paraId="5ED2CA51" w14:textId="331E8F5D" w:rsidR="00F04AC9" w:rsidRPr="00296D0C" w:rsidRDefault="00F04AC9" w:rsidP="00C83DA3">
                  <w:pPr>
                    <w:spacing w:after="0" w:line="240" w:lineRule="auto"/>
                    <w:jc w:val="right"/>
                    <w:rPr>
                      <w:rFonts w:eastAsia="Times New Roman" w:cs="Times New Roman"/>
                      <w:color w:val="000000"/>
                    </w:rPr>
                  </w:pPr>
                  <w:r w:rsidRPr="00296D0C">
                    <w:rPr>
                      <w:rFonts w:eastAsia="Times New Roman" w:cs="Times New Roman"/>
                      <w:color w:val="000000"/>
                    </w:rPr>
                    <w:t>31</w:t>
                  </w:r>
                  <w:r w:rsidR="005C3553" w:rsidRPr="00296D0C">
                    <w:rPr>
                      <w:rFonts w:eastAsia="Times New Roman" w:cs="Times New Roman"/>
                      <w:color w:val="000000"/>
                    </w:rPr>
                    <w:t xml:space="preserve"> (24)</w:t>
                  </w:r>
                </w:p>
              </w:tc>
              <w:tc>
                <w:tcPr>
                  <w:tcW w:w="1417" w:type="dxa"/>
                  <w:tcBorders>
                    <w:top w:val="nil"/>
                    <w:left w:val="nil"/>
                    <w:bottom w:val="single" w:sz="4" w:space="0" w:color="auto"/>
                    <w:right w:val="single" w:sz="4" w:space="0" w:color="auto"/>
                  </w:tcBorders>
                  <w:shd w:val="clear" w:color="auto" w:fill="auto"/>
                  <w:noWrap/>
                  <w:vAlign w:val="bottom"/>
                  <w:hideMark/>
                </w:tcPr>
                <w:p w14:paraId="57A8749E" w14:textId="1FF1B093" w:rsidR="00F04AC9" w:rsidRPr="00296D0C" w:rsidRDefault="00F04AC9" w:rsidP="00C83DA3">
                  <w:pPr>
                    <w:spacing w:after="0" w:line="240" w:lineRule="auto"/>
                    <w:jc w:val="right"/>
                    <w:rPr>
                      <w:rFonts w:eastAsia="Times New Roman" w:cs="Times New Roman"/>
                      <w:color w:val="000000"/>
                    </w:rPr>
                  </w:pPr>
                  <w:r w:rsidRPr="00296D0C">
                    <w:rPr>
                      <w:rFonts w:eastAsia="Times New Roman" w:cs="Times New Roman"/>
                      <w:color w:val="000000"/>
                    </w:rPr>
                    <w:t>127</w:t>
                  </w:r>
                  <w:r w:rsidR="005C3553" w:rsidRPr="00296D0C">
                    <w:rPr>
                      <w:rFonts w:eastAsia="Times New Roman" w:cs="Times New Roman"/>
                      <w:color w:val="000000"/>
                    </w:rPr>
                    <w:t xml:space="preserve"> (24)</w:t>
                  </w:r>
                </w:p>
              </w:tc>
              <w:tc>
                <w:tcPr>
                  <w:tcW w:w="1383" w:type="dxa"/>
                  <w:tcBorders>
                    <w:top w:val="nil"/>
                    <w:left w:val="nil"/>
                    <w:bottom w:val="single" w:sz="4" w:space="0" w:color="auto"/>
                    <w:right w:val="single" w:sz="4" w:space="0" w:color="auto"/>
                  </w:tcBorders>
                  <w:shd w:val="clear" w:color="auto" w:fill="auto"/>
                  <w:noWrap/>
                  <w:vAlign w:val="bottom"/>
                  <w:hideMark/>
                </w:tcPr>
                <w:p w14:paraId="748EC084" w14:textId="77777777" w:rsidR="00F04AC9" w:rsidRPr="00296D0C" w:rsidRDefault="00F04AC9" w:rsidP="00C83DA3">
                  <w:pPr>
                    <w:spacing w:after="0" w:line="240" w:lineRule="auto"/>
                    <w:jc w:val="right"/>
                    <w:rPr>
                      <w:rFonts w:eastAsia="Times New Roman" w:cs="Times New Roman"/>
                      <w:color w:val="000000"/>
                    </w:rPr>
                  </w:pPr>
                  <w:r w:rsidRPr="00296D0C">
                    <w:rPr>
                      <w:rFonts w:eastAsia="Times New Roman" w:cs="Times New Roman"/>
                      <w:color w:val="000000"/>
                    </w:rPr>
                    <w:t>158</w:t>
                  </w:r>
                </w:p>
              </w:tc>
            </w:tr>
            <w:tr w:rsidR="00F04AC9" w:rsidRPr="00296D0C" w14:paraId="16997D12" w14:textId="77777777" w:rsidTr="00DC1DBA">
              <w:trPr>
                <w:trHeight w:val="340"/>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77E581B7" w14:textId="77777777" w:rsidR="00F04AC9" w:rsidRPr="00296D0C" w:rsidRDefault="00F04AC9" w:rsidP="00C83DA3">
                  <w:pPr>
                    <w:spacing w:after="0" w:line="240" w:lineRule="auto"/>
                    <w:rPr>
                      <w:rFonts w:eastAsia="Times New Roman" w:cs="Times New Roman"/>
                      <w:b/>
                      <w:bCs/>
                      <w:color w:val="000000"/>
                    </w:rPr>
                  </w:pPr>
                  <w:r w:rsidRPr="00296D0C">
                    <w:rPr>
                      <w:rFonts w:eastAsia="Times New Roman" w:cs="Times New Roman"/>
                      <w:b/>
                      <w:bCs/>
                      <w:color w:val="000000"/>
                    </w:rPr>
                    <w:t>3</w:t>
                  </w:r>
                </w:p>
              </w:tc>
              <w:tc>
                <w:tcPr>
                  <w:tcW w:w="1617" w:type="dxa"/>
                  <w:tcBorders>
                    <w:top w:val="nil"/>
                    <w:left w:val="nil"/>
                    <w:bottom w:val="single" w:sz="4" w:space="0" w:color="auto"/>
                    <w:right w:val="single" w:sz="4" w:space="0" w:color="auto"/>
                  </w:tcBorders>
                  <w:shd w:val="clear" w:color="auto" w:fill="auto"/>
                  <w:noWrap/>
                  <w:vAlign w:val="bottom"/>
                  <w:hideMark/>
                </w:tcPr>
                <w:p w14:paraId="3AAE3561" w14:textId="366EAD0A" w:rsidR="00F04AC9" w:rsidRPr="00296D0C" w:rsidRDefault="00F04AC9" w:rsidP="00C83DA3">
                  <w:pPr>
                    <w:spacing w:after="0" w:line="240" w:lineRule="auto"/>
                    <w:jc w:val="right"/>
                    <w:rPr>
                      <w:rFonts w:eastAsia="Times New Roman" w:cs="Times New Roman"/>
                      <w:color w:val="000000"/>
                    </w:rPr>
                  </w:pPr>
                  <w:r w:rsidRPr="00296D0C">
                    <w:rPr>
                      <w:rFonts w:eastAsia="Times New Roman" w:cs="Times New Roman"/>
                      <w:color w:val="000000"/>
                    </w:rPr>
                    <w:t>25</w:t>
                  </w:r>
                  <w:r w:rsidR="005C3553" w:rsidRPr="00296D0C">
                    <w:rPr>
                      <w:rFonts w:eastAsia="Times New Roman" w:cs="Times New Roman"/>
                      <w:color w:val="000000"/>
                    </w:rPr>
                    <w:t xml:space="preserve"> (19)</w:t>
                  </w:r>
                </w:p>
              </w:tc>
              <w:tc>
                <w:tcPr>
                  <w:tcW w:w="1417" w:type="dxa"/>
                  <w:tcBorders>
                    <w:top w:val="nil"/>
                    <w:left w:val="nil"/>
                    <w:bottom w:val="single" w:sz="4" w:space="0" w:color="auto"/>
                    <w:right w:val="single" w:sz="4" w:space="0" w:color="auto"/>
                  </w:tcBorders>
                  <w:shd w:val="clear" w:color="auto" w:fill="auto"/>
                  <w:noWrap/>
                  <w:vAlign w:val="bottom"/>
                  <w:hideMark/>
                </w:tcPr>
                <w:p w14:paraId="4842934B" w14:textId="160FB898" w:rsidR="00F04AC9" w:rsidRPr="00296D0C" w:rsidRDefault="00F04AC9" w:rsidP="00C83DA3">
                  <w:pPr>
                    <w:spacing w:after="0" w:line="240" w:lineRule="auto"/>
                    <w:jc w:val="right"/>
                    <w:rPr>
                      <w:rFonts w:eastAsia="Times New Roman" w:cs="Times New Roman"/>
                      <w:color w:val="000000"/>
                    </w:rPr>
                  </w:pPr>
                  <w:r w:rsidRPr="00296D0C">
                    <w:rPr>
                      <w:rFonts w:eastAsia="Times New Roman" w:cs="Times New Roman"/>
                      <w:color w:val="000000"/>
                    </w:rPr>
                    <w:t>130</w:t>
                  </w:r>
                  <w:r w:rsidR="005C3553" w:rsidRPr="00296D0C">
                    <w:rPr>
                      <w:rFonts w:eastAsia="Times New Roman" w:cs="Times New Roman"/>
                      <w:color w:val="000000"/>
                    </w:rPr>
                    <w:t xml:space="preserve"> (25)</w:t>
                  </w:r>
                </w:p>
              </w:tc>
              <w:tc>
                <w:tcPr>
                  <w:tcW w:w="1383" w:type="dxa"/>
                  <w:tcBorders>
                    <w:top w:val="nil"/>
                    <w:left w:val="nil"/>
                    <w:bottom w:val="single" w:sz="4" w:space="0" w:color="auto"/>
                    <w:right w:val="single" w:sz="4" w:space="0" w:color="auto"/>
                  </w:tcBorders>
                  <w:shd w:val="clear" w:color="auto" w:fill="auto"/>
                  <w:noWrap/>
                  <w:vAlign w:val="bottom"/>
                  <w:hideMark/>
                </w:tcPr>
                <w:p w14:paraId="3D1981E8" w14:textId="77777777" w:rsidR="00F04AC9" w:rsidRPr="00296D0C" w:rsidRDefault="00F04AC9" w:rsidP="00C83DA3">
                  <w:pPr>
                    <w:spacing w:after="0" w:line="240" w:lineRule="auto"/>
                    <w:jc w:val="right"/>
                    <w:rPr>
                      <w:rFonts w:eastAsia="Times New Roman" w:cs="Times New Roman"/>
                      <w:color w:val="000000"/>
                    </w:rPr>
                  </w:pPr>
                  <w:r w:rsidRPr="00296D0C">
                    <w:rPr>
                      <w:rFonts w:eastAsia="Times New Roman" w:cs="Times New Roman"/>
                      <w:color w:val="000000"/>
                    </w:rPr>
                    <w:t>155</w:t>
                  </w:r>
                </w:p>
              </w:tc>
            </w:tr>
            <w:tr w:rsidR="00F04AC9" w:rsidRPr="00296D0C" w14:paraId="68528058" w14:textId="77777777" w:rsidTr="00DC1DBA">
              <w:trPr>
                <w:trHeight w:val="340"/>
              </w:trPr>
              <w:tc>
                <w:tcPr>
                  <w:tcW w:w="2064" w:type="dxa"/>
                  <w:tcBorders>
                    <w:top w:val="nil"/>
                    <w:left w:val="single" w:sz="4" w:space="0" w:color="auto"/>
                    <w:bottom w:val="single" w:sz="4" w:space="0" w:color="auto"/>
                    <w:right w:val="single" w:sz="4" w:space="0" w:color="auto"/>
                  </w:tcBorders>
                  <w:shd w:val="clear" w:color="auto" w:fill="auto"/>
                  <w:vAlign w:val="bottom"/>
                  <w:hideMark/>
                </w:tcPr>
                <w:p w14:paraId="195FE293" w14:textId="77777777" w:rsidR="00F04AC9" w:rsidRPr="00296D0C" w:rsidRDefault="00F04AC9" w:rsidP="00C83DA3">
                  <w:pPr>
                    <w:spacing w:after="0" w:line="240" w:lineRule="auto"/>
                    <w:rPr>
                      <w:rFonts w:eastAsia="Times New Roman" w:cs="Times New Roman"/>
                      <w:b/>
                      <w:bCs/>
                      <w:color w:val="000000"/>
                    </w:rPr>
                  </w:pPr>
                  <w:r w:rsidRPr="00296D0C">
                    <w:rPr>
                      <w:rFonts w:eastAsia="Times New Roman" w:cs="Times New Roman"/>
                      <w:b/>
                      <w:bCs/>
                      <w:color w:val="000000"/>
                    </w:rPr>
                    <w:t>4 (least deprived)</w:t>
                  </w:r>
                </w:p>
              </w:tc>
              <w:tc>
                <w:tcPr>
                  <w:tcW w:w="1617" w:type="dxa"/>
                  <w:tcBorders>
                    <w:top w:val="nil"/>
                    <w:left w:val="nil"/>
                    <w:bottom w:val="single" w:sz="4" w:space="0" w:color="auto"/>
                    <w:right w:val="single" w:sz="4" w:space="0" w:color="auto"/>
                  </w:tcBorders>
                  <w:shd w:val="clear" w:color="auto" w:fill="auto"/>
                  <w:noWrap/>
                  <w:vAlign w:val="bottom"/>
                  <w:hideMark/>
                </w:tcPr>
                <w:p w14:paraId="0E83DC60" w14:textId="4EF132B2" w:rsidR="00F04AC9" w:rsidRPr="00296D0C" w:rsidRDefault="00F04AC9" w:rsidP="00C83DA3">
                  <w:pPr>
                    <w:spacing w:after="0" w:line="240" w:lineRule="auto"/>
                    <w:jc w:val="right"/>
                    <w:rPr>
                      <w:rFonts w:eastAsia="Times New Roman" w:cs="Times New Roman"/>
                      <w:color w:val="000000"/>
                    </w:rPr>
                  </w:pPr>
                  <w:r w:rsidRPr="00296D0C">
                    <w:rPr>
                      <w:rFonts w:eastAsia="Times New Roman" w:cs="Times New Roman"/>
                      <w:color w:val="000000"/>
                    </w:rPr>
                    <w:t>29</w:t>
                  </w:r>
                  <w:r w:rsidR="005C3553" w:rsidRPr="00296D0C">
                    <w:rPr>
                      <w:rFonts w:eastAsia="Times New Roman" w:cs="Times New Roman"/>
                      <w:color w:val="000000"/>
                    </w:rPr>
                    <w:t xml:space="preserve"> (22)</w:t>
                  </w:r>
                </w:p>
              </w:tc>
              <w:tc>
                <w:tcPr>
                  <w:tcW w:w="1417" w:type="dxa"/>
                  <w:tcBorders>
                    <w:top w:val="nil"/>
                    <w:left w:val="nil"/>
                    <w:bottom w:val="single" w:sz="4" w:space="0" w:color="auto"/>
                    <w:right w:val="single" w:sz="4" w:space="0" w:color="auto"/>
                  </w:tcBorders>
                  <w:shd w:val="clear" w:color="auto" w:fill="auto"/>
                  <w:noWrap/>
                  <w:vAlign w:val="bottom"/>
                  <w:hideMark/>
                </w:tcPr>
                <w:p w14:paraId="73AA007A" w14:textId="742953BE" w:rsidR="00F04AC9" w:rsidRPr="00296D0C" w:rsidRDefault="00F04AC9" w:rsidP="00C83DA3">
                  <w:pPr>
                    <w:spacing w:after="0" w:line="240" w:lineRule="auto"/>
                    <w:jc w:val="right"/>
                    <w:rPr>
                      <w:rFonts w:eastAsia="Times New Roman" w:cs="Times New Roman"/>
                      <w:color w:val="000000"/>
                    </w:rPr>
                  </w:pPr>
                  <w:r w:rsidRPr="00296D0C">
                    <w:rPr>
                      <w:rFonts w:eastAsia="Times New Roman" w:cs="Times New Roman"/>
                      <w:color w:val="000000"/>
                    </w:rPr>
                    <w:t>136</w:t>
                  </w:r>
                  <w:r w:rsidR="005C3553" w:rsidRPr="00296D0C">
                    <w:rPr>
                      <w:rFonts w:eastAsia="Times New Roman" w:cs="Times New Roman"/>
                      <w:color w:val="000000"/>
                    </w:rPr>
                    <w:t xml:space="preserve"> (26)</w:t>
                  </w:r>
                </w:p>
              </w:tc>
              <w:tc>
                <w:tcPr>
                  <w:tcW w:w="1383" w:type="dxa"/>
                  <w:tcBorders>
                    <w:top w:val="nil"/>
                    <w:left w:val="nil"/>
                    <w:bottom w:val="single" w:sz="4" w:space="0" w:color="auto"/>
                    <w:right w:val="single" w:sz="4" w:space="0" w:color="auto"/>
                  </w:tcBorders>
                  <w:shd w:val="clear" w:color="auto" w:fill="auto"/>
                  <w:noWrap/>
                  <w:vAlign w:val="bottom"/>
                  <w:hideMark/>
                </w:tcPr>
                <w:p w14:paraId="5BE12B99" w14:textId="77777777" w:rsidR="00F04AC9" w:rsidRPr="00296D0C" w:rsidRDefault="00F04AC9" w:rsidP="00C83DA3">
                  <w:pPr>
                    <w:spacing w:after="0" w:line="240" w:lineRule="auto"/>
                    <w:jc w:val="right"/>
                    <w:rPr>
                      <w:rFonts w:eastAsia="Times New Roman" w:cs="Times New Roman"/>
                      <w:color w:val="000000"/>
                    </w:rPr>
                  </w:pPr>
                  <w:r w:rsidRPr="00296D0C">
                    <w:rPr>
                      <w:rFonts w:eastAsia="Times New Roman" w:cs="Times New Roman"/>
                      <w:color w:val="000000"/>
                    </w:rPr>
                    <w:t>165</w:t>
                  </w:r>
                </w:p>
              </w:tc>
            </w:tr>
            <w:tr w:rsidR="00F04AC9" w:rsidRPr="00296D0C" w14:paraId="587A849E" w14:textId="77777777" w:rsidTr="00DC1DBA">
              <w:trPr>
                <w:trHeight w:val="340"/>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14:paraId="4012A229" w14:textId="77777777" w:rsidR="00F04AC9" w:rsidRPr="00296D0C" w:rsidRDefault="00F04AC9" w:rsidP="00C83DA3">
                  <w:pPr>
                    <w:spacing w:after="0" w:line="240" w:lineRule="auto"/>
                    <w:rPr>
                      <w:rFonts w:eastAsia="Times New Roman" w:cs="Times New Roman"/>
                      <w:b/>
                      <w:bCs/>
                      <w:color w:val="000000"/>
                    </w:rPr>
                  </w:pPr>
                  <w:r w:rsidRPr="00296D0C">
                    <w:rPr>
                      <w:rFonts w:eastAsia="Times New Roman" w:cs="Times New Roman"/>
                      <w:b/>
                      <w:bCs/>
                      <w:color w:val="000000"/>
                    </w:rPr>
                    <w:t>Total</w:t>
                  </w:r>
                </w:p>
              </w:tc>
              <w:tc>
                <w:tcPr>
                  <w:tcW w:w="1617" w:type="dxa"/>
                  <w:tcBorders>
                    <w:top w:val="nil"/>
                    <w:left w:val="nil"/>
                    <w:bottom w:val="single" w:sz="4" w:space="0" w:color="auto"/>
                    <w:right w:val="single" w:sz="4" w:space="0" w:color="auto"/>
                  </w:tcBorders>
                  <w:shd w:val="clear" w:color="auto" w:fill="auto"/>
                  <w:noWrap/>
                  <w:vAlign w:val="bottom"/>
                  <w:hideMark/>
                </w:tcPr>
                <w:p w14:paraId="25E3D1D8" w14:textId="77777777" w:rsidR="00F04AC9" w:rsidRPr="00296D0C" w:rsidRDefault="00F04AC9" w:rsidP="00C83DA3">
                  <w:pPr>
                    <w:spacing w:after="0" w:line="240" w:lineRule="auto"/>
                    <w:jc w:val="right"/>
                    <w:rPr>
                      <w:rFonts w:eastAsia="Times New Roman" w:cs="Times New Roman"/>
                      <w:color w:val="000000"/>
                    </w:rPr>
                  </w:pPr>
                  <w:r w:rsidRPr="00296D0C">
                    <w:rPr>
                      <w:rFonts w:eastAsia="Times New Roman" w:cs="Times New Roman"/>
                      <w:color w:val="000000"/>
                    </w:rPr>
                    <w:t>130</w:t>
                  </w:r>
                </w:p>
              </w:tc>
              <w:tc>
                <w:tcPr>
                  <w:tcW w:w="1417" w:type="dxa"/>
                  <w:tcBorders>
                    <w:top w:val="nil"/>
                    <w:left w:val="nil"/>
                    <w:bottom w:val="single" w:sz="4" w:space="0" w:color="auto"/>
                    <w:right w:val="single" w:sz="4" w:space="0" w:color="auto"/>
                  </w:tcBorders>
                  <w:shd w:val="clear" w:color="auto" w:fill="auto"/>
                  <w:noWrap/>
                  <w:vAlign w:val="bottom"/>
                  <w:hideMark/>
                </w:tcPr>
                <w:p w14:paraId="2FF601DE" w14:textId="77777777" w:rsidR="00F04AC9" w:rsidRPr="00296D0C" w:rsidRDefault="00F04AC9" w:rsidP="00C83DA3">
                  <w:pPr>
                    <w:spacing w:after="0" w:line="240" w:lineRule="auto"/>
                    <w:jc w:val="right"/>
                    <w:rPr>
                      <w:rFonts w:eastAsia="Times New Roman" w:cs="Times New Roman"/>
                      <w:color w:val="000000"/>
                    </w:rPr>
                  </w:pPr>
                  <w:r w:rsidRPr="00296D0C">
                    <w:rPr>
                      <w:rFonts w:eastAsia="Times New Roman" w:cs="Times New Roman"/>
                      <w:color w:val="000000"/>
                    </w:rPr>
                    <w:t>520</w:t>
                  </w:r>
                </w:p>
              </w:tc>
              <w:tc>
                <w:tcPr>
                  <w:tcW w:w="1383" w:type="dxa"/>
                  <w:tcBorders>
                    <w:top w:val="nil"/>
                    <w:left w:val="nil"/>
                    <w:bottom w:val="single" w:sz="4" w:space="0" w:color="auto"/>
                    <w:right w:val="single" w:sz="4" w:space="0" w:color="auto"/>
                  </w:tcBorders>
                  <w:shd w:val="clear" w:color="auto" w:fill="auto"/>
                  <w:noWrap/>
                  <w:vAlign w:val="bottom"/>
                  <w:hideMark/>
                </w:tcPr>
                <w:p w14:paraId="0BB2768C" w14:textId="77777777" w:rsidR="00F04AC9" w:rsidRPr="00296D0C" w:rsidRDefault="00F04AC9" w:rsidP="00C83DA3">
                  <w:pPr>
                    <w:spacing w:after="0" w:line="240" w:lineRule="auto"/>
                    <w:jc w:val="right"/>
                    <w:rPr>
                      <w:rFonts w:eastAsia="Times New Roman" w:cs="Times New Roman"/>
                      <w:color w:val="000000"/>
                    </w:rPr>
                  </w:pPr>
                  <w:r w:rsidRPr="00296D0C">
                    <w:rPr>
                      <w:rFonts w:eastAsia="Times New Roman" w:cs="Times New Roman"/>
                      <w:color w:val="000000"/>
                    </w:rPr>
                    <w:t>650</w:t>
                  </w:r>
                </w:p>
              </w:tc>
            </w:tr>
          </w:tbl>
          <w:p w14:paraId="4D254CBC" w14:textId="77777777" w:rsidR="00F04AC9" w:rsidRPr="00296D0C" w:rsidRDefault="00F04AC9" w:rsidP="00C83DA3">
            <w:pPr>
              <w:spacing w:after="0" w:line="240" w:lineRule="auto"/>
              <w:rPr>
                <w:rFonts w:eastAsia="Times New Roman" w:cs="Times New Roman"/>
                <w:color w:val="000000"/>
              </w:rPr>
            </w:pPr>
          </w:p>
        </w:tc>
        <w:tc>
          <w:tcPr>
            <w:tcW w:w="1438" w:type="dxa"/>
            <w:tcBorders>
              <w:top w:val="nil"/>
              <w:left w:val="nil"/>
              <w:bottom w:val="nil"/>
              <w:right w:val="nil"/>
            </w:tcBorders>
            <w:shd w:val="clear" w:color="auto" w:fill="auto"/>
            <w:noWrap/>
            <w:vAlign w:val="bottom"/>
            <w:hideMark/>
          </w:tcPr>
          <w:p w14:paraId="2AFDA762" w14:textId="77777777" w:rsidR="00F04AC9" w:rsidRPr="00296D0C" w:rsidRDefault="00F04AC9" w:rsidP="00C83DA3">
            <w:pPr>
              <w:spacing w:after="0" w:line="240" w:lineRule="auto"/>
              <w:rPr>
                <w:rFonts w:eastAsia="Times New Roman" w:cs="Times New Roman"/>
                <w:color w:val="000000"/>
              </w:rPr>
            </w:pPr>
          </w:p>
        </w:tc>
        <w:tc>
          <w:tcPr>
            <w:tcW w:w="992" w:type="dxa"/>
            <w:tcBorders>
              <w:top w:val="nil"/>
              <w:left w:val="nil"/>
              <w:bottom w:val="nil"/>
              <w:right w:val="nil"/>
            </w:tcBorders>
            <w:shd w:val="clear" w:color="auto" w:fill="auto"/>
            <w:noWrap/>
            <w:vAlign w:val="bottom"/>
            <w:hideMark/>
          </w:tcPr>
          <w:p w14:paraId="600B2155" w14:textId="77777777" w:rsidR="00F04AC9" w:rsidRPr="00296D0C" w:rsidRDefault="00F04AC9" w:rsidP="00C83DA3">
            <w:pPr>
              <w:spacing w:after="0" w:line="240" w:lineRule="auto"/>
              <w:rPr>
                <w:rFonts w:eastAsia="Times New Roman" w:cs="Times New Roman"/>
                <w:color w:val="000000"/>
              </w:rPr>
            </w:pPr>
          </w:p>
        </w:tc>
      </w:tr>
    </w:tbl>
    <w:p w14:paraId="0183AC7B" w14:textId="77777777" w:rsidR="00F04AC9" w:rsidRPr="00296D0C" w:rsidRDefault="00F04AC9" w:rsidP="00F04AC9">
      <w:pPr>
        <w:spacing w:after="0" w:line="360" w:lineRule="auto"/>
        <w:ind w:right="-3136"/>
      </w:pPr>
    </w:p>
    <w:p w14:paraId="337CA61A" w14:textId="76603A2B" w:rsidR="00F04AC9" w:rsidRPr="00296D0C" w:rsidRDefault="00F04AC9" w:rsidP="00F04AC9">
      <w:pPr>
        <w:spacing w:line="360" w:lineRule="auto"/>
        <w:rPr>
          <w:rFonts w:cs="Arial"/>
          <w:noProof/>
        </w:rPr>
      </w:pPr>
      <w:r w:rsidRPr="00296D0C">
        <w:rPr>
          <w:rFonts w:cs="Arial"/>
          <w:noProof/>
        </w:rPr>
        <w:lastRenderedPageBreak/>
        <w:t xml:space="preserve">The majority of parents interviewed spoke positively about </w:t>
      </w:r>
      <w:r w:rsidR="00FE6FD2" w:rsidRPr="00296D0C">
        <w:rPr>
          <w:rFonts w:cs="Arial"/>
          <w:noProof/>
        </w:rPr>
        <w:t xml:space="preserve">the </w:t>
      </w:r>
      <w:r w:rsidR="009D57AD">
        <w:rPr>
          <w:rFonts w:cs="Arial"/>
          <w:noProof/>
        </w:rPr>
        <w:t>p</w:t>
      </w:r>
      <w:r w:rsidR="00FE6FD2" w:rsidRPr="00296D0C">
        <w:rPr>
          <w:rFonts w:cs="Arial"/>
          <w:noProof/>
        </w:rPr>
        <w:t>rogramme</w:t>
      </w:r>
      <w:r w:rsidRPr="00296D0C">
        <w:rPr>
          <w:rFonts w:cs="Arial"/>
          <w:noProof/>
        </w:rPr>
        <w:t xml:space="preserve">, reporting that it was a worthwhile project and supported the messages it was trying to promote at home. We do, however, acknowledge that 87% of the parents interviewed were categorised as engaged, thus were probably less likely to be critical in their interviews. The majority of responses from the parent questionnaire were very favourable towards HeLP, with 99% of parents indicating on the parent questionnaire that they were aware of their childs’ goals. </w:t>
      </w:r>
    </w:p>
    <w:p w14:paraId="69D84382" w14:textId="77777777" w:rsidR="00DB5BA7" w:rsidRPr="00296D0C" w:rsidRDefault="00DB5BA7" w:rsidP="00DC1DBA">
      <w:pPr>
        <w:spacing w:after="0" w:line="360" w:lineRule="auto"/>
        <w:ind w:left="720"/>
        <w:rPr>
          <w:rFonts w:cs="Arial"/>
          <w:b/>
          <w:noProof/>
        </w:rPr>
      </w:pPr>
      <w:r w:rsidRPr="00296D0C">
        <w:rPr>
          <w:rFonts w:cs="Arial"/>
          <w:i/>
          <w:noProof/>
        </w:rPr>
        <w:t xml:space="preserve"> ‘….it gives me more reinforcement so when I feel like I’m nagging her about you know you really need to eat a wider range of food and la la la, then she’ll kind of go well yeah cos you’re supposed to have blah blah. And it’s good cos she’s learnt it from somewhere else. And if she’s learnt it at school it must be true! (Laughing) Whereas if you learn it at home you can take it or leave it, so it is good reinforcement.’ </w:t>
      </w:r>
      <w:r w:rsidRPr="00296D0C">
        <w:rPr>
          <w:rFonts w:cs="Arial"/>
          <w:b/>
          <w:noProof/>
        </w:rPr>
        <w:t>(Engaged parent, school 10)</w:t>
      </w:r>
    </w:p>
    <w:p w14:paraId="466B6700" w14:textId="77777777" w:rsidR="00C44283" w:rsidRPr="00296D0C" w:rsidRDefault="00C44283" w:rsidP="00DC1DBA">
      <w:pPr>
        <w:spacing w:after="0" w:line="360" w:lineRule="auto"/>
        <w:ind w:left="720"/>
        <w:rPr>
          <w:rFonts w:cs="Arial"/>
          <w:noProof/>
        </w:rPr>
      </w:pPr>
    </w:p>
    <w:p w14:paraId="28A2D38E" w14:textId="64A48206" w:rsidR="00DB5BA7" w:rsidRPr="00296D0C" w:rsidRDefault="00DB5BA7" w:rsidP="00DC1DBA">
      <w:pPr>
        <w:spacing w:line="360" w:lineRule="auto"/>
        <w:ind w:left="720"/>
        <w:rPr>
          <w:rFonts w:cs="Arial"/>
          <w:i/>
          <w:noProof/>
        </w:rPr>
      </w:pPr>
      <w:r w:rsidRPr="00296D0C">
        <w:rPr>
          <w:rFonts w:cs="Arial"/>
          <w:noProof/>
        </w:rPr>
        <w:t xml:space="preserve"> ‘</w:t>
      </w:r>
      <w:r w:rsidRPr="00296D0C">
        <w:rPr>
          <w:rFonts w:cs="Arial"/>
          <w:i/>
          <w:noProof/>
        </w:rPr>
        <w:t xml:space="preserve">One of the good things I liked about </w:t>
      </w:r>
      <w:r w:rsidR="00FE6FD2" w:rsidRPr="00296D0C">
        <w:rPr>
          <w:rFonts w:cs="Arial"/>
          <w:i/>
          <w:noProof/>
        </w:rPr>
        <w:t xml:space="preserve">the </w:t>
      </w:r>
      <w:r w:rsidR="009D57AD">
        <w:rPr>
          <w:rFonts w:cs="Arial"/>
          <w:i/>
          <w:noProof/>
        </w:rPr>
        <w:t>p</w:t>
      </w:r>
      <w:r w:rsidR="00FE6FD2" w:rsidRPr="00296D0C">
        <w:rPr>
          <w:rFonts w:cs="Arial"/>
          <w:i/>
          <w:noProof/>
        </w:rPr>
        <w:t>rogramme</w:t>
      </w:r>
      <w:r w:rsidRPr="00296D0C">
        <w:rPr>
          <w:rFonts w:cs="Arial"/>
          <w:i/>
          <w:noProof/>
        </w:rPr>
        <w:t xml:space="preserve"> was that you weren’t giving out lists of things that were quite expensive or difficult for people to buy or achieve um and I’ve seen that before and I find that frustrating and people can’t always afford to get you know certain fruits and vegetables and food products.  It’s not always easy for them to do that and a lot of the food suggestions that you made particularly in terms of ‘replace this with this’ were simple and achievable……’ </w:t>
      </w:r>
      <w:r w:rsidRPr="00296D0C">
        <w:rPr>
          <w:rFonts w:cs="Arial"/>
          <w:b/>
          <w:noProof/>
        </w:rPr>
        <w:t>(Less engaged parent, school 16)</w:t>
      </w:r>
    </w:p>
    <w:p w14:paraId="099AB5B2" w14:textId="77777777" w:rsidR="00DB5BA7" w:rsidRPr="00296D0C" w:rsidRDefault="00DB5BA7" w:rsidP="00DB5BA7">
      <w:pPr>
        <w:spacing w:line="360" w:lineRule="auto"/>
        <w:rPr>
          <w:rFonts w:cs="Arial"/>
          <w:noProof/>
        </w:rPr>
      </w:pPr>
      <w:r w:rsidRPr="00296D0C">
        <w:rPr>
          <w:rFonts w:cs="Arial"/>
          <w:noProof/>
        </w:rPr>
        <w:t>Similar to the children, engagement was also evidenced by parents’ knowledge and understanding of the key messages</w:t>
      </w:r>
    </w:p>
    <w:p w14:paraId="0F392F9B" w14:textId="77777777" w:rsidR="00DB5BA7" w:rsidRPr="00296D0C" w:rsidRDefault="00DB5BA7" w:rsidP="00DC1DBA">
      <w:pPr>
        <w:spacing w:line="360" w:lineRule="auto"/>
        <w:ind w:left="720"/>
        <w:rPr>
          <w:rFonts w:cs="Arial"/>
          <w:b/>
          <w:noProof/>
        </w:rPr>
      </w:pPr>
      <w:r w:rsidRPr="00296D0C">
        <w:rPr>
          <w:rFonts w:cs="Arial"/>
          <w:i/>
          <w:noProof/>
        </w:rPr>
        <w:t>‘Yes we’d look at the cereal boxes and say ‘right better not have that cereal, that’s got too much percentage fat’ I can’t remember what (I: sugar I think is it, yeah) sugar yeah um ‘we’ll have that one instead’. Yeah so it did make everybody think ‘ooh!’ Check on stuff that you think some things you think are healthy are actually, got a lot more sugar content than you expected.’</w:t>
      </w:r>
      <w:r w:rsidRPr="00296D0C">
        <w:rPr>
          <w:rFonts w:cs="Arial"/>
          <w:noProof/>
        </w:rPr>
        <w:t xml:space="preserve"> </w:t>
      </w:r>
      <w:r w:rsidRPr="00296D0C">
        <w:rPr>
          <w:rFonts w:cs="Arial"/>
          <w:b/>
          <w:noProof/>
        </w:rPr>
        <w:t>(Engaged parent, school 14)</w:t>
      </w:r>
    </w:p>
    <w:p w14:paraId="1FE3FACB" w14:textId="161D0A81" w:rsidR="00DB5BA7" w:rsidRPr="00296D0C" w:rsidRDefault="00DB5BA7" w:rsidP="00DC1DBA">
      <w:pPr>
        <w:spacing w:line="360" w:lineRule="auto"/>
        <w:ind w:left="720"/>
        <w:rPr>
          <w:rFonts w:cs="Arial"/>
          <w:i/>
          <w:noProof/>
        </w:rPr>
      </w:pPr>
      <w:r w:rsidRPr="00296D0C">
        <w:rPr>
          <w:rFonts w:cs="Arial"/>
          <w:i/>
          <w:noProof/>
        </w:rPr>
        <w:t xml:space="preserve">‘No I think it’s been a really good </w:t>
      </w:r>
      <w:r w:rsidR="009D57AD">
        <w:rPr>
          <w:rFonts w:cs="Arial"/>
          <w:i/>
          <w:noProof/>
        </w:rPr>
        <w:t>p</w:t>
      </w:r>
      <w:r w:rsidRPr="00296D0C">
        <w:rPr>
          <w:rFonts w:cs="Arial"/>
          <w:i/>
          <w:noProof/>
        </w:rPr>
        <w:t xml:space="preserve">rogramme actually and just to raise awareness of you know what you need to do to be healthy and you don’t have to stop all of those things because ultimately people think ‘oh you can’t have this and you can’t have that’ and they need to know that there’s a balance actually and that you can have it you just need to be a little bit aware of what you’re eating and yeah so I think’s it’s been brilliant and I wouldn’t change any of it….’ </w:t>
      </w:r>
      <w:r w:rsidRPr="00296D0C">
        <w:rPr>
          <w:rFonts w:cs="Arial"/>
          <w:b/>
          <w:noProof/>
        </w:rPr>
        <w:t>(Engaged parent, school 16)</w:t>
      </w:r>
    </w:p>
    <w:p w14:paraId="0818FB0B" w14:textId="7E688BBE" w:rsidR="00DB5BA7" w:rsidRPr="00296D0C" w:rsidRDefault="00DB5BA7" w:rsidP="00DB5BA7">
      <w:pPr>
        <w:spacing w:line="360" w:lineRule="auto"/>
        <w:rPr>
          <w:rFonts w:cs="Arial"/>
          <w:noProof/>
        </w:rPr>
      </w:pPr>
      <w:r w:rsidRPr="00296D0C">
        <w:rPr>
          <w:rFonts w:cs="Arial"/>
          <w:noProof/>
        </w:rPr>
        <w:lastRenderedPageBreak/>
        <w:t xml:space="preserve">However, 18 parents reported some negative feelings towards cetain aspects of </w:t>
      </w:r>
      <w:r w:rsidR="00FE6FD2" w:rsidRPr="00296D0C">
        <w:rPr>
          <w:rFonts w:cs="Arial"/>
          <w:noProof/>
        </w:rPr>
        <w:t xml:space="preserve">the </w:t>
      </w:r>
      <w:r w:rsidR="009D57AD">
        <w:rPr>
          <w:rFonts w:cs="Arial"/>
          <w:noProof/>
        </w:rPr>
        <w:t>p</w:t>
      </w:r>
      <w:r w:rsidR="00FE6FD2" w:rsidRPr="00296D0C">
        <w:rPr>
          <w:rFonts w:cs="Arial"/>
          <w:noProof/>
        </w:rPr>
        <w:t>rogramme</w:t>
      </w:r>
      <w:r w:rsidRPr="00296D0C">
        <w:rPr>
          <w:rFonts w:cs="Arial"/>
          <w:noProof/>
        </w:rPr>
        <w:t xml:space="preserve"> in their questionnaire responses. One parent</w:t>
      </w:r>
      <w:r w:rsidR="00F04AC9" w:rsidRPr="00296D0C">
        <w:rPr>
          <w:rFonts w:cs="Arial"/>
          <w:noProof/>
        </w:rPr>
        <w:t xml:space="preserve">, who felt that their child </w:t>
      </w:r>
      <w:r w:rsidRPr="00296D0C">
        <w:rPr>
          <w:rFonts w:cs="Arial"/>
          <w:noProof/>
        </w:rPr>
        <w:t>was a fussy eater, had less of a range of foods to choose from as he wished to cut down on less healthy options. A couple of parents expressed concern about the cost of fruit and veg</w:t>
      </w:r>
      <w:r w:rsidR="0021085E">
        <w:rPr>
          <w:rFonts w:cs="Arial"/>
          <w:noProof/>
        </w:rPr>
        <w:t>e</w:t>
      </w:r>
      <w:r w:rsidRPr="00296D0C">
        <w:rPr>
          <w:rFonts w:cs="Arial"/>
          <w:noProof/>
        </w:rPr>
        <w:t xml:space="preserve">tables and a few parents reported that their ‘already healthy’ children took </w:t>
      </w:r>
      <w:r w:rsidR="00FE6FD2" w:rsidRPr="00296D0C">
        <w:rPr>
          <w:rFonts w:cs="Arial"/>
          <w:noProof/>
        </w:rPr>
        <w:t xml:space="preserve">the </w:t>
      </w:r>
      <w:r w:rsidR="009D57AD">
        <w:rPr>
          <w:rFonts w:cs="Arial"/>
          <w:noProof/>
        </w:rPr>
        <w:t>p</w:t>
      </w:r>
      <w:r w:rsidR="00FE6FD2" w:rsidRPr="00296D0C">
        <w:rPr>
          <w:rFonts w:cs="Arial"/>
          <w:noProof/>
        </w:rPr>
        <w:t>rogramme</w:t>
      </w:r>
      <w:r w:rsidRPr="00296D0C">
        <w:rPr>
          <w:rFonts w:cs="Arial"/>
          <w:noProof/>
        </w:rPr>
        <w:t xml:space="preserve"> messages to the extreme. One parent felt that it is the responsibility of the parents to educate their children about physical activity and health.</w:t>
      </w:r>
    </w:p>
    <w:p w14:paraId="41637870" w14:textId="0BC5F263" w:rsidR="00DB5BA7" w:rsidRPr="00296D0C" w:rsidRDefault="00DB5BA7" w:rsidP="00DB5BA7">
      <w:pPr>
        <w:spacing w:line="360" w:lineRule="auto"/>
        <w:rPr>
          <w:rFonts w:cs="Arial"/>
          <w:noProof/>
        </w:rPr>
      </w:pPr>
      <w:r w:rsidRPr="00296D0C">
        <w:rPr>
          <w:rFonts w:cs="Arial"/>
          <w:noProof/>
        </w:rPr>
        <w:t xml:space="preserve">A small amount of data from teachers also suggested that a few parents were less engaged with </w:t>
      </w:r>
      <w:r w:rsidR="00FE6FD2" w:rsidRPr="00296D0C">
        <w:rPr>
          <w:rFonts w:cs="Arial"/>
          <w:noProof/>
        </w:rPr>
        <w:t xml:space="preserve">the </w:t>
      </w:r>
      <w:r w:rsidR="009D57AD">
        <w:rPr>
          <w:rFonts w:cs="Arial"/>
          <w:noProof/>
        </w:rPr>
        <w:t>p</w:t>
      </w:r>
      <w:r w:rsidR="00FE6FD2" w:rsidRPr="00296D0C">
        <w:rPr>
          <w:rFonts w:cs="Arial"/>
          <w:noProof/>
        </w:rPr>
        <w:t>rogramme</w:t>
      </w:r>
      <w:r w:rsidRPr="00296D0C">
        <w:rPr>
          <w:rFonts w:cs="Arial"/>
          <w:noProof/>
        </w:rPr>
        <w:t xml:space="preserve">. Two teachers from two different schools reported disappointing parental attendence and in one school (school 7), a teacher informally reported to the HeLP Coordinator that a parent had talked to the Teaching Assistant about not wanting to be lectured at about how to look after her child, with another teacher from a different school reporting that she heard from a minority of children that the parents had thrown the project leaflets in the bin (school 9). </w:t>
      </w:r>
    </w:p>
    <w:p w14:paraId="2010374F" w14:textId="77777777" w:rsidR="00DB5BA7" w:rsidRPr="00296D0C" w:rsidRDefault="00DB5BA7" w:rsidP="00DB5BA7">
      <w:pPr>
        <w:spacing w:after="0" w:line="360" w:lineRule="auto"/>
        <w:ind w:right="-3136"/>
        <w:rPr>
          <w:u w:val="single"/>
        </w:rPr>
      </w:pPr>
    </w:p>
    <w:p w14:paraId="29268447" w14:textId="77777777" w:rsidR="00DB5BA7" w:rsidRPr="00296D0C" w:rsidRDefault="00DB5BA7" w:rsidP="00DB5BA7">
      <w:pPr>
        <w:spacing w:after="0" w:line="360" w:lineRule="auto"/>
        <w:ind w:right="-3136"/>
        <w:rPr>
          <w:b/>
        </w:rPr>
      </w:pPr>
      <w:r w:rsidRPr="00296D0C">
        <w:rPr>
          <w:b/>
        </w:rPr>
        <w:t>School engagement</w:t>
      </w:r>
    </w:p>
    <w:p w14:paraId="45AD6292" w14:textId="43F064E8" w:rsidR="00DB5BA7" w:rsidRPr="00296D0C" w:rsidRDefault="00DB5BA7" w:rsidP="00DB5BA7">
      <w:pPr>
        <w:spacing w:line="360" w:lineRule="auto"/>
      </w:pPr>
      <w:r w:rsidRPr="00296D0C">
        <w:rPr>
          <w:rFonts w:cs="Arial"/>
          <w:noProof/>
        </w:rPr>
        <w:t xml:space="preserve">School engagement scores ranged from 9 (maximum score) to 2. </w:t>
      </w:r>
      <w:r w:rsidRPr="00296D0C">
        <w:t xml:space="preserve">Out of </w:t>
      </w:r>
      <w:r w:rsidR="00F04AC9" w:rsidRPr="00296D0C">
        <w:t xml:space="preserve">the </w:t>
      </w:r>
      <w:r w:rsidRPr="00296D0C">
        <w:t>16 schools, only three were categorised as ‘less engaged’ according to the school engagement scoring system (schools 1, 3 and 14).</w:t>
      </w:r>
      <w:r w:rsidR="005C3553" w:rsidRPr="00296D0C">
        <w:t xml:space="preserve"> </w:t>
      </w:r>
      <w:r w:rsidRPr="00296D0C">
        <w:t xml:space="preserve">Characteristics of the less engaged schools included lack of senior leadership within the school generally, absent teacher during of the drama workshops and absent Year 5 teacher due to illness during phases of </w:t>
      </w:r>
      <w:r w:rsidR="00FE6FD2" w:rsidRPr="00296D0C">
        <w:t xml:space="preserve">the </w:t>
      </w:r>
      <w:r w:rsidR="009D57AD">
        <w:t>p</w:t>
      </w:r>
      <w:r w:rsidR="00FE6FD2" w:rsidRPr="00296D0C">
        <w:t>rogramme</w:t>
      </w:r>
      <w:r w:rsidRPr="00296D0C">
        <w:t>.</w:t>
      </w:r>
    </w:p>
    <w:p w14:paraId="27AB5F85" w14:textId="765DFD8B" w:rsidR="00DB5BA7" w:rsidRPr="00296D0C" w:rsidRDefault="00DB5BA7" w:rsidP="00DB5BA7">
      <w:pPr>
        <w:spacing w:line="360" w:lineRule="auto"/>
        <w:rPr>
          <w:iCs/>
        </w:rPr>
      </w:pPr>
      <w:r w:rsidRPr="00296D0C">
        <w:rPr>
          <w:iCs/>
        </w:rPr>
        <w:t xml:space="preserve">There was nothing to suggest that variation in school engagement </w:t>
      </w:r>
      <w:r w:rsidR="00F04AC9" w:rsidRPr="00296D0C">
        <w:rPr>
          <w:iCs/>
        </w:rPr>
        <w:t xml:space="preserve">was </w:t>
      </w:r>
      <w:r w:rsidRPr="00296D0C">
        <w:rPr>
          <w:iCs/>
        </w:rPr>
        <w:t>linked to differences in school context, or school characteristics and policies as assessed by the School Characteristics and Policies Questionnaire (</w:t>
      </w:r>
      <w:r w:rsidR="00FE6FD2" w:rsidRPr="00296D0C">
        <w:rPr>
          <w:iCs/>
        </w:rPr>
        <w:t>see Appendix</w:t>
      </w:r>
      <w:r w:rsidR="00F8483C" w:rsidRPr="00296D0C">
        <w:rPr>
          <w:iCs/>
        </w:rPr>
        <w:t xml:space="preserve"> 1</w:t>
      </w:r>
      <w:r w:rsidR="007B3A2C">
        <w:rPr>
          <w:iCs/>
        </w:rPr>
        <w:t>6</w:t>
      </w:r>
      <w:r w:rsidRPr="00296D0C">
        <w:rPr>
          <w:iCs/>
        </w:rPr>
        <w:t xml:space="preserve">). Table </w:t>
      </w:r>
      <w:r w:rsidR="00D80862">
        <w:rPr>
          <w:iCs/>
        </w:rPr>
        <w:t>40</w:t>
      </w:r>
      <w:r w:rsidRPr="00296D0C">
        <w:rPr>
          <w:iCs/>
        </w:rPr>
        <w:t xml:space="preserve"> provides a summary overview of each school by cohort in relation to size, deprivation, location and engagement.</w:t>
      </w:r>
    </w:p>
    <w:p w14:paraId="747C3B0B" w14:textId="77777777" w:rsidR="00DB5BA7" w:rsidRPr="00296D0C" w:rsidRDefault="00DB5BA7" w:rsidP="00DB5BA7">
      <w:pPr>
        <w:rPr>
          <w:rFonts w:cs="Arial"/>
          <w:noProof/>
        </w:rPr>
      </w:pPr>
      <w:r w:rsidRPr="00296D0C">
        <w:rPr>
          <w:rFonts w:cs="Arial"/>
          <w:noProof/>
        </w:rPr>
        <w:br w:type="page"/>
      </w:r>
    </w:p>
    <w:p w14:paraId="5CF20B02" w14:textId="1056669C" w:rsidR="00DB5BA7" w:rsidRPr="00296D0C" w:rsidRDefault="00DB5BA7" w:rsidP="00DB5BA7">
      <w:pPr>
        <w:rPr>
          <w:rFonts w:cs="Arial"/>
          <w:b/>
          <w:noProof/>
        </w:rPr>
      </w:pPr>
      <w:r w:rsidRPr="00296D0C">
        <w:rPr>
          <w:rFonts w:cs="Arial"/>
          <w:b/>
          <w:noProof/>
        </w:rPr>
        <w:lastRenderedPageBreak/>
        <w:t>T</w:t>
      </w:r>
      <w:r w:rsidR="00BF1454" w:rsidRPr="00296D0C">
        <w:rPr>
          <w:rFonts w:cs="Arial"/>
          <w:b/>
          <w:noProof/>
        </w:rPr>
        <w:t>ABLE</w:t>
      </w:r>
      <w:r w:rsidRPr="00296D0C">
        <w:rPr>
          <w:rFonts w:cs="Arial"/>
          <w:b/>
          <w:noProof/>
        </w:rPr>
        <w:t xml:space="preserve"> </w:t>
      </w:r>
      <w:r w:rsidR="00D80862">
        <w:rPr>
          <w:rFonts w:cs="Arial"/>
          <w:b/>
          <w:noProof/>
        </w:rPr>
        <w:t>40</w:t>
      </w:r>
      <w:r w:rsidRPr="00296D0C">
        <w:rPr>
          <w:rFonts w:cs="Arial"/>
          <w:b/>
          <w:noProof/>
        </w:rPr>
        <w:t xml:space="preserve"> School engagement information</w:t>
      </w:r>
    </w:p>
    <w:tbl>
      <w:tblPr>
        <w:tblW w:w="0" w:type="auto"/>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3"/>
        <w:gridCol w:w="955"/>
        <w:gridCol w:w="1560"/>
        <w:gridCol w:w="1322"/>
        <w:gridCol w:w="2283"/>
        <w:gridCol w:w="1534"/>
      </w:tblGrid>
      <w:tr w:rsidR="00DB5BA7" w:rsidRPr="00296D0C" w14:paraId="051794B3" w14:textId="77777777" w:rsidTr="00E947B0">
        <w:trPr>
          <w:trHeight w:val="905"/>
        </w:trPr>
        <w:tc>
          <w:tcPr>
            <w:tcW w:w="1053" w:type="dxa"/>
          </w:tcPr>
          <w:p w14:paraId="4C9D28DD" w14:textId="77777777" w:rsidR="00DB5BA7" w:rsidRPr="00296D0C" w:rsidRDefault="00DB5BA7" w:rsidP="00DB5BA7">
            <w:pPr>
              <w:tabs>
                <w:tab w:val="left" w:pos="960"/>
              </w:tabs>
              <w:spacing w:after="0" w:line="240" w:lineRule="auto"/>
              <w:rPr>
                <w:b/>
                <w:i/>
              </w:rPr>
            </w:pPr>
            <w:r w:rsidRPr="00296D0C">
              <w:rPr>
                <w:b/>
                <w:i/>
              </w:rPr>
              <w:t>School</w:t>
            </w:r>
            <w:r w:rsidRPr="00296D0C">
              <w:rPr>
                <w:b/>
                <w:i/>
              </w:rPr>
              <w:tab/>
            </w:r>
          </w:p>
          <w:p w14:paraId="443577A8" w14:textId="77777777" w:rsidR="00DB5BA7" w:rsidRPr="00296D0C" w:rsidRDefault="00DB5BA7" w:rsidP="00DB5BA7">
            <w:pPr>
              <w:spacing w:after="0" w:line="240" w:lineRule="auto"/>
              <w:rPr>
                <w:b/>
              </w:rPr>
            </w:pPr>
            <w:r w:rsidRPr="00296D0C">
              <w:rPr>
                <w:b/>
              </w:rPr>
              <w:t>Cohort 1 (1-8);</w:t>
            </w:r>
          </w:p>
          <w:p w14:paraId="523C4BE9" w14:textId="77777777" w:rsidR="00DB5BA7" w:rsidRPr="00296D0C" w:rsidRDefault="00DB5BA7" w:rsidP="00DB5BA7">
            <w:pPr>
              <w:spacing w:after="0" w:line="240" w:lineRule="auto"/>
              <w:rPr>
                <w:b/>
                <w:i/>
              </w:rPr>
            </w:pPr>
            <w:r w:rsidRPr="00296D0C">
              <w:rPr>
                <w:b/>
              </w:rPr>
              <w:t>Cohort 2 (9-16)</w:t>
            </w:r>
          </w:p>
        </w:tc>
        <w:tc>
          <w:tcPr>
            <w:tcW w:w="955" w:type="dxa"/>
          </w:tcPr>
          <w:p w14:paraId="6E39085A" w14:textId="1B5008F0" w:rsidR="00DB5BA7" w:rsidRPr="00296D0C" w:rsidRDefault="00F04AC9" w:rsidP="00DB5BA7">
            <w:pPr>
              <w:spacing w:after="0" w:line="240" w:lineRule="auto"/>
              <w:rPr>
                <w:b/>
                <w:i/>
              </w:rPr>
            </w:pPr>
            <w:r w:rsidRPr="00296D0C">
              <w:rPr>
                <w:b/>
                <w:i/>
              </w:rPr>
              <w:t xml:space="preserve">Number of Year </w:t>
            </w:r>
            <w:r w:rsidR="00DB5BA7" w:rsidRPr="00296D0C">
              <w:rPr>
                <w:b/>
                <w:i/>
              </w:rPr>
              <w:t xml:space="preserve">5 classes </w:t>
            </w:r>
          </w:p>
        </w:tc>
        <w:tc>
          <w:tcPr>
            <w:tcW w:w="1560" w:type="dxa"/>
          </w:tcPr>
          <w:p w14:paraId="1D025551" w14:textId="77777777" w:rsidR="00DB5BA7" w:rsidRPr="00296D0C" w:rsidRDefault="00DB5BA7" w:rsidP="00DB5BA7">
            <w:pPr>
              <w:spacing w:after="0" w:line="240" w:lineRule="auto"/>
              <w:rPr>
                <w:b/>
                <w:i/>
              </w:rPr>
            </w:pPr>
            <w:r w:rsidRPr="00296D0C">
              <w:rPr>
                <w:b/>
                <w:i/>
              </w:rPr>
              <w:t>% FSM (National average 19%)</w:t>
            </w:r>
          </w:p>
        </w:tc>
        <w:tc>
          <w:tcPr>
            <w:tcW w:w="1322" w:type="dxa"/>
          </w:tcPr>
          <w:p w14:paraId="7D8FB833" w14:textId="77777777" w:rsidR="00DB5BA7" w:rsidRPr="00296D0C" w:rsidRDefault="00DB5BA7" w:rsidP="00DB5BA7">
            <w:pPr>
              <w:spacing w:after="0" w:line="240" w:lineRule="auto"/>
              <w:rPr>
                <w:b/>
                <w:i/>
              </w:rPr>
            </w:pPr>
            <w:r w:rsidRPr="00296D0C">
              <w:rPr>
                <w:b/>
                <w:i/>
              </w:rPr>
              <w:t>Urban/rural</w:t>
            </w:r>
          </w:p>
          <w:p w14:paraId="0D9A6A13" w14:textId="77777777" w:rsidR="00DB5BA7" w:rsidRPr="00296D0C" w:rsidRDefault="00DB5BA7" w:rsidP="00DB5BA7">
            <w:pPr>
              <w:spacing w:after="0" w:line="240" w:lineRule="auto"/>
              <w:rPr>
                <w:b/>
                <w:i/>
              </w:rPr>
            </w:pPr>
          </w:p>
        </w:tc>
        <w:tc>
          <w:tcPr>
            <w:tcW w:w="2283" w:type="dxa"/>
          </w:tcPr>
          <w:p w14:paraId="77E423F4" w14:textId="77777777" w:rsidR="00DB5BA7" w:rsidRPr="00296D0C" w:rsidRDefault="00DB5BA7" w:rsidP="00DB5BA7">
            <w:pPr>
              <w:spacing w:after="0" w:line="240" w:lineRule="auto"/>
              <w:rPr>
                <w:b/>
                <w:i/>
              </w:rPr>
            </w:pPr>
            <w:r w:rsidRPr="00296D0C">
              <w:rPr>
                <w:b/>
                <w:i/>
              </w:rPr>
              <w:t>School staff engagement score</w:t>
            </w:r>
          </w:p>
        </w:tc>
        <w:tc>
          <w:tcPr>
            <w:tcW w:w="1534" w:type="dxa"/>
          </w:tcPr>
          <w:p w14:paraId="06444BAB" w14:textId="77777777" w:rsidR="00DB5BA7" w:rsidRPr="00296D0C" w:rsidRDefault="00DB5BA7" w:rsidP="00DB5BA7">
            <w:pPr>
              <w:spacing w:after="0" w:line="240" w:lineRule="auto"/>
              <w:rPr>
                <w:b/>
                <w:i/>
              </w:rPr>
            </w:pPr>
            <w:r w:rsidRPr="00296D0C">
              <w:rPr>
                <w:b/>
                <w:i/>
              </w:rPr>
              <w:t>Overall school engagement score</w:t>
            </w:r>
          </w:p>
        </w:tc>
      </w:tr>
      <w:tr w:rsidR="00DB5BA7" w:rsidRPr="00296D0C" w14:paraId="14F70C0C" w14:textId="77777777" w:rsidTr="00E947B0">
        <w:trPr>
          <w:trHeight w:val="467"/>
        </w:trPr>
        <w:tc>
          <w:tcPr>
            <w:tcW w:w="1053" w:type="dxa"/>
          </w:tcPr>
          <w:p w14:paraId="74B045A1" w14:textId="77777777" w:rsidR="00DB5BA7" w:rsidRPr="00296D0C" w:rsidRDefault="00DB5BA7" w:rsidP="00DB5BA7">
            <w:r w:rsidRPr="00296D0C">
              <w:t>1</w:t>
            </w:r>
          </w:p>
        </w:tc>
        <w:tc>
          <w:tcPr>
            <w:tcW w:w="955" w:type="dxa"/>
          </w:tcPr>
          <w:p w14:paraId="296C30F1" w14:textId="77777777" w:rsidR="00DB5BA7" w:rsidRPr="00296D0C" w:rsidRDefault="00DB5BA7" w:rsidP="00DB5BA7">
            <w:r w:rsidRPr="00296D0C">
              <w:t xml:space="preserve">1 </w:t>
            </w:r>
          </w:p>
        </w:tc>
        <w:tc>
          <w:tcPr>
            <w:tcW w:w="1560" w:type="dxa"/>
          </w:tcPr>
          <w:p w14:paraId="369E6657" w14:textId="77777777" w:rsidR="00DB5BA7" w:rsidRPr="00296D0C" w:rsidRDefault="00DB5BA7" w:rsidP="00DB5BA7">
            <w:r w:rsidRPr="00296D0C">
              <w:t>&lt;19%</w:t>
            </w:r>
          </w:p>
        </w:tc>
        <w:tc>
          <w:tcPr>
            <w:tcW w:w="1322" w:type="dxa"/>
          </w:tcPr>
          <w:p w14:paraId="75C8FACF" w14:textId="77777777" w:rsidR="00DB5BA7" w:rsidRPr="00296D0C" w:rsidRDefault="00DB5BA7" w:rsidP="00DB5BA7">
            <w:r w:rsidRPr="00296D0C">
              <w:t>Urban/rural</w:t>
            </w:r>
          </w:p>
        </w:tc>
        <w:tc>
          <w:tcPr>
            <w:tcW w:w="2283" w:type="dxa"/>
          </w:tcPr>
          <w:p w14:paraId="3A4AC3EC" w14:textId="46DCF3C5" w:rsidR="00DB5BA7" w:rsidRPr="00296D0C" w:rsidRDefault="00DB5BA7" w:rsidP="00DB5BA7">
            <w:pPr>
              <w:spacing w:after="0"/>
            </w:pPr>
            <w:r w:rsidRPr="00296D0C">
              <w:t>Head =</w:t>
            </w:r>
            <w:r w:rsidR="00F04AC9" w:rsidRPr="00296D0C">
              <w:t xml:space="preserve"> </w:t>
            </w:r>
            <w:r w:rsidRPr="00296D0C">
              <w:t>2, Teacher</w:t>
            </w:r>
            <w:r w:rsidR="00F04AC9" w:rsidRPr="00296D0C">
              <w:t xml:space="preserve"> </w:t>
            </w:r>
            <w:r w:rsidRPr="00296D0C">
              <w:t>=</w:t>
            </w:r>
            <w:r w:rsidR="00F04AC9" w:rsidRPr="00296D0C">
              <w:t xml:space="preserve"> </w:t>
            </w:r>
            <w:r w:rsidRPr="00296D0C">
              <w:t>0, Admin</w:t>
            </w:r>
            <w:r w:rsidR="00F04AC9" w:rsidRPr="00296D0C">
              <w:t xml:space="preserve"> </w:t>
            </w:r>
            <w:r w:rsidRPr="00296D0C">
              <w:t>=</w:t>
            </w:r>
            <w:r w:rsidR="00F04AC9" w:rsidRPr="00296D0C">
              <w:t xml:space="preserve"> </w:t>
            </w:r>
            <w:r w:rsidRPr="00296D0C">
              <w:t>1</w:t>
            </w:r>
          </w:p>
        </w:tc>
        <w:tc>
          <w:tcPr>
            <w:tcW w:w="1534" w:type="dxa"/>
          </w:tcPr>
          <w:p w14:paraId="614AFDCA" w14:textId="77777777" w:rsidR="00DB5BA7" w:rsidRPr="00296D0C" w:rsidRDefault="00DB5BA7" w:rsidP="00DB5BA7">
            <w:r w:rsidRPr="00296D0C">
              <w:t>3</w:t>
            </w:r>
          </w:p>
        </w:tc>
      </w:tr>
      <w:tr w:rsidR="00DB5BA7" w:rsidRPr="00296D0C" w14:paraId="7F5FC407" w14:textId="77777777" w:rsidTr="00E947B0">
        <w:trPr>
          <w:trHeight w:val="397"/>
        </w:trPr>
        <w:tc>
          <w:tcPr>
            <w:tcW w:w="1053" w:type="dxa"/>
          </w:tcPr>
          <w:p w14:paraId="6495DDC8" w14:textId="77777777" w:rsidR="00DB5BA7" w:rsidRPr="00296D0C" w:rsidRDefault="00DB5BA7" w:rsidP="00DB5BA7">
            <w:r w:rsidRPr="00296D0C">
              <w:t>2</w:t>
            </w:r>
          </w:p>
        </w:tc>
        <w:tc>
          <w:tcPr>
            <w:tcW w:w="955" w:type="dxa"/>
          </w:tcPr>
          <w:p w14:paraId="646A2F0D" w14:textId="77777777" w:rsidR="00DB5BA7" w:rsidRPr="00296D0C" w:rsidRDefault="00DB5BA7" w:rsidP="00DB5BA7">
            <w:r w:rsidRPr="00296D0C">
              <w:t xml:space="preserve">1.5 </w:t>
            </w:r>
          </w:p>
        </w:tc>
        <w:tc>
          <w:tcPr>
            <w:tcW w:w="1560" w:type="dxa"/>
          </w:tcPr>
          <w:p w14:paraId="589BE70E" w14:textId="77777777" w:rsidR="00DB5BA7" w:rsidRPr="00296D0C" w:rsidRDefault="00DB5BA7" w:rsidP="00DB5BA7">
            <w:r w:rsidRPr="00296D0C">
              <w:t>&gt;19%</w:t>
            </w:r>
          </w:p>
        </w:tc>
        <w:tc>
          <w:tcPr>
            <w:tcW w:w="1322" w:type="dxa"/>
          </w:tcPr>
          <w:p w14:paraId="6FFBDC0D" w14:textId="77777777" w:rsidR="00DB5BA7" w:rsidRPr="00296D0C" w:rsidRDefault="00DB5BA7" w:rsidP="00DB5BA7">
            <w:r w:rsidRPr="00296D0C">
              <w:t>Urban</w:t>
            </w:r>
          </w:p>
        </w:tc>
        <w:tc>
          <w:tcPr>
            <w:tcW w:w="2283" w:type="dxa"/>
          </w:tcPr>
          <w:p w14:paraId="2C35C201" w14:textId="5760F4E5" w:rsidR="00DB5BA7" w:rsidRPr="00296D0C" w:rsidRDefault="00DB5BA7" w:rsidP="00DB5BA7">
            <w:pPr>
              <w:spacing w:after="0"/>
            </w:pPr>
            <w:r w:rsidRPr="00296D0C">
              <w:t>Head =</w:t>
            </w:r>
            <w:r w:rsidR="00F04AC9" w:rsidRPr="00296D0C">
              <w:t xml:space="preserve"> </w:t>
            </w:r>
            <w:r w:rsidRPr="00296D0C">
              <w:t>1,Teacher</w:t>
            </w:r>
            <w:r w:rsidR="00F04AC9" w:rsidRPr="00296D0C">
              <w:t xml:space="preserve"> </w:t>
            </w:r>
            <w:r w:rsidRPr="00296D0C">
              <w:t>=</w:t>
            </w:r>
            <w:r w:rsidR="00F04AC9" w:rsidRPr="00296D0C">
              <w:t xml:space="preserve"> </w:t>
            </w:r>
            <w:r w:rsidRPr="00296D0C">
              <w:t>1, Admin</w:t>
            </w:r>
            <w:r w:rsidR="00F04AC9" w:rsidRPr="00296D0C">
              <w:t xml:space="preserve"> </w:t>
            </w:r>
            <w:r w:rsidRPr="00296D0C">
              <w:t>=</w:t>
            </w:r>
            <w:r w:rsidR="00F04AC9" w:rsidRPr="00296D0C">
              <w:t xml:space="preserve"> </w:t>
            </w:r>
            <w:r w:rsidRPr="00296D0C">
              <w:t>2</w:t>
            </w:r>
          </w:p>
        </w:tc>
        <w:tc>
          <w:tcPr>
            <w:tcW w:w="1534" w:type="dxa"/>
          </w:tcPr>
          <w:p w14:paraId="25606DC4" w14:textId="77777777" w:rsidR="00DB5BA7" w:rsidRPr="00296D0C" w:rsidRDefault="00DB5BA7" w:rsidP="00DB5BA7">
            <w:r w:rsidRPr="00296D0C">
              <w:t>4</w:t>
            </w:r>
          </w:p>
        </w:tc>
      </w:tr>
      <w:tr w:rsidR="00DB5BA7" w:rsidRPr="00296D0C" w14:paraId="21A96001" w14:textId="77777777" w:rsidTr="00E947B0">
        <w:trPr>
          <w:trHeight w:val="397"/>
        </w:trPr>
        <w:tc>
          <w:tcPr>
            <w:tcW w:w="1053" w:type="dxa"/>
          </w:tcPr>
          <w:p w14:paraId="17F039DB" w14:textId="77777777" w:rsidR="00DB5BA7" w:rsidRPr="00296D0C" w:rsidRDefault="00DB5BA7" w:rsidP="00DB5BA7">
            <w:r w:rsidRPr="00296D0C">
              <w:t>3</w:t>
            </w:r>
          </w:p>
        </w:tc>
        <w:tc>
          <w:tcPr>
            <w:tcW w:w="955" w:type="dxa"/>
          </w:tcPr>
          <w:p w14:paraId="75E83D07" w14:textId="77777777" w:rsidR="00DB5BA7" w:rsidRPr="00296D0C" w:rsidRDefault="00DB5BA7" w:rsidP="00DB5BA7">
            <w:r w:rsidRPr="00296D0C">
              <w:t xml:space="preserve">1 </w:t>
            </w:r>
          </w:p>
        </w:tc>
        <w:tc>
          <w:tcPr>
            <w:tcW w:w="1560" w:type="dxa"/>
          </w:tcPr>
          <w:p w14:paraId="697A37C4" w14:textId="77777777" w:rsidR="00DB5BA7" w:rsidRPr="00296D0C" w:rsidRDefault="00DB5BA7" w:rsidP="00DB5BA7">
            <w:r w:rsidRPr="00296D0C">
              <w:t>&gt;19%</w:t>
            </w:r>
          </w:p>
        </w:tc>
        <w:tc>
          <w:tcPr>
            <w:tcW w:w="1322" w:type="dxa"/>
          </w:tcPr>
          <w:p w14:paraId="10BA4EB8" w14:textId="77777777" w:rsidR="00DB5BA7" w:rsidRPr="00296D0C" w:rsidRDefault="00DB5BA7" w:rsidP="00DB5BA7">
            <w:r w:rsidRPr="00296D0C">
              <w:t>Urban</w:t>
            </w:r>
          </w:p>
        </w:tc>
        <w:tc>
          <w:tcPr>
            <w:tcW w:w="2283" w:type="dxa"/>
          </w:tcPr>
          <w:p w14:paraId="566AADA0" w14:textId="4BA25EAF" w:rsidR="00DB5BA7" w:rsidRPr="00296D0C" w:rsidRDefault="00DB5BA7" w:rsidP="00DB5BA7">
            <w:pPr>
              <w:spacing w:after="0"/>
            </w:pPr>
            <w:r w:rsidRPr="00296D0C">
              <w:t>Head</w:t>
            </w:r>
            <w:r w:rsidR="00F04AC9" w:rsidRPr="00296D0C">
              <w:t xml:space="preserve"> </w:t>
            </w:r>
            <w:r w:rsidRPr="00296D0C">
              <w:t>=</w:t>
            </w:r>
            <w:r w:rsidR="00F04AC9" w:rsidRPr="00296D0C">
              <w:t xml:space="preserve"> </w:t>
            </w:r>
            <w:r w:rsidRPr="00296D0C">
              <w:t>0,Teacher</w:t>
            </w:r>
            <w:r w:rsidR="00F04AC9" w:rsidRPr="00296D0C">
              <w:t xml:space="preserve"> </w:t>
            </w:r>
            <w:r w:rsidRPr="00296D0C">
              <w:t>=</w:t>
            </w:r>
            <w:r w:rsidR="00F04AC9" w:rsidRPr="00296D0C">
              <w:t xml:space="preserve"> </w:t>
            </w:r>
            <w:r w:rsidRPr="00296D0C">
              <w:t>1, Admin</w:t>
            </w:r>
            <w:r w:rsidR="00F04AC9" w:rsidRPr="00296D0C">
              <w:t xml:space="preserve"> </w:t>
            </w:r>
            <w:r w:rsidRPr="00296D0C">
              <w:t>=</w:t>
            </w:r>
            <w:r w:rsidR="00F04AC9" w:rsidRPr="00296D0C">
              <w:t xml:space="preserve"> </w:t>
            </w:r>
            <w:r w:rsidRPr="00296D0C">
              <w:t>1</w:t>
            </w:r>
          </w:p>
        </w:tc>
        <w:tc>
          <w:tcPr>
            <w:tcW w:w="1534" w:type="dxa"/>
          </w:tcPr>
          <w:p w14:paraId="5593C996" w14:textId="77777777" w:rsidR="00DB5BA7" w:rsidRPr="00296D0C" w:rsidRDefault="00DB5BA7" w:rsidP="00DB5BA7">
            <w:r w:rsidRPr="00296D0C">
              <w:t>2</w:t>
            </w:r>
          </w:p>
        </w:tc>
      </w:tr>
      <w:tr w:rsidR="00DB5BA7" w:rsidRPr="00296D0C" w14:paraId="4FE6D97A" w14:textId="77777777" w:rsidTr="00E947B0">
        <w:trPr>
          <w:trHeight w:val="333"/>
        </w:trPr>
        <w:tc>
          <w:tcPr>
            <w:tcW w:w="1053" w:type="dxa"/>
          </w:tcPr>
          <w:p w14:paraId="79D4B80A" w14:textId="77777777" w:rsidR="00DB5BA7" w:rsidRPr="00296D0C" w:rsidRDefault="00DB5BA7" w:rsidP="00DB5BA7">
            <w:r w:rsidRPr="00296D0C">
              <w:t>4</w:t>
            </w:r>
          </w:p>
        </w:tc>
        <w:tc>
          <w:tcPr>
            <w:tcW w:w="955" w:type="dxa"/>
          </w:tcPr>
          <w:p w14:paraId="70A541E1" w14:textId="77777777" w:rsidR="00DB5BA7" w:rsidRPr="00296D0C" w:rsidRDefault="00DB5BA7" w:rsidP="00DB5BA7">
            <w:r w:rsidRPr="00296D0C">
              <w:t xml:space="preserve">2 </w:t>
            </w:r>
          </w:p>
        </w:tc>
        <w:tc>
          <w:tcPr>
            <w:tcW w:w="1560" w:type="dxa"/>
          </w:tcPr>
          <w:p w14:paraId="0EDD4476" w14:textId="77777777" w:rsidR="00DB5BA7" w:rsidRPr="00296D0C" w:rsidRDefault="00DB5BA7" w:rsidP="00DB5BA7">
            <w:r w:rsidRPr="00296D0C">
              <w:t>&gt;19%</w:t>
            </w:r>
          </w:p>
        </w:tc>
        <w:tc>
          <w:tcPr>
            <w:tcW w:w="1322" w:type="dxa"/>
          </w:tcPr>
          <w:p w14:paraId="59980FBF" w14:textId="77777777" w:rsidR="00DB5BA7" w:rsidRPr="00296D0C" w:rsidRDefault="00DB5BA7" w:rsidP="00DB5BA7">
            <w:r w:rsidRPr="00296D0C">
              <w:t>Urban</w:t>
            </w:r>
          </w:p>
        </w:tc>
        <w:tc>
          <w:tcPr>
            <w:tcW w:w="2283" w:type="dxa"/>
          </w:tcPr>
          <w:p w14:paraId="39A10B06" w14:textId="74FA34A9" w:rsidR="00DB5BA7" w:rsidRPr="00296D0C" w:rsidRDefault="00DB5BA7" w:rsidP="00DB5BA7">
            <w:pPr>
              <w:spacing w:after="0"/>
            </w:pPr>
            <w:r w:rsidRPr="00296D0C">
              <w:t>Head</w:t>
            </w:r>
            <w:r w:rsidR="00F04AC9" w:rsidRPr="00296D0C">
              <w:t xml:space="preserve"> </w:t>
            </w:r>
            <w:r w:rsidRPr="00296D0C">
              <w:t>=</w:t>
            </w:r>
            <w:r w:rsidR="00F04AC9" w:rsidRPr="00296D0C">
              <w:t xml:space="preserve"> </w:t>
            </w:r>
            <w:r w:rsidRPr="00296D0C">
              <w:t>1, Teacher</w:t>
            </w:r>
            <w:r w:rsidR="00F04AC9" w:rsidRPr="00296D0C">
              <w:t xml:space="preserve"> </w:t>
            </w:r>
            <w:r w:rsidRPr="00296D0C">
              <w:t>=</w:t>
            </w:r>
            <w:r w:rsidR="00F04AC9" w:rsidRPr="00296D0C">
              <w:t xml:space="preserve"> </w:t>
            </w:r>
            <w:r w:rsidRPr="00296D0C">
              <w:t>3, Admin</w:t>
            </w:r>
            <w:r w:rsidR="00F04AC9" w:rsidRPr="00296D0C">
              <w:t xml:space="preserve"> </w:t>
            </w:r>
            <w:r w:rsidRPr="00296D0C">
              <w:t>=</w:t>
            </w:r>
            <w:r w:rsidR="00F04AC9" w:rsidRPr="00296D0C">
              <w:t xml:space="preserve"> </w:t>
            </w:r>
            <w:r w:rsidRPr="00296D0C">
              <w:t>2</w:t>
            </w:r>
          </w:p>
        </w:tc>
        <w:tc>
          <w:tcPr>
            <w:tcW w:w="1534" w:type="dxa"/>
          </w:tcPr>
          <w:p w14:paraId="7230A996" w14:textId="77777777" w:rsidR="00DB5BA7" w:rsidRPr="00296D0C" w:rsidRDefault="00DB5BA7" w:rsidP="00DB5BA7">
            <w:r w:rsidRPr="00296D0C">
              <w:t>6</w:t>
            </w:r>
          </w:p>
        </w:tc>
      </w:tr>
      <w:tr w:rsidR="00DB5BA7" w:rsidRPr="00296D0C" w14:paraId="67BF2226" w14:textId="77777777" w:rsidTr="00E947B0">
        <w:trPr>
          <w:trHeight w:val="511"/>
        </w:trPr>
        <w:tc>
          <w:tcPr>
            <w:tcW w:w="1053" w:type="dxa"/>
          </w:tcPr>
          <w:p w14:paraId="6631EC11" w14:textId="77777777" w:rsidR="00DB5BA7" w:rsidRPr="00296D0C" w:rsidRDefault="00DB5BA7" w:rsidP="00DB5BA7">
            <w:r w:rsidRPr="00296D0C">
              <w:t>5</w:t>
            </w:r>
          </w:p>
        </w:tc>
        <w:tc>
          <w:tcPr>
            <w:tcW w:w="955" w:type="dxa"/>
          </w:tcPr>
          <w:p w14:paraId="243A44B5" w14:textId="77777777" w:rsidR="00DB5BA7" w:rsidRPr="00296D0C" w:rsidRDefault="00DB5BA7" w:rsidP="00DB5BA7">
            <w:r w:rsidRPr="00296D0C">
              <w:t xml:space="preserve">1 </w:t>
            </w:r>
          </w:p>
        </w:tc>
        <w:tc>
          <w:tcPr>
            <w:tcW w:w="1560" w:type="dxa"/>
          </w:tcPr>
          <w:p w14:paraId="6A6AA93F" w14:textId="77777777" w:rsidR="00DB5BA7" w:rsidRPr="00296D0C" w:rsidRDefault="00DB5BA7" w:rsidP="00DB5BA7">
            <w:r w:rsidRPr="00296D0C">
              <w:t>&gt;19%</w:t>
            </w:r>
          </w:p>
        </w:tc>
        <w:tc>
          <w:tcPr>
            <w:tcW w:w="1322" w:type="dxa"/>
          </w:tcPr>
          <w:p w14:paraId="18EBB965" w14:textId="77777777" w:rsidR="00DB5BA7" w:rsidRPr="00296D0C" w:rsidRDefault="00DB5BA7" w:rsidP="00DB5BA7">
            <w:r w:rsidRPr="00296D0C">
              <w:t>Urban/rural</w:t>
            </w:r>
          </w:p>
        </w:tc>
        <w:tc>
          <w:tcPr>
            <w:tcW w:w="2283" w:type="dxa"/>
          </w:tcPr>
          <w:p w14:paraId="26341390" w14:textId="49E09132" w:rsidR="00DB5BA7" w:rsidRPr="00296D0C" w:rsidRDefault="00DB5BA7" w:rsidP="00DB5BA7">
            <w:pPr>
              <w:spacing w:after="0"/>
            </w:pPr>
            <w:r w:rsidRPr="00296D0C">
              <w:t>Head</w:t>
            </w:r>
            <w:r w:rsidR="00F04AC9" w:rsidRPr="00296D0C">
              <w:t xml:space="preserve"> </w:t>
            </w:r>
            <w:r w:rsidRPr="00296D0C">
              <w:t>=</w:t>
            </w:r>
            <w:r w:rsidR="00F04AC9" w:rsidRPr="00296D0C">
              <w:t xml:space="preserve"> </w:t>
            </w:r>
            <w:r w:rsidRPr="00296D0C">
              <w:t>1,Teacher</w:t>
            </w:r>
            <w:r w:rsidR="00F04AC9" w:rsidRPr="00296D0C">
              <w:t xml:space="preserve"> </w:t>
            </w:r>
            <w:r w:rsidRPr="00296D0C">
              <w:t>=</w:t>
            </w:r>
            <w:r w:rsidR="00F04AC9" w:rsidRPr="00296D0C">
              <w:t xml:space="preserve"> </w:t>
            </w:r>
            <w:r w:rsidRPr="00296D0C">
              <w:t xml:space="preserve">2, </w:t>
            </w:r>
          </w:p>
          <w:p w14:paraId="36DF33CF" w14:textId="71EB4884" w:rsidR="00DB5BA7" w:rsidRPr="00296D0C" w:rsidRDefault="00DB5BA7" w:rsidP="00DB5BA7">
            <w:r w:rsidRPr="00296D0C">
              <w:t>Admin</w:t>
            </w:r>
            <w:r w:rsidR="00F04AC9" w:rsidRPr="00296D0C">
              <w:t xml:space="preserve"> </w:t>
            </w:r>
            <w:r w:rsidRPr="00296D0C">
              <w:t>=</w:t>
            </w:r>
            <w:r w:rsidR="00F04AC9" w:rsidRPr="00296D0C">
              <w:t xml:space="preserve"> </w:t>
            </w:r>
            <w:r w:rsidRPr="00296D0C">
              <w:t>3</w:t>
            </w:r>
          </w:p>
        </w:tc>
        <w:tc>
          <w:tcPr>
            <w:tcW w:w="1534" w:type="dxa"/>
          </w:tcPr>
          <w:p w14:paraId="2BD36464" w14:textId="77777777" w:rsidR="00DB5BA7" w:rsidRPr="00296D0C" w:rsidRDefault="00DB5BA7" w:rsidP="00DB5BA7">
            <w:r w:rsidRPr="00296D0C">
              <w:t>6</w:t>
            </w:r>
          </w:p>
        </w:tc>
      </w:tr>
      <w:tr w:rsidR="00DB5BA7" w:rsidRPr="00296D0C" w14:paraId="7394A129" w14:textId="77777777" w:rsidTr="00E947B0">
        <w:trPr>
          <w:trHeight w:val="493"/>
        </w:trPr>
        <w:tc>
          <w:tcPr>
            <w:tcW w:w="1053" w:type="dxa"/>
          </w:tcPr>
          <w:p w14:paraId="2A8DF322" w14:textId="77777777" w:rsidR="00DB5BA7" w:rsidRPr="00296D0C" w:rsidRDefault="00DB5BA7" w:rsidP="00DB5BA7">
            <w:r w:rsidRPr="00296D0C">
              <w:t>6</w:t>
            </w:r>
          </w:p>
        </w:tc>
        <w:tc>
          <w:tcPr>
            <w:tcW w:w="955" w:type="dxa"/>
          </w:tcPr>
          <w:p w14:paraId="22B52556" w14:textId="77777777" w:rsidR="00DB5BA7" w:rsidRPr="00296D0C" w:rsidRDefault="00DB5BA7" w:rsidP="00DB5BA7">
            <w:r w:rsidRPr="00296D0C">
              <w:t xml:space="preserve">1 </w:t>
            </w:r>
          </w:p>
        </w:tc>
        <w:tc>
          <w:tcPr>
            <w:tcW w:w="1560" w:type="dxa"/>
          </w:tcPr>
          <w:p w14:paraId="1A6620BF" w14:textId="77777777" w:rsidR="00DB5BA7" w:rsidRPr="00296D0C" w:rsidRDefault="00DB5BA7" w:rsidP="00DB5BA7">
            <w:r w:rsidRPr="00296D0C">
              <w:t>&gt;19%</w:t>
            </w:r>
          </w:p>
        </w:tc>
        <w:tc>
          <w:tcPr>
            <w:tcW w:w="1322" w:type="dxa"/>
          </w:tcPr>
          <w:p w14:paraId="5B030452" w14:textId="77777777" w:rsidR="00DB5BA7" w:rsidRPr="00296D0C" w:rsidRDefault="00DB5BA7" w:rsidP="00DB5BA7">
            <w:r w:rsidRPr="00296D0C">
              <w:t>Urban</w:t>
            </w:r>
          </w:p>
        </w:tc>
        <w:tc>
          <w:tcPr>
            <w:tcW w:w="2283" w:type="dxa"/>
          </w:tcPr>
          <w:p w14:paraId="1DC99BD4" w14:textId="0FB9506D" w:rsidR="00DB5BA7" w:rsidRPr="00296D0C" w:rsidRDefault="00DB5BA7" w:rsidP="00DB5BA7">
            <w:pPr>
              <w:spacing w:after="0"/>
            </w:pPr>
            <w:r w:rsidRPr="00296D0C">
              <w:t>Head</w:t>
            </w:r>
            <w:r w:rsidR="00F04AC9" w:rsidRPr="00296D0C">
              <w:t xml:space="preserve"> </w:t>
            </w:r>
            <w:r w:rsidRPr="00296D0C">
              <w:t>=</w:t>
            </w:r>
            <w:r w:rsidR="00F04AC9" w:rsidRPr="00296D0C">
              <w:t xml:space="preserve"> </w:t>
            </w:r>
            <w:r w:rsidRPr="00296D0C">
              <w:t>1, Teacher</w:t>
            </w:r>
            <w:r w:rsidR="00F04AC9" w:rsidRPr="00296D0C">
              <w:t xml:space="preserve"> </w:t>
            </w:r>
            <w:r w:rsidRPr="00296D0C">
              <w:t>=</w:t>
            </w:r>
            <w:r w:rsidR="00F04AC9" w:rsidRPr="00296D0C">
              <w:t xml:space="preserve"> </w:t>
            </w:r>
            <w:r w:rsidRPr="00296D0C">
              <w:t>2, Admin</w:t>
            </w:r>
            <w:r w:rsidR="00F04AC9" w:rsidRPr="00296D0C">
              <w:t xml:space="preserve"> </w:t>
            </w:r>
            <w:r w:rsidRPr="00296D0C">
              <w:t>=</w:t>
            </w:r>
            <w:r w:rsidR="00F04AC9" w:rsidRPr="00296D0C">
              <w:t xml:space="preserve"> </w:t>
            </w:r>
            <w:r w:rsidRPr="00296D0C">
              <w:t>2</w:t>
            </w:r>
          </w:p>
        </w:tc>
        <w:tc>
          <w:tcPr>
            <w:tcW w:w="1534" w:type="dxa"/>
          </w:tcPr>
          <w:p w14:paraId="5A6BC5EB" w14:textId="77777777" w:rsidR="00DB5BA7" w:rsidRPr="00296D0C" w:rsidRDefault="00DB5BA7" w:rsidP="00DB5BA7">
            <w:r w:rsidRPr="00296D0C">
              <w:t>5</w:t>
            </w:r>
          </w:p>
        </w:tc>
      </w:tr>
      <w:tr w:rsidR="00DB5BA7" w:rsidRPr="00296D0C" w14:paraId="5954B0E9" w14:textId="77777777" w:rsidTr="00E947B0">
        <w:trPr>
          <w:trHeight w:val="557"/>
        </w:trPr>
        <w:tc>
          <w:tcPr>
            <w:tcW w:w="1053" w:type="dxa"/>
          </w:tcPr>
          <w:p w14:paraId="27F7851A" w14:textId="77777777" w:rsidR="00DB5BA7" w:rsidRPr="00296D0C" w:rsidRDefault="00DB5BA7" w:rsidP="00DB5BA7">
            <w:r w:rsidRPr="00296D0C">
              <w:t>7</w:t>
            </w:r>
          </w:p>
        </w:tc>
        <w:tc>
          <w:tcPr>
            <w:tcW w:w="955" w:type="dxa"/>
          </w:tcPr>
          <w:p w14:paraId="5DB9FCCD" w14:textId="77777777" w:rsidR="00DB5BA7" w:rsidRPr="00296D0C" w:rsidRDefault="00DB5BA7" w:rsidP="00DB5BA7">
            <w:r w:rsidRPr="00296D0C">
              <w:t xml:space="preserve">1 </w:t>
            </w:r>
          </w:p>
        </w:tc>
        <w:tc>
          <w:tcPr>
            <w:tcW w:w="1560" w:type="dxa"/>
          </w:tcPr>
          <w:p w14:paraId="432433D1" w14:textId="77777777" w:rsidR="00DB5BA7" w:rsidRPr="00296D0C" w:rsidRDefault="00DB5BA7" w:rsidP="00DB5BA7">
            <w:r w:rsidRPr="00296D0C">
              <w:t>&gt;19%</w:t>
            </w:r>
          </w:p>
        </w:tc>
        <w:tc>
          <w:tcPr>
            <w:tcW w:w="1322" w:type="dxa"/>
          </w:tcPr>
          <w:p w14:paraId="5EE4AF9E" w14:textId="77777777" w:rsidR="00DB5BA7" w:rsidRPr="00296D0C" w:rsidRDefault="00DB5BA7" w:rsidP="00DB5BA7">
            <w:r w:rsidRPr="00296D0C">
              <w:t>Urban</w:t>
            </w:r>
          </w:p>
        </w:tc>
        <w:tc>
          <w:tcPr>
            <w:tcW w:w="2283" w:type="dxa"/>
          </w:tcPr>
          <w:p w14:paraId="0632204F" w14:textId="6F15F9A2" w:rsidR="00DB5BA7" w:rsidRPr="00296D0C" w:rsidRDefault="00DB5BA7" w:rsidP="00DB5BA7">
            <w:pPr>
              <w:spacing w:after="0"/>
            </w:pPr>
            <w:r w:rsidRPr="00296D0C">
              <w:t>Head</w:t>
            </w:r>
            <w:r w:rsidR="00F04AC9" w:rsidRPr="00296D0C">
              <w:t xml:space="preserve"> </w:t>
            </w:r>
            <w:r w:rsidRPr="00296D0C">
              <w:t>=</w:t>
            </w:r>
            <w:r w:rsidR="00F04AC9" w:rsidRPr="00296D0C">
              <w:t xml:space="preserve"> </w:t>
            </w:r>
            <w:r w:rsidRPr="00296D0C">
              <w:t>3, Teacher</w:t>
            </w:r>
            <w:r w:rsidR="00F04AC9" w:rsidRPr="00296D0C">
              <w:t xml:space="preserve"> </w:t>
            </w:r>
            <w:r w:rsidRPr="00296D0C">
              <w:t>=</w:t>
            </w:r>
            <w:r w:rsidR="00F04AC9" w:rsidRPr="00296D0C">
              <w:t xml:space="preserve"> </w:t>
            </w:r>
            <w:r w:rsidRPr="00296D0C">
              <w:t>3, Admin</w:t>
            </w:r>
            <w:r w:rsidR="00F04AC9" w:rsidRPr="00296D0C">
              <w:t xml:space="preserve"> </w:t>
            </w:r>
            <w:r w:rsidRPr="00296D0C">
              <w:t>=</w:t>
            </w:r>
            <w:r w:rsidR="00F04AC9" w:rsidRPr="00296D0C">
              <w:t xml:space="preserve"> </w:t>
            </w:r>
            <w:r w:rsidRPr="00296D0C">
              <w:t>1</w:t>
            </w:r>
          </w:p>
        </w:tc>
        <w:tc>
          <w:tcPr>
            <w:tcW w:w="1534" w:type="dxa"/>
          </w:tcPr>
          <w:p w14:paraId="4C0E3D5B" w14:textId="77777777" w:rsidR="00DB5BA7" w:rsidRPr="00296D0C" w:rsidRDefault="00DB5BA7" w:rsidP="00DB5BA7">
            <w:r w:rsidRPr="00296D0C">
              <w:t>7</w:t>
            </w:r>
          </w:p>
        </w:tc>
      </w:tr>
      <w:tr w:rsidR="00DB5BA7" w:rsidRPr="00296D0C" w14:paraId="30140EF8" w14:textId="77777777" w:rsidTr="00E947B0">
        <w:trPr>
          <w:trHeight w:val="565"/>
        </w:trPr>
        <w:tc>
          <w:tcPr>
            <w:tcW w:w="1053" w:type="dxa"/>
          </w:tcPr>
          <w:p w14:paraId="2113C738" w14:textId="77777777" w:rsidR="00DB5BA7" w:rsidRPr="00296D0C" w:rsidRDefault="00DB5BA7" w:rsidP="00DB5BA7">
            <w:r w:rsidRPr="00296D0C">
              <w:t>8</w:t>
            </w:r>
          </w:p>
        </w:tc>
        <w:tc>
          <w:tcPr>
            <w:tcW w:w="955" w:type="dxa"/>
          </w:tcPr>
          <w:p w14:paraId="0ECE6A64" w14:textId="77777777" w:rsidR="00DB5BA7" w:rsidRPr="00296D0C" w:rsidRDefault="00DB5BA7" w:rsidP="00DB5BA7">
            <w:r w:rsidRPr="00296D0C">
              <w:t xml:space="preserve">1 </w:t>
            </w:r>
          </w:p>
        </w:tc>
        <w:tc>
          <w:tcPr>
            <w:tcW w:w="1560" w:type="dxa"/>
          </w:tcPr>
          <w:p w14:paraId="1FD436E7" w14:textId="77777777" w:rsidR="00DB5BA7" w:rsidRPr="00296D0C" w:rsidRDefault="00DB5BA7" w:rsidP="00DB5BA7">
            <w:r w:rsidRPr="00296D0C">
              <w:t>&lt;19%</w:t>
            </w:r>
          </w:p>
        </w:tc>
        <w:tc>
          <w:tcPr>
            <w:tcW w:w="1322" w:type="dxa"/>
          </w:tcPr>
          <w:p w14:paraId="2B4AF4B7" w14:textId="77777777" w:rsidR="00DB5BA7" w:rsidRPr="00296D0C" w:rsidRDefault="00DB5BA7" w:rsidP="00DB5BA7">
            <w:r w:rsidRPr="00296D0C">
              <w:t>Rural</w:t>
            </w:r>
          </w:p>
        </w:tc>
        <w:tc>
          <w:tcPr>
            <w:tcW w:w="2283" w:type="dxa"/>
          </w:tcPr>
          <w:p w14:paraId="759ADE2E" w14:textId="36E8E5E4" w:rsidR="00DB5BA7" w:rsidRPr="00296D0C" w:rsidRDefault="00DB5BA7" w:rsidP="00DB5BA7">
            <w:pPr>
              <w:spacing w:after="0"/>
            </w:pPr>
            <w:r w:rsidRPr="00296D0C">
              <w:t>Head</w:t>
            </w:r>
            <w:r w:rsidR="00F04AC9" w:rsidRPr="00296D0C">
              <w:t xml:space="preserve"> </w:t>
            </w:r>
            <w:r w:rsidRPr="00296D0C">
              <w:t>=</w:t>
            </w:r>
            <w:r w:rsidR="00F04AC9" w:rsidRPr="00296D0C">
              <w:t xml:space="preserve"> </w:t>
            </w:r>
            <w:r w:rsidRPr="00296D0C">
              <w:t>2, Teacher=2, Admin=1</w:t>
            </w:r>
          </w:p>
        </w:tc>
        <w:tc>
          <w:tcPr>
            <w:tcW w:w="1534" w:type="dxa"/>
          </w:tcPr>
          <w:p w14:paraId="514A7269" w14:textId="77777777" w:rsidR="00DB5BA7" w:rsidRPr="00296D0C" w:rsidRDefault="00DB5BA7" w:rsidP="00DB5BA7">
            <w:r w:rsidRPr="00296D0C">
              <w:t>5</w:t>
            </w:r>
          </w:p>
        </w:tc>
      </w:tr>
      <w:tr w:rsidR="00DB5BA7" w:rsidRPr="00296D0C" w14:paraId="75D209B2" w14:textId="77777777" w:rsidTr="00E947B0">
        <w:trPr>
          <w:trHeight w:val="545"/>
        </w:trPr>
        <w:tc>
          <w:tcPr>
            <w:tcW w:w="1053" w:type="dxa"/>
          </w:tcPr>
          <w:p w14:paraId="0C8F1E5B" w14:textId="77777777" w:rsidR="00DB5BA7" w:rsidRPr="00296D0C" w:rsidRDefault="00DB5BA7" w:rsidP="00DB5BA7">
            <w:r w:rsidRPr="00296D0C">
              <w:t>9</w:t>
            </w:r>
          </w:p>
        </w:tc>
        <w:tc>
          <w:tcPr>
            <w:tcW w:w="955" w:type="dxa"/>
          </w:tcPr>
          <w:p w14:paraId="698C4FDD" w14:textId="77777777" w:rsidR="00DB5BA7" w:rsidRPr="00296D0C" w:rsidRDefault="00DB5BA7" w:rsidP="00DB5BA7">
            <w:r w:rsidRPr="00296D0C">
              <w:t xml:space="preserve">2 </w:t>
            </w:r>
          </w:p>
        </w:tc>
        <w:tc>
          <w:tcPr>
            <w:tcW w:w="1560" w:type="dxa"/>
          </w:tcPr>
          <w:p w14:paraId="46E0C413" w14:textId="77777777" w:rsidR="00DB5BA7" w:rsidRPr="00296D0C" w:rsidRDefault="00DB5BA7" w:rsidP="00DB5BA7">
            <w:r w:rsidRPr="00296D0C">
              <w:t>&lt;19%</w:t>
            </w:r>
          </w:p>
        </w:tc>
        <w:tc>
          <w:tcPr>
            <w:tcW w:w="1322" w:type="dxa"/>
          </w:tcPr>
          <w:p w14:paraId="37CEF13B" w14:textId="77777777" w:rsidR="00DB5BA7" w:rsidRPr="00296D0C" w:rsidRDefault="00DB5BA7" w:rsidP="00DB5BA7">
            <w:r w:rsidRPr="00296D0C">
              <w:t>Urban</w:t>
            </w:r>
          </w:p>
        </w:tc>
        <w:tc>
          <w:tcPr>
            <w:tcW w:w="2283" w:type="dxa"/>
          </w:tcPr>
          <w:p w14:paraId="19094698" w14:textId="63B14D6C" w:rsidR="00DB5BA7" w:rsidRPr="00296D0C" w:rsidRDefault="00DB5BA7" w:rsidP="00DB5BA7">
            <w:pPr>
              <w:spacing w:after="0"/>
            </w:pPr>
            <w:r w:rsidRPr="00296D0C">
              <w:t>Head</w:t>
            </w:r>
            <w:r w:rsidR="00BE3E48" w:rsidRPr="00296D0C">
              <w:t xml:space="preserve"> </w:t>
            </w:r>
            <w:r w:rsidRPr="00296D0C">
              <w:t>=</w:t>
            </w:r>
            <w:r w:rsidR="00BE3E48" w:rsidRPr="00296D0C">
              <w:t xml:space="preserve"> </w:t>
            </w:r>
            <w:r w:rsidRPr="00296D0C">
              <w:t>2, Teacher</w:t>
            </w:r>
            <w:r w:rsidR="00BE3E48" w:rsidRPr="00296D0C">
              <w:t xml:space="preserve"> </w:t>
            </w:r>
            <w:r w:rsidRPr="00296D0C">
              <w:t>=</w:t>
            </w:r>
            <w:r w:rsidR="00BE3E48" w:rsidRPr="00296D0C">
              <w:t xml:space="preserve"> </w:t>
            </w:r>
            <w:r w:rsidRPr="00296D0C">
              <w:t>3, Admin</w:t>
            </w:r>
            <w:r w:rsidR="00BE3E48" w:rsidRPr="00296D0C">
              <w:t xml:space="preserve"> </w:t>
            </w:r>
            <w:r w:rsidRPr="00296D0C">
              <w:t>=</w:t>
            </w:r>
            <w:r w:rsidR="00BE3E48" w:rsidRPr="00296D0C">
              <w:t xml:space="preserve"> </w:t>
            </w:r>
            <w:r w:rsidRPr="00296D0C">
              <w:t>3</w:t>
            </w:r>
          </w:p>
        </w:tc>
        <w:tc>
          <w:tcPr>
            <w:tcW w:w="1534" w:type="dxa"/>
          </w:tcPr>
          <w:p w14:paraId="13E5E6C0" w14:textId="77777777" w:rsidR="00DB5BA7" w:rsidRPr="00296D0C" w:rsidRDefault="00DB5BA7" w:rsidP="00DB5BA7">
            <w:r w:rsidRPr="00296D0C">
              <w:t>8</w:t>
            </w:r>
          </w:p>
        </w:tc>
      </w:tr>
      <w:tr w:rsidR="00DB5BA7" w:rsidRPr="00296D0C" w14:paraId="30D13889" w14:textId="77777777" w:rsidTr="00E947B0">
        <w:trPr>
          <w:trHeight w:val="553"/>
        </w:trPr>
        <w:tc>
          <w:tcPr>
            <w:tcW w:w="1053" w:type="dxa"/>
          </w:tcPr>
          <w:p w14:paraId="15CAE97A" w14:textId="77777777" w:rsidR="00DB5BA7" w:rsidRPr="00296D0C" w:rsidRDefault="00DB5BA7" w:rsidP="00DB5BA7">
            <w:r w:rsidRPr="00296D0C">
              <w:t>10</w:t>
            </w:r>
          </w:p>
        </w:tc>
        <w:tc>
          <w:tcPr>
            <w:tcW w:w="955" w:type="dxa"/>
          </w:tcPr>
          <w:p w14:paraId="246BB1E2" w14:textId="77777777" w:rsidR="00DB5BA7" w:rsidRPr="00296D0C" w:rsidRDefault="00DB5BA7" w:rsidP="00DB5BA7">
            <w:r w:rsidRPr="00296D0C">
              <w:t xml:space="preserve">3 </w:t>
            </w:r>
          </w:p>
        </w:tc>
        <w:tc>
          <w:tcPr>
            <w:tcW w:w="1560" w:type="dxa"/>
          </w:tcPr>
          <w:p w14:paraId="5293E64B" w14:textId="77777777" w:rsidR="00DB5BA7" w:rsidRPr="00296D0C" w:rsidRDefault="00DB5BA7" w:rsidP="00DB5BA7">
            <w:r w:rsidRPr="00296D0C">
              <w:t>&lt;19%</w:t>
            </w:r>
          </w:p>
        </w:tc>
        <w:tc>
          <w:tcPr>
            <w:tcW w:w="1322" w:type="dxa"/>
          </w:tcPr>
          <w:p w14:paraId="0EF6B81F" w14:textId="77777777" w:rsidR="00DB5BA7" w:rsidRPr="00296D0C" w:rsidRDefault="00DB5BA7" w:rsidP="00DB5BA7">
            <w:r w:rsidRPr="00296D0C">
              <w:t>Urban</w:t>
            </w:r>
          </w:p>
        </w:tc>
        <w:tc>
          <w:tcPr>
            <w:tcW w:w="2283" w:type="dxa"/>
          </w:tcPr>
          <w:p w14:paraId="2A022DD1" w14:textId="7CA905FB" w:rsidR="00DB5BA7" w:rsidRPr="00296D0C" w:rsidRDefault="00DB5BA7" w:rsidP="00DB5BA7">
            <w:pPr>
              <w:spacing w:after="0"/>
            </w:pPr>
            <w:r w:rsidRPr="00296D0C">
              <w:t>Head</w:t>
            </w:r>
            <w:r w:rsidR="00BE3E48" w:rsidRPr="00296D0C">
              <w:t xml:space="preserve"> </w:t>
            </w:r>
            <w:r w:rsidRPr="00296D0C">
              <w:t>=</w:t>
            </w:r>
            <w:r w:rsidR="00BE3E48" w:rsidRPr="00296D0C">
              <w:t xml:space="preserve"> </w:t>
            </w:r>
            <w:r w:rsidRPr="00296D0C">
              <w:t>1, Teacher</w:t>
            </w:r>
            <w:r w:rsidR="00BE3E48" w:rsidRPr="00296D0C">
              <w:t xml:space="preserve"> </w:t>
            </w:r>
            <w:r w:rsidRPr="00296D0C">
              <w:t>=</w:t>
            </w:r>
            <w:r w:rsidR="00BE3E48" w:rsidRPr="00296D0C">
              <w:t xml:space="preserve"> </w:t>
            </w:r>
            <w:r w:rsidRPr="00296D0C">
              <w:t>2, Admin</w:t>
            </w:r>
            <w:r w:rsidR="00BE3E48" w:rsidRPr="00296D0C">
              <w:t xml:space="preserve"> </w:t>
            </w:r>
            <w:r w:rsidRPr="00296D0C">
              <w:t>=</w:t>
            </w:r>
            <w:r w:rsidR="00BE3E48" w:rsidRPr="00296D0C">
              <w:t xml:space="preserve"> </w:t>
            </w:r>
            <w:r w:rsidRPr="00296D0C">
              <w:t>2</w:t>
            </w:r>
          </w:p>
        </w:tc>
        <w:tc>
          <w:tcPr>
            <w:tcW w:w="1534" w:type="dxa"/>
          </w:tcPr>
          <w:p w14:paraId="30A47961" w14:textId="77777777" w:rsidR="00DB5BA7" w:rsidRPr="00296D0C" w:rsidRDefault="00DB5BA7" w:rsidP="00DB5BA7">
            <w:r w:rsidRPr="00296D0C">
              <w:t>5</w:t>
            </w:r>
          </w:p>
        </w:tc>
      </w:tr>
      <w:tr w:rsidR="00DB5BA7" w:rsidRPr="00296D0C" w14:paraId="481F47B0" w14:textId="77777777" w:rsidTr="00E947B0">
        <w:trPr>
          <w:trHeight w:val="575"/>
        </w:trPr>
        <w:tc>
          <w:tcPr>
            <w:tcW w:w="1053" w:type="dxa"/>
          </w:tcPr>
          <w:p w14:paraId="65729F62" w14:textId="77777777" w:rsidR="00DB5BA7" w:rsidRPr="00296D0C" w:rsidRDefault="00DB5BA7" w:rsidP="00DB5BA7">
            <w:r w:rsidRPr="00296D0C">
              <w:t>11</w:t>
            </w:r>
          </w:p>
        </w:tc>
        <w:tc>
          <w:tcPr>
            <w:tcW w:w="955" w:type="dxa"/>
          </w:tcPr>
          <w:p w14:paraId="7959549B" w14:textId="77777777" w:rsidR="00DB5BA7" w:rsidRPr="00296D0C" w:rsidRDefault="00DB5BA7" w:rsidP="00DB5BA7">
            <w:r w:rsidRPr="00296D0C">
              <w:t xml:space="preserve">3 </w:t>
            </w:r>
          </w:p>
        </w:tc>
        <w:tc>
          <w:tcPr>
            <w:tcW w:w="1560" w:type="dxa"/>
          </w:tcPr>
          <w:p w14:paraId="730FAEA0" w14:textId="77777777" w:rsidR="00DB5BA7" w:rsidRPr="00296D0C" w:rsidRDefault="00DB5BA7" w:rsidP="00DB5BA7">
            <w:r w:rsidRPr="00296D0C">
              <w:t>&lt;19%</w:t>
            </w:r>
          </w:p>
        </w:tc>
        <w:tc>
          <w:tcPr>
            <w:tcW w:w="1322" w:type="dxa"/>
          </w:tcPr>
          <w:p w14:paraId="3BAB14C1" w14:textId="77777777" w:rsidR="00DB5BA7" w:rsidRPr="00296D0C" w:rsidRDefault="00DB5BA7" w:rsidP="00DB5BA7">
            <w:r w:rsidRPr="00296D0C">
              <w:t>Urban/rural</w:t>
            </w:r>
          </w:p>
        </w:tc>
        <w:tc>
          <w:tcPr>
            <w:tcW w:w="2283" w:type="dxa"/>
          </w:tcPr>
          <w:p w14:paraId="2D4807DB" w14:textId="6A30DE4C" w:rsidR="00DB5BA7" w:rsidRPr="00296D0C" w:rsidRDefault="00DB5BA7" w:rsidP="00DB5BA7">
            <w:pPr>
              <w:spacing w:after="0"/>
            </w:pPr>
            <w:r w:rsidRPr="00296D0C">
              <w:t>Head</w:t>
            </w:r>
            <w:r w:rsidR="00BE3E48" w:rsidRPr="00296D0C">
              <w:t xml:space="preserve"> </w:t>
            </w:r>
            <w:r w:rsidRPr="00296D0C">
              <w:t>=</w:t>
            </w:r>
            <w:r w:rsidR="00BE3E48" w:rsidRPr="00296D0C">
              <w:t xml:space="preserve"> </w:t>
            </w:r>
            <w:r w:rsidRPr="00296D0C">
              <w:t>1, Teacher</w:t>
            </w:r>
            <w:r w:rsidR="00BE3E48" w:rsidRPr="00296D0C">
              <w:t xml:space="preserve"> </w:t>
            </w:r>
            <w:r w:rsidRPr="00296D0C">
              <w:t>=</w:t>
            </w:r>
            <w:r w:rsidR="00BE3E48" w:rsidRPr="00296D0C">
              <w:t xml:space="preserve"> </w:t>
            </w:r>
            <w:r w:rsidRPr="00296D0C">
              <w:t xml:space="preserve">3, </w:t>
            </w:r>
          </w:p>
          <w:p w14:paraId="3F622AEF" w14:textId="30E86E3F" w:rsidR="00DB5BA7" w:rsidRPr="00296D0C" w:rsidRDefault="00DB5BA7" w:rsidP="00DB5BA7">
            <w:pPr>
              <w:spacing w:after="0"/>
            </w:pPr>
            <w:r w:rsidRPr="00296D0C">
              <w:t>Admin</w:t>
            </w:r>
            <w:r w:rsidR="00BE3E48" w:rsidRPr="00296D0C">
              <w:t xml:space="preserve"> </w:t>
            </w:r>
            <w:r w:rsidRPr="00296D0C">
              <w:t>=</w:t>
            </w:r>
            <w:r w:rsidR="00BE3E48" w:rsidRPr="00296D0C">
              <w:t xml:space="preserve"> </w:t>
            </w:r>
            <w:r w:rsidRPr="00296D0C">
              <w:t>2</w:t>
            </w:r>
          </w:p>
        </w:tc>
        <w:tc>
          <w:tcPr>
            <w:tcW w:w="1534" w:type="dxa"/>
          </w:tcPr>
          <w:p w14:paraId="3415EC84" w14:textId="77777777" w:rsidR="00DB5BA7" w:rsidRPr="00296D0C" w:rsidRDefault="00DB5BA7" w:rsidP="00DB5BA7">
            <w:r w:rsidRPr="00296D0C">
              <w:t>6</w:t>
            </w:r>
          </w:p>
        </w:tc>
      </w:tr>
      <w:tr w:rsidR="00DB5BA7" w:rsidRPr="00296D0C" w14:paraId="75DB97E9" w14:textId="77777777" w:rsidTr="00E947B0">
        <w:trPr>
          <w:trHeight w:val="555"/>
        </w:trPr>
        <w:tc>
          <w:tcPr>
            <w:tcW w:w="1053" w:type="dxa"/>
          </w:tcPr>
          <w:p w14:paraId="730E0C91" w14:textId="77777777" w:rsidR="00DB5BA7" w:rsidRPr="00296D0C" w:rsidRDefault="00DB5BA7" w:rsidP="00DB5BA7">
            <w:r w:rsidRPr="00296D0C">
              <w:t>12</w:t>
            </w:r>
          </w:p>
        </w:tc>
        <w:tc>
          <w:tcPr>
            <w:tcW w:w="955" w:type="dxa"/>
          </w:tcPr>
          <w:p w14:paraId="7D050A83" w14:textId="23970F86" w:rsidR="00DB5BA7" w:rsidRPr="00296D0C" w:rsidRDefault="006A7C59" w:rsidP="00DB5BA7">
            <w:r w:rsidRPr="00296D0C">
              <w:t>2</w:t>
            </w:r>
          </w:p>
        </w:tc>
        <w:tc>
          <w:tcPr>
            <w:tcW w:w="1560" w:type="dxa"/>
          </w:tcPr>
          <w:p w14:paraId="45713CE6" w14:textId="77777777" w:rsidR="00DB5BA7" w:rsidRPr="00296D0C" w:rsidRDefault="00DB5BA7" w:rsidP="00DB5BA7">
            <w:r w:rsidRPr="00296D0C">
              <w:t>&lt;19%</w:t>
            </w:r>
          </w:p>
        </w:tc>
        <w:tc>
          <w:tcPr>
            <w:tcW w:w="1322" w:type="dxa"/>
          </w:tcPr>
          <w:p w14:paraId="243A2065" w14:textId="77777777" w:rsidR="00DB5BA7" w:rsidRPr="00296D0C" w:rsidRDefault="00DB5BA7" w:rsidP="00DB5BA7">
            <w:r w:rsidRPr="00296D0C">
              <w:t>Rural</w:t>
            </w:r>
          </w:p>
        </w:tc>
        <w:tc>
          <w:tcPr>
            <w:tcW w:w="2283" w:type="dxa"/>
          </w:tcPr>
          <w:p w14:paraId="64F97830" w14:textId="29CDD910" w:rsidR="00DB5BA7" w:rsidRPr="00296D0C" w:rsidRDefault="00DB5BA7" w:rsidP="00DB5BA7">
            <w:pPr>
              <w:spacing w:after="0"/>
            </w:pPr>
            <w:r w:rsidRPr="00296D0C">
              <w:t>Head</w:t>
            </w:r>
            <w:r w:rsidR="00BE3E48" w:rsidRPr="00296D0C">
              <w:t xml:space="preserve"> </w:t>
            </w:r>
            <w:r w:rsidRPr="00296D0C">
              <w:t>=</w:t>
            </w:r>
            <w:r w:rsidR="00BE3E48" w:rsidRPr="00296D0C">
              <w:t xml:space="preserve"> </w:t>
            </w:r>
            <w:r w:rsidRPr="00296D0C">
              <w:t>2, Teacher</w:t>
            </w:r>
            <w:r w:rsidR="00BE3E48" w:rsidRPr="00296D0C">
              <w:t xml:space="preserve"> </w:t>
            </w:r>
            <w:r w:rsidRPr="00296D0C">
              <w:t>=</w:t>
            </w:r>
            <w:r w:rsidR="00BE3E48" w:rsidRPr="00296D0C">
              <w:t xml:space="preserve"> </w:t>
            </w:r>
            <w:r w:rsidRPr="00296D0C">
              <w:t xml:space="preserve">2, </w:t>
            </w:r>
          </w:p>
          <w:p w14:paraId="5184BDCD" w14:textId="043E6D3B" w:rsidR="00DB5BA7" w:rsidRPr="00296D0C" w:rsidRDefault="00DB5BA7" w:rsidP="00DB5BA7">
            <w:r w:rsidRPr="00296D0C">
              <w:t>Admin</w:t>
            </w:r>
            <w:r w:rsidR="00BE3E48" w:rsidRPr="00296D0C">
              <w:t xml:space="preserve"> </w:t>
            </w:r>
            <w:r w:rsidRPr="00296D0C">
              <w:t>=</w:t>
            </w:r>
            <w:r w:rsidR="00BE3E48" w:rsidRPr="00296D0C">
              <w:t xml:space="preserve"> </w:t>
            </w:r>
            <w:r w:rsidRPr="00296D0C">
              <w:t>2</w:t>
            </w:r>
          </w:p>
        </w:tc>
        <w:tc>
          <w:tcPr>
            <w:tcW w:w="1534" w:type="dxa"/>
          </w:tcPr>
          <w:p w14:paraId="6C723EAE" w14:textId="77777777" w:rsidR="00DB5BA7" w:rsidRPr="00296D0C" w:rsidRDefault="00DB5BA7" w:rsidP="00DB5BA7">
            <w:r w:rsidRPr="00296D0C">
              <w:t>6</w:t>
            </w:r>
          </w:p>
        </w:tc>
      </w:tr>
      <w:tr w:rsidR="00DB5BA7" w:rsidRPr="00296D0C" w14:paraId="5E8CF9B3" w14:textId="77777777" w:rsidTr="00E947B0">
        <w:trPr>
          <w:trHeight w:val="536"/>
        </w:trPr>
        <w:tc>
          <w:tcPr>
            <w:tcW w:w="1053" w:type="dxa"/>
          </w:tcPr>
          <w:p w14:paraId="045FCBD8" w14:textId="77777777" w:rsidR="00DB5BA7" w:rsidRPr="00296D0C" w:rsidRDefault="00DB5BA7" w:rsidP="00DB5BA7">
            <w:r w:rsidRPr="00296D0C">
              <w:t>13</w:t>
            </w:r>
          </w:p>
        </w:tc>
        <w:tc>
          <w:tcPr>
            <w:tcW w:w="955" w:type="dxa"/>
          </w:tcPr>
          <w:p w14:paraId="6A1BDD3B" w14:textId="77777777" w:rsidR="00DB5BA7" w:rsidRPr="00296D0C" w:rsidRDefault="00DB5BA7" w:rsidP="00DB5BA7">
            <w:r w:rsidRPr="00296D0C">
              <w:t>1</w:t>
            </w:r>
          </w:p>
        </w:tc>
        <w:tc>
          <w:tcPr>
            <w:tcW w:w="1560" w:type="dxa"/>
          </w:tcPr>
          <w:p w14:paraId="4A031060" w14:textId="77777777" w:rsidR="00DB5BA7" w:rsidRPr="00296D0C" w:rsidRDefault="00DB5BA7" w:rsidP="00DB5BA7">
            <w:r w:rsidRPr="00296D0C">
              <w:t>&lt;19%</w:t>
            </w:r>
          </w:p>
        </w:tc>
        <w:tc>
          <w:tcPr>
            <w:tcW w:w="1322" w:type="dxa"/>
          </w:tcPr>
          <w:p w14:paraId="72981AF3" w14:textId="77777777" w:rsidR="00DB5BA7" w:rsidRPr="00296D0C" w:rsidRDefault="00DB5BA7" w:rsidP="00DB5BA7">
            <w:r w:rsidRPr="00296D0C">
              <w:t>Urban</w:t>
            </w:r>
          </w:p>
        </w:tc>
        <w:tc>
          <w:tcPr>
            <w:tcW w:w="2283" w:type="dxa"/>
          </w:tcPr>
          <w:p w14:paraId="504EC194" w14:textId="010982DC" w:rsidR="00DB5BA7" w:rsidRPr="00296D0C" w:rsidRDefault="00DB5BA7" w:rsidP="00DB5BA7">
            <w:pPr>
              <w:spacing w:after="0"/>
            </w:pPr>
            <w:r w:rsidRPr="00296D0C">
              <w:t>Head</w:t>
            </w:r>
            <w:r w:rsidR="00BE3E48" w:rsidRPr="00296D0C">
              <w:t xml:space="preserve"> </w:t>
            </w:r>
            <w:r w:rsidRPr="00296D0C">
              <w:t>=</w:t>
            </w:r>
            <w:r w:rsidR="00BE3E48" w:rsidRPr="00296D0C">
              <w:t xml:space="preserve"> </w:t>
            </w:r>
            <w:r w:rsidRPr="00296D0C">
              <w:t>3, Teacher</w:t>
            </w:r>
            <w:r w:rsidR="00BE3E48" w:rsidRPr="00296D0C">
              <w:t xml:space="preserve"> </w:t>
            </w:r>
            <w:r w:rsidRPr="00296D0C">
              <w:t>=</w:t>
            </w:r>
            <w:r w:rsidR="00BE3E48" w:rsidRPr="00296D0C">
              <w:t xml:space="preserve"> </w:t>
            </w:r>
            <w:r w:rsidRPr="00296D0C">
              <w:t>3, Admin</w:t>
            </w:r>
            <w:r w:rsidR="00BE3E48" w:rsidRPr="00296D0C">
              <w:t xml:space="preserve"> </w:t>
            </w:r>
            <w:r w:rsidRPr="00296D0C">
              <w:t>=</w:t>
            </w:r>
            <w:r w:rsidR="00BE3E48" w:rsidRPr="00296D0C">
              <w:t xml:space="preserve"> </w:t>
            </w:r>
            <w:r w:rsidRPr="00296D0C">
              <w:t>2</w:t>
            </w:r>
          </w:p>
        </w:tc>
        <w:tc>
          <w:tcPr>
            <w:tcW w:w="1534" w:type="dxa"/>
          </w:tcPr>
          <w:p w14:paraId="78653AC8" w14:textId="77777777" w:rsidR="00DB5BA7" w:rsidRPr="00296D0C" w:rsidRDefault="00DB5BA7" w:rsidP="00DB5BA7">
            <w:r w:rsidRPr="00296D0C">
              <w:t>8</w:t>
            </w:r>
          </w:p>
        </w:tc>
      </w:tr>
      <w:tr w:rsidR="00DB5BA7" w:rsidRPr="00296D0C" w14:paraId="204C1694" w14:textId="77777777" w:rsidTr="00E947B0">
        <w:trPr>
          <w:trHeight w:val="572"/>
        </w:trPr>
        <w:tc>
          <w:tcPr>
            <w:tcW w:w="1053" w:type="dxa"/>
          </w:tcPr>
          <w:p w14:paraId="6154295C" w14:textId="77777777" w:rsidR="00DB5BA7" w:rsidRPr="00296D0C" w:rsidRDefault="00DB5BA7" w:rsidP="00DB5BA7">
            <w:r w:rsidRPr="00296D0C">
              <w:t>14</w:t>
            </w:r>
          </w:p>
        </w:tc>
        <w:tc>
          <w:tcPr>
            <w:tcW w:w="955" w:type="dxa"/>
          </w:tcPr>
          <w:p w14:paraId="74C38663" w14:textId="77777777" w:rsidR="00DB5BA7" w:rsidRPr="00296D0C" w:rsidRDefault="00DB5BA7" w:rsidP="00DB5BA7">
            <w:r w:rsidRPr="00296D0C">
              <w:t xml:space="preserve">1.5 </w:t>
            </w:r>
          </w:p>
        </w:tc>
        <w:tc>
          <w:tcPr>
            <w:tcW w:w="1560" w:type="dxa"/>
          </w:tcPr>
          <w:p w14:paraId="0C076740" w14:textId="77777777" w:rsidR="00DB5BA7" w:rsidRPr="00296D0C" w:rsidRDefault="00DB5BA7" w:rsidP="00DB5BA7">
            <w:r w:rsidRPr="00296D0C">
              <w:t>&lt;19%</w:t>
            </w:r>
          </w:p>
        </w:tc>
        <w:tc>
          <w:tcPr>
            <w:tcW w:w="1322" w:type="dxa"/>
          </w:tcPr>
          <w:p w14:paraId="1310A94A" w14:textId="77777777" w:rsidR="00DB5BA7" w:rsidRPr="00296D0C" w:rsidRDefault="00DB5BA7" w:rsidP="00DB5BA7">
            <w:r w:rsidRPr="00296D0C">
              <w:t>Urban</w:t>
            </w:r>
          </w:p>
        </w:tc>
        <w:tc>
          <w:tcPr>
            <w:tcW w:w="2283" w:type="dxa"/>
          </w:tcPr>
          <w:p w14:paraId="013B47B7" w14:textId="026565AD" w:rsidR="00DB5BA7" w:rsidRPr="00296D0C" w:rsidRDefault="00DB5BA7" w:rsidP="00DB5BA7">
            <w:pPr>
              <w:spacing w:after="0"/>
            </w:pPr>
            <w:r w:rsidRPr="00296D0C">
              <w:t>Head</w:t>
            </w:r>
            <w:r w:rsidR="00BE3E48" w:rsidRPr="00296D0C">
              <w:t xml:space="preserve"> </w:t>
            </w:r>
            <w:r w:rsidRPr="00296D0C">
              <w:t>=</w:t>
            </w:r>
            <w:r w:rsidR="00BE3E48" w:rsidRPr="00296D0C">
              <w:t xml:space="preserve"> </w:t>
            </w:r>
            <w:r w:rsidRPr="00296D0C">
              <w:t>0, Teacher</w:t>
            </w:r>
            <w:r w:rsidR="00BE3E48" w:rsidRPr="00296D0C">
              <w:t xml:space="preserve"> </w:t>
            </w:r>
            <w:r w:rsidRPr="00296D0C">
              <w:t>=</w:t>
            </w:r>
            <w:r w:rsidR="00BE3E48" w:rsidRPr="00296D0C">
              <w:t xml:space="preserve"> </w:t>
            </w:r>
            <w:r w:rsidRPr="00296D0C">
              <w:t>1, Admin</w:t>
            </w:r>
            <w:r w:rsidR="00BE3E48" w:rsidRPr="00296D0C">
              <w:t xml:space="preserve"> </w:t>
            </w:r>
            <w:r w:rsidRPr="00296D0C">
              <w:t>=</w:t>
            </w:r>
            <w:r w:rsidR="00BE3E48" w:rsidRPr="00296D0C">
              <w:t xml:space="preserve"> </w:t>
            </w:r>
            <w:r w:rsidRPr="00296D0C">
              <w:t>2</w:t>
            </w:r>
          </w:p>
        </w:tc>
        <w:tc>
          <w:tcPr>
            <w:tcW w:w="1534" w:type="dxa"/>
          </w:tcPr>
          <w:p w14:paraId="5A3AE410" w14:textId="77777777" w:rsidR="00DB5BA7" w:rsidRPr="00296D0C" w:rsidRDefault="00DB5BA7" w:rsidP="00DB5BA7">
            <w:r w:rsidRPr="00296D0C">
              <w:t>3</w:t>
            </w:r>
          </w:p>
        </w:tc>
      </w:tr>
      <w:tr w:rsidR="00DB5BA7" w:rsidRPr="00296D0C" w14:paraId="0B8882BE" w14:textId="77777777" w:rsidTr="00E947B0">
        <w:trPr>
          <w:trHeight w:val="553"/>
        </w:trPr>
        <w:tc>
          <w:tcPr>
            <w:tcW w:w="1053" w:type="dxa"/>
          </w:tcPr>
          <w:p w14:paraId="220AE5C3" w14:textId="77777777" w:rsidR="00DB5BA7" w:rsidRPr="00296D0C" w:rsidRDefault="00DB5BA7" w:rsidP="00DB5BA7">
            <w:r w:rsidRPr="00296D0C">
              <w:t>15</w:t>
            </w:r>
          </w:p>
        </w:tc>
        <w:tc>
          <w:tcPr>
            <w:tcW w:w="955" w:type="dxa"/>
          </w:tcPr>
          <w:p w14:paraId="171D33F2" w14:textId="77777777" w:rsidR="00DB5BA7" w:rsidRPr="00296D0C" w:rsidRDefault="00DB5BA7" w:rsidP="00DB5BA7">
            <w:r w:rsidRPr="00296D0C">
              <w:t xml:space="preserve">1 </w:t>
            </w:r>
          </w:p>
        </w:tc>
        <w:tc>
          <w:tcPr>
            <w:tcW w:w="1560" w:type="dxa"/>
          </w:tcPr>
          <w:p w14:paraId="565E970A" w14:textId="77777777" w:rsidR="00DB5BA7" w:rsidRPr="00296D0C" w:rsidRDefault="00DB5BA7" w:rsidP="00DB5BA7">
            <w:r w:rsidRPr="00296D0C">
              <w:t>&gt;19%</w:t>
            </w:r>
          </w:p>
        </w:tc>
        <w:tc>
          <w:tcPr>
            <w:tcW w:w="1322" w:type="dxa"/>
          </w:tcPr>
          <w:p w14:paraId="05D54975" w14:textId="77777777" w:rsidR="00DB5BA7" w:rsidRPr="00296D0C" w:rsidRDefault="00DB5BA7" w:rsidP="00DB5BA7">
            <w:r w:rsidRPr="00296D0C">
              <w:t>Rural</w:t>
            </w:r>
          </w:p>
        </w:tc>
        <w:tc>
          <w:tcPr>
            <w:tcW w:w="2283" w:type="dxa"/>
          </w:tcPr>
          <w:p w14:paraId="626FB36A" w14:textId="27FEAD74" w:rsidR="00DB5BA7" w:rsidRPr="00296D0C" w:rsidRDefault="00DB5BA7" w:rsidP="00DB5BA7">
            <w:pPr>
              <w:spacing w:after="0"/>
            </w:pPr>
            <w:r w:rsidRPr="00296D0C">
              <w:t>Head</w:t>
            </w:r>
            <w:r w:rsidR="00BE3E48" w:rsidRPr="00296D0C">
              <w:t xml:space="preserve"> </w:t>
            </w:r>
            <w:r w:rsidRPr="00296D0C">
              <w:t>=</w:t>
            </w:r>
            <w:r w:rsidR="00BE3E48" w:rsidRPr="00296D0C">
              <w:t xml:space="preserve"> </w:t>
            </w:r>
            <w:r w:rsidRPr="00296D0C">
              <w:t>3, Teacher</w:t>
            </w:r>
            <w:r w:rsidR="00BE3E48" w:rsidRPr="00296D0C">
              <w:t xml:space="preserve"> </w:t>
            </w:r>
            <w:r w:rsidRPr="00296D0C">
              <w:t>=</w:t>
            </w:r>
            <w:r w:rsidR="00BE3E48" w:rsidRPr="00296D0C">
              <w:t xml:space="preserve"> </w:t>
            </w:r>
            <w:r w:rsidRPr="00296D0C">
              <w:t>3, Admin</w:t>
            </w:r>
            <w:r w:rsidR="00BE3E48" w:rsidRPr="00296D0C">
              <w:t xml:space="preserve"> </w:t>
            </w:r>
            <w:r w:rsidRPr="00296D0C">
              <w:t>=</w:t>
            </w:r>
            <w:r w:rsidR="00BE3E48" w:rsidRPr="00296D0C">
              <w:t xml:space="preserve"> </w:t>
            </w:r>
            <w:r w:rsidRPr="00296D0C">
              <w:t>3</w:t>
            </w:r>
          </w:p>
        </w:tc>
        <w:tc>
          <w:tcPr>
            <w:tcW w:w="1534" w:type="dxa"/>
          </w:tcPr>
          <w:p w14:paraId="7242E643" w14:textId="77777777" w:rsidR="00DB5BA7" w:rsidRPr="00296D0C" w:rsidRDefault="00DB5BA7" w:rsidP="00DB5BA7">
            <w:r w:rsidRPr="00296D0C">
              <w:t>9</w:t>
            </w:r>
          </w:p>
        </w:tc>
      </w:tr>
      <w:tr w:rsidR="00DB5BA7" w:rsidRPr="00296D0C" w14:paraId="28E60530" w14:textId="77777777" w:rsidTr="00E947B0">
        <w:trPr>
          <w:trHeight w:val="547"/>
        </w:trPr>
        <w:tc>
          <w:tcPr>
            <w:tcW w:w="1053" w:type="dxa"/>
          </w:tcPr>
          <w:p w14:paraId="0F0C63CE" w14:textId="77777777" w:rsidR="00DB5BA7" w:rsidRPr="00296D0C" w:rsidRDefault="00DB5BA7" w:rsidP="00DB5BA7">
            <w:r w:rsidRPr="00296D0C">
              <w:t>16</w:t>
            </w:r>
          </w:p>
        </w:tc>
        <w:tc>
          <w:tcPr>
            <w:tcW w:w="955" w:type="dxa"/>
          </w:tcPr>
          <w:p w14:paraId="695D92D3" w14:textId="77777777" w:rsidR="00DB5BA7" w:rsidRPr="00296D0C" w:rsidRDefault="00DB5BA7" w:rsidP="00DB5BA7">
            <w:r w:rsidRPr="00296D0C">
              <w:t xml:space="preserve">3 </w:t>
            </w:r>
          </w:p>
        </w:tc>
        <w:tc>
          <w:tcPr>
            <w:tcW w:w="1560" w:type="dxa"/>
          </w:tcPr>
          <w:p w14:paraId="45D6A34F" w14:textId="77777777" w:rsidR="00DB5BA7" w:rsidRPr="00296D0C" w:rsidRDefault="00DB5BA7" w:rsidP="00DB5BA7">
            <w:r w:rsidRPr="00296D0C">
              <w:t>&lt;19%</w:t>
            </w:r>
          </w:p>
        </w:tc>
        <w:tc>
          <w:tcPr>
            <w:tcW w:w="1322" w:type="dxa"/>
          </w:tcPr>
          <w:p w14:paraId="5643F4CD" w14:textId="77777777" w:rsidR="00DB5BA7" w:rsidRPr="00296D0C" w:rsidRDefault="00DB5BA7" w:rsidP="00DB5BA7">
            <w:r w:rsidRPr="00296D0C">
              <w:t>Urban</w:t>
            </w:r>
          </w:p>
        </w:tc>
        <w:tc>
          <w:tcPr>
            <w:tcW w:w="2283" w:type="dxa"/>
          </w:tcPr>
          <w:p w14:paraId="081333EB" w14:textId="1CB554B2" w:rsidR="00DB5BA7" w:rsidRPr="00296D0C" w:rsidRDefault="00DB5BA7" w:rsidP="00DB5BA7">
            <w:pPr>
              <w:spacing w:after="0"/>
            </w:pPr>
            <w:r w:rsidRPr="00296D0C">
              <w:t>Head</w:t>
            </w:r>
            <w:r w:rsidR="00BE3E48" w:rsidRPr="00296D0C">
              <w:t xml:space="preserve"> </w:t>
            </w:r>
            <w:r w:rsidRPr="00296D0C">
              <w:t>=</w:t>
            </w:r>
            <w:r w:rsidR="00BE3E48" w:rsidRPr="00296D0C">
              <w:t xml:space="preserve"> </w:t>
            </w:r>
            <w:r w:rsidRPr="00296D0C">
              <w:t>2, Teacher</w:t>
            </w:r>
            <w:r w:rsidR="00BE3E48" w:rsidRPr="00296D0C">
              <w:t xml:space="preserve"> </w:t>
            </w:r>
            <w:r w:rsidRPr="00296D0C">
              <w:t>=</w:t>
            </w:r>
            <w:r w:rsidR="00BE3E48" w:rsidRPr="00296D0C">
              <w:t xml:space="preserve"> </w:t>
            </w:r>
            <w:r w:rsidRPr="00296D0C">
              <w:t>2, Admin</w:t>
            </w:r>
            <w:r w:rsidR="00BE3E48" w:rsidRPr="00296D0C">
              <w:t xml:space="preserve"> </w:t>
            </w:r>
            <w:r w:rsidRPr="00296D0C">
              <w:t>=</w:t>
            </w:r>
            <w:r w:rsidR="00BE3E48" w:rsidRPr="00296D0C">
              <w:t xml:space="preserve"> </w:t>
            </w:r>
            <w:r w:rsidRPr="00296D0C">
              <w:t>2</w:t>
            </w:r>
          </w:p>
        </w:tc>
        <w:tc>
          <w:tcPr>
            <w:tcW w:w="1534" w:type="dxa"/>
          </w:tcPr>
          <w:p w14:paraId="63BB70DF" w14:textId="77777777" w:rsidR="00DB5BA7" w:rsidRPr="00296D0C" w:rsidRDefault="00DB5BA7" w:rsidP="00DB5BA7">
            <w:r w:rsidRPr="00296D0C">
              <w:t>6</w:t>
            </w:r>
          </w:p>
        </w:tc>
      </w:tr>
    </w:tbl>
    <w:p w14:paraId="69E2D8EA" w14:textId="77777777" w:rsidR="00F92033" w:rsidRPr="00296D0C" w:rsidRDefault="00F92033" w:rsidP="00DB5BA7">
      <w:pPr>
        <w:spacing w:line="360" w:lineRule="auto"/>
        <w:rPr>
          <w:rFonts w:cs="Arial"/>
          <w:noProof/>
        </w:rPr>
      </w:pPr>
    </w:p>
    <w:p w14:paraId="7BFFE48F" w14:textId="77777777" w:rsidR="00E947B0" w:rsidRDefault="00E947B0" w:rsidP="00DB5BA7">
      <w:pPr>
        <w:spacing w:line="360" w:lineRule="auto"/>
        <w:rPr>
          <w:rFonts w:cs="Arial"/>
          <w:b/>
          <w:noProof/>
        </w:rPr>
      </w:pPr>
    </w:p>
    <w:p w14:paraId="22F04141" w14:textId="77777777" w:rsidR="00E947B0" w:rsidRDefault="00E947B0" w:rsidP="00DB5BA7">
      <w:pPr>
        <w:spacing w:line="360" w:lineRule="auto"/>
        <w:rPr>
          <w:rFonts w:cs="Arial"/>
          <w:b/>
          <w:noProof/>
        </w:rPr>
      </w:pPr>
    </w:p>
    <w:p w14:paraId="56CEB73B" w14:textId="77777777" w:rsidR="00E947B0" w:rsidRDefault="00DB5BA7" w:rsidP="00E947B0">
      <w:pPr>
        <w:spacing w:after="0" w:line="360" w:lineRule="auto"/>
        <w:rPr>
          <w:rFonts w:cs="Arial"/>
          <w:b/>
          <w:noProof/>
        </w:rPr>
      </w:pPr>
      <w:r w:rsidRPr="00296D0C">
        <w:rPr>
          <w:rFonts w:cs="Arial"/>
          <w:b/>
          <w:noProof/>
        </w:rPr>
        <w:t>Teacher engagement</w:t>
      </w:r>
    </w:p>
    <w:p w14:paraId="209FA010" w14:textId="239023FB" w:rsidR="00DB5BA7" w:rsidRPr="00296D0C" w:rsidRDefault="00DB5BA7" w:rsidP="00E947B0">
      <w:pPr>
        <w:spacing w:after="0" w:line="360" w:lineRule="auto"/>
        <w:rPr>
          <w:rFonts w:cs="Arial"/>
          <w:i/>
          <w:noProof/>
        </w:rPr>
      </w:pPr>
      <w:r w:rsidRPr="00296D0C">
        <w:rPr>
          <w:rFonts w:cs="Arial"/>
          <w:noProof/>
        </w:rPr>
        <w:t xml:space="preserve">Regardless of the HeLP Coordinator’s perception of teacher engagement (see table </w:t>
      </w:r>
      <w:r w:rsidR="00D80862">
        <w:rPr>
          <w:rFonts w:cs="Arial"/>
          <w:noProof/>
        </w:rPr>
        <w:t>40</w:t>
      </w:r>
      <w:r w:rsidRPr="00296D0C">
        <w:rPr>
          <w:rFonts w:cs="Arial"/>
          <w:noProof/>
        </w:rPr>
        <w:t>)</w:t>
      </w:r>
      <w:r w:rsidR="006A7C59" w:rsidRPr="00296D0C">
        <w:rPr>
          <w:rFonts w:cs="Arial"/>
          <w:noProof/>
        </w:rPr>
        <w:t xml:space="preserve"> </w:t>
      </w:r>
      <w:r w:rsidRPr="00296D0C">
        <w:rPr>
          <w:rFonts w:cs="Arial"/>
          <w:noProof/>
        </w:rPr>
        <w:t xml:space="preserve">all Year 5 teachers spoke positively about </w:t>
      </w:r>
      <w:r w:rsidR="00FE6FD2" w:rsidRPr="00296D0C">
        <w:rPr>
          <w:rFonts w:cs="Arial"/>
          <w:noProof/>
        </w:rPr>
        <w:t xml:space="preserve">the </w:t>
      </w:r>
      <w:r w:rsidR="009D57AD">
        <w:rPr>
          <w:rFonts w:cs="Arial"/>
          <w:noProof/>
        </w:rPr>
        <w:t>p</w:t>
      </w:r>
      <w:r w:rsidR="00FE6FD2" w:rsidRPr="00296D0C">
        <w:rPr>
          <w:rFonts w:cs="Arial"/>
          <w:noProof/>
        </w:rPr>
        <w:t>rogramme</w:t>
      </w:r>
      <w:r w:rsidRPr="00296D0C">
        <w:rPr>
          <w:rFonts w:cs="Arial"/>
          <w:noProof/>
        </w:rPr>
        <w:t xml:space="preserve"> in the interviews and there was strong evidence that teacher’s were engaged w</w:t>
      </w:r>
      <w:r w:rsidR="00F04AC9" w:rsidRPr="00296D0C">
        <w:rPr>
          <w:rFonts w:cs="Arial"/>
          <w:noProof/>
        </w:rPr>
        <w:t xml:space="preserve">ith it. Many believed that </w:t>
      </w:r>
      <w:r w:rsidR="00FE6FD2" w:rsidRPr="00296D0C">
        <w:rPr>
          <w:rFonts w:cs="Arial"/>
          <w:noProof/>
        </w:rPr>
        <w:t xml:space="preserve">the </w:t>
      </w:r>
      <w:r w:rsidR="009D57AD">
        <w:rPr>
          <w:rFonts w:cs="Arial"/>
          <w:noProof/>
        </w:rPr>
        <w:t>p</w:t>
      </w:r>
      <w:r w:rsidR="00FE6FD2" w:rsidRPr="00296D0C">
        <w:rPr>
          <w:rFonts w:cs="Arial"/>
          <w:noProof/>
        </w:rPr>
        <w:t>rogramme</w:t>
      </w:r>
      <w:r w:rsidR="00F04AC9" w:rsidRPr="00296D0C">
        <w:rPr>
          <w:rFonts w:cs="Arial"/>
          <w:noProof/>
        </w:rPr>
        <w:t xml:space="preserve">’s </w:t>
      </w:r>
      <w:r w:rsidRPr="00296D0C">
        <w:rPr>
          <w:rFonts w:cs="Arial"/>
          <w:noProof/>
        </w:rPr>
        <w:t xml:space="preserve">compatibility with the National Curriculum made it feasible to deliver and helped reinforce healthy lifestyle messages that the curriculum already promotes. All teachers reported that the </w:t>
      </w:r>
      <w:r w:rsidRPr="00296D0C">
        <w:t>HeLP Coordinator</w:t>
      </w:r>
      <w:r w:rsidRPr="00296D0C">
        <w:rPr>
          <w:rFonts w:cs="Arial"/>
          <w:noProof/>
        </w:rPr>
        <w:t xml:space="preserve"> assigned to their school provided excellent ongoing support, which really helped in the delivery of </w:t>
      </w:r>
      <w:r w:rsidR="00FE6FD2" w:rsidRPr="00296D0C">
        <w:rPr>
          <w:rFonts w:cs="Arial"/>
          <w:noProof/>
        </w:rPr>
        <w:t xml:space="preserve">the </w:t>
      </w:r>
      <w:r w:rsidR="009D57AD">
        <w:rPr>
          <w:rFonts w:cs="Arial"/>
          <w:noProof/>
        </w:rPr>
        <w:t>p</w:t>
      </w:r>
      <w:r w:rsidR="00FE6FD2" w:rsidRPr="00296D0C">
        <w:rPr>
          <w:rFonts w:cs="Arial"/>
          <w:noProof/>
        </w:rPr>
        <w:t>rogramme</w:t>
      </w:r>
      <w:r w:rsidRPr="00296D0C">
        <w:rPr>
          <w:rFonts w:cs="Arial"/>
          <w:noProof/>
        </w:rPr>
        <w:t xml:space="preserve">. </w:t>
      </w:r>
      <w:r w:rsidRPr="00296D0C">
        <w:rPr>
          <w:rFonts w:cs="Arial"/>
          <w:i/>
          <w:noProof/>
        </w:rPr>
        <w:t xml:space="preserve"> </w:t>
      </w:r>
    </w:p>
    <w:p w14:paraId="26CC511E" w14:textId="77777777" w:rsidR="00DB5BA7" w:rsidRPr="00296D0C" w:rsidRDefault="00DB5BA7" w:rsidP="00E947B0">
      <w:pPr>
        <w:spacing w:after="0" w:line="360" w:lineRule="auto"/>
        <w:ind w:left="720"/>
        <w:rPr>
          <w:rFonts w:cs="Arial"/>
          <w:i/>
          <w:noProof/>
        </w:rPr>
      </w:pPr>
      <w:r w:rsidRPr="00296D0C">
        <w:rPr>
          <w:rFonts w:cs="Arial"/>
          <w:i/>
          <w:noProof/>
        </w:rPr>
        <w:t>‘She’s [</w:t>
      </w:r>
      <w:r w:rsidRPr="00296D0C">
        <w:rPr>
          <w:i/>
        </w:rPr>
        <w:t>HeLP Coordinator</w:t>
      </w:r>
      <w:r w:rsidRPr="00296D0C">
        <w:rPr>
          <w:rFonts w:cs="Arial"/>
          <w:i/>
          <w:noProof/>
        </w:rPr>
        <w:t>] ever so good, she’s obviously worked with teachers quite a lot I think, she knows how it is. I don’t have to say ‘oh because we’re doing this’ she says ‘oh yeah yeah I realise so you know she’s really really good at fitting the scheme, we’re trying to fit in with you and she helped fit in with us so you know it worked really well. That flexibility is really important and you know she’s brilliant and she knows her stuff and she knows… I’ve been really impressed she’s been brilliant, really helpful and ever so amenable. We’ve had children with possible problems with their eating and you know she was brilliant talking to the parents……… nothing was too much trouble it was like ‘oh yeah I’ll sit down and chat with them’ and she was brilliant when she was sort of talking to the parents and I think it is really important that you have that point of contact. For me it was so easy that I could you know send an email or [</w:t>
      </w:r>
      <w:r w:rsidRPr="00296D0C">
        <w:rPr>
          <w:i/>
        </w:rPr>
        <w:t>HeLP Coordinator</w:t>
      </w:r>
      <w:r w:rsidRPr="00296D0C">
        <w:rPr>
          <w:rFonts w:cs="Arial"/>
          <w:i/>
          <w:noProof/>
        </w:rPr>
        <w:t xml:space="preserve">] would email me and I could email back and you know that’s really really useful and very good and helps the thing run really well.’ </w:t>
      </w:r>
      <w:r w:rsidRPr="00296D0C">
        <w:rPr>
          <w:rFonts w:cs="Arial"/>
          <w:b/>
          <w:noProof/>
        </w:rPr>
        <w:t>(T, school 15)</w:t>
      </w:r>
    </w:p>
    <w:p w14:paraId="72B219CF" w14:textId="77777777" w:rsidR="00E947B0" w:rsidRDefault="00E947B0" w:rsidP="00E947B0">
      <w:pPr>
        <w:spacing w:after="0" w:line="360" w:lineRule="auto"/>
        <w:rPr>
          <w:rFonts w:cs="Arial"/>
          <w:noProof/>
        </w:rPr>
      </w:pPr>
    </w:p>
    <w:p w14:paraId="0750B46F" w14:textId="77777777" w:rsidR="00DB5BA7" w:rsidRPr="00296D0C" w:rsidRDefault="00DB5BA7" w:rsidP="00E947B0">
      <w:pPr>
        <w:spacing w:after="0" w:line="360" w:lineRule="auto"/>
        <w:rPr>
          <w:rFonts w:cs="Arial"/>
          <w:i/>
          <w:noProof/>
        </w:rPr>
      </w:pPr>
      <w:r w:rsidRPr="00296D0C">
        <w:rPr>
          <w:rFonts w:cs="Arial"/>
          <w:noProof/>
        </w:rPr>
        <w:t>Many teachers commented that the way in which the lessons were delivered and the personnel used for delivery really helped the children think more deeply about their health and how they can make small achievable changes to their eating and actvity behaviours.</w:t>
      </w:r>
    </w:p>
    <w:p w14:paraId="3E26B335" w14:textId="6851AEAD" w:rsidR="00DB5BA7" w:rsidRPr="00296D0C" w:rsidRDefault="00DB5BA7" w:rsidP="00E947B0">
      <w:pPr>
        <w:spacing w:after="0" w:line="360" w:lineRule="auto"/>
        <w:ind w:left="357"/>
        <w:rPr>
          <w:rFonts w:cs="Arial"/>
          <w:i/>
          <w:noProof/>
        </w:rPr>
      </w:pPr>
      <w:r w:rsidRPr="00296D0C">
        <w:rPr>
          <w:rFonts w:cs="Arial"/>
          <w:i/>
          <w:noProof/>
        </w:rPr>
        <w:t>‘ I think they really engaged with those lessons. You know I was thinking about some of the messages that were coming across from the actors, when we had the actors come in for that week you know we tell them those messages all the time and they don’t sink in as much as they did then. And I think that coming from a younger perspective, the street dance obviously and [name of sports group</w:t>
      </w:r>
      <w:r w:rsidR="00586B44">
        <w:rPr>
          <w:rFonts w:cs="Arial"/>
          <w:i/>
          <w:noProof/>
        </w:rPr>
        <w:t>]</w:t>
      </w:r>
      <w:r w:rsidRPr="00296D0C">
        <w:rPr>
          <w:rFonts w:cs="Arial"/>
          <w:i/>
          <w:noProof/>
        </w:rPr>
        <w:t xml:space="preserve"> you know they nailed it really. Yeah they loved that and yeah I think you know its one thing having, I’ve got great relationships with the kids we all have but its one thing having Mrs xxxxx tell them this and its quite another thing to experience it from younger people, or people they perceive to be younger. The actors were teenagers and they loved them. So yeah I think it had a deeper impact because it came from a different perspective. Than their parents or their teachers really.</w:t>
      </w:r>
      <w:r w:rsidRPr="00296D0C">
        <w:rPr>
          <w:rFonts w:cs="Arial"/>
          <w:noProof/>
        </w:rPr>
        <w:t>’</w:t>
      </w:r>
      <w:r w:rsidRPr="00296D0C">
        <w:rPr>
          <w:rFonts w:cs="Arial"/>
          <w:b/>
          <w:noProof/>
        </w:rPr>
        <w:t xml:space="preserve"> (T, school 11)</w:t>
      </w:r>
    </w:p>
    <w:p w14:paraId="6DB5CA86" w14:textId="77777777" w:rsidR="00DB5BA7" w:rsidRPr="00296D0C" w:rsidRDefault="00DB5BA7" w:rsidP="00DB5BA7">
      <w:pPr>
        <w:spacing w:after="0" w:line="360" w:lineRule="auto"/>
        <w:rPr>
          <w:b/>
        </w:rPr>
      </w:pPr>
    </w:p>
    <w:p w14:paraId="6BD272D5" w14:textId="3595124F" w:rsidR="00DB5BA7" w:rsidRDefault="00DB5BA7" w:rsidP="00E947B0">
      <w:pPr>
        <w:spacing w:after="0" w:line="360" w:lineRule="auto"/>
        <w:ind w:left="720"/>
        <w:contextualSpacing/>
        <w:rPr>
          <w:b/>
          <w:i/>
        </w:rPr>
      </w:pPr>
      <w:r w:rsidRPr="00296D0C">
        <w:rPr>
          <w:b/>
          <w:i/>
        </w:rPr>
        <w:t xml:space="preserve">Research Question </w:t>
      </w:r>
      <w:r w:rsidR="00F21C70" w:rsidRPr="00296D0C">
        <w:rPr>
          <w:b/>
          <w:i/>
        </w:rPr>
        <w:t>4</w:t>
      </w:r>
      <w:r w:rsidRPr="00296D0C">
        <w:rPr>
          <w:b/>
          <w:i/>
        </w:rPr>
        <w:t>. How were the attempts to change behaviours experienced by the children?</w:t>
      </w:r>
    </w:p>
    <w:p w14:paraId="32EC4122" w14:textId="77777777" w:rsidR="00E947B0" w:rsidRPr="00E947B0" w:rsidRDefault="00E947B0" w:rsidP="00E947B0">
      <w:pPr>
        <w:spacing w:after="0" w:line="360" w:lineRule="auto"/>
        <w:ind w:left="720"/>
        <w:contextualSpacing/>
        <w:rPr>
          <w:b/>
          <w:i/>
        </w:rPr>
      </w:pPr>
    </w:p>
    <w:p w14:paraId="038C518A" w14:textId="087908BF" w:rsidR="00DB5BA7" w:rsidRPr="00296D0C" w:rsidRDefault="00DB5BA7" w:rsidP="00DB5BA7">
      <w:pPr>
        <w:spacing w:line="360" w:lineRule="auto"/>
      </w:pPr>
      <w:r w:rsidRPr="00296D0C">
        <w:t xml:space="preserve">Whereas </w:t>
      </w:r>
      <w:r w:rsidR="002D2C8D" w:rsidRPr="00296D0C">
        <w:t>P</w:t>
      </w:r>
      <w:r w:rsidRPr="00296D0C">
        <w:t xml:space="preserve">hase 1 and </w:t>
      </w:r>
      <w:r w:rsidR="002D2C8D" w:rsidRPr="00296D0C">
        <w:t xml:space="preserve">Phase </w:t>
      </w:r>
      <w:r w:rsidRPr="00296D0C">
        <w:t>2 of the HeLP intervention focused on introducing the messages and engaging children and parents with how changes could be made using the creative delivery methods discussed in section</w:t>
      </w:r>
      <w:r w:rsidR="00F21C70" w:rsidRPr="00296D0C">
        <w:t xml:space="preserve"> 2.1.5,</w:t>
      </w:r>
      <w:r w:rsidRPr="00296D0C">
        <w:t xml:space="preserve"> Phase 3 focussed on the children setting personalised goals around the key messages. </w:t>
      </w:r>
    </w:p>
    <w:p w14:paraId="3920CDDC" w14:textId="6BC10928" w:rsidR="00DB5BA7" w:rsidRPr="00296D0C" w:rsidRDefault="00DB5BA7" w:rsidP="00DB5BA7">
      <w:pPr>
        <w:spacing w:after="0" w:line="360" w:lineRule="auto"/>
      </w:pPr>
      <w:r w:rsidRPr="00296D0C">
        <w:t>Ninety six percent  of children set goal</w:t>
      </w:r>
      <w:r w:rsidR="00E947B0">
        <w:t>s with the HeLP Coordinator in P</w:t>
      </w:r>
      <w:r w:rsidRPr="00296D0C">
        <w:t xml:space="preserve">hase 3 and of these children 63% had parental support, which was indicated by a parent signature on the goal setting sheet and/or written comments regarding how the parent would support the child in achieving their goals. Children were encouraged to set three goals based on snacking, fizzy drink consumption and physical activity, depending upon where they needed to make changes. Table </w:t>
      </w:r>
      <w:r w:rsidR="00BF1454" w:rsidRPr="00296D0C">
        <w:t>4</w:t>
      </w:r>
      <w:r w:rsidR="00D80862">
        <w:t>1</w:t>
      </w:r>
      <w:r w:rsidRPr="00296D0C">
        <w:t xml:space="preserve"> shows the </w:t>
      </w:r>
      <w:r w:rsidR="00F51A84" w:rsidRPr="00296D0C">
        <w:t>number and percent of goals set for each target behaviour by gender</w:t>
      </w:r>
      <w:r w:rsidRPr="00296D0C">
        <w:t>.</w:t>
      </w:r>
    </w:p>
    <w:p w14:paraId="78128AE7" w14:textId="77777777" w:rsidR="00F51A84" w:rsidRPr="00296D0C" w:rsidRDefault="00F51A84" w:rsidP="00DB5BA7">
      <w:pPr>
        <w:spacing w:after="0" w:line="360" w:lineRule="auto"/>
      </w:pPr>
    </w:p>
    <w:p w14:paraId="3A8649A3" w14:textId="67892D7A" w:rsidR="00DB5BA7" w:rsidRPr="00296D0C" w:rsidRDefault="00DB5BA7" w:rsidP="00DB5BA7">
      <w:pPr>
        <w:spacing w:line="360" w:lineRule="auto"/>
        <w:rPr>
          <w:rFonts w:cs="Arial"/>
          <w:b/>
          <w:noProof/>
        </w:rPr>
      </w:pPr>
      <w:r w:rsidRPr="00296D0C">
        <w:rPr>
          <w:rFonts w:cs="Arial"/>
          <w:b/>
          <w:noProof/>
        </w:rPr>
        <w:t>T</w:t>
      </w:r>
      <w:r w:rsidR="00BF1454" w:rsidRPr="00296D0C">
        <w:rPr>
          <w:rFonts w:cs="Arial"/>
          <w:b/>
          <w:noProof/>
        </w:rPr>
        <w:t>ABLE</w:t>
      </w:r>
      <w:r w:rsidRPr="00296D0C">
        <w:rPr>
          <w:rFonts w:cs="Arial"/>
          <w:b/>
          <w:noProof/>
        </w:rPr>
        <w:t xml:space="preserve"> </w:t>
      </w:r>
      <w:r w:rsidR="00BF1454" w:rsidRPr="00296D0C">
        <w:rPr>
          <w:rFonts w:cs="Arial"/>
          <w:b/>
          <w:noProof/>
        </w:rPr>
        <w:t>4</w:t>
      </w:r>
      <w:r w:rsidR="00D80862">
        <w:rPr>
          <w:rFonts w:cs="Arial"/>
          <w:b/>
          <w:noProof/>
        </w:rPr>
        <w:t>1</w:t>
      </w:r>
      <w:r w:rsidRPr="00296D0C">
        <w:rPr>
          <w:rFonts w:cs="Arial"/>
          <w:b/>
          <w:noProof/>
        </w:rPr>
        <w:t xml:space="preserve"> </w:t>
      </w:r>
      <w:r w:rsidR="00F51A84" w:rsidRPr="00296D0C">
        <w:rPr>
          <w:rFonts w:cs="Arial"/>
          <w:b/>
          <w:noProof/>
        </w:rPr>
        <w:t xml:space="preserve">Number and </w:t>
      </w:r>
      <w:r w:rsidR="006A5A04" w:rsidRPr="00296D0C">
        <w:rPr>
          <w:b/>
          <w:color w:val="000000"/>
        </w:rPr>
        <w:t>percent</w:t>
      </w:r>
      <w:r w:rsidR="00F51A84" w:rsidRPr="00296D0C">
        <w:rPr>
          <w:b/>
          <w:color w:val="000000"/>
        </w:rPr>
        <w:t xml:space="preserve"> of</w:t>
      </w:r>
      <w:r w:rsidRPr="00296D0C">
        <w:rPr>
          <w:b/>
          <w:color w:val="000000"/>
        </w:rPr>
        <w:t xml:space="preserve"> </w:t>
      </w:r>
      <w:r w:rsidR="00F51A84" w:rsidRPr="00296D0C">
        <w:rPr>
          <w:b/>
          <w:color w:val="000000"/>
        </w:rPr>
        <w:t>goals</w:t>
      </w:r>
      <w:r w:rsidR="00DC1DBA" w:rsidRPr="00296D0C">
        <w:rPr>
          <w:b/>
          <w:color w:val="000000"/>
        </w:rPr>
        <w:t>*</w:t>
      </w:r>
      <w:r w:rsidRPr="00296D0C">
        <w:rPr>
          <w:b/>
          <w:color w:val="000000"/>
        </w:rPr>
        <w:t xml:space="preserve"> set</w:t>
      </w:r>
      <w:r w:rsidR="00F57886" w:rsidRPr="00296D0C">
        <w:rPr>
          <w:b/>
          <w:color w:val="000000"/>
        </w:rPr>
        <w:t xml:space="preserve"> for each target behaviour </w:t>
      </w:r>
      <w:r w:rsidRPr="00296D0C">
        <w:rPr>
          <w:b/>
          <w:color w:val="000000"/>
        </w:rPr>
        <w:t>by gender</w:t>
      </w:r>
    </w:p>
    <w:tbl>
      <w:tblPr>
        <w:tblW w:w="6820" w:type="dxa"/>
        <w:tblCellMar>
          <w:left w:w="0" w:type="dxa"/>
          <w:right w:w="0" w:type="dxa"/>
        </w:tblCellMar>
        <w:tblLook w:val="04A0" w:firstRow="1" w:lastRow="0" w:firstColumn="1" w:lastColumn="0" w:noHBand="0" w:noVBand="1"/>
      </w:tblPr>
      <w:tblGrid>
        <w:gridCol w:w="6820"/>
      </w:tblGrid>
      <w:tr w:rsidR="00DB5BA7" w:rsidRPr="00296D0C" w14:paraId="3068C3F2" w14:textId="77777777" w:rsidTr="00DB5BA7">
        <w:trPr>
          <w:trHeight w:val="315"/>
        </w:trPr>
        <w:tc>
          <w:tcPr>
            <w:tcW w:w="6820" w:type="dxa"/>
            <w:noWrap/>
            <w:tcMar>
              <w:top w:w="0" w:type="dxa"/>
              <w:left w:w="108" w:type="dxa"/>
              <w:bottom w:w="0" w:type="dxa"/>
              <w:right w:w="108" w:type="dxa"/>
            </w:tcMar>
            <w:vAlign w:val="center"/>
            <w:hideMark/>
          </w:tcPr>
          <w:tbl>
            <w:tblPr>
              <w:tblStyle w:val="TableGrid"/>
              <w:tblW w:w="0" w:type="auto"/>
              <w:tblLook w:val="04A0" w:firstRow="1" w:lastRow="0" w:firstColumn="1" w:lastColumn="0" w:noHBand="0" w:noVBand="1"/>
            </w:tblPr>
            <w:tblGrid>
              <w:gridCol w:w="2196"/>
              <w:gridCol w:w="1485"/>
              <w:gridCol w:w="1701"/>
            </w:tblGrid>
            <w:tr w:rsidR="00DB5BA7" w:rsidRPr="00296D0C" w14:paraId="0E7F2E5E" w14:textId="77777777" w:rsidTr="00A90974">
              <w:tc>
                <w:tcPr>
                  <w:tcW w:w="2196" w:type="dxa"/>
                </w:tcPr>
                <w:p w14:paraId="4CC3CE73" w14:textId="77777777" w:rsidR="00DB5BA7" w:rsidRPr="00296D0C" w:rsidRDefault="00DB5BA7" w:rsidP="00DB5BA7">
                  <w:pPr>
                    <w:rPr>
                      <w:b/>
                      <w:color w:val="000000"/>
                    </w:rPr>
                  </w:pPr>
                  <w:r w:rsidRPr="00296D0C">
                    <w:rPr>
                      <w:b/>
                      <w:color w:val="000000"/>
                    </w:rPr>
                    <w:t>Goal Type</w:t>
                  </w:r>
                </w:p>
              </w:tc>
              <w:tc>
                <w:tcPr>
                  <w:tcW w:w="1485" w:type="dxa"/>
                </w:tcPr>
                <w:p w14:paraId="0ED4029F" w14:textId="09D17D86" w:rsidR="00DB5BA7" w:rsidRPr="00296D0C" w:rsidRDefault="00A90974" w:rsidP="00F51A84">
                  <w:pPr>
                    <w:rPr>
                      <w:b/>
                      <w:color w:val="000000"/>
                    </w:rPr>
                  </w:pPr>
                  <w:r w:rsidRPr="00296D0C">
                    <w:rPr>
                      <w:b/>
                      <w:color w:val="000000"/>
                    </w:rPr>
                    <w:t xml:space="preserve">Number </w:t>
                  </w:r>
                  <w:r w:rsidR="00F51A84" w:rsidRPr="00296D0C">
                    <w:rPr>
                      <w:b/>
                      <w:color w:val="000000"/>
                    </w:rPr>
                    <w:t>(percent)</w:t>
                  </w:r>
                  <w:r w:rsidRPr="00296D0C">
                    <w:rPr>
                      <w:b/>
                      <w:color w:val="000000"/>
                    </w:rPr>
                    <w:t xml:space="preserve"> of goals set by </w:t>
                  </w:r>
                  <w:r w:rsidR="00DB5BA7" w:rsidRPr="00296D0C">
                    <w:rPr>
                      <w:b/>
                      <w:color w:val="000000"/>
                    </w:rPr>
                    <w:t>Boy</w:t>
                  </w:r>
                  <w:r w:rsidRPr="00296D0C">
                    <w:rPr>
                      <w:b/>
                      <w:color w:val="000000"/>
                    </w:rPr>
                    <w:t>s</w:t>
                  </w:r>
                </w:p>
              </w:tc>
              <w:tc>
                <w:tcPr>
                  <w:tcW w:w="1701" w:type="dxa"/>
                </w:tcPr>
                <w:p w14:paraId="7675565D" w14:textId="54166D20" w:rsidR="00DB5BA7" w:rsidRPr="00296D0C" w:rsidRDefault="00EA454C" w:rsidP="00F51A84">
                  <w:pPr>
                    <w:rPr>
                      <w:b/>
                      <w:color w:val="000000"/>
                    </w:rPr>
                  </w:pPr>
                  <w:r w:rsidRPr="00296D0C">
                    <w:rPr>
                      <w:b/>
                      <w:color w:val="000000"/>
                    </w:rPr>
                    <w:t>Number (</w:t>
                  </w:r>
                  <w:r w:rsidR="00F51A84" w:rsidRPr="00296D0C">
                    <w:rPr>
                      <w:b/>
                      <w:color w:val="000000"/>
                    </w:rPr>
                    <w:t>percent</w:t>
                  </w:r>
                  <w:r w:rsidRPr="00296D0C">
                    <w:rPr>
                      <w:b/>
                      <w:color w:val="000000"/>
                    </w:rPr>
                    <w:t xml:space="preserve">) of goals set by </w:t>
                  </w:r>
                  <w:r w:rsidR="00DB5BA7" w:rsidRPr="00296D0C">
                    <w:rPr>
                      <w:b/>
                      <w:color w:val="000000"/>
                    </w:rPr>
                    <w:t>G</w:t>
                  </w:r>
                  <w:r w:rsidR="00A90974" w:rsidRPr="00296D0C">
                    <w:rPr>
                      <w:b/>
                      <w:color w:val="000000"/>
                    </w:rPr>
                    <w:t>irl</w:t>
                  </w:r>
                  <w:r w:rsidRPr="00296D0C">
                    <w:rPr>
                      <w:b/>
                      <w:color w:val="000000"/>
                    </w:rPr>
                    <w:t>s</w:t>
                  </w:r>
                </w:p>
              </w:tc>
            </w:tr>
            <w:tr w:rsidR="00DB5BA7" w:rsidRPr="00296D0C" w14:paraId="38EDDA18" w14:textId="77777777" w:rsidTr="00A90974">
              <w:tc>
                <w:tcPr>
                  <w:tcW w:w="2196" w:type="dxa"/>
                </w:tcPr>
                <w:p w14:paraId="402273F0" w14:textId="77777777" w:rsidR="00DB5BA7" w:rsidRPr="00296D0C" w:rsidRDefault="00DB5BA7" w:rsidP="00DB5BA7">
                  <w:pPr>
                    <w:rPr>
                      <w:color w:val="000000"/>
                    </w:rPr>
                  </w:pPr>
                  <w:r w:rsidRPr="00296D0C">
                    <w:rPr>
                      <w:color w:val="000000"/>
                    </w:rPr>
                    <w:t>Snacking</w:t>
                  </w:r>
                </w:p>
              </w:tc>
              <w:tc>
                <w:tcPr>
                  <w:tcW w:w="1485" w:type="dxa"/>
                </w:tcPr>
                <w:p w14:paraId="04C682FA" w14:textId="6E7F801D" w:rsidR="00DB5BA7" w:rsidRPr="00296D0C" w:rsidRDefault="00A90974" w:rsidP="00A90974">
                  <w:pPr>
                    <w:jc w:val="right"/>
                    <w:rPr>
                      <w:color w:val="000000"/>
                    </w:rPr>
                  </w:pPr>
                  <w:r w:rsidRPr="00296D0C">
                    <w:rPr>
                      <w:color w:val="000000"/>
                    </w:rPr>
                    <w:t>251 (</w:t>
                  </w:r>
                  <w:r w:rsidR="00DB5BA7" w:rsidRPr="00296D0C">
                    <w:rPr>
                      <w:color w:val="000000"/>
                    </w:rPr>
                    <w:t>26</w:t>
                  </w:r>
                  <w:r w:rsidRPr="00296D0C">
                    <w:rPr>
                      <w:color w:val="000000"/>
                    </w:rPr>
                    <w:t>)</w:t>
                  </w:r>
                </w:p>
              </w:tc>
              <w:tc>
                <w:tcPr>
                  <w:tcW w:w="1701" w:type="dxa"/>
                </w:tcPr>
                <w:p w14:paraId="4E9B5A8E" w14:textId="272686FB" w:rsidR="00DB5BA7" w:rsidRPr="00296D0C" w:rsidRDefault="00A90974" w:rsidP="00A90974">
                  <w:pPr>
                    <w:jc w:val="right"/>
                    <w:rPr>
                      <w:color w:val="000000"/>
                    </w:rPr>
                  </w:pPr>
                  <w:r w:rsidRPr="00296D0C">
                    <w:rPr>
                      <w:color w:val="000000"/>
                    </w:rPr>
                    <w:t>276 (2</w:t>
                  </w:r>
                  <w:r w:rsidR="00DB5BA7" w:rsidRPr="00296D0C">
                    <w:rPr>
                      <w:color w:val="000000"/>
                    </w:rPr>
                    <w:t>8</w:t>
                  </w:r>
                  <w:r w:rsidRPr="00296D0C">
                    <w:rPr>
                      <w:color w:val="000000"/>
                    </w:rPr>
                    <w:t>)</w:t>
                  </w:r>
                </w:p>
              </w:tc>
            </w:tr>
            <w:tr w:rsidR="00DB5BA7" w:rsidRPr="00296D0C" w14:paraId="6D9F163D" w14:textId="77777777" w:rsidTr="00A90974">
              <w:tc>
                <w:tcPr>
                  <w:tcW w:w="2196" w:type="dxa"/>
                </w:tcPr>
                <w:p w14:paraId="17D4A2C3" w14:textId="77777777" w:rsidR="00DB5BA7" w:rsidRPr="00296D0C" w:rsidRDefault="00DB5BA7" w:rsidP="00DB5BA7">
                  <w:pPr>
                    <w:rPr>
                      <w:color w:val="000000"/>
                    </w:rPr>
                  </w:pPr>
                  <w:r w:rsidRPr="00296D0C">
                    <w:rPr>
                      <w:color w:val="000000"/>
                    </w:rPr>
                    <w:t>Drinks</w:t>
                  </w:r>
                </w:p>
                <w:p w14:paraId="5374D6B9" w14:textId="77777777" w:rsidR="00DB5BA7" w:rsidRPr="00296D0C" w:rsidRDefault="00DB5BA7" w:rsidP="00403B07">
                  <w:pPr>
                    <w:numPr>
                      <w:ilvl w:val="0"/>
                      <w:numId w:val="17"/>
                    </w:numPr>
                    <w:contextualSpacing/>
                    <w:rPr>
                      <w:color w:val="000000"/>
                    </w:rPr>
                  </w:pPr>
                  <w:r w:rsidRPr="00296D0C">
                    <w:rPr>
                      <w:color w:val="000000"/>
                    </w:rPr>
                    <w:t>Fizzy</w:t>
                  </w:r>
                </w:p>
                <w:p w14:paraId="445E66C6" w14:textId="77777777" w:rsidR="00DB5BA7" w:rsidRPr="00296D0C" w:rsidRDefault="00DB5BA7" w:rsidP="00403B07">
                  <w:pPr>
                    <w:numPr>
                      <w:ilvl w:val="0"/>
                      <w:numId w:val="17"/>
                    </w:numPr>
                    <w:contextualSpacing/>
                    <w:rPr>
                      <w:color w:val="000000"/>
                    </w:rPr>
                  </w:pPr>
                  <w:r w:rsidRPr="00296D0C">
                    <w:rPr>
                      <w:color w:val="000000"/>
                    </w:rPr>
                    <w:t>Other</w:t>
                  </w:r>
                </w:p>
              </w:tc>
              <w:tc>
                <w:tcPr>
                  <w:tcW w:w="1485" w:type="dxa"/>
                </w:tcPr>
                <w:p w14:paraId="7499A586" w14:textId="77777777" w:rsidR="00DB5BA7" w:rsidRPr="00296D0C" w:rsidRDefault="00DB5BA7" w:rsidP="00A90974">
                  <w:pPr>
                    <w:jc w:val="right"/>
                    <w:rPr>
                      <w:color w:val="000000"/>
                    </w:rPr>
                  </w:pPr>
                </w:p>
                <w:p w14:paraId="456FFF97" w14:textId="6DFF5B70" w:rsidR="00DB5BA7" w:rsidRPr="00296D0C" w:rsidRDefault="00A90974" w:rsidP="00A90974">
                  <w:pPr>
                    <w:jc w:val="right"/>
                    <w:rPr>
                      <w:color w:val="000000"/>
                    </w:rPr>
                  </w:pPr>
                  <w:r w:rsidRPr="00296D0C">
                    <w:rPr>
                      <w:color w:val="000000"/>
                    </w:rPr>
                    <w:t>60 (</w:t>
                  </w:r>
                  <w:r w:rsidR="00DB5BA7" w:rsidRPr="00296D0C">
                    <w:rPr>
                      <w:color w:val="000000"/>
                    </w:rPr>
                    <w:t>6</w:t>
                  </w:r>
                  <w:r w:rsidRPr="00296D0C">
                    <w:rPr>
                      <w:color w:val="000000"/>
                    </w:rPr>
                    <w:t>)</w:t>
                  </w:r>
                </w:p>
                <w:p w14:paraId="74AD0BB5" w14:textId="486934DE" w:rsidR="00DB5BA7" w:rsidRPr="00296D0C" w:rsidRDefault="00A90974" w:rsidP="00A90974">
                  <w:pPr>
                    <w:jc w:val="right"/>
                    <w:rPr>
                      <w:color w:val="000000"/>
                    </w:rPr>
                  </w:pPr>
                  <w:r w:rsidRPr="00296D0C">
                    <w:rPr>
                      <w:color w:val="000000"/>
                    </w:rPr>
                    <w:t>8 (</w:t>
                  </w:r>
                  <w:r w:rsidR="00DB5BA7" w:rsidRPr="00296D0C">
                    <w:rPr>
                      <w:color w:val="000000"/>
                    </w:rPr>
                    <w:t>1</w:t>
                  </w:r>
                  <w:r w:rsidRPr="00296D0C">
                    <w:rPr>
                      <w:color w:val="000000"/>
                    </w:rPr>
                    <w:t>)</w:t>
                  </w:r>
                </w:p>
              </w:tc>
              <w:tc>
                <w:tcPr>
                  <w:tcW w:w="1701" w:type="dxa"/>
                </w:tcPr>
                <w:p w14:paraId="2DA72660" w14:textId="77777777" w:rsidR="00DB5BA7" w:rsidRPr="00296D0C" w:rsidRDefault="00DB5BA7" w:rsidP="00A90974">
                  <w:pPr>
                    <w:jc w:val="right"/>
                    <w:rPr>
                      <w:color w:val="000000"/>
                    </w:rPr>
                  </w:pPr>
                </w:p>
                <w:p w14:paraId="00780207" w14:textId="70D2E874" w:rsidR="00DB5BA7" w:rsidRPr="00296D0C" w:rsidRDefault="00A90974" w:rsidP="00A90974">
                  <w:pPr>
                    <w:jc w:val="right"/>
                    <w:rPr>
                      <w:color w:val="000000"/>
                    </w:rPr>
                  </w:pPr>
                  <w:r w:rsidRPr="00296D0C">
                    <w:rPr>
                      <w:color w:val="000000"/>
                    </w:rPr>
                    <w:t>74 (</w:t>
                  </w:r>
                  <w:r w:rsidR="00DB5BA7" w:rsidRPr="00296D0C">
                    <w:rPr>
                      <w:color w:val="000000"/>
                    </w:rPr>
                    <w:t>8</w:t>
                  </w:r>
                  <w:r w:rsidRPr="00296D0C">
                    <w:rPr>
                      <w:color w:val="000000"/>
                    </w:rPr>
                    <w:t>)</w:t>
                  </w:r>
                </w:p>
                <w:p w14:paraId="16F26F28" w14:textId="02E5AE79" w:rsidR="00DB5BA7" w:rsidRPr="00296D0C" w:rsidRDefault="00A90974" w:rsidP="00A90974">
                  <w:pPr>
                    <w:jc w:val="right"/>
                    <w:rPr>
                      <w:color w:val="000000"/>
                    </w:rPr>
                  </w:pPr>
                  <w:r w:rsidRPr="00296D0C">
                    <w:rPr>
                      <w:color w:val="000000"/>
                    </w:rPr>
                    <w:t>16 (2)</w:t>
                  </w:r>
                </w:p>
              </w:tc>
            </w:tr>
            <w:tr w:rsidR="00DB5BA7" w:rsidRPr="00296D0C" w14:paraId="5151FE45" w14:textId="77777777" w:rsidTr="00A90974">
              <w:tc>
                <w:tcPr>
                  <w:tcW w:w="2196" w:type="dxa"/>
                </w:tcPr>
                <w:p w14:paraId="0B251D29" w14:textId="77777777" w:rsidR="00DB5BA7" w:rsidRPr="00296D0C" w:rsidRDefault="00DB5BA7" w:rsidP="00DB5BA7">
                  <w:pPr>
                    <w:rPr>
                      <w:color w:val="000000"/>
                    </w:rPr>
                  </w:pPr>
                  <w:r w:rsidRPr="00296D0C">
                    <w:rPr>
                      <w:color w:val="000000"/>
                    </w:rPr>
                    <w:t>Physical Activity</w:t>
                  </w:r>
                </w:p>
              </w:tc>
              <w:tc>
                <w:tcPr>
                  <w:tcW w:w="1485" w:type="dxa"/>
                </w:tcPr>
                <w:p w14:paraId="29DC547C" w14:textId="26CAF97B" w:rsidR="00DB5BA7" w:rsidRPr="00296D0C" w:rsidRDefault="00A90974" w:rsidP="00A90974">
                  <w:pPr>
                    <w:jc w:val="right"/>
                    <w:rPr>
                      <w:color w:val="000000"/>
                    </w:rPr>
                  </w:pPr>
                  <w:r w:rsidRPr="00296D0C">
                    <w:rPr>
                      <w:color w:val="000000"/>
                    </w:rPr>
                    <w:t>391 (</w:t>
                  </w:r>
                  <w:r w:rsidR="00DB5BA7" w:rsidRPr="00296D0C">
                    <w:rPr>
                      <w:color w:val="000000"/>
                    </w:rPr>
                    <w:t>40</w:t>
                  </w:r>
                  <w:r w:rsidRPr="00296D0C">
                    <w:rPr>
                      <w:color w:val="000000"/>
                    </w:rPr>
                    <w:t>)</w:t>
                  </w:r>
                </w:p>
              </w:tc>
              <w:tc>
                <w:tcPr>
                  <w:tcW w:w="1701" w:type="dxa"/>
                </w:tcPr>
                <w:p w14:paraId="04A1E16E" w14:textId="00716B13" w:rsidR="00DB5BA7" w:rsidRPr="00296D0C" w:rsidRDefault="00A90974" w:rsidP="00A90974">
                  <w:pPr>
                    <w:jc w:val="right"/>
                    <w:rPr>
                      <w:color w:val="000000"/>
                    </w:rPr>
                  </w:pPr>
                  <w:r w:rsidRPr="00296D0C">
                    <w:rPr>
                      <w:color w:val="000000"/>
                    </w:rPr>
                    <w:t>336 (</w:t>
                  </w:r>
                  <w:r w:rsidR="00DB5BA7" w:rsidRPr="00296D0C">
                    <w:rPr>
                      <w:color w:val="000000"/>
                    </w:rPr>
                    <w:t>35</w:t>
                  </w:r>
                  <w:r w:rsidRPr="00296D0C">
                    <w:rPr>
                      <w:color w:val="000000"/>
                    </w:rPr>
                    <w:t>)</w:t>
                  </w:r>
                </w:p>
              </w:tc>
            </w:tr>
            <w:tr w:rsidR="00DB5BA7" w:rsidRPr="00296D0C" w14:paraId="69DF9FF4" w14:textId="77777777" w:rsidTr="00A90974">
              <w:tc>
                <w:tcPr>
                  <w:tcW w:w="2196" w:type="dxa"/>
                </w:tcPr>
                <w:p w14:paraId="51947794" w14:textId="77777777" w:rsidR="00DB5BA7" w:rsidRPr="00296D0C" w:rsidRDefault="00DB5BA7" w:rsidP="00DB5BA7">
                  <w:pPr>
                    <w:rPr>
                      <w:color w:val="000000"/>
                    </w:rPr>
                  </w:pPr>
                  <w:r w:rsidRPr="00296D0C">
                    <w:rPr>
                      <w:color w:val="000000"/>
                    </w:rPr>
                    <w:t>Other</w:t>
                  </w:r>
                </w:p>
              </w:tc>
              <w:tc>
                <w:tcPr>
                  <w:tcW w:w="1485" w:type="dxa"/>
                </w:tcPr>
                <w:p w14:paraId="47BC52CA" w14:textId="68B107A4" w:rsidR="00DB5BA7" w:rsidRPr="00296D0C" w:rsidRDefault="00A90974" w:rsidP="00A90974">
                  <w:pPr>
                    <w:jc w:val="right"/>
                    <w:rPr>
                      <w:color w:val="000000"/>
                    </w:rPr>
                  </w:pPr>
                  <w:r w:rsidRPr="00296D0C">
                    <w:rPr>
                      <w:color w:val="000000"/>
                    </w:rPr>
                    <w:t>265 (</w:t>
                  </w:r>
                  <w:r w:rsidR="00DB5BA7" w:rsidRPr="00296D0C">
                    <w:rPr>
                      <w:color w:val="000000"/>
                    </w:rPr>
                    <w:t>27</w:t>
                  </w:r>
                  <w:r w:rsidRPr="00296D0C">
                    <w:rPr>
                      <w:color w:val="000000"/>
                    </w:rPr>
                    <w:t>)</w:t>
                  </w:r>
                </w:p>
              </w:tc>
              <w:tc>
                <w:tcPr>
                  <w:tcW w:w="1701" w:type="dxa"/>
                </w:tcPr>
                <w:p w14:paraId="1EC0EA0C" w14:textId="3A9B1036" w:rsidR="00DB5BA7" w:rsidRPr="00296D0C" w:rsidRDefault="00A90974" w:rsidP="00A90974">
                  <w:pPr>
                    <w:jc w:val="right"/>
                    <w:rPr>
                      <w:color w:val="000000"/>
                    </w:rPr>
                  </w:pPr>
                  <w:r w:rsidRPr="00296D0C">
                    <w:rPr>
                      <w:color w:val="000000"/>
                    </w:rPr>
                    <w:t>267 (</w:t>
                  </w:r>
                  <w:r w:rsidR="00DB5BA7" w:rsidRPr="00296D0C">
                    <w:rPr>
                      <w:color w:val="000000"/>
                    </w:rPr>
                    <w:t>28</w:t>
                  </w:r>
                </w:p>
              </w:tc>
            </w:tr>
          </w:tbl>
          <w:p w14:paraId="43084C6D" w14:textId="77777777" w:rsidR="00DB5BA7" w:rsidRPr="00296D0C" w:rsidRDefault="00DB5BA7" w:rsidP="00DB5BA7">
            <w:pPr>
              <w:rPr>
                <w:color w:val="000000"/>
              </w:rPr>
            </w:pPr>
          </w:p>
        </w:tc>
      </w:tr>
    </w:tbl>
    <w:p w14:paraId="3E31E64B" w14:textId="692BFF75" w:rsidR="00DB5BA7" w:rsidRPr="00F92033" w:rsidRDefault="00A90974" w:rsidP="00DB5BA7">
      <w:pPr>
        <w:spacing w:line="360" w:lineRule="auto"/>
        <w:rPr>
          <w:rFonts w:cs="Arial"/>
          <w:noProof/>
          <w:sz w:val="20"/>
          <w:szCs w:val="20"/>
        </w:rPr>
      </w:pPr>
      <w:r w:rsidRPr="00F92033">
        <w:rPr>
          <w:rFonts w:cs="Arial"/>
          <w:noProof/>
          <w:sz w:val="20"/>
          <w:szCs w:val="20"/>
        </w:rPr>
        <w:t>*each child could set a maximum of 3 goals. Overall 1944 goals were set (975 by boys and 969 by girls)</w:t>
      </w:r>
    </w:p>
    <w:p w14:paraId="1B5C9ABF" w14:textId="14A29B88" w:rsidR="00DB5BA7" w:rsidRPr="00296D0C" w:rsidRDefault="00DB5BA7" w:rsidP="00DB5BA7">
      <w:pPr>
        <w:spacing w:line="360" w:lineRule="auto"/>
        <w:rPr>
          <w:rFonts w:cs="Arial"/>
          <w:noProof/>
        </w:rPr>
      </w:pPr>
      <w:r w:rsidRPr="00296D0C">
        <w:rPr>
          <w:rFonts w:cs="Arial"/>
          <w:noProof/>
        </w:rPr>
        <w:t xml:space="preserve">As Table </w:t>
      </w:r>
      <w:r w:rsidR="00BF1454" w:rsidRPr="00296D0C">
        <w:rPr>
          <w:rFonts w:cs="Arial"/>
          <w:noProof/>
        </w:rPr>
        <w:t>4</w:t>
      </w:r>
      <w:r w:rsidR="00D80862">
        <w:rPr>
          <w:rFonts w:cs="Arial"/>
          <w:noProof/>
        </w:rPr>
        <w:t>1</w:t>
      </w:r>
      <w:r w:rsidRPr="00296D0C">
        <w:rPr>
          <w:rFonts w:cs="Arial"/>
          <w:noProof/>
        </w:rPr>
        <w:t xml:space="preserve"> shows</w:t>
      </w:r>
      <w:r w:rsidR="00F04AC9" w:rsidRPr="00296D0C">
        <w:rPr>
          <w:rFonts w:cs="Arial"/>
          <w:noProof/>
        </w:rPr>
        <w:t xml:space="preserve">, the majority of goals set by </w:t>
      </w:r>
      <w:r w:rsidRPr="00296D0C">
        <w:rPr>
          <w:rFonts w:cs="Arial"/>
          <w:noProof/>
        </w:rPr>
        <w:t>both genders were focussed on increasing their physical activity and snacking. ‘Other’</w:t>
      </w:r>
      <w:r w:rsidR="002F0A1D">
        <w:rPr>
          <w:rFonts w:cs="Arial"/>
          <w:noProof/>
        </w:rPr>
        <w:t xml:space="preserve"> </w:t>
      </w:r>
      <w:r w:rsidRPr="00296D0C">
        <w:rPr>
          <w:rFonts w:cs="Arial"/>
          <w:noProof/>
        </w:rPr>
        <w:t xml:space="preserve">goals included helping others to be healthy, going to bed earlier, studying, doing homework/household chores, trying new foods, eating more, drinking more water. </w:t>
      </w:r>
      <w:r w:rsidR="00BA2989" w:rsidRPr="00296D0C">
        <w:rPr>
          <w:rFonts w:cs="Arial"/>
          <w:noProof/>
        </w:rPr>
        <w:t xml:space="preserve"> </w:t>
      </w:r>
      <w:r w:rsidRPr="00296D0C">
        <w:rPr>
          <w:rFonts w:cs="Arial"/>
          <w:noProof/>
        </w:rPr>
        <w:t xml:space="preserve">No </w:t>
      </w:r>
      <w:r w:rsidR="00BA2989" w:rsidRPr="00296D0C">
        <w:rPr>
          <w:rFonts w:cs="Arial"/>
          <w:noProof/>
        </w:rPr>
        <w:t xml:space="preserve">marked </w:t>
      </w:r>
      <w:r w:rsidRPr="00296D0C">
        <w:rPr>
          <w:rFonts w:cs="Arial"/>
          <w:noProof/>
        </w:rPr>
        <w:t>differences were observed in the type of g</w:t>
      </w:r>
      <w:r w:rsidR="00F04AC9" w:rsidRPr="00296D0C">
        <w:rPr>
          <w:rFonts w:cs="Arial"/>
          <w:noProof/>
        </w:rPr>
        <w:t>oal set by gender or engagement.</w:t>
      </w:r>
    </w:p>
    <w:p w14:paraId="4AA96083" w14:textId="77777777" w:rsidR="00DB5BA7" w:rsidRPr="00296D0C" w:rsidRDefault="00DB5BA7" w:rsidP="00DB5BA7">
      <w:pPr>
        <w:spacing w:line="360" w:lineRule="auto"/>
        <w:rPr>
          <w:rFonts w:cs="Arial"/>
          <w:noProof/>
        </w:rPr>
      </w:pPr>
      <w:r w:rsidRPr="00296D0C">
        <w:rPr>
          <w:rFonts w:cs="Arial"/>
          <w:noProof/>
        </w:rPr>
        <w:t>Children reported mixed feelings about setting goals with some finding it easy while others found it more challenging for various reasons.</w:t>
      </w:r>
      <w:r w:rsidRPr="00296D0C" w:rsidDel="00A4311F">
        <w:rPr>
          <w:rFonts w:cs="Arial"/>
          <w:noProof/>
        </w:rPr>
        <w:t xml:space="preserve"> </w:t>
      </w:r>
    </w:p>
    <w:p w14:paraId="5EE8543C" w14:textId="77777777" w:rsidR="00DB5BA7" w:rsidRPr="00296D0C" w:rsidRDefault="00DB5BA7" w:rsidP="00DC1DBA">
      <w:pPr>
        <w:spacing w:line="360" w:lineRule="auto"/>
        <w:ind w:left="720"/>
      </w:pPr>
      <w:r w:rsidRPr="00296D0C">
        <w:rPr>
          <w:i/>
        </w:rPr>
        <w:lastRenderedPageBreak/>
        <w:t>‘I felt setting the goals, um one of my goals is really easy to set but the other two were really hard. Cos, one of them was do, ask my mum to get healthy stuff and we don’t have that much money so we couldn’t get any……’</w:t>
      </w:r>
      <w:r w:rsidRPr="00296D0C">
        <w:t xml:space="preserve"> </w:t>
      </w:r>
      <w:r w:rsidRPr="00296D0C">
        <w:rPr>
          <w:b/>
        </w:rPr>
        <w:t>(male EC, school 9)</w:t>
      </w:r>
    </w:p>
    <w:p w14:paraId="11F4690D" w14:textId="77777777" w:rsidR="00DB5BA7" w:rsidRPr="00296D0C" w:rsidRDefault="00DB5BA7" w:rsidP="00DC1DBA">
      <w:pPr>
        <w:spacing w:line="360" w:lineRule="auto"/>
        <w:ind w:left="720"/>
      </w:pPr>
      <w:r w:rsidRPr="00296D0C">
        <w:rPr>
          <w:i/>
        </w:rPr>
        <w:t xml:space="preserve">‘ I think because my mum understood it, like (I: go on) I don’t really know, Umm, my Mum kind of knew about it, so if I went to speak to her then it was quite easy because she knew what I was talking about…..’ </w:t>
      </w:r>
      <w:r w:rsidRPr="00296D0C">
        <w:t>(</w:t>
      </w:r>
      <w:r w:rsidRPr="00296D0C">
        <w:rPr>
          <w:b/>
        </w:rPr>
        <w:t>female LEC, school 1</w:t>
      </w:r>
      <w:r w:rsidRPr="00296D0C">
        <w:t>)</w:t>
      </w:r>
    </w:p>
    <w:p w14:paraId="686ED6BC" w14:textId="3D356DB3" w:rsidR="00DB5BA7" w:rsidRPr="002F0A1D" w:rsidRDefault="00DB5BA7" w:rsidP="00DC1DBA">
      <w:pPr>
        <w:spacing w:after="0" w:line="360" w:lineRule="auto"/>
        <w:ind w:left="720"/>
        <w:rPr>
          <w:rFonts w:eastAsiaTheme="minorHAnsi"/>
          <w:i/>
          <w:lang w:eastAsia="en-US"/>
        </w:rPr>
      </w:pPr>
      <w:r w:rsidRPr="00296D0C">
        <w:rPr>
          <w:rFonts w:eastAsiaTheme="minorHAnsi"/>
          <w:i/>
          <w:lang w:eastAsia="en-US"/>
        </w:rPr>
        <w:t>'I found it quite easy because my mum was really supportive</w:t>
      </w:r>
      <w:r w:rsidR="002F0A1D">
        <w:rPr>
          <w:rFonts w:eastAsiaTheme="minorHAnsi"/>
          <w:i/>
          <w:lang w:eastAsia="en-US"/>
        </w:rPr>
        <w:t>.’</w:t>
      </w:r>
      <w:r w:rsidRPr="00296D0C">
        <w:rPr>
          <w:rFonts w:eastAsiaTheme="minorHAnsi"/>
          <w:i/>
          <w:lang w:eastAsia="en-US"/>
        </w:rPr>
        <w:t xml:space="preserve"> </w:t>
      </w:r>
      <w:r w:rsidRPr="00296D0C">
        <w:rPr>
          <w:rFonts w:eastAsiaTheme="minorHAnsi"/>
          <w:b/>
          <w:lang w:eastAsia="en-US"/>
        </w:rPr>
        <w:t>(male E, school 13)</w:t>
      </w:r>
    </w:p>
    <w:p w14:paraId="1DA8B441" w14:textId="77777777" w:rsidR="002F0A1D" w:rsidRDefault="002F0A1D" w:rsidP="00DC1DBA">
      <w:pPr>
        <w:spacing w:line="360" w:lineRule="auto"/>
        <w:ind w:left="720"/>
        <w:rPr>
          <w:i/>
        </w:rPr>
      </w:pPr>
    </w:p>
    <w:p w14:paraId="113F7215" w14:textId="77777777" w:rsidR="00DB5BA7" w:rsidRPr="00296D0C" w:rsidRDefault="00DB5BA7" w:rsidP="00DC1DBA">
      <w:pPr>
        <w:spacing w:line="360" w:lineRule="auto"/>
        <w:ind w:left="720"/>
      </w:pPr>
      <w:r w:rsidRPr="00296D0C">
        <w:rPr>
          <w:i/>
        </w:rPr>
        <w:t xml:space="preserve"> </w:t>
      </w:r>
      <w:r w:rsidRPr="00296D0C">
        <w:t>‘</w:t>
      </w:r>
      <w:r w:rsidRPr="00296D0C">
        <w:rPr>
          <w:i/>
        </w:rPr>
        <w:t>I didn’t have much, well I did talk to my mum but I didn’t have much time to talk to my mum because my brother and sister needed mum too. My brother needed help with his homework, my sister needed help with her homework, my brother needed to read to my mum and my sister needed to read to my mum, and my mum needed to sleep with my sister before going to bed and reading her a story, so it was a bit busy and I did have a quick little talk to her, but I didn’t have much of a talk so it was a bit difficult and we only did about half of it.</w:t>
      </w:r>
      <w:r w:rsidRPr="00296D0C">
        <w:t xml:space="preserve">’ </w:t>
      </w:r>
      <w:r w:rsidRPr="00296D0C">
        <w:rPr>
          <w:b/>
        </w:rPr>
        <w:t>(female EC, school 7)</w:t>
      </w:r>
    </w:p>
    <w:p w14:paraId="4A084AE6" w14:textId="12B89C74" w:rsidR="00DB5BA7" w:rsidRDefault="00DB5BA7" w:rsidP="00DC1DBA">
      <w:pPr>
        <w:spacing w:after="0" w:line="360" w:lineRule="auto"/>
        <w:ind w:left="720"/>
        <w:rPr>
          <w:b/>
        </w:rPr>
      </w:pPr>
      <w:r w:rsidRPr="00296D0C">
        <w:rPr>
          <w:i/>
        </w:rPr>
        <w:t xml:space="preserve"> ‘ I found it quite hard, I thought it was a bit too open, like the sheets we took home, it was really open so it wasn’t really, cos people could easily just put tick, tick, cross, tick, even if they weren’t actually trying. And because we especially did it over the weekend and the holidays, I found that extremely hard because in the holidays and that, I kind of let myself go and like, have a lot of chocolate, that sort of thing. So if we had done it during the week I think I would have found it a lot easier, so maybe next time</w:t>
      </w:r>
      <w:r w:rsidR="002F0A1D">
        <w:rPr>
          <w:i/>
        </w:rPr>
        <w:t>.</w:t>
      </w:r>
      <w:r w:rsidRPr="00296D0C">
        <w:rPr>
          <w:i/>
        </w:rPr>
        <w:t>’</w:t>
      </w:r>
      <w:r w:rsidRPr="00296D0C">
        <w:t xml:space="preserve"> </w:t>
      </w:r>
      <w:r w:rsidRPr="00296D0C">
        <w:rPr>
          <w:b/>
        </w:rPr>
        <w:t>(male LEC, school 14)</w:t>
      </w:r>
    </w:p>
    <w:p w14:paraId="53D0A0AF" w14:textId="77777777" w:rsidR="002F0A1D" w:rsidRPr="00296D0C" w:rsidRDefault="002F0A1D" w:rsidP="00DC1DBA">
      <w:pPr>
        <w:spacing w:after="0" w:line="360" w:lineRule="auto"/>
        <w:ind w:left="720"/>
      </w:pPr>
    </w:p>
    <w:p w14:paraId="3B2E2708" w14:textId="0BF66290" w:rsidR="00DB5BA7" w:rsidRPr="00296D0C" w:rsidRDefault="00DB5BA7" w:rsidP="00DC1DBA">
      <w:pPr>
        <w:spacing w:after="0" w:line="360" w:lineRule="auto"/>
        <w:ind w:left="720"/>
        <w:rPr>
          <w:rFonts w:eastAsiaTheme="minorHAnsi"/>
          <w:b/>
          <w:lang w:eastAsia="en-US"/>
        </w:rPr>
      </w:pPr>
      <w:r w:rsidRPr="00296D0C">
        <w:rPr>
          <w:rFonts w:eastAsiaTheme="minorHAnsi"/>
          <w:i/>
          <w:lang w:eastAsia="en-US"/>
        </w:rPr>
        <w:t>' I thought it was hard ‘cos my mum worked late, so did my dad, so I didn’t have anyone to talk to about it</w:t>
      </w:r>
      <w:r w:rsidR="002F0A1D">
        <w:rPr>
          <w:rFonts w:eastAsiaTheme="minorHAnsi"/>
          <w:i/>
          <w:lang w:eastAsia="en-US"/>
        </w:rPr>
        <w:t>.</w:t>
      </w:r>
      <w:r w:rsidRPr="00296D0C">
        <w:rPr>
          <w:rFonts w:eastAsiaTheme="minorHAnsi"/>
          <w:i/>
          <w:lang w:eastAsia="en-US"/>
        </w:rPr>
        <w:t>'</w:t>
      </w:r>
      <w:r w:rsidRPr="00296D0C">
        <w:rPr>
          <w:rFonts w:eastAsiaTheme="minorHAnsi"/>
          <w:lang w:eastAsia="en-US"/>
        </w:rPr>
        <w:t xml:space="preserve"> </w:t>
      </w:r>
      <w:r w:rsidRPr="00296D0C">
        <w:rPr>
          <w:rFonts w:eastAsiaTheme="minorHAnsi"/>
          <w:b/>
          <w:lang w:eastAsia="en-US"/>
        </w:rPr>
        <w:t>(female EC, school 16)</w:t>
      </w:r>
    </w:p>
    <w:p w14:paraId="749C30B3" w14:textId="77777777" w:rsidR="00DB5BA7" w:rsidRPr="00296D0C" w:rsidRDefault="00DB5BA7" w:rsidP="00DC1DBA">
      <w:pPr>
        <w:spacing w:line="360" w:lineRule="auto"/>
        <w:ind w:left="720"/>
      </w:pPr>
    </w:p>
    <w:p w14:paraId="03D46C69" w14:textId="3EB71178" w:rsidR="00F04AC9" w:rsidRPr="00296D0C" w:rsidRDefault="00F04AC9" w:rsidP="00F04AC9">
      <w:pPr>
        <w:spacing w:line="360" w:lineRule="auto"/>
      </w:pPr>
      <w:r w:rsidRPr="00296D0C">
        <w:t xml:space="preserve">In the parent questionnaire, 99% </w:t>
      </w:r>
      <w:r w:rsidR="00BA2989" w:rsidRPr="00296D0C">
        <w:t xml:space="preserve">(174/176) </w:t>
      </w:r>
      <w:r w:rsidRPr="00296D0C">
        <w:t xml:space="preserve">of parents reported being aware of their child’s goals and 59% </w:t>
      </w:r>
      <w:r w:rsidR="00BA2989" w:rsidRPr="00296D0C">
        <w:t xml:space="preserve">(103/176) </w:t>
      </w:r>
      <w:r w:rsidRPr="00296D0C">
        <w:t xml:space="preserve">reported that they thought it was ‘quite easy’ for their child to make changes based on their goals, and 20% </w:t>
      </w:r>
      <w:r w:rsidR="00BA2989" w:rsidRPr="00296D0C">
        <w:t xml:space="preserve">(35/176) </w:t>
      </w:r>
      <w:r w:rsidRPr="00296D0C">
        <w:t>reporting that they thought it was ‘quite difficult’. During parent interviews, parents reported how their children engaged with and took responsibility for their goals:</w:t>
      </w:r>
    </w:p>
    <w:p w14:paraId="0E4A731F" w14:textId="074FADCC" w:rsidR="00DB5BA7" w:rsidRPr="00296D0C" w:rsidRDefault="00F04AC9" w:rsidP="00655C77">
      <w:pPr>
        <w:spacing w:after="0" w:line="360" w:lineRule="auto"/>
        <w:ind w:left="720"/>
        <w:rPr>
          <w:b/>
        </w:rPr>
      </w:pPr>
      <w:r w:rsidRPr="00296D0C">
        <w:rPr>
          <w:i/>
        </w:rPr>
        <w:t xml:space="preserve"> </w:t>
      </w:r>
      <w:r w:rsidR="00DB5BA7" w:rsidRPr="00296D0C">
        <w:rPr>
          <w:i/>
        </w:rPr>
        <w:t xml:space="preserve">‘especially the school dinners because she does have a school dinner every day and she would always choose the chocolate cake or the pudding or something and then she, I didn’t </w:t>
      </w:r>
      <w:r w:rsidR="00DB5BA7" w:rsidRPr="00296D0C">
        <w:rPr>
          <w:i/>
        </w:rPr>
        <w:lastRenderedPageBreak/>
        <w:t xml:space="preserve">say it to her, she made the choice to go for the fruit salad or yoghurt or you know the healthy thing and everyday she’d come back, I mean we have always said what have you had for lunch and she’d say whatever, and then she would say but I had fruit salad and she was very proud of herself when she managed to choose the healthy option.’ </w:t>
      </w:r>
      <w:r w:rsidR="00DB5BA7" w:rsidRPr="00296D0C">
        <w:rPr>
          <w:b/>
        </w:rPr>
        <w:t>(P, school 9)</w:t>
      </w:r>
    </w:p>
    <w:p w14:paraId="6C02D53D" w14:textId="77777777" w:rsidR="00655C77" w:rsidRPr="00296D0C" w:rsidRDefault="00655C77" w:rsidP="00655C77">
      <w:pPr>
        <w:spacing w:after="0" w:line="360" w:lineRule="auto"/>
        <w:ind w:left="720"/>
        <w:rPr>
          <w:i/>
        </w:rPr>
      </w:pPr>
    </w:p>
    <w:p w14:paraId="592F1745" w14:textId="77777777" w:rsidR="00DB5BA7" w:rsidRPr="00296D0C" w:rsidRDefault="00DB5BA7" w:rsidP="00E947B0">
      <w:pPr>
        <w:spacing w:after="0" w:line="360" w:lineRule="auto"/>
        <w:ind w:left="720"/>
        <w:rPr>
          <w:b/>
        </w:rPr>
      </w:pPr>
      <w:r w:rsidRPr="00296D0C">
        <w:rPr>
          <w:i/>
        </w:rPr>
        <w:t xml:space="preserve">‘Yeah so she really owned her goals as well.  She was really bought in from the start.  She was very responsible about it which was good because it gave her something to be responsible for and it was only kind of small changes so um … she’s not allowed coke at home but at her dad’s she was allowed coke. So she made the decision to go for fruit juice with fizzy water instead and that’s carried on as well so um and she’s … she was the one who kind of raised it there and she was making those choices herself it wasn’t kind of like ‘oh no I’ve got to do this or you must be doing this because it’s on your goal’ it was about ‘yeah I need to do this because that’s what I’ve said I’m going to do.’ </w:t>
      </w:r>
      <w:r w:rsidRPr="00296D0C">
        <w:rPr>
          <w:b/>
        </w:rPr>
        <w:t>(P, school 16)</w:t>
      </w:r>
    </w:p>
    <w:p w14:paraId="19A132B5" w14:textId="77777777" w:rsidR="00655C77" w:rsidRPr="00296D0C" w:rsidRDefault="00655C77" w:rsidP="00E947B0">
      <w:pPr>
        <w:spacing w:after="0" w:line="360" w:lineRule="auto"/>
        <w:ind w:left="720"/>
        <w:rPr>
          <w:b/>
        </w:rPr>
      </w:pPr>
    </w:p>
    <w:p w14:paraId="7E9C95F1" w14:textId="6FC4A320" w:rsidR="00DB5BA7" w:rsidRPr="00296D0C" w:rsidRDefault="00F04AC9" w:rsidP="00E947B0">
      <w:pPr>
        <w:spacing w:after="0" w:line="360" w:lineRule="auto"/>
      </w:pPr>
      <w:r w:rsidRPr="00296D0C">
        <w:t xml:space="preserve">In the child focus groups, both </w:t>
      </w:r>
      <w:r w:rsidR="00DB5BA7" w:rsidRPr="00296D0C">
        <w:t>engaged and less engaged children reported mixed levels of difficulty in achieving their goals with some children reporting a number of barriers that made making changes difficult and others who found it easier to achieve their goals:</w:t>
      </w:r>
    </w:p>
    <w:p w14:paraId="5831439F" w14:textId="2226D45F" w:rsidR="00DB5BA7" w:rsidRDefault="00DB5BA7" w:rsidP="00E947B0">
      <w:pPr>
        <w:spacing w:after="0" w:line="360" w:lineRule="auto"/>
        <w:ind w:left="720"/>
        <w:rPr>
          <w:b/>
        </w:rPr>
      </w:pPr>
      <w:r w:rsidRPr="00296D0C">
        <w:rPr>
          <w:i/>
        </w:rPr>
        <w:t>‘I found it difficult because I found out that actually I was quite busy, so I didn’t really get time to pick when I was going to do it and choose what I ate. I kind of picked anythi</w:t>
      </w:r>
      <w:r w:rsidR="00655C77" w:rsidRPr="00296D0C">
        <w:rPr>
          <w:i/>
        </w:rPr>
        <w:t xml:space="preserve">ng cos I didn’t have the time. </w:t>
      </w:r>
      <w:r w:rsidR="00655C77" w:rsidRPr="00296D0C">
        <w:t>(</w:t>
      </w:r>
      <w:r w:rsidRPr="00296D0C">
        <w:rPr>
          <w:b/>
        </w:rPr>
        <w:t>Female LEC, school 1)</w:t>
      </w:r>
    </w:p>
    <w:p w14:paraId="408AEEDD" w14:textId="77777777" w:rsidR="002F0A1D" w:rsidRPr="00296D0C" w:rsidRDefault="002F0A1D" w:rsidP="00E947B0">
      <w:pPr>
        <w:spacing w:after="0" w:line="360" w:lineRule="auto"/>
        <w:ind w:left="720"/>
        <w:rPr>
          <w:i/>
        </w:rPr>
      </w:pPr>
    </w:p>
    <w:p w14:paraId="74FC1B60" w14:textId="77777777" w:rsidR="00DB5BA7" w:rsidRDefault="00DB5BA7" w:rsidP="00E947B0">
      <w:pPr>
        <w:spacing w:after="0" w:line="360" w:lineRule="auto"/>
        <w:ind w:left="720"/>
        <w:rPr>
          <w:b/>
        </w:rPr>
      </w:pPr>
      <w:r w:rsidRPr="00296D0C">
        <w:rPr>
          <w:i/>
        </w:rPr>
        <w:t>‘</w:t>
      </w:r>
      <w:r w:rsidRPr="00296D0C">
        <w:t>well I didn’t find it difficult but it was hard to change it, because it was like a routine and trying to get them in, get away from the other stuff and trying to get new stuff’</w:t>
      </w:r>
      <w:r w:rsidRPr="00296D0C">
        <w:rPr>
          <w:i/>
        </w:rPr>
        <w:t xml:space="preserve"> </w:t>
      </w:r>
      <w:r w:rsidRPr="00296D0C">
        <w:rPr>
          <w:b/>
        </w:rPr>
        <w:t>(male LEC, school 7)</w:t>
      </w:r>
    </w:p>
    <w:p w14:paraId="1B97772F" w14:textId="77777777" w:rsidR="002F0A1D" w:rsidRPr="00296D0C" w:rsidRDefault="002F0A1D" w:rsidP="00E947B0">
      <w:pPr>
        <w:spacing w:after="0" w:line="360" w:lineRule="auto"/>
        <w:ind w:left="720"/>
        <w:rPr>
          <w:b/>
        </w:rPr>
      </w:pPr>
    </w:p>
    <w:p w14:paraId="06B3324E" w14:textId="45BE35D5" w:rsidR="00DB5BA7" w:rsidRDefault="00DB5BA7" w:rsidP="00E947B0">
      <w:pPr>
        <w:spacing w:after="0" w:line="360" w:lineRule="auto"/>
        <w:ind w:left="720"/>
        <w:rPr>
          <w:b/>
        </w:rPr>
      </w:pPr>
      <w:r w:rsidRPr="00296D0C">
        <w:rPr>
          <w:i/>
        </w:rPr>
        <w:t xml:space="preserve"> ‘sometimes I found it hard, but sometimes it was quite easy because when I got more in to </w:t>
      </w:r>
      <w:r w:rsidR="00FE6FD2" w:rsidRPr="00296D0C">
        <w:rPr>
          <w:i/>
        </w:rPr>
        <w:t xml:space="preserve">the </w:t>
      </w:r>
      <w:r w:rsidR="009D57AD">
        <w:rPr>
          <w:i/>
        </w:rPr>
        <w:t>p</w:t>
      </w:r>
      <w:r w:rsidR="00FE6FD2" w:rsidRPr="00296D0C">
        <w:rPr>
          <w:i/>
        </w:rPr>
        <w:t>rogramme</w:t>
      </w:r>
      <w:r w:rsidRPr="00296D0C">
        <w:rPr>
          <w:i/>
        </w:rPr>
        <w:t xml:space="preserve"> I found it easier because I started doing it more, in the beginning I found it really hard to make any changes’ </w:t>
      </w:r>
      <w:r w:rsidRPr="00296D0C">
        <w:rPr>
          <w:b/>
        </w:rPr>
        <w:t>(female EC, school 6)</w:t>
      </w:r>
    </w:p>
    <w:p w14:paraId="1630B7FF" w14:textId="77777777" w:rsidR="002F0A1D" w:rsidRPr="00296D0C" w:rsidRDefault="002F0A1D" w:rsidP="00E947B0">
      <w:pPr>
        <w:spacing w:after="0" w:line="360" w:lineRule="auto"/>
        <w:ind w:left="720"/>
        <w:rPr>
          <w:b/>
        </w:rPr>
      </w:pPr>
    </w:p>
    <w:p w14:paraId="239D9AB4" w14:textId="77777777" w:rsidR="00DB5BA7" w:rsidRPr="00296D0C" w:rsidRDefault="00DB5BA7" w:rsidP="00E947B0">
      <w:pPr>
        <w:spacing w:after="0" w:line="360" w:lineRule="auto"/>
        <w:ind w:left="720"/>
        <w:rPr>
          <w:b/>
        </w:rPr>
      </w:pPr>
      <w:r w:rsidRPr="00296D0C">
        <w:rPr>
          <w:i/>
        </w:rPr>
        <w:t xml:space="preserve">‘I found two of them I think easier, but there was one which was really difficult, it was one which I could only have I think it was three sweets a week, and it got really difficult because it was the summer holidays and that’s the time when you normally get the most sweets so it was quite difficult to keep that one. I think I kept it half the time and half the time I didn’t’ </w:t>
      </w:r>
      <w:r w:rsidRPr="00296D0C">
        <w:rPr>
          <w:b/>
        </w:rPr>
        <w:t>(female EC, school 7)</w:t>
      </w:r>
    </w:p>
    <w:p w14:paraId="5AAB62EA" w14:textId="77777777" w:rsidR="00655C77" w:rsidRPr="00296D0C" w:rsidRDefault="00655C77" w:rsidP="00E947B0">
      <w:pPr>
        <w:spacing w:after="0" w:line="360" w:lineRule="auto"/>
        <w:ind w:left="720"/>
        <w:rPr>
          <w:b/>
        </w:rPr>
      </w:pPr>
    </w:p>
    <w:p w14:paraId="70449FFD" w14:textId="2592EFCE" w:rsidR="00DB5BA7" w:rsidRPr="00296D0C" w:rsidRDefault="00DB5BA7" w:rsidP="00E947B0">
      <w:pPr>
        <w:spacing w:after="0" w:line="360" w:lineRule="auto"/>
      </w:pPr>
      <w:r w:rsidRPr="00296D0C">
        <w:t>As the HeLP logic model</w:t>
      </w:r>
      <w:r w:rsidR="00F04AC9" w:rsidRPr="00296D0C">
        <w:t xml:space="preserve"> (Figure </w:t>
      </w:r>
      <w:r w:rsidR="00937579" w:rsidRPr="00296D0C">
        <w:t>8</w:t>
      </w:r>
      <w:r w:rsidR="00F04AC9" w:rsidRPr="00296D0C">
        <w:t>) illustrates</w:t>
      </w:r>
      <w:r w:rsidRPr="00296D0C">
        <w:t>, it was assumed that changes in children’s eating and activity behaviours would be facilitated by a number of child and parent behaviours. Specific to the goal setting phase, it was hoped that the children would use a number of strategies they had learnt during phase 2 to help them achieve their goals, e.g. putting their goals up on the fridge, putting a note on their Xbox to limit their time etc. It was also hoped that parents would support them by increasing access and availability to healthy snacks and physical activity and enforcing rules around screen time.</w:t>
      </w:r>
    </w:p>
    <w:p w14:paraId="13BA9A62" w14:textId="77777777" w:rsidR="00DB5BA7" w:rsidRPr="00296D0C" w:rsidRDefault="00DB5BA7" w:rsidP="00DB5BA7">
      <w:pPr>
        <w:spacing w:line="360" w:lineRule="auto"/>
        <w:rPr>
          <w:rFonts w:cs="Arial"/>
          <w:noProof/>
        </w:rPr>
      </w:pPr>
      <w:r w:rsidRPr="00296D0C">
        <w:rPr>
          <w:rFonts w:cs="Arial"/>
          <w:noProof/>
        </w:rPr>
        <w:t xml:space="preserve">When the children discussed their experiences of making changes in the focus groups some children commented that their parents had supported them in this way; </w:t>
      </w:r>
    </w:p>
    <w:p w14:paraId="78C1639C" w14:textId="77777777" w:rsidR="00DB5BA7" w:rsidRPr="00296D0C" w:rsidRDefault="00DB5BA7" w:rsidP="00323D61">
      <w:pPr>
        <w:spacing w:line="360" w:lineRule="auto"/>
        <w:ind w:left="720"/>
        <w:rPr>
          <w:rFonts w:cs="Arial"/>
          <w:i/>
          <w:noProof/>
        </w:rPr>
      </w:pPr>
      <w:r w:rsidRPr="00296D0C" w:rsidDel="00F63BCA">
        <w:rPr>
          <w:rFonts w:cs="Arial"/>
          <w:i/>
          <w:noProof/>
        </w:rPr>
        <w:t xml:space="preserve"> </w:t>
      </w:r>
      <w:r w:rsidRPr="00296D0C">
        <w:rPr>
          <w:rFonts w:cs="Arial"/>
          <w:i/>
          <w:noProof/>
        </w:rPr>
        <w:t xml:space="preserve">‘my parents helped a lot with my goals because my mum made a rota which is so I only get an hour or half an hour on screen time every day.’ </w:t>
      </w:r>
      <w:r w:rsidRPr="00296D0C">
        <w:rPr>
          <w:rFonts w:cs="Arial"/>
          <w:b/>
          <w:noProof/>
        </w:rPr>
        <w:t>(male EC, school 6)</w:t>
      </w:r>
    </w:p>
    <w:p w14:paraId="2E1758DA" w14:textId="77777777" w:rsidR="00DB5BA7" w:rsidRPr="00296D0C" w:rsidRDefault="00DB5BA7" w:rsidP="00323D61">
      <w:pPr>
        <w:spacing w:line="360" w:lineRule="auto"/>
        <w:ind w:left="720"/>
        <w:rPr>
          <w:rFonts w:cs="Arial"/>
          <w:b/>
          <w:noProof/>
        </w:rPr>
      </w:pPr>
      <w:r w:rsidRPr="00296D0C">
        <w:rPr>
          <w:rFonts w:cs="Arial"/>
          <w:i/>
          <w:noProof/>
        </w:rPr>
        <w:t xml:space="preserve">‘yeah I told my dad to stop giving me loads of sweets on Fridays, and then he did do that for me and now I don’t eat as much sweets.’ </w:t>
      </w:r>
      <w:r w:rsidRPr="00296D0C">
        <w:rPr>
          <w:rFonts w:cs="Arial"/>
          <w:b/>
          <w:noProof/>
        </w:rPr>
        <w:t>(male LEC, school 8)</w:t>
      </w:r>
    </w:p>
    <w:p w14:paraId="50B85C5D" w14:textId="77777777" w:rsidR="00DB5BA7" w:rsidRPr="00296D0C" w:rsidRDefault="00DB5BA7" w:rsidP="00DB5BA7">
      <w:pPr>
        <w:spacing w:line="240" w:lineRule="auto"/>
        <w:rPr>
          <w:rFonts w:cs="Arial"/>
          <w:noProof/>
        </w:rPr>
      </w:pPr>
      <w:r w:rsidRPr="00296D0C">
        <w:rPr>
          <w:rFonts w:cs="Arial"/>
          <w:noProof/>
        </w:rPr>
        <w:t>A few teachers also reported that parents were supporting their children;</w:t>
      </w:r>
    </w:p>
    <w:p w14:paraId="4BBC4C54" w14:textId="77777777" w:rsidR="00DB5BA7" w:rsidRPr="00296D0C" w:rsidRDefault="00DB5BA7" w:rsidP="00323D61">
      <w:pPr>
        <w:spacing w:line="360" w:lineRule="auto"/>
        <w:ind w:left="720"/>
        <w:rPr>
          <w:rFonts w:cs="Arial"/>
          <w:noProof/>
        </w:rPr>
      </w:pPr>
      <w:r w:rsidRPr="00296D0C">
        <w:rPr>
          <w:rFonts w:cs="Arial"/>
          <w:noProof/>
        </w:rPr>
        <w:t xml:space="preserve"> ‘</w:t>
      </w:r>
      <w:r w:rsidRPr="00296D0C">
        <w:rPr>
          <w:rFonts w:cs="Arial"/>
          <w:i/>
          <w:noProof/>
        </w:rPr>
        <w:t xml:space="preserve">I spoke to parents as well, parents have even said that actually they’ve gone home and they’re getting out the humus and the carrot sticks rather than the crisps and the chocolate bars. So you know everyone’s kind of seen a change and improvement. Which is great.’ </w:t>
      </w:r>
      <w:r w:rsidRPr="00296D0C">
        <w:rPr>
          <w:rFonts w:cs="Arial"/>
          <w:noProof/>
        </w:rPr>
        <w:t>(</w:t>
      </w:r>
      <w:r w:rsidRPr="00296D0C">
        <w:rPr>
          <w:rFonts w:cs="Arial"/>
          <w:b/>
          <w:noProof/>
        </w:rPr>
        <w:t>T, school 11</w:t>
      </w:r>
      <w:r w:rsidRPr="00296D0C">
        <w:rPr>
          <w:rFonts w:cs="Arial"/>
          <w:noProof/>
        </w:rPr>
        <w:t>)</w:t>
      </w:r>
    </w:p>
    <w:p w14:paraId="11C9059D" w14:textId="77777777" w:rsidR="00DB5BA7" w:rsidRPr="00296D0C" w:rsidRDefault="00DB5BA7" w:rsidP="00DB5BA7">
      <w:pPr>
        <w:spacing w:line="240" w:lineRule="auto"/>
        <w:rPr>
          <w:rFonts w:cs="Arial"/>
          <w:noProof/>
        </w:rPr>
      </w:pPr>
      <w:r w:rsidRPr="00296D0C">
        <w:rPr>
          <w:rFonts w:cs="Arial"/>
          <w:noProof/>
        </w:rPr>
        <w:t>Many children commented on using a variety of strategies to help them achieve their goals;</w:t>
      </w:r>
    </w:p>
    <w:p w14:paraId="67E91C5E" w14:textId="77777777" w:rsidR="00DB5BA7" w:rsidRPr="00296D0C" w:rsidRDefault="00DB5BA7" w:rsidP="00DC1DBA">
      <w:pPr>
        <w:spacing w:line="360" w:lineRule="auto"/>
        <w:ind w:left="720"/>
      </w:pPr>
      <w:r w:rsidRPr="00296D0C">
        <w:rPr>
          <w:i/>
        </w:rPr>
        <w:t>‘With the magnet that you sent out, because I wasn’t eating healthy so my mum put it at my height on the fridge’</w:t>
      </w:r>
      <w:r w:rsidRPr="00296D0C">
        <w:t xml:space="preserve"> </w:t>
      </w:r>
      <w:r w:rsidRPr="00296D0C">
        <w:rPr>
          <w:b/>
        </w:rPr>
        <w:t>(female LEC, school 15)</w:t>
      </w:r>
      <w:r w:rsidRPr="00296D0C">
        <w:t xml:space="preserve"> </w:t>
      </w:r>
    </w:p>
    <w:p w14:paraId="74F23529" w14:textId="77777777" w:rsidR="00DB5BA7" w:rsidRPr="00296D0C" w:rsidRDefault="00DB5BA7" w:rsidP="00DC1DBA">
      <w:pPr>
        <w:spacing w:line="360" w:lineRule="auto"/>
        <w:ind w:left="720"/>
      </w:pPr>
      <w:r w:rsidRPr="00296D0C">
        <w:rPr>
          <w:i/>
        </w:rPr>
        <w:t>‘well with mine, we photocopied our sheets so when I go round to my friend Michael’s house he’s got a copy of my sheet and when he comes round to my house we’ve got a copy of his sheet. We photocopied it as well so my granddad’s got a photocopy of my sheet so every time I go down there for lifeguard training I have my tea there and I have a look on the sheet and see what I can have cos we made another one and what I can eat if you get what I mean’</w:t>
      </w:r>
      <w:r w:rsidRPr="00296D0C">
        <w:t xml:space="preserve"> </w:t>
      </w:r>
      <w:r w:rsidRPr="00296D0C">
        <w:rPr>
          <w:b/>
        </w:rPr>
        <w:t>(male LEC, school 9)</w:t>
      </w:r>
    </w:p>
    <w:p w14:paraId="0AEE5F22" w14:textId="77777777" w:rsidR="00DB5BA7" w:rsidRPr="00296D0C" w:rsidRDefault="00DB5BA7" w:rsidP="00DC1DBA">
      <w:pPr>
        <w:spacing w:line="360" w:lineRule="auto"/>
        <w:ind w:left="720"/>
      </w:pPr>
      <w:r w:rsidRPr="00296D0C">
        <w:rPr>
          <w:i/>
        </w:rPr>
        <w:t xml:space="preserve">‘I found it like, we wrote a little note or I think one of my friends did it or we like look at the fridge with our magnet, the thing what you gave us, and then we, sometimes when I open </w:t>
      </w:r>
      <w:r w:rsidRPr="00296D0C">
        <w:rPr>
          <w:i/>
        </w:rPr>
        <w:lastRenderedPageBreak/>
        <w:t>the fridge I’m like, then I remember all the stuff I’ve been taught, and that’s how I remember and how I achieve my goals’</w:t>
      </w:r>
      <w:r w:rsidRPr="00296D0C">
        <w:t xml:space="preserve"> </w:t>
      </w:r>
      <w:r w:rsidRPr="00296D0C">
        <w:rPr>
          <w:b/>
        </w:rPr>
        <w:t>(female EC, school 12)</w:t>
      </w:r>
    </w:p>
    <w:p w14:paraId="60D1D587" w14:textId="2D2402FF" w:rsidR="00F04AC9" w:rsidRPr="00296D0C" w:rsidRDefault="00F04AC9" w:rsidP="00F04AC9">
      <w:pPr>
        <w:spacing w:line="360" w:lineRule="auto"/>
        <w:rPr>
          <w:rFonts w:cs="Arial"/>
          <w:noProof/>
        </w:rPr>
      </w:pPr>
      <w:r w:rsidRPr="00296D0C">
        <w:rPr>
          <w:rFonts w:cs="Arial"/>
          <w:noProof/>
        </w:rPr>
        <w:t>We know that changes at a family level can have a positive impact on children making changes to their eating and a</w:t>
      </w:r>
      <w:r w:rsidRPr="00296D0C">
        <w:rPr>
          <w:rFonts w:cs="Arial"/>
          <w:b/>
          <w:noProof/>
        </w:rPr>
        <w:t>c</w:t>
      </w:r>
      <w:r w:rsidRPr="00296D0C">
        <w:rPr>
          <w:rFonts w:cs="Arial"/>
          <w:noProof/>
        </w:rPr>
        <w:t>tivity behaviours</w:t>
      </w:r>
      <w:r w:rsidR="0017670E" w:rsidRPr="00296D0C">
        <w:rPr>
          <w:rFonts w:cs="Arial"/>
          <w:noProof/>
        </w:rPr>
        <w:t xml:space="preserve"> </w:t>
      </w:r>
      <w:r w:rsidR="00F8483C" w:rsidRPr="00296D0C">
        <w:rPr>
          <w:rFonts w:cs="Arial"/>
          <w:noProof/>
        </w:rPr>
        <w:fldChar w:fldCharType="begin"/>
      </w:r>
      <w:r w:rsidR="008C43BF">
        <w:rPr>
          <w:rFonts w:cs="Arial"/>
          <w:noProof/>
        </w:rPr>
        <w:instrText xml:space="preserve"> ADDIN EN.CITE &lt;EndNote&gt;&lt;Cite&gt;&lt;Author&gt;Pyper&lt;/Author&gt;&lt;Year&gt;2016&lt;/Year&gt;&lt;RecNum&gt;5808&lt;/RecNum&gt;&lt;DisplayText&gt;&lt;style face="superscript"&gt;127&lt;/style&gt;&lt;/DisplayText&gt;&lt;record&gt;&lt;rec-number&gt;5808&lt;/rec-number&gt;&lt;foreign-keys&gt;&lt;key app="EN" db-id="2ewa9rrvjsdsawep2vpx5x97eedzzvxx5rta" timestamp="1478861323"&gt;5808&lt;/key&gt;&lt;/foreign-keys&gt;&lt;ref-type name="Journal Article"&gt;17&lt;/ref-type&gt;&lt;contributors&gt;&lt;authors&gt;&lt;author&gt;Pyper, E.&lt;/author&gt;&lt;author&gt;Harrington, D.&lt;/author&gt;&lt;author&gt;Manson, H.&lt;/author&gt;&lt;/authors&gt;&lt;/contributors&gt;&lt;auth-address&gt;Public Health Ontario, 480 University Avenue, Suite 300, Toronto, Ontario, M5G 1V2, Canada. Evelyn.Pyper@oahpp.ca.&amp;#xD;Public Health Ontario, 480 University Avenue, Suite 300, Toronto, Ontario, M5G 1V2, Canada.&amp;#xD;School of Public Health and Health Systems, University of Waterloo, 200 University Avenue West, Waterloo, Ontario, Toronto, N2L 3G1, Canada.&amp;#xD;Dalla Lana School of Public Health, University of Toronto, 155 College Street, 6th floor, Toronto, Ontario, M5T 3M7, Canada.&lt;/auth-address&gt;&lt;titles&gt;&lt;title&gt;The impact of different types of parental support behaviours on child physical activity, healthy eating, and screen time: a cross-sectional study&lt;/title&gt;&lt;secondary-title&gt;BMC Public Health&lt;/secondary-title&gt;&lt;/titles&gt;&lt;periodical&gt;&lt;full-title&gt;BMC Public Health&lt;/full-title&gt;&lt;abbr-1&gt;BMC Public Health&lt;/abbr-1&gt;&lt;abbr-2&gt;BMC Public Health&lt;/abbr-2&gt;&lt;/periodical&gt;&lt;pages&gt;568&lt;/pages&gt;&lt;volume&gt;16&lt;/volume&gt;&lt;number&gt;1&lt;/number&gt;&lt;keywords&gt;&lt;keyword&gt;Child obesity&lt;/keyword&gt;&lt;keyword&gt;Healthy eating&lt;/keyword&gt;&lt;keyword&gt;Parent support behaviours&lt;/keyword&gt;&lt;keyword&gt;Physical activity&lt;/keyword&gt;&lt;keyword&gt;Screen time&lt;/keyword&gt;&lt;/keywords&gt;&lt;dates&gt;&lt;year&gt;2016&lt;/year&gt;&lt;pub-dates&gt;&lt;date&gt;Aug 24&lt;/date&gt;&lt;/pub-dates&gt;&lt;/dates&gt;&lt;isbn&gt;1471-2458 (Electronic)&amp;#xD;1471-2458 (Linking)&lt;/isbn&gt;&lt;accession-num&gt;27554089&lt;/accession-num&gt;&lt;urls&gt;&lt;related-urls&gt;&lt;url&gt;https://www.ncbi.nlm.nih.gov/pubmed/27554089&lt;/url&gt;&lt;/related-urls&gt;&lt;/urls&gt;&lt;custom2&gt;PMC4995744&lt;/custom2&gt;&lt;electronic-resource-num&gt;10.1186/s12889-016-3245-0&lt;/electronic-resource-num&gt;&lt;/record&gt;&lt;/Cite&gt;&lt;/EndNote&gt;</w:instrText>
      </w:r>
      <w:r w:rsidR="00F8483C" w:rsidRPr="00296D0C">
        <w:rPr>
          <w:rFonts w:cs="Arial"/>
          <w:noProof/>
        </w:rPr>
        <w:fldChar w:fldCharType="separate"/>
      </w:r>
      <w:r w:rsidR="008C43BF" w:rsidRPr="008C43BF">
        <w:rPr>
          <w:rFonts w:cs="Arial"/>
          <w:noProof/>
          <w:vertAlign w:val="superscript"/>
        </w:rPr>
        <w:t>127</w:t>
      </w:r>
      <w:r w:rsidR="00F8483C" w:rsidRPr="00296D0C">
        <w:rPr>
          <w:rFonts w:cs="Arial"/>
          <w:noProof/>
        </w:rPr>
        <w:fldChar w:fldCharType="end"/>
      </w:r>
      <w:r w:rsidRPr="00296D0C">
        <w:rPr>
          <w:rFonts w:cs="Arial"/>
          <w:noProof/>
        </w:rPr>
        <w:t>, and there was strong evidence for this from parents and children alike.  The results of the parent questionnaire indicated that 74% of families had made changes (</w:t>
      </w:r>
      <w:r w:rsidR="00FE6FD2" w:rsidRPr="00296D0C">
        <w:rPr>
          <w:rFonts w:cs="Arial"/>
          <w:noProof/>
        </w:rPr>
        <w:t>see Appendix</w:t>
      </w:r>
      <w:r w:rsidRPr="00296D0C">
        <w:rPr>
          <w:rFonts w:cs="Arial"/>
          <w:noProof/>
        </w:rPr>
        <w:t xml:space="preserve"> 1</w:t>
      </w:r>
      <w:r w:rsidR="007B3A2C">
        <w:rPr>
          <w:rFonts w:cs="Arial"/>
          <w:noProof/>
        </w:rPr>
        <w:t>7</w:t>
      </w:r>
      <w:r w:rsidRPr="00296D0C">
        <w:rPr>
          <w:rFonts w:cs="Arial"/>
          <w:noProof/>
        </w:rPr>
        <w:t>), with 78% of parents providing further details. These included providing less of the unhealthy foods in the household: ‘We don’t buy sweets/crisps to be kept in the house’ (</w:t>
      </w:r>
      <w:r w:rsidRPr="00296D0C">
        <w:rPr>
          <w:rFonts w:cs="Arial"/>
          <w:b/>
          <w:noProof/>
        </w:rPr>
        <w:t>Parent of an engaged girl, school 6</w:t>
      </w:r>
      <w:r w:rsidRPr="00296D0C">
        <w:rPr>
          <w:rFonts w:cs="Arial"/>
          <w:noProof/>
        </w:rPr>
        <w:t>); ‘Fizzy drinks replaced with squash and sparkling water’ (</w:t>
      </w:r>
      <w:r w:rsidRPr="00296D0C">
        <w:rPr>
          <w:rFonts w:cs="Arial"/>
          <w:b/>
          <w:noProof/>
        </w:rPr>
        <w:t>Parent of an engaged girl, school 14</w:t>
      </w:r>
      <w:r w:rsidRPr="00296D0C">
        <w:rPr>
          <w:rFonts w:cs="Arial"/>
          <w:noProof/>
        </w:rPr>
        <w:t>). Parents also reported spending more family time doing physical activity; ‘we spend more time at weekends going out. Sometimes cycling or walking or going on scooters.’</w:t>
      </w:r>
      <w:r w:rsidRPr="00296D0C">
        <w:t xml:space="preserve"> (</w:t>
      </w:r>
      <w:r w:rsidRPr="00296D0C">
        <w:rPr>
          <w:rFonts w:cs="Arial"/>
          <w:b/>
          <w:noProof/>
        </w:rPr>
        <w:t>Parent of an engaged girl, school 9</w:t>
      </w:r>
      <w:r w:rsidRPr="00296D0C">
        <w:rPr>
          <w:rFonts w:cs="Arial"/>
          <w:noProof/>
        </w:rPr>
        <w:t>);</w:t>
      </w:r>
      <w:r w:rsidRPr="00296D0C">
        <w:t xml:space="preserve"> ‘extra family walks, general family health and fitness’ (</w:t>
      </w:r>
      <w:r w:rsidRPr="00296D0C">
        <w:rPr>
          <w:rFonts w:cs="Arial"/>
          <w:b/>
          <w:noProof/>
        </w:rPr>
        <w:t>Parent of an engaged girl</w:t>
      </w:r>
      <w:r w:rsidRPr="00296D0C">
        <w:rPr>
          <w:b/>
        </w:rPr>
        <w:t>, school 11</w:t>
      </w:r>
      <w:r w:rsidRPr="00296D0C">
        <w:t>); ‘t</w:t>
      </w:r>
      <w:r w:rsidRPr="00296D0C">
        <w:rPr>
          <w:rFonts w:cs="Arial"/>
          <w:noProof/>
        </w:rPr>
        <w:t>ry not to have unhealthy snacks in the house, make conscious effort to get more exercise.’ (</w:t>
      </w:r>
      <w:r w:rsidRPr="00296D0C">
        <w:rPr>
          <w:rFonts w:cs="Arial"/>
          <w:b/>
          <w:noProof/>
        </w:rPr>
        <w:t>Parent of an engaged boy, school 1</w:t>
      </w:r>
      <w:r w:rsidRPr="00296D0C">
        <w:rPr>
          <w:rFonts w:cs="Arial"/>
          <w:noProof/>
        </w:rPr>
        <w:t>).</w:t>
      </w:r>
    </w:p>
    <w:p w14:paraId="067B736B" w14:textId="0E8A0AED" w:rsidR="00DB5BA7" w:rsidRPr="00296D0C" w:rsidRDefault="00DB5BA7" w:rsidP="00F04AC9">
      <w:pPr>
        <w:tabs>
          <w:tab w:val="right" w:pos="9026"/>
        </w:tabs>
        <w:spacing w:line="360" w:lineRule="auto"/>
        <w:rPr>
          <w:rFonts w:cs="Arial"/>
          <w:noProof/>
        </w:rPr>
      </w:pPr>
      <w:r w:rsidRPr="00296D0C">
        <w:rPr>
          <w:rFonts w:cs="Arial"/>
          <w:noProof/>
        </w:rPr>
        <w:t>This was also supported by the data from the parent interviews;</w:t>
      </w:r>
      <w:r w:rsidR="00F04AC9" w:rsidRPr="00296D0C">
        <w:rPr>
          <w:rFonts w:cs="Arial"/>
          <w:noProof/>
        </w:rPr>
        <w:tab/>
      </w:r>
    </w:p>
    <w:p w14:paraId="49077329" w14:textId="77777777" w:rsidR="00DB5BA7" w:rsidRPr="00296D0C" w:rsidRDefault="00DB5BA7" w:rsidP="00DC1DBA">
      <w:pPr>
        <w:spacing w:line="360" w:lineRule="auto"/>
        <w:ind w:left="720"/>
        <w:rPr>
          <w:rFonts w:cs="Arial"/>
          <w:b/>
          <w:noProof/>
        </w:rPr>
      </w:pPr>
      <w:r w:rsidRPr="00296D0C">
        <w:rPr>
          <w:rFonts w:cs="Arial"/>
          <w:i/>
          <w:noProof/>
        </w:rPr>
        <w:t xml:space="preserve">‘I’d always felt really guilty about them eating loads of biscuits, it’s just they are a really easy go to food in the tin and kind of this the healthy eating lifestyle if nothing else it just made me really  sit up and think about making changes as a family and so as a family you’ve got to change that and  if we change nothing else you do need to change that.’ </w:t>
      </w:r>
      <w:r w:rsidRPr="00296D0C">
        <w:rPr>
          <w:rFonts w:cs="Arial"/>
          <w:b/>
          <w:noProof/>
        </w:rPr>
        <w:t>(P, school 13)</w:t>
      </w:r>
    </w:p>
    <w:p w14:paraId="3DD9DAF0" w14:textId="77777777" w:rsidR="00DB5BA7" w:rsidRPr="00296D0C" w:rsidRDefault="00DB5BA7" w:rsidP="00DC1DBA">
      <w:pPr>
        <w:spacing w:line="360" w:lineRule="auto"/>
        <w:ind w:left="720"/>
      </w:pPr>
      <w:r w:rsidRPr="00296D0C">
        <w:rPr>
          <w:i/>
        </w:rPr>
        <w:t xml:space="preserve">‘Yeah definitely yeah because like you know if she would get a snack and she has a carrot, and then thinks oh yeah you will all have carrots, so in that respect you know she has pulled the whole family to a healthier snack rather than just herself. (I: Ok) Yes and you know obviously when she does go outside she’ll take at least one of her sisters or brother with her, so yes I suppose in that respect I ... no so much as discussing it with them or talk to them about it just by her actions really…’ </w:t>
      </w:r>
      <w:r w:rsidRPr="00296D0C">
        <w:rPr>
          <w:b/>
        </w:rPr>
        <w:t>(P, school 1)</w:t>
      </w:r>
    </w:p>
    <w:p w14:paraId="69B10A5E" w14:textId="77777777" w:rsidR="00DB5BA7" w:rsidRPr="00296D0C" w:rsidRDefault="00DB5BA7" w:rsidP="00DC1DBA">
      <w:pPr>
        <w:spacing w:line="360" w:lineRule="auto"/>
        <w:ind w:left="720"/>
      </w:pPr>
      <w:r w:rsidRPr="00296D0C">
        <w:rPr>
          <w:i/>
        </w:rPr>
        <w:t>‘It’s mainly the 80:20 (I: Yep) and we still talk about it now um we, we always have healthy food because that’s our 80 (I: Yeah) um and er we don’t have, we, I now don’t have any snacks in the house at all um where I would have done before.  I think it’s helped also that the children aren’t having packed lunches anymore as well, that helps not having snacks in the house (I: Yeah) and if they want to go and get a snack then that’s their 20 and they can walk to the shop and get it.’</w:t>
      </w:r>
      <w:r w:rsidRPr="00296D0C">
        <w:t xml:space="preserve"> </w:t>
      </w:r>
      <w:r w:rsidRPr="00296D0C">
        <w:rPr>
          <w:b/>
        </w:rPr>
        <w:t>(P, school 7)</w:t>
      </w:r>
    </w:p>
    <w:p w14:paraId="47E7A88A" w14:textId="77777777" w:rsidR="00DB5BA7" w:rsidRPr="00296D0C" w:rsidRDefault="00DB5BA7" w:rsidP="00DC1DBA">
      <w:pPr>
        <w:spacing w:line="360" w:lineRule="auto"/>
        <w:ind w:left="720"/>
      </w:pPr>
      <w:r w:rsidRPr="00296D0C">
        <w:rPr>
          <w:i/>
        </w:rPr>
        <w:t>‘Yes we definitely decreased the fruit juice that we have. I think all of us. I think I knew but it’s just having it reinforced cos you hear all sorts of things in the news.’</w:t>
      </w:r>
      <w:r w:rsidRPr="00296D0C">
        <w:t xml:space="preserve"> </w:t>
      </w:r>
      <w:r w:rsidRPr="00296D0C">
        <w:rPr>
          <w:b/>
        </w:rPr>
        <w:t>(P, school 10)</w:t>
      </w:r>
    </w:p>
    <w:p w14:paraId="170040BE" w14:textId="77777777" w:rsidR="004C0687" w:rsidRPr="00296D0C" w:rsidRDefault="00DB5BA7" w:rsidP="00DC1DBA">
      <w:pPr>
        <w:spacing w:line="360" w:lineRule="auto"/>
        <w:ind w:left="720"/>
        <w:rPr>
          <w:rFonts w:cs="Arial"/>
          <w:noProof/>
        </w:rPr>
      </w:pPr>
      <w:r w:rsidRPr="00296D0C">
        <w:rPr>
          <w:rFonts w:cs="Arial"/>
          <w:noProof/>
        </w:rPr>
        <w:lastRenderedPageBreak/>
        <w:t xml:space="preserve">In the focus groups, children (both the engaged and the less engaged group) also reported family changes. </w:t>
      </w:r>
    </w:p>
    <w:p w14:paraId="1D39A1A8" w14:textId="7FC07BEE" w:rsidR="00DB5BA7" w:rsidRPr="00296D0C" w:rsidRDefault="00DB5BA7" w:rsidP="00DC1DBA">
      <w:pPr>
        <w:spacing w:line="360" w:lineRule="auto"/>
        <w:ind w:left="720"/>
        <w:rPr>
          <w:rFonts w:cs="Arial"/>
          <w:b/>
          <w:noProof/>
        </w:rPr>
      </w:pPr>
      <w:r w:rsidRPr="00296D0C">
        <w:rPr>
          <w:rFonts w:cs="Arial"/>
          <w:i/>
          <w:noProof/>
        </w:rPr>
        <w:t xml:space="preserve">‘Well after I started being more healthy, the whole family kind of started, so now there is no chocolate in the way so you won’t be tempted and we buy more healthy things.’ </w:t>
      </w:r>
      <w:r w:rsidRPr="00296D0C">
        <w:rPr>
          <w:rFonts w:cs="Arial"/>
          <w:b/>
          <w:noProof/>
        </w:rPr>
        <w:t>(female EC, school 6)</w:t>
      </w:r>
    </w:p>
    <w:p w14:paraId="46FB769C" w14:textId="63392592" w:rsidR="00DB5BA7" w:rsidRPr="00296D0C" w:rsidRDefault="00DB5BA7" w:rsidP="00DC1DBA">
      <w:pPr>
        <w:spacing w:line="360" w:lineRule="auto"/>
        <w:ind w:left="720"/>
        <w:rPr>
          <w:rFonts w:cs="Arial"/>
          <w:i/>
          <w:noProof/>
        </w:rPr>
      </w:pPr>
      <w:r w:rsidRPr="00296D0C">
        <w:rPr>
          <w:rFonts w:cs="Arial"/>
          <w:i/>
          <w:noProof/>
        </w:rPr>
        <w:t xml:space="preserve">‘I’ve noticed that normally before the </w:t>
      </w:r>
      <w:r w:rsidR="00383B6B" w:rsidRPr="00296D0C">
        <w:rPr>
          <w:rFonts w:cs="Arial"/>
          <w:i/>
          <w:noProof/>
        </w:rPr>
        <w:t>H</w:t>
      </w:r>
      <w:r w:rsidRPr="00296D0C">
        <w:rPr>
          <w:rFonts w:cs="Arial"/>
          <w:i/>
          <w:noProof/>
        </w:rPr>
        <w:t xml:space="preserve">ealthy </w:t>
      </w:r>
      <w:r w:rsidR="00383B6B" w:rsidRPr="00296D0C">
        <w:rPr>
          <w:rFonts w:cs="Arial"/>
          <w:i/>
          <w:noProof/>
        </w:rPr>
        <w:t>L</w:t>
      </w:r>
      <w:r w:rsidRPr="00296D0C">
        <w:rPr>
          <w:rFonts w:cs="Arial"/>
          <w:i/>
          <w:noProof/>
        </w:rPr>
        <w:t xml:space="preserve">ifestyles </w:t>
      </w:r>
      <w:r w:rsidR="00383B6B" w:rsidRPr="00296D0C">
        <w:rPr>
          <w:rFonts w:cs="Arial"/>
          <w:i/>
          <w:noProof/>
        </w:rPr>
        <w:t>P</w:t>
      </w:r>
      <w:r w:rsidRPr="00296D0C">
        <w:rPr>
          <w:rFonts w:cs="Arial"/>
          <w:i/>
          <w:noProof/>
        </w:rPr>
        <w:t xml:space="preserve">rogramme we used to have our cupboards stocked with different unhealthy foods like chocolate bars and cakes but now 75% of them have been replaced now.’ </w:t>
      </w:r>
      <w:r w:rsidRPr="00296D0C">
        <w:rPr>
          <w:rFonts w:cs="Arial"/>
          <w:b/>
          <w:noProof/>
        </w:rPr>
        <w:t>(male LEC, school 9)</w:t>
      </w:r>
    </w:p>
    <w:p w14:paraId="38020A93" w14:textId="77777777" w:rsidR="00DB5BA7" w:rsidRPr="00296D0C" w:rsidRDefault="00DB5BA7" w:rsidP="00DC1DBA">
      <w:pPr>
        <w:spacing w:line="360" w:lineRule="auto"/>
        <w:ind w:left="720"/>
        <w:rPr>
          <w:rFonts w:cs="Arial"/>
          <w:b/>
          <w:noProof/>
        </w:rPr>
      </w:pPr>
      <w:r w:rsidRPr="00296D0C">
        <w:rPr>
          <w:rFonts w:cs="Arial"/>
          <w:i/>
          <w:noProof/>
        </w:rPr>
        <w:t xml:space="preserve">‘um yeah, we started doing more as a whole family together and going out more, like going on family walks on the weekend, instead of just having one person go out by themselves, and literally just going out all together.’ </w:t>
      </w:r>
      <w:r w:rsidRPr="00296D0C">
        <w:rPr>
          <w:rFonts w:cs="Arial"/>
          <w:b/>
          <w:noProof/>
        </w:rPr>
        <w:t>(male LEC, school 12)</w:t>
      </w:r>
    </w:p>
    <w:p w14:paraId="415C8351" w14:textId="77777777" w:rsidR="00DB5BA7" w:rsidRPr="00296D0C" w:rsidRDefault="00DB5BA7" w:rsidP="00DB5BA7">
      <w:pPr>
        <w:spacing w:after="0" w:line="360" w:lineRule="auto"/>
        <w:rPr>
          <w:i/>
        </w:rPr>
      </w:pPr>
    </w:p>
    <w:p w14:paraId="15269312" w14:textId="14E4869E" w:rsidR="00DB5BA7" w:rsidRPr="00296D0C" w:rsidRDefault="00DB5BA7" w:rsidP="00DB5BA7">
      <w:pPr>
        <w:spacing w:after="0" w:line="360" w:lineRule="auto"/>
        <w:ind w:left="360"/>
        <w:contextualSpacing/>
        <w:rPr>
          <w:i/>
        </w:rPr>
      </w:pPr>
      <w:r w:rsidRPr="00296D0C">
        <w:rPr>
          <w:b/>
          <w:i/>
        </w:rPr>
        <w:t xml:space="preserve">Research Question </w:t>
      </w:r>
      <w:r w:rsidR="00F21C70" w:rsidRPr="00296D0C">
        <w:rPr>
          <w:b/>
          <w:i/>
        </w:rPr>
        <w:t>5</w:t>
      </w:r>
      <w:r w:rsidRPr="00296D0C">
        <w:rPr>
          <w:b/>
          <w:i/>
        </w:rPr>
        <w:t>. Were there reported changes to children’s eating and physical activity behaviours</w:t>
      </w:r>
      <w:r w:rsidRPr="00296D0C">
        <w:rPr>
          <w:i/>
        </w:rPr>
        <w:t>?</w:t>
      </w:r>
    </w:p>
    <w:p w14:paraId="03E4C873" w14:textId="77777777" w:rsidR="00DB5BA7" w:rsidRPr="00296D0C" w:rsidRDefault="00DB5BA7" w:rsidP="00DB5BA7">
      <w:pPr>
        <w:spacing w:after="0" w:line="360" w:lineRule="auto"/>
        <w:ind w:left="720"/>
        <w:contextualSpacing/>
        <w:rPr>
          <w:i/>
        </w:rPr>
      </w:pPr>
    </w:p>
    <w:p w14:paraId="7AEA8C03" w14:textId="12DC5D1D" w:rsidR="00DB5BA7" w:rsidRPr="00296D0C" w:rsidRDefault="005C136E" w:rsidP="00DB5BA7">
      <w:pPr>
        <w:spacing w:line="360" w:lineRule="auto"/>
        <w:rPr>
          <w:rFonts w:cs="Arial"/>
          <w:noProof/>
        </w:rPr>
      </w:pPr>
      <w:r w:rsidRPr="00296D0C">
        <w:rPr>
          <w:rFonts w:cs="Arial"/>
          <w:noProof/>
        </w:rPr>
        <w:t xml:space="preserve">The focus group and interviews </w:t>
      </w:r>
      <w:r w:rsidR="00DB5BA7" w:rsidRPr="00296D0C">
        <w:rPr>
          <w:rFonts w:cs="Arial"/>
          <w:noProof/>
        </w:rPr>
        <w:t>suggested that children had made changes to their diet and/or activity/sedentary behaviours;</w:t>
      </w:r>
    </w:p>
    <w:p w14:paraId="130A3DB0" w14:textId="77777777" w:rsidR="00DB5BA7" w:rsidRPr="00296D0C" w:rsidRDefault="00DB5BA7" w:rsidP="00DC1DBA">
      <w:pPr>
        <w:spacing w:line="360" w:lineRule="auto"/>
        <w:ind w:left="720"/>
        <w:rPr>
          <w:rFonts w:cs="Arial"/>
          <w:i/>
          <w:noProof/>
        </w:rPr>
      </w:pPr>
      <w:r w:rsidRPr="00296D0C">
        <w:rPr>
          <w:rFonts w:cs="Arial"/>
          <w:i/>
          <w:noProof/>
        </w:rPr>
        <w:t xml:space="preserve">‘The one area that I did really notice that he picked up on is looking at ingredients of food. Looking at the percentage of fat in something and he’ll come home from school and rather than just asking for a biscuit he’ll go and get a huge carrot to have with it.’ </w:t>
      </w:r>
      <w:r w:rsidRPr="00296D0C">
        <w:rPr>
          <w:rFonts w:cs="Arial"/>
          <w:b/>
          <w:noProof/>
        </w:rPr>
        <w:t>(P, school 14)</w:t>
      </w:r>
    </w:p>
    <w:p w14:paraId="0AED4050" w14:textId="5993C993" w:rsidR="00DB5BA7" w:rsidRPr="00296D0C" w:rsidRDefault="00DB5BA7" w:rsidP="00DC1DBA">
      <w:pPr>
        <w:spacing w:line="360" w:lineRule="auto"/>
        <w:ind w:left="720"/>
        <w:rPr>
          <w:rFonts w:cs="Arial"/>
          <w:i/>
          <w:noProof/>
        </w:rPr>
      </w:pPr>
      <w:r w:rsidRPr="00296D0C">
        <w:rPr>
          <w:rFonts w:cs="Arial"/>
          <w:i/>
          <w:noProof/>
        </w:rPr>
        <w:t xml:space="preserve">‘So um she does tend to eat more fruit now and sort of she’s interested in trying new things and I think that’s probably one of the best things that’s come out of it (I: ahum) we’ve always had a battle with xxxx eating and that but since she’s done </w:t>
      </w:r>
      <w:r w:rsidR="00FE6FD2" w:rsidRPr="00296D0C">
        <w:rPr>
          <w:rFonts w:cs="Arial"/>
          <w:i/>
          <w:noProof/>
        </w:rPr>
        <w:t xml:space="preserve">the </w:t>
      </w:r>
      <w:r w:rsidR="009D57AD">
        <w:rPr>
          <w:rFonts w:cs="Arial"/>
          <w:i/>
          <w:noProof/>
        </w:rPr>
        <w:t>p</w:t>
      </w:r>
      <w:r w:rsidR="00FE6FD2" w:rsidRPr="00296D0C">
        <w:rPr>
          <w:rFonts w:cs="Arial"/>
          <w:i/>
          <w:noProof/>
        </w:rPr>
        <w:t>rogramme</w:t>
      </w:r>
      <w:r w:rsidRPr="00296D0C">
        <w:rPr>
          <w:rFonts w:cs="Arial"/>
          <w:i/>
          <w:noProof/>
        </w:rPr>
        <w:t xml:space="preserve"> she’s been willing to try.’ </w:t>
      </w:r>
      <w:r w:rsidRPr="00296D0C">
        <w:rPr>
          <w:rFonts w:cs="Arial"/>
          <w:b/>
          <w:noProof/>
        </w:rPr>
        <w:t>(P, school 4)</w:t>
      </w:r>
    </w:p>
    <w:p w14:paraId="4AC8F974" w14:textId="77777777" w:rsidR="00DB5BA7" w:rsidRPr="00296D0C" w:rsidRDefault="00DB5BA7" w:rsidP="00DC1DBA">
      <w:pPr>
        <w:spacing w:line="360" w:lineRule="auto"/>
        <w:ind w:left="720"/>
        <w:rPr>
          <w:rFonts w:cs="Arial"/>
          <w:noProof/>
        </w:rPr>
      </w:pPr>
      <w:r w:rsidRPr="00296D0C">
        <w:rPr>
          <w:rFonts w:cs="Arial"/>
          <w:noProof/>
        </w:rPr>
        <w:t xml:space="preserve">Teachers also reported being aware of changes the children had made; </w:t>
      </w:r>
    </w:p>
    <w:p w14:paraId="1B16C06B" w14:textId="15A8FD8C" w:rsidR="00DB5BA7" w:rsidRPr="00296D0C" w:rsidRDefault="00DB5BA7" w:rsidP="00DC1DBA">
      <w:pPr>
        <w:spacing w:after="0" w:line="360" w:lineRule="auto"/>
        <w:ind w:left="720"/>
        <w:rPr>
          <w:rFonts w:cs="Arial"/>
          <w:b/>
          <w:noProof/>
        </w:rPr>
      </w:pPr>
      <w:r w:rsidRPr="00296D0C">
        <w:rPr>
          <w:rFonts w:cs="Arial"/>
          <w:i/>
          <w:noProof/>
        </w:rPr>
        <w:t xml:space="preserve"> ‘it was perfect timing, to have that farm trip after the 80:20 </w:t>
      </w:r>
      <w:r w:rsidR="009D57AD">
        <w:rPr>
          <w:rFonts w:cs="Arial"/>
          <w:i/>
          <w:noProof/>
        </w:rPr>
        <w:t>p</w:t>
      </w:r>
      <w:r w:rsidRPr="00296D0C">
        <w:rPr>
          <w:rFonts w:cs="Arial"/>
          <w:i/>
          <w:noProof/>
        </w:rPr>
        <w:t xml:space="preserve">rogramme to see if they had adjusted their lunchboxes to be a little bit more, there was more water and less fizzy drinks, less sweets, more fruit. Because I went around looking at the packed lunches as we were sitting on these bales of hay, and it was a kind of relaxed fashion, and the children were just openly talking about it straight away. And I thought wow the impact has been good’ </w:t>
      </w:r>
      <w:r w:rsidRPr="00296D0C">
        <w:rPr>
          <w:rFonts w:cs="Arial"/>
          <w:b/>
          <w:noProof/>
        </w:rPr>
        <w:t>(T, school 13)</w:t>
      </w:r>
    </w:p>
    <w:p w14:paraId="52E08437" w14:textId="77777777" w:rsidR="00DB5BA7" w:rsidRPr="00296D0C" w:rsidRDefault="00DB5BA7" w:rsidP="00DC1DBA">
      <w:pPr>
        <w:spacing w:line="360" w:lineRule="auto"/>
        <w:rPr>
          <w:rFonts w:cs="Arial"/>
          <w:noProof/>
        </w:rPr>
      </w:pPr>
    </w:p>
    <w:p w14:paraId="0A3D066E" w14:textId="0F13A1FA" w:rsidR="00DB5BA7" w:rsidRPr="00296D0C" w:rsidRDefault="005C136E" w:rsidP="00DB5BA7">
      <w:pPr>
        <w:spacing w:after="0" w:line="360" w:lineRule="auto"/>
        <w:rPr>
          <w:rFonts w:cs="Arial"/>
          <w:noProof/>
        </w:rPr>
      </w:pPr>
      <w:r w:rsidRPr="00296D0C">
        <w:rPr>
          <w:rFonts w:cs="Arial"/>
          <w:noProof/>
        </w:rPr>
        <w:t>Evidence</w:t>
      </w:r>
      <w:r w:rsidR="00DB5BA7" w:rsidRPr="00296D0C">
        <w:rPr>
          <w:rFonts w:cs="Arial"/>
          <w:noProof/>
        </w:rPr>
        <w:t xml:space="preserve"> from the focus groups and interviews</w:t>
      </w:r>
      <w:r w:rsidRPr="00296D0C">
        <w:rPr>
          <w:rFonts w:cs="Arial"/>
          <w:noProof/>
        </w:rPr>
        <w:t xml:space="preserve"> of reported changes</w:t>
      </w:r>
      <w:r w:rsidR="00DB5BA7" w:rsidRPr="00296D0C">
        <w:rPr>
          <w:rFonts w:cs="Arial"/>
          <w:noProof/>
        </w:rPr>
        <w:t xml:space="preserve"> was supported by data from the parent questionnaire. Seventy seven percent of parents noticed changes in their child’s choice of snacks and 60% noticed changes in their choice of drinks. Fifty five percent of parents noticed changes to screen time, with 67% reporting changes to physical activity.</w:t>
      </w:r>
      <w:r w:rsidR="00586B44">
        <w:rPr>
          <w:rFonts w:cs="Arial"/>
          <w:noProof/>
        </w:rPr>
        <w:t xml:space="preserve"> </w:t>
      </w:r>
      <w:r w:rsidR="00DB5BA7" w:rsidRPr="00296D0C">
        <w:rPr>
          <w:rFonts w:cs="Arial"/>
          <w:noProof/>
        </w:rPr>
        <w:t>In re</w:t>
      </w:r>
      <w:r w:rsidR="00586B44">
        <w:rPr>
          <w:rFonts w:cs="Arial"/>
          <w:noProof/>
        </w:rPr>
        <w:t>s</w:t>
      </w:r>
      <w:r w:rsidR="00DB5BA7" w:rsidRPr="00296D0C">
        <w:rPr>
          <w:rFonts w:cs="Arial"/>
          <w:noProof/>
        </w:rPr>
        <w:t>ponse to the question asking whether any observed changes had been maintained, 78% reported that they had (</w:t>
      </w:r>
      <w:r w:rsidR="00FE6FD2" w:rsidRPr="00296D0C">
        <w:rPr>
          <w:rFonts w:cs="Arial"/>
          <w:noProof/>
        </w:rPr>
        <w:t>see Appendix</w:t>
      </w:r>
      <w:r w:rsidR="00DB5BA7" w:rsidRPr="00296D0C">
        <w:rPr>
          <w:rFonts w:cs="Arial"/>
          <w:noProof/>
        </w:rPr>
        <w:t xml:space="preserve"> 1</w:t>
      </w:r>
      <w:r w:rsidR="007B3A2C">
        <w:rPr>
          <w:rFonts w:cs="Arial"/>
          <w:noProof/>
        </w:rPr>
        <w:t>7</w:t>
      </w:r>
      <w:r w:rsidR="00DB5BA7" w:rsidRPr="00296D0C">
        <w:rPr>
          <w:rFonts w:cs="Arial"/>
          <w:noProof/>
        </w:rPr>
        <w:t>). When given the opportunity to provide details of these changes 89% of parents responded and provided a brief description of the change they had observed in their child. The majority of responses focused on changes in snack and drink choice for instance: ‘X will now opt for a piece of fruit instead of a choc</w:t>
      </w:r>
      <w:r w:rsidR="000103DC">
        <w:rPr>
          <w:rFonts w:cs="Arial"/>
          <w:noProof/>
        </w:rPr>
        <w:t>o</w:t>
      </w:r>
      <w:r w:rsidR="00DB5BA7" w:rsidRPr="00296D0C">
        <w:rPr>
          <w:rFonts w:cs="Arial"/>
          <w:noProof/>
        </w:rPr>
        <w:t>late bar/biscuit etc’</w:t>
      </w:r>
      <w:r w:rsidR="00DB5BA7" w:rsidRPr="00296D0C">
        <w:rPr>
          <w:rFonts w:cs="Arial"/>
          <w:b/>
          <w:noProof/>
        </w:rPr>
        <w:t xml:space="preserve"> (Parent of an engaged girl, school 5)</w:t>
      </w:r>
      <w:r w:rsidR="00DB5BA7" w:rsidRPr="00296D0C">
        <w:rPr>
          <w:rFonts w:cs="Arial"/>
          <w:noProof/>
        </w:rPr>
        <w:t xml:space="preserve"> or ‘Not drinking coke anymore’ </w:t>
      </w:r>
      <w:r w:rsidR="00DB5BA7" w:rsidRPr="00296D0C">
        <w:rPr>
          <w:rFonts w:cs="Arial"/>
          <w:b/>
          <w:noProof/>
        </w:rPr>
        <w:t>(Parent of an engaged girl, school 6).</w:t>
      </w:r>
      <w:r w:rsidR="00DB5BA7" w:rsidRPr="00296D0C">
        <w:rPr>
          <w:rFonts w:cs="Arial"/>
          <w:noProof/>
        </w:rPr>
        <w:t xml:space="preserve"> Parents also reported a raised awareness in their child around healthy choices ‘X is more aware of healthy choices and is much easier to divert to healthy alternatives.’ </w:t>
      </w:r>
      <w:r w:rsidR="00DB5BA7" w:rsidRPr="00296D0C">
        <w:rPr>
          <w:rFonts w:cs="Arial"/>
          <w:b/>
          <w:noProof/>
        </w:rPr>
        <w:t>(Parent of an engaged boy, school 10).</w:t>
      </w:r>
    </w:p>
    <w:p w14:paraId="622C5245" w14:textId="77777777" w:rsidR="00DB5BA7" w:rsidRPr="00296D0C" w:rsidRDefault="00DB5BA7" w:rsidP="00DB5BA7">
      <w:pPr>
        <w:spacing w:line="360" w:lineRule="auto"/>
        <w:rPr>
          <w:rFonts w:cs="Arial"/>
          <w:noProof/>
        </w:rPr>
      </w:pPr>
    </w:p>
    <w:p w14:paraId="595D16A1" w14:textId="77777777" w:rsidR="00DB5BA7" w:rsidRPr="00296D0C" w:rsidRDefault="00DB5BA7" w:rsidP="00DB5BA7">
      <w:pPr>
        <w:spacing w:line="360" w:lineRule="auto"/>
        <w:rPr>
          <w:rFonts w:cs="Arial"/>
          <w:noProof/>
        </w:rPr>
      </w:pPr>
      <w:r w:rsidRPr="00296D0C">
        <w:rPr>
          <w:rFonts w:cs="Arial"/>
          <w:noProof/>
        </w:rPr>
        <w:t xml:space="preserve">Parents identified increases in physical activity behaviour and their children taking up more clubs; ‘she increased time on the trampoline/outdoors regardless of the weather’ </w:t>
      </w:r>
      <w:r w:rsidRPr="00296D0C">
        <w:rPr>
          <w:rFonts w:cs="Arial"/>
          <w:b/>
          <w:noProof/>
        </w:rPr>
        <w:t>(Parent of an engaged girl, school 11); ‘</w:t>
      </w:r>
      <w:r w:rsidRPr="00296D0C">
        <w:rPr>
          <w:rFonts w:cs="Arial"/>
          <w:noProof/>
        </w:rPr>
        <w:t>understands more about the need to be physically active, i.e. joined the swimming club.’ (</w:t>
      </w:r>
      <w:r w:rsidRPr="00296D0C">
        <w:rPr>
          <w:rFonts w:cs="Arial"/>
          <w:b/>
          <w:noProof/>
        </w:rPr>
        <w:t>Parent of an engaged girl, school 8</w:t>
      </w:r>
      <w:r w:rsidRPr="00296D0C">
        <w:rPr>
          <w:rFonts w:cs="Arial"/>
          <w:noProof/>
        </w:rPr>
        <w:t>)</w:t>
      </w:r>
    </w:p>
    <w:p w14:paraId="6339F81A" w14:textId="77777777" w:rsidR="00DB5BA7" w:rsidRPr="00296D0C" w:rsidRDefault="00DB5BA7" w:rsidP="00DB5BA7">
      <w:pPr>
        <w:spacing w:line="360" w:lineRule="auto"/>
        <w:rPr>
          <w:rFonts w:cs="Arial"/>
          <w:b/>
          <w:noProof/>
        </w:rPr>
      </w:pPr>
      <w:r w:rsidRPr="00296D0C">
        <w:rPr>
          <w:rFonts w:cs="Arial"/>
          <w:noProof/>
        </w:rPr>
        <w:t xml:space="preserve">Parents also reported changes in screen time, although to a lesser degree; ‘screen time has reduced and sports has increased’ </w:t>
      </w:r>
      <w:r w:rsidRPr="00296D0C">
        <w:rPr>
          <w:rFonts w:cs="Arial"/>
          <w:b/>
          <w:noProof/>
        </w:rPr>
        <w:t>(Parent of an engaged boy, school 11);</w:t>
      </w:r>
      <w:r w:rsidRPr="00296D0C">
        <w:rPr>
          <w:rFonts w:cs="Arial"/>
          <w:noProof/>
        </w:rPr>
        <w:t xml:space="preserve"> ‘There was always a limit on screen play but we did not have to monitor it as much as he was more aware’ </w:t>
      </w:r>
      <w:r w:rsidRPr="00296D0C">
        <w:rPr>
          <w:rFonts w:cs="Arial"/>
          <w:b/>
          <w:noProof/>
        </w:rPr>
        <w:t xml:space="preserve">(Parent of an engaged boy, school 15). </w:t>
      </w:r>
    </w:p>
    <w:p w14:paraId="41EFE093" w14:textId="77777777" w:rsidR="00DB5BA7" w:rsidRPr="00296D0C" w:rsidRDefault="00DB5BA7" w:rsidP="00A00706">
      <w:pPr>
        <w:rPr>
          <w:rFonts w:eastAsiaTheme="majorEastAsia" w:cs="Arial"/>
          <w:b/>
          <w:bCs/>
          <w:noProof/>
        </w:rPr>
      </w:pPr>
      <w:r w:rsidRPr="00296D0C">
        <w:rPr>
          <w:rFonts w:eastAsiaTheme="majorEastAsia" w:cs="Arial"/>
          <w:b/>
          <w:bCs/>
          <w:noProof/>
        </w:rPr>
        <w:t>Adverse events</w:t>
      </w:r>
    </w:p>
    <w:p w14:paraId="67D72A0E" w14:textId="652999DF" w:rsidR="005C136E" w:rsidRPr="00296D0C" w:rsidRDefault="005C136E" w:rsidP="005C136E">
      <w:pPr>
        <w:spacing w:after="0" w:line="360" w:lineRule="auto"/>
        <w:rPr>
          <w:rFonts w:eastAsia="Times New Roman" w:cs="Arial"/>
        </w:rPr>
      </w:pPr>
      <w:r w:rsidRPr="00296D0C">
        <w:rPr>
          <w:rFonts w:cs="Arial"/>
          <w:noProof/>
        </w:rPr>
        <w:t xml:space="preserve">There was one reported adverse across the duration of the five year trial. A HeLP Coordinator (HC) received an email from </w:t>
      </w:r>
      <w:r w:rsidRPr="00296D0C">
        <w:rPr>
          <w:rFonts w:eastAsia="Times New Roman" w:cs="Arial"/>
        </w:rPr>
        <w:t xml:space="preserve">a mother of a child from intervention school 16, following the Healthy Lifestyles Week, regarding unhealthy exercising and eating behaviours of her daughter. The Trial Manager spoke to the mother and followed up with an email with the actions made as a result of her concerns. She was happy for her child to continue with </w:t>
      </w:r>
      <w:r w:rsidR="00FE6FD2" w:rsidRPr="00296D0C">
        <w:rPr>
          <w:rFonts w:eastAsia="Times New Roman" w:cs="Arial"/>
        </w:rPr>
        <w:t xml:space="preserve">the </w:t>
      </w:r>
      <w:r w:rsidR="009D57AD">
        <w:rPr>
          <w:rFonts w:eastAsia="Times New Roman" w:cs="Arial"/>
        </w:rPr>
        <w:t>p</w:t>
      </w:r>
      <w:r w:rsidR="00FE6FD2" w:rsidRPr="00296D0C">
        <w:rPr>
          <w:rFonts w:eastAsia="Times New Roman" w:cs="Arial"/>
        </w:rPr>
        <w:t>rogramme</w:t>
      </w:r>
      <w:r w:rsidRPr="00296D0C">
        <w:rPr>
          <w:rFonts w:eastAsia="Times New Roman" w:cs="Arial"/>
        </w:rPr>
        <w:t xml:space="preserve"> and the </w:t>
      </w:r>
      <w:r w:rsidRPr="00296D0C">
        <w:t>HeLP Coordinator</w:t>
      </w:r>
      <w:r w:rsidRPr="00296D0C">
        <w:rPr>
          <w:rFonts w:eastAsia="Times New Roman" w:cs="Arial"/>
        </w:rPr>
        <w:t xml:space="preserve"> subsequently set goals with the child that did not focus on changing her physical activity or dietary behaviours (which were already meeting the 80/20 balance). The </w:t>
      </w:r>
      <w:r w:rsidRPr="00296D0C">
        <w:t>HeLP Coordinator</w:t>
      </w:r>
      <w:r w:rsidRPr="00296D0C">
        <w:rPr>
          <w:rFonts w:eastAsia="Times New Roman" w:cs="Arial"/>
        </w:rPr>
        <w:t xml:space="preserve"> informed both the school head and the class teacher of this event and all were very supportive of </w:t>
      </w:r>
      <w:r w:rsidR="00FE6FD2" w:rsidRPr="00296D0C">
        <w:rPr>
          <w:rFonts w:eastAsia="Times New Roman" w:cs="Arial"/>
        </w:rPr>
        <w:t xml:space="preserve">the </w:t>
      </w:r>
      <w:r w:rsidR="009D57AD">
        <w:rPr>
          <w:rFonts w:eastAsia="Times New Roman" w:cs="Arial"/>
        </w:rPr>
        <w:t>p</w:t>
      </w:r>
      <w:r w:rsidR="00FE6FD2" w:rsidRPr="00296D0C">
        <w:rPr>
          <w:rFonts w:eastAsia="Times New Roman" w:cs="Arial"/>
        </w:rPr>
        <w:t>rogramme</w:t>
      </w:r>
      <w:r w:rsidRPr="00296D0C">
        <w:rPr>
          <w:rFonts w:eastAsia="Times New Roman" w:cs="Arial"/>
        </w:rPr>
        <w:t xml:space="preserve"> and the way the messages were delivered.</w:t>
      </w:r>
    </w:p>
    <w:p w14:paraId="447544CF" w14:textId="77777777" w:rsidR="005C136E" w:rsidRPr="00296D0C" w:rsidRDefault="005C136E" w:rsidP="005C136E">
      <w:pPr>
        <w:spacing w:after="0" w:line="360" w:lineRule="auto"/>
        <w:rPr>
          <w:rFonts w:eastAsia="Times New Roman" w:cs="Arial"/>
        </w:rPr>
      </w:pPr>
      <w:r w:rsidRPr="00296D0C">
        <w:rPr>
          <w:rFonts w:eastAsia="Times New Roman" w:cs="Arial"/>
        </w:rPr>
        <w:lastRenderedPageBreak/>
        <w:t>The Trial Manager subsequently interviewed the mother following the completion of the intervention. Below are specific quotes from the parent relating to this event:</w:t>
      </w:r>
    </w:p>
    <w:p w14:paraId="61DD9E5A" w14:textId="77777777" w:rsidR="005C136E" w:rsidRPr="00296D0C" w:rsidRDefault="005C136E" w:rsidP="005C136E">
      <w:pPr>
        <w:tabs>
          <w:tab w:val="center" w:pos="4513"/>
        </w:tabs>
        <w:spacing w:after="0" w:line="360" w:lineRule="auto"/>
        <w:rPr>
          <w:i/>
        </w:rPr>
      </w:pPr>
    </w:p>
    <w:p w14:paraId="1049C20E" w14:textId="0800DD27" w:rsidR="00DB5BA7" w:rsidRPr="00296D0C" w:rsidRDefault="00DB5BA7" w:rsidP="00DC1DBA">
      <w:pPr>
        <w:spacing w:after="0" w:line="360" w:lineRule="auto"/>
        <w:ind w:left="720"/>
        <w:rPr>
          <w:i/>
        </w:rPr>
      </w:pPr>
      <w:r w:rsidRPr="00296D0C">
        <w:rPr>
          <w:i/>
        </w:rPr>
        <w:t xml:space="preserve">‘Towards the end of </w:t>
      </w:r>
      <w:r w:rsidR="00FE6FD2" w:rsidRPr="00296D0C">
        <w:rPr>
          <w:i/>
        </w:rPr>
        <w:t xml:space="preserve">the </w:t>
      </w:r>
      <w:r w:rsidR="009D57AD">
        <w:rPr>
          <w:i/>
        </w:rPr>
        <w:t>p</w:t>
      </w:r>
      <w:r w:rsidR="00FE6FD2" w:rsidRPr="00296D0C">
        <w:rPr>
          <w:i/>
        </w:rPr>
        <w:t>rogramme</w:t>
      </w:r>
      <w:r w:rsidRPr="00296D0C">
        <w:rPr>
          <w:i/>
        </w:rPr>
        <w:t xml:space="preserve"> what was very good was that the team spoke to her after we chatted, and made that clear to her and suggested that she come up with goals that would help the family and that was a really good thing to do as it enabled her to use her imagination and to take what she’d learnt and put it into practice but without inflicting on herself which she didn’t need to do.………… ‘Overall I think the message that they were left with was pretty good. I was happy that it kind of reinforced what we’ve always tried to teach them at home as well’.</w:t>
      </w:r>
    </w:p>
    <w:p w14:paraId="1E275166" w14:textId="2D89C60B" w:rsidR="00DB5BA7" w:rsidRPr="00296D0C" w:rsidRDefault="00A00706" w:rsidP="00764A81">
      <w:pPr>
        <w:keepNext/>
        <w:keepLines/>
        <w:spacing w:before="200" w:after="0"/>
        <w:outlineLvl w:val="2"/>
        <w:rPr>
          <w:rFonts w:eastAsiaTheme="majorEastAsia" w:cstheme="majorBidi"/>
          <w:b/>
          <w:bCs/>
          <w:noProof/>
        </w:rPr>
      </w:pPr>
      <w:bookmarkStart w:id="573" w:name="_Toc466710114"/>
      <w:bookmarkStart w:id="574" w:name="_Toc466711462"/>
      <w:bookmarkStart w:id="575" w:name="_Toc466712121"/>
      <w:bookmarkStart w:id="576" w:name="_Toc475974389"/>
      <w:r w:rsidRPr="00296D0C">
        <w:rPr>
          <w:rFonts w:eastAsiaTheme="majorEastAsia" w:cstheme="majorBidi"/>
          <w:b/>
          <w:bCs/>
          <w:noProof/>
        </w:rPr>
        <w:t>5.</w:t>
      </w:r>
      <w:r w:rsidR="00764A81" w:rsidRPr="00296D0C">
        <w:rPr>
          <w:rFonts w:eastAsiaTheme="majorEastAsia" w:cstheme="majorBidi"/>
          <w:b/>
          <w:bCs/>
          <w:noProof/>
        </w:rPr>
        <w:t>2.</w:t>
      </w:r>
      <w:r w:rsidR="005F6B15" w:rsidRPr="00296D0C">
        <w:rPr>
          <w:rFonts w:eastAsiaTheme="majorEastAsia" w:cstheme="majorBidi"/>
          <w:b/>
          <w:bCs/>
          <w:noProof/>
        </w:rPr>
        <w:t>3</w:t>
      </w:r>
      <w:r w:rsidRPr="00296D0C">
        <w:rPr>
          <w:rFonts w:eastAsiaTheme="majorEastAsia" w:cstheme="majorBidi"/>
          <w:b/>
          <w:bCs/>
          <w:noProof/>
        </w:rPr>
        <w:t xml:space="preserve"> </w:t>
      </w:r>
      <w:r w:rsidR="00DB5BA7" w:rsidRPr="00296D0C">
        <w:rPr>
          <w:rFonts w:eastAsiaTheme="majorEastAsia" w:cstheme="majorBidi"/>
          <w:b/>
          <w:bCs/>
          <w:noProof/>
        </w:rPr>
        <w:t>Summary</w:t>
      </w:r>
      <w:bookmarkEnd w:id="573"/>
      <w:bookmarkEnd w:id="574"/>
      <w:bookmarkEnd w:id="575"/>
      <w:bookmarkEnd w:id="576"/>
    </w:p>
    <w:p w14:paraId="656A89E6" w14:textId="77777777" w:rsidR="00DB5BA7" w:rsidRPr="00296D0C" w:rsidRDefault="00DB5BA7" w:rsidP="00DB5BA7">
      <w:pPr>
        <w:spacing w:line="360" w:lineRule="auto"/>
        <w:rPr>
          <w:rFonts w:cs="Times New Roman"/>
        </w:rPr>
      </w:pPr>
      <w:r w:rsidRPr="00296D0C">
        <w:rPr>
          <w:rFonts w:cs="Times New Roman"/>
        </w:rPr>
        <w:t xml:space="preserve">The HeLP intervention was delivered with a very high degree of fidelity to content and in the spirit of HeLP; moreover, 95% of children received what was considered to be the necessary ‘dose’ for behaviour change. Pre-specified assessment criteria of engagement and interview and focus group data from teachers, parents and children showed that HeLP appeared to engage schools, children and their families across the socioeconomic spectrum. </w:t>
      </w:r>
    </w:p>
    <w:p w14:paraId="43392036" w14:textId="7F15BE39" w:rsidR="00DB5BA7" w:rsidRPr="00296D0C" w:rsidRDefault="00DB5BA7" w:rsidP="00DB5BA7">
      <w:pPr>
        <w:spacing w:line="360" w:lineRule="auto"/>
        <w:rPr>
          <w:rFonts w:cs="Times New Roman"/>
        </w:rPr>
      </w:pPr>
      <w:r w:rsidRPr="00296D0C">
        <w:rPr>
          <w:rFonts w:cs="Times New Roman"/>
        </w:rPr>
        <w:t xml:space="preserve">There was no evidence to support the possibility of differential take up or engagement with </w:t>
      </w:r>
      <w:r w:rsidR="00FE6FD2" w:rsidRPr="00296D0C">
        <w:rPr>
          <w:rFonts w:cs="Times New Roman"/>
        </w:rPr>
        <w:t xml:space="preserve">the </w:t>
      </w:r>
      <w:r w:rsidR="009D57AD">
        <w:rPr>
          <w:rFonts w:cs="Times New Roman"/>
        </w:rPr>
        <w:t>p</w:t>
      </w:r>
      <w:r w:rsidR="00FE6FD2" w:rsidRPr="00296D0C">
        <w:rPr>
          <w:rFonts w:cs="Times New Roman"/>
        </w:rPr>
        <w:t>rogramme</w:t>
      </w:r>
      <w:r w:rsidRPr="00296D0C">
        <w:rPr>
          <w:rFonts w:cs="Times New Roman"/>
        </w:rPr>
        <w:t xml:space="preserve"> by school, gender or child-level socioeconomic status. This may be due to the engagement scores we developed not being sufficiently nuanced to capture actual engagement </w:t>
      </w:r>
      <w:r w:rsidR="00AC51B0">
        <w:rPr>
          <w:rFonts w:cs="Times New Roman"/>
        </w:rPr>
        <w:t>and</w:t>
      </w:r>
      <w:r w:rsidRPr="00296D0C">
        <w:rPr>
          <w:rFonts w:cs="Times New Roman"/>
        </w:rPr>
        <w:t xml:space="preserve"> data from parent questionnaire</w:t>
      </w:r>
      <w:r w:rsidR="00AC51B0">
        <w:rPr>
          <w:rFonts w:cs="Times New Roman"/>
        </w:rPr>
        <w:t>s</w:t>
      </w:r>
      <w:r w:rsidRPr="00296D0C">
        <w:rPr>
          <w:rFonts w:cs="Times New Roman"/>
        </w:rPr>
        <w:t>, inter</w:t>
      </w:r>
      <w:r w:rsidR="00AC51B0">
        <w:rPr>
          <w:rFonts w:cs="Times New Roman"/>
        </w:rPr>
        <w:t>views and focus groups all</w:t>
      </w:r>
      <w:r w:rsidRPr="00296D0C">
        <w:rPr>
          <w:rFonts w:cs="Times New Roman"/>
        </w:rPr>
        <w:t xml:space="preserve"> suggested high levels of engagement </w:t>
      </w:r>
      <w:r w:rsidR="00AC51B0">
        <w:rPr>
          <w:rFonts w:cs="Times New Roman"/>
        </w:rPr>
        <w:t>as well as</w:t>
      </w:r>
      <w:r w:rsidRPr="00296D0C">
        <w:rPr>
          <w:rFonts w:cs="Times New Roman"/>
        </w:rPr>
        <w:t xml:space="preserve"> reported changes in the targeted behaviours. However, there was evidence from the focus groups in particular, that children experienced most difficulty in setting and achieving their goals if they did not have sufficient support from home. All teachers were very positive about </w:t>
      </w:r>
      <w:r w:rsidR="00FE6FD2" w:rsidRPr="00296D0C">
        <w:rPr>
          <w:rFonts w:cs="Times New Roman"/>
        </w:rPr>
        <w:t xml:space="preserve">the </w:t>
      </w:r>
      <w:r w:rsidR="009D57AD">
        <w:rPr>
          <w:rFonts w:cs="Times New Roman"/>
        </w:rPr>
        <w:t>p</w:t>
      </w:r>
      <w:r w:rsidR="00FE6FD2" w:rsidRPr="00296D0C">
        <w:rPr>
          <w:rFonts w:cs="Times New Roman"/>
        </w:rPr>
        <w:t>rogramme</w:t>
      </w:r>
      <w:r w:rsidRPr="00296D0C">
        <w:rPr>
          <w:rFonts w:cs="Times New Roman"/>
        </w:rPr>
        <w:t xml:space="preserve"> and had no negative comments about the delivery or impact on their workload. </w:t>
      </w:r>
    </w:p>
    <w:p w14:paraId="21159E23" w14:textId="3C91E3E9" w:rsidR="00DB5BA7" w:rsidRPr="00296D0C" w:rsidRDefault="004C0687" w:rsidP="00DB5BA7">
      <w:pPr>
        <w:spacing w:after="0" w:line="360" w:lineRule="auto"/>
        <w:rPr>
          <w:rFonts w:eastAsiaTheme="minorHAnsi"/>
          <w:lang w:eastAsia="en-US"/>
        </w:rPr>
      </w:pPr>
      <w:r w:rsidRPr="00296D0C">
        <w:rPr>
          <w:rFonts w:eastAsiaTheme="minorHAnsi"/>
          <w:lang w:eastAsia="en-US"/>
        </w:rPr>
        <w:t>Despite the reported changes</w:t>
      </w:r>
      <w:r w:rsidR="005C136E" w:rsidRPr="00296D0C">
        <w:rPr>
          <w:rFonts w:eastAsiaTheme="minorHAnsi"/>
          <w:lang w:eastAsia="en-US"/>
        </w:rPr>
        <w:t xml:space="preserve">, the results of the trial showed no differences in physical activity or sedentary behaviours between the children in the intervention and control schools, although a difference was observed in favour of the intervention </w:t>
      </w:r>
      <w:r w:rsidR="00CC5FDF">
        <w:rPr>
          <w:rFonts w:eastAsiaTheme="minorHAnsi"/>
          <w:lang w:eastAsia="en-US"/>
        </w:rPr>
        <w:t>fewer types of energy dense snacks and negative food markers</w:t>
      </w:r>
      <w:r w:rsidR="005C136E" w:rsidRPr="00296D0C">
        <w:rPr>
          <w:rFonts w:eastAsiaTheme="minorHAnsi"/>
          <w:lang w:eastAsia="en-US"/>
        </w:rPr>
        <w:t>.</w:t>
      </w:r>
      <w:r w:rsidRPr="00296D0C">
        <w:rPr>
          <w:rFonts w:eastAsiaTheme="minorHAnsi"/>
          <w:lang w:eastAsia="en-US"/>
        </w:rPr>
        <w:t xml:space="preserve"> </w:t>
      </w:r>
      <w:r w:rsidR="00DB5BA7" w:rsidRPr="00296D0C">
        <w:rPr>
          <w:rFonts w:eastAsiaTheme="minorHAnsi"/>
          <w:lang w:eastAsia="en-US"/>
        </w:rPr>
        <w:t>T</w:t>
      </w:r>
      <w:r w:rsidR="005C136E" w:rsidRPr="00296D0C">
        <w:rPr>
          <w:rFonts w:eastAsiaTheme="minorHAnsi"/>
          <w:lang w:eastAsia="en-US"/>
        </w:rPr>
        <w:t xml:space="preserve">here are </w:t>
      </w:r>
      <w:r w:rsidR="00DB5BA7" w:rsidRPr="00296D0C">
        <w:rPr>
          <w:rFonts w:eastAsiaTheme="minorHAnsi"/>
          <w:lang w:eastAsia="en-US"/>
        </w:rPr>
        <w:t>very little data to explain why the reported changes did not translate into measurable differences especially with regard to physical activity</w:t>
      </w:r>
      <w:r w:rsidRPr="00296D0C">
        <w:rPr>
          <w:rFonts w:eastAsiaTheme="minorHAnsi"/>
          <w:lang w:eastAsia="en-US"/>
        </w:rPr>
        <w:t>. This</w:t>
      </w:r>
      <w:r w:rsidR="00DB5BA7" w:rsidRPr="00296D0C">
        <w:rPr>
          <w:rFonts w:eastAsiaTheme="minorHAnsi"/>
          <w:lang w:eastAsia="en-US"/>
        </w:rPr>
        <w:t xml:space="preserve"> was the most common goal set by the children, although fewer examples of how this was achieved were reported in the interviews and focus groups.</w:t>
      </w:r>
      <w:r w:rsidR="002E7876">
        <w:rPr>
          <w:rFonts w:eastAsiaTheme="minorHAnsi"/>
          <w:lang w:eastAsia="en-US"/>
        </w:rPr>
        <w:t xml:space="preserve"> The most likely explanation is that </w:t>
      </w:r>
      <w:r w:rsidR="00AC51B0">
        <w:rPr>
          <w:rFonts w:eastAsiaTheme="minorHAnsi"/>
          <w:lang w:eastAsia="en-US"/>
        </w:rPr>
        <w:t>the</w:t>
      </w:r>
      <w:r w:rsidR="0037597A" w:rsidRPr="00296D0C">
        <w:rPr>
          <w:rFonts w:eastAsiaTheme="minorHAnsi"/>
          <w:lang w:eastAsia="en-US"/>
        </w:rPr>
        <w:t xml:space="preserve"> changes </w:t>
      </w:r>
      <w:r w:rsidRPr="00296D0C">
        <w:rPr>
          <w:rFonts w:eastAsiaTheme="minorHAnsi"/>
          <w:lang w:eastAsia="en-US"/>
        </w:rPr>
        <w:t>that were discussed in the focus groups, interviews and questionnaires</w:t>
      </w:r>
      <w:r w:rsidR="0037597A" w:rsidRPr="00296D0C">
        <w:rPr>
          <w:rFonts w:eastAsiaTheme="minorHAnsi"/>
          <w:lang w:eastAsia="en-US"/>
        </w:rPr>
        <w:t xml:space="preserve"> </w:t>
      </w:r>
      <w:r w:rsidR="00DB5BA7" w:rsidRPr="00296D0C">
        <w:rPr>
          <w:rFonts w:eastAsiaTheme="minorHAnsi"/>
          <w:lang w:eastAsia="en-US"/>
        </w:rPr>
        <w:t>were not of sufficient intensity or duration for their effect to be captured at 18 month follow up.</w:t>
      </w:r>
    </w:p>
    <w:p w14:paraId="55607AF5" w14:textId="77777777" w:rsidR="00DB5BA7" w:rsidRPr="00296D0C" w:rsidRDefault="00DB5BA7" w:rsidP="00DB5BA7">
      <w:pPr>
        <w:spacing w:after="0" w:line="360" w:lineRule="auto"/>
        <w:rPr>
          <w:rFonts w:eastAsiaTheme="minorHAnsi"/>
          <w:lang w:eastAsia="en-US"/>
        </w:rPr>
      </w:pPr>
    </w:p>
    <w:p w14:paraId="7159E576" w14:textId="4C435C45" w:rsidR="00DB5BA7" w:rsidRPr="00296D0C" w:rsidRDefault="00DB5BA7" w:rsidP="00DB5BA7">
      <w:pPr>
        <w:spacing w:after="0" w:line="360" w:lineRule="auto"/>
        <w:rPr>
          <w:rFonts w:cs="Times New Roman"/>
        </w:rPr>
      </w:pPr>
      <w:r w:rsidRPr="00296D0C">
        <w:rPr>
          <w:rFonts w:cs="Times New Roman"/>
        </w:rPr>
        <w:t xml:space="preserve">A limitation of the process evaluation was the low response rate (25%) from parents to the questionnaire (which </w:t>
      </w:r>
      <w:r w:rsidR="004C0687" w:rsidRPr="00296D0C">
        <w:rPr>
          <w:rFonts w:cs="Times New Roman"/>
        </w:rPr>
        <w:t xml:space="preserve">also </w:t>
      </w:r>
      <w:r w:rsidRPr="00296D0C">
        <w:rPr>
          <w:rFonts w:cs="Times New Roman"/>
        </w:rPr>
        <w:t xml:space="preserve">formed the pool for parent interviews), which limits the strength of the data in relation to reported behaviour change as well as the ability of the data to represent all participating parents. </w:t>
      </w:r>
      <w:r w:rsidR="000524B7" w:rsidRPr="00296D0C">
        <w:rPr>
          <w:rFonts w:cs="Times New Roman"/>
        </w:rPr>
        <w:t>Eighty seven percent of parents interviewed were considered to be ‘engaged’ with HeLP, based on pre-specified criteria, compared to 77% of the whole sample, although their socioeconomic status was similar to that of all parents</w:t>
      </w:r>
      <w:r w:rsidR="005C136E" w:rsidRPr="00296D0C">
        <w:rPr>
          <w:rFonts w:cs="Times New Roman"/>
        </w:rPr>
        <w:t>.</w:t>
      </w:r>
    </w:p>
    <w:p w14:paraId="6352529D" w14:textId="23B37D92" w:rsidR="00D41B61" w:rsidRPr="00296D0C" w:rsidRDefault="00D41B61" w:rsidP="00937579">
      <w:pPr>
        <w:keepNext/>
        <w:keepLines/>
        <w:spacing w:before="200" w:after="0"/>
        <w:outlineLvl w:val="1"/>
        <w:rPr>
          <w:rFonts w:eastAsia="Times New Roman" w:cs="Times New Roman"/>
          <w:b/>
          <w:bCs/>
        </w:rPr>
      </w:pPr>
      <w:bookmarkStart w:id="577" w:name="_Toc466639072"/>
      <w:bookmarkStart w:id="578" w:name="_Toc466710115"/>
      <w:bookmarkStart w:id="579" w:name="_Toc466711463"/>
      <w:bookmarkStart w:id="580" w:name="_Toc466712122"/>
      <w:bookmarkStart w:id="581" w:name="_Toc475974390"/>
      <w:bookmarkEnd w:id="572"/>
      <w:r w:rsidRPr="00296D0C">
        <w:rPr>
          <w:rFonts w:eastAsia="Times New Roman" w:cs="Times New Roman"/>
          <w:b/>
          <w:bCs/>
        </w:rPr>
        <w:t xml:space="preserve">5.3 </w:t>
      </w:r>
      <w:r w:rsidR="004C0687" w:rsidRPr="00296D0C">
        <w:rPr>
          <w:rFonts w:eastAsia="Times New Roman" w:cs="Times New Roman"/>
          <w:b/>
          <w:bCs/>
        </w:rPr>
        <w:t>Section 2: Mediation</w:t>
      </w:r>
      <w:r w:rsidRPr="00296D0C">
        <w:rPr>
          <w:rFonts w:eastAsia="Times New Roman" w:cs="Times New Roman"/>
          <w:b/>
          <w:bCs/>
        </w:rPr>
        <w:t xml:space="preserve"> Analyses</w:t>
      </w:r>
      <w:bookmarkEnd w:id="577"/>
      <w:bookmarkEnd w:id="578"/>
      <w:bookmarkEnd w:id="579"/>
      <w:bookmarkEnd w:id="580"/>
      <w:bookmarkEnd w:id="581"/>
    </w:p>
    <w:p w14:paraId="6838488B" w14:textId="4DDA3FE2" w:rsidR="00D41B61" w:rsidRPr="00296D0C" w:rsidRDefault="00937579" w:rsidP="00937579">
      <w:pPr>
        <w:pStyle w:val="Heading3"/>
        <w:rPr>
          <w:rFonts w:asciiTheme="minorHAnsi" w:eastAsia="Calibri" w:hAnsiTheme="minorHAnsi" w:cs="Times New Roman"/>
          <w:b w:val="0"/>
        </w:rPr>
      </w:pPr>
      <w:bookmarkStart w:id="582" w:name="_Toc466710116"/>
      <w:bookmarkStart w:id="583" w:name="_Toc466711464"/>
      <w:bookmarkStart w:id="584" w:name="_Toc466712123"/>
      <w:bookmarkStart w:id="585" w:name="_Toc475974391"/>
      <w:r w:rsidRPr="00296D0C">
        <w:rPr>
          <w:rFonts w:asciiTheme="minorHAnsi" w:eastAsia="Calibri" w:hAnsiTheme="minorHAnsi" w:cs="Times New Roman"/>
        </w:rPr>
        <w:t xml:space="preserve">5.3.1 </w:t>
      </w:r>
      <w:r w:rsidR="00D41B61" w:rsidRPr="00296D0C">
        <w:rPr>
          <w:rFonts w:asciiTheme="minorHAnsi" w:eastAsia="Calibri" w:hAnsiTheme="minorHAnsi" w:cs="Times New Roman"/>
        </w:rPr>
        <w:t>Background</w:t>
      </w:r>
      <w:bookmarkEnd w:id="582"/>
      <w:bookmarkEnd w:id="583"/>
      <w:bookmarkEnd w:id="584"/>
      <w:bookmarkEnd w:id="585"/>
    </w:p>
    <w:p w14:paraId="5243F1D5" w14:textId="3CB7AF66" w:rsidR="00D41B61" w:rsidRPr="00296D0C" w:rsidRDefault="00D41B61" w:rsidP="00D41B61">
      <w:pPr>
        <w:spacing w:after="0" w:line="360" w:lineRule="auto"/>
        <w:rPr>
          <w:rFonts w:eastAsia="Calibri" w:cs="Times New Roman"/>
        </w:rPr>
      </w:pPr>
      <w:r w:rsidRPr="00296D0C">
        <w:rPr>
          <w:rFonts w:eastAsia="Calibri" w:cs="Times New Roman"/>
        </w:rPr>
        <w:t xml:space="preserve">The mediation analysis tested whether changes in targeted cognitions and behaviour patterns could statistically explain any observed between group differences in trial outcomes. Our analysis plan stipulated that we would assess potential mediators of any observed group differences in the main primary and/or secondary outcomes and therefore the mediation analyses were carried out once the results of the trial had been revealed. </w:t>
      </w:r>
    </w:p>
    <w:p w14:paraId="13A16374" w14:textId="77777777" w:rsidR="00D41B61" w:rsidRPr="00296D0C" w:rsidRDefault="00D41B61" w:rsidP="00D41B61">
      <w:pPr>
        <w:spacing w:after="0" w:line="360" w:lineRule="auto"/>
        <w:rPr>
          <w:rFonts w:eastAsia="Calibri" w:cs="Times New Roman"/>
        </w:rPr>
      </w:pPr>
    </w:p>
    <w:p w14:paraId="31712246" w14:textId="35F4A0A3" w:rsidR="00D41B61" w:rsidRPr="00296D0C" w:rsidRDefault="00D41B61" w:rsidP="00D41B61">
      <w:pPr>
        <w:spacing w:after="0" w:line="360" w:lineRule="auto"/>
        <w:rPr>
          <w:rFonts w:eastAsia="Calibri" w:cs="Times New Roman"/>
        </w:rPr>
      </w:pPr>
      <w:r w:rsidRPr="00296D0C">
        <w:rPr>
          <w:rFonts w:eastAsia="Calibri" w:cs="Times New Roman"/>
        </w:rPr>
        <w:t xml:space="preserve">Significant intervention-control group differences were observed on two self-report dietary outcome measures, namely, the average number of </w:t>
      </w:r>
      <w:r w:rsidR="00DF3445">
        <w:rPr>
          <w:rFonts w:eastAsia="Calibri" w:cs="Times New Roman"/>
        </w:rPr>
        <w:t xml:space="preserve">different types of </w:t>
      </w:r>
      <w:r w:rsidRPr="00296D0C">
        <w:rPr>
          <w:rFonts w:eastAsia="Calibri" w:cs="Times New Roman"/>
        </w:rPr>
        <w:t>Energy Dense Snacks consumed</w:t>
      </w:r>
      <w:r w:rsidR="00DF3445">
        <w:rPr>
          <w:rFonts w:eastAsia="Calibri" w:cs="Times New Roman"/>
        </w:rPr>
        <w:t xml:space="preserve"> during the week</w:t>
      </w:r>
      <w:r w:rsidRPr="00296D0C">
        <w:rPr>
          <w:rFonts w:eastAsia="Calibri" w:cs="Times New Roman"/>
        </w:rPr>
        <w:t xml:space="preserve"> (</w:t>
      </w:r>
      <w:r w:rsidR="00DF3445">
        <w:rPr>
          <w:rFonts w:eastAsia="Calibri" w:cs="Times New Roman"/>
        </w:rPr>
        <w:t>0.4 mean difference in favour of the intervention</w:t>
      </w:r>
      <w:r w:rsidRPr="00296D0C">
        <w:rPr>
          <w:rFonts w:eastAsia="Calibri" w:cs="Times New Roman"/>
        </w:rPr>
        <w:t xml:space="preserve">) and the average number of </w:t>
      </w:r>
      <w:r w:rsidR="00DF3445">
        <w:rPr>
          <w:rFonts w:eastAsia="Calibri" w:cs="Times New Roman"/>
        </w:rPr>
        <w:t xml:space="preserve">different types of </w:t>
      </w:r>
      <w:r w:rsidRPr="00296D0C">
        <w:rPr>
          <w:rFonts w:eastAsia="Calibri" w:cs="Times New Roman"/>
        </w:rPr>
        <w:t xml:space="preserve">unhealthy foods consumed </w:t>
      </w:r>
      <w:r w:rsidR="00DF3445">
        <w:rPr>
          <w:rFonts w:eastAsia="Calibri" w:cs="Times New Roman"/>
        </w:rPr>
        <w:t xml:space="preserve">during the week </w:t>
      </w:r>
      <w:r w:rsidRPr="00296D0C">
        <w:rPr>
          <w:rFonts w:eastAsia="Calibri" w:cs="Times New Roman"/>
        </w:rPr>
        <w:t xml:space="preserve">(Negative Food Markers), which was </w:t>
      </w:r>
      <w:r w:rsidR="00DF3445">
        <w:rPr>
          <w:rFonts w:eastAsia="Calibri" w:cs="Times New Roman"/>
        </w:rPr>
        <w:t xml:space="preserve">a mean difference of </w:t>
      </w:r>
      <w:r w:rsidRPr="00296D0C">
        <w:rPr>
          <w:rFonts w:eastAsia="Calibri" w:cs="Times New Roman"/>
        </w:rPr>
        <w:t xml:space="preserve">0.6 in </w:t>
      </w:r>
      <w:r w:rsidR="00DF3445">
        <w:rPr>
          <w:rFonts w:eastAsia="Calibri" w:cs="Times New Roman"/>
        </w:rPr>
        <w:t xml:space="preserve">favour of </w:t>
      </w:r>
      <w:r w:rsidRPr="00296D0C">
        <w:rPr>
          <w:rFonts w:eastAsia="Calibri" w:cs="Times New Roman"/>
        </w:rPr>
        <w:t>the intervention group. Mediation analyses were conducted to explore whether changes children’s self-reported knowledge, cognitions and behaviours could statistically account for these self-reported dietary differences.</w:t>
      </w:r>
    </w:p>
    <w:p w14:paraId="5C3C95B2" w14:textId="77777777" w:rsidR="00D41B61" w:rsidRPr="00296D0C" w:rsidRDefault="00D41B61" w:rsidP="00D41B61">
      <w:pPr>
        <w:spacing w:after="0" w:line="360" w:lineRule="auto"/>
        <w:rPr>
          <w:rFonts w:eastAsia="Calibri" w:cs="Times New Roman"/>
        </w:rPr>
      </w:pPr>
    </w:p>
    <w:p w14:paraId="28064F55" w14:textId="71C0EBC3" w:rsidR="00D41B61" w:rsidRPr="00296D0C" w:rsidRDefault="00D41B61" w:rsidP="0069394B">
      <w:pPr>
        <w:spacing w:after="0" w:line="360" w:lineRule="auto"/>
        <w:ind w:left="720"/>
        <w:rPr>
          <w:rFonts w:eastAsia="Calibri" w:cs="Times New Roman"/>
          <w:b/>
          <w:i/>
        </w:rPr>
      </w:pPr>
      <w:r w:rsidRPr="00296D0C">
        <w:rPr>
          <w:rFonts w:eastAsia="Calibri" w:cs="Times New Roman"/>
          <w:b/>
          <w:i/>
        </w:rPr>
        <w:t>Research question</w:t>
      </w:r>
      <w:r w:rsidR="0069394B" w:rsidRPr="00296D0C">
        <w:rPr>
          <w:rFonts w:eastAsia="Calibri" w:cs="Times New Roman"/>
          <w:b/>
          <w:i/>
        </w:rPr>
        <w:t xml:space="preserve"> </w:t>
      </w:r>
      <w:r w:rsidR="00F21C70" w:rsidRPr="00296D0C">
        <w:rPr>
          <w:rFonts w:eastAsia="Calibri" w:cs="Times New Roman"/>
          <w:b/>
          <w:i/>
        </w:rPr>
        <w:t>6</w:t>
      </w:r>
      <w:r w:rsidR="0069394B" w:rsidRPr="00296D0C">
        <w:rPr>
          <w:rFonts w:eastAsia="Calibri" w:cs="Times New Roman"/>
          <w:b/>
          <w:i/>
        </w:rPr>
        <w:t xml:space="preserve">. </w:t>
      </w:r>
      <w:r w:rsidR="00F21C70" w:rsidRPr="00296D0C">
        <w:rPr>
          <w:rFonts w:eastAsia="Calibri" w:cs="Times New Roman"/>
          <w:b/>
          <w:i/>
        </w:rPr>
        <w:t xml:space="preserve">Do statistical models combining potential cognitive and </w:t>
      </w:r>
      <w:r w:rsidR="00E1593E" w:rsidRPr="00296D0C">
        <w:rPr>
          <w:rFonts w:eastAsia="Calibri" w:cs="Times New Roman"/>
          <w:b/>
          <w:i/>
        </w:rPr>
        <w:t>behavioural</w:t>
      </w:r>
      <w:r w:rsidR="00F21C70" w:rsidRPr="00296D0C">
        <w:rPr>
          <w:rFonts w:eastAsia="Calibri" w:cs="Times New Roman"/>
          <w:b/>
          <w:i/>
        </w:rPr>
        <w:t xml:space="preserve"> changes mediate observed between group differences in </w:t>
      </w:r>
      <w:r w:rsidRPr="00296D0C">
        <w:rPr>
          <w:rFonts w:eastAsia="Calibri" w:cs="Times New Roman"/>
          <w:b/>
          <w:i/>
        </w:rPr>
        <w:t xml:space="preserve">the number of weekday Energy Dense Snacks consumed at 18 months and/or the number of unhealthy foods (Negative Food Markers) at 18 months? </w:t>
      </w:r>
    </w:p>
    <w:p w14:paraId="151E333E" w14:textId="77777777" w:rsidR="00D41B61" w:rsidRPr="00296D0C" w:rsidRDefault="00D41B61" w:rsidP="00D41B61">
      <w:pPr>
        <w:spacing w:after="0" w:line="360" w:lineRule="auto"/>
        <w:rPr>
          <w:rFonts w:eastAsia="Calibri" w:cs="Times New Roman"/>
        </w:rPr>
      </w:pPr>
    </w:p>
    <w:p w14:paraId="42A09050" w14:textId="54A11F1A" w:rsidR="00D41B61" w:rsidRPr="00296D0C" w:rsidRDefault="00D41B61" w:rsidP="005F6B15">
      <w:pPr>
        <w:rPr>
          <w:rFonts w:eastAsia="Calibri" w:cs="Times New Roman"/>
          <w:b/>
        </w:rPr>
      </w:pPr>
      <w:r w:rsidRPr="00296D0C">
        <w:rPr>
          <w:rFonts w:eastAsia="Calibri" w:cs="Times New Roman"/>
          <w:b/>
        </w:rPr>
        <w:t>The My Lifestyle Questionnaire</w:t>
      </w:r>
    </w:p>
    <w:p w14:paraId="24CD2F25" w14:textId="58AB665E" w:rsidR="00D41B61" w:rsidRPr="00296D0C" w:rsidRDefault="00D41B61" w:rsidP="00D41B61">
      <w:pPr>
        <w:spacing w:after="0" w:line="360" w:lineRule="auto"/>
        <w:rPr>
          <w:rFonts w:eastAsia="Calibri" w:cs="Times New Roman"/>
        </w:rPr>
      </w:pPr>
      <w:r w:rsidRPr="00296D0C">
        <w:rPr>
          <w:rFonts w:eastAsia="Calibri" w:cs="Times New Roman"/>
        </w:rPr>
        <w:t xml:space="preserve">We developed the My Lifestyle Questionnaire (MLQ) to capture possible mediators of diet and physical activity behaviours which we hypothesised would need to change to affect weight status (see Appendix </w:t>
      </w:r>
      <w:r w:rsidR="00F8483C" w:rsidRPr="00296D0C">
        <w:rPr>
          <w:rFonts w:eastAsia="Calibri" w:cs="Times New Roman"/>
        </w:rPr>
        <w:t>3</w:t>
      </w:r>
      <w:r w:rsidRPr="00296D0C">
        <w:rPr>
          <w:rFonts w:eastAsia="Calibri" w:cs="Times New Roman"/>
        </w:rPr>
        <w:t xml:space="preserve">). The MLQ development was based on the HeLP intervention mapping process and the 50 item questionnaire comprised a number of sections designed to assess knowledge, individual cognitions and motivations, perception of parental behaviours , the use of behavioural strategies </w:t>
      </w:r>
      <w:r w:rsidR="00C50AEA">
        <w:rPr>
          <w:rFonts w:eastAsia="Calibri" w:cs="Times New Roman"/>
        </w:rPr>
        <w:lastRenderedPageBreak/>
        <w:t>and</w:t>
      </w:r>
      <w:r w:rsidRPr="00296D0C">
        <w:rPr>
          <w:rFonts w:eastAsia="Calibri" w:cs="Times New Roman"/>
        </w:rPr>
        <w:t xml:space="preserve"> change techniques, as well as specific behaviours targeted by the </w:t>
      </w:r>
      <w:r w:rsidR="009D57AD">
        <w:rPr>
          <w:rFonts w:eastAsia="Calibri" w:cs="Times New Roman"/>
        </w:rPr>
        <w:t>p</w:t>
      </w:r>
      <w:r w:rsidRPr="00296D0C">
        <w:rPr>
          <w:rFonts w:eastAsia="Calibri" w:cs="Times New Roman"/>
        </w:rPr>
        <w:t>rogramme (see Appendix 1</w:t>
      </w:r>
      <w:r w:rsidR="00A60D1B">
        <w:rPr>
          <w:rFonts w:eastAsia="Calibri" w:cs="Times New Roman"/>
        </w:rPr>
        <w:t>8</w:t>
      </w:r>
      <w:r w:rsidRPr="00296D0C">
        <w:rPr>
          <w:rFonts w:eastAsia="Calibri" w:cs="Times New Roman"/>
        </w:rPr>
        <w:t xml:space="preserve"> for full details). Some MLQ items were theoretically derived and based on previous measures of theoretically defined constructs (such as attitude, injunctive and descriptive norms, self-efficacy and intention). Other items (including questions assessing knowledge and behaviours related to discussing healthy eating and physical activity at home with the family, helping to choose healthy options when shopping with the family and participating in cooking) were designed to assess changes in the short and medium term outcomes that HeLP was expected to generate. </w:t>
      </w:r>
    </w:p>
    <w:p w14:paraId="6E966F5D" w14:textId="77777777" w:rsidR="00D41B61" w:rsidRPr="00296D0C" w:rsidRDefault="00D41B61" w:rsidP="00D41B61">
      <w:pPr>
        <w:spacing w:after="0" w:line="360" w:lineRule="auto"/>
        <w:rPr>
          <w:rFonts w:eastAsia="Calibri" w:cs="Times New Roman"/>
        </w:rPr>
      </w:pPr>
    </w:p>
    <w:p w14:paraId="47244DBE" w14:textId="7358E2C9" w:rsidR="005F6B15" w:rsidRPr="00296D0C" w:rsidRDefault="00937579" w:rsidP="00937579">
      <w:pPr>
        <w:pStyle w:val="Heading3"/>
        <w:rPr>
          <w:rFonts w:asciiTheme="minorHAnsi" w:eastAsia="Calibri" w:hAnsiTheme="minorHAnsi" w:cs="Times New Roman"/>
        </w:rPr>
      </w:pPr>
      <w:bookmarkStart w:id="586" w:name="_Toc466710117"/>
      <w:bookmarkStart w:id="587" w:name="_Toc466711465"/>
      <w:bookmarkStart w:id="588" w:name="_Toc466712124"/>
      <w:bookmarkStart w:id="589" w:name="_Toc475974392"/>
      <w:r w:rsidRPr="00296D0C">
        <w:rPr>
          <w:rFonts w:asciiTheme="minorHAnsi" w:eastAsia="Calibri" w:hAnsiTheme="minorHAnsi" w:cs="Times New Roman"/>
        </w:rPr>
        <w:t>5.3</w:t>
      </w:r>
      <w:r w:rsidR="004D1213" w:rsidRPr="00296D0C">
        <w:rPr>
          <w:rFonts w:asciiTheme="minorHAnsi" w:eastAsia="Calibri" w:hAnsiTheme="minorHAnsi" w:cs="Times New Roman"/>
        </w:rPr>
        <w:t>.</w:t>
      </w:r>
      <w:r w:rsidR="005F6B15" w:rsidRPr="00296D0C">
        <w:rPr>
          <w:rFonts w:asciiTheme="minorHAnsi" w:eastAsia="Calibri" w:hAnsiTheme="minorHAnsi" w:cs="Times New Roman"/>
        </w:rPr>
        <w:t>2</w:t>
      </w:r>
      <w:r w:rsidRPr="00296D0C">
        <w:rPr>
          <w:rFonts w:asciiTheme="minorHAnsi" w:eastAsia="Calibri" w:hAnsiTheme="minorHAnsi" w:cs="Times New Roman"/>
        </w:rPr>
        <w:t xml:space="preserve"> </w:t>
      </w:r>
      <w:r w:rsidR="00D41B61" w:rsidRPr="00296D0C">
        <w:rPr>
          <w:rFonts w:asciiTheme="minorHAnsi" w:eastAsia="Calibri" w:hAnsiTheme="minorHAnsi" w:cs="Times New Roman"/>
        </w:rPr>
        <w:t>Methods</w:t>
      </w:r>
      <w:bookmarkEnd w:id="586"/>
      <w:bookmarkEnd w:id="587"/>
      <w:bookmarkEnd w:id="588"/>
      <w:bookmarkEnd w:id="589"/>
      <w:r w:rsidRPr="00296D0C">
        <w:rPr>
          <w:rFonts w:asciiTheme="minorHAnsi" w:eastAsia="Calibri" w:hAnsiTheme="minorHAnsi" w:cs="Times New Roman"/>
        </w:rPr>
        <w:t xml:space="preserve"> </w:t>
      </w:r>
    </w:p>
    <w:p w14:paraId="23C2EC7E" w14:textId="2AEC54D6" w:rsidR="00D41B61" w:rsidRPr="006E29AA" w:rsidRDefault="005F6B15" w:rsidP="005F6B15">
      <w:pPr>
        <w:pStyle w:val="Heading4"/>
        <w:rPr>
          <w:rFonts w:asciiTheme="minorHAnsi" w:eastAsia="Calibri" w:hAnsiTheme="minorHAnsi" w:cs="Times New Roman"/>
          <w:i w:val="0"/>
        </w:rPr>
      </w:pPr>
      <w:r w:rsidRPr="006E29AA">
        <w:rPr>
          <w:rFonts w:asciiTheme="minorHAnsi" w:eastAsia="Calibri" w:hAnsiTheme="minorHAnsi" w:cs="Times New Roman"/>
          <w:i w:val="0"/>
          <w:color w:val="auto"/>
        </w:rPr>
        <w:t xml:space="preserve">5.3.2.1 </w:t>
      </w:r>
      <w:r w:rsidR="00D41B61" w:rsidRPr="006E29AA">
        <w:rPr>
          <w:rFonts w:asciiTheme="minorHAnsi" w:eastAsia="Calibri" w:hAnsiTheme="minorHAnsi" w:cs="Times New Roman"/>
          <w:i w:val="0"/>
          <w:color w:val="auto"/>
        </w:rPr>
        <w:t>Sampling and Recruitment</w:t>
      </w:r>
    </w:p>
    <w:p w14:paraId="07F76CC0" w14:textId="428305DB" w:rsidR="00D41B61" w:rsidRPr="00296D0C" w:rsidRDefault="00D41B61" w:rsidP="00D41B61">
      <w:pPr>
        <w:spacing w:after="0" w:line="360" w:lineRule="auto"/>
        <w:rPr>
          <w:rFonts w:eastAsia="Calibri" w:cs="Times New Roman"/>
        </w:rPr>
      </w:pPr>
      <w:r w:rsidRPr="00296D0C">
        <w:rPr>
          <w:rFonts w:eastAsia="Calibri" w:cs="Times New Roman"/>
        </w:rPr>
        <w:t xml:space="preserve">Data were collected from all participating children in both intervention and control schools (see </w:t>
      </w:r>
      <w:r w:rsidR="00E34A3B">
        <w:rPr>
          <w:rFonts w:eastAsia="Calibri" w:cs="Times New Roman"/>
        </w:rPr>
        <w:t>c</w:t>
      </w:r>
      <w:r w:rsidRPr="00296D0C">
        <w:rPr>
          <w:rFonts w:eastAsia="Calibri" w:cs="Times New Roman"/>
        </w:rPr>
        <w:t>hapter 2) completing the MLQ at baseline and 12 months post baseline (i.e. immediately after the end of the intervention).</w:t>
      </w:r>
    </w:p>
    <w:p w14:paraId="3A13C676" w14:textId="77777777" w:rsidR="00D41B61" w:rsidRPr="00296D0C" w:rsidRDefault="00D41B61" w:rsidP="00D41B61">
      <w:pPr>
        <w:spacing w:after="0" w:line="360" w:lineRule="auto"/>
        <w:rPr>
          <w:rFonts w:eastAsia="Calibri" w:cs="Times New Roman"/>
        </w:rPr>
      </w:pPr>
    </w:p>
    <w:p w14:paraId="23B16600" w14:textId="066CD6A6" w:rsidR="00D41B61" w:rsidRPr="00296D0C" w:rsidRDefault="00D41B61" w:rsidP="004D1213">
      <w:pPr>
        <w:rPr>
          <w:rFonts w:eastAsia="Calibri" w:cs="Times New Roman"/>
          <w:b/>
        </w:rPr>
      </w:pPr>
      <w:r w:rsidRPr="00296D0C">
        <w:rPr>
          <w:rFonts w:eastAsia="Calibri" w:cs="Times New Roman"/>
          <w:b/>
        </w:rPr>
        <w:t>Data collection</w:t>
      </w:r>
    </w:p>
    <w:p w14:paraId="67A2CC43" w14:textId="77777777" w:rsidR="00D41B61" w:rsidRPr="00296D0C" w:rsidRDefault="00D41B61" w:rsidP="00D41B61">
      <w:pPr>
        <w:spacing w:after="0" w:line="360" w:lineRule="auto"/>
        <w:rPr>
          <w:rFonts w:eastAsia="Calibri" w:cs="Times New Roman"/>
        </w:rPr>
      </w:pPr>
      <w:r w:rsidRPr="00296D0C">
        <w:rPr>
          <w:rFonts w:eastAsia="Calibri" w:cs="Times New Roman"/>
        </w:rPr>
        <w:t>The HeLP Coordinators collected the MLQ data during a dedicated lesson and read the questions from the front of the class, with the children completing the questionnaire at the same time and in silence. Clarifications were given for specific questions, and a poster was produced to demonstrate percentages so that the children were able to understand a question relating to proportions (question 4 in the Knowledge section, Appendix 3). Children who required additional support completed the questionnaire in a smaller group outside of the classroom with an additional researcher.</w:t>
      </w:r>
    </w:p>
    <w:p w14:paraId="6B83245E" w14:textId="77777777" w:rsidR="00D41B61" w:rsidRPr="00296D0C" w:rsidRDefault="00D41B61" w:rsidP="00D41B61">
      <w:pPr>
        <w:spacing w:after="0" w:line="360" w:lineRule="auto"/>
        <w:rPr>
          <w:rFonts w:eastAsia="Calibri" w:cs="Times New Roman"/>
        </w:rPr>
      </w:pPr>
    </w:p>
    <w:p w14:paraId="211717EC" w14:textId="7D0E2E23" w:rsidR="00D41B61" w:rsidRPr="00296D0C" w:rsidRDefault="004D1213" w:rsidP="005F6B15">
      <w:pPr>
        <w:pStyle w:val="Heading4"/>
        <w:rPr>
          <w:rFonts w:asciiTheme="minorHAnsi" w:eastAsia="Calibri" w:hAnsiTheme="minorHAnsi" w:cs="Times New Roman"/>
          <w:i w:val="0"/>
          <w:color w:val="auto"/>
        </w:rPr>
      </w:pPr>
      <w:r w:rsidRPr="00296D0C">
        <w:rPr>
          <w:rFonts w:asciiTheme="minorHAnsi" w:eastAsia="Calibri" w:hAnsiTheme="minorHAnsi" w:cs="Times New Roman"/>
          <w:i w:val="0"/>
          <w:color w:val="auto"/>
        </w:rPr>
        <w:t>5.3.</w:t>
      </w:r>
      <w:r w:rsidR="005F6B15" w:rsidRPr="00296D0C">
        <w:rPr>
          <w:rFonts w:asciiTheme="minorHAnsi" w:eastAsia="Calibri" w:hAnsiTheme="minorHAnsi" w:cs="Times New Roman"/>
          <w:i w:val="0"/>
          <w:color w:val="auto"/>
        </w:rPr>
        <w:t>2.2</w:t>
      </w:r>
      <w:r w:rsidRPr="00296D0C">
        <w:rPr>
          <w:rFonts w:asciiTheme="minorHAnsi" w:eastAsia="Calibri" w:hAnsiTheme="minorHAnsi" w:cs="Times New Roman"/>
          <w:i w:val="0"/>
          <w:color w:val="auto"/>
        </w:rPr>
        <w:t xml:space="preserve"> A</w:t>
      </w:r>
      <w:r w:rsidR="00D41B61" w:rsidRPr="00296D0C">
        <w:rPr>
          <w:rFonts w:asciiTheme="minorHAnsi" w:eastAsia="Calibri" w:hAnsiTheme="minorHAnsi" w:cs="Times New Roman"/>
          <w:i w:val="0"/>
          <w:color w:val="auto"/>
        </w:rPr>
        <w:t>nalysis</w:t>
      </w:r>
    </w:p>
    <w:p w14:paraId="0DFD7042" w14:textId="77777777" w:rsidR="00D41B61" w:rsidRPr="00296D0C" w:rsidRDefault="00D41B61" w:rsidP="00D41B61">
      <w:pPr>
        <w:spacing w:after="0" w:line="360" w:lineRule="auto"/>
        <w:rPr>
          <w:rFonts w:eastAsia="Calibri" w:cs="Times New Roman"/>
          <w:b/>
        </w:rPr>
      </w:pPr>
      <w:r w:rsidRPr="00296D0C">
        <w:rPr>
          <w:rFonts w:eastAsia="Calibri" w:cs="Times New Roman"/>
          <w:b/>
        </w:rPr>
        <w:t xml:space="preserve">Factor Analyses to create composite MLQ Variables </w:t>
      </w:r>
    </w:p>
    <w:p w14:paraId="4EC85E4E" w14:textId="37847701" w:rsidR="00D41B61" w:rsidRPr="00296D0C" w:rsidRDefault="00D41B61" w:rsidP="00D41B61">
      <w:pPr>
        <w:spacing w:after="0" w:line="360" w:lineRule="auto"/>
        <w:rPr>
          <w:rFonts w:eastAsia="Calibri" w:cs="Times New Roman"/>
        </w:rPr>
      </w:pPr>
      <w:r w:rsidRPr="00296D0C">
        <w:rPr>
          <w:rFonts w:eastAsia="Calibri" w:cs="Times New Roman"/>
        </w:rPr>
        <w:t>Exploratory factor analysis was conducted on half of the baseline MLQ dataset followed by confirmatory factor analysis (in the remaining dataset) to generate composite variables which loaded together and could be taken into the subsequent mediation analyses. We adopted a parsimonious approach to the construction of these variables, summarising across theoretically-derived and HeLP-specific MLQ items (see Appendix 1</w:t>
      </w:r>
      <w:r w:rsidR="00A60D1B">
        <w:rPr>
          <w:rFonts w:eastAsia="Calibri" w:cs="Times New Roman"/>
        </w:rPr>
        <w:t>8</w:t>
      </w:r>
      <w:r w:rsidRPr="00296D0C">
        <w:rPr>
          <w:rFonts w:eastAsia="Calibri" w:cs="Times New Roman"/>
        </w:rPr>
        <w:t>).</w:t>
      </w:r>
    </w:p>
    <w:p w14:paraId="77D6B75D" w14:textId="77777777" w:rsidR="00D41B61" w:rsidRPr="00296D0C" w:rsidRDefault="00D41B61" w:rsidP="00D41B61">
      <w:pPr>
        <w:spacing w:after="0" w:line="360" w:lineRule="auto"/>
        <w:rPr>
          <w:rFonts w:eastAsia="Calibri" w:cs="Times New Roman"/>
        </w:rPr>
      </w:pPr>
    </w:p>
    <w:p w14:paraId="0345739C" w14:textId="6FD63009" w:rsidR="00D41B61" w:rsidRDefault="00F8483C" w:rsidP="00D41B61">
      <w:pPr>
        <w:spacing w:after="0" w:line="360" w:lineRule="auto"/>
        <w:rPr>
          <w:rFonts w:eastAsia="Calibri" w:cs="Times New Roman"/>
        </w:rPr>
      </w:pPr>
      <w:r w:rsidRPr="00296D0C">
        <w:rPr>
          <w:rFonts w:eastAsia="Calibri" w:cs="Times New Roman"/>
        </w:rPr>
        <w:t>Table 4</w:t>
      </w:r>
      <w:r w:rsidR="00D80862">
        <w:rPr>
          <w:rFonts w:eastAsia="Calibri" w:cs="Times New Roman"/>
        </w:rPr>
        <w:t>2</w:t>
      </w:r>
      <w:r w:rsidR="00D41B61" w:rsidRPr="00296D0C">
        <w:rPr>
          <w:rFonts w:eastAsia="Calibri" w:cs="Times New Roman"/>
        </w:rPr>
        <w:t xml:space="preserve"> shows the five statistically generated composite variables from the factor analyses, the MLQ constructs which they came from, the questions which fed into the constructs and the </w:t>
      </w:r>
      <w:r w:rsidR="00D41B61" w:rsidRPr="00296D0C">
        <w:rPr>
          <w:rFonts w:eastAsia="Calibri" w:cs="Times New Roman"/>
        </w:rPr>
        <w:lastRenderedPageBreak/>
        <w:t>corresponding score ranges. The variable referred to as ‘Knowledge’ was originally designed as the sum of five questions with each question having several examples for the children answer. We have called the four composite variables derived from the factor analysis ‘Confidence and Motivation’, ‘Peer Norms’, ‘Family Approval / Behaviours and Child Attitudes’, and ‘Behaviours &amp; Strategies’.</w:t>
      </w:r>
    </w:p>
    <w:p w14:paraId="65C43FAF" w14:textId="77777777" w:rsidR="004C27AD" w:rsidRPr="00296D0C" w:rsidRDefault="004C27AD" w:rsidP="00D41B61">
      <w:pPr>
        <w:spacing w:after="0" w:line="360" w:lineRule="auto"/>
        <w:rPr>
          <w:rFonts w:eastAsia="Calibri" w:cs="Times New Roman"/>
        </w:rPr>
      </w:pPr>
    </w:p>
    <w:p w14:paraId="0479ECA6" w14:textId="06FDBED6" w:rsidR="00D41B61" w:rsidRDefault="00D41B61" w:rsidP="00D41B61">
      <w:pPr>
        <w:spacing w:after="160" w:line="259" w:lineRule="auto"/>
        <w:rPr>
          <w:rFonts w:eastAsia="Calibri" w:cs="Times New Roman"/>
          <w:b/>
        </w:rPr>
      </w:pPr>
      <w:r w:rsidRPr="00296D0C">
        <w:rPr>
          <w:rFonts w:eastAsia="Calibri" w:cs="Times New Roman"/>
          <w:b/>
        </w:rPr>
        <w:t>T</w:t>
      </w:r>
      <w:r w:rsidR="0017670E" w:rsidRPr="00296D0C">
        <w:rPr>
          <w:rFonts w:eastAsia="Calibri" w:cs="Times New Roman"/>
          <w:b/>
        </w:rPr>
        <w:t>ABLE</w:t>
      </w:r>
      <w:r w:rsidRPr="00296D0C">
        <w:rPr>
          <w:rFonts w:eastAsia="Calibri" w:cs="Times New Roman"/>
          <w:b/>
        </w:rPr>
        <w:t xml:space="preserve"> </w:t>
      </w:r>
      <w:r w:rsidR="0017670E" w:rsidRPr="00296D0C">
        <w:rPr>
          <w:rFonts w:eastAsia="Calibri" w:cs="Times New Roman"/>
          <w:b/>
        </w:rPr>
        <w:t>4</w:t>
      </w:r>
      <w:r w:rsidR="00D80862">
        <w:rPr>
          <w:rFonts w:eastAsia="Calibri" w:cs="Times New Roman"/>
          <w:b/>
        </w:rPr>
        <w:t>2</w:t>
      </w:r>
      <w:r w:rsidRPr="00296D0C">
        <w:rPr>
          <w:rFonts w:eastAsia="Calibri" w:cs="Times New Roman"/>
          <w:b/>
        </w:rPr>
        <w:t xml:space="preserve"> Derivation of MLQ composite variables </w:t>
      </w:r>
    </w:p>
    <w:p w14:paraId="34CC1330" w14:textId="77777777" w:rsidR="004C27AD" w:rsidRPr="00296D0C" w:rsidRDefault="004C27AD" w:rsidP="00D41B61">
      <w:pPr>
        <w:spacing w:after="160" w:line="259" w:lineRule="auto"/>
        <w:rPr>
          <w:rFonts w:eastAsia="Calibri" w:cs="Times New Roman"/>
          <w:b/>
        </w:rPr>
      </w:pPr>
    </w:p>
    <w:tbl>
      <w:tblPr>
        <w:tblStyle w:val="TableGrid"/>
        <w:tblW w:w="0" w:type="auto"/>
        <w:tblLayout w:type="fixed"/>
        <w:tblLook w:val="04A0" w:firstRow="1" w:lastRow="0" w:firstColumn="1" w:lastColumn="0" w:noHBand="0" w:noVBand="1"/>
      </w:tblPr>
      <w:tblGrid>
        <w:gridCol w:w="2135"/>
        <w:gridCol w:w="2963"/>
        <w:gridCol w:w="993"/>
        <w:gridCol w:w="1559"/>
        <w:gridCol w:w="1276"/>
      </w:tblGrid>
      <w:tr w:rsidR="00D41B61" w:rsidRPr="00296D0C" w14:paraId="1081DFE6" w14:textId="77777777" w:rsidTr="004C27AD">
        <w:tc>
          <w:tcPr>
            <w:tcW w:w="2135" w:type="dxa"/>
          </w:tcPr>
          <w:p w14:paraId="54784A62" w14:textId="77777777" w:rsidR="00D41B61" w:rsidRPr="00296D0C" w:rsidRDefault="00D41B61" w:rsidP="005C3553">
            <w:pPr>
              <w:spacing w:after="100" w:afterAutospacing="1"/>
              <w:rPr>
                <w:b/>
              </w:rPr>
            </w:pPr>
            <w:r w:rsidRPr="00296D0C">
              <w:rPr>
                <w:b/>
              </w:rPr>
              <w:t>Composite Variable (score range)</w:t>
            </w:r>
          </w:p>
        </w:tc>
        <w:tc>
          <w:tcPr>
            <w:tcW w:w="2963" w:type="dxa"/>
          </w:tcPr>
          <w:p w14:paraId="25CA86A4" w14:textId="77777777" w:rsidR="00D41B61" w:rsidRPr="00296D0C" w:rsidRDefault="00D41B61" w:rsidP="005C3553">
            <w:pPr>
              <w:spacing w:after="100" w:afterAutospacing="1"/>
              <w:rPr>
                <w:b/>
              </w:rPr>
            </w:pPr>
            <w:r w:rsidRPr="00296D0C">
              <w:rPr>
                <w:b/>
              </w:rPr>
              <w:t>MLQ Construct</w:t>
            </w:r>
          </w:p>
        </w:tc>
        <w:tc>
          <w:tcPr>
            <w:tcW w:w="993" w:type="dxa"/>
          </w:tcPr>
          <w:p w14:paraId="659C10C6" w14:textId="77777777" w:rsidR="00D41B61" w:rsidRPr="00296D0C" w:rsidRDefault="00D41B61" w:rsidP="005C3553">
            <w:pPr>
              <w:spacing w:after="100" w:afterAutospacing="1"/>
              <w:rPr>
                <w:b/>
              </w:rPr>
            </w:pPr>
            <w:r w:rsidRPr="00296D0C">
              <w:rPr>
                <w:b/>
              </w:rPr>
              <w:t>Number of items</w:t>
            </w:r>
          </w:p>
        </w:tc>
        <w:tc>
          <w:tcPr>
            <w:tcW w:w="1559" w:type="dxa"/>
          </w:tcPr>
          <w:p w14:paraId="2F3C7BE9" w14:textId="77777777" w:rsidR="00D41B61" w:rsidRPr="00296D0C" w:rsidRDefault="00D41B61" w:rsidP="005C3553">
            <w:pPr>
              <w:spacing w:after="100" w:afterAutospacing="1"/>
              <w:rPr>
                <w:b/>
              </w:rPr>
            </w:pPr>
            <w:r w:rsidRPr="00296D0C">
              <w:rPr>
                <w:b/>
              </w:rPr>
              <w:t>Question number in the MLQ</w:t>
            </w:r>
          </w:p>
        </w:tc>
        <w:tc>
          <w:tcPr>
            <w:tcW w:w="1276" w:type="dxa"/>
          </w:tcPr>
          <w:p w14:paraId="3E6A5669" w14:textId="77777777" w:rsidR="00D41B61" w:rsidRPr="00296D0C" w:rsidRDefault="00D41B61" w:rsidP="005C3553">
            <w:pPr>
              <w:spacing w:after="100" w:afterAutospacing="1"/>
              <w:rPr>
                <w:b/>
              </w:rPr>
            </w:pPr>
            <w:r w:rsidRPr="00296D0C">
              <w:rPr>
                <w:b/>
              </w:rPr>
              <w:t>Min and max score</w:t>
            </w:r>
          </w:p>
        </w:tc>
      </w:tr>
      <w:tr w:rsidR="004C27AD" w:rsidRPr="00296D0C" w14:paraId="3DBDBBDA" w14:textId="77777777" w:rsidTr="004C27AD">
        <w:tc>
          <w:tcPr>
            <w:tcW w:w="2135" w:type="dxa"/>
            <w:vMerge w:val="restart"/>
          </w:tcPr>
          <w:p w14:paraId="617747A7" w14:textId="77777777" w:rsidR="004C27AD" w:rsidRPr="00296D0C" w:rsidRDefault="004C27AD" w:rsidP="005C3553">
            <w:pPr>
              <w:spacing w:after="100" w:afterAutospacing="1"/>
              <w:rPr>
                <w:b/>
              </w:rPr>
            </w:pPr>
            <w:r w:rsidRPr="00296D0C">
              <w:rPr>
                <w:b/>
              </w:rPr>
              <w:t xml:space="preserve">‘Knowledge’ </w:t>
            </w:r>
          </w:p>
          <w:p w14:paraId="3804CE59" w14:textId="77777777" w:rsidR="004C27AD" w:rsidRPr="00296D0C" w:rsidRDefault="004C27AD" w:rsidP="005C3553">
            <w:pPr>
              <w:spacing w:after="100" w:afterAutospacing="1"/>
              <w:rPr>
                <w:b/>
              </w:rPr>
            </w:pPr>
            <w:r w:rsidRPr="00296D0C">
              <w:rPr>
                <w:b/>
              </w:rPr>
              <w:t>(0-20)</w:t>
            </w:r>
          </w:p>
        </w:tc>
        <w:tc>
          <w:tcPr>
            <w:tcW w:w="2963" w:type="dxa"/>
          </w:tcPr>
          <w:p w14:paraId="2B6D0FC3" w14:textId="77777777" w:rsidR="004C27AD" w:rsidRPr="00296D0C" w:rsidRDefault="004C27AD" w:rsidP="005C3553">
            <w:pPr>
              <w:spacing w:after="100" w:afterAutospacing="1"/>
            </w:pPr>
            <w:r w:rsidRPr="00296D0C">
              <w:rPr>
                <w:rFonts w:eastAsia="Calibri" w:cs="Times New Roman"/>
                <w:lang w:val="en-US"/>
              </w:rPr>
              <w:t>Healthy snack/drink alternatives</w:t>
            </w:r>
          </w:p>
        </w:tc>
        <w:tc>
          <w:tcPr>
            <w:tcW w:w="993" w:type="dxa"/>
          </w:tcPr>
          <w:p w14:paraId="1202871B" w14:textId="77777777" w:rsidR="004C27AD" w:rsidRPr="00296D0C" w:rsidRDefault="004C27AD" w:rsidP="005C3553">
            <w:pPr>
              <w:spacing w:after="100" w:afterAutospacing="1"/>
            </w:pPr>
            <w:r w:rsidRPr="00296D0C">
              <w:t>1</w:t>
            </w:r>
          </w:p>
        </w:tc>
        <w:tc>
          <w:tcPr>
            <w:tcW w:w="1559" w:type="dxa"/>
          </w:tcPr>
          <w:p w14:paraId="0605D36E" w14:textId="77777777" w:rsidR="004C27AD" w:rsidRPr="00296D0C" w:rsidRDefault="004C27AD" w:rsidP="005C3553">
            <w:pPr>
              <w:spacing w:after="100" w:afterAutospacing="1"/>
            </w:pPr>
            <w:r w:rsidRPr="00296D0C">
              <w:t>1</w:t>
            </w:r>
          </w:p>
        </w:tc>
        <w:tc>
          <w:tcPr>
            <w:tcW w:w="1276" w:type="dxa"/>
          </w:tcPr>
          <w:p w14:paraId="288CD46A" w14:textId="77777777" w:rsidR="004C27AD" w:rsidRPr="00296D0C" w:rsidRDefault="004C27AD" w:rsidP="005C3553">
            <w:pPr>
              <w:spacing w:after="100" w:afterAutospacing="1"/>
            </w:pPr>
            <w:r w:rsidRPr="00296D0C">
              <w:t>0-6</w:t>
            </w:r>
          </w:p>
        </w:tc>
      </w:tr>
      <w:tr w:rsidR="004C27AD" w:rsidRPr="00296D0C" w14:paraId="610317AB" w14:textId="77777777" w:rsidTr="004C27AD">
        <w:tc>
          <w:tcPr>
            <w:tcW w:w="2135" w:type="dxa"/>
            <w:vMerge/>
          </w:tcPr>
          <w:p w14:paraId="32DC6FC4" w14:textId="77777777" w:rsidR="004C27AD" w:rsidRPr="00296D0C" w:rsidRDefault="004C27AD" w:rsidP="005C3553">
            <w:pPr>
              <w:spacing w:after="100" w:afterAutospacing="1"/>
            </w:pPr>
          </w:p>
        </w:tc>
        <w:tc>
          <w:tcPr>
            <w:tcW w:w="2963" w:type="dxa"/>
          </w:tcPr>
          <w:p w14:paraId="4DB87650" w14:textId="77777777" w:rsidR="004C27AD" w:rsidRPr="00296D0C" w:rsidRDefault="004C27AD" w:rsidP="005C3553">
            <w:pPr>
              <w:spacing w:after="100" w:afterAutospacing="1"/>
            </w:pPr>
            <w:r w:rsidRPr="00296D0C">
              <w:rPr>
                <w:rFonts w:eastAsia="Calibri" w:cs="Times New Roman"/>
                <w:lang w:val="en-US"/>
              </w:rPr>
              <w:t>Food group proportions</w:t>
            </w:r>
          </w:p>
        </w:tc>
        <w:tc>
          <w:tcPr>
            <w:tcW w:w="993" w:type="dxa"/>
          </w:tcPr>
          <w:p w14:paraId="389FB92C" w14:textId="77777777" w:rsidR="004C27AD" w:rsidRPr="00296D0C" w:rsidRDefault="004C27AD" w:rsidP="005C3553">
            <w:pPr>
              <w:spacing w:after="100" w:afterAutospacing="1"/>
            </w:pPr>
            <w:r w:rsidRPr="00296D0C">
              <w:t>1</w:t>
            </w:r>
          </w:p>
        </w:tc>
        <w:tc>
          <w:tcPr>
            <w:tcW w:w="1559" w:type="dxa"/>
          </w:tcPr>
          <w:p w14:paraId="628FAC37" w14:textId="77777777" w:rsidR="004C27AD" w:rsidRPr="00296D0C" w:rsidRDefault="004C27AD" w:rsidP="005C3553">
            <w:pPr>
              <w:spacing w:after="100" w:afterAutospacing="1"/>
            </w:pPr>
            <w:r w:rsidRPr="00296D0C">
              <w:t>2</w:t>
            </w:r>
          </w:p>
        </w:tc>
        <w:tc>
          <w:tcPr>
            <w:tcW w:w="1276" w:type="dxa"/>
          </w:tcPr>
          <w:p w14:paraId="3CCEB503" w14:textId="77777777" w:rsidR="004C27AD" w:rsidRPr="00296D0C" w:rsidRDefault="004C27AD" w:rsidP="005C3553">
            <w:pPr>
              <w:spacing w:after="100" w:afterAutospacing="1"/>
            </w:pPr>
            <w:r w:rsidRPr="00296D0C">
              <w:t>0-5</w:t>
            </w:r>
          </w:p>
        </w:tc>
      </w:tr>
      <w:tr w:rsidR="004C27AD" w:rsidRPr="00296D0C" w14:paraId="05A33884" w14:textId="77777777" w:rsidTr="004C27AD">
        <w:tc>
          <w:tcPr>
            <w:tcW w:w="2135" w:type="dxa"/>
            <w:vMerge/>
          </w:tcPr>
          <w:p w14:paraId="4EAFE452" w14:textId="77777777" w:rsidR="004C27AD" w:rsidRPr="00296D0C" w:rsidRDefault="004C27AD" w:rsidP="005C3553">
            <w:pPr>
              <w:spacing w:after="100" w:afterAutospacing="1"/>
            </w:pPr>
          </w:p>
        </w:tc>
        <w:tc>
          <w:tcPr>
            <w:tcW w:w="2963" w:type="dxa"/>
          </w:tcPr>
          <w:p w14:paraId="4CD6F887" w14:textId="77777777" w:rsidR="004C27AD" w:rsidRPr="00296D0C" w:rsidRDefault="004C27AD" w:rsidP="005C3553">
            <w:pPr>
              <w:spacing w:after="100" w:afterAutospacing="1"/>
            </w:pPr>
            <w:r w:rsidRPr="00296D0C">
              <w:rPr>
                <w:rFonts w:eastAsia="Calibri" w:cs="Times New Roman"/>
                <w:lang w:val="en-US"/>
              </w:rPr>
              <w:t>Lifestyle physical activity</w:t>
            </w:r>
          </w:p>
        </w:tc>
        <w:tc>
          <w:tcPr>
            <w:tcW w:w="993" w:type="dxa"/>
          </w:tcPr>
          <w:p w14:paraId="6E092B9B" w14:textId="77777777" w:rsidR="004C27AD" w:rsidRPr="00296D0C" w:rsidRDefault="004C27AD" w:rsidP="005C3553">
            <w:pPr>
              <w:spacing w:after="100" w:afterAutospacing="1"/>
            </w:pPr>
            <w:r w:rsidRPr="00296D0C">
              <w:t>1</w:t>
            </w:r>
          </w:p>
        </w:tc>
        <w:tc>
          <w:tcPr>
            <w:tcW w:w="1559" w:type="dxa"/>
          </w:tcPr>
          <w:p w14:paraId="70DACDF8" w14:textId="77777777" w:rsidR="004C27AD" w:rsidRPr="00296D0C" w:rsidRDefault="004C27AD" w:rsidP="005C3553">
            <w:pPr>
              <w:spacing w:after="100" w:afterAutospacing="1"/>
            </w:pPr>
            <w:r w:rsidRPr="00296D0C">
              <w:t>3</w:t>
            </w:r>
          </w:p>
        </w:tc>
        <w:tc>
          <w:tcPr>
            <w:tcW w:w="1276" w:type="dxa"/>
          </w:tcPr>
          <w:p w14:paraId="151C9C41" w14:textId="77777777" w:rsidR="004C27AD" w:rsidRPr="00296D0C" w:rsidRDefault="004C27AD" w:rsidP="005C3553">
            <w:pPr>
              <w:spacing w:after="100" w:afterAutospacing="1"/>
            </w:pPr>
            <w:r w:rsidRPr="00296D0C">
              <w:t>0-4</w:t>
            </w:r>
          </w:p>
        </w:tc>
      </w:tr>
      <w:tr w:rsidR="004C27AD" w:rsidRPr="00296D0C" w14:paraId="058E1BCF" w14:textId="77777777" w:rsidTr="004C27AD">
        <w:tc>
          <w:tcPr>
            <w:tcW w:w="2135" w:type="dxa"/>
            <w:vMerge/>
          </w:tcPr>
          <w:p w14:paraId="61BBDDB1" w14:textId="77777777" w:rsidR="004C27AD" w:rsidRPr="00296D0C" w:rsidRDefault="004C27AD" w:rsidP="005C3553">
            <w:pPr>
              <w:spacing w:after="100" w:afterAutospacing="1"/>
            </w:pPr>
          </w:p>
        </w:tc>
        <w:tc>
          <w:tcPr>
            <w:tcW w:w="2963" w:type="dxa"/>
          </w:tcPr>
          <w:p w14:paraId="7F34C2E9" w14:textId="77777777" w:rsidR="004C27AD" w:rsidRPr="00296D0C" w:rsidRDefault="004C27AD" w:rsidP="005C3553">
            <w:pPr>
              <w:spacing w:after="100" w:afterAutospacing="1"/>
            </w:pPr>
            <w:r w:rsidRPr="00296D0C">
              <w:rPr>
                <w:rFonts w:eastAsia="Calibri" w:cs="Times New Roman"/>
                <w:lang w:val="en-US"/>
              </w:rPr>
              <w:t>Energy balance</w:t>
            </w:r>
          </w:p>
        </w:tc>
        <w:tc>
          <w:tcPr>
            <w:tcW w:w="993" w:type="dxa"/>
          </w:tcPr>
          <w:p w14:paraId="26266F44" w14:textId="77777777" w:rsidR="004C27AD" w:rsidRPr="00296D0C" w:rsidRDefault="004C27AD" w:rsidP="005C3553">
            <w:pPr>
              <w:spacing w:after="100" w:afterAutospacing="1"/>
            </w:pPr>
            <w:r w:rsidRPr="00296D0C">
              <w:t>1</w:t>
            </w:r>
          </w:p>
        </w:tc>
        <w:tc>
          <w:tcPr>
            <w:tcW w:w="1559" w:type="dxa"/>
          </w:tcPr>
          <w:p w14:paraId="2B8738AE" w14:textId="77777777" w:rsidR="004C27AD" w:rsidRPr="00296D0C" w:rsidRDefault="004C27AD" w:rsidP="005C3553">
            <w:pPr>
              <w:spacing w:after="100" w:afterAutospacing="1"/>
            </w:pPr>
            <w:r w:rsidRPr="00296D0C">
              <w:t>4</w:t>
            </w:r>
          </w:p>
        </w:tc>
        <w:tc>
          <w:tcPr>
            <w:tcW w:w="1276" w:type="dxa"/>
          </w:tcPr>
          <w:p w14:paraId="7D962ECB" w14:textId="77777777" w:rsidR="004C27AD" w:rsidRPr="00296D0C" w:rsidRDefault="004C27AD" w:rsidP="005C3553">
            <w:pPr>
              <w:spacing w:after="100" w:afterAutospacing="1"/>
            </w:pPr>
            <w:r w:rsidRPr="00296D0C">
              <w:t>0-2</w:t>
            </w:r>
          </w:p>
        </w:tc>
      </w:tr>
      <w:tr w:rsidR="004C27AD" w:rsidRPr="00296D0C" w14:paraId="55497F37" w14:textId="77777777" w:rsidTr="004C27AD">
        <w:tc>
          <w:tcPr>
            <w:tcW w:w="2135" w:type="dxa"/>
            <w:vMerge/>
          </w:tcPr>
          <w:p w14:paraId="37CD83A1" w14:textId="77777777" w:rsidR="004C27AD" w:rsidRPr="00296D0C" w:rsidRDefault="004C27AD" w:rsidP="005C3553">
            <w:pPr>
              <w:spacing w:after="100" w:afterAutospacing="1"/>
            </w:pPr>
          </w:p>
        </w:tc>
        <w:tc>
          <w:tcPr>
            <w:tcW w:w="2963" w:type="dxa"/>
          </w:tcPr>
          <w:p w14:paraId="623F9080" w14:textId="77777777" w:rsidR="004C27AD" w:rsidRPr="00296D0C" w:rsidRDefault="004C27AD" w:rsidP="005C3553">
            <w:pPr>
              <w:spacing w:after="100" w:afterAutospacing="1"/>
            </w:pPr>
            <w:r w:rsidRPr="00296D0C">
              <w:rPr>
                <w:rFonts w:eastAsia="Calibri" w:cs="Times New Roman"/>
                <w:lang w:val="en-US"/>
              </w:rPr>
              <w:t>Strategies for change</w:t>
            </w:r>
          </w:p>
        </w:tc>
        <w:tc>
          <w:tcPr>
            <w:tcW w:w="993" w:type="dxa"/>
          </w:tcPr>
          <w:p w14:paraId="3B97769C" w14:textId="77777777" w:rsidR="004C27AD" w:rsidRPr="00296D0C" w:rsidRDefault="004C27AD" w:rsidP="005C3553">
            <w:pPr>
              <w:spacing w:after="100" w:afterAutospacing="1"/>
            </w:pPr>
            <w:r w:rsidRPr="00296D0C">
              <w:t>1</w:t>
            </w:r>
          </w:p>
        </w:tc>
        <w:tc>
          <w:tcPr>
            <w:tcW w:w="1559" w:type="dxa"/>
          </w:tcPr>
          <w:p w14:paraId="3CAE1F08" w14:textId="77777777" w:rsidR="004C27AD" w:rsidRPr="00296D0C" w:rsidRDefault="004C27AD" w:rsidP="005C3553">
            <w:pPr>
              <w:spacing w:after="100" w:afterAutospacing="1"/>
            </w:pPr>
            <w:r w:rsidRPr="00296D0C">
              <w:t>5</w:t>
            </w:r>
          </w:p>
        </w:tc>
        <w:tc>
          <w:tcPr>
            <w:tcW w:w="1276" w:type="dxa"/>
          </w:tcPr>
          <w:p w14:paraId="7EE94002" w14:textId="77777777" w:rsidR="004C27AD" w:rsidRPr="00296D0C" w:rsidRDefault="004C27AD" w:rsidP="005C3553">
            <w:pPr>
              <w:spacing w:after="100" w:afterAutospacing="1"/>
            </w:pPr>
            <w:r w:rsidRPr="00296D0C">
              <w:t>0-3</w:t>
            </w:r>
          </w:p>
        </w:tc>
      </w:tr>
      <w:tr w:rsidR="004C27AD" w:rsidRPr="00296D0C" w14:paraId="62102005" w14:textId="77777777" w:rsidTr="004C27AD">
        <w:trPr>
          <w:trHeight w:val="672"/>
        </w:trPr>
        <w:tc>
          <w:tcPr>
            <w:tcW w:w="2135" w:type="dxa"/>
            <w:vMerge w:val="restart"/>
          </w:tcPr>
          <w:p w14:paraId="7FA24FCC" w14:textId="77777777" w:rsidR="004C27AD" w:rsidRPr="00296D0C" w:rsidRDefault="004C27AD" w:rsidP="005C3553">
            <w:pPr>
              <w:spacing w:after="100" w:afterAutospacing="1"/>
              <w:rPr>
                <w:b/>
              </w:rPr>
            </w:pPr>
            <w:r w:rsidRPr="00296D0C">
              <w:rPr>
                <w:b/>
              </w:rPr>
              <w:t xml:space="preserve">‘Confidence and Motivation’ </w:t>
            </w:r>
          </w:p>
          <w:p w14:paraId="10DC37C1" w14:textId="77777777" w:rsidR="004C27AD" w:rsidRPr="00296D0C" w:rsidRDefault="004C27AD" w:rsidP="005C3553">
            <w:pPr>
              <w:spacing w:after="100" w:afterAutospacing="1"/>
              <w:rPr>
                <w:b/>
              </w:rPr>
            </w:pPr>
            <w:r w:rsidRPr="00296D0C">
              <w:rPr>
                <w:b/>
              </w:rPr>
              <w:t>(9-36)</w:t>
            </w:r>
          </w:p>
        </w:tc>
        <w:tc>
          <w:tcPr>
            <w:tcW w:w="2963" w:type="dxa"/>
          </w:tcPr>
          <w:p w14:paraId="6B53974A" w14:textId="77777777" w:rsidR="004C27AD" w:rsidRPr="00296D0C" w:rsidRDefault="004C27AD" w:rsidP="005C3553">
            <w:pPr>
              <w:spacing w:after="100" w:afterAutospacing="1"/>
            </w:pPr>
            <w:r w:rsidRPr="00296D0C">
              <w:rPr>
                <w:rFonts w:eastAsia="Calibri" w:cs="Times New Roman"/>
                <w:lang w:val="en-US"/>
              </w:rPr>
              <w:t>Self-efficacy to make healthy eating and activity choices</w:t>
            </w:r>
          </w:p>
        </w:tc>
        <w:tc>
          <w:tcPr>
            <w:tcW w:w="993" w:type="dxa"/>
          </w:tcPr>
          <w:p w14:paraId="00DFEA39" w14:textId="77777777" w:rsidR="004C27AD" w:rsidRPr="00296D0C" w:rsidRDefault="004C27AD" w:rsidP="005C3553">
            <w:pPr>
              <w:spacing w:after="100" w:afterAutospacing="1"/>
            </w:pPr>
            <w:r w:rsidRPr="00296D0C">
              <w:t>3</w:t>
            </w:r>
          </w:p>
        </w:tc>
        <w:tc>
          <w:tcPr>
            <w:tcW w:w="1559" w:type="dxa"/>
          </w:tcPr>
          <w:p w14:paraId="29293565" w14:textId="77777777" w:rsidR="004C27AD" w:rsidRPr="00296D0C" w:rsidRDefault="004C27AD" w:rsidP="005C3553">
            <w:pPr>
              <w:spacing w:after="100" w:afterAutospacing="1"/>
            </w:pPr>
            <w:r w:rsidRPr="00296D0C">
              <w:t>6-8</w:t>
            </w:r>
          </w:p>
        </w:tc>
        <w:tc>
          <w:tcPr>
            <w:tcW w:w="1276" w:type="dxa"/>
          </w:tcPr>
          <w:p w14:paraId="2CF22F5F" w14:textId="77777777" w:rsidR="004C27AD" w:rsidRPr="00296D0C" w:rsidRDefault="004C27AD" w:rsidP="005C3553">
            <w:pPr>
              <w:spacing w:after="100" w:afterAutospacing="1"/>
            </w:pPr>
            <w:r w:rsidRPr="00296D0C">
              <w:t>3-12</w:t>
            </w:r>
          </w:p>
        </w:tc>
      </w:tr>
      <w:tr w:rsidR="004C27AD" w:rsidRPr="00296D0C" w14:paraId="35DA531F" w14:textId="77777777" w:rsidTr="004C27AD">
        <w:tc>
          <w:tcPr>
            <w:tcW w:w="2135" w:type="dxa"/>
            <w:vMerge/>
          </w:tcPr>
          <w:p w14:paraId="1FA95378" w14:textId="77777777" w:rsidR="004C27AD" w:rsidRPr="00296D0C" w:rsidRDefault="004C27AD" w:rsidP="005C3553">
            <w:pPr>
              <w:spacing w:after="100" w:afterAutospacing="1"/>
            </w:pPr>
          </w:p>
        </w:tc>
        <w:tc>
          <w:tcPr>
            <w:tcW w:w="2963" w:type="dxa"/>
          </w:tcPr>
          <w:p w14:paraId="3DF3F71D" w14:textId="77777777" w:rsidR="004C27AD" w:rsidRPr="00296D0C" w:rsidRDefault="004C27AD" w:rsidP="005C3553">
            <w:pPr>
              <w:spacing w:after="100" w:afterAutospacing="1"/>
            </w:pPr>
            <w:r w:rsidRPr="00296D0C">
              <w:rPr>
                <w:rFonts w:eastAsia="Calibri" w:cs="Times New Roman"/>
                <w:lang w:val="en-US"/>
              </w:rPr>
              <w:t>Intentions to make healthy eating and activity choices</w:t>
            </w:r>
          </w:p>
        </w:tc>
        <w:tc>
          <w:tcPr>
            <w:tcW w:w="993" w:type="dxa"/>
          </w:tcPr>
          <w:p w14:paraId="535BE92D" w14:textId="77777777" w:rsidR="004C27AD" w:rsidRPr="00296D0C" w:rsidRDefault="004C27AD" w:rsidP="005C3553">
            <w:pPr>
              <w:spacing w:after="100" w:afterAutospacing="1"/>
            </w:pPr>
            <w:r w:rsidRPr="00296D0C">
              <w:t>6</w:t>
            </w:r>
          </w:p>
        </w:tc>
        <w:tc>
          <w:tcPr>
            <w:tcW w:w="1559" w:type="dxa"/>
          </w:tcPr>
          <w:p w14:paraId="080D54CB" w14:textId="77777777" w:rsidR="004C27AD" w:rsidRPr="00296D0C" w:rsidRDefault="004C27AD" w:rsidP="005C3553">
            <w:pPr>
              <w:spacing w:after="100" w:afterAutospacing="1"/>
            </w:pPr>
            <w:r w:rsidRPr="00296D0C">
              <w:t>9-14</w:t>
            </w:r>
          </w:p>
        </w:tc>
        <w:tc>
          <w:tcPr>
            <w:tcW w:w="1276" w:type="dxa"/>
          </w:tcPr>
          <w:p w14:paraId="027AA360" w14:textId="77777777" w:rsidR="004C27AD" w:rsidRPr="00296D0C" w:rsidRDefault="004C27AD" w:rsidP="005C3553">
            <w:pPr>
              <w:spacing w:after="100" w:afterAutospacing="1"/>
            </w:pPr>
            <w:r w:rsidRPr="00296D0C">
              <w:t>6-24</w:t>
            </w:r>
          </w:p>
        </w:tc>
      </w:tr>
      <w:tr w:rsidR="004C27AD" w:rsidRPr="00296D0C" w14:paraId="20164AE3" w14:textId="77777777" w:rsidTr="004C27AD">
        <w:tc>
          <w:tcPr>
            <w:tcW w:w="2135" w:type="dxa"/>
            <w:vMerge w:val="restart"/>
          </w:tcPr>
          <w:p w14:paraId="13B39D6A" w14:textId="77777777" w:rsidR="004C27AD" w:rsidRPr="00296D0C" w:rsidRDefault="004C27AD" w:rsidP="005C3553">
            <w:pPr>
              <w:spacing w:after="100" w:afterAutospacing="1"/>
              <w:rPr>
                <w:b/>
              </w:rPr>
            </w:pPr>
            <w:r w:rsidRPr="00296D0C">
              <w:rPr>
                <w:b/>
              </w:rPr>
              <w:t>‘Peer Norms’</w:t>
            </w:r>
          </w:p>
          <w:p w14:paraId="6CAAAB1F" w14:textId="77777777" w:rsidR="004C27AD" w:rsidRPr="00296D0C" w:rsidRDefault="004C27AD" w:rsidP="005C3553">
            <w:pPr>
              <w:spacing w:after="100" w:afterAutospacing="1"/>
              <w:rPr>
                <w:b/>
              </w:rPr>
            </w:pPr>
            <w:r w:rsidRPr="00296D0C">
              <w:rPr>
                <w:b/>
              </w:rPr>
              <w:t>(8-32)</w:t>
            </w:r>
          </w:p>
        </w:tc>
        <w:tc>
          <w:tcPr>
            <w:tcW w:w="2963" w:type="dxa"/>
          </w:tcPr>
          <w:p w14:paraId="6A73A644" w14:textId="77777777" w:rsidR="004C27AD" w:rsidRPr="00296D0C" w:rsidRDefault="004C27AD" w:rsidP="005C3553">
            <w:pPr>
              <w:spacing w:after="100" w:afterAutospacing="1"/>
            </w:pPr>
            <w:r w:rsidRPr="00296D0C">
              <w:t>Peer norms</w:t>
            </w:r>
          </w:p>
        </w:tc>
        <w:tc>
          <w:tcPr>
            <w:tcW w:w="993" w:type="dxa"/>
          </w:tcPr>
          <w:p w14:paraId="71BE6F05" w14:textId="77777777" w:rsidR="004C27AD" w:rsidRPr="00296D0C" w:rsidRDefault="004C27AD" w:rsidP="005C3553">
            <w:pPr>
              <w:spacing w:after="100" w:afterAutospacing="1"/>
            </w:pPr>
            <w:r w:rsidRPr="00296D0C">
              <w:t>3</w:t>
            </w:r>
          </w:p>
        </w:tc>
        <w:tc>
          <w:tcPr>
            <w:tcW w:w="1559" w:type="dxa"/>
          </w:tcPr>
          <w:p w14:paraId="31B5F75F" w14:textId="77777777" w:rsidR="004C27AD" w:rsidRPr="00296D0C" w:rsidRDefault="004C27AD" w:rsidP="005C3553">
            <w:pPr>
              <w:spacing w:after="100" w:afterAutospacing="1"/>
            </w:pPr>
            <w:r w:rsidRPr="00296D0C">
              <w:t>15-17</w:t>
            </w:r>
          </w:p>
        </w:tc>
        <w:tc>
          <w:tcPr>
            <w:tcW w:w="1276" w:type="dxa"/>
          </w:tcPr>
          <w:p w14:paraId="2CDFC85C" w14:textId="77777777" w:rsidR="004C27AD" w:rsidRPr="00296D0C" w:rsidRDefault="004C27AD" w:rsidP="005C3553">
            <w:pPr>
              <w:spacing w:after="100" w:afterAutospacing="1"/>
            </w:pPr>
            <w:r w:rsidRPr="00296D0C">
              <w:t>3-12</w:t>
            </w:r>
          </w:p>
        </w:tc>
      </w:tr>
      <w:tr w:rsidR="004C27AD" w:rsidRPr="00296D0C" w14:paraId="0193D0D6" w14:textId="77777777" w:rsidTr="004C27AD">
        <w:tc>
          <w:tcPr>
            <w:tcW w:w="2135" w:type="dxa"/>
            <w:vMerge/>
          </w:tcPr>
          <w:p w14:paraId="1243BBA9" w14:textId="77777777" w:rsidR="004C27AD" w:rsidRPr="00296D0C" w:rsidRDefault="004C27AD" w:rsidP="005C3553">
            <w:pPr>
              <w:spacing w:after="100" w:afterAutospacing="1"/>
            </w:pPr>
          </w:p>
        </w:tc>
        <w:tc>
          <w:tcPr>
            <w:tcW w:w="2963" w:type="dxa"/>
          </w:tcPr>
          <w:p w14:paraId="4B830A07" w14:textId="77777777" w:rsidR="004C27AD" w:rsidRPr="00296D0C" w:rsidRDefault="004C27AD" w:rsidP="005C3553">
            <w:pPr>
              <w:spacing w:after="100" w:afterAutospacing="1"/>
            </w:pPr>
            <w:r w:rsidRPr="00296D0C">
              <w:t>Peer approval</w:t>
            </w:r>
          </w:p>
        </w:tc>
        <w:tc>
          <w:tcPr>
            <w:tcW w:w="993" w:type="dxa"/>
          </w:tcPr>
          <w:p w14:paraId="7D247AE4" w14:textId="77777777" w:rsidR="004C27AD" w:rsidRPr="00296D0C" w:rsidRDefault="004C27AD" w:rsidP="005C3553">
            <w:pPr>
              <w:spacing w:after="100" w:afterAutospacing="1"/>
            </w:pPr>
            <w:r w:rsidRPr="00296D0C">
              <w:t>5</w:t>
            </w:r>
          </w:p>
        </w:tc>
        <w:tc>
          <w:tcPr>
            <w:tcW w:w="1559" w:type="dxa"/>
          </w:tcPr>
          <w:p w14:paraId="7B8B808C" w14:textId="77777777" w:rsidR="004C27AD" w:rsidRPr="00296D0C" w:rsidRDefault="004C27AD" w:rsidP="005C3553">
            <w:pPr>
              <w:spacing w:after="100" w:afterAutospacing="1"/>
            </w:pPr>
            <w:r w:rsidRPr="00296D0C">
              <w:t>18-22</w:t>
            </w:r>
          </w:p>
        </w:tc>
        <w:tc>
          <w:tcPr>
            <w:tcW w:w="1276" w:type="dxa"/>
          </w:tcPr>
          <w:p w14:paraId="31CF87A7" w14:textId="77777777" w:rsidR="004C27AD" w:rsidRPr="00296D0C" w:rsidRDefault="004C27AD" w:rsidP="005C3553">
            <w:pPr>
              <w:spacing w:after="100" w:afterAutospacing="1"/>
            </w:pPr>
            <w:r w:rsidRPr="00296D0C">
              <w:t>5-20</w:t>
            </w:r>
          </w:p>
        </w:tc>
      </w:tr>
      <w:tr w:rsidR="004C27AD" w:rsidRPr="00296D0C" w14:paraId="4B6447B3" w14:textId="77777777" w:rsidTr="004C27AD">
        <w:trPr>
          <w:trHeight w:val="461"/>
        </w:trPr>
        <w:tc>
          <w:tcPr>
            <w:tcW w:w="2135" w:type="dxa"/>
            <w:vMerge w:val="restart"/>
          </w:tcPr>
          <w:p w14:paraId="51016A58" w14:textId="77777777" w:rsidR="004C27AD" w:rsidRDefault="004C27AD" w:rsidP="00F92033">
            <w:pPr>
              <w:spacing w:after="100" w:afterAutospacing="1"/>
              <w:rPr>
                <w:b/>
              </w:rPr>
            </w:pPr>
            <w:r w:rsidRPr="00296D0C">
              <w:rPr>
                <w:b/>
              </w:rPr>
              <w:t>‘Family approval</w:t>
            </w:r>
            <w:r>
              <w:rPr>
                <w:b/>
              </w:rPr>
              <w:t xml:space="preserve"> </w:t>
            </w:r>
            <w:r w:rsidRPr="00296D0C">
              <w:rPr>
                <w:b/>
              </w:rPr>
              <w:t>/</w:t>
            </w:r>
            <w:r>
              <w:rPr>
                <w:b/>
              </w:rPr>
              <w:t xml:space="preserve"> </w:t>
            </w:r>
            <w:r w:rsidRPr="00296D0C">
              <w:rPr>
                <w:b/>
              </w:rPr>
              <w:t>behaviours and child attitudes’</w:t>
            </w:r>
          </w:p>
          <w:p w14:paraId="2DEA2EDF" w14:textId="3E599792" w:rsidR="004C27AD" w:rsidRPr="00296D0C" w:rsidRDefault="004C27AD" w:rsidP="00F92033">
            <w:pPr>
              <w:spacing w:after="100" w:afterAutospacing="1"/>
            </w:pPr>
            <w:r w:rsidRPr="00296D0C">
              <w:rPr>
                <w:b/>
              </w:rPr>
              <w:t>(9-36)</w:t>
            </w:r>
          </w:p>
        </w:tc>
        <w:tc>
          <w:tcPr>
            <w:tcW w:w="2963" w:type="dxa"/>
          </w:tcPr>
          <w:p w14:paraId="0C14E876" w14:textId="77777777" w:rsidR="004C27AD" w:rsidRPr="00296D0C" w:rsidRDefault="004C27AD" w:rsidP="005C3553">
            <w:pPr>
              <w:spacing w:after="100" w:afterAutospacing="1"/>
            </w:pPr>
            <w:r w:rsidRPr="00296D0C">
              <w:t>Family approval</w:t>
            </w:r>
          </w:p>
        </w:tc>
        <w:tc>
          <w:tcPr>
            <w:tcW w:w="993" w:type="dxa"/>
          </w:tcPr>
          <w:p w14:paraId="19269E9F" w14:textId="77777777" w:rsidR="004C27AD" w:rsidRPr="00296D0C" w:rsidRDefault="004C27AD" w:rsidP="005C3553">
            <w:pPr>
              <w:spacing w:after="100" w:afterAutospacing="1"/>
            </w:pPr>
            <w:r w:rsidRPr="00296D0C">
              <w:t>3</w:t>
            </w:r>
          </w:p>
        </w:tc>
        <w:tc>
          <w:tcPr>
            <w:tcW w:w="1559" w:type="dxa"/>
          </w:tcPr>
          <w:p w14:paraId="799FE7E0" w14:textId="77777777" w:rsidR="004C27AD" w:rsidRPr="00296D0C" w:rsidRDefault="004C27AD" w:rsidP="005C3553">
            <w:pPr>
              <w:spacing w:after="100" w:afterAutospacing="1"/>
            </w:pPr>
            <w:r w:rsidRPr="00296D0C">
              <w:t>23-25</w:t>
            </w:r>
          </w:p>
        </w:tc>
        <w:tc>
          <w:tcPr>
            <w:tcW w:w="1276" w:type="dxa"/>
          </w:tcPr>
          <w:p w14:paraId="068F8815" w14:textId="77777777" w:rsidR="004C27AD" w:rsidRPr="00296D0C" w:rsidRDefault="004C27AD" w:rsidP="005C3553">
            <w:pPr>
              <w:spacing w:after="100" w:afterAutospacing="1"/>
            </w:pPr>
            <w:r w:rsidRPr="00296D0C">
              <w:t>3-12</w:t>
            </w:r>
          </w:p>
        </w:tc>
      </w:tr>
      <w:tr w:rsidR="004C27AD" w:rsidRPr="00296D0C" w14:paraId="23AC617A" w14:textId="77777777" w:rsidTr="004C27AD">
        <w:tc>
          <w:tcPr>
            <w:tcW w:w="2135" w:type="dxa"/>
            <w:vMerge/>
          </w:tcPr>
          <w:p w14:paraId="611F6F19" w14:textId="77777777" w:rsidR="004C27AD" w:rsidRPr="00296D0C" w:rsidRDefault="004C27AD" w:rsidP="005C3553">
            <w:pPr>
              <w:spacing w:after="100" w:afterAutospacing="1"/>
            </w:pPr>
          </w:p>
        </w:tc>
        <w:tc>
          <w:tcPr>
            <w:tcW w:w="2963" w:type="dxa"/>
          </w:tcPr>
          <w:p w14:paraId="0DF60074" w14:textId="77777777" w:rsidR="004C27AD" w:rsidRPr="00296D0C" w:rsidRDefault="004C27AD" w:rsidP="005C3553">
            <w:pPr>
              <w:spacing w:after="100" w:afterAutospacing="1"/>
            </w:pPr>
            <w:r w:rsidRPr="00296D0C">
              <w:t>Attitudes towards restrictions on behaviour</w:t>
            </w:r>
          </w:p>
        </w:tc>
        <w:tc>
          <w:tcPr>
            <w:tcW w:w="993" w:type="dxa"/>
          </w:tcPr>
          <w:p w14:paraId="317C2AF9" w14:textId="77777777" w:rsidR="004C27AD" w:rsidRPr="00296D0C" w:rsidRDefault="004C27AD" w:rsidP="005C3553">
            <w:pPr>
              <w:spacing w:after="100" w:afterAutospacing="1"/>
            </w:pPr>
            <w:r w:rsidRPr="00296D0C">
              <w:t>3</w:t>
            </w:r>
          </w:p>
        </w:tc>
        <w:tc>
          <w:tcPr>
            <w:tcW w:w="1559" w:type="dxa"/>
          </w:tcPr>
          <w:p w14:paraId="03895B37" w14:textId="77777777" w:rsidR="004C27AD" w:rsidRPr="00296D0C" w:rsidRDefault="004C27AD" w:rsidP="005C3553">
            <w:pPr>
              <w:spacing w:after="100" w:afterAutospacing="1"/>
            </w:pPr>
            <w:r w:rsidRPr="00296D0C">
              <w:t>26-28</w:t>
            </w:r>
          </w:p>
        </w:tc>
        <w:tc>
          <w:tcPr>
            <w:tcW w:w="1276" w:type="dxa"/>
          </w:tcPr>
          <w:p w14:paraId="477D0EC4" w14:textId="77777777" w:rsidR="004C27AD" w:rsidRPr="00296D0C" w:rsidRDefault="004C27AD" w:rsidP="005C3553">
            <w:pPr>
              <w:spacing w:after="100" w:afterAutospacing="1"/>
            </w:pPr>
            <w:r w:rsidRPr="00296D0C">
              <w:t>3-12</w:t>
            </w:r>
          </w:p>
        </w:tc>
      </w:tr>
      <w:tr w:rsidR="004C27AD" w:rsidRPr="00296D0C" w14:paraId="428A3630" w14:textId="77777777" w:rsidTr="004C27AD">
        <w:tc>
          <w:tcPr>
            <w:tcW w:w="2135" w:type="dxa"/>
            <w:vMerge/>
          </w:tcPr>
          <w:p w14:paraId="27244ADB" w14:textId="77777777" w:rsidR="004C27AD" w:rsidRPr="00296D0C" w:rsidRDefault="004C27AD" w:rsidP="005C3553">
            <w:pPr>
              <w:spacing w:after="100" w:afterAutospacing="1"/>
            </w:pPr>
          </w:p>
        </w:tc>
        <w:tc>
          <w:tcPr>
            <w:tcW w:w="2963" w:type="dxa"/>
          </w:tcPr>
          <w:p w14:paraId="36587C9D" w14:textId="77777777" w:rsidR="004C27AD" w:rsidRPr="00296D0C" w:rsidRDefault="004C27AD" w:rsidP="005C3553">
            <w:pPr>
              <w:spacing w:after="100" w:afterAutospacing="1"/>
            </w:pPr>
            <w:r w:rsidRPr="00296D0C">
              <w:t xml:space="preserve">Parental provision and rules around food and physical activity </w:t>
            </w:r>
          </w:p>
        </w:tc>
        <w:tc>
          <w:tcPr>
            <w:tcW w:w="993" w:type="dxa"/>
          </w:tcPr>
          <w:p w14:paraId="7BB170B1" w14:textId="77777777" w:rsidR="004C27AD" w:rsidRPr="00296D0C" w:rsidRDefault="004C27AD" w:rsidP="005C3553">
            <w:pPr>
              <w:spacing w:after="100" w:afterAutospacing="1"/>
            </w:pPr>
            <w:r w:rsidRPr="00296D0C">
              <w:t>3</w:t>
            </w:r>
          </w:p>
        </w:tc>
        <w:tc>
          <w:tcPr>
            <w:tcW w:w="1559" w:type="dxa"/>
          </w:tcPr>
          <w:p w14:paraId="613D3873" w14:textId="77777777" w:rsidR="004C27AD" w:rsidRPr="00296D0C" w:rsidRDefault="004C27AD" w:rsidP="005C3553">
            <w:pPr>
              <w:spacing w:after="100" w:afterAutospacing="1"/>
            </w:pPr>
            <w:r w:rsidRPr="00296D0C">
              <w:t>29,30,32</w:t>
            </w:r>
          </w:p>
        </w:tc>
        <w:tc>
          <w:tcPr>
            <w:tcW w:w="1276" w:type="dxa"/>
          </w:tcPr>
          <w:p w14:paraId="04AB8140" w14:textId="77777777" w:rsidR="004C27AD" w:rsidRPr="00296D0C" w:rsidRDefault="004C27AD" w:rsidP="005C3553">
            <w:pPr>
              <w:spacing w:after="100" w:afterAutospacing="1"/>
            </w:pPr>
            <w:r w:rsidRPr="00296D0C">
              <w:t>3-12</w:t>
            </w:r>
          </w:p>
        </w:tc>
      </w:tr>
      <w:tr w:rsidR="004C27AD" w:rsidRPr="00296D0C" w14:paraId="32A58407" w14:textId="77777777" w:rsidTr="004C27AD">
        <w:tc>
          <w:tcPr>
            <w:tcW w:w="2135" w:type="dxa"/>
            <w:vMerge w:val="restart"/>
          </w:tcPr>
          <w:p w14:paraId="4B4DA348" w14:textId="77777777" w:rsidR="004C27AD" w:rsidRPr="00296D0C" w:rsidRDefault="004C27AD" w:rsidP="005C3553">
            <w:pPr>
              <w:spacing w:after="100" w:afterAutospacing="1"/>
              <w:rPr>
                <w:b/>
              </w:rPr>
            </w:pPr>
            <w:r w:rsidRPr="00296D0C">
              <w:rPr>
                <w:b/>
              </w:rPr>
              <w:t>‘Behaviours and Strategies’</w:t>
            </w:r>
          </w:p>
          <w:p w14:paraId="7C7DE4CF" w14:textId="77777777" w:rsidR="004C27AD" w:rsidRPr="00296D0C" w:rsidRDefault="004C27AD" w:rsidP="005C3553">
            <w:pPr>
              <w:spacing w:after="100" w:afterAutospacing="1"/>
              <w:rPr>
                <w:b/>
              </w:rPr>
            </w:pPr>
            <w:r w:rsidRPr="00296D0C">
              <w:rPr>
                <w:b/>
              </w:rPr>
              <w:t>(18-72)</w:t>
            </w:r>
          </w:p>
        </w:tc>
        <w:tc>
          <w:tcPr>
            <w:tcW w:w="2963" w:type="dxa"/>
          </w:tcPr>
          <w:p w14:paraId="04BFC95F" w14:textId="77777777" w:rsidR="004C27AD" w:rsidRPr="00296D0C" w:rsidRDefault="004C27AD" w:rsidP="005C3553">
            <w:pPr>
              <w:spacing w:after="100" w:afterAutospacing="1"/>
            </w:pPr>
            <w:r w:rsidRPr="00296D0C">
              <w:t>Goal setting</w:t>
            </w:r>
          </w:p>
        </w:tc>
        <w:tc>
          <w:tcPr>
            <w:tcW w:w="993" w:type="dxa"/>
          </w:tcPr>
          <w:p w14:paraId="4C9CF1D7" w14:textId="77777777" w:rsidR="004C27AD" w:rsidRPr="00296D0C" w:rsidRDefault="004C27AD" w:rsidP="005C3553">
            <w:pPr>
              <w:spacing w:after="100" w:afterAutospacing="1"/>
            </w:pPr>
            <w:r w:rsidRPr="00296D0C">
              <w:t>6</w:t>
            </w:r>
          </w:p>
        </w:tc>
        <w:tc>
          <w:tcPr>
            <w:tcW w:w="1559" w:type="dxa"/>
          </w:tcPr>
          <w:p w14:paraId="3BF6A504" w14:textId="77777777" w:rsidR="004C27AD" w:rsidRPr="00296D0C" w:rsidRDefault="004C27AD" w:rsidP="005C3553">
            <w:pPr>
              <w:spacing w:after="100" w:afterAutospacing="1"/>
            </w:pPr>
            <w:r w:rsidRPr="00296D0C">
              <w:t>33-38</w:t>
            </w:r>
          </w:p>
        </w:tc>
        <w:tc>
          <w:tcPr>
            <w:tcW w:w="1276" w:type="dxa"/>
          </w:tcPr>
          <w:p w14:paraId="0025511D" w14:textId="77777777" w:rsidR="004C27AD" w:rsidRPr="00296D0C" w:rsidRDefault="004C27AD" w:rsidP="005C3553">
            <w:pPr>
              <w:spacing w:after="100" w:afterAutospacing="1"/>
            </w:pPr>
            <w:r w:rsidRPr="00296D0C">
              <w:t>6-24</w:t>
            </w:r>
          </w:p>
        </w:tc>
      </w:tr>
      <w:tr w:rsidR="004C27AD" w:rsidRPr="00296D0C" w14:paraId="66AF9121" w14:textId="77777777" w:rsidTr="004C27AD">
        <w:tc>
          <w:tcPr>
            <w:tcW w:w="2135" w:type="dxa"/>
            <w:vMerge/>
          </w:tcPr>
          <w:p w14:paraId="12C6C6C1" w14:textId="77777777" w:rsidR="004C27AD" w:rsidRPr="00296D0C" w:rsidRDefault="004C27AD" w:rsidP="005C3553">
            <w:pPr>
              <w:spacing w:after="100" w:afterAutospacing="1"/>
            </w:pPr>
          </w:p>
        </w:tc>
        <w:tc>
          <w:tcPr>
            <w:tcW w:w="2963" w:type="dxa"/>
          </w:tcPr>
          <w:p w14:paraId="6EC3A38A" w14:textId="77777777" w:rsidR="004C27AD" w:rsidRPr="00296D0C" w:rsidRDefault="004C27AD" w:rsidP="005C3553">
            <w:pPr>
              <w:spacing w:after="100" w:afterAutospacing="1"/>
            </w:pPr>
            <w:r w:rsidRPr="00296D0C">
              <w:t>Self-monitoring</w:t>
            </w:r>
          </w:p>
        </w:tc>
        <w:tc>
          <w:tcPr>
            <w:tcW w:w="993" w:type="dxa"/>
          </w:tcPr>
          <w:p w14:paraId="6265E5A2" w14:textId="77777777" w:rsidR="004C27AD" w:rsidRPr="00296D0C" w:rsidRDefault="004C27AD" w:rsidP="005C3553">
            <w:pPr>
              <w:spacing w:after="100" w:afterAutospacing="1"/>
            </w:pPr>
            <w:r w:rsidRPr="00296D0C">
              <w:t>4</w:t>
            </w:r>
          </w:p>
        </w:tc>
        <w:tc>
          <w:tcPr>
            <w:tcW w:w="1559" w:type="dxa"/>
          </w:tcPr>
          <w:p w14:paraId="7A276578" w14:textId="77777777" w:rsidR="004C27AD" w:rsidRPr="00296D0C" w:rsidRDefault="004C27AD" w:rsidP="005C3553">
            <w:pPr>
              <w:spacing w:after="100" w:afterAutospacing="1"/>
            </w:pPr>
            <w:r w:rsidRPr="00296D0C">
              <w:t>39-42</w:t>
            </w:r>
          </w:p>
        </w:tc>
        <w:tc>
          <w:tcPr>
            <w:tcW w:w="1276" w:type="dxa"/>
          </w:tcPr>
          <w:p w14:paraId="546CA2D4" w14:textId="77777777" w:rsidR="004C27AD" w:rsidRPr="00296D0C" w:rsidRDefault="004C27AD" w:rsidP="005C3553">
            <w:pPr>
              <w:spacing w:after="100" w:afterAutospacing="1"/>
            </w:pPr>
            <w:r w:rsidRPr="00296D0C">
              <w:t>4-16</w:t>
            </w:r>
          </w:p>
        </w:tc>
      </w:tr>
      <w:tr w:rsidR="004C27AD" w:rsidRPr="00296D0C" w14:paraId="5C7E47E1" w14:textId="77777777" w:rsidTr="004C27AD">
        <w:tc>
          <w:tcPr>
            <w:tcW w:w="2135" w:type="dxa"/>
            <w:vMerge/>
          </w:tcPr>
          <w:p w14:paraId="785F9153" w14:textId="77777777" w:rsidR="004C27AD" w:rsidRPr="00296D0C" w:rsidRDefault="004C27AD" w:rsidP="005C3553">
            <w:pPr>
              <w:spacing w:after="100" w:afterAutospacing="1"/>
            </w:pPr>
          </w:p>
        </w:tc>
        <w:tc>
          <w:tcPr>
            <w:tcW w:w="2963" w:type="dxa"/>
          </w:tcPr>
          <w:p w14:paraId="05572467" w14:textId="77777777" w:rsidR="004C27AD" w:rsidRPr="00296D0C" w:rsidRDefault="004C27AD" w:rsidP="005C3553">
            <w:pPr>
              <w:spacing w:after="100" w:afterAutospacing="1"/>
            </w:pPr>
            <w:r w:rsidRPr="00296D0C">
              <w:t>Discussion about healthy lifestyles with parents/family</w:t>
            </w:r>
          </w:p>
        </w:tc>
        <w:tc>
          <w:tcPr>
            <w:tcW w:w="993" w:type="dxa"/>
          </w:tcPr>
          <w:p w14:paraId="7B1C31A5" w14:textId="77777777" w:rsidR="004C27AD" w:rsidRPr="00296D0C" w:rsidRDefault="004C27AD" w:rsidP="005C3553">
            <w:pPr>
              <w:spacing w:after="100" w:afterAutospacing="1"/>
            </w:pPr>
            <w:r w:rsidRPr="00296D0C">
              <w:t>3</w:t>
            </w:r>
          </w:p>
        </w:tc>
        <w:tc>
          <w:tcPr>
            <w:tcW w:w="1559" w:type="dxa"/>
          </w:tcPr>
          <w:p w14:paraId="03A989EC" w14:textId="77777777" w:rsidR="004C27AD" w:rsidRPr="00296D0C" w:rsidRDefault="004C27AD" w:rsidP="005C3553">
            <w:pPr>
              <w:spacing w:after="100" w:afterAutospacing="1"/>
            </w:pPr>
            <w:r w:rsidRPr="00296D0C">
              <w:t>43-45</w:t>
            </w:r>
          </w:p>
        </w:tc>
        <w:tc>
          <w:tcPr>
            <w:tcW w:w="1276" w:type="dxa"/>
          </w:tcPr>
          <w:p w14:paraId="1A1CC355" w14:textId="77777777" w:rsidR="004C27AD" w:rsidRPr="00296D0C" w:rsidRDefault="004C27AD" w:rsidP="005C3553">
            <w:pPr>
              <w:spacing w:after="100" w:afterAutospacing="1"/>
            </w:pPr>
            <w:r w:rsidRPr="00296D0C">
              <w:t>3-12</w:t>
            </w:r>
          </w:p>
        </w:tc>
      </w:tr>
      <w:tr w:rsidR="004C27AD" w:rsidRPr="00296D0C" w14:paraId="41FFF0F4" w14:textId="77777777" w:rsidTr="004C27AD">
        <w:tc>
          <w:tcPr>
            <w:tcW w:w="2135" w:type="dxa"/>
            <w:vMerge/>
          </w:tcPr>
          <w:p w14:paraId="73985ED3" w14:textId="77777777" w:rsidR="004C27AD" w:rsidRPr="00296D0C" w:rsidRDefault="004C27AD" w:rsidP="005C3553">
            <w:pPr>
              <w:spacing w:after="100" w:afterAutospacing="1"/>
            </w:pPr>
          </w:p>
        </w:tc>
        <w:tc>
          <w:tcPr>
            <w:tcW w:w="2963" w:type="dxa"/>
          </w:tcPr>
          <w:p w14:paraId="377AA78F" w14:textId="77777777" w:rsidR="004C27AD" w:rsidRPr="00296D0C" w:rsidRDefault="004C27AD" w:rsidP="005C3553">
            <w:pPr>
              <w:spacing w:after="100" w:afterAutospacing="1"/>
            </w:pPr>
            <w:r w:rsidRPr="00296D0C">
              <w:t>Encouraging the family to be more healthy</w:t>
            </w:r>
          </w:p>
        </w:tc>
        <w:tc>
          <w:tcPr>
            <w:tcW w:w="993" w:type="dxa"/>
          </w:tcPr>
          <w:p w14:paraId="777AE9CB" w14:textId="77777777" w:rsidR="004C27AD" w:rsidRPr="00296D0C" w:rsidRDefault="004C27AD" w:rsidP="005C3553">
            <w:pPr>
              <w:spacing w:after="100" w:afterAutospacing="1"/>
            </w:pPr>
            <w:r w:rsidRPr="00296D0C">
              <w:t>2</w:t>
            </w:r>
          </w:p>
        </w:tc>
        <w:tc>
          <w:tcPr>
            <w:tcW w:w="1559" w:type="dxa"/>
          </w:tcPr>
          <w:p w14:paraId="41681093" w14:textId="77777777" w:rsidR="004C27AD" w:rsidRPr="00296D0C" w:rsidRDefault="004C27AD" w:rsidP="005C3553">
            <w:pPr>
              <w:spacing w:after="100" w:afterAutospacing="1"/>
            </w:pPr>
            <w:r w:rsidRPr="00296D0C">
              <w:t>46-47</w:t>
            </w:r>
          </w:p>
        </w:tc>
        <w:tc>
          <w:tcPr>
            <w:tcW w:w="1276" w:type="dxa"/>
          </w:tcPr>
          <w:p w14:paraId="5050ACBF" w14:textId="77777777" w:rsidR="004C27AD" w:rsidRPr="00296D0C" w:rsidRDefault="004C27AD" w:rsidP="005C3553">
            <w:pPr>
              <w:spacing w:after="100" w:afterAutospacing="1"/>
            </w:pPr>
            <w:r w:rsidRPr="00296D0C">
              <w:t>2-8</w:t>
            </w:r>
          </w:p>
        </w:tc>
      </w:tr>
      <w:tr w:rsidR="004C27AD" w:rsidRPr="00296D0C" w14:paraId="4C94521B" w14:textId="77777777" w:rsidTr="004C27AD">
        <w:tc>
          <w:tcPr>
            <w:tcW w:w="2135" w:type="dxa"/>
            <w:vMerge/>
          </w:tcPr>
          <w:p w14:paraId="12CBAB1E" w14:textId="77777777" w:rsidR="004C27AD" w:rsidRPr="00296D0C" w:rsidRDefault="004C27AD" w:rsidP="005C3553">
            <w:pPr>
              <w:spacing w:after="100" w:afterAutospacing="1"/>
            </w:pPr>
          </w:p>
        </w:tc>
        <w:tc>
          <w:tcPr>
            <w:tcW w:w="2963" w:type="dxa"/>
          </w:tcPr>
          <w:p w14:paraId="2A7055A6" w14:textId="77777777" w:rsidR="004C27AD" w:rsidRPr="00296D0C" w:rsidRDefault="004C27AD" w:rsidP="005C3553">
            <w:pPr>
              <w:spacing w:after="100" w:afterAutospacing="1"/>
            </w:pPr>
            <w:r w:rsidRPr="00296D0C">
              <w:t xml:space="preserve">Helping parents choose healthy alternatives when shopping </w:t>
            </w:r>
          </w:p>
        </w:tc>
        <w:tc>
          <w:tcPr>
            <w:tcW w:w="993" w:type="dxa"/>
          </w:tcPr>
          <w:p w14:paraId="32927A2D" w14:textId="77777777" w:rsidR="004C27AD" w:rsidRPr="00296D0C" w:rsidRDefault="004C27AD" w:rsidP="005C3553">
            <w:pPr>
              <w:spacing w:after="100" w:afterAutospacing="1"/>
            </w:pPr>
            <w:r w:rsidRPr="00296D0C">
              <w:t>1</w:t>
            </w:r>
          </w:p>
        </w:tc>
        <w:tc>
          <w:tcPr>
            <w:tcW w:w="1559" w:type="dxa"/>
          </w:tcPr>
          <w:p w14:paraId="3865E504" w14:textId="77777777" w:rsidR="004C27AD" w:rsidRPr="00296D0C" w:rsidRDefault="004C27AD" w:rsidP="005C3553">
            <w:pPr>
              <w:spacing w:after="100" w:afterAutospacing="1"/>
            </w:pPr>
            <w:r w:rsidRPr="00296D0C">
              <w:t>48</w:t>
            </w:r>
          </w:p>
        </w:tc>
        <w:tc>
          <w:tcPr>
            <w:tcW w:w="1276" w:type="dxa"/>
          </w:tcPr>
          <w:p w14:paraId="380FAE09" w14:textId="77777777" w:rsidR="004C27AD" w:rsidRPr="00296D0C" w:rsidRDefault="004C27AD" w:rsidP="005C3553">
            <w:pPr>
              <w:spacing w:after="100" w:afterAutospacing="1"/>
            </w:pPr>
            <w:r w:rsidRPr="00296D0C">
              <w:t>1-4</w:t>
            </w:r>
          </w:p>
        </w:tc>
      </w:tr>
      <w:tr w:rsidR="004C27AD" w:rsidRPr="00296D0C" w14:paraId="13FA3CF8" w14:textId="77777777" w:rsidTr="004C27AD">
        <w:tc>
          <w:tcPr>
            <w:tcW w:w="2135" w:type="dxa"/>
            <w:vMerge/>
          </w:tcPr>
          <w:p w14:paraId="711EB08B" w14:textId="77777777" w:rsidR="004C27AD" w:rsidRPr="00296D0C" w:rsidRDefault="004C27AD" w:rsidP="005C3553">
            <w:pPr>
              <w:spacing w:after="100" w:afterAutospacing="1"/>
            </w:pPr>
          </w:p>
        </w:tc>
        <w:tc>
          <w:tcPr>
            <w:tcW w:w="2963" w:type="dxa"/>
          </w:tcPr>
          <w:p w14:paraId="4167C36D" w14:textId="77777777" w:rsidR="004C27AD" w:rsidRPr="00296D0C" w:rsidRDefault="004C27AD" w:rsidP="005C3553">
            <w:pPr>
              <w:spacing w:after="100" w:afterAutospacing="1"/>
            </w:pPr>
            <w:r w:rsidRPr="00296D0C">
              <w:t>Helping with cooking at home</w:t>
            </w:r>
          </w:p>
        </w:tc>
        <w:tc>
          <w:tcPr>
            <w:tcW w:w="993" w:type="dxa"/>
          </w:tcPr>
          <w:p w14:paraId="44C0FB0C" w14:textId="77777777" w:rsidR="004C27AD" w:rsidRPr="00296D0C" w:rsidRDefault="004C27AD" w:rsidP="005C3553">
            <w:pPr>
              <w:spacing w:after="100" w:afterAutospacing="1"/>
            </w:pPr>
            <w:r w:rsidRPr="00296D0C">
              <w:t>1</w:t>
            </w:r>
          </w:p>
        </w:tc>
        <w:tc>
          <w:tcPr>
            <w:tcW w:w="1559" w:type="dxa"/>
          </w:tcPr>
          <w:p w14:paraId="3A6BDC04" w14:textId="77777777" w:rsidR="004C27AD" w:rsidRPr="00296D0C" w:rsidRDefault="004C27AD" w:rsidP="005C3553">
            <w:pPr>
              <w:spacing w:after="100" w:afterAutospacing="1"/>
            </w:pPr>
            <w:r w:rsidRPr="00296D0C">
              <w:t>49</w:t>
            </w:r>
          </w:p>
        </w:tc>
        <w:tc>
          <w:tcPr>
            <w:tcW w:w="1276" w:type="dxa"/>
          </w:tcPr>
          <w:p w14:paraId="56E46B6E" w14:textId="77777777" w:rsidR="004C27AD" w:rsidRPr="00296D0C" w:rsidRDefault="004C27AD" w:rsidP="005C3553">
            <w:pPr>
              <w:spacing w:after="100" w:afterAutospacing="1"/>
            </w:pPr>
            <w:r w:rsidRPr="00296D0C">
              <w:t>1-4</w:t>
            </w:r>
          </w:p>
        </w:tc>
      </w:tr>
      <w:tr w:rsidR="004C27AD" w:rsidRPr="00296D0C" w14:paraId="5AF08D88" w14:textId="77777777" w:rsidTr="004C27AD">
        <w:tc>
          <w:tcPr>
            <w:tcW w:w="2135" w:type="dxa"/>
            <w:vMerge/>
          </w:tcPr>
          <w:p w14:paraId="0201C00D" w14:textId="77777777" w:rsidR="004C27AD" w:rsidRPr="00296D0C" w:rsidRDefault="004C27AD" w:rsidP="005C3553">
            <w:pPr>
              <w:spacing w:after="100" w:afterAutospacing="1"/>
            </w:pPr>
          </w:p>
        </w:tc>
        <w:tc>
          <w:tcPr>
            <w:tcW w:w="2963" w:type="dxa"/>
          </w:tcPr>
          <w:p w14:paraId="183170EA" w14:textId="2BA5C7FF" w:rsidR="004C27AD" w:rsidRPr="00296D0C" w:rsidRDefault="004C27AD" w:rsidP="004C27AD">
            <w:pPr>
              <w:spacing w:after="100" w:afterAutospacing="1"/>
            </w:pPr>
            <w:r w:rsidRPr="00296D0C">
              <w:t xml:space="preserve">Trying new healthy food </w:t>
            </w:r>
            <w:r>
              <w:t>&amp;</w:t>
            </w:r>
            <w:r w:rsidRPr="00296D0C">
              <w:t xml:space="preserve"> drinks</w:t>
            </w:r>
          </w:p>
        </w:tc>
        <w:tc>
          <w:tcPr>
            <w:tcW w:w="993" w:type="dxa"/>
          </w:tcPr>
          <w:p w14:paraId="3BC591B5" w14:textId="77777777" w:rsidR="004C27AD" w:rsidRPr="00296D0C" w:rsidRDefault="004C27AD" w:rsidP="005C3553">
            <w:pPr>
              <w:spacing w:after="100" w:afterAutospacing="1"/>
            </w:pPr>
            <w:r w:rsidRPr="00296D0C">
              <w:t>1</w:t>
            </w:r>
          </w:p>
        </w:tc>
        <w:tc>
          <w:tcPr>
            <w:tcW w:w="1559" w:type="dxa"/>
          </w:tcPr>
          <w:p w14:paraId="2573AF49" w14:textId="77777777" w:rsidR="004C27AD" w:rsidRPr="00296D0C" w:rsidRDefault="004C27AD" w:rsidP="005C3553">
            <w:pPr>
              <w:spacing w:after="100" w:afterAutospacing="1"/>
            </w:pPr>
            <w:r w:rsidRPr="00296D0C">
              <w:t>50</w:t>
            </w:r>
          </w:p>
        </w:tc>
        <w:tc>
          <w:tcPr>
            <w:tcW w:w="1276" w:type="dxa"/>
          </w:tcPr>
          <w:p w14:paraId="621857E3" w14:textId="77777777" w:rsidR="004C27AD" w:rsidRPr="00296D0C" w:rsidRDefault="004C27AD" w:rsidP="005C3553">
            <w:pPr>
              <w:spacing w:after="100" w:afterAutospacing="1"/>
            </w:pPr>
            <w:r w:rsidRPr="00296D0C">
              <w:t>1-4</w:t>
            </w:r>
          </w:p>
        </w:tc>
      </w:tr>
    </w:tbl>
    <w:p w14:paraId="59729417" w14:textId="77777777" w:rsidR="00D41B61" w:rsidRPr="00296D0C" w:rsidRDefault="00D41B61" w:rsidP="00D41B61">
      <w:pPr>
        <w:spacing w:after="0" w:line="360" w:lineRule="auto"/>
        <w:rPr>
          <w:rFonts w:eastAsia="Calibri" w:cs="Times New Roman"/>
        </w:rPr>
      </w:pPr>
    </w:p>
    <w:p w14:paraId="1BD5138E" w14:textId="4FDFDFF4" w:rsidR="002F0A1D" w:rsidRDefault="002F0A1D">
      <w:pPr>
        <w:rPr>
          <w:rFonts w:eastAsia="Calibri" w:cs="Times New Roman"/>
          <w:b/>
        </w:rPr>
      </w:pPr>
      <w:r>
        <w:rPr>
          <w:rFonts w:eastAsia="Calibri" w:cs="Times New Roman"/>
          <w:b/>
        </w:rPr>
        <w:br w:type="page"/>
      </w:r>
    </w:p>
    <w:p w14:paraId="1BA80F99" w14:textId="77777777" w:rsidR="00D41B61" w:rsidRPr="00296D0C" w:rsidRDefault="00D41B61" w:rsidP="00D41B61">
      <w:pPr>
        <w:spacing w:after="0" w:line="360" w:lineRule="auto"/>
        <w:rPr>
          <w:rFonts w:eastAsia="Calibri" w:cs="Times New Roman"/>
          <w:b/>
        </w:rPr>
      </w:pPr>
      <w:r w:rsidRPr="00296D0C">
        <w:rPr>
          <w:rFonts w:eastAsia="Calibri" w:cs="Times New Roman"/>
          <w:b/>
        </w:rPr>
        <w:lastRenderedPageBreak/>
        <w:t>Structural Equation Modelling</w:t>
      </w:r>
    </w:p>
    <w:p w14:paraId="196B20E0" w14:textId="77777777" w:rsidR="00D41B61" w:rsidRPr="00296D0C" w:rsidRDefault="00D41B61" w:rsidP="00D41B61">
      <w:pPr>
        <w:spacing w:after="0" w:line="360" w:lineRule="auto"/>
        <w:rPr>
          <w:rFonts w:eastAsia="Calibri" w:cs="Times New Roman"/>
          <w:i/>
        </w:rPr>
      </w:pPr>
    </w:p>
    <w:p w14:paraId="3DD8DF02" w14:textId="4F8ECB11" w:rsidR="00D41B61" w:rsidRPr="00296D0C" w:rsidRDefault="00D41B61" w:rsidP="00D41B61">
      <w:pPr>
        <w:spacing w:after="0" w:line="360" w:lineRule="auto"/>
        <w:rPr>
          <w:rFonts w:eastAsia="Calibri" w:cs="Times New Roman"/>
        </w:rPr>
      </w:pPr>
      <w:r w:rsidRPr="00296D0C">
        <w:rPr>
          <w:rFonts w:eastAsia="Calibri" w:cs="Times New Roman"/>
        </w:rPr>
        <w:t xml:space="preserve">Structural Equation Modelling (SEM) was used for the mediation analyses. SEM allows the assessment of the relationships among a set of variables using multi-item scales, multiple variables and multiple outcomes </w:t>
      </w:r>
      <w:r w:rsidRPr="00296D0C">
        <w:rPr>
          <w:rFonts w:eastAsia="Calibri" w:cs="Times New Roman"/>
        </w:rPr>
        <w:fldChar w:fldCharType="begin"/>
      </w:r>
      <w:r w:rsidR="008C43BF">
        <w:rPr>
          <w:rFonts w:eastAsia="Calibri" w:cs="Times New Roman"/>
        </w:rPr>
        <w:instrText xml:space="preserve"> ADDIN EN.CITE &lt;EndNote&gt;&lt;Cite&gt;&lt;Author&gt;Aneshensel&lt;/Author&gt;&lt;Year&gt;2012&lt;/Year&gt;&lt;RecNum&gt;5501&lt;/RecNum&gt;&lt;DisplayText&gt;&lt;style face="superscript"&gt;128&lt;/style&gt;&lt;/DisplayText&gt;&lt;record&gt;&lt;rec-number&gt;5501&lt;/rec-number&gt;&lt;foreign-keys&gt;&lt;key app="EN" db-id="2ewa9rrvjsdsawep2vpx5x97eedzzvxx5rta" timestamp="0"&gt;5501&lt;/key&gt;&lt;/foreign-keys&gt;&lt;ref-type name="Book"&gt;6&lt;/ref-type&gt;&lt;contributors&gt;&lt;authors&gt;&lt;author&gt;Aneshensel, Carol S&lt;/author&gt;&lt;/authors&gt;&lt;/contributors&gt;&lt;titles&gt;&lt;title&gt;Theory-based data analysis for the social sciences&lt;/title&gt;&lt;/titles&gt;&lt;dates&gt;&lt;year&gt;2012&lt;/year&gt;&lt;/dates&gt;&lt;publisher&gt;Sage&lt;/publisher&gt;&lt;isbn&gt;1412994357&lt;/isbn&gt;&lt;urls&gt;&lt;/urls&gt;&lt;/record&gt;&lt;/Cite&gt;&lt;/EndNote&gt;</w:instrText>
      </w:r>
      <w:r w:rsidRPr="00296D0C">
        <w:rPr>
          <w:rFonts w:eastAsia="Calibri" w:cs="Times New Roman"/>
        </w:rPr>
        <w:fldChar w:fldCharType="separate"/>
      </w:r>
      <w:r w:rsidR="008C43BF" w:rsidRPr="008C43BF">
        <w:rPr>
          <w:rFonts w:eastAsia="Calibri" w:cs="Times New Roman"/>
          <w:noProof/>
          <w:vertAlign w:val="superscript"/>
        </w:rPr>
        <w:t>128</w:t>
      </w:r>
      <w:r w:rsidRPr="00296D0C">
        <w:rPr>
          <w:rFonts w:eastAsia="Calibri" w:cs="Times New Roman"/>
        </w:rPr>
        <w:fldChar w:fldCharType="end"/>
      </w:r>
      <w:r w:rsidRPr="00296D0C">
        <w:rPr>
          <w:rFonts w:eastAsia="Calibri" w:cs="Times New Roman"/>
        </w:rPr>
        <w:t xml:space="preserve"> </w:t>
      </w:r>
      <w:r w:rsidRPr="00296D0C">
        <w:rPr>
          <w:rFonts w:eastAsia="Calibri" w:cs="Times New Roman"/>
        </w:rPr>
        <w:fldChar w:fldCharType="begin"/>
      </w:r>
      <w:r w:rsidR="008C43BF">
        <w:rPr>
          <w:rFonts w:eastAsia="Calibri" w:cs="Times New Roman"/>
        </w:rPr>
        <w:instrText xml:space="preserve"> ADDIN EN.CITE &lt;EndNote&gt;&lt;Cite&gt;&lt;Author&gt;Tennant&lt;/Author&gt;&lt;Year&gt;2013&lt;/Year&gt;&lt;RecNum&gt;5793&lt;/RecNum&gt;&lt;DisplayText&gt;&lt;style face="superscript"&gt;129&lt;/style&gt;&lt;/DisplayText&gt;&lt;record&gt;&lt;rec-number&gt;5793&lt;/rec-number&gt;&lt;foreign-keys&gt;&lt;key app="EN" db-id="2ewa9rrvjsdsawep2vpx5x97eedzzvxx5rta" timestamp="1478769479"&gt;5793&lt;/key&gt;&lt;/foreign-keys&gt;&lt;ref-type name="Conference Proceedings"&gt;10&lt;/ref-type&gt;&lt;contributors&gt;&lt;authors&gt;&lt;author&gt;Tennant, A. Horton, M. Pallant, J.&lt;/author&gt;&lt;/authors&gt;&lt;/contributors&gt;&lt;titles&gt;&lt;title&gt;An Introduction to Structural Equation Modelling (SEM) using AMOS&lt;/title&gt;&lt;secondary-title&gt;An Introduction to Structural Equation Modelling (SEM) using AMOS&lt;/secondary-title&gt;&lt;/titles&gt;&lt;dates&gt;&lt;year&gt;2013&lt;/year&gt;&lt;/dates&gt;&lt;pub-location&gt;Psychometric Laboratory for Health Sciences, University of Leeds&lt;/pub-location&gt;&lt;urls&gt;&lt;/urls&gt;&lt;/record&gt;&lt;/Cite&gt;&lt;/EndNote&gt;</w:instrText>
      </w:r>
      <w:r w:rsidRPr="00296D0C">
        <w:rPr>
          <w:rFonts w:eastAsia="Calibri" w:cs="Times New Roman"/>
        </w:rPr>
        <w:fldChar w:fldCharType="separate"/>
      </w:r>
      <w:r w:rsidR="008C43BF" w:rsidRPr="008C43BF">
        <w:rPr>
          <w:rFonts w:eastAsia="Calibri" w:cs="Times New Roman"/>
          <w:noProof/>
          <w:vertAlign w:val="superscript"/>
        </w:rPr>
        <w:t>129</w:t>
      </w:r>
      <w:r w:rsidRPr="00296D0C">
        <w:rPr>
          <w:rFonts w:eastAsia="Calibri" w:cs="Times New Roman"/>
        </w:rPr>
        <w:fldChar w:fldCharType="end"/>
      </w:r>
      <w:r w:rsidRPr="00296D0C">
        <w:rPr>
          <w:rFonts w:eastAsia="Calibri" w:cs="Times New Roman"/>
        </w:rPr>
        <w:t xml:space="preserve">. The variables included in the mediational analyses are, baseline and 12 month BMI SDS, gender, school IMD, class size and baseline and 18 month Energy Dense Snacks, Negative Food Markers as well as the five composite variables from the MLQ (see </w:t>
      </w:r>
      <w:r w:rsidR="00EB45D1" w:rsidRPr="00296D0C">
        <w:rPr>
          <w:rFonts w:eastAsia="Calibri" w:cs="Times New Roman"/>
        </w:rPr>
        <w:t xml:space="preserve">Table </w:t>
      </w:r>
      <w:r w:rsidR="0017670E" w:rsidRPr="00296D0C">
        <w:rPr>
          <w:rFonts w:eastAsia="Calibri" w:cs="Times New Roman"/>
        </w:rPr>
        <w:t>4</w:t>
      </w:r>
      <w:r w:rsidR="00D80862">
        <w:rPr>
          <w:rFonts w:eastAsia="Calibri" w:cs="Times New Roman"/>
        </w:rPr>
        <w:t>2</w:t>
      </w:r>
      <w:r w:rsidRPr="00296D0C">
        <w:rPr>
          <w:rFonts w:eastAsia="Calibri" w:cs="Times New Roman"/>
        </w:rPr>
        <w:t>). The independent variable is the allocation group: intervention versus control.</w:t>
      </w:r>
    </w:p>
    <w:p w14:paraId="43F01AF4" w14:textId="77777777" w:rsidR="00D41B61" w:rsidRPr="00296D0C" w:rsidRDefault="00D41B61" w:rsidP="00D41B61">
      <w:pPr>
        <w:spacing w:after="0" w:line="360" w:lineRule="auto"/>
        <w:rPr>
          <w:rFonts w:eastAsia="Calibri" w:cs="Times New Roman"/>
        </w:rPr>
      </w:pPr>
    </w:p>
    <w:p w14:paraId="6D46EA90" w14:textId="5FED343A" w:rsidR="00D41B61" w:rsidRPr="00296D0C" w:rsidRDefault="00D41B61" w:rsidP="00D41B61">
      <w:pPr>
        <w:spacing w:after="0" w:line="360" w:lineRule="auto"/>
        <w:rPr>
          <w:rFonts w:eastAsia="Calibri" w:cs="Times New Roman"/>
        </w:rPr>
      </w:pPr>
      <w:r w:rsidRPr="00296D0C">
        <w:rPr>
          <w:rFonts w:eastAsia="Calibri" w:cs="Times New Roman"/>
        </w:rPr>
        <w:t xml:space="preserve">There are two dependent variables: the number of weekday Energy Dense Snacks (EDS) consumed per day at 18 months and the number of weekday unhealthy foods consumed per day (Negative Food Marker (NFM)) at 18 months. These were the secondary outcome variables from the main trial which had statistically significant between-group differences.  We took a parsimonious approach to the modelling exercise and hence did not select the two other statistically significant secondary outcomes (the average number of Energy Dense Snacks and Negative Food Markers foods consumed across the whole week at 18 months). </w:t>
      </w:r>
      <w:r w:rsidRPr="00296D0C">
        <w:rPr>
          <w:rFonts w:eastAsiaTheme="minorHAnsi"/>
        </w:rPr>
        <w:t xml:space="preserve">Furthermore we did not select Healthy Snacks at the weekend as the adjusted between-group difference from the linear random effects regression model was not statistically significant (mean difference = </w:t>
      </w:r>
      <w:r w:rsidRPr="00296D0C">
        <w:rPr>
          <w:rFonts w:eastAsiaTheme="minorHAnsi"/>
          <w:color w:val="000000"/>
          <w:lang w:eastAsia="en-US"/>
        </w:rPr>
        <w:t xml:space="preserve">0.23, 95% CI: (-0.04, 0.50) </w:t>
      </w:r>
      <w:r w:rsidRPr="00296D0C">
        <w:rPr>
          <w:rFonts w:eastAsia="Calibri" w:cs="Times New Roman"/>
        </w:rPr>
        <w:t xml:space="preserve">(see </w:t>
      </w:r>
      <w:r w:rsidRPr="004C27AD">
        <w:rPr>
          <w:rFonts w:eastAsia="Calibri" w:cs="Times New Roman"/>
        </w:rPr>
        <w:t xml:space="preserve">section </w:t>
      </w:r>
      <w:r w:rsidR="004C27AD" w:rsidRPr="004C27AD">
        <w:rPr>
          <w:rFonts w:eastAsia="Calibri" w:cs="Times New Roman"/>
        </w:rPr>
        <w:t>3.7</w:t>
      </w:r>
      <w:r w:rsidRPr="004C27AD">
        <w:rPr>
          <w:rFonts w:eastAsia="Calibri" w:cs="Times New Roman"/>
        </w:rPr>
        <w:t>).</w:t>
      </w:r>
      <w:r w:rsidRPr="00296D0C">
        <w:rPr>
          <w:rFonts w:eastAsia="Calibri" w:cs="Times New Roman"/>
        </w:rPr>
        <w:t xml:space="preserve"> </w:t>
      </w:r>
    </w:p>
    <w:p w14:paraId="54A1940B" w14:textId="77777777" w:rsidR="00D41B61" w:rsidRPr="00296D0C" w:rsidRDefault="00D41B61" w:rsidP="00D41B61">
      <w:pPr>
        <w:spacing w:after="0" w:line="360" w:lineRule="auto"/>
        <w:rPr>
          <w:rFonts w:eastAsia="Calibri" w:cs="Times New Roman"/>
          <w:i/>
        </w:rPr>
      </w:pPr>
    </w:p>
    <w:p w14:paraId="55B93C0B" w14:textId="77777777" w:rsidR="00D41B61" w:rsidRPr="00296D0C" w:rsidRDefault="00D41B61" w:rsidP="00D41B61">
      <w:pPr>
        <w:spacing w:after="0" w:line="360" w:lineRule="auto"/>
        <w:rPr>
          <w:rFonts w:eastAsia="Calibri" w:cs="Times New Roman"/>
        </w:rPr>
      </w:pPr>
      <w:r w:rsidRPr="00296D0C">
        <w:rPr>
          <w:rFonts w:eastAsia="Calibri" w:cs="Times New Roman"/>
        </w:rPr>
        <w:t xml:space="preserve">Eleven variables were controlled at baseline. These included baseline scores for the outcome variables and the potential composite mediating variables  as well as four demographic measures, gender, BMI SDS, school size, and school level deprivation  which could have influenced  (enhance or diminish) scores on the dependent outcomes. </w:t>
      </w:r>
    </w:p>
    <w:p w14:paraId="3E4147DD" w14:textId="77777777" w:rsidR="00D41B61" w:rsidRPr="00296D0C" w:rsidRDefault="00D41B61" w:rsidP="00D41B61">
      <w:pPr>
        <w:spacing w:after="0" w:line="360" w:lineRule="auto"/>
        <w:rPr>
          <w:rFonts w:eastAsia="Calibri" w:cs="Times New Roman"/>
        </w:rPr>
      </w:pPr>
    </w:p>
    <w:p w14:paraId="696EC944" w14:textId="4903AA6A" w:rsidR="00716228" w:rsidRDefault="00D41B61" w:rsidP="00D41B61">
      <w:pPr>
        <w:spacing w:after="0" w:line="360" w:lineRule="auto"/>
        <w:rPr>
          <w:rFonts w:eastAsia="Calibri" w:cs="Times New Roman"/>
        </w:rPr>
      </w:pPr>
      <w:r w:rsidRPr="00296D0C">
        <w:rPr>
          <w:rFonts w:eastAsia="Calibri" w:cs="Times New Roman"/>
        </w:rPr>
        <w:t xml:space="preserve">Variables in the path model to be tested using SEM are shown in figure </w:t>
      </w:r>
      <w:r w:rsidR="009C372B" w:rsidRPr="00296D0C">
        <w:rPr>
          <w:rFonts w:eastAsia="Calibri" w:cs="Times New Roman"/>
        </w:rPr>
        <w:t>9</w:t>
      </w:r>
      <w:r w:rsidRPr="00296D0C">
        <w:rPr>
          <w:rFonts w:eastAsia="Calibri" w:cs="Times New Roman"/>
        </w:rPr>
        <w:t>.</w:t>
      </w:r>
    </w:p>
    <w:p w14:paraId="2CAD8551" w14:textId="77777777" w:rsidR="00716228" w:rsidRDefault="00716228">
      <w:pPr>
        <w:rPr>
          <w:rFonts w:eastAsia="Calibri" w:cs="Times New Roman"/>
        </w:rPr>
      </w:pPr>
      <w:r>
        <w:rPr>
          <w:rFonts w:eastAsia="Calibri" w:cs="Times New Roman"/>
        </w:rPr>
        <w:br w:type="page"/>
      </w:r>
    </w:p>
    <w:p w14:paraId="5A2C29B1" w14:textId="69395E48" w:rsidR="00D41B61" w:rsidRDefault="00D41B61" w:rsidP="00D41B61">
      <w:pPr>
        <w:spacing w:after="0" w:line="360" w:lineRule="auto"/>
        <w:rPr>
          <w:rFonts w:eastAsia="Calibri" w:cs="Times New Roman"/>
          <w:b/>
        </w:rPr>
      </w:pPr>
      <w:r w:rsidRPr="00296D0C">
        <w:rPr>
          <w:rFonts w:eastAsia="Calibri" w:cs="Times New Roman"/>
          <w:b/>
        </w:rPr>
        <w:lastRenderedPageBreak/>
        <w:t>F</w:t>
      </w:r>
      <w:r w:rsidR="0017670E" w:rsidRPr="00296D0C">
        <w:rPr>
          <w:rFonts w:eastAsia="Calibri" w:cs="Times New Roman"/>
          <w:b/>
        </w:rPr>
        <w:t>IGURE</w:t>
      </w:r>
      <w:r w:rsidRPr="00296D0C">
        <w:rPr>
          <w:rFonts w:eastAsia="Calibri" w:cs="Times New Roman"/>
          <w:b/>
        </w:rPr>
        <w:t xml:space="preserve"> </w:t>
      </w:r>
      <w:r w:rsidR="009C372B" w:rsidRPr="00296D0C">
        <w:rPr>
          <w:rFonts w:eastAsia="Calibri" w:cs="Times New Roman"/>
          <w:b/>
        </w:rPr>
        <w:t>9</w:t>
      </w:r>
      <w:r w:rsidRPr="00296D0C">
        <w:rPr>
          <w:rFonts w:eastAsia="Calibri" w:cs="Times New Roman"/>
          <w:b/>
        </w:rPr>
        <w:t xml:space="preserve"> Pathway analysis conceptual model</w:t>
      </w:r>
    </w:p>
    <w:p w14:paraId="771E786E" w14:textId="77777777" w:rsidR="003E186B" w:rsidRDefault="003E186B" w:rsidP="00D41B61">
      <w:pPr>
        <w:spacing w:after="0" w:line="360" w:lineRule="auto"/>
        <w:rPr>
          <w:rFonts w:eastAsia="Calibri" w:cs="Times New Roman"/>
          <w:b/>
        </w:rPr>
      </w:pPr>
    </w:p>
    <w:p w14:paraId="449F913F" w14:textId="3970171E" w:rsidR="006E29AA" w:rsidRDefault="003D6ABE" w:rsidP="00D41B61">
      <w:pPr>
        <w:spacing w:after="0" w:line="360" w:lineRule="auto"/>
        <w:rPr>
          <w:rFonts w:eastAsia="Calibri" w:cs="Times New Roman"/>
          <w:b/>
        </w:rPr>
      </w:pPr>
      <w:r>
        <w:rPr>
          <w:noProof/>
          <w:lang w:eastAsia="zh-CN"/>
        </w:rPr>
        <w:drawing>
          <wp:inline distT="0" distB="0" distL="0" distR="0" wp14:anchorId="1C33A79A" wp14:editId="04B18049">
            <wp:extent cx="5261120" cy="364169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2472" cy="3642634"/>
                    </a:xfrm>
                    <a:prstGeom prst="rect">
                      <a:avLst/>
                    </a:prstGeom>
                    <a:noFill/>
                  </pic:spPr>
                </pic:pic>
              </a:graphicData>
            </a:graphic>
          </wp:inline>
        </w:drawing>
      </w:r>
    </w:p>
    <w:p w14:paraId="3C52420F" w14:textId="77777777" w:rsidR="006E29AA" w:rsidRPr="00296D0C" w:rsidRDefault="006E29AA" w:rsidP="00D41B61">
      <w:pPr>
        <w:spacing w:after="0" w:line="360" w:lineRule="auto"/>
        <w:rPr>
          <w:rFonts w:eastAsia="Calibri" w:cs="Times New Roman"/>
        </w:rPr>
      </w:pPr>
    </w:p>
    <w:p w14:paraId="57C8783B" w14:textId="34113546" w:rsidR="00D41B61" w:rsidRPr="00296D0C" w:rsidRDefault="00D41B61" w:rsidP="00D41B61">
      <w:pPr>
        <w:spacing w:after="0" w:line="360" w:lineRule="auto"/>
        <w:rPr>
          <w:rFonts w:eastAsia="Calibri" w:cs="Times New Roman"/>
        </w:rPr>
      </w:pPr>
      <w:r w:rsidRPr="00296D0C">
        <w:rPr>
          <w:rFonts w:eastAsia="Calibri" w:cs="Times New Roman"/>
        </w:rPr>
        <w:t>Key: BMI SDS = Body Mass Index standard</w:t>
      </w:r>
      <w:r w:rsidR="002F0A1D">
        <w:rPr>
          <w:rFonts w:eastAsia="Calibri" w:cs="Times New Roman"/>
        </w:rPr>
        <w:t xml:space="preserve"> deviation scores</w:t>
      </w:r>
      <w:r w:rsidRPr="00296D0C">
        <w:rPr>
          <w:rFonts w:eastAsia="Calibri" w:cs="Times New Roman"/>
        </w:rPr>
        <w:t>; SES = socioeconomic status; EDS = Energy Dense Snacks; NFM = Negative Food Markers; FAB&amp;CA = ‘Family Approval / Behaviours &amp; Child Attitudes’; C&amp;M = ‘Confidence &amp; Motivation’; PN = ‘Peer Norms’; B&amp;S = ‘Behaviours &amp; Strategies’.</w:t>
      </w:r>
    </w:p>
    <w:p w14:paraId="40B947B3" w14:textId="77777777" w:rsidR="00D41B61" w:rsidRPr="00296D0C" w:rsidRDefault="00D41B61" w:rsidP="00D41B61">
      <w:pPr>
        <w:spacing w:after="0" w:line="360" w:lineRule="auto"/>
        <w:rPr>
          <w:rFonts w:eastAsia="Calibri" w:cs="Times New Roman"/>
        </w:rPr>
      </w:pPr>
    </w:p>
    <w:p w14:paraId="1F0076D2" w14:textId="1335A010" w:rsidR="00D41B61" w:rsidRPr="00296D0C" w:rsidRDefault="00D41B61" w:rsidP="00D41B61">
      <w:pPr>
        <w:spacing w:after="0" w:line="360" w:lineRule="auto"/>
      </w:pPr>
      <w:r w:rsidRPr="00296D0C">
        <w:t xml:space="preserve">Preparation of the data included examination of, and possible replacement of, any missing values. For the ‘Knowledge’ items if a child did not answer an item it was assumed they did not know the answer and were scored zero for that item. For the composite variables which contain Likert scales (see Table </w:t>
      </w:r>
      <w:r w:rsidR="002F64C2">
        <w:t>4</w:t>
      </w:r>
      <w:r w:rsidR="00D80862">
        <w:t>2</w:t>
      </w:r>
      <w:r w:rsidRPr="00296D0C">
        <w:t>) the following rules were used to replace missing values: if up to 75-80% of items were available for a particular variable this was averaged and the rounded average was used to replace the 20-25% of missing values; thereby retaining the ordinal nature of the individual items</w:t>
      </w:r>
    </w:p>
    <w:p w14:paraId="6FDB1321" w14:textId="77777777" w:rsidR="00D41B61" w:rsidRPr="00296D0C" w:rsidRDefault="00D41B61" w:rsidP="00D41B61">
      <w:pPr>
        <w:spacing w:after="0" w:line="360" w:lineRule="auto"/>
        <w:rPr>
          <w:rFonts w:eastAsia="Calibri" w:cs="Times New Roman"/>
        </w:rPr>
      </w:pPr>
    </w:p>
    <w:p w14:paraId="4279C5B6" w14:textId="36EA30A6" w:rsidR="00D41B61" w:rsidRPr="00296D0C" w:rsidRDefault="00D41B61" w:rsidP="00D41B61">
      <w:pPr>
        <w:spacing w:after="0" w:line="360" w:lineRule="auto"/>
        <w:rPr>
          <w:rFonts w:eastAsia="Calibri" w:cs="Times New Roman"/>
        </w:rPr>
      </w:pPr>
      <w:r w:rsidRPr="00296D0C">
        <w:rPr>
          <w:rFonts w:eastAsia="Calibri" w:cs="Times New Roman"/>
        </w:rPr>
        <w:t xml:space="preserve">The model shown in Figure </w:t>
      </w:r>
      <w:r w:rsidR="009C372B" w:rsidRPr="00296D0C">
        <w:rPr>
          <w:rFonts w:eastAsia="Calibri" w:cs="Times New Roman"/>
        </w:rPr>
        <w:t>9</w:t>
      </w:r>
      <w:r w:rsidRPr="00296D0C">
        <w:rPr>
          <w:rFonts w:eastAsia="Calibri" w:cs="Times New Roman"/>
        </w:rPr>
        <w:t xml:space="preserve"> was tested twice: once for the outcome variable weekday Energy Dense Snacks at 18 months and once for weekday Negative Food Markers at 18 months. According to our proposed model, the intervention may have a direct effect on the outcome variable at 18 months but also indirect effects through changes in the five composite mediating variables at 12 months. </w:t>
      </w:r>
    </w:p>
    <w:p w14:paraId="7DE795A4" w14:textId="78C028AD" w:rsidR="00D41B61" w:rsidRPr="00296D0C" w:rsidRDefault="00D41B61" w:rsidP="00D41B61">
      <w:pPr>
        <w:spacing w:after="0" w:line="360" w:lineRule="auto"/>
        <w:rPr>
          <w:rFonts w:eastAsia="Calibri" w:cs="Times New Roman"/>
        </w:rPr>
      </w:pPr>
      <w:r w:rsidRPr="00296D0C">
        <w:rPr>
          <w:rFonts w:eastAsia="Calibri" w:cs="Times New Roman"/>
        </w:rPr>
        <w:lastRenderedPageBreak/>
        <w:t xml:space="preserve">Structural equation modelling (SEM) </w:t>
      </w:r>
      <w:r w:rsidRPr="00296D0C">
        <w:rPr>
          <w:rFonts w:eastAsia="Calibri" w:cs="Times New Roman"/>
        </w:rPr>
        <w:fldChar w:fldCharType="begin"/>
      </w:r>
      <w:r w:rsidR="008C43BF">
        <w:rPr>
          <w:rFonts w:eastAsia="Calibri" w:cs="Times New Roman"/>
        </w:rPr>
        <w:instrText xml:space="preserve"> ADDIN EN.CITE &lt;EndNote&gt;&lt;Cite&gt;&lt;Author&gt;Cole&lt;/Author&gt;&lt;Year&gt;2003&lt;/Year&gt;&lt;RecNum&gt;5791&lt;/RecNum&gt;&lt;DisplayText&gt;&lt;style face="superscript"&gt;126&lt;/style&gt;&lt;/DisplayText&gt;&lt;record&gt;&lt;rec-number&gt;5791&lt;/rec-number&gt;&lt;foreign-keys&gt;&lt;key app="EN" db-id="2ewa9rrvjsdsawep2vpx5x97eedzzvxx5rta" timestamp="1478767473"&gt;5791&lt;/key&gt;&lt;/foreign-keys&gt;&lt;ref-type name="Journal Article"&gt;17&lt;/ref-type&gt;&lt;contributors&gt;&lt;authors&gt;&lt;author&gt;Cole, D. A.&lt;/author&gt;&lt;author&gt;Maxwell, S. E.&lt;/author&gt;&lt;/authors&gt;&lt;/contributors&gt;&lt;auth-address&gt;Psychology and Human Development, Vanderbilt University, Nashville, TN 37203, USA. david.cole@vanderbilt.edu&lt;/auth-address&gt;&lt;titles&gt;&lt;title&gt;Testing mediational models with longitudinal data: questions and tips in the use of structural equation modeling&lt;/title&gt;&lt;secondary-title&gt;J Abnorm Psychol&lt;/secondary-title&gt;&lt;/titles&gt;&lt;periodical&gt;&lt;full-title&gt;Journal of Abnormal Psychology&lt;/full-title&gt;&lt;abbr-1&gt;J. Abnorm. Psychol.&lt;/abbr-1&gt;&lt;abbr-2&gt;J Abnorm Psychol&lt;/abbr-2&gt;&lt;/periodical&gt;&lt;pages&gt;558-77&lt;/pages&gt;&lt;volume&gt;112&lt;/volume&gt;&lt;number&gt;4&lt;/number&gt;&lt;keywords&gt;&lt;keyword&gt;Cross-Sectional Studies&lt;/keyword&gt;&lt;keyword&gt;Data Collection/statistics &amp;amp; numerical data&lt;/keyword&gt;&lt;keyword&gt;Humans&lt;/keyword&gt;&lt;keyword&gt;*Longitudinal Studies&lt;/keyword&gt;&lt;keyword&gt;*Models, Statistical&lt;/keyword&gt;&lt;keyword&gt;Psychometrics/*statistics &amp;amp; numerical data&lt;/keyword&gt;&lt;keyword&gt;Psychopathology/*statistics &amp;amp; numerical data&lt;/keyword&gt;&lt;keyword&gt;Reproducibility of Results&lt;/keyword&gt;&lt;/keywords&gt;&lt;dates&gt;&lt;year&gt;2003&lt;/year&gt;&lt;pub-dates&gt;&lt;date&gt;Nov&lt;/date&gt;&lt;/pub-dates&gt;&lt;/dates&gt;&lt;isbn&gt;0021-843X (Print)&amp;#xD;0021-843X (Linking)&lt;/isbn&gt;&lt;accession-num&gt;14674869&lt;/accession-num&gt;&lt;urls&gt;&lt;related-urls&gt;&lt;url&gt;https://www.ncbi.nlm.nih.gov/pubmed/14674869&lt;/url&gt;&lt;/related-urls&gt;&lt;/urls&gt;&lt;electronic-resource-num&gt;10.1037/0021-843X.112.4.558&lt;/electronic-resource-num&gt;&lt;/record&gt;&lt;/Cite&gt;&lt;/EndNote&gt;</w:instrText>
      </w:r>
      <w:r w:rsidRPr="00296D0C">
        <w:rPr>
          <w:rFonts w:eastAsia="Calibri" w:cs="Times New Roman"/>
        </w:rPr>
        <w:fldChar w:fldCharType="separate"/>
      </w:r>
      <w:r w:rsidR="008C43BF" w:rsidRPr="008C43BF">
        <w:rPr>
          <w:rFonts w:eastAsia="Calibri" w:cs="Times New Roman"/>
          <w:noProof/>
          <w:vertAlign w:val="superscript"/>
        </w:rPr>
        <w:t>126</w:t>
      </w:r>
      <w:r w:rsidRPr="00296D0C">
        <w:rPr>
          <w:rFonts w:eastAsia="Calibri" w:cs="Times New Roman"/>
        </w:rPr>
        <w:fldChar w:fldCharType="end"/>
      </w:r>
      <w:r w:rsidRPr="00296D0C">
        <w:rPr>
          <w:rFonts w:eastAsia="Calibri" w:cs="Times New Roman"/>
        </w:rPr>
        <w:t xml:space="preserve"> was used to test this model; specifically, whether the mediating variables function as full or partial mediators between the intervention and the outcome variables. Evidence for full mediation would be that a previously significant effect of the intervention on the outcome variable is no longer present when the composite mediating variables have been added to the model. On the other hand, if a significant association still remains between the intervention and the outcome variables after adding the composite mediating variables this would indicate partial mediation, at best.</w:t>
      </w:r>
    </w:p>
    <w:p w14:paraId="3864B6BB" w14:textId="77777777" w:rsidR="00D41B61" w:rsidRPr="00296D0C" w:rsidRDefault="00D41B61" w:rsidP="00D41B61">
      <w:pPr>
        <w:spacing w:after="0" w:line="360" w:lineRule="auto"/>
        <w:rPr>
          <w:rFonts w:eastAsia="Calibri" w:cs="Times New Roman"/>
          <w:b/>
        </w:rPr>
      </w:pPr>
    </w:p>
    <w:p w14:paraId="0AC2EB0B" w14:textId="77777777" w:rsidR="00D41B61" w:rsidRPr="00296D0C" w:rsidRDefault="00D41B61" w:rsidP="00D41B61">
      <w:pPr>
        <w:spacing w:after="0" w:line="360" w:lineRule="auto"/>
        <w:rPr>
          <w:rFonts w:eastAsia="Calibri" w:cs="Times New Roman"/>
          <w:b/>
        </w:rPr>
      </w:pPr>
      <w:r w:rsidRPr="00296D0C">
        <w:rPr>
          <w:rFonts w:eastAsia="Calibri" w:cs="Times New Roman"/>
          <w:b/>
        </w:rPr>
        <w:t>Software and type of factor analysis and goodness-of-fit indices used</w:t>
      </w:r>
    </w:p>
    <w:p w14:paraId="72BFC6EE" w14:textId="0CB7F804" w:rsidR="00D41B61" w:rsidRPr="00296D0C" w:rsidRDefault="00D41B61" w:rsidP="00D41B61">
      <w:pPr>
        <w:spacing w:after="0" w:line="360" w:lineRule="auto"/>
        <w:rPr>
          <w:rFonts w:eastAsia="Calibri" w:cs="Times New Roman"/>
        </w:rPr>
      </w:pPr>
      <w:r w:rsidRPr="00296D0C">
        <w:rPr>
          <w:rFonts w:eastAsia="Calibri" w:cs="Times New Roman"/>
        </w:rPr>
        <w:t xml:space="preserve">SEM was conducted with the software package AMOS v23 using maximum likelihood estimation. Since chi-square is known to be inflated with sample size </w:t>
      </w:r>
      <w:r w:rsidRPr="00296D0C">
        <w:rPr>
          <w:rFonts w:eastAsia="Calibri" w:cs="Times New Roman"/>
        </w:rPr>
        <w:fldChar w:fldCharType="begin"/>
      </w:r>
      <w:r w:rsidR="008C43BF">
        <w:rPr>
          <w:rFonts w:eastAsia="Calibri" w:cs="Times New Roman"/>
        </w:rPr>
        <w:instrText xml:space="preserve"> ADDIN EN.CITE &lt;EndNote&gt;&lt;Cite&gt;&lt;Author&gt;Marsh&lt;/Author&gt;&lt;Year&gt;1988&lt;/Year&gt;&lt;RecNum&gt;5794&lt;/RecNum&gt;&lt;DisplayText&gt;&lt;style face="superscript"&gt;130&lt;/style&gt;&lt;/DisplayText&gt;&lt;record&gt;&lt;rec-number&gt;5794&lt;/rec-number&gt;&lt;foreign-keys&gt;&lt;key app="EN" db-id="2ewa9rrvjsdsawep2vpx5x97eedzzvxx5rta" timestamp="1478769942"&gt;5794&lt;/key&gt;&lt;/foreign-keys&gt;&lt;ref-type name="Journal Article"&gt;17&lt;/ref-type&gt;&lt;contributors&gt;&lt;authors&gt;&lt;author&gt;Marsh, H. W., Balla, J. R., &amp;amp; McDonald, R. P&lt;/author&gt;&lt;/authors&gt;&lt;/contributors&gt;&lt;titles&gt;&lt;title&gt;Goodness-of-fit indices in confirmatory factor analysis: The effect of sample size&lt;/title&gt;&lt;secondary-title&gt;Psychological Bulletin&lt;/secondary-title&gt;&lt;/titles&gt;&lt;periodical&gt;&lt;full-title&gt;Psychological Bulletin&lt;/full-title&gt;&lt;abbr-1&gt;Psychol. Bull.&lt;/abbr-1&gt;&lt;abbr-2&gt;Psychol Bull&lt;/abbr-2&gt;&lt;/periodical&gt;&lt;pages&gt;391-410&lt;/pages&gt;&lt;volume&gt;103&lt;/volume&gt;&lt;dates&gt;&lt;year&gt;1988&lt;/year&gt;&lt;/dates&gt;&lt;urls&gt;&lt;/urls&gt;&lt;electronic-resource-num&gt;10.1037/0033-2909.103.3.391&lt;/electronic-resource-num&gt;&lt;/record&gt;&lt;/Cite&gt;&lt;/EndNote&gt;</w:instrText>
      </w:r>
      <w:r w:rsidRPr="00296D0C">
        <w:rPr>
          <w:rFonts w:eastAsia="Calibri" w:cs="Times New Roman"/>
        </w:rPr>
        <w:fldChar w:fldCharType="separate"/>
      </w:r>
      <w:r w:rsidR="008C43BF" w:rsidRPr="008C43BF">
        <w:rPr>
          <w:rFonts w:eastAsia="Calibri" w:cs="Times New Roman"/>
          <w:noProof/>
          <w:vertAlign w:val="superscript"/>
        </w:rPr>
        <w:t>130</w:t>
      </w:r>
      <w:r w:rsidRPr="00296D0C">
        <w:rPr>
          <w:rFonts w:eastAsia="Calibri" w:cs="Times New Roman"/>
        </w:rPr>
        <w:fldChar w:fldCharType="end"/>
      </w:r>
      <w:r w:rsidRPr="00296D0C">
        <w:rPr>
          <w:rFonts w:eastAsia="Calibri" w:cs="Times New Roman"/>
        </w:rPr>
        <w:t>, chi-square was not used as an indicator of goodness of fit (and misfit means there is major deviation between what the model specifies and what exists in the actual data). Instead, a set of indicators was used to provide a fair assessment of goodness of fit. These indicators are known to be sensitive to different aspects of model misfits. The following criteria were used:</w:t>
      </w:r>
    </w:p>
    <w:p w14:paraId="423F92AB" w14:textId="343B7ACC" w:rsidR="00D41B61" w:rsidRPr="00296D0C" w:rsidRDefault="00D41B61" w:rsidP="00403B07">
      <w:pPr>
        <w:numPr>
          <w:ilvl w:val="0"/>
          <w:numId w:val="24"/>
        </w:numPr>
        <w:spacing w:after="0" w:line="360" w:lineRule="auto"/>
        <w:contextualSpacing/>
        <w:rPr>
          <w:rFonts w:eastAsia="Calibri" w:cs="Times New Roman"/>
        </w:rPr>
      </w:pPr>
      <w:r w:rsidRPr="00296D0C">
        <w:rPr>
          <w:rFonts w:eastAsia="Calibri" w:cs="Times New Roman"/>
        </w:rPr>
        <w:t xml:space="preserve">root mean square error of approximation (RMSEA) &lt; 0.06 (Hu &amp; Bentler, 1998) </w:t>
      </w:r>
      <w:r w:rsidRPr="00296D0C">
        <w:rPr>
          <w:rFonts w:eastAsia="Calibri" w:cs="Times New Roman"/>
        </w:rPr>
        <w:fldChar w:fldCharType="begin"/>
      </w:r>
      <w:r w:rsidR="008C43BF">
        <w:rPr>
          <w:rFonts w:eastAsia="Calibri" w:cs="Times New Roman"/>
        </w:rPr>
        <w:instrText xml:space="preserve"> ADDIN EN.CITE &lt;EndNote&gt;&lt;Cite&gt;&lt;Author&gt;Hu&lt;/Author&gt;&lt;Year&gt;1998&lt;/Year&gt;&lt;RecNum&gt;5795&lt;/RecNum&gt;&lt;DisplayText&gt;&lt;style face="superscript"&gt;131&lt;/style&gt;&lt;/DisplayText&gt;&lt;record&gt;&lt;rec-number&gt;5795&lt;/rec-number&gt;&lt;foreign-keys&gt;&lt;key app="EN" db-id="2ewa9rrvjsdsawep2vpx5x97eedzzvxx5rta" timestamp="1478770364"&gt;5795&lt;/key&gt;&lt;/foreign-keys&gt;&lt;ref-type name="Journal Article"&gt;17&lt;/ref-type&gt;&lt;contributors&gt;&lt;authors&gt;&lt;author&gt;Hu, L. Bentler, P.&lt;/author&gt;&lt;/authors&gt;&lt;/contributors&gt;&lt;titles&gt;&lt;title&gt;Fit Indices in Covariance Structure Modeling: Sensitivity to Underparameterized Model Misspecification&lt;/title&gt;&lt;secondary-title&gt;Psychological Methods&lt;/secondary-title&gt;&lt;/titles&gt;&lt;periodical&gt;&lt;full-title&gt;Psychological Methods&lt;/full-title&gt;&lt;abbr-1&gt;Psychol. Methods&lt;/abbr-1&gt;&lt;abbr-2&gt;Psychol Methods&lt;/abbr-2&gt;&lt;/periodical&gt;&lt;pages&gt;424-453&lt;/pages&gt;&lt;volume&gt;3&lt;/volume&gt;&lt;number&gt;4&lt;/number&gt;&lt;dates&gt;&lt;year&gt;1998&lt;/year&gt;&lt;/dates&gt;&lt;urls&gt;&lt;/urls&gt;&lt;/record&gt;&lt;/Cite&gt;&lt;/EndNote&gt;</w:instrText>
      </w:r>
      <w:r w:rsidRPr="00296D0C">
        <w:rPr>
          <w:rFonts w:eastAsia="Calibri" w:cs="Times New Roman"/>
        </w:rPr>
        <w:fldChar w:fldCharType="separate"/>
      </w:r>
      <w:r w:rsidR="008C43BF" w:rsidRPr="008C43BF">
        <w:rPr>
          <w:rFonts w:eastAsia="Calibri" w:cs="Times New Roman"/>
          <w:noProof/>
          <w:vertAlign w:val="superscript"/>
        </w:rPr>
        <w:t>131</w:t>
      </w:r>
      <w:r w:rsidRPr="00296D0C">
        <w:rPr>
          <w:rFonts w:eastAsia="Calibri" w:cs="Times New Roman"/>
        </w:rPr>
        <w:fldChar w:fldCharType="end"/>
      </w:r>
    </w:p>
    <w:p w14:paraId="1BEA8DDA" w14:textId="2C5D9317" w:rsidR="00D41B61" w:rsidRPr="00296D0C" w:rsidRDefault="00D41B61" w:rsidP="00403B07">
      <w:pPr>
        <w:numPr>
          <w:ilvl w:val="0"/>
          <w:numId w:val="24"/>
        </w:numPr>
        <w:spacing w:after="0" w:line="360" w:lineRule="auto"/>
        <w:contextualSpacing/>
        <w:rPr>
          <w:rFonts w:eastAsia="Calibri" w:cs="Times New Roman"/>
        </w:rPr>
      </w:pPr>
      <w:r w:rsidRPr="00296D0C">
        <w:rPr>
          <w:rFonts w:eastAsia="Calibri" w:cs="Times New Roman"/>
        </w:rPr>
        <w:t xml:space="preserve">comparative fit index (CFI) &gt; 0.95 (Hu &amp; Bentler, 1998) )  </w:t>
      </w:r>
      <w:r w:rsidRPr="00296D0C">
        <w:rPr>
          <w:rFonts w:eastAsia="Calibri" w:cs="Times New Roman"/>
        </w:rPr>
        <w:fldChar w:fldCharType="begin"/>
      </w:r>
      <w:r w:rsidR="008C43BF">
        <w:rPr>
          <w:rFonts w:eastAsia="Calibri" w:cs="Times New Roman"/>
        </w:rPr>
        <w:instrText xml:space="preserve"> ADDIN EN.CITE &lt;EndNote&gt;&lt;Cite&gt;&lt;Author&gt;Hu&lt;/Author&gt;&lt;Year&gt;1998&lt;/Year&gt;&lt;RecNum&gt;5795&lt;/RecNum&gt;&lt;DisplayText&gt;&lt;style face="superscript"&gt;131&lt;/style&gt;&lt;/DisplayText&gt;&lt;record&gt;&lt;rec-number&gt;5795&lt;/rec-number&gt;&lt;foreign-keys&gt;&lt;key app="EN" db-id="2ewa9rrvjsdsawep2vpx5x97eedzzvxx5rta" timestamp="1478770364"&gt;5795&lt;/key&gt;&lt;/foreign-keys&gt;&lt;ref-type name="Journal Article"&gt;17&lt;/ref-type&gt;&lt;contributors&gt;&lt;authors&gt;&lt;author&gt;Hu, L. Bentler, P.&lt;/author&gt;&lt;/authors&gt;&lt;/contributors&gt;&lt;titles&gt;&lt;title&gt;Fit Indices in Covariance Structure Modeling: Sensitivity to Underparameterized Model Misspecification&lt;/title&gt;&lt;secondary-title&gt;Psychological Methods&lt;/secondary-title&gt;&lt;/titles&gt;&lt;periodical&gt;&lt;full-title&gt;Psychological Methods&lt;/full-title&gt;&lt;abbr-1&gt;Psychol. Methods&lt;/abbr-1&gt;&lt;abbr-2&gt;Psychol Methods&lt;/abbr-2&gt;&lt;/periodical&gt;&lt;pages&gt;424-453&lt;/pages&gt;&lt;volume&gt;3&lt;/volume&gt;&lt;number&gt;4&lt;/number&gt;&lt;dates&gt;&lt;year&gt;1998&lt;/year&gt;&lt;/dates&gt;&lt;urls&gt;&lt;/urls&gt;&lt;/record&gt;&lt;/Cite&gt;&lt;/EndNote&gt;</w:instrText>
      </w:r>
      <w:r w:rsidRPr="00296D0C">
        <w:rPr>
          <w:rFonts w:eastAsia="Calibri" w:cs="Times New Roman"/>
        </w:rPr>
        <w:fldChar w:fldCharType="separate"/>
      </w:r>
      <w:r w:rsidR="008C43BF" w:rsidRPr="008C43BF">
        <w:rPr>
          <w:rFonts w:eastAsia="Calibri" w:cs="Times New Roman"/>
          <w:noProof/>
          <w:vertAlign w:val="superscript"/>
        </w:rPr>
        <w:t>131</w:t>
      </w:r>
      <w:r w:rsidRPr="00296D0C">
        <w:rPr>
          <w:rFonts w:eastAsia="Calibri" w:cs="Times New Roman"/>
        </w:rPr>
        <w:fldChar w:fldCharType="end"/>
      </w:r>
    </w:p>
    <w:p w14:paraId="1050B4F9" w14:textId="33003285" w:rsidR="00D41B61" w:rsidRPr="00296D0C" w:rsidRDefault="00D41B61" w:rsidP="00403B07">
      <w:pPr>
        <w:numPr>
          <w:ilvl w:val="0"/>
          <w:numId w:val="24"/>
        </w:numPr>
        <w:spacing w:after="0" w:line="360" w:lineRule="auto"/>
        <w:contextualSpacing/>
        <w:rPr>
          <w:rFonts w:eastAsia="Calibri" w:cs="Times New Roman"/>
        </w:rPr>
      </w:pPr>
      <w:r w:rsidRPr="00296D0C">
        <w:rPr>
          <w:rFonts w:eastAsia="Calibri" w:cs="Times New Roman"/>
        </w:rPr>
        <w:t xml:space="preserve">standardised root-mean-square residual (SRMR) &lt; 0.08 (Hu &amp; Bentler, 1998) ) </w:t>
      </w:r>
      <w:r w:rsidRPr="00296D0C">
        <w:rPr>
          <w:rFonts w:eastAsia="Calibri" w:cs="Times New Roman"/>
        </w:rPr>
        <w:fldChar w:fldCharType="begin"/>
      </w:r>
      <w:r w:rsidR="008C43BF">
        <w:rPr>
          <w:rFonts w:eastAsia="Calibri" w:cs="Times New Roman"/>
        </w:rPr>
        <w:instrText xml:space="preserve"> ADDIN EN.CITE &lt;EndNote&gt;&lt;Cite&gt;&lt;Author&gt;Hu&lt;/Author&gt;&lt;Year&gt;1998&lt;/Year&gt;&lt;RecNum&gt;5795&lt;/RecNum&gt;&lt;DisplayText&gt;&lt;style face="superscript"&gt;131&lt;/style&gt;&lt;/DisplayText&gt;&lt;record&gt;&lt;rec-number&gt;5795&lt;/rec-number&gt;&lt;foreign-keys&gt;&lt;key app="EN" db-id="2ewa9rrvjsdsawep2vpx5x97eedzzvxx5rta" timestamp="1478770364"&gt;5795&lt;/key&gt;&lt;/foreign-keys&gt;&lt;ref-type name="Journal Article"&gt;17&lt;/ref-type&gt;&lt;contributors&gt;&lt;authors&gt;&lt;author&gt;Hu, L. Bentler, P.&lt;/author&gt;&lt;/authors&gt;&lt;/contributors&gt;&lt;titles&gt;&lt;title&gt;Fit Indices in Covariance Structure Modeling: Sensitivity to Underparameterized Model Misspecification&lt;/title&gt;&lt;secondary-title&gt;Psychological Methods&lt;/secondary-title&gt;&lt;/titles&gt;&lt;periodical&gt;&lt;full-title&gt;Psychological Methods&lt;/full-title&gt;&lt;abbr-1&gt;Psychol. Methods&lt;/abbr-1&gt;&lt;abbr-2&gt;Psychol Methods&lt;/abbr-2&gt;&lt;/periodical&gt;&lt;pages&gt;424-453&lt;/pages&gt;&lt;volume&gt;3&lt;/volume&gt;&lt;number&gt;4&lt;/number&gt;&lt;dates&gt;&lt;year&gt;1998&lt;/year&gt;&lt;/dates&gt;&lt;urls&gt;&lt;/urls&gt;&lt;/record&gt;&lt;/Cite&gt;&lt;/EndNote&gt;</w:instrText>
      </w:r>
      <w:r w:rsidRPr="00296D0C">
        <w:rPr>
          <w:rFonts w:eastAsia="Calibri" w:cs="Times New Roman"/>
        </w:rPr>
        <w:fldChar w:fldCharType="separate"/>
      </w:r>
      <w:r w:rsidR="008C43BF" w:rsidRPr="008C43BF">
        <w:rPr>
          <w:rFonts w:eastAsia="Calibri" w:cs="Times New Roman"/>
          <w:noProof/>
          <w:vertAlign w:val="superscript"/>
        </w:rPr>
        <w:t>131</w:t>
      </w:r>
      <w:r w:rsidRPr="00296D0C">
        <w:rPr>
          <w:rFonts w:eastAsia="Calibri" w:cs="Times New Roman"/>
        </w:rPr>
        <w:fldChar w:fldCharType="end"/>
      </w:r>
    </w:p>
    <w:p w14:paraId="033B6098" w14:textId="21F1714C" w:rsidR="00D41B61" w:rsidRPr="00296D0C" w:rsidRDefault="00D41B61" w:rsidP="00403B07">
      <w:pPr>
        <w:numPr>
          <w:ilvl w:val="0"/>
          <w:numId w:val="24"/>
        </w:numPr>
        <w:spacing w:after="0" w:line="360" w:lineRule="auto"/>
        <w:contextualSpacing/>
        <w:rPr>
          <w:rFonts w:eastAsia="Calibri" w:cs="Times New Roman"/>
        </w:rPr>
      </w:pPr>
      <w:r w:rsidRPr="00296D0C">
        <w:rPr>
          <w:rFonts w:eastAsia="Calibri" w:cs="Times New Roman"/>
        </w:rPr>
        <w:t>relative / normed chi-square (</w:t>
      </w:r>
      <w:r w:rsidRPr="00296D0C">
        <w:rPr>
          <w:rFonts w:eastAsia="Calibri" w:cs="Times New Roman"/>
          <w:i/>
        </w:rPr>
        <w:t>χ</w:t>
      </w:r>
      <w:r w:rsidRPr="00296D0C">
        <w:rPr>
          <w:rFonts w:eastAsia="Calibri" w:cs="Times New Roman"/>
          <w:vertAlign w:val="superscript"/>
        </w:rPr>
        <w:t xml:space="preserve">2 </w:t>
      </w:r>
      <w:r w:rsidRPr="00296D0C">
        <w:rPr>
          <w:rFonts w:eastAsia="Calibri" w:cs="Times New Roman"/>
        </w:rPr>
        <w:t xml:space="preserve">/ </w:t>
      </w:r>
      <w:r w:rsidRPr="00296D0C">
        <w:rPr>
          <w:rFonts w:eastAsia="Calibri" w:cs="Times New Roman"/>
          <w:i/>
        </w:rPr>
        <w:t>df</w:t>
      </w:r>
      <w:r w:rsidRPr="00296D0C">
        <w:rPr>
          <w:rFonts w:eastAsia="Calibri" w:cs="Times New Roman"/>
        </w:rPr>
        <w:t xml:space="preserve">) &lt;5 (while this criterion is commonly used and well-known, it is equally sensitive to sample size; Wheaton, 1987 </w:t>
      </w:r>
      <w:r w:rsidRPr="00296D0C">
        <w:rPr>
          <w:rFonts w:eastAsia="Calibri" w:cs="Times New Roman"/>
        </w:rPr>
        <w:fldChar w:fldCharType="begin"/>
      </w:r>
      <w:r w:rsidR="008C43BF">
        <w:rPr>
          <w:rFonts w:eastAsia="Calibri" w:cs="Times New Roman"/>
        </w:rPr>
        <w:instrText xml:space="preserve"> ADDIN EN.CITE &lt;EndNote&gt;&lt;Cite&gt;&lt;Author&gt;Wheaton&lt;/Author&gt;&lt;Year&gt;1987&lt;/Year&gt;&lt;RecNum&gt;5796&lt;/RecNum&gt;&lt;DisplayText&gt;&lt;style face="superscript"&gt;132&lt;/style&gt;&lt;/DisplayText&gt;&lt;record&gt;&lt;rec-number&gt;5796&lt;/rec-number&gt;&lt;foreign-keys&gt;&lt;key app="EN" db-id="2ewa9rrvjsdsawep2vpx5x97eedzzvxx5rta" timestamp="1478771276"&gt;5796&lt;/key&gt;&lt;/foreign-keys&gt;&lt;ref-type name="Journal Article"&gt;17&lt;/ref-type&gt;&lt;contributors&gt;&lt;authors&gt;&lt;author&gt;Wheaton, B.&lt;/author&gt;&lt;/authors&gt;&lt;/contributors&gt;&lt;titles&gt;&lt;title&gt;Assessment of fit in overidentified models with latent variables&lt;/title&gt;&lt;secondary-title&gt;Sociological Methods &amp;amp; Research&lt;/secondary-title&gt;&lt;/titles&gt;&lt;pages&gt;118-154&lt;/pages&gt;&lt;volume&gt;16&lt;/volume&gt;&lt;dates&gt;&lt;year&gt;1987&lt;/year&gt;&lt;/dates&gt;&lt;urls&gt;&lt;related-urls&gt;&lt;url&gt;http://people.cehd.tamu.edu/~okwok/epsy651R/Articles/HuBentler1998.pdf&lt;/url&gt;&lt;/related-urls&gt;&lt;/urls&gt;&lt;/record&gt;&lt;/Cite&gt;&lt;/EndNote&gt;</w:instrText>
      </w:r>
      <w:r w:rsidRPr="00296D0C">
        <w:rPr>
          <w:rFonts w:eastAsia="Calibri" w:cs="Times New Roman"/>
        </w:rPr>
        <w:fldChar w:fldCharType="separate"/>
      </w:r>
      <w:r w:rsidR="008C43BF" w:rsidRPr="008C43BF">
        <w:rPr>
          <w:rFonts w:eastAsia="Calibri" w:cs="Times New Roman"/>
          <w:noProof/>
          <w:vertAlign w:val="superscript"/>
        </w:rPr>
        <w:t>132</w:t>
      </w:r>
      <w:r w:rsidRPr="00296D0C">
        <w:rPr>
          <w:rFonts w:eastAsia="Calibri" w:cs="Times New Roman"/>
        </w:rPr>
        <w:fldChar w:fldCharType="end"/>
      </w:r>
      <w:r w:rsidRPr="00296D0C">
        <w:rPr>
          <w:rFonts w:eastAsia="Calibri" w:cs="Times New Roman"/>
        </w:rPr>
        <w:t>).</w:t>
      </w:r>
    </w:p>
    <w:p w14:paraId="17F55A2C" w14:textId="77777777" w:rsidR="00D41B61" w:rsidRPr="00296D0C" w:rsidRDefault="00D41B61" w:rsidP="00D41B61">
      <w:pPr>
        <w:spacing w:after="0" w:line="360" w:lineRule="auto"/>
        <w:ind w:left="720"/>
        <w:contextualSpacing/>
        <w:rPr>
          <w:rFonts w:eastAsia="Calibri" w:cs="Times New Roman"/>
        </w:rPr>
      </w:pPr>
    </w:p>
    <w:p w14:paraId="3A91113F" w14:textId="1E76200E" w:rsidR="00D41B61" w:rsidRPr="00296D0C" w:rsidRDefault="004D1213" w:rsidP="00D41B61">
      <w:pPr>
        <w:keepNext/>
        <w:keepLines/>
        <w:spacing w:after="0" w:line="360" w:lineRule="auto"/>
        <w:outlineLvl w:val="2"/>
        <w:rPr>
          <w:rFonts w:eastAsia="Times New Roman" w:cs="Times New Roman"/>
          <w:b/>
        </w:rPr>
      </w:pPr>
      <w:bookmarkStart w:id="590" w:name="_Toc466710118"/>
      <w:bookmarkStart w:id="591" w:name="_Toc466711466"/>
      <w:bookmarkStart w:id="592" w:name="_Toc466712125"/>
      <w:bookmarkStart w:id="593" w:name="_Toc475974393"/>
      <w:r w:rsidRPr="00296D0C">
        <w:rPr>
          <w:rFonts w:eastAsia="Times New Roman" w:cs="Times New Roman"/>
          <w:b/>
        </w:rPr>
        <w:t>5.3.</w:t>
      </w:r>
      <w:r w:rsidR="005F6B15" w:rsidRPr="00296D0C">
        <w:rPr>
          <w:rFonts w:eastAsia="Times New Roman" w:cs="Times New Roman"/>
          <w:b/>
        </w:rPr>
        <w:t>3</w:t>
      </w:r>
      <w:r w:rsidRPr="00296D0C">
        <w:rPr>
          <w:rFonts w:eastAsia="Times New Roman" w:cs="Times New Roman"/>
          <w:b/>
        </w:rPr>
        <w:t xml:space="preserve"> </w:t>
      </w:r>
      <w:r w:rsidR="00D41B61" w:rsidRPr="00296D0C">
        <w:rPr>
          <w:rFonts w:eastAsia="Times New Roman" w:cs="Times New Roman"/>
          <w:b/>
        </w:rPr>
        <w:t>Results</w:t>
      </w:r>
      <w:bookmarkEnd w:id="590"/>
      <w:bookmarkEnd w:id="591"/>
      <w:bookmarkEnd w:id="592"/>
      <w:bookmarkEnd w:id="593"/>
    </w:p>
    <w:p w14:paraId="6A4F5E66" w14:textId="77777777" w:rsidR="00D41B61" w:rsidRPr="00296D0C" w:rsidRDefault="00D41B61" w:rsidP="00D41B61">
      <w:pPr>
        <w:spacing w:after="0" w:line="360" w:lineRule="auto"/>
        <w:rPr>
          <w:rFonts w:eastAsia="Calibri" w:cs="Times New Roman"/>
        </w:rPr>
      </w:pPr>
      <w:r w:rsidRPr="00296D0C">
        <w:rPr>
          <w:rFonts w:eastAsia="Calibri" w:cs="Times New Roman"/>
        </w:rPr>
        <w:t xml:space="preserve">Of the 1324 children, 105 children had missing data that did not meet the rules for replacing missing values. A conservative approach was taken by discarding these participants, which reduced the sample size from 1,324 to 1,219. </w:t>
      </w:r>
    </w:p>
    <w:p w14:paraId="01E557F5" w14:textId="77777777" w:rsidR="00D41B61" w:rsidRPr="00296D0C" w:rsidRDefault="00D41B61" w:rsidP="00D41B61">
      <w:pPr>
        <w:spacing w:after="0" w:line="360" w:lineRule="auto"/>
        <w:rPr>
          <w:rFonts w:eastAsia="Calibri" w:cs="Times New Roman"/>
        </w:rPr>
      </w:pPr>
    </w:p>
    <w:p w14:paraId="566C10DE" w14:textId="3D6A10AE" w:rsidR="00D41B61" w:rsidRDefault="00D41B61" w:rsidP="00D41B61">
      <w:pPr>
        <w:spacing w:after="0" w:line="360" w:lineRule="auto"/>
        <w:rPr>
          <w:rFonts w:eastAsia="Calibri" w:cs="Times New Roman"/>
        </w:rPr>
      </w:pPr>
      <w:r w:rsidRPr="00296D0C">
        <w:rPr>
          <w:rFonts w:eastAsia="Calibri" w:cs="Times New Roman"/>
        </w:rPr>
        <w:t>A descriptive summary of data for the five composite variables at baseline and 12 months is provided in Tables</w:t>
      </w:r>
      <w:r w:rsidR="002A5E28" w:rsidRPr="00296D0C">
        <w:rPr>
          <w:rFonts w:eastAsia="Calibri" w:cs="Times New Roman"/>
        </w:rPr>
        <w:t xml:space="preserve"> 4</w:t>
      </w:r>
      <w:r w:rsidR="00D80862">
        <w:rPr>
          <w:rFonts w:eastAsia="Calibri" w:cs="Times New Roman"/>
        </w:rPr>
        <w:t>3</w:t>
      </w:r>
      <w:r w:rsidRPr="00296D0C">
        <w:rPr>
          <w:rFonts w:eastAsia="Calibri" w:cs="Times New Roman"/>
        </w:rPr>
        <w:t xml:space="preserve"> and </w:t>
      </w:r>
      <w:r w:rsidR="002A5E28" w:rsidRPr="00296D0C">
        <w:rPr>
          <w:rFonts w:eastAsia="Calibri" w:cs="Times New Roman"/>
        </w:rPr>
        <w:t>4</w:t>
      </w:r>
      <w:r w:rsidR="00D80862">
        <w:rPr>
          <w:rFonts w:eastAsia="Calibri" w:cs="Times New Roman"/>
        </w:rPr>
        <w:t>4</w:t>
      </w:r>
      <w:r w:rsidRPr="00296D0C">
        <w:rPr>
          <w:rFonts w:eastAsia="Calibri" w:cs="Times New Roman"/>
        </w:rPr>
        <w:t>. None of the variables demonstrated elevated levels of kurtosis and skewness. Cronbach’s alpha was good for all of the composite variables, except for Peer Norms, which approached the consensual cut-off value of 0.70 for acceptable internal consistency.</w:t>
      </w:r>
    </w:p>
    <w:p w14:paraId="675A7163" w14:textId="77777777" w:rsidR="00300599" w:rsidRDefault="00300599" w:rsidP="00D41B61">
      <w:pPr>
        <w:spacing w:after="0" w:line="360" w:lineRule="auto"/>
        <w:rPr>
          <w:rFonts w:eastAsia="Calibri" w:cs="Times New Roman"/>
        </w:rPr>
      </w:pPr>
    </w:p>
    <w:p w14:paraId="13BCC726" w14:textId="4C767599" w:rsidR="000020DD" w:rsidRDefault="000020DD">
      <w:pPr>
        <w:rPr>
          <w:rFonts w:eastAsia="Calibri" w:cs="Times New Roman"/>
        </w:rPr>
      </w:pPr>
      <w:r>
        <w:rPr>
          <w:rFonts w:eastAsia="Calibri" w:cs="Times New Roman"/>
        </w:rPr>
        <w:br w:type="page"/>
      </w:r>
    </w:p>
    <w:p w14:paraId="2BB4861F" w14:textId="290EB20A" w:rsidR="00D41B61" w:rsidRPr="00296D0C" w:rsidRDefault="00D41B61" w:rsidP="00D41B61">
      <w:pPr>
        <w:rPr>
          <w:rFonts w:eastAsia="Calibri" w:cs="Times New Roman"/>
          <w:b/>
        </w:rPr>
      </w:pPr>
      <w:r w:rsidRPr="00296D0C">
        <w:rPr>
          <w:rFonts w:eastAsia="Calibri" w:cs="Times New Roman"/>
          <w:b/>
        </w:rPr>
        <w:lastRenderedPageBreak/>
        <w:t>T</w:t>
      </w:r>
      <w:r w:rsidR="0017670E" w:rsidRPr="00296D0C">
        <w:rPr>
          <w:rFonts w:eastAsia="Calibri" w:cs="Times New Roman"/>
          <w:b/>
        </w:rPr>
        <w:t>ABLE</w:t>
      </w:r>
      <w:r w:rsidRPr="00296D0C">
        <w:rPr>
          <w:rFonts w:eastAsia="Calibri" w:cs="Times New Roman"/>
          <w:b/>
        </w:rPr>
        <w:t xml:space="preserve"> </w:t>
      </w:r>
      <w:r w:rsidR="0017670E" w:rsidRPr="00296D0C">
        <w:rPr>
          <w:rFonts w:eastAsia="Calibri" w:cs="Times New Roman"/>
          <w:b/>
        </w:rPr>
        <w:t>4</w:t>
      </w:r>
      <w:r w:rsidR="00D80862">
        <w:rPr>
          <w:rFonts w:eastAsia="Calibri" w:cs="Times New Roman"/>
          <w:b/>
        </w:rPr>
        <w:t>3</w:t>
      </w:r>
      <w:r w:rsidRPr="00296D0C">
        <w:rPr>
          <w:rFonts w:eastAsia="Calibri" w:cs="Times New Roman"/>
          <w:b/>
        </w:rPr>
        <w:t xml:space="preserve"> Descriptive summary of the five composite variables at baseline</w:t>
      </w:r>
    </w:p>
    <w:tbl>
      <w:tblPr>
        <w:tblW w:w="9322" w:type="dxa"/>
        <w:tblLayout w:type="fixed"/>
        <w:tblCellMar>
          <w:left w:w="0" w:type="dxa"/>
          <w:right w:w="0" w:type="dxa"/>
        </w:tblCellMar>
        <w:tblLook w:val="04A0" w:firstRow="1" w:lastRow="0" w:firstColumn="1" w:lastColumn="0" w:noHBand="0" w:noVBand="1"/>
      </w:tblPr>
      <w:tblGrid>
        <w:gridCol w:w="1951"/>
        <w:gridCol w:w="851"/>
        <w:gridCol w:w="992"/>
        <w:gridCol w:w="850"/>
        <w:gridCol w:w="993"/>
        <w:gridCol w:w="1134"/>
        <w:gridCol w:w="1299"/>
        <w:gridCol w:w="1252"/>
      </w:tblGrid>
      <w:tr w:rsidR="00D41B61" w:rsidRPr="00296D0C" w14:paraId="4683BAB5" w14:textId="77777777" w:rsidTr="00300599">
        <w:trPr>
          <w:trHeight w:val="1178"/>
        </w:trPr>
        <w:tc>
          <w:tcPr>
            <w:tcW w:w="19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8A21A3" w14:textId="77777777" w:rsidR="00D41B61" w:rsidRPr="00296D0C" w:rsidRDefault="00D41B61" w:rsidP="00300599">
            <w:pPr>
              <w:spacing w:after="0" w:line="360" w:lineRule="auto"/>
              <w:rPr>
                <w:rFonts w:eastAsiaTheme="minorHAnsi"/>
                <w:b/>
              </w:rPr>
            </w:pPr>
            <w:r w:rsidRPr="00296D0C">
              <w:rPr>
                <w:b/>
              </w:rPr>
              <w:t>Variable (and number of included items)</w:t>
            </w:r>
          </w:p>
        </w:tc>
        <w:tc>
          <w:tcPr>
            <w:tcW w:w="8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93943E8" w14:textId="77777777" w:rsidR="00D41B61" w:rsidRPr="00296D0C" w:rsidRDefault="00D41B61" w:rsidP="00300599">
            <w:pPr>
              <w:spacing w:after="0" w:line="360" w:lineRule="auto"/>
              <w:rPr>
                <w:rFonts w:eastAsiaTheme="minorHAnsi"/>
                <w:b/>
              </w:rPr>
            </w:pPr>
            <w:r w:rsidRPr="00296D0C">
              <w:rPr>
                <w:b/>
              </w:rPr>
              <w:t>Score Range</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4EEDF04" w14:textId="77777777" w:rsidR="00D41B61" w:rsidRPr="00296D0C" w:rsidRDefault="00D41B61" w:rsidP="00300599">
            <w:pPr>
              <w:spacing w:after="0" w:line="360" w:lineRule="auto"/>
              <w:rPr>
                <w:rFonts w:eastAsiaTheme="minorHAnsi"/>
                <w:b/>
              </w:rPr>
            </w:pPr>
            <w:r w:rsidRPr="00296D0C">
              <w:rPr>
                <w:b/>
              </w:rPr>
              <w:t>Mean</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AEE7E16" w14:textId="77777777" w:rsidR="00D41B61" w:rsidRPr="00296D0C" w:rsidRDefault="00D41B61" w:rsidP="00300599">
            <w:pPr>
              <w:spacing w:after="0" w:line="360" w:lineRule="auto"/>
              <w:rPr>
                <w:rFonts w:eastAsiaTheme="minorHAnsi"/>
                <w:b/>
              </w:rPr>
            </w:pPr>
            <w:r w:rsidRPr="00296D0C">
              <w:rPr>
                <w:b/>
              </w:rPr>
              <w:t>SD</w:t>
            </w:r>
          </w:p>
        </w:tc>
        <w:tc>
          <w:tcPr>
            <w:tcW w:w="9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A67DF78" w14:textId="77777777" w:rsidR="00D41B61" w:rsidRPr="00296D0C" w:rsidRDefault="00D41B61" w:rsidP="00300599">
            <w:pPr>
              <w:spacing w:after="0" w:line="360" w:lineRule="auto"/>
              <w:rPr>
                <w:rFonts w:eastAsiaTheme="minorHAnsi"/>
                <w:b/>
                <w:highlight w:val="yellow"/>
              </w:rPr>
            </w:pPr>
            <w:r w:rsidRPr="00296D0C">
              <w:rPr>
                <w:b/>
              </w:rPr>
              <w:t>Kurtosis</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DF4D165" w14:textId="77777777" w:rsidR="00D41B61" w:rsidRPr="00296D0C" w:rsidRDefault="00D41B61" w:rsidP="00300599">
            <w:pPr>
              <w:spacing w:after="0" w:line="360" w:lineRule="auto"/>
              <w:rPr>
                <w:rFonts w:eastAsiaTheme="minorHAnsi"/>
                <w:b/>
              </w:rPr>
            </w:pPr>
            <w:r w:rsidRPr="00296D0C">
              <w:rPr>
                <w:b/>
              </w:rPr>
              <w:t>Skewness</w:t>
            </w:r>
          </w:p>
        </w:tc>
        <w:tc>
          <w:tcPr>
            <w:tcW w:w="129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411B828" w14:textId="77777777" w:rsidR="00D41B61" w:rsidRPr="00296D0C" w:rsidRDefault="00D41B61" w:rsidP="00300599">
            <w:pPr>
              <w:spacing w:after="0" w:line="360" w:lineRule="auto"/>
              <w:rPr>
                <w:rFonts w:eastAsiaTheme="minorHAnsi"/>
                <w:b/>
              </w:rPr>
            </w:pPr>
            <w:r w:rsidRPr="00296D0C">
              <w:rPr>
                <w:b/>
              </w:rPr>
              <w:t>Inter item correlation  range &amp; mean</w:t>
            </w:r>
          </w:p>
        </w:tc>
        <w:tc>
          <w:tcPr>
            <w:tcW w:w="12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6D28D4E" w14:textId="77777777" w:rsidR="00D41B61" w:rsidRPr="00296D0C" w:rsidRDefault="00D41B61" w:rsidP="00300599">
            <w:pPr>
              <w:spacing w:after="0" w:line="360" w:lineRule="auto"/>
              <w:rPr>
                <w:rFonts w:eastAsiaTheme="minorHAnsi"/>
                <w:b/>
              </w:rPr>
            </w:pPr>
            <w:r w:rsidRPr="00296D0C">
              <w:rPr>
                <w:b/>
              </w:rPr>
              <w:t>Cronbach’s Alpha</w:t>
            </w:r>
          </w:p>
        </w:tc>
      </w:tr>
      <w:tr w:rsidR="00D41B61" w:rsidRPr="00296D0C" w14:paraId="514D6834" w14:textId="77777777" w:rsidTr="006E29AA">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9E95A2" w14:textId="77777777" w:rsidR="00D41B61" w:rsidRPr="00296D0C" w:rsidRDefault="00D41B61" w:rsidP="00300599">
            <w:pPr>
              <w:spacing w:after="0" w:line="360" w:lineRule="auto"/>
              <w:rPr>
                <w:rFonts w:eastAsiaTheme="minorHAnsi"/>
              </w:rPr>
            </w:pPr>
            <w:r w:rsidRPr="00296D0C">
              <w:t>‘Knowledge’ (5)</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14:paraId="4CDF468F" w14:textId="77777777" w:rsidR="00D41B61" w:rsidRPr="00296D0C" w:rsidRDefault="00D41B61" w:rsidP="00300599">
            <w:pPr>
              <w:spacing w:after="0" w:line="360" w:lineRule="auto"/>
              <w:rPr>
                <w:rFonts w:eastAsiaTheme="minorHAnsi"/>
              </w:rPr>
            </w:pPr>
            <w:r w:rsidRPr="00296D0C">
              <w:t>1 to 19</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2CA2CC91" w14:textId="77777777" w:rsidR="00D41B61" w:rsidRPr="00296D0C" w:rsidRDefault="00D41B61" w:rsidP="00300599">
            <w:pPr>
              <w:spacing w:after="0" w:line="360" w:lineRule="auto"/>
              <w:rPr>
                <w:rFonts w:eastAsiaTheme="minorHAnsi"/>
              </w:rPr>
            </w:pPr>
            <w:r w:rsidRPr="00296D0C">
              <w:t>8.47</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7C8EB0BC" w14:textId="77777777" w:rsidR="00D41B61" w:rsidRPr="00296D0C" w:rsidRDefault="00D41B61" w:rsidP="00300599">
            <w:pPr>
              <w:spacing w:after="0" w:line="360" w:lineRule="auto"/>
              <w:rPr>
                <w:rFonts w:eastAsiaTheme="minorHAnsi"/>
              </w:rPr>
            </w:pPr>
            <w:r w:rsidRPr="00296D0C">
              <w:t>2.69</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091F293E" w14:textId="77777777" w:rsidR="00D41B61" w:rsidRPr="00296D0C" w:rsidRDefault="00D41B61" w:rsidP="00300599">
            <w:pPr>
              <w:spacing w:after="0" w:line="360" w:lineRule="auto"/>
              <w:rPr>
                <w:rFonts w:eastAsiaTheme="minorHAnsi"/>
              </w:rPr>
            </w:pPr>
            <w:r w:rsidRPr="00296D0C">
              <w:t>-0.11</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0B7DD644" w14:textId="77777777" w:rsidR="00D41B61" w:rsidRPr="00296D0C" w:rsidRDefault="00D41B61" w:rsidP="00300599">
            <w:pPr>
              <w:spacing w:after="0" w:line="360" w:lineRule="auto"/>
              <w:rPr>
                <w:rFonts w:eastAsiaTheme="minorHAnsi"/>
              </w:rPr>
            </w:pPr>
            <w:r w:rsidRPr="00296D0C">
              <w:t>0.09</w:t>
            </w:r>
          </w:p>
        </w:tc>
        <w:tc>
          <w:tcPr>
            <w:tcW w:w="1299" w:type="dxa"/>
            <w:tcBorders>
              <w:top w:val="nil"/>
              <w:left w:val="nil"/>
              <w:bottom w:val="single" w:sz="8" w:space="0" w:color="auto"/>
              <w:right w:val="single" w:sz="8" w:space="0" w:color="auto"/>
            </w:tcBorders>
            <w:tcMar>
              <w:top w:w="0" w:type="dxa"/>
              <w:left w:w="108" w:type="dxa"/>
              <w:bottom w:w="0" w:type="dxa"/>
              <w:right w:w="108" w:type="dxa"/>
            </w:tcMar>
            <w:hideMark/>
          </w:tcPr>
          <w:p w14:paraId="75919EA7" w14:textId="77777777" w:rsidR="00D41B61" w:rsidRPr="00296D0C" w:rsidRDefault="00D41B61" w:rsidP="00300599">
            <w:pPr>
              <w:spacing w:after="0" w:line="360" w:lineRule="auto"/>
              <w:rPr>
                <w:rFonts w:eastAsiaTheme="minorHAnsi"/>
              </w:rPr>
            </w:pPr>
            <w:r w:rsidRPr="00296D0C">
              <w:t>NA</w:t>
            </w:r>
          </w:p>
        </w:tc>
        <w:tc>
          <w:tcPr>
            <w:tcW w:w="1252" w:type="dxa"/>
            <w:tcBorders>
              <w:top w:val="nil"/>
              <w:left w:val="nil"/>
              <w:bottom w:val="single" w:sz="8" w:space="0" w:color="auto"/>
              <w:right w:val="single" w:sz="8" w:space="0" w:color="auto"/>
            </w:tcBorders>
            <w:tcMar>
              <w:top w:w="0" w:type="dxa"/>
              <w:left w:w="108" w:type="dxa"/>
              <w:bottom w:w="0" w:type="dxa"/>
              <w:right w:w="108" w:type="dxa"/>
            </w:tcMar>
            <w:hideMark/>
          </w:tcPr>
          <w:p w14:paraId="6E807675" w14:textId="77777777" w:rsidR="00D41B61" w:rsidRPr="00296D0C" w:rsidRDefault="00D41B61" w:rsidP="00300599">
            <w:pPr>
              <w:spacing w:after="0" w:line="360" w:lineRule="auto"/>
              <w:rPr>
                <w:rFonts w:eastAsiaTheme="minorHAnsi"/>
              </w:rPr>
            </w:pPr>
            <w:r w:rsidRPr="00296D0C">
              <w:t>NA</w:t>
            </w:r>
          </w:p>
        </w:tc>
      </w:tr>
      <w:tr w:rsidR="00D41B61" w:rsidRPr="00296D0C" w14:paraId="351604F8" w14:textId="77777777" w:rsidTr="006E29AA">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A37CEB" w14:textId="77777777" w:rsidR="00D41B61" w:rsidRPr="00296D0C" w:rsidRDefault="00D41B61" w:rsidP="00300599">
            <w:pPr>
              <w:spacing w:after="0" w:line="360" w:lineRule="auto"/>
              <w:rPr>
                <w:rFonts w:eastAsiaTheme="minorHAnsi"/>
              </w:rPr>
            </w:pPr>
            <w:r w:rsidRPr="00296D0C">
              <w:t>‘Confidence &amp; Motivation’ (9)</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14:paraId="17FBF7AC" w14:textId="77777777" w:rsidR="00D41B61" w:rsidRPr="00296D0C" w:rsidRDefault="00D41B61" w:rsidP="00300599">
            <w:pPr>
              <w:spacing w:after="0" w:line="360" w:lineRule="auto"/>
              <w:rPr>
                <w:rFonts w:eastAsiaTheme="minorHAnsi"/>
              </w:rPr>
            </w:pPr>
            <w:r w:rsidRPr="00296D0C">
              <w:t>9 to 36</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38595315" w14:textId="77777777" w:rsidR="00D41B61" w:rsidRPr="00296D0C" w:rsidRDefault="00D41B61" w:rsidP="00300599">
            <w:pPr>
              <w:spacing w:after="0" w:line="360" w:lineRule="auto"/>
              <w:rPr>
                <w:rFonts w:eastAsiaTheme="minorHAnsi"/>
              </w:rPr>
            </w:pPr>
            <w:r w:rsidRPr="00296D0C">
              <w:t>23.95</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55D51F0D" w14:textId="77777777" w:rsidR="00D41B61" w:rsidRPr="00296D0C" w:rsidRDefault="00D41B61" w:rsidP="00300599">
            <w:pPr>
              <w:spacing w:after="0" w:line="360" w:lineRule="auto"/>
              <w:rPr>
                <w:rFonts w:eastAsiaTheme="minorHAnsi"/>
              </w:rPr>
            </w:pPr>
            <w:r w:rsidRPr="00296D0C">
              <w:t>6.38</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6C150811" w14:textId="77777777" w:rsidR="00D41B61" w:rsidRPr="00296D0C" w:rsidRDefault="00D41B61" w:rsidP="00300599">
            <w:pPr>
              <w:spacing w:after="0" w:line="360" w:lineRule="auto"/>
              <w:rPr>
                <w:rFonts w:eastAsiaTheme="minorHAnsi"/>
              </w:rPr>
            </w:pPr>
            <w:r w:rsidRPr="00296D0C">
              <w:t>-0.56</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7DE365EA" w14:textId="77777777" w:rsidR="00D41B61" w:rsidRPr="00296D0C" w:rsidRDefault="00D41B61" w:rsidP="00300599">
            <w:pPr>
              <w:spacing w:after="0" w:line="360" w:lineRule="auto"/>
              <w:rPr>
                <w:rFonts w:eastAsiaTheme="minorHAnsi"/>
              </w:rPr>
            </w:pPr>
            <w:r w:rsidRPr="00296D0C">
              <w:t>-0.28</w:t>
            </w:r>
          </w:p>
        </w:tc>
        <w:tc>
          <w:tcPr>
            <w:tcW w:w="1299" w:type="dxa"/>
            <w:tcBorders>
              <w:top w:val="nil"/>
              <w:left w:val="nil"/>
              <w:bottom w:val="single" w:sz="8" w:space="0" w:color="auto"/>
              <w:right w:val="single" w:sz="8" w:space="0" w:color="auto"/>
            </w:tcBorders>
            <w:tcMar>
              <w:top w:w="0" w:type="dxa"/>
              <w:left w:w="108" w:type="dxa"/>
              <w:bottom w:w="0" w:type="dxa"/>
              <w:right w:w="108" w:type="dxa"/>
            </w:tcMar>
            <w:hideMark/>
          </w:tcPr>
          <w:p w14:paraId="17C9B806" w14:textId="77777777" w:rsidR="00D41B61" w:rsidRPr="00296D0C" w:rsidRDefault="00D41B61" w:rsidP="00300599">
            <w:pPr>
              <w:spacing w:after="0" w:line="360" w:lineRule="auto"/>
              <w:rPr>
                <w:rFonts w:eastAsiaTheme="minorHAnsi"/>
              </w:rPr>
            </w:pPr>
            <w:r w:rsidRPr="00296D0C">
              <w:t>0.18-0.59</w:t>
            </w:r>
          </w:p>
          <w:p w14:paraId="30A574F4" w14:textId="77777777" w:rsidR="00D41B61" w:rsidRPr="00296D0C" w:rsidRDefault="00D41B61" w:rsidP="00300599">
            <w:pPr>
              <w:spacing w:after="0" w:line="360" w:lineRule="auto"/>
              <w:rPr>
                <w:rFonts w:eastAsiaTheme="minorHAnsi"/>
              </w:rPr>
            </w:pPr>
            <w:r w:rsidRPr="00296D0C">
              <w:t>0.37</w:t>
            </w:r>
          </w:p>
        </w:tc>
        <w:tc>
          <w:tcPr>
            <w:tcW w:w="1252" w:type="dxa"/>
            <w:tcBorders>
              <w:top w:val="nil"/>
              <w:left w:val="nil"/>
              <w:bottom w:val="single" w:sz="8" w:space="0" w:color="auto"/>
              <w:right w:val="single" w:sz="8" w:space="0" w:color="auto"/>
            </w:tcBorders>
            <w:tcMar>
              <w:top w:w="0" w:type="dxa"/>
              <w:left w:w="108" w:type="dxa"/>
              <w:bottom w:w="0" w:type="dxa"/>
              <w:right w:w="108" w:type="dxa"/>
            </w:tcMar>
            <w:hideMark/>
          </w:tcPr>
          <w:p w14:paraId="56848603" w14:textId="77777777" w:rsidR="00D41B61" w:rsidRPr="00296D0C" w:rsidRDefault="00D41B61" w:rsidP="00300599">
            <w:pPr>
              <w:spacing w:after="0" w:line="360" w:lineRule="auto"/>
              <w:rPr>
                <w:rFonts w:eastAsiaTheme="minorHAnsi"/>
              </w:rPr>
            </w:pPr>
            <w:r w:rsidRPr="00296D0C">
              <w:t>0.84</w:t>
            </w:r>
          </w:p>
        </w:tc>
      </w:tr>
      <w:tr w:rsidR="00D41B61" w:rsidRPr="00296D0C" w14:paraId="2407B747" w14:textId="77777777" w:rsidTr="006E29AA">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C97CCE" w14:textId="77777777" w:rsidR="00D41B61" w:rsidRPr="00296D0C" w:rsidRDefault="00D41B61" w:rsidP="00300599">
            <w:pPr>
              <w:spacing w:after="0" w:line="360" w:lineRule="auto"/>
              <w:rPr>
                <w:rFonts w:eastAsiaTheme="minorHAnsi"/>
              </w:rPr>
            </w:pPr>
            <w:r w:rsidRPr="00296D0C">
              <w:t>‘Peer Norms’ (9)</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14:paraId="54C5B517" w14:textId="77777777" w:rsidR="00D41B61" w:rsidRPr="00296D0C" w:rsidRDefault="00D41B61" w:rsidP="00300599">
            <w:pPr>
              <w:spacing w:after="0" w:line="360" w:lineRule="auto"/>
              <w:rPr>
                <w:rFonts w:eastAsiaTheme="minorHAnsi"/>
              </w:rPr>
            </w:pPr>
            <w:r w:rsidRPr="00296D0C">
              <w:t>5 to 32</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3FC10D6B" w14:textId="77777777" w:rsidR="00D41B61" w:rsidRPr="00296D0C" w:rsidRDefault="00D41B61" w:rsidP="00300599">
            <w:pPr>
              <w:spacing w:after="0" w:line="360" w:lineRule="auto"/>
              <w:rPr>
                <w:rFonts w:eastAsiaTheme="minorHAnsi"/>
              </w:rPr>
            </w:pPr>
            <w:r w:rsidRPr="00296D0C">
              <w:t>19.63</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6C2CA872" w14:textId="77777777" w:rsidR="00D41B61" w:rsidRPr="00296D0C" w:rsidRDefault="00D41B61" w:rsidP="00300599">
            <w:pPr>
              <w:spacing w:after="0" w:line="360" w:lineRule="auto"/>
              <w:rPr>
                <w:rFonts w:eastAsiaTheme="minorHAnsi"/>
              </w:rPr>
            </w:pPr>
            <w:r w:rsidRPr="00296D0C">
              <w:t>4.49</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084710CF" w14:textId="77777777" w:rsidR="00D41B61" w:rsidRPr="00296D0C" w:rsidRDefault="00D41B61" w:rsidP="00300599">
            <w:pPr>
              <w:spacing w:after="0" w:line="360" w:lineRule="auto"/>
              <w:rPr>
                <w:rFonts w:eastAsiaTheme="minorHAnsi"/>
              </w:rPr>
            </w:pPr>
            <w:r w:rsidRPr="00296D0C">
              <w:t>-0.22</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295C7E30" w14:textId="77777777" w:rsidR="00D41B61" w:rsidRPr="00296D0C" w:rsidRDefault="00D41B61" w:rsidP="00300599">
            <w:pPr>
              <w:spacing w:after="0" w:line="360" w:lineRule="auto"/>
              <w:rPr>
                <w:rFonts w:eastAsiaTheme="minorHAnsi"/>
              </w:rPr>
            </w:pPr>
            <w:r w:rsidRPr="00296D0C">
              <w:t>-0.12</w:t>
            </w:r>
          </w:p>
        </w:tc>
        <w:tc>
          <w:tcPr>
            <w:tcW w:w="1299" w:type="dxa"/>
            <w:tcBorders>
              <w:top w:val="nil"/>
              <w:left w:val="nil"/>
              <w:bottom w:val="single" w:sz="8" w:space="0" w:color="auto"/>
              <w:right w:val="single" w:sz="8" w:space="0" w:color="auto"/>
            </w:tcBorders>
            <w:tcMar>
              <w:top w:w="0" w:type="dxa"/>
              <w:left w:w="108" w:type="dxa"/>
              <w:bottom w:w="0" w:type="dxa"/>
              <w:right w:w="108" w:type="dxa"/>
            </w:tcMar>
            <w:hideMark/>
          </w:tcPr>
          <w:p w14:paraId="5C61B8A0" w14:textId="77777777" w:rsidR="00D41B61" w:rsidRPr="00296D0C" w:rsidRDefault="00D41B61" w:rsidP="00300599">
            <w:pPr>
              <w:spacing w:after="0" w:line="360" w:lineRule="auto"/>
              <w:rPr>
                <w:rFonts w:eastAsiaTheme="minorHAnsi"/>
              </w:rPr>
            </w:pPr>
            <w:r w:rsidRPr="00296D0C">
              <w:t>0.07-0.48</w:t>
            </w:r>
          </w:p>
          <w:p w14:paraId="2BF4AD04" w14:textId="77777777" w:rsidR="00D41B61" w:rsidRPr="00296D0C" w:rsidRDefault="00D41B61" w:rsidP="00300599">
            <w:pPr>
              <w:spacing w:after="0" w:line="360" w:lineRule="auto"/>
              <w:rPr>
                <w:rFonts w:eastAsiaTheme="minorHAnsi"/>
              </w:rPr>
            </w:pPr>
            <w:r w:rsidRPr="00296D0C">
              <w:t>0.22</w:t>
            </w:r>
          </w:p>
        </w:tc>
        <w:tc>
          <w:tcPr>
            <w:tcW w:w="1252" w:type="dxa"/>
            <w:tcBorders>
              <w:top w:val="nil"/>
              <w:left w:val="nil"/>
              <w:bottom w:val="single" w:sz="8" w:space="0" w:color="auto"/>
              <w:right w:val="single" w:sz="8" w:space="0" w:color="auto"/>
            </w:tcBorders>
            <w:tcMar>
              <w:top w:w="0" w:type="dxa"/>
              <w:left w:w="108" w:type="dxa"/>
              <w:bottom w:w="0" w:type="dxa"/>
              <w:right w:w="108" w:type="dxa"/>
            </w:tcMar>
            <w:hideMark/>
          </w:tcPr>
          <w:p w14:paraId="649E3297" w14:textId="77777777" w:rsidR="00D41B61" w:rsidRPr="00296D0C" w:rsidRDefault="00D41B61" w:rsidP="00300599">
            <w:pPr>
              <w:spacing w:after="0" w:line="360" w:lineRule="auto"/>
              <w:rPr>
                <w:rFonts w:eastAsiaTheme="minorHAnsi"/>
              </w:rPr>
            </w:pPr>
            <w:r w:rsidRPr="00296D0C">
              <w:t>0.69</w:t>
            </w:r>
          </w:p>
        </w:tc>
      </w:tr>
      <w:tr w:rsidR="00D41B61" w:rsidRPr="00296D0C" w14:paraId="66890784" w14:textId="77777777" w:rsidTr="006E29AA">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0EF243" w14:textId="77777777" w:rsidR="00D41B61" w:rsidRPr="00296D0C" w:rsidRDefault="00D41B61" w:rsidP="00300599">
            <w:pPr>
              <w:spacing w:after="0" w:line="360" w:lineRule="auto"/>
              <w:rPr>
                <w:rFonts w:eastAsiaTheme="minorHAnsi"/>
              </w:rPr>
            </w:pPr>
            <w:r w:rsidRPr="00296D0C">
              <w:t>‘Family Approval / Behaviours &amp; Child Attitudes’ (8)</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14:paraId="7370DB83" w14:textId="77777777" w:rsidR="00D41B61" w:rsidRPr="00296D0C" w:rsidRDefault="00D41B61" w:rsidP="00300599">
            <w:pPr>
              <w:spacing w:after="0" w:line="360" w:lineRule="auto"/>
              <w:rPr>
                <w:rFonts w:eastAsiaTheme="minorHAnsi"/>
              </w:rPr>
            </w:pPr>
            <w:r w:rsidRPr="00296D0C">
              <w:t>9 to 36</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4BA2355D" w14:textId="77777777" w:rsidR="00D41B61" w:rsidRPr="00296D0C" w:rsidRDefault="00D41B61" w:rsidP="00300599">
            <w:pPr>
              <w:spacing w:after="0" w:line="360" w:lineRule="auto"/>
              <w:rPr>
                <w:rFonts w:eastAsiaTheme="minorHAnsi"/>
              </w:rPr>
            </w:pPr>
            <w:r w:rsidRPr="00296D0C">
              <w:t>26.72</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28E60588" w14:textId="77777777" w:rsidR="00D41B61" w:rsidRPr="00296D0C" w:rsidRDefault="00D41B61" w:rsidP="00300599">
            <w:pPr>
              <w:spacing w:after="0" w:line="360" w:lineRule="auto"/>
              <w:rPr>
                <w:rFonts w:eastAsiaTheme="minorHAnsi"/>
              </w:rPr>
            </w:pPr>
            <w:r w:rsidRPr="00296D0C">
              <w:t>5.92</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1B6EF698" w14:textId="77777777" w:rsidR="00D41B61" w:rsidRPr="00296D0C" w:rsidRDefault="00D41B61" w:rsidP="00300599">
            <w:pPr>
              <w:spacing w:after="0" w:line="360" w:lineRule="auto"/>
              <w:rPr>
                <w:rFonts w:eastAsiaTheme="minorHAnsi"/>
              </w:rPr>
            </w:pPr>
            <w:r w:rsidRPr="00296D0C">
              <w:t>-0.19</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0AF6E3F0" w14:textId="77777777" w:rsidR="00D41B61" w:rsidRPr="00296D0C" w:rsidRDefault="00D41B61" w:rsidP="00300599">
            <w:pPr>
              <w:spacing w:after="0" w:line="360" w:lineRule="auto"/>
              <w:rPr>
                <w:rFonts w:eastAsiaTheme="minorHAnsi"/>
              </w:rPr>
            </w:pPr>
            <w:r w:rsidRPr="00296D0C">
              <w:t>-0.56</w:t>
            </w:r>
          </w:p>
        </w:tc>
        <w:tc>
          <w:tcPr>
            <w:tcW w:w="1299" w:type="dxa"/>
            <w:tcBorders>
              <w:top w:val="nil"/>
              <w:left w:val="nil"/>
              <w:bottom w:val="single" w:sz="8" w:space="0" w:color="auto"/>
              <w:right w:val="single" w:sz="8" w:space="0" w:color="auto"/>
            </w:tcBorders>
            <w:tcMar>
              <w:top w:w="0" w:type="dxa"/>
              <w:left w:w="108" w:type="dxa"/>
              <w:bottom w:w="0" w:type="dxa"/>
              <w:right w:w="108" w:type="dxa"/>
            </w:tcMar>
            <w:hideMark/>
          </w:tcPr>
          <w:p w14:paraId="3C9322F0" w14:textId="77777777" w:rsidR="00D41B61" w:rsidRPr="00296D0C" w:rsidRDefault="00D41B61" w:rsidP="00300599">
            <w:pPr>
              <w:spacing w:after="0" w:line="360" w:lineRule="auto"/>
              <w:rPr>
                <w:rFonts w:eastAsiaTheme="minorHAnsi"/>
              </w:rPr>
            </w:pPr>
            <w:r w:rsidRPr="00296D0C">
              <w:t>0.17-0.55</w:t>
            </w:r>
          </w:p>
          <w:p w14:paraId="73B0263A" w14:textId="77777777" w:rsidR="00D41B61" w:rsidRPr="00296D0C" w:rsidRDefault="00D41B61" w:rsidP="00300599">
            <w:pPr>
              <w:spacing w:after="0" w:line="360" w:lineRule="auto"/>
              <w:rPr>
                <w:rFonts w:eastAsiaTheme="minorHAnsi"/>
              </w:rPr>
            </w:pPr>
            <w:r w:rsidRPr="00296D0C">
              <w:t>0.33</w:t>
            </w:r>
          </w:p>
        </w:tc>
        <w:tc>
          <w:tcPr>
            <w:tcW w:w="1252" w:type="dxa"/>
            <w:tcBorders>
              <w:top w:val="nil"/>
              <w:left w:val="nil"/>
              <w:bottom w:val="single" w:sz="8" w:space="0" w:color="auto"/>
              <w:right w:val="single" w:sz="8" w:space="0" w:color="auto"/>
            </w:tcBorders>
            <w:tcMar>
              <w:top w:w="0" w:type="dxa"/>
              <w:left w:w="108" w:type="dxa"/>
              <w:bottom w:w="0" w:type="dxa"/>
              <w:right w:w="108" w:type="dxa"/>
            </w:tcMar>
            <w:hideMark/>
          </w:tcPr>
          <w:p w14:paraId="47B7857E" w14:textId="77777777" w:rsidR="00D41B61" w:rsidRPr="00296D0C" w:rsidRDefault="00D41B61" w:rsidP="00300599">
            <w:pPr>
              <w:spacing w:after="0" w:line="360" w:lineRule="auto"/>
              <w:rPr>
                <w:rFonts w:eastAsiaTheme="minorHAnsi"/>
              </w:rPr>
            </w:pPr>
            <w:r w:rsidRPr="00296D0C">
              <w:t>0.82</w:t>
            </w:r>
          </w:p>
        </w:tc>
      </w:tr>
      <w:tr w:rsidR="00D41B61" w:rsidRPr="00296D0C" w14:paraId="52201600" w14:textId="77777777" w:rsidTr="00300599">
        <w:trPr>
          <w:trHeight w:val="784"/>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F23D81" w14:textId="77777777" w:rsidR="00D41B61" w:rsidRPr="00296D0C" w:rsidRDefault="00D41B61" w:rsidP="00300599">
            <w:pPr>
              <w:spacing w:after="0" w:line="360" w:lineRule="auto"/>
              <w:rPr>
                <w:rFonts w:eastAsiaTheme="minorHAnsi"/>
              </w:rPr>
            </w:pPr>
            <w:r w:rsidRPr="00296D0C">
              <w:t>‘Behaviours &amp; Strategies’ (18)</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14:paraId="352E3C94" w14:textId="77777777" w:rsidR="00D41B61" w:rsidRPr="00296D0C" w:rsidRDefault="00D41B61" w:rsidP="00300599">
            <w:pPr>
              <w:spacing w:after="0" w:line="360" w:lineRule="auto"/>
              <w:rPr>
                <w:rFonts w:eastAsiaTheme="minorHAnsi"/>
              </w:rPr>
            </w:pPr>
            <w:r w:rsidRPr="00296D0C">
              <w:t>3 to 72</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49D6D4E1" w14:textId="77777777" w:rsidR="00D41B61" w:rsidRPr="00296D0C" w:rsidRDefault="00D41B61" w:rsidP="00300599">
            <w:pPr>
              <w:spacing w:after="0" w:line="360" w:lineRule="auto"/>
              <w:rPr>
                <w:rFonts w:eastAsiaTheme="minorHAnsi"/>
              </w:rPr>
            </w:pPr>
            <w:r w:rsidRPr="00296D0C">
              <w:t>41.19</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51B190C8" w14:textId="77777777" w:rsidR="00D41B61" w:rsidRPr="00296D0C" w:rsidRDefault="00D41B61" w:rsidP="00300599">
            <w:pPr>
              <w:spacing w:after="0" w:line="360" w:lineRule="auto"/>
              <w:rPr>
                <w:rFonts w:eastAsiaTheme="minorHAnsi"/>
              </w:rPr>
            </w:pPr>
            <w:r w:rsidRPr="00296D0C">
              <w:t>12.79</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240C28B7" w14:textId="77777777" w:rsidR="00D41B61" w:rsidRPr="00296D0C" w:rsidRDefault="00D41B61" w:rsidP="00300599">
            <w:pPr>
              <w:spacing w:after="0" w:line="360" w:lineRule="auto"/>
              <w:rPr>
                <w:rFonts w:eastAsiaTheme="minorHAnsi"/>
              </w:rPr>
            </w:pPr>
            <w:r w:rsidRPr="00296D0C">
              <w:t>-0.54</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0182C914" w14:textId="77777777" w:rsidR="00D41B61" w:rsidRPr="00296D0C" w:rsidRDefault="00D41B61" w:rsidP="00300599">
            <w:pPr>
              <w:spacing w:after="0" w:line="360" w:lineRule="auto"/>
              <w:rPr>
                <w:rFonts w:eastAsiaTheme="minorHAnsi"/>
              </w:rPr>
            </w:pPr>
            <w:r w:rsidRPr="00296D0C">
              <w:t>0.22</w:t>
            </w:r>
          </w:p>
        </w:tc>
        <w:tc>
          <w:tcPr>
            <w:tcW w:w="1299" w:type="dxa"/>
            <w:tcBorders>
              <w:top w:val="nil"/>
              <w:left w:val="nil"/>
              <w:bottom w:val="single" w:sz="8" w:space="0" w:color="auto"/>
              <w:right w:val="single" w:sz="8" w:space="0" w:color="auto"/>
            </w:tcBorders>
            <w:tcMar>
              <w:top w:w="0" w:type="dxa"/>
              <w:left w:w="108" w:type="dxa"/>
              <w:bottom w:w="0" w:type="dxa"/>
              <w:right w:w="108" w:type="dxa"/>
            </w:tcMar>
            <w:hideMark/>
          </w:tcPr>
          <w:p w14:paraId="1168BA84" w14:textId="77777777" w:rsidR="00D41B61" w:rsidRPr="00296D0C" w:rsidRDefault="00D41B61" w:rsidP="00300599">
            <w:pPr>
              <w:spacing w:after="0" w:line="360" w:lineRule="auto"/>
              <w:rPr>
                <w:rFonts w:eastAsiaTheme="minorHAnsi"/>
              </w:rPr>
            </w:pPr>
            <w:r w:rsidRPr="00296D0C">
              <w:t>0.18-0.61</w:t>
            </w:r>
          </w:p>
          <w:p w14:paraId="79C820E8" w14:textId="77777777" w:rsidR="00D41B61" w:rsidRPr="00296D0C" w:rsidRDefault="00D41B61" w:rsidP="00300599">
            <w:pPr>
              <w:spacing w:after="0" w:line="360" w:lineRule="auto"/>
              <w:rPr>
                <w:rFonts w:eastAsiaTheme="minorHAnsi"/>
              </w:rPr>
            </w:pPr>
            <w:r w:rsidRPr="00296D0C">
              <w:t>0.40</w:t>
            </w:r>
          </w:p>
        </w:tc>
        <w:tc>
          <w:tcPr>
            <w:tcW w:w="1252" w:type="dxa"/>
            <w:tcBorders>
              <w:top w:val="nil"/>
              <w:left w:val="nil"/>
              <w:bottom w:val="single" w:sz="8" w:space="0" w:color="auto"/>
              <w:right w:val="single" w:sz="8" w:space="0" w:color="auto"/>
            </w:tcBorders>
            <w:tcMar>
              <w:top w:w="0" w:type="dxa"/>
              <w:left w:w="108" w:type="dxa"/>
              <w:bottom w:w="0" w:type="dxa"/>
              <w:right w:w="108" w:type="dxa"/>
            </w:tcMar>
            <w:hideMark/>
          </w:tcPr>
          <w:p w14:paraId="0DA37083" w14:textId="77777777" w:rsidR="00D41B61" w:rsidRPr="00296D0C" w:rsidRDefault="00D41B61" w:rsidP="00300599">
            <w:pPr>
              <w:spacing w:after="0" w:line="360" w:lineRule="auto"/>
              <w:rPr>
                <w:rFonts w:eastAsiaTheme="minorHAnsi"/>
              </w:rPr>
            </w:pPr>
            <w:r w:rsidRPr="00296D0C">
              <w:t>0.92</w:t>
            </w:r>
          </w:p>
        </w:tc>
      </w:tr>
    </w:tbl>
    <w:p w14:paraId="0AFC5F25" w14:textId="77777777" w:rsidR="0017670E" w:rsidRPr="00296D0C" w:rsidRDefault="0017670E" w:rsidP="00D41B61">
      <w:pPr>
        <w:rPr>
          <w:rFonts w:eastAsia="Calibri" w:cs="Times New Roman"/>
          <w:i/>
        </w:rPr>
      </w:pPr>
    </w:p>
    <w:p w14:paraId="648E77C0" w14:textId="77777777" w:rsidR="00300599" w:rsidRDefault="00300599" w:rsidP="00D41B61">
      <w:pPr>
        <w:rPr>
          <w:b/>
          <w:iCs/>
        </w:rPr>
      </w:pPr>
    </w:p>
    <w:p w14:paraId="6B8E8F82" w14:textId="33D0E068" w:rsidR="00D41B61" w:rsidRPr="00296D0C" w:rsidRDefault="00D41B61" w:rsidP="00D41B61">
      <w:pPr>
        <w:rPr>
          <w:b/>
          <w:iCs/>
        </w:rPr>
      </w:pPr>
      <w:r w:rsidRPr="00296D0C">
        <w:rPr>
          <w:b/>
          <w:iCs/>
        </w:rPr>
        <w:t>Table</w:t>
      </w:r>
      <w:r w:rsidR="009C372B" w:rsidRPr="00296D0C">
        <w:rPr>
          <w:b/>
          <w:iCs/>
        </w:rPr>
        <w:t xml:space="preserve"> </w:t>
      </w:r>
      <w:r w:rsidR="0017670E" w:rsidRPr="00296D0C">
        <w:rPr>
          <w:b/>
          <w:iCs/>
        </w:rPr>
        <w:t>4</w:t>
      </w:r>
      <w:r w:rsidR="00D80862">
        <w:rPr>
          <w:b/>
          <w:iCs/>
        </w:rPr>
        <w:t>4</w:t>
      </w:r>
      <w:r w:rsidRPr="00296D0C">
        <w:rPr>
          <w:b/>
          <w:iCs/>
        </w:rPr>
        <w:t xml:space="preserve"> Descriptive summary of the five composite variables at 12 months</w:t>
      </w:r>
    </w:p>
    <w:tbl>
      <w:tblPr>
        <w:tblW w:w="0" w:type="auto"/>
        <w:tblCellMar>
          <w:left w:w="0" w:type="dxa"/>
          <w:right w:w="0" w:type="dxa"/>
        </w:tblCellMar>
        <w:tblLook w:val="04A0" w:firstRow="1" w:lastRow="0" w:firstColumn="1" w:lastColumn="0" w:noHBand="0" w:noVBand="1"/>
      </w:tblPr>
      <w:tblGrid>
        <w:gridCol w:w="1916"/>
        <w:gridCol w:w="1018"/>
        <w:gridCol w:w="746"/>
        <w:gridCol w:w="718"/>
        <w:gridCol w:w="957"/>
        <w:gridCol w:w="1163"/>
        <w:gridCol w:w="1223"/>
        <w:gridCol w:w="1265"/>
      </w:tblGrid>
      <w:tr w:rsidR="00D41B61" w:rsidRPr="00296D0C" w14:paraId="1BBC251A" w14:textId="77777777" w:rsidTr="005C3553">
        <w:tc>
          <w:tcPr>
            <w:tcW w:w="20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7246AC2" w14:textId="77777777" w:rsidR="00D41B61" w:rsidRPr="00296D0C" w:rsidRDefault="00D41B61" w:rsidP="00300599">
            <w:pPr>
              <w:spacing w:after="0" w:line="360" w:lineRule="auto"/>
              <w:rPr>
                <w:rFonts w:eastAsiaTheme="minorHAnsi"/>
                <w:b/>
              </w:rPr>
            </w:pPr>
            <w:r w:rsidRPr="00296D0C">
              <w:rPr>
                <w:b/>
              </w:rPr>
              <w:t>Variable (and number of included items)</w:t>
            </w:r>
          </w:p>
        </w:tc>
        <w:tc>
          <w:tcPr>
            <w:tcW w:w="10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B206A1F" w14:textId="77777777" w:rsidR="00D41B61" w:rsidRPr="00296D0C" w:rsidRDefault="00D41B61" w:rsidP="00300599">
            <w:pPr>
              <w:spacing w:after="0" w:line="360" w:lineRule="auto"/>
              <w:rPr>
                <w:rFonts w:eastAsiaTheme="minorHAnsi"/>
                <w:b/>
              </w:rPr>
            </w:pPr>
            <w:r w:rsidRPr="00296D0C">
              <w:rPr>
                <w:b/>
              </w:rPr>
              <w:t>Score Range</w:t>
            </w:r>
          </w:p>
        </w:tc>
        <w:tc>
          <w:tcPr>
            <w:tcW w:w="7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593F258" w14:textId="77777777" w:rsidR="00D41B61" w:rsidRPr="00296D0C" w:rsidRDefault="00D41B61" w:rsidP="00300599">
            <w:pPr>
              <w:spacing w:after="0" w:line="360" w:lineRule="auto"/>
              <w:rPr>
                <w:rFonts w:eastAsiaTheme="minorHAnsi"/>
                <w:b/>
              </w:rPr>
            </w:pPr>
            <w:r w:rsidRPr="00296D0C">
              <w:rPr>
                <w:b/>
              </w:rPr>
              <w:t>Mean</w:t>
            </w:r>
          </w:p>
        </w:tc>
        <w:tc>
          <w:tcPr>
            <w:tcW w:w="7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7C4CD98" w14:textId="77777777" w:rsidR="00D41B61" w:rsidRPr="00296D0C" w:rsidRDefault="00D41B61" w:rsidP="00300599">
            <w:pPr>
              <w:spacing w:after="0" w:line="360" w:lineRule="auto"/>
              <w:rPr>
                <w:rFonts w:eastAsiaTheme="minorHAnsi"/>
                <w:b/>
              </w:rPr>
            </w:pPr>
            <w:r w:rsidRPr="00296D0C">
              <w:rPr>
                <w:b/>
              </w:rPr>
              <w:t>SD</w:t>
            </w:r>
          </w:p>
        </w:tc>
        <w:tc>
          <w:tcPr>
            <w:tcW w:w="93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4101FD5" w14:textId="77777777" w:rsidR="00D41B61" w:rsidRPr="00296D0C" w:rsidRDefault="00D41B61" w:rsidP="00300599">
            <w:pPr>
              <w:spacing w:after="0" w:line="360" w:lineRule="auto"/>
              <w:rPr>
                <w:rFonts w:eastAsiaTheme="minorHAnsi"/>
                <w:b/>
              </w:rPr>
            </w:pPr>
            <w:r w:rsidRPr="00296D0C">
              <w:rPr>
                <w:b/>
              </w:rPr>
              <w:t>Kurtosis</w:t>
            </w:r>
          </w:p>
        </w:tc>
        <w:tc>
          <w:tcPr>
            <w:tcW w:w="118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A1D929" w14:textId="77777777" w:rsidR="00D41B61" w:rsidRPr="00296D0C" w:rsidRDefault="00D41B61" w:rsidP="00300599">
            <w:pPr>
              <w:spacing w:after="0" w:line="360" w:lineRule="auto"/>
              <w:rPr>
                <w:rFonts w:eastAsiaTheme="minorHAnsi"/>
                <w:b/>
              </w:rPr>
            </w:pPr>
            <w:r w:rsidRPr="00296D0C">
              <w:rPr>
                <w:b/>
              </w:rPr>
              <w:t>Skewness</w:t>
            </w:r>
          </w:p>
        </w:tc>
        <w:tc>
          <w:tcPr>
            <w:tcW w:w="12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114EF3B" w14:textId="77777777" w:rsidR="00D41B61" w:rsidRPr="00296D0C" w:rsidRDefault="00D41B61" w:rsidP="00300599">
            <w:pPr>
              <w:spacing w:after="0" w:line="360" w:lineRule="auto"/>
              <w:rPr>
                <w:rFonts w:eastAsiaTheme="minorHAnsi"/>
                <w:b/>
              </w:rPr>
            </w:pPr>
            <w:r w:rsidRPr="00296D0C">
              <w:rPr>
                <w:b/>
              </w:rPr>
              <w:t>Inter item correlation range &amp; mean</w:t>
            </w:r>
          </w:p>
        </w:tc>
        <w:tc>
          <w:tcPr>
            <w:tcW w:w="12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B2A95A8" w14:textId="77777777" w:rsidR="00D41B61" w:rsidRPr="00296D0C" w:rsidRDefault="00D41B61" w:rsidP="00300599">
            <w:pPr>
              <w:spacing w:after="0" w:line="360" w:lineRule="auto"/>
              <w:rPr>
                <w:rFonts w:eastAsiaTheme="minorHAnsi"/>
                <w:b/>
              </w:rPr>
            </w:pPr>
            <w:r w:rsidRPr="00296D0C">
              <w:rPr>
                <w:b/>
              </w:rPr>
              <w:t>Cronbach’s Alpha</w:t>
            </w:r>
          </w:p>
        </w:tc>
      </w:tr>
      <w:tr w:rsidR="00D41B61" w:rsidRPr="00296D0C" w14:paraId="06BAA720" w14:textId="77777777" w:rsidTr="005C3553">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E80C79" w14:textId="77777777" w:rsidR="00D41B61" w:rsidRPr="00296D0C" w:rsidRDefault="00D41B61" w:rsidP="00300599">
            <w:pPr>
              <w:spacing w:after="0" w:line="360" w:lineRule="auto"/>
              <w:rPr>
                <w:rFonts w:eastAsiaTheme="minorHAnsi"/>
              </w:rPr>
            </w:pPr>
            <w:r w:rsidRPr="00296D0C">
              <w:t xml:space="preserve">‘Knowledge’ (5) </w:t>
            </w:r>
          </w:p>
        </w:tc>
        <w:tc>
          <w:tcPr>
            <w:tcW w:w="1098" w:type="dxa"/>
            <w:tcBorders>
              <w:top w:val="nil"/>
              <w:left w:val="nil"/>
              <w:bottom w:val="single" w:sz="8" w:space="0" w:color="auto"/>
              <w:right w:val="single" w:sz="8" w:space="0" w:color="auto"/>
            </w:tcBorders>
            <w:tcMar>
              <w:top w:w="0" w:type="dxa"/>
              <w:left w:w="108" w:type="dxa"/>
              <w:bottom w:w="0" w:type="dxa"/>
              <w:right w:w="108" w:type="dxa"/>
            </w:tcMar>
            <w:hideMark/>
          </w:tcPr>
          <w:p w14:paraId="30333003" w14:textId="77777777" w:rsidR="00D41B61" w:rsidRPr="00296D0C" w:rsidRDefault="00D41B61" w:rsidP="00300599">
            <w:pPr>
              <w:spacing w:after="0" w:line="360" w:lineRule="auto"/>
              <w:rPr>
                <w:rFonts w:eastAsiaTheme="minorHAnsi"/>
              </w:rPr>
            </w:pPr>
            <w:r w:rsidRPr="00296D0C">
              <w:t>2 to 20</w:t>
            </w:r>
          </w:p>
        </w:tc>
        <w:tc>
          <w:tcPr>
            <w:tcW w:w="735" w:type="dxa"/>
            <w:tcBorders>
              <w:top w:val="nil"/>
              <w:left w:val="nil"/>
              <w:bottom w:val="single" w:sz="8" w:space="0" w:color="auto"/>
              <w:right w:val="single" w:sz="8" w:space="0" w:color="auto"/>
            </w:tcBorders>
            <w:tcMar>
              <w:top w:w="0" w:type="dxa"/>
              <w:left w:w="108" w:type="dxa"/>
              <w:bottom w:w="0" w:type="dxa"/>
              <w:right w:w="108" w:type="dxa"/>
            </w:tcMar>
            <w:hideMark/>
          </w:tcPr>
          <w:p w14:paraId="36C5A374" w14:textId="77777777" w:rsidR="00D41B61" w:rsidRPr="00296D0C" w:rsidRDefault="00D41B61" w:rsidP="00300599">
            <w:pPr>
              <w:spacing w:after="0" w:line="360" w:lineRule="auto"/>
              <w:rPr>
                <w:rFonts w:eastAsiaTheme="minorHAnsi"/>
              </w:rPr>
            </w:pPr>
            <w:r w:rsidRPr="00296D0C">
              <w:t>10.49</w:t>
            </w:r>
          </w:p>
        </w:tc>
        <w:tc>
          <w:tcPr>
            <w:tcW w:w="718" w:type="dxa"/>
            <w:tcBorders>
              <w:top w:val="nil"/>
              <w:left w:val="nil"/>
              <w:bottom w:val="single" w:sz="8" w:space="0" w:color="auto"/>
              <w:right w:val="single" w:sz="8" w:space="0" w:color="auto"/>
            </w:tcBorders>
            <w:tcMar>
              <w:top w:w="0" w:type="dxa"/>
              <w:left w:w="108" w:type="dxa"/>
              <w:bottom w:w="0" w:type="dxa"/>
              <w:right w:w="108" w:type="dxa"/>
            </w:tcMar>
            <w:hideMark/>
          </w:tcPr>
          <w:p w14:paraId="571C741A" w14:textId="77777777" w:rsidR="00D41B61" w:rsidRPr="00296D0C" w:rsidRDefault="00D41B61" w:rsidP="00300599">
            <w:pPr>
              <w:spacing w:after="0" w:line="360" w:lineRule="auto"/>
              <w:rPr>
                <w:rFonts w:eastAsiaTheme="minorHAnsi"/>
              </w:rPr>
            </w:pPr>
            <w:r w:rsidRPr="00296D0C">
              <w:t>3.18</w:t>
            </w:r>
          </w:p>
        </w:tc>
        <w:tc>
          <w:tcPr>
            <w:tcW w:w="938" w:type="dxa"/>
            <w:tcBorders>
              <w:top w:val="nil"/>
              <w:left w:val="nil"/>
              <w:bottom w:val="single" w:sz="8" w:space="0" w:color="auto"/>
              <w:right w:val="single" w:sz="8" w:space="0" w:color="auto"/>
            </w:tcBorders>
            <w:tcMar>
              <w:top w:w="0" w:type="dxa"/>
              <w:left w:w="108" w:type="dxa"/>
              <w:bottom w:w="0" w:type="dxa"/>
              <w:right w:w="108" w:type="dxa"/>
            </w:tcMar>
            <w:hideMark/>
          </w:tcPr>
          <w:p w14:paraId="799EF6EA" w14:textId="77777777" w:rsidR="00D41B61" w:rsidRPr="00296D0C" w:rsidRDefault="00D41B61" w:rsidP="00300599">
            <w:pPr>
              <w:spacing w:after="0" w:line="360" w:lineRule="auto"/>
              <w:rPr>
                <w:rFonts w:eastAsiaTheme="minorHAnsi"/>
              </w:rPr>
            </w:pPr>
            <w:r w:rsidRPr="00296D0C">
              <w:t>-0.26</w:t>
            </w:r>
          </w:p>
        </w:tc>
        <w:tc>
          <w:tcPr>
            <w:tcW w:w="1183" w:type="dxa"/>
            <w:tcBorders>
              <w:top w:val="nil"/>
              <w:left w:val="nil"/>
              <w:bottom w:val="single" w:sz="8" w:space="0" w:color="auto"/>
              <w:right w:val="single" w:sz="8" w:space="0" w:color="auto"/>
            </w:tcBorders>
            <w:tcMar>
              <w:top w:w="0" w:type="dxa"/>
              <w:left w:w="108" w:type="dxa"/>
              <w:bottom w:w="0" w:type="dxa"/>
              <w:right w:w="108" w:type="dxa"/>
            </w:tcMar>
            <w:hideMark/>
          </w:tcPr>
          <w:p w14:paraId="6273574E" w14:textId="77777777" w:rsidR="00D41B61" w:rsidRPr="00296D0C" w:rsidRDefault="00D41B61" w:rsidP="00300599">
            <w:pPr>
              <w:spacing w:after="0" w:line="360" w:lineRule="auto"/>
              <w:rPr>
                <w:rFonts w:eastAsiaTheme="minorHAnsi"/>
              </w:rPr>
            </w:pPr>
            <w:r w:rsidRPr="00296D0C">
              <w:t>-0.05</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14:paraId="7DE9458A" w14:textId="77777777" w:rsidR="00D41B61" w:rsidRPr="00296D0C" w:rsidRDefault="00D41B61" w:rsidP="00300599">
            <w:pPr>
              <w:spacing w:after="0" w:line="360" w:lineRule="auto"/>
              <w:rPr>
                <w:rFonts w:eastAsiaTheme="minorHAnsi"/>
              </w:rPr>
            </w:pPr>
            <w:r w:rsidRPr="00296D0C">
              <w:t>NA</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14:paraId="791DC926" w14:textId="77777777" w:rsidR="00D41B61" w:rsidRPr="00296D0C" w:rsidRDefault="00D41B61" w:rsidP="00300599">
            <w:pPr>
              <w:spacing w:after="0" w:line="360" w:lineRule="auto"/>
              <w:rPr>
                <w:rFonts w:eastAsiaTheme="minorHAnsi"/>
              </w:rPr>
            </w:pPr>
            <w:r w:rsidRPr="00296D0C">
              <w:t>NA</w:t>
            </w:r>
          </w:p>
        </w:tc>
      </w:tr>
      <w:tr w:rsidR="00D41B61" w:rsidRPr="00296D0C" w14:paraId="1F7557D5" w14:textId="77777777" w:rsidTr="00300599">
        <w:trPr>
          <w:trHeight w:val="842"/>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AA34E4" w14:textId="77777777" w:rsidR="00D41B61" w:rsidRPr="00296D0C" w:rsidRDefault="00D41B61" w:rsidP="00300599">
            <w:pPr>
              <w:spacing w:after="0" w:line="360" w:lineRule="auto"/>
              <w:rPr>
                <w:rFonts w:eastAsiaTheme="minorHAnsi"/>
              </w:rPr>
            </w:pPr>
            <w:r w:rsidRPr="00296D0C">
              <w:t xml:space="preserve">‘Confidence &amp; Motivation’ (9) </w:t>
            </w:r>
          </w:p>
        </w:tc>
        <w:tc>
          <w:tcPr>
            <w:tcW w:w="1098" w:type="dxa"/>
            <w:tcBorders>
              <w:top w:val="nil"/>
              <w:left w:val="nil"/>
              <w:bottom w:val="single" w:sz="8" w:space="0" w:color="auto"/>
              <w:right w:val="single" w:sz="8" w:space="0" w:color="auto"/>
            </w:tcBorders>
            <w:tcMar>
              <w:top w:w="0" w:type="dxa"/>
              <w:left w:w="108" w:type="dxa"/>
              <w:bottom w:w="0" w:type="dxa"/>
              <w:right w:w="108" w:type="dxa"/>
            </w:tcMar>
            <w:hideMark/>
          </w:tcPr>
          <w:p w14:paraId="39BBE67F" w14:textId="77777777" w:rsidR="00D41B61" w:rsidRPr="00296D0C" w:rsidRDefault="00D41B61" w:rsidP="00300599">
            <w:pPr>
              <w:spacing w:after="0" w:line="360" w:lineRule="auto"/>
              <w:rPr>
                <w:rFonts w:eastAsiaTheme="minorHAnsi"/>
              </w:rPr>
            </w:pPr>
            <w:r w:rsidRPr="00296D0C">
              <w:t>9 to 36</w:t>
            </w:r>
          </w:p>
        </w:tc>
        <w:tc>
          <w:tcPr>
            <w:tcW w:w="735" w:type="dxa"/>
            <w:tcBorders>
              <w:top w:val="nil"/>
              <w:left w:val="nil"/>
              <w:bottom w:val="single" w:sz="8" w:space="0" w:color="auto"/>
              <w:right w:val="single" w:sz="8" w:space="0" w:color="auto"/>
            </w:tcBorders>
            <w:tcMar>
              <w:top w:w="0" w:type="dxa"/>
              <w:left w:w="108" w:type="dxa"/>
              <w:bottom w:w="0" w:type="dxa"/>
              <w:right w:w="108" w:type="dxa"/>
            </w:tcMar>
            <w:hideMark/>
          </w:tcPr>
          <w:p w14:paraId="78865D8A" w14:textId="77777777" w:rsidR="00D41B61" w:rsidRPr="00296D0C" w:rsidRDefault="00D41B61" w:rsidP="00300599">
            <w:pPr>
              <w:spacing w:after="0" w:line="360" w:lineRule="auto"/>
              <w:rPr>
                <w:rFonts w:eastAsiaTheme="minorHAnsi"/>
              </w:rPr>
            </w:pPr>
            <w:r w:rsidRPr="00296D0C">
              <w:t>24.21</w:t>
            </w:r>
          </w:p>
        </w:tc>
        <w:tc>
          <w:tcPr>
            <w:tcW w:w="718" w:type="dxa"/>
            <w:tcBorders>
              <w:top w:val="nil"/>
              <w:left w:val="nil"/>
              <w:bottom w:val="single" w:sz="8" w:space="0" w:color="auto"/>
              <w:right w:val="single" w:sz="8" w:space="0" w:color="auto"/>
            </w:tcBorders>
            <w:tcMar>
              <w:top w:w="0" w:type="dxa"/>
              <w:left w:w="108" w:type="dxa"/>
              <w:bottom w:w="0" w:type="dxa"/>
              <w:right w:w="108" w:type="dxa"/>
            </w:tcMar>
            <w:hideMark/>
          </w:tcPr>
          <w:p w14:paraId="55BF7B4E" w14:textId="77777777" w:rsidR="00D41B61" w:rsidRPr="00296D0C" w:rsidRDefault="00D41B61" w:rsidP="00300599">
            <w:pPr>
              <w:spacing w:after="0" w:line="360" w:lineRule="auto"/>
              <w:rPr>
                <w:rFonts w:eastAsiaTheme="minorHAnsi"/>
              </w:rPr>
            </w:pPr>
            <w:r w:rsidRPr="00296D0C">
              <w:t>5.79</w:t>
            </w:r>
          </w:p>
        </w:tc>
        <w:tc>
          <w:tcPr>
            <w:tcW w:w="938" w:type="dxa"/>
            <w:tcBorders>
              <w:top w:val="nil"/>
              <w:left w:val="nil"/>
              <w:bottom w:val="single" w:sz="8" w:space="0" w:color="auto"/>
              <w:right w:val="single" w:sz="8" w:space="0" w:color="auto"/>
            </w:tcBorders>
            <w:tcMar>
              <w:top w:w="0" w:type="dxa"/>
              <w:left w:w="108" w:type="dxa"/>
              <w:bottom w:w="0" w:type="dxa"/>
              <w:right w:w="108" w:type="dxa"/>
            </w:tcMar>
            <w:hideMark/>
          </w:tcPr>
          <w:p w14:paraId="2DEA4910" w14:textId="77777777" w:rsidR="00D41B61" w:rsidRPr="00296D0C" w:rsidRDefault="00D41B61" w:rsidP="00300599">
            <w:pPr>
              <w:spacing w:after="0" w:line="360" w:lineRule="auto"/>
              <w:rPr>
                <w:rFonts w:eastAsiaTheme="minorHAnsi"/>
              </w:rPr>
            </w:pPr>
            <w:r w:rsidRPr="00296D0C">
              <w:t>-0.49</w:t>
            </w:r>
          </w:p>
        </w:tc>
        <w:tc>
          <w:tcPr>
            <w:tcW w:w="1183" w:type="dxa"/>
            <w:tcBorders>
              <w:top w:val="nil"/>
              <w:left w:val="nil"/>
              <w:bottom w:val="single" w:sz="8" w:space="0" w:color="auto"/>
              <w:right w:val="single" w:sz="8" w:space="0" w:color="auto"/>
            </w:tcBorders>
            <w:tcMar>
              <w:top w:w="0" w:type="dxa"/>
              <w:left w:w="108" w:type="dxa"/>
              <w:bottom w:w="0" w:type="dxa"/>
              <w:right w:w="108" w:type="dxa"/>
            </w:tcMar>
            <w:hideMark/>
          </w:tcPr>
          <w:p w14:paraId="1001A99B" w14:textId="77777777" w:rsidR="00D41B61" w:rsidRPr="00296D0C" w:rsidRDefault="00D41B61" w:rsidP="00300599">
            <w:pPr>
              <w:spacing w:after="0" w:line="360" w:lineRule="auto"/>
              <w:rPr>
                <w:rFonts w:eastAsiaTheme="minorHAnsi"/>
              </w:rPr>
            </w:pPr>
            <w:r w:rsidRPr="00296D0C">
              <w:t>-0.29</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14:paraId="2AD45B07" w14:textId="77777777" w:rsidR="00D41B61" w:rsidRPr="00296D0C" w:rsidRDefault="00D41B61" w:rsidP="00300599">
            <w:pPr>
              <w:spacing w:after="0" w:line="360" w:lineRule="auto"/>
              <w:rPr>
                <w:rFonts w:eastAsiaTheme="minorHAnsi"/>
              </w:rPr>
            </w:pPr>
            <w:r w:rsidRPr="00296D0C">
              <w:t>0.21-0.65</w:t>
            </w:r>
          </w:p>
          <w:p w14:paraId="2FB4EC78" w14:textId="77777777" w:rsidR="00D41B61" w:rsidRPr="00296D0C" w:rsidRDefault="00D41B61" w:rsidP="00300599">
            <w:pPr>
              <w:spacing w:after="0" w:line="360" w:lineRule="auto"/>
              <w:rPr>
                <w:rFonts w:eastAsiaTheme="minorHAnsi"/>
              </w:rPr>
            </w:pPr>
            <w:r w:rsidRPr="00296D0C">
              <w:t>0.35</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14:paraId="4AE071AA" w14:textId="77777777" w:rsidR="00D41B61" w:rsidRPr="00296D0C" w:rsidRDefault="00D41B61" w:rsidP="00300599">
            <w:pPr>
              <w:spacing w:after="0" w:line="360" w:lineRule="auto"/>
              <w:rPr>
                <w:rFonts w:eastAsiaTheme="minorHAnsi"/>
              </w:rPr>
            </w:pPr>
            <w:r w:rsidRPr="00296D0C">
              <w:t>0.83</w:t>
            </w:r>
          </w:p>
        </w:tc>
      </w:tr>
      <w:tr w:rsidR="00D41B61" w:rsidRPr="00296D0C" w14:paraId="7CEC7D93" w14:textId="77777777" w:rsidTr="00300599">
        <w:trPr>
          <w:trHeight w:val="658"/>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B74E62" w14:textId="77777777" w:rsidR="00D41B61" w:rsidRPr="00296D0C" w:rsidRDefault="00D41B61" w:rsidP="00300599">
            <w:pPr>
              <w:spacing w:after="0" w:line="360" w:lineRule="auto"/>
              <w:rPr>
                <w:rFonts w:eastAsiaTheme="minorHAnsi"/>
              </w:rPr>
            </w:pPr>
            <w:r w:rsidRPr="00296D0C">
              <w:t>‘Peer Norms’ (9)</w:t>
            </w:r>
          </w:p>
        </w:tc>
        <w:tc>
          <w:tcPr>
            <w:tcW w:w="1098" w:type="dxa"/>
            <w:tcBorders>
              <w:top w:val="nil"/>
              <w:left w:val="nil"/>
              <w:bottom w:val="single" w:sz="8" w:space="0" w:color="auto"/>
              <w:right w:val="single" w:sz="8" w:space="0" w:color="auto"/>
            </w:tcBorders>
            <w:tcMar>
              <w:top w:w="0" w:type="dxa"/>
              <w:left w:w="108" w:type="dxa"/>
              <w:bottom w:w="0" w:type="dxa"/>
              <w:right w:w="108" w:type="dxa"/>
            </w:tcMar>
            <w:hideMark/>
          </w:tcPr>
          <w:p w14:paraId="5A46F4CB" w14:textId="77777777" w:rsidR="00D41B61" w:rsidRPr="00296D0C" w:rsidRDefault="00D41B61" w:rsidP="00300599">
            <w:pPr>
              <w:spacing w:after="0" w:line="360" w:lineRule="auto"/>
              <w:rPr>
                <w:rFonts w:eastAsiaTheme="minorHAnsi"/>
              </w:rPr>
            </w:pPr>
            <w:r w:rsidRPr="00296D0C">
              <w:t>7 to 30</w:t>
            </w:r>
          </w:p>
        </w:tc>
        <w:tc>
          <w:tcPr>
            <w:tcW w:w="735" w:type="dxa"/>
            <w:tcBorders>
              <w:top w:val="nil"/>
              <w:left w:val="nil"/>
              <w:bottom w:val="single" w:sz="8" w:space="0" w:color="auto"/>
              <w:right w:val="single" w:sz="8" w:space="0" w:color="auto"/>
            </w:tcBorders>
            <w:tcMar>
              <w:top w:w="0" w:type="dxa"/>
              <w:left w:w="108" w:type="dxa"/>
              <w:bottom w:w="0" w:type="dxa"/>
              <w:right w:w="108" w:type="dxa"/>
            </w:tcMar>
            <w:hideMark/>
          </w:tcPr>
          <w:p w14:paraId="6F29FEDD" w14:textId="77777777" w:rsidR="00D41B61" w:rsidRPr="00296D0C" w:rsidRDefault="00D41B61" w:rsidP="00300599">
            <w:pPr>
              <w:spacing w:after="0" w:line="360" w:lineRule="auto"/>
              <w:rPr>
                <w:rFonts w:eastAsiaTheme="minorHAnsi"/>
              </w:rPr>
            </w:pPr>
            <w:r w:rsidRPr="00296D0C">
              <w:t>19.55</w:t>
            </w:r>
          </w:p>
        </w:tc>
        <w:tc>
          <w:tcPr>
            <w:tcW w:w="718" w:type="dxa"/>
            <w:tcBorders>
              <w:top w:val="nil"/>
              <w:left w:val="nil"/>
              <w:bottom w:val="single" w:sz="8" w:space="0" w:color="auto"/>
              <w:right w:val="single" w:sz="8" w:space="0" w:color="auto"/>
            </w:tcBorders>
            <w:tcMar>
              <w:top w:w="0" w:type="dxa"/>
              <w:left w:w="108" w:type="dxa"/>
              <w:bottom w:w="0" w:type="dxa"/>
              <w:right w:w="108" w:type="dxa"/>
            </w:tcMar>
            <w:hideMark/>
          </w:tcPr>
          <w:p w14:paraId="39234C70" w14:textId="77777777" w:rsidR="00D41B61" w:rsidRPr="00296D0C" w:rsidRDefault="00D41B61" w:rsidP="00300599">
            <w:pPr>
              <w:spacing w:after="0" w:line="360" w:lineRule="auto"/>
              <w:rPr>
                <w:rFonts w:eastAsiaTheme="minorHAnsi"/>
              </w:rPr>
            </w:pPr>
            <w:r w:rsidRPr="00296D0C">
              <w:t>4.25</w:t>
            </w:r>
          </w:p>
        </w:tc>
        <w:tc>
          <w:tcPr>
            <w:tcW w:w="938" w:type="dxa"/>
            <w:tcBorders>
              <w:top w:val="nil"/>
              <w:left w:val="nil"/>
              <w:bottom w:val="single" w:sz="8" w:space="0" w:color="auto"/>
              <w:right w:val="single" w:sz="8" w:space="0" w:color="auto"/>
            </w:tcBorders>
            <w:tcMar>
              <w:top w:w="0" w:type="dxa"/>
              <w:left w:w="108" w:type="dxa"/>
              <w:bottom w:w="0" w:type="dxa"/>
              <w:right w:w="108" w:type="dxa"/>
            </w:tcMar>
            <w:hideMark/>
          </w:tcPr>
          <w:p w14:paraId="1A382AC0" w14:textId="77777777" w:rsidR="00D41B61" w:rsidRPr="00296D0C" w:rsidRDefault="00D41B61" w:rsidP="00300599">
            <w:pPr>
              <w:spacing w:after="0" w:line="360" w:lineRule="auto"/>
              <w:rPr>
                <w:rFonts w:eastAsiaTheme="minorHAnsi"/>
              </w:rPr>
            </w:pPr>
            <w:r w:rsidRPr="00296D0C">
              <w:t>-0.32</w:t>
            </w:r>
          </w:p>
        </w:tc>
        <w:tc>
          <w:tcPr>
            <w:tcW w:w="1183" w:type="dxa"/>
            <w:tcBorders>
              <w:top w:val="nil"/>
              <w:left w:val="nil"/>
              <w:bottom w:val="single" w:sz="8" w:space="0" w:color="auto"/>
              <w:right w:val="single" w:sz="8" w:space="0" w:color="auto"/>
            </w:tcBorders>
            <w:tcMar>
              <w:top w:w="0" w:type="dxa"/>
              <w:left w:w="108" w:type="dxa"/>
              <w:bottom w:w="0" w:type="dxa"/>
              <w:right w:w="108" w:type="dxa"/>
            </w:tcMar>
            <w:hideMark/>
          </w:tcPr>
          <w:p w14:paraId="77CCB4DB" w14:textId="77777777" w:rsidR="00D41B61" w:rsidRPr="00296D0C" w:rsidRDefault="00D41B61" w:rsidP="00300599">
            <w:pPr>
              <w:spacing w:after="0" w:line="360" w:lineRule="auto"/>
              <w:rPr>
                <w:rFonts w:eastAsiaTheme="minorHAnsi"/>
              </w:rPr>
            </w:pPr>
            <w:r w:rsidRPr="00296D0C">
              <w:t>-0.23</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14:paraId="03431CBD" w14:textId="77777777" w:rsidR="00D41B61" w:rsidRPr="00296D0C" w:rsidRDefault="00D41B61" w:rsidP="00300599">
            <w:pPr>
              <w:spacing w:after="0" w:line="360" w:lineRule="auto"/>
              <w:rPr>
                <w:rFonts w:eastAsiaTheme="minorHAnsi"/>
              </w:rPr>
            </w:pPr>
            <w:r w:rsidRPr="00296D0C">
              <w:t>0.00-0.55</w:t>
            </w:r>
          </w:p>
          <w:p w14:paraId="40B236C8" w14:textId="77777777" w:rsidR="00D41B61" w:rsidRPr="00296D0C" w:rsidRDefault="00D41B61" w:rsidP="00300599">
            <w:pPr>
              <w:spacing w:after="0" w:line="360" w:lineRule="auto"/>
              <w:rPr>
                <w:rFonts w:eastAsiaTheme="minorHAnsi"/>
              </w:rPr>
            </w:pPr>
            <w:r w:rsidRPr="00296D0C">
              <w:t>0.21</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14:paraId="0FEC7260" w14:textId="77777777" w:rsidR="00D41B61" w:rsidRPr="00296D0C" w:rsidRDefault="00D41B61" w:rsidP="00300599">
            <w:pPr>
              <w:spacing w:after="0" w:line="360" w:lineRule="auto"/>
              <w:rPr>
                <w:rFonts w:eastAsiaTheme="minorHAnsi"/>
              </w:rPr>
            </w:pPr>
            <w:r w:rsidRPr="00296D0C">
              <w:t>0.70</w:t>
            </w:r>
          </w:p>
        </w:tc>
      </w:tr>
      <w:tr w:rsidR="00D41B61" w:rsidRPr="00296D0C" w14:paraId="10DA6653" w14:textId="77777777" w:rsidTr="005C3553">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9A7328" w14:textId="77777777" w:rsidR="00D41B61" w:rsidRPr="00296D0C" w:rsidRDefault="00D41B61" w:rsidP="00300599">
            <w:pPr>
              <w:spacing w:after="0" w:line="360" w:lineRule="auto"/>
              <w:rPr>
                <w:rFonts w:eastAsiaTheme="minorHAnsi"/>
              </w:rPr>
            </w:pPr>
            <w:r w:rsidRPr="00296D0C">
              <w:t>‘Family Approval /  Behaviours &amp; Child Attitudes’ (8)</w:t>
            </w:r>
          </w:p>
        </w:tc>
        <w:tc>
          <w:tcPr>
            <w:tcW w:w="1098" w:type="dxa"/>
            <w:tcBorders>
              <w:top w:val="nil"/>
              <w:left w:val="nil"/>
              <w:bottom w:val="single" w:sz="8" w:space="0" w:color="auto"/>
              <w:right w:val="single" w:sz="8" w:space="0" w:color="auto"/>
            </w:tcBorders>
            <w:tcMar>
              <w:top w:w="0" w:type="dxa"/>
              <w:left w:w="108" w:type="dxa"/>
              <w:bottom w:w="0" w:type="dxa"/>
              <w:right w:w="108" w:type="dxa"/>
            </w:tcMar>
            <w:hideMark/>
          </w:tcPr>
          <w:p w14:paraId="1B4077A9" w14:textId="77777777" w:rsidR="00D41B61" w:rsidRPr="00296D0C" w:rsidRDefault="00D41B61" w:rsidP="00300599">
            <w:pPr>
              <w:spacing w:after="0" w:line="360" w:lineRule="auto"/>
              <w:rPr>
                <w:rFonts w:eastAsiaTheme="minorHAnsi"/>
              </w:rPr>
            </w:pPr>
            <w:r w:rsidRPr="00296D0C">
              <w:t>9 to 36</w:t>
            </w:r>
          </w:p>
        </w:tc>
        <w:tc>
          <w:tcPr>
            <w:tcW w:w="735" w:type="dxa"/>
            <w:tcBorders>
              <w:top w:val="nil"/>
              <w:left w:val="nil"/>
              <w:bottom w:val="single" w:sz="8" w:space="0" w:color="auto"/>
              <w:right w:val="single" w:sz="8" w:space="0" w:color="auto"/>
            </w:tcBorders>
            <w:tcMar>
              <w:top w:w="0" w:type="dxa"/>
              <w:left w:w="108" w:type="dxa"/>
              <w:bottom w:w="0" w:type="dxa"/>
              <w:right w:w="108" w:type="dxa"/>
            </w:tcMar>
            <w:hideMark/>
          </w:tcPr>
          <w:p w14:paraId="133B55BB" w14:textId="77777777" w:rsidR="00D41B61" w:rsidRPr="00296D0C" w:rsidRDefault="00D41B61" w:rsidP="00300599">
            <w:pPr>
              <w:spacing w:after="0" w:line="360" w:lineRule="auto"/>
              <w:rPr>
                <w:rFonts w:eastAsiaTheme="minorHAnsi"/>
              </w:rPr>
            </w:pPr>
            <w:r w:rsidRPr="00296D0C">
              <w:t>27.22</w:t>
            </w:r>
          </w:p>
        </w:tc>
        <w:tc>
          <w:tcPr>
            <w:tcW w:w="718" w:type="dxa"/>
            <w:tcBorders>
              <w:top w:val="nil"/>
              <w:left w:val="nil"/>
              <w:bottom w:val="single" w:sz="8" w:space="0" w:color="auto"/>
              <w:right w:val="single" w:sz="8" w:space="0" w:color="auto"/>
            </w:tcBorders>
            <w:tcMar>
              <w:top w:w="0" w:type="dxa"/>
              <w:left w:w="108" w:type="dxa"/>
              <w:bottom w:w="0" w:type="dxa"/>
              <w:right w:w="108" w:type="dxa"/>
            </w:tcMar>
            <w:hideMark/>
          </w:tcPr>
          <w:p w14:paraId="66549769" w14:textId="77777777" w:rsidR="00D41B61" w:rsidRPr="00296D0C" w:rsidRDefault="00D41B61" w:rsidP="00300599">
            <w:pPr>
              <w:spacing w:after="0" w:line="360" w:lineRule="auto"/>
              <w:rPr>
                <w:rFonts w:eastAsiaTheme="minorHAnsi"/>
              </w:rPr>
            </w:pPr>
            <w:r w:rsidRPr="00296D0C">
              <w:t>5.80</w:t>
            </w:r>
          </w:p>
        </w:tc>
        <w:tc>
          <w:tcPr>
            <w:tcW w:w="938" w:type="dxa"/>
            <w:tcBorders>
              <w:top w:val="nil"/>
              <w:left w:val="nil"/>
              <w:bottom w:val="single" w:sz="8" w:space="0" w:color="auto"/>
              <w:right w:val="single" w:sz="8" w:space="0" w:color="auto"/>
            </w:tcBorders>
            <w:tcMar>
              <w:top w:w="0" w:type="dxa"/>
              <w:left w:w="108" w:type="dxa"/>
              <w:bottom w:w="0" w:type="dxa"/>
              <w:right w:w="108" w:type="dxa"/>
            </w:tcMar>
            <w:hideMark/>
          </w:tcPr>
          <w:p w14:paraId="564184FD" w14:textId="77777777" w:rsidR="00D41B61" w:rsidRPr="00296D0C" w:rsidRDefault="00D41B61" w:rsidP="00300599">
            <w:pPr>
              <w:spacing w:after="0" w:line="360" w:lineRule="auto"/>
              <w:rPr>
                <w:rFonts w:eastAsiaTheme="minorHAnsi"/>
              </w:rPr>
            </w:pPr>
            <w:r w:rsidRPr="00296D0C">
              <w:t>0.04</w:t>
            </w:r>
          </w:p>
        </w:tc>
        <w:tc>
          <w:tcPr>
            <w:tcW w:w="1183" w:type="dxa"/>
            <w:tcBorders>
              <w:top w:val="nil"/>
              <w:left w:val="nil"/>
              <w:bottom w:val="single" w:sz="8" w:space="0" w:color="auto"/>
              <w:right w:val="single" w:sz="8" w:space="0" w:color="auto"/>
            </w:tcBorders>
            <w:tcMar>
              <w:top w:w="0" w:type="dxa"/>
              <w:left w:w="108" w:type="dxa"/>
              <w:bottom w:w="0" w:type="dxa"/>
              <w:right w:w="108" w:type="dxa"/>
            </w:tcMar>
            <w:hideMark/>
          </w:tcPr>
          <w:p w14:paraId="2A97C2B1" w14:textId="77777777" w:rsidR="00D41B61" w:rsidRPr="00296D0C" w:rsidRDefault="00D41B61" w:rsidP="00300599">
            <w:pPr>
              <w:spacing w:after="0" w:line="360" w:lineRule="auto"/>
              <w:rPr>
                <w:rFonts w:eastAsiaTheme="minorHAnsi"/>
              </w:rPr>
            </w:pPr>
            <w:r w:rsidRPr="00296D0C">
              <w:t>-0.70</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14:paraId="1B14BF8B" w14:textId="77777777" w:rsidR="00D41B61" w:rsidRPr="003E186B" w:rsidRDefault="00D41B61" w:rsidP="00300599">
            <w:pPr>
              <w:spacing w:after="0" w:line="360" w:lineRule="auto"/>
              <w:rPr>
                <w:rFonts w:eastAsiaTheme="minorHAnsi"/>
              </w:rPr>
            </w:pPr>
            <w:r w:rsidRPr="003E186B">
              <w:t>0.17-0.66</w:t>
            </w:r>
          </w:p>
          <w:p w14:paraId="0604F6AA" w14:textId="77777777" w:rsidR="00D41B61" w:rsidRPr="00296D0C" w:rsidRDefault="00D41B61" w:rsidP="00300599">
            <w:pPr>
              <w:spacing w:after="0" w:line="360" w:lineRule="auto"/>
              <w:rPr>
                <w:rFonts w:eastAsiaTheme="minorHAnsi"/>
              </w:rPr>
            </w:pPr>
            <w:r w:rsidRPr="003E186B">
              <w:t>0.35</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14:paraId="07778FF5" w14:textId="77777777" w:rsidR="00D41B61" w:rsidRPr="00296D0C" w:rsidRDefault="00D41B61" w:rsidP="00300599">
            <w:pPr>
              <w:spacing w:after="0" w:line="360" w:lineRule="auto"/>
              <w:rPr>
                <w:rFonts w:eastAsiaTheme="minorHAnsi"/>
              </w:rPr>
            </w:pPr>
            <w:r w:rsidRPr="00296D0C">
              <w:t>0.83</w:t>
            </w:r>
          </w:p>
        </w:tc>
      </w:tr>
      <w:tr w:rsidR="00D41B61" w:rsidRPr="00296D0C" w14:paraId="0FEEBA37" w14:textId="77777777" w:rsidTr="005C3553">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943A19" w14:textId="77777777" w:rsidR="00D41B61" w:rsidRPr="00296D0C" w:rsidRDefault="00D41B61" w:rsidP="00300599">
            <w:pPr>
              <w:spacing w:after="0" w:line="360" w:lineRule="auto"/>
              <w:rPr>
                <w:rFonts w:eastAsiaTheme="minorHAnsi"/>
              </w:rPr>
            </w:pPr>
            <w:r w:rsidRPr="00296D0C">
              <w:t>‘Behaviours &amp; Strategies’ (18)</w:t>
            </w:r>
          </w:p>
        </w:tc>
        <w:tc>
          <w:tcPr>
            <w:tcW w:w="1098" w:type="dxa"/>
            <w:tcBorders>
              <w:top w:val="nil"/>
              <w:left w:val="nil"/>
              <w:bottom w:val="single" w:sz="8" w:space="0" w:color="auto"/>
              <w:right w:val="single" w:sz="8" w:space="0" w:color="auto"/>
            </w:tcBorders>
            <w:tcMar>
              <w:top w:w="0" w:type="dxa"/>
              <w:left w:w="108" w:type="dxa"/>
              <w:bottom w:w="0" w:type="dxa"/>
              <w:right w:w="108" w:type="dxa"/>
            </w:tcMar>
            <w:hideMark/>
          </w:tcPr>
          <w:p w14:paraId="4285908C" w14:textId="77777777" w:rsidR="00D41B61" w:rsidRPr="00296D0C" w:rsidRDefault="00D41B61" w:rsidP="00300599">
            <w:pPr>
              <w:spacing w:after="0" w:line="360" w:lineRule="auto"/>
              <w:rPr>
                <w:rFonts w:eastAsiaTheme="minorHAnsi"/>
              </w:rPr>
            </w:pPr>
            <w:r w:rsidRPr="00296D0C">
              <w:t>18 to 72</w:t>
            </w:r>
          </w:p>
        </w:tc>
        <w:tc>
          <w:tcPr>
            <w:tcW w:w="735" w:type="dxa"/>
            <w:tcBorders>
              <w:top w:val="nil"/>
              <w:left w:val="nil"/>
              <w:bottom w:val="single" w:sz="8" w:space="0" w:color="auto"/>
              <w:right w:val="single" w:sz="8" w:space="0" w:color="auto"/>
            </w:tcBorders>
            <w:tcMar>
              <w:top w:w="0" w:type="dxa"/>
              <w:left w:w="108" w:type="dxa"/>
              <w:bottom w:w="0" w:type="dxa"/>
              <w:right w:w="108" w:type="dxa"/>
            </w:tcMar>
            <w:hideMark/>
          </w:tcPr>
          <w:p w14:paraId="19071EEE" w14:textId="77777777" w:rsidR="00D41B61" w:rsidRPr="00296D0C" w:rsidRDefault="00D41B61" w:rsidP="00300599">
            <w:pPr>
              <w:spacing w:after="0" w:line="360" w:lineRule="auto"/>
              <w:rPr>
                <w:rFonts w:eastAsiaTheme="minorHAnsi"/>
              </w:rPr>
            </w:pPr>
            <w:r w:rsidRPr="00296D0C">
              <w:t>42.33</w:t>
            </w:r>
          </w:p>
        </w:tc>
        <w:tc>
          <w:tcPr>
            <w:tcW w:w="718" w:type="dxa"/>
            <w:tcBorders>
              <w:top w:val="nil"/>
              <w:left w:val="nil"/>
              <w:bottom w:val="single" w:sz="8" w:space="0" w:color="auto"/>
              <w:right w:val="single" w:sz="8" w:space="0" w:color="auto"/>
            </w:tcBorders>
            <w:tcMar>
              <w:top w:w="0" w:type="dxa"/>
              <w:left w:w="108" w:type="dxa"/>
              <w:bottom w:w="0" w:type="dxa"/>
              <w:right w:w="108" w:type="dxa"/>
            </w:tcMar>
            <w:hideMark/>
          </w:tcPr>
          <w:p w14:paraId="413A62A8" w14:textId="77777777" w:rsidR="00D41B61" w:rsidRPr="00296D0C" w:rsidRDefault="00D41B61" w:rsidP="00300599">
            <w:pPr>
              <w:spacing w:after="0" w:line="360" w:lineRule="auto"/>
              <w:rPr>
                <w:rFonts w:eastAsiaTheme="minorHAnsi"/>
              </w:rPr>
            </w:pPr>
            <w:r w:rsidRPr="00296D0C">
              <w:t>11.78</w:t>
            </w:r>
          </w:p>
        </w:tc>
        <w:tc>
          <w:tcPr>
            <w:tcW w:w="938" w:type="dxa"/>
            <w:tcBorders>
              <w:top w:val="nil"/>
              <w:left w:val="nil"/>
              <w:bottom w:val="single" w:sz="8" w:space="0" w:color="auto"/>
              <w:right w:val="single" w:sz="8" w:space="0" w:color="auto"/>
            </w:tcBorders>
            <w:tcMar>
              <w:top w:w="0" w:type="dxa"/>
              <w:left w:w="108" w:type="dxa"/>
              <w:bottom w:w="0" w:type="dxa"/>
              <w:right w:w="108" w:type="dxa"/>
            </w:tcMar>
            <w:hideMark/>
          </w:tcPr>
          <w:p w14:paraId="77E7AAD5" w14:textId="77777777" w:rsidR="00D41B61" w:rsidRPr="00296D0C" w:rsidRDefault="00D41B61" w:rsidP="00300599">
            <w:pPr>
              <w:spacing w:after="0" w:line="360" w:lineRule="auto"/>
              <w:rPr>
                <w:rFonts w:eastAsiaTheme="minorHAnsi"/>
              </w:rPr>
            </w:pPr>
            <w:r w:rsidRPr="00296D0C">
              <w:t>-0.55</w:t>
            </w:r>
          </w:p>
        </w:tc>
        <w:tc>
          <w:tcPr>
            <w:tcW w:w="1183" w:type="dxa"/>
            <w:tcBorders>
              <w:top w:val="nil"/>
              <w:left w:val="nil"/>
              <w:bottom w:val="single" w:sz="8" w:space="0" w:color="auto"/>
              <w:right w:val="single" w:sz="8" w:space="0" w:color="auto"/>
            </w:tcBorders>
            <w:tcMar>
              <w:top w:w="0" w:type="dxa"/>
              <w:left w:w="108" w:type="dxa"/>
              <w:bottom w:w="0" w:type="dxa"/>
              <w:right w:w="108" w:type="dxa"/>
            </w:tcMar>
            <w:hideMark/>
          </w:tcPr>
          <w:p w14:paraId="0D91AB7D" w14:textId="77777777" w:rsidR="00D41B61" w:rsidRPr="00296D0C" w:rsidRDefault="00D41B61" w:rsidP="00300599">
            <w:pPr>
              <w:spacing w:after="0" w:line="360" w:lineRule="auto"/>
              <w:rPr>
                <w:rFonts w:eastAsiaTheme="minorHAnsi"/>
              </w:rPr>
            </w:pPr>
            <w:r w:rsidRPr="00296D0C">
              <w:t>0.16</w:t>
            </w:r>
          </w:p>
        </w:tc>
        <w:tc>
          <w:tcPr>
            <w:tcW w:w="1200" w:type="dxa"/>
            <w:tcBorders>
              <w:top w:val="nil"/>
              <w:left w:val="nil"/>
              <w:bottom w:val="single" w:sz="8" w:space="0" w:color="auto"/>
              <w:right w:val="single" w:sz="8" w:space="0" w:color="auto"/>
            </w:tcBorders>
            <w:tcMar>
              <w:top w:w="0" w:type="dxa"/>
              <w:left w:w="108" w:type="dxa"/>
              <w:bottom w:w="0" w:type="dxa"/>
              <w:right w:w="108" w:type="dxa"/>
            </w:tcMar>
            <w:hideMark/>
          </w:tcPr>
          <w:p w14:paraId="286C8280" w14:textId="77777777" w:rsidR="00D41B61" w:rsidRPr="00296D0C" w:rsidRDefault="00D41B61" w:rsidP="00300599">
            <w:pPr>
              <w:spacing w:after="0" w:line="360" w:lineRule="auto"/>
              <w:rPr>
                <w:rFonts w:eastAsiaTheme="minorHAnsi"/>
              </w:rPr>
            </w:pPr>
            <w:r w:rsidRPr="00296D0C">
              <w:t>0.18-0.68</w:t>
            </w:r>
          </w:p>
          <w:p w14:paraId="65D722CB" w14:textId="77777777" w:rsidR="00D41B61" w:rsidRPr="00296D0C" w:rsidRDefault="00D41B61" w:rsidP="00300599">
            <w:pPr>
              <w:spacing w:after="0" w:line="360" w:lineRule="auto"/>
              <w:rPr>
                <w:rFonts w:eastAsiaTheme="minorHAnsi"/>
              </w:rPr>
            </w:pPr>
            <w:r w:rsidRPr="00296D0C">
              <w:t>0.39</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14:paraId="095EABBA" w14:textId="77777777" w:rsidR="00D41B61" w:rsidRPr="00296D0C" w:rsidRDefault="00D41B61" w:rsidP="00300599">
            <w:pPr>
              <w:spacing w:after="0" w:line="360" w:lineRule="auto"/>
              <w:rPr>
                <w:rFonts w:eastAsiaTheme="minorHAnsi"/>
              </w:rPr>
            </w:pPr>
            <w:r w:rsidRPr="00296D0C">
              <w:t>0.92</w:t>
            </w:r>
          </w:p>
        </w:tc>
      </w:tr>
    </w:tbl>
    <w:p w14:paraId="546A99EF" w14:textId="77777777" w:rsidR="00D41B61" w:rsidRPr="00296D0C" w:rsidRDefault="00D41B61" w:rsidP="00D41B61">
      <w:pPr>
        <w:rPr>
          <w:rFonts w:eastAsiaTheme="minorHAnsi"/>
          <w:lang w:eastAsia="en-US"/>
        </w:rPr>
      </w:pPr>
    </w:p>
    <w:p w14:paraId="18A04A61" w14:textId="300E070C" w:rsidR="00D41B61" w:rsidRPr="00296D0C" w:rsidRDefault="00D41B61" w:rsidP="00D41B61">
      <w:pPr>
        <w:spacing w:after="0" w:line="360" w:lineRule="auto"/>
        <w:rPr>
          <w:rFonts w:eastAsia="Calibri" w:cs="Times New Roman"/>
          <w:i/>
        </w:rPr>
      </w:pPr>
      <w:r w:rsidRPr="00296D0C">
        <w:rPr>
          <w:rFonts w:eastAsia="Calibri" w:cs="Times New Roman"/>
        </w:rPr>
        <w:lastRenderedPageBreak/>
        <w:t xml:space="preserve">Tables </w:t>
      </w:r>
      <w:r w:rsidR="00BB3630" w:rsidRPr="00296D0C">
        <w:rPr>
          <w:rFonts w:eastAsia="Calibri" w:cs="Times New Roman"/>
        </w:rPr>
        <w:t>4</w:t>
      </w:r>
      <w:r w:rsidR="00D80862">
        <w:rPr>
          <w:rFonts w:eastAsia="Calibri" w:cs="Times New Roman"/>
        </w:rPr>
        <w:t>5</w:t>
      </w:r>
      <w:r w:rsidRPr="00296D0C">
        <w:rPr>
          <w:rFonts w:eastAsia="Calibri" w:cs="Times New Roman"/>
        </w:rPr>
        <w:t xml:space="preserve"> and </w:t>
      </w:r>
      <w:r w:rsidR="00BB3630" w:rsidRPr="00296D0C">
        <w:rPr>
          <w:rFonts w:eastAsia="Calibri" w:cs="Times New Roman"/>
        </w:rPr>
        <w:t>4</w:t>
      </w:r>
      <w:r w:rsidR="00D80862">
        <w:rPr>
          <w:rFonts w:eastAsia="Calibri" w:cs="Times New Roman"/>
        </w:rPr>
        <w:t>6</w:t>
      </w:r>
      <w:r w:rsidRPr="00296D0C">
        <w:rPr>
          <w:rFonts w:eastAsia="Calibri" w:cs="Times New Roman"/>
        </w:rPr>
        <w:t xml:space="preserve"> show the correlation coefficients for the five mediating variables at baseline and 12 months, respectively. ‘Knowledge’ had very low correlations, and in one case no correlation, with the other variables. The correlations among the ‘Confidence &amp; Motivation’, ‘Peer Norms’, ‘Family Approval / Behaviours &amp; Child Attitudes’, and ‘Behaviours &amp; Strategies’ variables were small to medium.</w:t>
      </w:r>
    </w:p>
    <w:p w14:paraId="58523BEF" w14:textId="77777777" w:rsidR="00D41B61" w:rsidRPr="00296D0C" w:rsidRDefault="00D41B61" w:rsidP="00D41B61">
      <w:pPr>
        <w:spacing w:after="0" w:line="360" w:lineRule="auto"/>
        <w:rPr>
          <w:rFonts w:eastAsia="Calibri" w:cs="Times New Roman"/>
          <w:i/>
        </w:rPr>
      </w:pPr>
    </w:p>
    <w:p w14:paraId="65D231B7" w14:textId="25313625" w:rsidR="00D41B61" w:rsidRPr="00296D0C" w:rsidRDefault="00D41B61" w:rsidP="00D41B61">
      <w:pPr>
        <w:spacing w:after="0" w:line="360" w:lineRule="auto"/>
        <w:rPr>
          <w:rFonts w:eastAsia="Calibri" w:cs="Times New Roman"/>
          <w:b/>
        </w:rPr>
      </w:pPr>
      <w:r w:rsidRPr="00296D0C">
        <w:rPr>
          <w:rFonts w:eastAsia="Calibri" w:cs="Times New Roman"/>
          <w:b/>
        </w:rPr>
        <w:t>T</w:t>
      </w:r>
      <w:r w:rsidR="00F331F5" w:rsidRPr="00296D0C">
        <w:rPr>
          <w:rFonts w:eastAsia="Calibri" w:cs="Times New Roman"/>
          <w:b/>
        </w:rPr>
        <w:t>ABLE</w:t>
      </w:r>
      <w:r w:rsidRPr="00296D0C">
        <w:rPr>
          <w:rFonts w:eastAsia="Calibri" w:cs="Times New Roman"/>
          <w:b/>
        </w:rPr>
        <w:t xml:space="preserve"> </w:t>
      </w:r>
      <w:r w:rsidR="00BB3630" w:rsidRPr="00296D0C">
        <w:rPr>
          <w:rFonts w:eastAsia="Calibri" w:cs="Times New Roman"/>
          <w:b/>
        </w:rPr>
        <w:t>4</w:t>
      </w:r>
      <w:r w:rsidR="00D80862">
        <w:rPr>
          <w:rFonts w:eastAsia="Calibri" w:cs="Times New Roman"/>
          <w:b/>
        </w:rPr>
        <w:t>5</w:t>
      </w:r>
      <w:r w:rsidRPr="00296D0C">
        <w:rPr>
          <w:rFonts w:eastAsia="Calibri" w:cs="Times New Roman"/>
          <w:b/>
        </w:rPr>
        <w:t xml:space="preserve"> Pearson correlation coefficients of the five composite variables at baseline</w:t>
      </w:r>
    </w:p>
    <w:p w14:paraId="02291EA3" w14:textId="77777777" w:rsidR="00F331F5" w:rsidRPr="00296D0C" w:rsidRDefault="00F331F5" w:rsidP="00D41B61">
      <w:pPr>
        <w:spacing w:after="0" w:line="360" w:lineRule="auto"/>
        <w:rPr>
          <w:rFonts w:eastAsia="Calibri" w:cs="Times New Roman"/>
          <w:b/>
        </w:rPr>
      </w:pPr>
    </w:p>
    <w:tbl>
      <w:tblPr>
        <w:tblStyle w:val="TableGrid"/>
        <w:tblW w:w="0" w:type="auto"/>
        <w:tblLayout w:type="fixed"/>
        <w:tblLook w:val="04A0" w:firstRow="1" w:lastRow="0" w:firstColumn="1" w:lastColumn="0" w:noHBand="0" w:noVBand="1"/>
      </w:tblPr>
      <w:tblGrid>
        <w:gridCol w:w="2943"/>
        <w:gridCol w:w="1418"/>
        <w:gridCol w:w="1559"/>
        <w:gridCol w:w="1276"/>
        <w:gridCol w:w="1984"/>
      </w:tblGrid>
      <w:tr w:rsidR="00D41B61" w:rsidRPr="00296D0C" w14:paraId="74889B6D" w14:textId="77777777" w:rsidTr="005C3553">
        <w:tc>
          <w:tcPr>
            <w:tcW w:w="2943" w:type="dxa"/>
            <w:tcBorders>
              <w:top w:val="single" w:sz="4" w:space="0" w:color="auto"/>
              <w:left w:val="single" w:sz="4" w:space="0" w:color="auto"/>
              <w:bottom w:val="single" w:sz="4" w:space="0" w:color="auto"/>
              <w:right w:val="single" w:sz="4" w:space="0" w:color="auto"/>
            </w:tcBorders>
            <w:hideMark/>
          </w:tcPr>
          <w:p w14:paraId="4BCA16EA" w14:textId="77777777" w:rsidR="00D41B61" w:rsidRPr="00296D0C" w:rsidRDefault="00D41B61" w:rsidP="005C3553">
            <w:pPr>
              <w:rPr>
                <w:rFonts w:eastAsia="Calibri" w:cs="Times New Roman"/>
              </w:rPr>
            </w:pPr>
            <w:r w:rsidRPr="00296D0C">
              <w:rPr>
                <w:rFonts w:eastAsia="Calibri" w:cs="Times New Roman"/>
              </w:rPr>
              <w:t>Variable</w:t>
            </w:r>
          </w:p>
        </w:tc>
        <w:tc>
          <w:tcPr>
            <w:tcW w:w="1418" w:type="dxa"/>
            <w:tcBorders>
              <w:top w:val="single" w:sz="4" w:space="0" w:color="auto"/>
              <w:left w:val="single" w:sz="4" w:space="0" w:color="auto"/>
              <w:bottom w:val="single" w:sz="4" w:space="0" w:color="auto"/>
              <w:right w:val="single" w:sz="4" w:space="0" w:color="auto"/>
            </w:tcBorders>
            <w:hideMark/>
          </w:tcPr>
          <w:p w14:paraId="22DDFC41" w14:textId="77777777" w:rsidR="00D41B61" w:rsidRPr="00296D0C" w:rsidRDefault="00D41B61" w:rsidP="005C3553">
            <w:pPr>
              <w:rPr>
                <w:rFonts w:eastAsia="Calibri" w:cs="Times New Roman"/>
              </w:rPr>
            </w:pPr>
            <w:r w:rsidRPr="00296D0C">
              <w:rPr>
                <w:rFonts w:eastAsia="Calibri" w:cs="Times New Roman"/>
              </w:rPr>
              <w:t>‘Knowledge’</w:t>
            </w:r>
          </w:p>
        </w:tc>
        <w:tc>
          <w:tcPr>
            <w:tcW w:w="1559" w:type="dxa"/>
            <w:tcBorders>
              <w:top w:val="single" w:sz="4" w:space="0" w:color="auto"/>
              <w:left w:val="single" w:sz="4" w:space="0" w:color="auto"/>
              <w:bottom w:val="single" w:sz="4" w:space="0" w:color="auto"/>
              <w:right w:val="single" w:sz="4" w:space="0" w:color="auto"/>
            </w:tcBorders>
            <w:hideMark/>
          </w:tcPr>
          <w:p w14:paraId="39231D02" w14:textId="77777777" w:rsidR="00D41B61" w:rsidRPr="00296D0C" w:rsidRDefault="00D41B61" w:rsidP="005C3553">
            <w:pPr>
              <w:rPr>
                <w:rFonts w:eastAsia="Calibri" w:cs="Times New Roman"/>
              </w:rPr>
            </w:pPr>
            <w:r w:rsidRPr="00296D0C">
              <w:rPr>
                <w:rFonts w:eastAsia="Calibri" w:cs="Times New Roman"/>
              </w:rPr>
              <w:t>‘Confidence &amp; Motivation’</w:t>
            </w:r>
          </w:p>
        </w:tc>
        <w:tc>
          <w:tcPr>
            <w:tcW w:w="1276" w:type="dxa"/>
            <w:tcBorders>
              <w:top w:val="single" w:sz="4" w:space="0" w:color="auto"/>
              <w:left w:val="single" w:sz="4" w:space="0" w:color="auto"/>
              <w:bottom w:val="single" w:sz="4" w:space="0" w:color="auto"/>
              <w:right w:val="single" w:sz="4" w:space="0" w:color="auto"/>
            </w:tcBorders>
            <w:hideMark/>
          </w:tcPr>
          <w:p w14:paraId="131CB5F0" w14:textId="77777777" w:rsidR="00D41B61" w:rsidRPr="00296D0C" w:rsidRDefault="00D41B61" w:rsidP="005C3553">
            <w:pPr>
              <w:rPr>
                <w:rFonts w:eastAsia="Calibri" w:cs="Times New Roman"/>
              </w:rPr>
            </w:pPr>
            <w:r w:rsidRPr="00296D0C">
              <w:rPr>
                <w:rFonts w:eastAsia="Calibri" w:cs="Times New Roman"/>
              </w:rPr>
              <w:t>‘Peer Norms’</w:t>
            </w:r>
          </w:p>
        </w:tc>
        <w:tc>
          <w:tcPr>
            <w:tcW w:w="1984" w:type="dxa"/>
            <w:tcBorders>
              <w:top w:val="single" w:sz="4" w:space="0" w:color="auto"/>
              <w:left w:val="single" w:sz="4" w:space="0" w:color="auto"/>
              <w:bottom w:val="single" w:sz="4" w:space="0" w:color="auto"/>
              <w:right w:val="single" w:sz="4" w:space="0" w:color="auto"/>
            </w:tcBorders>
            <w:hideMark/>
          </w:tcPr>
          <w:p w14:paraId="4F7C745B" w14:textId="77777777" w:rsidR="00D41B61" w:rsidRPr="00296D0C" w:rsidRDefault="00D41B61" w:rsidP="005C3553">
            <w:pPr>
              <w:rPr>
                <w:rFonts w:eastAsia="Calibri" w:cs="Times New Roman"/>
              </w:rPr>
            </w:pPr>
            <w:r w:rsidRPr="00296D0C">
              <w:rPr>
                <w:rFonts w:eastAsia="Calibri" w:cs="Times New Roman"/>
              </w:rPr>
              <w:t>‘Family Approval /  Behaviours &amp; Child Attitudes’</w:t>
            </w:r>
          </w:p>
        </w:tc>
      </w:tr>
      <w:tr w:rsidR="00D41B61" w:rsidRPr="00296D0C" w14:paraId="5D19AACC" w14:textId="77777777" w:rsidTr="005C3553">
        <w:tc>
          <w:tcPr>
            <w:tcW w:w="2943" w:type="dxa"/>
            <w:tcBorders>
              <w:top w:val="single" w:sz="4" w:space="0" w:color="auto"/>
              <w:left w:val="single" w:sz="4" w:space="0" w:color="auto"/>
              <w:bottom w:val="single" w:sz="4" w:space="0" w:color="auto"/>
              <w:right w:val="single" w:sz="4" w:space="0" w:color="auto"/>
            </w:tcBorders>
            <w:hideMark/>
          </w:tcPr>
          <w:p w14:paraId="37BF92AB" w14:textId="77777777" w:rsidR="00D41B61" w:rsidRPr="00296D0C" w:rsidRDefault="00D41B61" w:rsidP="005C3553">
            <w:pPr>
              <w:rPr>
                <w:rFonts w:eastAsia="Calibri" w:cs="Times New Roman"/>
              </w:rPr>
            </w:pPr>
            <w:r w:rsidRPr="00296D0C">
              <w:t xml:space="preserve">‘Confidence &amp; Motivation’ </w:t>
            </w:r>
          </w:p>
        </w:tc>
        <w:tc>
          <w:tcPr>
            <w:tcW w:w="1418" w:type="dxa"/>
            <w:tcBorders>
              <w:top w:val="single" w:sz="4" w:space="0" w:color="auto"/>
              <w:left w:val="single" w:sz="4" w:space="0" w:color="auto"/>
              <w:bottom w:val="single" w:sz="4" w:space="0" w:color="auto"/>
              <w:right w:val="single" w:sz="4" w:space="0" w:color="auto"/>
            </w:tcBorders>
            <w:hideMark/>
          </w:tcPr>
          <w:p w14:paraId="4B6A7D84" w14:textId="77777777" w:rsidR="00D41B61" w:rsidRPr="00296D0C" w:rsidRDefault="00D41B61" w:rsidP="005C3553">
            <w:pPr>
              <w:jc w:val="center"/>
              <w:rPr>
                <w:rFonts w:eastAsia="Calibri" w:cs="Times New Roman"/>
              </w:rPr>
            </w:pPr>
            <w:r w:rsidRPr="00296D0C">
              <w:rPr>
                <w:rFonts w:eastAsia="Calibri" w:cs="Times New Roman"/>
              </w:rPr>
              <w:t>0.06*</w:t>
            </w:r>
          </w:p>
        </w:tc>
        <w:tc>
          <w:tcPr>
            <w:tcW w:w="1559" w:type="dxa"/>
            <w:tcBorders>
              <w:top w:val="single" w:sz="4" w:space="0" w:color="auto"/>
              <w:left w:val="single" w:sz="4" w:space="0" w:color="auto"/>
              <w:bottom w:val="single" w:sz="4" w:space="0" w:color="auto"/>
              <w:right w:val="single" w:sz="4" w:space="0" w:color="auto"/>
            </w:tcBorders>
            <w:hideMark/>
          </w:tcPr>
          <w:p w14:paraId="4F5E1129" w14:textId="77777777" w:rsidR="00D41B61" w:rsidRPr="00296D0C" w:rsidRDefault="00D41B61" w:rsidP="005C3553">
            <w:pPr>
              <w:jc w:val="center"/>
              <w:rPr>
                <w:rFonts w:eastAsia="Calibri" w:cs="Times New Roman"/>
              </w:rPr>
            </w:pPr>
            <w:r w:rsidRPr="00296D0C">
              <w:rPr>
                <w:rFonts w:eastAsia="Calibri" w:cs="Times New Roman"/>
              </w:rPr>
              <w:t>-</w:t>
            </w:r>
          </w:p>
        </w:tc>
        <w:tc>
          <w:tcPr>
            <w:tcW w:w="1276" w:type="dxa"/>
            <w:tcBorders>
              <w:top w:val="single" w:sz="4" w:space="0" w:color="auto"/>
              <w:left w:val="single" w:sz="4" w:space="0" w:color="auto"/>
              <w:bottom w:val="single" w:sz="4" w:space="0" w:color="auto"/>
              <w:right w:val="single" w:sz="4" w:space="0" w:color="auto"/>
            </w:tcBorders>
          </w:tcPr>
          <w:p w14:paraId="66C5346C" w14:textId="77777777" w:rsidR="00D41B61" w:rsidRPr="00296D0C" w:rsidRDefault="00D41B61" w:rsidP="005C3553">
            <w:pPr>
              <w:jc w:val="center"/>
              <w:rPr>
                <w:rFonts w:eastAsia="Calibri" w:cs="Times New Roman"/>
              </w:rPr>
            </w:pPr>
          </w:p>
        </w:tc>
        <w:tc>
          <w:tcPr>
            <w:tcW w:w="1984" w:type="dxa"/>
            <w:tcBorders>
              <w:top w:val="single" w:sz="4" w:space="0" w:color="auto"/>
              <w:left w:val="single" w:sz="4" w:space="0" w:color="auto"/>
              <w:bottom w:val="single" w:sz="4" w:space="0" w:color="auto"/>
              <w:right w:val="single" w:sz="4" w:space="0" w:color="auto"/>
            </w:tcBorders>
          </w:tcPr>
          <w:p w14:paraId="36790DF8" w14:textId="77777777" w:rsidR="00D41B61" w:rsidRPr="00296D0C" w:rsidRDefault="00D41B61" w:rsidP="005C3553">
            <w:pPr>
              <w:jc w:val="center"/>
              <w:rPr>
                <w:rFonts w:eastAsia="Calibri" w:cs="Times New Roman"/>
              </w:rPr>
            </w:pPr>
          </w:p>
        </w:tc>
      </w:tr>
      <w:tr w:rsidR="00D41B61" w:rsidRPr="00296D0C" w14:paraId="6F660634" w14:textId="77777777" w:rsidTr="005C3553">
        <w:tc>
          <w:tcPr>
            <w:tcW w:w="2943" w:type="dxa"/>
            <w:tcBorders>
              <w:top w:val="single" w:sz="4" w:space="0" w:color="auto"/>
              <w:left w:val="single" w:sz="4" w:space="0" w:color="auto"/>
              <w:bottom w:val="single" w:sz="4" w:space="0" w:color="auto"/>
              <w:right w:val="single" w:sz="4" w:space="0" w:color="auto"/>
            </w:tcBorders>
            <w:hideMark/>
          </w:tcPr>
          <w:p w14:paraId="3CBA4DCB" w14:textId="77777777" w:rsidR="00D41B61" w:rsidRPr="00296D0C" w:rsidRDefault="00D41B61" w:rsidP="005C3553">
            <w:pPr>
              <w:rPr>
                <w:rFonts w:eastAsia="Calibri" w:cs="Times New Roman"/>
              </w:rPr>
            </w:pPr>
            <w:r w:rsidRPr="00296D0C">
              <w:t>‘Peer Norms’</w:t>
            </w:r>
          </w:p>
        </w:tc>
        <w:tc>
          <w:tcPr>
            <w:tcW w:w="1418" w:type="dxa"/>
            <w:tcBorders>
              <w:top w:val="single" w:sz="4" w:space="0" w:color="auto"/>
              <w:left w:val="single" w:sz="4" w:space="0" w:color="auto"/>
              <w:bottom w:val="single" w:sz="4" w:space="0" w:color="auto"/>
              <w:right w:val="single" w:sz="4" w:space="0" w:color="auto"/>
            </w:tcBorders>
            <w:hideMark/>
          </w:tcPr>
          <w:p w14:paraId="52473DFC" w14:textId="77777777" w:rsidR="00D41B61" w:rsidRPr="00296D0C" w:rsidRDefault="00D41B61" w:rsidP="005C3553">
            <w:pPr>
              <w:jc w:val="center"/>
              <w:rPr>
                <w:rFonts w:eastAsia="Calibri" w:cs="Times New Roman"/>
              </w:rPr>
            </w:pPr>
            <w:r w:rsidRPr="00296D0C">
              <w:rPr>
                <w:rFonts w:eastAsia="Calibri" w:cs="Times New Roman"/>
              </w:rPr>
              <w:t xml:space="preserve">  0.09**</w:t>
            </w:r>
          </w:p>
        </w:tc>
        <w:tc>
          <w:tcPr>
            <w:tcW w:w="1559" w:type="dxa"/>
            <w:tcBorders>
              <w:top w:val="single" w:sz="4" w:space="0" w:color="auto"/>
              <w:left w:val="single" w:sz="4" w:space="0" w:color="auto"/>
              <w:bottom w:val="single" w:sz="4" w:space="0" w:color="auto"/>
              <w:right w:val="single" w:sz="4" w:space="0" w:color="auto"/>
            </w:tcBorders>
            <w:hideMark/>
          </w:tcPr>
          <w:p w14:paraId="1221D334" w14:textId="77777777" w:rsidR="00D41B61" w:rsidRPr="00296D0C" w:rsidRDefault="00D41B61" w:rsidP="005C3553">
            <w:pPr>
              <w:jc w:val="center"/>
              <w:rPr>
                <w:rFonts w:eastAsia="Calibri" w:cs="Times New Roman"/>
              </w:rPr>
            </w:pPr>
            <w:r w:rsidRPr="00296D0C">
              <w:rPr>
                <w:rFonts w:eastAsia="Calibri" w:cs="Times New Roman"/>
              </w:rPr>
              <w:t>0.37**</w:t>
            </w:r>
          </w:p>
        </w:tc>
        <w:tc>
          <w:tcPr>
            <w:tcW w:w="1276" w:type="dxa"/>
            <w:tcBorders>
              <w:top w:val="single" w:sz="4" w:space="0" w:color="auto"/>
              <w:left w:val="single" w:sz="4" w:space="0" w:color="auto"/>
              <w:bottom w:val="single" w:sz="4" w:space="0" w:color="auto"/>
              <w:right w:val="single" w:sz="4" w:space="0" w:color="auto"/>
            </w:tcBorders>
            <w:hideMark/>
          </w:tcPr>
          <w:p w14:paraId="36B01F86" w14:textId="77777777" w:rsidR="00D41B61" w:rsidRPr="00296D0C" w:rsidRDefault="00D41B61" w:rsidP="005C3553">
            <w:pPr>
              <w:jc w:val="center"/>
              <w:rPr>
                <w:rFonts w:eastAsia="Calibri" w:cs="Times New Roman"/>
              </w:rPr>
            </w:pPr>
            <w:r w:rsidRPr="00296D0C">
              <w:rPr>
                <w:rFonts w:eastAsia="Calibri" w:cs="Times New Roman"/>
              </w:rPr>
              <w:t>-</w:t>
            </w:r>
          </w:p>
        </w:tc>
        <w:tc>
          <w:tcPr>
            <w:tcW w:w="1984" w:type="dxa"/>
            <w:tcBorders>
              <w:top w:val="single" w:sz="4" w:space="0" w:color="auto"/>
              <w:left w:val="single" w:sz="4" w:space="0" w:color="auto"/>
              <w:bottom w:val="single" w:sz="4" w:space="0" w:color="auto"/>
              <w:right w:val="single" w:sz="4" w:space="0" w:color="auto"/>
            </w:tcBorders>
          </w:tcPr>
          <w:p w14:paraId="1DB622E9" w14:textId="77777777" w:rsidR="00D41B61" w:rsidRPr="00296D0C" w:rsidRDefault="00D41B61" w:rsidP="005C3553">
            <w:pPr>
              <w:jc w:val="center"/>
              <w:rPr>
                <w:rFonts w:eastAsia="Calibri" w:cs="Times New Roman"/>
              </w:rPr>
            </w:pPr>
          </w:p>
        </w:tc>
      </w:tr>
      <w:tr w:rsidR="00D41B61" w:rsidRPr="00296D0C" w14:paraId="72FB3F0C" w14:textId="77777777" w:rsidTr="005C3553">
        <w:tc>
          <w:tcPr>
            <w:tcW w:w="2943" w:type="dxa"/>
            <w:tcBorders>
              <w:top w:val="single" w:sz="4" w:space="0" w:color="auto"/>
              <w:left w:val="single" w:sz="4" w:space="0" w:color="auto"/>
              <w:bottom w:val="single" w:sz="4" w:space="0" w:color="auto"/>
              <w:right w:val="single" w:sz="4" w:space="0" w:color="auto"/>
            </w:tcBorders>
            <w:hideMark/>
          </w:tcPr>
          <w:p w14:paraId="3808F69F" w14:textId="77777777" w:rsidR="00D41B61" w:rsidRPr="00296D0C" w:rsidRDefault="00D41B61" w:rsidP="005C3553">
            <w:pPr>
              <w:rPr>
                <w:rFonts w:eastAsia="Calibri" w:cs="Times New Roman"/>
              </w:rPr>
            </w:pPr>
            <w:r w:rsidRPr="00296D0C">
              <w:t>‘Family Approval /  Behaviours &amp; Child Attitudes’</w:t>
            </w:r>
          </w:p>
        </w:tc>
        <w:tc>
          <w:tcPr>
            <w:tcW w:w="1418" w:type="dxa"/>
            <w:tcBorders>
              <w:top w:val="single" w:sz="4" w:space="0" w:color="auto"/>
              <w:left w:val="single" w:sz="4" w:space="0" w:color="auto"/>
              <w:bottom w:val="single" w:sz="4" w:space="0" w:color="auto"/>
              <w:right w:val="single" w:sz="4" w:space="0" w:color="auto"/>
            </w:tcBorders>
            <w:hideMark/>
          </w:tcPr>
          <w:p w14:paraId="4AEA03CF" w14:textId="77777777" w:rsidR="00D41B61" w:rsidRPr="00296D0C" w:rsidRDefault="00D41B61" w:rsidP="005C3553">
            <w:pPr>
              <w:jc w:val="center"/>
              <w:rPr>
                <w:rFonts w:eastAsia="Calibri" w:cs="Times New Roman"/>
              </w:rPr>
            </w:pPr>
            <w:r w:rsidRPr="00296D0C">
              <w:rPr>
                <w:rFonts w:eastAsia="Calibri" w:cs="Times New Roman"/>
              </w:rPr>
              <w:t xml:space="preserve">  0.22**</w:t>
            </w:r>
          </w:p>
        </w:tc>
        <w:tc>
          <w:tcPr>
            <w:tcW w:w="1559" w:type="dxa"/>
            <w:tcBorders>
              <w:top w:val="single" w:sz="4" w:space="0" w:color="auto"/>
              <w:left w:val="single" w:sz="4" w:space="0" w:color="auto"/>
              <w:bottom w:val="single" w:sz="4" w:space="0" w:color="auto"/>
              <w:right w:val="single" w:sz="4" w:space="0" w:color="auto"/>
            </w:tcBorders>
            <w:hideMark/>
          </w:tcPr>
          <w:p w14:paraId="0EA0F212" w14:textId="77777777" w:rsidR="00D41B61" w:rsidRPr="00296D0C" w:rsidRDefault="00D41B61" w:rsidP="005C3553">
            <w:pPr>
              <w:jc w:val="center"/>
              <w:rPr>
                <w:rFonts w:eastAsia="Calibri" w:cs="Times New Roman"/>
              </w:rPr>
            </w:pPr>
            <w:r w:rsidRPr="00296D0C">
              <w:rPr>
                <w:rFonts w:eastAsia="Calibri" w:cs="Times New Roman"/>
              </w:rPr>
              <w:t>0.49**</w:t>
            </w:r>
          </w:p>
        </w:tc>
        <w:tc>
          <w:tcPr>
            <w:tcW w:w="1276" w:type="dxa"/>
            <w:tcBorders>
              <w:top w:val="single" w:sz="4" w:space="0" w:color="auto"/>
              <w:left w:val="single" w:sz="4" w:space="0" w:color="auto"/>
              <w:bottom w:val="single" w:sz="4" w:space="0" w:color="auto"/>
              <w:right w:val="single" w:sz="4" w:space="0" w:color="auto"/>
            </w:tcBorders>
            <w:hideMark/>
          </w:tcPr>
          <w:p w14:paraId="4F735629" w14:textId="77777777" w:rsidR="00D41B61" w:rsidRPr="00296D0C" w:rsidRDefault="00D41B61" w:rsidP="005C3553">
            <w:pPr>
              <w:jc w:val="center"/>
              <w:rPr>
                <w:rFonts w:eastAsia="Calibri" w:cs="Times New Roman"/>
              </w:rPr>
            </w:pPr>
            <w:r w:rsidRPr="00296D0C">
              <w:rPr>
                <w:rFonts w:eastAsia="Calibri" w:cs="Times New Roman"/>
              </w:rPr>
              <w:t>0.41**</w:t>
            </w:r>
          </w:p>
        </w:tc>
        <w:tc>
          <w:tcPr>
            <w:tcW w:w="1984" w:type="dxa"/>
            <w:tcBorders>
              <w:top w:val="single" w:sz="4" w:space="0" w:color="auto"/>
              <w:left w:val="single" w:sz="4" w:space="0" w:color="auto"/>
              <w:bottom w:val="single" w:sz="4" w:space="0" w:color="auto"/>
              <w:right w:val="single" w:sz="4" w:space="0" w:color="auto"/>
            </w:tcBorders>
            <w:hideMark/>
          </w:tcPr>
          <w:p w14:paraId="16BD3086" w14:textId="77777777" w:rsidR="00D41B61" w:rsidRPr="00296D0C" w:rsidRDefault="00D41B61" w:rsidP="005C3553">
            <w:pPr>
              <w:jc w:val="center"/>
              <w:rPr>
                <w:rFonts w:eastAsia="Calibri" w:cs="Times New Roman"/>
              </w:rPr>
            </w:pPr>
            <w:r w:rsidRPr="00296D0C">
              <w:rPr>
                <w:rFonts w:eastAsia="Calibri" w:cs="Times New Roman"/>
              </w:rPr>
              <w:t>-</w:t>
            </w:r>
          </w:p>
        </w:tc>
      </w:tr>
      <w:tr w:rsidR="00D41B61" w:rsidRPr="00296D0C" w14:paraId="597AC119" w14:textId="77777777" w:rsidTr="005C3553">
        <w:tc>
          <w:tcPr>
            <w:tcW w:w="2943" w:type="dxa"/>
            <w:tcBorders>
              <w:top w:val="single" w:sz="4" w:space="0" w:color="auto"/>
              <w:left w:val="single" w:sz="4" w:space="0" w:color="auto"/>
              <w:bottom w:val="single" w:sz="4" w:space="0" w:color="auto"/>
              <w:right w:val="single" w:sz="4" w:space="0" w:color="auto"/>
            </w:tcBorders>
            <w:hideMark/>
          </w:tcPr>
          <w:p w14:paraId="2BAE9C4F" w14:textId="77777777" w:rsidR="00D41B61" w:rsidRPr="00296D0C" w:rsidRDefault="00D41B61" w:rsidP="005C3553">
            <w:pPr>
              <w:rPr>
                <w:rFonts w:eastAsia="Calibri" w:cs="Times New Roman"/>
              </w:rPr>
            </w:pPr>
            <w:r w:rsidRPr="00296D0C">
              <w:t xml:space="preserve">‘Behaviours &amp; Strategies’  </w:t>
            </w:r>
          </w:p>
        </w:tc>
        <w:tc>
          <w:tcPr>
            <w:tcW w:w="1418" w:type="dxa"/>
            <w:tcBorders>
              <w:top w:val="single" w:sz="4" w:space="0" w:color="auto"/>
              <w:left w:val="single" w:sz="4" w:space="0" w:color="auto"/>
              <w:bottom w:val="single" w:sz="4" w:space="0" w:color="auto"/>
              <w:right w:val="single" w:sz="4" w:space="0" w:color="auto"/>
            </w:tcBorders>
            <w:hideMark/>
          </w:tcPr>
          <w:p w14:paraId="64AF3A5E" w14:textId="77777777" w:rsidR="00D41B61" w:rsidRPr="00296D0C" w:rsidRDefault="00D41B61" w:rsidP="005C3553">
            <w:pPr>
              <w:jc w:val="center"/>
              <w:rPr>
                <w:rFonts w:eastAsia="Calibri" w:cs="Times New Roman"/>
              </w:rPr>
            </w:pPr>
            <w:r w:rsidRPr="00296D0C">
              <w:rPr>
                <w:rFonts w:eastAsia="Calibri" w:cs="Times New Roman"/>
              </w:rPr>
              <w:t>-0.02</w:t>
            </w:r>
          </w:p>
        </w:tc>
        <w:tc>
          <w:tcPr>
            <w:tcW w:w="1559" w:type="dxa"/>
            <w:tcBorders>
              <w:top w:val="single" w:sz="4" w:space="0" w:color="auto"/>
              <w:left w:val="single" w:sz="4" w:space="0" w:color="auto"/>
              <w:bottom w:val="single" w:sz="4" w:space="0" w:color="auto"/>
              <w:right w:val="single" w:sz="4" w:space="0" w:color="auto"/>
            </w:tcBorders>
            <w:hideMark/>
          </w:tcPr>
          <w:p w14:paraId="315F26C7" w14:textId="77777777" w:rsidR="00D41B61" w:rsidRPr="00296D0C" w:rsidRDefault="00D41B61" w:rsidP="005C3553">
            <w:pPr>
              <w:jc w:val="center"/>
              <w:rPr>
                <w:rFonts w:eastAsia="Calibri" w:cs="Times New Roman"/>
              </w:rPr>
            </w:pPr>
            <w:r w:rsidRPr="00296D0C">
              <w:rPr>
                <w:rFonts w:eastAsia="Calibri" w:cs="Times New Roman"/>
              </w:rPr>
              <w:t>0.61**</w:t>
            </w:r>
          </w:p>
        </w:tc>
        <w:tc>
          <w:tcPr>
            <w:tcW w:w="1276" w:type="dxa"/>
            <w:tcBorders>
              <w:top w:val="single" w:sz="4" w:space="0" w:color="auto"/>
              <w:left w:val="single" w:sz="4" w:space="0" w:color="auto"/>
              <w:bottom w:val="single" w:sz="4" w:space="0" w:color="auto"/>
              <w:right w:val="single" w:sz="4" w:space="0" w:color="auto"/>
            </w:tcBorders>
            <w:hideMark/>
          </w:tcPr>
          <w:p w14:paraId="2A5F7916" w14:textId="77777777" w:rsidR="00D41B61" w:rsidRPr="00296D0C" w:rsidRDefault="00D41B61" w:rsidP="005C3553">
            <w:pPr>
              <w:jc w:val="center"/>
              <w:rPr>
                <w:rFonts w:eastAsia="Calibri" w:cs="Times New Roman"/>
              </w:rPr>
            </w:pPr>
            <w:r w:rsidRPr="00296D0C">
              <w:rPr>
                <w:rFonts w:eastAsia="Calibri" w:cs="Times New Roman"/>
              </w:rPr>
              <w:t>0.34**</w:t>
            </w:r>
          </w:p>
        </w:tc>
        <w:tc>
          <w:tcPr>
            <w:tcW w:w="1984" w:type="dxa"/>
            <w:tcBorders>
              <w:top w:val="single" w:sz="4" w:space="0" w:color="auto"/>
              <w:left w:val="single" w:sz="4" w:space="0" w:color="auto"/>
              <w:bottom w:val="single" w:sz="4" w:space="0" w:color="auto"/>
              <w:right w:val="single" w:sz="4" w:space="0" w:color="auto"/>
            </w:tcBorders>
            <w:hideMark/>
          </w:tcPr>
          <w:p w14:paraId="2BB4FDD6" w14:textId="77777777" w:rsidR="00D41B61" w:rsidRPr="00296D0C" w:rsidRDefault="00D41B61" w:rsidP="005C3553">
            <w:pPr>
              <w:jc w:val="center"/>
              <w:rPr>
                <w:rFonts w:eastAsia="Calibri" w:cs="Times New Roman"/>
              </w:rPr>
            </w:pPr>
            <w:r w:rsidRPr="00296D0C">
              <w:rPr>
                <w:rFonts w:eastAsia="Calibri" w:cs="Times New Roman"/>
              </w:rPr>
              <w:t>0.40**</w:t>
            </w:r>
          </w:p>
        </w:tc>
      </w:tr>
    </w:tbl>
    <w:p w14:paraId="554ECB6D" w14:textId="77777777" w:rsidR="00D41B61" w:rsidRPr="00296D0C" w:rsidRDefault="00D41B61" w:rsidP="00D41B61">
      <w:pPr>
        <w:rPr>
          <w:rFonts w:eastAsia="Calibri" w:cs="Times New Roman"/>
        </w:rPr>
      </w:pPr>
      <w:r w:rsidRPr="00296D0C">
        <w:rPr>
          <w:rFonts w:eastAsia="Calibri" w:cs="Times New Roman"/>
          <w:i/>
        </w:rPr>
        <w:t xml:space="preserve">*p </w:t>
      </w:r>
      <w:r w:rsidRPr="00296D0C">
        <w:rPr>
          <w:rFonts w:eastAsia="Calibri" w:cs="Times New Roman"/>
        </w:rPr>
        <w:t>&lt; 0.05, **</w:t>
      </w:r>
      <w:r w:rsidRPr="00296D0C">
        <w:rPr>
          <w:rFonts w:eastAsia="Calibri" w:cs="Times New Roman"/>
          <w:i/>
        </w:rPr>
        <w:t xml:space="preserve"> p </w:t>
      </w:r>
      <w:r w:rsidRPr="00296D0C">
        <w:rPr>
          <w:rFonts w:eastAsia="Calibri" w:cs="Times New Roman"/>
        </w:rPr>
        <w:t>&lt; 0.01</w:t>
      </w:r>
    </w:p>
    <w:p w14:paraId="7E8907D0" w14:textId="77777777" w:rsidR="00F331F5" w:rsidRPr="00296D0C" w:rsidRDefault="00F331F5" w:rsidP="00D41B61">
      <w:pPr>
        <w:rPr>
          <w:rFonts w:eastAsia="Calibri" w:cs="Times New Roman"/>
          <w:i/>
        </w:rPr>
      </w:pPr>
    </w:p>
    <w:p w14:paraId="4ADEEB4A" w14:textId="6BF6FAA9" w:rsidR="00D41B61" w:rsidRPr="00296D0C" w:rsidRDefault="00D41B61" w:rsidP="00D41B61">
      <w:pPr>
        <w:rPr>
          <w:rFonts w:eastAsia="Calibri" w:cs="Times New Roman"/>
          <w:b/>
        </w:rPr>
      </w:pPr>
      <w:r w:rsidRPr="00296D0C">
        <w:rPr>
          <w:rFonts w:eastAsia="Calibri" w:cs="Times New Roman"/>
          <w:b/>
        </w:rPr>
        <w:t>T</w:t>
      </w:r>
      <w:r w:rsidR="00F331F5" w:rsidRPr="00296D0C">
        <w:rPr>
          <w:rFonts w:eastAsia="Calibri" w:cs="Times New Roman"/>
          <w:b/>
        </w:rPr>
        <w:t>ABLE</w:t>
      </w:r>
      <w:r w:rsidRPr="00296D0C">
        <w:rPr>
          <w:rFonts w:eastAsia="Calibri" w:cs="Times New Roman"/>
          <w:b/>
        </w:rPr>
        <w:t xml:space="preserve"> </w:t>
      </w:r>
      <w:r w:rsidR="00BB3630" w:rsidRPr="00296D0C">
        <w:rPr>
          <w:rFonts w:eastAsia="Calibri" w:cs="Times New Roman"/>
          <w:b/>
        </w:rPr>
        <w:t>4</w:t>
      </w:r>
      <w:r w:rsidR="00D80862">
        <w:rPr>
          <w:rFonts w:eastAsia="Calibri" w:cs="Times New Roman"/>
          <w:b/>
        </w:rPr>
        <w:t>6</w:t>
      </w:r>
      <w:r w:rsidRPr="00296D0C">
        <w:rPr>
          <w:rFonts w:eastAsia="Calibri" w:cs="Times New Roman"/>
          <w:b/>
        </w:rPr>
        <w:t xml:space="preserve"> Pearson correlation coefficients of the five composite variables at 12 months</w:t>
      </w:r>
    </w:p>
    <w:tbl>
      <w:tblPr>
        <w:tblStyle w:val="TableGrid"/>
        <w:tblW w:w="0" w:type="auto"/>
        <w:tblLayout w:type="fixed"/>
        <w:tblLook w:val="04A0" w:firstRow="1" w:lastRow="0" w:firstColumn="1" w:lastColumn="0" w:noHBand="0" w:noVBand="1"/>
      </w:tblPr>
      <w:tblGrid>
        <w:gridCol w:w="2943"/>
        <w:gridCol w:w="1418"/>
        <w:gridCol w:w="1559"/>
        <w:gridCol w:w="1134"/>
        <w:gridCol w:w="2126"/>
      </w:tblGrid>
      <w:tr w:rsidR="00D41B61" w:rsidRPr="00296D0C" w14:paraId="0C1BCAB3" w14:textId="77777777" w:rsidTr="005C3553">
        <w:tc>
          <w:tcPr>
            <w:tcW w:w="2943" w:type="dxa"/>
            <w:tcBorders>
              <w:top w:val="single" w:sz="4" w:space="0" w:color="auto"/>
              <w:left w:val="single" w:sz="4" w:space="0" w:color="auto"/>
              <w:bottom w:val="single" w:sz="4" w:space="0" w:color="auto"/>
              <w:right w:val="single" w:sz="4" w:space="0" w:color="auto"/>
            </w:tcBorders>
            <w:hideMark/>
          </w:tcPr>
          <w:p w14:paraId="64F555CA" w14:textId="77777777" w:rsidR="00D41B61" w:rsidRPr="00296D0C" w:rsidRDefault="00D41B61" w:rsidP="005C3553">
            <w:pPr>
              <w:rPr>
                <w:rFonts w:eastAsia="Calibri" w:cs="Times New Roman"/>
              </w:rPr>
            </w:pPr>
            <w:r w:rsidRPr="00296D0C">
              <w:rPr>
                <w:rFonts w:eastAsia="Calibri" w:cs="Times New Roman"/>
              </w:rPr>
              <w:t>Variable</w:t>
            </w:r>
          </w:p>
        </w:tc>
        <w:tc>
          <w:tcPr>
            <w:tcW w:w="1418" w:type="dxa"/>
            <w:tcBorders>
              <w:top w:val="single" w:sz="4" w:space="0" w:color="auto"/>
              <w:left w:val="single" w:sz="4" w:space="0" w:color="auto"/>
              <w:bottom w:val="single" w:sz="4" w:space="0" w:color="auto"/>
              <w:right w:val="single" w:sz="4" w:space="0" w:color="auto"/>
            </w:tcBorders>
            <w:hideMark/>
          </w:tcPr>
          <w:p w14:paraId="32E91368" w14:textId="77777777" w:rsidR="00D41B61" w:rsidRPr="00296D0C" w:rsidRDefault="00D41B61" w:rsidP="005C3553">
            <w:pPr>
              <w:rPr>
                <w:rFonts w:eastAsia="Calibri" w:cs="Times New Roman"/>
              </w:rPr>
            </w:pPr>
            <w:r w:rsidRPr="00296D0C">
              <w:rPr>
                <w:rFonts w:eastAsia="Calibri" w:cs="Times New Roman"/>
              </w:rPr>
              <w:t>‘Knowledge’</w:t>
            </w:r>
          </w:p>
        </w:tc>
        <w:tc>
          <w:tcPr>
            <w:tcW w:w="1559" w:type="dxa"/>
            <w:tcBorders>
              <w:top w:val="single" w:sz="4" w:space="0" w:color="auto"/>
              <w:left w:val="single" w:sz="4" w:space="0" w:color="auto"/>
              <w:bottom w:val="single" w:sz="4" w:space="0" w:color="auto"/>
              <w:right w:val="single" w:sz="4" w:space="0" w:color="auto"/>
            </w:tcBorders>
            <w:hideMark/>
          </w:tcPr>
          <w:p w14:paraId="329A3B46" w14:textId="77777777" w:rsidR="00D41B61" w:rsidRPr="00296D0C" w:rsidRDefault="00D41B61" w:rsidP="005C3553">
            <w:pPr>
              <w:rPr>
                <w:rFonts w:eastAsia="Calibri" w:cs="Times New Roman"/>
              </w:rPr>
            </w:pPr>
            <w:r w:rsidRPr="00296D0C">
              <w:t>‘Confidence &amp; Motivation’</w:t>
            </w:r>
          </w:p>
        </w:tc>
        <w:tc>
          <w:tcPr>
            <w:tcW w:w="1134" w:type="dxa"/>
            <w:tcBorders>
              <w:top w:val="single" w:sz="4" w:space="0" w:color="auto"/>
              <w:left w:val="single" w:sz="4" w:space="0" w:color="auto"/>
              <w:bottom w:val="single" w:sz="4" w:space="0" w:color="auto"/>
              <w:right w:val="single" w:sz="4" w:space="0" w:color="auto"/>
            </w:tcBorders>
            <w:hideMark/>
          </w:tcPr>
          <w:p w14:paraId="61E0B2A3" w14:textId="77777777" w:rsidR="00D41B61" w:rsidRPr="00296D0C" w:rsidRDefault="00D41B61" w:rsidP="005C3553">
            <w:pPr>
              <w:rPr>
                <w:rFonts w:eastAsia="Calibri" w:cs="Times New Roman"/>
              </w:rPr>
            </w:pPr>
            <w:r w:rsidRPr="00296D0C">
              <w:t>‘Peer Norms’</w:t>
            </w:r>
          </w:p>
        </w:tc>
        <w:tc>
          <w:tcPr>
            <w:tcW w:w="2126" w:type="dxa"/>
            <w:tcBorders>
              <w:top w:val="single" w:sz="4" w:space="0" w:color="auto"/>
              <w:left w:val="single" w:sz="4" w:space="0" w:color="auto"/>
              <w:bottom w:val="single" w:sz="4" w:space="0" w:color="auto"/>
              <w:right w:val="single" w:sz="4" w:space="0" w:color="auto"/>
            </w:tcBorders>
            <w:hideMark/>
          </w:tcPr>
          <w:p w14:paraId="0431F8A0" w14:textId="77777777" w:rsidR="00D41B61" w:rsidRPr="00296D0C" w:rsidRDefault="00D41B61" w:rsidP="005C3553">
            <w:pPr>
              <w:rPr>
                <w:rFonts w:eastAsia="Calibri" w:cs="Times New Roman"/>
              </w:rPr>
            </w:pPr>
            <w:r w:rsidRPr="00296D0C">
              <w:t>‘Family Approval /  Behaviours &amp; Child Attitudes’</w:t>
            </w:r>
          </w:p>
        </w:tc>
      </w:tr>
      <w:tr w:rsidR="00D41B61" w:rsidRPr="00296D0C" w14:paraId="7D9B7EC9" w14:textId="77777777" w:rsidTr="005C3553">
        <w:tc>
          <w:tcPr>
            <w:tcW w:w="2943" w:type="dxa"/>
            <w:tcBorders>
              <w:top w:val="single" w:sz="4" w:space="0" w:color="auto"/>
              <w:left w:val="single" w:sz="4" w:space="0" w:color="auto"/>
              <w:bottom w:val="single" w:sz="4" w:space="0" w:color="auto"/>
              <w:right w:val="single" w:sz="4" w:space="0" w:color="auto"/>
            </w:tcBorders>
            <w:hideMark/>
          </w:tcPr>
          <w:p w14:paraId="213BEDD3" w14:textId="77777777" w:rsidR="00D41B61" w:rsidRPr="00296D0C" w:rsidRDefault="00D41B61" w:rsidP="005C3553">
            <w:pPr>
              <w:rPr>
                <w:rFonts w:eastAsia="Calibri" w:cs="Times New Roman"/>
              </w:rPr>
            </w:pPr>
            <w:r w:rsidRPr="00296D0C">
              <w:t xml:space="preserve">‘Confidence &amp; Motivation’ </w:t>
            </w:r>
          </w:p>
        </w:tc>
        <w:tc>
          <w:tcPr>
            <w:tcW w:w="1418" w:type="dxa"/>
            <w:tcBorders>
              <w:top w:val="single" w:sz="4" w:space="0" w:color="auto"/>
              <w:left w:val="single" w:sz="4" w:space="0" w:color="auto"/>
              <w:bottom w:val="single" w:sz="4" w:space="0" w:color="auto"/>
              <w:right w:val="single" w:sz="4" w:space="0" w:color="auto"/>
            </w:tcBorders>
            <w:hideMark/>
          </w:tcPr>
          <w:p w14:paraId="131F855B" w14:textId="77777777" w:rsidR="00D41B61" w:rsidRPr="00296D0C" w:rsidRDefault="00D41B61" w:rsidP="005C3553">
            <w:pPr>
              <w:jc w:val="center"/>
              <w:rPr>
                <w:rFonts w:eastAsia="Calibri" w:cs="Times New Roman"/>
              </w:rPr>
            </w:pPr>
            <w:r w:rsidRPr="00296D0C">
              <w:rPr>
                <w:rFonts w:eastAsia="Calibri" w:cs="Times New Roman"/>
              </w:rPr>
              <w:t>0.16**</w:t>
            </w:r>
          </w:p>
        </w:tc>
        <w:tc>
          <w:tcPr>
            <w:tcW w:w="1559" w:type="dxa"/>
            <w:tcBorders>
              <w:top w:val="single" w:sz="4" w:space="0" w:color="auto"/>
              <w:left w:val="single" w:sz="4" w:space="0" w:color="auto"/>
              <w:bottom w:val="single" w:sz="4" w:space="0" w:color="auto"/>
              <w:right w:val="single" w:sz="4" w:space="0" w:color="auto"/>
            </w:tcBorders>
            <w:hideMark/>
          </w:tcPr>
          <w:p w14:paraId="3B4BB566" w14:textId="77777777" w:rsidR="00D41B61" w:rsidRPr="00296D0C" w:rsidRDefault="00D41B61" w:rsidP="005C3553">
            <w:pPr>
              <w:jc w:val="center"/>
              <w:rPr>
                <w:rFonts w:eastAsia="Calibri" w:cs="Times New Roman"/>
              </w:rPr>
            </w:pPr>
            <w:r w:rsidRPr="00296D0C">
              <w:rPr>
                <w:rFonts w:eastAsia="Calibri" w:cs="Times New Roman"/>
              </w:rPr>
              <w:t>-</w:t>
            </w:r>
          </w:p>
        </w:tc>
        <w:tc>
          <w:tcPr>
            <w:tcW w:w="1134" w:type="dxa"/>
            <w:tcBorders>
              <w:top w:val="single" w:sz="4" w:space="0" w:color="auto"/>
              <w:left w:val="single" w:sz="4" w:space="0" w:color="auto"/>
              <w:bottom w:val="single" w:sz="4" w:space="0" w:color="auto"/>
              <w:right w:val="single" w:sz="4" w:space="0" w:color="auto"/>
            </w:tcBorders>
          </w:tcPr>
          <w:p w14:paraId="627ACC84" w14:textId="77777777" w:rsidR="00D41B61" w:rsidRPr="00296D0C" w:rsidRDefault="00D41B61" w:rsidP="005C3553">
            <w:pPr>
              <w:jc w:val="center"/>
              <w:rPr>
                <w:rFonts w:eastAsia="Calibri" w:cs="Times New Roman"/>
              </w:rPr>
            </w:pPr>
          </w:p>
        </w:tc>
        <w:tc>
          <w:tcPr>
            <w:tcW w:w="2126" w:type="dxa"/>
            <w:tcBorders>
              <w:top w:val="single" w:sz="4" w:space="0" w:color="auto"/>
              <w:left w:val="single" w:sz="4" w:space="0" w:color="auto"/>
              <w:bottom w:val="single" w:sz="4" w:space="0" w:color="auto"/>
              <w:right w:val="single" w:sz="4" w:space="0" w:color="auto"/>
            </w:tcBorders>
          </w:tcPr>
          <w:p w14:paraId="1C04C237" w14:textId="77777777" w:rsidR="00D41B61" w:rsidRPr="00296D0C" w:rsidRDefault="00D41B61" w:rsidP="005C3553">
            <w:pPr>
              <w:jc w:val="center"/>
              <w:rPr>
                <w:rFonts w:eastAsia="Calibri" w:cs="Times New Roman"/>
              </w:rPr>
            </w:pPr>
          </w:p>
        </w:tc>
      </w:tr>
      <w:tr w:rsidR="00D41B61" w:rsidRPr="00296D0C" w14:paraId="52023E85" w14:textId="77777777" w:rsidTr="005C3553">
        <w:tc>
          <w:tcPr>
            <w:tcW w:w="2943" w:type="dxa"/>
            <w:tcBorders>
              <w:top w:val="single" w:sz="4" w:space="0" w:color="auto"/>
              <w:left w:val="single" w:sz="4" w:space="0" w:color="auto"/>
              <w:bottom w:val="single" w:sz="4" w:space="0" w:color="auto"/>
              <w:right w:val="single" w:sz="4" w:space="0" w:color="auto"/>
            </w:tcBorders>
            <w:hideMark/>
          </w:tcPr>
          <w:p w14:paraId="515BD7CF" w14:textId="77777777" w:rsidR="00D41B61" w:rsidRPr="00296D0C" w:rsidRDefault="00D41B61" w:rsidP="005C3553">
            <w:pPr>
              <w:rPr>
                <w:rFonts w:eastAsia="Calibri" w:cs="Times New Roman"/>
              </w:rPr>
            </w:pPr>
            <w:r w:rsidRPr="00296D0C">
              <w:t>‘Peer Norms’</w:t>
            </w:r>
          </w:p>
        </w:tc>
        <w:tc>
          <w:tcPr>
            <w:tcW w:w="1418" w:type="dxa"/>
            <w:tcBorders>
              <w:top w:val="single" w:sz="4" w:space="0" w:color="auto"/>
              <w:left w:val="single" w:sz="4" w:space="0" w:color="auto"/>
              <w:bottom w:val="single" w:sz="4" w:space="0" w:color="auto"/>
              <w:right w:val="single" w:sz="4" w:space="0" w:color="auto"/>
            </w:tcBorders>
            <w:hideMark/>
          </w:tcPr>
          <w:p w14:paraId="4B730487" w14:textId="77777777" w:rsidR="00D41B61" w:rsidRPr="00296D0C" w:rsidRDefault="00D41B61" w:rsidP="005C3553">
            <w:pPr>
              <w:jc w:val="center"/>
              <w:rPr>
                <w:rFonts w:eastAsia="Calibri" w:cs="Times New Roman"/>
              </w:rPr>
            </w:pPr>
            <w:r w:rsidRPr="00296D0C">
              <w:rPr>
                <w:rFonts w:eastAsia="Calibri" w:cs="Times New Roman"/>
              </w:rPr>
              <w:t>0.15**</w:t>
            </w:r>
          </w:p>
        </w:tc>
        <w:tc>
          <w:tcPr>
            <w:tcW w:w="1559" w:type="dxa"/>
            <w:tcBorders>
              <w:top w:val="single" w:sz="4" w:space="0" w:color="auto"/>
              <w:left w:val="single" w:sz="4" w:space="0" w:color="auto"/>
              <w:bottom w:val="single" w:sz="4" w:space="0" w:color="auto"/>
              <w:right w:val="single" w:sz="4" w:space="0" w:color="auto"/>
            </w:tcBorders>
            <w:hideMark/>
          </w:tcPr>
          <w:p w14:paraId="16819134" w14:textId="77777777" w:rsidR="00D41B61" w:rsidRPr="00296D0C" w:rsidRDefault="00D41B61" w:rsidP="005C3553">
            <w:pPr>
              <w:jc w:val="center"/>
              <w:rPr>
                <w:rFonts w:eastAsia="Calibri" w:cs="Times New Roman"/>
              </w:rPr>
            </w:pPr>
            <w:r w:rsidRPr="00296D0C">
              <w:rPr>
                <w:rFonts w:eastAsia="Calibri" w:cs="Times New Roman"/>
              </w:rPr>
              <w:t>0.36**</w:t>
            </w:r>
          </w:p>
        </w:tc>
        <w:tc>
          <w:tcPr>
            <w:tcW w:w="1134" w:type="dxa"/>
            <w:tcBorders>
              <w:top w:val="single" w:sz="4" w:space="0" w:color="auto"/>
              <w:left w:val="single" w:sz="4" w:space="0" w:color="auto"/>
              <w:bottom w:val="single" w:sz="4" w:space="0" w:color="auto"/>
              <w:right w:val="single" w:sz="4" w:space="0" w:color="auto"/>
            </w:tcBorders>
            <w:hideMark/>
          </w:tcPr>
          <w:p w14:paraId="03AC296C" w14:textId="77777777" w:rsidR="00D41B61" w:rsidRPr="00296D0C" w:rsidRDefault="00D41B61" w:rsidP="005C3553">
            <w:pPr>
              <w:jc w:val="center"/>
              <w:rPr>
                <w:rFonts w:eastAsia="Calibri" w:cs="Times New Roman"/>
              </w:rPr>
            </w:pPr>
            <w:r w:rsidRPr="00296D0C">
              <w:rPr>
                <w:rFonts w:eastAsia="Calibri" w:cs="Times New Roman"/>
              </w:rPr>
              <w:t>-</w:t>
            </w:r>
          </w:p>
        </w:tc>
        <w:tc>
          <w:tcPr>
            <w:tcW w:w="2126" w:type="dxa"/>
            <w:tcBorders>
              <w:top w:val="single" w:sz="4" w:space="0" w:color="auto"/>
              <w:left w:val="single" w:sz="4" w:space="0" w:color="auto"/>
              <w:bottom w:val="single" w:sz="4" w:space="0" w:color="auto"/>
              <w:right w:val="single" w:sz="4" w:space="0" w:color="auto"/>
            </w:tcBorders>
          </w:tcPr>
          <w:p w14:paraId="7EBDCA2E" w14:textId="77777777" w:rsidR="00D41B61" w:rsidRPr="00296D0C" w:rsidRDefault="00D41B61" w:rsidP="005C3553">
            <w:pPr>
              <w:jc w:val="center"/>
              <w:rPr>
                <w:rFonts w:eastAsia="Calibri" w:cs="Times New Roman"/>
              </w:rPr>
            </w:pPr>
          </w:p>
        </w:tc>
      </w:tr>
      <w:tr w:rsidR="00D41B61" w:rsidRPr="00296D0C" w14:paraId="468E46B4" w14:textId="77777777" w:rsidTr="005C3553">
        <w:tc>
          <w:tcPr>
            <w:tcW w:w="2943" w:type="dxa"/>
            <w:tcBorders>
              <w:top w:val="single" w:sz="4" w:space="0" w:color="auto"/>
              <w:left w:val="single" w:sz="4" w:space="0" w:color="auto"/>
              <w:bottom w:val="single" w:sz="4" w:space="0" w:color="auto"/>
              <w:right w:val="single" w:sz="4" w:space="0" w:color="auto"/>
            </w:tcBorders>
            <w:hideMark/>
          </w:tcPr>
          <w:p w14:paraId="3B255F3D" w14:textId="77777777" w:rsidR="00D41B61" w:rsidRPr="00296D0C" w:rsidRDefault="00D41B61" w:rsidP="005C3553">
            <w:pPr>
              <w:rPr>
                <w:rFonts w:eastAsia="Calibri" w:cs="Times New Roman"/>
              </w:rPr>
            </w:pPr>
            <w:r w:rsidRPr="00296D0C">
              <w:t>‘Family Approval /  Behaviours &amp; Child Attitudes’</w:t>
            </w:r>
          </w:p>
        </w:tc>
        <w:tc>
          <w:tcPr>
            <w:tcW w:w="1418" w:type="dxa"/>
            <w:tcBorders>
              <w:top w:val="single" w:sz="4" w:space="0" w:color="auto"/>
              <w:left w:val="single" w:sz="4" w:space="0" w:color="auto"/>
              <w:bottom w:val="single" w:sz="4" w:space="0" w:color="auto"/>
              <w:right w:val="single" w:sz="4" w:space="0" w:color="auto"/>
            </w:tcBorders>
            <w:hideMark/>
          </w:tcPr>
          <w:p w14:paraId="23C388B8" w14:textId="77777777" w:rsidR="00D41B61" w:rsidRPr="00296D0C" w:rsidRDefault="00D41B61" w:rsidP="005C3553">
            <w:pPr>
              <w:jc w:val="center"/>
              <w:rPr>
                <w:rFonts w:eastAsia="Calibri" w:cs="Times New Roman"/>
              </w:rPr>
            </w:pPr>
            <w:r w:rsidRPr="00296D0C">
              <w:rPr>
                <w:rFonts w:eastAsia="Calibri" w:cs="Times New Roman"/>
              </w:rPr>
              <w:t>0.22**</w:t>
            </w:r>
          </w:p>
        </w:tc>
        <w:tc>
          <w:tcPr>
            <w:tcW w:w="1559" w:type="dxa"/>
            <w:tcBorders>
              <w:top w:val="single" w:sz="4" w:space="0" w:color="auto"/>
              <w:left w:val="single" w:sz="4" w:space="0" w:color="auto"/>
              <w:bottom w:val="single" w:sz="4" w:space="0" w:color="auto"/>
              <w:right w:val="single" w:sz="4" w:space="0" w:color="auto"/>
            </w:tcBorders>
            <w:hideMark/>
          </w:tcPr>
          <w:p w14:paraId="1F60C15B" w14:textId="77777777" w:rsidR="00D41B61" w:rsidRPr="00296D0C" w:rsidRDefault="00D41B61" w:rsidP="005C3553">
            <w:pPr>
              <w:jc w:val="center"/>
              <w:rPr>
                <w:rFonts w:eastAsia="Calibri" w:cs="Times New Roman"/>
              </w:rPr>
            </w:pPr>
            <w:r w:rsidRPr="00296D0C">
              <w:rPr>
                <w:rFonts w:eastAsia="Calibri" w:cs="Times New Roman"/>
              </w:rPr>
              <w:t>0.53**</w:t>
            </w:r>
          </w:p>
        </w:tc>
        <w:tc>
          <w:tcPr>
            <w:tcW w:w="1134" w:type="dxa"/>
            <w:tcBorders>
              <w:top w:val="single" w:sz="4" w:space="0" w:color="auto"/>
              <w:left w:val="single" w:sz="4" w:space="0" w:color="auto"/>
              <w:bottom w:val="single" w:sz="4" w:space="0" w:color="auto"/>
              <w:right w:val="single" w:sz="4" w:space="0" w:color="auto"/>
            </w:tcBorders>
            <w:hideMark/>
          </w:tcPr>
          <w:p w14:paraId="5DE6709C" w14:textId="77777777" w:rsidR="00D41B61" w:rsidRPr="00296D0C" w:rsidRDefault="00D41B61" w:rsidP="005C3553">
            <w:pPr>
              <w:jc w:val="center"/>
              <w:rPr>
                <w:rFonts w:eastAsia="Calibri" w:cs="Times New Roman"/>
              </w:rPr>
            </w:pPr>
            <w:r w:rsidRPr="00296D0C">
              <w:rPr>
                <w:rFonts w:eastAsia="Calibri" w:cs="Times New Roman"/>
              </w:rPr>
              <w:t>0.38**</w:t>
            </w:r>
          </w:p>
        </w:tc>
        <w:tc>
          <w:tcPr>
            <w:tcW w:w="2126" w:type="dxa"/>
            <w:tcBorders>
              <w:top w:val="single" w:sz="4" w:space="0" w:color="auto"/>
              <w:left w:val="single" w:sz="4" w:space="0" w:color="auto"/>
              <w:bottom w:val="single" w:sz="4" w:space="0" w:color="auto"/>
              <w:right w:val="single" w:sz="4" w:space="0" w:color="auto"/>
            </w:tcBorders>
            <w:hideMark/>
          </w:tcPr>
          <w:p w14:paraId="6C7B057C" w14:textId="77777777" w:rsidR="00D41B61" w:rsidRPr="00296D0C" w:rsidRDefault="00D41B61" w:rsidP="005C3553">
            <w:pPr>
              <w:jc w:val="center"/>
              <w:rPr>
                <w:rFonts w:eastAsia="Calibri" w:cs="Times New Roman"/>
              </w:rPr>
            </w:pPr>
            <w:r w:rsidRPr="00296D0C">
              <w:rPr>
                <w:rFonts w:eastAsia="Calibri" w:cs="Times New Roman"/>
              </w:rPr>
              <w:t>-</w:t>
            </w:r>
          </w:p>
        </w:tc>
      </w:tr>
      <w:tr w:rsidR="00D41B61" w:rsidRPr="00296D0C" w14:paraId="09BB8949" w14:textId="77777777" w:rsidTr="005C3553">
        <w:tc>
          <w:tcPr>
            <w:tcW w:w="2943" w:type="dxa"/>
            <w:tcBorders>
              <w:top w:val="single" w:sz="4" w:space="0" w:color="auto"/>
              <w:left w:val="single" w:sz="4" w:space="0" w:color="auto"/>
              <w:bottom w:val="single" w:sz="4" w:space="0" w:color="auto"/>
              <w:right w:val="single" w:sz="4" w:space="0" w:color="auto"/>
            </w:tcBorders>
            <w:hideMark/>
          </w:tcPr>
          <w:p w14:paraId="5B3B4D84" w14:textId="77777777" w:rsidR="00D41B61" w:rsidRPr="00296D0C" w:rsidRDefault="00D41B61" w:rsidP="005C3553">
            <w:pPr>
              <w:rPr>
                <w:rFonts w:eastAsia="Calibri" w:cs="Times New Roman"/>
              </w:rPr>
            </w:pPr>
            <w:r w:rsidRPr="00296D0C">
              <w:t xml:space="preserve">‘Behaviours &amp; Strategies‘  </w:t>
            </w:r>
          </w:p>
        </w:tc>
        <w:tc>
          <w:tcPr>
            <w:tcW w:w="1418" w:type="dxa"/>
            <w:tcBorders>
              <w:top w:val="single" w:sz="4" w:space="0" w:color="auto"/>
              <w:left w:val="single" w:sz="4" w:space="0" w:color="auto"/>
              <w:bottom w:val="single" w:sz="4" w:space="0" w:color="auto"/>
              <w:right w:val="single" w:sz="4" w:space="0" w:color="auto"/>
            </w:tcBorders>
            <w:hideMark/>
          </w:tcPr>
          <w:p w14:paraId="0D19B0E6" w14:textId="77777777" w:rsidR="00D41B61" w:rsidRPr="00296D0C" w:rsidRDefault="00D41B61" w:rsidP="005C3553">
            <w:pPr>
              <w:jc w:val="center"/>
              <w:rPr>
                <w:rFonts w:eastAsia="Calibri" w:cs="Times New Roman"/>
              </w:rPr>
            </w:pPr>
            <w:r w:rsidRPr="00296D0C">
              <w:rPr>
                <w:rFonts w:eastAsia="Calibri" w:cs="Times New Roman"/>
              </w:rPr>
              <w:t>0.10**</w:t>
            </w:r>
          </w:p>
        </w:tc>
        <w:tc>
          <w:tcPr>
            <w:tcW w:w="1559" w:type="dxa"/>
            <w:tcBorders>
              <w:top w:val="single" w:sz="4" w:space="0" w:color="auto"/>
              <w:left w:val="single" w:sz="4" w:space="0" w:color="auto"/>
              <w:bottom w:val="single" w:sz="4" w:space="0" w:color="auto"/>
              <w:right w:val="single" w:sz="4" w:space="0" w:color="auto"/>
            </w:tcBorders>
            <w:hideMark/>
          </w:tcPr>
          <w:p w14:paraId="2DA42945" w14:textId="77777777" w:rsidR="00D41B61" w:rsidRPr="00296D0C" w:rsidRDefault="00D41B61" w:rsidP="005C3553">
            <w:pPr>
              <w:jc w:val="center"/>
              <w:rPr>
                <w:rFonts w:eastAsia="Calibri" w:cs="Times New Roman"/>
              </w:rPr>
            </w:pPr>
            <w:r w:rsidRPr="00296D0C">
              <w:rPr>
                <w:rFonts w:eastAsia="Calibri" w:cs="Times New Roman"/>
              </w:rPr>
              <w:t>0.69**</w:t>
            </w:r>
          </w:p>
        </w:tc>
        <w:tc>
          <w:tcPr>
            <w:tcW w:w="1134" w:type="dxa"/>
            <w:tcBorders>
              <w:top w:val="single" w:sz="4" w:space="0" w:color="auto"/>
              <w:left w:val="single" w:sz="4" w:space="0" w:color="auto"/>
              <w:bottom w:val="single" w:sz="4" w:space="0" w:color="auto"/>
              <w:right w:val="single" w:sz="4" w:space="0" w:color="auto"/>
            </w:tcBorders>
            <w:hideMark/>
          </w:tcPr>
          <w:p w14:paraId="0DCFFB02" w14:textId="77777777" w:rsidR="00D41B61" w:rsidRPr="00296D0C" w:rsidRDefault="00D41B61" w:rsidP="005C3553">
            <w:pPr>
              <w:jc w:val="center"/>
              <w:rPr>
                <w:rFonts w:eastAsia="Calibri" w:cs="Times New Roman"/>
              </w:rPr>
            </w:pPr>
            <w:r w:rsidRPr="00296D0C">
              <w:rPr>
                <w:rFonts w:eastAsia="Calibri" w:cs="Times New Roman"/>
              </w:rPr>
              <w:t>0.33**</w:t>
            </w:r>
          </w:p>
        </w:tc>
        <w:tc>
          <w:tcPr>
            <w:tcW w:w="2126" w:type="dxa"/>
            <w:tcBorders>
              <w:top w:val="single" w:sz="4" w:space="0" w:color="auto"/>
              <w:left w:val="single" w:sz="4" w:space="0" w:color="auto"/>
              <w:bottom w:val="single" w:sz="4" w:space="0" w:color="auto"/>
              <w:right w:val="single" w:sz="4" w:space="0" w:color="auto"/>
            </w:tcBorders>
            <w:hideMark/>
          </w:tcPr>
          <w:p w14:paraId="7EDD4561" w14:textId="77777777" w:rsidR="00D41B61" w:rsidRPr="00296D0C" w:rsidRDefault="00D41B61" w:rsidP="005C3553">
            <w:pPr>
              <w:jc w:val="center"/>
              <w:rPr>
                <w:rFonts w:eastAsia="Calibri" w:cs="Times New Roman"/>
              </w:rPr>
            </w:pPr>
            <w:r w:rsidRPr="00296D0C">
              <w:rPr>
                <w:rFonts w:eastAsia="Calibri" w:cs="Times New Roman"/>
              </w:rPr>
              <w:t>0.51**</w:t>
            </w:r>
          </w:p>
        </w:tc>
      </w:tr>
    </w:tbl>
    <w:p w14:paraId="7A8E707C" w14:textId="77777777" w:rsidR="00D41B61" w:rsidRPr="00296D0C" w:rsidRDefault="00D41B61" w:rsidP="00D41B61">
      <w:pPr>
        <w:rPr>
          <w:rFonts w:eastAsia="Calibri" w:cs="Times New Roman"/>
          <w:i/>
        </w:rPr>
      </w:pPr>
      <w:r w:rsidRPr="00296D0C">
        <w:rPr>
          <w:rFonts w:eastAsia="Calibri" w:cs="Times New Roman"/>
          <w:i/>
        </w:rPr>
        <w:t xml:space="preserve">*p </w:t>
      </w:r>
      <w:r w:rsidRPr="00296D0C">
        <w:rPr>
          <w:rFonts w:eastAsia="Calibri" w:cs="Times New Roman"/>
        </w:rPr>
        <w:t>&lt; 0.05, **</w:t>
      </w:r>
      <w:r w:rsidRPr="00296D0C">
        <w:rPr>
          <w:rFonts w:eastAsia="Calibri" w:cs="Times New Roman"/>
          <w:i/>
        </w:rPr>
        <w:t xml:space="preserve"> p </w:t>
      </w:r>
      <w:r w:rsidRPr="00296D0C">
        <w:rPr>
          <w:rFonts w:eastAsia="Calibri" w:cs="Times New Roman"/>
        </w:rPr>
        <w:t>&lt; 0.01</w:t>
      </w:r>
    </w:p>
    <w:p w14:paraId="457E4360" w14:textId="7CFB21B2" w:rsidR="00D41B61" w:rsidRPr="00296D0C" w:rsidRDefault="00D41B61" w:rsidP="00D41B61">
      <w:pPr>
        <w:spacing w:after="0" w:line="360" w:lineRule="auto"/>
        <w:rPr>
          <w:rFonts w:eastAsia="Calibri" w:cs="Times New Roman"/>
        </w:rPr>
      </w:pPr>
      <w:r w:rsidRPr="00296D0C">
        <w:rPr>
          <w:rFonts w:eastAsia="Calibri" w:cs="Times New Roman"/>
        </w:rPr>
        <w:t>Preliminary analyses indicated that the conditions for mediation analysis (Baron &amp; Kenny, 1986)</w:t>
      </w:r>
      <w:r w:rsidRPr="00296D0C">
        <w:rPr>
          <w:rFonts w:eastAsia="Calibri" w:cs="Times New Roman"/>
        </w:rPr>
        <w:fldChar w:fldCharType="begin"/>
      </w:r>
      <w:r w:rsidR="008C43BF">
        <w:rPr>
          <w:rFonts w:eastAsia="Calibri" w:cs="Times New Roman"/>
        </w:rPr>
        <w:instrText xml:space="preserve"> ADDIN EN.CITE &lt;EndNote&gt;&lt;Cite&gt;&lt;Author&gt;Baron&lt;/Author&gt;&lt;Year&gt;1986&lt;/Year&gt;&lt;RecNum&gt;5790&lt;/RecNum&gt;&lt;DisplayText&gt;&lt;style face="superscript"&gt;125&lt;/style&gt;&lt;/DisplayText&gt;&lt;record&gt;&lt;rec-number&gt;5790&lt;/rec-number&gt;&lt;foreign-keys&gt;&lt;key app="EN" db-id="2ewa9rrvjsdsawep2vpx5x97eedzzvxx5rta" timestamp="1478767347"&gt;5790&lt;/key&gt;&lt;/foreign-keys&gt;&lt;ref-type name="Journal Article"&gt;17&lt;/ref-type&gt;&lt;contributors&gt;&lt;authors&gt;&lt;author&gt;Baron, R. M.&lt;/author&gt;&lt;author&gt;Kenny, D. A.&lt;/author&gt;&lt;/authors&gt;&lt;/contributors&gt;&lt;titles&gt;&lt;title&gt;The moderator-mediator variable distinction in social psychological research: conceptual, strategic, and statistical considerations&lt;/title&gt;&lt;secondary-title&gt;J Pers Soc Psychol&lt;/secondary-title&gt;&lt;/titles&gt;&lt;periodical&gt;&lt;full-title&gt;Journal of Personality and Social Psychology&lt;/full-title&gt;&lt;abbr-1&gt;J. Pers. Soc. Psychol.&lt;/abbr-1&gt;&lt;abbr-2&gt;J Pers Soc Psychol&lt;/abbr-2&gt;&lt;abbr-3&gt;Journal of Personality &amp;amp; Social Psychology&lt;/abbr-3&gt;&lt;/periodical&gt;&lt;pages&gt;1173-82&lt;/pages&gt;&lt;volume&gt;51&lt;/volume&gt;&lt;number&gt;6&lt;/number&gt;&lt;keywords&gt;&lt;keyword&gt;Attitude&lt;/keyword&gt;&lt;keyword&gt;Behavior&lt;/keyword&gt;&lt;keyword&gt;Humans&lt;/keyword&gt;&lt;keyword&gt;*Models, Psychological&lt;/keyword&gt;&lt;keyword&gt;Personality&lt;/keyword&gt;&lt;keyword&gt;*Psychology, Social&lt;/keyword&gt;&lt;keyword&gt;Research&lt;/keyword&gt;&lt;keyword&gt;Statistics as Topic&lt;/keyword&gt;&lt;/keywords&gt;&lt;dates&gt;&lt;year&gt;1986&lt;/year&gt;&lt;pub-dates&gt;&lt;date&gt;Dec&lt;/date&gt;&lt;/pub-dates&gt;&lt;/dates&gt;&lt;isbn&gt;0022-3514 (Print)&amp;#xD;0022-3514 (Linking)&lt;/isbn&gt;&lt;accession-num&gt;3806354&lt;/accession-num&gt;&lt;urls&gt;&lt;related-urls&gt;&lt;url&gt;https://www.ncbi.nlm.nih.gov/pubmed/3806354&lt;/url&gt;&lt;/related-urls&gt;&lt;/urls&gt;&lt;/record&gt;&lt;/Cite&gt;&lt;/EndNote&gt;</w:instrText>
      </w:r>
      <w:r w:rsidRPr="00296D0C">
        <w:rPr>
          <w:rFonts w:eastAsia="Calibri" w:cs="Times New Roman"/>
        </w:rPr>
        <w:fldChar w:fldCharType="separate"/>
      </w:r>
      <w:r w:rsidR="008C43BF" w:rsidRPr="008C43BF">
        <w:rPr>
          <w:rFonts w:eastAsia="Calibri" w:cs="Times New Roman"/>
          <w:noProof/>
          <w:vertAlign w:val="superscript"/>
        </w:rPr>
        <w:t>125</w:t>
      </w:r>
      <w:r w:rsidRPr="00296D0C">
        <w:rPr>
          <w:rFonts w:eastAsia="Calibri" w:cs="Times New Roman"/>
        </w:rPr>
        <w:fldChar w:fldCharType="end"/>
      </w:r>
      <w:r w:rsidRPr="00296D0C">
        <w:rPr>
          <w:rFonts w:eastAsia="Calibri" w:cs="Times New Roman"/>
        </w:rPr>
        <w:t xml:space="preserve"> had been met: a) the intervention had a significant effect on each of the five 12 month composite variables, namely ‘Knowledge’ (</w:t>
      </w:r>
      <w:r w:rsidRPr="00296D0C">
        <w:rPr>
          <w:rFonts w:eastAsia="Calibri" w:cs="Times New Roman"/>
          <w:i/>
        </w:rPr>
        <w:t>t</w:t>
      </w:r>
      <w:r w:rsidRPr="00296D0C">
        <w:rPr>
          <w:rFonts w:eastAsia="Calibri" w:cs="Times New Roman"/>
        </w:rPr>
        <w:t>(1217) = 15.27, p</w:t>
      </w:r>
      <w:r w:rsidRPr="00296D0C">
        <w:rPr>
          <w:rFonts w:eastAsia="Calibri" w:cs="Times New Roman"/>
          <w:i/>
        </w:rPr>
        <w:t xml:space="preserve"> </w:t>
      </w:r>
      <w:r w:rsidRPr="00296D0C">
        <w:rPr>
          <w:rFonts w:eastAsia="Calibri" w:cs="Times New Roman"/>
        </w:rPr>
        <w:t>&lt; 0.01), ‘Confidence &amp; Motivation’ (</w:t>
      </w:r>
      <w:r w:rsidRPr="00296D0C">
        <w:rPr>
          <w:rFonts w:eastAsia="Calibri" w:cs="Times New Roman"/>
          <w:i/>
        </w:rPr>
        <w:t>t</w:t>
      </w:r>
      <w:r w:rsidRPr="00296D0C">
        <w:rPr>
          <w:rFonts w:eastAsia="Calibri" w:cs="Times New Roman"/>
        </w:rPr>
        <w:t xml:space="preserve">(1217) = 4.00, </w:t>
      </w:r>
      <w:r w:rsidRPr="00296D0C">
        <w:rPr>
          <w:rFonts w:eastAsia="Calibri" w:cs="Times New Roman"/>
          <w:i/>
        </w:rPr>
        <w:t xml:space="preserve">p </w:t>
      </w:r>
      <w:r w:rsidRPr="00296D0C">
        <w:rPr>
          <w:rFonts w:eastAsia="Calibri" w:cs="Times New Roman"/>
        </w:rPr>
        <w:t>&lt; 0.01), ‘Peer Norms’ (</w:t>
      </w:r>
      <w:r w:rsidRPr="00296D0C">
        <w:rPr>
          <w:rFonts w:eastAsia="Calibri" w:cs="Times New Roman"/>
          <w:i/>
        </w:rPr>
        <w:t>t</w:t>
      </w:r>
      <w:r w:rsidRPr="00296D0C">
        <w:rPr>
          <w:rFonts w:eastAsia="Calibri" w:cs="Times New Roman"/>
        </w:rPr>
        <w:t xml:space="preserve">(1217) = 4.01, </w:t>
      </w:r>
      <w:r w:rsidRPr="00296D0C">
        <w:rPr>
          <w:rFonts w:eastAsia="Calibri" w:cs="Times New Roman"/>
          <w:i/>
        </w:rPr>
        <w:t xml:space="preserve">p </w:t>
      </w:r>
      <w:r w:rsidRPr="00296D0C">
        <w:rPr>
          <w:rFonts w:eastAsia="Calibri" w:cs="Times New Roman"/>
        </w:rPr>
        <w:t>&lt; 0.01), ‘Family Approval / Behaviours &amp; Child Attitudes (</w:t>
      </w:r>
      <w:r w:rsidRPr="00296D0C">
        <w:rPr>
          <w:rFonts w:eastAsia="Calibri" w:cs="Times New Roman"/>
          <w:i/>
        </w:rPr>
        <w:t>t</w:t>
      </w:r>
      <w:r w:rsidRPr="00296D0C">
        <w:rPr>
          <w:rFonts w:eastAsia="Calibri" w:cs="Times New Roman"/>
        </w:rPr>
        <w:t xml:space="preserve">(1217) = 3.40, </w:t>
      </w:r>
      <w:r w:rsidRPr="00296D0C">
        <w:rPr>
          <w:rFonts w:eastAsia="Calibri" w:cs="Times New Roman"/>
          <w:i/>
        </w:rPr>
        <w:t xml:space="preserve">p </w:t>
      </w:r>
      <w:r w:rsidRPr="00296D0C">
        <w:rPr>
          <w:rFonts w:eastAsia="Calibri" w:cs="Times New Roman"/>
        </w:rPr>
        <w:t>&lt; 0.01), and ‘Behaviours &amp; Strategies’  (</w:t>
      </w:r>
      <w:r w:rsidRPr="00296D0C">
        <w:rPr>
          <w:rFonts w:eastAsia="Calibri" w:cs="Times New Roman"/>
          <w:i/>
        </w:rPr>
        <w:t>t</w:t>
      </w:r>
      <w:r w:rsidRPr="00296D0C">
        <w:rPr>
          <w:rFonts w:eastAsia="Calibri" w:cs="Times New Roman"/>
        </w:rPr>
        <w:t xml:space="preserve">(1217)=5.66, </w:t>
      </w:r>
      <w:r w:rsidRPr="00296D0C">
        <w:rPr>
          <w:rFonts w:eastAsia="Calibri" w:cs="Times New Roman"/>
          <w:i/>
        </w:rPr>
        <w:t xml:space="preserve">p </w:t>
      </w:r>
      <w:r w:rsidRPr="00296D0C">
        <w:rPr>
          <w:rFonts w:eastAsia="Calibri" w:cs="Times New Roman"/>
        </w:rPr>
        <w:t>&lt; 0.01), and b) the composite variable scores at 12 months were significantly (</w:t>
      </w:r>
      <w:r w:rsidRPr="00296D0C">
        <w:rPr>
          <w:rFonts w:eastAsia="Calibri" w:cs="Times New Roman"/>
          <w:i/>
        </w:rPr>
        <w:t xml:space="preserve">p </w:t>
      </w:r>
      <w:r w:rsidRPr="00296D0C">
        <w:rPr>
          <w:rFonts w:eastAsia="Calibri" w:cs="Times New Roman"/>
        </w:rPr>
        <w:t xml:space="preserve">&lt; 0.01) correlated with the two outcome variables, weekday Energy Dense Snacks and Negative Food Markers (see Table </w:t>
      </w:r>
      <w:r w:rsidR="00BB3630" w:rsidRPr="00296D0C">
        <w:rPr>
          <w:rFonts w:eastAsia="Calibri" w:cs="Times New Roman"/>
        </w:rPr>
        <w:t>4</w:t>
      </w:r>
      <w:r w:rsidR="00D80862">
        <w:rPr>
          <w:rFonts w:eastAsia="Calibri" w:cs="Times New Roman"/>
        </w:rPr>
        <w:t>7</w:t>
      </w:r>
      <w:r w:rsidRPr="00296D0C">
        <w:rPr>
          <w:rFonts w:eastAsia="Calibri" w:cs="Times New Roman"/>
        </w:rPr>
        <w:t xml:space="preserve">). As the outcome variable Negative Food Markers at 18 months as well as the Negative Food Markers score at baseline revealed slightly elevated kurtosis (1.86 and 2.18, respectively), scores were logarithmically transformed prior to conducting the SEM. </w:t>
      </w:r>
    </w:p>
    <w:p w14:paraId="44FE9499" w14:textId="4948B70E" w:rsidR="00D41B61" w:rsidRDefault="00D41B61" w:rsidP="00D41B61">
      <w:pPr>
        <w:spacing w:after="0" w:line="360" w:lineRule="auto"/>
        <w:rPr>
          <w:rFonts w:eastAsia="Calibri" w:cs="Times New Roman"/>
          <w:b/>
        </w:rPr>
      </w:pPr>
      <w:r w:rsidRPr="00296D0C">
        <w:rPr>
          <w:rFonts w:eastAsia="Calibri" w:cs="Times New Roman"/>
          <w:b/>
        </w:rPr>
        <w:lastRenderedPageBreak/>
        <w:t>T</w:t>
      </w:r>
      <w:r w:rsidR="00F331F5" w:rsidRPr="00296D0C">
        <w:rPr>
          <w:rFonts w:eastAsia="Calibri" w:cs="Times New Roman"/>
          <w:b/>
        </w:rPr>
        <w:t>ABLE</w:t>
      </w:r>
      <w:r w:rsidRPr="00296D0C">
        <w:rPr>
          <w:rFonts w:eastAsia="Calibri" w:cs="Times New Roman"/>
          <w:b/>
        </w:rPr>
        <w:t xml:space="preserve"> </w:t>
      </w:r>
      <w:r w:rsidR="00BB3630" w:rsidRPr="00296D0C">
        <w:rPr>
          <w:rFonts w:eastAsia="Calibri" w:cs="Times New Roman"/>
          <w:b/>
        </w:rPr>
        <w:t>4</w:t>
      </w:r>
      <w:r w:rsidR="00D80862">
        <w:rPr>
          <w:rFonts w:eastAsia="Calibri" w:cs="Times New Roman"/>
          <w:b/>
        </w:rPr>
        <w:t>7</w:t>
      </w:r>
      <w:r w:rsidRPr="00296D0C">
        <w:rPr>
          <w:rFonts w:eastAsia="Calibri" w:cs="Times New Roman"/>
          <w:b/>
        </w:rPr>
        <w:t xml:space="preserve"> Summary of Pearson correlation coefficient between the outcome variables E</w:t>
      </w:r>
      <w:r w:rsidR="00F331F5" w:rsidRPr="00296D0C">
        <w:rPr>
          <w:rFonts w:eastAsia="Calibri" w:cs="Times New Roman"/>
          <w:b/>
        </w:rPr>
        <w:t xml:space="preserve">nergy </w:t>
      </w:r>
      <w:r w:rsidRPr="00296D0C">
        <w:rPr>
          <w:rFonts w:eastAsia="Calibri" w:cs="Times New Roman"/>
          <w:b/>
        </w:rPr>
        <w:t>D</w:t>
      </w:r>
      <w:r w:rsidR="00F331F5" w:rsidRPr="00296D0C">
        <w:rPr>
          <w:rFonts w:eastAsia="Calibri" w:cs="Times New Roman"/>
          <w:b/>
        </w:rPr>
        <w:t xml:space="preserve">ense </w:t>
      </w:r>
      <w:r w:rsidRPr="00296D0C">
        <w:rPr>
          <w:rFonts w:eastAsia="Calibri" w:cs="Times New Roman"/>
          <w:b/>
        </w:rPr>
        <w:t>S</w:t>
      </w:r>
      <w:r w:rsidR="00F331F5" w:rsidRPr="00296D0C">
        <w:rPr>
          <w:rFonts w:eastAsia="Calibri" w:cs="Times New Roman"/>
          <w:b/>
        </w:rPr>
        <w:t>nacks</w:t>
      </w:r>
      <w:r w:rsidRPr="00296D0C">
        <w:rPr>
          <w:rFonts w:eastAsia="Calibri" w:cs="Times New Roman"/>
          <w:b/>
        </w:rPr>
        <w:t xml:space="preserve"> and N</w:t>
      </w:r>
      <w:r w:rsidR="00F331F5" w:rsidRPr="00296D0C">
        <w:rPr>
          <w:rFonts w:eastAsia="Calibri" w:cs="Times New Roman"/>
          <w:b/>
        </w:rPr>
        <w:t xml:space="preserve">egative </w:t>
      </w:r>
      <w:r w:rsidRPr="00296D0C">
        <w:rPr>
          <w:rFonts w:eastAsia="Calibri" w:cs="Times New Roman"/>
          <w:b/>
        </w:rPr>
        <w:t>F</w:t>
      </w:r>
      <w:r w:rsidR="00F331F5" w:rsidRPr="00296D0C">
        <w:rPr>
          <w:rFonts w:eastAsia="Calibri" w:cs="Times New Roman"/>
          <w:b/>
        </w:rPr>
        <w:t xml:space="preserve">ood </w:t>
      </w:r>
      <w:r w:rsidRPr="00296D0C">
        <w:rPr>
          <w:rFonts w:eastAsia="Calibri" w:cs="Times New Roman"/>
          <w:b/>
        </w:rPr>
        <w:t>M</w:t>
      </w:r>
      <w:r w:rsidR="00F331F5" w:rsidRPr="00296D0C">
        <w:rPr>
          <w:rFonts w:eastAsia="Calibri" w:cs="Times New Roman"/>
          <w:b/>
        </w:rPr>
        <w:t>akers</w:t>
      </w:r>
      <w:r w:rsidRPr="00296D0C">
        <w:rPr>
          <w:rFonts w:eastAsia="Calibri" w:cs="Times New Roman"/>
          <w:b/>
        </w:rPr>
        <w:t xml:space="preserve"> with the mediating variables at 12 months</w:t>
      </w:r>
    </w:p>
    <w:p w14:paraId="1DFA68EF" w14:textId="77777777" w:rsidR="00300599" w:rsidRPr="00296D0C" w:rsidRDefault="00300599" w:rsidP="00D41B61">
      <w:pPr>
        <w:spacing w:after="0" w:line="360" w:lineRule="auto"/>
        <w:rPr>
          <w:rFonts w:eastAsia="Calibri" w:cs="Times New Roman"/>
          <w:b/>
        </w:rPr>
      </w:pPr>
    </w:p>
    <w:tbl>
      <w:tblPr>
        <w:tblStyle w:val="TableGrid"/>
        <w:tblW w:w="0" w:type="auto"/>
        <w:tblLook w:val="04A0" w:firstRow="1" w:lastRow="0" w:firstColumn="1" w:lastColumn="0" w:noHBand="0" w:noVBand="1"/>
      </w:tblPr>
      <w:tblGrid>
        <w:gridCol w:w="4503"/>
        <w:gridCol w:w="1275"/>
        <w:gridCol w:w="1276"/>
      </w:tblGrid>
      <w:tr w:rsidR="00D41B61" w:rsidRPr="00296D0C" w14:paraId="064C38E4" w14:textId="77777777" w:rsidTr="00B1372B">
        <w:tc>
          <w:tcPr>
            <w:tcW w:w="4503" w:type="dxa"/>
            <w:tcBorders>
              <w:top w:val="single" w:sz="4" w:space="0" w:color="auto"/>
              <w:left w:val="single" w:sz="4" w:space="0" w:color="auto"/>
              <w:bottom w:val="single" w:sz="4" w:space="0" w:color="auto"/>
              <w:right w:val="single" w:sz="4" w:space="0" w:color="auto"/>
            </w:tcBorders>
            <w:hideMark/>
          </w:tcPr>
          <w:p w14:paraId="7597948F" w14:textId="77777777" w:rsidR="00D41B61" w:rsidRPr="00296D0C" w:rsidRDefault="00D41B61" w:rsidP="005C3553">
            <w:pPr>
              <w:rPr>
                <w:rFonts w:eastAsia="Calibri" w:cs="Times New Roman"/>
              </w:rPr>
            </w:pPr>
            <w:r w:rsidRPr="00296D0C">
              <w:rPr>
                <w:rFonts w:eastAsia="Calibri" w:cs="Times New Roman"/>
              </w:rPr>
              <w:t>Variable</w:t>
            </w:r>
          </w:p>
        </w:tc>
        <w:tc>
          <w:tcPr>
            <w:tcW w:w="1275" w:type="dxa"/>
            <w:tcBorders>
              <w:top w:val="single" w:sz="4" w:space="0" w:color="auto"/>
              <w:left w:val="single" w:sz="4" w:space="0" w:color="auto"/>
              <w:bottom w:val="single" w:sz="4" w:space="0" w:color="auto"/>
              <w:right w:val="single" w:sz="4" w:space="0" w:color="auto"/>
            </w:tcBorders>
            <w:hideMark/>
          </w:tcPr>
          <w:p w14:paraId="532B3021" w14:textId="5D6A4424" w:rsidR="00D41B61" w:rsidRPr="00296D0C" w:rsidRDefault="00D41B61" w:rsidP="005C3553">
            <w:pPr>
              <w:rPr>
                <w:rFonts w:eastAsia="Calibri" w:cs="Times New Roman"/>
              </w:rPr>
            </w:pPr>
            <w:r w:rsidRPr="00296D0C">
              <w:rPr>
                <w:rFonts w:eastAsia="Calibri" w:cs="Times New Roman"/>
              </w:rPr>
              <w:t>E</w:t>
            </w:r>
            <w:r w:rsidR="00F331F5" w:rsidRPr="00296D0C">
              <w:rPr>
                <w:rFonts w:eastAsia="Calibri" w:cs="Times New Roman"/>
              </w:rPr>
              <w:t xml:space="preserve">nergy </w:t>
            </w:r>
            <w:r w:rsidRPr="00296D0C">
              <w:rPr>
                <w:rFonts w:eastAsia="Calibri" w:cs="Times New Roman"/>
              </w:rPr>
              <w:t>D</w:t>
            </w:r>
            <w:r w:rsidR="00F331F5" w:rsidRPr="00296D0C">
              <w:rPr>
                <w:rFonts w:eastAsia="Calibri" w:cs="Times New Roman"/>
              </w:rPr>
              <w:t xml:space="preserve">ense </w:t>
            </w:r>
            <w:r w:rsidRPr="00296D0C">
              <w:rPr>
                <w:rFonts w:eastAsia="Calibri" w:cs="Times New Roman"/>
              </w:rPr>
              <w:t>S</w:t>
            </w:r>
            <w:r w:rsidR="00F331F5" w:rsidRPr="00296D0C">
              <w:rPr>
                <w:rFonts w:eastAsia="Calibri" w:cs="Times New Roman"/>
              </w:rPr>
              <w:t>nacks</w:t>
            </w:r>
          </w:p>
        </w:tc>
        <w:tc>
          <w:tcPr>
            <w:tcW w:w="1276" w:type="dxa"/>
            <w:tcBorders>
              <w:top w:val="single" w:sz="4" w:space="0" w:color="auto"/>
              <w:left w:val="single" w:sz="4" w:space="0" w:color="auto"/>
              <w:bottom w:val="single" w:sz="4" w:space="0" w:color="auto"/>
              <w:right w:val="single" w:sz="4" w:space="0" w:color="auto"/>
            </w:tcBorders>
          </w:tcPr>
          <w:p w14:paraId="3AE23755" w14:textId="2E697BD8" w:rsidR="00D41B61" w:rsidRPr="00296D0C" w:rsidRDefault="00D41B61" w:rsidP="005C3553">
            <w:pPr>
              <w:rPr>
                <w:rFonts w:eastAsia="Calibri" w:cs="Times New Roman"/>
              </w:rPr>
            </w:pPr>
            <w:r w:rsidRPr="00296D0C">
              <w:rPr>
                <w:rFonts w:eastAsia="Calibri" w:cs="Times New Roman"/>
              </w:rPr>
              <w:t>N</w:t>
            </w:r>
            <w:r w:rsidR="00F331F5" w:rsidRPr="00296D0C">
              <w:rPr>
                <w:rFonts w:eastAsia="Calibri" w:cs="Times New Roman"/>
              </w:rPr>
              <w:t xml:space="preserve">egative </w:t>
            </w:r>
            <w:r w:rsidRPr="00296D0C">
              <w:rPr>
                <w:rFonts w:eastAsia="Calibri" w:cs="Times New Roman"/>
              </w:rPr>
              <w:t>F</w:t>
            </w:r>
            <w:r w:rsidR="00F331F5" w:rsidRPr="00296D0C">
              <w:rPr>
                <w:rFonts w:eastAsia="Calibri" w:cs="Times New Roman"/>
              </w:rPr>
              <w:t xml:space="preserve">ood </w:t>
            </w:r>
            <w:r w:rsidRPr="00296D0C">
              <w:rPr>
                <w:rFonts w:eastAsia="Calibri" w:cs="Times New Roman"/>
              </w:rPr>
              <w:t>M</w:t>
            </w:r>
            <w:r w:rsidR="00F331F5" w:rsidRPr="00296D0C">
              <w:rPr>
                <w:rFonts w:eastAsia="Calibri" w:cs="Times New Roman"/>
              </w:rPr>
              <w:t>arkers</w:t>
            </w:r>
          </w:p>
          <w:p w14:paraId="13718D73" w14:textId="77777777" w:rsidR="00D41B61" w:rsidRPr="00296D0C" w:rsidRDefault="00D41B61" w:rsidP="005C3553">
            <w:pPr>
              <w:rPr>
                <w:rFonts w:eastAsia="Calibri" w:cs="Times New Roman"/>
              </w:rPr>
            </w:pPr>
          </w:p>
        </w:tc>
      </w:tr>
      <w:tr w:rsidR="00D41B61" w:rsidRPr="00296D0C" w14:paraId="68CE16D4" w14:textId="77777777" w:rsidTr="00B1372B">
        <w:tc>
          <w:tcPr>
            <w:tcW w:w="4503" w:type="dxa"/>
            <w:tcBorders>
              <w:top w:val="single" w:sz="4" w:space="0" w:color="auto"/>
              <w:left w:val="single" w:sz="4" w:space="0" w:color="auto"/>
              <w:bottom w:val="single" w:sz="4" w:space="0" w:color="auto"/>
              <w:right w:val="single" w:sz="4" w:space="0" w:color="auto"/>
            </w:tcBorders>
            <w:hideMark/>
          </w:tcPr>
          <w:p w14:paraId="352F3A93" w14:textId="77777777" w:rsidR="00D41B61" w:rsidRPr="00296D0C" w:rsidRDefault="00D41B61" w:rsidP="005C3553">
            <w:pPr>
              <w:rPr>
                <w:rFonts w:eastAsia="Calibri" w:cs="Times New Roman"/>
              </w:rPr>
            </w:pPr>
            <w:r w:rsidRPr="00296D0C">
              <w:rPr>
                <w:rFonts w:eastAsia="Calibri" w:cs="Times New Roman"/>
              </w:rPr>
              <w:t>‘Knowledge’</w:t>
            </w:r>
          </w:p>
        </w:tc>
        <w:tc>
          <w:tcPr>
            <w:tcW w:w="1275" w:type="dxa"/>
            <w:tcBorders>
              <w:top w:val="single" w:sz="4" w:space="0" w:color="auto"/>
              <w:left w:val="single" w:sz="4" w:space="0" w:color="auto"/>
              <w:bottom w:val="single" w:sz="4" w:space="0" w:color="auto"/>
              <w:right w:val="single" w:sz="4" w:space="0" w:color="auto"/>
            </w:tcBorders>
            <w:hideMark/>
          </w:tcPr>
          <w:p w14:paraId="6FE6F8A2" w14:textId="77777777" w:rsidR="00D41B61" w:rsidRPr="00296D0C" w:rsidRDefault="00D41B61" w:rsidP="005C3553">
            <w:pPr>
              <w:rPr>
                <w:rFonts w:eastAsia="Calibri" w:cs="Times New Roman"/>
              </w:rPr>
            </w:pPr>
            <w:r w:rsidRPr="00296D0C">
              <w:rPr>
                <w:rFonts w:eastAsia="Calibri" w:cs="Times New Roman"/>
              </w:rPr>
              <w:t>-0.16**</w:t>
            </w:r>
          </w:p>
        </w:tc>
        <w:tc>
          <w:tcPr>
            <w:tcW w:w="1276" w:type="dxa"/>
            <w:tcBorders>
              <w:top w:val="single" w:sz="4" w:space="0" w:color="auto"/>
              <w:left w:val="single" w:sz="4" w:space="0" w:color="auto"/>
              <w:bottom w:val="single" w:sz="4" w:space="0" w:color="auto"/>
              <w:right w:val="single" w:sz="4" w:space="0" w:color="auto"/>
            </w:tcBorders>
            <w:hideMark/>
          </w:tcPr>
          <w:p w14:paraId="0ADD59E3" w14:textId="77777777" w:rsidR="00D41B61" w:rsidRPr="00296D0C" w:rsidRDefault="00D41B61" w:rsidP="005C3553">
            <w:pPr>
              <w:rPr>
                <w:rFonts w:eastAsia="Calibri" w:cs="Times New Roman"/>
              </w:rPr>
            </w:pPr>
            <w:r w:rsidRPr="00296D0C">
              <w:rPr>
                <w:rFonts w:eastAsia="Calibri" w:cs="Times New Roman"/>
              </w:rPr>
              <w:t>-0.16**</w:t>
            </w:r>
          </w:p>
        </w:tc>
      </w:tr>
      <w:tr w:rsidR="00D41B61" w:rsidRPr="00296D0C" w14:paraId="3150E329" w14:textId="77777777" w:rsidTr="00B1372B">
        <w:tc>
          <w:tcPr>
            <w:tcW w:w="4503" w:type="dxa"/>
            <w:tcBorders>
              <w:top w:val="single" w:sz="4" w:space="0" w:color="auto"/>
              <w:left w:val="single" w:sz="4" w:space="0" w:color="auto"/>
              <w:bottom w:val="single" w:sz="4" w:space="0" w:color="auto"/>
              <w:right w:val="single" w:sz="4" w:space="0" w:color="auto"/>
            </w:tcBorders>
            <w:hideMark/>
          </w:tcPr>
          <w:p w14:paraId="454EBA27" w14:textId="77777777" w:rsidR="00D41B61" w:rsidRPr="00296D0C" w:rsidRDefault="00D41B61" w:rsidP="005C3553">
            <w:pPr>
              <w:rPr>
                <w:rFonts w:eastAsia="Calibri" w:cs="Times New Roman"/>
              </w:rPr>
            </w:pPr>
            <w:r w:rsidRPr="00296D0C">
              <w:t xml:space="preserve">‘Confidence &amp; Motivation’ </w:t>
            </w:r>
          </w:p>
        </w:tc>
        <w:tc>
          <w:tcPr>
            <w:tcW w:w="1275" w:type="dxa"/>
            <w:tcBorders>
              <w:top w:val="single" w:sz="4" w:space="0" w:color="auto"/>
              <w:left w:val="single" w:sz="4" w:space="0" w:color="auto"/>
              <w:bottom w:val="single" w:sz="4" w:space="0" w:color="auto"/>
              <w:right w:val="single" w:sz="4" w:space="0" w:color="auto"/>
            </w:tcBorders>
            <w:hideMark/>
          </w:tcPr>
          <w:p w14:paraId="78483CA9" w14:textId="77777777" w:rsidR="00D41B61" w:rsidRPr="00296D0C" w:rsidRDefault="00D41B61" w:rsidP="005C3553">
            <w:pPr>
              <w:rPr>
                <w:rFonts w:eastAsia="Calibri" w:cs="Times New Roman"/>
              </w:rPr>
            </w:pPr>
            <w:r w:rsidRPr="00296D0C">
              <w:rPr>
                <w:rFonts w:eastAsia="Calibri" w:cs="Times New Roman"/>
              </w:rPr>
              <w:t>-0.19**</w:t>
            </w:r>
          </w:p>
        </w:tc>
        <w:tc>
          <w:tcPr>
            <w:tcW w:w="1276" w:type="dxa"/>
            <w:tcBorders>
              <w:top w:val="single" w:sz="4" w:space="0" w:color="auto"/>
              <w:left w:val="single" w:sz="4" w:space="0" w:color="auto"/>
              <w:bottom w:val="single" w:sz="4" w:space="0" w:color="auto"/>
              <w:right w:val="single" w:sz="4" w:space="0" w:color="auto"/>
            </w:tcBorders>
            <w:hideMark/>
          </w:tcPr>
          <w:p w14:paraId="064C1F14" w14:textId="77777777" w:rsidR="00D41B61" w:rsidRPr="00296D0C" w:rsidRDefault="00D41B61" w:rsidP="005C3553">
            <w:pPr>
              <w:rPr>
                <w:rFonts w:eastAsia="Calibri" w:cs="Times New Roman"/>
              </w:rPr>
            </w:pPr>
            <w:r w:rsidRPr="00296D0C">
              <w:rPr>
                <w:rFonts w:eastAsia="Calibri" w:cs="Times New Roman"/>
              </w:rPr>
              <w:t>-0.20**</w:t>
            </w:r>
          </w:p>
        </w:tc>
      </w:tr>
      <w:tr w:rsidR="00D41B61" w:rsidRPr="00296D0C" w14:paraId="713BBD4D" w14:textId="77777777" w:rsidTr="00B1372B">
        <w:tc>
          <w:tcPr>
            <w:tcW w:w="4503" w:type="dxa"/>
            <w:tcBorders>
              <w:top w:val="single" w:sz="4" w:space="0" w:color="auto"/>
              <w:left w:val="single" w:sz="4" w:space="0" w:color="auto"/>
              <w:bottom w:val="single" w:sz="4" w:space="0" w:color="auto"/>
              <w:right w:val="single" w:sz="4" w:space="0" w:color="auto"/>
            </w:tcBorders>
            <w:hideMark/>
          </w:tcPr>
          <w:p w14:paraId="07276BC6" w14:textId="77777777" w:rsidR="00D41B61" w:rsidRPr="00296D0C" w:rsidRDefault="00D41B61" w:rsidP="005C3553">
            <w:pPr>
              <w:rPr>
                <w:rFonts w:eastAsia="Calibri" w:cs="Times New Roman"/>
              </w:rPr>
            </w:pPr>
            <w:r w:rsidRPr="00296D0C">
              <w:t>‘Peer Norms’</w:t>
            </w:r>
          </w:p>
        </w:tc>
        <w:tc>
          <w:tcPr>
            <w:tcW w:w="1275" w:type="dxa"/>
            <w:tcBorders>
              <w:top w:val="single" w:sz="4" w:space="0" w:color="auto"/>
              <w:left w:val="single" w:sz="4" w:space="0" w:color="auto"/>
              <w:bottom w:val="single" w:sz="4" w:space="0" w:color="auto"/>
              <w:right w:val="single" w:sz="4" w:space="0" w:color="auto"/>
            </w:tcBorders>
            <w:hideMark/>
          </w:tcPr>
          <w:p w14:paraId="0E5E302C" w14:textId="77777777" w:rsidR="00D41B61" w:rsidRPr="00296D0C" w:rsidRDefault="00D41B61" w:rsidP="005C3553">
            <w:pPr>
              <w:rPr>
                <w:rFonts w:eastAsia="Calibri" w:cs="Times New Roman"/>
              </w:rPr>
            </w:pPr>
            <w:r w:rsidRPr="00296D0C">
              <w:rPr>
                <w:rFonts w:eastAsia="Calibri" w:cs="Times New Roman"/>
              </w:rPr>
              <w:t>-0.12**</w:t>
            </w:r>
          </w:p>
        </w:tc>
        <w:tc>
          <w:tcPr>
            <w:tcW w:w="1276" w:type="dxa"/>
            <w:tcBorders>
              <w:top w:val="single" w:sz="4" w:space="0" w:color="auto"/>
              <w:left w:val="single" w:sz="4" w:space="0" w:color="auto"/>
              <w:bottom w:val="single" w:sz="4" w:space="0" w:color="auto"/>
              <w:right w:val="single" w:sz="4" w:space="0" w:color="auto"/>
            </w:tcBorders>
            <w:hideMark/>
          </w:tcPr>
          <w:p w14:paraId="4E6AC606" w14:textId="77777777" w:rsidR="00D41B61" w:rsidRPr="00296D0C" w:rsidRDefault="00D41B61" w:rsidP="005C3553">
            <w:pPr>
              <w:rPr>
                <w:rFonts w:eastAsia="Calibri" w:cs="Times New Roman"/>
              </w:rPr>
            </w:pPr>
            <w:r w:rsidRPr="00296D0C">
              <w:rPr>
                <w:rFonts w:eastAsia="Calibri" w:cs="Times New Roman"/>
              </w:rPr>
              <w:t>-0.10**</w:t>
            </w:r>
          </w:p>
        </w:tc>
      </w:tr>
      <w:tr w:rsidR="00D41B61" w:rsidRPr="00296D0C" w14:paraId="74E9D6D5" w14:textId="77777777" w:rsidTr="00B1372B">
        <w:tc>
          <w:tcPr>
            <w:tcW w:w="4503" w:type="dxa"/>
            <w:tcBorders>
              <w:top w:val="single" w:sz="4" w:space="0" w:color="auto"/>
              <w:left w:val="single" w:sz="4" w:space="0" w:color="auto"/>
              <w:bottom w:val="single" w:sz="4" w:space="0" w:color="auto"/>
              <w:right w:val="single" w:sz="4" w:space="0" w:color="auto"/>
            </w:tcBorders>
            <w:hideMark/>
          </w:tcPr>
          <w:p w14:paraId="1BDA2D1C" w14:textId="77777777" w:rsidR="00D41B61" w:rsidRPr="00296D0C" w:rsidRDefault="00D41B61" w:rsidP="005C3553">
            <w:pPr>
              <w:rPr>
                <w:rFonts w:eastAsia="Calibri" w:cs="Times New Roman"/>
              </w:rPr>
            </w:pPr>
            <w:r w:rsidRPr="00296D0C">
              <w:t>‘Family Approval /  Behaviours &amp; Child Attitudes’</w:t>
            </w:r>
          </w:p>
        </w:tc>
        <w:tc>
          <w:tcPr>
            <w:tcW w:w="1275" w:type="dxa"/>
            <w:tcBorders>
              <w:top w:val="single" w:sz="4" w:space="0" w:color="auto"/>
              <w:left w:val="single" w:sz="4" w:space="0" w:color="auto"/>
              <w:bottom w:val="single" w:sz="4" w:space="0" w:color="auto"/>
              <w:right w:val="single" w:sz="4" w:space="0" w:color="auto"/>
            </w:tcBorders>
            <w:hideMark/>
          </w:tcPr>
          <w:p w14:paraId="1C0141A6" w14:textId="77777777" w:rsidR="00D41B61" w:rsidRPr="00296D0C" w:rsidRDefault="00D41B61" w:rsidP="005C3553">
            <w:pPr>
              <w:rPr>
                <w:rFonts w:eastAsia="Calibri" w:cs="Times New Roman"/>
              </w:rPr>
            </w:pPr>
            <w:r w:rsidRPr="00296D0C">
              <w:rPr>
                <w:rFonts w:eastAsia="Calibri" w:cs="Times New Roman"/>
              </w:rPr>
              <w:t>-0.28**</w:t>
            </w:r>
          </w:p>
        </w:tc>
        <w:tc>
          <w:tcPr>
            <w:tcW w:w="1276" w:type="dxa"/>
            <w:tcBorders>
              <w:top w:val="single" w:sz="4" w:space="0" w:color="auto"/>
              <w:left w:val="single" w:sz="4" w:space="0" w:color="auto"/>
              <w:bottom w:val="single" w:sz="4" w:space="0" w:color="auto"/>
              <w:right w:val="single" w:sz="4" w:space="0" w:color="auto"/>
            </w:tcBorders>
            <w:hideMark/>
          </w:tcPr>
          <w:p w14:paraId="774032CD" w14:textId="77777777" w:rsidR="00D41B61" w:rsidRPr="00296D0C" w:rsidRDefault="00D41B61" w:rsidP="005C3553">
            <w:pPr>
              <w:rPr>
                <w:rFonts w:eastAsia="Calibri" w:cs="Times New Roman"/>
              </w:rPr>
            </w:pPr>
            <w:r w:rsidRPr="00296D0C">
              <w:rPr>
                <w:rFonts w:eastAsia="Calibri" w:cs="Times New Roman"/>
              </w:rPr>
              <w:t>-0.27**</w:t>
            </w:r>
          </w:p>
        </w:tc>
      </w:tr>
      <w:tr w:rsidR="00D41B61" w:rsidRPr="00296D0C" w14:paraId="6BE7C6BA" w14:textId="77777777" w:rsidTr="00B1372B">
        <w:tc>
          <w:tcPr>
            <w:tcW w:w="4503" w:type="dxa"/>
            <w:tcBorders>
              <w:top w:val="single" w:sz="4" w:space="0" w:color="auto"/>
              <w:left w:val="single" w:sz="4" w:space="0" w:color="auto"/>
              <w:bottom w:val="single" w:sz="4" w:space="0" w:color="auto"/>
              <w:right w:val="single" w:sz="4" w:space="0" w:color="auto"/>
            </w:tcBorders>
            <w:hideMark/>
          </w:tcPr>
          <w:p w14:paraId="49E3AD07" w14:textId="77777777" w:rsidR="00D41B61" w:rsidRPr="00296D0C" w:rsidRDefault="00D41B61" w:rsidP="005C3553">
            <w:pPr>
              <w:rPr>
                <w:rFonts w:eastAsia="Calibri" w:cs="Times New Roman"/>
              </w:rPr>
            </w:pPr>
            <w:r w:rsidRPr="00296D0C">
              <w:t xml:space="preserve">‘Behaviours &amp; Strategies’  </w:t>
            </w:r>
          </w:p>
        </w:tc>
        <w:tc>
          <w:tcPr>
            <w:tcW w:w="1275" w:type="dxa"/>
            <w:tcBorders>
              <w:top w:val="single" w:sz="4" w:space="0" w:color="auto"/>
              <w:left w:val="single" w:sz="4" w:space="0" w:color="auto"/>
              <w:bottom w:val="single" w:sz="4" w:space="0" w:color="auto"/>
              <w:right w:val="single" w:sz="4" w:space="0" w:color="auto"/>
            </w:tcBorders>
            <w:hideMark/>
          </w:tcPr>
          <w:p w14:paraId="3E71C4ED" w14:textId="77777777" w:rsidR="00D41B61" w:rsidRPr="00296D0C" w:rsidRDefault="00D41B61" w:rsidP="005C3553">
            <w:pPr>
              <w:rPr>
                <w:rFonts w:eastAsia="Calibri" w:cs="Times New Roman"/>
              </w:rPr>
            </w:pPr>
            <w:r w:rsidRPr="00296D0C">
              <w:rPr>
                <w:rFonts w:eastAsia="Calibri" w:cs="Times New Roman"/>
              </w:rPr>
              <w:t>-0.13**</w:t>
            </w:r>
          </w:p>
        </w:tc>
        <w:tc>
          <w:tcPr>
            <w:tcW w:w="1276" w:type="dxa"/>
            <w:tcBorders>
              <w:top w:val="single" w:sz="4" w:space="0" w:color="auto"/>
              <w:left w:val="single" w:sz="4" w:space="0" w:color="auto"/>
              <w:bottom w:val="single" w:sz="4" w:space="0" w:color="auto"/>
              <w:right w:val="single" w:sz="4" w:space="0" w:color="auto"/>
            </w:tcBorders>
            <w:hideMark/>
          </w:tcPr>
          <w:p w14:paraId="2D9C9AB4" w14:textId="77777777" w:rsidR="00D41B61" w:rsidRPr="00296D0C" w:rsidRDefault="00D41B61" w:rsidP="005C3553">
            <w:pPr>
              <w:rPr>
                <w:rFonts w:eastAsia="Calibri" w:cs="Times New Roman"/>
              </w:rPr>
            </w:pPr>
            <w:r w:rsidRPr="00296D0C">
              <w:rPr>
                <w:rFonts w:eastAsia="Calibri" w:cs="Times New Roman"/>
              </w:rPr>
              <w:t>-0.12**</w:t>
            </w:r>
          </w:p>
        </w:tc>
      </w:tr>
    </w:tbl>
    <w:p w14:paraId="35BFB785" w14:textId="77777777" w:rsidR="00D41B61" w:rsidRDefault="00D41B61" w:rsidP="00D41B61">
      <w:pPr>
        <w:rPr>
          <w:rFonts w:eastAsia="Calibri" w:cs="Times New Roman"/>
        </w:rPr>
      </w:pPr>
      <w:r w:rsidRPr="00296D0C">
        <w:rPr>
          <w:rFonts w:eastAsia="Calibri" w:cs="Times New Roman"/>
        </w:rPr>
        <w:t>**</w:t>
      </w:r>
      <w:r w:rsidRPr="00296D0C">
        <w:rPr>
          <w:rFonts w:eastAsia="Calibri" w:cs="Times New Roman"/>
          <w:i/>
        </w:rPr>
        <w:t xml:space="preserve"> p </w:t>
      </w:r>
      <w:r w:rsidRPr="00296D0C">
        <w:rPr>
          <w:rFonts w:eastAsia="Calibri" w:cs="Times New Roman"/>
        </w:rPr>
        <w:t>&lt; 0.01</w:t>
      </w:r>
    </w:p>
    <w:p w14:paraId="2A9867E0" w14:textId="77777777" w:rsidR="00300599" w:rsidRPr="00296D0C" w:rsidRDefault="00300599" w:rsidP="00D41B61">
      <w:pPr>
        <w:rPr>
          <w:rFonts w:eastAsia="Calibri" w:cs="Times New Roman"/>
          <w:i/>
        </w:rPr>
      </w:pPr>
    </w:p>
    <w:p w14:paraId="16F03D2A" w14:textId="77777777" w:rsidR="00D41B61" w:rsidRPr="00296D0C" w:rsidRDefault="00D41B61" w:rsidP="00D41B61">
      <w:pPr>
        <w:spacing w:after="0" w:line="360" w:lineRule="auto"/>
        <w:rPr>
          <w:rFonts w:eastAsia="Calibri" w:cs="Times New Roman"/>
        </w:rPr>
      </w:pPr>
      <w:r w:rsidRPr="00296D0C">
        <w:rPr>
          <w:rFonts w:eastAsia="Calibri" w:cs="Times New Roman"/>
        </w:rPr>
        <w:t>Our longitudinal path analysis contained data from three time points: 1) at baseline, including the demographic variables: gender, baseline BMI SDS, school size, and school level deprivation with direct paths to the outcome variable as well as the baseline scores of the outcome and demographic variables; 2) the 12 month mediating variables and 3) the 18 month outcome data. The baseline score of the outcome variable (Energy Dense Snack or Negative Food Marker) as well as child’s allocated group (independent variable) also had direct paths to the outcome variable. The model shows that baseline composite variables predicted scores on these same variables at 12 months, which in turn predicted the outcome variable at 18 months. The intervention versus control variable also predicted the scores on the five composite variables at 12 months. Several of the composite variables were correlated at baseline (guided by modification indices &gt; 10). The error variances of the mediating variables at 12 months were correlated in an identical pattern to those pairs of mediating variables at baseline.</w:t>
      </w:r>
    </w:p>
    <w:p w14:paraId="1967318D" w14:textId="77777777" w:rsidR="00D41B61" w:rsidRPr="00296D0C" w:rsidRDefault="00D41B61" w:rsidP="00D41B61">
      <w:pPr>
        <w:spacing w:after="0" w:line="360" w:lineRule="auto"/>
        <w:rPr>
          <w:rFonts w:eastAsia="Calibri" w:cs="Times New Roman"/>
          <w:highlight w:val="yellow"/>
        </w:rPr>
      </w:pPr>
    </w:p>
    <w:p w14:paraId="26E4B807" w14:textId="05A364A3" w:rsidR="000020DD" w:rsidRDefault="00D41B61" w:rsidP="00D41B61">
      <w:pPr>
        <w:spacing w:after="0" w:line="360" w:lineRule="auto"/>
        <w:rPr>
          <w:rFonts w:eastAsia="Calibri" w:cs="Times New Roman"/>
        </w:rPr>
      </w:pPr>
      <w:r w:rsidRPr="00296D0C">
        <w:rPr>
          <w:rFonts w:eastAsia="Calibri" w:cs="Times New Roman"/>
        </w:rPr>
        <w:t xml:space="preserve">Table </w:t>
      </w:r>
      <w:r w:rsidR="00BB3630" w:rsidRPr="00296D0C">
        <w:rPr>
          <w:rFonts w:eastAsia="Calibri" w:cs="Times New Roman"/>
        </w:rPr>
        <w:t>4</w:t>
      </w:r>
      <w:r w:rsidR="00D80862">
        <w:rPr>
          <w:rFonts w:eastAsia="Calibri" w:cs="Times New Roman"/>
        </w:rPr>
        <w:t>8</w:t>
      </w:r>
      <w:r w:rsidRPr="00296D0C">
        <w:rPr>
          <w:rFonts w:eastAsia="Calibri" w:cs="Times New Roman"/>
        </w:rPr>
        <w:t xml:space="preserve"> shows the goodness-of-fit indices for the two longitudinal path analysis models (with EDS and NFM as outcome variables). Overall the model fits were acceptable for both outcome variables and although the Comparative Fit Index results were slightly below the 0.95 criterion for an excellent fit, the other indices met the criteria. </w:t>
      </w:r>
    </w:p>
    <w:p w14:paraId="139888E2" w14:textId="77777777" w:rsidR="000020DD" w:rsidRDefault="000020DD">
      <w:pPr>
        <w:rPr>
          <w:rFonts w:eastAsia="Calibri" w:cs="Times New Roman"/>
        </w:rPr>
      </w:pPr>
      <w:r>
        <w:rPr>
          <w:rFonts w:eastAsia="Calibri" w:cs="Times New Roman"/>
        </w:rPr>
        <w:br w:type="page"/>
      </w:r>
    </w:p>
    <w:p w14:paraId="2C3CECD6" w14:textId="68587ECE" w:rsidR="00D41B61" w:rsidRDefault="00D41B61" w:rsidP="00D41B61">
      <w:pPr>
        <w:spacing w:after="0" w:line="360" w:lineRule="auto"/>
        <w:rPr>
          <w:rFonts w:eastAsia="Calibri" w:cs="Times New Roman"/>
          <w:b/>
        </w:rPr>
      </w:pPr>
      <w:r w:rsidRPr="00296D0C">
        <w:rPr>
          <w:rFonts w:eastAsia="Calibri" w:cs="Times New Roman"/>
          <w:b/>
        </w:rPr>
        <w:lastRenderedPageBreak/>
        <w:t>T</w:t>
      </w:r>
      <w:r w:rsidR="00F331F5" w:rsidRPr="00296D0C">
        <w:rPr>
          <w:rFonts w:eastAsia="Calibri" w:cs="Times New Roman"/>
          <w:b/>
        </w:rPr>
        <w:t>ABLE</w:t>
      </w:r>
      <w:r w:rsidRPr="00296D0C">
        <w:rPr>
          <w:rFonts w:eastAsia="Calibri" w:cs="Times New Roman"/>
          <w:b/>
        </w:rPr>
        <w:t xml:space="preserve"> </w:t>
      </w:r>
      <w:r w:rsidR="00BB3630" w:rsidRPr="00296D0C">
        <w:rPr>
          <w:rFonts w:eastAsia="Calibri" w:cs="Times New Roman"/>
          <w:b/>
        </w:rPr>
        <w:t>4</w:t>
      </w:r>
      <w:r w:rsidR="00D80862">
        <w:rPr>
          <w:rFonts w:eastAsia="Calibri" w:cs="Times New Roman"/>
          <w:b/>
        </w:rPr>
        <w:t>8</w:t>
      </w:r>
      <w:r w:rsidRPr="00296D0C">
        <w:rPr>
          <w:rFonts w:eastAsia="Calibri" w:cs="Times New Roman"/>
          <w:b/>
        </w:rPr>
        <w:t xml:space="preserve"> Goodness-of-fit indices for the longitudinal path analysis models with EDS and NFM at 18 months as outcome variables.</w:t>
      </w:r>
    </w:p>
    <w:p w14:paraId="20B951DD" w14:textId="77777777" w:rsidR="00300599" w:rsidRPr="00296D0C" w:rsidRDefault="00300599" w:rsidP="00D41B61">
      <w:pPr>
        <w:spacing w:after="0" w:line="360" w:lineRule="auto"/>
        <w:rPr>
          <w:rFonts w:eastAsia="Calibri" w:cs="Times New Roman"/>
          <w:b/>
        </w:rPr>
      </w:pPr>
    </w:p>
    <w:tbl>
      <w:tblPr>
        <w:tblStyle w:val="TableGrid1"/>
        <w:tblW w:w="0" w:type="auto"/>
        <w:tblLook w:val="04A0" w:firstRow="1" w:lastRow="0" w:firstColumn="1" w:lastColumn="0" w:noHBand="0" w:noVBand="1"/>
      </w:tblPr>
      <w:tblGrid>
        <w:gridCol w:w="3227"/>
        <w:gridCol w:w="2835"/>
        <w:gridCol w:w="2794"/>
      </w:tblGrid>
      <w:tr w:rsidR="00D41B61" w:rsidRPr="00296D0C" w14:paraId="27AEF0C2" w14:textId="77777777" w:rsidTr="005C3553">
        <w:tc>
          <w:tcPr>
            <w:tcW w:w="3227" w:type="dxa"/>
            <w:tcBorders>
              <w:top w:val="single" w:sz="4" w:space="0" w:color="auto"/>
              <w:left w:val="single" w:sz="4" w:space="0" w:color="auto"/>
              <w:bottom w:val="single" w:sz="4" w:space="0" w:color="auto"/>
              <w:right w:val="single" w:sz="4" w:space="0" w:color="auto"/>
            </w:tcBorders>
            <w:hideMark/>
          </w:tcPr>
          <w:p w14:paraId="38569885" w14:textId="77777777" w:rsidR="00D41B61" w:rsidRPr="00296D0C" w:rsidRDefault="00D41B61" w:rsidP="005C3553">
            <w:pPr>
              <w:rPr>
                <w:rFonts w:eastAsia="Calibri" w:cs="Times New Roman"/>
                <w:b/>
              </w:rPr>
            </w:pPr>
            <w:r w:rsidRPr="00296D0C">
              <w:rPr>
                <w:rFonts w:eastAsia="Calibri" w:cs="Times New Roman"/>
                <w:b/>
              </w:rPr>
              <w:t>Goodness-of-fit indices</w:t>
            </w:r>
          </w:p>
        </w:tc>
        <w:tc>
          <w:tcPr>
            <w:tcW w:w="2835" w:type="dxa"/>
            <w:tcBorders>
              <w:top w:val="single" w:sz="4" w:space="0" w:color="auto"/>
              <w:left w:val="single" w:sz="4" w:space="0" w:color="auto"/>
              <w:bottom w:val="single" w:sz="4" w:space="0" w:color="auto"/>
              <w:right w:val="single" w:sz="4" w:space="0" w:color="auto"/>
            </w:tcBorders>
            <w:hideMark/>
          </w:tcPr>
          <w:p w14:paraId="6D260ACB" w14:textId="77777777" w:rsidR="00D41B61" w:rsidRPr="00296D0C" w:rsidRDefault="00D41B61" w:rsidP="005C3553">
            <w:pPr>
              <w:rPr>
                <w:rFonts w:eastAsia="Calibri" w:cs="Times New Roman"/>
                <w:b/>
              </w:rPr>
            </w:pPr>
            <w:r w:rsidRPr="00296D0C">
              <w:rPr>
                <w:rFonts w:eastAsia="Calibri" w:cs="Times New Roman"/>
                <w:b/>
              </w:rPr>
              <w:t>EDS</w:t>
            </w:r>
          </w:p>
        </w:tc>
        <w:tc>
          <w:tcPr>
            <w:tcW w:w="2794" w:type="dxa"/>
            <w:tcBorders>
              <w:top w:val="single" w:sz="4" w:space="0" w:color="auto"/>
              <w:left w:val="single" w:sz="4" w:space="0" w:color="auto"/>
              <w:bottom w:val="single" w:sz="4" w:space="0" w:color="auto"/>
              <w:right w:val="single" w:sz="4" w:space="0" w:color="auto"/>
            </w:tcBorders>
            <w:hideMark/>
          </w:tcPr>
          <w:p w14:paraId="6778FDD6" w14:textId="77777777" w:rsidR="00D41B61" w:rsidRPr="00296D0C" w:rsidRDefault="00D41B61" w:rsidP="005C3553">
            <w:pPr>
              <w:rPr>
                <w:rFonts w:eastAsia="Calibri" w:cs="Times New Roman"/>
                <w:b/>
              </w:rPr>
            </w:pPr>
            <w:r w:rsidRPr="00296D0C">
              <w:rPr>
                <w:rFonts w:eastAsia="Calibri" w:cs="Times New Roman"/>
                <w:b/>
              </w:rPr>
              <w:t>NFM</w:t>
            </w:r>
          </w:p>
        </w:tc>
      </w:tr>
      <w:tr w:rsidR="00D41B61" w:rsidRPr="00296D0C" w14:paraId="6EF701F4" w14:textId="77777777" w:rsidTr="005C3553">
        <w:tc>
          <w:tcPr>
            <w:tcW w:w="3227" w:type="dxa"/>
            <w:tcBorders>
              <w:top w:val="single" w:sz="4" w:space="0" w:color="auto"/>
              <w:left w:val="single" w:sz="4" w:space="0" w:color="auto"/>
              <w:bottom w:val="single" w:sz="4" w:space="0" w:color="auto"/>
              <w:right w:val="single" w:sz="4" w:space="0" w:color="auto"/>
            </w:tcBorders>
            <w:hideMark/>
          </w:tcPr>
          <w:p w14:paraId="7D56F92C" w14:textId="77777777" w:rsidR="00D41B61" w:rsidRPr="00296D0C" w:rsidRDefault="00D41B61" w:rsidP="005C3553">
            <w:pPr>
              <w:rPr>
                <w:rFonts w:eastAsia="Calibri" w:cs="Times New Roman"/>
              </w:rPr>
            </w:pPr>
            <w:r w:rsidRPr="00296D0C">
              <w:rPr>
                <w:rFonts w:eastAsia="Calibri" w:cs="Times New Roman"/>
              </w:rPr>
              <w:t xml:space="preserve">Satorra-Bentler scaled </w:t>
            </w:r>
            <w:r w:rsidRPr="00296D0C">
              <w:rPr>
                <w:rFonts w:eastAsia="Calibri" w:cs="Times New Roman"/>
                <w:i/>
              </w:rPr>
              <w:t>χ</w:t>
            </w:r>
            <w:r w:rsidRPr="00296D0C">
              <w:rPr>
                <w:rFonts w:eastAsia="Calibri" w:cs="Times New Roman"/>
                <w:vertAlign w:val="superscript"/>
              </w:rPr>
              <w:t>2</w:t>
            </w:r>
            <w:r w:rsidRPr="00296D0C">
              <w:rPr>
                <w:rFonts w:eastAsia="Calibri" w:cs="Times New Roman"/>
              </w:rPr>
              <w:t>/</w:t>
            </w:r>
            <w:r w:rsidRPr="00296D0C">
              <w:rPr>
                <w:rFonts w:eastAsia="Calibri" w:cs="Times New Roman"/>
                <w:i/>
              </w:rPr>
              <w:t>df</w:t>
            </w:r>
          </w:p>
        </w:tc>
        <w:tc>
          <w:tcPr>
            <w:tcW w:w="2835" w:type="dxa"/>
            <w:tcBorders>
              <w:top w:val="single" w:sz="4" w:space="0" w:color="auto"/>
              <w:left w:val="single" w:sz="4" w:space="0" w:color="auto"/>
              <w:bottom w:val="single" w:sz="4" w:space="0" w:color="auto"/>
              <w:right w:val="single" w:sz="4" w:space="0" w:color="auto"/>
            </w:tcBorders>
            <w:hideMark/>
          </w:tcPr>
          <w:p w14:paraId="0CA1FDC1" w14:textId="77777777" w:rsidR="00D41B61" w:rsidRPr="00296D0C" w:rsidRDefault="00D41B61" w:rsidP="005C3553">
            <w:pPr>
              <w:rPr>
                <w:rFonts w:eastAsia="Calibri" w:cs="Times New Roman"/>
              </w:rPr>
            </w:pPr>
            <w:r w:rsidRPr="00296D0C">
              <w:rPr>
                <w:rFonts w:eastAsia="Calibri" w:cs="Times New Roman"/>
              </w:rPr>
              <w:t>4.303</w:t>
            </w:r>
          </w:p>
        </w:tc>
        <w:tc>
          <w:tcPr>
            <w:tcW w:w="2794" w:type="dxa"/>
            <w:tcBorders>
              <w:top w:val="single" w:sz="4" w:space="0" w:color="auto"/>
              <w:left w:val="single" w:sz="4" w:space="0" w:color="auto"/>
              <w:bottom w:val="single" w:sz="4" w:space="0" w:color="auto"/>
              <w:right w:val="single" w:sz="4" w:space="0" w:color="auto"/>
            </w:tcBorders>
            <w:hideMark/>
          </w:tcPr>
          <w:p w14:paraId="3D9096D3" w14:textId="77777777" w:rsidR="00D41B61" w:rsidRPr="00296D0C" w:rsidRDefault="00D41B61" w:rsidP="005C3553">
            <w:pPr>
              <w:rPr>
                <w:rFonts w:eastAsia="Calibri" w:cs="Times New Roman"/>
              </w:rPr>
            </w:pPr>
            <w:r w:rsidRPr="00296D0C">
              <w:rPr>
                <w:rFonts w:eastAsia="Calibri" w:cs="Times New Roman"/>
              </w:rPr>
              <w:t>4.336</w:t>
            </w:r>
          </w:p>
        </w:tc>
      </w:tr>
      <w:tr w:rsidR="00D41B61" w:rsidRPr="00296D0C" w14:paraId="58475EE9" w14:textId="77777777" w:rsidTr="005C3553">
        <w:tc>
          <w:tcPr>
            <w:tcW w:w="3227" w:type="dxa"/>
            <w:tcBorders>
              <w:top w:val="single" w:sz="4" w:space="0" w:color="auto"/>
              <w:left w:val="single" w:sz="4" w:space="0" w:color="auto"/>
              <w:bottom w:val="single" w:sz="4" w:space="0" w:color="auto"/>
              <w:right w:val="single" w:sz="4" w:space="0" w:color="auto"/>
            </w:tcBorders>
            <w:hideMark/>
          </w:tcPr>
          <w:p w14:paraId="1512DDA9" w14:textId="77777777" w:rsidR="00D41B61" w:rsidRPr="00296D0C" w:rsidRDefault="00D41B61" w:rsidP="005C3553">
            <w:pPr>
              <w:rPr>
                <w:rFonts w:eastAsia="Calibri" w:cs="Times New Roman"/>
              </w:rPr>
            </w:pPr>
            <w:r w:rsidRPr="00296D0C">
              <w:rPr>
                <w:rFonts w:eastAsia="Calibri" w:cs="Times New Roman"/>
              </w:rPr>
              <w:t>RMSEA</w:t>
            </w:r>
          </w:p>
        </w:tc>
        <w:tc>
          <w:tcPr>
            <w:tcW w:w="2835" w:type="dxa"/>
            <w:tcBorders>
              <w:top w:val="single" w:sz="4" w:space="0" w:color="auto"/>
              <w:left w:val="single" w:sz="4" w:space="0" w:color="auto"/>
              <w:bottom w:val="single" w:sz="4" w:space="0" w:color="auto"/>
              <w:right w:val="single" w:sz="4" w:space="0" w:color="auto"/>
            </w:tcBorders>
            <w:hideMark/>
          </w:tcPr>
          <w:p w14:paraId="0FCE6527" w14:textId="77777777" w:rsidR="00D41B61" w:rsidRPr="00296D0C" w:rsidRDefault="00D41B61" w:rsidP="005C3553">
            <w:pPr>
              <w:rPr>
                <w:rFonts w:eastAsia="Calibri" w:cs="Times New Roman"/>
              </w:rPr>
            </w:pPr>
            <w:r w:rsidRPr="00296D0C">
              <w:rPr>
                <w:rFonts w:eastAsia="Calibri" w:cs="Times New Roman"/>
              </w:rPr>
              <w:t>0.052</w:t>
            </w:r>
          </w:p>
        </w:tc>
        <w:tc>
          <w:tcPr>
            <w:tcW w:w="2794" w:type="dxa"/>
            <w:tcBorders>
              <w:top w:val="single" w:sz="4" w:space="0" w:color="auto"/>
              <w:left w:val="single" w:sz="4" w:space="0" w:color="auto"/>
              <w:bottom w:val="single" w:sz="4" w:space="0" w:color="auto"/>
              <w:right w:val="single" w:sz="4" w:space="0" w:color="auto"/>
            </w:tcBorders>
            <w:hideMark/>
          </w:tcPr>
          <w:p w14:paraId="7C0B4AF4" w14:textId="77777777" w:rsidR="00D41B61" w:rsidRPr="00296D0C" w:rsidRDefault="00D41B61" w:rsidP="005C3553">
            <w:pPr>
              <w:rPr>
                <w:rFonts w:eastAsia="Calibri" w:cs="Times New Roman"/>
              </w:rPr>
            </w:pPr>
            <w:r w:rsidRPr="00296D0C">
              <w:rPr>
                <w:rFonts w:eastAsia="Calibri" w:cs="Times New Roman"/>
              </w:rPr>
              <w:t>0.052</w:t>
            </w:r>
          </w:p>
        </w:tc>
      </w:tr>
      <w:tr w:rsidR="00D41B61" w:rsidRPr="00296D0C" w14:paraId="190A8118" w14:textId="77777777" w:rsidTr="005C3553">
        <w:tc>
          <w:tcPr>
            <w:tcW w:w="3227" w:type="dxa"/>
            <w:tcBorders>
              <w:top w:val="single" w:sz="4" w:space="0" w:color="auto"/>
              <w:left w:val="single" w:sz="4" w:space="0" w:color="auto"/>
              <w:bottom w:val="single" w:sz="4" w:space="0" w:color="auto"/>
              <w:right w:val="single" w:sz="4" w:space="0" w:color="auto"/>
            </w:tcBorders>
            <w:hideMark/>
          </w:tcPr>
          <w:p w14:paraId="4510FC9E" w14:textId="77777777" w:rsidR="00D41B61" w:rsidRPr="00296D0C" w:rsidRDefault="00D41B61" w:rsidP="005C3553">
            <w:pPr>
              <w:rPr>
                <w:rFonts w:eastAsia="Calibri" w:cs="Times New Roman"/>
              </w:rPr>
            </w:pPr>
            <w:r w:rsidRPr="00296D0C">
              <w:rPr>
                <w:rFonts w:eastAsia="Calibri" w:cs="Times New Roman"/>
              </w:rPr>
              <w:t>CFI</w:t>
            </w:r>
          </w:p>
        </w:tc>
        <w:tc>
          <w:tcPr>
            <w:tcW w:w="2835" w:type="dxa"/>
            <w:tcBorders>
              <w:top w:val="single" w:sz="4" w:space="0" w:color="auto"/>
              <w:left w:val="single" w:sz="4" w:space="0" w:color="auto"/>
              <w:bottom w:val="single" w:sz="4" w:space="0" w:color="auto"/>
              <w:right w:val="single" w:sz="4" w:space="0" w:color="auto"/>
            </w:tcBorders>
            <w:hideMark/>
          </w:tcPr>
          <w:p w14:paraId="37B8096C" w14:textId="77777777" w:rsidR="00D41B61" w:rsidRPr="00296D0C" w:rsidRDefault="00D41B61" w:rsidP="005C3553">
            <w:pPr>
              <w:rPr>
                <w:rFonts w:eastAsia="Calibri" w:cs="Times New Roman"/>
              </w:rPr>
            </w:pPr>
            <w:r w:rsidRPr="00296D0C">
              <w:rPr>
                <w:rFonts w:eastAsia="Calibri" w:cs="Times New Roman"/>
              </w:rPr>
              <w:t>0.943</w:t>
            </w:r>
          </w:p>
        </w:tc>
        <w:tc>
          <w:tcPr>
            <w:tcW w:w="2794" w:type="dxa"/>
            <w:tcBorders>
              <w:top w:val="single" w:sz="4" w:space="0" w:color="auto"/>
              <w:left w:val="single" w:sz="4" w:space="0" w:color="auto"/>
              <w:bottom w:val="single" w:sz="4" w:space="0" w:color="auto"/>
              <w:right w:val="single" w:sz="4" w:space="0" w:color="auto"/>
            </w:tcBorders>
            <w:hideMark/>
          </w:tcPr>
          <w:p w14:paraId="2A4E4DC6" w14:textId="77777777" w:rsidR="00D41B61" w:rsidRPr="00296D0C" w:rsidRDefault="00D41B61" w:rsidP="005C3553">
            <w:pPr>
              <w:rPr>
                <w:rFonts w:eastAsia="Calibri" w:cs="Times New Roman"/>
              </w:rPr>
            </w:pPr>
            <w:r w:rsidRPr="00296D0C">
              <w:rPr>
                <w:rFonts w:eastAsia="Calibri" w:cs="Times New Roman"/>
              </w:rPr>
              <w:t>0.940</w:t>
            </w:r>
          </w:p>
        </w:tc>
      </w:tr>
      <w:tr w:rsidR="00D41B61" w:rsidRPr="00296D0C" w14:paraId="4B8124F8" w14:textId="77777777" w:rsidTr="005C3553">
        <w:tc>
          <w:tcPr>
            <w:tcW w:w="3227" w:type="dxa"/>
            <w:tcBorders>
              <w:top w:val="single" w:sz="4" w:space="0" w:color="auto"/>
              <w:left w:val="single" w:sz="4" w:space="0" w:color="auto"/>
              <w:bottom w:val="single" w:sz="4" w:space="0" w:color="auto"/>
              <w:right w:val="single" w:sz="4" w:space="0" w:color="auto"/>
            </w:tcBorders>
            <w:hideMark/>
          </w:tcPr>
          <w:p w14:paraId="4307393B" w14:textId="77777777" w:rsidR="00D41B61" w:rsidRPr="00296D0C" w:rsidRDefault="00D41B61" w:rsidP="005C3553">
            <w:pPr>
              <w:spacing w:line="360" w:lineRule="auto"/>
              <w:rPr>
                <w:rFonts w:eastAsia="Calibri" w:cs="Times New Roman"/>
              </w:rPr>
            </w:pPr>
            <w:r w:rsidRPr="00296D0C">
              <w:rPr>
                <w:rFonts w:eastAsia="Calibri" w:cs="Times New Roman"/>
              </w:rPr>
              <w:t>SRMR</w:t>
            </w:r>
          </w:p>
        </w:tc>
        <w:tc>
          <w:tcPr>
            <w:tcW w:w="2835" w:type="dxa"/>
            <w:tcBorders>
              <w:top w:val="single" w:sz="4" w:space="0" w:color="auto"/>
              <w:left w:val="single" w:sz="4" w:space="0" w:color="auto"/>
              <w:bottom w:val="single" w:sz="4" w:space="0" w:color="auto"/>
              <w:right w:val="single" w:sz="4" w:space="0" w:color="auto"/>
            </w:tcBorders>
            <w:hideMark/>
          </w:tcPr>
          <w:p w14:paraId="072B592A" w14:textId="77777777" w:rsidR="00D41B61" w:rsidRPr="00296D0C" w:rsidRDefault="00D41B61" w:rsidP="005C3553">
            <w:pPr>
              <w:spacing w:line="360" w:lineRule="auto"/>
              <w:rPr>
                <w:rFonts w:eastAsia="Calibri" w:cs="Times New Roman"/>
              </w:rPr>
            </w:pPr>
            <w:r w:rsidRPr="00296D0C">
              <w:rPr>
                <w:rFonts w:eastAsia="Calibri" w:cs="Times New Roman"/>
              </w:rPr>
              <w:t>0.057</w:t>
            </w:r>
          </w:p>
        </w:tc>
        <w:tc>
          <w:tcPr>
            <w:tcW w:w="2794" w:type="dxa"/>
            <w:tcBorders>
              <w:top w:val="single" w:sz="4" w:space="0" w:color="auto"/>
              <w:left w:val="single" w:sz="4" w:space="0" w:color="auto"/>
              <w:bottom w:val="single" w:sz="4" w:space="0" w:color="auto"/>
              <w:right w:val="single" w:sz="4" w:space="0" w:color="auto"/>
            </w:tcBorders>
            <w:hideMark/>
          </w:tcPr>
          <w:p w14:paraId="250853BC" w14:textId="77777777" w:rsidR="00D41B61" w:rsidRPr="00296D0C" w:rsidRDefault="00D41B61" w:rsidP="005C3553">
            <w:pPr>
              <w:spacing w:line="360" w:lineRule="auto"/>
              <w:rPr>
                <w:rFonts w:eastAsia="Calibri" w:cs="Times New Roman"/>
              </w:rPr>
            </w:pPr>
            <w:r w:rsidRPr="00296D0C">
              <w:rPr>
                <w:rFonts w:eastAsia="Calibri" w:cs="Times New Roman"/>
              </w:rPr>
              <w:t>0.061</w:t>
            </w:r>
          </w:p>
        </w:tc>
      </w:tr>
    </w:tbl>
    <w:p w14:paraId="3474177C" w14:textId="77777777" w:rsidR="00D41B61" w:rsidRPr="00296D0C" w:rsidRDefault="00D41B61" w:rsidP="00D41B61">
      <w:pPr>
        <w:spacing w:after="0" w:line="360" w:lineRule="auto"/>
        <w:rPr>
          <w:rFonts w:eastAsia="Calibri" w:cs="Times New Roman"/>
          <w:highlight w:val="yellow"/>
        </w:rPr>
      </w:pPr>
    </w:p>
    <w:p w14:paraId="64B5BE45" w14:textId="77777777" w:rsidR="00D41B61" w:rsidRPr="00565DC7" w:rsidRDefault="00D41B61" w:rsidP="00D41B61">
      <w:pPr>
        <w:spacing w:after="0" w:line="360" w:lineRule="auto"/>
        <w:rPr>
          <w:rFonts w:eastAsia="Calibri" w:cs="Times New Roman"/>
          <w:i/>
        </w:rPr>
      </w:pPr>
      <w:r w:rsidRPr="00565DC7">
        <w:rPr>
          <w:rFonts w:eastAsia="Calibri" w:cs="Times New Roman"/>
          <w:i/>
        </w:rPr>
        <w:t>Path analysis for weekday EDS (18 months)</w:t>
      </w:r>
    </w:p>
    <w:p w14:paraId="2B514F2F" w14:textId="7E0FAEBF" w:rsidR="00D41B61" w:rsidRPr="00296D0C" w:rsidRDefault="00D41B61" w:rsidP="00D41B61">
      <w:pPr>
        <w:spacing w:after="0" w:line="360" w:lineRule="auto"/>
        <w:rPr>
          <w:rFonts w:eastAsia="Times New Roman" w:cs="Arial"/>
          <w:shd w:val="clear" w:color="auto" w:fill="FFFFFF"/>
        </w:rPr>
      </w:pPr>
      <w:r w:rsidRPr="00565DC7">
        <w:rPr>
          <w:rFonts w:eastAsia="Calibri" w:cs="Times New Roman"/>
        </w:rPr>
        <w:t xml:space="preserve">Figure </w:t>
      </w:r>
      <w:r w:rsidR="00300599" w:rsidRPr="00565DC7">
        <w:rPr>
          <w:rFonts w:eastAsia="Calibri" w:cs="Times New Roman"/>
        </w:rPr>
        <w:t>10</w:t>
      </w:r>
      <w:r w:rsidRPr="00565DC7">
        <w:rPr>
          <w:rFonts w:eastAsia="Calibri" w:cs="Times New Roman"/>
        </w:rPr>
        <w:t xml:space="preserve"> presents a diagram of the path analysis for Energy Dense Snacks. </w:t>
      </w:r>
      <w:r w:rsidR="00565DC7" w:rsidRPr="00565DC7">
        <w:rPr>
          <w:rFonts w:eastAsia="Calibri" w:cs="Times New Roman"/>
        </w:rPr>
        <w:t>Not shown are the correlations of the variables at baseline, error covariances and non-significant reg</w:t>
      </w:r>
      <w:r w:rsidR="00565DC7">
        <w:rPr>
          <w:rFonts w:eastAsia="Calibri" w:cs="Times New Roman"/>
        </w:rPr>
        <w:t>ression weights (dashed lines)</w:t>
      </w:r>
      <w:r w:rsidRPr="00296D0C">
        <w:rPr>
          <w:rFonts w:eastAsia="Calibri" w:cs="Times New Roman"/>
        </w:rPr>
        <w:t>. The following composite variables were significantly (</w:t>
      </w:r>
      <w:r w:rsidRPr="00296D0C">
        <w:rPr>
          <w:rFonts w:eastAsia="Calibri" w:cs="Times New Roman"/>
          <w:i/>
        </w:rPr>
        <w:t xml:space="preserve">p </w:t>
      </w:r>
      <w:r w:rsidRPr="00296D0C">
        <w:rPr>
          <w:rFonts w:eastAsia="Calibri" w:cs="Times New Roman"/>
        </w:rPr>
        <w:t>&lt; 0.05) correlated at baseline: ‘Knowledge’ with ‘Family Approval / Behaviours &amp; Child Attitudes’ and ‘Confidence &amp; Motivation’; ‘Family Approval / Behaviours &amp; Child Attitudes’ with ‘Confidence &amp; Motivation’, ‘Peer Norms’, and ‘Behaviours &amp; Strategies’; ‘Confidence &amp; Motivation’ with ‘Peer Norms’ and ‘Behaviours &amp; Strategies’; and ‘Peer Norms’ with ‘Behaviours &amp; Strategies’. All paths shown in the diagram were significant (</w:t>
      </w:r>
      <w:r w:rsidRPr="00296D0C">
        <w:rPr>
          <w:rFonts w:eastAsia="Calibri" w:cs="Times New Roman"/>
          <w:i/>
        </w:rPr>
        <w:t xml:space="preserve">p </w:t>
      </w:r>
      <w:r w:rsidRPr="00296D0C">
        <w:rPr>
          <w:rFonts w:eastAsia="Calibri" w:cs="Times New Roman"/>
        </w:rPr>
        <w:t>&lt; 0.05) except for the associations between gender and Energy Dense Snack (18 months), school level deprivation and Energy Dense Snack (18 months), ‘Peer Norms’ and EDS (18 months), and ‘Behaviours &amp; Strategies’ and EDS (18 months). The direct effect of the intervention on Energy Dense Snacks (18 months) was significant (</w:t>
      </w:r>
      <w:r w:rsidRPr="00296D0C">
        <w:rPr>
          <w:rFonts w:eastAsia="Calibri" w:cs="Times New Roman"/>
          <w:i/>
        </w:rPr>
        <w:t xml:space="preserve">p </w:t>
      </w:r>
      <w:r w:rsidRPr="00296D0C">
        <w:rPr>
          <w:rFonts w:eastAsia="Calibri" w:cs="Times New Roman"/>
        </w:rPr>
        <w:t>= 0.041) indicating partial mediation by ‘Knowledge’, ‘Family Approval / Behaviours &amp; Child Attitudes’, and ‘Confidence &amp; Motivation’. Of these three mediating variables, the effect of ‘Family Approval / Behaviours &amp; Child Attitudes’ was the strongest, with a standardised regression weight of -0.18, followed by ‘Confidence &amp; Motivation’ (</w:t>
      </w:r>
      <w:r w:rsidRPr="00296D0C">
        <w:rPr>
          <w:rFonts w:eastAsia="Times New Roman" w:cs="Arial"/>
          <w:i/>
          <w:shd w:val="clear" w:color="auto" w:fill="FFFFFF"/>
        </w:rPr>
        <w:t xml:space="preserve">β </w:t>
      </w:r>
      <w:r w:rsidRPr="00296D0C">
        <w:rPr>
          <w:rFonts w:eastAsia="Times New Roman" w:cs="Arial"/>
          <w:shd w:val="clear" w:color="auto" w:fill="FFFFFF"/>
        </w:rPr>
        <w:t xml:space="preserve">= -0.09), and ‘Knowledge’ </w:t>
      </w:r>
      <w:r w:rsidRPr="00296D0C">
        <w:rPr>
          <w:rFonts w:eastAsia="Calibri" w:cs="Times New Roman"/>
        </w:rPr>
        <w:t>(</w:t>
      </w:r>
      <w:r w:rsidRPr="00296D0C">
        <w:rPr>
          <w:rFonts w:eastAsia="Times New Roman" w:cs="Arial"/>
          <w:i/>
          <w:shd w:val="clear" w:color="auto" w:fill="FFFFFF"/>
        </w:rPr>
        <w:t xml:space="preserve">β </w:t>
      </w:r>
      <w:r w:rsidRPr="00296D0C">
        <w:rPr>
          <w:rFonts w:eastAsia="Times New Roman" w:cs="Arial"/>
          <w:shd w:val="clear" w:color="auto" w:fill="FFFFFF"/>
        </w:rPr>
        <w:t>= -0.07).</w:t>
      </w:r>
    </w:p>
    <w:p w14:paraId="69578A0D" w14:textId="77777777" w:rsidR="00D41B61" w:rsidRDefault="00D41B61" w:rsidP="00D41B61">
      <w:pPr>
        <w:spacing w:after="0" w:line="360" w:lineRule="auto"/>
        <w:rPr>
          <w:rFonts w:eastAsia="Times New Roman" w:cs="Arial"/>
          <w:shd w:val="clear" w:color="auto" w:fill="FFFFFF"/>
        </w:rPr>
      </w:pPr>
    </w:p>
    <w:p w14:paraId="0632E939" w14:textId="77777777" w:rsidR="0036024B" w:rsidRDefault="0036024B" w:rsidP="00D41B61">
      <w:pPr>
        <w:spacing w:after="0" w:line="360" w:lineRule="auto"/>
        <w:rPr>
          <w:rFonts w:eastAsia="Times New Roman" w:cs="Arial"/>
          <w:shd w:val="clear" w:color="auto" w:fill="FFFFFF"/>
        </w:rPr>
      </w:pPr>
    </w:p>
    <w:p w14:paraId="7D6A06D2" w14:textId="77777777" w:rsidR="0036024B" w:rsidRDefault="0036024B" w:rsidP="00D41B61">
      <w:pPr>
        <w:spacing w:after="0" w:line="360" w:lineRule="auto"/>
        <w:rPr>
          <w:rFonts w:eastAsia="Times New Roman" w:cs="Arial"/>
          <w:shd w:val="clear" w:color="auto" w:fill="FFFFFF"/>
        </w:rPr>
      </w:pPr>
    </w:p>
    <w:p w14:paraId="2AE6C151" w14:textId="77777777" w:rsidR="0036024B" w:rsidRDefault="0036024B" w:rsidP="00D41B61">
      <w:pPr>
        <w:spacing w:after="0" w:line="360" w:lineRule="auto"/>
        <w:rPr>
          <w:rFonts w:eastAsia="Times New Roman" w:cs="Arial"/>
          <w:shd w:val="clear" w:color="auto" w:fill="FFFFFF"/>
        </w:rPr>
      </w:pPr>
    </w:p>
    <w:p w14:paraId="46B46724" w14:textId="77777777" w:rsidR="0036024B" w:rsidRPr="00296D0C" w:rsidRDefault="0036024B" w:rsidP="00D41B61">
      <w:pPr>
        <w:spacing w:after="0" w:line="360" w:lineRule="auto"/>
        <w:rPr>
          <w:rFonts w:eastAsia="Times New Roman" w:cs="Arial"/>
          <w:shd w:val="clear" w:color="auto" w:fill="FFFFFF"/>
        </w:rPr>
      </w:pPr>
    </w:p>
    <w:p w14:paraId="04406F06" w14:textId="77777777" w:rsidR="00565DC7" w:rsidRDefault="00565DC7">
      <w:pPr>
        <w:rPr>
          <w:rFonts w:eastAsia="Calibri" w:cs="Times New Roman"/>
          <w:b/>
        </w:rPr>
      </w:pPr>
      <w:r>
        <w:rPr>
          <w:rFonts w:eastAsia="Calibri" w:cs="Times New Roman"/>
          <w:b/>
        </w:rPr>
        <w:br w:type="page"/>
      </w:r>
    </w:p>
    <w:p w14:paraId="5E57F59A" w14:textId="3AAFC5B4" w:rsidR="00D41B61" w:rsidRPr="00296D0C" w:rsidRDefault="00D41B61" w:rsidP="00D41B61">
      <w:pPr>
        <w:spacing w:after="0" w:line="360" w:lineRule="auto"/>
        <w:rPr>
          <w:rFonts w:eastAsia="Calibri" w:cs="Times New Roman"/>
          <w:b/>
        </w:rPr>
      </w:pPr>
      <w:r w:rsidRPr="00296D0C">
        <w:rPr>
          <w:rFonts w:eastAsia="Calibri" w:cs="Times New Roman"/>
          <w:b/>
        </w:rPr>
        <w:lastRenderedPageBreak/>
        <w:t>F</w:t>
      </w:r>
      <w:r w:rsidR="00F331F5" w:rsidRPr="00296D0C">
        <w:rPr>
          <w:rFonts w:eastAsia="Calibri" w:cs="Times New Roman"/>
          <w:b/>
        </w:rPr>
        <w:t>IGURE</w:t>
      </w:r>
      <w:r w:rsidR="00B1372B" w:rsidRPr="00296D0C">
        <w:rPr>
          <w:rFonts w:eastAsia="Calibri" w:cs="Times New Roman"/>
          <w:b/>
        </w:rPr>
        <w:t xml:space="preserve"> 10</w:t>
      </w:r>
      <w:r w:rsidRPr="00296D0C">
        <w:rPr>
          <w:rFonts w:eastAsia="Calibri" w:cs="Times New Roman"/>
          <w:b/>
        </w:rPr>
        <w:t xml:space="preserve"> Partial mediation model with significant standardised regression weights of pathways for weekday EDS at 18 months. </w:t>
      </w:r>
    </w:p>
    <w:p w14:paraId="6F760FD3" w14:textId="77777777" w:rsidR="00D41B61" w:rsidRPr="00296D0C" w:rsidRDefault="00D41B61" w:rsidP="00D41B61">
      <w:pPr>
        <w:spacing w:after="0" w:line="360" w:lineRule="auto"/>
        <w:rPr>
          <w:rFonts w:eastAsia="Times New Roman" w:cs="Arial"/>
          <w:shd w:val="clear" w:color="auto" w:fill="FFFFFF"/>
        </w:rPr>
      </w:pPr>
    </w:p>
    <w:p w14:paraId="1F4A0DA9" w14:textId="1528F9FC" w:rsidR="00D41B61" w:rsidRPr="00296D0C" w:rsidRDefault="002F19E8" w:rsidP="00D41B61">
      <w:pPr>
        <w:rPr>
          <w:rFonts w:eastAsia="Times New Roman" w:cs="Arial"/>
          <w:shd w:val="clear" w:color="auto" w:fill="FFFFFF"/>
        </w:rPr>
      </w:pPr>
      <w:r>
        <w:rPr>
          <w:noProof/>
          <w:lang w:eastAsia="zh-CN"/>
        </w:rPr>
        <w:drawing>
          <wp:inline distT="0" distB="0" distL="0" distR="0" wp14:anchorId="600AFC21" wp14:editId="2077780C">
            <wp:extent cx="5446643" cy="3931371"/>
            <wp:effectExtent l="0" t="0" r="1905"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44974" cy="3930166"/>
                    </a:xfrm>
                    <a:prstGeom prst="rect">
                      <a:avLst/>
                    </a:prstGeom>
                    <a:noFill/>
                  </pic:spPr>
                </pic:pic>
              </a:graphicData>
            </a:graphic>
          </wp:inline>
        </w:drawing>
      </w:r>
    </w:p>
    <w:p w14:paraId="76FAD78B" w14:textId="77777777" w:rsidR="00D41B61" w:rsidRPr="00296D0C" w:rsidRDefault="00D41B61" w:rsidP="00D41B61">
      <w:pPr>
        <w:spacing w:after="0" w:line="360" w:lineRule="auto"/>
        <w:rPr>
          <w:rFonts w:eastAsia="Calibri" w:cs="Times New Roman"/>
          <w:i/>
        </w:rPr>
      </w:pPr>
      <w:r w:rsidRPr="00296D0C">
        <w:rPr>
          <w:rFonts w:eastAsia="Calibri" w:cs="Times New Roman"/>
          <w:i/>
        </w:rPr>
        <w:t>Key: BMI SDS = Body Mass Index standardised; SES = socioeconomic status; EDS = Energy Dense Snacks; NFM = Negative Food Markers; FAB&amp;CA = ‘Family Approval / Behaviours &amp; Child Attitudes’; C&amp;M = ‘Confidence &amp; Motivation’; PN = ‘Peer Norms’; B&amp;S = ‘Behaviours &amp; Strategies’. *p &lt; 0.05; ** p &lt; 0.01; ***p &lt; 0.001</w:t>
      </w:r>
    </w:p>
    <w:p w14:paraId="102BF6D2" w14:textId="77777777" w:rsidR="00D41B61" w:rsidRPr="00296D0C" w:rsidRDefault="00D41B61" w:rsidP="00D41B61">
      <w:pPr>
        <w:spacing w:after="0" w:line="360" w:lineRule="auto"/>
        <w:rPr>
          <w:rFonts w:eastAsia="Calibri" w:cs="Times New Roman"/>
          <w:i/>
        </w:rPr>
      </w:pPr>
    </w:p>
    <w:p w14:paraId="01A88B91" w14:textId="77777777" w:rsidR="00D41B61" w:rsidRPr="00296D0C" w:rsidRDefault="00D41B61" w:rsidP="00D41B61">
      <w:pPr>
        <w:spacing w:after="0" w:line="360" w:lineRule="auto"/>
        <w:rPr>
          <w:rFonts w:eastAsia="Calibri" w:cs="Times New Roman"/>
          <w:i/>
        </w:rPr>
      </w:pPr>
      <w:r w:rsidRPr="00296D0C">
        <w:rPr>
          <w:rFonts w:eastAsia="Calibri" w:cs="Times New Roman"/>
          <w:i/>
        </w:rPr>
        <w:t>Path analysis for weekday Negative Food Markers (18 months)</w:t>
      </w:r>
    </w:p>
    <w:p w14:paraId="39FEF2C6" w14:textId="505C4278" w:rsidR="00D41B61" w:rsidRPr="00296D0C" w:rsidRDefault="00565DC7" w:rsidP="00D41B61">
      <w:pPr>
        <w:spacing w:after="0" w:line="360" w:lineRule="auto"/>
        <w:rPr>
          <w:rFonts w:eastAsia="Times New Roman" w:cs="Arial"/>
          <w:shd w:val="clear" w:color="auto" w:fill="FFFFFF"/>
        </w:rPr>
      </w:pPr>
      <w:r>
        <w:rPr>
          <w:rFonts w:eastAsia="Calibri" w:cs="Times New Roman"/>
        </w:rPr>
        <w:t>Figure 11 shows t</w:t>
      </w:r>
      <w:r w:rsidR="00D41B61" w:rsidRPr="00296D0C">
        <w:rPr>
          <w:rFonts w:eastAsia="Calibri" w:cs="Times New Roman"/>
        </w:rPr>
        <w:t xml:space="preserve">he </w:t>
      </w:r>
      <w:r>
        <w:rPr>
          <w:rFonts w:eastAsia="Calibri" w:cs="Times New Roman"/>
        </w:rPr>
        <w:t xml:space="preserve">full mediation model with significant standardised regression weights of pathways for weekday Negative Food Markers at 18 months. </w:t>
      </w:r>
      <w:r w:rsidRPr="00565DC7">
        <w:rPr>
          <w:rFonts w:eastAsia="Calibri" w:cs="Times New Roman"/>
        </w:rPr>
        <w:t>Not shown are the correlations of the variables at baseline, error covariances and non-significant regression weights (dashed lines).</w:t>
      </w:r>
      <w:r w:rsidRPr="00296D0C">
        <w:rPr>
          <w:rFonts w:eastAsia="Calibri" w:cs="Times New Roman"/>
          <w:b/>
        </w:rPr>
        <w:t xml:space="preserve"> </w:t>
      </w:r>
      <w:r>
        <w:rPr>
          <w:rFonts w:eastAsia="Calibri" w:cs="Times New Roman"/>
        </w:rPr>
        <w:t xml:space="preserve"> The </w:t>
      </w:r>
      <w:r w:rsidR="00D41B61" w:rsidRPr="00296D0C">
        <w:rPr>
          <w:rFonts w:eastAsia="Calibri" w:cs="Times New Roman"/>
        </w:rPr>
        <w:t>results for Negative Food Markers were generally similar, with the same variables correlated at baseline and at 12 months. Similar to the results for Energy Dense Snack, there were no significant associations between gender and NFM (18 months), school level deprivation and NFM (18 months), and ‘Peer Norms’ and NFM (18 months). However, the association between ‘Behaviours &amp; Strategies’ and Negative Food Markers (18 months) was significant (</w:t>
      </w:r>
      <w:r w:rsidR="00D41B61" w:rsidRPr="00296D0C">
        <w:rPr>
          <w:rFonts w:eastAsia="Calibri" w:cs="Times New Roman"/>
          <w:i/>
        </w:rPr>
        <w:t xml:space="preserve">p </w:t>
      </w:r>
      <w:r w:rsidR="00D41B61" w:rsidRPr="00296D0C">
        <w:rPr>
          <w:rFonts w:eastAsia="Calibri" w:cs="Times New Roman"/>
        </w:rPr>
        <w:t>&lt; 0.05), and there was no significant association between school size and Negative Food Markers (18</w:t>
      </w:r>
      <w:r w:rsidR="00586B44">
        <w:rPr>
          <w:rFonts w:eastAsia="Calibri" w:cs="Times New Roman"/>
        </w:rPr>
        <w:t xml:space="preserve"> </w:t>
      </w:r>
      <w:r w:rsidR="00D41B61" w:rsidRPr="00296D0C">
        <w:rPr>
          <w:rFonts w:eastAsia="Calibri" w:cs="Times New Roman"/>
        </w:rPr>
        <w:t>months). Additionally, the direct effect of the intervention on Negative Food Markers (18 months) was not significant (</w:t>
      </w:r>
      <w:r w:rsidR="00D41B61" w:rsidRPr="00296D0C">
        <w:rPr>
          <w:rFonts w:eastAsia="Calibri" w:cs="Times New Roman"/>
          <w:i/>
        </w:rPr>
        <w:t xml:space="preserve">p </w:t>
      </w:r>
      <w:r w:rsidR="00D41B61" w:rsidRPr="00296D0C">
        <w:rPr>
          <w:rFonts w:eastAsia="Calibri" w:cs="Times New Roman"/>
        </w:rPr>
        <w:t xml:space="preserve">= </w:t>
      </w:r>
      <w:r w:rsidR="00D41B61" w:rsidRPr="00296D0C">
        <w:rPr>
          <w:rFonts w:eastAsia="Calibri" w:cs="Times New Roman"/>
        </w:rPr>
        <w:lastRenderedPageBreak/>
        <w:t>0.059) indicating full mediation by ‘Knowledge’, ‘Family Approval / Behaviours &amp; Child Attitudes’, ‘Confidence &amp; Motivation’, and ‘Behaviours &amp; Strategies’. Of these four variables, the effect of ‘Family Approval / Behaviours &amp; Child Attitudes’ was the strongest, with a standardised regression weight of -0.18, followed</w:t>
      </w:r>
      <w:r w:rsidR="00F1481D">
        <w:rPr>
          <w:rFonts w:eastAsia="Calibri" w:cs="Times New Roman"/>
        </w:rPr>
        <w:t xml:space="preserve"> by ‘Confidence &amp; Motivation’ </w:t>
      </w:r>
      <w:r w:rsidR="00D41B61" w:rsidRPr="00296D0C">
        <w:rPr>
          <w:rFonts w:eastAsia="Times New Roman" w:cs="Arial"/>
          <w:i/>
          <w:shd w:val="clear" w:color="auto" w:fill="FFFFFF"/>
        </w:rPr>
        <w:t xml:space="preserve">β </w:t>
      </w:r>
      <w:r w:rsidR="00D41B61" w:rsidRPr="00296D0C">
        <w:rPr>
          <w:rFonts w:eastAsia="Times New Roman" w:cs="Arial"/>
          <w:shd w:val="clear" w:color="auto" w:fill="FFFFFF"/>
        </w:rPr>
        <w:t>= -0.10), ‘Behaviours &amp; Strategies’ (</w:t>
      </w:r>
      <w:r w:rsidR="00D41B61" w:rsidRPr="00296D0C">
        <w:rPr>
          <w:rFonts w:eastAsia="Times New Roman" w:cs="Arial"/>
          <w:i/>
          <w:shd w:val="clear" w:color="auto" w:fill="FFFFFF"/>
        </w:rPr>
        <w:t xml:space="preserve">β </w:t>
      </w:r>
      <w:r w:rsidR="00D41B61" w:rsidRPr="00296D0C">
        <w:rPr>
          <w:rFonts w:eastAsia="Times New Roman" w:cs="Arial"/>
          <w:shd w:val="clear" w:color="auto" w:fill="FFFFFF"/>
        </w:rPr>
        <w:t xml:space="preserve">= 0.08), and ‘Knowledge’ </w:t>
      </w:r>
      <w:r w:rsidR="00D41B61" w:rsidRPr="00296D0C">
        <w:rPr>
          <w:rFonts w:eastAsia="Calibri" w:cs="Times New Roman"/>
        </w:rPr>
        <w:t>(</w:t>
      </w:r>
      <w:r w:rsidR="00D41B61" w:rsidRPr="00296D0C">
        <w:rPr>
          <w:rFonts w:eastAsia="Times New Roman" w:cs="Arial"/>
          <w:i/>
          <w:shd w:val="clear" w:color="auto" w:fill="FFFFFF"/>
        </w:rPr>
        <w:t xml:space="preserve">β </w:t>
      </w:r>
      <w:r w:rsidR="00D41B61" w:rsidRPr="00296D0C">
        <w:rPr>
          <w:rFonts w:eastAsia="Times New Roman" w:cs="Arial"/>
          <w:shd w:val="clear" w:color="auto" w:fill="FFFFFF"/>
        </w:rPr>
        <w:t>= -0.06).</w:t>
      </w:r>
    </w:p>
    <w:p w14:paraId="04B45925" w14:textId="77777777" w:rsidR="00D41B61" w:rsidRPr="00296D0C" w:rsidRDefault="00D41B61" w:rsidP="00D41B61">
      <w:pPr>
        <w:spacing w:after="0" w:line="360" w:lineRule="auto"/>
        <w:rPr>
          <w:rFonts w:eastAsia="Calibri" w:cs="Times New Roman"/>
        </w:rPr>
      </w:pPr>
    </w:p>
    <w:p w14:paraId="15CC9CC3" w14:textId="2D035E74" w:rsidR="00D41B61" w:rsidRDefault="00F331F5" w:rsidP="00D41B61">
      <w:pPr>
        <w:spacing w:after="0" w:line="360" w:lineRule="auto"/>
        <w:rPr>
          <w:rFonts w:eastAsia="Calibri" w:cs="Times New Roman"/>
          <w:b/>
        </w:rPr>
      </w:pPr>
      <w:r w:rsidRPr="00296D0C">
        <w:rPr>
          <w:rFonts w:eastAsia="Calibri" w:cs="Times New Roman"/>
          <w:b/>
        </w:rPr>
        <w:t xml:space="preserve">FIGURE </w:t>
      </w:r>
      <w:r w:rsidR="00B1372B" w:rsidRPr="00296D0C">
        <w:rPr>
          <w:rFonts w:eastAsia="Calibri" w:cs="Times New Roman"/>
          <w:b/>
        </w:rPr>
        <w:t>11</w:t>
      </w:r>
      <w:r w:rsidR="00D41B61" w:rsidRPr="00296D0C">
        <w:rPr>
          <w:rFonts w:eastAsia="Calibri" w:cs="Times New Roman"/>
          <w:b/>
        </w:rPr>
        <w:t xml:space="preserve"> Full mediation model with significant standardised regression weights of pathways for weekday NFM at 18 months. </w:t>
      </w:r>
    </w:p>
    <w:p w14:paraId="0AE3B34C" w14:textId="77777777" w:rsidR="00ED2695" w:rsidRPr="00296D0C" w:rsidRDefault="00ED2695" w:rsidP="00D41B61">
      <w:pPr>
        <w:spacing w:after="0" w:line="360" w:lineRule="auto"/>
        <w:rPr>
          <w:rFonts w:eastAsia="Calibri" w:cs="Times New Roman"/>
          <w:b/>
        </w:rPr>
      </w:pPr>
    </w:p>
    <w:p w14:paraId="65A6A0C8" w14:textId="33A2B04F" w:rsidR="00D41B61" w:rsidRPr="00296D0C" w:rsidRDefault="00ED2695" w:rsidP="00D41B61">
      <w:pPr>
        <w:spacing w:after="0" w:line="360" w:lineRule="auto"/>
        <w:rPr>
          <w:rFonts w:eastAsia="Calibri" w:cs="Times New Roman"/>
          <w:i/>
          <w:highlight w:val="yellow"/>
        </w:rPr>
      </w:pPr>
      <w:r>
        <w:rPr>
          <w:rFonts w:eastAsia="Calibri" w:cs="Times New Roman"/>
          <w:i/>
          <w:noProof/>
          <w:lang w:eastAsia="zh-CN"/>
        </w:rPr>
        <w:drawing>
          <wp:inline distT="0" distB="0" distL="0" distR="0" wp14:anchorId="3C60477C" wp14:editId="10E1706D">
            <wp:extent cx="5712460" cy="3865245"/>
            <wp:effectExtent l="0" t="0" r="2540" b="1905"/>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2460" cy="3865245"/>
                    </a:xfrm>
                    <a:prstGeom prst="rect">
                      <a:avLst/>
                    </a:prstGeom>
                    <a:noFill/>
                  </pic:spPr>
                </pic:pic>
              </a:graphicData>
            </a:graphic>
          </wp:inline>
        </w:drawing>
      </w:r>
    </w:p>
    <w:p w14:paraId="4472FE7C" w14:textId="60359634" w:rsidR="00D41B61" w:rsidRDefault="00D41B61" w:rsidP="00D41B61">
      <w:pPr>
        <w:spacing w:after="0" w:line="360" w:lineRule="auto"/>
        <w:rPr>
          <w:rFonts w:eastAsia="Calibri" w:cs="Times New Roman"/>
          <w:i/>
          <w:highlight w:val="yellow"/>
        </w:rPr>
      </w:pPr>
    </w:p>
    <w:p w14:paraId="44DFE418" w14:textId="77777777" w:rsidR="00D41B61" w:rsidRPr="00296D0C" w:rsidRDefault="00D41B61" w:rsidP="00D41B61">
      <w:pPr>
        <w:spacing w:after="0" w:line="360" w:lineRule="auto"/>
        <w:rPr>
          <w:rFonts w:eastAsia="Calibri" w:cs="Times New Roman"/>
          <w:i/>
        </w:rPr>
      </w:pPr>
      <w:r w:rsidRPr="00296D0C">
        <w:rPr>
          <w:rFonts w:eastAsia="Calibri" w:cs="Times New Roman"/>
          <w:i/>
        </w:rPr>
        <w:t>Key: BMI SDS = Body Mass Index standardised; SES = socioeconomic status; EDS = energy dense snacks; NFM = Negative Food Markers; FAB&amp;CA = ‘Family Approval / Behaviours &amp; Child Attitudes’; C&amp;M = ‘Confidence &amp; Motivation’; PN = ‘Peer Norms’; B&amp;S = ‘Behaviours &amp; Strategies’.*p &lt; 0.05; ** p &lt; 0.01; ***p &lt; 0.001</w:t>
      </w:r>
    </w:p>
    <w:p w14:paraId="5C3E5086" w14:textId="77777777" w:rsidR="00D41B61" w:rsidRPr="00296D0C" w:rsidRDefault="00D41B61" w:rsidP="00D41B61">
      <w:pPr>
        <w:spacing w:after="0" w:line="360" w:lineRule="auto"/>
        <w:rPr>
          <w:rFonts w:eastAsia="Calibri" w:cs="Times New Roman"/>
          <w:i/>
        </w:rPr>
      </w:pPr>
    </w:p>
    <w:p w14:paraId="7717899B" w14:textId="3233166F" w:rsidR="00D41B61" w:rsidRPr="00296D0C" w:rsidRDefault="00D41B61" w:rsidP="006E29AA">
      <w:pPr>
        <w:spacing w:line="360" w:lineRule="auto"/>
        <w:rPr>
          <w:rFonts w:eastAsia="Times New Roman" w:cs="Times New Roman"/>
        </w:rPr>
      </w:pPr>
      <w:r w:rsidRPr="00296D0C">
        <w:rPr>
          <w:rFonts w:eastAsia="Times New Roman" w:cs="Times New Roman"/>
        </w:rPr>
        <w:t xml:space="preserve">Overall the effects of the composite mediating variables on the outcome variables were fairly small. The largest association was between ‘Family Approval / Behaviours &amp; Child Attitudes’ at 12 months and the outcome variables. For both paths (between ‘Family Approval / Behaviours &amp; Child Attitudes’ and EDS as well as the path between ‘Family Approval / Behaviours &amp; Child Attitudes’ and </w:t>
      </w:r>
      <w:r w:rsidRPr="00296D0C">
        <w:rPr>
          <w:rFonts w:eastAsia="Times New Roman" w:cs="Times New Roman"/>
        </w:rPr>
        <w:lastRenderedPageBreak/>
        <w:t>NFM), β was -0.18, which means that an increase in one standard deviation of the</w:t>
      </w:r>
      <w:r w:rsidRPr="00296D0C">
        <w:t xml:space="preserve"> ‘</w:t>
      </w:r>
      <w:r w:rsidRPr="00296D0C">
        <w:rPr>
          <w:rFonts w:eastAsia="Times New Roman" w:cs="Times New Roman"/>
        </w:rPr>
        <w:t>Family Approval / Behaviours &amp; Child Attitudes’ variable was associated with a reduction of 0.18 in Energy Dense Snacks and Negative Food Markers. Additionally, the results of the ‘Behaviour &amp; Strategies’ variable need to be interpreted with caution. As outlined in Appendix 1</w:t>
      </w:r>
      <w:r w:rsidR="00A60D1B">
        <w:rPr>
          <w:rFonts w:eastAsia="Times New Roman" w:cs="Times New Roman"/>
        </w:rPr>
        <w:t>8</w:t>
      </w:r>
      <w:r w:rsidRPr="00296D0C">
        <w:rPr>
          <w:rFonts w:eastAsia="Times New Roman" w:cs="Times New Roman"/>
        </w:rPr>
        <w:t xml:space="preserve">, this variable was the least psychometrically robust of MLQ variables. The path between ‘Behaviours &amp; Strategies’ at 12 months and EDS was not significant, but the path between ‘Behaviours &amp; Strategies’ at 12 months and NFM resulted in a significant change in the opposite direction to those of the other mediating variables. This counterintuitive result is most likely a result of collinearity; as shown in Table </w:t>
      </w:r>
      <w:r w:rsidR="00B1372B" w:rsidRPr="00296D0C">
        <w:rPr>
          <w:rFonts w:eastAsia="Times New Roman" w:cs="Times New Roman"/>
        </w:rPr>
        <w:t>4</w:t>
      </w:r>
      <w:r w:rsidR="00D80862">
        <w:rPr>
          <w:rFonts w:eastAsia="Times New Roman" w:cs="Times New Roman"/>
        </w:rPr>
        <w:t>7</w:t>
      </w:r>
      <w:r w:rsidRPr="00296D0C">
        <w:rPr>
          <w:rFonts w:eastAsia="Times New Roman" w:cs="Times New Roman"/>
        </w:rPr>
        <w:t xml:space="preserve">, ‘Behaviours &amp; Strategies’ was negatively correlated with NFM. However, in the context of the other MLQ variables, this association became positive (β was 0.08; see Figure </w:t>
      </w:r>
      <w:r w:rsidR="00B22A36" w:rsidRPr="00296D0C">
        <w:rPr>
          <w:rFonts w:eastAsia="Times New Roman" w:cs="Times New Roman"/>
        </w:rPr>
        <w:t>11</w:t>
      </w:r>
      <w:r w:rsidRPr="00296D0C">
        <w:rPr>
          <w:rFonts w:eastAsia="Times New Roman" w:cs="Times New Roman"/>
        </w:rPr>
        <w:t xml:space="preserve">). Such seemingly paradoxical cases have been described in the literature (Kock &amp; Gaskins, 2016) </w:t>
      </w:r>
      <w:r w:rsidRPr="00296D0C">
        <w:rPr>
          <w:rFonts w:eastAsia="Times New Roman" w:cs="Times New Roman"/>
        </w:rPr>
        <w:fldChar w:fldCharType="begin"/>
      </w:r>
      <w:r w:rsidR="008C43BF">
        <w:rPr>
          <w:rFonts w:eastAsia="Times New Roman" w:cs="Times New Roman"/>
        </w:rPr>
        <w:instrText xml:space="preserve"> ADDIN EN.CITE &lt;EndNote&gt;&lt;Cite&gt;&lt;Author&gt;Kock&lt;/Author&gt;&lt;Year&gt;2016&lt;/Year&gt;&lt;RecNum&gt;5797&lt;/RecNum&gt;&lt;DisplayText&gt;&lt;style face="superscript"&gt;133&lt;/style&gt;&lt;/DisplayText&gt;&lt;record&gt;&lt;rec-number&gt;5797&lt;/rec-number&gt;&lt;foreign-keys&gt;&lt;key app="EN" db-id="2ewa9rrvjsdsawep2vpx5x97eedzzvxx5rta" timestamp="1478771719"&gt;5797&lt;/key&gt;&lt;/foreign-keys&gt;&lt;ref-type name="Journal Article"&gt;17&lt;/ref-type&gt;&lt;contributors&gt;&lt;authors&gt;&lt;author&gt;Kock, N., Gaskins, L.&lt;/author&gt;&lt;/authors&gt;&lt;/contributors&gt;&lt;titles&gt;&lt;title&gt;Simpson’s paradox, moderation, and the emergence of quadratic relationships in path models: An information systems illustration. &lt;/title&gt;&lt;secondary-title&gt;International Journal of Applied Nonlinear Science&lt;/secondary-title&gt;&lt;/titles&gt;&lt;periodical&gt;&lt;full-title&gt;International Journal of Applied Nonlinear Science&lt;/full-title&gt;&lt;abbr-1&gt;Int. J. Appl. Nonlinear Sci.&lt;/abbr-1&gt;&lt;abbr-2&gt;IJANS&lt;/abbr-2&gt;&lt;/periodical&gt;&lt;pages&gt;200-234&lt;/pages&gt;&lt;volume&gt;2&lt;/volume&gt;&lt;number&gt;3&lt;/number&gt;&lt;dates&gt;&lt;year&gt;2016&lt;/year&gt;&lt;/dates&gt;&lt;urls&gt;&lt;/urls&gt;&lt;/record&gt;&lt;/Cite&gt;&lt;/EndNote&gt;</w:instrText>
      </w:r>
      <w:r w:rsidRPr="00296D0C">
        <w:rPr>
          <w:rFonts w:eastAsia="Times New Roman" w:cs="Times New Roman"/>
        </w:rPr>
        <w:fldChar w:fldCharType="separate"/>
      </w:r>
      <w:r w:rsidR="008C43BF" w:rsidRPr="008C43BF">
        <w:rPr>
          <w:rFonts w:eastAsia="Times New Roman" w:cs="Times New Roman"/>
          <w:noProof/>
          <w:vertAlign w:val="superscript"/>
        </w:rPr>
        <w:t>133</w:t>
      </w:r>
      <w:r w:rsidRPr="00296D0C">
        <w:rPr>
          <w:rFonts w:eastAsia="Times New Roman" w:cs="Times New Roman"/>
        </w:rPr>
        <w:fldChar w:fldCharType="end"/>
      </w:r>
      <w:r w:rsidRPr="00296D0C">
        <w:rPr>
          <w:rFonts w:eastAsia="Times New Roman" w:cs="Times New Roman"/>
        </w:rPr>
        <w:t xml:space="preserve"> and are most likely due to collinearity with other predictor variables or the operation of suppressor variables. Table </w:t>
      </w:r>
      <w:r w:rsidR="00B1372B" w:rsidRPr="00296D0C">
        <w:rPr>
          <w:rFonts w:eastAsia="Times New Roman" w:cs="Times New Roman"/>
        </w:rPr>
        <w:t>4</w:t>
      </w:r>
      <w:r w:rsidR="00B14404">
        <w:rPr>
          <w:rFonts w:eastAsia="Times New Roman" w:cs="Times New Roman"/>
        </w:rPr>
        <w:t>6</w:t>
      </w:r>
      <w:r w:rsidRPr="00296D0C">
        <w:rPr>
          <w:rFonts w:eastAsia="Times New Roman" w:cs="Times New Roman"/>
        </w:rPr>
        <w:t xml:space="preserve"> shows that ‘Behaviours &amp; Strategies’ and ‘Confidence &amp; Motivation’ were correlated to an extent (r = 0.69) that could question the statistical independence of the variables and further multiple-linear regression analyses confirmed that the coefficient of ‘Behaviours &amp; Strategies’ does change direction when ‘Confidence &amp; Motivation’ is added as a  second predictor. Further exploration of these composite variables could clarify which items are responsible for these effects.</w:t>
      </w:r>
    </w:p>
    <w:p w14:paraId="5D06FF5C" w14:textId="26A48E63" w:rsidR="00D41B61" w:rsidRPr="00296D0C" w:rsidRDefault="005F6B15" w:rsidP="005F6B15">
      <w:pPr>
        <w:keepNext/>
        <w:keepLines/>
        <w:spacing w:after="0" w:line="360" w:lineRule="auto"/>
        <w:outlineLvl w:val="2"/>
        <w:rPr>
          <w:rFonts w:eastAsia="Times New Roman" w:cs="Times New Roman"/>
          <w:b/>
        </w:rPr>
      </w:pPr>
      <w:bookmarkStart w:id="594" w:name="_Toc466710119"/>
      <w:bookmarkStart w:id="595" w:name="_Toc466711467"/>
      <w:bookmarkStart w:id="596" w:name="_Toc466712126"/>
      <w:bookmarkStart w:id="597" w:name="_Toc475974394"/>
      <w:r w:rsidRPr="00296D0C">
        <w:rPr>
          <w:rFonts w:eastAsia="Times New Roman" w:cs="Times New Roman"/>
          <w:b/>
        </w:rPr>
        <w:t xml:space="preserve">5.3.4 </w:t>
      </w:r>
      <w:r w:rsidR="00D41B61" w:rsidRPr="00296D0C">
        <w:rPr>
          <w:rFonts w:eastAsia="Times New Roman" w:cs="Times New Roman"/>
          <w:b/>
        </w:rPr>
        <w:t>Summary</w:t>
      </w:r>
      <w:bookmarkEnd w:id="594"/>
      <w:bookmarkEnd w:id="595"/>
      <w:bookmarkEnd w:id="596"/>
      <w:bookmarkEnd w:id="597"/>
      <w:r w:rsidR="00D41B61" w:rsidRPr="00296D0C">
        <w:rPr>
          <w:rFonts w:eastAsia="Times New Roman" w:cs="Times New Roman"/>
          <w:b/>
        </w:rPr>
        <w:t xml:space="preserve"> </w:t>
      </w:r>
    </w:p>
    <w:p w14:paraId="707F5698" w14:textId="77777777" w:rsidR="00D41B61" w:rsidRPr="00296D0C" w:rsidRDefault="00D41B61" w:rsidP="00D41B61">
      <w:pPr>
        <w:spacing w:after="0" w:line="360" w:lineRule="auto"/>
        <w:rPr>
          <w:rFonts w:eastAsia="Calibri" w:cs="Times New Roman"/>
        </w:rPr>
      </w:pPr>
      <w:r w:rsidRPr="00296D0C">
        <w:rPr>
          <w:rFonts w:eastAsia="Calibri" w:cs="Times New Roman"/>
        </w:rPr>
        <w:t>We developed and evaluated a self-report tool, called the My Lifestyle Questionnaire (MLQ), which aimed to capture changes in knowledge, cognitions and behaviours that could explain changes in weight gain. The MLQ contains items that are relevant, acceptable and feasible for 9-10 year olds to complete in a timely manner and has undergone psychometric testing, although future additional evaluation of the MLQ could include further tests for reliability and construct validity. Five composite variables emerged from the evaluation of the MLQ and these were used as the mediating variables in the two longitudinal path analyses. The first analysis was for the number of weekday unhealthy foods consumed per day (weekday Negative Food Markers at 18 months) and showed statistical evidence for full mediation as the previous significant effect of the intervention on this outcome variable was no longer present (p-value</w:t>
      </w:r>
      <w:r w:rsidRPr="00296D0C">
        <w:rPr>
          <w:rFonts w:eastAsia="Calibri" w:cs="Times New Roman"/>
          <w:i/>
        </w:rPr>
        <w:t xml:space="preserve"> </w:t>
      </w:r>
      <w:r w:rsidRPr="00296D0C">
        <w:rPr>
          <w:rFonts w:eastAsia="Calibri" w:cs="Times New Roman"/>
        </w:rPr>
        <w:t xml:space="preserve">=  0.059) after all five mediators had been entered into the model. This result suggests that the composite variables arising from the MLQ could provide a possible explanation of how the intervention generated the observed differences in dietary behaviour. However, further exploration could clarify this explanation. The analysis for the number of weekday energy dense snacks consumed per day at 18 months revealed partial mediation (p-value = 0.041); one possible explanation for this is that other mediating variables exist which have </w:t>
      </w:r>
      <w:r w:rsidRPr="00296D0C">
        <w:rPr>
          <w:rFonts w:eastAsia="Calibri" w:cs="Times New Roman"/>
        </w:rPr>
        <w:lastRenderedPageBreak/>
        <w:t xml:space="preserve">not been measured in this study. Overall it is noted that the full and partial mediation effects were both close to the cut off for statistical significance (p-value = 0.05). </w:t>
      </w:r>
    </w:p>
    <w:p w14:paraId="6029EDD1" w14:textId="77777777" w:rsidR="00D41B61" w:rsidRPr="00296D0C" w:rsidRDefault="00D41B61" w:rsidP="00D41B61">
      <w:pPr>
        <w:spacing w:after="0" w:line="360" w:lineRule="auto"/>
        <w:rPr>
          <w:rFonts w:eastAsia="Calibri" w:cs="Times New Roman"/>
        </w:rPr>
      </w:pPr>
    </w:p>
    <w:p w14:paraId="43955AA5" w14:textId="2458E62B" w:rsidR="00D41B61" w:rsidRPr="00296D0C" w:rsidRDefault="00D41B61" w:rsidP="00D41B61">
      <w:pPr>
        <w:spacing w:after="0" w:line="360" w:lineRule="auto"/>
        <w:rPr>
          <w:rFonts w:eastAsia="Calibri" w:cs="Times New Roman"/>
        </w:rPr>
      </w:pPr>
      <w:r w:rsidRPr="00296D0C">
        <w:rPr>
          <w:rFonts w:eastAsia="Calibri" w:cs="Times New Roman"/>
        </w:rPr>
        <w:t>The findings arising from our use of composite variables requires cautious interpretation; we are only able to conclude that children have changed in a combination of ways for two of the secondary outcomes in the trial. Future work could include more theoretically based modelling work (which would be possible given the theoretical underpinning of many of the items in the MLQ) as well as cluster analyses (Snell et al</w:t>
      </w:r>
      <w:r w:rsidR="00F331F5" w:rsidRPr="00296D0C">
        <w:rPr>
          <w:rFonts w:eastAsia="Calibri" w:cs="Times New Roman"/>
        </w:rPr>
        <w:t>.,</w:t>
      </w:r>
      <w:r w:rsidRPr="00296D0C">
        <w:rPr>
          <w:rFonts w:eastAsia="Calibri" w:cs="Times New Roman"/>
        </w:rPr>
        <w:t xml:space="preserve"> 2015 </w:t>
      </w:r>
      <w:r w:rsidRPr="00296D0C">
        <w:rPr>
          <w:rFonts w:eastAsia="Calibri" w:cs="Times New Roman"/>
        </w:rPr>
        <w:fldChar w:fldCharType="begin">
          <w:fldData xml:space="preserve">PEVuZE5vdGU+PENpdGU+PEF1dGhvcj5TbmVsbDwvQXV0aG9yPjxZZWFyPjIwMTU8L1llYXI+PFJl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</w:fldData>
        </w:fldChar>
      </w:r>
      <w:r w:rsidR="008C43BF">
        <w:rPr>
          <w:rFonts w:eastAsia="Calibri" w:cs="Times New Roman"/>
        </w:rPr>
        <w:instrText xml:space="preserve"> ADDIN EN.CITE </w:instrText>
      </w:r>
      <w:r w:rsidR="008C43BF">
        <w:rPr>
          <w:rFonts w:eastAsia="Calibri" w:cs="Times New Roman"/>
        </w:rPr>
        <w:fldChar w:fldCharType="begin">
          <w:fldData xml:space="preserve">PEVuZE5vdGU+PENpdGU+PEF1dGhvcj5TbmVsbDwvQXV0aG9yPjxZZWFyPjIwMTU8L1llYXI+PFJl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</w:fldData>
        </w:fldChar>
      </w:r>
      <w:r w:rsidR="008C43BF">
        <w:rPr>
          <w:rFonts w:eastAsia="Calibri" w:cs="Times New Roman"/>
        </w:rPr>
        <w:instrText xml:space="preserve"> ADDIN EN.CITE.DATA </w:instrText>
      </w:r>
      <w:r w:rsidR="008C43BF">
        <w:rPr>
          <w:rFonts w:eastAsia="Calibri" w:cs="Times New Roman"/>
        </w:rPr>
      </w:r>
      <w:r w:rsidR="008C43BF">
        <w:rPr>
          <w:rFonts w:eastAsia="Calibri" w:cs="Times New Roman"/>
        </w:rPr>
        <w:fldChar w:fldCharType="end"/>
      </w:r>
      <w:r w:rsidRPr="00296D0C">
        <w:rPr>
          <w:rFonts w:eastAsia="Calibri" w:cs="Times New Roman"/>
        </w:rPr>
      </w:r>
      <w:r w:rsidRPr="00296D0C">
        <w:rPr>
          <w:rFonts w:eastAsia="Calibri" w:cs="Times New Roman"/>
        </w:rPr>
        <w:fldChar w:fldCharType="separate"/>
      </w:r>
      <w:r w:rsidR="008C43BF" w:rsidRPr="008C43BF">
        <w:rPr>
          <w:rFonts w:eastAsia="Calibri" w:cs="Times New Roman"/>
          <w:noProof/>
          <w:vertAlign w:val="superscript"/>
        </w:rPr>
        <w:t>134</w:t>
      </w:r>
      <w:r w:rsidRPr="00296D0C">
        <w:rPr>
          <w:rFonts w:eastAsia="Calibri" w:cs="Times New Roman"/>
        </w:rPr>
        <w:fldChar w:fldCharType="end"/>
      </w:r>
      <w:r w:rsidR="00F331F5" w:rsidRPr="00296D0C">
        <w:rPr>
          <w:rFonts w:eastAsia="Calibri" w:cs="Times New Roman"/>
        </w:rPr>
        <w:t>)</w:t>
      </w:r>
      <w:r w:rsidRPr="00296D0C">
        <w:rPr>
          <w:rFonts w:eastAsia="Calibri" w:cs="Times New Roman"/>
        </w:rPr>
        <w:t xml:space="preserve"> to investigate which specific mediator and which moderator variables might predict healthy outcomes in the whole HeLP cohort. </w:t>
      </w:r>
    </w:p>
    <w:p w14:paraId="53C33F1C" w14:textId="5138DB51" w:rsidR="00D41B61" w:rsidRPr="00296D0C" w:rsidRDefault="005F6B15" w:rsidP="00D41B61">
      <w:pPr>
        <w:keepNext/>
        <w:keepLines/>
        <w:spacing w:before="200" w:after="0"/>
        <w:outlineLvl w:val="1"/>
        <w:rPr>
          <w:rFonts w:eastAsiaTheme="majorEastAsia" w:cstheme="minorHAnsi"/>
          <w:b/>
          <w:bCs/>
        </w:rPr>
      </w:pPr>
      <w:bookmarkStart w:id="598" w:name="_Toc466639073"/>
      <w:bookmarkStart w:id="599" w:name="_Toc466710120"/>
      <w:bookmarkStart w:id="600" w:name="_Toc466711468"/>
      <w:bookmarkStart w:id="601" w:name="_Toc466712127"/>
      <w:bookmarkStart w:id="602" w:name="_Toc475974395"/>
      <w:r w:rsidRPr="00296D0C">
        <w:rPr>
          <w:rFonts w:eastAsiaTheme="majorEastAsia" w:cstheme="minorHAnsi"/>
          <w:b/>
          <w:bCs/>
        </w:rPr>
        <w:t xml:space="preserve">5.4 </w:t>
      </w:r>
      <w:r w:rsidR="00D41B61" w:rsidRPr="00296D0C">
        <w:rPr>
          <w:rFonts w:eastAsiaTheme="majorEastAsia" w:cstheme="minorHAnsi"/>
          <w:b/>
          <w:bCs/>
        </w:rPr>
        <w:t>Conclusions from the Process evaluation</w:t>
      </w:r>
      <w:bookmarkEnd w:id="598"/>
      <w:bookmarkEnd w:id="599"/>
      <w:bookmarkEnd w:id="600"/>
      <w:bookmarkEnd w:id="601"/>
      <w:bookmarkEnd w:id="602"/>
    </w:p>
    <w:p w14:paraId="045906D8" w14:textId="77777777" w:rsidR="00D41B61" w:rsidRPr="00296D0C" w:rsidRDefault="00D41B61" w:rsidP="00D41B61">
      <w:pPr>
        <w:spacing w:after="0" w:line="360" w:lineRule="auto"/>
      </w:pPr>
      <w:r w:rsidRPr="00296D0C">
        <w:t>Data from the process evaluation show that HeLP was delivered as designed in all sixteen intervention schools, with high uptake and engagement for schools, children and their families across the socioeconomic spectrum. Qualitative data suggest that HeLP worked in accordance with the underpinning IMB model and the logic model by changing children’s self-reported levels of knowledge, cognitions and behaviours as intended, however these changes were insufficient to affect physical activity behaviours at 18 months or BMI SDS at either 18 or 24 months post baseline. The mediation analyses shows the intervention effects on consumption of weekday Energy Dense Snacks were mediated by ‘Knowledge’ and two composite variables, namely, ‘Family Approval/Behaviours &amp; Child Attitudes’, and  ’Confidence &amp; Motivation’ whereas  the intervention effect on weekday consumption of unhealthy foods (Negative Food Markers) was mediated by the same variables as well as the composite variable, ‘Behaviours and Strategies’.</w:t>
      </w:r>
    </w:p>
    <w:p w14:paraId="117A6F18" w14:textId="77777777" w:rsidR="0075776E" w:rsidRPr="00296D0C" w:rsidRDefault="0075776E">
      <w:pPr>
        <w:rPr>
          <w:rFonts w:eastAsiaTheme="majorEastAsia" w:cs="Times New Roman"/>
          <w:b/>
          <w:bCs/>
        </w:rPr>
      </w:pPr>
      <w:r w:rsidRPr="00296D0C">
        <w:br w:type="page"/>
      </w:r>
    </w:p>
    <w:p w14:paraId="37ECEFEB" w14:textId="3F3C1DC3" w:rsidR="00D0651E" w:rsidRPr="00296D0C" w:rsidRDefault="00D0651E" w:rsidP="00AB4D98">
      <w:pPr>
        <w:pStyle w:val="Heading1"/>
      </w:pPr>
      <w:bookmarkStart w:id="603" w:name="_Toc466639074"/>
      <w:bookmarkStart w:id="604" w:name="_Toc466710121"/>
      <w:bookmarkStart w:id="605" w:name="_Toc466711469"/>
      <w:bookmarkStart w:id="606" w:name="_Toc466712128"/>
      <w:bookmarkStart w:id="607" w:name="_Toc475974396"/>
      <w:bookmarkEnd w:id="533"/>
      <w:bookmarkEnd w:id="534"/>
      <w:r w:rsidRPr="00296D0C">
        <w:lastRenderedPageBreak/>
        <w:t>Chapter 6 Discussion and Conclusions</w:t>
      </w:r>
      <w:bookmarkEnd w:id="603"/>
      <w:bookmarkEnd w:id="604"/>
      <w:bookmarkEnd w:id="605"/>
      <w:bookmarkEnd w:id="606"/>
      <w:bookmarkEnd w:id="607"/>
    </w:p>
    <w:p w14:paraId="17BCDE98" w14:textId="39361CFF" w:rsidR="00D0651E" w:rsidRPr="00296D0C" w:rsidRDefault="00D0651E" w:rsidP="00D0651E">
      <w:pPr>
        <w:pStyle w:val="Heading2"/>
        <w:rPr>
          <w:rFonts w:asciiTheme="minorHAnsi" w:hAnsiTheme="minorHAnsi" w:cstheme="minorHAnsi"/>
          <w:sz w:val="22"/>
          <w:szCs w:val="22"/>
        </w:rPr>
      </w:pPr>
      <w:bookmarkStart w:id="608" w:name="_Toc466639075"/>
      <w:bookmarkStart w:id="609" w:name="_Toc466710122"/>
      <w:bookmarkStart w:id="610" w:name="_Toc466711470"/>
      <w:bookmarkStart w:id="611" w:name="_Toc466712129"/>
      <w:bookmarkStart w:id="612" w:name="_Toc475974397"/>
      <w:r w:rsidRPr="00296D0C">
        <w:rPr>
          <w:rFonts w:asciiTheme="minorHAnsi" w:hAnsiTheme="minorHAnsi" w:cstheme="minorHAnsi"/>
          <w:sz w:val="22"/>
          <w:szCs w:val="22"/>
        </w:rPr>
        <w:t>6.1 Summary of findings</w:t>
      </w:r>
      <w:bookmarkEnd w:id="608"/>
      <w:bookmarkEnd w:id="609"/>
      <w:bookmarkEnd w:id="610"/>
      <w:bookmarkEnd w:id="611"/>
      <w:bookmarkEnd w:id="612"/>
    </w:p>
    <w:p w14:paraId="43B426FD" w14:textId="4E7353BB" w:rsidR="00D0651E" w:rsidRPr="00296D0C" w:rsidRDefault="00D0651E" w:rsidP="00B92C14">
      <w:pPr>
        <w:spacing w:line="360" w:lineRule="auto"/>
        <w:rPr>
          <w:rFonts w:cs="Times New Roman"/>
        </w:rPr>
      </w:pPr>
      <w:r w:rsidRPr="00296D0C">
        <w:rPr>
          <w:rFonts w:cs="Times New Roman"/>
        </w:rPr>
        <w:t>We evaluated the effectiveness and cost</w:t>
      </w:r>
      <w:r w:rsidR="00576BE5">
        <w:rPr>
          <w:rFonts w:cs="Times New Roman"/>
        </w:rPr>
        <w:t xml:space="preserve"> </w:t>
      </w:r>
      <w:r w:rsidRPr="00296D0C">
        <w:rPr>
          <w:rFonts w:cs="Times New Roman"/>
        </w:rPr>
        <w:t xml:space="preserve">effectiveness of the Healthy Lifestyles Programme (HeLP), a novel school-based obesity prevention programme, in a cluster RCT including 32 schools and over 1300 children. We found no evidence of a difference in BMI SDS at 24 months or that participating in HeLP reduced the likelihood that children would be overweight or obese compared to children not receiving the intervention. Similarly, no differences between intervention and control groups were observed in either anthropometric measures or physical activity objectively assessed using accelerometers, 18 months post-baseline. Self-reported weekly average consumption of </w:t>
      </w:r>
      <w:r w:rsidR="00DF3445">
        <w:rPr>
          <w:rFonts w:cs="Times New Roman"/>
        </w:rPr>
        <w:t xml:space="preserve">different types of </w:t>
      </w:r>
      <w:r w:rsidRPr="00296D0C">
        <w:rPr>
          <w:rFonts w:cs="Times New Roman"/>
        </w:rPr>
        <w:t>Energy Dense Snacks was lower in those attending intervention schools (</w:t>
      </w:r>
      <w:r w:rsidR="00DF3445">
        <w:rPr>
          <w:rFonts w:cs="Times New Roman"/>
        </w:rPr>
        <w:t>0.4 mean difference in score</w:t>
      </w:r>
      <w:r w:rsidRPr="00296D0C">
        <w:rPr>
          <w:rFonts w:cs="Times New Roman"/>
        </w:rPr>
        <w:t xml:space="preserve">) as was the number of </w:t>
      </w:r>
      <w:r w:rsidR="00DF3445">
        <w:rPr>
          <w:rFonts w:cs="Times New Roman"/>
        </w:rPr>
        <w:t xml:space="preserve">different types of </w:t>
      </w:r>
      <w:r w:rsidRPr="00296D0C">
        <w:rPr>
          <w:rFonts w:cs="Times New Roman"/>
        </w:rPr>
        <w:t>Negative Food Markers (</w:t>
      </w:r>
      <w:r w:rsidR="00DF3445">
        <w:rPr>
          <w:rFonts w:cs="Times New Roman"/>
        </w:rPr>
        <w:t>0.5 mean difference</w:t>
      </w:r>
      <w:r w:rsidRPr="00296D0C">
        <w:rPr>
          <w:rFonts w:cs="Times New Roman"/>
        </w:rPr>
        <w:t xml:space="preserve">), small differences that were statistically significant. These differences were largely accounted for by reported differences in weekday consumption.  </w:t>
      </w:r>
    </w:p>
    <w:p w14:paraId="71489378" w14:textId="6B2EA744" w:rsidR="00D0651E" w:rsidRPr="00296D0C" w:rsidRDefault="00D0651E" w:rsidP="00B92C14">
      <w:pPr>
        <w:spacing w:line="360" w:lineRule="auto"/>
        <w:rPr>
          <w:rFonts w:cs="Times New Roman"/>
        </w:rPr>
      </w:pPr>
      <w:r w:rsidRPr="00296D0C">
        <w:rPr>
          <w:rFonts w:cs="Times New Roman"/>
        </w:rPr>
        <w:t>The cost of implementing the HeLP Programme was estimated at approximately £210 per child. Assumptions regarding the proportions of children needing to move weight category in order to achieve cost</w:t>
      </w:r>
      <w:r w:rsidR="00576BE5">
        <w:rPr>
          <w:rFonts w:cs="Times New Roman"/>
        </w:rPr>
        <w:t xml:space="preserve"> </w:t>
      </w:r>
      <w:r w:rsidRPr="00296D0C">
        <w:rPr>
          <w:rFonts w:cs="Times New Roman"/>
        </w:rPr>
        <w:t xml:space="preserve">effectiveness using NICE cost per QALY methodology are reported.                                                                                                                                             </w:t>
      </w:r>
    </w:p>
    <w:p w14:paraId="084E6173" w14:textId="77777777" w:rsidR="00D0651E" w:rsidRPr="00296D0C" w:rsidRDefault="00D0651E" w:rsidP="00D0651E">
      <w:pPr>
        <w:pStyle w:val="Heading2"/>
        <w:rPr>
          <w:rFonts w:asciiTheme="minorHAnsi" w:hAnsiTheme="minorHAnsi" w:cs="Times New Roman"/>
          <w:b w:val="0"/>
          <w:sz w:val="22"/>
          <w:szCs w:val="22"/>
        </w:rPr>
      </w:pPr>
      <w:bookmarkStart w:id="613" w:name="_Toc466639076"/>
      <w:bookmarkStart w:id="614" w:name="_Toc466710123"/>
      <w:bookmarkStart w:id="615" w:name="_Toc466711471"/>
      <w:bookmarkStart w:id="616" w:name="_Toc466712130"/>
      <w:bookmarkStart w:id="617" w:name="_Toc475974398"/>
      <w:r w:rsidRPr="00296D0C">
        <w:rPr>
          <w:rFonts w:asciiTheme="minorHAnsi" w:hAnsiTheme="minorHAnsi" w:cs="Times New Roman"/>
          <w:sz w:val="22"/>
          <w:szCs w:val="22"/>
        </w:rPr>
        <w:t>6.2 Comparison with other studies</w:t>
      </w:r>
      <w:bookmarkEnd w:id="613"/>
      <w:bookmarkEnd w:id="614"/>
      <w:bookmarkEnd w:id="615"/>
      <w:bookmarkEnd w:id="616"/>
      <w:bookmarkEnd w:id="617"/>
    </w:p>
    <w:p w14:paraId="41FD402F" w14:textId="715C25D5" w:rsidR="00D0651E" w:rsidRPr="00296D0C" w:rsidRDefault="00D0651E" w:rsidP="00D0651E">
      <w:pPr>
        <w:spacing w:before="100" w:beforeAutospacing="1" w:after="120" w:line="360" w:lineRule="auto"/>
        <w:rPr>
          <w:rFonts w:cs="Calibri"/>
          <w:color w:val="000000"/>
        </w:rPr>
      </w:pPr>
      <w:r w:rsidRPr="00296D0C">
        <w:rPr>
          <w:rFonts w:cs="Times New Roman"/>
        </w:rPr>
        <w:t>Wang et al</w:t>
      </w:r>
      <w:r w:rsidR="001B42DF" w:rsidRPr="00296D0C">
        <w:rPr>
          <w:rFonts w:cs="Times New Roman"/>
        </w:rPr>
        <w:t>.,</w:t>
      </w:r>
      <w:r w:rsidRPr="00296D0C">
        <w:rPr>
          <w:rFonts w:cs="Times New Roman"/>
        </w:rPr>
        <w:t xml:space="preserve"> 2015 </w:t>
      </w:r>
      <w:r w:rsidRPr="00296D0C">
        <w:rPr>
          <w:rFonts w:cs="Times New Roman"/>
        </w:rPr>
        <w:fldChar w:fldCharType="begin">
          <w:fldData xml:space="preserve">PEVuZE5vdGU+PENpdGU+PEF1dGhvcj5XYW5nPC9BdXRob3I+PFllYXI+MjAxNTwvWWVhcj48UmVj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==
</w:fldData>
        </w:fldChar>
      </w:r>
      <w:r w:rsidR="00FF0067">
        <w:rPr>
          <w:rFonts w:cs="Times New Roman"/>
        </w:rPr>
        <w:instrText xml:space="preserve"> ADDIN EN.CITE </w:instrText>
      </w:r>
      <w:r w:rsidR="00FF0067">
        <w:rPr>
          <w:rFonts w:cs="Times New Roman"/>
        </w:rPr>
        <w:fldChar w:fldCharType="begin">
          <w:fldData xml:space="preserve">PEVuZE5vdGU+PENpdGU+PEF1dGhvcj5XYW5nPC9BdXRob3I+PFllYXI+MjAxNTwvWWVhcj48UmVj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==
</w:fldData>
        </w:fldChar>
      </w:r>
      <w:r w:rsidR="00FF0067">
        <w:rPr>
          <w:rFonts w:cs="Times New Roman"/>
        </w:rPr>
        <w:instrText xml:space="preserve"> ADDIN EN.CITE.DATA </w:instrText>
      </w:r>
      <w:r w:rsidR="00FF0067">
        <w:rPr>
          <w:rFonts w:cs="Times New Roman"/>
        </w:rPr>
      </w:r>
      <w:r w:rsidR="00FF0067">
        <w:rPr>
          <w:rFonts w:cs="Times New Roman"/>
        </w:rPr>
        <w:fldChar w:fldCharType="end"/>
      </w:r>
      <w:r w:rsidRPr="00296D0C">
        <w:rPr>
          <w:rFonts w:cs="Times New Roman"/>
        </w:rPr>
      </w:r>
      <w:r w:rsidRPr="00296D0C">
        <w:rPr>
          <w:rFonts w:cs="Times New Roman"/>
        </w:rPr>
        <w:fldChar w:fldCharType="separate"/>
      </w:r>
      <w:r w:rsidR="006347BE" w:rsidRPr="006347BE">
        <w:rPr>
          <w:rFonts w:cs="Times New Roman"/>
          <w:noProof/>
          <w:vertAlign w:val="superscript"/>
        </w:rPr>
        <w:t>4</w:t>
      </w:r>
      <w:r w:rsidRPr="00296D0C">
        <w:rPr>
          <w:rFonts w:cs="Times New Roman"/>
        </w:rPr>
        <w:fldChar w:fldCharType="end"/>
      </w:r>
      <w:r w:rsidRPr="00296D0C">
        <w:rPr>
          <w:rFonts w:cs="Times New Roman"/>
        </w:rPr>
        <w:t xml:space="preserve"> is the most recent systematic review and meta-analysis of childhood obesity prevention programmes targeting both diet and physical activity. The review identified 139 intervention studies which had weight –related outcomes, of which 115 were located in the primary school. The 37 </w:t>
      </w:r>
      <w:r w:rsidR="00A22B95">
        <w:rPr>
          <w:rFonts w:cs="Times New Roman"/>
        </w:rPr>
        <w:t xml:space="preserve">studies </w:t>
      </w:r>
      <w:r w:rsidRPr="00296D0C">
        <w:rPr>
          <w:rFonts w:cs="Times New Roman"/>
        </w:rPr>
        <w:t xml:space="preserve">which were </w:t>
      </w:r>
      <w:r w:rsidR="00A22B95">
        <w:rPr>
          <w:rFonts w:cs="Times New Roman"/>
        </w:rPr>
        <w:t xml:space="preserve">purely </w:t>
      </w:r>
      <w:r w:rsidRPr="00296D0C">
        <w:rPr>
          <w:rFonts w:cs="Times New Roman"/>
        </w:rPr>
        <w:t>school-based and did not have a family component showed a low strength of evidence for  reducing BMI, BMI SDS, prevalence of obesity and overweight, percentage body fat, waist circumference and skinfold thickness. However</w:t>
      </w:r>
      <w:r w:rsidR="00A22B95">
        <w:rPr>
          <w:rFonts w:cs="Times New Roman"/>
        </w:rPr>
        <w:t>,</w:t>
      </w:r>
      <w:r w:rsidRPr="00296D0C">
        <w:rPr>
          <w:rFonts w:cs="Times New Roman"/>
        </w:rPr>
        <w:t xml:space="preserve"> studies which also included a provided moderate evidence of effectiveness with half reporting statistically significant beneficial intervention effects.  </w:t>
      </w:r>
      <w:r w:rsidRPr="00296D0C">
        <w:rPr>
          <w:rFonts w:cs="Arial"/>
        </w:rPr>
        <w:t xml:space="preserve">Other </w:t>
      </w:r>
      <w:r w:rsidRPr="00296D0C">
        <w:rPr>
          <w:rFonts w:cs="Calibri"/>
          <w:color w:val="000000"/>
        </w:rPr>
        <w:t>systematic reviews and meta-analyses also suggest that school-based obesity prevention interventions can have a modest effect on BMI SDS and it is unclear whether such effect sizes (typically less than 0.1) are clinically meaningful at either a population or individual level</w:t>
      </w:r>
      <w:r w:rsidR="001B42DF" w:rsidRPr="00296D0C">
        <w:rPr>
          <w:rFonts w:cs="Calibri"/>
          <w:color w:val="000000"/>
        </w:rPr>
        <w:t xml:space="preserve"> </w:t>
      </w:r>
      <w:r w:rsidR="001B42DF" w:rsidRPr="00296D0C">
        <w:rPr>
          <w:rFonts w:cs="Calibri"/>
          <w:color w:val="000000"/>
        </w:rPr>
        <w:fldChar w:fldCharType="begin">
          <w:fldData xml:space="preserve">PEVuZE5vdGU+PENpdGU+PEF1dGhvcj5LaGFtYmFsaWE8L0F1dGhvcj48WWVhcj4yMDEyPC9ZZWFy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</w:fldData>
        </w:fldChar>
      </w:r>
      <w:r w:rsidR="00FF0067">
        <w:rPr>
          <w:rFonts w:cs="Calibri"/>
          <w:color w:val="000000"/>
        </w:rPr>
        <w:instrText xml:space="preserve"> ADDIN EN.CITE </w:instrText>
      </w:r>
      <w:r w:rsidR="00FF0067">
        <w:rPr>
          <w:rFonts w:cs="Calibri"/>
          <w:color w:val="000000"/>
        </w:rPr>
        <w:fldChar w:fldCharType="begin">
          <w:fldData xml:space="preserve">PEVuZE5vdGU+PENpdGU+PEF1dGhvcj5LaGFtYmFsaWE8L0F1dGhvcj48WWVhcj4yMDEyPC9ZZWFy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</w:fldData>
        </w:fldChar>
      </w:r>
      <w:r w:rsidR="00FF0067">
        <w:rPr>
          <w:rFonts w:cs="Calibri"/>
          <w:color w:val="000000"/>
        </w:rPr>
        <w:instrText xml:space="preserve"> ADDIN EN.CITE.DATA </w:instrText>
      </w:r>
      <w:r w:rsidR="00FF0067">
        <w:rPr>
          <w:rFonts w:cs="Calibri"/>
          <w:color w:val="000000"/>
        </w:rPr>
      </w:r>
      <w:r w:rsidR="00FF0067">
        <w:rPr>
          <w:rFonts w:cs="Calibri"/>
          <w:color w:val="000000"/>
        </w:rPr>
        <w:fldChar w:fldCharType="end"/>
      </w:r>
      <w:r w:rsidR="001B42DF" w:rsidRPr="00296D0C">
        <w:rPr>
          <w:rFonts w:cs="Calibri"/>
          <w:color w:val="000000"/>
        </w:rPr>
      </w:r>
      <w:r w:rsidR="001B42DF" w:rsidRPr="00296D0C">
        <w:rPr>
          <w:rFonts w:cs="Calibri"/>
          <w:color w:val="000000"/>
        </w:rPr>
        <w:fldChar w:fldCharType="separate"/>
      </w:r>
      <w:r w:rsidR="006347BE" w:rsidRPr="006347BE">
        <w:rPr>
          <w:rFonts w:cs="Calibri"/>
          <w:noProof/>
          <w:color w:val="000000"/>
          <w:vertAlign w:val="superscript"/>
        </w:rPr>
        <w:t>7</w:t>
      </w:r>
      <w:r w:rsidR="001B42DF" w:rsidRPr="00296D0C">
        <w:rPr>
          <w:rFonts w:cs="Calibri"/>
          <w:color w:val="000000"/>
        </w:rPr>
        <w:fldChar w:fldCharType="end"/>
      </w:r>
      <w:r w:rsidR="001B42DF" w:rsidRPr="00296D0C">
        <w:rPr>
          <w:rFonts w:cs="Calibri"/>
          <w:color w:val="000000"/>
        </w:rPr>
        <w:t xml:space="preserve"> </w:t>
      </w:r>
      <w:r w:rsidR="001B42DF" w:rsidRPr="00296D0C">
        <w:rPr>
          <w:rFonts w:cs="Calibri"/>
          <w:color w:val="000000"/>
        </w:rPr>
        <w:fldChar w:fldCharType="begin">
          <w:fldData xml:space="preserve">PEVuZE5vdGU+PENpdGU+PEF1dGhvcj5XaWxsaWFtc29uPC9BdXRob3I+PFllYXI+MjAwODwvWWVh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</w:fldData>
        </w:fldChar>
      </w:r>
      <w:r w:rsidR="008C43BF">
        <w:rPr>
          <w:rFonts w:cs="Calibri"/>
          <w:color w:val="000000"/>
        </w:rPr>
        <w:instrText xml:space="preserve"> ADDIN EN.CITE </w:instrText>
      </w:r>
      <w:r w:rsidR="008C43BF">
        <w:rPr>
          <w:rFonts w:cs="Calibri"/>
          <w:color w:val="000000"/>
        </w:rPr>
        <w:fldChar w:fldCharType="begin">
          <w:fldData xml:space="preserve">PEVuZE5vdGU+PENpdGU+PEF1dGhvcj5XaWxsaWFtc29uPC9BdXRob3I+PFllYXI+MjAwODwvWWVh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</w:fldData>
        </w:fldChar>
      </w:r>
      <w:r w:rsidR="008C43BF">
        <w:rPr>
          <w:rFonts w:cs="Calibri"/>
          <w:color w:val="000000"/>
        </w:rPr>
        <w:instrText xml:space="preserve"> ADDIN EN.CITE.DATA </w:instrText>
      </w:r>
      <w:r w:rsidR="008C43BF">
        <w:rPr>
          <w:rFonts w:cs="Calibri"/>
          <w:color w:val="000000"/>
        </w:rPr>
      </w:r>
      <w:r w:rsidR="008C43BF">
        <w:rPr>
          <w:rFonts w:cs="Calibri"/>
          <w:color w:val="000000"/>
        </w:rPr>
        <w:fldChar w:fldCharType="end"/>
      </w:r>
      <w:r w:rsidR="001B42DF" w:rsidRPr="00296D0C">
        <w:rPr>
          <w:rFonts w:cs="Calibri"/>
          <w:color w:val="000000"/>
        </w:rPr>
      </w:r>
      <w:r w:rsidR="001B42DF" w:rsidRPr="00296D0C">
        <w:rPr>
          <w:rFonts w:cs="Calibri"/>
          <w:color w:val="000000"/>
        </w:rPr>
        <w:fldChar w:fldCharType="separate"/>
      </w:r>
      <w:r w:rsidR="008C43BF" w:rsidRPr="008C43BF">
        <w:rPr>
          <w:rFonts w:cs="Calibri"/>
          <w:noProof/>
          <w:color w:val="000000"/>
          <w:vertAlign w:val="superscript"/>
        </w:rPr>
        <w:t>135</w:t>
      </w:r>
      <w:r w:rsidR="001B42DF" w:rsidRPr="00296D0C">
        <w:rPr>
          <w:rFonts w:cs="Calibri"/>
          <w:color w:val="000000"/>
        </w:rPr>
        <w:fldChar w:fldCharType="end"/>
      </w:r>
      <w:r w:rsidRPr="00296D0C">
        <w:rPr>
          <w:rFonts w:cs="Calibri"/>
          <w:color w:val="000000"/>
        </w:rPr>
        <w:t>.</w:t>
      </w:r>
    </w:p>
    <w:p w14:paraId="2B9428E3" w14:textId="32A091CD" w:rsidR="00D0651E" w:rsidRPr="00296D0C" w:rsidRDefault="00D0651E" w:rsidP="00D0651E">
      <w:pPr>
        <w:spacing w:before="100" w:beforeAutospacing="1" w:after="120" w:line="360" w:lineRule="auto"/>
        <w:rPr>
          <w:rFonts w:cs="Calibri"/>
          <w:color w:val="000000"/>
        </w:rPr>
      </w:pPr>
      <w:r w:rsidRPr="00296D0C">
        <w:rPr>
          <w:rFonts w:cs="Calibri"/>
          <w:color w:val="000000"/>
        </w:rPr>
        <w:t xml:space="preserve">We are not aware of any recent, well conducted school-based obesity prevention RCTs, using objective outcome measures, for this age group, which have shown a clinically relevant effect on adiposity measures at two year follow up; a very recent school-based trial (Active for Life Year 5) involving 60 schools and over 2000 children (aged 9-10 years), which aimed to increase physical </w:t>
      </w:r>
      <w:r w:rsidRPr="00296D0C">
        <w:rPr>
          <w:rFonts w:cs="Calibri"/>
          <w:color w:val="000000"/>
        </w:rPr>
        <w:lastRenderedPageBreak/>
        <w:t>activity, reduce sedentary behaviour and increase fruit and vegetable consumption at two year follow up, found no effect of the intervention on any of these primary outcomes or on weight status</w:t>
      </w:r>
      <w:r w:rsidR="0081290C" w:rsidRPr="00296D0C">
        <w:rPr>
          <w:rFonts w:cs="Calibri"/>
          <w:color w:val="000000"/>
        </w:rPr>
        <w:t xml:space="preserve"> </w:t>
      </w:r>
      <w:r w:rsidR="00F61B30" w:rsidRPr="00296D0C">
        <w:rPr>
          <w:rFonts w:cs="Calibri"/>
          <w:color w:val="000000"/>
        </w:rPr>
        <w:fldChar w:fldCharType="begin">
          <w:fldData xml:space="preserve">PEVuZE5vdGU+PENpdGU+PEF1dGhvcj5LaXBwaW5nPC9BdXRob3I+PFllYXI+MjAxNDwvWWVhcj48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==
</w:fldData>
        </w:fldChar>
      </w:r>
      <w:r w:rsidR="00FF0067">
        <w:rPr>
          <w:rFonts w:cs="Calibri"/>
          <w:color w:val="000000"/>
        </w:rPr>
        <w:instrText xml:space="preserve"> ADDIN EN.CITE </w:instrText>
      </w:r>
      <w:r w:rsidR="00FF0067">
        <w:rPr>
          <w:rFonts w:cs="Calibri"/>
          <w:color w:val="000000"/>
        </w:rPr>
        <w:fldChar w:fldCharType="begin">
          <w:fldData xml:space="preserve">PEVuZE5vdGU+PENpdGU+PEF1dGhvcj5LaXBwaW5nPC9BdXRob3I+PFllYXI+MjAxNDwvWWVhcj48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==
</w:fldData>
        </w:fldChar>
      </w:r>
      <w:r w:rsidR="00FF0067">
        <w:rPr>
          <w:rFonts w:cs="Calibri"/>
          <w:color w:val="000000"/>
        </w:rPr>
        <w:instrText xml:space="preserve"> ADDIN EN.CITE.DATA </w:instrText>
      </w:r>
      <w:r w:rsidR="00FF0067">
        <w:rPr>
          <w:rFonts w:cs="Calibri"/>
          <w:color w:val="000000"/>
        </w:rPr>
      </w:r>
      <w:r w:rsidR="00FF0067">
        <w:rPr>
          <w:rFonts w:cs="Calibri"/>
          <w:color w:val="000000"/>
        </w:rPr>
        <w:fldChar w:fldCharType="end"/>
      </w:r>
      <w:r w:rsidR="00F61B30" w:rsidRPr="00296D0C">
        <w:rPr>
          <w:rFonts w:cs="Calibri"/>
          <w:color w:val="000000"/>
        </w:rPr>
      </w:r>
      <w:r w:rsidR="00F61B30" w:rsidRPr="00296D0C">
        <w:rPr>
          <w:rFonts w:cs="Calibri"/>
          <w:color w:val="000000"/>
        </w:rPr>
        <w:fldChar w:fldCharType="separate"/>
      </w:r>
      <w:r w:rsidR="006347BE" w:rsidRPr="006347BE">
        <w:rPr>
          <w:rFonts w:cs="Calibri"/>
          <w:noProof/>
          <w:color w:val="000000"/>
          <w:vertAlign w:val="superscript"/>
        </w:rPr>
        <w:t>16</w:t>
      </w:r>
      <w:r w:rsidR="00F61B30" w:rsidRPr="00296D0C">
        <w:rPr>
          <w:rFonts w:cs="Calibri"/>
          <w:color w:val="000000"/>
        </w:rPr>
        <w:fldChar w:fldCharType="end"/>
      </w:r>
      <w:r w:rsidRPr="00296D0C">
        <w:rPr>
          <w:rFonts w:cs="Calibri"/>
          <w:color w:val="000000"/>
        </w:rPr>
        <w:t xml:space="preserve">. </w:t>
      </w:r>
    </w:p>
    <w:p w14:paraId="6DF14FD3" w14:textId="348BE49E" w:rsidR="00D0651E" w:rsidRPr="00296D0C" w:rsidRDefault="00D0651E" w:rsidP="00D0651E">
      <w:pPr>
        <w:spacing w:line="360" w:lineRule="auto"/>
        <w:jc w:val="both"/>
        <w:rPr>
          <w:rFonts w:cs="Arial"/>
        </w:rPr>
      </w:pPr>
      <w:r w:rsidRPr="00296D0C">
        <w:t xml:space="preserve">The exploratory trial of HeLP demonstrated the feasibility and acceptability of the </w:t>
      </w:r>
      <w:r w:rsidR="009D57AD">
        <w:t>p</w:t>
      </w:r>
      <w:r w:rsidRPr="00296D0C">
        <w:t>rogramme, trial processes and provided evidence of ‘proof of concept’ for HeLP. Furthermore, the exploratory trial showed changes in diet and physical activity behaviours and weight status, however, these were not replicated in the main trial</w:t>
      </w:r>
      <w:r w:rsidR="0081290C" w:rsidRPr="00296D0C">
        <w:t xml:space="preserve"> </w:t>
      </w:r>
      <w:r w:rsidR="00F61B30" w:rsidRPr="00296D0C">
        <w:fldChar w:fldCharType="begin"/>
      </w:r>
      <w:r w:rsidR="00FF0067">
        <w:instrText xml:space="preserve"> ADDIN EN.CITE &lt;EndNote&gt;&lt;Cite&gt;&lt;Author&gt;Lloyd&lt;/Author&gt;&lt;Year&gt;2012&lt;/Year&gt;&lt;RecNum&gt;4625&lt;/RecNum&gt;&lt;DisplayText&gt;&lt;style face="superscript"&gt;28&lt;/style&gt;&lt;/DisplayText&gt;&lt;record&gt;&lt;rec-number&gt;4625&lt;/rec-number&gt;&lt;foreign-keys&gt;&lt;key app="EN" db-id="2ewa9rrvjsdsawep2vpx5x97eedzzvxx5rta" timestamp="0"&gt;4625&lt;/key&gt;&lt;/foreign-keys&gt;&lt;ref-type name="Journal Article"&gt;17&lt;/ref-type&gt;&lt;contributors&gt;&lt;authors&gt;&lt;author&gt;Lloyd, J. J.&lt;/author&gt;&lt;author&gt;Wyatt, K. M.&lt;/author&gt;&lt;author&gt;Creanor, S.&lt;/author&gt;&lt;/authors&gt;&lt;/contributors&gt;&lt;auth-address&gt;Institute for Health Service Research, Peninsula College of Medicine and Dentistry, University of Exeter, Exeter, UK.&lt;/auth-address&gt;&lt;titles&gt;&lt;title&gt;Behavioural and weight status outcomes from an exploratory trial of the Healthy Lifestyles Programme (HeLP): a novel school-based obesity prevention programme&lt;/title&gt;&lt;secondary-title&gt;BMJ Open&lt;/secondary-title&gt;&lt;/titles&gt;&lt;volume&gt;2&lt;/volume&gt;&lt;number&gt;3&lt;/number&gt;&lt;edition&gt;2012/05/16&lt;/edition&gt;&lt;dates&gt;&lt;year&gt;2012&lt;/year&gt;&lt;/dates&gt;&lt;isbn&gt;2044-6055 (Electronic)&lt;/isbn&gt;&lt;accession-num&gt;22586282&lt;/accession-num&gt;&lt;urls&gt;&lt;related-urls&gt;&lt;url&gt;http://www.ncbi.nlm.nih.gov/pubmed/22586282&lt;/url&gt;&lt;/related-urls&gt;&lt;/urls&gt;&lt;custom2&gt;3358612&lt;/custom2&gt;&lt;electronic-resource-num&gt;10.1136/bmjopen-2011-000390&lt;/electronic-resource-num&gt;&lt;language&gt;eng&lt;/language&gt;&lt;/record&gt;&lt;/Cite&gt;&lt;/EndNote&gt;</w:instrText>
      </w:r>
      <w:r w:rsidR="00F61B30" w:rsidRPr="00296D0C">
        <w:fldChar w:fldCharType="separate"/>
      </w:r>
      <w:r w:rsidR="006347BE" w:rsidRPr="006347BE">
        <w:rPr>
          <w:noProof/>
          <w:vertAlign w:val="superscript"/>
        </w:rPr>
        <w:t>28</w:t>
      </w:r>
      <w:r w:rsidR="00F61B30" w:rsidRPr="00296D0C">
        <w:fldChar w:fldCharType="end"/>
      </w:r>
      <w:r w:rsidR="0081290C" w:rsidRPr="00296D0C">
        <w:t>.</w:t>
      </w:r>
      <w:r w:rsidRPr="00296D0C">
        <w:t xml:space="preserve"> No changes were made to the </w:t>
      </w:r>
      <w:r w:rsidR="009D57AD">
        <w:t>p</w:t>
      </w:r>
      <w:r w:rsidRPr="00296D0C">
        <w:t xml:space="preserve">rogramme or trial design between the exploratory trial and the definitive RCT, with the manuals and standard operating procedures, developed in the exploratory trial, used for delivery and assessment in the main trial. In addition, HeLP was delivered as designed in all intervention schools with very high levels of engagement as was also seen in the exploratory trial. The findings from the process evaluation allow us to be confident that the difference in results between the exploratory and the definitive trial are not due to scale-up issues of delivery. The only difference in trial design was that we had to run the </w:t>
      </w:r>
      <w:r w:rsidR="008C780E">
        <w:t>main</w:t>
      </w:r>
      <w:r w:rsidRPr="00296D0C">
        <w:t xml:space="preserve"> trial in two cohorts; however, there was no evidence of a differential effect of the intervention between the two cohorts on the primary outcome</w:t>
      </w:r>
      <w:r w:rsidRPr="00296D0C" w:rsidDel="0007356B">
        <w:t xml:space="preserve"> </w:t>
      </w:r>
      <w:r w:rsidRPr="00296D0C">
        <w:t>indicating that this logistical requirement did not affect the overall findings and our follow up rates at 18 and 24 months were similar across both trials.</w:t>
      </w:r>
    </w:p>
    <w:p w14:paraId="5D9036CE" w14:textId="77777777" w:rsidR="00D0651E" w:rsidRPr="00296D0C" w:rsidRDefault="00D0651E" w:rsidP="00D0651E">
      <w:pPr>
        <w:pStyle w:val="Heading2"/>
        <w:rPr>
          <w:rFonts w:asciiTheme="minorHAnsi" w:hAnsiTheme="minorHAnsi" w:cs="Arial"/>
          <w:sz w:val="22"/>
          <w:szCs w:val="22"/>
        </w:rPr>
      </w:pPr>
      <w:bookmarkStart w:id="618" w:name="_Toc466639077"/>
      <w:bookmarkStart w:id="619" w:name="_Toc466710124"/>
      <w:bookmarkStart w:id="620" w:name="_Toc466711472"/>
      <w:bookmarkStart w:id="621" w:name="_Toc466712131"/>
      <w:bookmarkStart w:id="622" w:name="_Toc475974399"/>
      <w:r w:rsidRPr="00296D0C">
        <w:rPr>
          <w:rFonts w:asciiTheme="minorHAnsi" w:hAnsiTheme="minorHAnsi" w:cs="Arial"/>
          <w:sz w:val="22"/>
          <w:szCs w:val="22"/>
        </w:rPr>
        <w:t>6.3 Understanding the lack of effectiveness</w:t>
      </w:r>
      <w:bookmarkEnd w:id="618"/>
      <w:bookmarkEnd w:id="619"/>
      <w:bookmarkEnd w:id="620"/>
      <w:bookmarkEnd w:id="621"/>
      <w:bookmarkEnd w:id="622"/>
    </w:p>
    <w:p w14:paraId="00935F12" w14:textId="77777777" w:rsidR="00D0651E" w:rsidRPr="00296D0C" w:rsidRDefault="00D0651E" w:rsidP="00D0651E">
      <w:pPr>
        <w:spacing w:after="0" w:line="360" w:lineRule="auto"/>
      </w:pPr>
    </w:p>
    <w:p w14:paraId="30B2EE09" w14:textId="77777777" w:rsidR="00D0651E" w:rsidRPr="00296D0C" w:rsidRDefault="00D0651E" w:rsidP="00D0651E">
      <w:pPr>
        <w:spacing w:after="0" w:line="360" w:lineRule="auto"/>
      </w:pPr>
      <w:r w:rsidRPr="00296D0C">
        <w:t>Conducting health promotion interventions within schools has the obvious potential advantage of being able to reach virtually all children. The behaviours that underlie the development of obesity and overweight in children and adolescents result from a complex interaction of individual, family and social factors. This is particularly relevant for children of primary school age as their ability to influence their diet and activity is directly limited by decisions made by their parents/ carers, as well as being affected by wider social influences. We therefore aimed to develop an intervention which would influence not only the children themselves, but also their parents and the school environment as we felt this would have a higher likelihood of being effective.</w:t>
      </w:r>
    </w:p>
    <w:p w14:paraId="5B62A776" w14:textId="77777777" w:rsidR="00D0651E" w:rsidRPr="00296D0C" w:rsidRDefault="00D0651E" w:rsidP="00D0651E">
      <w:pPr>
        <w:spacing w:after="0" w:line="360" w:lineRule="auto"/>
      </w:pPr>
    </w:p>
    <w:p w14:paraId="72BF3730" w14:textId="566BC207" w:rsidR="00D0651E" w:rsidRPr="00296D0C" w:rsidRDefault="00D0651E" w:rsidP="00D0651E">
      <w:pPr>
        <w:spacing w:after="0" w:line="360" w:lineRule="auto"/>
      </w:pPr>
      <w:r w:rsidRPr="00296D0C">
        <w:t xml:space="preserve">The design of the intervention followed the MRC guidance for the development and evaluation of complex interventions </w:t>
      </w:r>
      <w:r w:rsidR="00B92C14">
        <w:fldChar w:fldCharType="begin"/>
      </w:r>
      <w:r w:rsidR="00FF0067">
        <w:instrText xml:space="preserve"> ADDIN EN.CITE &lt;EndNote&gt;&lt;Cite&gt;&lt;Author&gt;Craig&lt;/Author&gt;&lt;Year&gt;2008&lt;/Year&gt;&lt;RecNum&gt;3060&lt;/RecNum&gt;&lt;DisplayText&gt;&lt;style face="superscript"&gt;19&lt;/style&gt;&lt;/DisplayText&gt;&lt;record&gt;&lt;rec-number&gt;3060&lt;/rec-number&gt;&lt;foreign-keys&gt;&lt;key app="EN" db-id="2ewa9rrvjsdsawep2vpx5x97eedzzvxx5rta" timestamp="0"&gt;3060&lt;/key&gt;&lt;/foreign-keys&gt;&lt;ref-type name="Journal Article"&gt;17&lt;/ref-type&gt;&lt;contributors&gt;&lt;authors&gt;&lt;author&gt;Craig, P.&lt;/author&gt;&lt;author&gt;Dieppe, P.&lt;/author&gt;&lt;author&gt;Macintyre, S.&lt;/author&gt;&lt;author&gt;Michie, S.&lt;/author&gt;&lt;author&gt;Nazareth, I.&lt;/author&gt;&lt;author&gt;Petticrew, M.&lt;/author&gt;&lt;/authors&gt;&lt;/contributors&gt;&lt;auth-address&gt;MRC Population Health Sciences Research Network, Glasgow G12 8RZ. peter@sphsu.mrc.ac.uk&lt;/auth-address&gt;&lt;titles&gt;&lt;title&gt;Developing and evaluating complex interventions: the new Medical Research Council guidance&lt;/title&gt;&lt;secondary-title&gt;British Medical Journal&lt;/secondary-title&gt;&lt;/titles&gt;&lt;periodical&gt;&lt;full-title&gt;British Medical Journal&lt;/full-title&gt;&lt;abbr-1&gt;Br. Med. J.&lt;/abbr-1&gt;&lt;abbr-2&gt;Br Med J&lt;/abbr-2&gt;&lt;/periodical&gt;&lt;pages&gt;a1655&lt;/pages&gt;&lt;volume&gt;337&lt;/volume&gt;&lt;edition&gt;2008/10/01&lt;/edition&gt;&lt;keywords&gt;&lt;keyword&gt;Diffusion of Innovation&lt;/keyword&gt;&lt;keyword&gt;Evaluation Studies as Topic&lt;/keyword&gt;&lt;keyword&gt;Evidence-Based Medicine&lt;/keyword&gt;&lt;keyword&gt;JL Developing Complex Interventions&lt;/keyword&gt;&lt;keyword&gt;Practice Guidelines as Topic&lt;/keyword&gt;&lt;keyword&gt;Therapeutics&lt;/keyword&gt;&lt;/keywords&gt;&lt;dates&gt;&lt;year&gt;2008&lt;/year&gt;&lt;/dates&gt;&lt;isbn&gt;1468-5833 (Electronic)&amp;#xD;0959-535X (Linking)&lt;/isbn&gt;&lt;accession-num&gt;18824488&lt;/accession-num&gt;&lt;urls&gt;&lt;/urls&gt;&lt;custom2&gt;2769032&lt;/custom2&gt;&lt;remote-database-provider&gt;Nlm&lt;/remote-database-provider&gt;&lt;language&gt;eng&lt;/language&gt;&lt;/record&gt;&lt;/Cite&gt;&lt;/EndNote&gt;</w:instrText>
      </w:r>
      <w:r w:rsidR="00B92C14">
        <w:fldChar w:fldCharType="separate"/>
      </w:r>
      <w:r w:rsidR="006347BE" w:rsidRPr="006347BE">
        <w:rPr>
          <w:noProof/>
          <w:vertAlign w:val="superscript"/>
        </w:rPr>
        <w:t>19</w:t>
      </w:r>
      <w:r w:rsidR="00B92C14">
        <w:fldChar w:fldCharType="end"/>
      </w:r>
      <w:r w:rsidRPr="00296D0C">
        <w:t xml:space="preserve"> and was based on a review of research evidence and on the use of Intervention Mapping </w:t>
      </w:r>
      <w:r w:rsidR="00B92C14">
        <w:fldChar w:fldCharType="begin"/>
      </w:r>
      <w:r w:rsidR="006347BE">
        <w:instrText xml:space="preserve"> ADDIN EN.CITE &lt;EndNote&gt;&lt;Cite&gt;&lt;Author&gt;Bartholomew&lt;/Author&gt;&lt;Year&gt;2016&lt;/Year&gt;&lt;RecNum&gt;5712&lt;/RecNum&gt;&lt;DisplayText&gt;&lt;style face="superscript"&gt;18&lt;/style&gt;&lt;/DisplayText&gt;&lt;record&gt;&lt;rec-number&gt;5712&lt;/rec-number&gt;&lt;foreign-keys&gt;&lt;key app="EN" db-id="2ewa9rrvjsdsawep2vpx5x97eedzzvxx5rta" timestamp="1478518114"&gt;5712&lt;/key&gt;&lt;/foreign-keys&gt;&lt;ref-type name="Book"&gt;6&lt;/ref-type&gt;&lt;contributors&gt;&lt;authors&gt;&lt;author&gt;Bartholomew, L.K.,  Markham, C. M., Ruiter, R., Fernández, M. E,, Kok, G. &amp;amp; Parcel, G.S. &lt;/author&gt;&lt;/authors&gt;&lt;/contributors&gt;&lt;titles&gt;&lt;title&gt;Planning Health Promotion Programmes An Intervention mapping Approach (4th Ed)&lt;/title&gt;&lt;/titles&gt;&lt;dates&gt;&lt;year&gt;2016&lt;/year&gt;&lt;/dates&gt;&lt;urls&gt;&lt;/urls&gt;&lt;/record&gt;&lt;/Cite&gt;&lt;/EndNote&gt;</w:instrText>
      </w:r>
      <w:r w:rsidR="00B92C14">
        <w:fldChar w:fldCharType="separate"/>
      </w:r>
      <w:r w:rsidR="006347BE" w:rsidRPr="006347BE">
        <w:rPr>
          <w:noProof/>
          <w:vertAlign w:val="superscript"/>
        </w:rPr>
        <w:t>18</w:t>
      </w:r>
      <w:r w:rsidR="00B92C14">
        <w:fldChar w:fldCharType="end"/>
      </w:r>
      <w:r w:rsidR="00B92C14">
        <w:t xml:space="preserve"> </w:t>
      </w:r>
      <w:r w:rsidRPr="00296D0C">
        <w:t xml:space="preserve">to draw on evidence regarding potentially effective methods of achieving behaviour change. Our review of existing evidence suggested that multi-faceted interventions addressing both diet and exercise which were of significant duration and involved the family were more likely to be effective, although the strength of these conclusions was limited due to the paucity of previous high quality studies. We were also aware that a common reason for failure in health </w:t>
      </w:r>
      <w:r w:rsidRPr="00296D0C">
        <w:lastRenderedPageBreak/>
        <w:t xml:space="preserve">promotion programmes is a failure to persuade the target group to participate and to stay involved, so strategies to achieve engagement by children, parents and schools were fundamental in the design of both the intervention and the trial. In addition, for public health interventions to have an impact, they need to be deliverable without disrupting normal activities and at an affordable cost. In particular, in crowded school curricula, interventions need to reduce rather than increase teachers’ workloads and ideally help them achieve educational targets if schools are to embrace them. We therefore worked closely with children from the target age group, parents, teachers and education advisors at all stages of the design. </w:t>
      </w:r>
    </w:p>
    <w:p w14:paraId="2CB52260" w14:textId="77777777" w:rsidR="00D0651E" w:rsidRPr="00296D0C" w:rsidRDefault="00D0651E" w:rsidP="00D0651E">
      <w:pPr>
        <w:spacing w:after="0" w:line="360" w:lineRule="auto"/>
      </w:pPr>
    </w:p>
    <w:p w14:paraId="3BF4931E" w14:textId="09A2F86C" w:rsidR="00D0651E" w:rsidRPr="00296D0C" w:rsidRDefault="00D0651E" w:rsidP="00D0651E">
      <w:pPr>
        <w:spacing w:after="0" w:line="360" w:lineRule="auto"/>
      </w:pPr>
      <w:r w:rsidRPr="00296D0C">
        <w:t xml:space="preserve">We assessed the extent to which children, parents and teachers actually engaged with the </w:t>
      </w:r>
      <w:r w:rsidR="009D57AD">
        <w:t>p</w:t>
      </w:r>
      <w:r w:rsidRPr="00296D0C">
        <w:t xml:space="preserve">rogramme using pre-specified criteria for engagement as well as conducting focus groups with children and interviews with parents and teachers. The results suggested very high levels of engagement across all socioeconomic groups and considerable enthusiasm for the </w:t>
      </w:r>
      <w:r w:rsidR="009D57AD">
        <w:t>p</w:t>
      </w:r>
      <w:r w:rsidRPr="00296D0C">
        <w:t xml:space="preserve">rogramme. We succeeded in achieving extremely high levels of participation (only 34/1371 children opted out of the trial and only 80/1324 who started the study were lost to follow up; hence over 94% of children provided anthropometric data at 2 years and we have accelerometry data at 18 months post baseline on 84% of children (3 week days and a weekend day). </w:t>
      </w:r>
    </w:p>
    <w:p w14:paraId="30BCC25C" w14:textId="77777777" w:rsidR="00D0651E" w:rsidRPr="00296D0C" w:rsidRDefault="00D0651E" w:rsidP="00D0651E">
      <w:pPr>
        <w:spacing w:after="0" w:line="360" w:lineRule="auto"/>
      </w:pPr>
    </w:p>
    <w:p w14:paraId="547922CE" w14:textId="4C20EE6C" w:rsidR="00D0651E" w:rsidRPr="00296D0C" w:rsidRDefault="00D0651E" w:rsidP="00D0651E">
      <w:pPr>
        <w:spacing w:after="0" w:line="360" w:lineRule="auto"/>
      </w:pPr>
      <w:r w:rsidRPr="00296D0C">
        <w:t xml:space="preserve">The lack of any effect of the intervention on our primary outcome measure is particularly disappointing given the high levels of engagement and that the </w:t>
      </w:r>
      <w:r w:rsidR="009D57AD">
        <w:t>p</w:t>
      </w:r>
      <w:r w:rsidRPr="00296D0C">
        <w:t>rogramme was developed with substantial stakeholder involvement and reflected the current best evidence regarding techniques to change behaviour. There are a number of potential explanations: we recognise the importance of wider family and social factors in driving health behaviours which may limit the potential effects of interventions which are delivered primarily at the level of the individual. We are also aware that although the increase in overweight amongst children is perceived by policy makers as constituting a major threat to health, it is less clear whether parents share this view. It has been repeatedly reported that a large proportion of parents of overweight children perceive their children as being of normal weight</w:t>
      </w:r>
      <w:r w:rsidR="001519FD">
        <w:t xml:space="preserve"> </w:t>
      </w:r>
      <w:r w:rsidR="005053FC">
        <w:fldChar w:fldCharType="begin">
          <w:fldData xml:space="preserve">PEVuZE5vdGU+PENpdGU+PEF1dGhvcj5Eb29sZW48L0F1dGhvcj48WWVhcj4yMDA5PC9ZZWFyPjxS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</w:fldData>
        </w:fldChar>
      </w:r>
      <w:r w:rsidR="008C43BF">
        <w:instrText xml:space="preserve"> ADDIN EN.CITE </w:instrText>
      </w:r>
      <w:r w:rsidR="008C43BF">
        <w:fldChar w:fldCharType="begin">
          <w:fldData xml:space="preserve">PEVuZE5vdGU+PENpdGU+PEF1dGhvcj5Eb29sZW48L0F1dGhvcj48WWVhcj4yMDA5PC9ZZWFyPjxS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</w:fldData>
        </w:fldChar>
      </w:r>
      <w:r w:rsidR="008C43BF">
        <w:instrText xml:space="preserve"> ADDIN EN.CITE.DATA </w:instrText>
      </w:r>
      <w:r w:rsidR="008C43BF">
        <w:fldChar w:fldCharType="end"/>
      </w:r>
      <w:r w:rsidR="005053FC">
        <w:fldChar w:fldCharType="separate"/>
      </w:r>
      <w:r w:rsidR="008C43BF" w:rsidRPr="008C43BF">
        <w:rPr>
          <w:noProof/>
          <w:vertAlign w:val="superscript"/>
        </w:rPr>
        <w:t>136</w:t>
      </w:r>
      <w:r w:rsidR="005053FC">
        <w:fldChar w:fldCharType="end"/>
      </w:r>
      <w:r w:rsidRPr="00296D0C">
        <w:t xml:space="preserve">. Stakeholder consultation in the development of HeLP clearly showed that focussing on weight as a health issue would not be acceptable to head teachers, teachers or parents, thus the programme was careful to avoid discussing obesity or weight in any context. Furthermore, we believe our very high levels of engagement support the programme’s focus on healthy lifestyle behaviours for all. However, it may be the case that the HeLP messages regarding diet and physical activity behaviours were not really seen by parents as constituting a problem which required significant and sustained behaviour change. </w:t>
      </w:r>
    </w:p>
    <w:p w14:paraId="4535B38B" w14:textId="6B7FEDB4" w:rsidR="008234FF" w:rsidRDefault="00D0651E" w:rsidP="00994E61">
      <w:pPr>
        <w:spacing w:after="0" w:line="360" w:lineRule="auto"/>
        <w:rPr>
          <w:rFonts w:cs="Times New Roman"/>
        </w:rPr>
      </w:pPr>
      <w:r w:rsidRPr="00296D0C">
        <w:lastRenderedPageBreak/>
        <w:t xml:space="preserve">We chose to target children aged 9-10 for the intervention on the basis of our early pilot work. Broadly speaking our initial development work showed that younger children were keen to engage but did not appear to successfully absorb the messages such that they engaged their parents with them, while older children were less easy to engage. It is, however, the case that, at this age, the ability of children to actually influence their own diet and activity may be limited. Inevitably most decisions will be made by their parents. </w:t>
      </w:r>
      <w:r w:rsidRPr="00296D0C">
        <w:rPr>
          <w:rFonts w:cs="Times New Roman"/>
        </w:rPr>
        <w:t xml:space="preserve">Parental involvement in obesity prevention programmes has been frequently cited as one of the key characteristics associated with behaviour change and throughout the </w:t>
      </w:r>
      <w:r w:rsidR="009D57AD">
        <w:rPr>
          <w:rFonts w:cs="Times New Roman"/>
        </w:rPr>
        <w:t>p</w:t>
      </w:r>
      <w:r w:rsidRPr="00296D0C">
        <w:rPr>
          <w:rFonts w:cs="Times New Roman"/>
        </w:rPr>
        <w:t xml:space="preserve">rogramme there were activities specifically aimed at engaging </w:t>
      </w:r>
      <w:r w:rsidR="002A666E">
        <w:rPr>
          <w:rFonts w:cs="Times New Roman"/>
        </w:rPr>
        <w:t>p</w:t>
      </w:r>
      <w:r w:rsidR="00994E61" w:rsidRPr="00296D0C">
        <w:rPr>
          <w:rFonts w:cs="Times New Roman"/>
        </w:rPr>
        <w:t>arents</w:t>
      </w:r>
      <w:r w:rsidR="002A666E">
        <w:rPr>
          <w:rFonts w:cs="Times New Roman"/>
        </w:rPr>
        <w:t xml:space="preserve"> </w:t>
      </w:r>
      <w:r w:rsidR="00994E61">
        <w:rPr>
          <w:rFonts w:cs="Times New Roman"/>
        </w:rPr>
        <w:t xml:space="preserve">across the socioeconomic spectrum.  </w:t>
      </w:r>
    </w:p>
    <w:p w14:paraId="48D40930" w14:textId="77777777" w:rsidR="008234FF" w:rsidRDefault="008234FF" w:rsidP="00994E61">
      <w:pPr>
        <w:spacing w:after="0" w:line="360" w:lineRule="auto"/>
        <w:rPr>
          <w:rFonts w:cs="Times New Roman"/>
        </w:rPr>
      </w:pPr>
    </w:p>
    <w:p w14:paraId="745789C3" w14:textId="3835B782" w:rsidR="00994E61" w:rsidRPr="00296D0C" w:rsidRDefault="00994E61" w:rsidP="00994E61">
      <w:pPr>
        <w:spacing w:after="0" w:line="360" w:lineRule="auto"/>
        <w:rPr>
          <w:rFonts w:cs="Times New Roman"/>
        </w:rPr>
      </w:pPr>
      <w:r>
        <w:rPr>
          <w:rFonts w:cs="Times New Roman"/>
        </w:rPr>
        <w:t xml:space="preserve">Our data showed that </w:t>
      </w:r>
      <w:r w:rsidRPr="00296D0C">
        <w:rPr>
          <w:rFonts w:cs="Times New Roman"/>
        </w:rPr>
        <w:t xml:space="preserve">over </w:t>
      </w:r>
      <w:r>
        <w:rPr>
          <w:rFonts w:cs="Times New Roman"/>
        </w:rPr>
        <w:t>50%</w:t>
      </w:r>
      <w:r w:rsidRPr="00296D0C">
        <w:rPr>
          <w:rFonts w:cs="Times New Roman"/>
        </w:rPr>
        <w:t xml:space="preserve"> of </w:t>
      </w:r>
      <w:r>
        <w:rPr>
          <w:rFonts w:cs="Times New Roman"/>
        </w:rPr>
        <w:t xml:space="preserve">parents </w:t>
      </w:r>
      <w:r w:rsidRPr="00296D0C">
        <w:rPr>
          <w:rFonts w:cs="Times New Roman"/>
        </w:rPr>
        <w:t>attend</w:t>
      </w:r>
      <w:r>
        <w:rPr>
          <w:rFonts w:cs="Times New Roman"/>
        </w:rPr>
        <w:t>ed</w:t>
      </w:r>
      <w:r w:rsidRPr="00296D0C">
        <w:rPr>
          <w:rFonts w:cs="Times New Roman"/>
        </w:rPr>
        <w:t xml:space="preserve"> at least one parental engagement event</w:t>
      </w:r>
      <w:r>
        <w:rPr>
          <w:rFonts w:cs="Times New Roman"/>
        </w:rPr>
        <w:t>, and three quarters either attended an event or signed support for their child on the goal-setting sheet</w:t>
      </w:r>
      <w:r w:rsidRPr="00296D0C">
        <w:rPr>
          <w:rFonts w:cs="Times New Roman"/>
        </w:rPr>
        <w:t xml:space="preserve">. Whilst it is possible to engage </w:t>
      </w:r>
      <w:r>
        <w:rPr>
          <w:rFonts w:cs="Times New Roman"/>
        </w:rPr>
        <w:t xml:space="preserve">children (and assess levels of engagement) of children </w:t>
      </w:r>
      <w:r w:rsidRPr="00296D0C">
        <w:rPr>
          <w:rFonts w:cs="Times New Roman"/>
        </w:rPr>
        <w:t xml:space="preserve"> in school-based programmes, the lack of direct contact with parents means that parental engagement is more difficult to achieve </w:t>
      </w:r>
      <w:r>
        <w:rPr>
          <w:rFonts w:cs="Times New Roman"/>
        </w:rPr>
        <w:t xml:space="preserve"> and assess</w:t>
      </w:r>
      <w:r w:rsidRPr="00296D0C">
        <w:rPr>
          <w:rFonts w:cs="Times New Roman"/>
        </w:rPr>
        <w:t xml:space="preserve">. Whilst many parents reported (in questionnaire responses and interview) that they had made changes at a family level and gave examples of how they were supporting their child, </w:t>
      </w:r>
      <w:r>
        <w:rPr>
          <w:rFonts w:cs="Times New Roman"/>
        </w:rPr>
        <w:t xml:space="preserve">this was only a subset of all the parents involved. Given the children’s comments about the need for parental support, </w:t>
      </w:r>
      <w:r w:rsidRPr="00296D0C">
        <w:rPr>
          <w:rFonts w:cs="Times New Roman"/>
        </w:rPr>
        <w:t xml:space="preserve">it </w:t>
      </w:r>
      <w:r>
        <w:rPr>
          <w:rFonts w:cs="Times New Roman"/>
        </w:rPr>
        <w:t xml:space="preserve">is </w:t>
      </w:r>
      <w:r w:rsidRPr="00296D0C">
        <w:rPr>
          <w:rFonts w:cs="Times New Roman"/>
        </w:rPr>
        <w:t xml:space="preserve">likely that the </w:t>
      </w:r>
      <w:r>
        <w:rPr>
          <w:rFonts w:cs="Times New Roman"/>
        </w:rPr>
        <w:t>p</w:t>
      </w:r>
      <w:r w:rsidRPr="00296D0C">
        <w:rPr>
          <w:rFonts w:cs="Times New Roman"/>
        </w:rPr>
        <w:t xml:space="preserve">rogramme did not enable parents or families to make the types of sustained behaviour changes necessary to affect the weight status of their child.  </w:t>
      </w:r>
      <w:r>
        <w:rPr>
          <w:rFonts w:cs="Times New Roman"/>
        </w:rPr>
        <w:t>We consider it unlikely that school-based obesity prevention programmes will ever be of sufficient intensity to affect the family environment and more direct approaches would be required.</w:t>
      </w:r>
    </w:p>
    <w:p w14:paraId="51AF54EA" w14:textId="77777777" w:rsidR="00D0651E" w:rsidRPr="00296D0C" w:rsidRDefault="00D0651E" w:rsidP="00D0651E">
      <w:pPr>
        <w:spacing w:after="0" w:line="360" w:lineRule="auto"/>
      </w:pPr>
    </w:p>
    <w:p w14:paraId="4E5968B4" w14:textId="77777777" w:rsidR="00D0651E" w:rsidRPr="00296D0C" w:rsidRDefault="00D0651E" w:rsidP="00D0651E">
      <w:pPr>
        <w:spacing w:line="360" w:lineRule="auto"/>
        <w:rPr>
          <w:rFonts w:cs="Times New Roman"/>
        </w:rPr>
      </w:pPr>
      <w:r w:rsidRPr="00296D0C">
        <w:rPr>
          <w:rFonts w:cs="Times New Roman"/>
        </w:rPr>
        <w:t xml:space="preserve">We were mindful from the outset that the Programme should complement educational activities (by meeting National Curriculum objectives) and not be a burden to teachers. It is possible that, although the external delivery of the majority of Programme activities (Sport and Dance groups, actors and the HeLP Coordinators) was welcomed by teachers and children, this delivery mode meant the Programme was probably not embedded across the school and hence could not systematically affect the school environment. </w:t>
      </w:r>
    </w:p>
    <w:p w14:paraId="5712971C" w14:textId="158D407A" w:rsidR="00D0651E" w:rsidRPr="00296D0C" w:rsidRDefault="00D0651E" w:rsidP="00D0651E">
      <w:pPr>
        <w:spacing w:line="360" w:lineRule="auto"/>
        <w:rPr>
          <w:rFonts w:cs="Times New Roman"/>
        </w:rPr>
      </w:pPr>
      <w:r w:rsidRPr="008E2F6A">
        <w:rPr>
          <w:rFonts w:cs="Times New Roman"/>
        </w:rPr>
        <w:t>Our development and early piloting work suggested that a more intensive intervention with greater parental involvement in the Programme would be less acceptable or unfeasible for schools, suggesting that future obesity prevention interventions may need to consider new approaches and settings if they are seeking to affect family behaviours and the home environment.</w:t>
      </w:r>
      <w:r w:rsidRPr="00296D0C">
        <w:rPr>
          <w:rFonts w:cs="Times New Roman"/>
        </w:rPr>
        <w:t xml:space="preserve">             </w:t>
      </w:r>
    </w:p>
    <w:p w14:paraId="7F3BDF37" w14:textId="4C32DAD7" w:rsidR="00D0651E" w:rsidRPr="00296D0C" w:rsidRDefault="00D0651E" w:rsidP="00D0651E">
      <w:pPr>
        <w:spacing w:line="360" w:lineRule="auto"/>
        <w:rPr>
          <w:rFonts w:cs="Times New Roman"/>
        </w:rPr>
      </w:pPr>
      <w:r w:rsidRPr="00296D0C">
        <w:rPr>
          <w:rFonts w:cs="Times New Roman"/>
        </w:rPr>
        <w:lastRenderedPageBreak/>
        <w:t xml:space="preserve">                                                                                                                                                                                                                                                                                                                                                                                                                                                                                                                                                                                                   </w:t>
      </w:r>
    </w:p>
    <w:p w14:paraId="36EF3D36" w14:textId="77777777" w:rsidR="00D0651E" w:rsidRPr="00296D0C" w:rsidRDefault="00D0651E" w:rsidP="00D0651E">
      <w:pPr>
        <w:pStyle w:val="Heading2"/>
        <w:rPr>
          <w:rFonts w:asciiTheme="minorHAnsi" w:hAnsiTheme="minorHAnsi"/>
          <w:bCs w:val="0"/>
          <w:sz w:val="22"/>
          <w:szCs w:val="22"/>
        </w:rPr>
      </w:pPr>
      <w:bookmarkStart w:id="623" w:name="_Toc466639078"/>
      <w:bookmarkStart w:id="624" w:name="_Toc466710125"/>
      <w:bookmarkStart w:id="625" w:name="_Toc466711473"/>
      <w:bookmarkStart w:id="626" w:name="_Toc466712132"/>
      <w:bookmarkStart w:id="627" w:name="_Toc475974400"/>
      <w:r w:rsidRPr="00296D0C">
        <w:rPr>
          <w:rFonts w:asciiTheme="minorHAnsi" w:hAnsiTheme="minorHAnsi"/>
          <w:bCs w:val="0"/>
          <w:sz w:val="22"/>
          <w:szCs w:val="22"/>
        </w:rPr>
        <w:t>6.4 Trial strengths and limitations</w:t>
      </w:r>
      <w:bookmarkEnd w:id="623"/>
      <w:bookmarkEnd w:id="624"/>
      <w:bookmarkEnd w:id="625"/>
      <w:bookmarkEnd w:id="626"/>
      <w:bookmarkEnd w:id="627"/>
    </w:p>
    <w:p w14:paraId="130C20C1" w14:textId="56024AB0" w:rsidR="00D0651E" w:rsidRPr="00296D0C" w:rsidRDefault="00D0651E" w:rsidP="00D0651E">
      <w:pPr>
        <w:spacing w:line="360" w:lineRule="auto"/>
        <w:rPr>
          <w:rFonts w:cs="Times New Roman"/>
        </w:rPr>
      </w:pPr>
      <w:r w:rsidRPr="00296D0C">
        <w:rPr>
          <w:rFonts w:cs="Times New Roman"/>
        </w:rPr>
        <w:t xml:space="preserve">There are well recognised potential sources of bias associated with cluster RCTs </w:t>
      </w:r>
      <w:r w:rsidRPr="00296D0C">
        <w:rPr>
          <w:rFonts w:cs="Times New Roman"/>
        </w:rPr>
        <w:fldChar w:fldCharType="begin"/>
      </w:r>
      <w:r w:rsidR="00FF0067">
        <w:rPr>
          <w:rFonts w:cs="Times New Roman"/>
        </w:rPr>
        <w:instrText xml:space="preserve"> ADDIN EN.CITE &lt;EndNote&gt;&lt;Cite&gt;&lt;Author&gt;Caille&lt;/Author&gt;&lt;Year&gt;2016&lt;/Year&gt;&lt;RecNum&gt;5720&lt;/RecNum&gt;&lt;DisplayText&gt;&lt;style face="superscript"&gt;32&lt;/style&gt;&lt;/DisplayText&gt;&lt;record&gt;&lt;rec-number&gt;5720&lt;/rec-number&gt;&lt;foreign-keys&gt;&lt;key app="EN" db-id="2ewa9rrvjsdsawep2vpx5x97eedzzvxx5rta" timestamp="1478614532"&gt;5720&lt;/key&gt;&lt;/foreign-keys&gt;&lt;ref-type name="Journal Article"&gt;17&lt;/ref-type&gt;&lt;contributors&gt;&lt;authors&gt;&lt;author&gt;Caille, A.&lt;/author&gt;&lt;author&gt;Kerry, S.&lt;/author&gt;&lt;author&gt;Tavernier, E.&lt;/author&gt;&lt;author&gt;Leyrat, C.&lt;/author&gt;&lt;author&gt;Eldridge, S.&lt;/author&gt;&lt;author&gt;Giraudeau, B.&lt;/author&gt;&lt;/authors&gt;&lt;/contributors&gt;&lt;auth-address&gt;Universite Francois-Rabelais, Tours, France CHRU de Tours, INSERM CIC1415, Tours, France Centre de recherche Epidemiologie et Biostatistique, INSERM U1153, Paris, France agnes.caille@med.univ-tours.fr.&amp;#xD;Centre for Primary Care and Public Health, Queen Mary University of London, London, UK.&amp;#xD;CHRU de Tours, INSERM CIC1415, Tours, France Centre de recherche Epidemiologie et Biostatistique, INSERM U1153, Paris, France.&amp;#xD;Department of Medical Statistics, London School of Hygiene and Tropical Medicine, London, UK.&amp;#xD;Universite Francois-Rabelais, Tours, France CHRU de Tours, INSERM CIC1415, Tours, France Centre de recherche Epidemiologie et Biostatistique, INSERM U1153, Paris, France.&lt;/auth-address&gt;&lt;titles&gt;&lt;title&gt;Timeline cluster: a graphical tool to identify risk of bias in cluster randomised trials&lt;/title&gt;&lt;secondary-title&gt;BMJ&lt;/secondary-title&gt;&lt;/titles&gt;&lt;periodical&gt;&lt;full-title&gt;BMJ&lt;/full-title&gt;&lt;abbr-1&gt;BMJ&lt;/abbr-1&gt;&lt;abbr-2&gt;BMJ&lt;/abbr-2&gt;&lt;/periodical&gt;&lt;pages&gt;i4291&lt;/pages&gt;&lt;volume&gt;354&lt;/volume&gt;&lt;dates&gt;&lt;year&gt;2016&lt;/year&gt;&lt;pub-dates&gt;&lt;date&gt;Aug 16&lt;/date&gt;&lt;/pub-dates&gt;&lt;/dates&gt;&lt;isbn&gt;1756-1833 (Electronic)&amp;#xD;0959-535X (Linking)&lt;/isbn&gt;&lt;accession-num&gt;27530617&lt;/accession-num&gt;&lt;urls&gt;&lt;related-urls&gt;&lt;url&gt;http://www.ncbi.nlm.nih.gov/pubmed/27530617&lt;/url&gt;&lt;/related-urls&gt;&lt;/urls&gt;&lt;electronic-resource-num&gt;10.1136/bmj.i4291&lt;/electronic-resource-num&gt;&lt;/record&gt;&lt;/Cite&gt;&lt;/EndNote&gt;</w:instrText>
      </w:r>
      <w:r w:rsidRPr="00296D0C">
        <w:rPr>
          <w:rFonts w:cs="Times New Roman"/>
        </w:rPr>
        <w:fldChar w:fldCharType="separate"/>
      </w:r>
      <w:r w:rsidR="006347BE" w:rsidRPr="006347BE">
        <w:rPr>
          <w:rFonts w:cs="Times New Roman"/>
          <w:noProof/>
          <w:vertAlign w:val="superscript"/>
        </w:rPr>
        <w:t>32</w:t>
      </w:r>
      <w:r w:rsidRPr="00296D0C">
        <w:rPr>
          <w:rFonts w:cs="Times New Roman"/>
        </w:rPr>
        <w:fldChar w:fldCharType="end"/>
      </w:r>
      <w:r w:rsidRPr="00296D0C">
        <w:rPr>
          <w:rFonts w:cs="Times New Roman"/>
        </w:rPr>
        <w:t xml:space="preserve"> including recruitment bias, performance bias and detection bias. We tried to reduce the likelihood of these biases by: recruiting schools and children and collecting baseline measures prior to known allocation of schools to intervention or control (to reduce differential take up); capturing evidence of changes in school policies around food or physical activity through school completion of a checklist at the beginning of the trial and at 18 months (</w:t>
      </w:r>
      <w:r w:rsidR="00F61B30" w:rsidRPr="00296D0C">
        <w:rPr>
          <w:rFonts w:cs="Times New Roman"/>
        </w:rPr>
        <w:t>see Appendix 1</w:t>
      </w:r>
      <w:r w:rsidR="00A60D1B">
        <w:rPr>
          <w:rFonts w:cs="Times New Roman"/>
        </w:rPr>
        <w:t>6</w:t>
      </w:r>
      <w:r w:rsidRPr="00296D0C">
        <w:rPr>
          <w:rFonts w:cs="Times New Roman"/>
        </w:rPr>
        <w:t>); and by using assessors blinded to allocation to measure the anthropometric outcomes. The primary outcome for the trial was based on measures taken when the children had transferred to secondary school, and hence secondary schools included children from both intervention and control groups. No child revealed their group allocation to the blinded assessor at 24 month follow up.</w:t>
      </w:r>
      <w:r w:rsidR="00C8303F">
        <w:rPr>
          <w:rFonts w:cs="Times New Roman"/>
        </w:rPr>
        <w:t xml:space="preserve"> However, it should be noted that whilst the MLQ and FIQ were completed prior to group allocation at baseline, at 12 and 18 months respectively, the children were aware of their group allocation as shown in Figure</w:t>
      </w:r>
      <w:r w:rsidR="00F201C2">
        <w:rPr>
          <w:rFonts w:cs="Times New Roman"/>
        </w:rPr>
        <w:t xml:space="preserve"> 1.</w:t>
      </w:r>
    </w:p>
    <w:p w14:paraId="53514150" w14:textId="774E0AD5" w:rsidR="00D0651E" w:rsidRPr="00296D0C" w:rsidRDefault="00D0651E" w:rsidP="00D0651E">
      <w:pPr>
        <w:spacing w:line="360" w:lineRule="auto"/>
        <w:rPr>
          <w:rFonts w:cs="Times New Roman"/>
        </w:rPr>
      </w:pPr>
      <w:r w:rsidRPr="00296D0C">
        <w:rPr>
          <w:rFonts w:cs="Times New Roman"/>
        </w:rPr>
        <w:t xml:space="preserve">Sample size calculations, which allowed for the anticipated level of clustering as estimated from the exploratory trial and NCMP data </w:t>
      </w:r>
      <w:r w:rsidR="005053FC">
        <w:rPr>
          <w:rFonts w:cs="Times New Roman"/>
        </w:rPr>
        <w:fldChar w:fldCharType="begin"/>
      </w:r>
      <w:r w:rsidR="00FF0067">
        <w:rPr>
          <w:rFonts w:cs="Times New Roman"/>
        </w:rPr>
        <w:instrText xml:space="preserve"> ADDIN EN.CITE &lt;EndNote&gt;&lt;Cite&gt;&lt;Author&gt;Lloyd&lt;/Author&gt;&lt;Year&gt;2012&lt;/Year&gt;&lt;RecNum&gt;4625&lt;/RecNum&gt;&lt;DisplayText&gt;&lt;style face="superscript"&gt;28&lt;/style&gt;&lt;/DisplayText&gt;&lt;record&gt;&lt;rec-number&gt;4625&lt;/rec-number&gt;&lt;foreign-keys&gt;&lt;key app="EN" db-id="2ewa9rrvjsdsawep2vpx5x97eedzzvxx5rta" timestamp="0"&gt;4625&lt;/key&gt;&lt;/foreign-keys&gt;&lt;ref-type name="Journal Article"&gt;17&lt;/ref-type&gt;&lt;contributors&gt;&lt;authors&gt;&lt;author&gt;Lloyd, J. J.&lt;/author&gt;&lt;author&gt;Wyatt, K. M.&lt;/author&gt;&lt;author&gt;Creanor, S.&lt;/author&gt;&lt;/authors&gt;&lt;/contributors&gt;&lt;auth-address&gt;Institute for Health Service Research, Peninsula College of Medicine and Dentistry, University of Exeter, Exeter, UK.&lt;/auth-address&gt;&lt;titles&gt;&lt;title&gt;Behavioural and weight status outcomes from an exploratory trial of the Healthy Lifestyles Programme (HeLP): a novel school-based obesity prevention programme&lt;/title&gt;&lt;secondary-title&gt;BMJ Open&lt;/secondary-title&gt;&lt;/titles&gt;&lt;volume&gt;2&lt;/volume&gt;&lt;number&gt;3&lt;/number&gt;&lt;edition&gt;2012/05/16&lt;/edition&gt;&lt;dates&gt;&lt;year&gt;2012&lt;/year&gt;&lt;/dates&gt;&lt;isbn&gt;2044-6055 (Electronic)&lt;/isbn&gt;&lt;accession-num&gt;22586282&lt;/accession-num&gt;&lt;urls&gt;&lt;related-urls&gt;&lt;url&gt;http://www.ncbi.nlm.nih.gov/pubmed/22586282&lt;/url&gt;&lt;/related-urls&gt;&lt;/urls&gt;&lt;custom2&gt;3358612&lt;/custom2&gt;&lt;electronic-resource-num&gt;10.1136/bmjopen-2011-000390&lt;/electronic-resource-num&gt;&lt;language&gt;eng&lt;/language&gt;&lt;/record&gt;&lt;/Cite&gt;&lt;/EndNote&gt;</w:instrText>
      </w:r>
      <w:r w:rsidR="005053FC">
        <w:rPr>
          <w:rFonts w:cs="Times New Roman"/>
        </w:rPr>
        <w:fldChar w:fldCharType="separate"/>
      </w:r>
      <w:r w:rsidR="006347BE" w:rsidRPr="006347BE">
        <w:rPr>
          <w:rFonts w:cs="Times New Roman"/>
          <w:noProof/>
          <w:vertAlign w:val="superscript"/>
        </w:rPr>
        <w:t>28</w:t>
      </w:r>
      <w:r w:rsidR="005053FC">
        <w:rPr>
          <w:rFonts w:cs="Times New Roman"/>
        </w:rPr>
        <w:fldChar w:fldCharType="end"/>
      </w:r>
      <w:r w:rsidR="005E05B7">
        <w:rPr>
          <w:rFonts w:cs="Times New Roman"/>
          <w:vertAlign w:val="superscript"/>
        </w:rPr>
        <w:t>,</w:t>
      </w:r>
      <w:r w:rsidR="001519FD">
        <w:rPr>
          <w:rFonts w:cs="Times New Roman"/>
        </w:rPr>
        <w:t xml:space="preserve"> </w:t>
      </w:r>
      <w:r w:rsidR="005053FC">
        <w:rPr>
          <w:rFonts w:cs="Times New Roman"/>
        </w:rPr>
        <w:fldChar w:fldCharType="begin"/>
      </w:r>
      <w:r w:rsidR="008C43BF">
        <w:rPr>
          <w:rFonts w:cs="Times New Roman"/>
        </w:rPr>
        <w:instrText xml:space="preserve"> ADDIN EN.CITE &lt;EndNote&gt;&lt;Cite&gt;&lt;Author&gt;Williams&lt;/Author&gt;&lt;Year&gt;2014&lt;/Year&gt;&lt;RecNum&gt;5810&lt;/RecNum&gt;&lt;DisplayText&gt;&lt;style face="superscript"&gt;137&lt;/style&gt;&lt;/DisplayText&gt;&lt;record&gt;&lt;rec-number&gt;5810&lt;/rec-number&gt;&lt;foreign-keys&gt;&lt;key app="EN" db-id="2ewa9rrvjsdsawep2vpx5x97eedzzvxx5rta" timestamp="1478877292"&gt;5810&lt;/key&gt;&lt;/foreign-keys&gt;&lt;ref-type name="Thesis"&gt;32&lt;/ref-type&gt;&lt;contributors&gt;&lt;authors&gt;&lt;author&gt;Williams, A. J.&lt;/author&gt;&lt;/authors&gt;&lt;/contributors&gt;&lt;titles&gt;&lt;title&gt;Determination of school-based contextual factors and their associations with the prevalence of overweight and obese children&lt;/title&gt;&lt;/titles&gt;&lt;dates&gt;&lt;year&gt;2014&lt;/year&gt;&lt;/dates&gt;&lt;publisher&gt;Exeter&lt;/publisher&gt;&lt;urls&gt;&lt;/urls&gt;&lt;/record&gt;&lt;/Cite&gt;&lt;/EndNote&gt;</w:instrText>
      </w:r>
      <w:r w:rsidR="005053FC">
        <w:rPr>
          <w:rFonts w:cs="Times New Roman"/>
        </w:rPr>
        <w:fldChar w:fldCharType="separate"/>
      </w:r>
      <w:r w:rsidR="008C43BF" w:rsidRPr="008C43BF">
        <w:rPr>
          <w:rFonts w:cs="Times New Roman"/>
          <w:noProof/>
          <w:vertAlign w:val="superscript"/>
        </w:rPr>
        <w:t>137</w:t>
      </w:r>
      <w:r w:rsidR="005053FC">
        <w:rPr>
          <w:rFonts w:cs="Times New Roman"/>
        </w:rPr>
        <w:fldChar w:fldCharType="end"/>
      </w:r>
      <w:r w:rsidRPr="001519FD">
        <w:rPr>
          <w:rFonts w:cs="Times New Roman"/>
        </w:rPr>
        <w:t>,</w:t>
      </w:r>
      <w:r w:rsidRPr="00296D0C">
        <w:rPr>
          <w:rFonts w:cs="Times New Roman"/>
        </w:rPr>
        <w:t xml:space="preserve"> suggested that we needed measures from approximately 760 children at 24 months to detect a 0.25 difference in BMI SDS; we estimated we needed 28 schools, each with circa 35-40 children, to complete the study and so allowing for a 20% loss to follow up at 24 months, we sought to recruit 32 schools to allow for both school-level and child-level drop outs. No schools dropped out of the study. </w:t>
      </w:r>
      <w:r w:rsidRPr="00296D0C">
        <w:t xml:space="preserve">Few eligible children (34/1371) opted out of the study and we achieved follow-up rates between </w:t>
      </w:r>
      <w:r w:rsidRPr="00296D0C">
        <w:rPr>
          <w:rFonts w:cs="Times New Roman"/>
        </w:rPr>
        <w:t xml:space="preserve">85% and 96% for all outcome measures, hence there is a very low risk of attrition bias. </w:t>
      </w:r>
    </w:p>
    <w:p w14:paraId="6F43728D" w14:textId="134CB542" w:rsidR="00D0651E" w:rsidRPr="00296D0C" w:rsidRDefault="004E3397" w:rsidP="00D0651E">
      <w:pPr>
        <w:spacing w:line="360" w:lineRule="auto"/>
        <w:rPr>
          <w:rFonts w:cs="Calibri"/>
          <w:color w:val="000000"/>
        </w:rPr>
      </w:pPr>
      <w:r w:rsidRPr="00296D0C">
        <w:rPr>
          <w:rFonts w:cs="Arial"/>
        </w:rPr>
        <w:t>Reviews and recent studies</w:t>
      </w:r>
      <w:r w:rsidR="00D0651E" w:rsidRPr="00296D0C">
        <w:rPr>
          <w:rFonts w:cs="Arial"/>
        </w:rPr>
        <w:t xml:space="preserve"> of school-based obesity prevention and management trials in children have highlighted low participation, differential dropout and loss to follow up </w:t>
      </w:r>
      <w:r w:rsidR="008024DA" w:rsidRPr="00296D0C">
        <w:rPr>
          <w:rFonts w:cs="Arial"/>
        </w:rPr>
        <w:t>rates</w:t>
      </w:r>
      <w:r w:rsidR="008024DA">
        <w:rPr>
          <w:rFonts w:cs="Arial"/>
        </w:rPr>
        <w:t xml:space="preserve"> </w:t>
      </w:r>
      <w:r w:rsidR="008024DA" w:rsidRPr="00710EBE">
        <w:rPr>
          <w:rFonts w:cs="Calibri"/>
        </w:rPr>
        <w:fldChar w:fldCharType="begin">
          <w:fldData xml:space="preserve">PEVuZE5vdGU+PENpdGU+PEF1dGhvcj5Hb256YWxlei1TdWFyZXo8L0F1dGhvcj48WWVhcj4yMDA5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==
</w:fldData>
        </w:fldChar>
      </w:r>
      <w:r w:rsidR="008C43BF">
        <w:rPr>
          <w:rFonts w:cs="Calibri"/>
        </w:rPr>
        <w:instrText xml:space="preserve"> ADDIN EN.CITE </w:instrText>
      </w:r>
      <w:r w:rsidR="008C43BF">
        <w:rPr>
          <w:rFonts w:cs="Calibri"/>
        </w:rPr>
        <w:fldChar w:fldCharType="begin">
          <w:fldData xml:space="preserve">PEVuZE5vdGU+PENpdGU+PEF1dGhvcj5Hb256YWxlei1TdWFyZXo8L0F1dGhvcj48WWVhcj4yMDA5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==
</w:fldData>
        </w:fldChar>
      </w:r>
      <w:r w:rsidR="008C43BF">
        <w:rPr>
          <w:rFonts w:cs="Calibri"/>
        </w:rPr>
        <w:instrText xml:space="preserve"> ADDIN EN.CITE.DATA </w:instrText>
      </w:r>
      <w:r w:rsidR="008C43BF">
        <w:rPr>
          <w:rFonts w:cs="Calibri"/>
        </w:rPr>
      </w:r>
      <w:r w:rsidR="008C43BF">
        <w:rPr>
          <w:rFonts w:cs="Calibri"/>
        </w:rPr>
        <w:fldChar w:fldCharType="end"/>
      </w:r>
      <w:r w:rsidR="008024DA" w:rsidRPr="00710EBE">
        <w:rPr>
          <w:rFonts w:cs="Calibri"/>
        </w:rPr>
      </w:r>
      <w:r w:rsidR="008024DA" w:rsidRPr="00710EBE">
        <w:rPr>
          <w:rFonts w:cs="Calibri"/>
        </w:rPr>
        <w:fldChar w:fldCharType="separate"/>
      </w:r>
      <w:r w:rsidR="008C43BF" w:rsidRPr="008C43BF">
        <w:rPr>
          <w:rFonts w:cs="Calibri"/>
          <w:noProof/>
          <w:vertAlign w:val="superscript"/>
        </w:rPr>
        <w:t>4,5,9,138</w:t>
      </w:r>
      <w:r w:rsidR="008024DA" w:rsidRPr="00710EBE">
        <w:rPr>
          <w:rFonts w:cs="Calibri"/>
        </w:rPr>
        <w:fldChar w:fldCharType="end"/>
      </w:r>
      <w:r w:rsidR="008024DA">
        <w:rPr>
          <w:rFonts w:cs="Arial"/>
        </w:rPr>
        <w:t xml:space="preserve">. </w:t>
      </w:r>
      <w:r w:rsidR="00D0651E" w:rsidRPr="00296D0C">
        <w:rPr>
          <w:rFonts w:cs="Calibri"/>
          <w:color w:val="000000"/>
        </w:rPr>
        <w:t>For example, completeness of anthropometric data in school-based obesity prevention programmes has ranged between 70% and 80% for follow up of 24 months or more</w:t>
      </w:r>
      <w:r w:rsidR="006303D5">
        <w:rPr>
          <w:rFonts w:cs="Calibri"/>
          <w:color w:val="000000"/>
        </w:rPr>
        <w:t xml:space="preserve"> </w:t>
      </w:r>
      <w:r w:rsidR="008024DA">
        <w:rPr>
          <w:rFonts w:cs="Calibri"/>
          <w:color w:val="000000"/>
        </w:rPr>
        <w:fldChar w:fldCharType="begin">
          <w:fldData xml:space="preserve">PEVuZE5vdGU+PENpdGU+PEF1dGhvcj5UaGUgSGVhbHRoeSBTdHVkeSBHcm91cDwvQXV0aG9yPjxZ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</w:fldData>
        </w:fldChar>
      </w:r>
      <w:r w:rsidR="008C43BF">
        <w:rPr>
          <w:rFonts w:cs="Calibri"/>
          <w:color w:val="000000"/>
        </w:rPr>
        <w:instrText xml:space="preserve"> ADDIN EN.CITE </w:instrText>
      </w:r>
      <w:r w:rsidR="008C43BF">
        <w:rPr>
          <w:rFonts w:cs="Calibri"/>
          <w:color w:val="000000"/>
        </w:rPr>
        <w:fldChar w:fldCharType="begin">
          <w:fldData xml:space="preserve">PEVuZE5vdGU+PENpdGU+PEF1dGhvcj5UaGUgSGVhbHRoeSBTdHVkeSBHcm91cDwvQXV0aG9yPjxZ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</w:fldData>
        </w:fldChar>
      </w:r>
      <w:r w:rsidR="008C43BF">
        <w:rPr>
          <w:rFonts w:cs="Calibri"/>
          <w:color w:val="000000"/>
        </w:rPr>
        <w:instrText xml:space="preserve"> ADDIN EN.CITE.DATA </w:instrText>
      </w:r>
      <w:r w:rsidR="008C43BF">
        <w:rPr>
          <w:rFonts w:cs="Calibri"/>
          <w:color w:val="000000"/>
        </w:rPr>
      </w:r>
      <w:r w:rsidR="008C43BF">
        <w:rPr>
          <w:rFonts w:cs="Calibri"/>
          <w:color w:val="000000"/>
        </w:rPr>
        <w:fldChar w:fldCharType="end"/>
      </w:r>
      <w:r w:rsidR="008024DA">
        <w:rPr>
          <w:rFonts w:cs="Calibri"/>
          <w:color w:val="000000"/>
        </w:rPr>
      </w:r>
      <w:r w:rsidR="008024DA">
        <w:rPr>
          <w:rFonts w:cs="Calibri"/>
          <w:color w:val="000000"/>
        </w:rPr>
        <w:fldChar w:fldCharType="separate"/>
      </w:r>
      <w:r w:rsidR="008C43BF" w:rsidRPr="008C43BF">
        <w:rPr>
          <w:rFonts w:cs="Calibri"/>
          <w:noProof/>
          <w:color w:val="000000"/>
          <w:vertAlign w:val="superscript"/>
        </w:rPr>
        <w:t>139-141</w:t>
      </w:r>
      <w:r w:rsidR="008024DA">
        <w:rPr>
          <w:rFonts w:cs="Calibri"/>
          <w:color w:val="000000"/>
        </w:rPr>
        <w:fldChar w:fldCharType="end"/>
      </w:r>
      <w:r w:rsidR="00D0651E" w:rsidRPr="00296D0C">
        <w:rPr>
          <w:rFonts w:cs="Calibri"/>
          <w:color w:val="000000"/>
        </w:rPr>
        <w:t xml:space="preserve"> and the percentage of children providing a representative pattern of their physical activity levels across the entire  week (at least 3 weekdays and 1 weekend day of 10 hours continuous wear time) tends to be much lower (between 40 and 60%) </w:t>
      </w:r>
      <w:r w:rsidR="008024DA" w:rsidRPr="008024DA">
        <w:rPr>
          <w:rFonts w:cs="Calibri"/>
          <w:color w:val="000000"/>
        </w:rPr>
        <w:fldChar w:fldCharType="begin"/>
      </w:r>
      <w:r w:rsidR="00FF0067">
        <w:rPr>
          <w:rFonts w:cs="Calibri"/>
          <w:color w:val="000000"/>
        </w:rPr>
        <w:instrText xml:space="preserve"> ADDIN EN.CITE &lt;EndNote&gt;&lt;Cite&gt;&lt;Author&gt;Trost&lt;/Author&gt;&lt;Year&gt;2005&lt;/Year&gt;&lt;RecNum&gt;5645&lt;/RecNum&gt;&lt;DisplayText&gt;&lt;style face="superscript"&gt;37&lt;/style&gt;&lt;/DisplayText&gt;&lt;record&gt;&lt;rec-number&gt;5645&lt;/rec-number&gt;&lt;foreign-keys&gt;&lt;key app="EN" db-id="2ewa9rrvjsdsawep2vpx5x97eedzzvxx5rta" timestamp="1453120064"&gt;5645&lt;/key&gt;&lt;/foreign-keys&gt;&lt;ref-type name="Journal Article"&gt;17&lt;/ref-type&gt;&lt;contributors&gt;&lt;authors&gt;&lt;author&gt;Trost, S. G.&lt;/author&gt;&lt;author&gt;McIver, K. L.&lt;/author&gt;&lt;author&gt;Pate, R. R.&lt;/author&gt;&lt;/authors&gt;&lt;/contributors&gt;&lt;auth-address&gt;Community Health Institute, Kansas State University, Manhattan, KS 66506, USA. strost@ksu.edu&lt;/auth-address&gt;&lt;titles&gt;&lt;title&gt;Conducting accelerometer-based activity assessments in field-based research&lt;/title&gt;&lt;secondary-title&gt;Med Sci Sports Exerc&lt;/secondary-title&gt;&lt;/titles&gt;&lt;periodical&gt;&lt;full-title&gt;Medicine and Science in Sports and Exercise&lt;/full-title&gt;&lt;abbr-1&gt;Med. Sci. Sports Exerc.&lt;/abbr-1&gt;&lt;abbr-2&gt;Med Sci Sports Exerc&lt;/abbr-2&gt;&lt;abbr-3&gt;Medicine &amp;amp; Science in Sports &amp;amp; Exercise&lt;/abbr-3&gt;&lt;/periodical&gt;&lt;pages&gt;S531-43&lt;/pages&gt;&lt;volume&gt;37&lt;/volume&gt;&lt;number&gt;11 Suppl&lt;/number&gt;&lt;keywords&gt;&lt;keyword&gt;*Acceleration&lt;/keyword&gt;&lt;keyword&gt;Automatic Data Processing&lt;/keyword&gt;&lt;keyword&gt;Ergometry/*instrumentation&lt;/keyword&gt;&lt;keyword&gt;Evidence-Based Medicine&lt;/keyword&gt;&lt;keyword&gt;Guidelines as Topic&lt;/keyword&gt;&lt;keyword&gt;Humans&lt;/keyword&gt;&lt;keyword&gt;Locomotion&lt;/keyword&gt;&lt;keyword&gt;Reproducibility of Results&lt;/keyword&gt;&lt;keyword&gt;*Research Design&lt;/keyword&gt;&lt;keyword&gt;United States&lt;/keyword&gt;&lt;/keywords&gt;&lt;dates&gt;&lt;year&gt;2005&lt;/year&gt;&lt;pub-dates&gt;&lt;date&gt;Nov&lt;/date&gt;&lt;/pub-dates&gt;&lt;/dates&gt;&lt;isbn&gt;0195-9131 (Print)&amp;#xD;0195-9131 (Linking)&lt;/isbn&gt;&lt;accession-num&gt;16294116&lt;/accession-num&gt;&lt;urls&gt;&lt;related-urls&gt;&lt;url&gt;http://www.ncbi.nlm.nih.gov/pubmed/16294116&lt;/url&gt;&lt;/related-urls&gt;&lt;/urls&gt;&lt;/record&gt;&lt;/Cite&gt;&lt;/EndNote&gt;</w:instrText>
      </w:r>
      <w:r w:rsidR="008024DA" w:rsidRPr="008024DA">
        <w:rPr>
          <w:rFonts w:cs="Calibri"/>
          <w:color w:val="000000"/>
        </w:rPr>
        <w:fldChar w:fldCharType="separate"/>
      </w:r>
      <w:r w:rsidR="006347BE" w:rsidRPr="006347BE">
        <w:rPr>
          <w:rFonts w:cs="Calibri"/>
          <w:noProof/>
          <w:color w:val="000000"/>
          <w:vertAlign w:val="superscript"/>
        </w:rPr>
        <w:t>37</w:t>
      </w:r>
      <w:r w:rsidR="008024DA" w:rsidRPr="008024DA">
        <w:rPr>
          <w:rFonts w:cs="Calibri"/>
          <w:color w:val="000000"/>
        </w:rPr>
        <w:fldChar w:fldCharType="end"/>
      </w:r>
      <w:r w:rsidR="00D0651E" w:rsidRPr="008024DA">
        <w:rPr>
          <w:rFonts w:cs="Calibri"/>
          <w:color w:val="000000"/>
        </w:rPr>
        <w:t xml:space="preserve">. </w:t>
      </w:r>
      <w:r w:rsidR="00D0651E" w:rsidRPr="00296D0C">
        <w:rPr>
          <w:rFonts w:cs="Calibri"/>
          <w:color w:val="000000"/>
        </w:rPr>
        <w:t xml:space="preserve"> In the HeLP trial </w:t>
      </w:r>
      <w:r w:rsidR="00D0651E" w:rsidRPr="00296D0C">
        <w:rPr>
          <w:rFonts w:cs="Times New Roman"/>
        </w:rPr>
        <w:t>84% of children met the minimum wear time criteria of 3 week days and a weekend day and 79% provided data on all seven days at 18 months.</w:t>
      </w:r>
      <w:r w:rsidR="00D0651E" w:rsidRPr="00296D0C">
        <w:rPr>
          <w:rFonts w:cs="Calibri"/>
          <w:color w:val="000000"/>
        </w:rPr>
        <w:t xml:space="preserve"> The HeLP trial, therefore, has one of the most complete follow-up rates and physical activity compliance of recent obesity prevention trials for children of this age group.  We attribute this to the relational approach </w:t>
      </w:r>
      <w:r w:rsidR="00D0651E" w:rsidRPr="00296D0C">
        <w:rPr>
          <w:rFonts w:cs="Calibri"/>
          <w:color w:val="000000"/>
        </w:rPr>
        <w:lastRenderedPageBreak/>
        <w:t>we took in the trial delivery, as well as the stakeholder involvement we had in developing the intervention and the trial design</w:t>
      </w:r>
      <w:r w:rsidR="001519FD">
        <w:rPr>
          <w:rFonts w:cs="Calibri"/>
          <w:color w:val="000000"/>
        </w:rPr>
        <w:t xml:space="preserve"> </w:t>
      </w:r>
      <w:r w:rsidR="005053FC">
        <w:rPr>
          <w:rFonts w:cs="Calibri"/>
          <w:color w:val="000000"/>
        </w:rPr>
        <w:fldChar w:fldCharType="begin"/>
      </w:r>
      <w:r w:rsidR="00951FF2">
        <w:rPr>
          <w:rFonts w:cs="Calibri"/>
          <w:color w:val="000000"/>
        </w:rPr>
        <w:instrText xml:space="preserve"> ADDIN EN.CITE &lt;EndNote&gt;&lt;Cite&gt;&lt;Author&gt;Wyatt&lt;/Author&gt;&lt;Year&gt;2011&lt;/Year&gt;&lt;RecNum&gt;3130&lt;/RecNum&gt;&lt;DisplayText&gt;&lt;style face="superscript"&gt;27&lt;/style&gt;&lt;/DisplayText&gt;&lt;record&gt;&lt;rec-number&gt;3130&lt;/rec-number&gt;&lt;foreign-keys&gt;&lt;key app="EN" db-id="2ewa9rrvjsdsawep2vpx5x97eedzzvxx5rta" timestamp="0"&gt;3130&lt;/key&gt;&lt;/foreign-keys&gt;&lt;ref-type name="Electronic Article"&gt;43&lt;/ref-type&gt;&lt;contributors&gt;&lt;authors&gt;&lt;author&gt;Wyatt, Katrina M&lt;/author&gt;&lt;author&gt;Lloyd, Jennifer J&lt;/author&gt;&lt;author&gt;Creanor, Siobhan&lt;/author&gt;&lt;author&gt;Logan, Stuart&lt;/author&gt;&lt;/authors&gt;&lt;/contributors&gt;&lt;titles&gt;&lt;title&gt;The development, feasibility and acceptability of a school-based obesity prevention programme: results from three phases of piloting&lt;/title&gt;&lt;secondary-title&gt;BMJ Open&lt;/secondary-title&gt;&lt;/titles&gt;&lt;pages&gt;e000026&lt;/pages&gt;&lt;volume&gt;1&lt;/volume&gt;&lt;number&gt;1&lt;/number&gt;&lt;dates&gt;&lt;year&gt;2011&lt;/year&gt;&lt;pub-dates&gt;&lt;date&gt;13 September 2011&lt;/date&gt;&lt;/pub-dates&gt;&lt;/dates&gt;&lt;urls&gt;&lt;related-urls&gt;&lt;url&gt;http://bmjopen.bmj.com/content/early/2011/05/23/bmjopen-2010-000026.abstract&lt;/url&gt;&lt;/related-urls&gt;&lt;/urls&gt;&lt;electronic-resource-num&gt;http://dx.doi.org/10.1136/bmjopen-2010-000026&lt;/electronic-resource-num&gt;&lt;/record&gt;&lt;/Cite&gt;&lt;/EndNote&gt;</w:instrText>
      </w:r>
      <w:r w:rsidR="005053FC">
        <w:rPr>
          <w:rFonts w:cs="Calibri"/>
          <w:color w:val="000000"/>
        </w:rPr>
        <w:fldChar w:fldCharType="separate"/>
      </w:r>
      <w:r w:rsidR="006347BE" w:rsidRPr="006347BE">
        <w:rPr>
          <w:rFonts w:cs="Calibri"/>
          <w:noProof/>
          <w:color w:val="000000"/>
          <w:vertAlign w:val="superscript"/>
        </w:rPr>
        <w:t>27</w:t>
      </w:r>
      <w:r w:rsidR="005053FC">
        <w:rPr>
          <w:rFonts w:cs="Calibri"/>
          <w:color w:val="000000"/>
        </w:rPr>
        <w:fldChar w:fldCharType="end"/>
      </w:r>
      <w:r w:rsidR="00D0651E" w:rsidRPr="001519FD">
        <w:rPr>
          <w:rFonts w:cs="Calibri"/>
          <w:color w:val="000000"/>
        </w:rPr>
        <w:t>.</w:t>
      </w:r>
      <w:r w:rsidR="00D0651E" w:rsidRPr="00296D0C">
        <w:rPr>
          <w:rFonts w:cs="Calibri"/>
          <w:color w:val="000000"/>
        </w:rPr>
        <w:t xml:space="preserve"> </w:t>
      </w:r>
    </w:p>
    <w:p w14:paraId="098E78EC" w14:textId="3A976684" w:rsidR="00D0651E" w:rsidRPr="00296D0C" w:rsidRDefault="00D0651E" w:rsidP="00D0651E">
      <w:pPr>
        <w:spacing w:line="360" w:lineRule="auto"/>
        <w:rPr>
          <w:rFonts w:cs="Times New Roman"/>
        </w:rPr>
      </w:pPr>
      <w:r w:rsidRPr="00296D0C">
        <w:rPr>
          <w:rFonts w:cs="Times New Roman"/>
        </w:rPr>
        <w:t xml:space="preserve">We weighted our recruitment of schools to achieve a similar proportion of pupils receiving free school meals as the national average in 2012 (19%), which is higher than the average for Devon (10%), and the schools in the HeLP trial were larger than the average Devon primary school. In other respects, the schools that participated in the trial are representative of Devon and the anthropometric data from the children are broadly similar to the Devon NCMP Year 6 data </w:t>
      </w:r>
      <w:r w:rsidR="004E3397" w:rsidRPr="00296D0C">
        <w:rPr>
          <w:rFonts w:cs="Times New Roman"/>
        </w:rPr>
        <w:fldChar w:fldCharType="begin"/>
      </w:r>
      <w:r w:rsidR="00A41FF7">
        <w:rPr>
          <w:rFonts w:cs="Times New Roman"/>
        </w:rPr>
        <w:instrText xml:space="preserve"> ADDIN EN.CITE &lt;EndNote&gt;&lt;Cite ExcludeYear="1"&gt;&lt;Author&gt;Public Health England&lt;/Author&gt;&lt;RecNum&gt;5809&lt;/RecNum&gt;&lt;DisplayText&gt;&lt;style face="superscript"&gt;142&lt;/style&gt;&lt;/DisplayText&gt;&lt;record&gt;&lt;rec-number&gt;5809&lt;/rec-number&gt;&lt;foreign-keys&gt;&lt;key app="EN" db-id="2ewa9rrvjsdsawep2vpx5x97eedzzvxx5rta" timestamp="1478874033"&gt;5809&lt;/key&gt;&lt;/foreign-keys&gt;&lt;ref-type name="Web Page"&gt;12&lt;/ref-type&gt;&lt;contributors&gt;&lt;authors&gt;&lt;author&gt;Public Health England,&lt;/author&gt;&lt;/authors&gt;&lt;/contributors&gt;&lt;titles&gt;&lt;title&gt;NCMP Local Authority Profile&lt;/title&gt;&lt;/titles&gt;&lt;number&gt;1 Nov 2016&lt;/number&gt;&lt;dates&gt;&lt;/dates&gt;&lt;urls&gt;&lt;related-urls&gt;&lt;url&gt;http://fingertips.phe.org.uk/profile/national-child-measurement-programme/data#page/0/gid/8000011/pat/6/par/E12000009/ati/102/are/E10000008&lt;/url&gt;&lt;/related-urls&gt;&lt;/urls&gt;&lt;/record&gt;&lt;/Cite&gt;&lt;/EndNote&gt;</w:instrText>
      </w:r>
      <w:r w:rsidR="004E3397" w:rsidRPr="00296D0C">
        <w:rPr>
          <w:rFonts w:cs="Times New Roman"/>
        </w:rPr>
        <w:fldChar w:fldCharType="separate"/>
      </w:r>
      <w:r w:rsidR="008C43BF" w:rsidRPr="008C43BF">
        <w:rPr>
          <w:rFonts w:cs="Times New Roman"/>
          <w:noProof/>
          <w:vertAlign w:val="superscript"/>
        </w:rPr>
        <w:t>142</w:t>
      </w:r>
      <w:r w:rsidR="004E3397" w:rsidRPr="00296D0C">
        <w:rPr>
          <w:rFonts w:cs="Times New Roman"/>
        </w:rPr>
        <w:fldChar w:fldCharType="end"/>
      </w:r>
      <w:r w:rsidRPr="00296D0C">
        <w:rPr>
          <w:rFonts w:cs="Times New Roman"/>
        </w:rPr>
        <w:t>. This gives us confidence that the results are mostly applicable to a wider population. The one exception is that, although included schools reflect the proportion of children from minority ethnic groups typical for Devon (6%), this is substantially lower than the national figure of 28% of pupils from minority ethnic backgrounds in England</w:t>
      </w:r>
      <w:r w:rsidR="004E3397" w:rsidRPr="00296D0C">
        <w:rPr>
          <w:rFonts w:cs="Times New Roman"/>
        </w:rPr>
        <w:t xml:space="preserve"> </w:t>
      </w:r>
      <w:r w:rsidR="004E3397" w:rsidRPr="00296D0C">
        <w:rPr>
          <w:rFonts w:cs="Times New Roman"/>
        </w:rPr>
        <w:fldChar w:fldCharType="begin"/>
      </w:r>
      <w:r w:rsidR="00A41FF7">
        <w:rPr>
          <w:rFonts w:cs="Times New Roman"/>
        </w:rPr>
        <w:instrText xml:space="preserve"> ADDIN EN.CITE &lt;EndNote&gt;&lt;Cite&gt;&lt;Author&gt;Statistics&lt;/Author&gt;&lt;Year&gt;2012&lt;/Year&gt;&lt;RecNum&gt;5801&lt;/RecNum&gt;&lt;DisplayText&gt;&lt;style face="superscript"&gt;143&lt;/style&gt;&lt;/DisplayText&gt;&lt;record&gt;&lt;rec-number&gt;5801&lt;/rec-number&gt;&lt;foreign-keys&gt;&lt;key app="EN" db-id="2ewa9rrvjsdsawep2vpx5x97eedzzvxx5rta" timestamp="1478774496"&gt;5801&lt;/key&gt;&lt;/foreign-keys&gt;&lt;ref-type name="Government Document"&gt;46&lt;/ref-type&gt;&lt;contributors&gt;&lt;authors&gt;&lt;author&gt;National Statistics,&lt;/author&gt;&lt;/authors&gt;&lt;secondary-authors&gt;&lt;author&gt;Department for Education&lt;/author&gt;&lt;/secondary-authors&gt;&lt;/contributors&gt;&lt;titles&gt;&lt;title&gt;Schools, pupils and their characteristics: January 2012&lt;/title&gt;&lt;/titles&gt;&lt;dates&gt;&lt;year&gt;2012&lt;/year&gt;&lt;/dates&gt;&lt;pub-location&gt;England&lt;/pub-location&gt;&lt;urls&gt;&lt;related-urls&gt;&lt;url&gt;https://www.gov.uk/government/statistics/schools-pupils-and-their-characteristics-january-2012&lt;/url&gt;&lt;/related-urls&gt;&lt;/urls&gt;&lt;access-date&gt;1 Nov 2016&lt;/access-date&gt;&lt;/record&gt;&lt;/Cite&gt;&lt;/EndNote&gt;</w:instrText>
      </w:r>
      <w:r w:rsidR="004E3397" w:rsidRPr="00296D0C">
        <w:rPr>
          <w:rFonts w:cs="Times New Roman"/>
        </w:rPr>
        <w:fldChar w:fldCharType="separate"/>
      </w:r>
      <w:r w:rsidR="008C43BF" w:rsidRPr="008C43BF">
        <w:rPr>
          <w:rFonts w:cs="Times New Roman"/>
          <w:noProof/>
          <w:vertAlign w:val="superscript"/>
        </w:rPr>
        <w:t>143</w:t>
      </w:r>
      <w:r w:rsidR="004E3397" w:rsidRPr="00296D0C">
        <w:rPr>
          <w:rFonts w:cs="Times New Roman"/>
        </w:rPr>
        <w:fldChar w:fldCharType="end"/>
      </w:r>
      <w:r w:rsidRPr="00296D0C">
        <w:rPr>
          <w:rFonts w:cs="Times New Roman"/>
        </w:rPr>
        <w:t xml:space="preserve">. </w:t>
      </w:r>
    </w:p>
    <w:p w14:paraId="39C1A637" w14:textId="30F820F3" w:rsidR="00D0651E" w:rsidRPr="00296D0C" w:rsidRDefault="00D0651E" w:rsidP="00D0651E">
      <w:pPr>
        <w:spacing w:line="360" w:lineRule="auto"/>
        <w:rPr>
          <w:rFonts w:cs="Times New Roman"/>
        </w:rPr>
      </w:pPr>
      <w:r w:rsidRPr="00296D0C">
        <w:rPr>
          <w:rFonts w:cs="Times New Roman"/>
        </w:rPr>
        <w:t xml:space="preserve">A further strength of this trial was its robust process evaluation involving qualitative and quantitative   data and its pre-specified logic model and mediating variables questionnaire to understand whether HeLP was working in the way it was intended, with the qualitative data being analysed prior to the outcome result being known. </w:t>
      </w:r>
      <w:r w:rsidR="005439AB">
        <w:rPr>
          <w:rFonts w:cs="Times New Roman"/>
        </w:rPr>
        <w:t xml:space="preserve">We also attempted to assess engagement (school, child and parent); whilst school and child engagement was assessed using different methods (observation of intervention sessions and response to the programme) parent engagement was assessed as attending one of six possible parent events and/ or signature on the child’s goal setting sheet. We acknowledge that this is a weak assessment of engagement and does not capture engagement with the messages of the Programme.  </w:t>
      </w:r>
      <w:r w:rsidRPr="00296D0C">
        <w:rPr>
          <w:rFonts w:cs="Times New Roman"/>
        </w:rPr>
        <w:t xml:space="preserve">The low response rate (25%) from parents to the questionnaire about HeLP, which formed part of the process evaluation, limits the strength of these data and also suggests that the sample interviewed (who were recruited from responders to the questionnaire) is unlikely to be representative of all parents. This suggests that the qualitative data from parents </w:t>
      </w:r>
      <w:r w:rsidR="005439AB">
        <w:rPr>
          <w:rFonts w:cs="Times New Roman"/>
        </w:rPr>
        <w:t xml:space="preserve"> can not be considered as representative of all parents receiving the programme</w:t>
      </w:r>
      <w:r w:rsidRPr="00296D0C">
        <w:rPr>
          <w:rFonts w:cs="Times New Roman"/>
        </w:rPr>
        <w:t xml:space="preserve">. The children recruited for the process evaluation were, however, representative of the overall sample and all Year 5 teachers were interviewed. </w:t>
      </w:r>
    </w:p>
    <w:p w14:paraId="55125376" w14:textId="77777777" w:rsidR="00D0651E" w:rsidRPr="00296D0C" w:rsidRDefault="00D0651E" w:rsidP="00D0651E">
      <w:pPr>
        <w:pStyle w:val="Heading2"/>
        <w:rPr>
          <w:rFonts w:asciiTheme="minorHAnsi" w:hAnsiTheme="minorHAnsi" w:cs="Times New Roman"/>
          <w:sz w:val="22"/>
          <w:szCs w:val="22"/>
        </w:rPr>
      </w:pPr>
      <w:bookmarkStart w:id="628" w:name="_Toc466639079"/>
      <w:bookmarkStart w:id="629" w:name="_Toc466710126"/>
      <w:bookmarkStart w:id="630" w:name="_Toc466711474"/>
      <w:bookmarkStart w:id="631" w:name="_Toc466712133"/>
      <w:bookmarkStart w:id="632" w:name="_Toc475974401"/>
      <w:r w:rsidRPr="00296D0C">
        <w:rPr>
          <w:rFonts w:asciiTheme="minorHAnsi" w:hAnsiTheme="minorHAnsi" w:cs="Times New Roman"/>
          <w:sz w:val="22"/>
          <w:szCs w:val="22"/>
        </w:rPr>
        <w:t>6.5 Research recommendations</w:t>
      </w:r>
      <w:bookmarkEnd w:id="628"/>
      <w:bookmarkEnd w:id="629"/>
      <w:bookmarkEnd w:id="630"/>
      <w:bookmarkEnd w:id="631"/>
      <w:bookmarkEnd w:id="632"/>
    </w:p>
    <w:p w14:paraId="3B18BAA5" w14:textId="17DF9AA9" w:rsidR="00D0651E" w:rsidRPr="00296D0C" w:rsidRDefault="00D0651E" w:rsidP="00D0651E">
      <w:pPr>
        <w:spacing w:line="360" w:lineRule="auto"/>
        <w:rPr>
          <w:rFonts w:cs="Times New Roman"/>
        </w:rPr>
      </w:pPr>
      <w:r w:rsidRPr="00296D0C">
        <w:rPr>
          <w:rFonts w:cs="Times New Roman"/>
        </w:rPr>
        <w:t xml:space="preserve">The disappointing results of this study and other recent well designed, UK-based trials suggest to us that it is unlikely that affordable, school-based interventions, that are inherently time-limited, can achieve clinically meaningful change in weight status/anthropometric outcomes in a single targeted age group. This view is reinforced by other research using data from the National Child Measurement Programme which suggested there was no consistent school effect on childhood obesity </w:t>
      </w:r>
      <w:r w:rsidR="008024DA">
        <w:rPr>
          <w:rFonts w:cs="Times New Roman"/>
        </w:rPr>
        <w:fldChar w:fldCharType="begin"/>
      </w:r>
      <w:r w:rsidR="008C43BF">
        <w:rPr>
          <w:rFonts w:cs="Times New Roman"/>
        </w:rPr>
        <w:instrText xml:space="preserve"> ADDIN EN.CITE &lt;EndNote&gt;&lt;Cite&gt;&lt;Author&gt;Williams&lt;/Author&gt;&lt;Year&gt;2013&lt;/Year&gt;&lt;RecNum&gt;4780&lt;/RecNum&gt;&lt;DisplayText&gt;&lt;style face="superscript"&gt;144&lt;/style&gt;&lt;/DisplayText&gt;&lt;record&gt;&lt;rec-number&gt;4780&lt;/rec-number&gt;&lt;foreign-keys&gt;&lt;key app="EN" db-id="2ewa9rrvjsdsawep2vpx5x97eedzzvxx5rta" timestamp="0"&gt;4780&lt;/key&gt;&lt;/foreign-keys&gt;&lt;ref-type name="Journal Article"&gt;17&lt;/ref-type&gt;&lt;contributors&gt;&lt;authors&gt;&lt;author&gt;Williams, A. J.&lt;/author&gt;&lt;author&gt;Henley, W. E.&lt;/author&gt;&lt;author&gt;Williams, C. A.&lt;/author&gt;&lt;author&gt;Hurst, A. J.&lt;/author&gt;&lt;author&gt;Logan, S.&lt;/author&gt;&lt;author&gt;Wyatt, K. M.&lt;/author&gt;&lt;/authors&gt;&lt;/contributors&gt;&lt;auth-address&gt;Institute of Health Services Research, University of Exeter Medical School (formerly Peninsula College of Medicine and Dentistry), Veysey Building, Salmon Pool Lane, EX2 4SG, Exeter, Devon, UK. k.m.wyatt@exeter.ac.uk.&lt;/auth-address&gt;&lt;titles&gt;&lt;title&gt;Systematic review and meta-analysis of the association between childhood overweight and obesity and primary school diet and physical activity policies&lt;/title&gt;&lt;secondary-title&gt;Int J Behav Nutr Phys Act&lt;/secondary-title&gt;&lt;/titles&gt;&lt;periodical&gt;&lt;full-title&gt;International Journal of Behavioural Nutrition and Physical Activity&lt;/full-title&gt;&lt;abbr-1&gt;Int J Behav Nutr Phys Act&lt;/abbr-1&gt;&lt;/periodical&gt;&lt;pages&gt;101&lt;/pages&gt;&lt;volume&gt;10&lt;/volume&gt;&lt;number&gt;1&lt;/number&gt;&lt;edition&gt;2013/08/24&lt;/edition&gt;&lt;dates&gt;&lt;year&gt;2013&lt;/year&gt;&lt;/dates&gt;&lt;isbn&gt;1479-5868 (Electronic)&amp;#xD;1479-5868 (Linking)&lt;/isbn&gt;&lt;accession-num&gt;23965018&lt;/accession-num&gt;&lt;urls&gt;&lt;related-urls&gt;&lt;url&gt;http://www.ncbi.nlm.nih.gov/pubmed/23965018&lt;/url&gt;&lt;/related-urls&gt;&lt;/urls&gt;&lt;custom2&gt;3844408&lt;/custom2&gt;&lt;electronic-resource-num&gt;10.1186/1479-5868-10-101&amp;#xD;1479-5868-10-101 [pii]&lt;/electronic-resource-num&gt;&lt;language&gt;eng&lt;/language&gt;&lt;/record&gt;&lt;/Cite&gt;&lt;/EndNote&gt;</w:instrText>
      </w:r>
      <w:r w:rsidR="008024DA">
        <w:rPr>
          <w:rFonts w:cs="Times New Roman"/>
        </w:rPr>
        <w:fldChar w:fldCharType="separate"/>
      </w:r>
      <w:r w:rsidR="008C43BF" w:rsidRPr="008C43BF">
        <w:rPr>
          <w:rFonts w:cs="Times New Roman"/>
          <w:noProof/>
          <w:vertAlign w:val="superscript"/>
        </w:rPr>
        <w:t>144</w:t>
      </w:r>
      <w:r w:rsidR="008024DA">
        <w:rPr>
          <w:rFonts w:cs="Times New Roman"/>
        </w:rPr>
        <w:fldChar w:fldCharType="end"/>
      </w:r>
      <w:r w:rsidRPr="00296D0C">
        <w:rPr>
          <w:rFonts w:cs="Times New Roman"/>
        </w:rPr>
        <w:t xml:space="preserve">. Future studies need to develop interventions that aim to specifically affect the family </w:t>
      </w:r>
      <w:r w:rsidRPr="00296D0C">
        <w:rPr>
          <w:rFonts w:cs="Times New Roman"/>
        </w:rPr>
        <w:lastRenderedPageBreak/>
        <w:t xml:space="preserve">environment, perhaps employing a </w:t>
      </w:r>
      <w:r w:rsidRPr="00296D0C">
        <w:t>wider-coordinated whole systems approach, although it is unlikely that such an approach would be feasible to deliver within a school setting.</w:t>
      </w:r>
    </w:p>
    <w:p w14:paraId="3EBD318B" w14:textId="1283C54B" w:rsidR="00D0651E" w:rsidRPr="00296D0C" w:rsidRDefault="00D0651E" w:rsidP="00D0651E">
      <w:pPr>
        <w:spacing w:line="360" w:lineRule="auto"/>
        <w:rPr>
          <w:rFonts w:cs="Times New Roman"/>
        </w:rPr>
      </w:pPr>
      <w:r w:rsidRPr="00296D0C">
        <w:rPr>
          <w:rFonts w:cs="Times New Roman"/>
        </w:rPr>
        <w:t xml:space="preserve">We recognise that one possible reason for the lack of effectiveness of this intervention may be that despite engaging and affecting knowledge and motivation children of this age have limited ability to affect their own diet and levels of physical activity. This suggests that researchers should consider whether other age groups offer greater possibilities for affecting behaviour. It is possible that older children, who have a greater degree of autonomy, if engaged, may be more able to make changes in behaviour. It has also been suggested that pregnant women and parents of very young children may be more amenable to adopting health messages. Examples include successful campaigns to promote smoking cessation, avoidance of soft cheeses during pregnancy and the “Back to Sleep” campaign. Programmes addressing this group (e.g. the Henry Programme </w:t>
      </w:r>
      <w:r w:rsidRPr="005E028B">
        <w:rPr>
          <w:rFonts w:cs="Times New Roman"/>
        </w:rPr>
        <w:t>http://www.henry.org.uk/homepage/</w:t>
      </w:r>
      <w:r w:rsidRPr="00296D0C">
        <w:rPr>
          <w:rFonts w:cs="Times New Roman"/>
        </w:rPr>
        <w:t xml:space="preserve">) have claimed impact but rigorous evaluations are lacking and are urgently needed. </w:t>
      </w:r>
    </w:p>
    <w:p w14:paraId="7B228705" w14:textId="77777777" w:rsidR="00D0651E" w:rsidRPr="00296D0C" w:rsidRDefault="00D0651E" w:rsidP="00D0651E">
      <w:pPr>
        <w:pStyle w:val="Heading2"/>
        <w:rPr>
          <w:rFonts w:asciiTheme="minorHAnsi" w:hAnsiTheme="minorHAnsi" w:cs="Times New Roman"/>
          <w:sz w:val="22"/>
          <w:szCs w:val="22"/>
        </w:rPr>
      </w:pPr>
      <w:bookmarkStart w:id="633" w:name="_Toc466639080"/>
      <w:bookmarkStart w:id="634" w:name="_Toc466710127"/>
      <w:bookmarkStart w:id="635" w:name="_Toc466711475"/>
      <w:bookmarkStart w:id="636" w:name="_Toc466712134"/>
      <w:bookmarkStart w:id="637" w:name="_Toc475974402"/>
      <w:r w:rsidRPr="00296D0C">
        <w:rPr>
          <w:rFonts w:asciiTheme="minorHAnsi" w:hAnsiTheme="minorHAnsi" w:cs="Times New Roman"/>
          <w:sz w:val="22"/>
          <w:szCs w:val="22"/>
        </w:rPr>
        <w:t>6.6 Conclusions</w:t>
      </w:r>
      <w:bookmarkEnd w:id="633"/>
      <w:bookmarkEnd w:id="634"/>
      <w:bookmarkEnd w:id="635"/>
      <w:bookmarkEnd w:id="636"/>
      <w:bookmarkEnd w:id="637"/>
      <w:r w:rsidRPr="00296D0C">
        <w:rPr>
          <w:rFonts w:asciiTheme="minorHAnsi" w:hAnsiTheme="minorHAnsi" w:cs="Times New Roman"/>
          <w:sz w:val="22"/>
          <w:szCs w:val="22"/>
        </w:rPr>
        <w:t xml:space="preserve"> </w:t>
      </w:r>
    </w:p>
    <w:p w14:paraId="76A2CFBC" w14:textId="3A14CA0B" w:rsidR="00D0651E" w:rsidRPr="00296D0C" w:rsidRDefault="00D0651E" w:rsidP="00D0651E">
      <w:pPr>
        <w:spacing w:line="360" w:lineRule="auto"/>
      </w:pPr>
      <w:r w:rsidRPr="00296D0C">
        <w:rPr>
          <w:rFonts w:cs="Times New Roman"/>
        </w:rPr>
        <w:t xml:space="preserve">This cluster randomised trial provides rigorous evidence about the effects of HeLP, a novel school-based obesity prevention programme aimed at 9-10 year children, in a sample of children broadly representative of the UK population. The </w:t>
      </w:r>
      <w:r w:rsidR="009D57AD">
        <w:rPr>
          <w:rFonts w:cs="Times New Roman"/>
        </w:rPr>
        <w:t>p</w:t>
      </w:r>
      <w:r w:rsidRPr="00296D0C">
        <w:rPr>
          <w:rFonts w:cs="Times New Roman"/>
        </w:rPr>
        <w:t xml:space="preserve">rogramme achieved high levels of engagement with children, schools and parents but did not affect their BMI or the likelihood of being overweight or obese two years later compared to children attending schools where the intervention was not delivered. </w:t>
      </w:r>
    </w:p>
    <w:p w14:paraId="5F08687D" w14:textId="77777777" w:rsidR="00D0651E" w:rsidRPr="00296D0C" w:rsidRDefault="00D0651E" w:rsidP="00D0651E"/>
    <w:p w14:paraId="7309E122" w14:textId="77777777" w:rsidR="00535B4E" w:rsidRPr="00296D0C" w:rsidRDefault="00535B4E" w:rsidP="00414C3C">
      <w:pPr>
        <w:spacing w:line="360" w:lineRule="auto"/>
        <w:rPr>
          <w:b/>
        </w:rPr>
      </w:pPr>
    </w:p>
    <w:p w14:paraId="0B4EBAF4" w14:textId="77777777" w:rsidR="00535B4E" w:rsidRPr="00296D0C" w:rsidRDefault="00535B4E" w:rsidP="00414C3C">
      <w:pPr>
        <w:spacing w:line="360" w:lineRule="auto"/>
        <w:rPr>
          <w:b/>
        </w:rPr>
      </w:pPr>
    </w:p>
    <w:p w14:paraId="68A377FA" w14:textId="77777777" w:rsidR="00535B4E" w:rsidRPr="00296D0C" w:rsidRDefault="00535B4E" w:rsidP="00414C3C">
      <w:pPr>
        <w:spacing w:line="360" w:lineRule="auto"/>
        <w:rPr>
          <w:b/>
        </w:rPr>
      </w:pPr>
    </w:p>
    <w:p w14:paraId="75F034C9" w14:textId="77777777" w:rsidR="00535B4E" w:rsidRPr="00296D0C" w:rsidRDefault="00535B4E" w:rsidP="00414C3C">
      <w:pPr>
        <w:spacing w:line="360" w:lineRule="auto"/>
        <w:rPr>
          <w:b/>
        </w:rPr>
      </w:pPr>
    </w:p>
    <w:p w14:paraId="45D52C76" w14:textId="77777777" w:rsidR="00535B4E" w:rsidRPr="00296D0C" w:rsidRDefault="00535B4E" w:rsidP="00414C3C">
      <w:pPr>
        <w:spacing w:line="360" w:lineRule="auto"/>
        <w:rPr>
          <w:b/>
        </w:rPr>
      </w:pPr>
    </w:p>
    <w:p w14:paraId="3666C1CB" w14:textId="77777777" w:rsidR="00535B4E" w:rsidRPr="00296D0C" w:rsidRDefault="00535B4E" w:rsidP="00414C3C">
      <w:pPr>
        <w:spacing w:line="360" w:lineRule="auto"/>
        <w:rPr>
          <w:b/>
        </w:rPr>
      </w:pPr>
    </w:p>
    <w:p w14:paraId="68570EA6" w14:textId="77777777" w:rsidR="00535B4E" w:rsidRPr="00296D0C" w:rsidRDefault="00535B4E" w:rsidP="00414C3C">
      <w:pPr>
        <w:spacing w:line="360" w:lineRule="auto"/>
        <w:rPr>
          <w:b/>
        </w:rPr>
      </w:pPr>
    </w:p>
    <w:p w14:paraId="27A3EDE7" w14:textId="77777777" w:rsidR="00535B4E" w:rsidRPr="00296D0C" w:rsidRDefault="00535B4E" w:rsidP="00414C3C">
      <w:pPr>
        <w:spacing w:line="360" w:lineRule="auto"/>
        <w:rPr>
          <w:b/>
        </w:rPr>
      </w:pPr>
    </w:p>
    <w:p w14:paraId="66257201" w14:textId="77777777" w:rsidR="00535B4E" w:rsidRPr="00296D0C" w:rsidRDefault="00535B4E" w:rsidP="00414C3C">
      <w:pPr>
        <w:spacing w:line="360" w:lineRule="auto"/>
        <w:rPr>
          <w:b/>
        </w:rPr>
      </w:pPr>
    </w:p>
    <w:p w14:paraId="403FCF13" w14:textId="77777777" w:rsidR="00D04046" w:rsidRDefault="00D04046">
      <w:pPr>
        <w:rPr>
          <w:rFonts w:eastAsiaTheme="majorEastAsia" w:cs="Times New Roman"/>
          <w:b/>
          <w:bCs/>
        </w:rPr>
      </w:pPr>
      <w:bookmarkStart w:id="638" w:name="_Toc466639081"/>
      <w:r>
        <w:br w:type="page"/>
      </w:r>
    </w:p>
    <w:p w14:paraId="51121697" w14:textId="0732BB15" w:rsidR="00414C3C" w:rsidRPr="0095735A" w:rsidRDefault="00414C3C" w:rsidP="00AB4D98">
      <w:pPr>
        <w:pStyle w:val="Heading1"/>
      </w:pPr>
      <w:bookmarkStart w:id="639" w:name="_Toc466710128"/>
      <w:bookmarkStart w:id="640" w:name="_Toc466711476"/>
      <w:bookmarkStart w:id="641" w:name="_Toc466712135"/>
      <w:bookmarkStart w:id="642" w:name="_Toc475974403"/>
      <w:r w:rsidRPr="0095735A">
        <w:lastRenderedPageBreak/>
        <w:t>Acknowledgements</w:t>
      </w:r>
      <w:bookmarkEnd w:id="638"/>
      <w:bookmarkEnd w:id="639"/>
      <w:bookmarkEnd w:id="640"/>
      <w:bookmarkEnd w:id="641"/>
      <w:bookmarkEnd w:id="642"/>
    </w:p>
    <w:p w14:paraId="3DF97519" w14:textId="4A97D193" w:rsidR="007424C3" w:rsidRPr="00CB3AE4" w:rsidRDefault="007424C3" w:rsidP="007424C3">
      <w:pPr>
        <w:spacing w:after="0" w:line="360" w:lineRule="auto"/>
      </w:pPr>
      <w:r>
        <w:t xml:space="preserve">We thank all the pupils, teachers, headteachers, teaching assistants and parents/ carers for participating in the study. We thank the HeLP Coordinators, drama teams, Director of Headbangers Theatre Company, Just4Funk, Attik Dance, Exeter Chiefs and Plymouth Raiders for their enthusiasm and support in delivering </w:t>
      </w:r>
      <w:r w:rsidR="00FE6FD2">
        <w:t xml:space="preserve">the </w:t>
      </w:r>
      <w:r w:rsidR="009D57AD">
        <w:t>p</w:t>
      </w:r>
      <w:r w:rsidR="00FE6FD2">
        <w:t>rogramme</w:t>
      </w:r>
      <w:r>
        <w:t xml:space="preserve">. We thank all the </w:t>
      </w:r>
      <w:r w:rsidR="009D1C7F">
        <w:t>HeLP study</w:t>
      </w:r>
      <w:r>
        <w:t xml:space="preserve"> staff, trained assessors and trainers who delivered assessment training as well as data management and administrative staff who provided fabulous support though out the trial. We are indebted to our Public Advisory Group whose advice and ongoing support were invaluable in ensuring the trial design and intervention were feasible and acceptable to schools, children and their families. We also thank the Chair and Trial Steering Committee members for their advice and support though out the trial. </w:t>
      </w:r>
      <w:r w:rsidR="00CB3AE4" w:rsidRPr="00CB3AE4">
        <w:rPr>
          <w:rFonts w:cs="Myriad Pro"/>
        </w:rPr>
        <w:t xml:space="preserve">We would also like to acknowledge </w:t>
      </w:r>
      <w:r w:rsidR="006D7F9C">
        <w:rPr>
          <w:rFonts w:cs="Myriad Pro"/>
        </w:rPr>
        <w:t xml:space="preserve">the </w:t>
      </w:r>
      <w:r w:rsidR="006D7F9C">
        <w:rPr>
          <w:rFonts w:ascii="Myriad Pro" w:hAnsi="Myriad Pro" w:cs="Myriad Pro"/>
          <w:sz w:val="20"/>
          <w:szCs w:val="20"/>
        </w:rPr>
        <w:t>NIHR Collaboration for Leadership in Applied Health, Research and Care,</w:t>
      </w:r>
      <w:r w:rsidR="00CB3AE4" w:rsidRPr="00CB3AE4">
        <w:rPr>
          <w:rFonts w:cs="Myriad Pro"/>
        </w:rPr>
        <w:t xml:space="preserve"> for providing non-financial methodological support during the transition from the exploratory trial to the definitive evaluation.</w:t>
      </w:r>
    </w:p>
    <w:p w14:paraId="260E1C8C" w14:textId="77777777" w:rsidR="007424C3" w:rsidRPr="00710EBE" w:rsidRDefault="007424C3" w:rsidP="00414C3C">
      <w:pPr>
        <w:spacing w:line="360" w:lineRule="auto"/>
        <w:rPr>
          <w:b/>
        </w:rPr>
      </w:pPr>
    </w:p>
    <w:p w14:paraId="0669DFE2" w14:textId="77777777" w:rsidR="00414C3C" w:rsidRPr="0095735A" w:rsidRDefault="00414C3C" w:rsidP="00AB4D98">
      <w:pPr>
        <w:pStyle w:val="Heading1"/>
      </w:pPr>
      <w:bookmarkStart w:id="643" w:name="_Toc466639082"/>
      <w:bookmarkStart w:id="644" w:name="_Toc466710129"/>
      <w:bookmarkStart w:id="645" w:name="_Toc466711477"/>
      <w:bookmarkStart w:id="646" w:name="_Toc466712136"/>
      <w:bookmarkStart w:id="647" w:name="_Toc475974404"/>
      <w:r w:rsidRPr="0095735A">
        <w:t>Trial Registration and ethics approval</w:t>
      </w:r>
      <w:bookmarkEnd w:id="643"/>
      <w:bookmarkEnd w:id="644"/>
      <w:bookmarkEnd w:id="645"/>
      <w:bookmarkEnd w:id="646"/>
      <w:bookmarkEnd w:id="647"/>
    </w:p>
    <w:p w14:paraId="26BE9D59" w14:textId="3D4FDC7A" w:rsidR="00742A78" w:rsidRDefault="00742A78" w:rsidP="00414C3C">
      <w:pPr>
        <w:spacing w:line="360" w:lineRule="auto"/>
      </w:pPr>
      <w:r w:rsidRPr="00742A78">
        <w:t xml:space="preserve">The trial was registered with the International Standard </w:t>
      </w:r>
      <w:r w:rsidR="002A702C">
        <w:t>R</w:t>
      </w:r>
      <w:r w:rsidRPr="00742A78">
        <w:t xml:space="preserve">andomised Controlled Trial Number </w:t>
      </w:r>
      <w:r w:rsidRPr="00704644">
        <w:rPr>
          <w:rFonts w:cs="Times New Roman"/>
          <w:color w:val="231F20"/>
        </w:rPr>
        <w:t>15811706</w:t>
      </w:r>
    </w:p>
    <w:p w14:paraId="79A7144E" w14:textId="77777777" w:rsidR="00742A78" w:rsidRPr="00742A78" w:rsidRDefault="00742A78" w:rsidP="00414C3C">
      <w:pPr>
        <w:spacing w:line="360" w:lineRule="auto"/>
      </w:pPr>
      <w:r>
        <w:t xml:space="preserve">Ethics approval for this study was given by </w:t>
      </w:r>
      <w:r w:rsidRPr="004E0D59">
        <w:t>the Peninsula College of Medicine and Dentistry Research Ethics Committee (reference number 12/03/140) in March 2012.</w:t>
      </w:r>
    </w:p>
    <w:p w14:paraId="19C2DE4A" w14:textId="77777777" w:rsidR="00414C3C" w:rsidRPr="0095735A" w:rsidRDefault="00414C3C" w:rsidP="00AB4D98">
      <w:pPr>
        <w:pStyle w:val="Heading1"/>
      </w:pPr>
      <w:bookmarkStart w:id="648" w:name="_Toc466639083"/>
      <w:bookmarkStart w:id="649" w:name="_Toc466710130"/>
      <w:bookmarkStart w:id="650" w:name="_Toc466711478"/>
      <w:bookmarkStart w:id="651" w:name="_Toc466712137"/>
      <w:bookmarkStart w:id="652" w:name="_Toc475974405"/>
      <w:r w:rsidRPr="0095735A">
        <w:t>Funding</w:t>
      </w:r>
      <w:bookmarkEnd w:id="648"/>
      <w:bookmarkEnd w:id="649"/>
      <w:bookmarkEnd w:id="650"/>
      <w:bookmarkEnd w:id="651"/>
      <w:bookmarkEnd w:id="652"/>
    </w:p>
    <w:p w14:paraId="63D66A5D" w14:textId="77777777" w:rsidR="00742A78" w:rsidRPr="00704644" w:rsidRDefault="00742A78" w:rsidP="00742A78">
      <w:pPr>
        <w:spacing w:line="360" w:lineRule="auto"/>
        <w:rPr>
          <w:rFonts w:eastAsia="Times New Roman" w:cs="Times New Roman"/>
          <w:color w:val="000000"/>
        </w:rPr>
      </w:pPr>
      <w:r w:rsidRPr="00704644">
        <w:rPr>
          <w:rFonts w:cs="Times New Roman"/>
        </w:rPr>
        <w:t>This project was funded by the National Instit</w:t>
      </w:r>
      <w:r>
        <w:rPr>
          <w:rFonts w:cs="Times New Roman"/>
        </w:rPr>
        <w:t>ute for Health Research Public H</w:t>
      </w:r>
      <w:r w:rsidRPr="00704644">
        <w:rPr>
          <w:rFonts w:cs="Times New Roman"/>
        </w:rPr>
        <w:t xml:space="preserve">ealth Research Programme (project number </w:t>
      </w:r>
      <w:r w:rsidRPr="00704644">
        <w:rPr>
          <w:rFonts w:eastAsia="Times New Roman" w:cs="Times New Roman"/>
          <w:color w:val="000000"/>
        </w:rPr>
        <w:t>10/3010/01)</w:t>
      </w:r>
    </w:p>
    <w:p w14:paraId="33BB5571" w14:textId="730F3049" w:rsidR="00414C3C" w:rsidRPr="00710EBE" w:rsidRDefault="00414C3C" w:rsidP="00414C3C">
      <w:pPr>
        <w:spacing w:line="360" w:lineRule="auto"/>
      </w:pPr>
      <w:r w:rsidRPr="00710EBE">
        <w:t>Stuart Logan</w:t>
      </w:r>
      <w:r w:rsidR="003B78B6">
        <w:t xml:space="preserve"> (</w:t>
      </w:r>
      <w:r w:rsidR="003B78B6" w:rsidRPr="003B78B6">
        <w:t>NF-SI-0515-10062</w:t>
      </w:r>
      <w:r w:rsidR="003B78B6">
        <w:t>)</w:t>
      </w:r>
      <w:r w:rsidRPr="00710EBE">
        <w:t xml:space="preserve"> and Rod </w:t>
      </w:r>
      <w:r w:rsidRPr="0006115C">
        <w:t>Taylor</w:t>
      </w:r>
      <w:r w:rsidR="0006115C" w:rsidRPr="0006115C">
        <w:t xml:space="preserve"> (</w:t>
      </w:r>
      <w:r w:rsidR="0006115C" w:rsidRPr="0006115C">
        <w:rPr>
          <w:rFonts w:ascii="Arial" w:hAnsi="Arial" w:cs="Arial"/>
          <w:bCs/>
          <w:sz w:val="20"/>
          <w:szCs w:val="20"/>
        </w:rPr>
        <w:t>NF-SI-0514-10155</w:t>
      </w:r>
      <w:r w:rsidR="0006115C" w:rsidRPr="0006115C">
        <w:t>)</w:t>
      </w:r>
      <w:r w:rsidR="0006115C">
        <w:t xml:space="preserve"> </w:t>
      </w:r>
      <w:r w:rsidRPr="00710EBE">
        <w:t>are NIHR senior investigators</w:t>
      </w:r>
    </w:p>
    <w:p w14:paraId="34C999DB" w14:textId="77777777" w:rsidR="00414C3C" w:rsidRPr="00710EBE" w:rsidRDefault="00414C3C" w:rsidP="00414C3C">
      <w:pPr>
        <w:spacing w:line="360" w:lineRule="auto"/>
        <w:rPr>
          <w:rFonts w:cs="Times New Roman"/>
        </w:rPr>
      </w:pPr>
      <w:r w:rsidRPr="00710EBE">
        <w:rPr>
          <w:rFonts w:cs="Times New Roman"/>
        </w:rPr>
        <w:t>This trial was conducted with the support of the Peninsula Clinical Trials Unit (PenCTU), a UK CRC-registered clinical trials unit (registration number 31) in receipt of NIHR CTU support funding.</w:t>
      </w:r>
    </w:p>
    <w:p w14:paraId="35203D2D" w14:textId="77777777" w:rsidR="00414C3C" w:rsidRDefault="00414C3C" w:rsidP="00414C3C">
      <w:pPr>
        <w:spacing w:line="360" w:lineRule="auto"/>
        <w:rPr>
          <w:rFonts w:cs="Times New Roman"/>
        </w:rPr>
      </w:pPr>
      <w:r w:rsidRPr="00710EBE">
        <w:rPr>
          <w:rFonts w:cs="Times New Roman"/>
        </w:rPr>
        <w:t>None of the funders had involvement in the TSC, the data analysis, data interpretation, data collection or writing of the paper.</w:t>
      </w:r>
    </w:p>
    <w:p w14:paraId="278159A7" w14:textId="0F2F703B" w:rsidR="00CB3AE4" w:rsidRPr="00CB3AE4" w:rsidRDefault="00CB3AE4" w:rsidP="00414C3C">
      <w:pPr>
        <w:spacing w:line="360" w:lineRule="auto"/>
        <w:rPr>
          <w:rFonts w:cs="Times New Roman"/>
        </w:rPr>
      </w:pPr>
      <w:r w:rsidRPr="00CB3AE4">
        <w:rPr>
          <w:rFonts w:cs="Arial"/>
        </w:rPr>
        <w:t>This report presents independent research commissioned by the NIHR. The views expressed are those of the author(s) and not necessarily those of the NHS, the NIHR or the Department of Health</w:t>
      </w:r>
    </w:p>
    <w:p w14:paraId="30D7C04A" w14:textId="77777777" w:rsidR="00414C3C" w:rsidRPr="0095735A" w:rsidRDefault="00414C3C" w:rsidP="00AB4D98">
      <w:pPr>
        <w:pStyle w:val="Heading1"/>
      </w:pPr>
      <w:bookmarkStart w:id="653" w:name="_Toc466639084"/>
      <w:bookmarkStart w:id="654" w:name="_Toc466710131"/>
      <w:bookmarkStart w:id="655" w:name="_Toc466711479"/>
      <w:bookmarkStart w:id="656" w:name="_Toc466712138"/>
      <w:bookmarkStart w:id="657" w:name="_Toc475974406"/>
      <w:r w:rsidRPr="0095735A">
        <w:lastRenderedPageBreak/>
        <w:t>Contributions of authors</w:t>
      </w:r>
      <w:bookmarkEnd w:id="653"/>
      <w:bookmarkEnd w:id="654"/>
      <w:bookmarkEnd w:id="655"/>
      <w:bookmarkEnd w:id="656"/>
      <w:bookmarkEnd w:id="657"/>
    </w:p>
    <w:p w14:paraId="6C07699C" w14:textId="77777777" w:rsidR="001932FD" w:rsidRPr="001218C5" w:rsidRDefault="001932FD" w:rsidP="001932FD">
      <w:pPr>
        <w:spacing w:after="100" w:afterAutospacing="1" w:line="360" w:lineRule="auto"/>
        <w:rPr>
          <w:rFonts w:cs="Times New Roman"/>
        </w:rPr>
      </w:pPr>
      <w:r>
        <w:rPr>
          <w:rFonts w:cs="Times New Roman"/>
          <w:b/>
        </w:rPr>
        <w:t xml:space="preserve">Katrina Wyatt, Associate Professor of Health Research, </w:t>
      </w:r>
      <w:r w:rsidRPr="005C02C8">
        <w:rPr>
          <w:rFonts w:cs="Times New Roman"/>
          <w:b/>
        </w:rPr>
        <w:t xml:space="preserve">University of Exeter </w:t>
      </w:r>
      <w:r>
        <w:rPr>
          <w:rFonts w:cs="Times New Roman"/>
          <w:b/>
        </w:rPr>
        <w:t xml:space="preserve">Medical School </w:t>
      </w:r>
      <w:r w:rsidRPr="001218C5">
        <w:rPr>
          <w:rFonts w:cs="Times New Roman"/>
        </w:rPr>
        <w:t xml:space="preserve">led the study, co-designed the </w:t>
      </w:r>
      <w:r>
        <w:rPr>
          <w:rFonts w:cs="Times New Roman"/>
        </w:rPr>
        <w:t>HeLP intervention</w:t>
      </w:r>
      <w:r w:rsidRPr="001218C5">
        <w:rPr>
          <w:rFonts w:cs="Times New Roman"/>
        </w:rPr>
        <w:t>, co-</w:t>
      </w:r>
      <w:r>
        <w:rPr>
          <w:rFonts w:cs="Times New Roman"/>
        </w:rPr>
        <w:t xml:space="preserve">led </w:t>
      </w:r>
      <w:r w:rsidRPr="001218C5">
        <w:rPr>
          <w:rFonts w:cs="Times New Roman"/>
        </w:rPr>
        <w:t xml:space="preserve">the process evaluation </w:t>
      </w:r>
      <w:r>
        <w:rPr>
          <w:rFonts w:cs="Times New Roman"/>
        </w:rPr>
        <w:t>and</w:t>
      </w:r>
      <w:r w:rsidRPr="003E5D71">
        <w:t xml:space="preserve"> was involved in all stages of the </w:t>
      </w:r>
      <w:r>
        <w:t>HeLP</w:t>
      </w:r>
      <w:r w:rsidRPr="003E5D71">
        <w:t xml:space="preserve"> trial, including conception, design, interpretation of data, and drafting and critically revising the report for important intellectual content and approval of the final version</w:t>
      </w:r>
      <w:r>
        <w:t xml:space="preserve"> </w:t>
      </w:r>
      <w:r w:rsidRPr="001218C5">
        <w:rPr>
          <w:rFonts w:cs="Times New Roman"/>
        </w:rPr>
        <w:t>and coordinated responses from other authors.</w:t>
      </w:r>
    </w:p>
    <w:p w14:paraId="736B704B" w14:textId="64349BCC" w:rsidR="001932FD" w:rsidRPr="001218C5" w:rsidRDefault="001932FD" w:rsidP="001932FD">
      <w:pPr>
        <w:spacing w:after="100" w:afterAutospacing="1" w:line="360" w:lineRule="auto"/>
        <w:rPr>
          <w:rFonts w:cs="Times New Roman"/>
        </w:rPr>
      </w:pPr>
      <w:r w:rsidRPr="001218C5">
        <w:rPr>
          <w:rFonts w:cs="Times New Roman"/>
          <w:b/>
        </w:rPr>
        <w:t>Jenny Lloyd</w:t>
      </w:r>
      <w:r>
        <w:rPr>
          <w:rFonts w:cs="Times New Roman"/>
          <w:b/>
        </w:rPr>
        <w:t xml:space="preserve">, Senior Research Fellow Child Health, </w:t>
      </w:r>
      <w:r w:rsidRPr="005C02C8">
        <w:rPr>
          <w:rFonts w:cs="Times New Roman"/>
          <w:b/>
        </w:rPr>
        <w:t xml:space="preserve">University of Exeter </w:t>
      </w:r>
      <w:r>
        <w:rPr>
          <w:rFonts w:cs="Times New Roman"/>
          <w:b/>
        </w:rPr>
        <w:t>Medical School</w:t>
      </w:r>
      <w:r w:rsidRPr="001218C5">
        <w:rPr>
          <w:rFonts w:cs="Times New Roman"/>
          <w:b/>
        </w:rPr>
        <w:t xml:space="preserve"> </w:t>
      </w:r>
      <w:r w:rsidRPr="001218C5">
        <w:rPr>
          <w:rFonts w:cs="Times New Roman"/>
        </w:rPr>
        <w:t xml:space="preserve">co-led the project, co-designed the </w:t>
      </w:r>
      <w:r>
        <w:rPr>
          <w:rFonts w:cs="Times New Roman"/>
        </w:rPr>
        <w:t xml:space="preserve">HeLP intervention, led </w:t>
      </w:r>
      <w:r w:rsidRPr="001218C5">
        <w:rPr>
          <w:rFonts w:cs="Times New Roman"/>
        </w:rPr>
        <w:t xml:space="preserve">the process evaluation </w:t>
      </w:r>
      <w:r>
        <w:rPr>
          <w:rFonts w:cs="Times New Roman"/>
        </w:rPr>
        <w:t>and</w:t>
      </w:r>
      <w:r>
        <w:t xml:space="preserve"> managed delivery of the trial. She was</w:t>
      </w:r>
      <w:r w:rsidRPr="003E5D71">
        <w:t xml:space="preserve"> involved in all stages of the </w:t>
      </w:r>
      <w:r>
        <w:t>HeLP</w:t>
      </w:r>
      <w:r w:rsidRPr="003E5D71">
        <w:t xml:space="preserve"> trial, including conception, design, interpretation of data, and drafting and critically revising the report for important intellectual content and approval of the final version</w:t>
      </w:r>
      <w:r w:rsidRPr="001218C5">
        <w:rPr>
          <w:rFonts w:cs="Times New Roman"/>
        </w:rPr>
        <w:t>.</w:t>
      </w:r>
    </w:p>
    <w:p w14:paraId="7BBFD95D" w14:textId="784AF891" w:rsidR="001932FD" w:rsidRDefault="00137E1C" w:rsidP="00137E1C">
      <w:pPr>
        <w:spacing w:after="0" w:line="360" w:lineRule="auto"/>
      </w:pPr>
      <w:r>
        <w:rPr>
          <w:b/>
          <w:bCs/>
        </w:rPr>
        <w:t xml:space="preserve">Siobhan Creanor, </w:t>
      </w:r>
      <w:r>
        <w:rPr>
          <w:rStyle w:val="st1"/>
          <w:b/>
          <w:bCs/>
        </w:rPr>
        <w:t xml:space="preserve">Associate Professor (Reader) in Clinical Trials &amp; Medical Statistics, Plymouth University Peninsula Schools of Medicine &amp; Dentistry </w:t>
      </w:r>
      <w:r w:rsidR="001932FD" w:rsidRPr="001218C5">
        <w:rPr>
          <w:rFonts w:cs="Times New Roman"/>
        </w:rPr>
        <w:t>co-led the project</w:t>
      </w:r>
      <w:r w:rsidR="001932FD">
        <w:rPr>
          <w:rFonts w:cs="Times New Roman"/>
        </w:rPr>
        <w:t>, led</w:t>
      </w:r>
      <w:r w:rsidR="001932FD" w:rsidRPr="001218C5">
        <w:rPr>
          <w:rFonts w:cs="Times New Roman"/>
        </w:rPr>
        <w:t xml:space="preserve"> the statistical analyses, </w:t>
      </w:r>
      <w:r w:rsidR="001932FD" w:rsidRPr="003E5D71">
        <w:t xml:space="preserve">and was involved in all stages of the </w:t>
      </w:r>
      <w:r w:rsidR="001932FD">
        <w:t>HeLP</w:t>
      </w:r>
      <w:r w:rsidR="001932FD" w:rsidRPr="003E5D71">
        <w:t xml:space="preserve"> trial, including conception, design, interpretation of data, and drafting and critically revising the report for important intellectual content and approval of the final version</w:t>
      </w:r>
      <w:r w:rsidR="008D5550">
        <w:t>.</w:t>
      </w:r>
    </w:p>
    <w:p w14:paraId="6F2EBCB2" w14:textId="77777777" w:rsidR="00137E1C" w:rsidRPr="003E5D71" w:rsidRDefault="00137E1C" w:rsidP="00137E1C">
      <w:pPr>
        <w:spacing w:after="0" w:line="360" w:lineRule="auto"/>
      </w:pPr>
    </w:p>
    <w:p w14:paraId="0A02C930" w14:textId="2CD271DA" w:rsidR="001932FD" w:rsidRPr="003E5D71" w:rsidRDefault="001932FD" w:rsidP="001932FD">
      <w:pPr>
        <w:spacing w:after="100" w:afterAutospacing="1" w:line="360" w:lineRule="auto"/>
      </w:pPr>
      <w:r w:rsidRPr="001218C5">
        <w:rPr>
          <w:rFonts w:cs="Times New Roman"/>
          <w:b/>
        </w:rPr>
        <w:t>Colin Green</w:t>
      </w:r>
      <w:r>
        <w:rPr>
          <w:rFonts w:cs="Times New Roman"/>
          <w:b/>
        </w:rPr>
        <w:t>, Professor of Health Economics,</w:t>
      </w:r>
      <w:r w:rsidRPr="001218C5">
        <w:rPr>
          <w:rFonts w:cs="Times New Roman"/>
          <w:b/>
        </w:rPr>
        <w:t xml:space="preserve"> </w:t>
      </w:r>
      <w:r w:rsidRPr="005C02C8">
        <w:rPr>
          <w:rFonts w:cs="Times New Roman"/>
          <w:b/>
        </w:rPr>
        <w:t xml:space="preserve">University of Exeter </w:t>
      </w:r>
      <w:r>
        <w:rPr>
          <w:rFonts w:cs="Times New Roman"/>
          <w:b/>
        </w:rPr>
        <w:t xml:space="preserve">Medical School </w:t>
      </w:r>
      <w:r w:rsidRPr="003E5D71">
        <w:rPr>
          <w:rFonts w:cs="Times New Roman"/>
        </w:rPr>
        <w:t>co-led the project</w:t>
      </w:r>
      <w:r>
        <w:rPr>
          <w:rFonts w:cs="Times New Roman"/>
        </w:rPr>
        <w:t>,</w:t>
      </w:r>
      <w:r w:rsidRPr="003E5D71">
        <w:rPr>
          <w:rFonts w:cs="Times New Roman"/>
        </w:rPr>
        <w:t xml:space="preserve"> </w:t>
      </w:r>
      <w:r>
        <w:t>led</w:t>
      </w:r>
      <w:r w:rsidRPr="003E5D71">
        <w:t xml:space="preserve"> the economic evaluation and was involved in all stages of the </w:t>
      </w:r>
      <w:r>
        <w:t>HeLP</w:t>
      </w:r>
      <w:r w:rsidRPr="003E5D71">
        <w:t xml:space="preserve"> trial, including conception, design, interpretation of data, and drafting and critically revising the report for important intellectual content and approval of the final version</w:t>
      </w:r>
      <w:r w:rsidR="008D5550">
        <w:t>.</w:t>
      </w:r>
    </w:p>
    <w:p w14:paraId="27ECE86B" w14:textId="77777777" w:rsidR="001932FD" w:rsidRDefault="001932FD" w:rsidP="001932FD">
      <w:pPr>
        <w:autoSpaceDE w:val="0"/>
        <w:autoSpaceDN w:val="0"/>
        <w:spacing w:after="100" w:afterAutospacing="1" w:line="360" w:lineRule="auto"/>
      </w:pPr>
      <w:r w:rsidRPr="001218C5">
        <w:rPr>
          <w:rFonts w:cs="Times New Roman"/>
          <w:b/>
        </w:rPr>
        <w:t>Sarah G Dean</w:t>
      </w:r>
      <w:r>
        <w:rPr>
          <w:rFonts w:cs="Times New Roman"/>
          <w:b/>
        </w:rPr>
        <w:t xml:space="preserve">, Associate Professor of </w:t>
      </w:r>
      <w:r>
        <w:rPr>
          <w:b/>
          <w:bCs/>
          <w:color w:val="000000"/>
        </w:rPr>
        <w:t xml:space="preserve">Psychology Applied to Rehabilitation and Health, </w:t>
      </w:r>
      <w:r w:rsidRPr="005C02C8">
        <w:rPr>
          <w:rFonts w:cs="Times New Roman"/>
          <w:b/>
        </w:rPr>
        <w:t xml:space="preserve">University of Exeter </w:t>
      </w:r>
      <w:r>
        <w:rPr>
          <w:rFonts w:cs="Times New Roman"/>
          <w:b/>
        </w:rPr>
        <w:t>Medical School</w:t>
      </w:r>
      <w:r w:rsidRPr="001218C5">
        <w:rPr>
          <w:rFonts w:cs="Times New Roman"/>
          <w:b/>
        </w:rPr>
        <w:t xml:space="preserve"> </w:t>
      </w:r>
      <w:r w:rsidRPr="006D7092">
        <w:rPr>
          <w:rFonts w:cs="Times New Roman"/>
        </w:rPr>
        <w:t>co-led the project</w:t>
      </w:r>
      <w:r>
        <w:rPr>
          <w:rFonts w:cs="Times New Roman"/>
          <w:b/>
        </w:rPr>
        <w:t xml:space="preserve">, </w:t>
      </w:r>
      <w:r w:rsidRPr="001218C5">
        <w:rPr>
          <w:rFonts w:cs="Times New Roman"/>
        </w:rPr>
        <w:t xml:space="preserve">led the psychometric evaluation of the MLQ and </w:t>
      </w:r>
      <w:r w:rsidRPr="003E5D71">
        <w:t xml:space="preserve">was involved in all stages of the </w:t>
      </w:r>
      <w:r>
        <w:t>HeLP</w:t>
      </w:r>
      <w:r w:rsidRPr="003E5D71">
        <w:t xml:space="preserve"> trial, including conception, design, interpretation of data, and drafting and critically revising the report for important intellectual content and approval of the final version</w:t>
      </w:r>
    </w:p>
    <w:p w14:paraId="469D0A44" w14:textId="77777777" w:rsidR="001932FD" w:rsidRDefault="001932FD" w:rsidP="001932FD">
      <w:pPr>
        <w:autoSpaceDE w:val="0"/>
        <w:autoSpaceDN w:val="0"/>
        <w:spacing w:after="100" w:afterAutospacing="1" w:line="360" w:lineRule="auto"/>
      </w:pPr>
      <w:r w:rsidRPr="001218C5">
        <w:rPr>
          <w:rFonts w:cs="Times New Roman"/>
          <w:b/>
        </w:rPr>
        <w:t>Rod S Taylor</w:t>
      </w:r>
      <w:r>
        <w:rPr>
          <w:rFonts w:cs="Times New Roman"/>
          <w:b/>
        </w:rPr>
        <w:t xml:space="preserve">, </w:t>
      </w:r>
      <w:r w:rsidRPr="005935F3">
        <w:rPr>
          <w:rFonts w:cs="Times New Roman"/>
          <w:b/>
        </w:rPr>
        <w:t>Professor of</w:t>
      </w:r>
      <w:r>
        <w:rPr>
          <w:rFonts w:cs="Times New Roman"/>
        </w:rPr>
        <w:t xml:space="preserve"> </w:t>
      </w:r>
      <w:r w:rsidRPr="00586B44">
        <w:rPr>
          <w:rStyle w:val="st1"/>
          <w:rFonts w:cs="Arial"/>
          <w:b/>
        </w:rPr>
        <w:t xml:space="preserve">Health Services Research, </w:t>
      </w:r>
      <w:r w:rsidRPr="00586B44">
        <w:rPr>
          <w:rFonts w:cs="Times New Roman"/>
          <w:b/>
        </w:rPr>
        <w:t>Un</w:t>
      </w:r>
      <w:r w:rsidRPr="005C02C8">
        <w:rPr>
          <w:rFonts w:cs="Times New Roman"/>
          <w:b/>
        </w:rPr>
        <w:t xml:space="preserve">iversity of Exeter </w:t>
      </w:r>
      <w:r>
        <w:rPr>
          <w:rFonts w:cs="Times New Roman"/>
          <w:b/>
        </w:rPr>
        <w:t>Medical School</w:t>
      </w:r>
      <w:r w:rsidRPr="005935F3">
        <w:rPr>
          <w:rStyle w:val="st1"/>
          <w:rFonts w:ascii="Arial" w:hAnsi="Arial" w:cs="Arial"/>
        </w:rPr>
        <w:t xml:space="preserve"> </w:t>
      </w:r>
      <w:r w:rsidRPr="005935F3">
        <w:rPr>
          <w:rFonts w:cs="Times New Roman"/>
        </w:rPr>
        <w:t xml:space="preserve"> </w:t>
      </w:r>
      <w:r w:rsidRPr="001218C5">
        <w:rPr>
          <w:rFonts w:cs="Times New Roman"/>
        </w:rPr>
        <w:t>co-led the project, provided input into the statistical analy</w:t>
      </w:r>
      <w:r>
        <w:rPr>
          <w:rFonts w:cs="Times New Roman"/>
        </w:rPr>
        <w:t>sis plan</w:t>
      </w:r>
      <w:r w:rsidRPr="001218C5">
        <w:rPr>
          <w:rFonts w:cs="Times New Roman"/>
        </w:rPr>
        <w:t xml:space="preserve"> </w:t>
      </w:r>
      <w:r w:rsidRPr="003E5D71">
        <w:t xml:space="preserve">and was involved in all stages of the </w:t>
      </w:r>
      <w:r>
        <w:t>HeLP</w:t>
      </w:r>
      <w:r w:rsidRPr="003E5D71">
        <w:t xml:space="preserve"> trial, including conception, design, interpretation of data, and drafting and critically revising the report for important intellectual content and approval of the final version</w:t>
      </w:r>
    </w:p>
    <w:p w14:paraId="119FB1CA" w14:textId="77777777" w:rsidR="001932FD" w:rsidRPr="003E5D71" w:rsidRDefault="001932FD" w:rsidP="001932FD">
      <w:pPr>
        <w:spacing w:after="100" w:afterAutospacing="1" w:line="360" w:lineRule="auto"/>
        <w:rPr>
          <w:rFonts w:cs="Times New Roman"/>
        </w:rPr>
      </w:pPr>
      <w:r w:rsidRPr="001218C5">
        <w:rPr>
          <w:rFonts w:cs="Times New Roman"/>
          <w:b/>
        </w:rPr>
        <w:lastRenderedPageBreak/>
        <w:t>Melvyn Hillsdon</w:t>
      </w:r>
      <w:r>
        <w:rPr>
          <w:rFonts w:cs="Times New Roman"/>
          <w:b/>
        </w:rPr>
        <w:t>, Associate Professor</w:t>
      </w:r>
      <w:r w:rsidRPr="001218C5">
        <w:rPr>
          <w:rFonts w:cs="Times New Roman"/>
          <w:b/>
        </w:rPr>
        <w:t xml:space="preserve"> </w:t>
      </w:r>
      <w:r>
        <w:rPr>
          <w:rFonts w:cs="Times New Roman"/>
          <w:b/>
        </w:rPr>
        <w:t xml:space="preserve">of Sport and Health Sciences, University of Exeter </w:t>
      </w:r>
      <w:r>
        <w:rPr>
          <w:rFonts w:cs="Times New Roman"/>
        </w:rPr>
        <w:t xml:space="preserve">co-led the project, led the physical activity analyses </w:t>
      </w:r>
      <w:r w:rsidRPr="003E5D71">
        <w:t xml:space="preserve">and was involved in </w:t>
      </w:r>
      <w:r>
        <w:t>the interpretation of data,</w:t>
      </w:r>
      <w:r w:rsidRPr="003E5D71">
        <w:t xml:space="preserve"> and drafting and critically revising the report</w:t>
      </w:r>
      <w:r>
        <w:t>,</w:t>
      </w:r>
      <w:r w:rsidRPr="003E5D71">
        <w:t xml:space="preserve"> for important intellectual content and approval of the final version</w:t>
      </w:r>
    </w:p>
    <w:p w14:paraId="3674591E" w14:textId="77777777" w:rsidR="001932FD" w:rsidRDefault="001932FD" w:rsidP="001932FD">
      <w:pPr>
        <w:spacing w:after="100" w:afterAutospacing="1" w:line="360" w:lineRule="auto"/>
        <w:rPr>
          <w:rFonts w:ascii="Arial" w:hAnsi="Arial" w:cs="Arial"/>
          <w:color w:val="1F4E79"/>
        </w:rPr>
      </w:pPr>
      <w:r w:rsidRPr="005C02C8">
        <w:rPr>
          <w:rFonts w:cs="Times New Roman"/>
          <w:b/>
        </w:rPr>
        <w:t xml:space="preserve">Charles Abraham, Professor of </w:t>
      </w:r>
      <w:r w:rsidRPr="005C02C8">
        <w:rPr>
          <w:rFonts w:cs="Arial"/>
          <w:b/>
        </w:rPr>
        <w:t xml:space="preserve">Psychology Applied to Health, </w:t>
      </w:r>
      <w:r w:rsidRPr="005C02C8">
        <w:rPr>
          <w:rFonts w:cs="Times New Roman"/>
          <w:b/>
        </w:rPr>
        <w:t xml:space="preserve">University of Exeter </w:t>
      </w:r>
      <w:r>
        <w:rPr>
          <w:rFonts w:cs="Times New Roman"/>
          <w:b/>
        </w:rPr>
        <w:t xml:space="preserve">Medical School </w:t>
      </w:r>
      <w:r w:rsidRPr="001218C5">
        <w:rPr>
          <w:rFonts w:cs="Arial"/>
        </w:rPr>
        <w:t>co-led the project</w:t>
      </w:r>
      <w:r>
        <w:rPr>
          <w:rFonts w:cs="Arial"/>
        </w:rPr>
        <w:t>,</w:t>
      </w:r>
      <w:r w:rsidRPr="001218C5">
        <w:rPr>
          <w:rFonts w:cs="Arial"/>
        </w:rPr>
        <w:t xml:space="preserve"> advised on the theoretical design of the trial and evaluation and </w:t>
      </w:r>
      <w:r>
        <w:rPr>
          <w:rFonts w:cs="Arial"/>
        </w:rPr>
        <w:t>of</w:t>
      </w:r>
      <w:r w:rsidRPr="001218C5">
        <w:rPr>
          <w:rFonts w:cs="Arial"/>
        </w:rPr>
        <w:t xml:space="preserve"> the psychological and behavioural measures of change. </w:t>
      </w:r>
      <w:r>
        <w:rPr>
          <w:rFonts w:cs="Arial"/>
        </w:rPr>
        <w:t xml:space="preserve">He supported the </w:t>
      </w:r>
      <w:r w:rsidRPr="003E5D71">
        <w:t xml:space="preserve">drafting and critically revising </w:t>
      </w:r>
      <w:r>
        <w:t xml:space="preserve">of </w:t>
      </w:r>
      <w:r w:rsidRPr="003E5D71">
        <w:t>the report for important intellectual content and approval of the final version</w:t>
      </w:r>
    </w:p>
    <w:p w14:paraId="288B995C" w14:textId="139BA428" w:rsidR="001932FD" w:rsidRDefault="001932FD" w:rsidP="001932FD">
      <w:pPr>
        <w:spacing w:after="100" w:afterAutospacing="1" w:line="360" w:lineRule="auto"/>
        <w:rPr>
          <w:rFonts w:cs="Times New Roman"/>
        </w:rPr>
      </w:pPr>
      <w:r w:rsidRPr="001218C5">
        <w:rPr>
          <w:rFonts w:cs="Times New Roman"/>
          <w:b/>
        </w:rPr>
        <w:t>Emma Ryan</w:t>
      </w:r>
      <w:r>
        <w:rPr>
          <w:rFonts w:cs="Times New Roman"/>
          <w:b/>
        </w:rPr>
        <w:t>, Special Education Support Assistant</w:t>
      </w:r>
      <w:r w:rsidR="006532B1">
        <w:rPr>
          <w:rFonts w:cs="Times New Roman"/>
          <w:b/>
        </w:rPr>
        <w:t>,</w:t>
      </w:r>
      <w:r>
        <w:rPr>
          <w:rFonts w:cs="Times New Roman"/>
          <w:b/>
        </w:rPr>
        <w:t xml:space="preserve"> ISCA Academy  </w:t>
      </w:r>
      <w:r>
        <w:rPr>
          <w:rFonts w:cs="Times New Roman"/>
        </w:rPr>
        <w:t>co-led the project, supported the wider stakeholder involvement, supported recruitment of schools and children and HeLP Coordinators and provided input into understanding the school context.</w:t>
      </w:r>
    </w:p>
    <w:p w14:paraId="0E872083" w14:textId="3BCA19A0" w:rsidR="001932FD" w:rsidRDefault="0040613B" w:rsidP="001932FD">
      <w:pPr>
        <w:spacing w:after="100" w:afterAutospacing="1" w:line="360" w:lineRule="auto"/>
        <w:rPr>
          <w:rFonts w:cs="Times New Roman"/>
          <w:b/>
        </w:rPr>
      </w:pPr>
      <w:r>
        <w:rPr>
          <w:b/>
          <w:bCs/>
        </w:rPr>
        <w:t xml:space="preserve">Adam Streeter, </w:t>
      </w:r>
      <w:r>
        <w:rPr>
          <w:rStyle w:val="st1"/>
          <w:b/>
          <w:bCs/>
        </w:rPr>
        <w:t xml:space="preserve">Research Fellow in Medical Statistics, Plymouth University Peninsula Schools of Medicine &amp; Dentistry </w:t>
      </w:r>
      <w:r w:rsidR="001932FD">
        <w:rPr>
          <w:rFonts w:cs="Times New Roman"/>
        </w:rPr>
        <w:t>undertook the majority of the statistical programming and analyses and contributed to the mediational analysis,</w:t>
      </w:r>
      <w:r w:rsidR="001932FD">
        <w:rPr>
          <w:rFonts w:cs="Times New Roman"/>
          <w:b/>
        </w:rPr>
        <w:t xml:space="preserve"> </w:t>
      </w:r>
      <w:r w:rsidR="001932FD">
        <w:rPr>
          <w:rFonts w:cs="Times New Roman"/>
        </w:rPr>
        <w:t xml:space="preserve">and co-wrote chapters 2 and 3 and </w:t>
      </w:r>
      <w:r w:rsidR="001932FD">
        <w:rPr>
          <w:rFonts w:cs="Arial"/>
        </w:rPr>
        <w:t xml:space="preserve">supported the </w:t>
      </w:r>
      <w:r w:rsidR="001932FD" w:rsidRPr="003E5D71">
        <w:t xml:space="preserve">drafting and critically revising </w:t>
      </w:r>
      <w:r w:rsidR="001932FD">
        <w:t xml:space="preserve">of </w:t>
      </w:r>
      <w:r w:rsidR="001932FD" w:rsidRPr="003E5D71">
        <w:t>the report for important intellectual content and approval of the final version</w:t>
      </w:r>
      <w:r w:rsidR="001932FD" w:rsidRPr="001218C5">
        <w:rPr>
          <w:rFonts w:cs="Times New Roman"/>
          <w:b/>
        </w:rPr>
        <w:t xml:space="preserve"> </w:t>
      </w:r>
    </w:p>
    <w:p w14:paraId="70F6FD01" w14:textId="77777777" w:rsidR="001932FD" w:rsidRPr="001218C5" w:rsidRDefault="001932FD" w:rsidP="001932FD">
      <w:pPr>
        <w:spacing w:after="100" w:afterAutospacing="1" w:line="360" w:lineRule="auto"/>
      </w:pPr>
      <w:r w:rsidRPr="001218C5">
        <w:rPr>
          <w:rFonts w:cs="Times New Roman"/>
          <w:b/>
        </w:rPr>
        <w:t>Virginia Pearson</w:t>
      </w:r>
      <w:r>
        <w:rPr>
          <w:rFonts w:cs="Times New Roman"/>
          <w:b/>
        </w:rPr>
        <w:t>, Director of Public Health Devon</w:t>
      </w:r>
      <w:r w:rsidRPr="001218C5">
        <w:rPr>
          <w:rFonts w:cs="Times New Roman"/>
          <w:b/>
        </w:rPr>
        <w:t xml:space="preserve"> </w:t>
      </w:r>
      <w:r w:rsidRPr="001218C5">
        <w:rPr>
          <w:rFonts w:ascii="Calibri" w:hAnsi="Calibri"/>
        </w:rPr>
        <w:t>co-led the project, provided input into understanding the public health context and policy implications and supported the recruitment of schools and attainment of school data</w:t>
      </w:r>
    </w:p>
    <w:p w14:paraId="4E551123" w14:textId="77777777" w:rsidR="001932FD" w:rsidRPr="001218C5" w:rsidRDefault="001932FD" w:rsidP="001932FD">
      <w:pPr>
        <w:spacing w:after="100" w:afterAutospacing="1" w:line="360" w:lineRule="auto"/>
        <w:rPr>
          <w:rFonts w:cs="Times New Roman"/>
        </w:rPr>
      </w:pPr>
      <w:r w:rsidRPr="001218C5">
        <w:rPr>
          <w:rFonts w:cs="Times New Roman"/>
          <w:b/>
        </w:rPr>
        <w:t>Richard Tomlinson</w:t>
      </w:r>
      <w:r>
        <w:rPr>
          <w:rFonts w:cs="Times New Roman"/>
          <w:b/>
        </w:rPr>
        <w:t xml:space="preserve">, Consultant Paediatrician Royal Devon and Exeter NHS Trust </w:t>
      </w:r>
      <w:r>
        <w:rPr>
          <w:rFonts w:cs="Times New Roman"/>
        </w:rPr>
        <w:t xml:space="preserve">co-led the project and provided input and understanding regarding child health from an NHS perspective. </w:t>
      </w:r>
      <w:r>
        <w:rPr>
          <w:rFonts w:cs="Arial"/>
        </w:rPr>
        <w:t xml:space="preserve">He supported the </w:t>
      </w:r>
      <w:r w:rsidRPr="003E5D71">
        <w:t xml:space="preserve">drafting and critically revising </w:t>
      </w:r>
      <w:r>
        <w:t xml:space="preserve">of </w:t>
      </w:r>
      <w:r w:rsidRPr="003E5D71">
        <w:t>the report for important intellectual content and approval of the final version</w:t>
      </w:r>
      <w:r>
        <w:rPr>
          <w:rFonts w:cs="Times New Roman"/>
        </w:rPr>
        <w:t xml:space="preserve">. </w:t>
      </w:r>
    </w:p>
    <w:p w14:paraId="307F5CA2" w14:textId="5345D8C7" w:rsidR="001932FD" w:rsidRPr="001218C5" w:rsidRDefault="001932FD" w:rsidP="001932FD">
      <w:pPr>
        <w:spacing w:after="100" w:afterAutospacing="1" w:line="360" w:lineRule="auto"/>
        <w:rPr>
          <w:rFonts w:cs="Times New Roman"/>
          <w:b/>
        </w:rPr>
      </w:pPr>
      <w:r w:rsidRPr="001218C5">
        <w:rPr>
          <w:rFonts w:cs="Times New Roman"/>
          <w:b/>
        </w:rPr>
        <w:t>Lisa P</w:t>
      </w:r>
      <w:r w:rsidR="00265466">
        <w:rPr>
          <w:rFonts w:cs="Times New Roman"/>
          <w:b/>
        </w:rPr>
        <w:t>rice</w:t>
      </w:r>
      <w:r>
        <w:rPr>
          <w:rFonts w:cs="Times New Roman"/>
          <w:b/>
        </w:rPr>
        <w:t xml:space="preserve">, Lecturer in Sport and Health Sciences, University of Exeter </w:t>
      </w:r>
      <w:r w:rsidRPr="00541661">
        <w:rPr>
          <w:rFonts w:cs="Times New Roman"/>
        </w:rPr>
        <w:t>w</w:t>
      </w:r>
      <w:r w:rsidRPr="00541661">
        <w:rPr>
          <w:rFonts w:ascii="Calibri" w:hAnsi="Calibri"/>
        </w:rPr>
        <w:t>as responsible for the collection, analysis and interpretation of the physical activity data. She was also involved in baseline data collection for anthropometric and questionnaire data, alongside data entry.</w:t>
      </w:r>
    </w:p>
    <w:p w14:paraId="2111826D" w14:textId="77777777" w:rsidR="001932FD" w:rsidRPr="001218C5" w:rsidRDefault="001932FD" w:rsidP="001932FD">
      <w:pPr>
        <w:spacing w:after="100" w:afterAutospacing="1" w:line="360" w:lineRule="auto"/>
        <w:rPr>
          <w:rFonts w:cs="Times New Roman"/>
          <w:b/>
        </w:rPr>
      </w:pPr>
      <w:r w:rsidRPr="001218C5">
        <w:rPr>
          <w:rFonts w:cs="Times New Roman"/>
          <w:b/>
        </w:rPr>
        <w:t>Camilla McHugh</w:t>
      </w:r>
      <w:r>
        <w:rPr>
          <w:rFonts w:cs="Times New Roman"/>
          <w:b/>
        </w:rPr>
        <w:t xml:space="preserve">, Associate Research Fellow Child Health, </w:t>
      </w:r>
      <w:r w:rsidRPr="005C02C8">
        <w:rPr>
          <w:rFonts w:cs="Times New Roman"/>
          <w:b/>
        </w:rPr>
        <w:t xml:space="preserve">University of Exeter </w:t>
      </w:r>
      <w:r>
        <w:rPr>
          <w:rFonts w:cs="Times New Roman"/>
          <w:b/>
        </w:rPr>
        <w:t>Medical School</w:t>
      </w:r>
      <w:r w:rsidRPr="001218C5">
        <w:rPr>
          <w:rFonts w:cs="Times New Roman"/>
          <w:b/>
        </w:rPr>
        <w:t xml:space="preserve"> </w:t>
      </w:r>
      <w:r w:rsidRPr="001218C5">
        <w:t>was a HeLP Coordinator for the tria</w:t>
      </w:r>
      <w:r>
        <w:t>l, contributed to the collection</w:t>
      </w:r>
      <w:r w:rsidRPr="001218C5">
        <w:t xml:space="preserve"> and analysis of the qualitative data for the process evaluation as well as </w:t>
      </w:r>
      <w:r>
        <w:t>supporting the writing of</w:t>
      </w:r>
      <w:r w:rsidRPr="001218C5">
        <w:t xml:space="preserve"> the process evaluation section of the monograph</w:t>
      </w:r>
    </w:p>
    <w:p w14:paraId="37C565B1" w14:textId="7ECE02EA" w:rsidR="001932FD" w:rsidRDefault="001932FD" w:rsidP="001932FD">
      <w:pPr>
        <w:spacing w:after="100" w:afterAutospacing="1" w:line="360" w:lineRule="auto"/>
      </w:pPr>
      <w:r w:rsidRPr="001218C5">
        <w:rPr>
          <w:rFonts w:cs="Times New Roman"/>
          <w:b/>
        </w:rPr>
        <w:lastRenderedPageBreak/>
        <w:t>Alison Hurst</w:t>
      </w:r>
      <w:r>
        <w:rPr>
          <w:rFonts w:cs="Times New Roman"/>
          <w:b/>
        </w:rPr>
        <w:t>, Data</w:t>
      </w:r>
      <w:r w:rsidR="00586B44">
        <w:rPr>
          <w:rFonts w:cs="Times New Roman"/>
          <w:b/>
        </w:rPr>
        <w:t xml:space="preserve"> Manager</w:t>
      </w:r>
      <w:r>
        <w:rPr>
          <w:rFonts w:cs="Times New Roman"/>
          <w:b/>
        </w:rPr>
        <w:t xml:space="preserve">, Associate Research Fellow Child Health, </w:t>
      </w:r>
      <w:r w:rsidRPr="005C02C8">
        <w:rPr>
          <w:rFonts w:cs="Times New Roman"/>
          <w:b/>
        </w:rPr>
        <w:t xml:space="preserve">University of Exeter </w:t>
      </w:r>
      <w:r>
        <w:rPr>
          <w:rFonts w:cs="Times New Roman"/>
          <w:b/>
        </w:rPr>
        <w:t>Medical School</w:t>
      </w:r>
      <w:r w:rsidRPr="001218C5">
        <w:rPr>
          <w:rFonts w:cs="Times New Roman"/>
          <w:b/>
        </w:rPr>
        <w:t xml:space="preserve"> </w:t>
      </w:r>
      <w:r w:rsidRPr="001218C5">
        <w:t>was the Data Manager for the trial and contributed to the analysis of the process evaluation data for the monograph.</w:t>
      </w:r>
    </w:p>
    <w:p w14:paraId="2ADB05D4" w14:textId="399A3956" w:rsidR="001932FD" w:rsidRPr="00227C22" w:rsidRDefault="001932FD" w:rsidP="001932FD">
      <w:pPr>
        <w:spacing w:after="100" w:afterAutospacing="1" w:line="360" w:lineRule="auto"/>
        <w:rPr>
          <w:b/>
        </w:rPr>
      </w:pPr>
      <w:r w:rsidRPr="00227C22">
        <w:rPr>
          <w:b/>
        </w:rPr>
        <w:t>Louise Crathorne</w:t>
      </w:r>
      <w:r>
        <w:rPr>
          <w:b/>
        </w:rPr>
        <w:t xml:space="preserve">, </w:t>
      </w:r>
      <w:r w:rsidRPr="00586B44">
        <w:rPr>
          <w:rStyle w:val="st1"/>
          <w:rFonts w:cs="Arial"/>
          <w:b/>
        </w:rPr>
        <w:t>Honorary Research Associate</w:t>
      </w:r>
      <w:r w:rsidRPr="00586B44">
        <w:rPr>
          <w:b/>
        </w:rPr>
        <w:t xml:space="preserve"> Health</w:t>
      </w:r>
      <w:r w:rsidRPr="005F098D">
        <w:rPr>
          <w:b/>
        </w:rPr>
        <w:t xml:space="preserve"> Economics</w:t>
      </w:r>
      <w:r>
        <w:t xml:space="preserve">, </w:t>
      </w:r>
      <w:r w:rsidRPr="005C02C8">
        <w:rPr>
          <w:rFonts w:cs="Times New Roman"/>
          <w:b/>
        </w:rPr>
        <w:t xml:space="preserve">University of Exeter </w:t>
      </w:r>
      <w:r>
        <w:rPr>
          <w:rFonts w:cs="Times New Roman"/>
          <w:b/>
        </w:rPr>
        <w:t>Medical School</w:t>
      </w:r>
      <w:r w:rsidRPr="001218C5">
        <w:rPr>
          <w:rFonts w:cs="Times New Roman"/>
          <w:b/>
        </w:rPr>
        <w:t xml:space="preserve"> </w:t>
      </w:r>
      <w:r>
        <w:t xml:space="preserve">contributed to the economic analysis, and co-wrote </w:t>
      </w:r>
      <w:r w:rsidR="00E34A3B">
        <w:t>c</w:t>
      </w:r>
      <w:r>
        <w:t>hapter 4 of the report.</w:t>
      </w:r>
    </w:p>
    <w:p w14:paraId="2F7B5748" w14:textId="77777777" w:rsidR="001932FD" w:rsidRDefault="001932FD" w:rsidP="001932FD">
      <w:pPr>
        <w:spacing w:after="100" w:afterAutospacing="1" w:line="360" w:lineRule="auto"/>
        <w:rPr>
          <w:color w:val="44546A"/>
        </w:rPr>
      </w:pPr>
      <w:r w:rsidRPr="00CA11DC">
        <w:rPr>
          <w:rFonts w:cs="Times New Roman"/>
          <w:b/>
        </w:rPr>
        <w:t>Chris Krageloh</w:t>
      </w:r>
      <w:r>
        <w:rPr>
          <w:rFonts w:cs="Times New Roman"/>
          <w:b/>
        </w:rPr>
        <w:t>, Associate Professor Health Sciences,</w:t>
      </w:r>
      <w:r>
        <w:rPr>
          <w:rFonts w:cs="Times New Roman"/>
        </w:rPr>
        <w:t xml:space="preserve"> </w:t>
      </w:r>
      <w:r w:rsidRPr="005F098D">
        <w:rPr>
          <w:rFonts w:cs="Arial"/>
          <w:b/>
          <w:lang w:val="en"/>
        </w:rPr>
        <w:t>Auckland University of Technology</w:t>
      </w:r>
      <w:r>
        <w:t xml:space="preserve"> co-led</w:t>
      </w:r>
      <w:r w:rsidRPr="00CA11DC">
        <w:t xml:space="preserve"> </w:t>
      </w:r>
      <w:r>
        <w:t xml:space="preserve">the </w:t>
      </w:r>
      <w:r w:rsidRPr="00CA11DC">
        <w:t>psychometric evaluation of the M</w:t>
      </w:r>
      <w:r>
        <w:t xml:space="preserve">y </w:t>
      </w:r>
      <w:r w:rsidRPr="00CA11DC">
        <w:t>L</w:t>
      </w:r>
      <w:r>
        <w:t xml:space="preserve">ifestyle </w:t>
      </w:r>
      <w:r w:rsidRPr="00CA11DC">
        <w:t>Q</w:t>
      </w:r>
      <w:r>
        <w:t>uestionnaire and carried out the</w:t>
      </w:r>
      <w:r w:rsidRPr="00CA11DC">
        <w:t xml:space="preserve"> meditational analyses</w:t>
      </w:r>
    </w:p>
    <w:p w14:paraId="29D020A7" w14:textId="443294BA" w:rsidR="001932FD" w:rsidRDefault="001932FD" w:rsidP="001932FD">
      <w:pPr>
        <w:spacing w:after="100" w:afterAutospacing="1" w:line="360" w:lineRule="auto"/>
        <w:rPr>
          <w:color w:val="44546A"/>
        </w:rPr>
      </w:pPr>
      <w:r w:rsidRPr="00CA11DC">
        <w:rPr>
          <w:rFonts w:cs="Times New Roman"/>
          <w:b/>
        </w:rPr>
        <w:t>Richard Siegert</w:t>
      </w:r>
      <w:r>
        <w:rPr>
          <w:rFonts w:cs="Times New Roman"/>
          <w:b/>
        </w:rPr>
        <w:t xml:space="preserve">, </w:t>
      </w:r>
      <w:r w:rsidRPr="005F098D">
        <w:rPr>
          <w:rFonts w:cs="Arial"/>
          <w:b/>
          <w:color w:val="000000"/>
          <w:lang w:val="en"/>
        </w:rPr>
        <w:t>Professor of Psychology and Rehabilitation</w:t>
      </w:r>
      <w:r>
        <w:rPr>
          <w:rFonts w:cs="Arial"/>
          <w:b/>
          <w:color w:val="000000"/>
          <w:lang w:val="en"/>
        </w:rPr>
        <w:t>,</w:t>
      </w:r>
      <w:r w:rsidR="00586B44">
        <w:rPr>
          <w:rFonts w:cs="Arial"/>
          <w:b/>
          <w:color w:val="000000"/>
          <w:lang w:val="en"/>
        </w:rPr>
        <w:t xml:space="preserve"> </w:t>
      </w:r>
      <w:r w:rsidRPr="005F098D">
        <w:rPr>
          <w:rFonts w:cs="Arial"/>
          <w:b/>
          <w:lang w:val="en"/>
        </w:rPr>
        <w:t>Auckland University of Technology</w:t>
      </w:r>
      <w:r>
        <w:t xml:space="preserve"> co-led</w:t>
      </w:r>
      <w:r w:rsidRPr="00CA11DC">
        <w:t xml:space="preserve"> </w:t>
      </w:r>
      <w:r>
        <w:t xml:space="preserve">the </w:t>
      </w:r>
      <w:r w:rsidRPr="00CA11DC">
        <w:t>psychometric evaluation of the M</w:t>
      </w:r>
      <w:r>
        <w:t xml:space="preserve">y </w:t>
      </w:r>
      <w:r w:rsidRPr="00CA11DC">
        <w:t>L</w:t>
      </w:r>
      <w:r>
        <w:t xml:space="preserve">ifestyle </w:t>
      </w:r>
      <w:r w:rsidRPr="00CA11DC">
        <w:t>Q</w:t>
      </w:r>
      <w:r>
        <w:t>uestionnaire and carried out the</w:t>
      </w:r>
      <w:r w:rsidRPr="00CA11DC">
        <w:t xml:space="preserve"> meditational analyses</w:t>
      </w:r>
    </w:p>
    <w:p w14:paraId="5050603D" w14:textId="6C8410B5" w:rsidR="00414C3C" w:rsidRPr="006D7F9C" w:rsidRDefault="001932FD" w:rsidP="006D7F9C">
      <w:pPr>
        <w:spacing w:after="100" w:afterAutospacing="1" w:line="360" w:lineRule="auto"/>
        <w:rPr>
          <w:color w:val="44546A"/>
        </w:rPr>
      </w:pPr>
      <w:r w:rsidRPr="00CA11DC">
        <w:rPr>
          <w:rFonts w:cs="Times New Roman"/>
          <w:b/>
        </w:rPr>
        <w:t>Stuart Logan</w:t>
      </w:r>
      <w:r>
        <w:rPr>
          <w:rFonts w:cs="Times New Roman"/>
          <w:b/>
        </w:rPr>
        <w:t xml:space="preserve">, Director of Institute for Health Research, University of Exeter Medical School </w:t>
      </w:r>
      <w:r w:rsidRPr="009E26FE">
        <w:rPr>
          <w:rFonts w:cs="Times New Roman"/>
        </w:rPr>
        <w:t>co-led the project</w:t>
      </w:r>
      <w:r>
        <w:rPr>
          <w:rFonts w:cs="Times New Roman"/>
          <w:b/>
        </w:rPr>
        <w:t xml:space="preserve"> </w:t>
      </w:r>
      <w:r w:rsidRPr="00931DA4">
        <w:rPr>
          <w:rFonts w:cs="Times New Roman"/>
        </w:rPr>
        <w:t>, co-designed the intervention</w:t>
      </w:r>
      <w:r>
        <w:rPr>
          <w:rFonts w:cs="Times New Roman"/>
          <w:b/>
        </w:rPr>
        <w:t xml:space="preserve"> </w:t>
      </w:r>
      <w:r w:rsidRPr="003E5D71">
        <w:t xml:space="preserve">and was involved in all stages of the </w:t>
      </w:r>
      <w:r>
        <w:t>HeLP</w:t>
      </w:r>
      <w:r w:rsidRPr="003E5D71">
        <w:t xml:space="preserve"> trial, including conception, design, interpretation of data, and drafting and critically revising the report for important intellectual content and approval of the final version</w:t>
      </w:r>
    </w:p>
    <w:p w14:paraId="4C3C1A5D" w14:textId="77777777" w:rsidR="00414C3C" w:rsidRPr="00710EBE" w:rsidRDefault="00414C3C" w:rsidP="00414C3C">
      <w:pPr>
        <w:spacing w:line="360" w:lineRule="auto"/>
        <w:rPr>
          <w:rFonts w:cs="Times New Roman"/>
        </w:rPr>
      </w:pPr>
      <w:r w:rsidRPr="00710EBE">
        <w:rPr>
          <w:rFonts w:cs="Times New Roman"/>
        </w:rPr>
        <w:t>All authors made critical revisions to the monograph</w:t>
      </w:r>
    </w:p>
    <w:p w14:paraId="38CC46F0" w14:textId="77777777" w:rsidR="00414C3C" w:rsidRPr="0095735A" w:rsidRDefault="00414C3C" w:rsidP="00AB4D98">
      <w:pPr>
        <w:pStyle w:val="Heading1"/>
      </w:pPr>
      <w:bookmarkStart w:id="658" w:name="_Toc466639085"/>
      <w:bookmarkStart w:id="659" w:name="_Toc466710132"/>
      <w:bookmarkStart w:id="660" w:name="_Toc466711480"/>
      <w:bookmarkStart w:id="661" w:name="_Toc466712139"/>
      <w:bookmarkStart w:id="662" w:name="_Toc475974407"/>
      <w:r w:rsidRPr="0095735A">
        <w:t>Data sharing statement</w:t>
      </w:r>
      <w:bookmarkEnd w:id="658"/>
      <w:bookmarkEnd w:id="659"/>
      <w:bookmarkEnd w:id="660"/>
      <w:bookmarkEnd w:id="661"/>
      <w:bookmarkEnd w:id="662"/>
    </w:p>
    <w:p w14:paraId="0FCA4746" w14:textId="63C452C6" w:rsidR="000E1D61" w:rsidRPr="00557418" w:rsidRDefault="00557418" w:rsidP="00414C3C">
      <w:pPr>
        <w:spacing w:line="360" w:lineRule="auto"/>
        <w:rPr>
          <w:rFonts w:cs="Times New Roman"/>
        </w:rPr>
      </w:pPr>
      <w:r w:rsidRPr="00557418">
        <w:rPr>
          <w:rFonts w:cs="Times New Roman"/>
        </w:rPr>
        <w:t xml:space="preserve">We are keen for these data to be used widely by the scientific community. Details of the study can be found on the </w:t>
      </w:r>
      <w:r w:rsidR="001B2B83">
        <w:rPr>
          <w:rFonts w:cs="Times New Roman"/>
        </w:rPr>
        <w:t xml:space="preserve">website </w:t>
      </w:r>
      <w:r w:rsidR="001B2B83">
        <w:t>(</w:t>
      </w:r>
      <w:r w:rsidR="001B2B83" w:rsidRPr="005E028B">
        <w:t>http://medicine.exeter.ac.uk/help</w:t>
      </w:r>
      <w:r w:rsidR="001B2B83">
        <w:t>) and anyone interested in using these data should contact the corresponding author in the f</w:t>
      </w:r>
      <w:r w:rsidR="003C7806">
        <w:t>irst instance. We do not have fu</w:t>
      </w:r>
      <w:r w:rsidR="001B2B83">
        <w:t>nds for data extraction and putting data files together for collaborators and may have to charge for providing this service.</w:t>
      </w:r>
    </w:p>
    <w:p w14:paraId="7B9D0123" w14:textId="77777777" w:rsidR="0057343B" w:rsidRDefault="00414C3C" w:rsidP="0057343B">
      <w:pPr>
        <w:rPr>
          <w:lang w:val="en-US"/>
        </w:rPr>
      </w:pPr>
      <w:r w:rsidRPr="00710EBE">
        <w:rPr>
          <w:rFonts w:cs="Times New Roman"/>
          <w:b/>
        </w:rPr>
        <w:t xml:space="preserve">Publications </w:t>
      </w:r>
      <w:r w:rsidR="006D7F9C">
        <w:rPr>
          <w:rFonts w:cs="Times New Roman"/>
          <w:b/>
        </w:rPr>
        <w:t>arising from the work to date</w:t>
      </w:r>
      <w:r w:rsidR="0057343B" w:rsidRPr="0057343B">
        <w:rPr>
          <w:lang w:val="en-US"/>
        </w:rPr>
        <w:t xml:space="preserve"> </w:t>
      </w:r>
    </w:p>
    <w:p w14:paraId="737E6720" w14:textId="514186C9" w:rsidR="0057343B" w:rsidRDefault="0057343B" w:rsidP="0057343B">
      <w:pPr>
        <w:rPr>
          <w:lang w:val="en-US"/>
        </w:rPr>
      </w:pPr>
      <w:r w:rsidRPr="0084375D">
        <w:rPr>
          <w:lang w:val="en-US"/>
        </w:rPr>
        <w:t>Creanor S, Lloyd J, Hillsdon M, Dean S, Green C, Taylor RS, et al. Detailed statistical analysis plan for a cluster randomised controlled trial of the Healthy Lifestyles Programme (HeLP), a novel school-based intervention to prevent obesity in school children. Trials. 2016;17(1):599.</w:t>
      </w:r>
    </w:p>
    <w:p w14:paraId="598BB31A" w14:textId="77777777" w:rsidR="0057343B" w:rsidRPr="0057343B" w:rsidRDefault="0057343B" w:rsidP="0057343B">
      <w:pPr>
        <w:rPr>
          <w:lang w:val="en-US"/>
        </w:rPr>
      </w:pPr>
      <w:r w:rsidRPr="0057343B">
        <w:rPr>
          <w:lang w:val="en-US"/>
        </w:rPr>
        <w:t>Lloyd J, Wyatt K. The Healthy Lifestyles Programme (HeLP) - An Overview of and Recommendations Arising from the Conceptualisation and Development of an Innovative Approach to Promoting Healthy Lifestyles for Children and Their Families. Int J Environ Res Public Health. 2015;12(1):1003-19.</w:t>
      </w:r>
    </w:p>
    <w:p w14:paraId="5F62BFD7" w14:textId="77777777" w:rsidR="0057343B" w:rsidRPr="0057343B" w:rsidRDefault="0057343B" w:rsidP="0057343B">
      <w:pPr>
        <w:rPr>
          <w:lang w:val="en-US"/>
        </w:rPr>
      </w:pPr>
      <w:r w:rsidRPr="0057343B">
        <w:rPr>
          <w:lang w:val="en-US"/>
        </w:rPr>
        <w:lastRenderedPageBreak/>
        <w:t>Lloyd JJ, Wyatt KM. Qualitative findings from an exploratory trial of the Healthy Lifestyles Programme (HeLP) and their implications for the process evaluation in the definitive trial. BMC Public Health. 2014;14:578.</w:t>
      </w:r>
    </w:p>
    <w:p w14:paraId="6A667B50" w14:textId="77777777" w:rsidR="0057343B" w:rsidRPr="0057343B" w:rsidRDefault="0057343B" w:rsidP="0057343B">
      <w:pPr>
        <w:rPr>
          <w:lang w:val="en-US"/>
        </w:rPr>
      </w:pPr>
      <w:r w:rsidRPr="0057343B">
        <w:rPr>
          <w:lang w:val="en-US"/>
        </w:rPr>
        <w:t>Wyatt KM, Lloyd JJ, Abraham C, Creanor S, Dean S, Densham E, et al. The Healthy Lifestyles Programme (HeLP), a novel school-based intervention to prevent obesity in school children: study protocol for a randomised controlled trial. BMC Trials. 2013;14:95.</w:t>
      </w:r>
    </w:p>
    <w:p w14:paraId="64C8AE40" w14:textId="77777777" w:rsidR="0057343B" w:rsidRPr="0084375D" w:rsidRDefault="0057343B" w:rsidP="0057343B">
      <w:pPr>
        <w:rPr>
          <w:lang w:val="en-US"/>
        </w:rPr>
      </w:pPr>
    </w:p>
    <w:p w14:paraId="3B943232" w14:textId="4BAEC9D5" w:rsidR="00414C3C" w:rsidRDefault="00414C3C" w:rsidP="0084375D"/>
    <w:p w14:paraId="0C932E20" w14:textId="5685C33A" w:rsidR="00861557" w:rsidRPr="00A75858" w:rsidRDefault="00861557" w:rsidP="00861557">
      <w:pPr>
        <w:rPr>
          <w:rFonts w:cstheme="minorHAnsi"/>
        </w:rPr>
      </w:pPr>
    </w:p>
    <w:p w14:paraId="055D2E10" w14:textId="77777777" w:rsidR="00861557" w:rsidRDefault="00861557" w:rsidP="00861557">
      <w:pPr>
        <w:rPr>
          <w:rFonts w:cs="Times New Roman"/>
        </w:rPr>
      </w:pPr>
    </w:p>
    <w:p w14:paraId="62BCC446" w14:textId="77777777" w:rsidR="00861557" w:rsidRPr="00861557" w:rsidRDefault="00861557" w:rsidP="00861557">
      <w:pPr>
        <w:rPr>
          <w:rFonts w:cs="Times New Roman"/>
        </w:rPr>
        <w:sectPr w:rsidR="00861557" w:rsidRPr="00861557" w:rsidSect="005E05B7">
          <w:footerReference w:type="default" r:id="rId25"/>
          <w:pgSz w:w="11906" w:h="16838"/>
          <w:pgMar w:top="1440" w:right="1440" w:bottom="1440" w:left="1440" w:header="709" w:footer="709" w:gutter="0"/>
          <w:lnNumType w:countBy="1"/>
          <w:cols w:space="708"/>
          <w:docGrid w:linePitch="360"/>
        </w:sectPr>
      </w:pPr>
    </w:p>
    <w:p w14:paraId="3BC3AECD" w14:textId="77777777" w:rsidR="00403B07" w:rsidRPr="00C46269" w:rsidRDefault="00403B07" w:rsidP="00403B07">
      <w:pPr>
        <w:outlineLvl w:val="0"/>
        <w:rPr>
          <w:rFonts w:cs="Arial"/>
          <w:b/>
        </w:rPr>
      </w:pPr>
      <w:bookmarkStart w:id="663" w:name="_Toc475974408"/>
      <w:r w:rsidRPr="00C46269">
        <w:rPr>
          <w:rFonts w:cs="Arial"/>
          <w:b/>
          <w:sz w:val="24"/>
          <w:szCs w:val="24"/>
        </w:rPr>
        <w:lastRenderedPageBreak/>
        <w:t>Appendix 1 Trial Steering Committee (TSC</w:t>
      </w:r>
      <w:r w:rsidRPr="00C46269">
        <w:rPr>
          <w:rFonts w:cs="Arial"/>
          <w:b/>
        </w:rPr>
        <w:t>)</w:t>
      </w:r>
      <w:bookmarkEnd w:id="663"/>
    </w:p>
    <w:p w14:paraId="5D15B4C1" w14:textId="77777777" w:rsidR="00403B07" w:rsidRPr="00534DB3" w:rsidRDefault="00403B07" w:rsidP="00403B07">
      <w:pPr>
        <w:rPr>
          <w:rFonts w:cs="Arial"/>
          <w:b/>
          <w:sz w:val="28"/>
          <w:szCs w:val="28"/>
        </w:rPr>
      </w:pPr>
    </w:p>
    <w:tbl>
      <w:tblPr>
        <w:tblStyle w:val="TableGrid"/>
        <w:tblW w:w="9209" w:type="dxa"/>
        <w:tblLook w:val="04A0" w:firstRow="1" w:lastRow="0" w:firstColumn="1" w:lastColumn="0" w:noHBand="0" w:noVBand="1"/>
      </w:tblPr>
      <w:tblGrid>
        <w:gridCol w:w="1882"/>
        <w:gridCol w:w="2649"/>
        <w:gridCol w:w="2268"/>
        <w:gridCol w:w="2410"/>
      </w:tblGrid>
      <w:tr w:rsidR="00403B07" w:rsidRPr="00534DB3" w14:paraId="2FBEF07D" w14:textId="77777777" w:rsidTr="00B01272">
        <w:tc>
          <w:tcPr>
            <w:tcW w:w="1882" w:type="dxa"/>
          </w:tcPr>
          <w:p w14:paraId="24C4387E" w14:textId="77777777" w:rsidR="00403B07" w:rsidRPr="00534DB3" w:rsidRDefault="00403B07" w:rsidP="00B01272">
            <w:pPr>
              <w:rPr>
                <w:rFonts w:cs="Arial"/>
                <w:b/>
              </w:rPr>
            </w:pPr>
            <w:r w:rsidRPr="00534DB3">
              <w:rPr>
                <w:rFonts w:cs="Arial"/>
                <w:b/>
              </w:rPr>
              <w:t>Name &amp; Title</w:t>
            </w:r>
          </w:p>
        </w:tc>
        <w:tc>
          <w:tcPr>
            <w:tcW w:w="2649" w:type="dxa"/>
          </w:tcPr>
          <w:p w14:paraId="16B7EE3A" w14:textId="77777777" w:rsidR="00403B07" w:rsidRPr="00534DB3" w:rsidRDefault="00403B07" w:rsidP="00B01272">
            <w:pPr>
              <w:rPr>
                <w:rFonts w:cs="Arial"/>
                <w:b/>
              </w:rPr>
            </w:pPr>
            <w:r w:rsidRPr="00534DB3">
              <w:rPr>
                <w:rFonts w:cs="Arial"/>
                <w:b/>
              </w:rPr>
              <w:t>Position</w:t>
            </w:r>
          </w:p>
        </w:tc>
        <w:tc>
          <w:tcPr>
            <w:tcW w:w="2268" w:type="dxa"/>
          </w:tcPr>
          <w:p w14:paraId="293AE03E" w14:textId="77777777" w:rsidR="00403B07" w:rsidRPr="00534DB3" w:rsidRDefault="00403B07" w:rsidP="00B01272">
            <w:pPr>
              <w:rPr>
                <w:rFonts w:cs="Arial"/>
                <w:b/>
              </w:rPr>
            </w:pPr>
            <w:r w:rsidRPr="00534DB3">
              <w:rPr>
                <w:rFonts w:cs="Arial"/>
                <w:b/>
              </w:rPr>
              <w:t>Dept/Faculty</w:t>
            </w:r>
          </w:p>
        </w:tc>
        <w:tc>
          <w:tcPr>
            <w:tcW w:w="2410" w:type="dxa"/>
          </w:tcPr>
          <w:p w14:paraId="52B974B4" w14:textId="77777777" w:rsidR="00403B07" w:rsidRPr="00534DB3" w:rsidRDefault="00403B07" w:rsidP="00B01272">
            <w:pPr>
              <w:rPr>
                <w:rFonts w:cs="Arial"/>
                <w:b/>
              </w:rPr>
            </w:pPr>
            <w:r w:rsidRPr="00534DB3">
              <w:rPr>
                <w:rFonts w:cs="Arial"/>
                <w:b/>
              </w:rPr>
              <w:t>Institution</w:t>
            </w:r>
          </w:p>
        </w:tc>
      </w:tr>
      <w:tr w:rsidR="00403B07" w:rsidRPr="00534DB3" w14:paraId="2EB48F1C" w14:textId="77777777" w:rsidTr="00B01272">
        <w:tc>
          <w:tcPr>
            <w:tcW w:w="1882" w:type="dxa"/>
          </w:tcPr>
          <w:p w14:paraId="4B1CAFBF" w14:textId="77777777" w:rsidR="00403B07" w:rsidRDefault="00403B07" w:rsidP="00B01272">
            <w:pPr>
              <w:rPr>
                <w:rFonts w:cs="Times New Roman"/>
                <w:sz w:val="24"/>
                <w:szCs w:val="24"/>
              </w:rPr>
            </w:pPr>
            <w:r w:rsidRPr="00534DB3">
              <w:rPr>
                <w:rFonts w:cs="Times New Roman"/>
                <w:sz w:val="24"/>
                <w:szCs w:val="24"/>
              </w:rPr>
              <w:t>Professor Martin White* (Chair)</w:t>
            </w:r>
          </w:p>
          <w:p w14:paraId="268EFF0A" w14:textId="77777777" w:rsidR="00403B07" w:rsidRPr="00534DB3" w:rsidRDefault="00403B07" w:rsidP="00B01272">
            <w:pPr>
              <w:rPr>
                <w:rFonts w:cs="Times New Roman"/>
                <w:i/>
                <w:sz w:val="24"/>
                <w:szCs w:val="24"/>
              </w:rPr>
            </w:pPr>
          </w:p>
        </w:tc>
        <w:tc>
          <w:tcPr>
            <w:tcW w:w="2649" w:type="dxa"/>
          </w:tcPr>
          <w:p w14:paraId="56DAF581" w14:textId="77777777" w:rsidR="00403B07" w:rsidRPr="00534DB3" w:rsidRDefault="00403B07" w:rsidP="00B01272">
            <w:pPr>
              <w:rPr>
                <w:rFonts w:cs="Times New Roman"/>
                <w:i/>
                <w:sz w:val="24"/>
                <w:szCs w:val="24"/>
              </w:rPr>
            </w:pPr>
            <w:r w:rsidRPr="00534DB3">
              <w:rPr>
                <w:rFonts w:cs="Times New Roman"/>
                <w:sz w:val="24"/>
                <w:szCs w:val="24"/>
              </w:rPr>
              <w:t xml:space="preserve">Professor of Public Health </w:t>
            </w:r>
          </w:p>
        </w:tc>
        <w:tc>
          <w:tcPr>
            <w:tcW w:w="2268" w:type="dxa"/>
          </w:tcPr>
          <w:p w14:paraId="29092BA8" w14:textId="77777777" w:rsidR="00403B07" w:rsidRPr="00534DB3" w:rsidRDefault="00403B07" w:rsidP="00B01272">
            <w:pPr>
              <w:rPr>
                <w:rFonts w:cs="Times New Roman"/>
                <w:sz w:val="24"/>
                <w:szCs w:val="24"/>
              </w:rPr>
            </w:pPr>
            <w:r w:rsidRPr="00534DB3">
              <w:rPr>
                <w:rFonts w:cs="Times New Roman"/>
                <w:color w:val="171717"/>
                <w:sz w:val="24"/>
                <w:szCs w:val="24"/>
                <w:lang w:val="en-US"/>
              </w:rPr>
              <w:t>MRC Epidemiology Unit</w:t>
            </w:r>
          </w:p>
        </w:tc>
        <w:tc>
          <w:tcPr>
            <w:tcW w:w="2410" w:type="dxa"/>
          </w:tcPr>
          <w:p w14:paraId="5FDCA50B" w14:textId="77777777" w:rsidR="00403B07" w:rsidRPr="00534DB3" w:rsidRDefault="00403B07" w:rsidP="00B01272">
            <w:pPr>
              <w:rPr>
                <w:rFonts w:cs="Times New Roman"/>
                <w:i/>
                <w:sz w:val="24"/>
                <w:szCs w:val="24"/>
              </w:rPr>
            </w:pPr>
            <w:r w:rsidRPr="00534DB3">
              <w:rPr>
                <w:rFonts w:cs="Times New Roman"/>
                <w:sz w:val="24"/>
                <w:szCs w:val="24"/>
              </w:rPr>
              <w:t>Cambridge University</w:t>
            </w:r>
          </w:p>
        </w:tc>
      </w:tr>
      <w:tr w:rsidR="00403B07" w:rsidRPr="00534DB3" w14:paraId="3B100B6A" w14:textId="77777777" w:rsidTr="00B01272">
        <w:tc>
          <w:tcPr>
            <w:tcW w:w="1882" w:type="dxa"/>
          </w:tcPr>
          <w:p w14:paraId="5FE2DF2A" w14:textId="77777777" w:rsidR="00403B07" w:rsidRDefault="00403B07" w:rsidP="00B01272">
            <w:pPr>
              <w:rPr>
                <w:rFonts w:cs="Times New Roman"/>
                <w:sz w:val="24"/>
                <w:szCs w:val="24"/>
              </w:rPr>
            </w:pPr>
            <w:r w:rsidRPr="00534DB3">
              <w:rPr>
                <w:rFonts w:cs="Times New Roman"/>
                <w:sz w:val="24"/>
                <w:szCs w:val="24"/>
              </w:rPr>
              <w:t>Dr Sara Brookes*</w:t>
            </w:r>
          </w:p>
          <w:p w14:paraId="1D983EBA" w14:textId="77777777" w:rsidR="00403B07" w:rsidRPr="00534DB3" w:rsidRDefault="00403B07" w:rsidP="00B01272">
            <w:pPr>
              <w:rPr>
                <w:rFonts w:cs="Times New Roman"/>
                <w:sz w:val="24"/>
                <w:szCs w:val="24"/>
              </w:rPr>
            </w:pPr>
          </w:p>
        </w:tc>
        <w:tc>
          <w:tcPr>
            <w:tcW w:w="2649" w:type="dxa"/>
          </w:tcPr>
          <w:p w14:paraId="74AB31B2" w14:textId="77777777" w:rsidR="00403B07" w:rsidRPr="00534DB3" w:rsidRDefault="00403B07" w:rsidP="00B01272">
            <w:pPr>
              <w:rPr>
                <w:rFonts w:cs="Times New Roman"/>
                <w:sz w:val="24"/>
                <w:szCs w:val="24"/>
              </w:rPr>
            </w:pPr>
            <w:r w:rsidRPr="00534DB3">
              <w:rPr>
                <w:rFonts w:cs="Times New Roman"/>
                <w:sz w:val="24"/>
                <w:szCs w:val="24"/>
              </w:rPr>
              <w:t>Senior Lecturer in Medical Statistics</w:t>
            </w:r>
          </w:p>
        </w:tc>
        <w:tc>
          <w:tcPr>
            <w:tcW w:w="2268" w:type="dxa"/>
          </w:tcPr>
          <w:p w14:paraId="669E687B" w14:textId="77777777" w:rsidR="00403B07" w:rsidRPr="00534DB3" w:rsidRDefault="00403B07" w:rsidP="00B01272">
            <w:pPr>
              <w:rPr>
                <w:rFonts w:cs="Times New Roman"/>
                <w:sz w:val="24"/>
                <w:szCs w:val="24"/>
              </w:rPr>
            </w:pPr>
            <w:r w:rsidRPr="00534DB3">
              <w:rPr>
                <w:rFonts w:cs="Times New Roman"/>
                <w:sz w:val="24"/>
                <w:szCs w:val="24"/>
              </w:rPr>
              <w:t>Department of Social Medicine</w:t>
            </w:r>
          </w:p>
        </w:tc>
        <w:tc>
          <w:tcPr>
            <w:tcW w:w="2410" w:type="dxa"/>
          </w:tcPr>
          <w:p w14:paraId="661B2966" w14:textId="77777777" w:rsidR="00403B07" w:rsidRPr="00534DB3" w:rsidRDefault="00403B07" w:rsidP="00B01272">
            <w:pPr>
              <w:rPr>
                <w:rFonts w:cs="Times New Roman"/>
                <w:sz w:val="24"/>
                <w:szCs w:val="24"/>
              </w:rPr>
            </w:pPr>
            <w:r w:rsidRPr="00534DB3">
              <w:rPr>
                <w:rFonts w:cs="Times New Roman"/>
                <w:sz w:val="24"/>
                <w:szCs w:val="24"/>
              </w:rPr>
              <w:t>Bristol University</w:t>
            </w:r>
          </w:p>
        </w:tc>
      </w:tr>
      <w:tr w:rsidR="00403B07" w:rsidRPr="00534DB3" w14:paraId="1E6BB89D" w14:textId="77777777" w:rsidTr="00B01272">
        <w:tc>
          <w:tcPr>
            <w:tcW w:w="1882" w:type="dxa"/>
          </w:tcPr>
          <w:p w14:paraId="7192C7C8" w14:textId="77777777" w:rsidR="00403B07" w:rsidRPr="00534DB3" w:rsidRDefault="00403B07" w:rsidP="00B01272">
            <w:pPr>
              <w:rPr>
                <w:rFonts w:cs="Times New Roman"/>
                <w:sz w:val="24"/>
                <w:szCs w:val="24"/>
              </w:rPr>
            </w:pPr>
            <w:r w:rsidRPr="00534DB3">
              <w:rPr>
                <w:rFonts w:cs="Times New Roman"/>
                <w:sz w:val="24"/>
                <w:szCs w:val="24"/>
              </w:rPr>
              <w:t>Dr Russ Jago*</w:t>
            </w:r>
          </w:p>
        </w:tc>
        <w:tc>
          <w:tcPr>
            <w:tcW w:w="2649" w:type="dxa"/>
          </w:tcPr>
          <w:p w14:paraId="2707418A" w14:textId="77777777" w:rsidR="00403B07" w:rsidRPr="00534DB3" w:rsidRDefault="00403B07" w:rsidP="00B01272">
            <w:pPr>
              <w:rPr>
                <w:rFonts w:cs="Times New Roman"/>
                <w:sz w:val="24"/>
                <w:szCs w:val="24"/>
              </w:rPr>
            </w:pPr>
            <w:r w:rsidRPr="00534DB3">
              <w:rPr>
                <w:rFonts w:cs="Times New Roman"/>
                <w:sz w:val="24"/>
                <w:szCs w:val="24"/>
              </w:rPr>
              <w:t>Professor of Paediatric Physical Activity &amp; Public Health</w:t>
            </w:r>
          </w:p>
        </w:tc>
        <w:tc>
          <w:tcPr>
            <w:tcW w:w="2268" w:type="dxa"/>
          </w:tcPr>
          <w:p w14:paraId="5C6A049A" w14:textId="77777777" w:rsidR="00403B07" w:rsidRPr="00534DB3" w:rsidRDefault="00403B07" w:rsidP="00B01272">
            <w:pPr>
              <w:rPr>
                <w:rFonts w:cs="Times New Roman"/>
                <w:sz w:val="24"/>
                <w:szCs w:val="24"/>
              </w:rPr>
            </w:pPr>
            <w:r w:rsidRPr="00534DB3">
              <w:rPr>
                <w:rFonts w:cs="Times New Roman"/>
                <w:sz w:val="24"/>
                <w:szCs w:val="24"/>
              </w:rPr>
              <w:t>Exercise, Nutrition &amp; Health Sciences</w:t>
            </w:r>
          </w:p>
        </w:tc>
        <w:tc>
          <w:tcPr>
            <w:tcW w:w="2410" w:type="dxa"/>
          </w:tcPr>
          <w:p w14:paraId="6A3F6DFF" w14:textId="77777777" w:rsidR="00403B07" w:rsidRPr="00534DB3" w:rsidRDefault="00403B07" w:rsidP="00B01272">
            <w:pPr>
              <w:rPr>
                <w:rFonts w:cs="Times New Roman"/>
                <w:sz w:val="24"/>
                <w:szCs w:val="24"/>
              </w:rPr>
            </w:pPr>
            <w:r w:rsidRPr="00534DB3">
              <w:rPr>
                <w:rFonts w:cs="Times New Roman"/>
                <w:sz w:val="24"/>
                <w:szCs w:val="24"/>
              </w:rPr>
              <w:t>Bristol University</w:t>
            </w:r>
          </w:p>
        </w:tc>
      </w:tr>
      <w:tr w:rsidR="00403B07" w:rsidRPr="00534DB3" w14:paraId="00CB545D" w14:textId="77777777" w:rsidTr="00B01272">
        <w:tc>
          <w:tcPr>
            <w:tcW w:w="1882" w:type="dxa"/>
          </w:tcPr>
          <w:p w14:paraId="259624DF" w14:textId="77777777" w:rsidR="00403B07" w:rsidRDefault="00403B07" w:rsidP="00B01272">
            <w:pPr>
              <w:rPr>
                <w:rFonts w:cs="Times New Roman"/>
                <w:sz w:val="24"/>
                <w:szCs w:val="24"/>
              </w:rPr>
            </w:pPr>
            <w:r w:rsidRPr="00534DB3">
              <w:rPr>
                <w:rFonts w:cs="Times New Roman"/>
                <w:sz w:val="24"/>
                <w:szCs w:val="24"/>
              </w:rPr>
              <w:t>Dr Chris Moudiotis*</w:t>
            </w:r>
          </w:p>
          <w:p w14:paraId="0C113D95" w14:textId="77777777" w:rsidR="00403B07" w:rsidRPr="00534DB3" w:rsidRDefault="00403B07" w:rsidP="00B01272">
            <w:pPr>
              <w:rPr>
                <w:rFonts w:cs="Times New Roman"/>
                <w:sz w:val="24"/>
                <w:szCs w:val="24"/>
              </w:rPr>
            </w:pPr>
          </w:p>
        </w:tc>
        <w:tc>
          <w:tcPr>
            <w:tcW w:w="2649" w:type="dxa"/>
          </w:tcPr>
          <w:p w14:paraId="0C7423F2" w14:textId="77777777" w:rsidR="00403B07" w:rsidRPr="00534DB3" w:rsidRDefault="00403B07" w:rsidP="00B01272">
            <w:pPr>
              <w:rPr>
                <w:rFonts w:cs="Times New Roman"/>
                <w:sz w:val="24"/>
                <w:szCs w:val="24"/>
              </w:rPr>
            </w:pPr>
            <w:r w:rsidRPr="00534DB3">
              <w:rPr>
                <w:rFonts w:cs="Times New Roman"/>
                <w:sz w:val="24"/>
                <w:szCs w:val="24"/>
              </w:rPr>
              <w:t xml:space="preserve">Consultant Paediatrician </w:t>
            </w:r>
          </w:p>
        </w:tc>
        <w:tc>
          <w:tcPr>
            <w:tcW w:w="2268" w:type="dxa"/>
          </w:tcPr>
          <w:p w14:paraId="5E93B1D6" w14:textId="77777777" w:rsidR="00403B07" w:rsidRPr="00534DB3" w:rsidRDefault="00403B07" w:rsidP="00B01272">
            <w:pPr>
              <w:rPr>
                <w:rFonts w:cs="Times New Roman"/>
                <w:sz w:val="24"/>
                <w:szCs w:val="24"/>
              </w:rPr>
            </w:pPr>
            <w:r w:rsidRPr="00534DB3">
              <w:rPr>
                <w:rFonts w:cs="Times New Roman"/>
                <w:sz w:val="24"/>
                <w:szCs w:val="24"/>
              </w:rPr>
              <w:t>Acute Paediatrics</w:t>
            </w:r>
          </w:p>
        </w:tc>
        <w:tc>
          <w:tcPr>
            <w:tcW w:w="2410" w:type="dxa"/>
          </w:tcPr>
          <w:p w14:paraId="631A3E0D" w14:textId="77777777" w:rsidR="00403B07" w:rsidRPr="00534DB3" w:rsidRDefault="00403B07" w:rsidP="00B01272">
            <w:pPr>
              <w:rPr>
                <w:rFonts w:cs="Times New Roman"/>
                <w:sz w:val="24"/>
                <w:szCs w:val="24"/>
              </w:rPr>
            </w:pPr>
            <w:r w:rsidRPr="00534DB3">
              <w:rPr>
                <w:rFonts w:cs="Times New Roman"/>
                <w:sz w:val="24"/>
                <w:szCs w:val="24"/>
              </w:rPr>
              <w:t>RD&amp;E Foundation Trust, Exeter</w:t>
            </w:r>
          </w:p>
        </w:tc>
      </w:tr>
      <w:tr w:rsidR="00403B07" w:rsidRPr="00534DB3" w14:paraId="00E6785B" w14:textId="77777777" w:rsidTr="00B01272">
        <w:tc>
          <w:tcPr>
            <w:tcW w:w="1882" w:type="dxa"/>
          </w:tcPr>
          <w:p w14:paraId="13702CE2" w14:textId="77777777" w:rsidR="00403B07" w:rsidRPr="00534DB3" w:rsidRDefault="00403B07" w:rsidP="00B01272">
            <w:pPr>
              <w:rPr>
                <w:rFonts w:cs="Times New Roman"/>
                <w:sz w:val="24"/>
                <w:szCs w:val="24"/>
              </w:rPr>
            </w:pPr>
            <w:r w:rsidRPr="00534DB3">
              <w:rPr>
                <w:rFonts w:cs="Times New Roman"/>
                <w:sz w:val="24"/>
                <w:szCs w:val="24"/>
              </w:rPr>
              <w:t>Mr Christopher Gardner</w:t>
            </w:r>
          </w:p>
        </w:tc>
        <w:tc>
          <w:tcPr>
            <w:tcW w:w="2649" w:type="dxa"/>
          </w:tcPr>
          <w:p w14:paraId="51769D50" w14:textId="77777777" w:rsidR="00403B07" w:rsidRPr="00534DB3" w:rsidRDefault="00403B07" w:rsidP="00B01272">
            <w:pPr>
              <w:rPr>
                <w:rFonts w:cs="Times New Roman"/>
                <w:sz w:val="24"/>
                <w:szCs w:val="24"/>
              </w:rPr>
            </w:pPr>
            <w:r w:rsidRPr="00534DB3">
              <w:rPr>
                <w:rFonts w:cs="Times New Roman"/>
                <w:sz w:val="24"/>
                <w:szCs w:val="24"/>
              </w:rPr>
              <w:t>Research &amp; Development Directorate Manager</w:t>
            </w:r>
          </w:p>
        </w:tc>
        <w:tc>
          <w:tcPr>
            <w:tcW w:w="2268" w:type="dxa"/>
          </w:tcPr>
          <w:p w14:paraId="4E7DE8C8" w14:textId="77777777" w:rsidR="00403B07" w:rsidRPr="00534DB3" w:rsidRDefault="00403B07" w:rsidP="00B01272">
            <w:pPr>
              <w:rPr>
                <w:rFonts w:cs="Times New Roman"/>
                <w:sz w:val="24"/>
                <w:szCs w:val="24"/>
              </w:rPr>
            </w:pPr>
            <w:r w:rsidRPr="00534DB3">
              <w:rPr>
                <w:rFonts w:cs="Times New Roman"/>
                <w:sz w:val="24"/>
                <w:szCs w:val="24"/>
              </w:rPr>
              <w:t>Research &amp; Development</w:t>
            </w:r>
          </w:p>
        </w:tc>
        <w:tc>
          <w:tcPr>
            <w:tcW w:w="2410" w:type="dxa"/>
          </w:tcPr>
          <w:p w14:paraId="4F58133A" w14:textId="77777777" w:rsidR="00403B07" w:rsidRPr="00534DB3" w:rsidRDefault="00403B07" w:rsidP="00B01272">
            <w:pPr>
              <w:rPr>
                <w:rFonts w:cs="Times New Roman"/>
                <w:sz w:val="24"/>
                <w:szCs w:val="24"/>
              </w:rPr>
            </w:pPr>
            <w:r w:rsidRPr="00534DB3">
              <w:rPr>
                <w:rFonts w:cs="Times New Roman"/>
                <w:sz w:val="24"/>
                <w:szCs w:val="24"/>
              </w:rPr>
              <w:t>RD&amp;E Foundation Trust, Exeter</w:t>
            </w:r>
          </w:p>
        </w:tc>
      </w:tr>
      <w:tr w:rsidR="00403B07" w:rsidRPr="00534DB3" w14:paraId="754A0DF2" w14:textId="77777777" w:rsidTr="00B01272">
        <w:tc>
          <w:tcPr>
            <w:tcW w:w="1882" w:type="dxa"/>
          </w:tcPr>
          <w:p w14:paraId="24A3FE32" w14:textId="77777777" w:rsidR="00403B07" w:rsidRPr="00534DB3" w:rsidRDefault="00403B07" w:rsidP="00B01272">
            <w:pPr>
              <w:rPr>
                <w:rFonts w:cs="Times New Roman"/>
                <w:sz w:val="24"/>
                <w:szCs w:val="24"/>
              </w:rPr>
            </w:pPr>
            <w:r w:rsidRPr="00534DB3">
              <w:rPr>
                <w:rFonts w:cs="Times New Roman"/>
                <w:sz w:val="24"/>
                <w:szCs w:val="24"/>
              </w:rPr>
              <w:t>Dr Katrina Wyatt (Principal Investigator)</w:t>
            </w:r>
          </w:p>
        </w:tc>
        <w:tc>
          <w:tcPr>
            <w:tcW w:w="2649" w:type="dxa"/>
          </w:tcPr>
          <w:p w14:paraId="425B946A" w14:textId="77777777" w:rsidR="00403B07" w:rsidRPr="00534DB3" w:rsidRDefault="00403B07" w:rsidP="00B01272">
            <w:pPr>
              <w:rPr>
                <w:rFonts w:cs="Times New Roman"/>
                <w:sz w:val="24"/>
                <w:szCs w:val="24"/>
              </w:rPr>
            </w:pPr>
            <w:r w:rsidRPr="00534DB3">
              <w:rPr>
                <w:rFonts w:cs="Times New Roman"/>
                <w:sz w:val="24"/>
                <w:szCs w:val="24"/>
              </w:rPr>
              <w:t>Associate Professor in Child Health</w:t>
            </w:r>
          </w:p>
        </w:tc>
        <w:tc>
          <w:tcPr>
            <w:tcW w:w="2268" w:type="dxa"/>
          </w:tcPr>
          <w:p w14:paraId="4E597A17" w14:textId="77777777" w:rsidR="00403B07" w:rsidRPr="00534DB3" w:rsidRDefault="00403B07" w:rsidP="00B01272">
            <w:pPr>
              <w:rPr>
                <w:rFonts w:cs="Times New Roman"/>
                <w:sz w:val="24"/>
                <w:szCs w:val="24"/>
              </w:rPr>
            </w:pPr>
            <w:r w:rsidRPr="00534DB3">
              <w:rPr>
                <w:rFonts w:cs="Times New Roman"/>
                <w:sz w:val="24"/>
                <w:szCs w:val="24"/>
              </w:rPr>
              <w:t>Institute for Health Research (Child Health Group)</w:t>
            </w:r>
          </w:p>
        </w:tc>
        <w:tc>
          <w:tcPr>
            <w:tcW w:w="2410" w:type="dxa"/>
          </w:tcPr>
          <w:p w14:paraId="59ADA2C4" w14:textId="77777777" w:rsidR="00403B07" w:rsidRPr="00534DB3" w:rsidRDefault="00403B07" w:rsidP="00B01272">
            <w:pPr>
              <w:rPr>
                <w:rFonts w:cs="Times New Roman"/>
                <w:sz w:val="24"/>
                <w:szCs w:val="24"/>
              </w:rPr>
            </w:pPr>
            <w:r w:rsidRPr="00534DB3">
              <w:rPr>
                <w:rFonts w:cs="Times New Roman"/>
                <w:sz w:val="24"/>
                <w:szCs w:val="24"/>
              </w:rPr>
              <w:t xml:space="preserve">UEMS </w:t>
            </w:r>
          </w:p>
        </w:tc>
      </w:tr>
      <w:tr w:rsidR="00403B07" w:rsidRPr="00534DB3" w14:paraId="53FD788E" w14:textId="77777777" w:rsidTr="00B01272">
        <w:tc>
          <w:tcPr>
            <w:tcW w:w="1882" w:type="dxa"/>
          </w:tcPr>
          <w:p w14:paraId="3505E777" w14:textId="77777777" w:rsidR="00403B07" w:rsidRPr="00534DB3" w:rsidRDefault="00403B07" w:rsidP="00B01272">
            <w:pPr>
              <w:rPr>
                <w:rFonts w:cs="Times New Roman"/>
                <w:sz w:val="24"/>
                <w:szCs w:val="24"/>
              </w:rPr>
            </w:pPr>
            <w:r w:rsidRPr="00534DB3">
              <w:rPr>
                <w:rFonts w:cs="Times New Roman"/>
                <w:sz w:val="24"/>
                <w:szCs w:val="24"/>
              </w:rPr>
              <w:t>Dr Jennifer Lloyd (Trial Manager)</w:t>
            </w:r>
          </w:p>
        </w:tc>
        <w:tc>
          <w:tcPr>
            <w:tcW w:w="2649" w:type="dxa"/>
          </w:tcPr>
          <w:p w14:paraId="3E8D7F19" w14:textId="77777777" w:rsidR="00403B07" w:rsidRPr="00534DB3" w:rsidRDefault="00403B07" w:rsidP="00B01272">
            <w:pPr>
              <w:rPr>
                <w:rFonts w:cs="Times New Roman"/>
                <w:sz w:val="24"/>
                <w:szCs w:val="24"/>
              </w:rPr>
            </w:pPr>
            <w:r w:rsidRPr="00534DB3">
              <w:rPr>
                <w:rFonts w:cs="Times New Roman"/>
                <w:sz w:val="24"/>
                <w:szCs w:val="24"/>
              </w:rPr>
              <w:t>Senior Research Fellow in Child Health</w:t>
            </w:r>
          </w:p>
        </w:tc>
        <w:tc>
          <w:tcPr>
            <w:tcW w:w="2268" w:type="dxa"/>
          </w:tcPr>
          <w:p w14:paraId="5551A4C4" w14:textId="77777777" w:rsidR="00403B07" w:rsidRPr="00534DB3" w:rsidRDefault="00403B07" w:rsidP="00B01272">
            <w:pPr>
              <w:rPr>
                <w:rFonts w:cs="Times New Roman"/>
                <w:sz w:val="24"/>
                <w:szCs w:val="24"/>
              </w:rPr>
            </w:pPr>
            <w:r w:rsidRPr="00534DB3">
              <w:rPr>
                <w:rFonts w:cs="Times New Roman"/>
                <w:sz w:val="24"/>
                <w:szCs w:val="24"/>
              </w:rPr>
              <w:t>Institute for Health Research (Child Health Group)</w:t>
            </w:r>
          </w:p>
        </w:tc>
        <w:tc>
          <w:tcPr>
            <w:tcW w:w="2410" w:type="dxa"/>
          </w:tcPr>
          <w:p w14:paraId="382AE65E" w14:textId="77777777" w:rsidR="00403B07" w:rsidRPr="00534DB3" w:rsidRDefault="00403B07" w:rsidP="00B01272">
            <w:pPr>
              <w:rPr>
                <w:rFonts w:cs="Times New Roman"/>
                <w:sz w:val="24"/>
                <w:szCs w:val="24"/>
              </w:rPr>
            </w:pPr>
            <w:r w:rsidRPr="00534DB3">
              <w:rPr>
                <w:rFonts w:cs="Times New Roman"/>
                <w:sz w:val="24"/>
                <w:szCs w:val="24"/>
              </w:rPr>
              <w:t xml:space="preserve">UEMS </w:t>
            </w:r>
          </w:p>
          <w:p w14:paraId="60D484F4" w14:textId="77777777" w:rsidR="00403B07" w:rsidRPr="00534DB3" w:rsidRDefault="00403B07" w:rsidP="00B01272">
            <w:pPr>
              <w:rPr>
                <w:rFonts w:cs="Times New Roman"/>
                <w:sz w:val="24"/>
                <w:szCs w:val="24"/>
              </w:rPr>
            </w:pPr>
          </w:p>
        </w:tc>
      </w:tr>
      <w:tr w:rsidR="00403B07" w:rsidRPr="00534DB3" w14:paraId="26716803" w14:textId="77777777" w:rsidTr="00B01272">
        <w:tc>
          <w:tcPr>
            <w:tcW w:w="1882" w:type="dxa"/>
          </w:tcPr>
          <w:p w14:paraId="3E06B95A" w14:textId="77777777" w:rsidR="00403B07" w:rsidRPr="00534DB3" w:rsidRDefault="00403B07" w:rsidP="00B01272">
            <w:pPr>
              <w:rPr>
                <w:rFonts w:cs="Times New Roman"/>
                <w:sz w:val="24"/>
                <w:szCs w:val="24"/>
              </w:rPr>
            </w:pPr>
            <w:r w:rsidRPr="00534DB3">
              <w:rPr>
                <w:rFonts w:cs="Times New Roman"/>
                <w:sz w:val="24"/>
                <w:szCs w:val="24"/>
              </w:rPr>
              <w:t>Anne Billington*</w:t>
            </w:r>
          </w:p>
        </w:tc>
        <w:tc>
          <w:tcPr>
            <w:tcW w:w="2649" w:type="dxa"/>
          </w:tcPr>
          <w:p w14:paraId="23017C67" w14:textId="77777777" w:rsidR="00403B07" w:rsidRPr="00534DB3" w:rsidRDefault="00403B07" w:rsidP="00B01272">
            <w:pPr>
              <w:rPr>
                <w:rFonts w:cs="Times New Roman"/>
                <w:sz w:val="24"/>
                <w:szCs w:val="24"/>
              </w:rPr>
            </w:pPr>
            <w:r w:rsidRPr="00534DB3">
              <w:rPr>
                <w:rFonts w:cs="Times New Roman"/>
                <w:sz w:val="24"/>
                <w:szCs w:val="24"/>
              </w:rPr>
              <w:t>Headteacher</w:t>
            </w:r>
          </w:p>
        </w:tc>
        <w:tc>
          <w:tcPr>
            <w:tcW w:w="2268" w:type="dxa"/>
          </w:tcPr>
          <w:p w14:paraId="0B0E3292" w14:textId="77777777" w:rsidR="00403B07" w:rsidRPr="00534DB3" w:rsidRDefault="00403B07" w:rsidP="00B01272">
            <w:pPr>
              <w:rPr>
                <w:rFonts w:cs="Times New Roman"/>
                <w:sz w:val="24"/>
                <w:szCs w:val="24"/>
              </w:rPr>
            </w:pPr>
          </w:p>
        </w:tc>
        <w:tc>
          <w:tcPr>
            <w:tcW w:w="2410" w:type="dxa"/>
          </w:tcPr>
          <w:p w14:paraId="3AB6B287" w14:textId="77777777" w:rsidR="00403B07" w:rsidRDefault="00403B07" w:rsidP="00B01272">
            <w:pPr>
              <w:rPr>
                <w:rFonts w:cs="Times New Roman"/>
                <w:sz w:val="24"/>
                <w:szCs w:val="24"/>
              </w:rPr>
            </w:pPr>
            <w:r w:rsidRPr="00534DB3">
              <w:rPr>
                <w:rFonts w:cs="Times New Roman"/>
                <w:sz w:val="24"/>
                <w:szCs w:val="24"/>
              </w:rPr>
              <w:t>Offwell Primary School</w:t>
            </w:r>
          </w:p>
          <w:p w14:paraId="0DEBB452" w14:textId="77777777" w:rsidR="00403B07" w:rsidRPr="00534DB3" w:rsidRDefault="00403B07" w:rsidP="00B01272">
            <w:pPr>
              <w:rPr>
                <w:rFonts w:cs="Times New Roman"/>
                <w:sz w:val="24"/>
                <w:szCs w:val="24"/>
              </w:rPr>
            </w:pPr>
          </w:p>
        </w:tc>
      </w:tr>
      <w:tr w:rsidR="00403B07" w:rsidRPr="00534DB3" w14:paraId="67C3EF10" w14:textId="77777777" w:rsidTr="00B01272">
        <w:trPr>
          <w:trHeight w:val="750"/>
        </w:trPr>
        <w:tc>
          <w:tcPr>
            <w:tcW w:w="1882" w:type="dxa"/>
          </w:tcPr>
          <w:p w14:paraId="67AFF3BC" w14:textId="77777777" w:rsidR="00403B07" w:rsidRPr="00534DB3" w:rsidRDefault="00403B07" w:rsidP="00B01272">
            <w:pPr>
              <w:rPr>
                <w:rFonts w:cs="Times New Roman"/>
                <w:sz w:val="24"/>
                <w:szCs w:val="24"/>
              </w:rPr>
            </w:pPr>
            <w:r w:rsidRPr="00534DB3">
              <w:rPr>
                <w:rFonts w:cs="Times New Roman"/>
                <w:sz w:val="24"/>
                <w:szCs w:val="24"/>
              </w:rPr>
              <w:t>Claire O’Keeffe*</w:t>
            </w:r>
          </w:p>
        </w:tc>
        <w:tc>
          <w:tcPr>
            <w:tcW w:w="2649" w:type="dxa"/>
          </w:tcPr>
          <w:p w14:paraId="6426596C" w14:textId="77777777" w:rsidR="00403B07" w:rsidRDefault="00403B07" w:rsidP="00B01272">
            <w:pPr>
              <w:rPr>
                <w:rFonts w:cs="Times New Roman"/>
                <w:sz w:val="24"/>
                <w:szCs w:val="24"/>
              </w:rPr>
            </w:pPr>
            <w:r w:rsidRPr="00534DB3">
              <w:rPr>
                <w:rFonts w:cs="Times New Roman"/>
                <w:sz w:val="24"/>
                <w:szCs w:val="24"/>
              </w:rPr>
              <w:t>Parent</w:t>
            </w:r>
          </w:p>
          <w:p w14:paraId="2E41742E" w14:textId="77777777" w:rsidR="00403B07" w:rsidRDefault="00403B07" w:rsidP="00B01272">
            <w:pPr>
              <w:rPr>
                <w:rFonts w:cs="Times New Roman"/>
                <w:sz w:val="24"/>
                <w:szCs w:val="24"/>
              </w:rPr>
            </w:pPr>
          </w:p>
          <w:p w14:paraId="2012CA6D" w14:textId="77777777" w:rsidR="00403B07" w:rsidRPr="00534DB3" w:rsidRDefault="00403B07" w:rsidP="00B01272">
            <w:pPr>
              <w:rPr>
                <w:rFonts w:cs="Times New Roman"/>
                <w:sz w:val="24"/>
                <w:szCs w:val="24"/>
              </w:rPr>
            </w:pPr>
          </w:p>
        </w:tc>
        <w:tc>
          <w:tcPr>
            <w:tcW w:w="2268" w:type="dxa"/>
          </w:tcPr>
          <w:p w14:paraId="0BEC768A" w14:textId="77777777" w:rsidR="00403B07" w:rsidRPr="00534DB3" w:rsidRDefault="00403B07" w:rsidP="00B01272">
            <w:pPr>
              <w:rPr>
                <w:rFonts w:cs="Times New Roman"/>
                <w:sz w:val="24"/>
                <w:szCs w:val="24"/>
              </w:rPr>
            </w:pPr>
          </w:p>
        </w:tc>
        <w:tc>
          <w:tcPr>
            <w:tcW w:w="2410" w:type="dxa"/>
          </w:tcPr>
          <w:p w14:paraId="098C55CA" w14:textId="77777777" w:rsidR="00403B07" w:rsidRPr="00534DB3" w:rsidRDefault="00403B07" w:rsidP="00B01272">
            <w:pPr>
              <w:rPr>
                <w:rFonts w:cs="Times New Roman"/>
                <w:sz w:val="24"/>
                <w:szCs w:val="24"/>
              </w:rPr>
            </w:pPr>
          </w:p>
        </w:tc>
      </w:tr>
    </w:tbl>
    <w:p w14:paraId="62B719FE" w14:textId="77777777" w:rsidR="00403B07" w:rsidRPr="00534DB3" w:rsidRDefault="00403B07" w:rsidP="00403B07"/>
    <w:p w14:paraId="256D15AB" w14:textId="77777777" w:rsidR="00403B07" w:rsidRPr="00534DB3" w:rsidRDefault="00403B07" w:rsidP="00403B07">
      <w:pPr>
        <w:rPr>
          <w:rFonts w:cs="Arial"/>
          <w:sz w:val="24"/>
          <w:szCs w:val="24"/>
        </w:rPr>
      </w:pPr>
      <w:r w:rsidRPr="00534DB3">
        <w:rPr>
          <w:rFonts w:cs="Arial"/>
          <w:sz w:val="24"/>
          <w:szCs w:val="24"/>
        </w:rPr>
        <w:t>*Independent members</w:t>
      </w:r>
    </w:p>
    <w:p w14:paraId="64E50647" w14:textId="77777777" w:rsidR="00403B07" w:rsidRPr="001C4036" w:rsidRDefault="00403B07" w:rsidP="00AB4D98">
      <w:pPr>
        <w:pStyle w:val="Heading1"/>
      </w:pPr>
      <w:r w:rsidRPr="001C4036">
        <w:rPr>
          <w:rFonts w:ascii="Arial" w:hAnsi="Arial"/>
        </w:rPr>
        <w:br w:type="page"/>
      </w:r>
      <w:bookmarkStart w:id="664" w:name="_Toc475974409"/>
      <w:r w:rsidRPr="001C4036">
        <w:lastRenderedPageBreak/>
        <w:t>Appendix 2 Food Intake Questionnaires</w:t>
      </w:r>
      <w:bookmarkEnd w:id="664"/>
    </w:p>
    <w:p w14:paraId="412EC4BC" w14:textId="77777777" w:rsidR="00403B07" w:rsidRPr="001C4036" w:rsidRDefault="00403B07" w:rsidP="000E6BCF">
      <w:pPr>
        <w:rPr>
          <w:rFonts w:cs="Arial"/>
          <w:b/>
          <w:i/>
        </w:rPr>
      </w:pPr>
      <w:r w:rsidRPr="001C4036">
        <w:rPr>
          <w:rFonts w:cs="Arial"/>
          <w:b/>
          <w:i/>
        </w:rPr>
        <w:t xml:space="preserve">Appendix 2 (a) Food Intake Questionnaire Weekday </w:t>
      </w:r>
    </w:p>
    <w:p w14:paraId="3A3E2C33" w14:textId="77777777" w:rsidR="00403B07" w:rsidRDefault="00403B07" w:rsidP="00403B07"/>
    <w:p w14:paraId="7E327A70" w14:textId="77777777" w:rsidR="00403B07" w:rsidRPr="00C46269" w:rsidRDefault="00403B07" w:rsidP="00403B07">
      <w:r>
        <w:rPr>
          <w:noProof/>
          <w:lang w:eastAsia="zh-CN"/>
        </w:rPr>
        <w:drawing>
          <wp:inline distT="0" distB="0" distL="0" distR="0" wp14:anchorId="0EF0BB64" wp14:editId="4451A58C">
            <wp:extent cx="5277956" cy="7581900"/>
            <wp:effectExtent l="0" t="0" r="0" b="0"/>
            <wp:docPr id="695" name="Picture 695" descr="K:\Health and Social Care\Child Health\HeLP\HeLP DEFINITIVE TRIAL\Info for the HeLP Coordinators\2. Data collection\FIQ\FIQ WEEK A4\FIQ WEEK A4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ealth and Social Care\Child Health\HeLP\HeLP DEFINITIVE TRIAL\Info for the HeLP Coordinators\2. Data collection\FIQ\FIQ WEEK A4\FIQ WEEK A4_Page_1.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0537" t="-480"/>
                    <a:stretch/>
                  </pic:blipFill>
                  <pic:spPr bwMode="auto">
                    <a:xfrm>
                      <a:off x="0" y="0"/>
                      <a:ext cx="5305897" cy="7622039"/>
                    </a:xfrm>
                    <a:prstGeom prst="rect">
                      <a:avLst/>
                    </a:prstGeom>
                    <a:noFill/>
                    <a:ln>
                      <a:noFill/>
                    </a:ln>
                    <a:extLst>
                      <a:ext uri="{53640926-AAD7-44D8-BBD7-CCE9431645EC}">
                        <a14:shadowObscured xmlns:a14="http://schemas.microsoft.com/office/drawing/2010/main"/>
                      </a:ext>
                    </a:extLst>
                  </pic:spPr>
                </pic:pic>
              </a:graphicData>
            </a:graphic>
          </wp:inline>
        </w:drawing>
      </w:r>
    </w:p>
    <w:p w14:paraId="17E9D81E" w14:textId="77777777" w:rsidR="00615FBF" w:rsidRDefault="00615FBF">
      <w:pPr>
        <w:rPr>
          <w:rFonts w:cs="Arial"/>
          <w:b/>
          <w:i/>
        </w:rPr>
      </w:pPr>
      <w:r>
        <w:rPr>
          <w:rFonts w:cs="Arial"/>
          <w:b/>
          <w:i/>
        </w:rPr>
        <w:br w:type="page"/>
      </w:r>
    </w:p>
    <w:p w14:paraId="719019B0" w14:textId="5C648908" w:rsidR="00403B07" w:rsidRPr="006347FD" w:rsidRDefault="00403B07" w:rsidP="00403B07">
      <w:pPr>
        <w:rPr>
          <w:rFonts w:cs="Arial"/>
          <w:b/>
          <w:i/>
        </w:rPr>
      </w:pPr>
      <w:r w:rsidRPr="006347FD">
        <w:rPr>
          <w:rFonts w:cs="Arial"/>
          <w:b/>
          <w:i/>
        </w:rPr>
        <w:lastRenderedPageBreak/>
        <w:t>Appendix 2 (a) Food Intake Questionnaire Weekday (continued)</w:t>
      </w:r>
    </w:p>
    <w:p w14:paraId="403670A5" w14:textId="77777777" w:rsidR="00403B07" w:rsidRDefault="00403B07" w:rsidP="00403B07">
      <w:r>
        <w:rPr>
          <w:noProof/>
          <w:lang w:eastAsia="zh-CN"/>
        </w:rPr>
        <w:drawing>
          <wp:inline distT="0" distB="0" distL="0" distR="0" wp14:anchorId="0B48CADF" wp14:editId="029B8CC8">
            <wp:extent cx="6188583" cy="8458200"/>
            <wp:effectExtent l="0" t="0" r="0" b="0"/>
            <wp:docPr id="696" name="Picture 696" descr="K:\Health and Social Care\Child Health\HeLP\HeLP DEFINITIVE TRIAL\Info for the HeLP Coordinators\2. Data collection\FIQ\FIQ WEEK A4\FIQ WEEK A4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Health and Social Care\Child Health\HeLP\HeLP DEFINITIVE TRIAL\Info for the HeLP Coordinators\2. Data collection\FIQ\FIQ WEEK A4\FIQ WEEK A4_Page_2.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 r="48353" b="166"/>
                    <a:stretch/>
                  </pic:blipFill>
                  <pic:spPr bwMode="auto">
                    <a:xfrm>
                      <a:off x="0" y="0"/>
                      <a:ext cx="6209010" cy="8486118"/>
                    </a:xfrm>
                    <a:prstGeom prst="rect">
                      <a:avLst/>
                    </a:prstGeom>
                    <a:noFill/>
                    <a:ln>
                      <a:noFill/>
                    </a:ln>
                    <a:extLst>
                      <a:ext uri="{53640926-AAD7-44D8-BBD7-CCE9431645EC}">
                        <a14:shadowObscured xmlns:a14="http://schemas.microsoft.com/office/drawing/2010/main"/>
                      </a:ext>
                    </a:extLst>
                  </pic:spPr>
                </pic:pic>
              </a:graphicData>
            </a:graphic>
          </wp:inline>
        </w:drawing>
      </w:r>
    </w:p>
    <w:p w14:paraId="655AFDBE" w14:textId="77777777" w:rsidR="00E62DF7" w:rsidRDefault="00E62DF7" w:rsidP="00403B07">
      <w:pPr>
        <w:rPr>
          <w:rFonts w:cs="Arial"/>
          <w:b/>
          <w:i/>
        </w:rPr>
        <w:sectPr w:rsidR="00E62DF7" w:rsidSect="00B01272">
          <w:footerReference w:type="default" r:id="rId28"/>
          <w:pgSz w:w="11906" w:h="16838"/>
          <w:pgMar w:top="720" w:right="720" w:bottom="720" w:left="1077" w:header="454" w:footer="0" w:gutter="0"/>
          <w:cols w:space="708"/>
          <w:docGrid w:linePitch="360"/>
        </w:sectPr>
      </w:pPr>
    </w:p>
    <w:p w14:paraId="038C3F97" w14:textId="2BAB4AA2" w:rsidR="00403B07" w:rsidRPr="006347FD" w:rsidRDefault="00403B07" w:rsidP="00403B07">
      <w:pPr>
        <w:rPr>
          <w:rFonts w:cs="Arial"/>
          <w:b/>
          <w:i/>
        </w:rPr>
      </w:pPr>
      <w:r w:rsidRPr="006347FD">
        <w:rPr>
          <w:rFonts w:cs="Arial"/>
          <w:b/>
          <w:i/>
        </w:rPr>
        <w:lastRenderedPageBreak/>
        <w:t>Appendix 2 (a) Food Intake Questionnaire Weekday (continued)</w:t>
      </w:r>
    </w:p>
    <w:p w14:paraId="36702892" w14:textId="77777777" w:rsidR="00403B07" w:rsidRDefault="00403B07" w:rsidP="00403B07">
      <w:r>
        <w:rPr>
          <w:noProof/>
          <w:lang w:eastAsia="zh-CN"/>
        </w:rPr>
        <w:drawing>
          <wp:inline distT="0" distB="0" distL="0" distR="0" wp14:anchorId="247477E0" wp14:editId="23278E17">
            <wp:extent cx="6005760" cy="8458200"/>
            <wp:effectExtent l="0" t="0" r="0" b="0"/>
            <wp:docPr id="697" name="Picture 697" descr="K:\Health and Social Care\Child Health\HeLP\HeLP DEFINITIVE TRIAL\Info for the HeLP Coordinators\2. Data collection\FIQ\FIQ WEEK A4\FIQ WEEK A4_Pag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Health and Social Care\Child Health\HeLP\HeLP DEFINITIVE TRIAL\Info for the HeLP Coordinators\2. Data collection\FIQ\FIQ WEEK A4\FIQ WEEK A4_Page_3.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9947" t="316" b="1"/>
                    <a:stretch/>
                  </pic:blipFill>
                  <pic:spPr bwMode="auto">
                    <a:xfrm>
                      <a:off x="0" y="0"/>
                      <a:ext cx="6013739" cy="8469437"/>
                    </a:xfrm>
                    <a:prstGeom prst="rect">
                      <a:avLst/>
                    </a:prstGeom>
                    <a:noFill/>
                    <a:ln>
                      <a:noFill/>
                    </a:ln>
                    <a:extLst>
                      <a:ext uri="{53640926-AAD7-44D8-BBD7-CCE9431645EC}">
                        <a14:shadowObscured xmlns:a14="http://schemas.microsoft.com/office/drawing/2010/main"/>
                      </a:ext>
                    </a:extLst>
                  </pic:spPr>
                </pic:pic>
              </a:graphicData>
            </a:graphic>
          </wp:inline>
        </w:drawing>
      </w:r>
    </w:p>
    <w:p w14:paraId="3E018BFF" w14:textId="77777777" w:rsidR="00615FBF" w:rsidRDefault="00615FBF">
      <w:pPr>
        <w:rPr>
          <w:rFonts w:cs="Arial"/>
          <w:b/>
          <w:i/>
        </w:rPr>
      </w:pPr>
      <w:r>
        <w:rPr>
          <w:rFonts w:cs="Arial"/>
          <w:b/>
          <w:i/>
        </w:rPr>
        <w:br w:type="page"/>
      </w:r>
    </w:p>
    <w:p w14:paraId="07D14308" w14:textId="67E7ADC0" w:rsidR="00403B07" w:rsidRPr="006347FD" w:rsidRDefault="00403B07" w:rsidP="00403B07">
      <w:pPr>
        <w:rPr>
          <w:rFonts w:cs="Arial"/>
          <w:b/>
          <w:i/>
        </w:rPr>
      </w:pPr>
      <w:r w:rsidRPr="006347FD">
        <w:rPr>
          <w:rFonts w:cs="Arial"/>
          <w:b/>
          <w:i/>
        </w:rPr>
        <w:lastRenderedPageBreak/>
        <w:t>Appendix 2 (a) Food Intake Questionnaire Weekday (continued)</w:t>
      </w:r>
    </w:p>
    <w:p w14:paraId="02054328" w14:textId="77777777" w:rsidR="00403B07" w:rsidRDefault="00403B07" w:rsidP="00403B07">
      <w:r>
        <w:rPr>
          <w:noProof/>
          <w:lang w:eastAsia="zh-CN"/>
        </w:rPr>
        <w:drawing>
          <wp:inline distT="0" distB="0" distL="0" distR="0" wp14:anchorId="3F82DE4C" wp14:editId="1A96F090">
            <wp:extent cx="5143500" cy="7317685"/>
            <wp:effectExtent l="0" t="0" r="0" b="0"/>
            <wp:docPr id="699" name="Picture 699" descr="K:\Health and Social Care\Child Health\HeLP\HeLP DEFINITIVE TRIAL\Info for the HeLP Coordinators\2. Data collection\FIQ\FIQ WEEK A4\FIQ WEEK A4_Pag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Health and Social Care\Child Health\HeLP\HeLP DEFINITIVE TRIAL\Info for the HeLP Coordinators\2. Data collection\FIQ\FIQ WEEK A4\FIQ WEEK A4_Page_4.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50475" b="349"/>
                    <a:stretch/>
                  </pic:blipFill>
                  <pic:spPr bwMode="auto">
                    <a:xfrm>
                      <a:off x="0" y="0"/>
                      <a:ext cx="5147072" cy="7322766"/>
                    </a:xfrm>
                    <a:prstGeom prst="rect">
                      <a:avLst/>
                    </a:prstGeom>
                    <a:noFill/>
                    <a:ln>
                      <a:noFill/>
                    </a:ln>
                    <a:extLst>
                      <a:ext uri="{53640926-AAD7-44D8-BBD7-CCE9431645EC}">
                        <a14:shadowObscured xmlns:a14="http://schemas.microsoft.com/office/drawing/2010/main"/>
                      </a:ext>
                    </a:extLst>
                  </pic:spPr>
                </pic:pic>
              </a:graphicData>
            </a:graphic>
          </wp:inline>
        </w:drawing>
      </w:r>
    </w:p>
    <w:p w14:paraId="1EEE0051" w14:textId="77777777" w:rsidR="00403B07" w:rsidRDefault="00403B07" w:rsidP="00403B07"/>
    <w:p w14:paraId="2B8EF267" w14:textId="77777777" w:rsidR="00403B07" w:rsidRDefault="00403B07" w:rsidP="00403B07"/>
    <w:p w14:paraId="25F63522" w14:textId="77777777" w:rsidR="00403B07" w:rsidRDefault="00403B07" w:rsidP="00403B07"/>
    <w:p w14:paraId="4D704A85" w14:textId="77777777" w:rsidR="00615FBF" w:rsidRDefault="00615FBF">
      <w:pPr>
        <w:rPr>
          <w:rFonts w:cs="Arial"/>
          <w:b/>
          <w:i/>
        </w:rPr>
      </w:pPr>
      <w:r>
        <w:rPr>
          <w:rFonts w:cs="Arial"/>
          <w:b/>
          <w:i/>
        </w:rPr>
        <w:br w:type="page"/>
      </w:r>
    </w:p>
    <w:p w14:paraId="7161196A" w14:textId="71EDDE26" w:rsidR="00403B07" w:rsidRPr="006347FD" w:rsidRDefault="00403B07" w:rsidP="00403B07">
      <w:pPr>
        <w:rPr>
          <w:rFonts w:cs="Arial"/>
          <w:b/>
          <w:i/>
        </w:rPr>
      </w:pPr>
      <w:r w:rsidRPr="006347FD">
        <w:rPr>
          <w:rFonts w:cs="Arial"/>
          <w:b/>
          <w:i/>
        </w:rPr>
        <w:lastRenderedPageBreak/>
        <w:t>Appendix 2 (a) Food Intake Questionnaire Weekday (continued)</w:t>
      </w:r>
    </w:p>
    <w:p w14:paraId="3518DCF6" w14:textId="77777777" w:rsidR="00403B07" w:rsidRDefault="00403B07" w:rsidP="00403B07"/>
    <w:p w14:paraId="15E1A11C" w14:textId="77777777" w:rsidR="00403B07" w:rsidRDefault="00403B07" w:rsidP="00403B07">
      <w:r>
        <w:rPr>
          <w:noProof/>
          <w:lang w:eastAsia="zh-CN"/>
        </w:rPr>
        <w:drawing>
          <wp:inline distT="0" distB="0" distL="0" distR="0" wp14:anchorId="2B978DD2" wp14:editId="70286C08">
            <wp:extent cx="5555384" cy="8058150"/>
            <wp:effectExtent l="0" t="0" r="0" b="0"/>
            <wp:docPr id="702" name="Picture 702" descr="K:\Health and Social Care\Child Health\HeLP\HeLP DEFINITIVE TRIAL\Info for the HeLP Coordinators\2. Data collection\FIQ\FIQ WEEK A4\FIQ WEEK A4_Pag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ealth and Social Care\Child Health\HeLP\HeLP DEFINITIVE TRIAL\Info for the HeLP Coordinators\2. Data collection\FIQ\FIQ WEEK A4\FIQ WEEK A4_Page_4.png"/>
                    <pic:cNvPicPr>
                      <a:picLocks noChangeAspect="1" noChangeArrowheads="1"/>
                    </pic:cNvPicPr>
                  </pic:nvPicPr>
                  <pic:blipFill rotWithShape="1">
                    <a:blip r:embed="rId30">
                      <a:extLst>
                        <a:ext uri="{28A0092B-C50C-407E-A947-70E740481C1C}">
                          <a14:useLocalDpi xmlns:a14="http://schemas.microsoft.com/office/drawing/2010/main" val="0"/>
                        </a:ext>
                      </a:extLst>
                    </a:blip>
                    <a:srcRect l="51248"/>
                    <a:stretch/>
                  </pic:blipFill>
                  <pic:spPr bwMode="auto">
                    <a:xfrm>
                      <a:off x="0" y="0"/>
                      <a:ext cx="5561446" cy="8066944"/>
                    </a:xfrm>
                    <a:prstGeom prst="rect">
                      <a:avLst/>
                    </a:prstGeom>
                    <a:noFill/>
                    <a:ln>
                      <a:noFill/>
                    </a:ln>
                    <a:extLst>
                      <a:ext uri="{53640926-AAD7-44D8-BBD7-CCE9431645EC}">
                        <a14:shadowObscured xmlns:a14="http://schemas.microsoft.com/office/drawing/2010/main"/>
                      </a:ext>
                    </a:extLst>
                  </pic:spPr>
                </pic:pic>
              </a:graphicData>
            </a:graphic>
          </wp:inline>
        </w:drawing>
      </w:r>
    </w:p>
    <w:p w14:paraId="04D35494" w14:textId="77777777" w:rsidR="008771B2" w:rsidRDefault="008771B2" w:rsidP="00403B07">
      <w:pPr>
        <w:rPr>
          <w:rFonts w:cs="Arial"/>
          <w:b/>
          <w:i/>
        </w:rPr>
        <w:sectPr w:rsidR="008771B2" w:rsidSect="00B01272">
          <w:pgSz w:w="11906" w:h="16838"/>
          <w:pgMar w:top="720" w:right="720" w:bottom="720" w:left="1077" w:header="454" w:footer="0" w:gutter="0"/>
          <w:cols w:space="708"/>
          <w:docGrid w:linePitch="360"/>
        </w:sectPr>
      </w:pPr>
    </w:p>
    <w:p w14:paraId="0BEE7D8D" w14:textId="06805897" w:rsidR="00403B07" w:rsidRPr="006347FD" w:rsidRDefault="00403B07" w:rsidP="00403B07">
      <w:pPr>
        <w:rPr>
          <w:rFonts w:cs="Arial"/>
          <w:b/>
          <w:i/>
        </w:rPr>
      </w:pPr>
      <w:r w:rsidRPr="006347FD">
        <w:rPr>
          <w:rFonts w:cs="Arial"/>
          <w:b/>
          <w:i/>
        </w:rPr>
        <w:lastRenderedPageBreak/>
        <w:t>Appendix 2 (a) Food Intake Questionnaire Weekday (continued)</w:t>
      </w:r>
    </w:p>
    <w:p w14:paraId="57533D8C" w14:textId="77777777" w:rsidR="00403B07" w:rsidRDefault="00403B07" w:rsidP="00403B07">
      <w:r>
        <w:rPr>
          <w:noProof/>
          <w:lang w:eastAsia="zh-CN"/>
        </w:rPr>
        <w:drawing>
          <wp:inline distT="0" distB="0" distL="0" distR="0" wp14:anchorId="59C55854" wp14:editId="02DA7E3D">
            <wp:extent cx="5694235" cy="8020050"/>
            <wp:effectExtent l="0" t="0" r="0" b="0"/>
            <wp:docPr id="703" name="Picture 703" descr="K:\Health and Social Care\Child Health\HeLP\HeLP DEFINITIVE TRIAL\Info for the HeLP Coordinators\2. Data collection\FIQ\FIQ WEEK A4\FIQ WEEK A4_Pag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ealth and Social Care\Child Health\HeLP\HeLP DEFINITIVE TRIAL\Info for the HeLP Coordinators\2. Data collection\FIQ\FIQ WEEK A4\FIQ WEEK A4_Page_3.png"/>
                    <pic:cNvPicPr>
                      <a:picLocks noChangeAspect="1" noChangeArrowheads="1"/>
                    </pic:cNvPicPr>
                  </pic:nvPicPr>
                  <pic:blipFill rotWithShape="1">
                    <a:blip r:embed="rId29">
                      <a:extLst>
                        <a:ext uri="{28A0092B-C50C-407E-A947-70E740481C1C}">
                          <a14:useLocalDpi xmlns:a14="http://schemas.microsoft.com/office/drawing/2010/main" val="0"/>
                        </a:ext>
                      </a:extLst>
                    </a:blip>
                    <a:srcRect t="1" r="49882" b="166"/>
                    <a:stretch/>
                  </pic:blipFill>
                  <pic:spPr bwMode="auto">
                    <a:xfrm>
                      <a:off x="0" y="0"/>
                      <a:ext cx="5709175" cy="8041093"/>
                    </a:xfrm>
                    <a:prstGeom prst="rect">
                      <a:avLst/>
                    </a:prstGeom>
                    <a:noFill/>
                    <a:ln>
                      <a:noFill/>
                    </a:ln>
                    <a:extLst>
                      <a:ext uri="{53640926-AAD7-44D8-BBD7-CCE9431645EC}">
                        <a14:shadowObscured xmlns:a14="http://schemas.microsoft.com/office/drawing/2010/main"/>
                      </a:ext>
                    </a:extLst>
                  </pic:spPr>
                </pic:pic>
              </a:graphicData>
            </a:graphic>
          </wp:inline>
        </w:drawing>
      </w:r>
    </w:p>
    <w:p w14:paraId="2F6D0DF6" w14:textId="77777777" w:rsidR="00403B07" w:rsidRDefault="00403B07" w:rsidP="00403B07">
      <w:pPr>
        <w:rPr>
          <w:i/>
        </w:rPr>
      </w:pPr>
      <w:r>
        <w:rPr>
          <w:i/>
        </w:rPr>
        <w:br w:type="page"/>
      </w:r>
    </w:p>
    <w:p w14:paraId="05BD51A4" w14:textId="77777777" w:rsidR="00403B07" w:rsidRPr="00C46269" w:rsidRDefault="00403B07" w:rsidP="00403B07">
      <w:pPr>
        <w:rPr>
          <w:rFonts w:cs="Arial"/>
          <w:b/>
          <w:sz w:val="24"/>
          <w:szCs w:val="24"/>
        </w:rPr>
      </w:pPr>
      <w:r w:rsidRPr="00C46269">
        <w:rPr>
          <w:rFonts w:cs="Arial"/>
          <w:b/>
          <w:sz w:val="24"/>
          <w:szCs w:val="24"/>
        </w:rPr>
        <w:lastRenderedPageBreak/>
        <w:t>Appendix 2 Food Intake Questionnaires</w:t>
      </w:r>
    </w:p>
    <w:p w14:paraId="4AF1A7B1" w14:textId="77777777" w:rsidR="00403B07" w:rsidRPr="001C4036" w:rsidRDefault="00403B07" w:rsidP="000E6BCF">
      <w:pPr>
        <w:rPr>
          <w:b/>
          <w:i/>
        </w:rPr>
      </w:pPr>
      <w:r w:rsidRPr="001C4036">
        <w:rPr>
          <w:rFonts w:cs="Arial"/>
          <w:b/>
          <w:i/>
        </w:rPr>
        <w:t xml:space="preserve">Appendix 2 (b) Food Intake Questionnaire Weekend </w:t>
      </w:r>
    </w:p>
    <w:p w14:paraId="33BB0419" w14:textId="77777777" w:rsidR="00403B07" w:rsidRPr="001C4036" w:rsidRDefault="00403B07" w:rsidP="00403B07"/>
    <w:p w14:paraId="289901E9" w14:textId="77777777" w:rsidR="00403B07" w:rsidRDefault="00403B07" w:rsidP="00403B07">
      <w:r>
        <w:rPr>
          <w:noProof/>
          <w:lang w:eastAsia="zh-CN"/>
        </w:rPr>
        <w:drawing>
          <wp:inline distT="0" distB="0" distL="0" distR="0" wp14:anchorId="132996F8" wp14:editId="3D917366">
            <wp:extent cx="5686425" cy="7854124"/>
            <wp:effectExtent l="0" t="0" r="0" b="0"/>
            <wp:docPr id="59" name="Picture 59" descr="K:\Health and Social Care\Child Health\HeLP\HeLP DEFINITIVE TRIAL\Info for the HeLP Coordinators\2. Data collection\FIQ\FIQ WEEKEND A4\FIQ WEEKEND A4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ealth and Social Care\Child Health\HeLP\HeLP DEFINITIVE TRIAL\Info for the HeLP Coordinators\2. Data collection\FIQ\FIQ WEEKEND A4\FIQ WEEKEND A4_Page_1.png"/>
                    <pic:cNvPicPr>
                      <a:picLocks noChangeAspect="1" noChangeArrowheads="1"/>
                    </pic:cNvPicPr>
                  </pic:nvPicPr>
                  <pic:blipFill rotWithShape="1">
                    <a:blip r:embed="rId31">
                      <a:extLst>
                        <a:ext uri="{28A0092B-C50C-407E-A947-70E740481C1C}">
                          <a14:useLocalDpi xmlns:a14="http://schemas.microsoft.com/office/drawing/2010/main" val="0"/>
                        </a:ext>
                      </a:extLst>
                    </a:blip>
                    <a:srcRect l="49336" t="1044"/>
                    <a:stretch/>
                  </pic:blipFill>
                  <pic:spPr bwMode="auto">
                    <a:xfrm>
                      <a:off x="0" y="0"/>
                      <a:ext cx="5693301" cy="7863622"/>
                    </a:xfrm>
                    <a:prstGeom prst="rect">
                      <a:avLst/>
                    </a:prstGeom>
                    <a:noFill/>
                    <a:ln>
                      <a:noFill/>
                    </a:ln>
                    <a:extLst>
                      <a:ext uri="{53640926-AAD7-44D8-BBD7-CCE9431645EC}">
                        <a14:shadowObscured xmlns:a14="http://schemas.microsoft.com/office/drawing/2010/main"/>
                      </a:ext>
                    </a:extLst>
                  </pic:spPr>
                </pic:pic>
              </a:graphicData>
            </a:graphic>
          </wp:inline>
        </w:drawing>
      </w:r>
    </w:p>
    <w:p w14:paraId="3A693551" w14:textId="77777777" w:rsidR="003A0CA3" w:rsidRDefault="003A0CA3" w:rsidP="00403B07">
      <w:pPr>
        <w:rPr>
          <w:rFonts w:cs="Arial"/>
          <w:b/>
          <w:i/>
        </w:rPr>
      </w:pPr>
    </w:p>
    <w:p w14:paraId="712F49A7" w14:textId="77777777" w:rsidR="003A0CA3" w:rsidRDefault="003A0CA3" w:rsidP="00403B07">
      <w:pPr>
        <w:rPr>
          <w:rFonts w:cs="Arial"/>
          <w:b/>
          <w:i/>
        </w:rPr>
      </w:pPr>
    </w:p>
    <w:p w14:paraId="10EAFE6C" w14:textId="77777777" w:rsidR="00403B07" w:rsidRPr="006347FD" w:rsidRDefault="00403B07" w:rsidP="00403B07">
      <w:pPr>
        <w:rPr>
          <w:rFonts w:cs="Arial"/>
          <w:b/>
          <w:i/>
        </w:rPr>
      </w:pPr>
      <w:r w:rsidRPr="006347FD">
        <w:rPr>
          <w:rFonts w:cs="Arial"/>
          <w:b/>
          <w:i/>
        </w:rPr>
        <w:lastRenderedPageBreak/>
        <w:t>Appendix 2 (b) Food Intake Questionnaire Weekend (continued)</w:t>
      </w:r>
    </w:p>
    <w:p w14:paraId="222F203F" w14:textId="77777777" w:rsidR="00403B07" w:rsidRDefault="00403B07" w:rsidP="00403B07">
      <w:r>
        <w:rPr>
          <w:noProof/>
          <w:lang w:eastAsia="zh-CN"/>
        </w:rPr>
        <w:drawing>
          <wp:inline distT="0" distB="0" distL="0" distR="0" wp14:anchorId="1004EF97" wp14:editId="28683E09">
            <wp:extent cx="5896946" cy="7800975"/>
            <wp:effectExtent l="0" t="0" r="8890" b="0"/>
            <wp:docPr id="60" name="Picture 60" descr="K:\Health and Social Care\Child Health\HeLP\HeLP DEFINITIVE TRIAL\Info for the HeLP Coordinators\2. Data collection\FIQ\FIQ WEEKEND A4\FIQ WEEKEND A4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Health and Social Care\Child Health\HeLP\HeLP DEFINITIVE TRIAL\Info for the HeLP Coordinators\2. Data collection\FIQ\FIQ WEEKEND A4\FIQ WEEKEND A4_Page_2.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 r="46922" b="704"/>
                    <a:stretch/>
                  </pic:blipFill>
                  <pic:spPr bwMode="auto">
                    <a:xfrm>
                      <a:off x="0" y="0"/>
                      <a:ext cx="5898935" cy="7803606"/>
                    </a:xfrm>
                    <a:prstGeom prst="rect">
                      <a:avLst/>
                    </a:prstGeom>
                    <a:noFill/>
                    <a:ln>
                      <a:noFill/>
                    </a:ln>
                    <a:extLst>
                      <a:ext uri="{53640926-AAD7-44D8-BBD7-CCE9431645EC}">
                        <a14:shadowObscured xmlns:a14="http://schemas.microsoft.com/office/drawing/2010/main"/>
                      </a:ext>
                    </a:extLst>
                  </pic:spPr>
                </pic:pic>
              </a:graphicData>
            </a:graphic>
          </wp:inline>
        </w:drawing>
      </w:r>
    </w:p>
    <w:p w14:paraId="04F4CE68" w14:textId="77777777" w:rsidR="00403B07" w:rsidRDefault="00403B07" w:rsidP="00403B07"/>
    <w:p w14:paraId="3E9F2421" w14:textId="77777777" w:rsidR="00403B07" w:rsidRDefault="00403B07" w:rsidP="00403B07"/>
    <w:p w14:paraId="576F83A5" w14:textId="77777777" w:rsidR="003A0CA3" w:rsidRDefault="003A0CA3">
      <w:pPr>
        <w:rPr>
          <w:rFonts w:cs="Arial"/>
          <w:b/>
          <w:i/>
        </w:rPr>
      </w:pPr>
      <w:r>
        <w:rPr>
          <w:rFonts w:cs="Arial"/>
          <w:b/>
          <w:i/>
        </w:rPr>
        <w:br w:type="page"/>
      </w:r>
    </w:p>
    <w:p w14:paraId="7A39D03D" w14:textId="3E2974B8" w:rsidR="00403B07" w:rsidRPr="006347FD" w:rsidRDefault="00403B07" w:rsidP="00403B07">
      <w:pPr>
        <w:rPr>
          <w:rFonts w:cs="Arial"/>
          <w:b/>
          <w:i/>
        </w:rPr>
      </w:pPr>
      <w:r w:rsidRPr="006347FD">
        <w:rPr>
          <w:rFonts w:cs="Arial"/>
          <w:b/>
          <w:i/>
        </w:rPr>
        <w:lastRenderedPageBreak/>
        <w:t>Appendix 2 (b) Food Intake Questionnaire Weekend (continued)</w:t>
      </w:r>
    </w:p>
    <w:p w14:paraId="16F6B497" w14:textId="77777777" w:rsidR="00403B07" w:rsidRDefault="00403B07" w:rsidP="00403B07">
      <w:r>
        <w:rPr>
          <w:noProof/>
          <w:lang w:eastAsia="zh-CN"/>
        </w:rPr>
        <w:drawing>
          <wp:inline distT="0" distB="0" distL="0" distR="0" wp14:anchorId="4220B25D" wp14:editId="7B67847B">
            <wp:extent cx="5729367" cy="8343900"/>
            <wp:effectExtent l="0" t="0" r="5080" b="0"/>
            <wp:docPr id="61" name="Picture 61" descr="K:\Health and Social Care\Child Health\HeLP\HeLP DEFINITIVE TRIAL\Info for the HeLP Coordinators\2. Data collection\FIQ\FIQ WEEKEND A4\FIQ WEEKEND A4_Pag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ealth and Social Care\Child Health\HeLP\HeLP DEFINITIVE TRIAL\Info for the HeLP Coordinators\2. Data collection\FIQ\FIQ WEEKEND A4\FIQ WEEKEND A4_Page_3.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1443"/>
                    <a:stretch/>
                  </pic:blipFill>
                  <pic:spPr bwMode="auto">
                    <a:xfrm>
                      <a:off x="0" y="0"/>
                      <a:ext cx="5742459" cy="8362966"/>
                    </a:xfrm>
                    <a:prstGeom prst="rect">
                      <a:avLst/>
                    </a:prstGeom>
                    <a:noFill/>
                    <a:ln>
                      <a:noFill/>
                    </a:ln>
                    <a:extLst>
                      <a:ext uri="{53640926-AAD7-44D8-BBD7-CCE9431645EC}">
                        <a14:shadowObscured xmlns:a14="http://schemas.microsoft.com/office/drawing/2010/main"/>
                      </a:ext>
                    </a:extLst>
                  </pic:spPr>
                </pic:pic>
              </a:graphicData>
            </a:graphic>
          </wp:inline>
        </w:drawing>
      </w:r>
    </w:p>
    <w:p w14:paraId="029A2C65" w14:textId="77777777" w:rsidR="003A0CA3" w:rsidRDefault="003A0CA3" w:rsidP="00403B07">
      <w:pPr>
        <w:rPr>
          <w:rFonts w:cs="Arial"/>
          <w:b/>
          <w:i/>
        </w:rPr>
      </w:pPr>
    </w:p>
    <w:p w14:paraId="6FA5D1A4" w14:textId="77777777" w:rsidR="003A0CA3" w:rsidRDefault="003A0CA3" w:rsidP="00403B07">
      <w:pPr>
        <w:rPr>
          <w:rFonts w:cs="Arial"/>
          <w:b/>
          <w:i/>
        </w:rPr>
      </w:pPr>
    </w:p>
    <w:p w14:paraId="47686E33" w14:textId="77777777" w:rsidR="003A0CA3" w:rsidRDefault="003A0CA3" w:rsidP="00403B07">
      <w:pPr>
        <w:rPr>
          <w:rFonts w:cs="Arial"/>
          <w:b/>
          <w:i/>
        </w:rPr>
      </w:pPr>
    </w:p>
    <w:p w14:paraId="0C588168" w14:textId="77777777" w:rsidR="003A0CA3" w:rsidRDefault="003A0CA3" w:rsidP="00403B07">
      <w:pPr>
        <w:rPr>
          <w:rFonts w:cs="Arial"/>
          <w:b/>
          <w:i/>
        </w:rPr>
      </w:pPr>
    </w:p>
    <w:p w14:paraId="117AC539" w14:textId="77777777" w:rsidR="00403B07" w:rsidRPr="006347FD" w:rsidRDefault="00403B07" w:rsidP="00403B07">
      <w:pPr>
        <w:rPr>
          <w:rFonts w:cs="Arial"/>
          <w:b/>
          <w:i/>
        </w:rPr>
      </w:pPr>
      <w:r w:rsidRPr="006347FD">
        <w:rPr>
          <w:rFonts w:cs="Arial"/>
          <w:b/>
          <w:i/>
        </w:rPr>
        <w:t>Appendix 2 (b) Food Intake Questionnaire Weekend (continued)</w:t>
      </w:r>
    </w:p>
    <w:p w14:paraId="2DECD04F" w14:textId="77777777" w:rsidR="00403B07" w:rsidRDefault="00403B07" w:rsidP="00403B07">
      <w:r>
        <w:rPr>
          <w:noProof/>
          <w:lang w:eastAsia="zh-CN"/>
        </w:rPr>
        <w:drawing>
          <wp:inline distT="0" distB="0" distL="0" distR="0" wp14:anchorId="4D5255B3" wp14:editId="6AAE86F8">
            <wp:extent cx="5429903" cy="7839075"/>
            <wp:effectExtent l="0" t="0" r="0" b="0"/>
            <wp:docPr id="62" name="Picture 62" descr="K:\Health and Social Care\Child Health\HeLP\HeLP DEFINITIVE TRIAL\Info for the HeLP Coordinators\2. Data collection\FIQ\FIQ WEEKEND A4\FIQ WEEKEND A4_Pag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ealth and Social Care\Child Health\HeLP\HeLP DEFINITIVE TRIAL\Info for the HeLP Coordinators\2. Data collection\FIQ\FIQ WEEKEND A4\FIQ WEEKEND A4_Page_4.png"/>
                    <pic:cNvPicPr>
                      <a:picLocks noChangeAspect="1" noChangeArrowheads="1"/>
                    </pic:cNvPicPr>
                  </pic:nvPicPr>
                  <pic:blipFill rotWithShape="1">
                    <a:blip r:embed="rId34">
                      <a:extLst>
                        <a:ext uri="{28A0092B-C50C-407E-A947-70E740481C1C}">
                          <a14:useLocalDpi xmlns:a14="http://schemas.microsoft.com/office/drawing/2010/main" val="0"/>
                        </a:ext>
                      </a:extLst>
                    </a:blip>
                    <a:srcRect r="51248" b="470"/>
                    <a:stretch/>
                  </pic:blipFill>
                  <pic:spPr bwMode="auto">
                    <a:xfrm>
                      <a:off x="0" y="0"/>
                      <a:ext cx="5442312" cy="7856990"/>
                    </a:xfrm>
                    <a:prstGeom prst="rect">
                      <a:avLst/>
                    </a:prstGeom>
                    <a:noFill/>
                    <a:ln>
                      <a:noFill/>
                    </a:ln>
                    <a:extLst>
                      <a:ext uri="{53640926-AAD7-44D8-BBD7-CCE9431645EC}">
                        <a14:shadowObscured xmlns:a14="http://schemas.microsoft.com/office/drawing/2010/main"/>
                      </a:ext>
                    </a:extLst>
                  </pic:spPr>
                </pic:pic>
              </a:graphicData>
            </a:graphic>
          </wp:inline>
        </w:drawing>
      </w:r>
    </w:p>
    <w:p w14:paraId="71002DCE" w14:textId="77777777" w:rsidR="00403B07" w:rsidRDefault="00403B07" w:rsidP="00403B07"/>
    <w:p w14:paraId="2EEA2023" w14:textId="77777777" w:rsidR="00403B07" w:rsidRDefault="00403B07" w:rsidP="00403B07"/>
    <w:p w14:paraId="403EB9D4" w14:textId="77777777" w:rsidR="003A0CA3" w:rsidRDefault="003A0CA3" w:rsidP="00403B07">
      <w:pPr>
        <w:rPr>
          <w:rFonts w:cs="Arial"/>
          <w:b/>
          <w:i/>
        </w:rPr>
      </w:pPr>
    </w:p>
    <w:p w14:paraId="416BDDBF" w14:textId="77777777" w:rsidR="003A0CA3" w:rsidRDefault="003A0CA3" w:rsidP="00403B07">
      <w:pPr>
        <w:rPr>
          <w:rFonts w:cs="Arial"/>
          <w:b/>
          <w:i/>
        </w:rPr>
      </w:pPr>
    </w:p>
    <w:p w14:paraId="6226B928" w14:textId="77777777" w:rsidR="003A0CA3" w:rsidRDefault="003A0CA3" w:rsidP="00403B07">
      <w:pPr>
        <w:rPr>
          <w:rFonts w:cs="Arial"/>
          <w:b/>
          <w:i/>
        </w:rPr>
      </w:pPr>
    </w:p>
    <w:p w14:paraId="66DFB28F" w14:textId="77777777" w:rsidR="00403B07" w:rsidRPr="006347FD" w:rsidRDefault="00403B07" w:rsidP="00403B07">
      <w:pPr>
        <w:rPr>
          <w:rFonts w:cs="Arial"/>
          <w:b/>
          <w:i/>
        </w:rPr>
      </w:pPr>
      <w:r w:rsidRPr="006347FD">
        <w:rPr>
          <w:rFonts w:cs="Arial"/>
          <w:b/>
          <w:i/>
        </w:rPr>
        <w:t>Appendix 2 (b) Food Intake Questionnaire Weekend (continued)</w:t>
      </w:r>
    </w:p>
    <w:p w14:paraId="2ED1FB9B" w14:textId="77777777" w:rsidR="00403B07" w:rsidRDefault="00403B07" w:rsidP="00403B07">
      <w:r>
        <w:rPr>
          <w:noProof/>
          <w:lang w:eastAsia="zh-CN"/>
        </w:rPr>
        <w:drawing>
          <wp:inline distT="0" distB="0" distL="0" distR="0" wp14:anchorId="447CDB38" wp14:editId="04F2C83E">
            <wp:extent cx="5543550" cy="7790437"/>
            <wp:effectExtent l="0" t="0" r="0" b="1270"/>
            <wp:docPr id="63" name="Picture 63" descr="K:\Health and Social Care\Child Health\HeLP\HeLP DEFINITIVE TRIAL\Info for the HeLP Coordinators\2. Data collection\FIQ\FIQ WEEKEND A4\FIQ WEEKEND A4_Pag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Health and Social Care\Child Health\HeLP\HeLP DEFINITIVE TRIAL\Info for the HeLP Coordinators\2. Data collection\FIQ\FIQ WEEKEND A4\FIQ WEEKEND A4_Page_4.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9917" t="470"/>
                    <a:stretch/>
                  </pic:blipFill>
                  <pic:spPr bwMode="auto">
                    <a:xfrm>
                      <a:off x="0" y="0"/>
                      <a:ext cx="5549487" cy="7798780"/>
                    </a:xfrm>
                    <a:prstGeom prst="rect">
                      <a:avLst/>
                    </a:prstGeom>
                    <a:noFill/>
                    <a:ln>
                      <a:noFill/>
                    </a:ln>
                    <a:extLst>
                      <a:ext uri="{53640926-AAD7-44D8-BBD7-CCE9431645EC}">
                        <a14:shadowObscured xmlns:a14="http://schemas.microsoft.com/office/drawing/2010/main"/>
                      </a:ext>
                    </a:extLst>
                  </pic:spPr>
                </pic:pic>
              </a:graphicData>
            </a:graphic>
          </wp:inline>
        </w:drawing>
      </w:r>
    </w:p>
    <w:p w14:paraId="48AE331D" w14:textId="77777777" w:rsidR="00403B07" w:rsidRDefault="00403B07" w:rsidP="00403B07"/>
    <w:p w14:paraId="5DEBB627" w14:textId="77777777" w:rsidR="00403B07" w:rsidRDefault="00403B07" w:rsidP="00403B07"/>
    <w:p w14:paraId="40A9F7F6" w14:textId="77777777" w:rsidR="007B70F3" w:rsidRDefault="007B70F3" w:rsidP="00403B07"/>
    <w:p w14:paraId="36B7CF1C" w14:textId="77777777" w:rsidR="00403B07" w:rsidRPr="006347FD" w:rsidRDefault="00403B07" w:rsidP="00403B07">
      <w:pPr>
        <w:rPr>
          <w:rFonts w:cs="Arial"/>
          <w:b/>
          <w:i/>
        </w:rPr>
      </w:pPr>
      <w:r w:rsidRPr="006347FD">
        <w:rPr>
          <w:rFonts w:cs="Arial"/>
          <w:b/>
          <w:i/>
        </w:rPr>
        <w:lastRenderedPageBreak/>
        <w:t>Appendix 2 (b) Food Intake Questionnaire Weekend (continued)</w:t>
      </w:r>
    </w:p>
    <w:p w14:paraId="44912FF3" w14:textId="77777777" w:rsidR="00403B07" w:rsidRDefault="00403B07" w:rsidP="00403B07">
      <w:r>
        <w:rPr>
          <w:noProof/>
          <w:lang w:eastAsia="zh-CN"/>
        </w:rPr>
        <w:drawing>
          <wp:inline distT="0" distB="0" distL="0" distR="0" wp14:anchorId="70F89E47" wp14:editId="0CDD0CFF">
            <wp:extent cx="5726457" cy="8286750"/>
            <wp:effectExtent l="0" t="0" r="7620" b="0"/>
            <wp:docPr id="288" name="Picture 288" descr="K:\Health and Social Care\Child Health\HeLP\HeLP DEFINITIVE TRIAL\Info for the HeLP Coordinators\2. Data collection\FIQ\FIQ WEEKEND A4\FIQ WEEKEND A4_Pag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Health and Social Care\Child Health\HeLP\HeLP DEFINITIVE TRIAL\Info for the HeLP Coordinators\2. Data collection\FIQ\FIQ WEEKEND A4\FIQ WEEKEND A4_Page_3.png"/>
                    <pic:cNvPicPr>
                      <a:picLocks noChangeAspect="1" noChangeArrowheads="1"/>
                    </pic:cNvPicPr>
                  </pic:nvPicPr>
                  <pic:blipFill rotWithShape="1">
                    <a:blip r:embed="rId36">
                      <a:extLst>
                        <a:ext uri="{28A0092B-C50C-407E-A947-70E740481C1C}">
                          <a14:useLocalDpi xmlns:a14="http://schemas.microsoft.com/office/drawing/2010/main" val="0"/>
                        </a:ext>
                      </a:extLst>
                    </a:blip>
                    <a:srcRect r="51248" b="235"/>
                    <a:stretch/>
                  </pic:blipFill>
                  <pic:spPr bwMode="auto">
                    <a:xfrm>
                      <a:off x="0" y="0"/>
                      <a:ext cx="5731514" cy="8294068"/>
                    </a:xfrm>
                    <a:prstGeom prst="rect">
                      <a:avLst/>
                    </a:prstGeom>
                    <a:noFill/>
                    <a:ln>
                      <a:noFill/>
                    </a:ln>
                    <a:extLst>
                      <a:ext uri="{53640926-AAD7-44D8-BBD7-CCE9431645EC}">
                        <a14:shadowObscured xmlns:a14="http://schemas.microsoft.com/office/drawing/2010/main"/>
                      </a:ext>
                    </a:extLst>
                  </pic:spPr>
                </pic:pic>
              </a:graphicData>
            </a:graphic>
          </wp:inline>
        </w:drawing>
      </w:r>
    </w:p>
    <w:p w14:paraId="05478017" w14:textId="77777777" w:rsidR="003A0CA3" w:rsidRDefault="003A0CA3">
      <w:pPr>
        <w:rPr>
          <w:rFonts w:cs="Arial"/>
          <w:b/>
          <w:sz w:val="24"/>
          <w:szCs w:val="24"/>
        </w:rPr>
      </w:pPr>
      <w:r>
        <w:rPr>
          <w:rFonts w:cs="Arial"/>
          <w:b/>
          <w:sz w:val="24"/>
          <w:szCs w:val="24"/>
        </w:rPr>
        <w:br w:type="page"/>
      </w:r>
    </w:p>
    <w:p w14:paraId="10E961C2" w14:textId="6F6B5FCF" w:rsidR="00403B07" w:rsidRDefault="00403B07" w:rsidP="00403B07">
      <w:pPr>
        <w:rPr>
          <w:rFonts w:cs="Arial"/>
        </w:rPr>
      </w:pPr>
      <w:r w:rsidRPr="00C46269">
        <w:rPr>
          <w:rFonts w:cs="Arial"/>
          <w:b/>
          <w:sz w:val="24"/>
          <w:szCs w:val="24"/>
        </w:rPr>
        <w:lastRenderedPageBreak/>
        <w:t xml:space="preserve">Appendix </w:t>
      </w:r>
      <w:r>
        <w:rPr>
          <w:rFonts w:cs="Arial"/>
          <w:b/>
          <w:sz w:val="24"/>
          <w:szCs w:val="24"/>
        </w:rPr>
        <w:t>2</w:t>
      </w:r>
      <w:r w:rsidRPr="00C46269">
        <w:rPr>
          <w:rFonts w:cs="Arial"/>
          <w:b/>
          <w:sz w:val="24"/>
          <w:szCs w:val="24"/>
        </w:rPr>
        <w:t xml:space="preserve"> </w:t>
      </w:r>
      <w:r>
        <w:rPr>
          <w:rFonts w:cs="Arial"/>
          <w:b/>
          <w:sz w:val="24"/>
          <w:szCs w:val="24"/>
        </w:rPr>
        <w:t xml:space="preserve">Food Intake Questionnaires </w:t>
      </w:r>
    </w:p>
    <w:p w14:paraId="64581934" w14:textId="77777777" w:rsidR="00403B07" w:rsidRPr="001C4036" w:rsidRDefault="00403B07" w:rsidP="000E6BCF">
      <w:pPr>
        <w:rPr>
          <w:b/>
          <w:i/>
        </w:rPr>
      </w:pPr>
      <w:r w:rsidRPr="001C4036">
        <w:rPr>
          <w:rFonts w:cs="Arial"/>
          <w:b/>
          <w:i/>
        </w:rPr>
        <w:t xml:space="preserve">Appendix 2 (c) Food Intake Questionnaire scoring </w:t>
      </w:r>
    </w:p>
    <w:p w14:paraId="00D9DBFC" w14:textId="77777777" w:rsidR="00403B07" w:rsidRDefault="00403B07" w:rsidP="00403B0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1"/>
        <w:gridCol w:w="881"/>
        <w:gridCol w:w="1138"/>
        <w:gridCol w:w="2551"/>
        <w:gridCol w:w="851"/>
        <w:gridCol w:w="1224"/>
      </w:tblGrid>
      <w:tr w:rsidR="00403B07" w:rsidRPr="00C22DFB" w14:paraId="7C1A5C6C" w14:textId="77777777" w:rsidTr="00B01272">
        <w:tc>
          <w:tcPr>
            <w:tcW w:w="2371" w:type="dxa"/>
          </w:tcPr>
          <w:p w14:paraId="40D8F696" w14:textId="77777777" w:rsidR="00403B07" w:rsidRPr="00C22DFB" w:rsidRDefault="00403B07" w:rsidP="00B01272">
            <w:pPr>
              <w:rPr>
                <w:b/>
              </w:rPr>
            </w:pPr>
            <w:r w:rsidRPr="00C22DFB">
              <w:rPr>
                <w:b/>
              </w:rPr>
              <w:t>Energy dense snack foods (n=13)</w:t>
            </w:r>
          </w:p>
        </w:tc>
        <w:tc>
          <w:tcPr>
            <w:tcW w:w="881" w:type="dxa"/>
          </w:tcPr>
          <w:p w14:paraId="5E78C07E" w14:textId="77777777" w:rsidR="00403B07" w:rsidRPr="00C22DFB" w:rsidRDefault="00403B07" w:rsidP="00B01272">
            <w:pPr>
              <w:rPr>
                <w:b/>
              </w:rPr>
            </w:pPr>
            <w:r w:rsidRPr="00C22DFB">
              <w:rPr>
                <w:b/>
              </w:rPr>
              <w:t>FIQ Week</w:t>
            </w:r>
            <w:r>
              <w:rPr>
                <w:b/>
              </w:rPr>
              <w:t xml:space="preserve"> item</w:t>
            </w:r>
          </w:p>
        </w:tc>
        <w:tc>
          <w:tcPr>
            <w:tcW w:w="1138" w:type="dxa"/>
          </w:tcPr>
          <w:p w14:paraId="597D8B92" w14:textId="77777777" w:rsidR="00403B07" w:rsidRPr="00C22DFB" w:rsidRDefault="00403B07" w:rsidP="00B01272">
            <w:pPr>
              <w:rPr>
                <w:b/>
              </w:rPr>
            </w:pPr>
            <w:r w:rsidRPr="00C22DFB">
              <w:rPr>
                <w:b/>
              </w:rPr>
              <w:t>FIQ weekend</w:t>
            </w:r>
            <w:r>
              <w:rPr>
                <w:b/>
              </w:rPr>
              <w:t xml:space="preserve"> item</w:t>
            </w:r>
          </w:p>
        </w:tc>
        <w:tc>
          <w:tcPr>
            <w:tcW w:w="2551" w:type="dxa"/>
          </w:tcPr>
          <w:p w14:paraId="40604C29" w14:textId="77777777" w:rsidR="00403B07" w:rsidRPr="00C22DFB" w:rsidRDefault="00403B07" w:rsidP="00B01272">
            <w:pPr>
              <w:rPr>
                <w:b/>
              </w:rPr>
            </w:pPr>
            <w:r w:rsidRPr="00C22DFB">
              <w:rPr>
                <w:b/>
              </w:rPr>
              <w:t>Healthy snack foods</w:t>
            </w:r>
          </w:p>
          <w:p w14:paraId="49569EDB" w14:textId="77777777" w:rsidR="00403B07" w:rsidRPr="00C22DFB" w:rsidRDefault="00403B07" w:rsidP="00B01272">
            <w:pPr>
              <w:rPr>
                <w:b/>
              </w:rPr>
            </w:pPr>
            <w:r>
              <w:rPr>
                <w:b/>
              </w:rPr>
              <w:t>(n=10</w:t>
            </w:r>
            <w:r w:rsidRPr="00C22DFB">
              <w:rPr>
                <w:b/>
              </w:rPr>
              <w:t>)</w:t>
            </w:r>
          </w:p>
        </w:tc>
        <w:tc>
          <w:tcPr>
            <w:tcW w:w="851" w:type="dxa"/>
          </w:tcPr>
          <w:p w14:paraId="1B1908DC" w14:textId="77777777" w:rsidR="00403B07" w:rsidRPr="00C22DFB" w:rsidRDefault="00403B07" w:rsidP="00B01272">
            <w:pPr>
              <w:rPr>
                <w:b/>
              </w:rPr>
            </w:pPr>
            <w:r w:rsidRPr="00C22DFB">
              <w:rPr>
                <w:b/>
              </w:rPr>
              <w:t>FIQ Week</w:t>
            </w:r>
            <w:r>
              <w:rPr>
                <w:b/>
              </w:rPr>
              <w:t xml:space="preserve"> item</w:t>
            </w:r>
          </w:p>
        </w:tc>
        <w:tc>
          <w:tcPr>
            <w:tcW w:w="1224" w:type="dxa"/>
          </w:tcPr>
          <w:p w14:paraId="2A759679" w14:textId="77777777" w:rsidR="00403B07" w:rsidRPr="00C22DFB" w:rsidRDefault="00403B07" w:rsidP="00B01272">
            <w:pPr>
              <w:rPr>
                <w:b/>
              </w:rPr>
            </w:pPr>
            <w:r w:rsidRPr="00C22DFB">
              <w:rPr>
                <w:b/>
              </w:rPr>
              <w:t>FIQ Weekend</w:t>
            </w:r>
            <w:r>
              <w:rPr>
                <w:b/>
              </w:rPr>
              <w:t xml:space="preserve"> item</w:t>
            </w:r>
          </w:p>
        </w:tc>
      </w:tr>
      <w:tr w:rsidR="00403B07" w:rsidRPr="00C22DFB" w14:paraId="667DDB2B" w14:textId="77777777" w:rsidTr="00B01272">
        <w:tc>
          <w:tcPr>
            <w:tcW w:w="2371" w:type="dxa"/>
          </w:tcPr>
          <w:p w14:paraId="1A588B7B" w14:textId="77777777" w:rsidR="00403B07" w:rsidRPr="00C22DFB" w:rsidRDefault="00403B07" w:rsidP="00B01272">
            <w:r w:rsidRPr="00C22DFB">
              <w:t>High sugar cereals</w:t>
            </w:r>
          </w:p>
        </w:tc>
        <w:tc>
          <w:tcPr>
            <w:tcW w:w="881" w:type="dxa"/>
          </w:tcPr>
          <w:p w14:paraId="51EBA50E" w14:textId="77777777" w:rsidR="00403B07" w:rsidRPr="00C22DFB" w:rsidRDefault="00403B07" w:rsidP="00B01272">
            <w:pPr>
              <w:rPr>
                <w:b/>
                <w:color w:val="FF0000"/>
              </w:rPr>
            </w:pPr>
            <w:r w:rsidRPr="00C22DFB">
              <w:rPr>
                <w:b/>
                <w:color w:val="FF0000"/>
              </w:rPr>
              <w:t>6</w:t>
            </w:r>
          </w:p>
        </w:tc>
        <w:tc>
          <w:tcPr>
            <w:tcW w:w="1138" w:type="dxa"/>
          </w:tcPr>
          <w:p w14:paraId="5827ECD7" w14:textId="77777777" w:rsidR="00403B07" w:rsidRPr="00C22DFB" w:rsidRDefault="00403B07" w:rsidP="00B01272">
            <w:pPr>
              <w:rPr>
                <w:b/>
                <w:color w:val="0000FF"/>
              </w:rPr>
            </w:pPr>
            <w:r w:rsidRPr="00C22DFB">
              <w:rPr>
                <w:b/>
                <w:color w:val="0000FF"/>
              </w:rPr>
              <w:t>2</w:t>
            </w:r>
          </w:p>
        </w:tc>
        <w:tc>
          <w:tcPr>
            <w:tcW w:w="2551" w:type="dxa"/>
          </w:tcPr>
          <w:p w14:paraId="0EB5DD62" w14:textId="77777777" w:rsidR="00403B07" w:rsidRPr="00C22DFB" w:rsidRDefault="00403B07" w:rsidP="00B01272">
            <w:r w:rsidRPr="00C22DFB">
              <w:t>Brown/wholemeal bread</w:t>
            </w:r>
          </w:p>
        </w:tc>
        <w:tc>
          <w:tcPr>
            <w:tcW w:w="851" w:type="dxa"/>
          </w:tcPr>
          <w:p w14:paraId="71FAB3F1" w14:textId="77777777" w:rsidR="00403B07" w:rsidRPr="00C22DFB" w:rsidRDefault="00403B07" w:rsidP="00B01272">
            <w:pPr>
              <w:rPr>
                <w:b/>
                <w:color w:val="FF0000"/>
              </w:rPr>
            </w:pPr>
            <w:r w:rsidRPr="00C22DFB">
              <w:rPr>
                <w:b/>
                <w:color w:val="FF0000"/>
              </w:rPr>
              <w:t>9</w:t>
            </w:r>
          </w:p>
        </w:tc>
        <w:tc>
          <w:tcPr>
            <w:tcW w:w="1224" w:type="dxa"/>
          </w:tcPr>
          <w:p w14:paraId="39D61F5C" w14:textId="77777777" w:rsidR="00403B07" w:rsidRPr="00C22DFB" w:rsidRDefault="00403B07" w:rsidP="00B01272">
            <w:pPr>
              <w:rPr>
                <w:b/>
                <w:color w:val="0000FF"/>
              </w:rPr>
            </w:pPr>
            <w:r w:rsidRPr="00C22DFB">
              <w:rPr>
                <w:b/>
                <w:color w:val="0000FF"/>
              </w:rPr>
              <w:t>5</w:t>
            </w:r>
          </w:p>
        </w:tc>
      </w:tr>
      <w:tr w:rsidR="00403B07" w:rsidRPr="00C22DFB" w14:paraId="13C2C549" w14:textId="77777777" w:rsidTr="00B01272">
        <w:tc>
          <w:tcPr>
            <w:tcW w:w="2371" w:type="dxa"/>
          </w:tcPr>
          <w:p w14:paraId="054DFD28" w14:textId="77777777" w:rsidR="00403B07" w:rsidRPr="00C22DFB" w:rsidRDefault="00403B07" w:rsidP="00B01272">
            <w:r w:rsidRPr="00C22DFB">
              <w:t>Plain biscuits</w:t>
            </w:r>
          </w:p>
        </w:tc>
        <w:tc>
          <w:tcPr>
            <w:tcW w:w="881" w:type="dxa"/>
          </w:tcPr>
          <w:p w14:paraId="1BF596AA" w14:textId="77777777" w:rsidR="00403B07" w:rsidRPr="00C22DFB" w:rsidRDefault="00403B07" w:rsidP="00B01272">
            <w:pPr>
              <w:rPr>
                <w:b/>
                <w:color w:val="FF0000"/>
              </w:rPr>
            </w:pPr>
            <w:r w:rsidRPr="00C22DFB">
              <w:rPr>
                <w:b/>
                <w:color w:val="FF0000"/>
              </w:rPr>
              <w:t>1</w:t>
            </w:r>
            <w:r>
              <w:rPr>
                <w:b/>
                <w:color w:val="FF0000"/>
              </w:rPr>
              <w:t>3</w:t>
            </w:r>
          </w:p>
        </w:tc>
        <w:tc>
          <w:tcPr>
            <w:tcW w:w="1138" w:type="dxa"/>
          </w:tcPr>
          <w:p w14:paraId="37A1B4E6" w14:textId="77777777" w:rsidR="00403B07" w:rsidRPr="00C22DFB" w:rsidRDefault="00403B07" w:rsidP="00B01272">
            <w:pPr>
              <w:rPr>
                <w:b/>
                <w:color w:val="0000FF"/>
              </w:rPr>
            </w:pPr>
            <w:r>
              <w:rPr>
                <w:b/>
                <w:color w:val="0000FF"/>
              </w:rPr>
              <w:t>9</w:t>
            </w:r>
          </w:p>
        </w:tc>
        <w:tc>
          <w:tcPr>
            <w:tcW w:w="2551" w:type="dxa"/>
          </w:tcPr>
          <w:p w14:paraId="51A5BDC9" w14:textId="77777777" w:rsidR="00403B07" w:rsidRPr="00C22DFB" w:rsidRDefault="00403B07" w:rsidP="00B01272">
            <w:r w:rsidRPr="00C22DFB">
              <w:t>Malt/fruit bread</w:t>
            </w:r>
          </w:p>
        </w:tc>
        <w:tc>
          <w:tcPr>
            <w:tcW w:w="851" w:type="dxa"/>
          </w:tcPr>
          <w:p w14:paraId="5E6EA6E1" w14:textId="77777777" w:rsidR="00403B07" w:rsidRPr="00C22DFB" w:rsidRDefault="00403B07" w:rsidP="00B01272">
            <w:pPr>
              <w:rPr>
                <w:b/>
                <w:color w:val="FF0000"/>
              </w:rPr>
            </w:pPr>
            <w:r w:rsidRPr="00C22DFB">
              <w:rPr>
                <w:b/>
                <w:color w:val="FF0000"/>
              </w:rPr>
              <w:t>10</w:t>
            </w:r>
          </w:p>
        </w:tc>
        <w:tc>
          <w:tcPr>
            <w:tcW w:w="1224" w:type="dxa"/>
          </w:tcPr>
          <w:p w14:paraId="5604DDEE" w14:textId="77777777" w:rsidR="00403B07" w:rsidRPr="00C22DFB" w:rsidRDefault="00403B07" w:rsidP="00B01272">
            <w:pPr>
              <w:rPr>
                <w:b/>
                <w:color w:val="0000FF"/>
              </w:rPr>
            </w:pPr>
            <w:r w:rsidRPr="00C22DFB">
              <w:rPr>
                <w:b/>
                <w:color w:val="0000FF"/>
              </w:rPr>
              <w:t>6</w:t>
            </w:r>
          </w:p>
        </w:tc>
      </w:tr>
      <w:tr w:rsidR="00403B07" w:rsidRPr="00C22DFB" w14:paraId="323880F4" w14:textId="77777777" w:rsidTr="00B01272">
        <w:tc>
          <w:tcPr>
            <w:tcW w:w="2371" w:type="dxa"/>
          </w:tcPr>
          <w:p w14:paraId="3217427C" w14:textId="77777777" w:rsidR="00403B07" w:rsidRPr="00C22DFB" w:rsidRDefault="00403B07" w:rsidP="00B01272">
            <w:r w:rsidRPr="00C22DFB">
              <w:t>Chocolate biscuits</w:t>
            </w:r>
          </w:p>
        </w:tc>
        <w:tc>
          <w:tcPr>
            <w:tcW w:w="881" w:type="dxa"/>
          </w:tcPr>
          <w:p w14:paraId="415E5508" w14:textId="77777777" w:rsidR="00403B07" w:rsidRPr="00C22DFB" w:rsidRDefault="00403B07" w:rsidP="00B01272">
            <w:pPr>
              <w:rPr>
                <w:b/>
                <w:color w:val="FF0000"/>
              </w:rPr>
            </w:pPr>
            <w:r w:rsidRPr="00C22DFB">
              <w:rPr>
                <w:b/>
                <w:color w:val="FF0000"/>
              </w:rPr>
              <w:t>1</w:t>
            </w:r>
            <w:r>
              <w:rPr>
                <w:b/>
                <w:color w:val="FF0000"/>
              </w:rPr>
              <w:t>4</w:t>
            </w:r>
          </w:p>
        </w:tc>
        <w:tc>
          <w:tcPr>
            <w:tcW w:w="1138" w:type="dxa"/>
          </w:tcPr>
          <w:p w14:paraId="5AF0E068" w14:textId="77777777" w:rsidR="00403B07" w:rsidRPr="00C22DFB" w:rsidRDefault="00403B07" w:rsidP="00B01272">
            <w:pPr>
              <w:rPr>
                <w:b/>
                <w:color w:val="0000FF"/>
              </w:rPr>
            </w:pPr>
            <w:r w:rsidRPr="00C22DFB">
              <w:rPr>
                <w:b/>
                <w:color w:val="0000FF"/>
              </w:rPr>
              <w:t>1</w:t>
            </w:r>
            <w:r>
              <w:rPr>
                <w:b/>
                <w:color w:val="0000FF"/>
              </w:rPr>
              <w:t>0</w:t>
            </w:r>
          </w:p>
        </w:tc>
        <w:tc>
          <w:tcPr>
            <w:tcW w:w="2551" w:type="dxa"/>
          </w:tcPr>
          <w:p w14:paraId="65DDE114" w14:textId="77777777" w:rsidR="00403B07" w:rsidRPr="00C22DFB" w:rsidRDefault="00403B07" w:rsidP="00B01272">
            <w:r w:rsidRPr="00C22DFB">
              <w:t>Breadsticks/crackers</w:t>
            </w:r>
          </w:p>
        </w:tc>
        <w:tc>
          <w:tcPr>
            <w:tcW w:w="851" w:type="dxa"/>
          </w:tcPr>
          <w:p w14:paraId="0C109A4E" w14:textId="77777777" w:rsidR="00403B07" w:rsidRPr="00C22DFB" w:rsidRDefault="00403B07" w:rsidP="00B01272">
            <w:pPr>
              <w:rPr>
                <w:b/>
                <w:color w:val="FF0000"/>
              </w:rPr>
            </w:pPr>
            <w:r w:rsidRPr="00C22DFB">
              <w:rPr>
                <w:b/>
                <w:color w:val="FF0000"/>
              </w:rPr>
              <w:t>11</w:t>
            </w:r>
          </w:p>
        </w:tc>
        <w:tc>
          <w:tcPr>
            <w:tcW w:w="1224" w:type="dxa"/>
          </w:tcPr>
          <w:p w14:paraId="73FC543C" w14:textId="77777777" w:rsidR="00403B07" w:rsidRPr="00C22DFB" w:rsidRDefault="00403B07" w:rsidP="00B01272">
            <w:pPr>
              <w:rPr>
                <w:b/>
                <w:color w:val="0000FF"/>
              </w:rPr>
            </w:pPr>
            <w:r w:rsidRPr="00C22DFB">
              <w:rPr>
                <w:b/>
                <w:color w:val="0000FF"/>
              </w:rPr>
              <w:t>7</w:t>
            </w:r>
          </w:p>
        </w:tc>
      </w:tr>
      <w:tr w:rsidR="00403B07" w:rsidRPr="00C22DFB" w14:paraId="4C3672D7" w14:textId="77777777" w:rsidTr="00B01272">
        <w:tc>
          <w:tcPr>
            <w:tcW w:w="2371" w:type="dxa"/>
          </w:tcPr>
          <w:p w14:paraId="3CB7CD8F" w14:textId="77777777" w:rsidR="00403B07" w:rsidRPr="00C22DFB" w:rsidRDefault="00403B07" w:rsidP="00B01272">
            <w:r w:rsidRPr="00C22DFB">
              <w:t>Cakes</w:t>
            </w:r>
          </w:p>
        </w:tc>
        <w:tc>
          <w:tcPr>
            <w:tcW w:w="881" w:type="dxa"/>
          </w:tcPr>
          <w:p w14:paraId="7255B446" w14:textId="77777777" w:rsidR="00403B07" w:rsidRPr="00C22DFB" w:rsidRDefault="00403B07" w:rsidP="00B01272">
            <w:pPr>
              <w:rPr>
                <w:b/>
                <w:color w:val="FF0000"/>
              </w:rPr>
            </w:pPr>
            <w:r w:rsidRPr="00C22DFB">
              <w:rPr>
                <w:b/>
                <w:color w:val="FF0000"/>
              </w:rPr>
              <w:t>1</w:t>
            </w:r>
            <w:r>
              <w:rPr>
                <w:b/>
                <w:color w:val="FF0000"/>
              </w:rPr>
              <w:t>5</w:t>
            </w:r>
          </w:p>
        </w:tc>
        <w:tc>
          <w:tcPr>
            <w:tcW w:w="1138" w:type="dxa"/>
          </w:tcPr>
          <w:p w14:paraId="5CF1CCA7" w14:textId="77777777" w:rsidR="00403B07" w:rsidRPr="00C22DFB" w:rsidRDefault="00403B07" w:rsidP="00B01272">
            <w:pPr>
              <w:rPr>
                <w:b/>
                <w:color w:val="0000FF"/>
              </w:rPr>
            </w:pPr>
            <w:r w:rsidRPr="00C22DFB">
              <w:rPr>
                <w:b/>
                <w:color w:val="0000FF"/>
              </w:rPr>
              <w:t>1</w:t>
            </w:r>
            <w:r>
              <w:rPr>
                <w:b/>
                <w:color w:val="0000FF"/>
              </w:rPr>
              <w:t>1</w:t>
            </w:r>
          </w:p>
        </w:tc>
        <w:tc>
          <w:tcPr>
            <w:tcW w:w="2551" w:type="dxa"/>
          </w:tcPr>
          <w:p w14:paraId="4344F9CF" w14:textId="77777777" w:rsidR="00403B07" w:rsidRPr="00C22DFB" w:rsidRDefault="00403B07" w:rsidP="00B01272">
            <w:r w:rsidRPr="00C22DFB">
              <w:t>Unsalted nuts</w:t>
            </w:r>
          </w:p>
        </w:tc>
        <w:tc>
          <w:tcPr>
            <w:tcW w:w="851" w:type="dxa"/>
          </w:tcPr>
          <w:p w14:paraId="48305D8E" w14:textId="77777777" w:rsidR="00403B07" w:rsidRPr="00C22DFB" w:rsidRDefault="00403B07" w:rsidP="00B01272">
            <w:pPr>
              <w:rPr>
                <w:b/>
                <w:color w:val="FF0000"/>
              </w:rPr>
            </w:pPr>
            <w:r w:rsidRPr="00C22DFB">
              <w:rPr>
                <w:b/>
                <w:color w:val="FF0000"/>
              </w:rPr>
              <w:t>3</w:t>
            </w:r>
            <w:r>
              <w:rPr>
                <w:b/>
                <w:color w:val="FF0000"/>
              </w:rPr>
              <w:t>4</w:t>
            </w:r>
          </w:p>
        </w:tc>
        <w:tc>
          <w:tcPr>
            <w:tcW w:w="1224" w:type="dxa"/>
          </w:tcPr>
          <w:p w14:paraId="0281E4E2" w14:textId="77777777" w:rsidR="00403B07" w:rsidRPr="00C22DFB" w:rsidRDefault="00403B07" w:rsidP="00B01272">
            <w:pPr>
              <w:rPr>
                <w:b/>
                <w:color w:val="0000FF"/>
              </w:rPr>
            </w:pPr>
            <w:r w:rsidRPr="00C22DFB">
              <w:rPr>
                <w:b/>
                <w:color w:val="0000FF"/>
              </w:rPr>
              <w:t>3</w:t>
            </w:r>
            <w:r>
              <w:rPr>
                <w:b/>
                <w:color w:val="0000FF"/>
              </w:rPr>
              <w:t>0</w:t>
            </w:r>
          </w:p>
        </w:tc>
      </w:tr>
      <w:tr w:rsidR="00403B07" w:rsidRPr="00C22DFB" w14:paraId="1A3DB9F5" w14:textId="77777777" w:rsidTr="00B01272">
        <w:tc>
          <w:tcPr>
            <w:tcW w:w="2371" w:type="dxa"/>
          </w:tcPr>
          <w:p w14:paraId="5FE0798C" w14:textId="77777777" w:rsidR="00403B07" w:rsidRPr="00C22DFB" w:rsidRDefault="00403B07" w:rsidP="00B01272">
            <w:r w:rsidRPr="00C22DFB">
              <w:t>Puddings</w:t>
            </w:r>
          </w:p>
        </w:tc>
        <w:tc>
          <w:tcPr>
            <w:tcW w:w="881" w:type="dxa"/>
          </w:tcPr>
          <w:p w14:paraId="41A3DFBA" w14:textId="77777777" w:rsidR="00403B07" w:rsidRPr="00C22DFB" w:rsidRDefault="00403B07" w:rsidP="00B01272">
            <w:pPr>
              <w:rPr>
                <w:b/>
                <w:color w:val="FF0000"/>
              </w:rPr>
            </w:pPr>
            <w:r w:rsidRPr="00C22DFB">
              <w:rPr>
                <w:b/>
                <w:color w:val="FF0000"/>
              </w:rPr>
              <w:t>1</w:t>
            </w:r>
            <w:r>
              <w:rPr>
                <w:b/>
                <w:color w:val="FF0000"/>
              </w:rPr>
              <w:t>6</w:t>
            </w:r>
          </w:p>
        </w:tc>
        <w:tc>
          <w:tcPr>
            <w:tcW w:w="1138" w:type="dxa"/>
          </w:tcPr>
          <w:p w14:paraId="46CAC3AD" w14:textId="77777777" w:rsidR="00403B07" w:rsidRPr="00C22DFB" w:rsidRDefault="00403B07" w:rsidP="00B01272">
            <w:pPr>
              <w:rPr>
                <w:b/>
                <w:color w:val="0000FF"/>
              </w:rPr>
            </w:pPr>
            <w:r w:rsidRPr="00C22DFB">
              <w:rPr>
                <w:b/>
                <w:color w:val="0000FF"/>
              </w:rPr>
              <w:t>1</w:t>
            </w:r>
            <w:r>
              <w:rPr>
                <w:b/>
                <w:color w:val="0000FF"/>
              </w:rPr>
              <w:t>2</w:t>
            </w:r>
          </w:p>
        </w:tc>
        <w:tc>
          <w:tcPr>
            <w:tcW w:w="2551" w:type="dxa"/>
          </w:tcPr>
          <w:p w14:paraId="6BC1AD45" w14:textId="77777777" w:rsidR="00403B07" w:rsidRPr="00C22DFB" w:rsidRDefault="00403B07" w:rsidP="00B01272">
            <w:r w:rsidRPr="00C22DFB">
              <w:t>Fresh fruit</w:t>
            </w:r>
          </w:p>
        </w:tc>
        <w:tc>
          <w:tcPr>
            <w:tcW w:w="851" w:type="dxa"/>
          </w:tcPr>
          <w:p w14:paraId="00211FB7" w14:textId="77777777" w:rsidR="00403B07" w:rsidRPr="00C22DFB" w:rsidRDefault="00403B07" w:rsidP="00B01272">
            <w:pPr>
              <w:rPr>
                <w:b/>
                <w:color w:val="FF0000"/>
              </w:rPr>
            </w:pPr>
            <w:r w:rsidRPr="00C22DFB">
              <w:rPr>
                <w:b/>
                <w:color w:val="FF0000"/>
              </w:rPr>
              <w:t>3</w:t>
            </w:r>
            <w:r>
              <w:rPr>
                <w:b/>
                <w:color w:val="FF0000"/>
              </w:rPr>
              <w:t>5</w:t>
            </w:r>
          </w:p>
        </w:tc>
        <w:tc>
          <w:tcPr>
            <w:tcW w:w="1224" w:type="dxa"/>
          </w:tcPr>
          <w:p w14:paraId="11CA5579" w14:textId="77777777" w:rsidR="00403B07" w:rsidRPr="00C22DFB" w:rsidRDefault="00403B07" w:rsidP="00B01272">
            <w:pPr>
              <w:rPr>
                <w:b/>
                <w:color w:val="0000FF"/>
              </w:rPr>
            </w:pPr>
            <w:r w:rsidRPr="00C22DFB">
              <w:rPr>
                <w:b/>
                <w:color w:val="0000FF"/>
              </w:rPr>
              <w:t>3</w:t>
            </w:r>
            <w:r>
              <w:rPr>
                <w:b/>
                <w:color w:val="0000FF"/>
              </w:rPr>
              <w:t>1</w:t>
            </w:r>
          </w:p>
        </w:tc>
      </w:tr>
      <w:tr w:rsidR="00403B07" w:rsidRPr="00C22DFB" w14:paraId="4520485B" w14:textId="77777777" w:rsidTr="00B01272">
        <w:tc>
          <w:tcPr>
            <w:tcW w:w="2371" w:type="dxa"/>
          </w:tcPr>
          <w:p w14:paraId="4D13BA49" w14:textId="77777777" w:rsidR="00403B07" w:rsidRPr="00C22DFB" w:rsidRDefault="00403B07" w:rsidP="00B01272">
            <w:r w:rsidRPr="00C22DFB">
              <w:t>Boiled sweets</w:t>
            </w:r>
          </w:p>
        </w:tc>
        <w:tc>
          <w:tcPr>
            <w:tcW w:w="881" w:type="dxa"/>
          </w:tcPr>
          <w:p w14:paraId="08DE5D18" w14:textId="77777777" w:rsidR="00403B07" w:rsidRPr="00C22DFB" w:rsidRDefault="00403B07" w:rsidP="00B01272">
            <w:pPr>
              <w:rPr>
                <w:b/>
                <w:color w:val="FF0000"/>
              </w:rPr>
            </w:pPr>
            <w:r>
              <w:rPr>
                <w:b/>
                <w:color w:val="FF0000"/>
              </w:rPr>
              <w:t>17</w:t>
            </w:r>
          </w:p>
        </w:tc>
        <w:tc>
          <w:tcPr>
            <w:tcW w:w="1138" w:type="dxa"/>
          </w:tcPr>
          <w:p w14:paraId="55A60DDA" w14:textId="77777777" w:rsidR="00403B07" w:rsidRPr="00C22DFB" w:rsidRDefault="00403B07" w:rsidP="00B01272">
            <w:pPr>
              <w:rPr>
                <w:b/>
                <w:color w:val="0000FF"/>
              </w:rPr>
            </w:pPr>
            <w:r w:rsidRPr="00C22DFB">
              <w:rPr>
                <w:b/>
                <w:color w:val="0000FF"/>
              </w:rPr>
              <w:t>1</w:t>
            </w:r>
            <w:r>
              <w:rPr>
                <w:b/>
                <w:color w:val="0000FF"/>
              </w:rPr>
              <w:t>3</w:t>
            </w:r>
          </w:p>
        </w:tc>
        <w:tc>
          <w:tcPr>
            <w:tcW w:w="2551" w:type="dxa"/>
          </w:tcPr>
          <w:p w14:paraId="5E6E3D82" w14:textId="77777777" w:rsidR="00403B07" w:rsidRPr="00C22DFB" w:rsidRDefault="00403B07" w:rsidP="00B01272">
            <w:r w:rsidRPr="00C22DFB">
              <w:t>Dried fruit</w:t>
            </w:r>
          </w:p>
        </w:tc>
        <w:tc>
          <w:tcPr>
            <w:tcW w:w="851" w:type="dxa"/>
          </w:tcPr>
          <w:p w14:paraId="463A91D9" w14:textId="77777777" w:rsidR="00403B07" w:rsidRPr="00C22DFB" w:rsidRDefault="00403B07" w:rsidP="00B01272">
            <w:pPr>
              <w:rPr>
                <w:b/>
                <w:color w:val="FF0000"/>
              </w:rPr>
            </w:pPr>
            <w:r>
              <w:rPr>
                <w:b/>
                <w:color w:val="FF0000"/>
              </w:rPr>
              <w:t>36</w:t>
            </w:r>
          </w:p>
        </w:tc>
        <w:tc>
          <w:tcPr>
            <w:tcW w:w="1224" w:type="dxa"/>
          </w:tcPr>
          <w:p w14:paraId="4FFA01B4" w14:textId="77777777" w:rsidR="00403B07" w:rsidRPr="00C22DFB" w:rsidRDefault="00403B07" w:rsidP="00B01272">
            <w:pPr>
              <w:rPr>
                <w:b/>
                <w:color w:val="0000FF"/>
              </w:rPr>
            </w:pPr>
            <w:r w:rsidRPr="00C22DFB">
              <w:rPr>
                <w:b/>
                <w:color w:val="0000FF"/>
              </w:rPr>
              <w:t>3</w:t>
            </w:r>
            <w:r>
              <w:rPr>
                <w:b/>
                <w:color w:val="0000FF"/>
              </w:rPr>
              <w:t>2</w:t>
            </w:r>
          </w:p>
        </w:tc>
      </w:tr>
      <w:tr w:rsidR="00403B07" w:rsidRPr="00C22DFB" w14:paraId="655963F5" w14:textId="77777777" w:rsidTr="00B01272">
        <w:tc>
          <w:tcPr>
            <w:tcW w:w="2371" w:type="dxa"/>
          </w:tcPr>
          <w:p w14:paraId="0284AF77" w14:textId="77777777" w:rsidR="00403B07" w:rsidRPr="00C22DFB" w:rsidRDefault="00403B07" w:rsidP="00B01272">
            <w:r w:rsidRPr="00C22DFB">
              <w:t>Chocolate</w:t>
            </w:r>
          </w:p>
        </w:tc>
        <w:tc>
          <w:tcPr>
            <w:tcW w:w="881" w:type="dxa"/>
          </w:tcPr>
          <w:p w14:paraId="374C2AFE" w14:textId="77777777" w:rsidR="00403B07" w:rsidRPr="00C22DFB" w:rsidRDefault="00403B07" w:rsidP="00B01272">
            <w:pPr>
              <w:rPr>
                <w:b/>
                <w:color w:val="FF0000"/>
              </w:rPr>
            </w:pPr>
            <w:r>
              <w:rPr>
                <w:b/>
                <w:color w:val="FF0000"/>
              </w:rPr>
              <w:t>18</w:t>
            </w:r>
          </w:p>
        </w:tc>
        <w:tc>
          <w:tcPr>
            <w:tcW w:w="1138" w:type="dxa"/>
          </w:tcPr>
          <w:p w14:paraId="001A260D" w14:textId="77777777" w:rsidR="00403B07" w:rsidRPr="00C22DFB" w:rsidRDefault="00403B07" w:rsidP="00B01272">
            <w:pPr>
              <w:rPr>
                <w:b/>
                <w:color w:val="0000FF"/>
              </w:rPr>
            </w:pPr>
            <w:r w:rsidRPr="00C22DFB">
              <w:rPr>
                <w:b/>
                <w:color w:val="0000FF"/>
              </w:rPr>
              <w:t>1</w:t>
            </w:r>
            <w:r>
              <w:rPr>
                <w:b/>
                <w:color w:val="0000FF"/>
              </w:rPr>
              <w:t>4</w:t>
            </w:r>
          </w:p>
        </w:tc>
        <w:tc>
          <w:tcPr>
            <w:tcW w:w="2551" w:type="dxa"/>
          </w:tcPr>
          <w:p w14:paraId="063267B0" w14:textId="77777777" w:rsidR="00403B07" w:rsidRPr="00C22DFB" w:rsidRDefault="00403B07" w:rsidP="00B01272">
            <w:r w:rsidRPr="00C22DFB">
              <w:t>Salad</w:t>
            </w:r>
          </w:p>
        </w:tc>
        <w:tc>
          <w:tcPr>
            <w:tcW w:w="851" w:type="dxa"/>
          </w:tcPr>
          <w:p w14:paraId="56C08FCC" w14:textId="77777777" w:rsidR="00403B07" w:rsidRPr="00C22DFB" w:rsidRDefault="00403B07" w:rsidP="00B01272">
            <w:pPr>
              <w:rPr>
                <w:b/>
                <w:color w:val="FF0000"/>
              </w:rPr>
            </w:pPr>
            <w:r>
              <w:rPr>
                <w:b/>
                <w:color w:val="FF0000"/>
              </w:rPr>
              <w:t>37</w:t>
            </w:r>
          </w:p>
        </w:tc>
        <w:tc>
          <w:tcPr>
            <w:tcW w:w="1224" w:type="dxa"/>
          </w:tcPr>
          <w:p w14:paraId="34596A8D" w14:textId="77777777" w:rsidR="00403B07" w:rsidRPr="00C22DFB" w:rsidRDefault="00403B07" w:rsidP="00B01272">
            <w:pPr>
              <w:rPr>
                <w:b/>
                <w:color w:val="0000FF"/>
              </w:rPr>
            </w:pPr>
            <w:r w:rsidRPr="00C22DFB">
              <w:rPr>
                <w:b/>
                <w:color w:val="0000FF"/>
              </w:rPr>
              <w:t>3</w:t>
            </w:r>
            <w:r>
              <w:rPr>
                <w:b/>
                <w:color w:val="0000FF"/>
              </w:rPr>
              <w:t>3</w:t>
            </w:r>
          </w:p>
        </w:tc>
      </w:tr>
      <w:tr w:rsidR="00403B07" w:rsidRPr="00C22DFB" w14:paraId="265C167B" w14:textId="77777777" w:rsidTr="00B01272">
        <w:tc>
          <w:tcPr>
            <w:tcW w:w="2371" w:type="dxa"/>
          </w:tcPr>
          <w:p w14:paraId="315CABCF" w14:textId="77777777" w:rsidR="00403B07" w:rsidRPr="00C22DFB" w:rsidRDefault="00403B07" w:rsidP="00B01272">
            <w:r w:rsidRPr="00C22DFB">
              <w:t>Ice cream</w:t>
            </w:r>
          </w:p>
        </w:tc>
        <w:tc>
          <w:tcPr>
            <w:tcW w:w="881" w:type="dxa"/>
          </w:tcPr>
          <w:p w14:paraId="4B37FD10" w14:textId="77777777" w:rsidR="00403B07" w:rsidRPr="00C22DFB" w:rsidRDefault="00403B07" w:rsidP="00B01272">
            <w:pPr>
              <w:rPr>
                <w:b/>
                <w:color w:val="FF0000"/>
              </w:rPr>
            </w:pPr>
            <w:r>
              <w:rPr>
                <w:b/>
                <w:color w:val="FF0000"/>
              </w:rPr>
              <w:t>19</w:t>
            </w:r>
          </w:p>
        </w:tc>
        <w:tc>
          <w:tcPr>
            <w:tcW w:w="1138" w:type="dxa"/>
          </w:tcPr>
          <w:p w14:paraId="3DF438FD" w14:textId="77777777" w:rsidR="00403B07" w:rsidRPr="00C22DFB" w:rsidRDefault="00403B07" w:rsidP="00B01272">
            <w:pPr>
              <w:rPr>
                <w:b/>
                <w:color w:val="0000FF"/>
              </w:rPr>
            </w:pPr>
            <w:r w:rsidRPr="00C22DFB">
              <w:rPr>
                <w:b/>
                <w:color w:val="0000FF"/>
              </w:rPr>
              <w:t>1</w:t>
            </w:r>
            <w:r>
              <w:rPr>
                <w:b/>
                <w:color w:val="0000FF"/>
              </w:rPr>
              <w:t>5</w:t>
            </w:r>
          </w:p>
        </w:tc>
        <w:tc>
          <w:tcPr>
            <w:tcW w:w="2551" w:type="dxa"/>
          </w:tcPr>
          <w:p w14:paraId="5D3B0425" w14:textId="77777777" w:rsidR="00403B07" w:rsidRPr="00C22DFB" w:rsidRDefault="00403B07" w:rsidP="00B01272">
            <w:r>
              <w:t>Hard cheese</w:t>
            </w:r>
          </w:p>
        </w:tc>
        <w:tc>
          <w:tcPr>
            <w:tcW w:w="851" w:type="dxa"/>
          </w:tcPr>
          <w:p w14:paraId="3C1AEF29" w14:textId="77777777" w:rsidR="00403B07" w:rsidRPr="00C22DFB" w:rsidRDefault="00403B07" w:rsidP="00B01272">
            <w:pPr>
              <w:rPr>
                <w:b/>
                <w:color w:val="FF0000"/>
              </w:rPr>
            </w:pPr>
            <w:r>
              <w:rPr>
                <w:b/>
                <w:color w:val="FF0000"/>
              </w:rPr>
              <w:t>50</w:t>
            </w:r>
          </w:p>
        </w:tc>
        <w:tc>
          <w:tcPr>
            <w:tcW w:w="1224" w:type="dxa"/>
          </w:tcPr>
          <w:p w14:paraId="7055CB10" w14:textId="77777777" w:rsidR="00403B07" w:rsidRPr="00C22DFB" w:rsidRDefault="00403B07" w:rsidP="00B01272">
            <w:pPr>
              <w:rPr>
                <w:b/>
                <w:color w:val="0000FF"/>
              </w:rPr>
            </w:pPr>
            <w:r>
              <w:rPr>
                <w:b/>
                <w:color w:val="0000FF"/>
              </w:rPr>
              <w:t>46</w:t>
            </w:r>
          </w:p>
        </w:tc>
      </w:tr>
      <w:tr w:rsidR="00403B07" w:rsidRPr="00C22DFB" w14:paraId="2E1F27CF" w14:textId="77777777" w:rsidTr="00B01272">
        <w:tc>
          <w:tcPr>
            <w:tcW w:w="2371" w:type="dxa"/>
          </w:tcPr>
          <w:p w14:paraId="35D7354A" w14:textId="77777777" w:rsidR="00403B07" w:rsidRPr="00C22DFB" w:rsidRDefault="00403B07" w:rsidP="00B01272">
            <w:r w:rsidRPr="00C22DFB">
              <w:t>Crisps</w:t>
            </w:r>
          </w:p>
        </w:tc>
        <w:tc>
          <w:tcPr>
            <w:tcW w:w="881" w:type="dxa"/>
          </w:tcPr>
          <w:p w14:paraId="1C243219" w14:textId="77777777" w:rsidR="00403B07" w:rsidRPr="00C22DFB" w:rsidRDefault="00403B07" w:rsidP="00B01272">
            <w:pPr>
              <w:rPr>
                <w:b/>
                <w:color w:val="FF0000"/>
              </w:rPr>
            </w:pPr>
            <w:r>
              <w:rPr>
                <w:b/>
                <w:color w:val="FF0000"/>
              </w:rPr>
              <w:t>27</w:t>
            </w:r>
          </w:p>
        </w:tc>
        <w:tc>
          <w:tcPr>
            <w:tcW w:w="1138" w:type="dxa"/>
          </w:tcPr>
          <w:p w14:paraId="33A2B73C" w14:textId="77777777" w:rsidR="00403B07" w:rsidRPr="00C22DFB" w:rsidRDefault="00403B07" w:rsidP="00B01272">
            <w:pPr>
              <w:rPr>
                <w:b/>
                <w:color w:val="0000FF"/>
              </w:rPr>
            </w:pPr>
            <w:r w:rsidRPr="00C22DFB">
              <w:rPr>
                <w:b/>
                <w:color w:val="0000FF"/>
              </w:rPr>
              <w:t>2</w:t>
            </w:r>
            <w:r>
              <w:rPr>
                <w:b/>
                <w:color w:val="0000FF"/>
              </w:rPr>
              <w:t>3</w:t>
            </w:r>
          </w:p>
        </w:tc>
        <w:tc>
          <w:tcPr>
            <w:tcW w:w="2551" w:type="dxa"/>
          </w:tcPr>
          <w:p w14:paraId="045C3D96" w14:textId="77777777" w:rsidR="00403B07" w:rsidRPr="00C22DFB" w:rsidRDefault="00403B07" w:rsidP="00B01272">
            <w:r>
              <w:t>Yoghurt</w:t>
            </w:r>
          </w:p>
        </w:tc>
        <w:tc>
          <w:tcPr>
            <w:tcW w:w="851" w:type="dxa"/>
          </w:tcPr>
          <w:p w14:paraId="61B34D3A" w14:textId="77777777" w:rsidR="00403B07" w:rsidRPr="00C22DFB" w:rsidRDefault="00403B07" w:rsidP="00B01272">
            <w:pPr>
              <w:rPr>
                <w:b/>
                <w:color w:val="FF0000"/>
              </w:rPr>
            </w:pPr>
            <w:r>
              <w:rPr>
                <w:b/>
                <w:color w:val="FF0000"/>
              </w:rPr>
              <w:t>52</w:t>
            </w:r>
          </w:p>
        </w:tc>
        <w:tc>
          <w:tcPr>
            <w:tcW w:w="1224" w:type="dxa"/>
          </w:tcPr>
          <w:p w14:paraId="36A68A94" w14:textId="77777777" w:rsidR="00403B07" w:rsidRPr="00C22DFB" w:rsidRDefault="00403B07" w:rsidP="00B01272">
            <w:pPr>
              <w:rPr>
                <w:b/>
                <w:color w:val="0000FF"/>
              </w:rPr>
            </w:pPr>
            <w:r>
              <w:rPr>
                <w:b/>
                <w:color w:val="0000FF"/>
              </w:rPr>
              <w:t>48</w:t>
            </w:r>
          </w:p>
        </w:tc>
      </w:tr>
      <w:tr w:rsidR="00403B07" w:rsidRPr="00C22DFB" w14:paraId="5DFE0D55" w14:textId="77777777" w:rsidTr="00B01272">
        <w:tc>
          <w:tcPr>
            <w:tcW w:w="2371" w:type="dxa"/>
          </w:tcPr>
          <w:p w14:paraId="7C46F415" w14:textId="77777777" w:rsidR="00403B07" w:rsidRPr="00C22DFB" w:rsidRDefault="00403B07" w:rsidP="00B01272">
            <w:r w:rsidRPr="00C22DFB">
              <w:t>Salty nuts</w:t>
            </w:r>
          </w:p>
        </w:tc>
        <w:tc>
          <w:tcPr>
            <w:tcW w:w="881" w:type="dxa"/>
          </w:tcPr>
          <w:p w14:paraId="490EB932" w14:textId="77777777" w:rsidR="00403B07" w:rsidRPr="00C22DFB" w:rsidRDefault="00403B07" w:rsidP="00B01272">
            <w:pPr>
              <w:rPr>
                <w:b/>
                <w:color w:val="FF0000"/>
              </w:rPr>
            </w:pPr>
            <w:r w:rsidRPr="00C22DFB">
              <w:rPr>
                <w:b/>
                <w:color w:val="FF0000"/>
              </w:rPr>
              <w:t>3</w:t>
            </w:r>
            <w:r>
              <w:rPr>
                <w:b/>
                <w:color w:val="FF0000"/>
              </w:rPr>
              <w:t>3</w:t>
            </w:r>
          </w:p>
        </w:tc>
        <w:tc>
          <w:tcPr>
            <w:tcW w:w="1138" w:type="dxa"/>
          </w:tcPr>
          <w:p w14:paraId="54E39ED6" w14:textId="77777777" w:rsidR="00403B07" w:rsidRPr="00C22DFB" w:rsidRDefault="00403B07" w:rsidP="00B01272">
            <w:pPr>
              <w:rPr>
                <w:b/>
                <w:color w:val="0000FF"/>
              </w:rPr>
            </w:pPr>
            <w:r>
              <w:rPr>
                <w:b/>
                <w:color w:val="0000FF"/>
              </w:rPr>
              <w:t>29</w:t>
            </w:r>
          </w:p>
        </w:tc>
        <w:tc>
          <w:tcPr>
            <w:tcW w:w="2551" w:type="dxa"/>
          </w:tcPr>
          <w:p w14:paraId="3B515242" w14:textId="77777777" w:rsidR="00403B07" w:rsidRPr="00C22DFB" w:rsidRDefault="00403B07" w:rsidP="00B01272">
            <w:r w:rsidRPr="00C22DFB">
              <w:t>Semi skimmed milk</w:t>
            </w:r>
          </w:p>
        </w:tc>
        <w:tc>
          <w:tcPr>
            <w:tcW w:w="851" w:type="dxa"/>
          </w:tcPr>
          <w:p w14:paraId="39CD71A3" w14:textId="77777777" w:rsidR="00403B07" w:rsidRPr="00C22DFB" w:rsidRDefault="00403B07" w:rsidP="00B01272">
            <w:pPr>
              <w:rPr>
                <w:b/>
                <w:color w:val="FF0000"/>
              </w:rPr>
            </w:pPr>
            <w:r>
              <w:rPr>
                <w:b/>
                <w:color w:val="FF0000"/>
              </w:rPr>
              <w:t>59</w:t>
            </w:r>
          </w:p>
        </w:tc>
        <w:tc>
          <w:tcPr>
            <w:tcW w:w="1224" w:type="dxa"/>
          </w:tcPr>
          <w:p w14:paraId="198D54E1" w14:textId="77777777" w:rsidR="00403B07" w:rsidRPr="00C22DFB" w:rsidRDefault="00403B07" w:rsidP="00B01272">
            <w:pPr>
              <w:rPr>
                <w:b/>
                <w:color w:val="0000FF"/>
              </w:rPr>
            </w:pPr>
            <w:r>
              <w:rPr>
                <w:b/>
                <w:color w:val="0000FF"/>
              </w:rPr>
              <w:t>55</w:t>
            </w:r>
          </w:p>
        </w:tc>
      </w:tr>
      <w:tr w:rsidR="00403B07" w:rsidRPr="00C22DFB" w14:paraId="18E1FC28" w14:textId="77777777" w:rsidTr="00B01272">
        <w:tc>
          <w:tcPr>
            <w:tcW w:w="2371" w:type="dxa"/>
          </w:tcPr>
          <w:p w14:paraId="76526EA9" w14:textId="77777777" w:rsidR="00403B07" w:rsidRPr="00C22DFB" w:rsidRDefault="00403B07" w:rsidP="00B01272">
            <w:r w:rsidRPr="00C22DFB">
              <w:t>Pies/pasties</w:t>
            </w:r>
          </w:p>
        </w:tc>
        <w:tc>
          <w:tcPr>
            <w:tcW w:w="881" w:type="dxa"/>
          </w:tcPr>
          <w:p w14:paraId="536C421A" w14:textId="77777777" w:rsidR="00403B07" w:rsidRPr="00C22DFB" w:rsidRDefault="00403B07" w:rsidP="00B01272">
            <w:pPr>
              <w:rPr>
                <w:b/>
                <w:color w:val="FF0000"/>
              </w:rPr>
            </w:pPr>
            <w:r w:rsidRPr="00C22DFB">
              <w:rPr>
                <w:b/>
                <w:color w:val="FF0000"/>
              </w:rPr>
              <w:t>4</w:t>
            </w:r>
            <w:r>
              <w:rPr>
                <w:b/>
                <w:color w:val="FF0000"/>
              </w:rPr>
              <w:t>4</w:t>
            </w:r>
          </w:p>
        </w:tc>
        <w:tc>
          <w:tcPr>
            <w:tcW w:w="1138" w:type="dxa"/>
          </w:tcPr>
          <w:p w14:paraId="7B30D142" w14:textId="77777777" w:rsidR="00403B07" w:rsidRPr="00C22DFB" w:rsidRDefault="00403B07" w:rsidP="00B01272">
            <w:pPr>
              <w:rPr>
                <w:b/>
                <w:color w:val="0000FF"/>
              </w:rPr>
            </w:pPr>
            <w:r w:rsidRPr="00C22DFB">
              <w:rPr>
                <w:b/>
                <w:color w:val="0000FF"/>
              </w:rPr>
              <w:t>4</w:t>
            </w:r>
            <w:r>
              <w:rPr>
                <w:b/>
                <w:color w:val="0000FF"/>
              </w:rPr>
              <w:t>0</w:t>
            </w:r>
          </w:p>
        </w:tc>
        <w:tc>
          <w:tcPr>
            <w:tcW w:w="2551" w:type="dxa"/>
          </w:tcPr>
          <w:p w14:paraId="1AD8CDCF" w14:textId="77777777" w:rsidR="00403B07" w:rsidRPr="00C22DFB" w:rsidRDefault="00403B07" w:rsidP="00B01272"/>
        </w:tc>
        <w:tc>
          <w:tcPr>
            <w:tcW w:w="851" w:type="dxa"/>
          </w:tcPr>
          <w:p w14:paraId="0A5C495B" w14:textId="77777777" w:rsidR="00403B07" w:rsidRPr="00C22DFB" w:rsidRDefault="00403B07" w:rsidP="00B01272">
            <w:pPr>
              <w:rPr>
                <w:b/>
                <w:color w:val="FF0000"/>
              </w:rPr>
            </w:pPr>
          </w:p>
        </w:tc>
        <w:tc>
          <w:tcPr>
            <w:tcW w:w="1224" w:type="dxa"/>
          </w:tcPr>
          <w:p w14:paraId="1176E2A8" w14:textId="77777777" w:rsidR="00403B07" w:rsidRPr="00C22DFB" w:rsidRDefault="00403B07" w:rsidP="00B01272">
            <w:pPr>
              <w:rPr>
                <w:b/>
                <w:color w:val="0000FF"/>
              </w:rPr>
            </w:pPr>
          </w:p>
        </w:tc>
      </w:tr>
      <w:tr w:rsidR="00403B07" w:rsidRPr="00C22DFB" w14:paraId="2720B461" w14:textId="77777777" w:rsidTr="00B01272">
        <w:tc>
          <w:tcPr>
            <w:tcW w:w="2371" w:type="dxa"/>
          </w:tcPr>
          <w:p w14:paraId="30935C0E" w14:textId="77777777" w:rsidR="00403B07" w:rsidRPr="00C22DFB" w:rsidRDefault="00403B07" w:rsidP="00B01272">
            <w:r w:rsidRPr="00C22DFB">
              <w:t>Processed cheese</w:t>
            </w:r>
          </w:p>
        </w:tc>
        <w:tc>
          <w:tcPr>
            <w:tcW w:w="881" w:type="dxa"/>
          </w:tcPr>
          <w:p w14:paraId="203F508A" w14:textId="77777777" w:rsidR="00403B07" w:rsidRPr="00C22DFB" w:rsidRDefault="00403B07" w:rsidP="00B01272">
            <w:pPr>
              <w:rPr>
                <w:b/>
                <w:color w:val="FF0000"/>
              </w:rPr>
            </w:pPr>
            <w:r w:rsidRPr="00C22DFB">
              <w:rPr>
                <w:b/>
                <w:color w:val="FF0000"/>
              </w:rPr>
              <w:t>5</w:t>
            </w:r>
            <w:r>
              <w:rPr>
                <w:b/>
                <w:color w:val="FF0000"/>
              </w:rPr>
              <w:t>1</w:t>
            </w:r>
          </w:p>
        </w:tc>
        <w:tc>
          <w:tcPr>
            <w:tcW w:w="1138" w:type="dxa"/>
          </w:tcPr>
          <w:p w14:paraId="3801949A" w14:textId="77777777" w:rsidR="00403B07" w:rsidRPr="00C22DFB" w:rsidRDefault="00403B07" w:rsidP="00B01272">
            <w:pPr>
              <w:rPr>
                <w:b/>
                <w:color w:val="0000FF"/>
              </w:rPr>
            </w:pPr>
            <w:r>
              <w:rPr>
                <w:b/>
                <w:color w:val="0000FF"/>
              </w:rPr>
              <w:t>47</w:t>
            </w:r>
          </w:p>
        </w:tc>
        <w:tc>
          <w:tcPr>
            <w:tcW w:w="2551" w:type="dxa"/>
          </w:tcPr>
          <w:p w14:paraId="2FAEA2F3" w14:textId="77777777" w:rsidR="00403B07" w:rsidRPr="00C22DFB" w:rsidRDefault="00403B07" w:rsidP="00B01272"/>
        </w:tc>
        <w:tc>
          <w:tcPr>
            <w:tcW w:w="851" w:type="dxa"/>
          </w:tcPr>
          <w:p w14:paraId="59AE174C" w14:textId="77777777" w:rsidR="00403B07" w:rsidRPr="00C22DFB" w:rsidRDefault="00403B07" w:rsidP="00B01272">
            <w:pPr>
              <w:rPr>
                <w:b/>
                <w:color w:val="FF0000"/>
              </w:rPr>
            </w:pPr>
          </w:p>
        </w:tc>
        <w:tc>
          <w:tcPr>
            <w:tcW w:w="1224" w:type="dxa"/>
          </w:tcPr>
          <w:p w14:paraId="06C0A258" w14:textId="77777777" w:rsidR="00403B07" w:rsidRPr="00C22DFB" w:rsidRDefault="00403B07" w:rsidP="00B01272">
            <w:pPr>
              <w:rPr>
                <w:b/>
                <w:color w:val="0000FF"/>
              </w:rPr>
            </w:pPr>
          </w:p>
        </w:tc>
      </w:tr>
      <w:tr w:rsidR="00403B07" w:rsidRPr="00C22DFB" w14:paraId="2AAD2A10" w14:textId="77777777" w:rsidTr="00B01272">
        <w:tc>
          <w:tcPr>
            <w:tcW w:w="2371" w:type="dxa"/>
          </w:tcPr>
          <w:p w14:paraId="2CB4BFBC" w14:textId="77777777" w:rsidR="00403B07" w:rsidRPr="00C22DFB" w:rsidRDefault="00403B07" w:rsidP="00B01272">
            <w:r>
              <w:t xml:space="preserve">Sweetened </w:t>
            </w:r>
            <w:r w:rsidRPr="00C22DFB">
              <w:t>fizzy drinks</w:t>
            </w:r>
          </w:p>
        </w:tc>
        <w:tc>
          <w:tcPr>
            <w:tcW w:w="881" w:type="dxa"/>
          </w:tcPr>
          <w:p w14:paraId="2D2C689D" w14:textId="77777777" w:rsidR="00403B07" w:rsidRPr="00C22DFB" w:rsidRDefault="00403B07" w:rsidP="00B01272">
            <w:pPr>
              <w:rPr>
                <w:b/>
                <w:color w:val="FF0000"/>
              </w:rPr>
            </w:pPr>
            <w:r>
              <w:rPr>
                <w:b/>
                <w:color w:val="FF0000"/>
              </w:rPr>
              <w:t>55</w:t>
            </w:r>
          </w:p>
        </w:tc>
        <w:tc>
          <w:tcPr>
            <w:tcW w:w="1138" w:type="dxa"/>
          </w:tcPr>
          <w:p w14:paraId="1BB6164B" w14:textId="77777777" w:rsidR="00403B07" w:rsidRPr="00C22DFB" w:rsidRDefault="00403B07" w:rsidP="00B01272">
            <w:pPr>
              <w:rPr>
                <w:b/>
                <w:color w:val="0000FF"/>
              </w:rPr>
            </w:pPr>
            <w:r>
              <w:rPr>
                <w:b/>
                <w:color w:val="0000FF"/>
              </w:rPr>
              <w:t>51</w:t>
            </w:r>
          </w:p>
        </w:tc>
        <w:tc>
          <w:tcPr>
            <w:tcW w:w="2551" w:type="dxa"/>
          </w:tcPr>
          <w:p w14:paraId="33820B1F" w14:textId="77777777" w:rsidR="00403B07" w:rsidRPr="00C22DFB" w:rsidRDefault="00403B07" w:rsidP="00B01272">
            <w:pPr>
              <w:rPr>
                <w:b/>
              </w:rPr>
            </w:pPr>
          </w:p>
        </w:tc>
        <w:tc>
          <w:tcPr>
            <w:tcW w:w="851" w:type="dxa"/>
          </w:tcPr>
          <w:p w14:paraId="1EF16FDE" w14:textId="77777777" w:rsidR="00403B07" w:rsidRPr="00C22DFB" w:rsidRDefault="00403B07" w:rsidP="00B01272">
            <w:pPr>
              <w:rPr>
                <w:b/>
              </w:rPr>
            </w:pPr>
          </w:p>
        </w:tc>
        <w:tc>
          <w:tcPr>
            <w:tcW w:w="1224" w:type="dxa"/>
          </w:tcPr>
          <w:p w14:paraId="2F5D55B1" w14:textId="77777777" w:rsidR="00403B07" w:rsidRPr="00C22DFB" w:rsidRDefault="00403B07" w:rsidP="00B01272">
            <w:pPr>
              <w:rPr>
                <w:b/>
              </w:rPr>
            </w:pPr>
          </w:p>
        </w:tc>
      </w:tr>
    </w:tbl>
    <w:p w14:paraId="50337B95" w14:textId="77777777" w:rsidR="00403B07" w:rsidRDefault="00403B07" w:rsidP="00403B07"/>
    <w:p w14:paraId="6218DFD0" w14:textId="77777777" w:rsidR="00403B07" w:rsidRDefault="00403B07" w:rsidP="00403B07"/>
    <w:p w14:paraId="6F4F22D9" w14:textId="77777777" w:rsidR="00403B07" w:rsidRPr="00C46269" w:rsidRDefault="00403B07" w:rsidP="00403B07">
      <w:pPr>
        <w:rPr>
          <w:rFonts w:cs="Arial"/>
        </w:rPr>
      </w:pPr>
    </w:p>
    <w:p w14:paraId="49F8DB70" w14:textId="77777777" w:rsidR="00403B07" w:rsidRDefault="00403B07" w:rsidP="00403B07">
      <w:pPr>
        <w:rPr>
          <w:i/>
        </w:rPr>
      </w:pPr>
    </w:p>
    <w:p w14:paraId="6B073439" w14:textId="77777777" w:rsidR="00403B07" w:rsidRDefault="00403B07" w:rsidP="00403B07">
      <w:pPr>
        <w:rPr>
          <w:i/>
        </w:rPr>
      </w:pPr>
    </w:p>
    <w:p w14:paraId="0E6B5510" w14:textId="77777777" w:rsidR="00403B07" w:rsidRDefault="00403B07" w:rsidP="00403B07">
      <w:pPr>
        <w:rPr>
          <w:i/>
        </w:rPr>
      </w:pPr>
      <w:r>
        <w:rPr>
          <w:i/>
        </w:rPr>
        <w:br w:type="page"/>
      </w:r>
    </w:p>
    <w:p w14:paraId="46AAFF15" w14:textId="77777777" w:rsidR="00403B07" w:rsidRPr="001C4036" w:rsidRDefault="00403B07" w:rsidP="00403B07">
      <w:pPr>
        <w:rPr>
          <w:b/>
          <w:i/>
        </w:rPr>
      </w:pPr>
      <w:r w:rsidRPr="001C4036">
        <w:rPr>
          <w:rFonts w:cs="Arial"/>
          <w:b/>
          <w:i/>
        </w:rPr>
        <w:lastRenderedPageBreak/>
        <w:t>Appendix 2 (c) Food Intake Questionnaire scoring (continued)</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993"/>
        <w:gridCol w:w="1134"/>
        <w:gridCol w:w="2693"/>
        <w:gridCol w:w="992"/>
        <w:gridCol w:w="1134"/>
      </w:tblGrid>
      <w:tr w:rsidR="00403B07" w:rsidRPr="00C22DFB" w14:paraId="2C1EC68E" w14:textId="77777777" w:rsidTr="00B01272">
        <w:trPr>
          <w:trHeight w:val="905"/>
        </w:trPr>
        <w:tc>
          <w:tcPr>
            <w:tcW w:w="2263" w:type="dxa"/>
          </w:tcPr>
          <w:p w14:paraId="2908B248" w14:textId="77777777" w:rsidR="00403B07" w:rsidRPr="00C22DFB" w:rsidRDefault="00403B07" w:rsidP="00B01272">
            <w:pPr>
              <w:rPr>
                <w:b/>
              </w:rPr>
            </w:pPr>
            <w:r>
              <w:rPr>
                <w:b/>
              </w:rPr>
              <w:t>Negative marker foods (n=25</w:t>
            </w:r>
            <w:r w:rsidRPr="00C22DFB">
              <w:rPr>
                <w:b/>
              </w:rPr>
              <w:t>)</w:t>
            </w:r>
          </w:p>
        </w:tc>
        <w:tc>
          <w:tcPr>
            <w:tcW w:w="993" w:type="dxa"/>
          </w:tcPr>
          <w:p w14:paraId="4DAC2BFA" w14:textId="77777777" w:rsidR="00403B07" w:rsidRPr="00C22DFB" w:rsidRDefault="00403B07" w:rsidP="00B01272">
            <w:pPr>
              <w:rPr>
                <w:b/>
              </w:rPr>
            </w:pPr>
            <w:r w:rsidRPr="00C22DFB">
              <w:rPr>
                <w:b/>
              </w:rPr>
              <w:t>FIQ Week</w:t>
            </w:r>
            <w:r>
              <w:rPr>
                <w:b/>
              </w:rPr>
              <w:t xml:space="preserve"> item</w:t>
            </w:r>
          </w:p>
        </w:tc>
        <w:tc>
          <w:tcPr>
            <w:tcW w:w="1134" w:type="dxa"/>
          </w:tcPr>
          <w:p w14:paraId="611FFC05" w14:textId="77777777" w:rsidR="00403B07" w:rsidRPr="00C22DFB" w:rsidRDefault="00403B07" w:rsidP="00B01272">
            <w:pPr>
              <w:rPr>
                <w:b/>
              </w:rPr>
            </w:pPr>
            <w:r w:rsidRPr="00C22DFB">
              <w:rPr>
                <w:b/>
              </w:rPr>
              <w:t>FIQ Weekend</w:t>
            </w:r>
            <w:r>
              <w:rPr>
                <w:b/>
              </w:rPr>
              <w:t xml:space="preserve"> item</w:t>
            </w:r>
          </w:p>
        </w:tc>
        <w:tc>
          <w:tcPr>
            <w:tcW w:w="2693" w:type="dxa"/>
          </w:tcPr>
          <w:p w14:paraId="231442BB" w14:textId="77777777" w:rsidR="00403B07" w:rsidRPr="00C22DFB" w:rsidRDefault="00403B07" w:rsidP="00B01272">
            <w:pPr>
              <w:rPr>
                <w:b/>
              </w:rPr>
            </w:pPr>
            <w:r w:rsidRPr="00C22DFB">
              <w:rPr>
                <w:b/>
              </w:rPr>
              <w:t>Positive</w:t>
            </w:r>
            <w:r>
              <w:rPr>
                <w:b/>
              </w:rPr>
              <w:t xml:space="preserve"> marker foods (n=22</w:t>
            </w:r>
            <w:r w:rsidRPr="00C22DFB">
              <w:rPr>
                <w:b/>
              </w:rPr>
              <w:t>)</w:t>
            </w:r>
          </w:p>
        </w:tc>
        <w:tc>
          <w:tcPr>
            <w:tcW w:w="992" w:type="dxa"/>
          </w:tcPr>
          <w:p w14:paraId="5B50BD86" w14:textId="77777777" w:rsidR="00403B07" w:rsidRPr="00C22DFB" w:rsidRDefault="00403B07" w:rsidP="00B01272">
            <w:pPr>
              <w:rPr>
                <w:b/>
              </w:rPr>
            </w:pPr>
            <w:r w:rsidRPr="00C22DFB">
              <w:rPr>
                <w:b/>
              </w:rPr>
              <w:t>FIQ Week</w:t>
            </w:r>
            <w:r>
              <w:rPr>
                <w:b/>
              </w:rPr>
              <w:t xml:space="preserve"> item</w:t>
            </w:r>
          </w:p>
        </w:tc>
        <w:tc>
          <w:tcPr>
            <w:tcW w:w="1134" w:type="dxa"/>
          </w:tcPr>
          <w:p w14:paraId="4383A35C" w14:textId="77777777" w:rsidR="00403B07" w:rsidRPr="00C22DFB" w:rsidRDefault="00403B07" w:rsidP="00B01272">
            <w:pPr>
              <w:rPr>
                <w:b/>
              </w:rPr>
            </w:pPr>
            <w:r w:rsidRPr="00C22DFB">
              <w:rPr>
                <w:b/>
              </w:rPr>
              <w:t>FIQ Weekend</w:t>
            </w:r>
            <w:r>
              <w:rPr>
                <w:b/>
              </w:rPr>
              <w:t xml:space="preserve"> item</w:t>
            </w:r>
          </w:p>
        </w:tc>
      </w:tr>
      <w:tr w:rsidR="00403B07" w:rsidRPr="00C22DFB" w14:paraId="3D3AFAFF" w14:textId="77777777" w:rsidTr="00B01272">
        <w:trPr>
          <w:trHeight w:val="262"/>
        </w:trPr>
        <w:tc>
          <w:tcPr>
            <w:tcW w:w="2263" w:type="dxa"/>
          </w:tcPr>
          <w:p w14:paraId="33B41007" w14:textId="77777777" w:rsidR="00403B07" w:rsidRPr="00C22DFB" w:rsidRDefault="00403B07" w:rsidP="00B01272">
            <w:r w:rsidRPr="00C22DFB">
              <w:t>Sugar cereals</w:t>
            </w:r>
          </w:p>
        </w:tc>
        <w:tc>
          <w:tcPr>
            <w:tcW w:w="993" w:type="dxa"/>
          </w:tcPr>
          <w:p w14:paraId="1DD7993D" w14:textId="77777777" w:rsidR="00403B07" w:rsidRPr="00C22DFB" w:rsidRDefault="00403B07" w:rsidP="00B01272">
            <w:pPr>
              <w:rPr>
                <w:b/>
                <w:color w:val="FF0000"/>
              </w:rPr>
            </w:pPr>
            <w:r w:rsidRPr="00C22DFB">
              <w:rPr>
                <w:b/>
                <w:color w:val="FF0000"/>
              </w:rPr>
              <w:t>6</w:t>
            </w:r>
          </w:p>
        </w:tc>
        <w:tc>
          <w:tcPr>
            <w:tcW w:w="1134" w:type="dxa"/>
          </w:tcPr>
          <w:p w14:paraId="731E7194" w14:textId="77777777" w:rsidR="00403B07" w:rsidRPr="00C22DFB" w:rsidRDefault="00403B07" w:rsidP="00B01272">
            <w:pPr>
              <w:rPr>
                <w:b/>
                <w:color w:val="0000FF"/>
              </w:rPr>
            </w:pPr>
            <w:r w:rsidRPr="00C22DFB">
              <w:rPr>
                <w:b/>
                <w:color w:val="0000FF"/>
              </w:rPr>
              <w:t>2</w:t>
            </w:r>
          </w:p>
        </w:tc>
        <w:tc>
          <w:tcPr>
            <w:tcW w:w="2693" w:type="dxa"/>
          </w:tcPr>
          <w:p w14:paraId="71F83259" w14:textId="77777777" w:rsidR="00403B07" w:rsidRPr="00C22DFB" w:rsidRDefault="00403B07" w:rsidP="00B01272">
            <w:r w:rsidRPr="00C22DFB">
              <w:t>Low sugar cereals</w:t>
            </w:r>
          </w:p>
        </w:tc>
        <w:tc>
          <w:tcPr>
            <w:tcW w:w="992" w:type="dxa"/>
          </w:tcPr>
          <w:p w14:paraId="59B07CA3" w14:textId="77777777" w:rsidR="00403B07" w:rsidRPr="00C22DFB" w:rsidRDefault="00403B07" w:rsidP="00B01272">
            <w:pPr>
              <w:rPr>
                <w:b/>
                <w:color w:val="FF0000"/>
              </w:rPr>
            </w:pPr>
            <w:r w:rsidRPr="00C22DFB">
              <w:rPr>
                <w:b/>
                <w:color w:val="FF0000"/>
              </w:rPr>
              <w:t>7</w:t>
            </w:r>
          </w:p>
        </w:tc>
        <w:tc>
          <w:tcPr>
            <w:tcW w:w="1134" w:type="dxa"/>
          </w:tcPr>
          <w:p w14:paraId="62AA603D" w14:textId="77777777" w:rsidR="00403B07" w:rsidRPr="00C22DFB" w:rsidRDefault="00403B07" w:rsidP="00B01272">
            <w:pPr>
              <w:rPr>
                <w:b/>
                <w:color w:val="0000FF"/>
              </w:rPr>
            </w:pPr>
            <w:r w:rsidRPr="00C22DFB">
              <w:rPr>
                <w:b/>
                <w:color w:val="0000FF"/>
              </w:rPr>
              <w:t>3</w:t>
            </w:r>
          </w:p>
        </w:tc>
      </w:tr>
      <w:tr w:rsidR="00403B07" w:rsidRPr="00C22DFB" w14:paraId="5F85A06D" w14:textId="77777777" w:rsidTr="00B01272">
        <w:tc>
          <w:tcPr>
            <w:tcW w:w="2263" w:type="dxa"/>
          </w:tcPr>
          <w:p w14:paraId="1ABBE5A0" w14:textId="77777777" w:rsidR="00403B07" w:rsidRPr="00C22DFB" w:rsidRDefault="00403B07" w:rsidP="00B01272">
            <w:r w:rsidRPr="00C22DFB">
              <w:t>Butter</w:t>
            </w:r>
            <w:r>
              <w:t xml:space="preserve">/margarine </w:t>
            </w:r>
          </w:p>
        </w:tc>
        <w:tc>
          <w:tcPr>
            <w:tcW w:w="993" w:type="dxa"/>
          </w:tcPr>
          <w:p w14:paraId="3564EE90" w14:textId="77777777" w:rsidR="00403B07" w:rsidRPr="00C22DFB" w:rsidRDefault="00403B07" w:rsidP="00B01272">
            <w:pPr>
              <w:rPr>
                <w:b/>
                <w:color w:val="FF0000"/>
              </w:rPr>
            </w:pPr>
            <w:r w:rsidRPr="00C22DFB">
              <w:rPr>
                <w:b/>
                <w:color w:val="FF0000"/>
              </w:rPr>
              <w:t>12</w:t>
            </w:r>
          </w:p>
        </w:tc>
        <w:tc>
          <w:tcPr>
            <w:tcW w:w="1134" w:type="dxa"/>
          </w:tcPr>
          <w:p w14:paraId="7C20D011" w14:textId="77777777" w:rsidR="00403B07" w:rsidRPr="00C22DFB" w:rsidRDefault="00403B07" w:rsidP="00B01272">
            <w:pPr>
              <w:rPr>
                <w:b/>
                <w:color w:val="0000FF"/>
              </w:rPr>
            </w:pPr>
            <w:r w:rsidRPr="00C22DFB">
              <w:rPr>
                <w:b/>
                <w:color w:val="0000FF"/>
              </w:rPr>
              <w:t>8</w:t>
            </w:r>
          </w:p>
        </w:tc>
        <w:tc>
          <w:tcPr>
            <w:tcW w:w="2693" w:type="dxa"/>
          </w:tcPr>
          <w:p w14:paraId="11DB2081" w14:textId="77777777" w:rsidR="00403B07" w:rsidRPr="00C22DFB" w:rsidRDefault="00403B07" w:rsidP="00B01272">
            <w:r w:rsidRPr="00C22DFB">
              <w:t>Brown/wholemeal bread</w:t>
            </w:r>
          </w:p>
        </w:tc>
        <w:tc>
          <w:tcPr>
            <w:tcW w:w="992" w:type="dxa"/>
          </w:tcPr>
          <w:p w14:paraId="1E7A9FF3" w14:textId="77777777" w:rsidR="00403B07" w:rsidRPr="00C22DFB" w:rsidRDefault="00403B07" w:rsidP="00B01272">
            <w:pPr>
              <w:rPr>
                <w:b/>
                <w:color w:val="FF0000"/>
              </w:rPr>
            </w:pPr>
            <w:r w:rsidRPr="00C22DFB">
              <w:rPr>
                <w:b/>
                <w:color w:val="FF0000"/>
              </w:rPr>
              <w:t>9</w:t>
            </w:r>
          </w:p>
        </w:tc>
        <w:tc>
          <w:tcPr>
            <w:tcW w:w="1134" w:type="dxa"/>
          </w:tcPr>
          <w:p w14:paraId="6156F1C3" w14:textId="77777777" w:rsidR="00403B07" w:rsidRPr="00C22DFB" w:rsidRDefault="00403B07" w:rsidP="00B01272">
            <w:pPr>
              <w:rPr>
                <w:b/>
                <w:color w:val="0000FF"/>
              </w:rPr>
            </w:pPr>
            <w:r w:rsidRPr="00C22DFB">
              <w:rPr>
                <w:b/>
                <w:color w:val="0000FF"/>
              </w:rPr>
              <w:t>5</w:t>
            </w:r>
          </w:p>
        </w:tc>
      </w:tr>
      <w:tr w:rsidR="00403B07" w:rsidRPr="00C22DFB" w14:paraId="7E1023CC" w14:textId="77777777" w:rsidTr="00B01272">
        <w:trPr>
          <w:trHeight w:val="428"/>
        </w:trPr>
        <w:tc>
          <w:tcPr>
            <w:tcW w:w="2263" w:type="dxa"/>
          </w:tcPr>
          <w:p w14:paraId="24686697" w14:textId="77777777" w:rsidR="00403B07" w:rsidRPr="00C22DFB" w:rsidRDefault="00403B07" w:rsidP="00B01272">
            <w:r w:rsidRPr="00C22DFB">
              <w:t>Biscuits</w:t>
            </w:r>
          </w:p>
        </w:tc>
        <w:tc>
          <w:tcPr>
            <w:tcW w:w="993" w:type="dxa"/>
          </w:tcPr>
          <w:p w14:paraId="54348566" w14:textId="77777777" w:rsidR="00403B07" w:rsidRPr="00C22DFB" w:rsidRDefault="00403B07" w:rsidP="00B01272">
            <w:pPr>
              <w:rPr>
                <w:b/>
                <w:color w:val="FF0000"/>
              </w:rPr>
            </w:pPr>
            <w:r>
              <w:rPr>
                <w:b/>
                <w:color w:val="FF0000"/>
              </w:rPr>
              <w:t>13</w:t>
            </w:r>
          </w:p>
        </w:tc>
        <w:tc>
          <w:tcPr>
            <w:tcW w:w="1134" w:type="dxa"/>
          </w:tcPr>
          <w:p w14:paraId="7DEE6C06" w14:textId="77777777" w:rsidR="00403B07" w:rsidRPr="00C22DFB" w:rsidRDefault="00403B07" w:rsidP="00B01272">
            <w:pPr>
              <w:rPr>
                <w:b/>
                <w:color w:val="0000FF"/>
              </w:rPr>
            </w:pPr>
            <w:r>
              <w:rPr>
                <w:b/>
                <w:color w:val="0000FF"/>
              </w:rPr>
              <w:t>9</w:t>
            </w:r>
          </w:p>
        </w:tc>
        <w:tc>
          <w:tcPr>
            <w:tcW w:w="2693" w:type="dxa"/>
          </w:tcPr>
          <w:p w14:paraId="3EB31771" w14:textId="77777777" w:rsidR="00403B07" w:rsidRPr="00C22DFB" w:rsidRDefault="00403B07" w:rsidP="00B01272">
            <w:r w:rsidRPr="00C22DFB">
              <w:t>Malt/fruit loaf</w:t>
            </w:r>
          </w:p>
        </w:tc>
        <w:tc>
          <w:tcPr>
            <w:tcW w:w="992" w:type="dxa"/>
          </w:tcPr>
          <w:p w14:paraId="77972E3A" w14:textId="77777777" w:rsidR="00403B07" w:rsidRPr="00C22DFB" w:rsidRDefault="00403B07" w:rsidP="00B01272">
            <w:pPr>
              <w:rPr>
                <w:b/>
                <w:color w:val="FF0000"/>
              </w:rPr>
            </w:pPr>
            <w:r w:rsidRPr="00C22DFB">
              <w:rPr>
                <w:b/>
                <w:color w:val="FF0000"/>
              </w:rPr>
              <w:t>10</w:t>
            </w:r>
          </w:p>
        </w:tc>
        <w:tc>
          <w:tcPr>
            <w:tcW w:w="1134" w:type="dxa"/>
          </w:tcPr>
          <w:p w14:paraId="7DD561A6" w14:textId="77777777" w:rsidR="00403B07" w:rsidRPr="00C22DFB" w:rsidRDefault="00403B07" w:rsidP="00B01272">
            <w:pPr>
              <w:rPr>
                <w:b/>
                <w:color w:val="0000FF"/>
              </w:rPr>
            </w:pPr>
            <w:r w:rsidRPr="00C22DFB">
              <w:rPr>
                <w:b/>
                <w:color w:val="0000FF"/>
              </w:rPr>
              <w:t>6</w:t>
            </w:r>
          </w:p>
        </w:tc>
      </w:tr>
      <w:tr w:rsidR="00403B07" w:rsidRPr="00C22DFB" w14:paraId="28961814" w14:textId="77777777" w:rsidTr="00B01272">
        <w:tc>
          <w:tcPr>
            <w:tcW w:w="2263" w:type="dxa"/>
          </w:tcPr>
          <w:p w14:paraId="4C3A4B1C" w14:textId="77777777" w:rsidR="00403B07" w:rsidRPr="00C22DFB" w:rsidRDefault="00403B07" w:rsidP="00B01272">
            <w:r w:rsidRPr="00C22DFB">
              <w:t>Chocolate biscuits</w:t>
            </w:r>
          </w:p>
        </w:tc>
        <w:tc>
          <w:tcPr>
            <w:tcW w:w="993" w:type="dxa"/>
          </w:tcPr>
          <w:p w14:paraId="736050B4" w14:textId="77777777" w:rsidR="00403B07" w:rsidRPr="00C22DFB" w:rsidRDefault="00403B07" w:rsidP="00B01272">
            <w:pPr>
              <w:rPr>
                <w:b/>
                <w:color w:val="FF0000"/>
              </w:rPr>
            </w:pPr>
            <w:r w:rsidRPr="00C22DFB">
              <w:rPr>
                <w:b/>
                <w:color w:val="FF0000"/>
              </w:rPr>
              <w:t>1</w:t>
            </w:r>
            <w:r>
              <w:rPr>
                <w:b/>
                <w:color w:val="FF0000"/>
              </w:rPr>
              <w:t>4</w:t>
            </w:r>
          </w:p>
        </w:tc>
        <w:tc>
          <w:tcPr>
            <w:tcW w:w="1134" w:type="dxa"/>
          </w:tcPr>
          <w:p w14:paraId="5104F9EF" w14:textId="77777777" w:rsidR="00403B07" w:rsidRPr="00C22DFB" w:rsidRDefault="00403B07" w:rsidP="00B01272">
            <w:pPr>
              <w:rPr>
                <w:b/>
                <w:color w:val="0000FF"/>
              </w:rPr>
            </w:pPr>
            <w:r w:rsidRPr="00C22DFB">
              <w:rPr>
                <w:b/>
                <w:color w:val="0000FF"/>
              </w:rPr>
              <w:t>1</w:t>
            </w:r>
            <w:r>
              <w:rPr>
                <w:b/>
                <w:color w:val="0000FF"/>
              </w:rPr>
              <w:t>0</w:t>
            </w:r>
          </w:p>
        </w:tc>
        <w:tc>
          <w:tcPr>
            <w:tcW w:w="2693" w:type="dxa"/>
          </w:tcPr>
          <w:p w14:paraId="46F51912" w14:textId="77777777" w:rsidR="00403B07" w:rsidRPr="00C22DFB" w:rsidRDefault="00403B07" w:rsidP="00B01272">
            <w:r>
              <w:t>Bread</w:t>
            </w:r>
            <w:r w:rsidRPr="00C22DFB">
              <w:t>sticks/crackers</w:t>
            </w:r>
          </w:p>
        </w:tc>
        <w:tc>
          <w:tcPr>
            <w:tcW w:w="992" w:type="dxa"/>
          </w:tcPr>
          <w:p w14:paraId="43CF99CF" w14:textId="77777777" w:rsidR="00403B07" w:rsidRPr="00C22DFB" w:rsidRDefault="00403B07" w:rsidP="00B01272">
            <w:pPr>
              <w:rPr>
                <w:b/>
                <w:color w:val="FF0000"/>
              </w:rPr>
            </w:pPr>
            <w:r w:rsidRPr="00C22DFB">
              <w:rPr>
                <w:b/>
                <w:color w:val="FF0000"/>
              </w:rPr>
              <w:t>11</w:t>
            </w:r>
          </w:p>
        </w:tc>
        <w:tc>
          <w:tcPr>
            <w:tcW w:w="1134" w:type="dxa"/>
          </w:tcPr>
          <w:p w14:paraId="0E4C84FA" w14:textId="77777777" w:rsidR="00403B07" w:rsidRPr="00C22DFB" w:rsidRDefault="00403B07" w:rsidP="00B01272">
            <w:pPr>
              <w:rPr>
                <w:b/>
                <w:color w:val="0000FF"/>
              </w:rPr>
            </w:pPr>
            <w:r w:rsidRPr="00C22DFB">
              <w:rPr>
                <w:b/>
                <w:color w:val="0000FF"/>
              </w:rPr>
              <w:t>7</w:t>
            </w:r>
          </w:p>
        </w:tc>
      </w:tr>
      <w:tr w:rsidR="00403B07" w:rsidRPr="00C22DFB" w14:paraId="7D850D05" w14:textId="77777777" w:rsidTr="00B01272">
        <w:tc>
          <w:tcPr>
            <w:tcW w:w="2263" w:type="dxa"/>
          </w:tcPr>
          <w:p w14:paraId="21268604" w14:textId="77777777" w:rsidR="00403B07" w:rsidRPr="00C22DFB" w:rsidRDefault="00403B07" w:rsidP="00B01272">
            <w:r w:rsidRPr="00C22DFB">
              <w:t>Cakes</w:t>
            </w:r>
          </w:p>
        </w:tc>
        <w:tc>
          <w:tcPr>
            <w:tcW w:w="993" w:type="dxa"/>
          </w:tcPr>
          <w:p w14:paraId="5DF01D9F" w14:textId="77777777" w:rsidR="00403B07" w:rsidRPr="00C22DFB" w:rsidRDefault="00403B07" w:rsidP="00B01272">
            <w:pPr>
              <w:rPr>
                <w:b/>
                <w:color w:val="FF0000"/>
              </w:rPr>
            </w:pPr>
            <w:r w:rsidRPr="00C22DFB">
              <w:rPr>
                <w:b/>
                <w:color w:val="FF0000"/>
              </w:rPr>
              <w:t>1</w:t>
            </w:r>
            <w:r>
              <w:rPr>
                <w:b/>
                <w:color w:val="FF0000"/>
              </w:rPr>
              <w:t>5</w:t>
            </w:r>
          </w:p>
        </w:tc>
        <w:tc>
          <w:tcPr>
            <w:tcW w:w="1134" w:type="dxa"/>
          </w:tcPr>
          <w:p w14:paraId="5FAD3241" w14:textId="77777777" w:rsidR="00403B07" w:rsidRPr="00C22DFB" w:rsidRDefault="00403B07" w:rsidP="00B01272">
            <w:pPr>
              <w:rPr>
                <w:b/>
                <w:color w:val="0000FF"/>
              </w:rPr>
            </w:pPr>
            <w:r w:rsidRPr="00C22DFB">
              <w:rPr>
                <w:b/>
                <w:color w:val="0000FF"/>
              </w:rPr>
              <w:t>1</w:t>
            </w:r>
            <w:r>
              <w:rPr>
                <w:b/>
                <w:color w:val="0000FF"/>
              </w:rPr>
              <w:t>1</w:t>
            </w:r>
          </w:p>
        </w:tc>
        <w:tc>
          <w:tcPr>
            <w:tcW w:w="2693" w:type="dxa"/>
          </w:tcPr>
          <w:p w14:paraId="126DCB1F" w14:textId="77777777" w:rsidR="00403B07" w:rsidRPr="00C22DFB" w:rsidRDefault="00403B07" w:rsidP="00B01272">
            <w:r w:rsidRPr="00C22DFB">
              <w:t>Boiled potatoes</w:t>
            </w:r>
          </w:p>
        </w:tc>
        <w:tc>
          <w:tcPr>
            <w:tcW w:w="992" w:type="dxa"/>
          </w:tcPr>
          <w:p w14:paraId="19162022" w14:textId="77777777" w:rsidR="00403B07" w:rsidRPr="00C22DFB" w:rsidRDefault="00403B07" w:rsidP="00B01272">
            <w:pPr>
              <w:rPr>
                <w:b/>
                <w:color w:val="FF0000"/>
              </w:rPr>
            </w:pPr>
            <w:r w:rsidRPr="00C22DFB">
              <w:rPr>
                <w:b/>
                <w:color w:val="FF0000"/>
              </w:rPr>
              <w:t>2</w:t>
            </w:r>
            <w:r>
              <w:rPr>
                <w:b/>
                <w:color w:val="FF0000"/>
              </w:rPr>
              <w:t>2</w:t>
            </w:r>
          </w:p>
        </w:tc>
        <w:tc>
          <w:tcPr>
            <w:tcW w:w="1134" w:type="dxa"/>
          </w:tcPr>
          <w:p w14:paraId="00DB70DA" w14:textId="77777777" w:rsidR="00403B07" w:rsidRPr="00C22DFB" w:rsidRDefault="00403B07" w:rsidP="00B01272">
            <w:pPr>
              <w:rPr>
                <w:b/>
                <w:color w:val="0000FF"/>
              </w:rPr>
            </w:pPr>
            <w:r>
              <w:rPr>
                <w:b/>
                <w:color w:val="0000FF"/>
              </w:rPr>
              <w:t>18</w:t>
            </w:r>
          </w:p>
        </w:tc>
      </w:tr>
      <w:tr w:rsidR="00403B07" w:rsidRPr="00C22DFB" w14:paraId="3B7A005F" w14:textId="77777777" w:rsidTr="00B01272">
        <w:tc>
          <w:tcPr>
            <w:tcW w:w="2263" w:type="dxa"/>
          </w:tcPr>
          <w:p w14:paraId="74517100" w14:textId="77777777" w:rsidR="00403B07" w:rsidRPr="00C22DFB" w:rsidRDefault="00403B07" w:rsidP="00B01272">
            <w:r w:rsidRPr="00C22DFB">
              <w:t>Puddings</w:t>
            </w:r>
          </w:p>
        </w:tc>
        <w:tc>
          <w:tcPr>
            <w:tcW w:w="993" w:type="dxa"/>
          </w:tcPr>
          <w:p w14:paraId="7368FFDD" w14:textId="77777777" w:rsidR="00403B07" w:rsidRPr="00C22DFB" w:rsidRDefault="00403B07" w:rsidP="00B01272">
            <w:pPr>
              <w:rPr>
                <w:b/>
                <w:color w:val="FF0000"/>
              </w:rPr>
            </w:pPr>
            <w:r w:rsidRPr="00C22DFB">
              <w:rPr>
                <w:b/>
                <w:color w:val="FF0000"/>
              </w:rPr>
              <w:t>1</w:t>
            </w:r>
            <w:r>
              <w:rPr>
                <w:b/>
                <w:color w:val="FF0000"/>
              </w:rPr>
              <w:t>6</w:t>
            </w:r>
          </w:p>
        </w:tc>
        <w:tc>
          <w:tcPr>
            <w:tcW w:w="1134" w:type="dxa"/>
          </w:tcPr>
          <w:p w14:paraId="1E2CACA9" w14:textId="77777777" w:rsidR="00403B07" w:rsidRPr="00C22DFB" w:rsidRDefault="00403B07" w:rsidP="00B01272">
            <w:pPr>
              <w:rPr>
                <w:b/>
                <w:color w:val="0000FF"/>
              </w:rPr>
            </w:pPr>
            <w:r w:rsidRPr="00C22DFB">
              <w:rPr>
                <w:b/>
                <w:color w:val="0000FF"/>
              </w:rPr>
              <w:t>1</w:t>
            </w:r>
            <w:r>
              <w:rPr>
                <w:b/>
                <w:color w:val="0000FF"/>
              </w:rPr>
              <w:t>2</w:t>
            </w:r>
          </w:p>
        </w:tc>
        <w:tc>
          <w:tcPr>
            <w:tcW w:w="2693" w:type="dxa"/>
          </w:tcPr>
          <w:p w14:paraId="32E88E1C" w14:textId="77777777" w:rsidR="00403B07" w:rsidRPr="00C22DFB" w:rsidRDefault="00403B07" w:rsidP="00B01272">
            <w:r w:rsidRPr="00C22DFB">
              <w:t>Mashed potatoes</w:t>
            </w:r>
          </w:p>
        </w:tc>
        <w:tc>
          <w:tcPr>
            <w:tcW w:w="992" w:type="dxa"/>
          </w:tcPr>
          <w:p w14:paraId="1EA0A349" w14:textId="77777777" w:rsidR="00403B07" w:rsidRPr="00C22DFB" w:rsidRDefault="00403B07" w:rsidP="00B01272">
            <w:pPr>
              <w:rPr>
                <w:b/>
                <w:color w:val="FF0000"/>
              </w:rPr>
            </w:pPr>
            <w:r w:rsidRPr="00C22DFB">
              <w:rPr>
                <w:b/>
                <w:color w:val="FF0000"/>
              </w:rPr>
              <w:t>2</w:t>
            </w:r>
            <w:r>
              <w:rPr>
                <w:b/>
                <w:color w:val="FF0000"/>
              </w:rPr>
              <w:t>3</w:t>
            </w:r>
          </w:p>
        </w:tc>
        <w:tc>
          <w:tcPr>
            <w:tcW w:w="1134" w:type="dxa"/>
          </w:tcPr>
          <w:p w14:paraId="13A4FC91" w14:textId="77777777" w:rsidR="00403B07" w:rsidRPr="00C22DFB" w:rsidRDefault="00403B07" w:rsidP="00B01272">
            <w:pPr>
              <w:rPr>
                <w:b/>
                <w:color w:val="0000FF"/>
              </w:rPr>
            </w:pPr>
            <w:r>
              <w:rPr>
                <w:b/>
                <w:color w:val="0000FF"/>
              </w:rPr>
              <w:t>19</w:t>
            </w:r>
          </w:p>
        </w:tc>
      </w:tr>
      <w:tr w:rsidR="00403B07" w:rsidRPr="00C22DFB" w14:paraId="07B8CC3A" w14:textId="77777777" w:rsidTr="00B01272">
        <w:tc>
          <w:tcPr>
            <w:tcW w:w="2263" w:type="dxa"/>
          </w:tcPr>
          <w:p w14:paraId="526D111B" w14:textId="77777777" w:rsidR="00403B07" w:rsidRPr="00C22DFB" w:rsidRDefault="00403B07" w:rsidP="00B01272">
            <w:r w:rsidRPr="00C22DFB">
              <w:t>Boiled sweets</w:t>
            </w:r>
          </w:p>
        </w:tc>
        <w:tc>
          <w:tcPr>
            <w:tcW w:w="993" w:type="dxa"/>
          </w:tcPr>
          <w:p w14:paraId="3D36156C" w14:textId="77777777" w:rsidR="00403B07" w:rsidRPr="00C22DFB" w:rsidRDefault="00403B07" w:rsidP="00B01272">
            <w:pPr>
              <w:rPr>
                <w:b/>
                <w:color w:val="FF0000"/>
              </w:rPr>
            </w:pPr>
            <w:r>
              <w:rPr>
                <w:b/>
                <w:color w:val="FF0000"/>
              </w:rPr>
              <w:t>17</w:t>
            </w:r>
          </w:p>
        </w:tc>
        <w:tc>
          <w:tcPr>
            <w:tcW w:w="1134" w:type="dxa"/>
          </w:tcPr>
          <w:p w14:paraId="5EE09731" w14:textId="77777777" w:rsidR="00403B07" w:rsidRPr="00C22DFB" w:rsidRDefault="00403B07" w:rsidP="00B01272">
            <w:pPr>
              <w:rPr>
                <w:b/>
                <w:color w:val="0000FF"/>
              </w:rPr>
            </w:pPr>
            <w:r w:rsidRPr="00C22DFB">
              <w:rPr>
                <w:b/>
                <w:color w:val="0000FF"/>
              </w:rPr>
              <w:t>1</w:t>
            </w:r>
            <w:r>
              <w:rPr>
                <w:b/>
                <w:color w:val="0000FF"/>
              </w:rPr>
              <w:t>3</w:t>
            </w:r>
          </w:p>
        </w:tc>
        <w:tc>
          <w:tcPr>
            <w:tcW w:w="2693" w:type="dxa"/>
          </w:tcPr>
          <w:p w14:paraId="69150D2A" w14:textId="77777777" w:rsidR="00403B07" w:rsidRPr="00C22DFB" w:rsidRDefault="00403B07" w:rsidP="00B01272">
            <w:r w:rsidRPr="00C22DFB">
              <w:t>Baked potatoes</w:t>
            </w:r>
          </w:p>
        </w:tc>
        <w:tc>
          <w:tcPr>
            <w:tcW w:w="992" w:type="dxa"/>
          </w:tcPr>
          <w:p w14:paraId="67A6E058" w14:textId="77777777" w:rsidR="00403B07" w:rsidRPr="00C22DFB" w:rsidRDefault="00403B07" w:rsidP="00B01272">
            <w:pPr>
              <w:rPr>
                <w:b/>
                <w:color w:val="FF0000"/>
              </w:rPr>
            </w:pPr>
            <w:r w:rsidRPr="00C22DFB">
              <w:rPr>
                <w:b/>
                <w:color w:val="FF0000"/>
              </w:rPr>
              <w:t>2</w:t>
            </w:r>
            <w:r>
              <w:rPr>
                <w:b/>
                <w:color w:val="FF0000"/>
              </w:rPr>
              <w:t>4</w:t>
            </w:r>
          </w:p>
        </w:tc>
        <w:tc>
          <w:tcPr>
            <w:tcW w:w="1134" w:type="dxa"/>
          </w:tcPr>
          <w:p w14:paraId="07F972E1" w14:textId="77777777" w:rsidR="00403B07" w:rsidRPr="00C22DFB" w:rsidRDefault="00403B07" w:rsidP="00B01272">
            <w:pPr>
              <w:rPr>
                <w:b/>
                <w:color w:val="0000FF"/>
              </w:rPr>
            </w:pPr>
            <w:r w:rsidRPr="00C22DFB">
              <w:rPr>
                <w:b/>
                <w:color w:val="0000FF"/>
              </w:rPr>
              <w:t>2</w:t>
            </w:r>
            <w:r>
              <w:rPr>
                <w:b/>
                <w:color w:val="0000FF"/>
              </w:rPr>
              <w:t>0</w:t>
            </w:r>
          </w:p>
        </w:tc>
      </w:tr>
      <w:tr w:rsidR="00403B07" w:rsidRPr="00C22DFB" w14:paraId="410C9525" w14:textId="77777777" w:rsidTr="00B01272">
        <w:tc>
          <w:tcPr>
            <w:tcW w:w="2263" w:type="dxa"/>
          </w:tcPr>
          <w:p w14:paraId="577F802C" w14:textId="77777777" w:rsidR="00403B07" w:rsidRPr="00C22DFB" w:rsidRDefault="00403B07" w:rsidP="00B01272">
            <w:r w:rsidRPr="00C22DFB">
              <w:t>Chocolate</w:t>
            </w:r>
          </w:p>
        </w:tc>
        <w:tc>
          <w:tcPr>
            <w:tcW w:w="993" w:type="dxa"/>
          </w:tcPr>
          <w:p w14:paraId="5164ED2D" w14:textId="77777777" w:rsidR="00403B07" w:rsidRPr="00C22DFB" w:rsidRDefault="00403B07" w:rsidP="00B01272">
            <w:pPr>
              <w:rPr>
                <w:b/>
                <w:color w:val="FF0000"/>
              </w:rPr>
            </w:pPr>
            <w:r>
              <w:rPr>
                <w:b/>
                <w:color w:val="FF0000"/>
              </w:rPr>
              <w:t>18</w:t>
            </w:r>
          </w:p>
        </w:tc>
        <w:tc>
          <w:tcPr>
            <w:tcW w:w="1134" w:type="dxa"/>
          </w:tcPr>
          <w:p w14:paraId="27EBC558" w14:textId="77777777" w:rsidR="00403B07" w:rsidRPr="00C22DFB" w:rsidRDefault="00403B07" w:rsidP="00B01272">
            <w:pPr>
              <w:rPr>
                <w:b/>
                <w:color w:val="0000FF"/>
              </w:rPr>
            </w:pPr>
            <w:r w:rsidRPr="00C22DFB">
              <w:rPr>
                <w:b/>
                <w:color w:val="0000FF"/>
              </w:rPr>
              <w:t>1</w:t>
            </w:r>
            <w:r>
              <w:rPr>
                <w:b/>
                <w:color w:val="0000FF"/>
              </w:rPr>
              <w:t>4</w:t>
            </w:r>
          </w:p>
        </w:tc>
        <w:tc>
          <w:tcPr>
            <w:tcW w:w="2693" w:type="dxa"/>
          </w:tcPr>
          <w:p w14:paraId="1AFE8D53" w14:textId="77777777" w:rsidR="00403B07" w:rsidRPr="00C22DFB" w:rsidRDefault="00403B07" w:rsidP="00B01272">
            <w:r w:rsidRPr="00C22DFB">
              <w:t>Pasta</w:t>
            </w:r>
          </w:p>
        </w:tc>
        <w:tc>
          <w:tcPr>
            <w:tcW w:w="992" w:type="dxa"/>
          </w:tcPr>
          <w:p w14:paraId="32806027" w14:textId="77777777" w:rsidR="00403B07" w:rsidRPr="00C22DFB" w:rsidRDefault="00403B07" w:rsidP="00B01272">
            <w:pPr>
              <w:rPr>
                <w:b/>
                <w:color w:val="FF0000"/>
              </w:rPr>
            </w:pPr>
            <w:r>
              <w:rPr>
                <w:b/>
                <w:color w:val="FF0000"/>
              </w:rPr>
              <w:t>28</w:t>
            </w:r>
          </w:p>
        </w:tc>
        <w:tc>
          <w:tcPr>
            <w:tcW w:w="1134" w:type="dxa"/>
          </w:tcPr>
          <w:p w14:paraId="01F57816" w14:textId="77777777" w:rsidR="00403B07" w:rsidRPr="00C22DFB" w:rsidRDefault="00403B07" w:rsidP="00B01272">
            <w:pPr>
              <w:rPr>
                <w:b/>
                <w:color w:val="0000FF"/>
              </w:rPr>
            </w:pPr>
            <w:r w:rsidRPr="00C22DFB">
              <w:rPr>
                <w:b/>
                <w:color w:val="0000FF"/>
              </w:rPr>
              <w:t>2</w:t>
            </w:r>
            <w:r>
              <w:rPr>
                <w:b/>
                <w:color w:val="0000FF"/>
              </w:rPr>
              <w:t>4</w:t>
            </w:r>
          </w:p>
        </w:tc>
      </w:tr>
      <w:tr w:rsidR="00403B07" w:rsidRPr="00C22DFB" w14:paraId="4272EDFC" w14:textId="77777777" w:rsidTr="00B01272">
        <w:tc>
          <w:tcPr>
            <w:tcW w:w="2263" w:type="dxa"/>
          </w:tcPr>
          <w:p w14:paraId="1AC28C48" w14:textId="77777777" w:rsidR="00403B07" w:rsidRPr="00C22DFB" w:rsidRDefault="00403B07" w:rsidP="00B01272">
            <w:r w:rsidRPr="00C22DFB">
              <w:t>Ice cream</w:t>
            </w:r>
          </w:p>
        </w:tc>
        <w:tc>
          <w:tcPr>
            <w:tcW w:w="993" w:type="dxa"/>
          </w:tcPr>
          <w:p w14:paraId="348C567C" w14:textId="77777777" w:rsidR="00403B07" w:rsidRPr="00C22DFB" w:rsidRDefault="00403B07" w:rsidP="00B01272">
            <w:pPr>
              <w:rPr>
                <w:b/>
                <w:color w:val="FF0000"/>
              </w:rPr>
            </w:pPr>
            <w:r>
              <w:rPr>
                <w:b/>
                <w:color w:val="FF0000"/>
              </w:rPr>
              <w:t>19</w:t>
            </w:r>
          </w:p>
        </w:tc>
        <w:tc>
          <w:tcPr>
            <w:tcW w:w="1134" w:type="dxa"/>
          </w:tcPr>
          <w:p w14:paraId="06DEB2F5" w14:textId="77777777" w:rsidR="00403B07" w:rsidRPr="00C22DFB" w:rsidRDefault="00403B07" w:rsidP="00B01272">
            <w:pPr>
              <w:rPr>
                <w:b/>
                <w:color w:val="0000FF"/>
              </w:rPr>
            </w:pPr>
            <w:r w:rsidRPr="00C22DFB">
              <w:rPr>
                <w:b/>
                <w:color w:val="0000FF"/>
              </w:rPr>
              <w:t>1</w:t>
            </w:r>
            <w:r>
              <w:rPr>
                <w:b/>
                <w:color w:val="0000FF"/>
              </w:rPr>
              <w:t>5</w:t>
            </w:r>
          </w:p>
        </w:tc>
        <w:tc>
          <w:tcPr>
            <w:tcW w:w="2693" w:type="dxa"/>
          </w:tcPr>
          <w:p w14:paraId="288427AA" w14:textId="77777777" w:rsidR="00403B07" w:rsidRPr="00C22DFB" w:rsidRDefault="00403B07" w:rsidP="00B01272">
            <w:r w:rsidRPr="00C22DFB">
              <w:t>Rice</w:t>
            </w:r>
          </w:p>
        </w:tc>
        <w:tc>
          <w:tcPr>
            <w:tcW w:w="992" w:type="dxa"/>
          </w:tcPr>
          <w:p w14:paraId="70F2633F" w14:textId="77777777" w:rsidR="00403B07" w:rsidRPr="00C22DFB" w:rsidRDefault="00403B07" w:rsidP="00B01272">
            <w:pPr>
              <w:rPr>
                <w:b/>
                <w:color w:val="FF0000"/>
              </w:rPr>
            </w:pPr>
            <w:r>
              <w:rPr>
                <w:b/>
                <w:color w:val="FF0000"/>
              </w:rPr>
              <w:t>29</w:t>
            </w:r>
          </w:p>
        </w:tc>
        <w:tc>
          <w:tcPr>
            <w:tcW w:w="1134" w:type="dxa"/>
          </w:tcPr>
          <w:p w14:paraId="1DD65476" w14:textId="77777777" w:rsidR="00403B07" w:rsidRPr="00C22DFB" w:rsidRDefault="00403B07" w:rsidP="00B01272">
            <w:pPr>
              <w:rPr>
                <w:b/>
                <w:color w:val="0000FF"/>
              </w:rPr>
            </w:pPr>
            <w:r w:rsidRPr="00C22DFB">
              <w:rPr>
                <w:b/>
                <w:color w:val="0000FF"/>
              </w:rPr>
              <w:t>2</w:t>
            </w:r>
            <w:r>
              <w:rPr>
                <w:b/>
                <w:color w:val="0000FF"/>
              </w:rPr>
              <w:t>5</w:t>
            </w:r>
          </w:p>
        </w:tc>
      </w:tr>
      <w:tr w:rsidR="00403B07" w:rsidRPr="00C22DFB" w14:paraId="6EB120C7" w14:textId="77777777" w:rsidTr="00B01272">
        <w:tc>
          <w:tcPr>
            <w:tcW w:w="2263" w:type="dxa"/>
          </w:tcPr>
          <w:p w14:paraId="4E20C273" w14:textId="77777777" w:rsidR="00403B07" w:rsidRPr="00C22DFB" w:rsidRDefault="00403B07" w:rsidP="00B01272">
            <w:r w:rsidRPr="00C22DFB">
              <w:t xml:space="preserve">Sugar added </w:t>
            </w:r>
            <w:r>
              <w:t>to</w:t>
            </w:r>
            <w:r w:rsidRPr="00C22DFB">
              <w:t xml:space="preserve"> drinks</w:t>
            </w:r>
          </w:p>
        </w:tc>
        <w:tc>
          <w:tcPr>
            <w:tcW w:w="993" w:type="dxa"/>
          </w:tcPr>
          <w:p w14:paraId="59D090D0" w14:textId="77777777" w:rsidR="00403B07" w:rsidRPr="00C22DFB" w:rsidRDefault="00403B07" w:rsidP="00B01272">
            <w:pPr>
              <w:rPr>
                <w:b/>
                <w:color w:val="FF0000"/>
              </w:rPr>
            </w:pPr>
            <w:r w:rsidRPr="00C22DFB">
              <w:rPr>
                <w:b/>
                <w:color w:val="FF0000"/>
              </w:rPr>
              <w:t>2</w:t>
            </w:r>
            <w:r>
              <w:rPr>
                <w:b/>
                <w:color w:val="FF0000"/>
              </w:rPr>
              <w:t>0</w:t>
            </w:r>
          </w:p>
        </w:tc>
        <w:tc>
          <w:tcPr>
            <w:tcW w:w="1134" w:type="dxa"/>
          </w:tcPr>
          <w:p w14:paraId="31507001" w14:textId="77777777" w:rsidR="00403B07" w:rsidRPr="00C22DFB" w:rsidRDefault="00403B07" w:rsidP="00B01272">
            <w:pPr>
              <w:rPr>
                <w:b/>
                <w:color w:val="0000FF"/>
              </w:rPr>
            </w:pPr>
            <w:r w:rsidRPr="00C22DFB">
              <w:rPr>
                <w:b/>
                <w:color w:val="0000FF"/>
              </w:rPr>
              <w:t>1</w:t>
            </w:r>
            <w:r>
              <w:rPr>
                <w:b/>
                <w:color w:val="0000FF"/>
              </w:rPr>
              <w:t>6</w:t>
            </w:r>
          </w:p>
        </w:tc>
        <w:tc>
          <w:tcPr>
            <w:tcW w:w="2693" w:type="dxa"/>
          </w:tcPr>
          <w:p w14:paraId="75E5942D" w14:textId="77777777" w:rsidR="00403B07" w:rsidRPr="00C22DFB" w:rsidRDefault="00403B07" w:rsidP="00B01272">
            <w:r w:rsidRPr="00C22DFB">
              <w:t>Noodles</w:t>
            </w:r>
          </w:p>
        </w:tc>
        <w:tc>
          <w:tcPr>
            <w:tcW w:w="992" w:type="dxa"/>
          </w:tcPr>
          <w:p w14:paraId="03727CEF" w14:textId="77777777" w:rsidR="00403B07" w:rsidRPr="00C22DFB" w:rsidRDefault="00403B07" w:rsidP="00B01272">
            <w:pPr>
              <w:rPr>
                <w:b/>
                <w:color w:val="FF0000"/>
              </w:rPr>
            </w:pPr>
            <w:r w:rsidRPr="00C22DFB">
              <w:rPr>
                <w:b/>
                <w:color w:val="FF0000"/>
              </w:rPr>
              <w:t>3</w:t>
            </w:r>
            <w:r>
              <w:rPr>
                <w:b/>
                <w:color w:val="FF0000"/>
              </w:rPr>
              <w:t>0</w:t>
            </w:r>
          </w:p>
        </w:tc>
        <w:tc>
          <w:tcPr>
            <w:tcW w:w="1134" w:type="dxa"/>
          </w:tcPr>
          <w:p w14:paraId="5A2F9698" w14:textId="77777777" w:rsidR="00403B07" w:rsidRPr="00C22DFB" w:rsidRDefault="00403B07" w:rsidP="00B01272">
            <w:pPr>
              <w:rPr>
                <w:b/>
                <w:color w:val="0000FF"/>
              </w:rPr>
            </w:pPr>
            <w:r>
              <w:rPr>
                <w:b/>
                <w:color w:val="0000FF"/>
              </w:rPr>
              <w:t>26</w:t>
            </w:r>
          </w:p>
        </w:tc>
      </w:tr>
      <w:tr w:rsidR="00403B07" w:rsidRPr="00C22DFB" w14:paraId="7AA290A9" w14:textId="77777777" w:rsidTr="00B01272">
        <w:tc>
          <w:tcPr>
            <w:tcW w:w="2263" w:type="dxa"/>
          </w:tcPr>
          <w:p w14:paraId="1C437126" w14:textId="77777777" w:rsidR="00403B07" w:rsidRPr="00C22DFB" w:rsidRDefault="00403B07" w:rsidP="00B01272">
            <w:r w:rsidRPr="00C22DFB">
              <w:t>Sugar added to food</w:t>
            </w:r>
          </w:p>
        </w:tc>
        <w:tc>
          <w:tcPr>
            <w:tcW w:w="993" w:type="dxa"/>
          </w:tcPr>
          <w:p w14:paraId="62588636" w14:textId="77777777" w:rsidR="00403B07" w:rsidRPr="00C22DFB" w:rsidRDefault="00403B07" w:rsidP="00B01272">
            <w:pPr>
              <w:rPr>
                <w:b/>
                <w:color w:val="FF0000"/>
              </w:rPr>
            </w:pPr>
            <w:r w:rsidRPr="00C22DFB">
              <w:rPr>
                <w:b/>
                <w:color w:val="FF0000"/>
              </w:rPr>
              <w:t>2</w:t>
            </w:r>
            <w:r>
              <w:rPr>
                <w:b/>
                <w:color w:val="FF0000"/>
              </w:rPr>
              <w:t>1</w:t>
            </w:r>
          </w:p>
        </w:tc>
        <w:tc>
          <w:tcPr>
            <w:tcW w:w="1134" w:type="dxa"/>
          </w:tcPr>
          <w:p w14:paraId="7921A36D" w14:textId="77777777" w:rsidR="00403B07" w:rsidRPr="00C22DFB" w:rsidRDefault="00403B07" w:rsidP="00B01272">
            <w:pPr>
              <w:rPr>
                <w:b/>
                <w:color w:val="0000FF"/>
              </w:rPr>
            </w:pPr>
            <w:r>
              <w:rPr>
                <w:b/>
                <w:color w:val="0000FF"/>
              </w:rPr>
              <w:t>17</w:t>
            </w:r>
          </w:p>
        </w:tc>
        <w:tc>
          <w:tcPr>
            <w:tcW w:w="2693" w:type="dxa"/>
          </w:tcPr>
          <w:p w14:paraId="1A877653" w14:textId="77777777" w:rsidR="00403B07" w:rsidRPr="00C22DFB" w:rsidRDefault="00403B07" w:rsidP="00B01272">
            <w:r w:rsidRPr="00C22DFB">
              <w:t>Homemade pizza</w:t>
            </w:r>
          </w:p>
        </w:tc>
        <w:tc>
          <w:tcPr>
            <w:tcW w:w="992" w:type="dxa"/>
          </w:tcPr>
          <w:p w14:paraId="59D30D04" w14:textId="77777777" w:rsidR="00403B07" w:rsidRPr="00C22DFB" w:rsidRDefault="00403B07" w:rsidP="00B01272">
            <w:pPr>
              <w:rPr>
                <w:b/>
                <w:color w:val="FF0000"/>
              </w:rPr>
            </w:pPr>
            <w:r w:rsidRPr="00C22DFB">
              <w:rPr>
                <w:b/>
                <w:color w:val="FF0000"/>
              </w:rPr>
              <w:t>3</w:t>
            </w:r>
            <w:r>
              <w:rPr>
                <w:b/>
                <w:color w:val="FF0000"/>
              </w:rPr>
              <w:t>1</w:t>
            </w:r>
          </w:p>
        </w:tc>
        <w:tc>
          <w:tcPr>
            <w:tcW w:w="1134" w:type="dxa"/>
          </w:tcPr>
          <w:p w14:paraId="10A73B81" w14:textId="77777777" w:rsidR="00403B07" w:rsidRPr="00C22DFB" w:rsidRDefault="00403B07" w:rsidP="00B01272">
            <w:pPr>
              <w:rPr>
                <w:b/>
                <w:color w:val="0000FF"/>
              </w:rPr>
            </w:pPr>
            <w:r>
              <w:rPr>
                <w:b/>
                <w:color w:val="0000FF"/>
              </w:rPr>
              <w:t>27</w:t>
            </w:r>
          </w:p>
        </w:tc>
      </w:tr>
      <w:tr w:rsidR="00403B07" w:rsidRPr="00C22DFB" w14:paraId="2F908A72" w14:textId="77777777" w:rsidTr="00B01272">
        <w:tc>
          <w:tcPr>
            <w:tcW w:w="2263" w:type="dxa"/>
          </w:tcPr>
          <w:p w14:paraId="4994AA91" w14:textId="77777777" w:rsidR="00403B07" w:rsidRPr="00C22DFB" w:rsidRDefault="00403B07" w:rsidP="00B01272">
            <w:r w:rsidRPr="00C22DFB">
              <w:t>Roast potatoes</w:t>
            </w:r>
          </w:p>
        </w:tc>
        <w:tc>
          <w:tcPr>
            <w:tcW w:w="993" w:type="dxa"/>
          </w:tcPr>
          <w:p w14:paraId="67604A39" w14:textId="77777777" w:rsidR="00403B07" w:rsidRPr="00C22DFB" w:rsidRDefault="00403B07" w:rsidP="00B01272">
            <w:pPr>
              <w:rPr>
                <w:b/>
                <w:color w:val="FF0000"/>
              </w:rPr>
            </w:pPr>
            <w:r w:rsidRPr="00C22DFB">
              <w:rPr>
                <w:b/>
                <w:color w:val="FF0000"/>
              </w:rPr>
              <w:t>2</w:t>
            </w:r>
            <w:r>
              <w:rPr>
                <w:b/>
                <w:color w:val="FF0000"/>
              </w:rPr>
              <w:t>5</w:t>
            </w:r>
          </w:p>
        </w:tc>
        <w:tc>
          <w:tcPr>
            <w:tcW w:w="1134" w:type="dxa"/>
          </w:tcPr>
          <w:p w14:paraId="740C6CD5" w14:textId="77777777" w:rsidR="00403B07" w:rsidRPr="00C22DFB" w:rsidRDefault="00403B07" w:rsidP="00B01272">
            <w:pPr>
              <w:rPr>
                <w:b/>
                <w:color w:val="0000FF"/>
              </w:rPr>
            </w:pPr>
            <w:r w:rsidRPr="00C22DFB">
              <w:rPr>
                <w:b/>
                <w:color w:val="0000FF"/>
              </w:rPr>
              <w:t>2</w:t>
            </w:r>
            <w:r>
              <w:rPr>
                <w:b/>
                <w:color w:val="0000FF"/>
              </w:rPr>
              <w:t>1</w:t>
            </w:r>
          </w:p>
        </w:tc>
        <w:tc>
          <w:tcPr>
            <w:tcW w:w="2693" w:type="dxa"/>
          </w:tcPr>
          <w:p w14:paraId="1BB81873" w14:textId="77777777" w:rsidR="00403B07" w:rsidRPr="00C22DFB" w:rsidRDefault="00403B07" w:rsidP="00B01272">
            <w:r w:rsidRPr="00C22DFB">
              <w:t>Unsalted nuts</w:t>
            </w:r>
          </w:p>
        </w:tc>
        <w:tc>
          <w:tcPr>
            <w:tcW w:w="992" w:type="dxa"/>
          </w:tcPr>
          <w:p w14:paraId="008EAB01" w14:textId="77777777" w:rsidR="00403B07" w:rsidRPr="00C22DFB" w:rsidRDefault="00403B07" w:rsidP="00B01272">
            <w:pPr>
              <w:rPr>
                <w:b/>
                <w:color w:val="FF0000"/>
              </w:rPr>
            </w:pPr>
            <w:r w:rsidRPr="00C22DFB">
              <w:rPr>
                <w:b/>
                <w:color w:val="FF0000"/>
              </w:rPr>
              <w:t>3</w:t>
            </w:r>
            <w:r>
              <w:rPr>
                <w:b/>
                <w:color w:val="FF0000"/>
              </w:rPr>
              <w:t>4</w:t>
            </w:r>
          </w:p>
        </w:tc>
        <w:tc>
          <w:tcPr>
            <w:tcW w:w="1134" w:type="dxa"/>
          </w:tcPr>
          <w:p w14:paraId="7C42F3D1" w14:textId="77777777" w:rsidR="00403B07" w:rsidRPr="00C22DFB" w:rsidRDefault="00403B07" w:rsidP="00B01272">
            <w:pPr>
              <w:rPr>
                <w:b/>
                <w:color w:val="0000FF"/>
              </w:rPr>
            </w:pPr>
            <w:r>
              <w:rPr>
                <w:b/>
                <w:color w:val="0000FF"/>
              </w:rPr>
              <w:t>30</w:t>
            </w:r>
          </w:p>
        </w:tc>
      </w:tr>
      <w:tr w:rsidR="00403B07" w:rsidRPr="00C22DFB" w14:paraId="471DDF20" w14:textId="77777777" w:rsidTr="00B01272">
        <w:tc>
          <w:tcPr>
            <w:tcW w:w="2263" w:type="dxa"/>
          </w:tcPr>
          <w:p w14:paraId="571BFD9F" w14:textId="77777777" w:rsidR="00403B07" w:rsidRPr="00C22DFB" w:rsidRDefault="00403B07" w:rsidP="00B01272">
            <w:r w:rsidRPr="00C22DFB">
              <w:t>Crisps</w:t>
            </w:r>
          </w:p>
        </w:tc>
        <w:tc>
          <w:tcPr>
            <w:tcW w:w="993" w:type="dxa"/>
          </w:tcPr>
          <w:p w14:paraId="67DD9E2B" w14:textId="77777777" w:rsidR="00403B07" w:rsidRPr="00C22DFB" w:rsidRDefault="00403B07" w:rsidP="00B01272">
            <w:pPr>
              <w:rPr>
                <w:b/>
                <w:color w:val="FF0000"/>
              </w:rPr>
            </w:pPr>
            <w:r>
              <w:rPr>
                <w:b/>
                <w:color w:val="FF0000"/>
              </w:rPr>
              <w:t>27</w:t>
            </w:r>
          </w:p>
        </w:tc>
        <w:tc>
          <w:tcPr>
            <w:tcW w:w="1134" w:type="dxa"/>
          </w:tcPr>
          <w:p w14:paraId="3C09B68E" w14:textId="77777777" w:rsidR="00403B07" w:rsidRPr="00C22DFB" w:rsidRDefault="00403B07" w:rsidP="00B01272">
            <w:pPr>
              <w:rPr>
                <w:b/>
                <w:color w:val="0000FF"/>
              </w:rPr>
            </w:pPr>
            <w:r w:rsidRPr="00C22DFB">
              <w:rPr>
                <w:b/>
                <w:color w:val="0000FF"/>
              </w:rPr>
              <w:t>2</w:t>
            </w:r>
            <w:r>
              <w:rPr>
                <w:b/>
                <w:color w:val="0000FF"/>
              </w:rPr>
              <w:t>3</w:t>
            </w:r>
          </w:p>
        </w:tc>
        <w:tc>
          <w:tcPr>
            <w:tcW w:w="2693" w:type="dxa"/>
          </w:tcPr>
          <w:p w14:paraId="5BAD44BE" w14:textId="77777777" w:rsidR="00403B07" w:rsidRPr="00C22DFB" w:rsidRDefault="00403B07" w:rsidP="00B01272">
            <w:r w:rsidRPr="00C22DFB">
              <w:t>Fresh fruit</w:t>
            </w:r>
          </w:p>
        </w:tc>
        <w:tc>
          <w:tcPr>
            <w:tcW w:w="992" w:type="dxa"/>
          </w:tcPr>
          <w:p w14:paraId="21332117" w14:textId="77777777" w:rsidR="00403B07" w:rsidRPr="00C22DFB" w:rsidRDefault="00403B07" w:rsidP="00B01272">
            <w:pPr>
              <w:rPr>
                <w:b/>
                <w:color w:val="FF0000"/>
              </w:rPr>
            </w:pPr>
            <w:r w:rsidRPr="00C22DFB">
              <w:rPr>
                <w:b/>
                <w:color w:val="FF0000"/>
              </w:rPr>
              <w:t>3</w:t>
            </w:r>
            <w:r>
              <w:rPr>
                <w:b/>
                <w:color w:val="FF0000"/>
              </w:rPr>
              <w:t>5</w:t>
            </w:r>
          </w:p>
        </w:tc>
        <w:tc>
          <w:tcPr>
            <w:tcW w:w="1134" w:type="dxa"/>
          </w:tcPr>
          <w:p w14:paraId="418930B1" w14:textId="77777777" w:rsidR="00403B07" w:rsidRPr="00C22DFB" w:rsidRDefault="00403B07" w:rsidP="00B01272">
            <w:pPr>
              <w:rPr>
                <w:b/>
                <w:color w:val="0000FF"/>
              </w:rPr>
            </w:pPr>
            <w:r w:rsidRPr="00C22DFB">
              <w:rPr>
                <w:b/>
                <w:color w:val="0000FF"/>
              </w:rPr>
              <w:t>3</w:t>
            </w:r>
            <w:r>
              <w:rPr>
                <w:b/>
                <w:color w:val="0000FF"/>
              </w:rPr>
              <w:t>1</w:t>
            </w:r>
          </w:p>
        </w:tc>
      </w:tr>
      <w:tr w:rsidR="00403B07" w:rsidRPr="00C22DFB" w14:paraId="5CDC74FA" w14:textId="77777777" w:rsidTr="00B01272">
        <w:tc>
          <w:tcPr>
            <w:tcW w:w="2263" w:type="dxa"/>
          </w:tcPr>
          <w:p w14:paraId="6005ACE2" w14:textId="77777777" w:rsidR="00403B07" w:rsidRPr="00C22DFB" w:rsidRDefault="00403B07" w:rsidP="00B01272">
            <w:r w:rsidRPr="00C22DFB">
              <w:t>Chips</w:t>
            </w:r>
          </w:p>
        </w:tc>
        <w:tc>
          <w:tcPr>
            <w:tcW w:w="993" w:type="dxa"/>
          </w:tcPr>
          <w:p w14:paraId="54C64745" w14:textId="77777777" w:rsidR="00403B07" w:rsidRPr="00C22DFB" w:rsidRDefault="00403B07" w:rsidP="00B01272">
            <w:pPr>
              <w:rPr>
                <w:b/>
                <w:color w:val="FF0000"/>
              </w:rPr>
            </w:pPr>
            <w:r>
              <w:rPr>
                <w:b/>
                <w:color w:val="FF0000"/>
              </w:rPr>
              <w:t>26</w:t>
            </w:r>
          </w:p>
        </w:tc>
        <w:tc>
          <w:tcPr>
            <w:tcW w:w="1134" w:type="dxa"/>
          </w:tcPr>
          <w:p w14:paraId="55A914DB" w14:textId="77777777" w:rsidR="00403B07" w:rsidRPr="00C22DFB" w:rsidRDefault="00403B07" w:rsidP="00B01272">
            <w:pPr>
              <w:rPr>
                <w:b/>
                <w:color w:val="0000FF"/>
              </w:rPr>
            </w:pPr>
            <w:r w:rsidRPr="00C22DFB">
              <w:rPr>
                <w:b/>
                <w:color w:val="0000FF"/>
              </w:rPr>
              <w:t>2</w:t>
            </w:r>
            <w:r>
              <w:rPr>
                <w:b/>
                <w:color w:val="0000FF"/>
              </w:rPr>
              <w:t>2</w:t>
            </w:r>
          </w:p>
        </w:tc>
        <w:tc>
          <w:tcPr>
            <w:tcW w:w="2693" w:type="dxa"/>
          </w:tcPr>
          <w:p w14:paraId="5291F9E3" w14:textId="77777777" w:rsidR="00403B07" w:rsidRPr="00C22DFB" w:rsidRDefault="00403B07" w:rsidP="00B01272">
            <w:r w:rsidRPr="00C22DFB">
              <w:t>Dried fruit</w:t>
            </w:r>
          </w:p>
        </w:tc>
        <w:tc>
          <w:tcPr>
            <w:tcW w:w="992" w:type="dxa"/>
          </w:tcPr>
          <w:p w14:paraId="452C5B9F" w14:textId="77777777" w:rsidR="00403B07" w:rsidRPr="00C22DFB" w:rsidRDefault="00403B07" w:rsidP="00B01272">
            <w:pPr>
              <w:rPr>
                <w:b/>
                <w:color w:val="FF0000"/>
              </w:rPr>
            </w:pPr>
            <w:r>
              <w:rPr>
                <w:b/>
                <w:color w:val="FF0000"/>
              </w:rPr>
              <w:t>36</w:t>
            </w:r>
          </w:p>
        </w:tc>
        <w:tc>
          <w:tcPr>
            <w:tcW w:w="1134" w:type="dxa"/>
          </w:tcPr>
          <w:p w14:paraId="51C3BAA7" w14:textId="77777777" w:rsidR="00403B07" w:rsidRPr="00C22DFB" w:rsidRDefault="00403B07" w:rsidP="00B01272">
            <w:pPr>
              <w:rPr>
                <w:b/>
                <w:color w:val="0000FF"/>
              </w:rPr>
            </w:pPr>
            <w:r w:rsidRPr="00C22DFB">
              <w:rPr>
                <w:b/>
                <w:color w:val="0000FF"/>
              </w:rPr>
              <w:t>3</w:t>
            </w:r>
            <w:r>
              <w:rPr>
                <w:b/>
                <w:color w:val="0000FF"/>
              </w:rPr>
              <w:t>2</w:t>
            </w:r>
          </w:p>
        </w:tc>
      </w:tr>
      <w:tr w:rsidR="00403B07" w:rsidRPr="00C22DFB" w14:paraId="3F60FA88" w14:textId="77777777" w:rsidTr="00B01272">
        <w:tc>
          <w:tcPr>
            <w:tcW w:w="2263" w:type="dxa"/>
          </w:tcPr>
          <w:p w14:paraId="108092A2" w14:textId="77777777" w:rsidR="00403B07" w:rsidRPr="00C22DFB" w:rsidRDefault="00403B07" w:rsidP="00B01272">
            <w:r w:rsidRPr="00C22DFB">
              <w:t>Salted nuts</w:t>
            </w:r>
          </w:p>
        </w:tc>
        <w:tc>
          <w:tcPr>
            <w:tcW w:w="993" w:type="dxa"/>
          </w:tcPr>
          <w:p w14:paraId="2F861556" w14:textId="77777777" w:rsidR="00403B07" w:rsidRPr="00C22DFB" w:rsidRDefault="00403B07" w:rsidP="00B01272">
            <w:pPr>
              <w:rPr>
                <w:b/>
                <w:color w:val="FF0000"/>
              </w:rPr>
            </w:pPr>
            <w:r>
              <w:rPr>
                <w:b/>
                <w:color w:val="FF0000"/>
              </w:rPr>
              <w:t>33</w:t>
            </w:r>
          </w:p>
        </w:tc>
        <w:tc>
          <w:tcPr>
            <w:tcW w:w="1134" w:type="dxa"/>
          </w:tcPr>
          <w:p w14:paraId="45ED5ED5" w14:textId="77777777" w:rsidR="00403B07" w:rsidRPr="00C22DFB" w:rsidRDefault="00403B07" w:rsidP="00B01272">
            <w:pPr>
              <w:rPr>
                <w:b/>
                <w:color w:val="0000FF"/>
              </w:rPr>
            </w:pPr>
            <w:r>
              <w:rPr>
                <w:b/>
                <w:color w:val="0000FF"/>
              </w:rPr>
              <w:t>29</w:t>
            </w:r>
          </w:p>
        </w:tc>
        <w:tc>
          <w:tcPr>
            <w:tcW w:w="2693" w:type="dxa"/>
          </w:tcPr>
          <w:p w14:paraId="3E5BDC02" w14:textId="77777777" w:rsidR="00403B07" w:rsidRPr="00C22DFB" w:rsidRDefault="00403B07" w:rsidP="00B01272">
            <w:r w:rsidRPr="00C22DFB">
              <w:t>Salad</w:t>
            </w:r>
          </w:p>
        </w:tc>
        <w:tc>
          <w:tcPr>
            <w:tcW w:w="992" w:type="dxa"/>
          </w:tcPr>
          <w:p w14:paraId="65140F44" w14:textId="77777777" w:rsidR="00403B07" w:rsidRPr="00C22DFB" w:rsidRDefault="00403B07" w:rsidP="00B01272">
            <w:pPr>
              <w:rPr>
                <w:b/>
                <w:color w:val="FF0000"/>
              </w:rPr>
            </w:pPr>
            <w:r>
              <w:rPr>
                <w:b/>
                <w:color w:val="FF0000"/>
              </w:rPr>
              <w:t>37</w:t>
            </w:r>
          </w:p>
        </w:tc>
        <w:tc>
          <w:tcPr>
            <w:tcW w:w="1134" w:type="dxa"/>
          </w:tcPr>
          <w:p w14:paraId="4D9A9C0A" w14:textId="77777777" w:rsidR="00403B07" w:rsidRPr="00C22DFB" w:rsidRDefault="00403B07" w:rsidP="00B01272">
            <w:pPr>
              <w:rPr>
                <w:b/>
                <w:color w:val="0000FF"/>
              </w:rPr>
            </w:pPr>
            <w:r w:rsidRPr="00C22DFB">
              <w:rPr>
                <w:b/>
                <w:color w:val="0000FF"/>
              </w:rPr>
              <w:t>3</w:t>
            </w:r>
            <w:r>
              <w:rPr>
                <w:b/>
                <w:color w:val="0000FF"/>
              </w:rPr>
              <w:t>3</w:t>
            </w:r>
          </w:p>
        </w:tc>
      </w:tr>
      <w:tr w:rsidR="00403B07" w:rsidRPr="00C22DFB" w14:paraId="4C2558A2" w14:textId="77777777" w:rsidTr="00B01272">
        <w:tc>
          <w:tcPr>
            <w:tcW w:w="2263" w:type="dxa"/>
          </w:tcPr>
          <w:p w14:paraId="06781784" w14:textId="77777777" w:rsidR="00403B07" w:rsidRPr="00C22DFB" w:rsidRDefault="00403B07" w:rsidP="00B01272">
            <w:r w:rsidRPr="00C22DFB">
              <w:t>Fried vegetables</w:t>
            </w:r>
          </w:p>
        </w:tc>
        <w:tc>
          <w:tcPr>
            <w:tcW w:w="993" w:type="dxa"/>
          </w:tcPr>
          <w:p w14:paraId="482AC9D7" w14:textId="77777777" w:rsidR="00403B07" w:rsidRPr="00C22DFB" w:rsidRDefault="00403B07" w:rsidP="00B01272">
            <w:pPr>
              <w:rPr>
                <w:b/>
                <w:color w:val="FF0000"/>
              </w:rPr>
            </w:pPr>
            <w:r>
              <w:rPr>
                <w:b/>
                <w:color w:val="FF0000"/>
              </w:rPr>
              <w:t>38</w:t>
            </w:r>
          </w:p>
        </w:tc>
        <w:tc>
          <w:tcPr>
            <w:tcW w:w="1134" w:type="dxa"/>
          </w:tcPr>
          <w:p w14:paraId="2C8E215C" w14:textId="77777777" w:rsidR="00403B07" w:rsidRPr="00C22DFB" w:rsidRDefault="00403B07" w:rsidP="00B01272">
            <w:pPr>
              <w:rPr>
                <w:b/>
                <w:color w:val="0000FF"/>
              </w:rPr>
            </w:pPr>
            <w:r w:rsidRPr="00C22DFB">
              <w:rPr>
                <w:b/>
                <w:color w:val="0000FF"/>
              </w:rPr>
              <w:t>3</w:t>
            </w:r>
            <w:r>
              <w:rPr>
                <w:b/>
                <w:color w:val="0000FF"/>
              </w:rPr>
              <w:t>4</w:t>
            </w:r>
          </w:p>
        </w:tc>
        <w:tc>
          <w:tcPr>
            <w:tcW w:w="2693" w:type="dxa"/>
          </w:tcPr>
          <w:p w14:paraId="63A2A19C" w14:textId="77777777" w:rsidR="00403B07" w:rsidRPr="00C22DFB" w:rsidRDefault="00403B07" w:rsidP="00B01272">
            <w:r w:rsidRPr="00C22DFB">
              <w:t>Vegetables</w:t>
            </w:r>
          </w:p>
        </w:tc>
        <w:tc>
          <w:tcPr>
            <w:tcW w:w="992" w:type="dxa"/>
          </w:tcPr>
          <w:p w14:paraId="711EB9AE" w14:textId="77777777" w:rsidR="00403B07" w:rsidRPr="00C22DFB" w:rsidRDefault="00403B07" w:rsidP="00B01272">
            <w:pPr>
              <w:rPr>
                <w:b/>
                <w:color w:val="FF0000"/>
              </w:rPr>
            </w:pPr>
            <w:r>
              <w:rPr>
                <w:b/>
                <w:color w:val="FF0000"/>
              </w:rPr>
              <w:t>39</w:t>
            </w:r>
          </w:p>
        </w:tc>
        <w:tc>
          <w:tcPr>
            <w:tcW w:w="1134" w:type="dxa"/>
          </w:tcPr>
          <w:p w14:paraId="42C64A83" w14:textId="77777777" w:rsidR="00403B07" w:rsidRPr="00C22DFB" w:rsidRDefault="00403B07" w:rsidP="00B01272">
            <w:pPr>
              <w:rPr>
                <w:b/>
                <w:color w:val="0000FF"/>
              </w:rPr>
            </w:pPr>
            <w:r>
              <w:rPr>
                <w:b/>
                <w:color w:val="0000FF"/>
              </w:rPr>
              <w:t>35</w:t>
            </w:r>
          </w:p>
        </w:tc>
      </w:tr>
      <w:tr w:rsidR="00403B07" w:rsidRPr="00C22DFB" w14:paraId="31EA8E5A" w14:textId="77777777" w:rsidTr="00B01272">
        <w:tc>
          <w:tcPr>
            <w:tcW w:w="2263" w:type="dxa"/>
          </w:tcPr>
          <w:p w14:paraId="4FC61EE9" w14:textId="77777777" w:rsidR="00403B07" w:rsidRPr="00C22DFB" w:rsidRDefault="00403B07" w:rsidP="00B01272">
            <w:r>
              <w:t>Shop bought</w:t>
            </w:r>
            <w:r w:rsidRPr="00C22DFB">
              <w:t xml:space="preserve"> burger</w:t>
            </w:r>
          </w:p>
        </w:tc>
        <w:tc>
          <w:tcPr>
            <w:tcW w:w="993" w:type="dxa"/>
          </w:tcPr>
          <w:p w14:paraId="7E9CA53C" w14:textId="77777777" w:rsidR="00403B07" w:rsidRPr="00C22DFB" w:rsidRDefault="00403B07" w:rsidP="00B01272">
            <w:pPr>
              <w:rPr>
                <w:b/>
                <w:color w:val="FF0000"/>
              </w:rPr>
            </w:pPr>
            <w:r w:rsidRPr="00C22DFB">
              <w:rPr>
                <w:b/>
                <w:color w:val="FF0000"/>
              </w:rPr>
              <w:t>4</w:t>
            </w:r>
            <w:r>
              <w:rPr>
                <w:b/>
                <w:color w:val="FF0000"/>
              </w:rPr>
              <w:t>0</w:t>
            </w:r>
          </w:p>
        </w:tc>
        <w:tc>
          <w:tcPr>
            <w:tcW w:w="1134" w:type="dxa"/>
          </w:tcPr>
          <w:p w14:paraId="5A7BF1C5" w14:textId="77777777" w:rsidR="00403B07" w:rsidRPr="00C22DFB" w:rsidRDefault="00403B07" w:rsidP="00B01272">
            <w:pPr>
              <w:rPr>
                <w:b/>
                <w:color w:val="0000FF"/>
              </w:rPr>
            </w:pPr>
            <w:r>
              <w:rPr>
                <w:b/>
                <w:color w:val="0000FF"/>
              </w:rPr>
              <w:t>36</w:t>
            </w:r>
          </w:p>
        </w:tc>
        <w:tc>
          <w:tcPr>
            <w:tcW w:w="2693" w:type="dxa"/>
          </w:tcPr>
          <w:p w14:paraId="5FF6FFE3" w14:textId="77777777" w:rsidR="00403B07" w:rsidRPr="00C22DFB" w:rsidRDefault="00403B07" w:rsidP="00B01272">
            <w:r>
              <w:t>Homemade</w:t>
            </w:r>
            <w:r w:rsidRPr="00C22DFB">
              <w:t xml:space="preserve"> burgers</w:t>
            </w:r>
          </w:p>
        </w:tc>
        <w:tc>
          <w:tcPr>
            <w:tcW w:w="992" w:type="dxa"/>
          </w:tcPr>
          <w:p w14:paraId="21C381D5" w14:textId="77777777" w:rsidR="00403B07" w:rsidRPr="00C22DFB" w:rsidRDefault="00403B07" w:rsidP="00B01272">
            <w:pPr>
              <w:rPr>
                <w:b/>
                <w:color w:val="FF0000"/>
              </w:rPr>
            </w:pPr>
            <w:r w:rsidRPr="00C22DFB">
              <w:rPr>
                <w:b/>
                <w:color w:val="FF0000"/>
              </w:rPr>
              <w:t>4</w:t>
            </w:r>
            <w:r>
              <w:rPr>
                <w:b/>
                <w:color w:val="FF0000"/>
              </w:rPr>
              <w:t>2</w:t>
            </w:r>
          </w:p>
        </w:tc>
        <w:tc>
          <w:tcPr>
            <w:tcW w:w="1134" w:type="dxa"/>
          </w:tcPr>
          <w:p w14:paraId="64587E1A" w14:textId="77777777" w:rsidR="00403B07" w:rsidRPr="00C22DFB" w:rsidRDefault="00403B07" w:rsidP="00B01272">
            <w:pPr>
              <w:rPr>
                <w:b/>
                <w:color w:val="0000FF"/>
              </w:rPr>
            </w:pPr>
            <w:r>
              <w:rPr>
                <w:b/>
                <w:color w:val="0000FF"/>
              </w:rPr>
              <w:t>38</w:t>
            </w:r>
          </w:p>
        </w:tc>
      </w:tr>
      <w:tr w:rsidR="00403B07" w:rsidRPr="00C22DFB" w14:paraId="21375F18" w14:textId="77777777" w:rsidTr="00B01272">
        <w:tc>
          <w:tcPr>
            <w:tcW w:w="2263" w:type="dxa"/>
          </w:tcPr>
          <w:p w14:paraId="0E63E38C" w14:textId="77777777" w:rsidR="00403B07" w:rsidRPr="00C22DFB" w:rsidRDefault="00403B07" w:rsidP="00B01272">
            <w:r>
              <w:t>Shop bought</w:t>
            </w:r>
            <w:r w:rsidRPr="00C22DFB">
              <w:t xml:space="preserve"> sausage</w:t>
            </w:r>
          </w:p>
        </w:tc>
        <w:tc>
          <w:tcPr>
            <w:tcW w:w="993" w:type="dxa"/>
          </w:tcPr>
          <w:p w14:paraId="291D24F6" w14:textId="77777777" w:rsidR="00403B07" w:rsidRPr="00C22DFB" w:rsidRDefault="00403B07" w:rsidP="00B01272">
            <w:pPr>
              <w:rPr>
                <w:b/>
                <w:color w:val="FF0000"/>
              </w:rPr>
            </w:pPr>
            <w:r w:rsidRPr="00C22DFB">
              <w:rPr>
                <w:b/>
                <w:color w:val="FF0000"/>
              </w:rPr>
              <w:t>4</w:t>
            </w:r>
            <w:r>
              <w:rPr>
                <w:b/>
                <w:color w:val="FF0000"/>
              </w:rPr>
              <w:t>1</w:t>
            </w:r>
          </w:p>
        </w:tc>
        <w:tc>
          <w:tcPr>
            <w:tcW w:w="1134" w:type="dxa"/>
          </w:tcPr>
          <w:p w14:paraId="5E1FC68F" w14:textId="77777777" w:rsidR="00403B07" w:rsidRPr="00C22DFB" w:rsidRDefault="00403B07" w:rsidP="00B01272">
            <w:pPr>
              <w:rPr>
                <w:b/>
                <w:color w:val="0000FF"/>
              </w:rPr>
            </w:pPr>
            <w:r>
              <w:rPr>
                <w:b/>
                <w:color w:val="0000FF"/>
              </w:rPr>
              <w:t>37</w:t>
            </w:r>
          </w:p>
        </w:tc>
        <w:tc>
          <w:tcPr>
            <w:tcW w:w="2693" w:type="dxa"/>
          </w:tcPr>
          <w:p w14:paraId="041149F3" w14:textId="77777777" w:rsidR="00403B07" w:rsidRPr="00C22DFB" w:rsidRDefault="00403B07" w:rsidP="00B01272">
            <w:r>
              <w:t>Homemade</w:t>
            </w:r>
            <w:r w:rsidRPr="00C22DFB">
              <w:t xml:space="preserve"> sausage</w:t>
            </w:r>
            <w:r>
              <w:t>s</w:t>
            </w:r>
          </w:p>
        </w:tc>
        <w:tc>
          <w:tcPr>
            <w:tcW w:w="992" w:type="dxa"/>
          </w:tcPr>
          <w:p w14:paraId="264E9545" w14:textId="77777777" w:rsidR="00403B07" w:rsidRPr="00C22DFB" w:rsidRDefault="00403B07" w:rsidP="00B01272">
            <w:pPr>
              <w:rPr>
                <w:b/>
                <w:color w:val="FF0000"/>
              </w:rPr>
            </w:pPr>
            <w:r w:rsidRPr="00C22DFB">
              <w:rPr>
                <w:b/>
                <w:color w:val="FF0000"/>
              </w:rPr>
              <w:t>4</w:t>
            </w:r>
            <w:r>
              <w:rPr>
                <w:b/>
                <w:color w:val="FF0000"/>
              </w:rPr>
              <w:t>3</w:t>
            </w:r>
          </w:p>
        </w:tc>
        <w:tc>
          <w:tcPr>
            <w:tcW w:w="1134" w:type="dxa"/>
          </w:tcPr>
          <w:p w14:paraId="2FC12F11" w14:textId="77777777" w:rsidR="00403B07" w:rsidRPr="00C22DFB" w:rsidRDefault="00403B07" w:rsidP="00B01272">
            <w:pPr>
              <w:rPr>
                <w:b/>
                <w:color w:val="0000FF"/>
              </w:rPr>
            </w:pPr>
            <w:r>
              <w:rPr>
                <w:b/>
                <w:color w:val="0000FF"/>
              </w:rPr>
              <w:t>39</w:t>
            </w:r>
          </w:p>
        </w:tc>
      </w:tr>
      <w:tr w:rsidR="00403B07" w:rsidRPr="00C22DFB" w14:paraId="64A59F57" w14:textId="77777777" w:rsidTr="00B01272">
        <w:tc>
          <w:tcPr>
            <w:tcW w:w="2263" w:type="dxa"/>
          </w:tcPr>
          <w:p w14:paraId="6447CCDF" w14:textId="77777777" w:rsidR="00403B07" w:rsidRPr="00C22DFB" w:rsidRDefault="00403B07" w:rsidP="00B01272">
            <w:r w:rsidRPr="00C22DFB">
              <w:t>Pies and pasties</w:t>
            </w:r>
          </w:p>
        </w:tc>
        <w:tc>
          <w:tcPr>
            <w:tcW w:w="993" w:type="dxa"/>
          </w:tcPr>
          <w:p w14:paraId="318B66D9" w14:textId="77777777" w:rsidR="00403B07" w:rsidRPr="00C22DFB" w:rsidRDefault="00403B07" w:rsidP="00B01272">
            <w:pPr>
              <w:rPr>
                <w:b/>
                <w:color w:val="FF0000"/>
              </w:rPr>
            </w:pPr>
            <w:r w:rsidRPr="00C22DFB">
              <w:rPr>
                <w:b/>
                <w:color w:val="FF0000"/>
              </w:rPr>
              <w:t>4</w:t>
            </w:r>
            <w:r>
              <w:rPr>
                <w:b/>
                <w:color w:val="FF0000"/>
              </w:rPr>
              <w:t>4</w:t>
            </w:r>
          </w:p>
        </w:tc>
        <w:tc>
          <w:tcPr>
            <w:tcW w:w="1134" w:type="dxa"/>
          </w:tcPr>
          <w:p w14:paraId="4BF55285" w14:textId="77777777" w:rsidR="00403B07" w:rsidRPr="00C22DFB" w:rsidRDefault="00403B07" w:rsidP="00B01272">
            <w:pPr>
              <w:rPr>
                <w:b/>
                <w:color w:val="0000FF"/>
              </w:rPr>
            </w:pPr>
            <w:r w:rsidRPr="00C22DFB">
              <w:rPr>
                <w:b/>
                <w:color w:val="0000FF"/>
              </w:rPr>
              <w:t>4</w:t>
            </w:r>
            <w:r>
              <w:rPr>
                <w:b/>
                <w:color w:val="0000FF"/>
              </w:rPr>
              <w:t>0</w:t>
            </w:r>
          </w:p>
        </w:tc>
        <w:tc>
          <w:tcPr>
            <w:tcW w:w="2693" w:type="dxa"/>
          </w:tcPr>
          <w:p w14:paraId="1D6BA14B" w14:textId="77777777" w:rsidR="00403B07" w:rsidRPr="00C22DFB" w:rsidRDefault="00403B07" w:rsidP="00B01272">
            <w:r>
              <w:t>Y</w:t>
            </w:r>
            <w:r w:rsidRPr="00C22DFB">
              <w:t>ogurt</w:t>
            </w:r>
          </w:p>
        </w:tc>
        <w:tc>
          <w:tcPr>
            <w:tcW w:w="992" w:type="dxa"/>
          </w:tcPr>
          <w:p w14:paraId="45178014" w14:textId="77777777" w:rsidR="00403B07" w:rsidRPr="00C22DFB" w:rsidRDefault="00403B07" w:rsidP="00B01272">
            <w:pPr>
              <w:rPr>
                <w:b/>
                <w:color w:val="FF0000"/>
              </w:rPr>
            </w:pPr>
            <w:r>
              <w:rPr>
                <w:b/>
                <w:color w:val="FF0000"/>
              </w:rPr>
              <w:t>52</w:t>
            </w:r>
          </w:p>
        </w:tc>
        <w:tc>
          <w:tcPr>
            <w:tcW w:w="1134" w:type="dxa"/>
          </w:tcPr>
          <w:p w14:paraId="31996432" w14:textId="77777777" w:rsidR="00403B07" w:rsidRPr="00C22DFB" w:rsidRDefault="00403B07" w:rsidP="00B01272">
            <w:pPr>
              <w:rPr>
                <w:b/>
                <w:color w:val="0000FF"/>
              </w:rPr>
            </w:pPr>
            <w:r>
              <w:rPr>
                <w:b/>
                <w:color w:val="0000FF"/>
              </w:rPr>
              <w:t>48</w:t>
            </w:r>
          </w:p>
        </w:tc>
      </w:tr>
      <w:tr w:rsidR="00403B07" w:rsidRPr="00C22DFB" w14:paraId="57C2707B" w14:textId="77777777" w:rsidTr="00B01272">
        <w:tc>
          <w:tcPr>
            <w:tcW w:w="2263" w:type="dxa"/>
          </w:tcPr>
          <w:p w14:paraId="40DEA9E4" w14:textId="77777777" w:rsidR="00403B07" w:rsidRPr="00C22DFB" w:rsidRDefault="00403B07" w:rsidP="00B01272">
            <w:r w:rsidRPr="00C22DFB">
              <w:t>Fried fish</w:t>
            </w:r>
          </w:p>
        </w:tc>
        <w:tc>
          <w:tcPr>
            <w:tcW w:w="993" w:type="dxa"/>
          </w:tcPr>
          <w:p w14:paraId="39286F23" w14:textId="77777777" w:rsidR="00403B07" w:rsidRPr="00C22DFB" w:rsidRDefault="00403B07" w:rsidP="00B01272">
            <w:pPr>
              <w:rPr>
                <w:b/>
                <w:color w:val="FF0000"/>
              </w:rPr>
            </w:pPr>
            <w:r>
              <w:rPr>
                <w:b/>
                <w:color w:val="FF0000"/>
              </w:rPr>
              <w:t>46</w:t>
            </w:r>
          </w:p>
        </w:tc>
        <w:tc>
          <w:tcPr>
            <w:tcW w:w="1134" w:type="dxa"/>
          </w:tcPr>
          <w:p w14:paraId="5F3C6D5A" w14:textId="77777777" w:rsidR="00403B07" w:rsidRPr="00C22DFB" w:rsidRDefault="00403B07" w:rsidP="00B01272">
            <w:pPr>
              <w:rPr>
                <w:b/>
                <w:color w:val="0000FF"/>
              </w:rPr>
            </w:pPr>
            <w:r w:rsidRPr="00C22DFB">
              <w:rPr>
                <w:b/>
                <w:color w:val="0000FF"/>
              </w:rPr>
              <w:t>4</w:t>
            </w:r>
            <w:r>
              <w:rPr>
                <w:b/>
                <w:color w:val="0000FF"/>
              </w:rPr>
              <w:t>2</w:t>
            </w:r>
          </w:p>
        </w:tc>
        <w:tc>
          <w:tcPr>
            <w:tcW w:w="2693" w:type="dxa"/>
          </w:tcPr>
          <w:p w14:paraId="2C3BF528" w14:textId="77777777" w:rsidR="00403B07" w:rsidRPr="00C22DFB" w:rsidRDefault="00403B07" w:rsidP="00B01272">
            <w:r w:rsidRPr="00C22DFB">
              <w:t>No sugar squash</w:t>
            </w:r>
          </w:p>
        </w:tc>
        <w:tc>
          <w:tcPr>
            <w:tcW w:w="992" w:type="dxa"/>
          </w:tcPr>
          <w:p w14:paraId="1338C2BF" w14:textId="77777777" w:rsidR="00403B07" w:rsidRPr="00C22DFB" w:rsidRDefault="00403B07" w:rsidP="00B01272">
            <w:pPr>
              <w:rPr>
                <w:b/>
                <w:color w:val="FF0000"/>
              </w:rPr>
            </w:pPr>
            <w:r>
              <w:rPr>
                <w:b/>
                <w:color w:val="FF0000"/>
              </w:rPr>
              <w:t>56</w:t>
            </w:r>
          </w:p>
        </w:tc>
        <w:tc>
          <w:tcPr>
            <w:tcW w:w="1134" w:type="dxa"/>
          </w:tcPr>
          <w:p w14:paraId="0393CA3E" w14:textId="77777777" w:rsidR="00403B07" w:rsidRPr="00C22DFB" w:rsidRDefault="00403B07" w:rsidP="00B01272">
            <w:pPr>
              <w:rPr>
                <w:b/>
                <w:color w:val="0000FF"/>
              </w:rPr>
            </w:pPr>
            <w:r>
              <w:rPr>
                <w:b/>
                <w:color w:val="0000FF"/>
              </w:rPr>
              <w:t>52</w:t>
            </w:r>
          </w:p>
        </w:tc>
      </w:tr>
      <w:tr w:rsidR="00403B07" w:rsidRPr="00C22DFB" w14:paraId="09FAA87E" w14:textId="77777777" w:rsidTr="00B01272">
        <w:tc>
          <w:tcPr>
            <w:tcW w:w="2263" w:type="dxa"/>
          </w:tcPr>
          <w:p w14:paraId="59621538" w14:textId="77777777" w:rsidR="00403B07" w:rsidRPr="00C22DFB" w:rsidRDefault="00403B07" w:rsidP="00B01272">
            <w:r w:rsidRPr="00C22DFB">
              <w:t>Fried egg</w:t>
            </w:r>
          </w:p>
        </w:tc>
        <w:tc>
          <w:tcPr>
            <w:tcW w:w="993" w:type="dxa"/>
          </w:tcPr>
          <w:p w14:paraId="22D4ECD2" w14:textId="77777777" w:rsidR="00403B07" w:rsidRPr="00C22DFB" w:rsidRDefault="00403B07" w:rsidP="00B01272">
            <w:pPr>
              <w:rPr>
                <w:b/>
                <w:color w:val="FF0000"/>
              </w:rPr>
            </w:pPr>
            <w:r>
              <w:rPr>
                <w:b/>
                <w:color w:val="FF0000"/>
              </w:rPr>
              <w:t>49</w:t>
            </w:r>
          </w:p>
        </w:tc>
        <w:tc>
          <w:tcPr>
            <w:tcW w:w="1134" w:type="dxa"/>
          </w:tcPr>
          <w:p w14:paraId="5D8E0835" w14:textId="77777777" w:rsidR="00403B07" w:rsidRPr="00C22DFB" w:rsidRDefault="00403B07" w:rsidP="00B01272">
            <w:pPr>
              <w:rPr>
                <w:b/>
                <w:color w:val="0000FF"/>
              </w:rPr>
            </w:pPr>
            <w:r>
              <w:rPr>
                <w:b/>
                <w:color w:val="0000FF"/>
              </w:rPr>
              <w:t>45</w:t>
            </w:r>
          </w:p>
        </w:tc>
        <w:tc>
          <w:tcPr>
            <w:tcW w:w="2693" w:type="dxa"/>
          </w:tcPr>
          <w:p w14:paraId="2CDDC3E1" w14:textId="77777777" w:rsidR="00403B07" w:rsidRPr="00C22DFB" w:rsidRDefault="00403B07" w:rsidP="00B01272">
            <w:r w:rsidRPr="00C22DFB">
              <w:t>Semi skimmed milk</w:t>
            </w:r>
          </w:p>
        </w:tc>
        <w:tc>
          <w:tcPr>
            <w:tcW w:w="992" w:type="dxa"/>
          </w:tcPr>
          <w:p w14:paraId="52B0546C" w14:textId="77777777" w:rsidR="00403B07" w:rsidRPr="00C22DFB" w:rsidRDefault="00403B07" w:rsidP="00B01272">
            <w:pPr>
              <w:rPr>
                <w:b/>
                <w:color w:val="FF0000"/>
              </w:rPr>
            </w:pPr>
            <w:r>
              <w:rPr>
                <w:b/>
                <w:color w:val="FF0000"/>
              </w:rPr>
              <w:t>59</w:t>
            </w:r>
          </w:p>
        </w:tc>
        <w:tc>
          <w:tcPr>
            <w:tcW w:w="1134" w:type="dxa"/>
          </w:tcPr>
          <w:p w14:paraId="51A38A3A" w14:textId="77777777" w:rsidR="00403B07" w:rsidRPr="00C22DFB" w:rsidRDefault="00403B07" w:rsidP="00B01272">
            <w:pPr>
              <w:rPr>
                <w:b/>
                <w:color w:val="0000FF"/>
              </w:rPr>
            </w:pPr>
            <w:r>
              <w:rPr>
                <w:b/>
                <w:color w:val="0000FF"/>
              </w:rPr>
              <w:t>55</w:t>
            </w:r>
          </w:p>
        </w:tc>
      </w:tr>
      <w:tr w:rsidR="00403B07" w:rsidRPr="00C22DFB" w14:paraId="0D0117CC" w14:textId="77777777" w:rsidTr="00B01272">
        <w:tc>
          <w:tcPr>
            <w:tcW w:w="2263" w:type="dxa"/>
          </w:tcPr>
          <w:p w14:paraId="701E9FF2" w14:textId="77777777" w:rsidR="00403B07" w:rsidRPr="00C22DFB" w:rsidRDefault="00403B07" w:rsidP="00B01272">
            <w:r w:rsidRPr="00C22DFB">
              <w:t>Processed cheese</w:t>
            </w:r>
          </w:p>
        </w:tc>
        <w:tc>
          <w:tcPr>
            <w:tcW w:w="993" w:type="dxa"/>
          </w:tcPr>
          <w:p w14:paraId="61EAED44" w14:textId="77777777" w:rsidR="00403B07" w:rsidRPr="00C22DFB" w:rsidRDefault="00403B07" w:rsidP="00B01272">
            <w:pPr>
              <w:rPr>
                <w:b/>
                <w:color w:val="FF0000"/>
              </w:rPr>
            </w:pPr>
            <w:r>
              <w:rPr>
                <w:b/>
                <w:color w:val="FF0000"/>
              </w:rPr>
              <w:t>51</w:t>
            </w:r>
          </w:p>
        </w:tc>
        <w:tc>
          <w:tcPr>
            <w:tcW w:w="1134" w:type="dxa"/>
          </w:tcPr>
          <w:p w14:paraId="0C9D2857" w14:textId="77777777" w:rsidR="00403B07" w:rsidRPr="00C22DFB" w:rsidRDefault="00403B07" w:rsidP="00B01272">
            <w:pPr>
              <w:rPr>
                <w:b/>
                <w:color w:val="0000FF"/>
              </w:rPr>
            </w:pPr>
            <w:r>
              <w:rPr>
                <w:b/>
                <w:color w:val="0000FF"/>
              </w:rPr>
              <w:t>47</w:t>
            </w:r>
          </w:p>
        </w:tc>
        <w:tc>
          <w:tcPr>
            <w:tcW w:w="2693" w:type="dxa"/>
          </w:tcPr>
          <w:p w14:paraId="042154E5" w14:textId="77777777" w:rsidR="00403B07" w:rsidRPr="00C22DFB" w:rsidRDefault="00403B07" w:rsidP="00B01272">
            <w:r w:rsidRPr="00C22DFB">
              <w:t>Water</w:t>
            </w:r>
          </w:p>
        </w:tc>
        <w:tc>
          <w:tcPr>
            <w:tcW w:w="992" w:type="dxa"/>
          </w:tcPr>
          <w:p w14:paraId="0DC28D04" w14:textId="77777777" w:rsidR="00403B07" w:rsidRPr="00C22DFB" w:rsidRDefault="00403B07" w:rsidP="00B01272">
            <w:pPr>
              <w:rPr>
                <w:b/>
                <w:color w:val="FF0000"/>
              </w:rPr>
            </w:pPr>
            <w:r>
              <w:rPr>
                <w:b/>
                <w:color w:val="FF0000"/>
              </w:rPr>
              <w:t>60</w:t>
            </w:r>
          </w:p>
        </w:tc>
        <w:tc>
          <w:tcPr>
            <w:tcW w:w="1134" w:type="dxa"/>
          </w:tcPr>
          <w:p w14:paraId="7BA8924A" w14:textId="77777777" w:rsidR="00403B07" w:rsidRPr="00C22DFB" w:rsidRDefault="00403B07" w:rsidP="00B01272">
            <w:pPr>
              <w:rPr>
                <w:b/>
                <w:color w:val="0000FF"/>
              </w:rPr>
            </w:pPr>
            <w:r>
              <w:rPr>
                <w:b/>
                <w:color w:val="0000FF"/>
              </w:rPr>
              <w:t>56</w:t>
            </w:r>
          </w:p>
        </w:tc>
      </w:tr>
      <w:tr w:rsidR="00403B07" w:rsidRPr="00C22DFB" w14:paraId="01FC5AA4" w14:textId="77777777" w:rsidTr="00B01272">
        <w:tc>
          <w:tcPr>
            <w:tcW w:w="2263" w:type="dxa"/>
          </w:tcPr>
          <w:p w14:paraId="7DFAAAC6" w14:textId="77777777" w:rsidR="00403B07" w:rsidRPr="00C22DFB" w:rsidRDefault="00403B07" w:rsidP="00B01272">
            <w:r w:rsidRPr="00C22DFB">
              <w:t>Takeaways</w:t>
            </w:r>
          </w:p>
        </w:tc>
        <w:tc>
          <w:tcPr>
            <w:tcW w:w="993" w:type="dxa"/>
          </w:tcPr>
          <w:p w14:paraId="14765A94" w14:textId="77777777" w:rsidR="00403B07" w:rsidRPr="00C22DFB" w:rsidRDefault="00403B07" w:rsidP="00B01272">
            <w:pPr>
              <w:rPr>
                <w:b/>
                <w:color w:val="FF0000"/>
              </w:rPr>
            </w:pPr>
            <w:r>
              <w:rPr>
                <w:b/>
                <w:color w:val="FF0000"/>
              </w:rPr>
              <w:t>53</w:t>
            </w:r>
          </w:p>
        </w:tc>
        <w:tc>
          <w:tcPr>
            <w:tcW w:w="1134" w:type="dxa"/>
          </w:tcPr>
          <w:p w14:paraId="1B7DA1EE" w14:textId="77777777" w:rsidR="00403B07" w:rsidRPr="00C22DFB" w:rsidRDefault="00403B07" w:rsidP="00B01272">
            <w:pPr>
              <w:rPr>
                <w:b/>
                <w:color w:val="0000FF"/>
              </w:rPr>
            </w:pPr>
            <w:r>
              <w:rPr>
                <w:b/>
                <w:color w:val="0000FF"/>
              </w:rPr>
              <w:t>49</w:t>
            </w:r>
          </w:p>
        </w:tc>
        <w:tc>
          <w:tcPr>
            <w:tcW w:w="2693" w:type="dxa"/>
          </w:tcPr>
          <w:p w14:paraId="3DB9E9D9" w14:textId="77777777" w:rsidR="00403B07" w:rsidRPr="00C22DFB" w:rsidRDefault="00403B07" w:rsidP="00B01272"/>
        </w:tc>
        <w:tc>
          <w:tcPr>
            <w:tcW w:w="992" w:type="dxa"/>
          </w:tcPr>
          <w:p w14:paraId="204D0120" w14:textId="77777777" w:rsidR="00403B07" w:rsidRPr="00C22DFB" w:rsidRDefault="00403B07" w:rsidP="00B01272">
            <w:pPr>
              <w:rPr>
                <w:b/>
                <w:color w:val="FF0000"/>
              </w:rPr>
            </w:pPr>
          </w:p>
        </w:tc>
        <w:tc>
          <w:tcPr>
            <w:tcW w:w="1134" w:type="dxa"/>
          </w:tcPr>
          <w:p w14:paraId="4530F38E" w14:textId="77777777" w:rsidR="00403B07" w:rsidRPr="00C22DFB" w:rsidRDefault="00403B07" w:rsidP="00B01272">
            <w:pPr>
              <w:rPr>
                <w:b/>
                <w:color w:val="0000FF"/>
              </w:rPr>
            </w:pPr>
          </w:p>
        </w:tc>
      </w:tr>
      <w:tr w:rsidR="00403B07" w:rsidRPr="00C22DFB" w14:paraId="12FC5DC8" w14:textId="77777777" w:rsidTr="00B01272">
        <w:tc>
          <w:tcPr>
            <w:tcW w:w="2263" w:type="dxa"/>
          </w:tcPr>
          <w:p w14:paraId="492E0711" w14:textId="77777777" w:rsidR="00403B07" w:rsidRPr="00C22DFB" w:rsidRDefault="00403B07" w:rsidP="00B01272">
            <w:r w:rsidRPr="00C22DFB">
              <w:t>Salt added to food</w:t>
            </w:r>
          </w:p>
        </w:tc>
        <w:tc>
          <w:tcPr>
            <w:tcW w:w="993" w:type="dxa"/>
          </w:tcPr>
          <w:p w14:paraId="05D1E794" w14:textId="77777777" w:rsidR="00403B07" w:rsidRPr="00C22DFB" w:rsidRDefault="00403B07" w:rsidP="00B01272">
            <w:pPr>
              <w:rPr>
                <w:b/>
                <w:color w:val="FF0000"/>
              </w:rPr>
            </w:pPr>
            <w:r>
              <w:rPr>
                <w:b/>
                <w:color w:val="FF0000"/>
              </w:rPr>
              <w:t>54</w:t>
            </w:r>
          </w:p>
        </w:tc>
        <w:tc>
          <w:tcPr>
            <w:tcW w:w="1134" w:type="dxa"/>
          </w:tcPr>
          <w:p w14:paraId="60ADDF6C" w14:textId="77777777" w:rsidR="00403B07" w:rsidRPr="00C22DFB" w:rsidRDefault="00403B07" w:rsidP="00B01272">
            <w:pPr>
              <w:rPr>
                <w:b/>
                <w:color w:val="0000FF"/>
              </w:rPr>
            </w:pPr>
            <w:r w:rsidRPr="00C22DFB">
              <w:rPr>
                <w:b/>
                <w:color w:val="0000FF"/>
              </w:rPr>
              <w:t>5</w:t>
            </w:r>
            <w:r>
              <w:rPr>
                <w:b/>
                <w:color w:val="0000FF"/>
              </w:rPr>
              <w:t>0</w:t>
            </w:r>
          </w:p>
        </w:tc>
        <w:tc>
          <w:tcPr>
            <w:tcW w:w="2693" w:type="dxa"/>
          </w:tcPr>
          <w:p w14:paraId="09611717" w14:textId="77777777" w:rsidR="00403B07" w:rsidRPr="00C22DFB" w:rsidRDefault="00403B07" w:rsidP="00B01272"/>
        </w:tc>
        <w:tc>
          <w:tcPr>
            <w:tcW w:w="992" w:type="dxa"/>
          </w:tcPr>
          <w:p w14:paraId="6CBF9390" w14:textId="77777777" w:rsidR="00403B07" w:rsidRPr="00C22DFB" w:rsidRDefault="00403B07" w:rsidP="00B01272">
            <w:pPr>
              <w:rPr>
                <w:b/>
                <w:color w:val="FF0000"/>
              </w:rPr>
            </w:pPr>
          </w:p>
        </w:tc>
        <w:tc>
          <w:tcPr>
            <w:tcW w:w="1134" w:type="dxa"/>
          </w:tcPr>
          <w:p w14:paraId="0C8CDCB9" w14:textId="77777777" w:rsidR="00403B07" w:rsidRPr="00C22DFB" w:rsidRDefault="00403B07" w:rsidP="00B01272">
            <w:pPr>
              <w:rPr>
                <w:b/>
                <w:color w:val="0000FF"/>
              </w:rPr>
            </w:pPr>
          </w:p>
        </w:tc>
      </w:tr>
      <w:tr w:rsidR="00403B07" w:rsidRPr="00C22DFB" w14:paraId="20988B1B" w14:textId="77777777" w:rsidTr="00B01272">
        <w:tc>
          <w:tcPr>
            <w:tcW w:w="2263" w:type="dxa"/>
          </w:tcPr>
          <w:p w14:paraId="76A67A73" w14:textId="77777777" w:rsidR="00403B07" w:rsidRPr="00C22DFB" w:rsidRDefault="00403B07" w:rsidP="00B01272">
            <w:r>
              <w:t>Sweet</w:t>
            </w:r>
            <w:r w:rsidRPr="00C22DFB">
              <w:t xml:space="preserve"> fizzy drink</w:t>
            </w:r>
          </w:p>
        </w:tc>
        <w:tc>
          <w:tcPr>
            <w:tcW w:w="993" w:type="dxa"/>
          </w:tcPr>
          <w:p w14:paraId="6BB481D7" w14:textId="77777777" w:rsidR="00403B07" w:rsidRPr="00C22DFB" w:rsidRDefault="00403B07" w:rsidP="00B01272">
            <w:pPr>
              <w:rPr>
                <w:b/>
                <w:color w:val="FF0000"/>
              </w:rPr>
            </w:pPr>
            <w:r>
              <w:rPr>
                <w:b/>
                <w:color w:val="FF0000"/>
              </w:rPr>
              <w:t>55</w:t>
            </w:r>
          </w:p>
        </w:tc>
        <w:tc>
          <w:tcPr>
            <w:tcW w:w="1134" w:type="dxa"/>
          </w:tcPr>
          <w:p w14:paraId="06E5FCE3" w14:textId="77777777" w:rsidR="00403B07" w:rsidRPr="00C22DFB" w:rsidRDefault="00403B07" w:rsidP="00B01272">
            <w:pPr>
              <w:rPr>
                <w:b/>
                <w:color w:val="0000FF"/>
              </w:rPr>
            </w:pPr>
            <w:r>
              <w:rPr>
                <w:b/>
                <w:color w:val="0000FF"/>
              </w:rPr>
              <w:t>51</w:t>
            </w:r>
          </w:p>
        </w:tc>
        <w:tc>
          <w:tcPr>
            <w:tcW w:w="2693" w:type="dxa"/>
          </w:tcPr>
          <w:p w14:paraId="4023339B" w14:textId="77777777" w:rsidR="00403B07" w:rsidRPr="00C22DFB" w:rsidRDefault="00403B07" w:rsidP="00B01272"/>
        </w:tc>
        <w:tc>
          <w:tcPr>
            <w:tcW w:w="992" w:type="dxa"/>
          </w:tcPr>
          <w:p w14:paraId="217FA26B" w14:textId="77777777" w:rsidR="00403B07" w:rsidRPr="00C22DFB" w:rsidRDefault="00403B07" w:rsidP="00B01272">
            <w:pPr>
              <w:rPr>
                <w:b/>
                <w:color w:val="FF0000"/>
              </w:rPr>
            </w:pPr>
          </w:p>
        </w:tc>
        <w:tc>
          <w:tcPr>
            <w:tcW w:w="1134" w:type="dxa"/>
          </w:tcPr>
          <w:p w14:paraId="3886A5EF" w14:textId="77777777" w:rsidR="00403B07" w:rsidRPr="00C22DFB" w:rsidRDefault="00403B07" w:rsidP="00B01272">
            <w:pPr>
              <w:rPr>
                <w:b/>
                <w:color w:val="0000FF"/>
              </w:rPr>
            </w:pPr>
          </w:p>
        </w:tc>
      </w:tr>
    </w:tbl>
    <w:p w14:paraId="171D5703" w14:textId="77777777" w:rsidR="00403B07" w:rsidRDefault="00403B07" w:rsidP="00403B07">
      <w:pPr>
        <w:rPr>
          <w:i/>
        </w:rPr>
      </w:pPr>
    </w:p>
    <w:p w14:paraId="1F01D91D" w14:textId="77777777" w:rsidR="00403B07" w:rsidRDefault="00403B07" w:rsidP="00403B07">
      <w:pPr>
        <w:outlineLvl w:val="0"/>
        <w:rPr>
          <w:rFonts w:cs="Arial"/>
        </w:rPr>
      </w:pPr>
      <w:r>
        <w:rPr>
          <w:i/>
        </w:rPr>
        <w:br w:type="page"/>
      </w:r>
      <w:bookmarkStart w:id="665" w:name="_Toc475974410"/>
      <w:r w:rsidRPr="00C46269">
        <w:rPr>
          <w:rFonts w:cs="Arial"/>
          <w:b/>
          <w:sz w:val="24"/>
          <w:szCs w:val="24"/>
        </w:rPr>
        <w:lastRenderedPageBreak/>
        <w:t xml:space="preserve">Appendix </w:t>
      </w:r>
      <w:r>
        <w:rPr>
          <w:rFonts w:cs="Arial"/>
          <w:b/>
          <w:sz w:val="24"/>
          <w:szCs w:val="24"/>
        </w:rPr>
        <w:t>3</w:t>
      </w:r>
      <w:r w:rsidRPr="00C46269">
        <w:rPr>
          <w:rFonts w:cs="Arial"/>
          <w:b/>
          <w:sz w:val="24"/>
          <w:szCs w:val="24"/>
        </w:rPr>
        <w:t xml:space="preserve"> </w:t>
      </w:r>
      <w:r>
        <w:rPr>
          <w:rFonts w:cs="Arial"/>
          <w:b/>
          <w:sz w:val="24"/>
          <w:szCs w:val="24"/>
        </w:rPr>
        <w:t>My Lifestyle Questionnaire</w:t>
      </w:r>
      <w:bookmarkEnd w:id="665"/>
      <w:r>
        <w:rPr>
          <w:rFonts w:cs="Arial"/>
          <w:b/>
          <w:sz w:val="24"/>
          <w:szCs w:val="24"/>
        </w:rPr>
        <w:t xml:space="preserve"> </w:t>
      </w:r>
    </w:p>
    <w:p w14:paraId="24F2DDF1" w14:textId="77777777" w:rsidR="00403B07" w:rsidRPr="001C4036" w:rsidRDefault="00403B07" w:rsidP="000E6BCF">
      <w:pPr>
        <w:rPr>
          <w:b/>
          <w:i/>
        </w:rPr>
      </w:pPr>
      <w:r w:rsidRPr="001C4036">
        <w:rPr>
          <w:rFonts w:cs="Arial"/>
          <w:b/>
          <w:i/>
        </w:rPr>
        <w:t xml:space="preserve">Appendix 3 (a) My Lifestyle Questionnaire </w:t>
      </w:r>
    </w:p>
    <w:p w14:paraId="14392711" w14:textId="77777777" w:rsidR="00403B07" w:rsidRDefault="00403B07" w:rsidP="00403B07">
      <w:pPr>
        <w:rPr>
          <w:rFonts w:cs="Arial"/>
          <w:sz w:val="24"/>
          <w:szCs w:val="24"/>
        </w:rPr>
      </w:pPr>
      <w:r>
        <w:rPr>
          <w:rFonts w:cs="Arial"/>
          <w:sz w:val="24"/>
          <w:szCs w:val="24"/>
        </w:rPr>
        <w:object w:dxaOrig="8925" w:dyaOrig="12630" w14:anchorId="01942E3A">
          <v:shape id="_x0000_i1025" type="#_x0000_t75" style="width:446.25pt;height:633.75pt" o:ole="">
            <v:imagedata r:id="rId37" o:title=""/>
          </v:shape>
          <o:OLEObject Type="Embed" ProgID="Acrobat.Document.11" ShapeID="_x0000_i1025" DrawAspect="Content" ObjectID="_1549973728" r:id="rId38"/>
        </w:object>
      </w:r>
    </w:p>
    <w:p w14:paraId="6F9C79B6" w14:textId="77777777" w:rsidR="00403B07" w:rsidRDefault="00403B07" w:rsidP="00403B07">
      <w:pPr>
        <w:rPr>
          <w:rFonts w:cs="Arial"/>
        </w:rPr>
      </w:pPr>
    </w:p>
    <w:p w14:paraId="0225CAC8" w14:textId="77777777" w:rsidR="00897933" w:rsidRDefault="00897933">
      <w:pPr>
        <w:rPr>
          <w:rFonts w:cs="Arial"/>
          <w:b/>
          <w:i/>
        </w:rPr>
      </w:pPr>
      <w:r>
        <w:rPr>
          <w:rFonts w:cs="Arial"/>
          <w:b/>
          <w:i/>
        </w:rPr>
        <w:br w:type="page"/>
      </w:r>
    </w:p>
    <w:p w14:paraId="60F62058" w14:textId="5A978713" w:rsidR="00403B07" w:rsidRPr="006347FD" w:rsidRDefault="00403B07" w:rsidP="00403B07">
      <w:pPr>
        <w:rPr>
          <w:b/>
          <w:i/>
        </w:rPr>
      </w:pPr>
      <w:r w:rsidRPr="006347FD">
        <w:rPr>
          <w:rFonts w:cs="Arial"/>
          <w:b/>
          <w:i/>
        </w:rPr>
        <w:lastRenderedPageBreak/>
        <w:t>Appendix 3 (a) My Lifestyle Questionnaire (continued)</w:t>
      </w:r>
    </w:p>
    <w:p w14:paraId="5D43B917" w14:textId="77777777" w:rsidR="00403B07" w:rsidRDefault="00403B07" w:rsidP="00403B07">
      <w:pPr>
        <w:rPr>
          <w:rFonts w:cs="Arial"/>
          <w:b/>
          <w:sz w:val="24"/>
          <w:szCs w:val="24"/>
        </w:rPr>
      </w:pPr>
    </w:p>
    <w:p w14:paraId="0A20A17E" w14:textId="77777777" w:rsidR="00403B07" w:rsidRDefault="00403B07" w:rsidP="00403B07">
      <w:pPr>
        <w:rPr>
          <w:rFonts w:cs="Arial"/>
          <w:b/>
          <w:sz w:val="24"/>
          <w:szCs w:val="24"/>
        </w:rPr>
      </w:pPr>
      <w:r>
        <w:rPr>
          <w:rFonts w:cs="Arial"/>
          <w:b/>
          <w:sz w:val="24"/>
          <w:szCs w:val="24"/>
        </w:rPr>
        <w:object w:dxaOrig="8925" w:dyaOrig="12630" w14:anchorId="2CBE1CDF">
          <v:shape id="_x0000_i1026" type="#_x0000_t75" style="width:446.25pt;height:633.75pt" o:ole="">
            <v:imagedata r:id="rId39" o:title=""/>
          </v:shape>
          <o:OLEObject Type="Embed" ProgID="Acrobat.Document.11" ShapeID="_x0000_i1026" DrawAspect="Content" ObjectID="_1549973729" r:id="rId40"/>
        </w:object>
      </w:r>
    </w:p>
    <w:p w14:paraId="20E01519" w14:textId="77777777" w:rsidR="00403B07" w:rsidRDefault="00403B07" w:rsidP="00403B07">
      <w:pPr>
        <w:rPr>
          <w:rFonts w:cs="Arial"/>
          <w:b/>
          <w:sz w:val="24"/>
          <w:szCs w:val="24"/>
        </w:rPr>
      </w:pPr>
    </w:p>
    <w:p w14:paraId="71824DA1" w14:textId="77777777" w:rsidR="005E06B3" w:rsidRDefault="005E06B3">
      <w:pPr>
        <w:rPr>
          <w:rFonts w:cs="Arial"/>
          <w:b/>
          <w:i/>
        </w:rPr>
      </w:pPr>
      <w:r>
        <w:rPr>
          <w:rFonts w:cs="Arial"/>
          <w:b/>
          <w:i/>
        </w:rPr>
        <w:br w:type="page"/>
      </w:r>
    </w:p>
    <w:p w14:paraId="4F962E02" w14:textId="40ED7A86" w:rsidR="00403B07" w:rsidRPr="006347FD" w:rsidRDefault="00403B07" w:rsidP="00403B07">
      <w:pPr>
        <w:rPr>
          <w:b/>
          <w:i/>
        </w:rPr>
      </w:pPr>
      <w:r w:rsidRPr="006347FD">
        <w:rPr>
          <w:rFonts w:cs="Arial"/>
          <w:b/>
          <w:i/>
        </w:rPr>
        <w:lastRenderedPageBreak/>
        <w:t>Appendix 3 (a) My Lifestyle Questionnaire (continued)</w:t>
      </w:r>
    </w:p>
    <w:p w14:paraId="10E37E8F" w14:textId="77777777" w:rsidR="00403B07" w:rsidRDefault="00403B07" w:rsidP="00403B07">
      <w:pPr>
        <w:rPr>
          <w:rFonts w:cs="Arial"/>
          <w:b/>
          <w:sz w:val="24"/>
          <w:szCs w:val="24"/>
        </w:rPr>
      </w:pPr>
    </w:p>
    <w:p w14:paraId="027AECF9" w14:textId="77777777" w:rsidR="00403B07" w:rsidRDefault="00403B07" w:rsidP="00403B07">
      <w:pPr>
        <w:rPr>
          <w:rFonts w:cs="Arial"/>
          <w:b/>
          <w:sz w:val="24"/>
          <w:szCs w:val="24"/>
        </w:rPr>
      </w:pPr>
      <w:r>
        <w:rPr>
          <w:rFonts w:cs="Arial"/>
          <w:b/>
          <w:sz w:val="24"/>
          <w:szCs w:val="24"/>
        </w:rPr>
        <w:object w:dxaOrig="8925" w:dyaOrig="12630" w14:anchorId="14665A87">
          <v:shape id="_x0000_i1027" type="#_x0000_t75" style="width:446.25pt;height:633.75pt" o:ole="">
            <v:imagedata r:id="rId41" o:title=""/>
          </v:shape>
          <o:OLEObject Type="Embed" ProgID="Acrobat.Document.11" ShapeID="_x0000_i1027" DrawAspect="Content" ObjectID="_1549973730" r:id="rId42"/>
        </w:object>
      </w:r>
    </w:p>
    <w:p w14:paraId="1D29C609" w14:textId="77777777" w:rsidR="00897933" w:rsidRDefault="00897933">
      <w:pPr>
        <w:rPr>
          <w:rFonts w:cs="Arial"/>
          <w:b/>
          <w:i/>
        </w:rPr>
      </w:pPr>
      <w:r>
        <w:rPr>
          <w:rFonts w:cs="Arial"/>
          <w:b/>
          <w:i/>
        </w:rPr>
        <w:br w:type="page"/>
      </w:r>
    </w:p>
    <w:p w14:paraId="40E1C8B3" w14:textId="7EE11D30" w:rsidR="00403B07" w:rsidRPr="006347FD" w:rsidRDefault="00403B07" w:rsidP="00403B07">
      <w:pPr>
        <w:rPr>
          <w:b/>
          <w:i/>
        </w:rPr>
      </w:pPr>
      <w:r w:rsidRPr="006347FD">
        <w:rPr>
          <w:rFonts w:cs="Arial"/>
          <w:b/>
          <w:i/>
        </w:rPr>
        <w:lastRenderedPageBreak/>
        <w:t>Appendix 3 (a) My Lifestyle Questionnaire (continued)</w:t>
      </w:r>
    </w:p>
    <w:p w14:paraId="30DD565E" w14:textId="77777777" w:rsidR="00403B07" w:rsidRDefault="00403B07" w:rsidP="00403B07">
      <w:pPr>
        <w:rPr>
          <w:rFonts w:cs="Arial"/>
          <w:b/>
          <w:sz w:val="24"/>
          <w:szCs w:val="24"/>
        </w:rPr>
      </w:pPr>
    </w:p>
    <w:p w14:paraId="36472EBD" w14:textId="77777777" w:rsidR="00403B07" w:rsidRDefault="00403B07" w:rsidP="00403B07">
      <w:pPr>
        <w:rPr>
          <w:rFonts w:cs="Arial"/>
          <w:b/>
          <w:sz w:val="24"/>
          <w:szCs w:val="24"/>
        </w:rPr>
      </w:pPr>
      <w:r>
        <w:rPr>
          <w:rFonts w:cs="Arial"/>
          <w:b/>
          <w:sz w:val="24"/>
          <w:szCs w:val="24"/>
        </w:rPr>
        <w:object w:dxaOrig="8925" w:dyaOrig="12630" w14:anchorId="35AB9EE9">
          <v:shape id="_x0000_i1028" type="#_x0000_t75" style="width:446.25pt;height:633.75pt" o:ole="">
            <v:imagedata r:id="rId43" o:title=""/>
          </v:shape>
          <o:OLEObject Type="Embed" ProgID="Acrobat.Document.11" ShapeID="_x0000_i1028" DrawAspect="Content" ObjectID="_1549973731" r:id="rId44"/>
        </w:object>
      </w:r>
    </w:p>
    <w:p w14:paraId="63D8D349" w14:textId="77777777" w:rsidR="00403B07" w:rsidRDefault="00403B07" w:rsidP="00403B07">
      <w:pPr>
        <w:rPr>
          <w:rFonts w:cs="Arial"/>
          <w:b/>
          <w:sz w:val="24"/>
          <w:szCs w:val="24"/>
        </w:rPr>
      </w:pPr>
    </w:p>
    <w:p w14:paraId="102E946E" w14:textId="77777777" w:rsidR="00403B07" w:rsidRDefault="00403B07" w:rsidP="00403B07">
      <w:pPr>
        <w:rPr>
          <w:rFonts w:cs="Arial"/>
          <w:b/>
          <w:sz w:val="24"/>
          <w:szCs w:val="24"/>
        </w:rPr>
      </w:pPr>
    </w:p>
    <w:p w14:paraId="7C008350" w14:textId="77777777" w:rsidR="00897933" w:rsidRDefault="00897933">
      <w:pPr>
        <w:rPr>
          <w:rFonts w:cs="Arial"/>
          <w:b/>
          <w:i/>
        </w:rPr>
      </w:pPr>
      <w:r>
        <w:rPr>
          <w:rFonts w:cs="Arial"/>
          <w:b/>
          <w:i/>
        </w:rPr>
        <w:br w:type="page"/>
      </w:r>
    </w:p>
    <w:p w14:paraId="6600EB91" w14:textId="669EFA98" w:rsidR="00403B07" w:rsidRPr="006347FD" w:rsidRDefault="00403B07" w:rsidP="00403B07">
      <w:pPr>
        <w:rPr>
          <w:b/>
          <w:i/>
        </w:rPr>
      </w:pPr>
      <w:r w:rsidRPr="006347FD">
        <w:rPr>
          <w:rFonts w:cs="Arial"/>
          <w:b/>
          <w:i/>
        </w:rPr>
        <w:lastRenderedPageBreak/>
        <w:t>Appendix 3 (a) My Lifestyle Questionnaire (continued)</w:t>
      </w:r>
    </w:p>
    <w:p w14:paraId="4C5A0EF0" w14:textId="77777777" w:rsidR="00403B07" w:rsidRDefault="00403B07" w:rsidP="00403B07">
      <w:pPr>
        <w:rPr>
          <w:rFonts w:cs="Arial"/>
          <w:b/>
          <w:sz w:val="24"/>
          <w:szCs w:val="24"/>
        </w:rPr>
      </w:pPr>
    </w:p>
    <w:p w14:paraId="35FBF14B" w14:textId="77777777" w:rsidR="00403B07" w:rsidRDefault="00403B07" w:rsidP="00403B07">
      <w:pPr>
        <w:rPr>
          <w:rFonts w:cs="Arial"/>
          <w:b/>
          <w:sz w:val="24"/>
          <w:szCs w:val="24"/>
        </w:rPr>
      </w:pPr>
      <w:r>
        <w:rPr>
          <w:rFonts w:cs="Arial"/>
          <w:b/>
          <w:sz w:val="24"/>
          <w:szCs w:val="24"/>
        </w:rPr>
        <w:object w:dxaOrig="8925" w:dyaOrig="12630" w14:anchorId="13FC12C6">
          <v:shape id="_x0000_i1029" type="#_x0000_t75" style="width:446.25pt;height:633.75pt" o:ole="">
            <v:imagedata r:id="rId45" o:title=""/>
          </v:shape>
          <o:OLEObject Type="Embed" ProgID="Acrobat.Document.11" ShapeID="_x0000_i1029" DrawAspect="Content" ObjectID="_1549973732" r:id="rId46"/>
        </w:object>
      </w:r>
    </w:p>
    <w:p w14:paraId="1D649780" w14:textId="77777777" w:rsidR="00403B07" w:rsidRDefault="00403B07" w:rsidP="00403B07">
      <w:pPr>
        <w:rPr>
          <w:rFonts w:cs="Arial"/>
          <w:b/>
          <w:sz w:val="24"/>
          <w:szCs w:val="24"/>
        </w:rPr>
      </w:pPr>
    </w:p>
    <w:p w14:paraId="3714C764" w14:textId="77777777" w:rsidR="00403B07" w:rsidRDefault="00403B07" w:rsidP="00403B07">
      <w:pPr>
        <w:rPr>
          <w:rFonts w:cs="Arial"/>
          <w:b/>
          <w:sz w:val="24"/>
          <w:szCs w:val="24"/>
        </w:rPr>
      </w:pPr>
    </w:p>
    <w:p w14:paraId="2401B901" w14:textId="77777777" w:rsidR="00897933" w:rsidRDefault="00897933">
      <w:pPr>
        <w:rPr>
          <w:rFonts w:cs="Arial"/>
          <w:b/>
          <w:i/>
        </w:rPr>
      </w:pPr>
      <w:r>
        <w:rPr>
          <w:rFonts w:cs="Arial"/>
          <w:b/>
          <w:i/>
        </w:rPr>
        <w:br w:type="page"/>
      </w:r>
    </w:p>
    <w:p w14:paraId="33322284" w14:textId="3ABA9C0F" w:rsidR="00403B07" w:rsidRPr="006347FD" w:rsidRDefault="00403B07" w:rsidP="00403B07">
      <w:pPr>
        <w:rPr>
          <w:b/>
          <w:i/>
        </w:rPr>
      </w:pPr>
      <w:r w:rsidRPr="006347FD">
        <w:rPr>
          <w:rFonts w:cs="Arial"/>
          <w:b/>
          <w:i/>
        </w:rPr>
        <w:lastRenderedPageBreak/>
        <w:t>Appendix 3 (a) My Lifestyle Questionnaire (continued)</w:t>
      </w:r>
    </w:p>
    <w:p w14:paraId="2562FDF8" w14:textId="77777777" w:rsidR="00403B07" w:rsidRDefault="00403B07" w:rsidP="00403B07">
      <w:pPr>
        <w:rPr>
          <w:rFonts w:cs="Arial"/>
          <w:b/>
          <w:sz w:val="24"/>
          <w:szCs w:val="24"/>
        </w:rPr>
      </w:pPr>
      <w:r>
        <w:rPr>
          <w:rFonts w:cs="Arial"/>
          <w:b/>
          <w:sz w:val="24"/>
          <w:szCs w:val="24"/>
        </w:rPr>
        <w:object w:dxaOrig="8925" w:dyaOrig="12630" w14:anchorId="4868E1B0">
          <v:shape id="_x0000_i1030" type="#_x0000_t75" style="width:446.25pt;height:633.75pt" o:ole="">
            <v:imagedata r:id="rId47" o:title=""/>
          </v:shape>
          <o:OLEObject Type="Embed" ProgID="Acrobat.Document.11" ShapeID="_x0000_i1030" DrawAspect="Content" ObjectID="_1549973733" r:id="rId48"/>
        </w:object>
      </w:r>
    </w:p>
    <w:p w14:paraId="68FA3FE8" w14:textId="77777777" w:rsidR="00897933" w:rsidRDefault="00897933">
      <w:pPr>
        <w:rPr>
          <w:rFonts w:cs="Arial"/>
          <w:b/>
          <w:i/>
        </w:rPr>
      </w:pPr>
      <w:r>
        <w:rPr>
          <w:rFonts w:cs="Arial"/>
          <w:b/>
          <w:i/>
        </w:rPr>
        <w:br w:type="page"/>
      </w:r>
    </w:p>
    <w:p w14:paraId="61B5C8AA" w14:textId="71230EC3" w:rsidR="00403B07" w:rsidRPr="006347FD" w:rsidRDefault="00403B07" w:rsidP="00403B07">
      <w:pPr>
        <w:rPr>
          <w:b/>
          <w:i/>
        </w:rPr>
      </w:pPr>
      <w:r w:rsidRPr="006347FD">
        <w:rPr>
          <w:rFonts w:cs="Arial"/>
          <w:b/>
          <w:i/>
        </w:rPr>
        <w:lastRenderedPageBreak/>
        <w:t>Appendix 3 (a) My Lifestyle Questionnaire (continued)</w:t>
      </w:r>
    </w:p>
    <w:p w14:paraId="15E01D18" w14:textId="77777777" w:rsidR="00403B07" w:rsidRDefault="00403B07" w:rsidP="00403B07">
      <w:pPr>
        <w:rPr>
          <w:rFonts w:cs="Arial"/>
          <w:b/>
          <w:sz w:val="24"/>
          <w:szCs w:val="24"/>
        </w:rPr>
      </w:pPr>
    </w:p>
    <w:p w14:paraId="51C8D472" w14:textId="77777777" w:rsidR="00403B07" w:rsidRDefault="00403B07" w:rsidP="00403B07">
      <w:pPr>
        <w:rPr>
          <w:rFonts w:cs="Arial"/>
          <w:b/>
          <w:sz w:val="24"/>
          <w:szCs w:val="24"/>
        </w:rPr>
      </w:pPr>
    </w:p>
    <w:p w14:paraId="208AF222" w14:textId="77777777" w:rsidR="00403B07" w:rsidRDefault="00403B07" w:rsidP="00403B07">
      <w:pPr>
        <w:rPr>
          <w:rFonts w:cs="Arial"/>
          <w:b/>
          <w:sz w:val="24"/>
          <w:szCs w:val="24"/>
        </w:rPr>
      </w:pPr>
      <w:r>
        <w:rPr>
          <w:rFonts w:cs="Arial"/>
          <w:b/>
          <w:sz w:val="24"/>
          <w:szCs w:val="24"/>
        </w:rPr>
        <w:object w:dxaOrig="8925" w:dyaOrig="12630" w14:anchorId="7AA6F9C5">
          <v:shape id="_x0000_i1031" type="#_x0000_t75" style="width:446.25pt;height:633.75pt" o:ole="">
            <v:imagedata r:id="rId49" o:title=""/>
          </v:shape>
          <o:OLEObject Type="Embed" ProgID="Acrobat.Document.11" ShapeID="_x0000_i1031" DrawAspect="Content" ObjectID="_1549973734" r:id="rId50"/>
        </w:object>
      </w:r>
    </w:p>
    <w:p w14:paraId="3B600D78" w14:textId="77777777" w:rsidR="00897933" w:rsidRDefault="00897933">
      <w:pPr>
        <w:rPr>
          <w:rFonts w:cs="Arial"/>
          <w:b/>
          <w:sz w:val="24"/>
          <w:szCs w:val="24"/>
        </w:rPr>
      </w:pPr>
      <w:r>
        <w:rPr>
          <w:rFonts w:cs="Arial"/>
          <w:b/>
          <w:sz w:val="24"/>
          <w:szCs w:val="24"/>
        </w:rPr>
        <w:br w:type="page"/>
      </w:r>
    </w:p>
    <w:p w14:paraId="0D77B83A" w14:textId="637284DD" w:rsidR="00403B07" w:rsidRDefault="00403B07" w:rsidP="00403B07">
      <w:pPr>
        <w:rPr>
          <w:rFonts w:cs="Arial"/>
          <w:b/>
          <w:sz w:val="24"/>
          <w:szCs w:val="24"/>
        </w:rPr>
      </w:pPr>
      <w:r w:rsidRPr="00C46269">
        <w:rPr>
          <w:rFonts w:cs="Arial"/>
          <w:b/>
          <w:sz w:val="24"/>
          <w:szCs w:val="24"/>
        </w:rPr>
        <w:lastRenderedPageBreak/>
        <w:t xml:space="preserve">Appendix </w:t>
      </w:r>
      <w:r>
        <w:rPr>
          <w:rFonts w:cs="Arial"/>
          <w:b/>
          <w:sz w:val="24"/>
          <w:szCs w:val="24"/>
        </w:rPr>
        <w:t>3</w:t>
      </w:r>
      <w:r w:rsidRPr="00C46269">
        <w:rPr>
          <w:rFonts w:cs="Arial"/>
          <w:b/>
          <w:sz w:val="24"/>
          <w:szCs w:val="24"/>
        </w:rPr>
        <w:t xml:space="preserve"> </w:t>
      </w:r>
      <w:r>
        <w:rPr>
          <w:rFonts w:cs="Arial"/>
          <w:b/>
          <w:sz w:val="24"/>
          <w:szCs w:val="24"/>
        </w:rPr>
        <w:t xml:space="preserve">My Lifestyle Questionnaire </w:t>
      </w:r>
    </w:p>
    <w:p w14:paraId="44E3538D" w14:textId="77777777" w:rsidR="00403B07" w:rsidRPr="00304BBD" w:rsidRDefault="00403B07" w:rsidP="000E6BCF">
      <w:pPr>
        <w:rPr>
          <w:rFonts w:cs="Arial"/>
          <w:b/>
        </w:rPr>
      </w:pPr>
      <w:r w:rsidRPr="00304BBD">
        <w:rPr>
          <w:rFonts w:cs="Arial"/>
          <w:b/>
        </w:rPr>
        <w:t xml:space="preserve">Appendix 3 (b) My Lifestyle Questionnaire scoring </w:t>
      </w:r>
    </w:p>
    <w:p w14:paraId="21D2F896" w14:textId="77777777" w:rsidR="00403B07" w:rsidRPr="006B378F" w:rsidRDefault="00403B07" w:rsidP="00403B07">
      <w:pPr>
        <w:rPr>
          <w:rFonts w:ascii="Arial" w:eastAsiaTheme="minorHAnsi" w:hAnsi="Arial" w:cs="Arial"/>
          <w:lang w:eastAsia="en-US"/>
        </w:rPr>
      </w:pPr>
      <w:r w:rsidRPr="006B378F">
        <w:rPr>
          <w:rFonts w:ascii="Arial" w:eastAsiaTheme="minorHAnsi" w:hAnsi="Arial" w:cs="Arial"/>
          <w:lang w:eastAsia="en-US"/>
        </w:rPr>
        <w:t>High scores represent health promoting cognition, motivation, attitudes and behaviours</w:t>
      </w:r>
    </w:p>
    <w:p w14:paraId="09FC0EE5" w14:textId="77777777" w:rsidR="00403B07" w:rsidRPr="006B378F" w:rsidRDefault="00403B07" w:rsidP="00403B07">
      <w:pPr>
        <w:rPr>
          <w:rFonts w:ascii="Arial" w:eastAsiaTheme="minorHAnsi" w:hAnsi="Arial" w:cs="Arial"/>
          <w:lang w:eastAsia="en-US"/>
        </w:rPr>
      </w:pPr>
      <w:r w:rsidRPr="006B378F">
        <w:rPr>
          <w:rFonts w:ascii="Arial" w:eastAsiaTheme="minorHAnsi" w:hAnsi="Arial" w:cs="Arial"/>
          <w:b/>
          <w:lang w:eastAsia="en-US"/>
        </w:rPr>
        <w:t>Section A – Knowledge (one point for each correct answer)</w:t>
      </w:r>
    </w:p>
    <w:p w14:paraId="560FB848" w14:textId="77777777" w:rsidR="00403B07" w:rsidRPr="006B378F" w:rsidRDefault="00403B07" w:rsidP="00403B07">
      <w:pPr>
        <w:rPr>
          <w:rFonts w:ascii="Arial" w:eastAsiaTheme="minorHAnsi" w:hAnsi="Arial" w:cs="Arial"/>
          <w:lang w:eastAsia="en-US"/>
        </w:rPr>
      </w:pPr>
      <w:r w:rsidRPr="006B378F">
        <w:rPr>
          <w:rFonts w:ascii="Arial" w:eastAsiaTheme="minorHAnsi" w:hAnsi="Arial" w:cs="Arial"/>
          <w:lang w:eastAsia="en-US"/>
        </w:rPr>
        <w:t>Answers</w:t>
      </w:r>
    </w:p>
    <w:p w14:paraId="341D8C68" w14:textId="77777777" w:rsidR="00403B07" w:rsidRPr="006B378F" w:rsidRDefault="00403B07" w:rsidP="00403B07">
      <w:pPr>
        <w:rPr>
          <w:rFonts w:ascii="Arial" w:eastAsiaTheme="minorHAnsi" w:hAnsi="Arial" w:cs="Arial"/>
          <w:b/>
          <w:lang w:eastAsia="en-US"/>
        </w:rPr>
      </w:pPr>
      <w:r w:rsidRPr="006B378F">
        <w:rPr>
          <w:rFonts w:ascii="Arial" w:eastAsiaTheme="minorHAnsi" w:hAnsi="Arial" w:cs="Arial"/>
          <w:b/>
          <w:lang w:eastAsia="en-US"/>
        </w:rPr>
        <w:t>Q1</w:t>
      </w:r>
    </w:p>
    <w:p w14:paraId="5D157BFC" w14:textId="77777777" w:rsidR="00403B07" w:rsidRPr="006B378F" w:rsidRDefault="00403B07" w:rsidP="00403B07">
      <w:pPr>
        <w:rPr>
          <w:rFonts w:ascii="Arial" w:eastAsiaTheme="minorHAnsi" w:hAnsi="Arial" w:cs="Arial"/>
          <w:lang w:eastAsia="en-US"/>
        </w:rPr>
      </w:pPr>
      <w:r w:rsidRPr="006B378F">
        <w:rPr>
          <w:rFonts w:ascii="Arial" w:eastAsiaTheme="minorHAnsi" w:hAnsi="Arial" w:cs="Arial"/>
          <w:lang w:eastAsia="en-US"/>
        </w:rPr>
        <w:t>Orange tango – 6</w:t>
      </w:r>
    </w:p>
    <w:p w14:paraId="1C4260B2" w14:textId="77777777" w:rsidR="00403B07" w:rsidRPr="006B378F" w:rsidRDefault="00403B07" w:rsidP="00403B07">
      <w:pPr>
        <w:rPr>
          <w:rFonts w:ascii="Arial" w:eastAsiaTheme="minorHAnsi" w:hAnsi="Arial" w:cs="Arial"/>
          <w:lang w:eastAsia="en-US"/>
        </w:rPr>
      </w:pPr>
      <w:r w:rsidRPr="006B378F">
        <w:rPr>
          <w:rFonts w:ascii="Arial" w:eastAsiaTheme="minorHAnsi" w:hAnsi="Arial" w:cs="Arial"/>
          <w:lang w:eastAsia="en-US"/>
        </w:rPr>
        <w:t>Packet of crisps – 4</w:t>
      </w:r>
    </w:p>
    <w:p w14:paraId="39844097" w14:textId="77777777" w:rsidR="00403B07" w:rsidRPr="006B378F" w:rsidRDefault="00403B07" w:rsidP="00403B07">
      <w:pPr>
        <w:rPr>
          <w:rFonts w:ascii="Arial" w:eastAsiaTheme="minorHAnsi" w:hAnsi="Arial" w:cs="Arial"/>
          <w:lang w:eastAsia="en-US"/>
        </w:rPr>
      </w:pPr>
      <w:r w:rsidRPr="006B378F">
        <w:rPr>
          <w:rFonts w:ascii="Arial" w:eastAsiaTheme="minorHAnsi" w:hAnsi="Arial" w:cs="Arial"/>
          <w:lang w:eastAsia="en-US"/>
        </w:rPr>
        <w:t>Biscuits – 5</w:t>
      </w:r>
    </w:p>
    <w:p w14:paraId="21AEB5FA" w14:textId="77777777" w:rsidR="00403B07" w:rsidRPr="006B378F" w:rsidRDefault="00403B07" w:rsidP="00403B07">
      <w:pPr>
        <w:rPr>
          <w:rFonts w:ascii="Arial" w:eastAsiaTheme="minorHAnsi" w:hAnsi="Arial" w:cs="Arial"/>
          <w:lang w:eastAsia="en-US"/>
        </w:rPr>
      </w:pPr>
      <w:r w:rsidRPr="006B378F">
        <w:rPr>
          <w:rFonts w:ascii="Arial" w:eastAsiaTheme="minorHAnsi" w:hAnsi="Arial" w:cs="Arial"/>
          <w:lang w:eastAsia="en-US"/>
        </w:rPr>
        <w:t>Jelly sweets – 2</w:t>
      </w:r>
    </w:p>
    <w:p w14:paraId="4687F87C" w14:textId="77777777" w:rsidR="00403B07" w:rsidRPr="006B378F" w:rsidRDefault="00403B07" w:rsidP="00403B07">
      <w:pPr>
        <w:rPr>
          <w:rFonts w:ascii="Arial" w:eastAsiaTheme="minorHAnsi" w:hAnsi="Arial" w:cs="Arial"/>
          <w:lang w:eastAsia="en-US"/>
        </w:rPr>
      </w:pPr>
      <w:r w:rsidRPr="006B378F">
        <w:rPr>
          <w:rFonts w:ascii="Arial" w:eastAsiaTheme="minorHAnsi" w:hAnsi="Arial" w:cs="Arial"/>
          <w:lang w:eastAsia="en-US"/>
        </w:rPr>
        <w:t>Jam sandwich – 3</w:t>
      </w:r>
    </w:p>
    <w:p w14:paraId="69547D85" w14:textId="77777777" w:rsidR="00403B07" w:rsidRPr="006B378F" w:rsidRDefault="00403B07" w:rsidP="00403B07">
      <w:pPr>
        <w:rPr>
          <w:rFonts w:ascii="Arial" w:eastAsiaTheme="minorHAnsi" w:hAnsi="Arial" w:cs="Arial"/>
          <w:lang w:eastAsia="en-US"/>
        </w:rPr>
      </w:pPr>
      <w:r w:rsidRPr="006B378F">
        <w:rPr>
          <w:rFonts w:ascii="Arial" w:eastAsiaTheme="minorHAnsi" w:hAnsi="Arial" w:cs="Arial"/>
          <w:lang w:eastAsia="en-US"/>
        </w:rPr>
        <w:t>Cheese strings - 1</w:t>
      </w:r>
    </w:p>
    <w:p w14:paraId="6960344D" w14:textId="77777777" w:rsidR="00403B07" w:rsidRPr="006B378F" w:rsidRDefault="00403B07" w:rsidP="00403B07">
      <w:pPr>
        <w:rPr>
          <w:rFonts w:ascii="Arial" w:eastAsiaTheme="minorHAnsi" w:hAnsi="Arial" w:cs="Arial"/>
          <w:b/>
          <w:lang w:eastAsia="en-US"/>
        </w:rPr>
      </w:pPr>
    </w:p>
    <w:p w14:paraId="2AC357C6" w14:textId="77777777" w:rsidR="00403B07" w:rsidRPr="006B378F" w:rsidRDefault="00403B07" w:rsidP="00403B07">
      <w:pPr>
        <w:rPr>
          <w:rFonts w:ascii="Arial" w:eastAsiaTheme="minorHAnsi" w:hAnsi="Arial" w:cs="Arial"/>
          <w:b/>
          <w:lang w:eastAsia="en-US"/>
        </w:rPr>
      </w:pPr>
      <w:r w:rsidRPr="006B378F">
        <w:rPr>
          <w:rFonts w:ascii="Arial" w:eastAsiaTheme="minorHAnsi" w:hAnsi="Arial" w:cs="Arial"/>
          <w:b/>
          <w:lang w:eastAsia="en-US"/>
        </w:rPr>
        <w:t>Q2</w:t>
      </w:r>
    </w:p>
    <w:p w14:paraId="230B0CB1" w14:textId="77777777" w:rsidR="00403B07" w:rsidRPr="006B378F" w:rsidRDefault="00403B07" w:rsidP="00403B07">
      <w:pPr>
        <w:rPr>
          <w:rFonts w:ascii="Arial" w:eastAsiaTheme="minorHAnsi" w:hAnsi="Arial" w:cs="Arial"/>
          <w:lang w:eastAsia="en-US"/>
        </w:rPr>
      </w:pPr>
      <w:r w:rsidRPr="006B378F">
        <w:rPr>
          <w:rFonts w:ascii="Arial" w:eastAsiaTheme="minorHAnsi" w:hAnsi="Arial" w:cs="Arial"/>
          <w:lang w:eastAsia="en-US"/>
        </w:rPr>
        <w:t>Fruits and veg – 33%</w:t>
      </w:r>
    </w:p>
    <w:p w14:paraId="79F299E5" w14:textId="77777777" w:rsidR="00403B07" w:rsidRPr="006B378F" w:rsidRDefault="00403B07" w:rsidP="00403B07">
      <w:pPr>
        <w:rPr>
          <w:rFonts w:ascii="Arial" w:eastAsiaTheme="minorHAnsi" w:hAnsi="Arial" w:cs="Arial"/>
          <w:lang w:eastAsia="en-US"/>
        </w:rPr>
      </w:pPr>
      <w:r w:rsidRPr="006B378F">
        <w:rPr>
          <w:rFonts w:ascii="Arial" w:eastAsiaTheme="minorHAnsi" w:hAnsi="Arial" w:cs="Arial"/>
          <w:lang w:eastAsia="en-US"/>
        </w:rPr>
        <w:t>Fatty foods and sugary foods – 7%</w:t>
      </w:r>
    </w:p>
    <w:p w14:paraId="6B06DDD9" w14:textId="77777777" w:rsidR="00403B07" w:rsidRPr="006B378F" w:rsidRDefault="00403B07" w:rsidP="00403B07">
      <w:pPr>
        <w:rPr>
          <w:rFonts w:ascii="Arial" w:eastAsiaTheme="minorHAnsi" w:hAnsi="Arial" w:cs="Arial"/>
          <w:lang w:eastAsia="en-US"/>
        </w:rPr>
      </w:pPr>
      <w:r w:rsidRPr="006B378F">
        <w:rPr>
          <w:rFonts w:ascii="Arial" w:eastAsiaTheme="minorHAnsi" w:hAnsi="Arial" w:cs="Arial"/>
          <w:lang w:eastAsia="en-US"/>
        </w:rPr>
        <w:t>Meat, fish and alternatives – 12%</w:t>
      </w:r>
    </w:p>
    <w:p w14:paraId="0179D12F" w14:textId="77777777" w:rsidR="00403B07" w:rsidRPr="006B378F" w:rsidRDefault="00403B07" w:rsidP="00403B07">
      <w:pPr>
        <w:rPr>
          <w:rFonts w:ascii="Arial" w:eastAsiaTheme="minorHAnsi" w:hAnsi="Arial" w:cs="Arial"/>
          <w:lang w:eastAsia="en-US"/>
        </w:rPr>
      </w:pPr>
      <w:r w:rsidRPr="006B378F">
        <w:rPr>
          <w:rFonts w:ascii="Arial" w:eastAsiaTheme="minorHAnsi" w:hAnsi="Arial" w:cs="Arial"/>
          <w:lang w:eastAsia="en-US"/>
        </w:rPr>
        <w:t>Milk and dairy products – 15%</w:t>
      </w:r>
    </w:p>
    <w:p w14:paraId="395ABB96" w14:textId="77777777" w:rsidR="00403B07" w:rsidRPr="006B378F" w:rsidRDefault="00403B07" w:rsidP="00403B07">
      <w:pPr>
        <w:rPr>
          <w:rFonts w:ascii="Arial" w:eastAsiaTheme="minorHAnsi" w:hAnsi="Arial" w:cs="Arial"/>
          <w:lang w:eastAsia="en-US"/>
        </w:rPr>
      </w:pPr>
      <w:r w:rsidRPr="006B378F">
        <w:rPr>
          <w:rFonts w:ascii="Arial" w:eastAsiaTheme="minorHAnsi" w:hAnsi="Arial" w:cs="Arial"/>
          <w:lang w:eastAsia="en-US"/>
        </w:rPr>
        <w:t>Bread, other cereals and potatoes – 33%</w:t>
      </w:r>
    </w:p>
    <w:p w14:paraId="68DB3638" w14:textId="77777777" w:rsidR="00403B07" w:rsidRPr="006B378F" w:rsidRDefault="00403B07" w:rsidP="00403B07">
      <w:pPr>
        <w:rPr>
          <w:rFonts w:ascii="Arial" w:eastAsiaTheme="minorHAnsi" w:hAnsi="Arial" w:cs="Arial"/>
          <w:lang w:eastAsia="en-US"/>
        </w:rPr>
      </w:pPr>
    </w:p>
    <w:p w14:paraId="3CBBE7A6" w14:textId="77777777" w:rsidR="00403B07" w:rsidRPr="006B378F" w:rsidRDefault="00403B07" w:rsidP="00403B07">
      <w:pPr>
        <w:rPr>
          <w:rFonts w:ascii="Arial" w:eastAsiaTheme="minorHAnsi" w:hAnsi="Arial" w:cs="Arial"/>
          <w:b/>
          <w:lang w:eastAsia="en-US"/>
        </w:rPr>
      </w:pPr>
      <w:r w:rsidRPr="006B378F">
        <w:rPr>
          <w:rFonts w:ascii="Arial" w:eastAsiaTheme="minorHAnsi" w:hAnsi="Arial" w:cs="Arial"/>
          <w:b/>
          <w:lang w:eastAsia="en-US"/>
        </w:rPr>
        <w:t>Q3</w:t>
      </w:r>
    </w:p>
    <w:p w14:paraId="0FB294F6" w14:textId="77777777" w:rsidR="00403B07" w:rsidRPr="006B378F" w:rsidRDefault="00403B07" w:rsidP="00403B07">
      <w:pPr>
        <w:rPr>
          <w:rFonts w:ascii="Arial" w:eastAsiaTheme="minorHAnsi" w:hAnsi="Arial" w:cs="Arial"/>
          <w:lang w:eastAsia="en-US"/>
        </w:rPr>
      </w:pPr>
      <w:r w:rsidRPr="006B378F">
        <w:rPr>
          <w:rFonts w:ascii="Arial" w:eastAsiaTheme="minorHAnsi" w:hAnsi="Arial" w:cs="Arial"/>
          <w:lang w:eastAsia="en-US"/>
        </w:rPr>
        <w:t>From top of triangle to bottom</w:t>
      </w:r>
    </w:p>
    <w:p w14:paraId="51096A0C" w14:textId="77777777" w:rsidR="00403B07" w:rsidRPr="006B378F" w:rsidRDefault="00403B07" w:rsidP="00403B07">
      <w:pPr>
        <w:rPr>
          <w:rFonts w:ascii="Arial" w:eastAsiaTheme="minorHAnsi" w:hAnsi="Arial" w:cs="Arial"/>
          <w:lang w:eastAsia="en-US"/>
        </w:rPr>
      </w:pPr>
      <w:r w:rsidRPr="006B378F">
        <w:rPr>
          <w:rFonts w:ascii="Arial" w:eastAsiaTheme="minorHAnsi" w:hAnsi="Arial" w:cs="Arial"/>
          <w:lang w:eastAsia="en-US"/>
        </w:rPr>
        <w:t>C</w:t>
      </w:r>
    </w:p>
    <w:p w14:paraId="71362F8A" w14:textId="77777777" w:rsidR="00403B07" w:rsidRPr="006B378F" w:rsidRDefault="00403B07" w:rsidP="00403B07">
      <w:pPr>
        <w:rPr>
          <w:rFonts w:ascii="Arial" w:eastAsiaTheme="minorHAnsi" w:hAnsi="Arial" w:cs="Arial"/>
          <w:lang w:eastAsia="en-US"/>
        </w:rPr>
      </w:pPr>
      <w:r w:rsidRPr="006B378F">
        <w:rPr>
          <w:rFonts w:ascii="Arial" w:eastAsiaTheme="minorHAnsi" w:hAnsi="Arial" w:cs="Arial"/>
          <w:lang w:eastAsia="en-US"/>
        </w:rPr>
        <w:t>D</w:t>
      </w:r>
    </w:p>
    <w:p w14:paraId="46CAB186" w14:textId="77777777" w:rsidR="00403B07" w:rsidRPr="006B378F" w:rsidRDefault="00403B07" w:rsidP="00403B07">
      <w:pPr>
        <w:rPr>
          <w:rFonts w:ascii="Arial" w:eastAsiaTheme="minorHAnsi" w:hAnsi="Arial" w:cs="Arial"/>
          <w:lang w:eastAsia="en-US"/>
        </w:rPr>
      </w:pPr>
      <w:r w:rsidRPr="006B378F">
        <w:rPr>
          <w:rFonts w:ascii="Arial" w:eastAsiaTheme="minorHAnsi" w:hAnsi="Arial" w:cs="Arial"/>
          <w:lang w:eastAsia="en-US"/>
        </w:rPr>
        <w:t>A</w:t>
      </w:r>
    </w:p>
    <w:p w14:paraId="69094D33" w14:textId="77777777" w:rsidR="00403B07" w:rsidRPr="006B378F" w:rsidRDefault="00403B07" w:rsidP="00403B07">
      <w:pPr>
        <w:rPr>
          <w:rFonts w:ascii="Arial" w:eastAsiaTheme="minorHAnsi" w:hAnsi="Arial" w:cs="Arial"/>
          <w:lang w:eastAsia="en-US"/>
        </w:rPr>
      </w:pPr>
      <w:r w:rsidRPr="006B378F">
        <w:rPr>
          <w:rFonts w:ascii="Arial" w:eastAsiaTheme="minorHAnsi" w:hAnsi="Arial" w:cs="Arial"/>
          <w:lang w:eastAsia="en-US"/>
        </w:rPr>
        <w:t>B</w:t>
      </w:r>
    </w:p>
    <w:p w14:paraId="24E39078" w14:textId="77777777" w:rsidR="00403B07" w:rsidRPr="006B378F" w:rsidRDefault="00403B07" w:rsidP="00403B07">
      <w:pPr>
        <w:rPr>
          <w:rFonts w:ascii="Arial" w:eastAsiaTheme="minorHAnsi" w:hAnsi="Arial" w:cs="Arial"/>
          <w:lang w:eastAsia="en-US"/>
        </w:rPr>
      </w:pPr>
    </w:p>
    <w:p w14:paraId="492A177F" w14:textId="77777777" w:rsidR="00403B07" w:rsidRPr="006B378F" w:rsidRDefault="00403B07" w:rsidP="00403B07">
      <w:pPr>
        <w:rPr>
          <w:rFonts w:ascii="Arial" w:eastAsiaTheme="minorHAnsi" w:hAnsi="Arial" w:cs="Arial"/>
          <w:b/>
          <w:lang w:eastAsia="en-US"/>
        </w:rPr>
      </w:pPr>
      <w:r w:rsidRPr="006B378F">
        <w:rPr>
          <w:rFonts w:ascii="Arial" w:eastAsiaTheme="minorHAnsi" w:hAnsi="Arial" w:cs="Arial"/>
          <w:b/>
          <w:lang w:eastAsia="en-US"/>
        </w:rPr>
        <w:t>Q4</w:t>
      </w:r>
    </w:p>
    <w:p w14:paraId="6ED43D0C" w14:textId="77777777" w:rsidR="00403B07" w:rsidRPr="006B378F" w:rsidRDefault="00403B07" w:rsidP="00403B07">
      <w:pPr>
        <w:rPr>
          <w:rFonts w:ascii="Arial" w:eastAsiaTheme="minorHAnsi" w:hAnsi="Arial" w:cs="Arial"/>
          <w:lang w:eastAsia="en-US"/>
        </w:rPr>
      </w:pPr>
      <w:r w:rsidRPr="006B378F">
        <w:rPr>
          <w:rFonts w:ascii="Arial" w:eastAsiaTheme="minorHAnsi" w:hAnsi="Arial" w:cs="Arial"/>
          <w:lang w:eastAsia="en-US"/>
        </w:rPr>
        <w:t>Healthy food – 80%</w:t>
      </w:r>
    </w:p>
    <w:p w14:paraId="5F36F45C" w14:textId="77777777" w:rsidR="00403B07" w:rsidRPr="006B378F" w:rsidRDefault="00403B07" w:rsidP="00403B07">
      <w:pPr>
        <w:rPr>
          <w:rFonts w:ascii="Arial" w:eastAsiaTheme="minorHAnsi" w:hAnsi="Arial" w:cs="Arial"/>
          <w:lang w:eastAsia="en-US"/>
        </w:rPr>
      </w:pPr>
      <w:r w:rsidRPr="006B378F">
        <w:rPr>
          <w:rFonts w:ascii="Arial" w:eastAsiaTheme="minorHAnsi" w:hAnsi="Arial" w:cs="Arial"/>
          <w:lang w:eastAsia="en-US"/>
        </w:rPr>
        <w:t>Unhealthy food – 20%</w:t>
      </w:r>
    </w:p>
    <w:p w14:paraId="5A496921" w14:textId="77777777" w:rsidR="00403B07" w:rsidRPr="006B378F" w:rsidRDefault="00403B07" w:rsidP="00403B07">
      <w:pPr>
        <w:rPr>
          <w:rFonts w:ascii="Arial" w:eastAsiaTheme="minorHAnsi" w:hAnsi="Arial" w:cs="Arial"/>
          <w:lang w:eastAsia="en-US"/>
        </w:rPr>
      </w:pPr>
    </w:p>
    <w:p w14:paraId="4D52EC8E" w14:textId="77777777" w:rsidR="00403B07" w:rsidRPr="006B378F" w:rsidRDefault="00403B07" w:rsidP="00403B07">
      <w:pPr>
        <w:rPr>
          <w:rFonts w:ascii="Arial" w:eastAsiaTheme="minorHAnsi" w:hAnsi="Arial" w:cs="Arial"/>
          <w:b/>
          <w:lang w:eastAsia="en-US"/>
        </w:rPr>
      </w:pPr>
      <w:r w:rsidRPr="006B378F">
        <w:rPr>
          <w:rFonts w:ascii="Arial" w:eastAsiaTheme="minorHAnsi" w:hAnsi="Arial" w:cs="Arial"/>
          <w:b/>
          <w:lang w:eastAsia="en-US"/>
        </w:rPr>
        <w:lastRenderedPageBreak/>
        <w:t>Q5</w:t>
      </w:r>
    </w:p>
    <w:p w14:paraId="0C3E9390" w14:textId="41BEA358" w:rsidR="00403B07" w:rsidRPr="006B378F" w:rsidRDefault="00403B07" w:rsidP="00403B07">
      <w:pPr>
        <w:rPr>
          <w:rFonts w:ascii="Arial" w:eastAsiaTheme="minorHAnsi" w:hAnsi="Arial" w:cs="Arial"/>
          <w:lang w:eastAsia="en-US"/>
        </w:rPr>
      </w:pPr>
      <w:r w:rsidRPr="006B378F">
        <w:rPr>
          <w:rFonts w:ascii="Arial" w:eastAsiaTheme="minorHAnsi" w:hAnsi="Arial" w:cs="Arial"/>
          <w:lang w:eastAsia="en-US"/>
        </w:rPr>
        <w:t>Each strategy listed below will be counted as 1 point. In order to score 3, there needs to be 3 separate strategies. For example if a child writes removing the X Box, removing the TV and hiding the remote control for her 3 strategies this will only count as 1 point.</w:t>
      </w:r>
    </w:p>
    <w:p w14:paraId="0AA04F40" w14:textId="6EF17FBF" w:rsidR="00403B07" w:rsidRPr="00897933" w:rsidRDefault="00403B07" w:rsidP="00403B07">
      <w:pPr>
        <w:rPr>
          <w:rFonts w:ascii="Arial" w:eastAsiaTheme="minorHAnsi" w:hAnsi="Arial" w:cs="Arial"/>
          <w:i/>
          <w:lang w:eastAsia="en-US"/>
        </w:rPr>
      </w:pPr>
      <w:r w:rsidRPr="006B378F">
        <w:rPr>
          <w:rFonts w:ascii="Arial" w:eastAsiaTheme="minorHAnsi" w:hAnsi="Arial" w:cs="Arial"/>
          <w:lang w:eastAsia="en-US"/>
        </w:rPr>
        <w:t xml:space="preserve">Any answer indicating leaving a </w:t>
      </w:r>
      <w:r w:rsidRPr="006B378F">
        <w:rPr>
          <w:rFonts w:ascii="Arial" w:eastAsiaTheme="minorHAnsi" w:hAnsi="Arial" w:cs="Arial"/>
          <w:b/>
          <w:lang w:eastAsia="en-US"/>
        </w:rPr>
        <w:t>note/reminders</w:t>
      </w:r>
      <w:r w:rsidRPr="006B378F">
        <w:rPr>
          <w:rFonts w:ascii="Arial" w:eastAsiaTheme="minorHAnsi" w:hAnsi="Arial" w:cs="Arial"/>
          <w:lang w:eastAsia="en-US"/>
        </w:rPr>
        <w:t xml:space="preserve"> to themselves </w:t>
      </w:r>
      <w:r w:rsidRPr="006B378F">
        <w:rPr>
          <w:rFonts w:ascii="Arial" w:eastAsiaTheme="minorHAnsi" w:hAnsi="Arial" w:cs="Arial"/>
          <w:i/>
          <w:lang w:eastAsia="en-US"/>
        </w:rPr>
        <w:t>e.g. putting a post it note on the computer telling me to play outside instead</w:t>
      </w:r>
    </w:p>
    <w:p w14:paraId="430CEFB7" w14:textId="77777777" w:rsidR="00403B07" w:rsidRPr="006B378F" w:rsidRDefault="00403B07" w:rsidP="00403B07">
      <w:pPr>
        <w:rPr>
          <w:rFonts w:ascii="Arial" w:eastAsiaTheme="minorHAnsi" w:hAnsi="Arial" w:cs="Arial"/>
          <w:lang w:eastAsia="en-US"/>
        </w:rPr>
      </w:pPr>
      <w:r w:rsidRPr="006B378F">
        <w:rPr>
          <w:rFonts w:ascii="Arial" w:eastAsiaTheme="minorHAnsi" w:hAnsi="Arial" w:cs="Arial"/>
          <w:lang w:eastAsia="en-US"/>
        </w:rPr>
        <w:t xml:space="preserve">Any answer suggesting they </w:t>
      </w:r>
      <w:r w:rsidRPr="006B378F">
        <w:rPr>
          <w:rFonts w:ascii="Arial" w:eastAsiaTheme="minorHAnsi" w:hAnsi="Arial" w:cs="Arial"/>
          <w:b/>
          <w:lang w:eastAsia="en-US"/>
        </w:rPr>
        <w:t>write their goal</w:t>
      </w:r>
      <w:r w:rsidRPr="006B378F">
        <w:rPr>
          <w:rFonts w:ascii="Arial" w:eastAsiaTheme="minorHAnsi" w:hAnsi="Arial" w:cs="Arial"/>
          <w:lang w:eastAsia="en-US"/>
        </w:rPr>
        <w:t xml:space="preserve"> (of replacing screen time on a school day evening with playing outside instead) on a piece of paper. This would include getting their parents to sign their goal</w:t>
      </w:r>
    </w:p>
    <w:p w14:paraId="3B36EA51" w14:textId="77777777" w:rsidR="00403B07" w:rsidRDefault="00403B07" w:rsidP="00403B07">
      <w:pPr>
        <w:spacing w:after="0" w:line="240" w:lineRule="auto"/>
        <w:rPr>
          <w:rFonts w:ascii="Arial" w:eastAsiaTheme="minorHAnsi" w:hAnsi="Arial" w:cs="Arial"/>
          <w:lang w:eastAsia="en-US"/>
        </w:rPr>
      </w:pPr>
    </w:p>
    <w:p w14:paraId="44C7F79F" w14:textId="77777777" w:rsidR="00403B07" w:rsidRPr="006B378F" w:rsidRDefault="00403B07" w:rsidP="00403B07">
      <w:pPr>
        <w:spacing w:after="0" w:line="240" w:lineRule="auto"/>
        <w:rPr>
          <w:rFonts w:ascii="Arial" w:eastAsiaTheme="minorHAnsi" w:hAnsi="Arial" w:cs="Arial"/>
          <w:lang w:eastAsia="en-US"/>
        </w:rPr>
      </w:pPr>
      <w:r w:rsidRPr="006B378F">
        <w:rPr>
          <w:rFonts w:ascii="Arial" w:eastAsiaTheme="minorHAnsi" w:hAnsi="Arial" w:cs="Arial"/>
          <w:lang w:eastAsia="en-US"/>
        </w:rPr>
        <w:t xml:space="preserve">Any answer suggesting a </w:t>
      </w:r>
      <w:r w:rsidRPr="006B378F">
        <w:rPr>
          <w:rFonts w:ascii="Arial" w:eastAsiaTheme="minorHAnsi" w:hAnsi="Arial" w:cs="Arial"/>
          <w:b/>
          <w:lang w:eastAsia="en-US"/>
        </w:rPr>
        <w:t>stimulus cue</w:t>
      </w:r>
      <w:r w:rsidRPr="006B378F">
        <w:rPr>
          <w:rFonts w:ascii="Arial" w:eastAsiaTheme="minorHAnsi" w:hAnsi="Arial" w:cs="Arial"/>
          <w:lang w:eastAsia="en-US"/>
        </w:rPr>
        <w:t xml:space="preserve"> e.g. placing a football/kit/trainers etc in a place that reminds them they should play outside rather than do screen-based activity</w:t>
      </w:r>
    </w:p>
    <w:p w14:paraId="46737291" w14:textId="77777777" w:rsidR="00403B07" w:rsidRPr="006B378F" w:rsidRDefault="00403B07" w:rsidP="00403B07">
      <w:pPr>
        <w:spacing w:after="0" w:line="240" w:lineRule="auto"/>
        <w:rPr>
          <w:rFonts w:ascii="Arial" w:eastAsiaTheme="minorHAnsi" w:hAnsi="Arial" w:cs="Arial"/>
          <w:lang w:eastAsia="en-US"/>
        </w:rPr>
      </w:pPr>
    </w:p>
    <w:p w14:paraId="55FEFC6A" w14:textId="77777777" w:rsidR="00403B07" w:rsidRPr="006B378F" w:rsidRDefault="00403B07" w:rsidP="00403B07">
      <w:pPr>
        <w:spacing w:after="0" w:line="240" w:lineRule="auto"/>
        <w:rPr>
          <w:rFonts w:ascii="Arial" w:eastAsiaTheme="minorHAnsi" w:hAnsi="Arial" w:cs="Arial"/>
          <w:lang w:eastAsia="en-US"/>
        </w:rPr>
      </w:pPr>
      <w:r w:rsidRPr="006B378F">
        <w:rPr>
          <w:rFonts w:ascii="Arial" w:eastAsiaTheme="minorHAnsi" w:hAnsi="Arial" w:cs="Arial"/>
          <w:lang w:eastAsia="en-US"/>
        </w:rPr>
        <w:t xml:space="preserve">Any answer suggesting </w:t>
      </w:r>
      <w:r w:rsidRPr="006B378F">
        <w:rPr>
          <w:rFonts w:ascii="Arial" w:eastAsiaTheme="minorHAnsi" w:hAnsi="Arial" w:cs="Arial"/>
          <w:b/>
          <w:lang w:eastAsia="en-US"/>
        </w:rPr>
        <w:t>removing or hiding TV/computer/phone/Xbox/DS</w:t>
      </w:r>
      <w:r w:rsidRPr="006B378F">
        <w:rPr>
          <w:rFonts w:ascii="Arial" w:eastAsiaTheme="minorHAnsi" w:hAnsi="Arial" w:cs="Arial"/>
          <w:lang w:eastAsia="en-US"/>
        </w:rPr>
        <w:t xml:space="preserve"> from a room</w:t>
      </w:r>
    </w:p>
    <w:p w14:paraId="3226633F" w14:textId="77777777" w:rsidR="00403B07" w:rsidRPr="006B378F" w:rsidRDefault="00403B07" w:rsidP="00403B07">
      <w:pPr>
        <w:spacing w:after="0" w:line="240" w:lineRule="auto"/>
        <w:rPr>
          <w:rFonts w:ascii="Arial" w:eastAsiaTheme="minorHAnsi" w:hAnsi="Arial" w:cs="Arial"/>
          <w:lang w:eastAsia="en-US"/>
        </w:rPr>
      </w:pPr>
    </w:p>
    <w:p w14:paraId="05BA4194" w14:textId="77777777" w:rsidR="00403B07" w:rsidRPr="006B378F" w:rsidRDefault="00403B07" w:rsidP="00403B07">
      <w:pPr>
        <w:spacing w:after="0" w:line="240" w:lineRule="auto"/>
        <w:rPr>
          <w:rFonts w:ascii="Arial" w:eastAsiaTheme="minorHAnsi" w:hAnsi="Arial" w:cs="Arial"/>
          <w:b/>
          <w:lang w:eastAsia="en-US"/>
        </w:rPr>
      </w:pPr>
      <w:r w:rsidRPr="006B378F">
        <w:rPr>
          <w:rFonts w:ascii="Arial" w:eastAsiaTheme="minorHAnsi" w:hAnsi="Arial" w:cs="Arial"/>
          <w:lang w:eastAsia="en-US"/>
        </w:rPr>
        <w:t xml:space="preserve">Any answer suggesting getting </w:t>
      </w:r>
      <w:r w:rsidRPr="006B378F">
        <w:rPr>
          <w:rFonts w:ascii="Arial" w:eastAsiaTheme="minorHAnsi" w:hAnsi="Arial" w:cs="Arial"/>
          <w:b/>
          <w:lang w:eastAsia="en-US"/>
        </w:rPr>
        <w:t>parents/friends/sibling to remind them</w:t>
      </w:r>
      <w:r w:rsidRPr="006B378F">
        <w:rPr>
          <w:rFonts w:ascii="Arial" w:eastAsiaTheme="minorHAnsi" w:hAnsi="Arial" w:cs="Arial"/>
          <w:lang w:eastAsia="en-US"/>
        </w:rPr>
        <w:t xml:space="preserve"> of their goals</w:t>
      </w:r>
    </w:p>
    <w:p w14:paraId="498D4275" w14:textId="77777777" w:rsidR="00897933" w:rsidRDefault="00897933" w:rsidP="00403B07">
      <w:pPr>
        <w:spacing w:after="0" w:line="240" w:lineRule="auto"/>
        <w:rPr>
          <w:rFonts w:ascii="Arial" w:eastAsiaTheme="minorHAnsi" w:hAnsi="Arial" w:cs="Arial"/>
          <w:b/>
          <w:lang w:eastAsia="en-US"/>
        </w:rPr>
      </w:pPr>
    </w:p>
    <w:p w14:paraId="55728E80" w14:textId="4B3B5407" w:rsidR="00403B07" w:rsidRPr="006B378F" w:rsidRDefault="00403B07" w:rsidP="00403B07">
      <w:pPr>
        <w:spacing w:after="0" w:line="240" w:lineRule="auto"/>
        <w:rPr>
          <w:rFonts w:ascii="Arial" w:eastAsiaTheme="minorHAnsi" w:hAnsi="Arial" w:cs="Arial"/>
          <w:b/>
          <w:lang w:eastAsia="en-US"/>
        </w:rPr>
      </w:pPr>
      <w:r w:rsidRPr="006B378F">
        <w:rPr>
          <w:rFonts w:ascii="Arial" w:eastAsiaTheme="minorHAnsi" w:hAnsi="Arial" w:cs="Arial"/>
          <w:b/>
          <w:lang w:eastAsia="en-US"/>
        </w:rPr>
        <w:t>Section</w:t>
      </w:r>
      <w:r w:rsidR="00897933">
        <w:rPr>
          <w:rFonts w:ascii="Arial" w:eastAsiaTheme="minorHAnsi" w:hAnsi="Arial" w:cs="Arial"/>
          <w:b/>
          <w:lang w:eastAsia="en-US"/>
        </w:rPr>
        <w:t>s</w:t>
      </w:r>
      <w:r w:rsidRPr="006B378F">
        <w:rPr>
          <w:rFonts w:ascii="Arial" w:eastAsiaTheme="minorHAnsi" w:hAnsi="Arial" w:cs="Arial"/>
          <w:b/>
          <w:lang w:eastAsia="en-US"/>
        </w:rPr>
        <w:t xml:space="preserve"> B-D</w:t>
      </w:r>
    </w:p>
    <w:p w14:paraId="26D1A622" w14:textId="77777777" w:rsidR="00403B07" w:rsidRPr="006B378F" w:rsidRDefault="00403B07" w:rsidP="00403B07">
      <w:pPr>
        <w:spacing w:after="0" w:line="240" w:lineRule="auto"/>
        <w:rPr>
          <w:rFonts w:ascii="Arial" w:eastAsiaTheme="minorHAnsi" w:hAnsi="Arial" w:cs="Arial"/>
          <w:b/>
          <w:lang w:eastAsia="en-US"/>
        </w:rPr>
      </w:pPr>
    </w:p>
    <w:tbl>
      <w:tblPr>
        <w:tblStyle w:val="TableGrid1"/>
        <w:tblW w:w="0" w:type="auto"/>
        <w:tblLook w:val="04A0" w:firstRow="1" w:lastRow="0" w:firstColumn="1" w:lastColumn="0" w:noHBand="0" w:noVBand="1"/>
      </w:tblPr>
      <w:tblGrid>
        <w:gridCol w:w="1848"/>
        <w:gridCol w:w="1848"/>
        <w:gridCol w:w="1848"/>
        <w:gridCol w:w="1849"/>
        <w:gridCol w:w="1849"/>
      </w:tblGrid>
      <w:tr w:rsidR="00403B07" w:rsidRPr="006B378F" w14:paraId="5E933EF4" w14:textId="77777777" w:rsidTr="00B01272">
        <w:tc>
          <w:tcPr>
            <w:tcW w:w="1848" w:type="dxa"/>
          </w:tcPr>
          <w:p w14:paraId="53DF33D4" w14:textId="77777777" w:rsidR="00403B07" w:rsidRPr="006B378F" w:rsidRDefault="00403B07" w:rsidP="00B01272">
            <w:pPr>
              <w:rPr>
                <w:rFonts w:ascii="Arial" w:hAnsi="Arial" w:cs="Arial"/>
              </w:rPr>
            </w:pPr>
            <w:r w:rsidRPr="006B378F">
              <w:rPr>
                <w:rFonts w:ascii="Arial" w:hAnsi="Arial" w:cs="Arial"/>
              </w:rPr>
              <w:t>Points</w:t>
            </w:r>
          </w:p>
        </w:tc>
        <w:tc>
          <w:tcPr>
            <w:tcW w:w="1848" w:type="dxa"/>
          </w:tcPr>
          <w:p w14:paraId="34D41ED0" w14:textId="77777777" w:rsidR="00403B07" w:rsidRPr="006B378F" w:rsidRDefault="00403B07" w:rsidP="00B01272">
            <w:pPr>
              <w:rPr>
                <w:rFonts w:ascii="Arial" w:hAnsi="Arial" w:cs="Arial"/>
                <w:b/>
              </w:rPr>
            </w:pPr>
            <w:r w:rsidRPr="006B378F">
              <w:rPr>
                <w:rFonts w:ascii="Arial" w:hAnsi="Arial" w:cs="Arial"/>
                <w:b/>
              </w:rPr>
              <w:t>4</w:t>
            </w:r>
          </w:p>
        </w:tc>
        <w:tc>
          <w:tcPr>
            <w:tcW w:w="1848" w:type="dxa"/>
          </w:tcPr>
          <w:p w14:paraId="48AEE063" w14:textId="77777777" w:rsidR="00403B07" w:rsidRPr="006B378F" w:rsidRDefault="00403B07" w:rsidP="00B01272">
            <w:pPr>
              <w:rPr>
                <w:rFonts w:ascii="Arial" w:hAnsi="Arial" w:cs="Arial"/>
                <w:b/>
              </w:rPr>
            </w:pPr>
            <w:r w:rsidRPr="006B378F">
              <w:rPr>
                <w:rFonts w:ascii="Arial" w:hAnsi="Arial" w:cs="Arial"/>
                <w:b/>
              </w:rPr>
              <w:t>3</w:t>
            </w:r>
          </w:p>
        </w:tc>
        <w:tc>
          <w:tcPr>
            <w:tcW w:w="1849" w:type="dxa"/>
          </w:tcPr>
          <w:p w14:paraId="77E31319" w14:textId="77777777" w:rsidR="00403B07" w:rsidRPr="006B378F" w:rsidRDefault="00403B07" w:rsidP="00B01272">
            <w:pPr>
              <w:rPr>
                <w:rFonts w:ascii="Arial" w:hAnsi="Arial" w:cs="Arial"/>
                <w:b/>
              </w:rPr>
            </w:pPr>
            <w:r w:rsidRPr="006B378F">
              <w:rPr>
                <w:rFonts w:ascii="Arial" w:hAnsi="Arial" w:cs="Arial"/>
                <w:b/>
              </w:rPr>
              <w:t>2</w:t>
            </w:r>
          </w:p>
        </w:tc>
        <w:tc>
          <w:tcPr>
            <w:tcW w:w="1849" w:type="dxa"/>
          </w:tcPr>
          <w:p w14:paraId="5D609DD1" w14:textId="77777777" w:rsidR="00403B07" w:rsidRPr="006B378F" w:rsidRDefault="00403B07" w:rsidP="00B01272">
            <w:pPr>
              <w:rPr>
                <w:rFonts w:ascii="Arial" w:hAnsi="Arial" w:cs="Arial"/>
                <w:b/>
              </w:rPr>
            </w:pPr>
            <w:r w:rsidRPr="006B378F">
              <w:rPr>
                <w:rFonts w:ascii="Arial" w:hAnsi="Arial" w:cs="Arial"/>
                <w:b/>
              </w:rPr>
              <w:t>1</w:t>
            </w:r>
          </w:p>
        </w:tc>
      </w:tr>
      <w:tr w:rsidR="00403B07" w:rsidRPr="006B378F" w14:paraId="7FEC848A" w14:textId="77777777" w:rsidTr="00B01272">
        <w:tc>
          <w:tcPr>
            <w:tcW w:w="1848" w:type="dxa"/>
          </w:tcPr>
          <w:p w14:paraId="51E30349" w14:textId="77777777" w:rsidR="00403B07" w:rsidRPr="006B378F" w:rsidRDefault="00403B07" w:rsidP="00B01272">
            <w:pPr>
              <w:rPr>
                <w:rFonts w:ascii="Arial" w:hAnsi="Arial" w:cs="Arial"/>
              </w:rPr>
            </w:pPr>
          </w:p>
        </w:tc>
        <w:tc>
          <w:tcPr>
            <w:tcW w:w="1848" w:type="dxa"/>
          </w:tcPr>
          <w:p w14:paraId="0D01EFE6" w14:textId="77777777" w:rsidR="00403B07" w:rsidRPr="006B378F" w:rsidRDefault="00403B07" w:rsidP="00B01272">
            <w:pPr>
              <w:rPr>
                <w:rFonts w:ascii="Arial" w:hAnsi="Arial" w:cs="Arial"/>
              </w:rPr>
            </w:pPr>
            <w:r w:rsidRPr="006B378F">
              <w:rPr>
                <w:rFonts w:ascii="Arial" w:hAnsi="Arial" w:cs="Arial"/>
              </w:rPr>
              <w:t>Strongly agree</w:t>
            </w:r>
          </w:p>
        </w:tc>
        <w:tc>
          <w:tcPr>
            <w:tcW w:w="1848" w:type="dxa"/>
          </w:tcPr>
          <w:p w14:paraId="1E5CFF02" w14:textId="77777777" w:rsidR="00403B07" w:rsidRPr="006B378F" w:rsidRDefault="00403B07" w:rsidP="00B01272">
            <w:pPr>
              <w:rPr>
                <w:rFonts w:ascii="Arial" w:hAnsi="Arial" w:cs="Arial"/>
              </w:rPr>
            </w:pPr>
            <w:r w:rsidRPr="006B378F">
              <w:rPr>
                <w:rFonts w:ascii="Arial" w:hAnsi="Arial" w:cs="Arial"/>
              </w:rPr>
              <w:t>Slightly agree</w:t>
            </w:r>
          </w:p>
        </w:tc>
        <w:tc>
          <w:tcPr>
            <w:tcW w:w="1849" w:type="dxa"/>
          </w:tcPr>
          <w:p w14:paraId="70AFA8E5" w14:textId="77777777" w:rsidR="00403B07" w:rsidRPr="006B378F" w:rsidRDefault="00403B07" w:rsidP="00B01272">
            <w:pPr>
              <w:rPr>
                <w:rFonts w:ascii="Arial" w:hAnsi="Arial" w:cs="Arial"/>
              </w:rPr>
            </w:pPr>
            <w:r w:rsidRPr="006B378F">
              <w:rPr>
                <w:rFonts w:ascii="Arial" w:hAnsi="Arial" w:cs="Arial"/>
              </w:rPr>
              <w:t>Slightly disagree</w:t>
            </w:r>
          </w:p>
        </w:tc>
        <w:tc>
          <w:tcPr>
            <w:tcW w:w="1849" w:type="dxa"/>
          </w:tcPr>
          <w:p w14:paraId="1DEF49BC" w14:textId="77777777" w:rsidR="00403B07" w:rsidRPr="006B378F" w:rsidRDefault="00403B07" w:rsidP="00B01272">
            <w:pPr>
              <w:rPr>
                <w:rFonts w:ascii="Arial" w:hAnsi="Arial" w:cs="Arial"/>
              </w:rPr>
            </w:pPr>
            <w:r w:rsidRPr="006B378F">
              <w:rPr>
                <w:rFonts w:ascii="Arial" w:hAnsi="Arial" w:cs="Arial"/>
              </w:rPr>
              <w:t>Strongly disagree</w:t>
            </w:r>
          </w:p>
        </w:tc>
      </w:tr>
      <w:tr w:rsidR="00403B07" w:rsidRPr="006B378F" w14:paraId="22D48398" w14:textId="77777777" w:rsidTr="00B01272">
        <w:tc>
          <w:tcPr>
            <w:tcW w:w="1848" w:type="dxa"/>
          </w:tcPr>
          <w:p w14:paraId="2FA59AC5" w14:textId="77777777" w:rsidR="00403B07" w:rsidRPr="006B378F" w:rsidRDefault="00403B07" w:rsidP="00B01272">
            <w:pPr>
              <w:rPr>
                <w:rFonts w:ascii="Arial" w:hAnsi="Arial" w:cs="Arial"/>
              </w:rPr>
            </w:pPr>
          </w:p>
        </w:tc>
        <w:tc>
          <w:tcPr>
            <w:tcW w:w="1848" w:type="dxa"/>
          </w:tcPr>
          <w:p w14:paraId="7F2F3C1F" w14:textId="77777777" w:rsidR="00403B07" w:rsidRPr="006B378F" w:rsidRDefault="00403B07" w:rsidP="00B01272">
            <w:pPr>
              <w:rPr>
                <w:rFonts w:ascii="Arial" w:hAnsi="Arial" w:cs="Arial"/>
              </w:rPr>
            </w:pPr>
            <w:r w:rsidRPr="006B378F">
              <w:rPr>
                <w:rFonts w:ascii="Arial" w:hAnsi="Arial" w:cs="Arial"/>
              </w:rPr>
              <w:t>All</w:t>
            </w:r>
          </w:p>
        </w:tc>
        <w:tc>
          <w:tcPr>
            <w:tcW w:w="1848" w:type="dxa"/>
          </w:tcPr>
          <w:p w14:paraId="5222792E" w14:textId="77777777" w:rsidR="00403B07" w:rsidRPr="006B378F" w:rsidRDefault="00403B07" w:rsidP="00B01272">
            <w:pPr>
              <w:rPr>
                <w:rFonts w:ascii="Arial" w:hAnsi="Arial" w:cs="Arial"/>
              </w:rPr>
            </w:pPr>
            <w:r w:rsidRPr="006B378F">
              <w:rPr>
                <w:rFonts w:ascii="Arial" w:hAnsi="Arial" w:cs="Arial"/>
              </w:rPr>
              <w:t>Lots</w:t>
            </w:r>
          </w:p>
        </w:tc>
        <w:tc>
          <w:tcPr>
            <w:tcW w:w="1849" w:type="dxa"/>
          </w:tcPr>
          <w:p w14:paraId="0F8FC6BC" w14:textId="77777777" w:rsidR="00403B07" w:rsidRPr="006B378F" w:rsidRDefault="00403B07" w:rsidP="00B01272">
            <w:pPr>
              <w:rPr>
                <w:rFonts w:ascii="Arial" w:hAnsi="Arial" w:cs="Arial"/>
              </w:rPr>
            </w:pPr>
            <w:r w:rsidRPr="006B378F">
              <w:rPr>
                <w:rFonts w:ascii="Arial" w:hAnsi="Arial" w:cs="Arial"/>
              </w:rPr>
              <w:t>A few</w:t>
            </w:r>
          </w:p>
        </w:tc>
        <w:tc>
          <w:tcPr>
            <w:tcW w:w="1849" w:type="dxa"/>
          </w:tcPr>
          <w:p w14:paraId="19C7D8CA" w14:textId="77777777" w:rsidR="00403B07" w:rsidRPr="006B378F" w:rsidRDefault="00403B07" w:rsidP="00B01272">
            <w:pPr>
              <w:rPr>
                <w:rFonts w:ascii="Arial" w:hAnsi="Arial" w:cs="Arial"/>
              </w:rPr>
            </w:pPr>
            <w:r w:rsidRPr="006B378F">
              <w:rPr>
                <w:rFonts w:ascii="Arial" w:hAnsi="Arial" w:cs="Arial"/>
              </w:rPr>
              <w:t>None</w:t>
            </w:r>
            <w:r w:rsidRPr="006B378F">
              <w:rPr>
                <w:rFonts w:ascii="Arial" w:hAnsi="Arial" w:cs="Arial"/>
              </w:rPr>
              <w:tab/>
            </w:r>
          </w:p>
        </w:tc>
      </w:tr>
      <w:tr w:rsidR="00403B07" w:rsidRPr="006B378F" w14:paraId="52D47458" w14:textId="77777777" w:rsidTr="00B01272">
        <w:tc>
          <w:tcPr>
            <w:tcW w:w="1848" w:type="dxa"/>
          </w:tcPr>
          <w:p w14:paraId="4DC91943" w14:textId="77777777" w:rsidR="00403B07" w:rsidRPr="006B378F" w:rsidRDefault="00403B07" w:rsidP="00B01272">
            <w:pPr>
              <w:rPr>
                <w:rFonts w:ascii="Arial" w:hAnsi="Arial" w:cs="Arial"/>
              </w:rPr>
            </w:pPr>
          </w:p>
        </w:tc>
        <w:tc>
          <w:tcPr>
            <w:tcW w:w="1848" w:type="dxa"/>
          </w:tcPr>
          <w:p w14:paraId="36DAFE46" w14:textId="77777777" w:rsidR="00403B07" w:rsidRPr="006B378F" w:rsidRDefault="00403B07" w:rsidP="00B01272">
            <w:pPr>
              <w:rPr>
                <w:rFonts w:ascii="Arial" w:hAnsi="Arial" w:cs="Arial"/>
              </w:rPr>
            </w:pPr>
            <w:r w:rsidRPr="006B378F">
              <w:rPr>
                <w:rFonts w:ascii="Arial" w:hAnsi="Arial" w:cs="Arial"/>
              </w:rPr>
              <w:t>All of the time</w:t>
            </w:r>
          </w:p>
        </w:tc>
        <w:tc>
          <w:tcPr>
            <w:tcW w:w="1848" w:type="dxa"/>
          </w:tcPr>
          <w:p w14:paraId="0A59A298" w14:textId="77777777" w:rsidR="00403B07" w:rsidRPr="006B378F" w:rsidRDefault="00403B07" w:rsidP="00B01272">
            <w:pPr>
              <w:rPr>
                <w:rFonts w:ascii="Arial" w:hAnsi="Arial" w:cs="Arial"/>
              </w:rPr>
            </w:pPr>
            <w:r w:rsidRPr="006B378F">
              <w:rPr>
                <w:rFonts w:ascii="Arial" w:hAnsi="Arial" w:cs="Arial"/>
              </w:rPr>
              <w:t>Most of the time</w:t>
            </w:r>
          </w:p>
        </w:tc>
        <w:tc>
          <w:tcPr>
            <w:tcW w:w="1849" w:type="dxa"/>
          </w:tcPr>
          <w:p w14:paraId="2BBF488F" w14:textId="77777777" w:rsidR="00403B07" w:rsidRPr="006B378F" w:rsidRDefault="00403B07" w:rsidP="00B01272">
            <w:pPr>
              <w:rPr>
                <w:rFonts w:ascii="Arial" w:hAnsi="Arial" w:cs="Arial"/>
              </w:rPr>
            </w:pPr>
            <w:r w:rsidRPr="006B378F">
              <w:rPr>
                <w:rFonts w:ascii="Arial" w:hAnsi="Arial" w:cs="Arial"/>
              </w:rPr>
              <w:t>Some of the time</w:t>
            </w:r>
          </w:p>
        </w:tc>
        <w:tc>
          <w:tcPr>
            <w:tcW w:w="1849" w:type="dxa"/>
          </w:tcPr>
          <w:p w14:paraId="644F5749" w14:textId="77777777" w:rsidR="00403B07" w:rsidRPr="006B378F" w:rsidRDefault="00403B07" w:rsidP="00B01272">
            <w:pPr>
              <w:rPr>
                <w:rFonts w:ascii="Arial" w:hAnsi="Arial" w:cs="Arial"/>
              </w:rPr>
            </w:pPr>
            <w:r w:rsidRPr="006B378F">
              <w:rPr>
                <w:rFonts w:ascii="Arial" w:hAnsi="Arial" w:cs="Arial"/>
              </w:rPr>
              <w:t>Never</w:t>
            </w:r>
            <w:r w:rsidRPr="006B378F">
              <w:rPr>
                <w:rFonts w:ascii="Arial" w:hAnsi="Arial" w:cs="Arial"/>
              </w:rPr>
              <w:tab/>
            </w:r>
          </w:p>
        </w:tc>
      </w:tr>
    </w:tbl>
    <w:p w14:paraId="3B80323B" w14:textId="77777777" w:rsidR="00403B07" w:rsidRPr="006B378F" w:rsidRDefault="00403B07" w:rsidP="00403B07">
      <w:pPr>
        <w:rPr>
          <w:rFonts w:ascii="Arial" w:eastAsiaTheme="minorHAnsi" w:hAnsi="Arial" w:cs="Arial"/>
          <w:b/>
          <w:lang w:eastAsia="en-US"/>
        </w:rPr>
      </w:pPr>
    </w:p>
    <w:p w14:paraId="4013C83E" w14:textId="77777777" w:rsidR="00403B07" w:rsidRPr="006B378F" w:rsidRDefault="00403B07" w:rsidP="00403B07">
      <w:pPr>
        <w:rPr>
          <w:rFonts w:ascii="Arial" w:eastAsiaTheme="minorHAnsi" w:hAnsi="Arial" w:cs="Arial"/>
          <w:lang w:eastAsia="en-US"/>
        </w:rPr>
      </w:pPr>
      <w:r w:rsidRPr="006B378F">
        <w:rPr>
          <w:rFonts w:ascii="Arial" w:eastAsiaTheme="minorHAnsi" w:hAnsi="Arial" w:cs="Arial"/>
          <w:b/>
          <w:lang w:eastAsia="en-US"/>
        </w:rPr>
        <w:t>Reverse score items:</w:t>
      </w:r>
      <w:r w:rsidRPr="006B378F">
        <w:rPr>
          <w:rFonts w:ascii="Arial" w:eastAsiaTheme="minorHAnsi" w:hAnsi="Arial" w:cs="Arial"/>
          <w:lang w:eastAsia="en-US"/>
        </w:rPr>
        <w:t xml:space="preserve"> 16, 17, 18, 21, 23, 24, 25, 26, 27, 28, 30</w:t>
      </w:r>
    </w:p>
    <w:p w14:paraId="51F5BEF3" w14:textId="77777777" w:rsidR="00403B07" w:rsidRPr="006B378F" w:rsidRDefault="00403B07" w:rsidP="00403B07">
      <w:pPr>
        <w:rPr>
          <w:rFonts w:ascii="Arial" w:eastAsiaTheme="minorHAnsi" w:hAnsi="Arial" w:cs="Arial"/>
          <w:lang w:eastAsia="en-US"/>
        </w:rPr>
      </w:pPr>
      <w:r w:rsidRPr="006B378F">
        <w:rPr>
          <w:rFonts w:ascii="Arial" w:eastAsiaTheme="minorHAnsi" w:hAnsi="Arial" w:cs="Arial"/>
          <w:lang w:eastAsia="en-US"/>
        </w:rPr>
        <w:t>Range of possible scores and associated questions for each construct</w:t>
      </w:r>
    </w:p>
    <w:tbl>
      <w:tblPr>
        <w:tblStyle w:val="TableGrid1"/>
        <w:tblW w:w="0" w:type="auto"/>
        <w:tblLook w:val="04A0" w:firstRow="1" w:lastRow="0" w:firstColumn="1" w:lastColumn="0" w:noHBand="0" w:noVBand="1"/>
      </w:tblPr>
      <w:tblGrid>
        <w:gridCol w:w="1848"/>
        <w:gridCol w:w="1848"/>
        <w:gridCol w:w="1848"/>
        <w:gridCol w:w="1849"/>
      </w:tblGrid>
      <w:tr w:rsidR="00403B07" w:rsidRPr="006B378F" w14:paraId="24B3AADA" w14:textId="77777777" w:rsidTr="00B01272">
        <w:tc>
          <w:tcPr>
            <w:tcW w:w="1848" w:type="dxa"/>
          </w:tcPr>
          <w:p w14:paraId="5BAB549B" w14:textId="77777777" w:rsidR="00403B07" w:rsidRPr="006B378F" w:rsidRDefault="00403B07" w:rsidP="00B01272">
            <w:pPr>
              <w:rPr>
                <w:rFonts w:ascii="Arial" w:hAnsi="Arial" w:cs="Arial"/>
                <w:b/>
              </w:rPr>
            </w:pPr>
            <w:r w:rsidRPr="006B378F">
              <w:rPr>
                <w:rFonts w:ascii="Arial" w:hAnsi="Arial" w:cs="Arial"/>
                <w:b/>
              </w:rPr>
              <w:t>Construct</w:t>
            </w:r>
          </w:p>
        </w:tc>
        <w:tc>
          <w:tcPr>
            <w:tcW w:w="1848" w:type="dxa"/>
          </w:tcPr>
          <w:p w14:paraId="56D9A077" w14:textId="77777777" w:rsidR="00403B07" w:rsidRPr="006B378F" w:rsidRDefault="00403B07" w:rsidP="00B01272">
            <w:pPr>
              <w:rPr>
                <w:rFonts w:ascii="Arial" w:hAnsi="Arial" w:cs="Arial"/>
                <w:b/>
              </w:rPr>
            </w:pPr>
            <w:r w:rsidRPr="006B378F">
              <w:rPr>
                <w:rFonts w:ascii="Arial" w:hAnsi="Arial" w:cs="Arial"/>
                <w:b/>
              </w:rPr>
              <w:t>Minimum score</w:t>
            </w:r>
          </w:p>
        </w:tc>
        <w:tc>
          <w:tcPr>
            <w:tcW w:w="1848" w:type="dxa"/>
          </w:tcPr>
          <w:p w14:paraId="75EDCD1E" w14:textId="77777777" w:rsidR="00403B07" w:rsidRPr="006B378F" w:rsidRDefault="00403B07" w:rsidP="00B01272">
            <w:pPr>
              <w:rPr>
                <w:rFonts w:ascii="Arial" w:hAnsi="Arial" w:cs="Arial"/>
                <w:b/>
              </w:rPr>
            </w:pPr>
            <w:r w:rsidRPr="006B378F">
              <w:rPr>
                <w:rFonts w:ascii="Arial" w:hAnsi="Arial" w:cs="Arial"/>
                <w:b/>
              </w:rPr>
              <w:t>Maximum score</w:t>
            </w:r>
          </w:p>
        </w:tc>
        <w:tc>
          <w:tcPr>
            <w:tcW w:w="1849" w:type="dxa"/>
          </w:tcPr>
          <w:p w14:paraId="3EE2FA93" w14:textId="77777777" w:rsidR="00403B07" w:rsidRPr="006B378F" w:rsidRDefault="00403B07" w:rsidP="00B01272">
            <w:pPr>
              <w:rPr>
                <w:rFonts w:ascii="Arial" w:hAnsi="Arial" w:cs="Arial"/>
                <w:b/>
              </w:rPr>
            </w:pPr>
            <w:r w:rsidRPr="006B378F">
              <w:rPr>
                <w:rFonts w:ascii="Arial" w:hAnsi="Arial" w:cs="Arial"/>
                <w:b/>
              </w:rPr>
              <w:t>Questions</w:t>
            </w:r>
          </w:p>
        </w:tc>
      </w:tr>
      <w:tr w:rsidR="00403B07" w:rsidRPr="006B378F" w14:paraId="34C127E2" w14:textId="77777777" w:rsidTr="00B01272">
        <w:tc>
          <w:tcPr>
            <w:tcW w:w="1848" w:type="dxa"/>
          </w:tcPr>
          <w:p w14:paraId="1BAE31AF" w14:textId="77777777" w:rsidR="00403B07" w:rsidRPr="006B378F" w:rsidRDefault="00403B07" w:rsidP="00B01272">
            <w:pPr>
              <w:rPr>
                <w:rFonts w:ascii="Arial" w:hAnsi="Arial" w:cs="Arial"/>
              </w:rPr>
            </w:pPr>
            <w:r w:rsidRPr="006B378F">
              <w:rPr>
                <w:rFonts w:ascii="Arial" w:hAnsi="Arial" w:cs="Arial"/>
              </w:rPr>
              <w:t>Knowledge</w:t>
            </w:r>
          </w:p>
        </w:tc>
        <w:tc>
          <w:tcPr>
            <w:tcW w:w="1848" w:type="dxa"/>
          </w:tcPr>
          <w:p w14:paraId="04B4BACE" w14:textId="77777777" w:rsidR="00403B07" w:rsidRPr="006B378F" w:rsidRDefault="00403B07" w:rsidP="00B01272">
            <w:pPr>
              <w:rPr>
                <w:rFonts w:ascii="Arial" w:hAnsi="Arial" w:cs="Arial"/>
              </w:rPr>
            </w:pPr>
            <w:r w:rsidRPr="006B378F">
              <w:rPr>
                <w:rFonts w:ascii="Arial" w:hAnsi="Arial" w:cs="Arial"/>
              </w:rPr>
              <w:t>0</w:t>
            </w:r>
          </w:p>
        </w:tc>
        <w:tc>
          <w:tcPr>
            <w:tcW w:w="1848" w:type="dxa"/>
          </w:tcPr>
          <w:p w14:paraId="246F151A" w14:textId="77777777" w:rsidR="00403B07" w:rsidRPr="006B378F" w:rsidRDefault="00403B07" w:rsidP="00B01272">
            <w:pPr>
              <w:rPr>
                <w:rFonts w:ascii="Arial" w:hAnsi="Arial" w:cs="Arial"/>
              </w:rPr>
            </w:pPr>
            <w:r w:rsidRPr="006B378F">
              <w:rPr>
                <w:rFonts w:ascii="Arial" w:hAnsi="Arial" w:cs="Arial"/>
              </w:rPr>
              <w:t>20</w:t>
            </w:r>
          </w:p>
        </w:tc>
        <w:tc>
          <w:tcPr>
            <w:tcW w:w="1849" w:type="dxa"/>
          </w:tcPr>
          <w:p w14:paraId="54895CFD" w14:textId="77777777" w:rsidR="00403B07" w:rsidRPr="006B378F" w:rsidRDefault="00403B07" w:rsidP="00B01272">
            <w:pPr>
              <w:rPr>
                <w:rFonts w:ascii="Arial" w:hAnsi="Arial" w:cs="Arial"/>
              </w:rPr>
            </w:pPr>
            <w:r w:rsidRPr="006B378F">
              <w:rPr>
                <w:rFonts w:ascii="Arial" w:hAnsi="Arial" w:cs="Arial"/>
              </w:rPr>
              <w:t>1-5</w:t>
            </w:r>
          </w:p>
        </w:tc>
      </w:tr>
      <w:tr w:rsidR="00403B07" w:rsidRPr="006B378F" w14:paraId="15D4B895" w14:textId="77777777" w:rsidTr="00B01272">
        <w:tc>
          <w:tcPr>
            <w:tcW w:w="1848" w:type="dxa"/>
          </w:tcPr>
          <w:p w14:paraId="7123D800" w14:textId="77777777" w:rsidR="00403B07" w:rsidRPr="006B378F" w:rsidRDefault="00403B07" w:rsidP="00B01272">
            <w:pPr>
              <w:rPr>
                <w:rFonts w:ascii="Arial" w:hAnsi="Arial" w:cs="Arial"/>
              </w:rPr>
            </w:pPr>
            <w:r w:rsidRPr="006B378F">
              <w:rPr>
                <w:rFonts w:ascii="Arial" w:hAnsi="Arial" w:cs="Arial"/>
              </w:rPr>
              <w:t>Self efficacy</w:t>
            </w:r>
          </w:p>
        </w:tc>
        <w:tc>
          <w:tcPr>
            <w:tcW w:w="1848" w:type="dxa"/>
          </w:tcPr>
          <w:p w14:paraId="07225C1C" w14:textId="77777777" w:rsidR="00403B07" w:rsidRPr="006B378F" w:rsidRDefault="00403B07" w:rsidP="00B01272">
            <w:pPr>
              <w:rPr>
                <w:rFonts w:ascii="Arial" w:hAnsi="Arial" w:cs="Arial"/>
              </w:rPr>
            </w:pPr>
            <w:r w:rsidRPr="006B378F">
              <w:rPr>
                <w:rFonts w:ascii="Arial" w:hAnsi="Arial" w:cs="Arial"/>
              </w:rPr>
              <w:t>3</w:t>
            </w:r>
          </w:p>
        </w:tc>
        <w:tc>
          <w:tcPr>
            <w:tcW w:w="1848" w:type="dxa"/>
          </w:tcPr>
          <w:p w14:paraId="4C34450F" w14:textId="77777777" w:rsidR="00403B07" w:rsidRPr="006B378F" w:rsidRDefault="00403B07" w:rsidP="00B01272">
            <w:pPr>
              <w:rPr>
                <w:rFonts w:ascii="Arial" w:hAnsi="Arial" w:cs="Arial"/>
              </w:rPr>
            </w:pPr>
            <w:r w:rsidRPr="006B378F">
              <w:rPr>
                <w:rFonts w:ascii="Arial" w:hAnsi="Arial" w:cs="Arial"/>
              </w:rPr>
              <w:t>12</w:t>
            </w:r>
          </w:p>
        </w:tc>
        <w:tc>
          <w:tcPr>
            <w:tcW w:w="1849" w:type="dxa"/>
          </w:tcPr>
          <w:p w14:paraId="0C4A34B5" w14:textId="77777777" w:rsidR="00403B07" w:rsidRPr="006B378F" w:rsidRDefault="00403B07" w:rsidP="00B01272">
            <w:pPr>
              <w:rPr>
                <w:rFonts w:ascii="Arial" w:hAnsi="Arial" w:cs="Arial"/>
              </w:rPr>
            </w:pPr>
            <w:r w:rsidRPr="006B378F">
              <w:rPr>
                <w:rFonts w:ascii="Arial" w:hAnsi="Arial" w:cs="Arial"/>
              </w:rPr>
              <w:t>6-8</w:t>
            </w:r>
          </w:p>
        </w:tc>
      </w:tr>
      <w:tr w:rsidR="00403B07" w:rsidRPr="006B378F" w14:paraId="66239F04" w14:textId="77777777" w:rsidTr="00B01272">
        <w:tc>
          <w:tcPr>
            <w:tcW w:w="1848" w:type="dxa"/>
          </w:tcPr>
          <w:p w14:paraId="1CB9E1C8" w14:textId="77777777" w:rsidR="00403B07" w:rsidRPr="006B378F" w:rsidRDefault="00403B07" w:rsidP="00B01272">
            <w:pPr>
              <w:rPr>
                <w:rFonts w:ascii="Arial" w:hAnsi="Arial" w:cs="Arial"/>
              </w:rPr>
            </w:pPr>
            <w:r w:rsidRPr="006B378F">
              <w:rPr>
                <w:rFonts w:ascii="Arial" w:hAnsi="Arial" w:cs="Arial"/>
              </w:rPr>
              <w:t>Intentions</w:t>
            </w:r>
          </w:p>
        </w:tc>
        <w:tc>
          <w:tcPr>
            <w:tcW w:w="1848" w:type="dxa"/>
          </w:tcPr>
          <w:p w14:paraId="22176B3B" w14:textId="77777777" w:rsidR="00403B07" w:rsidRPr="006B378F" w:rsidRDefault="00403B07" w:rsidP="00B01272">
            <w:pPr>
              <w:rPr>
                <w:rFonts w:ascii="Arial" w:hAnsi="Arial" w:cs="Arial"/>
              </w:rPr>
            </w:pPr>
            <w:r w:rsidRPr="006B378F">
              <w:rPr>
                <w:rFonts w:ascii="Arial" w:hAnsi="Arial" w:cs="Arial"/>
              </w:rPr>
              <w:t>6</w:t>
            </w:r>
          </w:p>
        </w:tc>
        <w:tc>
          <w:tcPr>
            <w:tcW w:w="1848" w:type="dxa"/>
          </w:tcPr>
          <w:p w14:paraId="77798B66" w14:textId="77777777" w:rsidR="00403B07" w:rsidRPr="006B378F" w:rsidRDefault="00403B07" w:rsidP="00B01272">
            <w:pPr>
              <w:rPr>
                <w:rFonts w:ascii="Arial" w:hAnsi="Arial" w:cs="Arial"/>
              </w:rPr>
            </w:pPr>
            <w:r w:rsidRPr="006B378F">
              <w:rPr>
                <w:rFonts w:ascii="Arial" w:hAnsi="Arial" w:cs="Arial"/>
              </w:rPr>
              <w:t>24</w:t>
            </w:r>
          </w:p>
        </w:tc>
        <w:tc>
          <w:tcPr>
            <w:tcW w:w="1849" w:type="dxa"/>
          </w:tcPr>
          <w:p w14:paraId="0CE5C783" w14:textId="77777777" w:rsidR="00403B07" w:rsidRPr="006B378F" w:rsidRDefault="00403B07" w:rsidP="00B01272">
            <w:pPr>
              <w:rPr>
                <w:rFonts w:ascii="Arial" w:hAnsi="Arial" w:cs="Arial"/>
              </w:rPr>
            </w:pPr>
            <w:r w:rsidRPr="006B378F">
              <w:rPr>
                <w:rFonts w:ascii="Arial" w:hAnsi="Arial" w:cs="Arial"/>
              </w:rPr>
              <w:t>9-14</w:t>
            </w:r>
          </w:p>
        </w:tc>
      </w:tr>
      <w:tr w:rsidR="00403B07" w:rsidRPr="006B378F" w14:paraId="2B2061F2" w14:textId="77777777" w:rsidTr="00B01272">
        <w:tc>
          <w:tcPr>
            <w:tcW w:w="1848" w:type="dxa"/>
          </w:tcPr>
          <w:p w14:paraId="7F983FA8" w14:textId="77777777" w:rsidR="00403B07" w:rsidRPr="006B378F" w:rsidRDefault="00403B07" w:rsidP="00B01272">
            <w:pPr>
              <w:rPr>
                <w:rFonts w:ascii="Arial" w:hAnsi="Arial" w:cs="Arial"/>
              </w:rPr>
            </w:pPr>
            <w:r w:rsidRPr="006B378F">
              <w:rPr>
                <w:rFonts w:ascii="Arial" w:hAnsi="Arial" w:cs="Arial"/>
              </w:rPr>
              <w:t>Peer norms</w:t>
            </w:r>
          </w:p>
        </w:tc>
        <w:tc>
          <w:tcPr>
            <w:tcW w:w="1848" w:type="dxa"/>
          </w:tcPr>
          <w:p w14:paraId="0ECEFCC1" w14:textId="77777777" w:rsidR="00403B07" w:rsidRPr="006B378F" w:rsidRDefault="00403B07" w:rsidP="00B01272">
            <w:pPr>
              <w:rPr>
                <w:rFonts w:ascii="Arial" w:hAnsi="Arial" w:cs="Arial"/>
              </w:rPr>
            </w:pPr>
            <w:r w:rsidRPr="006B378F">
              <w:rPr>
                <w:rFonts w:ascii="Arial" w:hAnsi="Arial" w:cs="Arial"/>
              </w:rPr>
              <w:t>3</w:t>
            </w:r>
          </w:p>
        </w:tc>
        <w:tc>
          <w:tcPr>
            <w:tcW w:w="1848" w:type="dxa"/>
          </w:tcPr>
          <w:p w14:paraId="35C3412B" w14:textId="77777777" w:rsidR="00403B07" w:rsidRPr="006B378F" w:rsidRDefault="00403B07" w:rsidP="00B01272">
            <w:pPr>
              <w:rPr>
                <w:rFonts w:ascii="Arial" w:hAnsi="Arial" w:cs="Arial"/>
              </w:rPr>
            </w:pPr>
            <w:r w:rsidRPr="006B378F">
              <w:rPr>
                <w:rFonts w:ascii="Arial" w:hAnsi="Arial" w:cs="Arial"/>
              </w:rPr>
              <w:t>12</w:t>
            </w:r>
          </w:p>
        </w:tc>
        <w:tc>
          <w:tcPr>
            <w:tcW w:w="1849" w:type="dxa"/>
          </w:tcPr>
          <w:p w14:paraId="1EA7EC49" w14:textId="77777777" w:rsidR="00403B07" w:rsidRPr="006B378F" w:rsidRDefault="00403B07" w:rsidP="00B01272">
            <w:pPr>
              <w:rPr>
                <w:rFonts w:ascii="Arial" w:hAnsi="Arial" w:cs="Arial"/>
              </w:rPr>
            </w:pPr>
            <w:r w:rsidRPr="006B378F">
              <w:rPr>
                <w:rFonts w:ascii="Arial" w:hAnsi="Arial" w:cs="Arial"/>
              </w:rPr>
              <w:t>15-17</w:t>
            </w:r>
          </w:p>
        </w:tc>
      </w:tr>
      <w:tr w:rsidR="00403B07" w:rsidRPr="006B378F" w14:paraId="6988E3A5" w14:textId="77777777" w:rsidTr="00B01272">
        <w:tc>
          <w:tcPr>
            <w:tcW w:w="1848" w:type="dxa"/>
          </w:tcPr>
          <w:p w14:paraId="145A47F3" w14:textId="77777777" w:rsidR="00403B07" w:rsidRPr="006B378F" w:rsidRDefault="00403B07" w:rsidP="00B01272">
            <w:pPr>
              <w:rPr>
                <w:rFonts w:ascii="Arial" w:hAnsi="Arial" w:cs="Arial"/>
              </w:rPr>
            </w:pPr>
            <w:r w:rsidRPr="006B378F">
              <w:rPr>
                <w:rFonts w:ascii="Arial" w:hAnsi="Arial" w:cs="Arial"/>
              </w:rPr>
              <w:t>Peer approval</w:t>
            </w:r>
          </w:p>
        </w:tc>
        <w:tc>
          <w:tcPr>
            <w:tcW w:w="1848" w:type="dxa"/>
          </w:tcPr>
          <w:p w14:paraId="6686F03E" w14:textId="77777777" w:rsidR="00403B07" w:rsidRPr="006B378F" w:rsidRDefault="00403B07" w:rsidP="00B01272">
            <w:pPr>
              <w:rPr>
                <w:rFonts w:ascii="Arial" w:hAnsi="Arial" w:cs="Arial"/>
              </w:rPr>
            </w:pPr>
            <w:r w:rsidRPr="006B378F">
              <w:rPr>
                <w:rFonts w:ascii="Arial" w:hAnsi="Arial" w:cs="Arial"/>
              </w:rPr>
              <w:t>5</w:t>
            </w:r>
          </w:p>
        </w:tc>
        <w:tc>
          <w:tcPr>
            <w:tcW w:w="1848" w:type="dxa"/>
          </w:tcPr>
          <w:p w14:paraId="61BB78DA" w14:textId="77777777" w:rsidR="00403B07" w:rsidRPr="006B378F" w:rsidRDefault="00403B07" w:rsidP="00B01272">
            <w:pPr>
              <w:rPr>
                <w:rFonts w:ascii="Arial" w:hAnsi="Arial" w:cs="Arial"/>
              </w:rPr>
            </w:pPr>
            <w:r w:rsidRPr="006B378F">
              <w:rPr>
                <w:rFonts w:ascii="Arial" w:hAnsi="Arial" w:cs="Arial"/>
              </w:rPr>
              <w:t>20</w:t>
            </w:r>
          </w:p>
        </w:tc>
        <w:tc>
          <w:tcPr>
            <w:tcW w:w="1849" w:type="dxa"/>
          </w:tcPr>
          <w:p w14:paraId="70182679" w14:textId="77777777" w:rsidR="00403B07" w:rsidRPr="006B378F" w:rsidRDefault="00403B07" w:rsidP="00B01272">
            <w:pPr>
              <w:rPr>
                <w:rFonts w:ascii="Arial" w:hAnsi="Arial" w:cs="Arial"/>
              </w:rPr>
            </w:pPr>
            <w:r w:rsidRPr="006B378F">
              <w:rPr>
                <w:rFonts w:ascii="Arial" w:hAnsi="Arial" w:cs="Arial"/>
              </w:rPr>
              <w:t>18-22</w:t>
            </w:r>
          </w:p>
        </w:tc>
      </w:tr>
      <w:tr w:rsidR="00403B07" w:rsidRPr="006B378F" w14:paraId="0BA8C197" w14:textId="77777777" w:rsidTr="00B01272">
        <w:tc>
          <w:tcPr>
            <w:tcW w:w="1848" w:type="dxa"/>
          </w:tcPr>
          <w:p w14:paraId="43921C2A" w14:textId="77777777" w:rsidR="00403B07" w:rsidRPr="006B378F" w:rsidRDefault="00403B07" w:rsidP="00B01272">
            <w:pPr>
              <w:rPr>
                <w:rFonts w:ascii="Arial" w:hAnsi="Arial" w:cs="Arial"/>
              </w:rPr>
            </w:pPr>
            <w:r w:rsidRPr="006B378F">
              <w:rPr>
                <w:rFonts w:ascii="Arial" w:hAnsi="Arial" w:cs="Arial"/>
              </w:rPr>
              <w:t>Family approval</w:t>
            </w:r>
          </w:p>
        </w:tc>
        <w:tc>
          <w:tcPr>
            <w:tcW w:w="1848" w:type="dxa"/>
          </w:tcPr>
          <w:p w14:paraId="574F4E53" w14:textId="77777777" w:rsidR="00403B07" w:rsidRPr="006B378F" w:rsidRDefault="00403B07" w:rsidP="00B01272">
            <w:pPr>
              <w:rPr>
                <w:rFonts w:ascii="Arial" w:hAnsi="Arial" w:cs="Arial"/>
              </w:rPr>
            </w:pPr>
            <w:r w:rsidRPr="006B378F">
              <w:rPr>
                <w:rFonts w:ascii="Arial" w:hAnsi="Arial" w:cs="Arial"/>
              </w:rPr>
              <w:t>3</w:t>
            </w:r>
          </w:p>
        </w:tc>
        <w:tc>
          <w:tcPr>
            <w:tcW w:w="1848" w:type="dxa"/>
          </w:tcPr>
          <w:p w14:paraId="187CA28B" w14:textId="77777777" w:rsidR="00403B07" w:rsidRPr="006B378F" w:rsidRDefault="00403B07" w:rsidP="00B01272">
            <w:pPr>
              <w:rPr>
                <w:rFonts w:ascii="Arial" w:hAnsi="Arial" w:cs="Arial"/>
              </w:rPr>
            </w:pPr>
            <w:r w:rsidRPr="006B378F">
              <w:rPr>
                <w:rFonts w:ascii="Arial" w:hAnsi="Arial" w:cs="Arial"/>
              </w:rPr>
              <w:t>12</w:t>
            </w:r>
          </w:p>
        </w:tc>
        <w:tc>
          <w:tcPr>
            <w:tcW w:w="1849" w:type="dxa"/>
          </w:tcPr>
          <w:p w14:paraId="0074608D" w14:textId="77777777" w:rsidR="00403B07" w:rsidRPr="006B378F" w:rsidRDefault="00403B07" w:rsidP="00B01272">
            <w:pPr>
              <w:rPr>
                <w:rFonts w:ascii="Arial" w:hAnsi="Arial" w:cs="Arial"/>
              </w:rPr>
            </w:pPr>
            <w:r w:rsidRPr="006B378F">
              <w:rPr>
                <w:rFonts w:ascii="Arial" w:hAnsi="Arial" w:cs="Arial"/>
              </w:rPr>
              <w:t>23-25</w:t>
            </w:r>
          </w:p>
        </w:tc>
      </w:tr>
      <w:tr w:rsidR="00403B07" w:rsidRPr="006B378F" w14:paraId="6802F2B2" w14:textId="77777777" w:rsidTr="00B01272">
        <w:tc>
          <w:tcPr>
            <w:tcW w:w="1848" w:type="dxa"/>
          </w:tcPr>
          <w:p w14:paraId="64177274" w14:textId="77777777" w:rsidR="00403B07" w:rsidRPr="006B378F" w:rsidRDefault="00403B07" w:rsidP="00B01272">
            <w:pPr>
              <w:rPr>
                <w:rFonts w:ascii="Arial" w:hAnsi="Arial" w:cs="Arial"/>
              </w:rPr>
            </w:pPr>
            <w:r w:rsidRPr="006B378F">
              <w:rPr>
                <w:rFonts w:ascii="Arial" w:hAnsi="Arial" w:cs="Arial"/>
              </w:rPr>
              <w:t>Attitudes towards restrictions on behaviours</w:t>
            </w:r>
          </w:p>
        </w:tc>
        <w:tc>
          <w:tcPr>
            <w:tcW w:w="1848" w:type="dxa"/>
          </w:tcPr>
          <w:p w14:paraId="728EC51C" w14:textId="77777777" w:rsidR="00403B07" w:rsidRPr="006B378F" w:rsidRDefault="00403B07" w:rsidP="00B01272">
            <w:pPr>
              <w:rPr>
                <w:rFonts w:ascii="Arial" w:hAnsi="Arial" w:cs="Arial"/>
              </w:rPr>
            </w:pPr>
            <w:r w:rsidRPr="006B378F">
              <w:rPr>
                <w:rFonts w:ascii="Arial" w:hAnsi="Arial" w:cs="Arial"/>
              </w:rPr>
              <w:t>3</w:t>
            </w:r>
          </w:p>
        </w:tc>
        <w:tc>
          <w:tcPr>
            <w:tcW w:w="1848" w:type="dxa"/>
          </w:tcPr>
          <w:p w14:paraId="6A2CBA28" w14:textId="77777777" w:rsidR="00403B07" w:rsidRPr="006B378F" w:rsidRDefault="00403B07" w:rsidP="00B01272">
            <w:pPr>
              <w:rPr>
                <w:rFonts w:ascii="Arial" w:hAnsi="Arial" w:cs="Arial"/>
              </w:rPr>
            </w:pPr>
            <w:r w:rsidRPr="006B378F">
              <w:rPr>
                <w:rFonts w:ascii="Arial" w:hAnsi="Arial" w:cs="Arial"/>
              </w:rPr>
              <w:t>12</w:t>
            </w:r>
          </w:p>
        </w:tc>
        <w:tc>
          <w:tcPr>
            <w:tcW w:w="1849" w:type="dxa"/>
          </w:tcPr>
          <w:p w14:paraId="50EE7B74" w14:textId="77777777" w:rsidR="00403B07" w:rsidRPr="006B378F" w:rsidRDefault="00403B07" w:rsidP="00B01272">
            <w:pPr>
              <w:rPr>
                <w:rFonts w:ascii="Arial" w:hAnsi="Arial" w:cs="Arial"/>
              </w:rPr>
            </w:pPr>
            <w:r w:rsidRPr="006B378F">
              <w:rPr>
                <w:rFonts w:ascii="Arial" w:hAnsi="Arial" w:cs="Arial"/>
              </w:rPr>
              <w:t>26-28</w:t>
            </w:r>
          </w:p>
        </w:tc>
      </w:tr>
      <w:tr w:rsidR="00403B07" w:rsidRPr="006B378F" w14:paraId="5F5EBEBD" w14:textId="77777777" w:rsidTr="00B01272">
        <w:tc>
          <w:tcPr>
            <w:tcW w:w="1848" w:type="dxa"/>
          </w:tcPr>
          <w:p w14:paraId="54258389" w14:textId="77777777" w:rsidR="00403B07" w:rsidRPr="006B378F" w:rsidRDefault="00403B07" w:rsidP="00B01272">
            <w:pPr>
              <w:rPr>
                <w:rFonts w:ascii="Arial" w:hAnsi="Arial" w:cs="Arial"/>
              </w:rPr>
            </w:pPr>
            <w:r w:rsidRPr="006B378F">
              <w:rPr>
                <w:rFonts w:ascii="Arial" w:hAnsi="Arial" w:cs="Arial"/>
              </w:rPr>
              <w:t>Parental provision and rules</w:t>
            </w:r>
          </w:p>
        </w:tc>
        <w:tc>
          <w:tcPr>
            <w:tcW w:w="1848" w:type="dxa"/>
          </w:tcPr>
          <w:p w14:paraId="3E33F5B0" w14:textId="77777777" w:rsidR="00403B07" w:rsidRPr="006B378F" w:rsidRDefault="00403B07" w:rsidP="00B01272">
            <w:pPr>
              <w:rPr>
                <w:rFonts w:ascii="Arial" w:hAnsi="Arial" w:cs="Arial"/>
              </w:rPr>
            </w:pPr>
            <w:r w:rsidRPr="006B378F">
              <w:rPr>
                <w:rFonts w:ascii="Arial" w:hAnsi="Arial" w:cs="Arial"/>
              </w:rPr>
              <w:t>4</w:t>
            </w:r>
          </w:p>
        </w:tc>
        <w:tc>
          <w:tcPr>
            <w:tcW w:w="1848" w:type="dxa"/>
          </w:tcPr>
          <w:p w14:paraId="6A652F63" w14:textId="77777777" w:rsidR="00403B07" w:rsidRPr="006B378F" w:rsidRDefault="00403B07" w:rsidP="00B01272">
            <w:pPr>
              <w:rPr>
                <w:rFonts w:ascii="Arial" w:hAnsi="Arial" w:cs="Arial"/>
              </w:rPr>
            </w:pPr>
            <w:r w:rsidRPr="006B378F">
              <w:rPr>
                <w:rFonts w:ascii="Arial" w:hAnsi="Arial" w:cs="Arial"/>
              </w:rPr>
              <w:t>16</w:t>
            </w:r>
          </w:p>
        </w:tc>
        <w:tc>
          <w:tcPr>
            <w:tcW w:w="1849" w:type="dxa"/>
          </w:tcPr>
          <w:p w14:paraId="46D7C99F" w14:textId="77777777" w:rsidR="00403B07" w:rsidRPr="006B378F" w:rsidRDefault="00403B07" w:rsidP="00B01272">
            <w:pPr>
              <w:rPr>
                <w:rFonts w:ascii="Arial" w:hAnsi="Arial" w:cs="Arial"/>
              </w:rPr>
            </w:pPr>
            <w:r w:rsidRPr="006B378F">
              <w:rPr>
                <w:rFonts w:ascii="Arial" w:hAnsi="Arial" w:cs="Arial"/>
              </w:rPr>
              <w:t>29-32</w:t>
            </w:r>
          </w:p>
        </w:tc>
      </w:tr>
      <w:tr w:rsidR="00403B07" w:rsidRPr="006B378F" w14:paraId="0292BC6C" w14:textId="77777777" w:rsidTr="00B01272">
        <w:tc>
          <w:tcPr>
            <w:tcW w:w="1848" w:type="dxa"/>
          </w:tcPr>
          <w:p w14:paraId="50C83AAA" w14:textId="77777777" w:rsidR="00403B07" w:rsidRPr="006B378F" w:rsidRDefault="00403B07" w:rsidP="00B01272">
            <w:pPr>
              <w:rPr>
                <w:rFonts w:ascii="Arial" w:hAnsi="Arial" w:cs="Arial"/>
              </w:rPr>
            </w:pPr>
            <w:r w:rsidRPr="006B378F">
              <w:rPr>
                <w:rFonts w:ascii="Arial" w:hAnsi="Arial" w:cs="Arial"/>
              </w:rPr>
              <w:t>Goal setting</w:t>
            </w:r>
          </w:p>
        </w:tc>
        <w:tc>
          <w:tcPr>
            <w:tcW w:w="1848" w:type="dxa"/>
          </w:tcPr>
          <w:p w14:paraId="2C7F7C14" w14:textId="77777777" w:rsidR="00403B07" w:rsidRPr="006B378F" w:rsidRDefault="00403B07" w:rsidP="00B01272">
            <w:pPr>
              <w:rPr>
                <w:rFonts w:ascii="Arial" w:hAnsi="Arial" w:cs="Arial"/>
              </w:rPr>
            </w:pPr>
            <w:r w:rsidRPr="006B378F">
              <w:rPr>
                <w:rFonts w:ascii="Arial" w:hAnsi="Arial" w:cs="Arial"/>
              </w:rPr>
              <w:t>6</w:t>
            </w:r>
          </w:p>
        </w:tc>
        <w:tc>
          <w:tcPr>
            <w:tcW w:w="1848" w:type="dxa"/>
          </w:tcPr>
          <w:p w14:paraId="31C7C975" w14:textId="77777777" w:rsidR="00403B07" w:rsidRPr="006B378F" w:rsidRDefault="00403B07" w:rsidP="00B01272">
            <w:pPr>
              <w:rPr>
                <w:rFonts w:ascii="Arial" w:hAnsi="Arial" w:cs="Arial"/>
              </w:rPr>
            </w:pPr>
            <w:r w:rsidRPr="006B378F">
              <w:rPr>
                <w:rFonts w:ascii="Arial" w:hAnsi="Arial" w:cs="Arial"/>
              </w:rPr>
              <w:t>24</w:t>
            </w:r>
          </w:p>
        </w:tc>
        <w:tc>
          <w:tcPr>
            <w:tcW w:w="1849" w:type="dxa"/>
          </w:tcPr>
          <w:p w14:paraId="58885E33" w14:textId="77777777" w:rsidR="00403B07" w:rsidRPr="006B378F" w:rsidRDefault="00403B07" w:rsidP="00B01272">
            <w:pPr>
              <w:rPr>
                <w:rFonts w:ascii="Arial" w:hAnsi="Arial" w:cs="Arial"/>
              </w:rPr>
            </w:pPr>
            <w:r w:rsidRPr="006B378F">
              <w:rPr>
                <w:rFonts w:ascii="Arial" w:hAnsi="Arial" w:cs="Arial"/>
              </w:rPr>
              <w:t>33-38</w:t>
            </w:r>
          </w:p>
        </w:tc>
      </w:tr>
      <w:tr w:rsidR="00403B07" w:rsidRPr="006B378F" w14:paraId="0C620982" w14:textId="77777777" w:rsidTr="00B01272">
        <w:tc>
          <w:tcPr>
            <w:tcW w:w="1848" w:type="dxa"/>
          </w:tcPr>
          <w:p w14:paraId="5253324E" w14:textId="77777777" w:rsidR="00403B07" w:rsidRPr="006B378F" w:rsidRDefault="00403B07" w:rsidP="00B01272">
            <w:pPr>
              <w:rPr>
                <w:rFonts w:ascii="Arial" w:hAnsi="Arial" w:cs="Arial"/>
              </w:rPr>
            </w:pPr>
            <w:r w:rsidRPr="006B378F">
              <w:rPr>
                <w:rFonts w:ascii="Arial" w:hAnsi="Arial" w:cs="Arial"/>
              </w:rPr>
              <w:t>Self monitoring</w:t>
            </w:r>
          </w:p>
        </w:tc>
        <w:tc>
          <w:tcPr>
            <w:tcW w:w="1848" w:type="dxa"/>
          </w:tcPr>
          <w:p w14:paraId="5CBDC795" w14:textId="77777777" w:rsidR="00403B07" w:rsidRPr="006B378F" w:rsidRDefault="00403B07" w:rsidP="00B01272">
            <w:pPr>
              <w:rPr>
                <w:rFonts w:ascii="Arial" w:hAnsi="Arial" w:cs="Arial"/>
              </w:rPr>
            </w:pPr>
            <w:r w:rsidRPr="006B378F">
              <w:rPr>
                <w:rFonts w:ascii="Arial" w:hAnsi="Arial" w:cs="Arial"/>
              </w:rPr>
              <w:t>4</w:t>
            </w:r>
          </w:p>
        </w:tc>
        <w:tc>
          <w:tcPr>
            <w:tcW w:w="1848" w:type="dxa"/>
          </w:tcPr>
          <w:p w14:paraId="779E8986" w14:textId="77777777" w:rsidR="00403B07" w:rsidRPr="006B378F" w:rsidRDefault="00403B07" w:rsidP="00B01272">
            <w:pPr>
              <w:rPr>
                <w:rFonts w:ascii="Arial" w:hAnsi="Arial" w:cs="Arial"/>
              </w:rPr>
            </w:pPr>
            <w:r w:rsidRPr="006B378F">
              <w:rPr>
                <w:rFonts w:ascii="Arial" w:hAnsi="Arial" w:cs="Arial"/>
              </w:rPr>
              <w:t>16</w:t>
            </w:r>
          </w:p>
        </w:tc>
        <w:tc>
          <w:tcPr>
            <w:tcW w:w="1849" w:type="dxa"/>
          </w:tcPr>
          <w:p w14:paraId="180ED730" w14:textId="77777777" w:rsidR="00403B07" w:rsidRPr="006B378F" w:rsidRDefault="00403B07" w:rsidP="00B01272">
            <w:pPr>
              <w:rPr>
                <w:rFonts w:ascii="Arial" w:hAnsi="Arial" w:cs="Arial"/>
              </w:rPr>
            </w:pPr>
            <w:r w:rsidRPr="006B378F">
              <w:rPr>
                <w:rFonts w:ascii="Arial" w:hAnsi="Arial" w:cs="Arial"/>
              </w:rPr>
              <w:t>39-42</w:t>
            </w:r>
          </w:p>
        </w:tc>
      </w:tr>
      <w:tr w:rsidR="00403B07" w:rsidRPr="006B378F" w14:paraId="5A332CA9" w14:textId="77777777" w:rsidTr="00B01272">
        <w:tc>
          <w:tcPr>
            <w:tcW w:w="1848" w:type="dxa"/>
          </w:tcPr>
          <w:p w14:paraId="28137521" w14:textId="77777777" w:rsidR="00403B07" w:rsidRPr="006B378F" w:rsidRDefault="00403B07" w:rsidP="00B01272">
            <w:pPr>
              <w:rPr>
                <w:rFonts w:ascii="Arial" w:hAnsi="Arial" w:cs="Arial"/>
              </w:rPr>
            </w:pPr>
            <w:r w:rsidRPr="006B378F">
              <w:rPr>
                <w:rFonts w:ascii="Arial" w:hAnsi="Arial" w:cs="Arial"/>
              </w:rPr>
              <w:t>Discussion with parents</w:t>
            </w:r>
          </w:p>
        </w:tc>
        <w:tc>
          <w:tcPr>
            <w:tcW w:w="1848" w:type="dxa"/>
          </w:tcPr>
          <w:p w14:paraId="0D812F9C" w14:textId="77777777" w:rsidR="00403B07" w:rsidRPr="006B378F" w:rsidRDefault="00403B07" w:rsidP="00B01272">
            <w:pPr>
              <w:rPr>
                <w:rFonts w:ascii="Arial" w:hAnsi="Arial" w:cs="Arial"/>
              </w:rPr>
            </w:pPr>
            <w:r w:rsidRPr="006B378F">
              <w:rPr>
                <w:rFonts w:ascii="Arial" w:hAnsi="Arial" w:cs="Arial"/>
              </w:rPr>
              <w:t>3</w:t>
            </w:r>
          </w:p>
        </w:tc>
        <w:tc>
          <w:tcPr>
            <w:tcW w:w="1848" w:type="dxa"/>
          </w:tcPr>
          <w:p w14:paraId="300C2520" w14:textId="77777777" w:rsidR="00403B07" w:rsidRPr="006B378F" w:rsidRDefault="00403B07" w:rsidP="00B01272">
            <w:pPr>
              <w:rPr>
                <w:rFonts w:ascii="Arial" w:hAnsi="Arial" w:cs="Arial"/>
              </w:rPr>
            </w:pPr>
            <w:r w:rsidRPr="006B378F">
              <w:rPr>
                <w:rFonts w:ascii="Arial" w:hAnsi="Arial" w:cs="Arial"/>
              </w:rPr>
              <w:t>12</w:t>
            </w:r>
          </w:p>
        </w:tc>
        <w:tc>
          <w:tcPr>
            <w:tcW w:w="1849" w:type="dxa"/>
          </w:tcPr>
          <w:p w14:paraId="5CF911F8" w14:textId="77777777" w:rsidR="00403B07" w:rsidRPr="006B378F" w:rsidRDefault="00403B07" w:rsidP="00B01272">
            <w:pPr>
              <w:rPr>
                <w:rFonts w:ascii="Arial" w:hAnsi="Arial" w:cs="Arial"/>
              </w:rPr>
            </w:pPr>
            <w:r w:rsidRPr="006B378F">
              <w:rPr>
                <w:rFonts w:ascii="Arial" w:hAnsi="Arial" w:cs="Arial"/>
              </w:rPr>
              <w:t>43-45</w:t>
            </w:r>
          </w:p>
        </w:tc>
      </w:tr>
      <w:tr w:rsidR="00403B07" w:rsidRPr="006B378F" w14:paraId="495CE099" w14:textId="77777777" w:rsidTr="00B01272">
        <w:tc>
          <w:tcPr>
            <w:tcW w:w="1848" w:type="dxa"/>
          </w:tcPr>
          <w:p w14:paraId="784539DD" w14:textId="77777777" w:rsidR="00403B07" w:rsidRPr="006B378F" w:rsidRDefault="00403B07" w:rsidP="00B01272">
            <w:pPr>
              <w:rPr>
                <w:rFonts w:ascii="Arial" w:hAnsi="Arial" w:cs="Arial"/>
              </w:rPr>
            </w:pPr>
            <w:r w:rsidRPr="006B378F">
              <w:rPr>
                <w:rFonts w:ascii="Arial" w:hAnsi="Arial" w:cs="Arial"/>
              </w:rPr>
              <w:t>Suggestions to parents</w:t>
            </w:r>
          </w:p>
        </w:tc>
        <w:tc>
          <w:tcPr>
            <w:tcW w:w="1848" w:type="dxa"/>
          </w:tcPr>
          <w:p w14:paraId="12C9D7C3" w14:textId="77777777" w:rsidR="00403B07" w:rsidRPr="006B378F" w:rsidRDefault="00403B07" w:rsidP="00B01272">
            <w:pPr>
              <w:rPr>
                <w:rFonts w:ascii="Arial" w:hAnsi="Arial" w:cs="Arial"/>
              </w:rPr>
            </w:pPr>
            <w:r w:rsidRPr="006B378F">
              <w:rPr>
                <w:rFonts w:ascii="Arial" w:hAnsi="Arial" w:cs="Arial"/>
              </w:rPr>
              <w:t>2</w:t>
            </w:r>
          </w:p>
        </w:tc>
        <w:tc>
          <w:tcPr>
            <w:tcW w:w="1848" w:type="dxa"/>
          </w:tcPr>
          <w:p w14:paraId="64670CB5" w14:textId="77777777" w:rsidR="00403B07" w:rsidRPr="006B378F" w:rsidRDefault="00403B07" w:rsidP="00B01272">
            <w:pPr>
              <w:rPr>
                <w:rFonts w:ascii="Arial" w:hAnsi="Arial" w:cs="Arial"/>
              </w:rPr>
            </w:pPr>
            <w:r w:rsidRPr="006B378F">
              <w:rPr>
                <w:rFonts w:ascii="Arial" w:hAnsi="Arial" w:cs="Arial"/>
              </w:rPr>
              <w:t>8</w:t>
            </w:r>
          </w:p>
        </w:tc>
        <w:tc>
          <w:tcPr>
            <w:tcW w:w="1849" w:type="dxa"/>
          </w:tcPr>
          <w:p w14:paraId="605F76C9" w14:textId="77777777" w:rsidR="00403B07" w:rsidRPr="006B378F" w:rsidRDefault="00403B07" w:rsidP="00B01272">
            <w:pPr>
              <w:rPr>
                <w:rFonts w:ascii="Arial" w:hAnsi="Arial" w:cs="Arial"/>
              </w:rPr>
            </w:pPr>
            <w:r w:rsidRPr="006B378F">
              <w:rPr>
                <w:rFonts w:ascii="Arial" w:hAnsi="Arial" w:cs="Arial"/>
              </w:rPr>
              <w:t>46-47</w:t>
            </w:r>
          </w:p>
        </w:tc>
      </w:tr>
      <w:tr w:rsidR="00403B07" w:rsidRPr="006B378F" w14:paraId="1F8E6884" w14:textId="77777777" w:rsidTr="00B01272">
        <w:tc>
          <w:tcPr>
            <w:tcW w:w="1848" w:type="dxa"/>
          </w:tcPr>
          <w:p w14:paraId="0B2136C9" w14:textId="77777777" w:rsidR="00403B07" w:rsidRPr="006B378F" w:rsidRDefault="00403B07" w:rsidP="00B01272">
            <w:pPr>
              <w:rPr>
                <w:rFonts w:ascii="Arial" w:hAnsi="Arial" w:cs="Arial"/>
              </w:rPr>
            </w:pPr>
            <w:r w:rsidRPr="006B378F">
              <w:rPr>
                <w:rFonts w:ascii="Arial" w:hAnsi="Arial" w:cs="Arial"/>
              </w:rPr>
              <w:t>Child shopping</w:t>
            </w:r>
          </w:p>
        </w:tc>
        <w:tc>
          <w:tcPr>
            <w:tcW w:w="1848" w:type="dxa"/>
          </w:tcPr>
          <w:p w14:paraId="143F7166" w14:textId="77777777" w:rsidR="00403B07" w:rsidRPr="006B378F" w:rsidRDefault="00403B07" w:rsidP="00B01272">
            <w:pPr>
              <w:rPr>
                <w:rFonts w:ascii="Arial" w:hAnsi="Arial" w:cs="Arial"/>
              </w:rPr>
            </w:pPr>
            <w:r w:rsidRPr="006B378F">
              <w:rPr>
                <w:rFonts w:ascii="Arial" w:hAnsi="Arial" w:cs="Arial"/>
              </w:rPr>
              <w:t>1</w:t>
            </w:r>
          </w:p>
        </w:tc>
        <w:tc>
          <w:tcPr>
            <w:tcW w:w="1848" w:type="dxa"/>
          </w:tcPr>
          <w:p w14:paraId="60EE0841" w14:textId="77777777" w:rsidR="00403B07" w:rsidRPr="006B378F" w:rsidRDefault="00403B07" w:rsidP="00B01272">
            <w:pPr>
              <w:rPr>
                <w:rFonts w:ascii="Arial" w:hAnsi="Arial" w:cs="Arial"/>
              </w:rPr>
            </w:pPr>
            <w:r w:rsidRPr="006B378F">
              <w:rPr>
                <w:rFonts w:ascii="Arial" w:hAnsi="Arial" w:cs="Arial"/>
              </w:rPr>
              <w:t>4</w:t>
            </w:r>
          </w:p>
        </w:tc>
        <w:tc>
          <w:tcPr>
            <w:tcW w:w="1849" w:type="dxa"/>
          </w:tcPr>
          <w:p w14:paraId="26BF9A47" w14:textId="77777777" w:rsidR="00403B07" w:rsidRPr="006B378F" w:rsidRDefault="00403B07" w:rsidP="00B01272">
            <w:pPr>
              <w:rPr>
                <w:rFonts w:ascii="Arial" w:hAnsi="Arial" w:cs="Arial"/>
              </w:rPr>
            </w:pPr>
            <w:r w:rsidRPr="006B378F">
              <w:rPr>
                <w:rFonts w:ascii="Arial" w:hAnsi="Arial" w:cs="Arial"/>
              </w:rPr>
              <w:t>48</w:t>
            </w:r>
          </w:p>
        </w:tc>
      </w:tr>
      <w:tr w:rsidR="00403B07" w:rsidRPr="006B378F" w14:paraId="525D71DE" w14:textId="77777777" w:rsidTr="00B01272">
        <w:tc>
          <w:tcPr>
            <w:tcW w:w="1848" w:type="dxa"/>
          </w:tcPr>
          <w:p w14:paraId="354C57CF" w14:textId="77777777" w:rsidR="00403B07" w:rsidRPr="006B378F" w:rsidRDefault="00403B07" w:rsidP="00B01272">
            <w:pPr>
              <w:rPr>
                <w:rFonts w:ascii="Arial" w:hAnsi="Arial" w:cs="Arial"/>
              </w:rPr>
            </w:pPr>
            <w:r w:rsidRPr="006B378F">
              <w:rPr>
                <w:rFonts w:ascii="Arial" w:hAnsi="Arial" w:cs="Arial"/>
              </w:rPr>
              <w:t>Child cooking</w:t>
            </w:r>
          </w:p>
        </w:tc>
        <w:tc>
          <w:tcPr>
            <w:tcW w:w="1848" w:type="dxa"/>
          </w:tcPr>
          <w:p w14:paraId="4CD18175" w14:textId="77777777" w:rsidR="00403B07" w:rsidRPr="006B378F" w:rsidRDefault="00403B07" w:rsidP="00B01272">
            <w:pPr>
              <w:rPr>
                <w:rFonts w:ascii="Arial" w:hAnsi="Arial" w:cs="Arial"/>
              </w:rPr>
            </w:pPr>
            <w:r w:rsidRPr="006B378F">
              <w:rPr>
                <w:rFonts w:ascii="Arial" w:hAnsi="Arial" w:cs="Arial"/>
              </w:rPr>
              <w:t>1</w:t>
            </w:r>
          </w:p>
        </w:tc>
        <w:tc>
          <w:tcPr>
            <w:tcW w:w="1848" w:type="dxa"/>
          </w:tcPr>
          <w:p w14:paraId="1C603681" w14:textId="77777777" w:rsidR="00403B07" w:rsidRPr="006B378F" w:rsidRDefault="00403B07" w:rsidP="00B01272">
            <w:pPr>
              <w:rPr>
                <w:rFonts w:ascii="Arial" w:hAnsi="Arial" w:cs="Arial"/>
              </w:rPr>
            </w:pPr>
            <w:r w:rsidRPr="006B378F">
              <w:rPr>
                <w:rFonts w:ascii="Arial" w:hAnsi="Arial" w:cs="Arial"/>
              </w:rPr>
              <w:t>4</w:t>
            </w:r>
          </w:p>
        </w:tc>
        <w:tc>
          <w:tcPr>
            <w:tcW w:w="1849" w:type="dxa"/>
          </w:tcPr>
          <w:p w14:paraId="3217B3E7" w14:textId="77777777" w:rsidR="00403B07" w:rsidRPr="006B378F" w:rsidRDefault="00403B07" w:rsidP="00B01272">
            <w:pPr>
              <w:rPr>
                <w:rFonts w:ascii="Arial" w:hAnsi="Arial" w:cs="Arial"/>
              </w:rPr>
            </w:pPr>
            <w:r w:rsidRPr="006B378F">
              <w:rPr>
                <w:rFonts w:ascii="Arial" w:hAnsi="Arial" w:cs="Arial"/>
              </w:rPr>
              <w:t>49</w:t>
            </w:r>
          </w:p>
        </w:tc>
      </w:tr>
      <w:tr w:rsidR="00403B07" w:rsidRPr="006B378F" w14:paraId="0C27D2B4" w14:textId="77777777" w:rsidTr="00B01272">
        <w:tc>
          <w:tcPr>
            <w:tcW w:w="1848" w:type="dxa"/>
          </w:tcPr>
          <w:p w14:paraId="65E64064" w14:textId="77777777" w:rsidR="00403B07" w:rsidRPr="006B378F" w:rsidRDefault="00403B07" w:rsidP="00B01272">
            <w:pPr>
              <w:rPr>
                <w:rFonts w:ascii="Arial" w:hAnsi="Arial" w:cs="Arial"/>
              </w:rPr>
            </w:pPr>
            <w:r w:rsidRPr="006B378F">
              <w:rPr>
                <w:rFonts w:ascii="Arial" w:hAnsi="Arial" w:cs="Arial"/>
              </w:rPr>
              <w:t>Child trying new healthy snacks</w:t>
            </w:r>
          </w:p>
        </w:tc>
        <w:tc>
          <w:tcPr>
            <w:tcW w:w="1848" w:type="dxa"/>
          </w:tcPr>
          <w:p w14:paraId="4D412800" w14:textId="77777777" w:rsidR="00403B07" w:rsidRPr="006B378F" w:rsidRDefault="00403B07" w:rsidP="00B01272">
            <w:pPr>
              <w:rPr>
                <w:rFonts w:ascii="Arial" w:hAnsi="Arial" w:cs="Arial"/>
              </w:rPr>
            </w:pPr>
            <w:r w:rsidRPr="006B378F">
              <w:rPr>
                <w:rFonts w:ascii="Arial" w:hAnsi="Arial" w:cs="Arial"/>
              </w:rPr>
              <w:t>1</w:t>
            </w:r>
          </w:p>
        </w:tc>
        <w:tc>
          <w:tcPr>
            <w:tcW w:w="1848" w:type="dxa"/>
          </w:tcPr>
          <w:p w14:paraId="57A86283" w14:textId="77777777" w:rsidR="00403B07" w:rsidRPr="006B378F" w:rsidRDefault="00403B07" w:rsidP="00B01272">
            <w:pPr>
              <w:rPr>
                <w:rFonts w:ascii="Arial" w:hAnsi="Arial" w:cs="Arial"/>
              </w:rPr>
            </w:pPr>
            <w:r w:rsidRPr="006B378F">
              <w:rPr>
                <w:rFonts w:ascii="Arial" w:hAnsi="Arial" w:cs="Arial"/>
              </w:rPr>
              <w:t>4</w:t>
            </w:r>
          </w:p>
        </w:tc>
        <w:tc>
          <w:tcPr>
            <w:tcW w:w="1849" w:type="dxa"/>
          </w:tcPr>
          <w:p w14:paraId="71D8259C" w14:textId="77777777" w:rsidR="00403B07" w:rsidRPr="006B378F" w:rsidRDefault="00403B07" w:rsidP="00B01272">
            <w:pPr>
              <w:rPr>
                <w:rFonts w:ascii="Arial" w:hAnsi="Arial" w:cs="Arial"/>
              </w:rPr>
            </w:pPr>
            <w:r w:rsidRPr="006B378F">
              <w:rPr>
                <w:rFonts w:ascii="Arial" w:hAnsi="Arial" w:cs="Arial"/>
              </w:rPr>
              <w:t>50</w:t>
            </w:r>
          </w:p>
        </w:tc>
      </w:tr>
    </w:tbl>
    <w:p w14:paraId="0E5FA0D8" w14:textId="77777777" w:rsidR="00403B07" w:rsidRPr="00897933" w:rsidRDefault="00403B07" w:rsidP="00AB4D98">
      <w:pPr>
        <w:pStyle w:val="Heading1"/>
      </w:pPr>
      <w:bookmarkStart w:id="666" w:name="_Toc475974411"/>
      <w:r w:rsidRPr="00897933">
        <w:lastRenderedPageBreak/>
        <w:t>Appendix 4 School Characteristics and Policy Questionnaire</w:t>
      </w:r>
      <w:bookmarkEnd w:id="666"/>
      <w:r w:rsidRPr="00897933">
        <w:t xml:space="preserve"> </w:t>
      </w:r>
    </w:p>
    <w:p w14:paraId="05AA3FF6" w14:textId="77777777" w:rsidR="00403B07" w:rsidRDefault="00403B07" w:rsidP="00403B07">
      <w:pPr>
        <w:rPr>
          <w:i/>
        </w:rPr>
      </w:pPr>
    </w:p>
    <w:p w14:paraId="6F646A66" w14:textId="77777777" w:rsidR="00403B07" w:rsidRDefault="00403B07" w:rsidP="00403B07">
      <w:r>
        <w:rPr>
          <w:noProof/>
          <w:lang w:eastAsia="zh-CN"/>
        </w:rPr>
        <w:drawing>
          <wp:inline distT="0" distB="0" distL="0" distR="0" wp14:anchorId="17484837" wp14:editId="4B071496">
            <wp:extent cx="6238240" cy="7656830"/>
            <wp:effectExtent l="0" t="0" r="0" b="127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38240" cy="7656830"/>
                    </a:xfrm>
                    <a:prstGeom prst="rect">
                      <a:avLst/>
                    </a:prstGeom>
                    <a:noFill/>
                  </pic:spPr>
                </pic:pic>
              </a:graphicData>
            </a:graphic>
          </wp:inline>
        </w:drawing>
      </w:r>
    </w:p>
    <w:p w14:paraId="7A52C76F" w14:textId="77777777" w:rsidR="00403B07" w:rsidRDefault="00403B07" w:rsidP="00403B07"/>
    <w:p w14:paraId="0F81EE2A" w14:textId="77777777" w:rsidR="00897933" w:rsidRDefault="00897933">
      <w:pPr>
        <w:rPr>
          <w:rFonts w:cs="Arial"/>
          <w:b/>
          <w:i/>
          <w:sz w:val="24"/>
          <w:szCs w:val="24"/>
        </w:rPr>
      </w:pPr>
      <w:r>
        <w:rPr>
          <w:rFonts w:cs="Arial"/>
          <w:b/>
          <w:i/>
          <w:sz w:val="24"/>
          <w:szCs w:val="24"/>
        </w:rPr>
        <w:br w:type="page"/>
      </w:r>
    </w:p>
    <w:p w14:paraId="54B9DB3E" w14:textId="7B5F3BB1" w:rsidR="00403B07" w:rsidRPr="001C4036" w:rsidRDefault="00403B07" w:rsidP="00403B07">
      <w:pPr>
        <w:rPr>
          <w:rFonts w:cs="Arial"/>
          <w:b/>
          <w:i/>
          <w:sz w:val="24"/>
          <w:szCs w:val="24"/>
        </w:rPr>
      </w:pPr>
      <w:r w:rsidRPr="001C4036">
        <w:rPr>
          <w:rFonts w:cs="Arial"/>
          <w:b/>
          <w:i/>
          <w:sz w:val="24"/>
          <w:szCs w:val="24"/>
        </w:rPr>
        <w:lastRenderedPageBreak/>
        <w:t xml:space="preserve">Appendix 4 School Characteristics and Policy Questionnaire (continued) </w:t>
      </w:r>
    </w:p>
    <w:p w14:paraId="791CC558" w14:textId="77777777" w:rsidR="00403B07" w:rsidRDefault="00403B07" w:rsidP="00403B07"/>
    <w:tbl>
      <w:tblPr>
        <w:tblW w:w="9638" w:type="dxa"/>
        <w:tblCellMar>
          <w:left w:w="0" w:type="dxa"/>
          <w:right w:w="0" w:type="dxa"/>
        </w:tblCellMar>
        <w:tblLook w:val="04A0" w:firstRow="1" w:lastRow="0" w:firstColumn="1" w:lastColumn="0" w:noHBand="0" w:noVBand="1"/>
      </w:tblPr>
      <w:tblGrid>
        <w:gridCol w:w="3045"/>
        <w:gridCol w:w="6593"/>
      </w:tblGrid>
      <w:tr w:rsidR="00403B07" w:rsidRPr="00F713AB" w14:paraId="691554D2" w14:textId="77777777" w:rsidTr="00B01272">
        <w:trPr>
          <w:trHeight w:val="1188"/>
        </w:trPr>
        <w:tc>
          <w:tcPr>
            <w:tcW w:w="9638" w:type="dxa"/>
            <w:gridSpan w:val="2"/>
            <w:tcBorders>
              <w:top w:val="single" w:sz="8" w:space="0" w:color="000000"/>
              <w:left w:val="single" w:sz="8" w:space="0" w:color="000000"/>
              <w:bottom w:val="single" w:sz="8" w:space="0" w:color="000000"/>
              <w:right w:val="single" w:sz="8" w:space="0" w:color="000000"/>
            </w:tcBorders>
            <w:shd w:val="clear" w:color="auto" w:fill="CCCCCC"/>
            <w:tcMar>
              <w:top w:w="58" w:type="dxa"/>
              <w:left w:w="58" w:type="dxa"/>
              <w:bottom w:w="58" w:type="dxa"/>
              <w:right w:w="58" w:type="dxa"/>
            </w:tcMar>
            <w:vAlign w:val="center"/>
            <w:hideMark/>
          </w:tcPr>
          <w:p w14:paraId="232F4FCE" w14:textId="069A744A" w:rsidR="00403B07" w:rsidRPr="00F713AB" w:rsidRDefault="00403B07" w:rsidP="00B01272">
            <w:pPr>
              <w:rPr>
                <w:rFonts w:ascii="Calibri" w:eastAsia="Times New Roman" w:hAnsi="Calibri" w:cs="Times New Roman"/>
                <w:b/>
                <w:bCs/>
                <w:color w:val="000000"/>
                <w:kern w:val="28"/>
                <w:sz w:val="28"/>
                <w:szCs w:val="28"/>
                <w14:cntxtAlts/>
              </w:rPr>
            </w:pPr>
            <w:r w:rsidRPr="00F713AB">
              <w:rPr>
                <w:rFonts w:ascii="Times New Roman" w:eastAsia="Times New Roman" w:hAnsi="Times New Roman" w:cs="Times New Roman"/>
                <w:noProof/>
                <w:sz w:val="24"/>
                <w:szCs w:val="24"/>
                <w:lang w:eastAsia="zh-CN"/>
              </w:rPr>
              <mc:AlternateContent>
                <mc:Choice Requires="wps">
                  <w:drawing>
                    <wp:anchor distT="36576" distB="36576" distL="36576" distR="36576" simplePos="0" relativeHeight="251656192" behindDoc="0" locked="0" layoutInCell="1" allowOverlap="1" wp14:anchorId="69AD9794" wp14:editId="439D07D8">
                      <wp:simplePos x="0" y="0"/>
                      <wp:positionH relativeFrom="column">
                        <wp:posOffset>720090</wp:posOffset>
                      </wp:positionH>
                      <wp:positionV relativeFrom="paragraph">
                        <wp:posOffset>1062990</wp:posOffset>
                      </wp:positionV>
                      <wp:extent cx="6120130" cy="6407785"/>
                      <wp:effectExtent l="0" t="0" r="0" b="0"/>
                      <wp:wrapNone/>
                      <wp:docPr id="680" name="Contro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120130" cy="640778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8700A6" id="Control 14" o:spid="_x0000_s1026" style="position:absolute;margin-left:56.7pt;margin-top:83.7pt;width:481.9pt;height:504.55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" filled="f" stroked="f" insetpen="t">
                      <v:shadow color="#ccc"/>
                      <o:lock v:ext="edit" shapetype="t"/>
                      <v:textbox inset="0,0,0,0"/>
                    </v:rect>
                  </w:pict>
                </mc:Fallback>
              </mc:AlternateContent>
            </w:r>
            <w:r w:rsidRPr="00F713AB">
              <w:rPr>
                <w:rFonts w:ascii="Calibri" w:eastAsia="Times New Roman" w:hAnsi="Calibri" w:cs="Times New Roman"/>
                <w:b/>
                <w:bCs/>
                <w:color w:val="000000"/>
                <w:kern w:val="28"/>
                <w:sz w:val="28"/>
                <w:szCs w:val="28"/>
                <w14:cntxtAlts/>
              </w:rPr>
              <w:t>Policies and Initiatives</w:t>
            </w:r>
          </w:p>
        </w:tc>
      </w:tr>
      <w:tr w:rsidR="00403B07" w:rsidRPr="00F713AB" w14:paraId="27A33A78" w14:textId="77777777" w:rsidTr="00B01272">
        <w:trPr>
          <w:trHeight w:val="4403"/>
        </w:trPr>
        <w:tc>
          <w:tcPr>
            <w:tcW w:w="3045"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14:paraId="7263E4F6" w14:textId="77777777" w:rsidR="00403B07" w:rsidRPr="00F713AB" w:rsidRDefault="00403B07" w:rsidP="00B01272">
            <w:pPr>
              <w:rPr>
                <w:rFonts w:ascii="Calibri" w:eastAsia="Times New Roman" w:hAnsi="Calibri" w:cs="Times New Roman"/>
                <w:b/>
                <w:bCs/>
                <w:color w:val="000000"/>
                <w:kern w:val="28"/>
                <w:sz w:val="24"/>
                <w:szCs w:val="24"/>
                <w14:cntxtAlts/>
              </w:rPr>
            </w:pPr>
            <w:r w:rsidRPr="00F713AB">
              <w:rPr>
                <w:rFonts w:ascii="Calibri" w:eastAsia="Times New Roman" w:hAnsi="Calibri" w:cs="Times New Roman"/>
                <w:b/>
                <w:bCs/>
                <w:color w:val="000000"/>
                <w:kern w:val="28"/>
                <w:sz w:val="24"/>
                <w:szCs w:val="24"/>
                <w14:cntxtAlts/>
              </w:rPr>
              <w:t xml:space="preserve">School Physical Activity </w:t>
            </w:r>
          </w:p>
          <w:p w14:paraId="7D53A80D" w14:textId="77777777" w:rsidR="00403B07" w:rsidRPr="00F713AB" w:rsidRDefault="00403B07" w:rsidP="00B01272">
            <w:pPr>
              <w:rPr>
                <w:rFonts w:ascii="Calibri" w:eastAsia="Times New Roman" w:hAnsi="Calibri" w:cs="Times New Roman"/>
                <w:b/>
                <w:bCs/>
                <w:color w:val="000000"/>
                <w:kern w:val="28"/>
                <w:sz w:val="24"/>
                <w:szCs w:val="24"/>
                <w14:cntxtAlts/>
              </w:rPr>
            </w:pPr>
            <w:r w:rsidRPr="00F713AB">
              <w:rPr>
                <w:rFonts w:ascii="Calibri" w:eastAsia="Times New Roman" w:hAnsi="Calibri" w:cs="Times New Roman"/>
                <w:b/>
                <w:bCs/>
                <w:color w:val="000000"/>
                <w:kern w:val="28"/>
                <w:sz w:val="24"/>
                <w:szCs w:val="24"/>
                <w14:cntxtAlts/>
              </w:rPr>
              <w:t>policies/initiatives</w:t>
            </w:r>
          </w:p>
        </w:tc>
        <w:tc>
          <w:tcPr>
            <w:tcW w:w="6593"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14:paraId="0D62F024" w14:textId="77777777" w:rsidR="00403B07" w:rsidRPr="00F713AB" w:rsidRDefault="00403B07" w:rsidP="00B01272">
            <w:pPr>
              <w:rPr>
                <w:rFonts w:ascii="Calibri" w:eastAsia="Times New Roman" w:hAnsi="Calibri" w:cs="Times New Roman"/>
                <w:b/>
                <w:bCs/>
                <w:color w:val="000000"/>
                <w:kern w:val="28"/>
                <w:sz w:val="24"/>
                <w:szCs w:val="24"/>
                <w14:cntxtAlts/>
              </w:rPr>
            </w:pPr>
            <w:r w:rsidRPr="00F713AB">
              <w:rPr>
                <w:rFonts w:ascii="Calibri" w:eastAsia="Times New Roman" w:hAnsi="Calibri" w:cs="Times New Roman"/>
                <w:b/>
                <w:bCs/>
                <w:color w:val="000000"/>
                <w:kern w:val="28"/>
                <w:sz w:val="24"/>
                <w:szCs w:val="24"/>
                <w14:cntxtAlts/>
              </w:rPr>
              <w:t> </w:t>
            </w:r>
          </w:p>
        </w:tc>
      </w:tr>
      <w:tr w:rsidR="00403B07" w:rsidRPr="00F713AB" w14:paraId="79758341" w14:textId="77777777" w:rsidTr="00B01272">
        <w:trPr>
          <w:trHeight w:val="4500"/>
        </w:trPr>
        <w:tc>
          <w:tcPr>
            <w:tcW w:w="3045"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14:paraId="3C06D992" w14:textId="77777777" w:rsidR="00403B07" w:rsidRPr="00F713AB" w:rsidRDefault="00403B07" w:rsidP="00B01272">
            <w:pPr>
              <w:rPr>
                <w:rFonts w:ascii="Calibri" w:eastAsia="Times New Roman" w:hAnsi="Calibri" w:cs="Times New Roman"/>
                <w:b/>
                <w:bCs/>
                <w:color w:val="000000"/>
                <w:kern w:val="28"/>
                <w:sz w:val="24"/>
                <w:szCs w:val="24"/>
                <w14:cntxtAlts/>
              </w:rPr>
            </w:pPr>
            <w:r w:rsidRPr="00F713AB">
              <w:rPr>
                <w:rFonts w:ascii="Calibri" w:eastAsia="Times New Roman" w:hAnsi="Calibri" w:cs="Times New Roman"/>
                <w:b/>
                <w:bCs/>
                <w:color w:val="000000"/>
                <w:kern w:val="28"/>
                <w:sz w:val="24"/>
                <w:szCs w:val="24"/>
                <w14:cntxtAlts/>
              </w:rPr>
              <w:t xml:space="preserve">School Nutrition </w:t>
            </w:r>
          </w:p>
          <w:p w14:paraId="6DD596EB" w14:textId="77777777" w:rsidR="00403B07" w:rsidRPr="00F713AB" w:rsidRDefault="00403B07" w:rsidP="00B01272">
            <w:pPr>
              <w:rPr>
                <w:rFonts w:ascii="Calibri" w:eastAsia="Times New Roman" w:hAnsi="Calibri" w:cs="Times New Roman"/>
                <w:b/>
                <w:bCs/>
                <w:color w:val="000000"/>
                <w:kern w:val="28"/>
                <w:sz w:val="24"/>
                <w:szCs w:val="24"/>
                <w14:cntxtAlts/>
              </w:rPr>
            </w:pPr>
            <w:r w:rsidRPr="00F713AB">
              <w:rPr>
                <w:rFonts w:ascii="Calibri" w:eastAsia="Times New Roman" w:hAnsi="Calibri" w:cs="Times New Roman"/>
                <w:b/>
                <w:bCs/>
                <w:color w:val="000000"/>
                <w:kern w:val="28"/>
                <w:sz w:val="24"/>
                <w:szCs w:val="24"/>
                <w14:cntxtAlts/>
              </w:rPr>
              <w:t>policies/initiatives</w:t>
            </w:r>
          </w:p>
        </w:tc>
        <w:tc>
          <w:tcPr>
            <w:tcW w:w="6593"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vAlign w:val="center"/>
            <w:hideMark/>
          </w:tcPr>
          <w:p w14:paraId="360BB041" w14:textId="77777777" w:rsidR="00403B07" w:rsidRPr="00F713AB" w:rsidRDefault="00403B07" w:rsidP="00B01272">
            <w:pPr>
              <w:rPr>
                <w:rFonts w:ascii="Calibri" w:eastAsia="Times New Roman" w:hAnsi="Calibri" w:cs="Times New Roman"/>
                <w:color w:val="000000"/>
                <w:kern w:val="28"/>
                <w:sz w:val="24"/>
                <w:szCs w:val="24"/>
                <w14:cntxtAlts/>
              </w:rPr>
            </w:pPr>
            <w:r w:rsidRPr="00F713AB">
              <w:rPr>
                <w:rFonts w:ascii="Calibri" w:eastAsia="Times New Roman" w:hAnsi="Calibri" w:cs="Times New Roman"/>
                <w:color w:val="000000"/>
                <w:kern w:val="28"/>
                <w:sz w:val="24"/>
                <w:szCs w:val="24"/>
                <w14:cntxtAlts/>
              </w:rPr>
              <w:t> </w:t>
            </w:r>
          </w:p>
        </w:tc>
      </w:tr>
    </w:tbl>
    <w:p w14:paraId="2C39460E" w14:textId="77777777" w:rsidR="00403B07" w:rsidRDefault="00403B07" w:rsidP="00403B07"/>
    <w:p w14:paraId="2C41613A" w14:textId="77777777" w:rsidR="00403B07" w:rsidRDefault="00403B07" w:rsidP="00403B07">
      <w:pPr>
        <w:rPr>
          <w:i/>
        </w:rPr>
      </w:pPr>
    </w:p>
    <w:p w14:paraId="633BB540" w14:textId="77777777" w:rsidR="00403B07" w:rsidRDefault="00403B07" w:rsidP="00403B07">
      <w:pPr>
        <w:rPr>
          <w:i/>
        </w:rPr>
      </w:pPr>
    </w:p>
    <w:p w14:paraId="04A54786" w14:textId="77777777" w:rsidR="00403B07" w:rsidRDefault="00403B07" w:rsidP="00403B07">
      <w:pPr>
        <w:rPr>
          <w:i/>
        </w:rPr>
      </w:pPr>
      <w:r>
        <w:rPr>
          <w:i/>
        </w:rPr>
        <w:br w:type="page"/>
      </w:r>
    </w:p>
    <w:p w14:paraId="53B5890A" w14:textId="77777777" w:rsidR="00403B07" w:rsidRDefault="00403B07" w:rsidP="00403B07">
      <w:pPr>
        <w:outlineLvl w:val="0"/>
        <w:rPr>
          <w:rFonts w:cs="Arial"/>
          <w:b/>
          <w:sz w:val="24"/>
          <w:szCs w:val="24"/>
        </w:rPr>
      </w:pPr>
      <w:bookmarkStart w:id="667" w:name="_Toc475974412"/>
      <w:r w:rsidRPr="00C46269">
        <w:rPr>
          <w:rFonts w:cs="Arial"/>
          <w:b/>
          <w:sz w:val="24"/>
          <w:szCs w:val="24"/>
        </w:rPr>
        <w:lastRenderedPageBreak/>
        <w:t xml:space="preserve">Appendix </w:t>
      </w:r>
      <w:r>
        <w:rPr>
          <w:rFonts w:cs="Arial"/>
          <w:b/>
          <w:sz w:val="24"/>
          <w:szCs w:val="24"/>
        </w:rPr>
        <w:t>5</w:t>
      </w:r>
      <w:r w:rsidRPr="00C46269">
        <w:rPr>
          <w:rFonts w:cs="Arial"/>
          <w:b/>
          <w:sz w:val="24"/>
          <w:szCs w:val="24"/>
        </w:rPr>
        <w:t xml:space="preserve"> </w:t>
      </w:r>
      <w:r>
        <w:rPr>
          <w:rFonts w:cs="Arial"/>
          <w:b/>
          <w:sz w:val="24"/>
          <w:szCs w:val="24"/>
        </w:rPr>
        <w:t>Analysis Plan Amendment document</w:t>
      </w:r>
      <w:bookmarkEnd w:id="667"/>
      <w:r>
        <w:rPr>
          <w:rFonts w:cs="Arial"/>
          <w:b/>
          <w:sz w:val="24"/>
          <w:szCs w:val="24"/>
        </w:rPr>
        <w:t xml:space="preserve"> </w:t>
      </w:r>
    </w:p>
    <w:p w14:paraId="765728A9" w14:textId="77777777" w:rsidR="00403B07" w:rsidRDefault="00403B07" w:rsidP="00403B07">
      <w:pPr>
        <w:rPr>
          <w:rFonts w:ascii="Times New Roman" w:hAnsi="Times New Roman" w:cs="Times New Roman"/>
          <w:b/>
          <w:bCs/>
          <w:sz w:val="24"/>
          <w:szCs w:val="24"/>
          <w:lang w:val="en-US"/>
        </w:rPr>
      </w:pPr>
      <w:r w:rsidRPr="00550207">
        <w:rPr>
          <w:rFonts w:ascii="Times New Roman" w:hAnsi="Times New Roman" w:cs="Times New Roman"/>
          <w:b/>
          <w:bCs/>
          <w:sz w:val="24"/>
          <w:szCs w:val="24"/>
          <w:lang w:val="en-US"/>
        </w:rPr>
        <w:t>Amendments to the HeLP Analysis Plan V5 (3/11/15)</w:t>
      </w:r>
      <w:r>
        <w:rPr>
          <w:rFonts w:ascii="Times New Roman" w:hAnsi="Times New Roman" w:cs="Times New Roman"/>
          <w:b/>
          <w:bCs/>
          <w:sz w:val="24"/>
          <w:szCs w:val="24"/>
          <w:lang w:val="en-US"/>
        </w:rPr>
        <w:t xml:space="preserve"> </w:t>
      </w:r>
      <w:r w:rsidRPr="00550207">
        <w:rPr>
          <w:rFonts w:ascii="Times New Roman" w:hAnsi="Times New Roman" w:cs="Times New Roman"/>
          <w:b/>
          <w:bCs/>
          <w:sz w:val="24"/>
          <w:szCs w:val="24"/>
          <w:lang w:val="en-US"/>
        </w:rPr>
        <w:t>September 14</w:t>
      </w:r>
      <w:r w:rsidRPr="00550207">
        <w:rPr>
          <w:rFonts w:ascii="Times New Roman" w:hAnsi="Times New Roman" w:cs="Times New Roman"/>
          <w:b/>
          <w:bCs/>
          <w:sz w:val="24"/>
          <w:szCs w:val="24"/>
          <w:vertAlign w:val="superscript"/>
          <w:lang w:val="en-US"/>
        </w:rPr>
        <w:t>th</w:t>
      </w:r>
      <w:r w:rsidRPr="00550207">
        <w:rPr>
          <w:rFonts w:ascii="Times New Roman" w:hAnsi="Times New Roman" w:cs="Times New Roman"/>
          <w:b/>
          <w:bCs/>
          <w:sz w:val="24"/>
          <w:szCs w:val="24"/>
          <w:lang w:val="en-US"/>
        </w:rPr>
        <w:t xml:space="preserve"> 2016</w:t>
      </w:r>
    </w:p>
    <w:p w14:paraId="08BFC80B" w14:textId="77777777" w:rsidR="00403B07" w:rsidRDefault="00403B07" w:rsidP="00403B07">
      <w:pPr>
        <w:rPr>
          <w:rFonts w:cs="Arial"/>
          <w:b/>
          <w:sz w:val="24"/>
          <w:szCs w:val="24"/>
        </w:rPr>
      </w:pPr>
    </w:p>
    <w:tbl>
      <w:tblPr>
        <w:tblStyle w:val="TableGrid"/>
        <w:tblW w:w="9924" w:type="dxa"/>
        <w:tblInd w:w="-431" w:type="dxa"/>
        <w:tblLook w:val="04A0" w:firstRow="1" w:lastRow="0" w:firstColumn="1" w:lastColumn="0" w:noHBand="0" w:noVBand="1"/>
      </w:tblPr>
      <w:tblGrid>
        <w:gridCol w:w="3192"/>
        <w:gridCol w:w="1912"/>
        <w:gridCol w:w="4820"/>
      </w:tblGrid>
      <w:tr w:rsidR="00403B07" w:rsidRPr="00550207" w14:paraId="528E32B4" w14:textId="77777777" w:rsidTr="00B01272">
        <w:tc>
          <w:tcPr>
            <w:tcW w:w="3192" w:type="dxa"/>
          </w:tcPr>
          <w:p w14:paraId="406A1028" w14:textId="77777777" w:rsidR="00403B07" w:rsidRPr="00550207" w:rsidRDefault="00403B07" w:rsidP="00B01272">
            <w:pPr>
              <w:rPr>
                <w:rFonts w:ascii="Times New Roman" w:hAnsi="Times New Roman" w:cs="Times New Roman"/>
                <w:bCs/>
                <w:sz w:val="24"/>
                <w:szCs w:val="24"/>
              </w:rPr>
            </w:pPr>
            <w:bookmarkStart w:id="668" w:name="_Toc431484171"/>
            <w:r w:rsidRPr="001C4036">
              <w:rPr>
                <w:rFonts w:ascii="Times New Roman" w:hAnsi="Times New Roman" w:cs="Times New Roman"/>
                <w:sz w:val="24"/>
                <w:szCs w:val="24"/>
                <w:lang w:val="en-US"/>
              </w:rPr>
              <w:t>Section 1: Summary of Amendments</w:t>
            </w:r>
            <w:r w:rsidRPr="001C4036">
              <w:rPr>
                <w:rFonts w:ascii="Times New Roman" w:hAnsi="Times New Roman" w:cs="Times New Roman"/>
                <w:bCs/>
                <w:sz w:val="24"/>
                <w:szCs w:val="24"/>
              </w:rPr>
              <w:t xml:space="preserve"> Original </w:t>
            </w:r>
            <w:r w:rsidRPr="00550207">
              <w:rPr>
                <w:rFonts w:ascii="Times New Roman" w:hAnsi="Times New Roman" w:cs="Times New Roman"/>
                <w:bCs/>
                <w:sz w:val="24"/>
                <w:szCs w:val="24"/>
              </w:rPr>
              <w:t>Planned Analysis</w:t>
            </w:r>
          </w:p>
        </w:tc>
        <w:tc>
          <w:tcPr>
            <w:tcW w:w="1912" w:type="dxa"/>
          </w:tcPr>
          <w:p w14:paraId="3FFAB748" w14:textId="77777777" w:rsidR="00403B07" w:rsidRPr="00550207" w:rsidRDefault="00403B07" w:rsidP="00B01272">
            <w:pPr>
              <w:rPr>
                <w:rFonts w:ascii="Times New Roman" w:hAnsi="Times New Roman" w:cs="Times New Roman"/>
                <w:bCs/>
                <w:sz w:val="24"/>
                <w:szCs w:val="24"/>
              </w:rPr>
            </w:pPr>
            <w:r w:rsidRPr="00550207">
              <w:rPr>
                <w:rFonts w:ascii="Times New Roman" w:hAnsi="Times New Roman" w:cs="Times New Roman"/>
                <w:bCs/>
                <w:sz w:val="24"/>
                <w:szCs w:val="24"/>
              </w:rPr>
              <w:t>Section Number (page) in Analysis Plan V5 (date)</w:t>
            </w:r>
          </w:p>
        </w:tc>
        <w:tc>
          <w:tcPr>
            <w:tcW w:w="4820" w:type="dxa"/>
          </w:tcPr>
          <w:p w14:paraId="10561C73" w14:textId="77777777" w:rsidR="00403B07" w:rsidRPr="00550207" w:rsidRDefault="00403B07" w:rsidP="00B01272">
            <w:pPr>
              <w:rPr>
                <w:rFonts w:ascii="Times New Roman" w:hAnsi="Times New Roman" w:cs="Times New Roman"/>
                <w:bCs/>
                <w:sz w:val="24"/>
                <w:szCs w:val="24"/>
              </w:rPr>
            </w:pPr>
            <w:r w:rsidRPr="00550207">
              <w:rPr>
                <w:rFonts w:ascii="Times New Roman" w:hAnsi="Times New Roman" w:cs="Times New Roman"/>
                <w:bCs/>
                <w:sz w:val="24"/>
                <w:szCs w:val="24"/>
              </w:rPr>
              <w:t>Summary of Amendment</w:t>
            </w:r>
          </w:p>
        </w:tc>
      </w:tr>
      <w:tr w:rsidR="00403B07" w:rsidRPr="00550207" w14:paraId="6D44B6EE" w14:textId="77777777" w:rsidTr="00B01272">
        <w:tc>
          <w:tcPr>
            <w:tcW w:w="3192" w:type="dxa"/>
          </w:tcPr>
          <w:p w14:paraId="343C15CF" w14:textId="77777777" w:rsidR="00403B07" w:rsidRPr="00550207" w:rsidRDefault="00403B07" w:rsidP="00B01272">
            <w:pPr>
              <w:rPr>
                <w:rFonts w:ascii="Times New Roman" w:hAnsi="Times New Roman" w:cs="Times New Roman"/>
                <w:b/>
                <w:sz w:val="24"/>
                <w:szCs w:val="24"/>
              </w:rPr>
            </w:pPr>
            <w:r w:rsidRPr="00550207">
              <w:rPr>
                <w:rFonts w:ascii="Times New Roman" w:hAnsi="Times New Roman" w:cs="Times New Roman"/>
                <w:b/>
                <w:sz w:val="24"/>
                <w:szCs w:val="24"/>
              </w:rPr>
              <w:t>Secondary analysis of primary outcome - multiple imputation</w:t>
            </w:r>
          </w:p>
        </w:tc>
        <w:tc>
          <w:tcPr>
            <w:tcW w:w="1912" w:type="dxa"/>
          </w:tcPr>
          <w:p w14:paraId="001D67B1" w14:textId="77777777" w:rsidR="00403B07" w:rsidRPr="00550207" w:rsidRDefault="00403B07" w:rsidP="00B01272">
            <w:pPr>
              <w:rPr>
                <w:rFonts w:ascii="Times New Roman" w:hAnsi="Times New Roman" w:cs="Times New Roman"/>
                <w:b/>
                <w:sz w:val="24"/>
                <w:szCs w:val="24"/>
              </w:rPr>
            </w:pPr>
            <w:r w:rsidRPr="00550207">
              <w:rPr>
                <w:rFonts w:ascii="Times New Roman" w:hAnsi="Times New Roman" w:cs="Times New Roman"/>
                <w:b/>
                <w:sz w:val="24"/>
                <w:szCs w:val="24"/>
              </w:rPr>
              <w:t>7.1.3 (pages 17-18)</w:t>
            </w:r>
          </w:p>
          <w:p w14:paraId="031F9B57" w14:textId="77777777" w:rsidR="00403B07" w:rsidRPr="00550207" w:rsidRDefault="00403B07" w:rsidP="00B01272">
            <w:pPr>
              <w:rPr>
                <w:rFonts w:ascii="Times New Roman" w:hAnsi="Times New Roman" w:cs="Times New Roman"/>
                <w:b/>
                <w:sz w:val="24"/>
                <w:szCs w:val="24"/>
              </w:rPr>
            </w:pPr>
          </w:p>
        </w:tc>
        <w:tc>
          <w:tcPr>
            <w:tcW w:w="4820" w:type="dxa"/>
          </w:tcPr>
          <w:p w14:paraId="6E970842" w14:textId="77777777" w:rsidR="00403B07" w:rsidRPr="00550207" w:rsidRDefault="00403B07" w:rsidP="00B01272">
            <w:pPr>
              <w:rPr>
                <w:rFonts w:ascii="Times New Roman" w:hAnsi="Times New Roman" w:cs="Times New Roman"/>
                <w:b/>
                <w:sz w:val="24"/>
                <w:szCs w:val="24"/>
              </w:rPr>
            </w:pPr>
            <w:r w:rsidRPr="00550207">
              <w:rPr>
                <w:rFonts w:ascii="Times New Roman" w:hAnsi="Times New Roman" w:cs="Times New Roman"/>
                <w:b/>
                <w:sz w:val="24"/>
                <w:szCs w:val="24"/>
              </w:rPr>
              <w:t xml:space="preserve">Multiple imputation of missing BMI </w:t>
            </w:r>
            <w:r>
              <w:rPr>
                <w:rFonts w:ascii="Times New Roman" w:hAnsi="Times New Roman" w:cs="Times New Roman"/>
                <w:b/>
                <w:sz w:val="24"/>
                <w:szCs w:val="24"/>
              </w:rPr>
              <w:t>SDS</w:t>
            </w:r>
            <w:r w:rsidRPr="00550207">
              <w:rPr>
                <w:rFonts w:ascii="Times New Roman" w:hAnsi="Times New Roman" w:cs="Times New Roman"/>
                <w:b/>
                <w:sz w:val="24"/>
                <w:szCs w:val="24"/>
              </w:rPr>
              <w:t xml:space="preserve"> data at 24 months will not be undertaken. Alternative “Best Case / Worst Case” sensitivity analyses will be performed:</w:t>
            </w:r>
          </w:p>
          <w:p w14:paraId="3324C846" w14:textId="77777777" w:rsidR="00403B07" w:rsidRPr="00550207" w:rsidRDefault="00403B07" w:rsidP="00B01272">
            <w:pPr>
              <w:rPr>
                <w:rFonts w:ascii="Times New Roman" w:hAnsi="Times New Roman" w:cs="Times New Roman"/>
                <w:sz w:val="24"/>
                <w:szCs w:val="24"/>
              </w:rPr>
            </w:pPr>
            <w:r w:rsidRPr="00550207">
              <w:rPr>
                <w:rFonts w:ascii="Times New Roman" w:hAnsi="Times New Roman" w:cs="Times New Roman"/>
                <w:sz w:val="24"/>
                <w:szCs w:val="24"/>
              </w:rPr>
              <w:t xml:space="preserve">Best Case: will assume no change in BMI </w:t>
            </w:r>
            <w:r>
              <w:rPr>
                <w:rFonts w:ascii="Times New Roman" w:hAnsi="Times New Roman" w:cs="Times New Roman"/>
                <w:sz w:val="24"/>
                <w:szCs w:val="24"/>
              </w:rPr>
              <w:t>SDS</w:t>
            </w:r>
            <w:r w:rsidRPr="00550207">
              <w:rPr>
                <w:rFonts w:ascii="Times New Roman" w:hAnsi="Times New Roman" w:cs="Times New Roman"/>
                <w:sz w:val="24"/>
                <w:szCs w:val="24"/>
              </w:rPr>
              <w:t xml:space="preserve"> for children allocated to intervention group; change in BMI </w:t>
            </w:r>
            <w:r>
              <w:rPr>
                <w:rFonts w:ascii="Times New Roman" w:hAnsi="Times New Roman" w:cs="Times New Roman"/>
                <w:sz w:val="24"/>
                <w:szCs w:val="24"/>
              </w:rPr>
              <w:t>SDS</w:t>
            </w:r>
            <w:r w:rsidRPr="00550207">
              <w:rPr>
                <w:rFonts w:ascii="Times New Roman" w:hAnsi="Times New Roman" w:cs="Times New Roman"/>
                <w:sz w:val="24"/>
                <w:szCs w:val="24"/>
              </w:rPr>
              <w:t xml:space="preserve"> for children allocated to the control group will be imputed from (marginal) mean change in BMI </w:t>
            </w:r>
            <w:r>
              <w:rPr>
                <w:rFonts w:ascii="Times New Roman" w:hAnsi="Times New Roman" w:cs="Times New Roman"/>
                <w:sz w:val="24"/>
                <w:szCs w:val="24"/>
              </w:rPr>
              <w:t>SDS</w:t>
            </w:r>
            <w:r w:rsidRPr="00550207">
              <w:rPr>
                <w:rFonts w:ascii="Times New Roman" w:hAnsi="Times New Roman" w:cs="Times New Roman"/>
                <w:sz w:val="24"/>
                <w:szCs w:val="24"/>
              </w:rPr>
              <w:t xml:space="preserve"> for the control group</w:t>
            </w:r>
          </w:p>
          <w:p w14:paraId="2523E63F" w14:textId="77777777" w:rsidR="00403B07" w:rsidRPr="00550207" w:rsidRDefault="00403B07" w:rsidP="00B01272">
            <w:pPr>
              <w:rPr>
                <w:rFonts w:ascii="Times New Roman" w:hAnsi="Times New Roman" w:cs="Times New Roman"/>
                <w:b/>
                <w:sz w:val="24"/>
                <w:szCs w:val="24"/>
              </w:rPr>
            </w:pPr>
            <w:r w:rsidRPr="00550207">
              <w:rPr>
                <w:rFonts w:ascii="Times New Roman" w:hAnsi="Times New Roman" w:cs="Times New Roman"/>
                <w:sz w:val="24"/>
                <w:szCs w:val="24"/>
              </w:rPr>
              <w:t xml:space="preserve">Worst Case: will assume that children who were not obese at baseline and who were allocated to the intervention group, were obese at 24 months, with BMI </w:t>
            </w:r>
            <w:r>
              <w:rPr>
                <w:rFonts w:ascii="Times New Roman" w:hAnsi="Times New Roman" w:cs="Times New Roman"/>
                <w:sz w:val="24"/>
                <w:szCs w:val="24"/>
              </w:rPr>
              <w:t>SDS</w:t>
            </w:r>
            <w:r w:rsidRPr="00550207">
              <w:rPr>
                <w:rFonts w:ascii="Times New Roman" w:hAnsi="Times New Roman" w:cs="Times New Roman"/>
                <w:sz w:val="24"/>
                <w:szCs w:val="24"/>
              </w:rPr>
              <w:t xml:space="preserve"> imputed from Public Health England thresholds; change in BMI </w:t>
            </w:r>
            <w:r>
              <w:rPr>
                <w:rFonts w:ascii="Times New Roman" w:hAnsi="Times New Roman" w:cs="Times New Roman"/>
                <w:sz w:val="24"/>
                <w:szCs w:val="24"/>
              </w:rPr>
              <w:t>SDS</w:t>
            </w:r>
            <w:r w:rsidRPr="00550207">
              <w:rPr>
                <w:rFonts w:ascii="Times New Roman" w:hAnsi="Times New Roman" w:cs="Times New Roman"/>
                <w:sz w:val="24"/>
                <w:szCs w:val="24"/>
              </w:rPr>
              <w:t xml:space="preserve"> for children allocated to the control group will be imputed from (marginal) mean change in BMI </w:t>
            </w:r>
            <w:r>
              <w:rPr>
                <w:rFonts w:ascii="Times New Roman" w:hAnsi="Times New Roman" w:cs="Times New Roman"/>
                <w:sz w:val="24"/>
                <w:szCs w:val="24"/>
              </w:rPr>
              <w:t>SDS</w:t>
            </w:r>
            <w:r w:rsidRPr="00550207">
              <w:rPr>
                <w:rFonts w:ascii="Times New Roman" w:hAnsi="Times New Roman" w:cs="Times New Roman"/>
                <w:sz w:val="24"/>
                <w:szCs w:val="24"/>
              </w:rPr>
              <w:t xml:space="preserve"> for the control group</w:t>
            </w:r>
          </w:p>
        </w:tc>
      </w:tr>
      <w:tr w:rsidR="00403B07" w:rsidRPr="00550207" w14:paraId="2DE72166" w14:textId="77777777" w:rsidTr="00B01272">
        <w:tc>
          <w:tcPr>
            <w:tcW w:w="3192" w:type="dxa"/>
          </w:tcPr>
          <w:p w14:paraId="002AC393" w14:textId="77777777" w:rsidR="00403B07" w:rsidRPr="00550207" w:rsidRDefault="00403B07" w:rsidP="00B01272">
            <w:pPr>
              <w:rPr>
                <w:rFonts w:ascii="Times New Roman" w:hAnsi="Times New Roman" w:cs="Times New Roman"/>
                <w:b/>
                <w:sz w:val="24"/>
                <w:szCs w:val="24"/>
              </w:rPr>
            </w:pPr>
            <w:r w:rsidRPr="00550207">
              <w:rPr>
                <w:rFonts w:ascii="Times New Roman" w:hAnsi="Times New Roman" w:cs="Times New Roman"/>
                <w:b/>
                <w:sz w:val="24"/>
                <w:szCs w:val="24"/>
              </w:rPr>
              <w:t xml:space="preserve">Secondary analysis of primary outcome – CACE analysis </w:t>
            </w:r>
          </w:p>
        </w:tc>
        <w:tc>
          <w:tcPr>
            <w:tcW w:w="1912" w:type="dxa"/>
          </w:tcPr>
          <w:p w14:paraId="039D7C4E" w14:textId="77777777" w:rsidR="00403B07" w:rsidRPr="00550207" w:rsidRDefault="00403B07" w:rsidP="00B01272">
            <w:pPr>
              <w:rPr>
                <w:rFonts w:ascii="Times New Roman" w:hAnsi="Times New Roman" w:cs="Times New Roman"/>
                <w:b/>
                <w:sz w:val="24"/>
                <w:szCs w:val="24"/>
              </w:rPr>
            </w:pPr>
            <w:r w:rsidRPr="00550207">
              <w:rPr>
                <w:rFonts w:ascii="Times New Roman" w:hAnsi="Times New Roman" w:cs="Times New Roman"/>
                <w:b/>
                <w:sz w:val="24"/>
                <w:szCs w:val="24"/>
              </w:rPr>
              <w:t>7.1.3 (pages 18-19)</w:t>
            </w:r>
          </w:p>
        </w:tc>
        <w:tc>
          <w:tcPr>
            <w:tcW w:w="4820" w:type="dxa"/>
          </w:tcPr>
          <w:p w14:paraId="4BB65BA8" w14:textId="77777777" w:rsidR="00403B07" w:rsidRPr="00550207" w:rsidRDefault="00403B07" w:rsidP="00B01272">
            <w:pPr>
              <w:rPr>
                <w:rFonts w:ascii="Times New Roman" w:hAnsi="Times New Roman" w:cs="Times New Roman"/>
                <w:b/>
                <w:sz w:val="24"/>
                <w:szCs w:val="24"/>
              </w:rPr>
            </w:pPr>
            <w:r w:rsidRPr="00550207">
              <w:rPr>
                <w:rFonts w:ascii="Times New Roman" w:hAnsi="Times New Roman" w:cs="Times New Roman"/>
                <w:b/>
                <w:sz w:val="24"/>
                <w:szCs w:val="24"/>
              </w:rPr>
              <w:t xml:space="preserve">CACE analysis will not be undertaken </w:t>
            </w:r>
          </w:p>
        </w:tc>
      </w:tr>
      <w:tr w:rsidR="00403B07" w:rsidRPr="00550207" w14:paraId="6C1EAC49" w14:textId="77777777" w:rsidTr="00B01272">
        <w:tc>
          <w:tcPr>
            <w:tcW w:w="3192" w:type="dxa"/>
          </w:tcPr>
          <w:p w14:paraId="16F8FFD4" w14:textId="77777777" w:rsidR="00403B07" w:rsidRPr="00550207" w:rsidRDefault="00403B07" w:rsidP="00B01272">
            <w:pPr>
              <w:rPr>
                <w:rFonts w:ascii="Times New Roman" w:hAnsi="Times New Roman" w:cs="Times New Roman"/>
                <w:b/>
                <w:sz w:val="24"/>
                <w:szCs w:val="24"/>
              </w:rPr>
            </w:pPr>
            <w:r w:rsidRPr="00550207">
              <w:rPr>
                <w:rFonts w:ascii="Times New Roman" w:hAnsi="Times New Roman" w:cs="Times New Roman"/>
                <w:b/>
                <w:sz w:val="24"/>
                <w:szCs w:val="24"/>
              </w:rPr>
              <w:t>Mediational analysis</w:t>
            </w:r>
          </w:p>
        </w:tc>
        <w:tc>
          <w:tcPr>
            <w:tcW w:w="1912" w:type="dxa"/>
          </w:tcPr>
          <w:p w14:paraId="697B1D36" w14:textId="77777777" w:rsidR="00403B07" w:rsidRPr="00550207" w:rsidRDefault="00403B07" w:rsidP="00B01272">
            <w:pPr>
              <w:rPr>
                <w:rFonts w:ascii="Times New Roman" w:hAnsi="Times New Roman" w:cs="Times New Roman"/>
                <w:b/>
                <w:sz w:val="24"/>
                <w:szCs w:val="24"/>
              </w:rPr>
            </w:pPr>
            <w:r w:rsidRPr="00550207">
              <w:rPr>
                <w:rFonts w:ascii="Times New Roman" w:hAnsi="Times New Roman" w:cs="Times New Roman"/>
                <w:b/>
                <w:sz w:val="24"/>
                <w:szCs w:val="24"/>
              </w:rPr>
              <w:t>9.1.3 (page 24)</w:t>
            </w:r>
          </w:p>
        </w:tc>
        <w:tc>
          <w:tcPr>
            <w:tcW w:w="4820" w:type="dxa"/>
          </w:tcPr>
          <w:p w14:paraId="331C9F79" w14:textId="77777777" w:rsidR="00403B07" w:rsidRPr="00550207" w:rsidRDefault="00403B07" w:rsidP="00B01272">
            <w:pPr>
              <w:rPr>
                <w:rFonts w:ascii="Times New Roman" w:hAnsi="Times New Roman" w:cs="Times New Roman"/>
                <w:b/>
                <w:sz w:val="24"/>
                <w:szCs w:val="24"/>
              </w:rPr>
            </w:pPr>
            <w:r w:rsidRPr="00550207">
              <w:rPr>
                <w:rFonts w:ascii="Times New Roman" w:hAnsi="Times New Roman" w:cs="Times New Roman"/>
                <w:sz w:val="24"/>
                <w:szCs w:val="24"/>
              </w:rPr>
              <w:t>Both exploratory and confirmatory factor analyses will be carried out on the MLQ. In the A</w:t>
            </w:r>
            <w:r>
              <w:rPr>
                <w:rFonts w:ascii="Times New Roman" w:hAnsi="Times New Roman" w:cs="Times New Roman"/>
                <w:sz w:val="24"/>
                <w:szCs w:val="24"/>
              </w:rPr>
              <w:t xml:space="preserve">nalysis </w:t>
            </w:r>
            <w:r w:rsidRPr="00550207">
              <w:rPr>
                <w:rFonts w:ascii="Times New Roman" w:hAnsi="Times New Roman" w:cs="Times New Roman"/>
                <w:sz w:val="24"/>
                <w:szCs w:val="24"/>
              </w:rPr>
              <w:t>P</w:t>
            </w:r>
            <w:r>
              <w:rPr>
                <w:rFonts w:ascii="Times New Roman" w:hAnsi="Times New Roman" w:cs="Times New Roman"/>
                <w:sz w:val="24"/>
                <w:szCs w:val="24"/>
              </w:rPr>
              <w:t>lan</w:t>
            </w:r>
            <w:r w:rsidRPr="00550207">
              <w:rPr>
                <w:rFonts w:ascii="Times New Roman" w:hAnsi="Times New Roman" w:cs="Times New Roman"/>
                <w:sz w:val="24"/>
                <w:szCs w:val="24"/>
              </w:rPr>
              <w:t xml:space="preserve"> only ‘confirmatory factor analyses’ was specified.</w:t>
            </w:r>
          </w:p>
        </w:tc>
      </w:tr>
    </w:tbl>
    <w:p w14:paraId="6FC469B9" w14:textId="77777777" w:rsidR="00403B07" w:rsidRDefault="00403B07" w:rsidP="00403B07">
      <w:pPr>
        <w:rPr>
          <w:b/>
          <w:sz w:val="24"/>
          <w:szCs w:val="24"/>
        </w:rPr>
      </w:pPr>
    </w:p>
    <w:p w14:paraId="5D18CC20" w14:textId="77777777" w:rsidR="00403B07" w:rsidRDefault="00403B07" w:rsidP="00403B07">
      <w:pPr>
        <w:rPr>
          <w:rFonts w:eastAsiaTheme="majorEastAsia" w:cstheme="majorBidi"/>
          <w:b/>
          <w:sz w:val="28"/>
          <w:szCs w:val="28"/>
        </w:rPr>
      </w:pPr>
    </w:p>
    <w:p w14:paraId="1B5BD373" w14:textId="77777777" w:rsidR="00403B07" w:rsidRDefault="00403B07" w:rsidP="00403B07">
      <w:pPr>
        <w:rPr>
          <w:rFonts w:ascii="Times New Roman" w:hAnsi="Times New Roman" w:cs="Times New Roman"/>
          <w:bCs/>
          <w:sz w:val="24"/>
          <w:szCs w:val="24"/>
        </w:rPr>
      </w:pPr>
    </w:p>
    <w:p w14:paraId="3BE68524" w14:textId="77777777" w:rsidR="00897933" w:rsidRDefault="00897933">
      <w:pPr>
        <w:rPr>
          <w:rFonts w:cs="Arial"/>
          <w:b/>
          <w:i/>
          <w:sz w:val="24"/>
          <w:szCs w:val="24"/>
        </w:rPr>
      </w:pPr>
      <w:r>
        <w:rPr>
          <w:rFonts w:cs="Arial"/>
          <w:b/>
          <w:i/>
          <w:sz w:val="24"/>
          <w:szCs w:val="24"/>
        </w:rPr>
        <w:br w:type="page"/>
      </w:r>
    </w:p>
    <w:p w14:paraId="2CCBA4DE" w14:textId="6E6BE2BE" w:rsidR="00403B07" w:rsidRPr="001C4036" w:rsidRDefault="00403B07" w:rsidP="00403B07">
      <w:pPr>
        <w:rPr>
          <w:rFonts w:cs="Arial"/>
          <w:b/>
          <w:i/>
          <w:sz w:val="24"/>
          <w:szCs w:val="24"/>
        </w:rPr>
      </w:pPr>
      <w:r w:rsidRPr="001C4036">
        <w:rPr>
          <w:rFonts w:cs="Arial"/>
          <w:b/>
          <w:i/>
          <w:sz w:val="24"/>
          <w:szCs w:val="24"/>
        </w:rPr>
        <w:lastRenderedPageBreak/>
        <w:t>Appendix 5 Analysis Plan Amendment document (continued)</w:t>
      </w:r>
    </w:p>
    <w:p w14:paraId="2EBD2B97" w14:textId="77777777" w:rsidR="00403B07" w:rsidRPr="00550207" w:rsidRDefault="00403B07" w:rsidP="00403B07">
      <w:pPr>
        <w:rPr>
          <w:rFonts w:ascii="Times New Roman" w:hAnsi="Times New Roman" w:cs="Times New Roman"/>
          <w:bCs/>
          <w:sz w:val="24"/>
          <w:szCs w:val="24"/>
        </w:rPr>
      </w:pPr>
      <w:r w:rsidRPr="00550207">
        <w:rPr>
          <w:rFonts w:ascii="Times New Roman" w:hAnsi="Times New Roman" w:cs="Times New Roman"/>
          <w:bCs/>
          <w:sz w:val="24"/>
          <w:szCs w:val="24"/>
        </w:rPr>
        <w:t>Section 2: Rationale and Further Details of Amendments</w:t>
      </w:r>
    </w:p>
    <w:p w14:paraId="29222DB8" w14:textId="77777777" w:rsidR="00403B07" w:rsidRPr="00550207" w:rsidRDefault="00403B07" w:rsidP="00403B07">
      <w:pPr>
        <w:rPr>
          <w:rFonts w:ascii="Times New Roman" w:hAnsi="Times New Roman" w:cs="Times New Roman"/>
          <w:b/>
          <w:sz w:val="24"/>
          <w:szCs w:val="24"/>
        </w:rPr>
      </w:pPr>
      <w:r w:rsidRPr="00550207">
        <w:rPr>
          <w:rFonts w:ascii="Times New Roman" w:hAnsi="Times New Roman" w:cs="Times New Roman"/>
          <w:b/>
          <w:i/>
          <w:sz w:val="24"/>
          <w:szCs w:val="24"/>
        </w:rPr>
        <w:t xml:space="preserve"> Secondary analyses of the primary outcome</w:t>
      </w:r>
      <w:bookmarkEnd w:id="668"/>
    </w:p>
    <w:p w14:paraId="1F40C1F0" w14:textId="77777777" w:rsidR="00403B07" w:rsidRPr="00550207" w:rsidRDefault="00403B07" w:rsidP="00403B07">
      <w:pPr>
        <w:rPr>
          <w:rFonts w:ascii="Times New Roman" w:hAnsi="Times New Roman" w:cs="Times New Roman"/>
          <w:sz w:val="24"/>
          <w:szCs w:val="24"/>
          <w:lang w:val="en-US"/>
        </w:rPr>
      </w:pPr>
      <w:r w:rsidRPr="00550207">
        <w:rPr>
          <w:rFonts w:ascii="Times New Roman" w:hAnsi="Times New Roman" w:cs="Times New Roman"/>
          <w:sz w:val="24"/>
          <w:szCs w:val="24"/>
          <w:lang w:val="en-US"/>
        </w:rPr>
        <w:t>(a) Multiple imputation modelling</w:t>
      </w:r>
    </w:p>
    <w:p w14:paraId="125CE2B7" w14:textId="77777777" w:rsidR="00403B07" w:rsidRPr="00550207" w:rsidRDefault="00403B07" w:rsidP="00403B07">
      <w:pPr>
        <w:rPr>
          <w:rFonts w:ascii="Times New Roman" w:hAnsi="Times New Roman" w:cs="Times New Roman"/>
          <w:sz w:val="24"/>
          <w:szCs w:val="24"/>
        </w:rPr>
      </w:pPr>
      <w:r w:rsidRPr="00550207">
        <w:rPr>
          <w:rFonts w:ascii="Times New Roman" w:hAnsi="Times New Roman" w:cs="Times New Roman"/>
          <w:sz w:val="24"/>
          <w:szCs w:val="24"/>
        </w:rPr>
        <w:t xml:space="preserve">It was stated in analysis plan V5 that multiple imputation would be used to impute any missing BMI scores at 24 months (primary outcome) based on the assumption of data being missing at random, see section 6.2.1. Given the low proportion of missing BMI data at 24 months (5.6% (74/1324) of recruited children; 5.2% (68/1312) of children with baseline BMI </w:t>
      </w:r>
      <w:r>
        <w:rPr>
          <w:rFonts w:ascii="Times New Roman" w:hAnsi="Times New Roman" w:cs="Times New Roman"/>
          <w:sz w:val="24"/>
          <w:szCs w:val="24"/>
        </w:rPr>
        <w:t>SDS</w:t>
      </w:r>
      <w:r w:rsidRPr="00550207">
        <w:rPr>
          <w:rFonts w:ascii="Times New Roman" w:hAnsi="Times New Roman" w:cs="Times New Roman"/>
          <w:sz w:val="24"/>
          <w:szCs w:val="24"/>
        </w:rPr>
        <w:t>), compounded by the low amount of data deemed missing at random, the appropriateness of this planned sensitivity analysis was discussed at the HeLP Trial Steering Committee held on 20</w:t>
      </w:r>
      <w:r w:rsidRPr="00550207">
        <w:rPr>
          <w:rFonts w:ascii="Times New Roman" w:hAnsi="Times New Roman" w:cs="Times New Roman"/>
          <w:sz w:val="24"/>
          <w:szCs w:val="24"/>
          <w:vertAlign w:val="superscript"/>
        </w:rPr>
        <w:t>th</w:t>
      </w:r>
      <w:r w:rsidRPr="00550207">
        <w:rPr>
          <w:rFonts w:ascii="Times New Roman" w:hAnsi="Times New Roman" w:cs="Times New Roman"/>
          <w:sz w:val="24"/>
          <w:szCs w:val="24"/>
        </w:rPr>
        <w:t xml:space="preserve"> July 2016. Following discussions, it was agreed that multiple imputation modelling was not required, however, an alternative sensitivity analyses approach to examine the effect of missing primary outcome data, was agreed, namely a “Best Case / Worst Case” scenario analyses. The first set of these analyses are based on hypothetically driven assumptions. Given the hypothetical preventative nature of the HeLP intervention, the </w:t>
      </w:r>
      <w:r w:rsidRPr="00550207">
        <w:rPr>
          <w:rFonts w:ascii="Times New Roman" w:hAnsi="Times New Roman" w:cs="Times New Roman"/>
          <w:i/>
          <w:iCs/>
          <w:sz w:val="24"/>
          <w:szCs w:val="24"/>
        </w:rPr>
        <w:t>best case scenario</w:t>
      </w:r>
      <w:r w:rsidRPr="00550207">
        <w:rPr>
          <w:rFonts w:ascii="Times New Roman" w:hAnsi="Times New Roman" w:cs="Times New Roman"/>
          <w:sz w:val="24"/>
          <w:szCs w:val="24"/>
        </w:rPr>
        <w:t xml:space="preserve"> will: </w:t>
      </w:r>
    </w:p>
    <w:p w14:paraId="107247BF" w14:textId="77777777" w:rsidR="00403B07" w:rsidRPr="00550207" w:rsidRDefault="00403B07" w:rsidP="00403B07">
      <w:pPr>
        <w:rPr>
          <w:rFonts w:ascii="Times New Roman" w:hAnsi="Times New Roman" w:cs="Times New Roman"/>
          <w:sz w:val="24"/>
          <w:szCs w:val="24"/>
        </w:rPr>
      </w:pPr>
      <w:r w:rsidRPr="00550207">
        <w:rPr>
          <w:rFonts w:ascii="Times New Roman" w:hAnsi="Times New Roman" w:cs="Times New Roman"/>
          <w:sz w:val="24"/>
          <w:szCs w:val="24"/>
        </w:rPr>
        <w:t xml:space="preserve">assume no change between baseline and 24 months in BMI </w:t>
      </w:r>
      <w:r>
        <w:rPr>
          <w:rFonts w:ascii="Times New Roman" w:hAnsi="Times New Roman" w:cs="Times New Roman"/>
          <w:sz w:val="24"/>
          <w:szCs w:val="24"/>
        </w:rPr>
        <w:t>SDS</w:t>
      </w:r>
      <w:r w:rsidRPr="00550207">
        <w:rPr>
          <w:rFonts w:ascii="Times New Roman" w:hAnsi="Times New Roman" w:cs="Times New Roman"/>
          <w:sz w:val="24"/>
          <w:szCs w:val="24"/>
        </w:rPr>
        <w:t xml:space="preserve"> for children allocated to the intervention group i.e. the baseline BMI </w:t>
      </w:r>
      <w:r>
        <w:rPr>
          <w:rFonts w:ascii="Times New Roman" w:hAnsi="Times New Roman" w:cs="Times New Roman"/>
          <w:sz w:val="24"/>
          <w:szCs w:val="24"/>
        </w:rPr>
        <w:t>SDS</w:t>
      </w:r>
      <w:r w:rsidRPr="00550207">
        <w:rPr>
          <w:rFonts w:ascii="Times New Roman" w:hAnsi="Times New Roman" w:cs="Times New Roman"/>
          <w:sz w:val="24"/>
          <w:szCs w:val="24"/>
        </w:rPr>
        <w:t xml:space="preserve"> value will be carried forward to replace the missing 24 month BMI </w:t>
      </w:r>
      <w:r>
        <w:rPr>
          <w:rFonts w:ascii="Times New Roman" w:hAnsi="Times New Roman" w:cs="Times New Roman"/>
          <w:sz w:val="24"/>
          <w:szCs w:val="24"/>
        </w:rPr>
        <w:t>SDS</w:t>
      </w:r>
      <w:r w:rsidRPr="00550207">
        <w:rPr>
          <w:rFonts w:ascii="Times New Roman" w:hAnsi="Times New Roman" w:cs="Times New Roman"/>
          <w:sz w:val="24"/>
          <w:szCs w:val="24"/>
        </w:rPr>
        <w:t xml:space="preserve"> value </w:t>
      </w:r>
    </w:p>
    <w:p w14:paraId="0B3725E2" w14:textId="77777777" w:rsidR="00403B07" w:rsidRPr="00550207" w:rsidRDefault="00403B07" w:rsidP="00403B07">
      <w:pPr>
        <w:rPr>
          <w:rFonts w:ascii="Times New Roman" w:hAnsi="Times New Roman" w:cs="Times New Roman"/>
          <w:sz w:val="24"/>
          <w:szCs w:val="24"/>
        </w:rPr>
      </w:pPr>
      <w:r w:rsidRPr="00550207">
        <w:rPr>
          <w:rFonts w:ascii="Times New Roman" w:hAnsi="Times New Roman" w:cs="Times New Roman"/>
          <w:sz w:val="24"/>
          <w:szCs w:val="24"/>
        </w:rPr>
        <w:t xml:space="preserve">impute missing 24 month BMI </w:t>
      </w:r>
      <w:r>
        <w:rPr>
          <w:rFonts w:ascii="Times New Roman" w:hAnsi="Times New Roman" w:cs="Times New Roman"/>
          <w:sz w:val="24"/>
          <w:szCs w:val="24"/>
        </w:rPr>
        <w:t>SDS</w:t>
      </w:r>
      <w:r w:rsidRPr="00550207">
        <w:rPr>
          <w:rFonts w:ascii="Times New Roman" w:hAnsi="Times New Roman" w:cs="Times New Roman"/>
          <w:sz w:val="24"/>
          <w:szCs w:val="24"/>
        </w:rPr>
        <w:t xml:space="preserve"> values for children allocated to the control group with their corresponding baseline BMI </w:t>
      </w:r>
      <w:r>
        <w:rPr>
          <w:rFonts w:ascii="Times New Roman" w:hAnsi="Times New Roman" w:cs="Times New Roman"/>
          <w:sz w:val="24"/>
          <w:szCs w:val="24"/>
        </w:rPr>
        <w:t>SDS</w:t>
      </w:r>
      <w:r w:rsidRPr="00550207">
        <w:rPr>
          <w:rFonts w:ascii="Times New Roman" w:hAnsi="Times New Roman" w:cs="Times New Roman"/>
          <w:sz w:val="24"/>
          <w:szCs w:val="24"/>
        </w:rPr>
        <w:t xml:space="preserve"> value plus the (marginal) mean change between baseline and 24 months for the children allocated to the control group with complete baseline and 24 month BMI </w:t>
      </w:r>
      <w:r>
        <w:rPr>
          <w:rFonts w:ascii="Times New Roman" w:hAnsi="Times New Roman" w:cs="Times New Roman"/>
          <w:sz w:val="24"/>
          <w:szCs w:val="24"/>
        </w:rPr>
        <w:t>SDS</w:t>
      </w:r>
      <w:r w:rsidRPr="00550207">
        <w:rPr>
          <w:rFonts w:ascii="Times New Roman" w:hAnsi="Times New Roman" w:cs="Times New Roman"/>
          <w:sz w:val="24"/>
          <w:szCs w:val="24"/>
        </w:rPr>
        <w:t xml:space="preserve"> data. </w:t>
      </w:r>
    </w:p>
    <w:p w14:paraId="05786AB3" w14:textId="77777777" w:rsidR="00403B07" w:rsidRPr="00550207" w:rsidRDefault="00403B07" w:rsidP="00403B07">
      <w:pPr>
        <w:rPr>
          <w:rFonts w:ascii="Times New Roman" w:hAnsi="Times New Roman" w:cs="Times New Roman"/>
          <w:sz w:val="24"/>
          <w:szCs w:val="24"/>
        </w:rPr>
      </w:pPr>
      <w:r w:rsidRPr="00550207">
        <w:rPr>
          <w:rFonts w:ascii="Times New Roman" w:hAnsi="Times New Roman" w:cs="Times New Roman"/>
          <w:sz w:val="24"/>
          <w:szCs w:val="24"/>
        </w:rPr>
        <w:t xml:space="preserve">The </w:t>
      </w:r>
      <w:r w:rsidRPr="00550207">
        <w:rPr>
          <w:rFonts w:ascii="Times New Roman" w:hAnsi="Times New Roman" w:cs="Times New Roman"/>
          <w:i/>
          <w:iCs/>
          <w:sz w:val="24"/>
          <w:szCs w:val="24"/>
        </w:rPr>
        <w:t>worst case scenario</w:t>
      </w:r>
      <w:r w:rsidRPr="00550207">
        <w:rPr>
          <w:rFonts w:ascii="Times New Roman" w:hAnsi="Times New Roman" w:cs="Times New Roman"/>
          <w:sz w:val="24"/>
          <w:szCs w:val="24"/>
        </w:rPr>
        <w:t xml:space="preserve"> will:</w:t>
      </w:r>
    </w:p>
    <w:p w14:paraId="77A1FE9C" w14:textId="77777777" w:rsidR="00403B07" w:rsidRDefault="00403B07" w:rsidP="00403B07">
      <w:pPr>
        <w:rPr>
          <w:rFonts w:ascii="Times New Roman" w:hAnsi="Times New Roman" w:cs="Times New Roman"/>
          <w:sz w:val="24"/>
          <w:szCs w:val="24"/>
        </w:rPr>
      </w:pPr>
      <w:r w:rsidRPr="00550207">
        <w:rPr>
          <w:rFonts w:ascii="Times New Roman" w:hAnsi="Times New Roman" w:cs="Times New Roman"/>
          <w:sz w:val="24"/>
          <w:szCs w:val="24"/>
        </w:rPr>
        <w:t xml:space="preserve">assume that children allocated to the intervention group who were not obese at baseline were obese at the 24 month follow-up: the 24 month BMI </w:t>
      </w:r>
      <w:r>
        <w:rPr>
          <w:rFonts w:ascii="Times New Roman" w:hAnsi="Times New Roman" w:cs="Times New Roman"/>
          <w:sz w:val="24"/>
          <w:szCs w:val="24"/>
        </w:rPr>
        <w:t>SDS</w:t>
      </w:r>
      <w:r w:rsidRPr="00550207">
        <w:rPr>
          <w:rFonts w:ascii="Times New Roman" w:hAnsi="Times New Roman" w:cs="Times New Roman"/>
          <w:sz w:val="24"/>
          <w:szCs w:val="24"/>
        </w:rPr>
        <w:t xml:space="preserve"> value will be set at the Public Health England threshold for obesity (i.e. the 95</w:t>
      </w:r>
      <w:r w:rsidRPr="00550207">
        <w:rPr>
          <w:rFonts w:ascii="Times New Roman" w:hAnsi="Times New Roman" w:cs="Times New Roman"/>
          <w:sz w:val="24"/>
          <w:szCs w:val="24"/>
          <w:vertAlign w:val="superscript"/>
        </w:rPr>
        <w:t>th</w:t>
      </w:r>
      <w:r w:rsidRPr="00550207">
        <w:rPr>
          <w:rFonts w:ascii="Times New Roman" w:hAnsi="Times New Roman" w:cs="Times New Roman"/>
          <w:sz w:val="24"/>
          <w:szCs w:val="24"/>
        </w:rPr>
        <w:t xml:space="preserve"> percentile; this is 1.645). For children allocated to the intervention group who were obese at baseline, the baseline BMI </w:t>
      </w:r>
      <w:r>
        <w:rPr>
          <w:rFonts w:ascii="Times New Roman" w:hAnsi="Times New Roman" w:cs="Times New Roman"/>
          <w:sz w:val="24"/>
          <w:szCs w:val="24"/>
        </w:rPr>
        <w:t>SDS</w:t>
      </w:r>
      <w:r w:rsidRPr="00550207">
        <w:rPr>
          <w:rFonts w:ascii="Times New Roman" w:hAnsi="Times New Roman" w:cs="Times New Roman"/>
          <w:sz w:val="24"/>
          <w:szCs w:val="24"/>
        </w:rPr>
        <w:t xml:space="preserve"> value will be carried forward to replace the missing BMI </w:t>
      </w:r>
      <w:r>
        <w:rPr>
          <w:rFonts w:ascii="Times New Roman" w:hAnsi="Times New Roman" w:cs="Times New Roman"/>
          <w:sz w:val="24"/>
          <w:szCs w:val="24"/>
        </w:rPr>
        <w:t>SDS</w:t>
      </w:r>
      <w:r w:rsidRPr="00550207">
        <w:rPr>
          <w:rFonts w:ascii="Times New Roman" w:hAnsi="Times New Roman" w:cs="Times New Roman"/>
          <w:sz w:val="24"/>
          <w:szCs w:val="24"/>
        </w:rPr>
        <w:t xml:space="preserve"> value.</w:t>
      </w:r>
    </w:p>
    <w:p w14:paraId="7741AEC6" w14:textId="77777777" w:rsidR="00897933" w:rsidRPr="00577887" w:rsidRDefault="00897933" w:rsidP="00897933">
      <w:pPr>
        <w:rPr>
          <w:rFonts w:ascii="Times New Roman" w:hAnsi="Times New Roman" w:cs="Times New Roman"/>
          <w:sz w:val="24"/>
          <w:szCs w:val="24"/>
        </w:rPr>
      </w:pPr>
      <w:r w:rsidRPr="00577887">
        <w:rPr>
          <w:rFonts w:ascii="Times New Roman" w:hAnsi="Times New Roman" w:cs="Times New Roman"/>
          <w:sz w:val="24"/>
          <w:szCs w:val="24"/>
        </w:rPr>
        <w:t xml:space="preserve">impute missing 24 month BMI SDS values for children allocated to the control group with their corresponding baseline BMI SDS value plus the (marginal) mean change between baseline and 24 months for the children allocated to the control group with complete baseline and 24 month BMI SDS data. </w:t>
      </w:r>
    </w:p>
    <w:p w14:paraId="2DDAE9C7" w14:textId="77777777" w:rsidR="00897933" w:rsidRPr="00550207" w:rsidRDefault="00897933" w:rsidP="00897933">
      <w:pPr>
        <w:rPr>
          <w:rFonts w:ascii="Times New Roman" w:hAnsi="Times New Roman" w:cs="Times New Roman"/>
          <w:sz w:val="24"/>
          <w:szCs w:val="24"/>
        </w:rPr>
      </w:pPr>
      <w:r w:rsidRPr="00550207">
        <w:rPr>
          <w:rFonts w:ascii="Times New Roman" w:hAnsi="Times New Roman" w:cs="Times New Roman"/>
          <w:sz w:val="24"/>
          <w:szCs w:val="24"/>
        </w:rPr>
        <w:t>After imputing the missing 24 month BMI sds scores for both scenarios, the primary analyses model will then be fitted to the full intention-to-treat data set, to ascertain if the missing primary outcome data significantly influenced the results of the primary effectiveness analysis.</w:t>
      </w:r>
    </w:p>
    <w:p w14:paraId="4CE48EA8" w14:textId="77777777" w:rsidR="00897933" w:rsidRDefault="00897933" w:rsidP="00403B07">
      <w:pPr>
        <w:rPr>
          <w:rFonts w:ascii="Times New Roman" w:hAnsi="Times New Roman" w:cs="Times New Roman"/>
          <w:sz w:val="24"/>
          <w:szCs w:val="24"/>
        </w:rPr>
      </w:pPr>
    </w:p>
    <w:p w14:paraId="172313D7" w14:textId="77777777" w:rsidR="00897933" w:rsidRDefault="00897933">
      <w:pPr>
        <w:rPr>
          <w:rFonts w:cs="Arial"/>
          <w:b/>
          <w:i/>
          <w:sz w:val="24"/>
          <w:szCs w:val="24"/>
        </w:rPr>
      </w:pPr>
      <w:r>
        <w:rPr>
          <w:rFonts w:cs="Arial"/>
          <w:b/>
          <w:i/>
          <w:sz w:val="24"/>
          <w:szCs w:val="24"/>
        </w:rPr>
        <w:br w:type="page"/>
      </w:r>
    </w:p>
    <w:p w14:paraId="1CB19F9C" w14:textId="158E8222" w:rsidR="00403B07" w:rsidRPr="001C4036" w:rsidRDefault="00403B07" w:rsidP="00403B07">
      <w:pPr>
        <w:rPr>
          <w:rFonts w:cs="Arial"/>
          <w:b/>
          <w:i/>
          <w:sz w:val="24"/>
          <w:szCs w:val="24"/>
        </w:rPr>
      </w:pPr>
      <w:r w:rsidRPr="001C4036">
        <w:rPr>
          <w:rFonts w:cs="Arial"/>
          <w:b/>
          <w:i/>
          <w:sz w:val="24"/>
          <w:szCs w:val="24"/>
        </w:rPr>
        <w:lastRenderedPageBreak/>
        <w:t>Appendix 5 Analysis Plan Amendment document (continued)</w:t>
      </w:r>
    </w:p>
    <w:p w14:paraId="4F224731" w14:textId="77777777" w:rsidR="00403B07" w:rsidRPr="00550207" w:rsidRDefault="00403B07" w:rsidP="00403B07">
      <w:pPr>
        <w:rPr>
          <w:rFonts w:ascii="Times New Roman" w:hAnsi="Times New Roman" w:cs="Times New Roman"/>
          <w:sz w:val="24"/>
          <w:szCs w:val="24"/>
        </w:rPr>
      </w:pPr>
      <w:r w:rsidRPr="00550207">
        <w:rPr>
          <w:rFonts w:ascii="Times New Roman" w:hAnsi="Times New Roman" w:cs="Times New Roman"/>
          <w:sz w:val="24"/>
          <w:szCs w:val="24"/>
        </w:rPr>
        <w:t>(b) Complier Average Causal Effect of Treatment (CACE) analysis</w:t>
      </w:r>
    </w:p>
    <w:p w14:paraId="71120AF3" w14:textId="77777777" w:rsidR="00403B07" w:rsidRPr="00550207" w:rsidRDefault="00403B07" w:rsidP="00403B07">
      <w:pPr>
        <w:rPr>
          <w:rFonts w:ascii="Times New Roman" w:hAnsi="Times New Roman" w:cs="Times New Roman"/>
          <w:sz w:val="24"/>
          <w:szCs w:val="24"/>
        </w:rPr>
      </w:pPr>
      <w:r w:rsidRPr="00550207">
        <w:rPr>
          <w:rFonts w:ascii="Times New Roman" w:hAnsi="Times New Roman" w:cs="Times New Roman"/>
          <w:sz w:val="24"/>
          <w:szCs w:val="24"/>
        </w:rPr>
        <w:t>In analysis plan V5, it was stated that a CACE analysis would be undertaken to “estimate the complier average causal effect of treatment (CACE), as a potentially unbiased estimate of receiving HeLP.” Non-compliers were defined as children who did not receive at least 4 sessions of drama and the 1-1 goal setting session. Given the very proportion of children categorised as non-compliers (there were only 24 out of 675 children allocated to the intervention group who were categorised as non-compliers (3.6%) and four of these children did not provide primary outcome data), the appropriateness of this planned sensitivity analysis was discussed at the HeLP Trial Steering Committee held on 20</w:t>
      </w:r>
      <w:r w:rsidRPr="00550207">
        <w:rPr>
          <w:rFonts w:ascii="Times New Roman" w:hAnsi="Times New Roman" w:cs="Times New Roman"/>
          <w:sz w:val="24"/>
          <w:szCs w:val="24"/>
          <w:vertAlign w:val="superscript"/>
        </w:rPr>
        <w:t>th</w:t>
      </w:r>
      <w:r w:rsidRPr="00550207">
        <w:rPr>
          <w:rFonts w:ascii="Times New Roman" w:hAnsi="Times New Roman" w:cs="Times New Roman"/>
          <w:sz w:val="24"/>
          <w:szCs w:val="24"/>
        </w:rPr>
        <w:t xml:space="preserve"> July 2016. Following discussions, it was agreed that a CACE analysis will not be undertaken.</w:t>
      </w:r>
    </w:p>
    <w:p w14:paraId="5C3AF88C" w14:textId="77777777" w:rsidR="00403B07" w:rsidRPr="00550207" w:rsidRDefault="00403B07" w:rsidP="00403B07">
      <w:pPr>
        <w:rPr>
          <w:rFonts w:ascii="Times New Roman" w:hAnsi="Times New Roman" w:cs="Times New Roman"/>
          <w:sz w:val="24"/>
          <w:szCs w:val="24"/>
        </w:rPr>
      </w:pPr>
    </w:p>
    <w:p w14:paraId="5D5DFED4" w14:textId="77777777" w:rsidR="00403B07" w:rsidRPr="00550207" w:rsidRDefault="00403B07" w:rsidP="00403B07">
      <w:pPr>
        <w:rPr>
          <w:rFonts w:ascii="Times New Roman" w:hAnsi="Times New Roman" w:cs="Times New Roman"/>
          <w:b/>
          <w:noProof/>
          <w:sz w:val="24"/>
          <w:szCs w:val="24"/>
        </w:rPr>
      </w:pPr>
      <w:bookmarkStart w:id="669" w:name="_Toc431484181"/>
      <w:r w:rsidRPr="00550207">
        <w:rPr>
          <w:rFonts w:ascii="Times New Roman" w:hAnsi="Times New Roman" w:cs="Times New Roman"/>
          <w:b/>
          <w:i/>
          <w:noProof/>
          <w:sz w:val="24"/>
          <w:szCs w:val="24"/>
        </w:rPr>
        <w:t>9.1.3 Mediational analysis</w:t>
      </w:r>
      <w:bookmarkEnd w:id="669"/>
    </w:p>
    <w:p w14:paraId="7A060166" w14:textId="77777777" w:rsidR="00403B07" w:rsidRDefault="00403B07" w:rsidP="00403B07">
      <w:pPr>
        <w:rPr>
          <w:i/>
        </w:rPr>
      </w:pPr>
      <w:r w:rsidRPr="00550207">
        <w:rPr>
          <w:rFonts w:ascii="Times New Roman" w:hAnsi="Times New Roman" w:cs="Times New Roman"/>
          <w:sz w:val="24"/>
          <w:szCs w:val="24"/>
        </w:rPr>
        <w:t>In analysis plan V5, it was stated that a “</w:t>
      </w:r>
      <w:r w:rsidRPr="00550207">
        <w:rPr>
          <w:rFonts w:ascii="Times New Roman" w:hAnsi="Times New Roman" w:cs="Times New Roman"/>
          <w:b/>
          <w:bCs/>
          <w:sz w:val="24"/>
          <w:szCs w:val="24"/>
        </w:rPr>
        <w:t xml:space="preserve">confirmatory </w:t>
      </w:r>
      <w:r w:rsidRPr="00550207">
        <w:rPr>
          <w:rFonts w:ascii="Times New Roman" w:hAnsi="Times New Roman" w:cs="Times New Roman"/>
          <w:sz w:val="24"/>
          <w:szCs w:val="24"/>
        </w:rPr>
        <w:t>factor analysis” would initially be undertaken on the MLQ. This was an error in the analysis plan, which should have read “factor analysis”. We designed the MLQ at two theoretical levels; the first overarching theoretical framework was the IMB model of behaviour change (Information – Motivation – Behavioural Skills) and the second was a more detailed level comprising between six and 14 potential constructs, three of which were single items. We therefore did not have a firm idea of the exact number of constructs in the new measure and there are no published findings from other factor analyses to draw upon. Hence it is appropriate to use exploratory factor analysis in the first half of the data set and follow this with a confirmatory factor analysis in the second half.</w:t>
      </w:r>
    </w:p>
    <w:p w14:paraId="5370A5F5" w14:textId="77777777" w:rsidR="00403B07" w:rsidRDefault="00403B07" w:rsidP="00403B07">
      <w:pPr>
        <w:rPr>
          <w:i/>
        </w:rPr>
      </w:pPr>
      <w:r>
        <w:rPr>
          <w:i/>
        </w:rPr>
        <w:br w:type="page"/>
      </w:r>
    </w:p>
    <w:p w14:paraId="239B843E" w14:textId="77777777" w:rsidR="00403B07" w:rsidRDefault="00403B07" w:rsidP="00403B07">
      <w:pPr>
        <w:outlineLvl w:val="0"/>
        <w:rPr>
          <w:rFonts w:cs="Arial"/>
          <w:b/>
          <w:sz w:val="24"/>
          <w:szCs w:val="24"/>
        </w:rPr>
      </w:pPr>
      <w:bookmarkStart w:id="670" w:name="_Toc475974413"/>
      <w:r w:rsidRPr="00C46269">
        <w:rPr>
          <w:rFonts w:cs="Arial"/>
          <w:b/>
          <w:sz w:val="24"/>
          <w:szCs w:val="24"/>
        </w:rPr>
        <w:lastRenderedPageBreak/>
        <w:t xml:space="preserve">Appendix </w:t>
      </w:r>
      <w:r>
        <w:rPr>
          <w:rFonts w:cs="Arial"/>
          <w:b/>
          <w:sz w:val="24"/>
          <w:szCs w:val="24"/>
        </w:rPr>
        <w:t>6</w:t>
      </w:r>
      <w:r w:rsidRPr="00C46269">
        <w:rPr>
          <w:rFonts w:cs="Arial"/>
          <w:b/>
          <w:sz w:val="24"/>
          <w:szCs w:val="24"/>
        </w:rPr>
        <w:t xml:space="preserve"> </w:t>
      </w:r>
      <w:r>
        <w:rPr>
          <w:rFonts w:cs="Arial"/>
          <w:b/>
          <w:sz w:val="24"/>
          <w:szCs w:val="24"/>
        </w:rPr>
        <w:t>Group X Time repeated measures model</w:t>
      </w:r>
      <w:bookmarkEnd w:id="670"/>
      <w:r>
        <w:rPr>
          <w:rFonts w:cs="Arial"/>
          <w:b/>
          <w:sz w:val="24"/>
          <w:szCs w:val="24"/>
        </w:rPr>
        <w:t xml:space="preserve"> </w:t>
      </w:r>
    </w:p>
    <w:p w14:paraId="202D0901" w14:textId="77777777" w:rsidR="00403B07" w:rsidRDefault="00403B07" w:rsidP="00403B07">
      <w:pPr>
        <w:rPr>
          <w:i/>
        </w:rPr>
      </w:pPr>
    </w:p>
    <w:p w14:paraId="7ABF33F7" w14:textId="77777777" w:rsidR="00403B07" w:rsidRPr="00150D7A" w:rsidRDefault="00403B07" w:rsidP="00403B07">
      <w:pPr>
        <w:rPr>
          <w:b/>
          <w:sz w:val="24"/>
          <w:szCs w:val="24"/>
        </w:rPr>
      </w:pPr>
      <w:r w:rsidRPr="00150D7A">
        <w:rPr>
          <w:b/>
          <w:sz w:val="24"/>
          <w:szCs w:val="24"/>
        </w:rPr>
        <w:t>A repeated measures model used to assess whether there was evidence that any effect of the intervention differed across time</w:t>
      </w:r>
    </w:p>
    <w:p w14:paraId="14398B4F" w14:textId="77777777" w:rsidR="00403B07" w:rsidRPr="00150D7A" w:rsidRDefault="00403B07" w:rsidP="00403B07">
      <w:pPr>
        <w:rPr>
          <w:b/>
          <w:sz w:val="24"/>
          <w:szCs w:val="24"/>
        </w:rPr>
      </w:pPr>
    </w:p>
    <w:p w14:paraId="7EA223D9" w14:textId="77777777" w:rsidR="00403B07" w:rsidRPr="004E0D59" w:rsidRDefault="00403B07" w:rsidP="00403B07">
      <w:r w:rsidRPr="004E0D59">
        <w:t xml:space="preserve">BMI standard-deviation scores for each child, </w:t>
      </w:r>
      <w:r w:rsidRPr="004E0D59">
        <w:rPr>
          <w:i/>
        </w:rPr>
        <w:t>i</w:t>
      </w:r>
      <w:r w:rsidRPr="004E0D59">
        <w:t>, nested</w:t>
      </w:r>
      <w:r w:rsidRPr="004E0D59">
        <w:rPr>
          <w:i/>
        </w:rPr>
        <w:t xml:space="preserve"> </w:t>
      </w:r>
      <w:r w:rsidRPr="004E0D59">
        <w:t>within each school,</w:t>
      </w:r>
      <w:r w:rsidRPr="004E0D59">
        <w:rPr>
          <w:i/>
        </w:rPr>
        <w:t xml:space="preserve"> s</w:t>
      </w:r>
      <w:r w:rsidRPr="004E0D59">
        <w:t xml:space="preserve">, at visit, </w:t>
      </w:r>
      <w:r w:rsidRPr="004E0D59">
        <w:rPr>
          <w:i/>
        </w:rPr>
        <w:t>t</w:t>
      </w:r>
      <w:r w:rsidRPr="004E0D59">
        <w:t xml:space="preserve">, was regressed on school-level factors, </w:t>
      </w:r>
      <w:r>
        <w:rPr>
          <w:i/>
        </w:rPr>
        <w:t xml:space="preserve">Time point </w:t>
      </w:r>
      <w:r w:rsidRPr="004E0D59">
        <w:t xml:space="preserve">and </w:t>
      </w:r>
      <w:r w:rsidRPr="004E0D59">
        <w:rPr>
          <w:i/>
        </w:rPr>
        <w:t>Group</w:t>
      </w:r>
      <w:r w:rsidRPr="004E0D59">
        <w:t xml:space="preserve">, and their interaction, adjusting for </w:t>
      </w:r>
      <w:r w:rsidRPr="004E0D59">
        <w:rPr>
          <w:i/>
        </w:rPr>
        <w:t xml:space="preserve">k </w:t>
      </w:r>
      <w:r w:rsidRPr="004E0D59">
        <w:t xml:space="preserve">school-level factors </w:t>
      </w:r>
      <w:r w:rsidRPr="004E0D59">
        <w:rPr>
          <w:i/>
        </w:rPr>
        <w:t>X</w:t>
      </w:r>
      <w:r w:rsidRPr="004E0D59">
        <w:t>, modelling each school, and each child nested within school, as random intercepts, γ</w:t>
      </w:r>
      <w:r w:rsidRPr="004E0D59">
        <w:rPr>
          <w:vertAlign w:val="subscript"/>
        </w:rPr>
        <w:t>s</w:t>
      </w:r>
      <w:r w:rsidRPr="004E0D59">
        <w:t xml:space="preserve"> and γ</w:t>
      </w:r>
      <w:r w:rsidRPr="004E0D59">
        <w:rPr>
          <w:vertAlign w:val="subscript"/>
        </w:rPr>
        <w:t>i(s)</w:t>
      </w:r>
      <w:r w:rsidRPr="004E0D59">
        <w:t>, respectively</w:t>
      </w:r>
    </w:p>
    <w:p w14:paraId="2D4626FB" w14:textId="77777777" w:rsidR="00403B07" w:rsidRPr="004E0D59" w:rsidRDefault="00403B07" w:rsidP="00403B07"/>
    <w:p w14:paraId="77523B6E" w14:textId="77777777" w:rsidR="00403B07" w:rsidRPr="004E0D59" w:rsidRDefault="00DA1C42" w:rsidP="00403B07">
      <m:oMathPara>
        <m:oMath>
          <m:sSub>
            <m:sSubPr>
              <m:ctrlPr>
                <w:rPr>
                  <w:rFonts w:ascii="Cambria Math" w:hAnsi="Cambria Math"/>
                  <w:i/>
                </w:rPr>
              </m:ctrlPr>
            </m:sSubPr>
            <m:e>
              <m:r>
                <w:rPr>
                  <w:rFonts w:ascii="Cambria Math" w:hAnsi="Cambria Math"/>
                </w:rPr>
                <m:t>BMIsd</m:t>
              </m:r>
            </m:e>
            <m:sub>
              <m:r>
                <w:rPr>
                  <w:rFonts w:ascii="Cambria Math" w:hAnsi="Cambria Math"/>
                </w:rPr>
                <m:t>i(s),t</m:t>
              </m:r>
            </m:sub>
          </m:sSub>
          <m:r>
            <w:rPr>
              <w:rFonts w:ascii="Cambria Math" w:hAnsi="Cambria Math"/>
            </w:rPr>
            <m:t xml:space="preserve"> ~ </m:t>
          </m:r>
          <m:sSub>
            <m:sSubPr>
              <m:ctrlPr>
                <w:rPr>
                  <w:rFonts w:ascii="Cambria Math" w:hAnsi="Cambria Math"/>
                  <w:i/>
                </w:rPr>
              </m:ctrlPr>
            </m:sSubPr>
            <m:e>
              <m:r>
                <w:rPr>
                  <w:rFonts w:ascii="Cambria Math" w:hAnsi="Cambria Math"/>
                </w:rPr>
                <m:t>β</m:t>
              </m:r>
            </m:e>
            <m:sub>
              <m:r>
                <w:rPr>
                  <w:rFonts w:ascii="Cambria Math" w:hAnsi="Cambria Math"/>
                </w:rPr>
                <m:t>0,s</m:t>
              </m:r>
            </m:sub>
          </m:sSub>
          <m:r>
            <w:rPr>
              <w:rFonts w:ascii="Cambria Math" w:hAnsi="Cambria Math"/>
            </w:rPr>
            <m:t xml:space="preserve">+ </m:t>
          </m:r>
          <m:nary>
            <m:naryPr>
              <m:chr m:val="∑"/>
              <m:limLoc m:val="subSup"/>
              <m:supHide m:val="1"/>
              <m:ctrlPr>
                <w:rPr>
                  <w:rFonts w:ascii="Cambria Math" w:hAnsi="Cambria Math"/>
                  <w:i/>
                </w:rPr>
              </m:ctrlPr>
            </m:naryPr>
            <m:sub>
              <m:r>
                <w:rPr>
                  <w:rFonts w:ascii="Cambria Math" w:hAnsi="Cambria Math"/>
                </w:rPr>
                <m:t>k,s</m:t>
              </m:r>
            </m:sub>
            <m:sup/>
            <m:e>
              <m:sSub>
                <m:sSubPr>
                  <m:ctrlPr>
                    <w:rPr>
                      <w:rFonts w:ascii="Cambria Math" w:hAnsi="Cambria Math"/>
                      <w:i/>
                    </w:rPr>
                  </m:ctrlPr>
                </m:sSubPr>
                <m:e>
                  <m:r>
                    <w:rPr>
                      <w:rFonts w:ascii="Cambria Math" w:hAnsi="Cambria Math"/>
                    </w:rPr>
                    <m:t>β</m:t>
                  </m:r>
                </m:e>
                <m:sub>
                  <m:r>
                    <w:rPr>
                      <w:rFonts w:ascii="Cambria Math" w:hAnsi="Cambria Math"/>
                    </w:rPr>
                    <m:t>k,s</m:t>
                  </m:r>
                </m:sub>
              </m:sSub>
              <m:sSub>
                <m:sSubPr>
                  <m:ctrlPr>
                    <w:rPr>
                      <w:rFonts w:ascii="Cambria Math" w:hAnsi="Cambria Math"/>
                      <w:i/>
                    </w:rPr>
                  </m:ctrlPr>
                </m:sSubPr>
                <m:e>
                  <m:r>
                    <w:rPr>
                      <w:rFonts w:ascii="Cambria Math" w:hAnsi="Cambria Math"/>
                    </w:rPr>
                    <m:t>X</m:t>
                  </m:r>
                </m:e>
                <m:sub>
                  <m:r>
                    <w:rPr>
                      <w:rFonts w:ascii="Cambria Math" w:hAnsi="Cambria Math"/>
                    </w:rPr>
                    <m:t>k,s</m:t>
                  </m:r>
                </m:sub>
              </m:sSub>
            </m:e>
          </m:nary>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Group</m:t>
              </m:r>
            </m:sub>
          </m:sSub>
          <m:sSub>
            <m:sSubPr>
              <m:ctrlPr>
                <w:rPr>
                  <w:rFonts w:ascii="Cambria Math" w:hAnsi="Cambria Math"/>
                  <w:i/>
                </w:rPr>
              </m:ctrlPr>
            </m:sSubPr>
            <m:e>
              <m:r>
                <w:rPr>
                  <w:rFonts w:ascii="Cambria Math" w:hAnsi="Cambria Math"/>
                </w:rPr>
                <m:t>Group</m:t>
              </m:r>
            </m:e>
            <m:sub>
              <m:r>
                <w:rPr>
                  <w:rFonts w:ascii="Cambria Math" w:hAnsi="Cambria Math"/>
                </w:rPr>
                <m:t xml:space="preserve">s </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t</m:t>
              </m:r>
            </m:sub>
          </m:sSub>
          <m:sSub>
            <m:sSubPr>
              <m:ctrlPr>
                <w:rPr>
                  <w:rFonts w:ascii="Cambria Math" w:hAnsi="Cambria Math"/>
                  <w:i/>
                </w:rPr>
              </m:ctrlPr>
            </m:sSubPr>
            <m:e>
              <m:r>
                <w:rPr>
                  <w:rFonts w:ascii="Cambria Math" w:hAnsi="Cambria Math"/>
                </w:rPr>
                <m:t>Visit</m:t>
              </m:r>
            </m:e>
            <m:sub>
              <m:r>
                <w:rPr>
                  <w:rFonts w:ascii="Cambria Math" w:hAnsi="Cambria Math"/>
                </w:rPr>
                <m:t>s</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s,t</m:t>
              </m:r>
            </m:sub>
          </m:sSub>
          <m:d>
            <m:dPr>
              <m:ctrlPr>
                <w:rPr>
                  <w:rFonts w:ascii="Cambria Math" w:hAnsi="Cambria Math"/>
                  <w:i/>
                </w:rPr>
              </m:ctrlPr>
            </m:dPr>
            <m:e>
              <m:sSub>
                <m:sSubPr>
                  <m:ctrlPr>
                    <w:rPr>
                      <w:rFonts w:ascii="Cambria Math" w:hAnsi="Cambria Math"/>
                      <w:i/>
                    </w:rPr>
                  </m:ctrlPr>
                </m:sSubPr>
                <m:e>
                  <m:r>
                    <w:rPr>
                      <w:rFonts w:ascii="Cambria Math" w:hAnsi="Cambria Math"/>
                    </w:rPr>
                    <m:t>Group</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Visit</m:t>
                  </m:r>
                </m:e>
                <m:sub>
                  <m:r>
                    <w:rPr>
                      <w:rFonts w:ascii="Cambria Math" w:hAnsi="Cambria Math"/>
                    </w:rPr>
                    <m:t>s</m:t>
                  </m:r>
                </m:sub>
              </m:sSub>
            </m:e>
          </m:d>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i,Gender</m:t>
              </m:r>
            </m:sub>
          </m:sSub>
          <m:sSub>
            <m:sSubPr>
              <m:ctrlPr>
                <w:rPr>
                  <w:rFonts w:ascii="Cambria Math" w:hAnsi="Cambria Math"/>
                  <w:i/>
                </w:rPr>
              </m:ctrlPr>
            </m:sSubPr>
            <m:e>
              <m:r>
                <w:rPr>
                  <w:rFonts w:ascii="Cambria Math" w:hAnsi="Cambria Math"/>
                </w:rPr>
                <m:t>Gender</m:t>
              </m:r>
            </m:e>
            <m:sub>
              <m:r>
                <w:rPr>
                  <w:rFonts w:ascii="Cambria Math" w:hAnsi="Cambria Math"/>
                </w:rPr>
                <m:t>i</m:t>
              </m:r>
            </m:sub>
          </m:sSub>
          <m:r>
            <w:rPr>
              <w:rFonts w:ascii="Cambria Math" w:hAnsi="Cambria Math"/>
            </w:rPr>
            <m:t xml:space="preserve"> + </m:t>
          </m:r>
          <m:sSub>
            <m:sSubPr>
              <m:ctrlPr>
                <w:rPr>
                  <w:rFonts w:ascii="Cambria Math" w:hAnsi="Cambria Math"/>
                  <w:i/>
                </w:rPr>
              </m:ctrlPr>
            </m:sSubPr>
            <m:e>
              <m:r>
                <w:rPr>
                  <w:rFonts w:ascii="Cambria Math" w:hAnsi="Cambria Math"/>
                </w:rPr>
                <m:t>γ</m:t>
              </m:r>
            </m:e>
            <m:sub>
              <m:r>
                <w:rPr>
                  <w:rFonts w:ascii="Cambria Math" w:hAnsi="Cambria Math"/>
                </w:rPr>
                <m:t>s</m:t>
              </m:r>
            </m:sub>
          </m:sSub>
          <m:r>
            <w:rPr>
              <w:rFonts w:ascii="Cambria Math" w:hAnsi="Cambria Math"/>
            </w:rPr>
            <m:t xml:space="preserve">+ </m:t>
          </m:r>
          <m:sSub>
            <m:sSubPr>
              <m:ctrlPr>
                <w:rPr>
                  <w:rFonts w:ascii="Cambria Math" w:hAnsi="Cambria Math"/>
                  <w:i/>
                </w:rPr>
              </m:ctrlPr>
            </m:sSubPr>
            <m:e>
              <m:r>
                <w:rPr>
                  <w:rFonts w:ascii="Cambria Math" w:hAnsi="Cambria Math"/>
                </w:rPr>
                <m:t>γ</m:t>
              </m:r>
            </m:e>
            <m:sub>
              <m:r>
                <w:rPr>
                  <w:rFonts w:ascii="Cambria Math" w:hAnsi="Cambria Math"/>
                </w:rPr>
                <m:t>i(s)</m:t>
              </m:r>
            </m:sub>
          </m:sSub>
          <m:r>
            <w:rPr>
              <w:rFonts w:ascii="Cambria Math" w:hAnsi="Cambria Math"/>
            </w:rPr>
            <m:t>+ ϵ(pattern,</m:t>
          </m:r>
          <m:sSub>
            <m:sSubPr>
              <m:ctrlPr>
                <w:rPr>
                  <w:rFonts w:ascii="Cambria Math" w:hAnsi="Cambria Math"/>
                  <w:i/>
                </w:rPr>
              </m:ctrlPr>
            </m:sSubPr>
            <m:e>
              <m:r>
                <w:rPr>
                  <w:rFonts w:ascii="Cambria Math" w:hAnsi="Cambria Math"/>
                </w:rPr>
                <m:t>Visit</m:t>
              </m:r>
            </m:e>
            <m:sub>
              <m:r>
                <w:rPr>
                  <w:rFonts w:ascii="Cambria Math" w:hAnsi="Cambria Math"/>
                </w:rPr>
                <m:t>i</m:t>
              </m:r>
            </m:sub>
          </m:sSub>
          <m:r>
            <w:rPr>
              <w:rFonts w:ascii="Cambria Math" w:hAnsi="Cambria Math"/>
            </w:rPr>
            <m:t xml:space="preserve">) </m:t>
          </m:r>
        </m:oMath>
      </m:oMathPara>
    </w:p>
    <w:p w14:paraId="28BED968" w14:textId="77777777" w:rsidR="00403B07" w:rsidRPr="004E0D59" w:rsidRDefault="00403B07" w:rsidP="00403B07"/>
    <w:p w14:paraId="3CA73ABB" w14:textId="77777777" w:rsidR="00403B07" w:rsidRDefault="00403B07" w:rsidP="00403B07">
      <w:r w:rsidRPr="004E0D59">
        <w:t xml:space="preserve">where child-specific residual error, ε ~ N(0,f(pattern, visit)), was a matrix function of </w:t>
      </w:r>
      <w:r w:rsidRPr="004E0D59">
        <w:rPr>
          <w:i/>
        </w:rPr>
        <w:t>Visit</w:t>
      </w:r>
      <w:r w:rsidRPr="004E0D59">
        <w:t xml:space="preserve"> pertaining to a particular covariance pattern, and β and γ denote fixed and random effects respectively</w:t>
      </w:r>
      <w:r>
        <w:t>.</w:t>
      </w:r>
    </w:p>
    <w:p w14:paraId="7684EA80" w14:textId="77777777" w:rsidR="00403B07" w:rsidRDefault="00403B07" w:rsidP="00403B07"/>
    <w:p w14:paraId="64253725" w14:textId="77777777" w:rsidR="00403B07" w:rsidRDefault="00403B07" w:rsidP="00403B07"/>
    <w:p w14:paraId="02C17005" w14:textId="77777777" w:rsidR="00403B07" w:rsidRDefault="00403B07" w:rsidP="00403B07">
      <w:r>
        <w:br w:type="page"/>
      </w:r>
    </w:p>
    <w:p w14:paraId="51F320AB" w14:textId="77777777" w:rsidR="00403B07" w:rsidRDefault="00403B07" w:rsidP="00403B07">
      <w:pPr>
        <w:outlineLvl w:val="0"/>
        <w:rPr>
          <w:rFonts w:cs="Arial"/>
          <w:b/>
          <w:sz w:val="24"/>
          <w:szCs w:val="24"/>
        </w:rPr>
      </w:pPr>
      <w:bookmarkStart w:id="671" w:name="_Toc475974414"/>
      <w:r w:rsidRPr="00C46269">
        <w:rPr>
          <w:rFonts w:cs="Arial"/>
          <w:b/>
          <w:sz w:val="24"/>
          <w:szCs w:val="24"/>
        </w:rPr>
        <w:lastRenderedPageBreak/>
        <w:t xml:space="preserve">Appendix </w:t>
      </w:r>
      <w:r>
        <w:rPr>
          <w:rFonts w:cs="Arial"/>
          <w:b/>
          <w:sz w:val="24"/>
          <w:szCs w:val="24"/>
        </w:rPr>
        <w:t>7</w:t>
      </w:r>
      <w:r w:rsidRPr="00C46269">
        <w:rPr>
          <w:rFonts w:cs="Arial"/>
          <w:b/>
          <w:sz w:val="24"/>
          <w:szCs w:val="24"/>
        </w:rPr>
        <w:t xml:space="preserve"> </w:t>
      </w:r>
      <w:r>
        <w:rPr>
          <w:rFonts w:cs="Arial"/>
          <w:b/>
          <w:sz w:val="24"/>
          <w:szCs w:val="24"/>
        </w:rPr>
        <w:t>Training costs for staff involved in the delivery of HeLP</w:t>
      </w:r>
      <w:bookmarkEnd w:id="671"/>
    </w:p>
    <w:p w14:paraId="671E3E97" w14:textId="77777777" w:rsidR="00403B07" w:rsidRPr="00CD44BE" w:rsidRDefault="00403B07" w:rsidP="00403B07">
      <w:pPr>
        <w:rPr>
          <w:rFonts w:ascii="Times New Roman" w:hAnsi="Times New Roman" w:cs="Times New Roman"/>
          <w:b/>
          <w:i/>
          <w:sz w:val="24"/>
          <w:szCs w:val="24"/>
        </w:rPr>
      </w:pPr>
      <w:bookmarkStart w:id="672" w:name="_Ref436228701"/>
      <w:r w:rsidRPr="00CD44BE">
        <w:rPr>
          <w:rFonts w:ascii="Times New Roman" w:hAnsi="Times New Roman" w:cs="Times New Roman"/>
          <w:b/>
          <w:sz w:val="24"/>
          <w:szCs w:val="24"/>
        </w:rPr>
        <w:t>Estimate Training Costs: HeLP Coordinators</w:t>
      </w:r>
      <w:bookmarkEnd w:id="672"/>
    </w:p>
    <w:p w14:paraId="0E540558" w14:textId="77777777" w:rsidR="00403B07" w:rsidRPr="00F8075B" w:rsidRDefault="00403B07" w:rsidP="00403B07">
      <w:pPr>
        <w:rPr>
          <w:rFonts w:ascii="Times New Roman" w:hAnsi="Times New Roman" w:cs="Times New Roman"/>
          <w:sz w:val="24"/>
          <w:szCs w:val="24"/>
        </w:rPr>
      </w:pPr>
      <w:r w:rsidRPr="00F8075B">
        <w:rPr>
          <w:rFonts w:ascii="Times New Roman" w:hAnsi="Times New Roman" w:cs="Times New Roman"/>
          <w:sz w:val="24"/>
          <w:szCs w:val="24"/>
        </w:rPr>
        <w:t xml:space="preserve">Based on within-trial experience on training requirements, it is assumed that training requirements for HeLP Coordinators consist of five full days (10 sessions) of training, with two sessions focusing on the organisational set-up required for the intervention, and the remaining sessions focused on specific skills related to the delivery of the intervention. It is expected/assumed that the training of four HeLP Coordinators will be delivered by one experienced Trainer. </w:t>
      </w:r>
    </w:p>
    <w:p w14:paraId="485DB651" w14:textId="63BD14A0" w:rsidR="00403B07" w:rsidRPr="00F8075B" w:rsidRDefault="00403B07" w:rsidP="00403B07">
      <w:pPr>
        <w:rPr>
          <w:rFonts w:ascii="Times New Roman" w:hAnsi="Times New Roman" w:cs="Times New Roman"/>
          <w:sz w:val="24"/>
          <w:szCs w:val="24"/>
        </w:rPr>
      </w:pPr>
      <w:r w:rsidRPr="00F8075B">
        <w:rPr>
          <w:rFonts w:ascii="Times New Roman" w:hAnsi="Times New Roman" w:cs="Times New Roman"/>
          <w:sz w:val="24"/>
          <w:szCs w:val="24"/>
        </w:rPr>
        <w:t xml:space="preserve">Costs associated with training are estimated assuming that costs are distributed over a 12-month period (for base-case cost estimates; over 27 classes). No venue costs were included in the estimated costings, and an allowance of £500 for other costs (e.g. materials, subsistence) has been included. Using these assumptions, the estimated cost for the delivery of the training component for the HeLP Coordinators is £191 per class or approx. £8 per participant (see Table </w:t>
      </w:r>
      <w:r w:rsidR="00AB558E">
        <w:rPr>
          <w:rFonts w:ascii="Times New Roman" w:hAnsi="Times New Roman" w:cs="Times New Roman"/>
          <w:sz w:val="24"/>
          <w:szCs w:val="24"/>
        </w:rPr>
        <w:t>4</w:t>
      </w:r>
      <w:r w:rsidR="00B14404">
        <w:rPr>
          <w:rFonts w:ascii="Times New Roman" w:hAnsi="Times New Roman" w:cs="Times New Roman"/>
          <w:sz w:val="24"/>
          <w:szCs w:val="24"/>
        </w:rPr>
        <w:t>9</w:t>
      </w:r>
      <w:r w:rsidRPr="00F8075B">
        <w:rPr>
          <w:rFonts w:ascii="Times New Roman" w:hAnsi="Times New Roman" w:cs="Times New Roman"/>
          <w:sz w:val="24"/>
          <w:szCs w:val="24"/>
        </w:rPr>
        <w:t>).</w:t>
      </w:r>
    </w:p>
    <w:p w14:paraId="4E2827DA" w14:textId="77777777" w:rsidR="00403B07" w:rsidRPr="00F8075B" w:rsidRDefault="00403B07" w:rsidP="00403B07">
      <w:pPr>
        <w:rPr>
          <w:rFonts w:ascii="Times New Roman" w:hAnsi="Times New Roman" w:cs="Times New Roman"/>
          <w:b/>
          <w:sz w:val="24"/>
          <w:szCs w:val="24"/>
        </w:rPr>
      </w:pPr>
      <w:bookmarkStart w:id="673" w:name="_Ref436235582"/>
    </w:p>
    <w:p w14:paraId="758DBBA5" w14:textId="44C391E2" w:rsidR="00403B07" w:rsidRPr="00F8075B" w:rsidRDefault="00403B07" w:rsidP="00403B07">
      <w:pPr>
        <w:rPr>
          <w:rFonts w:ascii="Times New Roman" w:hAnsi="Times New Roman" w:cs="Times New Roman"/>
          <w:b/>
          <w:sz w:val="24"/>
          <w:szCs w:val="24"/>
        </w:rPr>
      </w:pPr>
      <w:r w:rsidRPr="00F8075B">
        <w:rPr>
          <w:rFonts w:ascii="Times New Roman" w:hAnsi="Times New Roman" w:cs="Times New Roman"/>
          <w:b/>
          <w:sz w:val="24"/>
          <w:szCs w:val="24"/>
        </w:rPr>
        <w:t xml:space="preserve">Table </w:t>
      </w:r>
      <w:bookmarkEnd w:id="673"/>
      <w:r w:rsidR="00AB558E">
        <w:rPr>
          <w:rFonts w:ascii="Times New Roman" w:hAnsi="Times New Roman" w:cs="Times New Roman"/>
          <w:b/>
          <w:sz w:val="24"/>
          <w:szCs w:val="24"/>
        </w:rPr>
        <w:t>4</w:t>
      </w:r>
      <w:r w:rsidR="00B14404">
        <w:rPr>
          <w:rFonts w:ascii="Times New Roman" w:hAnsi="Times New Roman" w:cs="Times New Roman"/>
          <w:b/>
          <w:sz w:val="24"/>
          <w:szCs w:val="24"/>
        </w:rPr>
        <w:t>9</w:t>
      </w:r>
      <w:r w:rsidRPr="00F8075B">
        <w:rPr>
          <w:rFonts w:ascii="Times New Roman" w:hAnsi="Times New Roman" w:cs="Times New Roman"/>
          <w:b/>
          <w:sz w:val="24"/>
          <w:szCs w:val="24"/>
        </w:rPr>
        <w:t xml:space="preserve"> Training Resources/costs: HeLP Coordinators</w:t>
      </w:r>
    </w:p>
    <w:tbl>
      <w:tblPr>
        <w:tblW w:w="5000" w:type="pct"/>
        <w:tblLayout w:type="fixed"/>
        <w:tblLook w:val="04A0" w:firstRow="1" w:lastRow="0" w:firstColumn="1" w:lastColumn="0" w:noHBand="0" w:noVBand="1"/>
      </w:tblPr>
      <w:tblGrid>
        <w:gridCol w:w="2913"/>
        <w:gridCol w:w="152"/>
        <w:gridCol w:w="930"/>
        <w:gridCol w:w="156"/>
        <w:gridCol w:w="623"/>
        <w:gridCol w:w="154"/>
        <w:gridCol w:w="778"/>
        <w:gridCol w:w="1397"/>
        <w:gridCol w:w="3006"/>
      </w:tblGrid>
      <w:tr w:rsidR="00403B07" w:rsidRPr="00F8075B" w14:paraId="68465B21" w14:textId="77777777" w:rsidTr="00B01272">
        <w:trPr>
          <w:trHeight w:val="323"/>
        </w:trPr>
        <w:tc>
          <w:tcPr>
            <w:tcW w:w="1441" w:type="pct"/>
            <w:tcBorders>
              <w:top w:val="single" w:sz="8" w:space="0" w:color="auto"/>
              <w:bottom w:val="nil"/>
              <w:right w:val="nil"/>
            </w:tcBorders>
            <w:shd w:val="clear" w:color="auto" w:fill="auto"/>
            <w:noWrap/>
          </w:tcPr>
          <w:p w14:paraId="5964A6E5" w14:textId="77777777" w:rsidR="00403B07" w:rsidRPr="00F8075B" w:rsidRDefault="00403B07" w:rsidP="00B01272">
            <w:pPr>
              <w:rPr>
                <w:rFonts w:ascii="Times New Roman" w:eastAsia="Times New Roman" w:hAnsi="Times New Roman" w:cs="Times New Roman"/>
                <w:bCs/>
                <w:color w:val="000000"/>
                <w:sz w:val="24"/>
                <w:szCs w:val="24"/>
              </w:rPr>
            </w:pPr>
            <w:r w:rsidRPr="00F8075B">
              <w:rPr>
                <w:rFonts w:ascii="Times New Roman" w:eastAsia="Times New Roman" w:hAnsi="Times New Roman" w:cs="Times New Roman"/>
                <w:bCs/>
                <w:color w:val="000000"/>
                <w:sz w:val="24"/>
                <w:szCs w:val="24"/>
              </w:rPr>
              <w:t>Staff type</w:t>
            </w:r>
          </w:p>
        </w:tc>
        <w:tc>
          <w:tcPr>
            <w:tcW w:w="535" w:type="pct"/>
            <w:gridSpan w:val="2"/>
            <w:tcBorders>
              <w:top w:val="single" w:sz="8" w:space="0" w:color="auto"/>
              <w:left w:val="nil"/>
              <w:bottom w:val="nil"/>
              <w:right w:val="nil"/>
            </w:tcBorders>
            <w:shd w:val="clear" w:color="auto" w:fill="auto"/>
            <w:noWrap/>
          </w:tcPr>
          <w:p w14:paraId="05638612" w14:textId="77777777" w:rsidR="00403B07" w:rsidRPr="00F8075B" w:rsidRDefault="00403B07" w:rsidP="00B01272">
            <w:pPr>
              <w:rPr>
                <w:rFonts w:ascii="Times New Roman" w:eastAsia="Times New Roman" w:hAnsi="Times New Roman" w:cs="Times New Roman"/>
                <w:bCs/>
                <w:color w:val="000000"/>
                <w:sz w:val="24"/>
                <w:szCs w:val="24"/>
              </w:rPr>
            </w:pPr>
            <w:r w:rsidRPr="00F8075B">
              <w:rPr>
                <w:rFonts w:ascii="Times New Roman" w:eastAsia="Times New Roman" w:hAnsi="Times New Roman" w:cs="Times New Roman"/>
                <w:bCs/>
                <w:color w:val="000000"/>
                <w:sz w:val="24"/>
                <w:szCs w:val="24"/>
              </w:rPr>
              <w:t>Staff, n</w:t>
            </w:r>
          </w:p>
        </w:tc>
        <w:tc>
          <w:tcPr>
            <w:tcW w:w="385" w:type="pct"/>
            <w:gridSpan w:val="2"/>
            <w:tcBorders>
              <w:top w:val="single" w:sz="8" w:space="0" w:color="auto"/>
              <w:left w:val="nil"/>
              <w:bottom w:val="nil"/>
              <w:right w:val="nil"/>
            </w:tcBorders>
            <w:shd w:val="clear" w:color="auto" w:fill="auto"/>
            <w:noWrap/>
          </w:tcPr>
          <w:p w14:paraId="561B2313" w14:textId="77777777" w:rsidR="00403B07" w:rsidRPr="00F8075B" w:rsidRDefault="00403B07" w:rsidP="00B01272">
            <w:pPr>
              <w:rPr>
                <w:rFonts w:ascii="Times New Roman" w:eastAsia="Times New Roman" w:hAnsi="Times New Roman" w:cs="Times New Roman"/>
                <w:bCs/>
                <w:color w:val="000000"/>
                <w:sz w:val="24"/>
                <w:szCs w:val="24"/>
              </w:rPr>
            </w:pPr>
            <w:r w:rsidRPr="00F8075B">
              <w:rPr>
                <w:rFonts w:ascii="Times New Roman" w:eastAsia="Times New Roman" w:hAnsi="Times New Roman" w:cs="Times New Roman"/>
                <w:bCs/>
                <w:color w:val="000000"/>
                <w:sz w:val="24"/>
                <w:szCs w:val="24"/>
              </w:rPr>
              <w:t>Hrs</w:t>
            </w:r>
          </w:p>
        </w:tc>
        <w:tc>
          <w:tcPr>
            <w:tcW w:w="461" w:type="pct"/>
            <w:gridSpan w:val="2"/>
            <w:tcBorders>
              <w:top w:val="single" w:sz="8" w:space="0" w:color="auto"/>
              <w:left w:val="nil"/>
              <w:bottom w:val="nil"/>
              <w:right w:val="nil"/>
            </w:tcBorders>
            <w:shd w:val="clear" w:color="auto" w:fill="auto"/>
            <w:noWrap/>
          </w:tcPr>
          <w:p w14:paraId="6A1D7521" w14:textId="77777777" w:rsidR="00403B07" w:rsidRPr="00F8075B" w:rsidRDefault="00403B07" w:rsidP="00B01272">
            <w:pPr>
              <w:rPr>
                <w:rFonts w:ascii="Times New Roman" w:eastAsia="Times New Roman" w:hAnsi="Times New Roman" w:cs="Times New Roman"/>
                <w:bCs/>
                <w:color w:val="000000"/>
                <w:sz w:val="24"/>
                <w:szCs w:val="24"/>
              </w:rPr>
            </w:pPr>
            <w:r w:rsidRPr="00F8075B">
              <w:rPr>
                <w:rFonts w:ascii="Times New Roman" w:eastAsia="Times New Roman" w:hAnsi="Times New Roman" w:cs="Times New Roman"/>
                <w:bCs/>
                <w:color w:val="000000"/>
                <w:sz w:val="24"/>
                <w:szCs w:val="24"/>
              </w:rPr>
              <w:t>Unit cost</w:t>
            </w:r>
          </w:p>
        </w:tc>
        <w:tc>
          <w:tcPr>
            <w:tcW w:w="691" w:type="pct"/>
            <w:tcBorders>
              <w:top w:val="single" w:sz="8" w:space="0" w:color="auto"/>
              <w:left w:val="nil"/>
              <w:bottom w:val="nil"/>
              <w:right w:val="nil"/>
            </w:tcBorders>
            <w:shd w:val="clear" w:color="auto" w:fill="auto"/>
            <w:noWrap/>
          </w:tcPr>
          <w:p w14:paraId="07235C0B" w14:textId="77777777" w:rsidR="00403B07" w:rsidRPr="00F8075B" w:rsidRDefault="00403B07" w:rsidP="00B01272">
            <w:pPr>
              <w:rPr>
                <w:rFonts w:ascii="Times New Roman" w:eastAsia="Times New Roman" w:hAnsi="Times New Roman" w:cs="Times New Roman"/>
                <w:bCs/>
                <w:color w:val="000000"/>
                <w:sz w:val="24"/>
                <w:szCs w:val="24"/>
              </w:rPr>
            </w:pPr>
            <w:r w:rsidRPr="00F8075B">
              <w:rPr>
                <w:rFonts w:ascii="Times New Roman" w:eastAsia="Times New Roman" w:hAnsi="Times New Roman" w:cs="Times New Roman"/>
                <w:bCs/>
                <w:color w:val="000000"/>
                <w:sz w:val="24"/>
                <w:szCs w:val="24"/>
              </w:rPr>
              <w:t>Total cost</w:t>
            </w:r>
          </w:p>
        </w:tc>
        <w:tc>
          <w:tcPr>
            <w:tcW w:w="1488" w:type="pct"/>
            <w:tcBorders>
              <w:top w:val="single" w:sz="8" w:space="0" w:color="auto"/>
              <w:left w:val="nil"/>
              <w:bottom w:val="nil"/>
            </w:tcBorders>
            <w:shd w:val="clear" w:color="auto" w:fill="auto"/>
            <w:noWrap/>
          </w:tcPr>
          <w:p w14:paraId="728EB86E" w14:textId="77777777" w:rsidR="00403B07" w:rsidRPr="00F8075B" w:rsidRDefault="00403B07" w:rsidP="00B01272">
            <w:pPr>
              <w:rPr>
                <w:rFonts w:ascii="Times New Roman" w:eastAsia="Times New Roman" w:hAnsi="Times New Roman" w:cs="Times New Roman"/>
                <w:bCs/>
                <w:color w:val="000000"/>
                <w:sz w:val="24"/>
                <w:szCs w:val="24"/>
              </w:rPr>
            </w:pPr>
            <w:r w:rsidRPr="00F8075B">
              <w:rPr>
                <w:rFonts w:ascii="Times New Roman" w:eastAsia="Times New Roman" w:hAnsi="Times New Roman" w:cs="Times New Roman"/>
                <w:bCs/>
                <w:color w:val="000000"/>
                <w:sz w:val="24"/>
                <w:szCs w:val="24"/>
              </w:rPr>
              <w:t>Notes</w:t>
            </w:r>
          </w:p>
        </w:tc>
      </w:tr>
      <w:tr w:rsidR="00403B07" w:rsidRPr="00F8075B" w14:paraId="3CA199CE" w14:textId="77777777" w:rsidTr="00B01272">
        <w:trPr>
          <w:trHeight w:val="323"/>
        </w:trPr>
        <w:tc>
          <w:tcPr>
            <w:tcW w:w="1441" w:type="pct"/>
            <w:tcBorders>
              <w:top w:val="single" w:sz="8" w:space="0" w:color="auto"/>
              <w:bottom w:val="nil"/>
              <w:right w:val="nil"/>
            </w:tcBorders>
            <w:shd w:val="clear" w:color="auto" w:fill="auto"/>
            <w:noWrap/>
          </w:tcPr>
          <w:p w14:paraId="6E22F4E6" w14:textId="77777777" w:rsidR="00403B07" w:rsidRPr="00F8075B" w:rsidRDefault="00403B07" w:rsidP="00B01272">
            <w:pPr>
              <w:rPr>
                <w:rFonts w:ascii="Times New Roman" w:eastAsia="Times New Roman" w:hAnsi="Times New Roman" w:cs="Times New Roman"/>
                <w:bCs/>
                <w:color w:val="000000"/>
                <w:sz w:val="24"/>
                <w:szCs w:val="24"/>
              </w:rPr>
            </w:pPr>
          </w:p>
        </w:tc>
        <w:tc>
          <w:tcPr>
            <w:tcW w:w="535" w:type="pct"/>
            <w:gridSpan w:val="2"/>
            <w:tcBorders>
              <w:top w:val="single" w:sz="8" w:space="0" w:color="auto"/>
              <w:left w:val="nil"/>
              <w:bottom w:val="nil"/>
              <w:right w:val="nil"/>
            </w:tcBorders>
            <w:shd w:val="clear" w:color="auto" w:fill="auto"/>
            <w:noWrap/>
          </w:tcPr>
          <w:p w14:paraId="4E1A1BAE" w14:textId="77777777" w:rsidR="00403B07" w:rsidRPr="00F8075B" w:rsidRDefault="00403B07" w:rsidP="00B01272">
            <w:pPr>
              <w:rPr>
                <w:rFonts w:ascii="Times New Roman" w:eastAsia="Times New Roman" w:hAnsi="Times New Roman" w:cs="Times New Roman"/>
                <w:bCs/>
                <w:color w:val="000000"/>
                <w:sz w:val="24"/>
                <w:szCs w:val="24"/>
              </w:rPr>
            </w:pPr>
          </w:p>
        </w:tc>
        <w:tc>
          <w:tcPr>
            <w:tcW w:w="385" w:type="pct"/>
            <w:gridSpan w:val="2"/>
            <w:tcBorders>
              <w:top w:val="single" w:sz="8" w:space="0" w:color="auto"/>
              <w:left w:val="nil"/>
              <w:bottom w:val="nil"/>
              <w:right w:val="nil"/>
            </w:tcBorders>
            <w:shd w:val="clear" w:color="auto" w:fill="auto"/>
            <w:noWrap/>
          </w:tcPr>
          <w:p w14:paraId="5AA4D36D" w14:textId="77777777" w:rsidR="00403B07" w:rsidRPr="00F8075B" w:rsidRDefault="00403B07" w:rsidP="00B01272">
            <w:pPr>
              <w:rPr>
                <w:rFonts w:ascii="Times New Roman" w:eastAsia="Times New Roman" w:hAnsi="Times New Roman" w:cs="Times New Roman"/>
                <w:bCs/>
                <w:color w:val="000000"/>
                <w:sz w:val="24"/>
                <w:szCs w:val="24"/>
              </w:rPr>
            </w:pPr>
          </w:p>
        </w:tc>
        <w:tc>
          <w:tcPr>
            <w:tcW w:w="461" w:type="pct"/>
            <w:gridSpan w:val="2"/>
            <w:tcBorders>
              <w:top w:val="single" w:sz="8" w:space="0" w:color="auto"/>
              <w:left w:val="nil"/>
              <w:bottom w:val="nil"/>
              <w:right w:val="nil"/>
            </w:tcBorders>
            <w:shd w:val="clear" w:color="auto" w:fill="auto"/>
            <w:noWrap/>
          </w:tcPr>
          <w:p w14:paraId="004FE80D" w14:textId="77777777" w:rsidR="00403B07" w:rsidRPr="00F8075B" w:rsidRDefault="00403B07" w:rsidP="00B01272">
            <w:pPr>
              <w:rPr>
                <w:rFonts w:ascii="Times New Roman" w:eastAsia="Times New Roman" w:hAnsi="Times New Roman" w:cs="Times New Roman"/>
                <w:bCs/>
                <w:color w:val="000000"/>
                <w:sz w:val="24"/>
                <w:szCs w:val="24"/>
              </w:rPr>
            </w:pPr>
          </w:p>
        </w:tc>
        <w:tc>
          <w:tcPr>
            <w:tcW w:w="691" w:type="pct"/>
            <w:tcBorders>
              <w:top w:val="single" w:sz="8" w:space="0" w:color="auto"/>
              <w:left w:val="nil"/>
              <w:bottom w:val="nil"/>
              <w:right w:val="nil"/>
            </w:tcBorders>
            <w:shd w:val="clear" w:color="auto" w:fill="auto"/>
            <w:noWrap/>
          </w:tcPr>
          <w:p w14:paraId="1485D9F9" w14:textId="77777777" w:rsidR="00403B07" w:rsidRPr="00F8075B" w:rsidRDefault="00403B07" w:rsidP="00B01272">
            <w:pPr>
              <w:rPr>
                <w:rFonts w:ascii="Times New Roman" w:eastAsia="Times New Roman" w:hAnsi="Times New Roman" w:cs="Times New Roman"/>
                <w:bCs/>
                <w:color w:val="000000"/>
                <w:sz w:val="24"/>
                <w:szCs w:val="24"/>
              </w:rPr>
            </w:pPr>
          </w:p>
        </w:tc>
        <w:tc>
          <w:tcPr>
            <w:tcW w:w="1488" w:type="pct"/>
            <w:tcBorders>
              <w:top w:val="single" w:sz="8" w:space="0" w:color="auto"/>
              <w:left w:val="nil"/>
              <w:bottom w:val="nil"/>
            </w:tcBorders>
            <w:shd w:val="clear" w:color="auto" w:fill="auto"/>
            <w:noWrap/>
          </w:tcPr>
          <w:p w14:paraId="6E07CF1E" w14:textId="77777777" w:rsidR="00403B07" w:rsidRPr="00F8075B" w:rsidRDefault="00403B07" w:rsidP="00B01272">
            <w:pPr>
              <w:rPr>
                <w:rFonts w:ascii="Times New Roman" w:eastAsia="Times New Roman" w:hAnsi="Times New Roman" w:cs="Times New Roman"/>
                <w:bCs/>
                <w:color w:val="000000"/>
                <w:sz w:val="24"/>
                <w:szCs w:val="24"/>
              </w:rPr>
            </w:pPr>
          </w:p>
        </w:tc>
      </w:tr>
      <w:tr w:rsidR="00403B07" w:rsidRPr="00F8075B" w14:paraId="1C571922" w14:textId="77777777" w:rsidTr="00B01272">
        <w:trPr>
          <w:trHeight w:val="323"/>
        </w:trPr>
        <w:tc>
          <w:tcPr>
            <w:tcW w:w="1441" w:type="pct"/>
            <w:tcBorders>
              <w:top w:val="nil"/>
              <w:bottom w:val="nil"/>
              <w:right w:val="nil"/>
            </w:tcBorders>
            <w:shd w:val="clear" w:color="auto" w:fill="auto"/>
            <w:noWrap/>
            <w:hideMark/>
          </w:tcPr>
          <w:p w14:paraId="1E965312" w14:textId="77777777" w:rsidR="00403B07" w:rsidRPr="00F8075B" w:rsidRDefault="00403B07" w:rsidP="00B01272">
            <w:pPr>
              <w:rPr>
                <w:rFonts w:ascii="Times New Roman" w:eastAsia="Times New Roman" w:hAnsi="Times New Roman" w:cs="Times New Roman"/>
                <w:color w:val="000000"/>
                <w:sz w:val="24"/>
                <w:szCs w:val="24"/>
              </w:rPr>
            </w:pPr>
            <w:r w:rsidRPr="00F8075B">
              <w:rPr>
                <w:rFonts w:ascii="Times New Roman" w:eastAsia="Times New Roman" w:hAnsi="Times New Roman" w:cs="Times New Roman"/>
                <w:color w:val="000000"/>
                <w:sz w:val="24"/>
                <w:szCs w:val="24"/>
              </w:rPr>
              <w:t>Lead Trainer</w:t>
            </w:r>
          </w:p>
        </w:tc>
        <w:tc>
          <w:tcPr>
            <w:tcW w:w="535" w:type="pct"/>
            <w:gridSpan w:val="2"/>
            <w:tcBorders>
              <w:top w:val="nil"/>
              <w:left w:val="nil"/>
              <w:bottom w:val="nil"/>
              <w:right w:val="nil"/>
            </w:tcBorders>
            <w:shd w:val="clear" w:color="auto" w:fill="auto"/>
            <w:noWrap/>
            <w:hideMark/>
          </w:tcPr>
          <w:p w14:paraId="07FDAE36" w14:textId="77777777" w:rsidR="00403B07" w:rsidRPr="00F8075B" w:rsidRDefault="00403B07" w:rsidP="00B01272">
            <w:pPr>
              <w:rPr>
                <w:rFonts w:ascii="Times New Roman" w:eastAsia="Times New Roman" w:hAnsi="Times New Roman" w:cs="Times New Roman"/>
                <w:color w:val="000000"/>
                <w:sz w:val="24"/>
                <w:szCs w:val="24"/>
              </w:rPr>
            </w:pPr>
            <w:r w:rsidRPr="00F8075B">
              <w:rPr>
                <w:rFonts w:ascii="Times New Roman" w:eastAsia="Times New Roman" w:hAnsi="Times New Roman" w:cs="Times New Roman"/>
                <w:color w:val="000000"/>
                <w:sz w:val="24"/>
                <w:szCs w:val="24"/>
              </w:rPr>
              <w:t>1</w:t>
            </w:r>
          </w:p>
        </w:tc>
        <w:tc>
          <w:tcPr>
            <w:tcW w:w="385" w:type="pct"/>
            <w:gridSpan w:val="2"/>
            <w:tcBorders>
              <w:top w:val="nil"/>
              <w:left w:val="nil"/>
              <w:bottom w:val="nil"/>
              <w:right w:val="nil"/>
            </w:tcBorders>
            <w:shd w:val="clear" w:color="auto" w:fill="auto"/>
            <w:noWrap/>
            <w:hideMark/>
          </w:tcPr>
          <w:p w14:paraId="2A110AD6" w14:textId="77777777" w:rsidR="00403B07" w:rsidRPr="00F8075B" w:rsidRDefault="00403B07" w:rsidP="00B01272">
            <w:pPr>
              <w:rPr>
                <w:rFonts w:ascii="Times New Roman" w:eastAsia="Times New Roman" w:hAnsi="Times New Roman" w:cs="Times New Roman"/>
                <w:color w:val="000000"/>
                <w:sz w:val="24"/>
                <w:szCs w:val="24"/>
              </w:rPr>
            </w:pPr>
            <w:r w:rsidRPr="00F8075B">
              <w:rPr>
                <w:rFonts w:ascii="Times New Roman" w:eastAsia="Times New Roman" w:hAnsi="Times New Roman" w:cs="Times New Roman"/>
                <w:color w:val="000000"/>
                <w:sz w:val="24"/>
                <w:szCs w:val="24"/>
              </w:rPr>
              <w:t>37.5</w:t>
            </w:r>
          </w:p>
        </w:tc>
        <w:tc>
          <w:tcPr>
            <w:tcW w:w="461" w:type="pct"/>
            <w:gridSpan w:val="2"/>
            <w:tcBorders>
              <w:top w:val="nil"/>
              <w:left w:val="nil"/>
              <w:bottom w:val="nil"/>
              <w:right w:val="nil"/>
            </w:tcBorders>
            <w:shd w:val="clear" w:color="auto" w:fill="auto"/>
            <w:noWrap/>
            <w:hideMark/>
          </w:tcPr>
          <w:p w14:paraId="6AD97693" w14:textId="77777777" w:rsidR="00403B07" w:rsidRPr="00F8075B" w:rsidRDefault="00403B07" w:rsidP="00B01272">
            <w:pPr>
              <w:rPr>
                <w:rFonts w:ascii="Times New Roman" w:eastAsia="Times New Roman" w:hAnsi="Times New Roman" w:cs="Times New Roman"/>
                <w:color w:val="000000"/>
                <w:spacing w:val="-6"/>
                <w:sz w:val="24"/>
                <w:szCs w:val="24"/>
              </w:rPr>
            </w:pPr>
            <w:r w:rsidRPr="00F8075B">
              <w:rPr>
                <w:rFonts w:ascii="Times New Roman" w:eastAsia="Times New Roman" w:hAnsi="Times New Roman" w:cs="Times New Roman"/>
                <w:color w:val="000000"/>
                <w:spacing w:val="-6"/>
                <w:sz w:val="24"/>
                <w:szCs w:val="24"/>
              </w:rPr>
              <w:t>41.29</w:t>
            </w:r>
          </w:p>
        </w:tc>
        <w:tc>
          <w:tcPr>
            <w:tcW w:w="691" w:type="pct"/>
            <w:tcBorders>
              <w:top w:val="nil"/>
              <w:left w:val="nil"/>
              <w:bottom w:val="nil"/>
              <w:right w:val="nil"/>
            </w:tcBorders>
            <w:shd w:val="clear" w:color="auto" w:fill="auto"/>
            <w:noWrap/>
          </w:tcPr>
          <w:p w14:paraId="33A6E681" w14:textId="77777777" w:rsidR="00403B07" w:rsidRPr="00F8075B" w:rsidRDefault="00403B07" w:rsidP="00B01272">
            <w:pPr>
              <w:rPr>
                <w:rFonts w:ascii="Times New Roman" w:eastAsia="Times New Roman" w:hAnsi="Times New Roman" w:cs="Times New Roman"/>
                <w:color w:val="000000"/>
                <w:sz w:val="24"/>
                <w:szCs w:val="24"/>
              </w:rPr>
            </w:pPr>
            <w:r w:rsidRPr="00F8075B">
              <w:rPr>
                <w:rFonts w:ascii="Times New Roman" w:eastAsia="Times New Roman" w:hAnsi="Times New Roman" w:cs="Times New Roman"/>
                <w:color w:val="000000"/>
                <w:sz w:val="24"/>
                <w:szCs w:val="24"/>
              </w:rPr>
              <w:t>1548.51</w:t>
            </w:r>
          </w:p>
        </w:tc>
        <w:tc>
          <w:tcPr>
            <w:tcW w:w="1488" w:type="pct"/>
            <w:tcBorders>
              <w:top w:val="nil"/>
              <w:left w:val="nil"/>
              <w:bottom w:val="nil"/>
            </w:tcBorders>
            <w:shd w:val="clear" w:color="auto" w:fill="auto"/>
            <w:noWrap/>
            <w:hideMark/>
          </w:tcPr>
          <w:p w14:paraId="24E5BB81" w14:textId="77777777" w:rsidR="00403B07" w:rsidRPr="00F8075B" w:rsidRDefault="00403B07" w:rsidP="00B01272">
            <w:pPr>
              <w:rPr>
                <w:rFonts w:ascii="Times New Roman" w:eastAsia="Times New Roman" w:hAnsi="Times New Roman" w:cs="Times New Roman"/>
                <w:color w:val="000000"/>
                <w:sz w:val="24"/>
                <w:szCs w:val="24"/>
              </w:rPr>
            </w:pPr>
            <w:r w:rsidRPr="00F8075B">
              <w:rPr>
                <w:rFonts w:ascii="Times New Roman" w:eastAsia="Times New Roman" w:hAnsi="Times New Roman" w:cs="Times New Roman"/>
                <w:color w:val="000000"/>
                <w:sz w:val="24"/>
                <w:szCs w:val="24"/>
              </w:rPr>
              <w:t>1 x Lead Trainer x 37.5 hrs</w:t>
            </w:r>
          </w:p>
        </w:tc>
      </w:tr>
      <w:tr w:rsidR="00403B07" w:rsidRPr="00F8075B" w14:paraId="5A83F4DC" w14:textId="77777777" w:rsidTr="00B01272">
        <w:trPr>
          <w:trHeight w:val="323"/>
        </w:trPr>
        <w:tc>
          <w:tcPr>
            <w:tcW w:w="1441" w:type="pct"/>
            <w:tcBorders>
              <w:top w:val="nil"/>
              <w:bottom w:val="nil"/>
              <w:right w:val="nil"/>
            </w:tcBorders>
            <w:shd w:val="clear" w:color="auto" w:fill="auto"/>
            <w:noWrap/>
            <w:hideMark/>
          </w:tcPr>
          <w:p w14:paraId="546BFBF3" w14:textId="77777777" w:rsidR="00403B07" w:rsidRPr="00F8075B" w:rsidRDefault="00403B07" w:rsidP="00B01272">
            <w:pPr>
              <w:rPr>
                <w:rFonts w:ascii="Times New Roman" w:eastAsia="Times New Roman" w:hAnsi="Times New Roman" w:cs="Times New Roman"/>
                <w:color w:val="000000"/>
                <w:sz w:val="24"/>
                <w:szCs w:val="24"/>
              </w:rPr>
            </w:pPr>
            <w:r w:rsidRPr="00F8075B">
              <w:rPr>
                <w:rFonts w:ascii="Times New Roman" w:eastAsia="Times New Roman" w:hAnsi="Times New Roman" w:cs="Times New Roman"/>
                <w:color w:val="000000"/>
                <w:sz w:val="24"/>
                <w:szCs w:val="24"/>
              </w:rPr>
              <w:t>HeLP Coordinators</w:t>
            </w:r>
          </w:p>
        </w:tc>
        <w:tc>
          <w:tcPr>
            <w:tcW w:w="535" w:type="pct"/>
            <w:gridSpan w:val="2"/>
            <w:tcBorders>
              <w:top w:val="nil"/>
              <w:left w:val="nil"/>
              <w:bottom w:val="nil"/>
              <w:right w:val="nil"/>
            </w:tcBorders>
            <w:shd w:val="clear" w:color="auto" w:fill="auto"/>
            <w:noWrap/>
            <w:hideMark/>
          </w:tcPr>
          <w:p w14:paraId="4DAD87DF" w14:textId="77777777" w:rsidR="00403B07" w:rsidRPr="00F8075B" w:rsidRDefault="00403B07" w:rsidP="00B01272">
            <w:pPr>
              <w:rPr>
                <w:rFonts w:ascii="Times New Roman" w:eastAsia="Times New Roman" w:hAnsi="Times New Roman" w:cs="Times New Roman"/>
                <w:color w:val="000000"/>
                <w:sz w:val="24"/>
                <w:szCs w:val="24"/>
              </w:rPr>
            </w:pPr>
            <w:r w:rsidRPr="00F8075B">
              <w:rPr>
                <w:rFonts w:ascii="Times New Roman" w:eastAsia="Times New Roman" w:hAnsi="Times New Roman" w:cs="Times New Roman"/>
                <w:color w:val="000000"/>
                <w:sz w:val="24"/>
                <w:szCs w:val="24"/>
              </w:rPr>
              <w:t>4</w:t>
            </w:r>
          </w:p>
        </w:tc>
        <w:tc>
          <w:tcPr>
            <w:tcW w:w="385" w:type="pct"/>
            <w:gridSpan w:val="2"/>
            <w:tcBorders>
              <w:top w:val="nil"/>
              <w:left w:val="nil"/>
              <w:bottom w:val="nil"/>
              <w:right w:val="nil"/>
            </w:tcBorders>
            <w:shd w:val="clear" w:color="auto" w:fill="auto"/>
            <w:noWrap/>
            <w:hideMark/>
          </w:tcPr>
          <w:p w14:paraId="154253C0" w14:textId="77777777" w:rsidR="00403B07" w:rsidRPr="00F8075B" w:rsidRDefault="00403B07" w:rsidP="00B01272">
            <w:pPr>
              <w:rPr>
                <w:rFonts w:ascii="Times New Roman" w:eastAsia="Times New Roman" w:hAnsi="Times New Roman" w:cs="Times New Roman"/>
                <w:color w:val="000000"/>
                <w:sz w:val="24"/>
                <w:szCs w:val="24"/>
              </w:rPr>
            </w:pPr>
            <w:r w:rsidRPr="00F8075B">
              <w:rPr>
                <w:rFonts w:ascii="Times New Roman" w:eastAsia="Times New Roman" w:hAnsi="Times New Roman" w:cs="Times New Roman"/>
                <w:color w:val="000000"/>
                <w:sz w:val="24"/>
                <w:szCs w:val="24"/>
              </w:rPr>
              <w:t>37.5</w:t>
            </w:r>
          </w:p>
        </w:tc>
        <w:tc>
          <w:tcPr>
            <w:tcW w:w="461" w:type="pct"/>
            <w:gridSpan w:val="2"/>
            <w:tcBorders>
              <w:top w:val="nil"/>
              <w:left w:val="nil"/>
              <w:bottom w:val="nil"/>
              <w:right w:val="nil"/>
            </w:tcBorders>
            <w:shd w:val="clear" w:color="auto" w:fill="auto"/>
            <w:noWrap/>
            <w:hideMark/>
          </w:tcPr>
          <w:p w14:paraId="2C93A925" w14:textId="77777777" w:rsidR="00403B07" w:rsidRPr="00F8075B" w:rsidRDefault="00403B07" w:rsidP="00B01272">
            <w:pPr>
              <w:rPr>
                <w:rFonts w:ascii="Times New Roman" w:eastAsia="Times New Roman" w:hAnsi="Times New Roman" w:cs="Times New Roman"/>
                <w:color w:val="000000"/>
                <w:spacing w:val="-6"/>
                <w:sz w:val="24"/>
                <w:szCs w:val="24"/>
              </w:rPr>
            </w:pPr>
            <w:r w:rsidRPr="00F8075B">
              <w:rPr>
                <w:rFonts w:ascii="Times New Roman" w:eastAsia="Times New Roman" w:hAnsi="Times New Roman" w:cs="Times New Roman"/>
                <w:color w:val="000000"/>
                <w:spacing w:val="-6"/>
                <w:sz w:val="24"/>
                <w:szCs w:val="24"/>
              </w:rPr>
              <w:t>41.29</w:t>
            </w:r>
          </w:p>
        </w:tc>
        <w:tc>
          <w:tcPr>
            <w:tcW w:w="691" w:type="pct"/>
            <w:tcBorders>
              <w:top w:val="nil"/>
              <w:left w:val="nil"/>
              <w:bottom w:val="nil"/>
              <w:right w:val="nil"/>
            </w:tcBorders>
            <w:shd w:val="clear" w:color="auto" w:fill="auto"/>
            <w:noWrap/>
          </w:tcPr>
          <w:p w14:paraId="37CCB35A" w14:textId="77777777" w:rsidR="00403B07" w:rsidRPr="00F8075B" w:rsidRDefault="00403B07" w:rsidP="00B01272">
            <w:pPr>
              <w:rPr>
                <w:rFonts w:ascii="Times New Roman" w:eastAsia="Times New Roman" w:hAnsi="Times New Roman" w:cs="Times New Roman"/>
                <w:color w:val="000000"/>
                <w:sz w:val="24"/>
                <w:szCs w:val="24"/>
              </w:rPr>
            </w:pPr>
            <w:r w:rsidRPr="00F8075B">
              <w:rPr>
                <w:rFonts w:ascii="Times New Roman" w:eastAsia="Times New Roman" w:hAnsi="Times New Roman" w:cs="Times New Roman"/>
                <w:color w:val="000000"/>
                <w:sz w:val="24"/>
                <w:szCs w:val="24"/>
              </w:rPr>
              <w:t>3097.03</w:t>
            </w:r>
          </w:p>
        </w:tc>
        <w:tc>
          <w:tcPr>
            <w:tcW w:w="1488" w:type="pct"/>
            <w:tcBorders>
              <w:top w:val="nil"/>
              <w:left w:val="nil"/>
              <w:bottom w:val="nil"/>
            </w:tcBorders>
            <w:shd w:val="clear" w:color="auto" w:fill="auto"/>
            <w:noWrap/>
            <w:hideMark/>
          </w:tcPr>
          <w:p w14:paraId="43096567" w14:textId="77777777" w:rsidR="00403B07" w:rsidRPr="00F8075B" w:rsidRDefault="00403B07" w:rsidP="00B01272">
            <w:pPr>
              <w:rPr>
                <w:rFonts w:ascii="Times New Roman" w:eastAsia="Times New Roman" w:hAnsi="Times New Roman" w:cs="Times New Roman"/>
                <w:color w:val="000000"/>
                <w:sz w:val="24"/>
                <w:szCs w:val="24"/>
              </w:rPr>
            </w:pPr>
            <w:r w:rsidRPr="00F8075B">
              <w:rPr>
                <w:rFonts w:ascii="Times New Roman" w:eastAsia="Times New Roman" w:hAnsi="Times New Roman" w:cs="Times New Roman"/>
                <w:color w:val="000000"/>
                <w:sz w:val="24"/>
                <w:szCs w:val="24"/>
              </w:rPr>
              <w:t>4 x HCs x 37.5 hrs</w:t>
            </w:r>
            <w:r w:rsidRPr="00F8075B">
              <w:rPr>
                <w:rFonts w:ascii="Times New Roman" w:eastAsia="Times New Roman" w:hAnsi="Times New Roman" w:cs="Times New Roman"/>
                <w:color w:val="000000"/>
                <w:sz w:val="24"/>
                <w:szCs w:val="24"/>
                <w:vertAlign w:val="superscript"/>
              </w:rPr>
              <w:t>b</w:t>
            </w:r>
          </w:p>
        </w:tc>
      </w:tr>
      <w:tr w:rsidR="00403B07" w:rsidRPr="00F8075B" w14:paraId="1795705C" w14:textId="77777777" w:rsidTr="00B01272">
        <w:trPr>
          <w:trHeight w:val="323"/>
        </w:trPr>
        <w:tc>
          <w:tcPr>
            <w:tcW w:w="1441" w:type="pct"/>
            <w:tcBorders>
              <w:top w:val="nil"/>
              <w:bottom w:val="nil"/>
              <w:right w:val="nil"/>
            </w:tcBorders>
            <w:shd w:val="clear" w:color="auto" w:fill="auto"/>
            <w:noWrap/>
            <w:hideMark/>
          </w:tcPr>
          <w:p w14:paraId="135590F7" w14:textId="77777777" w:rsidR="00403B07" w:rsidRPr="00F8075B" w:rsidRDefault="00403B07" w:rsidP="00B01272">
            <w:pPr>
              <w:rPr>
                <w:rFonts w:ascii="Times New Roman" w:eastAsia="Times New Roman" w:hAnsi="Times New Roman" w:cs="Times New Roman"/>
                <w:color w:val="000000"/>
                <w:sz w:val="24"/>
                <w:szCs w:val="24"/>
              </w:rPr>
            </w:pPr>
            <w:r w:rsidRPr="00F8075B">
              <w:rPr>
                <w:rFonts w:ascii="Times New Roman" w:eastAsia="Times New Roman" w:hAnsi="Times New Roman" w:cs="Times New Roman"/>
                <w:color w:val="000000"/>
                <w:sz w:val="24"/>
                <w:szCs w:val="24"/>
              </w:rPr>
              <w:t>Venue</w:t>
            </w:r>
          </w:p>
        </w:tc>
        <w:tc>
          <w:tcPr>
            <w:tcW w:w="535" w:type="pct"/>
            <w:gridSpan w:val="2"/>
            <w:tcBorders>
              <w:top w:val="nil"/>
              <w:left w:val="nil"/>
              <w:bottom w:val="nil"/>
              <w:right w:val="nil"/>
            </w:tcBorders>
            <w:shd w:val="clear" w:color="auto" w:fill="auto"/>
            <w:noWrap/>
            <w:hideMark/>
          </w:tcPr>
          <w:p w14:paraId="54A6FC91" w14:textId="77777777" w:rsidR="00403B07" w:rsidRPr="00F8075B" w:rsidRDefault="00403B07" w:rsidP="00B01272">
            <w:pPr>
              <w:rPr>
                <w:rFonts w:ascii="Times New Roman" w:eastAsia="Times New Roman" w:hAnsi="Times New Roman" w:cs="Times New Roman"/>
                <w:color w:val="000000"/>
                <w:sz w:val="24"/>
                <w:szCs w:val="24"/>
              </w:rPr>
            </w:pPr>
            <w:r w:rsidRPr="00F8075B">
              <w:rPr>
                <w:rFonts w:ascii="Times New Roman" w:eastAsia="Times New Roman" w:hAnsi="Times New Roman" w:cs="Times New Roman"/>
                <w:color w:val="000000"/>
                <w:sz w:val="24"/>
                <w:szCs w:val="24"/>
              </w:rPr>
              <w:t>NA</w:t>
            </w:r>
          </w:p>
        </w:tc>
        <w:tc>
          <w:tcPr>
            <w:tcW w:w="385" w:type="pct"/>
            <w:gridSpan w:val="2"/>
            <w:tcBorders>
              <w:top w:val="nil"/>
              <w:left w:val="nil"/>
              <w:bottom w:val="nil"/>
              <w:right w:val="nil"/>
            </w:tcBorders>
            <w:shd w:val="clear" w:color="auto" w:fill="auto"/>
            <w:noWrap/>
            <w:hideMark/>
          </w:tcPr>
          <w:p w14:paraId="2534204B" w14:textId="77777777" w:rsidR="00403B07" w:rsidRPr="00F8075B" w:rsidRDefault="00403B07" w:rsidP="00B01272">
            <w:pPr>
              <w:rPr>
                <w:rFonts w:ascii="Times New Roman" w:eastAsia="Times New Roman" w:hAnsi="Times New Roman" w:cs="Times New Roman"/>
                <w:color w:val="000000"/>
                <w:sz w:val="24"/>
                <w:szCs w:val="24"/>
              </w:rPr>
            </w:pPr>
            <w:r w:rsidRPr="00F8075B">
              <w:rPr>
                <w:rFonts w:ascii="Times New Roman" w:eastAsia="Times New Roman" w:hAnsi="Times New Roman" w:cs="Times New Roman"/>
                <w:color w:val="000000"/>
                <w:sz w:val="24"/>
                <w:szCs w:val="24"/>
              </w:rPr>
              <w:t>NA</w:t>
            </w:r>
          </w:p>
        </w:tc>
        <w:tc>
          <w:tcPr>
            <w:tcW w:w="461" w:type="pct"/>
            <w:gridSpan w:val="2"/>
            <w:tcBorders>
              <w:top w:val="nil"/>
              <w:left w:val="nil"/>
              <w:bottom w:val="nil"/>
              <w:right w:val="nil"/>
            </w:tcBorders>
            <w:shd w:val="clear" w:color="auto" w:fill="auto"/>
            <w:noWrap/>
            <w:hideMark/>
          </w:tcPr>
          <w:p w14:paraId="5BC79A03" w14:textId="77777777" w:rsidR="00403B07" w:rsidRPr="00F8075B" w:rsidRDefault="00403B07" w:rsidP="00B01272">
            <w:pPr>
              <w:rPr>
                <w:rFonts w:ascii="Times New Roman" w:eastAsia="Times New Roman" w:hAnsi="Times New Roman" w:cs="Times New Roman"/>
                <w:color w:val="000000"/>
                <w:sz w:val="24"/>
                <w:szCs w:val="24"/>
              </w:rPr>
            </w:pPr>
            <w:r w:rsidRPr="00F8075B">
              <w:rPr>
                <w:rFonts w:ascii="Times New Roman" w:eastAsia="Times New Roman" w:hAnsi="Times New Roman" w:cs="Times New Roman"/>
                <w:color w:val="000000"/>
                <w:sz w:val="24"/>
                <w:szCs w:val="24"/>
              </w:rPr>
              <w:t>NA</w:t>
            </w:r>
          </w:p>
        </w:tc>
        <w:tc>
          <w:tcPr>
            <w:tcW w:w="691" w:type="pct"/>
            <w:tcBorders>
              <w:top w:val="nil"/>
              <w:left w:val="nil"/>
              <w:bottom w:val="nil"/>
              <w:right w:val="nil"/>
            </w:tcBorders>
            <w:shd w:val="clear" w:color="auto" w:fill="auto"/>
            <w:noWrap/>
            <w:hideMark/>
          </w:tcPr>
          <w:p w14:paraId="136C4AD8" w14:textId="77777777" w:rsidR="00403B07" w:rsidRPr="00F8075B" w:rsidRDefault="00403B07" w:rsidP="00B01272">
            <w:pPr>
              <w:rPr>
                <w:rFonts w:ascii="Times New Roman" w:eastAsia="Times New Roman" w:hAnsi="Times New Roman" w:cs="Times New Roman"/>
                <w:color w:val="000000"/>
                <w:sz w:val="24"/>
                <w:szCs w:val="24"/>
              </w:rPr>
            </w:pPr>
            <w:r w:rsidRPr="00F8075B">
              <w:rPr>
                <w:rFonts w:ascii="Times New Roman" w:eastAsia="Times New Roman" w:hAnsi="Times New Roman" w:cs="Times New Roman"/>
                <w:color w:val="000000"/>
                <w:sz w:val="24"/>
                <w:szCs w:val="24"/>
              </w:rPr>
              <w:t>NA</w:t>
            </w:r>
          </w:p>
        </w:tc>
        <w:tc>
          <w:tcPr>
            <w:tcW w:w="1488" w:type="pct"/>
            <w:tcBorders>
              <w:top w:val="nil"/>
              <w:left w:val="nil"/>
              <w:bottom w:val="nil"/>
            </w:tcBorders>
            <w:shd w:val="clear" w:color="auto" w:fill="auto"/>
            <w:noWrap/>
            <w:hideMark/>
          </w:tcPr>
          <w:p w14:paraId="3C800D92" w14:textId="77777777" w:rsidR="00403B07" w:rsidRPr="00F8075B" w:rsidRDefault="00403B07" w:rsidP="00B01272">
            <w:pPr>
              <w:rPr>
                <w:rFonts w:ascii="Times New Roman" w:eastAsia="Times New Roman" w:hAnsi="Times New Roman" w:cs="Times New Roman"/>
                <w:color w:val="000000"/>
                <w:sz w:val="24"/>
                <w:szCs w:val="24"/>
              </w:rPr>
            </w:pPr>
            <w:r w:rsidRPr="00F8075B">
              <w:rPr>
                <w:rFonts w:ascii="Times New Roman" w:eastAsia="Times New Roman" w:hAnsi="Times New Roman" w:cs="Times New Roman"/>
                <w:color w:val="000000"/>
                <w:sz w:val="24"/>
                <w:szCs w:val="24"/>
              </w:rPr>
              <w:t>Costs not included</w:t>
            </w:r>
          </w:p>
        </w:tc>
      </w:tr>
      <w:tr w:rsidR="00403B07" w:rsidRPr="00F8075B" w14:paraId="1D06D6C7" w14:textId="77777777" w:rsidTr="00B01272">
        <w:trPr>
          <w:trHeight w:val="323"/>
        </w:trPr>
        <w:tc>
          <w:tcPr>
            <w:tcW w:w="1441" w:type="pct"/>
            <w:tcBorders>
              <w:top w:val="nil"/>
              <w:bottom w:val="nil"/>
              <w:right w:val="nil"/>
            </w:tcBorders>
            <w:shd w:val="clear" w:color="auto" w:fill="auto"/>
            <w:noWrap/>
            <w:hideMark/>
          </w:tcPr>
          <w:p w14:paraId="5B04367D" w14:textId="77777777" w:rsidR="00403B07" w:rsidRPr="00F8075B" w:rsidRDefault="00403B07" w:rsidP="00B01272">
            <w:pPr>
              <w:rPr>
                <w:rFonts w:ascii="Times New Roman" w:eastAsia="Times New Roman" w:hAnsi="Times New Roman" w:cs="Times New Roman"/>
                <w:color w:val="000000"/>
                <w:sz w:val="24"/>
                <w:szCs w:val="24"/>
              </w:rPr>
            </w:pPr>
            <w:r w:rsidRPr="00F8075B">
              <w:rPr>
                <w:rFonts w:ascii="Times New Roman" w:eastAsia="Times New Roman" w:hAnsi="Times New Roman" w:cs="Times New Roman"/>
                <w:color w:val="000000"/>
                <w:sz w:val="24"/>
                <w:szCs w:val="24"/>
              </w:rPr>
              <w:t>Other course costs</w:t>
            </w:r>
            <w:r w:rsidRPr="00F8075B">
              <w:rPr>
                <w:rFonts w:ascii="Times New Roman" w:eastAsia="Times New Roman" w:hAnsi="Times New Roman" w:cs="Times New Roman"/>
                <w:color w:val="000000"/>
                <w:sz w:val="24"/>
                <w:szCs w:val="24"/>
                <w:vertAlign w:val="superscript"/>
              </w:rPr>
              <w:t>a</w:t>
            </w:r>
          </w:p>
        </w:tc>
        <w:tc>
          <w:tcPr>
            <w:tcW w:w="535" w:type="pct"/>
            <w:gridSpan w:val="2"/>
            <w:tcBorders>
              <w:top w:val="nil"/>
              <w:left w:val="nil"/>
              <w:bottom w:val="nil"/>
              <w:right w:val="nil"/>
            </w:tcBorders>
            <w:shd w:val="clear" w:color="auto" w:fill="auto"/>
            <w:noWrap/>
            <w:hideMark/>
          </w:tcPr>
          <w:p w14:paraId="4BAB34AC" w14:textId="77777777" w:rsidR="00403B07" w:rsidRPr="00F8075B" w:rsidRDefault="00403B07" w:rsidP="00B01272">
            <w:pPr>
              <w:rPr>
                <w:rFonts w:ascii="Times New Roman" w:eastAsia="Times New Roman" w:hAnsi="Times New Roman" w:cs="Times New Roman"/>
                <w:color w:val="000000"/>
                <w:sz w:val="24"/>
                <w:szCs w:val="24"/>
              </w:rPr>
            </w:pPr>
            <w:r w:rsidRPr="00F8075B">
              <w:rPr>
                <w:rFonts w:ascii="Times New Roman" w:eastAsia="Times New Roman" w:hAnsi="Times New Roman" w:cs="Times New Roman"/>
                <w:color w:val="000000"/>
                <w:sz w:val="24"/>
                <w:szCs w:val="24"/>
              </w:rPr>
              <w:t>NA</w:t>
            </w:r>
          </w:p>
        </w:tc>
        <w:tc>
          <w:tcPr>
            <w:tcW w:w="385" w:type="pct"/>
            <w:gridSpan w:val="2"/>
            <w:tcBorders>
              <w:top w:val="nil"/>
              <w:left w:val="nil"/>
              <w:bottom w:val="nil"/>
              <w:right w:val="nil"/>
            </w:tcBorders>
            <w:shd w:val="clear" w:color="auto" w:fill="auto"/>
            <w:noWrap/>
            <w:hideMark/>
          </w:tcPr>
          <w:p w14:paraId="02108D78" w14:textId="77777777" w:rsidR="00403B07" w:rsidRPr="00F8075B" w:rsidRDefault="00403B07" w:rsidP="00B01272">
            <w:pPr>
              <w:rPr>
                <w:rFonts w:ascii="Times New Roman" w:eastAsia="Times New Roman" w:hAnsi="Times New Roman" w:cs="Times New Roman"/>
                <w:color w:val="000000"/>
                <w:sz w:val="24"/>
                <w:szCs w:val="24"/>
              </w:rPr>
            </w:pPr>
            <w:r w:rsidRPr="00F8075B">
              <w:rPr>
                <w:rFonts w:ascii="Times New Roman" w:eastAsia="Times New Roman" w:hAnsi="Times New Roman" w:cs="Times New Roman"/>
                <w:color w:val="000000"/>
                <w:sz w:val="24"/>
                <w:szCs w:val="24"/>
              </w:rPr>
              <w:t>NA</w:t>
            </w:r>
          </w:p>
        </w:tc>
        <w:tc>
          <w:tcPr>
            <w:tcW w:w="461" w:type="pct"/>
            <w:gridSpan w:val="2"/>
            <w:tcBorders>
              <w:top w:val="nil"/>
              <w:left w:val="nil"/>
              <w:bottom w:val="nil"/>
              <w:right w:val="nil"/>
            </w:tcBorders>
            <w:shd w:val="clear" w:color="auto" w:fill="auto"/>
            <w:noWrap/>
            <w:hideMark/>
          </w:tcPr>
          <w:p w14:paraId="500FE60C" w14:textId="77777777" w:rsidR="00403B07" w:rsidRPr="00F8075B" w:rsidRDefault="00403B07" w:rsidP="00B01272">
            <w:pPr>
              <w:rPr>
                <w:rFonts w:ascii="Times New Roman" w:eastAsia="Times New Roman" w:hAnsi="Times New Roman" w:cs="Times New Roman"/>
                <w:color w:val="000000"/>
                <w:sz w:val="24"/>
                <w:szCs w:val="24"/>
              </w:rPr>
            </w:pPr>
            <w:r w:rsidRPr="00F8075B">
              <w:rPr>
                <w:rFonts w:ascii="Times New Roman" w:eastAsia="Times New Roman" w:hAnsi="Times New Roman" w:cs="Times New Roman"/>
                <w:color w:val="000000"/>
                <w:sz w:val="24"/>
                <w:szCs w:val="24"/>
              </w:rPr>
              <w:t>NA</w:t>
            </w:r>
          </w:p>
        </w:tc>
        <w:tc>
          <w:tcPr>
            <w:tcW w:w="691" w:type="pct"/>
            <w:tcBorders>
              <w:top w:val="nil"/>
              <w:left w:val="nil"/>
              <w:bottom w:val="nil"/>
              <w:right w:val="nil"/>
            </w:tcBorders>
            <w:shd w:val="clear" w:color="auto" w:fill="auto"/>
            <w:noWrap/>
            <w:hideMark/>
          </w:tcPr>
          <w:p w14:paraId="0CF92FB5" w14:textId="77777777" w:rsidR="00403B07" w:rsidRPr="00F8075B" w:rsidRDefault="00403B07" w:rsidP="00B01272">
            <w:pPr>
              <w:rPr>
                <w:rFonts w:ascii="Times New Roman" w:eastAsia="Times New Roman" w:hAnsi="Times New Roman" w:cs="Times New Roman"/>
                <w:color w:val="000000"/>
                <w:sz w:val="24"/>
                <w:szCs w:val="24"/>
              </w:rPr>
            </w:pPr>
            <w:r w:rsidRPr="00F8075B">
              <w:rPr>
                <w:rFonts w:ascii="Times New Roman" w:eastAsia="Times New Roman" w:hAnsi="Times New Roman" w:cs="Times New Roman"/>
                <w:color w:val="000000"/>
                <w:sz w:val="24"/>
                <w:szCs w:val="24"/>
              </w:rPr>
              <w:t>500.00</w:t>
            </w:r>
          </w:p>
        </w:tc>
        <w:tc>
          <w:tcPr>
            <w:tcW w:w="1488" w:type="pct"/>
            <w:tcBorders>
              <w:top w:val="nil"/>
              <w:left w:val="nil"/>
              <w:bottom w:val="nil"/>
            </w:tcBorders>
            <w:shd w:val="clear" w:color="auto" w:fill="auto"/>
            <w:noWrap/>
            <w:hideMark/>
          </w:tcPr>
          <w:p w14:paraId="4EA7F8F6" w14:textId="77777777" w:rsidR="00403B07" w:rsidRPr="00F8075B" w:rsidRDefault="00403B07" w:rsidP="00B01272">
            <w:pPr>
              <w:rPr>
                <w:rFonts w:ascii="Times New Roman" w:eastAsia="Times New Roman" w:hAnsi="Times New Roman" w:cs="Times New Roman"/>
                <w:color w:val="000000"/>
                <w:sz w:val="24"/>
                <w:szCs w:val="24"/>
              </w:rPr>
            </w:pPr>
          </w:p>
        </w:tc>
      </w:tr>
      <w:tr w:rsidR="00403B07" w:rsidRPr="00F8075B" w14:paraId="0A1FC0FE" w14:textId="77777777" w:rsidTr="00B01272">
        <w:trPr>
          <w:trHeight w:val="323"/>
        </w:trPr>
        <w:tc>
          <w:tcPr>
            <w:tcW w:w="1516" w:type="pct"/>
            <w:gridSpan w:val="2"/>
            <w:tcBorders>
              <w:top w:val="single" w:sz="4" w:space="0" w:color="auto"/>
              <w:bottom w:val="single" w:sz="4" w:space="0" w:color="auto"/>
              <w:right w:val="nil"/>
            </w:tcBorders>
            <w:shd w:val="clear" w:color="auto" w:fill="auto"/>
            <w:noWrap/>
            <w:hideMark/>
          </w:tcPr>
          <w:p w14:paraId="2A6A48DE" w14:textId="77777777" w:rsidR="00403B07" w:rsidRPr="00F8075B" w:rsidRDefault="00403B07" w:rsidP="00B01272">
            <w:pPr>
              <w:rPr>
                <w:rFonts w:ascii="Times New Roman" w:eastAsia="Times New Roman" w:hAnsi="Times New Roman" w:cs="Times New Roman"/>
                <w:bCs/>
                <w:color w:val="000000"/>
                <w:sz w:val="24"/>
                <w:szCs w:val="24"/>
              </w:rPr>
            </w:pPr>
            <w:r w:rsidRPr="00F8075B">
              <w:rPr>
                <w:rFonts w:ascii="Times New Roman" w:eastAsia="Times New Roman" w:hAnsi="Times New Roman" w:cs="Times New Roman"/>
                <w:bCs/>
                <w:color w:val="000000"/>
                <w:sz w:val="24"/>
                <w:szCs w:val="24"/>
              </w:rPr>
              <w:t>Total cost</w:t>
            </w:r>
          </w:p>
        </w:tc>
        <w:tc>
          <w:tcPr>
            <w:tcW w:w="537" w:type="pct"/>
            <w:gridSpan w:val="2"/>
            <w:tcBorders>
              <w:top w:val="single" w:sz="4" w:space="0" w:color="auto"/>
              <w:left w:val="nil"/>
              <w:bottom w:val="single" w:sz="4" w:space="0" w:color="auto"/>
              <w:right w:val="nil"/>
            </w:tcBorders>
            <w:shd w:val="clear" w:color="auto" w:fill="auto"/>
            <w:noWrap/>
          </w:tcPr>
          <w:p w14:paraId="4A7A2572" w14:textId="77777777" w:rsidR="00403B07" w:rsidRPr="00F8075B" w:rsidRDefault="00403B07" w:rsidP="00B01272">
            <w:pPr>
              <w:rPr>
                <w:rFonts w:ascii="Times New Roman" w:eastAsia="Times New Roman" w:hAnsi="Times New Roman" w:cs="Times New Roman"/>
                <w:bCs/>
                <w:color w:val="000000"/>
                <w:sz w:val="24"/>
                <w:szCs w:val="24"/>
              </w:rPr>
            </w:pPr>
          </w:p>
        </w:tc>
        <w:tc>
          <w:tcPr>
            <w:tcW w:w="384" w:type="pct"/>
            <w:gridSpan w:val="2"/>
            <w:tcBorders>
              <w:top w:val="single" w:sz="4" w:space="0" w:color="auto"/>
              <w:left w:val="nil"/>
              <w:bottom w:val="single" w:sz="4" w:space="0" w:color="auto"/>
              <w:right w:val="nil"/>
            </w:tcBorders>
            <w:shd w:val="clear" w:color="auto" w:fill="auto"/>
            <w:noWrap/>
          </w:tcPr>
          <w:p w14:paraId="4AFB541D" w14:textId="77777777" w:rsidR="00403B07" w:rsidRPr="00F8075B" w:rsidRDefault="00403B07" w:rsidP="00B01272">
            <w:pPr>
              <w:rPr>
                <w:rFonts w:ascii="Times New Roman" w:eastAsia="Times New Roman" w:hAnsi="Times New Roman" w:cs="Times New Roman"/>
                <w:bCs/>
                <w:color w:val="000000"/>
                <w:sz w:val="24"/>
                <w:szCs w:val="24"/>
              </w:rPr>
            </w:pPr>
          </w:p>
        </w:tc>
        <w:tc>
          <w:tcPr>
            <w:tcW w:w="384" w:type="pct"/>
            <w:tcBorders>
              <w:top w:val="single" w:sz="4" w:space="0" w:color="auto"/>
              <w:left w:val="nil"/>
              <w:bottom w:val="single" w:sz="4" w:space="0" w:color="auto"/>
              <w:right w:val="nil"/>
            </w:tcBorders>
            <w:shd w:val="clear" w:color="auto" w:fill="auto"/>
            <w:noWrap/>
          </w:tcPr>
          <w:p w14:paraId="26D6C43D" w14:textId="77777777" w:rsidR="00403B07" w:rsidRPr="00F8075B" w:rsidRDefault="00403B07" w:rsidP="00B01272">
            <w:pPr>
              <w:rPr>
                <w:rFonts w:ascii="Times New Roman" w:eastAsia="Times New Roman" w:hAnsi="Times New Roman" w:cs="Times New Roman"/>
                <w:bCs/>
                <w:color w:val="000000"/>
                <w:sz w:val="24"/>
                <w:szCs w:val="24"/>
              </w:rPr>
            </w:pPr>
          </w:p>
        </w:tc>
        <w:tc>
          <w:tcPr>
            <w:tcW w:w="691" w:type="pct"/>
            <w:tcBorders>
              <w:top w:val="single" w:sz="4" w:space="0" w:color="auto"/>
              <w:left w:val="nil"/>
              <w:bottom w:val="single" w:sz="4" w:space="0" w:color="auto"/>
              <w:right w:val="nil"/>
            </w:tcBorders>
            <w:shd w:val="clear" w:color="auto" w:fill="auto"/>
            <w:noWrap/>
          </w:tcPr>
          <w:p w14:paraId="18331AA0" w14:textId="77777777" w:rsidR="00403B07" w:rsidRPr="00F8075B" w:rsidRDefault="00403B07" w:rsidP="00B01272">
            <w:pPr>
              <w:rPr>
                <w:rFonts w:ascii="Times New Roman" w:eastAsia="Times New Roman" w:hAnsi="Times New Roman" w:cs="Times New Roman"/>
                <w:bCs/>
                <w:color w:val="000000"/>
                <w:sz w:val="24"/>
                <w:szCs w:val="24"/>
              </w:rPr>
            </w:pPr>
            <w:r w:rsidRPr="00F8075B">
              <w:rPr>
                <w:rFonts w:ascii="Times New Roman" w:eastAsia="Times New Roman" w:hAnsi="Times New Roman" w:cs="Times New Roman"/>
                <w:bCs/>
                <w:color w:val="000000"/>
                <w:sz w:val="24"/>
                <w:szCs w:val="24"/>
              </w:rPr>
              <w:t>5145.54</w:t>
            </w:r>
          </w:p>
        </w:tc>
        <w:tc>
          <w:tcPr>
            <w:tcW w:w="1488" w:type="pct"/>
            <w:tcBorders>
              <w:top w:val="single" w:sz="4" w:space="0" w:color="auto"/>
              <w:left w:val="nil"/>
              <w:bottom w:val="single" w:sz="4" w:space="0" w:color="auto"/>
            </w:tcBorders>
            <w:shd w:val="clear" w:color="auto" w:fill="auto"/>
            <w:noWrap/>
          </w:tcPr>
          <w:p w14:paraId="7B912405" w14:textId="77777777" w:rsidR="00403B07" w:rsidRPr="00F8075B" w:rsidRDefault="00403B07" w:rsidP="00B01272">
            <w:pPr>
              <w:rPr>
                <w:rFonts w:ascii="Times New Roman" w:eastAsia="Times New Roman" w:hAnsi="Times New Roman" w:cs="Times New Roman"/>
                <w:bCs/>
                <w:color w:val="000000"/>
                <w:sz w:val="24"/>
                <w:szCs w:val="24"/>
              </w:rPr>
            </w:pPr>
          </w:p>
        </w:tc>
      </w:tr>
      <w:tr w:rsidR="00403B07" w:rsidRPr="00F8075B" w14:paraId="52014A80" w14:textId="77777777" w:rsidTr="00B01272">
        <w:trPr>
          <w:trHeight w:val="323"/>
        </w:trPr>
        <w:tc>
          <w:tcPr>
            <w:tcW w:w="1516" w:type="pct"/>
            <w:gridSpan w:val="2"/>
            <w:tcBorders>
              <w:top w:val="nil"/>
              <w:right w:val="nil"/>
            </w:tcBorders>
            <w:shd w:val="clear" w:color="auto" w:fill="auto"/>
            <w:noWrap/>
            <w:hideMark/>
          </w:tcPr>
          <w:p w14:paraId="7F3B7669" w14:textId="77777777" w:rsidR="00403B07" w:rsidRPr="00F8075B" w:rsidRDefault="00403B07" w:rsidP="00B01272">
            <w:pPr>
              <w:rPr>
                <w:rFonts w:ascii="Times New Roman" w:eastAsia="Times New Roman" w:hAnsi="Times New Roman" w:cs="Times New Roman"/>
                <w:i/>
                <w:color w:val="000000"/>
                <w:sz w:val="24"/>
                <w:szCs w:val="24"/>
              </w:rPr>
            </w:pPr>
            <w:r w:rsidRPr="00F8075B">
              <w:rPr>
                <w:rFonts w:ascii="Times New Roman" w:eastAsia="Times New Roman" w:hAnsi="Times New Roman" w:cs="Times New Roman"/>
                <w:i/>
                <w:color w:val="000000"/>
                <w:sz w:val="24"/>
                <w:szCs w:val="24"/>
              </w:rPr>
              <w:t>Cost per HeLP Coordinator</w:t>
            </w:r>
          </w:p>
        </w:tc>
        <w:tc>
          <w:tcPr>
            <w:tcW w:w="537" w:type="pct"/>
            <w:gridSpan w:val="2"/>
            <w:tcBorders>
              <w:top w:val="nil"/>
              <w:left w:val="nil"/>
              <w:right w:val="nil"/>
            </w:tcBorders>
            <w:shd w:val="clear" w:color="auto" w:fill="auto"/>
            <w:noWrap/>
          </w:tcPr>
          <w:p w14:paraId="273A8572" w14:textId="77777777" w:rsidR="00403B07" w:rsidRPr="00F8075B" w:rsidRDefault="00403B07" w:rsidP="00B01272">
            <w:pPr>
              <w:rPr>
                <w:rFonts w:ascii="Times New Roman" w:eastAsia="Times New Roman" w:hAnsi="Times New Roman" w:cs="Times New Roman"/>
                <w:i/>
                <w:color w:val="000000"/>
                <w:sz w:val="24"/>
                <w:szCs w:val="24"/>
              </w:rPr>
            </w:pPr>
          </w:p>
        </w:tc>
        <w:tc>
          <w:tcPr>
            <w:tcW w:w="384" w:type="pct"/>
            <w:gridSpan w:val="2"/>
            <w:tcBorders>
              <w:top w:val="nil"/>
              <w:left w:val="nil"/>
              <w:right w:val="nil"/>
            </w:tcBorders>
            <w:shd w:val="clear" w:color="auto" w:fill="auto"/>
            <w:noWrap/>
          </w:tcPr>
          <w:p w14:paraId="0B1E1E17" w14:textId="77777777" w:rsidR="00403B07" w:rsidRPr="00F8075B" w:rsidRDefault="00403B07" w:rsidP="00B01272">
            <w:pPr>
              <w:rPr>
                <w:rFonts w:ascii="Times New Roman" w:eastAsia="Times New Roman" w:hAnsi="Times New Roman" w:cs="Times New Roman"/>
                <w:i/>
                <w:color w:val="000000"/>
                <w:sz w:val="24"/>
                <w:szCs w:val="24"/>
              </w:rPr>
            </w:pPr>
          </w:p>
        </w:tc>
        <w:tc>
          <w:tcPr>
            <w:tcW w:w="384" w:type="pct"/>
            <w:tcBorders>
              <w:top w:val="nil"/>
              <w:left w:val="nil"/>
              <w:right w:val="nil"/>
            </w:tcBorders>
            <w:shd w:val="clear" w:color="auto" w:fill="auto"/>
            <w:noWrap/>
          </w:tcPr>
          <w:p w14:paraId="1D750A43" w14:textId="77777777" w:rsidR="00403B07" w:rsidRPr="00F8075B" w:rsidRDefault="00403B07" w:rsidP="00B01272">
            <w:pPr>
              <w:rPr>
                <w:rFonts w:ascii="Times New Roman" w:eastAsia="Times New Roman" w:hAnsi="Times New Roman" w:cs="Times New Roman"/>
                <w:i/>
                <w:color w:val="000000"/>
                <w:sz w:val="24"/>
                <w:szCs w:val="24"/>
              </w:rPr>
            </w:pPr>
          </w:p>
        </w:tc>
        <w:tc>
          <w:tcPr>
            <w:tcW w:w="691" w:type="pct"/>
            <w:tcBorders>
              <w:top w:val="nil"/>
              <w:left w:val="nil"/>
              <w:right w:val="nil"/>
            </w:tcBorders>
            <w:shd w:val="clear" w:color="auto" w:fill="auto"/>
            <w:noWrap/>
          </w:tcPr>
          <w:p w14:paraId="2E175EC5" w14:textId="77777777" w:rsidR="00403B07" w:rsidRPr="00F8075B" w:rsidRDefault="00403B07" w:rsidP="00B01272">
            <w:pPr>
              <w:rPr>
                <w:rFonts w:ascii="Times New Roman" w:eastAsia="Times New Roman" w:hAnsi="Times New Roman" w:cs="Times New Roman"/>
                <w:i/>
                <w:color w:val="000000"/>
                <w:sz w:val="24"/>
                <w:szCs w:val="24"/>
              </w:rPr>
            </w:pPr>
            <w:r w:rsidRPr="00F8075B">
              <w:rPr>
                <w:rFonts w:ascii="Times New Roman" w:eastAsia="Times New Roman" w:hAnsi="Times New Roman" w:cs="Times New Roman"/>
                <w:i/>
                <w:color w:val="000000"/>
                <w:sz w:val="24"/>
                <w:szCs w:val="24"/>
              </w:rPr>
              <w:t>2572.77</w:t>
            </w:r>
          </w:p>
        </w:tc>
        <w:tc>
          <w:tcPr>
            <w:tcW w:w="1488" w:type="pct"/>
            <w:tcBorders>
              <w:top w:val="nil"/>
              <w:left w:val="nil"/>
            </w:tcBorders>
            <w:shd w:val="clear" w:color="auto" w:fill="auto"/>
          </w:tcPr>
          <w:p w14:paraId="519B6868" w14:textId="77777777" w:rsidR="00403B07" w:rsidRPr="00F8075B" w:rsidRDefault="00403B07" w:rsidP="00B01272">
            <w:pPr>
              <w:rPr>
                <w:rFonts w:ascii="Times New Roman" w:eastAsia="Times New Roman" w:hAnsi="Times New Roman" w:cs="Times New Roman"/>
                <w:i/>
                <w:color w:val="000000"/>
                <w:sz w:val="24"/>
                <w:szCs w:val="24"/>
              </w:rPr>
            </w:pPr>
          </w:p>
        </w:tc>
      </w:tr>
      <w:tr w:rsidR="00403B07" w:rsidRPr="00F8075B" w14:paraId="0C6870F7" w14:textId="77777777" w:rsidTr="00B01272">
        <w:trPr>
          <w:trHeight w:val="323"/>
        </w:trPr>
        <w:tc>
          <w:tcPr>
            <w:tcW w:w="1516" w:type="pct"/>
            <w:gridSpan w:val="2"/>
            <w:tcBorders>
              <w:top w:val="nil"/>
              <w:bottom w:val="single" w:sz="4" w:space="0" w:color="auto"/>
              <w:right w:val="nil"/>
            </w:tcBorders>
            <w:shd w:val="clear" w:color="auto" w:fill="auto"/>
            <w:noWrap/>
            <w:hideMark/>
          </w:tcPr>
          <w:p w14:paraId="1693FFD9" w14:textId="77777777" w:rsidR="00403B07" w:rsidRPr="00F8075B" w:rsidRDefault="00403B07" w:rsidP="00B01272">
            <w:pPr>
              <w:rPr>
                <w:rFonts w:ascii="Times New Roman" w:eastAsia="Times New Roman" w:hAnsi="Times New Roman" w:cs="Times New Roman"/>
                <w:i/>
                <w:color w:val="000000"/>
                <w:sz w:val="24"/>
                <w:szCs w:val="24"/>
              </w:rPr>
            </w:pPr>
            <w:r w:rsidRPr="00F8075B">
              <w:rPr>
                <w:rFonts w:ascii="Times New Roman" w:eastAsia="Times New Roman" w:hAnsi="Times New Roman" w:cs="Times New Roman"/>
                <w:i/>
                <w:color w:val="000000"/>
                <w:sz w:val="24"/>
                <w:szCs w:val="24"/>
              </w:rPr>
              <w:t xml:space="preserve">Cost per class </w:t>
            </w:r>
            <w:r w:rsidRPr="00F8075B">
              <w:rPr>
                <w:rFonts w:ascii="Times New Roman" w:eastAsia="Times New Roman" w:hAnsi="Times New Roman" w:cs="Times New Roman"/>
                <w:i/>
                <w:color w:val="000000"/>
                <w:sz w:val="24"/>
                <w:szCs w:val="24"/>
              </w:rPr>
              <w:br/>
              <w:t>(participant)</w:t>
            </w:r>
          </w:p>
        </w:tc>
        <w:tc>
          <w:tcPr>
            <w:tcW w:w="537" w:type="pct"/>
            <w:gridSpan w:val="2"/>
            <w:tcBorders>
              <w:top w:val="nil"/>
              <w:left w:val="nil"/>
              <w:bottom w:val="single" w:sz="4" w:space="0" w:color="auto"/>
              <w:right w:val="nil"/>
            </w:tcBorders>
            <w:shd w:val="clear" w:color="auto" w:fill="auto"/>
            <w:noWrap/>
          </w:tcPr>
          <w:p w14:paraId="46CAD829" w14:textId="77777777" w:rsidR="00403B07" w:rsidRPr="00F8075B" w:rsidRDefault="00403B07" w:rsidP="00B01272">
            <w:pPr>
              <w:rPr>
                <w:rFonts w:ascii="Times New Roman" w:eastAsia="Times New Roman" w:hAnsi="Times New Roman" w:cs="Times New Roman"/>
                <w:i/>
                <w:color w:val="000000"/>
                <w:sz w:val="24"/>
                <w:szCs w:val="24"/>
              </w:rPr>
            </w:pPr>
          </w:p>
        </w:tc>
        <w:tc>
          <w:tcPr>
            <w:tcW w:w="384" w:type="pct"/>
            <w:gridSpan w:val="2"/>
            <w:tcBorders>
              <w:top w:val="nil"/>
              <w:left w:val="nil"/>
              <w:bottom w:val="single" w:sz="4" w:space="0" w:color="auto"/>
              <w:right w:val="nil"/>
            </w:tcBorders>
            <w:shd w:val="clear" w:color="auto" w:fill="auto"/>
            <w:noWrap/>
          </w:tcPr>
          <w:p w14:paraId="6ED37CCD" w14:textId="77777777" w:rsidR="00403B07" w:rsidRPr="00F8075B" w:rsidRDefault="00403B07" w:rsidP="00B01272">
            <w:pPr>
              <w:rPr>
                <w:rFonts w:ascii="Times New Roman" w:eastAsia="Times New Roman" w:hAnsi="Times New Roman" w:cs="Times New Roman"/>
                <w:i/>
                <w:color w:val="000000"/>
                <w:sz w:val="24"/>
                <w:szCs w:val="24"/>
              </w:rPr>
            </w:pPr>
          </w:p>
        </w:tc>
        <w:tc>
          <w:tcPr>
            <w:tcW w:w="384" w:type="pct"/>
            <w:tcBorders>
              <w:top w:val="nil"/>
              <w:left w:val="nil"/>
              <w:bottom w:val="single" w:sz="4" w:space="0" w:color="auto"/>
              <w:right w:val="nil"/>
            </w:tcBorders>
            <w:shd w:val="clear" w:color="auto" w:fill="auto"/>
            <w:noWrap/>
          </w:tcPr>
          <w:p w14:paraId="4267B17E" w14:textId="77777777" w:rsidR="00403B07" w:rsidRPr="00F8075B" w:rsidRDefault="00403B07" w:rsidP="00B01272">
            <w:pPr>
              <w:rPr>
                <w:rFonts w:ascii="Times New Roman" w:eastAsia="Times New Roman" w:hAnsi="Times New Roman" w:cs="Times New Roman"/>
                <w:i/>
                <w:color w:val="000000"/>
                <w:sz w:val="24"/>
                <w:szCs w:val="24"/>
              </w:rPr>
            </w:pPr>
          </w:p>
        </w:tc>
        <w:tc>
          <w:tcPr>
            <w:tcW w:w="691" w:type="pct"/>
            <w:tcBorders>
              <w:top w:val="nil"/>
              <w:left w:val="nil"/>
              <w:bottom w:val="single" w:sz="4" w:space="0" w:color="auto"/>
              <w:right w:val="nil"/>
            </w:tcBorders>
            <w:shd w:val="clear" w:color="auto" w:fill="auto"/>
            <w:noWrap/>
            <w:hideMark/>
          </w:tcPr>
          <w:p w14:paraId="1F1113B4" w14:textId="77777777" w:rsidR="00403B07" w:rsidRPr="00F8075B" w:rsidRDefault="00403B07" w:rsidP="00B01272">
            <w:pPr>
              <w:rPr>
                <w:rFonts w:ascii="Times New Roman" w:eastAsia="Times New Roman" w:hAnsi="Times New Roman" w:cs="Times New Roman"/>
                <w:i/>
                <w:color w:val="000000"/>
                <w:sz w:val="24"/>
                <w:szCs w:val="24"/>
              </w:rPr>
            </w:pPr>
            <w:r w:rsidRPr="00F8075B">
              <w:rPr>
                <w:rFonts w:ascii="Times New Roman" w:eastAsia="Times New Roman" w:hAnsi="Times New Roman" w:cs="Times New Roman"/>
                <w:i/>
                <w:color w:val="000000"/>
                <w:sz w:val="24"/>
                <w:szCs w:val="24"/>
              </w:rPr>
              <w:t>190.58 (7.61)</w:t>
            </w:r>
          </w:p>
        </w:tc>
        <w:tc>
          <w:tcPr>
            <w:tcW w:w="1488" w:type="pct"/>
            <w:tcBorders>
              <w:top w:val="nil"/>
              <w:left w:val="nil"/>
              <w:bottom w:val="single" w:sz="4" w:space="0" w:color="auto"/>
            </w:tcBorders>
            <w:shd w:val="clear" w:color="auto" w:fill="auto"/>
            <w:noWrap/>
          </w:tcPr>
          <w:p w14:paraId="6D2DAD90" w14:textId="77777777" w:rsidR="00403B07" w:rsidRPr="00F8075B" w:rsidRDefault="00403B07" w:rsidP="00B01272">
            <w:pPr>
              <w:rPr>
                <w:rFonts w:ascii="Times New Roman" w:eastAsia="Times New Roman" w:hAnsi="Times New Roman" w:cs="Times New Roman"/>
                <w:color w:val="000000"/>
                <w:sz w:val="24"/>
                <w:szCs w:val="24"/>
              </w:rPr>
            </w:pPr>
            <w:r w:rsidRPr="00F8075B">
              <w:rPr>
                <w:rFonts w:ascii="Times New Roman" w:eastAsia="Times New Roman" w:hAnsi="Times New Roman" w:cs="Times New Roman"/>
                <w:color w:val="000000"/>
                <w:sz w:val="24"/>
                <w:szCs w:val="24"/>
              </w:rPr>
              <w:t>[Based on base case cohort of 27 classes, n=25 per class]</w:t>
            </w:r>
          </w:p>
        </w:tc>
      </w:tr>
    </w:tbl>
    <w:p w14:paraId="1DC26CC1" w14:textId="77777777" w:rsidR="00403B07" w:rsidRPr="00F8075B" w:rsidRDefault="00403B07" w:rsidP="00403B07">
      <w:pPr>
        <w:rPr>
          <w:rFonts w:ascii="Times New Roman" w:hAnsi="Times New Roman" w:cs="Times New Roman"/>
          <w:sz w:val="20"/>
          <w:szCs w:val="20"/>
        </w:rPr>
      </w:pPr>
      <w:r w:rsidRPr="00F8075B">
        <w:rPr>
          <w:rFonts w:ascii="Times New Roman" w:hAnsi="Times New Roman" w:cs="Times New Roman"/>
          <w:sz w:val="20"/>
          <w:szCs w:val="20"/>
        </w:rPr>
        <w:t>Key: HCs = HeLP Coordinators; HeLP = Healthy Lifestyles Programme; Hrs = hours; NA = not applicable</w:t>
      </w:r>
    </w:p>
    <w:p w14:paraId="46D2E45B" w14:textId="77777777" w:rsidR="00403B07" w:rsidRPr="00F8075B" w:rsidRDefault="00403B07" w:rsidP="00403B07">
      <w:pPr>
        <w:rPr>
          <w:rFonts w:ascii="Times New Roman" w:hAnsi="Times New Roman" w:cs="Times New Roman"/>
          <w:sz w:val="20"/>
          <w:szCs w:val="20"/>
        </w:rPr>
      </w:pPr>
      <w:r w:rsidRPr="00F8075B">
        <w:rPr>
          <w:rFonts w:ascii="Times New Roman" w:hAnsi="Times New Roman" w:cs="Times New Roman"/>
          <w:sz w:val="20"/>
          <w:szCs w:val="20"/>
        </w:rPr>
        <w:t xml:space="preserve">Notes: </w:t>
      </w:r>
      <w:r w:rsidRPr="00F8075B">
        <w:rPr>
          <w:rFonts w:ascii="Times New Roman" w:hAnsi="Times New Roman" w:cs="Times New Roman"/>
          <w:sz w:val="20"/>
          <w:szCs w:val="20"/>
          <w:vertAlign w:val="superscript"/>
        </w:rPr>
        <w:t xml:space="preserve">a </w:t>
      </w:r>
      <w:r w:rsidRPr="00F8075B">
        <w:rPr>
          <w:rFonts w:ascii="Times New Roman" w:hAnsi="Times New Roman" w:cs="Times New Roman"/>
          <w:sz w:val="20"/>
          <w:szCs w:val="20"/>
        </w:rPr>
        <w:t>Allowance for course materials and subsistence (e.g. refreshments)</w:t>
      </w:r>
    </w:p>
    <w:p w14:paraId="238F5266" w14:textId="77777777" w:rsidR="00403B07" w:rsidRDefault="00403B07" w:rsidP="00403B07">
      <w:pPr>
        <w:rPr>
          <w:rFonts w:ascii="Times New Roman" w:hAnsi="Times New Roman" w:cs="Times New Roman"/>
          <w:sz w:val="20"/>
          <w:szCs w:val="20"/>
        </w:rPr>
      </w:pPr>
      <w:r w:rsidRPr="00F8075B">
        <w:rPr>
          <w:rFonts w:ascii="Times New Roman" w:hAnsi="Times New Roman" w:cs="Times New Roman"/>
          <w:sz w:val="20"/>
          <w:szCs w:val="20"/>
        </w:rPr>
        <w:t>Notes:  We train 4 HeLP Coordinators in order to provide 2 Coordinators (core) for delivery of the in</w:t>
      </w:r>
      <w:r>
        <w:rPr>
          <w:rFonts w:ascii="Times New Roman" w:hAnsi="Times New Roman" w:cs="Times New Roman"/>
          <w:sz w:val="20"/>
          <w:szCs w:val="20"/>
        </w:rPr>
        <w:t>tervention across the 27 classe</w:t>
      </w:r>
      <w:r w:rsidRPr="00F8075B">
        <w:rPr>
          <w:rFonts w:ascii="Times New Roman" w:hAnsi="Times New Roman" w:cs="Times New Roman"/>
          <w:sz w:val="20"/>
          <w:szCs w:val="20"/>
        </w:rPr>
        <w:t>s, with 2 additional people trained and available to cover the Coordinator role where needed (sickness/absence cover).</w:t>
      </w:r>
    </w:p>
    <w:p w14:paraId="4C58D6A4" w14:textId="77777777" w:rsidR="00403B07" w:rsidRDefault="00403B07" w:rsidP="00403B07">
      <w:pPr>
        <w:rPr>
          <w:rFonts w:ascii="Times New Roman" w:hAnsi="Times New Roman" w:cs="Times New Roman"/>
          <w:sz w:val="20"/>
          <w:szCs w:val="20"/>
        </w:rPr>
      </w:pPr>
    </w:p>
    <w:p w14:paraId="072F2547" w14:textId="77777777" w:rsidR="00403B07" w:rsidRDefault="00403B07" w:rsidP="00403B07">
      <w:pPr>
        <w:rPr>
          <w:rFonts w:ascii="Times New Roman" w:hAnsi="Times New Roman" w:cs="Times New Roman"/>
          <w:sz w:val="20"/>
          <w:szCs w:val="20"/>
        </w:rPr>
      </w:pPr>
    </w:p>
    <w:p w14:paraId="36B5C426" w14:textId="77777777" w:rsidR="00403B07" w:rsidRDefault="00403B07" w:rsidP="00403B07">
      <w:pPr>
        <w:rPr>
          <w:rFonts w:ascii="Times New Roman" w:hAnsi="Times New Roman" w:cs="Times New Roman"/>
          <w:sz w:val="20"/>
          <w:szCs w:val="20"/>
        </w:rPr>
      </w:pPr>
    </w:p>
    <w:p w14:paraId="7632B7D9" w14:textId="77777777" w:rsidR="00403B07" w:rsidRDefault="00403B07" w:rsidP="00403B07">
      <w:pPr>
        <w:rPr>
          <w:rFonts w:ascii="Times New Roman" w:hAnsi="Times New Roman" w:cs="Times New Roman"/>
          <w:sz w:val="20"/>
          <w:szCs w:val="20"/>
        </w:rPr>
      </w:pPr>
    </w:p>
    <w:p w14:paraId="12C3FC11" w14:textId="77777777" w:rsidR="00403B07" w:rsidRDefault="00403B07" w:rsidP="00403B07">
      <w:pPr>
        <w:rPr>
          <w:rFonts w:ascii="Times New Roman" w:hAnsi="Times New Roman" w:cs="Times New Roman"/>
          <w:sz w:val="20"/>
          <w:szCs w:val="20"/>
        </w:rPr>
      </w:pPr>
    </w:p>
    <w:p w14:paraId="03A9D1F3" w14:textId="77777777" w:rsidR="00403B07" w:rsidRPr="00F8075B" w:rsidRDefault="00403B07" w:rsidP="00403B07">
      <w:pPr>
        <w:rPr>
          <w:rFonts w:ascii="Times New Roman" w:hAnsi="Times New Roman" w:cs="Times New Roman"/>
          <w:sz w:val="20"/>
          <w:szCs w:val="20"/>
        </w:rPr>
      </w:pPr>
    </w:p>
    <w:p w14:paraId="24E80C7A" w14:textId="77777777" w:rsidR="00403B07" w:rsidRPr="001C4036" w:rsidRDefault="00403B07" w:rsidP="00403B07">
      <w:pPr>
        <w:rPr>
          <w:rFonts w:cs="Arial"/>
          <w:b/>
          <w:i/>
          <w:sz w:val="24"/>
          <w:szCs w:val="24"/>
        </w:rPr>
      </w:pPr>
      <w:r w:rsidRPr="001C4036">
        <w:rPr>
          <w:rFonts w:cs="Arial"/>
          <w:b/>
          <w:i/>
          <w:sz w:val="24"/>
          <w:szCs w:val="24"/>
        </w:rPr>
        <w:t>Appendix 7 Training costs for staff involved in the delivery of HeLP (continued)</w:t>
      </w:r>
    </w:p>
    <w:p w14:paraId="75337CCF" w14:textId="77777777" w:rsidR="00403B07" w:rsidRDefault="00403B07" w:rsidP="00403B07">
      <w:pPr>
        <w:rPr>
          <w:rFonts w:ascii="Times New Roman" w:hAnsi="Times New Roman" w:cs="Times New Roman"/>
          <w:b/>
          <w:i/>
          <w:sz w:val="24"/>
          <w:szCs w:val="24"/>
        </w:rPr>
      </w:pPr>
    </w:p>
    <w:p w14:paraId="5347FEE5" w14:textId="77777777" w:rsidR="00403B07" w:rsidRPr="00CD44BE" w:rsidRDefault="00403B07" w:rsidP="00403B07">
      <w:pPr>
        <w:rPr>
          <w:rFonts w:ascii="Times New Roman" w:hAnsi="Times New Roman" w:cs="Times New Roman"/>
          <w:b/>
          <w:sz w:val="24"/>
          <w:szCs w:val="24"/>
        </w:rPr>
      </w:pPr>
      <w:r w:rsidRPr="00CD44BE">
        <w:rPr>
          <w:rFonts w:ascii="Times New Roman" w:hAnsi="Times New Roman" w:cs="Times New Roman"/>
          <w:b/>
          <w:sz w:val="24"/>
          <w:szCs w:val="24"/>
        </w:rPr>
        <w:t>Estimate Training Costs: Drama Team</w:t>
      </w:r>
    </w:p>
    <w:p w14:paraId="0C0A6E09" w14:textId="77777777" w:rsidR="00403B07" w:rsidRPr="00F8075B" w:rsidRDefault="00403B07" w:rsidP="00403B07">
      <w:pPr>
        <w:rPr>
          <w:rFonts w:ascii="Times New Roman" w:hAnsi="Times New Roman" w:cs="Times New Roman"/>
          <w:sz w:val="24"/>
          <w:szCs w:val="24"/>
        </w:rPr>
      </w:pPr>
      <w:r w:rsidRPr="00F8075B">
        <w:rPr>
          <w:rFonts w:ascii="Times New Roman" w:hAnsi="Times New Roman" w:cs="Times New Roman"/>
          <w:sz w:val="24"/>
          <w:szCs w:val="24"/>
        </w:rPr>
        <w:t xml:space="preserve">Based on within-trial experience on training requirements, it is assumed that training requirements for Drama delivery staff will consist of five full days (37.5 hours for Drama Facilitators, 30 hours for Actors).  The delivery of drama is carried out by a drama team comprising one Drama Facilitator and four Actors. It is anticipated that the drama training, for two drama teams, will be delivered by one Trainer.  </w:t>
      </w:r>
    </w:p>
    <w:p w14:paraId="072C16C1" w14:textId="77777777" w:rsidR="00403B07" w:rsidRPr="00F8075B" w:rsidRDefault="00403B07" w:rsidP="00403B07">
      <w:pPr>
        <w:rPr>
          <w:rFonts w:ascii="Times New Roman" w:hAnsi="Times New Roman" w:cs="Times New Roman"/>
          <w:sz w:val="24"/>
          <w:szCs w:val="24"/>
        </w:rPr>
      </w:pPr>
    </w:p>
    <w:p w14:paraId="4171A887" w14:textId="76D69B46" w:rsidR="00403B07" w:rsidRPr="00F8075B" w:rsidRDefault="00403B07" w:rsidP="00403B07">
      <w:pPr>
        <w:rPr>
          <w:rFonts w:ascii="Times New Roman" w:hAnsi="Times New Roman" w:cs="Times New Roman"/>
          <w:sz w:val="24"/>
          <w:szCs w:val="24"/>
        </w:rPr>
      </w:pPr>
      <w:r w:rsidRPr="00F8075B">
        <w:rPr>
          <w:rFonts w:ascii="Times New Roman" w:hAnsi="Times New Roman" w:cs="Times New Roman"/>
          <w:sz w:val="24"/>
          <w:szCs w:val="24"/>
        </w:rPr>
        <w:t xml:space="preserve">Costs associated with training are estimated assuming that costs are distributed over a 12-month period (for base-case cost estimates; over 27 classes). No venue costs were included in the costing, and an allowance of £500 for other costs (e.g. materials, subsistence) has been included. Using these assumptions, the estimated cost for the delivery of the training component for the Drama Teams is £290 per class or £11.60 per participant (Table </w:t>
      </w:r>
      <w:r w:rsidR="00B14404">
        <w:rPr>
          <w:rFonts w:ascii="Times New Roman" w:hAnsi="Times New Roman" w:cs="Times New Roman"/>
          <w:sz w:val="24"/>
          <w:szCs w:val="24"/>
        </w:rPr>
        <w:t>50</w:t>
      </w:r>
      <w:r w:rsidRPr="00F8075B">
        <w:rPr>
          <w:rFonts w:ascii="Times New Roman" w:hAnsi="Times New Roman" w:cs="Times New Roman"/>
          <w:sz w:val="24"/>
          <w:szCs w:val="24"/>
        </w:rPr>
        <w:t xml:space="preserve">). </w:t>
      </w:r>
    </w:p>
    <w:p w14:paraId="405B28A5" w14:textId="77777777" w:rsidR="00403B07" w:rsidRPr="00F8075B" w:rsidRDefault="00403B07" w:rsidP="00403B07">
      <w:pPr>
        <w:rPr>
          <w:rFonts w:ascii="Times New Roman" w:hAnsi="Times New Roman" w:cs="Times New Roman"/>
          <w:b/>
          <w:sz w:val="24"/>
          <w:szCs w:val="24"/>
        </w:rPr>
      </w:pPr>
      <w:bookmarkStart w:id="674" w:name="_Ref435520244"/>
    </w:p>
    <w:p w14:paraId="04332779" w14:textId="52FC36AB" w:rsidR="00403B07" w:rsidRPr="00F8075B" w:rsidRDefault="00403B07" w:rsidP="00403B07">
      <w:pPr>
        <w:rPr>
          <w:rFonts w:ascii="Times New Roman" w:hAnsi="Times New Roman" w:cs="Times New Roman"/>
          <w:b/>
          <w:sz w:val="24"/>
          <w:szCs w:val="24"/>
        </w:rPr>
      </w:pPr>
      <w:r w:rsidRPr="00F8075B">
        <w:rPr>
          <w:rFonts w:ascii="Times New Roman" w:hAnsi="Times New Roman" w:cs="Times New Roman"/>
          <w:b/>
          <w:sz w:val="24"/>
          <w:szCs w:val="24"/>
        </w:rPr>
        <w:t>Table</w:t>
      </w:r>
      <w:bookmarkEnd w:id="674"/>
      <w:r w:rsidRPr="00F8075B">
        <w:rPr>
          <w:rFonts w:ascii="Times New Roman" w:hAnsi="Times New Roman" w:cs="Times New Roman"/>
          <w:b/>
          <w:sz w:val="24"/>
          <w:szCs w:val="24"/>
        </w:rPr>
        <w:t xml:space="preserve"> </w:t>
      </w:r>
      <w:r w:rsidR="00B14404">
        <w:rPr>
          <w:rFonts w:ascii="Times New Roman" w:hAnsi="Times New Roman" w:cs="Times New Roman"/>
          <w:b/>
          <w:sz w:val="24"/>
          <w:szCs w:val="24"/>
        </w:rPr>
        <w:t>50</w:t>
      </w:r>
      <w:r w:rsidRPr="00F8075B">
        <w:rPr>
          <w:rFonts w:ascii="Times New Roman" w:hAnsi="Times New Roman" w:cs="Times New Roman"/>
          <w:b/>
          <w:sz w:val="24"/>
          <w:szCs w:val="24"/>
        </w:rPr>
        <w:t xml:space="preserve"> Training Resources/costs: Drama Teams</w:t>
      </w:r>
    </w:p>
    <w:tbl>
      <w:tblPr>
        <w:tblW w:w="5000" w:type="pct"/>
        <w:tblLayout w:type="fixed"/>
        <w:tblLook w:val="04A0" w:firstRow="1" w:lastRow="0" w:firstColumn="1" w:lastColumn="0" w:noHBand="0" w:noVBand="1"/>
      </w:tblPr>
      <w:tblGrid>
        <w:gridCol w:w="2910"/>
        <w:gridCol w:w="1084"/>
        <w:gridCol w:w="853"/>
        <w:gridCol w:w="853"/>
        <w:gridCol w:w="1397"/>
        <w:gridCol w:w="3012"/>
      </w:tblGrid>
      <w:tr w:rsidR="00403B07" w:rsidRPr="00F8075B" w14:paraId="21418CD2" w14:textId="77777777" w:rsidTr="00B01272">
        <w:trPr>
          <w:trHeight w:val="323"/>
          <w:tblHeader/>
        </w:trPr>
        <w:tc>
          <w:tcPr>
            <w:tcW w:w="1439" w:type="pct"/>
            <w:tcBorders>
              <w:top w:val="single" w:sz="8" w:space="0" w:color="auto"/>
              <w:bottom w:val="single" w:sz="8" w:space="0" w:color="auto"/>
              <w:right w:val="nil"/>
            </w:tcBorders>
            <w:shd w:val="clear" w:color="auto" w:fill="auto"/>
            <w:noWrap/>
          </w:tcPr>
          <w:p w14:paraId="397E0527" w14:textId="77777777" w:rsidR="00403B07" w:rsidRPr="00F8075B" w:rsidRDefault="00403B07" w:rsidP="00B01272">
            <w:pPr>
              <w:rPr>
                <w:rFonts w:ascii="Times New Roman" w:eastAsia="Times New Roman" w:hAnsi="Times New Roman" w:cs="Times New Roman"/>
                <w:bCs/>
                <w:color w:val="000000"/>
                <w:sz w:val="24"/>
                <w:szCs w:val="24"/>
              </w:rPr>
            </w:pPr>
            <w:r w:rsidRPr="00F8075B">
              <w:rPr>
                <w:rFonts w:ascii="Times New Roman" w:eastAsia="Times New Roman" w:hAnsi="Times New Roman" w:cs="Times New Roman"/>
                <w:bCs/>
                <w:color w:val="000000"/>
                <w:sz w:val="24"/>
                <w:szCs w:val="24"/>
              </w:rPr>
              <w:t>Staff type</w:t>
            </w:r>
          </w:p>
        </w:tc>
        <w:tc>
          <w:tcPr>
            <w:tcW w:w="536" w:type="pct"/>
            <w:tcBorders>
              <w:top w:val="single" w:sz="8" w:space="0" w:color="auto"/>
              <w:left w:val="nil"/>
              <w:bottom w:val="single" w:sz="8" w:space="0" w:color="auto"/>
              <w:right w:val="nil"/>
            </w:tcBorders>
            <w:shd w:val="clear" w:color="auto" w:fill="auto"/>
            <w:noWrap/>
          </w:tcPr>
          <w:p w14:paraId="32988BDA" w14:textId="77777777" w:rsidR="00403B07" w:rsidRPr="00F8075B" w:rsidRDefault="00403B07" w:rsidP="00B01272">
            <w:pPr>
              <w:rPr>
                <w:rFonts w:ascii="Times New Roman" w:eastAsia="Times New Roman" w:hAnsi="Times New Roman" w:cs="Times New Roman"/>
                <w:bCs/>
                <w:color w:val="000000"/>
                <w:sz w:val="24"/>
                <w:szCs w:val="24"/>
              </w:rPr>
            </w:pPr>
            <w:r w:rsidRPr="00F8075B">
              <w:rPr>
                <w:rFonts w:ascii="Times New Roman" w:eastAsia="Times New Roman" w:hAnsi="Times New Roman" w:cs="Times New Roman"/>
                <w:bCs/>
                <w:color w:val="000000"/>
                <w:sz w:val="24"/>
                <w:szCs w:val="24"/>
              </w:rPr>
              <w:t>Staff, n</w:t>
            </w:r>
          </w:p>
        </w:tc>
        <w:tc>
          <w:tcPr>
            <w:tcW w:w="422" w:type="pct"/>
            <w:tcBorders>
              <w:top w:val="single" w:sz="8" w:space="0" w:color="auto"/>
              <w:left w:val="nil"/>
              <w:bottom w:val="single" w:sz="8" w:space="0" w:color="auto"/>
              <w:right w:val="nil"/>
            </w:tcBorders>
            <w:shd w:val="clear" w:color="auto" w:fill="auto"/>
            <w:noWrap/>
          </w:tcPr>
          <w:p w14:paraId="2139E624" w14:textId="77777777" w:rsidR="00403B07" w:rsidRPr="00F8075B" w:rsidRDefault="00403B07" w:rsidP="00B01272">
            <w:pPr>
              <w:rPr>
                <w:rFonts w:ascii="Times New Roman" w:eastAsia="Times New Roman" w:hAnsi="Times New Roman" w:cs="Times New Roman"/>
                <w:bCs/>
                <w:color w:val="000000"/>
                <w:sz w:val="24"/>
                <w:szCs w:val="24"/>
              </w:rPr>
            </w:pPr>
            <w:r w:rsidRPr="00F8075B">
              <w:rPr>
                <w:rFonts w:ascii="Times New Roman" w:eastAsia="Times New Roman" w:hAnsi="Times New Roman" w:cs="Times New Roman"/>
                <w:bCs/>
                <w:color w:val="000000"/>
                <w:sz w:val="24"/>
                <w:szCs w:val="24"/>
              </w:rPr>
              <w:t>Hrs</w:t>
            </w:r>
          </w:p>
        </w:tc>
        <w:tc>
          <w:tcPr>
            <w:tcW w:w="422" w:type="pct"/>
            <w:tcBorders>
              <w:top w:val="single" w:sz="8" w:space="0" w:color="auto"/>
              <w:left w:val="nil"/>
              <w:bottom w:val="single" w:sz="8" w:space="0" w:color="auto"/>
              <w:right w:val="nil"/>
            </w:tcBorders>
            <w:shd w:val="clear" w:color="auto" w:fill="auto"/>
            <w:noWrap/>
          </w:tcPr>
          <w:p w14:paraId="453EB28B" w14:textId="77777777" w:rsidR="00403B07" w:rsidRPr="00F8075B" w:rsidRDefault="00403B07" w:rsidP="00B01272">
            <w:pPr>
              <w:rPr>
                <w:rFonts w:ascii="Times New Roman" w:eastAsia="Times New Roman" w:hAnsi="Times New Roman" w:cs="Times New Roman"/>
                <w:bCs/>
                <w:color w:val="000000"/>
                <w:sz w:val="24"/>
                <w:szCs w:val="24"/>
              </w:rPr>
            </w:pPr>
            <w:r w:rsidRPr="00F8075B">
              <w:rPr>
                <w:rFonts w:ascii="Times New Roman" w:eastAsia="Times New Roman" w:hAnsi="Times New Roman" w:cs="Times New Roman"/>
                <w:bCs/>
                <w:color w:val="000000"/>
                <w:sz w:val="24"/>
                <w:szCs w:val="24"/>
              </w:rPr>
              <w:t>Unit cost</w:t>
            </w:r>
          </w:p>
        </w:tc>
        <w:tc>
          <w:tcPr>
            <w:tcW w:w="691" w:type="pct"/>
            <w:tcBorders>
              <w:top w:val="single" w:sz="8" w:space="0" w:color="auto"/>
              <w:left w:val="nil"/>
              <w:bottom w:val="single" w:sz="8" w:space="0" w:color="auto"/>
              <w:right w:val="nil"/>
            </w:tcBorders>
            <w:shd w:val="clear" w:color="auto" w:fill="auto"/>
            <w:noWrap/>
          </w:tcPr>
          <w:p w14:paraId="11545292" w14:textId="77777777" w:rsidR="00403B07" w:rsidRPr="00F8075B" w:rsidRDefault="00403B07" w:rsidP="00B01272">
            <w:pPr>
              <w:rPr>
                <w:rFonts w:ascii="Times New Roman" w:eastAsia="Times New Roman" w:hAnsi="Times New Roman" w:cs="Times New Roman"/>
                <w:bCs/>
                <w:color w:val="000000"/>
                <w:sz w:val="24"/>
                <w:szCs w:val="24"/>
              </w:rPr>
            </w:pPr>
            <w:r w:rsidRPr="00F8075B">
              <w:rPr>
                <w:rFonts w:ascii="Times New Roman" w:eastAsia="Times New Roman" w:hAnsi="Times New Roman" w:cs="Times New Roman"/>
                <w:bCs/>
                <w:color w:val="000000"/>
                <w:sz w:val="24"/>
                <w:szCs w:val="24"/>
              </w:rPr>
              <w:t>Total cost</w:t>
            </w:r>
          </w:p>
        </w:tc>
        <w:tc>
          <w:tcPr>
            <w:tcW w:w="1490" w:type="pct"/>
            <w:tcBorders>
              <w:top w:val="single" w:sz="8" w:space="0" w:color="auto"/>
              <w:left w:val="nil"/>
              <w:bottom w:val="single" w:sz="8" w:space="0" w:color="auto"/>
            </w:tcBorders>
            <w:shd w:val="clear" w:color="auto" w:fill="auto"/>
            <w:noWrap/>
          </w:tcPr>
          <w:p w14:paraId="6AF056DF" w14:textId="77777777" w:rsidR="00403B07" w:rsidRPr="00F8075B" w:rsidRDefault="00403B07" w:rsidP="00B01272">
            <w:pPr>
              <w:rPr>
                <w:rFonts w:ascii="Times New Roman" w:eastAsia="Times New Roman" w:hAnsi="Times New Roman" w:cs="Times New Roman"/>
                <w:bCs/>
                <w:color w:val="000000"/>
                <w:sz w:val="24"/>
                <w:szCs w:val="24"/>
              </w:rPr>
            </w:pPr>
            <w:r w:rsidRPr="00F8075B">
              <w:rPr>
                <w:rFonts w:ascii="Times New Roman" w:eastAsia="Times New Roman" w:hAnsi="Times New Roman" w:cs="Times New Roman"/>
                <w:bCs/>
                <w:color w:val="000000"/>
                <w:sz w:val="24"/>
                <w:szCs w:val="24"/>
              </w:rPr>
              <w:t>Notes</w:t>
            </w:r>
          </w:p>
        </w:tc>
      </w:tr>
      <w:tr w:rsidR="00403B07" w:rsidRPr="00F8075B" w14:paraId="1368C028" w14:textId="77777777" w:rsidTr="00B01272">
        <w:trPr>
          <w:trHeight w:val="323"/>
        </w:trPr>
        <w:tc>
          <w:tcPr>
            <w:tcW w:w="1439" w:type="pct"/>
            <w:tcBorders>
              <w:top w:val="single" w:sz="8" w:space="0" w:color="auto"/>
              <w:bottom w:val="nil"/>
              <w:right w:val="nil"/>
            </w:tcBorders>
            <w:shd w:val="clear" w:color="auto" w:fill="auto"/>
            <w:noWrap/>
            <w:hideMark/>
          </w:tcPr>
          <w:p w14:paraId="6AC405AA" w14:textId="77777777" w:rsidR="00403B07" w:rsidRPr="00F8075B" w:rsidRDefault="00403B07" w:rsidP="00B01272">
            <w:pPr>
              <w:rPr>
                <w:rFonts w:ascii="Times New Roman" w:eastAsia="Times New Roman" w:hAnsi="Times New Roman" w:cs="Times New Roman"/>
                <w:color w:val="000000"/>
                <w:sz w:val="24"/>
                <w:szCs w:val="24"/>
              </w:rPr>
            </w:pPr>
            <w:r w:rsidRPr="00F8075B">
              <w:rPr>
                <w:rFonts w:ascii="Times New Roman" w:eastAsia="Times New Roman" w:hAnsi="Times New Roman" w:cs="Times New Roman"/>
                <w:color w:val="000000"/>
                <w:sz w:val="24"/>
                <w:szCs w:val="24"/>
              </w:rPr>
              <w:t>Lead Trainer</w:t>
            </w:r>
          </w:p>
        </w:tc>
        <w:tc>
          <w:tcPr>
            <w:tcW w:w="536" w:type="pct"/>
            <w:tcBorders>
              <w:top w:val="single" w:sz="8" w:space="0" w:color="auto"/>
              <w:left w:val="nil"/>
              <w:bottom w:val="nil"/>
              <w:right w:val="nil"/>
            </w:tcBorders>
            <w:shd w:val="clear" w:color="auto" w:fill="auto"/>
            <w:noWrap/>
            <w:hideMark/>
          </w:tcPr>
          <w:p w14:paraId="7D1A3F7E" w14:textId="77777777" w:rsidR="00403B07" w:rsidRPr="00F8075B" w:rsidRDefault="00403B07" w:rsidP="00B01272">
            <w:pPr>
              <w:rPr>
                <w:rFonts w:ascii="Times New Roman" w:eastAsia="Times New Roman" w:hAnsi="Times New Roman" w:cs="Times New Roman"/>
                <w:color w:val="000000"/>
                <w:sz w:val="24"/>
                <w:szCs w:val="24"/>
              </w:rPr>
            </w:pPr>
            <w:r w:rsidRPr="00F8075B">
              <w:rPr>
                <w:rFonts w:ascii="Times New Roman" w:eastAsia="Times New Roman" w:hAnsi="Times New Roman" w:cs="Times New Roman"/>
                <w:color w:val="000000"/>
                <w:sz w:val="24"/>
                <w:szCs w:val="24"/>
              </w:rPr>
              <w:t>1</w:t>
            </w:r>
          </w:p>
        </w:tc>
        <w:tc>
          <w:tcPr>
            <w:tcW w:w="422" w:type="pct"/>
            <w:tcBorders>
              <w:top w:val="single" w:sz="8" w:space="0" w:color="auto"/>
              <w:left w:val="nil"/>
              <w:bottom w:val="nil"/>
              <w:right w:val="nil"/>
            </w:tcBorders>
            <w:shd w:val="clear" w:color="auto" w:fill="auto"/>
            <w:noWrap/>
            <w:hideMark/>
          </w:tcPr>
          <w:p w14:paraId="7302C4D3" w14:textId="77777777" w:rsidR="00403B07" w:rsidRPr="00F8075B" w:rsidRDefault="00403B07" w:rsidP="00B01272">
            <w:pPr>
              <w:rPr>
                <w:rFonts w:ascii="Times New Roman" w:eastAsia="Times New Roman" w:hAnsi="Times New Roman" w:cs="Times New Roman"/>
                <w:color w:val="000000"/>
                <w:sz w:val="24"/>
                <w:szCs w:val="24"/>
              </w:rPr>
            </w:pPr>
            <w:r w:rsidRPr="00F8075B">
              <w:rPr>
                <w:rFonts w:ascii="Times New Roman" w:eastAsia="Times New Roman" w:hAnsi="Times New Roman" w:cs="Times New Roman"/>
                <w:color w:val="000000"/>
                <w:sz w:val="24"/>
                <w:szCs w:val="24"/>
              </w:rPr>
              <w:t>37.5</w:t>
            </w:r>
          </w:p>
        </w:tc>
        <w:tc>
          <w:tcPr>
            <w:tcW w:w="422" w:type="pct"/>
            <w:tcBorders>
              <w:top w:val="single" w:sz="8" w:space="0" w:color="auto"/>
              <w:left w:val="nil"/>
              <w:bottom w:val="nil"/>
              <w:right w:val="nil"/>
            </w:tcBorders>
            <w:shd w:val="clear" w:color="auto" w:fill="auto"/>
            <w:noWrap/>
          </w:tcPr>
          <w:p w14:paraId="4C45BCD3" w14:textId="77777777" w:rsidR="00403B07" w:rsidRPr="00F8075B" w:rsidRDefault="00403B07" w:rsidP="00B01272">
            <w:pPr>
              <w:rPr>
                <w:rFonts w:ascii="Times New Roman" w:eastAsia="Times New Roman" w:hAnsi="Times New Roman" w:cs="Times New Roman"/>
                <w:color w:val="000000"/>
                <w:sz w:val="24"/>
                <w:szCs w:val="24"/>
              </w:rPr>
            </w:pPr>
            <w:r w:rsidRPr="00F8075B">
              <w:rPr>
                <w:rFonts w:ascii="Times New Roman" w:eastAsia="Times New Roman" w:hAnsi="Times New Roman" w:cs="Times New Roman"/>
                <w:color w:val="000000"/>
                <w:sz w:val="24"/>
                <w:szCs w:val="24"/>
              </w:rPr>
              <w:t>41.29</w:t>
            </w:r>
          </w:p>
        </w:tc>
        <w:tc>
          <w:tcPr>
            <w:tcW w:w="691" w:type="pct"/>
            <w:tcBorders>
              <w:top w:val="single" w:sz="8" w:space="0" w:color="auto"/>
              <w:left w:val="nil"/>
              <w:bottom w:val="nil"/>
              <w:right w:val="nil"/>
            </w:tcBorders>
            <w:shd w:val="clear" w:color="auto" w:fill="auto"/>
            <w:noWrap/>
          </w:tcPr>
          <w:p w14:paraId="2A69D354" w14:textId="77777777" w:rsidR="00403B07" w:rsidRPr="00F8075B" w:rsidRDefault="00403B07" w:rsidP="00B01272">
            <w:pPr>
              <w:rPr>
                <w:rFonts w:ascii="Times New Roman" w:eastAsia="Times New Roman" w:hAnsi="Times New Roman" w:cs="Times New Roman"/>
                <w:color w:val="000000"/>
                <w:sz w:val="24"/>
                <w:szCs w:val="24"/>
              </w:rPr>
            </w:pPr>
            <w:r w:rsidRPr="00F8075B">
              <w:rPr>
                <w:rFonts w:ascii="Times New Roman" w:eastAsia="Times New Roman" w:hAnsi="Times New Roman" w:cs="Times New Roman"/>
                <w:color w:val="000000"/>
                <w:sz w:val="24"/>
                <w:szCs w:val="24"/>
              </w:rPr>
              <w:t>1548.51</w:t>
            </w:r>
          </w:p>
        </w:tc>
        <w:tc>
          <w:tcPr>
            <w:tcW w:w="1490" w:type="pct"/>
            <w:tcBorders>
              <w:top w:val="single" w:sz="8" w:space="0" w:color="auto"/>
              <w:left w:val="nil"/>
              <w:bottom w:val="nil"/>
            </w:tcBorders>
            <w:shd w:val="clear" w:color="auto" w:fill="auto"/>
            <w:noWrap/>
            <w:hideMark/>
          </w:tcPr>
          <w:p w14:paraId="38DD0DD7" w14:textId="77777777" w:rsidR="00403B07" w:rsidRPr="00F8075B" w:rsidRDefault="00403B07" w:rsidP="00B01272">
            <w:pPr>
              <w:rPr>
                <w:rFonts w:ascii="Times New Roman" w:eastAsia="Times New Roman" w:hAnsi="Times New Roman" w:cs="Times New Roman"/>
                <w:color w:val="000000"/>
                <w:sz w:val="24"/>
                <w:szCs w:val="24"/>
              </w:rPr>
            </w:pPr>
            <w:r w:rsidRPr="00F8075B">
              <w:rPr>
                <w:rFonts w:ascii="Times New Roman" w:eastAsia="Times New Roman" w:hAnsi="Times New Roman" w:cs="Times New Roman"/>
                <w:color w:val="000000"/>
                <w:sz w:val="24"/>
                <w:szCs w:val="24"/>
              </w:rPr>
              <w:t>1 x Lead Trainer x 37.5 hrs</w:t>
            </w:r>
          </w:p>
        </w:tc>
      </w:tr>
      <w:tr w:rsidR="00403B07" w:rsidRPr="00F8075B" w14:paraId="4A5DFC26" w14:textId="77777777" w:rsidTr="00B01272">
        <w:trPr>
          <w:trHeight w:val="323"/>
        </w:trPr>
        <w:tc>
          <w:tcPr>
            <w:tcW w:w="1439" w:type="pct"/>
            <w:tcBorders>
              <w:top w:val="nil"/>
              <w:bottom w:val="nil"/>
              <w:right w:val="nil"/>
            </w:tcBorders>
            <w:shd w:val="clear" w:color="auto" w:fill="auto"/>
            <w:noWrap/>
            <w:hideMark/>
          </w:tcPr>
          <w:p w14:paraId="34A08A36" w14:textId="77777777" w:rsidR="00403B07" w:rsidRPr="00F8075B" w:rsidRDefault="00403B07" w:rsidP="00B01272">
            <w:pPr>
              <w:rPr>
                <w:rFonts w:ascii="Times New Roman" w:eastAsia="Times New Roman" w:hAnsi="Times New Roman" w:cs="Times New Roman"/>
                <w:color w:val="000000"/>
                <w:sz w:val="24"/>
                <w:szCs w:val="24"/>
              </w:rPr>
            </w:pPr>
            <w:r w:rsidRPr="00F8075B">
              <w:rPr>
                <w:rFonts w:ascii="Times New Roman" w:eastAsia="Times New Roman" w:hAnsi="Times New Roman" w:cs="Times New Roman"/>
                <w:color w:val="000000"/>
                <w:sz w:val="24"/>
                <w:szCs w:val="24"/>
              </w:rPr>
              <w:t>Drama Facilitator/HeLP Coordinator</w:t>
            </w:r>
          </w:p>
        </w:tc>
        <w:tc>
          <w:tcPr>
            <w:tcW w:w="536" w:type="pct"/>
            <w:tcBorders>
              <w:top w:val="nil"/>
              <w:left w:val="nil"/>
              <w:bottom w:val="nil"/>
              <w:right w:val="nil"/>
            </w:tcBorders>
            <w:shd w:val="clear" w:color="auto" w:fill="auto"/>
            <w:noWrap/>
            <w:hideMark/>
          </w:tcPr>
          <w:p w14:paraId="0DE2FEA1" w14:textId="77777777" w:rsidR="00403B07" w:rsidRPr="00F8075B" w:rsidRDefault="00403B07" w:rsidP="00B01272">
            <w:pPr>
              <w:rPr>
                <w:rFonts w:ascii="Times New Roman" w:eastAsia="Times New Roman" w:hAnsi="Times New Roman" w:cs="Times New Roman"/>
                <w:color w:val="000000"/>
                <w:sz w:val="24"/>
                <w:szCs w:val="24"/>
              </w:rPr>
            </w:pPr>
            <w:r w:rsidRPr="00F8075B">
              <w:rPr>
                <w:rFonts w:ascii="Times New Roman" w:eastAsia="Times New Roman" w:hAnsi="Times New Roman" w:cs="Times New Roman"/>
                <w:color w:val="000000"/>
                <w:sz w:val="24"/>
                <w:szCs w:val="24"/>
              </w:rPr>
              <w:t>2</w:t>
            </w:r>
          </w:p>
        </w:tc>
        <w:tc>
          <w:tcPr>
            <w:tcW w:w="422" w:type="pct"/>
            <w:tcBorders>
              <w:top w:val="nil"/>
              <w:left w:val="nil"/>
              <w:bottom w:val="nil"/>
              <w:right w:val="nil"/>
            </w:tcBorders>
            <w:shd w:val="clear" w:color="auto" w:fill="auto"/>
            <w:noWrap/>
            <w:hideMark/>
          </w:tcPr>
          <w:p w14:paraId="584F2521" w14:textId="77777777" w:rsidR="00403B07" w:rsidRPr="00F8075B" w:rsidRDefault="00403B07" w:rsidP="00B01272">
            <w:pPr>
              <w:rPr>
                <w:rFonts w:ascii="Times New Roman" w:eastAsia="Times New Roman" w:hAnsi="Times New Roman" w:cs="Times New Roman"/>
                <w:color w:val="000000"/>
                <w:sz w:val="24"/>
                <w:szCs w:val="24"/>
              </w:rPr>
            </w:pPr>
            <w:r w:rsidRPr="00F8075B">
              <w:rPr>
                <w:rFonts w:ascii="Times New Roman" w:eastAsia="Times New Roman" w:hAnsi="Times New Roman" w:cs="Times New Roman"/>
                <w:color w:val="000000"/>
                <w:sz w:val="24"/>
                <w:szCs w:val="24"/>
              </w:rPr>
              <w:t>37.5</w:t>
            </w:r>
          </w:p>
        </w:tc>
        <w:tc>
          <w:tcPr>
            <w:tcW w:w="422" w:type="pct"/>
            <w:tcBorders>
              <w:top w:val="nil"/>
              <w:left w:val="nil"/>
              <w:bottom w:val="nil"/>
              <w:right w:val="nil"/>
            </w:tcBorders>
            <w:shd w:val="clear" w:color="auto" w:fill="auto"/>
            <w:noWrap/>
          </w:tcPr>
          <w:p w14:paraId="6F503721" w14:textId="77777777" w:rsidR="00403B07" w:rsidRPr="00F8075B" w:rsidRDefault="00403B07" w:rsidP="00B01272">
            <w:pPr>
              <w:rPr>
                <w:rFonts w:ascii="Times New Roman" w:eastAsia="Times New Roman" w:hAnsi="Times New Roman" w:cs="Times New Roman"/>
                <w:color w:val="000000"/>
                <w:sz w:val="24"/>
                <w:szCs w:val="24"/>
              </w:rPr>
            </w:pPr>
            <w:r w:rsidRPr="00F8075B">
              <w:rPr>
                <w:rFonts w:ascii="Times New Roman" w:eastAsia="Times New Roman" w:hAnsi="Times New Roman" w:cs="Times New Roman"/>
                <w:color w:val="000000"/>
                <w:sz w:val="24"/>
                <w:szCs w:val="24"/>
              </w:rPr>
              <w:t>41.29</w:t>
            </w:r>
          </w:p>
        </w:tc>
        <w:tc>
          <w:tcPr>
            <w:tcW w:w="691" w:type="pct"/>
            <w:tcBorders>
              <w:top w:val="nil"/>
              <w:left w:val="nil"/>
              <w:bottom w:val="nil"/>
              <w:right w:val="nil"/>
            </w:tcBorders>
            <w:shd w:val="clear" w:color="auto" w:fill="auto"/>
            <w:noWrap/>
          </w:tcPr>
          <w:p w14:paraId="735FEC83" w14:textId="77777777" w:rsidR="00403B07" w:rsidRPr="00F8075B" w:rsidRDefault="00403B07" w:rsidP="00B01272">
            <w:pPr>
              <w:rPr>
                <w:rFonts w:ascii="Times New Roman" w:eastAsia="Times New Roman" w:hAnsi="Times New Roman" w:cs="Times New Roman"/>
                <w:color w:val="000000"/>
                <w:sz w:val="24"/>
                <w:szCs w:val="24"/>
              </w:rPr>
            </w:pPr>
            <w:r w:rsidRPr="00F8075B">
              <w:rPr>
                <w:rFonts w:ascii="Times New Roman" w:eastAsia="Times New Roman" w:hAnsi="Times New Roman" w:cs="Times New Roman"/>
                <w:color w:val="000000"/>
                <w:sz w:val="24"/>
                <w:szCs w:val="24"/>
              </w:rPr>
              <w:t>3097.03</w:t>
            </w:r>
          </w:p>
        </w:tc>
        <w:tc>
          <w:tcPr>
            <w:tcW w:w="1490" w:type="pct"/>
            <w:tcBorders>
              <w:top w:val="nil"/>
              <w:left w:val="nil"/>
              <w:bottom w:val="nil"/>
            </w:tcBorders>
            <w:shd w:val="clear" w:color="auto" w:fill="auto"/>
            <w:noWrap/>
            <w:hideMark/>
          </w:tcPr>
          <w:p w14:paraId="420163C9" w14:textId="77777777" w:rsidR="00403B07" w:rsidRPr="00F8075B" w:rsidRDefault="00403B07" w:rsidP="00B01272">
            <w:pPr>
              <w:rPr>
                <w:rFonts w:ascii="Times New Roman" w:eastAsia="Times New Roman" w:hAnsi="Times New Roman" w:cs="Times New Roman"/>
                <w:color w:val="000000"/>
                <w:sz w:val="24"/>
                <w:szCs w:val="24"/>
              </w:rPr>
            </w:pPr>
            <w:r w:rsidRPr="00F8075B">
              <w:rPr>
                <w:rFonts w:ascii="Times New Roman" w:eastAsia="Times New Roman" w:hAnsi="Times New Roman" w:cs="Times New Roman"/>
                <w:color w:val="000000"/>
                <w:sz w:val="24"/>
                <w:szCs w:val="24"/>
              </w:rPr>
              <w:t>2 x DFs x 37.5 hrs</w:t>
            </w:r>
          </w:p>
        </w:tc>
      </w:tr>
      <w:tr w:rsidR="00403B07" w:rsidRPr="00F8075B" w14:paraId="30BA45A9" w14:textId="77777777" w:rsidTr="00B01272">
        <w:trPr>
          <w:trHeight w:val="323"/>
        </w:trPr>
        <w:tc>
          <w:tcPr>
            <w:tcW w:w="1439" w:type="pct"/>
            <w:tcBorders>
              <w:top w:val="nil"/>
              <w:bottom w:val="nil"/>
              <w:right w:val="nil"/>
            </w:tcBorders>
            <w:shd w:val="clear" w:color="auto" w:fill="auto"/>
            <w:noWrap/>
            <w:hideMark/>
          </w:tcPr>
          <w:p w14:paraId="129F0763" w14:textId="77777777" w:rsidR="00403B07" w:rsidRPr="00F8075B" w:rsidRDefault="00403B07" w:rsidP="00B01272">
            <w:pPr>
              <w:rPr>
                <w:rFonts w:ascii="Times New Roman" w:eastAsia="Times New Roman" w:hAnsi="Times New Roman" w:cs="Times New Roman"/>
                <w:color w:val="000000"/>
                <w:sz w:val="24"/>
                <w:szCs w:val="24"/>
              </w:rPr>
            </w:pPr>
            <w:r w:rsidRPr="00F8075B">
              <w:rPr>
                <w:rFonts w:ascii="Times New Roman" w:eastAsia="Times New Roman" w:hAnsi="Times New Roman" w:cs="Times New Roman"/>
                <w:color w:val="000000"/>
                <w:sz w:val="24"/>
                <w:szCs w:val="24"/>
              </w:rPr>
              <w:t>Actors</w:t>
            </w:r>
          </w:p>
        </w:tc>
        <w:tc>
          <w:tcPr>
            <w:tcW w:w="536" w:type="pct"/>
            <w:tcBorders>
              <w:top w:val="nil"/>
              <w:left w:val="nil"/>
              <w:bottom w:val="nil"/>
              <w:right w:val="nil"/>
            </w:tcBorders>
            <w:shd w:val="clear" w:color="auto" w:fill="auto"/>
            <w:noWrap/>
            <w:hideMark/>
          </w:tcPr>
          <w:p w14:paraId="79EB22AC" w14:textId="77777777" w:rsidR="00403B07" w:rsidRPr="00F8075B" w:rsidRDefault="00403B07" w:rsidP="00B01272">
            <w:pPr>
              <w:rPr>
                <w:rFonts w:ascii="Times New Roman" w:eastAsia="Times New Roman" w:hAnsi="Times New Roman" w:cs="Times New Roman"/>
                <w:color w:val="000000"/>
                <w:sz w:val="24"/>
                <w:szCs w:val="24"/>
              </w:rPr>
            </w:pPr>
            <w:r w:rsidRPr="00F8075B">
              <w:rPr>
                <w:rFonts w:ascii="Times New Roman" w:eastAsia="Times New Roman" w:hAnsi="Times New Roman" w:cs="Times New Roman"/>
                <w:color w:val="000000"/>
                <w:sz w:val="24"/>
                <w:szCs w:val="24"/>
              </w:rPr>
              <w:t>8</w:t>
            </w:r>
          </w:p>
        </w:tc>
        <w:tc>
          <w:tcPr>
            <w:tcW w:w="422" w:type="pct"/>
            <w:tcBorders>
              <w:top w:val="nil"/>
              <w:left w:val="nil"/>
              <w:bottom w:val="nil"/>
              <w:right w:val="nil"/>
            </w:tcBorders>
            <w:shd w:val="clear" w:color="auto" w:fill="auto"/>
            <w:noWrap/>
            <w:hideMark/>
          </w:tcPr>
          <w:p w14:paraId="4C9E2C26" w14:textId="77777777" w:rsidR="00403B07" w:rsidRPr="00F8075B" w:rsidRDefault="00403B07" w:rsidP="00B01272">
            <w:pPr>
              <w:rPr>
                <w:rFonts w:ascii="Times New Roman" w:eastAsia="Times New Roman" w:hAnsi="Times New Roman" w:cs="Times New Roman"/>
                <w:color w:val="000000"/>
                <w:sz w:val="24"/>
                <w:szCs w:val="24"/>
              </w:rPr>
            </w:pPr>
            <w:r w:rsidRPr="00F8075B">
              <w:rPr>
                <w:rFonts w:ascii="Times New Roman" w:eastAsia="Times New Roman" w:hAnsi="Times New Roman" w:cs="Times New Roman"/>
                <w:color w:val="000000"/>
                <w:sz w:val="24"/>
                <w:szCs w:val="24"/>
              </w:rPr>
              <w:t>30</w:t>
            </w:r>
          </w:p>
        </w:tc>
        <w:tc>
          <w:tcPr>
            <w:tcW w:w="422" w:type="pct"/>
            <w:tcBorders>
              <w:top w:val="nil"/>
              <w:left w:val="nil"/>
              <w:bottom w:val="nil"/>
              <w:right w:val="nil"/>
            </w:tcBorders>
            <w:shd w:val="clear" w:color="auto" w:fill="auto"/>
            <w:noWrap/>
          </w:tcPr>
          <w:p w14:paraId="6B109DD2" w14:textId="77777777" w:rsidR="00403B07" w:rsidRPr="00F8075B" w:rsidRDefault="00403B07" w:rsidP="00B01272">
            <w:pPr>
              <w:rPr>
                <w:rFonts w:ascii="Times New Roman" w:eastAsia="Times New Roman" w:hAnsi="Times New Roman" w:cs="Times New Roman"/>
                <w:color w:val="000000"/>
                <w:sz w:val="24"/>
                <w:szCs w:val="24"/>
              </w:rPr>
            </w:pPr>
            <w:r w:rsidRPr="00F8075B">
              <w:rPr>
                <w:rFonts w:ascii="Times New Roman" w:eastAsia="Times New Roman" w:hAnsi="Times New Roman" w:cs="Times New Roman"/>
                <w:color w:val="000000"/>
                <w:sz w:val="24"/>
                <w:szCs w:val="24"/>
              </w:rPr>
              <w:t>11.20</w:t>
            </w:r>
          </w:p>
        </w:tc>
        <w:tc>
          <w:tcPr>
            <w:tcW w:w="691" w:type="pct"/>
            <w:tcBorders>
              <w:top w:val="nil"/>
              <w:left w:val="nil"/>
              <w:bottom w:val="nil"/>
              <w:right w:val="nil"/>
            </w:tcBorders>
            <w:shd w:val="clear" w:color="auto" w:fill="auto"/>
            <w:noWrap/>
          </w:tcPr>
          <w:p w14:paraId="77837054" w14:textId="77777777" w:rsidR="00403B07" w:rsidRPr="00F8075B" w:rsidRDefault="00403B07" w:rsidP="00B01272">
            <w:pPr>
              <w:rPr>
                <w:rFonts w:ascii="Times New Roman" w:eastAsia="Times New Roman" w:hAnsi="Times New Roman" w:cs="Times New Roman"/>
                <w:color w:val="000000"/>
                <w:sz w:val="24"/>
                <w:szCs w:val="24"/>
              </w:rPr>
            </w:pPr>
            <w:r w:rsidRPr="00F8075B">
              <w:rPr>
                <w:rFonts w:ascii="Times New Roman" w:eastAsia="Times New Roman" w:hAnsi="Times New Roman" w:cs="Times New Roman"/>
                <w:color w:val="000000"/>
                <w:sz w:val="24"/>
                <w:szCs w:val="24"/>
              </w:rPr>
              <w:t>2688.10</w:t>
            </w:r>
          </w:p>
        </w:tc>
        <w:tc>
          <w:tcPr>
            <w:tcW w:w="1490" w:type="pct"/>
            <w:tcBorders>
              <w:top w:val="nil"/>
              <w:left w:val="nil"/>
              <w:bottom w:val="nil"/>
            </w:tcBorders>
            <w:shd w:val="clear" w:color="auto" w:fill="auto"/>
            <w:noWrap/>
            <w:hideMark/>
          </w:tcPr>
          <w:p w14:paraId="08794E37" w14:textId="77777777" w:rsidR="00403B07" w:rsidRPr="00F8075B" w:rsidRDefault="00403B07" w:rsidP="00B01272">
            <w:pPr>
              <w:rPr>
                <w:rFonts w:ascii="Times New Roman" w:eastAsia="Times New Roman" w:hAnsi="Times New Roman" w:cs="Times New Roman"/>
                <w:color w:val="000000"/>
                <w:sz w:val="24"/>
                <w:szCs w:val="24"/>
              </w:rPr>
            </w:pPr>
            <w:r w:rsidRPr="00F8075B">
              <w:rPr>
                <w:rFonts w:ascii="Times New Roman" w:eastAsia="Times New Roman" w:hAnsi="Times New Roman" w:cs="Times New Roman"/>
                <w:color w:val="000000"/>
                <w:sz w:val="24"/>
                <w:szCs w:val="24"/>
              </w:rPr>
              <w:t>8 x Actors x 30</w:t>
            </w:r>
          </w:p>
        </w:tc>
      </w:tr>
      <w:tr w:rsidR="00403B07" w:rsidRPr="00F8075B" w14:paraId="49EDC638" w14:textId="77777777" w:rsidTr="00B01272">
        <w:trPr>
          <w:trHeight w:val="323"/>
        </w:trPr>
        <w:tc>
          <w:tcPr>
            <w:tcW w:w="1439" w:type="pct"/>
            <w:tcBorders>
              <w:top w:val="nil"/>
              <w:right w:val="nil"/>
            </w:tcBorders>
            <w:shd w:val="clear" w:color="auto" w:fill="auto"/>
            <w:noWrap/>
            <w:hideMark/>
          </w:tcPr>
          <w:p w14:paraId="750F2847" w14:textId="77777777" w:rsidR="00403B07" w:rsidRPr="00F8075B" w:rsidRDefault="00403B07" w:rsidP="00B01272">
            <w:pPr>
              <w:rPr>
                <w:rFonts w:ascii="Times New Roman" w:eastAsia="Times New Roman" w:hAnsi="Times New Roman" w:cs="Times New Roman"/>
                <w:color w:val="000000"/>
                <w:sz w:val="24"/>
                <w:szCs w:val="24"/>
              </w:rPr>
            </w:pPr>
            <w:r w:rsidRPr="00F8075B">
              <w:rPr>
                <w:rFonts w:ascii="Times New Roman" w:eastAsia="Times New Roman" w:hAnsi="Times New Roman" w:cs="Times New Roman"/>
                <w:color w:val="000000"/>
                <w:sz w:val="24"/>
                <w:szCs w:val="24"/>
              </w:rPr>
              <w:t>Venue</w:t>
            </w:r>
          </w:p>
        </w:tc>
        <w:tc>
          <w:tcPr>
            <w:tcW w:w="536" w:type="pct"/>
            <w:tcBorders>
              <w:top w:val="nil"/>
              <w:left w:val="nil"/>
              <w:right w:val="nil"/>
            </w:tcBorders>
            <w:shd w:val="clear" w:color="auto" w:fill="auto"/>
            <w:noWrap/>
            <w:hideMark/>
          </w:tcPr>
          <w:p w14:paraId="61891B5C" w14:textId="77777777" w:rsidR="00403B07" w:rsidRPr="00F8075B" w:rsidRDefault="00403B07" w:rsidP="00B01272">
            <w:pPr>
              <w:rPr>
                <w:rFonts w:ascii="Times New Roman" w:eastAsia="Times New Roman" w:hAnsi="Times New Roman" w:cs="Times New Roman"/>
                <w:color w:val="000000"/>
                <w:sz w:val="24"/>
                <w:szCs w:val="24"/>
              </w:rPr>
            </w:pPr>
            <w:r w:rsidRPr="00F8075B">
              <w:rPr>
                <w:rFonts w:ascii="Times New Roman" w:eastAsia="Times New Roman" w:hAnsi="Times New Roman" w:cs="Times New Roman"/>
                <w:color w:val="000000"/>
                <w:sz w:val="24"/>
                <w:szCs w:val="24"/>
              </w:rPr>
              <w:t>NA</w:t>
            </w:r>
          </w:p>
        </w:tc>
        <w:tc>
          <w:tcPr>
            <w:tcW w:w="422" w:type="pct"/>
            <w:tcBorders>
              <w:top w:val="nil"/>
              <w:left w:val="nil"/>
              <w:right w:val="nil"/>
            </w:tcBorders>
            <w:shd w:val="clear" w:color="auto" w:fill="auto"/>
            <w:noWrap/>
            <w:hideMark/>
          </w:tcPr>
          <w:p w14:paraId="63EB8418" w14:textId="77777777" w:rsidR="00403B07" w:rsidRPr="00F8075B" w:rsidRDefault="00403B07" w:rsidP="00B01272">
            <w:pPr>
              <w:rPr>
                <w:rFonts w:ascii="Times New Roman" w:eastAsia="Times New Roman" w:hAnsi="Times New Roman" w:cs="Times New Roman"/>
                <w:color w:val="000000"/>
                <w:sz w:val="24"/>
                <w:szCs w:val="24"/>
              </w:rPr>
            </w:pPr>
            <w:r w:rsidRPr="00F8075B">
              <w:rPr>
                <w:rFonts w:ascii="Times New Roman" w:eastAsia="Times New Roman" w:hAnsi="Times New Roman" w:cs="Times New Roman"/>
                <w:color w:val="000000"/>
                <w:sz w:val="24"/>
                <w:szCs w:val="24"/>
              </w:rPr>
              <w:t>NA</w:t>
            </w:r>
          </w:p>
        </w:tc>
        <w:tc>
          <w:tcPr>
            <w:tcW w:w="422" w:type="pct"/>
            <w:tcBorders>
              <w:top w:val="nil"/>
              <w:left w:val="nil"/>
              <w:right w:val="nil"/>
            </w:tcBorders>
            <w:shd w:val="clear" w:color="auto" w:fill="auto"/>
            <w:noWrap/>
            <w:hideMark/>
          </w:tcPr>
          <w:p w14:paraId="5D37673B" w14:textId="77777777" w:rsidR="00403B07" w:rsidRPr="00F8075B" w:rsidRDefault="00403B07" w:rsidP="00B01272">
            <w:pPr>
              <w:rPr>
                <w:rFonts w:ascii="Times New Roman" w:eastAsia="Times New Roman" w:hAnsi="Times New Roman" w:cs="Times New Roman"/>
                <w:color w:val="000000"/>
                <w:sz w:val="24"/>
                <w:szCs w:val="24"/>
              </w:rPr>
            </w:pPr>
            <w:r w:rsidRPr="00F8075B">
              <w:rPr>
                <w:rFonts w:ascii="Times New Roman" w:eastAsia="Times New Roman" w:hAnsi="Times New Roman" w:cs="Times New Roman"/>
                <w:color w:val="000000"/>
                <w:sz w:val="24"/>
                <w:szCs w:val="24"/>
              </w:rPr>
              <w:t>NA</w:t>
            </w:r>
          </w:p>
        </w:tc>
        <w:tc>
          <w:tcPr>
            <w:tcW w:w="691" w:type="pct"/>
            <w:tcBorders>
              <w:top w:val="nil"/>
              <w:left w:val="nil"/>
              <w:right w:val="nil"/>
            </w:tcBorders>
            <w:shd w:val="clear" w:color="auto" w:fill="auto"/>
            <w:noWrap/>
            <w:hideMark/>
          </w:tcPr>
          <w:p w14:paraId="31802C75" w14:textId="77777777" w:rsidR="00403B07" w:rsidRPr="00F8075B" w:rsidRDefault="00403B07" w:rsidP="00B01272">
            <w:pPr>
              <w:rPr>
                <w:rFonts w:ascii="Times New Roman" w:eastAsia="Times New Roman" w:hAnsi="Times New Roman" w:cs="Times New Roman"/>
                <w:color w:val="000000"/>
                <w:sz w:val="24"/>
                <w:szCs w:val="24"/>
              </w:rPr>
            </w:pPr>
            <w:r w:rsidRPr="00F8075B">
              <w:rPr>
                <w:rFonts w:ascii="Times New Roman" w:eastAsia="Times New Roman" w:hAnsi="Times New Roman" w:cs="Times New Roman"/>
                <w:color w:val="000000"/>
                <w:sz w:val="24"/>
                <w:szCs w:val="24"/>
              </w:rPr>
              <w:t>NA</w:t>
            </w:r>
          </w:p>
        </w:tc>
        <w:tc>
          <w:tcPr>
            <w:tcW w:w="1490" w:type="pct"/>
            <w:tcBorders>
              <w:top w:val="nil"/>
              <w:left w:val="nil"/>
            </w:tcBorders>
            <w:shd w:val="clear" w:color="auto" w:fill="auto"/>
            <w:noWrap/>
            <w:hideMark/>
          </w:tcPr>
          <w:p w14:paraId="1D365F2B" w14:textId="77777777" w:rsidR="00403B07" w:rsidRPr="00F8075B" w:rsidRDefault="00403B07" w:rsidP="00B01272">
            <w:pPr>
              <w:rPr>
                <w:rFonts w:ascii="Times New Roman" w:eastAsia="Times New Roman" w:hAnsi="Times New Roman" w:cs="Times New Roman"/>
                <w:color w:val="000000"/>
                <w:sz w:val="24"/>
                <w:szCs w:val="24"/>
              </w:rPr>
            </w:pPr>
            <w:r w:rsidRPr="00F8075B">
              <w:rPr>
                <w:rFonts w:ascii="Times New Roman" w:eastAsia="Times New Roman" w:hAnsi="Times New Roman" w:cs="Times New Roman"/>
                <w:color w:val="000000"/>
                <w:sz w:val="24"/>
                <w:szCs w:val="24"/>
              </w:rPr>
              <w:t>Costs not included</w:t>
            </w:r>
          </w:p>
        </w:tc>
      </w:tr>
      <w:tr w:rsidR="00403B07" w:rsidRPr="00F8075B" w14:paraId="2D6C398C" w14:textId="77777777" w:rsidTr="00B01272">
        <w:trPr>
          <w:trHeight w:val="323"/>
        </w:trPr>
        <w:tc>
          <w:tcPr>
            <w:tcW w:w="1439" w:type="pct"/>
            <w:tcBorders>
              <w:bottom w:val="single" w:sz="4" w:space="0" w:color="auto"/>
              <w:right w:val="nil"/>
            </w:tcBorders>
            <w:shd w:val="clear" w:color="auto" w:fill="auto"/>
            <w:noWrap/>
            <w:hideMark/>
          </w:tcPr>
          <w:p w14:paraId="41DA24C4" w14:textId="77777777" w:rsidR="00403B07" w:rsidRPr="00F8075B" w:rsidRDefault="00403B07" w:rsidP="00B01272">
            <w:pPr>
              <w:rPr>
                <w:rFonts w:ascii="Times New Roman" w:eastAsia="Times New Roman" w:hAnsi="Times New Roman" w:cs="Times New Roman"/>
                <w:color w:val="000000"/>
                <w:sz w:val="24"/>
                <w:szCs w:val="24"/>
              </w:rPr>
            </w:pPr>
            <w:r w:rsidRPr="00F8075B">
              <w:rPr>
                <w:rFonts w:ascii="Times New Roman" w:eastAsia="Times New Roman" w:hAnsi="Times New Roman" w:cs="Times New Roman"/>
                <w:color w:val="000000"/>
                <w:sz w:val="24"/>
                <w:szCs w:val="24"/>
              </w:rPr>
              <w:t>Other course costs</w:t>
            </w:r>
            <w:r w:rsidRPr="00F8075B">
              <w:rPr>
                <w:rFonts w:ascii="Times New Roman" w:eastAsia="Times New Roman" w:hAnsi="Times New Roman" w:cs="Times New Roman"/>
                <w:i/>
                <w:color w:val="000000"/>
                <w:sz w:val="24"/>
                <w:szCs w:val="24"/>
                <w:vertAlign w:val="superscript"/>
              </w:rPr>
              <w:t>a</w:t>
            </w:r>
          </w:p>
        </w:tc>
        <w:tc>
          <w:tcPr>
            <w:tcW w:w="536" w:type="pct"/>
            <w:tcBorders>
              <w:left w:val="nil"/>
              <w:bottom w:val="single" w:sz="4" w:space="0" w:color="auto"/>
              <w:right w:val="nil"/>
            </w:tcBorders>
            <w:shd w:val="clear" w:color="auto" w:fill="auto"/>
            <w:noWrap/>
            <w:hideMark/>
          </w:tcPr>
          <w:p w14:paraId="68C1458C" w14:textId="77777777" w:rsidR="00403B07" w:rsidRPr="00F8075B" w:rsidRDefault="00403B07" w:rsidP="00B01272">
            <w:pPr>
              <w:rPr>
                <w:rFonts w:ascii="Times New Roman" w:eastAsia="Times New Roman" w:hAnsi="Times New Roman" w:cs="Times New Roman"/>
                <w:color w:val="000000"/>
                <w:sz w:val="24"/>
                <w:szCs w:val="24"/>
              </w:rPr>
            </w:pPr>
            <w:r w:rsidRPr="00F8075B">
              <w:rPr>
                <w:rFonts w:ascii="Times New Roman" w:eastAsia="Times New Roman" w:hAnsi="Times New Roman" w:cs="Times New Roman"/>
                <w:color w:val="000000"/>
                <w:sz w:val="24"/>
                <w:szCs w:val="24"/>
              </w:rPr>
              <w:t>NA</w:t>
            </w:r>
          </w:p>
        </w:tc>
        <w:tc>
          <w:tcPr>
            <w:tcW w:w="422" w:type="pct"/>
            <w:tcBorders>
              <w:left w:val="nil"/>
              <w:bottom w:val="single" w:sz="4" w:space="0" w:color="auto"/>
              <w:right w:val="nil"/>
            </w:tcBorders>
            <w:shd w:val="clear" w:color="auto" w:fill="auto"/>
            <w:noWrap/>
            <w:hideMark/>
          </w:tcPr>
          <w:p w14:paraId="5995FD99" w14:textId="77777777" w:rsidR="00403B07" w:rsidRPr="00F8075B" w:rsidRDefault="00403B07" w:rsidP="00B01272">
            <w:pPr>
              <w:rPr>
                <w:rFonts w:ascii="Times New Roman" w:eastAsia="Times New Roman" w:hAnsi="Times New Roman" w:cs="Times New Roman"/>
                <w:color w:val="000000"/>
                <w:sz w:val="24"/>
                <w:szCs w:val="24"/>
              </w:rPr>
            </w:pPr>
            <w:r w:rsidRPr="00F8075B">
              <w:rPr>
                <w:rFonts w:ascii="Times New Roman" w:eastAsia="Times New Roman" w:hAnsi="Times New Roman" w:cs="Times New Roman"/>
                <w:color w:val="000000"/>
                <w:sz w:val="24"/>
                <w:szCs w:val="24"/>
              </w:rPr>
              <w:t>NA</w:t>
            </w:r>
          </w:p>
        </w:tc>
        <w:tc>
          <w:tcPr>
            <w:tcW w:w="422" w:type="pct"/>
            <w:tcBorders>
              <w:left w:val="nil"/>
              <w:bottom w:val="single" w:sz="4" w:space="0" w:color="auto"/>
              <w:right w:val="nil"/>
            </w:tcBorders>
            <w:shd w:val="clear" w:color="auto" w:fill="auto"/>
            <w:noWrap/>
            <w:hideMark/>
          </w:tcPr>
          <w:p w14:paraId="6A2ECC71" w14:textId="77777777" w:rsidR="00403B07" w:rsidRPr="00F8075B" w:rsidRDefault="00403B07" w:rsidP="00B01272">
            <w:pPr>
              <w:rPr>
                <w:rFonts w:ascii="Times New Roman" w:eastAsia="Times New Roman" w:hAnsi="Times New Roman" w:cs="Times New Roman"/>
                <w:color w:val="000000"/>
                <w:sz w:val="24"/>
                <w:szCs w:val="24"/>
              </w:rPr>
            </w:pPr>
            <w:r w:rsidRPr="00F8075B">
              <w:rPr>
                <w:rFonts w:ascii="Times New Roman" w:eastAsia="Times New Roman" w:hAnsi="Times New Roman" w:cs="Times New Roman"/>
                <w:color w:val="000000"/>
                <w:sz w:val="24"/>
                <w:szCs w:val="24"/>
              </w:rPr>
              <w:t>NA</w:t>
            </w:r>
          </w:p>
        </w:tc>
        <w:tc>
          <w:tcPr>
            <w:tcW w:w="691" w:type="pct"/>
            <w:tcBorders>
              <w:left w:val="nil"/>
              <w:bottom w:val="single" w:sz="4" w:space="0" w:color="auto"/>
              <w:right w:val="nil"/>
            </w:tcBorders>
            <w:shd w:val="clear" w:color="auto" w:fill="auto"/>
            <w:noWrap/>
            <w:hideMark/>
          </w:tcPr>
          <w:p w14:paraId="2066008A" w14:textId="77777777" w:rsidR="00403B07" w:rsidRPr="00F8075B" w:rsidRDefault="00403B07" w:rsidP="00B01272">
            <w:pPr>
              <w:rPr>
                <w:rFonts w:ascii="Times New Roman" w:eastAsia="Times New Roman" w:hAnsi="Times New Roman" w:cs="Times New Roman"/>
                <w:color w:val="000000"/>
                <w:sz w:val="24"/>
                <w:szCs w:val="24"/>
              </w:rPr>
            </w:pPr>
            <w:r w:rsidRPr="00F8075B">
              <w:rPr>
                <w:rFonts w:ascii="Times New Roman" w:eastAsia="Times New Roman" w:hAnsi="Times New Roman" w:cs="Times New Roman"/>
                <w:color w:val="000000"/>
                <w:sz w:val="24"/>
                <w:szCs w:val="24"/>
              </w:rPr>
              <w:t>500</w:t>
            </w:r>
          </w:p>
        </w:tc>
        <w:tc>
          <w:tcPr>
            <w:tcW w:w="1490" w:type="pct"/>
            <w:tcBorders>
              <w:left w:val="nil"/>
              <w:bottom w:val="single" w:sz="4" w:space="0" w:color="auto"/>
            </w:tcBorders>
            <w:shd w:val="clear" w:color="auto" w:fill="auto"/>
            <w:noWrap/>
            <w:hideMark/>
          </w:tcPr>
          <w:p w14:paraId="042F80C8" w14:textId="77777777" w:rsidR="00403B07" w:rsidRPr="00F8075B" w:rsidRDefault="00403B07" w:rsidP="00B01272">
            <w:pPr>
              <w:rPr>
                <w:rFonts w:ascii="Times New Roman" w:eastAsia="Times New Roman" w:hAnsi="Times New Roman" w:cs="Times New Roman"/>
                <w:color w:val="000000"/>
                <w:sz w:val="24"/>
                <w:szCs w:val="24"/>
              </w:rPr>
            </w:pPr>
          </w:p>
        </w:tc>
      </w:tr>
      <w:tr w:rsidR="00403B07" w:rsidRPr="00F8075B" w14:paraId="77D6ABB9" w14:textId="77777777" w:rsidTr="00B01272">
        <w:trPr>
          <w:trHeight w:val="323"/>
        </w:trPr>
        <w:tc>
          <w:tcPr>
            <w:tcW w:w="1439" w:type="pct"/>
            <w:tcBorders>
              <w:top w:val="single" w:sz="4" w:space="0" w:color="auto"/>
              <w:bottom w:val="single" w:sz="4" w:space="0" w:color="auto"/>
              <w:right w:val="nil"/>
            </w:tcBorders>
            <w:shd w:val="clear" w:color="auto" w:fill="auto"/>
            <w:noWrap/>
            <w:hideMark/>
          </w:tcPr>
          <w:p w14:paraId="2BE86EE0" w14:textId="77777777" w:rsidR="00403B07" w:rsidRPr="00F8075B" w:rsidRDefault="00403B07" w:rsidP="00B01272">
            <w:pPr>
              <w:rPr>
                <w:rFonts w:ascii="Times New Roman" w:eastAsia="Times New Roman" w:hAnsi="Times New Roman" w:cs="Times New Roman"/>
                <w:bCs/>
                <w:color w:val="000000"/>
                <w:sz w:val="24"/>
                <w:szCs w:val="24"/>
              </w:rPr>
            </w:pPr>
            <w:r w:rsidRPr="00F8075B">
              <w:rPr>
                <w:rFonts w:ascii="Times New Roman" w:eastAsia="Times New Roman" w:hAnsi="Times New Roman" w:cs="Times New Roman"/>
                <w:bCs/>
                <w:color w:val="000000"/>
                <w:sz w:val="24"/>
                <w:szCs w:val="24"/>
              </w:rPr>
              <w:t>Total cost</w:t>
            </w:r>
          </w:p>
        </w:tc>
        <w:tc>
          <w:tcPr>
            <w:tcW w:w="536" w:type="pct"/>
            <w:tcBorders>
              <w:top w:val="single" w:sz="4" w:space="0" w:color="auto"/>
              <w:left w:val="nil"/>
              <w:bottom w:val="single" w:sz="4" w:space="0" w:color="auto"/>
              <w:right w:val="nil"/>
            </w:tcBorders>
            <w:shd w:val="clear" w:color="auto" w:fill="auto"/>
            <w:noWrap/>
          </w:tcPr>
          <w:p w14:paraId="0EF25800" w14:textId="77777777" w:rsidR="00403B07" w:rsidRPr="00F8075B" w:rsidRDefault="00403B07" w:rsidP="00B01272">
            <w:pPr>
              <w:rPr>
                <w:rFonts w:ascii="Times New Roman" w:eastAsia="Times New Roman" w:hAnsi="Times New Roman" w:cs="Times New Roman"/>
                <w:bCs/>
                <w:color w:val="000000"/>
                <w:sz w:val="24"/>
                <w:szCs w:val="24"/>
              </w:rPr>
            </w:pPr>
          </w:p>
        </w:tc>
        <w:tc>
          <w:tcPr>
            <w:tcW w:w="422" w:type="pct"/>
            <w:tcBorders>
              <w:top w:val="single" w:sz="4" w:space="0" w:color="auto"/>
              <w:left w:val="nil"/>
              <w:bottom w:val="single" w:sz="4" w:space="0" w:color="auto"/>
              <w:right w:val="nil"/>
            </w:tcBorders>
            <w:shd w:val="clear" w:color="auto" w:fill="auto"/>
            <w:noWrap/>
          </w:tcPr>
          <w:p w14:paraId="0226BC90" w14:textId="77777777" w:rsidR="00403B07" w:rsidRPr="00F8075B" w:rsidRDefault="00403B07" w:rsidP="00B01272">
            <w:pPr>
              <w:rPr>
                <w:rFonts w:ascii="Times New Roman" w:eastAsia="Times New Roman" w:hAnsi="Times New Roman" w:cs="Times New Roman"/>
                <w:bCs/>
                <w:color w:val="000000"/>
                <w:sz w:val="24"/>
                <w:szCs w:val="24"/>
              </w:rPr>
            </w:pPr>
          </w:p>
        </w:tc>
        <w:tc>
          <w:tcPr>
            <w:tcW w:w="422" w:type="pct"/>
            <w:tcBorders>
              <w:top w:val="single" w:sz="4" w:space="0" w:color="auto"/>
              <w:left w:val="nil"/>
              <w:bottom w:val="single" w:sz="4" w:space="0" w:color="auto"/>
              <w:right w:val="nil"/>
            </w:tcBorders>
            <w:shd w:val="clear" w:color="auto" w:fill="auto"/>
            <w:noWrap/>
          </w:tcPr>
          <w:p w14:paraId="231C9B82" w14:textId="77777777" w:rsidR="00403B07" w:rsidRPr="00F8075B" w:rsidRDefault="00403B07" w:rsidP="00B01272">
            <w:pPr>
              <w:rPr>
                <w:rFonts w:ascii="Times New Roman" w:eastAsia="Times New Roman" w:hAnsi="Times New Roman" w:cs="Times New Roman"/>
                <w:bCs/>
                <w:color w:val="000000"/>
                <w:sz w:val="24"/>
                <w:szCs w:val="24"/>
              </w:rPr>
            </w:pPr>
          </w:p>
        </w:tc>
        <w:tc>
          <w:tcPr>
            <w:tcW w:w="691" w:type="pct"/>
            <w:tcBorders>
              <w:top w:val="single" w:sz="4" w:space="0" w:color="auto"/>
              <w:left w:val="nil"/>
              <w:bottom w:val="single" w:sz="4" w:space="0" w:color="auto"/>
              <w:right w:val="nil"/>
            </w:tcBorders>
            <w:shd w:val="clear" w:color="auto" w:fill="auto"/>
            <w:noWrap/>
          </w:tcPr>
          <w:p w14:paraId="1B8690BD" w14:textId="77777777" w:rsidR="00403B07" w:rsidRPr="00F8075B" w:rsidRDefault="00403B07" w:rsidP="00B01272">
            <w:pPr>
              <w:rPr>
                <w:rFonts w:ascii="Times New Roman" w:eastAsia="Times New Roman" w:hAnsi="Times New Roman" w:cs="Times New Roman"/>
                <w:bCs/>
                <w:color w:val="000000"/>
                <w:sz w:val="24"/>
                <w:szCs w:val="24"/>
              </w:rPr>
            </w:pPr>
            <w:r w:rsidRPr="00F8075B">
              <w:rPr>
                <w:rFonts w:ascii="Times New Roman" w:eastAsia="Times New Roman" w:hAnsi="Times New Roman" w:cs="Times New Roman"/>
                <w:bCs/>
                <w:color w:val="000000"/>
                <w:sz w:val="24"/>
                <w:szCs w:val="24"/>
              </w:rPr>
              <w:t>7833.64</w:t>
            </w:r>
          </w:p>
        </w:tc>
        <w:tc>
          <w:tcPr>
            <w:tcW w:w="1490" w:type="pct"/>
            <w:tcBorders>
              <w:top w:val="single" w:sz="4" w:space="0" w:color="auto"/>
              <w:left w:val="nil"/>
              <w:bottom w:val="single" w:sz="4" w:space="0" w:color="auto"/>
            </w:tcBorders>
            <w:shd w:val="clear" w:color="auto" w:fill="auto"/>
            <w:noWrap/>
          </w:tcPr>
          <w:p w14:paraId="146B6A38" w14:textId="77777777" w:rsidR="00403B07" w:rsidRPr="00F8075B" w:rsidRDefault="00403B07" w:rsidP="00B01272">
            <w:pPr>
              <w:rPr>
                <w:rFonts w:ascii="Times New Roman" w:eastAsia="Times New Roman" w:hAnsi="Times New Roman" w:cs="Times New Roman"/>
                <w:bCs/>
                <w:color w:val="000000"/>
                <w:sz w:val="24"/>
                <w:szCs w:val="24"/>
              </w:rPr>
            </w:pPr>
          </w:p>
        </w:tc>
      </w:tr>
      <w:tr w:rsidR="00403B07" w:rsidRPr="00F8075B" w14:paraId="094BF45A" w14:textId="77777777" w:rsidTr="00B01272">
        <w:trPr>
          <w:trHeight w:val="323"/>
        </w:trPr>
        <w:tc>
          <w:tcPr>
            <w:tcW w:w="1439" w:type="pct"/>
            <w:tcBorders>
              <w:top w:val="nil"/>
              <w:right w:val="nil"/>
            </w:tcBorders>
            <w:shd w:val="clear" w:color="auto" w:fill="auto"/>
            <w:noWrap/>
            <w:hideMark/>
          </w:tcPr>
          <w:p w14:paraId="0186E00E" w14:textId="77777777" w:rsidR="00403B07" w:rsidRPr="00F8075B" w:rsidRDefault="00403B07" w:rsidP="00B01272">
            <w:pPr>
              <w:rPr>
                <w:rFonts w:ascii="Times New Roman" w:eastAsia="Times New Roman" w:hAnsi="Times New Roman" w:cs="Times New Roman"/>
                <w:i/>
                <w:color w:val="000000"/>
                <w:sz w:val="24"/>
                <w:szCs w:val="24"/>
              </w:rPr>
            </w:pPr>
            <w:r w:rsidRPr="00F8075B">
              <w:rPr>
                <w:rFonts w:ascii="Times New Roman" w:eastAsia="Times New Roman" w:hAnsi="Times New Roman" w:cs="Times New Roman"/>
                <w:i/>
                <w:color w:val="000000"/>
                <w:sz w:val="24"/>
                <w:szCs w:val="24"/>
              </w:rPr>
              <w:t>Cost per Drama Team</w:t>
            </w:r>
            <w:r w:rsidRPr="00F8075B">
              <w:rPr>
                <w:rFonts w:ascii="Times New Roman" w:eastAsia="Times New Roman" w:hAnsi="Times New Roman" w:cs="Times New Roman"/>
                <w:color w:val="000000"/>
                <w:sz w:val="24"/>
                <w:szCs w:val="24"/>
                <w:vertAlign w:val="superscript"/>
              </w:rPr>
              <w:t>c</w:t>
            </w:r>
          </w:p>
        </w:tc>
        <w:tc>
          <w:tcPr>
            <w:tcW w:w="536" w:type="pct"/>
            <w:tcBorders>
              <w:top w:val="nil"/>
              <w:left w:val="nil"/>
              <w:right w:val="nil"/>
            </w:tcBorders>
            <w:shd w:val="clear" w:color="auto" w:fill="auto"/>
            <w:noWrap/>
          </w:tcPr>
          <w:p w14:paraId="2E4E38B4" w14:textId="77777777" w:rsidR="00403B07" w:rsidRPr="00F8075B" w:rsidRDefault="00403B07" w:rsidP="00B01272">
            <w:pPr>
              <w:rPr>
                <w:rFonts w:ascii="Times New Roman" w:eastAsia="Times New Roman" w:hAnsi="Times New Roman" w:cs="Times New Roman"/>
                <w:i/>
                <w:color w:val="000000"/>
                <w:sz w:val="24"/>
                <w:szCs w:val="24"/>
              </w:rPr>
            </w:pPr>
            <w:r w:rsidRPr="00F8075B">
              <w:rPr>
                <w:rFonts w:ascii="Times New Roman" w:eastAsia="Times New Roman" w:hAnsi="Times New Roman" w:cs="Times New Roman"/>
                <w:i/>
                <w:color w:val="000000"/>
                <w:sz w:val="24"/>
                <w:szCs w:val="24"/>
              </w:rPr>
              <w:t>–</w:t>
            </w:r>
          </w:p>
        </w:tc>
        <w:tc>
          <w:tcPr>
            <w:tcW w:w="422" w:type="pct"/>
            <w:tcBorders>
              <w:top w:val="nil"/>
              <w:left w:val="nil"/>
              <w:right w:val="nil"/>
            </w:tcBorders>
            <w:shd w:val="clear" w:color="auto" w:fill="auto"/>
            <w:noWrap/>
          </w:tcPr>
          <w:p w14:paraId="09E20D0A" w14:textId="77777777" w:rsidR="00403B07" w:rsidRPr="00F8075B" w:rsidRDefault="00403B07" w:rsidP="00B01272">
            <w:pPr>
              <w:rPr>
                <w:rFonts w:ascii="Times New Roman" w:eastAsia="Times New Roman" w:hAnsi="Times New Roman" w:cs="Times New Roman"/>
                <w:i/>
                <w:color w:val="000000"/>
                <w:sz w:val="24"/>
                <w:szCs w:val="24"/>
              </w:rPr>
            </w:pPr>
            <w:r w:rsidRPr="00F8075B">
              <w:rPr>
                <w:rFonts w:ascii="Times New Roman" w:eastAsia="Times New Roman" w:hAnsi="Times New Roman" w:cs="Times New Roman"/>
                <w:i/>
                <w:color w:val="000000"/>
                <w:sz w:val="24"/>
                <w:szCs w:val="24"/>
              </w:rPr>
              <w:t>–</w:t>
            </w:r>
          </w:p>
        </w:tc>
        <w:tc>
          <w:tcPr>
            <w:tcW w:w="422" w:type="pct"/>
            <w:tcBorders>
              <w:top w:val="nil"/>
              <w:left w:val="nil"/>
              <w:right w:val="nil"/>
            </w:tcBorders>
            <w:shd w:val="clear" w:color="auto" w:fill="auto"/>
            <w:noWrap/>
          </w:tcPr>
          <w:p w14:paraId="401AE7BA" w14:textId="77777777" w:rsidR="00403B07" w:rsidRPr="00F8075B" w:rsidRDefault="00403B07" w:rsidP="00B01272">
            <w:pPr>
              <w:rPr>
                <w:rFonts w:ascii="Times New Roman" w:eastAsia="Times New Roman" w:hAnsi="Times New Roman" w:cs="Times New Roman"/>
                <w:i/>
                <w:color w:val="000000"/>
                <w:sz w:val="24"/>
                <w:szCs w:val="24"/>
              </w:rPr>
            </w:pPr>
            <w:r w:rsidRPr="00F8075B">
              <w:rPr>
                <w:rFonts w:ascii="Times New Roman" w:eastAsia="Times New Roman" w:hAnsi="Times New Roman" w:cs="Times New Roman"/>
                <w:i/>
                <w:color w:val="000000"/>
                <w:sz w:val="24"/>
                <w:szCs w:val="24"/>
              </w:rPr>
              <w:t>–</w:t>
            </w:r>
          </w:p>
        </w:tc>
        <w:tc>
          <w:tcPr>
            <w:tcW w:w="691" w:type="pct"/>
            <w:tcBorders>
              <w:top w:val="nil"/>
              <w:left w:val="nil"/>
              <w:right w:val="nil"/>
            </w:tcBorders>
            <w:shd w:val="clear" w:color="auto" w:fill="auto"/>
            <w:noWrap/>
          </w:tcPr>
          <w:p w14:paraId="63389768" w14:textId="77777777" w:rsidR="00403B07" w:rsidRPr="00F8075B" w:rsidRDefault="00403B07" w:rsidP="00B01272">
            <w:pPr>
              <w:rPr>
                <w:rFonts w:ascii="Times New Roman" w:eastAsia="Times New Roman" w:hAnsi="Times New Roman" w:cs="Times New Roman"/>
                <w:i/>
                <w:color w:val="000000"/>
                <w:sz w:val="24"/>
                <w:szCs w:val="24"/>
              </w:rPr>
            </w:pPr>
            <w:r w:rsidRPr="00F8075B">
              <w:rPr>
                <w:rFonts w:ascii="Times New Roman" w:eastAsia="Times New Roman" w:hAnsi="Times New Roman" w:cs="Times New Roman"/>
                <w:i/>
                <w:color w:val="000000"/>
                <w:sz w:val="24"/>
                <w:szCs w:val="24"/>
              </w:rPr>
              <w:t>3916.82</w:t>
            </w:r>
          </w:p>
        </w:tc>
        <w:tc>
          <w:tcPr>
            <w:tcW w:w="1490" w:type="pct"/>
            <w:tcBorders>
              <w:top w:val="nil"/>
              <w:left w:val="nil"/>
            </w:tcBorders>
            <w:shd w:val="clear" w:color="auto" w:fill="auto"/>
          </w:tcPr>
          <w:p w14:paraId="0D156838" w14:textId="77777777" w:rsidR="00403B07" w:rsidRPr="00F8075B" w:rsidRDefault="00403B07" w:rsidP="00B01272">
            <w:pPr>
              <w:rPr>
                <w:rFonts w:ascii="Times New Roman" w:eastAsia="Times New Roman" w:hAnsi="Times New Roman" w:cs="Times New Roman"/>
                <w:i/>
                <w:color w:val="000000"/>
                <w:sz w:val="24"/>
                <w:szCs w:val="24"/>
              </w:rPr>
            </w:pPr>
          </w:p>
        </w:tc>
      </w:tr>
      <w:tr w:rsidR="00403B07" w:rsidRPr="00F8075B" w14:paraId="1D0BAC1A" w14:textId="77777777" w:rsidTr="00B01272">
        <w:trPr>
          <w:trHeight w:val="323"/>
        </w:trPr>
        <w:tc>
          <w:tcPr>
            <w:tcW w:w="1439" w:type="pct"/>
            <w:tcBorders>
              <w:top w:val="nil"/>
              <w:bottom w:val="single" w:sz="4" w:space="0" w:color="auto"/>
              <w:right w:val="nil"/>
            </w:tcBorders>
            <w:shd w:val="clear" w:color="auto" w:fill="auto"/>
            <w:noWrap/>
            <w:hideMark/>
          </w:tcPr>
          <w:p w14:paraId="41E9E987" w14:textId="77777777" w:rsidR="00403B07" w:rsidRPr="00F8075B" w:rsidRDefault="00403B07" w:rsidP="00B01272">
            <w:pPr>
              <w:rPr>
                <w:rFonts w:ascii="Times New Roman" w:eastAsia="Times New Roman" w:hAnsi="Times New Roman" w:cs="Times New Roman"/>
                <w:i/>
                <w:color w:val="000000"/>
                <w:sz w:val="24"/>
                <w:szCs w:val="24"/>
              </w:rPr>
            </w:pPr>
            <w:r w:rsidRPr="00F8075B">
              <w:rPr>
                <w:rFonts w:ascii="Times New Roman" w:eastAsia="Times New Roman" w:hAnsi="Times New Roman" w:cs="Times New Roman"/>
                <w:i/>
                <w:color w:val="000000"/>
                <w:sz w:val="24"/>
                <w:szCs w:val="24"/>
              </w:rPr>
              <w:t>Cost per class (participant)</w:t>
            </w:r>
          </w:p>
        </w:tc>
        <w:tc>
          <w:tcPr>
            <w:tcW w:w="536" w:type="pct"/>
            <w:tcBorders>
              <w:top w:val="nil"/>
              <w:left w:val="nil"/>
              <w:bottom w:val="single" w:sz="4" w:space="0" w:color="auto"/>
              <w:right w:val="nil"/>
            </w:tcBorders>
            <w:shd w:val="clear" w:color="auto" w:fill="auto"/>
            <w:noWrap/>
          </w:tcPr>
          <w:p w14:paraId="45B0A8CC" w14:textId="77777777" w:rsidR="00403B07" w:rsidRPr="00F8075B" w:rsidRDefault="00403B07" w:rsidP="00B01272">
            <w:pPr>
              <w:rPr>
                <w:rFonts w:ascii="Times New Roman" w:eastAsia="Times New Roman" w:hAnsi="Times New Roman" w:cs="Times New Roman"/>
                <w:i/>
                <w:color w:val="000000"/>
                <w:sz w:val="24"/>
                <w:szCs w:val="24"/>
              </w:rPr>
            </w:pPr>
            <w:r w:rsidRPr="00F8075B">
              <w:rPr>
                <w:rFonts w:ascii="Times New Roman" w:eastAsia="Times New Roman" w:hAnsi="Times New Roman" w:cs="Times New Roman"/>
                <w:i/>
                <w:color w:val="000000"/>
                <w:sz w:val="24"/>
                <w:szCs w:val="24"/>
              </w:rPr>
              <w:t>–</w:t>
            </w:r>
          </w:p>
        </w:tc>
        <w:tc>
          <w:tcPr>
            <w:tcW w:w="422" w:type="pct"/>
            <w:tcBorders>
              <w:top w:val="nil"/>
              <w:left w:val="nil"/>
              <w:bottom w:val="single" w:sz="4" w:space="0" w:color="auto"/>
              <w:right w:val="nil"/>
            </w:tcBorders>
            <w:shd w:val="clear" w:color="auto" w:fill="auto"/>
            <w:noWrap/>
          </w:tcPr>
          <w:p w14:paraId="25488243" w14:textId="77777777" w:rsidR="00403B07" w:rsidRPr="00F8075B" w:rsidRDefault="00403B07" w:rsidP="00B01272">
            <w:pPr>
              <w:rPr>
                <w:rFonts w:ascii="Times New Roman" w:eastAsia="Times New Roman" w:hAnsi="Times New Roman" w:cs="Times New Roman"/>
                <w:i/>
                <w:color w:val="000000"/>
                <w:sz w:val="24"/>
                <w:szCs w:val="24"/>
              </w:rPr>
            </w:pPr>
            <w:r w:rsidRPr="00F8075B">
              <w:rPr>
                <w:rFonts w:ascii="Times New Roman" w:eastAsia="Times New Roman" w:hAnsi="Times New Roman" w:cs="Times New Roman"/>
                <w:i/>
                <w:color w:val="000000"/>
                <w:sz w:val="24"/>
                <w:szCs w:val="24"/>
              </w:rPr>
              <w:t>–</w:t>
            </w:r>
          </w:p>
        </w:tc>
        <w:tc>
          <w:tcPr>
            <w:tcW w:w="422" w:type="pct"/>
            <w:tcBorders>
              <w:top w:val="nil"/>
              <w:left w:val="nil"/>
              <w:bottom w:val="single" w:sz="4" w:space="0" w:color="auto"/>
              <w:right w:val="nil"/>
            </w:tcBorders>
            <w:shd w:val="clear" w:color="auto" w:fill="auto"/>
            <w:noWrap/>
          </w:tcPr>
          <w:p w14:paraId="69BA0A3F" w14:textId="77777777" w:rsidR="00403B07" w:rsidRPr="00F8075B" w:rsidRDefault="00403B07" w:rsidP="00B01272">
            <w:pPr>
              <w:rPr>
                <w:rFonts w:ascii="Times New Roman" w:eastAsia="Times New Roman" w:hAnsi="Times New Roman" w:cs="Times New Roman"/>
                <w:i/>
                <w:color w:val="000000"/>
                <w:sz w:val="24"/>
                <w:szCs w:val="24"/>
              </w:rPr>
            </w:pPr>
            <w:r w:rsidRPr="00F8075B">
              <w:rPr>
                <w:rFonts w:ascii="Times New Roman" w:eastAsia="Times New Roman" w:hAnsi="Times New Roman" w:cs="Times New Roman"/>
                <w:i/>
                <w:color w:val="000000"/>
                <w:sz w:val="24"/>
                <w:szCs w:val="24"/>
              </w:rPr>
              <w:t>–</w:t>
            </w:r>
          </w:p>
        </w:tc>
        <w:tc>
          <w:tcPr>
            <w:tcW w:w="691" w:type="pct"/>
            <w:tcBorders>
              <w:top w:val="nil"/>
              <w:left w:val="nil"/>
              <w:bottom w:val="single" w:sz="4" w:space="0" w:color="auto"/>
              <w:right w:val="nil"/>
            </w:tcBorders>
            <w:shd w:val="clear" w:color="auto" w:fill="auto"/>
            <w:noWrap/>
          </w:tcPr>
          <w:p w14:paraId="2127FEC9" w14:textId="77777777" w:rsidR="00403B07" w:rsidRPr="00F8075B" w:rsidRDefault="00403B07" w:rsidP="00B01272">
            <w:pPr>
              <w:rPr>
                <w:rFonts w:ascii="Times New Roman" w:eastAsia="Times New Roman" w:hAnsi="Times New Roman" w:cs="Times New Roman"/>
                <w:i/>
                <w:color w:val="000000"/>
                <w:sz w:val="24"/>
                <w:szCs w:val="24"/>
              </w:rPr>
            </w:pPr>
            <w:r w:rsidRPr="00F8075B">
              <w:rPr>
                <w:rFonts w:ascii="Times New Roman" w:eastAsia="Times New Roman" w:hAnsi="Times New Roman" w:cs="Times New Roman"/>
                <w:i/>
                <w:color w:val="000000"/>
                <w:sz w:val="24"/>
                <w:szCs w:val="24"/>
              </w:rPr>
              <w:t>290.13</w:t>
            </w:r>
          </w:p>
          <w:p w14:paraId="16662E14" w14:textId="77777777" w:rsidR="00403B07" w:rsidRPr="00F8075B" w:rsidRDefault="00403B07" w:rsidP="00B01272">
            <w:pPr>
              <w:rPr>
                <w:rFonts w:ascii="Times New Roman" w:eastAsia="Times New Roman" w:hAnsi="Times New Roman" w:cs="Times New Roman"/>
                <w:i/>
                <w:color w:val="000000"/>
                <w:sz w:val="24"/>
                <w:szCs w:val="24"/>
              </w:rPr>
            </w:pPr>
            <w:r w:rsidRPr="00F8075B">
              <w:rPr>
                <w:rFonts w:ascii="Times New Roman" w:eastAsia="Times New Roman" w:hAnsi="Times New Roman" w:cs="Times New Roman"/>
                <w:i/>
                <w:color w:val="000000"/>
                <w:sz w:val="24"/>
                <w:szCs w:val="24"/>
              </w:rPr>
              <w:t>(11.59)</w:t>
            </w:r>
          </w:p>
        </w:tc>
        <w:tc>
          <w:tcPr>
            <w:tcW w:w="1490" w:type="pct"/>
            <w:tcBorders>
              <w:top w:val="nil"/>
              <w:left w:val="nil"/>
              <w:bottom w:val="single" w:sz="4" w:space="0" w:color="auto"/>
            </w:tcBorders>
            <w:shd w:val="clear" w:color="auto" w:fill="auto"/>
            <w:noWrap/>
          </w:tcPr>
          <w:p w14:paraId="69026C8F" w14:textId="77777777" w:rsidR="00403B07" w:rsidRPr="00F8075B" w:rsidRDefault="00403B07" w:rsidP="00B01272">
            <w:pPr>
              <w:rPr>
                <w:rFonts w:ascii="Times New Roman" w:eastAsia="Times New Roman" w:hAnsi="Times New Roman" w:cs="Times New Roman"/>
                <w:color w:val="000000"/>
                <w:sz w:val="24"/>
                <w:szCs w:val="24"/>
              </w:rPr>
            </w:pPr>
            <w:r w:rsidRPr="00F8075B">
              <w:rPr>
                <w:rFonts w:ascii="Times New Roman" w:eastAsia="Times New Roman" w:hAnsi="Times New Roman" w:cs="Times New Roman"/>
                <w:color w:val="000000"/>
                <w:sz w:val="24"/>
                <w:szCs w:val="24"/>
              </w:rPr>
              <w:t>[Based on base case cohort of 27 classes, n=25 per class]</w:t>
            </w:r>
          </w:p>
        </w:tc>
      </w:tr>
    </w:tbl>
    <w:p w14:paraId="63D6287A" w14:textId="77777777" w:rsidR="00403B07" w:rsidRPr="00F8075B" w:rsidRDefault="00403B07" w:rsidP="00403B07">
      <w:pPr>
        <w:rPr>
          <w:rFonts w:ascii="Times New Roman" w:hAnsi="Times New Roman" w:cs="Times New Roman"/>
          <w:sz w:val="20"/>
          <w:szCs w:val="20"/>
        </w:rPr>
      </w:pPr>
      <w:r w:rsidRPr="00F8075B">
        <w:rPr>
          <w:rFonts w:ascii="Times New Roman" w:hAnsi="Times New Roman" w:cs="Times New Roman"/>
          <w:sz w:val="20"/>
          <w:szCs w:val="20"/>
        </w:rPr>
        <w:t>Key: HeLP = Healthy Lifestyles Programme; Hrs = hours; NA = not applicable</w:t>
      </w:r>
    </w:p>
    <w:p w14:paraId="29DBB1A7" w14:textId="77777777" w:rsidR="00403B07" w:rsidRPr="00F8075B" w:rsidRDefault="00403B07" w:rsidP="00403B07">
      <w:pPr>
        <w:rPr>
          <w:rFonts w:ascii="Times New Roman" w:hAnsi="Times New Roman" w:cs="Times New Roman"/>
          <w:sz w:val="20"/>
          <w:szCs w:val="20"/>
        </w:rPr>
      </w:pPr>
      <w:r w:rsidRPr="00F8075B">
        <w:rPr>
          <w:rFonts w:ascii="Times New Roman" w:hAnsi="Times New Roman" w:cs="Times New Roman"/>
          <w:sz w:val="20"/>
          <w:szCs w:val="20"/>
        </w:rPr>
        <w:t xml:space="preserve">Notes: </w:t>
      </w:r>
      <w:r w:rsidRPr="00F8075B">
        <w:rPr>
          <w:rFonts w:ascii="Times New Roman" w:hAnsi="Times New Roman" w:cs="Times New Roman"/>
          <w:sz w:val="20"/>
          <w:szCs w:val="20"/>
          <w:vertAlign w:val="superscript"/>
        </w:rPr>
        <w:t xml:space="preserve">a </w:t>
      </w:r>
      <w:r w:rsidRPr="00F8075B">
        <w:rPr>
          <w:rFonts w:ascii="Times New Roman" w:hAnsi="Times New Roman" w:cs="Times New Roman"/>
          <w:sz w:val="20"/>
          <w:szCs w:val="20"/>
        </w:rPr>
        <w:t xml:space="preserve">Allowance for course materials and subsistence (e.g. refreshments); </w:t>
      </w:r>
      <w:r w:rsidRPr="00F8075B">
        <w:rPr>
          <w:rFonts w:ascii="Times New Roman" w:hAnsi="Times New Roman" w:cs="Times New Roman"/>
          <w:sz w:val="20"/>
          <w:szCs w:val="20"/>
          <w:vertAlign w:val="superscript"/>
        </w:rPr>
        <w:t>c</w:t>
      </w:r>
      <w:r w:rsidRPr="00F8075B">
        <w:rPr>
          <w:rFonts w:ascii="Times New Roman" w:hAnsi="Times New Roman" w:cs="Times New Roman"/>
          <w:sz w:val="20"/>
          <w:szCs w:val="20"/>
        </w:rPr>
        <w:t xml:space="preserve"> Drama Team = 1 x Drama Facilitator + 4 x Actors.</w:t>
      </w:r>
    </w:p>
    <w:p w14:paraId="6C3B2BA2" w14:textId="77777777" w:rsidR="00403B07" w:rsidRDefault="00403B07" w:rsidP="00403B07">
      <w:pPr>
        <w:rPr>
          <w:i/>
        </w:rPr>
      </w:pPr>
      <w:r>
        <w:rPr>
          <w:i/>
        </w:rPr>
        <w:br w:type="page"/>
      </w:r>
    </w:p>
    <w:p w14:paraId="3505C922" w14:textId="77777777" w:rsidR="00403B07" w:rsidRDefault="00403B07" w:rsidP="00403B07">
      <w:pPr>
        <w:outlineLvl w:val="0"/>
        <w:rPr>
          <w:i/>
        </w:rPr>
      </w:pPr>
      <w:bookmarkStart w:id="675" w:name="_Toc475974415"/>
      <w:r w:rsidRPr="00C46269">
        <w:rPr>
          <w:rFonts w:cs="Arial"/>
          <w:b/>
          <w:sz w:val="24"/>
          <w:szCs w:val="24"/>
        </w:rPr>
        <w:lastRenderedPageBreak/>
        <w:t xml:space="preserve">Appendix </w:t>
      </w:r>
      <w:r>
        <w:rPr>
          <w:rFonts w:cs="Arial"/>
          <w:b/>
          <w:sz w:val="24"/>
          <w:szCs w:val="24"/>
        </w:rPr>
        <w:t>8</w:t>
      </w:r>
      <w:r w:rsidRPr="00C46269">
        <w:rPr>
          <w:rFonts w:cs="Arial"/>
          <w:b/>
          <w:sz w:val="24"/>
          <w:szCs w:val="24"/>
        </w:rPr>
        <w:t xml:space="preserve"> </w:t>
      </w:r>
      <w:r>
        <w:rPr>
          <w:rFonts w:cs="Arial"/>
          <w:b/>
          <w:sz w:val="24"/>
          <w:szCs w:val="24"/>
        </w:rPr>
        <w:t>Review of CEA Models – literature Search Strategy</w:t>
      </w:r>
      <w:bookmarkEnd w:id="675"/>
    </w:p>
    <w:p w14:paraId="3A01EAC1" w14:textId="77777777" w:rsidR="00403B07" w:rsidRDefault="00403B07" w:rsidP="00403B07">
      <w:pPr>
        <w:rPr>
          <w:i/>
        </w:rPr>
      </w:pPr>
    </w:p>
    <w:p w14:paraId="7697B9F0" w14:textId="77777777" w:rsidR="00403B07" w:rsidRPr="006347FD" w:rsidRDefault="00403B07" w:rsidP="00403B07">
      <w:pPr>
        <w:rPr>
          <w:rFonts w:ascii="Arial" w:hAnsi="Arial" w:cs="Arial"/>
          <w:sz w:val="24"/>
          <w:szCs w:val="24"/>
        </w:rPr>
      </w:pPr>
      <w:bookmarkStart w:id="676" w:name="_Toc452020218"/>
      <w:bookmarkStart w:id="677" w:name="_Toc453769929"/>
      <w:r w:rsidRPr="006347FD">
        <w:rPr>
          <w:rFonts w:ascii="Arial" w:hAnsi="Arial" w:cs="Arial"/>
          <w:sz w:val="24"/>
          <w:szCs w:val="24"/>
        </w:rPr>
        <w:t>Sample MEDLINE search strategy (searches translated for other databases)</w:t>
      </w:r>
    </w:p>
    <w:p w14:paraId="35C5257F" w14:textId="77777777" w:rsidR="00403B07" w:rsidRPr="00074EF6" w:rsidRDefault="00403B07" w:rsidP="00403B07"/>
    <w:p w14:paraId="673C55F9" w14:textId="77777777" w:rsidR="00403B07" w:rsidRDefault="00403B07" w:rsidP="00403B07">
      <w:r>
        <w:t>exp obesity/ or exp obesity, abdominal/ or exp obesity, morbid/</w:t>
      </w:r>
    </w:p>
    <w:p w14:paraId="10BB0D53" w14:textId="77777777" w:rsidR="00403B07" w:rsidRDefault="00403B07" w:rsidP="00403B07">
      <w:r>
        <w:t>exp overweight/</w:t>
      </w:r>
    </w:p>
    <w:p w14:paraId="72FAD0C9" w14:textId="77777777" w:rsidR="00403B07" w:rsidRDefault="00403B07" w:rsidP="00403B07">
      <w:r>
        <w:t>obes$.ti,ab.</w:t>
      </w:r>
    </w:p>
    <w:p w14:paraId="1B28B299" w14:textId="77777777" w:rsidR="00403B07" w:rsidRDefault="00403B07" w:rsidP="00403B07">
      <w:r>
        <w:t>body weight changes/ or weight gain/ or weight loss/</w:t>
      </w:r>
    </w:p>
    <w:p w14:paraId="03584990" w14:textId="77777777" w:rsidR="00403B07" w:rsidRDefault="00403B07" w:rsidP="00403B07">
      <w:r>
        <w:t>exp body fat distribution/ or exp body mass index/ or exp body size/ or exp skinfold thickness/ or exp waist-hip ratio/</w:t>
      </w:r>
    </w:p>
    <w:p w14:paraId="6D0AD2B5" w14:textId="77777777" w:rsidR="00403B07" w:rsidRDefault="00403B07" w:rsidP="00403B07">
      <w:r>
        <w:t>((bmi or body mass index) adj2 (gain* or loss* or chang*)).ti,ab.</w:t>
      </w:r>
    </w:p>
    <w:p w14:paraId="534248D6" w14:textId="77777777" w:rsidR="00403B07" w:rsidRDefault="00403B07" w:rsidP="00403B07">
      <w:r>
        <w:t>child/</w:t>
      </w:r>
    </w:p>
    <w:p w14:paraId="30F126EA" w14:textId="77777777" w:rsidR="00403B07" w:rsidRDefault="00403B07" w:rsidP="00403B07">
      <w:r>
        <w:t>child$.ti,ab.</w:t>
      </w:r>
    </w:p>
    <w:p w14:paraId="2E6EAB70" w14:textId="77777777" w:rsidR="00403B07" w:rsidRDefault="00403B07" w:rsidP="00403B07">
      <w:r>
        <w:t>teen$.ti,ab.</w:t>
      </w:r>
    </w:p>
    <w:p w14:paraId="66B3A5A7" w14:textId="77777777" w:rsidR="00403B07" w:rsidRDefault="00403B07" w:rsidP="00403B07">
      <w:r>
        <w:t>boys.ti,ab.</w:t>
      </w:r>
    </w:p>
    <w:p w14:paraId="14E6D9D4" w14:textId="77777777" w:rsidR="00403B07" w:rsidRDefault="00403B07" w:rsidP="00403B07">
      <w:r>
        <w:t>girls.ti,ab.</w:t>
      </w:r>
    </w:p>
    <w:p w14:paraId="773F4B8A" w14:textId="77777777" w:rsidR="00403B07" w:rsidRDefault="00403B07" w:rsidP="00403B07">
      <w:r>
        <w:t>youth$.ti,ab.</w:t>
      </w:r>
    </w:p>
    <w:p w14:paraId="5241EFCF" w14:textId="77777777" w:rsidR="00403B07" w:rsidRDefault="00403B07" w:rsidP="00403B07">
      <w:r>
        <w:t>adolescent/</w:t>
      </w:r>
    </w:p>
    <w:p w14:paraId="4699A9A5" w14:textId="77777777" w:rsidR="00403B07" w:rsidRDefault="00403B07" w:rsidP="00403B07">
      <w:r>
        <w:t>child nutrition disorders/ or overnutrition/</w:t>
      </w:r>
    </w:p>
    <w:p w14:paraId="100E09CB" w14:textId="77777777" w:rsidR="00403B07" w:rsidRDefault="00403B07" w:rsidP="00403B07">
      <w:r>
        <w:t>cost$.ti.</w:t>
      </w:r>
    </w:p>
    <w:p w14:paraId="059A64FA" w14:textId="77777777" w:rsidR="00403B07" w:rsidRDefault="00403B07" w:rsidP="00403B07">
      <w:r>
        <w:t>((cost$ or economic) adj2 (effective$ or utility$ or benefit$ or minimis$ or analysis or evaluation)).ab.</w:t>
      </w:r>
    </w:p>
    <w:p w14:paraId="0F206F17" w14:textId="77777777" w:rsidR="00403B07" w:rsidRDefault="00403B07" w:rsidP="00403B07">
      <w:r>
        <w:t>or/1-6</w:t>
      </w:r>
    </w:p>
    <w:p w14:paraId="6A527588" w14:textId="77777777" w:rsidR="00403B07" w:rsidRDefault="00403B07" w:rsidP="00403B07">
      <w:r>
        <w:t>or/7-14</w:t>
      </w:r>
    </w:p>
    <w:p w14:paraId="7873DABD" w14:textId="77777777" w:rsidR="00403B07" w:rsidRDefault="00403B07" w:rsidP="00403B07">
      <w:r>
        <w:t>15 or 16</w:t>
      </w:r>
    </w:p>
    <w:p w14:paraId="0F9B79ED" w14:textId="77777777" w:rsidR="00403B07" w:rsidRDefault="00403B07" w:rsidP="00403B07">
      <w:r>
        <w:t>17 and 18 and 19</w:t>
      </w:r>
    </w:p>
    <w:p w14:paraId="5AA136EA" w14:textId="77777777" w:rsidR="00403B07" w:rsidRPr="00042CBB" w:rsidRDefault="00403B07" w:rsidP="00403B07">
      <w:r>
        <w:t>Limit 20 to yr= “1990 -Current)</w:t>
      </w:r>
      <w:bookmarkEnd w:id="676"/>
      <w:bookmarkEnd w:id="677"/>
    </w:p>
    <w:p w14:paraId="75C48339" w14:textId="77777777" w:rsidR="00403B07" w:rsidRDefault="00403B07" w:rsidP="00403B07"/>
    <w:p w14:paraId="0EEB2835" w14:textId="77777777" w:rsidR="00403B07" w:rsidRDefault="00403B07" w:rsidP="00403B07">
      <w:pPr>
        <w:rPr>
          <w:i/>
        </w:rPr>
      </w:pPr>
      <w:r>
        <w:rPr>
          <w:i/>
        </w:rPr>
        <w:br w:type="page"/>
      </w:r>
    </w:p>
    <w:p w14:paraId="221A4926" w14:textId="3523503B" w:rsidR="00403B07" w:rsidRDefault="00403B07" w:rsidP="00AB4D98">
      <w:pPr>
        <w:pStyle w:val="Heading1"/>
      </w:pPr>
      <w:bookmarkStart w:id="678" w:name="_Toc475974416"/>
      <w:r w:rsidRPr="00524F33">
        <w:lastRenderedPageBreak/>
        <w:t xml:space="preserve">Appendix </w:t>
      </w:r>
      <w:r w:rsidR="00705B64">
        <w:t>9</w:t>
      </w:r>
      <w:r w:rsidRPr="00524F33">
        <w:t xml:space="preserve"> Summary of model input parameters, for base case Exeter Obesity Model</w:t>
      </w:r>
      <w:bookmarkEnd w:id="678"/>
    </w:p>
    <w:p w14:paraId="65750241" w14:textId="77777777" w:rsidR="00403B07" w:rsidRPr="00524F33" w:rsidRDefault="00403B07" w:rsidP="00403B07"/>
    <w:tbl>
      <w:tblPr>
        <w:tblStyle w:val="TableGrid"/>
        <w:tblW w:w="0" w:type="auto"/>
        <w:tblLayout w:type="fixed"/>
        <w:tblLook w:val="04A0" w:firstRow="1" w:lastRow="0" w:firstColumn="1" w:lastColumn="0" w:noHBand="0" w:noVBand="1"/>
      </w:tblPr>
      <w:tblGrid>
        <w:gridCol w:w="3794"/>
        <w:gridCol w:w="2410"/>
        <w:gridCol w:w="2580"/>
      </w:tblGrid>
      <w:tr w:rsidR="00403B07" w14:paraId="7517C18E" w14:textId="77777777" w:rsidTr="00951FF2">
        <w:tc>
          <w:tcPr>
            <w:tcW w:w="3794" w:type="dxa"/>
          </w:tcPr>
          <w:p w14:paraId="54E47471" w14:textId="77777777" w:rsidR="00403B07" w:rsidRPr="00B8627F" w:rsidRDefault="00403B07" w:rsidP="00B01272">
            <w:pPr>
              <w:rPr>
                <w:b/>
              </w:rPr>
            </w:pPr>
            <w:r w:rsidRPr="00B8627F">
              <w:rPr>
                <w:b/>
              </w:rPr>
              <w:t>Model Parameter</w:t>
            </w:r>
          </w:p>
        </w:tc>
        <w:tc>
          <w:tcPr>
            <w:tcW w:w="2410" w:type="dxa"/>
          </w:tcPr>
          <w:p w14:paraId="5B54046A" w14:textId="77777777" w:rsidR="00403B07" w:rsidRPr="00B8627F" w:rsidRDefault="00403B07" w:rsidP="00B01272">
            <w:pPr>
              <w:rPr>
                <w:b/>
              </w:rPr>
            </w:pPr>
            <w:r w:rsidRPr="00B8627F">
              <w:rPr>
                <w:b/>
              </w:rPr>
              <w:t>Input/Value</w:t>
            </w:r>
          </w:p>
        </w:tc>
        <w:tc>
          <w:tcPr>
            <w:tcW w:w="2580" w:type="dxa"/>
          </w:tcPr>
          <w:p w14:paraId="413A4FE4" w14:textId="77777777" w:rsidR="00403B07" w:rsidRPr="00B8627F" w:rsidRDefault="00403B07" w:rsidP="00B01272">
            <w:pPr>
              <w:rPr>
                <w:b/>
              </w:rPr>
            </w:pPr>
            <w:r w:rsidRPr="00B8627F">
              <w:rPr>
                <w:b/>
              </w:rPr>
              <w:t>Source</w:t>
            </w:r>
          </w:p>
        </w:tc>
      </w:tr>
      <w:tr w:rsidR="00403B07" w14:paraId="5DF2EECA" w14:textId="77777777" w:rsidTr="00951FF2">
        <w:tc>
          <w:tcPr>
            <w:tcW w:w="3794" w:type="dxa"/>
          </w:tcPr>
          <w:p w14:paraId="2B695BB9" w14:textId="77777777" w:rsidR="00403B07" w:rsidRDefault="00403B07" w:rsidP="00B01272">
            <w:r>
              <w:t>Cohort size, n</w:t>
            </w:r>
          </w:p>
        </w:tc>
        <w:tc>
          <w:tcPr>
            <w:tcW w:w="2410" w:type="dxa"/>
          </w:tcPr>
          <w:p w14:paraId="03F09ADB" w14:textId="77777777" w:rsidR="00403B07" w:rsidRDefault="00403B07" w:rsidP="00B01272">
            <w:r>
              <w:t>1,000</w:t>
            </w:r>
          </w:p>
        </w:tc>
        <w:tc>
          <w:tcPr>
            <w:tcW w:w="2580" w:type="dxa"/>
          </w:tcPr>
          <w:p w14:paraId="40718472" w14:textId="77777777" w:rsidR="00403B07" w:rsidRDefault="00403B07" w:rsidP="00B01272">
            <w:r>
              <w:t>Analysis input</w:t>
            </w:r>
          </w:p>
        </w:tc>
      </w:tr>
      <w:tr w:rsidR="00403B07" w14:paraId="2A708C97" w14:textId="77777777" w:rsidTr="00951FF2">
        <w:tc>
          <w:tcPr>
            <w:tcW w:w="3794" w:type="dxa"/>
          </w:tcPr>
          <w:p w14:paraId="4BBFB25E" w14:textId="77777777" w:rsidR="00403B07" w:rsidRDefault="00403B07" w:rsidP="00B01272">
            <w:r>
              <w:t>Gender, % Male</w:t>
            </w:r>
          </w:p>
        </w:tc>
        <w:tc>
          <w:tcPr>
            <w:tcW w:w="2410" w:type="dxa"/>
          </w:tcPr>
          <w:p w14:paraId="142AAB13" w14:textId="77777777" w:rsidR="00403B07" w:rsidRDefault="00403B07" w:rsidP="00B01272">
            <w:r>
              <w:t>50</w:t>
            </w:r>
          </w:p>
        </w:tc>
        <w:tc>
          <w:tcPr>
            <w:tcW w:w="2580" w:type="dxa"/>
          </w:tcPr>
          <w:p w14:paraId="43F1B319" w14:textId="77777777" w:rsidR="00403B07" w:rsidRDefault="00403B07" w:rsidP="00B01272">
            <w:r>
              <w:t>Assumption</w:t>
            </w:r>
          </w:p>
        </w:tc>
      </w:tr>
      <w:tr w:rsidR="00403B07" w14:paraId="7C05C52A" w14:textId="77777777" w:rsidTr="00951FF2">
        <w:tc>
          <w:tcPr>
            <w:tcW w:w="3794" w:type="dxa"/>
          </w:tcPr>
          <w:p w14:paraId="3ACE53C6" w14:textId="77777777" w:rsidR="00403B07" w:rsidRDefault="00403B07" w:rsidP="00B01272">
            <w:r>
              <w:t>Distribution by weight status – Child (BMI SDS centile categories)</w:t>
            </w:r>
          </w:p>
        </w:tc>
        <w:tc>
          <w:tcPr>
            <w:tcW w:w="2410" w:type="dxa"/>
          </w:tcPr>
          <w:p w14:paraId="1870A162" w14:textId="77777777" w:rsidR="00403B07" w:rsidRDefault="00403B07" w:rsidP="00B01272">
            <w:r>
              <w:t>-</w:t>
            </w:r>
          </w:p>
        </w:tc>
        <w:tc>
          <w:tcPr>
            <w:tcW w:w="2580" w:type="dxa"/>
          </w:tcPr>
          <w:p w14:paraId="33EBE6E6" w14:textId="77777777" w:rsidR="00403B07" w:rsidRDefault="00403B07" w:rsidP="00B01272">
            <w:r>
              <w:t>HeLP RCT, controls</w:t>
            </w:r>
          </w:p>
        </w:tc>
      </w:tr>
      <w:tr w:rsidR="00403B07" w14:paraId="453AE028" w14:textId="77777777" w:rsidTr="00951FF2">
        <w:tc>
          <w:tcPr>
            <w:tcW w:w="3794" w:type="dxa"/>
          </w:tcPr>
          <w:p w14:paraId="0469E4A2" w14:textId="77777777" w:rsidR="00403B07" w:rsidRDefault="00403B07" w:rsidP="00B01272">
            <w:r>
              <w:t>Probability of adult weight status, by child weight status</w:t>
            </w:r>
          </w:p>
        </w:tc>
        <w:tc>
          <w:tcPr>
            <w:tcW w:w="2410" w:type="dxa"/>
          </w:tcPr>
          <w:p w14:paraId="6D74BE71" w14:textId="77777777" w:rsidR="00403B07" w:rsidRDefault="00403B07" w:rsidP="00B01272">
            <w:r>
              <w:t>-</w:t>
            </w:r>
          </w:p>
        </w:tc>
        <w:tc>
          <w:tcPr>
            <w:tcW w:w="2580" w:type="dxa"/>
          </w:tcPr>
          <w:p w14:paraId="32BAD99B" w14:textId="46523E69" w:rsidR="00403B07" w:rsidRDefault="00403B07" w:rsidP="008C43BF">
            <w:r>
              <w:t xml:space="preserve">Power et al, 1997 </w:t>
            </w:r>
            <w:r w:rsidR="00544544">
              <w:fldChar w:fldCharType="begin"/>
            </w:r>
            <w:r w:rsidR="008C43BF">
              <w:instrText xml:space="preserve"> ADDIN EN.CITE &lt;EndNote&gt;&lt;Cite&gt;&lt;Author&gt;Power&lt;/Author&gt;&lt;Year&gt;1997&lt;/Year&gt;&lt;RecNum&gt;3572&lt;/RecNum&gt;&lt;DisplayText&gt;&lt;style face="superscript"&gt;120&lt;/style&gt;&lt;/DisplayText&gt;&lt;record&gt;&lt;rec-number&gt;3572&lt;/rec-number&gt;&lt;foreign-keys&gt;&lt;key app="EN" db-id="2ewa9rrvjsdsawep2vpx5x97eedzzvxx5rta" timestamp="0"&gt;3572&lt;/key&gt;&lt;/foreign-keys&gt;&lt;ref-type name="Journal Article"&gt;17&lt;/ref-type&gt;&lt;contributors&gt;&lt;authors&gt;&lt;author&gt;Power, C., &lt;/author&gt;&lt;author&gt;Lake, J.K., &lt;/author&gt;&lt;author&gt;Cole, T.J.&lt;/author&gt;&lt;/authors&gt;&lt;/contributors&gt;&lt;titles&gt;&lt;title&gt;Body mass index and height from childhood to adulthood in the 1958 British born cohort&lt;/title&gt;&lt;secondary-title&gt;American Journal of Clinical Nutrition&lt;/secondary-title&gt;&lt;/titles&gt;&lt;periodical&gt;&lt;full-title&gt;American Journal of Clinical Nutrition&lt;/full-title&gt;&lt;abbr-1&gt;Am. J. Clin. Nutr.&lt;/abbr-1&gt;&lt;abbr-2&gt;Am J Clin Nutr&lt;/abbr-2&gt;&lt;/periodical&gt;&lt;pages&gt;1094-101&lt;/pages&gt;&lt;volume&gt;66&lt;/volume&gt;&lt;dates&gt;&lt;year&gt;1997&lt;/year&gt;&lt;/dates&gt;&lt;urls&gt;&lt;/urls&gt;&lt;/record&gt;&lt;/Cite&gt;&lt;/EndNote&gt;</w:instrText>
            </w:r>
            <w:r w:rsidR="00544544">
              <w:fldChar w:fldCharType="separate"/>
            </w:r>
            <w:r w:rsidR="008C43BF" w:rsidRPr="008C43BF">
              <w:rPr>
                <w:noProof/>
                <w:vertAlign w:val="superscript"/>
              </w:rPr>
              <w:t>120</w:t>
            </w:r>
            <w:r w:rsidR="00544544">
              <w:fldChar w:fldCharType="end"/>
            </w:r>
            <w:r w:rsidR="00B32A57">
              <w:t xml:space="preserve"> </w:t>
            </w:r>
            <w:r>
              <w:t>(see Table 2</w:t>
            </w:r>
            <w:r w:rsidR="00B14404">
              <w:t>7</w:t>
            </w:r>
            <w:r>
              <w:t>)</w:t>
            </w:r>
          </w:p>
        </w:tc>
      </w:tr>
      <w:tr w:rsidR="00403B07" w14:paraId="0598DC51" w14:textId="77777777" w:rsidTr="00951FF2">
        <w:tc>
          <w:tcPr>
            <w:tcW w:w="3794" w:type="dxa"/>
          </w:tcPr>
          <w:p w14:paraId="7EB637FE" w14:textId="77777777" w:rsidR="00403B07" w:rsidRDefault="00403B07" w:rsidP="00B01272">
            <w:r>
              <w:t>Follow up duration, Adult years</w:t>
            </w:r>
          </w:p>
        </w:tc>
        <w:tc>
          <w:tcPr>
            <w:tcW w:w="2410" w:type="dxa"/>
          </w:tcPr>
          <w:p w14:paraId="2F8F06D5" w14:textId="77777777" w:rsidR="00403B07" w:rsidRDefault="00403B07" w:rsidP="00B01272">
            <w:r>
              <w:t>30</w:t>
            </w:r>
          </w:p>
        </w:tc>
        <w:tc>
          <w:tcPr>
            <w:tcW w:w="2580" w:type="dxa"/>
          </w:tcPr>
          <w:p w14:paraId="1D05E116" w14:textId="77777777" w:rsidR="00403B07" w:rsidRDefault="00403B07" w:rsidP="00B01272">
            <w:r>
              <w:t>Analysis input</w:t>
            </w:r>
          </w:p>
        </w:tc>
      </w:tr>
      <w:tr w:rsidR="00403B07" w14:paraId="31E0007E" w14:textId="77777777" w:rsidTr="00951FF2">
        <w:tc>
          <w:tcPr>
            <w:tcW w:w="3794" w:type="dxa"/>
          </w:tcPr>
          <w:p w14:paraId="5448C24D" w14:textId="77777777" w:rsidR="00403B07" w:rsidRDefault="00403B07" w:rsidP="00B01272">
            <w:r>
              <w:t>Adult start age (yr)</w:t>
            </w:r>
          </w:p>
        </w:tc>
        <w:tc>
          <w:tcPr>
            <w:tcW w:w="2410" w:type="dxa"/>
          </w:tcPr>
          <w:p w14:paraId="0652EAA1" w14:textId="77777777" w:rsidR="00403B07" w:rsidRDefault="00403B07" w:rsidP="00B01272">
            <w:r>
              <w:t>33</w:t>
            </w:r>
          </w:p>
        </w:tc>
        <w:tc>
          <w:tcPr>
            <w:tcW w:w="2580" w:type="dxa"/>
          </w:tcPr>
          <w:p w14:paraId="35FFD01F" w14:textId="148040DF" w:rsidR="00403B07" w:rsidRDefault="00403B07" w:rsidP="008C43BF">
            <w:r>
              <w:t>Power et al, 1997</w:t>
            </w:r>
            <w:r w:rsidR="00B32A57">
              <w:t xml:space="preserve"> </w:t>
            </w:r>
            <w:r w:rsidR="00544544">
              <w:fldChar w:fldCharType="begin"/>
            </w:r>
            <w:r w:rsidR="008C43BF">
              <w:instrText xml:space="preserve"> ADDIN EN.CITE &lt;EndNote&gt;&lt;Cite&gt;&lt;Author&gt;Power&lt;/Author&gt;&lt;Year&gt;1997&lt;/Year&gt;&lt;RecNum&gt;3572&lt;/RecNum&gt;&lt;DisplayText&gt;&lt;style face="superscript"&gt;120&lt;/style&gt;&lt;/DisplayText&gt;&lt;record&gt;&lt;rec-number&gt;3572&lt;/rec-number&gt;&lt;foreign-keys&gt;&lt;key app="EN" db-id="2ewa9rrvjsdsawep2vpx5x97eedzzvxx5rta" timestamp="0"&gt;3572&lt;/key&gt;&lt;/foreign-keys&gt;&lt;ref-type name="Journal Article"&gt;17&lt;/ref-type&gt;&lt;contributors&gt;&lt;authors&gt;&lt;author&gt;Power, C., &lt;/author&gt;&lt;author&gt;Lake, J.K., &lt;/author&gt;&lt;author&gt;Cole, T.J.&lt;/author&gt;&lt;/authors&gt;&lt;/contributors&gt;&lt;titles&gt;&lt;title&gt;Body mass index and height from childhood to adulthood in the 1958 British born cohort&lt;/title&gt;&lt;secondary-title&gt;American Journal of Clinical Nutrition&lt;/secondary-title&gt;&lt;/titles&gt;&lt;periodical&gt;&lt;full-title&gt;American Journal of Clinical Nutrition&lt;/full-title&gt;&lt;abbr-1&gt;Am. J. Clin. Nutr.&lt;/abbr-1&gt;&lt;abbr-2&gt;Am J Clin Nutr&lt;/abbr-2&gt;&lt;/periodical&gt;&lt;pages&gt;1094-101&lt;/pages&gt;&lt;volume&gt;66&lt;/volume&gt;&lt;dates&gt;&lt;year&gt;1997&lt;/year&gt;&lt;/dates&gt;&lt;urls&gt;&lt;/urls&gt;&lt;/record&gt;&lt;/Cite&gt;&lt;/EndNote&gt;</w:instrText>
            </w:r>
            <w:r w:rsidR="00544544">
              <w:fldChar w:fldCharType="separate"/>
            </w:r>
            <w:r w:rsidR="008C43BF" w:rsidRPr="008C43BF">
              <w:rPr>
                <w:noProof/>
                <w:vertAlign w:val="superscript"/>
              </w:rPr>
              <w:t>120</w:t>
            </w:r>
            <w:r w:rsidR="00544544">
              <w:fldChar w:fldCharType="end"/>
            </w:r>
          </w:p>
        </w:tc>
      </w:tr>
      <w:tr w:rsidR="00403B07" w14:paraId="2934E51B" w14:textId="77777777" w:rsidTr="00951FF2">
        <w:tc>
          <w:tcPr>
            <w:tcW w:w="3794" w:type="dxa"/>
          </w:tcPr>
          <w:p w14:paraId="797FA355" w14:textId="77777777" w:rsidR="00403B07" w:rsidRDefault="00403B07" w:rsidP="00B01272">
            <w:r>
              <w:t>Incidence, Weight-Related Events per 1,000 person years: By weight status -</w:t>
            </w:r>
          </w:p>
          <w:p w14:paraId="30A9F19C" w14:textId="77777777" w:rsidR="00403B07" w:rsidRDefault="00403B07" w:rsidP="00B01272">
            <w:r>
              <w:t>Healthy weight/Overweight/Obese</w:t>
            </w:r>
          </w:p>
        </w:tc>
        <w:tc>
          <w:tcPr>
            <w:tcW w:w="2410" w:type="dxa"/>
          </w:tcPr>
          <w:p w14:paraId="02A6BFB9" w14:textId="77777777" w:rsidR="00403B07" w:rsidRDefault="00403B07" w:rsidP="00B01272"/>
        </w:tc>
        <w:tc>
          <w:tcPr>
            <w:tcW w:w="2580" w:type="dxa"/>
          </w:tcPr>
          <w:p w14:paraId="5215CBB6" w14:textId="77777777" w:rsidR="00403B07" w:rsidRDefault="00403B07" w:rsidP="00B01272"/>
        </w:tc>
      </w:tr>
      <w:tr w:rsidR="00403B07" w14:paraId="6F61D1F7" w14:textId="77777777" w:rsidTr="00951FF2">
        <w:tc>
          <w:tcPr>
            <w:tcW w:w="3794" w:type="dxa"/>
          </w:tcPr>
          <w:p w14:paraId="6D45FB12" w14:textId="77777777" w:rsidR="00403B07" w:rsidRDefault="00403B07" w:rsidP="00B01272">
            <w:pPr>
              <w:jc w:val="right"/>
            </w:pPr>
            <w:r>
              <w:t>CHD</w:t>
            </w:r>
          </w:p>
        </w:tc>
        <w:tc>
          <w:tcPr>
            <w:tcW w:w="2410" w:type="dxa"/>
          </w:tcPr>
          <w:p w14:paraId="30BDDF92" w14:textId="77777777" w:rsidR="00403B07" w:rsidRPr="003D7DAF" w:rsidRDefault="00403B07" w:rsidP="00B01272">
            <w:r>
              <w:t>0.0024/0.0033/0.00048</w:t>
            </w:r>
          </w:p>
        </w:tc>
        <w:tc>
          <w:tcPr>
            <w:tcW w:w="2580" w:type="dxa"/>
          </w:tcPr>
          <w:p w14:paraId="7F36AB98" w14:textId="46656D24" w:rsidR="00403B07" w:rsidRDefault="00403B07" w:rsidP="008C43BF">
            <w:r>
              <w:t>Guh et al, 2009</w:t>
            </w:r>
            <w:r w:rsidR="00B32A57">
              <w:t xml:space="preserve"> </w:t>
            </w:r>
            <w:r w:rsidR="00544544">
              <w:fldChar w:fldCharType="begin"/>
            </w:r>
            <w:r w:rsidR="008C43BF">
              <w:instrText xml:space="preserve"> ADDIN EN.CITE &lt;EndNote&gt;&lt;Cite&gt;&lt;Author&gt;Guh&lt;/Author&gt;&lt;Year&gt;2009&lt;/Year&gt;&lt;RecNum&gt;5743&lt;/RecNum&gt;&lt;DisplayText&gt;&lt;style face="superscript"&gt;88&lt;/style&gt;&lt;/DisplayText&gt;&lt;record&gt;&lt;rec-number&gt;5743&lt;/rec-number&gt;&lt;foreign-keys&gt;&lt;key app="EN" db-id="2ewa9rrvjsdsawep2vpx5x97eedzzvxx5rta" timestamp="1478679952"&gt;5743&lt;/key&gt;&lt;/foreign-keys&gt;&lt;ref-type name="Journal Article"&gt;17&lt;/ref-type&gt;&lt;contributors&gt;&lt;authors&gt;&lt;author&gt;Guh, D. P.&lt;/author&gt;&lt;author&gt;Zhang, W.&lt;/author&gt;&lt;author&gt;Bansback, N.&lt;/author&gt;&lt;author&gt;Amarsi, Z.&lt;/author&gt;&lt;author&gt;Birmingham, C. L.&lt;/author&gt;&lt;author&gt;Anis, A. H.&lt;/author&gt;&lt;/authors&gt;&lt;/contributors&gt;&lt;auth-address&gt;Centre for Health Evaluation and Outcome Sciences, St Paul&amp;apos;s Hospital, BC, Canada. daphne@sm.hivnet.ubc.ca&lt;/auth-address&gt;&lt;titles&gt;&lt;title&gt;The incidence of co-morbidities related to obesity and overweight: a systematic review and meta-analysis&lt;/title&gt;&lt;secondary-title&gt;BMC Public Health&lt;/secondary-title&gt;&lt;/titles&gt;&lt;periodical&gt;&lt;full-title&gt;BMC Public Health&lt;/full-title&gt;&lt;abbr-1&gt;BMC Public Health&lt;/abbr-1&gt;&lt;abbr-2&gt;BMC Public Health&lt;/abbr-2&gt;&lt;/periodical&gt;&lt;pages&gt;88&lt;/pages&gt;&lt;volume&gt;9&lt;/volume&gt;&lt;keywords&gt;&lt;keyword&gt;Cardiovascular Diseases/*epidemiology&lt;/keyword&gt;&lt;keyword&gt;Comorbidity&lt;/keyword&gt;&lt;keyword&gt;Diabetes Mellitus, Type 2/epidemiology&lt;/keyword&gt;&lt;keyword&gt;Female&lt;/keyword&gt;&lt;keyword&gt;Gallbladder Diseases/epidemiology&lt;/keyword&gt;&lt;keyword&gt;Humans&lt;/keyword&gt;&lt;keyword&gt;Incidence&lt;/keyword&gt;&lt;keyword&gt;Male&lt;/keyword&gt;&lt;keyword&gt;Neoplasms/*epidemiology&lt;/keyword&gt;&lt;keyword&gt;Obesity/*epidemiology&lt;/keyword&gt;&lt;keyword&gt;Osteoarthritis/epidemiology&lt;/keyword&gt;&lt;keyword&gt;Overweight/*epidemiology&lt;/keyword&gt;&lt;/keywords&gt;&lt;dates&gt;&lt;year&gt;2009&lt;/year&gt;&lt;/dates&gt;&lt;isbn&gt;1471-2458 (Electronic)&amp;#xD;1471-2458 (Linking)&lt;/isbn&gt;&lt;accession-num&gt;19320986&lt;/accession-num&gt;&lt;urls&gt;&lt;related-urls&gt;&lt;url&gt;http://www.ncbi.nlm.nih.gov/pubmed/19320986&lt;/url&gt;&lt;/related-urls&gt;&lt;/urls&gt;&lt;custom2&gt;2667420&lt;/custom2&gt;&lt;electronic-resource-num&gt;10.1186/1471-2458-9-88&lt;/electronic-resource-num&gt;&lt;/record&gt;&lt;/Cite&gt;&lt;/EndNote&gt;</w:instrText>
            </w:r>
            <w:r w:rsidR="00544544">
              <w:fldChar w:fldCharType="separate"/>
            </w:r>
            <w:r w:rsidR="008C43BF" w:rsidRPr="008C43BF">
              <w:rPr>
                <w:noProof/>
                <w:vertAlign w:val="superscript"/>
              </w:rPr>
              <w:t>88</w:t>
            </w:r>
            <w:r w:rsidR="00544544">
              <w:fldChar w:fldCharType="end"/>
            </w:r>
          </w:p>
        </w:tc>
      </w:tr>
      <w:tr w:rsidR="00403B07" w14:paraId="79D03F94" w14:textId="77777777" w:rsidTr="00951FF2">
        <w:tc>
          <w:tcPr>
            <w:tcW w:w="3794" w:type="dxa"/>
          </w:tcPr>
          <w:p w14:paraId="16C0D25D" w14:textId="77777777" w:rsidR="00403B07" w:rsidRDefault="00403B07" w:rsidP="00B01272">
            <w:pPr>
              <w:jc w:val="right"/>
            </w:pPr>
            <w:r>
              <w:t>T2DM</w:t>
            </w:r>
          </w:p>
        </w:tc>
        <w:tc>
          <w:tcPr>
            <w:tcW w:w="2410" w:type="dxa"/>
          </w:tcPr>
          <w:p w14:paraId="7E530755" w14:textId="77777777" w:rsidR="00403B07" w:rsidRPr="003D7DAF" w:rsidRDefault="00403B07" w:rsidP="00B01272">
            <w:r>
              <w:t>0.0017/0.0046/0.0133</w:t>
            </w:r>
          </w:p>
        </w:tc>
        <w:tc>
          <w:tcPr>
            <w:tcW w:w="2580" w:type="dxa"/>
          </w:tcPr>
          <w:p w14:paraId="524D4801" w14:textId="1E7E68A4" w:rsidR="00403B07" w:rsidRDefault="00403B07" w:rsidP="008C43BF">
            <w:r w:rsidRPr="003A1506">
              <w:t>Guh et al, 2009</w:t>
            </w:r>
            <w:r w:rsidR="00B32A57">
              <w:t xml:space="preserve"> </w:t>
            </w:r>
            <w:r w:rsidR="00544544">
              <w:fldChar w:fldCharType="begin"/>
            </w:r>
            <w:r w:rsidR="008C43BF">
              <w:instrText xml:space="preserve"> ADDIN EN.CITE &lt;EndNote&gt;&lt;Cite&gt;&lt;Author&gt;Guh&lt;/Author&gt;&lt;Year&gt;2009&lt;/Year&gt;&lt;RecNum&gt;5743&lt;/RecNum&gt;&lt;DisplayText&gt;&lt;style face="superscript"&gt;88&lt;/style&gt;&lt;/DisplayText&gt;&lt;record&gt;&lt;rec-number&gt;5743&lt;/rec-number&gt;&lt;foreign-keys&gt;&lt;key app="EN" db-id="2ewa9rrvjsdsawep2vpx5x97eedzzvxx5rta" timestamp="1478679952"&gt;5743&lt;/key&gt;&lt;/foreign-keys&gt;&lt;ref-type name="Journal Article"&gt;17&lt;/ref-type&gt;&lt;contributors&gt;&lt;authors&gt;&lt;author&gt;Guh, D. P.&lt;/author&gt;&lt;author&gt;Zhang, W.&lt;/author&gt;&lt;author&gt;Bansback, N.&lt;/author&gt;&lt;author&gt;Amarsi, Z.&lt;/author&gt;&lt;author&gt;Birmingham, C. L.&lt;/author&gt;&lt;author&gt;Anis, A. H.&lt;/author&gt;&lt;/authors&gt;&lt;/contributors&gt;&lt;auth-address&gt;Centre for Health Evaluation and Outcome Sciences, St Paul&amp;apos;s Hospital, BC, Canada. daphne@sm.hivnet.ubc.ca&lt;/auth-address&gt;&lt;titles&gt;&lt;title&gt;The incidence of co-morbidities related to obesity and overweight: a systematic review and meta-analysis&lt;/title&gt;&lt;secondary-title&gt;BMC Public Health&lt;/secondary-title&gt;&lt;/titles&gt;&lt;periodical&gt;&lt;full-title&gt;BMC Public Health&lt;/full-title&gt;&lt;abbr-1&gt;BMC Public Health&lt;/abbr-1&gt;&lt;abbr-2&gt;BMC Public Health&lt;/abbr-2&gt;&lt;/periodical&gt;&lt;pages&gt;88&lt;/pages&gt;&lt;volume&gt;9&lt;/volume&gt;&lt;keywords&gt;&lt;keyword&gt;Cardiovascular Diseases/*epidemiology&lt;/keyword&gt;&lt;keyword&gt;Comorbidity&lt;/keyword&gt;&lt;keyword&gt;Diabetes Mellitus, Type 2/epidemiology&lt;/keyword&gt;&lt;keyword&gt;Female&lt;/keyword&gt;&lt;keyword&gt;Gallbladder Diseases/epidemiology&lt;/keyword&gt;&lt;keyword&gt;Humans&lt;/keyword&gt;&lt;keyword&gt;Incidence&lt;/keyword&gt;&lt;keyword&gt;Male&lt;/keyword&gt;&lt;keyword&gt;Neoplasms/*epidemiology&lt;/keyword&gt;&lt;keyword&gt;Obesity/*epidemiology&lt;/keyword&gt;&lt;keyword&gt;Osteoarthritis/epidemiology&lt;/keyword&gt;&lt;keyword&gt;Overweight/*epidemiology&lt;/keyword&gt;&lt;/keywords&gt;&lt;dates&gt;&lt;year&gt;2009&lt;/year&gt;&lt;/dates&gt;&lt;isbn&gt;1471-2458 (Electronic)&amp;#xD;1471-2458 (Linking)&lt;/isbn&gt;&lt;accession-num&gt;19320986&lt;/accession-num&gt;&lt;urls&gt;&lt;related-urls&gt;&lt;url&gt;http://www.ncbi.nlm.nih.gov/pubmed/19320986&lt;/url&gt;&lt;/related-urls&gt;&lt;/urls&gt;&lt;custom2&gt;2667420&lt;/custom2&gt;&lt;electronic-resource-num&gt;10.1186/1471-2458-9-88&lt;/electronic-resource-num&gt;&lt;/record&gt;&lt;/Cite&gt;&lt;/EndNote&gt;</w:instrText>
            </w:r>
            <w:r w:rsidR="00544544">
              <w:fldChar w:fldCharType="separate"/>
            </w:r>
            <w:r w:rsidR="008C43BF" w:rsidRPr="008C43BF">
              <w:rPr>
                <w:noProof/>
                <w:vertAlign w:val="superscript"/>
              </w:rPr>
              <w:t>88</w:t>
            </w:r>
            <w:r w:rsidR="00544544">
              <w:fldChar w:fldCharType="end"/>
            </w:r>
          </w:p>
        </w:tc>
      </w:tr>
      <w:tr w:rsidR="00403B07" w14:paraId="44855C0F" w14:textId="77777777" w:rsidTr="00951FF2">
        <w:tc>
          <w:tcPr>
            <w:tcW w:w="3794" w:type="dxa"/>
          </w:tcPr>
          <w:p w14:paraId="4523FC36" w14:textId="77777777" w:rsidR="00403B07" w:rsidRDefault="00403B07" w:rsidP="00B01272">
            <w:pPr>
              <w:jc w:val="right"/>
            </w:pPr>
            <w:r>
              <w:t>Stroke</w:t>
            </w:r>
          </w:p>
        </w:tc>
        <w:tc>
          <w:tcPr>
            <w:tcW w:w="2410" w:type="dxa"/>
          </w:tcPr>
          <w:p w14:paraId="108F8FBE" w14:textId="77777777" w:rsidR="00403B07" w:rsidRPr="003D7DAF" w:rsidRDefault="00403B07" w:rsidP="00B01272">
            <w:r>
              <w:t>0.0014/0.0019/0.0023</w:t>
            </w:r>
          </w:p>
        </w:tc>
        <w:tc>
          <w:tcPr>
            <w:tcW w:w="2580" w:type="dxa"/>
          </w:tcPr>
          <w:p w14:paraId="6E8A239E" w14:textId="5D9DC6A0" w:rsidR="00403B07" w:rsidRDefault="00403B07" w:rsidP="008C43BF">
            <w:r w:rsidRPr="003A1506">
              <w:t>Guh et al, 2009</w:t>
            </w:r>
            <w:r w:rsidR="00B32A57">
              <w:t xml:space="preserve"> </w:t>
            </w:r>
            <w:r w:rsidR="00544544">
              <w:fldChar w:fldCharType="begin"/>
            </w:r>
            <w:r w:rsidR="008C43BF">
              <w:instrText xml:space="preserve"> ADDIN EN.CITE &lt;EndNote&gt;&lt;Cite&gt;&lt;Author&gt;Guh&lt;/Author&gt;&lt;Year&gt;2009&lt;/Year&gt;&lt;RecNum&gt;5743&lt;/RecNum&gt;&lt;DisplayText&gt;&lt;style face="superscript"&gt;88&lt;/style&gt;&lt;/DisplayText&gt;&lt;record&gt;&lt;rec-number&gt;5743&lt;/rec-number&gt;&lt;foreign-keys&gt;&lt;key app="EN" db-id="2ewa9rrvjsdsawep2vpx5x97eedzzvxx5rta" timestamp="1478679952"&gt;5743&lt;/key&gt;&lt;/foreign-keys&gt;&lt;ref-type name="Journal Article"&gt;17&lt;/ref-type&gt;&lt;contributors&gt;&lt;authors&gt;&lt;author&gt;Guh, D. P.&lt;/author&gt;&lt;author&gt;Zhang, W.&lt;/author&gt;&lt;author&gt;Bansback, N.&lt;/author&gt;&lt;author&gt;Amarsi, Z.&lt;/author&gt;&lt;author&gt;Birmingham, C. L.&lt;/author&gt;&lt;author&gt;Anis, A. H.&lt;/author&gt;&lt;/authors&gt;&lt;/contributors&gt;&lt;auth-address&gt;Centre for Health Evaluation and Outcome Sciences, St Paul&amp;apos;s Hospital, BC, Canada. daphne@sm.hivnet.ubc.ca&lt;/auth-address&gt;&lt;titles&gt;&lt;title&gt;The incidence of co-morbidities related to obesity and overweight: a systematic review and meta-analysis&lt;/title&gt;&lt;secondary-title&gt;BMC Public Health&lt;/secondary-title&gt;&lt;/titles&gt;&lt;periodical&gt;&lt;full-title&gt;BMC Public Health&lt;/full-title&gt;&lt;abbr-1&gt;BMC Public Health&lt;/abbr-1&gt;&lt;abbr-2&gt;BMC Public Health&lt;/abbr-2&gt;&lt;/periodical&gt;&lt;pages&gt;88&lt;/pages&gt;&lt;volume&gt;9&lt;/volume&gt;&lt;keywords&gt;&lt;keyword&gt;Cardiovascular Diseases/*epidemiology&lt;/keyword&gt;&lt;keyword&gt;Comorbidity&lt;/keyword&gt;&lt;keyword&gt;Diabetes Mellitus, Type 2/epidemiology&lt;/keyword&gt;&lt;keyword&gt;Female&lt;/keyword&gt;&lt;keyword&gt;Gallbladder Diseases/epidemiology&lt;/keyword&gt;&lt;keyword&gt;Humans&lt;/keyword&gt;&lt;keyword&gt;Incidence&lt;/keyword&gt;&lt;keyword&gt;Male&lt;/keyword&gt;&lt;keyword&gt;Neoplasms/*epidemiology&lt;/keyword&gt;&lt;keyword&gt;Obesity/*epidemiology&lt;/keyword&gt;&lt;keyword&gt;Osteoarthritis/epidemiology&lt;/keyword&gt;&lt;keyword&gt;Overweight/*epidemiology&lt;/keyword&gt;&lt;/keywords&gt;&lt;dates&gt;&lt;year&gt;2009&lt;/year&gt;&lt;/dates&gt;&lt;isbn&gt;1471-2458 (Electronic)&amp;#xD;1471-2458 (Linking)&lt;/isbn&gt;&lt;accession-num&gt;19320986&lt;/accession-num&gt;&lt;urls&gt;&lt;related-urls&gt;&lt;url&gt;http://www.ncbi.nlm.nih.gov/pubmed/19320986&lt;/url&gt;&lt;/related-urls&gt;&lt;/urls&gt;&lt;custom2&gt;2667420&lt;/custom2&gt;&lt;electronic-resource-num&gt;10.1186/1471-2458-9-88&lt;/electronic-resource-num&gt;&lt;/record&gt;&lt;/Cite&gt;&lt;/EndNote&gt;</w:instrText>
            </w:r>
            <w:r w:rsidR="00544544">
              <w:fldChar w:fldCharType="separate"/>
            </w:r>
            <w:r w:rsidR="008C43BF" w:rsidRPr="008C43BF">
              <w:rPr>
                <w:noProof/>
                <w:vertAlign w:val="superscript"/>
              </w:rPr>
              <w:t>88</w:t>
            </w:r>
            <w:r w:rsidR="00544544">
              <w:fldChar w:fldCharType="end"/>
            </w:r>
          </w:p>
        </w:tc>
      </w:tr>
      <w:tr w:rsidR="00403B07" w14:paraId="1CA1CE90" w14:textId="77777777" w:rsidTr="00951FF2">
        <w:tc>
          <w:tcPr>
            <w:tcW w:w="3794" w:type="dxa"/>
          </w:tcPr>
          <w:p w14:paraId="4B29886F" w14:textId="77777777" w:rsidR="00403B07" w:rsidRDefault="00403B07" w:rsidP="00B01272">
            <w:pPr>
              <w:jc w:val="right"/>
            </w:pPr>
            <w:r>
              <w:t>Colorectal cancer</w:t>
            </w:r>
          </w:p>
        </w:tc>
        <w:tc>
          <w:tcPr>
            <w:tcW w:w="2410" w:type="dxa"/>
          </w:tcPr>
          <w:p w14:paraId="1363F420" w14:textId="77777777" w:rsidR="00403B07" w:rsidRPr="003D7DAF" w:rsidRDefault="00403B07" w:rsidP="00B01272">
            <w:r>
              <w:t>0.0009/0.0013/0.0016</w:t>
            </w:r>
          </w:p>
        </w:tc>
        <w:tc>
          <w:tcPr>
            <w:tcW w:w="2580" w:type="dxa"/>
          </w:tcPr>
          <w:p w14:paraId="7C993561" w14:textId="03EBF468" w:rsidR="00403B07" w:rsidRDefault="00403B07" w:rsidP="008C43BF">
            <w:r w:rsidRPr="003A1506">
              <w:t>Guh et al, 2009</w:t>
            </w:r>
            <w:r w:rsidR="00B32A57">
              <w:t xml:space="preserve"> </w:t>
            </w:r>
            <w:r w:rsidR="00544544">
              <w:fldChar w:fldCharType="begin"/>
            </w:r>
            <w:r w:rsidR="008C43BF">
              <w:instrText xml:space="preserve"> ADDIN EN.CITE &lt;EndNote&gt;&lt;Cite&gt;&lt;Author&gt;Guh&lt;/Author&gt;&lt;Year&gt;2009&lt;/Year&gt;&lt;RecNum&gt;5743&lt;/RecNum&gt;&lt;DisplayText&gt;&lt;style face="superscript"&gt;88&lt;/style&gt;&lt;/DisplayText&gt;&lt;record&gt;&lt;rec-number&gt;5743&lt;/rec-number&gt;&lt;foreign-keys&gt;&lt;key app="EN" db-id="2ewa9rrvjsdsawep2vpx5x97eedzzvxx5rta" timestamp="1478679952"&gt;5743&lt;/key&gt;&lt;/foreign-keys&gt;&lt;ref-type name="Journal Article"&gt;17&lt;/ref-type&gt;&lt;contributors&gt;&lt;authors&gt;&lt;author&gt;Guh, D. P.&lt;/author&gt;&lt;author&gt;Zhang, W.&lt;/author&gt;&lt;author&gt;Bansback, N.&lt;/author&gt;&lt;author&gt;Amarsi, Z.&lt;/author&gt;&lt;author&gt;Birmingham, C. L.&lt;/author&gt;&lt;author&gt;Anis, A. H.&lt;/author&gt;&lt;/authors&gt;&lt;/contributors&gt;&lt;auth-address&gt;Centre for Health Evaluation and Outcome Sciences, St Paul&amp;apos;s Hospital, BC, Canada. daphne@sm.hivnet.ubc.ca&lt;/auth-address&gt;&lt;titles&gt;&lt;title&gt;The incidence of co-morbidities related to obesity and overweight: a systematic review and meta-analysis&lt;/title&gt;&lt;secondary-title&gt;BMC Public Health&lt;/secondary-title&gt;&lt;/titles&gt;&lt;periodical&gt;&lt;full-title&gt;BMC Public Health&lt;/full-title&gt;&lt;abbr-1&gt;BMC Public Health&lt;/abbr-1&gt;&lt;abbr-2&gt;BMC Public Health&lt;/abbr-2&gt;&lt;/periodical&gt;&lt;pages&gt;88&lt;/pages&gt;&lt;volume&gt;9&lt;/volume&gt;&lt;keywords&gt;&lt;keyword&gt;Cardiovascular Diseases/*epidemiology&lt;/keyword&gt;&lt;keyword&gt;Comorbidity&lt;/keyword&gt;&lt;keyword&gt;Diabetes Mellitus, Type 2/epidemiology&lt;/keyword&gt;&lt;keyword&gt;Female&lt;/keyword&gt;&lt;keyword&gt;Gallbladder Diseases/epidemiology&lt;/keyword&gt;&lt;keyword&gt;Humans&lt;/keyword&gt;&lt;keyword&gt;Incidence&lt;/keyword&gt;&lt;keyword&gt;Male&lt;/keyword&gt;&lt;keyword&gt;Neoplasms/*epidemiology&lt;/keyword&gt;&lt;keyword&gt;Obesity/*epidemiology&lt;/keyword&gt;&lt;keyword&gt;Osteoarthritis/epidemiology&lt;/keyword&gt;&lt;keyword&gt;Overweight/*epidemiology&lt;/keyword&gt;&lt;/keywords&gt;&lt;dates&gt;&lt;year&gt;2009&lt;/year&gt;&lt;/dates&gt;&lt;isbn&gt;1471-2458 (Electronic)&amp;#xD;1471-2458 (Linking)&lt;/isbn&gt;&lt;accession-num&gt;19320986&lt;/accession-num&gt;&lt;urls&gt;&lt;related-urls&gt;&lt;url&gt;http://www.ncbi.nlm.nih.gov/pubmed/19320986&lt;/url&gt;&lt;/related-urls&gt;&lt;/urls&gt;&lt;custom2&gt;2667420&lt;/custom2&gt;&lt;electronic-resource-num&gt;10.1186/1471-2458-9-88&lt;/electronic-resource-num&gt;&lt;/record&gt;&lt;/Cite&gt;&lt;/EndNote&gt;</w:instrText>
            </w:r>
            <w:r w:rsidR="00544544">
              <w:fldChar w:fldCharType="separate"/>
            </w:r>
            <w:r w:rsidR="008C43BF" w:rsidRPr="008C43BF">
              <w:rPr>
                <w:noProof/>
                <w:vertAlign w:val="superscript"/>
              </w:rPr>
              <w:t>88</w:t>
            </w:r>
            <w:r w:rsidR="00544544">
              <w:fldChar w:fldCharType="end"/>
            </w:r>
          </w:p>
        </w:tc>
      </w:tr>
      <w:tr w:rsidR="00403B07" w14:paraId="2AA4F1A7" w14:textId="77777777" w:rsidTr="00951FF2">
        <w:tc>
          <w:tcPr>
            <w:tcW w:w="3794" w:type="dxa"/>
          </w:tcPr>
          <w:p w14:paraId="067E3BC3" w14:textId="77777777" w:rsidR="00403B07" w:rsidRDefault="00403B07" w:rsidP="00B01272">
            <w:r>
              <w:t>Mortality data, annual mortality rate/probability:</w:t>
            </w:r>
          </w:p>
        </w:tc>
        <w:tc>
          <w:tcPr>
            <w:tcW w:w="2410" w:type="dxa"/>
          </w:tcPr>
          <w:p w14:paraId="33C76C53" w14:textId="77777777" w:rsidR="00403B07" w:rsidRPr="003D7DAF" w:rsidRDefault="00403B07" w:rsidP="00B01272"/>
        </w:tc>
        <w:tc>
          <w:tcPr>
            <w:tcW w:w="2580" w:type="dxa"/>
          </w:tcPr>
          <w:p w14:paraId="049386BF" w14:textId="77777777" w:rsidR="00403B07" w:rsidRDefault="00403B07" w:rsidP="00B01272"/>
        </w:tc>
      </w:tr>
      <w:tr w:rsidR="00403B07" w14:paraId="54F82637" w14:textId="77777777" w:rsidTr="00951FF2">
        <w:tc>
          <w:tcPr>
            <w:tcW w:w="3794" w:type="dxa"/>
          </w:tcPr>
          <w:p w14:paraId="14D76A37" w14:textId="77777777" w:rsidR="00403B07" w:rsidRDefault="00403B07" w:rsidP="00B01272">
            <w:pPr>
              <w:jc w:val="right"/>
            </w:pPr>
            <w:r>
              <w:t>All cause general population mortality, by age (weighted for gender)</w:t>
            </w:r>
          </w:p>
        </w:tc>
        <w:tc>
          <w:tcPr>
            <w:tcW w:w="2410" w:type="dxa"/>
          </w:tcPr>
          <w:p w14:paraId="27126B97" w14:textId="77777777" w:rsidR="00403B07" w:rsidRPr="003D7DAF" w:rsidRDefault="00403B07" w:rsidP="00B01272">
            <w:r>
              <w:t>-</w:t>
            </w:r>
          </w:p>
        </w:tc>
        <w:tc>
          <w:tcPr>
            <w:tcW w:w="2580" w:type="dxa"/>
          </w:tcPr>
          <w:p w14:paraId="08B64EC2" w14:textId="40D9F3B8" w:rsidR="00403B07" w:rsidRDefault="00403B07" w:rsidP="00931E9F">
            <w:r>
              <w:t>ONS Life Tables 2012-14</w:t>
            </w:r>
            <w:r w:rsidR="00907291">
              <w:t xml:space="preserve"> </w:t>
            </w:r>
            <w:r w:rsidR="00907291">
              <w:fldChar w:fldCharType="begin"/>
            </w:r>
            <w:r w:rsidR="00931E9F">
              <w:instrText xml:space="preserve"> ADDIN EN.CITE &lt;EndNote&gt;&lt;Cite ExcludeYear="1"&gt;&lt;Author&gt;Office for National Statistics&lt;/Author&gt;&lt;RecNum&gt;5786&lt;/RecNum&gt;&lt;DisplayText&gt;&lt;style face="superscript"&gt;89&lt;/style&gt;&lt;/DisplayText&gt;&lt;record&gt;&lt;rec-number&gt;5786&lt;/rec-number&gt;&lt;foreign-keys&gt;&lt;key app="EN" db-id="2ewa9rrvjsdsawep2vpx5x97eedzzvxx5rta" timestamp="1478702353"&gt;5786&lt;/key&gt;&lt;/foreign-keys&gt;&lt;ref-type name="Web Page"&gt;12&lt;/ref-type&gt;&lt;contributors&gt;&lt;authors&gt;&lt;author&gt;Office for National Statistics,&lt;/author&gt;&lt;/authors&gt;&lt;/contributors&gt;&lt;titles&gt;&lt;title&gt;National Life Tables, United Kingdom: 2012 - 2014&lt;/title&gt;&lt;/titles&gt;&lt;number&gt;3 April 2016&lt;/number&gt;&lt;dates&gt;&lt;/dates&gt;&lt;urls&gt;&lt;related-urls&gt;&lt;url&gt;https://www.ons.gov.uk/peoplepopulationandcommunity/birthsdeathsandmarriages/lifeexpectancies/bulletins/nationallifetablesunitedkingdom/2015-09-23&lt;/url&gt;&lt;/related-urls&gt;&lt;/urls&gt;&lt;/record&gt;&lt;/Cite&gt;&lt;/EndNote&gt;</w:instrText>
            </w:r>
            <w:r w:rsidR="00907291">
              <w:fldChar w:fldCharType="separate"/>
            </w:r>
            <w:r w:rsidR="008C43BF" w:rsidRPr="008C43BF">
              <w:rPr>
                <w:noProof/>
                <w:vertAlign w:val="superscript"/>
              </w:rPr>
              <w:t>89</w:t>
            </w:r>
            <w:r w:rsidR="00907291">
              <w:fldChar w:fldCharType="end"/>
            </w:r>
          </w:p>
        </w:tc>
      </w:tr>
      <w:tr w:rsidR="00403B07" w14:paraId="36B58E74" w14:textId="77777777" w:rsidTr="00951FF2">
        <w:tc>
          <w:tcPr>
            <w:tcW w:w="3794" w:type="dxa"/>
          </w:tcPr>
          <w:p w14:paraId="4EDEFF98" w14:textId="77777777" w:rsidR="00403B07" w:rsidRDefault="00403B07" w:rsidP="00B01272">
            <w:pPr>
              <w:jc w:val="right"/>
            </w:pPr>
            <w:r>
              <w:t>CHD</w:t>
            </w:r>
          </w:p>
        </w:tc>
        <w:tc>
          <w:tcPr>
            <w:tcW w:w="2410" w:type="dxa"/>
          </w:tcPr>
          <w:p w14:paraId="5C004E79" w14:textId="77777777" w:rsidR="00403B07" w:rsidRPr="005D4F08" w:rsidRDefault="00403B07" w:rsidP="00B01272">
            <w:pPr>
              <w:rPr>
                <w:rFonts w:cs="Arial"/>
                <w:color w:val="000000"/>
              </w:rPr>
            </w:pPr>
            <w:r w:rsidRPr="005D4F08">
              <w:rPr>
                <w:rFonts w:cs="Arial"/>
                <w:color w:val="000000"/>
              </w:rPr>
              <w:t>0.170</w:t>
            </w:r>
          </w:p>
        </w:tc>
        <w:tc>
          <w:tcPr>
            <w:tcW w:w="2580" w:type="dxa"/>
          </w:tcPr>
          <w:p w14:paraId="12CF5326" w14:textId="5763DAFE" w:rsidR="00403B07" w:rsidRDefault="00403B07" w:rsidP="008C43BF">
            <w:r w:rsidRPr="00861557">
              <w:rPr>
                <w:rFonts w:cs="Arial"/>
                <w:color w:val="000000"/>
              </w:rPr>
              <w:t>Sigurdsson, 1995</w:t>
            </w:r>
            <w:r w:rsidR="00B32A57">
              <w:rPr>
                <w:rFonts w:cs="Arial"/>
                <w:color w:val="000000"/>
              </w:rPr>
              <w:t xml:space="preserve"> </w:t>
            </w:r>
            <w:r w:rsidR="00544544">
              <w:rPr>
                <w:rFonts w:cs="Arial"/>
                <w:color w:val="000000"/>
              </w:rPr>
              <w:fldChar w:fldCharType="begin">
                <w:fldData xml:space="preserve">PEVuZE5vdGU+PENpdGU+PEF1dGhvcj5TaWd1cmRzc29uPC9BdXRob3I+PFllYXI+MTk5NTwvWWVh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</w:fldData>
              </w:fldChar>
            </w:r>
            <w:r w:rsidR="008C43BF">
              <w:rPr>
                <w:rFonts w:cs="Arial"/>
                <w:color w:val="000000"/>
              </w:rPr>
              <w:instrText xml:space="preserve"> ADDIN EN.CITE </w:instrText>
            </w:r>
            <w:r w:rsidR="008C43BF">
              <w:rPr>
                <w:rFonts w:cs="Arial"/>
                <w:color w:val="000000"/>
              </w:rPr>
              <w:fldChar w:fldCharType="begin">
                <w:fldData xml:space="preserve">PEVuZE5vdGU+PENpdGU+PEF1dGhvcj5TaWd1cmRzc29uPC9BdXRob3I+PFllYXI+MTk5NTwvWWVh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</w:fldData>
              </w:fldChar>
            </w:r>
            <w:r w:rsidR="008C43BF">
              <w:rPr>
                <w:rFonts w:cs="Arial"/>
                <w:color w:val="000000"/>
              </w:rPr>
              <w:instrText xml:space="preserve"> ADDIN EN.CITE.DATA </w:instrText>
            </w:r>
            <w:r w:rsidR="008C43BF">
              <w:rPr>
                <w:rFonts w:cs="Arial"/>
                <w:color w:val="000000"/>
              </w:rPr>
            </w:r>
            <w:r w:rsidR="008C43BF">
              <w:rPr>
                <w:rFonts w:cs="Arial"/>
                <w:color w:val="000000"/>
              </w:rPr>
              <w:fldChar w:fldCharType="end"/>
            </w:r>
            <w:r w:rsidR="00544544">
              <w:rPr>
                <w:rFonts w:cs="Arial"/>
                <w:color w:val="000000"/>
              </w:rPr>
            </w:r>
            <w:r w:rsidR="00544544">
              <w:rPr>
                <w:rFonts w:cs="Arial"/>
                <w:color w:val="000000"/>
              </w:rPr>
              <w:fldChar w:fldCharType="separate"/>
            </w:r>
            <w:r w:rsidR="008C43BF" w:rsidRPr="008C43BF">
              <w:rPr>
                <w:rFonts w:cs="Arial"/>
                <w:noProof/>
                <w:color w:val="000000"/>
                <w:vertAlign w:val="superscript"/>
              </w:rPr>
              <w:t>90</w:t>
            </w:r>
            <w:r w:rsidR="00544544">
              <w:rPr>
                <w:rFonts w:cs="Arial"/>
                <w:color w:val="000000"/>
              </w:rPr>
              <w:fldChar w:fldCharType="end"/>
            </w:r>
          </w:p>
        </w:tc>
      </w:tr>
      <w:tr w:rsidR="00403B07" w14:paraId="033AF2ED" w14:textId="77777777" w:rsidTr="00951FF2">
        <w:tc>
          <w:tcPr>
            <w:tcW w:w="3794" w:type="dxa"/>
          </w:tcPr>
          <w:p w14:paraId="6E26D413" w14:textId="77777777" w:rsidR="00403B07" w:rsidRDefault="00403B07" w:rsidP="00B01272">
            <w:pPr>
              <w:jc w:val="right"/>
            </w:pPr>
            <w:r>
              <w:t>T2DM</w:t>
            </w:r>
          </w:p>
        </w:tc>
        <w:tc>
          <w:tcPr>
            <w:tcW w:w="2410" w:type="dxa"/>
          </w:tcPr>
          <w:p w14:paraId="62A2D83C" w14:textId="77777777" w:rsidR="00403B07" w:rsidRPr="005D4F08" w:rsidRDefault="00403B07" w:rsidP="00B01272">
            <w:pPr>
              <w:rPr>
                <w:rFonts w:cs="Arial"/>
                <w:color w:val="000000"/>
              </w:rPr>
            </w:pPr>
            <w:r w:rsidRPr="005D4F08">
              <w:rPr>
                <w:rFonts w:cs="Arial"/>
                <w:color w:val="000000"/>
              </w:rPr>
              <w:t>0.056</w:t>
            </w:r>
          </w:p>
        </w:tc>
        <w:tc>
          <w:tcPr>
            <w:tcW w:w="2580" w:type="dxa"/>
          </w:tcPr>
          <w:p w14:paraId="1C4E4F0A" w14:textId="5EF84FF8" w:rsidR="00403B07" w:rsidRDefault="00403B07" w:rsidP="008C43BF">
            <w:r w:rsidRPr="00861557">
              <w:rPr>
                <w:rFonts w:cs="Arial"/>
                <w:color w:val="000000"/>
              </w:rPr>
              <w:t>Roper et al, 2002</w:t>
            </w:r>
            <w:r w:rsidR="00B32A57">
              <w:rPr>
                <w:rFonts w:cs="Arial"/>
                <w:color w:val="000000"/>
              </w:rPr>
              <w:t xml:space="preserve"> </w:t>
            </w:r>
            <w:r w:rsidR="00544544">
              <w:rPr>
                <w:rFonts w:cs="Arial"/>
                <w:color w:val="000000"/>
              </w:rPr>
              <w:fldChar w:fldCharType="begin"/>
            </w:r>
            <w:r w:rsidR="008C43BF">
              <w:rPr>
                <w:rFonts w:cs="Arial"/>
                <w:color w:val="000000"/>
              </w:rPr>
              <w:instrText xml:space="preserve"> ADDIN EN.CITE &lt;EndNote&gt;&lt;Cite&gt;&lt;Author&gt;Roper&lt;/Author&gt;&lt;Year&gt;2002&lt;/Year&gt;&lt;RecNum&gt;5783&lt;/RecNum&gt;&lt;DisplayText&gt;&lt;style face="superscript"&gt;91&lt;/style&gt;&lt;/DisplayText&gt;&lt;record&gt;&lt;rec-number&gt;5783&lt;/rec-number&gt;&lt;foreign-keys&gt;&lt;key app="EN" db-id="2ewa9rrvjsdsawep2vpx5x97eedzzvxx5rta" timestamp="1478700511"&gt;5783&lt;/key&gt;&lt;/foreign-keys&gt;&lt;ref-type name="Journal Article"&gt;17&lt;/ref-type&gt;&lt;contributors&gt;&lt;authors&gt;&lt;author&gt;Roper, N. A.&lt;/author&gt;&lt;author&gt;Bilous, R. W.&lt;/author&gt;&lt;author&gt;Kelly, W. F.&lt;/author&gt;&lt;author&gt;Unwin, N. C.&lt;/author&gt;&lt;author&gt;Connolly, V. M.&lt;/author&gt;&lt;author&gt;South Tees Diabetes Mortality, Study&lt;/author&gt;&lt;/authors&gt;&lt;/contributors&gt;&lt;auth-address&gt;Diabetes Care Centre, Middlesbrough General Hospital, Middlesbrough, UK.&lt;/auth-address&gt;&lt;titles&gt;&lt;title&gt;Cause-specific mortality in a population with diabetes: South Tees Diabetes Mortality Study&lt;/title&gt;&lt;secondary-title&gt;Diabetes Care&lt;/secondary-title&gt;&lt;/titles&gt;&lt;periodical&gt;&lt;full-title&gt;Diabetes Care&lt;/full-title&gt;&lt;abbr-1&gt;Diabetes Care&lt;/abbr-1&gt;&lt;abbr-2&gt;Diabetes Care&lt;/abbr-2&gt;&lt;/periodical&gt;&lt;pages&gt;43-8&lt;/pages&gt;&lt;volume&gt;25&lt;/volume&gt;&lt;number&gt;1&lt;/number&gt;&lt;keywords&gt;&lt;keyword&gt;Adult&lt;/keyword&gt;&lt;keyword&gt;Aged&lt;/keyword&gt;&lt;keyword&gt;Aged, 80 and over&lt;/keyword&gt;&lt;keyword&gt;Cardiovascular Diseases/mortality&lt;/keyword&gt;&lt;keyword&gt;Cause of Death&lt;/keyword&gt;&lt;keyword&gt;Cerebrovascular Disorders/mortality&lt;/keyword&gt;&lt;keyword&gt;Cohort Studies&lt;/keyword&gt;&lt;keyword&gt;*Diabetes Complications&lt;/keyword&gt;&lt;keyword&gt;Diabetes Mellitus/mortality&lt;/keyword&gt;&lt;keyword&gt;Diabetes Mellitus, Type 1/mortality&lt;/keyword&gt;&lt;keyword&gt;Diabetes Mellitus, Type 2/mortality&lt;/keyword&gt;&lt;keyword&gt;Female&lt;/keyword&gt;&lt;keyword&gt;Great Britain/epidemiology&lt;/keyword&gt;&lt;keyword&gt;Humans&lt;/keyword&gt;&lt;keyword&gt;Male&lt;/keyword&gt;&lt;keyword&gt;Middle Aged&lt;/keyword&gt;&lt;keyword&gt;Myocardial Ischemia/mortality&lt;/keyword&gt;&lt;keyword&gt;Sex Factors&lt;/keyword&gt;&lt;/keywords&gt;&lt;dates&gt;&lt;year&gt;2002&lt;/year&gt;&lt;pub-dates&gt;&lt;date&gt;Jan&lt;/date&gt;&lt;/pub-dates&gt;&lt;/dates&gt;&lt;isbn&gt;0149-5992 (Print)&amp;#xD;0149-5992 (Linking)&lt;/isbn&gt;&lt;accession-num&gt;11772899&lt;/accession-num&gt;&lt;urls&gt;&lt;related-urls&gt;&lt;url&gt;https://www.ncbi.nlm.nih.gov/pubmed/11772899&lt;/url&gt;&lt;/related-urls&gt;&lt;/urls&gt;&lt;/record&gt;&lt;/Cite&gt;&lt;/EndNote&gt;</w:instrText>
            </w:r>
            <w:r w:rsidR="00544544">
              <w:rPr>
                <w:rFonts w:cs="Arial"/>
                <w:color w:val="000000"/>
              </w:rPr>
              <w:fldChar w:fldCharType="separate"/>
            </w:r>
            <w:r w:rsidR="008C43BF" w:rsidRPr="008C43BF">
              <w:rPr>
                <w:rFonts w:cs="Arial"/>
                <w:noProof/>
                <w:color w:val="000000"/>
                <w:vertAlign w:val="superscript"/>
              </w:rPr>
              <w:t>91</w:t>
            </w:r>
            <w:r w:rsidR="00544544">
              <w:rPr>
                <w:rFonts w:cs="Arial"/>
                <w:color w:val="000000"/>
              </w:rPr>
              <w:fldChar w:fldCharType="end"/>
            </w:r>
          </w:p>
        </w:tc>
      </w:tr>
      <w:tr w:rsidR="00403B07" w14:paraId="586167F0" w14:textId="77777777" w:rsidTr="00951FF2">
        <w:tc>
          <w:tcPr>
            <w:tcW w:w="3794" w:type="dxa"/>
          </w:tcPr>
          <w:p w14:paraId="07861BBC" w14:textId="77777777" w:rsidR="00403B07" w:rsidRDefault="00403B07" w:rsidP="00B01272">
            <w:pPr>
              <w:jc w:val="right"/>
            </w:pPr>
            <w:r>
              <w:t>Stroke, year 1</w:t>
            </w:r>
          </w:p>
        </w:tc>
        <w:tc>
          <w:tcPr>
            <w:tcW w:w="2410" w:type="dxa"/>
          </w:tcPr>
          <w:p w14:paraId="3EE2A02A" w14:textId="77777777" w:rsidR="00403B07" w:rsidRPr="005D4F08" w:rsidRDefault="00403B07" w:rsidP="00B01272">
            <w:pPr>
              <w:rPr>
                <w:rFonts w:cs="Arial"/>
                <w:color w:val="000000"/>
              </w:rPr>
            </w:pPr>
            <w:r w:rsidRPr="005D4F08">
              <w:rPr>
                <w:rFonts w:cs="Arial"/>
                <w:color w:val="000000"/>
              </w:rPr>
              <w:t>0.370</w:t>
            </w:r>
          </w:p>
        </w:tc>
        <w:tc>
          <w:tcPr>
            <w:tcW w:w="2580" w:type="dxa"/>
          </w:tcPr>
          <w:p w14:paraId="172743D1" w14:textId="4AB7A86B" w:rsidR="00403B07" w:rsidRDefault="00403B07" w:rsidP="008C43BF">
            <w:r w:rsidRPr="00861557">
              <w:rPr>
                <w:rFonts w:cs="Arial"/>
                <w:color w:val="000000"/>
              </w:rPr>
              <w:t>Hankey et al, 2000</w:t>
            </w:r>
            <w:r w:rsidR="00544544">
              <w:rPr>
                <w:rFonts w:cs="Arial"/>
                <w:color w:val="000000"/>
              </w:rPr>
              <w:t xml:space="preserve"> </w:t>
            </w:r>
            <w:r w:rsidR="00343200">
              <w:rPr>
                <w:rFonts w:cs="Arial"/>
                <w:color w:val="000000"/>
              </w:rPr>
              <w:fldChar w:fldCharType="begin"/>
            </w:r>
            <w:r w:rsidR="008C43BF">
              <w:rPr>
                <w:rFonts w:cs="Arial"/>
                <w:color w:val="000000"/>
              </w:rPr>
              <w:instrText xml:space="preserve"> ADDIN EN.CITE &lt;EndNote&gt;&lt;Cite&gt;&lt;Author&gt;Hankey&lt;/Author&gt;&lt;Year&gt;2000&lt;/Year&gt;&lt;RecNum&gt;5784&lt;/RecNum&gt;&lt;DisplayText&gt;&lt;style face="superscript"&gt;92&lt;/style&gt;&lt;/DisplayText&gt;&lt;record&gt;&lt;rec-number&gt;5784&lt;/rec-number&gt;&lt;foreign-keys&gt;&lt;key app="EN" db-id="2ewa9rrvjsdsawep2vpx5x97eedzzvxx5rta" timestamp="1478700619"&gt;5784&lt;/key&gt;&lt;/foreign-keys&gt;&lt;ref-type name="Journal Article"&gt;17&lt;/ref-type&gt;&lt;contributors&gt;&lt;authors&gt;&lt;author&gt;Hankey, G. J.&lt;/author&gt;&lt;author&gt;Jamrozik, K.&lt;/author&gt;&lt;author&gt;Broadhurst, R. J.&lt;/author&gt;&lt;author&gt;Forbes, S.&lt;/author&gt;&lt;author&gt;Burvill, P. W.&lt;/author&gt;&lt;author&gt;Anderson, C. S.&lt;/author&gt;&lt;author&gt;Stewart-Wynne, E. G.&lt;/author&gt;&lt;/authors&gt;&lt;/contributors&gt;&lt;auth-address&gt;Stroke Unit, Department of Neurology, Royal Perth Hospital (Western Australia). gjhankey@cyllene.uwa.edu.au&lt;/auth-address&gt;&lt;titles&gt;&lt;title&gt;Five-year survival after first-ever stroke and related prognostic factors in the Perth Community Stroke Study&lt;/title&gt;&lt;secondary-title&gt;Stroke&lt;/secondary-title&gt;&lt;/titles&gt;&lt;periodical&gt;&lt;full-title&gt;Stroke&lt;/full-title&gt;&lt;abbr-1&gt;Stroke&lt;/abbr-1&gt;&lt;abbr-2&gt;Stroke&lt;/abbr-2&gt;&lt;/periodical&gt;&lt;pages&gt;2080-6&lt;/pages&gt;&lt;volume&gt;31&lt;/volume&gt;&lt;number&gt;9&lt;/number&gt;&lt;keywords&gt;&lt;keyword&gt;Age Factors&lt;/keyword&gt;&lt;keyword&gt;Aged&lt;/keyword&gt;&lt;keyword&gt;Aged, 80 and over&lt;/keyword&gt;&lt;keyword&gt;Australia/epidemiology&lt;/keyword&gt;&lt;keyword&gt;Cardiovascular Diseases/prevention &amp;amp; control&lt;/keyword&gt;&lt;keyword&gt;Cause of Death&lt;/keyword&gt;&lt;keyword&gt;Ethics, Medical&lt;/keyword&gt;&lt;keyword&gt;Female&lt;/keyword&gt;&lt;keyword&gt;Humans&lt;/keyword&gt;&lt;keyword&gt;Male&lt;/keyword&gt;&lt;keyword&gt;Middle Aged&lt;/keyword&gt;&lt;keyword&gt;Neurologic Examination&lt;/keyword&gt;&lt;keyword&gt;Prognosis&lt;/keyword&gt;&lt;keyword&gt;Prospective Studies&lt;/keyword&gt;&lt;keyword&gt;Risk&lt;/keyword&gt;&lt;keyword&gt;Sex Factors&lt;/keyword&gt;&lt;keyword&gt;Stroke/*epidemiology/mortality/pathology&lt;/keyword&gt;&lt;keyword&gt;Survival Analysis&lt;/keyword&gt;&lt;/keywords&gt;&lt;dates&gt;&lt;year&gt;2000&lt;/year&gt;&lt;pub-dates&gt;&lt;date&gt;Sep&lt;/date&gt;&lt;/pub-dates&gt;&lt;/dates&gt;&lt;isbn&gt;1524-4628 (Electronic)&amp;#xD;0039-2499 (Linking)&lt;/isbn&gt;&lt;accession-num&gt;10978033&lt;/accession-num&gt;&lt;urls&gt;&lt;related-urls&gt;&lt;url&gt;https://www.ncbi.nlm.nih.gov/pubmed/10978033&lt;/url&gt;&lt;/related-urls&gt;&lt;/urls&gt;&lt;/record&gt;&lt;/Cite&gt;&lt;/EndNote&gt;</w:instrText>
            </w:r>
            <w:r w:rsidR="00343200">
              <w:rPr>
                <w:rFonts w:cs="Arial"/>
                <w:color w:val="000000"/>
              </w:rPr>
              <w:fldChar w:fldCharType="separate"/>
            </w:r>
            <w:r w:rsidR="008C43BF" w:rsidRPr="008C43BF">
              <w:rPr>
                <w:rFonts w:cs="Arial"/>
                <w:noProof/>
                <w:color w:val="000000"/>
                <w:vertAlign w:val="superscript"/>
              </w:rPr>
              <w:t>92</w:t>
            </w:r>
            <w:r w:rsidR="00343200">
              <w:rPr>
                <w:rFonts w:cs="Arial"/>
                <w:color w:val="000000"/>
              </w:rPr>
              <w:fldChar w:fldCharType="end"/>
            </w:r>
          </w:p>
        </w:tc>
      </w:tr>
      <w:tr w:rsidR="00403B07" w14:paraId="591FBE9D" w14:textId="77777777" w:rsidTr="00951FF2">
        <w:tc>
          <w:tcPr>
            <w:tcW w:w="3794" w:type="dxa"/>
          </w:tcPr>
          <w:p w14:paraId="2BDD592D" w14:textId="77777777" w:rsidR="00403B07" w:rsidRDefault="00403B07" w:rsidP="00B01272">
            <w:pPr>
              <w:jc w:val="right"/>
            </w:pPr>
            <w:r>
              <w:t>Stroke, subsequent years</w:t>
            </w:r>
          </w:p>
        </w:tc>
        <w:tc>
          <w:tcPr>
            <w:tcW w:w="2410" w:type="dxa"/>
          </w:tcPr>
          <w:p w14:paraId="65B2D7E8" w14:textId="77777777" w:rsidR="00403B07" w:rsidRPr="005D4F08" w:rsidRDefault="00403B07" w:rsidP="00B01272">
            <w:pPr>
              <w:rPr>
                <w:rFonts w:cs="Arial"/>
                <w:color w:val="000000"/>
              </w:rPr>
            </w:pPr>
            <w:r w:rsidRPr="005D4F08">
              <w:rPr>
                <w:rFonts w:cs="Arial"/>
                <w:color w:val="000000"/>
              </w:rPr>
              <w:t>0.100</w:t>
            </w:r>
          </w:p>
        </w:tc>
        <w:tc>
          <w:tcPr>
            <w:tcW w:w="2580" w:type="dxa"/>
          </w:tcPr>
          <w:p w14:paraId="1911C0D7" w14:textId="28650E35" w:rsidR="00403B07" w:rsidRDefault="00403B07" w:rsidP="008C43BF">
            <w:r w:rsidRPr="00861557">
              <w:rPr>
                <w:rFonts w:cs="Arial"/>
                <w:color w:val="000000"/>
              </w:rPr>
              <w:t>Hankey et al, 2000</w:t>
            </w:r>
            <w:r w:rsidR="00544544">
              <w:rPr>
                <w:rFonts w:cs="Arial"/>
                <w:color w:val="000000"/>
              </w:rPr>
              <w:t xml:space="preserve"> </w:t>
            </w:r>
            <w:r w:rsidR="00343200">
              <w:rPr>
                <w:rFonts w:cs="Arial"/>
                <w:color w:val="000000"/>
              </w:rPr>
              <w:fldChar w:fldCharType="begin"/>
            </w:r>
            <w:r w:rsidR="008C43BF">
              <w:rPr>
                <w:rFonts w:cs="Arial"/>
                <w:color w:val="000000"/>
              </w:rPr>
              <w:instrText xml:space="preserve"> ADDIN EN.CITE &lt;EndNote&gt;&lt;Cite&gt;&lt;Author&gt;Hankey&lt;/Author&gt;&lt;Year&gt;2000&lt;/Year&gt;&lt;RecNum&gt;5784&lt;/RecNum&gt;&lt;DisplayText&gt;&lt;style face="superscript"&gt;92&lt;/style&gt;&lt;/DisplayText&gt;&lt;record&gt;&lt;rec-number&gt;5784&lt;/rec-number&gt;&lt;foreign-keys&gt;&lt;key app="EN" db-id="2ewa9rrvjsdsawep2vpx5x97eedzzvxx5rta" timestamp="1478700619"&gt;5784&lt;/key&gt;&lt;/foreign-keys&gt;&lt;ref-type name="Journal Article"&gt;17&lt;/ref-type&gt;&lt;contributors&gt;&lt;authors&gt;&lt;author&gt;Hankey, G. J.&lt;/author&gt;&lt;author&gt;Jamrozik, K.&lt;/author&gt;&lt;author&gt;Broadhurst, R. J.&lt;/author&gt;&lt;author&gt;Forbes, S.&lt;/author&gt;&lt;author&gt;Burvill, P. W.&lt;/author&gt;&lt;author&gt;Anderson, C. S.&lt;/author&gt;&lt;author&gt;Stewart-Wynne, E. G.&lt;/author&gt;&lt;/authors&gt;&lt;/contributors&gt;&lt;auth-address&gt;Stroke Unit, Department of Neurology, Royal Perth Hospital (Western Australia). gjhankey@cyllene.uwa.edu.au&lt;/auth-address&gt;&lt;titles&gt;&lt;title&gt;Five-year survival after first-ever stroke and related prognostic factors in the Perth Community Stroke Study&lt;/title&gt;&lt;secondary-title&gt;Stroke&lt;/secondary-title&gt;&lt;/titles&gt;&lt;periodical&gt;&lt;full-title&gt;Stroke&lt;/full-title&gt;&lt;abbr-1&gt;Stroke&lt;/abbr-1&gt;&lt;abbr-2&gt;Stroke&lt;/abbr-2&gt;&lt;/periodical&gt;&lt;pages&gt;2080-6&lt;/pages&gt;&lt;volume&gt;31&lt;/volume&gt;&lt;number&gt;9&lt;/number&gt;&lt;keywords&gt;&lt;keyword&gt;Age Factors&lt;/keyword&gt;&lt;keyword&gt;Aged&lt;/keyword&gt;&lt;keyword&gt;Aged, 80 and over&lt;/keyword&gt;&lt;keyword&gt;Australia/epidemiology&lt;/keyword&gt;&lt;keyword&gt;Cardiovascular Diseases/prevention &amp;amp; control&lt;/keyword&gt;&lt;keyword&gt;Cause of Death&lt;/keyword&gt;&lt;keyword&gt;Ethics, Medical&lt;/keyword&gt;&lt;keyword&gt;Female&lt;/keyword&gt;&lt;keyword&gt;Humans&lt;/keyword&gt;&lt;keyword&gt;Male&lt;/keyword&gt;&lt;keyword&gt;Middle Aged&lt;/keyword&gt;&lt;keyword&gt;Neurologic Examination&lt;/keyword&gt;&lt;keyword&gt;Prognosis&lt;/keyword&gt;&lt;keyword&gt;Prospective Studies&lt;/keyword&gt;&lt;keyword&gt;Risk&lt;/keyword&gt;&lt;keyword&gt;Sex Factors&lt;/keyword&gt;&lt;keyword&gt;Stroke/*epidemiology/mortality/pathology&lt;/keyword&gt;&lt;keyword&gt;Survival Analysis&lt;/keyword&gt;&lt;/keywords&gt;&lt;dates&gt;&lt;year&gt;2000&lt;/year&gt;&lt;pub-dates&gt;&lt;date&gt;Sep&lt;/date&gt;&lt;/pub-dates&gt;&lt;/dates&gt;&lt;isbn&gt;1524-4628 (Electronic)&amp;#xD;0039-2499 (Linking)&lt;/isbn&gt;&lt;accession-num&gt;10978033&lt;/accession-num&gt;&lt;urls&gt;&lt;related-urls&gt;&lt;url&gt;https://www.ncbi.nlm.nih.gov/pubmed/10978033&lt;/url&gt;&lt;/related-urls&gt;&lt;/urls&gt;&lt;/record&gt;&lt;/Cite&gt;&lt;/EndNote&gt;</w:instrText>
            </w:r>
            <w:r w:rsidR="00343200">
              <w:rPr>
                <w:rFonts w:cs="Arial"/>
                <w:color w:val="000000"/>
              </w:rPr>
              <w:fldChar w:fldCharType="separate"/>
            </w:r>
            <w:r w:rsidR="008C43BF" w:rsidRPr="008C43BF">
              <w:rPr>
                <w:rFonts w:cs="Arial"/>
                <w:noProof/>
                <w:color w:val="000000"/>
                <w:vertAlign w:val="superscript"/>
              </w:rPr>
              <w:t>92</w:t>
            </w:r>
            <w:r w:rsidR="00343200">
              <w:rPr>
                <w:rFonts w:cs="Arial"/>
                <w:color w:val="000000"/>
              </w:rPr>
              <w:fldChar w:fldCharType="end"/>
            </w:r>
          </w:p>
        </w:tc>
      </w:tr>
      <w:tr w:rsidR="00403B07" w14:paraId="69EE0611" w14:textId="77777777" w:rsidTr="00951FF2">
        <w:tc>
          <w:tcPr>
            <w:tcW w:w="3794" w:type="dxa"/>
          </w:tcPr>
          <w:p w14:paraId="31E063F4" w14:textId="77777777" w:rsidR="00403B07" w:rsidRDefault="00403B07" w:rsidP="00B01272">
            <w:pPr>
              <w:jc w:val="right"/>
            </w:pPr>
            <w:r>
              <w:t>Colorectal cancer, year 1</w:t>
            </w:r>
          </w:p>
        </w:tc>
        <w:tc>
          <w:tcPr>
            <w:tcW w:w="2410" w:type="dxa"/>
          </w:tcPr>
          <w:p w14:paraId="08675618" w14:textId="77777777" w:rsidR="00403B07" w:rsidRPr="005D4F08" w:rsidRDefault="00403B07" w:rsidP="00B01272">
            <w:pPr>
              <w:rPr>
                <w:rFonts w:cs="Arial"/>
                <w:color w:val="000000"/>
              </w:rPr>
            </w:pPr>
            <w:r w:rsidRPr="005D4F08">
              <w:rPr>
                <w:rFonts w:cs="Arial"/>
                <w:color w:val="000000"/>
              </w:rPr>
              <w:t>0.243</w:t>
            </w:r>
          </w:p>
        </w:tc>
        <w:tc>
          <w:tcPr>
            <w:tcW w:w="2580" w:type="dxa"/>
          </w:tcPr>
          <w:p w14:paraId="7F5E9102" w14:textId="2092B899" w:rsidR="00403B07" w:rsidRDefault="00403B07" w:rsidP="00931E9F">
            <w:r w:rsidRPr="00861557">
              <w:rPr>
                <w:rFonts w:cs="Arial"/>
                <w:color w:val="000000"/>
              </w:rPr>
              <w:t>Bowel Cancer UK Mortality, 2012</w:t>
            </w:r>
            <w:r w:rsidR="0052575D">
              <w:rPr>
                <w:rFonts w:cs="Arial"/>
                <w:color w:val="000000"/>
              </w:rPr>
              <w:t xml:space="preserve"> </w:t>
            </w:r>
            <w:r w:rsidR="00907291">
              <w:rPr>
                <w:rFonts w:cs="Arial"/>
                <w:color w:val="000000"/>
              </w:rPr>
              <w:fldChar w:fldCharType="begin"/>
            </w:r>
            <w:r w:rsidR="00931E9F">
              <w:rPr>
                <w:rFonts w:cs="Arial"/>
                <w:color w:val="000000"/>
              </w:rPr>
              <w:instrText xml:space="preserve"> ADDIN EN.CITE &lt;EndNote&gt;&lt;Cite&gt;&lt;Author&gt;Bowel Cancer UK&lt;/Author&gt;&lt;Year&gt;2012&lt;/Year&gt;&lt;RecNum&gt;5785&lt;/RecNum&gt;&lt;DisplayText&gt;&lt;style face="superscript"&gt;93&lt;/style&gt;&lt;/DisplayText&gt;&lt;record&gt;&lt;rec-number&gt;5785&lt;/rec-number&gt;&lt;foreign-keys&gt;&lt;key app="EN" db-id="2ewa9rrvjsdsawep2vpx5x97eedzzvxx5rta" timestamp="1478700904"&gt;5785&lt;/key&gt;&lt;/foreign-keys&gt;&lt;ref-type name="Web Page"&gt;12&lt;/ref-type&gt;&lt;contributors&gt;&lt;authors&gt;&lt;author&gt;Bowel Cancer UK,&lt;/author&gt;&lt;/authors&gt;&lt;/contributors&gt;&lt;titles&gt;&lt;title&gt;Bowel cancer survival statistics&lt;/title&gt;&lt;/titles&gt;&lt;number&gt;20 June 2016&lt;/number&gt;&lt;dates&gt;&lt;year&gt;2012&lt;/year&gt;&lt;/dates&gt;&lt;urls&gt;&lt;related-urls&gt;&lt;url&gt;http://www.cancerresearchuk.org/health-professional/cancer-statistics/statistics-by-cancer-type/bowel-cancer/survival&lt;/url&gt;&lt;/related-urls&gt;&lt;/urls&gt;&lt;/record&gt;&lt;/Cite&gt;&lt;/EndNote&gt;</w:instrText>
            </w:r>
            <w:r w:rsidR="00907291">
              <w:rPr>
                <w:rFonts w:cs="Arial"/>
                <w:color w:val="000000"/>
              </w:rPr>
              <w:fldChar w:fldCharType="separate"/>
            </w:r>
            <w:r w:rsidR="008C43BF" w:rsidRPr="008C43BF">
              <w:rPr>
                <w:rFonts w:cs="Arial"/>
                <w:noProof/>
                <w:color w:val="000000"/>
                <w:vertAlign w:val="superscript"/>
              </w:rPr>
              <w:t>93</w:t>
            </w:r>
            <w:r w:rsidR="00907291">
              <w:rPr>
                <w:rFonts w:cs="Arial"/>
                <w:color w:val="000000"/>
              </w:rPr>
              <w:fldChar w:fldCharType="end"/>
            </w:r>
          </w:p>
        </w:tc>
      </w:tr>
      <w:tr w:rsidR="00403B07" w14:paraId="1500B5FC" w14:textId="77777777" w:rsidTr="00951FF2">
        <w:tc>
          <w:tcPr>
            <w:tcW w:w="3794" w:type="dxa"/>
          </w:tcPr>
          <w:p w14:paraId="6B6B9C41" w14:textId="77777777" w:rsidR="00403B07" w:rsidRDefault="00403B07" w:rsidP="00B01272">
            <w:pPr>
              <w:jc w:val="right"/>
            </w:pPr>
            <w:r>
              <w:t>Colorectal cancer, subsequent years</w:t>
            </w:r>
          </w:p>
        </w:tc>
        <w:tc>
          <w:tcPr>
            <w:tcW w:w="2410" w:type="dxa"/>
          </w:tcPr>
          <w:p w14:paraId="1A5660E7" w14:textId="77777777" w:rsidR="00403B07" w:rsidRPr="005D4F08" w:rsidRDefault="00403B07" w:rsidP="00B01272">
            <w:pPr>
              <w:rPr>
                <w:rFonts w:cs="Arial"/>
                <w:color w:val="000000"/>
              </w:rPr>
            </w:pPr>
            <w:r w:rsidRPr="005D4F08">
              <w:rPr>
                <w:rFonts w:cs="Arial"/>
                <w:color w:val="000000"/>
              </w:rPr>
              <w:t>0.080</w:t>
            </w:r>
          </w:p>
        </w:tc>
        <w:tc>
          <w:tcPr>
            <w:tcW w:w="2580" w:type="dxa"/>
          </w:tcPr>
          <w:p w14:paraId="7ED037FC" w14:textId="2B346895" w:rsidR="00403B07" w:rsidRDefault="00403B07" w:rsidP="00931E9F">
            <w:r w:rsidRPr="00861557">
              <w:rPr>
                <w:rFonts w:cs="Arial"/>
                <w:color w:val="000000"/>
              </w:rPr>
              <w:t>Bowel Cancer UK Mortality, 2012</w:t>
            </w:r>
            <w:r w:rsidR="0052575D">
              <w:rPr>
                <w:rFonts w:cs="Arial"/>
                <w:color w:val="000000"/>
              </w:rPr>
              <w:t xml:space="preserve"> </w:t>
            </w:r>
            <w:r w:rsidR="00907291">
              <w:rPr>
                <w:rFonts w:cs="Arial"/>
                <w:color w:val="000000"/>
              </w:rPr>
              <w:fldChar w:fldCharType="begin"/>
            </w:r>
            <w:r w:rsidR="00931E9F">
              <w:rPr>
                <w:rFonts w:cs="Arial"/>
                <w:color w:val="000000"/>
              </w:rPr>
              <w:instrText xml:space="preserve"> ADDIN EN.CITE &lt;EndNote&gt;&lt;Cite&gt;&lt;Author&gt;Bowel Cancer UK&lt;/Author&gt;&lt;Year&gt;2012&lt;/Year&gt;&lt;RecNum&gt;5785&lt;/RecNum&gt;&lt;DisplayText&gt;&lt;style face="superscript"&gt;93&lt;/style&gt;&lt;/DisplayText&gt;&lt;record&gt;&lt;rec-number&gt;5785&lt;/rec-number&gt;&lt;foreign-keys&gt;&lt;key app="EN" db-id="2ewa9rrvjsdsawep2vpx5x97eedzzvxx5rta" timestamp="1478700904"&gt;5785&lt;/key&gt;&lt;/foreign-keys&gt;&lt;ref-type name="Web Page"&gt;12&lt;/ref-type&gt;&lt;contributors&gt;&lt;authors&gt;&lt;author&gt;Bowel Cancer UK,&lt;/author&gt;&lt;/authors&gt;&lt;/contributors&gt;&lt;titles&gt;&lt;title&gt;Bowel cancer survival statistics&lt;/title&gt;&lt;/titles&gt;&lt;number&gt;20 June 2016&lt;/number&gt;&lt;dates&gt;&lt;year&gt;2012&lt;/year&gt;&lt;/dates&gt;&lt;urls&gt;&lt;related-urls&gt;&lt;url&gt;http://www.cancerresearchuk.org/health-professional/cancer-statistics/statistics-by-cancer-type/bowel-cancer/survival&lt;/url&gt;&lt;/related-urls&gt;&lt;/urls&gt;&lt;/record&gt;&lt;/Cite&gt;&lt;/EndNote&gt;</w:instrText>
            </w:r>
            <w:r w:rsidR="00907291">
              <w:rPr>
                <w:rFonts w:cs="Arial"/>
                <w:color w:val="000000"/>
              </w:rPr>
              <w:fldChar w:fldCharType="separate"/>
            </w:r>
            <w:r w:rsidR="008C43BF" w:rsidRPr="008C43BF">
              <w:rPr>
                <w:rFonts w:cs="Arial"/>
                <w:noProof/>
                <w:color w:val="000000"/>
                <w:vertAlign w:val="superscript"/>
              </w:rPr>
              <w:t>93</w:t>
            </w:r>
            <w:r w:rsidR="00907291">
              <w:rPr>
                <w:rFonts w:cs="Arial"/>
                <w:color w:val="000000"/>
              </w:rPr>
              <w:fldChar w:fldCharType="end"/>
            </w:r>
          </w:p>
        </w:tc>
      </w:tr>
      <w:tr w:rsidR="00403B07" w14:paraId="49C57BAE" w14:textId="77777777" w:rsidTr="00951FF2">
        <w:tc>
          <w:tcPr>
            <w:tcW w:w="3794" w:type="dxa"/>
          </w:tcPr>
          <w:p w14:paraId="57524CB4" w14:textId="77777777" w:rsidR="00403B07" w:rsidRDefault="00403B07" w:rsidP="00B01272">
            <w:r>
              <w:t>Health state values/utilities:</w:t>
            </w:r>
          </w:p>
        </w:tc>
        <w:tc>
          <w:tcPr>
            <w:tcW w:w="2410" w:type="dxa"/>
          </w:tcPr>
          <w:p w14:paraId="0B556C29" w14:textId="77777777" w:rsidR="00403B07" w:rsidRPr="003D7DAF" w:rsidRDefault="00403B07" w:rsidP="00B01272"/>
        </w:tc>
        <w:tc>
          <w:tcPr>
            <w:tcW w:w="2580" w:type="dxa"/>
          </w:tcPr>
          <w:p w14:paraId="67232168" w14:textId="77777777" w:rsidR="00403B07" w:rsidRDefault="00403B07" w:rsidP="00B01272"/>
        </w:tc>
      </w:tr>
      <w:tr w:rsidR="00403B07" w14:paraId="48DF0EAD" w14:textId="77777777" w:rsidTr="00951FF2">
        <w:tc>
          <w:tcPr>
            <w:tcW w:w="3794" w:type="dxa"/>
          </w:tcPr>
          <w:p w14:paraId="3826A771" w14:textId="77777777" w:rsidR="00403B07" w:rsidRDefault="00403B07" w:rsidP="00B01272">
            <w:pPr>
              <w:jc w:val="right"/>
            </w:pPr>
            <w:r>
              <w:t>General population</w:t>
            </w:r>
          </w:p>
        </w:tc>
        <w:tc>
          <w:tcPr>
            <w:tcW w:w="2410" w:type="dxa"/>
          </w:tcPr>
          <w:p w14:paraId="3DF25CBD" w14:textId="77777777" w:rsidR="00403B07" w:rsidRPr="003D7DAF" w:rsidRDefault="00403B07" w:rsidP="00B01272">
            <w:pPr>
              <w:rPr>
                <w:rFonts w:cs="Arial"/>
                <w:color w:val="000000"/>
              </w:rPr>
            </w:pPr>
            <w:bookmarkStart w:id="679" w:name="RANGE!C53"/>
            <w:r w:rsidRPr="003D7DAF">
              <w:rPr>
                <w:rFonts w:cs="Arial"/>
                <w:color w:val="000000"/>
              </w:rPr>
              <w:t>0.86</w:t>
            </w:r>
            <w:bookmarkEnd w:id="679"/>
          </w:p>
        </w:tc>
        <w:tc>
          <w:tcPr>
            <w:tcW w:w="2580" w:type="dxa"/>
          </w:tcPr>
          <w:p w14:paraId="15DC8B77" w14:textId="5FBEFAB3" w:rsidR="00403B07" w:rsidRDefault="00403B07" w:rsidP="008C43BF">
            <w:r w:rsidRPr="00861557">
              <w:rPr>
                <w:rFonts w:cs="Arial"/>
              </w:rPr>
              <w:t>Kind et al., 1999</w:t>
            </w:r>
            <w:r w:rsidR="00544544">
              <w:rPr>
                <w:rFonts w:cs="Arial"/>
              </w:rPr>
              <w:t xml:space="preserve"> </w:t>
            </w:r>
            <w:r w:rsidR="00343200">
              <w:rPr>
                <w:rFonts w:cs="Arial"/>
              </w:rPr>
              <w:fldChar w:fldCharType="begin"/>
            </w:r>
            <w:r w:rsidR="008C43BF">
              <w:rPr>
                <w:rFonts w:cs="Arial"/>
              </w:rPr>
              <w:instrText xml:space="preserve"> ADDIN EN.CITE &lt;EndNote&gt;&lt;Cite&gt;&lt;Author&gt;Kind&lt;/Author&gt;&lt;Year&gt;1999&lt;/Year&gt;&lt;RecNum&gt;5748&lt;/RecNum&gt;&lt;DisplayText&gt;&lt;style face="superscript"&gt;94&lt;/style&gt;&lt;/DisplayText&gt;&lt;record&gt;&lt;rec-number&gt;5748&lt;/rec-number&gt;&lt;foreign-keys&gt;&lt;key app="EN" db-id="2ewa9rrvjsdsawep2vpx5x97eedzzvxx5rta" timestamp="1478679952"&gt;5748&lt;/key&gt;&lt;/foreign-keys&gt;&lt;ref-type name="Report"&gt;27&lt;/ref-type&gt;&lt;contributors&gt;&lt;authors&gt;&lt;author&gt;Kind, P.&lt;/author&gt;&lt;author&gt;Hardman, G.&lt;/author&gt;&lt;author&gt;Macran, S.&lt;/author&gt;&lt;/authors&gt;&lt;/contributors&gt;&lt;titles&gt;&lt;title&gt;UK Population Norms for EQ-5D&lt;/title&gt;&lt;/titles&gt;&lt;dates&gt;&lt;year&gt;1999&lt;/year&gt;&lt;/dates&gt;&lt;pub-location&gt;York&lt;/pub-location&gt;&lt;publisher&gt;University of York&lt;/publisher&gt;&lt;urls&gt;&lt;/urls&gt;&lt;/record&gt;&lt;/Cite&gt;&lt;/EndNote&gt;</w:instrText>
            </w:r>
            <w:r w:rsidR="00343200">
              <w:rPr>
                <w:rFonts w:cs="Arial"/>
              </w:rPr>
              <w:fldChar w:fldCharType="separate"/>
            </w:r>
            <w:r w:rsidR="008C43BF" w:rsidRPr="008C43BF">
              <w:rPr>
                <w:rFonts w:cs="Arial"/>
                <w:noProof/>
                <w:vertAlign w:val="superscript"/>
              </w:rPr>
              <w:t>94</w:t>
            </w:r>
            <w:r w:rsidR="00343200">
              <w:rPr>
                <w:rFonts w:cs="Arial"/>
              </w:rPr>
              <w:fldChar w:fldCharType="end"/>
            </w:r>
          </w:p>
        </w:tc>
      </w:tr>
      <w:tr w:rsidR="00403B07" w14:paraId="0C11A9CA" w14:textId="77777777" w:rsidTr="00951FF2">
        <w:tc>
          <w:tcPr>
            <w:tcW w:w="3794" w:type="dxa"/>
          </w:tcPr>
          <w:p w14:paraId="3042D066" w14:textId="77777777" w:rsidR="00403B07" w:rsidRDefault="00403B07" w:rsidP="00B01272">
            <w:pPr>
              <w:jc w:val="right"/>
            </w:pPr>
            <w:r>
              <w:t>CHD</w:t>
            </w:r>
          </w:p>
        </w:tc>
        <w:tc>
          <w:tcPr>
            <w:tcW w:w="2410" w:type="dxa"/>
          </w:tcPr>
          <w:p w14:paraId="0E41B2D2" w14:textId="77777777" w:rsidR="00403B07" w:rsidRPr="003D7DAF" w:rsidRDefault="00403B07" w:rsidP="00B01272">
            <w:pPr>
              <w:rPr>
                <w:rFonts w:cs="Arial"/>
                <w:color w:val="000000"/>
              </w:rPr>
            </w:pPr>
            <w:bookmarkStart w:id="680" w:name="RANGE!C54"/>
            <w:r w:rsidRPr="003D7DAF">
              <w:rPr>
                <w:rFonts w:cs="Arial"/>
                <w:color w:val="000000"/>
              </w:rPr>
              <w:t>0.67</w:t>
            </w:r>
            <w:bookmarkEnd w:id="680"/>
          </w:p>
        </w:tc>
        <w:tc>
          <w:tcPr>
            <w:tcW w:w="2580" w:type="dxa"/>
          </w:tcPr>
          <w:p w14:paraId="0975ECFF" w14:textId="60A9A70E" w:rsidR="00544544" w:rsidRDefault="00403B07" w:rsidP="008C43BF">
            <w:r w:rsidRPr="00861557">
              <w:rPr>
                <w:rFonts w:cs="Arial"/>
              </w:rPr>
              <w:t>Matza et al., 2015</w:t>
            </w:r>
            <w:r w:rsidR="00343200">
              <w:rPr>
                <w:rFonts w:cs="Arial"/>
              </w:rPr>
              <w:t xml:space="preserve"> </w:t>
            </w:r>
            <w:r w:rsidR="00343200">
              <w:fldChar w:fldCharType="begin">
                <w:fldData xml:space="preserve">PEVuZE5vdGU+PENpdGU+PEF1dGhvcj5NYXR6YTwvQXV0aG9yPjxZZWFyPjIwMTU8L1llYXI+PFJl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</w:fldData>
              </w:fldChar>
            </w:r>
            <w:r w:rsidR="008C43BF">
              <w:instrText xml:space="preserve"> ADDIN EN.CITE </w:instrText>
            </w:r>
            <w:r w:rsidR="008C43BF">
              <w:fldChar w:fldCharType="begin">
                <w:fldData xml:space="preserve">PEVuZE5vdGU+PENpdGU+PEF1dGhvcj5NYXR6YTwvQXV0aG9yPjxZZWFyPjIwMTU8L1llYXI+PFJl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</w:fldData>
              </w:fldChar>
            </w:r>
            <w:r w:rsidR="008C43BF">
              <w:instrText xml:space="preserve"> ADDIN EN.CITE.DATA </w:instrText>
            </w:r>
            <w:r w:rsidR="008C43BF">
              <w:fldChar w:fldCharType="end"/>
            </w:r>
            <w:r w:rsidR="00343200">
              <w:fldChar w:fldCharType="separate"/>
            </w:r>
            <w:r w:rsidR="008C43BF" w:rsidRPr="008C43BF">
              <w:rPr>
                <w:noProof/>
                <w:vertAlign w:val="superscript"/>
              </w:rPr>
              <w:t>96</w:t>
            </w:r>
            <w:r w:rsidR="00343200">
              <w:fldChar w:fldCharType="end"/>
            </w:r>
          </w:p>
        </w:tc>
      </w:tr>
      <w:tr w:rsidR="00403B07" w14:paraId="637BD087" w14:textId="77777777" w:rsidTr="00951FF2">
        <w:tc>
          <w:tcPr>
            <w:tcW w:w="3794" w:type="dxa"/>
          </w:tcPr>
          <w:p w14:paraId="1CAB51DF" w14:textId="77777777" w:rsidR="00403B07" w:rsidRDefault="00403B07" w:rsidP="00B01272">
            <w:pPr>
              <w:jc w:val="right"/>
            </w:pPr>
            <w:r>
              <w:t>T2DM</w:t>
            </w:r>
          </w:p>
        </w:tc>
        <w:tc>
          <w:tcPr>
            <w:tcW w:w="2410" w:type="dxa"/>
          </w:tcPr>
          <w:p w14:paraId="7370A748" w14:textId="77777777" w:rsidR="00403B07" w:rsidRPr="003D7DAF" w:rsidRDefault="00403B07" w:rsidP="00B01272">
            <w:pPr>
              <w:rPr>
                <w:rFonts w:cs="Arial"/>
                <w:color w:val="000000"/>
              </w:rPr>
            </w:pPr>
            <w:bookmarkStart w:id="681" w:name="RANGE!C55"/>
            <w:r w:rsidRPr="003D7DAF">
              <w:rPr>
                <w:rFonts w:cs="Arial"/>
                <w:color w:val="000000"/>
              </w:rPr>
              <w:t>0.78</w:t>
            </w:r>
            <w:bookmarkEnd w:id="681"/>
          </w:p>
        </w:tc>
        <w:tc>
          <w:tcPr>
            <w:tcW w:w="2580" w:type="dxa"/>
          </w:tcPr>
          <w:p w14:paraId="43CE7C1A" w14:textId="57106A95" w:rsidR="00403B07" w:rsidRDefault="00403B07" w:rsidP="008C43BF">
            <w:r w:rsidRPr="00861557">
              <w:rPr>
                <w:rFonts w:cs="Arial"/>
              </w:rPr>
              <w:t>Clarke et al., 2002</w:t>
            </w:r>
            <w:r w:rsidR="00544544">
              <w:rPr>
                <w:rFonts w:cs="Arial"/>
              </w:rPr>
              <w:t xml:space="preserve"> </w:t>
            </w:r>
            <w:r w:rsidR="00343200">
              <w:rPr>
                <w:rFonts w:cs="Arial"/>
              </w:rPr>
              <w:fldChar w:fldCharType="begin"/>
            </w:r>
            <w:r w:rsidR="008C43BF">
              <w:rPr>
                <w:rFonts w:cs="Arial"/>
              </w:rPr>
              <w:instrText xml:space="preserve"> ADDIN EN.CITE &lt;EndNote&gt;&lt;Cite&gt;&lt;Author&gt;Clarke&lt;/Author&gt;&lt;Year&gt;2002&lt;/Year&gt;&lt;RecNum&gt;5734&lt;/RecNum&gt;&lt;DisplayText&gt;&lt;style face="superscript"&gt;95&lt;/style&gt;&lt;/DisplayText&gt;&lt;record&gt;&lt;rec-number&gt;5734&lt;/rec-number&gt;&lt;foreign-keys&gt;&lt;key app="EN" db-id="2ewa9rrvjsdsawep2vpx5x97eedzzvxx5rta" timestamp="1478679952"&gt;5734&lt;/key&gt;&lt;/foreign-keys&gt;&lt;ref-type name="Journal Article"&gt;17&lt;/ref-type&gt;&lt;contributors&gt;&lt;authors&gt;&lt;author&gt;Clarke, P.&lt;/author&gt;&lt;author&gt;Gray, A.&lt;/author&gt;&lt;author&gt;Holman, R.&lt;/author&gt;&lt;/authors&gt;&lt;/contributors&gt;&lt;auth-address&gt;philip.clarke@dphpc.ox.ac.uk&lt;/auth-address&gt;&lt;titles&gt;&lt;title&gt;Estimating utility values for health states of type 2 diabetic patients using the EQ-5D (UKPDS 62)&lt;/title&gt;&lt;secondary-title&gt;Med Decis Making&lt;/secondary-title&gt;&lt;/titles&gt;&lt;periodical&gt;&lt;full-title&gt;Medical Decision Making&lt;/full-title&gt;&lt;abbr-1&gt;Med. Decis. Making&lt;/abbr-1&gt;&lt;abbr-2&gt;Med Decis Making&lt;/abbr-2&gt;&lt;/periodical&gt;&lt;pages&gt;340-9&lt;/pages&gt;&lt;volume&gt;22&lt;/volume&gt;&lt;number&gt;4&lt;/number&gt;&lt;keywords&gt;&lt;keyword&gt;Adolescent&lt;/keyword&gt;&lt;keyword&gt;Child&lt;/keyword&gt;&lt;keyword&gt;Diabetes Mellitus, Type 2/*complications/psychology&lt;/keyword&gt;&lt;keyword&gt;Female&lt;/keyword&gt;&lt;keyword&gt;Great Britain&lt;/keyword&gt;&lt;keyword&gt;Humans&lt;/keyword&gt;&lt;keyword&gt;Male&lt;/keyword&gt;&lt;keyword&gt;Outcome Assessment (Health Care)&lt;/keyword&gt;&lt;keyword&gt;Pain Measurement&lt;/keyword&gt;&lt;keyword&gt;Prospective Studies&lt;/keyword&gt;&lt;keyword&gt;Quality of Life/*psychology&lt;/keyword&gt;&lt;keyword&gt;Regression Analysis&lt;/keyword&gt;&lt;keyword&gt;*Sickness Impact Profile&lt;/keyword&gt;&lt;keyword&gt;Surveys and Questionnaires&lt;/keyword&gt;&lt;/keywords&gt;&lt;dates&gt;&lt;year&gt;2002&lt;/year&gt;&lt;pub-dates&gt;&lt;date&gt;Jul-Aug&lt;/date&gt;&lt;/pub-dates&gt;&lt;/dates&gt;&lt;isbn&gt;0272-989X (Print)&amp;#xD;0272-989X (Linking)&lt;/isbn&gt;&lt;accession-num&gt;12150599&lt;/accession-num&gt;&lt;urls&gt;&lt;related-urls&gt;&lt;url&gt;http://www.ncbi.nlm.nih.gov/pubmed/12150599&lt;/url&gt;&lt;/related-urls&gt;&lt;/urls&gt;&lt;/record&gt;&lt;/Cite&gt;&lt;/EndNote&gt;</w:instrText>
            </w:r>
            <w:r w:rsidR="00343200">
              <w:rPr>
                <w:rFonts w:cs="Arial"/>
              </w:rPr>
              <w:fldChar w:fldCharType="separate"/>
            </w:r>
            <w:r w:rsidR="008C43BF" w:rsidRPr="008C43BF">
              <w:rPr>
                <w:rFonts w:cs="Arial"/>
                <w:noProof/>
                <w:vertAlign w:val="superscript"/>
              </w:rPr>
              <w:t>95</w:t>
            </w:r>
            <w:r w:rsidR="00343200">
              <w:rPr>
                <w:rFonts w:cs="Arial"/>
              </w:rPr>
              <w:fldChar w:fldCharType="end"/>
            </w:r>
          </w:p>
        </w:tc>
      </w:tr>
      <w:tr w:rsidR="00403B07" w14:paraId="5CCA8820" w14:textId="77777777" w:rsidTr="00951FF2">
        <w:tc>
          <w:tcPr>
            <w:tcW w:w="3794" w:type="dxa"/>
          </w:tcPr>
          <w:p w14:paraId="1FFBB824" w14:textId="77777777" w:rsidR="00403B07" w:rsidRDefault="00403B07" w:rsidP="00B01272">
            <w:pPr>
              <w:jc w:val="right"/>
            </w:pPr>
            <w:r>
              <w:t>Stroke</w:t>
            </w:r>
          </w:p>
        </w:tc>
        <w:tc>
          <w:tcPr>
            <w:tcW w:w="2410" w:type="dxa"/>
          </w:tcPr>
          <w:p w14:paraId="16D4028A" w14:textId="77777777" w:rsidR="00403B07" w:rsidRPr="003D7DAF" w:rsidRDefault="00403B07" w:rsidP="00B01272">
            <w:pPr>
              <w:rPr>
                <w:rFonts w:cs="Arial"/>
                <w:color w:val="000000"/>
              </w:rPr>
            </w:pPr>
            <w:bookmarkStart w:id="682" w:name="RANGE!C56"/>
            <w:r w:rsidRPr="003D7DAF">
              <w:rPr>
                <w:rFonts w:cs="Arial"/>
                <w:color w:val="000000"/>
              </w:rPr>
              <w:t>0.52</w:t>
            </w:r>
            <w:bookmarkEnd w:id="682"/>
          </w:p>
        </w:tc>
        <w:tc>
          <w:tcPr>
            <w:tcW w:w="2580" w:type="dxa"/>
          </w:tcPr>
          <w:p w14:paraId="5E722A38" w14:textId="629EC149" w:rsidR="00544544" w:rsidRDefault="00403B07" w:rsidP="008C43BF">
            <w:r w:rsidRPr="00861557">
              <w:rPr>
                <w:rFonts w:cs="Arial"/>
              </w:rPr>
              <w:t>Matza et al., 2015</w:t>
            </w:r>
            <w:r w:rsidR="00343200">
              <w:rPr>
                <w:rFonts w:cs="Arial"/>
              </w:rPr>
              <w:t xml:space="preserve"> </w:t>
            </w:r>
            <w:r w:rsidR="00343200">
              <w:fldChar w:fldCharType="begin">
                <w:fldData xml:space="preserve">PEVuZE5vdGU+PENpdGU+PEF1dGhvcj5NYXR6YTwvQXV0aG9yPjxZZWFyPjIwMTU8L1llYXI+PFJl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</w:fldData>
              </w:fldChar>
            </w:r>
            <w:r w:rsidR="008C43BF">
              <w:instrText xml:space="preserve"> ADDIN EN.CITE </w:instrText>
            </w:r>
            <w:r w:rsidR="008C43BF">
              <w:fldChar w:fldCharType="begin">
                <w:fldData xml:space="preserve">PEVuZE5vdGU+PENpdGU+PEF1dGhvcj5NYXR6YTwvQXV0aG9yPjxZZWFyPjIwMTU8L1llYXI+PFJl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</w:fldData>
              </w:fldChar>
            </w:r>
            <w:r w:rsidR="008C43BF">
              <w:instrText xml:space="preserve"> ADDIN EN.CITE.DATA </w:instrText>
            </w:r>
            <w:r w:rsidR="008C43BF">
              <w:fldChar w:fldCharType="end"/>
            </w:r>
            <w:r w:rsidR="00343200">
              <w:fldChar w:fldCharType="separate"/>
            </w:r>
            <w:r w:rsidR="008C43BF" w:rsidRPr="008C43BF">
              <w:rPr>
                <w:noProof/>
                <w:vertAlign w:val="superscript"/>
              </w:rPr>
              <w:t>96</w:t>
            </w:r>
            <w:r w:rsidR="00343200">
              <w:fldChar w:fldCharType="end"/>
            </w:r>
          </w:p>
        </w:tc>
      </w:tr>
      <w:tr w:rsidR="00403B07" w14:paraId="1F330B2F" w14:textId="77777777" w:rsidTr="00951FF2">
        <w:tc>
          <w:tcPr>
            <w:tcW w:w="3794" w:type="dxa"/>
          </w:tcPr>
          <w:p w14:paraId="60D50F09" w14:textId="77777777" w:rsidR="00403B07" w:rsidRDefault="00403B07" w:rsidP="00B01272">
            <w:pPr>
              <w:jc w:val="right"/>
            </w:pPr>
            <w:r>
              <w:t>Colorectal cancer</w:t>
            </w:r>
          </w:p>
        </w:tc>
        <w:tc>
          <w:tcPr>
            <w:tcW w:w="2410" w:type="dxa"/>
          </w:tcPr>
          <w:p w14:paraId="68AEBD2F" w14:textId="77777777" w:rsidR="00403B07" w:rsidRPr="003D7DAF" w:rsidRDefault="00403B07" w:rsidP="00B01272">
            <w:pPr>
              <w:rPr>
                <w:rFonts w:cs="Arial"/>
                <w:color w:val="000000"/>
              </w:rPr>
            </w:pPr>
            <w:bookmarkStart w:id="683" w:name="RANGE!C57"/>
            <w:r w:rsidRPr="003D7DAF">
              <w:rPr>
                <w:rFonts w:cs="Arial"/>
                <w:color w:val="000000"/>
              </w:rPr>
              <w:t>0.76</w:t>
            </w:r>
            <w:bookmarkEnd w:id="683"/>
          </w:p>
        </w:tc>
        <w:tc>
          <w:tcPr>
            <w:tcW w:w="2580" w:type="dxa"/>
          </w:tcPr>
          <w:p w14:paraId="129CAA04" w14:textId="34F9C0F0" w:rsidR="00403B07" w:rsidRDefault="00403B07" w:rsidP="008C43BF">
            <w:r w:rsidRPr="00861557">
              <w:rPr>
                <w:rFonts w:cs="Arial"/>
              </w:rPr>
              <w:t>Djalalov et al., 2014</w:t>
            </w:r>
            <w:r w:rsidR="00343200">
              <w:rPr>
                <w:rFonts w:cs="Arial"/>
              </w:rPr>
              <w:t xml:space="preserve"> </w:t>
            </w:r>
            <w:r w:rsidR="0052575D">
              <w:rPr>
                <w:rFonts w:cs="Arial"/>
              </w:rPr>
              <w:fldChar w:fldCharType="begin">
                <w:fldData xml:space="preserve">PEVuZE5vdGU+PENpdGU+PEF1dGhvcj5EamFsYWxvdjwvQXV0aG9yPjxZZWFyPjIwMTQ8L1llYXI+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</w:fldData>
              </w:fldChar>
            </w:r>
            <w:r w:rsidR="008C43BF">
              <w:rPr>
                <w:rFonts w:cs="Arial"/>
              </w:rPr>
              <w:instrText xml:space="preserve"> ADDIN EN.CITE </w:instrText>
            </w:r>
            <w:r w:rsidR="008C43BF">
              <w:rPr>
                <w:rFonts w:cs="Arial"/>
              </w:rPr>
              <w:fldChar w:fldCharType="begin">
                <w:fldData xml:space="preserve">PEVuZE5vdGU+PENpdGU+PEF1dGhvcj5EamFsYWxvdjwvQXV0aG9yPjxZZWFyPjIwMTQ8L1llYXI+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</w:fldData>
              </w:fldChar>
            </w:r>
            <w:r w:rsidR="008C43BF">
              <w:rPr>
                <w:rFonts w:cs="Arial"/>
              </w:rPr>
              <w:instrText xml:space="preserve"> ADDIN EN.CITE.DATA </w:instrText>
            </w:r>
            <w:r w:rsidR="008C43BF">
              <w:rPr>
                <w:rFonts w:cs="Arial"/>
              </w:rPr>
            </w:r>
            <w:r w:rsidR="008C43BF">
              <w:rPr>
                <w:rFonts w:cs="Arial"/>
              </w:rPr>
              <w:fldChar w:fldCharType="end"/>
            </w:r>
            <w:r w:rsidR="0052575D">
              <w:rPr>
                <w:rFonts w:cs="Arial"/>
              </w:rPr>
            </w:r>
            <w:r w:rsidR="0052575D">
              <w:rPr>
                <w:rFonts w:cs="Arial"/>
              </w:rPr>
              <w:fldChar w:fldCharType="separate"/>
            </w:r>
            <w:r w:rsidR="008C43BF" w:rsidRPr="008C43BF">
              <w:rPr>
                <w:rFonts w:cs="Arial"/>
                <w:noProof/>
                <w:vertAlign w:val="superscript"/>
              </w:rPr>
              <w:t>97</w:t>
            </w:r>
            <w:r w:rsidR="0052575D">
              <w:rPr>
                <w:rFonts w:cs="Arial"/>
              </w:rPr>
              <w:fldChar w:fldCharType="end"/>
            </w:r>
          </w:p>
        </w:tc>
      </w:tr>
      <w:tr w:rsidR="00403B07" w14:paraId="7D5B308D" w14:textId="77777777" w:rsidTr="00951FF2">
        <w:tc>
          <w:tcPr>
            <w:tcW w:w="3794" w:type="dxa"/>
          </w:tcPr>
          <w:p w14:paraId="0440D89A" w14:textId="77777777" w:rsidR="00403B07" w:rsidRDefault="00403B07" w:rsidP="00B01272">
            <w:r>
              <w:t>Cost inputs (2015, £s):</w:t>
            </w:r>
          </w:p>
        </w:tc>
        <w:tc>
          <w:tcPr>
            <w:tcW w:w="2410" w:type="dxa"/>
          </w:tcPr>
          <w:p w14:paraId="46C24D35" w14:textId="77777777" w:rsidR="00403B07" w:rsidRDefault="00403B07" w:rsidP="00B01272"/>
        </w:tc>
        <w:tc>
          <w:tcPr>
            <w:tcW w:w="2580" w:type="dxa"/>
          </w:tcPr>
          <w:p w14:paraId="2718CC1D" w14:textId="77777777" w:rsidR="00403B07" w:rsidRDefault="00403B07" w:rsidP="00B01272"/>
        </w:tc>
      </w:tr>
      <w:tr w:rsidR="00403B07" w14:paraId="62591636" w14:textId="77777777" w:rsidTr="00951FF2">
        <w:tc>
          <w:tcPr>
            <w:tcW w:w="3794" w:type="dxa"/>
          </w:tcPr>
          <w:p w14:paraId="2E627E05" w14:textId="77777777" w:rsidR="00403B07" w:rsidRDefault="00403B07" w:rsidP="00B01272">
            <w:pPr>
              <w:jc w:val="right"/>
            </w:pPr>
            <w:r>
              <w:t>Intervention (HeLP) cost</w:t>
            </w:r>
          </w:p>
        </w:tc>
        <w:tc>
          <w:tcPr>
            <w:tcW w:w="2410" w:type="dxa"/>
          </w:tcPr>
          <w:p w14:paraId="138955C5" w14:textId="77777777" w:rsidR="00403B07" w:rsidRDefault="00403B07" w:rsidP="00B01272">
            <w:r>
              <w:t>£214.13</w:t>
            </w:r>
          </w:p>
        </w:tc>
        <w:tc>
          <w:tcPr>
            <w:tcW w:w="2580" w:type="dxa"/>
          </w:tcPr>
          <w:p w14:paraId="16AC12C7" w14:textId="77777777" w:rsidR="00403B07" w:rsidRDefault="00403B07" w:rsidP="00B01272">
            <w:r>
              <w:t>HeLP RCT/analysis</w:t>
            </w:r>
          </w:p>
        </w:tc>
      </w:tr>
      <w:tr w:rsidR="00403B07" w14:paraId="4D8ACB6A" w14:textId="77777777" w:rsidTr="00951FF2">
        <w:tc>
          <w:tcPr>
            <w:tcW w:w="3794" w:type="dxa"/>
          </w:tcPr>
          <w:p w14:paraId="0EB5FF1F" w14:textId="77777777" w:rsidR="00403B07" w:rsidRDefault="00403B07" w:rsidP="00B01272">
            <w:pPr>
              <w:jc w:val="right"/>
            </w:pPr>
            <w:r>
              <w:t>Cost, CHD, per year</w:t>
            </w:r>
          </w:p>
        </w:tc>
        <w:tc>
          <w:tcPr>
            <w:tcW w:w="2410" w:type="dxa"/>
          </w:tcPr>
          <w:p w14:paraId="7708F225" w14:textId="77777777" w:rsidR="00403B07" w:rsidRDefault="00403B07" w:rsidP="00B01272">
            <w:r>
              <w:t xml:space="preserve">£3,403 </w:t>
            </w:r>
          </w:p>
        </w:tc>
        <w:tc>
          <w:tcPr>
            <w:tcW w:w="2580" w:type="dxa"/>
          </w:tcPr>
          <w:p w14:paraId="2D3E63E3" w14:textId="6FD733D2" w:rsidR="00403B07" w:rsidRDefault="00403B07" w:rsidP="008C43BF">
            <w:r w:rsidRPr="00861557">
              <w:rPr>
                <w:rFonts w:cs="Arial"/>
              </w:rPr>
              <w:t>NHS Scotland, 2007</w:t>
            </w:r>
            <w:r w:rsidR="0052575D">
              <w:rPr>
                <w:rFonts w:cs="Arial"/>
              </w:rPr>
              <w:t xml:space="preserve"> </w:t>
            </w:r>
            <w:r w:rsidR="0052575D">
              <w:rPr>
                <w:rFonts w:cs="Arial"/>
              </w:rPr>
              <w:fldChar w:fldCharType="begin"/>
            </w:r>
            <w:r w:rsidR="008C43BF">
              <w:rPr>
                <w:rFonts w:cs="Arial"/>
              </w:rPr>
              <w:instrText xml:space="preserve"> ADDIN EN.CITE &lt;EndNote&gt;&lt;Cite&gt;&lt;Author&gt;NHS Scotland&lt;/Author&gt;&lt;Year&gt;2007&lt;/Year&gt;&lt;RecNum&gt;5757&lt;/RecNum&gt;&lt;DisplayText&gt;&lt;style face="superscript"&gt;113&lt;/style&gt;&lt;/DisplayText&gt;&lt;record&gt;&lt;rec-number&gt;5757&lt;/rec-number&gt;&lt;foreign-keys&gt;&lt;key app="EN" db-id="2ewa9rrvjsdsawep2vpx5x97eedzzvxx5rta" timestamp="1478679952"&gt;5757&lt;/key&gt;&lt;/foreign-keys&gt;&lt;ref-type name="Report"&gt;27&lt;/ref-type&gt;&lt;contributors&gt;&lt;authors&gt;&lt;author&gt;NHS Scotland, &lt;/author&gt;&lt;/authors&gt;&lt;/contributors&gt;&lt;titles&gt;&lt;title&gt;Management of coronary heart disease: A national clinical and resource impact assessment&lt;/title&gt;&lt;/titles&gt;&lt;dates&gt;&lt;year&gt;2007&lt;/year&gt;&lt;/dates&gt;&lt;pub-location&gt;Edinburgh&lt;/pub-location&gt;&lt;publisher&gt;NHS Scotland&lt;/publisher&gt;&lt;urls&gt;&lt;/urls&gt;&lt;/record&gt;&lt;/Cite&gt;&lt;/EndNote&gt;</w:instrText>
            </w:r>
            <w:r w:rsidR="0052575D">
              <w:rPr>
                <w:rFonts w:cs="Arial"/>
              </w:rPr>
              <w:fldChar w:fldCharType="separate"/>
            </w:r>
            <w:r w:rsidR="008C43BF" w:rsidRPr="008C43BF">
              <w:rPr>
                <w:rFonts w:cs="Arial"/>
                <w:noProof/>
                <w:vertAlign w:val="superscript"/>
              </w:rPr>
              <w:t>113</w:t>
            </w:r>
            <w:r w:rsidR="0052575D">
              <w:rPr>
                <w:rFonts w:cs="Arial"/>
              </w:rPr>
              <w:fldChar w:fldCharType="end"/>
            </w:r>
          </w:p>
        </w:tc>
      </w:tr>
      <w:tr w:rsidR="00403B07" w14:paraId="004FC8AD" w14:textId="77777777" w:rsidTr="00951FF2">
        <w:tc>
          <w:tcPr>
            <w:tcW w:w="3794" w:type="dxa"/>
          </w:tcPr>
          <w:p w14:paraId="60AA7414" w14:textId="77777777" w:rsidR="00403B07" w:rsidRDefault="00403B07" w:rsidP="00B01272">
            <w:pPr>
              <w:jc w:val="right"/>
            </w:pPr>
            <w:r>
              <w:t>Cost, T2DM, per year</w:t>
            </w:r>
          </w:p>
        </w:tc>
        <w:tc>
          <w:tcPr>
            <w:tcW w:w="2410" w:type="dxa"/>
          </w:tcPr>
          <w:p w14:paraId="0634038D" w14:textId="77777777" w:rsidR="00403B07" w:rsidRDefault="00403B07" w:rsidP="00B01272">
            <w:r>
              <w:t>£4,004</w:t>
            </w:r>
          </w:p>
        </w:tc>
        <w:tc>
          <w:tcPr>
            <w:tcW w:w="2580" w:type="dxa"/>
          </w:tcPr>
          <w:p w14:paraId="1478FB5D" w14:textId="350FD9D2" w:rsidR="00403B07" w:rsidRDefault="00403B07" w:rsidP="0052575D">
            <w:r w:rsidRPr="00861557">
              <w:rPr>
                <w:rFonts w:cs="Arial"/>
              </w:rPr>
              <w:t>Kanavos et al., 2012</w:t>
            </w:r>
            <w:r w:rsidR="0052575D">
              <w:rPr>
                <w:rFonts w:cs="Arial"/>
              </w:rPr>
              <w:t xml:space="preserve"> </w:t>
            </w:r>
          </w:p>
        </w:tc>
      </w:tr>
      <w:tr w:rsidR="00403B07" w14:paraId="62B36C5E" w14:textId="77777777" w:rsidTr="00951FF2">
        <w:tc>
          <w:tcPr>
            <w:tcW w:w="3794" w:type="dxa"/>
          </w:tcPr>
          <w:p w14:paraId="0FD23692" w14:textId="77777777" w:rsidR="00403B07" w:rsidRDefault="00403B07" w:rsidP="00B01272">
            <w:pPr>
              <w:jc w:val="right"/>
            </w:pPr>
            <w:r>
              <w:t>Cost, Stroke, one-off treatment cost</w:t>
            </w:r>
          </w:p>
        </w:tc>
        <w:tc>
          <w:tcPr>
            <w:tcW w:w="2410" w:type="dxa"/>
          </w:tcPr>
          <w:p w14:paraId="0E84287B" w14:textId="77777777" w:rsidR="00403B07" w:rsidRDefault="00403B07" w:rsidP="00B01272">
            <w:r>
              <w:t>£3,126</w:t>
            </w:r>
          </w:p>
        </w:tc>
        <w:tc>
          <w:tcPr>
            <w:tcW w:w="2580" w:type="dxa"/>
          </w:tcPr>
          <w:p w14:paraId="7F11A352" w14:textId="290D2D8A" w:rsidR="00403B07" w:rsidRDefault="00403B07" w:rsidP="008C43BF">
            <w:r w:rsidRPr="00861557">
              <w:rPr>
                <w:rFonts w:cs="Arial"/>
              </w:rPr>
              <w:t>Saka et al., 2009</w:t>
            </w:r>
            <w:r w:rsidR="0052575D">
              <w:rPr>
                <w:rFonts w:cs="Arial"/>
              </w:rPr>
              <w:t xml:space="preserve"> </w:t>
            </w:r>
            <w:r w:rsidR="0052575D">
              <w:rPr>
                <w:rFonts w:cs="Arial"/>
              </w:rPr>
              <w:fldChar w:fldCharType="begin"/>
            </w:r>
            <w:r w:rsidR="008C43BF">
              <w:rPr>
                <w:rFonts w:cs="Arial"/>
              </w:rPr>
              <w:instrText xml:space="preserve"> ADDIN EN.CITE &lt;EndNote&gt;&lt;Cite&gt;&lt;Author&gt;Saka&lt;/Author&gt;&lt;Year&gt;2009&lt;/Year&gt;&lt;RecNum&gt;5764&lt;/RecNum&gt;&lt;DisplayText&gt;&lt;style face="superscript"&gt;114&lt;/style&gt;&lt;/DisplayText&gt;&lt;record&gt;&lt;rec-number&gt;5764&lt;/rec-number&gt;&lt;foreign-keys&gt;&lt;key app="EN" db-id="2ewa9rrvjsdsawep2vpx5x97eedzzvxx5rta" timestamp="1478679952"&gt;5764&lt;/key&gt;&lt;/foreign-keys&gt;&lt;ref-type name="Journal Article"&gt;17&lt;/ref-type&gt;&lt;contributors&gt;&lt;authors&gt;&lt;author&gt;Saka, O.&lt;/author&gt;&lt;author&gt;McGuire, A.&lt;/author&gt;&lt;author&gt;Wolfe, C.&lt;/author&gt;&lt;/authors&gt;&lt;/contributors&gt;&lt;auth-address&gt;King&amp;apos;s College London, Division of Health and Social Care Research, London SE1 3QD, UK. omer.saka@kcl.ac.uk&lt;/auth-address&gt;&lt;titles&gt;&lt;title&gt;Cost of stroke in the United Kingdom&lt;/title&gt;&lt;secondary-title&gt;Age Ageing&lt;/secondary-title&gt;&lt;/titles&gt;&lt;periodical&gt;&lt;full-title&gt;Age and Ageing&lt;/full-title&gt;&lt;abbr-1&gt;Age Ageing&lt;/abbr-1&gt;&lt;abbr-2&gt;Age Ageing&lt;/abbr-2&gt;&lt;abbr-3&gt;Age &amp;amp; Ageing&lt;/abbr-3&gt;&lt;/periodical&gt;&lt;pages&gt;27-32&lt;/pages&gt;&lt;volume&gt;38&lt;/volume&gt;&lt;number&gt;1&lt;/number&gt;&lt;keywords&gt;&lt;keyword&gt;Adult&lt;/keyword&gt;&lt;keyword&gt;Aged&lt;/keyword&gt;&lt;keyword&gt;Aged, 80 and over&lt;/keyword&gt;&lt;keyword&gt;*Cost of Illness&lt;/keyword&gt;&lt;keyword&gt;Efficiency, Organizational/economics&lt;/keyword&gt;&lt;keyword&gt;Great Britain/epidemiology&lt;/keyword&gt;&lt;keyword&gt;Health Care Costs/*statistics &amp;amp; numerical data&lt;/keyword&gt;&lt;keyword&gt;Humans&lt;/keyword&gt;&lt;keyword&gt;Middle Aged&lt;/keyword&gt;&lt;keyword&gt;Prevalence&lt;/keyword&gt;&lt;keyword&gt;Registries&lt;/keyword&gt;&lt;keyword&gt;State Medicine/economics&lt;/keyword&gt;&lt;keyword&gt;Stroke/*economics/epidemiology&lt;/keyword&gt;&lt;/keywords&gt;&lt;dates&gt;&lt;year&gt;2009&lt;/year&gt;&lt;pub-dates&gt;&lt;date&gt;Jan&lt;/date&gt;&lt;/pub-dates&gt;&lt;/dates&gt;&lt;isbn&gt;1468-2834 (Electronic)&amp;#xD;0002-0729 (Linking)&lt;/isbn&gt;&lt;accession-num&gt;19141506&lt;/accession-num&gt;&lt;urls&gt;&lt;related-urls&gt;&lt;url&gt;http://www.ncbi.nlm.nih.gov/pubmed/19141506&lt;/url&gt;&lt;/related-urls&gt;&lt;/urls&gt;&lt;electronic-resource-num&gt;10.1093/ageing/afn281&lt;/electronic-resource-num&gt;&lt;/record&gt;&lt;/Cite&gt;&lt;/EndNote&gt;</w:instrText>
            </w:r>
            <w:r w:rsidR="0052575D">
              <w:rPr>
                <w:rFonts w:cs="Arial"/>
              </w:rPr>
              <w:fldChar w:fldCharType="separate"/>
            </w:r>
            <w:r w:rsidR="008C43BF" w:rsidRPr="008C43BF">
              <w:rPr>
                <w:rFonts w:cs="Arial"/>
                <w:noProof/>
                <w:vertAlign w:val="superscript"/>
              </w:rPr>
              <w:t>114</w:t>
            </w:r>
            <w:r w:rsidR="0052575D">
              <w:rPr>
                <w:rFonts w:cs="Arial"/>
              </w:rPr>
              <w:fldChar w:fldCharType="end"/>
            </w:r>
          </w:p>
        </w:tc>
      </w:tr>
      <w:tr w:rsidR="00403B07" w14:paraId="2036A414" w14:textId="77777777" w:rsidTr="00951FF2">
        <w:tc>
          <w:tcPr>
            <w:tcW w:w="3794" w:type="dxa"/>
          </w:tcPr>
          <w:p w14:paraId="18512DA3" w14:textId="77777777" w:rsidR="00403B07" w:rsidRDefault="00403B07" w:rsidP="00B01272">
            <w:pPr>
              <w:jc w:val="right"/>
            </w:pPr>
            <w:r>
              <w:t>Cost, Colorectal cancer, per year</w:t>
            </w:r>
          </w:p>
        </w:tc>
        <w:tc>
          <w:tcPr>
            <w:tcW w:w="2410" w:type="dxa"/>
          </w:tcPr>
          <w:p w14:paraId="7D5097BC" w14:textId="77777777" w:rsidR="00403B07" w:rsidRDefault="00403B07" w:rsidP="00B01272">
            <w:r>
              <w:t>£8,861</w:t>
            </w:r>
          </w:p>
        </w:tc>
        <w:tc>
          <w:tcPr>
            <w:tcW w:w="2580" w:type="dxa"/>
          </w:tcPr>
          <w:p w14:paraId="17D9F91E" w14:textId="739BAAB5" w:rsidR="00403B07" w:rsidRDefault="00403B07" w:rsidP="00931E9F">
            <w:r w:rsidRPr="00861557">
              <w:rPr>
                <w:rFonts w:cs="Arial"/>
              </w:rPr>
              <w:t>CRUK</w:t>
            </w:r>
            <w:r>
              <w:rPr>
                <w:rFonts w:cs="Arial"/>
              </w:rPr>
              <w:t>, 2014</w:t>
            </w:r>
            <w:r w:rsidR="0052575D">
              <w:rPr>
                <w:rFonts w:cs="Arial"/>
              </w:rPr>
              <w:t xml:space="preserve"> </w:t>
            </w:r>
            <w:r w:rsidR="0052575D">
              <w:rPr>
                <w:rFonts w:cs="Arial"/>
              </w:rPr>
              <w:fldChar w:fldCharType="begin"/>
            </w:r>
            <w:r w:rsidR="00931E9F">
              <w:rPr>
                <w:rFonts w:cs="Arial"/>
              </w:rPr>
              <w:instrText xml:space="preserve"> ADDIN EN.CITE &lt;EndNote&gt;&lt;Cite&gt;&lt;Author&gt;Cancer Research UK (CRUK)&lt;/Author&gt;&lt;Year&gt;2014&lt;/Year&gt;&lt;RecNum&gt;5806&lt;/RecNum&gt;&lt;DisplayText&gt;&lt;style face="superscript"&gt;115&lt;/style&gt;&lt;/DisplayText&gt;&lt;record&gt;&lt;rec-number&gt;5806&lt;/rec-number&gt;&lt;foreign-keys&gt;&lt;key app="EN" db-id="2ewa9rrvjsdsawep2vpx5x97eedzzvxx5rta" timestamp="1478777495"&gt;5806&lt;/key&gt;&lt;/foreign-keys&gt;&lt;ref-type name="Report"&gt;27&lt;/ref-type&gt;&lt;contributors&gt;&lt;authors&gt;&lt;author&gt;Cancer Research UK (CRUK),&lt;/author&gt;&lt;/authors&gt;&lt;/contributors&gt;&lt;titles&gt;&lt;title&gt;Saving Lives through Research&lt;/title&gt;&lt;/titles&gt;&lt;dates&gt;&lt;year&gt;2014&lt;/year&gt;&lt;/dates&gt;&lt;urls&gt;&lt;related-urls&gt;&lt;url&gt;http://www.cancerresearchuk.org/sites/default/files/cruk_report_and_accounts_2013_14.pdf&lt;/url&gt;&lt;/related-urls&gt;&lt;/urls&gt;&lt;access-date&gt;17 June 2016&lt;/access-date&gt;&lt;/record&gt;&lt;/Cite&gt;&lt;/EndNote&gt;</w:instrText>
            </w:r>
            <w:r w:rsidR="0052575D">
              <w:rPr>
                <w:rFonts w:cs="Arial"/>
              </w:rPr>
              <w:fldChar w:fldCharType="separate"/>
            </w:r>
            <w:r w:rsidR="008C43BF" w:rsidRPr="008C43BF">
              <w:rPr>
                <w:rFonts w:cs="Arial"/>
                <w:noProof/>
                <w:vertAlign w:val="superscript"/>
              </w:rPr>
              <w:t>115</w:t>
            </w:r>
            <w:r w:rsidR="0052575D">
              <w:rPr>
                <w:rFonts w:cs="Arial"/>
              </w:rPr>
              <w:fldChar w:fldCharType="end"/>
            </w:r>
          </w:p>
        </w:tc>
      </w:tr>
      <w:tr w:rsidR="00403B07" w14:paraId="62A86FB5" w14:textId="77777777" w:rsidTr="00951FF2">
        <w:tc>
          <w:tcPr>
            <w:tcW w:w="3794" w:type="dxa"/>
          </w:tcPr>
          <w:p w14:paraId="6B41653C" w14:textId="77777777" w:rsidR="00403B07" w:rsidRDefault="00403B07" w:rsidP="00B01272">
            <w:r>
              <w:t>Discount rate:  Future costs, %</w:t>
            </w:r>
          </w:p>
        </w:tc>
        <w:tc>
          <w:tcPr>
            <w:tcW w:w="2410" w:type="dxa"/>
          </w:tcPr>
          <w:p w14:paraId="46D5A40F" w14:textId="77777777" w:rsidR="00403B07" w:rsidRDefault="00403B07" w:rsidP="00B01272">
            <w:r>
              <w:t>3.5</w:t>
            </w:r>
          </w:p>
        </w:tc>
        <w:tc>
          <w:tcPr>
            <w:tcW w:w="2580" w:type="dxa"/>
          </w:tcPr>
          <w:p w14:paraId="0D03B7A2" w14:textId="4C6DAF2B" w:rsidR="00403B07" w:rsidRDefault="00403B07" w:rsidP="00931E9F">
            <w:r w:rsidRPr="00951FF2">
              <w:t>NICE, 2013</w:t>
            </w:r>
            <w:r w:rsidR="00951FF2">
              <w:t xml:space="preserve"> </w:t>
            </w:r>
            <w:r w:rsidR="00951FF2">
              <w:fldChar w:fldCharType="begin"/>
            </w:r>
            <w:r w:rsidR="00931E9F">
              <w:instrText xml:space="preserve"> ADDIN EN.CITE &lt;EndNote&gt;&lt;Cite&gt;&lt;Author&gt;National Institute for Health and Care Excellence&lt;/Author&gt;&lt;Year&gt;2013&lt;/Year&gt;&lt;RecNum&gt;5781&lt;/RecNum&gt;&lt;DisplayText&gt;&lt;style face="superscript"&gt;77&lt;/style&gt;&lt;/DisplayText&gt;&lt;record&gt;&lt;rec-number&gt;5781&lt;/rec-number&gt;&lt;foreign-keys&gt;&lt;key app="EN" db-id="2ewa9rrvjsdsawep2vpx5x97eedzzvxx5rta" timestamp="1478698216"&gt;5781&lt;/key&gt;&lt;/foreign-keys&gt;&lt;ref-type name="Report"&gt;27&lt;/ref-type&gt;&lt;contributors&gt;&lt;authors&gt;&lt;author&gt;National Institute for Health and Care Excellence,&lt;/author&gt;&lt;/authors&gt;&lt;/contributors&gt;&lt;titles&gt;&lt;title&gt;Guide to the method of technology appraisal 2013&lt;/title&gt;&lt;/titles&gt;&lt;dates&gt;&lt;year&gt;2013&lt;/year&gt;&lt;/dates&gt;&lt;urls&gt;&lt;related-urls&gt;&lt;url&gt;https://www.nice.org.uk/process/pmg9/resources/guide-to-the-methods-of-technology-appraisal-2013-pdf-2007975843781&lt;/url&gt;&lt;/related-urls&gt;&lt;/urls&gt;&lt;access-date&gt;01 Nov 2016&lt;/access-date&gt;&lt;/record&gt;&lt;/Cite&gt;&lt;/EndNote&gt;</w:instrText>
            </w:r>
            <w:r w:rsidR="00951FF2">
              <w:fldChar w:fldCharType="separate"/>
            </w:r>
            <w:r w:rsidR="00951FF2" w:rsidRPr="00951FF2">
              <w:rPr>
                <w:noProof/>
                <w:vertAlign w:val="superscript"/>
              </w:rPr>
              <w:t>77</w:t>
            </w:r>
            <w:r w:rsidR="00951FF2">
              <w:fldChar w:fldCharType="end"/>
            </w:r>
          </w:p>
        </w:tc>
      </w:tr>
      <w:tr w:rsidR="00403B07" w14:paraId="36778B58" w14:textId="77777777" w:rsidTr="00951FF2">
        <w:tc>
          <w:tcPr>
            <w:tcW w:w="3794" w:type="dxa"/>
          </w:tcPr>
          <w:p w14:paraId="72D252E2" w14:textId="77777777" w:rsidR="00403B07" w:rsidRDefault="00403B07" w:rsidP="00B01272">
            <w:r>
              <w:t>Discount rate:  Future costs, %</w:t>
            </w:r>
          </w:p>
        </w:tc>
        <w:tc>
          <w:tcPr>
            <w:tcW w:w="2410" w:type="dxa"/>
          </w:tcPr>
          <w:p w14:paraId="09C2AA08" w14:textId="77777777" w:rsidR="00403B07" w:rsidRDefault="00403B07" w:rsidP="00B01272">
            <w:r>
              <w:t>3.5</w:t>
            </w:r>
          </w:p>
        </w:tc>
        <w:tc>
          <w:tcPr>
            <w:tcW w:w="2580" w:type="dxa"/>
          </w:tcPr>
          <w:p w14:paraId="0C01A730" w14:textId="1C4D0051" w:rsidR="00403B07" w:rsidRDefault="00403B07" w:rsidP="00931E9F">
            <w:r w:rsidRPr="00951FF2">
              <w:t>NICE, 2013</w:t>
            </w:r>
            <w:r w:rsidR="00951FF2">
              <w:t xml:space="preserve"> </w:t>
            </w:r>
            <w:r w:rsidR="00951FF2">
              <w:fldChar w:fldCharType="begin"/>
            </w:r>
            <w:r w:rsidR="00931E9F">
              <w:instrText xml:space="preserve"> ADDIN EN.CITE &lt;EndNote&gt;&lt;Cite&gt;&lt;Author&gt;National Institute for Health and Care Excellence&lt;/Author&gt;&lt;Year&gt;2013&lt;/Year&gt;&lt;RecNum&gt;5781&lt;/RecNum&gt;&lt;DisplayText&gt;&lt;style face="superscript"&gt;77&lt;/style&gt;&lt;/DisplayText&gt;&lt;record&gt;&lt;rec-number&gt;5781&lt;/rec-number&gt;&lt;foreign-keys&gt;&lt;key app="EN" db-id="2ewa9rrvjsdsawep2vpx5x97eedzzvxx5rta" timestamp="1478698216"&gt;5781&lt;/key&gt;&lt;/foreign-keys&gt;&lt;ref-type name="Report"&gt;27&lt;/ref-type&gt;&lt;contributors&gt;&lt;authors&gt;&lt;author&gt;National Institute for Health and Care Excellence,&lt;/author&gt;&lt;/authors&gt;&lt;/contributors&gt;&lt;titles&gt;&lt;title&gt;Guide to the method of technology appraisal 2013&lt;/title&gt;&lt;/titles&gt;&lt;dates&gt;&lt;year&gt;2013&lt;/year&gt;&lt;/dates&gt;&lt;urls&gt;&lt;related-urls&gt;&lt;url&gt;https://www.nice.org.uk/process/pmg9/resources/guide-to-the-methods-of-technology-appraisal-2013-pdf-2007975843781&lt;/url&gt;&lt;/related-urls&gt;&lt;/urls&gt;&lt;access-date&gt;01 Nov 2016&lt;/access-date&gt;&lt;/record&gt;&lt;/Cite&gt;&lt;/EndNote&gt;</w:instrText>
            </w:r>
            <w:r w:rsidR="00951FF2">
              <w:fldChar w:fldCharType="separate"/>
            </w:r>
            <w:r w:rsidR="00951FF2" w:rsidRPr="00951FF2">
              <w:rPr>
                <w:noProof/>
                <w:vertAlign w:val="superscript"/>
              </w:rPr>
              <w:t>77</w:t>
            </w:r>
            <w:r w:rsidR="00951FF2">
              <w:fldChar w:fldCharType="end"/>
            </w:r>
            <w:r w:rsidR="00AD45E8">
              <w:t xml:space="preserve"> </w:t>
            </w:r>
          </w:p>
        </w:tc>
      </w:tr>
      <w:tr w:rsidR="00403B07" w14:paraId="00C4A13B" w14:textId="77777777" w:rsidTr="00951FF2">
        <w:tc>
          <w:tcPr>
            <w:tcW w:w="3794" w:type="dxa"/>
          </w:tcPr>
          <w:p w14:paraId="23297D92" w14:textId="77777777" w:rsidR="00403B07" w:rsidRDefault="00403B07" w:rsidP="00B01272">
            <w:r>
              <w:t>Half-cycle correction</w:t>
            </w:r>
          </w:p>
        </w:tc>
        <w:tc>
          <w:tcPr>
            <w:tcW w:w="2410" w:type="dxa"/>
          </w:tcPr>
          <w:p w14:paraId="09C31246" w14:textId="77777777" w:rsidR="00403B07" w:rsidRDefault="00403B07" w:rsidP="00B01272">
            <w:r>
              <w:t>0.5</w:t>
            </w:r>
          </w:p>
        </w:tc>
        <w:tc>
          <w:tcPr>
            <w:tcW w:w="2580" w:type="dxa"/>
          </w:tcPr>
          <w:p w14:paraId="1BA0BECE" w14:textId="77777777" w:rsidR="00403B07" w:rsidRDefault="00403B07" w:rsidP="00B01272">
            <w:r>
              <w:t>Assumption</w:t>
            </w:r>
          </w:p>
        </w:tc>
      </w:tr>
    </w:tbl>
    <w:p w14:paraId="126A1759" w14:textId="77777777" w:rsidR="00403B07" w:rsidRPr="00CD1B62" w:rsidRDefault="00403B07" w:rsidP="00403B07">
      <w:pPr>
        <w:spacing w:after="0" w:line="240" w:lineRule="auto"/>
        <w:rPr>
          <w:b/>
        </w:rPr>
      </w:pPr>
      <w:r w:rsidRPr="00CD1B62">
        <w:rPr>
          <w:b/>
        </w:rPr>
        <w:t>Assumptions:</w:t>
      </w:r>
    </w:p>
    <w:p w14:paraId="0B0E6CAE" w14:textId="77777777" w:rsidR="00403B07" w:rsidRDefault="00403B07" w:rsidP="00403B07">
      <w:pPr>
        <w:spacing w:after="0" w:line="240" w:lineRule="auto"/>
      </w:pPr>
      <w:r>
        <w:t>Adult weights status:  Weight status category constant over time.</w:t>
      </w:r>
    </w:p>
    <w:p w14:paraId="436C08CB" w14:textId="77777777" w:rsidR="00403B07" w:rsidRDefault="00403B07" w:rsidP="00403B07">
      <w:pPr>
        <w:spacing w:after="0" w:line="240" w:lineRule="auto"/>
      </w:pPr>
      <w:r>
        <w:t>Events:  First event is an absorbing state (for events), and participants remain in that state, with probability of death each cycle, but not subject to further risks for other events.</w:t>
      </w:r>
    </w:p>
    <w:p w14:paraId="229A3112" w14:textId="5C312DF7" w:rsidR="00403B07" w:rsidRPr="00344730" w:rsidRDefault="00403B07" w:rsidP="00AB4D98">
      <w:pPr>
        <w:pStyle w:val="Heading1"/>
      </w:pPr>
      <w:bookmarkStart w:id="684" w:name="_Toc475974417"/>
      <w:r w:rsidRPr="00344730">
        <w:lastRenderedPageBreak/>
        <w:t>Appendix 1</w:t>
      </w:r>
      <w:r w:rsidR="00705B64">
        <w:t>0</w:t>
      </w:r>
      <w:r w:rsidRPr="00344730">
        <w:t xml:space="preserve"> Parent Questionnaire</w:t>
      </w:r>
      <w:bookmarkEnd w:id="684"/>
    </w:p>
    <w:p w14:paraId="10594F1E" w14:textId="77777777" w:rsidR="00403B07" w:rsidRDefault="00403B07" w:rsidP="00403B07">
      <w:r w:rsidRPr="00524F33">
        <w:rPr>
          <w:b/>
        </w:rPr>
        <w:t xml:space="preserve"> </w:t>
      </w:r>
      <w:r>
        <w:rPr>
          <w:noProof/>
          <w:lang w:eastAsia="zh-CN"/>
        </w:rPr>
        <w:drawing>
          <wp:inline distT="0" distB="0" distL="0" distR="0" wp14:anchorId="7A42C5B4" wp14:editId="6EA77B3B">
            <wp:extent cx="4735874" cy="6943725"/>
            <wp:effectExtent l="0" t="0" r="762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60622" cy="6980011"/>
                    </a:xfrm>
                    <a:prstGeom prst="rect">
                      <a:avLst/>
                    </a:prstGeom>
                    <a:noFill/>
                  </pic:spPr>
                </pic:pic>
              </a:graphicData>
            </a:graphic>
          </wp:inline>
        </w:drawing>
      </w:r>
    </w:p>
    <w:p w14:paraId="4D3CE1A1" w14:textId="77777777" w:rsidR="00403B07" w:rsidRDefault="00403B07" w:rsidP="00403B07"/>
    <w:p w14:paraId="33A8AC04" w14:textId="77777777" w:rsidR="00403B07" w:rsidRDefault="00403B07" w:rsidP="00403B07">
      <w:r>
        <w:br w:type="page"/>
      </w:r>
    </w:p>
    <w:p w14:paraId="68DBD6B7" w14:textId="3895A462" w:rsidR="00403B07" w:rsidRDefault="00403B07" w:rsidP="00403B07">
      <w:pPr>
        <w:rPr>
          <w:rFonts w:cs="Arial"/>
          <w:b/>
          <w:i/>
        </w:rPr>
      </w:pPr>
      <w:r w:rsidRPr="009B27CD">
        <w:rPr>
          <w:rFonts w:cs="Arial"/>
          <w:b/>
          <w:i/>
        </w:rPr>
        <w:lastRenderedPageBreak/>
        <w:t>Appendix 1</w:t>
      </w:r>
      <w:r w:rsidR="00A60D1B">
        <w:rPr>
          <w:rFonts w:cs="Arial"/>
          <w:b/>
          <w:i/>
        </w:rPr>
        <w:t>0</w:t>
      </w:r>
      <w:r w:rsidRPr="009B27CD">
        <w:rPr>
          <w:rFonts w:cs="Arial"/>
          <w:b/>
          <w:i/>
        </w:rPr>
        <w:t xml:space="preserve"> Parent Questionnaire (continued)</w:t>
      </w:r>
    </w:p>
    <w:p w14:paraId="54C90C56" w14:textId="77777777" w:rsidR="00403B07" w:rsidRPr="009B27CD" w:rsidRDefault="00403B07" w:rsidP="00403B07">
      <w:pPr>
        <w:rPr>
          <w:rFonts w:cs="Arial"/>
          <w:b/>
          <w:i/>
        </w:rPr>
      </w:pPr>
    </w:p>
    <w:p w14:paraId="3FEB21A0" w14:textId="77777777" w:rsidR="00403B07" w:rsidRDefault="00403B07" w:rsidP="00403B07">
      <w:r w:rsidRPr="00391FD3">
        <w:rPr>
          <w:rFonts w:ascii="Times New Roman" w:eastAsia="Times New Roman" w:hAnsi="Times New Roman" w:cs="Times New Roman"/>
          <w:noProof/>
          <w:sz w:val="24"/>
          <w:szCs w:val="24"/>
          <w:lang w:eastAsia="zh-CN"/>
        </w:rPr>
        <mc:AlternateContent>
          <mc:Choice Requires="wps">
            <w:drawing>
              <wp:anchor distT="36576" distB="36576" distL="36576" distR="36576" simplePos="0" relativeHeight="251661312" behindDoc="0" locked="0" layoutInCell="1" allowOverlap="1" wp14:anchorId="2A2F758E" wp14:editId="79BD8A72">
                <wp:simplePos x="0" y="0"/>
                <wp:positionH relativeFrom="column">
                  <wp:posOffset>1905</wp:posOffset>
                </wp:positionH>
                <wp:positionV relativeFrom="paragraph">
                  <wp:posOffset>53340</wp:posOffset>
                </wp:positionV>
                <wp:extent cx="4409440" cy="2722880"/>
                <wp:effectExtent l="12065" t="15240" r="17145" b="14605"/>
                <wp:wrapNone/>
                <wp:docPr id="68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9440" cy="2722880"/>
                        </a:xfrm>
                        <a:prstGeom prst="flowChartAlternateProcess">
                          <a:avLst/>
                        </a:prstGeom>
                        <a:solidFill>
                          <a:srgbClr val="F3F3F3"/>
                        </a:solidFill>
                        <a:ln w="31750" algn="in">
                          <a:solidFill>
                            <a:srgbClr val="A6A6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2C8FCCA" w14:textId="77777777" w:rsidR="00DE3537" w:rsidRDefault="00DE3537" w:rsidP="00403B07">
                            <w:pPr>
                              <w:widowControl w:val="0"/>
                              <w:rPr>
                                <w:b/>
                                <w:bCs/>
                                <w:lang w:val="en-US"/>
                              </w:rPr>
                            </w:pPr>
                            <w:r>
                              <w:rPr>
                                <w:b/>
                                <w:bCs/>
                                <w:lang w:val="en-US"/>
                              </w:rPr>
                              <w:t>5. Did you notice any change in your child’s:</w:t>
                            </w:r>
                          </w:p>
                          <w:p w14:paraId="2396C5E6" w14:textId="77777777" w:rsidR="00DE3537" w:rsidRDefault="00DE3537" w:rsidP="00403B07">
                            <w:pPr>
                              <w:widowControl w:val="0"/>
                              <w:rPr>
                                <w:lang w:val="en-US"/>
                              </w:rPr>
                            </w:pPr>
                            <w:r>
                              <w:rPr>
                                <w:lang w:val="en-US"/>
                              </w:rPr>
                              <w:t>*Choice of snacks</w:t>
                            </w:r>
                            <w:r>
                              <w:rPr>
                                <w:lang w:val="en-US"/>
                              </w:rPr>
                              <w:tab/>
                            </w:r>
                            <w:r>
                              <w:rPr>
                                <w:lang w:val="en-US"/>
                              </w:rPr>
                              <w:tab/>
                            </w:r>
                            <w:r>
                              <w:rPr>
                                <w:lang w:val="en-US"/>
                              </w:rPr>
                              <w:tab/>
                            </w:r>
                            <w:r>
                              <w:rPr>
                                <w:lang w:val="en-US"/>
                              </w:rPr>
                              <w:tab/>
                            </w:r>
                            <w:r>
                              <w:rPr>
                                <w:sz w:val="32"/>
                                <w:szCs w:val="32"/>
                                <w:lang w:val="en-US"/>
                              </w:rPr>
                              <w:t xml:space="preserve">□ </w:t>
                            </w:r>
                            <w:r>
                              <w:rPr>
                                <w:lang w:val="en-US"/>
                              </w:rPr>
                              <w:t>Yes</w:t>
                            </w:r>
                            <w:r>
                              <w:rPr>
                                <w:sz w:val="32"/>
                                <w:szCs w:val="32"/>
                                <w:lang w:val="en-US"/>
                              </w:rPr>
                              <w:tab/>
                              <w:t xml:space="preserve">□ </w:t>
                            </w:r>
                            <w:r>
                              <w:rPr>
                                <w:lang w:val="en-US"/>
                              </w:rPr>
                              <w:t>No</w:t>
                            </w:r>
                            <w:r>
                              <w:rPr>
                                <w:lang w:val="en-US"/>
                              </w:rPr>
                              <w:tab/>
                            </w:r>
                          </w:p>
                          <w:p w14:paraId="6A32CD69" w14:textId="77777777" w:rsidR="00DE3537" w:rsidRDefault="00DE3537" w:rsidP="00403B07">
                            <w:pPr>
                              <w:widowControl w:val="0"/>
                              <w:rPr>
                                <w:lang w:val="en-US"/>
                              </w:rPr>
                            </w:pPr>
                            <w:r>
                              <w:t>*</w:t>
                            </w:r>
                            <w:r>
                              <w:rPr>
                                <w:lang w:val="en-US"/>
                              </w:rPr>
                              <w:t>Choice of drinks</w:t>
                            </w:r>
                            <w:r>
                              <w:rPr>
                                <w:lang w:val="en-US"/>
                              </w:rPr>
                              <w:tab/>
                            </w:r>
                            <w:r>
                              <w:rPr>
                                <w:lang w:val="en-US"/>
                              </w:rPr>
                              <w:tab/>
                            </w:r>
                            <w:r>
                              <w:rPr>
                                <w:lang w:val="en-US"/>
                              </w:rPr>
                              <w:tab/>
                            </w:r>
                            <w:r>
                              <w:rPr>
                                <w:lang w:val="en-US"/>
                              </w:rPr>
                              <w:tab/>
                            </w:r>
                            <w:r>
                              <w:rPr>
                                <w:sz w:val="32"/>
                                <w:szCs w:val="32"/>
                                <w:lang w:val="en-US"/>
                              </w:rPr>
                              <w:t xml:space="preserve">□ </w:t>
                            </w:r>
                            <w:r>
                              <w:rPr>
                                <w:lang w:val="en-US"/>
                              </w:rPr>
                              <w:t>Yes</w:t>
                            </w:r>
                            <w:r>
                              <w:rPr>
                                <w:sz w:val="32"/>
                                <w:szCs w:val="32"/>
                                <w:lang w:val="en-US"/>
                              </w:rPr>
                              <w:tab/>
                              <w:t xml:space="preserve">□ </w:t>
                            </w:r>
                            <w:r>
                              <w:rPr>
                                <w:lang w:val="en-US"/>
                              </w:rPr>
                              <w:t>No</w:t>
                            </w:r>
                          </w:p>
                          <w:p w14:paraId="39FF3293" w14:textId="77777777" w:rsidR="00DE3537" w:rsidRDefault="00DE3537" w:rsidP="00403B07">
                            <w:pPr>
                              <w:widowControl w:val="0"/>
                              <w:rPr>
                                <w:lang w:val="en-US"/>
                              </w:rPr>
                            </w:pPr>
                            <w:r>
                              <w:t>*</w:t>
                            </w:r>
                            <w:r>
                              <w:rPr>
                                <w:lang w:val="en-US"/>
                              </w:rPr>
                              <w:t>Time spent doing screen based activities (e.g. computer, iPod, phone,    iPad, TV )</w:t>
                            </w:r>
                            <w:r>
                              <w:rPr>
                                <w:lang w:val="en-US"/>
                              </w:rPr>
                              <w:tab/>
                            </w:r>
                            <w:r>
                              <w:rPr>
                                <w:lang w:val="en-US"/>
                              </w:rPr>
                              <w:tab/>
                            </w:r>
                            <w:r>
                              <w:rPr>
                                <w:lang w:val="en-US"/>
                              </w:rPr>
                              <w:tab/>
                            </w:r>
                            <w:r>
                              <w:rPr>
                                <w:lang w:val="en-US"/>
                              </w:rPr>
                              <w:tab/>
                            </w:r>
                            <w:r>
                              <w:rPr>
                                <w:lang w:val="en-US"/>
                              </w:rPr>
                              <w:tab/>
                            </w:r>
                            <w:r>
                              <w:rPr>
                                <w:sz w:val="32"/>
                                <w:szCs w:val="32"/>
                                <w:lang w:val="en-US"/>
                              </w:rPr>
                              <w:t xml:space="preserve">□ </w:t>
                            </w:r>
                            <w:r>
                              <w:rPr>
                                <w:lang w:val="en-US"/>
                              </w:rPr>
                              <w:t>Yes</w:t>
                            </w:r>
                            <w:r>
                              <w:rPr>
                                <w:sz w:val="32"/>
                                <w:szCs w:val="32"/>
                                <w:lang w:val="en-US"/>
                              </w:rPr>
                              <w:tab/>
                              <w:t xml:space="preserve">□ </w:t>
                            </w:r>
                            <w:r>
                              <w:rPr>
                                <w:lang w:val="en-US"/>
                              </w:rPr>
                              <w:t>No</w:t>
                            </w:r>
                          </w:p>
                          <w:p w14:paraId="0E440DCB" w14:textId="77777777" w:rsidR="00DE3537" w:rsidRDefault="00DE3537" w:rsidP="00403B07">
                            <w:pPr>
                              <w:widowControl w:val="0"/>
                              <w:rPr>
                                <w:lang w:val="en-US"/>
                              </w:rPr>
                            </w:pPr>
                            <w:r>
                              <w:t>*</w:t>
                            </w:r>
                            <w:r>
                              <w:rPr>
                                <w:lang w:val="en-US"/>
                              </w:rPr>
                              <w:t>Time spent doing physical activity?</w:t>
                            </w:r>
                            <w:r>
                              <w:rPr>
                                <w:lang w:val="en-US"/>
                              </w:rPr>
                              <w:tab/>
                            </w:r>
                            <w:r>
                              <w:rPr>
                                <w:sz w:val="32"/>
                                <w:szCs w:val="32"/>
                                <w:lang w:val="en-US"/>
                              </w:rPr>
                              <w:t xml:space="preserve">□ </w:t>
                            </w:r>
                            <w:r>
                              <w:rPr>
                                <w:lang w:val="en-US"/>
                              </w:rPr>
                              <w:t>Yes</w:t>
                            </w:r>
                            <w:r>
                              <w:rPr>
                                <w:sz w:val="32"/>
                                <w:szCs w:val="32"/>
                                <w:lang w:val="en-US"/>
                              </w:rPr>
                              <w:tab/>
                              <w:t xml:space="preserve">□ </w:t>
                            </w:r>
                            <w:r>
                              <w:rPr>
                                <w:lang w:val="en-US"/>
                              </w:rPr>
                              <w:t>No</w:t>
                            </w:r>
                          </w:p>
                          <w:p w14:paraId="63D1D6CC" w14:textId="77777777" w:rsidR="00DE3537" w:rsidRDefault="00DE3537" w:rsidP="00403B07">
                            <w:pPr>
                              <w:widowControl w:val="0"/>
                              <w:rPr>
                                <w:lang w:val="en-US"/>
                              </w:rPr>
                            </w:pPr>
                            <w:r>
                              <w:t>*</w:t>
                            </w:r>
                            <w:r>
                              <w:rPr>
                                <w:lang w:val="en-US"/>
                              </w:rPr>
                              <w:t>Other (please specify below)</w:t>
                            </w:r>
                          </w:p>
                          <w:p w14:paraId="042A36D7" w14:textId="77777777" w:rsidR="00DE3537" w:rsidRDefault="00DE3537" w:rsidP="00403B07">
                            <w:pPr>
                              <w:widowControl w:val="0"/>
                              <w:rPr>
                                <w:rFonts w:ascii="Arial" w:hAnsi="Arial" w:cs="Arial"/>
                                <w:lang w:val="en-US"/>
                              </w:rPr>
                            </w:pPr>
                            <w:r>
                              <w:rPr>
                                <w:rFonts w:ascii="Arial" w:hAnsi="Arial" w:cs="Arial"/>
                                <w:lang w:val="en-US"/>
                              </w:rPr>
                              <w:t> </w:t>
                            </w:r>
                          </w:p>
                          <w:p w14:paraId="62868AB4" w14:textId="77777777" w:rsidR="00DE3537" w:rsidRDefault="00DE3537" w:rsidP="00403B07">
                            <w:pPr>
                              <w:rPr>
                                <w:rFonts w:ascii="Arial" w:hAnsi="Arial" w:cs="Arial"/>
                                <w:lang w:val="en-US"/>
                              </w:rPr>
                            </w:pPr>
                            <w:r>
                              <w:rPr>
                                <w:rFonts w:ascii="Arial" w:hAnsi="Arial" w:cs="Arial"/>
                                <w:lang w:val="en-US"/>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2F75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7" o:spid="_x0000_s1215" type="#_x0000_t176" style="position:absolute;margin-left:.15pt;margin-top:4.2pt;width:347.2pt;height:214.4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" fillcolor="#f3f3f3" strokecolor="#a6a6a6" strokeweight="2.5pt" insetpen="t">
                <v:shadow color="#868686"/>
                <v:textbox inset="2.88pt,2.88pt,2.88pt,2.88pt">
                  <w:txbxContent>
                    <w:p w14:paraId="72C8FCCA" w14:textId="77777777" w:rsidR="00DE3537" w:rsidRDefault="00DE3537" w:rsidP="00403B07">
                      <w:pPr>
                        <w:widowControl w:val="0"/>
                        <w:rPr>
                          <w:b/>
                          <w:bCs/>
                          <w:lang w:val="en-US"/>
                        </w:rPr>
                      </w:pPr>
                      <w:r>
                        <w:rPr>
                          <w:b/>
                          <w:bCs/>
                          <w:lang w:val="en-US"/>
                        </w:rPr>
                        <w:t>5. Did you notice any change in your child’s:</w:t>
                      </w:r>
                    </w:p>
                    <w:p w14:paraId="2396C5E6" w14:textId="77777777" w:rsidR="00DE3537" w:rsidRDefault="00DE3537" w:rsidP="00403B07">
                      <w:pPr>
                        <w:widowControl w:val="0"/>
                        <w:rPr>
                          <w:lang w:val="en-US"/>
                        </w:rPr>
                      </w:pPr>
                      <w:r>
                        <w:rPr>
                          <w:lang w:val="en-US"/>
                        </w:rPr>
                        <w:t>*Choice of snacks</w:t>
                      </w:r>
                      <w:r>
                        <w:rPr>
                          <w:lang w:val="en-US"/>
                        </w:rPr>
                        <w:tab/>
                      </w:r>
                      <w:r>
                        <w:rPr>
                          <w:lang w:val="en-US"/>
                        </w:rPr>
                        <w:tab/>
                      </w:r>
                      <w:r>
                        <w:rPr>
                          <w:lang w:val="en-US"/>
                        </w:rPr>
                        <w:tab/>
                      </w:r>
                      <w:r>
                        <w:rPr>
                          <w:lang w:val="en-US"/>
                        </w:rPr>
                        <w:tab/>
                      </w:r>
                      <w:r>
                        <w:rPr>
                          <w:sz w:val="32"/>
                          <w:szCs w:val="32"/>
                          <w:lang w:val="en-US"/>
                        </w:rPr>
                        <w:t xml:space="preserve">□ </w:t>
                      </w:r>
                      <w:r>
                        <w:rPr>
                          <w:lang w:val="en-US"/>
                        </w:rPr>
                        <w:t>Yes</w:t>
                      </w:r>
                      <w:r>
                        <w:rPr>
                          <w:sz w:val="32"/>
                          <w:szCs w:val="32"/>
                          <w:lang w:val="en-US"/>
                        </w:rPr>
                        <w:tab/>
                        <w:t xml:space="preserve">□ </w:t>
                      </w:r>
                      <w:r>
                        <w:rPr>
                          <w:lang w:val="en-US"/>
                        </w:rPr>
                        <w:t>No</w:t>
                      </w:r>
                      <w:r>
                        <w:rPr>
                          <w:lang w:val="en-US"/>
                        </w:rPr>
                        <w:tab/>
                      </w:r>
                    </w:p>
                    <w:p w14:paraId="6A32CD69" w14:textId="77777777" w:rsidR="00DE3537" w:rsidRDefault="00DE3537" w:rsidP="00403B07">
                      <w:pPr>
                        <w:widowControl w:val="0"/>
                        <w:rPr>
                          <w:lang w:val="en-US"/>
                        </w:rPr>
                      </w:pPr>
                      <w:r>
                        <w:t>*</w:t>
                      </w:r>
                      <w:r>
                        <w:rPr>
                          <w:lang w:val="en-US"/>
                        </w:rPr>
                        <w:t>Choice of drinks</w:t>
                      </w:r>
                      <w:r>
                        <w:rPr>
                          <w:lang w:val="en-US"/>
                        </w:rPr>
                        <w:tab/>
                      </w:r>
                      <w:r>
                        <w:rPr>
                          <w:lang w:val="en-US"/>
                        </w:rPr>
                        <w:tab/>
                      </w:r>
                      <w:r>
                        <w:rPr>
                          <w:lang w:val="en-US"/>
                        </w:rPr>
                        <w:tab/>
                      </w:r>
                      <w:r>
                        <w:rPr>
                          <w:lang w:val="en-US"/>
                        </w:rPr>
                        <w:tab/>
                      </w:r>
                      <w:r>
                        <w:rPr>
                          <w:sz w:val="32"/>
                          <w:szCs w:val="32"/>
                          <w:lang w:val="en-US"/>
                        </w:rPr>
                        <w:t xml:space="preserve">□ </w:t>
                      </w:r>
                      <w:r>
                        <w:rPr>
                          <w:lang w:val="en-US"/>
                        </w:rPr>
                        <w:t>Yes</w:t>
                      </w:r>
                      <w:r>
                        <w:rPr>
                          <w:sz w:val="32"/>
                          <w:szCs w:val="32"/>
                          <w:lang w:val="en-US"/>
                        </w:rPr>
                        <w:tab/>
                        <w:t xml:space="preserve">□ </w:t>
                      </w:r>
                      <w:r>
                        <w:rPr>
                          <w:lang w:val="en-US"/>
                        </w:rPr>
                        <w:t>No</w:t>
                      </w:r>
                    </w:p>
                    <w:p w14:paraId="39FF3293" w14:textId="77777777" w:rsidR="00DE3537" w:rsidRDefault="00DE3537" w:rsidP="00403B07">
                      <w:pPr>
                        <w:widowControl w:val="0"/>
                        <w:rPr>
                          <w:lang w:val="en-US"/>
                        </w:rPr>
                      </w:pPr>
                      <w:r>
                        <w:t>*</w:t>
                      </w:r>
                      <w:r>
                        <w:rPr>
                          <w:lang w:val="en-US"/>
                        </w:rPr>
                        <w:t>Time spent doing screen based activities (e.g. computer, iPod, phone,    iPad, TV )</w:t>
                      </w:r>
                      <w:r>
                        <w:rPr>
                          <w:lang w:val="en-US"/>
                        </w:rPr>
                        <w:tab/>
                      </w:r>
                      <w:r>
                        <w:rPr>
                          <w:lang w:val="en-US"/>
                        </w:rPr>
                        <w:tab/>
                      </w:r>
                      <w:r>
                        <w:rPr>
                          <w:lang w:val="en-US"/>
                        </w:rPr>
                        <w:tab/>
                      </w:r>
                      <w:r>
                        <w:rPr>
                          <w:lang w:val="en-US"/>
                        </w:rPr>
                        <w:tab/>
                      </w:r>
                      <w:r>
                        <w:rPr>
                          <w:lang w:val="en-US"/>
                        </w:rPr>
                        <w:tab/>
                      </w:r>
                      <w:r>
                        <w:rPr>
                          <w:sz w:val="32"/>
                          <w:szCs w:val="32"/>
                          <w:lang w:val="en-US"/>
                        </w:rPr>
                        <w:t xml:space="preserve">□ </w:t>
                      </w:r>
                      <w:r>
                        <w:rPr>
                          <w:lang w:val="en-US"/>
                        </w:rPr>
                        <w:t>Yes</w:t>
                      </w:r>
                      <w:r>
                        <w:rPr>
                          <w:sz w:val="32"/>
                          <w:szCs w:val="32"/>
                          <w:lang w:val="en-US"/>
                        </w:rPr>
                        <w:tab/>
                        <w:t xml:space="preserve">□ </w:t>
                      </w:r>
                      <w:r>
                        <w:rPr>
                          <w:lang w:val="en-US"/>
                        </w:rPr>
                        <w:t>No</w:t>
                      </w:r>
                    </w:p>
                    <w:p w14:paraId="0E440DCB" w14:textId="77777777" w:rsidR="00DE3537" w:rsidRDefault="00DE3537" w:rsidP="00403B07">
                      <w:pPr>
                        <w:widowControl w:val="0"/>
                        <w:rPr>
                          <w:lang w:val="en-US"/>
                        </w:rPr>
                      </w:pPr>
                      <w:r>
                        <w:t>*</w:t>
                      </w:r>
                      <w:r>
                        <w:rPr>
                          <w:lang w:val="en-US"/>
                        </w:rPr>
                        <w:t>Time spent doing physical activity?</w:t>
                      </w:r>
                      <w:r>
                        <w:rPr>
                          <w:lang w:val="en-US"/>
                        </w:rPr>
                        <w:tab/>
                      </w:r>
                      <w:r>
                        <w:rPr>
                          <w:sz w:val="32"/>
                          <w:szCs w:val="32"/>
                          <w:lang w:val="en-US"/>
                        </w:rPr>
                        <w:t xml:space="preserve">□ </w:t>
                      </w:r>
                      <w:r>
                        <w:rPr>
                          <w:lang w:val="en-US"/>
                        </w:rPr>
                        <w:t>Yes</w:t>
                      </w:r>
                      <w:r>
                        <w:rPr>
                          <w:sz w:val="32"/>
                          <w:szCs w:val="32"/>
                          <w:lang w:val="en-US"/>
                        </w:rPr>
                        <w:tab/>
                        <w:t xml:space="preserve">□ </w:t>
                      </w:r>
                      <w:r>
                        <w:rPr>
                          <w:lang w:val="en-US"/>
                        </w:rPr>
                        <w:t>No</w:t>
                      </w:r>
                    </w:p>
                    <w:p w14:paraId="63D1D6CC" w14:textId="77777777" w:rsidR="00DE3537" w:rsidRDefault="00DE3537" w:rsidP="00403B07">
                      <w:pPr>
                        <w:widowControl w:val="0"/>
                        <w:rPr>
                          <w:lang w:val="en-US"/>
                        </w:rPr>
                      </w:pPr>
                      <w:r>
                        <w:t>*</w:t>
                      </w:r>
                      <w:r>
                        <w:rPr>
                          <w:lang w:val="en-US"/>
                        </w:rPr>
                        <w:t>Other (please specify below)</w:t>
                      </w:r>
                    </w:p>
                    <w:p w14:paraId="042A36D7" w14:textId="77777777" w:rsidR="00DE3537" w:rsidRDefault="00DE3537" w:rsidP="00403B07">
                      <w:pPr>
                        <w:widowControl w:val="0"/>
                        <w:rPr>
                          <w:rFonts w:ascii="Arial" w:hAnsi="Arial" w:cs="Arial"/>
                          <w:lang w:val="en-US"/>
                        </w:rPr>
                      </w:pPr>
                      <w:r>
                        <w:rPr>
                          <w:rFonts w:ascii="Arial" w:hAnsi="Arial" w:cs="Arial"/>
                          <w:lang w:val="en-US"/>
                        </w:rPr>
                        <w:t> </w:t>
                      </w:r>
                    </w:p>
                    <w:p w14:paraId="62868AB4" w14:textId="77777777" w:rsidR="00DE3537" w:rsidRDefault="00DE3537" w:rsidP="00403B07">
                      <w:pPr>
                        <w:rPr>
                          <w:rFonts w:ascii="Arial" w:hAnsi="Arial" w:cs="Arial"/>
                          <w:lang w:val="en-US"/>
                        </w:rPr>
                      </w:pPr>
                      <w:r>
                        <w:rPr>
                          <w:rFonts w:ascii="Arial" w:hAnsi="Arial" w:cs="Arial"/>
                          <w:lang w:val="en-US"/>
                        </w:rPr>
                        <w:t> </w:t>
                      </w:r>
                    </w:p>
                  </w:txbxContent>
                </v:textbox>
              </v:shape>
            </w:pict>
          </mc:Fallback>
        </mc:AlternateContent>
      </w:r>
      <w:r w:rsidRPr="00391FD3">
        <w:rPr>
          <w:rFonts w:ascii="Times New Roman" w:eastAsia="Times New Roman" w:hAnsi="Times New Roman" w:cs="Times New Roman"/>
          <w:noProof/>
          <w:sz w:val="24"/>
          <w:szCs w:val="24"/>
          <w:lang w:eastAsia="zh-CN"/>
        </w:rPr>
        <mc:AlternateContent>
          <mc:Choice Requires="wps">
            <w:drawing>
              <wp:anchor distT="36576" distB="36576" distL="36576" distR="36576" simplePos="0" relativeHeight="251665408" behindDoc="0" locked="0" layoutInCell="1" allowOverlap="1" wp14:anchorId="77752AA7" wp14:editId="64F23097">
                <wp:simplePos x="0" y="0"/>
                <wp:positionH relativeFrom="column">
                  <wp:posOffset>6350</wp:posOffset>
                </wp:positionH>
                <wp:positionV relativeFrom="paragraph">
                  <wp:posOffset>2844165</wp:posOffset>
                </wp:positionV>
                <wp:extent cx="4409440" cy="1737360"/>
                <wp:effectExtent l="16510" t="15240" r="12700" b="19050"/>
                <wp:wrapNone/>
                <wp:docPr id="69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9440" cy="1737360"/>
                        </a:xfrm>
                        <a:prstGeom prst="flowChartAlternateProcess">
                          <a:avLst/>
                        </a:prstGeom>
                        <a:solidFill>
                          <a:srgbClr val="F3F3F3"/>
                        </a:solidFill>
                        <a:ln w="31750" algn="in">
                          <a:solidFill>
                            <a:srgbClr val="A6A6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A54C83A" w14:textId="77777777" w:rsidR="00DE3537" w:rsidRDefault="00DE3537" w:rsidP="00403B07">
                            <w:pPr>
                              <w:rPr>
                                <w:b/>
                                <w:bCs/>
                                <w:lang w:val="en-US"/>
                              </w:rPr>
                            </w:pPr>
                            <w:r>
                              <w:rPr>
                                <w:b/>
                                <w:bCs/>
                                <w:lang w:val="en-US"/>
                              </w:rPr>
                              <w:t>6. If you have said yes to any of the above, please could you write a little about the changes you noticed below:</w:t>
                            </w:r>
                          </w:p>
                          <w:p w14:paraId="7192068D" w14:textId="77777777" w:rsidR="00DE3537" w:rsidRDefault="00DE3537" w:rsidP="00403B07">
                            <w:pPr>
                              <w:widowControl w:val="0"/>
                              <w:rPr>
                                <w:rFonts w:ascii="Arial" w:hAnsi="Arial" w:cs="Arial"/>
                                <w:lang w:val="en-US"/>
                              </w:rPr>
                            </w:pPr>
                            <w:r>
                              <w:rPr>
                                <w:rFonts w:ascii="Arial" w:hAnsi="Arial" w:cs="Arial"/>
                                <w:lang w:val="en-US"/>
                              </w:rPr>
                              <w:t> </w:t>
                            </w:r>
                          </w:p>
                          <w:p w14:paraId="0A1232E2" w14:textId="77777777" w:rsidR="00DE3537" w:rsidRDefault="00DE3537" w:rsidP="00403B07">
                            <w:pPr>
                              <w:rPr>
                                <w:rFonts w:ascii="Arial" w:hAnsi="Arial" w:cs="Arial"/>
                                <w:lang w:val="en-US"/>
                              </w:rPr>
                            </w:pPr>
                            <w:r>
                              <w:rPr>
                                <w:rFonts w:ascii="Arial" w:hAnsi="Arial" w:cs="Arial"/>
                                <w:lang w:val="en-US"/>
                              </w:rPr>
                              <w:t> </w:t>
                            </w:r>
                          </w:p>
                          <w:p w14:paraId="7736ABB1" w14:textId="77777777" w:rsidR="00DE3537" w:rsidRDefault="00DE3537" w:rsidP="00403B07">
                            <w:pPr>
                              <w:rPr>
                                <w:rFonts w:ascii="Arial" w:hAnsi="Arial" w:cs="Arial"/>
                                <w:lang w:val="en-US"/>
                              </w:rPr>
                            </w:pPr>
                            <w:r>
                              <w:rPr>
                                <w:rFonts w:ascii="Arial" w:hAnsi="Arial" w:cs="Arial"/>
                                <w:lang w:val="en-US"/>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52AA7" id="AutoShape 8" o:spid="_x0000_s1216" type="#_x0000_t176" style="position:absolute;margin-left:.5pt;margin-top:223.95pt;width:347.2pt;height:136.8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" fillcolor="#f3f3f3" strokecolor="#a6a6a6" strokeweight="2.5pt" insetpen="t">
                <v:shadow color="#868686"/>
                <v:textbox inset="2.88pt,2.88pt,2.88pt,2.88pt">
                  <w:txbxContent>
                    <w:p w14:paraId="0A54C83A" w14:textId="77777777" w:rsidR="00DE3537" w:rsidRDefault="00DE3537" w:rsidP="00403B07">
                      <w:pPr>
                        <w:rPr>
                          <w:b/>
                          <w:bCs/>
                          <w:lang w:val="en-US"/>
                        </w:rPr>
                      </w:pPr>
                      <w:r>
                        <w:rPr>
                          <w:b/>
                          <w:bCs/>
                          <w:lang w:val="en-US"/>
                        </w:rPr>
                        <w:t>6. If you have said yes to any of the above, please could you write a little about the changes you noticed below:</w:t>
                      </w:r>
                    </w:p>
                    <w:p w14:paraId="7192068D" w14:textId="77777777" w:rsidR="00DE3537" w:rsidRDefault="00DE3537" w:rsidP="00403B07">
                      <w:pPr>
                        <w:widowControl w:val="0"/>
                        <w:rPr>
                          <w:rFonts w:ascii="Arial" w:hAnsi="Arial" w:cs="Arial"/>
                          <w:lang w:val="en-US"/>
                        </w:rPr>
                      </w:pPr>
                      <w:r>
                        <w:rPr>
                          <w:rFonts w:ascii="Arial" w:hAnsi="Arial" w:cs="Arial"/>
                          <w:lang w:val="en-US"/>
                        </w:rPr>
                        <w:t> </w:t>
                      </w:r>
                    </w:p>
                    <w:p w14:paraId="0A1232E2" w14:textId="77777777" w:rsidR="00DE3537" w:rsidRDefault="00DE3537" w:rsidP="00403B07">
                      <w:pPr>
                        <w:rPr>
                          <w:rFonts w:ascii="Arial" w:hAnsi="Arial" w:cs="Arial"/>
                          <w:lang w:val="en-US"/>
                        </w:rPr>
                      </w:pPr>
                      <w:r>
                        <w:rPr>
                          <w:rFonts w:ascii="Arial" w:hAnsi="Arial" w:cs="Arial"/>
                          <w:lang w:val="en-US"/>
                        </w:rPr>
                        <w:t> </w:t>
                      </w:r>
                    </w:p>
                    <w:p w14:paraId="7736ABB1" w14:textId="77777777" w:rsidR="00DE3537" w:rsidRDefault="00DE3537" w:rsidP="00403B07">
                      <w:pPr>
                        <w:rPr>
                          <w:rFonts w:ascii="Arial" w:hAnsi="Arial" w:cs="Arial"/>
                          <w:lang w:val="en-US"/>
                        </w:rPr>
                      </w:pPr>
                      <w:r>
                        <w:rPr>
                          <w:rFonts w:ascii="Arial" w:hAnsi="Arial" w:cs="Arial"/>
                          <w:lang w:val="en-US"/>
                        </w:rPr>
                        <w:t> </w:t>
                      </w:r>
                    </w:p>
                  </w:txbxContent>
                </v:textbox>
              </v:shape>
            </w:pict>
          </mc:Fallback>
        </mc:AlternateContent>
      </w:r>
      <w:r w:rsidRPr="00391FD3">
        <w:rPr>
          <w:rFonts w:ascii="Times New Roman" w:eastAsia="Times New Roman" w:hAnsi="Times New Roman" w:cs="Times New Roman"/>
          <w:noProof/>
          <w:sz w:val="24"/>
          <w:szCs w:val="24"/>
          <w:lang w:eastAsia="zh-CN"/>
        </w:rPr>
        <mc:AlternateContent>
          <mc:Choice Requires="wps">
            <w:drawing>
              <wp:anchor distT="36576" distB="36576" distL="36576" distR="36576" simplePos="0" relativeHeight="251669504" behindDoc="0" locked="0" layoutInCell="1" allowOverlap="1" wp14:anchorId="3A3F0EA9" wp14:editId="20224243">
                <wp:simplePos x="0" y="0"/>
                <wp:positionH relativeFrom="column">
                  <wp:posOffset>0</wp:posOffset>
                </wp:positionH>
                <wp:positionV relativeFrom="paragraph">
                  <wp:posOffset>4667250</wp:posOffset>
                </wp:positionV>
                <wp:extent cx="2174240" cy="2021840"/>
                <wp:effectExtent l="19685" t="17145" r="15875" b="18415"/>
                <wp:wrapNone/>
                <wp:docPr id="69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4240" cy="2021840"/>
                        </a:xfrm>
                        <a:prstGeom prst="flowChartAlternateProcess">
                          <a:avLst/>
                        </a:prstGeom>
                        <a:solidFill>
                          <a:srgbClr val="F3F3F3"/>
                        </a:solidFill>
                        <a:ln w="31750" algn="in">
                          <a:solidFill>
                            <a:srgbClr val="A6A6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D666768" w14:textId="77777777" w:rsidR="00DE3537" w:rsidRDefault="00DE3537" w:rsidP="00403B07">
                            <w:pPr>
                              <w:widowControl w:val="0"/>
                              <w:rPr>
                                <w:b/>
                                <w:bCs/>
                                <w:lang w:val="en-US"/>
                              </w:rPr>
                            </w:pPr>
                            <w:r>
                              <w:rPr>
                                <w:b/>
                                <w:bCs/>
                                <w:lang w:val="en-US"/>
                              </w:rPr>
                              <w:t>7. If your child made some changes, have they managed to stick to any of them?</w:t>
                            </w:r>
                          </w:p>
                          <w:p w14:paraId="3C99DA3F" w14:textId="77777777" w:rsidR="00DE3537" w:rsidRDefault="00DE3537" w:rsidP="00403B07">
                            <w:pPr>
                              <w:rPr>
                                <w:lang w:val="en-US"/>
                              </w:rPr>
                            </w:pPr>
                            <w:r>
                              <w:rPr>
                                <w:sz w:val="32"/>
                                <w:szCs w:val="32"/>
                                <w:lang w:val="en-US"/>
                              </w:rPr>
                              <w:t>□</w:t>
                            </w:r>
                            <w:r>
                              <w:rPr>
                                <w:sz w:val="32"/>
                                <w:szCs w:val="32"/>
                                <w:lang w:val="en-US"/>
                              </w:rPr>
                              <w:tab/>
                            </w:r>
                            <w:r>
                              <w:rPr>
                                <w:lang w:val="en-US"/>
                              </w:rPr>
                              <w:t>Yes</w:t>
                            </w:r>
                            <w:r>
                              <w:rPr>
                                <w:sz w:val="32"/>
                                <w:szCs w:val="32"/>
                                <w:lang w:val="en-US"/>
                              </w:rPr>
                              <w:br/>
                              <w:t>□</w:t>
                            </w:r>
                            <w:r>
                              <w:rPr>
                                <w:sz w:val="32"/>
                                <w:szCs w:val="32"/>
                                <w:lang w:val="en-US"/>
                              </w:rPr>
                              <w:tab/>
                            </w:r>
                            <w:r>
                              <w:rPr>
                                <w:lang w:val="en-US"/>
                              </w:rPr>
                              <w:t>No</w:t>
                            </w:r>
                            <w:r>
                              <w:rPr>
                                <w:sz w:val="32"/>
                                <w:szCs w:val="32"/>
                                <w:lang w:val="en-US"/>
                              </w:rPr>
                              <w:br/>
                              <w:t>□</w:t>
                            </w:r>
                            <w:r>
                              <w:rPr>
                                <w:sz w:val="32"/>
                                <w:szCs w:val="32"/>
                                <w:lang w:val="en-US"/>
                              </w:rPr>
                              <w:tab/>
                            </w:r>
                            <w:r>
                              <w:rPr>
                                <w:lang w:val="en-US"/>
                              </w:rPr>
                              <w:t>Unsure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F0EA9" id="AutoShape 9" o:spid="_x0000_s1217" type="#_x0000_t176" style="position:absolute;margin-left:0;margin-top:367.5pt;width:171.2pt;height:159.2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" fillcolor="#f3f3f3" strokecolor="#a6a6a6" strokeweight="2.5pt" insetpen="t">
                <v:shadow color="#868686"/>
                <v:textbox inset="2.88pt,2.88pt,2.88pt,2.88pt">
                  <w:txbxContent>
                    <w:p w14:paraId="5D666768" w14:textId="77777777" w:rsidR="00DE3537" w:rsidRDefault="00DE3537" w:rsidP="00403B07">
                      <w:pPr>
                        <w:widowControl w:val="0"/>
                        <w:rPr>
                          <w:b/>
                          <w:bCs/>
                          <w:lang w:val="en-US"/>
                        </w:rPr>
                      </w:pPr>
                      <w:r>
                        <w:rPr>
                          <w:b/>
                          <w:bCs/>
                          <w:lang w:val="en-US"/>
                        </w:rPr>
                        <w:t>7. If your child made some changes, have they managed to stick to any of them?</w:t>
                      </w:r>
                    </w:p>
                    <w:p w14:paraId="3C99DA3F" w14:textId="77777777" w:rsidR="00DE3537" w:rsidRDefault="00DE3537" w:rsidP="00403B07">
                      <w:pPr>
                        <w:rPr>
                          <w:lang w:val="en-US"/>
                        </w:rPr>
                      </w:pPr>
                      <w:r>
                        <w:rPr>
                          <w:sz w:val="32"/>
                          <w:szCs w:val="32"/>
                          <w:lang w:val="en-US"/>
                        </w:rPr>
                        <w:t>□</w:t>
                      </w:r>
                      <w:r>
                        <w:rPr>
                          <w:sz w:val="32"/>
                          <w:szCs w:val="32"/>
                          <w:lang w:val="en-US"/>
                        </w:rPr>
                        <w:tab/>
                      </w:r>
                      <w:r>
                        <w:rPr>
                          <w:lang w:val="en-US"/>
                        </w:rPr>
                        <w:t>Yes</w:t>
                      </w:r>
                      <w:r>
                        <w:rPr>
                          <w:sz w:val="32"/>
                          <w:szCs w:val="32"/>
                          <w:lang w:val="en-US"/>
                        </w:rPr>
                        <w:br/>
                        <w:t>□</w:t>
                      </w:r>
                      <w:r>
                        <w:rPr>
                          <w:sz w:val="32"/>
                          <w:szCs w:val="32"/>
                          <w:lang w:val="en-US"/>
                        </w:rPr>
                        <w:tab/>
                      </w:r>
                      <w:r>
                        <w:rPr>
                          <w:lang w:val="en-US"/>
                        </w:rPr>
                        <w:t>No</w:t>
                      </w:r>
                      <w:r>
                        <w:rPr>
                          <w:sz w:val="32"/>
                          <w:szCs w:val="32"/>
                          <w:lang w:val="en-US"/>
                        </w:rPr>
                        <w:br/>
                        <w:t>□</w:t>
                      </w:r>
                      <w:r>
                        <w:rPr>
                          <w:sz w:val="32"/>
                          <w:szCs w:val="32"/>
                          <w:lang w:val="en-US"/>
                        </w:rPr>
                        <w:tab/>
                      </w:r>
                      <w:r>
                        <w:rPr>
                          <w:lang w:val="en-US"/>
                        </w:rPr>
                        <w:t>Unsure</w:t>
                      </w:r>
                    </w:p>
                  </w:txbxContent>
                </v:textbox>
              </v:shape>
            </w:pict>
          </mc:Fallback>
        </mc:AlternateContent>
      </w:r>
      <w:r w:rsidRPr="00391FD3">
        <w:rPr>
          <w:rFonts w:ascii="Times New Roman" w:eastAsia="Times New Roman" w:hAnsi="Times New Roman" w:cs="Times New Roman"/>
          <w:noProof/>
          <w:sz w:val="24"/>
          <w:szCs w:val="24"/>
          <w:lang w:eastAsia="zh-CN"/>
        </w:rPr>
        <mc:AlternateContent>
          <mc:Choice Requires="wps">
            <w:drawing>
              <wp:anchor distT="36576" distB="36576" distL="36576" distR="36576" simplePos="0" relativeHeight="251673600" behindDoc="0" locked="0" layoutInCell="1" allowOverlap="1" wp14:anchorId="5D54C826" wp14:editId="188F4268">
                <wp:simplePos x="0" y="0"/>
                <wp:positionH relativeFrom="column">
                  <wp:posOffset>2240915</wp:posOffset>
                </wp:positionH>
                <wp:positionV relativeFrom="paragraph">
                  <wp:posOffset>4665345</wp:posOffset>
                </wp:positionV>
                <wp:extent cx="2174240" cy="2021840"/>
                <wp:effectExtent l="12700" t="11430" r="13335" b="14605"/>
                <wp:wrapNone/>
                <wp:docPr id="69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4240" cy="2021840"/>
                        </a:xfrm>
                        <a:prstGeom prst="flowChartAlternateProcess">
                          <a:avLst/>
                        </a:prstGeom>
                        <a:solidFill>
                          <a:srgbClr val="F3F3F3"/>
                        </a:solidFill>
                        <a:ln w="31750" algn="in">
                          <a:solidFill>
                            <a:srgbClr val="A6A6A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1498543" w14:textId="77777777" w:rsidR="00DE3537" w:rsidRDefault="00DE3537" w:rsidP="00403B07">
                            <w:pPr>
                              <w:widowControl w:val="0"/>
                              <w:rPr>
                                <w:b/>
                                <w:bCs/>
                                <w:lang w:val="en-US"/>
                              </w:rPr>
                            </w:pPr>
                            <w:r>
                              <w:rPr>
                                <w:b/>
                                <w:bCs/>
                                <w:lang w:val="en-US"/>
                              </w:rPr>
                              <w:t xml:space="preserve">8. Have you or the rest of your family made any changes </w:t>
                            </w:r>
                            <w:r>
                              <w:rPr>
                                <w:b/>
                                <w:bCs/>
                                <w:lang w:val="en-US"/>
                              </w:rPr>
                              <w:br/>
                              <w:t>because of your child taking part in HeLP?</w:t>
                            </w:r>
                          </w:p>
                          <w:p w14:paraId="4C8A27B1" w14:textId="77777777" w:rsidR="00DE3537" w:rsidRDefault="00DE3537" w:rsidP="00403B07">
                            <w:pPr>
                              <w:rPr>
                                <w:lang w:val="en-US"/>
                              </w:rPr>
                            </w:pPr>
                            <w:r>
                              <w:rPr>
                                <w:sz w:val="32"/>
                                <w:szCs w:val="32"/>
                                <w:lang w:val="en-US"/>
                              </w:rPr>
                              <w:t>□</w:t>
                            </w:r>
                            <w:r>
                              <w:rPr>
                                <w:sz w:val="32"/>
                                <w:szCs w:val="32"/>
                                <w:lang w:val="en-US"/>
                              </w:rPr>
                              <w:tab/>
                            </w:r>
                            <w:r>
                              <w:rPr>
                                <w:lang w:val="en-US"/>
                              </w:rPr>
                              <w:t>No changes</w:t>
                            </w:r>
                            <w:r>
                              <w:rPr>
                                <w:sz w:val="32"/>
                                <w:szCs w:val="32"/>
                                <w:lang w:val="en-US"/>
                              </w:rPr>
                              <w:br/>
                              <w:t>□</w:t>
                            </w:r>
                            <w:r>
                              <w:rPr>
                                <w:sz w:val="32"/>
                                <w:szCs w:val="32"/>
                                <w:lang w:val="en-US"/>
                              </w:rPr>
                              <w:tab/>
                            </w:r>
                            <w:r>
                              <w:rPr>
                                <w:lang w:val="en-US"/>
                              </w:rPr>
                              <w:t>A few</w:t>
                            </w:r>
                            <w:r>
                              <w:rPr>
                                <w:sz w:val="32"/>
                                <w:szCs w:val="32"/>
                                <w:lang w:val="en-US"/>
                              </w:rPr>
                              <w:br/>
                              <w:t>□</w:t>
                            </w:r>
                            <w:r>
                              <w:rPr>
                                <w:sz w:val="32"/>
                                <w:szCs w:val="32"/>
                                <w:lang w:val="en-US"/>
                              </w:rPr>
                              <w:tab/>
                            </w:r>
                            <w:r>
                              <w:rPr>
                                <w:lang w:val="en-US"/>
                              </w:rPr>
                              <w:t>Lots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4C826" id="AutoShape 10" o:spid="_x0000_s1218" type="#_x0000_t176" style="position:absolute;margin-left:176.45pt;margin-top:367.35pt;width:171.2pt;height:159.2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" fillcolor="#f3f3f3" strokecolor="#a6a6a6" strokeweight="2.5pt" insetpen="t">
                <v:shadow color="#868686"/>
                <v:textbox inset="2.88pt,2.88pt,2.88pt,2.88pt">
                  <w:txbxContent>
                    <w:p w14:paraId="11498543" w14:textId="77777777" w:rsidR="00DE3537" w:rsidRDefault="00DE3537" w:rsidP="00403B07">
                      <w:pPr>
                        <w:widowControl w:val="0"/>
                        <w:rPr>
                          <w:b/>
                          <w:bCs/>
                          <w:lang w:val="en-US"/>
                        </w:rPr>
                      </w:pPr>
                      <w:r>
                        <w:rPr>
                          <w:b/>
                          <w:bCs/>
                          <w:lang w:val="en-US"/>
                        </w:rPr>
                        <w:t xml:space="preserve">8. Have you or the rest of your family made any changes </w:t>
                      </w:r>
                      <w:r>
                        <w:rPr>
                          <w:b/>
                          <w:bCs/>
                          <w:lang w:val="en-US"/>
                        </w:rPr>
                        <w:br/>
                        <w:t>because of your child taking part in HeLP?</w:t>
                      </w:r>
                    </w:p>
                    <w:p w14:paraId="4C8A27B1" w14:textId="77777777" w:rsidR="00DE3537" w:rsidRDefault="00DE3537" w:rsidP="00403B07">
                      <w:pPr>
                        <w:rPr>
                          <w:lang w:val="en-US"/>
                        </w:rPr>
                      </w:pPr>
                      <w:r>
                        <w:rPr>
                          <w:sz w:val="32"/>
                          <w:szCs w:val="32"/>
                          <w:lang w:val="en-US"/>
                        </w:rPr>
                        <w:t>□</w:t>
                      </w:r>
                      <w:r>
                        <w:rPr>
                          <w:sz w:val="32"/>
                          <w:szCs w:val="32"/>
                          <w:lang w:val="en-US"/>
                        </w:rPr>
                        <w:tab/>
                      </w:r>
                      <w:r>
                        <w:rPr>
                          <w:lang w:val="en-US"/>
                        </w:rPr>
                        <w:t>No changes</w:t>
                      </w:r>
                      <w:r>
                        <w:rPr>
                          <w:sz w:val="32"/>
                          <w:szCs w:val="32"/>
                          <w:lang w:val="en-US"/>
                        </w:rPr>
                        <w:br/>
                        <w:t>□</w:t>
                      </w:r>
                      <w:r>
                        <w:rPr>
                          <w:sz w:val="32"/>
                          <w:szCs w:val="32"/>
                          <w:lang w:val="en-US"/>
                        </w:rPr>
                        <w:tab/>
                      </w:r>
                      <w:r>
                        <w:rPr>
                          <w:lang w:val="en-US"/>
                        </w:rPr>
                        <w:t>A few</w:t>
                      </w:r>
                      <w:r>
                        <w:rPr>
                          <w:sz w:val="32"/>
                          <w:szCs w:val="32"/>
                          <w:lang w:val="en-US"/>
                        </w:rPr>
                        <w:br/>
                        <w:t>□</w:t>
                      </w:r>
                      <w:r>
                        <w:rPr>
                          <w:sz w:val="32"/>
                          <w:szCs w:val="32"/>
                          <w:lang w:val="en-US"/>
                        </w:rPr>
                        <w:tab/>
                      </w:r>
                      <w:r>
                        <w:rPr>
                          <w:lang w:val="en-US"/>
                        </w:rPr>
                        <w:t>Lots</w:t>
                      </w:r>
                    </w:p>
                  </w:txbxContent>
                </v:textbox>
              </v:shape>
            </w:pict>
          </mc:Fallback>
        </mc:AlternateContent>
      </w:r>
      <w:r>
        <w:br w:type="page"/>
      </w:r>
    </w:p>
    <w:p w14:paraId="3A75BD8F" w14:textId="5FD0277B" w:rsidR="00403B07" w:rsidRPr="009B27CD" w:rsidRDefault="00403B07" w:rsidP="00403B07">
      <w:pPr>
        <w:rPr>
          <w:rFonts w:cs="Arial"/>
          <w:b/>
          <w:i/>
        </w:rPr>
      </w:pPr>
      <w:r w:rsidRPr="009B27CD">
        <w:rPr>
          <w:rFonts w:cs="Arial"/>
          <w:b/>
          <w:i/>
        </w:rPr>
        <w:lastRenderedPageBreak/>
        <w:t>Appendix 1</w:t>
      </w:r>
      <w:r w:rsidR="00A60D1B">
        <w:rPr>
          <w:rFonts w:cs="Arial"/>
          <w:b/>
          <w:i/>
        </w:rPr>
        <w:t>0</w:t>
      </w:r>
      <w:r w:rsidRPr="009B27CD">
        <w:rPr>
          <w:rFonts w:cs="Arial"/>
          <w:b/>
          <w:i/>
        </w:rPr>
        <w:t xml:space="preserve"> Parent Questionnaire (continued)</w:t>
      </w:r>
    </w:p>
    <w:p w14:paraId="51F5E6E6" w14:textId="77777777" w:rsidR="00403B07" w:rsidRDefault="00403B07" w:rsidP="00403B07"/>
    <w:p w14:paraId="61A7D820" w14:textId="77777777" w:rsidR="00403B07" w:rsidRDefault="00403B07" w:rsidP="00403B07">
      <w:r>
        <w:rPr>
          <w:noProof/>
          <w:lang w:eastAsia="zh-CN"/>
        </w:rPr>
        <w:drawing>
          <wp:inline distT="0" distB="0" distL="0" distR="0" wp14:anchorId="4AF35923" wp14:editId="74AF66E2">
            <wp:extent cx="4451122" cy="6657975"/>
            <wp:effectExtent l="0" t="0" r="698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59930" cy="6671150"/>
                    </a:xfrm>
                    <a:prstGeom prst="rect">
                      <a:avLst/>
                    </a:prstGeom>
                    <a:noFill/>
                  </pic:spPr>
                </pic:pic>
              </a:graphicData>
            </a:graphic>
          </wp:inline>
        </w:drawing>
      </w:r>
    </w:p>
    <w:p w14:paraId="7F1B23E8" w14:textId="77777777" w:rsidR="00403B07" w:rsidRDefault="00403B07" w:rsidP="00403B07">
      <w:r>
        <w:br w:type="page"/>
      </w:r>
    </w:p>
    <w:p w14:paraId="4F3D64C8" w14:textId="4F877864" w:rsidR="00403B07" w:rsidRPr="00344730" w:rsidRDefault="00403B07" w:rsidP="00AB4D98">
      <w:pPr>
        <w:pStyle w:val="Heading1"/>
      </w:pPr>
      <w:bookmarkStart w:id="685" w:name="_Toc475974418"/>
      <w:r w:rsidRPr="00344730">
        <w:lastRenderedPageBreak/>
        <w:t>Appendix 1</w:t>
      </w:r>
      <w:r w:rsidR="00705B64">
        <w:t>1</w:t>
      </w:r>
      <w:r w:rsidRPr="00344730">
        <w:t xml:space="preserve"> Year 5 Teacher Interview Schedule</w:t>
      </w:r>
      <w:bookmarkEnd w:id="685"/>
    </w:p>
    <w:p w14:paraId="01501CE9" w14:textId="77777777" w:rsidR="00403B07" w:rsidRDefault="00403B07" w:rsidP="00403B07"/>
    <w:p w14:paraId="7971B85C" w14:textId="77777777" w:rsidR="00403B07" w:rsidRDefault="00403B07" w:rsidP="00403B07">
      <w:pPr>
        <w:jc w:val="center"/>
        <w:rPr>
          <w:rFonts w:ascii="Arial" w:hAnsi="Arial" w:cs="Arial"/>
          <w:b/>
          <w:sz w:val="28"/>
          <w:szCs w:val="28"/>
        </w:rPr>
      </w:pPr>
      <w:r>
        <w:rPr>
          <w:rFonts w:ascii="Arial" w:hAnsi="Arial" w:cs="Arial"/>
          <w:b/>
          <w:sz w:val="28"/>
          <w:szCs w:val="28"/>
        </w:rPr>
        <w:t>The HeLP Programme</w:t>
      </w:r>
    </w:p>
    <w:p w14:paraId="1ABA9796" w14:textId="77777777" w:rsidR="00403B07" w:rsidRDefault="00403B07" w:rsidP="00403B07">
      <w:pPr>
        <w:jc w:val="center"/>
        <w:rPr>
          <w:rFonts w:ascii="Arial" w:hAnsi="Arial" w:cs="Arial"/>
          <w:b/>
          <w:sz w:val="28"/>
          <w:szCs w:val="28"/>
        </w:rPr>
      </w:pPr>
    </w:p>
    <w:p w14:paraId="035625BF" w14:textId="77777777" w:rsidR="00403B07" w:rsidRDefault="00403B07" w:rsidP="00403B07">
      <w:pPr>
        <w:jc w:val="center"/>
        <w:rPr>
          <w:rFonts w:ascii="Arial" w:hAnsi="Arial" w:cs="Arial"/>
          <w:b/>
          <w:sz w:val="28"/>
          <w:szCs w:val="28"/>
        </w:rPr>
      </w:pPr>
      <w:r>
        <w:rPr>
          <w:rFonts w:ascii="Arial" w:hAnsi="Arial" w:cs="Arial"/>
          <w:b/>
          <w:sz w:val="28"/>
          <w:szCs w:val="28"/>
        </w:rPr>
        <w:t>Year 5 Teacher Interview – Intervention Schools</w:t>
      </w:r>
    </w:p>
    <w:p w14:paraId="1AF2B21B" w14:textId="77777777" w:rsidR="00403B07" w:rsidRDefault="00403B07" w:rsidP="00403B07">
      <w:pPr>
        <w:rPr>
          <w:rFonts w:ascii="Arial" w:hAnsi="Arial" w:cs="Arial"/>
          <w:b/>
          <w:sz w:val="28"/>
          <w:szCs w:val="28"/>
        </w:rPr>
      </w:pPr>
    </w:p>
    <w:p w14:paraId="6BA7859B" w14:textId="77777777" w:rsidR="00403B07" w:rsidRDefault="00403B07" w:rsidP="00403B07">
      <w:pPr>
        <w:rPr>
          <w:rFonts w:ascii="Arial" w:hAnsi="Arial" w:cs="Arial"/>
          <w:b/>
        </w:rPr>
      </w:pPr>
      <w:r w:rsidRPr="00D72424">
        <w:rPr>
          <w:rFonts w:ascii="Arial" w:hAnsi="Arial" w:cs="Arial"/>
          <w:b/>
        </w:rPr>
        <w:t>INTRODUCTION</w:t>
      </w:r>
    </w:p>
    <w:p w14:paraId="14BD764F" w14:textId="74B0C944" w:rsidR="00403B07" w:rsidRDefault="00403B07" w:rsidP="00403B07">
      <w:pPr>
        <w:rPr>
          <w:rFonts w:ascii="Arial" w:hAnsi="Arial" w:cs="Arial"/>
        </w:rPr>
      </w:pPr>
      <w:r w:rsidRPr="00E53402">
        <w:rPr>
          <w:rFonts w:ascii="Arial" w:hAnsi="Arial" w:cs="Arial"/>
        </w:rPr>
        <w:t xml:space="preserve">Thank you </w:t>
      </w:r>
      <w:r>
        <w:rPr>
          <w:rFonts w:ascii="Arial" w:hAnsi="Arial" w:cs="Arial"/>
        </w:rPr>
        <w:t>for agreeing to give a brief interview on your experience of your involvement in HeLP.</w:t>
      </w:r>
      <w:r w:rsidRPr="00E53402">
        <w:rPr>
          <w:rFonts w:ascii="Arial" w:hAnsi="Arial" w:cs="Arial"/>
        </w:rPr>
        <w:t xml:space="preserve"> </w:t>
      </w:r>
      <w:r>
        <w:rPr>
          <w:rFonts w:ascii="Arial" w:hAnsi="Arial" w:cs="Arial"/>
        </w:rPr>
        <w:t xml:space="preserve">Understanding your experience of HeLP is vital to the further development of the programme, so please feel free to be as frank as you wish! </w:t>
      </w:r>
      <w:r w:rsidRPr="00E53402">
        <w:rPr>
          <w:rFonts w:ascii="Arial" w:hAnsi="Arial" w:cs="Arial"/>
        </w:rPr>
        <w:t>This interview will be relatively unstructured to allow you to just talk abou</w:t>
      </w:r>
      <w:r>
        <w:rPr>
          <w:rFonts w:ascii="Arial" w:hAnsi="Arial" w:cs="Arial"/>
        </w:rPr>
        <w:t xml:space="preserve">t your views and experiences of participating in the </w:t>
      </w:r>
      <w:r w:rsidR="009D57AD">
        <w:rPr>
          <w:rFonts w:ascii="Arial" w:hAnsi="Arial" w:cs="Arial"/>
        </w:rPr>
        <w:t>p</w:t>
      </w:r>
      <w:r>
        <w:rPr>
          <w:rFonts w:ascii="Arial" w:hAnsi="Arial" w:cs="Arial"/>
        </w:rPr>
        <w:t>rogramme. So that I can concentrate on what you are saying is it ok for me to record this interview? All your comments will remain anonymous and will only be used for the purposes of this research project.</w:t>
      </w:r>
    </w:p>
    <w:p w14:paraId="437076DC" w14:textId="77777777" w:rsidR="00403B07" w:rsidRDefault="00403B07" w:rsidP="00403B07">
      <w:pPr>
        <w:rPr>
          <w:rFonts w:ascii="Arial" w:hAnsi="Arial" w:cs="Arial"/>
        </w:rPr>
      </w:pPr>
    </w:p>
    <w:p w14:paraId="4C8CBEAC" w14:textId="77777777" w:rsidR="00403B07" w:rsidRDefault="00403B07" w:rsidP="00403B07">
      <w:pPr>
        <w:numPr>
          <w:ilvl w:val="0"/>
          <w:numId w:val="25"/>
        </w:numPr>
        <w:spacing w:after="0" w:line="240" w:lineRule="auto"/>
        <w:rPr>
          <w:rFonts w:ascii="Arial" w:hAnsi="Arial" w:cs="Arial"/>
        </w:rPr>
      </w:pPr>
      <w:r>
        <w:rPr>
          <w:rFonts w:ascii="Arial" w:hAnsi="Arial" w:cs="Arial"/>
        </w:rPr>
        <w:t>How did you feel when you heard that your Y5 class was going to receive the Healthy Lifestyles Programme?</w:t>
      </w:r>
    </w:p>
    <w:p w14:paraId="4E7BA3C6" w14:textId="77777777" w:rsidR="00403B07" w:rsidRDefault="00403B07" w:rsidP="00403B07">
      <w:pPr>
        <w:numPr>
          <w:ilvl w:val="1"/>
          <w:numId w:val="25"/>
        </w:numPr>
        <w:spacing w:after="0" w:line="240" w:lineRule="auto"/>
        <w:rPr>
          <w:rFonts w:ascii="Arial" w:hAnsi="Arial" w:cs="Arial"/>
        </w:rPr>
      </w:pPr>
      <w:r>
        <w:rPr>
          <w:rFonts w:ascii="Arial" w:hAnsi="Arial" w:cs="Arial"/>
        </w:rPr>
        <w:t>Was there anything that made you anxious?</w:t>
      </w:r>
    </w:p>
    <w:p w14:paraId="7846D438" w14:textId="77777777" w:rsidR="00403B07" w:rsidRDefault="00403B07" w:rsidP="00403B07">
      <w:pPr>
        <w:numPr>
          <w:ilvl w:val="1"/>
          <w:numId w:val="25"/>
        </w:numPr>
        <w:spacing w:after="0" w:line="240" w:lineRule="auto"/>
        <w:rPr>
          <w:rFonts w:ascii="Arial" w:hAnsi="Arial" w:cs="Arial"/>
        </w:rPr>
      </w:pPr>
      <w:r>
        <w:rPr>
          <w:rFonts w:ascii="Arial" w:hAnsi="Arial" w:cs="Arial"/>
        </w:rPr>
        <w:t>Was there anything that you were excited about?</w:t>
      </w:r>
    </w:p>
    <w:p w14:paraId="50485AC2" w14:textId="77777777" w:rsidR="00403B07" w:rsidRDefault="00403B07" w:rsidP="00403B07">
      <w:pPr>
        <w:numPr>
          <w:ilvl w:val="1"/>
          <w:numId w:val="25"/>
        </w:numPr>
        <w:spacing w:after="0" w:line="240" w:lineRule="auto"/>
        <w:rPr>
          <w:rFonts w:ascii="Arial" w:hAnsi="Arial" w:cs="Arial"/>
        </w:rPr>
      </w:pPr>
      <w:r>
        <w:rPr>
          <w:rFonts w:ascii="Arial" w:hAnsi="Arial" w:cs="Arial"/>
        </w:rPr>
        <w:t>Is there anything we could have done to allay any fears in the first instance?</w:t>
      </w:r>
    </w:p>
    <w:p w14:paraId="02CEAC68" w14:textId="77777777" w:rsidR="00403B07" w:rsidRDefault="00403B07" w:rsidP="00403B07">
      <w:pPr>
        <w:ind w:left="1080"/>
        <w:rPr>
          <w:rFonts w:ascii="Arial" w:hAnsi="Arial" w:cs="Arial"/>
        </w:rPr>
      </w:pPr>
    </w:p>
    <w:p w14:paraId="4DB8C2C9" w14:textId="77777777" w:rsidR="00403B07" w:rsidRDefault="00403B07" w:rsidP="00403B07">
      <w:pPr>
        <w:numPr>
          <w:ilvl w:val="0"/>
          <w:numId w:val="25"/>
        </w:numPr>
        <w:spacing w:after="0" w:line="240" w:lineRule="auto"/>
        <w:rPr>
          <w:rFonts w:ascii="Arial" w:hAnsi="Arial" w:cs="Arial"/>
        </w:rPr>
      </w:pPr>
      <w:r>
        <w:rPr>
          <w:rFonts w:ascii="Arial" w:hAnsi="Arial" w:cs="Arial"/>
        </w:rPr>
        <w:t>Do you think it is necessary to have programmes like HeLP given everything else going on in schools?</w:t>
      </w:r>
    </w:p>
    <w:p w14:paraId="44156AEB" w14:textId="77777777" w:rsidR="00403B07" w:rsidRDefault="00403B07" w:rsidP="00403B07">
      <w:pPr>
        <w:numPr>
          <w:ilvl w:val="1"/>
          <w:numId w:val="25"/>
        </w:numPr>
        <w:spacing w:after="0" w:line="240" w:lineRule="auto"/>
        <w:rPr>
          <w:rFonts w:ascii="Arial" w:hAnsi="Arial" w:cs="Arial"/>
        </w:rPr>
      </w:pPr>
      <w:r>
        <w:rPr>
          <w:rFonts w:ascii="Arial" w:hAnsi="Arial" w:cs="Arial"/>
        </w:rPr>
        <w:t>Probe added value – what makes HeLP distinct</w:t>
      </w:r>
    </w:p>
    <w:p w14:paraId="04B3984F" w14:textId="77777777" w:rsidR="00403B07" w:rsidRDefault="00403B07" w:rsidP="00403B07">
      <w:pPr>
        <w:ind w:left="1080"/>
        <w:rPr>
          <w:rFonts w:ascii="Arial" w:hAnsi="Arial" w:cs="Arial"/>
        </w:rPr>
      </w:pPr>
    </w:p>
    <w:p w14:paraId="78E6C77E" w14:textId="77777777" w:rsidR="00403B07" w:rsidRDefault="00403B07" w:rsidP="00403B07">
      <w:pPr>
        <w:numPr>
          <w:ilvl w:val="0"/>
          <w:numId w:val="25"/>
        </w:numPr>
        <w:spacing w:after="0" w:line="240" w:lineRule="auto"/>
        <w:rPr>
          <w:rFonts w:ascii="Arial" w:hAnsi="Arial" w:cs="Arial"/>
        </w:rPr>
      </w:pPr>
      <w:r>
        <w:rPr>
          <w:rFonts w:ascii="Arial" w:hAnsi="Arial" w:cs="Arial"/>
        </w:rPr>
        <w:t xml:space="preserve">Having been through the whole year 5 programme could you give us some indication of the workload/hassle factor? </w:t>
      </w:r>
    </w:p>
    <w:p w14:paraId="488020D6" w14:textId="77777777" w:rsidR="00403B07" w:rsidRDefault="00403B07" w:rsidP="00403B07">
      <w:pPr>
        <w:numPr>
          <w:ilvl w:val="1"/>
          <w:numId w:val="25"/>
        </w:numPr>
        <w:spacing w:after="0" w:line="240" w:lineRule="auto"/>
        <w:rPr>
          <w:rFonts w:ascii="Arial" w:hAnsi="Arial" w:cs="Arial"/>
        </w:rPr>
      </w:pPr>
      <w:r>
        <w:rPr>
          <w:rFonts w:ascii="Arial" w:hAnsi="Arial" w:cs="Arial"/>
        </w:rPr>
        <w:t>Has it added to your workload and, if so, in what way?</w:t>
      </w:r>
    </w:p>
    <w:p w14:paraId="76789984" w14:textId="77777777" w:rsidR="00403B07" w:rsidRDefault="00403B07" w:rsidP="00403B07">
      <w:pPr>
        <w:numPr>
          <w:ilvl w:val="1"/>
          <w:numId w:val="25"/>
        </w:numPr>
        <w:spacing w:after="0" w:line="240" w:lineRule="auto"/>
        <w:rPr>
          <w:rFonts w:ascii="Arial" w:hAnsi="Arial" w:cs="Arial"/>
        </w:rPr>
      </w:pPr>
      <w:r>
        <w:rPr>
          <w:rFonts w:ascii="Arial" w:hAnsi="Arial" w:cs="Arial"/>
        </w:rPr>
        <w:t>What could we do differently to alleviate your workload?</w:t>
      </w:r>
    </w:p>
    <w:p w14:paraId="0BA64CC0" w14:textId="77777777" w:rsidR="00403B07" w:rsidRDefault="00403B07" w:rsidP="00403B07">
      <w:pPr>
        <w:numPr>
          <w:ilvl w:val="1"/>
          <w:numId w:val="25"/>
        </w:numPr>
        <w:spacing w:after="0" w:line="240" w:lineRule="auto"/>
        <w:rPr>
          <w:rFonts w:ascii="Arial" w:hAnsi="Arial" w:cs="Arial"/>
        </w:rPr>
      </w:pPr>
      <w:r>
        <w:rPr>
          <w:rFonts w:ascii="Arial" w:hAnsi="Arial" w:cs="Arial"/>
        </w:rPr>
        <w:t>Probe how the PSHE lessons were received</w:t>
      </w:r>
    </w:p>
    <w:p w14:paraId="05DB1588" w14:textId="77777777" w:rsidR="00403B07" w:rsidRDefault="00403B07" w:rsidP="00403B07">
      <w:pPr>
        <w:numPr>
          <w:ilvl w:val="1"/>
          <w:numId w:val="25"/>
        </w:numPr>
        <w:spacing w:after="0" w:line="240" w:lineRule="auto"/>
        <w:rPr>
          <w:rFonts w:ascii="Arial" w:hAnsi="Arial" w:cs="Arial"/>
        </w:rPr>
      </w:pPr>
      <w:r>
        <w:rPr>
          <w:rFonts w:ascii="Arial" w:hAnsi="Arial" w:cs="Arial"/>
        </w:rPr>
        <w:t>How much do the HeLP activities overlap with the year 5 curriculum? (try and get teachers to give a percentage overlap)</w:t>
      </w:r>
    </w:p>
    <w:p w14:paraId="40D5A33A" w14:textId="77777777" w:rsidR="00403B07" w:rsidRDefault="00403B07" w:rsidP="00403B07">
      <w:pPr>
        <w:ind w:left="1080"/>
        <w:rPr>
          <w:rFonts w:ascii="Arial" w:hAnsi="Arial" w:cs="Arial"/>
        </w:rPr>
      </w:pPr>
    </w:p>
    <w:p w14:paraId="5EE3B0F9" w14:textId="77777777" w:rsidR="00403B07" w:rsidRDefault="00403B07" w:rsidP="00403B07">
      <w:pPr>
        <w:numPr>
          <w:ilvl w:val="0"/>
          <w:numId w:val="25"/>
        </w:numPr>
        <w:spacing w:after="0" w:line="240" w:lineRule="auto"/>
        <w:rPr>
          <w:rFonts w:ascii="Arial" w:hAnsi="Arial" w:cs="Arial"/>
        </w:rPr>
      </w:pPr>
      <w:r>
        <w:rPr>
          <w:rFonts w:ascii="Arial" w:hAnsi="Arial" w:cs="Arial"/>
        </w:rPr>
        <w:t xml:space="preserve">One of the key roles of the HeLP Coordinator is to build relationships with schools, children and families and especially to support you. </w:t>
      </w:r>
    </w:p>
    <w:p w14:paraId="6009368B" w14:textId="77777777" w:rsidR="00403B07" w:rsidRDefault="00403B07" w:rsidP="00403B07">
      <w:pPr>
        <w:numPr>
          <w:ilvl w:val="1"/>
          <w:numId w:val="25"/>
        </w:numPr>
        <w:spacing w:after="0" w:line="240" w:lineRule="auto"/>
        <w:rPr>
          <w:rFonts w:ascii="Arial" w:hAnsi="Arial" w:cs="Arial"/>
        </w:rPr>
      </w:pPr>
      <w:r>
        <w:rPr>
          <w:rFonts w:ascii="Arial" w:hAnsi="Arial" w:cs="Arial"/>
        </w:rPr>
        <w:t>Did you feel supported?</w:t>
      </w:r>
    </w:p>
    <w:p w14:paraId="5C7E5686" w14:textId="77777777" w:rsidR="00403B07" w:rsidRDefault="00403B07" w:rsidP="00403B07">
      <w:pPr>
        <w:numPr>
          <w:ilvl w:val="1"/>
          <w:numId w:val="25"/>
        </w:numPr>
        <w:spacing w:after="0" w:line="240" w:lineRule="auto"/>
        <w:rPr>
          <w:rFonts w:ascii="Arial" w:hAnsi="Arial" w:cs="Arial"/>
        </w:rPr>
      </w:pPr>
      <w:r>
        <w:rPr>
          <w:rFonts w:ascii="Arial" w:hAnsi="Arial" w:cs="Arial"/>
        </w:rPr>
        <w:t>Was there more we could have done?</w:t>
      </w:r>
    </w:p>
    <w:p w14:paraId="75CA3F53" w14:textId="77777777" w:rsidR="00403B07" w:rsidRDefault="00403B07" w:rsidP="00403B07">
      <w:pPr>
        <w:ind w:left="1080"/>
        <w:rPr>
          <w:rFonts w:ascii="Arial" w:hAnsi="Arial" w:cs="Arial"/>
        </w:rPr>
      </w:pPr>
    </w:p>
    <w:p w14:paraId="6AEC3B86" w14:textId="3D263E73" w:rsidR="00403B07" w:rsidRDefault="00403B07" w:rsidP="00403B07">
      <w:pPr>
        <w:numPr>
          <w:ilvl w:val="0"/>
          <w:numId w:val="25"/>
        </w:numPr>
        <w:spacing w:after="0" w:line="240" w:lineRule="auto"/>
        <w:rPr>
          <w:rFonts w:ascii="Arial" w:hAnsi="Arial" w:cs="Arial"/>
        </w:rPr>
      </w:pPr>
      <w:r>
        <w:rPr>
          <w:rFonts w:ascii="Arial" w:hAnsi="Arial" w:cs="Arial"/>
        </w:rPr>
        <w:t xml:space="preserve">How do you think the children found the </w:t>
      </w:r>
      <w:r w:rsidR="009D57AD">
        <w:rPr>
          <w:rFonts w:ascii="Arial" w:hAnsi="Arial" w:cs="Arial"/>
        </w:rPr>
        <w:t>p</w:t>
      </w:r>
      <w:r>
        <w:rPr>
          <w:rFonts w:ascii="Arial" w:hAnsi="Arial" w:cs="Arial"/>
        </w:rPr>
        <w:t>rogramme?</w:t>
      </w:r>
    </w:p>
    <w:p w14:paraId="03B484EF" w14:textId="77777777" w:rsidR="00403B07" w:rsidRPr="00A13D6B" w:rsidRDefault="00403B07" w:rsidP="00403B07">
      <w:pPr>
        <w:numPr>
          <w:ilvl w:val="1"/>
          <w:numId w:val="25"/>
        </w:numPr>
        <w:spacing w:after="0" w:line="240" w:lineRule="auto"/>
        <w:rPr>
          <w:rFonts w:ascii="Arial" w:hAnsi="Arial" w:cs="Arial"/>
        </w:rPr>
      </w:pPr>
      <w:r>
        <w:rPr>
          <w:rFonts w:ascii="Arial" w:hAnsi="Arial" w:cs="Arial"/>
        </w:rPr>
        <w:t>How many drama sessions did you observe and what did you think?</w:t>
      </w:r>
    </w:p>
    <w:p w14:paraId="3F5C850A" w14:textId="77777777" w:rsidR="00403B07" w:rsidRPr="00A13D6B" w:rsidRDefault="00403B07" w:rsidP="00403B07">
      <w:pPr>
        <w:numPr>
          <w:ilvl w:val="1"/>
          <w:numId w:val="25"/>
        </w:numPr>
        <w:spacing w:after="0" w:line="240" w:lineRule="auto"/>
        <w:rPr>
          <w:rFonts w:ascii="Arial" w:hAnsi="Arial" w:cs="Arial"/>
        </w:rPr>
      </w:pPr>
      <w:r>
        <w:rPr>
          <w:rFonts w:ascii="Arial" w:hAnsi="Arial" w:cs="Arial"/>
        </w:rPr>
        <w:t xml:space="preserve">Did you notice any impact at </w:t>
      </w:r>
      <w:r w:rsidRPr="00A13D6B">
        <w:rPr>
          <w:rFonts w:ascii="Arial" w:hAnsi="Arial" w:cs="Arial"/>
        </w:rPr>
        <w:t>a class/individual child level?</w:t>
      </w:r>
    </w:p>
    <w:p w14:paraId="59948A66" w14:textId="77777777" w:rsidR="00191C05" w:rsidRDefault="00191C05">
      <w:pPr>
        <w:rPr>
          <w:rFonts w:cs="Arial"/>
          <w:b/>
          <w:i/>
        </w:rPr>
      </w:pPr>
      <w:r>
        <w:rPr>
          <w:rFonts w:cs="Arial"/>
          <w:b/>
          <w:i/>
        </w:rPr>
        <w:br w:type="page"/>
      </w:r>
    </w:p>
    <w:p w14:paraId="5B689DA8" w14:textId="7F368848" w:rsidR="00403B07" w:rsidRPr="00B00783" w:rsidRDefault="00403B07" w:rsidP="00403B07">
      <w:pPr>
        <w:rPr>
          <w:i/>
        </w:rPr>
      </w:pPr>
      <w:r w:rsidRPr="00B00783">
        <w:rPr>
          <w:rFonts w:cs="Arial"/>
          <w:b/>
          <w:i/>
        </w:rPr>
        <w:lastRenderedPageBreak/>
        <w:t>Appendix 1</w:t>
      </w:r>
      <w:r w:rsidR="00A60D1B">
        <w:rPr>
          <w:rFonts w:cs="Arial"/>
          <w:b/>
          <w:i/>
        </w:rPr>
        <w:t>1</w:t>
      </w:r>
      <w:r w:rsidRPr="00B00783">
        <w:rPr>
          <w:rFonts w:cs="Arial"/>
          <w:b/>
          <w:i/>
        </w:rPr>
        <w:t xml:space="preserve"> Year 5 Teacher Interview Schedule (continued)</w:t>
      </w:r>
    </w:p>
    <w:p w14:paraId="451BFF93" w14:textId="77777777" w:rsidR="00403B07" w:rsidRDefault="00403B07" w:rsidP="00191C05">
      <w:pPr>
        <w:spacing w:after="0" w:line="240" w:lineRule="auto"/>
        <w:rPr>
          <w:rFonts w:ascii="Arial" w:hAnsi="Arial" w:cs="Arial"/>
        </w:rPr>
      </w:pPr>
    </w:p>
    <w:p w14:paraId="5E28854A" w14:textId="77777777" w:rsidR="00403B07" w:rsidRDefault="00403B07" w:rsidP="00403B07">
      <w:pPr>
        <w:numPr>
          <w:ilvl w:val="2"/>
          <w:numId w:val="25"/>
        </w:numPr>
        <w:spacing w:after="0" w:line="240" w:lineRule="auto"/>
        <w:rPr>
          <w:rFonts w:ascii="Arial" w:hAnsi="Arial" w:cs="Arial"/>
        </w:rPr>
      </w:pPr>
      <w:r>
        <w:rPr>
          <w:rFonts w:ascii="Arial" w:hAnsi="Arial" w:cs="Arial"/>
        </w:rPr>
        <w:t xml:space="preserve">Probe possible reasons for teacher observations re whole class or individual children (need to tease out what is it about HeLP that led to certain behaviours – programme differentiation) </w:t>
      </w:r>
    </w:p>
    <w:p w14:paraId="538E4E62" w14:textId="77777777" w:rsidR="00403B07" w:rsidRPr="00D13514" w:rsidRDefault="00403B07" w:rsidP="00403B07">
      <w:pPr>
        <w:ind w:left="1800"/>
        <w:rPr>
          <w:rFonts w:ascii="Arial" w:hAnsi="Arial" w:cs="Arial"/>
        </w:rPr>
      </w:pPr>
    </w:p>
    <w:p w14:paraId="1561F207" w14:textId="77777777" w:rsidR="00403B07" w:rsidRDefault="00403B07" w:rsidP="00403B07">
      <w:pPr>
        <w:numPr>
          <w:ilvl w:val="0"/>
          <w:numId w:val="25"/>
        </w:numPr>
        <w:spacing w:after="0" w:line="240" w:lineRule="auto"/>
        <w:rPr>
          <w:rFonts w:ascii="Arial" w:hAnsi="Arial" w:cs="Arial"/>
        </w:rPr>
      </w:pPr>
      <w:r>
        <w:rPr>
          <w:rFonts w:ascii="Arial" w:hAnsi="Arial" w:cs="Arial"/>
        </w:rPr>
        <w:t>Do you think HeLP is known/understood in the wider school context?</w:t>
      </w:r>
    </w:p>
    <w:p w14:paraId="698EA3A6" w14:textId="77777777" w:rsidR="00403B07" w:rsidRDefault="00403B07" w:rsidP="00403B07">
      <w:pPr>
        <w:numPr>
          <w:ilvl w:val="1"/>
          <w:numId w:val="25"/>
        </w:numPr>
        <w:spacing w:after="0" w:line="240" w:lineRule="auto"/>
        <w:rPr>
          <w:rFonts w:ascii="Arial" w:hAnsi="Arial" w:cs="Arial"/>
        </w:rPr>
      </w:pPr>
      <w:r>
        <w:rPr>
          <w:rFonts w:ascii="Arial" w:hAnsi="Arial" w:cs="Arial"/>
        </w:rPr>
        <w:t>Probe examples</w:t>
      </w:r>
    </w:p>
    <w:p w14:paraId="2028FE7C" w14:textId="77777777" w:rsidR="00403B07" w:rsidRDefault="00403B07" w:rsidP="00403B07">
      <w:pPr>
        <w:rPr>
          <w:rFonts w:ascii="Arial" w:hAnsi="Arial" w:cs="Arial"/>
        </w:rPr>
      </w:pPr>
    </w:p>
    <w:p w14:paraId="2092D477" w14:textId="6A172F6F" w:rsidR="00403B07" w:rsidRDefault="00403B07" w:rsidP="00403B07">
      <w:pPr>
        <w:numPr>
          <w:ilvl w:val="0"/>
          <w:numId w:val="25"/>
        </w:numPr>
        <w:spacing w:after="0" w:line="240" w:lineRule="auto"/>
        <w:rPr>
          <w:rFonts w:ascii="Arial" w:hAnsi="Arial" w:cs="Arial"/>
        </w:rPr>
      </w:pPr>
      <w:r>
        <w:rPr>
          <w:rFonts w:ascii="Arial" w:hAnsi="Arial" w:cs="Arial"/>
        </w:rPr>
        <w:t xml:space="preserve">Do you have any sense of how parents perceived the </w:t>
      </w:r>
      <w:r w:rsidR="009D57AD">
        <w:rPr>
          <w:rFonts w:ascii="Arial" w:hAnsi="Arial" w:cs="Arial"/>
        </w:rPr>
        <w:t>p</w:t>
      </w:r>
      <w:r>
        <w:rPr>
          <w:rFonts w:ascii="Arial" w:hAnsi="Arial" w:cs="Arial"/>
        </w:rPr>
        <w:t>rogramme?</w:t>
      </w:r>
    </w:p>
    <w:p w14:paraId="3BED9D6A" w14:textId="77777777" w:rsidR="00403B07" w:rsidRDefault="00403B07" w:rsidP="00403B07">
      <w:pPr>
        <w:ind w:left="360"/>
        <w:rPr>
          <w:rFonts w:ascii="Arial" w:hAnsi="Arial" w:cs="Arial"/>
        </w:rPr>
      </w:pPr>
    </w:p>
    <w:p w14:paraId="25BCD097" w14:textId="77777777" w:rsidR="00403B07" w:rsidRDefault="00403B07" w:rsidP="00403B07">
      <w:pPr>
        <w:numPr>
          <w:ilvl w:val="0"/>
          <w:numId w:val="25"/>
        </w:numPr>
        <w:spacing w:after="0" w:line="240" w:lineRule="auto"/>
        <w:rPr>
          <w:rFonts w:ascii="Arial" w:hAnsi="Arial" w:cs="Arial"/>
        </w:rPr>
      </w:pPr>
      <w:r>
        <w:rPr>
          <w:rFonts w:ascii="Arial" w:hAnsi="Arial" w:cs="Arial"/>
        </w:rPr>
        <w:t>Have you used any aspect of HeLP in your day to day teaching and/or interactions with the children?</w:t>
      </w:r>
    </w:p>
    <w:p w14:paraId="579AE59B" w14:textId="77777777" w:rsidR="00403B07" w:rsidRDefault="00403B07" w:rsidP="00403B07">
      <w:pPr>
        <w:rPr>
          <w:rFonts w:ascii="Arial" w:hAnsi="Arial" w:cs="Arial"/>
        </w:rPr>
      </w:pPr>
    </w:p>
    <w:p w14:paraId="6C67405A" w14:textId="77777777" w:rsidR="00403B07" w:rsidRDefault="00403B07" w:rsidP="00403B07">
      <w:pPr>
        <w:numPr>
          <w:ilvl w:val="0"/>
          <w:numId w:val="25"/>
        </w:numPr>
        <w:spacing w:after="0" w:line="240" w:lineRule="auto"/>
        <w:rPr>
          <w:rFonts w:ascii="Arial" w:hAnsi="Arial" w:cs="Arial"/>
        </w:rPr>
      </w:pPr>
      <w:r>
        <w:rPr>
          <w:rFonts w:ascii="Arial" w:hAnsi="Arial" w:cs="Arial"/>
        </w:rPr>
        <w:t>Had HeLP had any effect on you personally?</w:t>
      </w:r>
    </w:p>
    <w:p w14:paraId="501C9CC1" w14:textId="77777777" w:rsidR="00403B07" w:rsidRDefault="00403B07" w:rsidP="00403B07">
      <w:pPr>
        <w:pStyle w:val="ListParagraph"/>
        <w:rPr>
          <w:rFonts w:ascii="Arial" w:hAnsi="Arial" w:cs="Arial"/>
        </w:rPr>
      </w:pPr>
    </w:p>
    <w:p w14:paraId="157AF81C" w14:textId="77777777" w:rsidR="00403B07" w:rsidRDefault="00403B07" w:rsidP="00403B07">
      <w:pPr>
        <w:numPr>
          <w:ilvl w:val="0"/>
          <w:numId w:val="25"/>
        </w:numPr>
        <w:spacing w:after="0" w:line="240" w:lineRule="auto"/>
        <w:rPr>
          <w:rFonts w:ascii="Arial" w:hAnsi="Arial" w:cs="Arial"/>
        </w:rPr>
      </w:pPr>
      <w:r>
        <w:rPr>
          <w:rFonts w:ascii="Arial" w:hAnsi="Arial" w:cs="Arial"/>
        </w:rPr>
        <w:t>Would you recommend HeLP to your colleagues or other schools?</w:t>
      </w:r>
    </w:p>
    <w:p w14:paraId="298D090A" w14:textId="77777777" w:rsidR="00403B07" w:rsidRDefault="00403B07" w:rsidP="00403B07">
      <w:pPr>
        <w:ind w:left="360"/>
        <w:rPr>
          <w:rFonts w:ascii="Arial" w:hAnsi="Arial" w:cs="Arial"/>
        </w:rPr>
      </w:pPr>
    </w:p>
    <w:p w14:paraId="22A08752" w14:textId="77777777" w:rsidR="00403B07" w:rsidRPr="003D4A2F" w:rsidRDefault="00403B07" w:rsidP="00403B07">
      <w:pPr>
        <w:numPr>
          <w:ilvl w:val="0"/>
          <w:numId w:val="25"/>
        </w:numPr>
        <w:spacing w:after="0" w:line="240" w:lineRule="auto"/>
        <w:rPr>
          <w:rFonts w:ascii="Arial" w:hAnsi="Arial" w:cs="Arial"/>
        </w:rPr>
      </w:pPr>
      <w:r>
        <w:rPr>
          <w:rFonts w:ascii="Arial" w:hAnsi="Arial" w:cs="Arial"/>
        </w:rPr>
        <w:t>Is there anything else you would like to say/comment on?</w:t>
      </w:r>
    </w:p>
    <w:p w14:paraId="03742198" w14:textId="77777777" w:rsidR="00403B07" w:rsidRDefault="00403B07" w:rsidP="00403B07">
      <w:pPr>
        <w:rPr>
          <w:rFonts w:ascii="Arial" w:hAnsi="Arial" w:cs="Arial"/>
        </w:rPr>
      </w:pPr>
    </w:p>
    <w:p w14:paraId="19397EAA" w14:textId="77777777" w:rsidR="00403B07" w:rsidRDefault="00403B07" w:rsidP="00403B07">
      <w:pPr>
        <w:rPr>
          <w:rFonts w:ascii="Arial" w:hAnsi="Arial" w:cs="Arial"/>
          <w:u w:val="single"/>
        </w:rPr>
      </w:pPr>
    </w:p>
    <w:p w14:paraId="4DBD0D4F" w14:textId="77777777" w:rsidR="00403B07" w:rsidRDefault="00403B07" w:rsidP="00403B07">
      <w:pPr>
        <w:jc w:val="center"/>
        <w:rPr>
          <w:rFonts w:ascii="Arial" w:hAnsi="Arial" w:cs="Arial"/>
          <w:color w:val="0000FF"/>
        </w:rPr>
      </w:pPr>
      <w:r w:rsidRPr="00BA7B0B">
        <w:rPr>
          <w:rFonts w:ascii="Arial" w:hAnsi="Arial" w:cs="Arial"/>
          <w:color w:val="0000FF"/>
        </w:rPr>
        <w:t>Thank you</w:t>
      </w:r>
      <w:r>
        <w:rPr>
          <w:rFonts w:ascii="Arial" w:hAnsi="Arial" w:cs="Arial"/>
          <w:color w:val="0000FF"/>
        </w:rPr>
        <w:t xml:space="preserve"> so much for sharing your views about the Healthy Lifestyles Programme </w:t>
      </w:r>
      <w:r w:rsidRPr="00BA7B0B">
        <w:rPr>
          <w:rFonts w:ascii="Arial" w:hAnsi="Arial" w:cs="Arial"/>
          <w:color w:val="0000FF"/>
        </w:rPr>
        <w:t>today.</w:t>
      </w:r>
    </w:p>
    <w:p w14:paraId="68B46976" w14:textId="77777777" w:rsidR="00403B07" w:rsidRDefault="00403B07" w:rsidP="00403B07">
      <w:pPr>
        <w:jc w:val="center"/>
        <w:rPr>
          <w:rFonts w:ascii="Arial" w:hAnsi="Arial" w:cs="Arial"/>
          <w:color w:val="0000FF"/>
        </w:rPr>
      </w:pPr>
    </w:p>
    <w:p w14:paraId="6C3EC4EE" w14:textId="77777777" w:rsidR="00403B07" w:rsidRPr="00EE7A20" w:rsidRDefault="00403B07" w:rsidP="00403B07">
      <w:pPr>
        <w:jc w:val="center"/>
        <w:rPr>
          <w:rFonts w:ascii="Arial" w:hAnsi="Arial" w:cs="Arial"/>
        </w:rPr>
      </w:pPr>
    </w:p>
    <w:p w14:paraId="3F15E256" w14:textId="77777777" w:rsidR="00403B07" w:rsidRDefault="00403B07" w:rsidP="00403B07"/>
    <w:p w14:paraId="4598CB18" w14:textId="77777777" w:rsidR="00403B07" w:rsidRDefault="00403B07" w:rsidP="00403B07">
      <w:pPr>
        <w:rPr>
          <w:rFonts w:cs="Arial"/>
          <w:b/>
          <w:sz w:val="24"/>
          <w:szCs w:val="24"/>
        </w:rPr>
      </w:pPr>
      <w:r>
        <w:rPr>
          <w:rFonts w:cs="Arial"/>
          <w:b/>
          <w:sz w:val="24"/>
          <w:szCs w:val="24"/>
        </w:rPr>
        <w:br w:type="page"/>
      </w:r>
    </w:p>
    <w:p w14:paraId="11B426FF" w14:textId="1683AA24" w:rsidR="00403B07" w:rsidRPr="00344730" w:rsidRDefault="00403B07" w:rsidP="00AB4D98">
      <w:pPr>
        <w:pStyle w:val="Heading1"/>
      </w:pPr>
      <w:bookmarkStart w:id="686" w:name="_Toc475974419"/>
      <w:r w:rsidRPr="00344730">
        <w:lastRenderedPageBreak/>
        <w:t>Appendix 1</w:t>
      </w:r>
      <w:r w:rsidR="00705B64">
        <w:t>2</w:t>
      </w:r>
      <w:r w:rsidRPr="00344730">
        <w:t xml:space="preserve"> </w:t>
      </w:r>
      <w:r>
        <w:t>Parent Interview Schedule</w:t>
      </w:r>
      <w:bookmarkEnd w:id="686"/>
    </w:p>
    <w:p w14:paraId="4748BEDB" w14:textId="77777777" w:rsidR="00403B07" w:rsidRDefault="00403B07" w:rsidP="00403B07">
      <w:pPr>
        <w:jc w:val="center"/>
      </w:pPr>
    </w:p>
    <w:p w14:paraId="4CCEB691" w14:textId="77777777" w:rsidR="00403B07" w:rsidRDefault="00403B07" w:rsidP="00403B07">
      <w:pPr>
        <w:jc w:val="center"/>
      </w:pPr>
      <w:r>
        <w:t>Parent Interview Schedule (intervention schools only)</w:t>
      </w:r>
    </w:p>
    <w:p w14:paraId="313EBECE" w14:textId="77777777" w:rsidR="00403B07" w:rsidRPr="00FE31BF" w:rsidRDefault="00403B07" w:rsidP="00403B07">
      <w:pPr>
        <w:rPr>
          <w:b/>
        </w:rPr>
      </w:pPr>
      <w:r w:rsidRPr="00FE31BF">
        <w:rPr>
          <w:b/>
        </w:rPr>
        <w:t>Introduction</w:t>
      </w:r>
    </w:p>
    <w:p w14:paraId="4F2AAE6A" w14:textId="28F40E2C" w:rsidR="00403B07" w:rsidRDefault="00403B07" w:rsidP="00403B07">
      <w:r>
        <w:t xml:space="preserve">Thank you so much for agreeing to participate in this interview in order to expand on your questionnaire responses, we really appreciate your time. The aim of the interview is to understand yours and your family’s experience of HeLP and any impact if may have had so that we can learn for future development. We are happy to hear all types of feedback, so please feel free to express anything that you think we could have done differently to improve the </w:t>
      </w:r>
      <w:r w:rsidR="009D57AD">
        <w:t>p</w:t>
      </w:r>
      <w:r>
        <w:t xml:space="preserve">rogramme. </w:t>
      </w:r>
    </w:p>
    <w:p w14:paraId="33720096" w14:textId="77777777" w:rsidR="00403B07" w:rsidRDefault="00403B07" w:rsidP="00403B07">
      <w:r>
        <w:t xml:space="preserve">The interview will take around 15 minutes and will be audio taped to ensure that we do not miss anything. All information you provide will be anonymised. Before we begin please feel free to ask any further questions. </w:t>
      </w:r>
    </w:p>
    <w:p w14:paraId="378D396F" w14:textId="77777777" w:rsidR="00403B07" w:rsidRDefault="00403B07" w:rsidP="00403B07">
      <w:r>
        <w:t>Once I switch the recorder on I will say your name and the date and then we can begin.</w:t>
      </w:r>
    </w:p>
    <w:p w14:paraId="3FE120FB" w14:textId="77777777" w:rsidR="00403B07" w:rsidRDefault="00403B07" w:rsidP="00403B07">
      <w:pPr>
        <w:rPr>
          <w:b/>
        </w:rPr>
      </w:pPr>
      <w:r w:rsidRPr="00FE31BF">
        <w:rPr>
          <w:b/>
        </w:rPr>
        <w:t>Questions</w:t>
      </w:r>
    </w:p>
    <w:p w14:paraId="3ABB05DD" w14:textId="35D0650F" w:rsidR="00403B07" w:rsidRDefault="00403B07" w:rsidP="00403B07">
      <w:pPr>
        <w:pStyle w:val="ListParagraph"/>
        <w:numPr>
          <w:ilvl w:val="0"/>
          <w:numId w:val="26"/>
        </w:numPr>
      </w:pPr>
      <w:r w:rsidRPr="00684897">
        <w:t xml:space="preserve">What were your overall views of the </w:t>
      </w:r>
      <w:r w:rsidR="009D57AD">
        <w:t>p</w:t>
      </w:r>
      <w:r w:rsidRPr="00684897">
        <w:t>rogramme? (probe whether they attended any parental engagement activities)</w:t>
      </w:r>
    </w:p>
    <w:p w14:paraId="33DCD078" w14:textId="77777777" w:rsidR="00403B07" w:rsidRPr="0010219C" w:rsidRDefault="00403B07" w:rsidP="00403B07">
      <w:pPr>
        <w:pStyle w:val="ListParagraph"/>
        <w:rPr>
          <w:sz w:val="20"/>
        </w:rPr>
      </w:pPr>
    </w:p>
    <w:p w14:paraId="393655A0" w14:textId="16C1B756" w:rsidR="00403B07" w:rsidRDefault="00403B07" w:rsidP="00403B07">
      <w:pPr>
        <w:pStyle w:val="ListParagraph"/>
        <w:numPr>
          <w:ilvl w:val="0"/>
          <w:numId w:val="26"/>
        </w:numPr>
        <w:spacing w:line="240" w:lineRule="auto"/>
      </w:pPr>
      <w:r w:rsidRPr="00684897">
        <w:t xml:space="preserve">You mentioned that XXX talked about the Healthy Lifestyles </w:t>
      </w:r>
      <w:r w:rsidR="009D57AD">
        <w:t>p</w:t>
      </w:r>
      <w:r w:rsidRPr="00684897">
        <w:t>rogramme (a lot; a little); please could you expand on the sort of conversations you had.</w:t>
      </w:r>
    </w:p>
    <w:p w14:paraId="747FA048" w14:textId="77777777" w:rsidR="00403B07" w:rsidRPr="0010219C" w:rsidRDefault="00403B07" w:rsidP="00403B07">
      <w:pPr>
        <w:spacing w:line="240" w:lineRule="auto"/>
        <w:rPr>
          <w:sz w:val="2"/>
        </w:rPr>
      </w:pPr>
    </w:p>
    <w:p w14:paraId="5F34DD18" w14:textId="77777777" w:rsidR="00403B07" w:rsidRDefault="00403B07" w:rsidP="00403B07">
      <w:pPr>
        <w:pStyle w:val="ListParagraph"/>
        <w:numPr>
          <w:ilvl w:val="0"/>
          <w:numId w:val="26"/>
        </w:numPr>
      </w:pPr>
      <w:r w:rsidRPr="00684897">
        <w:t>We asked in the questionnaire about the HeLP goals, which were set around the three key messages of reducing fizzy drink consumption, replacing unhealthy snacks with healthy altern</w:t>
      </w:r>
      <w:r>
        <w:t>atives and reducing</w:t>
      </w:r>
      <w:r w:rsidRPr="00684897">
        <w:t xml:space="preserve"> screen time. </w:t>
      </w:r>
      <w:r>
        <w:t>You thought that it was easy/quite easy/quite difficult/difficult</w:t>
      </w:r>
      <w:r w:rsidRPr="00684897">
        <w:t xml:space="preserve"> for XX to make these changes</w:t>
      </w:r>
      <w:r>
        <w:t>. Would you be able to expand on the reasons for this?</w:t>
      </w:r>
    </w:p>
    <w:p w14:paraId="0A12D423" w14:textId="77777777" w:rsidR="00403B07" w:rsidRDefault="00403B07" w:rsidP="00403B07">
      <w:pPr>
        <w:pStyle w:val="ListParagraph"/>
      </w:pPr>
    </w:p>
    <w:p w14:paraId="0F610435" w14:textId="77777777" w:rsidR="00403B07" w:rsidRDefault="00403B07" w:rsidP="00403B07">
      <w:pPr>
        <w:pStyle w:val="ListParagraph"/>
        <w:numPr>
          <w:ilvl w:val="0"/>
          <w:numId w:val="26"/>
        </w:numPr>
      </w:pPr>
      <w:r>
        <w:t>You indicated that you noticed changes in XX choice of snacks/drinks/screen time/physical activity. Please could you tell me a little more about these changes?</w:t>
      </w:r>
    </w:p>
    <w:p w14:paraId="17EB0F4B" w14:textId="77777777" w:rsidR="00403B07" w:rsidRPr="0010219C" w:rsidRDefault="00403B07" w:rsidP="00403B07">
      <w:pPr>
        <w:pStyle w:val="ListParagraph"/>
        <w:rPr>
          <w:sz w:val="6"/>
        </w:rPr>
      </w:pPr>
    </w:p>
    <w:p w14:paraId="2FB65FE7" w14:textId="77777777" w:rsidR="00403B07" w:rsidRPr="0010219C" w:rsidRDefault="00403B07" w:rsidP="00403B07">
      <w:pPr>
        <w:pStyle w:val="ListParagraph"/>
        <w:rPr>
          <w:sz w:val="12"/>
        </w:rPr>
      </w:pPr>
    </w:p>
    <w:p w14:paraId="0289E87B" w14:textId="77777777" w:rsidR="00403B07" w:rsidRDefault="00403B07" w:rsidP="00403B07">
      <w:pPr>
        <w:pStyle w:val="ListParagraph"/>
        <w:numPr>
          <w:ilvl w:val="0"/>
          <w:numId w:val="26"/>
        </w:numPr>
      </w:pPr>
      <w:r>
        <w:t>Is XX managing to maintain these changes at all? (if so probe how; if not probe why this might be).</w:t>
      </w:r>
    </w:p>
    <w:p w14:paraId="7FA855B3" w14:textId="77777777" w:rsidR="00403B07" w:rsidRPr="0010219C" w:rsidRDefault="00403B07" w:rsidP="00403B07">
      <w:pPr>
        <w:pStyle w:val="ListParagraph"/>
        <w:rPr>
          <w:sz w:val="16"/>
        </w:rPr>
      </w:pPr>
    </w:p>
    <w:p w14:paraId="77ECBBDF" w14:textId="77777777" w:rsidR="00403B07" w:rsidRDefault="00403B07" w:rsidP="00403B07">
      <w:pPr>
        <w:pStyle w:val="ListParagraph"/>
        <w:numPr>
          <w:ilvl w:val="0"/>
          <w:numId w:val="26"/>
        </w:numPr>
      </w:pPr>
      <w:r>
        <w:t>You mention that the family have made some changes as a result of HeLP, please could you expand on these.</w:t>
      </w:r>
    </w:p>
    <w:p w14:paraId="4FF056EB" w14:textId="77777777" w:rsidR="00403B07" w:rsidRPr="0010219C" w:rsidRDefault="00403B07" w:rsidP="00403B07">
      <w:pPr>
        <w:pStyle w:val="ListParagraph"/>
        <w:rPr>
          <w:sz w:val="4"/>
        </w:rPr>
      </w:pPr>
    </w:p>
    <w:p w14:paraId="5243476B" w14:textId="77777777" w:rsidR="00403B07" w:rsidRPr="0010219C" w:rsidRDefault="00403B07" w:rsidP="00403B07">
      <w:pPr>
        <w:pStyle w:val="ListParagraph"/>
        <w:rPr>
          <w:sz w:val="16"/>
        </w:rPr>
      </w:pPr>
    </w:p>
    <w:p w14:paraId="7A17A9BC" w14:textId="77777777" w:rsidR="00403B07" w:rsidRDefault="00403B07" w:rsidP="00403B07">
      <w:pPr>
        <w:pStyle w:val="ListParagraph"/>
        <w:numPr>
          <w:ilvl w:val="0"/>
          <w:numId w:val="26"/>
        </w:numPr>
      </w:pPr>
      <w:r>
        <w:t>Are the family/you managing to maintain these changes?</w:t>
      </w:r>
    </w:p>
    <w:p w14:paraId="78D797A4" w14:textId="77777777" w:rsidR="00403B07" w:rsidRPr="0010219C" w:rsidRDefault="00403B07" w:rsidP="00403B07">
      <w:pPr>
        <w:pStyle w:val="ListParagraph"/>
        <w:rPr>
          <w:sz w:val="18"/>
        </w:rPr>
      </w:pPr>
    </w:p>
    <w:p w14:paraId="01E162A5" w14:textId="77777777" w:rsidR="00403B07" w:rsidRDefault="00403B07" w:rsidP="00403B07">
      <w:pPr>
        <w:pStyle w:val="ListParagraph"/>
        <w:numPr>
          <w:ilvl w:val="0"/>
          <w:numId w:val="26"/>
        </w:numPr>
      </w:pPr>
      <w:r>
        <w:t>Is there anything else you would like to say about HeLP in particular or healthy lifestyles in general? Probe if there is anything we could have done differently to help us refine the programme for roll out.</w:t>
      </w:r>
    </w:p>
    <w:p w14:paraId="3E92155B" w14:textId="77777777" w:rsidR="00403B07" w:rsidRDefault="00403B07" w:rsidP="00403B07">
      <w:pPr>
        <w:pStyle w:val="ListParagraph"/>
      </w:pPr>
    </w:p>
    <w:p w14:paraId="190F30AD" w14:textId="77777777" w:rsidR="00191C05" w:rsidRDefault="00191C05">
      <w:pPr>
        <w:rPr>
          <w:rFonts w:eastAsiaTheme="majorEastAsia" w:cs="Arial"/>
          <w:b/>
          <w:sz w:val="24"/>
          <w:szCs w:val="24"/>
        </w:rPr>
      </w:pPr>
      <w:r>
        <w:br w:type="page"/>
      </w:r>
    </w:p>
    <w:p w14:paraId="054A0D7F" w14:textId="20A30B47" w:rsidR="00403B07" w:rsidRDefault="00403B07" w:rsidP="00AB4D98">
      <w:pPr>
        <w:pStyle w:val="Heading1"/>
      </w:pPr>
      <w:bookmarkStart w:id="687" w:name="_Toc475974420"/>
      <w:r w:rsidRPr="00344730">
        <w:lastRenderedPageBreak/>
        <w:t>Appendix 1</w:t>
      </w:r>
      <w:r w:rsidR="00705B64">
        <w:t>3</w:t>
      </w:r>
      <w:r w:rsidRPr="00344730">
        <w:t xml:space="preserve"> </w:t>
      </w:r>
      <w:r>
        <w:t>Focus Group Schedule</w:t>
      </w:r>
      <w:bookmarkEnd w:id="687"/>
    </w:p>
    <w:p w14:paraId="2EE8B6B4" w14:textId="77777777" w:rsidR="00403B07" w:rsidRPr="00E82555" w:rsidRDefault="00403B07" w:rsidP="00403B07">
      <w:pPr>
        <w:rPr>
          <w:rFonts w:ascii="Calibri" w:hAnsi="Calibri" w:cs="Arial"/>
          <w:b/>
        </w:rPr>
      </w:pPr>
      <w:r w:rsidRPr="00E82555">
        <w:rPr>
          <w:rFonts w:ascii="Calibri" w:hAnsi="Calibri" w:cs="Arial"/>
          <w:b/>
        </w:rPr>
        <w:t>FOCUS GROUPS WITH YEAR 6 – Programme Schools</w:t>
      </w:r>
    </w:p>
    <w:p w14:paraId="4C8A31E9" w14:textId="7F57CE4E" w:rsidR="00403B07" w:rsidRPr="00E82555" w:rsidRDefault="00403B07" w:rsidP="00403B07">
      <w:pPr>
        <w:rPr>
          <w:rFonts w:ascii="Calibri" w:hAnsi="Calibri" w:cs="Arial"/>
        </w:rPr>
      </w:pPr>
      <w:r w:rsidRPr="00E82555">
        <w:rPr>
          <w:rFonts w:ascii="Calibri" w:hAnsi="Calibri" w:cs="Arial"/>
        </w:rPr>
        <w:t>Last year you were involved in our Healthy Lifestyles Programme</w:t>
      </w:r>
      <w:r>
        <w:rPr>
          <w:rFonts w:ascii="Calibri" w:hAnsi="Calibri" w:cs="Arial"/>
        </w:rPr>
        <w:t>,</w:t>
      </w:r>
      <w:r w:rsidRPr="00E82555">
        <w:rPr>
          <w:rFonts w:ascii="Calibri" w:hAnsi="Calibri" w:cs="Arial"/>
        </w:rPr>
        <w:t xml:space="preserve"> we are </w:t>
      </w:r>
      <w:r>
        <w:rPr>
          <w:rFonts w:ascii="Calibri" w:hAnsi="Calibri" w:cs="Arial"/>
        </w:rPr>
        <w:t>here</w:t>
      </w:r>
      <w:r w:rsidRPr="00E82555">
        <w:rPr>
          <w:rFonts w:ascii="Calibri" w:hAnsi="Calibri" w:cs="Arial"/>
        </w:rPr>
        <w:t xml:space="preserve"> today to find out what you remember about the Programme and how you felt about it</w:t>
      </w:r>
      <w:r>
        <w:rPr>
          <w:rFonts w:ascii="Calibri" w:hAnsi="Calibri" w:cs="Arial"/>
        </w:rPr>
        <w:t>, in research we call this a ‘focus group’ which means to have a chat or discussion about your opinion and feelings about the programme. Each of you is here</w:t>
      </w:r>
      <w:r w:rsidRPr="00E82555">
        <w:rPr>
          <w:rFonts w:ascii="Calibri" w:hAnsi="Calibri" w:cs="Arial"/>
        </w:rPr>
        <w:t xml:space="preserve"> </w:t>
      </w:r>
      <w:r>
        <w:rPr>
          <w:rFonts w:ascii="Calibri" w:hAnsi="Calibri" w:cs="Arial"/>
        </w:rPr>
        <w:t>because we randomly chose</w:t>
      </w:r>
      <w:r w:rsidRPr="00E82555">
        <w:rPr>
          <w:rFonts w:ascii="Calibri" w:hAnsi="Calibri" w:cs="Arial"/>
        </w:rPr>
        <w:t xml:space="preserve"> names out of a hat</w:t>
      </w:r>
      <w:r>
        <w:rPr>
          <w:rFonts w:ascii="Calibri" w:hAnsi="Calibri" w:cs="Arial"/>
        </w:rPr>
        <w:t>.</w:t>
      </w:r>
      <w:r w:rsidRPr="00E82555">
        <w:rPr>
          <w:rFonts w:ascii="Calibri" w:hAnsi="Calibri" w:cs="Arial"/>
        </w:rPr>
        <w:t xml:space="preserve"> </w:t>
      </w:r>
      <w:r>
        <w:rPr>
          <w:rFonts w:ascii="Calibri" w:hAnsi="Calibri" w:cs="Arial"/>
        </w:rPr>
        <w:t>It</w:t>
      </w:r>
      <w:r w:rsidRPr="00E82555">
        <w:rPr>
          <w:rFonts w:ascii="Calibri" w:hAnsi="Calibri" w:cs="Arial"/>
        </w:rPr>
        <w:t xml:space="preserve"> is really important to get some honest feedback</w:t>
      </w:r>
      <w:r>
        <w:rPr>
          <w:rFonts w:ascii="Calibri" w:hAnsi="Calibri" w:cs="Arial"/>
        </w:rPr>
        <w:t>, good and bad,</w:t>
      </w:r>
      <w:r w:rsidRPr="00E82555">
        <w:rPr>
          <w:rFonts w:ascii="Calibri" w:hAnsi="Calibri" w:cs="Arial"/>
        </w:rPr>
        <w:t xml:space="preserve"> from you as this will h</w:t>
      </w:r>
      <w:r>
        <w:rPr>
          <w:rFonts w:ascii="Calibri" w:hAnsi="Calibri" w:cs="Arial"/>
        </w:rPr>
        <w:t>elp us make the P</w:t>
      </w:r>
      <w:r w:rsidRPr="00E82555">
        <w:rPr>
          <w:rFonts w:ascii="Calibri" w:hAnsi="Calibri" w:cs="Arial"/>
        </w:rPr>
        <w:t>rogramme better in the future.</w:t>
      </w:r>
      <w:r>
        <w:rPr>
          <w:rFonts w:ascii="Calibri" w:hAnsi="Calibri" w:cs="Arial"/>
        </w:rPr>
        <w:t xml:space="preserve"> </w:t>
      </w:r>
      <w:r w:rsidRPr="00E82555">
        <w:rPr>
          <w:rFonts w:ascii="Calibri" w:hAnsi="Calibri" w:cs="Arial"/>
        </w:rPr>
        <w:t xml:space="preserve"> </w:t>
      </w:r>
    </w:p>
    <w:p w14:paraId="6CA994B4" w14:textId="77777777" w:rsidR="00403B07" w:rsidRPr="00E82555" w:rsidRDefault="00403B07" w:rsidP="00403B07">
      <w:pPr>
        <w:rPr>
          <w:rFonts w:ascii="Calibri" w:hAnsi="Calibri" w:cs="Arial"/>
        </w:rPr>
      </w:pPr>
    </w:p>
    <w:p w14:paraId="40BAAE28" w14:textId="77777777" w:rsidR="00403B07" w:rsidRDefault="00403B07" w:rsidP="00403B07">
      <w:pPr>
        <w:rPr>
          <w:rFonts w:ascii="Calibri" w:hAnsi="Calibri" w:cs="Arial"/>
        </w:rPr>
      </w:pPr>
      <w:r w:rsidRPr="00E82555">
        <w:rPr>
          <w:rFonts w:ascii="Calibri" w:hAnsi="Calibri" w:cs="Arial"/>
        </w:rPr>
        <w:t>There are no right or wrong answers and we will make sure that each of you has the opportunit</w:t>
      </w:r>
      <w:r>
        <w:rPr>
          <w:rFonts w:ascii="Calibri" w:hAnsi="Calibri" w:cs="Arial"/>
        </w:rPr>
        <w:t>y to speak- it’s very important we hear everyone’s views. So that we don’t talk over each other we are going to use this carrot, you can talk only when you are holding the carrot when you want to speak</w:t>
      </w:r>
      <w:r w:rsidRPr="00E82555">
        <w:rPr>
          <w:rFonts w:ascii="Calibri" w:hAnsi="Calibri" w:cs="Arial"/>
        </w:rPr>
        <w:t xml:space="preserve"> put your hand up and we will </w:t>
      </w:r>
      <w:r>
        <w:rPr>
          <w:rFonts w:ascii="Calibri" w:hAnsi="Calibri" w:cs="Arial"/>
        </w:rPr>
        <w:t>pass the carrot to you</w:t>
      </w:r>
      <w:r w:rsidRPr="00E82555">
        <w:rPr>
          <w:rFonts w:ascii="Calibri" w:hAnsi="Calibri" w:cs="Arial"/>
        </w:rPr>
        <w:t xml:space="preserve">. To help us we are </w:t>
      </w:r>
      <w:r>
        <w:rPr>
          <w:rFonts w:ascii="Calibri" w:hAnsi="Calibri" w:cs="Arial"/>
        </w:rPr>
        <w:t>also</w:t>
      </w:r>
      <w:r w:rsidRPr="00E82555">
        <w:rPr>
          <w:rFonts w:ascii="Calibri" w:hAnsi="Calibri" w:cs="Arial"/>
        </w:rPr>
        <w:t xml:space="preserve"> going to use the ground rules we used during Healthy Lifestyles week, do you remember what they were?</w:t>
      </w:r>
    </w:p>
    <w:p w14:paraId="54B81C9B" w14:textId="77777777" w:rsidR="00403B07" w:rsidRPr="00E82555" w:rsidRDefault="00403B07" w:rsidP="00403B07">
      <w:pPr>
        <w:rPr>
          <w:rFonts w:ascii="Calibri" w:hAnsi="Calibri" w:cs="Arial"/>
        </w:rPr>
      </w:pPr>
    </w:p>
    <w:p w14:paraId="362E4B9D" w14:textId="77777777" w:rsidR="00403B07" w:rsidRPr="00E82555" w:rsidRDefault="00403B07" w:rsidP="00403B07">
      <w:pPr>
        <w:rPr>
          <w:rFonts w:ascii="Calibri" w:hAnsi="Calibri" w:cs="Arial"/>
        </w:rPr>
      </w:pPr>
      <w:r w:rsidRPr="00E82555">
        <w:rPr>
          <w:rFonts w:ascii="Calibri" w:hAnsi="Calibri" w:cs="Arial"/>
        </w:rPr>
        <w:t>No personal comments</w:t>
      </w:r>
    </w:p>
    <w:p w14:paraId="29178FB1" w14:textId="77777777" w:rsidR="00403B07" w:rsidRPr="00E82555" w:rsidRDefault="00403B07" w:rsidP="00403B07">
      <w:pPr>
        <w:rPr>
          <w:rFonts w:ascii="Calibri" w:hAnsi="Calibri" w:cs="Arial"/>
        </w:rPr>
      </w:pPr>
      <w:r w:rsidRPr="00E82555">
        <w:rPr>
          <w:rFonts w:ascii="Calibri" w:hAnsi="Calibri" w:cs="Arial"/>
        </w:rPr>
        <w:t>No put downs</w:t>
      </w:r>
    </w:p>
    <w:p w14:paraId="07F041FC" w14:textId="77777777" w:rsidR="00403B07" w:rsidRPr="00E82555" w:rsidRDefault="00403B07" w:rsidP="00403B07">
      <w:pPr>
        <w:rPr>
          <w:rFonts w:ascii="Calibri" w:hAnsi="Calibri" w:cs="Arial"/>
        </w:rPr>
      </w:pPr>
      <w:r w:rsidRPr="00E82555">
        <w:rPr>
          <w:rFonts w:ascii="Calibri" w:hAnsi="Calibri" w:cs="Arial"/>
        </w:rPr>
        <w:t>Respect and listen to each other</w:t>
      </w:r>
    </w:p>
    <w:p w14:paraId="27201B5E" w14:textId="77777777" w:rsidR="00403B07" w:rsidRPr="00E82555" w:rsidRDefault="00403B07" w:rsidP="00403B07">
      <w:pPr>
        <w:rPr>
          <w:rFonts w:ascii="Calibri" w:hAnsi="Calibri" w:cs="Arial"/>
        </w:rPr>
      </w:pPr>
    </w:p>
    <w:p w14:paraId="15C6AF2E" w14:textId="77777777" w:rsidR="00403B07" w:rsidRPr="000D4E71" w:rsidRDefault="00403B07" w:rsidP="00403B07">
      <w:pPr>
        <w:rPr>
          <w:rFonts w:ascii="Calibri" w:hAnsi="Calibri" w:cs="Arial"/>
          <w:color w:val="FF0000"/>
        </w:rPr>
      </w:pPr>
      <w:r>
        <w:rPr>
          <w:rFonts w:ascii="Calibri" w:hAnsi="Calibri" w:cs="Arial"/>
        </w:rPr>
        <w:t>Ok so n</w:t>
      </w:r>
      <w:r w:rsidRPr="00E82555">
        <w:rPr>
          <w:rFonts w:ascii="Calibri" w:hAnsi="Calibri" w:cs="Arial"/>
        </w:rPr>
        <w:t xml:space="preserve">ow we are going to transport you back in time, like the actors did during Healthy Lifestyles week with their time machine, we have some photos here to </w:t>
      </w:r>
      <w:r>
        <w:rPr>
          <w:rFonts w:ascii="Calibri" w:hAnsi="Calibri" w:cs="Arial"/>
        </w:rPr>
        <w:t xml:space="preserve">help </w:t>
      </w:r>
      <w:r w:rsidRPr="00E82555">
        <w:rPr>
          <w:rFonts w:ascii="Calibri" w:hAnsi="Calibri" w:cs="Arial"/>
        </w:rPr>
        <w:t xml:space="preserve">remind you of the things we did during the programme and we would like you to look at these and spend some time remembering the activities, </w:t>
      </w:r>
      <w:r>
        <w:rPr>
          <w:rFonts w:ascii="Calibri" w:hAnsi="Calibri" w:cs="Arial"/>
        </w:rPr>
        <w:t xml:space="preserve">thinking about </w:t>
      </w:r>
      <w:r w:rsidRPr="00E82555">
        <w:rPr>
          <w:rFonts w:ascii="Calibri" w:hAnsi="Calibri" w:cs="Arial"/>
        </w:rPr>
        <w:t>the character you worked with and the goals you se</w:t>
      </w:r>
      <w:r w:rsidRPr="00C42CA3">
        <w:rPr>
          <w:rFonts w:ascii="Calibri" w:hAnsi="Calibri" w:cs="Arial"/>
        </w:rPr>
        <w:t>t.</w:t>
      </w:r>
      <w:r w:rsidRPr="00C42CA3">
        <w:rPr>
          <w:rFonts w:ascii="Calibri" w:hAnsi="Calibri" w:cs="Arial"/>
          <w:color w:val="FF0000"/>
        </w:rPr>
        <w:t xml:space="preserve"> </w:t>
      </w:r>
      <w:r w:rsidRPr="00B15BE5">
        <w:rPr>
          <w:rFonts w:ascii="Calibri" w:hAnsi="Calibri" w:cs="Arial"/>
        </w:rPr>
        <w:t>We will ask questions about your home and your parents and what they thought of the programme too.</w:t>
      </w:r>
      <w:r>
        <w:rPr>
          <w:rFonts w:ascii="Calibri" w:hAnsi="Calibri" w:cs="Arial"/>
          <w:color w:val="FF0000"/>
        </w:rPr>
        <w:t xml:space="preserve"> </w:t>
      </w:r>
      <w:r w:rsidRPr="000D4E71">
        <w:rPr>
          <w:rFonts w:ascii="Calibri" w:hAnsi="Calibri" w:cs="Arial"/>
          <w:i/>
        </w:rPr>
        <w:t xml:space="preserve">Refer to poster- </w:t>
      </w:r>
      <w:r w:rsidRPr="000D4E71">
        <w:rPr>
          <w:rFonts w:ascii="Calibri" w:hAnsi="Calibri" w:cs="Arial"/>
        </w:rPr>
        <w:t>these are the things we want to focus on today. The photos coming round are of the activity workshops (rugby/basketball/dance) and the HLW.</w:t>
      </w:r>
      <w:r w:rsidRPr="000D4E71">
        <w:rPr>
          <w:rFonts w:ascii="Calibri" w:hAnsi="Calibri" w:cs="Arial"/>
          <w:i/>
        </w:rPr>
        <w:t xml:space="preserve"> </w:t>
      </w:r>
    </w:p>
    <w:p w14:paraId="023B3CE0" w14:textId="77777777" w:rsidR="00403B07" w:rsidRDefault="00403B07" w:rsidP="00403B07">
      <w:pPr>
        <w:rPr>
          <w:rFonts w:ascii="Calibri" w:hAnsi="Calibri" w:cs="Arial"/>
          <w:color w:val="FF0000"/>
        </w:rPr>
      </w:pPr>
    </w:p>
    <w:p w14:paraId="359B0397" w14:textId="77777777" w:rsidR="00403B07" w:rsidRDefault="00403B07" w:rsidP="00403B07">
      <w:pPr>
        <w:rPr>
          <w:rFonts w:ascii="Calibri" w:hAnsi="Calibri" w:cs="Arial"/>
          <w:color w:val="FF0000"/>
        </w:rPr>
      </w:pPr>
      <w:r>
        <w:rPr>
          <w:rFonts w:ascii="Calibri" w:hAnsi="Calibri" w:cs="Arial"/>
          <w:color w:val="FF0000"/>
        </w:rPr>
        <w:t xml:space="preserve">*Pass the photos around the table </w:t>
      </w:r>
    </w:p>
    <w:p w14:paraId="16E583C3" w14:textId="77777777" w:rsidR="00403B07" w:rsidRDefault="00403B07" w:rsidP="00403B07">
      <w:pPr>
        <w:rPr>
          <w:rFonts w:ascii="Calibri" w:hAnsi="Calibri" w:cs="Arial"/>
          <w:color w:val="FF0000"/>
        </w:rPr>
      </w:pPr>
      <w:r>
        <w:rPr>
          <w:rFonts w:ascii="Calibri" w:hAnsi="Calibri" w:cs="Arial"/>
          <w:color w:val="FF0000"/>
        </w:rPr>
        <w:t xml:space="preserve">*Have a copy of goals sheet visible </w:t>
      </w:r>
    </w:p>
    <w:p w14:paraId="7DFC9A64" w14:textId="77777777" w:rsidR="00403B07" w:rsidRPr="00E82555" w:rsidRDefault="00403B07" w:rsidP="00403B07">
      <w:pPr>
        <w:rPr>
          <w:rFonts w:ascii="Calibri" w:hAnsi="Calibri" w:cs="Arial"/>
          <w:color w:val="FF0000"/>
        </w:rPr>
      </w:pPr>
      <w:r>
        <w:rPr>
          <w:rFonts w:ascii="Calibri" w:hAnsi="Calibri" w:cs="Arial"/>
          <w:color w:val="FF0000"/>
        </w:rPr>
        <w:t>*G</w:t>
      </w:r>
      <w:r w:rsidRPr="00E82555">
        <w:rPr>
          <w:rFonts w:ascii="Calibri" w:hAnsi="Calibri" w:cs="Arial"/>
          <w:color w:val="FF0000"/>
        </w:rPr>
        <w:t>ive the children a Post-it note each and a pen</w:t>
      </w:r>
    </w:p>
    <w:p w14:paraId="5EBBE444" w14:textId="77777777" w:rsidR="00403B07" w:rsidRPr="00E82555" w:rsidRDefault="00403B07" w:rsidP="00403B07">
      <w:pPr>
        <w:rPr>
          <w:rFonts w:ascii="Calibri" w:hAnsi="Calibri" w:cs="Arial"/>
        </w:rPr>
      </w:pPr>
    </w:p>
    <w:p w14:paraId="15010C43" w14:textId="77777777" w:rsidR="00403B07" w:rsidRPr="00E82555" w:rsidRDefault="00403B07" w:rsidP="00403B07">
      <w:pPr>
        <w:rPr>
          <w:rFonts w:ascii="Calibri" w:hAnsi="Calibri" w:cs="Arial"/>
        </w:rPr>
      </w:pPr>
      <w:r w:rsidRPr="00E82555">
        <w:rPr>
          <w:rFonts w:ascii="Calibri" w:hAnsi="Calibri" w:cs="Arial"/>
        </w:rPr>
        <w:t>Before we get started we are going to</w:t>
      </w:r>
      <w:r>
        <w:rPr>
          <w:rFonts w:ascii="Calibri" w:hAnsi="Calibri" w:cs="Arial"/>
        </w:rPr>
        <w:t xml:space="preserve"> ask you to imagine you are describing the Healthy Lifestyles Programme to some Year 5 children who are just about to start but don’t know what it’s all about. </w:t>
      </w:r>
      <w:r w:rsidRPr="00E82555">
        <w:rPr>
          <w:rFonts w:ascii="Calibri" w:hAnsi="Calibri" w:cs="Arial"/>
        </w:rPr>
        <w:t xml:space="preserve"> </w:t>
      </w:r>
      <w:r>
        <w:rPr>
          <w:rFonts w:ascii="Calibri" w:hAnsi="Calibri" w:cs="Arial"/>
        </w:rPr>
        <w:t>C</w:t>
      </w:r>
      <w:r w:rsidRPr="00E82555">
        <w:rPr>
          <w:rFonts w:ascii="Calibri" w:hAnsi="Calibri" w:cs="Arial"/>
        </w:rPr>
        <w:t xml:space="preserve">an you come up with 3 words that </w:t>
      </w:r>
      <w:r>
        <w:rPr>
          <w:rFonts w:ascii="Calibri" w:hAnsi="Calibri" w:cs="Arial"/>
        </w:rPr>
        <w:t>you</w:t>
      </w:r>
      <w:r w:rsidRPr="00E82555">
        <w:rPr>
          <w:rFonts w:ascii="Calibri" w:hAnsi="Calibri" w:cs="Arial"/>
        </w:rPr>
        <w:t xml:space="preserve"> would use to describe the whole experience to other children</w:t>
      </w:r>
      <w:r>
        <w:rPr>
          <w:rFonts w:ascii="Calibri" w:hAnsi="Calibri" w:cs="Arial"/>
        </w:rPr>
        <w:t>?</w:t>
      </w:r>
      <w:r w:rsidRPr="00E82555">
        <w:rPr>
          <w:rFonts w:ascii="Calibri" w:hAnsi="Calibri" w:cs="Arial"/>
        </w:rPr>
        <w:t xml:space="preserve"> </w:t>
      </w:r>
    </w:p>
    <w:p w14:paraId="0B7B8978" w14:textId="77777777" w:rsidR="00403B07" w:rsidRPr="00E82555" w:rsidRDefault="00403B07" w:rsidP="00403B07">
      <w:pPr>
        <w:rPr>
          <w:rFonts w:ascii="Calibri" w:hAnsi="Calibri" w:cs="Arial"/>
        </w:rPr>
      </w:pPr>
      <w:r>
        <w:rPr>
          <w:rFonts w:ascii="Calibri" w:hAnsi="Calibri" w:cs="Arial"/>
        </w:rPr>
        <w:t>There is a voice recorder in the room</w:t>
      </w:r>
      <w:r w:rsidRPr="00E82555">
        <w:rPr>
          <w:rFonts w:ascii="Calibri" w:hAnsi="Calibri" w:cs="Arial"/>
        </w:rPr>
        <w:t xml:space="preserve"> </w:t>
      </w:r>
      <w:r>
        <w:rPr>
          <w:rFonts w:ascii="Calibri" w:hAnsi="Calibri" w:cs="Arial"/>
        </w:rPr>
        <w:t>so we can write up notes about the things you say, please don’t worry about it being on. W</w:t>
      </w:r>
      <w:r w:rsidRPr="00E82555">
        <w:rPr>
          <w:rFonts w:ascii="Calibri" w:hAnsi="Calibri" w:cs="Arial"/>
        </w:rPr>
        <w:t xml:space="preserve">e will go round the room and each say our name, </w:t>
      </w:r>
      <w:r>
        <w:rPr>
          <w:rFonts w:ascii="Calibri" w:hAnsi="Calibri" w:cs="Arial"/>
        </w:rPr>
        <w:t>so</w:t>
      </w:r>
      <w:r w:rsidRPr="00E82555">
        <w:rPr>
          <w:rFonts w:ascii="Calibri" w:hAnsi="Calibri" w:cs="Arial"/>
        </w:rPr>
        <w:t xml:space="preserve"> let’s get started…..</w:t>
      </w:r>
    </w:p>
    <w:p w14:paraId="74BCAC67" w14:textId="504F93DD" w:rsidR="00403B07" w:rsidRPr="009F6ABF" w:rsidRDefault="00403B07" w:rsidP="00403B07">
      <w:pPr>
        <w:rPr>
          <w:rFonts w:ascii="Calibri" w:hAnsi="Calibri" w:cs="Arial"/>
          <w:color w:val="4F81BD"/>
        </w:rPr>
      </w:pPr>
      <w:r w:rsidRPr="00E82555">
        <w:rPr>
          <w:rFonts w:ascii="Calibri" w:hAnsi="Calibri" w:cs="Arial"/>
        </w:rPr>
        <w:t xml:space="preserve">What </w:t>
      </w:r>
      <w:r>
        <w:rPr>
          <w:rFonts w:ascii="Calibri" w:hAnsi="Calibri" w:cs="Arial"/>
        </w:rPr>
        <w:t>did you enjoy</w:t>
      </w:r>
      <w:r w:rsidRPr="00E82555">
        <w:rPr>
          <w:rFonts w:ascii="Calibri" w:hAnsi="Calibri" w:cs="Arial"/>
        </w:rPr>
        <w:t xml:space="preserve"> about the HeLP Programme? (one thing from each child)</w:t>
      </w:r>
      <w:r>
        <w:rPr>
          <w:rFonts w:ascii="Calibri" w:hAnsi="Calibri" w:cs="Arial"/>
        </w:rPr>
        <w:t xml:space="preserve"> </w:t>
      </w:r>
      <w:r w:rsidRPr="009F6ABF">
        <w:rPr>
          <w:rFonts w:ascii="Calibri" w:hAnsi="Calibri" w:cs="Arial"/>
          <w:color w:val="4F81BD"/>
        </w:rPr>
        <w:t>Probe reasons for why they enjoyed these things</w:t>
      </w:r>
    </w:p>
    <w:p w14:paraId="052EE781" w14:textId="77777777" w:rsidR="00403B07" w:rsidRPr="00E82555" w:rsidRDefault="00403B07" w:rsidP="00403B07">
      <w:pPr>
        <w:rPr>
          <w:rFonts w:ascii="Calibri" w:hAnsi="Calibri" w:cs="Arial"/>
        </w:rPr>
      </w:pPr>
    </w:p>
    <w:p w14:paraId="6963191F" w14:textId="64CD9BDF" w:rsidR="00191C05" w:rsidRPr="00B00783" w:rsidRDefault="00191C05" w:rsidP="00191C05">
      <w:pPr>
        <w:rPr>
          <w:rFonts w:cs="Arial"/>
          <w:b/>
          <w:i/>
        </w:rPr>
      </w:pPr>
      <w:r w:rsidRPr="00B00783">
        <w:rPr>
          <w:rFonts w:cs="Arial"/>
          <w:b/>
          <w:i/>
        </w:rPr>
        <w:lastRenderedPageBreak/>
        <w:t>Appendix 1</w:t>
      </w:r>
      <w:r w:rsidR="00A60D1B">
        <w:rPr>
          <w:rFonts w:cs="Arial"/>
          <w:b/>
          <w:i/>
        </w:rPr>
        <w:t>3</w:t>
      </w:r>
      <w:r w:rsidRPr="00B00783">
        <w:rPr>
          <w:rFonts w:cs="Arial"/>
          <w:b/>
          <w:i/>
        </w:rPr>
        <w:t xml:space="preserve"> </w:t>
      </w:r>
      <w:r>
        <w:rPr>
          <w:rFonts w:cs="Arial"/>
          <w:b/>
          <w:i/>
        </w:rPr>
        <w:t>Focus Group</w:t>
      </w:r>
      <w:r w:rsidRPr="00B00783">
        <w:rPr>
          <w:rFonts w:cs="Arial"/>
          <w:b/>
          <w:i/>
        </w:rPr>
        <w:t xml:space="preserve"> Schedule (continued)</w:t>
      </w:r>
    </w:p>
    <w:p w14:paraId="19C7A63C" w14:textId="77777777" w:rsidR="00191C05" w:rsidRDefault="00191C05" w:rsidP="00403B07">
      <w:pPr>
        <w:rPr>
          <w:rFonts w:ascii="Calibri" w:hAnsi="Calibri" w:cs="Arial"/>
        </w:rPr>
      </w:pPr>
    </w:p>
    <w:p w14:paraId="7373EB8B" w14:textId="77777777" w:rsidR="00403B07" w:rsidRPr="00E82555" w:rsidRDefault="00403B07" w:rsidP="00403B07">
      <w:pPr>
        <w:rPr>
          <w:rFonts w:ascii="Calibri" w:hAnsi="Calibri" w:cs="Arial"/>
          <w:i/>
          <w:color w:val="4F81BD"/>
        </w:rPr>
      </w:pPr>
      <w:r w:rsidRPr="00E82555">
        <w:rPr>
          <w:rFonts w:ascii="Calibri" w:hAnsi="Calibri" w:cs="Arial"/>
        </w:rPr>
        <w:t xml:space="preserve">Did you talk about HeLP at home? </w:t>
      </w:r>
      <w:r w:rsidRPr="00E82555">
        <w:rPr>
          <w:rFonts w:ascii="Calibri" w:hAnsi="Calibri" w:cs="Arial"/>
          <w:i/>
          <w:color w:val="4F81BD"/>
        </w:rPr>
        <w:t>Probe what was said and with whom</w:t>
      </w:r>
      <w:r>
        <w:rPr>
          <w:rFonts w:ascii="Calibri" w:hAnsi="Calibri" w:cs="Arial"/>
          <w:i/>
          <w:color w:val="4F81BD"/>
        </w:rPr>
        <w:t xml:space="preserve"> and why they wanted to talk about these things</w:t>
      </w:r>
    </w:p>
    <w:p w14:paraId="41202FBA" w14:textId="77777777" w:rsidR="00403B07" w:rsidRPr="00E82555" w:rsidRDefault="00403B07" w:rsidP="00403B07">
      <w:pPr>
        <w:rPr>
          <w:rFonts w:ascii="Calibri" w:hAnsi="Calibri" w:cs="Arial"/>
          <w:i/>
          <w:color w:val="4F81BD"/>
        </w:rPr>
      </w:pPr>
    </w:p>
    <w:p w14:paraId="0AD3D2B5" w14:textId="77777777" w:rsidR="00403B07" w:rsidRPr="00E82555" w:rsidRDefault="00403B07" w:rsidP="00403B07">
      <w:pPr>
        <w:rPr>
          <w:rFonts w:ascii="Calibri" w:hAnsi="Calibri" w:cs="Arial"/>
          <w:i/>
          <w:color w:val="4F81BD"/>
        </w:rPr>
      </w:pPr>
      <w:r w:rsidRPr="00E82555">
        <w:rPr>
          <w:rFonts w:ascii="Calibri" w:hAnsi="Calibri" w:cs="Arial"/>
        </w:rPr>
        <w:t xml:space="preserve">What do you think your parents/family think of HeLP? </w:t>
      </w:r>
      <w:r w:rsidRPr="00E82555">
        <w:rPr>
          <w:rFonts w:ascii="Calibri" w:hAnsi="Calibri" w:cs="Arial"/>
          <w:i/>
          <w:color w:val="4F81BD"/>
        </w:rPr>
        <w:t xml:space="preserve">Probe events they </w:t>
      </w:r>
    </w:p>
    <w:p w14:paraId="7B471EF3" w14:textId="77777777" w:rsidR="00403B07" w:rsidRPr="00E82555" w:rsidRDefault="00403B07" w:rsidP="00403B07">
      <w:pPr>
        <w:rPr>
          <w:rFonts w:ascii="Calibri" w:hAnsi="Calibri" w:cs="Arial"/>
          <w:i/>
          <w:color w:val="4F81BD"/>
        </w:rPr>
      </w:pPr>
      <w:r w:rsidRPr="00E82555">
        <w:rPr>
          <w:rFonts w:ascii="Calibri" w:hAnsi="Calibri" w:cs="Arial"/>
          <w:i/>
          <w:color w:val="4F81BD"/>
        </w:rPr>
        <w:t>came to</w:t>
      </w:r>
      <w:r>
        <w:rPr>
          <w:rFonts w:ascii="Calibri" w:hAnsi="Calibri" w:cs="Arial"/>
          <w:i/>
          <w:color w:val="4F81BD"/>
        </w:rPr>
        <w:t xml:space="preserve"> and if anything was said/discussed as a result</w:t>
      </w:r>
    </w:p>
    <w:p w14:paraId="727B4F21" w14:textId="77777777" w:rsidR="00403B07" w:rsidRPr="00E82555" w:rsidRDefault="00403B07" w:rsidP="00403B07">
      <w:pPr>
        <w:rPr>
          <w:rFonts w:ascii="Calibri" w:hAnsi="Calibri" w:cs="Arial"/>
          <w:i/>
          <w:color w:val="4F81BD"/>
        </w:rPr>
      </w:pPr>
    </w:p>
    <w:p w14:paraId="7F9792C1" w14:textId="77777777" w:rsidR="00403B07" w:rsidRDefault="00403B07" w:rsidP="00403B07">
      <w:pPr>
        <w:rPr>
          <w:rFonts w:ascii="Calibri" w:hAnsi="Calibri" w:cs="Arial"/>
          <w:i/>
          <w:color w:val="4F81BD"/>
        </w:rPr>
      </w:pPr>
      <w:r w:rsidRPr="00E82555">
        <w:rPr>
          <w:rFonts w:ascii="Calibri" w:hAnsi="Calibri" w:cs="Arial"/>
        </w:rPr>
        <w:t>Did you talk about HeLP at school</w:t>
      </w:r>
      <w:r>
        <w:rPr>
          <w:rFonts w:ascii="Calibri" w:hAnsi="Calibri" w:cs="Arial"/>
        </w:rPr>
        <w:t xml:space="preserve"> e.g. in the playground or in other lessons</w:t>
      </w:r>
      <w:r w:rsidRPr="00E82555">
        <w:rPr>
          <w:rFonts w:ascii="Calibri" w:hAnsi="Calibri" w:cs="Arial"/>
        </w:rPr>
        <w:t xml:space="preserve">? </w:t>
      </w:r>
      <w:r w:rsidRPr="00E82555">
        <w:rPr>
          <w:rFonts w:ascii="Calibri" w:hAnsi="Calibri" w:cs="Arial"/>
          <w:i/>
          <w:color w:val="4F81BD"/>
        </w:rPr>
        <w:t>Probe what was said and with whom</w:t>
      </w:r>
      <w:r>
        <w:rPr>
          <w:rFonts w:ascii="Calibri" w:hAnsi="Calibri" w:cs="Arial"/>
          <w:i/>
          <w:color w:val="4F81BD"/>
        </w:rPr>
        <w:t xml:space="preserve"> and why they discussed these things</w:t>
      </w:r>
    </w:p>
    <w:p w14:paraId="74E5FA5C" w14:textId="77777777" w:rsidR="00403B07" w:rsidRPr="00E82555" w:rsidRDefault="00403B07" w:rsidP="00403B07">
      <w:pPr>
        <w:rPr>
          <w:rFonts w:ascii="Calibri" w:hAnsi="Calibri" w:cs="Arial"/>
          <w:i/>
          <w:color w:val="4F81BD"/>
        </w:rPr>
      </w:pPr>
    </w:p>
    <w:p w14:paraId="35C28C31" w14:textId="77777777" w:rsidR="00403B07" w:rsidRPr="000D4E71" w:rsidRDefault="00403B07" w:rsidP="00403B07">
      <w:pPr>
        <w:rPr>
          <w:rFonts w:ascii="Calibri" w:hAnsi="Calibri" w:cs="Arial"/>
          <w:i/>
          <w:color w:val="4F81BD"/>
        </w:rPr>
      </w:pPr>
      <w:r w:rsidRPr="00E82555">
        <w:rPr>
          <w:rFonts w:ascii="Calibri" w:hAnsi="Calibri" w:cs="Arial"/>
        </w:rPr>
        <w:t>What did you think about the drama and the other activities during th</w:t>
      </w:r>
      <w:r>
        <w:rPr>
          <w:rFonts w:ascii="Calibri" w:hAnsi="Calibri" w:cs="Arial"/>
        </w:rPr>
        <w:t>e</w:t>
      </w:r>
      <w:r w:rsidRPr="00E82555">
        <w:rPr>
          <w:rFonts w:ascii="Calibri" w:hAnsi="Calibri" w:cs="Arial"/>
        </w:rPr>
        <w:t xml:space="preserve"> </w:t>
      </w:r>
      <w:r>
        <w:rPr>
          <w:rFonts w:ascii="Calibri" w:hAnsi="Calibri" w:cs="Arial"/>
        </w:rPr>
        <w:t>Healthy Lifestyles W</w:t>
      </w:r>
      <w:r w:rsidRPr="00E82555">
        <w:rPr>
          <w:rFonts w:ascii="Calibri" w:hAnsi="Calibri" w:cs="Arial"/>
        </w:rPr>
        <w:t xml:space="preserve">eek? </w:t>
      </w:r>
    </w:p>
    <w:p w14:paraId="0388F584" w14:textId="77777777" w:rsidR="00403B07" w:rsidRPr="000D4E71" w:rsidRDefault="00403B07" w:rsidP="00403B07">
      <w:pPr>
        <w:rPr>
          <w:rFonts w:ascii="Calibri" w:hAnsi="Calibri" w:cs="Arial"/>
          <w:i/>
          <w:color w:val="4F81BD"/>
        </w:rPr>
      </w:pPr>
    </w:p>
    <w:p w14:paraId="383F87E5" w14:textId="77777777" w:rsidR="00403B07" w:rsidRPr="000D4E71" w:rsidRDefault="00403B07" w:rsidP="00403B07">
      <w:pPr>
        <w:rPr>
          <w:rFonts w:ascii="Calibri" w:hAnsi="Calibri" w:cs="Arial"/>
          <w:i/>
          <w:color w:val="4F81BD"/>
        </w:rPr>
      </w:pPr>
      <w:r w:rsidRPr="000D4E71">
        <w:rPr>
          <w:rFonts w:ascii="Calibri" w:hAnsi="Calibri" w:cs="Arial"/>
        </w:rPr>
        <w:t xml:space="preserve">How was it different to what you usually do in school? </w:t>
      </w:r>
      <w:r w:rsidRPr="000D4E71">
        <w:rPr>
          <w:rFonts w:ascii="Calibri" w:hAnsi="Calibri" w:cs="Arial"/>
          <w:i/>
          <w:color w:val="0070C0"/>
        </w:rPr>
        <w:t>Probe why</w:t>
      </w:r>
      <w:r>
        <w:rPr>
          <w:rFonts w:ascii="Calibri" w:hAnsi="Calibri" w:cs="Arial"/>
          <w:i/>
          <w:color w:val="0070C0"/>
        </w:rPr>
        <w:t xml:space="preserve"> and the impact this had on them</w:t>
      </w:r>
    </w:p>
    <w:p w14:paraId="784D25D8" w14:textId="77777777" w:rsidR="00403B07" w:rsidRDefault="00403B07" w:rsidP="00403B07">
      <w:pPr>
        <w:rPr>
          <w:rFonts w:ascii="Calibri" w:hAnsi="Calibri" w:cs="Arial"/>
          <w:i/>
          <w:color w:val="4F81BD"/>
        </w:rPr>
      </w:pPr>
    </w:p>
    <w:p w14:paraId="42B1BE83" w14:textId="77777777" w:rsidR="00403B07" w:rsidRPr="000D4E71" w:rsidRDefault="00403B07" w:rsidP="00403B07">
      <w:pPr>
        <w:rPr>
          <w:rFonts w:ascii="Calibri" w:hAnsi="Calibri" w:cs="Arial"/>
          <w:i/>
          <w:color w:val="4F81BD"/>
        </w:rPr>
      </w:pPr>
      <w:r w:rsidRPr="000D4E71">
        <w:rPr>
          <w:rFonts w:ascii="Calibri" w:hAnsi="Calibri" w:cs="Arial"/>
        </w:rPr>
        <w:t xml:space="preserve">How easy was it to pick a character? </w:t>
      </w:r>
      <w:r w:rsidRPr="000D4E71">
        <w:rPr>
          <w:rFonts w:ascii="Calibri" w:hAnsi="Calibri" w:cs="Arial"/>
          <w:i/>
          <w:color w:val="0070C0"/>
        </w:rPr>
        <w:t>Draw out why they identified with their character</w:t>
      </w:r>
    </w:p>
    <w:p w14:paraId="37E688EC" w14:textId="77777777" w:rsidR="00403B07" w:rsidRPr="000D4E71" w:rsidRDefault="00403B07" w:rsidP="00403B07">
      <w:pPr>
        <w:rPr>
          <w:rFonts w:ascii="Calibri" w:hAnsi="Calibri" w:cs="Arial"/>
          <w:i/>
          <w:color w:val="4F81BD"/>
        </w:rPr>
      </w:pPr>
    </w:p>
    <w:p w14:paraId="221F9DB4" w14:textId="77777777" w:rsidR="00403B07" w:rsidRDefault="00403B07" w:rsidP="00403B07">
      <w:pPr>
        <w:rPr>
          <w:rFonts w:ascii="Calibri" w:hAnsi="Calibri" w:cs="Arial"/>
          <w:i/>
          <w:color w:val="0070C0"/>
        </w:rPr>
      </w:pPr>
      <w:r w:rsidRPr="00E82555">
        <w:rPr>
          <w:rFonts w:ascii="Calibri" w:hAnsi="Calibri" w:cs="Arial"/>
        </w:rPr>
        <w:t xml:space="preserve">Did working with your chosen character help you to set goals? </w:t>
      </w:r>
      <w:r w:rsidRPr="00E82555">
        <w:rPr>
          <w:rFonts w:ascii="Calibri" w:hAnsi="Calibri" w:cs="Arial"/>
          <w:i/>
          <w:color w:val="0070C0"/>
        </w:rPr>
        <w:t>Probe reasons why</w:t>
      </w:r>
    </w:p>
    <w:p w14:paraId="31F1BF4F" w14:textId="77777777" w:rsidR="00403B07" w:rsidRDefault="00403B07" w:rsidP="00403B07">
      <w:pPr>
        <w:rPr>
          <w:rFonts w:ascii="Calibri" w:hAnsi="Calibri" w:cs="Arial"/>
        </w:rPr>
      </w:pPr>
    </w:p>
    <w:p w14:paraId="1384B27D" w14:textId="77777777" w:rsidR="00403B07" w:rsidRPr="000D4E71" w:rsidRDefault="00403B07" w:rsidP="00403B07">
      <w:pPr>
        <w:rPr>
          <w:rFonts w:ascii="Calibri" w:hAnsi="Calibri" w:cs="Arial"/>
        </w:rPr>
      </w:pPr>
      <w:r w:rsidRPr="000D4E71">
        <w:rPr>
          <w:rFonts w:ascii="Calibri" w:hAnsi="Calibri" w:cs="Arial"/>
        </w:rPr>
        <w:t>How did you feel when you had a different actor playing your character in the year 6 activities?</w:t>
      </w:r>
      <w:r>
        <w:rPr>
          <w:rFonts w:ascii="Calibri" w:hAnsi="Calibri" w:cs="Arial"/>
        </w:rPr>
        <w:t xml:space="preserve"> </w:t>
      </w:r>
      <w:r w:rsidRPr="009F6ABF">
        <w:rPr>
          <w:rFonts w:ascii="Calibri" w:hAnsi="Calibri" w:cs="Arial"/>
          <w:i/>
          <w:color w:val="4F81BD"/>
        </w:rPr>
        <w:t>Probe reasons for these feelings</w:t>
      </w:r>
    </w:p>
    <w:p w14:paraId="2BD520D4" w14:textId="77777777" w:rsidR="00191C05" w:rsidRDefault="00191C05" w:rsidP="00403B07">
      <w:pPr>
        <w:rPr>
          <w:rFonts w:ascii="Calibri" w:hAnsi="Calibri" w:cs="Arial"/>
        </w:rPr>
      </w:pPr>
    </w:p>
    <w:p w14:paraId="38E949BE" w14:textId="77777777" w:rsidR="00403B07" w:rsidRPr="00E82555" w:rsidRDefault="00403B07" w:rsidP="00403B07">
      <w:pPr>
        <w:rPr>
          <w:rFonts w:ascii="Calibri" w:hAnsi="Calibri" w:cs="Arial"/>
          <w:i/>
          <w:color w:val="4F81BD"/>
        </w:rPr>
      </w:pPr>
      <w:r w:rsidRPr="00E82555">
        <w:rPr>
          <w:rFonts w:ascii="Calibri" w:hAnsi="Calibri" w:cs="Arial"/>
        </w:rPr>
        <w:t xml:space="preserve">How did you find setting goals at home with your parents? </w:t>
      </w:r>
      <w:r w:rsidRPr="00E82555">
        <w:rPr>
          <w:rFonts w:ascii="Calibri" w:hAnsi="Calibri" w:cs="Arial"/>
          <w:i/>
          <w:color w:val="4F81BD"/>
        </w:rPr>
        <w:t>Probe reasons for their experiences</w:t>
      </w:r>
      <w:r>
        <w:rPr>
          <w:rFonts w:ascii="Calibri" w:hAnsi="Calibri" w:cs="Arial"/>
          <w:i/>
          <w:color w:val="4F81BD"/>
        </w:rPr>
        <w:t>. Probe if anything was discussed/said at this time</w:t>
      </w:r>
    </w:p>
    <w:p w14:paraId="68BEBE62" w14:textId="77777777" w:rsidR="00403B07" w:rsidRPr="00E82555" w:rsidRDefault="00403B07" w:rsidP="00403B07">
      <w:pPr>
        <w:rPr>
          <w:rFonts w:ascii="Calibri" w:hAnsi="Calibri" w:cs="Arial"/>
          <w:i/>
          <w:color w:val="4F81BD"/>
        </w:rPr>
      </w:pPr>
    </w:p>
    <w:p w14:paraId="789AB6ED" w14:textId="77777777" w:rsidR="00403B07" w:rsidRPr="00E82555" w:rsidRDefault="00403B07" w:rsidP="00403B07">
      <w:pPr>
        <w:rPr>
          <w:rFonts w:ascii="Calibri" w:hAnsi="Calibri" w:cs="Arial"/>
          <w:i/>
          <w:color w:val="4F81BD"/>
        </w:rPr>
      </w:pPr>
      <w:r w:rsidRPr="00E82555">
        <w:rPr>
          <w:rFonts w:ascii="Calibri" w:hAnsi="Calibri" w:cs="Arial"/>
        </w:rPr>
        <w:t>What was it like trying to</w:t>
      </w:r>
      <w:r>
        <w:rPr>
          <w:rFonts w:ascii="Calibri" w:hAnsi="Calibri" w:cs="Arial"/>
        </w:rPr>
        <w:t xml:space="preserve"> achieve your goals</w:t>
      </w:r>
      <w:r w:rsidRPr="00E82555">
        <w:rPr>
          <w:rFonts w:ascii="Calibri" w:hAnsi="Calibri" w:cs="Arial"/>
        </w:rPr>
        <w:t xml:space="preserve">? (at home and at school). </w:t>
      </w:r>
      <w:r w:rsidRPr="00E82555">
        <w:rPr>
          <w:rFonts w:ascii="Calibri" w:hAnsi="Calibri" w:cs="Arial"/>
          <w:i/>
          <w:color w:val="4F81BD"/>
        </w:rPr>
        <w:t>Probe reasons for why it was difficult/easy</w:t>
      </w:r>
    </w:p>
    <w:p w14:paraId="62688F91" w14:textId="77777777" w:rsidR="00403B07" w:rsidRPr="00E82555" w:rsidRDefault="00403B07" w:rsidP="00403B07">
      <w:pPr>
        <w:rPr>
          <w:rFonts w:ascii="Calibri" w:hAnsi="Calibri" w:cs="Arial"/>
          <w:i/>
          <w:color w:val="4F81BD"/>
        </w:rPr>
      </w:pPr>
    </w:p>
    <w:p w14:paraId="6058960D" w14:textId="77777777" w:rsidR="00403B07" w:rsidRDefault="00403B07" w:rsidP="00403B07">
      <w:pPr>
        <w:rPr>
          <w:rFonts w:ascii="Calibri" w:hAnsi="Calibri" w:cs="Arial"/>
          <w:i/>
          <w:color w:val="4F81BD"/>
        </w:rPr>
      </w:pPr>
      <w:r w:rsidRPr="00E82555">
        <w:rPr>
          <w:rFonts w:ascii="Calibri" w:hAnsi="Calibri" w:cs="Arial"/>
        </w:rPr>
        <w:t xml:space="preserve">Could you tell </w:t>
      </w:r>
      <w:r>
        <w:rPr>
          <w:rFonts w:ascii="Calibri" w:hAnsi="Calibri" w:cs="Arial"/>
        </w:rPr>
        <w:t>us</w:t>
      </w:r>
      <w:r w:rsidRPr="00E82555">
        <w:rPr>
          <w:rFonts w:ascii="Calibri" w:hAnsi="Calibri" w:cs="Arial"/>
        </w:rPr>
        <w:t xml:space="preserve"> anything you or </w:t>
      </w:r>
      <w:r>
        <w:rPr>
          <w:rFonts w:ascii="Calibri" w:hAnsi="Calibri" w:cs="Arial"/>
        </w:rPr>
        <w:t xml:space="preserve">your friends and family </w:t>
      </w:r>
      <w:r w:rsidRPr="00E82555">
        <w:rPr>
          <w:rFonts w:ascii="Calibri" w:hAnsi="Calibri" w:cs="Arial"/>
        </w:rPr>
        <w:t>did to help you achieve your goals? (at home and at school).</w:t>
      </w:r>
      <w:r w:rsidRPr="00E82555">
        <w:rPr>
          <w:rFonts w:ascii="Calibri" w:hAnsi="Calibri" w:cs="Arial"/>
          <w:i/>
          <w:color w:val="4F81BD"/>
        </w:rPr>
        <w:t xml:space="preserve"> Probe what they were</w:t>
      </w:r>
      <w:r>
        <w:rPr>
          <w:rFonts w:ascii="Calibri" w:hAnsi="Calibri" w:cs="Arial"/>
          <w:i/>
          <w:color w:val="4F81BD"/>
        </w:rPr>
        <w:t xml:space="preserve"> and the impact it had</w:t>
      </w:r>
    </w:p>
    <w:p w14:paraId="41814B89" w14:textId="77777777" w:rsidR="00403B07" w:rsidRPr="00E82555" w:rsidRDefault="00403B07" w:rsidP="00403B07">
      <w:pPr>
        <w:rPr>
          <w:rFonts w:ascii="Calibri" w:hAnsi="Calibri" w:cs="Arial"/>
          <w:i/>
          <w:color w:val="4F81BD"/>
        </w:rPr>
      </w:pPr>
    </w:p>
    <w:p w14:paraId="183BA64E" w14:textId="1CA42AEC" w:rsidR="00403B07" w:rsidRPr="00A20266" w:rsidRDefault="00403B07" w:rsidP="00403B07">
      <w:pPr>
        <w:rPr>
          <w:rFonts w:ascii="Calibri" w:hAnsi="Calibri" w:cs="Arial"/>
          <w:i/>
          <w:color w:val="4F81BD"/>
        </w:rPr>
      </w:pPr>
      <w:r w:rsidRPr="00E82555">
        <w:rPr>
          <w:rFonts w:ascii="Calibri" w:hAnsi="Calibri" w:cs="Arial"/>
        </w:rPr>
        <w:t xml:space="preserve">Have you noticed any changes in yourself from being involved in the Programme? </w:t>
      </w:r>
      <w:r w:rsidRPr="00E82555">
        <w:rPr>
          <w:rFonts w:ascii="Calibri" w:hAnsi="Calibri" w:cs="Arial"/>
          <w:i/>
          <w:color w:val="4F81BD"/>
        </w:rPr>
        <w:t>Probe what they wer</w:t>
      </w:r>
      <w:r>
        <w:rPr>
          <w:rFonts w:ascii="Calibri" w:hAnsi="Calibri" w:cs="Arial"/>
          <w:i/>
          <w:color w:val="4F81BD"/>
        </w:rPr>
        <w:t>e. Make it clear to the children this can include their thoughts and attitudes as well as their behaviours</w:t>
      </w:r>
    </w:p>
    <w:p w14:paraId="4367C884" w14:textId="77777777" w:rsidR="00403B07" w:rsidRPr="00E82555" w:rsidRDefault="00403B07" w:rsidP="00403B07">
      <w:pPr>
        <w:rPr>
          <w:rFonts w:ascii="Calibri" w:hAnsi="Calibri" w:cs="Arial"/>
          <w:i/>
          <w:color w:val="4F81BD"/>
        </w:rPr>
      </w:pPr>
    </w:p>
    <w:p w14:paraId="2A59412E" w14:textId="3EE1B0A0" w:rsidR="00191C05" w:rsidRPr="00B00783" w:rsidRDefault="00191C05" w:rsidP="00191C05">
      <w:pPr>
        <w:rPr>
          <w:rFonts w:cs="Arial"/>
          <w:b/>
          <w:i/>
        </w:rPr>
      </w:pPr>
      <w:r w:rsidRPr="00B00783">
        <w:rPr>
          <w:rFonts w:cs="Arial"/>
          <w:b/>
          <w:i/>
        </w:rPr>
        <w:lastRenderedPageBreak/>
        <w:t>Appendix 1</w:t>
      </w:r>
      <w:r w:rsidR="00A60D1B">
        <w:rPr>
          <w:rFonts w:cs="Arial"/>
          <w:b/>
          <w:i/>
        </w:rPr>
        <w:t>3</w:t>
      </w:r>
      <w:r w:rsidRPr="00B00783">
        <w:rPr>
          <w:rFonts w:cs="Arial"/>
          <w:b/>
          <w:i/>
        </w:rPr>
        <w:t xml:space="preserve"> </w:t>
      </w:r>
      <w:r>
        <w:rPr>
          <w:rFonts w:cs="Arial"/>
          <w:b/>
          <w:i/>
        </w:rPr>
        <w:t>Focus Group</w:t>
      </w:r>
      <w:r w:rsidRPr="00B00783">
        <w:rPr>
          <w:rFonts w:cs="Arial"/>
          <w:b/>
          <w:i/>
        </w:rPr>
        <w:t xml:space="preserve"> Schedule (continued)</w:t>
      </w:r>
    </w:p>
    <w:p w14:paraId="7F84430C" w14:textId="62A43344" w:rsidR="00403B07" w:rsidRPr="00E82555" w:rsidRDefault="00403B07" w:rsidP="00403B07">
      <w:pPr>
        <w:rPr>
          <w:rFonts w:ascii="Calibri" w:hAnsi="Calibri" w:cs="Arial"/>
          <w:i/>
          <w:color w:val="4F81BD"/>
        </w:rPr>
      </w:pPr>
      <w:r w:rsidRPr="00E82555">
        <w:rPr>
          <w:rFonts w:ascii="Calibri" w:hAnsi="Calibri" w:cs="Arial"/>
        </w:rPr>
        <w:t xml:space="preserve">Have you noticed any changes at home since the </w:t>
      </w:r>
      <w:r w:rsidR="007B70F3">
        <w:rPr>
          <w:rFonts w:ascii="Calibri" w:hAnsi="Calibri" w:cs="Arial"/>
        </w:rPr>
        <w:t>P</w:t>
      </w:r>
      <w:r w:rsidRPr="00E82555">
        <w:rPr>
          <w:rFonts w:ascii="Calibri" w:hAnsi="Calibri" w:cs="Arial"/>
        </w:rPr>
        <w:t xml:space="preserve">rogramme? </w:t>
      </w:r>
      <w:r w:rsidRPr="00E82555">
        <w:rPr>
          <w:rFonts w:ascii="Calibri" w:hAnsi="Calibri" w:cs="Arial"/>
          <w:i/>
          <w:color w:val="4F81BD"/>
        </w:rPr>
        <w:t>Probe what they were</w:t>
      </w:r>
      <w:r>
        <w:rPr>
          <w:rFonts w:ascii="Calibri" w:hAnsi="Calibri" w:cs="Arial"/>
          <w:i/>
          <w:color w:val="4F81BD"/>
        </w:rPr>
        <w:t>. This can also include discussions and how they relate to their family as well</w:t>
      </w:r>
    </w:p>
    <w:p w14:paraId="100D0E0F" w14:textId="77777777" w:rsidR="00403B07" w:rsidRPr="00E82555" w:rsidRDefault="00403B07" w:rsidP="00403B07">
      <w:pPr>
        <w:rPr>
          <w:rFonts w:ascii="Calibri" w:hAnsi="Calibri" w:cs="Arial"/>
          <w:i/>
          <w:color w:val="4F81BD"/>
        </w:rPr>
      </w:pPr>
    </w:p>
    <w:p w14:paraId="5FE12219" w14:textId="27C96452" w:rsidR="00403B07" w:rsidRDefault="00403B07" w:rsidP="00403B07">
      <w:pPr>
        <w:rPr>
          <w:rFonts w:ascii="Calibri" w:hAnsi="Calibri" w:cs="Arial"/>
          <w:i/>
          <w:color w:val="4F81BD"/>
        </w:rPr>
      </w:pPr>
      <w:r w:rsidRPr="00B112D9">
        <w:rPr>
          <w:rFonts w:ascii="Calibri" w:hAnsi="Calibri" w:cs="Arial"/>
        </w:rPr>
        <w:t xml:space="preserve">Was </w:t>
      </w:r>
      <w:r>
        <w:rPr>
          <w:rFonts w:ascii="Calibri" w:hAnsi="Calibri" w:cs="Arial"/>
        </w:rPr>
        <w:t>there anything about the Programme</w:t>
      </w:r>
      <w:r w:rsidRPr="00B112D9">
        <w:rPr>
          <w:rFonts w:ascii="Calibri" w:hAnsi="Calibri" w:cs="Arial"/>
        </w:rPr>
        <w:t xml:space="preserve"> you didn’t enjoy so much? </w:t>
      </w:r>
      <w:r w:rsidRPr="00B112D9">
        <w:rPr>
          <w:rFonts w:ascii="Calibri" w:hAnsi="Calibri" w:cs="Arial"/>
          <w:i/>
          <w:color w:val="4F81BD"/>
        </w:rPr>
        <w:t>Probe reasons</w:t>
      </w:r>
      <w:r>
        <w:rPr>
          <w:rFonts w:ascii="Calibri" w:hAnsi="Calibri" w:cs="Arial"/>
          <w:i/>
          <w:color w:val="4F81BD"/>
        </w:rPr>
        <w:t xml:space="preserve"> why </w:t>
      </w:r>
    </w:p>
    <w:p w14:paraId="5AE61251" w14:textId="77777777" w:rsidR="00403B07" w:rsidRPr="00B112D9" w:rsidRDefault="00403B07" w:rsidP="00403B07">
      <w:pPr>
        <w:rPr>
          <w:rFonts w:ascii="Calibri" w:hAnsi="Calibri" w:cs="Arial"/>
          <w:i/>
          <w:color w:val="4F81BD"/>
        </w:rPr>
      </w:pPr>
    </w:p>
    <w:p w14:paraId="47598338" w14:textId="77777777" w:rsidR="00403B07" w:rsidRPr="00E82555" w:rsidRDefault="00403B07" w:rsidP="00403B07">
      <w:pPr>
        <w:rPr>
          <w:rFonts w:ascii="Calibri" w:hAnsi="Calibri" w:cs="Arial"/>
        </w:rPr>
      </w:pPr>
      <w:r w:rsidRPr="00E82555">
        <w:rPr>
          <w:rFonts w:ascii="Calibri" w:hAnsi="Calibri" w:cs="Arial"/>
        </w:rPr>
        <w:t>Is there anything else you would like to say?</w:t>
      </w:r>
    </w:p>
    <w:p w14:paraId="500BD45C" w14:textId="77777777" w:rsidR="00403B07" w:rsidRPr="00E82555" w:rsidRDefault="00403B07" w:rsidP="00403B07">
      <w:pPr>
        <w:rPr>
          <w:rFonts w:ascii="Calibri" w:hAnsi="Calibri" w:cs="Arial"/>
        </w:rPr>
      </w:pPr>
    </w:p>
    <w:p w14:paraId="70DE9F2A" w14:textId="77777777" w:rsidR="00403B07" w:rsidRPr="00E82555" w:rsidRDefault="00403B07" w:rsidP="00403B07">
      <w:pPr>
        <w:rPr>
          <w:rFonts w:ascii="Calibri" w:hAnsi="Calibri" w:cs="Arial"/>
        </w:rPr>
      </w:pPr>
      <w:r w:rsidRPr="00E82555">
        <w:rPr>
          <w:rFonts w:ascii="Calibri" w:hAnsi="Calibri" w:cs="Arial"/>
        </w:rPr>
        <w:t xml:space="preserve">Thank you so much for sharing your views and feelings today. If there is anything else you would like to say to me or share about being involved in HeLP then </w:t>
      </w:r>
      <w:r w:rsidRPr="00107F9A">
        <w:rPr>
          <w:rFonts w:ascii="Calibri" w:hAnsi="Calibri" w:cs="Arial"/>
        </w:rPr>
        <w:t>please stay behind</w:t>
      </w:r>
      <w:r>
        <w:rPr>
          <w:rFonts w:ascii="Calibri" w:hAnsi="Calibri" w:cs="Arial"/>
        </w:rPr>
        <w:t xml:space="preserve"> </w:t>
      </w:r>
      <w:r w:rsidRPr="00E82555">
        <w:rPr>
          <w:rFonts w:ascii="Calibri" w:hAnsi="Calibri" w:cs="Arial"/>
        </w:rPr>
        <w:t>after this session.</w:t>
      </w:r>
    </w:p>
    <w:p w14:paraId="278D14FB" w14:textId="77777777" w:rsidR="00403B07" w:rsidRDefault="00403B07" w:rsidP="00403B07">
      <w:pPr>
        <w:rPr>
          <w:rFonts w:cs="Arial"/>
          <w:b/>
          <w:sz w:val="24"/>
          <w:szCs w:val="24"/>
        </w:rPr>
      </w:pPr>
    </w:p>
    <w:p w14:paraId="6A6AAB6F" w14:textId="77777777" w:rsidR="00403B07" w:rsidRDefault="00403B07" w:rsidP="00403B07">
      <w:pPr>
        <w:rPr>
          <w:rFonts w:cs="Arial"/>
          <w:b/>
          <w:sz w:val="24"/>
          <w:szCs w:val="24"/>
        </w:rPr>
      </w:pPr>
      <w:r>
        <w:rPr>
          <w:rFonts w:cs="Arial"/>
          <w:b/>
          <w:sz w:val="24"/>
          <w:szCs w:val="24"/>
        </w:rPr>
        <w:br w:type="page"/>
      </w:r>
    </w:p>
    <w:p w14:paraId="193FC1C1" w14:textId="7341B234" w:rsidR="00403B07" w:rsidRDefault="00403B07" w:rsidP="00403B07">
      <w:pPr>
        <w:outlineLvl w:val="0"/>
        <w:rPr>
          <w:rFonts w:cs="Arial"/>
          <w:b/>
          <w:sz w:val="24"/>
          <w:szCs w:val="24"/>
        </w:rPr>
      </w:pPr>
      <w:bookmarkStart w:id="688" w:name="_Toc475974421"/>
      <w:r>
        <w:rPr>
          <w:rFonts w:cs="Arial"/>
          <w:b/>
          <w:sz w:val="24"/>
          <w:szCs w:val="24"/>
        </w:rPr>
        <w:lastRenderedPageBreak/>
        <w:t>Appendix 1</w:t>
      </w:r>
      <w:r w:rsidR="00705B64">
        <w:rPr>
          <w:rFonts w:cs="Arial"/>
          <w:b/>
          <w:sz w:val="24"/>
          <w:szCs w:val="24"/>
        </w:rPr>
        <w:t>4</w:t>
      </w:r>
      <w:r>
        <w:rPr>
          <w:rFonts w:cs="Arial"/>
          <w:b/>
          <w:sz w:val="24"/>
          <w:szCs w:val="24"/>
        </w:rPr>
        <w:t xml:space="preserve"> Fidelity to Form example checklist</w:t>
      </w:r>
      <w:bookmarkEnd w:id="688"/>
    </w:p>
    <w:p w14:paraId="3DF8C954" w14:textId="77777777" w:rsidR="00403B07" w:rsidRDefault="00403B07" w:rsidP="00403B07">
      <w:pPr>
        <w:rPr>
          <w:rFonts w:cs="Arial"/>
          <w:b/>
          <w:sz w:val="24"/>
          <w:szCs w:val="24"/>
        </w:rPr>
      </w:pPr>
    </w:p>
    <w:p w14:paraId="0C50688C" w14:textId="77777777" w:rsidR="00403B07" w:rsidRPr="0078024B" w:rsidRDefault="00403B07" w:rsidP="00403B07">
      <w:pPr>
        <w:rPr>
          <w:rFonts w:eastAsiaTheme="minorHAnsi"/>
          <w:b/>
          <w:lang w:eastAsia="en-US"/>
        </w:rPr>
      </w:pPr>
      <w:r w:rsidRPr="0078024B">
        <w:rPr>
          <w:rFonts w:eastAsiaTheme="minorHAnsi"/>
          <w:b/>
          <w:lang w:eastAsia="en-US"/>
        </w:rPr>
        <w:t>PHASE 1</w:t>
      </w:r>
    </w:p>
    <w:p w14:paraId="03C76BD9" w14:textId="77777777" w:rsidR="00403B07" w:rsidRPr="0078024B" w:rsidRDefault="00403B07" w:rsidP="00403B07">
      <w:pPr>
        <w:rPr>
          <w:rFonts w:eastAsiaTheme="minorHAnsi"/>
          <w:b/>
          <w:lang w:eastAsia="en-US"/>
        </w:rPr>
      </w:pPr>
      <w:r w:rsidRPr="0078024B">
        <w:rPr>
          <w:rFonts w:eastAsiaTheme="minorHAnsi"/>
          <w:b/>
          <w:lang w:eastAsia="en-US"/>
        </w:rPr>
        <w:t>Whole school Assembly Fidelity Check</w:t>
      </w:r>
    </w:p>
    <w:p w14:paraId="14812506" w14:textId="77777777" w:rsidR="00403B07" w:rsidRPr="0078024B" w:rsidRDefault="00403B07" w:rsidP="00403B07">
      <w:pPr>
        <w:rPr>
          <w:rFonts w:eastAsiaTheme="minorHAnsi"/>
          <w:lang w:eastAsia="en-US"/>
        </w:rPr>
      </w:pPr>
      <w:r w:rsidRPr="0078024B">
        <w:rPr>
          <w:rFonts w:eastAsiaTheme="minorHAnsi"/>
          <w:lang w:eastAsia="en-US"/>
        </w:rPr>
        <w:t xml:space="preserve">NAME OF SCHOOL: </w:t>
      </w:r>
    </w:p>
    <w:p w14:paraId="39760BB5" w14:textId="77777777" w:rsidR="00403B07" w:rsidRPr="0078024B" w:rsidRDefault="00403B07" w:rsidP="00403B07">
      <w:pPr>
        <w:rPr>
          <w:rFonts w:eastAsiaTheme="minorHAnsi"/>
          <w:lang w:eastAsia="en-US"/>
        </w:rPr>
      </w:pPr>
      <w:r w:rsidRPr="0078024B">
        <w:rPr>
          <w:rFonts w:eastAsiaTheme="minorHAnsi"/>
          <w:lang w:eastAsia="en-US"/>
        </w:rPr>
        <w:t xml:space="preserve">NAME OF HC: </w:t>
      </w:r>
    </w:p>
    <w:p w14:paraId="00ABDEE6" w14:textId="77777777" w:rsidR="00403B07" w:rsidRPr="0078024B" w:rsidRDefault="00403B07" w:rsidP="00403B07">
      <w:pPr>
        <w:rPr>
          <w:rFonts w:eastAsiaTheme="minorHAnsi"/>
          <w:lang w:eastAsia="en-US"/>
        </w:rPr>
      </w:pPr>
      <w:r w:rsidRPr="0078024B">
        <w:rPr>
          <w:rFonts w:eastAsiaTheme="minorHAnsi"/>
          <w:lang w:eastAsia="en-US"/>
        </w:rPr>
        <w:t>DATE:</w:t>
      </w:r>
    </w:p>
    <w:p w14:paraId="5C92BD3F" w14:textId="77777777" w:rsidR="00403B07" w:rsidRPr="0078024B" w:rsidRDefault="00403B07" w:rsidP="00403B07">
      <w:pPr>
        <w:rPr>
          <w:rFonts w:eastAsiaTheme="minorHAnsi"/>
          <w:lang w:eastAsia="en-US"/>
        </w:rPr>
      </w:pPr>
      <w:r w:rsidRPr="0078024B">
        <w:rPr>
          <w:rFonts w:eastAsiaTheme="minorHAnsi"/>
          <w:lang w:eastAsia="en-US"/>
        </w:rPr>
        <w:t xml:space="preserve">Adherence to component content </w:t>
      </w:r>
    </w:p>
    <w:tbl>
      <w:tblPr>
        <w:tblStyle w:val="TableGrid4"/>
        <w:tblW w:w="10173" w:type="dxa"/>
        <w:tblLook w:val="04A0" w:firstRow="1" w:lastRow="0" w:firstColumn="1" w:lastColumn="0" w:noHBand="0" w:noVBand="1"/>
      </w:tblPr>
      <w:tblGrid>
        <w:gridCol w:w="4644"/>
        <w:gridCol w:w="1701"/>
        <w:gridCol w:w="3828"/>
      </w:tblGrid>
      <w:tr w:rsidR="00403B07" w:rsidRPr="0078024B" w14:paraId="3D825E16" w14:textId="77777777" w:rsidTr="00B01272">
        <w:trPr>
          <w:trHeight w:val="139"/>
        </w:trPr>
        <w:tc>
          <w:tcPr>
            <w:tcW w:w="4644" w:type="dxa"/>
          </w:tcPr>
          <w:p w14:paraId="047313BA" w14:textId="77777777" w:rsidR="00403B07" w:rsidRPr="0078024B" w:rsidRDefault="00403B07" w:rsidP="00B01272">
            <w:pPr>
              <w:rPr>
                <w:b/>
              </w:rPr>
            </w:pPr>
            <w:r w:rsidRPr="0078024B">
              <w:rPr>
                <w:b/>
              </w:rPr>
              <w:t>Activity – class teacher present</w:t>
            </w:r>
          </w:p>
        </w:tc>
        <w:tc>
          <w:tcPr>
            <w:tcW w:w="1701" w:type="dxa"/>
          </w:tcPr>
          <w:p w14:paraId="4DC86C7C" w14:textId="77777777" w:rsidR="00403B07" w:rsidRPr="0078024B" w:rsidRDefault="00403B07" w:rsidP="00B01272">
            <w:pPr>
              <w:rPr>
                <w:b/>
              </w:rPr>
            </w:pPr>
            <w:r w:rsidRPr="0078024B">
              <w:rPr>
                <w:b/>
              </w:rPr>
              <w:t>Yes/Partial/No</w:t>
            </w:r>
          </w:p>
        </w:tc>
        <w:tc>
          <w:tcPr>
            <w:tcW w:w="3828" w:type="dxa"/>
          </w:tcPr>
          <w:p w14:paraId="1CF6A771" w14:textId="77777777" w:rsidR="00403B07" w:rsidRPr="0078024B" w:rsidRDefault="00403B07" w:rsidP="00B01272">
            <w:pPr>
              <w:rPr>
                <w:b/>
              </w:rPr>
            </w:pPr>
            <w:r w:rsidRPr="0078024B">
              <w:rPr>
                <w:b/>
              </w:rPr>
              <w:t>Notes</w:t>
            </w:r>
          </w:p>
        </w:tc>
      </w:tr>
      <w:tr w:rsidR="00403B07" w:rsidRPr="0078024B" w14:paraId="1A20D777" w14:textId="77777777" w:rsidTr="00B01272">
        <w:tc>
          <w:tcPr>
            <w:tcW w:w="4644" w:type="dxa"/>
          </w:tcPr>
          <w:p w14:paraId="4D604922" w14:textId="77777777" w:rsidR="00403B07" w:rsidRPr="0078024B" w:rsidRDefault="00403B07" w:rsidP="00B01272">
            <w:r w:rsidRPr="0078024B">
              <w:t>Introduction to HeLP</w:t>
            </w:r>
          </w:p>
        </w:tc>
        <w:tc>
          <w:tcPr>
            <w:tcW w:w="1701" w:type="dxa"/>
          </w:tcPr>
          <w:p w14:paraId="01E280B6" w14:textId="77777777" w:rsidR="00403B07" w:rsidRPr="0078024B" w:rsidRDefault="00403B07" w:rsidP="00B01272"/>
        </w:tc>
        <w:tc>
          <w:tcPr>
            <w:tcW w:w="3828" w:type="dxa"/>
          </w:tcPr>
          <w:p w14:paraId="6970740C" w14:textId="77777777" w:rsidR="00403B07" w:rsidRPr="0078024B" w:rsidRDefault="00403B07" w:rsidP="00B01272"/>
        </w:tc>
      </w:tr>
      <w:tr w:rsidR="00403B07" w:rsidRPr="0078024B" w14:paraId="580FDDC4" w14:textId="77777777" w:rsidTr="00B01272">
        <w:tc>
          <w:tcPr>
            <w:tcW w:w="4644" w:type="dxa"/>
          </w:tcPr>
          <w:p w14:paraId="78F6B84F" w14:textId="77777777" w:rsidR="00403B07" w:rsidRPr="0078024B" w:rsidRDefault="00403B07" w:rsidP="00B01272">
            <w:r w:rsidRPr="0078024B">
              <w:t>The energy balance – explanations and questions</w:t>
            </w:r>
          </w:p>
        </w:tc>
        <w:tc>
          <w:tcPr>
            <w:tcW w:w="1701" w:type="dxa"/>
          </w:tcPr>
          <w:p w14:paraId="2C09A4DD" w14:textId="77777777" w:rsidR="00403B07" w:rsidRPr="0078024B" w:rsidRDefault="00403B07" w:rsidP="00B01272"/>
        </w:tc>
        <w:tc>
          <w:tcPr>
            <w:tcW w:w="3828" w:type="dxa"/>
          </w:tcPr>
          <w:p w14:paraId="09067700" w14:textId="77777777" w:rsidR="00403B07" w:rsidRPr="0078024B" w:rsidRDefault="00403B07" w:rsidP="00B01272"/>
        </w:tc>
      </w:tr>
      <w:tr w:rsidR="00403B07" w:rsidRPr="0078024B" w14:paraId="24733AD5" w14:textId="77777777" w:rsidTr="00B01272">
        <w:tc>
          <w:tcPr>
            <w:tcW w:w="4644" w:type="dxa"/>
          </w:tcPr>
          <w:p w14:paraId="73BB8CD4" w14:textId="77777777" w:rsidR="00403B07" w:rsidRPr="0078024B" w:rsidRDefault="00403B07" w:rsidP="00B01272">
            <w:r w:rsidRPr="0078024B">
              <w:t>The energy balance mime (boy and girl)</w:t>
            </w:r>
          </w:p>
        </w:tc>
        <w:tc>
          <w:tcPr>
            <w:tcW w:w="1701" w:type="dxa"/>
          </w:tcPr>
          <w:p w14:paraId="7D169F0B" w14:textId="77777777" w:rsidR="00403B07" w:rsidRPr="0078024B" w:rsidRDefault="00403B07" w:rsidP="00B01272"/>
        </w:tc>
        <w:tc>
          <w:tcPr>
            <w:tcW w:w="3828" w:type="dxa"/>
          </w:tcPr>
          <w:p w14:paraId="67E056EA" w14:textId="77777777" w:rsidR="00403B07" w:rsidRPr="0078024B" w:rsidRDefault="00403B07" w:rsidP="00B01272"/>
        </w:tc>
      </w:tr>
      <w:tr w:rsidR="00403B07" w:rsidRPr="0078024B" w14:paraId="4E34BF49" w14:textId="77777777" w:rsidTr="00B01272">
        <w:tc>
          <w:tcPr>
            <w:tcW w:w="4644" w:type="dxa"/>
          </w:tcPr>
          <w:p w14:paraId="73A4BF76" w14:textId="77777777" w:rsidR="00403B07" w:rsidRPr="0078024B" w:rsidRDefault="00403B07" w:rsidP="00B01272">
            <w:r w:rsidRPr="0078024B">
              <w:t>The HeLP rap</w:t>
            </w:r>
          </w:p>
        </w:tc>
        <w:tc>
          <w:tcPr>
            <w:tcW w:w="1701" w:type="dxa"/>
          </w:tcPr>
          <w:p w14:paraId="12521A04" w14:textId="77777777" w:rsidR="00403B07" w:rsidRPr="0078024B" w:rsidRDefault="00403B07" w:rsidP="00B01272"/>
        </w:tc>
        <w:tc>
          <w:tcPr>
            <w:tcW w:w="3828" w:type="dxa"/>
          </w:tcPr>
          <w:p w14:paraId="72BCC093" w14:textId="77777777" w:rsidR="00403B07" w:rsidRPr="0078024B" w:rsidRDefault="00403B07" w:rsidP="00B01272"/>
        </w:tc>
      </w:tr>
    </w:tbl>
    <w:p w14:paraId="589B4556" w14:textId="77777777" w:rsidR="00403B07" w:rsidRPr="0078024B" w:rsidRDefault="00403B07" w:rsidP="00403B07">
      <w:pPr>
        <w:rPr>
          <w:rFonts w:eastAsiaTheme="minorHAnsi"/>
          <w:lang w:eastAsia="en-US"/>
        </w:rPr>
      </w:pPr>
    </w:p>
    <w:p w14:paraId="57BFCAB5" w14:textId="77777777" w:rsidR="00403B07" w:rsidRPr="0078024B" w:rsidRDefault="00403B07" w:rsidP="00403B07">
      <w:pPr>
        <w:rPr>
          <w:rFonts w:eastAsiaTheme="minorHAnsi"/>
          <w:lang w:eastAsia="en-US"/>
        </w:rPr>
      </w:pPr>
      <w:r w:rsidRPr="0078024B">
        <w:rPr>
          <w:rFonts w:eastAsiaTheme="minorHAnsi"/>
          <w:lang w:eastAsia="en-US"/>
        </w:rPr>
        <w:t>General Comments:</w:t>
      </w:r>
    </w:p>
    <w:p w14:paraId="73D0731E" w14:textId="77777777" w:rsidR="00403B07" w:rsidRPr="0078024B" w:rsidRDefault="00403B07" w:rsidP="00403B07">
      <w:pPr>
        <w:rPr>
          <w:rFonts w:eastAsiaTheme="minorHAnsi"/>
          <w:lang w:eastAsia="en-US"/>
        </w:rPr>
      </w:pPr>
      <w:r w:rsidRPr="0078024B">
        <w:rPr>
          <w:rFonts w:eastAsiaTheme="minorHAnsi"/>
          <w:lang w:eastAsia="en-US"/>
        </w:rPr>
        <w:br w:type="page"/>
      </w:r>
    </w:p>
    <w:p w14:paraId="1EDD3F49" w14:textId="72A41E18" w:rsidR="00403B07" w:rsidRPr="00765E8F" w:rsidRDefault="00403B07" w:rsidP="00403B07">
      <w:pPr>
        <w:rPr>
          <w:rFonts w:cs="Arial"/>
          <w:b/>
          <w:i/>
          <w:sz w:val="24"/>
          <w:szCs w:val="24"/>
        </w:rPr>
      </w:pPr>
      <w:r w:rsidRPr="00765E8F">
        <w:rPr>
          <w:rFonts w:cs="Arial"/>
          <w:b/>
          <w:i/>
          <w:sz w:val="24"/>
          <w:szCs w:val="24"/>
        </w:rPr>
        <w:lastRenderedPageBreak/>
        <w:t>Appendix 1</w:t>
      </w:r>
      <w:r w:rsidR="00A60D1B">
        <w:rPr>
          <w:rFonts w:cs="Arial"/>
          <w:b/>
          <w:i/>
          <w:sz w:val="24"/>
          <w:szCs w:val="24"/>
        </w:rPr>
        <w:t>4</w:t>
      </w:r>
      <w:r w:rsidRPr="00765E8F">
        <w:rPr>
          <w:rFonts w:cs="Arial"/>
          <w:b/>
          <w:i/>
          <w:sz w:val="24"/>
          <w:szCs w:val="24"/>
        </w:rPr>
        <w:t xml:space="preserve"> Fidelity to Form example checklist (continued)</w:t>
      </w:r>
    </w:p>
    <w:p w14:paraId="28D190E3" w14:textId="77777777" w:rsidR="00403B07" w:rsidRDefault="00403B07" w:rsidP="00403B07">
      <w:pPr>
        <w:rPr>
          <w:rFonts w:cs="Arial"/>
          <w:b/>
          <w:sz w:val="24"/>
          <w:szCs w:val="24"/>
        </w:rPr>
      </w:pPr>
    </w:p>
    <w:p w14:paraId="0AB0253E" w14:textId="77777777" w:rsidR="00403B07" w:rsidRPr="0078024B" w:rsidRDefault="00403B07" w:rsidP="00403B07">
      <w:pPr>
        <w:rPr>
          <w:rFonts w:eastAsiaTheme="minorHAnsi"/>
          <w:b/>
          <w:lang w:eastAsia="en-US"/>
        </w:rPr>
      </w:pPr>
      <w:r w:rsidRPr="0078024B">
        <w:rPr>
          <w:rFonts w:eastAsiaTheme="minorHAnsi"/>
          <w:b/>
          <w:lang w:eastAsia="en-US"/>
        </w:rPr>
        <w:t>PHASE 1</w:t>
      </w:r>
    </w:p>
    <w:p w14:paraId="229167A9" w14:textId="77777777" w:rsidR="00403B07" w:rsidRPr="0078024B" w:rsidRDefault="00403B07" w:rsidP="00403B07">
      <w:pPr>
        <w:rPr>
          <w:rFonts w:eastAsiaTheme="minorHAnsi"/>
          <w:b/>
          <w:lang w:eastAsia="en-US"/>
        </w:rPr>
      </w:pPr>
      <w:r w:rsidRPr="0078024B">
        <w:rPr>
          <w:rFonts w:eastAsiaTheme="minorHAnsi"/>
          <w:b/>
          <w:lang w:eastAsia="en-US"/>
        </w:rPr>
        <w:t>Activity Workshop 1 Fidelity Check</w:t>
      </w:r>
    </w:p>
    <w:p w14:paraId="3F427159" w14:textId="77777777" w:rsidR="00403B07" w:rsidRPr="0078024B" w:rsidRDefault="00403B07" w:rsidP="00403B07">
      <w:pPr>
        <w:rPr>
          <w:rFonts w:eastAsiaTheme="minorHAnsi"/>
          <w:lang w:eastAsia="en-US"/>
        </w:rPr>
      </w:pPr>
      <w:r w:rsidRPr="0078024B">
        <w:rPr>
          <w:rFonts w:eastAsiaTheme="minorHAnsi"/>
          <w:lang w:eastAsia="en-US"/>
        </w:rPr>
        <w:t xml:space="preserve">NAME OF SCHOOL: </w:t>
      </w:r>
    </w:p>
    <w:p w14:paraId="73032A96" w14:textId="77777777" w:rsidR="00403B07" w:rsidRPr="0078024B" w:rsidRDefault="00403B07" w:rsidP="00403B07">
      <w:pPr>
        <w:rPr>
          <w:rFonts w:eastAsiaTheme="minorHAnsi"/>
          <w:lang w:eastAsia="en-US"/>
        </w:rPr>
      </w:pPr>
      <w:r w:rsidRPr="0078024B">
        <w:rPr>
          <w:rFonts w:eastAsiaTheme="minorHAnsi"/>
          <w:lang w:eastAsia="en-US"/>
        </w:rPr>
        <w:t>NAME OF HC:</w:t>
      </w:r>
    </w:p>
    <w:p w14:paraId="5B85B2BA" w14:textId="77777777" w:rsidR="00403B07" w:rsidRPr="0078024B" w:rsidRDefault="00403B07" w:rsidP="00403B07">
      <w:pPr>
        <w:rPr>
          <w:rFonts w:eastAsiaTheme="minorHAnsi"/>
          <w:lang w:eastAsia="en-US"/>
        </w:rPr>
      </w:pPr>
      <w:r w:rsidRPr="0078024B">
        <w:rPr>
          <w:rFonts w:eastAsiaTheme="minorHAnsi"/>
          <w:lang w:eastAsia="en-US"/>
        </w:rPr>
        <w:t>DATE:</w:t>
      </w:r>
      <w:r w:rsidRPr="0078024B">
        <w:rPr>
          <w:rFonts w:eastAsiaTheme="minorHAnsi"/>
          <w:lang w:eastAsia="en-US"/>
        </w:rPr>
        <w:tab/>
      </w:r>
      <w:r w:rsidRPr="0078024B">
        <w:rPr>
          <w:rFonts w:eastAsiaTheme="minorHAnsi"/>
          <w:lang w:eastAsia="en-US"/>
        </w:rPr>
        <w:tab/>
      </w:r>
      <w:r w:rsidRPr="0078024B">
        <w:rPr>
          <w:rFonts w:eastAsiaTheme="minorHAnsi"/>
          <w:lang w:eastAsia="en-US"/>
        </w:rPr>
        <w:tab/>
      </w:r>
      <w:r w:rsidRPr="0078024B">
        <w:rPr>
          <w:rFonts w:eastAsiaTheme="minorHAnsi"/>
          <w:lang w:eastAsia="en-US"/>
        </w:rPr>
        <w:tab/>
      </w:r>
      <w:r w:rsidRPr="0078024B">
        <w:rPr>
          <w:rFonts w:eastAsiaTheme="minorHAnsi"/>
          <w:lang w:eastAsia="en-US"/>
        </w:rPr>
        <w:tab/>
        <w:t>ACTIVITY:</w:t>
      </w:r>
      <w:r w:rsidRPr="0078024B">
        <w:rPr>
          <w:rFonts w:eastAsiaTheme="minorHAnsi"/>
          <w:lang w:eastAsia="en-US"/>
        </w:rPr>
        <w:tab/>
      </w:r>
    </w:p>
    <w:p w14:paraId="33267BB0" w14:textId="77777777" w:rsidR="00403B07" w:rsidRPr="0078024B" w:rsidRDefault="00403B07" w:rsidP="00403B07">
      <w:pPr>
        <w:rPr>
          <w:rFonts w:eastAsiaTheme="minorHAnsi"/>
          <w:lang w:eastAsia="en-US"/>
        </w:rPr>
      </w:pPr>
      <w:r w:rsidRPr="0078024B">
        <w:rPr>
          <w:rFonts w:eastAsiaTheme="minorHAnsi"/>
          <w:lang w:eastAsia="en-US"/>
        </w:rPr>
        <w:t xml:space="preserve">Adherence to component content </w:t>
      </w:r>
    </w:p>
    <w:tbl>
      <w:tblPr>
        <w:tblStyle w:val="TableGrid4"/>
        <w:tblW w:w="0" w:type="auto"/>
        <w:tblLook w:val="04A0" w:firstRow="1" w:lastRow="0" w:firstColumn="1" w:lastColumn="0" w:noHBand="0" w:noVBand="1"/>
      </w:tblPr>
      <w:tblGrid>
        <w:gridCol w:w="5495"/>
        <w:gridCol w:w="1578"/>
        <w:gridCol w:w="2330"/>
      </w:tblGrid>
      <w:tr w:rsidR="00403B07" w:rsidRPr="0078024B" w14:paraId="31DB49FA" w14:textId="77777777" w:rsidTr="00B01272">
        <w:tc>
          <w:tcPr>
            <w:tcW w:w="5495" w:type="dxa"/>
          </w:tcPr>
          <w:p w14:paraId="6663DAEA" w14:textId="77777777" w:rsidR="00403B07" w:rsidRPr="0078024B" w:rsidRDefault="00403B07" w:rsidP="00B01272">
            <w:pPr>
              <w:rPr>
                <w:b/>
              </w:rPr>
            </w:pPr>
            <w:r w:rsidRPr="0078024B">
              <w:rPr>
                <w:b/>
              </w:rPr>
              <w:t>Activity – class teacher present</w:t>
            </w:r>
          </w:p>
        </w:tc>
        <w:tc>
          <w:tcPr>
            <w:tcW w:w="1417" w:type="dxa"/>
          </w:tcPr>
          <w:p w14:paraId="1FD223E4" w14:textId="77777777" w:rsidR="00403B07" w:rsidRPr="0078024B" w:rsidRDefault="00403B07" w:rsidP="00B01272">
            <w:pPr>
              <w:rPr>
                <w:b/>
              </w:rPr>
            </w:pPr>
            <w:r w:rsidRPr="0078024B">
              <w:rPr>
                <w:b/>
              </w:rPr>
              <w:t>Yes/Partial/No</w:t>
            </w:r>
          </w:p>
        </w:tc>
        <w:tc>
          <w:tcPr>
            <w:tcW w:w="2330" w:type="dxa"/>
          </w:tcPr>
          <w:p w14:paraId="5BB7B659" w14:textId="77777777" w:rsidR="00403B07" w:rsidRPr="0078024B" w:rsidRDefault="00403B07" w:rsidP="00B01272">
            <w:pPr>
              <w:rPr>
                <w:b/>
              </w:rPr>
            </w:pPr>
            <w:r w:rsidRPr="0078024B">
              <w:rPr>
                <w:b/>
              </w:rPr>
              <w:t>Notes</w:t>
            </w:r>
          </w:p>
        </w:tc>
      </w:tr>
      <w:tr w:rsidR="00403B07" w:rsidRPr="0078024B" w14:paraId="1923B7F5" w14:textId="77777777" w:rsidTr="00B01272">
        <w:tc>
          <w:tcPr>
            <w:tcW w:w="5495" w:type="dxa"/>
          </w:tcPr>
          <w:p w14:paraId="44B1C6E6" w14:textId="77777777" w:rsidR="00403B07" w:rsidRPr="0078024B" w:rsidRDefault="00403B07" w:rsidP="00B01272">
            <w:r w:rsidRPr="0078024B">
              <w:t>Intro and Q/A re the energy balance and HeLP messages</w:t>
            </w:r>
          </w:p>
        </w:tc>
        <w:tc>
          <w:tcPr>
            <w:tcW w:w="1417" w:type="dxa"/>
          </w:tcPr>
          <w:p w14:paraId="73283F8A" w14:textId="77777777" w:rsidR="00403B07" w:rsidRPr="0078024B" w:rsidRDefault="00403B07" w:rsidP="00B01272"/>
        </w:tc>
        <w:tc>
          <w:tcPr>
            <w:tcW w:w="2330" w:type="dxa"/>
          </w:tcPr>
          <w:p w14:paraId="6A1A971A" w14:textId="77777777" w:rsidR="00403B07" w:rsidRPr="0078024B" w:rsidRDefault="00403B07" w:rsidP="00B01272"/>
        </w:tc>
      </w:tr>
      <w:tr w:rsidR="00403B07" w:rsidRPr="0078024B" w14:paraId="7FE5C96A" w14:textId="77777777" w:rsidTr="00B01272">
        <w:tc>
          <w:tcPr>
            <w:tcW w:w="5495" w:type="dxa"/>
          </w:tcPr>
          <w:p w14:paraId="0A5500FB" w14:textId="77777777" w:rsidR="00403B07" w:rsidRPr="0078024B" w:rsidRDefault="00403B07" w:rsidP="00B01272">
            <w:r w:rsidRPr="0078024B">
              <w:t>Sportsmen/dancers talking about the importance of eating healthily and being active</w:t>
            </w:r>
          </w:p>
        </w:tc>
        <w:tc>
          <w:tcPr>
            <w:tcW w:w="1417" w:type="dxa"/>
          </w:tcPr>
          <w:p w14:paraId="7A1361E4" w14:textId="77777777" w:rsidR="00403B07" w:rsidRPr="0078024B" w:rsidRDefault="00403B07" w:rsidP="00B01272"/>
        </w:tc>
        <w:tc>
          <w:tcPr>
            <w:tcW w:w="2330" w:type="dxa"/>
          </w:tcPr>
          <w:p w14:paraId="549F5752" w14:textId="77777777" w:rsidR="00403B07" w:rsidRPr="0078024B" w:rsidRDefault="00403B07" w:rsidP="00B01272"/>
        </w:tc>
      </w:tr>
      <w:tr w:rsidR="00403B07" w:rsidRPr="0078024B" w14:paraId="4E3DB00E" w14:textId="77777777" w:rsidTr="00B01272">
        <w:tc>
          <w:tcPr>
            <w:tcW w:w="5495" w:type="dxa"/>
          </w:tcPr>
          <w:p w14:paraId="2D6CE58A" w14:textId="77777777" w:rsidR="00403B07" w:rsidRPr="0078024B" w:rsidRDefault="00403B07" w:rsidP="00B01272">
            <w:r w:rsidRPr="0078024B">
              <w:t>Practical session</w:t>
            </w:r>
          </w:p>
        </w:tc>
        <w:tc>
          <w:tcPr>
            <w:tcW w:w="1417" w:type="dxa"/>
          </w:tcPr>
          <w:p w14:paraId="45AEA6B0" w14:textId="77777777" w:rsidR="00403B07" w:rsidRPr="0078024B" w:rsidRDefault="00403B07" w:rsidP="00B01272"/>
        </w:tc>
        <w:tc>
          <w:tcPr>
            <w:tcW w:w="2330" w:type="dxa"/>
          </w:tcPr>
          <w:p w14:paraId="583D99AF" w14:textId="77777777" w:rsidR="00403B07" w:rsidRPr="0078024B" w:rsidRDefault="00403B07" w:rsidP="00B01272"/>
        </w:tc>
      </w:tr>
    </w:tbl>
    <w:p w14:paraId="2F97EEFD" w14:textId="77777777" w:rsidR="00403B07" w:rsidRPr="0078024B" w:rsidRDefault="00403B07" w:rsidP="00403B07">
      <w:pPr>
        <w:rPr>
          <w:rFonts w:eastAsiaTheme="minorHAnsi"/>
          <w:lang w:eastAsia="en-US"/>
        </w:rPr>
      </w:pPr>
    </w:p>
    <w:p w14:paraId="72B83AF2" w14:textId="77777777" w:rsidR="00403B07" w:rsidRPr="0078024B" w:rsidRDefault="00403B07" w:rsidP="00403B07">
      <w:pPr>
        <w:rPr>
          <w:rFonts w:eastAsiaTheme="minorHAnsi"/>
          <w:lang w:eastAsia="en-US"/>
        </w:rPr>
      </w:pPr>
      <w:r w:rsidRPr="0078024B">
        <w:rPr>
          <w:rFonts w:eastAsiaTheme="minorHAnsi"/>
          <w:lang w:eastAsia="en-US"/>
        </w:rPr>
        <w:t>General Comments:</w:t>
      </w:r>
    </w:p>
    <w:p w14:paraId="20BA4A5B" w14:textId="77777777" w:rsidR="00403B07" w:rsidRPr="0078024B" w:rsidRDefault="00403B07" w:rsidP="00403B07">
      <w:pPr>
        <w:rPr>
          <w:rFonts w:eastAsiaTheme="minorHAnsi"/>
          <w:lang w:eastAsia="en-US"/>
        </w:rPr>
      </w:pPr>
    </w:p>
    <w:p w14:paraId="25C34307" w14:textId="77777777" w:rsidR="00403B07" w:rsidRPr="0078024B" w:rsidRDefault="00403B07" w:rsidP="00403B07">
      <w:pPr>
        <w:rPr>
          <w:rFonts w:eastAsiaTheme="minorHAnsi"/>
          <w:lang w:eastAsia="en-US"/>
        </w:rPr>
      </w:pPr>
      <w:r w:rsidRPr="0078024B">
        <w:rPr>
          <w:rFonts w:eastAsiaTheme="minorHAnsi"/>
          <w:lang w:eastAsia="en-US"/>
        </w:rPr>
        <w:br w:type="page"/>
      </w:r>
    </w:p>
    <w:p w14:paraId="4EEF1F56" w14:textId="1D236945" w:rsidR="00403B07" w:rsidRPr="00765E8F" w:rsidRDefault="00403B07" w:rsidP="00403B07">
      <w:pPr>
        <w:rPr>
          <w:rFonts w:cs="Arial"/>
          <w:b/>
          <w:i/>
          <w:sz w:val="24"/>
          <w:szCs w:val="24"/>
        </w:rPr>
      </w:pPr>
      <w:r w:rsidRPr="00765E8F">
        <w:rPr>
          <w:rFonts w:cs="Arial"/>
          <w:b/>
          <w:i/>
          <w:sz w:val="24"/>
          <w:szCs w:val="24"/>
        </w:rPr>
        <w:lastRenderedPageBreak/>
        <w:t>Appendix 1</w:t>
      </w:r>
      <w:r w:rsidR="00A60D1B">
        <w:rPr>
          <w:rFonts w:cs="Arial"/>
          <w:b/>
          <w:i/>
          <w:sz w:val="24"/>
          <w:szCs w:val="24"/>
        </w:rPr>
        <w:t xml:space="preserve">4 </w:t>
      </w:r>
      <w:r w:rsidRPr="00765E8F">
        <w:rPr>
          <w:rFonts w:cs="Arial"/>
          <w:b/>
          <w:i/>
          <w:sz w:val="24"/>
          <w:szCs w:val="24"/>
        </w:rPr>
        <w:t>Fidelity to Form example checklist (continued)</w:t>
      </w:r>
    </w:p>
    <w:p w14:paraId="4691FE22" w14:textId="77777777" w:rsidR="00403B07" w:rsidRDefault="00403B07" w:rsidP="00403B07">
      <w:pPr>
        <w:rPr>
          <w:rFonts w:eastAsiaTheme="minorHAnsi"/>
          <w:b/>
          <w:lang w:eastAsia="en-US"/>
        </w:rPr>
      </w:pPr>
    </w:p>
    <w:p w14:paraId="69CF3AA9" w14:textId="77777777" w:rsidR="00403B07" w:rsidRPr="0078024B" w:rsidRDefault="00403B07" w:rsidP="00403B07">
      <w:pPr>
        <w:rPr>
          <w:rFonts w:eastAsiaTheme="minorHAnsi"/>
          <w:b/>
          <w:lang w:eastAsia="en-US"/>
        </w:rPr>
      </w:pPr>
      <w:r w:rsidRPr="0078024B">
        <w:rPr>
          <w:rFonts w:eastAsiaTheme="minorHAnsi"/>
          <w:b/>
          <w:lang w:eastAsia="en-US"/>
        </w:rPr>
        <w:t>PHASE 1</w:t>
      </w:r>
    </w:p>
    <w:p w14:paraId="4E0A5D34" w14:textId="77777777" w:rsidR="00403B07" w:rsidRPr="0078024B" w:rsidRDefault="00403B07" w:rsidP="00403B07">
      <w:pPr>
        <w:rPr>
          <w:rFonts w:eastAsiaTheme="minorHAnsi"/>
          <w:b/>
          <w:lang w:eastAsia="en-US"/>
        </w:rPr>
      </w:pPr>
      <w:r w:rsidRPr="0078024B">
        <w:rPr>
          <w:rFonts w:eastAsiaTheme="minorHAnsi"/>
          <w:b/>
          <w:lang w:eastAsia="en-US"/>
        </w:rPr>
        <w:t>Activity Workshop 2 Fidelity Check</w:t>
      </w:r>
    </w:p>
    <w:p w14:paraId="7EA67EBC" w14:textId="77777777" w:rsidR="00403B07" w:rsidRPr="0078024B" w:rsidRDefault="00403B07" w:rsidP="00403B07">
      <w:pPr>
        <w:rPr>
          <w:rFonts w:eastAsiaTheme="minorHAnsi"/>
          <w:lang w:eastAsia="en-US"/>
        </w:rPr>
      </w:pPr>
      <w:r w:rsidRPr="0078024B">
        <w:rPr>
          <w:rFonts w:eastAsiaTheme="minorHAnsi"/>
          <w:lang w:eastAsia="en-US"/>
        </w:rPr>
        <w:t xml:space="preserve">NAME OF SCHOOL: </w:t>
      </w:r>
    </w:p>
    <w:p w14:paraId="5458F33F" w14:textId="77777777" w:rsidR="00403B07" w:rsidRPr="0078024B" w:rsidRDefault="00403B07" w:rsidP="00403B07">
      <w:pPr>
        <w:rPr>
          <w:rFonts w:eastAsiaTheme="minorHAnsi"/>
          <w:lang w:eastAsia="en-US"/>
        </w:rPr>
      </w:pPr>
      <w:r w:rsidRPr="0078024B">
        <w:rPr>
          <w:rFonts w:eastAsiaTheme="minorHAnsi"/>
          <w:lang w:eastAsia="en-US"/>
        </w:rPr>
        <w:t xml:space="preserve">NAME OF HC: </w:t>
      </w:r>
    </w:p>
    <w:p w14:paraId="7378A8F3" w14:textId="77777777" w:rsidR="00403B07" w:rsidRPr="0078024B" w:rsidRDefault="00403B07" w:rsidP="00403B07">
      <w:pPr>
        <w:rPr>
          <w:rFonts w:eastAsiaTheme="minorHAnsi"/>
          <w:lang w:eastAsia="en-US"/>
        </w:rPr>
      </w:pPr>
      <w:r w:rsidRPr="0078024B">
        <w:rPr>
          <w:rFonts w:eastAsiaTheme="minorHAnsi"/>
          <w:lang w:eastAsia="en-US"/>
        </w:rPr>
        <w:t>DATE:</w:t>
      </w:r>
      <w:r w:rsidRPr="0078024B">
        <w:rPr>
          <w:rFonts w:eastAsiaTheme="minorHAnsi"/>
          <w:lang w:eastAsia="en-US"/>
        </w:rPr>
        <w:tab/>
      </w:r>
      <w:r w:rsidRPr="0078024B">
        <w:rPr>
          <w:rFonts w:eastAsiaTheme="minorHAnsi"/>
          <w:lang w:eastAsia="en-US"/>
        </w:rPr>
        <w:tab/>
      </w:r>
      <w:r w:rsidRPr="0078024B">
        <w:rPr>
          <w:rFonts w:eastAsiaTheme="minorHAnsi"/>
          <w:lang w:eastAsia="en-US"/>
        </w:rPr>
        <w:tab/>
      </w:r>
      <w:r w:rsidRPr="0078024B">
        <w:rPr>
          <w:rFonts w:eastAsiaTheme="minorHAnsi"/>
          <w:lang w:eastAsia="en-US"/>
        </w:rPr>
        <w:tab/>
      </w:r>
      <w:r w:rsidRPr="0078024B">
        <w:rPr>
          <w:rFonts w:eastAsiaTheme="minorHAnsi"/>
          <w:lang w:eastAsia="en-US"/>
        </w:rPr>
        <w:tab/>
        <w:t xml:space="preserve">ACTIVITY: </w:t>
      </w:r>
    </w:p>
    <w:p w14:paraId="76F67626" w14:textId="77777777" w:rsidR="00403B07" w:rsidRPr="0078024B" w:rsidRDefault="00403B07" w:rsidP="00403B07">
      <w:pPr>
        <w:rPr>
          <w:rFonts w:eastAsiaTheme="minorHAnsi"/>
          <w:lang w:eastAsia="en-US"/>
        </w:rPr>
      </w:pPr>
      <w:r w:rsidRPr="0078024B">
        <w:rPr>
          <w:rFonts w:eastAsiaTheme="minorHAnsi"/>
          <w:lang w:eastAsia="en-US"/>
        </w:rPr>
        <w:t xml:space="preserve">Adherence to component content </w:t>
      </w:r>
    </w:p>
    <w:tbl>
      <w:tblPr>
        <w:tblStyle w:val="TableGrid4"/>
        <w:tblW w:w="10031" w:type="dxa"/>
        <w:tblLook w:val="04A0" w:firstRow="1" w:lastRow="0" w:firstColumn="1" w:lastColumn="0" w:noHBand="0" w:noVBand="1"/>
      </w:tblPr>
      <w:tblGrid>
        <w:gridCol w:w="5324"/>
        <w:gridCol w:w="1622"/>
        <w:gridCol w:w="3085"/>
      </w:tblGrid>
      <w:tr w:rsidR="00403B07" w:rsidRPr="0078024B" w14:paraId="2F86E517" w14:textId="77777777" w:rsidTr="00B01272">
        <w:tc>
          <w:tcPr>
            <w:tcW w:w="5324" w:type="dxa"/>
          </w:tcPr>
          <w:p w14:paraId="681F8404" w14:textId="77777777" w:rsidR="00403B07" w:rsidRPr="0078024B" w:rsidRDefault="00403B07" w:rsidP="00B01272">
            <w:pPr>
              <w:rPr>
                <w:b/>
              </w:rPr>
            </w:pPr>
            <w:r w:rsidRPr="0078024B">
              <w:rPr>
                <w:b/>
              </w:rPr>
              <w:t>Activity – class teacher present</w:t>
            </w:r>
          </w:p>
        </w:tc>
        <w:tc>
          <w:tcPr>
            <w:tcW w:w="1622" w:type="dxa"/>
          </w:tcPr>
          <w:p w14:paraId="1C18832B" w14:textId="77777777" w:rsidR="00403B07" w:rsidRPr="0078024B" w:rsidRDefault="00403B07" w:rsidP="00B01272">
            <w:pPr>
              <w:rPr>
                <w:b/>
              </w:rPr>
            </w:pPr>
            <w:r w:rsidRPr="0078024B">
              <w:rPr>
                <w:b/>
              </w:rPr>
              <w:t>Yes/Partial/No</w:t>
            </w:r>
          </w:p>
        </w:tc>
        <w:tc>
          <w:tcPr>
            <w:tcW w:w="3085" w:type="dxa"/>
          </w:tcPr>
          <w:p w14:paraId="736CC9CE" w14:textId="77777777" w:rsidR="00403B07" w:rsidRPr="0078024B" w:rsidRDefault="00403B07" w:rsidP="00B01272">
            <w:pPr>
              <w:rPr>
                <w:b/>
              </w:rPr>
            </w:pPr>
            <w:r w:rsidRPr="0078024B">
              <w:rPr>
                <w:b/>
              </w:rPr>
              <w:t>Notes-plus TA</w:t>
            </w:r>
          </w:p>
        </w:tc>
      </w:tr>
      <w:tr w:rsidR="00403B07" w:rsidRPr="0078024B" w14:paraId="098C983C" w14:textId="77777777" w:rsidTr="00B01272">
        <w:tc>
          <w:tcPr>
            <w:tcW w:w="5324" w:type="dxa"/>
          </w:tcPr>
          <w:p w14:paraId="650F6391" w14:textId="77777777" w:rsidR="00403B07" w:rsidRPr="0078024B" w:rsidRDefault="00403B07" w:rsidP="00B01272">
            <w:r w:rsidRPr="0078024B">
              <w:t>Intro and Q/A re the energy balance and HeLP messages</w:t>
            </w:r>
          </w:p>
        </w:tc>
        <w:tc>
          <w:tcPr>
            <w:tcW w:w="1622" w:type="dxa"/>
          </w:tcPr>
          <w:p w14:paraId="1A6BA511" w14:textId="77777777" w:rsidR="00403B07" w:rsidRPr="0078024B" w:rsidRDefault="00403B07" w:rsidP="00B01272"/>
        </w:tc>
        <w:tc>
          <w:tcPr>
            <w:tcW w:w="3085" w:type="dxa"/>
          </w:tcPr>
          <w:p w14:paraId="2EA84C87" w14:textId="77777777" w:rsidR="00403B07" w:rsidRPr="0078024B" w:rsidRDefault="00403B07" w:rsidP="00B01272"/>
        </w:tc>
      </w:tr>
      <w:tr w:rsidR="00403B07" w:rsidRPr="0078024B" w14:paraId="3FE6DCCE" w14:textId="77777777" w:rsidTr="00B01272">
        <w:tc>
          <w:tcPr>
            <w:tcW w:w="5324" w:type="dxa"/>
          </w:tcPr>
          <w:p w14:paraId="71B8EA52" w14:textId="77777777" w:rsidR="00403B07" w:rsidRPr="0078024B" w:rsidRDefault="00403B07" w:rsidP="00B01272">
            <w:r w:rsidRPr="0078024B">
              <w:t>Sportsmen/dancers talking about the importance of eating healthily and being active</w:t>
            </w:r>
          </w:p>
        </w:tc>
        <w:tc>
          <w:tcPr>
            <w:tcW w:w="1622" w:type="dxa"/>
          </w:tcPr>
          <w:p w14:paraId="5E02324A" w14:textId="77777777" w:rsidR="00403B07" w:rsidRPr="0078024B" w:rsidRDefault="00403B07" w:rsidP="00B01272"/>
        </w:tc>
        <w:tc>
          <w:tcPr>
            <w:tcW w:w="3085" w:type="dxa"/>
          </w:tcPr>
          <w:p w14:paraId="15502D4F" w14:textId="77777777" w:rsidR="00403B07" w:rsidRPr="0078024B" w:rsidRDefault="00403B07" w:rsidP="00B01272"/>
        </w:tc>
      </w:tr>
      <w:tr w:rsidR="00403B07" w:rsidRPr="0078024B" w14:paraId="31F35F13" w14:textId="77777777" w:rsidTr="00B01272">
        <w:tc>
          <w:tcPr>
            <w:tcW w:w="5324" w:type="dxa"/>
          </w:tcPr>
          <w:p w14:paraId="16B1B204" w14:textId="77777777" w:rsidR="00403B07" w:rsidRPr="0078024B" w:rsidRDefault="00403B07" w:rsidP="00B01272">
            <w:r w:rsidRPr="0078024B">
              <w:t>Practical session</w:t>
            </w:r>
          </w:p>
        </w:tc>
        <w:tc>
          <w:tcPr>
            <w:tcW w:w="1622" w:type="dxa"/>
          </w:tcPr>
          <w:p w14:paraId="3A06FB80" w14:textId="77777777" w:rsidR="00403B07" w:rsidRPr="0078024B" w:rsidRDefault="00403B07" w:rsidP="00B01272"/>
        </w:tc>
        <w:tc>
          <w:tcPr>
            <w:tcW w:w="3085" w:type="dxa"/>
          </w:tcPr>
          <w:p w14:paraId="38EB323F" w14:textId="77777777" w:rsidR="00403B07" w:rsidRPr="0078024B" w:rsidRDefault="00403B07" w:rsidP="00B01272"/>
        </w:tc>
      </w:tr>
    </w:tbl>
    <w:p w14:paraId="60931A9E" w14:textId="77777777" w:rsidR="00403B07" w:rsidRPr="0078024B" w:rsidRDefault="00403B07" w:rsidP="00403B07">
      <w:pPr>
        <w:rPr>
          <w:rFonts w:eastAsiaTheme="minorHAnsi"/>
          <w:b/>
          <w:lang w:eastAsia="en-US"/>
        </w:rPr>
      </w:pPr>
    </w:p>
    <w:p w14:paraId="0670FA84" w14:textId="77777777" w:rsidR="00403B07" w:rsidRPr="0078024B" w:rsidRDefault="00403B07" w:rsidP="00403B07">
      <w:pPr>
        <w:rPr>
          <w:rFonts w:eastAsiaTheme="minorHAnsi"/>
          <w:lang w:eastAsia="en-US"/>
        </w:rPr>
      </w:pPr>
      <w:r w:rsidRPr="0078024B">
        <w:rPr>
          <w:rFonts w:eastAsiaTheme="minorHAnsi"/>
          <w:lang w:eastAsia="en-US"/>
        </w:rPr>
        <w:t>General Comments:</w:t>
      </w:r>
    </w:p>
    <w:p w14:paraId="374748A2" w14:textId="77777777" w:rsidR="00403B07" w:rsidRPr="0078024B" w:rsidRDefault="00403B07" w:rsidP="00403B07">
      <w:pPr>
        <w:rPr>
          <w:rFonts w:eastAsiaTheme="minorHAnsi"/>
          <w:lang w:eastAsia="en-US"/>
        </w:rPr>
      </w:pPr>
    </w:p>
    <w:p w14:paraId="44BA4EE9" w14:textId="77777777" w:rsidR="00403B07" w:rsidRPr="0078024B" w:rsidRDefault="00403B07" w:rsidP="00403B07">
      <w:pPr>
        <w:rPr>
          <w:rFonts w:eastAsiaTheme="minorHAnsi"/>
          <w:lang w:eastAsia="en-US"/>
        </w:rPr>
      </w:pPr>
    </w:p>
    <w:p w14:paraId="3A72153D" w14:textId="77777777" w:rsidR="00403B07" w:rsidRPr="0078024B" w:rsidRDefault="00403B07" w:rsidP="00403B07">
      <w:pPr>
        <w:rPr>
          <w:rFonts w:eastAsiaTheme="minorHAnsi"/>
          <w:lang w:eastAsia="en-US"/>
        </w:rPr>
      </w:pPr>
    </w:p>
    <w:p w14:paraId="45A5A1C6" w14:textId="77777777" w:rsidR="00403B07" w:rsidRPr="0078024B" w:rsidRDefault="00403B07" w:rsidP="00403B07">
      <w:pPr>
        <w:rPr>
          <w:rFonts w:eastAsiaTheme="minorHAnsi"/>
          <w:lang w:eastAsia="en-US"/>
        </w:rPr>
      </w:pPr>
    </w:p>
    <w:p w14:paraId="7E3BEFE2" w14:textId="77777777" w:rsidR="00403B07" w:rsidRPr="0078024B" w:rsidRDefault="00403B07" w:rsidP="00403B07">
      <w:pPr>
        <w:rPr>
          <w:rFonts w:eastAsiaTheme="minorHAnsi"/>
          <w:lang w:eastAsia="en-US"/>
        </w:rPr>
      </w:pPr>
    </w:p>
    <w:p w14:paraId="5C6EB1D4" w14:textId="77777777" w:rsidR="00403B07" w:rsidRPr="0078024B" w:rsidRDefault="00403B07" w:rsidP="00403B07">
      <w:pPr>
        <w:rPr>
          <w:rFonts w:eastAsiaTheme="minorHAnsi"/>
          <w:lang w:eastAsia="en-US"/>
        </w:rPr>
      </w:pPr>
    </w:p>
    <w:p w14:paraId="1DA8EE41" w14:textId="77777777" w:rsidR="00403B07" w:rsidRPr="0078024B" w:rsidRDefault="00403B07" w:rsidP="00403B07">
      <w:pPr>
        <w:rPr>
          <w:rFonts w:eastAsiaTheme="minorHAnsi"/>
          <w:lang w:eastAsia="en-US"/>
        </w:rPr>
      </w:pPr>
    </w:p>
    <w:p w14:paraId="74C8FE17" w14:textId="77777777" w:rsidR="00403B07" w:rsidRPr="0078024B" w:rsidRDefault="00403B07" w:rsidP="00403B07">
      <w:pPr>
        <w:rPr>
          <w:rFonts w:eastAsiaTheme="minorHAnsi"/>
          <w:lang w:eastAsia="en-US"/>
        </w:rPr>
      </w:pPr>
    </w:p>
    <w:p w14:paraId="5DC8A753" w14:textId="77777777" w:rsidR="00403B07" w:rsidRPr="0078024B" w:rsidRDefault="00403B07" w:rsidP="00403B07">
      <w:pPr>
        <w:rPr>
          <w:rFonts w:eastAsiaTheme="minorHAnsi"/>
          <w:lang w:eastAsia="en-US"/>
        </w:rPr>
      </w:pPr>
    </w:p>
    <w:p w14:paraId="75C7F570" w14:textId="77777777" w:rsidR="00403B07" w:rsidRPr="0078024B" w:rsidRDefault="00403B07" w:rsidP="00403B07">
      <w:pPr>
        <w:rPr>
          <w:rFonts w:eastAsiaTheme="minorHAnsi"/>
          <w:lang w:eastAsia="en-US"/>
        </w:rPr>
      </w:pPr>
    </w:p>
    <w:p w14:paraId="131FC52C" w14:textId="77777777" w:rsidR="00403B07" w:rsidRPr="0078024B" w:rsidRDefault="00403B07" w:rsidP="00403B07">
      <w:pPr>
        <w:rPr>
          <w:rFonts w:eastAsiaTheme="minorHAnsi"/>
          <w:lang w:eastAsia="en-US"/>
        </w:rPr>
      </w:pPr>
    </w:p>
    <w:p w14:paraId="44DBE9A6" w14:textId="77777777" w:rsidR="00403B07" w:rsidRPr="0078024B" w:rsidRDefault="00403B07" w:rsidP="00403B07">
      <w:pPr>
        <w:rPr>
          <w:rFonts w:eastAsiaTheme="minorHAnsi"/>
          <w:lang w:eastAsia="en-US"/>
        </w:rPr>
      </w:pPr>
    </w:p>
    <w:p w14:paraId="439F55C7" w14:textId="77777777" w:rsidR="00403B07" w:rsidRPr="0078024B" w:rsidRDefault="00403B07" w:rsidP="00403B07">
      <w:pPr>
        <w:rPr>
          <w:rFonts w:eastAsiaTheme="minorHAnsi"/>
          <w:lang w:eastAsia="en-US"/>
        </w:rPr>
      </w:pPr>
    </w:p>
    <w:p w14:paraId="52AA9047" w14:textId="77777777" w:rsidR="00403B07" w:rsidRPr="0078024B" w:rsidRDefault="00403B07" w:rsidP="00403B07">
      <w:pPr>
        <w:rPr>
          <w:rFonts w:eastAsiaTheme="minorHAnsi"/>
          <w:lang w:eastAsia="en-US"/>
        </w:rPr>
      </w:pPr>
    </w:p>
    <w:p w14:paraId="746DDD97" w14:textId="77777777" w:rsidR="00403B07" w:rsidRPr="0078024B" w:rsidRDefault="00403B07" w:rsidP="00403B07">
      <w:pPr>
        <w:rPr>
          <w:rFonts w:eastAsiaTheme="minorHAnsi"/>
          <w:lang w:eastAsia="en-US"/>
        </w:rPr>
      </w:pPr>
    </w:p>
    <w:p w14:paraId="35DAD5FA" w14:textId="77777777" w:rsidR="00403B07" w:rsidRPr="0078024B" w:rsidRDefault="00403B07" w:rsidP="00403B07">
      <w:pPr>
        <w:rPr>
          <w:rFonts w:eastAsiaTheme="minorHAnsi"/>
          <w:lang w:eastAsia="en-US"/>
        </w:rPr>
      </w:pPr>
    </w:p>
    <w:p w14:paraId="29A13557" w14:textId="77777777" w:rsidR="00E85074" w:rsidRDefault="00E85074">
      <w:pPr>
        <w:rPr>
          <w:rFonts w:cs="Arial"/>
          <w:b/>
          <w:i/>
          <w:sz w:val="24"/>
          <w:szCs w:val="24"/>
        </w:rPr>
      </w:pPr>
      <w:r>
        <w:rPr>
          <w:rFonts w:cs="Arial"/>
          <w:b/>
          <w:i/>
          <w:sz w:val="24"/>
          <w:szCs w:val="24"/>
        </w:rPr>
        <w:br w:type="page"/>
      </w:r>
    </w:p>
    <w:p w14:paraId="274FB5DB" w14:textId="728A3AEE" w:rsidR="00403B07" w:rsidRPr="00765E8F" w:rsidRDefault="00403B07" w:rsidP="00403B07">
      <w:pPr>
        <w:rPr>
          <w:rFonts w:cs="Arial"/>
          <w:b/>
          <w:i/>
          <w:sz w:val="24"/>
          <w:szCs w:val="24"/>
        </w:rPr>
      </w:pPr>
      <w:r w:rsidRPr="00765E8F">
        <w:rPr>
          <w:rFonts w:cs="Arial"/>
          <w:b/>
          <w:i/>
          <w:sz w:val="24"/>
          <w:szCs w:val="24"/>
        </w:rPr>
        <w:lastRenderedPageBreak/>
        <w:t>Appendix 1</w:t>
      </w:r>
      <w:r w:rsidR="00A60D1B">
        <w:rPr>
          <w:rFonts w:cs="Arial"/>
          <w:b/>
          <w:i/>
          <w:sz w:val="24"/>
          <w:szCs w:val="24"/>
        </w:rPr>
        <w:t>4</w:t>
      </w:r>
      <w:r w:rsidRPr="00765E8F">
        <w:rPr>
          <w:rFonts w:cs="Arial"/>
          <w:b/>
          <w:i/>
          <w:sz w:val="24"/>
          <w:szCs w:val="24"/>
        </w:rPr>
        <w:t xml:space="preserve"> Fidelity to Form example checklist (continued)</w:t>
      </w:r>
    </w:p>
    <w:p w14:paraId="38006AD3" w14:textId="77777777" w:rsidR="00403B07" w:rsidRPr="0078024B" w:rsidRDefault="00403B07" w:rsidP="00403B07">
      <w:pPr>
        <w:rPr>
          <w:rFonts w:eastAsiaTheme="minorHAnsi"/>
          <w:lang w:eastAsia="en-US"/>
        </w:rPr>
      </w:pPr>
    </w:p>
    <w:p w14:paraId="030EF972" w14:textId="77777777" w:rsidR="00403B07" w:rsidRPr="0078024B" w:rsidRDefault="00403B07" w:rsidP="00403B07">
      <w:pPr>
        <w:rPr>
          <w:rFonts w:eastAsiaTheme="minorHAnsi"/>
          <w:b/>
          <w:lang w:eastAsia="en-US"/>
        </w:rPr>
      </w:pPr>
      <w:r w:rsidRPr="0078024B">
        <w:rPr>
          <w:rFonts w:eastAsiaTheme="minorHAnsi"/>
          <w:b/>
          <w:lang w:eastAsia="en-US"/>
        </w:rPr>
        <w:t>PHASE 1</w:t>
      </w:r>
    </w:p>
    <w:p w14:paraId="70844741" w14:textId="77777777" w:rsidR="00403B07" w:rsidRPr="0078024B" w:rsidRDefault="00403B07" w:rsidP="00403B07">
      <w:pPr>
        <w:rPr>
          <w:rFonts w:eastAsiaTheme="minorHAnsi"/>
          <w:b/>
          <w:lang w:eastAsia="en-US"/>
        </w:rPr>
      </w:pPr>
      <w:r w:rsidRPr="0078024B">
        <w:rPr>
          <w:rFonts w:eastAsiaTheme="minorHAnsi"/>
          <w:b/>
          <w:lang w:eastAsia="en-US"/>
        </w:rPr>
        <w:t>Parents’ assembly Fidelity Check</w:t>
      </w:r>
    </w:p>
    <w:p w14:paraId="1DAE7557" w14:textId="77777777" w:rsidR="00403B07" w:rsidRPr="0078024B" w:rsidRDefault="00403B07" w:rsidP="00403B07">
      <w:pPr>
        <w:rPr>
          <w:rFonts w:eastAsiaTheme="minorHAnsi"/>
          <w:lang w:eastAsia="en-US"/>
        </w:rPr>
      </w:pPr>
      <w:r w:rsidRPr="0078024B">
        <w:rPr>
          <w:rFonts w:eastAsiaTheme="minorHAnsi"/>
          <w:lang w:eastAsia="en-US"/>
        </w:rPr>
        <w:t xml:space="preserve">NAME OF SCHOOL: </w:t>
      </w:r>
    </w:p>
    <w:p w14:paraId="48D8443A" w14:textId="77777777" w:rsidR="00403B07" w:rsidRPr="0078024B" w:rsidRDefault="00403B07" w:rsidP="00403B07">
      <w:pPr>
        <w:rPr>
          <w:rFonts w:eastAsiaTheme="minorHAnsi"/>
          <w:lang w:eastAsia="en-US"/>
        </w:rPr>
      </w:pPr>
      <w:r w:rsidRPr="0078024B">
        <w:rPr>
          <w:rFonts w:eastAsiaTheme="minorHAnsi"/>
          <w:lang w:eastAsia="en-US"/>
        </w:rPr>
        <w:t>NAME OF HC:</w:t>
      </w:r>
    </w:p>
    <w:p w14:paraId="2BBE32B3" w14:textId="77777777" w:rsidR="00403B07" w:rsidRPr="0078024B" w:rsidRDefault="00403B07" w:rsidP="00403B07">
      <w:pPr>
        <w:rPr>
          <w:rFonts w:eastAsiaTheme="minorHAnsi"/>
          <w:lang w:eastAsia="en-US"/>
        </w:rPr>
      </w:pPr>
      <w:r w:rsidRPr="0078024B">
        <w:rPr>
          <w:rFonts w:eastAsiaTheme="minorHAnsi"/>
          <w:lang w:eastAsia="en-US"/>
        </w:rPr>
        <w:t xml:space="preserve">DATE: </w:t>
      </w:r>
    </w:p>
    <w:p w14:paraId="3AABB766" w14:textId="77777777" w:rsidR="00403B07" w:rsidRPr="0078024B" w:rsidRDefault="00403B07" w:rsidP="00403B07">
      <w:pPr>
        <w:rPr>
          <w:rFonts w:eastAsiaTheme="minorHAnsi"/>
          <w:lang w:eastAsia="en-US"/>
        </w:rPr>
      </w:pPr>
      <w:r w:rsidRPr="0078024B">
        <w:rPr>
          <w:rFonts w:eastAsiaTheme="minorHAnsi"/>
          <w:lang w:eastAsia="en-US"/>
        </w:rPr>
        <w:t>Adherence to component content</w:t>
      </w:r>
      <w:r w:rsidRPr="0078024B">
        <w:rPr>
          <w:rFonts w:eastAsiaTheme="minorHAnsi"/>
          <w:lang w:eastAsia="en-US"/>
        </w:rPr>
        <w:tab/>
      </w:r>
      <w:r w:rsidRPr="0078024B">
        <w:rPr>
          <w:rFonts w:eastAsiaTheme="minorHAnsi"/>
          <w:lang w:eastAsia="en-US"/>
        </w:rPr>
        <w:tab/>
      </w:r>
    </w:p>
    <w:tbl>
      <w:tblPr>
        <w:tblStyle w:val="TableGrid4"/>
        <w:tblW w:w="9747" w:type="dxa"/>
        <w:tblLook w:val="04A0" w:firstRow="1" w:lastRow="0" w:firstColumn="1" w:lastColumn="0" w:noHBand="0" w:noVBand="1"/>
      </w:tblPr>
      <w:tblGrid>
        <w:gridCol w:w="3936"/>
        <w:gridCol w:w="1701"/>
        <w:gridCol w:w="4110"/>
      </w:tblGrid>
      <w:tr w:rsidR="00403B07" w:rsidRPr="0078024B" w14:paraId="64F0B4F6" w14:textId="77777777" w:rsidTr="00B01272">
        <w:tc>
          <w:tcPr>
            <w:tcW w:w="3936" w:type="dxa"/>
          </w:tcPr>
          <w:p w14:paraId="68A78AA3" w14:textId="77777777" w:rsidR="00403B07" w:rsidRPr="0078024B" w:rsidRDefault="00403B07" w:rsidP="00B01272">
            <w:pPr>
              <w:rPr>
                <w:b/>
              </w:rPr>
            </w:pPr>
            <w:r w:rsidRPr="0078024B">
              <w:rPr>
                <w:b/>
              </w:rPr>
              <w:t>Activity – class teacher present</w:t>
            </w:r>
          </w:p>
        </w:tc>
        <w:tc>
          <w:tcPr>
            <w:tcW w:w="1701" w:type="dxa"/>
          </w:tcPr>
          <w:p w14:paraId="7E7E6D19" w14:textId="77777777" w:rsidR="00403B07" w:rsidRPr="0078024B" w:rsidRDefault="00403B07" w:rsidP="00B01272">
            <w:pPr>
              <w:rPr>
                <w:b/>
              </w:rPr>
            </w:pPr>
            <w:r w:rsidRPr="0078024B">
              <w:rPr>
                <w:b/>
              </w:rPr>
              <w:t>Yes/Partial/No</w:t>
            </w:r>
          </w:p>
        </w:tc>
        <w:tc>
          <w:tcPr>
            <w:tcW w:w="4110" w:type="dxa"/>
          </w:tcPr>
          <w:p w14:paraId="532C48C6" w14:textId="77777777" w:rsidR="00403B07" w:rsidRPr="0078024B" w:rsidRDefault="00403B07" w:rsidP="00B01272">
            <w:pPr>
              <w:rPr>
                <w:b/>
              </w:rPr>
            </w:pPr>
            <w:r w:rsidRPr="0078024B">
              <w:rPr>
                <w:b/>
              </w:rPr>
              <w:t>Notes</w:t>
            </w:r>
          </w:p>
        </w:tc>
      </w:tr>
      <w:tr w:rsidR="00403B07" w:rsidRPr="0078024B" w14:paraId="6E2D3E74" w14:textId="77777777" w:rsidTr="00B01272">
        <w:tc>
          <w:tcPr>
            <w:tcW w:w="3936" w:type="dxa"/>
          </w:tcPr>
          <w:p w14:paraId="015B23D4" w14:textId="73A789C7" w:rsidR="00403B07" w:rsidRPr="0078024B" w:rsidRDefault="00403B07" w:rsidP="00B01272">
            <w:r w:rsidRPr="0078024B">
              <w:t>Intro with rationale of the Programme</w:t>
            </w:r>
          </w:p>
        </w:tc>
        <w:tc>
          <w:tcPr>
            <w:tcW w:w="1701" w:type="dxa"/>
          </w:tcPr>
          <w:p w14:paraId="207A230E" w14:textId="77777777" w:rsidR="00403B07" w:rsidRPr="0078024B" w:rsidRDefault="00403B07" w:rsidP="00B01272"/>
        </w:tc>
        <w:tc>
          <w:tcPr>
            <w:tcW w:w="4110" w:type="dxa"/>
          </w:tcPr>
          <w:p w14:paraId="089F9BEB" w14:textId="77777777" w:rsidR="00403B07" w:rsidRPr="0078024B" w:rsidRDefault="00403B07" w:rsidP="00B01272"/>
        </w:tc>
      </w:tr>
      <w:tr w:rsidR="00403B07" w:rsidRPr="0078024B" w14:paraId="13EDCA00" w14:textId="77777777" w:rsidTr="00B01272">
        <w:tc>
          <w:tcPr>
            <w:tcW w:w="3936" w:type="dxa"/>
          </w:tcPr>
          <w:p w14:paraId="58C1D38D" w14:textId="78222907" w:rsidR="00403B07" w:rsidRPr="0078024B" w:rsidRDefault="00403B07" w:rsidP="00B01272">
            <w:r w:rsidRPr="0078024B">
              <w:t>Summary of the HeLP Programme</w:t>
            </w:r>
          </w:p>
        </w:tc>
        <w:tc>
          <w:tcPr>
            <w:tcW w:w="1701" w:type="dxa"/>
          </w:tcPr>
          <w:p w14:paraId="1EDD9D91" w14:textId="77777777" w:rsidR="00403B07" w:rsidRPr="0078024B" w:rsidRDefault="00403B07" w:rsidP="00B01272"/>
        </w:tc>
        <w:tc>
          <w:tcPr>
            <w:tcW w:w="4110" w:type="dxa"/>
          </w:tcPr>
          <w:p w14:paraId="36F2993F" w14:textId="77777777" w:rsidR="00403B07" w:rsidRPr="0078024B" w:rsidRDefault="00403B07" w:rsidP="00B01272"/>
        </w:tc>
      </w:tr>
      <w:tr w:rsidR="00403B07" w:rsidRPr="0078024B" w14:paraId="5C97D28A" w14:textId="77777777" w:rsidTr="00B01272">
        <w:tc>
          <w:tcPr>
            <w:tcW w:w="3936" w:type="dxa"/>
          </w:tcPr>
          <w:p w14:paraId="246B19C0" w14:textId="77777777" w:rsidR="00403B07" w:rsidRPr="0078024B" w:rsidRDefault="00403B07" w:rsidP="00B01272">
            <w:r w:rsidRPr="0078024B">
              <w:t>Family invitations</w:t>
            </w:r>
          </w:p>
        </w:tc>
        <w:tc>
          <w:tcPr>
            <w:tcW w:w="1701" w:type="dxa"/>
          </w:tcPr>
          <w:p w14:paraId="3BC7939F" w14:textId="77777777" w:rsidR="00403B07" w:rsidRPr="0078024B" w:rsidRDefault="00403B07" w:rsidP="00B01272"/>
        </w:tc>
        <w:tc>
          <w:tcPr>
            <w:tcW w:w="4110" w:type="dxa"/>
          </w:tcPr>
          <w:p w14:paraId="72770F6E" w14:textId="77777777" w:rsidR="00403B07" w:rsidRPr="0078024B" w:rsidRDefault="00403B07" w:rsidP="00B01272"/>
        </w:tc>
      </w:tr>
      <w:tr w:rsidR="00403B07" w:rsidRPr="0078024B" w14:paraId="6323673B" w14:textId="77777777" w:rsidTr="00B01272">
        <w:tc>
          <w:tcPr>
            <w:tcW w:w="3936" w:type="dxa"/>
          </w:tcPr>
          <w:p w14:paraId="4774E168" w14:textId="77777777" w:rsidR="00403B07" w:rsidRPr="0078024B" w:rsidRDefault="00403B07" w:rsidP="00B01272">
            <w:r w:rsidRPr="0078024B">
              <w:t>Contacts details given</w:t>
            </w:r>
          </w:p>
        </w:tc>
        <w:tc>
          <w:tcPr>
            <w:tcW w:w="1701" w:type="dxa"/>
          </w:tcPr>
          <w:p w14:paraId="69F8347C" w14:textId="77777777" w:rsidR="00403B07" w:rsidRPr="0078024B" w:rsidRDefault="00403B07" w:rsidP="00B01272"/>
        </w:tc>
        <w:tc>
          <w:tcPr>
            <w:tcW w:w="4110" w:type="dxa"/>
          </w:tcPr>
          <w:p w14:paraId="720273DA" w14:textId="77777777" w:rsidR="00403B07" w:rsidRPr="0078024B" w:rsidRDefault="00403B07" w:rsidP="00B01272"/>
        </w:tc>
      </w:tr>
      <w:tr w:rsidR="00403B07" w:rsidRPr="0078024B" w14:paraId="0E070467" w14:textId="77777777" w:rsidTr="00B01272">
        <w:tc>
          <w:tcPr>
            <w:tcW w:w="3936" w:type="dxa"/>
          </w:tcPr>
          <w:p w14:paraId="603C3825" w14:textId="77777777" w:rsidR="00403B07" w:rsidRPr="0078024B" w:rsidRDefault="00403B07" w:rsidP="00B01272">
            <w:r w:rsidRPr="0078024B">
              <w:t>Dance performance</w:t>
            </w:r>
          </w:p>
        </w:tc>
        <w:tc>
          <w:tcPr>
            <w:tcW w:w="1701" w:type="dxa"/>
          </w:tcPr>
          <w:p w14:paraId="0142CAFF" w14:textId="77777777" w:rsidR="00403B07" w:rsidRPr="0078024B" w:rsidRDefault="00403B07" w:rsidP="00B01272"/>
        </w:tc>
        <w:tc>
          <w:tcPr>
            <w:tcW w:w="4110" w:type="dxa"/>
          </w:tcPr>
          <w:p w14:paraId="7A724D29" w14:textId="77777777" w:rsidR="00403B07" w:rsidRPr="0078024B" w:rsidRDefault="00403B07" w:rsidP="00B01272"/>
        </w:tc>
      </w:tr>
      <w:tr w:rsidR="00403B07" w:rsidRPr="0078024B" w14:paraId="33479FC5" w14:textId="77777777" w:rsidTr="00B01272">
        <w:tc>
          <w:tcPr>
            <w:tcW w:w="3936" w:type="dxa"/>
          </w:tcPr>
          <w:p w14:paraId="3E408EA7" w14:textId="77777777" w:rsidR="00403B07" w:rsidRPr="0078024B" w:rsidRDefault="00403B07" w:rsidP="00B01272">
            <w:r w:rsidRPr="0078024B">
              <w:t>Sport performance (e.g.rugby/basketball)</w:t>
            </w:r>
          </w:p>
        </w:tc>
        <w:tc>
          <w:tcPr>
            <w:tcW w:w="1701" w:type="dxa"/>
          </w:tcPr>
          <w:p w14:paraId="4DAD6F17" w14:textId="77777777" w:rsidR="00403B07" w:rsidRPr="0078024B" w:rsidRDefault="00403B07" w:rsidP="00B01272"/>
        </w:tc>
        <w:tc>
          <w:tcPr>
            <w:tcW w:w="4110" w:type="dxa"/>
          </w:tcPr>
          <w:p w14:paraId="118B97B4" w14:textId="77777777" w:rsidR="00403B07" w:rsidRPr="0078024B" w:rsidRDefault="00403B07" w:rsidP="00B01272"/>
        </w:tc>
      </w:tr>
      <w:tr w:rsidR="00403B07" w:rsidRPr="0078024B" w14:paraId="4290EBA6" w14:textId="77777777" w:rsidTr="00B01272">
        <w:tc>
          <w:tcPr>
            <w:tcW w:w="3936" w:type="dxa"/>
          </w:tcPr>
          <w:p w14:paraId="5DC91810" w14:textId="77777777" w:rsidR="00403B07" w:rsidRPr="0078024B" w:rsidRDefault="00403B07" w:rsidP="00B01272">
            <w:r w:rsidRPr="0078024B">
              <w:t>Raps performance</w:t>
            </w:r>
          </w:p>
        </w:tc>
        <w:tc>
          <w:tcPr>
            <w:tcW w:w="1701" w:type="dxa"/>
          </w:tcPr>
          <w:p w14:paraId="06AD134E" w14:textId="77777777" w:rsidR="00403B07" w:rsidRPr="0078024B" w:rsidRDefault="00403B07" w:rsidP="00B01272"/>
        </w:tc>
        <w:tc>
          <w:tcPr>
            <w:tcW w:w="4110" w:type="dxa"/>
          </w:tcPr>
          <w:p w14:paraId="38CA439F" w14:textId="77777777" w:rsidR="00403B07" w:rsidRPr="0078024B" w:rsidRDefault="00403B07" w:rsidP="00B01272"/>
        </w:tc>
      </w:tr>
    </w:tbl>
    <w:p w14:paraId="4CAD24AF" w14:textId="77777777" w:rsidR="00403B07" w:rsidRPr="0078024B" w:rsidRDefault="00403B07" w:rsidP="00403B07">
      <w:pPr>
        <w:rPr>
          <w:rFonts w:eastAsiaTheme="minorHAnsi"/>
          <w:lang w:eastAsia="en-US"/>
        </w:rPr>
      </w:pPr>
    </w:p>
    <w:p w14:paraId="29651E33" w14:textId="77777777" w:rsidR="00403B07" w:rsidRPr="0078024B" w:rsidRDefault="00403B07" w:rsidP="00403B07">
      <w:pPr>
        <w:rPr>
          <w:rFonts w:eastAsiaTheme="minorHAnsi"/>
          <w:lang w:eastAsia="en-US"/>
        </w:rPr>
      </w:pPr>
      <w:r w:rsidRPr="0078024B">
        <w:rPr>
          <w:rFonts w:eastAsiaTheme="minorHAnsi"/>
          <w:lang w:eastAsia="en-US"/>
        </w:rPr>
        <w:t>General comments:</w:t>
      </w:r>
    </w:p>
    <w:p w14:paraId="27444F17" w14:textId="77777777" w:rsidR="00403B07" w:rsidRPr="0078024B" w:rsidRDefault="00403B07" w:rsidP="00403B07">
      <w:pPr>
        <w:rPr>
          <w:rFonts w:eastAsiaTheme="minorHAnsi"/>
          <w:lang w:eastAsia="en-US"/>
        </w:rPr>
      </w:pPr>
      <w:r w:rsidRPr="0078024B">
        <w:rPr>
          <w:rFonts w:eastAsiaTheme="minorHAnsi"/>
          <w:lang w:eastAsia="en-US"/>
        </w:rPr>
        <w:br w:type="page"/>
      </w:r>
    </w:p>
    <w:p w14:paraId="029AE08E" w14:textId="3C03A583" w:rsidR="00403B07" w:rsidRPr="00765E8F" w:rsidRDefault="00403B07" w:rsidP="00403B07">
      <w:pPr>
        <w:rPr>
          <w:rFonts w:cs="Arial"/>
          <w:b/>
          <w:i/>
          <w:sz w:val="24"/>
          <w:szCs w:val="24"/>
        </w:rPr>
      </w:pPr>
      <w:r w:rsidRPr="00765E8F">
        <w:rPr>
          <w:rFonts w:cs="Arial"/>
          <w:b/>
          <w:i/>
          <w:sz w:val="24"/>
          <w:szCs w:val="24"/>
        </w:rPr>
        <w:lastRenderedPageBreak/>
        <w:t>Appendix 1</w:t>
      </w:r>
      <w:r w:rsidR="00A60D1B">
        <w:rPr>
          <w:rFonts w:cs="Arial"/>
          <w:b/>
          <w:i/>
          <w:sz w:val="24"/>
          <w:szCs w:val="24"/>
        </w:rPr>
        <w:t>4</w:t>
      </w:r>
      <w:r w:rsidRPr="00765E8F">
        <w:rPr>
          <w:rFonts w:cs="Arial"/>
          <w:b/>
          <w:i/>
          <w:sz w:val="24"/>
          <w:szCs w:val="24"/>
        </w:rPr>
        <w:t xml:space="preserve"> Fidelity to Form example checklist (continued)</w:t>
      </w:r>
    </w:p>
    <w:p w14:paraId="0AA547BC" w14:textId="77777777" w:rsidR="00403B07" w:rsidRDefault="00403B07" w:rsidP="00403B07">
      <w:pPr>
        <w:rPr>
          <w:rFonts w:eastAsiaTheme="minorHAnsi"/>
          <w:b/>
          <w:lang w:eastAsia="en-US"/>
        </w:rPr>
      </w:pPr>
    </w:p>
    <w:p w14:paraId="01BDA7DB" w14:textId="77777777" w:rsidR="00403B07" w:rsidRPr="0078024B" w:rsidRDefault="00403B07" w:rsidP="00403B07">
      <w:pPr>
        <w:rPr>
          <w:rFonts w:eastAsiaTheme="minorHAnsi"/>
          <w:b/>
          <w:lang w:eastAsia="en-US"/>
        </w:rPr>
      </w:pPr>
      <w:r w:rsidRPr="0078024B">
        <w:rPr>
          <w:rFonts w:eastAsiaTheme="minorHAnsi"/>
          <w:b/>
          <w:lang w:eastAsia="en-US"/>
        </w:rPr>
        <w:t>PHASE 2</w:t>
      </w:r>
    </w:p>
    <w:p w14:paraId="63DD3BA3" w14:textId="77777777" w:rsidR="00403B07" w:rsidRPr="0078024B" w:rsidRDefault="00403B07" w:rsidP="00403B07">
      <w:pPr>
        <w:rPr>
          <w:rFonts w:eastAsiaTheme="minorHAnsi"/>
          <w:b/>
          <w:lang w:eastAsia="en-US"/>
        </w:rPr>
      </w:pPr>
      <w:r w:rsidRPr="0078024B">
        <w:rPr>
          <w:rFonts w:eastAsiaTheme="minorHAnsi"/>
          <w:b/>
          <w:lang w:eastAsia="en-US"/>
        </w:rPr>
        <w:t>Drama Workshop 1 Fidelity Check</w:t>
      </w:r>
    </w:p>
    <w:p w14:paraId="3945CAEA" w14:textId="77777777" w:rsidR="00403B07" w:rsidRPr="0078024B" w:rsidRDefault="00403B07" w:rsidP="00403B07">
      <w:pPr>
        <w:rPr>
          <w:rFonts w:eastAsiaTheme="minorHAnsi"/>
          <w:lang w:eastAsia="en-US"/>
        </w:rPr>
      </w:pPr>
      <w:r w:rsidRPr="0078024B">
        <w:rPr>
          <w:rFonts w:eastAsiaTheme="minorHAnsi"/>
          <w:lang w:eastAsia="en-US"/>
        </w:rPr>
        <w:t xml:space="preserve">NAME OF SCHOOL: </w:t>
      </w:r>
    </w:p>
    <w:p w14:paraId="45864FC5" w14:textId="77777777" w:rsidR="00403B07" w:rsidRPr="0078024B" w:rsidRDefault="00403B07" w:rsidP="00403B07">
      <w:pPr>
        <w:rPr>
          <w:rFonts w:eastAsiaTheme="minorHAnsi"/>
          <w:lang w:eastAsia="en-US"/>
        </w:rPr>
      </w:pPr>
      <w:r w:rsidRPr="0078024B">
        <w:rPr>
          <w:rFonts w:eastAsiaTheme="minorHAnsi"/>
          <w:lang w:eastAsia="en-US"/>
        </w:rPr>
        <w:t xml:space="preserve">NAME OF HC: </w:t>
      </w:r>
    </w:p>
    <w:p w14:paraId="4CAF0D76" w14:textId="77777777" w:rsidR="00403B07" w:rsidRPr="0078024B" w:rsidRDefault="00403B07" w:rsidP="00403B07">
      <w:pPr>
        <w:rPr>
          <w:rFonts w:eastAsiaTheme="minorHAnsi"/>
          <w:lang w:eastAsia="en-US"/>
        </w:rPr>
      </w:pPr>
      <w:r w:rsidRPr="0078024B">
        <w:rPr>
          <w:rFonts w:eastAsiaTheme="minorHAnsi"/>
          <w:lang w:eastAsia="en-US"/>
        </w:rPr>
        <w:t>DATE:</w:t>
      </w:r>
    </w:p>
    <w:p w14:paraId="72A439FC" w14:textId="77777777" w:rsidR="00403B07" w:rsidRPr="0078024B" w:rsidRDefault="00403B07" w:rsidP="00403B07">
      <w:pPr>
        <w:rPr>
          <w:rFonts w:eastAsiaTheme="minorHAnsi"/>
          <w:lang w:eastAsia="en-US"/>
        </w:rPr>
      </w:pPr>
      <w:r w:rsidRPr="0078024B">
        <w:rPr>
          <w:rFonts w:eastAsiaTheme="minorHAnsi"/>
          <w:lang w:eastAsia="en-US"/>
        </w:rPr>
        <w:t>Adherence to key content</w:t>
      </w:r>
    </w:p>
    <w:tbl>
      <w:tblPr>
        <w:tblStyle w:val="TableGrid4"/>
        <w:tblW w:w="10031" w:type="dxa"/>
        <w:tblLook w:val="04A0" w:firstRow="1" w:lastRow="0" w:firstColumn="1" w:lastColumn="0" w:noHBand="0" w:noVBand="1"/>
      </w:tblPr>
      <w:tblGrid>
        <w:gridCol w:w="5495"/>
        <w:gridCol w:w="1701"/>
        <w:gridCol w:w="2835"/>
      </w:tblGrid>
      <w:tr w:rsidR="00403B07" w:rsidRPr="0078024B" w14:paraId="1B8D895B" w14:textId="77777777" w:rsidTr="00B01272">
        <w:tc>
          <w:tcPr>
            <w:tcW w:w="5495" w:type="dxa"/>
          </w:tcPr>
          <w:p w14:paraId="21517BC0" w14:textId="77777777" w:rsidR="00403B07" w:rsidRPr="0078024B" w:rsidRDefault="00403B07" w:rsidP="00B01272">
            <w:pPr>
              <w:rPr>
                <w:b/>
              </w:rPr>
            </w:pPr>
            <w:r w:rsidRPr="0078024B">
              <w:rPr>
                <w:b/>
              </w:rPr>
              <w:t>Session 1 – Class teacher present</w:t>
            </w:r>
          </w:p>
        </w:tc>
        <w:tc>
          <w:tcPr>
            <w:tcW w:w="1701" w:type="dxa"/>
          </w:tcPr>
          <w:p w14:paraId="4E052A53" w14:textId="77777777" w:rsidR="00403B07" w:rsidRPr="0078024B" w:rsidRDefault="00403B07" w:rsidP="00B01272">
            <w:r w:rsidRPr="0078024B">
              <w:rPr>
                <w:b/>
              </w:rPr>
              <w:t>Yes/partial/No</w:t>
            </w:r>
          </w:p>
        </w:tc>
        <w:tc>
          <w:tcPr>
            <w:tcW w:w="2835" w:type="dxa"/>
          </w:tcPr>
          <w:p w14:paraId="3735871F" w14:textId="77777777" w:rsidR="00403B07" w:rsidRPr="0078024B" w:rsidRDefault="00403B07" w:rsidP="00B01272">
            <w:pPr>
              <w:rPr>
                <w:b/>
              </w:rPr>
            </w:pPr>
            <w:r w:rsidRPr="0078024B">
              <w:rPr>
                <w:b/>
              </w:rPr>
              <w:t>Notes</w:t>
            </w:r>
          </w:p>
        </w:tc>
      </w:tr>
      <w:tr w:rsidR="00403B07" w:rsidRPr="0078024B" w14:paraId="0F6A1A3D" w14:textId="77777777" w:rsidTr="00B01272">
        <w:tc>
          <w:tcPr>
            <w:tcW w:w="5495" w:type="dxa"/>
          </w:tcPr>
          <w:p w14:paraId="1FDB1A6A" w14:textId="77777777" w:rsidR="00403B07" w:rsidRPr="0078024B" w:rsidRDefault="00403B07" w:rsidP="00B01272">
            <w:r w:rsidRPr="0078024B">
              <w:t>Introduce themes (80/20, energy balance)</w:t>
            </w:r>
          </w:p>
        </w:tc>
        <w:tc>
          <w:tcPr>
            <w:tcW w:w="1701" w:type="dxa"/>
          </w:tcPr>
          <w:p w14:paraId="33910A62" w14:textId="77777777" w:rsidR="00403B07" w:rsidRPr="0078024B" w:rsidRDefault="00403B07" w:rsidP="00B01272"/>
        </w:tc>
        <w:tc>
          <w:tcPr>
            <w:tcW w:w="2835" w:type="dxa"/>
          </w:tcPr>
          <w:p w14:paraId="5E481C14" w14:textId="77777777" w:rsidR="00403B07" w:rsidRPr="0078024B" w:rsidRDefault="00403B07" w:rsidP="00B01272"/>
        </w:tc>
      </w:tr>
      <w:tr w:rsidR="00403B07" w:rsidRPr="0078024B" w14:paraId="640074AB" w14:textId="77777777" w:rsidTr="00B01272">
        <w:tc>
          <w:tcPr>
            <w:tcW w:w="5495" w:type="dxa"/>
          </w:tcPr>
          <w:p w14:paraId="747D4A02" w14:textId="77777777" w:rsidR="00403B07" w:rsidRPr="0078024B" w:rsidRDefault="00403B07" w:rsidP="00B01272">
            <w:r w:rsidRPr="0078024B">
              <w:t>Nail and tooth in coke</w:t>
            </w:r>
          </w:p>
        </w:tc>
        <w:tc>
          <w:tcPr>
            <w:tcW w:w="1701" w:type="dxa"/>
          </w:tcPr>
          <w:p w14:paraId="058D233E" w14:textId="77777777" w:rsidR="00403B07" w:rsidRPr="0078024B" w:rsidRDefault="00403B07" w:rsidP="00B01272"/>
        </w:tc>
        <w:tc>
          <w:tcPr>
            <w:tcW w:w="2835" w:type="dxa"/>
          </w:tcPr>
          <w:p w14:paraId="128DC663" w14:textId="77777777" w:rsidR="00403B07" w:rsidRPr="0078024B" w:rsidRDefault="00403B07" w:rsidP="00B01272"/>
        </w:tc>
      </w:tr>
      <w:tr w:rsidR="00403B07" w:rsidRPr="0078024B" w14:paraId="3E2533CD" w14:textId="77777777" w:rsidTr="00B01272">
        <w:tc>
          <w:tcPr>
            <w:tcW w:w="5495" w:type="dxa"/>
          </w:tcPr>
          <w:p w14:paraId="0088A083" w14:textId="77777777" w:rsidR="00403B07" w:rsidRPr="0078024B" w:rsidRDefault="00403B07" w:rsidP="00B01272">
            <w:r w:rsidRPr="0078024B">
              <w:t>Introduce characters (alarm clock scene)/children choose character</w:t>
            </w:r>
          </w:p>
        </w:tc>
        <w:tc>
          <w:tcPr>
            <w:tcW w:w="1701" w:type="dxa"/>
          </w:tcPr>
          <w:p w14:paraId="148273A5" w14:textId="77777777" w:rsidR="00403B07" w:rsidRPr="0078024B" w:rsidRDefault="00403B07" w:rsidP="00B01272"/>
        </w:tc>
        <w:tc>
          <w:tcPr>
            <w:tcW w:w="2835" w:type="dxa"/>
          </w:tcPr>
          <w:p w14:paraId="6B9B414E" w14:textId="77777777" w:rsidR="00403B07" w:rsidRPr="0078024B" w:rsidRDefault="00403B07" w:rsidP="00B01272"/>
        </w:tc>
      </w:tr>
      <w:tr w:rsidR="00403B07" w:rsidRPr="0078024B" w14:paraId="22104F37" w14:textId="77777777" w:rsidTr="00B01272">
        <w:tc>
          <w:tcPr>
            <w:tcW w:w="5495" w:type="dxa"/>
          </w:tcPr>
          <w:p w14:paraId="34411544" w14:textId="77777777" w:rsidR="00403B07" w:rsidRPr="0078024B" w:rsidRDefault="00403B07" w:rsidP="00B01272">
            <w:r w:rsidRPr="0078024B">
              <w:t>Children working in small groups with their character</w:t>
            </w:r>
          </w:p>
        </w:tc>
        <w:tc>
          <w:tcPr>
            <w:tcW w:w="1701" w:type="dxa"/>
          </w:tcPr>
          <w:p w14:paraId="3FD9AAB8" w14:textId="77777777" w:rsidR="00403B07" w:rsidRPr="0078024B" w:rsidRDefault="00403B07" w:rsidP="00B01272"/>
        </w:tc>
        <w:tc>
          <w:tcPr>
            <w:tcW w:w="2835" w:type="dxa"/>
          </w:tcPr>
          <w:p w14:paraId="1C772698" w14:textId="77777777" w:rsidR="00403B07" w:rsidRPr="0078024B" w:rsidRDefault="00403B07" w:rsidP="00B01272"/>
        </w:tc>
      </w:tr>
      <w:tr w:rsidR="00403B07" w:rsidRPr="0078024B" w14:paraId="5CC8771F" w14:textId="77777777" w:rsidTr="00B01272">
        <w:tc>
          <w:tcPr>
            <w:tcW w:w="5495" w:type="dxa"/>
          </w:tcPr>
          <w:p w14:paraId="66BBBB15" w14:textId="77777777" w:rsidR="00403B07" w:rsidRPr="0078024B" w:rsidRDefault="00403B07" w:rsidP="00B01272">
            <w:r w:rsidRPr="0078024B">
              <w:t>Introduce traffic light food system and quiz</w:t>
            </w:r>
          </w:p>
        </w:tc>
        <w:tc>
          <w:tcPr>
            <w:tcW w:w="1701" w:type="dxa"/>
          </w:tcPr>
          <w:p w14:paraId="4B05071E" w14:textId="77777777" w:rsidR="00403B07" w:rsidRPr="0078024B" w:rsidRDefault="00403B07" w:rsidP="00B01272"/>
        </w:tc>
        <w:tc>
          <w:tcPr>
            <w:tcW w:w="2835" w:type="dxa"/>
          </w:tcPr>
          <w:p w14:paraId="1AEEF8B8" w14:textId="77777777" w:rsidR="00403B07" w:rsidRPr="0078024B" w:rsidRDefault="00403B07" w:rsidP="00B01272"/>
        </w:tc>
      </w:tr>
      <w:tr w:rsidR="00403B07" w:rsidRPr="0078024B" w14:paraId="3312C4C8" w14:textId="77777777" w:rsidTr="00B01272">
        <w:tc>
          <w:tcPr>
            <w:tcW w:w="5495" w:type="dxa"/>
          </w:tcPr>
          <w:p w14:paraId="118EB6A8" w14:textId="77777777" w:rsidR="00403B07" w:rsidRPr="0078024B" w:rsidRDefault="00403B07" w:rsidP="00B01272">
            <w:r w:rsidRPr="0078024B">
              <w:t>Food machines</w:t>
            </w:r>
          </w:p>
        </w:tc>
        <w:tc>
          <w:tcPr>
            <w:tcW w:w="1701" w:type="dxa"/>
          </w:tcPr>
          <w:p w14:paraId="2B020F11" w14:textId="77777777" w:rsidR="00403B07" w:rsidRPr="0078024B" w:rsidRDefault="00403B07" w:rsidP="00B01272"/>
        </w:tc>
        <w:tc>
          <w:tcPr>
            <w:tcW w:w="2835" w:type="dxa"/>
          </w:tcPr>
          <w:p w14:paraId="0908D652" w14:textId="77777777" w:rsidR="00403B07" w:rsidRPr="0078024B" w:rsidRDefault="00403B07" w:rsidP="00B01272"/>
        </w:tc>
      </w:tr>
      <w:tr w:rsidR="00403B07" w:rsidRPr="0078024B" w14:paraId="10426514" w14:textId="77777777" w:rsidTr="00B01272">
        <w:tc>
          <w:tcPr>
            <w:tcW w:w="5495" w:type="dxa"/>
          </w:tcPr>
          <w:p w14:paraId="721400F3" w14:textId="77777777" w:rsidR="00403B07" w:rsidRPr="0078024B" w:rsidRDefault="00403B07" w:rsidP="00B01272">
            <w:r w:rsidRPr="0078024B">
              <w:t>Key message chant</w:t>
            </w:r>
          </w:p>
        </w:tc>
        <w:tc>
          <w:tcPr>
            <w:tcW w:w="1701" w:type="dxa"/>
          </w:tcPr>
          <w:p w14:paraId="04755162" w14:textId="77777777" w:rsidR="00403B07" w:rsidRPr="0078024B" w:rsidRDefault="00403B07" w:rsidP="00B01272"/>
        </w:tc>
        <w:tc>
          <w:tcPr>
            <w:tcW w:w="2835" w:type="dxa"/>
          </w:tcPr>
          <w:p w14:paraId="23BFCDAF" w14:textId="77777777" w:rsidR="00403B07" w:rsidRPr="0078024B" w:rsidRDefault="00403B07" w:rsidP="00B01272"/>
        </w:tc>
      </w:tr>
      <w:tr w:rsidR="00403B07" w:rsidRPr="0078024B" w14:paraId="478DEA84" w14:textId="77777777" w:rsidTr="00B01272">
        <w:tc>
          <w:tcPr>
            <w:tcW w:w="5495" w:type="dxa"/>
          </w:tcPr>
          <w:p w14:paraId="5E2C7413" w14:textId="77777777" w:rsidR="00403B07" w:rsidRPr="0078024B" w:rsidRDefault="00403B07" w:rsidP="00B01272">
            <w:r w:rsidRPr="0078024B">
              <w:t>Distribution of Traffic Light Food System parent information sheet</w:t>
            </w:r>
          </w:p>
        </w:tc>
        <w:tc>
          <w:tcPr>
            <w:tcW w:w="1701" w:type="dxa"/>
          </w:tcPr>
          <w:p w14:paraId="6A6DE580" w14:textId="77777777" w:rsidR="00403B07" w:rsidRPr="0078024B" w:rsidRDefault="00403B07" w:rsidP="00B01272"/>
        </w:tc>
        <w:tc>
          <w:tcPr>
            <w:tcW w:w="2835" w:type="dxa"/>
          </w:tcPr>
          <w:p w14:paraId="150A4F39" w14:textId="77777777" w:rsidR="00403B07" w:rsidRPr="0078024B" w:rsidRDefault="00403B07" w:rsidP="00B01272"/>
        </w:tc>
      </w:tr>
    </w:tbl>
    <w:p w14:paraId="2A6A9542" w14:textId="77777777" w:rsidR="00403B07" w:rsidRPr="0078024B" w:rsidRDefault="00403B07" w:rsidP="00403B07">
      <w:pPr>
        <w:rPr>
          <w:rFonts w:eastAsiaTheme="minorHAnsi"/>
          <w:lang w:eastAsia="en-US"/>
        </w:rPr>
      </w:pPr>
    </w:p>
    <w:p w14:paraId="55ECCD82" w14:textId="77777777" w:rsidR="00403B07" w:rsidRPr="0078024B" w:rsidRDefault="00403B07" w:rsidP="00403B07">
      <w:pPr>
        <w:rPr>
          <w:rFonts w:eastAsiaTheme="minorHAnsi"/>
          <w:lang w:eastAsia="en-US"/>
        </w:rPr>
      </w:pPr>
      <w:r w:rsidRPr="0078024B">
        <w:rPr>
          <w:rFonts w:eastAsiaTheme="minorHAnsi"/>
          <w:lang w:eastAsia="en-US"/>
        </w:rPr>
        <w:t>Quality of delivery and participant responsiveness (1=Low Quality</w:t>
      </w:r>
      <w:r w:rsidRPr="0078024B">
        <w:rPr>
          <w:rFonts w:eastAsiaTheme="minorHAnsi"/>
          <w:lang w:eastAsia="en-US"/>
        </w:rPr>
        <w:tab/>
        <w:t>10=High Quality)</w:t>
      </w:r>
    </w:p>
    <w:tbl>
      <w:tblPr>
        <w:tblStyle w:val="TableGrid4"/>
        <w:tblW w:w="0" w:type="auto"/>
        <w:tblLook w:val="04A0" w:firstRow="1" w:lastRow="0" w:firstColumn="1" w:lastColumn="0" w:noHBand="0" w:noVBand="1"/>
      </w:tblPr>
      <w:tblGrid>
        <w:gridCol w:w="2192"/>
        <w:gridCol w:w="701"/>
        <w:gridCol w:w="701"/>
        <w:gridCol w:w="702"/>
        <w:gridCol w:w="702"/>
        <w:gridCol w:w="702"/>
        <w:gridCol w:w="702"/>
        <w:gridCol w:w="702"/>
        <w:gridCol w:w="702"/>
        <w:gridCol w:w="703"/>
        <w:gridCol w:w="733"/>
      </w:tblGrid>
      <w:tr w:rsidR="00403B07" w:rsidRPr="0078024B" w14:paraId="234CD9F3" w14:textId="77777777" w:rsidTr="00B01272">
        <w:tc>
          <w:tcPr>
            <w:tcW w:w="2192" w:type="dxa"/>
          </w:tcPr>
          <w:p w14:paraId="7894C778" w14:textId="77777777" w:rsidR="00403B07" w:rsidRPr="0078024B" w:rsidRDefault="00403B07" w:rsidP="00B01272"/>
        </w:tc>
        <w:tc>
          <w:tcPr>
            <w:tcW w:w="701" w:type="dxa"/>
          </w:tcPr>
          <w:p w14:paraId="7EB53F3A" w14:textId="77777777" w:rsidR="00403B07" w:rsidRPr="0078024B" w:rsidRDefault="00403B07" w:rsidP="00B01272">
            <w:pPr>
              <w:rPr>
                <w:b/>
              </w:rPr>
            </w:pPr>
            <w:r w:rsidRPr="0078024B">
              <w:rPr>
                <w:b/>
              </w:rPr>
              <w:t>1</w:t>
            </w:r>
          </w:p>
        </w:tc>
        <w:tc>
          <w:tcPr>
            <w:tcW w:w="701" w:type="dxa"/>
          </w:tcPr>
          <w:p w14:paraId="0A477EFF" w14:textId="77777777" w:rsidR="00403B07" w:rsidRPr="0078024B" w:rsidRDefault="00403B07" w:rsidP="00B01272">
            <w:pPr>
              <w:rPr>
                <w:b/>
              </w:rPr>
            </w:pPr>
            <w:r w:rsidRPr="0078024B">
              <w:rPr>
                <w:b/>
              </w:rPr>
              <w:t>2</w:t>
            </w:r>
          </w:p>
        </w:tc>
        <w:tc>
          <w:tcPr>
            <w:tcW w:w="702" w:type="dxa"/>
          </w:tcPr>
          <w:p w14:paraId="73DFB7E7" w14:textId="77777777" w:rsidR="00403B07" w:rsidRPr="0078024B" w:rsidRDefault="00403B07" w:rsidP="00B01272">
            <w:pPr>
              <w:rPr>
                <w:b/>
              </w:rPr>
            </w:pPr>
            <w:r w:rsidRPr="0078024B">
              <w:rPr>
                <w:b/>
              </w:rPr>
              <w:t>3</w:t>
            </w:r>
          </w:p>
        </w:tc>
        <w:tc>
          <w:tcPr>
            <w:tcW w:w="702" w:type="dxa"/>
          </w:tcPr>
          <w:p w14:paraId="689F0CC1" w14:textId="77777777" w:rsidR="00403B07" w:rsidRPr="0078024B" w:rsidRDefault="00403B07" w:rsidP="00B01272">
            <w:pPr>
              <w:rPr>
                <w:b/>
              </w:rPr>
            </w:pPr>
            <w:r w:rsidRPr="0078024B">
              <w:rPr>
                <w:b/>
              </w:rPr>
              <w:t>4</w:t>
            </w:r>
          </w:p>
        </w:tc>
        <w:tc>
          <w:tcPr>
            <w:tcW w:w="702" w:type="dxa"/>
          </w:tcPr>
          <w:p w14:paraId="38B9416C" w14:textId="77777777" w:rsidR="00403B07" w:rsidRPr="0078024B" w:rsidRDefault="00403B07" w:rsidP="00B01272">
            <w:pPr>
              <w:rPr>
                <w:b/>
              </w:rPr>
            </w:pPr>
            <w:r w:rsidRPr="0078024B">
              <w:rPr>
                <w:b/>
              </w:rPr>
              <w:t>5</w:t>
            </w:r>
          </w:p>
        </w:tc>
        <w:tc>
          <w:tcPr>
            <w:tcW w:w="702" w:type="dxa"/>
          </w:tcPr>
          <w:p w14:paraId="360FA8FF" w14:textId="77777777" w:rsidR="00403B07" w:rsidRPr="0078024B" w:rsidRDefault="00403B07" w:rsidP="00B01272">
            <w:pPr>
              <w:rPr>
                <w:b/>
              </w:rPr>
            </w:pPr>
            <w:r w:rsidRPr="0078024B">
              <w:rPr>
                <w:b/>
              </w:rPr>
              <w:t>6</w:t>
            </w:r>
          </w:p>
        </w:tc>
        <w:tc>
          <w:tcPr>
            <w:tcW w:w="702" w:type="dxa"/>
          </w:tcPr>
          <w:p w14:paraId="11D31389" w14:textId="77777777" w:rsidR="00403B07" w:rsidRPr="0078024B" w:rsidRDefault="00403B07" w:rsidP="00B01272">
            <w:pPr>
              <w:rPr>
                <w:b/>
              </w:rPr>
            </w:pPr>
            <w:r w:rsidRPr="0078024B">
              <w:rPr>
                <w:b/>
              </w:rPr>
              <w:t>7</w:t>
            </w:r>
          </w:p>
        </w:tc>
        <w:tc>
          <w:tcPr>
            <w:tcW w:w="702" w:type="dxa"/>
          </w:tcPr>
          <w:p w14:paraId="69A11A87" w14:textId="77777777" w:rsidR="00403B07" w:rsidRPr="0078024B" w:rsidRDefault="00403B07" w:rsidP="00B01272">
            <w:pPr>
              <w:rPr>
                <w:b/>
              </w:rPr>
            </w:pPr>
            <w:r w:rsidRPr="0078024B">
              <w:rPr>
                <w:b/>
              </w:rPr>
              <w:t>8</w:t>
            </w:r>
          </w:p>
        </w:tc>
        <w:tc>
          <w:tcPr>
            <w:tcW w:w="703" w:type="dxa"/>
          </w:tcPr>
          <w:p w14:paraId="648389E1" w14:textId="77777777" w:rsidR="00403B07" w:rsidRPr="0078024B" w:rsidRDefault="00403B07" w:rsidP="00B01272">
            <w:pPr>
              <w:rPr>
                <w:b/>
              </w:rPr>
            </w:pPr>
            <w:r w:rsidRPr="0078024B">
              <w:rPr>
                <w:b/>
              </w:rPr>
              <w:t>9</w:t>
            </w:r>
          </w:p>
        </w:tc>
        <w:tc>
          <w:tcPr>
            <w:tcW w:w="733" w:type="dxa"/>
          </w:tcPr>
          <w:p w14:paraId="254D589A" w14:textId="77777777" w:rsidR="00403B07" w:rsidRPr="0078024B" w:rsidRDefault="00403B07" w:rsidP="00B01272">
            <w:pPr>
              <w:rPr>
                <w:b/>
              </w:rPr>
            </w:pPr>
            <w:r w:rsidRPr="0078024B">
              <w:rPr>
                <w:b/>
              </w:rPr>
              <w:t>10</w:t>
            </w:r>
          </w:p>
        </w:tc>
      </w:tr>
      <w:tr w:rsidR="00403B07" w:rsidRPr="0078024B" w14:paraId="724FB785" w14:textId="77777777" w:rsidTr="00B01272">
        <w:tc>
          <w:tcPr>
            <w:tcW w:w="2192" w:type="dxa"/>
          </w:tcPr>
          <w:p w14:paraId="5651F620" w14:textId="77777777" w:rsidR="00403B07" w:rsidRPr="0078024B" w:rsidRDefault="00403B07" w:rsidP="00B01272">
            <w:r w:rsidRPr="0078024B">
              <w:t>Enthusiastic delivery</w:t>
            </w:r>
          </w:p>
        </w:tc>
        <w:tc>
          <w:tcPr>
            <w:tcW w:w="701" w:type="dxa"/>
          </w:tcPr>
          <w:p w14:paraId="215C01F8" w14:textId="77777777" w:rsidR="00403B07" w:rsidRPr="0078024B" w:rsidRDefault="00403B07" w:rsidP="00B01272"/>
        </w:tc>
        <w:tc>
          <w:tcPr>
            <w:tcW w:w="701" w:type="dxa"/>
          </w:tcPr>
          <w:p w14:paraId="61C4407D" w14:textId="77777777" w:rsidR="00403B07" w:rsidRPr="0078024B" w:rsidRDefault="00403B07" w:rsidP="00B01272"/>
        </w:tc>
        <w:tc>
          <w:tcPr>
            <w:tcW w:w="702" w:type="dxa"/>
          </w:tcPr>
          <w:p w14:paraId="40EADA7F" w14:textId="77777777" w:rsidR="00403B07" w:rsidRPr="0078024B" w:rsidRDefault="00403B07" w:rsidP="00B01272"/>
        </w:tc>
        <w:tc>
          <w:tcPr>
            <w:tcW w:w="702" w:type="dxa"/>
          </w:tcPr>
          <w:p w14:paraId="0CCD00DF" w14:textId="77777777" w:rsidR="00403B07" w:rsidRPr="0078024B" w:rsidRDefault="00403B07" w:rsidP="00B01272"/>
        </w:tc>
        <w:tc>
          <w:tcPr>
            <w:tcW w:w="702" w:type="dxa"/>
          </w:tcPr>
          <w:p w14:paraId="2FA73079" w14:textId="77777777" w:rsidR="00403B07" w:rsidRPr="0078024B" w:rsidRDefault="00403B07" w:rsidP="00B01272"/>
        </w:tc>
        <w:tc>
          <w:tcPr>
            <w:tcW w:w="702" w:type="dxa"/>
          </w:tcPr>
          <w:p w14:paraId="3BFB540B" w14:textId="77777777" w:rsidR="00403B07" w:rsidRPr="0078024B" w:rsidRDefault="00403B07" w:rsidP="00B01272"/>
        </w:tc>
        <w:tc>
          <w:tcPr>
            <w:tcW w:w="702" w:type="dxa"/>
          </w:tcPr>
          <w:p w14:paraId="33D40BC7" w14:textId="77777777" w:rsidR="00403B07" w:rsidRPr="0078024B" w:rsidRDefault="00403B07" w:rsidP="00B01272"/>
        </w:tc>
        <w:tc>
          <w:tcPr>
            <w:tcW w:w="702" w:type="dxa"/>
          </w:tcPr>
          <w:p w14:paraId="68D4ACB4" w14:textId="77777777" w:rsidR="00403B07" w:rsidRPr="0078024B" w:rsidRDefault="00403B07" w:rsidP="00B01272"/>
        </w:tc>
        <w:tc>
          <w:tcPr>
            <w:tcW w:w="703" w:type="dxa"/>
          </w:tcPr>
          <w:p w14:paraId="41F2664F" w14:textId="77777777" w:rsidR="00403B07" w:rsidRPr="0078024B" w:rsidRDefault="00403B07" w:rsidP="00B01272"/>
        </w:tc>
        <w:tc>
          <w:tcPr>
            <w:tcW w:w="733" w:type="dxa"/>
          </w:tcPr>
          <w:p w14:paraId="0B4BB447" w14:textId="77777777" w:rsidR="00403B07" w:rsidRPr="0078024B" w:rsidRDefault="00403B07" w:rsidP="00B01272"/>
        </w:tc>
      </w:tr>
      <w:tr w:rsidR="00403B07" w:rsidRPr="0078024B" w14:paraId="4F0B7DCF" w14:textId="77777777" w:rsidTr="00B01272">
        <w:tc>
          <w:tcPr>
            <w:tcW w:w="2192" w:type="dxa"/>
          </w:tcPr>
          <w:p w14:paraId="77405E34" w14:textId="77777777" w:rsidR="00403B07" w:rsidRPr="0078024B" w:rsidRDefault="00403B07" w:rsidP="00B01272">
            <w:r w:rsidRPr="0078024B">
              <w:t>Engaged/participating children</w:t>
            </w:r>
          </w:p>
        </w:tc>
        <w:tc>
          <w:tcPr>
            <w:tcW w:w="701" w:type="dxa"/>
          </w:tcPr>
          <w:p w14:paraId="7B6AD883" w14:textId="77777777" w:rsidR="00403B07" w:rsidRPr="0078024B" w:rsidRDefault="00403B07" w:rsidP="00B01272"/>
        </w:tc>
        <w:tc>
          <w:tcPr>
            <w:tcW w:w="701" w:type="dxa"/>
          </w:tcPr>
          <w:p w14:paraId="4D0121E2" w14:textId="77777777" w:rsidR="00403B07" w:rsidRPr="0078024B" w:rsidRDefault="00403B07" w:rsidP="00B01272"/>
        </w:tc>
        <w:tc>
          <w:tcPr>
            <w:tcW w:w="702" w:type="dxa"/>
          </w:tcPr>
          <w:p w14:paraId="3F7DC487" w14:textId="77777777" w:rsidR="00403B07" w:rsidRPr="0078024B" w:rsidRDefault="00403B07" w:rsidP="00B01272"/>
        </w:tc>
        <w:tc>
          <w:tcPr>
            <w:tcW w:w="702" w:type="dxa"/>
          </w:tcPr>
          <w:p w14:paraId="56E93852" w14:textId="77777777" w:rsidR="00403B07" w:rsidRPr="0078024B" w:rsidRDefault="00403B07" w:rsidP="00B01272"/>
        </w:tc>
        <w:tc>
          <w:tcPr>
            <w:tcW w:w="702" w:type="dxa"/>
          </w:tcPr>
          <w:p w14:paraId="4C22945B" w14:textId="77777777" w:rsidR="00403B07" w:rsidRPr="0078024B" w:rsidRDefault="00403B07" w:rsidP="00B01272"/>
        </w:tc>
        <w:tc>
          <w:tcPr>
            <w:tcW w:w="702" w:type="dxa"/>
          </w:tcPr>
          <w:p w14:paraId="65A2367B" w14:textId="77777777" w:rsidR="00403B07" w:rsidRPr="0078024B" w:rsidRDefault="00403B07" w:rsidP="00B01272"/>
        </w:tc>
        <w:tc>
          <w:tcPr>
            <w:tcW w:w="702" w:type="dxa"/>
          </w:tcPr>
          <w:p w14:paraId="1B10FB35" w14:textId="77777777" w:rsidR="00403B07" w:rsidRPr="0078024B" w:rsidRDefault="00403B07" w:rsidP="00B01272"/>
        </w:tc>
        <w:tc>
          <w:tcPr>
            <w:tcW w:w="702" w:type="dxa"/>
          </w:tcPr>
          <w:p w14:paraId="7581D0A8" w14:textId="77777777" w:rsidR="00403B07" w:rsidRPr="0078024B" w:rsidRDefault="00403B07" w:rsidP="00B01272"/>
        </w:tc>
        <w:tc>
          <w:tcPr>
            <w:tcW w:w="703" w:type="dxa"/>
          </w:tcPr>
          <w:p w14:paraId="102EA3E9" w14:textId="77777777" w:rsidR="00403B07" w:rsidRPr="0078024B" w:rsidRDefault="00403B07" w:rsidP="00B01272"/>
        </w:tc>
        <w:tc>
          <w:tcPr>
            <w:tcW w:w="733" w:type="dxa"/>
          </w:tcPr>
          <w:p w14:paraId="6852E441" w14:textId="77777777" w:rsidR="00403B07" w:rsidRPr="0078024B" w:rsidRDefault="00403B07" w:rsidP="00B01272"/>
        </w:tc>
      </w:tr>
    </w:tbl>
    <w:p w14:paraId="06E65322" w14:textId="77777777" w:rsidR="00403B07" w:rsidRPr="0078024B" w:rsidRDefault="00403B07" w:rsidP="00403B07">
      <w:pPr>
        <w:rPr>
          <w:rFonts w:eastAsiaTheme="minorHAnsi"/>
          <w:lang w:eastAsia="en-US"/>
        </w:rPr>
      </w:pPr>
      <w:r w:rsidRPr="0078024B">
        <w:rPr>
          <w:rFonts w:eastAsiaTheme="minorHAnsi"/>
          <w:lang w:eastAsia="en-US"/>
        </w:rPr>
        <w:t>General comments:</w:t>
      </w:r>
    </w:p>
    <w:p w14:paraId="4D0FE62A" w14:textId="77777777" w:rsidR="00403B07" w:rsidRPr="0078024B" w:rsidRDefault="00403B07" w:rsidP="00403B07">
      <w:pPr>
        <w:rPr>
          <w:rFonts w:eastAsiaTheme="minorHAnsi"/>
          <w:lang w:eastAsia="en-US"/>
        </w:rPr>
      </w:pPr>
    </w:p>
    <w:p w14:paraId="75FDB68A" w14:textId="77777777" w:rsidR="00403B07" w:rsidRPr="0078024B" w:rsidRDefault="00403B07" w:rsidP="00403B07">
      <w:pPr>
        <w:rPr>
          <w:rFonts w:eastAsiaTheme="minorHAnsi"/>
          <w:lang w:eastAsia="en-US"/>
        </w:rPr>
      </w:pPr>
    </w:p>
    <w:p w14:paraId="2150D1CF" w14:textId="77777777" w:rsidR="00403B07" w:rsidRPr="0078024B" w:rsidRDefault="00403B07" w:rsidP="00403B07">
      <w:pPr>
        <w:rPr>
          <w:rFonts w:eastAsiaTheme="minorHAnsi"/>
          <w:lang w:eastAsia="en-US"/>
        </w:rPr>
      </w:pPr>
    </w:p>
    <w:p w14:paraId="348DA779" w14:textId="77777777" w:rsidR="00403B07" w:rsidRPr="0078024B" w:rsidRDefault="00403B07" w:rsidP="00403B07">
      <w:pPr>
        <w:rPr>
          <w:rFonts w:eastAsiaTheme="minorHAnsi"/>
          <w:lang w:eastAsia="en-US"/>
        </w:rPr>
      </w:pPr>
    </w:p>
    <w:p w14:paraId="395EAC6B" w14:textId="77777777" w:rsidR="00403B07" w:rsidRPr="0078024B" w:rsidRDefault="00403B07" w:rsidP="00403B07">
      <w:pPr>
        <w:rPr>
          <w:rFonts w:eastAsiaTheme="minorHAnsi"/>
          <w:lang w:eastAsia="en-US"/>
        </w:rPr>
      </w:pPr>
    </w:p>
    <w:p w14:paraId="00094816" w14:textId="77777777" w:rsidR="00403B07" w:rsidRPr="0078024B" w:rsidRDefault="00403B07" w:rsidP="00403B07">
      <w:pPr>
        <w:rPr>
          <w:rFonts w:eastAsiaTheme="minorHAnsi"/>
          <w:lang w:eastAsia="en-US"/>
        </w:rPr>
      </w:pPr>
    </w:p>
    <w:p w14:paraId="7F1F24D8" w14:textId="77777777" w:rsidR="00403B07" w:rsidRPr="0078024B" w:rsidRDefault="00403B07" w:rsidP="00403B07">
      <w:pPr>
        <w:rPr>
          <w:rFonts w:eastAsiaTheme="minorHAnsi"/>
          <w:lang w:eastAsia="en-US"/>
        </w:rPr>
      </w:pPr>
    </w:p>
    <w:p w14:paraId="68D55CCB" w14:textId="77777777" w:rsidR="00403B07" w:rsidRPr="0078024B" w:rsidRDefault="00403B07" w:rsidP="00403B07">
      <w:pPr>
        <w:rPr>
          <w:rFonts w:eastAsiaTheme="minorHAnsi"/>
          <w:lang w:eastAsia="en-US"/>
        </w:rPr>
      </w:pPr>
    </w:p>
    <w:p w14:paraId="063945A3" w14:textId="77777777" w:rsidR="00E85074" w:rsidRDefault="00E85074">
      <w:pPr>
        <w:rPr>
          <w:rFonts w:cs="Arial"/>
          <w:b/>
          <w:i/>
          <w:sz w:val="24"/>
          <w:szCs w:val="24"/>
        </w:rPr>
      </w:pPr>
      <w:r>
        <w:rPr>
          <w:rFonts w:cs="Arial"/>
          <w:b/>
          <w:i/>
          <w:sz w:val="24"/>
          <w:szCs w:val="24"/>
        </w:rPr>
        <w:br w:type="page"/>
      </w:r>
    </w:p>
    <w:p w14:paraId="5C55B5A1" w14:textId="72F15F8A" w:rsidR="00403B07" w:rsidRPr="00765E8F" w:rsidRDefault="00403B07" w:rsidP="00403B07">
      <w:pPr>
        <w:rPr>
          <w:rFonts w:cs="Arial"/>
          <w:b/>
          <w:i/>
          <w:sz w:val="24"/>
          <w:szCs w:val="24"/>
        </w:rPr>
      </w:pPr>
      <w:r w:rsidRPr="00765E8F">
        <w:rPr>
          <w:rFonts w:cs="Arial"/>
          <w:b/>
          <w:i/>
          <w:sz w:val="24"/>
          <w:szCs w:val="24"/>
        </w:rPr>
        <w:lastRenderedPageBreak/>
        <w:t>Appendix 1</w:t>
      </w:r>
      <w:r w:rsidR="00A60D1B">
        <w:rPr>
          <w:rFonts w:cs="Arial"/>
          <w:b/>
          <w:i/>
          <w:sz w:val="24"/>
          <w:szCs w:val="24"/>
        </w:rPr>
        <w:t>4</w:t>
      </w:r>
      <w:r w:rsidRPr="00765E8F">
        <w:rPr>
          <w:rFonts w:cs="Arial"/>
          <w:b/>
          <w:i/>
          <w:sz w:val="24"/>
          <w:szCs w:val="24"/>
        </w:rPr>
        <w:t xml:space="preserve"> Fidelity to Form example checklist (continued)</w:t>
      </w:r>
    </w:p>
    <w:p w14:paraId="48FD0FBE" w14:textId="77777777" w:rsidR="00403B07" w:rsidRPr="0078024B" w:rsidRDefault="00403B07" w:rsidP="00403B07">
      <w:pPr>
        <w:rPr>
          <w:rFonts w:eastAsiaTheme="minorHAnsi"/>
          <w:b/>
          <w:lang w:eastAsia="en-US"/>
        </w:rPr>
      </w:pPr>
    </w:p>
    <w:p w14:paraId="2F51CE7B" w14:textId="77777777" w:rsidR="00403B07" w:rsidRPr="0078024B" w:rsidRDefault="00403B07" w:rsidP="00403B07">
      <w:pPr>
        <w:rPr>
          <w:rFonts w:eastAsiaTheme="minorHAnsi"/>
          <w:b/>
          <w:lang w:eastAsia="en-US"/>
        </w:rPr>
      </w:pPr>
      <w:r w:rsidRPr="0078024B">
        <w:rPr>
          <w:rFonts w:eastAsiaTheme="minorHAnsi"/>
          <w:b/>
          <w:lang w:eastAsia="en-US"/>
        </w:rPr>
        <w:t xml:space="preserve">PHASE 2 </w:t>
      </w:r>
    </w:p>
    <w:p w14:paraId="706B1215" w14:textId="77777777" w:rsidR="00403B07" w:rsidRPr="0078024B" w:rsidRDefault="00403B07" w:rsidP="00403B07">
      <w:pPr>
        <w:rPr>
          <w:rFonts w:eastAsiaTheme="minorHAnsi"/>
          <w:b/>
          <w:lang w:eastAsia="en-US"/>
        </w:rPr>
      </w:pPr>
      <w:r w:rsidRPr="0078024B">
        <w:rPr>
          <w:rFonts w:eastAsiaTheme="minorHAnsi"/>
          <w:b/>
          <w:lang w:eastAsia="en-US"/>
        </w:rPr>
        <w:t>Drama Workshop 2 Fidelity Check</w:t>
      </w:r>
    </w:p>
    <w:p w14:paraId="56A1A1D2" w14:textId="77777777" w:rsidR="00403B07" w:rsidRPr="0078024B" w:rsidRDefault="00403B07" w:rsidP="00403B07">
      <w:pPr>
        <w:rPr>
          <w:rFonts w:eastAsiaTheme="minorHAnsi"/>
          <w:lang w:eastAsia="en-US"/>
        </w:rPr>
      </w:pPr>
      <w:r w:rsidRPr="0078024B">
        <w:rPr>
          <w:rFonts w:eastAsiaTheme="minorHAnsi"/>
          <w:lang w:eastAsia="en-US"/>
        </w:rPr>
        <w:t xml:space="preserve">NAME OF SCHOOL: </w:t>
      </w:r>
    </w:p>
    <w:p w14:paraId="11C9C83D" w14:textId="77777777" w:rsidR="00403B07" w:rsidRPr="0078024B" w:rsidRDefault="00403B07" w:rsidP="00403B07">
      <w:pPr>
        <w:rPr>
          <w:rFonts w:eastAsiaTheme="minorHAnsi"/>
          <w:lang w:eastAsia="en-US"/>
        </w:rPr>
      </w:pPr>
      <w:r w:rsidRPr="0078024B">
        <w:rPr>
          <w:rFonts w:eastAsiaTheme="minorHAnsi"/>
          <w:lang w:eastAsia="en-US"/>
        </w:rPr>
        <w:t>NAME OF HC:</w:t>
      </w:r>
    </w:p>
    <w:p w14:paraId="05138290" w14:textId="77777777" w:rsidR="00403B07" w:rsidRPr="0078024B" w:rsidRDefault="00403B07" w:rsidP="00403B07">
      <w:pPr>
        <w:rPr>
          <w:rFonts w:eastAsiaTheme="minorHAnsi"/>
          <w:lang w:eastAsia="en-US"/>
        </w:rPr>
      </w:pPr>
      <w:r w:rsidRPr="0078024B">
        <w:rPr>
          <w:rFonts w:eastAsiaTheme="minorHAnsi"/>
          <w:lang w:eastAsia="en-US"/>
        </w:rPr>
        <w:t>DATE:</w:t>
      </w:r>
    </w:p>
    <w:p w14:paraId="58847CD8" w14:textId="77777777" w:rsidR="00403B07" w:rsidRPr="0078024B" w:rsidRDefault="00403B07" w:rsidP="00403B07">
      <w:pPr>
        <w:rPr>
          <w:rFonts w:eastAsiaTheme="minorHAnsi"/>
          <w:lang w:eastAsia="en-US"/>
        </w:rPr>
      </w:pPr>
      <w:r w:rsidRPr="0078024B">
        <w:rPr>
          <w:rFonts w:eastAsiaTheme="minorHAnsi"/>
          <w:lang w:eastAsia="en-US"/>
        </w:rPr>
        <w:t>Adherence to key content</w:t>
      </w:r>
    </w:p>
    <w:tbl>
      <w:tblPr>
        <w:tblStyle w:val="TableGrid4"/>
        <w:tblW w:w="10031" w:type="dxa"/>
        <w:tblLook w:val="04A0" w:firstRow="1" w:lastRow="0" w:firstColumn="1" w:lastColumn="0" w:noHBand="0" w:noVBand="1"/>
      </w:tblPr>
      <w:tblGrid>
        <w:gridCol w:w="5353"/>
        <w:gridCol w:w="1720"/>
        <w:gridCol w:w="2958"/>
      </w:tblGrid>
      <w:tr w:rsidR="00403B07" w:rsidRPr="0078024B" w14:paraId="0D85E422" w14:textId="77777777" w:rsidTr="00B01272">
        <w:tc>
          <w:tcPr>
            <w:tcW w:w="5353" w:type="dxa"/>
          </w:tcPr>
          <w:p w14:paraId="6DB63C96" w14:textId="77777777" w:rsidR="00403B07" w:rsidRPr="0078024B" w:rsidRDefault="00403B07" w:rsidP="00B01272">
            <w:pPr>
              <w:rPr>
                <w:b/>
              </w:rPr>
            </w:pPr>
            <w:r w:rsidRPr="0078024B">
              <w:rPr>
                <w:b/>
              </w:rPr>
              <w:t>Session 2 - Class teacher present</w:t>
            </w:r>
          </w:p>
        </w:tc>
        <w:tc>
          <w:tcPr>
            <w:tcW w:w="1720" w:type="dxa"/>
          </w:tcPr>
          <w:p w14:paraId="033F49B2" w14:textId="77777777" w:rsidR="00403B07" w:rsidRPr="0078024B" w:rsidRDefault="00403B07" w:rsidP="00B01272">
            <w:r w:rsidRPr="0078024B">
              <w:rPr>
                <w:b/>
              </w:rPr>
              <w:t>Yes/Partial/No</w:t>
            </w:r>
          </w:p>
        </w:tc>
        <w:tc>
          <w:tcPr>
            <w:tcW w:w="2958" w:type="dxa"/>
          </w:tcPr>
          <w:p w14:paraId="2DFAE73D" w14:textId="77777777" w:rsidR="00403B07" w:rsidRPr="0078024B" w:rsidRDefault="00403B07" w:rsidP="00B01272">
            <w:pPr>
              <w:rPr>
                <w:b/>
              </w:rPr>
            </w:pPr>
            <w:r w:rsidRPr="0078024B">
              <w:rPr>
                <w:b/>
              </w:rPr>
              <w:t>Notes Mark away on course so had a sub</w:t>
            </w:r>
          </w:p>
        </w:tc>
      </w:tr>
      <w:tr w:rsidR="00403B07" w:rsidRPr="0078024B" w14:paraId="711406F6" w14:textId="77777777" w:rsidTr="00B01272">
        <w:tc>
          <w:tcPr>
            <w:tcW w:w="5353" w:type="dxa"/>
          </w:tcPr>
          <w:p w14:paraId="648DB614" w14:textId="77777777" w:rsidR="00403B07" w:rsidRPr="0078024B" w:rsidRDefault="00403B07" w:rsidP="00B01272">
            <w:r w:rsidRPr="0078024B">
              <w:t>24 hour clock and discussion</w:t>
            </w:r>
          </w:p>
        </w:tc>
        <w:tc>
          <w:tcPr>
            <w:tcW w:w="1720" w:type="dxa"/>
          </w:tcPr>
          <w:p w14:paraId="2B8F1347" w14:textId="77777777" w:rsidR="00403B07" w:rsidRPr="0078024B" w:rsidRDefault="00403B07" w:rsidP="00B01272"/>
        </w:tc>
        <w:tc>
          <w:tcPr>
            <w:tcW w:w="2958" w:type="dxa"/>
          </w:tcPr>
          <w:p w14:paraId="2AE367DB" w14:textId="77777777" w:rsidR="00403B07" w:rsidRPr="0078024B" w:rsidRDefault="00403B07" w:rsidP="00B01272"/>
        </w:tc>
      </w:tr>
      <w:tr w:rsidR="00403B07" w:rsidRPr="0078024B" w14:paraId="411053F5" w14:textId="77777777" w:rsidTr="00B01272">
        <w:tc>
          <w:tcPr>
            <w:tcW w:w="5353" w:type="dxa"/>
          </w:tcPr>
          <w:p w14:paraId="285BF35F" w14:textId="77777777" w:rsidR="00403B07" w:rsidRPr="0078024B" w:rsidRDefault="00403B07" w:rsidP="00B01272">
            <w:r w:rsidRPr="0078024B">
              <w:t>80/20 activities game</w:t>
            </w:r>
          </w:p>
        </w:tc>
        <w:tc>
          <w:tcPr>
            <w:tcW w:w="1720" w:type="dxa"/>
          </w:tcPr>
          <w:p w14:paraId="6A943B7B" w14:textId="77777777" w:rsidR="00403B07" w:rsidRPr="0078024B" w:rsidRDefault="00403B07" w:rsidP="00B01272"/>
        </w:tc>
        <w:tc>
          <w:tcPr>
            <w:tcW w:w="2958" w:type="dxa"/>
          </w:tcPr>
          <w:p w14:paraId="53BAD1D2" w14:textId="77777777" w:rsidR="00403B07" w:rsidRPr="0078024B" w:rsidRDefault="00403B07" w:rsidP="00B01272"/>
        </w:tc>
      </w:tr>
      <w:tr w:rsidR="00403B07" w:rsidRPr="0078024B" w14:paraId="07480039" w14:textId="77777777" w:rsidTr="00B01272">
        <w:tc>
          <w:tcPr>
            <w:tcW w:w="5353" w:type="dxa"/>
          </w:tcPr>
          <w:p w14:paraId="2A71C2B6" w14:textId="77777777" w:rsidR="00403B07" w:rsidRPr="0078024B" w:rsidRDefault="00403B07" w:rsidP="00B01272">
            <w:r w:rsidRPr="0078024B">
              <w:t>Lunchtime scene</w:t>
            </w:r>
          </w:p>
        </w:tc>
        <w:tc>
          <w:tcPr>
            <w:tcW w:w="1720" w:type="dxa"/>
          </w:tcPr>
          <w:p w14:paraId="69477863" w14:textId="77777777" w:rsidR="00403B07" w:rsidRPr="0078024B" w:rsidRDefault="00403B07" w:rsidP="00B01272"/>
        </w:tc>
        <w:tc>
          <w:tcPr>
            <w:tcW w:w="2958" w:type="dxa"/>
          </w:tcPr>
          <w:p w14:paraId="75E2579C" w14:textId="77777777" w:rsidR="00403B07" w:rsidRPr="0078024B" w:rsidRDefault="00403B07" w:rsidP="00B01272"/>
        </w:tc>
      </w:tr>
      <w:tr w:rsidR="00403B07" w:rsidRPr="0078024B" w14:paraId="782D2C40" w14:textId="77777777" w:rsidTr="00B01272">
        <w:tc>
          <w:tcPr>
            <w:tcW w:w="5353" w:type="dxa"/>
          </w:tcPr>
          <w:p w14:paraId="703D4A9E" w14:textId="77777777" w:rsidR="00403B07" w:rsidRPr="0078024B" w:rsidRDefault="00403B07" w:rsidP="00B01272">
            <w:r w:rsidRPr="0078024B">
              <w:t>Tasting healthy snacks and drinks</w:t>
            </w:r>
          </w:p>
        </w:tc>
        <w:tc>
          <w:tcPr>
            <w:tcW w:w="1720" w:type="dxa"/>
          </w:tcPr>
          <w:p w14:paraId="7A648D46" w14:textId="77777777" w:rsidR="00403B07" w:rsidRPr="0078024B" w:rsidRDefault="00403B07" w:rsidP="00B01272"/>
        </w:tc>
        <w:tc>
          <w:tcPr>
            <w:tcW w:w="2958" w:type="dxa"/>
          </w:tcPr>
          <w:p w14:paraId="7E8CBC9F" w14:textId="77777777" w:rsidR="00403B07" w:rsidRPr="0078024B" w:rsidRDefault="00403B07" w:rsidP="00B01272"/>
        </w:tc>
      </w:tr>
      <w:tr w:rsidR="00403B07" w:rsidRPr="0078024B" w14:paraId="38075AD5" w14:textId="77777777" w:rsidTr="00B01272">
        <w:tc>
          <w:tcPr>
            <w:tcW w:w="5353" w:type="dxa"/>
          </w:tcPr>
          <w:p w14:paraId="78078344" w14:textId="77777777" w:rsidR="00403B07" w:rsidRPr="0078024B" w:rsidRDefault="00403B07" w:rsidP="00B01272">
            <w:r w:rsidRPr="0078024B">
              <w:t xml:space="preserve">Rerun key messages and chant created in session </w:t>
            </w:r>
          </w:p>
        </w:tc>
        <w:tc>
          <w:tcPr>
            <w:tcW w:w="1720" w:type="dxa"/>
          </w:tcPr>
          <w:p w14:paraId="5343B6D2" w14:textId="77777777" w:rsidR="00403B07" w:rsidRPr="0078024B" w:rsidRDefault="00403B07" w:rsidP="00B01272"/>
        </w:tc>
        <w:tc>
          <w:tcPr>
            <w:tcW w:w="2958" w:type="dxa"/>
          </w:tcPr>
          <w:p w14:paraId="67C97E83" w14:textId="77777777" w:rsidR="00403B07" w:rsidRPr="0078024B" w:rsidRDefault="00403B07" w:rsidP="00B01272"/>
        </w:tc>
      </w:tr>
      <w:tr w:rsidR="00403B07" w:rsidRPr="0078024B" w14:paraId="45512D98" w14:textId="77777777" w:rsidTr="00B01272">
        <w:tc>
          <w:tcPr>
            <w:tcW w:w="5353" w:type="dxa"/>
          </w:tcPr>
          <w:p w14:paraId="0D345ECB" w14:textId="77777777" w:rsidR="00403B07" w:rsidRPr="0078024B" w:rsidRDefault="00403B07" w:rsidP="00B01272">
            <w:r w:rsidRPr="0078024B">
              <w:t>Distribution of breakfast parent information sheet</w:t>
            </w:r>
          </w:p>
        </w:tc>
        <w:tc>
          <w:tcPr>
            <w:tcW w:w="1720" w:type="dxa"/>
          </w:tcPr>
          <w:p w14:paraId="2D255B2D" w14:textId="77777777" w:rsidR="00403B07" w:rsidRPr="0078024B" w:rsidRDefault="00403B07" w:rsidP="00B01272"/>
        </w:tc>
        <w:tc>
          <w:tcPr>
            <w:tcW w:w="2958" w:type="dxa"/>
          </w:tcPr>
          <w:p w14:paraId="0D27A77D" w14:textId="77777777" w:rsidR="00403B07" w:rsidRPr="0078024B" w:rsidRDefault="00403B07" w:rsidP="00B01272"/>
        </w:tc>
      </w:tr>
      <w:tr w:rsidR="00403B07" w:rsidRPr="0078024B" w14:paraId="1E120812" w14:textId="77777777" w:rsidTr="00B01272">
        <w:tc>
          <w:tcPr>
            <w:tcW w:w="5353" w:type="dxa"/>
          </w:tcPr>
          <w:p w14:paraId="564EE91F" w14:textId="77777777" w:rsidR="00403B07" w:rsidRPr="0078024B" w:rsidRDefault="00403B07" w:rsidP="00B01272">
            <w:r w:rsidRPr="0078024B">
              <w:t>Encouragement from children to Duncan to pass this on to his parents</w:t>
            </w:r>
          </w:p>
        </w:tc>
        <w:tc>
          <w:tcPr>
            <w:tcW w:w="1720" w:type="dxa"/>
          </w:tcPr>
          <w:p w14:paraId="2C52405A" w14:textId="77777777" w:rsidR="00403B07" w:rsidRPr="0078024B" w:rsidRDefault="00403B07" w:rsidP="00B01272"/>
        </w:tc>
        <w:tc>
          <w:tcPr>
            <w:tcW w:w="2958" w:type="dxa"/>
          </w:tcPr>
          <w:p w14:paraId="6A7B7A5C" w14:textId="77777777" w:rsidR="00403B07" w:rsidRPr="0078024B" w:rsidRDefault="00403B07" w:rsidP="00B01272"/>
        </w:tc>
      </w:tr>
    </w:tbl>
    <w:p w14:paraId="34CC5C8D" w14:textId="77777777" w:rsidR="00403B07" w:rsidRPr="0078024B" w:rsidRDefault="00403B07" w:rsidP="00403B07">
      <w:pPr>
        <w:rPr>
          <w:rFonts w:eastAsiaTheme="minorHAnsi"/>
          <w:lang w:eastAsia="en-US"/>
        </w:rPr>
      </w:pPr>
      <w:r w:rsidRPr="0078024B">
        <w:rPr>
          <w:rFonts w:eastAsiaTheme="minorHAnsi"/>
          <w:lang w:eastAsia="en-US"/>
        </w:rPr>
        <w:t>Quality of delivery and participant responsiveness (1=Low Quality</w:t>
      </w:r>
      <w:r w:rsidRPr="0078024B">
        <w:rPr>
          <w:rFonts w:eastAsiaTheme="minorHAnsi"/>
          <w:lang w:eastAsia="en-US"/>
        </w:rPr>
        <w:tab/>
        <w:t>10=High Quality)</w:t>
      </w:r>
    </w:p>
    <w:tbl>
      <w:tblPr>
        <w:tblStyle w:val="TableGrid4"/>
        <w:tblW w:w="0" w:type="auto"/>
        <w:tblLook w:val="04A0" w:firstRow="1" w:lastRow="0" w:firstColumn="1" w:lastColumn="0" w:noHBand="0" w:noVBand="1"/>
      </w:tblPr>
      <w:tblGrid>
        <w:gridCol w:w="2192"/>
        <w:gridCol w:w="701"/>
        <w:gridCol w:w="701"/>
        <w:gridCol w:w="702"/>
        <w:gridCol w:w="702"/>
        <w:gridCol w:w="702"/>
        <w:gridCol w:w="702"/>
        <w:gridCol w:w="702"/>
        <w:gridCol w:w="702"/>
        <w:gridCol w:w="703"/>
        <w:gridCol w:w="733"/>
      </w:tblGrid>
      <w:tr w:rsidR="00403B07" w:rsidRPr="0078024B" w14:paraId="4DEBC24E" w14:textId="77777777" w:rsidTr="00B01272">
        <w:tc>
          <w:tcPr>
            <w:tcW w:w="2192" w:type="dxa"/>
          </w:tcPr>
          <w:p w14:paraId="1F07680A" w14:textId="77777777" w:rsidR="00403B07" w:rsidRPr="0078024B" w:rsidRDefault="00403B07" w:rsidP="00B01272"/>
        </w:tc>
        <w:tc>
          <w:tcPr>
            <w:tcW w:w="701" w:type="dxa"/>
          </w:tcPr>
          <w:p w14:paraId="7A2F00CD" w14:textId="77777777" w:rsidR="00403B07" w:rsidRPr="0078024B" w:rsidRDefault="00403B07" w:rsidP="00B01272">
            <w:pPr>
              <w:rPr>
                <w:b/>
              </w:rPr>
            </w:pPr>
            <w:r w:rsidRPr="0078024B">
              <w:rPr>
                <w:b/>
              </w:rPr>
              <w:t>1</w:t>
            </w:r>
          </w:p>
        </w:tc>
        <w:tc>
          <w:tcPr>
            <w:tcW w:w="701" w:type="dxa"/>
          </w:tcPr>
          <w:p w14:paraId="783EA903" w14:textId="77777777" w:rsidR="00403B07" w:rsidRPr="0078024B" w:rsidRDefault="00403B07" w:rsidP="00B01272">
            <w:pPr>
              <w:rPr>
                <w:b/>
              </w:rPr>
            </w:pPr>
            <w:r w:rsidRPr="0078024B">
              <w:rPr>
                <w:b/>
              </w:rPr>
              <w:t>2</w:t>
            </w:r>
          </w:p>
        </w:tc>
        <w:tc>
          <w:tcPr>
            <w:tcW w:w="702" w:type="dxa"/>
          </w:tcPr>
          <w:p w14:paraId="16E6D1B4" w14:textId="77777777" w:rsidR="00403B07" w:rsidRPr="0078024B" w:rsidRDefault="00403B07" w:rsidP="00B01272">
            <w:pPr>
              <w:rPr>
                <w:b/>
              </w:rPr>
            </w:pPr>
            <w:r w:rsidRPr="0078024B">
              <w:rPr>
                <w:b/>
              </w:rPr>
              <w:t>3</w:t>
            </w:r>
          </w:p>
        </w:tc>
        <w:tc>
          <w:tcPr>
            <w:tcW w:w="702" w:type="dxa"/>
          </w:tcPr>
          <w:p w14:paraId="30079260" w14:textId="77777777" w:rsidR="00403B07" w:rsidRPr="0078024B" w:rsidRDefault="00403B07" w:rsidP="00B01272">
            <w:pPr>
              <w:rPr>
                <w:b/>
              </w:rPr>
            </w:pPr>
            <w:r w:rsidRPr="0078024B">
              <w:rPr>
                <w:b/>
              </w:rPr>
              <w:t>4</w:t>
            </w:r>
          </w:p>
        </w:tc>
        <w:tc>
          <w:tcPr>
            <w:tcW w:w="702" w:type="dxa"/>
          </w:tcPr>
          <w:p w14:paraId="2D873841" w14:textId="77777777" w:rsidR="00403B07" w:rsidRPr="0078024B" w:rsidRDefault="00403B07" w:rsidP="00B01272">
            <w:pPr>
              <w:rPr>
                <w:b/>
              </w:rPr>
            </w:pPr>
            <w:r w:rsidRPr="0078024B">
              <w:rPr>
                <w:b/>
              </w:rPr>
              <w:t>5</w:t>
            </w:r>
          </w:p>
        </w:tc>
        <w:tc>
          <w:tcPr>
            <w:tcW w:w="702" w:type="dxa"/>
          </w:tcPr>
          <w:p w14:paraId="3785E51D" w14:textId="77777777" w:rsidR="00403B07" w:rsidRPr="0078024B" w:rsidRDefault="00403B07" w:rsidP="00B01272">
            <w:pPr>
              <w:rPr>
                <w:b/>
              </w:rPr>
            </w:pPr>
            <w:r w:rsidRPr="0078024B">
              <w:rPr>
                <w:b/>
              </w:rPr>
              <w:t>6</w:t>
            </w:r>
          </w:p>
        </w:tc>
        <w:tc>
          <w:tcPr>
            <w:tcW w:w="702" w:type="dxa"/>
          </w:tcPr>
          <w:p w14:paraId="26B358A9" w14:textId="77777777" w:rsidR="00403B07" w:rsidRPr="0078024B" w:rsidRDefault="00403B07" w:rsidP="00B01272">
            <w:pPr>
              <w:rPr>
                <w:b/>
              </w:rPr>
            </w:pPr>
            <w:r w:rsidRPr="0078024B">
              <w:rPr>
                <w:b/>
              </w:rPr>
              <w:t>7</w:t>
            </w:r>
          </w:p>
        </w:tc>
        <w:tc>
          <w:tcPr>
            <w:tcW w:w="702" w:type="dxa"/>
          </w:tcPr>
          <w:p w14:paraId="495D1E0A" w14:textId="77777777" w:rsidR="00403B07" w:rsidRPr="0078024B" w:rsidRDefault="00403B07" w:rsidP="00B01272">
            <w:pPr>
              <w:rPr>
                <w:b/>
              </w:rPr>
            </w:pPr>
            <w:r w:rsidRPr="0078024B">
              <w:rPr>
                <w:b/>
              </w:rPr>
              <w:t>8</w:t>
            </w:r>
          </w:p>
        </w:tc>
        <w:tc>
          <w:tcPr>
            <w:tcW w:w="703" w:type="dxa"/>
          </w:tcPr>
          <w:p w14:paraId="14564CE3" w14:textId="77777777" w:rsidR="00403B07" w:rsidRPr="0078024B" w:rsidRDefault="00403B07" w:rsidP="00B01272">
            <w:pPr>
              <w:rPr>
                <w:b/>
              </w:rPr>
            </w:pPr>
            <w:r w:rsidRPr="0078024B">
              <w:rPr>
                <w:b/>
              </w:rPr>
              <w:t>9</w:t>
            </w:r>
          </w:p>
        </w:tc>
        <w:tc>
          <w:tcPr>
            <w:tcW w:w="733" w:type="dxa"/>
          </w:tcPr>
          <w:p w14:paraId="4DD05F7B" w14:textId="77777777" w:rsidR="00403B07" w:rsidRPr="0078024B" w:rsidRDefault="00403B07" w:rsidP="00B01272">
            <w:pPr>
              <w:rPr>
                <w:b/>
              </w:rPr>
            </w:pPr>
            <w:r w:rsidRPr="0078024B">
              <w:rPr>
                <w:b/>
              </w:rPr>
              <w:t>10</w:t>
            </w:r>
          </w:p>
        </w:tc>
      </w:tr>
      <w:tr w:rsidR="00403B07" w:rsidRPr="0078024B" w14:paraId="44196144" w14:textId="77777777" w:rsidTr="00B01272">
        <w:tc>
          <w:tcPr>
            <w:tcW w:w="2192" w:type="dxa"/>
          </w:tcPr>
          <w:p w14:paraId="688A1542" w14:textId="77777777" w:rsidR="00403B07" w:rsidRPr="0078024B" w:rsidRDefault="00403B07" w:rsidP="00B01272">
            <w:r w:rsidRPr="0078024B">
              <w:t>Enthusiastic delivery</w:t>
            </w:r>
          </w:p>
        </w:tc>
        <w:tc>
          <w:tcPr>
            <w:tcW w:w="701" w:type="dxa"/>
          </w:tcPr>
          <w:p w14:paraId="145E6689" w14:textId="77777777" w:rsidR="00403B07" w:rsidRPr="0078024B" w:rsidRDefault="00403B07" w:rsidP="00B01272"/>
        </w:tc>
        <w:tc>
          <w:tcPr>
            <w:tcW w:w="701" w:type="dxa"/>
          </w:tcPr>
          <w:p w14:paraId="04905C48" w14:textId="77777777" w:rsidR="00403B07" w:rsidRPr="0078024B" w:rsidRDefault="00403B07" w:rsidP="00B01272"/>
        </w:tc>
        <w:tc>
          <w:tcPr>
            <w:tcW w:w="702" w:type="dxa"/>
          </w:tcPr>
          <w:p w14:paraId="3130E6B6" w14:textId="77777777" w:rsidR="00403B07" w:rsidRPr="0078024B" w:rsidRDefault="00403B07" w:rsidP="00B01272"/>
        </w:tc>
        <w:tc>
          <w:tcPr>
            <w:tcW w:w="702" w:type="dxa"/>
          </w:tcPr>
          <w:p w14:paraId="3C0FA291" w14:textId="77777777" w:rsidR="00403B07" w:rsidRPr="0078024B" w:rsidRDefault="00403B07" w:rsidP="00B01272"/>
        </w:tc>
        <w:tc>
          <w:tcPr>
            <w:tcW w:w="702" w:type="dxa"/>
          </w:tcPr>
          <w:p w14:paraId="3EDC7555" w14:textId="77777777" w:rsidR="00403B07" w:rsidRPr="0078024B" w:rsidRDefault="00403B07" w:rsidP="00B01272"/>
        </w:tc>
        <w:tc>
          <w:tcPr>
            <w:tcW w:w="702" w:type="dxa"/>
          </w:tcPr>
          <w:p w14:paraId="2A8E23DC" w14:textId="77777777" w:rsidR="00403B07" w:rsidRPr="0078024B" w:rsidRDefault="00403B07" w:rsidP="00B01272"/>
        </w:tc>
        <w:tc>
          <w:tcPr>
            <w:tcW w:w="702" w:type="dxa"/>
          </w:tcPr>
          <w:p w14:paraId="2A026A91" w14:textId="77777777" w:rsidR="00403B07" w:rsidRPr="0078024B" w:rsidRDefault="00403B07" w:rsidP="00B01272"/>
        </w:tc>
        <w:tc>
          <w:tcPr>
            <w:tcW w:w="702" w:type="dxa"/>
          </w:tcPr>
          <w:p w14:paraId="39BF06A1" w14:textId="77777777" w:rsidR="00403B07" w:rsidRPr="0078024B" w:rsidRDefault="00403B07" w:rsidP="00B01272"/>
        </w:tc>
        <w:tc>
          <w:tcPr>
            <w:tcW w:w="703" w:type="dxa"/>
          </w:tcPr>
          <w:p w14:paraId="706E330A" w14:textId="77777777" w:rsidR="00403B07" w:rsidRPr="0078024B" w:rsidRDefault="00403B07" w:rsidP="00B01272"/>
        </w:tc>
        <w:tc>
          <w:tcPr>
            <w:tcW w:w="733" w:type="dxa"/>
          </w:tcPr>
          <w:p w14:paraId="4EA8FDB1" w14:textId="77777777" w:rsidR="00403B07" w:rsidRPr="0078024B" w:rsidRDefault="00403B07" w:rsidP="00B01272"/>
        </w:tc>
      </w:tr>
      <w:tr w:rsidR="00403B07" w:rsidRPr="0078024B" w14:paraId="3CEDA0C6" w14:textId="77777777" w:rsidTr="00B01272">
        <w:tc>
          <w:tcPr>
            <w:tcW w:w="2192" w:type="dxa"/>
          </w:tcPr>
          <w:p w14:paraId="1CB5521C" w14:textId="77777777" w:rsidR="00403B07" w:rsidRPr="0078024B" w:rsidRDefault="00403B07" w:rsidP="00B01272">
            <w:r w:rsidRPr="0078024B">
              <w:t>Engaged/participating children</w:t>
            </w:r>
          </w:p>
        </w:tc>
        <w:tc>
          <w:tcPr>
            <w:tcW w:w="701" w:type="dxa"/>
          </w:tcPr>
          <w:p w14:paraId="731BBEEE" w14:textId="77777777" w:rsidR="00403B07" w:rsidRPr="0078024B" w:rsidRDefault="00403B07" w:rsidP="00B01272"/>
        </w:tc>
        <w:tc>
          <w:tcPr>
            <w:tcW w:w="701" w:type="dxa"/>
          </w:tcPr>
          <w:p w14:paraId="0A78AA99" w14:textId="77777777" w:rsidR="00403B07" w:rsidRPr="0078024B" w:rsidRDefault="00403B07" w:rsidP="00B01272"/>
        </w:tc>
        <w:tc>
          <w:tcPr>
            <w:tcW w:w="702" w:type="dxa"/>
          </w:tcPr>
          <w:p w14:paraId="5235660E" w14:textId="77777777" w:rsidR="00403B07" w:rsidRPr="0078024B" w:rsidRDefault="00403B07" w:rsidP="00B01272"/>
        </w:tc>
        <w:tc>
          <w:tcPr>
            <w:tcW w:w="702" w:type="dxa"/>
          </w:tcPr>
          <w:p w14:paraId="659902F2" w14:textId="77777777" w:rsidR="00403B07" w:rsidRPr="0078024B" w:rsidRDefault="00403B07" w:rsidP="00B01272"/>
        </w:tc>
        <w:tc>
          <w:tcPr>
            <w:tcW w:w="702" w:type="dxa"/>
          </w:tcPr>
          <w:p w14:paraId="3A12F247" w14:textId="77777777" w:rsidR="00403B07" w:rsidRPr="0078024B" w:rsidRDefault="00403B07" w:rsidP="00B01272"/>
        </w:tc>
        <w:tc>
          <w:tcPr>
            <w:tcW w:w="702" w:type="dxa"/>
          </w:tcPr>
          <w:p w14:paraId="03E56B02" w14:textId="77777777" w:rsidR="00403B07" w:rsidRPr="0078024B" w:rsidRDefault="00403B07" w:rsidP="00B01272"/>
        </w:tc>
        <w:tc>
          <w:tcPr>
            <w:tcW w:w="702" w:type="dxa"/>
          </w:tcPr>
          <w:p w14:paraId="1346DDB5" w14:textId="77777777" w:rsidR="00403B07" w:rsidRPr="0078024B" w:rsidRDefault="00403B07" w:rsidP="00B01272"/>
        </w:tc>
        <w:tc>
          <w:tcPr>
            <w:tcW w:w="702" w:type="dxa"/>
          </w:tcPr>
          <w:p w14:paraId="20B42227" w14:textId="77777777" w:rsidR="00403B07" w:rsidRPr="0078024B" w:rsidRDefault="00403B07" w:rsidP="00B01272"/>
        </w:tc>
        <w:tc>
          <w:tcPr>
            <w:tcW w:w="703" w:type="dxa"/>
          </w:tcPr>
          <w:p w14:paraId="398EEAE4" w14:textId="77777777" w:rsidR="00403B07" w:rsidRPr="0078024B" w:rsidRDefault="00403B07" w:rsidP="00B01272"/>
        </w:tc>
        <w:tc>
          <w:tcPr>
            <w:tcW w:w="733" w:type="dxa"/>
          </w:tcPr>
          <w:p w14:paraId="3AD5F390" w14:textId="77777777" w:rsidR="00403B07" w:rsidRPr="0078024B" w:rsidRDefault="00403B07" w:rsidP="00B01272"/>
        </w:tc>
      </w:tr>
    </w:tbl>
    <w:p w14:paraId="033D8E05" w14:textId="77777777" w:rsidR="00403B07" w:rsidRPr="0078024B" w:rsidRDefault="00403B07" w:rsidP="00403B07">
      <w:pPr>
        <w:rPr>
          <w:rFonts w:eastAsiaTheme="minorHAnsi"/>
          <w:lang w:eastAsia="en-US"/>
        </w:rPr>
      </w:pPr>
      <w:r w:rsidRPr="0078024B">
        <w:rPr>
          <w:rFonts w:eastAsiaTheme="minorHAnsi"/>
          <w:lang w:eastAsia="en-US"/>
        </w:rPr>
        <w:t>General comments:</w:t>
      </w:r>
    </w:p>
    <w:p w14:paraId="6B7E113B" w14:textId="77777777" w:rsidR="00403B07" w:rsidRPr="0078024B" w:rsidRDefault="00403B07" w:rsidP="00403B07">
      <w:pPr>
        <w:rPr>
          <w:rFonts w:eastAsiaTheme="minorHAnsi"/>
          <w:lang w:eastAsia="en-US"/>
        </w:rPr>
      </w:pPr>
    </w:p>
    <w:p w14:paraId="5E680636" w14:textId="77777777" w:rsidR="00403B07" w:rsidRPr="0078024B" w:rsidRDefault="00403B07" w:rsidP="00403B07">
      <w:pPr>
        <w:rPr>
          <w:rFonts w:eastAsiaTheme="minorHAnsi"/>
          <w:lang w:eastAsia="en-US"/>
        </w:rPr>
      </w:pPr>
    </w:p>
    <w:p w14:paraId="57C3273F" w14:textId="77777777" w:rsidR="00403B07" w:rsidRPr="0078024B" w:rsidRDefault="00403B07" w:rsidP="00403B07">
      <w:pPr>
        <w:rPr>
          <w:rFonts w:eastAsiaTheme="minorHAnsi"/>
          <w:lang w:eastAsia="en-US"/>
        </w:rPr>
      </w:pPr>
    </w:p>
    <w:p w14:paraId="74C58FB9" w14:textId="77777777" w:rsidR="00403B07" w:rsidRPr="0078024B" w:rsidRDefault="00403B07" w:rsidP="00403B07">
      <w:pPr>
        <w:rPr>
          <w:rFonts w:eastAsiaTheme="minorHAnsi"/>
          <w:lang w:eastAsia="en-US"/>
        </w:rPr>
      </w:pPr>
    </w:p>
    <w:p w14:paraId="5A27A55D" w14:textId="77777777" w:rsidR="00403B07" w:rsidRPr="0078024B" w:rsidRDefault="00403B07" w:rsidP="00403B07">
      <w:pPr>
        <w:rPr>
          <w:rFonts w:eastAsiaTheme="minorHAnsi"/>
          <w:lang w:eastAsia="en-US"/>
        </w:rPr>
      </w:pPr>
    </w:p>
    <w:p w14:paraId="3DFFD60C" w14:textId="77777777" w:rsidR="00403B07" w:rsidRPr="0078024B" w:rsidRDefault="00403B07" w:rsidP="00403B07">
      <w:pPr>
        <w:rPr>
          <w:rFonts w:eastAsiaTheme="minorHAnsi"/>
          <w:lang w:eastAsia="en-US"/>
        </w:rPr>
      </w:pPr>
    </w:p>
    <w:p w14:paraId="1AC36E77" w14:textId="77777777" w:rsidR="00403B07" w:rsidRPr="0078024B" w:rsidRDefault="00403B07" w:rsidP="00403B07">
      <w:pPr>
        <w:rPr>
          <w:rFonts w:eastAsiaTheme="minorHAnsi"/>
          <w:lang w:eastAsia="en-US"/>
        </w:rPr>
      </w:pPr>
    </w:p>
    <w:p w14:paraId="5671987B" w14:textId="77777777" w:rsidR="00403B07" w:rsidRPr="0078024B" w:rsidRDefault="00403B07" w:rsidP="00403B07">
      <w:pPr>
        <w:rPr>
          <w:rFonts w:eastAsiaTheme="minorHAnsi"/>
          <w:lang w:eastAsia="en-US"/>
        </w:rPr>
      </w:pPr>
    </w:p>
    <w:p w14:paraId="5EF38AF0" w14:textId="77777777" w:rsidR="00403B07" w:rsidRPr="0078024B" w:rsidRDefault="00403B07" w:rsidP="00403B07">
      <w:pPr>
        <w:rPr>
          <w:rFonts w:eastAsiaTheme="minorHAnsi"/>
          <w:lang w:eastAsia="en-US"/>
        </w:rPr>
      </w:pPr>
    </w:p>
    <w:p w14:paraId="4025F460" w14:textId="77777777" w:rsidR="00403B07" w:rsidRPr="0078024B" w:rsidRDefault="00403B07" w:rsidP="00403B07">
      <w:pPr>
        <w:rPr>
          <w:rFonts w:eastAsiaTheme="minorHAnsi"/>
          <w:lang w:eastAsia="en-US"/>
        </w:rPr>
      </w:pPr>
    </w:p>
    <w:p w14:paraId="2231EF1E" w14:textId="77777777" w:rsidR="00E85074" w:rsidRDefault="00E85074">
      <w:pPr>
        <w:rPr>
          <w:rFonts w:cs="Arial"/>
          <w:b/>
          <w:i/>
          <w:sz w:val="24"/>
          <w:szCs w:val="24"/>
        </w:rPr>
      </w:pPr>
      <w:r>
        <w:rPr>
          <w:rFonts w:cs="Arial"/>
          <w:b/>
          <w:i/>
          <w:sz w:val="24"/>
          <w:szCs w:val="24"/>
        </w:rPr>
        <w:br w:type="page"/>
      </w:r>
    </w:p>
    <w:p w14:paraId="0B1CE2E4" w14:textId="30EB1FE1" w:rsidR="00403B07" w:rsidRPr="00765E8F" w:rsidRDefault="00403B07" w:rsidP="00403B07">
      <w:pPr>
        <w:rPr>
          <w:rFonts w:cs="Arial"/>
          <w:b/>
          <w:i/>
          <w:sz w:val="24"/>
          <w:szCs w:val="24"/>
        </w:rPr>
      </w:pPr>
      <w:r w:rsidRPr="00765E8F">
        <w:rPr>
          <w:rFonts w:cs="Arial"/>
          <w:b/>
          <w:i/>
          <w:sz w:val="24"/>
          <w:szCs w:val="24"/>
        </w:rPr>
        <w:lastRenderedPageBreak/>
        <w:t>Appendix 1</w:t>
      </w:r>
      <w:r w:rsidR="00A60D1B">
        <w:rPr>
          <w:rFonts w:cs="Arial"/>
          <w:b/>
          <w:i/>
          <w:sz w:val="24"/>
          <w:szCs w:val="24"/>
        </w:rPr>
        <w:t>4</w:t>
      </w:r>
      <w:r w:rsidRPr="00765E8F">
        <w:rPr>
          <w:rFonts w:cs="Arial"/>
          <w:b/>
          <w:i/>
          <w:sz w:val="24"/>
          <w:szCs w:val="24"/>
        </w:rPr>
        <w:t xml:space="preserve"> Fidelity to Form example checklist (continued)</w:t>
      </w:r>
    </w:p>
    <w:p w14:paraId="1AEB1664" w14:textId="77777777" w:rsidR="00403B07" w:rsidRPr="0078024B" w:rsidRDefault="00403B07" w:rsidP="00403B07">
      <w:pPr>
        <w:rPr>
          <w:rFonts w:eastAsiaTheme="minorHAnsi"/>
          <w:lang w:eastAsia="en-US"/>
        </w:rPr>
      </w:pPr>
    </w:p>
    <w:p w14:paraId="47C6AD34" w14:textId="77777777" w:rsidR="00403B07" w:rsidRPr="0078024B" w:rsidRDefault="00403B07" w:rsidP="00403B07">
      <w:pPr>
        <w:rPr>
          <w:rFonts w:eastAsiaTheme="minorHAnsi"/>
          <w:b/>
          <w:lang w:eastAsia="en-US"/>
        </w:rPr>
      </w:pPr>
      <w:r w:rsidRPr="0078024B">
        <w:rPr>
          <w:rFonts w:eastAsiaTheme="minorHAnsi"/>
          <w:b/>
          <w:lang w:eastAsia="en-US"/>
        </w:rPr>
        <w:t xml:space="preserve">PHASE 2 </w:t>
      </w:r>
    </w:p>
    <w:p w14:paraId="2BEF8A8B" w14:textId="77777777" w:rsidR="00403B07" w:rsidRPr="0078024B" w:rsidRDefault="00403B07" w:rsidP="00403B07">
      <w:pPr>
        <w:rPr>
          <w:rFonts w:eastAsiaTheme="minorHAnsi"/>
          <w:b/>
          <w:lang w:eastAsia="en-US"/>
        </w:rPr>
      </w:pPr>
      <w:r w:rsidRPr="0078024B">
        <w:rPr>
          <w:rFonts w:eastAsiaTheme="minorHAnsi"/>
          <w:b/>
          <w:lang w:eastAsia="en-US"/>
        </w:rPr>
        <w:t>Drama Workshop 3 Fidelity Check</w:t>
      </w:r>
    </w:p>
    <w:p w14:paraId="1FA2CA7E" w14:textId="77777777" w:rsidR="00403B07" w:rsidRPr="0078024B" w:rsidRDefault="00403B07" w:rsidP="00403B07">
      <w:pPr>
        <w:rPr>
          <w:rFonts w:eastAsiaTheme="minorHAnsi"/>
          <w:lang w:eastAsia="en-US"/>
        </w:rPr>
      </w:pPr>
      <w:r w:rsidRPr="0078024B">
        <w:rPr>
          <w:rFonts w:eastAsiaTheme="minorHAnsi"/>
          <w:lang w:eastAsia="en-US"/>
        </w:rPr>
        <w:t xml:space="preserve">NAME OF SCHOOL: </w:t>
      </w:r>
    </w:p>
    <w:p w14:paraId="433F0F00" w14:textId="77777777" w:rsidR="00403B07" w:rsidRPr="0078024B" w:rsidRDefault="00403B07" w:rsidP="00403B07">
      <w:pPr>
        <w:rPr>
          <w:rFonts w:eastAsiaTheme="minorHAnsi"/>
          <w:lang w:eastAsia="en-US"/>
        </w:rPr>
      </w:pPr>
      <w:r w:rsidRPr="0078024B">
        <w:rPr>
          <w:rFonts w:eastAsiaTheme="minorHAnsi"/>
          <w:lang w:eastAsia="en-US"/>
        </w:rPr>
        <w:t>NAME OF HC:</w:t>
      </w:r>
    </w:p>
    <w:p w14:paraId="652F5AEC" w14:textId="77777777" w:rsidR="00403B07" w:rsidRPr="0078024B" w:rsidRDefault="00403B07" w:rsidP="00403B07">
      <w:pPr>
        <w:rPr>
          <w:rFonts w:eastAsiaTheme="minorHAnsi"/>
          <w:lang w:eastAsia="en-US"/>
        </w:rPr>
      </w:pPr>
      <w:r w:rsidRPr="0078024B">
        <w:rPr>
          <w:rFonts w:eastAsiaTheme="minorHAnsi"/>
          <w:lang w:eastAsia="en-US"/>
        </w:rPr>
        <w:t>DATE:</w:t>
      </w:r>
    </w:p>
    <w:p w14:paraId="64C00D76" w14:textId="77777777" w:rsidR="00403B07" w:rsidRPr="0078024B" w:rsidRDefault="00403B07" w:rsidP="00403B07">
      <w:pPr>
        <w:rPr>
          <w:rFonts w:eastAsiaTheme="minorHAnsi"/>
          <w:lang w:eastAsia="en-US"/>
        </w:rPr>
      </w:pPr>
      <w:r w:rsidRPr="0078024B">
        <w:rPr>
          <w:rFonts w:eastAsiaTheme="minorHAnsi"/>
          <w:lang w:eastAsia="en-US"/>
        </w:rPr>
        <w:t>Adherence to key content</w:t>
      </w:r>
    </w:p>
    <w:tbl>
      <w:tblPr>
        <w:tblStyle w:val="TableGrid4"/>
        <w:tblW w:w="10314" w:type="dxa"/>
        <w:tblLook w:val="04A0" w:firstRow="1" w:lastRow="0" w:firstColumn="1" w:lastColumn="0" w:noHBand="0" w:noVBand="1"/>
      </w:tblPr>
      <w:tblGrid>
        <w:gridCol w:w="4926"/>
        <w:gridCol w:w="1578"/>
        <w:gridCol w:w="3810"/>
      </w:tblGrid>
      <w:tr w:rsidR="00403B07" w:rsidRPr="0078024B" w14:paraId="42CF1E75" w14:textId="77777777" w:rsidTr="00B01272">
        <w:tc>
          <w:tcPr>
            <w:tcW w:w="4926" w:type="dxa"/>
          </w:tcPr>
          <w:p w14:paraId="36D16021" w14:textId="77777777" w:rsidR="00403B07" w:rsidRPr="0078024B" w:rsidRDefault="00403B07" w:rsidP="00B01272">
            <w:pPr>
              <w:rPr>
                <w:b/>
              </w:rPr>
            </w:pPr>
            <w:r w:rsidRPr="0078024B">
              <w:rPr>
                <w:b/>
              </w:rPr>
              <w:t>Session 3 - Class teacher present</w:t>
            </w:r>
          </w:p>
        </w:tc>
        <w:tc>
          <w:tcPr>
            <w:tcW w:w="1578" w:type="dxa"/>
          </w:tcPr>
          <w:p w14:paraId="196199EC" w14:textId="77777777" w:rsidR="00403B07" w:rsidRPr="0078024B" w:rsidRDefault="00403B07" w:rsidP="00B01272">
            <w:r w:rsidRPr="0078024B">
              <w:rPr>
                <w:b/>
              </w:rPr>
              <w:t>Yes/Partial/No</w:t>
            </w:r>
          </w:p>
        </w:tc>
        <w:tc>
          <w:tcPr>
            <w:tcW w:w="3810" w:type="dxa"/>
          </w:tcPr>
          <w:p w14:paraId="505AB498" w14:textId="77777777" w:rsidR="00403B07" w:rsidRPr="0078024B" w:rsidRDefault="00403B07" w:rsidP="00B01272">
            <w:pPr>
              <w:rPr>
                <w:b/>
              </w:rPr>
            </w:pPr>
            <w:r w:rsidRPr="0078024B">
              <w:rPr>
                <w:b/>
              </w:rPr>
              <w:t>Notes</w:t>
            </w:r>
          </w:p>
        </w:tc>
      </w:tr>
      <w:tr w:rsidR="00403B07" w:rsidRPr="0078024B" w14:paraId="4EBDAB08" w14:textId="77777777" w:rsidTr="00B01272">
        <w:tc>
          <w:tcPr>
            <w:tcW w:w="4926" w:type="dxa"/>
          </w:tcPr>
          <w:p w14:paraId="1ED05648" w14:textId="77777777" w:rsidR="00403B07" w:rsidRPr="0078024B" w:rsidRDefault="00403B07" w:rsidP="00B01272">
            <w:r w:rsidRPr="0078024B">
              <w:t>Professor Grossen-Luncheon scene and discussion</w:t>
            </w:r>
          </w:p>
        </w:tc>
        <w:tc>
          <w:tcPr>
            <w:tcW w:w="1578" w:type="dxa"/>
          </w:tcPr>
          <w:p w14:paraId="398AD196" w14:textId="77777777" w:rsidR="00403B07" w:rsidRPr="0078024B" w:rsidRDefault="00403B07" w:rsidP="00B01272"/>
        </w:tc>
        <w:tc>
          <w:tcPr>
            <w:tcW w:w="3810" w:type="dxa"/>
          </w:tcPr>
          <w:p w14:paraId="1D9741A2" w14:textId="77777777" w:rsidR="00403B07" w:rsidRPr="0078024B" w:rsidRDefault="00403B07" w:rsidP="00B01272"/>
        </w:tc>
      </w:tr>
      <w:tr w:rsidR="00403B07" w:rsidRPr="0078024B" w14:paraId="74BCE865" w14:textId="77777777" w:rsidTr="00B01272">
        <w:tc>
          <w:tcPr>
            <w:tcW w:w="4926" w:type="dxa"/>
          </w:tcPr>
          <w:p w14:paraId="5D57412C" w14:textId="77777777" w:rsidR="00403B07" w:rsidRPr="0078024B" w:rsidRDefault="00403B07" w:rsidP="00B01272">
            <w:r w:rsidRPr="0078024B">
              <w:t>Reading food labels and group discussion with character</w:t>
            </w:r>
          </w:p>
        </w:tc>
        <w:tc>
          <w:tcPr>
            <w:tcW w:w="1578" w:type="dxa"/>
          </w:tcPr>
          <w:p w14:paraId="776C2B11" w14:textId="77777777" w:rsidR="00403B07" w:rsidRPr="0078024B" w:rsidRDefault="00403B07" w:rsidP="00B01272"/>
        </w:tc>
        <w:tc>
          <w:tcPr>
            <w:tcW w:w="3810" w:type="dxa"/>
          </w:tcPr>
          <w:p w14:paraId="0BBD3592" w14:textId="77777777" w:rsidR="00403B07" w:rsidRPr="0078024B" w:rsidRDefault="00403B07" w:rsidP="00B01272"/>
        </w:tc>
      </w:tr>
      <w:tr w:rsidR="00403B07" w:rsidRPr="0078024B" w14:paraId="1DC7903C" w14:textId="77777777" w:rsidTr="00B01272">
        <w:tc>
          <w:tcPr>
            <w:tcW w:w="4926" w:type="dxa"/>
          </w:tcPr>
          <w:p w14:paraId="0E2C5A0A" w14:textId="77777777" w:rsidR="00403B07" w:rsidRPr="0078024B" w:rsidRDefault="00403B07" w:rsidP="00B01272">
            <w:r w:rsidRPr="0078024B">
              <w:t>Temptation T shirts</w:t>
            </w:r>
          </w:p>
        </w:tc>
        <w:tc>
          <w:tcPr>
            <w:tcW w:w="1578" w:type="dxa"/>
          </w:tcPr>
          <w:p w14:paraId="5686E21C" w14:textId="77777777" w:rsidR="00403B07" w:rsidRPr="0078024B" w:rsidRDefault="00403B07" w:rsidP="00B01272"/>
        </w:tc>
        <w:tc>
          <w:tcPr>
            <w:tcW w:w="3810" w:type="dxa"/>
          </w:tcPr>
          <w:p w14:paraId="0F9D3A05" w14:textId="77777777" w:rsidR="00403B07" w:rsidRPr="0078024B" w:rsidRDefault="00403B07" w:rsidP="00B01272"/>
        </w:tc>
      </w:tr>
      <w:tr w:rsidR="00403B07" w:rsidRPr="0078024B" w14:paraId="557421CD" w14:textId="77777777" w:rsidTr="00B01272">
        <w:tc>
          <w:tcPr>
            <w:tcW w:w="4926" w:type="dxa"/>
          </w:tcPr>
          <w:p w14:paraId="0BF50D0A" w14:textId="77777777" w:rsidR="00403B07" w:rsidRPr="0078024B" w:rsidRDefault="00403B07" w:rsidP="00B01272">
            <w:r w:rsidRPr="0078024B">
              <w:t>Temptation ladder</w:t>
            </w:r>
          </w:p>
        </w:tc>
        <w:tc>
          <w:tcPr>
            <w:tcW w:w="1578" w:type="dxa"/>
          </w:tcPr>
          <w:p w14:paraId="5301F7CC" w14:textId="77777777" w:rsidR="00403B07" w:rsidRPr="0078024B" w:rsidRDefault="00403B07" w:rsidP="00B01272"/>
        </w:tc>
        <w:tc>
          <w:tcPr>
            <w:tcW w:w="3810" w:type="dxa"/>
          </w:tcPr>
          <w:p w14:paraId="0D8C2BAC" w14:textId="77777777" w:rsidR="00403B07" w:rsidRPr="0078024B" w:rsidRDefault="00403B07" w:rsidP="00B01272"/>
        </w:tc>
      </w:tr>
      <w:tr w:rsidR="00403B07" w:rsidRPr="0078024B" w14:paraId="520AEF13" w14:textId="77777777" w:rsidTr="00B01272">
        <w:tc>
          <w:tcPr>
            <w:tcW w:w="4926" w:type="dxa"/>
          </w:tcPr>
          <w:p w14:paraId="634197C7" w14:textId="77777777" w:rsidR="00403B07" w:rsidRPr="0078024B" w:rsidRDefault="00403B07" w:rsidP="00B01272">
            <w:r w:rsidRPr="0078024B">
              <w:t>Aunt Betsy scene</w:t>
            </w:r>
          </w:p>
        </w:tc>
        <w:tc>
          <w:tcPr>
            <w:tcW w:w="1578" w:type="dxa"/>
          </w:tcPr>
          <w:p w14:paraId="6668931E" w14:textId="77777777" w:rsidR="00403B07" w:rsidRPr="0078024B" w:rsidRDefault="00403B07" w:rsidP="00B01272"/>
        </w:tc>
        <w:tc>
          <w:tcPr>
            <w:tcW w:w="3810" w:type="dxa"/>
          </w:tcPr>
          <w:p w14:paraId="54E0E055" w14:textId="77777777" w:rsidR="00403B07" w:rsidRPr="0078024B" w:rsidRDefault="00403B07" w:rsidP="00B01272"/>
        </w:tc>
      </w:tr>
      <w:tr w:rsidR="00403B07" w:rsidRPr="0078024B" w14:paraId="5375F347" w14:textId="77777777" w:rsidTr="00B01272">
        <w:tc>
          <w:tcPr>
            <w:tcW w:w="4926" w:type="dxa"/>
          </w:tcPr>
          <w:p w14:paraId="08828FB6" w14:textId="77777777" w:rsidR="00403B07" w:rsidRPr="0078024B" w:rsidRDefault="00403B07" w:rsidP="00B01272">
            <w:r w:rsidRPr="0078024B">
              <w:t xml:space="preserve">Rerun key messages and chant created in session </w:t>
            </w:r>
          </w:p>
        </w:tc>
        <w:tc>
          <w:tcPr>
            <w:tcW w:w="1578" w:type="dxa"/>
          </w:tcPr>
          <w:p w14:paraId="13CFEA7F" w14:textId="77777777" w:rsidR="00403B07" w:rsidRPr="0078024B" w:rsidRDefault="00403B07" w:rsidP="00B01272"/>
        </w:tc>
        <w:tc>
          <w:tcPr>
            <w:tcW w:w="3810" w:type="dxa"/>
          </w:tcPr>
          <w:p w14:paraId="2A63D883" w14:textId="77777777" w:rsidR="00403B07" w:rsidRPr="0078024B" w:rsidRDefault="00403B07" w:rsidP="00B01272"/>
        </w:tc>
      </w:tr>
      <w:tr w:rsidR="00403B07" w:rsidRPr="0078024B" w14:paraId="20127EA3" w14:textId="77777777" w:rsidTr="00B01272">
        <w:tc>
          <w:tcPr>
            <w:tcW w:w="4926" w:type="dxa"/>
          </w:tcPr>
          <w:p w14:paraId="6F02D4E4" w14:textId="77777777" w:rsidR="00403B07" w:rsidRPr="0078024B" w:rsidRDefault="00403B07" w:rsidP="00B01272">
            <w:r w:rsidRPr="0078024B">
              <w:t>Distribution of Snacks parent information sheet</w:t>
            </w:r>
          </w:p>
        </w:tc>
        <w:tc>
          <w:tcPr>
            <w:tcW w:w="1578" w:type="dxa"/>
          </w:tcPr>
          <w:p w14:paraId="5AAE1075" w14:textId="77777777" w:rsidR="00403B07" w:rsidRPr="0078024B" w:rsidRDefault="00403B07" w:rsidP="00B01272"/>
        </w:tc>
        <w:tc>
          <w:tcPr>
            <w:tcW w:w="3810" w:type="dxa"/>
          </w:tcPr>
          <w:p w14:paraId="62BA4C6B" w14:textId="77777777" w:rsidR="00403B07" w:rsidRPr="0078024B" w:rsidRDefault="00403B07" w:rsidP="00B01272"/>
        </w:tc>
      </w:tr>
      <w:tr w:rsidR="00403B07" w:rsidRPr="0078024B" w14:paraId="7B882F60" w14:textId="77777777" w:rsidTr="00B01272">
        <w:tc>
          <w:tcPr>
            <w:tcW w:w="4926" w:type="dxa"/>
          </w:tcPr>
          <w:p w14:paraId="0090FDEC" w14:textId="77777777" w:rsidR="00403B07" w:rsidRPr="0078024B" w:rsidRDefault="00403B07" w:rsidP="00B01272">
            <w:r w:rsidRPr="0078024B">
              <w:t>Encouragement from children to Duncan to pass this on to his parents</w:t>
            </w:r>
          </w:p>
        </w:tc>
        <w:tc>
          <w:tcPr>
            <w:tcW w:w="1578" w:type="dxa"/>
          </w:tcPr>
          <w:p w14:paraId="5569FDE1" w14:textId="77777777" w:rsidR="00403B07" w:rsidRPr="0078024B" w:rsidRDefault="00403B07" w:rsidP="00B01272"/>
        </w:tc>
        <w:tc>
          <w:tcPr>
            <w:tcW w:w="3810" w:type="dxa"/>
          </w:tcPr>
          <w:p w14:paraId="5E3D94F4" w14:textId="77777777" w:rsidR="00403B07" w:rsidRPr="0078024B" w:rsidRDefault="00403B07" w:rsidP="00B01272"/>
        </w:tc>
      </w:tr>
    </w:tbl>
    <w:p w14:paraId="328E74CE" w14:textId="77777777" w:rsidR="00403B07" w:rsidRPr="0078024B" w:rsidRDefault="00403B07" w:rsidP="00403B07">
      <w:pPr>
        <w:rPr>
          <w:rFonts w:eastAsiaTheme="minorHAnsi"/>
          <w:lang w:eastAsia="en-US"/>
        </w:rPr>
      </w:pPr>
      <w:r w:rsidRPr="0078024B">
        <w:rPr>
          <w:rFonts w:eastAsiaTheme="minorHAnsi"/>
          <w:lang w:eastAsia="en-US"/>
        </w:rPr>
        <w:t>Quality of delivery and participant responsiveness (1=Low Quality</w:t>
      </w:r>
      <w:r w:rsidRPr="0078024B">
        <w:rPr>
          <w:rFonts w:eastAsiaTheme="minorHAnsi"/>
          <w:lang w:eastAsia="en-US"/>
        </w:rPr>
        <w:tab/>
        <w:t>10=High Quality)</w:t>
      </w:r>
    </w:p>
    <w:tbl>
      <w:tblPr>
        <w:tblStyle w:val="TableGrid4"/>
        <w:tblW w:w="0" w:type="auto"/>
        <w:tblLook w:val="04A0" w:firstRow="1" w:lastRow="0" w:firstColumn="1" w:lastColumn="0" w:noHBand="0" w:noVBand="1"/>
      </w:tblPr>
      <w:tblGrid>
        <w:gridCol w:w="2192"/>
        <w:gridCol w:w="701"/>
        <w:gridCol w:w="701"/>
        <w:gridCol w:w="702"/>
        <w:gridCol w:w="702"/>
        <w:gridCol w:w="702"/>
        <w:gridCol w:w="702"/>
        <w:gridCol w:w="702"/>
        <w:gridCol w:w="702"/>
        <w:gridCol w:w="703"/>
        <w:gridCol w:w="733"/>
      </w:tblGrid>
      <w:tr w:rsidR="00403B07" w:rsidRPr="0078024B" w14:paraId="7C10376E" w14:textId="77777777" w:rsidTr="00B01272">
        <w:tc>
          <w:tcPr>
            <w:tcW w:w="2192" w:type="dxa"/>
          </w:tcPr>
          <w:p w14:paraId="1E23D14A" w14:textId="77777777" w:rsidR="00403B07" w:rsidRPr="0078024B" w:rsidRDefault="00403B07" w:rsidP="00B01272"/>
        </w:tc>
        <w:tc>
          <w:tcPr>
            <w:tcW w:w="701" w:type="dxa"/>
          </w:tcPr>
          <w:p w14:paraId="5F20BE2D" w14:textId="77777777" w:rsidR="00403B07" w:rsidRPr="0078024B" w:rsidRDefault="00403B07" w:rsidP="00B01272">
            <w:pPr>
              <w:rPr>
                <w:b/>
              </w:rPr>
            </w:pPr>
            <w:r w:rsidRPr="0078024B">
              <w:rPr>
                <w:b/>
              </w:rPr>
              <w:t>1</w:t>
            </w:r>
          </w:p>
        </w:tc>
        <w:tc>
          <w:tcPr>
            <w:tcW w:w="701" w:type="dxa"/>
          </w:tcPr>
          <w:p w14:paraId="062CAA54" w14:textId="77777777" w:rsidR="00403B07" w:rsidRPr="0078024B" w:rsidRDefault="00403B07" w:rsidP="00B01272">
            <w:pPr>
              <w:rPr>
                <w:b/>
              </w:rPr>
            </w:pPr>
            <w:r w:rsidRPr="0078024B">
              <w:rPr>
                <w:b/>
              </w:rPr>
              <w:t>2</w:t>
            </w:r>
          </w:p>
        </w:tc>
        <w:tc>
          <w:tcPr>
            <w:tcW w:w="702" w:type="dxa"/>
          </w:tcPr>
          <w:p w14:paraId="7A8F1428" w14:textId="77777777" w:rsidR="00403B07" w:rsidRPr="0078024B" w:rsidRDefault="00403B07" w:rsidP="00B01272">
            <w:pPr>
              <w:rPr>
                <w:b/>
              </w:rPr>
            </w:pPr>
            <w:r w:rsidRPr="0078024B">
              <w:rPr>
                <w:b/>
              </w:rPr>
              <w:t>3</w:t>
            </w:r>
          </w:p>
        </w:tc>
        <w:tc>
          <w:tcPr>
            <w:tcW w:w="702" w:type="dxa"/>
          </w:tcPr>
          <w:p w14:paraId="5E0532D9" w14:textId="77777777" w:rsidR="00403B07" w:rsidRPr="0078024B" w:rsidRDefault="00403B07" w:rsidP="00B01272">
            <w:pPr>
              <w:rPr>
                <w:b/>
              </w:rPr>
            </w:pPr>
            <w:r w:rsidRPr="0078024B">
              <w:rPr>
                <w:b/>
              </w:rPr>
              <w:t>4</w:t>
            </w:r>
          </w:p>
        </w:tc>
        <w:tc>
          <w:tcPr>
            <w:tcW w:w="702" w:type="dxa"/>
          </w:tcPr>
          <w:p w14:paraId="087C9377" w14:textId="77777777" w:rsidR="00403B07" w:rsidRPr="0078024B" w:rsidRDefault="00403B07" w:rsidP="00B01272">
            <w:pPr>
              <w:rPr>
                <w:b/>
              </w:rPr>
            </w:pPr>
            <w:r w:rsidRPr="0078024B">
              <w:rPr>
                <w:b/>
              </w:rPr>
              <w:t>5</w:t>
            </w:r>
          </w:p>
        </w:tc>
        <w:tc>
          <w:tcPr>
            <w:tcW w:w="702" w:type="dxa"/>
          </w:tcPr>
          <w:p w14:paraId="2E31ED89" w14:textId="77777777" w:rsidR="00403B07" w:rsidRPr="0078024B" w:rsidRDefault="00403B07" w:rsidP="00B01272">
            <w:pPr>
              <w:rPr>
                <w:b/>
              </w:rPr>
            </w:pPr>
            <w:r w:rsidRPr="0078024B">
              <w:rPr>
                <w:b/>
              </w:rPr>
              <w:t>6</w:t>
            </w:r>
          </w:p>
        </w:tc>
        <w:tc>
          <w:tcPr>
            <w:tcW w:w="702" w:type="dxa"/>
          </w:tcPr>
          <w:p w14:paraId="4C72682D" w14:textId="77777777" w:rsidR="00403B07" w:rsidRPr="0078024B" w:rsidRDefault="00403B07" w:rsidP="00B01272">
            <w:pPr>
              <w:rPr>
                <w:b/>
              </w:rPr>
            </w:pPr>
            <w:r w:rsidRPr="0078024B">
              <w:rPr>
                <w:b/>
              </w:rPr>
              <w:t>7</w:t>
            </w:r>
          </w:p>
        </w:tc>
        <w:tc>
          <w:tcPr>
            <w:tcW w:w="702" w:type="dxa"/>
          </w:tcPr>
          <w:p w14:paraId="5C136428" w14:textId="77777777" w:rsidR="00403B07" w:rsidRPr="0078024B" w:rsidRDefault="00403B07" w:rsidP="00B01272">
            <w:pPr>
              <w:rPr>
                <w:b/>
              </w:rPr>
            </w:pPr>
            <w:r w:rsidRPr="0078024B">
              <w:rPr>
                <w:b/>
              </w:rPr>
              <w:t>8</w:t>
            </w:r>
          </w:p>
        </w:tc>
        <w:tc>
          <w:tcPr>
            <w:tcW w:w="703" w:type="dxa"/>
          </w:tcPr>
          <w:p w14:paraId="6EF63C41" w14:textId="77777777" w:rsidR="00403B07" w:rsidRPr="0078024B" w:rsidRDefault="00403B07" w:rsidP="00B01272">
            <w:pPr>
              <w:rPr>
                <w:b/>
              </w:rPr>
            </w:pPr>
            <w:r w:rsidRPr="0078024B">
              <w:rPr>
                <w:b/>
              </w:rPr>
              <w:t>9</w:t>
            </w:r>
          </w:p>
        </w:tc>
        <w:tc>
          <w:tcPr>
            <w:tcW w:w="733" w:type="dxa"/>
          </w:tcPr>
          <w:p w14:paraId="77726EC3" w14:textId="77777777" w:rsidR="00403B07" w:rsidRPr="0078024B" w:rsidRDefault="00403B07" w:rsidP="00B01272">
            <w:pPr>
              <w:rPr>
                <w:b/>
              </w:rPr>
            </w:pPr>
            <w:r w:rsidRPr="0078024B">
              <w:rPr>
                <w:b/>
              </w:rPr>
              <w:t>10</w:t>
            </w:r>
          </w:p>
        </w:tc>
      </w:tr>
      <w:tr w:rsidR="00403B07" w:rsidRPr="0078024B" w14:paraId="7A6A7D00" w14:textId="77777777" w:rsidTr="00B01272">
        <w:tc>
          <w:tcPr>
            <w:tcW w:w="2192" w:type="dxa"/>
          </w:tcPr>
          <w:p w14:paraId="152B7C43" w14:textId="77777777" w:rsidR="00403B07" w:rsidRPr="0078024B" w:rsidRDefault="00403B07" w:rsidP="00B01272">
            <w:r w:rsidRPr="0078024B">
              <w:t>Enthusiastic delivery</w:t>
            </w:r>
          </w:p>
        </w:tc>
        <w:tc>
          <w:tcPr>
            <w:tcW w:w="701" w:type="dxa"/>
          </w:tcPr>
          <w:p w14:paraId="404ACF36" w14:textId="77777777" w:rsidR="00403B07" w:rsidRPr="0078024B" w:rsidRDefault="00403B07" w:rsidP="00B01272"/>
        </w:tc>
        <w:tc>
          <w:tcPr>
            <w:tcW w:w="701" w:type="dxa"/>
          </w:tcPr>
          <w:p w14:paraId="10FC1F4A" w14:textId="77777777" w:rsidR="00403B07" w:rsidRPr="0078024B" w:rsidRDefault="00403B07" w:rsidP="00B01272"/>
        </w:tc>
        <w:tc>
          <w:tcPr>
            <w:tcW w:w="702" w:type="dxa"/>
          </w:tcPr>
          <w:p w14:paraId="3349171A" w14:textId="77777777" w:rsidR="00403B07" w:rsidRPr="0078024B" w:rsidRDefault="00403B07" w:rsidP="00B01272"/>
        </w:tc>
        <w:tc>
          <w:tcPr>
            <w:tcW w:w="702" w:type="dxa"/>
          </w:tcPr>
          <w:p w14:paraId="16080349" w14:textId="77777777" w:rsidR="00403B07" w:rsidRPr="0078024B" w:rsidRDefault="00403B07" w:rsidP="00B01272"/>
        </w:tc>
        <w:tc>
          <w:tcPr>
            <w:tcW w:w="702" w:type="dxa"/>
          </w:tcPr>
          <w:p w14:paraId="4C72BBE5" w14:textId="77777777" w:rsidR="00403B07" w:rsidRPr="0078024B" w:rsidRDefault="00403B07" w:rsidP="00B01272"/>
        </w:tc>
        <w:tc>
          <w:tcPr>
            <w:tcW w:w="702" w:type="dxa"/>
          </w:tcPr>
          <w:p w14:paraId="689F18C1" w14:textId="77777777" w:rsidR="00403B07" w:rsidRPr="0078024B" w:rsidRDefault="00403B07" w:rsidP="00B01272"/>
        </w:tc>
        <w:tc>
          <w:tcPr>
            <w:tcW w:w="702" w:type="dxa"/>
          </w:tcPr>
          <w:p w14:paraId="3A8598C7" w14:textId="77777777" w:rsidR="00403B07" w:rsidRPr="0078024B" w:rsidRDefault="00403B07" w:rsidP="00B01272"/>
        </w:tc>
        <w:tc>
          <w:tcPr>
            <w:tcW w:w="702" w:type="dxa"/>
          </w:tcPr>
          <w:p w14:paraId="3242DD04" w14:textId="77777777" w:rsidR="00403B07" w:rsidRPr="0078024B" w:rsidRDefault="00403B07" w:rsidP="00B01272"/>
        </w:tc>
        <w:tc>
          <w:tcPr>
            <w:tcW w:w="703" w:type="dxa"/>
          </w:tcPr>
          <w:p w14:paraId="4A25AA4F" w14:textId="77777777" w:rsidR="00403B07" w:rsidRPr="0078024B" w:rsidRDefault="00403B07" w:rsidP="00B01272"/>
        </w:tc>
        <w:tc>
          <w:tcPr>
            <w:tcW w:w="733" w:type="dxa"/>
          </w:tcPr>
          <w:p w14:paraId="220379F5" w14:textId="77777777" w:rsidR="00403B07" w:rsidRPr="0078024B" w:rsidRDefault="00403B07" w:rsidP="00B01272"/>
        </w:tc>
      </w:tr>
      <w:tr w:rsidR="00403B07" w:rsidRPr="0078024B" w14:paraId="5F24C000" w14:textId="77777777" w:rsidTr="00B01272">
        <w:tc>
          <w:tcPr>
            <w:tcW w:w="2192" w:type="dxa"/>
          </w:tcPr>
          <w:p w14:paraId="624A5066" w14:textId="77777777" w:rsidR="00403B07" w:rsidRPr="0078024B" w:rsidRDefault="00403B07" w:rsidP="00B01272">
            <w:r w:rsidRPr="0078024B">
              <w:t>Engaged/participating children</w:t>
            </w:r>
          </w:p>
        </w:tc>
        <w:tc>
          <w:tcPr>
            <w:tcW w:w="701" w:type="dxa"/>
          </w:tcPr>
          <w:p w14:paraId="57FB4C5E" w14:textId="77777777" w:rsidR="00403B07" w:rsidRPr="0078024B" w:rsidRDefault="00403B07" w:rsidP="00B01272"/>
        </w:tc>
        <w:tc>
          <w:tcPr>
            <w:tcW w:w="701" w:type="dxa"/>
          </w:tcPr>
          <w:p w14:paraId="5EADA0E4" w14:textId="77777777" w:rsidR="00403B07" w:rsidRPr="0078024B" w:rsidRDefault="00403B07" w:rsidP="00B01272"/>
        </w:tc>
        <w:tc>
          <w:tcPr>
            <w:tcW w:w="702" w:type="dxa"/>
          </w:tcPr>
          <w:p w14:paraId="46023680" w14:textId="77777777" w:rsidR="00403B07" w:rsidRPr="0078024B" w:rsidRDefault="00403B07" w:rsidP="00B01272"/>
        </w:tc>
        <w:tc>
          <w:tcPr>
            <w:tcW w:w="702" w:type="dxa"/>
          </w:tcPr>
          <w:p w14:paraId="5DF1A703" w14:textId="77777777" w:rsidR="00403B07" w:rsidRPr="0078024B" w:rsidRDefault="00403B07" w:rsidP="00B01272"/>
        </w:tc>
        <w:tc>
          <w:tcPr>
            <w:tcW w:w="702" w:type="dxa"/>
          </w:tcPr>
          <w:p w14:paraId="1AA1081E" w14:textId="77777777" w:rsidR="00403B07" w:rsidRPr="0078024B" w:rsidRDefault="00403B07" w:rsidP="00B01272"/>
        </w:tc>
        <w:tc>
          <w:tcPr>
            <w:tcW w:w="702" w:type="dxa"/>
          </w:tcPr>
          <w:p w14:paraId="2EC11B33" w14:textId="77777777" w:rsidR="00403B07" w:rsidRPr="0078024B" w:rsidRDefault="00403B07" w:rsidP="00B01272"/>
        </w:tc>
        <w:tc>
          <w:tcPr>
            <w:tcW w:w="702" w:type="dxa"/>
          </w:tcPr>
          <w:p w14:paraId="413D4520" w14:textId="77777777" w:rsidR="00403B07" w:rsidRPr="0078024B" w:rsidRDefault="00403B07" w:rsidP="00B01272"/>
        </w:tc>
        <w:tc>
          <w:tcPr>
            <w:tcW w:w="702" w:type="dxa"/>
          </w:tcPr>
          <w:p w14:paraId="6691AF0B" w14:textId="77777777" w:rsidR="00403B07" w:rsidRPr="0078024B" w:rsidRDefault="00403B07" w:rsidP="00B01272"/>
        </w:tc>
        <w:tc>
          <w:tcPr>
            <w:tcW w:w="703" w:type="dxa"/>
          </w:tcPr>
          <w:p w14:paraId="7DF531B4" w14:textId="77777777" w:rsidR="00403B07" w:rsidRPr="0078024B" w:rsidRDefault="00403B07" w:rsidP="00B01272"/>
        </w:tc>
        <w:tc>
          <w:tcPr>
            <w:tcW w:w="733" w:type="dxa"/>
          </w:tcPr>
          <w:p w14:paraId="4280B822" w14:textId="77777777" w:rsidR="00403B07" w:rsidRPr="0078024B" w:rsidRDefault="00403B07" w:rsidP="00B01272"/>
        </w:tc>
      </w:tr>
    </w:tbl>
    <w:p w14:paraId="1FE69D10" w14:textId="77777777" w:rsidR="00403B07" w:rsidRPr="0078024B" w:rsidRDefault="00403B07" w:rsidP="00403B07">
      <w:pPr>
        <w:rPr>
          <w:rFonts w:eastAsiaTheme="minorHAnsi"/>
          <w:lang w:eastAsia="en-US"/>
        </w:rPr>
      </w:pPr>
    </w:p>
    <w:p w14:paraId="6D243937" w14:textId="77777777" w:rsidR="00403B07" w:rsidRPr="0078024B" w:rsidRDefault="00403B07" w:rsidP="00403B07">
      <w:pPr>
        <w:rPr>
          <w:rFonts w:eastAsiaTheme="minorHAnsi"/>
          <w:lang w:eastAsia="en-US"/>
        </w:rPr>
      </w:pPr>
      <w:r w:rsidRPr="0078024B">
        <w:rPr>
          <w:rFonts w:eastAsiaTheme="minorHAnsi"/>
          <w:lang w:eastAsia="en-US"/>
        </w:rPr>
        <w:br w:type="page"/>
      </w:r>
    </w:p>
    <w:p w14:paraId="21B3DAFC" w14:textId="4732C032" w:rsidR="00403B07" w:rsidRPr="00765E8F" w:rsidRDefault="00403B07" w:rsidP="00403B07">
      <w:pPr>
        <w:rPr>
          <w:rFonts w:cs="Arial"/>
          <w:b/>
          <w:i/>
          <w:sz w:val="24"/>
          <w:szCs w:val="24"/>
        </w:rPr>
      </w:pPr>
      <w:r w:rsidRPr="00765E8F">
        <w:rPr>
          <w:rFonts w:cs="Arial"/>
          <w:b/>
          <w:i/>
          <w:sz w:val="24"/>
          <w:szCs w:val="24"/>
        </w:rPr>
        <w:lastRenderedPageBreak/>
        <w:t>Appendix 1</w:t>
      </w:r>
      <w:r w:rsidR="00A60D1B">
        <w:rPr>
          <w:rFonts w:cs="Arial"/>
          <w:b/>
          <w:i/>
          <w:sz w:val="24"/>
          <w:szCs w:val="24"/>
        </w:rPr>
        <w:t>4</w:t>
      </w:r>
      <w:r w:rsidRPr="00765E8F">
        <w:rPr>
          <w:rFonts w:cs="Arial"/>
          <w:b/>
          <w:i/>
          <w:sz w:val="24"/>
          <w:szCs w:val="24"/>
        </w:rPr>
        <w:t xml:space="preserve"> Fidelity to Form example checklist (continued)</w:t>
      </w:r>
    </w:p>
    <w:p w14:paraId="0BE4AD86" w14:textId="77777777" w:rsidR="00403B07" w:rsidRDefault="00403B07" w:rsidP="00403B07">
      <w:pPr>
        <w:rPr>
          <w:rFonts w:eastAsiaTheme="minorHAnsi"/>
          <w:b/>
          <w:lang w:eastAsia="en-US"/>
        </w:rPr>
      </w:pPr>
    </w:p>
    <w:p w14:paraId="5EE19517" w14:textId="77777777" w:rsidR="00403B07" w:rsidRPr="0078024B" w:rsidRDefault="00403B07" w:rsidP="00403B07">
      <w:pPr>
        <w:rPr>
          <w:rFonts w:eastAsiaTheme="minorHAnsi"/>
          <w:b/>
          <w:lang w:eastAsia="en-US"/>
        </w:rPr>
      </w:pPr>
      <w:r w:rsidRPr="0078024B">
        <w:rPr>
          <w:rFonts w:eastAsiaTheme="minorHAnsi"/>
          <w:b/>
          <w:lang w:eastAsia="en-US"/>
        </w:rPr>
        <w:t>PHASE 2</w:t>
      </w:r>
    </w:p>
    <w:p w14:paraId="0F218207" w14:textId="77777777" w:rsidR="00403B07" w:rsidRPr="0078024B" w:rsidRDefault="00403B07" w:rsidP="00403B07">
      <w:pPr>
        <w:rPr>
          <w:rFonts w:eastAsiaTheme="minorHAnsi"/>
          <w:b/>
          <w:lang w:eastAsia="en-US"/>
        </w:rPr>
      </w:pPr>
      <w:r w:rsidRPr="0078024B">
        <w:rPr>
          <w:rFonts w:eastAsiaTheme="minorHAnsi"/>
          <w:b/>
          <w:lang w:eastAsia="en-US"/>
        </w:rPr>
        <w:t>Drama Workshop 4 Fidelity Check</w:t>
      </w:r>
    </w:p>
    <w:p w14:paraId="138604E3" w14:textId="77777777" w:rsidR="00403B07" w:rsidRPr="0078024B" w:rsidRDefault="00403B07" w:rsidP="00403B07">
      <w:pPr>
        <w:rPr>
          <w:rFonts w:eastAsiaTheme="minorHAnsi"/>
          <w:lang w:eastAsia="en-US"/>
        </w:rPr>
      </w:pPr>
      <w:r w:rsidRPr="0078024B">
        <w:rPr>
          <w:rFonts w:eastAsiaTheme="minorHAnsi"/>
          <w:lang w:eastAsia="en-US"/>
        </w:rPr>
        <w:t>NAME OF SCHOOL:</w:t>
      </w:r>
    </w:p>
    <w:p w14:paraId="177630BD" w14:textId="77777777" w:rsidR="00403B07" w:rsidRPr="0078024B" w:rsidRDefault="00403B07" w:rsidP="00403B07">
      <w:pPr>
        <w:rPr>
          <w:rFonts w:eastAsiaTheme="minorHAnsi"/>
          <w:lang w:eastAsia="en-US"/>
        </w:rPr>
      </w:pPr>
      <w:r w:rsidRPr="0078024B">
        <w:rPr>
          <w:rFonts w:eastAsiaTheme="minorHAnsi"/>
          <w:lang w:eastAsia="en-US"/>
        </w:rPr>
        <w:t>NAME OF HC:</w:t>
      </w:r>
    </w:p>
    <w:p w14:paraId="2C3885F3" w14:textId="77777777" w:rsidR="00403B07" w:rsidRPr="0078024B" w:rsidRDefault="00403B07" w:rsidP="00403B07">
      <w:pPr>
        <w:rPr>
          <w:rFonts w:eastAsiaTheme="minorHAnsi"/>
          <w:lang w:eastAsia="en-US"/>
        </w:rPr>
      </w:pPr>
      <w:r w:rsidRPr="0078024B">
        <w:rPr>
          <w:rFonts w:eastAsiaTheme="minorHAnsi"/>
          <w:lang w:eastAsia="en-US"/>
        </w:rPr>
        <w:t>DATE:</w:t>
      </w:r>
    </w:p>
    <w:p w14:paraId="0F77731A" w14:textId="77777777" w:rsidR="00403B07" w:rsidRPr="0078024B" w:rsidRDefault="00403B07" w:rsidP="00403B07">
      <w:pPr>
        <w:rPr>
          <w:rFonts w:eastAsiaTheme="minorHAnsi"/>
          <w:lang w:eastAsia="en-US"/>
        </w:rPr>
      </w:pPr>
      <w:r w:rsidRPr="0078024B">
        <w:rPr>
          <w:rFonts w:eastAsiaTheme="minorHAnsi"/>
          <w:lang w:eastAsia="en-US"/>
        </w:rPr>
        <w:t>Adherence to key content</w:t>
      </w:r>
    </w:p>
    <w:tbl>
      <w:tblPr>
        <w:tblStyle w:val="TableGrid4"/>
        <w:tblW w:w="10173" w:type="dxa"/>
        <w:tblLook w:val="04A0" w:firstRow="1" w:lastRow="0" w:firstColumn="1" w:lastColumn="0" w:noHBand="0" w:noVBand="1"/>
      </w:tblPr>
      <w:tblGrid>
        <w:gridCol w:w="6174"/>
        <w:gridCol w:w="1578"/>
        <w:gridCol w:w="2421"/>
      </w:tblGrid>
      <w:tr w:rsidR="00403B07" w:rsidRPr="0078024B" w14:paraId="1F790C8A" w14:textId="77777777" w:rsidTr="00B01272">
        <w:tc>
          <w:tcPr>
            <w:tcW w:w="6174" w:type="dxa"/>
          </w:tcPr>
          <w:p w14:paraId="74876C48" w14:textId="77777777" w:rsidR="00403B07" w:rsidRPr="0078024B" w:rsidRDefault="00403B07" w:rsidP="00B01272">
            <w:pPr>
              <w:rPr>
                <w:b/>
              </w:rPr>
            </w:pPr>
            <w:r w:rsidRPr="0078024B">
              <w:rPr>
                <w:b/>
              </w:rPr>
              <w:t>Session 4 - Class teacher present</w:t>
            </w:r>
          </w:p>
        </w:tc>
        <w:tc>
          <w:tcPr>
            <w:tcW w:w="1578" w:type="dxa"/>
          </w:tcPr>
          <w:p w14:paraId="0A51FD12" w14:textId="77777777" w:rsidR="00403B07" w:rsidRPr="0078024B" w:rsidRDefault="00403B07" w:rsidP="00B01272">
            <w:r w:rsidRPr="0078024B">
              <w:rPr>
                <w:b/>
              </w:rPr>
              <w:t>Yes/Partial/No</w:t>
            </w:r>
          </w:p>
        </w:tc>
        <w:tc>
          <w:tcPr>
            <w:tcW w:w="2421" w:type="dxa"/>
          </w:tcPr>
          <w:p w14:paraId="06665935" w14:textId="77777777" w:rsidR="00403B07" w:rsidRPr="0078024B" w:rsidRDefault="00403B07" w:rsidP="00B01272">
            <w:pPr>
              <w:rPr>
                <w:b/>
              </w:rPr>
            </w:pPr>
            <w:r w:rsidRPr="0078024B">
              <w:rPr>
                <w:b/>
              </w:rPr>
              <w:t>Notes</w:t>
            </w:r>
          </w:p>
        </w:tc>
      </w:tr>
      <w:tr w:rsidR="00403B07" w:rsidRPr="0078024B" w14:paraId="1B25ADFD" w14:textId="77777777" w:rsidTr="00B01272">
        <w:tc>
          <w:tcPr>
            <w:tcW w:w="6174" w:type="dxa"/>
          </w:tcPr>
          <w:p w14:paraId="01E2CC26" w14:textId="77777777" w:rsidR="00403B07" w:rsidRPr="0078024B" w:rsidRDefault="00403B07" w:rsidP="00B01272">
            <w:r w:rsidRPr="0078024B">
              <w:t xml:space="preserve"> Alarm clock scene</w:t>
            </w:r>
          </w:p>
        </w:tc>
        <w:tc>
          <w:tcPr>
            <w:tcW w:w="1578" w:type="dxa"/>
          </w:tcPr>
          <w:p w14:paraId="74BE8240" w14:textId="77777777" w:rsidR="00403B07" w:rsidRPr="0078024B" w:rsidRDefault="00403B07" w:rsidP="00B01272"/>
        </w:tc>
        <w:tc>
          <w:tcPr>
            <w:tcW w:w="2421" w:type="dxa"/>
          </w:tcPr>
          <w:p w14:paraId="4B97D726" w14:textId="77777777" w:rsidR="00403B07" w:rsidRPr="0078024B" w:rsidRDefault="00403B07" w:rsidP="00B01272"/>
        </w:tc>
      </w:tr>
      <w:tr w:rsidR="00403B07" w:rsidRPr="0078024B" w14:paraId="18D03092" w14:textId="77777777" w:rsidTr="00B01272">
        <w:tc>
          <w:tcPr>
            <w:tcW w:w="6174" w:type="dxa"/>
          </w:tcPr>
          <w:p w14:paraId="0F908CF1" w14:textId="77777777" w:rsidR="00403B07" w:rsidRPr="0078024B" w:rsidRDefault="00403B07" w:rsidP="00B01272">
            <w:r w:rsidRPr="0078024B">
              <w:t>Small group practising 3 message chant</w:t>
            </w:r>
          </w:p>
        </w:tc>
        <w:tc>
          <w:tcPr>
            <w:tcW w:w="1578" w:type="dxa"/>
          </w:tcPr>
          <w:p w14:paraId="377BBEB6" w14:textId="77777777" w:rsidR="00403B07" w:rsidRPr="0078024B" w:rsidRDefault="00403B07" w:rsidP="00B01272"/>
        </w:tc>
        <w:tc>
          <w:tcPr>
            <w:tcW w:w="2421" w:type="dxa"/>
          </w:tcPr>
          <w:p w14:paraId="215018B2" w14:textId="77777777" w:rsidR="00403B07" w:rsidRPr="0078024B" w:rsidRDefault="00403B07" w:rsidP="00B01272"/>
        </w:tc>
      </w:tr>
      <w:tr w:rsidR="00403B07" w:rsidRPr="0078024B" w14:paraId="0340C263" w14:textId="77777777" w:rsidTr="00B01272">
        <w:tc>
          <w:tcPr>
            <w:tcW w:w="6174" w:type="dxa"/>
          </w:tcPr>
          <w:p w14:paraId="05E40498" w14:textId="77777777" w:rsidR="00403B07" w:rsidRPr="0078024B" w:rsidRDefault="00403B07" w:rsidP="00B01272">
            <w:r w:rsidRPr="0078024B">
              <w:t>Snacky Sam’s tea time scene and discussion</w:t>
            </w:r>
          </w:p>
        </w:tc>
        <w:tc>
          <w:tcPr>
            <w:tcW w:w="1578" w:type="dxa"/>
          </w:tcPr>
          <w:p w14:paraId="1790ED80" w14:textId="77777777" w:rsidR="00403B07" w:rsidRPr="0078024B" w:rsidRDefault="00403B07" w:rsidP="00B01272"/>
        </w:tc>
        <w:tc>
          <w:tcPr>
            <w:tcW w:w="2421" w:type="dxa"/>
          </w:tcPr>
          <w:p w14:paraId="2DF3F668" w14:textId="77777777" w:rsidR="00403B07" w:rsidRPr="0078024B" w:rsidRDefault="00403B07" w:rsidP="00B01272"/>
        </w:tc>
      </w:tr>
      <w:tr w:rsidR="00403B07" w:rsidRPr="0078024B" w14:paraId="678B6D74" w14:textId="77777777" w:rsidTr="00B01272">
        <w:tc>
          <w:tcPr>
            <w:tcW w:w="6174" w:type="dxa"/>
          </w:tcPr>
          <w:p w14:paraId="666DF1D5" w14:textId="77777777" w:rsidR="00403B07" w:rsidRPr="0078024B" w:rsidRDefault="00403B07" w:rsidP="00B01272">
            <w:r w:rsidRPr="0078024B">
              <w:t>Duncan’s tea time scene and Forum Theatre of the scene</w:t>
            </w:r>
          </w:p>
        </w:tc>
        <w:tc>
          <w:tcPr>
            <w:tcW w:w="1578" w:type="dxa"/>
          </w:tcPr>
          <w:p w14:paraId="22E3561E" w14:textId="77777777" w:rsidR="00403B07" w:rsidRPr="0078024B" w:rsidRDefault="00403B07" w:rsidP="00B01272"/>
        </w:tc>
        <w:tc>
          <w:tcPr>
            <w:tcW w:w="2421" w:type="dxa"/>
          </w:tcPr>
          <w:p w14:paraId="066B904C" w14:textId="77777777" w:rsidR="00403B07" w:rsidRPr="0078024B" w:rsidRDefault="00403B07" w:rsidP="00B01272"/>
        </w:tc>
      </w:tr>
      <w:tr w:rsidR="00403B07" w:rsidRPr="0078024B" w14:paraId="70CA93C4" w14:textId="77777777" w:rsidTr="00B01272">
        <w:tc>
          <w:tcPr>
            <w:tcW w:w="6174" w:type="dxa"/>
          </w:tcPr>
          <w:p w14:paraId="6AF2DDAB" w14:textId="77777777" w:rsidR="00403B07" w:rsidRPr="0078024B" w:rsidRDefault="00403B07" w:rsidP="00B01272">
            <w:r w:rsidRPr="0078024B">
              <w:t>Distribution of Lunch Box parent information sheet</w:t>
            </w:r>
          </w:p>
        </w:tc>
        <w:tc>
          <w:tcPr>
            <w:tcW w:w="1578" w:type="dxa"/>
          </w:tcPr>
          <w:p w14:paraId="022EE3DC" w14:textId="77777777" w:rsidR="00403B07" w:rsidRPr="0078024B" w:rsidRDefault="00403B07" w:rsidP="00B01272"/>
        </w:tc>
        <w:tc>
          <w:tcPr>
            <w:tcW w:w="2421" w:type="dxa"/>
          </w:tcPr>
          <w:p w14:paraId="5BE8106A" w14:textId="77777777" w:rsidR="00403B07" w:rsidRPr="0078024B" w:rsidRDefault="00403B07" w:rsidP="00B01272"/>
        </w:tc>
      </w:tr>
      <w:tr w:rsidR="00403B07" w:rsidRPr="0078024B" w14:paraId="48802A23" w14:textId="77777777" w:rsidTr="00B01272">
        <w:tc>
          <w:tcPr>
            <w:tcW w:w="6174" w:type="dxa"/>
          </w:tcPr>
          <w:p w14:paraId="2693AE35" w14:textId="77777777" w:rsidR="00403B07" w:rsidRPr="0078024B" w:rsidRDefault="00403B07" w:rsidP="00B01272">
            <w:r w:rsidRPr="0078024B">
              <w:t>Encouragement from children to Duncan to pass this on to his parents</w:t>
            </w:r>
          </w:p>
        </w:tc>
        <w:tc>
          <w:tcPr>
            <w:tcW w:w="1578" w:type="dxa"/>
          </w:tcPr>
          <w:p w14:paraId="0A8EDF3B" w14:textId="77777777" w:rsidR="00403B07" w:rsidRPr="0078024B" w:rsidRDefault="00403B07" w:rsidP="00B01272"/>
        </w:tc>
        <w:tc>
          <w:tcPr>
            <w:tcW w:w="2421" w:type="dxa"/>
          </w:tcPr>
          <w:p w14:paraId="261681D9" w14:textId="77777777" w:rsidR="00403B07" w:rsidRPr="0078024B" w:rsidRDefault="00403B07" w:rsidP="00B01272"/>
        </w:tc>
      </w:tr>
    </w:tbl>
    <w:p w14:paraId="77DD656A" w14:textId="77777777" w:rsidR="00403B07" w:rsidRPr="0078024B" w:rsidRDefault="00403B07" w:rsidP="00403B07">
      <w:pPr>
        <w:rPr>
          <w:rFonts w:eastAsiaTheme="minorHAnsi"/>
          <w:lang w:eastAsia="en-US"/>
        </w:rPr>
      </w:pPr>
      <w:r w:rsidRPr="0078024B">
        <w:rPr>
          <w:rFonts w:eastAsiaTheme="minorHAnsi"/>
          <w:lang w:eastAsia="en-US"/>
        </w:rPr>
        <w:t>Quality of delivery and participant responsiveness (1=Low Quality</w:t>
      </w:r>
      <w:r w:rsidRPr="0078024B">
        <w:rPr>
          <w:rFonts w:eastAsiaTheme="minorHAnsi"/>
          <w:lang w:eastAsia="en-US"/>
        </w:rPr>
        <w:tab/>
        <w:t>10=High Quality)</w:t>
      </w:r>
    </w:p>
    <w:tbl>
      <w:tblPr>
        <w:tblStyle w:val="TableGrid4"/>
        <w:tblW w:w="0" w:type="auto"/>
        <w:tblLook w:val="04A0" w:firstRow="1" w:lastRow="0" w:firstColumn="1" w:lastColumn="0" w:noHBand="0" w:noVBand="1"/>
      </w:tblPr>
      <w:tblGrid>
        <w:gridCol w:w="2192"/>
        <w:gridCol w:w="701"/>
        <w:gridCol w:w="701"/>
        <w:gridCol w:w="702"/>
        <w:gridCol w:w="702"/>
        <w:gridCol w:w="702"/>
        <w:gridCol w:w="702"/>
        <w:gridCol w:w="702"/>
        <w:gridCol w:w="702"/>
        <w:gridCol w:w="703"/>
        <w:gridCol w:w="733"/>
      </w:tblGrid>
      <w:tr w:rsidR="00403B07" w:rsidRPr="0078024B" w14:paraId="3316FBF8" w14:textId="77777777" w:rsidTr="00B01272">
        <w:tc>
          <w:tcPr>
            <w:tcW w:w="2192" w:type="dxa"/>
          </w:tcPr>
          <w:p w14:paraId="03889882" w14:textId="77777777" w:rsidR="00403B07" w:rsidRPr="0078024B" w:rsidRDefault="00403B07" w:rsidP="00B01272"/>
        </w:tc>
        <w:tc>
          <w:tcPr>
            <w:tcW w:w="701" w:type="dxa"/>
          </w:tcPr>
          <w:p w14:paraId="2A4F7697" w14:textId="77777777" w:rsidR="00403B07" w:rsidRPr="0078024B" w:rsidRDefault="00403B07" w:rsidP="00B01272">
            <w:pPr>
              <w:rPr>
                <w:b/>
              </w:rPr>
            </w:pPr>
            <w:r w:rsidRPr="0078024B">
              <w:rPr>
                <w:b/>
              </w:rPr>
              <w:t>1</w:t>
            </w:r>
          </w:p>
        </w:tc>
        <w:tc>
          <w:tcPr>
            <w:tcW w:w="701" w:type="dxa"/>
          </w:tcPr>
          <w:p w14:paraId="45853DA5" w14:textId="77777777" w:rsidR="00403B07" w:rsidRPr="0078024B" w:rsidRDefault="00403B07" w:rsidP="00B01272">
            <w:pPr>
              <w:rPr>
                <w:b/>
              </w:rPr>
            </w:pPr>
            <w:r w:rsidRPr="0078024B">
              <w:rPr>
                <w:b/>
              </w:rPr>
              <w:t>2</w:t>
            </w:r>
          </w:p>
        </w:tc>
        <w:tc>
          <w:tcPr>
            <w:tcW w:w="702" w:type="dxa"/>
          </w:tcPr>
          <w:p w14:paraId="239AC506" w14:textId="77777777" w:rsidR="00403B07" w:rsidRPr="0078024B" w:rsidRDefault="00403B07" w:rsidP="00B01272">
            <w:pPr>
              <w:rPr>
                <w:b/>
              </w:rPr>
            </w:pPr>
            <w:r w:rsidRPr="0078024B">
              <w:rPr>
                <w:b/>
              </w:rPr>
              <w:t>3</w:t>
            </w:r>
          </w:p>
        </w:tc>
        <w:tc>
          <w:tcPr>
            <w:tcW w:w="702" w:type="dxa"/>
          </w:tcPr>
          <w:p w14:paraId="0385481B" w14:textId="77777777" w:rsidR="00403B07" w:rsidRPr="0078024B" w:rsidRDefault="00403B07" w:rsidP="00B01272">
            <w:pPr>
              <w:rPr>
                <w:b/>
              </w:rPr>
            </w:pPr>
            <w:r w:rsidRPr="0078024B">
              <w:rPr>
                <w:b/>
              </w:rPr>
              <w:t>4</w:t>
            </w:r>
          </w:p>
        </w:tc>
        <w:tc>
          <w:tcPr>
            <w:tcW w:w="702" w:type="dxa"/>
          </w:tcPr>
          <w:p w14:paraId="2B2BEDE1" w14:textId="77777777" w:rsidR="00403B07" w:rsidRPr="0078024B" w:rsidRDefault="00403B07" w:rsidP="00B01272">
            <w:pPr>
              <w:rPr>
                <w:b/>
              </w:rPr>
            </w:pPr>
            <w:r w:rsidRPr="0078024B">
              <w:rPr>
                <w:b/>
              </w:rPr>
              <w:t>5</w:t>
            </w:r>
          </w:p>
        </w:tc>
        <w:tc>
          <w:tcPr>
            <w:tcW w:w="702" w:type="dxa"/>
          </w:tcPr>
          <w:p w14:paraId="4F51A1CF" w14:textId="77777777" w:rsidR="00403B07" w:rsidRPr="0078024B" w:rsidRDefault="00403B07" w:rsidP="00B01272">
            <w:pPr>
              <w:rPr>
                <w:b/>
              </w:rPr>
            </w:pPr>
            <w:r w:rsidRPr="0078024B">
              <w:rPr>
                <w:b/>
              </w:rPr>
              <w:t>6</w:t>
            </w:r>
          </w:p>
        </w:tc>
        <w:tc>
          <w:tcPr>
            <w:tcW w:w="702" w:type="dxa"/>
          </w:tcPr>
          <w:p w14:paraId="09B97092" w14:textId="77777777" w:rsidR="00403B07" w:rsidRPr="0078024B" w:rsidRDefault="00403B07" w:rsidP="00B01272">
            <w:pPr>
              <w:rPr>
                <w:b/>
              </w:rPr>
            </w:pPr>
            <w:r w:rsidRPr="0078024B">
              <w:rPr>
                <w:b/>
              </w:rPr>
              <w:t>7</w:t>
            </w:r>
          </w:p>
        </w:tc>
        <w:tc>
          <w:tcPr>
            <w:tcW w:w="702" w:type="dxa"/>
          </w:tcPr>
          <w:p w14:paraId="2A2059DF" w14:textId="77777777" w:rsidR="00403B07" w:rsidRPr="0078024B" w:rsidRDefault="00403B07" w:rsidP="00B01272">
            <w:pPr>
              <w:rPr>
                <w:b/>
              </w:rPr>
            </w:pPr>
            <w:r w:rsidRPr="0078024B">
              <w:rPr>
                <w:b/>
              </w:rPr>
              <w:t>8</w:t>
            </w:r>
          </w:p>
        </w:tc>
        <w:tc>
          <w:tcPr>
            <w:tcW w:w="703" w:type="dxa"/>
          </w:tcPr>
          <w:p w14:paraId="362488C5" w14:textId="77777777" w:rsidR="00403B07" w:rsidRPr="0078024B" w:rsidRDefault="00403B07" w:rsidP="00B01272">
            <w:pPr>
              <w:rPr>
                <w:b/>
              </w:rPr>
            </w:pPr>
            <w:r w:rsidRPr="0078024B">
              <w:rPr>
                <w:b/>
              </w:rPr>
              <w:t>9</w:t>
            </w:r>
          </w:p>
        </w:tc>
        <w:tc>
          <w:tcPr>
            <w:tcW w:w="733" w:type="dxa"/>
          </w:tcPr>
          <w:p w14:paraId="329FAF5B" w14:textId="77777777" w:rsidR="00403B07" w:rsidRPr="0078024B" w:rsidRDefault="00403B07" w:rsidP="00B01272">
            <w:pPr>
              <w:rPr>
                <w:b/>
              </w:rPr>
            </w:pPr>
            <w:r w:rsidRPr="0078024B">
              <w:rPr>
                <w:b/>
              </w:rPr>
              <w:t>10</w:t>
            </w:r>
          </w:p>
        </w:tc>
      </w:tr>
      <w:tr w:rsidR="00403B07" w:rsidRPr="0078024B" w14:paraId="1CA9781F" w14:textId="77777777" w:rsidTr="00B01272">
        <w:tc>
          <w:tcPr>
            <w:tcW w:w="2192" w:type="dxa"/>
          </w:tcPr>
          <w:p w14:paraId="13CD1EA1" w14:textId="77777777" w:rsidR="00403B07" w:rsidRPr="0078024B" w:rsidRDefault="00403B07" w:rsidP="00B01272">
            <w:r w:rsidRPr="0078024B">
              <w:t>Enthusiastic delivery</w:t>
            </w:r>
          </w:p>
        </w:tc>
        <w:tc>
          <w:tcPr>
            <w:tcW w:w="701" w:type="dxa"/>
          </w:tcPr>
          <w:p w14:paraId="3F1CCF8B" w14:textId="77777777" w:rsidR="00403B07" w:rsidRPr="0078024B" w:rsidRDefault="00403B07" w:rsidP="00B01272"/>
        </w:tc>
        <w:tc>
          <w:tcPr>
            <w:tcW w:w="701" w:type="dxa"/>
          </w:tcPr>
          <w:p w14:paraId="4F52E528" w14:textId="77777777" w:rsidR="00403B07" w:rsidRPr="0078024B" w:rsidRDefault="00403B07" w:rsidP="00B01272"/>
        </w:tc>
        <w:tc>
          <w:tcPr>
            <w:tcW w:w="702" w:type="dxa"/>
          </w:tcPr>
          <w:p w14:paraId="3A2E0B52" w14:textId="77777777" w:rsidR="00403B07" w:rsidRPr="0078024B" w:rsidRDefault="00403B07" w:rsidP="00B01272"/>
        </w:tc>
        <w:tc>
          <w:tcPr>
            <w:tcW w:w="702" w:type="dxa"/>
          </w:tcPr>
          <w:p w14:paraId="13750FD3" w14:textId="77777777" w:rsidR="00403B07" w:rsidRPr="0078024B" w:rsidRDefault="00403B07" w:rsidP="00B01272"/>
        </w:tc>
        <w:tc>
          <w:tcPr>
            <w:tcW w:w="702" w:type="dxa"/>
          </w:tcPr>
          <w:p w14:paraId="0CECCCA0" w14:textId="77777777" w:rsidR="00403B07" w:rsidRPr="0078024B" w:rsidRDefault="00403B07" w:rsidP="00B01272"/>
        </w:tc>
        <w:tc>
          <w:tcPr>
            <w:tcW w:w="702" w:type="dxa"/>
          </w:tcPr>
          <w:p w14:paraId="7372C7BA" w14:textId="77777777" w:rsidR="00403B07" w:rsidRPr="0078024B" w:rsidRDefault="00403B07" w:rsidP="00B01272"/>
        </w:tc>
        <w:tc>
          <w:tcPr>
            <w:tcW w:w="702" w:type="dxa"/>
          </w:tcPr>
          <w:p w14:paraId="15650DDA" w14:textId="77777777" w:rsidR="00403B07" w:rsidRPr="0078024B" w:rsidRDefault="00403B07" w:rsidP="00B01272"/>
        </w:tc>
        <w:tc>
          <w:tcPr>
            <w:tcW w:w="702" w:type="dxa"/>
          </w:tcPr>
          <w:p w14:paraId="60D13198" w14:textId="77777777" w:rsidR="00403B07" w:rsidRPr="0078024B" w:rsidRDefault="00403B07" w:rsidP="00B01272"/>
        </w:tc>
        <w:tc>
          <w:tcPr>
            <w:tcW w:w="703" w:type="dxa"/>
          </w:tcPr>
          <w:p w14:paraId="54688669" w14:textId="77777777" w:rsidR="00403B07" w:rsidRPr="0078024B" w:rsidRDefault="00403B07" w:rsidP="00B01272"/>
        </w:tc>
        <w:tc>
          <w:tcPr>
            <w:tcW w:w="733" w:type="dxa"/>
          </w:tcPr>
          <w:p w14:paraId="48F93D17" w14:textId="77777777" w:rsidR="00403B07" w:rsidRPr="0078024B" w:rsidRDefault="00403B07" w:rsidP="00B01272"/>
        </w:tc>
      </w:tr>
      <w:tr w:rsidR="00403B07" w:rsidRPr="0078024B" w14:paraId="7055C89E" w14:textId="77777777" w:rsidTr="00B01272">
        <w:tc>
          <w:tcPr>
            <w:tcW w:w="2192" w:type="dxa"/>
          </w:tcPr>
          <w:p w14:paraId="2C71EBCB" w14:textId="77777777" w:rsidR="00403B07" w:rsidRPr="0078024B" w:rsidRDefault="00403B07" w:rsidP="00B01272">
            <w:r w:rsidRPr="0078024B">
              <w:t>Engaged/participating children</w:t>
            </w:r>
          </w:p>
        </w:tc>
        <w:tc>
          <w:tcPr>
            <w:tcW w:w="701" w:type="dxa"/>
          </w:tcPr>
          <w:p w14:paraId="296F9CDF" w14:textId="77777777" w:rsidR="00403B07" w:rsidRPr="0078024B" w:rsidRDefault="00403B07" w:rsidP="00B01272"/>
        </w:tc>
        <w:tc>
          <w:tcPr>
            <w:tcW w:w="701" w:type="dxa"/>
          </w:tcPr>
          <w:p w14:paraId="39E1CD7C" w14:textId="77777777" w:rsidR="00403B07" w:rsidRPr="0078024B" w:rsidRDefault="00403B07" w:rsidP="00B01272"/>
        </w:tc>
        <w:tc>
          <w:tcPr>
            <w:tcW w:w="702" w:type="dxa"/>
          </w:tcPr>
          <w:p w14:paraId="2694E9E9" w14:textId="77777777" w:rsidR="00403B07" w:rsidRPr="0078024B" w:rsidRDefault="00403B07" w:rsidP="00B01272"/>
        </w:tc>
        <w:tc>
          <w:tcPr>
            <w:tcW w:w="702" w:type="dxa"/>
          </w:tcPr>
          <w:p w14:paraId="39DE5DA5" w14:textId="77777777" w:rsidR="00403B07" w:rsidRPr="0078024B" w:rsidRDefault="00403B07" w:rsidP="00B01272"/>
        </w:tc>
        <w:tc>
          <w:tcPr>
            <w:tcW w:w="702" w:type="dxa"/>
          </w:tcPr>
          <w:p w14:paraId="22BB6028" w14:textId="77777777" w:rsidR="00403B07" w:rsidRPr="0078024B" w:rsidRDefault="00403B07" w:rsidP="00B01272"/>
        </w:tc>
        <w:tc>
          <w:tcPr>
            <w:tcW w:w="702" w:type="dxa"/>
          </w:tcPr>
          <w:p w14:paraId="09649083" w14:textId="77777777" w:rsidR="00403B07" w:rsidRPr="0078024B" w:rsidRDefault="00403B07" w:rsidP="00B01272"/>
        </w:tc>
        <w:tc>
          <w:tcPr>
            <w:tcW w:w="702" w:type="dxa"/>
          </w:tcPr>
          <w:p w14:paraId="7208AAFB" w14:textId="77777777" w:rsidR="00403B07" w:rsidRPr="0078024B" w:rsidRDefault="00403B07" w:rsidP="00B01272"/>
        </w:tc>
        <w:tc>
          <w:tcPr>
            <w:tcW w:w="702" w:type="dxa"/>
          </w:tcPr>
          <w:p w14:paraId="519464A1" w14:textId="77777777" w:rsidR="00403B07" w:rsidRPr="0078024B" w:rsidRDefault="00403B07" w:rsidP="00B01272"/>
        </w:tc>
        <w:tc>
          <w:tcPr>
            <w:tcW w:w="703" w:type="dxa"/>
          </w:tcPr>
          <w:p w14:paraId="44E561A9" w14:textId="77777777" w:rsidR="00403B07" w:rsidRPr="0078024B" w:rsidRDefault="00403B07" w:rsidP="00B01272"/>
        </w:tc>
        <w:tc>
          <w:tcPr>
            <w:tcW w:w="733" w:type="dxa"/>
          </w:tcPr>
          <w:p w14:paraId="2EE05CD3" w14:textId="77777777" w:rsidR="00403B07" w:rsidRPr="0078024B" w:rsidRDefault="00403B07" w:rsidP="00B01272"/>
        </w:tc>
      </w:tr>
    </w:tbl>
    <w:p w14:paraId="25FE378E" w14:textId="77777777" w:rsidR="00403B07" w:rsidRPr="0078024B" w:rsidRDefault="00403B07" w:rsidP="00403B07">
      <w:pPr>
        <w:rPr>
          <w:rFonts w:eastAsiaTheme="minorHAnsi"/>
          <w:lang w:eastAsia="en-US"/>
        </w:rPr>
      </w:pPr>
      <w:r w:rsidRPr="0078024B">
        <w:rPr>
          <w:rFonts w:eastAsiaTheme="minorHAnsi"/>
          <w:lang w:eastAsia="en-US"/>
        </w:rPr>
        <w:t>General comments:</w:t>
      </w:r>
    </w:p>
    <w:p w14:paraId="24A61AA1" w14:textId="77777777" w:rsidR="00403B07" w:rsidRPr="0078024B" w:rsidRDefault="00403B07" w:rsidP="00403B07">
      <w:pPr>
        <w:rPr>
          <w:rFonts w:eastAsiaTheme="minorHAnsi"/>
          <w:lang w:eastAsia="en-US"/>
        </w:rPr>
      </w:pPr>
    </w:p>
    <w:p w14:paraId="13585660" w14:textId="77777777" w:rsidR="00403B07" w:rsidRPr="0078024B" w:rsidRDefault="00403B07" w:rsidP="00403B07">
      <w:pPr>
        <w:rPr>
          <w:rFonts w:eastAsiaTheme="minorHAnsi"/>
          <w:b/>
          <w:lang w:eastAsia="en-US"/>
        </w:rPr>
      </w:pPr>
    </w:p>
    <w:p w14:paraId="3EF66A15" w14:textId="77777777" w:rsidR="00403B07" w:rsidRPr="0078024B" w:rsidRDefault="00403B07" w:rsidP="00403B07">
      <w:pPr>
        <w:rPr>
          <w:rFonts w:eastAsiaTheme="minorHAnsi"/>
          <w:b/>
          <w:lang w:eastAsia="en-US"/>
        </w:rPr>
      </w:pPr>
      <w:r w:rsidRPr="0078024B">
        <w:rPr>
          <w:rFonts w:eastAsiaTheme="minorHAnsi"/>
          <w:b/>
          <w:lang w:eastAsia="en-US"/>
        </w:rPr>
        <w:br w:type="page"/>
      </w:r>
    </w:p>
    <w:p w14:paraId="0E506CDE" w14:textId="0104269E" w:rsidR="00403B07" w:rsidRPr="00765E8F" w:rsidRDefault="00403B07" w:rsidP="00403B07">
      <w:pPr>
        <w:rPr>
          <w:rFonts w:cs="Arial"/>
          <w:b/>
          <w:i/>
          <w:sz w:val="24"/>
          <w:szCs w:val="24"/>
        </w:rPr>
      </w:pPr>
      <w:r w:rsidRPr="00765E8F">
        <w:rPr>
          <w:rFonts w:cs="Arial"/>
          <w:b/>
          <w:i/>
          <w:sz w:val="24"/>
          <w:szCs w:val="24"/>
        </w:rPr>
        <w:lastRenderedPageBreak/>
        <w:t>Appendix 1</w:t>
      </w:r>
      <w:r w:rsidR="00A60D1B">
        <w:rPr>
          <w:rFonts w:cs="Arial"/>
          <w:b/>
          <w:i/>
          <w:sz w:val="24"/>
          <w:szCs w:val="24"/>
        </w:rPr>
        <w:t>4</w:t>
      </w:r>
      <w:r w:rsidRPr="00765E8F">
        <w:rPr>
          <w:rFonts w:cs="Arial"/>
          <w:b/>
          <w:i/>
          <w:sz w:val="24"/>
          <w:szCs w:val="24"/>
        </w:rPr>
        <w:t xml:space="preserve"> Fidelity to Form example checklist (continued)</w:t>
      </w:r>
    </w:p>
    <w:p w14:paraId="3E6D2DD5" w14:textId="77777777" w:rsidR="00403B07" w:rsidRDefault="00403B07" w:rsidP="00403B07">
      <w:pPr>
        <w:rPr>
          <w:rFonts w:eastAsiaTheme="minorHAnsi"/>
          <w:b/>
          <w:lang w:eastAsia="en-US"/>
        </w:rPr>
      </w:pPr>
    </w:p>
    <w:p w14:paraId="7D840C28" w14:textId="77777777" w:rsidR="00403B07" w:rsidRPr="0078024B" w:rsidRDefault="00403B07" w:rsidP="00403B07">
      <w:pPr>
        <w:rPr>
          <w:rFonts w:eastAsiaTheme="minorHAnsi"/>
          <w:b/>
          <w:lang w:eastAsia="en-US"/>
        </w:rPr>
      </w:pPr>
      <w:r w:rsidRPr="0078024B">
        <w:rPr>
          <w:rFonts w:eastAsiaTheme="minorHAnsi"/>
          <w:b/>
          <w:lang w:eastAsia="en-US"/>
        </w:rPr>
        <w:t>PHASE 2</w:t>
      </w:r>
    </w:p>
    <w:p w14:paraId="4DD35B2F" w14:textId="77777777" w:rsidR="00403B07" w:rsidRPr="0078024B" w:rsidRDefault="00403B07" w:rsidP="00403B07">
      <w:pPr>
        <w:rPr>
          <w:rFonts w:eastAsiaTheme="minorHAnsi"/>
          <w:b/>
          <w:lang w:eastAsia="en-US"/>
        </w:rPr>
      </w:pPr>
      <w:r w:rsidRPr="0078024B">
        <w:rPr>
          <w:rFonts w:eastAsiaTheme="minorHAnsi"/>
          <w:b/>
          <w:lang w:eastAsia="en-US"/>
        </w:rPr>
        <w:t>Drama Workshop 5 Fidelity Check</w:t>
      </w:r>
    </w:p>
    <w:p w14:paraId="405DEF45" w14:textId="77777777" w:rsidR="00403B07" w:rsidRPr="0078024B" w:rsidRDefault="00403B07" w:rsidP="00403B07">
      <w:pPr>
        <w:rPr>
          <w:rFonts w:eastAsiaTheme="minorHAnsi"/>
          <w:lang w:eastAsia="en-US"/>
        </w:rPr>
      </w:pPr>
      <w:r w:rsidRPr="0078024B">
        <w:rPr>
          <w:rFonts w:eastAsiaTheme="minorHAnsi"/>
          <w:lang w:eastAsia="en-US"/>
        </w:rPr>
        <w:t xml:space="preserve">NAME OF SCHOOL: </w:t>
      </w:r>
    </w:p>
    <w:p w14:paraId="6EB0F1B2" w14:textId="77777777" w:rsidR="00403B07" w:rsidRPr="0078024B" w:rsidRDefault="00403B07" w:rsidP="00403B07">
      <w:pPr>
        <w:rPr>
          <w:rFonts w:eastAsiaTheme="minorHAnsi"/>
          <w:lang w:eastAsia="en-US"/>
        </w:rPr>
      </w:pPr>
      <w:r w:rsidRPr="0078024B">
        <w:rPr>
          <w:rFonts w:eastAsiaTheme="minorHAnsi"/>
          <w:lang w:eastAsia="en-US"/>
        </w:rPr>
        <w:t>NAME OF HC:</w:t>
      </w:r>
    </w:p>
    <w:p w14:paraId="15352C62" w14:textId="77777777" w:rsidR="00403B07" w:rsidRPr="0078024B" w:rsidRDefault="00403B07" w:rsidP="00403B07">
      <w:pPr>
        <w:rPr>
          <w:rFonts w:eastAsiaTheme="minorHAnsi"/>
          <w:lang w:eastAsia="en-US"/>
        </w:rPr>
      </w:pPr>
      <w:r w:rsidRPr="0078024B">
        <w:rPr>
          <w:rFonts w:eastAsiaTheme="minorHAnsi"/>
          <w:lang w:eastAsia="en-US"/>
        </w:rPr>
        <w:t>DATE:</w:t>
      </w:r>
    </w:p>
    <w:p w14:paraId="33F462AD" w14:textId="77777777" w:rsidR="00403B07" w:rsidRPr="0078024B" w:rsidRDefault="00403B07" w:rsidP="00403B07">
      <w:pPr>
        <w:rPr>
          <w:rFonts w:eastAsiaTheme="minorHAnsi"/>
          <w:lang w:eastAsia="en-US"/>
        </w:rPr>
      </w:pPr>
      <w:r w:rsidRPr="0078024B">
        <w:rPr>
          <w:rFonts w:eastAsiaTheme="minorHAnsi"/>
          <w:lang w:eastAsia="en-US"/>
        </w:rPr>
        <w:t>Adherence to key content</w:t>
      </w:r>
    </w:p>
    <w:tbl>
      <w:tblPr>
        <w:tblStyle w:val="TableGrid4"/>
        <w:tblW w:w="10031" w:type="dxa"/>
        <w:tblLook w:val="04A0" w:firstRow="1" w:lastRow="0" w:firstColumn="1" w:lastColumn="0" w:noHBand="0" w:noVBand="1"/>
      </w:tblPr>
      <w:tblGrid>
        <w:gridCol w:w="6000"/>
        <w:gridCol w:w="1689"/>
        <w:gridCol w:w="2342"/>
      </w:tblGrid>
      <w:tr w:rsidR="00403B07" w:rsidRPr="0078024B" w14:paraId="67BF5BBC" w14:textId="77777777" w:rsidTr="00B01272">
        <w:tc>
          <w:tcPr>
            <w:tcW w:w="6000" w:type="dxa"/>
          </w:tcPr>
          <w:p w14:paraId="417A4DBB" w14:textId="77777777" w:rsidR="00403B07" w:rsidRPr="0078024B" w:rsidRDefault="00403B07" w:rsidP="00B01272">
            <w:pPr>
              <w:rPr>
                <w:b/>
              </w:rPr>
            </w:pPr>
            <w:r w:rsidRPr="0078024B">
              <w:rPr>
                <w:b/>
              </w:rPr>
              <w:t>Session 5 - Class teacher present</w:t>
            </w:r>
          </w:p>
        </w:tc>
        <w:tc>
          <w:tcPr>
            <w:tcW w:w="1689" w:type="dxa"/>
          </w:tcPr>
          <w:p w14:paraId="0C04D255" w14:textId="77777777" w:rsidR="00403B07" w:rsidRPr="0078024B" w:rsidRDefault="00403B07" w:rsidP="00B01272">
            <w:pPr>
              <w:rPr>
                <w:b/>
              </w:rPr>
            </w:pPr>
            <w:r w:rsidRPr="0078024B">
              <w:rPr>
                <w:b/>
              </w:rPr>
              <w:t>Yes/Partial/No</w:t>
            </w:r>
          </w:p>
        </w:tc>
        <w:tc>
          <w:tcPr>
            <w:tcW w:w="2342" w:type="dxa"/>
          </w:tcPr>
          <w:p w14:paraId="3005C0BA" w14:textId="77777777" w:rsidR="00403B07" w:rsidRPr="0078024B" w:rsidRDefault="00403B07" w:rsidP="00B01272">
            <w:pPr>
              <w:rPr>
                <w:b/>
              </w:rPr>
            </w:pPr>
            <w:r w:rsidRPr="0078024B">
              <w:rPr>
                <w:b/>
              </w:rPr>
              <w:t>Notes</w:t>
            </w:r>
          </w:p>
        </w:tc>
      </w:tr>
      <w:tr w:rsidR="00403B07" w:rsidRPr="0078024B" w14:paraId="5652864C" w14:textId="77777777" w:rsidTr="00B01272">
        <w:tc>
          <w:tcPr>
            <w:tcW w:w="6000" w:type="dxa"/>
          </w:tcPr>
          <w:p w14:paraId="332F3608" w14:textId="77777777" w:rsidR="00403B07" w:rsidRPr="0078024B" w:rsidRDefault="00403B07" w:rsidP="00B01272">
            <w:r w:rsidRPr="0078024B">
              <w:t>Adverts</w:t>
            </w:r>
          </w:p>
        </w:tc>
        <w:tc>
          <w:tcPr>
            <w:tcW w:w="1689" w:type="dxa"/>
          </w:tcPr>
          <w:p w14:paraId="3538989D" w14:textId="77777777" w:rsidR="00403B07" w:rsidRPr="0078024B" w:rsidRDefault="00403B07" w:rsidP="00B01272"/>
        </w:tc>
        <w:tc>
          <w:tcPr>
            <w:tcW w:w="2342" w:type="dxa"/>
          </w:tcPr>
          <w:p w14:paraId="5743925B" w14:textId="77777777" w:rsidR="00403B07" w:rsidRPr="0078024B" w:rsidRDefault="00403B07" w:rsidP="00B01272"/>
        </w:tc>
      </w:tr>
      <w:tr w:rsidR="00403B07" w:rsidRPr="0078024B" w14:paraId="78B43F84" w14:textId="77777777" w:rsidTr="00B01272">
        <w:tc>
          <w:tcPr>
            <w:tcW w:w="6000" w:type="dxa"/>
          </w:tcPr>
          <w:p w14:paraId="36F6F843" w14:textId="77777777" w:rsidR="00403B07" w:rsidRPr="0078024B" w:rsidRDefault="00403B07" w:rsidP="00B01272">
            <w:r w:rsidRPr="0078024B">
              <w:t>Marketing strategy</w:t>
            </w:r>
          </w:p>
        </w:tc>
        <w:tc>
          <w:tcPr>
            <w:tcW w:w="1689" w:type="dxa"/>
          </w:tcPr>
          <w:p w14:paraId="3B9EF656" w14:textId="77777777" w:rsidR="00403B07" w:rsidRPr="0078024B" w:rsidRDefault="00403B07" w:rsidP="00B01272"/>
        </w:tc>
        <w:tc>
          <w:tcPr>
            <w:tcW w:w="2342" w:type="dxa"/>
          </w:tcPr>
          <w:p w14:paraId="5C5D0C78" w14:textId="77777777" w:rsidR="00403B07" w:rsidRPr="0078024B" w:rsidRDefault="00403B07" w:rsidP="00B01272"/>
        </w:tc>
      </w:tr>
      <w:tr w:rsidR="00403B07" w:rsidRPr="0078024B" w14:paraId="335F5079" w14:textId="77777777" w:rsidTr="00B01272">
        <w:tc>
          <w:tcPr>
            <w:tcW w:w="6000" w:type="dxa"/>
          </w:tcPr>
          <w:p w14:paraId="35F5A8AF" w14:textId="77777777" w:rsidR="00403B07" w:rsidRPr="0078024B" w:rsidRDefault="00403B07" w:rsidP="00B01272">
            <w:r w:rsidRPr="0078024B">
              <w:t>Making adverts in small groups</w:t>
            </w:r>
          </w:p>
        </w:tc>
        <w:tc>
          <w:tcPr>
            <w:tcW w:w="1689" w:type="dxa"/>
          </w:tcPr>
          <w:p w14:paraId="2C55139F" w14:textId="77777777" w:rsidR="00403B07" w:rsidRPr="0078024B" w:rsidRDefault="00403B07" w:rsidP="00B01272"/>
        </w:tc>
        <w:tc>
          <w:tcPr>
            <w:tcW w:w="2342" w:type="dxa"/>
          </w:tcPr>
          <w:p w14:paraId="56DE90A1" w14:textId="77777777" w:rsidR="00403B07" w:rsidRPr="0078024B" w:rsidRDefault="00403B07" w:rsidP="00B01272"/>
        </w:tc>
      </w:tr>
      <w:tr w:rsidR="00403B07" w:rsidRPr="0078024B" w14:paraId="5C0CC5AF" w14:textId="77777777" w:rsidTr="00B01272">
        <w:tc>
          <w:tcPr>
            <w:tcW w:w="6000" w:type="dxa"/>
          </w:tcPr>
          <w:p w14:paraId="6A9EFF95" w14:textId="77777777" w:rsidR="00403B07" w:rsidRPr="0078024B" w:rsidRDefault="00403B07" w:rsidP="00B01272">
            <w:r w:rsidRPr="0078024B">
              <w:t>Making smoothies</w:t>
            </w:r>
          </w:p>
        </w:tc>
        <w:tc>
          <w:tcPr>
            <w:tcW w:w="1689" w:type="dxa"/>
          </w:tcPr>
          <w:p w14:paraId="70BFD7DC" w14:textId="77777777" w:rsidR="00403B07" w:rsidRPr="0078024B" w:rsidRDefault="00403B07" w:rsidP="00B01272"/>
        </w:tc>
        <w:tc>
          <w:tcPr>
            <w:tcW w:w="2342" w:type="dxa"/>
          </w:tcPr>
          <w:p w14:paraId="0AC8FFDF" w14:textId="77777777" w:rsidR="00403B07" w:rsidRPr="0078024B" w:rsidRDefault="00403B07" w:rsidP="00B01272"/>
        </w:tc>
      </w:tr>
      <w:tr w:rsidR="00403B07" w:rsidRPr="0078024B" w14:paraId="01E98D5D" w14:textId="77777777" w:rsidTr="00B01272">
        <w:tc>
          <w:tcPr>
            <w:tcW w:w="6000" w:type="dxa"/>
          </w:tcPr>
          <w:p w14:paraId="7108A2D6" w14:textId="77777777" w:rsidR="00403B07" w:rsidRPr="0078024B" w:rsidRDefault="00403B07" w:rsidP="00B01272">
            <w:r w:rsidRPr="0078024B">
              <w:t xml:space="preserve">Role play how to overcome teasing </w:t>
            </w:r>
          </w:p>
        </w:tc>
        <w:tc>
          <w:tcPr>
            <w:tcW w:w="1689" w:type="dxa"/>
          </w:tcPr>
          <w:p w14:paraId="735BEAE5" w14:textId="77777777" w:rsidR="00403B07" w:rsidRPr="0078024B" w:rsidRDefault="00403B07" w:rsidP="00B01272"/>
        </w:tc>
        <w:tc>
          <w:tcPr>
            <w:tcW w:w="2342" w:type="dxa"/>
          </w:tcPr>
          <w:p w14:paraId="284F3679" w14:textId="77777777" w:rsidR="00403B07" w:rsidRPr="0078024B" w:rsidRDefault="00403B07" w:rsidP="00B01272"/>
        </w:tc>
      </w:tr>
      <w:tr w:rsidR="00403B07" w:rsidRPr="0078024B" w14:paraId="2392C34A" w14:textId="77777777" w:rsidTr="00B01272">
        <w:tc>
          <w:tcPr>
            <w:tcW w:w="6000" w:type="dxa"/>
          </w:tcPr>
          <w:p w14:paraId="77E0CE3F" w14:textId="77777777" w:rsidR="00403B07" w:rsidRPr="0078024B" w:rsidRDefault="00403B07" w:rsidP="00B01272">
            <w:r w:rsidRPr="0078024B">
              <w:t>Tooth out of coke and discussion</w:t>
            </w:r>
          </w:p>
        </w:tc>
        <w:tc>
          <w:tcPr>
            <w:tcW w:w="1689" w:type="dxa"/>
          </w:tcPr>
          <w:p w14:paraId="06554034" w14:textId="77777777" w:rsidR="00403B07" w:rsidRPr="0078024B" w:rsidRDefault="00403B07" w:rsidP="00B01272"/>
        </w:tc>
        <w:tc>
          <w:tcPr>
            <w:tcW w:w="2342" w:type="dxa"/>
          </w:tcPr>
          <w:p w14:paraId="0F8CB1EE" w14:textId="77777777" w:rsidR="00403B07" w:rsidRPr="0078024B" w:rsidRDefault="00403B07" w:rsidP="00B01272"/>
        </w:tc>
      </w:tr>
      <w:tr w:rsidR="00403B07" w:rsidRPr="0078024B" w14:paraId="6E09D78E" w14:textId="77777777" w:rsidTr="00B01272">
        <w:tc>
          <w:tcPr>
            <w:tcW w:w="6000" w:type="dxa"/>
          </w:tcPr>
          <w:p w14:paraId="505AC0D4" w14:textId="77777777" w:rsidR="00403B07" w:rsidRPr="0078024B" w:rsidRDefault="00403B07" w:rsidP="00B01272">
            <w:r w:rsidRPr="0078024B">
              <w:t>Making a scene! (groups recap the week in a scene)</w:t>
            </w:r>
          </w:p>
        </w:tc>
        <w:tc>
          <w:tcPr>
            <w:tcW w:w="1689" w:type="dxa"/>
          </w:tcPr>
          <w:p w14:paraId="44A461C7" w14:textId="77777777" w:rsidR="00403B07" w:rsidRPr="0078024B" w:rsidRDefault="00403B07" w:rsidP="00B01272"/>
        </w:tc>
        <w:tc>
          <w:tcPr>
            <w:tcW w:w="2342" w:type="dxa"/>
          </w:tcPr>
          <w:p w14:paraId="7147E42F" w14:textId="77777777" w:rsidR="00403B07" w:rsidRPr="0078024B" w:rsidRDefault="00403B07" w:rsidP="00B01272"/>
        </w:tc>
      </w:tr>
      <w:tr w:rsidR="00403B07" w:rsidRPr="0078024B" w14:paraId="6728EB8B" w14:textId="77777777" w:rsidTr="00B01272">
        <w:tc>
          <w:tcPr>
            <w:tcW w:w="6000" w:type="dxa"/>
          </w:tcPr>
          <w:p w14:paraId="0A9F65CA" w14:textId="77777777" w:rsidR="00403B07" w:rsidRPr="0078024B" w:rsidRDefault="00403B07" w:rsidP="00B01272">
            <w:r w:rsidRPr="0078024B">
              <w:t>School disco scene</w:t>
            </w:r>
          </w:p>
        </w:tc>
        <w:tc>
          <w:tcPr>
            <w:tcW w:w="1689" w:type="dxa"/>
          </w:tcPr>
          <w:p w14:paraId="2010ABF5" w14:textId="77777777" w:rsidR="00403B07" w:rsidRPr="0078024B" w:rsidRDefault="00403B07" w:rsidP="00B01272"/>
        </w:tc>
        <w:tc>
          <w:tcPr>
            <w:tcW w:w="2342" w:type="dxa"/>
          </w:tcPr>
          <w:p w14:paraId="3AA1AAF9" w14:textId="77777777" w:rsidR="00403B07" w:rsidRPr="0078024B" w:rsidRDefault="00403B07" w:rsidP="00B01272"/>
        </w:tc>
      </w:tr>
      <w:tr w:rsidR="00403B07" w:rsidRPr="0078024B" w14:paraId="5D07630E" w14:textId="77777777" w:rsidTr="00B01272">
        <w:tc>
          <w:tcPr>
            <w:tcW w:w="6000" w:type="dxa"/>
          </w:tcPr>
          <w:p w14:paraId="27E13294" w14:textId="77777777" w:rsidR="00403B07" w:rsidRPr="0078024B" w:rsidRDefault="00403B07" w:rsidP="00B01272">
            <w:r w:rsidRPr="0078024B">
              <w:t>Distribution of Parent Power parent information sheet</w:t>
            </w:r>
          </w:p>
        </w:tc>
        <w:tc>
          <w:tcPr>
            <w:tcW w:w="1689" w:type="dxa"/>
          </w:tcPr>
          <w:p w14:paraId="055E0DA5" w14:textId="77777777" w:rsidR="00403B07" w:rsidRPr="0078024B" w:rsidRDefault="00403B07" w:rsidP="00B01272"/>
        </w:tc>
        <w:tc>
          <w:tcPr>
            <w:tcW w:w="2342" w:type="dxa"/>
          </w:tcPr>
          <w:p w14:paraId="043E1710" w14:textId="77777777" w:rsidR="00403B07" w:rsidRPr="0078024B" w:rsidRDefault="00403B07" w:rsidP="00B01272"/>
        </w:tc>
      </w:tr>
      <w:tr w:rsidR="00403B07" w:rsidRPr="0078024B" w14:paraId="3CF5661D" w14:textId="77777777" w:rsidTr="00B01272">
        <w:tc>
          <w:tcPr>
            <w:tcW w:w="6000" w:type="dxa"/>
          </w:tcPr>
          <w:p w14:paraId="7F6FEA4C" w14:textId="77777777" w:rsidR="00403B07" w:rsidRPr="0078024B" w:rsidRDefault="00403B07" w:rsidP="00B01272">
            <w:r w:rsidRPr="0078024B">
              <w:t>Encouragement from children to Duncan to pass this on to his parents</w:t>
            </w:r>
          </w:p>
        </w:tc>
        <w:tc>
          <w:tcPr>
            <w:tcW w:w="1689" w:type="dxa"/>
          </w:tcPr>
          <w:p w14:paraId="037C5A20" w14:textId="77777777" w:rsidR="00403B07" w:rsidRPr="0078024B" w:rsidRDefault="00403B07" w:rsidP="00B01272"/>
        </w:tc>
        <w:tc>
          <w:tcPr>
            <w:tcW w:w="2342" w:type="dxa"/>
          </w:tcPr>
          <w:p w14:paraId="549A427C" w14:textId="77777777" w:rsidR="00403B07" w:rsidRPr="0078024B" w:rsidRDefault="00403B07" w:rsidP="00B01272"/>
        </w:tc>
      </w:tr>
    </w:tbl>
    <w:p w14:paraId="2D5B42EC" w14:textId="77777777" w:rsidR="00403B07" w:rsidRPr="0078024B" w:rsidRDefault="00403B07" w:rsidP="00403B07">
      <w:pPr>
        <w:rPr>
          <w:rFonts w:eastAsiaTheme="minorHAnsi"/>
          <w:lang w:eastAsia="en-US"/>
        </w:rPr>
      </w:pPr>
      <w:r w:rsidRPr="0078024B">
        <w:rPr>
          <w:rFonts w:eastAsiaTheme="minorHAnsi"/>
          <w:lang w:eastAsia="en-US"/>
        </w:rPr>
        <w:t>Quality of delivery and participant responsiveness (1=Low Quality</w:t>
      </w:r>
      <w:r w:rsidRPr="0078024B">
        <w:rPr>
          <w:rFonts w:eastAsiaTheme="minorHAnsi"/>
          <w:lang w:eastAsia="en-US"/>
        </w:rPr>
        <w:tab/>
        <w:t>10=High Quality)</w:t>
      </w:r>
    </w:p>
    <w:tbl>
      <w:tblPr>
        <w:tblStyle w:val="TableGrid4"/>
        <w:tblW w:w="0" w:type="auto"/>
        <w:tblLook w:val="04A0" w:firstRow="1" w:lastRow="0" w:firstColumn="1" w:lastColumn="0" w:noHBand="0" w:noVBand="1"/>
      </w:tblPr>
      <w:tblGrid>
        <w:gridCol w:w="2192"/>
        <w:gridCol w:w="701"/>
        <w:gridCol w:w="701"/>
        <w:gridCol w:w="702"/>
        <w:gridCol w:w="702"/>
        <w:gridCol w:w="702"/>
        <w:gridCol w:w="702"/>
        <w:gridCol w:w="702"/>
        <w:gridCol w:w="702"/>
        <w:gridCol w:w="703"/>
        <w:gridCol w:w="733"/>
      </w:tblGrid>
      <w:tr w:rsidR="00403B07" w:rsidRPr="0078024B" w14:paraId="6DE11D24" w14:textId="77777777" w:rsidTr="00B01272">
        <w:tc>
          <w:tcPr>
            <w:tcW w:w="2192" w:type="dxa"/>
          </w:tcPr>
          <w:p w14:paraId="21233027" w14:textId="77777777" w:rsidR="00403B07" w:rsidRPr="0078024B" w:rsidRDefault="00403B07" w:rsidP="00B01272"/>
        </w:tc>
        <w:tc>
          <w:tcPr>
            <w:tcW w:w="701" w:type="dxa"/>
          </w:tcPr>
          <w:p w14:paraId="5DFB0888" w14:textId="77777777" w:rsidR="00403B07" w:rsidRPr="0078024B" w:rsidRDefault="00403B07" w:rsidP="00B01272">
            <w:pPr>
              <w:rPr>
                <w:b/>
              </w:rPr>
            </w:pPr>
            <w:r w:rsidRPr="0078024B">
              <w:rPr>
                <w:b/>
              </w:rPr>
              <w:t>1</w:t>
            </w:r>
          </w:p>
        </w:tc>
        <w:tc>
          <w:tcPr>
            <w:tcW w:w="701" w:type="dxa"/>
          </w:tcPr>
          <w:p w14:paraId="02832460" w14:textId="77777777" w:rsidR="00403B07" w:rsidRPr="0078024B" w:rsidRDefault="00403B07" w:rsidP="00B01272">
            <w:pPr>
              <w:rPr>
                <w:b/>
              </w:rPr>
            </w:pPr>
            <w:r w:rsidRPr="0078024B">
              <w:rPr>
                <w:b/>
              </w:rPr>
              <w:t>2</w:t>
            </w:r>
          </w:p>
        </w:tc>
        <w:tc>
          <w:tcPr>
            <w:tcW w:w="702" w:type="dxa"/>
          </w:tcPr>
          <w:p w14:paraId="7C17179E" w14:textId="77777777" w:rsidR="00403B07" w:rsidRPr="0078024B" w:rsidRDefault="00403B07" w:rsidP="00B01272">
            <w:pPr>
              <w:rPr>
                <w:b/>
              </w:rPr>
            </w:pPr>
            <w:r w:rsidRPr="0078024B">
              <w:rPr>
                <w:b/>
              </w:rPr>
              <w:t>3</w:t>
            </w:r>
          </w:p>
        </w:tc>
        <w:tc>
          <w:tcPr>
            <w:tcW w:w="702" w:type="dxa"/>
          </w:tcPr>
          <w:p w14:paraId="1CF1F0B4" w14:textId="77777777" w:rsidR="00403B07" w:rsidRPr="0078024B" w:rsidRDefault="00403B07" w:rsidP="00B01272">
            <w:pPr>
              <w:rPr>
                <w:b/>
              </w:rPr>
            </w:pPr>
            <w:r w:rsidRPr="0078024B">
              <w:rPr>
                <w:b/>
              </w:rPr>
              <w:t>4</w:t>
            </w:r>
          </w:p>
        </w:tc>
        <w:tc>
          <w:tcPr>
            <w:tcW w:w="702" w:type="dxa"/>
          </w:tcPr>
          <w:p w14:paraId="08ABEDF4" w14:textId="77777777" w:rsidR="00403B07" w:rsidRPr="0078024B" w:rsidRDefault="00403B07" w:rsidP="00B01272">
            <w:pPr>
              <w:rPr>
                <w:b/>
              </w:rPr>
            </w:pPr>
            <w:r w:rsidRPr="0078024B">
              <w:rPr>
                <w:b/>
              </w:rPr>
              <w:t>5</w:t>
            </w:r>
          </w:p>
        </w:tc>
        <w:tc>
          <w:tcPr>
            <w:tcW w:w="702" w:type="dxa"/>
          </w:tcPr>
          <w:p w14:paraId="46D464D5" w14:textId="77777777" w:rsidR="00403B07" w:rsidRPr="0078024B" w:rsidRDefault="00403B07" w:rsidP="00B01272">
            <w:pPr>
              <w:rPr>
                <w:b/>
              </w:rPr>
            </w:pPr>
            <w:r w:rsidRPr="0078024B">
              <w:rPr>
                <w:b/>
              </w:rPr>
              <w:t>6</w:t>
            </w:r>
          </w:p>
        </w:tc>
        <w:tc>
          <w:tcPr>
            <w:tcW w:w="702" w:type="dxa"/>
          </w:tcPr>
          <w:p w14:paraId="5D2D2C40" w14:textId="77777777" w:rsidR="00403B07" w:rsidRPr="0078024B" w:rsidRDefault="00403B07" w:rsidP="00B01272">
            <w:pPr>
              <w:rPr>
                <w:b/>
              </w:rPr>
            </w:pPr>
            <w:r w:rsidRPr="0078024B">
              <w:rPr>
                <w:b/>
              </w:rPr>
              <w:t>7</w:t>
            </w:r>
          </w:p>
        </w:tc>
        <w:tc>
          <w:tcPr>
            <w:tcW w:w="702" w:type="dxa"/>
          </w:tcPr>
          <w:p w14:paraId="29076A2B" w14:textId="77777777" w:rsidR="00403B07" w:rsidRPr="0078024B" w:rsidRDefault="00403B07" w:rsidP="00B01272">
            <w:pPr>
              <w:rPr>
                <w:b/>
              </w:rPr>
            </w:pPr>
            <w:r w:rsidRPr="0078024B">
              <w:rPr>
                <w:b/>
              </w:rPr>
              <w:t>8</w:t>
            </w:r>
          </w:p>
        </w:tc>
        <w:tc>
          <w:tcPr>
            <w:tcW w:w="703" w:type="dxa"/>
          </w:tcPr>
          <w:p w14:paraId="1C80C213" w14:textId="77777777" w:rsidR="00403B07" w:rsidRPr="0078024B" w:rsidRDefault="00403B07" w:rsidP="00B01272">
            <w:pPr>
              <w:rPr>
                <w:b/>
              </w:rPr>
            </w:pPr>
            <w:r w:rsidRPr="0078024B">
              <w:rPr>
                <w:b/>
              </w:rPr>
              <w:t>9</w:t>
            </w:r>
          </w:p>
        </w:tc>
        <w:tc>
          <w:tcPr>
            <w:tcW w:w="733" w:type="dxa"/>
          </w:tcPr>
          <w:p w14:paraId="12A20D33" w14:textId="77777777" w:rsidR="00403B07" w:rsidRPr="0078024B" w:rsidRDefault="00403B07" w:rsidP="00B01272">
            <w:pPr>
              <w:rPr>
                <w:b/>
              </w:rPr>
            </w:pPr>
            <w:r w:rsidRPr="0078024B">
              <w:rPr>
                <w:b/>
              </w:rPr>
              <w:t>10</w:t>
            </w:r>
          </w:p>
        </w:tc>
      </w:tr>
      <w:tr w:rsidR="00403B07" w:rsidRPr="0078024B" w14:paraId="25170509" w14:textId="77777777" w:rsidTr="00B01272">
        <w:tc>
          <w:tcPr>
            <w:tcW w:w="2192" w:type="dxa"/>
          </w:tcPr>
          <w:p w14:paraId="7027D015" w14:textId="77777777" w:rsidR="00403B07" w:rsidRPr="0078024B" w:rsidRDefault="00403B07" w:rsidP="00B01272">
            <w:r w:rsidRPr="0078024B">
              <w:t>Enthusiastic delivery</w:t>
            </w:r>
          </w:p>
        </w:tc>
        <w:tc>
          <w:tcPr>
            <w:tcW w:w="701" w:type="dxa"/>
          </w:tcPr>
          <w:p w14:paraId="4266A5F2" w14:textId="77777777" w:rsidR="00403B07" w:rsidRPr="0078024B" w:rsidRDefault="00403B07" w:rsidP="00B01272"/>
        </w:tc>
        <w:tc>
          <w:tcPr>
            <w:tcW w:w="701" w:type="dxa"/>
          </w:tcPr>
          <w:p w14:paraId="76F9198A" w14:textId="77777777" w:rsidR="00403B07" w:rsidRPr="0078024B" w:rsidRDefault="00403B07" w:rsidP="00B01272"/>
        </w:tc>
        <w:tc>
          <w:tcPr>
            <w:tcW w:w="702" w:type="dxa"/>
          </w:tcPr>
          <w:p w14:paraId="4D55C129" w14:textId="77777777" w:rsidR="00403B07" w:rsidRPr="0078024B" w:rsidRDefault="00403B07" w:rsidP="00B01272"/>
        </w:tc>
        <w:tc>
          <w:tcPr>
            <w:tcW w:w="702" w:type="dxa"/>
          </w:tcPr>
          <w:p w14:paraId="6DE02FD0" w14:textId="77777777" w:rsidR="00403B07" w:rsidRPr="0078024B" w:rsidRDefault="00403B07" w:rsidP="00B01272"/>
        </w:tc>
        <w:tc>
          <w:tcPr>
            <w:tcW w:w="702" w:type="dxa"/>
          </w:tcPr>
          <w:p w14:paraId="4C972A4F" w14:textId="77777777" w:rsidR="00403B07" w:rsidRPr="0078024B" w:rsidRDefault="00403B07" w:rsidP="00B01272"/>
        </w:tc>
        <w:tc>
          <w:tcPr>
            <w:tcW w:w="702" w:type="dxa"/>
          </w:tcPr>
          <w:p w14:paraId="5E3EFA54" w14:textId="77777777" w:rsidR="00403B07" w:rsidRPr="0078024B" w:rsidRDefault="00403B07" w:rsidP="00B01272"/>
        </w:tc>
        <w:tc>
          <w:tcPr>
            <w:tcW w:w="702" w:type="dxa"/>
          </w:tcPr>
          <w:p w14:paraId="31165C5B" w14:textId="77777777" w:rsidR="00403B07" w:rsidRPr="0078024B" w:rsidRDefault="00403B07" w:rsidP="00B01272"/>
        </w:tc>
        <w:tc>
          <w:tcPr>
            <w:tcW w:w="702" w:type="dxa"/>
          </w:tcPr>
          <w:p w14:paraId="41E1E1DB" w14:textId="77777777" w:rsidR="00403B07" w:rsidRPr="0078024B" w:rsidRDefault="00403B07" w:rsidP="00B01272"/>
        </w:tc>
        <w:tc>
          <w:tcPr>
            <w:tcW w:w="703" w:type="dxa"/>
          </w:tcPr>
          <w:p w14:paraId="11A25D63" w14:textId="77777777" w:rsidR="00403B07" w:rsidRPr="0078024B" w:rsidRDefault="00403B07" w:rsidP="00B01272"/>
        </w:tc>
        <w:tc>
          <w:tcPr>
            <w:tcW w:w="733" w:type="dxa"/>
          </w:tcPr>
          <w:p w14:paraId="1CE555BD" w14:textId="77777777" w:rsidR="00403B07" w:rsidRPr="0078024B" w:rsidRDefault="00403B07" w:rsidP="00B01272"/>
        </w:tc>
      </w:tr>
      <w:tr w:rsidR="00403B07" w:rsidRPr="0078024B" w14:paraId="3FC42D78" w14:textId="77777777" w:rsidTr="00B01272">
        <w:tc>
          <w:tcPr>
            <w:tcW w:w="2192" w:type="dxa"/>
          </w:tcPr>
          <w:p w14:paraId="7F28E7C8" w14:textId="77777777" w:rsidR="00403B07" w:rsidRPr="0078024B" w:rsidRDefault="00403B07" w:rsidP="00B01272">
            <w:r w:rsidRPr="0078024B">
              <w:t>Engaged/participating children</w:t>
            </w:r>
          </w:p>
        </w:tc>
        <w:tc>
          <w:tcPr>
            <w:tcW w:w="701" w:type="dxa"/>
          </w:tcPr>
          <w:p w14:paraId="5F50E8BA" w14:textId="77777777" w:rsidR="00403B07" w:rsidRPr="0078024B" w:rsidRDefault="00403B07" w:rsidP="00B01272"/>
        </w:tc>
        <w:tc>
          <w:tcPr>
            <w:tcW w:w="701" w:type="dxa"/>
          </w:tcPr>
          <w:p w14:paraId="3DFD1830" w14:textId="77777777" w:rsidR="00403B07" w:rsidRPr="0078024B" w:rsidRDefault="00403B07" w:rsidP="00B01272"/>
        </w:tc>
        <w:tc>
          <w:tcPr>
            <w:tcW w:w="702" w:type="dxa"/>
          </w:tcPr>
          <w:p w14:paraId="3195C381" w14:textId="77777777" w:rsidR="00403B07" w:rsidRPr="0078024B" w:rsidRDefault="00403B07" w:rsidP="00B01272"/>
        </w:tc>
        <w:tc>
          <w:tcPr>
            <w:tcW w:w="702" w:type="dxa"/>
          </w:tcPr>
          <w:p w14:paraId="5979EC13" w14:textId="77777777" w:rsidR="00403B07" w:rsidRPr="0078024B" w:rsidRDefault="00403B07" w:rsidP="00B01272"/>
        </w:tc>
        <w:tc>
          <w:tcPr>
            <w:tcW w:w="702" w:type="dxa"/>
          </w:tcPr>
          <w:p w14:paraId="3562884B" w14:textId="77777777" w:rsidR="00403B07" w:rsidRPr="0078024B" w:rsidRDefault="00403B07" w:rsidP="00B01272"/>
        </w:tc>
        <w:tc>
          <w:tcPr>
            <w:tcW w:w="702" w:type="dxa"/>
          </w:tcPr>
          <w:p w14:paraId="20137499" w14:textId="77777777" w:rsidR="00403B07" w:rsidRPr="0078024B" w:rsidRDefault="00403B07" w:rsidP="00B01272"/>
        </w:tc>
        <w:tc>
          <w:tcPr>
            <w:tcW w:w="702" w:type="dxa"/>
          </w:tcPr>
          <w:p w14:paraId="256CD2C6" w14:textId="77777777" w:rsidR="00403B07" w:rsidRPr="0078024B" w:rsidRDefault="00403B07" w:rsidP="00B01272"/>
        </w:tc>
        <w:tc>
          <w:tcPr>
            <w:tcW w:w="702" w:type="dxa"/>
          </w:tcPr>
          <w:p w14:paraId="5ADEAA74" w14:textId="77777777" w:rsidR="00403B07" w:rsidRPr="0078024B" w:rsidRDefault="00403B07" w:rsidP="00B01272"/>
        </w:tc>
        <w:tc>
          <w:tcPr>
            <w:tcW w:w="703" w:type="dxa"/>
          </w:tcPr>
          <w:p w14:paraId="2B3E0AA5" w14:textId="77777777" w:rsidR="00403B07" w:rsidRPr="0078024B" w:rsidRDefault="00403B07" w:rsidP="00B01272"/>
        </w:tc>
        <w:tc>
          <w:tcPr>
            <w:tcW w:w="733" w:type="dxa"/>
          </w:tcPr>
          <w:p w14:paraId="062B2201" w14:textId="77777777" w:rsidR="00403B07" w:rsidRPr="0078024B" w:rsidRDefault="00403B07" w:rsidP="00B01272"/>
        </w:tc>
      </w:tr>
    </w:tbl>
    <w:p w14:paraId="64113BC5" w14:textId="77777777" w:rsidR="00403B07" w:rsidRPr="0078024B" w:rsidRDefault="00403B07" w:rsidP="00403B07">
      <w:pPr>
        <w:rPr>
          <w:rFonts w:eastAsiaTheme="minorHAnsi"/>
          <w:lang w:eastAsia="en-US"/>
        </w:rPr>
      </w:pPr>
      <w:r w:rsidRPr="0078024B">
        <w:rPr>
          <w:rFonts w:eastAsiaTheme="minorHAnsi"/>
          <w:lang w:eastAsia="en-US"/>
        </w:rPr>
        <w:t>General comments:</w:t>
      </w:r>
    </w:p>
    <w:p w14:paraId="042ED2FB" w14:textId="77777777" w:rsidR="00403B07" w:rsidRPr="0078024B" w:rsidRDefault="00403B07" w:rsidP="00403B07">
      <w:pPr>
        <w:rPr>
          <w:rFonts w:eastAsiaTheme="minorHAnsi"/>
          <w:lang w:eastAsia="en-US"/>
        </w:rPr>
      </w:pPr>
      <w:r w:rsidRPr="0078024B">
        <w:rPr>
          <w:rFonts w:eastAsiaTheme="minorHAnsi"/>
          <w:lang w:eastAsia="en-US"/>
        </w:rPr>
        <w:br w:type="page"/>
      </w:r>
    </w:p>
    <w:p w14:paraId="13609591" w14:textId="174A36D2" w:rsidR="00403B07" w:rsidRPr="00765E8F" w:rsidRDefault="00403B07" w:rsidP="00403B07">
      <w:pPr>
        <w:rPr>
          <w:rFonts w:cs="Arial"/>
          <w:b/>
          <w:i/>
          <w:sz w:val="24"/>
          <w:szCs w:val="24"/>
        </w:rPr>
      </w:pPr>
      <w:r w:rsidRPr="00765E8F">
        <w:rPr>
          <w:rFonts w:cs="Arial"/>
          <w:b/>
          <w:i/>
          <w:sz w:val="24"/>
          <w:szCs w:val="24"/>
        </w:rPr>
        <w:lastRenderedPageBreak/>
        <w:t>Appendix 1</w:t>
      </w:r>
      <w:r w:rsidR="00A60D1B">
        <w:rPr>
          <w:rFonts w:cs="Arial"/>
          <w:b/>
          <w:i/>
          <w:sz w:val="24"/>
          <w:szCs w:val="24"/>
        </w:rPr>
        <w:t>4</w:t>
      </w:r>
      <w:r w:rsidRPr="00765E8F">
        <w:rPr>
          <w:rFonts w:cs="Arial"/>
          <w:b/>
          <w:i/>
          <w:sz w:val="24"/>
          <w:szCs w:val="24"/>
        </w:rPr>
        <w:t xml:space="preserve"> Fidelity to Form example checklist (continued)</w:t>
      </w:r>
    </w:p>
    <w:p w14:paraId="7B569FDB" w14:textId="77777777" w:rsidR="00403B07" w:rsidRDefault="00403B07" w:rsidP="00403B07">
      <w:pPr>
        <w:rPr>
          <w:rFonts w:eastAsiaTheme="minorHAnsi"/>
          <w:b/>
          <w:lang w:eastAsia="en-US"/>
        </w:rPr>
      </w:pPr>
    </w:p>
    <w:p w14:paraId="453FA000" w14:textId="77777777" w:rsidR="00403B07" w:rsidRPr="0078024B" w:rsidRDefault="00403B07" w:rsidP="00403B07">
      <w:pPr>
        <w:rPr>
          <w:rFonts w:eastAsiaTheme="minorHAnsi"/>
          <w:b/>
          <w:lang w:eastAsia="en-US"/>
        </w:rPr>
      </w:pPr>
      <w:r w:rsidRPr="0078024B">
        <w:rPr>
          <w:rFonts w:eastAsiaTheme="minorHAnsi"/>
          <w:b/>
          <w:lang w:eastAsia="en-US"/>
        </w:rPr>
        <w:t>PHASE 3</w:t>
      </w:r>
    </w:p>
    <w:p w14:paraId="34E9FB30" w14:textId="77777777" w:rsidR="00403B07" w:rsidRPr="0078024B" w:rsidRDefault="00403B07" w:rsidP="00403B07">
      <w:pPr>
        <w:rPr>
          <w:rFonts w:eastAsiaTheme="minorHAnsi"/>
          <w:b/>
          <w:lang w:eastAsia="en-US"/>
        </w:rPr>
      </w:pPr>
      <w:r w:rsidRPr="0078024B">
        <w:rPr>
          <w:rFonts w:eastAsiaTheme="minorHAnsi"/>
          <w:b/>
          <w:lang w:eastAsia="en-US"/>
        </w:rPr>
        <w:t>Forum Theatre Fidelity Check</w:t>
      </w:r>
    </w:p>
    <w:p w14:paraId="0F563C74" w14:textId="77777777" w:rsidR="00403B07" w:rsidRPr="0078024B" w:rsidRDefault="00403B07" w:rsidP="00403B07">
      <w:pPr>
        <w:rPr>
          <w:rFonts w:eastAsiaTheme="minorHAnsi"/>
          <w:lang w:eastAsia="en-US"/>
        </w:rPr>
      </w:pPr>
      <w:r w:rsidRPr="0078024B">
        <w:rPr>
          <w:rFonts w:eastAsiaTheme="minorHAnsi"/>
          <w:lang w:eastAsia="en-US"/>
        </w:rPr>
        <w:t xml:space="preserve">NAME OF SCHOOL: </w:t>
      </w:r>
    </w:p>
    <w:p w14:paraId="7A59E3B6" w14:textId="77777777" w:rsidR="00403B07" w:rsidRPr="0078024B" w:rsidRDefault="00403B07" w:rsidP="00403B07">
      <w:pPr>
        <w:rPr>
          <w:rFonts w:eastAsiaTheme="minorHAnsi"/>
          <w:lang w:eastAsia="en-US"/>
        </w:rPr>
      </w:pPr>
      <w:r w:rsidRPr="0078024B">
        <w:rPr>
          <w:rFonts w:eastAsiaTheme="minorHAnsi"/>
          <w:lang w:eastAsia="en-US"/>
        </w:rPr>
        <w:t xml:space="preserve">NAME OF HC: </w:t>
      </w:r>
    </w:p>
    <w:p w14:paraId="6581B872" w14:textId="77777777" w:rsidR="00403B07" w:rsidRPr="0078024B" w:rsidRDefault="00403B07" w:rsidP="00403B07">
      <w:pPr>
        <w:rPr>
          <w:rFonts w:eastAsiaTheme="minorHAnsi"/>
          <w:lang w:eastAsia="en-US"/>
        </w:rPr>
      </w:pPr>
      <w:r w:rsidRPr="0078024B">
        <w:rPr>
          <w:rFonts w:eastAsiaTheme="minorHAnsi"/>
          <w:lang w:eastAsia="en-US"/>
        </w:rPr>
        <w:t xml:space="preserve">DATE: </w:t>
      </w:r>
    </w:p>
    <w:p w14:paraId="3C8DED04" w14:textId="77777777" w:rsidR="00403B07" w:rsidRPr="0078024B" w:rsidRDefault="00403B07" w:rsidP="00403B07">
      <w:pPr>
        <w:rPr>
          <w:rFonts w:eastAsiaTheme="minorHAnsi"/>
          <w:lang w:eastAsia="en-US"/>
        </w:rPr>
      </w:pPr>
      <w:r w:rsidRPr="0078024B">
        <w:rPr>
          <w:rFonts w:eastAsiaTheme="minorHAnsi"/>
          <w:lang w:eastAsia="en-US"/>
        </w:rPr>
        <w:t xml:space="preserve">Adherence to component content </w:t>
      </w:r>
    </w:p>
    <w:tbl>
      <w:tblPr>
        <w:tblStyle w:val="TableGrid4"/>
        <w:tblW w:w="9747" w:type="dxa"/>
        <w:tblLook w:val="04A0" w:firstRow="1" w:lastRow="0" w:firstColumn="1" w:lastColumn="0" w:noHBand="0" w:noVBand="1"/>
      </w:tblPr>
      <w:tblGrid>
        <w:gridCol w:w="3369"/>
        <w:gridCol w:w="1578"/>
        <w:gridCol w:w="4800"/>
      </w:tblGrid>
      <w:tr w:rsidR="00403B07" w:rsidRPr="0078024B" w14:paraId="488723BD" w14:textId="77777777" w:rsidTr="00B01272">
        <w:tc>
          <w:tcPr>
            <w:tcW w:w="3369" w:type="dxa"/>
          </w:tcPr>
          <w:p w14:paraId="2BCA991B" w14:textId="77777777" w:rsidR="00403B07" w:rsidRPr="0078024B" w:rsidRDefault="00403B07" w:rsidP="00B01272">
            <w:pPr>
              <w:rPr>
                <w:b/>
              </w:rPr>
            </w:pPr>
            <w:r w:rsidRPr="0078024B">
              <w:rPr>
                <w:b/>
              </w:rPr>
              <w:t>Activity – class teacher present</w:t>
            </w:r>
          </w:p>
        </w:tc>
        <w:tc>
          <w:tcPr>
            <w:tcW w:w="1578" w:type="dxa"/>
          </w:tcPr>
          <w:p w14:paraId="166074CE" w14:textId="77777777" w:rsidR="00403B07" w:rsidRPr="0078024B" w:rsidRDefault="00403B07" w:rsidP="00B01272">
            <w:pPr>
              <w:rPr>
                <w:b/>
              </w:rPr>
            </w:pPr>
            <w:r w:rsidRPr="0078024B">
              <w:rPr>
                <w:b/>
              </w:rPr>
              <w:t>Yes/Partial/No</w:t>
            </w:r>
          </w:p>
        </w:tc>
        <w:tc>
          <w:tcPr>
            <w:tcW w:w="4800" w:type="dxa"/>
          </w:tcPr>
          <w:p w14:paraId="0D6DCE11" w14:textId="77777777" w:rsidR="00403B07" w:rsidRPr="0078024B" w:rsidRDefault="00403B07" w:rsidP="00B01272">
            <w:pPr>
              <w:rPr>
                <w:b/>
              </w:rPr>
            </w:pPr>
            <w:r w:rsidRPr="0078024B">
              <w:rPr>
                <w:b/>
              </w:rPr>
              <w:t>Notes</w:t>
            </w:r>
          </w:p>
        </w:tc>
      </w:tr>
      <w:tr w:rsidR="00403B07" w:rsidRPr="0078024B" w14:paraId="3ED15669" w14:textId="77777777" w:rsidTr="00B01272">
        <w:tc>
          <w:tcPr>
            <w:tcW w:w="3369" w:type="dxa"/>
          </w:tcPr>
          <w:p w14:paraId="0372E108" w14:textId="77777777" w:rsidR="00403B07" w:rsidRPr="0078024B" w:rsidRDefault="00403B07" w:rsidP="00B01272">
            <w:r w:rsidRPr="0078024B">
              <w:t>Intro – set the scene</w:t>
            </w:r>
          </w:p>
        </w:tc>
        <w:tc>
          <w:tcPr>
            <w:tcW w:w="1578" w:type="dxa"/>
          </w:tcPr>
          <w:p w14:paraId="692F9B70" w14:textId="77777777" w:rsidR="00403B07" w:rsidRPr="0078024B" w:rsidRDefault="00403B07" w:rsidP="00B01272"/>
        </w:tc>
        <w:tc>
          <w:tcPr>
            <w:tcW w:w="4800" w:type="dxa"/>
          </w:tcPr>
          <w:p w14:paraId="626B05FB" w14:textId="77777777" w:rsidR="00403B07" w:rsidRPr="0078024B" w:rsidRDefault="00403B07" w:rsidP="00B01272"/>
        </w:tc>
      </w:tr>
      <w:tr w:rsidR="00403B07" w:rsidRPr="0078024B" w14:paraId="298EEC51" w14:textId="77777777" w:rsidTr="00B01272">
        <w:tc>
          <w:tcPr>
            <w:tcW w:w="3369" w:type="dxa"/>
          </w:tcPr>
          <w:p w14:paraId="7FECC704" w14:textId="77777777" w:rsidR="00403B07" w:rsidRPr="0078024B" w:rsidRDefault="00403B07" w:rsidP="00B01272">
            <w:r w:rsidRPr="0078024B">
              <w:t>The 80/20 rap</w:t>
            </w:r>
          </w:p>
        </w:tc>
        <w:tc>
          <w:tcPr>
            <w:tcW w:w="1578" w:type="dxa"/>
          </w:tcPr>
          <w:p w14:paraId="399BF298" w14:textId="77777777" w:rsidR="00403B07" w:rsidRPr="0078024B" w:rsidRDefault="00403B07" w:rsidP="00B01272"/>
        </w:tc>
        <w:tc>
          <w:tcPr>
            <w:tcW w:w="4800" w:type="dxa"/>
          </w:tcPr>
          <w:p w14:paraId="2EB67ABA" w14:textId="77777777" w:rsidR="00403B07" w:rsidRPr="0078024B" w:rsidRDefault="00403B07" w:rsidP="00B01272"/>
        </w:tc>
      </w:tr>
      <w:tr w:rsidR="00403B07" w:rsidRPr="0078024B" w14:paraId="569C7C07" w14:textId="77777777" w:rsidTr="00B01272">
        <w:tc>
          <w:tcPr>
            <w:tcW w:w="3369" w:type="dxa"/>
          </w:tcPr>
          <w:p w14:paraId="6B0CA27C" w14:textId="77777777" w:rsidR="00403B07" w:rsidRPr="0078024B" w:rsidRDefault="00403B07" w:rsidP="00B01272">
            <w:r w:rsidRPr="0078024B">
              <w:t>Food machines</w:t>
            </w:r>
          </w:p>
        </w:tc>
        <w:tc>
          <w:tcPr>
            <w:tcW w:w="1578" w:type="dxa"/>
          </w:tcPr>
          <w:p w14:paraId="5EC25EB0" w14:textId="77777777" w:rsidR="00403B07" w:rsidRPr="0078024B" w:rsidRDefault="00403B07" w:rsidP="00B01272"/>
        </w:tc>
        <w:tc>
          <w:tcPr>
            <w:tcW w:w="4800" w:type="dxa"/>
          </w:tcPr>
          <w:p w14:paraId="61B778A7" w14:textId="77777777" w:rsidR="00403B07" w:rsidRPr="0078024B" w:rsidRDefault="00403B07" w:rsidP="00B01272"/>
        </w:tc>
      </w:tr>
      <w:tr w:rsidR="00403B07" w:rsidRPr="0078024B" w14:paraId="0356892D" w14:textId="77777777" w:rsidTr="00B01272">
        <w:tc>
          <w:tcPr>
            <w:tcW w:w="3369" w:type="dxa"/>
          </w:tcPr>
          <w:p w14:paraId="4C4EFED2" w14:textId="77777777" w:rsidR="00403B07" w:rsidRPr="0078024B" w:rsidRDefault="00403B07" w:rsidP="00B01272">
            <w:r w:rsidRPr="0078024B">
              <w:t>Supermarket scenes</w:t>
            </w:r>
          </w:p>
        </w:tc>
        <w:tc>
          <w:tcPr>
            <w:tcW w:w="1578" w:type="dxa"/>
          </w:tcPr>
          <w:p w14:paraId="0D9295CF" w14:textId="77777777" w:rsidR="00403B07" w:rsidRPr="0078024B" w:rsidRDefault="00403B07" w:rsidP="00B01272"/>
        </w:tc>
        <w:tc>
          <w:tcPr>
            <w:tcW w:w="4800" w:type="dxa"/>
          </w:tcPr>
          <w:p w14:paraId="4B89DFAB" w14:textId="77777777" w:rsidR="00403B07" w:rsidRPr="0078024B" w:rsidRDefault="00403B07" w:rsidP="00B01272"/>
        </w:tc>
      </w:tr>
      <w:tr w:rsidR="00403B07" w:rsidRPr="0078024B" w14:paraId="08606EAF" w14:textId="77777777" w:rsidTr="00B01272">
        <w:tc>
          <w:tcPr>
            <w:tcW w:w="3369" w:type="dxa"/>
          </w:tcPr>
          <w:p w14:paraId="29D945F6" w14:textId="77777777" w:rsidR="00403B07" w:rsidRPr="0078024B" w:rsidRDefault="00403B07" w:rsidP="00B01272">
            <w:r w:rsidRPr="0078024B">
              <w:t>Forum theatre</w:t>
            </w:r>
          </w:p>
        </w:tc>
        <w:tc>
          <w:tcPr>
            <w:tcW w:w="1578" w:type="dxa"/>
          </w:tcPr>
          <w:p w14:paraId="0F5DB434" w14:textId="77777777" w:rsidR="00403B07" w:rsidRPr="0078024B" w:rsidRDefault="00403B07" w:rsidP="00B01272"/>
        </w:tc>
        <w:tc>
          <w:tcPr>
            <w:tcW w:w="4800" w:type="dxa"/>
          </w:tcPr>
          <w:p w14:paraId="18D6ED75" w14:textId="77777777" w:rsidR="00403B07" w:rsidRPr="0078024B" w:rsidRDefault="00403B07" w:rsidP="00B01272"/>
        </w:tc>
      </w:tr>
    </w:tbl>
    <w:p w14:paraId="7682E67E" w14:textId="77777777" w:rsidR="00403B07" w:rsidRPr="0078024B" w:rsidRDefault="00403B07" w:rsidP="00403B07">
      <w:pPr>
        <w:rPr>
          <w:rFonts w:eastAsiaTheme="minorHAnsi"/>
          <w:lang w:eastAsia="en-US"/>
        </w:rPr>
      </w:pPr>
    </w:p>
    <w:p w14:paraId="16D17573" w14:textId="77777777" w:rsidR="00403B07" w:rsidRPr="0078024B" w:rsidRDefault="00403B07" w:rsidP="00403B07">
      <w:pPr>
        <w:rPr>
          <w:rFonts w:eastAsiaTheme="minorHAnsi"/>
          <w:lang w:eastAsia="en-US"/>
        </w:rPr>
      </w:pPr>
      <w:r w:rsidRPr="0078024B">
        <w:rPr>
          <w:rFonts w:eastAsiaTheme="minorHAnsi"/>
          <w:lang w:eastAsia="en-US"/>
        </w:rPr>
        <w:t>General comments</w:t>
      </w:r>
    </w:p>
    <w:p w14:paraId="7C93720C" w14:textId="77777777" w:rsidR="00403B07" w:rsidRPr="0078024B" w:rsidRDefault="00403B07" w:rsidP="00403B07">
      <w:pPr>
        <w:rPr>
          <w:rFonts w:eastAsiaTheme="minorHAnsi"/>
          <w:lang w:eastAsia="en-US"/>
        </w:rPr>
      </w:pPr>
      <w:r w:rsidRPr="0078024B">
        <w:rPr>
          <w:rFonts w:eastAsiaTheme="minorHAnsi"/>
          <w:lang w:eastAsia="en-US"/>
        </w:rPr>
        <w:br w:type="page"/>
      </w:r>
    </w:p>
    <w:p w14:paraId="3F8B3C2F" w14:textId="1525CB58" w:rsidR="00403B07" w:rsidRPr="00765E8F" w:rsidRDefault="00403B07" w:rsidP="00403B07">
      <w:pPr>
        <w:rPr>
          <w:rFonts w:cs="Arial"/>
          <w:b/>
          <w:i/>
          <w:sz w:val="24"/>
          <w:szCs w:val="24"/>
        </w:rPr>
      </w:pPr>
      <w:r w:rsidRPr="00765E8F">
        <w:rPr>
          <w:rFonts w:cs="Arial"/>
          <w:b/>
          <w:i/>
          <w:sz w:val="24"/>
          <w:szCs w:val="24"/>
        </w:rPr>
        <w:lastRenderedPageBreak/>
        <w:t>Appendix 1</w:t>
      </w:r>
      <w:r w:rsidR="00A60D1B">
        <w:rPr>
          <w:rFonts w:cs="Arial"/>
          <w:b/>
          <w:i/>
          <w:sz w:val="24"/>
          <w:szCs w:val="24"/>
        </w:rPr>
        <w:t>4</w:t>
      </w:r>
      <w:r w:rsidRPr="00765E8F">
        <w:rPr>
          <w:rFonts w:cs="Arial"/>
          <w:b/>
          <w:i/>
          <w:sz w:val="24"/>
          <w:szCs w:val="24"/>
        </w:rPr>
        <w:t xml:space="preserve"> Fidelity to Form example checklist (continued)</w:t>
      </w:r>
    </w:p>
    <w:p w14:paraId="5B909A6F" w14:textId="77777777" w:rsidR="00403B07" w:rsidRDefault="00403B07" w:rsidP="00403B07">
      <w:pPr>
        <w:rPr>
          <w:rFonts w:eastAsiaTheme="minorHAnsi"/>
          <w:b/>
          <w:lang w:eastAsia="en-US"/>
        </w:rPr>
      </w:pPr>
    </w:p>
    <w:p w14:paraId="5581797A" w14:textId="77777777" w:rsidR="00403B07" w:rsidRPr="0078024B" w:rsidRDefault="00403B07" w:rsidP="00403B07">
      <w:pPr>
        <w:rPr>
          <w:rFonts w:eastAsiaTheme="minorHAnsi"/>
          <w:b/>
          <w:lang w:eastAsia="en-US"/>
        </w:rPr>
      </w:pPr>
      <w:r w:rsidRPr="0078024B">
        <w:rPr>
          <w:rFonts w:eastAsiaTheme="minorHAnsi"/>
          <w:b/>
          <w:lang w:eastAsia="en-US"/>
        </w:rPr>
        <w:t>PHASE 4</w:t>
      </w:r>
    </w:p>
    <w:p w14:paraId="631E1F66" w14:textId="77777777" w:rsidR="00403B07" w:rsidRPr="0078024B" w:rsidRDefault="00403B07" w:rsidP="00403B07">
      <w:pPr>
        <w:rPr>
          <w:rFonts w:eastAsiaTheme="minorHAnsi"/>
          <w:b/>
          <w:lang w:eastAsia="en-US"/>
        </w:rPr>
      </w:pPr>
      <w:r w:rsidRPr="0078024B">
        <w:rPr>
          <w:rFonts w:eastAsiaTheme="minorHAnsi"/>
          <w:b/>
          <w:lang w:eastAsia="en-US"/>
        </w:rPr>
        <w:t>Drama Workshop Fidelity Check</w:t>
      </w:r>
    </w:p>
    <w:p w14:paraId="15A78358" w14:textId="77777777" w:rsidR="00403B07" w:rsidRPr="0078024B" w:rsidRDefault="00403B07" w:rsidP="00403B07">
      <w:pPr>
        <w:rPr>
          <w:rFonts w:eastAsiaTheme="minorHAnsi"/>
          <w:lang w:eastAsia="en-US"/>
        </w:rPr>
      </w:pPr>
      <w:r w:rsidRPr="0078024B">
        <w:rPr>
          <w:rFonts w:eastAsiaTheme="minorHAnsi"/>
          <w:lang w:eastAsia="en-US"/>
        </w:rPr>
        <w:t xml:space="preserve">NAME OF SCHOOL: </w:t>
      </w:r>
    </w:p>
    <w:p w14:paraId="5666810A" w14:textId="77777777" w:rsidR="00403B07" w:rsidRPr="0078024B" w:rsidRDefault="00403B07" w:rsidP="00403B07">
      <w:pPr>
        <w:rPr>
          <w:rFonts w:eastAsiaTheme="minorHAnsi"/>
          <w:lang w:eastAsia="en-US"/>
        </w:rPr>
      </w:pPr>
      <w:r w:rsidRPr="0078024B">
        <w:rPr>
          <w:rFonts w:eastAsiaTheme="minorHAnsi"/>
          <w:lang w:eastAsia="en-US"/>
        </w:rPr>
        <w:t>NAME OF HC:</w:t>
      </w:r>
    </w:p>
    <w:p w14:paraId="35712DB5" w14:textId="77777777" w:rsidR="00403B07" w:rsidRPr="0078024B" w:rsidRDefault="00403B07" w:rsidP="00403B07">
      <w:pPr>
        <w:rPr>
          <w:rFonts w:eastAsiaTheme="minorHAnsi"/>
          <w:lang w:eastAsia="en-US"/>
        </w:rPr>
      </w:pPr>
      <w:r w:rsidRPr="0078024B">
        <w:rPr>
          <w:rFonts w:eastAsiaTheme="minorHAnsi"/>
          <w:lang w:eastAsia="en-US"/>
        </w:rPr>
        <w:t xml:space="preserve">DATE: </w:t>
      </w:r>
    </w:p>
    <w:p w14:paraId="51F340C2" w14:textId="77777777" w:rsidR="00403B07" w:rsidRPr="0078024B" w:rsidRDefault="00403B07" w:rsidP="00403B07">
      <w:pPr>
        <w:rPr>
          <w:rFonts w:eastAsiaTheme="minorHAnsi"/>
          <w:lang w:eastAsia="en-US"/>
        </w:rPr>
      </w:pPr>
      <w:r w:rsidRPr="0078024B">
        <w:rPr>
          <w:rFonts w:eastAsiaTheme="minorHAnsi"/>
          <w:lang w:eastAsia="en-US"/>
        </w:rPr>
        <w:t xml:space="preserve">Adherence to component content </w:t>
      </w:r>
    </w:p>
    <w:tbl>
      <w:tblPr>
        <w:tblStyle w:val="TableGrid4"/>
        <w:tblW w:w="9322" w:type="dxa"/>
        <w:tblLook w:val="04A0" w:firstRow="1" w:lastRow="0" w:firstColumn="1" w:lastColumn="0" w:noHBand="0" w:noVBand="1"/>
      </w:tblPr>
      <w:tblGrid>
        <w:gridCol w:w="3794"/>
        <w:gridCol w:w="1578"/>
        <w:gridCol w:w="3950"/>
      </w:tblGrid>
      <w:tr w:rsidR="00403B07" w:rsidRPr="0078024B" w14:paraId="23B08AD8" w14:textId="77777777" w:rsidTr="00B01272">
        <w:tc>
          <w:tcPr>
            <w:tcW w:w="3794" w:type="dxa"/>
          </w:tcPr>
          <w:p w14:paraId="7C0841AB" w14:textId="77777777" w:rsidR="00403B07" w:rsidRPr="0078024B" w:rsidRDefault="00403B07" w:rsidP="00B01272">
            <w:pPr>
              <w:rPr>
                <w:b/>
              </w:rPr>
            </w:pPr>
            <w:r w:rsidRPr="0078024B">
              <w:rPr>
                <w:b/>
              </w:rPr>
              <w:t>Activity – class teacher present</w:t>
            </w:r>
          </w:p>
        </w:tc>
        <w:tc>
          <w:tcPr>
            <w:tcW w:w="1578" w:type="dxa"/>
          </w:tcPr>
          <w:p w14:paraId="63CC2C3D" w14:textId="77777777" w:rsidR="00403B07" w:rsidRPr="0078024B" w:rsidRDefault="00403B07" w:rsidP="00B01272">
            <w:pPr>
              <w:rPr>
                <w:b/>
              </w:rPr>
            </w:pPr>
            <w:r w:rsidRPr="0078024B">
              <w:rPr>
                <w:b/>
              </w:rPr>
              <w:t>Yes/Partial/No</w:t>
            </w:r>
          </w:p>
        </w:tc>
        <w:tc>
          <w:tcPr>
            <w:tcW w:w="3950" w:type="dxa"/>
          </w:tcPr>
          <w:p w14:paraId="2ACA0863" w14:textId="77777777" w:rsidR="00403B07" w:rsidRPr="0078024B" w:rsidRDefault="00403B07" w:rsidP="00B01272">
            <w:pPr>
              <w:rPr>
                <w:b/>
              </w:rPr>
            </w:pPr>
            <w:r w:rsidRPr="0078024B">
              <w:rPr>
                <w:b/>
              </w:rPr>
              <w:t>Notes</w:t>
            </w:r>
          </w:p>
        </w:tc>
      </w:tr>
      <w:tr w:rsidR="00403B07" w:rsidRPr="0078024B" w14:paraId="06A2951F" w14:textId="77777777" w:rsidTr="00B01272">
        <w:tc>
          <w:tcPr>
            <w:tcW w:w="3794" w:type="dxa"/>
          </w:tcPr>
          <w:p w14:paraId="46CB41E2" w14:textId="77777777" w:rsidR="00403B07" w:rsidRPr="0078024B" w:rsidRDefault="00403B07" w:rsidP="00B01272">
            <w:r w:rsidRPr="0078024B">
              <w:t>80:20 Rap with actions</w:t>
            </w:r>
          </w:p>
        </w:tc>
        <w:tc>
          <w:tcPr>
            <w:tcW w:w="1578" w:type="dxa"/>
          </w:tcPr>
          <w:p w14:paraId="7EAB4487" w14:textId="77777777" w:rsidR="00403B07" w:rsidRPr="0078024B" w:rsidRDefault="00403B07" w:rsidP="00B01272"/>
        </w:tc>
        <w:tc>
          <w:tcPr>
            <w:tcW w:w="3950" w:type="dxa"/>
          </w:tcPr>
          <w:p w14:paraId="0B70EF8C" w14:textId="77777777" w:rsidR="00403B07" w:rsidRPr="0078024B" w:rsidRDefault="00403B07" w:rsidP="00B01272"/>
        </w:tc>
      </w:tr>
      <w:tr w:rsidR="00403B07" w:rsidRPr="0078024B" w14:paraId="28A79953" w14:textId="77777777" w:rsidTr="00B01272">
        <w:tc>
          <w:tcPr>
            <w:tcW w:w="3794" w:type="dxa"/>
          </w:tcPr>
          <w:p w14:paraId="263F6FC6" w14:textId="77777777" w:rsidR="00403B07" w:rsidRPr="0078024B" w:rsidRDefault="00403B07" w:rsidP="00B01272">
            <w:r w:rsidRPr="0078024B">
              <w:t>How AA and DD have changed</w:t>
            </w:r>
          </w:p>
        </w:tc>
        <w:tc>
          <w:tcPr>
            <w:tcW w:w="1578" w:type="dxa"/>
          </w:tcPr>
          <w:p w14:paraId="6AAFCA88" w14:textId="77777777" w:rsidR="00403B07" w:rsidRPr="0078024B" w:rsidRDefault="00403B07" w:rsidP="00B01272"/>
        </w:tc>
        <w:tc>
          <w:tcPr>
            <w:tcW w:w="3950" w:type="dxa"/>
          </w:tcPr>
          <w:p w14:paraId="74F9A7CF" w14:textId="77777777" w:rsidR="00403B07" w:rsidRPr="0078024B" w:rsidRDefault="00403B07" w:rsidP="00B01272"/>
        </w:tc>
      </w:tr>
      <w:tr w:rsidR="00403B07" w:rsidRPr="0078024B" w14:paraId="3B5DF658" w14:textId="77777777" w:rsidTr="00B01272">
        <w:tc>
          <w:tcPr>
            <w:tcW w:w="3794" w:type="dxa"/>
          </w:tcPr>
          <w:p w14:paraId="40B1D8FF" w14:textId="77777777" w:rsidR="00403B07" w:rsidRPr="0078024B" w:rsidRDefault="00403B07" w:rsidP="00B01272">
            <w:r w:rsidRPr="0078024B">
              <w:t>Food machines</w:t>
            </w:r>
          </w:p>
        </w:tc>
        <w:tc>
          <w:tcPr>
            <w:tcW w:w="1578" w:type="dxa"/>
          </w:tcPr>
          <w:p w14:paraId="01DE924C" w14:textId="77777777" w:rsidR="00403B07" w:rsidRPr="0078024B" w:rsidRDefault="00403B07" w:rsidP="00B01272"/>
        </w:tc>
        <w:tc>
          <w:tcPr>
            <w:tcW w:w="3950" w:type="dxa"/>
          </w:tcPr>
          <w:p w14:paraId="529F110D" w14:textId="77777777" w:rsidR="00403B07" w:rsidRPr="0078024B" w:rsidRDefault="00403B07" w:rsidP="00B01272"/>
        </w:tc>
      </w:tr>
    </w:tbl>
    <w:p w14:paraId="1EC0578D" w14:textId="77777777" w:rsidR="00403B07" w:rsidRPr="0078024B" w:rsidRDefault="00403B07" w:rsidP="00403B07">
      <w:pPr>
        <w:rPr>
          <w:rFonts w:eastAsiaTheme="minorHAnsi"/>
          <w:lang w:eastAsia="en-US"/>
        </w:rPr>
      </w:pPr>
    </w:p>
    <w:tbl>
      <w:tblPr>
        <w:tblStyle w:val="TableGrid4"/>
        <w:tblW w:w="0" w:type="auto"/>
        <w:tblLook w:val="04A0" w:firstRow="1" w:lastRow="0" w:firstColumn="1" w:lastColumn="0" w:noHBand="0" w:noVBand="1"/>
      </w:tblPr>
      <w:tblGrid>
        <w:gridCol w:w="2192"/>
        <w:gridCol w:w="701"/>
        <w:gridCol w:w="701"/>
        <w:gridCol w:w="702"/>
        <w:gridCol w:w="702"/>
        <w:gridCol w:w="702"/>
        <w:gridCol w:w="702"/>
        <w:gridCol w:w="702"/>
        <w:gridCol w:w="702"/>
        <w:gridCol w:w="703"/>
        <w:gridCol w:w="733"/>
      </w:tblGrid>
      <w:tr w:rsidR="00403B07" w:rsidRPr="0078024B" w14:paraId="4BB8EB94" w14:textId="77777777" w:rsidTr="00B01272">
        <w:tc>
          <w:tcPr>
            <w:tcW w:w="2192" w:type="dxa"/>
          </w:tcPr>
          <w:p w14:paraId="53EB7DEF" w14:textId="77777777" w:rsidR="00403B07" w:rsidRPr="0078024B" w:rsidRDefault="00403B07" w:rsidP="00B01272"/>
        </w:tc>
        <w:tc>
          <w:tcPr>
            <w:tcW w:w="701" w:type="dxa"/>
          </w:tcPr>
          <w:p w14:paraId="0C4B1F21" w14:textId="77777777" w:rsidR="00403B07" w:rsidRPr="0078024B" w:rsidRDefault="00403B07" w:rsidP="00B01272">
            <w:pPr>
              <w:rPr>
                <w:b/>
              </w:rPr>
            </w:pPr>
            <w:r w:rsidRPr="0078024B">
              <w:rPr>
                <w:b/>
              </w:rPr>
              <w:t>1</w:t>
            </w:r>
          </w:p>
        </w:tc>
        <w:tc>
          <w:tcPr>
            <w:tcW w:w="701" w:type="dxa"/>
          </w:tcPr>
          <w:p w14:paraId="38F5FEA5" w14:textId="77777777" w:rsidR="00403B07" w:rsidRPr="0078024B" w:rsidRDefault="00403B07" w:rsidP="00B01272">
            <w:pPr>
              <w:rPr>
                <w:b/>
              </w:rPr>
            </w:pPr>
            <w:r w:rsidRPr="0078024B">
              <w:rPr>
                <w:b/>
              </w:rPr>
              <w:t>2</w:t>
            </w:r>
          </w:p>
        </w:tc>
        <w:tc>
          <w:tcPr>
            <w:tcW w:w="702" w:type="dxa"/>
          </w:tcPr>
          <w:p w14:paraId="5036C89F" w14:textId="77777777" w:rsidR="00403B07" w:rsidRPr="0078024B" w:rsidRDefault="00403B07" w:rsidP="00B01272">
            <w:pPr>
              <w:rPr>
                <w:b/>
              </w:rPr>
            </w:pPr>
            <w:r w:rsidRPr="0078024B">
              <w:rPr>
                <w:b/>
              </w:rPr>
              <w:t>3</w:t>
            </w:r>
          </w:p>
        </w:tc>
        <w:tc>
          <w:tcPr>
            <w:tcW w:w="702" w:type="dxa"/>
          </w:tcPr>
          <w:p w14:paraId="60BB5CF1" w14:textId="77777777" w:rsidR="00403B07" w:rsidRPr="0078024B" w:rsidRDefault="00403B07" w:rsidP="00B01272">
            <w:pPr>
              <w:rPr>
                <w:b/>
              </w:rPr>
            </w:pPr>
            <w:r w:rsidRPr="0078024B">
              <w:rPr>
                <w:b/>
              </w:rPr>
              <w:t>4</w:t>
            </w:r>
          </w:p>
        </w:tc>
        <w:tc>
          <w:tcPr>
            <w:tcW w:w="702" w:type="dxa"/>
          </w:tcPr>
          <w:p w14:paraId="0EE979F2" w14:textId="77777777" w:rsidR="00403B07" w:rsidRPr="0078024B" w:rsidRDefault="00403B07" w:rsidP="00B01272">
            <w:pPr>
              <w:rPr>
                <w:b/>
              </w:rPr>
            </w:pPr>
            <w:r w:rsidRPr="0078024B">
              <w:rPr>
                <w:b/>
              </w:rPr>
              <w:t>5</w:t>
            </w:r>
          </w:p>
        </w:tc>
        <w:tc>
          <w:tcPr>
            <w:tcW w:w="702" w:type="dxa"/>
          </w:tcPr>
          <w:p w14:paraId="2DF7FE13" w14:textId="77777777" w:rsidR="00403B07" w:rsidRPr="0078024B" w:rsidRDefault="00403B07" w:rsidP="00B01272">
            <w:pPr>
              <w:rPr>
                <w:b/>
              </w:rPr>
            </w:pPr>
            <w:r w:rsidRPr="0078024B">
              <w:rPr>
                <w:b/>
              </w:rPr>
              <w:t>6</w:t>
            </w:r>
          </w:p>
        </w:tc>
        <w:tc>
          <w:tcPr>
            <w:tcW w:w="702" w:type="dxa"/>
          </w:tcPr>
          <w:p w14:paraId="1DDAEB7B" w14:textId="77777777" w:rsidR="00403B07" w:rsidRPr="0078024B" w:rsidRDefault="00403B07" w:rsidP="00B01272">
            <w:pPr>
              <w:rPr>
                <w:b/>
              </w:rPr>
            </w:pPr>
            <w:r w:rsidRPr="0078024B">
              <w:rPr>
                <w:b/>
              </w:rPr>
              <w:t>7</w:t>
            </w:r>
          </w:p>
        </w:tc>
        <w:tc>
          <w:tcPr>
            <w:tcW w:w="702" w:type="dxa"/>
          </w:tcPr>
          <w:p w14:paraId="72889995" w14:textId="77777777" w:rsidR="00403B07" w:rsidRPr="0078024B" w:rsidRDefault="00403B07" w:rsidP="00B01272">
            <w:pPr>
              <w:rPr>
                <w:b/>
              </w:rPr>
            </w:pPr>
            <w:r w:rsidRPr="0078024B">
              <w:rPr>
                <w:b/>
              </w:rPr>
              <w:t>8</w:t>
            </w:r>
          </w:p>
        </w:tc>
        <w:tc>
          <w:tcPr>
            <w:tcW w:w="703" w:type="dxa"/>
          </w:tcPr>
          <w:p w14:paraId="7D78E967" w14:textId="77777777" w:rsidR="00403B07" w:rsidRPr="0078024B" w:rsidRDefault="00403B07" w:rsidP="00B01272">
            <w:pPr>
              <w:rPr>
                <w:b/>
              </w:rPr>
            </w:pPr>
            <w:r w:rsidRPr="0078024B">
              <w:rPr>
                <w:b/>
              </w:rPr>
              <w:t>9</w:t>
            </w:r>
          </w:p>
        </w:tc>
        <w:tc>
          <w:tcPr>
            <w:tcW w:w="733" w:type="dxa"/>
          </w:tcPr>
          <w:p w14:paraId="229F136C" w14:textId="77777777" w:rsidR="00403B07" w:rsidRPr="0078024B" w:rsidRDefault="00403B07" w:rsidP="00B01272">
            <w:pPr>
              <w:rPr>
                <w:b/>
              </w:rPr>
            </w:pPr>
            <w:r w:rsidRPr="0078024B">
              <w:rPr>
                <w:b/>
              </w:rPr>
              <w:t>10</w:t>
            </w:r>
          </w:p>
        </w:tc>
      </w:tr>
      <w:tr w:rsidR="00403B07" w:rsidRPr="0078024B" w14:paraId="5A681DAB" w14:textId="77777777" w:rsidTr="00B01272">
        <w:tc>
          <w:tcPr>
            <w:tcW w:w="2192" w:type="dxa"/>
          </w:tcPr>
          <w:p w14:paraId="10326256" w14:textId="77777777" w:rsidR="00403B07" w:rsidRPr="0078024B" w:rsidRDefault="00403B07" w:rsidP="00B01272">
            <w:r w:rsidRPr="0078024B">
              <w:t>Enthusiastic delivery</w:t>
            </w:r>
          </w:p>
        </w:tc>
        <w:tc>
          <w:tcPr>
            <w:tcW w:w="701" w:type="dxa"/>
          </w:tcPr>
          <w:p w14:paraId="77F34159" w14:textId="77777777" w:rsidR="00403B07" w:rsidRPr="0078024B" w:rsidRDefault="00403B07" w:rsidP="00B01272"/>
        </w:tc>
        <w:tc>
          <w:tcPr>
            <w:tcW w:w="701" w:type="dxa"/>
          </w:tcPr>
          <w:p w14:paraId="4A1EF7CE" w14:textId="77777777" w:rsidR="00403B07" w:rsidRPr="0078024B" w:rsidRDefault="00403B07" w:rsidP="00B01272"/>
        </w:tc>
        <w:tc>
          <w:tcPr>
            <w:tcW w:w="702" w:type="dxa"/>
          </w:tcPr>
          <w:p w14:paraId="21157912" w14:textId="77777777" w:rsidR="00403B07" w:rsidRPr="0078024B" w:rsidRDefault="00403B07" w:rsidP="00B01272"/>
        </w:tc>
        <w:tc>
          <w:tcPr>
            <w:tcW w:w="702" w:type="dxa"/>
          </w:tcPr>
          <w:p w14:paraId="4FD27C35" w14:textId="77777777" w:rsidR="00403B07" w:rsidRPr="0078024B" w:rsidRDefault="00403B07" w:rsidP="00B01272"/>
        </w:tc>
        <w:tc>
          <w:tcPr>
            <w:tcW w:w="702" w:type="dxa"/>
          </w:tcPr>
          <w:p w14:paraId="58F3E0D5" w14:textId="77777777" w:rsidR="00403B07" w:rsidRPr="0078024B" w:rsidRDefault="00403B07" w:rsidP="00B01272"/>
        </w:tc>
        <w:tc>
          <w:tcPr>
            <w:tcW w:w="702" w:type="dxa"/>
          </w:tcPr>
          <w:p w14:paraId="1F053495" w14:textId="77777777" w:rsidR="00403B07" w:rsidRPr="0078024B" w:rsidRDefault="00403B07" w:rsidP="00B01272"/>
        </w:tc>
        <w:tc>
          <w:tcPr>
            <w:tcW w:w="702" w:type="dxa"/>
          </w:tcPr>
          <w:p w14:paraId="25BEEC81" w14:textId="77777777" w:rsidR="00403B07" w:rsidRPr="0078024B" w:rsidRDefault="00403B07" w:rsidP="00B01272"/>
        </w:tc>
        <w:tc>
          <w:tcPr>
            <w:tcW w:w="702" w:type="dxa"/>
          </w:tcPr>
          <w:p w14:paraId="2883E96E" w14:textId="77777777" w:rsidR="00403B07" w:rsidRPr="0078024B" w:rsidRDefault="00403B07" w:rsidP="00B01272"/>
        </w:tc>
        <w:tc>
          <w:tcPr>
            <w:tcW w:w="703" w:type="dxa"/>
          </w:tcPr>
          <w:p w14:paraId="679EEF42" w14:textId="77777777" w:rsidR="00403B07" w:rsidRPr="0078024B" w:rsidRDefault="00403B07" w:rsidP="00B01272"/>
        </w:tc>
        <w:tc>
          <w:tcPr>
            <w:tcW w:w="733" w:type="dxa"/>
          </w:tcPr>
          <w:p w14:paraId="574DB00F" w14:textId="77777777" w:rsidR="00403B07" w:rsidRPr="0078024B" w:rsidRDefault="00403B07" w:rsidP="00B01272"/>
        </w:tc>
      </w:tr>
      <w:tr w:rsidR="00403B07" w:rsidRPr="0078024B" w14:paraId="5864C4BB" w14:textId="77777777" w:rsidTr="00B01272">
        <w:tc>
          <w:tcPr>
            <w:tcW w:w="2192" w:type="dxa"/>
          </w:tcPr>
          <w:p w14:paraId="67470A60" w14:textId="77777777" w:rsidR="00403B07" w:rsidRPr="0078024B" w:rsidRDefault="00403B07" w:rsidP="00B01272">
            <w:r w:rsidRPr="0078024B">
              <w:t>Engaged/participating children</w:t>
            </w:r>
          </w:p>
        </w:tc>
        <w:tc>
          <w:tcPr>
            <w:tcW w:w="701" w:type="dxa"/>
          </w:tcPr>
          <w:p w14:paraId="2B65FC3D" w14:textId="77777777" w:rsidR="00403B07" w:rsidRPr="0078024B" w:rsidRDefault="00403B07" w:rsidP="00B01272"/>
        </w:tc>
        <w:tc>
          <w:tcPr>
            <w:tcW w:w="701" w:type="dxa"/>
          </w:tcPr>
          <w:p w14:paraId="028A7134" w14:textId="77777777" w:rsidR="00403B07" w:rsidRPr="0078024B" w:rsidRDefault="00403B07" w:rsidP="00B01272"/>
        </w:tc>
        <w:tc>
          <w:tcPr>
            <w:tcW w:w="702" w:type="dxa"/>
          </w:tcPr>
          <w:p w14:paraId="14257E7B" w14:textId="77777777" w:rsidR="00403B07" w:rsidRPr="0078024B" w:rsidRDefault="00403B07" w:rsidP="00B01272"/>
        </w:tc>
        <w:tc>
          <w:tcPr>
            <w:tcW w:w="702" w:type="dxa"/>
          </w:tcPr>
          <w:p w14:paraId="7D71FD10" w14:textId="77777777" w:rsidR="00403B07" w:rsidRPr="0078024B" w:rsidRDefault="00403B07" w:rsidP="00B01272"/>
        </w:tc>
        <w:tc>
          <w:tcPr>
            <w:tcW w:w="702" w:type="dxa"/>
          </w:tcPr>
          <w:p w14:paraId="1906517D" w14:textId="77777777" w:rsidR="00403B07" w:rsidRPr="0078024B" w:rsidRDefault="00403B07" w:rsidP="00B01272"/>
        </w:tc>
        <w:tc>
          <w:tcPr>
            <w:tcW w:w="702" w:type="dxa"/>
          </w:tcPr>
          <w:p w14:paraId="2270F9DC" w14:textId="77777777" w:rsidR="00403B07" w:rsidRPr="0078024B" w:rsidRDefault="00403B07" w:rsidP="00B01272"/>
        </w:tc>
        <w:tc>
          <w:tcPr>
            <w:tcW w:w="702" w:type="dxa"/>
          </w:tcPr>
          <w:p w14:paraId="632E3168" w14:textId="77777777" w:rsidR="00403B07" w:rsidRPr="0078024B" w:rsidRDefault="00403B07" w:rsidP="00B01272"/>
        </w:tc>
        <w:tc>
          <w:tcPr>
            <w:tcW w:w="702" w:type="dxa"/>
          </w:tcPr>
          <w:p w14:paraId="7E2A3D5E" w14:textId="77777777" w:rsidR="00403B07" w:rsidRPr="0078024B" w:rsidRDefault="00403B07" w:rsidP="00B01272"/>
        </w:tc>
        <w:tc>
          <w:tcPr>
            <w:tcW w:w="703" w:type="dxa"/>
          </w:tcPr>
          <w:p w14:paraId="35813024" w14:textId="77777777" w:rsidR="00403B07" w:rsidRPr="0078024B" w:rsidRDefault="00403B07" w:rsidP="00B01272"/>
        </w:tc>
        <w:tc>
          <w:tcPr>
            <w:tcW w:w="733" w:type="dxa"/>
          </w:tcPr>
          <w:p w14:paraId="3820AB9F" w14:textId="77777777" w:rsidR="00403B07" w:rsidRPr="0078024B" w:rsidRDefault="00403B07" w:rsidP="00B01272"/>
        </w:tc>
      </w:tr>
    </w:tbl>
    <w:p w14:paraId="2CDC2F33" w14:textId="77777777" w:rsidR="00403B07" w:rsidRPr="0078024B" w:rsidRDefault="00403B07" w:rsidP="00403B07">
      <w:pPr>
        <w:rPr>
          <w:rFonts w:eastAsiaTheme="minorHAnsi"/>
          <w:lang w:eastAsia="en-US"/>
        </w:rPr>
      </w:pPr>
    </w:p>
    <w:p w14:paraId="160B7545" w14:textId="77777777" w:rsidR="00403B07" w:rsidRPr="0078024B" w:rsidRDefault="00403B07" w:rsidP="00403B07">
      <w:pPr>
        <w:rPr>
          <w:rFonts w:eastAsiaTheme="minorHAnsi"/>
          <w:lang w:eastAsia="en-US"/>
        </w:rPr>
      </w:pPr>
      <w:r w:rsidRPr="0078024B">
        <w:rPr>
          <w:rFonts w:eastAsiaTheme="minorHAnsi"/>
          <w:lang w:eastAsia="en-US"/>
        </w:rPr>
        <w:br w:type="page"/>
      </w:r>
    </w:p>
    <w:p w14:paraId="509EA551" w14:textId="65F69EA9" w:rsidR="00403B07" w:rsidRPr="00765E8F" w:rsidRDefault="00403B07" w:rsidP="00403B07">
      <w:pPr>
        <w:rPr>
          <w:rFonts w:cs="Arial"/>
          <w:b/>
          <w:i/>
          <w:sz w:val="24"/>
          <w:szCs w:val="24"/>
        </w:rPr>
      </w:pPr>
      <w:r w:rsidRPr="00765E8F">
        <w:rPr>
          <w:rFonts w:cs="Arial"/>
          <w:b/>
          <w:i/>
          <w:sz w:val="24"/>
          <w:szCs w:val="24"/>
        </w:rPr>
        <w:lastRenderedPageBreak/>
        <w:t>Appendix 1</w:t>
      </w:r>
      <w:r w:rsidR="00A60D1B">
        <w:rPr>
          <w:rFonts w:cs="Arial"/>
          <w:b/>
          <w:i/>
          <w:sz w:val="24"/>
          <w:szCs w:val="24"/>
        </w:rPr>
        <w:t>4</w:t>
      </w:r>
      <w:r w:rsidRPr="00765E8F">
        <w:rPr>
          <w:rFonts w:cs="Arial"/>
          <w:b/>
          <w:i/>
          <w:sz w:val="24"/>
          <w:szCs w:val="24"/>
        </w:rPr>
        <w:t xml:space="preserve"> Fidelity to Form example checklist (continued)</w:t>
      </w:r>
    </w:p>
    <w:p w14:paraId="7138F8AD" w14:textId="77777777" w:rsidR="00403B07" w:rsidRDefault="00403B07" w:rsidP="00403B07">
      <w:pPr>
        <w:rPr>
          <w:rFonts w:eastAsiaTheme="minorHAnsi"/>
          <w:b/>
          <w:lang w:eastAsia="en-US"/>
        </w:rPr>
      </w:pPr>
    </w:p>
    <w:p w14:paraId="31A90666" w14:textId="77777777" w:rsidR="00403B07" w:rsidRPr="0078024B" w:rsidRDefault="00403B07" w:rsidP="00403B07">
      <w:pPr>
        <w:rPr>
          <w:rFonts w:eastAsiaTheme="minorHAnsi"/>
          <w:b/>
          <w:lang w:eastAsia="en-US"/>
        </w:rPr>
      </w:pPr>
      <w:r w:rsidRPr="0078024B">
        <w:rPr>
          <w:rFonts w:eastAsiaTheme="minorHAnsi"/>
          <w:b/>
          <w:lang w:eastAsia="en-US"/>
        </w:rPr>
        <w:t>PHASE 4</w:t>
      </w:r>
    </w:p>
    <w:p w14:paraId="3C675324" w14:textId="77777777" w:rsidR="00403B07" w:rsidRPr="0078024B" w:rsidRDefault="00403B07" w:rsidP="00403B07">
      <w:pPr>
        <w:rPr>
          <w:rFonts w:eastAsiaTheme="minorHAnsi"/>
          <w:b/>
          <w:lang w:eastAsia="en-US"/>
        </w:rPr>
      </w:pPr>
      <w:r w:rsidRPr="0078024B">
        <w:rPr>
          <w:rFonts w:eastAsiaTheme="minorHAnsi"/>
          <w:b/>
          <w:lang w:eastAsia="en-US"/>
        </w:rPr>
        <w:tab/>
        <w:t>Yr 6 Class-Delivered Assembly Fidelity Check</w:t>
      </w:r>
      <w:r w:rsidRPr="0078024B">
        <w:rPr>
          <w:rFonts w:eastAsiaTheme="minorHAnsi"/>
          <w:b/>
          <w:lang w:eastAsia="en-US"/>
        </w:rPr>
        <w:tab/>
      </w:r>
    </w:p>
    <w:p w14:paraId="62ED6EFB" w14:textId="77777777" w:rsidR="00403B07" w:rsidRPr="0078024B" w:rsidRDefault="00403B07" w:rsidP="00403B07">
      <w:pPr>
        <w:rPr>
          <w:rFonts w:eastAsiaTheme="minorHAnsi"/>
          <w:lang w:eastAsia="en-US"/>
        </w:rPr>
      </w:pPr>
      <w:r w:rsidRPr="0078024B">
        <w:rPr>
          <w:rFonts w:eastAsiaTheme="minorHAnsi"/>
          <w:lang w:eastAsia="en-US"/>
        </w:rPr>
        <w:t>NAME OF SCHOOL:</w:t>
      </w:r>
    </w:p>
    <w:p w14:paraId="49C78A65" w14:textId="7A2C20ED" w:rsidR="00403B07" w:rsidRPr="0078024B" w:rsidRDefault="00403B07" w:rsidP="00403B07">
      <w:pPr>
        <w:rPr>
          <w:rFonts w:eastAsiaTheme="minorHAnsi"/>
          <w:lang w:eastAsia="en-US"/>
        </w:rPr>
      </w:pPr>
      <w:r w:rsidRPr="0078024B">
        <w:rPr>
          <w:rFonts w:eastAsiaTheme="minorHAnsi"/>
          <w:lang w:eastAsia="en-US"/>
        </w:rPr>
        <w:t xml:space="preserve">NAME OF HC: </w:t>
      </w:r>
    </w:p>
    <w:p w14:paraId="07151E29" w14:textId="77777777" w:rsidR="00403B07" w:rsidRPr="0078024B" w:rsidRDefault="00403B07" w:rsidP="00403B07">
      <w:pPr>
        <w:rPr>
          <w:rFonts w:eastAsiaTheme="minorHAnsi"/>
          <w:lang w:eastAsia="en-US"/>
        </w:rPr>
      </w:pPr>
      <w:r w:rsidRPr="0078024B">
        <w:rPr>
          <w:rFonts w:eastAsiaTheme="minorHAnsi"/>
          <w:lang w:eastAsia="en-US"/>
        </w:rPr>
        <w:t>DATE:</w:t>
      </w:r>
    </w:p>
    <w:p w14:paraId="5032B9B9" w14:textId="77777777" w:rsidR="00403B07" w:rsidRPr="0078024B" w:rsidRDefault="00403B07" w:rsidP="00403B07">
      <w:pPr>
        <w:rPr>
          <w:rFonts w:eastAsiaTheme="minorHAnsi"/>
          <w:lang w:eastAsia="en-US"/>
        </w:rPr>
      </w:pPr>
      <w:r w:rsidRPr="0078024B">
        <w:rPr>
          <w:rFonts w:eastAsiaTheme="minorHAnsi"/>
          <w:lang w:eastAsia="en-US"/>
        </w:rPr>
        <w:t>Adherence to component content (to be completed with JL or KW if present)</w:t>
      </w:r>
    </w:p>
    <w:tbl>
      <w:tblPr>
        <w:tblStyle w:val="TableGrid4"/>
        <w:tblW w:w="9606" w:type="dxa"/>
        <w:tblLook w:val="04A0" w:firstRow="1" w:lastRow="0" w:firstColumn="1" w:lastColumn="0" w:noHBand="0" w:noVBand="1"/>
      </w:tblPr>
      <w:tblGrid>
        <w:gridCol w:w="3510"/>
        <w:gridCol w:w="1578"/>
        <w:gridCol w:w="4518"/>
      </w:tblGrid>
      <w:tr w:rsidR="00403B07" w:rsidRPr="0078024B" w14:paraId="4CC5CA87" w14:textId="77777777" w:rsidTr="00B01272">
        <w:tc>
          <w:tcPr>
            <w:tcW w:w="3510" w:type="dxa"/>
          </w:tcPr>
          <w:p w14:paraId="450BDC34" w14:textId="77777777" w:rsidR="00403B07" w:rsidRPr="0078024B" w:rsidRDefault="00403B07" w:rsidP="00B01272">
            <w:pPr>
              <w:rPr>
                <w:b/>
              </w:rPr>
            </w:pPr>
            <w:r w:rsidRPr="0078024B">
              <w:rPr>
                <w:b/>
              </w:rPr>
              <w:t>Activity – class teacher present</w:t>
            </w:r>
          </w:p>
        </w:tc>
        <w:tc>
          <w:tcPr>
            <w:tcW w:w="1578" w:type="dxa"/>
          </w:tcPr>
          <w:p w14:paraId="730B833D" w14:textId="77777777" w:rsidR="00403B07" w:rsidRPr="0078024B" w:rsidRDefault="00403B07" w:rsidP="00B01272">
            <w:pPr>
              <w:rPr>
                <w:b/>
              </w:rPr>
            </w:pPr>
            <w:r w:rsidRPr="0078024B">
              <w:rPr>
                <w:b/>
              </w:rPr>
              <w:t>Yes/Partial/No</w:t>
            </w:r>
          </w:p>
        </w:tc>
        <w:tc>
          <w:tcPr>
            <w:tcW w:w="4518" w:type="dxa"/>
          </w:tcPr>
          <w:p w14:paraId="1BB6BEE3" w14:textId="77777777" w:rsidR="00403B07" w:rsidRPr="0078024B" w:rsidRDefault="00403B07" w:rsidP="00B01272">
            <w:pPr>
              <w:rPr>
                <w:b/>
              </w:rPr>
            </w:pPr>
            <w:r w:rsidRPr="0078024B">
              <w:rPr>
                <w:b/>
              </w:rPr>
              <w:t>Notes</w:t>
            </w:r>
          </w:p>
        </w:tc>
      </w:tr>
      <w:tr w:rsidR="00403B07" w:rsidRPr="0078024B" w14:paraId="055DAD72" w14:textId="77777777" w:rsidTr="00B01272">
        <w:tc>
          <w:tcPr>
            <w:tcW w:w="3510" w:type="dxa"/>
          </w:tcPr>
          <w:p w14:paraId="5AF7827F" w14:textId="77777777" w:rsidR="00403B07" w:rsidRPr="0078024B" w:rsidRDefault="00403B07" w:rsidP="00B01272">
            <w:r w:rsidRPr="0078024B">
              <w:t xml:space="preserve">Whole </w:t>
            </w:r>
            <w:r w:rsidRPr="0078024B">
              <w:rPr>
                <w:i/>
              </w:rPr>
              <w:t>class</w:t>
            </w:r>
            <w:r w:rsidRPr="0078024B">
              <w:t xml:space="preserve"> rap</w:t>
            </w:r>
          </w:p>
        </w:tc>
        <w:tc>
          <w:tcPr>
            <w:tcW w:w="1578" w:type="dxa"/>
          </w:tcPr>
          <w:p w14:paraId="645619BA" w14:textId="77777777" w:rsidR="00403B07" w:rsidRPr="0078024B" w:rsidRDefault="00403B07" w:rsidP="00B01272"/>
        </w:tc>
        <w:tc>
          <w:tcPr>
            <w:tcW w:w="4518" w:type="dxa"/>
          </w:tcPr>
          <w:p w14:paraId="5625DB5F" w14:textId="77777777" w:rsidR="00403B07" w:rsidRPr="0078024B" w:rsidRDefault="00403B07" w:rsidP="00B01272"/>
        </w:tc>
      </w:tr>
      <w:tr w:rsidR="00403B07" w:rsidRPr="0078024B" w14:paraId="436D3EE6" w14:textId="77777777" w:rsidTr="00B01272">
        <w:tc>
          <w:tcPr>
            <w:tcW w:w="3510" w:type="dxa"/>
          </w:tcPr>
          <w:p w14:paraId="75D3B166" w14:textId="77777777" w:rsidR="00403B07" w:rsidRPr="0078024B" w:rsidRDefault="00403B07" w:rsidP="00B01272">
            <w:r w:rsidRPr="0078024B">
              <w:t>Overview of HeLP</w:t>
            </w:r>
          </w:p>
        </w:tc>
        <w:tc>
          <w:tcPr>
            <w:tcW w:w="1578" w:type="dxa"/>
          </w:tcPr>
          <w:p w14:paraId="55497EBB" w14:textId="77777777" w:rsidR="00403B07" w:rsidRPr="0078024B" w:rsidRDefault="00403B07" w:rsidP="00B01272"/>
        </w:tc>
        <w:tc>
          <w:tcPr>
            <w:tcW w:w="4518" w:type="dxa"/>
          </w:tcPr>
          <w:p w14:paraId="7F8F9C54" w14:textId="77777777" w:rsidR="00403B07" w:rsidRPr="0078024B" w:rsidRDefault="00403B07" w:rsidP="00B01272"/>
        </w:tc>
      </w:tr>
      <w:tr w:rsidR="00403B07" w:rsidRPr="0078024B" w14:paraId="4354E719" w14:textId="77777777" w:rsidTr="00B01272">
        <w:tc>
          <w:tcPr>
            <w:tcW w:w="3510" w:type="dxa"/>
          </w:tcPr>
          <w:p w14:paraId="5112C51C" w14:textId="77777777" w:rsidR="00403B07" w:rsidRPr="0078024B" w:rsidRDefault="00403B07" w:rsidP="00B01272">
            <w:r w:rsidRPr="0078024B">
              <w:t>Before/after DD and AA showing change in behaviours.</w:t>
            </w:r>
          </w:p>
        </w:tc>
        <w:tc>
          <w:tcPr>
            <w:tcW w:w="1578" w:type="dxa"/>
          </w:tcPr>
          <w:p w14:paraId="5820AEEB" w14:textId="77777777" w:rsidR="00403B07" w:rsidRPr="0078024B" w:rsidRDefault="00403B07" w:rsidP="00B01272"/>
        </w:tc>
        <w:tc>
          <w:tcPr>
            <w:tcW w:w="4518" w:type="dxa"/>
          </w:tcPr>
          <w:p w14:paraId="78E34EDA" w14:textId="77777777" w:rsidR="00403B07" w:rsidRPr="0078024B" w:rsidRDefault="00403B07" w:rsidP="00B01272"/>
        </w:tc>
      </w:tr>
      <w:tr w:rsidR="00403B07" w:rsidRPr="0078024B" w14:paraId="25833275" w14:textId="77777777" w:rsidTr="00B01272">
        <w:tc>
          <w:tcPr>
            <w:tcW w:w="3510" w:type="dxa"/>
          </w:tcPr>
          <w:p w14:paraId="2B32851F" w14:textId="77777777" w:rsidR="00403B07" w:rsidRPr="0078024B" w:rsidRDefault="00403B07" w:rsidP="00B01272">
            <w:r w:rsidRPr="0078024B">
              <w:t>Food Machines</w:t>
            </w:r>
          </w:p>
        </w:tc>
        <w:tc>
          <w:tcPr>
            <w:tcW w:w="1578" w:type="dxa"/>
          </w:tcPr>
          <w:p w14:paraId="4C29C456" w14:textId="77777777" w:rsidR="00403B07" w:rsidRPr="0078024B" w:rsidRDefault="00403B07" w:rsidP="00B01272"/>
        </w:tc>
        <w:tc>
          <w:tcPr>
            <w:tcW w:w="4518" w:type="dxa"/>
          </w:tcPr>
          <w:p w14:paraId="795DFB6B" w14:textId="77777777" w:rsidR="00403B07" w:rsidRPr="0078024B" w:rsidRDefault="00403B07" w:rsidP="00B01272"/>
        </w:tc>
      </w:tr>
      <w:tr w:rsidR="00403B07" w:rsidRPr="0078024B" w14:paraId="6EC5A288" w14:textId="77777777" w:rsidTr="00B01272">
        <w:tc>
          <w:tcPr>
            <w:tcW w:w="3510" w:type="dxa"/>
          </w:tcPr>
          <w:p w14:paraId="35336C46" w14:textId="77777777" w:rsidR="00403B07" w:rsidRPr="0078024B" w:rsidRDefault="00403B07" w:rsidP="00B01272">
            <w:r w:rsidRPr="0078024B">
              <w:t xml:space="preserve">Whole </w:t>
            </w:r>
            <w:r w:rsidRPr="0078024B">
              <w:rPr>
                <w:i/>
              </w:rPr>
              <w:t>school</w:t>
            </w:r>
            <w:r w:rsidRPr="0078024B">
              <w:t xml:space="preserve"> rap </w:t>
            </w:r>
          </w:p>
        </w:tc>
        <w:tc>
          <w:tcPr>
            <w:tcW w:w="1578" w:type="dxa"/>
          </w:tcPr>
          <w:p w14:paraId="10CD94FF" w14:textId="77777777" w:rsidR="00403B07" w:rsidRPr="0078024B" w:rsidRDefault="00403B07" w:rsidP="00B01272"/>
        </w:tc>
        <w:tc>
          <w:tcPr>
            <w:tcW w:w="4518" w:type="dxa"/>
          </w:tcPr>
          <w:p w14:paraId="39D9ACC4" w14:textId="77777777" w:rsidR="00403B07" w:rsidRPr="0078024B" w:rsidRDefault="00403B07" w:rsidP="00B01272"/>
        </w:tc>
      </w:tr>
      <w:tr w:rsidR="00403B07" w:rsidRPr="0078024B" w14:paraId="538B276D" w14:textId="77777777" w:rsidTr="00B01272">
        <w:tc>
          <w:tcPr>
            <w:tcW w:w="3510" w:type="dxa"/>
          </w:tcPr>
          <w:p w14:paraId="2EF9389D" w14:textId="77777777" w:rsidR="00403B07" w:rsidRPr="0078024B" w:rsidRDefault="00403B07" w:rsidP="00B01272">
            <w:r w:rsidRPr="0078024B">
              <w:t>Presence of a senior member of staff (e.g. Head, Deputy Head)</w:t>
            </w:r>
          </w:p>
        </w:tc>
        <w:tc>
          <w:tcPr>
            <w:tcW w:w="1578" w:type="dxa"/>
          </w:tcPr>
          <w:p w14:paraId="29FDA698" w14:textId="77777777" w:rsidR="00403B07" w:rsidRPr="0078024B" w:rsidRDefault="00403B07" w:rsidP="00B01272"/>
        </w:tc>
        <w:tc>
          <w:tcPr>
            <w:tcW w:w="4518" w:type="dxa"/>
          </w:tcPr>
          <w:p w14:paraId="02ECDA9B" w14:textId="77777777" w:rsidR="00403B07" w:rsidRPr="0078024B" w:rsidRDefault="00403B07" w:rsidP="00B01272"/>
        </w:tc>
      </w:tr>
      <w:tr w:rsidR="00403B07" w:rsidRPr="0078024B" w14:paraId="66D9ECDD" w14:textId="77777777" w:rsidTr="00B01272">
        <w:tc>
          <w:tcPr>
            <w:tcW w:w="3510" w:type="dxa"/>
          </w:tcPr>
          <w:p w14:paraId="1C746681" w14:textId="77777777" w:rsidR="00403B07" w:rsidRPr="0078024B" w:rsidRDefault="00403B07" w:rsidP="00B01272">
            <w:r w:rsidRPr="0078024B">
              <w:t>Presence of year 6 teacher(s)</w:t>
            </w:r>
          </w:p>
        </w:tc>
        <w:tc>
          <w:tcPr>
            <w:tcW w:w="1578" w:type="dxa"/>
          </w:tcPr>
          <w:p w14:paraId="388D2E8B" w14:textId="77777777" w:rsidR="00403B07" w:rsidRPr="0078024B" w:rsidRDefault="00403B07" w:rsidP="00B01272"/>
        </w:tc>
        <w:tc>
          <w:tcPr>
            <w:tcW w:w="4518" w:type="dxa"/>
          </w:tcPr>
          <w:p w14:paraId="1B3F4F82" w14:textId="77777777" w:rsidR="00403B07" w:rsidRPr="0078024B" w:rsidRDefault="00403B07" w:rsidP="00B01272"/>
        </w:tc>
      </w:tr>
    </w:tbl>
    <w:p w14:paraId="5160D4CB" w14:textId="77777777" w:rsidR="00403B07" w:rsidRPr="0078024B" w:rsidRDefault="00403B07" w:rsidP="00403B07">
      <w:pPr>
        <w:rPr>
          <w:rFonts w:eastAsiaTheme="minorHAnsi"/>
          <w:lang w:eastAsia="en-US"/>
        </w:rPr>
      </w:pPr>
    </w:p>
    <w:p w14:paraId="0AD048EA" w14:textId="77777777" w:rsidR="00403B07" w:rsidRPr="0078024B" w:rsidRDefault="00403B07" w:rsidP="00403B07">
      <w:pPr>
        <w:rPr>
          <w:rFonts w:eastAsiaTheme="minorHAnsi"/>
          <w:lang w:eastAsia="en-US"/>
        </w:rPr>
      </w:pPr>
      <w:r w:rsidRPr="0078024B">
        <w:rPr>
          <w:rFonts w:eastAsiaTheme="minorHAnsi"/>
          <w:lang w:eastAsia="en-US"/>
        </w:rPr>
        <w:t>Quality of delivery and participant responsiveness (1=Low Quality</w:t>
      </w:r>
      <w:r w:rsidRPr="0078024B">
        <w:rPr>
          <w:rFonts w:eastAsiaTheme="minorHAnsi"/>
          <w:lang w:eastAsia="en-US"/>
        </w:rPr>
        <w:tab/>
        <w:t>10=High Quality)</w:t>
      </w:r>
    </w:p>
    <w:tbl>
      <w:tblPr>
        <w:tblStyle w:val="TableGrid4"/>
        <w:tblW w:w="9606" w:type="dxa"/>
        <w:tblLayout w:type="fixed"/>
        <w:tblLook w:val="04A0" w:firstRow="1" w:lastRow="0" w:firstColumn="1" w:lastColumn="0" w:noHBand="0" w:noVBand="1"/>
      </w:tblPr>
      <w:tblGrid>
        <w:gridCol w:w="1526"/>
        <w:gridCol w:w="808"/>
        <w:gridCol w:w="808"/>
        <w:gridCol w:w="808"/>
        <w:gridCol w:w="808"/>
        <w:gridCol w:w="808"/>
        <w:gridCol w:w="808"/>
        <w:gridCol w:w="808"/>
        <w:gridCol w:w="808"/>
        <w:gridCol w:w="808"/>
        <w:gridCol w:w="808"/>
      </w:tblGrid>
      <w:tr w:rsidR="00403B07" w:rsidRPr="0078024B" w14:paraId="71E9BC04" w14:textId="77777777" w:rsidTr="00B01272">
        <w:tc>
          <w:tcPr>
            <w:tcW w:w="1526" w:type="dxa"/>
          </w:tcPr>
          <w:p w14:paraId="7389F253" w14:textId="77777777" w:rsidR="00403B07" w:rsidRPr="0078024B" w:rsidRDefault="00403B07" w:rsidP="00B01272"/>
        </w:tc>
        <w:tc>
          <w:tcPr>
            <w:tcW w:w="808" w:type="dxa"/>
          </w:tcPr>
          <w:p w14:paraId="0E2258A2" w14:textId="77777777" w:rsidR="00403B07" w:rsidRPr="0078024B" w:rsidRDefault="00403B07" w:rsidP="00B01272">
            <w:pPr>
              <w:rPr>
                <w:b/>
              </w:rPr>
            </w:pPr>
            <w:r w:rsidRPr="0078024B">
              <w:rPr>
                <w:b/>
              </w:rPr>
              <w:t>1</w:t>
            </w:r>
          </w:p>
        </w:tc>
        <w:tc>
          <w:tcPr>
            <w:tcW w:w="808" w:type="dxa"/>
          </w:tcPr>
          <w:p w14:paraId="56AF09B4" w14:textId="77777777" w:rsidR="00403B07" w:rsidRPr="0078024B" w:rsidRDefault="00403B07" w:rsidP="00B01272">
            <w:pPr>
              <w:rPr>
                <w:b/>
              </w:rPr>
            </w:pPr>
            <w:r w:rsidRPr="0078024B">
              <w:rPr>
                <w:b/>
              </w:rPr>
              <w:t>2</w:t>
            </w:r>
          </w:p>
        </w:tc>
        <w:tc>
          <w:tcPr>
            <w:tcW w:w="808" w:type="dxa"/>
          </w:tcPr>
          <w:p w14:paraId="141429D7" w14:textId="77777777" w:rsidR="00403B07" w:rsidRPr="0078024B" w:rsidRDefault="00403B07" w:rsidP="00B01272">
            <w:pPr>
              <w:rPr>
                <w:b/>
              </w:rPr>
            </w:pPr>
            <w:r w:rsidRPr="0078024B">
              <w:rPr>
                <w:b/>
              </w:rPr>
              <w:t>3</w:t>
            </w:r>
          </w:p>
        </w:tc>
        <w:tc>
          <w:tcPr>
            <w:tcW w:w="808" w:type="dxa"/>
          </w:tcPr>
          <w:p w14:paraId="6495E2B6" w14:textId="77777777" w:rsidR="00403B07" w:rsidRPr="0078024B" w:rsidRDefault="00403B07" w:rsidP="00B01272">
            <w:pPr>
              <w:rPr>
                <w:b/>
              </w:rPr>
            </w:pPr>
            <w:r w:rsidRPr="0078024B">
              <w:rPr>
                <w:b/>
              </w:rPr>
              <w:t>4</w:t>
            </w:r>
          </w:p>
        </w:tc>
        <w:tc>
          <w:tcPr>
            <w:tcW w:w="808" w:type="dxa"/>
          </w:tcPr>
          <w:p w14:paraId="65275680" w14:textId="77777777" w:rsidR="00403B07" w:rsidRPr="0078024B" w:rsidRDefault="00403B07" w:rsidP="00B01272">
            <w:pPr>
              <w:rPr>
                <w:b/>
              </w:rPr>
            </w:pPr>
            <w:r w:rsidRPr="0078024B">
              <w:rPr>
                <w:b/>
              </w:rPr>
              <w:t>5</w:t>
            </w:r>
          </w:p>
        </w:tc>
        <w:tc>
          <w:tcPr>
            <w:tcW w:w="808" w:type="dxa"/>
          </w:tcPr>
          <w:p w14:paraId="312E6C67" w14:textId="77777777" w:rsidR="00403B07" w:rsidRPr="0078024B" w:rsidRDefault="00403B07" w:rsidP="00B01272">
            <w:pPr>
              <w:rPr>
                <w:b/>
              </w:rPr>
            </w:pPr>
            <w:r w:rsidRPr="0078024B">
              <w:rPr>
                <w:b/>
              </w:rPr>
              <w:t>6</w:t>
            </w:r>
          </w:p>
        </w:tc>
        <w:tc>
          <w:tcPr>
            <w:tcW w:w="808" w:type="dxa"/>
          </w:tcPr>
          <w:p w14:paraId="5D018794" w14:textId="77777777" w:rsidR="00403B07" w:rsidRPr="0078024B" w:rsidRDefault="00403B07" w:rsidP="00B01272">
            <w:pPr>
              <w:rPr>
                <w:b/>
              </w:rPr>
            </w:pPr>
            <w:r w:rsidRPr="0078024B">
              <w:rPr>
                <w:b/>
              </w:rPr>
              <w:t>7</w:t>
            </w:r>
          </w:p>
        </w:tc>
        <w:tc>
          <w:tcPr>
            <w:tcW w:w="808" w:type="dxa"/>
          </w:tcPr>
          <w:p w14:paraId="1EBB22A4" w14:textId="77777777" w:rsidR="00403B07" w:rsidRPr="0078024B" w:rsidRDefault="00403B07" w:rsidP="00B01272">
            <w:pPr>
              <w:rPr>
                <w:b/>
              </w:rPr>
            </w:pPr>
            <w:r w:rsidRPr="0078024B">
              <w:rPr>
                <w:b/>
              </w:rPr>
              <w:t>8</w:t>
            </w:r>
          </w:p>
        </w:tc>
        <w:tc>
          <w:tcPr>
            <w:tcW w:w="808" w:type="dxa"/>
          </w:tcPr>
          <w:p w14:paraId="0C2CBA4F" w14:textId="77777777" w:rsidR="00403B07" w:rsidRPr="0078024B" w:rsidRDefault="00403B07" w:rsidP="00B01272">
            <w:pPr>
              <w:rPr>
                <w:b/>
              </w:rPr>
            </w:pPr>
            <w:r w:rsidRPr="0078024B">
              <w:rPr>
                <w:b/>
              </w:rPr>
              <w:t>9</w:t>
            </w:r>
          </w:p>
        </w:tc>
        <w:tc>
          <w:tcPr>
            <w:tcW w:w="808" w:type="dxa"/>
          </w:tcPr>
          <w:p w14:paraId="2AF41C2D" w14:textId="77777777" w:rsidR="00403B07" w:rsidRPr="0078024B" w:rsidRDefault="00403B07" w:rsidP="00B01272">
            <w:pPr>
              <w:rPr>
                <w:b/>
              </w:rPr>
            </w:pPr>
            <w:r w:rsidRPr="0078024B">
              <w:rPr>
                <w:b/>
              </w:rPr>
              <w:t>10</w:t>
            </w:r>
          </w:p>
        </w:tc>
      </w:tr>
      <w:tr w:rsidR="00403B07" w:rsidRPr="0078024B" w14:paraId="6CC7A7D3" w14:textId="77777777" w:rsidTr="00B01272">
        <w:tc>
          <w:tcPr>
            <w:tcW w:w="1526" w:type="dxa"/>
          </w:tcPr>
          <w:p w14:paraId="2EDEE535" w14:textId="77777777" w:rsidR="00403B07" w:rsidRPr="0078024B" w:rsidRDefault="00403B07" w:rsidP="00B01272">
            <w:r w:rsidRPr="0078024B">
              <w:t>Well organised assembly</w:t>
            </w:r>
          </w:p>
        </w:tc>
        <w:tc>
          <w:tcPr>
            <w:tcW w:w="808" w:type="dxa"/>
          </w:tcPr>
          <w:p w14:paraId="380BF08E" w14:textId="77777777" w:rsidR="00403B07" w:rsidRPr="0078024B" w:rsidRDefault="00403B07" w:rsidP="00B01272"/>
        </w:tc>
        <w:tc>
          <w:tcPr>
            <w:tcW w:w="808" w:type="dxa"/>
          </w:tcPr>
          <w:p w14:paraId="3D184A4F" w14:textId="77777777" w:rsidR="00403B07" w:rsidRPr="0078024B" w:rsidRDefault="00403B07" w:rsidP="00B01272"/>
        </w:tc>
        <w:tc>
          <w:tcPr>
            <w:tcW w:w="808" w:type="dxa"/>
          </w:tcPr>
          <w:p w14:paraId="67E7808E" w14:textId="77777777" w:rsidR="00403B07" w:rsidRPr="0078024B" w:rsidRDefault="00403B07" w:rsidP="00B01272"/>
        </w:tc>
        <w:tc>
          <w:tcPr>
            <w:tcW w:w="808" w:type="dxa"/>
          </w:tcPr>
          <w:p w14:paraId="373BA8D8" w14:textId="77777777" w:rsidR="00403B07" w:rsidRPr="0078024B" w:rsidRDefault="00403B07" w:rsidP="00B01272"/>
        </w:tc>
        <w:tc>
          <w:tcPr>
            <w:tcW w:w="808" w:type="dxa"/>
          </w:tcPr>
          <w:p w14:paraId="06C93778" w14:textId="77777777" w:rsidR="00403B07" w:rsidRPr="0078024B" w:rsidRDefault="00403B07" w:rsidP="00B01272"/>
        </w:tc>
        <w:tc>
          <w:tcPr>
            <w:tcW w:w="808" w:type="dxa"/>
          </w:tcPr>
          <w:p w14:paraId="7061B7A1" w14:textId="77777777" w:rsidR="00403B07" w:rsidRPr="0078024B" w:rsidRDefault="00403B07" w:rsidP="00B01272"/>
        </w:tc>
        <w:tc>
          <w:tcPr>
            <w:tcW w:w="808" w:type="dxa"/>
          </w:tcPr>
          <w:p w14:paraId="6FCE8ECD" w14:textId="77777777" w:rsidR="00403B07" w:rsidRPr="0078024B" w:rsidRDefault="00403B07" w:rsidP="00B01272"/>
        </w:tc>
        <w:tc>
          <w:tcPr>
            <w:tcW w:w="808" w:type="dxa"/>
          </w:tcPr>
          <w:p w14:paraId="62493D4A" w14:textId="77777777" w:rsidR="00403B07" w:rsidRPr="0078024B" w:rsidRDefault="00403B07" w:rsidP="00B01272"/>
        </w:tc>
        <w:tc>
          <w:tcPr>
            <w:tcW w:w="808" w:type="dxa"/>
          </w:tcPr>
          <w:p w14:paraId="2EC13299" w14:textId="77777777" w:rsidR="00403B07" w:rsidRPr="0078024B" w:rsidRDefault="00403B07" w:rsidP="00B01272"/>
        </w:tc>
        <w:tc>
          <w:tcPr>
            <w:tcW w:w="808" w:type="dxa"/>
          </w:tcPr>
          <w:p w14:paraId="44BEF4F1" w14:textId="77777777" w:rsidR="00403B07" w:rsidRPr="0078024B" w:rsidRDefault="00403B07" w:rsidP="00B01272"/>
        </w:tc>
      </w:tr>
      <w:tr w:rsidR="00403B07" w:rsidRPr="0078024B" w14:paraId="5068E868" w14:textId="77777777" w:rsidTr="00B01272">
        <w:tc>
          <w:tcPr>
            <w:tcW w:w="1526" w:type="dxa"/>
          </w:tcPr>
          <w:p w14:paraId="427E4788" w14:textId="77777777" w:rsidR="00403B07" w:rsidRPr="0078024B" w:rsidRDefault="00403B07" w:rsidP="00B01272">
            <w:r w:rsidRPr="0078024B">
              <w:t>Engaged children (Y6)</w:t>
            </w:r>
          </w:p>
        </w:tc>
        <w:tc>
          <w:tcPr>
            <w:tcW w:w="808" w:type="dxa"/>
          </w:tcPr>
          <w:p w14:paraId="018B0C3E" w14:textId="77777777" w:rsidR="00403B07" w:rsidRPr="0078024B" w:rsidRDefault="00403B07" w:rsidP="00B01272"/>
        </w:tc>
        <w:tc>
          <w:tcPr>
            <w:tcW w:w="808" w:type="dxa"/>
          </w:tcPr>
          <w:p w14:paraId="4E616636" w14:textId="77777777" w:rsidR="00403B07" w:rsidRPr="0078024B" w:rsidRDefault="00403B07" w:rsidP="00B01272"/>
        </w:tc>
        <w:tc>
          <w:tcPr>
            <w:tcW w:w="808" w:type="dxa"/>
          </w:tcPr>
          <w:p w14:paraId="099B0E99" w14:textId="77777777" w:rsidR="00403B07" w:rsidRPr="0078024B" w:rsidRDefault="00403B07" w:rsidP="00B01272"/>
        </w:tc>
        <w:tc>
          <w:tcPr>
            <w:tcW w:w="808" w:type="dxa"/>
          </w:tcPr>
          <w:p w14:paraId="1C8BAE85" w14:textId="77777777" w:rsidR="00403B07" w:rsidRPr="0078024B" w:rsidRDefault="00403B07" w:rsidP="00B01272"/>
        </w:tc>
        <w:tc>
          <w:tcPr>
            <w:tcW w:w="808" w:type="dxa"/>
          </w:tcPr>
          <w:p w14:paraId="35B2DADD" w14:textId="77777777" w:rsidR="00403B07" w:rsidRPr="0078024B" w:rsidRDefault="00403B07" w:rsidP="00B01272"/>
        </w:tc>
        <w:tc>
          <w:tcPr>
            <w:tcW w:w="808" w:type="dxa"/>
          </w:tcPr>
          <w:p w14:paraId="2983331E" w14:textId="77777777" w:rsidR="00403B07" w:rsidRPr="0078024B" w:rsidRDefault="00403B07" w:rsidP="00B01272"/>
        </w:tc>
        <w:tc>
          <w:tcPr>
            <w:tcW w:w="808" w:type="dxa"/>
          </w:tcPr>
          <w:p w14:paraId="294CCFC8" w14:textId="77777777" w:rsidR="00403B07" w:rsidRPr="0078024B" w:rsidRDefault="00403B07" w:rsidP="00B01272"/>
        </w:tc>
        <w:tc>
          <w:tcPr>
            <w:tcW w:w="808" w:type="dxa"/>
          </w:tcPr>
          <w:p w14:paraId="02CBE2E2" w14:textId="77777777" w:rsidR="00403B07" w:rsidRPr="0078024B" w:rsidRDefault="00403B07" w:rsidP="00B01272"/>
        </w:tc>
        <w:tc>
          <w:tcPr>
            <w:tcW w:w="808" w:type="dxa"/>
          </w:tcPr>
          <w:p w14:paraId="62CBA68E" w14:textId="77777777" w:rsidR="00403B07" w:rsidRPr="0078024B" w:rsidRDefault="00403B07" w:rsidP="00B01272"/>
        </w:tc>
        <w:tc>
          <w:tcPr>
            <w:tcW w:w="808" w:type="dxa"/>
          </w:tcPr>
          <w:p w14:paraId="39C1871B" w14:textId="77777777" w:rsidR="00403B07" w:rsidRPr="0078024B" w:rsidRDefault="00403B07" w:rsidP="00B01272"/>
        </w:tc>
      </w:tr>
      <w:tr w:rsidR="00403B07" w:rsidRPr="0078024B" w14:paraId="4CE1EB3C" w14:textId="77777777" w:rsidTr="00B01272">
        <w:tc>
          <w:tcPr>
            <w:tcW w:w="1526" w:type="dxa"/>
          </w:tcPr>
          <w:p w14:paraId="63A8B033" w14:textId="77777777" w:rsidR="00403B07" w:rsidRPr="0078024B" w:rsidRDefault="00403B07" w:rsidP="00B01272">
            <w:r w:rsidRPr="0078024B">
              <w:t>Engaged audience</w:t>
            </w:r>
          </w:p>
        </w:tc>
        <w:tc>
          <w:tcPr>
            <w:tcW w:w="808" w:type="dxa"/>
          </w:tcPr>
          <w:p w14:paraId="597C8D3C" w14:textId="77777777" w:rsidR="00403B07" w:rsidRPr="0078024B" w:rsidRDefault="00403B07" w:rsidP="00B01272"/>
        </w:tc>
        <w:tc>
          <w:tcPr>
            <w:tcW w:w="808" w:type="dxa"/>
          </w:tcPr>
          <w:p w14:paraId="1A43288A" w14:textId="77777777" w:rsidR="00403B07" w:rsidRPr="0078024B" w:rsidRDefault="00403B07" w:rsidP="00B01272"/>
        </w:tc>
        <w:tc>
          <w:tcPr>
            <w:tcW w:w="808" w:type="dxa"/>
          </w:tcPr>
          <w:p w14:paraId="1D7705A2" w14:textId="77777777" w:rsidR="00403B07" w:rsidRPr="0078024B" w:rsidRDefault="00403B07" w:rsidP="00B01272"/>
        </w:tc>
        <w:tc>
          <w:tcPr>
            <w:tcW w:w="808" w:type="dxa"/>
          </w:tcPr>
          <w:p w14:paraId="7A1FE6F9" w14:textId="77777777" w:rsidR="00403B07" w:rsidRPr="0078024B" w:rsidRDefault="00403B07" w:rsidP="00B01272"/>
        </w:tc>
        <w:tc>
          <w:tcPr>
            <w:tcW w:w="808" w:type="dxa"/>
          </w:tcPr>
          <w:p w14:paraId="34ECD778" w14:textId="77777777" w:rsidR="00403B07" w:rsidRPr="0078024B" w:rsidRDefault="00403B07" w:rsidP="00B01272"/>
        </w:tc>
        <w:tc>
          <w:tcPr>
            <w:tcW w:w="808" w:type="dxa"/>
          </w:tcPr>
          <w:p w14:paraId="7D12D78E" w14:textId="77777777" w:rsidR="00403B07" w:rsidRPr="0078024B" w:rsidRDefault="00403B07" w:rsidP="00B01272"/>
        </w:tc>
        <w:tc>
          <w:tcPr>
            <w:tcW w:w="808" w:type="dxa"/>
          </w:tcPr>
          <w:p w14:paraId="56E44EEE" w14:textId="77777777" w:rsidR="00403B07" w:rsidRPr="0078024B" w:rsidRDefault="00403B07" w:rsidP="00B01272"/>
        </w:tc>
        <w:tc>
          <w:tcPr>
            <w:tcW w:w="808" w:type="dxa"/>
          </w:tcPr>
          <w:p w14:paraId="0FB4F37B" w14:textId="77777777" w:rsidR="00403B07" w:rsidRPr="0078024B" w:rsidRDefault="00403B07" w:rsidP="00B01272"/>
        </w:tc>
        <w:tc>
          <w:tcPr>
            <w:tcW w:w="808" w:type="dxa"/>
          </w:tcPr>
          <w:p w14:paraId="2BED6231" w14:textId="77777777" w:rsidR="00403B07" w:rsidRPr="0078024B" w:rsidRDefault="00403B07" w:rsidP="00B01272"/>
        </w:tc>
        <w:tc>
          <w:tcPr>
            <w:tcW w:w="808" w:type="dxa"/>
          </w:tcPr>
          <w:p w14:paraId="4CDCC798" w14:textId="77777777" w:rsidR="00403B07" w:rsidRPr="0078024B" w:rsidRDefault="00403B07" w:rsidP="00B01272"/>
        </w:tc>
      </w:tr>
    </w:tbl>
    <w:p w14:paraId="120A2E8C" w14:textId="77777777" w:rsidR="00403B07" w:rsidRPr="0078024B" w:rsidRDefault="00403B07" w:rsidP="00403B07">
      <w:pPr>
        <w:rPr>
          <w:rFonts w:eastAsiaTheme="minorHAnsi"/>
          <w:lang w:eastAsia="en-US"/>
        </w:rPr>
      </w:pPr>
    </w:p>
    <w:p w14:paraId="2BA86ADB" w14:textId="77777777" w:rsidR="00403B07" w:rsidRPr="0078024B" w:rsidRDefault="00403B07" w:rsidP="00403B07">
      <w:pPr>
        <w:rPr>
          <w:rFonts w:eastAsiaTheme="minorHAnsi"/>
          <w:lang w:eastAsia="en-US"/>
        </w:rPr>
      </w:pPr>
      <w:r w:rsidRPr="0078024B">
        <w:rPr>
          <w:rFonts w:eastAsiaTheme="minorHAnsi"/>
          <w:lang w:eastAsia="en-US"/>
        </w:rPr>
        <w:t>General comments:</w:t>
      </w:r>
    </w:p>
    <w:p w14:paraId="77181DA9" w14:textId="77777777" w:rsidR="00403B07" w:rsidRDefault="00403B07" w:rsidP="00403B07">
      <w:pPr>
        <w:rPr>
          <w:rFonts w:cs="Arial"/>
          <w:b/>
          <w:sz w:val="24"/>
          <w:szCs w:val="24"/>
        </w:rPr>
      </w:pPr>
      <w:r>
        <w:rPr>
          <w:rFonts w:cs="Arial"/>
          <w:b/>
          <w:sz w:val="24"/>
          <w:szCs w:val="24"/>
        </w:rPr>
        <w:br w:type="page"/>
      </w:r>
    </w:p>
    <w:p w14:paraId="7336CEE2" w14:textId="4131979E" w:rsidR="00403B07" w:rsidRPr="00832C3C" w:rsidRDefault="00403B07" w:rsidP="00AB4D98">
      <w:pPr>
        <w:pStyle w:val="Heading1"/>
      </w:pPr>
      <w:bookmarkStart w:id="689" w:name="_Toc475974422"/>
      <w:r w:rsidRPr="00832C3C">
        <w:lastRenderedPageBreak/>
        <w:t>Appendix 1</w:t>
      </w:r>
      <w:r w:rsidR="00705B64">
        <w:t>5</w:t>
      </w:r>
      <w:r w:rsidRPr="00832C3C">
        <w:t xml:space="preserve"> Fidelity to Function example checklist</w:t>
      </w:r>
      <w:bookmarkEnd w:id="689"/>
      <w:r w:rsidRPr="00832C3C">
        <w:t xml:space="preserve"> </w:t>
      </w:r>
    </w:p>
    <w:p w14:paraId="18ABA2EC" w14:textId="77777777" w:rsidR="00403B07" w:rsidRDefault="00403B07" w:rsidP="00403B07">
      <w:pPr>
        <w:rPr>
          <w:rFonts w:cs="Arial"/>
          <w:b/>
          <w:sz w:val="24"/>
          <w:szCs w:val="24"/>
        </w:rPr>
      </w:pPr>
    </w:p>
    <w:p w14:paraId="0B960417" w14:textId="77777777" w:rsidR="00403B07" w:rsidRPr="00E82386" w:rsidRDefault="00403B07" w:rsidP="00403B07">
      <w:pPr>
        <w:jc w:val="center"/>
        <w:rPr>
          <w:rFonts w:eastAsiaTheme="minorHAnsi"/>
          <w:b/>
          <w:lang w:eastAsia="en-US"/>
        </w:rPr>
      </w:pPr>
      <w:r w:rsidRPr="00E82386">
        <w:rPr>
          <w:rFonts w:eastAsiaTheme="minorHAnsi"/>
          <w:b/>
          <w:lang w:eastAsia="en-US"/>
        </w:rPr>
        <w:t>PHASE 1</w:t>
      </w:r>
    </w:p>
    <w:p w14:paraId="15279D5B" w14:textId="77777777" w:rsidR="00403B07" w:rsidRPr="00E82386" w:rsidRDefault="00403B07" w:rsidP="00403B07">
      <w:pPr>
        <w:jc w:val="center"/>
        <w:rPr>
          <w:rFonts w:eastAsiaTheme="minorHAnsi"/>
          <w:b/>
          <w:lang w:eastAsia="en-US"/>
        </w:rPr>
      </w:pPr>
      <w:r w:rsidRPr="00E82386">
        <w:rPr>
          <w:rFonts w:eastAsiaTheme="minorHAnsi"/>
          <w:b/>
          <w:lang w:eastAsia="en-US"/>
        </w:rPr>
        <w:t xml:space="preserve">Parent Assembly Fidelity Check </w:t>
      </w:r>
    </w:p>
    <w:p w14:paraId="2BCC6BF9" w14:textId="77777777" w:rsidR="00403B07" w:rsidRPr="00E82386" w:rsidRDefault="00403B07" w:rsidP="00403B07">
      <w:pPr>
        <w:rPr>
          <w:rFonts w:eastAsiaTheme="minorHAnsi"/>
          <w:lang w:eastAsia="en-US"/>
        </w:rPr>
      </w:pPr>
      <w:r w:rsidRPr="00E82386">
        <w:rPr>
          <w:rFonts w:eastAsiaTheme="minorHAnsi"/>
          <w:lang w:eastAsia="en-US"/>
        </w:rPr>
        <w:t xml:space="preserve">NAME OF SCHOOL: </w:t>
      </w:r>
    </w:p>
    <w:p w14:paraId="5C5706F9" w14:textId="77777777" w:rsidR="00403B07" w:rsidRPr="00E82386" w:rsidRDefault="00403B07" w:rsidP="00403B07">
      <w:pPr>
        <w:rPr>
          <w:rFonts w:eastAsiaTheme="minorHAnsi"/>
          <w:lang w:eastAsia="en-US"/>
        </w:rPr>
      </w:pPr>
      <w:r w:rsidRPr="00E82386">
        <w:rPr>
          <w:rFonts w:eastAsiaTheme="minorHAnsi"/>
          <w:lang w:eastAsia="en-US"/>
        </w:rPr>
        <w:t>NAME OF OBSERVER:</w:t>
      </w:r>
    </w:p>
    <w:p w14:paraId="11B35E4B" w14:textId="77777777" w:rsidR="00403B07" w:rsidRPr="00E82386" w:rsidRDefault="00403B07" w:rsidP="00403B07">
      <w:pPr>
        <w:rPr>
          <w:rFonts w:eastAsiaTheme="minorHAnsi"/>
          <w:lang w:eastAsia="en-US"/>
        </w:rPr>
      </w:pPr>
      <w:r w:rsidRPr="00E82386">
        <w:rPr>
          <w:rFonts w:eastAsiaTheme="minorHAnsi"/>
          <w:lang w:eastAsia="en-US"/>
        </w:rPr>
        <w:t>DATE:</w:t>
      </w:r>
    </w:p>
    <w:p w14:paraId="293522F0" w14:textId="77777777" w:rsidR="00403B07" w:rsidRPr="00E82386" w:rsidRDefault="00403B07" w:rsidP="00403B07">
      <w:pPr>
        <w:rPr>
          <w:rFonts w:eastAsiaTheme="minorHAnsi"/>
          <w:lang w:eastAsia="en-US"/>
        </w:rPr>
      </w:pPr>
      <w:r w:rsidRPr="00E82386">
        <w:rPr>
          <w:rFonts w:eastAsiaTheme="minorHAnsi"/>
          <w:lang w:eastAsia="en-US"/>
        </w:rPr>
        <w:t>Quality of delivery and participant responsiveness (1=Low Quality</w:t>
      </w:r>
      <w:r w:rsidRPr="00E82386">
        <w:rPr>
          <w:rFonts w:eastAsiaTheme="minorHAnsi"/>
          <w:lang w:eastAsia="en-US"/>
        </w:rPr>
        <w:tab/>
        <w:t>10=High Quality)</w:t>
      </w:r>
    </w:p>
    <w:tbl>
      <w:tblPr>
        <w:tblStyle w:val="TableGrid5"/>
        <w:tblW w:w="0" w:type="auto"/>
        <w:tblLook w:val="04A0" w:firstRow="1" w:lastRow="0" w:firstColumn="1" w:lastColumn="0" w:noHBand="0" w:noVBand="1"/>
      </w:tblPr>
      <w:tblGrid>
        <w:gridCol w:w="2192"/>
        <w:gridCol w:w="701"/>
        <w:gridCol w:w="701"/>
        <w:gridCol w:w="702"/>
        <w:gridCol w:w="702"/>
        <w:gridCol w:w="702"/>
        <w:gridCol w:w="702"/>
        <w:gridCol w:w="702"/>
        <w:gridCol w:w="702"/>
        <w:gridCol w:w="703"/>
        <w:gridCol w:w="733"/>
      </w:tblGrid>
      <w:tr w:rsidR="00403B07" w:rsidRPr="00E82386" w14:paraId="63B1D328" w14:textId="77777777" w:rsidTr="00B01272">
        <w:tc>
          <w:tcPr>
            <w:tcW w:w="2192" w:type="dxa"/>
          </w:tcPr>
          <w:p w14:paraId="768A13CC" w14:textId="77777777" w:rsidR="00403B07" w:rsidRPr="00E82386" w:rsidRDefault="00403B07" w:rsidP="00B01272"/>
        </w:tc>
        <w:tc>
          <w:tcPr>
            <w:tcW w:w="701" w:type="dxa"/>
          </w:tcPr>
          <w:p w14:paraId="2A26654F" w14:textId="77777777" w:rsidR="00403B07" w:rsidRPr="00E82386" w:rsidRDefault="00403B07" w:rsidP="00B01272">
            <w:pPr>
              <w:rPr>
                <w:b/>
              </w:rPr>
            </w:pPr>
            <w:r w:rsidRPr="00E82386">
              <w:rPr>
                <w:b/>
              </w:rPr>
              <w:t>1</w:t>
            </w:r>
          </w:p>
        </w:tc>
        <w:tc>
          <w:tcPr>
            <w:tcW w:w="701" w:type="dxa"/>
          </w:tcPr>
          <w:p w14:paraId="1E094644" w14:textId="77777777" w:rsidR="00403B07" w:rsidRPr="00E82386" w:rsidRDefault="00403B07" w:rsidP="00B01272">
            <w:pPr>
              <w:rPr>
                <w:b/>
              </w:rPr>
            </w:pPr>
            <w:r w:rsidRPr="00E82386">
              <w:rPr>
                <w:b/>
              </w:rPr>
              <w:t>2</w:t>
            </w:r>
          </w:p>
        </w:tc>
        <w:tc>
          <w:tcPr>
            <w:tcW w:w="702" w:type="dxa"/>
          </w:tcPr>
          <w:p w14:paraId="64D96BE1" w14:textId="77777777" w:rsidR="00403B07" w:rsidRPr="00E82386" w:rsidRDefault="00403B07" w:rsidP="00B01272">
            <w:pPr>
              <w:rPr>
                <w:b/>
              </w:rPr>
            </w:pPr>
            <w:r w:rsidRPr="00E82386">
              <w:rPr>
                <w:b/>
              </w:rPr>
              <w:t>3</w:t>
            </w:r>
          </w:p>
        </w:tc>
        <w:tc>
          <w:tcPr>
            <w:tcW w:w="702" w:type="dxa"/>
          </w:tcPr>
          <w:p w14:paraId="040C7407" w14:textId="77777777" w:rsidR="00403B07" w:rsidRPr="00E82386" w:rsidRDefault="00403B07" w:rsidP="00B01272">
            <w:pPr>
              <w:rPr>
                <w:b/>
              </w:rPr>
            </w:pPr>
            <w:r w:rsidRPr="00E82386">
              <w:rPr>
                <w:b/>
              </w:rPr>
              <w:t>4</w:t>
            </w:r>
          </w:p>
        </w:tc>
        <w:tc>
          <w:tcPr>
            <w:tcW w:w="702" w:type="dxa"/>
          </w:tcPr>
          <w:p w14:paraId="6CCBE97C" w14:textId="77777777" w:rsidR="00403B07" w:rsidRPr="00E82386" w:rsidRDefault="00403B07" w:rsidP="00B01272">
            <w:pPr>
              <w:rPr>
                <w:b/>
              </w:rPr>
            </w:pPr>
            <w:r w:rsidRPr="00E82386">
              <w:rPr>
                <w:b/>
              </w:rPr>
              <w:t>5</w:t>
            </w:r>
          </w:p>
        </w:tc>
        <w:tc>
          <w:tcPr>
            <w:tcW w:w="702" w:type="dxa"/>
          </w:tcPr>
          <w:p w14:paraId="65C93C0C" w14:textId="77777777" w:rsidR="00403B07" w:rsidRPr="00E82386" w:rsidRDefault="00403B07" w:rsidP="00B01272">
            <w:pPr>
              <w:rPr>
                <w:b/>
              </w:rPr>
            </w:pPr>
            <w:r w:rsidRPr="00E82386">
              <w:rPr>
                <w:b/>
              </w:rPr>
              <w:t>6</w:t>
            </w:r>
          </w:p>
        </w:tc>
        <w:tc>
          <w:tcPr>
            <w:tcW w:w="702" w:type="dxa"/>
          </w:tcPr>
          <w:p w14:paraId="741177E4" w14:textId="77777777" w:rsidR="00403B07" w:rsidRPr="00E82386" w:rsidRDefault="00403B07" w:rsidP="00B01272">
            <w:pPr>
              <w:rPr>
                <w:b/>
              </w:rPr>
            </w:pPr>
            <w:r w:rsidRPr="00E82386">
              <w:rPr>
                <w:b/>
              </w:rPr>
              <w:t>7</w:t>
            </w:r>
          </w:p>
        </w:tc>
        <w:tc>
          <w:tcPr>
            <w:tcW w:w="702" w:type="dxa"/>
          </w:tcPr>
          <w:p w14:paraId="5D31565E" w14:textId="77777777" w:rsidR="00403B07" w:rsidRPr="00E82386" w:rsidRDefault="00403B07" w:rsidP="00B01272">
            <w:pPr>
              <w:rPr>
                <w:b/>
              </w:rPr>
            </w:pPr>
            <w:r w:rsidRPr="00E82386">
              <w:rPr>
                <w:b/>
              </w:rPr>
              <w:t>8</w:t>
            </w:r>
          </w:p>
        </w:tc>
        <w:tc>
          <w:tcPr>
            <w:tcW w:w="703" w:type="dxa"/>
          </w:tcPr>
          <w:p w14:paraId="48CB4DC2" w14:textId="77777777" w:rsidR="00403B07" w:rsidRPr="00E82386" w:rsidRDefault="00403B07" w:rsidP="00B01272">
            <w:pPr>
              <w:rPr>
                <w:b/>
              </w:rPr>
            </w:pPr>
            <w:r w:rsidRPr="00E82386">
              <w:rPr>
                <w:b/>
              </w:rPr>
              <w:t>9</w:t>
            </w:r>
          </w:p>
        </w:tc>
        <w:tc>
          <w:tcPr>
            <w:tcW w:w="733" w:type="dxa"/>
          </w:tcPr>
          <w:p w14:paraId="3A72DDC0" w14:textId="77777777" w:rsidR="00403B07" w:rsidRPr="00E82386" w:rsidRDefault="00403B07" w:rsidP="00B01272">
            <w:pPr>
              <w:rPr>
                <w:b/>
              </w:rPr>
            </w:pPr>
            <w:r w:rsidRPr="00E82386">
              <w:rPr>
                <w:b/>
              </w:rPr>
              <w:t>10</w:t>
            </w:r>
          </w:p>
        </w:tc>
      </w:tr>
      <w:tr w:rsidR="00403B07" w:rsidRPr="00E82386" w14:paraId="1C1EBE10" w14:textId="77777777" w:rsidTr="00B01272">
        <w:tc>
          <w:tcPr>
            <w:tcW w:w="2192" w:type="dxa"/>
          </w:tcPr>
          <w:p w14:paraId="37FE9F84" w14:textId="77777777" w:rsidR="00403B07" w:rsidRPr="00E82386" w:rsidRDefault="00403B07" w:rsidP="00B01272">
            <w:r w:rsidRPr="00E82386">
              <w:t>Enthusiastic delivery</w:t>
            </w:r>
          </w:p>
        </w:tc>
        <w:tc>
          <w:tcPr>
            <w:tcW w:w="701" w:type="dxa"/>
          </w:tcPr>
          <w:p w14:paraId="3E3A59B4" w14:textId="77777777" w:rsidR="00403B07" w:rsidRPr="00E82386" w:rsidRDefault="00403B07" w:rsidP="00B01272"/>
        </w:tc>
        <w:tc>
          <w:tcPr>
            <w:tcW w:w="701" w:type="dxa"/>
          </w:tcPr>
          <w:p w14:paraId="5F90248E" w14:textId="77777777" w:rsidR="00403B07" w:rsidRPr="00E82386" w:rsidRDefault="00403B07" w:rsidP="00B01272"/>
        </w:tc>
        <w:tc>
          <w:tcPr>
            <w:tcW w:w="702" w:type="dxa"/>
          </w:tcPr>
          <w:p w14:paraId="37D75771" w14:textId="77777777" w:rsidR="00403B07" w:rsidRPr="00E82386" w:rsidRDefault="00403B07" w:rsidP="00B01272"/>
        </w:tc>
        <w:tc>
          <w:tcPr>
            <w:tcW w:w="702" w:type="dxa"/>
          </w:tcPr>
          <w:p w14:paraId="5B426D8E" w14:textId="77777777" w:rsidR="00403B07" w:rsidRPr="00E82386" w:rsidRDefault="00403B07" w:rsidP="00B01272"/>
        </w:tc>
        <w:tc>
          <w:tcPr>
            <w:tcW w:w="702" w:type="dxa"/>
          </w:tcPr>
          <w:p w14:paraId="1E71C2D2" w14:textId="77777777" w:rsidR="00403B07" w:rsidRPr="00E82386" w:rsidRDefault="00403B07" w:rsidP="00B01272"/>
        </w:tc>
        <w:tc>
          <w:tcPr>
            <w:tcW w:w="702" w:type="dxa"/>
          </w:tcPr>
          <w:p w14:paraId="0D4BAACA" w14:textId="77777777" w:rsidR="00403B07" w:rsidRPr="00E82386" w:rsidRDefault="00403B07" w:rsidP="00B01272"/>
        </w:tc>
        <w:tc>
          <w:tcPr>
            <w:tcW w:w="702" w:type="dxa"/>
          </w:tcPr>
          <w:p w14:paraId="2AE3B936" w14:textId="77777777" w:rsidR="00403B07" w:rsidRPr="00E82386" w:rsidRDefault="00403B07" w:rsidP="00B01272"/>
        </w:tc>
        <w:tc>
          <w:tcPr>
            <w:tcW w:w="702" w:type="dxa"/>
          </w:tcPr>
          <w:p w14:paraId="7D451E6F" w14:textId="77777777" w:rsidR="00403B07" w:rsidRPr="00E82386" w:rsidRDefault="00403B07" w:rsidP="00B01272"/>
        </w:tc>
        <w:tc>
          <w:tcPr>
            <w:tcW w:w="703" w:type="dxa"/>
          </w:tcPr>
          <w:p w14:paraId="5FAD9603" w14:textId="77777777" w:rsidR="00403B07" w:rsidRPr="00E82386" w:rsidRDefault="00403B07" w:rsidP="00B01272"/>
        </w:tc>
        <w:tc>
          <w:tcPr>
            <w:tcW w:w="733" w:type="dxa"/>
          </w:tcPr>
          <w:p w14:paraId="2160DD83" w14:textId="77777777" w:rsidR="00403B07" w:rsidRPr="00E82386" w:rsidRDefault="00403B07" w:rsidP="00B01272"/>
        </w:tc>
      </w:tr>
      <w:tr w:rsidR="00403B07" w:rsidRPr="00E82386" w14:paraId="53464185" w14:textId="77777777" w:rsidTr="00B01272">
        <w:tc>
          <w:tcPr>
            <w:tcW w:w="2192" w:type="dxa"/>
          </w:tcPr>
          <w:p w14:paraId="626E2CA0" w14:textId="77777777" w:rsidR="00403B07" w:rsidRPr="00E82386" w:rsidRDefault="00403B07" w:rsidP="00B01272">
            <w:r w:rsidRPr="00E82386">
              <w:t>Engaged/participating children</w:t>
            </w:r>
          </w:p>
        </w:tc>
        <w:tc>
          <w:tcPr>
            <w:tcW w:w="701" w:type="dxa"/>
          </w:tcPr>
          <w:p w14:paraId="37B2D489" w14:textId="77777777" w:rsidR="00403B07" w:rsidRPr="00E82386" w:rsidRDefault="00403B07" w:rsidP="00B01272"/>
        </w:tc>
        <w:tc>
          <w:tcPr>
            <w:tcW w:w="701" w:type="dxa"/>
          </w:tcPr>
          <w:p w14:paraId="62906083" w14:textId="77777777" w:rsidR="00403B07" w:rsidRPr="00E82386" w:rsidRDefault="00403B07" w:rsidP="00B01272"/>
        </w:tc>
        <w:tc>
          <w:tcPr>
            <w:tcW w:w="702" w:type="dxa"/>
          </w:tcPr>
          <w:p w14:paraId="57D36C23" w14:textId="77777777" w:rsidR="00403B07" w:rsidRPr="00E82386" w:rsidRDefault="00403B07" w:rsidP="00B01272"/>
        </w:tc>
        <w:tc>
          <w:tcPr>
            <w:tcW w:w="702" w:type="dxa"/>
          </w:tcPr>
          <w:p w14:paraId="64E85FCB" w14:textId="77777777" w:rsidR="00403B07" w:rsidRPr="00E82386" w:rsidRDefault="00403B07" w:rsidP="00B01272"/>
        </w:tc>
        <w:tc>
          <w:tcPr>
            <w:tcW w:w="702" w:type="dxa"/>
          </w:tcPr>
          <w:p w14:paraId="41AFC9DC" w14:textId="77777777" w:rsidR="00403B07" w:rsidRPr="00E82386" w:rsidRDefault="00403B07" w:rsidP="00B01272"/>
        </w:tc>
        <w:tc>
          <w:tcPr>
            <w:tcW w:w="702" w:type="dxa"/>
          </w:tcPr>
          <w:p w14:paraId="0FDFD1F8" w14:textId="77777777" w:rsidR="00403B07" w:rsidRPr="00E82386" w:rsidRDefault="00403B07" w:rsidP="00B01272"/>
        </w:tc>
        <w:tc>
          <w:tcPr>
            <w:tcW w:w="702" w:type="dxa"/>
          </w:tcPr>
          <w:p w14:paraId="1886D0CB" w14:textId="77777777" w:rsidR="00403B07" w:rsidRPr="00E82386" w:rsidRDefault="00403B07" w:rsidP="00B01272"/>
        </w:tc>
        <w:tc>
          <w:tcPr>
            <w:tcW w:w="702" w:type="dxa"/>
          </w:tcPr>
          <w:p w14:paraId="0704A9FB" w14:textId="77777777" w:rsidR="00403B07" w:rsidRPr="00E82386" w:rsidRDefault="00403B07" w:rsidP="00B01272"/>
        </w:tc>
        <w:tc>
          <w:tcPr>
            <w:tcW w:w="703" w:type="dxa"/>
          </w:tcPr>
          <w:p w14:paraId="58F9B86E" w14:textId="77777777" w:rsidR="00403B07" w:rsidRPr="00E82386" w:rsidRDefault="00403B07" w:rsidP="00B01272"/>
        </w:tc>
        <w:tc>
          <w:tcPr>
            <w:tcW w:w="733" w:type="dxa"/>
          </w:tcPr>
          <w:p w14:paraId="7F254147" w14:textId="77777777" w:rsidR="00403B07" w:rsidRPr="00E82386" w:rsidRDefault="00403B07" w:rsidP="00B01272"/>
        </w:tc>
      </w:tr>
      <w:tr w:rsidR="00403B07" w:rsidRPr="00E82386" w14:paraId="5457CBBD" w14:textId="77777777" w:rsidTr="00B01272">
        <w:tc>
          <w:tcPr>
            <w:tcW w:w="2192" w:type="dxa"/>
          </w:tcPr>
          <w:p w14:paraId="494C678E" w14:textId="77777777" w:rsidR="00403B07" w:rsidRPr="00E82386" w:rsidRDefault="00403B07" w:rsidP="00B01272">
            <w:r w:rsidRPr="00E82386">
              <w:t>Engaged parents</w:t>
            </w:r>
          </w:p>
        </w:tc>
        <w:tc>
          <w:tcPr>
            <w:tcW w:w="701" w:type="dxa"/>
          </w:tcPr>
          <w:p w14:paraId="132D7D11" w14:textId="77777777" w:rsidR="00403B07" w:rsidRPr="00E82386" w:rsidRDefault="00403B07" w:rsidP="00B01272"/>
        </w:tc>
        <w:tc>
          <w:tcPr>
            <w:tcW w:w="701" w:type="dxa"/>
          </w:tcPr>
          <w:p w14:paraId="5323BDC8" w14:textId="77777777" w:rsidR="00403B07" w:rsidRPr="00E82386" w:rsidRDefault="00403B07" w:rsidP="00B01272"/>
        </w:tc>
        <w:tc>
          <w:tcPr>
            <w:tcW w:w="702" w:type="dxa"/>
          </w:tcPr>
          <w:p w14:paraId="1D347BDF" w14:textId="77777777" w:rsidR="00403B07" w:rsidRPr="00E82386" w:rsidRDefault="00403B07" w:rsidP="00B01272"/>
        </w:tc>
        <w:tc>
          <w:tcPr>
            <w:tcW w:w="702" w:type="dxa"/>
          </w:tcPr>
          <w:p w14:paraId="0180E82B" w14:textId="77777777" w:rsidR="00403B07" w:rsidRPr="00E82386" w:rsidRDefault="00403B07" w:rsidP="00B01272"/>
        </w:tc>
        <w:tc>
          <w:tcPr>
            <w:tcW w:w="702" w:type="dxa"/>
          </w:tcPr>
          <w:p w14:paraId="4957580B" w14:textId="77777777" w:rsidR="00403B07" w:rsidRPr="00E82386" w:rsidRDefault="00403B07" w:rsidP="00B01272"/>
        </w:tc>
        <w:tc>
          <w:tcPr>
            <w:tcW w:w="702" w:type="dxa"/>
          </w:tcPr>
          <w:p w14:paraId="36D96E19" w14:textId="77777777" w:rsidR="00403B07" w:rsidRPr="00E82386" w:rsidRDefault="00403B07" w:rsidP="00B01272"/>
        </w:tc>
        <w:tc>
          <w:tcPr>
            <w:tcW w:w="702" w:type="dxa"/>
          </w:tcPr>
          <w:p w14:paraId="4E617AB1" w14:textId="77777777" w:rsidR="00403B07" w:rsidRPr="00E82386" w:rsidRDefault="00403B07" w:rsidP="00B01272"/>
        </w:tc>
        <w:tc>
          <w:tcPr>
            <w:tcW w:w="702" w:type="dxa"/>
          </w:tcPr>
          <w:p w14:paraId="0CACA854" w14:textId="77777777" w:rsidR="00403B07" w:rsidRPr="00E82386" w:rsidRDefault="00403B07" w:rsidP="00B01272"/>
        </w:tc>
        <w:tc>
          <w:tcPr>
            <w:tcW w:w="703" w:type="dxa"/>
          </w:tcPr>
          <w:p w14:paraId="56C251B1" w14:textId="77777777" w:rsidR="00403B07" w:rsidRPr="00E82386" w:rsidRDefault="00403B07" w:rsidP="00B01272"/>
        </w:tc>
        <w:tc>
          <w:tcPr>
            <w:tcW w:w="733" w:type="dxa"/>
          </w:tcPr>
          <w:p w14:paraId="77C4CF76" w14:textId="77777777" w:rsidR="00403B07" w:rsidRPr="00E82386" w:rsidRDefault="00403B07" w:rsidP="00B01272"/>
        </w:tc>
      </w:tr>
      <w:tr w:rsidR="00403B07" w:rsidRPr="00E82386" w14:paraId="34B43A2A" w14:textId="77777777" w:rsidTr="00B01272">
        <w:tc>
          <w:tcPr>
            <w:tcW w:w="2192" w:type="dxa"/>
          </w:tcPr>
          <w:p w14:paraId="473004D3" w14:textId="77777777" w:rsidR="00403B07" w:rsidRPr="00E82386" w:rsidRDefault="00403B07" w:rsidP="00B01272">
            <w:r w:rsidRPr="00E82386">
              <w:t>Engaged school staff</w:t>
            </w:r>
          </w:p>
        </w:tc>
        <w:tc>
          <w:tcPr>
            <w:tcW w:w="701" w:type="dxa"/>
          </w:tcPr>
          <w:p w14:paraId="1835F376" w14:textId="77777777" w:rsidR="00403B07" w:rsidRPr="00E82386" w:rsidRDefault="00403B07" w:rsidP="00B01272"/>
        </w:tc>
        <w:tc>
          <w:tcPr>
            <w:tcW w:w="701" w:type="dxa"/>
          </w:tcPr>
          <w:p w14:paraId="68C9C36A" w14:textId="77777777" w:rsidR="00403B07" w:rsidRPr="00E82386" w:rsidRDefault="00403B07" w:rsidP="00B01272"/>
        </w:tc>
        <w:tc>
          <w:tcPr>
            <w:tcW w:w="702" w:type="dxa"/>
          </w:tcPr>
          <w:p w14:paraId="1F5AB9A3" w14:textId="77777777" w:rsidR="00403B07" w:rsidRPr="00E82386" w:rsidRDefault="00403B07" w:rsidP="00B01272"/>
        </w:tc>
        <w:tc>
          <w:tcPr>
            <w:tcW w:w="702" w:type="dxa"/>
          </w:tcPr>
          <w:p w14:paraId="76906CEA" w14:textId="77777777" w:rsidR="00403B07" w:rsidRPr="00E82386" w:rsidRDefault="00403B07" w:rsidP="00B01272"/>
        </w:tc>
        <w:tc>
          <w:tcPr>
            <w:tcW w:w="702" w:type="dxa"/>
          </w:tcPr>
          <w:p w14:paraId="1DAF50E2" w14:textId="77777777" w:rsidR="00403B07" w:rsidRPr="00E82386" w:rsidRDefault="00403B07" w:rsidP="00B01272"/>
        </w:tc>
        <w:tc>
          <w:tcPr>
            <w:tcW w:w="702" w:type="dxa"/>
          </w:tcPr>
          <w:p w14:paraId="69BEBBF3" w14:textId="77777777" w:rsidR="00403B07" w:rsidRPr="00E82386" w:rsidRDefault="00403B07" w:rsidP="00B01272"/>
        </w:tc>
        <w:tc>
          <w:tcPr>
            <w:tcW w:w="702" w:type="dxa"/>
          </w:tcPr>
          <w:p w14:paraId="553D4EEA" w14:textId="77777777" w:rsidR="00403B07" w:rsidRPr="00E82386" w:rsidRDefault="00403B07" w:rsidP="00B01272"/>
        </w:tc>
        <w:tc>
          <w:tcPr>
            <w:tcW w:w="702" w:type="dxa"/>
          </w:tcPr>
          <w:p w14:paraId="2C094798" w14:textId="77777777" w:rsidR="00403B07" w:rsidRPr="00E82386" w:rsidRDefault="00403B07" w:rsidP="00B01272"/>
        </w:tc>
        <w:tc>
          <w:tcPr>
            <w:tcW w:w="703" w:type="dxa"/>
          </w:tcPr>
          <w:p w14:paraId="7B0C4ADC" w14:textId="77777777" w:rsidR="00403B07" w:rsidRPr="00E82386" w:rsidRDefault="00403B07" w:rsidP="00B01272"/>
        </w:tc>
        <w:tc>
          <w:tcPr>
            <w:tcW w:w="733" w:type="dxa"/>
          </w:tcPr>
          <w:p w14:paraId="21A0E66A" w14:textId="77777777" w:rsidR="00403B07" w:rsidRPr="00E82386" w:rsidRDefault="00403B07" w:rsidP="00B01272"/>
        </w:tc>
      </w:tr>
    </w:tbl>
    <w:p w14:paraId="012825F1" w14:textId="77777777" w:rsidR="00403B07" w:rsidRPr="00E82386" w:rsidRDefault="00403B07" w:rsidP="00403B07">
      <w:pPr>
        <w:rPr>
          <w:rFonts w:eastAsiaTheme="minorHAnsi"/>
          <w:lang w:eastAsia="en-US"/>
        </w:rPr>
      </w:pPr>
    </w:p>
    <w:tbl>
      <w:tblPr>
        <w:tblStyle w:val="TableGrid5"/>
        <w:tblW w:w="0" w:type="auto"/>
        <w:tblLook w:val="04A0" w:firstRow="1" w:lastRow="0" w:firstColumn="1" w:lastColumn="0" w:noHBand="0" w:noVBand="1"/>
      </w:tblPr>
      <w:tblGrid>
        <w:gridCol w:w="3080"/>
        <w:gridCol w:w="3081"/>
      </w:tblGrid>
      <w:tr w:rsidR="00403B07" w:rsidRPr="00E82386" w14:paraId="69592431" w14:textId="77777777" w:rsidTr="00B01272">
        <w:tc>
          <w:tcPr>
            <w:tcW w:w="3080" w:type="dxa"/>
          </w:tcPr>
          <w:p w14:paraId="7C44495E" w14:textId="77777777" w:rsidR="00403B07" w:rsidRPr="00E82386" w:rsidRDefault="00403B07" w:rsidP="00B01272"/>
        </w:tc>
        <w:tc>
          <w:tcPr>
            <w:tcW w:w="3081" w:type="dxa"/>
          </w:tcPr>
          <w:p w14:paraId="62BF8B8A" w14:textId="77777777" w:rsidR="00403B07" w:rsidRPr="00E82386" w:rsidRDefault="00403B07" w:rsidP="00B01272">
            <w:r w:rsidRPr="00E82386">
              <w:t>Yes/No</w:t>
            </w:r>
          </w:p>
        </w:tc>
      </w:tr>
      <w:tr w:rsidR="00403B07" w:rsidRPr="00E82386" w14:paraId="63DA158A" w14:textId="77777777" w:rsidTr="00B01272">
        <w:tc>
          <w:tcPr>
            <w:tcW w:w="3080" w:type="dxa"/>
          </w:tcPr>
          <w:p w14:paraId="1BCE5DB2" w14:textId="77777777" w:rsidR="00403B07" w:rsidRPr="00E82386" w:rsidRDefault="00403B07" w:rsidP="00B01272">
            <w:r w:rsidRPr="00E82386">
              <w:t>Presence of a senior member of staff (e.g. Head, Deputy Head)</w:t>
            </w:r>
          </w:p>
        </w:tc>
        <w:tc>
          <w:tcPr>
            <w:tcW w:w="3081" w:type="dxa"/>
          </w:tcPr>
          <w:p w14:paraId="56ED2CBC" w14:textId="77777777" w:rsidR="00403B07" w:rsidRPr="00E82386" w:rsidRDefault="00403B07" w:rsidP="00B01272"/>
        </w:tc>
      </w:tr>
      <w:tr w:rsidR="00403B07" w:rsidRPr="00E82386" w14:paraId="5828C2CD" w14:textId="77777777" w:rsidTr="00B01272">
        <w:tc>
          <w:tcPr>
            <w:tcW w:w="3080" w:type="dxa"/>
          </w:tcPr>
          <w:p w14:paraId="407948E4" w14:textId="77777777" w:rsidR="00403B07" w:rsidRPr="00E82386" w:rsidRDefault="00403B07" w:rsidP="00B01272">
            <w:r w:rsidRPr="00E82386">
              <w:t>Year 5 teacher in charge</w:t>
            </w:r>
          </w:p>
        </w:tc>
        <w:tc>
          <w:tcPr>
            <w:tcW w:w="3081" w:type="dxa"/>
          </w:tcPr>
          <w:p w14:paraId="07EE330A" w14:textId="77777777" w:rsidR="00403B07" w:rsidRPr="00E82386" w:rsidRDefault="00403B07" w:rsidP="00B01272"/>
        </w:tc>
      </w:tr>
      <w:tr w:rsidR="00403B07" w:rsidRPr="00E82386" w14:paraId="140715AC" w14:textId="77777777" w:rsidTr="00B01272">
        <w:tc>
          <w:tcPr>
            <w:tcW w:w="3080" w:type="dxa"/>
          </w:tcPr>
          <w:p w14:paraId="2EC606D8" w14:textId="77777777" w:rsidR="00403B07" w:rsidRPr="00E82386" w:rsidRDefault="00403B07" w:rsidP="00B01272">
            <w:r w:rsidRPr="00E82386">
              <w:t>Presence of all year 5 teachers</w:t>
            </w:r>
          </w:p>
        </w:tc>
        <w:tc>
          <w:tcPr>
            <w:tcW w:w="3081" w:type="dxa"/>
          </w:tcPr>
          <w:p w14:paraId="7E01542C" w14:textId="77777777" w:rsidR="00403B07" w:rsidRPr="00E82386" w:rsidRDefault="00403B07" w:rsidP="00B01272"/>
        </w:tc>
      </w:tr>
      <w:tr w:rsidR="00403B07" w:rsidRPr="00E82386" w14:paraId="24F7070C" w14:textId="77777777" w:rsidTr="00B01272">
        <w:tc>
          <w:tcPr>
            <w:tcW w:w="3080" w:type="dxa"/>
          </w:tcPr>
          <w:p w14:paraId="6ED71A5C" w14:textId="77777777" w:rsidR="00403B07" w:rsidRPr="00E82386" w:rsidRDefault="00403B07" w:rsidP="00B01272">
            <w:r w:rsidRPr="00E82386">
              <w:t>Pupils raps</w:t>
            </w:r>
          </w:p>
        </w:tc>
        <w:tc>
          <w:tcPr>
            <w:tcW w:w="3081" w:type="dxa"/>
          </w:tcPr>
          <w:p w14:paraId="4D1B2213" w14:textId="77777777" w:rsidR="00403B07" w:rsidRPr="00E82386" w:rsidRDefault="00403B07" w:rsidP="00B01272"/>
        </w:tc>
      </w:tr>
      <w:tr w:rsidR="00403B07" w:rsidRPr="00E82386" w14:paraId="7EE71BE6" w14:textId="77777777" w:rsidTr="00B01272">
        <w:tc>
          <w:tcPr>
            <w:tcW w:w="3080" w:type="dxa"/>
          </w:tcPr>
          <w:p w14:paraId="33D63086" w14:textId="77777777" w:rsidR="00403B07" w:rsidRPr="00E82386" w:rsidRDefault="00403B07" w:rsidP="00B01272">
            <w:r w:rsidRPr="00E82386">
              <w:t>Pupil dance</w:t>
            </w:r>
          </w:p>
        </w:tc>
        <w:tc>
          <w:tcPr>
            <w:tcW w:w="3081" w:type="dxa"/>
          </w:tcPr>
          <w:p w14:paraId="3B10645D" w14:textId="77777777" w:rsidR="00403B07" w:rsidRPr="00E82386" w:rsidRDefault="00403B07" w:rsidP="00B01272"/>
        </w:tc>
      </w:tr>
      <w:tr w:rsidR="00403B07" w:rsidRPr="00E82386" w14:paraId="7EDD7AEE" w14:textId="77777777" w:rsidTr="00B01272">
        <w:tc>
          <w:tcPr>
            <w:tcW w:w="3080" w:type="dxa"/>
          </w:tcPr>
          <w:p w14:paraId="032637C6" w14:textId="77777777" w:rsidR="00403B07" w:rsidRPr="00E82386" w:rsidRDefault="00403B07" w:rsidP="00B01272">
            <w:r w:rsidRPr="00E82386">
              <w:t>Pupil sports skills</w:t>
            </w:r>
          </w:p>
        </w:tc>
        <w:tc>
          <w:tcPr>
            <w:tcW w:w="3081" w:type="dxa"/>
          </w:tcPr>
          <w:p w14:paraId="6C366C16" w14:textId="77777777" w:rsidR="00403B07" w:rsidRPr="00E82386" w:rsidRDefault="00403B07" w:rsidP="00B01272"/>
        </w:tc>
      </w:tr>
    </w:tbl>
    <w:p w14:paraId="11C205CF" w14:textId="77777777" w:rsidR="00403B07" w:rsidRPr="00E82386" w:rsidRDefault="00403B07" w:rsidP="00403B07">
      <w:pPr>
        <w:rPr>
          <w:rFonts w:eastAsiaTheme="minorHAnsi"/>
          <w:lang w:eastAsia="en-US"/>
        </w:rPr>
      </w:pPr>
    </w:p>
    <w:p w14:paraId="5B6587BA" w14:textId="77777777" w:rsidR="00403B07" w:rsidRPr="00E82386" w:rsidRDefault="00403B07" w:rsidP="00403B07">
      <w:pPr>
        <w:rPr>
          <w:rFonts w:eastAsiaTheme="minorHAnsi"/>
          <w:lang w:eastAsia="en-US"/>
        </w:rPr>
      </w:pPr>
      <w:r w:rsidRPr="00E82386">
        <w:rPr>
          <w:rFonts w:eastAsiaTheme="minorHAnsi"/>
          <w:lang w:eastAsia="en-US"/>
        </w:rPr>
        <w:t>General comments</w:t>
      </w:r>
    </w:p>
    <w:p w14:paraId="6114C6E1" w14:textId="77777777" w:rsidR="00403B07" w:rsidRPr="00E82386" w:rsidRDefault="00403B07" w:rsidP="00403B07">
      <w:pPr>
        <w:rPr>
          <w:rFonts w:eastAsiaTheme="minorHAnsi"/>
          <w:lang w:eastAsia="en-US"/>
        </w:rPr>
      </w:pPr>
    </w:p>
    <w:p w14:paraId="751E9D8C" w14:textId="77777777" w:rsidR="00403B07" w:rsidRPr="00E82386" w:rsidRDefault="00403B07" w:rsidP="00403B07">
      <w:pPr>
        <w:rPr>
          <w:rFonts w:eastAsiaTheme="minorHAnsi"/>
          <w:lang w:eastAsia="en-US"/>
        </w:rPr>
      </w:pPr>
    </w:p>
    <w:p w14:paraId="328EEEB5" w14:textId="77777777" w:rsidR="00403B07" w:rsidRPr="00E82386" w:rsidRDefault="00403B07" w:rsidP="00403B07">
      <w:pPr>
        <w:rPr>
          <w:rFonts w:eastAsiaTheme="minorHAnsi"/>
          <w:lang w:eastAsia="en-US"/>
        </w:rPr>
      </w:pPr>
    </w:p>
    <w:p w14:paraId="3068707E" w14:textId="77777777" w:rsidR="00403B07" w:rsidRPr="00E82386" w:rsidRDefault="00403B07" w:rsidP="00403B07">
      <w:pPr>
        <w:rPr>
          <w:rFonts w:eastAsiaTheme="minorHAnsi"/>
          <w:lang w:eastAsia="en-US"/>
        </w:rPr>
      </w:pPr>
      <w:r w:rsidRPr="00E82386">
        <w:rPr>
          <w:rFonts w:eastAsiaTheme="minorHAnsi"/>
          <w:lang w:eastAsia="en-US"/>
        </w:rPr>
        <w:t>Teacher’s view of the evening:</w:t>
      </w:r>
    </w:p>
    <w:p w14:paraId="31B06A57" w14:textId="77777777" w:rsidR="00403B07" w:rsidRPr="00E82386" w:rsidRDefault="00403B07" w:rsidP="00403B07">
      <w:pPr>
        <w:rPr>
          <w:rFonts w:eastAsiaTheme="minorHAnsi"/>
          <w:lang w:eastAsia="en-US"/>
        </w:rPr>
      </w:pPr>
    </w:p>
    <w:p w14:paraId="57EC59E8" w14:textId="77777777" w:rsidR="00403B07" w:rsidRPr="00E82386" w:rsidRDefault="00403B07" w:rsidP="00403B07">
      <w:pPr>
        <w:rPr>
          <w:rFonts w:eastAsiaTheme="minorHAnsi"/>
          <w:lang w:eastAsia="en-US"/>
        </w:rPr>
      </w:pPr>
    </w:p>
    <w:p w14:paraId="2141EC01" w14:textId="77777777" w:rsidR="00403B07" w:rsidRPr="00E82386" w:rsidRDefault="00403B07" w:rsidP="00403B07">
      <w:pPr>
        <w:rPr>
          <w:rFonts w:eastAsiaTheme="minorHAnsi"/>
          <w:lang w:eastAsia="en-US"/>
        </w:rPr>
      </w:pPr>
    </w:p>
    <w:p w14:paraId="7907AA37" w14:textId="77777777" w:rsidR="00403B07" w:rsidRPr="00E82386" w:rsidRDefault="00403B07" w:rsidP="00403B07">
      <w:pPr>
        <w:rPr>
          <w:rFonts w:eastAsiaTheme="minorHAnsi"/>
          <w:lang w:eastAsia="en-US"/>
        </w:rPr>
      </w:pPr>
      <w:r w:rsidRPr="00E82386">
        <w:rPr>
          <w:rFonts w:eastAsiaTheme="minorHAnsi"/>
          <w:lang w:eastAsia="en-US"/>
        </w:rPr>
        <w:t>Parent conversation notes</w:t>
      </w:r>
    </w:p>
    <w:p w14:paraId="361A079A" w14:textId="77777777" w:rsidR="00403B07" w:rsidRPr="00E82386" w:rsidRDefault="00403B07" w:rsidP="00403B07">
      <w:pPr>
        <w:rPr>
          <w:rFonts w:eastAsiaTheme="minorHAnsi"/>
          <w:lang w:eastAsia="en-US"/>
        </w:rPr>
      </w:pPr>
      <w:r w:rsidRPr="00E82386">
        <w:rPr>
          <w:rFonts w:eastAsiaTheme="minorHAnsi"/>
          <w:lang w:eastAsia="en-US"/>
        </w:rPr>
        <w:br w:type="page"/>
      </w:r>
    </w:p>
    <w:p w14:paraId="1FA27018" w14:textId="62FB6953" w:rsidR="00403B07" w:rsidRPr="00E82386" w:rsidRDefault="00403B07" w:rsidP="00403B07">
      <w:pPr>
        <w:rPr>
          <w:rFonts w:cs="Arial"/>
          <w:b/>
          <w:i/>
          <w:sz w:val="24"/>
          <w:szCs w:val="24"/>
        </w:rPr>
      </w:pPr>
      <w:r w:rsidRPr="00E82386">
        <w:rPr>
          <w:rFonts w:cs="Arial"/>
          <w:b/>
          <w:i/>
          <w:sz w:val="24"/>
          <w:szCs w:val="24"/>
        </w:rPr>
        <w:lastRenderedPageBreak/>
        <w:t>Appendix 1</w:t>
      </w:r>
      <w:r w:rsidR="00A60D1B">
        <w:rPr>
          <w:rFonts w:cs="Arial"/>
          <w:b/>
          <w:i/>
          <w:sz w:val="24"/>
          <w:szCs w:val="24"/>
        </w:rPr>
        <w:t>5</w:t>
      </w:r>
      <w:r w:rsidRPr="00E82386">
        <w:rPr>
          <w:rFonts w:cs="Arial"/>
          <w:b/>
          <w:i/>
          <w:sz w:val="24"/>
          <w:szCs w:val="24"/>
        </w:rPr>
        <w:t xml:space="preserve"> Fidelity to Function example checklist (continued) </w:t>
      </w:r>
    </w:p>
    <w:p w14:paraId="35B317B2" w14:textId="77777777" w:rsidR="00403B07" w:rsidRPr="00E82386" w:rsidRDefault="00403B07" w:rsidP="00403B07">
      <w:pPr>
        <w:rPr>
          <w:rFonts w:eastAsiaTheme="minorHAnsi"/>
          <w:lang w:eastAsia="en-US"/>
        </w:rPr>
      </w:pPr>
    </w:p>
    <w:p w14:paraId="32A0CC60" w14:textId="77777777" w:rsidR="00403B07" w:rsidRPr="00E82386" w:rsidRDefault="00403B07" w:rsidP="00403B07">
      <w:pPr>
        <w:jc w:val="center"/>
        <w:rPr>
          <w:rFonts w:eastAsiaTheme="minorHAnsi"/>
          <w:b/>
          <w:lang w:eastAsia="en-US"/>
        </w:rPr>
      </w:pPr>
      <w:r w:rsidRPr="00E82386">
        <w:rPr>
          <w:rFonts w:eastAsiaTheme="minorHAnsi"/>
          <w:b/>
          <w:lang w:eastAsia="en-US"/>
        </w:rPr>
        <w:t>PHASE 3</w:t>
      </w:r>
    </w:p>
    <w:p w14:paraId="5DCD4801" w14:textId="77777777" w:rsidR="00403B07" w:rsidRPr="00E82386" w:rsidRDefault="00403B07" w:rsidP="00403B07">
      <w:pPr>
        <w:jc w:val="center"/>
        <w:rPr>
          <w:rFonts w:eastAsiaTheme="minorHAnsi"/>
          <w:b/>
          <w:lang w:eastAsia="en-US"/>
        </w:rPr>
      </w:pPr>
      <w:r w:rsidRPr="00E82386">
        <w:rPr>
          <w:rFonts w:eastAsiaTheme="minorHAnsi"/>
          <w:b/>
          <w:lang w:eastAsia="en-US"/>
        </w:rPr>
        <w:t>Forum Theatre Evening Fidelity Check</w:t>
      </w:r>
    </w:p>
    <w:p w14:paraId="275032FE" w14:textId="77777777" w:rsidR="00403B07" w:rsidRPr="00E82386" w:rsidRDefault="00403B07" w:rsidP="00403B07">
      <w:pPr>
        <w:rPr>
          <w:rFonts w:eastAsiaTheme="minorHAnsi"/>
          <w:lang w:eastAsia="en-US"/>
        </w:rPr>
      </w:pPr>
      <w:r w:rsidRPr="00E82386">
        <w:rPr>
          <w:rFonts w:eastAsiaTheme="minorHAnsi"/>
          <w:lang w:eastAsia="en-US"/>
        </w:rPr>
        <w:t xml:space="preserve">NAME OF SCHOOL: </w:t>
      </w:r>
    </w:p>
    <w:p w14:paraId="4AC111F0" w14:textId="77777777" w:rsidR="00403B07" w:rsidRPr="00E82386" w:rsidRDefault="00403B07" w:rsidP="00403B07">
      <w:pPr>
        <w:rPr>
          <w:rFonts w:eastAsiaTheme="minorHAnsi"/>
          <w:lang w:eastAsia="en-US"/>
        </w:rPr>
      </w:pPr>
      <w:r w:rsidRPr="00E82386">
        <w:rPr>
          <w:rFonts w:eastAsiaTheme="minorHAnsi"/>
          <w:lang w:eastAsia="en-US"/>
        </w:rPr>
        <w:t>NAME OF OBSERVER:</w:t>
      </w:r>
    </w:p>
    <w:p w14:paraId="6BDA11F5" w14:textId="77777777" w:rsidR="00403B07" w:rsidRPr="00E82386" w:rsidRDefault="00403B07" w:rsidP="00403B07">
      <w:pPr>
        <w:rPr>
          <w:rFonts w:eastAsiaTheme="minorHAnsi"/>
          <w:lang w:eastAsia="en-US"/>
        </w:rPr>
      </w:pPr>
      <w:r w:rsidRPr="00E82386">
        <w:rPr>
          <w:rFonts w:eastAsiaTheme="minorHAnsi"/>
          <w:lang w:eastAsia="en-US"/>
        </w:rPr>
        <w:t>DATE:</w:t>
      </w:r>
    </w:p>
    <w:p w14:paraId="27EFC1D1" w14:textId="77777777" w:rsidR="00403B07" w:rsidRPr="00E82386" w:rsidRDefault="00403B07" w:rsidP="00403B07">
      <w:pPr>
        <w:rPr>
          <w:rFonts w:eastAsiaTheme="minorHAnsi"/>
          <w:lang w:eastAsia="en-US"/>
        </w:rPr>
      </w:pPr>
      <w:r w:rsidRPr="00E82386">
        <w:rPr>
          <w:rFonts w:eastAsiaTheme="minorHAnsi"/>
          <w:lang w:eastAsia="en-US"/>
        </w:rPr>
        <w:t>Quality of delivery and participant responsiveness (1=Low Quality</w:t>
      </w:r>
      <w:r w:rsidRPr="00E82386">
        <w:rPr>
          <w:rFonts w:eastAsiaTheme="minorHAnsi"/>
          <w:lang w:eastAsia="en-US"/>
        </w:rPr>
        <w:tab/>
        <w:t>10=High Quality)</w:t>
      </w:r>
    </w:p>
    <w:tbl>
      <w:tblPr>
        <w:tblStyle w:val="TableGrid5"/>
        <w:tblW w:w="0" w:type="auto"/>
        <w:tblLook w:val="04A0" w:firstRow="1" w:lastRow="0" w:firstColumn="1" w:lastColumn="0" w:noHBand="0" w:noVBand="1"/>
      </w:tblPr>
      <w:tblGrid>
        <w:gridCol w:w="2192"/>
        <w:gridCol w:w="701"/>
        <w:gridCol w:w="701"/>
        <w:gridCol w:w="702"/>
        <w:gridCol w:w="702"/>
        <w:gridCol w:w="702"/>
        <w:gridCol w:w="702"/>
        <w:gridCol w:w="702"/>
        <w:gridCol w:w="702"/>
        <w:gridCol w:w="703"/>
        <w:gridCol w:w="733"/>
      </w:tblGrid>
      <w:tr w:rsidR="00403B07" w:rsidRPr="00E82386" w14:paraId="1A0D18A8" w14:textId="77777777" w:rsidTr="00B01272">
        <w:tc>
          <w:tcPr>
            <w:tcW w:w="2192" w:type="dxa"/>
          </w:tcPr>
          <w:p w14:paraId="33EB324A" w14:textId="77777777" w:rsidR="00403B07" w:rsidRPr="00E82386" w:rsidRDefault="00403B07" w:rsidP="00B01272"/>
        </w:tc>
        <w:tc>
          <w:tcPr>
            <w:tcW w:w="701" w:type="dxa"/>
          </w:tcPr>
          <w:p w14:paraId="60F4FFAC" w14:textId="77777777" w:rsidR="00403B07" w:rsidRPr="00E82386" w:rsidRDefault="00403B07" w:rsidP="00B01272">
            <w:pPr>
              <w:rPr>
                <w:b/>
              </w:rPr>
            </w:pPr>
            <w:r w:rsidRPr="00E82386">
              <w:rPr>
                <w:b/>
              </w:rPr>
              <w:t>1</w:t>
            </w:r>
          </w:p>
        </w:tc>
        <w:tc>
          <w:tcPr>
            <w:tcW w:w="701" w:type="dxa"/>
          </w:tcPr>
          <w:p w14:paraId="32014B91" w14:textId="77777777" w:rsidR="00403B07" w:rsidRPr="00E82386" w:rsidRDefault="00403B07" w:rsidP="00B01272">
            <w:pPr>
              <w:rPr>
                <w:b/>
              </w:rPr>
            </w:pPr>
            <w:r w:rsidRPr="00E82386">
              <w:rPr>
                <w:b/>
              </w:rPr>
              <w:t>2</w:t>
            </w:r>
          </w:p>
        </w:tc>
        <w:tc>
          <w:tcPr>
            <w:tcW w:w="702" w:type="dxa"/>
          </w:tcPr>
          <w:p w14:paraId="76BCCA98" w14:textId="77777777" w:rsidR="00403B07" w:rsidRPr="00E82386" w:rsidRDefault="00403B07" w:rsidP="00B01272">
            <w:pPr>
              <w:rPr>
                <w:b/>
              </w:rPr>
            </w:pPr>
            <w:r w:rsidRPr="00E82386">
              <w:rPr>
                <w:b/>
              </w:rPr>
              <w:t>3</w:t>
            </w:r>
          </w:p>
        </w:tc>
        <w:tc>
          <w:tcPr>
            <w:tcW w:w="702" w:type="dxa"/>
          </w:tcPr>
          <w:p w14:paraId="43B53004" w14:textId="77777777" w:rsidR="00403B07" w:rsidRPr="00E82386" w:rsidRDefault="00403B07" w:rsidP="00B01272">
            <w:pPr>
              <w:rPr>
                <w:b/>
              </w:rPr>
            </w:pPr>
            <w:r w:rsidRPr="00E82386">
              <w:rPr>
                <w:b/>
              </w:rPr>
              <w:t>4</w:t>
            </w:r>
          </w:p>
        </w:tc>
        <w:tc>
          <w:tcPr>
            <w:tcW w:w="702" w:type="dxa"/>
          </w:tcPr>
          <w:p w14:paraId="18FFDA9A" w14:textId="77777777" w:rsidR="00403B07" w:rsidRPr="00E82386" w:rsidRDefault="00403B07" w:rsidP="00B01272">
            <w:pPr>
              <w:rPr>
                <w:b/>
              </w:rPr>
            </w:pPr>
            <w:r w:rsidRPr="00E82386">
              <w:rPr>
                <w:b/>
              </w:rPr>
              <w:t>5</w:t>
            </w:r>
          </w:p>
        </w:tc>
        <w:tc>
          <w:tcPr>
            <w:tcW w:w="702" w:type="dxa"/>
          </w:tcPr>
          <w:p w14:paraId="2A7214EC" w14:textId="77777777" w:rsidR="00403B07" w:rsidRPr="00E82386" w:rsidRDefault="00403B07" w:rsidP="00B01272">
            <w:pPr>
              <w:rPr>
                <w:b/>
              </w:rPr>
            </w:pPr>
            <w:r w:rsidRPr="00E82386">
              <w:rPr>
                <w:b/>
              </w:rPr>
              <w:t>6</w:t>
            </w:r>
          </w:p>
        </w:tc>
        <w:tc>
          <w:tcPr>
            <w:tcW w:w="702" w:type="dxa"/>
          </w:tcPr>
          <w:p w14:paraId="75996671" w14:textId="77777777" w:rsidR="00403B07" w:rsidRPr="00E82386" w:rsidRDefault="00403B07" w:rsidP="00B01272">
            <w:pPr>
              <w:rPr>
                <w:b/>
              </w:rPr>
            </w:pPr>
            <w:r w:rsidRPr="00E82386">
              <w:rPr>
                <w:b/>
              </w:rPr>
              <w:t>7</w:t>
            </w:r>
          </w:p>
        </w:tc>
        <w:tc>
          <w:tcPr>
            <w:tcW w:w="702" w:type="dxa"/>
          </w:tcPr>
          <w:p w14:paraId="18FBEC8C" w14:textId="77777777" w:rsidR="00403B07" w:rsidRPr="00E82386" w:rsidRDefault="00403B07" w:rsidP="00B01272">
            <w:pPr>
              <w:rPr>
                <w:b/>
              </w:rPr>
            </w:pPr>
            <w:r w:rsidRPr="00E82386">
              <w:rPr>
                <w:b/>
              </w:rPr>
              <w:t>8</w:t>
            </w:r>
          </w:p>
        </w:tc>
        <w:tc>
          <w:tcPr>
            <w:tcW w:w="703" w:type="dxa"/>
          </w:tcPr>
          <w:p w14:paraId="13AE7521" w14:textId="77777777" w:rsidR="00403B07" w:rsidRPr="00E82386" w:rsidRDefault="00403B07" w:rsidP="00B01272">
            <w:pPr>
              <w:rPr>
                <w:b/>
              </w:rPr>
            </w:pPr>
            <w:r w:rsidRPr="00E82386">
              <w:rPr>
                <w:b/>
              </w:rPr>
              <w:t>9</w:t>
            </w:r>
          </w:p>
        </w:tc>
        <w:tc>
          <w:tcPr>
            <w:tcW w:w="733" w:type="dxa"/>
          </w:tcPr>
          <w:p w14:paraId="26D0244B" w14:textId="77777777" w:rsidR="00403B07" w:rsidRPr="00E82386" w:rsidRDefault="00403B07" w:rsidP="00B01272">
            <w:pPr>
              <w:rPr>
                <w:b/>
              </w:rPr>
            </w:pPr>
            <w:r w:rsidRPr="00E82386">
              <w:rPr>
                <w:b/>
              </w:rPr>
              <w:t>10</w:t>
            </w:r>
          </w:p>
        </w:tc>
      </w:tr>
      <w:tr w:rsidR="00403B07" w:rsidRPr="00E82386" w14:paraId="0994B876" w14:textId="77777777" w:rsidTr="00B01272">
        <w:tc>
          <w:tcPr>
            <w:tcW w:w="2192" w:type="dxa"/>
          </w:tcPr>
          <w:p w14:paraId="03779C7B" w14:textId="77777777" w:rsidR="00403B07" w:rsidRPr="00E82386" w:rsidRDefault="00403B07" w:rsidP="00B01272">
            <w:r w:rsidRPr="00E82386">
              <w:t>Enthusiastic delivery</w:t>
            </w:r>
          </w:p>
        </w:tc>
        <w:tc>
          <w:tcPr>
            <w:tcW w:w="701" w:type="dxa"/>
          </w:tcPr>
          <w:p w14:paraId="1EBADE0C" w14:textId="77777777" w:rsidR="00403B07" w:rsidRPr="00E82386" w:rsidRDefault="00403B07" w:rsidP="00B01272"/>
        </w:tc>
        <w:tc>
          <w:tcPr>
            <w:tcW w:w="701" w:type="dxa"/>
          </w:tcPr>
          <w:p w14:paraId="01E53127" w14:textId="77777777" w:rsidR="00403B07" w:rsidRPr="00E82386" w:rsidRDefault="00403B07" w:rsidP="00B01272"/>
        </w:tc>
        <w:tc>
          <w:tcPr>
            <w:tcW w:w="702" w:type="dxa"/>
          </w:tcPr>
          <w:p w14:paraId="509B60E3" w14:textId="77777777" w:rsidR="00403B07" w:rsidRPr="00E82386" w:rsidRDefault="00403B07" w:rsidP="00B01272"/>
        </w:tc>
        <w:tc>
          <w:tcPr>
            <w:tcW w:w="702" w:type="dxa"/>
          </w:tcPr>
          <w:p w14:paraId="73E0B563" w14:textId="77777777" w:rsidR="00403B07" w:rsidRPr="00E82386" w:rsidRDefault="00403B07" w:rsidP="00B01272"/>
        </w:tc>
        <w:tc>
          <w:tcPr>
            <w:tcW w:w="702" w:type="dxa"/>
          </w:tcPr>
          <w:p w14:paraId="0E9B8E67" w14:textId="77777777" w:rsidR="00403B07" w:rsidRPr="00E82386" w:rsidRDefault="00403B07" w:rsidP="00B01272"/>
        </w:tc>
        <w:tc>
          <w:tcPr>
            <w:tcW w:w="702" w:type="dxa"/>
          </w:tcPr>
          <w:p w14:paraId="00B2CD94" w14:textId="77777777" w:rsidR="00403B07" w:rsidRPr="00E82386" w:rsidRDefault="00403B07" w:rsidP="00B01272"/>
        </w:tc>
        <w:tc>
          <w:tcPr>
            <w:tcW w:w="702" w:type="dxa"/>
          </w:tcPr>
          <w:p w14:paraId="6685572B" w14:textId="77777777" w:rsidR="00403B07" w:rsidRPr="00E82386" w:rsidRDefault="00403B07" w:rsidP="00B01272"/>
        </w:tc>
        <w:tc>
          <w:tcPr>
            <w:tcW w:w="702" w:type="dxa"/>
          </w:tcPr>
          <w:p w14:paraId="246DF380" w14:textId="77777777" w:rsidR="00403B07" w:rsidRPr="00E82386" w:rsidRDefault="00403B07" w:rsidP="00B01272"/>
        </w:tc>
        <w:tc>
          <w:tcPr>
            <w:tcW w:w="703" w:type="dxa"/>
          </w:tcPr>
          <w:p w14:paraId="29234381" w14:textId="77777777" w:rsidR="00403B07" w:rsidRPr="00E82386" w:rsidRDefault="00403B07" w:rsidP="00B01272"/>
        </w:tc>
        <w:tc>
          <w:tcPr>
            <w:tcW w:w="733" w:type="dxa"/>
          </w:tcPr>
          <w:p w14:paraId="48E162B6" w14:textId="77777777" w:rsidR="00403B07" w:rsidRPr="00E82386" w:rsidRDefault="00403B07" w:rsidP="00B01272"/>
        </w:tc>
      </w:tr>
      <w:tr w:rsidR="00403B07" w:rsidRPr="00E82386" w14:paraId="1CD4A272" w14:textId="77777777" w:rsidTr="00B01272">
        <w:tc>
          <w:tcPr>
            <w:tcW w:w="2192" w:type="dxa"/>
          </w:tcPr>
          <w:p w14:paraId="29754044" w14:textId="77777777" w:rsidR="00403B07" w:rsidRPr="00E82386" w:rsidRDefault="00403B07" w:rsidP="00B01272">
            <w:r w:rsidRPr="00E82386">
              <w:t>Engaged/participating children</w:t>
            </w:r>
          </w:p>
        </w:tc>
        <w:tc>
          <w:tcPr>
            <w:tcW w:w="701" w:type="dxa"/>
          </w:tcPr>
          <w:p w14:paraId="122F296D" w14:textId="77777777" w:rsidR="00403B07" w:rsidRPr="00E82386" w:rsidRDefault="00403B07" w:rsidP="00B01272"/>
        </w:tc>
        <w:tc>
          <w:tcPr>
            <w:tcW w:w="701" w:type="dxa"/>
          </w:tcPr>
          <w:p w14:paraId="36550155" w14:textId="77777777" w:rsidR="00403B07" w:rsidRPr="00E82386" w:rsidRDefault="00403B07" w:rsidP="00B01272"/>
        </w:tc>
        <w:tc>
          <w:tcPr>
            <w:tcW w:w="702" w:type="dxa"/>
          </w:tcPr>
          <w:p w14:paraId="7620DF56" w14:textId="77777777" w:rsidR="00403B07" w:rsidRPr="00E82386" w:rsidRDefault="00403B07" w:rsidP="00B01272"/>
        </w:tc>
        <w:tc>
          <w:tcPr>
            <w:tcW w:w="702" w:type="dxa"/>
          </w:tcPr>
          <w:p w14:paraId="6624CEB1" w14:textId="77777777" w:rsidR="00403B07" w:rsidRPr="00E82386" w:rsidRDefault="00403B07" w:rsidP="00B01272"/>
        </w:tc>
        <w:tc>
          <w:tcPr>
            <w:tcW w:w="702" w:type="dxa"/>
          </w:tcPr>
          <w:p w14:paraId="2D1A3E3C" w14:textId="77777777" w:rsidR="00403B07" w:rsidRPr="00E82386" w:rsidRDefault="00403B07" w:rsidP="00B01272"/>
        </w:tc>
        <w:tc>
          <w:tcPr>
            <w:tcW w:w="702" w:type="dxa"/>
          </w:tcPr>
          <w:p w14:paraId="62D246C8" w14:textId="77777777" w:rsidR="00403B07" w:rsidRPr="00E82386" w:rsidRDefault="00403B07" w:rsidP="00B01272"/>
        </w:tc>
        <w:tc>
          <w:tcPr>
            <w:tcW w:w="702" w:type="dxa"/>
          </w:tcPr>
          <w:p w14:paraId="37F24F55" w14:textId="77777777" w:rsidR="00403B07" w:rsidRPr="00E82386" w:rsidRDefault="00403B07" w:rsidP="00B01272"/>
        </w:tc>
        <w:tc>
          <w:tcPr>
            <w:tcW w:w="702" w:type="dxa"/>
          </w:tcPr>
          <w:p w14:paraId="65DA4033" w14:textId="77777777" w:rsidR="00403B07" w:rsidRPr="00E82386" w:rsidRDefault="00403B07" w:rsidP="00B01272"/>
        </w:tc>
        <w:tc>
          <w:tcPr>
            <w:tcW w:w="703" w:type="dxa"/>
          </w:tcPr>
          <w:p w14:paraId="00DDD9F2" w14:textId="77777777" w:rsidR="00403B07" w:rsidRPr="00E82386" w:rsidRDefault="00403B07" w:rsidP="00B01272"/>
        </w:tc>
        <w:tc>
          <w:tcPr>
            <w:tcW w:w="733" w:type="dxa"/>
          </w:tcPr>
          <w:p w14:paraId="59FEBE3A" w14:textId="77777777" w:rsidR="00403B07" w:rsidRPr="00E82386" w:rsidRDefault="00403B07" w:rsidP="00B01272"/>
        </w:tc>
      </w:tr>
      <w:tr w:rsidR="00403B07" w:rsidRPr="00E82386" w14:paraId="2B0D4F7D" w14:textId="77777777" w:rsidTr="00B01272">
        <w:tc>
          <w:tcPr>
            <w:tcW w:w="2192" w:type="dxa"/>
          </w:tcPr>
          <w:p w14:paraId="2468B985" w14:textId="77777777" w:rsidR="00403B07" w:rsidRPr="00E82386" w:rsidRDefault="00403B07" w:rsidP="00B01272">
            <w:r w:rsidRPr="00E82386">
              <w:t>Engaged parents</w:t>
            </w:r>
          </w:p>
        </w:tc>
        <w:tc>
          <w:tcPr>
            <w:tcW w:w="701" w:type="dxa"/>
          </w:tcPr>
          <w:p w14:paraId="60A1EF71" w14:textId="77777777" w:rsidR="00403B07" w:rsidRPr="00E82386" w:rsidRDefault="00403B07" w:rsidP="00B01272"/>
        </w:tc>
        <w:tc>
          <w:tcPr>
            <w:tcW w:w="701" w:type="dxa"/>
          </w:tcPr>
          <w:p w14:paraId="3F6BB0DF" w14:textId="77777777" w:rsidR="00403B07" w:rsidRPr="00E82386" w:rsidRDefault="00403B07" w:rsidP="00B01272"/>
        </w:tc>
        <w:tc>
          <w:tcPr>
            <w:tcW w:w="702" w:type="dxa"/>
          </w:tcPr>
          <w:p w14:paraId="216D274A" w14:textId="77777777" w:rsidR="00403B07" w:rsidRPr="00E82386" w:rsidRDefault="00403B07" w:rsidP="00B01272"/>
        </w:tc>
        <w:tc>
          <w:tcPr>
            <w:tcW w:w="702" w:type="dxa"/>
          </w:tcPr>
          <w:p w14:paraId="73891846" w14:textId="77777777" w:rsidR="00403B07" w:rsidRPr="00E82386" w:rsidRDefault="00403B07" w:rsidP="00B01272"/>
        </w:tc>
        <w:tc>
          <w:tcPr>
            <w:tcW w:w="702" w:type="dxa"/>
          </w:tcPr>
          <w:p w14:paraId="6D751FD3" w14:textId="77777777" w:rsidR="00403B07" w:rsidRPr="00E82386" w:rsidRDefault="00403B07" w:rsidP="00B01272"/>
        </w:tc>
        <w:tc>
          <w:tcPr>
            <w:tcW w:w="702" w:type="dxa"/>
          </w:tcPr>
          <w:p w14:paraId="4152DF28" w14:textId="77777777" w:rsidR="00403B07" w:rsidRPr="00E82386" w:rsidRDefault="00403B07" w:rsidP="00B01272"/>
        </w:tc>
        <w:tc>
          <w:tcPr>
            <w:tcW w:w="702" w:type="dxa"/>
          </w:tcPr>
          <w:p w14:paraId="2347E4F7" w14:textId="77777777" w:rsidR="00403B07" w:rsidRPr="00E82386" w:rsidRDefault="00403B07" w:rsidP="00B01272"/>
        </w:tc>
        <w:tc>
          <w:tcPr>
            <w:tcW w:w="702" w:type="dxa"/>
          </w:tcPr>
          <w:p w14:paraId="18278CA2" w14:textId="77777777" w:rsidR="00403B07" w:rsidRPr="00E82386" w:rsidRDefault="00403B07" w:rsidP="00B01272"/>
        </w:tc>
        <w:tc>
          <w:tcPr>
            <w:tcW w:w="703" w:type="dxa"/>
          </w:tcPr>
          <w:p w14:paraId="404ADF78" w14:textId="77777777" w:rsidR="00403B07" w:rsidRPr="00E82386" w:rsidRDefault="00403B07" w:rsidP="00B01272"/>
        </w:tc>
        <w:tc>
          <w:tcPr>
            <w:tcW w:w="733" w:type="dxa"/>
          </w:tcPr>
          <w:p w14:paraId="136BD66A" w14:textId="77777777" w:rsidR="00403B07" w:rsidRPr="00E82386" w:rsidRDefault="00403B07" w:rsidP="00B01272"/>
        </w:tc>
      </w:tr>
      <w:tr w:rsidR="00403B07" w:rsidRPr="00E82386" w14:paraId="4DD68976" w14:textId="77777777" w:rsidTr="00B01272">
        <w:tc>
          <w:tcPr>
            <w:tcW w:w="2192" w:type="dxa"/>
          </w:tcPr>
          <w:p w14:paraId="38AF43FB" w14:textId="77777777" w:rsidR="00403B07" w:rsidRPr="00E82386" w:rsidRDefault="00403B07" w:rsidP="00B01272">
            <w:r w:rsidRPr="00E82386">
              <w:t>Engaged staff</w:t>
            </w:r>
          </w:p>
        </w:tc>
        <w:tc>
          <w:tcPr>
            <w:tcW w:w="701" w:type="dxa"/>
          </w:tcPr>
          <w:p w14:paraId="36CFB84B" w14:textId="77777777" w:rsidR="00403B07" w:rsidRPr="00E82386" w:rsidRDefault="00403B07" w:rsidP="00B01272"/>
        </w:tc>
        <w:tc>
          <w:tcPr>
            <w:tcW w:w="701" w:type="dxa"/>
          </w:tcPr>
          <w:p w14:paraId="59DDF35B" w14:textId="77777777" w:rsidR="00403B07" w:rsidRPr="00E82386" w:rsidRDefault="00403B07" w:rsidP="00B01272"/>
        </w:tc>
        <w:tc>
          <w:tcPr>
            <w:tcW w:w="702" w:type="dxa"/>
          </w:tcPr>
          <w:p w14:paraId="32CDC94B" w14:textId="77777777" w:rsidR="00403B07" w:rsidRPr="00E82386" w:rsidRDefault="00403B07" w:rsidP="00B01272"/>
        </w:tc>
        <w:tc>
          <w:tcPr>
            <w:tcW w:w="702" w:type="dxa"/>
          </w:tcPr>
          <w:p w14:paraId="1BB016EB" w14:textId="77777777" w:rsidR="00403B07" w:rsidRPr="00E82386" w:rsidRDefault="00403B07" w:rsidP="00B01272"/>
        </w:tc>
        <w:tc>
          <w:tcPr>
            <w:tcW w:w="702" w:type="dxa"/>
          </w:tcPr>
          <w:p w14:paraId="4D6BF296" w14:textId="77777777" w:rsidR="00403B07" w:rsidRPr="00E82386" w:rsidRDefault="00403B07" w:rsidP="00B01272"/>
        </w:tc>
        <w:tc>
          <w:tcPr>
            <w:tcW w:w="702" w:type="dxa"/>
          </w:tcPr>
          <w:p w14:paraId="41464DB1" w14:textId="77777777" w:rsidR="00403B07" w:rsidRPr="00E82386" w:rsidRDefault="00403B07" w:rsidP="00B01272"/>
        </w:tc>
        <w:tc>
          <w:tcPr>
            <w:tcW w:w="702" w:type="dxa"/>
          </w:tcPr>
          <w:p w14:paraId="411F5A0A" w14:textId="77777777" w:rsidR="00403B07" w:rsidRPr="00E82386" w:rsidRDefault="00403B07" w:rsidP="00B01272"/>
        </w:tc>
        <w:tc>
          <w:tcPr>
            <w:tcW w:w="702" w:type="dxa"/>
          </w:tcPr>
          <w:p w14:paraId="6ACE0A32" w14:textId="77777777" w:rsidR="00403B07" w:rsidRPr="00E82386" w:rsidRDefault="00403B07" w:rsidP="00B01272"/>
        </w:tc>
        <w:tc>
          <w:tcPr>
            <w:tcW w:w="703" w:type="dxa"/>
          </w:tcPr>
          <w:p w14:paraId="7D6A14D3" w14:textId="77777777" w:rsidR="00403B07" w:rsidRPr="00E82386" w:rsidRDefault="00403B07" w:rsidP="00B01272"/>
        </w:tc>
        <w:tc>
          <w:tcPr>
            <w:tcW w:w="733" w:type="dxa"/>
          </w:tcPr>
          <w:p w14:paraId="69ADDBCF" w14:textId="77777777" w:rsidR="00403B07" w:rsidRPr="00E82386" w:rsidRDefault="00403B07" w:rsidP="00B01272"/>
        </w:tc>
      </w:tr>
    </w:tbl>
    <w:p w14:paraId="3A6457F9" w14:textId="77777777" w:rsidR="00403B07" w:rsidRPr="00E82386" w:rsidRDefault="00403B07" w:rsidP="00403B07">
      <w:pPr>
        <w:rPr>
          <w:rFonts w:eastAsiaTheme="minorHAnsi"/>
          <w:lang w:eastAsia="en-US"/>
        </w:rPr>
      </w:pPr>
    </w:p>
    <w:tbl>
      <w:tblPr>
        <w:tblStyle w:val="TableGrid5"/>
        <w:tblW w:w="0" w:type="auto"/>
        <w:tblLook w:val="04A0" w:firstRow="1" w:lastRow="0" w:firstColumn="1" w:lastColumn="0" w:noHBand="0" w:noVBand="1"/>
      </w:tblPr>
      <w:tblGrid>
        <w:gridCol w:w="3080"/>
        <w:gridCol w:w="3081"/>
      </w:tblGrid>
      <w:tr w:rsidR="00403B07" w:rsidRPr="00E82386" w14:paraId="22DE13EB" w14:textId="77777777" w:rsidTr="00B01272">
        <w:tc>
          <w:tcPr>
            <w:tcW w:w="3080" w:type="dxa"/>
          </w:tcPr>
          <w:p w14:paraId="368FB8B6" w14:textId="77777777" w:rsidR="00403B07" w:rsidRPr="00E82386" w:rsidRDefault="00403B07" w:rsidP="00B01272"/>
        </w:tc>
        <w:tc>
          <w:tcPr>
            <w:tcW w:w="3081" w:type="dxa"/>
          </w:tcPr>
          <w:p w14:paraId="42ADDC02" w14:textId="77777777" w:rsidR="00403B07" w:rsidRPr="00E82386" w:rsidRDefault="00403B07" w:rsidP="00B01272">
            <w:r w:rsidRPr="00E82386">
              <w:t>Yes/No</w:t>
            </w:r>
          </w:p>
        </w:tc>
      </w:tr>
      <w:tr w:rsidR="00403B07" w:rsidRPr="00E82386" w14:paraId="57E58415" w14:textId="77777777" w:rsidTr="00B01272">
        <w:tc>
          <w:tcPr>
            <w:tcW w:w="3080" w:type="dxa"/>
          </w:tcPr>
          <w:p w14:paraId="3CAED405" w14:textId="77777777" w:rsidR="00403B07" w:rsidRPr="00E82386" w:rsidRDefault="00403B07" w:rsidP="00B01272">
            <w:r w:rsidRPr="00E82386">
              <w:t>Presence of a senior member of staff (e.g. Head, Deputy Head)</w:t>
            </w:r>
          </w:p>
        </w:tc>
        <w:tc>
          <w:tcPr>
            <w:tcW w:w="3081" w:type="dxa"/>
          </w:tcPr>
          <w:p w14:paraId="1A089FC2" w14:textId="77777777" w:rsidR="00403B07" w:rsidRPr="00E82386" w:rsidRDefault="00403B07" w:rsidP="00B01272"/>
        </w:tc>
      </w:tr>
      <w:tr w:rsidR="00403B07" w:rsidRPr="00E82386" w14:paraId="5B632B2F" w14:textId="77777777" w:rsidTr="00B01272">
        <w:tc>
          <w:tcPr>
            <w:tcW w:w="3080" w:type="dxa"/>
          </w:tcPr>
          <w:p w14:paraId="1B08F2B9" w14:textId="77777777" w:rsidR="00403B07" w:rsidRPr="00E82386" w:rsidRDefault="00403B07" w:rsidP="00B01272">
            <w:r w:rsidRPr="00E82386">
              <w:t>Presence of all year 5 teachers</w:t>
            </w:r>
          </w:p>
        </w:tc>
        <w:tc>
          <w:tcPr>
            <w:tcW w:w="3081" w:type="dxa"/>
          </w:tcPr>
          <w:p w14:paraId="4154558F" w14:textId="77777777" w:rsidR="00403B07" w:rsidRPr="00E82386" w:rsidRDefault="00403B07" w:rsidP="00B01272"/>
        </w:tc>
      </w:tr>
    </w:tbl>
    <w:p w14:paraId="067C9AEC" w14:textId="77777777" w:rsidR="00403B07" w:rsidRPr="00E82386" w:rsidRDefault="00403B07" w:rsidP="00403B07">
      <w:pPr>
        <w:rPr>
          <w:rFonts w:eastAsiaTheme="minorHAnsi"/>
          <w:lang w:eastAsia="en-US"/>
        </w:rPr>
      </w:pPr>
    </w:p>
    <w:p w14:paraId="754FF1F9" w14:textId="77777777" w:rsidR="00403B07" w:rsidRPr="00E82386" w:rsidRDefault="00403B07" w:rsidP="00403B07">
      <w:pPr>
        <w:rPr>
          <w:rFonts w:eastAsiaTheme="minorHAnsi"/>
          <w:lang w:eastAsia="en-US"/>
        </w:rPr>
      </w:pPr>
      <w:r w:rsidRPr="00E82386">
        <w:rPr>
          <w:rFonts w:eastAsiaTheme="minorHAnsi"/>
          <w:lang w:eastAsia="en-US"/>
        </w:rPr>
        <w:t>General comments</w:t>
      </w:r>
    </w:p>
    <w:p w14:paraId="1702DE09" w14:textId="77777777" w:rsidR="00403B07" w:rsidRPr="00E82386" w:rsidRDefault="00403B07" w:rsidP="00403B07">
      <w:pPr>
        <w:rPr>
          <w:rFonts w:eastAsiaTheme="minorHAnsi"/>
          <w:lang w:eastAsia="en-US"/>
        </w:rPr>
      </w:pPr>
    </w:p>
    <w:p w14:paraId="640CCD6B" w14:textId="77777777" w:rsidR="00403B07" w:rsidRPr="00E82386" w:rsidRDefault="00403B07" w:rsidP="00403B07">
      <w:pPr>
        <w:rPr>
          <w:rFonts w:eastAsiaTheme="minorHAnsi"/>
          <w:lang w:eastAsia="en-US"/>
        </w:rPr>
      </w:pPr>
    </w:p>
    <w:p w14:paraId="5A316D04" w14:textId="77777777" w:rsidR="00403B07" w:rsidRPr="00E82386" w:rsidRDefault="00403B07" w:rsidP="00403B07">
      <w:pPr>
        <w:rPr>
          <w:rFonts w:eastAsiaTheme="minorHAnsi"/>
          <w:lang w:eastAsia="en-US"/>
        </w:rPr>
      </w:pPr>
    </w:p>
    <w:p w14:paraId="353028EA" w14:textId="77777777" w:rsidR="00403B07" w:rsidRPr="00E82386" w:rsidRDefault="00403B07" w:rsidP="00403B07">
      <w:pPr>
        <w:rPr>
          <w:rFonts w:eastAsiaTheme="minorHAnsi"/>
          <w:lang w:eastAsia="en-US"/>
        </w:rPr>
      </w:pPr>
      <w:r w:rsidRPr="00E82386">
        <w:rPr>
          <w:rFonts w:eastAsiaTheme="minorHAnsi"/>
          <w:lang w:eastAsia="en-US"/>
        </w:rPr>
        <w:t>Teacher’s view of the evening:</w:t>
      </w:r>
    </w:p>
    <w:p w14:paraId="139E7985" w14:textId="77777777" w:rsidR="00403B07" w:rsidRPr="00E82386" w:rsidRDefault="00403B07" w:rsidP="00403B07">
      <w:pPr>
        <w:rPr>
          <w:rFonts w:eastAsiaTheme="minorHAnsi"/>
          <w:lang w:eastAsia="en-US"/>
        </w:rPr>
      </w:pPr>
    </w:p>
    <w:p w14:paraId="41A894FE" w14:textId="77777777" w:rsidR="00403B07" w:rsidRPr="00E82386" w:rsidRDefault="00403B07" w:rsidP="00403B07">
      <w:pPr>
        <w:rPr>
          <w:rFonts w:eastAsiaTheme="minorHAnsi"/>
          <w:lang w:eastAsia="en-US"/>
        </w:rPr>
      </w:pPr>
    </w:p>
    <w:p w14:paraId="7B68BE85" w14:textId="77777777" w:rsidR="00403B07" w:rsidRPr="00E82386" w:rsidRDefault="00403B07" w:rsidP="00403B07">
      <w:pPr>
        <w:rPr>
          <w:rFonts w:eastAsiaTheme="minorHAnsi"/>
          <w:lang w:eastAsia="en-US"/>
        </w:rPr>
      </w:pPr>
    </w:p>
    <w:p w14:paraId="7C61E3E2" w14:textId="77777777" w:rsidR="00403B07" w:rsidRPr="00E82386" w:rsidRDefault="00403B07" w:rsidP="00403B07">
      <w:pPr>
        <w:rPr>
          <w:rFonts w:eastAsiaTheme="minorHAnsi"/>
          <w:lang w:eastAsia="en-US"/>
        </w:rPr>
      </w:pPr>
      <w:r w:rsidRPr="00E82386">
        <w:rPr>
          <w:rFonts w:eastAsiaTheme="minorHAnsi"/>
          <w:lang w:eastAsia="en-US"/>
        </w:rPr>
        <w:t>Parent conversation notes</w:t>
      </w:r>
    </w:p>
    <w:p w14:paraId="527040C6" w14:textId="77777777" w:rsidR="00403B07" w:rsidRPr="00E82386" w:rsidRDefault="00403B07" w:rsidP="00403B07">
      <w:pPr>
        <w:rPr>
          <w:rFonts w:eastAsiaTheme="minorHAnsi"/>
          <w:lang w:eastAsia="en-US"/>
        </w:rPr>
      </w:pPr>
    </w:p>
    <w:p w14:paraId="3771C685" w14:textId="77777777" w:rsidR="00403B07" w:rsidRDefault="00403B07" w:rsidP="00403B07">
      <w:pPr>
        <w:rPr>
          <w:rFonts w:eastAsiaTheme="minorHAnsi"/>
          <w:lang w:eastAsia="en-US"/>
        </w:rPr>
      </w:pPr>
    </w:p>
    <w:p w14:paraId="22D9A6F2" w14:textId="77777777" w:rsidR="00403B07" w:rsidRDefault="00403B07" w:rsidP="00403B07">
      <w:pPr>
        <w:rPr>
          <w:rFonts w:eastAsiaTheme="minorHAnsi"/>
          <w:lang w:eastAsia="en-US"/>
        </w:rPr>
      </w:pPr>
    </w:p>
    <w:p w14:paraId="1B199D2C" w14:textId="77777777" w:rsidR="003743E0" w:rsidRDefault="003743E0" w:rsidP="00403B07">
      <w:pPr>
        <w:rPr>
          <w:rFonts w:eastAsiaTheme="minorHAnsi"/>
          <w:lang w:eastAsia="en-US"/>
        </w:rPr>
      </w:pPr>
    </w:p>
    <w:p w14:paraId="12E66876" w14:textId="77777777" w:rsidR="00403B07" w:rsidRPr="00E82386" w:rsidRDefault="00403B07" w:rsidP="00403B07">
      <w:pPr>
        <w:rPr>
          <w:rFonts w:eastAsiaTheme="minorHAnsi"/>
          <w:lang w:eastAsia="en-US"/>
        </w:rPr>
      </w:pPr>
    </w:p>
    <w:p w14:paraId="2C42227A" w14:textId="77777777" w:rsidR="00403B07" w:rsidRPr="00E82386" w:rsidRDefault="00403B07" w:rsidP="00403B07">
      <w:pPr>
        <w:rPr>
          <w:rFonts w:eastAsiaTheme="minorHAnsi"/>
          <w:lang w:eastAsia="en-US"/>
        </w:rPr>
      </w:pPr>
    </w:p>
    <w:p w14:paraId="00317139" w14:textId="620489BD" w:rsidR="00403B07" w:rsidRPr="00E82386" w:rsidRDefault="00403B07" w:rsidP="00403B07">
      <w:pPr>
        <w:rPr>
          <w:rFonts w:cs="Arial"/>
          <w:b/>
          <w:i/>
          <w:sz w:val="24"/>
          <w:szCs w:val="24"/>
        </w:rPr>
      </w:pPr>
      <w:r w:rsidRPr="00E82386">
        <w:rPr>
          <w:rFonts w:cs="Arial"/>
          <w:b/>
          <w:i/>
          <w:sz w:val="24"/>
          <w:szCs w:val="24"/>
        </w:rPr>
        <w:lastRenderedPageBreak/>
        <w:t>Appendix 1</w:t>
      </w:r>
      <w:r w:rsidR="00A60D1B">
        <w:rPr>
          <w:rFonts w:cs="Arial"/>
          <w:b/>
          <w:i/>
          <w:sz w:val="24"/>
          <w:szCs w:val="24"/>
        </w:rPr>
        <w:t>5</w:t>
      </w:r>
      <w:r w:rsidRPr="00E82386">
        <w:rPr>
          <w:rFonts w:cs="Arial"/>
          <w:b/>
          <w:i/>
          <w:sz w:val="24"/>
          <w:szCs w:val="24"/>
        </w:rPr>
        <w:t xml:space="preserve"> Fidelity to Function example checklist (continued) </w:t>
      </w:r>
    </w:p>
    <w:p w14:paraId="03D15574" w14:textId="77777777" w:rsidR="00403B07" w:rsidRPr="00E82386" w:rsidRDefault="00403B07" w:rsidP="00403B07">
      <w:pPr>
        <w:rPr>
          <w:rFonts w:eastAsiaTheme="minorHAnsi"/>
          <w:lang w:eastAsia="en-US"/>
        </w:rPr>
      </w:pPr>
    </w:p>
    <w:p w14:paraId="10C7EA08" w14:textId="77777777" w:rsidR="00403B07" w:rsidRPr="00E82386" w:rsidRDefault="00403B07" w:rsidP="00403B07">
      <w:pPr>
        <w:rPr>
          <w:rFonts w:eastAsiaTheme="minorHAnsi"/>
          <w:b/>
          <w:lang w:eastAsia="en-US"/>
        </w:rPr>
      </w:pPr>
      <w:r w:rsidRPr="00E82386">
        <w:rPr>
          <w:rFonts w:eastAsiaTheme="minorHAnsi"/>
          <w:b/>
          <w:lang w:eastAsia="en-US"/>
        </w:rPr>
        <w:t>PHASE 4</w:t>
      </w:r>
    </w:p>
    <w:p w14:paraId="606A012B" w14:textId="77777777" w:rsidR="00403B07" w:rsidRPr="00E82386" w:rsidRDefault="00403B07" w:rsidP="00403B07">
      <w:pPr>
        <w:rPr>
          <w:rFonts w:eastAsiaTheme="minorHAnsi"/>
          <w:b/>
          <w:lang w:eastAsia="en-US"/>
        </w:rPr>
      </w:pPr>
      <w:r w:rsidRPr="00E82386">
        <w:rPr>
          <w:rFonts w:eastAsiaTheme="minorHAnsi"/>
          <w:b/>
          <w:lang w:eastAsia="en-US"/>
        </w:rPr>
        <w:tab/>
        <w:t>Yr 6 Class-Delivered Assembly Fidelity Check</w:t>
      </w:r>
      <w:r w:rsidRPr="00E82386">
        <w:rPr>
          <w:rFonts w:eastAsiaTheme="minorHAnsi"/>
          <w:b/>
          <w:lang w:eastAsia="en-US"/>
        </w:rPr>
        <w:tab/>
      </w:r>
    </w:p>
    <w:p w14:paraId="5DBBB47C" w14:textId="77777777" w:rsidR="00403B07" w:rsidRPr="00E82386" w:rsidRDefault="00403B07" w:rsidP="00403B07">
      <w:pPr>
        <w:rPr>
          <w:rFonts w:eastAsiaTheme="minorHAnsi"/>
          <w:lang w:eastAsia="en-US"/>
        </w:rPr>
      </w:pPr>
      <w:r w:rsidRPr="00E82386">
        <w:rPr>
          <w:rFonts w:eastAsiaTheme="minorHAnsi"/>
          <w:lang w:eastAsia="en-US"/>
        </w:rPr>
        <w:t xml:space="preserve">NAME OF SCHOOL: </w:t>
      </w:r>
    </w:p>
    <w:p w14:paraId="0507E3C0" w14:textId="77777777" w:rsidR="00403B07" w:rsidRPr="00E82386" w:rsidRDefault="00403B07" w:rsidP="00403B07">
      <w:pPr>
        <w:rPr>
          <w:rFonts w:eastAsiaTheme="minorHAnsi"/>
          <w:lang w:eastAsia="en-US"/>
        </w:rPr>
      </w:pPr>
      <w:r w:rsidRPr="00E82386">
        <w:rPr>
          <w:rFonts w:eastAsiaTheme="minorHAnsi"/>
          <w:lang w:eastAsia="en-US"/>
        </w:rPr>
        <w:t xml:space="preserve">NAME OF HC:    </w:t>
      </w:r>
    </w:p>
    <w:p w14:paraId="1AB8E30A" w14:textId="77777777" w:rsidR="00403B07" w:rsidRPr="00E82386" w:rsidRDefault="00403B07" w:rsidP="00403B07">
      <w:pPr>
        <w:rPr>
          <w:rFonts w:eastAsiaTheme="minorHAnsi"/>
          <w:lang w:eastAsia="en-US"/>
        </w:rPr>
      </w:pPr>
      <w:r w:rsidRPr="00E82386">
        <w:rPr>
          <w:rFonts w:eastAsiaTheme="minorHAnsi"/>
          <w:lang w:eastAsia="en-US"/>
        </w:rPr>
        <w:t>DATE:</w:t>
      </w:r>
    </w:p>
    <w:p w14:paraId="41EAC981" w14:textId="77777777" w:rsidR="00403B07" w:rsidRPr="00E82386" w:rsidRDefault="00403B07" w:rsidP="00403B07">
      <w:pPr>
        <w:rPr>
          <w:rFonts w:eastAsiaTheme="minorHAnsi"/>
          <w:lang w:eastAsia="en-US"/>
        </w:rPr>
      </w:pPr>
      <w:r w:rsidRPr="00E82386">
        <w:rPr>
          <w:rFonts w:eastAsiaTheme="minorHAnsi"/>
          <w:lang w:eastAsia="en-US"/>
        </w:rPr>
        <w:t xml:space="preserve">Adherence to component content ( to be completed with JL or KW if present) </w:t>
      </w:r>
    </w:p>
    <w:tbl>
      <w:tblPr>
        <w:tblStyle w:val="TableGrid5"/>
        <w:tblW w:w="9606" w:type="dxa"/>
        <w:tblLook w:val="04A0" w:firstRow="1" w:lastRow="0" w:firstColumn="1" w:lastColumn="0" w:noHBand="0" w:noVBand="1"/>
      </w:tblPr>
      <w:tblGrid>
        <w:gridCol w:w="3510"/>
        <w:gridCol w:w="1578"/>
        <w:gridCol w:w="4518"/>
      </w:tblGrid>
      <w:tr w:rsidR="00403B07" w:rsidRPr="00E82386" w14:paraId="261AF32B" w14:textId="77777777" w:rsidTr="00B01272">
        <w:tc>
          <w:tcPr>
            <w:tcW w:w="3510" w:type="dxa"/>
          </w:tcPr>
          <w:p w14:paraId="67412FA7" w14:textId="77777777" w:rsidR="00403B07" w:rsidRPr="00E82386" w:rsidRDefault="00403B07" w:rsidP="00B01272">
            <w:pPr>
              <w:rPr>
                <w:b/>
              </w:rPr>
            </w:pPr>
            <w:r w:rsidRPr="00E82386">
              <w:rPr>
                <w:b/>
              </w:rPr>
              <w:t>Activity – class teacher present</w:t>
            </w:r>
          </w:p>
        </w:tc>
        <w:tc>
          <w:tcPr>
            <w:tcW w:w="1578" w:type="dxa"/>
          </w:tcPr>
          <w:p w14:paraId="4ACE190C" w14:textId="77777777" w:rsidR="00403B07" w:rsidRPr="00E82386" w:rsidRDefault="00403B07" w:rsidP="00B01272">
            <w:pPr>
              <w:rPr>
                <w:b/>
              </w:rPr>
            </w:pPr>
            <w:r w:rsidRPr="00E82386">
              <w:rPr>
                <w:b/>
              </w:rPr>
              <w:t>Yes/Partial/No</w:t>
            </w:r>
          </w:p>
        </w:tc>
        <w:tc>
          <w:tcPr>
            <w:tcW w:w="4518" w:type="dxa"/>
          </w:tcPr>
          <w:p w14:paraId="5FA3B31B" w14:textId="77777777" w:rsidR="00403B07" w:rsidRPr="00E82386" w:rsidRDefault="00403B07" w:rsidP="00B01272">
            <w:pPr>
              <w:rPr>
                <w:b/>
              </w:rPr>
            </w:pPr>
            <w:r w:rsidRPr="00E82386">
              <w:rPr>
                <w:b/>
              </w:rPr>
              <w:t>Notes</w:t>
            </w:r>
          </w:p>
        </w:tc>
      </w:tr>
      <w:tr w:rsidR="00403B07" w:rsidRPr="00E82386" w14:paraId="49EF7D53" w14:textId="77777777" w:rsidTr="00B01272">
        <w:tc>
          <w:tcPr>
            <w:tcW w:w="3510" w:type="dxa"/>
          </w:tcPr>
          <w:p w14:paraId="72EF82B9" w14:textId="77777777" w:rsidR="00403B07" w:rsidRPr="00E82386" w:rsidRDefault="00403B07" w:rsidP="00B01272">
            <w:r w:rsidRPr="00E82386">
              <w:t xml:space="preserve">Whole </w:t>
            </w:r>
            <w:r w:rsidRPr="00E82386">
              <w:rPr>
                <w:i/>
              </w:rPr>
              <w:t>class</w:t>
            </w:r>
            <w:r w:rsidRPr="00E82386">
              <w:t xml:space="preserve"> rap</w:t>
            </w:r>
          </w:p>
        </w:tc>
        <w:tc>
          <w:tcPr>
            <w:tcW w:w="1578" w:type="dxa"/>
          </w:tcPr>
          <w:p w14:paraId="6976E5B2" w14:textId="77777777" w:rsidR="00403B07" w:rsidRPr="00E82386" w:rsidRDefault="00403B07" w:rsidP="00B01272"/>
        </w:tc>
        <w:tc>
          <w:tcPr>
            <w:tcW w:w="4518" w:type="dxa"/>
          </w:tcPr>
          <w:p w14:paraId="1156CC7C" w14:textId="77777777" w:rsidR="00403B07" w:rsidRPr="00E82386" w:rsidRDefault="00403B07" w:rsidP="00B01272"/>
        </w:tc>
      </w:tr>
      <w:tr w:rsidR="00403B07" w:rsidRPr="00E82386" w14:paraId="43EDC13C" w14:textId="77777777" w:rsidTr="00B01272">
        <w:tc>
          <w:tcPr>
            <w:tcW w:w="3510" w:type="dxa"/>
          </w:tcPr>
          <w:p w14:paraId="03A7AF8C" w14:textId="77777777" w:rsidR="00403B07" w:rsidRPr="00E82386" w:rsidRDefault="00403B07" w:rsidP="00B01272">
            <w:r w:rsidRPr="00E82386">
              <w:t>Overview of HeLP</w:t>
            </w:r>
          </w:p>
        </w:tc>
        <w:tc>
          <w:tcPr>
            <w:tcW w:w="1578" w:type="dxa"/>
          </w:tcPr>
          <w:p w14:paraId="530651E5" w14:textId="77777777" w:rsidR="00403B07" w:rsidRPr="00E82386" w:rsidRDefault="00403B07" w:rsidP="00B01272"/>
        </w:tc>
        <w:tc>
          <w:tcPr>
            <w:tcW w:w="4518" w:type="dxa"/>
          </w:tcPr>
          <w:p w14:paraId="34809556" w14:textId="77777777" w:rsidR="00403B07" w:rsidRPr="00E82386" w:rsidRDefault="00403B07" w:rsidP="00B01272"/>
        </w:tc>
      </w:tr>
      <w:tr w:rsidR="00403B07" w:rsidRPr="00E82386" w14:paraId="171D2BC8" w14:textId="77777777" w:rsidTr="00B01272">
        <w:tc>
          <w:tcPr>
            <w:tcW w:w="3510" w:type="dxa"/>
          </w:tcPr>
          <w:p w14:paraId="131AEF18" w14:textId="77777777" w:rsidR="00403B07" w:rsidRPr="00E82386" w:rsidRDefault="00403B07" w:rsidP="00B01272">
            <w:r w:rsidRPr="00E82386">
              <w:t>Before/after DD and AA showing change in behaviours.</w:t>
            </w:r>
          </w:p>
        </w:tc>
        <w:tc>
          <w:tcPr>
            <w:tcW w:w="1578" w:type="dxa"/>
          </w:tcPr>
          <w:p w14:paraId="0B532C76" w14:textId="77777777" w:rsidR="00403B07" w:rsidRPr="00E82386" w:rsidRDefault="00403B07" w:rsidP="00B01272"/>
        </w:tc>
        <w:tc>
          <w:tcPr>
            <w:tcW w:w="4518" w:type="dxa"/>
          </w:tcPr>
          <w:p w14:paraId="10DD5BF3" w14:textId="77777777" w:rsidR="00403B07" w:rsidRPr="00E82386" w:rsidRDefault="00403B07" w:rsidP="00B01272"/>
        </w:tc>
      </w:tr>
      <w:tr w:rsidR="00403B07" w:rsidRPr="00E82386" w14:paraId="769C8F77" w14:textId="77777777" w:rsidTr="00B01272">
        <w:tc>
          <w:tcPr>
            <w:tcW w:w="3510" w:type="dxa"/>
          </w:tcPr>
          <w:p w14:paraId="55255B77" w14:textId="77777777" w:rsidR="00403B07" w:rsidRPr="00E82386" w:rsidRDefault="00403B07" w:rsidP="00B01272">
            <w:r w:rsidRPr="00E82386">
              <w:t>Food Machines</w:t>
            </w:r>
          </w:p>
        </w:tc>
        <w:tc>
          <w:tcPr>
            <w:tcW w:w="1578" w:type="dxa"/>
          </w:tcPr>
          <w:p w14:paraId="1532CCD5" w14:textId="77777777" w:rsidR="00403B07" w:rsidRPr="00E82386" w:rsidRDefault="00403B07" w:rsidP="00B01272"/>
        </w:tc>
        <w:tc>
          <w:tcPr>
            <w:tcW w:w="4518" w:type="dxa"/>
          </w:tcPr>
          <w:p w14:paraId="58E8D0BC" w14:textId="77777777" w:rsidR="00403B07" w:rsidRPr="00E82386" w:rsidRDefault="00403B07" w:rsidP="00B01272"/>
        </w:tc>
      </w:tr>
      <w:tr w:rsidR="00403B07" w:rsidRPr="00E82386" w14:paraId="34D16045" w14:textId="77777777" w:rsidTr="00B01272">
        <w:tc>
          <w:tcPr>
            <w:tcW w:w="3510" w:type="dxa"/>
          </w:tcPr>
          <w:p w14:paraId="6F38B9E5" w14:textId="77777777" w:rsidR="00403B07" w:rsidRPr="00E82386" w:rsidRDefault="00403B07" w:rsidP="00B01272">
            <w:r w:rsidRPr="00E82386">
              <w:t xml:space="preserve">Whole </w:t>
            </w:r>
            <w:r w:rsidRPr="00E82386">
              <w:rPr>
                <w:i/>
              </w:rPr>
              <w:t>school</w:t>
            </w:r>
            <w:r w:rsidRPr="00E82386">
              <w:t xml:space="preserve"> rap </w:t>
            </w:r>
          </w:p>
        </w:tc>
        <w:tc>
          <w:tcPr>
            <w:tcW w:w="1578" w:type="dxa"/>
          </w:tcPr>
          <w:p w14:paraId="6E407528" w14:textId="77777777" w:rsidR="00403B07" w:rsidRPr="00E82386" w:rsidRDefault="00403B07" w:rsidP="00B01272"/>
        </w:tc>
        <w:tc>
          <w:tcPr>
            <w:tcW w:w="4518" w:type="dxa"/>
          </w:tcPr>
          <w:p w14:paraId="39DB802F" w14:textId="77777777" w:rsidR="00403B07" w:rsidRPr="00E82386" w:rsidRDefault="00403B07" w:rsidP="00B01272"/>
        </w:tc>
      </w:tr>
      <w:tr w:rsidR="00403B07" w:rsidRPr="00E82386" w14:paraId="662DAEDB" w14:textId="77777777" w:rsidTr="00B01272">
        <w:tc>
          <w:tcPr>
            <w:tcW w:w="3510" w:type="dxa"/>
          </w:tcPr>
          <w:p w14:paraId="5F66FEB2" w14:textId="77777777" w:rsidR="00403B07" w:rsidRPr="00E82386" w:rsidRDefault="00403B07" w:rsidP="00B01272">
            <w:r w:rsidRPr="00E82386">
              <w:t>Presence of a senior member of staff (e.g. Head, Deputy Head)</w:t>
            </w:r>
          </w:p>
        </w:tc>
        <w:tc>
          <w:tcPr>
            <w:tcW w:w="1578" w:type="dxa"/>
          </w:tcPr>
          <w:p w14:paraId="0D45E562" w14:textId="77777777" w:rsidR="00403B07" w:rsidRPr="00E82386" w:rsidRDefault="00403B07" w:rsidP="00B01272"/>
        </w:tc>
        <w:tc>
          <w:tcPr>
            <w:tcW w:w="4518" w:type="dxa"/>
          </w:tcPr>
          <w:p w14:paraId="4D7D9799" w14:textId="77777777" w:rsidR="00403B07" w:rsidRPr="00E82386" w:rsidRDefault="00403B07" w:rsidP="00B01272"/>
        </w:tc>
      </w:tr>
      <w:tr w:rsidR="00403B07" w:rsidRPr="00E82386" w14:paraId="57BB0FA0" w14:textId="77777777" w:rsidTr="00B01272">
        <w:tc>
          <w:tcPr>
            <w:tcW w:w="3510" w:type="dxa"/>
          </w:tcPr>
          <w:p w14:paraId="019A0571" w14:textId="77777777" w:rsidR="00403B07" w:rsidRPr="00E82386" w:rsidRDefault="00403B07" w:rsidP="00B01272">
            <w:r w:rsidRPr="00E82386">
              <w:t>Presence of year 6 teacher(s)</w:t>
            </w:r>
          </w:p>
        </w:tc>
        <w:tc>
          <w:tcPr>
            <w:tcW w:w="1578" w:type="dxa"/>
          </w:tcPr>
          <w:p w14:paraId="0CCF7986" w14:textId="77777777" w:rsidR="00403B07" w:rsidRPr="00E82386" w:rsidRDefault="00403B07" w:rsidP="00B01272"/>
        </w:tc>
        <w:tc>
          <w:tcPr>
            <w:tcW w:w="4518" w:type="dxa"/>
          </w:tcPr>
          <w:p w14:paraId="0E75C960" w14:textId="77777777" w:rsidR="00403B07" w:rsidRPr="00E82386" w:rsidRDefault="00403B07" w:rsidP="00B01272"/>
        </w:tc>
      </w:tr>
    </w:tbl>
    <w:p w14:paraId="3E53419B" w14:textId="77777777" w:rsidR="00403B07" w:rsidRPr="00E82386" w:rsidRDefault="00403B07" w:rsidP="00403B07">
      <w:pPr>
        <w:rPr>
          <w:rFonts w:eastAsiaTheme="minorHAnsi"/>
          <w:lang w:eastAsia="en-US"/>
        </w:rPr>
      </w:pPr>
    </w:p>
    <w:p w14:paraId="1B08BC9D" w14:textId="77777777" w:rsidR="00403B07" w:rsidRPr="00E82386" w:rsidRDefault="00403B07" w:rsidP="00403B07">
      <w:pPr>
        <w:rPr>
          <w:rFonts w:eastAsiaTheme="minorHAnsi"/>
          <w:lang w:eastAsia="en-US"/>
        </w:rPr>
      </w:pPr>
      <w:r w:rsidRPr="00E82386">
        <w:rPr>
          <w:rFonts w:eastAsiaTheme="minorHAnsi"/>
          <w:lang w:eastAsia="en-US"/>
        </w:rPr>
        <w:t>Quality of delivery and participant responsiveness (1=Low Quality</w:t>
      </w:r>
      <w:r w:rsidRPr="00E82386">
        <w:rPr>
          <w:rFonts w:eastAsiaTheme="minorHAnsi"/>
          <w:lang w:eastAsia="en-US"/>
        </w:rPr>
        <w:tab/>
        <w:t>10=High Quality)</w:t>
      </w:r>
    </w:p>
    <w:tbl>
      <w:tblPr>
        <w:tblStyle w:val="TableGrid5"/>
        <w:tblW w:w="9606" w:type="dxa"/>
        <w:tblLayout w:type="fixed"/>
        <w:tblLook w:val="04A0" w:firstRow="1" w:lastRow="0" w:firstColumn="1" w:lastColumn="0" w:noHBand="0" w:noVBand="1"/>
      </w:tblPr>
      <w:tblGrid>
        <w:gridCol w:w="1526"/>
        <w:gridCol w:w="808"/>
        <w:gridCol w:w="808"/>
        <w:gridCol w:w="808"/>
        <w:gridCol w:w="808"/>
        <w:gridCol w:w="808"/>
        <w:gridCol w:w="808"/>
        <w:gridCol w:w="808"/>
        <w:gridCol w:w="808"/>
        <w:gridCol w:w="808"/>
        <w:gridCol w:w="808"/>
      </w:tblGrid>
      <w:tr w:rsidR="00403B07" w:rsidRPr="00E82386" w14:paraId="0297733A" w14:textId="77777777" w:rsidTr="00B01272">
        <w:tc>
          <w:tcPr>
            <w:tcW w:w="1526" w:type="dxa"/>
          </w:tcPr>
          <w:p w14:paraId="39389CB1" w14:textId="77777777" w:rsidR="00403B07" w:rsidRPr="00E82386" w:rsidRDefault="00403B07" w:rsidP="00B01272"/>
        </w:tc>
        <w:tc>
          <w:tcPr>
            <w:tcW w:w="808" w:type="dxa"/>
          </w:tcPr>
          <w:p w14:paraId="4BDFFAFB" w14:textId="77777777" w:rsidR="00403B07" w:rsidRPr="00E82386" w:rsidRDefault="00403B07" w:rsidP="00B01272">
            <w:pPr>
              <w:rPr>
                <w:b/>
              </w:rPr>
            </w:pPr>
            <w:r w:rsidRPr="00E82386">
              <w:rPr>
                <w:b/>
              </w:rPr>
              <w:t>1</w:t>
            </w:r>
          </w:p>
        </w:tc>
        <w:tc>
          <w:tcPr>
            <w:tcW w:w="808" w:type="dxa"/>
          </w:tcPr>
          <w:p w14:paraId="6AAC505D" w14:textId="77777777" w:rsidR="00403B07" w:rsidRPr="00E82386" w:rsidRDefault="00403B07" w:rsidP="00B01272">
            <w:pPr>
              <w:rPr>
                <w:b/>
              </w:rPr>
            </w:pPr>
            <w:r w:rsidRPr="00E82386">
              <w:rPr>
                <w:b/>
              </w:rPr>
              <w:t>2</w:t>
            </w:r>
          </w:p>
        </w:tc>
        <w:tc>
          <w:tcPr>
            <w:tcW w:w="808" w:type="dxa"/>
          </w:tcPr>
          <w:p w14:paraId="6F93F02D" w14:textId="77777777" w:rsidR="00403B07" w:rsidRPr="00E82386" w:rsidRDefault="00403B07" w:rsidP="00B01272">
            <w:pPr>
              <w:rPr>
                <w:b/>
              </w:rPr>
            </w:pPr>
            <w:r w:rsidRPr="00E82386">
              <w:rPr>
                <w:b/>
              </w:rPr>
              <w:t>3</w:t>
            </w:r>
          </w:p>
        </w:tc>
        <w:tc>
          <w:tcPr>
            <w:tcW w:w="808" w:type="dxa"/>
          </w:tcPr>
          <w:p w14:paraId="1971D9DF" w14:textId="77777777" w:rsidR="00403B07" w:rsidRPr="00E82386" w:rsidRDefault="00403B07" w:rsidP="00B01272">
            <w:pPr>
              <w:rPr>
                <w:b/>
              </w:rPr>
            </w:pPr>
            <w:r w:rsidRPr="00E82386">
              <w:rPr>
                <w:b/>
              </w:rPr>
              <w:t>4</w:t>
            </w:r>
          </w:p>
        </w:tc>
        <w:tc>
          <w:tcPr>
            <w:tcW w:w="808" w:type="dxa"/>
          </w:tcPr>
          <w:p w14:paraId="3FC00CAA" w14:textId="77777777" w:rsidR="00403B07" w:rsidRPr="00E82386" w:rsidRDefault="00403B07" w:rsidP="00B01272">
            <w:pPr>
              <w:rPr>
                <w:b/>
              </w:rPr>
            </w:pPr>
            <w:r w:rsidRPr="00E82386">
              <w:rPr>
                <w:b/>
              </w:rPr>
              <w:t>5</w:t>
            </w:r>
          </w:p>
        </w:tc>
        <w:tc>
          <w:tcPr>
            <w:tcW w:w="808" w:type="dxa"/>
          </w:tcPr>
          <w:p w14:paraId="45B2A8A1" w14:textId="77777777" w:rsidR="00403B07" w:rsidRPr="00E82386" w:rsidRDefault="00403B07" w:rsidP="00B01272">
            <w:pPr>
              <w:rPr>
                <w:b/>
              </w:rPr>
            </w:pPr>
            <w:r w:rsidRPr="00E82386">
              <w:rPr>
                <w:b/>
              </w:rPr>
              <w:t>6</w:t>
            </w:r>
          </w:p>
        </w:tc>
        <w:tc>
          <w:tcPr>
            <w:tcW w:w="808" w:type="dxa"/>
          </w:tcPr>
          <w:p w14:paraId="71FBFE47" w14:textId="77777777" w:rsidR="00403B07" w:rsidRPr="00E82386" w:rsidRDefault="00403B07" w:rsidP="00B01272">
            <w:pPr>
              <w:rPr>
                <w:b/>
              </w:rPr>
            </w:pPr>
            <w:r w:rsidRPr="00E82386">
              <w:rPr>
                <w:b/>
              </w:rPr>
              <w:t>7</w:t>
            </w:r>
          </w:p>
        </w:tc>
        <w:tc>
          <w:tcPr>
            <w:tcW w:w="808" w:type="dxa"/>
          </w:tcPr>
          <w:p w14:paraId="6B56E92B" w14:textId="77777777" w:rsidR="00403B07" w:rsidRPr="00E82386" w:rsidRDefault="00403B07" w:rsidP="00B01272">
            <w:pPr>
              <w:rPr>
                <w:b/>
              </w:rPr>
            </w:pPr>
            <w:r w:rsidRPr="00E82386">
              <w:rPr>
                <w:b/>
              </w:rPr>
              <w:t>8</w:t>
            </w:r>
          </w:p>
        </w:tc>
        <w:tc>
          <w:tcPr>
            <w:tcW w:w="808" w:type="dxa"/>
          </w:tcPr>
          <w:p w14:paraId="003C0EBC" w14:textId="77777777" w:rsidR="00403B07" w:rsidRPr="00E82386" w:rsidRDefault="00403B07" w:rsidP="00B01272">
            <w:pPr>
              <w:rPr>
                <w:b/>
              </w:rPr>
            </w:pPr>
            <w:r w:rsidRPr="00E82386">
              <w:rPr>
                <w:b/>
              </w:rPr>
              <w:t>9</w:t>
            </w:r>
          </w:p>
        </w:tc>
        <w:tc>
          <w:tcPr>
            <w:tcW w:w="808" w:type="dxa"/>
          </w:tcPr>
          <w:p w14:paraId="1B0DFC5E" w14:textId="77777777" w:rsidR="00403B07" w:rsidRPr="00E82386" w:rsidRDefault="00403B07" w:rsidP="00B01272">
            <w:pPr>
              <w:rPr>
                <w:b/>
              </w:rPr>
            </w:pPr>
            <w:r w:rsidRPr="00E82386">
              <w:rPr>
                <w:b/>
              </w:rPr>
              <w:t>10</w:t>
            </w:r>
          </w:p>
        </w:tc>
      </w:tr>
      <w:tr w:rsidR="00403B07" w:rsidRPr="00E82386" w14:paraId="5AEF3921" w14:textId="77777777" w:rsidTr="00B01272">
        <w:tc>
          <w:tcPr>
            <w:tcW w:w="1526" w:type="dxa"/>
          </w:tcPr>
          <w:p w14:paraId="072C281A" w14:textId="77777777" w:rsidR="00403B07" w:rsidRPr="00E82386" w:rsidRDefault="00403B07" w:rsidP="00B01272">
            <w:r w:rsidRPr="00E82386">
              <w:t>Well organised assembly</w:t>
            </w:r>
          </w:p>
        </w:tc>
        <w:tc>
          <w:tcPr>
            <w:tcW w:w="808" w:type="dxa"/>
          </w:tcPr>
          <w:p w14:paraId="440B317C" w14:textId="77777777" w:rsidR="00403B07" w:rsidRPr="00E82386" w:rsidRDefault="00403B07" w:rsidP="00B01272"/>
        </w:tc>
        <w:tc>
          <w:tcPr>
            <w:tcW w:w="808" w:type="dxa"/>
          </w:tcPr>
          <w:p w14:paraId="7C7629D1" w14:textId="77777777" w:rsidR="00403B07" w:rsidRPr="00E82386" w:rsidRDefault="00403B07" w:rsidP="00B01272"/>
        </w:tc>
        <w:tc>
          <w:tcPr>
            <w:tcW w:w="808" w:type="dxa"/>
          </w:tcPr>
          <w:p w14:paraId="5C2F284A" w14:textId="77777777" w:rsidR="00403B07" w:rsidRPr="00E82386" w:rsidRDefault="00403B07" w:rsidP="00B01272"/>
        </w:tc>
        <w:tc>
          <w:tcPr>
            <w:tcW w:w="808" w:type="dxa"/>
          </w:tcPr>
          <w:p w14:paraId="18299858" w14:textId="77777777" w:rsidR="00403B07" w:rsidRPr="00E82386" w:rsidRDefault="00403B07" w:rsidP="00B01272"/>
        </w:tc>
        <w:tc>
          <w:tcPr>
            <w:tcW w:w="808" w:type="dxa"/>
          </w:tcPr>
          <w:p w14:paraId="0EC62C4F" w14:textId="77777777" w:rsidR="00403B07" w:rsidRPr="00E82386" w:rsidRDefault="00403B07" w:rsidP="00B01272"/>
        </w:tc>
        <w:tc>
          <w:tcPr>
            <w:tcW w:w="808" w:type="dxa"/>
          </w:tcPr>
          <w:p w14:paraId="639E78FC" w14:textId="77777777" w:rsidR="00403B07" w:rsidRPr="00E82386" w:rsidRDefault="00403B07" w:rsidP="00B01272"/>
        </w:tc>
        <w:tc>
          <w:tcPr>
            <w:tcW w:w="808" w:type="dxa"/>
          </w:tcPr>
          <w:p w14:paraId="519454C8" w14:textId="77777777" w:rsidR="00403B07" w:rsidRPr="00E82386" w:rsidRDefault="00403B07" w:rsidP="00B01272"/>
        </w:tc>
        <w:tc>
          <w:tcPr>
            <w:tcW w:w="808" w:type="dxa"/>
          </w:tcPr>
          <w:p w14:paraId="42855273" w14:textId="77777777" w:rsidR="00403B07" w:rsidRPr="00E82386" w:rsidRDefault="00403B07" w:rsidP="00B01272"/>
        </w:tc>
        <w:tc>
          <w:tcPr>
            <w:tcW w:w="808" w:type="dxa"/>
          </w:tcPr>
          <w:p w14:paraId="0FB8DECC" w14:textId="77777777" w:rsidR="00403B07" w:rsidRPr="00E82386" w:rsidRDefault="00403B07" w:rsidP="00B01272"/>
        </w:tc>
        <w:tc>
          <w:tcPr>
            <w:tcW w:w="808" w:type="dxa"/>
          </w:tcPr>
          <w:p w14:paraId="4247E37E" w14:textId="77777777" w:rsidR="00403B07" w:rsidRPr="00E82386" w:rsidRDefault="00403B07" w:rsidP="00B01272"/>
        </w:tc>
      </w:tr>
      <w:tr w:rsidR="00403B07" w:rsidRPr="00E82386" w14:paraId="74E45BCE" w14:textId="77777777" w:rsidTr="00B01272">
        <w:tc>
          <w:tcPr>
            <w:tcW w:w="1526" w:type="dxa"/>
          </w:tcPr>
          <w:p w14:paraId="266F9775" w14:textId="77777777" w:rsidR="00403B07" w:rsidRPr="00E82386" w:rsidRDefault="00403B07" w:rsidP="00B01272">
            <w:r w:rsidRPr="00E82386">
              <w:t>Engaged children (Y6)</w:t>
            </w:r>
          </w:p>
        </w:tc>
        <w:tc>
          <w:tcPr>
            <w:tcW w:w="808" w:type="dxa"/>
          </w:tcPr>
          <w:p w14:paraId="22122FA2" w14:textId="77777777" w:rsidR="00403B07" w:rsidRPr="00E82386" w:rsidRDefault="00403B07" w:rsidP="00B01272"/>
        </w:tc>
        <w:tc>
          <w:tcPr>
            <w:tcW w:w="808" w:type="dxa"/>
          </w:tcPr>
          <w:p w14:paraId="2EBA224F" w14:textId="77777777" w:rsidR="00403B07" w:rsidRPr="00E82386" w:rsidRDefault="00403B07" w:rsidP="00B01272"/>
        </w:tc>
        <w:tc>
          <w:tcPr>
            <w:tcW w:w="808" w:type="dxa"/>
          </w:tcPr>
          <w:p w14:paraId="35C2FCFA" w14:textId="77777777" w:rsidR="00403B07" w:rsidRPr="00E82386" w:rsidRDefault="00403B07" w:rsidP="00B01272"/>
        </w:tc>
        <w:tc>
          <w:tcPr>
            <w:tcW w:w="808" w:type="dxa"/>
          </w:tcPr>
          <w:p w14:paraId="146FD937" w14:textId="77777777" w:rsidR="00403B07" w:rsidRPr="00E82386" w:rsidRDefault="00403B07" w:rsidP="00B01272"/>
        </w:tc>
        <w:tc>
          <w:tcPr>
            <w:tcW w:w="808" w:type="dxa"/>
          </w:tcPr>
          <w:p w14:paraId="21ECD704" w14:textId="77777777" w:rsidR="00403B07" w:rsidRPr="00E82386" w:rsidRDefault="00403B07" w:rsidP="00B01272"/>
        </w:tc>
        <w:tc>
          <w:tcPr>
            <w:tcW w:w="808" w:type="dxa"/>
          </w:tcPr>
          <w:p w14:paraId="16018B99" w14:textId="77777777" w:rsidR="00403B07" w:rsidRPr="00E82386" w:rsidRDefault="00403B07" w:rsidP="00B01272"/>
        </w:tc>
        <w:tc>
          <w:tcPr>
            <w:tcW w:w="808" w:type="dxa"/>
          </w:tcPr>
          <w:p w14:paraId="54552993" w14:textId="77777777" w:rsidR="00403B07" w:rsidRPr="00E82386" w:rsidRDefault="00403B07" w:rsidP="00B01272"/>
        </w:tc>
        <w:tc>
          <w:tcPr>
            <w:tcW w:w="808" w:type="dxa"/>
          </w:tcPr>
          <w:p w14:paraId="6228C0B2" w14:textId="77777777" w:rsidR="00403B07" w:rsidRPr="00E82386" w:rsidRDefault="00403B07" w:rsidP="00B01272"/>
        </w:tc>
        <w:tc>
          <w:tcPr>
            <w:tcW w:w="808" w:type="dxa"/>
          </w:tcPr>
          <w:p w14:paraId="507553C4" w14:textId="77777777" w:rsidR="00403B07" w:rsidRPr="00E82386" w:rsidRDefault="00403B07" w:rsidP="00B01272"/>
        </w:tc>
        <w:tc>
          <w:tcPr>
            <w:tcW w:w="808" w:type="dxa"/>
          </w:tcPr>
          <w:p w14:paraId="401B5DA5" w14:textId="77777777" w:rsidR="00403B07" w:rsidRPr="00E82386" w:rsidRDefault="00403B07" w:rsidP="00B01272"/>
        </w:tc>
      </w:tr>
      <w:tr w:rsidR="00403B07" w:rsidRPr="00E82386" w14:paraId="5D007285" w14:textId="77777777" w:rsidTr="00B01272">
        <w:tc>
          <w:tcPr>
            <w:tcW w:w="1526" w:type="dxa"/>
          </w:tcPr>
          <w:p w14:paraId="77A2D802" w14:textId="77777777" w:rsidR="00403B07" w:rsidRPr="00E82386" w:rsidRDefault="00403B07" w:rsidP="00B01272">
            <w:r w:rsidRPr="00E82386">
              <w:t>Engaged audience</w:t>
            </w:r>
          </w:p>
        </w:tc>
        <w:tc>
          <w:tcPr>
            <w:tcW w:w="808" w:type="dxa"/>
          </w:tcPr>
          <w:p w14:paraId="3D45AD67" w14:textId="77777777" w:rsidR="00403B07" w:rsidRPr="00E82386" w:rsidRDefault="00403B07" w:rsidP="00B01272"/>
        </w:tc>
        <w:tc>
          <w:tcPr>
            <w:tcW w:w="808" w:type="dxa"/>
          </w:tcPr>
          <w:p w14:paraId="351A18D1" w14:textId="77777777" w:rsidR="00403B07" w:rsidRPr="00E82386" w:rsidRDefault="00403B07" w:rsidP="00B01272"/>
        </w:tc>
        <w:tc>
          <w:tcPr>
            <w:tcW w:w="808" w:type="dxa"/>
          </w:tcPr>
          <w:p w14:paraId="4536DFF2" w14:textId="77777777" w:rsidR="00403B07" w:rsidRPr="00E82386" w:rsidRDefault="00403B07" w:rsidP="00B01272"/>
        </w:tc>
        <w:tc>
          <w:tcPr>
            <w:tcW w:w="808" w:type="dxa"/>
          </w:tcPr>
          <w:p w14:paraId="653A0E78" w14:textId="77777777" w:rsidR="00403B07" w:rsidRPr="00E82386" w:rsidRDefault="00403B07" w:rsidP="00B01272"/>
        </w:tc>
        <w:tc>
          <w:tcPr>
            <w:tcW w:w="808" w:type="dxa"/>
          </w:tcPr>
          <w:p w14:paraId="7F49FD56" w14:textId="77777777" w:rsidR="00403B07" w:rsidRPr="00E82386" w:rsidRDefault="00403B07" w:rsidP="00B01272"/>
        </w:tc>
        <w:tc>
          <w:tcPr>
            <w:tcW w:w="808" w:type="dxa"/>
          </w:tcPr>
          <w:p w14:paraId="5488D416" w14:textId="77777777" w:rsidR="00403B07" w:rsidRPr="00E82386" w:rsidRDefault="00403B07" w:rsidP="00B01272"/>
        </w:tc>
        <w:tc>
          <w:tcPr>
            <w:tcW w:w="808" w:type="dxa"/>
          </w:tcPr>
          <w:p w14:paraId="203D35F9" w14:textId="77777777" w:rsidR="00403B07" w:rsidRPr="00E82386" w:rsidRDefault="00403B07" w:rsidP="00B01272"/>
        </w:tc>
        <w:tc>
          <w:tcPr>
            <w:tcW w:w="808" w:type="dxa"/>
          </w:tcPr>
          <w:p w14:paraId="674C4D19" w14:textId="77777777" w:rsidR="00403B07" w:rsidRPr="00E82386" w:rsidRDefault="00403B07" w:rsidP="00B01272"/>
        </w:tc>
        <w:tc>
          <w:tcPr>
            <w:tcW w:w="808" w:type="dxa"/>
          </w:tcPr>
          <w:p w14:paraId="7536A866" w14:textId="77777777" w:rsidR="00403B07" w:rsidRPr="00E82386" w:rsidRDefault="00403B07" w:rsidP="00B01272"/>
        </w:tc>
        <w:tc>
          <w:tcPr>
            <w:tcW w:w="808" w:type="dxa"/>
          </w:tcPr>
          <w:p w14:paraId="4CE7359C" w14:textId="77777777" w:rsidR="00403B07" w:rsidRPr="00E82386" w:rsidRDefault="00403B07" w:rsidP="00B01272"/>
        </w:tc>
      </w:tr>
    </w:tbl>
    <w:p w14:paraId="753631C7" w14:textId="77777777" w:rsidR="00403B07" w:rsidRPr="00E82386" w:rsidRDefault="00403B07" w:rsidP="00403B07">
      <w:pPr>
        <w:rPr>
          <w:rFonts w:eastAsiaTheme="minorHAnsi"/>
          <w:lang w:eastAsia="en-US"/>
        </w:rPr>
      </w:pPr>
    </w:p>
    <w:p w14:paraId="3B209ADA" w14:textId="77777777" w:rsidR="00403B07" w:rsidRDefault="00403B07" w:rsidP="00403B07">
      <w:pPr>
        <w:rPr>
          <w:rFonts w:eastAsiaTheme="minorHAnsi"/>
          <w:lang w:eastAsia="en-US"/>
        </w:rPr>
      </w:pPr>
      <w:r w:rsidRPr="00E82386">
        <w:rPr>
          <w:rFonts w:eastAsiaTheme="minorHAnsi"/>
          <w:lang w:eastAsia="en-US"/>
        </w:rPr>
        <w:t>General comments:</w:t>
      </w:r>
    </w:p>
    <w:p w14:paraId="6CE164E6" w14:textId="77777777" w:rsidR="00403B07" w:rsidRDefault="00403B07" w:rsidP="00403B07">
      <w:pPr>
        <w:rPr>
          <w:rFonts w:eastAsiaTheme="minorHAnsi"/>
          <w:lang w:eastAsia="en-US"/>
        </w:rPr>
      </w:pPr>
      <w:r>
        <w:rPr>
          <w:rFonts w:eastAsiaTheme="minorHAnsi"/>
          <w:lang w:eastAsia="en-US"/>
        </w:rPr>
        <w:br w:type="page"/>
      </w:r>
    </w:p>
    <w:tbl>
      <w:tblPr>
        <w:tblpPr w:leftFromText="180" w:rightFromText="180" w:vertAnchor="page" w:horzAnchor="margin" w:tblpY="1111"/>
        <w:tblW w:w="6208" w:type="dxa"/>
        <w:tblLayout w:type="fixed"/>
        <w:tblLook w:val="04A0" w:firstRow="1" w:lastRow="0" w:firstColumn="1" w:lastColumn="0" w:noHBand="0" w:noVBand="1"/>
      </w:tblPr>
      <w:tblGrid>
        <w:gridCol w:w="416"/>
        <w:gridCol w:w="1133"/>
        <w:gridCol w:w="705"/>
        <w:gridCol w:w="706"/>
        <w:gridCol w:w="706"/>
        <w:gridCol w:w="847"/>
        <w:gridCol w:w="848"/>
        <w:gridCol w:w="847"/>
      </w:tblGrid>
      <w:tr w:rsidR="00403B07" w:rsidRPr="004C2630" w14:paraId="2484EAEA" w14:textId="77777777" w:rsidTr="00B01272">
        <w:trPr>
          <w:trHeight w:val="981"/>
        </w:trPr>
        <w:tc>
          <w:tcPr>
            <w:tcW w:w="416"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DE8C53E" w14:textId="77777777" w:rsidR="00403B07" w:rsidRPr="004C2630" w:rsidRDefault="00403B07" w:rsidP="00B01272">
            <w:pPr>
              <w:spacing w:after="0" w:line="240" w:lineRule="auto"/>
              <w:jc w:val="center"/>
              <w:rPr>
                <w:rFonts w:ascii="Calibri" w:eastAsia="Times New Roman" w:hAnsi="Calibri" w:cs="Times New Roman"/>
                <w:b/>
                <w:bCs/>
                <w:color w:val="000000"/>
                <w:sz w:val="16"/>
                <w:szCs w:val="16"/>
              </w:rPr>
            </w:pPr>
            <w:r w:rsidRPr="004C2630">
              <w:rPr>
                <w:rFonts w:ascii="Calibri" w:eastAsia="Times New Roman" w:hAnsi="Calibri" w:cs="Times New Roman"/>
                <w:b/>
                <w:bCs/>
                <w:color w:val="000000"/>
                <w:sz w:val="16"/>
                <w:szCs w:val="16"/>
              </w:rPr>
              <w:lastRenderedPageBreak/>
              <w:t>School</w:t>
            </w:r>
          </w:p>
        </w:tc>
        <w:tc>
          <w:tcPr>
            <w:tcW w:w="1133" w:type="dxa"/>
            <w:tcBorders>
              <w:top w:val="single" w:sz="4" w:space="0" w:color="auto"/>
              <w:left w:val="nil"/>
              <w:bottom w:val="single" w:sz="4" w:space="0" w:color="auto"/>
              <w:right w:val="single" w:sz="4" w:space="0" w:color="auto"/>
            </w:tcBorders>
            <w:shd w:val="clear" w:color="auto" w:fill="auto"/>
            <w:textDirection w:val="btLr"/>
            <w:vAlign w:val="center"/>
            <w:hideMark/>
          </w:tcPr>
          <w:p w14:paraId="05E38E67" w14:textId="77777777" w:rsidR="00403B07" w:rsidRPr="004C2630" w:rsidRDefault="00403B07" w:rsidP="00B01272">
            <w:pPr>
              <w:spacing w:after="0" w:line="240" w:lineRule="auto"/>
              <w:jc w:val="center"/>
              <w:rPr>
                <w:rFonts w:ascii="Calibri" w:eastAsia="Times New Roman" w:hAnsi="Calibri" w:cs="Times New Roman"/>
                <w:b/>
                <w:bCs/>
                <w:color w:val="000000"/>
                <w:sz w:val="16"/>
                <w:szCs w:val="16"/>
              </w:rPr>
            </w:pPr>
            <w:r w:rsidRPr="004C2630">
              <w:rPr>
                <w:rFonts w:ascii="Calibri" w:eastAsia="Times New Roman" w:hAnsi="Calibri" w:cs="Times New Roman"/>
                <w:b/>
                <w:bCs/>
                <w:color w:val="000000"/>
                <w:sz w:val="16"/>
                <w:szCs w:val="16"/>
              </w:rPr>
              <w:t>Urban or Rural?</w:t>
            </w:r>
          </w:p>
        </w:tc>
        <w:tc>
          <w:tcPr>
            <w:tcW w:w="705" w:type="dxa"/>
            <w:tcBorders>
              <w:top w:val="single" w:sz="4" w:space="0" w:color="auto"/>
              <w:left w:val="nil"/>
              <w:bottom w:val="single" w:sz="4" w:space="0" w:color="auto"/>
              <w:right w:val="single" w:sz="4" w:space="0" w:color="auto"/>
            </w:tcBorders>
            <w:shd w:val="clear" w:color="auto" w:fill="auto"/>
            <w:textDirection w:val="btLr"/>
            <w:vAlign w:val="center"/>
            <w:hideMark/>
          </w:tcPr>
          <w:p w14:paraId="05DAC5B6" w14:textId="77777777" w:rsidR="00403B07" w:rsidRPr="004C2630" w:rsidRDefault="00403B07" w:rsidP="00B01272">
            <w:pPr>
              <w:spacing w:after="0" w:line="240" w:lineRule="auto"/>
              <w:jc w:val="center"/>
              <w:rPr>
                <w:rFonts w:ascii="Calibri" w:eastAsia="Times New Roman" w:hAnsi="Calibri" w:cs="Times New Roman"/>
                <w:b/>
                <w:bCs/>
                <w:color w:val="000000"/>
                <w:sz w:val="16"/>
                <w:szCs w:val="16"/>
              </w:rPr>
            </w:pPr>
            <w:r w:rsidRPr="004C2630">
              <w:rPr>
                <w:rFonts w:ascii="Calibri" w:eastAsia="Times New Roman" w:hAnsi="Calibri" w:cs="Times New Roman"/>
                <w:b/>
                <w:bCs/>
                <w:color w:val="000000"/>
                <w:sz w:val="16"/>
                <w:szCs w:val="16"/>
              </w:rPr>
              <w:t>Playing Field?</w:t>
            </w:r>
          </w:p>
        </w:tc>
        <w:tc>
          <w:tcPr>
            <w:tcW w:w="706" w:type="dxa"/>
            <w:tcBorders>
              <w:top w:val="single" w:sz="4" w:space="0" w:color="auto"/>
              <w:left w:val="nil"/>
              <w:bottom w:val="single" w:sz="4" w:space="0" w:color="auto"/>
              <w:right w:val="single" w:sz="4" w:space="0" w:color="auto"/>
            </w:tcBorders>
            <w:shd w:val="clear" w:color="auto" w:fill="auto"/>
            <w:textDirection w:val="btLr"/>
            <w:vAlign w:val="center"/>
            <w:hideMark/>
          </w:tcPr>
          <w:p w14:paraId="34DF84C0" w14:textId="77777777" w:rsidR="00403B07" w:rsidRPr="004C2630" w:rsidRDefault="00403B07" w:rsidP="00B01272">
            <w:pPr>
              <w:spacing w:after="0" w:line="240" w:lineRule="auto"/>
              <w:jc w:val="center"/>
              <w:rPr>
                <w:rFonts w:ascii="Calibri" w:eastAsia="Times New Roman" w:hAnsi="Calibri" w:cs="Times New Roman"/>
                <w:b/>
                <w:bCs/>
                <w:color w:val="000000"/>
                <w:sz w:val="16"/>
                <w:szCs w:val="16"/>
              </w:rPr>
            </w:pPr>
            <w:r w:rsidRPr="004C2630">
              <w:rPr>
                <w:rFonts w:ascii="Calibri" w:eastAsia="Times New Roman" w:hAnsi="Calibri" w:cs="Times New Roman"/>
                <w:b/>
                <w:bCs/>
                <w:color w:val="000000"/>
                <w:sz w:val="16"/>
                <w:szCs w:val="16"/>
              </w:rPr>
              <w:t>Gym or Hall?</w:t>
            </w:r>
          </w:p>
        </w:tc>
        <w:tc>
          <w:tcPr>
            <w:tcW w:w="706" w:type="dxa"/>
            <w:tcBorders>
              <w:top w:val="single" w:sz="4" w:space="0" w:color="auto"/>
              <w:left w:val="nil"/>
              <w:bottom w:val="single" w:sz="4" w:space="0" w:color="auto"/>
              <w:right w:val="single" w:sz="4" w:space="0" w:color="auto"/>
            </w:tcBorders>
            <w:shd w:val="clear" w:color="auto" w:fill="auto"/>
            <w:textDirection w:val="btLr"/>
            <w:vAlign w:val="center"/>
            <w:hideMark/>
          </w:tcPr>
          <w:p w14:paraId="7DF484F9" w14:textId="77777777" w:rsidR="00403B07" w:rsidRPr="004C2630" w:rsidRDefault="00403B07" w:rsidP="00B01272">
            <w:pPr>
              <w:spacing w:after="0" w:line="240" w:lineRule="auto"/>
              <w:jc w:val="center"/>
              <w:rPr>
                <w:rFonts w:ascii="Calibri" w:eastAsia="Times New Roman" w:hAnsi="Calibri" w:cs="Times New Roman"/>
                <w:b/>
                <w:bCs/>
                <w:color w:val="000000"/>
                <w:sz w:val="16"/>
                <w:szCs w:val="16"/>
              </w:rPr>
            </w:pPr>
            <w:r w:rsidRPr="004C2630">
              <w:rPr>
                <w:rFonts w:ascii="Calibri" w:eastAsia="Times New Roman" w:hAnsi="Calibri" w:cs="Times New Roman"/>
                <w:b/>
                <w:bCs/>
                <w:color w:val="000000"/>
                <w:sz w:val="16"/>
                <w:szCs w:val="16"/>
              </w:rPr>
              <w:t>Healthy School Standard?</w:t>
            </w:r>
          </w:p>
        </w:tc>
        <w:tc>
          <w:tcPr>
            <w:tcW w:w="847" w:type="dxa"/>
            <w:tcBorders>
              <w:top w:val="single" w:sz="4" w:space="0" w:color="auto"/>
              <w:left w:val="nil"/>
              <w:bottom w:val="single" w:sz="4" w:space="0" w:color="auto"/>
              <w:right w:val="single" w:sz="4" w:space="0" w:color="auto"/>
            </w:tcBorders>
            <w:shd w:val="clear" w:color="auto" w:fill="auto"/>
            <w:textDirection w:val="btLr"/>
            <w:vAlign w:val="center"/>
            <w:hideMark/>
          </w:tcPr>
          <w:p w14:paraId="289E52BF" w14:textId="77777777" w:rsidR="00403B07" w:rsidRPr="004C2630" w:rsidRDefault="00403B07" w:rsidP="00B01272">
            <w:pPr>
              <w:spacing w:after="0" w:line="240" w:lineRule="auto"/>
              <w:jc w:val="center"/>
              <w:rPr>
                <w:rFonts w:ascii="Calibri" w:eastAsia="Times New Roman" w:hAnsi="Calibri" w:cs="Times New Roman"/>
                <w:b/>
                <w:bCs/>
                <w:color w:val="000000"/>
                <w:sz w:val="16"/>
                <w:szCs w:val="16"/>
              </w:rPr>
            </w:pPr>
            <w:r w:rsidRPr="004C2630">
              <w:rPr>
                <w:rFonts w:ascii="Calibri" w:eastAsia="Times New Roman" w:hAnsi="Calibri" w:cs="Times New Roman"/>
                <w:b/>
                <w:bCs/>
                <w:color w:val="000000"/>
                <w:sz w:val="16"/>
                <w:szCs w:val="16"/>
              </w:rPr>
              <w:t>Space For Wet Play?</w:t>
            </w:r>
          </w:p>
        </w:tc>
        <w:tc>
          <w:tcPr>
            <w:tcW w:w="848" w:type="dxa"/>
            <w:tcBorders>
              <w:top w:val="single" w:sz="4" w:space="0" w:color="auto"/>
              <w:left w:val="nil"/>
              <w:bottom w:val="single" w:sz="4" w:space="0" w:color="auto"/>
              <w:right w:val="single" w:sz="4" w:space="0" w:color="auto"/>
            </w:tcBorders>
            <w:shd w:val="clear" w:color="auto" w:fill="auto"/>
            <w:textDirection w:val="btLr"/>
            <w:vAlign w:val="center"/>
            <w:hideMark/>
          </w:tcPr>
          <w:p w14:paraId="5CD940D4" w14:textId="77777777" w:rsidR="00403B07" w:rsidRPr="004C2630" w:rsidRDefault="00403B07" w:rsidP="00B01272">
            <w:pPr>
              <w:spacing w:after="0" w:line="240" w:lineRule="auto"/>
              <w:jc w:val="center"/>
              <w:rPr>
                <w:rFonts w:ascii="Calibri" w:eastAsia="Times New Roman" w:hAnsi="Calibri" w:cs="Times New Roman"/>
                <w:b/>
                <w:bCs/>
                <w:color w:val="000000"/>
                <w:sz w:val="16"/>
                <w:szCs w:val="16"/>
              </w:rPr>
            </w:pPr>
            <w:r w:rsidRPr="004C2630">
              <w:rPr>
                <w:rFonts w:ascii="Calibri" w:eastAsia="Times New Roman" w:hAnsi="Calibri" w:cs="Times New Roman"/>
                <w:b/>
                <w:bCs/>
                <w:color w:val="000000"/>
                <w:sz w:val="16"/>
                <w:szCs w:val="16"/>
              </w:rPr>
              <w:t>Play Equipment Available?</w:t>
            </w:r>
          </w:p>
        </w:tc>
        <w:tc>
          <w:tcPr>
            <w:tcW w:w="847" w:type="dxa"/>
            <w:tcBorders>
              <w:top w:val="single" w:sz="4" w:space="0" w:color="auto"/>
              <w:left w:val="nil"/>
              <w:bottom w:val="single" w:sz="4" w:space="0" w:color="auto"/>
              <w:right w:val="single" w:sz="4" w:space="0" w:color="auto"/>
            </w:tcBorders>
            <w:shd w:val="clear" w:color="auto" w:fill="auto"/>
            <w:textDirection w:val="btLr"/>
            <w:vAlign w:val="center"/>
            <w:hideMark/>
          </w:tcPr>
          <w:p w14:paraId="1598DDE2" w14:textId="77777777" w:rsidR="00403B07" w:rsidRPr="004C2630" w:rsidRDefault="00403B07" w:rsidP="00B01272">
            <w:pPr>
              <w:spacing w:after="0" w:line="240" w:lineRule="auto"/>
              <w:jc w:val="center"/>
              <w:rPr>
                <w:rFonts w:ascii="Calibri" w:eastAsia="Times New Roman" w:hAnsi="Calibri" w:cs="Times New Roman"/>
                <w:b/>
                <w:bCs/>
                <w:color w:val="000000"/>
                <w:sz w:val="16"/>
                <w:szCs w:val="16"/>
              </w:rPr>
            </w:pPr>
            <w:r w:rsidRPr="004C2630">
              <w:rPr>
                <w:rFonts w:ascii="Calibri" w:eastAsia="Times New Roman" w:hAnsi="Calibri" w:cs="Times New Roman"/>
                <w:b/>
                <w:bCs/>
                <w:color w:val="000000"/>
                <w:sz w:val="16"/>
                <w:szCs w:val="16"/>
              </w:rPr>
              <w:t>Number of after school clubs</w:t>
            </w:r>
          </w:p>
        </w:tc>
      </w:tr>
      <w:tr w:rsidR="00403B07" w:rsidRPr="004C2630" w14:paraId="46199465" w14:textId="77777777" w:rsidTr="00B01272">
        <w:trPr>
          <w:trHeight w:val="170"/>
        </w:trPr>
        <w:tc>
          <w:tcPr>
            <w:tcW w:w="416" w:type="dxa"/>
            <w:tcBorders>
              <w:top w:val="single" w:sz="4" w:space="0" w:color="auto"/>
              <w:left w:val="single" w:sz="4" w:space="0" w:color="auto"/>
              <w:bottom w:val="single" w:sz="4" w:space="0" w:color="auto"/>
              <w:right w:val="single" w:sz="4" w:space="0" w:color="auto"/>
            </w:tcBorders>
            <w:shd w:val="clear" w:color="auto" w:fill="auto"/>
            <w:hideMark/>
          </w:tcPr>
          <w:p w14:paraId="1A34D53F" w14:textId="77777777" w:rsidR="00403B07" w:rsidRPr="004C2630" w:rsidRDefault="00403B07" w:rsidP="00B01272">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01</w:t>
            </w:r>
          </w:p>
        </w:tc>
        <w:tc>
          <w:tcPr>
            <w:tcW w:w="1133" w:type="dxa"/>
            <w:tcBorders>
              <w:top w:val="nil"/>
              <w:left w:val="nil"/>
              <w:bottom w:val="single" w:sz="4" w:space="0" w:color="auto"/>
              <w:right w:val="single" w:sz="4" w:space="0" w:color="auto"/>
            </w:tcBorders>
            <w:shd w:val="clear" w:color="auto" w:fill="auto"/>
            <w:hideMark/>
          </w:tcPr>
          <w:p w14:paraId="77E59B3D"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4C2630">
              <w:rPr>
                <w:rFonts w:ascii="Calibri" w:eastAsia="Times New Roman" w:hAnsi="Calibri" w:cs="Times New Roman"/>
                <w:color w:val="000000"/>
                <w:sz w:val="16"/>
                <w:szCs w:val="16"/>
              </w:rPr>
              <w:t>Urban/rural</w:t>
            </w:r>
          </w:p>
        </w:tc>
        <w:tc>
          <w:tcPr>
            <w:tcW w:w="705" w:type="dxa"/>
            <w:tcBorders>
              <w:top w:val="nil"/>
              <w:left w:val="nil"/>
              <w:bottom w:val="single" w:sz="4" w:space="0" w:color="auto"/>
              <w:right w:val="single" w:sz="4" w:space="0" w:color="auto"/>
            </w:tcBorders>
            <w:shd w:val="clear" w:color="auto" w:fill="auto"/>
            <w:hideMark/>
          </w:tcPr>
          <w:p w14:paraId="3E816CB2"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047808">
              <w:rPr>
                <w:rFonts w:ascii="Marlett" w:hAnsi="Marlett"/>
              </w:rPr>
              <w:t></w:t>
            </w:r>
          </w:p>
        </w:tc>
        <w:tc>
          <w:tcPr>
            <w:tcW w:w="706" w:type="dxa"/>
            <w:tcBorders>
              <w:top w:val="nil"/>
              <w:left w:val="nil"/>
              <w:bottom w:val="single" w:sz="4" w:space="0" w:color="auto"/>
              <w:right w:val="single" w:sz="4" w:space="0" w:color="auto"/>
            </w:tcBorders>
            <w:shd w:val="clear" w:color="auto" w:fill="auto"/>
            <w:hideMark/>
          </w:tcPr>
          <w:p w14:paraId="0633B41F" w14:textId="77777777" w:rsidR="00403B07" w:rsidRPr="004C2630" w:rsidRDefault="00403B07" w:rsidP="00B01272">
            <w:pPr>
              <w:spacing w:after="0" w:line="240" w:lineRule="auto"/>
              <w:rPr>
                <w:rFonts w:ascii="Calibri" w:eastAsia="Times New Roman" w:hAnsi="Calibri" w:cs="Times New Roman"/>
                <w:b/>
                <w:color w:val="000000"/>
                <w:sz w:val="16"/>
                <w:szCs w:val="16"/>
              </w:rPr>
            </w:pPr>
            <w:r w:rsidRPr="004C2630">
              <w:rPr>
                <w:rFonts w:ascii="Calibri" w:eastAsia="Times New Roman" w:hAnsi="Calibri" w:cs="Times New Roman"/>
                <w:b/>
                <w:color w:val="000000"/>
                <w:sz w:val="16"/>
                <w:szCs w:val="16"/>
              </w:rPr>
              <w:t>-</w:t>
            </w:r>
          </w:p>
        </w:tc>
        <w:tc>
          <w:tcPr>
            <w:tcW w:w="706" w:type="dxa"/>
            <w:tcBorders>
              <w:top w:val="nil"/>
              <w:left w:val="nil"/>
              <w:bottom w:val="single" w:sz="4" w:space="0" w:color="auto"/>
              <w:right w:val="single" w:sz="4" w:space="0" w:color="auto"/>
            </w:tcBorders>
            <w:shd w:val="clear" w:color="auto" w:fill="auto"/>
            <w:hideMark/>
          </w:tcPr>
          <w:p w14:paraId="0891B95F" w14:textId="77777777" w:rsidR="00403B07" w:rsidRPr="004C2630" w:rsidRDefault="00403B07" w:rsidP="00B01272">
            <w:pPr>
              <w:spacing w:after="0" w:line="240" w:lineRule="auto"/>
              <w:rPr>
                <w:rFonts w:ascii="Calibri" w:eastAsia="Times New Roman" w:hAnsi="Calibri" w:cs="Times New Roman"/>
                <w:b/>
                <w:color w:val="000000"/>
                <w:sz w:val="16"/>
                <w:szCs w:val="16"/>
              </w:rPr>
            </w:pPr>
            <w:r w:rsidRPr="004C2630">
              <w:rPr>
                <w:rFonts w:ascii="Calibri" w:eastAsia="Times New Roman" w:hAnsi="Calibri" w:cs="Times New Roman"/>
                <w:b/>
                <w:color w:val="000000"/>
                <w:sz w:val="16"/>
                <w:szCs w:val="16"/>
              </w:rPr>
              <w:t>-</w:t>
            </w:r>
          </w:p>
        </w:tc>
        <w:tc>
          <w:tcPr>
            <w:tcW w:w="847" w:type="dxa"/>
            <w:tcBorders>
              <w:top w:val="nil"/>
              <w:left w:val="nil"/>
              <w:bottom w:val="single" w:sz="4" w:space="0" w:color="auto"/>
              <w:right w:val="single" w:sz="4" w:space="0" w:color="auto"/>
            </w:tcBorders>
            <w:shd w:val="clear" w:color="auto" w:fill="auto"/>
            <w:hideMark/>
          </w:tcPr>
          <w:p w14:paraId="59811627" w14:textId="77777777" w:rsidR="00403B07" w:rsidRPr="004C2630" w:rsidRDefault="00403B07" w:rsidP="00B01272">
            <w:pPr>
              <w:spacing w:after="0" w:line="240" w:lineRule="auto"/>
              <w:rPr>
                <w:rFonts w:ascii="Calibri" w:eastAsia="Times New Roman" w:hAnsi="Calibri" w:cs="Times New Roman"/>
                <w:b/>
                <w:color w:val="000000"/>
                <w:sz w:val="16"/>
                <w:szCs w:val="16"/>
              </w:rPr>
            </w:pPr>
            <w:r w:rsidRPr="004C2630">
              <w:rPr>
                <w:rFonts w:ascii="Calibri" w:eastAsia="Times New Roman" w:hAnsi="Calibri" w:cs="Times New Roman"/>
                <w:b/>
                <w:color w:val="000000"/>
                <w:sz w:val="16"/>
                <w:szCs w:val="16"/>
              </w:rPr>
              <w:t>-</w:t>
            </w:r>
          </w:p>
        </w:tc>
        <w:tc>
          <w:tcPr>
            <w:tcW w:w="848" w:type="dxa"/>
            <w:tcBorders>
              <w:top w:val="nil"/>
              <w:left w:val="nil"/>
              <w:bottom w:val="single" w:sz="4" w:space="0" w:color="auto"/>
              <w:right w:val="single" w:sz="4" w:space="0" w:color="auto"/>
            </w:tcBorders>
            <w:shd w:val="clear" w:color="auto" w:fill="auto"/>
            <w:hideMark/>
          </w:tcPr>
          <w:p w14:paraId="483BA930" w14:textId="77777777" w:rsidR="00403B07" w:rsidRPr="004C2630" w:rsidRDefault="00403B07" w:rsidP="00B01272">
            <w:pPr>
              <w:spacing w:after="0" w:line="240" w:lineRule="auto"/>
              <w:rPr>
                <w:rFonts w:ascii="Calibri" w:eastAsia="Times New Roman" w:hAnsi="Calibri" w:cs="Times New Roman"/>
                <w:b/>
                <w:color w:val="000000"/>
                <w:sz w:val="16"/>
                <w:szCs w:val="16"/>
              </w:rPr>
            </w:pPr>
            <w:r w:rsidRPr="004C2630">
              <w:rPr>
                <w:rFonts w:ascii="Calibri" w:eastAsia="Times New Roman" w:hAnsi="Calibri" w:cs="Times New Roman"/>
                <w:b/>
                <w:color w:val="000000"/>
                <w:sz w:val="16"/>
                <w:szCs w:val="16"/>
              </w:rPr>
              <w:t>-</w:t>
            </w:r>
          </w:p>
        </w:tc>
        <w:tc>
          <w:tcPr>
            <w:tcW w:w="847" w:type="dxa"/>
            <w:tcBorders>
              <w:top w:val="nil"/>
              <w:left w:val="nil"/>
              <w:bottom w:val="single" w:sz="4" w:space="0" w:color="auto"/>
              <w:right w:val="single" w:sz="4" w:space="0" w:color="auto"/>
            </w:tcBorders>
            <w:shd w:val="clear" w:color="auto" w:fill="auto"/>
            <w:hideMark/>
          </w:tcPr>
          <w:p w14:paraId="33D67A2B"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4C2630">
              <w:rPr>
                <w:rFonts w:ascii="Calibri" w:eastAsia="Times New Roman" w:hAnsi="Calibri" w:cs="Times New Roman"/>
                <w:color w:val="000000"/>
                <w:sz w:val="16"/>
                <w:szCs w:val="16"/>
              </w:rPr>
              <w:t>4</w:t>
            </w:r>
          </w:p>
        </w:tc>
      </w:tr>
      <w:tr w:rsidR="00403B07" w:rsidRPr="004C2630" w14:paraId="04EEC50F" w14:textId="77777777" w:rsidTr="00B01272">
        <w:trPr>
          <w:trHeight w:val="170"/>
        </w:trPr>
        <w:tc>
          <w:tcPr>
            <w:tcW w:w="416" w:type="dxa"/>
            <w:tcBorders>
              <w:top w:val="single" w:sz="4" w:space="0" w:color="auto"/>
              <w:left w:val="single" w:sz="4" w:space="0" w:color="auto"/>
              <w:bottom w:val="single" w:sz="4" w:space="0" w:color="auto"/>
              <w:right w:val="single" w:sz="4" w:space="0" w:color="auto"/>
            </w:tcBorders>
            <w:shd w:val="clear" w:color="auto" w:fill="auto"/>
            <w:hideMark/>
          </w:tcPr>
          <w:p w14:paraId="5E5EB930"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4C2630">
              <w:rPr>
                <w:rFonts w:ascii="Calibri" w:eastAsia="Times New Roman" w:hAnsi="Calibri" w:cs="Times New Roman"/>
                <w:color w:val="000000"/>
                <w:sz w:val="16"/>
                <w:szCs w:val="16"/>
              </w:rPr>
              <w:t>0</w:t>
            </w:r>
            <w:r>
              <w:rPr>
                <w:rFonts w:ascii="Calibri" w:eastAsia="Times New Roman" w:hAnsi="Calibri" w:cs="Times New Roman"/>
                <w:color w:val="000000"/>
                <w:sz w:val="16"/>
                <w:szCs w:val="16"/>
              </w:rPr>
              <w:t>2</w:t>
            </w:r>
          </w:p>
        </w:tc>
        <w:tc>
          <w:tcPr>
            <w:tcW w:w="1133" w:type="dxa"/>
            <w:tcBorders>
              <w:top w:val="nil"/>
              <w:left w:val="nil"/>
              <w:bottom w:val="single" w:sz="4" w:space="0" w:color="auto"/>
              <w:right w:val="single" w:sz="4" w:space="0" w:color="auto"/>
            </w:tcBorders>
            <w:shd w:val="clear" w:color="auto" w:fill="auto"/>
            <w:hideMark/>
          </w:tcPr>
          <w:p w14:paraId="72F33FC0"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4C2630">
              <w:rPr>
                <w:rFonts w:ascii="Calibri" w:eastAsia="Times New Roman" w:hAnsi="Calibri" w:cs="Times New Roman"/>
                <w:color w:val="000000"/>
                <w:sz w:val="16"/>
                <w:szCs w:val="16"/>
              </w:rPr>
              <w:t>Urban</w:t>
            </w:r>
          </w:p>
        </w:tc>
        <w:tc>
          <w:tcPr>
            <w:tcW w:w="705" w:type="dxa"/>
            <w:tcBorders>
              <w:top w:val="nil"/>
              <w:left w:val="nil"/>
              <w:bottom w:val="single" w:sz="4" w:space="0" w:color="auto"/>
              <w:right w:val="single" w:sz="4" w:space="0" w:color="auto"/>
            </w:tcBorders>
            <w:shd w:val="clear" w:color="auto" w:fill="auto"/>
            <w:hideMark/>
          </w:tcPr>
          <w:p w14:paraId="78E1965E" w14:textId="77777777" w:rsidR="00403B07" w:rsidRDefault="00403B07" w:rsidP="00B01272">
            <w:pPr>
              <w:spacing w:line="240" w:lineRule="auto"/>
            </w:pPr>
            <w:r w:rsidRPr="00BC46F7">
              <w:rPr>
                <w:rFonts w:ascii="Marlett" w:hAnsi="Marlett"/>
              </w:rPr>
              <w:t></w:t>
            </w:r>
          </w:p>
        </w:tc>
        <w:tc>
          <w:tcPr>
            <w:tcW w:w="706" w:type="dxa"/>
            <w:tcBorders>
              <w:top w:val="nil"/>
              <w:left w:val="nil"/>
              <w:bottom w:val="single" w:sz="4" w:space="0" w:color="auto"/>
              <w:right w:val="single" w:sz="4" w:space="0" w:color="auto"/>
            </w:tcBorders>
            <w:shd w:val="clear" w:color="auto" w:fill="auto"/>
            <w:hideMark/>
          </w:tcPr>
          <w:p w14:paraId="01528A77" w14:textId="77777777" w:rsidR="00403B07" w:rsidRDefault="00403B07" w:rsidP="00B01272">
            <w:pPr>
              <w:spacing w:line="240" w:lineRule="auto"/>
            </w:pPr>
            <w:r w:rsidRPr="00BC46F7">
              <w:rPr>
                <w:rFonts w:ascii="Marlett" w:hAnsi="Marlett"/>
              </w:rPr>
              <w:t></w:t>
            </w:r>
          </w:p>
        </w:tc>
        <w:tc>
          <w:tcPr>
            <w:tcW w:w="706" w:type="dxa"/>
            <w:tcBorders>
              <w:top w:val="nil"/>
              <w:left w:val="nil"/>
              <w:bottom w:val="single" w:sz="4" w:space="0" w:color="auto"/>
              <w:right w:val="single" w:sz="4" w:space="0" w:color="auto"/>
            </w:tcBorders>
            <w:shd w:val="clear" w:color="auto" w:fill="auto"/>
            <w:hideMark/>
          </w:tcPr>
          <w:p w14:paraId="5696A383" w14:textId="77777777" w:rsidR="00403B07" w:rsidRDefault="00403B07" w:rsidP="00B01272">
            <w:pPr>
              <w:spacing w:line="240" w:lineRule="auto"/>
            </w:pPr>
            <w:r w:rsidRPr="00BC46F7">
              <w:rPr>
                <w:rFonts w:ascii="Marlett" w:hAnsi="Marlett"/>
              </w:rPr>
              <w:t></w:t>
            </w:r>
          </w:p>
        </w:tc>
        <w:tc>
          <w:tcPr>
            <w:tcW w:w="847" w:type="dxa"/>
            <w:tcBorders>
              <w:top w:val="nil"/>
              <w:left w:val="nil"/>
              <w:bottom w:val="single" w:sz="4" w:space="0" w:color="auto"/>
              <w:right w:val="single" w:sz="4" w:space="0" w:color="auto"/>
            </w:tcBorders>
            <w:shd w:val="clear" w:color="auto" w:fill="auto"/>
            <w:hideMark/>
          </w:tcPr>
          <w:p w14:paraId="6C0BBFD7" w14:textId="77777777" w:rsidR="00403B07" w:rsidRDefault="00403B07" w:rsidP="00B01272">
            <w:pPr>
              <w:spacing w:line="240" w:lineRule="auto"/>
            </w:pPr>
            <w:r w:rsidRPr="00BC46F7">
              <w:rPr>
                <w:rFonts w:ascii="Marlett" w:hAnsi="Marlett"/>
              </w:rPr>
              <w:t></w:t>
            </w:r>
          </w:p>
        </w:tc>
        <w:tc>
          <w:tcPr>
            <w:tcW w:w="848" w:type="dxa"/>
            <w:tcBorders>
              <w:top w:val="nil"/>
              <w:left w:val="nil"/>
              <w:bottom w:val="single" w:sz="4" w:space="0" w:color="auto"/>
              <w:right w:val="single" w:sz="4" w:space="0" w:color="auto"/>
            </w:tcBorders>
            <w:shd w:val="clear" w:color="auto" w:fill="auto"/>
            <w:hideMark/>
          </w:tcPr>
          <w:p w14:paraId="19CB8BF3" w14:textId="77777777" w:rsidR="00403B07" w:rsidRDefault="00403B07" w:rsidP="00B01272">
            <w:pPr>
              <w:spacing w:line="240" w:lineRule="auto"/>
            </w:pPr>
            <w:r w:rsidRPr="00BC46F7">
              <w:rPr>
                <w:rFonts w:ascii="Marlett" w:hAnsi="Marlett"/>
              </w:rPr>
              <w:t></w:t>
            </w:r>
          </w:p>
        </w:tc>
        <w:tc>
          <w:tcPr>
            <w:tcW w:w="847" w:type="dxa"/>
            <w:tcBorders>
              <w:top w:val="nil"/>
              <w:left w:val="nil"/>
              <w:bottom w:val="single" w:sz="4" w:space="0" w:color="auto"/>
              <w:right w:val="single" w:sz="4" w:space="0" w:color="auto"/>
            </w:tcBorders>
            <w:shd w:val="clear" w:color="auto" w:fill="auto"/>
            <w:hideMark/>
          </w:tcPr>
          <w:p w14:paraId="30C4B209"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4C2630">
              <w:rPr>
                <w:rFonts w:ascii="Calibri" w:eastAsia="Times New Roman" w:hAnsi="Calibri" w:cs="Times New Roman"/>
                <w:color w:val="000000"/>
                <w:sz w:val="16"/>
                <w:szCs w:val="16"/>
              </w:rPr>
              <w:t>4</w:t>
            </w:r>
          </w:p>
        </w:tc>
      </w:tr>
      <w:tr w:rsidR="00403B07" w:rsidRPr="004C2630" w14:paraId="6E700942" w14:textId="77777777" w:rsidTr="00B01272">
        <w:trPr>
          <w:trHeight w:val="170"/>
        </w:trPr>
        <w:tc>
          <w:tcPr>
            <w:tcW w:w="416" w:type="dxa"/>
            <w:tcBorders>
              <w:top w:val="single" w:sz="4" w:space="0" w:color="auto"/>
              <w:left w:val="single" w:sz="4" w:space="0" w:color="auto"/>
              <w:bottom w:val="single" w:sz="4" w:space="0" w:color="auto"/>
              <w:right w:val="single" w:sz="4" w:space="0" w:color="auto"/>
            </w:tcBorders>
            <w:shd w:val="clear" w:color="auto" w:fill="auto"/>
            <w:hideMark/>
          </w:tcPr>
          <w:p w14:paraId="570A965B"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4C2630">
              <w:rPr>
                <w:rFonts w:ascii="Calibri" w:eastAsia="Times New Roman" w:hAnsi="Calibri" w:cs="Times New Roman"/>
                <w:color w:val="000000"/>
                <w:sz w:val="16"/>
                <w:szCs w:val="16"/>
              </w:rPr>
              <w:t>0</w:t>
            </w:r>
            <w:r>
              <w:rPr>
                <w:rFonts w:ascii="Calibri" w:eastAsia="Times New Roman" w:hAnsi="Calibri" w:cs="Times New Roman"/>
                <w:color w:val="000000"/>
                <w:sz w:val="16"/>
                <w:szCs w:val="16"/>
              </w:rPr>
              <w:t>3</w:t>
            </w:r>
          </w:p>
        </w:tc>
        <w:tc>
          <w:tcPr>
            <w:tcW w:w="1133" w:type="dxa"/>
            <w:tcBorders>
              <w:top w:val="nil"/>
              <w:left w:val="nil"/>
              <w:bottom w:val="single" w:sz="4" w:space="0" w:color="auto"/>
              <w:right w:val="single" w:sz="4" w:space="0" w:color="auto"/>
            </w:tcBorders>
            <w:shd w:val="clear" w:color="auto" w:fill="auto"/>
            <w:hideMark/>
          </w:tcPr>
          <w:p w14:paraId="4C370CF4"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4C2630">
              <w:rPr>
                <w:rFonts w:ascii="Calibri" w:eastAsia="Times New Roman" w:hAnsi="Calibri" w:cs="Times New Roman"/>
                <w:color w:val="000000"/>
                <w:sz w:val="16"/>
                <w:szCs w:val="16"/>
              </w:rPr>
              <w:t>Urban</w:t>
            </w:r>
          </w:p>
        </w:tc>
        <w:tc>
          <w:tcPr>
            <w:tcW w:w="705" w:type="dxa"/>
            <w:tcBorders>
              <w:top w:val="nil"/>
              <w:left w:val="nil"/>
              <w:bottom w:val="single" w:sz="4" w:space="0" w:color="auto"/>
              <w:right w:val="single" w:sz="4" w:space="0" w:color="auto"/>
            </w:tcBorders>
            <w:shd w:val="clear" w:color="auto" w:fill="auto"/>
            <w:hideMark/>
          </w:tcPr>
          <w:p w14:paraId="76F8DC0E" w14:textId="77777777" w:rsidR="00403B07" w:rsidRPr="004C2630" w:rsidRDefault="00403B07" w:rsidP="00B01272">
            <w:pPr>
              <w:spacing w:after="0" w:line="240" w:lineRule="auto"/>
              <w:rPr>
                <w:rFonts w:ascii="Calibri" w:eastAsia="Times New Roman" w:hAnsi="Calibri" w:cs="Times New Roman"/>
                <w:b/>
                <w:color w:val="000000"/>
                <w:sz w:val="16"/>
                <w:szCs w:val="16"/>
              </w:rPr>
            </w:pPr>
            <w:r w:rsidRPr="004C2630">
              <w:rPr>
                <w:rFonts w:ascii="Calibri" w:eastAsia="Times New Roman" w:hAnsi="Calibri" w:cs="Times New Roman"/>
                <w:b/>
                <w:color w:val="000000"/>
                <w:sz w:val="16"/>
                <w:szCs w:val="16"/>
              </w:rPr>
              <w:t>x</w:t>
            </w:r>
          </w:p>
        </w:tc>
        <w:tc>
          <w:tcPr>
            <w:tcW w:w="706" w:type="dxa"/>
            <w:tcBorders>
              <w:top w:val="nil"/>
              <w:left w:val="nil"/>
              <w:bottom w:val="single" w:sz="4" w:space="0" w:color="auto"/>
              <w:right w:val="single" w:sz="4" w:space="0" w:color="auto"/>
            </w:tcBorders>
            <w:shd w:val="clear" w:color="auto" w:fill="auto"/>
            <w:hideMark/>
          </w:tcPr>
          <w:p w14:paraId="441F091C"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047808">
              <w:rPr>
                <w:rFonts w:ascii="Marlett" w:hAnsi="Marlett"/>
              </w:rPr>
              <w:t></w:t>
            </w:r>
          </w:p>
        </w:tc>
        <w:tc>
          <w:tcPr>
            <w:tcW w:w="706" w:type="dxa"/>
            <w:tcBorders>
              <w:top w:val="nil"/>
              <w:left w:val="nil"/>
              <w:bottom w:val="single" w:sz="4" w:space="0" w:color="auto"/>
              <w:right w:val="single" w:sz="4" w:space="0" w:color="auto"/>
            </w:tcBorders>
            <w:shd w:val="clear" w:color="auto" w:fill="auto"/>
            <w:hideMark/>
          </w:tcPr>
          <w:p w14:paraId="75AD531B"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047808">
              <w:rPr>
                <w:rFonts w:ascii="Marlett" w:hAnsi="Marlett"/>
              </w:rPr>
              <w:t></w:t>
            </w:r>
          </w:p>
        </w:tc>
        <w:tc>
          <w:tcPr>
            <w:tcW w:w="847" w:type="dxa"/>
            <w:tcBorders>
              <w:top w:val="nil"/>
              <w:left w:val="nil"/>
              <w:bottom w:val="single" w:sz="4" w:space="0" w:color="auto"/>
              <w:right w:val="single" w:sz="4" w:space="0" w:color="auto"/>
            </w:tcBorders>
            <w:shd w:val="clear" w:color="auto" w:fill="auto"/>
            <w:hideMark/>
          </w:tcPr>
          <w:p w14:paraId="155A2E25" w14:textId="77777777" w:rsidR="00403B07" w:rsidRPr="004C2630" w:rsidRDefault="00403B07" w:rsidP="00B01272">
            <w:pPr>
              <w:spacing w:after="0" w:line="240" w:lineRule="auto"/>
              <w:rPr>
                <w:rFonts w:ascii="Calibri" w:eastAsia="Times New Roman" w:hAnsi="Calibri" w:cs="Times New Roman"/>
                <w:b/>
                <w:color w:val="000000"/>
                <w:sz w:val="16"/>
                <w:szCs w:val="16"/>
              </w:rPr>
            </w:pPr>
            <w:r w:rsidRPr="004C2630">
              <w:rPr>
                <w:rFonts w:ascii="Calibri" w:eastAsia="Times New Roman" w:hAnsi="Calibri" w:cs="Times New Roman"/>
                <w:b/>
                <w:color w:val="000000"/>
                <w:sz w:val="16"/>
                <w:szCs w:val="16"/>
              </w:rPr>
              <w:t>x</w:t>
            </w:r>
          </w:p>
        </w:tc>
        <w:tc>
          <w:tcPr>
            <w:tcW w:w="848" w:type="dxa"/>
            <w:tcBorders>
              <w:top w:val="nil"/>
              <w:left w:val="nil"/>
              <w:bottom w:val="single" w:sz="4" w:space="0" w:color="auto"/>
              <w:right w:val="single" w:sz="4" w:space="0" w:color="auto"/>
            </w:tcBorders>
            <w:shd w:val="clear" w:color="auto" w:fill="auto"/>
            <w:hideMark/>
          </w:tcPr>
          <w:p w14:paraId="3FA8F451"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047808">
              <w:rPr>
                <w:rFonts w:ascii="Marlett" w:hAnsi="Marlett"/>
              </w:rPr>
              <w:t></w:t>
            </w:r>
          </w:p>
        </w:tc>
        <w:tc>
          <w:tcPr>
            <w:tcW w:w="847" w:type="dxa"/>
            <w:tcBorders>
              <w:top w:val="nil"/>
              <w:left w:val="nil"/>
              <w:bottom w:val="single" w:sz="4" w:space="0" w:color="auto"/>
              <w:right w:val="single" w:sz="4" w:space="0" w:color="auto"/>
            </w:tcBorders>
            <w:shd w:val="clear" w:color="auto" w:fill="auto"/>
            <w:hideMark/>
          </w:tcPr>
          <w:p w14:paraId="4FB1AE14"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4C2630">
              <w:rPr>
                <w:rFonts w:ascii="Calibri" w:eastAsia="Times New Roman" w:hAnsi="Calibri" w:cs="Times New Roman"/>
                <w:color w:val="000000"/>
                <w:sz w:val="16"/>
                <w:szCs w:val="16"/>
              </w:rPr>
              <w:t>4</w:t>
            </w:r>
          </w:p>
        </w:tc>
      </w:tr>
      <w:tr w:rsidR="00403B07" w:rsidRPr="004C2630" w14:paraId="33515F7B" w14:textId="77777777" w:rsidTr="00B01272">
        <w:trPr>
          <w:trHeight w:val="170"/>
        </w:trPr>
        <w:tc>
          <w:tcPr>
            <w:tcW w:w="416" w:type="dxa"/>
            <w:tcBorders>
              <w:top w:val="single" w:sz="4" w:space="0" w:color="auto"/>
              <w:left w:val="single" w:sz="4" w:space="0" w:color="auto"/>
              <w:bottom w:val="single" w:sz="4" w:space="0" w:color="auto"/>
              <w:right w:val="single" w:sz="4" w:space="0" w:color="auto"/>
            </w:tcBorders>
            <w:shd w:val="clear" w:color="auto" w:fill="auto"/>
            <w:hideMark/>
          </w:tcPr>
          <w:p w14:paraId="5B201A91" w14:textId="77777777" w:rsidR="00403B07" w:rsidRPr="004C2630" w:rsidRDefault="00403B07" w:rsidP="00B01272">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04</w:t>
            </w:r>
          </w:p>
        </w:tc>
        <w:tc>
          <w:tcPr>
            <w:tcW w:w="1133" w:type="dxa"/>
            <w:tcBorders>
              <w:top w:val="nil"/>
              <w:left w:val="nil"/>
              <w:bottom w:val="single" w:sz="4" w:space="0" w:color="auto"/>
              <w:right w:val="single" w:sz="4" w:space="0" w:color="auto"/>
            </w:tcBorders>
            <w:shd w:val="clear" w:color="auto" w:fill="auto"/>
            <w:hideMark/>
          </w:tcPr>
          <w:p w14:paraId="79A81499"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4C2630">
              <w:rPr>
                <w:rFonts w:ascii="Calibri" w:eastAsia="Times New Roman" w:hAnsi="Calibri" w:cs="Times New Roman"/>
                <w:color w:val="000000"/>
                <w:sz w:val="16"/>
                <w:szCs w:val="16"/>
              </w:rPr>
              <w:t>Rural</w:t>
            </w:r>
          </w:p>
        </w:tc>
        <w:tc>
          <w:tcPr>
            <w:tcW w:w="705" w:type="dxa"/>
            <w:tcBorders>
              <w:top w:val="nil"/>
              <w:left w:val="nil"/>
              <w:bottom w:val="single" w:sz="4" w:space="0" w:color="auto"/>
              <w:right w:val="single" w:sz="4" w:space="0" w:color="auto"/>
            </w:tcBorders>
            <w:shd w:val="clear" w:color="auto" w:fill="auto"/>
            <w:hideMark/>
          </w:tcPr>
          <w:p w14:paraId="402B2F50" w14:textId="77777777" w:rsidR="00403B07" w:rsidRDefault="00403B07" w:rsidP="00B01272">
            <w:pPr>
              <w:spacing w:line="240" w:lineRule="auto"/>
            </w:pPr>
            <w:r w:rsidRPr="00271D35">
              <w:rPr>
                <w:rFonts w:ascii="Marlett" w:hAnsi="Marlett"/>
              </w:rPr>
              <w:t></w:t>
            </w:r>
          </w:p>
        </w:tc>
        <w:tc>
          <w:tcPr>
            <w:tcW w:w="706" w:type="dxa"/>
            <w:tcBorders>
              <w:top w:val="nil"/>
              <w:left w:val="nil"/>
              <w:bottom w:val="single" w:sz="4" w:space="0" w:color="auto"/>
              <w:right w:val="single" w:sz="4" w:space="0" w:color="auto"/>
            </w:tcBorders>
            <w:shd w:val="clear" w:color="auto" w:fill="auto"/>
            <w:hideMark/>
          </w:tcPr>
          <w:p w14:paraId="53C2E21C" w14:textId="77777777" w:rsidR="00403B07" w:rsidRDefault="00403B07" w:rsidP="00B01272">
            <w:pPr>
              <w:spacing w:line="240" w:lineRule="auto"/>
            </w:pPr>
            <w:r w:rsidRPr="00271D35">
              <w:rPr>
                <w:rFonts w:ascii="Marlett" w:hAnsi="Marlett"/>
              </w:rPr>
              <w:t></w:t>
            </w:r>
          </w:p>
        </w:tc>
        <w:tc>
          <w:tcPr>
            <w:tcW w:w="706" w:type="dxa"/>
            <w:tcBorders>
              <w:top w:val="nil"/>
              <w:left w:val="nil"/>
              <w:bottom w:val="single" w:sz="4" w:space="0" w:color="auto"/>
              <w:right w:val="single" w:sz="4" w:space="0" w:color="auto"/>
            </w:tcBorders>
            <w:shd w:val="clear" w:color="auto" w:fill="auto"/>
            <w:hideMark/>
          </w:tcPr>
          <w:p w14:paraId="76692209" w14:textId="77777777" w:rsidR="00403B07" w:rsidRDefault="00403B07" w:rsidP="00B01272">
            <w:pPr>
              <w:spacing w:line="240" w:lineRule="auto"/>
            </w:pPr>
            <w:r w:rsidRPr="00271D35">
              <w:rPr>
                <w:rFonts w:ascii="Marlett" w:hAnsi="Marlett"/>
              </w:rPr>
              <w:t></w:t>
            </w:r>
          </w:p>
        </w:tc>
        <w:tc>
          <w:tcPr>
            <w:tcW w:w="847" w:type="dxa"/>
            <w:tcBorders>
              <w:top w:val="nil"/>
              <w:left w:val="nil"/>
              <w:bottom w:val="single" w:sz="4" w:space="0" w:color="auto"/>
              <w:right w:val="single" w:sz="4" w:space="0" w:color="auto"/>
            </w:tcBorders>
            <w:shd w:val="clear" w:color="auto" w:fill="auto"/>
            <w:hideMark/>
          </w:tcPr>
          <w:p w14:paraId="3A4BB99E" w14:textId="77777777" w:rsidR="00403B07" w:rsidRDefault="00403B07" w:rsidP="00B01272">
            <w:pPr>
              <w:spacing w:line="240" w:lineRule="auto"/>
            </w:pPr>
            <w:r w:rsidRPr="00271D35">
              <w:rPr>
                <w:rFonts w:ascii="Marlett" w:hAnsi="Marlett"/>
              </w:rPr>
              <w:t></w:t>
            </w:r>
          </w:p>
        </w:tc>
        <w:tc>
          <w:tcPr>
            <w:tcW w:w="848" w:type="dxa"/>
            <w:tcBorders>
              <w:top w:val="nil"/>
              <w:left w:val="nil"/>
              <w:bottom w:val="single" w:sz="4" w:space="0" w:color="auto"/>
              <w:right w:val="single" w:sz="4" w:space="0" w:color="auto"/>
            </w:tcBorders>
            <w:shd w:val="clear" w:color="auto" w:fill="auto"/>
            <w:hideMark/>
          </w:tcPr>
          <w:p w14:paraId="061CB01A" w14:textId="77777777" w:rsidR="00403B07" w:rsidRDefault="00403B07" w:rsidP="00B01272">
            <w:pPr>
              <w:spacing w:line="240" w:lineRule="auto"/>
            </w:pPr>
            <w:r w:rsidRPr="00271D35">
              <w:rPr>
                <w:rFonts w:ascii="Marlett" w:hAnsi="Marlett"/>
              </w:rPr>
              <w:t></w:t>
            </w:r>
          </w:p>
        </w:tc>
        <w:tc>
          <w:tcPr>
            <w:tcW w:w="847" w:type="dxa"/>
            <w:tcBorders>
              <w:top w:val="nil"/>
              <w:left w:val="nil"/>
              <w:bottom w:val="single" w:sz="4" w:space="0" w:color="auto"/>
              <w:right w:val="single" w:sz="4" w:space="0" w:color="auto"/>
            </w:tcBorders>
            <w:shd w:val="clear" w:color="auto" w:fill="auto"/>
            <w:hideMark/>
          </w:tcPr>
          <w:p w14:paraId="159C96C9"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4C2630">
              <w:rPr>
                <w:rFonts w:ascii="Calibri" w:eastAsia="Times New Roman" w:hAnsi="Calibri" w:cs="Times New Roman"/>
                <w:color w:val="000000"/>
                <w:sz w:val="16"/>
                <w:szCs w:val="16"/>
              </w:rPr>
              <w:t>5</w:t>
            </w:r>
          </w:p>
        </w:tc>
      </w:tr>
      <w:tr w:rsidR="00403B07" w:rsidRPr="004C2630" w14:paraId="240AC9C6" w14:textId="77777777" w:rsidTr="00B01272">
        <w:trPr>
          <w:trHeight w:val="170"/>
        </w:trPr>
        <w:tc>
          <w:tcPr>
            <w:tcW w:w="416" w:type="dxa"/>
            <w:tcBorders>
              <w:top w:val="single" w:sz="4" w:space="0" w:color="auto"/>
              <w:left w:val="single" w:sz="4" w:space="0" w:color="auto"/>
              <w:bottom w:val="single" w:sz="4" w:space="0" w:color="auto"/>
              <w:right w:val="single" w:sz="4" w:space="0" w:color="auto"/>
            </w:tcBorders>
            <w:shd w:val="clear" w:color="auto" w:fill="auto"/>
            <w:hideMark/>
          </w:tcPr>
          <w:p w14:paraId="53C8CFF1" w14:textId="77777777" w:rsidR="00403B07" w:rsidRPr="004C2630" w:rsidRDefault="00403B07" w:rsidP="00B01272">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0</w:t>
            </w:r>
            <w:r w:rsidRPr="004C2630">
              <w:rPr>
                <w:rFonts w:ascii="Calibri" w:eastAsia="Times New Roman" w:hAnsi="Calibri" w:cs="Times New Roman"/>
                <w:color w:val="000000"/>
                <w:sz w:val="16"/>
                <w:szCs w:val="16"/>
              </w:rPr>
              <w:t>5</w:t>
            </w:r>
          </w:p>
        </w:tc>
        <w:tc>
          <w:tcPr>
            <w:tcW w:w="1133" w:type="dxa"/>
            <w:tcBorders>
              <w:top w:val="nil"/>
              <w:left w:val="nil"/>
              <w:bottom w:val="single" w:sz="4" w:space="0" w:color="auto"/>
              <w:right w:val="single" w:sz="4" w:space="0" w:color="auto"/>
            </w:tcBorders>
            <w:shd w:val="clear" w:color="auto" w:fill="auto"/>
            <w:hideMark/>
          </w:tcPr>
          <w:p w14:paraId="59DE3DB8"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4C2630">
              <w:rPr>
                <w:rFonts w:ascii="Calibri" w:eastAsia="Times New Roman" w:hAnsi="Calibri" w:cs="Times New Roman"/>
                <w:color w:val="000000"/>
                <w:sz w:val="16"/>
                <w:szCs w:val="16"/>
              </w:rPr>
              <w:t>Urban</w:t>
            </w:r>
          </w:p>
        </w:tc>
        <w:tc>
          <w:tcPr>
            <w:tcW w:w="705" w:type="dxa"/>
            <w:tcBorders>
              <w:top w:val="nil"/>
              <w:left w:val="nil"/>
              <w:bottom w:val="single" w:sz="4" w:space="0" w:color="auto"/>
              <w:right w:val="single" w:sz="4" w:space="0" w:color="auto"/>
            </w:tcBorders>
            <w:shd w:val="clear" w:color="auto" w:fill="auto"/>
            <w:hideMark/>
          </w:tcPr>
          <w:p w14:paraId="3DF2AEA2" w14:textId="77777777" w:rsidR="00403B07" w:rsidRDefault="00403B07" w:rsidP="00B01272">
            <w:pPr>
              <w:spacing w:line="240" w:lineRule="auto"/>
            </w:pPr>
            <w:r w:rsidRPr="002F3900">
              <w:rPr>
                <w:rFonts w:ascii="Marlett" w:hAnsi="Marlett"/>
              </w:rPr>
              <w:t></w:t>
            </w:r>
          </w:p>
        </w:tc>
        <w:tc>
          <w:tcPr>
            <w:tcW w:w="706" w:type="dxa"/>
            <w:tcBorders>
              <w:top w:val="nil"/>
              <w:left w:val="nil"/>
              <w:bottom w:val="single" w:sz="4" w:space="0" w:color="auto"/>
              <w:right w:val="single" w:sz="4" w:space="0" w:color="auto"/>
            </w:tcBorders>
            <w:shd w:val="clear" w:color="auto" w:fill="auto"/>
            <w:hideMark/>
          </w:tcPr>
          <w:p w14:paraId="2222612F" w14:textId="77777777" w:rsidR="00403B07" w:rsidRDefault="00403B07" w:rsidP="00B01272">
            <w:pPr>
              <w:spacing w:line="240" w:lineRule="auto"/>
            </w:pPr>
            <w:r w:rsidRPr="002F3900">
              <w:rPr>
                <w:rFonts w:ascii="Marlett" w:hAnsi="Marlett"/>
              </w:rPr>
              <w:t></w:t>
            </w:r>
          </w:p>
        </w:tc>
        <w:tc>
          <w:tcPr>
            <w:tcW w:w="706" w:type="dxa"/>
            <w:tcBorders>
              <w:top w:val="nil"/>
              <w:left w:val="nil"/>
              <w:bottom w:val="single" w:sz="4" w:space="0" w:color="auto"/>
              <w:right w:val="single" w:sz="4" w:space="0" w:color="auto"/>
            </w:tcBorders>
            <w:shd w:val="clear" w:color="auto" w:fill="auto"/>
            <w:hideMark/>
          </w:tcPr>
          <w:p w14:paraId="1BF703DF" w14:textId="77777777" w:rsidR="00403B07" w:rsidRDefault="00403B07" w:rsidP="00B01272">
            <w:pPr>
              <w:spacing w:line="240" w:lineRule="auto"/>
            </w:pPr>
            <w:r w:rsidRPr="002F3900">
              <w:rPr>
                <w:rFonts w:ascii="Marlett" w:hAnsi="Marlett"/>
              </w:rPr>
              <w:t></w:t>
            </w:r>
          </w:p>
        </w:tc>
        <w:tc>
          <w:tcPr>
            <w:tcW w:w="847" w:type="dxa"/>
            <w:tcBorders>
              <w:top w:val="nil"/>
              <w:left w:val="nil"/>
              <w:bottom w:val="single" w:sz="4" w:space="0" w:color="auto"/>
              <w:right w:val="single" w:sz="4" w:space="0" w:color="auto"/>
            </w:tcBorders>
            <w:shd w:val="clear" w:color="auto" w:fill="auto"/>
            <w:hideMark/>
          </w:tcPr>
          <w:p w14:paraId="6E5C3389" w14:textId="77777777" w:rsidR="00403B07" w:rsidRDefault="00403B07" w:rsidP="00B01272">
            <w:pPr>
              <w:spacing w:line="240" w:lineRule="auto"/>
            </w:pPr>
            <w:r w:rsidRPr="002F3900">
              <w:rPr>
                <w:rFonts w:ascii="Marlett" w:hAnsi="Marlett"/>
              </w:rPr>
              <w:t></w:t>
            </w:r>
          </w:p>
        </w:tc>
        <w:tc>
          <w:tcPr>
            <w:tcW w:w="848" w:type="dxa"/>
            <w:tcBorders>
              <w:top w:val="nil"/>
              <w:left w:val="nil"/>
              <w:bottom w:val="single" w:sz="4" w:space="0" w:color="auto"/>
              <w:right w:val="single" w:sz="4" w:space="0" w:color="auto"/>
            </w:tcBorders>
            <w:shd w:val="clear" w:color="auto" w:fill="auto"/>
            <w:hideMark/>
          </w:tcPr>
          <w:p w14:paraId="62321171" w14:textId="77777777" w:rsidR="00403B07" w:rsidRDefault="00403B07" w:rsidP="00B01272">
            <w:pPr>
              <w:spacing w:line="240" w:lineRule="auto"/>
            </w:pPr>
            <w:r w:rsidRPr="002F3900">
              <w:rPr>
                <w:rFonts w:ascii="Marlett" w:hAnsi="Marlett"/>
              </w:rPr>
              <w:t></w:t>
            </w:r>
          </w:p>
        </w:tc>
        <w:tc>
          <w:tcPr>
            <w:tcW w:w="847" w:type="dxa"/>
            <w:tcBorders>
              <w:top w:val="nil"/>
              <w:left w:val="nil"/>
              <w:bottom w:val="single" w:sz="4" w:space="0" w:color="auto"/>
              <w:right w:val="single" w:sz="4" w:space="0" w:color="auto"/>
            </w:tcBorders>
            <w:shd w:val="clear" w:color="auto" w:fill="auto"/>
            <w:hideMark/>
          </w:tcPr>
          <w:p w14:paraId="35D413DD"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4C2630">
              <w:rPr>
                <w:rFonts w:ascii="Calibri" w:eastAsia="Times New Roman" w:hAnsi="Calibri" w:cs="Times New Roman"/>
                <w:color w:val="000000"/>
                <w:sz w:val="16"/>
                <w:szCs w:val="16"/>
              </w:rPr>
              <w:t>2</w:t>
            </w:r>
          </w:p>
        </w:tc>
      </w:tr>
      <w:tr w:rsidR="00403B07" w:rsidRPr="004C2630" w14:paraId="2D94871F" w14:textId="77777777" w:rsidTr="00B01272">
        <w:trPr>
          <w:trHeight w:val="170"/>
        </w:trPr>
        <w:tc>
          <w:tcPr>
            <w:tcW w:w="416" w:type="dxa"/>
            <w:tcBorders>
              <w:top w:val="single" w:sz="4" w:space="0" w:color="auto"/>
              <w:left w:val="single" w:sz="4" w:space="0" w:color="auto"/>
              <w:bottom w:val="single" w:sz="4" w:space="0" w:color="auto"/>
              <w:right w:val="single" w:sz="4" w:space="0" w:color="auto"/>
            </w:tcBorders>
            <w:shd w:val="clear" w:color="auto" w:fill="auto"/>
            <w:hideMark/>
          </w:tcPr>
          <w:p w14:paraId="4CEB6527" w14:textId="77777777" w:rsidR="00403B07" w:rsidRPr="004C2630" w:rsidRDefault="00403B07" w:rsidP="00B01272">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06</w:t>
            </w:r>
          </w:p>
        </w:tc>
        <w:tc>
          <w:tcPr>
            <w:tcW w:w="1133" w:type="dxa"/>
            <w:tcBorders>
              <w:top w:val="nil"/>
              <w:left w:val="nil"/>
              <w:bottom w:val="single" w:sz="4" w:space="0" w:color="auto"/>
              <w:right w:val="single" w:sz="4" w:space="0" w:color="auto"/>
            </w:tcBorders>
            <w:shd w:val="clear" w:color="auto" w:fill="auto"/>
            <w:hideMark/>
          </w:tcPr>
          <w:p w14:paraId="7D947A28"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4C2630">
              <w:rPr>
                <w:rFonts w:ascii="Calibri" w:eastAsia="Times New Roman" w:hAnsi="Calibri" w:cs="Times New Roman"/>
                <w:color w:val="000000"/>
                <w:sz w:val="16"/>
                <w:szCs w:val="16"/>
              </w:rPr>
              <w:t>Urban</w:t>
            </w:r>
          </w:p>
        </w:tc>
        <w:tc>
          <w:tcPr>
            <w:tcW w:w="705" w:type="dxa"/>
            <w:tcBorders>
              <w:top w:val="nil"/>
              <w:left w:val="nil"/>
              <w:bottom w:val="single" w:sz="4" w:space="0" w:color="auto"/>
              <w:right w:val="single" w:sz="4" w:space="0" w:color="auto"/>
            </w:tcBorders>
            <w:shd w:val="clear" w:color="auto" w:fill="auto"/>
            <w:hideMark/>
          </w:tcPr>
          <w:p w14:paraId="441F4D70" w14:textId="77777777" w:rsidR="00403B07" w:rsidRDefault="00403B07" w:rsidP="00B01272">
            <w:pPr>
              <w:spacing w:line="240" w:lineRule="auto"/>
            </w:pPr>
            <w:r w:rsidRPr="0036273A">
              <w:rPr>
                <w:rFonts w:ascii="Marlett" w:hAnsi="Marlett"/>
              </w:rPr>
              <w:t></w:t>
            </w:r>
          </w:p>
        </w:tc>
        <w:tc>
          <w:tcPr>
            <w:tcW w:w="706" w:type="dxa"/>
            <w:tcBorders>
              <w:top w:val="nil"/>
              <w:left w:val="nil"/>
              <w:bottom w:val="single" w:sz="4" w:space="0" w:color="auto"/>
              <w:right w:val="single" w:sz="4" w:space="0" w:color="auto"/>
            </w:tcBorders>
            <w:shd w:val="clear" w:color="auto" w:fill="auto"/>
            <w:hideMark/>
          </w:tcPr>
          <w:p w14:paraId="7FEA93BB" w14:textId="77777777" w:rsidR="00403B07" w:rsidRDefault="00403B07" w:rsidP="00B01272">
            <w:pPr>
              <w:spacing w:line="240" w:lineRule="auto"/>
            </w:pPr>
            <w:r w:rsidRPr="0036273A">
              <w:rPr>
                <w:rFonts w:ascii="Marlett" w:hAnsi="Marlett"/>
              </w:rPr>
              <w:t></w:t>
            </w:r>
          </w:p>
        </w:tc>
        <w:tc>
          <w:tcPr>
            <w:tcW w:w="706" w:type="dxa"/>
            <w:tcBorders>
              <w:top w:val="nil"/>
              <w:left w:val="nil"/>
              <w:bottom w:val="single" w:sz="4" w:space="0" w:color="auto"/>
              <w:right w:val="single" w:sz="4" w:space="0" w:color="auto"/>
            </w:tcBorders>
            <w:shd w:val="clear" w:color="auto" w:fill="auto"/>
            <w:hideMark/>
          </w:tcPr>
          <w:p w14:paraId="6532692A" w14:textId="77777777" w:rsidR="00403B07" w:rsidRDefault="00403B07" w:rsidP="00B01272">
            <w:pPr>
              <w:spacing w:line="240" w:lineRule="auto"/>
            </w:pPr>
            <w:r w:rsidRPr="0036273A">
              <w:rPr>
                <w:rFonts w:ascii="Marlett" w:hAnsi="Marlett"/>
              </w:rPr>
              <w:t></w:t>
            </w:r>
          </w:p>
        </w:tc>
        <w:tc>
          <w:tcPr>
            <w:tcW w:w="847" w:type="dxa"/>
            <w:tcBorders>
              <w:top w:val="nil"/>
              <w:left w:val="nil"/>
              <w:bottom w:val="single" w:sz="4" w:space="0" w:color="auto"/>
              <w:right w:val="single" w:sz="4" w:space="0" w:color="auto"/>
            </w:tcBorders>
            <w:shd w:val="clear" w:color="auto" w:fill="auto"/>
            <w:hideMark/>
          </w:tcPr>
          <w:p w14:paraId="59F95064" w14:textId="77777777" w:rsidR="00403B07" w:rsidRDefault="00403B07" w:rsidP="00B01272">
            <w:pPr>
              <w:spacing w:line="240" w:lineRule="auto"/>
            </w:pPr>
            <w:r w:rsidRPr="0036273A">
              <w:rPr>
                <w:rFonts w:ascii="Marlett" w:hAnsi="Marlett"/>
              </w:rPr>
              <w:t></w:t>
            </w:r>
          </w:p>
        </w:tc>
        <w:tc>
          <w:tcPr>
            <w:tcW w:w="848" w:type="dxa"/>
            <w:tcBorders>
              <w:top w:val="nil"/>
              <w:left w:val="nil"/>
              <w:bottom w:val="single" w:sz="4" w:space="0" w:color="auto"/>
              <w:right w:val="single" w:sz="4" w:space="0" w:color="auto"/>
            </w:tcBorders>
            <w:shd w:val="clear" w:color="auto" w:fill="auto"/>
            <w:hideMark/>
          </w:tcPr>
          <w:p w14:paraId="4C8DE7E4" w14:textId="77777777" w:rsidR="00403B07" w:rsidRDefault="00403B07" w:rsidP="00B01272">
            <w:pPr>
              <w:spacing w:line="240" w:lineRule="auto"/>
            </w:pPr>
            <w:r w:rsidRPr="0036273A">
              <w:rPr>
                <w:rFonts w:ascii="Marlett" w:hAnsi="Marlett"/>
              </w:rPr>
              <w:t></w:t>
            </w:r>
          </w:p>
        </w:tc>
        <w:tc>
          <w:tcPr>
            <w:tcW w:w="847" w:type="dxa"/>
            <w:tcBorders>
              <w:top w:val="nil"/>
              <w:left w:val="nil"/>
              <w:bottom w:val="single" w:sz="4" w:space="0" w:color="auto"/>
              <w:right w:val="single" w:sz="4" w:space="0" w:color="auto"/>
            </w:tcBorders>
            <w:shd w:val="clear" w:color="auto" w:fill="auto"/>
            <w:hideMark/>
          </w:tcPr>
          <w:p w14:paraId="7B05EE51"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4C2630">
              <w:rPr>
                <w:rFonts w:ascii="Calibri" w:eastAsia="Times New Roman" w:hAnsi="Calibri" w:cs="Times New Roman"/>
                <w:color w:val="000000"/>
                <w:sz w:val="16"/>
                <w:szCs w:val="16"/>
              </w:rPr>
              <w:t>2</w:t>
            </w:r>
          </w:p>
        </w:tc>
      </w:tr>
      <w:tr w:rsidR="00403B07" w:rsidRPr="004C2630" w14:paraId="3D7DA6DD" w14:textId="77777777" w:rsidTr="00B01272">
        <w:trPr>
          <w:trHeight w:val="170"/>
        </w:trPr>
        <w:tc>
          <w:tcPr>
            <w:tcW w:w="416" w:type="dxa"/>
            <w:tcBorders>
              <w:top w:val="single" w:sz="4" w:space="0" w:color="auto"/>
              <w:left w:val="single" w:sz="4" w:space="0" w:color="auto"/>
              <w:bottom w:val="single" w:sz="4" w:space="0" w:color="auto"/>
              <w:right w:val="single" w:sz="4" w:space="0" w:color="auto"/>
            </w:tcBorders>
            <w:shd w:val="clear" w:color="auto" w:fill="auto"/>
            <w:hideMark/>
          </w:tcPr>
          <w:p w14:paraId="3610871B" w14:textId="77777777" w:rsidR="00403B07" w:rsidRPr="004C2630" w:rsidRDefault="00403B07" w:rsidP="00B01272">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07</w:t>
            </w:r>
          </w:p>
        </w:tc>
        <w:tc>
          <w:tcPr>
            <w:tcW w:w="1133" w:type="dxa"/>
            <w:tcBorders>
              <w:top w:val="nil"/>
              <w:left w:val="nil"/>
              <w:bottom w:val="single" w:sz="4" w:space="0" w:color="auto"/>
              <w:right w:val="single" w:sz="4" w:space="0" w:color="auto"/>
            </w:tcBorders>
            <w:shd w:val="clear" w:color="auto" w:fill="auto"/>
            <w:hideMark/>
          </w:tcPr>
          <w:p w14:paraId="331BDE4B"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4C2630">
              <w:rPr>
                <w:rFonts w:ascii="Calibri" w:eastAsia="Times New Roman" w:hAnsi="Calibri" w:cs="Times New Roman"/>
                <w:color w:val="000000"/>
                <w:sz w:val="16"/>
                <w:szCs w:val="16"/>
              </w:rPr>
              <w:t>Urban</w:t>
            </w:r>
          </w:p>
        </w:tc>
        <w:tc>
          <w:tcPr>
            <w:tcW w:w="705" w:type="dxa"/>
            <w:tcBorders>
              <w:top w:val="nil"/>
              <w:left w:val="nil"/>
              <w:bottom w:val="single" w:sz="4" w:space="0" w:color="auto"/>
              <w:right w:val="single" w:sz="4" w:space="0" w:color="auto"/>
            </w:tcBorders>
            <w:shd w:val="clear" w:color="auto" w:fill="auto"/>
            <w:hideMark/>
          </w:tcPr>
          <w:p w14:paraId="4F2BA1A9" w14:textId="77777777" w:rsidR="00403B07" w:rsidRDefault="00403B07" w:rsidP="00B01272">
            <w:pPr>
              <w:spacing w:line="240" w:lineRule="auto"/>
            </w:pPr>
            <w:r w:rsidRPr="00646B07">
              <w:rPr>
                <w:rFonts w:ascii="Marlett" w:hAnsi="Marlett"/>
              </w:rPr>
              <w:t></w:t>
            </w:r>
          </w:p>
        </w:tc>
        <w:tc>
          <w:tcPr>
            <w:tcW w:w="706" w:type="dxa"/>
            <w:tcBorders>
              <w:top w:val="nil"/>
              <w:left w:val="nil"/>
              <w:bottom w:val="single" w:sz="4" w:space="0" w:color="auto"/>
              <w:right w:val="single" w:sz="4" w:space="0" w:color="auto"/>
            </w:tcBorders>
            <w:shd w:val="clear" w:color="auto" w:fill="auto"/>
            <w:hideMark/>
          </w:tcPr>
          <w:p w14:paraId="57E5B5FF" w14:textId="77777777" w:rsidR="00403B07" w:rsidRDefault="00403B07" w:rsidP="00B01272">
            <w:pPr>
              <w:spacing w:line="240" w:lineRule="auto"/>
            </w:pPr>
            <w:r w:rsidRPr="00646B07">
              <w:rPr>
                <w:rFonts w:ascii="Marlett" w:hAnsi="Marlett"/>
              </w:rPr>
              <w:t></w:t>
            </w:r>
          </w:p>
        </w:tc>
        <w:tc>
          <w:tcPr>
            <w:tcW w:w="706" w:type="dxa"/>
            <w:tcBorders>
              <w:top w:val="nil"/>
              <w:left w:val="nil"/>
              <w:bottom w:val="single" w:sz="4" w:space="0" w:color="auto"/>
              <w:right w:val="single" w:sz="4" w:space="0" w:color="auto"/>
            </w:tcBorders>
            <w:shd w:val="clear" w:color="auto" w:fill="auto"/>
            <w:hideMark/>
          </w:tcPr>
          <w:p w14:paraId="2283DD2B" w14:textId="77777777" w:rsidR="00403B07" w:rsidRDefault="00403B07" w:rsidP="00B01272">
            <w:pPr>
              <w:spacing w:line="240" w:lineRule="auto"/>
            </w:pPr>
            <w:r w:rsidRPr="00646B07">
              <w:rPr>
                <w:rFonts w:ascii="Marlett" w:hAnsi="Marlett"/>
              </w:rPr>
              <w:t></w:t>
            </w:r>
          </w:p>
        </w:tc>
        <w:tc>
          <w:tcPr>
            <w:tcW w:w="847" w:type="dxa"/>
            <w:tcBorders>
              <w:top w:val="nil"/>
              <w:left w:val="nil"/>
              <w:bottom w:val="single" w:sz="4" w:space="0" w:color="auto"/>
              <w:right w:val="single" w:sz="4" w:space="0" w:color="auto"/>
            </w:tcBorders>
            <w:shd w:val="clear" w:color="auto" w:fill="auto"/>
            <w:hideMark/>
          </w:tcPr>
          <w:p w14:paraId="37C872D1" w14:textId="77777777" w:rsidR="00403B07" w:rsidRDefault="00403B07" w:rsidP="00B01272">
            <w:pPr>
              <w:spacing w:line="240" w:lineRule="auto"/>
            </w:pPr>
            <w:r w:rsidRPr="00646B07">
              <w:rPr>
                <w:rFonts w:ascii="Marlett" w:hAnsi="Marlett"/>
              </w:rPr>
              <w:t></w:t>
            </w:r>
          </w:p>
        </w:tc>
        <w:tc>
          <w:tcPr>
            <w:tcW w:w="848" w:type="dxa"/>
            <w:tcBorders>
              <w:top w:val="nil"/>
              <w:left w:val="nil"/>
              <w:bottom w:val="single" w:sz="4" w:space="0" w:color="auto"/>
              <w:right w:val="single" w:sz="4" w:space="0" w:color="auto"/>
            </w:tcBorders>
            <w:shd w:val="clear" w:color="auto" w:fill="auto"/>
            <w:hideMark/>
          </w:tcPr>
          <w:p w14:paraId="1FE99E9C" w14:textId="77777777" w:rsidR="00403B07" w:rsidRDefault="00403B07" w:rsidP="00B01272">
            <w:pPr>
              <w:spacing w:line="240" w:lineRule="auto"/>
            </w:pPr>
            <w:r w:rsidRPr="00646B07">
              <w:rPr>
                <w:rFonts w:ascii="Marlett" w:hAnsi="Marlett"/>
              </w:rPr>
              <w:t></w:t>
            </w:r>
          </w:p>
        </w:tc>
        <w:tc>
          <w:tcPr>
            <w:tcW w:w="847" w:type="dxa"/>
            <w:tcBorders>
              <w:top w:val="nil"/>
              <w:left w:val="nil"/>
              <w:bottom w:val="single" w:sz="4" w:space="0" w:color="auto"/>
              <w:right w:val="single" w:sz="4" w:space="0" w:color="auto"/>
            </w:tcBorders>
            <w:shd w:val="clear" w:color="auto" w:fill="auto"/>
            <w:hideMark/>
          </w:tcPr>
          <w:p w14:paraId="6076829D"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4C2630">
              <w:rPr>
                <w:rFonts w:ascii="Calibri" w:eastAsia="Times New Roman" w:hAnsi="Calibri" w:cs="Times New Roman"/>
                <w:color w:val="000000"/>
                <w:sz w:val="16"/>
                <w:szCs w:val="16"/>
              </w:rPr>
              <w:t>4</w:t>
            </w:r>
          </w:p>
        </w:tc>
      </w:tr>
      <w:tr w:rsidR="00403B07" w:rsidRPr="004C2630" w14:paraId="4FAE2A02" w14:textId="77777777" w:rsidTr="00B01272">
        <w:trPr>
          <w:trHeight w:val="170"/>
        </w:trPr>
        <w:tc>
          <w:tcPr>
            <w:tcW w:w="416" w:type="dxa"/>
            <w:tcBorders>
              <w:top w:val="single" w:sz="4" w:space="0" w:color="auto"/>
              <w:left w:val="single" w:sz="4" w:space="0" w:color="auto"/>
              <w:bottom w:val="single" w:sz="4" w:space="0" w:color="auto"/>
              <w:right w:val="single" w:sz="4" w:space="0" w:color="auto"/>
            </w:tcBorders>
            <w:shd w:val="clear" w:color="auto" w:fill="auto"/>
            <w:hideMark/>
          </w:tcPr>
          <w:p w14:paraId="1877405C" w14:textId="77777777" w:rsidR="00403B07" w:rsidRPr="004C2630" w:rsidRDefault="00403B07" w:rsidP="00B01272">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08</w:t>
            </w:r>
          </w:p>
        </w:tc>
        <w:tc>
          <w:tcPr>
            <w:tcW w:w="1133" w:type="dxa"/>
            <w:tcBorders>
              <w:top w:val="nil"/>
              <w:left w:val="nil"/>
              <w:bottom w:val="single" w:sz="4" w:space="0" w:color="auto"/>
              <w:right w:val="single" w:sz="4" w:space="0" w:color="auto"/>
            </w:tcBorders>
            <w:shd w:val="clear" w:color="auto" w:fill="auto"/>
            <w:hideMark/>
          </w:tcPr>
          <w:p w14:paraId="31ECB542"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4C2630">
              <w:rPr>
                <w:rFonts w:ascii="Calibri" w:eastAsia="Times New Roman" w:hAnsi="Calibri" w:cs="Times New Roman"/>
                <w:color w:val="000000"/>
                <w:sz w:val="16"/>
                <w:szCs w:val="16"/>
              </w:rPr>
              <w:t>Urban/rural</w:t>
            </w:r>
          </w:p>
        </w:tc>
        <w:tc>
          <w:tcPr>
            <w:tcW w:w="705" w:type="dxa"/>
            <w:tcBorders>
              <w:top w:val="nil"/>
              <w:left w:val="nil"/>
              <w:bottom w:val="single" w:sz="4" w:space="0" w:color="auto"/>
              <w:right w:val="single" w:sz="4" w:space="0" w:color="auto"/>
            </w:tcBorders>
            <w:shd w:val="clear" w:color="auto" w:fill="auto"/>
            <w:hideMark/>
          </w:tcPr>
          <w:p w14:paraId="60F2626B" w14:textId="77777777" w:rsidR="00403B07" w:rsidRDefault="00403B07" w:rsidP="00B01272">
            <w:pPr>
              <w:spacing w:line="240" w:lineRule="auto"/>
            </w:pPr>
            <w:r w:rsidRPr="00646B07">
              <w:rPr>
                <w:rFonts w:ascii="Marlett" w:hAnsi="Marlett"/>
              </w:rPr>
              <w:t></w:t>
            </w:r>
          </w:p>
        </w:tc>
        <w:tc>
          <w:tcPr>
            <w:tcW w:w="706" w:type="dxa"/>
            <w:tcBorders>
              <w:top w:val="nil"/>
              <w:left w:val="nil"/>
              <w:bottom w:val="single" w:sz="4" w:space="0" w:color="auto"/>
              <w:right w:val="single" w:sz="4" w:space="0" w:color="auto"/>
            </w:tcBorders>
            <w:shd w:val="clear" w:color="auto" w:fill="auto"/>
            <w:hideMark/>
          </w:tcPr>
          <w:p w14:paraId="4DB67A9D" w14:textId="77777777" w:rsidR="00403B07" w:rsidRDefault="00403B07" w:rsidP="00B01272">
            <w:pPr>
              <w:spacing w:line="240" w:lineRule="auto"/>
            </w:pPr>
            <w:r w:rsidRPr="00646B07">
              <w:rPr>
                <w:rFonts w:ascii="Marlett" w:hAnsi="Marlett"/>
              </w:rPr>
              <w:t></w:t>
            </w:r>
          </w:p>
        </w:tc>
        <w:tc>
          <w:tcPr>
            <w:tcW w:w="706" w:type="dxa"/>
            <w:tcBorders>
              <w:top w:val="nil"/>
              <w:left w:val="nil"/>
              <w:bottom w:val="single" w:sz="4" w:space="0" w:color="auto"/>
              <w:right w:val="single" w:sz="4" w:space="0" w:color="auto"/>
            </w:tcBorders>
            <w:shd w:val="clear" w:color="auto" w:fill="auto"/>
            <w:hideMark/>
          </w:tcPr>
          <w:p w14:paraId="6C8AA768" w14:textId="77777777" w:rsidR="00403B07" w:rsidRDefault="00403B07" w:rsidP="00B01272">
            <w:pPr>
              <w:spacing w:line="240" w:lineRule="auto"/>
            </w:pPr>
            <w:r w:rsidRPr="00646B07">
              <w:rPr>
                <w:rFonts w:ascii="Marlett" w:hAnsi="Marlett"/>
              </w:rPr>
              <w:t></w:t>
            </w:r>
          </w:p>
        </w:tc>
        <w:tc>
          <w:tcPr>
            <w:tcW w:w="847" w:type="dxa"/>
            <w:tcBorders>
              <w:top w:val="nil"/>
              <w:left w:val="nil"/>
              <w:bottom w:val="single" w:sz="4" w:space="0" w:color="auto"/>
              <w:right w:val="single" w:sz="4" w:space="0" w:color="auto"/>
            </w:tcBorders>
            <w:shd w:val="clear" w:color="auto" w:fill="auto"/>
            <w:hideMark/>
          </w:tcPr>
          <w:p w14:paraId="1E4540D6" w14:textId="77777777" w:rsidR="00403B07" w:rsidRDefault="00403B07" w:rsidP="00B01272">
            <w:pPr>
              <w:spacing w:line="240" w:lineRule="auto"/>
            </w:pPr>
            <w:r w:rsidRPr="00646B07">
              <w:rPr>
                <w:rFonts w:ascii="Marlett" w:hAnsi="Marlett"/>
              </w:rPr>
              <w:t></w:t>
            </w:r>
          </w:p>
        </w:tc>
        <w:tc>
          <w:tcPr>
            <w:tcW w:w="848" w:type="dxa"/>
            <w:tcBorders>
              <w:top w:val="nil"/>
              <w:left w:val="nil"/>
              <w:bottom w:val="single" w:sz="4" w:space="0" w:color="auto"/>
              <w:right w:val="single" w:sz="4" w:space="0" w:color="auto"/>
            </w:tcBorders>
            <w:shd w:val="clear" w:color="auto" w:fill="auto"/>
            <w:hideMark/>
          </w:tcPr>
          <w:p w14:paraId="61D5158D" w14:textId="77777777" w:rsidR="00403B07" w:rsidRDefault="00403B07" w:rsidP="00B01272">
            <w:pPr>
              <w:spacing w:line="240" w:lineRule="auto"/>
            </w:pPr>
            <w:r w:rsidRPr="00646B07">
              <w:rPr>
                <w:rFonts w:ascii="Marlett" w:hAnsi="Marlett"/>
              </w:rPr>
              <w:t></w:t>
            </w:r>
          </w:p>
        </w:tc>
        <w:tc>
          <w:tcPr>
            <w:tcW w:w="847" w:type="dxa"/>
            <w:tcBorders>
              <w:top w:val="nil"/>
              <w:left w:val="nil"/>
              <w:bottom w:val="single" w:sz="4" w:space="0" w:color="auto"/>
              <w:right w:val="single" w:sz="4" w:space="0" w:color="auto"/>
            </w:tcBorders>
            <w:shd w:val="clear" w:color="auto" w:fill="auto"/>
            <w:hideMark/>
          </w:tcPr>
          <w:p w14:paraId="46A8AAD3"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4C2630">
              <w:rPr>
                <w:rFonts w:ascii="Calibri" w:eastAsia="Times New Roman" w:hAnsi="Calibri" w:cs="Times New Roman"/>
                <w:color w:val="000000"/>
                <w:sz w:val="16"/>
                <w:szCs w:val="16"/>
              </w:rPr>
              <w:t>3</w:t>
            </w:r>
          </w:p>
        </w:tc>
      </w:tr>
      <w:tr w:rsidR="00403B07" w:rsidRPr="004C2630" w14:paraId="2E8A9C04" w14:textId="77777777" w:rsidTr="00B01272">
        <w:trPr>
          <w:trHeight w:val="170"/>
        </w:trPr>
        <w:tc>
          <w:tcPr>
            <w:tcW w:w="416" w:type="dxa"/>
            <w:tcBorders>
              <w:top w:val="single" w:sz="4" w:space="0" w:color="auto"/>
              <w:left w:val="single" w:sz="4" w:space="0" w:color="auto"/>
              <w:bottom w:val="single" w:sz="4" w:space="0" w:color="auto"/>
              <w:right w:val="single" w:sz="4" w:space="0" w:color="auto"/>
            </w:tcBorders>
            <w:shd w:val="clear" w:color="auto" w:fill="auto"/>
            <w:hideMark/>
          </w:tcPr>
          <w:p w14:paraId="678E61E5"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4C2630">
              <w:rPr>
                <w:rFonts w:ascii="Calibri" w:eastAsia="Times New Roman" w:hAnsi="Calibri" w:cs="Times New Roman"/>
                <w:color w:val="000000"/>
                <w:sz w:val="16"/>
                <w:szCs w:val="16"/>
              </w:rPr>
              <w:t>0</w:t>
            </w:r>
            <w:r>
              <w:rPr>
                <w:rFonts w:ascii="Calibri" w:eastAsia="Times New Roman" w:hAnsi="Calibri" w:cs="Times New Roman"/>
                <w:color w:val="000000"/>
                <w:sz w:val="16"/>
                <w:szCs w:val="16"/>
              </w:rPr>
              <w:t>9</w:t>
            </w:r>
          </w:p>
        </w:tc>
        <w:tc>
          <w:tcPr>
            <w:tcW w:w="1133" w:type="dxa"/>
            <w:tcBorders>
              <w:top w:val="nil"/>
              <w:left w:val="nil"/>
              <w:bottom w:val="single" w:sz="4" w:space="0" w:color="auto"/>
              <w:right w:val="single" w:sz="4" w:space="0" w:color="auto"/>
            </w:tcBorders>
            <w:shd w:val="clear" w:color="auto" w:fill="D9D9D9" w:themeFill="background1" w:themeFillShade="D9"/>
            <w:hideMark/>
          </w:tcPr>
          <w:p w14:paraId="5C4E7FDB"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4C2630">
              <w:rPr>
                <w:rFonts w:ascii="Calibri" w:eastAsia="Times New Roman" w:hAnsi="Calibri" w:cs="Times New Roman"/>
                <w:color w:val="000000"/>
                <w:sz w:val="16"/>
                <w:szCs w:val="16"/>
              </w:rPr>
              <w:t>Urban</w:t>
            </w:r>
          </w:p>
        </w:tc>
        <w:tc>
          <w:tcPr>
            <w:tcW w:w="705" w:type="dxa"/>
            <w:tcBorders>
              <w:top w:val="nil"/>
              <w:left w:val="nil"/>
              <w:bottom w:val="single" w:sz="4" w:space="0" w:color="auto"/>
              <w:right w:val="single" w:sz="4" w:space="0" w:color="auto"/>
            </w:tcBorders>
            <w:shd w:val="clear" w:color="auto" w:fill="D9D9D9" w:themeFill="background1" w:themeFillShade="D9"/>
            <w:hideMark/>
          </w:tcPr>
          <w:p w14:paraId="4A8BE374" w14:textId="77777777" w:rsidR="00403B07" w:rsidRDefault="00403B07" w:rsidP="00B01272">
            <w:pPr>
              <w:spacing w:line="240" w:lineRule="auto"/>
            </w:pPr>
            <w:r w:rsidRPr="007F497D">
              <w:rPr>
                <w:rFonts w:ascii="Marlett" w:hAnsi="Marlett"/>
              </w:rPr>
              <w:t></w:t>
            </w:r>
          </w:p>
        </w:tc>
        <w:tc>
          <w:tcPr>
            <w:tcW w:w="706" w:type="dxa"/>
            <w:tcBorders>
              <w:top w:val="nil"/>
              <w:left w:val="nil"/>
              <w:bottom w:val="single" w:sz="4" w:space="0" w:color="auto"/>
              <w:right w:val="single" w:sz="4" w:space="0" w:color="auto"/>
            </w:tcBorders>
            <w:shd w:val="clear" w:color="auto" w:fill="D9D9D9" w:themeFill="background1" w:themeFillShade="D9"/>
            <w:hideMark/>
          </w:tcPr>
          <w:p w14:paraId="73A1AC62" w14:textId="77777777" w:rsidR="00403B07" w:rsidRDefault="00403B07" w:rsidP="00B01272">
            <w:pPr>
              <w:spacing w:line="240" w:lineRule="auto"/>
            </w:pPr>
            <w:r w:rsidRPr="007F497D">
              <w:rPr>
                <w:rFonts w:ascii="Marlett" w:hAnsi="Marlett"/>
              </w:rPr>
              <w:t></w:t>
            </w:r>
          </w:p>
        </w:tc>
        <w:tc>
          <w:tcPr>
            <w:tcW w:w="706" w:type="dxa"/>
            <w:tcBorders>
              <w:top w:val="nil"/>
              <w:left w:val="nil"/>
              <w:bottom w:val="single" w:sz="4" w:space="0" w:color="auto"/>
              <w:right w:val="single" w:sz="4" w:space="0" w:color="auto"/>
            </w:tcBorders>
            <w:shd w:val="clear" w:color="auto" w:fill="D9D9D9" w:themeFill="background1" w:themeFillShade="D9"/>
            <w:hideMark/>
          </w:tcPr>
          <w:p w14:paraId="1C5F243D" w14:textId="77777777" w:rsidR="00403B07" w:rsidRPr="004C2630" w:rsidRDefault="00403B07" w:rsidP="00B01272">
            <w:pPr>
              <w:spacing w:after="0" w:line="240" w:lineRule="auto"/>
              <w:rPr>
                <w:rFonts w:ascii="Calibri" w:eastAsia="Times New Roman" w:hAnsi="Calibri" w:cs="Times New Roman"/>
                <w:b/>
                <w:color w:val="000000"/>
                <w:sz w:val="16"/>
                <w:szCs w:val="16"/>
              </w:rPr>
            </w:pPr>
            <w:r w:rsidRPr="004C2630">
              <w:rPr>
                <w:rFonts w:ascii="Calibri" w:eastAsia="Times New Roman" w:hAnsi="Calibri" w:cs="Times New Roman"/>
                <w:b/>
                <w:color w:val="000000"/>
                <w:sz w:val="16"/>
                <w:szCs w:val="16"/>
              </w:rPr>
              <w:t>x</w:t>
            </w:r>
          </w:p>
        </w:tc>
        <w:tc>
          <w:tcPr>
            <w:tcW w:w="847" w:type="dxa"/>
            <w:tcBorders>
              <w:top w:val="nil"/>
              <w:left w:val="nil"/>
              <w:bottom w:val="single" w:sz="4" w:space="0" w:color="auto"/>
              <w:right w:val="single" w:sz="4" w:space="0" w:color="auto"/>
            </w:tcBorders>
            <w:shd w:val="clear" w:color="auto" w:fill="D9D9D9" w:themeFill="background1" w:themeFillShade="D9"/>
            <w:hideMark/>
          </w:tcPr>
          <w:p w14:paraId="08FDFCB9" w14:textId="77777777" w:rsidR="00403B07" w:rsidRDefault="00403B07" w:rsidP="00B01272">
            <w:pPr>
              <w:spacing w:line="240" w:lineRule="auto"/>
            </w:pPr>
            <w:r w:rsidRPr="0015635C">
              <w:rPr>
                <w:rFonts w:ascii="Marlett" w:hAnsi="Marlett"/>
              </w:rPr>
              <w:t></w:t>
            </w:r>
          </w:p>
        </w:tc>
        <w:tc>
          <w:tcPr>
            <w:tcW w:w="848" w:type="dxa"/>
            <w:tcBorders>
              <w:top w:val="nil"/>
              <w:left w:val="nil"/>
              <w:bottom w:val="single" w:sz="4" w:space="0" w:color="auto"/>
              <w:right w:val="single" w:sz="4" w:space="0" w:color="auto"/>
            </w:tcBorders>
            <w:shd w:val="clear" w:color="auto" w:fill="D9D9D9" w:themeFill="background1" w:themeFillShade="D9"/>
            <w:hideMark/>
          </w:tcPr>
          <w:p w14:paraId="12D50067" w14:textId="77777777" w:rsidR="00403B07" w:rsidRDefault="00403B07" w:rsidP="00B01272">
            <w:pPr>
              <w:spacing w:line="240" w:lineRule="auto"/>
            </w:pPr>
            <w:r w:rsidRPr="0015635C">
              <w:rPr>
                <w:rFonts w:ascii="Marlett" w:hAnsi="Marlett"/>
              </w:rPr>
              <w:t></w:t>
            </w:r>
          </w:p>
        </w:tc>
        <w:tc>
          <w:tcPr>
            <w:tcW w:w="847" w:type="dxa"/>
            <w:tcBorders>
              <w:top w:val="nil"/>
              <w:left w:val="nil"/>
              <w:bottom w:val="single" w:sz="4" w:space="0" w:color="auto"/>
              <w:right w:val="single" w:sz="4" w:space="0" w:color="auto"/>
            </w:tcBorders>
            <w:shd w:val="clear" w:color="auto" w:fill="D9D9D9" w:themeFill="background1" w:themeFillShade="D9"/>
            <w:hideMark/>
          </w:tcPr>
          <w:p w14:paraId="107D35EE"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4C2630">
              <w:rPr>
                <w:rFonts w:ascii="Calibri" w:eastAsia="Times New Roman" w:hAnsi="Calibri" w:cs="Times New Roman"/>
                <w:color w:val="000000"/>
                <w:sz w:val="16"/>
                <w:szCs w:val="16"/>
              </w:rPr>
              <w:t>3</w:t>
            </w:r>
          </w:p>
        </w:tc>
      </w:tr>
      <w:tr w:rsidR="00403B07" w:rsidRPr="004C2630" w14:paraId="38032945" w14:textId="77777777" w:rsidTr="00B01272">
        <w:trPr>
          <w:trHeight w:val="170"/>
        </w:trPr>
        <w:tc>
          <w:tcPr>
            <w:tcW w:w="416" w:type="dxa"/>
            <w:tcBorders>
              <w:top w:val="single" w:sz="4" w:space="0" w:color="auto"/>
              <w:left w:val="single" w:sz="4" w:space="0" w:color="auto"/>
              <w:bottom w:val="single" w:sz="4" w:space="0" w:color="auto"/>
              <w:right w:val="single" w:sz="4" w:space="0" w:color="auto"/>
            </w:tcBorders>
            <w:shd w:val="clear" w:color="auto" w:fill="auto"/>
            <w:hideMark/>
          </w:tcPr>
          <w:p w14:paraId="169013E8"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4C2630">
              <w:rPr>
                <w:rFonts w:ascii="Calibri" w:eastAsia="Times New Roman" w:hAnsi="Calibri" w:cs="Times New Roman"/>
                <w:color w:val="000000"/>
                <w:sz w:val="16"/>
                <w:szCs w:val="16"/>
              </w:rPr>
              <w:t>1</w:t>
            </w:r>
            <w:r>
              <w:rPr>
                <w:rFonts w:ascii="Calibri" w:eastAsia="Times New Roman" w:hAnsi="Calibri" w:cs="Times New Roman"/>
                <w:color w:val="000000"/>
                <w:sz w:val="16"/>
                <w:szCs w:val="16"/>
              </w:rPr>
              <w:t>0</w:t>
            </w:r>
          </w:p>
        </w:tc>
        <w:tc>
          <w:tcPr>
            <w:tcW w:w="1133" w:type="dxa"/>
            <w:tcBorders>
              <w:top w:val="nil"/>
              <w:left w:val="nil"/>
              <w:bottom w:val="single" w:sz="4" w:space="0" w:color="auto"/>
              <w:right w:val="single" w:sz="4" w:space="0" w:color="auto"/>
            </w:tcBorders>
            <w:shd w:val="clear" w:color="auto" w:fill="D9D9D9" w:themeFill="background1" w:themeFillShade="D9"/>
            <w:hideMark/>
          </w:tcPr>
          <w:p w14:paraId="30586594"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4C2630">
              <w:rPr>
                <w:rFonts w:ascii="Calibri" w:eastAsia="Times New Roman" w:hAnsi="Calibri" w:cs="Times New Roman"/>
                <w:color w:val="000000"/>
                <w:sz w:val="16"/>
                <w:szCs w:val="16"/>
              </w:rPr>
              <w:t>Urban</w:t>
            </w:r>
          </w:p>
        </w:tc>
        <w:tc>
          <w:tcPr>
            <w:tcW w:w="705" w:type="dxa"/>
            <w:tcBorders>
              <w:top w:val="nil"/>
              <w:left w:val="nil"/>
              <w:bottom w:val="single" w:sz="4" w:space="0" w:color="auto"/>
              <w:right w:val="single" w:sz="4" w:space="0" w:color="auto"/>
            </w:tcBorders>
            <w:shd w:val="clear" w:color="auto" w:fill="D9D9D9" w:themeFill="background1" w:themeFillShade="D9"/>
            <w:hideMark/>
          </w:tcPr>
          <w:p w14:paraId="4A3D9E61" w14:textId="77777777" w:rsidR="00403B07" w:rsidRDefault="00403B07" w:rsidP="00B01272">
            <w:pPr>
              <w:spacing w:line="240" w:lineRule="auto"/>
            </w:pPr>
            <w:r w:rsidRPr="00E15FDA">
              <w:rPr>
                <w:rFonts w:ascii="Marlett" w:hAnsi="Marlett"/>
              </w:rPr>
              <w:t></w:t>
            </w:r>
          </w:p>
        </w:tc>
        <w:tc>
          <w:tcPr>
            <w:tcW w:w="706" w:type="dxa"/>
            <w:tcBorders>
              <w:top w:val="nil"/>
              <w:left w:val="nil"/>
              <w:bottom w:val="single" w:sz="4" w:space="0" w:color="auto"/>
              <w:right w:val="single" w:sz="4" w:space="0" w:color="auto"/>
            </w:tcBorders>
            <w:shd w:val="clear" w:color="auto" w:fill="D9D9D9" w:themeFill="background1" w:themeFillShade="D9"/>
            <w:hideMark/>
          </w:tcPr>
          <w:p w14:paraId="38F1D13F" w14:textId="77777777" w:rsidR="00403B07" w:rsidRDefault="00403B07" w:rsidP="00B01272">
            <w:pPr>
              <w:spacing w:line="240" w:lineRule="auto"/>
            </w:pPr>
            <w:r w:rsidRPr="00E15FDA">
              <w:rPr>
                <w:rFonts w:ascii="Marlett" w:hAnsi="Marlett"/>
              </w:rPr>
              <w:t></w:t>
            </w:r>
          </w:p>
        </w:tc>
        <w:tc>
          <w:tcPr>
            <w:tcW w:w="706" w:type="dxa"/>
            <w:tcBorders>
              <w:top w:val="nil"/>
              <w:left w:val="nil"/>
              <w:bottom w:val="single" w:sz="4" w:space="0" w:color="auto"/>
              <w:right w:val="single" w:sz="4" w:space="0" w:color="auto"/>
            </w:tcBorders>
            <w:shd w:val="clear" w:color="auto" w:fill="D9D9D9" w:themeFill="background1" w:themeFillShade="D9"/>
            <w:hideMark/>
          </w:tcPr>
          <w:p w14:paraId="2FF527D8" w14:textId="77777777" w:rsidR="00403B07" w:rsidRDefault="00403B07" w:rsidP="00B01272">
            <w:pPr>
              <w:spacing w:line="240" w:lineRule="auto"/>
            </w:pPr>
            <w:r w:rsidRPr="00E15FDA">
              <w:rPr>
                <w:rFonts w:ascii="Marlett" w:hAnsi="Marlett"/>
              </w:rPr>
              <w:t></w:t>
            </w:r>
          </w:p>
        </w:tc>
        <w:tc>
          <w:tcPr>
            <w:tcW w:w="847" w:type="dxa"/>
            <w:tcBorders>
              <w:top w:val="nil"/>
              <w:left w:val="nil"/>
              <w:bottom w:val="single" w:sz="4" w:space="0" w:color="auto"/>
              <w:right w:val="single" w:sz="4" w:space="0" w:color="auto"/>
            </w:tcBorders>
            <w:shd w:val="clear" w:color="auto" w:fill="D9D9D9" w:themeFill="background1" w:themeFillShade="D9"/>
            <w:hideMark/>
          </w:tcPr>
          <w:p w14:paraId="6B0647A8" w14:textId="77777777" w:rsidR="00403B07" w:rsidRDefault="00403B07" w:rsidP="00B01272">
            <w:pPr>
              <w:spacing w:line="240" w:lineRule="auto"/>
            </w:pPr>
            <w:r w:rsidRPr="00E15FDA">
              <w:rPr>
                <w:rFonts w:ascii="Marlett" w:hAnsi="Marlett"/>
              </w:rPr>
              <w:t></w:t>
            </w:r>
          </w:p>
        </w:tc>
        <w:tc>
          <w:tcPr>
            <w:tcW w:w="848" w:type="dxa"/>
            <w:tcBorders>
              <w:top w:val="nil"/>
              <w:left w:val="nil"/>
              <w:bottom w:val="single" w:sz="4" w:space="0" w:color="auto"/>
              <w:right w:val="single" w:sz="4" w:space="0" w:color="auto"/>
            </w:tcBorders>
            <w:shd w:val="clear" w:color="auto" w:fill="D9D9D9" w:themeFill="background1" w:themeFillShade="D9"/>
            <w:hideMark/>
          </w:tcPr>
          <w:p w14:paraId="6AF7EF17" w14:textId="77777777" w:rsidR="00403B07" w:rsidRDefault="00403B07" w:rsidP="00B01272">
            <w:pPr>
              <w:spacing w:line="240" w:lineRule="auto"/>
            </w:pPr>
            <w:r w:rsidRPr="00E15FDA">
              <w:rPr>
                <w:rFonts w:ascii="Marlett" w:hAnsi="Marlett"/>
              </w:rPr>
              <w:t></w:t>
            </w:r>
          </w:p>
        </w:tc>
        <w:tc>
          <w:tcPr>
            <w:tcW w:w="847" w:type="dxa"/>
            <w:tcBorders>
              <w:top w:val="nil"/>
              <w:left w:val="nil"/>
              <w:bottom w:val="single" w:sz="4" w:space="0" w:color="auto"/>
              <w:right w:val="single" w:sz="4" w:space="0" w:color="auto"/>
            </w:tcBorders>
            <w:shd w:val="clear" w:color="auto" w:fill="D9D9D9" w:themeFill="background1" w:themeFillShade="D9"/>
            <w:hideMark/>
          </w:tcPr>
          <w:p w14:paraId="449C3752"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4C2630">
              <w:rPr>
                <w:rFonts w:ascii="Calibri" w:eastAsia="Times New Roman" w:hAnsi="Calibri" w:cs="Times New Roman"/>
                <w:color w:val="000000"/>
                <w:sz w:val="16"/>
                <w:szCs w:val="16"/>
              </w:rPr>
              <w:t>19</w:t>
            </w:r>
          </w:p>
        </w:tc>
      </w:tr>
      <w:tr w:rsidR="00403B07" w:rsidRPr="004C2630" w14:paraId="70C0BBB0" w14:textId="77777777" w:rsidTr="00B01272">
        <w:trPr>
          <w:trHeight w:val="170"/>
        </w:trPr>
        <w:tc>
          <w:tcPr>
            <w:tcW w:w="416" w:type="dxa"/>
            <w:tcBorders>
              <w:top w:val="single" w:sz="4" w:space="0" w:color="auto"/>
              <w:left w:val="single" w:sz="4" w:space="0" w:color="auto"/>
              <w:bottom w:val="single" w:sz="4" w:space="0" w:color="auto"/>
              <w:right w:val="single" w:sz="4" w:space="0" w:color="auto"/>
            </w:tcBorders>
            <w:shd w:val="clear" w:color="auto" w:fill="auto"/>
            <w:hideMark/>
          </w:tcPr>
          <w:p w14:paraId="6C5305CB"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4C2630">
              <w:rPr>
                <w:rFonts w:ascii="Calibri" w:eastAsia="Times New Roman" w:hAnsi="Calibri" w:cs="Times New Roman"/>
                <w:color w:val="000000"/>
                <w:sz w:val="16"/>
                <w:szCs w:val="16"/>
              </w:rPr>
              <w:t>1</w:t>
            </w:r>
            <w:r>
              <w:rPr>
                <w:rFonts w:ascii="Calibri" w:eastAsia="Times New Roman" w:hAnsi="Calibri" w:cs="Times New Roman"/>
                <w:color w:val="000000"/>
                <w:sz w:val="16"/>
                <w:szCs w:val="16"/>
              </w:rPr>
              <w:t>1</w:t>
            </w:r>
          </w:p>
        </w:tc>
        <w:tc>
          <w:tcPr>
            <w:tcW w:w="1133" w:type="dxa"/>
            <w:tcBorders>
              <w:top w:val="nil"/>
              <w:left w:val="nil"/>
              <w:bottom w:val="single" w:sz="4" w:space="0" w:color="auto"/>
              <w:right w:val="single" w:sz="4" w:space="0" w:color="auto"/>
            </w:tcBorders>
            <w:shd w:val="clear" w:color="auto" w:fill="D9D9D9" w:themeFill="background1" w:themeFillShade="D9"/>
            <w:hideMark/>
          </w:tcPr>
          <w:p w14:paraId="481232C2"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4C2630">
              <w:rPr>
                <w:rFonts w:ascii="Calibri" w:eastAsia="Times New Roman" w:hAnsi="Calibri" w:cs="Times New Roman"/>
                <w:color w:val="000000"/>
                <w:sz w:val="16"/>
                <w:szCs w:val="16"/>
              </w:rPr>
              <w:t>Urban</w:t>
            </w:r>
          </w:p>
        </w:tc>
        <w:tc>
          <w:tcPr>
            <w:tcW w:w="705" w:type="dxa"/>
            <w:tcBorders>
              <w:top w:val="nil"/>
              <w:left w:val="nil"/>
              <w:bottom w:val="single" w:sz="4" w:space="0" w:color="auto"/>
              <w:right w:val="single" w:sz="4" w:space="0" w:color="auto"/>
            </w:tcBorders>
            <w:shd w:val="clear" w:color="auto" w:fill="D9D9D9" w:themeFill="background1" w:themeFillShade="D9"/>
            <w:hideMark/>
          </w:tcPr>
          <w:p w14:paraId="7D32199C" w14:textId="77777777" w:rsidR="00403B07" w:rsidRDefault="00403B07" w:rsidP="00B01272">
            <w:pPr>
              <w:spacing w:line="240" w:lineRule="auto"/>
            </w:pPr>
            <w:r w:rsidRPr="00C4394E">
              <w:rPr>
                <w:rFonts w:ascii="Marlett" w:hAnsi="Marlett"/>
              </w:rPr>
              <w:t></w:t>
            </w:r>
          </w:p>
        </w:tc>
        <w:tc>
          <w:tcPr>
            <w:tcW w:w="706" w:type="dxa"/>
            <w:tcBorders>
              <w:top w:val="nil"/>
              <w:left w:val="nil"/>
              <w:bottom w:val="single" w:sz="4" w:space="0" w:color="auto"/>
              <w:right w:val="single" w:sz="4" w:space="0" w:color="auto"/>
            </w:tcBorders>
            <w:shd w:val="clear" w:color="auto" w:fill="D9D9D9" w:themeFill="background1" w:themeFillShade="D9"/>
            <w:hideMark/>
          </w:tcPr>
          <w:p w14:paraId="060D6D69" w14:textId="77777777" w:rsidR="00403B07" w:rsidRDefault="00403B07" w:rsidP="00B01272">
            <w:pPr>
              <w:spacing w:line="240" w:lineRule="auto"/>
            </w:pPr>
            <w:r w:rsidRPr="00C4394E">
              <w:rPr>
                <w:rFonts w:ascii="Marlett" w:hAnsi="Marlett"/>
              </w:rPr>
              <w:t></w:t>
            </w:r>
          </w:p>
        </w:tc>
        <w:tc>
          <w:tcPr>
            <w:tcW w:w="706" w:type="dxa"/>
            <w:tcBorders>
              <w:top w:val="nil"/>
              <w:left w:val="nil"/>
              <w:bottom w:val="single" w:sz="4" w:space="0" w:color="auto"/>
              <w:right w:val="single" w:sz="4" w:space="0" w:color="auto"/>
            </w:tcBorders>
            <w:shd w:val="clear" w:color="auto" w:fill="D9D9D9" w:themeFill="background1" w:themeFillShade="D9"/>
            <w:hideMark/>
          </w:tcPr>
          <w:p w14:paraId="4C2B12CF" w14:textId="77777777" w:rsidR="00403B07" w:rsidRDefault="00403B07" w:rsidP="00B01272">
            <w:pPr>
              <w:spacing w:line="240" w:lineRule="auto"/>
            </w:pPr>
            <w:r w:rsidRPr="00C4394E">
              <w:rPr>
                <w:rFonts w:ascii="Marlett" w:hAnsi="Marlett"/>
              </w:rPr>
              <w:t></w:t>
            </w:r>
          </w:p>
        </w:tc>
        <w:tc>
          <w:tcPr>
            <w:tcW w:w="847" w:type="dxa"/>
            <w:tcBorders>
              <w:top w:val="nil"/>
              <w:left w:val="nil"/>
              <w:bottom w:val="single" w:sz="4" w:space="0" w:color="auto"/>
              <w:right w:val="single" w:sz="4" w:space="0" w:color="auto"/>
            </w:tcBorders>
            <w:shd w:val="clear" w:color="auto" w:fill="D9D9D9" w:themeFill="background1" w:themeFillShade="D9"/>
            <w:hideMark/>
          </w:tcPr>
          <w:p w14:paraId="2B7D7BD9" w14:textId="77777777" w:rsidR="00403B07" w:rsidRDefault="00403B07" w:rsidP="00B01272">
            <w:pPr>
              <w:spacing w:line="240" w:lineRule="auto"/>
            </w:pPr>
            <w:r w:rsidRPr="00C4394E">
              <w:rPr>
                <w:rFonts w:ascii="Marlett" w:hAnsi="Marlett"/>
              </w:rPr>
              <w:t></w:t>
            </w:r>
          </w:p>
        </w:tc>
        <w:tc>
          <w:tcPr>
            <w:tcW w:w="848" w:type="dxa"/>
            <w:tcBorders>
              <w:top w:val="nil"/>
              <w:left w:val="nil"/>
              <w:bottom w:val="single" w:sz="4" w:space="0" w:color="auto"/>
              <w:right w:val="single" w:sz="4" w:space="0" w:color="auto"/>
            </w:tcBorders>
            <w:shd w:val="clear" w:color="auto" w:fill="D9D9D9" w:themeFill="background1" w:themeFillShade="D9"/>
            <w:hideMark/>
          </w:tcPr>
          <w:p w14:paraId="0804F5D9" w14:textId="77777777" w:rsidR="00403B07" w:rsidRDefault="00403B07" w:rsidP="00B01272">
            <w:pPr>
              <w:spacing w:line="240" w:lineRule="auto"/>
            </w:pPr>
            <w:r w:rsidRPr="00C4394E">
              <w:rPr>
                <w:rFonts w:ascii="Marlett" w:hAnsi="Marlett"/>
              </w:rPr>
              <w:t></w:t>
            </w:r>
          </w:p>
        </w:tc>
        <w:tc>
          <w:tcPr>
            <w:tcW w:w="847" w:type="dxa"/>
            <w:tcBorders>
              <w:top w:val="nil"/>
              <w:left w:val="nil"/>
              <w:bottom w:val="single" w:sz="4" w:space="0" w:color="auto"/>
              <w:right w:val="single" w:sz="4" w:space="0" w:color="auto"/>
            </w:tcBorders>
            <w:shd w:val="clear" w:color="auto" w:fill="D9D9D9" w:themeFill="background1" w:themeFillShade="D9"/>
            <w:hideMark/>
          </w:tcPr>
          <w:p w14:paraId="41583A48"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4C2630">
              <w:rPr>
                <w:rFonts w:ascii="Calibri" w:eastAsia="Times New Roman" w:hAnsi="Calibri" w:cs="Times New Roman"/>
                <w:color w:val="000000"/>
                <w:sz w:val="16"/>
                <w:szCs w:val="16"/>
              </w:rPr>
              <w:t>15</w:t>
            </w:r>
          </w:p>
        </w:tc>
      </w:tr>
      <w:tr w:rsidR="00403B07" w:rsidRPr="004C2630" w14:paraId="7BDBA829" w14:textId="77777777" w:rsidTr="00B01272">
        <w:trPr>
          <w:trHeight w:val="170"/>
        </w:trPr>
        <w:tc>
          <w:tcPr>
            <w:tcW w:w="416" w:type="dxa"/>
            <w:tcBorders>
              <w:top w:val="single" w:sz="4" w:space="0" w:color="auto"/>
              <w:left w:val="single" w:sz="4" w:space="0" w:color="auto"/>
              <w:bottom w:val="single" w:sz="4" w:space="0" w:color="auto"/>
              <w:right w:val="single" w:sz="4" w:space="0" w:color="auto"/>
            </w:tcBorders>
            <w:shd w:val="clear" w:color="auto" w:fill="auto"/>
            <w:hideMark/>
          </w:tcPr>
          <w:p w14:paraId="2CED3F7B" w14:textId="77777777" w:rsidR="00403B07" w:rsidRPr="004C2630" w:rsidRDefault="00403B07" w:rsidP="00B01272">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12</w:t>
            </w:r>
          </w:p>
        </w:tc>
        <w:tc>
          <w:tcPr>
            <w:tcW w:w="1133" w:type="dxa"/>
            <w:tcBorders>
              <w:top w:val="nil"/>
              <w:left w:val="nil"/>
              <w:bottom w:val="single" w:sz="4" w:space="0" w:color="auto"/>
              <w:right w:val="single" w:sz="4" w:space="0" w:color="auto"/>
            </w:tcBorders>
            <w:shd w:val="clear" w:color="auto" w:fill="D9D9D9" w:themeFill="background1" w:themeFillShade="D9"/>
            <w:hideMark/>
          </w:tcPr>
          <w:p w14:paraId="24A924EE"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4C2630">
              <w:rPr>
                <w:rFonts w:ascii="Calibri" w:eastAsia="Times New Roman" w:hAnsi="Calibri" w:cs="Times New Roman"/>
                <w:color w:val="000000"/>
                <w:sz w:val="16"/>
                <w:szCs w:val="16"/>
              </w:rPr>
              <w:t>Urban/rural</w:t>
            </w:r>
          </w:p>
        </w:tc>
        <w:tc>
          <w:tcPr>
            <w:tcW w:w="705" w:type="dxa"/>
            <w:tcBorders>
              <w:top w:val="nil"/>
              <w:left w:val="nil"/>
              <w:bottom w:val="single" w:sz="4" w:space="0" w:color="auto"/>
              <w:right w:val="single" w:sz="4" w:space="0" w:color="auto"/>
            </w:tcBorders>
            <w:shd w:val="clear" w:color="auto" w:fill="D9D9D9" w:themeFill="background1" w:themeFillShade="D9"/>
            <w:hideMark/>
          </w:tcPr>
          <w:p w14:paraId="07FA90BC" w14:textId="77777777" w:rsidR="00403B07" w:rsidRDefault="00403B07" w:rsidP="00B01272">
            <w:pPr>
              <w:spacing w:line="240" w:lineRule="auto"/>
            </w:pPr>
            <w:r w:rsidRPr="00EB5AC8">
              <w:rPr>
                <w:rFonts w:ascii="Marlett" w:hAnsi="Marlett"/>
              </w:rPr>
              <w:t></w:t>
            </w:r>
          </w:p>
        </w:tc>
        <w:tc>
          <w:tcPr>
            <w:tcW w:w="706" w:type="dxa"/>
            <w:tcBorders>
              <w:top w:val="nil"/>
              <w:left w:val="nil"/>
              <w:bottom w:val="single" w:sz="4" w:space="0" w:color="auto"/>
              <w:right w:val="single" w:sz="4" w:space="0" w:color="auto"/>
            </w:tcBorders>
            <w:shd w:val="clear" w:color="auto" w:fill="D9D9D9" w:themeFill="background1" w:themeFillShade="D9"/>
            <w:hideMark/>
          </w:tcPr>
          <w:p w14:paraId="328F40B5" w14:textId="77777777" w:rsidR="00403B07" w:rsidRDefault="00403B07" w:rsidP="00B01272">
            <w:pPr>
              <w:spacing w:line="240" w:lineRule="auto"/>
            </w:pPr>
            <w:r w:rsidRPr="00EB5AC8">
              <w:rPr>
                <w:rFonts w:ascii="Marlett" w:hAnsi="Marlett"/>
              </w:rPr>
              <w:t></w:t>
            </w:r>
          </w:p>
        </w:tc>
        <w:tc>
          <w:tcPr>
            <w:tcW w:w="706" w:type="dxa"/>
            <w:tcBorders>
              <w:top w:val="nil"/>
              <w:left w:val="nil"/>
              <w:bottom w:val="single" w:sz="4" w:space="0" w:color="auto"/>
              <w:right w:val="single" w:sz="4" w:space="0" w:color="auto"/>
            </w:tcBorders>
            <w:shd w:val="clear" w:color="auto" w:fill="D9D9D9" w:themeFill="background1" w:themeFillShade="D9"/>
            <w:hideMark/>
          </w:tcPr>
          <w:p w14:paraId="3CB23360"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4C2630">
              <w:rPr>
                <w:rFonts w:ascii="Calibri" w:eastAsia="Times New Roman" w:hAnsi="Calibri" w:cs="Times New Roman"/>
                <w:color w:val="000000"/>
                <w:sz w:val="16"/>
                <w:szCs w:val="16"/>
              </w:rPr>
              <w:t>-</w:t>
            </w:r>
          </w:p>
        </w:tc>
        <w:tc>
          <w:tcPr>
            <w:tcW w:w="847" w:type="dxa"/>
            <w:tcBorders>
              <w:top w:val="nil"/>
              <w:left w:val="nil"/>
              <w:bottom w:val="single" w:sz="4" w:space="0" w:color="auto"/>
              <w:right w:val="single" w:sz="4" w:space="0" w:color="auto"/>
            </w:tcBorders>
            <w:shd w:val="clear" w:color="auto" w:fill="D9D9D9" w:themeFill="background1" w:themeFillShade="D9"/>
            <w:hideMark/>
          </w:tcPr>
          <w:p w14:paraId="1B69B8A1" w14:textId="77777777" w:rsidR="00403B07" w:rsidRDefault="00403B07" w:rsidP="00B01272">
            <w:pPr>
              <w:spacing w:line="240" w:lineRule="auto"/>
            </w:pPr>
            <w:r w:rsidRPr="00555BF9">
              <w:rPr>
                <w:rFonts w:ascii="Marlett" w:hAnsi="Marlett"/>
              </w:rPr>
              <w:t></w:t>
            </w:r>
          </w:p>
        </w:tc>
        <w:tc>
          <w:tcPr>
            <w:tcW w:w="848" w:type="dxa"/>
            <w:tcBorders>
              <w:top w:val="nil"/>
              <w:left w:val="nil"/>
              <w:bottom w:val="single" w:sz="4" w:space="0" w:color="auto"/>
              <w:right w:val="single" w:sz="4" w:space="0" w:color="auto"/>
            </w:tcBorders>
            <w:shd w:val="clear" w:color="auto" w:fill="D9D9D9" w:themeFill="background1" w:themeFillShade="D9"/>
            <w:hideMark/>
          </w:tcPr>
          <w:p w14:paraId="41DCA84B" w14:textId="77777777" w:rsidR="00403B07" w:rsidRDefault="00403B07" w:rsidP="00B01272">
            <w:pPr>
              <w:spacing w:line="240" w:lineRule="auto"/>
            </w:pPr>
            <w:r w:rsidRPr="00555BF9">
              <w:rPr>
                <w:rFonts w:ascii="Marlett" w:hAnsi="Marlett"/>
              </w:rPr>
              <w:t></w:t>
            </w:r>
          </w:p>
        </w:tc>
        <w:tc>
          <w:tcPr>
            <w:tcW w:w="847" w:type="dxa"/>
            <w:tcBorders>
              <w:top w:val="nil"/>
              <w:left w:val="nil"/>
              <w:bottom w:val="single" w:sz="4" w:space="0" w:color="auto"/>
              <w:right w:val="single" w:sz="4" w:space="0" w:color="auto"/>
            </w:tcBorders>
            <w:shd w:val="clear" w:color="auto" w:fill="D9D9D9" w:themeFill="background1" w:themeFillShade="D9"/>
            <w:hideMark/>
          </w:tcPr>
          <w:p w14:paraId="49311ABD"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4C2630">
              <w:rPr>
                <w:rFonts w:ascii="Calibri" w:eastAsia="Times New Roman" w:hAnsi="Calibri" w:cs="Times New Roman"/>
                <w:color w:val="000000"/>
                <w:sz w:val="16"/>
                <w:szCs w:val="16"/>
              </w:rPr>
              <w:t>9</w:t>
            </w:r>
          </w:p>
        </w:tc>
      </w:tr>
      <w:tr w:rsidR="00403B07" w:rsidRPr="004C2630" w14:paraId="1AC86F6E" w14:textId="77777777" w:rsidTr="00B01272">
        <w:trPr>
          <w:trHeight w:val="170"/>
        </w:trPr>
        <w:tc>
          <w:tcPr>
            <w:tcW w:w="416" w:type="dxa"/>
            <w:tcBorders>
              <w:top w:val="single" w:sz="4" w:space="0" w:color="auto"/>
              <w:left w:val="single" w:sz="4" w:space="0" w:color="auto"/>
              <w:bottom w:val="single" w:sz="4" w:space="0" w:color="auto"/>
              <w:right w:val="single" w:sz="4" w:space="0" w:color="auto"/>
            </w:tcBorders>
            <w:shd w:val="clear" w:color="auto" w:fill="auto"/>
            <w:hideMark/>
          </w:tcPr>
          <w:p w14:paraId="34CF357D" w14:textId="77777777" w:rsidR="00403B07" w:rsidRPr="004C2630" w:rsidRDefault="00403B07" w:rsidP="00B01272">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13</w:t>
            </w:r>
          </w:p>
        </w:tc>
        <w:tc>
          <w:tcPr>
            <w:tcW w:w="1133" w:type="dxa"/>
            <w:tcBorders>
              <w:top w:val="nil"/>
              <w:left w:val="nil"/>
              <w:bottom w:val="single" w:sz="4" w:space="0" w:color="auto"/>
              <w:right w:val="single" w:sz="4" w:space="0" w:color="auto"/>
            </w:tcBorders>
            <w:shd w:val="clear" w:color="auto" w:fill="D9D9D9" w:themeFill="background1" w:themeFillShade="D9"/>
            <w:hideMark/>
          </w:tcPr>
          <w:p w14:paraId="0C43DB59"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4C2630">
              <w:rPr>
                <w:rFonts w:ascii="Calibri" w:eastAsia="Times New Roman" w:hAnsi="Calibri" w:cs="Times New Roman"/>
                <w:color w:val="000000"/>
                <w:sz w:val="16"/>
                <w:szCs w:val="16"/>
              </w:rPr>
              <w:t>Urban</w:t>
            </w:r>
          </w:p>
        </w:tc>
        <w:tc>
          <w:tcPr>
            <w:tcW w:w="705" w:type="dxa"/>
            <w:tcBorders>
              <w:top w:val="nil"/>
              <w:left w:val="nil"/>
              <w:bottom w:val="single" w:sz="4" w:space="0" w:color="auto"/>
              <w:right w:val="single" w:sz="4" w:space="0" w:color="auto"/>
            </w:tcBorders>
            <w:shd w:val="clear" w:color="auto" w:fill="D9D9D9" w:themeFill="background1" w:themeFillShade="D9"/>
            <w:hideMark/>
          </w:tcPr>
          <w:p w14:paraId="22429E21" w14:textId="77777777" w:rsidR="00403B07" w:rsidRDefault="00403B07" w:rsidP="00B01272">
            <w:pPr>
              <w:spacing w:line="240" w:lineRule="auto"/>
            </w:pPr>
            <w:r w:rsidRPr="0005683C">
              <w:rPr>
                <w:rFonts w:ascii="Marlett" w:hAnsi="Marlett"/>
              </w:rPr>
              <w:t></w:t>
            </w:r>
          </w:p>
        </w:tc>
        <w:tc>
          <w:tcPr>
            <w:tcW w:w="706" w:type="dxa"/>
            <w:tcBorders>
              <w:top w:val="nil"/>
              <w:left w:val="nil"/>
              <w:bottom w:val="single" w:sz="4" w:space="0" w:color="auto"/>
              <w:right w:val="single" w:sz="4" w:space="0" w:color="auto"/>
            </w:tcBorders>
            <w:shd w:val="clear" w:color="auto" w:fill="D9D9D9" w:themeFill="background1" w:themeFillShade="D9"/>
            <w:hideMark/>
          </w:tcPr>
          <w:p w14:paraId="70B925B0" w14:textId="77777777" w:rsidR="00403B07" w:rsidRDefault="00403B07" w:rsidP="00B01272">
            <w:pPr>
              <w:spacing w:line="240" w:lineRule="auto"/>
            </w:pPr>
            <w:r w:rsidRPr="0005683C">
              <w:rPr>
                <w:rFonts w:ascii="Marlett" w:hAnsi="Marlett"/>
              </w:rPr>
              <w:t></w:t>
            </w:r>
          </w:p>
        </w:tc>
        <w:tc>
          <w:tcPr>
            <w:tcW w:w="706" w:type="dxa"/>
            <w:tcBorders>
              <w:top w:val="nil"/>
              <w:left w:val="nil"/>
              <w:bottom w:val="single" w:sz="4" w:space="0" w:color="auto"/>
              <w:right w:val="single" w:sz="4" w:space="0" w:color="auto"/>
            </w:tcBorders>
            <w:shd w:val="clear" w:color="auto" w:fill="D9D9D9" w:themeFill="background1" w:themeFillShade="D9"/>
            <w:hideMark/>
          </w:tcPr>
          <w:p w14:paraId="09E7B8A4" w14:textId="77777777" w:rsidR="00403B07" w:rsidRPr="004C2630" w:rsidRDefault="00403B07" w:rsidP="00B01272">
            <w:pPr>
              <w:spacing w:after="0" w:line="240" w:lineRule="auto"/>
              <w:rPr>
                <w:rFonts w:ascii="Calibri" w:eastAsia="Times New Roman" w:hAnsi="Calibri" w:cs="Times New Roman"/>
                <w:b/>
                <w:color w:val="000000"/>
                <w:sz w:val="16"/>
                <w:szCs w:val="16"/>
              </w:rPr>
            </w:pPr>
            <w:r w:rsidRPr="004C2630">
              <w:rPr>
                <w:rFonts w:ascii="Calibri" w:eastAsia="Times New Roman" w:hAnsi="Calibri" w:cs="Times New Roman"/>
                <w:b/>
                <w:color w:val="000000"/>
                <w:sz w:val="16"/>
                <w:szCs w:val="16"/>
              </w:rPr>
              <w:t>x</w:t>
            </w:r>
          </w:p>
        </w:tc>
        <w:tc>
          <w:tcPr>
            <w:tcW w:w="847" w:type="dxa"/>
            <w:tcBorders>
              <w:top w:val="nil"/>
              <w:left w:val="nil"/>
              <w:bottom w:val="single" w:sz="4" w:space="0" w:color="auto"/>
              <w:right w:val="single" w:sz="4" w:space="0" w:color="auto"/>
            </w:tcBorders>
            <w:shd w:val="clear" w:color="auto" w:fill="D9D9D9" w:themeFill="background1" w:themeFillShade="D9"/>
            <w:hideMark/>
          </w:tcPr>
          <w:p w14:paraId="19A32E0B" w14:textId="77777777" w:rsidR="00403B07" w:rsidRDefault="00403B07" w:rsidP="00B01272">
            <w:pPr>
              <w:spacing w:line="240" w:lineRule="auto"/>
            </w:pPr>
            <w:r w:rsidRPr="00CC355D">
              <w:rPr>
                <w:rFonts w:ascii="Marlett" w:hAnsi="Marlett"/>
              </w:rPr>
              <w:t></w:t>
            </w:r>
          </w:p>
        </w:tc>
        <w:tc>
          <w:tcPr>
            <w:tcW w:w="848" w:type="dxa"/>
            <w:tcBorders>
              <w:top w:val="nil"/>
              <w:left w:val="nil"/>
              <w:bottom w:val="single" w:sz="4" w:space="0" w:color="auto"/>
              <w:right w:val="single" w:sz="4" w:space="0" w:color="auto"/>
            </w:tcBorders>
            <w:shd w:val="clear" w:color="auto" w:fill="D9D9D9" w:themeFill="background1" w:themeFillShade="D9"/>
            <w:hideMark/>
          </w:tcPr>
          <w:p w14:paraId="242A13E5" w14:textId="77777777" w:rsidR="00403B07" w:rsidRDefault="00403B07" w:rsidP="00B01272">
            <w:pPr>
              <w:spacing w:line="240" w:lineRule="auto"/>
            </w:pPr>
            <w:r w:rsidRPr="00CC355D">
              <w:rPr>
                <w:rFonts w:ascii="Marlett" w:hAnsi="Marlett"/>
              </w:rPr>
              <w:t></w:t>
            </w:r>
          </w:p>
        </w:tc>
        <w:tc>
          <w:tcPr>
            <w:tcW w:w="847" w:type="dxa"/>
            <w:tcBorders>
              <w:top w:val="nil"/>
              <w:left w:val="nil"/>
              <w:bottom w:val="single" w:sz="4" w:space="0" w:color="auto"/>
              <w:right w:val="single" w:sz="4" w:space="0" w:color="auto"/>
            </w:tcBorders>
            <w:shd w:val="clear" w:color="auto" w:fill="D9D9D9" w:themeFill="background1" w:themeFillShade="D9"/>
            <w:hideMark/>
          </w:tcPr>
          <w:p w14:paraId="7D49FEFF"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4C2630">
              <w:rPr>
                <w:rFonts w:ascii="Calibri" w:eastAsia="Times New Roman" w:hAnsi="Calibri" w:cs="Times New Roman"/>
                <w:color w:val="000000"/>
                <w:sz w:val="16"/>
                <w:szCs w:val="16"/>
              </w:rPr>
              <w:t>4</w:t>
            </w:r>
          </w:p>
        </w:tc>
      </w:tr>
      <w:tr w:rsidR="00403B07" w:rsidRPr="004C2630" w14:paraId="16EFF890" w14:textId="77777777" w:rsidTr="00B01272">
        <w:trPr>
          <w:trHeight w:val="170"/>
        </w:trPr>
        <w:tc>
          <w:tcPr>
            <w:tcW w:w="416" w:type="dxa"/>
            <w:tcBorders>
              <w:top w:val="single" w:sz="4" w:space="0" w:color="auto"/>
              <w:left w:val="single" w:sz="4" w:space="0" w:color="auto"/>
              <w:bottom w:val="single" w:sz="4" w:space="0" w:color="auto"/>
              <w:right w:val="single" w:sz="4" w:space="0" w:color="auto"/>
            </w:tcBorders>
            <w:shd w:val="clear" w:color="auto" w:fill="auto"/>
            <w:hideMark/>
          </w:tcPr>
          <w:p w14:paraId="16678CEE" w14:textId="77777777" w:rsidR="00403B07" w:rsidRPr="004C2630" w:rsidRDefault="00403B07" w:rsidP="00B01272">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14</w:t>
            </w:r>
          </w:p>
        </w:tc>
        <w:tc>
          <w:tcPr>
            <w:tcW w:w="1133" w:type="dxa"/>
            <w:tcBorders>
              <w:top w:val="nil"/>
              <w:left w:val="nil"/>
              <w:bottom w:val="single" w:sz="4" w:space="0" w:color="auto"/>
              <w:right w:val="single" w:sz="4" w:space="0" w:color="auto"/>
            </w:tcBorders>
            <w:shd w:val="clear" w:color="auto" w:fill="D9D9D9" w:themeFill="background1" w:themeFillShade="D9"/>
            <w:hideMark/>
          </w:tcPr>
          <w:p w14:paraId="1D964242"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4C2630">
              <w:rPr>
                <w:rFonts w:ascii="Calibri" w:eastAsia="Times New Roman" w:hAnsi="Calibri" w:cs="Times New Roman"/>
                <w:color w:val="000000"/>
                <w:sz w:val="16"/>
                <w:szCs w:val="16"/>
              </w:rPr>
              <w:t>Urban</w:t>
            </w:r>
          </w:p>
        </w:tc>
        <w:tc>
          <w:tcPr>
            <w:tcW w:w="705" w:type="dxa"/>
            <w:tcBorders>
              <w:top w:val="nil"/>
              <w:left w:val="nil"/>
              <w:bottom w:val="single" w:sz="4" w:space="0" w:color="auto"/>
              <w:right w:val="single" w:sz="4" w:space="0" w:color="auto"/>
            </w:tcBorders>
            <w:shd w:val="clear" w:color="auto" w:fill="D9D9D9" w:themeFill="background1" w:themeFillShade="D9"/>
            <w:hideMark/>
          </w:tcPr>
          <w:p w14:paraId="28788F82" w14:textId="77777777" w:rsidR="00403B07" w:rsidRDefault="00403B07" w:rsidP="00B01272">
            <w:pPr>
              <w:spacing w:line="240" w:lineRule="auto"/>
            </w:pPr>
            <w:r w:rsidRPr="002D5CE0">
              <w:rPr>
                <w:rFonts w:ascii="Marlett" w:hAnsi="Marlett"/>
              </w:rPr>
              <w:t></w:t>
            </w:r>
          </w:p>
        </w:tc>
        <w:tc>
          <w:tcPr>
            <w:tcW w:w="706" w:type="dxa"/>
            <w:tcBorders>
              <w:top w:val="nil"/>
              <w:left w:val="nil"/>
              <w:bottom w:val="single" w:sz="4" w:space="0" w:color="auto"/>
              <w:right w:val="single" w:sz="4" w:space="0" w:color="auto"/>
            </w:tcBorders>
            <w:shd w:val="clear" w:color="auto" w:fill="D9D9D9" w:themeFill="background1" w:themeFillShade="D9"/>
            <w:hideMark/>
          </w:tcPr>
          <w:p w14:paraId="3426242D" w14:textId="77777777" w:rsidR="00403B07" w:rsidRDefault="00403B07" w:rsidP="00B01272">
            <w:pPr>
              <w:spacing w:line="240" w:lineRule="auto"/>
            </w:pPr>
            <w:r w:rsidRPr="002D5CE0">
              <w:rPr>
                <w:rFonts w:ascii="Marlett" w:hAnsi="Marlett"/>
              </w:rPr>
              <w:t></w:t>
            </w:r>
          </w:p>
        </w:tc>
        <w:tc>
          <w:tcPr>
            <w:tcW w:w="706" w:type="dxa"/>
            <w:tcBorders>
              <w:top w:val="nil"/>
              <w:left w:val="nil"/>
              <w:bottom w:val="single" w:sz="4" w:space="0" w:color="auto"/>
              <w:right w:val="single" w:sz="4" w:space="0" w:color="auto"/>
            </w:tcBorders>
            <w:shd w:val="clear" w:color="auto" w:fill="D9D9D9" w:themeFill="background1" w:themeFillShade="D9"/>
            <w:hideMark/>
          </w:tcPr>
          <w:p w14:paraId="3646A3CC" w14:textId="77777777" w:rsidR="00403B07" w:rsidRPr="004C2630" w:rsidRDefault="00403B07" w:rsidP="00B01272">
            <w:pPr>
              <w:spacing w:after="0" w:line="240" w:lineRule="auto"/>
              <w:rPr>
                <w:rFonts w:ascii="Calibri" w:eastAsia="Times New Roman" w:hAnsi="Calibri" w:cs="Times New Roman"/>
                <w:b/>
                <w:color w:val="000000"/>
                <w:sz w:val="16"/>
                <w:szCs w:val="16"/>
              </w:rPr>
            </w:pPr>
            <w:r w:rsidRPr="004C2630">
              <w:rPr>
                <w:rFonts w:ascii="Calibri" w:eastAsia="Times New Roman" w:hAnsi="Calibri" w:cs="Times New Roman"/>
                <w:b/>
                <w:color w:val="000000"/>
                <w:sz w:val="16"/>
                <w:szCs w:val="16"/>
              </w:rPr>
              <w:t>x</w:t>
            </w:r>
          </w:p>
        </w:tc>
        <w:tc>
          <w:tcPr>
            <w:tcW w:w="847" w:type="dxa"/>
            <w:tcBorders>
              <w:top w:val="nil"/>
              <w:left w:val="nil"/>
              <w:bottom w:val="single" w:sz="4" w:space="0" w:color="auto"/>
              <w:right w:val="single" w:sz="4" w:space="0" w:color="auto"/>
            </w:tcBorders>
            <w:shd w:val="clear" w:color="auto" w:fill="D9D9D9" w:themeFill="background1" w:themeFillShade="D9"/>
            <w:hideMark/>
          </w:tcPr>
          <w:p w14:paraId="4F068D98" w14:textId="77777777" w:rsidR="00403B07" w:rsidRDefault="00403B07" w:rsidP="00B01272">
            <w:pPr>
              <w:spacing w:line="240" w:lineRule="auto"/>
            </w:pPr>
            <w:r w:rsidRPr="005748DE">
              <w:rPr>
                <w:rFonts w:ascii="Marlett" w:hAnsi="Marlett"/>
              </w:rPr>
              <w:t></w:t>
            </w:r>
          </w:p>
        </w:tc>
        <w:tc>
          <w:tcPr>
            <w:tcW w:w="848" w:type="dxa"/>
            <w:tcBorders>
              <w:top w:val="nil"/>
              <w:left w:val="nil"/>
              <w:bottom w:val="single" w:sz="4" w:space="0" w:color="auto"/>
              <w:right w:val="single" w:sz="4" w:space="0" w:color="auto"/>
            </w:tcBorders>
            <w:shd w:val="clear" w:color="auto" w:fill="D9D9D9" w:themeFill="background1" w:themeFillShade="D9"/>
            <w:hideMark/>
          </w:tcPr>
          <w:p w14:paraId="4972DACF" w14:textId="77777777" w:rsidR="00403B07" w:rsidRDefault="00403B07" w:rsidP="00B01272">
            <w:pPr>
              <w:spacing w:line="240" w:lineRule="auto"/>
            </w:pPr>
            <w:r w:rsidRPr="005748DE">
              <w:rPr>
                <w:rFonts w:ascii="Marlett" w:hAnsi="Marlett"/>
              </w:rPr>
              <w:t></w:t>
            </w:r>
          </w:p>
        </w:tc>
        <w:tc>
          <w:tcPr>
            <w:tcW w:w="847" w:type="dxa"/>
            <w:tcBorders>
              <w:top w:val="nil"/>
              <w:left w:val="nil"/>
              <w:bottom w:val="single" w:sz="4" w:space="0" w:color="auto"/>
              <w:right w:val="single" w:sz="4" w:space="0" w:color="auto"/>
            </w:tcBorders>
            <w:shd w:val="clear" w:color="auto" w:fill="D9D9D9" w:themeFill="background1" w:themeFillShade="D9"/>
            <w:hideMark/>
          </w:tcPr>
          <w:p w14:paraId="564101D4"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4C2630">
              <w:rPr>
                <w:rFonts w:ascii="Calibri" w:eastAsia="Times New Roman" w:hAnsi="Calibri" w:cs="Times New Roman"/>
                <w:color w:val="000000"/>
                <w:sz w:val="16"/>
                <w:szCs w:val="16"/>
              </w:rPr>
              <w:t>6</w:t>
            </w:r>
          </w:p>
        </w:tc>
      </w:tr>
      <w:tr w:rsidR="00403B07" w:rsidRPr="004C2630" w14:paraId="2EB831B1" w14:textId="77777777" w:rsidTr="00B01272">
        <w:trPr>
          <w:trHeight w:val="170"/>
        </w:trPr>
        <w:tc>
          <w:tcPr>
            <w:tcW w:w="416" w:type="dxa"/>
            <w:tcBorders>
              <w:top w:val="single" w:sz="4" w:space="0" w:color="auto"/>
              <w:left w:val="single" w:sz="4" w:space="0" w:color="auto"/>
              <w:bottom w:val="single" w:sz="4" w:space="0" w:color="auto"/>
              <w:right w:val="single" w:sz="4" w:space="0" w:color="auto"/>
            </w:tcBorders>
            <w:shd w:val="clear" w:color="auto" w:fill="auto"/>
            <w:hideMark/>
          </w:tcPr>
          <w:p w14:paraId="0F1F57ED" w14:textId="77777777" w:rsidR="00403B07" w:rsidRPr="004C2630" w:rsidRDefault="00403B07" w:rsidP="00B01272">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15</w:t>
            </w:r>
          </w:p>
        </w:tc>
        <w:tc>
          <w:tcPr>
            <w:tcW w:w="1133" w:type="dxa"/>
            <w:tcBorders>
              <w:top w:val="nil"/>
              <w:left w:val="nil"/>
              <w:bottom w:val="single" w:sz="4" w:space="0" w:color="auto"/>
              <w:right w:val="single" w:sz="4" w:space="0" w:color="auto"/>
            </w:tcBorders>
            <w:shd w:val="clear" w:color="auto" w:fill="D9D9D9" w:themeFill="background1" w:themeFillShade="D9"/>
            <w:hideMark/>
          </w:tcPr>
          <w:p w14:paraId="407CC7A2"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4C2630">
              <w:rPr>
                <w:rFonts w:ascii="Calibri" w:eastAsia="Times New Roman" w:hAnsi="Calibri" w:cs="Times New Roman"/>
                <w:color w:val="000000"/>
                <w:sz w:val="16"/>
                <w:szCs w:val="16"/>
              </w:rPr>
              <w:t>Rural</w:t>
            </w:r>
          </w:p>
        </w:tc>
        <w:tc>
          <w:tcPr>
            <w:tcW w:w="705" w:type="dxa"/>
            <w:tcBorders>
              <w:top w:val="nil"/>
              <w:left w:val="nil"/>
              <w:bottom w:val="single" w:sz="4" w:space="0" w:color="auto"/>
              <w:right w:val="single" w:sz="4" w:space="0" w:color="auto"/>
            </w:tcBorders>
            <w:shd w:val="clear" w:color="auto" w:fill="D9D9D9" w:themeFill="background1" w:themeFillShade="D9"/>
            <w:hideMark/>
          </w:tcPr>
          <w:p w14:paraId="0E0375F6" w14:textId="77777777" w:rsidR="00403B07" w:rsidRDefault="00403B07" w:rsidP="00B01272">
            <w:pPr>
              <w:spacing w:line="240" w:lineRule="auto"/>
            </w:pPr>
            <w:r w:rsidRPr="002D5CE0">
              <w:rPr>
                <w:rFonts w:ascii="Marlett" w:hAnsi="Marlett"/>
              </w:rPr>
              <w:t></w:t>
            </w:r>
          </w:p>
        </w:tc>
        <w:tc>
          <w:tcPr>
            <w:tcW w:w="706" w:type="dxa"/>
            <w:tcBorders>
              <w:top w:val="nil"/>
              <w:left w:val="nil"/>
              <w:bottom w:val="single" w:sz="4" w:space="0" w:color="auto"/>
              <w:right w:val="single" w:sz="4" w:space="0" w:color="auto"/>
            </w:tcBorders>
            <w:shd w:val="clear" w:color="auto" w:fill="D9D9D9" w:themeFill="background1" w:themeFillShade="D9"/>
            <w:hideMark/>
          </w:tcPr>
          <w:p w14:paraId="35D10542" w14:textId="77777777" w:rsidR="00403B07" w:rsidRDefault="00403B07" w:rsidP="00B01272">
            <w:pPr>
              <w:spacing w:line="240" w:lineRule="auto"/>
            </w:pPr>
            <w:r w:rsidRPr="002D5CE0">
              <w:rPr>
                <w:rFonts w:ascii="Marlett" w:hAnsi="Marlett"/>
              </w:rPr>
              <w:t></w:t>
            </w:r>
          </w:p>
        </w:tc>
        <w:tc>
          <w:tcPr>
            <w:tcW w:w="706" w:type="dxa"/>
            <w:tcBorders>
              <w:top w:val="nil"/>
              <w:left w:val="nil"/>
              <w:bottom w:val="single" w:sz="4" w:space="0" w:color="auto"/>
              <w:right w:val="single" w:sz="4" w:space="0" w:color="auto"/>
            </w:tcBorders>
            <w:shd w:val="clear" w:color="auto" w:fill="D9D9D9" w:themeFill="background1" w:themeFillShade="D9"/>
            <w:hideMark/>
          </w:tcPr>
          <w:p w14:paraId="2EC372DE" w14:textId="77777777" w:rsidR="00403B07" w:rsidRDefault="00403B07" w:rsidP="00B01272">
            <w:pPr>
              <w:spacing w:line="240" w:lineRule="auto"/>
            </w:pPr>
            <w:r w:rsidRPr="003E76DC">
              <w:rPr>
                <w:rFonts w:ascii="Marlett" w:hAnsi="Marlett"/>
              </w:rPr>
              <w:t></w:t>
            </w:r>
          </w:p>
        </w:tc>
        <w:tc>
          <w:tcPr>
            <w:tcW w:w="847" w:type="dxa"/>
            <w:tcBorders>
              <w:top w:val="nil"/>
              <w:left w:val="nil"/>
              <w:bottom w:val="single" w:sz="4" w:space="0" w:color="auto"/>
              <w:right w:val="single" w:sz="4" w:space="0" w:color="auto"/>
            </w:tcBorders>
            <w:shd w:val="clear" w:color="auto" w:fill="D9D9D9" w:themeFill="background1" w:themeFillShade="D9"/>
            <w:hideMark/>
          </w:tcPr>
          <w:p w14:paraId="1B1A89D7" w14:textId="77777777" w:rsidR="00403B07" w:rsidRDefault="00403B07" w:rsidP="00B01272">
            <w:pPr>
              <w:spacing w:line="240" w:lineRule="auto"/>
            </w:pPr>
            <w:r w:rsidRPr="005748DE">
              <w:rPr>
                <w:rFonts w:ascii="Marlett" w:hAnsi="Marlett"/>
              </w:rPr>
              <w:t></w:t>
            </w:r>
          </w:p>
        </w:tc>
        <w:tc>
          <w:tcPr>
            <w:tcW w:w="848" w:type="dxa"/>
            <w:tcBorders>
              <w:top w:val="nil"/>
              <w:left w:val="nil"/>
              <w:bottom w:val="single" w:sz="4" w:space="0" w:color="auto"/>
              <w:right w:val="single" w:sz="4" w:space="0" w:color="auto"/>
            </w:tcBorders>
            <w:shd w:val="clear" w:color="auto" w:fill="D9D9D9" w:themeFill="background1" w:themeFillShade="D9"/>
            <w:hideMark/>
          </w:tcPr>
          <w:p w14:paraId="6426B2C1" w14:textId="77777777" w:rsidR="00403B07" w:rsidRDefault="00403B07" w:rsidP="00B01272">
            <w:pPr>
              <w:spacing w:line="240" w:lineRule="auto"/>
            </w:pPr>
            <w:r w:rsidRPr="005748DE">
              <w:rPr>
                <w:rFonts w:ascii="Marlett" w:hAnsi="Marlett"/>
              </w:rPr>
              <w:t></w:t>
            </w:r>
          </w:p>
        </w:tc>
        <w:tc>
          <w:tcPr>
            <w:tcW w:w="847" w:type="dxa"/>
            <w:tcBorders>
              <w:top w:val="nil"/>
              <w:left w:val="nil"/>
              <w:bottom w:val="single" w:sz="4" w:space="0" w:color="auto"/>
              <w:right w:val="single" w:sz="4" w:space="0" w:color="auto"/>
            </w:tcBorders>
            <w:shd w:val="clear" w:color="auto" w:fill="D9D9D9" w:themeFill="background1" w:themeFillShade="D9"/>
            <w:hideMark/>
          </w:tcPr>
          <w:p w14:paraId="3BA4720D"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4C2630">
              <w:rPr>
                <w:rFonts w:ascii="Calibri" w:eastAsia="Times New Roman" w:hAnsi="Calibri" w:cs="Times New Roman"/>
                <w:color w:val="000000"/>
                <w:sz w:val="16"/>
                <w:szCs w:val="16"/>
              </w:rPr>
              <w:t>11</w:t>
            </w:r>
          </w:p>
        </w:tc>
      </w:tr>
      <w:tr w:rsidR="00403B07" w:rsidRPr="004C2630" w14:paraId="17D78E17" w14:textId="77777777" w:rsidTr="00B01272">
        <w:trPr>
          <w:trHeight w:val="170"/>
        </w:trPr>
        <w:tc>
          <w:tcPr>
            <w:tcW w:w="416" w:type="dxa"/>
            <w:tcBorders>
              <w:top w:val="single" w:sz="4" w:space="0" w:color="auto"/>
              <w:left w:val="single" w:sz="4" w:space="0" w:color="auto"/>
              <w:bottom w:val="single" w:sz="4" w:space="0" w:color="auto"/>
              <w:right w:val="single" w:sz="4" w:space="0" w:color="auto"/>
            </w:tcBorders>
            <w:shd w:val="clear" w:color="auto" w:fill="auto"/>
            <w:hideMark/>
          </w:tcPr>
          <w:p w14:paraId="6B572C63" w14:textId="77777777" w:rsidR="00403B07" w:rsidRPr="004C2630" w:rsidRDefault="00403B07" w:rsidP="00B01272">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16</w:t>
            </w:r>
          </w:p>
        </w:tc>
        <w:tc>
          <w:tcPr>
            <w:tcW w:w="1133" w:type="dxa"/>
            <w:tcBorders>
              <w:top w:val="nil"/>
              <w:left w:val="nil"/>
              <w:bottom w:val="single" w:sz="4" w:space="0" w:color="auto"/>
              <w:right w:val="single" w:sz="4" w:space="0" w:color="auto"/>
            </w:tcBorders>
            <w:shd w:val="clear" w:color="auto" w:fill="D9D9D9" w:themeFill="background1" w:themeFillShade="D9"/>
            <w:hideMark/>
          </w:tcPr>
          <w:p w14:paraId="0A4ED10C"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4C2630">
              <w:rPr>
                <w:rFonts w:ascii="Calibri" w:eastAsia="Times New Roman" w:hAnsi="Calibri" w:cs="Times New Roman"/>
                <w:color w:val="000000"/>
                <w:sz w:val="16"/>
                <w:szCs w:val="16"/>
              </w:rPr>
              <w:t>Rural</w:t>
            </w:r>
          </w:p>
        </w:tc>
        <w:tc>
          <w:tcPr>
            <w:tcW w:w="705" w:type="dxa"/>
            <w:tcBorders>
              <w:top w:val="nil"/>
              <w:left w:val="nil"/>
              <w:bottom w:val="single" w:sz="4" w:space="0" w:color="auto"/>
              <w:right w:val="single" w:sz="4" w:space="0" w:color="auto"/>
            </w:tcBorders>
            <w:shd w:val="clear" w:color="auto" w:fill="D9D9D9" w:themeFill="background1" w:themeFillShade="D9"/>
            <w:hideMark/>
          </w:tcPr>
          <w:p w14:paraId="0CB66F3C" w14:textId="77777777" w:rsidR="00403B07" w:rsidRDefault="00403B07" w:rsidP="00B01272">
            <w:pPr>
              <w:spacing w:line="240" w:lineRule="auto"/>
            </w:pPr>
            <w:r w:rsidRPr="002D5CE0">
              <w:rPr>
                <w:rFonts w:ascii="Marlett" w:hAnsi="Marlett"/>
              </w:rPr>
              <w:t></w:t>
            </w:r>
          </w:p>
        </w:tc>
        <w:tc>
          <w:tcPr>
            <w:tcW w:w="706" w:type="dxa"/>
            <w:tcBorders>
              <w:top w:val="nil"/>
              <w:left w:val="nil"/>
              <w:bottom w:val="single" w:sz="4" w:space="0" w:color="auto"/>
              <w:right w:val="single" w:sz="4" w:space="0" w:color="auto"/>
            </w:tcBorders>
            <w:shd w:val="clear" w:color="auto" w:fill="D9D9D9" w:themeFill="background1" w:themeFillShade="D9"/>
            <w:hideMark/>
          </w:tcPr>
          <w:p w14:paraId="4DD61B46" w14:textId="77777777" w:rsidR="00403B07" w:rsidRDefault="00403B07" w:rsidP="00B01272">
            <w:pPr>
              <w:spacing w:line="240" w:lineRule="auto"/>
            </w:pPr>
            <w:r w:rsidRPr="002D5CE0">
              <w:rPr>
                <w:rFonts w:ascii="Marlett" w:hAnsi="Marlett"/>
              </w:rPr>
              <w:t></w:t>
            </w:r>
          </w:p>
        </w:tc>
        <w:tc>
          <w:tcPr>
            <w:tcW w:w="706" w:type="dxa"/>
            <w:tcBorders>
              <w:top w:val="nil"/>
              <w:left w:val="nil"/>
              <w:bottom w:val="single" w:sz="4" w:space="0" w:color="auto"/>
              <w:right w:val="single" w:sz="4" w:space="0" w:color="auto"/>
            </w:tcBorders>
            <w:shd w:val="clear" w:color="auto" w:fill="D9D9D9" w:themeFill="background1" w:themeFillShade="D9"/>
            <w:hideMark/>
          </w:tcPr>
          <w:p w14:paraId="29E13B66" w14:textId="77777777" w:rsidR="00403B07" w:rsidRDefault="00403B07" w:rsidP="00B01272">
            <w:pPr>
              <w:spacing w:line="240" w:lineRule="auto"/>
            </w:pPr>
            <w:r w:rsidRPr="003E76DC">
              <w:rPr>
                <w:rFonts w:ascii="Marlett" w:hAnsi="Marlett"/>
              </w:rPr>
              <w:t></w:t>
            </w:r>
          </w:p>
        </w:tc>
        <w:tc>
          <w:tcPr>
            <w:tcW w:w="847" w:type="dxa"/>
            <w:tcBorders>
              <w:top w:val="nil"/>
              <w:left w:val="nil"/>
              <w:bottom w:val="single" w:sz="4" w:space="0" w:color="auto"/>
              <w:right w:val="single" w:sz="4" w:space="0" w:color="auto"/>
            </w:tcBorders>
            <w:shd w:val="clear" w:color="auto" w:fill="D9D9D9" w:themeFill="background1" w:themeFillShade="D9"/>
            <w:hideMark/>
          </w:tcPr>
          <w:p w14:paraId="40B09245" w14:textId="77777777" w:rsidR="00403B07" w:rsidRDefault="00403B07" w:rsidP="00B01272">
            <w:pPr>
              <w:spacing w:line="240" w:lineRule="auto"/>
            </w:pPr>
            <w:r w:rsidRPr="005748DE">
              <w:rPr>
                <w:rFonts w:ascii="Marlett" w:hAnsi="Marlett"/>
              </w:rPr>
              <w:t></w:t>
            </w:r>
          </w:p>
        </w:tc>
        <w:tc>
          <w:tcPr>
            <w:tcW w:w="848" w:type="dxa"/>
            <w:tcBorders>
              <w:top w:val="nil"/>
              <w:left w:val="nil"/>
              <w:bottom w:val="single" w:sz="4" w:space="0" w:color="auto"/>
              <w:right w:val="single" w:sz="4" w:space="0" w:color="auto"/>
            </w:tcBorders>
            <w:shd w:val="clear" w:color="auto" w:fill="D9D9D9" w:themeFill="background1" w:themeFillShade="D9"/>
            <w:hideMark/>
          </w:tcPr>
          <w:p w14:paraId="50E82F37" w14:textId="77777777" w:rsidR="00403B07" w:rsidRDefault="00403B07" w:rsidP="00B01272">
            <w:pPr>
              <w:spacing w:line="240" w:lineRule="auto"/>
            </w:pPr>
            <w:r w:rsidRPr="005748DE">
              <w:rPr>
                <w:rFonts w:ascii="Marlett" w:hAnsi="Marlett"/>
              </w:rPr>
              <w:t></w:t>
            </w:r>
          </w:p>
        </w:tc>
        <w:tc>
          <w:tcPr>
            <w:tcW w:w="847" w:type="dxa"/>
            <w:tcBorders>
              <w:top w:val="nil"/>
              <w:left w:val="nil"/>
              <w:bottom w:val="single" w:sz="4" w:space="0" w:color="auto"/>
              <w:right w:val="single" w:sz="4" w:space="0" w:color="auto"/>
            </w:tcBorders>
            <w:shd w:val="clear" w:color="auto" w:fill="D9D9D9" w:themeFill="background1" w:themeFillShade="D9"/>
            <w:hideMark/>
          </w:tcPr>
          <w:p w14:paraId="76683C20"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4C2630">
              <w:rPr>
                <w:rFonts w:ascii="Calibri" w:eastAsia="Times New Roman" w:hAnsi="Calibri" w:cs="Times New Roman"/>
                <w:color w:val="000000"/>
                <w:sz w:val="16"/>
                <w:szCs w:val="16"/>
              </w:rPr>
              <w:t>7</w:t>
            </w:r>
          </w:p>
        </w:tc>
      </w:tr>
      <w:tr w:rsidR="00403B07" w:rsidRPr="004C2630" w14:paraId="5064672F" w14:textId="77777777" w:rsidTr="00B01272">
        <w:trPr>
          <w:trHeight w:val="170"/>
        </w:trPr>
        <w:tc>
          <w:tcPr>
            <w:tcW w:w="416"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4372C293"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4C2630">
              <w:rPr>
                <w:rFonts w:ascii="Calibri" w:eastAsia="Times New Roman" w:hAnsi="Calibri" w:cs="Times New Roman"/>
                <w:color w:val="000000"/>
                <w:sz w:val="16"/>
                <w:szCs w:val="16"/>
              </w:rPr>
              <w:t>1</w:t>
            </w:r>
            <w:r>
              <w:rPr>
                <w:rFonts w:ascii="Calibri" w:eastAsia="Times New Roman" w:hAnsi="Calibri" w:cs="Times New Roman"/>
                <w:color w:val="000000"/>
                <w:sz w:val="16"/>
                <w:szCs w:val="16"/>
              </w:rPr>
              <w:t>7</w:t>
            </w:r>
          </w:p>
        </w:tc>
        <w:tc>
          <w:tcPr>
            <w:tcW w:w="1133" w:type="dxa"/>
            <w:tcBorders>
              <w:top w:val="nil"/>
              <w:left w:val="nil"/>
              <w:bottom w:val="single" w:sz="4" w:space="0" w:color="auto"/>
              <w:right w:val="single" w:sz="4" w:space="0" w:color="auto"/>
            </w:tcBorders>
            <w:shd w:val="clear" w:color="auto" w:fill="auto"/>
            <w:hideMark/>
          </w:tcPr>
          <w:p w14:paraId="249F606A"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4C2630">
              <w:rPr>
                <w:rFonts w:ascii="Calibri" w:eastAsia="Times New Roman" w:hAnsi="Calibri" w:cs="Times New Roman"/>
                <w:color w:val="000000"/>
                <w:sz w:val="16"/>
                <w:szCs w:val="16"/>
              </w:rPr>
              <w:t>Rural</w:t>
            </w:r>
          </w:p>
        </w:tc>
        <w:tc>
          <w:tcPr>
            <w:tcW w:w="705" w:type="dxa"/>
            <w:tcBorders>
              <w:top w:val="nil"/>
              <w:left w:val="nil"/>
              <w:bottom w:val="single" w:sz="4" w:space="0" w:color="auto"/>
              <w:right w:val="single" w:sz="4" w:space="0" w:color="auto"/>
            </w:tcBorders>
            <w:shd w:val="clear" w:color="auto" w:fill="auto"/>
            <w:hideMark/>
          </w:tcPr>
          <w:p w14:paraId="11428246" w14:textId="77777777" w:rsidR="00403B07" w:rsidRDefault="00403B07" w:rsidP="00B01272">
            <w:pPr>
              <w:spacing w:line="240" w:lineRule="auto"/>
            </w:pPr>
            <w:r w:rsidRPr="002D5CE0">
              <w:rPr>
                <w:rFonts w:ascii="Marlett" w:hAnsi="Marlett"/>
              </w:rPr>
              <w:t></w:t>
            </w:r>
          </w:p>
        </w:tc>
        <w:tc>
          <w:tcPr>
            <w:tcW w:w="706" w:type="dxa"/>
            <w:tcBorders>
              <w:top w:val="nil"/>
              <w:left w:val="nil"/>
              <w:bottom w:val="single" w:sz="4" w:space="0" w:color="auto"/>
              <w:right w:val="single" w:sz="4" w:space="0" w:color="auto"/>
            </w:tcBorders>
            <w:shd w:val="clear" w:color="auto" w:fill="auto"/>
            <w:hideMark/>
          </w:tcPr>
          <w:p w14:paraId="3F8C8102" w14:textId="77777777" w:rsidR="00403B07" w:rsidRDefault="00403B07" w:rsidP="00B01272">
            <w:pPr>
              <w:spacing w:line="240" w:lineRule="auto"/>
            </w:pPr>
            <w:r w:rsidRPr="002D5CE0">
              <w:rPr>
                <w:rFonts w:ascii="Marlett" w:hAnsi="Marlett"/>
              </w:rPr>
              <w:t></w:t>
            </w:r>
          </w:p>
        </w:tc>
        <w:tc>
          <w:tcPr>
            <w:tcW w:w="706" w:type="dxa"/>
            <w:tcBorders>
              <w:top w:val="nil"/>
              <w:left w:val="nil"/>
              <w:bottom w:val="single" w:sz="4" w:space="0" w:color="auto"/>
              <w:right w:val="single" w:sz="4" w:space="0" w:color="auto"/>
            </w:tcBorders>
            <w:shd w:val="clear" w:color="auto" w:fill="auto"/>
            <w:hideMark/>
          </w:tcPr>
          <w:p w14:paraId="0C3E11CE" w14:textId="77777777" w:rsidR="00403B07" w:rsidRDefault="00403B07" w:rsidP="00B01272">
            <w:pPr>
              <w:spacing w:line="240" w:lineRule="auto"/>
            </w:pPr>
            <w:r w:rsidRPr="003E76DC">
              <w:rPr>
                <w:rFonts w:ascii="Marlett" w:hAnsi="Marlett"/>
              </w:rPr>
              <w:t></w:t>
            </w:r>
          </w:p>
        </w:tc>
        <w:tc>
          <w:tcPr>
            <w:tcW w:w="847" w:type="dxa"/>
            <w:tcBorders>
              <w:top w:val="nil"/>
              <w:left w:val="nil"/>
              <w:bottom w:val="single" w:sz="4" w:space="0" w:color="auto"/>
              <w:right w:val="single" w:sz="4" w:space="0" w:color="auto"/>
            </w:tcBorders>
            <w:shd w:val="clear" w:color="auto" w:fill="auto"/>
            <w:hideMark/>
          </w:tcPr>
          <w:p w14:paraId="443DCAC7" w14:textId="77777777" w:rsidR="00403B07" w:rsidRDefault="00403B07" w:rsidP="00B01272">
            <w:pPr>
              <w:spacing w:line="240" w:lineRule="auto"/>
            </w:pPr>
            <w:r w:rsidRPr="005748DE">
              <w:rPr>
                <w:rFonts w:ascii="Marlett" w:hAnsi="Marlett"/>
              </w:rPr>
              <w:t></w:t>
            </w:r>
          </w:p>
        </w:tc>
        <w:tc>
          <w:tcPr>
            <w:tcW w:w="848" w:type="dxa"/>
            <w:tcBorders>
              <w:top w:val="nil"/>
              <w:left w:val="nil"/>
              <w:bottom w:val="single" w:sz="4" w:space="0" w:color="auto"/>
              <w:right w:val="single" w:sz="4" w:space="0" w:color="auto"/>
            </w:tcBorders>
            <w:shd w:val="clear" w:color="auto" w:fill="auto"/>
            <w:hideMark/>
          </w:tcPr>
          <w:p w14:paraId="1198FDF3" w14:textId="77777777" w:rsidR="00403B07" w:rsidRDefault="00403B07" w:rsidP="00B01272">
            <w:pPr>
              <w:spacing w:line="240" w:lineRule="auto"/>
            </w:pPr>
            <w:r w:rsidRPr="005748DE">
              <w:rPr>
                <w:rFonts w:ascii="Marlett" w:hAnsi="Marlett"/>
              </w:rPr>
              <w:t></w:t>
            </w:r>
          </w:p>
        </w:tc>
        <w:tc>
          <w:tcPr>
            <w:tcW w:w="847" w:type="dxa"/>
            <w:tcBorders>
              <w:top w:val="nil"/>
              <w:left w:val="nil"/>
              <w:bottom w:val="single" w:sz="4" w:space="0" w:color="auto"/>
              <w:right w:val="single" w:sz="4" w:space="0" w:color="auto"/>
            </w:tcBorders>
            <w:shd w:val="clear" w:color="auto" w:fill="auto"/>
            <w:hideMark/>
          </w:tcPr>
          <w:p w14:paraId="35531BF5"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4C2630">
              <w:rPr>
                <w:rFonts w:ascii="Calibri" w:eastAsia="Times New Roman" w:hAnsi="Calibri" w:cs="Times New Roman"/>
                <w:color w:val="000000"/>
                <w:sz w:val="16"/>
                <w:szCs w:val="16"/>
              </w:rPr>
              <w:t>6</w:t>
            </w:r>
          </w:p>
        </w:tc>
      </w:tr>
      <w:tr w:rsidR="00403B07" w:rsidRPr="004C2630" w14:paraId="1240A2C7" w14:textId="77777777" w:rsidTr="00B01272">
        <w:trPr>
          <w:trHeight w:val="170"/>
        </w:trPr>
        <w:tc>
          <w:tcPr>
            <w:tcW w:w="416"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36D76678" w14:textId="77777777" w:rsidR="00403B07" w:rsidRPr="004C2630" w:rsidRDefault="00403B07" w:rsidP="00B01272">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18</w:t>
            </w:r>
          </w:p>
        </w:tc>
        <w:tc>
          <w:tcPr>
            <w:tcW w:w="1133" w:type="dxa"/>
            <w:tcBorders>
              <w:top w:val="nil"/>
              <w:left w:val="nil"/>
              <w:bottom w:val="single" w:sz="4" w:space="0" w:color="auto"/>
              <w:right w:val="single" w:sz="4" w:space="0" w:color="auto"/>
            </w:tcBorders>
            <w:shd w:val="clear" w:color="auto" w:fill="auto"/>
            <w:hideMark/>
          </w:tcPr>
          <w:p w14:paraId="0082CEC2"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4C2630">
              <w:rPr>
                <w:rFonts w:ascii="Calibri" w:eastAsia="Times New Roman" w:hAnsi="Calibri" w:cs="Times New Roman"/>
                <w:color w:val="000000"/>
                <w:sz w:val="16"/>
                <w:szCs w:val="16"/>
              </w:rPr>
              <w:t>Urban</w:t>
            </w:r>
          </w:p>
        </w:tc>
        <w:tc>
          <w:tcPr>
            <w:tcW w:w="705" w:type="dxa"/>
            <w:tcBorders>
              <w:top w:val="nil"/>
              <w:left w:val="nil"/>
              <w:bottom w:val="single" w:sz="4" w:space="0" w:color="auto"/>
              <w:right w:val="single" w:sz="4" w:space="0" w:color="auto"/>
            </w:tcBorders>
            <w:shd w:val="clear" w:color="auto" w:fill="auto"/>
            <w:hideMark/>
          </w:tcPr>
          <w:p w14:paraId="35428EB1" w14:textId="77777777" w:rsidR="00403B07" w:rsidRDefault="00403B07" w:rsidP="00B01272">
            <w:pPr>
              <w:spacing w:line="240" w:lineRule="auto"/>
            </w:pPr>
            <w:r w:rsidRPr="002D5CE0">
              <w:rPr>
                <w:rFonts w:ascii="Marlett" w:hAnsi="Marlett"/>
              </w:rPr>
              <w:t></w:t>
            </w:r>
          </w:p>
        </w:tc>
        <w:tc>
          <w:tcPr>
            <w:tcW w:w="706" w:type="dxa"/>
            <w:tcBorders>
              <w:top w:val="nil"/>
              <w:left w:val="nil"/>
              <w:bottom w:val="single" w:sz="4" w:space="0" w:color="auto"/>
              <w:right w:val="single" w:sz="4" w:space="0" w:color="auto"/>
            </w:tcBorders>
            <w:shd w:val="clear" w:color="auto" w:fill="auto"/>
            <w:hideMark/>
          </w:tcPr>
          <w:p w14:paraId="5568E834" w14:textId="77777777" w:rsidR="00403B07" w:rsidRDefault="00403B07" w:rsidP="00B01272">
            <w:pPr>
              <w:spacing w:line="240" w:lineRule="auto"/>
            </w:pPr>
            <w:r w:rsidRPr="002D5CE0">
              <w:rPr>
                <w:rFonts w:ascii="Marlett" w:hAnsi="Marlett"/>
              </w:rPr>
              <w:t></w:t>
            </w:r>
          </w:p>
        </w:tc>
        <w:tc>
          <w:tcPr>
            <w:tcW w:w="706" w:type="dxa"/>
            <w:tcBorders>
              <w:top w:val="nil"/>
              <w:left w:val="nil"/>
              <w:bottom w:val="single" w:sz="4" w:space="0" w:color="auto"/>
              <w:right w:val="single" w:sz="4" w:space="0" w:color="auto"/>
            </w:tcBorders>
            <w:shd w:val="clear" w:color="auto" w:fill="auto"/>
            <w:hideMark/>
          </w:tcPr>
          <w:p w14:paraId="34A0F84F" w14:textId="77777777" w:rsidR="00403B07" w:rsidRDefault="00403B07" w:rsidP="00B01272">
            <w:pPr>
              <w:spacing w:line="240" w:lineRule="auto"/>
            </w:pPr>
            <w:r w:rsidRPr="003E76DC">
              <w:rPr>
                <w:rFonts w:ascii="Marlett" w:hAnsi="Marlett"/>
              </w:rPr>
              <w:t></w:t>
            </w:r>
          </w:p>
        </w:tc>
        <w:tc>
          <w:tcPr>
            <w:tcW w:w="847" w:type="dxa"/>
            <w:tcBorders>
              <w:top w:val="nil"/>
              <w:left w:val="nil"/>
              <w:bottom w:val="single" w:sz="4" w:space="0" w:color="auto"/>
              <w:right w:val="single" w:sz="4" w:space="0" w:color="auto"/>
            </w:tcBorders>
            <w:shd w:val="clear" w:color="auto" w:fill="auto"/>
            <w:hideMark/>
          </w:tcPr>
          <w:p w14:paraId="1E62AF97" w14:textId="77777777" w:rsidR="00403B07" w:rsidRDefault="00403B07" w:rsidP="00B01272">
            <w:pPr>
              <w:spacing w:line="240" w:lineRule="auto"/>
            </w:pPr>
            <w:r w:rsidRPr="005748DE">
              <w:rPr>
                <w:rFonts w:ascii="Marlett" w:hAnsi="Marlett"/>
              </w:rPr>
              <w:t></w:t>
            </w:r>
          </w:p>
        </w:tc>
        <w:tc>
          <w:tcPr>
            <w:tcW w:w="848" w:type="dxa"/>
            <w:tcBorders>
              <w:top w:val="nil"/>
              <w:left w:val="nil"/>
              <w:bottom w:val="single" w:sz="4" w:space="0" w:color="auto"/>
              <w:right w:val="single" w:sz="4" w:space="0" w:color="auto"/>
            </w:tcBorders>
            <w:shd w:val="clear" w:color="auto" w:fill="auto"/>
            <w:hideMark/>
          </w:tcPr>
          <w:p w14:paraId="4AF6F2DF" w14:textId="77777777" w:rsidR="00403B07" w:rsidRDefault="00403B07" w:rsidP="00B01272">
            <w:pPr>
              <w:spacing w:line="240" w:lineRule="auto"/>
            </w:pPr>
            <w:r w:rsidRPr="005748DE">
              <w:rPr>
                <w:rFonts w:ascii="Marlett" w:hAnsi="Marlett"/>
              </w:rPr>
              <w:t></w:t>
            </w:r>
          </w:p>
        </w:tc>
        <w:tc>
          <w:tcPr>
            <w:tcW w:w="847" w:type="dxa"/>
            <w:tcBorders>
              <w:top w:val="nil"/>
              <w:left w:val="nil"/>
              <w:bottom w:val="single" w:sz="4" w:space="0" w:color="auto"/>
              <w:right w:val="single" w:sz="4" w:space="0" w:color="auto"/>
            </w:tcBorders>
            <w:shd w:val="clear" w:color="auto" w:fill="auto"/>
            <w:hideMark/>
          </w:tcPr>
          <w:p w14:paraId="7ED025A2"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4C2630">
              <w:rPr>
                <w:rFonts w:ascii="Calibri" w:eastAsia="Times New Roman" w:hAnsi="Calibri" w:cs="Times New Roman"/>
                <w:color w:val="000000"/>
                <w:sz w:val="16"/>
                <w:szCs w:val="16"/>
              </w:rPr>
              <w:t>5</w:t>
            </w:r>
          </w:p>
        </w:tc>
      </w:tr>
      <w:tr w:rsidR="00403B07" w:rsidRPr="004C2630" w14:paraId="66A0924A" w14:textId="77777777" w:rsidTr="00B01272">
        <w:trPr>
          <w:trHeight w:val="170"/>
        </w:trPr>
        <w:tc>
          <w:tcPr>
            <w:tcW w:w="416"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54B1678F" w14:textId="77777777" w:rsidR="00403B07" w:rsidRPr="004C2630" w:rsidRDefault="00403B07" w:rsidP="00B01272">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19</w:t>
            </w:r>
          </w:p>
        </w:tc>
        <w:tc>
          <w:tcPr>
            <w:tcW w:w="1133" w:type="dxa"/>
            <w:tcBorders>
              <w:top w:val="nil"/>
              <w:left w:val="nil"/>
              <w:bottom w:val="single" w:sz="4" w:space="0" w:color="auto"/>
              <w:right w:val="single" w:sz="4" w:space="0" w:color="auto"/>
            </w:tcBorders>
            <w:shd w:val="clear" w:color="auto" w:fill="auto"/>
            <w:hideMark/>
          </w:tcPr>
          <w:p w14:paraId="34DECCCA"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4C2630">
              <w:rPr>
                <w:rFonts w:ascii="Calibri" w:eastAsia="Times New Roman" w:hAnsi="Calibri" w:cs="Times New Roman"/>
                <w:color w:val="000000"/>
                <w:sz w:val="16"/>
                <w:szCs w:val="16"/>
              </w:rPr>
              <w:t>Urban</w:t>
            </w:r>
          </w:p>
        </w:tc>
        <w:tc>
          <w:tcPr>
            <w:tcW w:w="705" w:type="dxa"/>
            <w:tcBorders>
              <w:top w:val="nil"/>
              <w:left w:val="nil"/>
              <w:bottom w:val="single" w:sz="4" w:space="0" w:color="auto"/>
              <w:right w:val="single" w:sz="4" w:space="0" w:color="auto"/>
            </w:tcBorders>
            <w:shd w:val="clear" w:color="auto" w:fill="auto"/>
            <w:hideMark/>
          </w:tcPr>
          <w:p w14:paraId="6263342D" w14:textId="77777777" w:rsidR="00403B07" w:rsidRDefault="00403B07" w:rsidP="00B01272">
            <w:pPr>
              <w:spacing w:line="240" w:lineRule="auto"/>
            </w:pPr>
            <w:r w:rsidRPr="002D5CE0">
              <w:rPr>
                <w:rFonts w:ascii="Marlett" w:hAnsi="Marlett"/>
              </w:rPr>
              <w:t></w:t>
            </w:r>
          </w:p>
        </w:tc>
        <w:tc>
          <w:tcPr>
            <w:tcW w:w="706" w:type="dxa"/>
            <w:tcBorders>
              <w:top w:val="nil"/>
              <w:left w:val="nil"/>
              <w:bottom w:val="single" w:sz="4" w:space="0" w:color="auto"/>
              <w:right w:val="single" w:sz="4" w:space="0" w:color="auto"/>
            </w:tcBorders>
            <w:shd w:val="clear" w:color="auto" w:fill="auto"/>
            <w:hideMark/>
          </w:tcPr>
          <w:p w14:paraId="12D5978A" w14:textId="77777777" w:rsidR="00403B07" w:rsidRDefault="00403B07" w:rsidP="00B01272">
            <w:pPr>
              <w:spacing w:line="240" w:lineRule="auto"/>
            </w:pPr>
            <w:r w:rsidRPr="002D5CE0">
              <w:rPr>
                <w:rFonts w:ascii="Marlett" w:hAnsi="Marlett"/>
              </w:rPr>
              <w:t></w:t>
            </w:r>
          </w:p>
        </w:tc>
        <w:tc>
          <w:tcPr>
            <w:tcW w:w="706" w:type="dxa"/>
            <w:tcBorders>
              <w:top w:val="nil"/>
              <w:left w:val="nil"/>
              <w:bottom w:val="single" w:sz="4" w:space="0" w:color="auto"/>
              <w:right w:val="single" w:sz="4" w:space="0" w:color="auto"/>
            </w:tcBorders>
            <w:shd w:val="clear" w:color="auto" w:fill="auto"/>
            <w:hideMark/>
          </w:tcPr>
          <w:p w14:paraId="27233FE8" w14:textId="77777777" w:rsidR="00403B07" w:rsidRDefault="00403B07" w:rsidP="00B01272">
            <w:pPr>
              <w:spacing w:line="240" w:lineRule="auto"/>
            </w:pPr>
            <w:r w:rsidRPr="003E76DC">
              <w:rPr>
                <w:rFonts w:ascii="Marlett" w:hAnsi="Marlett"/>
              </w:rPr>
              <w:t></w:t>
            </w:r>
          </w:p>
        </w:tc>
        <w:tc>
          <w:tcPr>
            <w:tcW w:w="847" w:type="dxa"/>
            <w:tcBorders>
              <w:top w:val="nil"/>
              <w:left w:val="nil"/>
              <w:bottom w:val="single" w:sz="4" w:space="0" w:color="auto"/>
              <w:right w:val="single" w:sz="4" w:space="0" w:color="auto"/>
            </w:tcBorders>
            <w:shd w:val="clear" w:color="auto" w:fill="auto"/>
            <w:hideMark/>
          </w:tcPr>
          <w:p w14:paraId="0E5778A8" w14:textId="77777777" w:rsidR="00403B07" w:rsidRDefault="00403B07" w:rsidP="00B01272">
            <w:pPr>
              <w:spacing w:line="240" w:lineRule="auto"/>
            </w:pPr>
            <w:r w:rsidRPr="005748DE">
              <w:rPr>
                <w:rFonts w:ascii="Marlett" w:hAnsi="Marlett"/>
              </w:rPr>
              <w:t></w:t>
            </w:r>
          </w:p>
        </w:tc>
        <w:tc>
          <w:tcPr>
            <w:tcW w:w="848" w:type="dxa"/>
            <w:tcBorders>
              <w:top w:val="nil"/>
              <w:left w:val="nil"/>
              <w:bottom w:val="single" w:sz="4" w:space="0" w:color="auto"/>
              <w:right w:val="single" w:sz="4" w:space="0" w:color="auto"/>
            </w:tcBorders>
            <w:shd w:val="clear" w:color="auto" w:fill="auto"/>
            <w:hideMark/>
          </w:tcPr>
          <w:p w14:paraId="4CBC828C" w14:textId="77777777" w:rsidR="00403B07" w:rsidRDefault="00403B07" w:rsidP="00B01272">
            <w:pPr>
              <w:spacing w:line="240" w:lineRule="auto"/>
            </w:pPr>
            <w:r w:rsidRPr="005748DE">
              <w:rPr>
                <w:rFonts w:ascii="Marlett" w:hAnsi="Marlett"/>
              </w:rPr>
              <w:t></w:t>
            </w:r>
          </w:p>
        </w:tc>
        <w:tc>
          <w:tcPr>
            <w:tcW w:w="847" w:type="dxa"/>
            <w:tcBorders>
              <w:top w:val="nil"/>
              <w:left w:val="nil"/>
              <w:bottom w:val="single" w:sz="4" w:space="0" w:color="auto"/>
              <w:right w:val="single" w:sz="4" w:space="0" w:color="auto"/>
            </w:tcBorders>
            <w:shd w:val="clear" w:color="auto" w:fill="auto"/>
            <w:hideMark/>
          </w:tcPr>
          <w:p w14:paraId="76E91391"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4C2630">
              <w:rPr>
                <w:rFonts w:ascii="Calibri" w:eastAsia="Times New Roman" w:hAnsi="Calibri" w:cs="Times New Roman"/>
                <w:color w:val="000000"/>
                <w:sz w:val="16"/>
                <w:szCs w:val="16"/>
              </w:rPr>
              <w:t>1</w:t>
            </w:r>
          </w:p>
        </w:tc>
      </w:tr>
      <w:tr w:rsidR="00403B07" w:rsidRPr="004C2630" w14:paraId="1A290AA8" w14:textId="77777777" w:rsidTr="00B01272">
        <w:trPr>
          <w:trHeight w:val="170"/>
        </w:trPr>
        <w:tc>
          <w:tcPr>
            <w:tcW w:w="416"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39192163" w14:textId="77777777" w:rsidR="00403B07" w:rsidRPr="004C2630" w:rsidRDefault="00403B07" w:rsidP="00B01272">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20</w:t>
            </w:r>
          </w:p>
        </w:tc>
        <w:tc>
          <w:tcPr>
            <w:tcW w:w="1133" w:type="dxa"/>
            <w:tcBorders>
              <w:top w:val="nil"/>
              <w:left w:val="nil"/>
              <w:bottom w:val="single" w:sz="4" w:space="0" w:color="auto"/>
              <w:right w:val="single" w:sz="4" w:space="0" w:color="auto"/>
            </w:tcBorders>
            <w:shd w:val="clear" w:color="auto" w:fill="auto"/>
            <w:hideMark/>
          </w:tcPr>
          <w:p w14:paraId="14229A26"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4C2630">
              <w:rPr>
                <w:rFonts w:ascii="Calibri" w:eastAsia="Times New Roman" w:hAnsi="Calibri" w:cs="Times New Roman"/>
                <w:color w:val="000000"/>
                <w:sz w:val="16"/>
                <w:szCs w:val="16"/>
              </w:rPr>
              <w:t>Urban</w:t>
            </w:r>
          </w:p>
        </w:tc>
        <w:tc>
          <w:tcPr>
            <w:tcW w:w="705" w:type="dxa"/>
            <w:tcBorders>
              <w:top w:val="nil"/>
              <w:left w:val="nil"/>
              <w:bottom w:val="single" w:sz="4" w:space="0" w:color="auto"/>
              <w:right w:val="single" w:sz="4" w:space="0" w:color="auto"/>
            </w:tcBorders>
            <w:shd w:val="clear" w:color="auto" w:fill="auto"/>
            <w:hideMark/>
          </w:tcPr>
          <w:p w14:paraId="0E806CB7" w14:textId="77777777" w:rsidR="00403B07" w:rsidRDefault="00403B07" w:rsidP="00B01272">
            <w:pPr>
              <w:spacing w:line="240" w:lineRule="auto"/>
            </w:pPr>
            <w:r w:rsidRPr="002D5CE0">
              <w:rPr>
                <w:rFonts w:ascii="Marlett" w:hAnsi="Marlett"/>
              </w:rPr>
              <w:t></w:t>
            </w:r>
          </w:p>
        </w:tc>
        <w:tc>
          <w:tcPr>
            <w:tcW w:w="706" w:type="dxa"/>
            <w:tcBorders>
              <w:top w:val="nil"/>
              <w:left w:val="nil"/>
              <w:bottom w:val="single" w:sz="4" w:space="0" w:color="auto"/>
              <w:right w:val="single" w:sz="4" w:space="0" w:color="auto"/>
            </w:tcBorders>
            <w:shd w:val="clear" w:color="auto" w:fill="auto"/>
            <w:hideMark/>
          </w:tcPr>
          <w:p w14:paraId="6FD751D7" w14:textId="77777777" w:rsidR="00403B07" w:rsidRDefault="00403B07" w:rsidP="00B01272">
            <w:pPr>
              <w:spacing w:line="240" w:lineRule="auto"/>
            </w:pPr>
            <w:r w:rsidRPr="002D5CE0">
              <w:rPr>
                <w:rFonts w:ascii="Marlett" w:hAnsi="Marlett"/>
              </w:rPr>
              <w:t></w:t>
            </w:r>
          </w:p>
        </w:tc>
        <w:tc>
          <w:tcPr>
            <w:tcW w:w="706" w:type="dxa"/>
            <w:tcBorders>
              <w:top w:val="nil"/>
              <w:left w:val="nil"/>
              <w:bottom w:val="single" w:sz="4" w:space="0" w:color="auto"/>
              <w:right w:val="single" w:sz="4" w:space="0" w:color="auto"/>
            </w:tcBorders>
            <w:shd w:val="clear" w:color="auto" w:fill="auto"/>
            <w:hideMark/>
          </w:tcPr>
          <w:p w14:paraId="326B8923" w14:textId="77777777" w:rsidR="00403B07" w:rsidRDefault="00403B07" w:rsidP="00B01272">
            <w:pPr>
              <w:spacing w:line="240" w:lineRule="auto"/>
            </w:pPr>
            <w:r w:rsidRPr="003E76DC">
              <w:rPr>
                <w:rFonts w:ascii="Marlett" w:hAnsi="Marlett"/>
              </w:rPr>
              <w:t></w:t>
            </w:r>
          </w:p>
        </w:tc>
        <w:tc>
          <w:tcPr>
            <w:tcW w:w="847" w:type="dxa"/>
            <w:tcBorders>
              <w:top w:val="nil"/>
              <w:left w:val="nil"/>
              <w:bottom w:val="single" w:sz="4" w:space="0" w:color="auto"/>
              <w:right w:val="single" w:sz="4" w:space="0" w:color="auto"/>
            </w:tcBorders>
            <w:shd w:val="clear" w:color="auto" w:fill="auto"/>
            <w:hideMark/>
          </w:tcPr>
          <w:p w14:paraId="6278CA12" w14:textId="77777777" w:rsidR="00403B07" w:rsidRDefault="00403B07" w:rsidP="00B01272">
            <w:pPr>
              <w:spacing w:line="240" w:lineRule="auto"/>
            </w:pPr>
            <w:r w:rsidRPr="005748DE">
              <w:rPr>
                <w:rFonts w:ascii="Marlett" w:hAnsi="Marlett"/>
              </w:rPr>
              <w:t></w:t>
            </w:r>
          </w:p>
        </w:tc>
        <w:tc>
          <w:tcPr>
            <w:tcW w:w="848" w:type="dxa"/>
            <w:tcBorders>
              <w:top w:val="nil"/>
              <w:left w:val="nil"/>
              <w:bottom w:val="single" w:sz="4" w:space="0" w:color="auto"/>
              <w:right w:val="single" w:sz="4" w:space="0" w:color="auto"/>
            </w:tcBorders>
            <w:shd w:val="clear" w:color="auto" w:fill="auto"/>
            <w:hideMark/>
          </w:tcPr>
          <w:p w14:paraId="4EED03E2" w14:textId="77777777" w:rsidR="00403B07" w:rsidRDefault="00403B07" w:rsidP="00B01272">
            <w:pPr>
              <w:spacing w:line="240" w:lineRule="auto"/>
            </w:pPr>
            <w:r w:rsidRPr="005748DE">
              <w:rPr>
                <w:rFonts w:ascii="Marlett" w:hAnsi="Marlett"/>
              </w:rPr>
              <w:t></w:t>
            </w:r>
          </w:p>
        </w:tc>
        <w:tc>
          <w:tcPr>
            <w:tcW w:w="847" w:type="dxa"/>
            <w:tcBorders>
              <w:top w:val="nil"/>
              <w:left w:val="nil"/>
              <w:bottom w:val="single" w:sz="4" w:space="0" w:color="auto"/>
              <w:right w:val="single" w:sz="4" w:space="0" w:color="auto"/>
            </w:tcBorders>
            <w:shd w:val="clear" w:color="auto" w:fill="auto"/>
            <w:hideMark/>
          </w:tcPr>
          <w:p w14:paraId="75BACBCA"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4C2630">
              <w:rPr>
                <w:rFonts w:ascii="Calibri" w:eastAsia="Times New Roman" w:hAnsi="Calibri" w:cs="Times New Roman"/>
                <w:color w:val="000000"/>
                <w:sz w:val="16"/>
                <w:szCs w:val="16"/>
              </w:rPr>
              <w:t>6</w:t>
            </w:r>
          </w:p>
        </w:tc>
      </w:tr>
      <w:tr w:rsidR="00403B07" w:rsidRPr="004C2630" w14:paraId="6ECD50DB" w14:textId="77777777" w:rsidTr="00B01272">
        <w:trPr>
          <w:trHeight w:val="170"/>
        </w:trPr>
        <w:tc>
          <w:tcPr>
            <w:tcW w:w="416"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338A95B1" w14:textId="77777777" w:rsidR="00403B07" w:rsidRPr="004C2630" w:rsidRDefault="00403B07" w:rsidP="00B01272">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21</w:t>
            </w:r>
          </w:p>
        </w:tc>
        <w:tc>
          <w:tcPr>
            <w:tcW w:w="1133" w:type="dxa"/>
            <w:tcBorders>
              <w:top w:val="nil"/>
              <w:left w:val="nil"/>
              <w:bottom w:val="single" w:sz="4" w:space="0" w:color="auto"/>
              <w:right w:val="single" w:sz="4" w:space="0" w:color="auto"/>
            </w:tcBorders>
            <w:shd w:val="clear" w:color="auto" w:fill="auto"/>
            <w:hideMark/>
          </w:tcPr>
          <w:p w14:paraId="669D65CA"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4C2630">
              <w:rPr>
                <w:rFonts w:ascii="Calibri" w:eastAsia="Times New Roman" w:hAnsi="Calibri" w:cs="Times New Roman"/>
                <w:color w:val="000000"/>
                <w:sz w:val="16"/>
                <w:szCs w:val="16"/>
              </w:rPr>
              <w:t>Urban</w:t>
            </w:r>
          </w:p>
        </w:tc>
        <w:tc>
          <w:tcPr>
            <w:tcW w:w="705" w:type="dxa"/>
            <w:tcBorders>
              <w:top w:val="nil"/>
              <w:left w:val="nil"/>
              <w:bottom w:val="single" w:sz="4" w:space="0" w:color="auto"/>
              <w:right w:val="single" w:sz="4" w:space="0" w:color="auto"/>
            </w:tcBorders>
            <w:shd w:val="clear" w:color="auto" w:fill="auto"/>
            <w:hideMark/>
          </w:tcPr>
          <w:p w14:paraId="3F56E2F4" w14:textId="77777777" w:rsidR="00403B07" w:rsidRDefault="00403B07" w:rsidP="00B01272">
            <w:pPr>
              <w:spacing w:line="240" w:lineRule="auto"/>
            </w:pPr>
            <w:r w:rsidRPr="002D5CE0">
              <w:rPr>
                <w:rFonts w:ascii="Marlett" w:hAnsi="Marlett"/>
              </w:rPr>
              <w:t></w:t>
            </w:r>
          </w:p>
        </w:tc>
        <w:tc>
          <w:tcPr>
            <w:tcW w:w="706" w:type="dxa"/>
            <w:tcBorders>
              <w:top w:val="nil"/>
              <w:left w:val="nil"/>
              <w:bottom w:val="single" w:sz="4" w:space="0" w:color="auto"/>
              <w:right w:val="single" w:sz="4" w:space="0" w:color="auto"/>
            </w:tcBorders>
            <w:shd w:val="clear" w:color="auto" w:fill="auto"/>
            <w:hideMark/>
          </w:tcPr>
          <w:p w14:paraId="034D8C0D" w14:textId="77777777" w:rsidR="00403B07" w:rsidRDefault="00403B07" w:rsidP="00B01272">
            <w:pPr>
              <w:spacing w:line="240" w:lineRule="auto"/>
            </w:pPr>
            <w:r w:rsidRPr="002D5CE0">
              <w:rPr>
                <w:rFonts w:ascii="Marlett" w:hAnsi="Marlett"/>
              </w:rPr>
              <w:t></w:t>
            </w:r>
          </w:p>
        </w:tc>
        <w:tc>
          <w:tcPr>
            <w:tcW w:w="706" w:type="dxa"/>
            <w:tcBorders>
              <w:top w:val="nil"/>
              <w:left w:val="nil"/>
              <w:bottom w:val="single" w:sz="4" w:space="0" w:color="auto"/>
              <w:right w:val="single" w:sz="4" w:space="0" w:color="auto"/>
            </w:tcBorders>
            <w:shd w:val="clear" w:color="auto" w:fill="auto"/>
            <w:hideMark/>
          </w:tcPr>
          <w:p w14:paraId="5102874B" w14:textId="77777777" w:rsidR="00403B07" w:rsidRPr="004C2630" w:rsidRDefault="00403B07" w:rsidP="00B01272">
            <w:pPr>
              <w:spacing w:after="0" w:line="240" w:lineRule="auto"/>
              <w:rPr>
                <w:rFonts w:ascii="Calibri" w:eastAsia="Times New Roman" w:hAnsi="Calibri" w:cs="Times New Roman"/>
                <w:b/>
                <w:color w:val="000000"/>
                <w:sz w:val="16"/>
                <w:szCs w:val="16"/>
              </w:rPr>
            </w:pPr>
            <w:r w:rsidRPr="004C2630">
              <w:rPr>
                <w:rFonts w:ascii="Calibri" w:eastAsia="Times New Roman" w:hAnsi="Calibri" w:cs="Times New Roman"/>
                <w:b/>
                <w:color w:val="000000"/>
                <w:sz w:val="16"/>
                <w:szCs w:val="16"/>
              </w:rPr>
              <w:t>x</w:t>
            </w:r>
          </w:p>
        </w:tc>
        <w:tc>
          <w:tcPr>
            <w:tcW w:w="847" w:type="dxa"/>
            <w:tcBorders>
              <w:top w:val="nil"/>
              <w:left w:val="nil"/>
              <w:bottom w:val="single" w:sz="4" w:space="0" w:color="auto"/>
              <w:right w:val="single" w:sz="4" w:space="0" w:color="auto"/>
            </w:tcBorders>
            <w:shd w:val="clear" w:color="auto" w:fill="auto"/>
            <w:hideMark/>
          </w:tcPr>
          <w:p w14:paraId="690D2768" w14:textId="77777777" w:rsidR="00403B07" w:rsidRDefault="00403B07" w:rsidP="00B01272">
            <w:pPr>
              <w:spacing w:line="240" w:lineRule="auto"/>
            </w:pPr>
            <w:r w:rsidRPr="005748DE">
              <w:rPr>
                <w:rFonts w:ascii="Marlett" w:hAnsi="Marlett"/>
              </w:rPr>
              <w:t></w:t>
            </w:r>
          </w:p>
        </w:tc>
        <w:tc>
          <w:tcPr>
            <w:tcW w:w="848" w:type="dxa"/>
            <w:tcBorders>
              <w:top w:val="nil"/>
              <w:left w:val="nil"/>
              <w:bottom w:val="single" w:sz="4" w:space="0" w:color="auto"/>
              <w:right w:val="single" w:sz="4" w:space="0" w:color="auto"/>
            </w:tcBorders>
            <w:shd w:val="clear" w:color="auto" w:fill="auto"/>
            <w:hideMark/>
          </w:tcPr>
          <w:p w14:paraId="38ADA57C" w14:textId="77777777" w:rsidR="00403B07" w:rsidRDefault="00403B07" w:rsidP="00B01272">
            <w:pPr>
              <w:spacing w:line="240" w:lineRule="auto"/>
            </w:pPr>
            <w:r w:rsidRPr="005748DE">
              <w:rPr>
                <w:rFonts w:ascii="Marlett" w:hAnsi="Marlett"/>
              </w:rPr>
              <w:t></w:t>
            </w:r>
          </w:p>
        </w:tc>
        <w:tc>
          <w:tcPr>
            <w:tcW w:w="847" w:type="dxa"/>
            <w:tcBorders>
              <w:top w:val="nil"/>
              <w:left w:val="nil"/>
              <w:bottom w:val="single" w:sz="4" w:space="0" w:color="auto"/>
              <w:right w:val="single" w:sz="4" w:space="0" w:color="auto"/>
            </w:tcBorders>
            <w:shd w:val="clear" w:color="auto" w:fill="auto"/>
            <w:hideMark/>
          </w:tcPr>
          <w:p w14:paraId="78B264AE"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4C2630">
              <w:rPr>
                <w:rFonts w:ascii="Calibri" w:eastAsia="Times New Roman" w:hAnsi="Calibri" w:cs="Times New Roman"/>
                <w:color w:val="000000"/>
                <w:sz w:val="16"/>
                <w:szCs w:val="16"/>
              </w:rPr>
              <w:t>4</w:t>
            </w:r>
          </w:p>
        </w:tc>
      </w:tr>
      <w:tr w:rsidR="00403B07" w:rsidRPr="004C2630" w14:paraId="19821AB1" w14:textId="77777777" w:rsidTr="00B01272">
        <w:trPr>
          <w:trHeight w:val="170"/>
        </w:trPr>
        <w:tc>
          <w:tcPr>
            <w:tcW w:w="416"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55A3E641" w14:textId="77777777" w:rsidR="00403B07" w:rsidRPr="004C2630" w:rsidRDefault="00403B07" w:rsidP="00B01272">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22</w:t>
            </w:r>
          </w:p>
        </w:tc>
        <w:tc>
          <w:tcPr>
            <w:tcW w:w="1133" w:type="dxa"/>
            <w:tcBorders>
              <w:top w:val="nil"/>
              <w:left w:val="nil"/>
              <w:bottom w:val="single" w:sz="4" w:space="0" w:color="auto"/>
              <w:right w:val="single" w:sz="4" w:space="0" w:color="auto"/>
            </w:tcBorders>
            <w:shd w:val="clear" w:color="auto" w:fill="auto"/>
            <w:hideMark/>
          </w:tcPr>
          <w:p w14:paraId="0BC53FD5"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4C2630">
              <w:rPr>
                <w:rFonts w:ascii="Calibri" w:eastAsia="Times New Roman" w:hAnsi="Calibri" w:cs="Times New Roman"/>
                <w:color w:val="000000"/>
                <w:sz w:val="16"/>
                <w:szCs w:val="16"/>
              </w:rPr>
              <w:t>Urban</w:t>
            </w:r>
          </w:p>
        </w:tc>
        <w:tc>
          <w:tcPr>
            <w:tcW w:w="705" w:type="dxa"/>
            <w:tcBorders>
              <w:top w:val="nil"/>
              <w:left w:val="nil"/>
              <w:bottom w:val="single" w:sz="4" w:space="0" w:color="auto"/>
              <w:right w:val="single" w:sz="4" w:space="0" w:color="auto"/>
            </w:tcBorders>
            <w:shd w:val="clear" w:color="auto" w:fill="auto"/>
            <w:hideMark/>
          </w:tcPr>
          <w:p w14:paraId="292E774B" w14:textId="77777777" w:rsidR="00403B07" w:rsidRPr="004C2630" w:rsidRDefault="00403B07" w:rsidP="00B01272">
            <w:pPr>
              <w:spacing w:after="0" w:line="240" w:lineRule="auto"/>
              <w:rPr>
                <w:rFonts w:ascii="Calibri" w:eastAsia="Times New Roman" w:hAnsi="Calibri" w:cs="Times New Roman"/>
                <w:b/>
                <w:color w:val="000000"/>
                <w:sz w:val="16"/>
                <w:szCs w:val="16"/>
              </w:rPr>
            </w:pPr>
            <w:r w:rsidRPr="004C2630">
              <w:rPr>
                <w:rFonts w:ascii="Calibri" w:eastAsia="Times New Roman" w:hAnsi="Calibri" w:cs="Times New Roman"/>
                <w:b/>
                <w:color w:val="000000"/>
                <w:sz w:val="16"/>
                <w:szCs w:val="16"/>
              </w:rPr>
              <w:t>x</w:t>
            </w:r>
          </w:p>
        </w:tc>
        <w:tc>
          <w:tcPr>
            <w:tcW w:w="706" w:type="dxa"/>
            <w:tcBorders>
              <w:top w:val="nil"/>
              <w:left w:val="nil"/>
              <w:bottom w:val="single" w:sz="4" w:space="0" w:color="auto"/>
              <w:right w:val="single" w:sz="4" w:space="0" w:color="auto"/>
            </w:tcBorders>
            <w:shd w:val="clear" w:color="auto" w:fill="auto"/>
            <w:hideMark/>
          </w:tcPr>
          <w:p w14:paraId="76A33276" w14:textId="77777777" w:rsidR="00403B07" w:rsidRDefault="00403B07" w:rsidP="00B01272">
            <w:pPr>
              <w:spacing w:line="240" w:lineRule="auto"/>
            </w:pPr>
            <w:r w:rsidRPr="00733C28">
              <w:rPr>
                <w:rFonts w:ascii="Marlett" w:hAnsi="Marlett"/>
              </w:rPr>
              <w:t></w:t>
            </w:r>
          </w:p>
        </w:tc>
        <w:tc>
          <w:tcPr>
            <w:tcW w:w="706" w:type="dxa"/>
            <w:tcBorders>
              <w:top w:val="nil"/>
              <w:left w:val="nil"/>
              <w:bottom w:val="single" w:sz="4" w:space="0" w:color="auto"/>
              <w:right w:val="single" w:sz="4" w:space="0" w:color="auto"/>
            </w:tcBorders>
            <w:shd w:val="clear" w:color="auto" w:fill="auto"/>
            <w:hideMark/>
          </w:tcPr>
          <w:p w14:paraId="6DD3DE3D" w14:textId="77777777" w:rsidR="00403B07" w:rsidRDefault="00403B07" w:rsidP="00B01272">
            <w:pPr>
              <w:spacing w:line="240" w:lineRule="auto"/>
            </w:pPr>
            <w:r w:rsidRPr="00733C28">
              <w:rPr>
                <w:rFonts w:ascii="Marlett" w:hAnsi="Marlett"/>
              </w:rPr>
              <w:t></w:t>
            </w:r>
          </w:p>
        </w:tc>
        <w:tc>
          <w:tcPr>
            <w:tcW w:w="847" w:type="dxa"/>
            <w:tcBorders>
              <w:top w:val="nil"/>
              <w:left w:val="nil"/>
              <w:bottom w:val="single" w:sz="4" w:space="0" w:color="auto"/>
              <w:right w:val="single" w:sz="4" w:space="0" w:color="auto"/>
            </w:tcBorders>
            <w:shd w:val="clear" w:color="auto" w:fill="auto"/>
            <w:hideMark/>
          </w:tcPr>
          <w:p w14:paraId="7401B049" w14:textId="77777777" w:rsidR="00403B07" w:rsidRDefault="00403B07" w:rsidP="00B01272">
            <w:pPr>
              <w:spacing w:line="240" w:lineRule="auto"/>
            </w:pPr>
            <w:r w:rsidRPr="00733C28">
              <w:rPr>
                <w:rFonts w:ascii="Marlett" w:hAnsi="Marlett"/>
              </w:rPr>
              <w:t></w:t>
            </w:r>
          </w:p>
        </w:tc>
        <w:tc>
          <w:tcPr>
            <w:tcW w:w="848" w:type="dxa"/>
            <w:tcBorders>
              <w:top w:val="nil"/>
              <w:left w:val="nil"/>
              <w:bottom w:val="single" w:sz="4" w:space="0" w:color="auto"/>
              <w:right w:val="single" w:sz="4" w:space="0" w:color="auto"/>
            </w:tcBorders>
            <w:shd w:val="clear" w:color="auto" w:fill="auto"/>
            <w:hideMark/>
          </w:tcPr>
          <w:p w14:paraId="7FD4D089" w14:textId="77777777" w:rsidR="00403B07" w:rsidRDefault="00403B07" w:rsidP="00B01272">
            <w:pPr>
              <w:spacing w:line="240" w:lineRule="auto"/>
            </w:pPr>
            <w:r w:rsidRPr="00733C28">
              <w:rPr>
                <w:rFonts w:ascii="Marlett" w:hAnsi="Marlett"/>
              </w:rPr>
              <w:t></w:t>
            </w:r>
          </w:p>
        </w:tc>
        <w:tc>
          <w:tcPr>
            <w:tcW w:w="847" w:type="dxa"/>
            <w:tcBorders>
              <w:top w:val="nil"/>
              <w:left w:val="nil"/>
              <w:bottom w:val="single" w:sz="4" w:space="0" w:color="auto"/>
              <w:right w:val="single" w:sz="4" w:space="0" w:color="auto"/>
            </w:tcBorders>
            <w:shd w:val="clear" w:color="auto" w:fill="auto"/>
            <w:hideMark/>
          </w:tcPr>
          <w:p w14:paraId="225106E4"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4C2630">
              <w:rPr>
                <w:rFonts w:ascii="Calibri" w:eastAsia="Times New Roman" w:hAnsi="Calibri" w:cs="Times New Roman"/>
                <w:color w:val="000000"/>
                <w:sz w:val="16"/>
                <w:szCs w:val="16"/>
              </w:rPr>
              <w:t>9</w:t>
            </w:r>
          </w:p>
        </w:tc>
      </w:tr>
      <w:tr w:rsidR="00403B07" w:rsidRPr="004C2630" w14:paraId="4CE66BEE" w14:textId="77777777" w:rsidTr="00B01272">
        <w:trPr>
          <w:trHeight w:val="170"/>
        </w:trPr>
        <w:tc>
          <w:tcPr>
            <w:tcW w:w="416"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2F46C52E"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4C2630">
              <w:rPr>
                <w:rFonts w:ascii="Calibri" w:eastAsia="Times New Roman" w:hAnsi="Calibri" w:cs="Times New Roman"/>
                <w:color w:val="000000"/>
                <w:sz w:val="16"/>
                <w:szCs w:val="16"/>
              </w:rPr>
              <w:t>2</w:t>
            </w:r>
            <w:r>
              <w:rPr>
                <w:rFonts w:ascii="Calibri" w:eastAsia="Times New Roman" w:hAnsi="Calibri" w:cs="Times New Roman"/>
                <w:color w:val="000000"/>
                <w:sz w:val="16"/>
                <w:szCs w:val="16"/>
              </w:rPr>
              <w:t>3</w:t>
            </w:r>
          </w:p>
        </w:tc>
        <w:tc>
          <w:tcPr>
            <w:tcW w:w="1133" w:type="dxa"/>
            <w:tcBorders>
              <w:top w:val="nil"/>
              <w:left w:val="nil"/>
              <w:bottom w:val="single" w:sz="4" w:space="0" w:color="auto"/>
              <w:right w:val="single" w:sz="4" w:space="0" w:color="auto"/>
            </w:tcBorders>
            <w:shd w:val="clear" w:color="auto" w:fill="auto"/>
            <w:hideMark/>
          </w:tcPr>
          <w:p w14:paraId="49073720"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4C2630">
              <w:rPr>
                <w:rFonts w:ascii="Calibri" w:eastAsia="Times New Roman" w:hAnsi="Calibri" w:cs="Times New Roman"/>
                <w:color w:val="000000"/>
                <w:sz w:val="16"/>
                <w:szCs w:val="16"/>
              </w:rPr>
              <w:t>Urban</w:t>
            </w:r>
          </w:p>
        </w:tc>
        <w:tc>
          <w:tcPr>
            <w:tcW w:w="705" w:type="dxa"/>
            <w:tcBorders>
              <w:top w:val="nil"/>
              <w:left w:val="nil"/>
              <w:bottom w:val="single" w:sz="4" w:space="0" w:color="auto"/>
              <w:right w:val="single" w:sz="4" w:space="0" w:color="auto"/>
            </w:tcBorders>
            <w:shd w:val="clear" w:color="auto" w:fill="auto"/>
            <w:hideMark/>
          </w:tcPr>
          <w:p w14:paraId="34DA900E" w14:textId="77777777" w:rsidR="00403B07" w:rsidRDefault="00403B07" w:rsidP="00B01272">
            <w:pPr>
              <w:spacing w:line="240" w:lineRule="auto"/>
            </w:pPr>
            <w:r w:rsidRPr="00914472">
              <w:rPr>
                <w:rFonts w:ascii="Marlett" w:hAnsi="Marlett"/>
              </w:rPr>
              <w:t></w:t>
            </w:r>
          </w:p>
        </w:tc>
        <w:tc>
          <w:tcPr>
            <w:tcW w:w="706" w:type="dxa"/>
            <w:tcBorders>
              <w:top w:val="nil"/>
              <w:left w:val="nil"/>
              <w:bottom w:val="single" w:sz="4" w:space="0" w:color="auto"/>
              <w:right w:val="single" w:sz="4" w:space="0" w:color="auto"/>
            </w:tcBorders>
            <w:shd w:val="clear" w:color="auto" w:fill="auto"/>
            <w:hideMark/>
          </w:tcPr>
          <w:p w14:paraId="3FD5433A" w14:textId="77777777" w:rsidR="00403B07" w:rsidRDefault="00403B07" w:rsidP="00B01272">
            <w:pPr>
              <w:spacing w:line="240" w:lineRule="auto"/>
            </w:pPr>
            <w:r w:rsidRPr="00733C28">
              <w:rPr>
                <w:rFonts w:ascii="Marlett" w:hAnsi="Marlett"/>
              </w:rPr>
              <w:t></w:t>
            </w:r>
          </w:p>
        </w:tc>
        <w:tc>
          <w:tcPr>
            <w:tcW w:w="706" w:type="dxa"/>
            <w:tcBorders>
              <w:top w:val="nil"/>
              <w:left w:val="nil"/>
              <w:bottom w:val="single" w:sz="4" w:space="0" w:color="auto"/>
              <w:right w:val="single" w:sz="4" w:space="0" w:color="auto"/>
            </w:tcBorders>
            <w:shd w:val="clear" w:color="auto" w:fill="auto"/>
            <w:hideMark/>
          </w:tcPr>
          <w:p w14:paraId="7380CF40" w14:textId="77777777" w:rsidR="00403B07" w:rsidRDefault="00403B07" w:rsidP="00B01272">
            <w:pPr>
              <w:spacing w:line="240" w:lineRule="auto"/>
            </w:pPr>
            <w:r w:rsidRPr="00733C28">
              <w:rPr>
                <w:rFonts w:ascii="Marlett" w:hAnsi="Marlett"/>
              </w:rPr>
              <w:t></w:t>
            </w:r>
          </w:p>
        </w:tc>
        <w:tc>
          <w:tcPr>
            <w:tcW w:w="847" w:type="dxa"/>
            <w:tcBorders>
              <w:top w:val="nil"/>
              <w:left w:val="nil"/>
              <w:bottom w:val="single" w:sz="4" w:space="0" w:color="auto"/>
              <w:right w:val="single" w:sz="4" w:space="0" w:color="auto"/>
            </w:tcBorders>
            <w:shd w:val="clear" w:color="auto" w:fill="auto"/>
            <w:hideMark/>
          </w:tcPr>
          <w:p w14:paraId="2F9BB985" w14:textId="77777777" w:rsidR="00403B07" w:rsidRDefault="00403B07" w:rsidP="00B01272">
            <w:pPr>
              <w:spacing w:line="240" w:lineRule="auto"/>
            </w:pPr>
            <w:r w:rsidRPr="00733C28">
              <w:rPr>
                <w:rFonts w:ascii="Marlett" w:hAnsi="Marlett"/>
              </w:rPr>
              <w:t></w:t>
            </w:r>
          </w:p>
        </w:tc>
        <w:tc>
          <w:tcPr>
            <w:tcW w:w="848" w:type="dxa"/>
            <w:tcBorders>
              <w:top w:val="nil"/>
              <w:left w:val="nil"/>
              <w:bottom w:val="single" w:sz="4" w:space="0" w:color="auto"/>
              <w:right w:val="single" w:sz="4" w:space="0" w:color="auto"/>
            </w:tcBorders>
            <w:shd w:val="clear" w:color="auto" w:fill="auto"/>
            <w:hideMark/>
          </w:tcPr>
          <w:p w14:paraId="0428F31E" w14:textId="77777777" w:rsidR="00403B07" w:rsidRDefault="00403B07" w:rsidP="00B01272">
            <w:pPr>
              <w:spacing w:line="240" w:lineRule="auto"/>
            </w:pPr>
            <w:r w:rsidRPr="00733C28">
              <w:rPr>
                <w:rFonts w:ascii="Marlett" w:hAnsi="Marlett"/>
              </w:rPr>
              <w:t></w:t>
            </w:r>
          </w:p>
        </w:tc>
        <w:tc>
          <w:tcPr>
            <w:tcW w:w="847" w:type="dxa"/>
            <w:tcBorders>
              <w:top w:val="nil"/>
              <w:left w:val="nil"/>
              <w:bottom w:val="single" w:sz="4" w:space="0" w:color="auto"/>
              <w:right w:val="single" w:sz="4" w:space="0" w:color="auto"/>
            </w:tcBorders>
            <w:shd w:val="clear" w:color="auto" w:fill="auto"/>
            <w:hideMark/>
          </w:tcPr>
          <w:p w14:paraId="32038A89"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4C2630">
              <w:rPr>
                <w:rFonts w:ascii="Calibri" w:eastAsia="Times New Roman" w:hAnsi="Calibri" w:cs="Times New Roman"/>
                <w:color w:val="000000"/>
                <w:sz w:val="16"/>
                <w:szCs w:val="16"/>
              </w:rPr>
              <w:t>6</w:t>
            </w:r>
          </w:p>
        </w:tc>
      </w:tr>
      <w:tr w:rsidR="00403B07" w:rsidRPr="004C2630" w14:paraId="6E34D1B1" w14:textId="77777777" w:rsidTr="00B01272">
        <w:trPr>
          <w:trHeight w:val="170"/>
        </w:trPr>
        <w:tc>
          <w:tcPr>
            <w:tcW w:w="416"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3EC77236"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4C2630">
              <w:rPr>
                <w:rFonts w:ascii="Calibri" w:eastAsia="Times New Roman" w:hAnsi="Calibri" w:cs="Times New Roman"/>
                <w:color w:val="000000"/>
                <w:sz w:val="16"/>
                <w:szCs w:val="16"/>
              </w:rPr>
              <w:t>2</w:t>
            </w:r>
            <w:r>
              <w:rPr>
                <w:rFonts w:ascii="Calibri" w:eastAsia="Times New Roman" w:hAnsi="Calibri" w:cs="Times New Roman"/>
                <w:color w:val="000000"/>
                <w:sz w:val="16"/>
                <w:szCs w:val="16"/>
              </w:rPr>
              <w:t>4</w:t>
            </w:r>
          </w:p>
        </w:tc>
        <w:tc>
          <w:tcPr>
            <w:tcW w:w="1133" w:type="dxa"/>
            <w:tcBorders>
              <w:top w:val="nil"/>
              <w:left w:val="nil"/>
              <w:bottom w:val="single" w:sz="4" w:space="0" w:color="auto"/>
              <w:right w:val="single" w:sz="4" w:space="0" w:color="auto"/>
            </w:tcBorders>
            <w:shd w:val="clear" w:color="auto" w:fill="auto"/>
            <w:hideMark/>
          </w:tcPr>
          <w:p w14:paraId="047558EA"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4C2630">
              <w:rPr>
                <w:rFonts w:ascii="Calibri" w:eastAsia="Times New Roman" w:hAnsi="Calibri" w:cs="Times New Roman"/>
                <w:color w:val="000000"/>
                <w:sz w:val="16"/>
                <w:szCs w:val="16"/>
              </w:rPr>
              <w:t>Urban</w:t>
            </w:r>
          </w:p>
        </w:tc>
        <w:tc>
          <w:tcPr>
            <w:tcW w:w="705" w:type="dxa"/>
            <w:tcBorders>
              <w:top w:val="nil"/>
              <w:left w:val="nil"/>
              <w:bottom w:val="single" w:sz="4" w:space="0" w:color="auto"/>
              <w:right w:val="single" w:sz="4" w:space="0" w:color="auto"/>
            </w:tcBorders>
            <w:shd w:val="clear" w:color="auto" w:fill="auto"/>
            <w:hideMark/>
          </w:tcPr>
          <w:p w14:paraId="24E0AD93" w14:textId="77777777" w:rsidR="00403B07" w:rsidRDefault="00403B07" w:rsidP="00B01272">
            <w:pPr>
              <w:spacing w:line="240" w:lineRule="auto"/>
            </w:pPr>
            <w:r w:rsidRPr="00914472">
              <w:rPr>
                <w:rFonts w:ascii="Marlett" w:hAnsi="Marlett"/>
              </w:rPr>
              <w:t></w:t>
            </w:r>
          </w:p>
        </w:tc>
        <w:tc>
          <w:tcPr>
            <w:tcW w:w="706" w:type="dxa"/>
            <w:tcBorders>
              <w:top w:val="nil"/>
              <w:left w:val="nil"/>
              <w:bottom w:val="single" w:sz="4" w:space="0" w:color="auto"/>
              <w:right w:val="single" w:sz="4" w:space="0" w:color="auto"/>
            </w:tcBorders>
            <w:shd w:val="clear" w:color="auto" w:fill="auto"/>
            <w:hideMark/>
          </w:tcPr>
          <w:p w14:paraId="5A6FAC74" w14:textId="77777777" w:rsidR="00403B07" w:rsidRDefault="00403B07" w:rsidP="00B01272">
            <w:pPr>
              <w:spacing w:line="240" w:lineRule="auto"/>
            </w:pPr>
            <w:r w:rsidRPr="00733C28">
              <w:rPr>
                <w:rFonts w:ascii="Marlett" w:hAnsi="Marlett"/>
              </w:rPr>
              <w:t></w:t>
            </w:r>
          </w:p>
        </w:tc>
        <w:tc>
          <w:tcPr>
            <w:tcW w:w="706" w:type="dxa"/>
            <w:tcBorders>
              <w:top w:val="nil"/>
              <w:left w:val="nil"/>
              <w:bottom w:val="single" w:sz="4" w:space="0" w:color="auto"/>
              <w:right w:val="single" w:sz="4" w:space="0" w:color="auto"/>
            </w:tcBorders>
            <w:shd w:val="clear" w:color="auto" w:fill="auto"/>
            <w:hideMark/>
          </w:tcPr>
          <w:p w14:paraId="0937C5FF" w14:textId="77777777" w:rsidR="00403B07" w:rsidRDefault="00403B07" w:rsidP="00B01272">
            <w:pPr>
              <w:spacing w:line="240" w:lineRule="auto"/>
            </w:pPr>
            <w:r w:rsidRPr="00733C28">
              <w:rPr>
                <w:rFonts w:ascii="Marlett" w:hAnsi="Marlett"/>
              </w:rPr>
              <w:t></w:t>
            </w:r>
          </w:p>
        </w:tc>
        <w:tc>
          <w:tcPr>
            <w:tcW w:w="847" w:type="dxa"/>
            <w:tcBorders>
              <w:top w:val="nil"/>
              <w:left w:val="nil"/>
              <w:bottom w:val="single" w:sz="4" w:space="0" w:color="auto"/>
              <w:right w:val="single" w:sz="4" w:space="0" w:color="auto"/>
            </w:tcBorders>
            <w:shd w:val="clear" w:color="auto" w:fill="auto"/>
            <w:hideMark/>
          </w:tcPr>
          <w:p w14:paraId="3BB371AC" w14:textId="77777777" w:rsidR="00403B07" w:rsidRDefault="00403B07" w:rsidP="00B01272">
            <w:pPr>
              <w:spacing w:line="240" w:lineRule="auto"/>
            </w:pPr>
            <w:r w:rsidRPr="00733C28">
              <w:rPr>
                <w:rFonts w:ascii="Marlett" w:hAnsi="Marlett"/>
              </w:rPr>
              <w:t></w:t>
            </w:r>
          </w:p>
        </w:tc>
        <w:tc>
          <w:tcPr>
            <w:tcW w:w="848" w:type="dxa"/>
            <w:tcBorders>
              <w:top w:val="nil"/>
              <w:left w:val="nil"/>
              <w:bottom w:val="single" w:sz="4" w:space="0" w:color="auto"/>
              <w:right w:val="single" w:sz="4" w:space="0" w:color="auto"/>
            </w:tcBorders>
            <w:shd w:val="clear" w:color="auto" w:fill="auto"/>
            <w:hideMark/>
          </w:tcPr>
          <w:p w14:paraId="6E1CA980" w14:textId="77777777" w:rsidR="00403B07" w:rsidRDefault="00403B07" w:rsidP="00B01272">
            <w:pPr>
              <w:spacing w:line="240" w:lineRule="auto"/>
            </w:pPr>
            <w:r w:rsidRPr="00733C28">
              <w:rPr>
                <w:rFonts w:ascii="Marlett" w:hAnsi="Marlett"/>
              </w:rPr>
              <w:t></w:t>
            </w:r>
          </w:p>
        </w:tc>
        <w:tc>
          <w:tcPr>
            <w:tcW w:w="847" w:type="dxa"/>
            <w:tcBorders>
              <w:top w:val="nil"/>
              <w:left w:val="nil"/>
              <w:bottom w:val="single" w:sz="4" w:space="0" w:color="auto"/>
              <w:right w:val="single" w:sz="4" w:space="0" w:color="auto"/>
            </w:tcBorders>
            <w:shd w:val="clear" w:color="auto" w:fill="auto"/>
            <w:hideMark/>
          </w:tcPr>
          <w:p w14:paraId="5C9F816B"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4C2630">
              <w:rPr>
                <w:rFonts w:ascii="Calibri" w:eastAsia="Times New Roman" w:hAnsi="Calibri" w:cs="Times New Roman"/>
                <w:color w:val="000000"/>
                <w:sz w:val="16"/>
                <w:szCs w:val="16"/>
              </w:rPr>
              <w:t>10</w:t>
            </w:r>
          </w:p>
        </w:tc>
      </w:tr>
      <w:tr w:rsidR="00403B07" w:rsidRPr="004C2630" w14:paraId="0A49CCA5" w14:textId="77777777" w:rsidTr="00B01272">
        <w:trPr>
          <w:trHeight w:val="170"/>
        </w:trPr>
        <w:tc>
          <w:tcPr>
            <w:tcW w:w="416"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7B5D5BBF" w14:textId="77777777" w:rsidR="00403B07" w:rsidRPr="004C2630" w:rsidRDefault="00403B07" w:rsidP="00B01272">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25</w:t>
            </w:r>
          </w:p>
        </w:tc>
        <w:tc>
          <w:tcPr>
            <w:tcW w:w="1133" w:type="dxa"/>
            <w:tcBorders>
              <w:top w:val="nil"/>
              <w:left w:val="nil"/>
              <w:bottom w:val="single" w:sz="4" w:space="0" w:color="auto"/>
              <w:right w:val="single" w:sz="4" w:space="0" w:color="auto"/>
            </w:tcBorders>
            <w:shd w:val="clear" w:color="auto" w:fill="D9D9D9" w:themeFill="background1" w:themeFillShade="D9"/>
            <w:hideMark/>
          </w:tcPr>
          <w:p w14:paraId="4795B6AE"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4C2630">
              <w:rPr>
                <w:rFonts w:ascii="Calibri" w:eastAsia="Times New Roman" w:hAnsi="Calibri" w:cs="Times New Roman"/>
                <w:color w:val="000000"/>
                <w:sz w:val="16"/>
                <w:szCs w:val="16"/>
              </w:rPr>
              <w:t>Urban</w:t>
            </w:r>
          </w:p>
        </w:tc>
        <w:tc>
          <w:tcPr>
            <w:tcW w:w="705" w:type="dxa"/>
            <w:tcBorders>
              <w:top w:val="nil"/>
              <w:left w:val="nil"/>
              <w:bottom w:val="single" w:sz="4" w:space="0" w:color="auto"/>
              <w:right w:val="single" w:sz="4" w:space="0" w:color="auto"/>
            </w:tcBorders>
            <w:shd w:val="clear" w:color="auto" w:fill="D9D9D9" w:themeFill="background1" w:themeFillShade="D9"/>
            <w:hideMark/>
          </w:tcPr>
          <w:p w14:paraId="558E1AA2" w14:textId="77777777" w:rsidR="00403B07" w:rsidRDefault="00403B07" w:rsidP="00B01272">
            <w:pPr>
              <w:spacing w:line="240" w:lineRule="auto"/>
            </w:pPr>
            <w:r w:rsidRPr="00914472">
              <w:rPr>
                <w:rFonts w:ascii="Marlett" w:hAnsi="Marlett"/>
              </w:rPr>
              <w:t></w:t>
            </w:r>
          </w:p>
        </w:tc>
        <w:tc>
          <w:tcPr>
            <w:tcW w:w="706" w:type="dxa"/>
            <w:tcBorders>
              <w:top w:val="nil"/>
              <w:left w:val="nil"/>
              <w:bottom w:val="single" w:sz="4" w:space="0" w:color="auto"/>
              <w:right w:val="single" w:sz="4" w:space="0" w:color="auto"/>
            </w:tcBorders>
            <w:shd w:val="clear" w:color="auto" w:fill="D9D9D9" w:themeFill="background1" w:themeFillShade="D9"/>
            <w:hideMark/>
          </w:tcPr>
          <w:p w14:paraId="47A0A87F" w14:textId="77777777" w:rsidR="00403B07" w:rsidRDefault="00403B07" w:rsidP="00B01272">
            <w:pPr>
              <w:spacing w:line="240" w:lineRule="auto"/>
            </w:pPr>
            <w:r w:rsidRPr="00733C28">
              <w:rPr>
                <w:rFonts w:ascii="Marlett" w:hAnsi="Marlett"/>
              </w:rPr>
              <w:t></w:t>
            </w:r>
          </w:p>
        </w:tc>
        <w:tc>
          <w:tcPr>
            <w:tcW w:w="706" w:type="dxa"/>
            <w:tcBorders>
              <w:top w:val="nil"/>
              <w:left w:val="nil"/>
              <w:bottom w:val="single" w:sz="4" w:space="0" w:color="auto"/>
              <w:right w:val="single" w:sz="4" w:space="0" w:color="auto"/>
            </w:tcBorders>
            <w:shd w:val="clear" w:color="auto" w:fill="D9D9D9" w:themeFill="background1" w:themeFillShade="D9"/>
            <w:hideMark/>
          </w:tcPr>
          <w:p w14:paraId="796CDC56" w14:textId="77777777" w:rsidR="00403B07" w:rsidRDefault="00403B07" w:rsidP="00B01272">
            <w:pPr>
              <w:spacing w:line="240" w:lineRule="auto"/>
            </w:pPr>
            <w:r w:rsidRPr="00733C28">
              <w:rPr>
                <w:rFonts w:ascii="Marlett" w:hAnsi="Marlett"/>
              </w:rPr>
              <w:t></w:t>
            </w:r>
          </w:p>
        </w:tc>
        <w:tc>
          <w:tcPr>
            <w:tcW w:w="847" w:type="dxa"/>
            <w:tcBorders>
              <w:top w:val="nil"/>
              <w:left w:val="nil"/>
              <w:bottom w:val="single" w:sz="4" w:space="0" w:color="auto"/>
              <w:right w:val="single" w:sz="4" w:space="0" w:color="auto"/>
            </w:tcBorders>
            <w:shd w:val="clear" w:color="auto" w:fill="D9D9D9" w:themeFill="background1" w:themeFillShade="D9"/>
            <w:hideMark/>
          </w:tcPr>
          <w:p w14:paraId="604DC507" w14:textId="77777777" w:rsidR="00403B07" w:rsidRDefault="00403B07" w:rsidP="00B01272">
            <w:pPr>
              <w:spacing w:line="240" w:lineRule="auto"/>
            </w:pPr>
            <w:r w:rsidRPr="00733C28">
              <w:rPr>
                <w:rFonts w:ascii="Marlett" w:hAnsi="Marlett"/>
              </w:rPr>
              <w:t></w:t>
            </w:r>
          </w:p>
        </w:tc>
        <w:tc>
          <w:tcPr>
            <w:tcW w:w="848" w:type="dxa"/>
            <w:tcBorders>
              <w:top w:val="nil"/>
              <w:left w:val="nil"/>
              <w:bottom w:val="single" w:sz="4" w:space="0" w:color="auto"/>
              <w:right w:val="single" w:sz="4" w:space="0" w:color="auto"/>
            </w:tcBorders>
            <w:shd w:val="clear" w:color="auto" w:fill="D9D9D9" w:themeFill="background1" w:themeFillShade="D9"/>
            <w:hideMark/>
          </w:tcPr>
          <w:p w14:paraId="228C8C10" w14:textId="77777777" w:rsidR="00403B07" w:rsidRDefault="00403B07" w:rsidP="00B01272">
            <w:pPr>
              <w:spacing w:line="240" w:lineRule="auto"/>
            </w:pPr>
            <w:r w:rsidRPr="00733C28">
              <w:rPr>
                <w:rFonts w:ascii="Marlett" w:hAnsi="Marlett"/>
              </w:rPr>
              <w:t></w:t>
            </w:r>
          </w:p>
        </w:tc>
        <w:tc>
          <w:tcPr>
            <w:tcW w:w="847" w:type="dxa"/>
            <w:tcBorders>
              <w:top w:val="nil"/>
              <w:left w:val="nil"/>
              <w:bottom w:val="single" w:sz="4" w:space="0" w:color="auto"/>
              <w:right w:val="single" w:sz="4" w:space="0" w:color="auto"/>
            </w:tcBorders>
            <w:shd w:val="clear" w:color="auto" w:fill="D9D9D9" w:themeFill="background1" w:themeFillShade="D9"/>
            <w:hideMark/>
          </w:tcPr>
          <w:p w14:paraId="04E61895"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4C2630">
              <w:rPr>
                <w:rFonts w:ascii="Calibri" w:eastAsia="Times New Roman" w:hAnsi="Calibri" w:cs="Times New Roman"/>
                <w:color w:val="000000"/>
                <w:sz w:val="16"/>
                <w:szCs w:val="16"/>
              </w:rPr>
              <w:t>3</w:t>
            </w:r>
          </w:p>
        </w:tc>
      </w:tr>
      <w:tr w:rsidR="00403B07" w:rsidRPr="004C2630" w14:paraId="5032E615" w14:textId="77777777" w:rsidTr="00B01272">
        <w:trPr>
          <w:trHeight w:val="170"/>
        </w:trPr>
        <w:tc>
          <w:tcPr>
            <w:tcW w:w="416"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4C3C987A" w14:textId="77777777" w:rsidR="00403B07" w:rsidRPr="004C2630" w:rsidRDefault="00403B07" w:rsidP="00B01272">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26</w:t>
            </w:r>
          </w:p>
        </w:tc>
        <w:tc>
          <w:tcPr>
            <w:tcW w:w="1133" w:type="dxa"/>
            <w:tcBorders>
              <w:top w:val="nil"/>
              <w:left w:val="nil"/>
              <w:bottom w:val="single" w:sz="4" w:space="0" w:color="auto"/>
              <w:right w:val="single" w:sz="4" w:space="0" w:color="auto"/>
            </w:tcBorders>
            <w:shd w:val="clear" w:color="auto" w:fill="D9D9D9" w:themeFill="background1" w:themeFillShade="D9"/>
            <w:hideMark/>
          </w:tcPr>
          <w:p w14:paraId="4BB2658C"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4C2630">
              <w:rPr>
                <w:rFonts w:ascii="Calibri" w:eastAsia="Times New Roman" w:hAnsi="Calibri" w:cs="Times New Roman"/>
                <w:color w:val="000000"/>
                <w:sz w:val="16"/>
                <w:szCs w:val="16"/>
              </w:rPr>
              <w:t>Urban</w:t>
            </w:r>
          </w:p>
        </w:tc>
        <w:tc>
          <w:tcPr>
            <w:tcW w:w="705" w:type="dxa"/>
            <w:tcBorders>
              <w:top w:val="nil"/>
              <w:left w:val="nil"/>
              <w:bottom w:val="single" w:sz="4" w:space="0" w:color="auto"/>
              <w:right w:val="single" w:sz="4" w:space="0" w:color="auto"/>
            </w:tcBorders>
            <w:shd w:val="clear" w:color="auto" w:fill="D9D9D9" w:themeFill="background1" w:themeFillShade="D9"/>
            <w:hideMark/>
          </w:tcPr>
          <w:p w14:paraId="15EE94E9" w14:textId="77777777" w:rsidR="00403B07" w:rsidRPr="004C2630" w:rsidRDefault="00403B07" w:rsidP="00B01272">
            <w:pPr>
              <w:spacing w:after="0" w:line="240" w:lineRule="auto"/>
              <w:rPr>
                <w:rFonts w:ascii="Calibri" w:eastAsia="Times New Roman" w:hAnsi="Calibri" w:cs="Times New Roman"/>
                <w:b/>
                <w:color w:val="000000"/>
                <w:sz w:val="16"/>
                <w:szCs w:val="16"/>
              </w:rPr>
            </w:pPr>
            <w:r w:rsidRPr="004C2630">
              <w:rPr>
                <w:rFonts w:ascii="Calibri" w:eastAsia="Times New Roman" w:hAnsi="Calibri" w:cs="Times New Roman"/>
                <w:b/>
                <w:color w:val="000000"/>
                <w:sz w:val="16"/>
                <w:szCs w:val="16"/>
              </w:rPr>
              <w:t>x</w:t>
            </w:r>
          </w:p>
        </w:tc>
        <w:tc>
          <w:tcPr>
            <w:tcW w:w="706" w:type="dxa"/>
            <w:tcBorders>
              <w:top w:val="nil"/>
              <w:left w:val="nil"/>
              <w:bottom w:val="single" w:sz="4" w:space="0" w:color="auto"/>
              <w:right w:val="single" w:sz="4" w:space="0" w:color="auto"/>
            </w:tcBorders>
            <w:shd w:val="clear" w:color="auto" w:fill="D9D9D9" w:themeFill="background1" w:themeFillShade="D9"/>
            <w:hideMark/>
          </w:tcPr>
          <w:p w14:paraId="7CD37B71" w14:textId="77777777" w:rsidR="00403B07" w:rsidRDefault="00403B07" w:rsidP="00B01272">
            <w:pPr>
              <w:spacing w:line="240" w:lineRule="auto"/>
            </w:pPr>
            <w:r w:rsidRPr="00733C28">
              <w:rPr>
                <w:rFonts w:ascii="Marlett" w:hAnsi="Marlett"/>
              </w:rPr>
              <w:t></w:t>
            </w:r>
          </w:p>
        </w:tc>
        <w:tc>
          <w:tcPr>
            <w:tcW w:w="706" w:type="dxa"/>
            <w:tcBorders>
              <w:top w:val="nil"/>
              <w:left w:val="nil"/>
              <w:bottom w:val="single" w:sz="4" w:space="0" w:color="auto"/>
              <w:right w:val="single" w:sz="4" w:space="0" w:color="auto"/>
            </w:tcBorders>
            <w:shd w:val="clear" w:color="auto" w:fill="D9D9D9" w:themeFill="background1" w:themeFillShade="D9"/>
            <w:hideMark/>
          </w:tcPr>
          <w:p w14:paraId="5833A538" w14:textId="77777777" w:rsidR="00403B07" w:rsidRDefault="00403B07" w:rsidP="00B01272">
            <w:pPr>
              <w:spacing w:line="240" w:lineRule="auto"/>
            </w:pPr>
            <w:r w:rsidRPr="00733C28">
              <w:rPr>
                <w:rFonts w:ascii="Marlett" w:hAnsi="Marlett"/>
              </w:rPr>
              <w:t></w:t>
            </w:r>
          </w:p>
        </w:tc>
        <w:tc>
          <w:tcPr>
            <w:tcW w:w="847" w:type="dxa"/>
            <w:tcBorders>
              <w:top w:val="nil"/>
              <w:left w:val="nil"/>
              <w:bottom w:val="single" w:sz="4" w:space="0" w:color="auto"/>
              <w:right w:val="single" w:sz="4" w:space="0" w:color="auto"/>
            </w:tcBorders>
            <w:shd w:val="clear" w:color="auto" w:fill="D9D9D9" w:themeFill="background1" w:themeFillShade="D9"/>
            <w:hideMark/>
          </w:tcPr>
          <w:p w14:paraId="50564942" w14:textId="77777777" w:rsidR="00403B07" w:rsidRDefault="00403B07" w:rsidP="00B01272">
            <w:pPr>
              <w:spacing w:line="240" w:lineRule="auto"/>
            </w:pPr>
            <w:r w:rsidRPr="00733C28">
              <w:rPr>
                <w:rFonts w:ascii="Marlett" w:hAnsi="Marlett"/>
              </w:rPr>
              <w:t></w:t>
            </w:r>
          </w:p>
        </w:tc>
        <w:tc>
          <w:tcPr>
            <w:tcW w:w="848" w:type="dxa"/>
            <w:tcBorders>
              <w:top w:val="nil"/>
              <w:left w:val="nil"/>
              <w:bottom w:val="single" w:sz="4" w:space="0" w:color="auto"/>
              <w:right w:val="single" w:sz="4" w:space="0" w:color="auto"/>
            </w:tcBorders>
            <w:shd w:val="clear" w:color="auto" w:fill="D9D9D9" w:themeFill="background1" w:themeFillShade="D9"/>
            <w:hideMark/>
          </w:tcPr>
          <w:p w14:paraId="194542BE" w14:textId="77777777" w:rsidR="00403B07" w:rsidRDefault="00403B07" w:rsidP="00B01272">
            <w:pPr>
              <w:spacing w:line="240" w:lineRule="auto"/>
            </w:pPr>
            <w:r w:rsidRPr="00733C28">
              <w:rPr>
                <w:rFonts w:ascii="Marlett" w:hAnsi="Marlett"/>
              </w:rPr>
              <w:t></w:t>
            </w:r>
          </w:p>
        </w:tc>
        <w:tc>
          <w:tcPr>
            <w:tcW w:w="847" w:type="dxa"/>
            <w:tcBorders>
              <w:top w:val="nil"/>
              <w:left w:val="nil"/>
              <w:bottom w:val="single" w:sz="4" w:space="0" w:color="auto"/>
              <w:right w:val="single" w:sz="4" w:space="0" w:color="auto"/>
            </w:tcBorders>
            <w:shd w:val="clear" w:color="auto" w:fill="D9D9D9" w:themeFill="background1" w:themeFillShade="D9"/>
            <w:hideMark/>
          </w:tcPr>
          <w:p w14:paraId="111E3DBB"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4C2630">
              <w:rPr>
                <w:rFonts w:ascii="Calibri" w:eastAsia="Times New Roman" w:hAnsi="Calibri" w:cs="Times New Roman"/>
                <w:color w:val="000000"/>
                <w:sz w:val="16"/>
                <w:szCs w:val="16"/>
              </w:rPr>
              <w:t>5</w:t>
            </w:r>
          </w:p>
        </w:tc>
      </w:tr>
      <w:tr w:rsidR="00403B07" w:rsidRPr="004C2630" w14:paraId="1D20A026" w14:textId="77777777" w:rsidTr="00B01272">
        <w:trPr>
          <w:trHeight w:val="170"/>
        </w:trPr>
        <w:tc>
          <w:tcPr>
            <w:tcW w:w="416"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4BB1817B" w14:textId="77777777" w:rsidR="00403B07" w:rsidRPr="004C2630" w:rsidRDefault="00403B07" w:rsidP="00B01272">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27</w:t>
            </w:r>
          </w:p>
        </w:tc>
        <w:tc>
          <w:tcPr>
            <w:tcW w:w="1133" w:type="dxa"/>
            <w:tcBorders>
              <w:top w:val="nil"/>
              <w:left w:val="nil"/>
              <w:bottom w:val="single" w:sz="4" w:space="0" w:color="auto"/>
              <w:right w:val="single" w:sz="4" w:space="0" w:color="auto"/>
            </w:tcBorders>
            <w:shd w:val="clear" w:color="auto" w:fill="D9D9D9" w:themeFill="background1" w:themeFillShade="D9"/>
            <w:hideMark/>
          </w:tcPr>
          <w:p w14:paraId="73C11AF4"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4C2630">
              <w:rPr>
                <w:rFonts w:ascii="Calibri" w:eastAsia="Times New Roman" w:hAnsi="Calibri" w:cs="Times New Roman"/>
                <w:color w:val="000000"/>
                <w:sz w:val="16"/>
                <w:szCs w:val="16"/>
              </w:rPr>
              <w:t>Urban</w:t>
            </w:r>
          </w:p>
        </w:tc>
        <w:tc>
          <w:tcPr>
            <w:tcW w:w="705" w:type="dxa"/>
            <w:tcBorders>
              <w:top w:val="nil"/>
              <w:left w:val="nil"/>
              <w:bottom w:val="single" w:sz="4" w:space="0" w:color="auto"/>
              <w:right w:val="single" w:sz="4" w:space="0" w:color="auto"/>
            </w:tcBorders>
            <w:shd w:val="clear" w:color="auto" w:fill="D9D9D9" w:themeFill="background1" w:themeFillShade="D9"/>
            <w:hideMark/>
          </w:tcPr>
          <w:p w14:paraId="52340996" w14:textId="77777777" w:rsidR="00403B07" w:rsidRPr="004C2630" w:rsidRDefault="00403B07" w:rsidP="00B01272">
            <w:pPr>
              <w:spacing w:after="0" w:line="240" w:lineRule="auto"/>
              <w:rPr>
                <w:rFonts w:ascii="Calibri" w:eastAsia="Times New Roman" w:hAnsi="Calibri" w:cs="Times New Roman"/>
                <w:b/>
                <w:color w:val="000000"/>
                <w:sz w:val="16"/>
                <w:szCs w:val="16"/>
              </w:rPr>
            </w:pPr>
            <w:r w:rsidRPr="004C2630">
              <w:rPr>
                <w:rFonts w:ascii="Calibri" w:eastAsia="Times New Roman" w:hAnsi="Calibri" w:cs="Times New Roman"/>
                <w:b/>
                <w:color w:val="000000"/>
                <w:sz w:val="16"/>
                <w:szCs w:val="16"/>
              </w:rPr>
              <w:t>x</w:t>
            </w:r>
          </w:p>
        </w:tc>
        <w:tc>
          <w:tcPr>
            <w:tcW w:w="706" w:type="dxa"/>
            <w:tcBorders>
              <w:top w:val="nil"/>
              <w:left w:val="nil"/>
              <w:bottom w:val="single" w:sz="4" w:space="0" w:color="auto"/>
              <w:right w:val="single" w:sz="4" w:space="0" w:color="auto"/>
            </w:tcBorders>
            <w:shd w:val="clear" w:color="auto" w:fill="D9D9D9" w:themeFill="background1" w:themeFillShade="D9"/>
            <w:hideMark/>
          </w:tcPr>
          <w:p w14:paraId="31609E94"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C4394E">
              <w:rPr>
                <w:rFonts w:ascii="Marlett" w:hAnsi="Marlett"/>
              </w:rPr>
              <w:t></w:t>
            </w:r>
          </w:p>
        </w:tc>
        <w:tc>
          <w:tcPr>
            <w:tcW w:w="706" w:type="dxa"/>
            <w:tcBorders>
              <w:top w:val="nil"/>
              <w:left w:val="nil"/>
              <w:bottom w:val="single" w:sz="4" w:space="0" w:color="auto"/>
              <w:right w:val="single" w:sz="4" w:space="0" w:color="auto"/>
            </w:tcBorders>
            <w:shd w:val="clear" w:color="auto" w:fill="D9D9D9" w:themeFill="background1" w:themeFillShade="D9"/>
            <w:hideMark/>
          </w:tcPr>
          <w:p w14:paraId="62B05A7F" w14:textId="77777777" w:rsidR="00403B07" w:rsidRPr="004C2630" w:rsidRDefault="00403B07" w:rsidP="00B01272">
            <w:pPr>
              <w:spacing w:after="0" w:line="240" w:lineRule="auto"/>
              <w:rPr>
                <w:rFonts w:ascii="Calibri" w:eastAsia="Times New Roman" w:hAnsi="Calibri" w:cs="Times New Roman"/>
                <w:b/>
                <w:color w:val="000000"/>
                <w:sz w:val="16"/>
                <w:szCs w:val="16"/>
              </w:rPr>
            </w:pPr>
            <w:r w:rsidRPr="004C2630">
              <w:rPr>
                <w:rFonts w:ascii="Calibri" w:eastAsia="Times New Roman" w:hAnsi="Calibri" w:cs="Times New Roman"/>
                <w:b/>
                <w:color w:val="000000"/>
                <w:sz w:val="16"/>
                <w:szCs w:val="16"/>
              </w:rPr>
              <w:t>-</w:t>
            </w:r>
          </w:p>
        </w:tc>
        <w:tc>
          <w:tcPr>
            <w:tcW w:w="847" w:type="dxa"/>
            <w:tcBorders>
              <w:top w:val="nil"/>
              <w:left w:val="nil"/>
              <w:bottom w:val="single" w:sz="4" w:space="0" w:color="auto"/>
              <w:right w:val="single" w:sz="4" w:space="0" w:color="auto"/>
            </w:tcBorders>
            <w:shd w:val="clear" w:color="auto" w:fill="D9D9D9" w:themeFill="background1" w:themeFillShade="D9"/>
            <w:hideMark/>
          </w:tcPr>
          <w:p w14:paraId="228CA5F6" w14:textId="77777777" w:rsidR="00403B07" w:rsidRDefault="00403B07" w:rsidP="00B01272">
            <w:pPr>
              <w:spacing w:line="240" w:lineRule="auto"/>
            </w:pPr>
            <w:r w:rsidRPr="00FA6445">
              <w:rPr>
                <w:rFonts w:ascii="Marlett" w:hAnsi="Marlett"/>
              </w:rPr>
              <w:t></w:t>
            </w:r>
          </w:p>
        </w:tc>
        <w:tc>
          <w:tcPr>
            <w:tcW w:w="848" w:type="dxa"/>
            <w:tcBorders>
              <w:top w:val="nil"/>
              <w:left w:val="nil"/>
              <w:bottom w:val="single" w:sz="4" w:space="0" w:color="auto"/>
              <w:right w:val="single" w:sz="4" w:space="0" w:color="auto"/>
            </w:tcBorders>
            <w:shd w:val="clear" w:color="auto" w:fill="D9D9D9" w:themeFill="background1" w:themeFillShade="D9"/>
            <w:hideMark/>
          </w:tcPr>
          <w:p w14:paraId="08C79075" w14:textId="77777777" w:rsidR="00403B07" w:rsidRDefault="00403B07" w:rsidP="00B01272">
            <w:pPr>
              <w:spacing w:line="240" w:lineRule="auto"/>
            </w:pPr>
            <w:r w:rsidRPr="00FA6445">
              <w:rPr>
                <w:rFonts w:ascii="Marlett" w:hAnsi="Marlett"/>
              </w:rPr>
              <w:t></w:t>
            </w:r>
          </w:p>
        </w:tc>
        <w:tc>
          <w:tcPr>
            <w:tcW w:w="847" w:type="dxa"/>
            <w:tcBorders>
              <w:top w:val="nil"/>
              <w:left w:val="nil"/>
              <w:bottom w:val="single" w:sz="4" w:space="0" w:color="auto"/>
              <w:right w:val="single" w:sz="4" w:space="0" w:color="auto"/>
            </w:tcBorders>
            <w:shd w:val="clear" w:color="auto" w:fill="D9D9D9" w:themeFill="background1" w:themeFillShade="D9"/>
            <w:hideMark/>
          </w:tcPr>
          <w:p w14:paraId="6AFD93EB"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4C2630">
              <w:rPr>
                <w:rFonts w:ascii="Calibri" w:eastAsia="Times New Roman" w:hAnsi="Calibri" w:cs="Times New Roman"/>
                <w:color w:val="000000"/>
                <w:sz w:val="16"/>
                <w:szCs w:val="16"/>
              </w:rPr>
              <w:t>9</w:t>
            </w:r>
          </w:p>
        </w:tc>
      </w:tr>
      <w:tr w:rsidR="00403B07" w:rsidRPr="004C2630" w14:paraId="331820A4" w14:textId="77777777" w:rsidTr="00B01272">
        <w:trPr>
          <w:trHeight w:val="170"/>
        </w:trPr>
        <w:tc>
          <w:tcPr>
            <w:tcW w:w="416"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07AC9C5D" w14:textId="77777777" w:rsidR="00403B07" w:rsidRPr="004C2630" w:rsidRDefault="00403B07" w:rsidP="00B01272">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28</w:t>
            </w:r>
          </w:p>
        </w:tc>
        <w:tc>
          <w:tcPr>
            <w:tcW w:w="1133" w:type="dxa"/>
            <w:tcBorders>
              <w:top w:val="nil"/>
              <w:left w:val="nil"/>
              <w:bottom w:val="single" w:sz="4" w:space="0" w:color="auto"/>
              <w:right w:val="single" w:sz="4" w:space="0" w:color="auto"/>
            </w:tcBorders>
            <w:shd w:val="clear" w:color="auto" w:fill="D9D9D9" w:themeFill="background1" w:themeFillShade="D9"/>
            <w:hideMark/>
          </w:tcPr>
          <w:p w14:paraId="03F74500"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4C2630">
              <w:rPr>
                <w:rFonts w:ascii="Calibri" w:eastAsia="Times New Roman" w:hAnsi="Calibri" w:cs="Times New Roman"/>
                <w:color w:val="000000"/>
                <w:sz w:val="16"/>
                <w:szCs w:val="16"/>
              </w:rPr>
              <w:t>Urban</w:t>
            </w:r>
          </w:p>
        </w:tc>
        <w:tc>
          <w:tcPr>
            <w:tcW w:w="705" w:type="dxa"/>
            <w:tcBorders>
              <w:top w:val="nil"/>
              <w:left w:val="nil"/>
              <w:bottom w:val="single" w:sz="4" w:space="0" w:color="auto"/>
              <w:right w:val="single" w:sz="4" w:space="0" w:color="auto"/>
            </w:tcBorders>
            <w:shd w:val="clear" w:color="auto" w:fill="D9D9D9" w:themeFill="background1" w:themeFillShade="D9"/>
            <w:hideMark/>
          </w:tcPr>
          <w:p w14:paraId="401EC0BB" w14:textId="77777777" w:rsidR="00403B07" w:rsidRDefault="00403B07" w:rsidP="00B01272">
            <w:pPr>
              <w:spacing w:line="240" w:lineRule="auto"/>
            </w:pPr>
            <w:r w:rsidRPr="00150BB0">
              <w:rPr>
                <w:rFonts w:ascii="Marlett" w:hAnsi="Marlett"/>
              </w:rPr>
              <w:t></w:t>
            </w:r>
          </w:p>
        </w:tc>
        <w:tc>
          <w:tcPr>
            <w:tcW w:w="706" w:type="dxa"/>
            <w:tcBorders>
              <w:top w:val="nil"/>
              <w:left w:val="nil"/>
              <w:bottom w:val="single" w:sz="4" w:space="0" w:color="auto"/>
              <w:right w:val="single" w:sz="4" w:space="0" w:color="auto"/>
            </w:tcBorders>
            <w:shd w:val="clear" w:color="auto" w:fill="D9D9D9" w:themeFill="background1" w:themeFillShade="D9"/>
            <w:hideMark/>
          </w:tcPr>
          <w:p w14:paraId="76D49475" w14:textId="77777777" w:rsidR="00403B07" w:rsidRDefault="00403B07" w:rsidP="00B01272">
            <w:pPr>
              <w:spacing w:line="240" w:lineRule="auto"/>
            </w:pPr>
            <w:r w:rsidRPr="00150BB0">
              <w:rPr>
                <w:rFonts w:ascii="Marlett" w:hAnsi="Marlett"/>
              </w:rPr>
              <w:t></w:t>
            </w:r>
          </w:p>
        </w:tc>
        <w:tc>
          <w:tcPr>
            <w:tcW w:w="706" w:type="dxa"/>
            <w:tcBorders>
              <w:top w:val="nil"/>
              <w:left w:val="nil"/>
              <w:bottom w:val="single" w:sz="4" w:space="0" w:color="auto"/>
              <w:right w:val="single" w:sz="4" w:space="0" w:color="auto"/>
            </w:tcBorders>
            <w:shd w:val="clear" w:color="auto" w:fill="D9D9D9" w:themeFill="background1" w:themeFillShade="D9"/>
            <w:hideMark/>
          </w:tcPr>
          <w:p w14:paraId="54503421" w14:textId="77777777" w:rsidR="00403B07" w:rsidRDefault="00403B07" w:rsidP="00B01272">
            <w:pPr>
              <w:spacing w:line="240" w:lineRule="auto"/>
            </w:pPr>
            <w:r w:rsidRPr="00150BB0">
              <w:rPr>
                <w:rFonts w:ascii="Marlett" w:hAnsi="Marlett"/>
              </w:rPr>
              <w:t></w:t>
            </w:r>
          </w:p>
        </w:tc>
        <w:tc>
          <w:tcPr>
            <w:tcW w:w="847" w:type="dxa"/>
            <w:tcBorders>
              <w:top w:val="nil"/>
              <w:left w:val="nil"/>
              <w:bottom w:val="single" w:sz="4" w:space="0" w:color="auto"/>
              <w:right w:val="single" w:sz="4" w:space="0" w:color="auto"/>
            </w:tcBorders>
            <w:shd w:val="clear" w:color="auto" w:fill="D9D9D9" w:themeFill="background1" w:themeFillShade="D9"/>
            <w:hideMark/>
          </w:tcPr>
          <w:p w14:paraId="23ECB7EC" w14:textId="77777777" w:rsidR="00403B07" w:rsidRDefault="00403B07" w:rsidP="00B01272">
            <w:pPr>
              <w:spacing w:line="240" w:lineRule="auto"/>
            </w:pPr>
            <w:r w:rsidRPr="00150BB0">
              <w:rPr>
                <w:rFonts w:ascii="Marlett" w:hAnsi="Marlett"/>
              </w:rPr>
              <w:t></w:t>
            </w:r>
          </w:p>
        </w:tc>
        <w:tc>
          <w:tcPr>
            <w:tcW w:w="848" w:type="dxa"/>
            <w:tcBorders>
              <w:top w:val="nil"/>
              <w:left w:val="nil"/>
              <w:bottom w:val="single" w:sz="4" w:space="0" w:color="auto"/>
              <w:right w:val="single" w:sz="4" w:space="0" w:color="auto"/>
            </w:tcBorders>
            <w:shd w:val="clear" w:color="auto" w:fill="D9D9D9" w:themeFill="background1" w:themeFillShade="D9"/>
            <w:hideMark/>
          </w:tcPr>
          <w:p w14:paraId="4B589BB8" w14:textId="77777777" w:rsidR="00403B07" w:rsidRDefault="00403B07" w:rsidP="00B01272">
            <w:pPr>
              <w:spacing w:line="240" w:lineRule="auto"/>
            </w:pPr>
            <w:r w:rsidRPr="00150BB0">
              <w:rPr>
                <w:rFonts w:ascii="Marlett" w:hAnsi="Marlett"/>
              </w:rPr>
              <w:t></w:t>
            </w:r>
          </w:p>
        </w:tc>
        <w:tc>
          <w:tcPr>
            <w:tcW w:w="847" w:type="dxa"/>
            <w:tcBorders>
              <w:top w:val="nil"/>
              <w:left w:val="nil"/>
              <w:bottom w:val="single" w:sz="4" w:space="0" w:color="auto"/>
              <w:right w:val="single" w:sz="4" w:space="0" w:color="auto"/>
            </w:tcBorders>
            <w:shd w:val="clear" w:color="auto" w:fill="D9D9D9" w:themeFill="background1" w:themeFillShade="D9"/>
            <w:hideMark/>
          </w:tcPr>
          <w:p w14:paraId="215ACA85"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4C2630">
              <w:rPr>
                <w:rFonts w:ascii="Calibri" w:eastAsia="Times New Roman" w:hAnsi="Calibri" w:cs="Times New Roman"/>
                <w:color w:val="000000"/>
                <w:sz w:val="16"/>
                <w:szCs w:val="16"/>
              </w:rPr>
              <w:t>5</w:t>
            </w:r>
          </w:p>
        </w:tc>
      </w:tr>
      <w:tr w:rsidR="00403B07" w:rsidRPr="004C2630" w14:paraId="05A050D6" w14:textId="77777777" w:rsidTr="00B01272">
        <w:trPr>
          <w:trHeight w:val="170"/>
        </w:trPr>
        <w:tc>
          <w:tcPr>
            <w:tcW w:w="416"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3FA902A1" w14:textId="77777777" w:rsidR="00403B07" w:rsidRPr="004C2630" w:rsidRDefault="00403B07" w:rsidP="00B01272">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29</w:t>
            </w:r>
          </w:p>
        </w:tc>
        <w:tc>
          <w:tcPr>
            <w:tcW w:w="1133" w:type="dxa"/>
            <w:tcBorders>
              <w:top w:val="nil"/>
              <w:left w:val="nil"/>
              <w:bottom w:val="single" w:sz="4" w:space="0" w:color="auto"/>
              <w:right w:val="single" w:sz="4" w:space="0" w:color="auto"/>
            </w:tcBorders>
            <w:shd w:val="clear" w:color="auto" w:fill="D9D9D9" w:themeFill="background1" w:themeFillShade="D9"/>
            <w:hideMark/>
          </w:tcPr>
          <w:p w14:paraId="51D6A62A"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4C2630">
              <w:rPr>
                <w:rFonts w:ascii="Calibri" w:eastAsia="Times New Roman" w:hAnsi="Calibri" w:cs="Times New Roman"/>
                <w:color w:val="000000"/>
                <w:sz w:val="16"/>
                <w:szCs w:val="16"/>
              </w:rPr>
              <w:t>Urban</w:t>
            </w:r>
          </w:p>
        </w:tc>
        <w:tc>
          <w:tcPr>
            <w:tcW w:w="705" w:type="dxa"/>
            <w:tcBorders>
              <w:top w:val="nil"/>
              <w:left w:val="nil"/>
              <w:bottom w:val="single" w:sz="4" w:space="0" w:color="auto"/>
              <w:right w:val="single" w:sz="4" w:space="0" w:color="auto"/>
            </w:tcBorders>
            <w:shd w:val="clear" w:color="auto" w:fill="D9D9D9" w:themeFill="background1" w:themeFillShade="D9"/>
            <w:hideMark/>
          </w:tcPr>
          <w:p w14:paraId="32B184A2" w14:textId="77777777" w:rsidR="00403B07" w:rsidRDefault="00403B07" w:rsidP="00B01272">
            <w:pPr>
              <w:spacing w:line="240" w:lineRule="auto"/>
            </w:pPr>
            <w:r w:rsidRPr="00044F4A">
              <w:rPr>
                <w:rFonts w:ascii="Marlett" w:hAnsi="Marlett"/>
              </w:rPr>
              <w:t></w:t>
            </w:r>
          </w:p>
        </w:tc>
        <w:tc>
          <w:tcPr>
            <w:tcW w:w="706" w:type="dxa"/>
            <w:tcBorders>
              <w:top w:val="nil"/>
              <w:left w:val="nil"/>
              <w:bottom w:val="single" w:sz="4" w:space="0" w:color="auto"/>
              <w:right w:val="single" w:sz="4" w:space="0" w:color="auto"/>
            </w:tcBorders>
            <w:shd w:val="clear" w:color="auto" w:fill="D9D9D9" w:themeFill="background1" w:themeFillShade="D9"/>
            <w:hideMark/>
          </w:tcPr>
          <w:p w14:paraId="5F39F97D" w14:textId="77777777" w:rsidR="00403B07" w:rsidRDefault="00403B07" w:rsidP="00B01272">
            <w:pPr>
              <w:spacing w:line="240" w:lineRule="auto"/>
            </w:pPr>
            <w:r w:rsidRPr="00044F4A">
              <w:rPr>
                <w:rFonts w:ascii="Marlett" w:hAnsi="Marlett"/>
              </w:rPr>
              <w:t></w:t>
            </w:r>
          </w:p>
        </w:tc>
        <w:tc>
          <w:tcPr>
            <w:tcW w:w="706" w:type="dxa"/>
            <w:tcBorders>
              <w:top w:val="nil"/>
              <w:left w:val="nil"/>
              <w:bottom w:val="single" w:sz="4" w:space="0" w:color="auto"/>
              <w:right w:val="single" w:sz="4" w:space="0" w:color="auto"/>
            </w:tcBorders>
            <w:shd w:val="clear" w:color="auto" w:fill="D9D9D9" w:themeFill="background1" w:themeFillShade="D9"/>
            <w:hideMark/>
          </w:tcPr>
          <w:p w14:paraId="4E252AEB" w14:textId="77777777" w:rsidR="00403B07" w:rsidRDefault="00403B07" w:rsidP="00B01272">
            <w:pPr>
              <w:spacing w:line="240" w:lineRule="auto"/>
            </w:pPr>
            <w:r w:rsidRPr="00044F4A">
              <w:rPr>
                <w:rFonts w:ascii="Marlett" w:hAnsi="Marlett"/>
              </w:rPr>
              <w:t></w:t>
            </w:r>
          </w:p>
        </w:tc>
        <w:tc>
          <w:tcPr>
            <w:tcW w:w="847" w:type="dxa"/>
            <w:tcBorders>
              <w:top w:val="nil"/>
              <w:left w:val="nil"/>
              <w:bottom w:val="single" w:sz="4" w:space="0" w:color="auto"/>
              <w:right w:val="single" w:sz="4" w:space="0" w:color="auto"/>
            </w:tcBorders>
            <w:shd w:val="clear" w:color="auto" w:fill="D9D9D9" w:themeFill="background1" w:themeFillShade="D9"/>
            <w:hideMark/>
          </w:tcPr>
          <w:p w14:paraId="02EC528A" w14:textId="77777777" w:rsidR="00403B07" w:rsidRDefault="00403B07" w:rsidP="00B01272">
            <w:pPr>
              <w:spacing w:line="240" w:lineRule="auto"/>
            </w:pPr>
            <w:r w:rsidRPr="00044F4A">
              <w:rPr>
                <w:rFonts w:ascii="Marlett" w:hAnsi="Marlett"/>
              </w:rPr>
              <w:t></w:t>
            </w:r>
          </w:p>
        </w:tc>
        <w:tc>
          <w:tcPr>
            <w:tcW w:w="848" w:type="dxa"/>
            <w:tcBorders>
              <w:top w:val="nil"/>
              <w:left w:val="nil"/>
              <w:bottom w:val="single" w:sz="4" w:space="0" w:color="auto"/>
              <w:right w:val="single" w:sz="4" w:space="0" w:color="auto"/>
            </w:tcBorders>
            <w:shd w:val="clear" w:color="auto" w:fill="D9D9D9" w:themeFill="background1" w:themeFillShade="D9"/>
            <w:hideMark/>
          </w:tcPr>
          <w:p w14:paraId="3F273174" w14:textId="77777777" w:rsidR="00403B07" w:rsidRDefault="00403B07" w:rsidP="00B01272">
            <w:pPr>
              <w:spacing w:line="240" w:lineRule="auto"/>
            </w:pPr>
            <w:r w:rsidRPr="00044F4A">
              <w:rPr>
                <w:rFonts w:ascii="Marlett" w:hAnsi="Marlett"/>
              </w:rPr>
              <w:t></w:t>
            </w:r>
          </w:p>
        </w:tc>
        <w:tc>
          <w:tcPr>
            <w:tcW w:w="847" w:type="dxa"/>
            <w:tcBorders>
              <w:top w:val="nil"/>
              <w:left w:val="nil"/>
              <w:bottom w:val="single" w:sz="4" w:space="0" w:color="auto"/>
              <w:right w:val="single" w:sz="4" w:space="0" w:color="auto"/>
            </w:tcBorders>
            <w:shd w:val="clear" w:color="auto" w:fill="D9D9D9" w:themeFill="background1" w:themeFillShade="D9"/>
            <w:hideMark/>
          </w:tcPr>
          <w:p w14:paraId="5DA10742"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4C2630">
              <w:rPr>
                <w:rFonts w:ascii="Calibri" w:eastAsia="Times New Roman" w:hAnsi="Calibri" w:cs="Times New Roman"/>
                <w:color w:val="000000"/>
                <w:sz w:val="16"/>
                <w:szCs w:val="16"/>
              </w:rPr>
              <w:t>2</w:t>
            </w:r>
          </w:p>
        </w:tc>
      </w:tr>
      <w:tr w:rsidR="00403B07" w:rsidRPr="004C2630" w14:paraId="5C377198" w14:textId="77777777" w:rsidTr="00B01272">
        <w:trPr>
          <w:trHeight w:val="170"/>
        </w:trPr>
        <w:tc>
          <w:tcPr>
            <w:tcW w:w="416"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7249DDC2" w14:textId="77777777" w:rsidR="00403B07" w:rsidRPr="004C2630" w:rsidRDefault="00403B07" w:rsidP="00B01272">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30</w:t>
            </w:r>
          </w:p>
        </w:tc>
        <w:tc>
          <w:tcPr>
            <w:tcW w:w="1133" w:type="dxa"/>
            <w:tcBorders>
              <w:top w:val="nil"/>
              <w:left w:val="nil"/>
              <w:bottom w:val="single" w:sz="4" w:space="0" w:color="auto"/>
              <w:right w:val="single" w:sz="4" w:space="0" w:color="auto"/>
            </w:tcBorders>
            <w:shd w:val="clear" w:color="auto" w:fill="D9D9D9" w:themeFill="background1" w:themeFillShade="D9"/>
            <w:hideMark/>
          </w:tcPr>
          <w:p w14:paraId="16CD4846"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4C2630">
              <w:rPr>
                <w:rFonts w:ascii="Calibri" w:eastAsia="Times New Roman" w:hAnsi="Calibri" w:cs="Times New Roman"/>
                <w:color w:val="000000"/>
                <w:sz w:val="16"/>
                <w:szCs w:val="16"/>
              </w:rPr>
              <w:t>Urban</w:t>
            </w:r>
          </w:p>
        </w:tc>
        <w:tc>
          <w:tcPr>
            <w:tcW w:w="705" w:type="dxa"/>
            <w:tcBorders>
              <w:top w:val="nil"/>
              <w:left w:val="nil"/>
              <w:bottom w:val="single" w:sz="4" w:space="0" w:color="auto"/>
              <w:right w:val="single" w:sz="4" w:space="0" w:color="auto"/>
            </w:tcBorders>
            <w:shd w:val="clear" w:color="auto" w:fill="D9D9D9" w:themeFill="background1" w:themeFillShade="D9"/>
            <w:hideMark/>
          </w:tcPr>
          <w:p w14:paraId="5C5A7560" w14:textId="77777777" w:rsidR="00403B07" w:rsidRDefault="00403B07" w:rsidP="00B01272">
            <w:pPr>
              <w:spacing w:line="240" w:lineRule="auto"/>
            </w:pPr>
            <w:r w:rsidRPr="00044F4A">
              <w:rPr>
                <w:rFonts w:ascii="Marlett" w:hAnsi="Marlett"/>
              </w:rPr>
              <w:t></w:t>
            </w:r>
          </w:p>
        </w:tc>
        <w:tc>
          <w:tcPr>
            <w:tcW w:w="706" w:type="dxa"/>
            <w:tcBorders>
              <w:top w:val="nil"/>
              <w:left w:val="nil"/>
              <w:bottom w:val="single" w:sz="4" w:space="0" w:color="auto"/>
              <w:right w:val="single" w:sz="4" w:space="0" w:color="auto"/>
            </w:tcBorders>
            <w:shd w:val="clear" w:color="auto" w:fill="D9D9D9" w:themeFill="background1" w:themeFillShade="D9"/>
            <w:hideMark/>
          </w:tcPr>
          <w:p w14:paraId="1555DCD0" w14:textId="77777777" w:rsidR="00403B07" w:rsidRDefault="00403B07" w:rsidP="00B01272">
            <w:pPr>
              <w:spacing w:line="240" w:lineRule="auto"/>
            </w:pPr>
            <w:r w:rsidRPr="00044F4A">
              <w:rPr>
                <w:rFonts w:ascii="Marlett" w:hAnsi="Marlett"/>
              </w:rPr>
              <w:t></w:t>
            </w:r>
          </w:p>
        </w:tc>
        <w:tc>
          <w:tcPr>
            <w:tcW w:w="706" w:type="dxa"/>
            <w:tcBorders>
              <w:top w:val="nil"/>
              <w:left w:val="nil"/>
              <w:bottom w:val="single" w:sz="4" w:space="0" w:color="auto"/>
              <w:right w:val="single" w:sz="4" w:space="0" w:color="auto"/>
            </w:tcBorders>
            <w:shd w:val="clear" w:color="auto" w:fill="D9D9D9" w:themeFill="background1" w:themeFillShade="D9"/>
            <w:hideMark/>
          </w:tcPr>
          <w:p w14:paraId="1A04D17C" w14:textId="77777777" w:rsidR="00403B07" w:rsidRDefault="00403B07" w:rsidP="00B01272">
            <w:pPr>
              <w:spacing w:line="240" w:lineRule="auto"/>
            </w:pPr>
            <w:r w:rsidRPr="00044F4A">
              <w:rPr>
                <w:rFonts w:ascii="Marlett" w:hAnsi="Marlett"/>
              </w:rPr>
              <w:t></w:t>
            </w:r>
          </w:p>
        </w:tc>
        <w:tc>
          <w:tcPr>
            <w:tcW w:w="847" w:type="dxa"/>
            <w:tcBorders>
              <w:top w:val="nil"/>
              <w:left w:val="nil"/>
              <w:bottom w:val="single" w:sz="4" w:space="0" w:color="auto"/>
              <w:right w:val="single" w:sz="4" w:space="0" w:color="auto"/>
            </w:tcBorders>
            <w:shd w:val="clear" w:color="auto" w:fill="D9D9D9" w:themeFill="background1" w:themeFillShade="D9"/>
            <w:hideMark/>
          </w:tcPr>
          <w:p w14:paraId="45E5452F" w14:textId="77777777" w:rsidR="00403B07" w:rsidRDefault="00403B07" w:rsidP="00B01272">
            <w:pPr>
              <w:spacing w:line="240" w:lineRule="auto"/>
            </w:pPr>
            <w:r w:rsidRPr="00044F4A">
              <w:rPr>
                <w:rFonts w:ascii="Marlett" w:hAnsi="Marlett"/>
              </w:rPr>
              <w:t></w:t>
            </w:r>
          </w:p>
        </w:tc>
        <w:tc>
          <w:tcPr>
            <w:tcW w:w="848" w:type="dxa"/>
            <w:tcBorders>
              <w:top w:val="nil"/>
              <w:left w:val="nil"/>
              <w:bottom w:val="single" w:sz="4" w:space="0" w:color="auto"/>
              <w:right w:val="single" w:sz="4" w:space="0" w:color="auto"/>
            </w:tcBorders>
            <w:shd w:val="clear" w:color="auto" w:fill="D9D9D9" w:themeFill="background1" w:themeFillShade="D9"/>
            <w:hideMark/>
          </w:tcPr>
          <w:p w14:paraId="079BEC54" w14:textId="77777777" w:rsidR="00403B07" w:rsidRDefault="00403B07" w:rsidP="00B01272">
            <w:pPr>
              <w:spacing w:line="240" w:lineRule="auto"/>
            </w:pPr>
            <w:r w:rsidRPr="00044F4A">
              <w:rPr>
                <w:rFonts w:ascii="Marlett" w:hAnsi="Marlett"/>
              </w:rPr>
              <w:t></w:t>
            </w:r>
          </w:p>
        </w:tc>
        <w:tc>
          <w:tcPr>
            <w:tcW w:w="847" w:type="dxa"/>
            <w:tcBorders>
              <w:top w:val="nil"/>
              <w:left w:val="nil"/>
              <w:bottom w:val="single" w:sz="4" w:space="0" w:color="auto"/>
              <w:right w:val="single" w:sz="4" w:space="0" w:color="auto"/>
            </w:tcBorders>
            <w:shd w:val="clear" w:color="auto" w:fill="D9D9D9" w:themeFill="background1" w:themeFillShade="D9"/>
            <w:hideMark/>
          </w:tcPr>
          <w:p w14:paraId="03C5F43D"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4C2630">
              <w:rPr>
                <w:rFonts w:ascii="Calibri" w:eastAsia="Times New Roman" w:hAnsi="Calibri" w:cs="Times New Roman"/>
                <w:color w:val="000000"/>
                <w:sz w:val="16"/>
                <w:szCs w:val="16"/>
              </w:rPr>
              <w:t>10</w:t>
            </w:r>
          </w:p>
        </w:tc>
      </w:tr>
      <w:tr w:rsidR="00403B07" w:rsidRPr="004C2630" w14:paraId="3A47CBBB" w14:textId="77777777" w:rsidTr="00B01272">
        <w:trPr>
          <w:trHeight w:val="170"/>
        </w:trPr>
        <w:tc>
          <w:tcPr>
            <w:tcW w:w="416"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560DBF37" w14:textId="77777777" w:rsidR="00403B07" w:rsidRPr="004C2630" w:rsidRDefault="00403B07" w:rsidP="00B01272">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31</w:t>
            </w:r>
          </w:p>
        </w:tc>
        <w:tc>
          <w:tcPr>
            <w:tcW w:w="1133" w:type="dxa"/>
            <w:tcBorders>
              <w:top w:val="nil"/>
              <w:left w:val="nil"/>
              <w:bottom w:val="single" w:sz="4" w:space="0" w:color="auto"/>
              <w:right w:val="single" w:sz="4" w:space="0" w:color="auto"/>
            </w:tcBorders>
            <w:shd w:val="clear" w:color="auto" w:fill="D9D9D9" w:themeFill="background1" w:themeFillShade="D9"/>
            <w:hideMark/>
          </w:tcPr>
          <w:p w14:paraId="686D8981"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4C2630">
              <w:rPr>
                <w:rFonts w:ascii="Calibri" w:eastAsia="Times New Roman" w:hAnsi="Calibri" w:cs="Times New Roman"/>
                <w:color w:val="000000"/>
                <w:sz w:val="16"/>
                <w:szCs w:val="16"/>
              </w:rPr>
              <w:t>Urban/rural</w:t>
            </w:r>
          </w:p>
        </w:tc>
        <w:tc>
          <w:tcPr>
            <w:tcW w:w="705" w:type="dxa"/>
            <w:tcBorders>
              <w:top w:val="nil"/>
              <w:left w:val="nil"/>
              <w:bottom w:val="single" w:sz="4" w:space="0" w:color="auto"/>
              <w:right w:val="single" w:sz="4" w:space="0" w:color="auto"/>
            </w:tcBorders>
            <w:shd w:val="clear" w:color="auto" w:fill="D9D9D9" w:themeFill="background1" w:themeFillShade="D9"/>
            <w:hideMark/>
          </w:tcPr>
          <w:p w14:paraId="4D41029D" w14:textId="77777777" w:rsidR="00403B07" w:rsidRDefault="00403B07" w:rsidP="00B01272">
            <w:pPr>
              <w:spacing w:line="240" w:lineRule="auto"/>
            </w:pPr>
            <w:r w:rsidRPr="00044F4A">
              <w:rPr>
                <w:rFonts w:ascii="Marlett" w:hAnsi="Marlett"/>
              </w:rPr>
              <w:t></w:t>
            </w:r>
          </w:p>
        </w:tc>
        <w:tc>
          <w:tcPr>
            <w:tcW w:w="706" w:type="dxa"/>
            <w:tcBorders>
              <w:top w:val="nil"/>
              <w:left w:val="nil"/>
              <w:bottom w:val="single" w:sz="4" w:space="0" w:color="auto"/>
              <w:right w:val="single" w:sz="4" w:space="0" w:color="auto"/>
            </w:tcBorders>
            <w:shd w:val="clear" w:color="auto" w:fill="D9D9D9" w:themeFill="background1" w:themeFillShade="D9"/>
            <w:hideMark/>
          </w:tcPr>
          <w:p w14:paraId="520E1853" w14:textId="77777777" w:rsidR="00403B07" w:rsidRDefault="00403B07" w:rsidP="00B01272">
            <w:pPr>
              <w:spacing w:line="240" w:lineRule="auto"/>
            </w:pPr>
            <w:r w:rsidRPr="00044F4A">
              <w:rPr>
                <w:rFonts w:ascii="Marlett" w:hAnsi="Marlett"/>
              </w:rPr>
              <w:t></w:t>
            </w:r>
          </w:p>
        </w:tc>
        <w:tc>
          <w:tcPr>
            <w:tcW w:w="706" w:type="dxa"/>
            <w:tcBorders>
              <w:top w:val="nil"/>
              <w:left w:val="nil"/>
              <w:bottom w:val="single" w:sz="4" w:space="0" w:color="auto"/>
              <w:right w:val="single" w:sz="4" w:space="0" w:color="auto"/>
            </w:tcBorders>
            <w:shd w:val="clear" w:color="auto" w:fill="D9D9D9" w:themeFill="background1" w:themeFillShade="D9"/>
            <w:hideMark/>
          </w:tcPr>
          <w:p w14:paraId="01C81973" w14:textId="77777777" w:rsidR="00403B07" w:rsidRDefault="00403B07" w:rsidP="00B01272">
            <w:pPr>
              <w:spacing w:line="240" w:lineRule="auto"/>
            </w:pPr>
            <w:r w:rsidRPr="00044F4A">
              <w:rPr>
                <w:rFonts w:ascii="Marlett" w:hAnsi="Marlett"/>
              </w:rPr>
              <w:t></w:t>
            </w:r>
          </w:p>
        </w:tc>
        <w:tc>
          <w:tcPr>
            <w:tcW w:w="847" w:type="dxa"/>
            <w:tcBorders>
              <w:top w:val="nil"/>
              <w:left w:val="nil"/>
              <w:bottom w:val="single" w:sz="4" w:space="0" w:color="auto"/>
              <w:right w:val="single" w:sz="4" w:space="0" w:color="auto"/>
            </w:tcBorders>
            <w:shd w:val="clear" w:color="auto" w:fill="D9D9D9" w:themeFill="background1" w:themeFillShade="D9"/>
            <w:hideMark/>
          </w:tcPr>
          <w:p w14:paraId="7484F677" w14:textId="77777777" w:rsidR="00403B07" w:rsidRDefault="00403B07" w:rsidP="00B01272">
            <w:pPr>
              <w:spacing w:line="240" w:lineRule="auto"/>
            </w:pPr>
            <w:r w:rsidRPr="00044F4A">
              <w:rPr>
                <w:rFonts w:ascii="Marlett" w:hAnsi="Marlett"/>
              </w:rPr>
              <w:t></w:t>
            </w:r>
          </w:p>
        </w:tc>
        <w:tc>
          <w:tcPr>
            <w:tcW w:w="848" w:type="dxa"/>
            <w:tcBorders>
              <w:top w:val="nil"/>
              <w:left w:val="nil"/>
              <w:bottom w:val="single" w:sz="4" w:space="0" w:color="auto"/>
              <w:right w:val="single" w:sz="4" w:space="0" w:color="auto"/>
            </w:tcBorders>
            <w:shd w:val="clear" w:color="auto" w:fill="D9D9D9" w:themeFill="background1" w:themeFillShade="D9"/>
            <w:hideMark/>
          </w:tcPr>
          <w:p w14:paraId="2BF01B16" w14:textId="77777777" w:rsidR="00403B07" w:rsidRDefault="00403B07" w:rsidP="00B01272">
            <w:pPr>
              <w:spacing w:line="240" w:lineRule="auto"/>
            </w:pPr>
            <w:r w:rsidRPr="00044F4A">
              <w:rPr>
                <w:rFonts w:ascii="Marlett" w:hAnsi="Marlett"/>
              </w:rPr>
              <w:t></w:t>
            </w:r>
          </w:p>
        </w:tc>
        <w:tc>
          <w:tcPr>
            <w:tcW w:w="847" w:type="dxa"/>
            <w:tcBorders>
              <w:top w:val="nil"/>
              <w:left w:val="nil"/>
              <w:bottom w:val="single" w:sz="4" w:space="0" w:color="auto"/>
              <w:right w:val="single" w:sz="4" w:space="0" w:color="auto"/>
            </w:tcBorders>
            <w:shd w:val="clear" w:color="auto" w:fill="D9D9D9" w:themeFill="background1" w:themeFillShade="D9"/>
            <w:hideMark/>
          </w:tcPr>
          <w:p w14:paraId="354BDC1B" w14:textId="77777777" w:rsidR="00403B07" w:rsidRPr="004C2630" w:rsidRDefault="00403B07" w:rsidP="00B01272">
            <w:pPr>
              <w:spacing w:after="0" w:line="240" w:lineRule="auto"/>
              <w:rPr>
                <w:rFonts w:ascii="Calibri" w:eastAsia="Times New Roman" w:hAnsi="Calibri" w:cs="Times New Roman"/>
                <w:color w:val="000000"/>
                <w:sz w:val="16"/>
                <w:szCs w:val="16"/>
              </w:rPr>
            </w:pPr>
            <w:r w:rsidRPr="004C2630">
              <w:rPr>
                <w:rFonts w:ascii="Calibri" w:eastAsia="Times New Roman" w:hAnsi="Calibri" w:cs="Times New Roman"/>
                <w:color w:val="000000"/>
                <w:sz w:val="16"/>
                <w:szCs w:val="16"/>
              </w:rPr>
              <w:t>6</w:t>
            </w:r>
          </w:p>
        </w:tc>
      </w:tr>
      <w:tr w:rsidR="00403B07" w:rsidRPr="002549B3" w14:paraId="61A4895A" w14:textId="77777777" w:rsidTr="00B01272">
        <w:trPr>
          <w:trHeight w:val="170"/>
        </w:trPr>
        <w:tc>
          <w:tcPr>
            <w:tcW w:w="416"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6F5F8931" w14:textId="77777777" w:rsidR="00403B07" w:rsidRPr="002549B3" w:rsidRDefault="00403B07" w:rsidP="00B01272">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32</w:t>
            </w:r>
          </w:p>
        </w:tc>
        <w:tc>
          <w:tcPr>
            <w:tcW w:w="1133" w:type="dxa"/>
            <w:tcBorders>
              <w:top w:val="nil"/>
              <w:left w:val="nil"/>
              <w:bottom w:val="single" w:sz="4" w:space="0" w:color="auto"/>
              <w:right w:val="single" w:sz="4" w:space="0" w:color="auto"/>
            </w:tcBorders>
            <w:shd w:val="clear" w:color="auto" w:fill="D9D9D9" w:themeFill="background1" w:themeFillShade="D9"/>
            <w:hideMark/>
          </w:tcPr>
          <w:p w14:paraId="3F1F08D9" w14:textId="77777777" w:rsidR="00403B07" w:rsidRPr="002549B3" w:rsidRDefault="00403B07" w:rsidP="00B01272">
            <w:pPr>
              <w:spacing w:after="0" w:line="240" w:lineRule="auto"/>
              <w:rPr>
                <w:rFonts w:ascii="Calibri" w:eastAsia="Times New Roman" w:hAnsi="Calibri" w:cs="Times New Roman"/>
                <w:color w:val="000000"/>
                <w:sz w:val="16"/>
                <w:szCs w:val="16"/>
              </w:rPr>
            </w:pPr>
            <w:r w:rsidRPr="002549B3">
              <w:rPr>
                <w:rFonts w:ascii="Calibri" w:eastAsia="Times New Roman" w:hAnsi="Calibri" w:cs="Times New Roman"/>
                <w:color w:val="000000"/>
                <w:sz w:val="16"/>
                <w:szCs w:val="16"/>
              </w:rPr>
              <w:t>Rural</w:t>
            </w:r>
          </w:p>
        </w:tc>
        <w:tc>
          <w:tcPr>
            <w:tcW w:w="705" w:type="dxa"/>
            <w:tcBorders>
              <w:top w:val="nil"/>
              <w:left w:val="nil"/>
              <w:bottom w:val="single" w:sz="4" w:space="0" w:color="auto"/>
              <w:right w:val="single" w:sz="4" w:space="0" w:color="auto"/>
            </w:tcBorders>
            <w:shd w:val="clear" w:color="auto" w:fill="D9D9D9" w:themeFill="background1" w:themeFillShade="D9"/>
            <w:hideMark/>
          </w:tcPr>
          <w:p w14:paraId="24A343FA" w14:textId="77777777" w:rsidR="00403B07" w:rsidRPr="002549B3" w:rsidRDefault="00403B07" w:rsidP="00B01272">
            <w:pPr>
              <w:spacing w:line="240" w:lineRule="auto"/>
            </w:pPr>
            <w:r w:rsidRPr="002549B3">
              <w:rPr>
                <w:rFonts w:ascii="Marlett" w:hAnsi="Marlett"/>
              </w:rPr>
              <w:t></w:t>
            </w:r>
          </w:p>
        </w:tc>
        <w:tc>
          <w:tcPr>
            <w:tcW w:w="706" w:type="dxa"/>
            <w:tcBorders>
              <w:top w:val="nil"/>
              <w:left w:val="nil"/>
              <w:bottom w:val="single" w:sz="4" w:space="0" w:color="auto"/>
              <w:right w:val="single" w:sz="4" w:space="0" w:color="auto"/>
            </w:tcBorders>
            <w:shd w:val="clear" w:color="auto" w:fill="D9D9D9" w:themeFill="background1" w:themeFillShade="D9"/>
            <w:hideMark/>
          </w:tcPr>
          <w:p w14:paraId="26738AD0" w14:textId="77777777" w:rsidR="00403B07" w:rsidRPr="002549B3" w:rsidRDefault="00403B07" w:rsidP="00B01272">
            <w:pPr>
              <w:spacing w:line="240" w:lineRule="auto"/>
            </w:pPr>
            <w:r w:rsidRPr="002549B3">
              <w:rPr>
                <w:rFonts w:ascii="Marlett" w:hAnsi="Marlett"/>
              </w:rPr>
              <w:t></w:t>
            </w:r>
          </w:p>
        </w:tc>
        <w:tc>
          <w:tcPr>
            <w:tcW w:w="706" w:type="dxa"/>
            <w:tcBorders>
              <w:top w:val="nil"/>
              <w:left w:val="nil"/>
              <w:bottom w:val="single" w:sz="4" w:space="0" w:color="auto"/>
              <w:right w:val="single" w:sz="4" w:space="0" w:color="auto"/>
            </w:tcBorders>
            <w:shd w:val="clear" w:color="auto" w:fill="D9D9D9" w:themeFill="background1" w:themeFillShade="D9"/>
            <w:hideMark/>
          </w:tcPr>
          <w:p w14:paraId="39A121DC" w14:textId="77777777" w:rsidR="00403B07" w:rsidRPr="002549B3" w:rsidRDefault="00403B07" w:rsidP="00B01272">
            <w:pPr>
              <w:spacing w:after="0" w:line="240" w:lineRule="auto"/>
              <w:rPr>
                <w:rFonts w:ascii="Calibri" w:eastAsia="Times New Roman" w:hAnsi="Calibri" w:cs="Times New Roman"/>
                <w:b/>
                <w:color w:val="000000"/>
                <w:sz w:val="16"/>
                <w:szCs w:val="16"/>
              </w:rPr>
            </w:pPr>
            <w:r w:rsidRPr="002549B3">
              <w:rPr>
                <w:rFonts w:ascii="Calibri" w:eastAsia="Times New Roman" w:hAnsi="Calibri" w:cs="Times New Roman"/>
                <w:b/>
                <w:color w:val="000000"/>
                <w:sz w:val="16"/>
                <w:szCs w:val="16"/>
              </w:rPr>
              <w:t>x</w:t>
            </w:r>
          </w:p>
        </w:tc>
        <w:tc>
          <w:tcPr>
            <w:tcW w:w="847" w:type="dxa"/>
            <w:tcBorders>
              <w:top w:val="nil"/>
              <w:left w:val="nil"/>
              <w:bottom w:val="single" w:sz="4" w:space="0" w:color="auto"/>
              <w:right w:val="single" w:sz="4" w:space="0" w:color="auto"/>
            </w:tcBorders>
            <w:shd w:val="clear" w:color="auto" w:fill="D9D9D9" w:themeFill="background1" w:themeFillShade="D9"/>
            <w:hideMark/>
          </w:tcPr>
          <w:p w14:paraId="759CB5A8" w14:textId="77777777" w:rsidR="00403B07" w:rsidRPr="002549B3" w:rsidRDefault="00403B07" w:rsidP="00B01272">
            <w:pPr>
              <w:spacing w:line="240" w:lineRule="auto"/>
            </w:pPr>
            <w:r w:rsidRPr="002549B3">
              <w:rPr>
                <w:rFonts w:ascii="Marlett" w:hAnsi="Marlett"/>
              </w:rPr>
              <w:t></w:t>
            </w:r>
          </w:p>
        </w:tc>
        <w:tc>
          <w:tcPr>
            <w:tcW w:w="848" w:type="dxa"/>
            <w:tcBorders>
              <w:top w:val="nil"/>
              <w:left w:val="nil"/>
              <w:bottom w:val="single" w:sz="4" w:space="0" w:color="auto"/>
              <w:right w:val="single" w:sz="4" w:space="0" w:color="auto"/>
            </w:tcBorders>
            <w:shd w:val="clear" w:color="auto" w:fill="D9D9D9" w:themeFill="background1" w:themeFillShade="D9"/>
            <w:hideMark/>
          </w:tcPr>
          <w:p w14:paraId="17F1EBD7" w14:textId="77777777" w:rsidR="00403B07" w:rsidRPr="002549B3" w:rsidRDefault="00403B07" w:rsidP="00B01272">
            <w:pPr>
              <w:spacing w:line="240" w:lineRule="auto"/>
            </w:pPr>
            <w:r w:rsidRPr="002549B3">
              <w:rPr>
                <w:rFonts w:ascii="Marlett" w:hAnsi="Marlett"/>
              </w:rPr>
              <w:t></w:t>
            </w:r>
          </w:p>
        </w:tc>
        <w:tc>
          <w:tcPr>
            <w:tcW w:w="847" w:type="dxa"/>
            <w:tcBorders>
              <w:top w:val="nil"/>
              <w:left w:val="nil"/>
              <w:bottom w:val="single" w:sz="4" w:space="0" w:color="auto"/>
              <w:right w:val="single" w:sz="4" w:space="0" w:color="auto"/>
            </w:tcBorders>
            <w:shd w:val="clear" w:color="auto" w:fill="D9D9D9" w:themeFill="background1" w:themeFillShade="D9"/>
            <w:hideMark/>
          </w:tcPr>
          <w:p w14:paraId="36F149AF" w14:textId="77777777" w:rsidR="00403B07" w:rsidRPr="002549B3" w:rsidRDefault="00403B07" w:rsidP="00B01272">
            <w:pPr>
              <w:spacing w:after="0" w:line="240" w:lineRule="auto"/>
              <w:rPr>
                <w:rFonts w:ascii="Calibri" w:eastAsia="Times New Roman" w:hAnsi="Calibri" w:cs="Times New Roman"/>
                <w:color w:val="000000"/>
                <w:sz w:val="16"/>
                <w:szCs w:val="16"/>
              </w:rPr>
            </w:pPr>
            <w:r w:rsidRPr="002549B3">
              <w:rPr>
                <w:rFonts w:ascii="Calibri" w:eastAsia="Times New Roman" w:hAnsi="Calibri" w:cs="Times New Roman"/>
                <w:color w:val="000000"/>
                <w:sz w:val="16"/>
                <w:szCs w:val="16"/>
              </w:rPr>
              <w:t>4</w:t>
            </w:r>
          </w:p>
        </w:tc>
      </w:tr>
    </w:tbl>
    <w:p w14:paraId="0036262E" w14:textId="632509C6" w:rsidR="00403B07" w:rsidRPr="00832C3C" w:rsidRDefault="00403B07" w:rsidP="00AB4D98">
      <w:pPr>
        <w:pStyle w:val="Heading1"/>
      </w:pPr>
      <w:bookmarkStart w:id="690" w:name="_Toc475974423"/>
      <w:r w:rsidRPr="00832C3C">
        <w:t>Appendix 1</w:t>
      </w:r>
      <w:r w:rsidR="00705B64">
        <w:t>6</w:t>
      </w:r>
      <w:r w:rsidRPr="00832C3C">
        <w:t xml:space="preserve"> </w:t>
      </w:r>
      <w:r>
        <w:t>School</w:t>
      </w:r>
      <w:r w:rsidR="00E14A72">
        <w:t>s</w:t>
      </w:r>
      <w:r>
        <w:t xml:space="preserve"> in the HeLP Study </w:t>
      </w:r>
      <w:r w:rsidRPr="00832C3C">
        <w:t>(a) Baseline characteristics</w:t>
      </w:r>
      <w:bookmarkEnd w:id="690"/>
      <w:r w:rsidRPr="00832C3C">
        <w:t xml:space="preserve"> </w:t>
      </w:r>
    </w:p>
    <w:p w14:paraId="38635614" w14:textId="77777777" w:rsidR="00403B07" w:rsidRPr="00AB3FCE" w:rsidRDefault="00403B07" w:rsidP="00403B07"/>
    <w:p w14:paraId="55EA0CEA" w14:textId="77777777" w:rsidR="00403B07" w:rsidRPr="00AB3FCE" w:rsidRDefault="00403B07" w:rsidP="00403B07"/>
    <w:p w14:paraId="0EFE5875" w14:textId="77777777" w:rsidR="00403B07" w:rsidRPr="00AB3FCE" w:rsidRDefault="00403B07" w:rsidP="00403B07"/>
    <w:p w14:paraId="4E94461D" w14:textId="77777777" w:rsidR="00403B07" w:rsidRPr="00AB3FCE" w:rsidRDefault="00403B07" w:rsidP="00403B07"/>
    <w:p w14:paraId="2952968F" w14:textId="77777777" w:rsidR="00403B07" w:rsidRPr="00AB3FCE" w:rsidRDefault="00403B07" w:rsidP="00403B07"/>
    <w:p w14:paraId="6066C57D" w14:textId="77777777" w:rsidR="00403B07" w:rsidRPr="00AB3FCE" w:rsidRDefault="00403B07" w:rsidP="00403B07">
      <w:r>
        <w:t xml:space="preserve">     </w:t>
      </w:r>
    </w:p>
    <w:p w14:paraId="61B32892" w14:textId="77777777" w:rsidR="00403B07" w:rsidRPr="00AB3FCE" w:rsidRDefault="00403B07" w:rsidP="00403B07">
      <w:r>
        <w:rPr>
          <w:noProof/>
          <w:lang w:eastAsia="zh-CN"/>
        </w:rPr>
        <mc:AlternateContent>
          <mc:Choice Requires="wps">
            <w:drawing>
              <wp:anchor distT="0" distB="0" distL="114300" distR="114300" simplePos="0" relativeHeight="251677696" behindDoc="0" locked="0" layoutInCell="1" allowOverlap="1" wp14:anchorId="080ADDC6" wp14:editId="23EA972D">
                <wp:simplePos x="0" y="0"/>
                <wp:positionH relativeFrom="margin">
                  <wp:posOffset>4392930</wp:posOffset>
                </wp:positionH>
                <wp:positionV relativeFrom="paragraph">
                  <wp:posOffset>6350</wp:posOffset>
                </wp:positionV>
                <wp:extent cx="1809750" cy="2933700"/>
                <wp:effectExtent l="0" t="0" r="19050" b="19050"/>
                <wp:wrapNone/>
                <wp:docPr id="693" name="Text Box 693"/>
                <wp:cNvGraphicFramePr/>
                <a:graphic xmlns:a="http://schemas.openxmlformats.org/drawingml/2006/main">
                  <a:graphicData uri="http://schemas.microsoft.com/office/word/2010/wordprocessingShape">
                    <wps:wsp>
                      <wps:cNvSpPr txBox="1"/>
                      <wps:spPr>
                        <a:xfrm>
                          <a:off x="0" y="0"/>
                          <a:ext cx="1809750" cy="2933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6ACFAD" w14:textId="77777777" w:rsidR="00DE3537" w:rsidRDefault="00DE3537" w:rsidP="00403B07">
                            <w:r>
                              <w:t xml:space="preserve">Key </w:t>
                            </w:r>
                          </w:p>
                          <w:tbl>
                            <w:tblPr>
                              <w:tblStyle w:val="TableGrid"/>
                              <w:tblW w:w="0" w:type="auto"/>
                              <w:tblLook w:val="04A0" w:firstRow="1" w:lastRow="0" w:firstColumn="1" w:lastColumn="0" w:noHBand="0" w:noVBand="1"/>
                            </w:tblPr>
                            <w:tblGrid>
                              <w:gridCol w:w="813"/>
                              <w:gridCol w:w="1729"/>
                            </w:tblGrid>
                            <w:tr w:rsidR="00DE3537" w14:paraId="120062DD" w14:textId="77777777" w:rsidTr="00B01272">
                              <w:tc>
                                <w:tcPr>
                                  <w:tcW w:w="813" w:type="dxa"/>
                                  <w:shd w:val="clear" w:color="auto" w:fill="BFBFBF" w:themeFill="background1" w:themeFillShade="BF"/>
                                </w:tcPr>
                                <w:p w14:paraId="79ADD113" w14:textId="77777777" w:rsidR="00DE3537" w:rsidRDefault="00DE3537"/>
                              </w:tc>
                              <w:tc>
                                <w:tcPr>
                                  <w:tcW w:w="1734" w:type="dxa"/>
                                </w:tcPr>
                                <w:p w14:paraId="1C3AACB5" w14:textId="77777777" w:rsidR="00DE3537" w:rsidRDefault="00DE3537">
                                  <w:r w:rsidRPr="00991B12">
                                    <w:rPr>
                                      <w:rFonts w:eastAsia="Times New Roman" w:cs="Times New Roman"/>
                                      <w:color w:val="000000"/>
                                      <w:sz w:val="18"/>
                                      <w:szCs w:val="18"/>
                                    </w:rPr>
                                    <w:t>cohort 2 schools</w:t>
                                  </w:r>
                                </w:p>
                              </w:tc>
                            </w:tr>
                            <w:tr w:rsidR="00DE3537" w14:paraId="5FCFF4E0" w14:textId="77777777" w:rsidTr="00B01272">
                              <w:tc>
                                <w:tcPr>
                                  <w:tcW w:w="813" w:type="dxa"/>
                                  <w:shd w:val="clear" w:color="auto" w:fill="FABF8F" w:themeFill="accent6" w:themeFillTint="99"/>
                                </w:tcPr>
                                <w:p w14:paraId="33DD7A39" w14:textId="77777777" w:rsidR="00DE3537" w:rsidRDefault="00DE3537"/>
                              </w:tc>
                              <w:tc>
                                <w:tcPr>
                                  <w:tcW w:w="1734" w:type="dxa"/>
                                </w:tcPr>
                                <w:p w14:paraId="52A6B08D" w14:textId="77777777" w:rsidR="00DE3537" w:rsidRDefault="00DE3537">
                                  <w:r w:rsidRPr="00991B12">
                                    <w:rPr>
                                      <w:rFonts w:eastAsia="Times New Roman" w:cs="Times New Roman"/>
                                      <w:color w:val="000000"/>
                                      <w:sz w:val="18"/>
                                      <w:szCs w:val="18"/>
                                    </w:rPr>
                                    <w:t>control schools</w:t>
                                  </w:r>
                                </w:p>
                              </w:tc>
                            </w:tr>
                            <w:tr w:rsidR="00DE3537" w14:paraId="531E5D79" w14:textId="77777777" w:rsidTr="00B01272">
                              <w:tc>
                                <w:tcPr>
                                  <w:tcW w:w="813" w:type="dxa"/>
                                </w:tcPr>
                                <w:p w14:paraId="47F2258B" w14:textId="77777777" w:rsidR="00DE3537" w:rsidRDefault="00DE3537">
                                  <w:r>
                                    <w:t>-</w:t>
                                  </w:r>
                                </w:p>
                              </w:tc>
                              <w:tc>
                                <w:tcPr>
                                  <w:tcW w:w="1734" w:type="dxa"/>
                                </w:tcPr>
                                <w:p w14:paraId="2F971C1D" w14:textId="77777777" w:rsidR="00DE3537" w:rsidRDefault="00DE3537" w:rsidP="00B01272">
                                  <w:r w:rsidRPr="00991B12">
                                    <w:rPr>
                                      <w:rFonts w:eastAsia="Times New Roman" w:cs="Times New Roman"/>
                                      <w:color w:val="000000"/>
                                      <w:sz w:val="18"/>
                                      <w:szCs w:val="18"/>
                                    </w:rPr>
                                    <w:t>Missing data</w:t>
                                  </w:r>
                                </w:p>
                              </w:tc>
                            </w:tr>
                            <w:tr w:rsidR="00DE3537" w14:paraId="510C510B" w14:textId="77777777" w:rsidTr="00B01272">
                              <w:tc>
                                <w:tcPr>
                                  <w:tcW w:w="813" w:type="dxa"/>
                                </w:tcPr>
                                <w:p w14:paraId="4EF4DC19" w14:textId="77777777" w:rsidR="00DE3537" w:rsidRDefault="00DE3537">
                                  <w:r w:rsidRPr="00B50813">
                                    <w:rPr>
                                      <w:rFonts w:ascii="Marlett" w:hAnsi="Marlett"/>
                                      <w:color w:val="FF0000"/>
                                    </w:rPr>
                                    <w:t></w:t>
                                  </w:r>
                                </w:p>
                              </w:tc>
                              <w:tc>
                                <w:tcPr>
                                  <w:tcW w:w="1734" w:type="dxa"/>
                                </w:tcPr>
                                <w:p w14:paraId="22AC8F90" w14:textId="77777777" w:rsidR="00DE3537" w:rsidRDefault="00DE3537">
                                  <w:r w:rsidRPr="00991B12">
                                    <w:rPr>
                                      <w:rFonts w:eastAsia="Times New Roman" w:cs="Times New Roman"/>
                                      <w:color w:val="000000"/>
                                      <w:sz w:val="18"/>
                                      <w:szCs w:val="18"/>
                                    </w:rPr>
                                    <w:t>Policy difference from baseline</w:t>
                                  </w:r>
                                </w:p>
                              </w:tc>
                            </w:tr>
                            <w:tr w:rsidR="00DE3537" w14:paraId="395F3DC5" w14:textId="77777777" w:rsidTr="00B01272">
                              <w:tc>
                                <w:tcPr>
                                  <w:tcW w:w="813" w:type="dxa"/>
                                </w:tcPr>
                                <w:p w14:paraId="608DE2A5" w14:textId="77777777" w:rsidR="00DE3537" w:rsidRDefault="00DE3537">
                                  <w:r>
                                    <w:t>HCQM</w:t>
                                  </w:r>
                                </w:p>
                              </w:tc>
                              <w:tc>
                                <w:tcPr>
                                  <w:tcW w:w="1734" w:type="dxa"/>
                                </w:tcPr>
                                <w:p w14:paraId="3E3CB101" w14:textId="77777777" w:rsidR="00DE3537" w:rsidRDefault="00DE3537" w:rsidP="00B01272">
                                  <w:r w:rsidRPr="00832C3C">
                                    <w:rPr>
                                      <w:rFonts w:eastAsia="Times New Roman" w:cs="Times New Roman"/>
                                      <w:sz w:val="18"/>
                                      <w:szCs w:val="18"/>
                                    </w:rPr>
                                    <w:t>Healthy Child Quality Mark</w:t>
                                  </w:r>
                                </w:p>
                              </w:tc>
                            </w:tr>
                          </w:tbl>
                          <w:p w14:paraId="15D17035" w14:textId="77777777" w:rsidR="00DE3537" w:rsidRDefault="00DE3537" w:rsidP="00403B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ADDC6" id="Text Box 693" o:spid="_x0000_s1219" type="#_x0000_t202" style="position:absolute;margin-left:345.9pt;margin-top:.5pt;width:142.5pt;height:231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" fillcolor="white [3201]" strokeweight=".5pt">
                <v:textbox>
                  <w:txbxContent>
                    <w:p w14:paraId="016ACFAD" w14:textId="77777777" w:rsidR="00DE3537" w:rsidRDefault="00DE3537" w:rsidP="00403B07">
                      <w:r>
                        <w:t xml:space="preserve">Key </w:t>
                      </w:r>
                    </w:p>
                    <w:tbl>
                      <w:tblPr>
                        <w:tblStyle w:val="TableGrid"/>
                        <w:tblW w:w="0" w:type="auto"/>
                        <w:tblLook w:val="04A0" w:firstRow="1" w:lastRow="0" w:firstColumn="1" w:lastColumn="0" w:noHBand="0" w:noVBand="1"/>
                      </w:tblPr>
                      <w:tblGrid>
                        <w:gridCol w:w="813"/>
                        <w:gridCol w:w="1729"/>
                      </w:tblGrid>
                      <w:tr w:rsidR="00DE3537" w14:paraId="120062DD" w14:textId="77777777" w:rsidTr="00B01272">
                        <w:tc>
                          <w:tcPr>
                            <w:tcW w:w="813" w:type="dxa"/>
                            <w:shd w:val="clear" w:color="auto" w:fill="BFBFBF" w:themeFill="background1" w:themeFillShade="BF"/>
                          </w:tcPr>
                          <w:p w14:paraId="79ADD113" w14:textId="77777777" w:rsidR="00DE3537" w:rsidRDefault="00DE3537"/>
                        </w:tc>
                        <w:tc>
                          <w:tcPr>
                            <w:tcW w:w="1734" w:type="dxa"/>
                          </w:tcPr>
                          <w:p w14:paraId="1C3AACB5" w14:textId="77777777" w:rsidR="00DE3537" w:rsidRDefault="00DE3537">
                            <w:r w:rsidRPr="00991B12">
                              <w:rPr>
                                <w:rFonts w:eastAsia="Times New Roman" w:cs="Times New Roman"/>
                                <w:color w:val="000000"/>
                                <w:sz w:val="18"/>
                                <w:szCs w:val="18"/>
                              </w:rPr>
                              <w:t>cohort 2 schools</w:t>
                            </w:r>
                          </w:p>
                        </w:tc>
                      </w:tr>
                      <w:tr w:rsidR="00DE3537" w14:paraId="5FCFF4E0" w14:textId="77777777" w:rsidTr="00B01272">
                        <w:tc>
                          <w:tcPr>
                            <w:tcW w:w="813" w:type="dxa"/>
                            <w:shd w:val="clear" w:color="auto" w:fill="FABF8F" w:themeFill="accent6" w:themeFillTint="99"/>
                          </w:tcPr>
                          <w:p w14:paraId="33DD7A39" w14:textId="77777777" w:rsidR="00DE3537" w:rsidRDefault="00DE3537"/>
                        </w:tc>
                        <w:tc>
                          <w:tcPr>
                            <w:tcW w:w="1734" w:type="dxa"/>
                          </w:tcPr>
                          <w:p w14:paraId="52A6B08D" w14:textId="77777777" w:rsidR="00DE3537" w:rsidRDefault="00DE3537">
                            <w:r w:rsidRPr="00991B12">
                              <w:rPr>
                                <w:rFonts w:eastAsia="Times New Roman" w:cs="Times New Roman"/>
                                <w:color w:val="000000"/>
                                <w:sz w:val="18"/>
                                <w:szCs w:val="18"/>
                              </w:rPr>
                              <w:t>control schools</w:t>
                            </w:r>
                          </w:p>
                        </w:tc>
                      </w:tr>
                      <w:tr w:rsidR="00DE3537" w14:paraId="531E5D79" w14:textId="77777777" w:rsidTr="00B01272">
                        <w:tc>
                          <w:tcPr>
                            <w:tcW w:w="813" w:type="dxa"/>
                          </w:tcPr>
                          <w:p w14:paraId="47F2258B" w14:textId="77777777" w:rsidR="00DE3537" w:rsidRDefault="00DE3537">
                            <w:r>
                              <w:t>-</w:t>
                            </w:r>
                          </w:p>
                        </w:tc>
                        <w:tc>
                          <w:tcPr>
                            <w:tcW w:w="1734" w:type="dxa"/>
                          </w:tcPr>
                          <w:p w14:paraId="2F971C1D" w14:textId="77777777" w:rsidR="00DE3537" w:rsidRDefault="00DE3537" w:rsidP="00B01272">
                            <w:r w:rsidRPr="00991B12">
                              <w:rPr>
                                <w:rFonts w:eastAsia="Times New Roman" w:cs="Times New Roman"/>
                                <w:color w:val="000000"/>
                                <w:sz w:val="18"/>
                                <w:szCs w:val="18"/>
                              </w:rPr>
                              <w:t>Missing data</w:t>
                            </w:r>
                          </w:p>
                        </w:tc>
                      </w:tr>
                      <w:tr w:rsidR="00DE3537" w14:paraId="510C510B" w14:textId="77777777" w:rsidTr="00B01272">
                        <w:tc>
                          <w:tcPr>
                            <w:tcW w:w="813" w:type="dxa"/>
                          </w:tcPr>
                          <w:p w14:paraId="4EF4DC19" w14:textId="77777777" w:rsidR="00DE3537" w:rsidRDefault="00DE3537">
                            <w:r w:rsidRPr="00B50813">
                              <w:rPr>
                                <w:rFonts w:ascii="Marlett" w:hAnsi="Marlett"/>
                                <w:color w:val="FF0000"/>
                              </w:rPr>
                              <w:t></w:t>
                            </w:r>
                          </w:p>
                        </w:tc>
                        <w:tc>
                          <w:tcPr>
                            <w:tcW w:w="1734" w:type="dxa"/>
                          </w:tcPr>
                          <w:p w14:paraId="22AC8F90" w14:textId="77777777" w:rsidR="00DE3537" w:rsidRDefault="00DE3537">
                            <w:r w:rsidRPr="00991B12">
                              <w:rPr>
                                <w:rFonts w:eastAsia="Times New Roman" w:cs="Times New Roman"/>
                                <w:color w:val="000000"/>
                                <w:sz w:val="18"/>
                                <w:szCs w:val="18"/>
                              </w:rPr>
                              <w:t>Policy difference from baseline</w:t>
                            </w:r>
                          </w:p>
                        </w:tc>
                      </w:tr>
                      <w:tr w:rsidR="00DE3537" w14:paraId="395F3DC5" w14:textId="77777777" w:rsidTr="00B01272">
                        <w:tc>
                          <w:tcPr>
                            <w:tcW w:w="813" w:type="dxa"/>
                          </w:tcPr>
                          <w:p w14:paraId="608DE2A5" w14:textId="77777777" w:rsidR="00DE3537" w:rsidRDefault="00DE3537">
                            <w:r>
                              <w:t>HCQM</w:t>
                            </w:r>
                          </w:p>
                        </w:tc>
                        <w:tc>
                          <w:tcPr>
                            <w:tcW w:w="1734" w:type="dxa"/>
                          </w:tcPr>
                          <w:p w14:paraId="3E3CB101" w14:textId="77777777" w:rsidR="00DE3537" w:rsidRDefault="00DE3537" w:rsidP="00B01272">
                            <w:r w:rsidRPr="00832C3C">
                              <w:rPr>
                                <w:rFonts w:eastAsia="Times New Roman" w:cs="Times New Roman"/>
                                <w:sz w:val="18"/>
                                <w:szCs w:val="18"/>
                              </w:rPr>
                              <w:t>Healthy Child Quality Mark</w:t>
                            </w:r>
                          </w:p>
                        </w:tc>
                      </w:tr>
                    </w:tbl>
                    <w:p w14:paraId="15D17035" w14:textId="77777777" w:rsidR="00DE3537" w:rsidRDefault="00DE3537" w:rsidP="00403B07"/>
                  </w:txbxContent>
                </v:textbox>
                <w10:wrap anchorx="margin"/>
              </v:shape>
            </w:pict>
          </mc:Fallback>
        </mc:AlternateContent>
      </w:r>
    </w:p>
    <w:p w14:paraId="312852EA" w14:textId="77777777" w:rsidR="00403B07" w:rsidRPr="00AB3FCE" w:rsidRDefault="00403B07" w:rsidP="00403B07"/>
    <w:p w14:paraId="7301A7BB" w14:textId="77777777" w:rsidR="00403B07" w:rsidRPr="00AB3FCE" w:rsidRDefault="00403B07" w:rsidP="00403B07"/>
    <w:p w14:paraId="218CB123" w14:textId="77777777" w:rsidR="00403B07" w:rsidRPr="00AB3FCE" w:rsidRDefault="00403B07" w:rsidP="00403B07"/>
    <w:p w14:paraId="2D745D77" w14:textId="77777777" w:rsidR="00403B07" w:rsidRPr="00AB3FCE" w:rsidRDefault="00403B07" w:rsidP="00403B07"/>
    <w:p w14:paraId="64325839" w14:textId="77777777" w:rsidR="00403B07" w:rsidRPr="00AB3FCE" w:rsidRDefault="00403B07" w:rsidP="00403B07"/>
    <w:p w14:paraId="7A6F732C" w14:textId="77777777" w:rsidR="00403B07" w:rsidRPr="00AB3FCE" w:rsidRDefault="00403B07" w:rsidP="00403B07"/>
    <w:p w14:paraId="20A2517A" w14:textId="77777777" w:rsidR="00403B07" w:rsidRPr="00AB3FCE" w:rsidRDefault="00403B07" w:rsidP="00403B07"/>
    <w:p w14:paraId="0E1C7DC8" w14:textId="77777777" w:rsidR="00403B07" w:rsidRPr="00AB3FCE" w:rsidRDefault="00403B07" w:rsidP="00403B07"/>
    <w:p w14:paraId="76120791" w14:textId="77777777" w:rsidR="00403B07" w:rsidRPr="00AB3FCE" w:rsidRDefault="00403B07" w:rsidP="00403B07"/>
    <w:p w14:paraId="2CB9426F" w14:textId="77777777" w:rsidR="00403B07" w:rsidRPr="00AB3FCE" w:rsidRDefault="00403B07" w:rsidP="00403B07"/>
    <w:p w14:paraId="5A36606F" w14:textId="77777777" w:rsidR="00403B07" w:rsidRPr="00AB3FCE" w:rsidRDefault="00403B07" w:rsidP="00403B07"/>
    <w:p w14:paraId="731E606E" w14:textId="77777777" w:rsidR="00403B07" w:rsidRPr="00AB3FCE" w:rsidRDefault="00403B07" w:rsidP="00403B07"/>
    <w:p w14:paraId="6F66618E" w14:textId="77777777" w:rsidR="00403B07" w:rsidRPr="00AB3FCE" w:rsidRDefault="00403B07" w:rsidP="00403B07"/>
    <w:p w14:paraId="45B97FB1" w14:textId="77777777" w:rsidR="00403B07" w:rsidRPr="00AB3FCE" w:rsidRDefault="00403B07" w:rsidP="00403B07"/>
    <w:p w14:paraId="786493EC" w14:textId="77777777" w:rsidR="00403B07" w:rsidRPr="00AB3FCE" w:rsidRDefault="00403B07" w:rsidP="00403B07"/>
    <w:p w14:paraId="458BB0C8" w14:textId="77777777" w:rsidR="00403B07" w:rsidRPr="00AB3FCE" w:rsidRDefault="00403B07" w:rsidP="00403B07"/>
    <w:p w14:paraId="1B09BFCD" w14:textId="77777777" w:rsidR="00403B07" w:rsidRPr="00AB3FCE" w:rsidRDefault="00403B07" w:rsidP="00403B07"/>
    <w:p w14:paraId="600FD876" w14:textId="77777777" w:rsidR="00403B07" w:rsidRPr="00AB3FCE" w:rsidRDefault="00403B07" w:rsidP="00403B07"/>
    <w:p w14:paraId="5AF02186" w14:textId="77777777" w:rsidR="00403B07" w:rsidRPr="00AB3FCE" w:rsidRDefault="00403B07" w:rsidP="00403B07"/>
    <w:p w14:paraId="4942F8C8" w14:textId="77777777" w:rsidR="00403B07" w:rsidRPr="00AB3FCE" w:rsidRDefault="00403B07" w:rsidP="00403B07"/>
    <w:p w14:paraId="2EDE3117" w14:textId="77777777" w:rsidR="00403B07" w:rsidRDefault="00403B07" w:rsidP="00403B07">
      <w:pPr>
        <w:sectPr w:rsidR="00403B07" w:rsidSect="007B70F3">
          <w:pgSz w:w="11906" w:h="16838"/>
          <w:pgMar w:top="720" w:right="720" w:bottom="720" w:left="1077" w:header="454" w:footer="0" w:gutter="0"/>
          <w:cols w:space="708"/>
          <w:docGrid w:linePitch="360"/>
        </w:sectPr>
      </w:pPr>
    </w:p>
    <w:p w14:paraId="1D0E0198" w14:textId="225557FE" w:rsidR="00403B07" w:rsidRPr="000C63E0" w:rsidRDefault="00403B07" w:rsidP="00AB4D98">
      <w:pPr>
        <w:pStyle w:val="Heading1"/>
      </w:pPr>
      <w:bookmarkStart w:id="691" w:name="_Toc475974424"/>
      <w:r w:rsidRPr="000C63E0">
        <w:lastRenderedPageBreak/>
        <w:t>Appendix 1</w:t>
      </w:r>
      <w:r w:rsidR="00705B64">
        <w:t>6</w:t>
      </w:r>
      <w:r w:rsidRPr="000C63E0">
        <w:t xml:space="preserve"> Schools in the HeLP Study (b) Physical activity and nutrition policies</w:t>
      </w:r>
      <w:bookmarkEnd w:id="691"/>
      <w:r w:rsidRPr="000C63E0">
        <w:t xml:space="preserve"> </w:t>
      </w:r>
    </w:p>
    <w:tbl>
      <w:tblPr>
        <w:tblW w:w="14661" w:type="dxa"/>
        <w:tblInd w:w="108" w:type="dxa"/>
        <w:tblLayout w:type="fixed"/>
        <w:tblLook w:val="04A0" w:firstRow="1" w:lastRow="0" w:firstColumn="1" w:lastColumn="0" w:noHBand="0" w:noVBand="1"/>
      </w:tblPr>
      <w:tblGrid>
        <w:gridCol w:w="462"/>
        <w:gridCol w:w="483"/>
        <w:gridCol w:w="486"/>
        <w:gridCol w:w="487"/>
        <w:gridCol w:w="668"/>
        <w:gridCol w:w="304"/>
        <w:gridCol w:w="688"/>
        <w:gridCol w:w="289"/>
        <w:gridCol w:w="703"/>
        <w:gridCol w:w="546"/>
        <w:gridCol w:w="565"/>
        <w:gridCol w:w="432"/>
        <w:gridCol w:w="418"/>
        <w:gridCol w:w="562"/>
        <w:gridCol w:w="488"/>
        <w:gridCol w:w="488"/>
        <w:gridCol w:w="488"/>
        <w:gridCol w:w="489"/>
        <w:gridCol w:w="488"/>
        <w:gridCol w:w="488"/>
        <w:gridCol w:w="488"/>
        <w:gridCol w:w="488"/>
        <w:gridCol w:w="488"/>
        <w:gridCol w:w="488"/>
        <w:gridCol w:w="497"/>
        <w:gridCol w:w="2178"/>
        <w:gridCol w:w="12"/>
      </w:tblGrid>
      <w:tr w:rsidR="00403B07" w:rsidRPr="000E3600" w14:paraId="5A11ACC3" w14:textId="77777777" w:rsidTr="00B01272">
        <w:trPr>
          <w:trHeight w:val="252"/>
          <w:tblHeader/>
        </w:trPr>
        <w:tc>
          <w:tcPr>
            <w:tcW w:w="462" w:type="dxa"/>
            <w:tcBorders>
              <w:top w:val="nil"/>
              <w:left w:val="nil"/>
              <w:bottom w:val="single" w:sz="4" w:space="0" w:color="auto"/>
              <w:right w:val="single" w:sz="4" w:space="0" w:color="auto"/>
            </w:tcBorders>
            <w:shd w:val="clear" w:color="auto" w:fill="auto"/>
            <w:noWrap/>
            <w:vAlign w:val="bottom"/>
            <w:hideMark/>
          </w:tcPr>
          <w:p w14:paraId="3D5FED93" w14:textId="77777777" w:rsidR="00403B07" w:rsidRPr="000E3600" w:rsidRDefault="00403B07" w:rsidP="00B01272">
            <w:pPr>
              <w:spacing w:after="0" w:line="240" w:lineRule="auto"/>
              <w:rPr>
                <w:rFonts w:ascii="Times New Roman" w:eastAsia="Times New Roman" w:hAnsi="Times New Roman" w:cs="Times New Roman"/>
                <w:sz w:val="24"/>
                <w:szCs w:val="24"/>
              </w:rPr>
            </w:pPr>
          </w:p>
        </w:tc>
        <w:tc>
          <w:tcPr>
            <w:tcW w:w="6069"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2429F393" w14:textId="77777777" w:rsidR="00403B07" w:rsidRPr="000E3600" w:rsidRDefault="00403B07" w:rsidP="00B01272">
            <w:pPr>
              <w:spacing w:after="0" w:line="240" w:lineRule="auto"/>
              <w:jc w:val="center"/>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PA Policies</w:t>
            </w:r>
          </w:p>
        </w:tc>
        <w:tc>
          <w:tcPr>
            <w:tcW w:w="5940"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787219B4" w14:textId="77777777" w:rsidR="00403B07" w:rsidRPr="000E3600" w:rsidRDefault="00403B07" w:rsidP="00B01272">
            <w:pPr>
              <w:spacing w:after="0" w:line="240" w:lineRule="auto"/>
              <w:jc w:val="center"/>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Nutrition Policies</w:t>
            </w:r>
          </w:p>
        </w:tc>
        <w:tc>
          <w:tcPr>
            <w:tcW w:w="2190" w:type="dxa"/>
            <w:gridSpan w:val="2"/>
            <w:tcBorders>
              <w:top w:val="nil"/>
              <w:left w:val="single" w:sz="4" w:space="0" w:color="auto"/>
              <w:bottom w:val="nil"/>
              <w:right w:val="nil"/>
            </w:tcBorders>
            <w:shd w:val="clear" w:color="auto" w:fill="auto"/>
            <w:noWrap/>
            <w:vAlign w:val="bottom"/>
            <w:hideMark/>
          </w:tcPr>
          <w:p w14:paraId="4C50FD49" w14:textId="77777777" w:rsidR="00403B07" w:rsidRPr="000E3600" w:rsidRDefault="00403B07" w:rsidP="00B01272">
            <w:pPr>
              <w:spacing w:after="0" w:line="240" w:lineRule="auto"/>
              <w:jc w:val="center"/>
              <w:rPr>
                <w:rFonts w:ascii="Calibri" w:eastAsia="Times New Roman" w:hAnsi="Calibri" w:cs="Times New Roman"/>
                <w:color w:val="000000"/>
                <w:sz w:val="20"/>
                <w:szCs w:val="20"/>
              </w:rPr>
            </w:pPr>
          </w:p>
        </w:tc>
      </w:tr>
      <w:tr w:rsidR="00403B07" w:rsidRPr="000E3600" w14:paraId="1E462F0B" w14:textId="77777777" w:rsidTr="00B01272">
        <w:trPr>
          <w:gridAfter w:val="1"/>
          <w:wAfter w:w="12" w:type="dxa"/>
          <w:trHeight w:val="1518"/>
          <w:tblHeader/>
        </w:trPr>
        <w:tc>
          <w:tcPr>
            <w:tcW w:w="462" w:type="dxa"/>
            <w:vMerge w:val="restart"/>
            <w:tcBorders>
              <w:top w:val="single" w:sz="4" w:space="0" w:color="auto"/>
              <w:left w:val="single" w:sz="4" w:space="0" w:color="auto"/>
              <w:right w:val="single" w:sz="4" w:space="0" w:color="auto"/>
            </w:tcBorders>
            <w:shd w:val="clear" w:color="auto" w:fill="auto"/>
            <w:textDirection w:val="btLr"/>
            <w:vAlign w:val="bottom"/>
            <w:hideMark/>
          </w:tcPr>
          <w:p w14:paraId="731DAD79" w14:textId="77777777" w:rsidR="00403B07" w:rsidRPr="000E3600" w:rsidRDefault="00403B07" w:rsidP="00B01272">
            <w:pPr>
              <w:spacing w:after="0" w:line="240" w:lineRule="auto"/>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 xml:space="preserve">  </w:t>
            </w:r>
            <w:r w:rsidRPr="000E3600">
              <w:rPr>
                <w:rFonts w:ascii="Calibri" w:eastAsia="Times New Roman" w:hAnsi="Calibri" w:cs="Times New Roman"/>
                <w:b/>
                <w:bCs/>
                <w:color w:val="000000"/>
                <w:sz w:val="20"/>
                <w:szCs w:val="20"/>
              </w:rPr>
              <w:t>School</w:t>
            </w:r>
          </w:p>
        </w:tc>
        <w:tc>
          <w:tcPr>
            <w:tcW w:w="969" w:type="dxa"/>
            <w:gridSpan w:val="2"/>
            <w:tcBorders>
              <w:top w:val="single" w:sz="4" w:space="0" w:color="auto"/>
              <w:left w:val="single" w:sz="4" w:space="0" w:color="auto"/>
              <w:bottom w:val="nil"/>
              <w:right w:val="single" w:sz="4" w:space="0" w:color="000000"/>
            </w:tcBorders>
            <w:shd w:val="clear" w:color="auto" w:fill="auto"/>
            <w:textDirection w:val="btLr"/>
            <w:vAlign w:val="center"/>
            <w:hideMark/>
          </w:tcPr>
          <w:p w14:paraId="5494E5BB" w14:textId="77777777" w:rsidR="00403B07" w:rsidRPr="006A3212" w:rsidRDefault="00403B07" w:rsidP="00B01272">
            <w:pPr>
              <w:spacing w:after="0" w:line="240" w:lineRule="auto"/>
              <w:rPr>
                <w:rFonts w:ascii="Calibri" w:eastAsia="Times New Roman" w:hAnsi="Calibri" w:cs="Times New Roman"/>
                <w:color w:val="000000"/>
                <w:sz w:val="18"/>
                <w:szCs w:val="18"/>
              </w:rPr>
            </w:pPr>
            <w:r w:rsidRPr="006A3212">
              <w:rPr>
                <w:rFonts w:ascii="Calibri" w:eastAsia="Times New Roman" w:hAnsi="Calibri" w:cs="Times New Roman"/>
                <w:color w:val="000000"/>
                <w:sz w:val="18"/>
                <w:szCs w:val="18"/>
              </w:rPr>
              <w:t>Fitness sessions / aerobics</w:t>
            </w:r>
          </w:p>
        </w:tc>
        <w:tc>
          <w:tcPr>
            <w:tcW w:w="1155" w:type="dxa"/>
            <w:gridSpan w:val="2"/>
            <w:tcBorders>
              <w:top w:val="single" w:sz="4" w:space="0" w:color="auto"/>
              <w:left w:val="nil"/>
              <w:bottom w:val="nil"/>
              <w:right w:val="single" w:sz="4" w:space="0" w:color="000000"/>
            </w:tcBorders>
            <w:shd w:val="clear" w:color="auto" w:fill="auto"/>
            <w:textDirection w:val="btLr"/>
            <w:vAlign w:val="center"/>
            <w:hideMark/>
          </w:tcPr>
          <w:p w14:paraId="6F3E0AA0" w14:textId="77777777" w:rsidR="00403B07" w:rsidRPr="006A3212" w:rsidRDefault="00403B07" w:rsidP="00B01272">
            <w:pPr>
              <w:spacing w:after="0" w:line="240" w:lineRule="auto"/>
              <w:rPr>
                <w:rFonts w:ascii="Calibri" w:eastAsia="Times New Roman" w:hAnsi="Calibri" w:cs="Times New Roman"/>
                <w:color w:val="000000"/>
                <w:sz w:val="18"/>
                <w:szCs w:val="18"/>
              </w:rPr>
            </w:pPr>
            <w:r w:rsidRPr="006A3212">
              <w:rPr>
                <w:rFonts w:ascii="Calibri" w:eastAsia="Times New Roman" w:hAnsi="Calibri" w:cs="Times New Roman"/>
                <w:color w:val="000000"/>
                <w:sz w:val="18"/>
                <w:szCs w:val="18"/>
              </w:rPr>
              <w:t>Specialised coaches (inc outside agency) / PE specialist (inc sports / PE coordinator)</w:t>
            </w:r>
          </w:p>
        </w:tc>
        <w:tc>
          <w:tcPr>
            <w:tcW w:w="992" w:type="dxa"/>
            <w:gridSpan w:val="2"/>
            <w:tcBorders>
              <w:top w:val="single" w:sz="4" w:space="0" w:color="auto"/>
              <w:left w:val="nil"/>
              <w:bottom w:val="nil"/>
              <w:right w:val="single" w:sz="4" w:space="0" w:color="000000"/>
            </w:tcBorders>
            <w:shd w:val="clear" w:color="auto" w:fill="auto"/>
            <w:textDirection w:val="btLr"/>
            <w:vAlign w:val="center"/>
            <w:hideMark/>
          </w:tcPr>
          <w:p w14:paraId="3A2A9835" w14:textId="77777777" w:rsidR="00403B07" w:rsidRPr="006A3212" w:rsidRDefault="00403B07" w:rsidP="00B01272">
            <w:pPr>
              <w:spacing w:after="0" w:line="240" w:lineRule="auto"/>
              <w:rPr>
                <w:rFonts w:ascii="Calibri" w:eastAsia="Times New Roman" w:hAnsi="Calibri" w:cs="Times New Roman"/>
                <w:color w:val="000000"/>
                <w:sz w:val="18"/>
                <w:szCs w:val="18"/>
              </w:rPr>
            </w:pPr>
            <w:r w:rsidRPr="006A3212">
              <w:rPr>
                <w:rFonts w:ascii="Calibri" w:eastAsia="Times New Roman" w:hAnsi="Calibri" w:cs="Times New Roman"/>
                <w:color w:val="000000"/>
                <w:sz w:val="18"/>
                <w:szCs w:val="18"/>
              </w:rPr>
              <w:t>Take '10' / PEDPASS</w:t>
            </w:r>
          </w:p>
        </w:tc>
        <w:tc>
          <w:tcPr>
            <w:tcW w:w="992" w:type="dxa"/>
            <w:gridSpan w:val="2"/>
            <w:tcBorders>
              <w:top w:val="single" w:sz="4" w:space="0" w:color="auto"/>
              <w:left w:val="nil"/>
              <w:bottom w:val="nil"/>
              <w:right w:val="single" w:sz="4" w:space="0" w:color="000000"/>
            </w:tcBorders>
            <w:shd w:val="clear" w:color="auto" w:fill="auto"/>
            <w:textDirection w:val="btLr"/>
            <w:vAlign w:val="center"/>
            <w:hideMark/>
          </w:tcPr>
          <w:p w14:paraId="0F1DFB4E" w14:textId="77777777" w:rsidR="00403B07" w:rsidRPr="006A3212" w:rsidRDefault="00403B07" w:rsidP="00B01272">
            <w:pPr>
              <w:spacing w:after="0" w:line="240" w:lineRule="auto"/>
              <w:rPr>
                <w:rFonts w:ascii="Calibri" w:eastAsia="Times New Roman" w:hAnsi="Calibri" w:cs="Times New Roman"/>
                <w:color w:val="000000"/>
                <w:sz w:val="18"/>
                <w:szCs w:val="18"/>
              </w:rPr>
            </w:pPr>
            <w:r w:rsidRPr="006A3212">
              <w:rPr>
                <w:rFonts w:ascii="Calibri" w:eastAsia="Times New Roman" w:hAnsi="Calibri" w:cs="Times New Roman"/>
                <w:color w:val="000000"/>
                <w:sz w:val="18"/>
                <w:szCs w:val="18"/>
              </w:rPr>
              <w:t>School Travel / Bikeability</w:t>
            </w:r>
          </w:p>
        </w:tc>
        <w:tc>
          <w:tcPr>
            <w:tcW w:w="1111" w:type="dxa"/>
            <w:gridSpan w:val="2"/>
            <w:tcBorders>
              <w:top w:val="single" w:sz="4" w:space="0" w:color="auto"/>
              <w:left w:val="nil"/>
              <w:bottom w:val="nil"/>
              <w:right w:val="single" w:sz="4" w:space="0" w:color="000000"/>
            </w:tcBorders>
            <w:shd w:val="clear" w:color="auto" w:fill="auto"/>
            <w:textDirection w:val="btLr"/>
            <w:vAlign w:val="center"/>
            <w:hideMark/>
          </w:tcPr>
          <w:p w14:paraId="0C3E8ED8" w14:textId="77777777" w:rsidR="00403B07" w:rsidRPr="006A3212" w:rsidRDefault="00403B07" w:rsidP="00B01272">
            <w:pPr>
              <w:spacing w:after="0" w:line="240" w:lineRule="auto"/>
              <w:rPr>
                <w:rFonts w:ascii="Calibri" w:eastAsia="Times New Roman" w:hAnsi="Calibri" w:cs="Times New Roman"/>
                <w:color w:val="000000"/>
                <w:sz w:val="18"/>
                <w:szCs w:val="18"/>
              </w:rPr>
            </w:pPr>
            <w:r w:rsidRPr="006A3212">
              <w:rPr>
                <w:rFonts w:ascii="Calibri" w:eastAsia="Times New Roman" w:hAnsi="Calibri" w:cs="Times New Roman"/>
                <w:color w:val="000000"/>
                <w:sz w:val="18"/>
                <w:szCs w:val="18"/>
              </w:rPr>
              <w:t>Sports Ambassador / Play teacher</w:t>
            </w:r>
          </w:p>
        </w:tc>
        <w:tc>
          <w:tcPr>
            <w:tcW w:w="850" w:type="dxa"/>
            <w:gridSpan w:val="2"/>
            <w:tcBorders>
              <w:top w:val="single" w:sz="4" w:space="0" w:color="auto"/>
              <w:left w:val="nil"/>
              <w:bottom w:val="nil"/>
              <w:right w:val="single" w:sz="4" w:space="0" w:color="000000"/>
            </w:tcBorders>
            <w:shd w:val="clear" w:color="auto" w:fill="auto"/>
            <w:textDirection w:val="btLr"/>
            <w:vAlign w:val="center"/>
            <w:hideMark/>
          </w:tcPr>
          <w:p w14:paraId="56FAAE16" w14:textId="77777777" w:rsidR="00403B07" w:rsidRPr="006A3212" w:rsidRDefault="00403B07" w:rsidP="00B01272">
            <w:pPr>
              <w:spacing w:after="0" w:line="240" w:lineRule="auto"/>
              <w:rPr>
                <w:rFonts w:ascii="Calibri" w:eastAsia="Times New Roman" w:hAnsi="Calibri" w:cs="Times New Roman"/>
                <w:color w:val="000000"/>
                <w:sz w:val="18"/>
                <w:szCs w:val="18"/>
              </w:rPr>
            </w:pPr>
            <w:r w:rsidRPr="006A3212">
              <w:rPr>
                <w:rFonts w:ascii="Calibri" w:eastAsia="Times New Roman" w:hAnsi="Calibri" w:cs="Times New Roman"/>
                <w:color w:val="000000"/>
                <w:sz w:val="18"/>
                <w:szCs w:val="18"/>
              </w:rPr>
              <w:t>Gifted &amp; Talented Sports programme</w:t>
            </w:r>
          </w:p>
        </w:tc>
        <w:tc>
          <w:tcPr>
            <w:tcW w:w="1050" w:type="dxa"/>
            <w:gridSpan w:val="2"/>
            <w:tcBorders>
              <w:top w:val="single" w:sz="4" w:space="0" w:color="auto"/>
              <w:left w:val="nil"/>
              <w:bottom w:val="nil"/>
              <w:right w:val="single" w:sz="4" w:space="0" w:color="000000"/>
            </w:tcBorders>
            <w:shd w:val="clear" w:color="auto" w:fill="auto"/>
            <w:textDirection w:val="btLr"/>
            <w:vAlign w:val="center"/>
            <w:hideMark/>
          </w:tcPr>
          <w:p w14:paraId="69F575FB" w14:textId="77777777" w:rsidR="00403B07" w:rsidRPr="006A3212" w:rsidRDefault="00403B07" w:rsidP="00B01272">
            <w:pPr>
              <w:spacing w:after="0" w:line="240" w:lineRule="auto"/>
              <w:rPr>
                <w:rFonts w:ascii="Calibri" w:eastAsia="Times New Roman" w:hAnsi="Calibri" w:cs="Times New Roman"/>
                <w:color w:val="000000"/>
                <w:sz w:val="18"/>
                <w:szCs w:val="18"/>
              </w:rPr>
            </w:pPr>
            <w:r w:rsidRPr="006A3212">
              <w:rPr>
                <w:rFonts w:ascii="Calibri" w:eastAsia="Times New Roman" w:hAnsi="Calibri" w:cs="Times New Roman"/>
                <w:color w:val="000000"/>
                <w:sz w:val="18"/>
                <w:szCs w:val="18"/>
              </w:rPr>
              <w:t>Breakfast club / cookery club / classes</w:t>
            </w:r>
          </w:p>
        </w:tc>
        <w:tc>
          <w:tcPr>
            <w:tcW w:w="976" w:type="dxa"/>
            <w:gridSpan w:val="2"/>
            <w:tcBorders>
              <w:top w:val="single" w:sz="4" w:space="0" w:color="auto"/>
              <w:left w:val="nil"/>
              <w:bottom w:val="nil"/>
              <w:right w:val="single" w:sz="4" w:space="0" w:color="000000"/>
            </w:tcBorders>
            <w:shd w:val="clear" w:color="auto" w:fill="auto"/>
            <w:textDirection w:val="btLr"/>
            <w:vAlign w:val="center"/>
            <w:hideMark/>
          </w:tcPr>
          <w:p w14:paraId="08BBFEEB" w14:textId="77777777" w:rsidR="00403B07" w:rsidRPr="006A3212" w:rsidRDefault="00403B07" w:rsidP="00B01272">
            <w:pPr>
              <w:spacing w:after="0" w:line="240" w:lineRule="auto"/>
              <w:rPr>
                <w:rFonts w:ascii="Calibri" w:eastAsia="Times New Roman" w:hAnsi="Calibri" w:cs="Times New Roman"/>
                <w:color w:val="000000"/>
                <w:sz w:val="18"/>
                <w:szCs w:val="18"/>
              </w:rPr>
            </w:pPr>
            <w:r w:rsidRPr="006A3212">
              <w:rPr>
                <w:rFonts w:ascii="Calibri" w:eastAsia="Times New Roman" w:hAnsi="Calibri" w:cs="Times New Roman"/>
                <w:color w:val="000000"/>
                <w:sz w:val="18"/>
                <w:szCs w:val="18"/>
              </w:rPr>
              <w:t>healthy snacks at break</w:t>
            </w:r>
          </w:p>
        </w:tc>
        <w:tc>
          <w:tcPr>
            <w:tcW w:w="977" w:type="dxa"/>
            <w:gridSpan w:val="2"/>
            <w:tcBorders>
              <w:top w:val="single" w:sz="4" w:space="0" w:color="auto"/>
              <w:left w:val="nil"/>
              <w:bottom w:val="nil"/>
              <w:right w:val="single" w:sz="4" w:space="0" w:color="000000"/>
            </w:tcBorders>
            <w:shd w:val="clear" w:color="auto" w:fill="auto"/>
            <w:textDirection w:val="btLr"/>
            <w:vAlign w:val="center"/>
            <w:hideMark/>
          </w:tcPr>
          <w:p w14:paraId="2F2F43F4" w14:textId="77777777" w:rsidR="00403B07" w:rsidRPr="006A3212" w:rsidRDefault="00403B07" w:rsidP="00B01272">
            <w:pPr>
              <w:spacing w:after="0" w:line="240" w:lineRule="auto"/>
              <w:rPr>
                <w:rFonts w:ascii="Calibri" w:eastAsia="Times New Roman" w:hAnsi="Calibri" w:cs="Times New Roman"/>
                <w:color w:val="000000"/>
                <w:sz w:val="18"/>
                <w:szCs w:val="18"/>
              </w:rPr>
            </w:pPr>
            <w:r w:rsidRPr="006A3212">
              <w:rPr>
                <w:rFonts w:ascii="Calibri" w:eastAsia="Times New Roman" w:hAnsi="Calibri" w:cs="Times New Roman"/>
                <w:color w:val="000000"/>
                <w:sz w:val="18"/>
                <w:szCs w:val="18"/>
              </w:rPr>
              <w:t>Food For Life</w:t>
            </w:r>
          </w:p>
        </w:tc>
        <w:tc>
          <w:tcPr>
            <w:tcW w:w="976" w:type="dxa"/>
            <w:gridSpan w:val="2"/>
            <w:tcBorders>
              <w:top w:val="single" w:sz="4" w:space="0" w:color="auto"/>
              <w:left w:val="nil"/>
              <w:bottom w:val="nil"/>
              <w:right w:val="single" w:sz="4" w:space="0" w:color="000000"/>
            </w:tcBorders>
            <w:shd w:val="clear" w:color="auto" w:fill="auto"/>
            <w:textDirection w:val="btLr"/>
            <w:vAlign w:val="center"/>
            <w:hideMark/>
          </w:tcPr>
          <w:p w14:paraId="434EC587" w14:textId="77777777" w:rsidR="00403B07" w:rsidRPr="006A3212" w:rsidRDefault="00403B07" w:rsidP="00B01272">
            <w:pPr>
              <w:spacing w:after="0" w:line="240" w:lineRule="auto"/>
              <w:rPr>
                <w:rFonts w:ascii="Calibri" w:eastAsia="Times New Roman" w:hAnsi="Calibri" w:cs="Times New Roman"/>
                <w:color w:val="000000"/>
                <w:sz w:val="18"/>
                <w:szCs w:val="18"/>
              </w:rPr>
            </w:pPr>
            <w:r w:rsidRPr="006A3212">
              <w:rPr>
                <w:rFonts w:ascii="Calibri" w:eastAsia="Times New Roman" w:hAnsi="Calibri" w:cs="Times New Roman"/>
                <w:color w:val="000000"/>
                <w:sz w:val="18"/>
                <w:szCs w:val="18"/>
              </w:rPr>
              <w:t>School fruit &amp; veg scheme</w:t>
            </w:r>
          </w:p>
        </w:tc>
        <w:tc>
          <w:tcPr>
            <w:tcW w:w="976" w:type="dxa"/>
            <w:gridSpan w:val="2"/>
            <w:tcBorders>
              <w:top w:val="single" w:sz="4" w:space="0" w:color="auto"/>
              <w:left w:val="nil"/>
              <w:bottom w:val="nil"/>
              <w:right w:val="single" w:sz="4" w:space="0" w:color="000000"/>
            </w:tcBorders>
            <w:shd w:val="clear" w:color="auto" w:fill="auto"/>
            <w:textDirection w:val="btLr"/>
            <w:vAlign w:val="center"/>
            <w:hideMark/>
          </w:tcPr>
          <w:p w14:paraId="3FFC965F" w14:textId="77777777" w:rsidR="00403B07" w:rsidRPr="006A3212" w:rsidRDefault="00403B07" w:rsidP="00B01272">
            <w:pPr>
              <w:spacing w:after="0" w:line="240" w:lineRule="auto"/>
              <w:rPr>
                <w:rFonts w:ascii="Calibri" w:eastAsia="Times New Roman" w:hAnsi="Calibri" w:cs="Times New Roman"/>
                <w:color w:val="000000"/>
                <w:sz w:val="18"/>
                <w:szCs w:val="18"/>
              </w:rPr>
            </w:pPr>
            <w:r w:rsidRPr="006A3212">
              <w:rPr>
                <w:rFonts w:ascii="Calibri" w:eastAsia="Times New Roman" w:hAnsi="Calibri" w:cs="Times New Roman"/>
                <w:color w:val="000000"/>
                <w:sz w:val="18"/>
                <w:szCs w:val="18"/>
              </w:rPr>
              <w:t>healthy lunch boxes</w:t>
            </w:r>
          </w:p>
        </w:tc>
        <w:tc>
          <w:tcPr>
            <w:tcW w:w="985" w:type="dxa"/>
            <w:gridSpan w:val="2"/>
            <w:tcBorders>
              <w:top w:val="single" w:sz="4" w:space="0" w:color="auto"/>
              <w:left w:val="nil"/>
              <w:bottom w:val="nil"/>
              <w:right w:val="single" w:sz="4" w:space="0" w:color="000000"/>
            </w:tcBorders>
            <w:shd w:val="clear" w:color="auto" w:fill="auto"/>
            <w:textDirection w:val="btLr"/>
            <w:vAlign w:val="center"/>
            <w:hideMark/>
          </w:tcPr>
          <w:p w14:paraId="58219B8B" w14:textId="77777777" w:rsidR="00403B07" w:rsidRPr="006A3212" w:rsidRDefault="00403B07" w:rsidP="00B01272">
            <w:pPr>
              <w:spacing w:after="0" w:line="240" w:lineRule="auto"/>
              <w:rPr>
                <w:rFonts w:ascii="Calibri" w:eastAsia="Times New Roman" w:hAnsi="Calibri" w:cs="Times New Roman"/>
                <w:color w:val="000000"/>
                <w:sz w:val="18"/>
                <w:szCs w:val="18"/>
              </w:rPr>
            </w:pPr>
            <w:r w:rsidRPr="006A3212">
              <w:rPr>
                <w:rFonts w:ascii="Calibri" w:eastAsia="Times New Roman" w:hAnsi="Calibri" w:cs="Times New Roman"/>
                <w:color w:val="000000"/>
                <w:sz w:val="18"/>
                <w:szCs w:val="18"/>
              </w:rPr>
              <w:t>Family eating set up at lunch</w:t>
            </w:r>
          </w:p>
        </w:tc>
        <w:tc>
          <w:tcPr>
            <w:tcW w:w="2178"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1C5905F4" w14:textId="77777777" w:rsidR="00403B07" w:rsidRPr="00EA2129" w:rsidRDefault="00403B07" w:rsidP="00B01272">
            <w:pPr>
              <w:spacing w:after="0" w:line="240" w:lineRule="auto"/>
              <w:rPr>
                <w:rFonts w:ascii="Calibri" w:eastAsia="Times New Roman" w:hAnsi="Calibri" w:cs="Times New Roman"/>
                <w:b/>
                <w:color w:val="000000"/>
                <w:sz w:val="18"/>
                <w:szCs w:val="18"/>
              </w:rPr>
            </w:pPr>
            <w:r w:rsidRPr="00EA2129">
              <w:rPr>
                <w:rFonts w:ascii="Calibri" w:eastAsia="Times New Roman" w:hAnsi="Calibri" w:cs="Times New Roman"/>
                <w:b/>
                <w:color w:val="000000"/>
                <w:sz w:val="18"/>
                <w:szCs w:val="18"/>
              </w:rPr>
              <w:t>School Awards</w:t>
            </w:r>
          </w:p>
        </w:tc>
      </w:tr>
      <w:tr w:rsidR="00403B07" w:rsidRPr="000E3600" w14:paraId="6AD3FE7D" w14:textId="77777777" w:rsidTr="00B01272">
        <w:trPr>
          <w:gridAfter w:val="1"/>
          <w:wAfter w:w="12" w:type="dxa"/>
          <w:trHeight w:val="121"/>
          <w:tblHeader/>
        </w:trPr>
        <w:tc>
          <w:tcPr>
            <w:tcW w:w="462" w:type="dxa"/>
            <w:vMerge/>
            <w:tcBorders>
              <w:left w:val="single" w:sz="4" w:space="0" w:color="auto"/>
              <w:bottom w:val="single" w:sz="4" w:space="0" w:color="auto"/>
              <w:right w:val="single" w:sz="4" w:space="0" w:color="auto"/>
            </w:tcBorders>
            <w:shd w:val="clear" w:color="auto" w:fill="auto"/>
            <w:textDirection w:val="btLr"/>
            <w:vAlign w:val="bottom"/>
            <w:hideMark/>
          </w:tcPr>
          <w:p w14:paraId="058784D4" w14:textId="77777777" w:rsidR="00403B07" w:rsidRPr="000E3600" w:rsidRDefault="00403B07" w:rsidP="00B01272">
            <w:pPr>
              <w:spacing w:after="0" w:line="240" w:lineRule="auto"/>
              <w:rPr>
                <w:rFonts w:ascii="Calibri" w:eastAsia="Times New Roman" w:hAnsi="Calibri" w:cs="Times New Roman"/>
                <w:color w:val="000000"/>
                <w:sz w:val="20"/>
                <w:szCs w:val="20"/>
              </w:rPr>
            </w:pPr>
          </w:p>
        </w:tc>
        <w:tc>
          <w:tcPr>
            <w:tcW w:w="483" w:type="dxa"/>
            <w:tcBorders>
              <w:top w:val="nil"/>
              <w:left w:val="single" w:sz="4" w:space="0" w:color="auto"/>
              <w:bottom w:val="single" w:sz="4" w:space="0" w:color="auto"/>
              <w:right w:val="nil"/>
            </w:tcBorders>
            <w:shd w:val="clear" w:color="auto" w:fill="auto"/>
            <w:vAlign w:val="bottom"/>
            <w:hideMark/>
          </w:tcPr>
          <w:p w14:paraId="3AFF6599" w14:textId="77777777" w:rsidR="00403B07" w:rsidRPr="006A3212" w:rsidRDefault="00403B07" w:rsidP="00B01272">
            <w:pPr>
              <w:spacing w:after="0" w:line="240" w:lineRule="auto"/>
              <w:jc w:val="center"/>
              <w:rPr>
                <w:rFonts w:ascii="Calibri" w:eastAsia="Times New Roman" w:hAnsi="Calibri" w:cs="Times New Roman"/>
                <w:b/>
                <w:bCs/>
                <w:color w:val="000000"/>
                <w:sz w:val="18"/>
                <w:szCs w:val="18"/>
              </w:rPr>
            </w:pPr>
            <w:r w:rsidRPr="006A3212">
              <w:rPr>
                <w:rFonts w:ascii="Calibri" w:eastAsia="Times New Roman" w:hAnsi="Calibri" w:cs="Times New Roman"/>
                <w:b/>
                <w:bCs/>
                <w:color w:val="000000"/>
                <w:sz w:val="18"/>
                <w:szCs w:val="18"/>
              </w:rPr>
              <w:t>B</w:t>
            </w:r>
          </w:p>
        </w:tc>
        <w:tc>
          <w:tcPr>
            <w:tcW w:w="486" w:type="dxa"/>
            <w:tcBorders>
              <w:top w:val="nil"/>
              <w:left w:val="nil"/>
              <w:bottom w:val="single" w:sz="4" w:space="0" w:color="auto"/>
              <w:right w:val="single" w:sz="4" w:space="0" w:color="auto"/>
            </w:tcBorders>
            <w:shd w:val="clear" w:color="auto" w:fill="auto"/>
            <w:noWrap/>
            <w:vAlign w:val="bottom"/>
            <w:hideMark/>
          </w:tcPr>
          <w:p w14:paraId="72E97B57" w14:textId="77777777" w:rsidR="00403B07" w:rsidRPr="006A3212" w:rsidRDefault="00403B07" w:rsidP="00B01272">
            <w:pPr>
              <w:spacing w:after="0" w:line="240" w:lineRule="auto"/>
              <w:jc w:val="center"/>
              <w:rPr>
                <w:rFonts w:ascii="Calibri" w:eastAsia="Times New Roman" w:hAnsi="Calibri" w:cs="Times New Roman"/>
                <w:b/>
                <w:bCs/>
                <w:color w:val="000000"/>
                <w:sz w:val="18"/>
                <w:szCs w:val="18"/>
              </w:rPr>
            </w:pPr>
            <w:r w:rsidRPr="006A3212">
              <w:rPr>
                <w:rFonts w:ascii="Calibri" w:eastAsia="Times New Roman" w:hAnsi="Calibri" w:cs="Times New Roman"/>
                <w:b/>
                <w:bCs/>
                <w:color w:val="000000"/>
                <w:sz w:val="18"/>
                <w:szCs w:val="18"/>
              </w:rPr>
              <w:t>18</w:t>
            </w:r>
          </w:p>
        </w:tc>
        <w:tc>
          <w:tcPr>
            <w:tcW w:w="487" w:type="dxa"/>
            <w:tcBorders>
              <w:top w:val="nil"/>
              <w:left w:val="nil"/>
              <w:bottom w:val="single" w:sz="4" w:space="0" w:color="auto"/>
              <w:right w:val="nil"/>
            </w:tcBorders>
            <w:shd w:val="clear" w:color="auto" w:fill="auto"/>
            <w:vAlign w:val="bottom"/>
            <w:hideMark/>
          </w:tcPr>
          <w:p w14:paraId="022DB3DE" w14:textId="77777777" w:rsidR="00403B07" w:rsidRPr="006A3212" w:rsidRDefault="00403B07" w:rsidP="00B01272">
            <w:pPr>
              <w:spacing w:after="0" w:line="240" w:lineRule="auto"/>
              <w:jc w:val="center"/>
              <w:rPr>
                <w:rFonts w:ascii="Calibri" w:eastAsia="Times New Roman" w:hAnsi="Calibri" w:cs="Times New Roman"/>
                <w:b/>
                <w:bCs/>
                <w:color w:val="000000"/>
                <w:sz w:val="18"/>
                <w:szCs w:val="18"/>
              </w:rPr>
            </w:pPr>
            <w:r w:rsidRPr="006A3212">
              <w:rPr>
                <w:rFonts w:ascii="Calibri" w:eastAsia="Times New Roman" w:hAnsi="Calibri" w:cs="Times New Roman"/>
                <w:b/>
                <w:bCs/>
                <w:color w:val="000000"/>
                <w:sz w:val="18"/>
                <w:szCs w:val="18"/>
              </w:rPr>
              <w:t>B</w:t>
            </w:r>
          </w:p>
        </w:tc>
        <w:tc>
          <w:tcPr>
            <w:tcW w:w="668" w:type="dxa"/>
            <w:tcBorders>
              <w:top w:val="nil"/>
              <w:left w:val="nil"/>
              <w:bottom w:val="single" w:sz="4" w:space="0" w:color="auto"/>
              <w:right w:val="single" w:sz="4" w:space="0" w:color="auto"/>
            </w:tcBorders>
            <w:shd w:val="clear" w:color="auto" w:fill="auto"/>
            <w:noWrap/>
            <w:vAlign w:val="bottom"/>
            <w:hideMark/>
          </w:tcPr>
          <w:p w14:paraId="2E59F77C" w14:textId="77777777" w:rsidR="00403B07" w:rsidRPr="006A3212" w:rsidRDefault="00403B07" w:rsidP="00B01272">
            <w:pPr>
              <w:spacing w:after="0" w:line="240" w:lineRule="auto"/>
              <w:jc w:val="center"/>
              <w:rPr>
                <w:rFonts w:ascii="Calibri" w:eastAsia="Times New Roman" w:hAnsi="Calibri" w:cs="Times New Roman"/>
                <w:b/>
                <w:bCs/>
                <w:color w:val="000000"/>
                <w:sz w:val="18"/>
                <w:szCs w:val="18"/>
              </w:rPr>
            </w:pPr>
            <w:r w:rsidRPr="006A3212">
              <w:rPr>
                <w:rFonts w:ascii="Calibri" w:eastAsia="Times New Roman" w:hAnsi="Calibri" w:cs="Times New Roman"/>
                <w:b/>
                <w:bCs/>
                <w:color w:val="000000"/>
                <w:sz w:val="18"/>
                <w:szCs w:val="18"/>
              </w:rPr>
              <w:t>18</w:t>
            </w:r>
          </w:p>
        </w:tc>
        <w:tc>
          <w:tcPr>
            <w:tcW w:w="304" w:type="dxa"/>
            <w:tcBorders>
              <w:top w:val="nil"/>
              <w:left w:val="nil"/>
              <w:bottom w:val="single" w:sz="4" w:space="0" w:color="auto"/>
              <w:right w:val="nil"/>
            </w:tcBorders>
            <w:shd w:val="clear" w:color="auto" w:fill="auto"/>
            <w:vAlign w:val="bottom"/>
            <w:hideMark/>
          </w:tcPr>
          <w:p w14:paraId="4C780D7D" w14:textId="77777777" w:rsidR="00403B07" w:rsidRPr="006A3212" w:rsidRDefault="00403B07" w:rsidP="00B01272">
            <w:pPr>
              <w:spacing w:after="0" w:line="240" w:lineRule="auto"/>
              <w:jc w:val="center"/>
              <w:rPr>
                <w:rFonts w:ascii="Calibri" w:eastAsia="Times New Roman" w:hAnsi="Calibri" w:cs="Times New Roman"/>
                <w:b/>
                <w:bCs/>
                <w:color w:val="000000"/>
                <w:sz w:val="18"/>
                <w:szCs w:val="18"/>
              </w:rPr>
            </w:pPr>
            <w:r w:rsidRPr="006A3212">
              <w:rPr>
                <w:rFonts w:ascii="Calibri" w:eastAsia="Times New Roman" w:hAnsi="Calibri" w:cs="Times New Roman"/>
                <w:b/>
                <w:bCs/>
                <w:color w:val="000000"/>
                <w:sz w:val="18"/>
                <w:szCs w:val="18"/>
              </w:rPr>
              <w:t>B</w:t>
            </w:r>
          </w:p>
        </w:tc>
        <w:tc>
          <w:tcPr>
            <w:tcW w:w="688" w:type="dxa"/>
            <w:tcBorders>
              <w:top w:val="nil"/>
              <w:left w:val="nil"/>
              <w:bottom w:val="single" w:sz="4" w:space="0" w:color="auto"/>
              <w:right w:val="single" w:sz="4" w:space="0" w:color="auto"/>
            </w:tcBorders>
            <w:shd w:val="clear" w:color="auto" w:fill="auto"/>
            <w:noWrap/>
            <w:vAlign w:val="bottom"/>
            <w:hideMark/>
          </w:tcPr>
          <w:p w14:paraId="34AA6328" w14:textId="77777777" w:rsidR="00403B07" w:rsidRPr="006A3212" w:rsidRDefault="00403B07" w:rsidP="00B01272">
            <w:pPr>
              <w:spacing w:after="0" w:line="240" w:lineRule="auto"/>
              <w:jc w:val="center"/>
              <w:rPr>
                <w:rFonts w:ascii="Calibri" w:eastAsia="Times New Roman" w:hAnsi="Calibri" w:cs="Times New Roman"/>
                <w:b/>
                <w:bCs/>
                <w:color w:val="000000"/>
                <w:sz w:val="18"/>
                <w:szCs w:val="18"/>
              </w:rPr>
            </w:pPr>
            <w:r w:rsidRPr="006A3212">
              <w:rPr>
                <w:rFonts w:ascii="Calibri" w:eastAsia="Times New Roman" w:hAnsi="Calibri" w:cs="Times New Roman"/>
                <w:b/>
                <w:bCs/>
                <w:color w:val="000000"/>
                <w:sz w:val="18"/>
                <w:szCs w:val="18"/>
              </w:rPr>
              <w:t>18</w:t>
            </w:r>
          </w:p>
        </w:tc>
        <w:tc>
          <w:tcPr>
            <w:tcW w:w="289" w:type="dxa"/>
            <w:tcBorders>
              <w:top w:val="nil"/>
              <w:left w:val="nil"/>
              <w:bottom w:val="single" w:sz="4" w:space="0" w:color="auto"/>
              <w:right w:val="nil"/>
            </w:tcBorders>
            <w:shd w:val="clear" w:color="auto" w:fill="auto"/>
            <w:vAlign w:val="bottom"/>
            <w:hideMark/>
          </w:tcPr>
          <w:p w14:paraId="07AABAD8" w14:textId="77777777" w:rsidR="00403B07" w:rsidRPr="006A3212" w:rsidRDefault="00403B07" w:rsidP="00B01272">
            <w:pPr>
              <w:spacing w:after="0" w:line="240" w:lineRule="auto"/>
              <w:jc w:val="center"/>
              <w:rPr>
                <w:rFonts w:ascii="Calibri" w:eastAsia="Times New Roman" w:hAnsi="Calibri" w:cs="Times New Roman"/>
                <w:b/>
                <w:bCs/>
                <w:color w:val="000000"/>
                <w:sz w:val="18"/>
                <w:szCs w:val="18"/>
              </w:rPr>
            </w:pPr>
            <w:r w:rsidRPr="006A3212">
              <w:rPr>
                <w:rFonts w:ascii="Calibri" w:eastAsia="Times New Roman" w:hAnsi="Calibri" w:cs="Times New Roman"/>
                <w:b/>
                <w:bCs/>
                <w:color w:val="000000"/>
                <w:sz w:val="18"/>
                <w:szCs w:val="18"/>
              </w:rPr>
              <w:t>B</w:t>
            </w:r>
          </w:p>
        </w:tc>
        <w:tc>
          <w:tcPr>
            <w:tcW w:w="703" w:type="dxa"/>
            <w:tcBorders>
              <w:top w:val="nil"/>
              <w:left w:val="nil"/>
              <w:bottom w:val="single" w:sz="4" w:space="0" w:color="auto"/>
              <w:right w:val="single" w:sz="4" w:space="0" w:color="auto"/>
            </w:tcBorders>
            <w:shd w:val="clear" w:color="auto" w:fill="auto"/>
            <w:noWrap/>
            <w:vAlign w:val="bottom"/>
            <w:hideMark/>
          </w:tcPr>
          <w:p w14:paraId="3BCEA49F" w14:textId="77777777" w:rsidR="00403B07" w:rsidRPr="006A3212" w:rsidRDefault="00403B07" w:rsidP="00B01272">
            <w:pPr>
              <w:spacing w:after="0" w:line="240" w:lineRule="auto"/>
              <w:jc w:val="center"/>
              <w:rPr>
                <w:rFonts w:ascii="Calibri" w:eastAsia="Times New Roman" w:hAnsi="Calibri" w:cs="Times New Roman"/>
                <w:b/>
                <w:bCs/>
                <w:color w:val="000000"/>
                <w:sz w:val="18"/>
                <w:szCs w:val="18"/>
              </w:rPr>
            </w:pPr>
            <w:r w:rsidRPr="006A3212">
              <w:rPr>
                <w:rFonts w:ascii="Calibri" w:eastAsia="Times New Roman" w:hAnsi="Calibri" w:cs="Times New Roman"/>
                <w:b/>
                <w:bCs/>
                <w:color w:val="000000"/>
                <w:sz w:val="18"/>
                <w:szCs w:val="18"/>
              </w:rPr>
              <w:t>18</w:t>
            </w:r>
          </w:p>
        </w:tc>
        <w:tc>
          <w:tcPr>
            <w:tcW w:w="546" w:type="dxa"/>
            <w:tcBorders>
              <w:top w:val="nil"/>
              <w:left w:val="nil"/>
              <w:bottom w:val="single" w:sz="4" w:space="0" w:color="auto"/>
              <w:right w:val="nil"/>
            </w:tcBorders>
            <w:shd w:val="clear" w:color="auto" w:fill="auto"/>
            <w:vAlign w:val="bottom"/>
            <w:hideMark/>
          </w:tcPr>
          <w:p w14:paraId="018E2B6D" w14:textId="77777777" w:rsidR="00403B07" w:rsidRPr="006A3212" w:rsidRDefault="00403B07" w:rsidP="00B01272">
            <w:pPr>
              <w:spacing w:after="0" w:line="240" w:lineRule="auto"/>
              <w:jc w:val="center"/>
              <w:rPr>
                <w:rFonts w:ascii="Calibri" w:eastAsia="Times New Roman" w:hAnsi="Calibri" w:cs="Times New Roman"/>
                <w:b/>
                <w:bCs/>
                <w:color w:val="000000"/>
                <w:sz w:val="18"/>
                <w:szCs w:val="18"/>
              </w:rPr>
            </w:pPr>
            <w:r w:rsidRPr="006A3212">
              <w:rPr>
                <w:rFonts w:ascii="Calibri" w:eastAsia="Times New Roman" w:hAnsi="Calibri" w:cs="Times New Roman"/>
                <w:b/>
                <w:bCs/>
                <w:color w:val="000000"/>
                <w:sz w:val="18"/>
                <w:szCs w:val="18"/>
              </w:rPr>
              <w:t>B</w:t>
            </w:r>
          </w:p>
        </w:tc>
        <w:tc>
          <w:tcPr>
            <w:tcW w:w="565" w:type="dxa"/>
            <w:tcBorders>
              <w:top w:val="nil"/>
              <w:left w:val="nil"/>
              <w:bottom w:val="single" w:sz="4" w:space="0" w:color="auto"/>
              <w:right w:val="single" w:sz="4" w:space="0" w:color="auto"/>
            </w:tcBorders>
            <w:shd w:val="clear" w:color="auto" w:fill="auto"/>
            <w:noWrap/>
            <w:vAlign w:val="bottom"/>
            <w:hideMark/>
          </w:tcPr>
          <w:p w14:paraId="4624A8E6" w14:textId="77777777" w:rsidR="00403B07" w:rsidRPr="006A3212" w:rsidRDefault="00403B07" w:rsidP="00B01272">
            <w:pPr>
              <w:spacing w:after="0" w:line="240" w:lineRule="auto"/>
              <w:jc w:val="center"/>
              <w:rPr>
                <w:rFonts w:ascii="Calibri" w:eastAsia="Times New Roman" w:hAnsi="Calibri" w:cs="Times New Roman"/>
                <w:b/>
                <w:bCs/>
                <w:color w:val="000000"/>
                <w:sz w:val="18"/>
                <w:szCs w:val="18"/>
              </w:rPr>
            </w:pPr>
            <w:r w:rsidRPr="006A3212">
              <w:rPr>
                <w:rFonts w:ascii="Calibri" w:eastAsia="Times New Roman" w:hAnsi="Calibri" w:cs="Times New Roman"/>
                <w:b/>
                <w:bCs/>
                <w:color w:val="000000"/>
                <w:sz w:val="18"/>
                <w:szCs w:val="18"/>
              </w:rPr>
              <w:t>18</w:t>
            </w:r>
          </w:p>
        </w:tc>
        <w:tc>
          <w:tcPr>
            <w:tcW w:w="432" w:type="dxa"/>
            <w:tcBorders>
              <w:top w:val="nil"/>
              <w:left w:val="nil"/>
              <w:bottom w:val="single" w:sz="4" w:space="0" w:color="auto"/>
              <w:right w:val="nil"/>
            </w:tcBorders>
            <w:shd w:val="clear" w:color="auto" w:fill="auto"/>
            <w:vAlign w:val="bottom"/>
            <w:hideMark/>
          </w:tcPr>
          <w:p w14:paraId="07705128" w14:textId="77777777" w:rsidR="00403B07" w:rsidRPr="006A3212" w:rsidRDefault="00403B07" w:rsidP="00B01272">
            <w:pPr>
              <w:spacing w:after="0" w:line="240" w:lineRule="auto"/>
              <w:jc w:val="center"/>
              <w:rPr>
                <w:rFonts w:ascii="Calibri" w:eastAsia="Times New Roman" w:hAnsi="Calibri" w:cs="Times New Roman"/>
                <w:b/>
                <w:bCs/>
                <w:color w:val="000000"/>
                <w:sz w:val="18"/>
                <w:szCs w:val="18"/>
              </w:rPr>
            </w:pPr>
            <w:r w:rsidRPr="006A3212">
              <w:rPr>
                <w:rFonts w:ascii="Calibri" w:eastAsia="Times New Roman" w:hAnsi="Calibri" w:cs="Times New Roman"/>
                <w:b/>
                <w:bCs/>
                <w:color w:val="000000"/>
                <w:sz w:val="18"/>
                <w:szCs w:val="18"/>
              </w:rPr>
              <w:t>B</w:t>
            </w:r>
          </w:p>
        </w:tc>
        <w:tc>
          <w:tcPr>
            <w:tcW w:w="418" w:type="dxa"/>
            <w:tcBorders>
              <w:top w:val="nil"/>
              <w:left w:val="nil"/>
              <w:bottom w:val="single" w:sz="4" w:space="0" w:color="auto"/>
              <w:right w:val="single" w:sz="4" w:space="0" w:color="auto"/>
            </w:tcBorders>
            <w:shd w:val="clear" w:color="auto" w:fill="auto"/>
            <w:noWrap/>
            <w:vAlign w:val="bottom"/>
            <w:hideMark/>
          </w:tcPr>
          <w:p w14:paraId="7AE6230D" w14:textId="77777777" w:rsidR="00403B07" w:rsidRPr="006A3212" w:rsidRDefault="00403B07" w:rsidP="00B01272">
            <w:pPr>
              <w:spacing w:after="0" w:line="240" w:lineRule="auto"/>
              <w:jc w:val="center"/>
              <w:rPr>
                <w:rFonts w:ascii="Calibri" w:eastAsia="Times New Roman" w:hAnsi="Calibri" w:cs="Times New Roman"/>
                <w:b/>
                <w:bCs/>
                <w:color w:val="000000"/>
                <w:sz w:val="18"/>
                <w:szCs w:val="18"/>
              </w:rPr>
            </w:pPr>
            <w:r w:rsidRPr="006A3212">
              <w:rPr>
                <w:rFonts w:ascii="Calibri" w:eastAsia="Times New Roman" w:hAnsi="Calibri" w:cs="Times New Roman"/>
                <w:b/>
                <w:bCs/>
                <w:color w:val="000000"/>
                <w:sz w:val="18"/>
                <w:szCs w:val="18"/>
              </w:rPr>
              <w:t>18</w:t>
            </w:r>
          </w:p>
        </w:tc>
        <w:tc>
          <w:tcPr>
            <w:tcW w:w="562" w:type="dxa"/>
            <w:tcBorders>
              <w:top w:val="nil"/>
              <w:left w:val="nil"/>
              <w:bottom w:val="single" w:sz="4" w:space="0" w:color="auto"/>
              <w:right w:val="nil"/>
            </w:tcBorders>
            <w:shd w:val="clear" w:color="auto" w:fill="auto"/>
            <w:vAlign w:val="bottom"/>
            <w:hideMark/>
          </w:tcPr>
          <w:p w14:paraId="69DB9A6A" w14:textId="77777777" w:rsidR="00403B07" w:rsidRPr="006A3212" w:rsidRDefault="00403B07" w:rsidP="00B01272">
            <w:pPr>
              <w:spacing w:after="0" w:line="240" w:lineRule="auto"/>
              <w:jc w:val="center"/>
              <w:rPr>
                <w:rFonts w:ascii="Calibri" w:eastAsia="Times New Roman" w:hAnsi="Calibri" w:cs="Times New Roman"/>
                <w:b/>
                <w:bCs/>
                <w:color w:val="000000"/>
                <w:sz w:val="18"/>
                <w:szCs w:val="18"/>
              </w:rPr>
            </w:pPr>
            <w:r w:rsidRPr="006A3212">
              <w:rPr>
                <w:rFonts w:ascii="Calibri" w:eastAsia="Times New Roman" w:hAnsi="Calibri" w:cs="Times New Roman"/>
                <w:b/>
                <w:bCs/>
                <w:color w:val="000000"/>
                <w:sz w:val="18"/>
                <w:szCs w:val="18"/>
              </w:rPr>
              <w:t>B</w:t>
            </w:r>
          </w:p>
        </w:tc>
        <w:tc>
          <w:tcPr>
            <w:tcW w:w="488" w:type="dxa"/>
            <w:tcBorders>
              <w:top w:val="nil"/>
              <w:left w:val="nil"/>
              <w:bottom w:val="single" w:sz="4" w:space="0" w:color="auto"/>
              <w:right w:val="single" w:sz="4" w:space="0" w:color="auto"/>
            </w:tcBorders>
            <w:shd w:val="clear" w:color="auto" w:fill="auto"/>
            <w:noWrap/>
            <w:vAlign w:val="bottom"/>
            <w:hideMark/>
          </w:tcPr>
          <w:p w14:paraId="28BFB58B" w14:textId="77777777" w:rsidR="00403B07" w:rsidRPr="006A3212" w:rsidRDefault="00403B07" w:rsidP="00B01272">
            <w:pPr>
              <w:spacing w:after="0" w:line="240" w:lineRule="auto"/>
              <w:jc w:val="center"/>
              <w:rPr>
                <w:rFonts w:ascii="Calibri" w:eastAsia="Times New Roman" w:hAnsi="Calibri" w:cs="Times New Roman"/>
                <w:b/>
                <w:bCs/>
                <w:color w:val="000000"/>
                <w:sz w:val="18"/>
                <w:szCs w:val="18"/>
              </w:rPr>
            </w:pPr>
            <w:r w:rsidRPr="006A3212">
              <w:rPr>
                <w:rFonts w:ascii="Calibri" w:eastAsia="Times New Roman" w:hAnsi="Calibri" w:cs="Times New Roman"/>
                <w:b/>
                <w:bCs/>
                <w:color w:val="000000"/>
                <w:sz w:val="18"/>
                <w:szCs w:val="18"/>
              </w:rPr>
              <w:t>18</w:t>
            </w:r>
          </w:p>
        </w:tc>
        <w:tc>
          <w:tcPr>
            <w:tcW w:w="488" w:type="dxa"/>
            <w:tcBorders>
              <w:top w:val="nil"/>
              <w:left w:val="nil"/>
              <w:bottom w:val="single" w:sz="4" w:space="0" w:color="auto"/>
              <w:right w:val="nil"/>
            </w:tcBorders>
            <w:shd w:val="clear" w:color="auto" w:fill="auto"/>
            <w:vAlign w:val="bottom"/>
            <w:hideMark/>
          </w:tcPr>
          <w:p w14:paraId="5DA45196" w14:textId="77777777" w:rsidR="00403B07" w:rsidRPr="006A3212" w:rsidRDefault="00403B07" w:rsidP="00B01272">
            <w:pPr>
              <w:spacing w:after="0" w:line="240" w:lineRule="auto"/>
              <w:jc w:val="center"/>
              <w:rPr>
                <w:rFonts w:ascii="Calibri" w:eastAsia="Times New Roman" w:hAnsi="Calibri" w:cs="Times New Roman"/>
                <w:b/>
                <w:bCs/>
                <w:color w:val="000000"/>
                <w:sz w:val="18"/>
                <w:szCs w:val="18"/>
              </w:rPr>
            </w:pPr>
            <w:r w:rsidRPr="006A3212">
              <w:rPr>
                <w:rFonts w:ascii="Calibri" w:eastAsia="Times New Roman" w:hAnsi="Calibri" w:cs="Times New Roman"/>
                <w:b/>
                <w:bCs/>
                <w:color w:val="000000"/>
                <w:sz w:val="18"/>
                <w:szCs w:val="18"/>
              </w:rPr>
              <w:t>B</w:t>
            </w:r>
          </w:p>
        </w:tc>
        <w:tc>
          <w:tcPr>
            <w:tcW w:w="488" w:type="dxa"/>
            <w:tcBorders>
              <w:top w:val="nil"/>
              <w:left w:val="nil"/>
              <w:bottom w:val="single" w:sz="4" w:space="0" w:color="auto"/>
              <w:right w:val="single" w:sz="4" w:space="0" w:color="auto"/>
            </w:tcBorders>
            <w:shd w:val="clear" w:color="auto" w:fill="auto"/>
            <w:noWrap/>
            <w:vAlign w:val="bottom"/>
            <w:hideMark/>
          </w:tcPr>
          <w:p w14:paraId="03DADB43" w14:textId="77777777" w:rsidR="00403B07" w:rsidRPr="006A3212" w:rsidRDefault="00403B07" w:rsidP="00B01272">
            <w:pPr>
              <w:spacing w:after="0" w:line="240" w:lineRule="auto"/>
              <w:jc w:val="center"/>
              <w:rPr>
                <w:rFonts w:ascii="Calibri" w:eastAsia="Times New Roman" w:hAnsi="Calibri" w:cs="Times New Roman"/>
                <w:b/>
                <w:bCs/>
                <w:color w:val="000000"/>
                <w:sz w:val="18"/>
                <w:szCs w:val="18"/>
              </w:rPr>
            </w:pPr>
            <w:r w:rsidRPr="006A3212">
              <w:rPr>
                <w:rFonts w:ascii="Calibri" w:eastAsia="Times New Roman" w:hAnsi="Calibri" w:cs="Times New Roman"/>
                <w:b/>
                <w:bCs/>
                <w:color w:val="000000"/>
                <w:sz w:val="18"/>
                <w:szCs w:val="18"/>
              </w:rPr>
              <w:t>18</w:t>
            </w:r>
          </w:p>
        </w:tc>
        <w:tc>
          <w:tcPr>
            <w:tcW w:w="489" w:type="dxa"/>
            <w:tcBorders>
              <w:top w:val="nil"/>
              <w:left w:val="nil"/>
              <w:bottom w:val="single" w:sz="4" w:space="0" w:color="auto"/>
              <w:right w:val="nil"/>
            </w:tcBorders>
            <w:shd w:val="clear" w:color="auto" w:fill="auto"/>
            <w:vAlign w:val="bottom"/>
            <w:hideMark/>
          </w:tcPr>
          <w:p w14:paraId="7E1A3ECD" w14:textId="77777777" w:rsidR="00403B07" w:rsidRPr="006A3212" w:rsidRDefault="00403B07" w:rsidP="00B01272">
            <w:pPr>
              <w:spacing w:after="0" w:line="240" w:lineRule="auto"/>
              <w:jc w:val="center"/>
              <w:rPr>
                <w:rFonts w:ascii="Calibri" w:eastAsia="Times New Roman" w:hAnsi="Calibri" w:cs="Times New Roman"/>
                <w:b/>
                <w:bCs/>
                <w:color w:val="000000"/>
                <w:sz w:val="18"/>
                <w:szCs w:val="18"/>
              </w:rPr>
            </w:pPr>
            <w:r w:rsidRPr="006A3212">
              <w:rPr>
                <w:rFonts w:ascii="Calibri" w:eastAsia="Times New Roman" w:hAnsi="Calibri" w:cs="Times New Roman"/>
                <w:b/>
                <w:bCs/>
                <w:color w:val="000000"/>
                <w:sz w:val="18"/>
                <w:szCs w:val="18"/>
              </w:rPr>
              <w:t>B</w:t>
            </w:r>
          </w:p>
        </w:tc>
        <w:tc>
          <w:tcPr>
            <w:tcW w:w="488" w:type="dxa"/>
            <w:tcBorders>
              <w:top w:val="nil"/>
              <w:left w:val="nil"/>
              <w:bottom w:val="single" w:sz="4" w:space="0" w:color="auto"/>
              <w:right w:val="single" w:sz="4" w:space="0" w:color="auto"/>
            </w:tcBorders>
            <w:shd w:val="clear" w:color="auto" w:fill="auto"/>
            <w:noWrap/>
            <w:vAlign w:val="bottom"/>
            <w:hideMark/>
          </w:tcPr>
          <w:p w14:paraId="4FE837C8" w14:textId="77777777" w:rsidR="00403B07" w:rsidRPr="006A3212" w:rsidRDefault="00403B07" w:rsidP="00B01272">
            <w:pPr>
              <w:spacing w:after="0" w:line="240" w:lineRule="auto"/>
              <w:jc w:val="center"/>
              <w:rPr>
                <w:rFonts w:ascii="Calibri" w:eastAsia="Times New Roman" w:hAnsi="Calibri" w:cs="Times New Roman"/>
                <w:b/>
                <w:bCs/>
                <w:color w:val="000000"/>
                <w:sz w:val="18"/>
                <w:szCs w:val="18"/>
              </w:rPr>
            </w:pPr>
            <w:r w:rsidRPr="006A3212">
              <w:rPr>
                <w:rFonts w:ascii="Calibri" w:eastAsia="Times New Roman" w:hAnsi="Calibri" w:cs="Times New Roman"/>
                <w:b/>
                <w:bCs/>
                <w:color w:val="000000"/>
                <w:sz w:val="18"/>
                <w:szCs w:val="18"/>
              </w:rPr>
              <w:t>18</w:t>
            </w:r>
          </w:p>
        </w:tc>
        <w:tc>
          <w:tcPr>
            <w:tcW w:w="488" w:type="dxa"/>
            <w:tcBorders>
              <w:top w:val="nil"/>
              <w:left w:val="nil"/>
              <w:bottom w:val="single" w:sz="4" w:space="0" w:color="auto"/>
              <w:right w:val="nil"/>
            </w:tcBorders>
            <w:shd w:val="clear" w:color="auto" w:fill="auto"/>
            <w:vAlign w:val="bottom"/>
            <w:hideMark/>
          </w:tcPr>
          <w:p w14:paraId="1AB0D07F" w14:textId="77777777" w:rsidR="00403B07" w:rsidRPr="006A3212" w:rsidRDefault="00403B07" w:rsidP="00B01272">
            <w:pPr>
              <w:spacing w:after="0" w:line="240" w:lineRule="auto"/>
              <w:jc w:val="center"/>
              <w:rPr>
                <w:rFonts w:ascii="Calibri" w:eastAsia="Times New Roman" w:hAnsi="Calibri" w:cs="Times New Roman"/>
                <w:b/>
                <w:bCs/>
                <w:color w:val="000000"/>
                <w:sz w:val="18"/>
                <w:szCs w:val="18"/>
              </w:rPr>
            </w:pPr>
            <w:r w:rsidRPr="006A3212">
              <w:rPr>
                <w:rFonts w:ascii="Calibri" w:eastAsia="Times New Roman" w:hAnsi="Calibri" w:cs="Times New Roman"/>
                <w:b/>
                <w:bCs/>
                <w:color w:val="000000"/>
                <w:sz w:val="18"/>
                <w:szCs w:val="18"/>
              </w:rPr>
              <w:t>B</w:t>
            </w:r>
          </w:p>
        </w:tc>
        <w:tc>
          <w:tcPr>
            <w:tcW w:w="488" w:type="dxa"/>
            <w:tcBorders>
              <w:top w:val="nil"/>
              <w:left w:val="nil"/>
              <w:bottom w:val="single" w:sz="4" w:space="0" w:color="auto"/>
              <w:right w:val="single" w:sz="4" w:space="0" w:color="auto"/>
            </w:tcBorders>
            <w:shd w:val="clear" w:color="auto" w:fill="auto"/>
            <w:noWrap/>
            <w:vAlign w:val="bottom"/>
            <w:hideMark/>
          </w:tcPr>
          <w:p w14:paraId="0C3B4DA4" w14:textId="77777777" w:rsidR="00403B07" w:rsidRPr="006A3212" w:rsidRDefault="00403B07" w:rsidP="00B01272">
            <w:pPr>
              <w:spacing w:after="0" w:line="240" w:lineRule="auto"/>
              <w:jc w:val="center"/>
              <w:rPr>
                <w:rFonts w:ascii="Calibri" w:eastAsia="Times New Roman" w:hAnsi="Calibri" w:cs="Times New Roman"/>
                <w:b/>
                <w:bCs/>
                <w:color w:val="000000"/>
                <w:sz w:val="18"/>
                <w:szCs w:val="18"/>
              </w:rPr>
            </w:pPr>
            <w:r w:rsidRPr="006A3212">
              <w:rPr>
                <w:rFonts w:ascii="Calibri" w:eastAsia="Times New Roman" w:hAnsi="Calibri" w:cs="Times New Roman"/>
                <w:b/>
                <w:bCs/>
                <w:color w:val="000000"/>
                <w:sz w:val="18"/>
                <w:szCs w:val="18"/>
              </w:rPr>
              <w:t>18</w:t>
            </w:r>
          </w:p>
        </w:tc>
        <w:tc>
          <w:tcPr>
            <w:tcW w:w="488" w:type="dxa"/>
            <w:tcBorders>
              <w:top w:val="nil"/>
              <w:left w:val="nil"/>
              <w:bottom w:val="single" w:sz="4" w:space="0" w:color="auto"/>
              <w:right w:val="nil"/>
            </w:tcBorders>
            <w:shd w:val="clear" w:color="auto" w:fill="auto"/>
            <w:vAlign w:val="bottom"/>
            <w:hideMark/>
          </w:tcPr>
          <w:p w14:paraId="5A1E3437" w14:textId="77777777" w:rsidR="00403B07" w:rsidRPr="006A3212" w:rsidRDefault="00403B07" w:rsidP="00B01272">
            <w:pPr>
              <w:spacing w:after="0" w:line="240" w:lineRule="auto"/>
              <w:jc w:val="center"/>
              <w:rPr>
                <w:rFonts w:ascii="Calibri" w:eastAsia="Times New Roman" w:hAnsi="Calibri" w:cs="Times New Roman"/>
                <w:b/>
                <w:bCs/>
                <w:color w:val="000000"/>
                <w:sz w:val="18"/>
                <w:szCs w:val="18"/>
              </w:rPr>
            </w:pPr>
            <w:r w:rsidRPr="006A3212">
              <w:rPr>
                <w:rFonts w:ascii="Calibri" w:eastAsia="Times New Roman" w:hAnsi="Calibri" w:cs="Times New Roman"/>
                <w:b/>
                <w:bCs/>
                <w:color w:val="000000"/>
                <w:sz w:val="18"/>
                <w:szCs w:val="18"/>
              </w:rPr>
              <w:t>B</w:t>
            </w:r>
          </w:p>
        </w:tc>
        <w:tc>
          <w:tcPr>
            <w:tcW w:w="488" w:type="dxa"/>
            <w:tcBorders>
              <w:top w:val="nil"/>
              <w:left w:val="nil"/>
              <w:bottom w:val="single" w:sz="4" w:space="0" w:color="auto"/>
              <w:right w:val="single" w:sz="4" w:space="0" w:color="auto"/>
            </w:tcBorders>
            <w:shd w:val="clear" w:color="auto" w:fill="auto"/>
            <w:noWrap/>
            <w:vAlign w:val="bottom"/>
            <w:hideMark/>
          </w:tcPr>
          <w:p w14:paraId="53C5FF31" w14:textId="77777777" w:rsidR="00403B07" w:rsidRPr="006A3212" w:rsidRDefault="00403B07" w:rsidP="00B01272">
            <w:pPr>
              <w:spacing w:after="0" w:line="240" w:lineRule="auto"/>
              <w:jc w:val="center"/>
              <w:rPr>
                <w:rFonts w:ascii="Calibri" w:eastAsia="Times New Roman" w:hAnsi="Calibri" w:cs="Times New Roman"/>
                <w:b/>
                <w:bCs/>
                <w:color w:val="000000"/>
                <w:sz w:val="18"/>
                <w:szCs w:val="18"/>
              </w:rPr>
            </w:pPr>
            <w:r w:rsidRPr="006A3212">
              <w:rPr>
                <w:rFonts w:ascii="Calibri" w:eastAsia="Times New Roman" w:hAnsi="Calibri" w:cs="Times New Roman"/>
                <w:b/>
                <w:bCs/>
                <w:color w:val="000000"/>
                <w:sz w:val="18"/>
                <w:szCs w:val="18"/>
              </w:rPr>
              <w:t>18</w:t>
            </w:r>
          </w:p>
        </w:tc>
        <w:tc>
          <w:tcPr>
            <w:tcW w:w="488" w:type="dxa"/>
            <w:tcBorders>
              <w:top w:val="nil"/>
              <w:left w:val="nil"/>
              <w:bottom w:val="single" w:sz="4" w:space="0" w:color="auto"/>
              <w:right w:val="nil"/>
            </w:tcBorders>
            <w:shd w:val="clear" w:color="auto" w:fill="auto"/>
            <w:vAlign w:val="bottom"/>
            <w:hideMark/>
          </w:tcPr>
          <w:p w14:paraId="6DDBD324" w14:textId="77777777" w:rsidR="00403B07" w:rsidRPr="006A3212" w:rsidRDefault="00403B07" w:rsidP="00B01272">
            <w:pPr>
              <w:spacing w:after="0" w:line="240" w:lineRule="auto"/>
              <w:jc w:val="center"/>
              <w:rPr>
                <w:rFonts w:ascii="Calibri" w:eastAsia="Times New Roman" w:hAnsi="Calibri" w:cs="Times New Roman"/>
                <w:b/>
                <w:bCs/>
                <w:color w:val="000000"/>
                <w:sz w:val="18"/>
                <w:szCs w:val="18"/>
              </w:rPr>
            </w:pPr>
            <w:r w:rsidRPr="006A3212">
              <w:rPr>
                <w:rFonts w:ascii="Calibri" w:eastAsia="Times New Roman" w:hAnsi="Calibri" w:cs="Times New Roman"/>
                <w:b/>
                <w:bCs/>
                <w:color w:val="000000"/>
                <w:sz w:val="18"/>
                <w:szCs w:val="18"/>
              </w:rPr>
              <w:t>B</w:t>
            </w:r>
          </w:p>
        </w:tc>
        <w:tc>
          <w:tcPr>
            <w:tcW w:w="497" w:type="dxa"/>
            <w:tcBorders>
              <w:top w:val="nil"/>
              <w:left w:val="nil"/>
              <w:bottom w:val="single" w:sz="4" w:space="0" w:color="auto"/>
              <w:right w:val="single" w:sz="4" w:space="0" w:color="auto"/>
            </w:tcBorders>
            <w:shd w:val="clear" w:color="auto" w:fill="auto"/>
            <w:noWrap/>
            <w:vAlign w:val="bottom"/>
            <w:hideMark/>
          </w:tcPr>
          <w:p w14:paraId="253FEBD7" w14:textId="77777777" w:rsidR="00403B07" w:rsidRPr="006A3212" w:rsidRDefault="00403B07" w:rsidP="00B01272">
            <w:pPr>
              <w:spacing w:after="0" w:line="240" w:lineRule="auto"/>
              <w:jc w:val="center"/>
              <w:rPr>
                <w:rFonts w:ascii="Calibri" w:eastAsia="Times New Roman" w:hAnsi="Calibri" w:cs="Times New Roman"/>
                <w:b/>
                <w:bCs/>
                <w:color w:val="000000"/>
                <w:sz w:val="18"/>
                <w:szCs w:val="18"/>
              </w:rPr>
            </w:pPr>
            <w:r w:rsidRPr="006A3212">
              <w:rPr>
                <w:rFonts w:ascii="Calibri" w:eastAsia="Times New Roman" w:hAnsi="Calibri" w:cs="Times New Roman"/>
                <w:b/>
                <w:bCs/>
                <w:color w:val="000000"/>
                <w:sz w:val="18"/>
                <w:szCs w:val="18"/>
              </w:rPr>
              <w:t>18</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20474FFA" w14:textId="77777777" w:rsidR="00403B07" w:rsidRPr="00EA2129" w:rsidRDefault="00403B07" w:rsidP="00B01272">
            <w:pPr>
              <w:spacing w:after="0" w:line="240" w:lineRule="auto"/>
              <w:rPr>
                <w:rFonts w:ascii="Calibri" w:eastAsia="Times New Roman" w:hAnsi="Calibri" w:cs="Times New Roman"/>
                <w:color w:val="000000"/>
                <w:sz w:val="18"/>
                <w:szCs w:val="18"/>
              </w:rPr>
            </w:pPr>
          </w:p>
        </w:tc>
      </w:tr>
      <w:tr w:rsidR="00403B07" w:rsidRPr="00171BEB" w14:paraId="06C14631" w14:textId="77777777" w:rsidTr="00B01272">
        <w:trPr>
          <w:gridAfter w:val="1"/>
          <w:wAfter w:w="12" w:type="dxa"/>
          <w:trHeight w:val="227"/>
        </w:trPr>
        <w:tc>
          <w:tcPr>
            <w:tcW w:w="462" w:type="dxa"/>
            <w:tcBorders>
              <w:top w:val="single" w:sz="4" w:space="0" w:color="auto"/>
              <w:left w:val="single" w:sz="4" w:space="0" w:color="auto"/>
              <w:bottom w:val="single" w:sz="4" w:space="0" w:color="auto"/>
              <w:right w:val="nil"/>
            </w:tcBorders>
            <w:shd w:val="clear" w:color="auto" w:fill="auto"/>
            <w:hideMark/>
          </w:tcPr>
          <w:p w14:paraId="61D6E4FD" w14:textId="77777777" w:rsidR="00403B07" w:rsidRPr="000E3600" w:rsidRDefault="00403B07" w:rsidP="00B01272">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01</w:t>
            </w:r>
          </w:p>
        </w:tc>
        <w:tc>
          <w:tcPr>
            <w:tcW w:w="483" w:type="dxa"/>
            <w:tcBorders>
              <w:top w:val="single" w:sz="4" w:space="0" w:color="auto"/>
              <w:left w:val="single" w:sz="4" w:space="0" w:color="auto"/>
              <w:bottom w:val="single" w:sz="4" w:space="0" w:color="auto"/>
              <w:right w:val="nil"/>
            </w:tcBorders>
            <w:shd w:val="clear" w:color="auto" w:fill="auto"/>
            <w:noWrap/>
            <w:hideMark/>
          </w:tcPr>
          <w:p w14:paraId="0C1BA730" w14:textId="77777777" w:rsidR="00403B07" w:rsidRDefault="00403B07" w:rsidP="00B01272">
            <w:r w:rsidRPr="00456E5F">
              <w:rPr>
                <w:rFonts w:ascii="Marlett" w:hAnsi="Marlett"/>
              </w:rPr>
              <w:t></w:t>
            </w:r>
          </w:p>
        </w:tc>
        <w:tc>
          <w:tcPr>
            <w:tcW w:w="486" w:type="dxa"/>
            <w:tcBorders>
              <w:top w:val="single" w:sz="4" w:space="0" w:color="auto"/>
              <w:left w:val="nil"/>
              <w:bottom w:val="single" w:sz="4" w:space="0" w:color="auto"/>
              <w:right w:val="single" w:sz="4" w:space="0" w:color="auto"/>
            </w:tcBorders>
            <w:shd w:val="clear" w:color="auto" w:fill="auto"/>
            <w:noWrap/>
            <w:hideMark/>
          </w:tcPr>
          <w:p w14:paraId="1BE997C9" w14:textId="77777777" w:rsidR="00403B07" w:rsidRDefault="00403B07" w:rsidP="00B01272">
            <w:r w:rsidRPr="00456E5F">
              <w:rPr>
                <w:rFonts w:ascii="Marlett" w:hAnsi="Marlett"/>
              </w:rPr>
              <w:t></w:t>
            </w:r>
          </w:p>
        </w:tc>
        <w:tc>
          <w:tcPr>
            <w:tcW w:w="487" w:type="dxa"/>
            <w:tcBorders>
              <w:top w:val="single" w:sz="4" w:space="0" w:color="auto"/>
              <w:left w:val="nil"/>
              <w:bottom w:val="single" w:sz="4" w:space="0" w:color="auto"/>
              <w:right w:val="nil"/>
            </w:tcBorders>
            <w:shd w:val="clear" w:color="auto" w:fill="auto"/>
            <w:hideMark/>
          </w:tcPr>
          <w:p w14:paraId="6B70A819"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668" w:type="dxa"/>
            <w:tcBorders>
              <w:top w:val="single" w:sz="4" w:space="0" w:color="auto"/>
              <w:left w:val="nil"/>
              <w:bottom w:val="single" w:sz="4" w:space="0" w:color="auto"/>
              <w:right w:val="single" w:sz="4" w:space="0" w:color="auto"/>
            </w:tcBorders>
            <w:shd w:val="clear" w:color="auto" w:fill="auto"/>
            <w:noWrap/>
            <w:hideMark/>
          </w:tcPr>
          <w:p w14:paraId="5BEDBC1E"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304" w:type="dxa"/>
            <w:tcBorders>
              <w:top w:val="single" w:sz="4" w:space="0" w:color="auto"/>
              <w:left w:val="nil"/>
              <w:bottom w:val="single" w:sz="4" w:space="0" w:color="auto"/>
              <w:right w:val="nil"/>
            </w:tcBorders>
            <w:shd w:val="clear" w:color="auto" w:fill="auto"/>
            <w:noWrap/>
            <w:hideMark/>
          </w:tcPr>
          <w:p w14:paraId="4A56C09C" w14:textId="77777777" w:rsidR="00403B07" w:rsidRDefault="00403B07" w:rsidP="00B01272">
            <w:r w:rsidRPr="00910FAA">
              <w:rPr>
                <w:rFonts w:ascii="Marlett" w:hAnsi="Marlett"/>
              </w:rPr>
              <w:t></w:t>
            </w:r>
          </w:p>
        </w:tc>
        <w:tc>
          <w:tcPr>
            <w:tcW w:w="688" w:type="dxa"/>
            <w:tcBorders>
              <w:top w:val="single" w:sz="4" w:space="0" w:color="auto"/>
              <w:left w:val="nil"/>
              <w:bottom w:val="single" w:sz="4" w:space="0" w:color="auto"/>
              <w:right w:val="single" w:sz="4" w:space="0" w:color="auto"/>
            </w:tcBorders>
            <w:shd w:val="clear" w:color="auto" w:fill="auto"/>
            <w:noWrap/>
            <w:hideMark/>
          </w:tcPr>
          <w:p w14:paraId="7D280838" w14:textId="77777777" w:rsidR="00403B07" w:rsidRDefault="00403B07" w:rsidP="00B01272">
            <w:r w:rsidRPr="00910FAA">
              <w:rPr>
                <w:rFonts w:ascii="Marlett" w:hAnsi="Marlett"/>
              </w:rPr>
              <w:t></w:t>
            </w:r>
          </w:p>
        </w:tc>
        <w:tc>
          <w:tcPr>
            <w:tcW w:w="289" w:type="dxa"/>
            <w:tcBorders>
              <w:top w:val="single" w:sz="4" w:space="0" w:color="auto"/>
              <w:left w:val="nil"/>
              <w:bottom w:val="single" w:sz="4" w:space="0" w:color="auto"/>
              <w:right w:val="nil"/>
            </w:tcBorders>
            <w:shd w:val="clear" w:color="auto" w:fill="auto"/>
            <w:noWrap/>
            <w:hideMark/>
          </w:tcPr>
          <w:p w14:paraId="03D04D99" w14:textId="77777777" w:rsidR="00403B07" w:rsidRDefault="00403B07" w:rsidP="00B01272">
            <w:r w:rsidRPr="002A6C6E">
              <w:rPr>
                <w:rFonts w:ascii="Marlett" w:hAnsi="Marlett"/>
              </w:rPr>
              <w:t></w:t>
            </w:r>
          </w:p>
        </w:tc>
        <w:tc>
          <w:tcPr>
            <w:tcW w:w="703" w:type="dxa"/>
            <w:tcBorders>
              <w:top w:val="single" w:sz="4" w:space="0" w:color="auto"/>
              <w:left w:val="nil"/>
              <w:bottom w:val="single" w:sz="4" w:space="0" w:color="auto"/>
              <w:right w:val="single" w:sz="4" w:space="0" w:color="auto"/>
            </w:tcBorders>
            <w:shd w:val="clear" w:color="auto" w:fill="auto"/>
            <w:noWrap/>
            <w:hideMark/>
          </w:tcPr>
          <w:p w14:paraId="693DA6CB" w14:textId="77777777" w:rsidR="00403B07" w:rsidRDefault="00403B07" w:rsidP="00B01272">
            <w:r w:rsidRPr="002A6C6E">
              <w:rPr>
                <w:rFonts w:ascii="Marlett" w:hAnsi="Marlett"/>
              </w:rPr>
              <w:t></w:t>
            </w:r>
          </w:p>
        </w:tc>
        <w:tc>
          <w:tcPr>
            <w:tcW w:w="546" w:type="dxa"/>
            <w:tcBorders>
              <w:top w:val="single" w:sz="4" w:space="0" w:color="auto"/>
              <w:left w:val="nil"/>
              <w:bottom w:val="single" w:sz="4" w:space="0" w:color="auto"/>
              <w:right w:val="nil"/>
            </w:tcBorders>
            <w:shd w:val="clear" w:color="auto" w:fill="auto"/>
            <w:hideMark/>
          </w:tcPr>
          <w:p w14:paraId="7D34AD22"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565" w:type="dxa"/>
            <w:tcBorders>
              <w:top w:val="single" w:sz="4" w:space="0" w:color="auto"/>
              <w:left w:val="nil"/>
              <w:bottom w:val="single" w:sz="4" w:space="0" w:color="auto"/>
              <w:right w:val="single" w:sz="4" w:space="0" w:color="auto"/>
            </w:tcBorders>
            <w:shd w:val="clear" w:color="auto" w:fill="auto"/>
            <w:noWrap/>
            <w:hideMark/>
          </w:tcPr>
          <w:p w14:paraId="68E2E710"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32" w:type="dxa"/>
            <w:tcBorders>
              <w:top w:val="single" w:sz="4" w:space="0" w:color="auto"/>
              <w:left w:val="nil"/>
              <w:bottom w:val="single" w:sz="4" w:space="0" w:color="auto"/>
              <w:right w:val="nil"/>
            </w:tcBorders>
            <w:shd w:val="clear" w:color="auto" w:fill="auto"/>
            <w:noWrap/>
            <w:hideMark/>
          </w:tcPr>
          <w:p w14:paraId="63C73870" w14:textId="77777777" w:rsidR="00403B07" w:rsidRDefault="00403B07" w:rsidP="00B01272">
            <w:r w:rsidRPr="008F6107">
              <w:rPr>
                <w:rFonts w:ascii="Marlett" w:hAnsi="Marlett"/>
              </w:rPr>
              <w:t></w:t>
            </w:r>
          </w:p>
        </w:tc>
        <w:tc>
          <w:tcPr>
            <w:tcW w:w="418" w:type="dxa"/>
            <w:tcBorders>
              <w:top w:val="single" w:sz="4" w:space="0" w:color="auto"/>
              <w:left w:val="nil"/>
              <w:bottom w:val="single" w:sz="4" w:space="0" w:color="auto"/>
              <w:right w:val="single" w:sz="4" w:space="0" w:color="auto"/>
            </w:tcBorders>
            <w:shd w:val="clear" w:color="auto" w:fill="auto"/>
            <w:noWrap/>
            <w:hideMark/>
          </w:tcPr>
          <w:p w14:paraId="6CCD028B" w14:textId="77777777" w:rsidR="00403B07" w:rsidRDefault="00403B07" w:rsidP="00B01272">
            <w:r w:rsidRPr="008F6107">
              <w:rPr>
                <w:rFonts w:ascii="Marlett" w:hAnsi="Marlett"/>
              </w:rPr>
              <w:t></w:t>
            </w:r>
          </w:p>
        </w:tc>
        <w:tc>
          <w:tcPr>
            <w:tcW w:w="562" w:type="dxa"/>
            <w:tcBorders>
              <w:top w:val="single" w:sz="4" w:space="0" w:color="auto"/>
              <w:left w:val="nil"/>
              <w:bottom w:val="single" w:sz="4" w:space="0" w:color="auto"/>
              <w:right w:val="nil"/>
            </w:tcBorders>
            <w:shd w:val="clear" w:color="auto" w:fill="auto"/>
            <w:hideMark/>
          </w:tcPr>
          <w:p w14:paraId="0FE770E1"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single" w:sz="4" w:space="0" w:color="auto"/>
              <w:left w:val="nil"/>
              <w:bottom w:val="single" w:sz="4" w:space="0" w:color="auto"/>
              <w:right w:val="single" w:sz="4" w:space="0" w:color="auto"/>
            </w:tcBorders>
            <w:shd w:val="clear" w:color="auto" w:fill="auto"/>
            <w:noWrap/>
            <w:hideMark/>
          </w:tcPr>
          <w:p w14:paraId="3CE22E3F"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single" w:sz="4" w:space="0" w:color="auto"/>
              <w:left w:val="nil"/>
              <w:bottom w:val="single" w:sz="4" w:space="0" w:color="auto"/>
              <w:right w:val="nil"/>
            </w:tcBorders>
            <w:shd w:val="clear" w:color="auto" w:fill="auto"/>
            <w:noWrap/>
            <w:hideMark/>
          </w:tcPr>
          <w:p w14:paraId="4C14FDCE" w14:textId="77777777" w:rsidR="00403B07" w:rsidRDefault="00403B07" w:rsidP="00B01272">
            <w:r w:rsidRPr="00155CD4">
              <w:rPr>
                <w:rFonts w:ascii="Marlett" w:hAnsi="Marlett"/>
              </w:rPr>
              <w:t></w:t>
            </w:r>
          </w:p>
        </w:tc>
        <w:tc>
          <w:tcPr>
            <w:tcW w:w="488" w:type="dxa"/>
            <w:tcBorders>
              <w:top w:val="single" w:sz="4" w:space="0" w:color="auto"/>
              <w:left w:val="nil"/>
              <w:bottom w:val="single" w:sz="4" w:space="0" w:color="auto"/>
              <w:right w:val="single" w:sz="4" w:space="0" w:color="auto"/>
            </w:tcBorders>
            <w:shd w:val="clear" w:color="auto" w:fill="auto"/>
            <w:noWrap/>
            <w:hideMark/>
          </w:tcPr>
          <w:p w14:paraId="5C599649" w14:textId="77777777" w:rsidR="00403B07" w:rsidRDefault="00403B07" w:rsidP="00B01272">
            <w:r w:rsidRPr="00155CD4">
              <w:rPr>
                <w:rFonts w:ascii="Marlett" w:hAnsi="Marlett"/>
              </w:rPr>
              <w:t></w:t>
            </w:r>
          </w:p>
        </w:tc>
        <w:tc>
          <w:tcPr>
            <w:tcW w:w="489" w:type="dxa"/>
            <w:tcBorders>
              <w:top w:val="single" w:sz="4" w:space="0" w:color="auto"/>
              <w:left w:val="nil"/>
              <w:bottom w:val="single" w:sz="4" w:space="0" w:color="auto"/>
              <w:right w:val="nil"/>
            </w:tcBorders>
            <w:shd w:val="clear" w:color="auto" w:fill="auto"/>
            <w:hideMark/>
          </w:tcPr>
          <w:p w14:paraId="73E74F2D"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single" w:sz="4" w:space="0" w:color="auto"/>
              <w:left w:val="nil"/>
              <w:bottom w:val="single" w:sz="4" w:space="0" w:color="auto"/>
              <w:right w:val="single" w:sz="4" w:space="0" w:color="auto"/>
            </w:tcBorders>
            <w:shd w:val="clear" w:color="auto" w:fill="auto"/>
            <w:noWrap/>
            <w:hideMark/>
          </w:tcPr>
          <w:p w14:paraId="0BD55754"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single" w:sz="4" w:space="0" w:color="auto"/>
              <w:left w:val="nil"/>
              <w:bottom w:val="single" w:sz="4" w:space="0" w:color="auto"/>
              <w:right w:val="nil"/>
            </w:tcBorders>
            <w:shd w:val="clear" w:color="auto" w:fill="auto"/>
            <w:hideMark/>
          </w:tcPr>
          <w:p w14:paraId="1283ED3D"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single" w:sz="4" w:space="0" w:color="auto"/>
              <w:left w:val="nil"/>
              <w:bottom w:val="single" w:sz="4" w:space="0" w:color="auto"/>
              <w:right w:val="single" w:sz="4" w:space="0" w:color="auto"/>
            </w:tcBorders>
            <w:shd w:val="clear" w:color="auto" w:fill="auto"/>
            <w:noWrap/>
            <w:hideMark/>
          </w:tcPr>
          <w:p w14:paraId="6A30E7B8"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single" w:sz="4" w:space="0" w:color="auto"/>
              <w:left w:val="nil"/>
              <w:bottom w:val="single" w:sz="4" w:space="0" w:color="auto"/>
              <w:right w:val="nil"/>
            </w:tcBorders>
            <w:shd w:val="clear" w:color="auto" w:fill="auto"/>
            <w:hideMark/>
          </w:tcPr>
          <w:p w14:paraId="71365E46"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single" w:sz="4" w:space="0" w:color="auto"/>
              <w:left w:val="nil"/>
              <w:bottom w:val="single" w:sz="4" w:space="0" w:color="auto"/>
              <w:right w:val="single" w:sz="4" w:space="0" w:color="auto"/>
            </w:tcBorders>
            <w:shd w:val="clear" w:color="auto" w:fill="auto"/>
            <w:noWrap/>
            <w:hideMark/>
          </w:tcPr>
          <w:p w14:paraId="4DCB9ADD"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single" w:sz="4" w:space="0" w:color="auto"/>
              <w:left w:val="nil"/>
              <w:bottom w:val="single" w:sz="4" w:space="0" w:color="auto"/>
              <w:right w:val="nil"/>
            </w:tcBorders>
            <w:shd w:val="clear" w:color="auto" w:fill="auto"/>
            <w:hideMark/>
          </w:tcPr>
          <w:p w14:paraId="1700FECF"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97" w:type="dxa"/>
            <w:tcBorders>
              <w:top w:val="single" w:sz="4" w:space="0" w:color="auto"/>
              <w:left w:val="nil"/>
              <w:bottom w:val="single" w:sz="4" w:space="0" w:color="auto"/>
              <w:right w:val="single" w:sz="4" w:space="0" w:color="auto"/>
            </w:tcBorders>
            <w:shd w:val="clear" w:color="auto" w:fill="auto"/>
            <w:noWrap/>
            <w:hideMark/>
          </w:tcPr>
          <w:p w14:paraId="1C3BFB9B"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2178" w:type="dxa"/>
            <w:tcBorders>
              <w:top w:val="single" w:sz="4" w:space="0" w:color="auto"/>
              <w:left w:val="nil"/>
              <w:bottom w:val="single" w:sz="4" w:space="0" w:color="auto"/>
              <w:right w:val="single" w:sz="4" w:space="0" w:color="auto"/>
            </w:tcBorders>
            <w:shd w:val="clear" w:color="auto" w:fill="auto"/>
            <w:hideMark/>
          </w:tcPr>
          <w:p w14:paraId="443029D2" w14:textId="77777777" w:rsidR="00403B07" w:rsidRPr="00171BEB" w:rsidRDefault="00403B07" w:rsidP="00B01272">
            <w:pPr>
              <w:spacing w:after="0" w:line="240" w:lineRule="auto"/>
              <w:rPr>
                <w:rFonts w:ascii="Calibri" w:eastAsia="Times New Roman" w:hAnsi="Calibri" w:cs="Times New Roman"/>
                <w:color w:val="000000"/>
                <w:sz w:val="16"/>
                <w:szCs w:val="16"/>
              </w:rPr>
            </w:pPr>
            <w:r w:rsidRPr="00171BEB">
              <w:rPr>
                <w:rFonts w:ascii="Calibri" w:eastAsia="Times New Roman" w:hAnsi="Calibri" w:cs="Times New Roman"/>
                <w:color w:val="000000"/>
                <w:sz w:val="16"/>
                <w:szCs w:val="16"/>
              </w:rPr>
              <w:t> </w:t>
            </w:r>
          </w:p>
        </w:tc>
      </w:tr>
      <w:tr w:rsidR="00403B07" w:rsidRPr="00171BEB" w14:paraId="5197D607" w14:textId="77777777" w:rsidTr="00B01272">
        <w:trPr>
          <w:gridAfter w:val="1"/>
          <w:wAfter w:w="12" w:type="dxa"/>
          <w:trHeight w:val="227"/>
        </w:trPr>
        <w:tc>
          <w:tcPr>
            <w:tcW w:w="462" w:type="dxa"/>
            <w:tcBorders>
              <w:top w:val="single" w:sz="4" w:space="0" w:color="auto"/>
              <w:left w:val="single" w:sz="4" w:space="0" w:color="auto"/>
              <w:bottom w:val="single" w:sz="4" w:space="0" w:color="auto"/>
              <w:right w:val="nil"/>
            </w:tcBorders>
            <w:shd w:val="clear" w:color="auto" w:fill="auto"/>
            <w:hideMark/>
          </w:tcPr>
          <w:p w14:paraId="3FAE84AA" w14:textId="77777777" w:rsidR="00403B07" w:rsidRPr="000E3600" w:rsidRDefault="00403B07" w:rsidP="00B01272">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02</w:t>
            </w:r>
          </w:p>
        </w:tc>
        <w:tc>
          <w:tcPr>
            <w:tcW w:w="483" w:type="dxa"/>
            <w:tcBorders>
              <w:top w:val="nil"/>
              <w:left w:val="single" w:sz="4" w:space="0" w:color="auto"/>
              <w:bottom w:val="single" w:sz="4" w:space="0" w:color="auto"/>
              <w:right w:val="nil"/>
            </w:tcBorders>
            <w:shd w:val="clear" w:color="auto" w:fill="auto"/>
            <w:hideMark/>
          </w:tcPr>
          <w:p w14:paraId="252456CF"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6" w:type="dxa"/>
            <w:tcBorders>
              <w:top w:val="nil"/>
              <w:left w:val="nil"/>
              <w:bottom w:val="single" w:sz="4" w:space="0" w:color="auto"/>
              <w:right w:val="single" w:sz="4" w:space="0" w:color="auto"/>
            </w:tcBorders>
            <w:shd w:val="clear" w:color="auto" w:fill="auto"/>
            <w:noWrap/>
            <w:hideMark/>
          </w:tcPr>
          <w:p w14:paraId="7E230FFF"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7" w:type="dxa"/>
            <w:tcBorders>
              <w:top w:val="nil"/>
              <w:left w:val="nil"/>
              <w:bottom w:val="single" w:sz="4" w:space="0" w:color="auto"/>
              <w:right w:val="nil"/>
            </w:tcBorders>
            <w:shd w:val="clear" w:color="auto" w:fill="auto"/>
            <w:hideMark/>
          </w:tcPr>
          <w:p w14:paraId="2229B0CF"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668" w:type="dxa"/>
            <w:tcBorders>
              <w:top w:val="nil"/>
              <w:left w:val="nil"/>
              <w:bottom w:val="single" w:sz="4" w:space="0" w:color="auto"/>
              <w:right w:val="single" w:sz="4" w:space="0" w:color="auto"/>
            </w:tcBorders>
            <w:shd w:val="clear" w:color="auto" w:fill="auto"/>
            <w:noWrap/>
            <w:hideMark/>
          </w:tcPr>
          <w:p w14:paraId="3470C2C0"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304" w:type="dxa"/>
            <w:tcBorders>
              <w:top w:val="nil"/>
              <w:left w:val="nil"/>
              <w:bottom w:val="single" w:sz="4" w:space="0" w:color="auto"/>
              <w:right w:val="nil"/>
            </w:tcBorders>
            <w:shd w:val="clear" w:color="auto" w:fill="auto"/>
            <w:hideMark/>
          </w:tcPr>
          <w:p w14:paraId="64EC1983" w14:textId="77777777" w:rsidR="00403B07" w:rsidRDefault="00403B07" w:rsidP="00B01272">
            <w:r w:rsidRPr="00910FAA">
              <w:rPr>
                <w:rFonts w:ascii="Marlett" w:hAnsi="Marlett"/>
              </w:rPr>
              <w:t></w:t>
            </w:r>
          </w:p>
        </w:tc>
        <w:tc>
          <w:tcPr>
            <w:tcW w:w="688" w:type="dxa"/>
            <w:tcBorders>
              <w:top w:val="nil"/>
              <w:left w:val="nil"/>
              <w:bottom w:val="single" w:sz="4" w:space="0" w:color="auto"/>
              <w:right w:val="single" w:sz="4" w:space="0" w:color="auto"/>
            </w:tcBorders>
            <w:shd w:val="clear" w:color="auto" w:fill="auto"/>
            <w:noWrap/>
            <w:hideMark/>
          </w:tcPr>
          <w:p w14:paraId="509BA7A8" w14:textId="77777777" w:rsidR="00403B07" w:rsidRDefault="00403B07" w:rsidP="00B01272">
            <w:r w:rsidRPr="00910FAA">
              <w:rPr>
                <w:rFonts w:ascii="Marlett" w:hAnsi="Marlett"/>
              </w:rPr>
              <w:t></w:t>
            </w:r>
          </w:p>
        </w:tc>
        <w:tc>
          <w:tcPr>
            <w:tcW w:w="289" w:type="dxa"/>
            <w:tcBorders>
              <w:top w:val="nil"/>
              <w:left w:val="nil"/>
              <w:bottom w:val="single" w:sz="4" w:space="0" w:color="auto"/>
              <w:right w:val="nil"/>
            </w:tcBorders>
            <w:shd w:val="clear" w:color="auto" w:fill="auto"/>
            <w:noWrap/>
            <w:hideMark/>
          </w:tcPr>
          <w:p w14:paraId="7E7BB58A" w14:textId="77777777" w:rsidR="00403B07" w:rsidRDefault="00403B07" w:rsidP="00B01272">
            <w:r w:rsidRPr="002A6C6E">
              <w:rPr>
                <w:rFonts w:ascii="Marlett" w:hAnsi="Marlett"/>
              </w:rPr>
              <w:t></w:t>
            </w:r>
          </w:p>
        </w:tc>
        <w:tc>
          <w:tcPr>
            <w:tcW w:w="703" w:type="dxa"/>
            <w:tcBorders>
              <w:top w:val="nil"/>
              <w:left w:val="nil"/>
              <w:bottom w:val="single" w:sz="4" w:space="0" w:color="auto"/>
              <w:right w:val="single" w:sz="4" w:space="0" w:color="auto"/>
            </w:tcBorders>
            <w:shd w:val="clear" w:color="auto" w:fill="auto"/>
            <w:noWrap/>
            <w:hideMark/>
          </w:tcPr>
          <w:p w14:paraId="6AF06358" w14:textId="77777777" w:rsidR="00403B07" w:rsidRDefault="00403B07" w:rsidP="00B01272">
            <w:r w:rsidRPr="002A6C6E">
              <w:rPr>
                <w:rFonts w:ascii="Marlett" w:hAnsi="Marlett"/>
              </w:rPr>
              <w:t></w:t>
            </w:r>
          </w:p>
        </w:tc>
        <w:tc>
          <w:tcPr>
            <w:tcW w:w="546" w:type="dxa"/>
            <w:tcBorders>
              <w:top w:val="nil"/>
              <w:left w:val="nil"/>
              <w:bottom w:val="single" w:sz="4" w:space="0" w:color="auto"/>
              <w:right w:val="nil"/>
            </w:tcBorders>
            <w:shd w:val="clear" w:color="auto" w:fill="auto"/>
            <w:hideMark/>
          </w:tcPr>
          <w:p w14:paraId="23201CAF"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565" w:type="dxa"/>
            <w:tcBorders>
              <w:top w:val="nil"/>
              <w:left w:val="nil"/>
              <w:bottom w:val="single" w:sz="4" w:space="0" w:color="auto"/>
              <w:right w:val="single" w:sz="4" w:space="0" w:color="auto"/>
            </w:tcBorders>
            <w:shd w:val="clear" w:color="auto" w:fill="auto"/>
            <w:noWrap/>
            <w:hideMark/>
          </w:tcPr>
          <w:p w14:paraId="21F926D7"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32" w:type="dxa"/>
            <w:tcBorders>
              <w:top w:val="nil"/>
              <w:left w:val="nil"/>
              <w:bottom w:val="single" w:sz="4" w:space="0" w:color="auto"/>
              <w:right w:val="nil"/>
            </w:tcBorders>
            <w:shd w:val="clear" w:color="auto" w:fill="auto"/>
            <w:hideMark/>
          </w:tcPr>
          <w:p w14:paraId="6E53C199"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18" w:type="dxa"/>
            <w:tcBorders>
              <w:top w:val="nil"/>
              <w:left w:val="nil"/>
              <w:bottom w:val="single" w:sz="4" w:space="0" w:color="auto"/>
              <w:right w:val="single" w:sz="4" w:space="0" w:color="auto"/>
            </w:tcBorders>
            <w:shd w:val="clear" w:color="auto" w:fill="auto"/>
            <w:noWrap/>
            <w:hideMark/>
          </w:tcPr>
          <w:p w14:paraId="1E36ECF7"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562" w:type="dxa"/>
            <w:tcBorders>
              <w:top w:val="nil"/>
              <w:left w:val="nil"/>
              <w:bottom w:val="single" w:sz="4" w:space="0" w:color="auto"/>
              <w:right w:val="nil"/>
            </w:tcBorders>
            <w:shd w:val="clear" w:color="auto" w:fill="auto"/>
            <w:hideMark/>
          </w:tcPr>
          <w:p w14:paraId="3C2D863D" w14:textId="77777777" w:rsidR="00403B07" w:rsidRDefault="00403B07" w:rsidP="00B01272">
            <w:r w:rsidRPr="004175ED">
              <w:rPr>
                <w:rFonts w:ascii="Marlett" w:hAnsi="Marlett"/>
              </w:rPr>
              <w:t></w:t>
            </w:r>
          </w:p>
        </w:tc>
        <w:tc>
          <w:tcPr>
            <w:tcW w:w="488" w:type="dxa"/>
            <w:tcBorders>
              <w:top w:val="nil"/>
              <w:left w:val="nil"/>
              <w:bottom w:val="single" w:sz="4" w:space="0" w:color="auto"/>
              <w:right w:val="single" w:sz="4" w:space="0" w:color="auto"/>
            </w:tcBorders>
            <w:shd w:val="clear" w:color="auto" w:fill="auto"/>
            <w:noWrap/>
            <w:hideMark/>
          </w:tcPr>
          <w:p w14:paraId="3983A914" w14:textId="77777777" w:rsidR="00403B07" w:rsidRDefault="00403B07" w:rsidP="00B01272">
            <w:r w:rsidRPr="004175ED">
              <w:rPr>
                <w:rFonts w:ascii="Marlett" w:hAnsi="Marlett"/>
              </w:rPr>
              <w:t></w:t>
            </w:r>
          </w:p>
        </w:tc>
        <w:tc>
          <w:tcPr>
            <w:tcW w:w="488" w:type="dxa"/>
            <w:tcBorders>
              <w:top w:val="nil"/>
              <w:left w:val="nil"/>
              <w:bottom w:val="single" w:sz="4" w:space="0" w:color="auto"/>
              <w:right w:val="nil"/>
            </w:tcBorders>
            <w:shd w:val="clear" w:color="auto" w:fill="auto"/>
            <w:hideMark/>
          </w:tcPr>
          <w:p w14:paraId="0AFA32B8"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auto"/>
            <w:noWrap/>
            <w:hideMark/>
          </w:tcPr>
          <w:p w14:paraId="3B787723"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9" w:type="dxa"/>
            <w:tcBorders>
              <w:top w:val="nil"/>
              <w:left w:val="nil"/>
              <w:bottom w:val="single" w:sz="4" w:space="0" w:color="auto"/>
              <w:right w:val="nil"/>
            </w:tcBorders>
            <w:shd w:val="clear" w:color="auto" w:fill="auto"/>
            <w:hideMark/>
          </w:tcPr>
          <w:p w14:paraId="177F5FB2"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auto"/>
            <w:noWrap/>
            <w:hideMark/>
          </w:tcPr>
          <w:p w14:paraId="0C86EB4F"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nil"/>
            </w:tcBorders>
            <w:shd w:val="clear" w:color="auto" w:fill="auto"/>
            <w:hideMark/>
          </w:tcPr>
          <w:p w14:paraId="2EFDFFA8"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auto"/>
            <w:noWrap/>
            <w:hideMark/>
          </w:tcPr>
          <w:p w14:paraId="61458E38"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nil"/>
            </w:tcBorders>
            <w:shd w:val="clear" w:color="auto" w:fill="auto"/>
            <w:hideMark/>
          </w:tcPr>
          <w:p w14:paraId="446DF168"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auto"/>
            <w:noWrap/>
            <w:hideMark/>
          </w:tcPr>
          <w:p w14:paraId="48D2EE4F"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nil"/>
            </w:tcBorders>
            <w:shd w:val="clear" w:color="auto" w:fill="auto"/>
            <w:hideMark/>
          </w:tcPr>
          <w:p w14:paraId="5F0D2A22"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hideMark/>
          </w:tcPr>
          <w:p w14:paraId="1716479A"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2178" w:type="dxa"/>
            <w:tcBorders>
              <w:top w:val="nil"/>
              <w:left w:val="nil"/>
              <w:bottom w:val="single" w:sz="4" w:space="0" w:color="auto"/>
              <w:right w:val="single" w:sz="4" w:space="0" w:color="auto"/>
            </w:tcBorders>
            <w:shd w:val="clear" w:color="auto" w:fill="auto"/>
            <w:hideMark/>
          </w:tcPr>
          <w:p w14:paraId="4CC58BFA" w14:textId="77777777" w:rsidR="00403B07" w:rsidRPr="00171BEB" w:rsidRDefault="00403B07" w:rsidP="00B01272">
            <w:pPr>
              <w:spacing w:after="0" w:line="240" w:lineRule="auto"/>
              <w:rPr>
                <w:rFonts w:ascii="Calibri" w:eastAsia="Times New Roman" w:hAnsi="Calibri" w:cs="Times New Roman"/>
                <w:color w:val="000000"/>
                <w:sz w:val="16"/>
                <w:szCs w:val="16"/>
              </w:rPr>
            </w:pPr>
            <w:r w:rsidRPr="00171BEB">
              <w:rPr>
                <w:rFonts w:ascii="Calibri" w:eastAsia="Times New Roman" w:hAnsi="Calibri" w:cs="Times New Roman"/>
                <w:color w:val="000000"/>
                <w:sz w:val="16"/>
                <w:szCs w:val="16"/>
              </w:rPr>
              <w:t> </w:t>
            </w:r>
          </w:p>
        </w:tc>
      </w:tr>
      <w:tr w:rsidR="00403B07" w:rsidRPr="00171BEB" w14:paraId="20E9E73D" w14:textId="77777777" w:rsidTr="00B01272">
        <w:trPr>
          <w:gridAfter w:val="1"/>
          <w:wAfter w:w="12" w:type="dxa"/>
          <w:trHeight w:val="227"/>
        </w:trPr>
        <w:tc>
          <w:tcPr>
            <w:tcW w:w="462" w:type="dxa"/>
            <w:tcBorders>
              <w:top w:val="single" w:sz="4" w:space="0" w:color="auto"/>
              <w:left w:val="single" w:sz="4" w:space="0" w:color="auto"/>
              <w:bottom w:val="single" w:sz="4" w:space="0" w:color="auto"/>
              <w:right w:val="nil"/>
            </w:tcBorders>
            <w:shd w:val="clear" w:color="auto" w:fill="auto"/>
            <w:hideMark/>
          </w:tcPr>
          <w:p w14:paraId="48FAAD13" w14:textId="77777777" w:rsidR="00403B07" w:rsidRPr="000E3600" w:rsidRDefault="00403B07" w:rsidP="00B01272">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03</w:t>
            </w:r>
          </w:p>
        </w:tc>
        <w:tc>
          <w:tcPr>
            <w:tcW w:w="483" w:type="dxa"/>
            <w:tcBorders>
              <w:top w:val="nil"/>
              <w:left w:val="single" w:sz="4" w:space="0" w:color="auto"/>
              <w:bottom w:val="single" w:sz="4" w:space="0" w:color="auto"/>
              <w:right w:val="nil"/>
            </w:tcBorders>
            <w:shd w:val="clear" w:color="auto" w:fill="auto"/>
            <w:hideMark/>
          </w:tcPr>
          <w:p w14:paraId="53CE8645"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6" w:type="dxa"/>
            <w:tcBorders>
              <w:top w:val="nil"/>
              <w:left w:val="nil"/>
              <w:bottom w:val="single" w:sz="4" w:space="0" w:color="auto"/>
              <w:right w:val="single" w:sz="4" w:space="0" w:color="auto"/>
            </w:tcBorders>
            <w:shd w:val="clear" w:color="auto" w:fill="auto"/>
            <w:noWrap/>
            <w:hideMark/>
          </w:tcPr>
          <w:p w14:paraId="3501F323"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7" w:type="dxa"/>
            <w:tcBorders>
              <w:top w:val="nil"/>
              <w:left w:val="nil"/>
              <w:bottom w:val="single" w:sz="4" w:space="0" w:color="auto"/>
              <w:right w:val="nil"/>
            </w:tcBorders>
            <w:shd w:val="clear" w:color="auto" w:fill="auto"/>
            <w:hideMark/>
          </w:tcPr>
          <w:p w14:paraId="26D95909"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668" w:type="dxa"/>
            <w:tcBorders>
              <w:top w:val="nil"/>
              <w:left w:val="nil"/>
              <w:bottom w:val="single" w:sz="4" w:space="0" w:color="auto"/>
              <w:right w:val="single" w:sz="4" w:space="0" w:color="auto"/>
            </w:tcBorders>
            <w:shd w:val="clear" w:color="auto" w:fill="auto"/>
            <w:noWrap/>
            <w:hideMark/>
          </w:tcPr>
          <w:p w14:paraId="7B398781"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304" w:type="dxa"/>
            <w:tcBorders>
              <w:top w:val="nil"/>
              <w:left w:val="nil"/>
              <w:bottom w:val="single" w:sz="4" w:space="0" w:color="auto"/>
              <w:right w:val="nil"/>
            </w:tcBorders>
            <w:shd w:val="clear" w:color="auto" w:fill="auto"/>
            <w:hideMark/>
          </w:tcPr>
          <w:p w14:paraId="69106CE0" w14:textId="77777777" w:rsidR="00403B07" w:rsidRDefault="00403B07" w:rsidP="00B01272">
            <w:r w:rsidRPr="00910FAA">
              <w:rPr>
                <w:rFonts w:ascii="Marlett" w:hAnsi="Marlett"/>
              </w:rPr>
              <w:t></w:t>
            </w:r>
          </w:p>
        </w:tc>
        <w:tc>
          <w:tcPr>
            <w:tcW w:w="688" w:type="dxa"/>
            <w:tcBorders>
              <w:top w:val="nil"/>
              <w:left w:val="nil"/>
              <w:bottom w:val="single" w:sz="4" w:space="0" w:color="auto"/>
              <w:right w:val="single" w:sz="4" w:space="0" w:color="auto"/>
            </w:tcBorders>
            <w:shd w:val="clear" w:color="auto" w:fill="auto"/>
            <w:noWrap/>
            <w:hideMark/>
          </w:tcPr>
          <w:p w14:paraId="362DC7E2" w14:textId="77777777" w:rsidR="00403B07" w:rsidRDefault="00403B07" w:rsidP="00B01272">
            <w:r w:rsidRPr="00910FAA">
              <w:rPr>
                <w:rFonts w:ascii="Marlett" w:hAnsi="Marlett"/>
              </w:rPr>
              <w:t></w:t>
            </w:r>
          </w:p>
        </w:tc>
        <w:tc>
          <w:tcPr>
            <w:tcW w:w="289" w:type="dxa"/>
            <w:tcBorders>
              <w:top w:val="nil"/>
              <w:left w:val="nil"/>
              <w:bottom w:val="single" w:sz="4" w:space="0" w:color="auto"/>
              <w:right w:val="nil"/>
            </w:tcBorders>
            <w:shd w:val="clear" w:color="auto" w:fill="auto"/>
            <w:hideMark/>
          </w:tcPr>
          <w:p w14:paraId="155A0245"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703" w:type="dxa"/>
            <w:tcBorders>
              <w:top w:val="nil"/>
              <w:left w:val="nil"/>
              <w:bottom w:val="single" w:sz="4" w:space="0" w:color="auto"/>
              <w:right w:val="single" w:sz="4" w:space="0" w:color="auto"/>
            </w:tcBorders>
            <w:shd w:val="clear" w:color="auto" w:fill="auto"/>
            <w:noWrap/>
            <w:hideMark/>
          </w:tcPr>
          <w:p w14:paraId="3915CA63"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546" w:type="dxa"/>
            <w:tcBorders>
              <w:top w:val="nil"/>
              <w:left w:val="nil"/>
              <w:bottom w:val="single" w:sz="4" w:space="0" w:color="auto"/>
              <w:right w:val="nil"/>
            </w:tcBorders>
            <w:shd w:val="clear" w:color="auto" w:fill="auto"/>
            <w:hideMark/>
          </w:tcPr>
          <w:p w14:paraId="14021015"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565" w:type="dxa"/>
            <w:tcBorders>
              <w:top w:val="nil"/>
              <w:left w:val="nil"/>
              <w:bottom w:val="single" w:sz="4" w:space="0" w:color="auto"/>
              <w:right w:val="single" w:sz="4" w:space="0" w:color="auto"/>
            </w:tcBorders>
            <w:shd w:val="clear" w:color="auto" w:fill="auto"/>
            <w:noWrap/>
            <w:hideMark/>
          </w:tcPr>
          <w:p w14:paraId="2E2FC07C"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32" w:type="dxa"/>
            <w:tcBorders>
              <w:top w:val="nil"/>
              <w:left w:val="nil"/>
              <w:bottom w:val="single" w:sz="4" w:space="0" w:color="auto"/>
              <w:right w:val="nil"/>
            </w:tcBorders>
            <w:shd w:val="clear" w:color="auto" w:fill="auto"/>
            <w:hideMark/>
          </w:tcPr>
          <w:p w14:paraId="78F81A21"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18" w:type="dxa"/>
            <w:tcBorders>
              <w:top w:val="nil"/>
              <w:left w:val="nil"/>
              <w:bottom w:val="single" w:sz="4" w:space="0" w:color="auto"/>
              <w:right w:val="single" w:sz="4" w:space="0" w:color="auto"/>
            </w:tcBorders>
            <w:shd w:val="clear" w:color="auto" w:fill="auto"/>
            <w:noWrap/>
            <w:hideMark/>
          </w:tcPr>
          <w:p w14:paraId="610F4FF5"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562" w:type="dxa"/>
            <w:tcBorders>
              <w:top w:val="nil"/>
              <w:left w:val="nil"/>
              <w:bottom w:val="single" w:sz="4" w:space="0" w:color="auto"/>
              <w:right w:val="nil"/>
            </w:tcBorders>
            <w:shd w:val="clear" w:color="auto" w:fill="auto"/>
            <w:hideMark/>
          </w:tcPr>
          <w:p w14:paraId="237B6078"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auto"/>
            <w:noWrap/>
            <w:hideMark/>
          </w:tcPr>
          <w:p w14:paraId="4F3095BD"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nil"/>
            </w:tcBorders>
            <w:shd w:val="clear" w:color="auto" w:fill="auto"/>
            <w:hideMark/>
          </w:tcPr>
          <w:p w14:paraId="15ED4BB4"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auto"/>
            <w:noWrap/>
            <w:hideMark/>
          </w:tcPr>
          <w:p w14:paraId="4B7DFC46"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9" w:type="dxa"/>
            <w:tcBorders>
              <w:top w:val="nil"/>
              <w:left w:val="nil"/>
              <w:bottom w:val="single" w:sz="4" w:space="0" w:color="auto"/>
              <w:right w:val="nil"/>
            </w:tcBorders>
            <w:shd w:val="clear" w:color="auto" w:fill="auto"/>
            <w:hideMark/>
          </w:tcPr>
          <w:p w14:paraId="3B43F900"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auto"/>
            <w:noWrap/>
            <w:hideMark/>
          </w:tcPr>
          <w:p w14:paraId="39B43A3C"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nil"/>
            </w:tcBorders>
            <w:shd w:val="clear" w:color="auto" w:fill="auto"/>
            <w:hideMark/>
          </w:tcPr>
          <w:p w14:paraId="522AE357"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auto"/>
            <w:noWrap/>
            <w:hideMark/>
          </w:tcPr>
          <w:p w14:paraId="52606EC0"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nil"/>
            </w:tcBorders>
            <w:shd w:val="clear" w:color="auto" w:fill="auto"/>
            <w:hideMark/>
          </w:tcPr>
          <w:p w14:paraId="5885960A"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auto"/>
            <w:noWrap/>
            <w:hideMark/>
          </w:tcPr>
          <w:p w14:paraId="17D9D2C1"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nil"/>
            </w:tcBorders>
            <w:shd w:val="clear" w:color="auto" w:fill="auto"/>
            <w:hideMark/>
          </w:tcPr>
          <w:p w14:paraId="1A76F6C7"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hideMark/>
          </w:tcPr>
          <w:p w14:paraId="60E600C4"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2178" w:type="dxa"/>
            <w:tcBorders>
              <w:top w:val="nil"/>
              <w:left w:val="nil"/>
              <w:bottom w:val="single" w:sz="4" w:space="0" w:color="auto"/>
              <w:right w:val="single" w:sz="4" w:space="0" w:color="auto"/>
            </w:tcBorders>
            <w:shd w:val="clear" w:color="auto" w:fill="auto"/>
            <w:hideMark/>
          </w:tcPr>
          <w:p w14:paraId="72B83C30" w14:textId="77777777" w:rsidR="00403B07" w:rsidRPr="00171BEB" w:rsidRDefault="00403B07" w:rsidP="00B01272">
            <w:pPr>
              <w:spacing w:after="0" w:line="240" w:lineRule="auto"/>
              <w:rPr>
                <w:rFonts w:ascii="Calibri" w:eastAsia="Times New Roman" w:hAnsi="Calibri" w:cs="Times New Roman"/>
                <w:color w:val="000000"/>
                <w:sz w:val="16"/>
                <w:szCs w:val="16"/>
              </w:rPr>
            </w:pPr>
            <w:r w:rsidRPr="00171BEB">
              <w:rPr>
                <w:rFonts w:ascii="Calibri" w:eastAsia="Times New Roman" w:hAnsi="Calibri" w:cs="Times New Roman"/>
                <w:color w:val="000000"/>
                <w:sz w:val="16"/>
                <w:szCs w:val="16"/>
              </w:rPr>
              <w:t>Health School plus</w:t>
            </w:r>
          </w:p>
        </w:tc>
      </w:tr>
      <w:tr w:rsidR="00403B07" w:rsidRPr="00171BEB" w14:paraId="101FDA58" w14:textId="77777777" w:rsidTr="00B01272">
        <w:trPr>
          <w:gridAfter w:val="1"/>
          <w:wAfter w:w="12" w:type="dxa"/>
          <w:trHeight w:val="227"/>
        </w:trPr>
        <w:tc>
          <w:tcPr>
            <w:tcW w:w="462" w:type="dxa"/>
            <w:tcBorders>
              <w:top w:val="single" w:sz="4" w:space="0" w:color="auto"/>
              <w:left w:val="single" w:sz="4" w:space="0" w:color="auto"/>
              <w:bottom w:val="single" w:sz="4" w:space="0" w:color="auto"/>
              <w:right w:val="nil"/>
            </w:tcBorders>
            <w:shd w:val="clear" w:color="auto" w:fill="auto"/>
            <w:hideMark/>
          </w:tcPr>
          <w:p w14:paraId="4858D4EB" w14:textId="77777777" w:rsidR="00403B07" w:rsidRPr="000E3600" w:rsidRDefault="00403B07" w:rsidP="00B01272">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04</w:t>
            </w:r>
          </w:p>
        </w:tc>
        <w:tc>
          <w:tcPr>
            <w:tcW w:w="483" w:type="dxa"/>
            <w:tcBorders>
              <w:top w:val="nil"/>
              <w:left w:val="single" w:sz="4" w:space="0" w:color="auto"/>
              <w:bottom w:val="single" w:sz="4" w:space="0" w:color="auto"/>
              <w:right w:val="nil"/>
            </w:tcBorders>
            <w:shd w:val="clear" w:color="auto" w:fill="auto"/>
            <w:hideMark/>
          </w:tcPr>
          <w:p w14:paraId="12ED1956"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6" w:type="dxa"/>
            <w:tcBorders>
              <w:top w:val="nil"/>
              <w:left w:val="nil"/>
              <w:bottom w:val="single" w:sz="4" w:space="0" w:color="auto"/>
              <w:right w:val="single" w:sz="4" w:space="0" w:color="auto"/>
            </w:tcBorders>
            <w:shd w:val="clear" w:color="auto" w:fill="auto"/>
            <w:noWrap/>
            <w:hideMark/>
          </w:tcPr>
          <w:p w14:paraId="2CF1A32D"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7" w:type="dxa"/>
            <w:tcBorders>
              <w:top w:val="nil"/>
              <w:left w:val="nil"/>
              <w:bottom w:val="single" w:sz="4" w:space="0" w:color="auto"/>
              <w:right w:val="nil"/>
            </w:tcBorders>
            <w:shd w:val="clear" w:color="auto" w:fill="auto"/>
            <w:hideMark/>
          </w:tcPr>
          <w:p w14:paraId="4D0DD242"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668" w:type="dxa"/>
            <w:tcBorders>
              <w:top w:val="nil"/>
              <w:left w:val="nil"/>
              <w:bottom w:val="single" w:sz="4" w:space="0" w:color="auto"/>
              <w:right w:val="single" w:sz="4" w:space="0" w:color="auto"/>
            </w:tcBorders>
            <w:shd w:val="clear" w:color="auto" w:fill="auto"/>
            <w:noWrap/>
            <w:hideMark/>
          </w:tcPr>
          <w:p w14:paraId="264810CF"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304" w:type="dxa"/>
            <w:tcBorders>
              <w:top w:val="nil"/>
              <w:left w:val="nil"/>
              <w:bottom w:val="single" w:sz="4" w:space="0" w:color="auto"/>
              <w:right w:val="nil"/>
            </w:tcBorders>
            <w:shd w:val="clear" w:color="auto" w:fill="auto"/>
            <w:hideMark/>
          </w:tcPr>
          <w:p w14:paraId="35B99F14"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688" w:type="dxa"/>
            <w:tcBorders>
              <w:top w:val="nil"/>
              <w:left w:val="nil"/>
              <w:bottom w:val="single" w:sz="4" w:space="0" w:color="auto"/>
              <w:right w:val="single" w:sz="4" w:space="0" w:color="auto"/>
            </w:tcBorders>
            <w:shd w:val="clear" w:color="auto" w:fill="auto"/>
            <w:noWrap/>
            <w:hideMark/>
          </w:tcPr>
          <w:p w14:paraId="2D189FDA"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289" w:type="dxa"/>
            <w:tcBorders>
              <w:top w:val="nil"/>
              <w:left w:val="nil"/>
              <w:bottom w:val="single" w:sz="4" w:space="0" w:color="auto"/>
              <w:right w:val="nil"/>
            </w:tcBorders>
            <w:shd w:val="clear" w:color="auto" w:fill="auto"/>
            <w:hideMark/>
          </w:tcPr>
          <w:p w14:paraId="24B94304" w14:textId="77777777" w:rsidR="00403B07" w:rsidRDefault="00403B07" w:rsidP="00B01272">
            <w:r w:rsidRPr="00226857">
              <w:rPr>
                <w:rFonts w:ascii="Marlett" w:hAnsi="Marlett"/>
              </w:rPr>
              <w:t></w:t>
            </w:r>
          </w:p>
        </w:tc>
        <w:tc>
          <w:tcPr>
            <w:tcW w:w="703" w:type="dxa"/>
            <w:tcBorders>
              <w:top w:val="nil"/>
              <w:left w:val="nil"/>
              <w:bottom w:val="single" w:sz="4" w:space="0" w:color="auto"/>
              <w:right w:val="single" w:sz="4" w:space="0" w:color="auto"/>
            </w:tcBorders>
            <w:shd w:val="clear" w:color="auto" w:fill="auto"/>
            <w:noWrap/>
            <w:hideMark/>
          </w:tcPr>
          <w:p w14:paraId="724CBB9A" w14:textId="77777777" w:rsidR="00403B07" w:rsidRDefault="00403B07" w:rsidP="00B01272">
            <w:r w:rsidRPr="00226857">
              <w:rPr>
                <w:rFonts w:ascii="Marlett" w:hAnsi="Marlett"/>
              </w:rPr>
              <w:t></w:t>
            </w:r>
          </w:p>
        </w:tc>
        <w:tc>
          <w:tcPr>
            <w:tcW w:w="546" w:type="dxa"/>
            <w:tcBorders>
              <w:top w:val="nil"/>
              <w:left w:val="nil"/>
              <w:bottom w:val="single" w:sz="4" w:space="0" w:color="auto"/>
              <w:right w:val="nil"/>
            </w:tcBorders>
            <w:shd w:val="clear" w:color="auto" w:fill="auto"/>
            <w:hideMark/>
          </w:tcPr>
          <w:p w14:paraId="04C60A45"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565" w:type="dxa"/>
            <w:tcBorders>
              <w:top w:val="nil"/>
              <w:left w:val="nil"/>
              <w:bottom w:val="single" w:sz="4" w:space="0" w:color="auto"/>
              <w:right w:val="single" w:sz="4" w:space="0" w:color="auto"/>
            </w:tcBorders>
            <w:shd w:val="clear" w:color="auto" w:fill="auto"/>
            <w:noWrap/>
            <w:hideMark/>
          </w:tcPr>
          <w:p w14:paraId="3C84AE57"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32" w:type="dxa"/>
            <w:tcBorders>
              <w:top w:val="nil"/>
              <w:left w:val="nil"/>
              <w:bottom w:val="single" w:sz="4" w:space="0" w:color="auto"/>
              <w:right w:val="nil"/>
            </w:tcBorders>
            <w:shd w:val="clear" w:color="auto" w:fill="auto"/>
            <w:hideMark/>
          </w:tcPr>
          <w:p w14:paraId="49211F10"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18" w:type="dxa"/>
            <w:tcBorders>
              <w:top w:val="nil"/>
              <w:left w:val="nil"/>
              <w:bottom w:val="single" w:sz="4" w:space="0" w:color="auto"/>
              <w:right w:val="single" w:sz="4" w:space="0" w:color="auto"/>
            </w:tcBorders>
            <w:shd w:val="clear" w:color="auto" w:fill="auto"/>
            <w:noWrap/>
            <w:hideMark/>
          </w:tcPr>
          <w:p w14:paraId="16B19264"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562" w:type="dxa"/>
            <w:tcBorders>
              <w:top w:val="nil"/>
              <w:left w:val="nil"/>
              <w:bottom w:val="single" w:sz="4" w:space="0" w:color="auto"/>
              <w:right w:val="nil"/>
            </w:tcBorders>
            <w:shd w:val="clear" w:color="auto" w:fill="auto"/>
            <w:hideMark/>
          </w:tcPr>
          <w:p w14:paraId="3549B72F" w14:textId="77777777" w:rsidR="00403B07" w:rsidRDefault="00403B07" w:rsidP="00B01272">
            <w:r w:rsidRPr="00EF6E09">
              <w:rPr>
                <w:rFonts w:ascii="Marlett" w:hAnsi="Marlett"/>
              </w:rPr>
              <w:t></w:t>
            </w:r>
          </w:p>
        </w:tc>
        <w:tc>
          <w:tcPr>
            <w:tcW w:w="488" w:type="dxa"/>
            <w:tcBorders>
              <w:top w:val="nil"/>
              <w:left w:val="nil"/>
              <w:bottom w:val="single" w:sz="4" w:space="0" w:color="auto"/>
              <w:right w:val="single" w:sz="4" w:space="0" w:color="auto"/>
            </w:tcBorders>
            <w:shd w:val="clear" w:color="auto" w:fill="auto"/>
            <w:noWrap/>
            <w:hideMark/>
          </w:tcPr>
          <w:p w14:paraId="68054A08" w14:textId="77777777" w:rsidR="00403B07" w:rsidRDefault="00403B07" w:rsidP="00B01272">
            <w:r w:rsidRPr="00EF6E09">
              <w:rPr>
                <w:rFonts w:ascii="Marlett" w:hAnsi="Marlett"/>
              </w:rPr>
              <w:t></w:t>
            </w:r>
          </w:p>
        </w:tc>
        <w:tc>
          <w:tcPr>
            <w:tcW w:w="488" w:type="dxa"/>
            <w:tcBorders>
              <w:top w:val="nil"/>
              <w:left w:val="nil"/>
              <w:bottom w:val="single" w:sz="4" w:space="0" w:color="auto"/>
              <w:right w:val="nil"/>
            </w:tcBorders>
            <w:shd w:val="clear" w:color="auto" w:fill="auto"/>
            <w:hideMark/>
          </w:tcPr>
          <w:p w14:paraId="2DF60B72"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auto"/>
            <w:noWrap/>
            <w:hideMark/>
          </w:tcPr>
          <w:p w14:paraId="5321D587"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9" w:type="dxa"/>
            <w:tcBorders>
              <w:top w:val="nil"/>
              <w:left w:val="nil"/>
              <w:bottom w:val="single" w:sz="4" w:space="0" w:color="auto"/>
              <w:right w:val="nil"/>
            </w:tcBorders>
            <w:shd w:val="clear" w:color="auto" w:fill="auto"/>
            <w:hideMark/>
          </w:tcPr>
          <w:p w14:paraId="54096FF6"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auto"/>
            <w:noWrap/>
            <w:hideMark/>
          </w:tcPr>
          <w:p w14:paraId="09191AFE"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nil"/>
            </w:tcBorders>
            <w:shd w:val="clear" w:color="auto" w:fill="auto"/>
            <w:noWrap/>
            <w:hideMark/>
          </w:tcPr>
          <w:p w14:paraId="232D47F5" w14:textId="77777777" w:rsidR="00403B07" w:rsidRDefault="00403B07" w:rsidP="00B01272">
            <w:r w:rsidRPr="008157D4">
              <w:rPr>
                <w:rFonts w:ascii="Marlett" w:hAnsi="Marlett"/>
              </w:rPr>
              <w:t></w:t>
            </w:r>
          </w:p>
        </w:tc>
        <w:tc>
          <w:tcPr>
            <w:tcW w:w="488" w:type="dxa"/>
            <w:tcBorders>
              <w:top w:val="nil"/>
              <w:left w:val="nil"/>
              <w:bottom w:val="single" w:sz="4" w:space="0" w:color="auto"/>
              <w:right w:val="single" w:sz="4" w:space="0" w:color="auto"/>
            </w:tcBorders>
            <w:shd w:val="clear" w:color="auto" w:fill="auto"/>
            <w:noWrap/>
            <w:hideMark/>
          </w:tcPr>
          <w:p w14:paraId="1B2E5900" w14:textId="77777777" w:rsidR="00403B07" w:rsidRDefault="00403B07" w:rsidP="00B01272">
            <w:r w:rsidRPr="008157D4">
              <w:rPr>
                <w:rFonts w:ascii="Marlett" w:hAnsi="Marlett"/>
              </w:rPr>
              <w:t></w:t>
            </w:r>
          </w:p>
        </w:tc>
        <w:tc>
          <w:tcPr>
            <w:tcW w:w="488" w:type="dxa"/>
            <w:tcBorders>
              <w:top w:val="nil"/>
              <w:left w:val="nil"/>
              <w:bottom w:val="single" w:sz="4" w:space="0" w:color="auto"/>
              <w:right w:val="nil"/>
            </w:tcBorders>
            <w:shd w:val="clear" w:color="auto" w:fill="auto"/>
            <w:hideMark/>
          </w:tcPr>
          <w:p w14:paraId="5C19040E"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auto"/>
            <w:noWrap/>
            <w:hideMark/>
          </w:tcPr>
          <w:p w14:paraId="46BD699F"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nil"/>
            </w:tcBorders>
            <w:shd w:val="clear" w:color="auto" w:fill="auto"/>
            <w:hideMark/>
          </w:tcPr>
          <w:p w14:paraId="6B89DF1D"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hideMark/>
          </w:tcPr>
          <w:p w14:paraId="23413A06"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2178" w:type="dxa"/>
            <w:tcBorders>
              <w:top w:val="nil"/>
              <w:left w:val="nil"/>
              <w:bottom w:val="single" w:sz="4" w:space="0" w:color="auto"/>
              <w:right w:val="single" w:sz="4" w:space="0" w:color="auto"/>
            </w:tcBorders>
            <w:shd w:val="clear" w:color="auto" w:fill="auto"/>
            <w:hideMark/>
          </w:tcPr>
          <w:p w14:paraId="185BAD9B" w14:textId="77777777" w:rsidR="00403B07" w:rsidRPr="00171BEB" w:rsidRDefault="00403B07" w:rsidP="00B01272">
            <w:pPr>
              <w:spacing w:after="0" w:line="240" w:lineRule="auto"/>
              <w:rPr>
                <w:rFonts w:ascii="Calibri" w:eastAsia="Times New Roman" w:hAnsi="Calibri" w:cs="Times New Roman"/>
                <w:color w:val="000000"/>
                <w:sz w:val="16"/>
                <w:szCs w:val="16"/>
              </w:rPr>
            </w:pPr>
            <w:r w:rsidRPr="00171BEB">
              <w:rPr>
                <w:rFonts w:ascii="Calibri" w:eastAsia="Times New Roman" w:hAnsi="Calibri" w:cs="Times New Roman"/>
                <w:color w:val="000000"/>
                <w:sz w:val="16"/>
                <w:szCs w:val="16"/>
              </w:rPr>
              <w:t>School Nutritional Standards award</w:t>
            </w:r>
          </w:p>
        </w:tc>
      </w:tr>
      <w:tr w:rsidR="00403B07" w:rsidRPr="00171BEB" w14:paraId="7E6A0D01" w14:textId="77777777" w:rsidTr="00B01272">
        <w:trPr>
          <w:gridAfter w:val="1"/>
          <w:wAfter w:w="12" w:type="dxa"/>
          <w:trHeight w:val="227"/>
        </w:trPr>
        <w:tc>
          <w:tcPr>
            <w:tcW w:w="462" w:type="dxa"/>
            <w:tcBorders>
              <w:top w:val="single" w:sz="4" w:space="0" w:color="auto"/>
              <w:left w:val="single" w:sz="4" w:space="0" w:color="auto"/>
              <w:bottom w:val="single" w:sz="4" w:space="0" w:color="auto"/>
              <w:right w:val="nil"/>
            </w:tcBorders>
            <w:shd w:val="clear" w:color="auto" w:fill="auto"/>
            <w:hideMark/>
          </w:tcPr>
          <w:p w14:paraId="31081CF0" w14:textId="77777777" w:rsidR="00403B07" w:rsidRPr="000E3600" w:rsidRDefault="00403B07" w:rsidP="00B01272">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r w:rsidRPr="000E3600">
              <w:rPr>
                <w:rFonts w:ascii="Calibri" w:eastAsia="Times New Roman" w:hAnsi="Calibri" w:cs="Times New Roman"/>
                <w:color w:val="000000"/>
                <w:sz w:val="20"/>
                <w:szCs w:val="20"/>
              </w:rPr>
              <w:t>5</w:t>
            </w:r>
          </w:p>
        </w:tc>
        <w:tc>
          <w:tcPr>
            <w:tcW w:w="483" w:type="dxa"/>
            <w:tcBorders>
              <w:top w:val="nil"/>
              <w:left w:val="single" w:sz="4" w:space="0" w:color="auto"/>
              <w:bottom w:val="single" w:sz="4" w:space="0" w:color="auto"/>
              <w:right w:val="nil"/>
            </w:tcBorders>
            <w:shd w:val="clear" w:color="auto" w:fill="auto"/>
            <w:noWrap/>
            <w:hideMark/>
          </w:tcPr>
          <w:p w14:paraId="1F4AFB28" w14:textId="77777777" w:rsidR="00403B07" w:rsidRDefault="00403B07" w:rsidP="00B01272">
            <w:r w:rsidRPr="00756062">
              <w:rPr>
                <w:rFonts w:ascii="Marlett" w:hAnsi="Marlett"/>
              </w:rPr>
              <w:t></w:t>
            </w:r>
          </w:p>
        </w:tc>
        <w:tc>
          <w:tcPr>
            <w:tcW w:w="486" w:type="dxa"/>
            <w:tcBorders>
              <w:top w:val="nil"/>
              <w:left w:val="nil"/>
              <w:bottom w:val="single" w:sz="4" w:space="0" w:color="auto"/>
              <w:right w:val="single" w:sz="4" w:space="0" w:color="auto"/>
            </w:tcBorders>
            <w:shd w:val="clear" w:color="auto" w:fill="auto"/>
            <w:noWrap/>
            <w:hideMark/>
          </w:tcPr>
          <w:p w14:paraId="1A91EA73" w14:textId="77777777" w:rsidR="00403B07" w:rsidRDefault="00403B07" w:rsidP="00B01272">
            <w:r w:rsidRPr="00756062">
              <w:rPr>
                <w:rFonts w:ascii="Marlett" w:hAnsi="Marlett"/>
              </w:rPr>
              <w:t></w:t>
            </w:r>
          </w:p>
        </w:tc>
        <w:tc>
          <w:tcPr>
            <w:tcW w:w="487" w:type="dxa"/>
            <w:tcBorders>
              <w:top w:val="nil"/>
              <w:left w:val="nil"/>
              <w:bottom w:val="single" w:sz="4" w:space="0" w:color="auto"/>
              <w:right w:val="nil"/>
            </w:tcBorders>
            <w:shd w:val="clear" w:color="auto" w:fill="auto"/>
            <w:hideMark/>
          </w:tcPr>
          <w:p w14:paraId="6ADC0B1A"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668" w:type="dxa"/>
            <w:tcBorders>
              <w:top w:val="nil"/>
              <w:left w:val="nil"/>
              <w:bottom w:val="single" w:sz="4" w:space="0" w:color="auto"/>
              <w:right w:val="single" w:sz="4" w:space="0" w:color="auto"/>
            </w:tcBorders>
            <w:shd w:val="clear" w:color="auto" w:fill="auto"/>
            <w:noWrap/>
            <w:hideMark/>
          </w:tcPr>
          <w:p w14:paraId="16A2CFAC" w14:textId="77777777" w:rsidR="00403B07" w:rsidRPr="000E3600" w:rsidRDefault="00403B07" w:rsidP="00B01272">
            <w:pPr>
              <w:spacing w:after="0" w:line="240" w:lineRule="auto"/>
              <w:rPr>
                <w:rFonts w:ascii="Calibri" w:eastAsia="Times New Roman" w:hAnsi="Calibri" w:cs="Times New Roman"/>
                <w:color w:val="FF0000"/>
                <w:sz w:val="20"/>
                <w:szCs w:val="20"/>
              </w:rPr>
            </w:pPr>
            <w:r w:rsidRPr="00B50813">
              <w:rPr>
                <w:rFonts w:ascii="Marlett" w:hAnsi="Marlett"/>
                <w:color w:val="FF0000"/>
              </w:rPr>
              <w:t></w:t>
            </w:r>
          </w:p>
        </w:tc>
        <w:tc>
          <w:tcPr>
            <w:tcW w:w="304" w:type="dxa"/>
            <w:tcBorders>
              <w:top w:val="nil"/>
              <w:left w:val="nil"/>
              <w:bottom w:val="single" w:sz="4" w:space="0" w:color="auto"/>
              <w:right w:val="nil"/>
            </w:tcBorders>
            <w:shd w:val="clear" w:color="auto" w:fill="auto"/>
            <w:noWrap/>
            <w:hideMark/>
          </w:tcPr>
          <w:p w14:paraId="7F05AA42" w14:textId="77777777" w:rsidR="00403B07" w:rsidRDefault="00403B07" w:rsidP="00B01272">
            <w:r w:rsidRPr="00C732D1">
              <w:rPr>
                <w:rFonts w:ascii="Marlett" w:hAnsi="Marlett"/>
              </w:rPr>
              <w:t></w:t>
            </w:r>
          </w:p>
        </w:tc>
        <w:tc>
          <w:tcPr>
            <w:tcW w:w="688" w:type="dxa"/>
            <w:tcBorders>
              <w:top w:val="nil"/>
              <w:left w:val="nil"/>
              <w:bottom w:val="single" w:sz="4" w:space="0" w:color="auto"/>
              <w:right w:val="single" w:sz="4" w:space="0" w:color="auto"/>
            </w:tcBorders>
            <w:shd w:val="clear" w:color="auto" w:fill="auto"/>
            <w:noWrap/>
            <w:hideMark/>
          </w:tcPr>
          <w:p w14:paraId="1761AFB3" w14:textId="77777777" w:rsidR="00403B07" w:rsidRDefault="00403B07" w:rsidP="00B01272">
            <w:r w:rsidRPr="00C732D1">
              <w:rPr>
                <w:rFonts w:ascii="Marlett" w:hAnsi="Marlett"/>
              </w:rPr>
              <w:t></w:t>
            </w:r>
          </w:p>
        </w:tc>
        <w:tc>
          <w:tcPr>
            <w:tcW w:w="289" w:type="dxa"/>
            <w:tcBorders>
              <w:top w:val="nil"/>
              <w:left w:val="nil"/>
              <w:bottom w:val="single" w:sz="4" w:space="0" w:color="auto"/>
              <w:right w:val="nil"/>
            </w:tcBorders>
            <w:shd w:val="clear" w:color="auto" w:fill="auto"/>
            <w:hideMark/>
          </w:tcPr>
          <w:p w14:paraId="199E141C" w14:textId="77777777" w:rsidR="00403B07" w:rsidRDefault="00403B07" w:rsidP="00B01272">
            <w:r w:rsidRPr="00F9419C">
              <w:rPr>
                <w:rFonts w:ascii="Marlett" w:hAnsi="Marlett"/>
              </w:rPr>
              <w:t></w:t>
            </w:r>
          </w:p>
        </w:tc>
        <w:tc>
          <w:tcPr>
            <w:tcW w:w="703" w:type="dxa"/>
            <w:tcBorders>
              <w:top w:val="nil"/>
              <w:left w:val="nil"/>
              <w:bottom w:val="single" w:sz="4" w:space="0" w:color="auto"/>
              <w:right w:val="single" w:sz="4" w:space="0" w:color="auto"/>
            </w:tcBorders>
            <w:shd w:val="clear" w:color="auto" w:fill="auto"/>
            <w:noWrap/>
            <w:hideMark/>
          </w:tcPr>
          <w:p w14:paraId="607644D8" w14:textId="77777777" w:rsidR="00403B07" w:rsidRDefault="00403B07" w:rsidP="00B01272">
            <w:r w:rsidRPr="00F9419C">
              <w:rPr>
                <w:rFonts w:ascii="Marlett" w:hAnsi="Marlett"/>
              </w:rPr>
              <w:t></w:t>
            </w:r>
          </w:p>
        </w:tc>
        <w:tc>
          <w:tcPr>
            <w:tcW w:w="546" w:type="dxa"/>
            <w:tcBorders>
              <w:top w:val="nil"/>
              <w:left w:val="nil"/>
              <w:bottom w:val="single" w:sz="4" w:space="0" w:color="auto"/>
              <w:right w:val="nil"/>
            </w:tcBorders>
            <w:shd w:val="clear" w:color="auto" w:fill="auto"/>
            <w:hideMark/>
          </w:tcPr>
          <w:p w14:paraId="343C0808"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565" w:type="dxa"/>
            <w:tcBorders>
              <w:top w:val="nil"/>
              <w:left w:val="nil"/>
              <w:bottom w:val="single" w:sz="4" w:space="0" w:color="auto"/>
              <w:right w:val="single" w:sz="4" w:space="0" w:color="auto"/>
            </w:tcBorders>
            <w:shd w:val="clear" w:color="auto" w:fill="auto"/>
            <w:noWrap/>
            <w:hideMark/>
          </w:tcPr>
          <w:p w14:paraId="7E0CF484"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32" w:type="dxa"/>
            <w:tcBorders>
              <w:top w:val="nil"/>
              <w:left w:val="nil"/>
              <w:bottom w:val="single" w:sz="4" w:space="0" w:color="auto"/>
              <w:right w:val="nil"/>
            </w:tcBorders>
            <w:shd w:val="clear" w:color="auto" w:fill="auto"/>
            <w:hideMark/>
          </w:tcPr>
          <w:p w14:paraId="520D7572"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18" w:type="dxa"/>
            <w:tcBorders>
              <w:top w:val="nil"/>
              <w:left w:val="nil"/>
              <w:bottom w:val="single" w:sz="4" w:space="0" w:color="auto"/>
              <w:right w:val="single" w:sz="4" w:space="0" w:color="auto"/>
            </w:tcBorders>
            <w:shd w:val="clear" w:color="auto" w:fill="auto"/>
            <w:noWrap/>
            <w:hideMark/>
          </w:tcPr>
          <w:p w14:paraId="695F7C3D"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562" w:type="dxa"/>
            <w:tcBorders>
              <w:top w:val="nil"/>
              <w:left w:val="nil"/>
              <w:bottom w:val="single" w:sz="4" w:space="0" w:color="auto"/>
              <w:right w:val="nil"/>
            </w:tcBorders>
            <w:shd w:val="clear" w:color="auto" w:fill="auto"/>
            <w:hideMark/>
          </w:tcPr>
          <w:p w14:paraId="0F2E2A99" w14:textId="77777777" w:rsidR="00403B07" w:rsidRDefault="00403B07" w:rsidP="00B01272">
            <w:r w:rsidRPr="006457EE">
              <w:rPr>
                <w:rFonts w:ascii="Marlett" w:hAnsi="Marlett"/>
              </w:rPr>
              <w:t></w:t>
            </w:r>
          </w:p>
        </w:tc>
        <w:tc>
          <w:tcPr>
            <w:tcW w:w="488" w:type="dxa"/>
            <w:tcBorders>
              <w:top w:val="nil"/>
              <w:left w:val="nil"/>
              <w:bottom w:val="single" w:sz="4" w:space="0" w:color="auto"/>
              <w:right w:val="single" w:sz="4" w:space="0" w:color="auto"/>
            </w:tcBorders>
            <w:shd w:val="clear" w:color="auto" w:fill="auto"/>
            <w:noWrap/>
            <w:hideMark/>
          </w:tcPr>
          <w:p w14:paraId="7924DB69" w14:textId="77777777" w:rsidR="00403B07" w:rsidRDefault="00403B07" w:rsidP="00B01272">
            <w:r w:rsidRPr="006457EE">
              <w:rPr>
                <w:rFonts w:ascii="Marlett" w:hAnsi="Marlett"/>
              </w:rPr>
              <w:t></w:t>
            </w:r>
          </w:p>
        </w:tc>
        <w:tc>
          <w:tcPr>
            <w:tcW w:w="488" w:type="dxa"/>
            <w:tcBorders>
              <w:top w:val="nil"/>
              <w:left w:val="nil"/>
              <w:bottom w:val="single" w:sz="4" w:space="0" w:color="auto"/>
              <w:right w:val="nil"/>
            </w:tcBorders>
            <w:shd w:val="clear" w:color="auto" w:fill="auto"/>
            <w:hideMark/>
          </w:tcPr>
          <w:p w14:paraId="16025551"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auto"/>
            <w:noWrap/>
            <w:hideMark/>
          </w:tcPr>
          <w:p w14:paraId="728FB5CD"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9" w:type="dxa"/>
            <w:tcBorders>
              <w:top w:val="nil"/>
              <w:left w:val="nil"/>
              <w:bottom w:val="single" w:sz="4" w:space="0" w:color="auto"/>
              <w:right w:val="nil"/>
            </w:tcBorders>
            <w:shd w:val="clear" w:color="auto" w:fill="auto"/>
            <w:noWrap/>
            <w:hideMark/>
          </w:tcPr>
          <w:p w14:paraId="0E3E6E37" w14:textId="77777777" w:rsidR="00403B07" w:rsidRDefault="00403B07" w:rsidP="00B01272">
            <w:r w:rsidRPr="000F31E5">
              <w:rPr>
                <w:rFonts w:ascii="Marlett" w:hAnsi="Marlett"/>
              </w:rPr>
              <w:t></w:t>
            </w:r>
          </w:p>
        </w:tc>
        <w:tc>
          <w:tcPr>
            <w:tcW w:w="488" w:type="dxa"/>
            <w:tcBorders>
              <w:top w:val="nil"/>
              <w:left w:val="nil"/>
              <w:bottom w:val="single" w:sz="4" w:space="0" w:color="auto"/>
              <w:right w:val="single" w:sz="4" w:space="0" w:color="auto"/>
            </w:tcBorders>
            <w:shd w:val="clear" w:color="auto" w:fill="auto"/>
            <w:noWrap/>
            <w:hideMark/>
          </w:tcPr>
          <w:p w14:paraId="0C16E776" w14:textId="77777777" w:rsidR="00403B07" w:rsidRDefault="00403B07" w:rsidP="00B01272">
            <w:r w:rsidRPr="000F31E5">
              <w:rPr>
                <w:rFonts w:ascii="Marlett" w:hAnsi="Marlett"/>
              </w:rPr>
              <w:t></w:t>
            </w:r>
          </w:p>
        </w:tc>
        <w:tc>
          <w:tcPr>
            <w:tcW w:w="488" w:type="dxa"/>
            <w:tcBorders>
              <w:top w:val="nil"/>
              <w:left w:val="nil"/>
              <w:bottom w:val="single" w:sz="4" w:space="0" w:color="auto"/>
              <w:right w:val="nil"/>
            </w:tcBorders>
            <w:shd w:val="clear" w:color="auto" w:fill="auto"/>
            <w:hideMark/>
          </w:tcPr>
          <w:p w14:paraId="65BA452C"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auto"/>
            <w:noWrap/>
            <w:hideMark/>
          </w:tcPr>
          <w:p w14:paraId="35FCA8BD"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nil"/>
            </w:tcBorders>
            <w:shd w:val="clear" w:color="auto" w:fill="auto"/>
            <w:hideMark/>
          </w:tcPr>
          <w:p w14:paraId="38E228E3"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auto"/>
            <w:noWrap/>
            <w:hideMark/>
          </w:tcPr>
          <w:p w14:paraId="57475837"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nil"/>
            </w:tcBorders>
            <w:shd w:val="clear" w:color="auto" w:fill="auto"/>
            <w:hideMark/>
          </w:tcPr>
          <w:p w14:paraId="67102852"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hideMark/>
          </w:tcPr>
          <w:p w14:paraId="71E7B2AB"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2178" w:type="dxa"/>
            <w:tcBorders>
              <w:top w:val="nil"/>
              <w:left w:val="nil"/>
              <w:bottom w:val="single" w:sz="4" w:space="0" w:color="auto"/>
              <w:right w:val="single" w:sz="4" w:space="0" w:color="auto"/>
            </w:tcBorders>
            <w:shd w:val="clear" w:color="auto" w:fill="auto"/>
            <w:hideMark/>
          </w:tcPr>
          <w:p w14:paraId="60BE4500" w14:textId="77777777" w:rsidR="00403B07" w:rsidRPr="00171BEB" w:rsidRDefault="00403B07" w:rsidP="00B01272">
            <w:pPr>
              <w:spacing w:after="0" w:line="240" w:lineRule="auto"/>
              <w:rPr>
                <w:rFonts w:ascii="Calibri" w:eastAsia="Times New Roman" w:hAnsi="Calibri" w:cs="Times New Roman"/>
                <w:color w:val="000000"/>
                <w:sz w:val="16"/>
                <w:szCs w:val="16"/>
              </w:rPr>
            </w:pPr>
            <w:r w:rsidRPr="00171BEB">
              <w:rPr>
                <w:rFonts w:ascii="Calibri" w:eastAsia="Times New Roman" w:hAnsi="Calibri" w:cs="Times New Roman"/>
                <w:color w:val="000000"/>
                <w:sz w:val="16"/>
                <w:szCs w:val="16"/>
              </w:rPr>
              <w:t>Active Lifestyle Award. Healthy school award</w:t>
            </w:r>
          </w:p>
        </w:tc>
      </w:tr>
      <w:tr w:rsidR="00403B07" w:rsidRPr="00171BEB" w14:paraId="36BE22AD" w14:textId="77777777" w:rsidTr="00B01272">
        <w:trPr>
          <w:gridAfter w:val="1"/>
          <w:wAfter w:w="12" w:type="dxa"/>
          <w:trHeight w:val="227"/>
        </w:trPr>
        <w:tc>
          <w:tcPr>
            <w:tcW w:w="462" w:type="dxa"/>
            <w:tcBorders>
              <w:top w:val="single" w:sz="4" w:space="0" w:color="auto"/>
              <w:left w:val="single" w:sz="4" w:space="0" w:color="auto"/>
              <w:bottom w:val="single" w:sz="4" w:space="0" w:color="auto"/>
              <w:right w:val="nil"/>
            </w:tcBorders>
            <w:shd w:val="clear" w:color="auto" w:fill="auto"/>
            <w:hideMark/>
          </w:tcPr>
          <w:p w14:paraId="4581D0CE" w14:textId="77777777" w:rsidR="00403B07" w:rsidRPr="000E3600" w:rsidRDefault="00403B07" w:rsidP="00B01272">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06</w:t>
            </w:r>
          </w:p>
        </w:tc>
        <w:tc>
          <w:tcPr>
            <w:tcW w:w="483" w:type="dxa"/>
            <w:tcBorders>
              <w:top w:val="single" w:sz="4" w:space="0" w:color="auto"/>
              <w:left w:val="single" w:sz="4" w:space="0" w:color="auto"/>
              <w:bottom w:val="single" w:sz="4" w:space="0" w:color="auto"/>
              <w:right w:val="nil"/>
            </w:tcBorders>
            <w:shd w:val="clear" w:color="auto" w:fill="auto"/>
            <w:hideMark/>
          </w:tcPr>
          <w:p w14:paraId="203448FA"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6" w:type="dxa"/>
            <w:tcBorders>
              <w:top w:val="single" w:sz="4" w:space="0" w:color="auto"/>
              <w:left w:val="nil"/>
              <w:bottom w:val="single" w:sz="4" w:space="0" w:color="auto"/>
              <w:right w:val="single" w:sz="4" w:space="0" w:color="auto"/>
            </w:tcBorders>
            <w:shd w:val="clear" w:color="auto" w:fill="auto"/>
            <w:noWrap/>
            <w:hideMark/>
          </w:tcPr>
          <w:p w14:paraId="10E06601"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7" w:type="dxa"/>
            <w:tcBorders>
              <w:top w:val="single" w:sz="4" w:space="0" w:color="auto"/>
              <w:left w:val="nil"/>
              <w:bottom w:val="single" w:sz="4" w:space="0" w:color="auto"/>
              <w:right w:val="nil"/>
            </w:tcBorders>
            <w:shd w:val="clear" w:color="auto" w:fill="auto"/>
            <w:hideMark/>
          </w:tcPr>
          <w:p w14:paraId="0BB5FD46"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668" w:type="dxa"/>
            <w:tcBorders>
              <w:top w:val="single" w:sz="4" w:space="0" w:color="auto"/>
              <w:left w:val="nil"/>
              <w:bottom w:val="single" w:sz="4" w:space="0" w:color="auto"/>
              <w:right w:val="single" w:sz="4" w:space="0" w:color="auto"/>
            </w:tcBorders>
            <w:shd w:val="clear" w:color="auto" w:fill="auto"/>
            <w:noWrap/>
            <w:hideMark/>
          </w:tcPr>
          <w:p w14:paraId="5FC20FCA" w14:textId="77777777" w:rsidR="00403B07" w:rsidRPr="000E3600" w:rsidRDefault="00403B07" w:rsidP="00B01272">
            <w:pPr>
              <w:spacing w:after="0" w:line="240" w:lineRule="auto"/>
              <w:rPr>
                <w:rFonts w:ascii="Calibri" w:eastAsia="Times New Roman" w:hAnsi="Calibri" w:cs="Times New Roman"/>
                <w:color w:val="FF0000"/>
                <w:sz w:val="20"/>
                <w:szCs w:val="20"/>
              </w:rPr>
            </w:pPr>
            <w:r w:rsidRPr="00B50813">
              <w:rPr>
                <w:rFonts w:ascii="Marlett" w:hAnsi="Marlett"/>
                <w:color w:val="FF0000"/>
              </w:rPr>
              <w:t></w:t>
            </w:r>
          </w:p>
        </w:tc>
        <w:tc>
          <w:tcPr>
            <w:tcW w:w="304" w:type="dxa"/>
            <w:tcBorders>
              <w:top w:val="single" w:sz="4" w:space="0" w:color="auto"/>
              <w:left w:val="nil"/>
              <w:bottom w:val="single" w:sz="4" w:space="0" w:color="auto"/>
              <w:right w:val="nil"/>
            </w:tcBorders>
            <w:shd w:val="clear" w:color="auto" w:fill="auto"/>
            <w:noWrap/>
            <w:hideMark/>
          </w:tcPr>
          <w:p w14:paraId="32E49C6A" w14:textId="77777777" w:rsidR="00403B07" w:rsidRDefault="00403B07" w:rsidP="00B01272">
            <w:r w:rsidRPr="00C732D1">
              <w:rPr>
                <w:rFonts w:ascii="Marlett" w:hAnsi="Marlett"/>
              </w:rPr>
              <w:t></w:t>
            </w:r>
          </w:p>
        </w:tc>
        <w:tc>
          <w:tcPr>
            <w:tcW w:w="688" w:type="dxa"/>
            <w:tcBorders>
              <w:top w:val="single" w:sz="4" w:space="0" w:color="auto"/>
              <w:left w:val="nil"/>
              <w:bottom w:val="single" w:sz="4" w:space="0" w:color="auto"/>
              <w:right w:val="single" w:sz="4" w:space="0" w:color="auto"/>
            </w:tcBorders>
            <w:shd w:val="clear" w:color="auto" w:fill="auto"/>
            <w:noWrap/>
            <w:hideMark/>
          </w:tcPr>
          <w:p w14:paraId="075154CB" w14:textId="77777777" w:rsidR="00403B07" w:rsidRDefault="00403B07" w:rsidP="00B01272">
            <w:r w:rsidRPr="00C732D1">
              <w:rPr>
                <w:rFonts w:ascii="Marlett" w:hAnsi="Marlett"/>
              </w:rPr>
              <w:t></w:t>
            </w:r>
          </w:p>
        </w:tc>
        <w:tc>
          <w:tcPr>
            <w:tcW w:w="289" w:type="dxa"/>
            <w:tcBorders>
              <w:top w:val="single" w:sz="4" w:space="0" w:color="auto"/>
              <w:left w:val="nil"/>
              <w:bottom w:val="single" w:sz="4" w:space="0" w:color="auto"/>
              <w:right w:val="nil"/>
            </w:tcBorders>
            <w:shd w:val="clear" w:color="auto" w:fill="auto"/>
            <w:hideMark/>
          </w:tcPr>
          <w:p w14:paraId="562EB1C2" w14:textId="77777777" w:rsidR="00403B07" w:rsidRDefault="00403B07" w:rsidP="00B01272">
            <w:r w:rsidRPr="00F9419C">
              <w:rPr>
                <w:rFonts w:ascii="Marlett" w:hAnsi="Marlett"/>
              </w:rPr>
              <w:t></w:t>
            </w:r>
          </w:p>
        </w:tc>
        <w:tc>
          <w:tcPr>
            <w:tcW w:w="703" w:type="dxa"/>
            <w:tcBorders>
              <w:top w:val="single" w:sz="4" w:space="0" w:color="auto"/>
              <w:left w:val="nil"/>
              <w:bottom w:val="single" w:sz="4" w:space="0" w:color="auto"/>
              <w:right w:val="single" w:sz="4" w:space="0" w:color="auto"/>
            </w:tcBorders>
            <w:shd w:val="clear" w:color="auto" w:fill="auto"/>
            <w:noWrap/>
            <w:hideMark/>
          </w:tcPr>
          <w:p w14:paraId="58663A4A" w14:textId="77777777" w:rsidR="00403B07" w:rsidRDefault="00403B07" w:rsidP="00B01272">
            <w:r w:rsidRPr="00F9419C">
              <w:rPr>
                <w:rFonts w:ascii="Marlett" w:hAnsi="Marlett"/>
              </w:rPr>
              <w:t></w:t>
            </w:r>
          </w:p>
        </w:tc>
        <w:tc>
          <w:tcPr>
            <w:tcW w:w="546" w:type="dxa"/>
            <w:tcBorders>
              <w:top w:val="single" w:sz="4" w:space="0" w:color="auto"/>
              <w:left w:val="nil"/>
              <w:bottom w:val="single" w:sz="4" w:space="0" w:color="auto"/>
              <w:right w:val="nil"/>
            </w:tcBorders>
            <w:shd w:val="clear" w:color="auto" w:fill="auto"/>
            <w:hideMark/>
          </w:tcPr>
          <w:p w14:paraId="64D7086A"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565" w:type="dxa"/>
            <w:tcBorders>
              <w:top w:val="single" w:sz="4" w:space="0" w:color="auto"/>
              <w:left w:val="nil"/>
              <w:bottom w:val="single" w:sz="4" w:space="0" w:color="auto"/>
              <w:right w:val="single" w:sz="4" w:space="0" w:color="auto"/>
            </w:tcBorders>
            <w:shd w:val="clear" w:color="auto" w:fill="auto"/>
            <w:noWrap/>
            <w:hideMark/>
          </w:tcPr>
          <w:p w14:paraId="286ABB0D"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32" w:type="dxa"/>
            <w:tcBorders>
              <w:top w:val="single" w:sz="4" w:space="0" w:color="auto"/>
              <w:left w:val="nil"/>
              <w:bottom w:val="single" w:sz="4" w:space="0" w:color="auto"/>
              <w:right w:val="nil"/>
            </w:tcBorders>
            <w:shd w:val="clear" w:color="auto" w:fill="auto"/>
            <w:hideMark/>
          </w:tcPr>
          <w:p w14:paraId="2196B4D2"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18" w:type="dxa"/>
            <w:tcBorders>
              <w:top w:val="single" w:sz="4" w:space="0" w:color="auto"/>
              <w:left w:val="nil"/>
              <w:bottom w:val="single" w:sz="4" w:space="0" w:color="auto"/>
              <w:right w:val="single" w:sz="4" w:space="0" w:color="auto"/>
            </w:tcBorders>
            <w:shd w:val="clear" w:color="auto" w:fill="auto"/>
            <w:noWrap/>
            <w:hideMark/>
          </w:tcPr>
          <w:p w14:paraId="2DA3A0A0"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562" w:type="dxa"/>
            <w:tcBorders>
              <w:top w:val="single" w:sz="4" w:space="0" w:color="auto"/>
              <w:left w:val="nil"/>
              <w:bottom w:val="single" w:sz="4" w:space="0" w:color="auto"/>
              <w:right w:val="nil"/>
            </w:tcBorders>
            <w:shd w:val="clear" w:color="auto" w:fill="auto"/>
            <w:noWrap/>
            <w:hideMark/>
          </w:tcPr>
          <w:p w14:paraId="7955E6C6" w14:textId="77777777" w:rsidR="00403B07" w:rsidRDefault="00403B07" w:rsidP="00B01272">
            <w:r w:rsidRPr="006457EE">
              <w:rPr>
                <w:rFonts w:ascii="Marlett" w:hAnsi="Marlett"/>
              </w:rPr>
              <w:t></w:t>
            </w:r>
          </w:p>
        </w:tc>
        <w:tc>
          <w:tcPr>
            <w:tcW w:w="488" w:type="dxa"/>
            <w:tcBorders>
              <w:top w:val="single" w:sz="4" w:space="0" w:color="auto"/>
              <w:left w:val="nil"/>
              <w:bottom w:val="single" w:sz="4" w:space="0" w:color="auto"/>
              <w:right w:val="single" w:sz="4" w:space="0" w:color="auto"/>
            </w:tcBorders>
            <w:shd w:val="clear" w:color="auto" w:fill="auto"/>
            <w:noWrap/>
            <w:hideMark/>
          </w:tcPr>
          <w:p w14:paraId="6F833329" w14:textId="77777777" w:rsidR="00403B07" w:rsidRDefault="00403B07" w:rsidP="00B01272">
            <w:r w:rsidRPr="006457EE">
              <w:rPr>
                <w:rFonts w:ascii="Marlett" w:hAnsi="Marlett"/>
              </w:rPr>
              <w:t></w:t>
            </w:r>
          </w:p>
        </w:tc>
        <w:tc>
          <w:tcPr>
            <w:tcW w:w="488" w:type="dxa"/>
            <w:tcBorders>
              <w:top w:val="single" w:sz="4" w:space="0" w:color="auto"/>
              <w:left w:val="nil"/>
              <w:bottom w:val="single" w:sz="4" w:space="0" w:color="auto"/>
              <w:right w:val="nil"/>
            </w:tcBorders>
            <w:shd w:val="clear" w:color="auto" w:fill="auto"/>
            <w:hideMark/>
          </w:tcPr>
          <w:p w14:paraId="174EA834"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single" w:sz="4" w:space="0" w:color="auto"/>
              <w:left w:val="nil"/>
              <w:bottom w:val="single" w:sz="4" w:space="0" w:color="auto"/>
              <w:right w:val="single" w:sz="4" w:space="0" w:color="auto"/>
            </w:tcBorders>
            <w:shd w:val="clear" w:color="auto" w:fill="auto"/>
            <w:noWrap/>
            <w:hideMark/>
          </w:tcPr>
          <w:p w14:paraId="3F97938E"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9" w:type="dxa"/>
            <w:tcBorders>
              <w:top w:val="single" w:sz="4" w:space="0" w:color="auto"/>
              <w:left w:val="nil"/>
              <w:bottom w:val="single" w:sz="4" w:space="0" w:color="auto"/>
              <w:right w:val="nil"/>
            </w:tcBorders>
            <w:shd w:val="clear" w:color="auto" w:fill="auto"/>
            <w:noWrap/>
            <w:hideMark/>
          </w:tcPr>
          <w:p w14:paraId="35047F0F"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single" w:sz="4" w:space="0" w:color="auto"/>
              <w:left w:val="nil"/>
              <w:bottom w:val="single" w:sz="4" w:space="0" w:color="auto"/>
              <w:right w:val="single" w:sz="4" w:space="0" w:color="auto"/>
            </w:tcBorders>
            <w:shd w:val="clear" w:color="auto" w:fill="auto"/>
            <w:noWrap/>
            <w:hideMark/>
          </w:tcPr>
          <w:p w14:paraId="088B3F70"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single" w:sz="4" w:space="0" w:color="auto"/>
              <w:left w:val="nil"/>
              <w:bottom w:val="single" w:sz="4" w:space="0" w:color="auto"/>
              <w:right w:val="nil"/>
            </w:tcBorders>
            <w:shd w:val="clear" w:color="auto" w:fill="auto"/>
            <w:hideMark/>
          </w:tcPr>
          <w:p w14:paraId="610D6F1F"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single" w:sz="4" w:space="0" w:color="auto"/>
              <w:left w:val="nil"/>
              <w:bottom w:val="single" w:sz="4" w:space="0" w:color="auto"/>
              <w:right w:val="single" w:sz="4" w:space="0" w:color="auto"/>
            </w:tcBorders>
            <w:shd w:val="clear" w:color="auto" w:fill="auto"/>
            <w:noWrap/>
            <w:hideMark/>
          </w:tcPr>
          <w:p w14:paraId="5B6CE462"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single" w:sz="4" w:space="0" w:color="auto"/>
              <w:left w:val="nil"/>
              <w:bottom w:val="single" w:sz="4" w:space="0" w:color="auto"/>
              <w:right w:val="nil"/>
            </w:tcBorders>
            <w:shd w:val="clear" w:color="auto" w:fill="auto"/>
            <w:hideMark/>
          </w:tcPr>
          <w:p w14:paraId="7B82618F"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single" w:sz="4" w:space="0" w:color="auto"/>
              <w:left w:val="nil"/>
              <w:bottom w:val="single" w:sz="4" w:space="0" w:color="auto"/>
              <w:right w:val="single" w:sz="4" w:space="0" w:color="auto"/>
            </w:tcBorders>
            <w:shd w:val="clear" w:color="auto" w:fill="auto"/>
            <w:noWrap/>
            <w:hideMark/>
          </w:tcPr>
          <w:p w14:paraId="53E5A29C"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single" w:sz="4" w:space="0" w:color="auto"/>
              <w:left w:val="nil"/>
              <w:bottom w:val="single" w:sz="4" w:space="0" w:color="auto"/>
              <w:right w:val="nil"/>
            </w:tcBorders>
            <w:shd w:val="clear" w:color="auto" w:fill="auto"/>
            <w:hideMark/>
          </w:tcPr>
          <w:p w14:paraId="2B9C17A9"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97" w:type="dxa"/>
            <w:tcBorders>
              <w:top w:val="single" w:sz="4" w:space="0" w:color="auto"/>
              <w:left w:val="nil"/>
              <w:bottom w:val="single" w:sz="4" w:space="0" w:color="auto"/>
              <w:right w:val="single" w:sz="4" w:space="0" w:color="auto"/>
            </w:tcBorders>
            <w:shd w:val="clear" w:color="auto" w:fill="auto"/>
            <w:noWrap/>
            <w:hideMark/>
          </w:tcPr>
          <w:p w14:paraId="1E4471D5"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2178" w:type="dxa"/>
            <w:tcBorders>
              <w:top w:val="single" w:sz="4" w:space="0" w:color="auto"/>
              <w:left w:val="nil"/>
              <w:bottom w:val="single" w:sz="4" w:space="0" w:color="auto"/>
              <w:right w:val="single" w:sz="4" w:space="0" w:color="auto"/>
            </w:tcBorders>
            <w:shd w:val="clear" w:color="auto" w:fill="auto"/>
            <w:hideMark/>
          </w:tcPr>
          <w:p w14:paraId="42CFBE23" w14:textId="77777777" w:rsidR="00403B07" w:rsidRPr="00171BEB" w:rsidRDefault="00403B07" w:rsidP="00B01272">
            <w:pPr>
              <w:spacing w:after="0" w:line="240" w:lineRule="auto"/>
              <w:rPr>
                <w:rFonts w:ascii="Calibri" w:eastAsia="Times New Roman" w:hAnsi="Calibri" w:cs="Times New Roman"/>
                <w:color w:val="000000"/>
                <w:sz w:val="16"/>
                <w:szCs w:val="16"/>
              </w:rPr>
            </w:pPr>
            <w:r w:rsidRPr="00171BEB">
              <w:rPr>
                <w:rFonts w:ascii="Calibri" w:eastAsia="Times New Roman" w:hAnsi="Calibri" w:cs="Times New Roman"/>
                <w:color w:val="000000"/>
                <w:sz w:val="16"/>
                <w:szCs w:val="16"/>
              </w:rPr>
              <w:t> </w:t>
            </w:r>
          </w:p>
        </w:tc>
      </w:tr>
      <w:tr w:rsidR="00403B07" w:rsidRPr="00171BEB" w14:paraId="39C4C8F3" w14:textId="77777777" w:rsidTr="00B01272">
        <w:trPr>
          <w:gridAfter w:val="1"/>
          <w:wAfter w:w="12" w:type="dxa"/>
          <w:trHeight w:val="227"/>
        </w:trPr>
        <w:tc>
          <w:tcPr>
            <w:tcW w:w="462" w:type="dxa"/>
            <w:tcBorders>
              <w:top w:val="single" w:sz="4" w:space="0" w:color="auto"/>
              <w:left w:val="single" w:sz="4" w:space="0" w:color="auto"/>
              <w:bottom w:val="single" w:sz="4" w:space="0" w:color="auto"/>
              <w:right w:val="single" w:sz="4" w:space="0" w:color="auto"/>
            </w:tcBorders>
            <w:shd w:val="clear" w:color="auto" w:fill="auto"/>
            <w:hideMark/>
          </w:tcPr>
          <w:p w14:paraId="37451825" w14:textId="77777777" w:rsidR="00403B07" w:rsidRPr="000E3600" w:rsidRDefault="00403B07" w:rsidP="00B01272">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07</w:t>
            </w:r>
          </w:p>
        </w:tc>
        <w:tc>
          <w:tcPr>
            <w:tcW w:w="483" w:type="dxa"/>
            <w:tcBorders>
              <w:top w:val="single" w:sz="4" w:space="0" w:color="auto"/>
              <w:left w:val="single" w:sz="4" w:space="0" w:color="auto"/>
              <w:bottom w:val="single" w:sz="4" w:space="0" w:color="auto"/>
            </w:tcBorders>
            <w:shd w:val="clear" w:color="auto" w:fill="auto"/>
            <w:hideMark/>
          </w:tcPr>
          <w:p w14:paraId="70BC205A"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6" w:type="dxa"/>
            <w:tcBorders>
              <w:top w:val="single" w:sz="4" w:space="0" w:color="auto"/>
              <w:bottom w:val="single" w:sz="4" w:space="0" w:color="auto"/>
              <w:right w:val="single" w:sz="4" w:space="0" w:color="auto"/>
            </w:tcBorders>
            <w:shd w:val="clear" w:color="auto" w:fill="auto"/>
            <w:noWrap/>
            <w:hideMark/>
          </w:tcPr>
          <w:p w14:paraId="7C31FF86"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7" w:type="dxa"/>
            <w:tcBorders>
              <w:top w:val="single" w:sz="4" w:space="0" w:color="auto"/>
              <w:left w:val="single" w:sz="4" w:space="0" w:color="auto"/>
              <w:bottom w:val="single" w:sz="4" w:space="0" w:color="auto"/>
            </w:tcBorders>
            <w:shd w:val="clear" w:color="auto" w:fill="auto"/>
            <w:hideMark/>
          </w:tcPr>
          <w:p w14:paraId="2524A800"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F9419C">
              <w:rPr>
                <w:rFonts w:ascii="Marlett" w:hAnsi="Marlett"/>
              </w:rPr>
              <w:t></w:t>
            </w:r>
          </w:p>
        </w:tc>
        <w:tc>
          <w:tcPr>
            <w:tcW w:w="668" w:type="dxa"/>
            <w:tcBorders>
              <w:top w:val="single" w:sz="4" w:space="0" w:color="auto"/>
              <w:bottom w:val="single" w:sz="4" w:space="0" w:color="auto"/>
              <w:right w:val="single" w:sz="4" w:space="0" w:color="auto"/>
            </w:tcBorders>
            <w:shd w:val="clear" w:color="auto" w:fill="auto"/>
            <w:noWrap/>
            <w:hideMark/>
          </w:tcPr>
          <w:p w14:paraId="0A4DC645" w14:textId="77777777" w:rsidR="00403B07" w:rsidRPr="000E3600" w:rsidRDefault="00403B07" w:rsidP="00B01272">
            <w:pPr>
              <w:spacing w:after="0" w:line="240" w:lineRule="auto"/>
              <w:rPr>
                <w:rFonts w:ascii="Calibri" w:eastAsia="Times New Roman" w:hAnsi="Calibri" w:cs="Times New Roman"/>
                <w:sz w:val="20"/>
                <w:szCs w:val="20"/>
              </w:rPr>
            </w:pPr>
            <w:r w:rsidRPr="00F9419C">
              <w:rPr>
                <w:rFonts w:ascii="Marlett" w:hAnsi="Marlett"/>
              </w:rPr>
              <w:t></w:t>
            </w:r>
            <w:r w:rsidRPr="00B50813">
              <w:rPr>
                <w:rFonts w:ascii="Marlett" w:hAnsi="Marlett"/>
                <w:color w:val="FF0000"/>
              </w:rPr>
              <w:t></w:t>
            </w:r>
            <w:r w:rsidRPr="000E3600">
              <w:rPr>
                <w:rFonts w:ascii="Calibri" w:eastAsia="Times New Roman" w:hAnsi="Calibri" w:cs="Times New Roman"/>
                <w:color w:val="FF0000"/>
                <w:sz w:val="20"/>
                <w:szCs w:val="20"/>
              </w:rPr>
              <w:t xml:space="preserve"> </w:t>
            </w:r>
          </w:p>
        </w:tc>
        <w:tc>
          <w:tcPr>
            <w:tcW w:w="304" w:type="dxa"/>
            <w:tcBorders>
              <w:top w:val="single" w:sz="4" w:space="0" w:color="auto"/>
              <w:left w:val="single" w:sz="4" w:space="0" w:color="auto"/>
              <w:bottom w:val="single" w:sz="4" w:space="0" w:color="auto"/>
            </w:tcBorders>
            <w:shd w:val="clear" w:color="auto" w:fill="auto"/>
            <w:hideMark/>
          </w:tcPr>
          <w:p w14:paraId="64BBF65E"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688" w:type="dxa"/>
            <w:tcBorders>
              <w:top w:val="single" w:sz="4" w:space="0" w:color="auto"/>
              <w:bottom w:val="single" w:sz="4" w:space="0" w:color="auto"/>
              <w:right w:val="single" w:sz="4" w:space="0" w:color="auto"/>
            </w:tcBorders>
            <w:shd w:val="clear" w:color="auto" w:fill="auto"/>
            <w:noWrap/>
            <w:hideMark/>
          </w:tcPr>
          <w:p w14:paraId="19E761EC"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289" w:type="dxa"/>
            <w:tcBorders>
              <w:top w:val="single" w:sz="4" w:space="0" w:color="auto"/>
              <w:left w:val="single" w:sz="4" w:space="0" w:color="auto"/>
              <w:bottom w:val="single" w:sz="4" w:space="0" w:color="auto"/>
            </w:tcBorders>
            <w:shd w:val="clear" w:color="auto" w:fill="auto"/>
            <w:hideMark/>
          </w:tcPr>
          <w:p w14:paraId="5CA4522E" w14:textId="77777777" w:rsidR="00403B07" w:rsidRDefault="00403B07" w:rsidP="00B01272">
            <w:r w:rsidRPr="00F9419C">
              <w:rPr>
                <w:rFonts w:ascii="Marlett" w:hAnsi="Marlett"/>
              </w:rPr>
              <w:t></w:t>
            </w:r>
          </w:p>
        </w:tc>
        <w:tc>
          <w:tcPr>
            <w:tcW w:w="703" w:type="dxa"/>
            <w:tcBorders>
              <w:top w:val="single" w:sz="4" w:space="0" w:color="auto"/>
              <w:bottom w:val="single" w:sz="4" w:space="0" w:color="auto"/>
              <w:right w:val="single" w:sz="4" w:space="0" w:color="auto"/>
            </w:tcBorders>
            <w:shd w:val="clear" w:color="auto" w:fill="auto"/>
            <w:noWrap/>
            <w:hideMark/>
          </w:tcPr>
          <w:p w14:paraId="26F19870" w14:textId="77777777" w:rsidR="00403B07" w:rsidRDefault="00403B07" w:rsidP="00B01272">
            <w:r w:rsidRPr="00F9419C">
              <w:rPr>
                <w:rFonts w:ascii="Marlett" w:hAnsi="Marlett"/>
              </w:rPr>
              <w:t></w:t>
            </w:r>
          </w:p>
        </w:tc>
        <w:tc>
          <w:tcPr>
            <w:tcW w:w="546" w:type="dxa"/>
            <w:tcBorders>
              <w:top w:val="single" w:sz="4" w:space="0" w:color="auto"/>
              <w:left w:val="single" w:sz="4" w:space="0" w:color="auto"/>
              <w:bottom w:val="single" w:sz="4" w:space="0" w:color="auto"/>
            </w:tcBorders>
            <w:shd w:val="clear" w:color="auto" w:fill="auto"/>
            <w:hideMark/>
          </w:tcPr>
          <w:p w14:paraId="1D71BF7B"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565" w:type="dxa"/>
            <w:tcBorders>
              <w:top w:val="single" w:sz="4" w:space="0" w:color="auto"/>
              <w:bottom w:val="single" w:sz="4" w:space="0" w:color="auto"/>
              <w:right w:val="single" w:sz="4" w:space="0" w:color="auto"/>
            </w:tcBorders>
            <w:shd w:val="clear" w:color="auto" w:fill="auto"/>
            <w:noWrap/>
            <w:hideMark/>
          </w:tcPr>
          <w:p w14:paraId="2FCB8D67"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32" w:type="dxa"/>
            <w:tcBorders>
              <w:top w:val="single" w:sz="4" w:space="0" w:color="auto"/>
              <w:left w:val="single" w:sz="4" w:space="0" w:color="auto"/>
              <w:bottom w:val="single" w:sz="4" w:space="0" w:color="auto"/>
            </w:tcBorders>
            <w:shd w:val="clear" w:color="auto" w:fill="auto"/>
            <w:hideMark/>
          </w:tcPr>
          <w:p w14:paraId="2EFC7958"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18" w:type="dxa"/>
            <w:tcBorders>
              <w:top w:val="single" w:sz="4" w:space="0" w:color="auto"/>
              <w:bottom w:val="single" w:sz="4" w:space="0" w:color="auto"/>
              <w:right w:val="single" w:sz="4" w:space="0" w:color="auto"/>
            </w:tcBorders>
            <w:shd w:val="clear" w:color="auto" w:fill="auto"/>
            <w:noWrap/>
            <w:hideMark/>
          </w:tcPr>
          <w:p w14:paraId="26C7DF0A"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562" w:type="dxa"/>
            <w:tcBorders>
              <w:top w:val="single" w:sz="4" w:space="0" w:color="auto"/>
              <w:left w:val="single" w:sz="4" w:space="0" w:color="auto"/>
              <w:bottom w:val="single" w:sz="4" w:space="0" w:color="auto"/>
            </w:tcBorders>
            <w:shd w:val="clear" w:color="auto" w:fill="auto"/>
            <w:hideMark/>
          </w:tcPr>
          <w:p w14:paraId="5CC453B4" w14:textId="77777777" w:rsidR="00403B07" w:rsidRDefault="00403B07" w:rsidP="00B01272">
            <w:r w:rsidRPr="006457EE">
              <w:rPr>
                <w:rFonts w:ascii="Marlett" w:hAnsi="Marlett"/>
              </w:rPr>
              <w:t></w:t>
            </w:r>
          </w:p>
        </w:tc>
        <w:tc>
          <w:tcPr>
            <w:tcW w:w="488" w:type="dxa"/>
            <w:tcBorders>
              <w:top w:val="single" w:sz="4" w:space="0" w:color="auto"/>
              <w:bottom w:val="single" w:sz="4" w:space="0" w:color="auto"/>
              <w:right w:val="single" w:sz="4" w:space="0" w:color="auto"/>
            </w:tcBorders>
            <w:shd w:val="clear" w:color="auto" w:fill="auto"/>
            <w:noWrap/>
            <w:hideMark/>
          </w:tcPr>
          <w:p w14:paraId="72CC0EC2" w14:textId="77777777" w:rsidR="00403B07" w:rsidRDefault="00403B07" w:rsidP="00B01272">
            <w:r w:rsidRPr="006457EE">
              <w:rPr>
                <w:rFonts w:ascii="Marlett" w:hAnsi="Marlett"/>
              </w:rPr>
              <w:t></w:t>
            </w:r>
          </w:p>
        </w:tc>
        <w:tc>
          <w:tcPr>
            <w:tcW w:w="488" w:type="dxa"/>
            <w:tcBorders>
              <w:top w:val="single" w:sz="4" w:space="0" w:color="auto"/>
              <w:left w:val="single" w:sz="4" w:space="0" w:color="auto"/>
              <w:bottom w:val="single" w:sz="4" w:space="0" w:color="auto"/>
            </w:tcBorders>
            <w:shd w:val="clear" w:color="auto" w:fill="auto"/>
            <w:hideMark/>
          </w:tcPr>
          <w:p w14:paraId="195F17AC"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single" w:sz="4" w:space="0" w:color="auto"/>
              <w:bottom w:val="single" w:sz="4" w:space="0" w:color="auto"/>
              <w:right w:val="single" w:sz="4" w:space="0" w:color="auto"/>
            </w:tcBorders>
            <w:shd w:val="clear" w:color="auto" w:fill="auto"/>
            <w:noWrap/>
            <w:hideMark/>
          </w:tcPr>
          <w:p w14:paraId="701BEA3D"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9" w:type="dxa"/>
            <w:tcBorders>
              <w:top w:val="single" w:sz="4" w:space="0" w:color="auto"/>
              <w:left w:val="single" w:sz="4" w:space="0" w:color="auto"/>
              <w:bottom w:val="single" w:sz="4" w:space="0" w:color="auto"/>
            </w:tcBorders>
            <w:shd w:val="clear" w:color="auto" w:fill="auto"/>
            <w:hideMark/>
          </w:tcPr>
          <w:p w14:paraId="79F60E4F"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single" w:sz="4" w:space="0" w:color="auto"/>
              <w:bottom w:val="single" w:sz="4" w:space="0" w:color="auto"/>
              <w:right w:val="single" w:sz="4" w:space="0" w:color="auto"/>
            </w:tcBorders>
            <w:shd w:val="clear" w:color="auto" w:fill="auto"/>
            <w:noWrap/>
            <w:hideMark/>
          </w:tcPr>
          <w:p w14:paraId="6F8FD91E"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single" w:sz="4" w:space="0" w:color="auto"/>
              <w:left w:val="single" w:sz="4" w:space="0" w:color="auto"/>
              <w:bottom w:val="single" w:sz="4" w:space="0" w:color="auto"/>
            </w:tcBorders>
            <w:shd w:val="clear" w:color="auto" w:fill="auto"/>
            <w:hideMark/>
          </w:tcPr>
          <w:p w14:paraId="7C894DCE"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single" w:sz="4" w:space="0" w:color="auto"/>
              <w:bottom w:val="single" w:sz="4" w:space="0" w:color="auto"/>
              <w:right w:val="single" w:sz="4" w:space="0" w:color="auto"/>
            </w:tcBorders>
            <w:shd w:val="clear" w:color="auto" w:fill="auto"/>
            <w:noWrap/>
            <w:hideMark/>
          </w:tcPr>
          <w:p w14:paraId="3A7AC60E"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single" w:sz="4" w:space="0" w:color="auto"/>
              <w:left w:val="single" w:sz="4" w:space="0" w:color="auto"/>
              <w:bottom w:val="single" w:sz="4" w:space="0" w:color="auto"/>
            </w:tcBorders>
            <w:shd w:val="clear" w:color="auto" w:fill="auto"/>
            <w:hideMark/>
          </w:tcPr>
          <w:p w14:paraId="130CE86C"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single" w:sz="4" w:space="0" w:color="auto"/>
              <w:bottom w:val="single" w:sz="4" w:space="0" w:color="auto"/>
              <w:right w:val="single" w:sz="4" w:space="0" w:color="auto"/>
            </w:tcBorders>
            <w:shd w:val="clear" w:color="auto" w:fill="auto"/>
            <w:noWrap/>
            <w:hideMark/>
          </w:tcPr>
          <w:p w14:paraId="713D28D6"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single" w:sz="4" w:space="0" w:color="auto"/>
              <w:left w:val="single" w:sz="4" w:space="0" w:color="auto"/>
              <w:bottom w:val="single" w:sz="4" w:space="0" w:color="auto"/>
            </w:tcBorders>
            <w:shd w:val="clear" w:color="auto" w:fill="auto"/>
            <w:hideMark/>
          </w:tcPr>
          <w:p w14:paraId="52547D05"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97" w:type="dxa"/>
            <w:tcBorders>
              <w:top w:val="single" w:sz="4" w:space="0" w:color="auto"/>
              <w:bottom w:val="single" w:sz="4" w:space="0" w:color="auto"/>
              <w:right w:val="single" w:sz="4" w:space="0" w:color="auto"/>
            </w:tcBorders>
            <w:shd w:val="clear" w:color="auto" w:fill="auto"/>
            <w:noWrap/>
            <w:hideMark/>
          </w:tcPr>
          <w:p w14:paraId="0E4D1C95"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2178" w:type="dxa"/>
            <w:tcBorders>
              <w:top w:val="single" w:sz="4" w:space="0" w:color="auto"/>
              <w:left w:val="single" w:sz="4" w:space="0" w:color="auto"/>
              <w:bottom w:val="single" w:sz="4" w:space="0" w:color="auto"/>
              <w:right w:val="single" w:sz="4" w:space="0" w:color="auto"/>
            </w:tcBorders>
            <w:shd w:val="clear" w:color="auto" w:fill="auto"/>
            <w:hideMark/>
          </w:tcPr>
          <w:p w14:paraId="3F4E4BF5" w14:textId="77777777" w:rsidR="00403B07" w:rsidRPr="00171BEB" w:rsidRDefault="00403B07" w:rsidP="00B01272">
            <w:pPr>
              <w:spacing w:after="0" w:line="240" w:lineRule="auto"/>
              <w:rPr>
                <w:rFonts w:ascii="Calibri" w:eastAsia="Times New Roman" w:hAnsi="Calibri" w:cs="Times New Roman"/>
                <w:color w:val="000000"/>
                <w:sz w:val="16"/>
                <w:szCs w:val="16"/>
              </w:rPr>
            </w:pPr>
            <w:r w:rsidRPr="00171BEB">
              <w:rPr>
                <w:rFonts w:ascii="Calibri" w:eastAsia="Times New Roman" w:hAnsi="Calibri" w:cs="Times New Roman"/>
                <w:color w:val="000000"/>
                <w:sz w:val="16"/>
                <w:szCs w:val="16"/>
              </w:rPr>
              <w:t xml:space="preserve">Healthy School award. HCQM. Eco school award. </w:t>
            </w:r>
          </w:p>
        </w:tc>
      </w:tr>
      <w:tr w:rsidR="00403B07" w:rsidRPr="00171BEB" w14:paraId="2A33B26C" w14:textId="77777777" w:rsidTr="00B01272">
        <w:trPr>
          <w:gridAfter w:val="1"/>
          <w:wAfter w:w="12" w:type="dxa"/>
          <w:trHeight w:val="227"/>
        </w:trPr>
        <w:tc>
          <w:tcPr>
            <w:tcW w:w="462" w:type="dxa"/>
            <w:tcBorders>
              <w:top w:val="single" w:sz="4" w:space="0" w:color="auto"/>
              <w:left w:val="single" w:sz="4" w:space="0" w:color="auto"/>
              <w:bottom w:val="single" w:sz="4" w:space="0" w:color="auto"/>
              <w:right w:val="single" w:sz="4" w:space="0" w:color="auto"/>
            </w:tcBorders>
            <w:shd w:val="clear" w:color="auto" w:fill="auto"/>
            <w:hideMark/>
          </w:tcPr>
          <w:p w14:paraId="4D5DEF0A" w14:textId="77777777" w:rsidR="00403B07" w:rsidRPr="000E3600" w:rsidRDefault="00403B07" w:rsidP="00B01272">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08</w:t>
            </w:r>
          </w:p>
        </w:tc>
        <w:tc>
          <w:tcPr>
            <w:tcW w:w="483" w:type="dxa"/>
            <w:tcBorders>
              <w:top w:val="single" w:sz="4" w:space="0" w:color="auto"/>
              <w:left w:val="single" w:sz="4" w:space="0" w:color="auto"/>
              <w:bottom w:val="single" w:sz="4" w:space="0" w:color="auto"/>
            </w:tcBorders>
            <w:shd w:val="clear" w:color="auto" w:fill="auto"/>
            <w:hideMark/>
          </w:tcPr>
          <w:p w14:paraId="27A82787"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6" w:type="dxa"/>
            <w:tcBorders>
              <w:top w:val="single" w:sz="4" w:space="0" w:color="auto"/>
              <w:bottom w:val="single" w:sz="4" w:space="0" w:color="auto"/>
              <w:right w:val="single" w:sz="4" w:space="0" w:color="auto"/>
            </w:tcBorders>
            <w:shd w:val="clear" w:color="auto" w:fill="auto"/>
            <w:noWrap/>
          </w:tcPr>
          <w:p w14:paraId="79013829" w14:textId="77777777" w:rsidR="00403B07" w:rsidRPr="000E3600" w:rsidRDefault="00403B07" w:rsidP="00B01272">
            <w:pPr>
              <w:spacing w:after="0" w:line="240" w:lineRule="auto"/>
              <w:rPr>
                <w:rFonts w:ascii="Calibri" w:eastAsia="Times New Roman" w:hAnsi="Calibri" w:cs="Times New Roman"/>
                <w:color w:val="000000"/>
                <w:sz w:val="20"/>
                <w:szCs w:val="20"/>
              </w:rPr>
            </w:pPr>
          </w:p>
        </w:tc>
        <w:tc>
          <w:tcPr>
            <w:tcW w:w="487" w:type="dxa"/>
            <w:tcBorders>
              <w:top w:val="single" w:sz="4" w:space="0" w:color="auto"/>
              <w:left w:val="single" w:sz="4" w:space="0" w:color="auto"/>
              <w:bottom w:val="single" w:sz="4" w:space="0" w:color="auto"/>
            </w:tcBorders>
            <w:shd w:val="clear" w:color="auto" w:fill="auto"/>
            <w:noWrap/>
            <w:hideMark/>
          </w:tcPr>
          <w:p w14:paraId="3ED48018"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F9419C">
              <w:rPr>
                <w:rFonts w:ascii="Marlett" w:hAnsi="Marlett"/>
              </w:rPr>
              <w:t></w:t>
            </w:r>
          </w:p>
        </w:tc>
        <w:tc>
          <w:tcPr>
            <w:tcW w:w="668" w:type="dxa"/>
            <w:tcBorders>
              <w:top w:val="single" w:sz="4" w:space="0" w:color="auto"/>
              <w:bottom w:val="single" w:sz="4" w:space="0" w:color="auto"/>
              <w:right w:val="single" w:sz="4" w:space="0" w:color="auto"/>
            </w:tcBorders>
            <w:shd w:val="clear" w:color="auto" w:fill="auto"/>
            <w:noWrap/>
            <w:hideMark/>
          </w:tcPr>
          <w:p w14:paraId="7942F4A7"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F9419C">
              <w:rPr>
                <w:rFonts w:ascii="Marlett" w:hAnsi="Marlett"/>
              </w:rPr>
              <w:t></w:t>
            </w:r>
          </w:p>
        </w:tc>
        <w:tc>
          <w:tcPr>
            <w:tcW w:w="304" w:type="dxa"/>
            <w:tcBorders>
              <w:top w:val="single" w:sz="4" w:space="0" w:color="auto"/>
              <w:left w:val="single" w:sz="4" w:space="0" w:color="auto"/>
              <w:bottom w:val="single" w:sz="4" w:space="0" w:color="auto"/>
            </w:tcBorders>
            <w:shd w:val="clear" w:color="auto" w:fill="auto"/>
            <w:hideMark/>
          </w:tcPr>
          <w:p w14:paraId="18B0A601" w14:textId="77777777" w:rsidR="00403B07" w:rsidRDefault="00403B07" w:rsidP="00B01272">
            <w:r w:rsidRPr="00D11680">
              <w:rPr>
                <w:rFonts w:ascii="Marlett" w:hAnsi="Marlett"/>
              </w:rPr>
              <w:t></w:t>
            </w:r>
          </w:p>
        </w:tc>
        <w:tc>
          <w:tcPr>
            <w:tcW w:w="688" w:type="dxa"/>
            <w:tcBorders>
              <w:top w:val="single" w:sz="4" w:space="0" w:color="auto"/>
              <w:bottom w:val="single" w:sz="4" w:space="0" w:color="auto"/>
              <w:right w:val="single" w:sz="4" w:space="0" w:color="auto"/>
            </w:tcBorders>
            <w:shd w:val="clear" w:color="auto" w:fill="auto"/>
            <w:noWrap/>
            <w:hideMark/>
          </w:tcPr>
          <w:p w14:paraId="4BDD273D" w14:textId="77777777" w:rsidR="00403B07" w:rsidRDefault="00403B07" w:rsidP="00B01272">
            <w:r w:rsidRPr="00D11680">
              <w:rPr>
                <w:rFonts w:ascii="Marlett" w:hAnsi="Marlett"/>
              </w:rPr>
              <w:t></w:t>
            </w:r>
          </w:p>
        </w:tc>
        <w:tc>
          <w:tcPr>
            <w:tcW w:w="289" w:type="dxa"/>
            <w:tcBorders>
              <w:top w:val="single" w:sz="4" w:space="0" w:color="auto"/>
              <w:left w:val="single" w:sz="4" w:space="0" w:color="auto"/>
              <w:bottom w:val="single" w:sz="4" w:space="0" w:color="auto"/>
            </w:tcBorders>
            <w:shd w:val="clear" w:color="auto" w:fill="auto"/>
            <w:hideMark/>
          </w:tcPr>
          <w:p w14:paraId="7E3735CF"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703" w:type="dxa"/>
            <w:tcBorders>
              <w:top w:val="single" w:sz="4" w:space="0" w:color="auto"/>
              <w:bottom w:val="single" w:sz="4" w:space="0" w:color="auto"/>
              <w:right w:val="single" w:sz="4" w:space="0" w:color="auto"/>
            </w:tcBorders>
            <w:shd w:val="clear" w:color="auto" w:fill="auto"/>
            <w:noWrap/>
            <w:hideMark/>
          </w:tcPr>
          <w:p w14:paraId="2718408F"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546" w:type="dxa"/>
            <w:tcBorders>
              <w:top w:val="single" w:sz="4" w:space="0" w:color="auto"/>
              <w:left w:val="single" w:sz="4" w:space="0" w:color="auto"/>
              <w:bottom w:val="single" w:sz="4" w:space="0" w:color="auto"/>
            </w:tcBorders>
            <w:shd w:val="clear" w:color="auto" w:fill="auto"/>
            <w:noWrap/>
            <w:hideMark/>
          </w:tcPr>
          <w:p w14:paraId="68717940" w14:textId="77777777" w:rsidR="00403B07" w:rsidRDefault="00403B07" w:rsidP="00B01272">
            <w:r w:rsidRPr="00314BFB">
              <w:rPr>
                <w:rFonts w:ascii="Marlett" w:hAnsi="Marlett"/>
              </w:rPr>
              <w:t></w:t>
            </w:r>
          </w:p>
        </w:tc>
        <w:tc>
          <w:tcPr>
            <w:tcW w:w="565" w:type="dxa"/>
            <w:tcBorders>
              <w:top w:val="single" w:sz="4" w:space="0" w:color="auto"/>
              <w:bottom w:val="single" w:sz="4" w:space="0" w:color="auto"/>
              <w:right w:val="single" w:sz="4" w:space="0" w:color="auto"/>
            </w:tcBorders>
            <w:shd w:val="clear" w:color="auto" w:fill="auto"/>
            <w:noWrap/>
            <w:hideMark/>
          </w:tcPr>
          <w:p w14:paraId="64457B24" w14:textId="77777777" w:rsidR="00403B07" w:rsidRDefault="00403B07" w:rsidP="00B01272">
            <w:r w:rsidRPr="00314BFB">
              <w:rPr>
                <w:rFonts w:ascii="Marlett" w:hAnsi="Marlett"/>
              </w:rPr>
              <w:t></w:t>
            </w:r>
            <w:r w:rsidRPr="00B50813">
              <w:rPr>
                <w:rFonts w:ascii="Marlett" w:hAnsi="Marlett"/>
                <w:color w:val="FF0000"/>
              </w:rPr>
              <w:t></w:t>
            </w:r>
          </w:p>
        </w:tc>
        <w:tc>
          <w:tcPr>
            <w:tcW w:w="432" w:type="dxa"/>
            <w:tcBorders>
              <w:top w:val="single" w:sz="4" w:space="0" w:color="auto"/>
              <w:left w:val="single" w:sz="4" w:space="0" w:color="auto"/>
              <w:bottom w:val="single" w:sz="4" w:space="0" w:color="auto"/>
            </w:tcBorders>
            <w:shd w:val="clear" w:color="auto" w:fill="auto"/>
            <w:noWrap/>
            <w:hideMark/>
          </w:tcPr>
          <w:p w14:paraId="58920DB0" w14:textId="77777777" w:rsidR="00403B07" w:rsidRDefault="00403B07" w:rsidP="00B01272">
            <w:r w:rsidRPr="00314BFB">
              <w:rPr>
                <w:rFonts w:ascii="Marlett" w:hAnsi="Marlett"/>
              </w:rPr>
              <w:t></w:t>
            </w:r>
          </w:p>
        </w:tc>
        <w:tc>
          <w:tcPr>
            <w:tcW w:w="418" w:type="dxa"/>
            <w:tcBorders>
              <w:top w:val="single" w:sz="4" w:space="0" w:color="auto"/>
              <w:bottom w:val="single" w:sz="4" w:space="0" w:color="auto"/>
              <w:right w:val="single" w:sz="4" w:space="0" w:color="auto"/>
            </w:tcBorders>
            <w:shd w:val="clear" w:color="auto" w:fill="auto"/>
            <w:noWrap/>
            <w:hideMark/>
          </w:tcPr>
          <w:p w14:paraId="7623EB35" w14:textId="77777777" w:rsidR="00403B07" w:rsidRDefault="00403B07" w:rsidP="00B01272">
            <w:r w:rsidRPr="00314BFB">
              <w:rPr>
                <w:rFonts w:ascii="Marlett" w:hAnsi="Marlett"/>
              </w:rPr>
              <w:t></w:t>
            </w:r>
          </w:p>
        </w:tc>
        <w:tc>
          <w:tcPr>
            <w:tcW w:w="562" w:type="dxa"/>
            <w:tcBorders>
              <w:top w:val="single" w:sz="4" w:space="0" w:color="auto"/>
              <w:left w:val="single" w:sz="4" w:space="0" w:color="auto"/>
              <w:bottom w:val="single" w:sz="4" w:space="0" w:color="auto"/>
            </w:tcBorders>
            <w:shd w:val="clear" w:color="auto" w:fill="auto"/>
            <w:noWrap/>
            <w:hideMark/>
          </w:tcPr>
          <w:p w14:paraId="5B033B07" w14:textId="77777777" w:rsidR="00403B07" w:rsidRDefault="00403B07" w:rsidP="00B01272">
            <w:r w:rsidRPr="006457EE">
              <w:rPr>
                <w:rFonts w:ascii="Marlett" w:hAnsi="Marlett"/>
              </w:rPr>
              <w:t></w:t>
            </w:r>
          </w:p>
        </w:tc>
        <w:tc>
          <w:tcPr>
            <w:tcW w:w="488" w:type="dxa"/>
            <w:tcBorders>
              <w:top w:val="single" w:sz="4" w:space="0" w:color="auto"/>
              <w:bottom w:val="single" w:sz="4" w:space="0" w:color="auto"/>
              <w:right w:val="single" w:sz="4" w:space="0" w:color="auto"/>
            </w:tcBorders>
            <w:shd w:val="clear" w:color="auto" w:fill="auto"/>
            <w:noWrap/>
            <w:hideMark/>
          </w:tcPr>
          <w:p w14:paraId="25FC4F3D" w14:textId="77777777" w:rsidR="00403B07" w:rsidRDefault="00403B07" w:rsidP="00B01272">
            <w:r w:rsidRPr="006457EE">
              <w:rPr>
                <w:rFonts w:ascii="Marlett" w:hAnsi="Marlett"/>
              </w:rPr>
              <w:t></w:t>
            </w:r>
          </w:p>
        </w:tc>
        <w:tc>
          <w:tcPr>
            <w:tcW w:w="488" w:type="dxa"/>
            <w:tcBorders>
              <w:top w:val="single" w:sz="4" w:space="0" w:color="auto"/>
              <w:left w:val="single" w:sz="4" w:space="0" w:color="auto"/>
              <w:bottom w:val="single" w:sz="4" w:space="0" w:color="auto"/>
            </w:tcBorders>
            <w:shd w:val="clear" w:color="auto" w:fill="auto"/>
            <w:hideMark/>
          </w:tcPr>
          <w:p w14:paraId="5B78ACE0"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single" w:sz="4" w:space="0" w:color="auto"/>
              <w:bottom w:val="single" w:sz="4" w:space="0" w:color="auto"/>
              <w:right w:val="single" w:sz="4" w:space="0" w:color="auto"/>
            </w:tcBorders>
            <w:shd w:val="clear" w:color="auto" w:fill="auto"/>
            <w:noWrap/>
            <w:hideMark/>
          </w:tcPr>
          <w:p w14:paraId="3F8D05C9"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9" w:type="dxa"/>
            <w:tcBorders>
              <w:top w:val="single" w:sz="4" w:space="0" w:color="auto"/>
              <w:left w:val="single" w:sz="4" w:space="0" w:color="auto"/>
              <w:bottom w:val="single" w:sz="4" w:space="0" w:color="auto"/>
            </w:tcBorders>
            <w:shd w:val="clear" w:color="auto" w:fill="auto"/>
            <w:noWrap/>
            <w:hideMark/>
          </w:tcPr>
          <w:p w14:paraId="2023C5E4" w14:textId="77777777" w:rsidR="00403B07" w:rsidRDefault="00403B07" w:rsidP="00B01272">
            <w:r w:rsidRPr="00E503BC">
              <w:rPr>
                <w:rFonts w:ascii="Marlett" w:hAnsi="Marlett"/>
              </w:rPr>
              <w:t></w:t>
            </w:r>
          </w:p>
        </w:tc>
        <w:tc>
          <w:tcPr>
            <w:tcW w:w="488" w:type="dxa"/>
            <w:tcBorders>
              <w:top w:val="single" w:sz="4" w:space="0" w:color="auto"/>
              <w:bottom w:val="single" w:sz="4" w:space="0" w:color="auto"/>
              <w:right w:val="single" w:sz="4" w:space="0" w:color="auto"/>
            </w:tcBorders>
            <w:shd w:val="clear" w:color="auto" w:fill="auto"/>
            <w:noWrap/>
            <w:hideMark/>
          </w:tcPr>
          <w:p w14:paraId="176B7573" w14:textId="77777777" w:rsidR="00403B07" w:rsidRDefault="00403B07" w:rsidP="00B01272">
            <w:r w:rsidRPr="00E503BC">
              <w:rPr>
                <w:rFonts w:ascii="Marlett" w:hAnsi="Marlett"/>
              </w:rPr>
              <w:t></w:t>
            </w:r>
          </w:p>
        </w:tc>
        <w:tc>
          <w:tcPr>
            <w:tcW w:w="488" w:type="dxa"/>
            <w:tcBorders>
              <w:top w:val="single" w:sz="4" w:space="0" w:color="auto"/>
              <w:left w:val="single" w:sz="4" w:space="0" w:color="auto"/>
              <w:bottom w:val="single" w:sz="4" w:space="0" w:color="auto"/>
            </w:tcBorders>
            <w:shd w:val="clear" w:color="auto" w:fill="auto"/>
            <w:hideMark/>
          </w:tcPr>
          <w:p w14:paraId="10858A68"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single" w:sz="4" w:space="0" w:color="auto"/>
              <w:bottom w:val="single" w:sz="4" w:space="0" w:color="auto"/>
              <w:right w:val="single" w:sz="4" w:space="0" w:color="auto"/>
            </w:tcBorders>
            <w:shd w:val="clear" w:color="auto" w:fill="auto"/>
            <w:noWrap/>
            <w:hideMark/>
          </w:tcPr>
          <w:p w14:paraId="6E1B7226"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single" w:sz="4" w:space="0" w:color="auto"/>
              <w:left w:val="single" w:sz="4" w:space="0" w:color="auto"/>
              <w:bottom w:val="single" w:sz="4" w:space="0" w:color="auto"/>
            </w:tcBorders>
            <w:shd w:val="clear" w:color="auto" w:fill="auto"/>
            <w:hideMark/>
          </w:tcPr>
          <w:p w14:paraId="2DF708C0"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single" w:sz="4" w:space="0" w:color="auto"/>
              <w:bottom w:val="single" w:sz="4" w:space="0" w:color="auto"/>
              <w:right w:val="single" w:sz="4" w:space="0" w:color="auto"/>
            </w:tcBorders>
            <w:shd w:val="clear" w:color="auto" w:fill="auto"/>
            <w:noWrap/>
            <w:hideMark/>
          </w:tcPr>
          <w:p w14:paraId="79178BC8"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single" w:sz="4" w:space="0" w:color="auto"/>
              <w:left w:val="single" w:sz="4" w:space="0" w:color="auto"/>
              <w:bottom w:val="single" w:sz="4" w:space="0" w:color="auto"/>
            </w:tcBorders>
            <w:shd w:val="clear" w:color="auto" w:fill="auto"/>
            <w:hideMark/>
          </w:tcPr>
          <w:p w14:paraId="175A764A" w14:textId="77777777" w:rsidR="00403B07" w:rsidRDefault="00403B07" w:rsidP="00B01272">
            <w:r w:rsidRPr="00541EDD">
              <w:rPr>
                <w:rFonts w:ascii="Marlett" w:hAnsi="Marlett"/>
              </w:rPr>
              <w:t></w:t>
            </w:r>
          </w:p>
        </w:tc>
        <w:tc>
          <w:tcPr>
            <w:tcW w:w="497" w:type="dxa"/>
            <w:tcBorders>
              <w:top w:val="single" w:sz="4" w:space="0" w:color="auto"/>
              <w:bottom w:val="single" w:sz="4" w:space="0" w:color="auto"/>
              <w:right w:val="single" w:sz="4" w:space="0" w:color="auto"/>
            </w:tcBorders>
            <w:shd w:val="clear" w:color="auto" w:fill="auto"/>
            <w:noWrap/>
            <w:hideMark/>
          </w:tcPr>
          <w:p w14:paraId="0478A777" w14:textId="77777777" w:rsidR="00403B07" w:rsidRDefault="00403B07" w:rsidP="00B01272">
            <w:r w:rsidRPr="00541EDD">
              <w:rPr>
                <w:rFonts w:ascii="Marlett" w:hAnsi="Marlett"/>
              </w:rPr>
              <w:t></w:t>
            </w:r>
          </w:p>
        </w:tc>
        <w:tc>
          <w:tcPr>
            <w:tcW w:w="2178" w:type="dxa"/>
            <w:tcBorders>
              <w:top w:val="single" w:sz="4" w:space="0" w:color="auto"/>
              <w:left w:val="single" w:sz="4" w:space="0" w:color="auto"/>
              <w:bottom w:val="single" w:sz="4" w:space="0" w:color="auto"/>
              <w:right w:val="single" w:sz="4" w:space="0" w:color="auto"/>
            </w:tcBorders>
            <w:shd w:val="clear" w:color="auto" w:fill="auto"/>
            <w:hideMark/>
          </w:tcPr>
          <w:p w14:paraId="23BD24A6" w14:textId="77777777" w:rsidR="00403B07" w:rsidRPr="00171BEB" w:rsidRDefault="00403B07" w:rsidP="00B01272">
            <w:pPr>
              <w:spacing w:after="0" w:line="240" w:lineRule="auto"/>
              <w:rPr>
                <w:rFonts w:ascii="Calibri" w:eastAsia="Times New Roman" w:hAnsi="Calibri" w:cs="Times New Roman"/>
                <w:color w:val="000000"/>
                <w:sz w:val="16"/>
                <w:szCs w:val="16"/>
              </w:rPr>
            </w:pPr>
            <w:r w:rsidRPr="00171BEB">
              <w:rPr>
                <w:rFonts w:ascii="Calibri" w:eastAsia="Times New Roman" w:hAnsi="Calibri" w:cs="Times New Roman"/>
                <w:color w:val="000000"/>
                <w:sz w:val="16"/>
                <w:szCs w:val="16"/>
              </w:rPr>
              <w:t>Eco school Green Flag</w:t>
            </w:r>
          </w:p>
        </w:tc>
      </w:tr>
      <w:tr w:rsidR="00DA1C42" w:rsidRPr="00171BEB" w14:paraId="42629B89" w14:textId="77777777" w:rsidTr="00B01272">
        <w:trPr>
          <w:gridAfter w:val="1"/>
          <w:wAfter w:w="12" w:type="dxa"/>
          <w:trHeight w:val="227"/>
        </w:trPr>
        <w:tc>
          <w:tcPr>
            <w:tcW w:w="462" w:type="dxa"/>
            <w:tcBorders>
              <w:top w:val="single" w:sz="4" w:space="0" w:color="auto"/>
              <w:left w:val="single" w:sz="4" w:space="0" w:color="auto"/>
              <w:bottom w:val="single" w:sz="4" w:space="0" w:color="auto"/>
              <w:right w:val="nil"/>
            </w:tcBorders>
            <w:shd w:val="clear" w:color="auto" w:fill="auto"/>
            <w:hideMark/>
          </w:tcPr>
          <w:p w14:paraId="1C50A2F7" w14:textId="77777777" w:rsidR="00403B07" w:rsidRPr="000E3600" w:rsidRDefault="00403B07" w:rsidP="00B01272">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09</w:t>
            </w:r>
          </w:p>
        </w:tc>
        <w:tc>
          <w:tcPr>
            <w:tcW w:w="483" w:type="dxa"/>
            <w:tcBorders>
              <w:top w:val="nil"/>
              <w:left w:val="single" w:sz="4" w:space="0" w:color="auto"/>
              <w:bottom w:val="single" w:sz="4" w:space="0" w:color="auto"/>
              <w:right w:val="nil"/>
            </w:tcBorders>
            <w:shd w:val="clear" w:color="auto" w:fill="D9D9D9" w:themeFill="background1" w:themeFillShade="D9"/>
            <w:hideMark/>
          </w:tcPr>
          <w:p w14:paraId="5C88AD61"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6" w:type="dxa"/>
            <w:tcBorders>
              <w:top w:val="nil"/>
              <w:left w:val="nil"/>
              <w:bottom w:val="single" w:sz="4" w:space="0" w:color="auto"/>
              <w:right w:val="single" w:sz="4" w:space="0" w:color="auto"/>
            </w:tcBorders>
            <w:shd w:val="clear" w:color="auto" w:fill="D9D9D9" w:themeFill="background1" w:themeFillShade="D9"/>
            <w:noWrap/>
            <w:hideMark/>
          </w:tcPr>
          <w:p w14:paraId="02703F4E"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7" w:type="dxa"/>
            <w:tcBorders>
              <w:top w:val="nil"/>
              <w:left w:val="nil"/>
              <w:bottom w:val="single" w:sz="4" w:space="0" w:color="auto"/>
              <w:right w:val="nil"/>
            </w:tcBorders>
            <w:shd w:val="clear" w:color="auto" w:fill="D9D9D9" w:themeFill="background1" w:themeFillShade="D9"/>
            <w:hideMark/>
          </w:tcPr>
          <w:p w14:paraId="27393761"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668" w:type="dxa"/>
            <w:tcBorders>
              <w:top w:val="nil"/>
              <w:left w:val="nil"/>
              <w:bottom w:val="single" w:sz="4" w:space="0" w:color="auto"/>
              <w:right w:val="single" w:sz="4" w:space="0" w:color="auto"/>
            </w:tcBorders>
            <w:shd w:val="clear" w:color="auto" w:fill="D9D9D9" w:themeFill="background1" w:themeFillShade="D9"/>
            <w:noWrap/>
            <w:hideMark/>
          </w:tcPr>
          <w:p w14:paraId="590E45E0"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304" w:type="dxa"/>
            <w:tcBorders>
              <w:top w:val="nil"/>
              <w:left w:val="nil"/>
              <w:bottom w:val="single" w:sz="4" w:space="0" w:color="auto"/>
              <w:right w:val="nil"/>
            </w:tcBorders>
            <w:shd w:val="clear" w:color="auto" w:fill="D9D9D9" w:themeFill="background1" w:themeFillShade="D9"/>
            <w:hideMark/>
          </w:tcPr>
          <w:p w14:paraId="139B97B7" w14:textId="77777777" w:rsidR="00403B07" w:rsidRDefault="00403B07" w:rsidP="00B01272">
            <w:r w:rsidRPr="003758C7">
              <w:rPr>
                <w:rFonts w:ascii="Marlett" w:hAnsi="Marlett"/>
              </w:rPr>
              <w:t></w:t>
            </w:r>
          </w:p>
        </w:tc>
        <w:tc>
          <w:tcPr>
            <w:tcW w:w="688" w:type="dxa"/>
            <w:tcBorders>
              <w:top w:val="nil"/>
              <w:left w:val="nil"/>
              <w:bottom w:val="single" w:sz="4" w:space="0" w:color="auto"/>
              <w:right w:val="single" w:sz="4" w:space="0" w:color="auto"/>
            </w:tcBorders>
            <w:shd w:val="clear" w:color="auto" w:fill="D9D9D9" w:themeFill="background1" w:themeFillShade="D9"/>
            <w:noWrap/>
            <w:hideMark/>
          </w:tcPr>
          <w:p w14:paraId="53180C30" w14:textId="77777777" w:rsidR="00403B07" w:rsidRDefault="00403B07" w:rsidP="00B01272">
            <w:r w:rsidRPr="003758C7">
              <w:rPr>
                <w:rFonts w:ascii="Marlett" w:hAnsi="Marlett"/>
              </w:rPr>
              <w:t></w:t>
            </w:r>
          </w:p>
        </w:tc>
        <w:tc>
          <w:tcPr>
            <w:tcW w:w="289" w:type="dxa"/>
            <w:tcBorders>
              <w:top w:val="nil"/>
              <w:left w:val="nil"/>
              <w:bottom w:val="single" w:sz="4" w:space="0" w:color="auto"/>
              <w:right w:val="nil"/>
            </w:tcBorders>
            <w:shd w:val="clear" w:color="auto" w:fill="D9D9D9" w:themeFill="background1" w:themeFillShade="D9"/>
            <w:hideMark/>
          </w:tcPr>
          <w:p w14:paraId="5C987CEE" w14:textId="77777777" w:rsidR="00403B07" w:rsidRDefault="00403B07" w:rsidP="00B01272">
            <w:r w:rsidRPr="004A7F93">
              <w:rPr>
                <w:rFonts w:ascii="Marlett" w:hAnsi="Marlett"/>
              </w:rPr>
              <w:t></w:t>
            </w:r>
          </w:p>
        </w:tc>
        <w:tc>
          <w:tcPr>
            <w:tcW w:w="703" w:type="dxa"/>
            <w:tcBorders>
              <w:top w:val="nil"/>
              <w:left w:val="nil"/>
              <w:bottom w:val="single" w:sz="4" w:space="0" w:color="auto"/>
              <w:right w:val="single" w:sz="4" w:space="0" w:color="auto"/>
            </w:tcBorders>
            <w:shd w:val="clear" w:color="auto" w:fill="D9D9D9" w:themeFill="background1" w:themeFillShade="D9"/>
            <w:noWrap/>
            <w:hideMark/>
          </w:tcPr>
          <w:p w14:paraId="60FD9B17" w14:textId="77777777" w:rsidR="00403B07" w:rsidRDefault="00403B07" w:rsidP="00B01272">
            <w:r w:rsidRPr="004A7F93">
              <w:rPr>
                <w:rFonts w:ascii="Marlett" w:hAnsi="Marlett"/>
              </w:rPr>
              <w:t></w:t>
            </w:r>
          </w:p>
        </w:tc>
        <w:tc>
          <w:tcPr>
            <w:tcW w:w="546" w:type="dxa"/>
            <w:tcBorders>
              <w:top w:val="nil"/>
              <w:left w:val="nil"/>
              <w:bottom w:val="single" w:sz="4" w:space="0" w:color="auto"/>
              <w:right w:val="nil"/>
            </w:tcBorders>
            <w:shd w:val="clear" w:color="auto" w:fill="D9D9D9" w:themeFill="background1" w:themeFillShade="D9"/>
            <w:hideMark/>
          </w:tcPr>
          <w:p w14:paraId="7C339905"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565" w:type="dxa"/>
            <w:tcBorders>
              <w:top w:val="nil"/>
              <w:left w:val="nil"/>
              <w:bottom w:val="single" w:sz="4" w:space="0" w:color="auto"/>
              <w:right w:val="single" w:sz="4" w:space="0" w:color="auto"/>
            </w:tcBorders>
            <w:shd w:val="clear" w:color="auto" w:fill="D9D9D9" w:themeFill="background1" w:themeFillShade="D9"/>
            <w:noWrap/>
            <w:hideMark/>
          </w:tcPr>
          <w:p w14:paraId="62824296"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32" w:type="dxa"/>
            <w:tcBorders>
              <w:top w:val="nil"/>
              <w:left w:val="nil"/>
              <w:bottom w:val="single" w:sz="4" w:space="0" w:color="auto"/>
              <w:right w:val="nil"/>
            </w:tcBorders>
            <w:shd w:val="clear" w:color="auto" w:fill="D9D9D9" w:themeFill="background1" w:themeFillShade="D9"/>
            <w:hideMark/>
          </w:tcPr>
          <w:p w14:paraId="3A415261"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18" w:type="dxa"/>
            <w:tcBorders>
              <w:top w:val="nil"/>
              <w:left w:val="nil"/>
              <w:bottom w:val="single" w:sz="4" w:space="0" w:color="auto"/>
              <w:right w:val="single" w:sz="4" w:space="0" w:color="auto"/>
            </w:tcBorders>
            <w:shd w:val="clear" w:color="auto" w:fill="D9D9D9" w:themeFill="background1" w:themeFillShade="D9"/>
            <w:noWrap/>
            <w:hideMark/>
          </w:tcPr>
          <w:p w14:paraId="77021D90"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562" w:type="dxa"/>
            <w:tcBorders>
              <w:top w:val="nil"/>
              <w:left w:val="nil"/>
              <w:bottom w:val="single" w:sz="4" w:space="0" w:color="auto"/>
              <w:right w:val="nil"/>
            </w:tcBorders>
            <w:shd w:val="clear" w:color="auto" w:fill="D9D9D9" w:themeFill="background1" w:themeFillShade="D9"/>
            <w:hideMark/>
          </w:tcPr>
          <w:p w14:paraId="273524B6" w14:textId="77777777" w:rsidR="00403B07" w:rsidRDefault="00403B07" w:rsidP="00B01272">
            <w:r w:rsidRPr="007D1106">
              <w:rPr>
                <w:rFonts w:ascii="Marlett" w:hAnsi="Marlett"/>
              </w:rPr>
              <w:t></w:t>
            </w:r>
          </w:p>
        </w:tc>
        <w:tc>
          <w:tcPr>
            <w:tcW w:w="488" w:type="dxa"/>
            <w:tcBorders>
              <w:top w:val="nil"/>
              <w:left w:val="nil"/>
              <w:bottom w:val="single" w:sz="4" w:space="0" w:color="auto"/>
              <w:right w:val="single" w:sz="4" w:space="0" w:color="auto"/>
            </w:tcBorders>
            <w:shd w:val="clear" w:color="auto" w:fill="D9D9D9" w:themeFill="background1" w:themeFillShade="D9"/>
            <w:noWrap/>
            <w:hideMark/>
          </w:tcPr>
          <w:p w14:paraId="3CCE1649" w14:textId="77777777" w:rsidR="00403B07" w:rsidRDefault="00403B07" w:rsidP="00B01272">
            <w:r w:rsidRPr="007D1106">
              <w:rPr>
                <w:rFonts w:ascii="Marlett" w:hAnsi="Marlett"/>
              </w:rPr>
              <w:t></w:t>
            </w:r>
          </w:p>
        </w:tc>
        <w:tc>
          <w:tcPr>
            <w:tcW w:w="488" w:type="dxa"/>
            <w:tcBorders>
              <w:top w:val="nil"/>
              <w:left w:val="nil"/>
              <w:bottom w:val="single" w:sz="4" w:space="0" w:color="auto"/>
              <w:right w:val="nil"/>
            </w:tcBorders>
            <w:shd w:val="clear" w:color="auto" w:fill="D9D9D9" w:themeFill="background1" w:themeFillShade="D9"/>
            <w:hideMark/>
          </w:tcPr>
          <w:p w14:paraId="4939C2E3"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D9D9D9" w:themeFill="background1" w:themeFillShade="D9"/>
            <w:noWrap/>
            <w:hideMark/>
          </w:tcPr>
          <w:p w14:paraId="47F66C89"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9" w:type="dxa"/>
            <w:tcBorders>
              <w:top w:val="nil"/>
              <w:left w:val="nil"/>
              <w:bottom w:val="single" w:sz="4" w:space="0" w:color="auto"/>
              <w:right w:val="nil"/>
            </w:tcBorders>
            <w:shd w:val="clear" w:color="auto" w:fill="D9D9D9" w:themeFill="background1" w:themeFillShade="D9"/>
            <w:hideMark/>
          </w:tcPr>
          <w:p w14:paraId="53AE9717"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D9D9D9" w:themeFill="background1" w:themeFillShade="D9"/>
            <w:noWrap/>
            <w:hideMark/>
          </w:tcPr>
          <w:p w14:paraId="6BE72698"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nil"/>
            </w:tcBorders>
            <w:shd w:val="clear" w:color="auto" w:fill="D9D9D9" w:themeFill="background1" w:themeFillShade="D9"/>
            <w:hideMark/>
          </w:tcPr>
          <w:p w14:paraId="1DC07BDF"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D9D9D9" w:themeFill="background1" w:themeFillShade="D9"/>
            <w:noWrap/>
            <w:hideMark/>
          </w:tcPr>
          <w:p w14:paraId="7C5CEE27"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nil"/>
            </w:tcBorders>
            <w:shd w:val="clear" w:color="auto" w:fill="D9D9D9" w:themeFill="background1" w:themeFillShade="D9"/>
            <w:hideMark/>
          </w:tcPr>
          <w:p w14:paraId="14294DB3"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D9D9D9" w:themeFill="background1" w:themeFillShade="D9"/>
            <w:noWrap/>
            <w:hideMark/>
          </w:tcPr>
          <w:p w14:paraId="0F968580"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nil"/>
            </w:tcBorders>
            <w:shd w:val="clear" w:color="auto" w:fill="D9D9D9" w:themeFill="background1" w:themeFillShade="D9"/>
            <w:hideMark/>
          </w:tcPr>
          <w:p w14:paraId="1C8C3F31"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97" w:type="dxa"/>
            <w:tcBorders>
              <w:top w:val="nil"/>
              <w:left w:val="nil"/>
              <w:bottom w:val="single" w:sz="4" w:space="0" w:color="auto"/>
              <w:right w:val="single" w:sz="4" w:space="0" w:color="auto"/>
            </w:tcBorders>
            <w:shd w:val="clear" w:color="auto" w:fill="D9D9D9" w:themeFill="background1" w:themeFillShade="D9"/>
            <w:noWrap/>
            <w:hideMark/>
          </w:tcPr>
          <w:p w14:paraId="4B60FD69"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2178" w:type="dxa"/>
            <w:tcBorders>
              <w:top w:val="nil"/>
              <w:left w:val="nil"/>
              <w:bottom w:val="single" w:sz="4" w:space="0" w:color="auto"/>
              <w:right w:val="single" w:sz="4" w:space="0" w:color="auto"/>
            </w:tcBorders>
            <w:shd w:val="clear" w:color="auto" w:fill="D9D9D9" w:themeFill="background1" w:themeFillShade="D9"/>
            <w:hideMark/>
          </w:tcPr>
          <w:p w14:paraId="62E69157" w14:textId="77777777" w:rsidR="00403B07" w:rsidRPr="00171BEB" w:rsidRDefault="00403B07" w:rsidP="00B01272">
            <w:pPr>
              <w:spacing w:after="0" w:line="240" w:lineRule="auto"/>
              <w:rPr>
                <w:rFonts w:ascii="Calibri" w:eastAsia="Times New Roman" w:hAnsi="Calibri" w:cs="Times New Roman"/>
                <w:color w:val="000000"/>
                <w:sz w:val="16"/>
                <w:szCs w:val="16"/>
              </w:rPr>
            </w:pPr>
            <w:r w:rsidRPr="00171BEB">
              <w:rPr>
                <w:rFonts w:ascii="Calibri" w:eastAsia="Times New Roman" w:hAnsi="Calibri" w:cs="Times New Roman"/>
                <w:color w:val="000000"/>
                <w:sz w:val="16"/>
                <w:szCs w:val="16"/>
              </w:rPr>
              <w:t> </w:t>
            </w:r>
          </w:p>
        </w:tc>
      </w:tr>
      <w:tr w:rsidR="00DA1C42" w:rsidRPr="00171BEB" w14:paraId="5E3608F9" w14:textId="77777777" w:rsidTr="00B01272">
        <w:trPr>
          <w:gridAfter w:val="1"/>
          <w:wAfter w:w="12" w:type="dxa"/>
          <w:trHeight w:val="227"/>
        </w:trPr>
        <w:tc>
          <w:tcPr>
            <w:tcW w:w="462" w:type="dxa"/>
            <w:tcBorders>
              <w:top w:val="single" w:sz="4" w:space="0" w:color="auto"/>
              <w:left w:val="single" w:sz="4" w:space="0" w:color="auto"/>
              <w:bottom w:val="single" w:sz="4" w:space="0" w:color="auto"/>
              <w:right w:val="nil"/>
            </w:tcBorders>
            <w:shd w:val="clear" w:color="auto" w:fill="auto"/>
            <w:hideMark/>
          </w:tcPr>
          <w:p w14:paraId="5BF5A3F2"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1</w:t>
            </w:r>
            <w:r>
              <w:rPr>
                <w:rFonts w:ascii="Calibri" w:eastAsia="Times New Roman" w:hAnsi="Calibri" w:cs="Times New Roman"/>
                <w:color w:val="000000"/>
                <w:sz w:val="20"/>
                <w:szCs w:val="20"/>
              </w:rPr>
              <w:t>0</w:t>
            </w:r>
          </w:p>
        </w:tc>
        <w:tc>
          <w:tcPr>
            <w:tcW w:w="483" w:type="dxa"/>
            <w:tcBorders>
              <w:top w:val="nil"/>
              <w:left w:val="single" w:sz="4" w:space="0" w:color="auto"/>
              <w:bottom w:val="single" w:sz="4" w:space="0" w:color="auto"/>
              <w:right w:val="nil"/>
            </w:tcBorders>
            <w:shd w:val="clear" w:color="auto" w:fill="D9D9D9" w:themeFill="background1" w:themeFillShade="D9"/>
            <w:hideMark/>
          </w:tcPr>
          <w:p w14:paraId="799F5832"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6" w:type="dxa"/>
            <w:tcBorders>
              <w:top w:val="nil"/>
              <w:left w:val="nil"/>
              <w:bottom w:val="single" w:sz="4" w:space="0" w:color="auto"/>
              <w:right w:val="single" w:sz="4" w:space="0" w:color="auto"/>
            </w:tcBorders>
            <w:shd w:val="clear" w:color="auto" w:fill="D9D9D9" w:themeFill="background1" w:themeFillShade="D9"/>
            <w:noWrap/>
            <w:hideMark/>
          </w:tcPr>
          <w:p w14:paraId="71077BD5"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7" w:type="dxa"/>
            <w:tcBorders>
              <w:top w:val="nil"/>
              <w:left w:val="nil"/>
              <w:bottom w:val="single" w:sz="4" w:space="0" w:color="auto"/>
              <w:right w:val="nil"/>
            </w:tcBorders>
            <w:shd w:val="clear" w:color="auto" w:fill="D9D9D9" w:themeFill="background1" w:themeFillShade="D9"/>
            <w:hideMark/>
          </w:tcPr>
          <w:p w14:paraId="47269C61"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668" w:type="dxa"/>
            <w:tcBorders>
              <w:top w:val="nil"/>
              <w:left w:val="nil"/>
              <w:bottom w:val="single" w:sz="4" w:space="0" w:color="auto"/>
              <w:right w:val="single" w:sz="4" w:space="0" w:color="auto"/>
            </w:tcBorders>
            <w:shd w:val="clear" w:color="auto" w:fill="D9D9D9" w:themeFill="background1" w:themeFillShade="D9"/>
            <w:noWrap/>
            <w:hideMark/>
          </w:tcPr>
          <w:p w14:paraId="2F4A14C6"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304" w:type="dxa"/>
            <w:tcBorders>
              <w:top w:val="nil"/>
              <w:left w:val="nil"/>
              <w:bottom w:val="single" w:sz="4" w:space="0" w:color="auto"/>
              <w:right w:val="nil"/>
            </w:tcBorders>
            <w:shd w:val="clear" w:color="auto" w:fill="D9D9D9" w:themeFill="background1" w:themeFillShade="D9"/>
            <w:hideMark/>
          </w:tcPr>
          <w:p w14:paraId="480BBA1C" w14:textId="77777777" w:rsidR="00403B07" w:rsidRDefault="00403B07" w:rsidP="00B01272">
            <w:r w:rsidRPr="003758C7">
              <w:rPr>
                <w:rFonts w:ascii="Marlett" w:hAnsi="Marlett"/>
              </w:rPr>
              <w:t></w:t>
            </w:r>
          </w:p>
        </w:tc>
        <w:tc>
          <w:tcPr>
            <w:tcW w:w="688" w:type="dxa"/>
            <w:tcBorders>
              <w:top w:val="nil"/>
              <w:left w:val="nil"/>
              <w:bottom w:val="single" w:sz="4" w:space="0" w:color="auto"/>
              <w:right w:val="single" w:sz="4" w:space="0" w:color="auto"/>
            </w:tcBorders>
            <w:shd w:val="clear" w:color="auto" w:fill="D9D9D9" w:themeFill="background1" w:themeFillShade="D9"/>
            <w:noWrap/>
            <w:hideMark/>
          </w:tcPr>
          <w:p w14:paraId="04EF9745" w14:textId="77777777" w:rsidR="00403B07" w:rsidRDefault="00403B07" w:rsidP="00B01272">
            <w:r w:rsidRPr="003758C7">
              <w:rPr>
                <w:rFonts w:ascii="Marlett" w:hAnsi="Marlett"/>
              </w:rPr>
              <w:t></w:t>
            </w:r>
          </w:p>
        </w:tc>
        <w:tc>
          <w:tcPr>
            <w:tcW w:w="289" w:type="dxa"/>
            <w:tcBorders>
              <w:top w:val="nil"/>
              <w:left w:val="nil"/>
              <w:bottom w:val="single" w:sz="4" w:space="0" w:color="auto"/>
              <w:right w:val="nil"/>
            </w:tcBorders>
            <w:shd w:val="clear" w:color="auto" w:fill="D9D9D9" w:themeFill="background1" w:themeFillShade="D9"/>
            <w:hideMark/>
          </w:tcPr>
          <w:p w14:paraId="768AF666"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703" w:type="dxa"/>
            <w:tcBorders>
              <w:top w:val="nil"/>
              <w:left w:val="nil"/>
              <w:bottom w:val="single" w:sz="4" w:space="0" w:color="auto"/>
              <w:right w:val="single" w:sz="4" w:space="0" w:color="auto"/>
            </w:tcBorders>
            <w:shd w:val="clear" w:color="auto" w:fill="D9D9D9" w:themeFill="background1" w:themeFillShade="D9"/>
            <w:noWrap/>
            <w:hideMark/>
          </w:tcPr>
          <w:p w14:paraId="4C1B9A12"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546" w:type="dxa"/>
            <w:tcBorders>
              <w:top w:val="nil"/>
              <w:left w:val="nil"/>
              <w:bottom w:val="single" w:sz="4" w:space="0" w:color="auto"/>
              <w:right w:val="nil"/>
            </w:tcBorders>
            <w:shd w:val="clear" w:color="auto" w:fill="D9D9D9" w:themeFill="background1" w:themeFillShade="D9"/>
            <w:hideMark/>
          </w:tcPr>
          <w:p w14:paraId="59F2777C"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565" w:type="dxa"/>
            <w:tcBorders>
              <w:top w:val="nil"/>
              <w:left w:val="nil"/>
              <w:bottom w:val="single" w:sz="4" w:space="0" w:color="auto"/>
              <w:right w:val="single" w:sz="4" w:space="0" w:color="auto"/>
            </w:tcBorders>
            <w:shd w:val="clear" w:color="auto" w:fill="D9D9D9" w:themeFill="background1" w:themeFillShade="D9"/>
            <w:noWrap/>
            <w:hideMark/>
          </w:tcPr>
          <w:p w14:paraId="45DEACCF"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32" w:type="dxa"/>
            <w:tcBorders>
              <w:top w:val="nil"/>
              <w:left w:val="nil"/>
              <w:bottom w:val="single" w:sz="4" w:space="0" w:color="auto"/>
              <w:right w:val="nil"/>
            </w:tcBorders>
            <w:shd w:val="clear" w:color="auto" w:fill="D9D9D9" w:themeFill="background1" w:themeFillShade="D9"/>
            <w:hideMark/>
          </w:tcPr>
          <w:p w14:paraId="0A985619"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18" w:type="dxa"/>
            <w:tcBorders>
              <w:top w:val="nil"/>
              <w:left w:val="nil"/>
              <w:bottom w:val="single" w:sz="4" w:space="0" w:color="auto"/>
              <w:right w:val="single" w:sz="4" w:space="0" w:color="auto"/>
            </w:tcBorders>
            <w:shd w:val="clear" w:color="auto" w:fill="D9D9D9" w:themeFill="background1" w:themeFillShade="D9"/>
            <w:noWrap/>
            <w:hideMark/>
          </w:tcPr>
          <w:p w14:paraId="112BA8D8"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562" w:type="dxa"/>
            <w:tcBorders>
              <w:top w:val="nil"/>
              <w:left w:val="nil"/>
              <w:bottom w:val="single" w:sz="4" w:space="0" w:color="auto"/>
              <w:right w:val="nil"/>
            </w:tcBorders>
            <w:shd w:val="clear" w:color="auto" w:fill="D9D9D9" w:themeFill="background1" w:themeFillShade="D9"/>
            <w:hideMark/>
          </w:tcPr>
          <w:p w14:paraId="52F91CF1" w14:textId="77777777" w:rsidR="00403B07" w:rsidRDefault="00403B07" w:rsidP="00B01272">
            <w:r w:rsidRPr="007D1106">
              <w:rPr>
                <w:rFonts w:ascii="Marlett" w:hAnsi="Marlett"/>
              </w:rPr>
              <w:t></w:t>
            </w:r>
          </w:p>
        </w:tc>
        <w:tc>
          <w:tcPr>
            <w:tcW w:w="488" w:type="dxa"/>
            <w:tcBorders>
              <w:top w:val="nil"/>
              <w:left w:val="nil"/>
              <w:bottom w:val="single" w:sz="4" w:space="0" w:color="auto"/>
              <w:right w:val="single" w:sz="4" w:space="0" w:color="auto"/>
            </w:tcBorders>
            <w:shd w:val="clear" w:color="auto" w:fill="D9D9D9" w:themeFill="background1" w:themeFillShade="D9"/>
            <w:noWrap/>
            <w:hideMark/>
          </w:tcPr>
          <w:p w14:paraId="39D8256A" w14:textId="77777777" w:rsidR="00403B07" w:rsidRDefault="00403B07" w:rsidP="00B01272">
            <w:r w:rsidRPr="007D1106">
              <w:rPr>
                <w:rFonts w:ascii="Marlett" w:hAnsi="Marlett"/>
              </w:rPr>
              <w:t></w:t>
            </w:r>
          </w:p>
        </w:tc>
        <w:tc>
          <w:tcPr>
            <w:tcW w:w="488" w:type="dxa"/>
            <w:tcBorders>
              <w:top w:val="nil"/>
              <w:left w:val="nil"/>
              <w:bottom w:val="single" w:sz="4" w:space="0" w:color="auto"/>
              <w:right w:val="nil"/>
            </w:tcBorders>
            <w:shd w:val="clear" w:color="auto" w:fill="D9D9D9" w:themeFill="background1" w:themeFillShade="D9"/>
            <w:hideMark/>
          </w:tcPr>
          <w:p w14:paraId="34202182"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D9D9D9" w:themeFill="background1" w:themeFillShade="D9"/>
            <w:noWrap/>
            <w:hideMark/>
          </w:tcPr>
          <w:p w14:paraId="4FB25570"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9" w:type="dxa"/>
            <w:tcBorders>
              <w:top w:val="nil"/>
              <w:left w:val="nil"/>
              <w:bottom w:val="single" w:sz="4" w:space="0" w:color="auto"/>
              <w:right w:val="nil"/>
            </w:tcBorders>
            <w:shd w:val="clear" w:color="auto" w:fill="D9D9D9" w:themeFill="background1" w:themeFillShade="D9"/>
            <w:hideMark/>
          </w:tcPr>
          <w:p w14:paraId="07848208"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D9D9D9" w:themeFill="background1" w:themeFillShade="D9"/>
            <w:noWrap/>
            <w:hideMark/>
          </w:tcPr>
          <w:p w14:paraId="017D264E"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nil"/>
            </w:tcBorders>
            <w:shd w:val="clear" w:color="auto" w:fill="D9D9D9" w:themeFill="background1" w:themeFillShade="D9"/>
            <w:hideMark/>
          </w:tcPr>
          <w:p w14:paraId="3933370F"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D9D9D9" w:themeFill="background1" w:themeFillShade="D9"/>
            <w:noWrap/>
            <w:hideMark/>
          </w:tcPr>
          <w:p w14:paraId="7CD4012E"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nil"/>
            </w:tcBorders>
            <w:shd w:val="clear" w:color="auto" w:fill="D9D9D9" w:themeFill="background1" w:themeFillShade="D9"/>
            <w:hideMark/>
          </w:tcPr>
          <w:p w14:paraId="6C3E38FF"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D9D9D9" w:themeFill="background1" w:themeFillShade="D9"/>
            <w:noWrap/>
            <w:hideMark/>
          </w:tcPr>
          <w:p w14:paraId="2A1D6F12"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nil"/>
            </w:tcBorders>
            <w:shd w:val="clear" w:color="auto" w:fill="D9D9D9" w:themeFill="background1" w:themeFillShade="D9"/>
            <w:hideMark/>
          </w:tcPr>
          <w:p w14:paraId="463AD6B0"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97" w:type="dxa"/>
            <w:tcBorders>
              <w:top w:val="nil"/>
              <w:left w:val="nil"/>
              <w:bottom w:val="single" w:sz="4" w:space="0" w:color="auto"/>
              <w:right w:val="single" w:sz="4" w:space="0" w:color="auto"/>
            </w:tcBorders>
            <w:shd w:val="clear" w:color="auto" w:fill="D9D9D9" w:themeFill="background1" w:themeFillShade="D9"/>
            <w:noWrap/>
            <w:hideMark/>
          </w:tcPr>
          <w:p w14:paraId="5A4AECE9"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2178" w:type="dxa"/>
            <w:tcBorders>
              <w:top w:val="nil"/>
              <w:left w:val="nil"/>
              <w:bottom w:val="single" w:sz="4" w:space="0" w:color="auto"/>
              <w:right w:val="single" w:sz="4" w:space="0" w:color="auto"/>
            </w:tcBorders>
            <w:shd w:val="clear" w:color="auto" w:fill="D9D9D9" w:themeFill="background1" w:themeFillShade="D9"/>
            <w:hideMark/>
          </w:tcPr>
          <w:p w14:paraId="076F91B9" w14:textId="77777777" w:rsidR="00403B07" w:rsidRPr="00171BEB" w:rsidRDefault="00403B07" w:rsidP="00B01272">
            <w:pPr>
              <w:spacing w:after="0" w:line="240" w:lineRule="auto"/>
              <w:rPr>
                <w:rFonts w:ascii="Calibri" w:eastAsia="Times New Roman" w:hAnsi="Calibri" w:cs="Times New Roman"/>
                <w:color w:val="000000"/>
                <w:sz w:val="16"/>
                <w:szCs w:val="16"/>
              </w:rPr>
            </w:pPr>
            <w:r w:rsidRPr="00171BEB">
              <w:rPr>
                <w:rFonts w:ascii="Calibri" w:eastAsia="Times New Roman" w:hAnsi="Calibri" w:cs="Times New Roman"/>
                <w:color w:val="000000"/>
                <w:sz w:val="16"/>
                <w:szCs w:val="16"/>
              </w:rPr>
              <w:t>HCQM</w:t>
            </w:r>
          </w:p>
        </w:tc>
      </w:tr>
      <w:tr w:rsidR="00DA1C42" w:rsidRPr="00171BEB" w14:paraId="2C506384" w14:textId="77777777" w:rsidTr="00B01272">
        <w:trPr>
          <w:gridAfter w:val="1"/>
          <w:wAfter w:w="12" w:type="dxa"/>
          <w:trHeight w:val="227"/>
        </w:trPr>
        <w:tc>
          <w:tcPr>
            <w:tcW w:w="462" w:type="dxa"/>
            <w:tcBorders>
              <w:top w:val="single" w:sz="4" w:space="0" w:color="auto"/>
              <w:left w:val="single" w:sz="4" w:space="0" w:color="auto"/>
              <w:bottom w:val="single" w:sz="4" w:space="0" w:color="auto"/>
              <w:right w:val="nil"/>
            </w:tcBorders>
            <w:shd w:val="clear" w:color="auto" w:fill="auto"/>
            <w:hideMark/>
          </w:tcPr>
          <w:p w14:paraId="5A031D16"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1</w:t>
            </w:r>
            <w:r>
              <w:rPr>
                <w:rFonts w:ascii="Calibri" w:eastAsia="Times New Roman" w:hAnsi="Calibri" w:cs="Times New Roman"/>
                <w:color w:val="000000"/>
                <w:sz w:val="20"/>
                <w:szCs w:val="20"/>
              </w:rPr>
              <w:t>1</w:t>
            </w:r>
          </w:p>
        </w:tc>
        <w:tc>
          <w:tcPr>
            <w:tcW w:w="483" w:type="dxa"/>
            <w:tcBorders>
              <w:top w:val="nil"/>
              <w:left w:val="single" w:sz="4" w:space="0" w:color="auto"/>
              <w:bottom w:val="single" w:sz="4" w:space="0" w:color="auto"/>
              <w:right w:val="nil"/>
            </w:tcBorders>
            <w:shd w:val="clear" w:color="auto" w:fill="D9D9D9" w:themeFill="background1" w:themeFillShade="D9"/>
            <w:hideMark/>
          </w:tcPr>
          <w:p w14:paraId="447FACA9"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6" w:type="dxa"/>
            <w:tcBorders>
              <w:top w:val="nil"/>
              <w:left w:val="nil"/>
              <w:bottom w:val="single" w:sz="4" w:space="0" w:color="auto"/>
              <w:right w:val="single" w:sz="4" w:space="0" w:color="auto"/>
            </w:tcBorders>
            <w:shd w:val="clear" w:color="auto" w:fill="D9D9D9" w:themeFill="background1" w:themeFillShade="D9"/>
            <w:noWrap/>
            <w:hideMark/>
          </w:tcPr>
          <w:p w14:paraId="710F96CC"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7" w:type="dxa"/>
            <w:tcBorders>
              <w:top w:val="nil"/>
              <w:left w:val="nil"/>
              <w:bottom w:val="single" w:sz="4" w:space="0" w:color="auto"/>
              <w:right w:val="nil"/>
            </w:tcBorders>
            <w:shd w:val="clear" w:color="auto" w:fill="D9D9D9" w:themeFill="background1" w:themeFillShade="D9"/>
            <w:hideMark/>
          </w:tcPr>
          <w:p w14:paraId="7E191448"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668" w:type="dxa"/>
            <w:tcBorders>
              <w:top w:val="nil"/>
              <w:left w:val="nil"/>
              <w:bottom w:val="single" w:sz="4" w:space="0" w:color="auto"/>
              <w:right w:val="single" w:sz="4" w:space="0" w:color="auto"/>
            </w:tcBorders>
            <w:shd w:val="clear" w:color="auto" w:fill="D9D9D9" w:themeFill="background1" w:themeFillShade="D9"/>
            <w:noWrap/>
            <w:hideMark/>
          </w:tcPr>
          <w:p w14:paraId="232BF7E2"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304" w:type="dxa"/>
            <w:tcBorders>
              <w:top w:val="nil"/>
              <w:left w:val="nil"/>
              <w:bottom w:val="single" w:sz="4" w:space="0" w:color="auto"/>
              <w:right w:val="nil"/>
            </w:tcBorders>
            <w:shd w:val="clear" w:color="auto" w:fill="D9D9D9" w:themeFill="background1" w:themeFillShade="D9"/>
            <w:hideMark/>
          </w:tcPr>
          <w:p w14:paraId="68D157F7" w14:textId="77777777" w:rsidR="00403B07" w:rsidRDefault="00403B07" w:rsidP="00B01272">
            <w:r w:rsidRPr="003758C7">
              <w:rPr>
                <w:rFonts w:ascii="Marlett" w:hAnsi="Marlett"/>
              </w:rPr>
              <w:t></w:t>
            </w:r>
          </w:p>
        </w:tc>
        <w:tc>
          <w:tcPr>
            <w:tcW w:w="688" w:type="dxa"/>
            <w:tcBorders>
              <w:top w:val="nil"/>
              <w:left w:val="nil"/>
              <w:bottom w:val="single" w:sz="4" w:space="0" w:color="auto"/>
              <w:right w:val="single" w:sz="4" w:space="0" w:color="auto"/>
            </w:tcBorders>
            <w:shd w:val="clear" w:color="auto" w:fill="D9D9D9" w:themeFill="background1" w:themeFillShade="D9"/>
            <w:noWrap/>
            <w:hideMark/>
          </w:tcPr>
          <w:p w14:paraId="422887C8" w14:textId="77777777" w:rsidR="00403B07" w:rsidRDefault="00403B07" w:rsidP="00B01272">
            <w:r w:rsidRPr="003758C7">
              <w:rPr>
                <w:rFonts w:ascii="Marlett" w:hAnsi="Marlett"/>
              </w:rPr>
              <w:t></w:t>
            </w:r>
          </w:p>
        </w:tc>
        <w:tc>
          <w:tcPr>
            <w:tcW w:w="289" w:type="dxa"/>
            <w:tcBorders>
              <w:top w:val="nil"/>
              <w:left w:val="nil"/>
              <w:bottom w:val="single" w:sz="4" w:space="0" w:color="auto"/>
              <w:right w:val="nil"/>
            </w:tcBorders>
            <w:shd w:val="clear" w:color="auto" w:fill="D9D9D9" w:themeFill="background1" w:themeFillShade="D9"/>
            <w:hideMark/>
          </w:tcPr>
          <w:p w14:paraId="27EDD076" w14:textId="77777777" w:rsidR="00403B07" w:rsidRDefault="00403B07" w:rsidP="00B01272">
            <w:r w:rsidRPr="00537E8B">
              <w:rPr>
                <w:rFonts w:ascii="Marlett" w:hAnsi="Marlett"/>
              </w:rPr>
              <w:t></w:t>
            </w:r>
          </w:p>
        </w:tc>
        <w:tc>
          <w:tcPr>
            <w:tcW w:w="703" w:type="dxa"/>
            <w:tcBorders>
              <w:top w:val="nil"/>
              <w:left w:val="nil"/>
              <w:bottom w:val="single" w:sz="4" w:space="0" w:color="auto"/>
              <w:right w:val="single" w:sz="4" w:space="0" w:color="auto"/>
            </w:tcBorders>
            <w:shd w:val="clear" w:color="auto" w:fill="D9D9D9" w:themeFill="background1" w:themeFillShade="D9"/>
            <w:noWrap/>
            <w:hideMark/>
          </w:tcPr>
          <w:p w14:paraId="6962F94F" w14:textId="77777777" w:rsidR="00403B07" w:rsidRDefault="00403B07" w:rsidP="00B01272">
            <w:r w:rsidRPr="00537E8B">
              <w:rPr>
                <w:rFonts w:ascii="Marlett" w:hAnsi="Marlett"/>
              </w:rPr>
              <w:t></w:t>
            </w:r>
          </w:p>
        </w:tc>
        <w:tc>
          <w:tcPr>
            <w:tcW w:w="546" w:type="dxa"/>
            <w:tcBorders>
              <w:top w:val="nil"/>
              <w:left w:val="nil"/>
              <w:bottom w:val="single" w:sz="4" w:space="0" w:color="auto"/>
              <w:right w:val="nil"/>
            </w:tcBorders>
            <w:shd w:val="clear" w:color="auto" w:fill="D9D9D9" w:themeFill="background1" w:themeFillShade="D9"/>
            <w:hideMark/>
          </w:tcPr>
          <w:p w14:paraId="15033F9E"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565" w:type="dxa"/>
            <w:tcBorders>
              <w:top w:val="nil"/>
              <w:left w:val="nil"/>
              <w:bottom w:val="single" w:sz="4" w:space="0" w:color="auto"/>
              <w:right w:val="single" w:sz="4" w:space="0" w:color="auto"/>
            </w:tcBorders>
            <w:shd w:val="clear" w:color="auto" w:fill="D9D9D9" w:themeFill="background1" w:themeFillShade="D9"/>
            <w:noWrap/>
            <w:hideMark/>
          </w:tcPr>
          <w:p w14:paraId="38AC43CD"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32" w:type="dxa"/>
            <w:tcBorders>
              <w:top w:val="nil"/>
              <w:left w:val="nil"/>
              <w:bottom w:val="single" w:sz="4" w:space="0" w:color="auto"/>
              <w:right w:val="nil"/>
            </w:tcBorders>
            <w:shd w:val="clear" w:color="auto" w:fill="D9D9D9" w:themeFill="background1" w:themeFillShade="D9"/>
            <w:hideMark/>
          </w:tcPr>
          <w:p w14:paraId="43B1DA2D"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18" w:type="dxa"/>
            <w:tcBorders>
              <w:top w:val="nil"/>
              <w:left w:val="nil"/>
              <w:bottom w:val="single" w:sz="4" w:space="0" w:color="auto"/>
              <w:right w:val="single" w:sz="4" w:space="0" w:color="auto"/>
            </w:tcBorders>
            <w:shd w:val="clear" w:color="auto" w:fill="D9D9D9" w:themeFill="background1" w:themeFillShade="D9"/>
            <w:noWrap/>
            <w:hideMark/>
          </w:tcPr>
          <w:p w14:paraId="190BCDDC"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562" w:type="dxa"/>
            <w:tcBorders>
              <w:top w:val="nil"/>
              <w:left w:val="nil"/>
              <w:bottom w:val="single" w:sz="4" w:space="0" w:color="auto"/>
              <w:right w:val="nil"/>
            </w:tcBorders>
            <w:shd w:val="clear" w:color="auto" w:fill="D9D9D9" w:themeFill="background1" w:themeFillShade="D9"/>
            <w:hideMark/>
          </w:tcPr>
          <w:p w14:paraId="74E53EC5" w14:textId="77777777" w:rsidR="00403B07" w:rsidRDefault="00403B07" w:rsidP="00B01272">
            <w:r w:rsidRPr="007D1106">
              <w:rPr>
                <w:rFonts w:ascii="Marlett" w:hAnsi="Marlett"/>
              </w:rPr>
              <w:t></w:t>
            </w:r>
          </w:p>
        </w:tc>
        <w:tc>
          <w:tcPr>
            <w:tcW w:w="488" w:type="dxa"/>
            <w:tcBorders>
              <w:top w:val="nil"/>
              <w:left w:val="nil"/>
              <w:bottom w:val="single" w:sz="4" w:space="0" w:color="auto"/>
              <w:right w:val="single" w:sz="4" w:space="0" w:color="auto"/>
            </w:tcBorders>
            <w:shd w:val="clear" w:color="auto" w:fill="D9D9D9" w:themeFill="background1" w:themeFillShade="D9"/>
            <w:noWrap/>
            <w:hideMark/>
          </w:tcPr>
          <w:p w14:paraId="19A60135" w14:textId="77777777" w:rsidR="00403B07" w:rsidRDefault="00403B07" w:rsidP="00B01272">
            <w:r w:rsidRPr="007D1106">
              <w:rPr>
                <w:rFonts w:ascii="Marlett" w:hAnsi="Marlett"/>
              </w:rPr>
              <w:t></w:t>
            </w:r>
          </w:p>
        </w:tc>
        <w:tc>
          <w:tcPr>
            <w:tcW w:w="488" w:type="dxa"/>
            <w:tcBorders>
              <w:top w:val="nil"/>
              <w:left w:val="nil"/>
              <w:bottom w:val="single" w:sz="4" w:space="0" w:color="auto"/>
              <w:right w:val="nil"/>
            </w:tcBorders>
            <w:shd w:val="clear" w:color="auto" w:fill="D9D9D9" w:themeFill="background1" w:themeFillShade="D9"/>
            <w:hideMark/>
          </w:tcPr>
          <w:p w14:paraId="108908A0" w14:textId="77777777" w:rsidR="00403B07" w:rsidRDefault="00403B07" w:rsidP="00B01272">
            <w:r w:rsidRPr="0084675D">
              <w:rPr>
                <w:rFonts w:ascii="Marlett" w:hAnsi="Marlett"/>
              </w:rPr>
              <w:t></w:t>
            </w:r>
          </w:p>
        </w:tc>
        <w:tc>
          <w:tcPr>
            <w:tcW w:w="488" w:type="dxa"/>
            <w:tcBorders>
              <w:top w:val="nil"/>
              <w:left w:val="nil"/>
              <w:bottom w:val="single" w:sz="4" w:space="0" w:color="auto"/>
              <w:right w:val="single" w:sz="4" w:space="0" w:color="auto"/>
            </w:tcBorders>
            <w:shd w:val="clear" w:color="auto" w:fill="D9D9D9" w:themeFill="background1" w:themeFillShade="D9"/>
            <w:noWrap/>
            <w:hideMark/>
          </w:tcPr>
          <w:p w14:paraId="741CA8B4" w14:textId="77777777" w:rsidR="00403B07" w:rsidRDefault="00403B07" w:rsidP="00B01272">
            <w:r w:rsidRPr="0084675D">
              <w:rPr>
                <w:rFonts w:ascii="Marlett" w:hAnsi="Marlett"/>
              </w:rPr>
              <w:t></w:t>
            </w:r>
          </w:p>
        </w:tc>
        <w:tc>
          <w:tcPr>
            <w:tcW w:w="489" w:type="dxa"/>
            <w:tcBorders>
              <w:top w:val="nil"/>
              <w:left w:val="nil"/>
              <w:bottom w:val="single" w:sz="4" w:space="0" w:color="auto"/>
              <w:right w:val="nil"/>
            </w:tcBorders>
            <w:shd w:val="clear" w:color="auto" w:fill="D9D9D9" w:themeFill="background1" w:themeFillShade="D9"/>
            <w:hideMark/>
          </w:tcPr>
          <w:p w14:paraId="0A8105A5"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D9D9D9" w:themeFill="background1" w:themeFillShade="D9"/>
            <w:noWrap/>
            <w:hideMark/>
          </w:tcPr>
          <w:p w14:paraId="12C22EFC"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nil"/>
            </w:tcBorders>
            <w:shd w:val="clear" w:color="auto" w:fill="D9D9D9" w:themeFill="background1" w:themeFillShade="D9"/>
            <w:hideMark/>
          </w:tcPr>
          <w:p w14:paraId="3E913B2F"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D9D9D9" w:themeFill="background1" w:themeFillShade="D9"/>
            <w:noWrap/>
            <w:hideMark/>
          </w:tcPr>
          <w:p w14:paraId="64985868"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nil"/>
            </w:tcBorders>
            <w:shd w:val="clear" w:color="auto" w:fill="D9D9D9" w:themeFill="background1" w:themeFillShade="D9"/>
            <w:hideMark/>
          </w:tcPr>
          <w:p w14:paraId="438481EC"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D9D9D9" w:themeFill="background1" w:themeFillShade="D9"/>
            <w:noWrap/>
            <w:hideMark/>
          </w:tcPr>
          <w:p w14:paraId="4D79030A"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nil"/>
            </w:tcBorders>
            <w:shd w:val="clear" w:color="auto" w:fill="D9D9D9" w:themeFill="background1" w:themeFillShade="D9"/>
            <w:hideMark/>
          </w:tcPr>
          <w:p w14:paraId="36767B56"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97" w:type="dxa"/>
            <w:tcBorders>
              <w:top w:val="nil"/>
              <w:left w:val="nil"/>
              <w:bottom w:val="single" w:sz="4" w:space="0" w:color="auto"/>
              <w:right w:val="single" w:sz="4" w:space="0" w:color="auto"/>
            </w:tcBorders>
            <w:shd w:val="clear" w:color="auto" w:fill="D9D9D9" w:themeFill="background1" w:themeFillShade="D9"/>
            <w:noWrap/>
            <w:hideMark/>
          </w:tcPr>
          <w:p w14:paraId="7A6670E0"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2178" w:type="dxa"/>
            <w:tcBorders>
              <w:top w:val="nil"/>
              <w:left w:val="nil"/>
              <w:bottom w:val="single" w:sz="4" w:space="0" w:color="auto"/>
              <w:right w:val="single" w:sz="4" w:space="0" w:color="auto"/>
            </w:tcBorders>
            <w:shd w:val="clear" w:color="auto" w:fill="D9D9D9" w:themeFill="background1" w:themeFillShade="D9"/>
            <w:hideMark/>
          </w:tcPr>
          <w:p w14:paraId="47052B06" w14:textId="77777777" w:rsidR="00403B07" w:rsidRPr="00171BEB" w:rsidRDefault="00403B07" w:rsidP="00B01272">
            <w:pPr>
              <w:spacing w:after="0" w:line="240" w:lineRule="auto"/>
              <w:rPr>
                <w:rFonts w:ascii="Calibri" w:eastAsia="Times New Roman" w:hAnsi="Calibri" w:cs="Times New Roman"/>
                <w:color w:val="000000"/>
                <w:sz w:val="16"/>
                <w:szCs w:val="16"/>
              </w:rPr>
            </w:pPr>
            <w:r w:rsidRPr="00171BEB">
              <w:rPr>
                <w:rFonts w:ascii="Calibri" w:eastAsia="Times New Roman" w:hAnsi="Calibri" w:cs="Times New Roman"/>
                <w:color w:val="000000"/>
                <w:sz w:val="16"/>
                <w:szCs w:val="16"/>
              </w:rPr>
              <w:t>HCQM Bronze</w:t>
            </w:r>
          </w:p>
        </w:tc>
      </w:tr>
      <w:tr w:rsidR="00DA1C42" w:rsidRPr="00171BEB" w14:paraId="7CD9B9EE" w14:textId="77777777" w:rsidTr="00B01272">
        <w:trPr>
          <w:gridAfter w:val="1"/>
          <w:wAfter w:w="12" w:type="dxa"/>
          <w:trHeight w:val="227"/>
        </w:trPr>
        <w:tc>
          <w:tcPr>
            <w:tcW w:w="462" w:type="dxa"/>
            <w:tcBorders>
              <w:top w:val="single" w:sz="4" w:space="0" w:color="auto"/>
              <w:left w:val="single" w:sz="4" w:space="0" w:color="auto"/>
              <w:bottom w:val="single" w:sz="4" w:space="0" w:color="auto"/>
              <w:right w:val="nil"/>
            </w:tcBorders>
            <w:shd w:val="clear" w:color="auto" w:fill="auto"/>
            <w:hideMark/>
          </w:tcPr>
          <w:p w14:paraId="23068CBB" w14:textId="77777777" w:rsidR="00403B07" w:rsidRPr="000E3600" w:rsidRDefault="00403B07" w:rsidP="00B01272">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12</w:t>
            </w:r>
          </w:p>
        </w:tc>
        <w:tc>
          <w:tcPr>
            <w:tcW w:w="483" w:type="dxa"/>
            <w:tcBorders>
              <w:top w:val="single" w:sz="4" w:space="0" w:color="auto"/>
              <w:left w:val="single" w:sz="4" w:space="0" w:color="auto"/>
              <w:bottom w:val="single" w:sz="4" w:space="0" w:color="auto"/>
              <w:right w:val="nil"/>
            </w:tcBorders>
            <w:shd w:val="clear" w:color="auto" w:fill="D9D9D9" w:themeFill="background1" w:themeFillShade="D9"/>
            <w:noWrap/>
            <w:hideMark/>
          </w:tcPr>
          <w:p w14:paraId="4D51AA3D" w14:textId="77777777" w:rsidR="00403B07" w:rsidRDefault="00403B07" w:rsidP="00B01272">
            <w:r w:rsidRPr="00743DB5">
              <w:rPr>
                <w:rFonts w:ascii="Marlett" w:hAnsi="Marlett"/>
              </w:rPr>
              <w:t></w:t>
            </w:r>
          </w:p>
        </w:tc>
        <w:tc>
          <w:tcPr>
            <w:tcW w:w="486"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50FCCADD" w14:textId="77777777" w:rsidR="00403B07" w:rsidRDefault="00403B07" w:rsidP="00B01272">
            <w:r w:rsidRPr="00743DB5">
              <w:rPr>
                <w:rFonts w:ascii="Marlett" w:hAnsi="Marlett"/>
              </w:rPr>
              <w:t></w:t>
            </w:r>
          </w:p>
        </w:tc>
        <w:tc>
          <w:tcPr>
            <w:tcW w:w="487" w:type="dxa"/>
            <w:tcBorders>
              <w:top w:val="single" w:sz="4" w:space="0" w:color="auto"/>
              <w:left w:val="nil"/>
              <w:bottom w:val="single" w:sz="4" w:space="0" w:color="auto"/>
              <w:right w:val="nil"/>
            </w:tcBorders>
            <w:shd w:val="clear" w:color="auto" w:fill="D9D9D9" w:themeFill="background1" w:themeFillShade="D9"/>
            <w:hideMark/>
          </w:tcPr>
          <w:p w14:paraId="0CFF5EEC" w14:textId="77777777" w:rsidR="00403B07" w:rsidRDefault="00403B07" w:rsidP="00B01272">
            <w:r w:rsidRPr="00743DB5">
              <w:rPr>
                <w:rFonts w:ascii="Marlett" w:hAnsi="Marlett"/>
              </w:rPr>
              <w:t></w:t>
            </w:r>
          </w:p>
        </w:tc>
        <w:tc>
          <w:tcPr>
            <w:tcW w:w="668"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3BE94705" w14:textId="77777777" w:rsidR="00403B07" w:rsidRDefault="00403B07" w:rsidP="00B01272">
            <w:r w:rsidRPr="00743DB5">
              <w:rPr>
                <w:rFonts w:ascii="Marlett" w:hAnsi="Marlett"/>
              </w:rPr>
              <w:t></w:t>
            </w:r>
          </w:p>
        </w:tc>
        <w:tc>
          <w:tcPr>
            <w:tcW w:w="304" w:type="dxa"/>
            <w:tcBorders>
              <w:top w:val="single" w:sz="4" w:space="0" w:color="auto"/>
              <w:left w:val="nil"/>
              <w:bottom w:val="single" w:sz="4" w:space="0" w:color="auto"/>
              <w:right w:val="nil"/>
            </w:tcBorders>
            <w:shd w:val="clear" w:color="auto" w:fill="D9D9D9" w:themeFill="background1" w:themeFillShade="D9"/>
            <w:hideMark/>
          </w:tcPr>
          <w:p w14:paraId="7F5668FF" w14:textId="77777777" w:rsidR="00403B07" w:rsidRDefault="00403B07" w:rsidP="00B01272">
            <w:r w:rsidRPr="00743DB5">
              <w:rPr>
                <w:rFonts w:ascii="Marlett" w:hAnsi="Marlett"/>
              </w:rPr>
              <w:t></w:t>
            </w:r>
          </w:p>
        </w:tc>
        <w:tc>
          <w:tcPr>
            <w:tcW w:w="688"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31070B34" w14:textId="77777777" w:rsidR="00403B07" w:rsidRDefault="00403B07" w:rsidP="00B01272">
            <w:r w:rsidRPr="00743DB5">
              <w:rPr>
                <w:rFonts w:ascii="Marlett" w:hAnsi="Marlett"/>
              </w:rPr>
              <w:t></w:t>
            </w:r>
          </w:p>
        </w:tc>
        <w:tc>
          <w:tcPr>
            <w:tcW w:w="289" w:type="dxa"/>
            <w:tcBorders>
              <w:top w:val="single" w:sz="4" w:space="0" w:color="auto"/>
              <w:left w:val="nil"/>
              <w:bottom w:val="single" w:sz="4" w:space="0" w:color="auto"/>
              <w:right w:val="nil"/>
            </w:tcBorders>
            <w:shd w:val="clear" w:color="auto" w:fill="D9D9D9" w:themeFill="background1" w:themeFillShade="D9"/>
            <w:hideMark/>
          </w:tcPr>
          <w:p w14:paraId="76459A70" w14:textId="77777777" w:rsidR="00403B07" w:rsidRDefault="00403B07" w:rsidP="00B01272">
            <w:r w:rsidRPr="00743DB5">
              <w:rPr>
                <w:rFonts w:ascii="Marlett" w:hAnsi="Marlett"/>
              </w:rPr>
              <w:t></w:t>
            </w:r>
          </w:p>
        </w:tc>
        <w:tc>
          <w:tcPr>
            <w:tcW w:w="703"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67429EA4" w14:textId="77777777" w:rsidR="00403B07" w:rsidRDefault="00403B07" w:rsidP="00B01272">
            <w:r w:rsidRPr="00743DB5">
              <w:rPr>
                <w:rFonts w:ascii="Marlett" w:hAnsi="Marlett"/>
              </w:rPr>
              <w:t></w:t>
            </w:r>
          </w:p>
        </w:tc>
        <w:tc>
          <w:tcPr>
            <w:tcW w:w="546" w:type="dxa"/>
            <w:tcBorders>
              <w:top w:val="single" w:sz="4" w:space="0" w:color="auto"/>
              <w:left w:val="nil"/>
              <w:bottom w:val="single" w:sz="4" w:space="0" w:color="auto"/>
              <w:right w:val="nil"/>
            </w:tcBorders>
            <w:shd w:val="clear" w:color="auto" w:fill="D9D9D9" w:themeFill="background1" w:themeFillShade="D9"/>
            <w:hideMark/>
          </w:tcPr>
          <w:p w14:paraId="01CCDF69" w14:textId="77777777" w:rsidR="00403B07" w:rsidRDefault="00403B07" w:rsidP="00B01272">
            <w:r w:rsidRPr="00743DB5">
              <w:rPr>
                <w:rFonts w:ascii="Marlett" w:hAnsi="Marlett"/>
              </w:rPr>
              <w:t></w:t>
            </w:r>
          </w:p>
        </w:tc>
        <w:tc>
          <w:tcPr>
            <w:tcW w:w="565"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2BA36CDA" w14:textId="77777777" w:rsidR="00403B07" w:rsidRDefault="00403B07" w:rsidP="00B01272">
            <w:r w:rsidRPr="00743DB5">
              <w:rPr>
                <w:rFonts w:ascii="Marlett" w:hAnsi="Marlett"/>
              </w:rPr>
              <w:t></w:t>
            </w:r>
          </w:p>
        </w:tc>
        <w:tc>
          <w:tcPr>
            <w:tcW w:w="432" w:type="dxa"/>
            <w:tcBorders>
              <w:top w:val="single" w:sz="4" w:space="0" w:color="auto"/>
              <w:left w:val="nil"/>
              <w:bottom w:val="single" w:sz="4" w:space="0" w:color="auto"/>
              <w:right w:val="nil"/>
            </w:tcBorders>
            <w:shd w:val="clear" w:color="auto" w:fill="D9D9D9" w:themeFill="background1" w:themeFillShade="D9"/>
            <w:hideMark/>
          </w:tcPr>
          <w:p w14:paraId="3793B965"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18"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393C2C23"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562" w:type="dxa"/>
            <w:tcBorders>
              <w:top w:val="single" w:sz="4" w:space="0" w:color="auto"/>
              <w:left w:val="nil"/>
              <w:bottom w:val="single" w:sz="4" w:space="0" w:color="auto"/>
              <w:right w:val="nil"/>
            </w:tcBorders>
            <w:shd w:val="clear" w:color="auto" w:fill="D9D9D9" w:themeFill="background1" w:themeFillShade="D9"/>
            <w:hideMark/>
          </w:tcPr>
          <w:p w14:paraId="54760963" w14:textId="77777777" w:rsidR="00403B07" w:rsidRDefault="00403B07" w:rsidP="00B01272">
            <w:r w:rsidRPr="007D1106">
              <w:rPr>
                <w:rFonts w:ascii="Marlett" w:hAnsi="Marlett"/>
              </w:rPr>
              <w:t></w:t>
            </w:r>
          </w:p>
        </w:tc>
        <w:tc>
          <w:tcPr>
            <w:tcW w:w="488"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4F531087" w14:textId="77777777" w:rsidR="00403B07" w:rsidRDefault="00403B07" w:rsidP="00B01272">
            <w:r w:rsidRPr="007D1106">
              <w:rPr>
                <w:rFonts w:ascii="Marlett" w:hAnsi="Marlett"/>
              </w:rPr>
              <w:t></w:t>
            </w:r>
          </w:p>
        </w:tc>
        <w:tc>
          <w:tcPr>
            <w:tcW w:w="488" w:type="dxa"/>
            <w:tcBorders>
              <w:top w:val="single" w:sz="4" w:space="0" w:color="auto"/>
              <w:left w:val="nil"/>
              <w:bottom w:val="single" w:sz="4" w:space="0" w:color="auto"/>
              <w:right w:val="nil"/>
            </w:tcBorders>
            <w:shd w:val="clear" w:color="auto" w:fill="D9D9D9" w:themeFill="background1" w:themeFillShade="D9"/>
            <w:hideMark/>
          </w:tcPr>
          <w:p w14:paraId="40ADE4A8"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6A29E429"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9" w:type="dxa"/>
            <w:tcBorders>
              <w:top w:val="single" w:sz="4" w:space="0" w:color="auto"/>
              <w:left w:val="nil"/>
              <w:bottom w:val="single" w:sz="4" w:space="0" w:color="auto"/>
              <w:right w:val="nil"/>
            </w:tcBorders>
            <w:shd w:val="clear" w:color="auto" w:fill="D9D9D9" w:themeFill="background1" w:themeFillShade="D9"/>
            <w:noWrap/>
            <w:hideMark/>
          </w:tcPr>
          <w:p w14:paraId="6422DEA5" w14:textId="77777777" w:rsidR="00403B07" w:rsidRDefault="00403B07" w:rsidP="00B01272">
            <w:r w:rsidRPr="00622EFC">
              <w:rPr>
                <w:rFonts w:ascii="Marlett" w:hAnsi="Marlett"/>
              </w:rPr>
              <w:t></w:t>
            </w:r>
          </w:p>
        </w:tc>
        <w:tc>
          <w:tcPr>
            <w:tcW w:w="488"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28C45368" w14:textId="77777777" w:rsidR="00403B07" w:rsidRDefault="00403B07" w:rsidP="00B01272">
            <w:r w:rsidRPr="00622EFC">
              <w:rPr>
                <w:rFonts w:ascii="Marlett" w:hAnsi="Marlett"/>
              </w:rPr>
              <w:t></w:t>
            </w:r>
          </w:p>
        </w:tc>
        <w:tc>
          <w:tcPr>
            <w:tcW w:w="488" w:type="dxa"/>
            <w:tcBorders>
              <w:top w:val="single" w:sz="4" w:space="0" w:color="auto"/>
              <w:left w:val="nil"/>
              <w:bottom w:val="single" w:sz="4" w:space="0" w:color="auto"/>
              <w:right w:val="nil"/>
            </w:tcBorders>
            <w:shd w:val="clear" w:color="auto" w:fill="D9D9D9" w:themeFill="background1" w:themeFillShade="D9"/>
            <w:hideMark/>
          </w:tcPr>
          <w:p w14:paraId="0EC0931A"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0CD80984"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single" w:sz="4" w:space="0" w:color="auto"/>
              <w:left w:val="nil"/>
              <w:bottom w:val="single" w:sz="4" w:space="0" w:color="auto"/>
              <w:right w:val="nil"/>
            </w:tcBorders>
            <w:shd w:val="clear" w:color="auto" w:fill="D9D9D9" w:themeFill="background1" w:themeFillShade="D9"/>
            <w:hideMark/>
          </w:tcPr>
          <w:p w14:paraId="56F1C1DA"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13A6AB2E"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single" w:sz="4" w:space="0" w:color="auto"/>
              <w:left w:val="nil"/>
              <w:bottom w:val="single" w:sz="4" w:space="0" w:color="auto"/>
              <w:right w:val="nil"/>
            </w:tcBorders>
            <w:shd w:val="clear" w:color="auto" w:fill="D9D9D9" w:themeFill="background1" w:themeFillShade="D9"/>
            <w:hideMark/>
          </w:tcPr>
          <w:p w14:paraId="7C01B529"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97"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688FE199"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2178" w:type="dxa"/>
            <w:tcBorders>
              <w:top w:val="single" w:sz="4" w:space="0" w:color="auto"/>
              <w:left w:val="nil"/>
              <w:bottom w:val="single" w:sz="4" w:space="0" w:color="auto"/>
              <w:right w:val="single" w:sz="4" w:space="0" w:color="auto"/>
            </w:tcBorders>
            <w:shd w:val="clear" w:color="auto" w:fill="D9D9D9" w:themeFill="background1" w:themeFillShade="D9"/>
            <w:hideMark/>
          </w:tcPr>
          <w:p w14:paraId="72CEA696" w14:textId="77777777" w:rsidR="00403B07" w:rsidRPr="00171BEB" w:rsidRDefault="00403B07" w:rsidP="00B01272">
            <w:pPr>
              <w:spacing w:after="0" w:line="240" w:lineRule="auto"/>
              <w:rPr>
                <w:rFonts w:ascii="Calibri" w:eastAsia="Times New Roman" w:hAnsi="Calibri" w:cs="Times New Roman"/>
                <w:color w:val="000000"/>
                <w:sz w:val="16"/>
                <w:szCs w:val="16"/>
              </w:rPr>
            </w:pPr>
            <w:r w:rsidRPr="00171BEB">
              <w:rPr>
                <w:rFonts w:ascii="Calibri" w:eastAsia="Times New Roman" w:hAnsi="Calibri" w:cs="Times New Roman"/>
                <w:color w:val="000000"/>
                <w:sz w:val="16"/>
                <w:szCs w:val="16"/>
              </w:rPr>
              <w:t>Healthy school Status. Eco Flag Award</w:t>
            </w:r>
          </w:p>
        </w:tc>
      </w:tr>
      <w:tr w:rsidR="00DA1C42" w:rsidRPr="00171BEB" w14:paraId="01B5A5E4" w14:textId="77777777" w:rsidTr="00B01272">
        <w:trPr>
          <w:gridAfter w:val="1"/>
          <w:wAfter w:w="12" w:type="dxa"/>
          <w:trHeight w:val="227"/>
        </w:trPr>
        <w:tc>
          <w:tcPr>
            <w:tcW w:w="462" w:type="dxa"/>
            <w:tcBorders>
              <w:top w:val="single" w:sz="4" w:space="0" w:color="auto"/>
              <w:left w:val="single" w:sz="4" w:space="0" w:color="auto"/>
              <w:bottom w:val="single" w:sz="4" w:space="0" w:color="auto"/>
              <w:right w:val="nil"/>
            </w:tcBorders>
            <w:shd w:val="clear" w:color="auto" w:fill="auto"/>
            <w:hideMark/>
          </w:tcPr>
          <w:p w14:paraId="47BEDFF6" w14:textId="77777777" w:rsidR="00403B07" w:rsidRPr="000E3600" w:rsidRDefault="00403B07" w:rsidP="00B01272">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lastRenderedPageBreak/>
              <w:t>13</w:t>
            </w:r>
          </w:p>
        </w:tc>
        <w:tc>
          <w:tcPr>
            <w:tcW w:w="483" w:type="dxa"/>
            <w:tcBorders>
              <w:top w:val="nil"/>
              <w:left w:val="single" w:sz="4" w:space="0" w:color="auto"/>
              <w:bottom w:val="single" w:sz="4" w:space="0" w:color="auto"/>
              <w:right w:val="nil"/>
            </w:tcBorders>
            <w:shd w:val="clear" w:color="auto" w:fill="D9D9D9" w:themeFill="background1" w:themeFillShade="D9"/>
            <w:hideMark/>
          </w:tcPr>
          <w:p w14:paraId="00A2CDFE"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6" w:type="dxa"/>
            <w:tcBorders>
              <w:top w:val="nil"/>
              <w:left w:val="nil"/>
              <w:bottom w:val="single" w:sz="4" w:space="0" w:color="auto"/>
              <w:right w:val="single" w:sz="4" w:space="0" w:color="auto"/>
            </w:tcBorders>
            <w:shd w:val="clear" w:color="auto" w:fill="D9D9D9" w:themeFill="background1" w:themeFillShade="D9"/>
            <w:noWrap/>
            <w:hideMark/>
          </w:tcPr>
          <w:p w14:paraId="00C532CA"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7" w:type="dxa"/>
            <w:tcBorders>
              <w:top w:val="nil"/>
              <w:left w:val="nil"/>
              <w:bottom w:val="single" w:sz="4" w:space="0" w:color="auto"/>
              <w:right w:val="nil"/>
            </w:tcBorders>
            <w:shd w:val="clear" w:color="auto" w:fill="D9D9D9" w:themeFill="background1" w:themeFillShade="D9"/>
            <w:hideMark/>
          </w:tcPr>
          <w:p w14:paraId="283A14A0"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668" w:type="dxa"/>
            <w:tcBorders>
              <w:top w:val="nil"/>
              <w:left w:val="nil"/>
              <w:bottom w:val="single" w:sz="4" w:space="0" w:color="auto"/>
              <w:right w:val="single" w:sz="4" w:space="0" w:color="auto"/>
            </w:tcBorders>
            <w:shd w:val="clear" w:color="auto" w:fill="D9D9D9" w:themeFill="background1" w:themeFillShade="D9"/>
            <w:noWrap/>
            <w:hideMark/>
          </w:tcPr>
          <w:p w14:paraId="573607AA"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304" w:type="dxa"/>
            <w:tcBorders>
              <w:top w:val="nil"/>
              <w:left w:val="nil"/>
              <w:bottom w:val="single" w:sz="4" w:space="0" w:color="auto"/>
              <w:right w:val="nil"/>
            </w:tcBorders>
            <w:shd w:val="clear" w:color="auto" w:fill="D9D9D9" w:themeFill="background1" w:themeFillShade="D9"/>
            <w:hideMark/>
          </w:tcPr>
          <w:p w14:paraId="4ED0E587"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688" w:type="dxa"/>
            <w:tcBorders>
              <w:top w:val="nil"/>
              <w:left w:val="nil"/>
              <w:bottom w:val="single" w:sz="4" w:space="0" w:color="auto"/>
              <w:right w:val="single" w:sz="4" w:space="0" w:color="auto"/>
            </w:tcBorders>
            <w:shd w:val="clear" w:color="auto" w:fill="D9D9D9" w:themeFill="background1" w:themeFillShade="D9"/>
            <w:noWrap/>
            <w:hideMark/>
          </w:tcPr>
          <w:p w14:paraId="3F024941"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289" w:type="dxa"/>
            <w:tcBorders>
              <w:top w:val="nil"/>
              <w:left w:val="nil"/>
              <w:bottom w:val="single" w:sz="4" w:space="0" w:color="auto"/>
              <w:right w:val="nil"/>
            </w:tcBorders>
            <w:shd w:val="clear" w:color="auto" w:fill="D9D9D9" w:themeFill="background1" w:themeFillShade="D9"/>
            <w:hideMark/>
          </w:tcPr>
          <w:p w14:paraId="55C11AF4" w14:textId="77777777" w:rsidR="00403B07" w:rsidRDefault="00403B07" w:rsidP="00B01272">
            <w:r w:rsidRPr="009F6B82">
              <w:rPr>
                <w:rFonts w:ascii="Marlett" w:hAnsi="Marlett"/>
              </w:rPr>
              <w:t></w:t>
            </w:r>
          </w:p>
        </w:tc>
        <w:tc>
          <w:tcPr>
            <w:tcW w:w="703" w:type="dxa"/>
            <w:tcBorders>
              <w:top w:val="nil"/>
              <w:left w:val="nil"/>
              <w:bottom w:val="single" w:sz="4" w:space="0" w:color="auto"/>
              <w:right w:val="single" w:sz="4" w:space="0" w:color="auto"/>
            </w:tcBorders>
            <w:shd w:val="clear" w:color="auto" w:fill="D9D9D9" w:themeFill="background1" w:themeFillShade="D9"/>
            <w:noWrap/>
            <w:hideMark/>
          </w:tcPr>
          <w:p w14:paraId="6C33E266" w14:textId="77777777" w:rsidR="00403B07" w:rsidRDefault="00403B07" w:rsidP="00B01272">
            <w:r w:rsidRPr="009F6B82">
              <w:rPr>
                <w:rFonts w:ascii="Marlett" w:hAnsi="Marlett"/>
              </w:rPr>
              <w:t></w:t>
            </w:r>
          </w:p>
        </w:tc>
        <w:tc>
          <w:tcPr>
            <w:tcW w:w="546" w:type="dxa"/>
            <w:tcBorders>
              <w:top w:val="nil"/>
              <w:left w:val="nil"/>
              <w:bottom w:val="single" w:sz="4" w:space="0" w:color="auto"/>
              <w:right w:val="nil"/>
            </w:tcBorders>
            <w:shd w:val="clear" w:color="auto" w:fill="D9D9D9" w:themeFill="background1" w:themeFillShade="D9"/>
            <w:hideMark/>
          </w:tcPr>
          <w:p w14:paraId="1D814224"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565" w:type="dxa"/>
            <w:tcBorders>
              <w:top w:val="nil"/>
              <w:left w:val="nil"/>
              <w:bottom w:val="single" w:sz="4" w:space="0" w:color="auto"/>
              <w:right w:val="single" w:sz="4" w:space="0" w:color="auto"/>
            </w:tcBorders>
            <w:shd w:val="clear" w:color="auto" w:fill="D9D9D9" w:themeFill="background1" w:themeFillShade="D9"/>
            <w:noWrap/>
            <w:hideMark/>
          </w:tcPr>
          <w:p w14:paraId="02D325E4"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32" w:type="dxa"/>
            <w:tcBorders>
              <w:top w:val="nil"/>
              <w:left w:val="nil"/>
              <w:bottom w:val="single" w:sz="4" w:space="0" w:color="auto"/>
              <w:right w:val="nil"/>
            </w:tcBorders>
            <w:shd w:val="clear" w:color="auto" w:fill="D9D9D9" w:themeFill="background1" w:themeFillShade="D9"/>
            <w:hideMark/>
          </w:tcPr>
          <w:p w14:paraId="796141E3"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18" w:type="dxa"/>
            <w:tcBorders>
              <w:top w:val="nil"/>
              <w:left w:val="nil"/>
              <w:bottom w:val="single" w:sz="4" w:space="0" w:color="auto"/>
              <w:right w:val="single" w:sz="4" w:space="0" w:color="auto"/>
            </w:tcBorders>
            <w:shd w:val="clear" w:color="auto" w:fill="D9D9D9" w:themeFill="background1" w:themeFillShade="D9"/>
            <w:noWrap/>
            <w:hideMark/>
          </w:tcPr>
          <w:p w14:paraId="2329AC29"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562" w:type="dxa"/>
            <w:tcBorders>
              <w:top w:val="nil"/>
              <w:left w:val="nil"/>
              <w:bottom w:val="single" w:sz="4" w:space="0" w:color="auto"/>
              <w:right w:val="nil"/>
            </w:tcBorders>
            <w:shd w:val="clear" w:color="auto" w:fill="D9D9D9" w:themeFill="background1" w:themeFillShade="D9"/>
            <w:hideMark/>
          </w:tcPr>
          <w:p w14:paraId="10BE73B2"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D9D9D9" w:themeFill="background1" w:themeFillShade="D9"/>
            <w:noWrap/>
            <w:hideMark/>
          </w:tcPr>
          <w:p w14:paraId="75691C1F"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nil"/>
            </w:tcBorders>
            <w:shd w:val="clear" w:color="auto" w:fill="D9D9D9" w:themeFill="background1" w:themeFillShade="D9"/>
            <w:hideMark/>
          </w:tcPr>
          <w:p w14:paraId="5C68D4C2"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D9D9D9" w:themeFill="background1" w:themeFillShade="D9"/>
            <w:noWrap/>
            <w:hideMark/>
          </w:tcPr>
          <w:p w14:paraId="3CB70E4A"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9" w:type="dxa"/>
            <w:tcBorders>
              <w:top w:val="nil"/>
              <w:left w:val="nil"/>
              <w:bottom w:val="single" w:sz="4" w:space="0" w:color="auto"/>
              <w:right w:val="nil"/>
            </w:tcBorders>
            <w:shd w:val="clear" w:color="auto" w:fill="D9D9D9" w:themeFill="background1" w:themeFillShade="D9"/>
            <w:hideMark/>
          </w:tcPr>
          <w:p w14:paraId="55ABF15E"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D9D9D9" w:themeFill="background1" w:themeFillShade="D9"/>
            <w:noWrap/>
            <w:hideMark/>
          </w:tcPr>
          <w:p w14:paraId="40577DBD"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nil"/>
            </w:tcBorders>
            <w:shd w:val="clear" w:color="auto" w:fill="D9D9D9" w:themeFill="background1" w:themeFillShade="D9"/>
            <w:hideMark/>
          </w:tcPr>
          <w:p w14:paraId="777F8649"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D9D9D9" w:themeFill="background1" w:themeFillShade="D9"/>
            <w:noWrap/>
            <w:hideMark/>
          </w:tcPr>
          <w:p w14:paraId="724F9B6C"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nil"/>
            </w:tcBorders>
            <w:shd w:val="clear" w:color="auto" w:fill="D9D9D9" w:themeFill="background1" w:themeFillShade="D9"/>
            <w:hideMark/>
          </w:tcPr>
          <w:p w14:paraId="730A76A4"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D9D9D9" w:themeFill="background1" w:themeFillShade="D9"/>
            <w:noWrap/>
            <w:hideMark/>
          </w:tcPr>
          <w:p w14:paraId="73766DE2"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nil"/>
            </w:tcBorders>
            <w:shd w:val="clear" w:color="auto" w:fill="D9D9D9" w:themeFill="background1" w:themeFillShade="D9"/>
            <w:hideMark/>
          </w:tcPr>
          <w:p w14:paraId="21625E21" w14:textId="77777777" w:rsidR="00403B07" w:rsidRDefault="00403B07" w:rsidP="00B01272">
            <w:r w:rsidRPr="0010670F">
              <w:rPr>
                <w:rFonts w:ascii="Marlett" w:hAnsi="Marlett"/>
              </w:rPr>
              <w:t></w:t>
            </w:r>
          </w:p>
        </w:tc>
        <w:tc>
          <w:tcPr>
            <w:tcW w:w="497" w:type="dxa"/>
            <w:tcBorders>
              <w:top w:val="nil"/>
              <w:left w:val="nil"/>
              <w:bottom w:val="single" w:sz="4" w:space="0" w:color="auto"/>
              <w:right w:val="single" w:sz="4" w:space="0" w:color="auto"/>
            </w:tcBorders>
            <w:shd w:val="clear" w:color="auto" w:fill="D9D9D9" w:themeFill="background1" w:themeFillShade="D9"/>
            <w:noWrap/>
            <w:hideMark/>
          </w:tcPr>
          <w:p w14:paraId="55C1E889" w14:textId="77777777" w:rsidR="00403B07" w:rsidRDefault="00403B07" w:rsidP="00B01272">
            <w:r w:rsidRPr="0010670F">
              <w:rPr>
                <w:rFonts w:ascii="Marlett" w:hAnsi="Marlett"/>
              </w:rPr>
              <w:t></w:t>
            </w:r>
          </w:p>
        </w:tc>
        <w:tc>
          <w:tcPr>
            <w:tcW w:w="2178" w:type="dxa"/>
            <w:tcBorders>
              <w:top w:val="nil"/>
              <w:left w:val="nil"/>
              <w:bottom w:val="single" w:sz="4" w:space="0" w:color="auto"/>
              <w:right w:val="single" w:sz="4" w:space="0" w:color="auto"/>
            </w:tcBorders>
            <w:shd w:val="clear" w:color="auto" w:fill="D9D9D9" w:themeFill="background1" w:themeFillShade="D9"/>
            <w:hideMark/>
          </w:tcPr>
          <w:p w14:paraId="0B02B3BA" w14:textId="77777777" w:rsidR="00403B07" w:rsidRPr="00171BEB" w:rsidRDefault="00403B07" w:rsidP="00B01272">
            <w:pPr>
              <w:spacing w:after="0" w:line="240" w:lineRule="auto"/>
              <w:rPr>
                <w:rFonts w:ascii="Calibri" w:eastAsia="Times New Roman" w:hAnsi="Calibri" w:cs="Times New Roman"/>
                <w:color w:val="000000"/>
                <w:sz w:val="16"/>
                <w:szCs w:val="16"/>
              </w:rPr>
            </w:pPr>
            <w:r w:rsidRPr="00171BEB">
              <w:rPr>
                <w:rFonts w:ascii="Calibri" w:eastAsia="Times New Roman" w:hAnsi="Calibri" w:cs="Times New Roman"/>
                <w:color w:val="000000"/>
                <w:sz w:val="16"/>
                <w:szCs w:val="16"/>
              </w:rPr>
              <w:t> </w:t>
            </w:r>
          </w:p>
        </w:tc>
      </w:tr>
      <w:tr w:rsidR="00DA1C42" w:rsidRPr="00171BEB" w14:paraId="37AE5D04" w14:textId="77777777" w:rsidTr="00B01272">
        <w:trPr>
          <w:gridAfter w:val="1"/>
          <w:wAfter w:w="12" w:type="dxa"/>
          <w:trHeight w:val="227"/>
        </w:trPr>
        <w:tc>
          <w:tcPr>
            <w:tcW w:w="462" w:type="dxa"/>
            <w:tcBorders>
              <w:top w:val="single" w:sz="4" w:space="0" w:color="auto"/>
              <w:left w:val="single" w:sz="4" w:space="0" w:color="auto"/>
              <w:bottom w:val="single" w:sz="4" w:space="0" w:color="auto"/>
              <w:right w:val="nil"/>
            </w:tcBorders>
            <w:shd w:val="clear" w:color="auto" w:fill="auto"/>
            <w:hideMark/>
          </w:tcPr>
          <w:p w14:paraId="30A9BB99" w14:textId="77777777" w:rsidR="00403B07" w:rsidRPr="000E3600" w:rsidRDefault="00403B07" w:rsidP="00B01272">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14</w:t>
            </w:r>
          </w:p>
        </w:tc>
        <w:tc>
          <w:tcPr>
            <w:tcW w:w="483" w:type="dxa"/>
            <w:tcBorders>
              <w:top w:val="nil"/>
              <w:left w:val="single" w:sz="4" w:space="0" w:color="auto"/>
              <w:bottom w:val="single" w:sz="4" w:space="0" w:color="auto"/>
              <w:right w:val="nil"/>
            </w:tcBorders>
            <w:shd w:val="clear" w:color="auto" w:fill="D9D9D9" w:themeFill="background1" w:themeFillShade="D9"/>
            <w:hideMark/>
          </w:tcPr>
          <w:p w14:paraId="7A8EB705"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6" w:type="dxa"/>
            <w:tcBorders>
              <w:top w:val="nil"/>
              <w:left w:val="nil"/>
              <w:bottom w:val="single" w:sz="4" w:space="0" w:color="auto"/>
              <w:right w:val="single" w:sz="4" w:space="0" w:color="auto"/>
            </w:tcBorders>
            <w:shd w:val="clear" w:color="auto" w:fill="D9D9D9" w:themeFill="background1" w:themeFillShade="D9"/>
            <w:noWrap/>
            <w:hideMark/>
          </w:tcPr>
          <w:p w14:paraId="501034E0"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7" w:type="dxa"/>
            <w:tcBorders>
              <w:top w:val="nil"/>
              <w:left w:val="nil"/>
              <w:bottom w:val="single" w:sz="4" w:space="0" w:color="auto"/>
              <w:right w:val="nil"/>
            </w:tcBorders>
            <w:shd w:val="clear" w:color="auto" w:fill="D9D9D9" w:themeFill="background1" w:themeFillShade="D9"/>
            <w:hideMark/>
          </w:tcPr>
          <w:p w14:paraId="18C94B2C"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668" w:type="dxa"/>
            <w:tcBorders>
              <w:top w:val="nil"/>
              <w:left w:val="nil"/>
              <w:bottom w:val="single" w:sz="4" w:space="0" w:color="auto"/>
              <w:right w:val="single" w:sz="4" w:space="0" w:color="auto"/>
            </w:tcBorders>
            <w:shd w:val="clear" w:color="auto" w:fill="D9D9D9" w:themeFill="background1" w:themeFillShade="D9"/>
            <w:noWrap/>
            <w:hideMark/>
          </w:tcPr>
          <w:p w14:paraId="7D5589A2"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304" w:type="dxa"/>
            <w:tcBorders>
              <w:top w:val="nil"/>
              <w:left w:val="nil"/>
              <w:bottom w:val="single" w:sz="4" w:space="0" w:color="auto"/>
              <w:right w:val="nil"/>
            </w:tcBorders>
            <w:shd w:val="clear" w:color="auto" w:fill="D9D9D9" w:themeFill="background1" w:themeFillShade="D9"/>
            <w:hideMark/>
          </w:tcPr>
          <w:p w14:paraId="558E03F6"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688" w:type="dxa"/>
            <w:tcBorders>
              <w:top w:val="nil"/>
              <w:left w:val="nil"/>
              <w:bottom w:val="single" w:sz="4" w:space="0" w:color="auto"/>
              <w:right w:val="single" w:sz="4" w:space="0" w:color="auto"/>
            </w:tcBorders>
            <w:shd w:val="clear" w:color="auto" w:fill="D9D9D9" w:themeFill="background1" w:themeFillShade="D9"/>
            <w:noWrap/>
            <w:hideMark/>
          </w:tcPr>
          <w:p w14:paraId="443AD4CD"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289" w:type="dxa"/>
            <w:tcBorders>
              <w:top w:val="nil"/>
              <w:left w:val="nil"/>
              <w:bottom w:val="single" w:sz="4" w:space="0" w:color="auto"/>
              <w:right w:val="nil"/>
            </w:tcBorders>
            <w:shd w:val="clear" w:color="auto" w:fill="D9D9D9" w:themeFill="background1" w:themeFillShade="D9"/>
            <w:hideMark/>
          </w:tcPr>
          <w:p w14:paraId="20028D8C" w14:textId="77777777" w:rsidR="00403B07" w:rsidRDefault="00403B07" w:rsidP="00B01272">
            <w:r w:rsidRPr="009F6B82">
              <w:rPr>
                <w:rFonts w:ascii="Marlett" w:hAnsi="Marlett"/>
              </w:rPr>
              <w:t></w:t>
            </w:r>
          </w:p>
        </w:tc>
        <w:tc>
          <w:tcPr>
            <w:tcW w:w="703" w:type="dxa"/>
            <w:tcBorders>
              <w:top w:val="nil"/>
              <w:left w:val="nil"/>
              <w:bottom w:val="single" w:sz="4" w:space="0" w:color="auto"/>
              <w:right w:val="single" w:sz="4" w:space="0" w:color="auto"/>
            </w:tcBorders>
            <w:shd w:val="clear" w:color="auto" w:fill="D9D9D9" w:themeFill="background1" w:themeFillShade="D9"/>
            <w:noWrap/>
            <w:hideMark/>
          </w:tcPr>
          <w:p w14:paraId="1CFCFBDE" w14:textId="77777777" w:rsidR="00403B07" w:rsidRDefault="00403B07" w:rsidP="00B01272">
            <w:r w:rsidRPr="009F6B82">
              <w:rPr>
                <w:rFonts w:ascii="Marlett" w:hAnsi="Marlett"/>
              </w:rPr>
              <w:t></w:t>
            </w:r>
          </w:p>
        </w:tc>
        <w:tc>
          <w:tcPr>
            <w:tcW w:w="546" w:type="dxa"/>
            <w:tcBorders>
              <w:top w:val="nil"/>
              <w:left w:val="nil"/>
              <w:bottom w:val="single" w:sz="4" w:space="0" w:color="auto"/>
              <w:right w:val="nil"/>
            </w:tcBorders>
            <w:shd w:val="clear" w:color="auto" w:fill="D9D9D9" w:themeFill="background1" w:themeFillShade="D9"/>
            <w:hideMark/>
          </w:tcPr>
          <w:p w14:paraId="30573C7B"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565" w:type="dxa"/>
            <w:tcBorders>
              <w:top w:val="nil"/>
              <w:left w:val="nil"/>
              <w:bottom w:val="single" w:sz="4" w:space="0" w:color="auto"/>
              <w:right w:val="single" w:sz="4" w:space="0" w:color="auto"/>
            </w:tcBorders>
            <w:shd w:val="clear" w:color="auto" w:fill="D9D9D9" w:themeFill="background1" w:themeFillShade="D9"/>
            <w:noWrap/>
            <w:hideMark/>
          </w:tcPr>
          <w:p w14:paraId="1DB80371"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32" w:type="dxa"/>
            <w:tcBorders>
              <w:top w:val="nil"/>
              <w:left w:val="nil"/>
              <w:bottom w:val="single" w:sz="4" w:space="0" w:color="auto"/>
              <w:right w:val="nil"/>
            </w:tcBorders>
            <w:shd w:val="clear" w:color="auto" w:fill="D9D9D9" w:themeFill="background1" w:themeFillShade="D9"/>
            <w:hideMark/>
          </w:tcPr>
          <w:p w14:paraId="3768C7D7"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18" w:type="dxa"/>
            <w:tcBorders>
              <w:top w:val="nil"/>
              <w:left w:val="nil"/>
              <w:bottom w:val="single" w:sz="4" w:space="0" w:color="auto"/>
              <w:right w:val="single" w:sz="4" w:space="0" w:color="auto"/>
            </w:tcBorders>
            <w:shd w:val="clear" w:color="auto" w:fill="D9D9D9" w:themeFill="background1" w:themeFillShade="D9"/>
            <w:noWrap/>
            <w:hideMark/>
          </w:tcPr>
          <w:p w14:paraId="49C74903"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562" w:type="dxa"/>
            <w:tcBorders>
              <w:top w:val="nil"/>
              <w:left w:val="nil"/>
              <w:bottom w:val="single" w:sz="4" w:space="0" w:color="auto"/>
              <w:right w:val="nil"/>
            </w:tcBorders>
            <w:shd w:val="clear" w:color="auto" w:fill="D9D9D9" w:themeFill="background1" w:themeFillShade="D9"/>
            <w:hideMark/>
          </w:tcPr>
          <w:p w14:paraId="7D48E3FC" w14:textId="77777777" w:rsidR="00403B07" w:rsidRDefault="00403B07" w:rsidP="00B01272">
            <w:r w:rsidRPr="00C7123F">
              <w:rPr>
                <w:rFonts w:ascii="Marlett" w:hAnsi="Marlett"/>
              </w:rPr>
              <w:t></w:t>
            </w:r>
          </w:p>
        </w:tc>
        <w:tc>
          <w:tcPr>
            <w:tcW w:w="488" w:type="dxa"/>
            <w:tcBorders>
              <w:top w:val="nil"/>
              <w:left w:val="nil"/>
              <w:bottom w:val="single" w:sz="4" w:space="0" w:color="auto"/>
              <w:right w:val="single" w:sz="4" w:space="0" w:color="auto"/>
            </w:tcBorders>
            <w:shd w:val="clear" w:color="auto" w:fill="D9D9D9" w:themeFill="background1" w:themeFillShade="D9"/>
            <w:noWrap/>
            <w:hideMark/>
          </w:tcPr>
          <w:p w14:paraId="705F29F6" w14:textId="77777777" w:rsidR="00403B07" w:rsidRDefault="00403B07" w:rsidP="00B01272">
            <w:r w:rsidRPr="00C7123F">
              <w:rPr>
                <w:rFonts w:ascii="Marlett" w:hAnsi="Marlett"/>
              </w:rPr>
              <w:t></w:t>
            </w:r>
          </w:p>
        </w:tc>
        <w:tc>
          <w:tcPr>
            <w:tcW w:w="488" w:type="dxa"/>
            <w:tcBorders>
              <w:top w:val="nil"/>
              <w:left w:val="nil"/>
              <w:bottom w:val="single" w:sz="4" w:space="0" w:color="auto"/>
              <w:right w:val="nil"/>
            </w:tcBorders>
            <w:shd w:val="clear" w:color="auto" w:fill="D9D9D9" w:themeFill="background1" w:themeFillShade="D9"/>
            <w:hideMark/>
          </w:tcPr>
          <w:p w14:paraId="0DD9C678"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D9D9D9" w:themeFill="background1" w:themeFillShade="D9"/>
            <w:noWrap/>
            <w:hideMark/>
          </w:tcPr>
          <w:p w14:paraId="769FA60F"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9" w:type="dxa"/>
            <w:tcBorders>
              <w:top w:val="nil"/>
              <w:left w:val="nil"/>
              <w:bottom w:val="single" w:sz="4" w:space="0" w:color="auto"/>
              <w:right w:val="nil"/>
            </w:tcBorders>
            <w:shd w:val="clear" w:color="auto" w:fill="D9D9D9" w:themeFill="background1" w:themeFillShade="D9"/>
            <w:hideMark/>
          </w:tcPr>
          <w:p w14:paraId="65B27DB1"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D9D9D9" w:themeFill="background1" w:themeFillShade="D9"/>
            <w:noWrap/>
            <w:hideMark/>
          </w:tcPr>
          <w:p w14:paraId="0B8CCD0A"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nil"/>
            </w:tcBorders>
            <w:shd w:val="clear" w:color="auto" w:fill="D9D9D9" w:themeFill="background1" w:themeFillShade="D9"/>
            <w:hideMark/>
          </w:tcPr>
          <w:p w14:paraId="33A2B507"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D9D9D9" w:themeFill="background1" w:themeFillShade="D9"/>
            <w:noWrap/>
            <w:hideMark/>
          </w:tcPr>
          <w:p w14:paraId="04079075"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nil"/>
            </w:tcBorders>
            <w:shd w:val="clear" w:color="auto" w:fill="D9D9D9" w:themeFill="background1" w:themeFillShade="D9"/>
            <w:hideMark/>
          </w:tcPr>
          <w:p w14:paraId="313D93D9" w14:textId="77777777" w:rsidR="00403B07" w:rsidRDefault="00403B07" w:rsidP="00B01272">
            <w:r w:rsidRPr="0099784A">
              <w:rPr>
                <w:rFonts w:ascii="Marlett" w:hAnsi="Marlett"/>
              </w:rPr>
              <w:t></w:t>
            </w:r>
          </w:p>
        </w:tc>
        <w:tc>
          <w:tcPr>
            <w:tcW w:w="488" w:type="dxa"/>
            <w:tcBorders>
              <w:top w:val="nil"/>
              <w:left w:val="nil"/>
              <w:bottom w:val="single" w:sz="4" w:space="0" w:color="auto"/>
              <w:right w:val="single" w:sz="4" w:space="0" w:color="auto"/>
            </w:tcBorders>
            <w:shd w:val="clear" w:color="auto" w:fill="D9D9D9" w:themeFill="background1" w:themeFillShade="D9"/>
            <w:noWrap/>
            <w:hideMark/>
          </w:tcPr>
          <w:p w14:paraId="225DC047" w14:textId="77777777" w:rsidR="00403B07" w:rsidRDefault="00403B07" w:rsidP="00B01272">
            <w:r w:rsidRPr="0099784A">
              <w:rPr>
                <w:rFonts w:ascii="Marlett" w:hAnsi="Marlett"/>
              </w:rPr>
              <w:t></w:t>
            </w:r>
          </w:p>
        </w:tc>
        <w:tc>
          <w:tcPr>
            <w:tcW w:w="488" w:type="dxa"/>
            <w:tcBorders>
              <w:top w:val="nil"/>
              <w:left w:val="nil"/>
              <w:bottom w:val="single" w:sz="4" w:space="0" w:color="auto"/>
              <w:right w:val="nil"/>
            </w:tcBorders>
            <w:shd w:val="clear" w:color="auto" w:fill="D9D9D9" w:themeFill="background1" w:themeFillShade="D9"/>
            <w:hideMark/>
          </w:tcPr>
          <w:p w14:paraId="01A63279"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97" w:type="dxa"/>
            <w:tcBorders>
              <w:top w:val="nil"/>
              <w:left w:val="nil"/>
              <w:bottom w:val="single" w:sz="4" w:space="0" w:color="auto"/>
              <w:right w:val="single" w:sz="4" w:space="0" w:color="auto"/>
            </w:tcBorders>
            <w:shd w:val="clear" w:color="auto" w:fill="D9D9D9" w:themeFill="background1" w:themeFillShade="D9"/>
            <w:noWrap/>
            <w:hideMark/>
          </w:tcPr>
          <w:p w14:paraId="5FEAF4CB"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2178" w:type="dxa"/>
            <w:tcBorders>
              <w:top w:val="nil"/>
              <w:left w:val="nil"/>
              <w:bottom w:val="single" w:sz="4" w:space="0" w:color="auto"/>
              <w:right w:val="single" w:sz="4" w:space="0" w:color="auto"/>
            </w:tcBorders>
            <w:shd w:val="clear" w:color="auto" w:fill="D9D9D9" w:themeFill="background1" w:themeFillShade="D9"/>
            <w:hideMark/>
          </w:tcPr>
          <w:p w14:paraId="53BDE95C" w14:textId="77777777" w:rsidR="00403B07" w:rsidRPr="00171BEB" w:rsidRDefault="00403B07" w:rsidP="00B01272">
            <w:pPr>
              <w:spacing w:after="0" w:line="240" w:lineRule="auto"/>
              <w:rPr>
                <w:rFonts w:ascii="Calibri" w:eastAsia="Times New Roman" w:hAnsi="Calibri" w:cs="Times New Roman"/>
                <w:color w:val="000000"/>
                <w:sz w:val="16"/>
                <w:szCs w:val="16"/>
              </w:rPr>
            </w:pPr>
            <w:r w:rsidRPr="00171BEB">
              <w:rPr>
                <w:rFonts w:ascii="Calibri" w:eastAsia="Times New Roman" w:hAnsi="Calibri" w:cs="Times New Roman"/>
                <w:color w:val="000000"/>
                <w:sz w:val="16"/>
                <w:szCs w:val="16"/>
              </w:rPr>
              <w:t> </w:t>
            </w:r>
          </w:p>
        </w:tc>
      </w:tr>
      <w:tr w:rsidR="00DA1C42" w:rsidRPr="00171BEB" w14:paraId="5BCFBF45" w14:textId="77777777" w:rsidTr="00B01272">
        <w:trPr>
          <w:gridAfter w:val="1"/>
          <w:wAfter w:w="12" w:type="dxa"/>
          <w:trHeight w:val="227"/>
        </w:trPr>
        <w:tc>
          <w:tcPr>
            <w:tcW w:w="462" w:type="dxa"/>
            <w:tcBorders>
              <w:top w:val="single" w:sz="4" w:space="0" w:color="auto"/>
              <w:left w:val="single" w:sz="4" w:space="0" w:color="auto"/>
              <w:bottom w:val="single" w:sz="4" w:space="0" w:color="auto"/>
              <w:right w:val="nil"/>
            </w:tcBorders>
            <w:shd w:val="clear" w:color="auto" w:fill="auto"/>
            <w:hideMark/>
          </w:tcPr>
          <w:p w14:paraId="37334030" w14:textId="77777777" w:rsidR="00403B07" w:rsidRPr="000E3600" w:rsidRDefault="00403B07" w:rsidP="00B01272">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15</w:t>
            </w:r>
          </w:p>
        </w:tc>
        <w:tc>
          <w:tcPr>
            <w:tcW w:w="483" w:type="dxa"/>
            <w:tcBorders>
              <w:top w:val="nil"/>
              <w:left w:val="single" w:sz="4" w:space="0" w:color="auto"/>
              <w:bottom w:val="single" w:sz="4" w:space="0" w:color="auto"/>
              <w:right w:val="nil"/>
            </w:tcBorders>
            <w:shd w:val="clear" w:color="auto" w:fill="D9D9D9" w:themeFill="background1" w:themeFillShade="D9"/>
            <w:noWrap/>
            <w:hideMark/>
          </w:tcPr>
          <w:p w14:paraId="44325431" w14:textId="77777777" w:rsidR="00403B07" w:rsidRDefault="00403B07" w:rsidP="00B01272">
            <w:r w:rsidRPr="00B40425">
              <w:rPr>
                <w:rFonts w:ascii="Marlett" w:hAnsi="Marlett"/>
              </w:rPr>
              <w:t></w:t>
            </w:r>
          </w:p>
        </w:tc>
        <w:tc>
          <w:tcPr>
            <w:tcW w:w="486" w:type="dxa"/>
            <w:tcBorders>
              <w:top w:val="nil"/>
              <w:left w:val="nil"/>
              <w:bottom w:val="single" w:sz="4" w:space="0" w:color="auto"/>
              <w:right w:val="single" w:sz="4" w:space="0" w:color="auto"/>
            </w:tcBorders>
            <w:shd w:val="clear" w:color="auto" w:fill="D9D9D9" w:themeFill="background1" w:themeFillShade="D9"/>
            <w:noWrap/>
            <w:hideMark/>
          </w:tcPr>
          <w:p w14:paraId="59D4C513" w14:textId="77777777" w:rsidR="00403B07" w:rsidRDefault="00403B07" w:rsidP="00B01272">
            <w:r w:rsidRPr="00B40425">
              <w:rPr>
                <w:rFonts w:ascii="Marlett" w:hAnsi="Marlett"/>
              </w:rPr>
              <w:t></w:t>
            </w:r>
          </w:p>
        </w:tc>
        <w:tc>
          <w:tcPr>
            <w:tcW w:w="487" w:type="dxa"/>
            <w:tcBorders>
              <w:top w:val="nil"/>
              <w:left w:val="nil"/>
              <w:bottom w:val="single" w:sz="4" w:space="0" w:color="auto"/>
              <w:right w:val="nil"/>
            </w:tcBorders>
            <w:shd w:val="clear" w:color="auto" w:fill="D9D9D9" w:themeFill="background1" w:themeFillShade="D9"/>
            <w:hideMark/>
          </w:tcPr>
          <w:p w14:paraId="52994B9C"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668" w:type="dxa"/>
            <w:tcBorders>
              <w:top w:val="nil"/>
              <w:left w:val="nil"/>
              <w:bottom w:val="single" w:sz="4" w:space="0" w:color="auto"/>
              <w:right w:val="single" w:sz="4" w:space="0" w:color="auto"/>
            </w:tcBorders>
            <w:shd w:val="clear" w:color="auto" w:fill="D9D9D9" w:themeFill="background1" w:themeFillShade="D9"/>
            <w:noWrap/>
            <w:hideMark/>
          </w:tcPr>
          <w:p w14:paraId="5DF6741D" w14:textId="77777777" w:rsidR="00403B07" w:rsidRPr="000E3600" w:rsidRDefault="00403B07" w:rsidP="00B01272">
            <w:pPr>
              <w:spacing w:after="0" w:line="240" w:lineRule="auto"/>
              <w:rPr>
                <w:rFonts w:ascii="Calibri" w:eastAsia="Times New Roman" w:hAnsi="Calibri" w:cs="Times New Roman"/>
                <w:color w:val="FF0000"/>
                <w:sz w:val="20"/>
                <w:szCs w:val="20"/>
              </w:rPr>
            </w:pPr>
            <w:r w:rsidRPr="00B50813">
              <w:rPr>
                <w:rFonts w:ascii="Marlett" w:hAnsi="Marlett"/>
                <w:color w:val="FF0000"/>
              </w:rPr>
              <w:t></w:t>
            </w:r>
          </w:p>
        </w:tc>
        <w:tc>
          <w:tcPr>
            <w:tcW w:w="304" w:type="dxa"/>
            <w:tcBorders>
              <w:top w:val="nil"/>
              <w:left w:val="nil"/>
              <w:bottom w:val="single" w:sz="4" w:space="0" w:color="auto"/>
              <w:right w:val="nil"/>
            </w:tcBorders>
            <w:shd w:val="clear" w:color="auto" w:fill="D9D9D9" w:themeFill="background1" w:themeFillShade="D9"/>
            <w:hideMark/>
          </w:tcPr>
          <w:p w14:paraId="52D17193" w14:textId="77777777" w:rsidR="00403B07" w:rsidRDefault="00403B07" w:rsidP="00B01272">
            <w:r w:rsidRPr="00FD545E">
              <w:rPr>
                <w:rFonts w:ascii="Marlett" w:hAnsi="Marlett"/>
              </w:rPr>
              <w:t></w:t>
            </w:r>
          </w:p>
        </w:tc>
        <w:tc>
          <w:tcPr>
            <w:tcW w:w="688" w:type="dxa"/>
            <w:tcBorders>
              <w:top w:val="nil"/>
              <w:left w:val="nil"/>
              <w:bottom w:val="single" w:sz="4" w:space="0" w:color="auto"/>
              <w:right w:val="single" w:sz="4" w:space="0" w:color="auto"/>
            </w:tcBorders>
            <w:shd w:val="clear" w:color="auto" w:fill="D9D9D9" w:themeFill="background1" w:themeFillShade="D9"/>
            <w:noWrap/>
            <w:hideMark/>
          </w:tcPr>
          <w:p w14:paraId="47FEE39A" w14:textId="77777777" w:rsidR="00403B07" w:rsidRDefault="00403B07" w:rsidP="00B01272">
            <w:r w:rsidRPr="00FD545E">
              <w:rPr>
                <w:rFonts w:ascii="Marlett" w:hAnsi="Marlett"/>
              </w:rPr>
              <w:t></w:t>
            </w:r>
          </w:p>
        </w:tc>
        <w:tc>
          <w:tcPr>
            <w:tcW w:w="289" w:type="dxa"/>
            <w:tcBorders>
              <w:top w:val="nil"/>
              <w:left w:val="nil"/>
              <w:bottom w:val="single" w:sz="4" w:space="0" w:color="auto"/>
              <w:right w:val="nil"/>
            </w:tcBorders>
            <w:shd w:val="clear" w:color="auto" w:fill="D9D9D9" w:themeFill="background1" w:themeFillShade="D9"/>
            <w:noWrap/>
            <w:hideMark/>
          </w:tcPr>
          <w:p w14:paraId="186E6490" w14:textId="77777777" w:rsidR="00403B07" w:rsidRDefault="00403B07" w:rsidP="00B01272">
            <w:r w:rsidRPr="009F6B82">
              <w:rPr>
                <w:rFonts w:ascii="Marlett" w:hAnsi="Marlett"/>
              </w:rPr>
              <w:t></w:t>
            </w:r>
          </w:p>
        </w:tc>
        <w:tc>
          <w:tcPr>
            <w:tcW w:w="703" w:type="dxa"/>
            <w:tcBorders>
              <w:top w:val="nil"/>
              <w:left w:val="nil"/>
              <w:bottom w:val="single" w:sz="4" w:space="0" w:color="auto"/>
              <w:right w:val="single" w:sz="4" w:space="0" w:color="auto"/>
            </w:tcBorders>
            <w:shd w:val="clear" w:color="auto" w:fill="D9D9D9" w:themeFill="background1" w:themeFillShade="D9"/>
            <w:noWrap/>
            <w:hideMark/>
          </w:tcPr>
          <w:p w14:paraId="5E14A514" w14:textId="77777777" w:rsidR="00403B07" w:rsidRDefault="00403B07" w:rsidP="00B01272">
            <w:r w:rsidRPr="009F6B82">
              <w:rPr>
                <w:rFonts w:ascii="Marlett" w:hAnsi="Marlett"/>
              </w:rPr>
              <w:t></w:t>
            </w:r>
          </w:p>
        </w:tc>
        <w:tc>
          <w:tcPr>
            <w:tcW w:w="546" w:type="dxa"/>
            <w:tcBorders>
              <w:top w:val="nil"/>
              <w:left w:val="nil"/>
              <w:bottom w:val="single" w:sz="4" w:space="0" w:color="auto"/>
              <w:right w:val="nil"/>
            </w:tcBorders>
            <w:shd w:val="clear" w:color="auto" w:fill="D9D9D9" w:themeFill="background1" w:themeFillShade="D9"/>
            <w:hideMark/>
          </w:tcPr>
          <w:p w14:paraId="590DD604"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565" w:type="dxa"/>
            <w:tcBorders>
              <w:top w:val="nil"/>
              <w:left w:val="nil"/>
              <w:bottom w:val="single" w:sz="4" w:space="0" w:color="auto"/>
              <w:right w:val="single" w:sz="4" w:space="0" w:color="auto"/>
            </w:tcBorders>
            <w:shd w:val="clear" w:color="auto" w:fill="D9D9D9" w:themeFill="background1" w:themeFillShade="D9"/>
            <w:noWrap/>
            <w:hideMark/>
          </w:tcPr>
          <w:p w14:paraId="02D84AEC"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32" w:type="dxa"/>
            <w:tcBorders>
              <w:top w:val="nil"/>
              <w:left w:val="nil"/>
              <w:bottom w:val="single" w:sz="4" w:space="0" w:color="auto"/>
              <w:right w:val="nil"/>
            </w:tcBorders>
            <w:shd w:val="clear" w:color="auto" w:fill="D9D9D9" w:themeFill="background1" w:themeFillShade="D9"/>
            <w:hideMark/>
          </w:tcPr>
          <w:p w14:paraId="3EBEEFB0"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18" w:type="dxa"/>
            <w:tcBorders>
              <w:top w:val="nil"/>
              <w:left w:val="nil"/>
              <w:bottom w:val="single" w:sz="4" w:space="0" w:color="auto"/>
              <w:right w:val="single" w:sz="4" w:space="0" w:color="auto"/>
            </w:tcBorders>
            <w:shd w:val="clear" w:color="auto" w:fill="D9D9D9" w:themeFill="background1" w:themeFillShade="D9"/>
            <w:noWrap/>
            <w:hideMark/>
          </w:tcPr>
          <w:p w14:paraId="3DFE165F"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562" w:type="dxa"/>
            <w:tcBorders>
              <w:top w:val="nil"/>
              <w:left w:val="nil"/>
              <w:bottom w:val="single" w:sz="4" w:space="0" w:color="auto"/>
              <w:right w:val="nil"/>
            </w:tcBorders>
            <w:shd w:val="clear" w:color="auto" w:fill="D9D9D9" w:themeFill="background1" w:themeFillShade="D9"/>
            <w:hideMark/>
          </w:tcPr>
          <w:p w14:paraId="57AD066A"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D9D9D9" w:themeFill="background1" w:themeFillShade="D9"/>
            <w:noWrap/>
            <w:hideMark/>
          </w:tcPr>
          <w:p w14:paraId="23DBEA6C"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nil"/>
            </w:tcBorders>
            <w:shd w:val="clear" w:color="auto" w:fill="D9D9D9" w:themeFill="background1" w:themeFillShade="D9"/>
            <w:hideMark/>
          </w:tcPr>
          <w:p w14:paraId="46BD09E0"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D9D9D9" w:themeFill="background1" w:themeFillShade="D9"/>
            <w:noWrap/>
            <w:hideMark/>
          </w:tcPr>
          <w:p w14:paraId="5D30ABA4"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9" w:type="dxa"/>
            <w:tcBorders>
              <w:top w:val="nil"/>
              <w:left w:val="nil"/>
              <w:bottom w:val="single" w:sz="4" w:space="0" w:color="auto"/>
              <w:right w:val="nil"/>
            </w:tcBorders>
            <w:shd w:val="clear" w:color="auto" w:fill="D9D9D9" w:themeFill="background1" w:themeFillShade="D9"/>
            <w:hideMark/>
          </w:tcPr>
          <w:p w14:paraId="2F35A78B"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D9D9D9" w:themeFill="background1" w:themeFillShade="D9"/>
            <w:noWrap/>
            <w:hideMark/>
          </w:tcPr>
          <w:p w14:paraId="386947BA"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nil"/>
            </w:tcBorders>
            <w:shd w:val="clear" w:color="auto" w:fill="D9D9D9" w:themeFill="background1" w:themeFillShade="D9"/>
            <w:hideMark/>
          </w:tcPr>
          <w:p w14:paraId="39F1884E"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D9D9D9" w:themeFill="background1" w:themeFillShade="D9"/>
            <w:noWrap/>
            <w:hideMark/>
          </w:tcPr>
          <w:p w14:paraId="0206FB18"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nil"/>
            </w:tcBorders>
            <w:shd w:val="clear" w:color="auto" w:fill="D9D9D9" w:themeFill="background1" w:themeFillShade="D9"/>
            <w:hideMark/>
          </w:tcPr>
          <w:p w14:paraId="60DB8AA1"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D9D9D9" w:themeFill="background1" w:themeFillShade="D9"/>
            <w:noWrap/>
            <w:hideMark/>
          </w:tcPr>
          <w:p w14:paraId="61622432"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nil"/>
            </w:tcBorders>
            <w:shd w:val="clear" w:color="auto" w:fill="D9D9D9" w:themeFill="background1" w:themeFillShade="D9"/>
            <w:hideMark/>
          </w:tcPr>
          <w:p w14:paraId="0D137D9D"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97" w:type="dxa"/>
            <w:tcBorders>
              <w:top w:val="nil"/>
              <w:left w:val="nil"/>
              <w:bottom w:val="single" w:sz="4" w:space="0" w:color="auto"/>
              <w:right w:val="single" w:sz="4" w:space="0" w:color="auto"/>
            </w:tcBorders>
            <w:shd w:val="clear" w:color="auto" w:fill="D9D9D9" w:themeFill="background1" w:themeFillShade="D9"/>
            <w:noWrap/>
            <w:hideMark/>
          </w:tcPr>
          <w:p w14:paraId="3FC6B5A5"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2178" w:type="dxa"/>
            <w:tcBorders>
              <w:top w:val="nil"/>
              <w:left w:val="nil"/>
              <w:bottom w:val="single" w:sz="4" w:space="0" w:color="auto"/>
              <w:right w:val="single" w:sz="4" w:space="0" w:color="auto"/>
            </w:tcBorders>
            <w:shd w:val="clear" w:color="auto" w:fill="D9D9D9" w:themeFill="background1" w:themeFillShade="D9"/>
            <w:hideMark/>
          </w:tcPr>
          <w:p w14:paraId="45334AF7" w14:textId="77777777" w:rsidR="00403B07" w:rsidRPr="00171BEB" w:rsidRDefault="00403B07" w:rsidP="00B01272">
            <w:pPr>
              <w:spacing w:after="0" w:line="240" w:lineRule="auto"/>
              <w:rPr>
                <w:rFonts w:ascii="Calibri" w:eastAsia="Times New Roman" w:hAnsi="Calibri" w:cs="Times New Roman"/>
                <w:color w:val="000000"/>
                <w:sz w:val="16"/>
                <w:szCs w:val="16"/>
              </w:rPr>
            </w:pPr>
            <w:r w:rsidRPr="00171BEB">
              <w:rPr>
                <w:rFonts w:ascii="Calibri" w:eastAsia="Times New Roman" w:hAnsi="Calibri" w:cs="Times New Roman"/>
                <w:color w:val="000000"/>
                <w:sz w:val="16"/>
                <w:szCs w:val="16"/>
              </w:rPr>
              <w:t> </w:t>
            </w:r>
          </w:p>
        </w:tc>
      </w:tr>
      <w:tr w:rsidR="00DA1C42" w:rsidRPr="00171BEB" w14:paraId="01802DC6" w14:textId="77777777" w:rsidTr="00B01272">
        <w:trPr>
          <w:gridAfter w:val="1"/>
          <w:wAfter w:w="12" w:type="dxa"/>
          <w:trHeight w:val="227"/>
        </w:trPr>
        <w:tc>
          <w:tcPr>
            <w:tcW w:w="462" w:type="dxa"/>
            <w:tcBorders>
              <w:top w:val="single" w:sz="4" w:space="0" w:color="auto"/>
              <w:left w:val="single" w:sz="4" w:space="0" w:color="auto"/>
              <w:bottom w:val="single" w:sz="4" w:space="0" w:color="auto"/>
              <w:right w:val="nil"/>
            </w:tcBorders>
            <w:shd w:val="clear" w:color="auto" w:fill="auto"/>
            <w:hideMark/>
          </w:tcPr>
          <w:p w14:paraId="4BE9963A" w14:textId="77777777" w:rsidR="00403B07" w:rsidRPr="000E3600" w:rsidRDefault="00403B07" w:rsidP="00B01272">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16</w:t>
            </w:r>
          </w:p>
        </w:tc>
        <w:tc>
          <w:tcPr>
            <w:tcW w:w="483" w:type="dxa"/>
            <w:tcBorders>
              <w:top w:val="nil"/>
              <w:left w:val="single" w:sz="4" w:space="0" w:color="auto"/>
              <w:bottom w:val="single" w:sz="4" w:space="0" w:color="auto"/>
              <w:right w:val="nil"/>
            </w:tcBorders>
            <w:shd w:val="clear" w:color="auto" w:fill="D9D9D9" w:themeFill="background1" w:themeFillShade="D9"/>
            <w:noWrap/>
            <w:hideMark/>
          </w:tcPr>
          <w:p w14:paraId="5B3518F1" w14:textId="77777777" w:rsidR="00403B07" w:rsidRDefault="00403B07" w:rsidP="00B01272">
            <w:r w:rsidRPr="00B40425">
              <w:rPr>
                <w:rFonts w:ascii="Marlett" w:hAnsi="Marlett"/>
              </w:rPr>
              <w:t></w:t>
            </w:r>
          </w:p>
        </w:tc>
        <w:tc>
          <w:tcPr>
            <w:tcW w:w="486" w:type="dxa"/>
            <w:tcBorders>
              <w:top w:val="nil"/>
              <w:left w:val="nil"/>
              <w:bottom w:val="single" w:sz="4" w:space="0" w:color="auto"/>
              <w:right w:val="single" w:sz="4" w:space="0" w:color="auto"/>
            </w:tcBorders>
            <w:shd w:val="clear" w:color="auto" w:fill="D9D9D9" w:themeFill="background1" w:themeFillShade="D9"/>
            <w:noWrap/>
            <w:hideMark/>
          </w:tcPr>
          <w:p w14:paraId="1F0AC8A5" w14:textId="77777777" w:rsidR="00403B07" w:rsidRDefault="00403B07" w:rsidP="00B01272">
            <w:r w:rsidRPr="00B40425">
              <w:rPr>
                <w:rFonts w:ascii="Marlett" w:hAnsi="Marlett"/>
              </w:rPr>
              <w:t></w:t>
            </w:r>
          </w:p>
        </w:tc>
        <w:tc>
          <w:tcPr>
            <w:tcW w:w="487" w:type="dxa"/>
            <w:tcBorders>
              <w:top w:val="nil"/>
              <w:left w:val="nil"/>
              <w:bottom w:val="single" w:sz="4" w:space="0" w:color="auto"/>
              <w:right w:val="nil"/>
            </w:tcBorders>
            <w:shd w:val="clear" w:color="auto" w:fill="D9D9D9" w:themeFill="background1" w:themeFillShade="D9"/>
            <w:hideMark/>
          </w:tcPr>
          <w:p w14:paraId="7BC0156A"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668" w:type="dxa"/>
            <w:tcBorders>
              <w:top w:val="nil"/>
              <w:left w:val="nil"/>
              <w:bottom w:val="single" w:sz="4" w:space="0" w:color="auto"/>
              <w:right w:val="single" w:sz="4" w:space="0" w:color="auto"/>
            </w:tcBorders>
            <w:shd w:val="clear" w:color="auto" w:fill="D9D9D9" w:themeFill="background1" w:themeFillShade="D9"/>
            <w:noWrap/>
            <w:hideMark/>
          </w:tcPr>
          <w:p w14:paraId="13027B8C"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304" w:type="dxa"/>
            <w:tcBorders>
              <w:top w:val="nil"/>
              <w:left w:val="nil"/>
              <w:bottom w:val="single" w:sz="4" w:space="0" w:color="auto"/>
              <w:right w:val="nil"/>
            </w:tcBorders>
            <w:shd w:val="clear" w:color="auto" w:fill="D9D9D9" w:themeFill="background1" w:themeFillShade="D9"/>
            <w:noWrap/>
            <w:hideMark/>
          </w:tcPr>
          <w:p w14:paraId="614A5D09" w14:textId="77777777" w:rsidR="00403B07" w:rsidRDefault="00403B07" w:rsidP="00B01272">
            <w:r w:rsidRPr="00FD545E">
              <w:rPr>
                <w:rFonts w:ascii="Marlett" w:hAnsi="Marlett"/>
              </w:rPr>
              <w:t></w:t>
            </w:r>
          </w:p>
        </w:tc>
        <w:tc>
          <w:tcPr>
            <w:tcW w:w="688" w:type="dxa"/>
            <w:tcBorders>
              <w:top w:val="nil"/>
              <w:left w:val="nil"/>
              <w:bottom w:val="single" w:sz="4" w:space="0" w:color="auto"/>
              <w:right w:val="single" w:sz="4" w:space="0" w:color="auto"/>
            </w:tcBorders>
            <w:shd w:val="clear" w:color="auto" w:fill="D9D9D9" w:themeFill="background1" w:themeFillShade="D9"/>
            <w:noWrap/>
            <w:hideMark/>
          </w:tcPr>
          <w:p w14:paraId="7CDFFE6E" w14:textId="77777777" w:rsidR="00403B07" w:rsidRDefault="00403B07" w:rsidP="00B01272">
            <w:r w:rsidRPr="00FD545E">
              <w:rPr>
                <w:rFonts w:ascii="Marlett" w:hAnsi="Marlett"/>
              </w:rPr>
              <w:t></w:t>
            </w:r>
          </w:p>
        </w:tc>
        <w:tc>
          <w:tcPr>
            <w:tcW w:w="289" w:type="dxa"/>
            <w:tcBorders>
              <w:top w:val="nil"/>
              <w:left w:val="nil"/>
              <w:bottom w:val="single" w:sz="4" w:space="0" w:color="auto"/>
              <w:right w:val="nil"/>
            </w:tcBorders>
            <w:shd w:val="clear" w:color="auto" w:fill="D9D9D9" w:themeFill="background1" w:themeFillShade="D9"/>
            <w:noWrap/>
            <w:hideMark/>
          </w:tcPr>
          <w:p w14:paraId="3830ABD6" w14:textId="77777777" w:rsidR="00403B07" w:rsidRDefault="00403B07" w:rsidP="00B01272">
            <w:r w:rsidRPr="009F6B82">
              <w:rPr>
                <w:rFonts w:ascii="Marlett" w:hAnsi="Marlett"/>
              </w:rPr>
              <w:t></w:t>
            </w:r>
          </w:p>
        </w:tc>
        <w:tc>
          <w:tcPr>
            <w:tcW w:w="703" w:type="dxa"/>
            <w:tcBorders>
              <w:top w:val="nil"/>
              <w:left w:val="nil"/>
              <w:bottom w:val="single" w:sz="4" w:space="0" w:color="auto"/>
              <w:right w:val="single" w:sz="4" w:space="0" w:color="auto"/>
            </w:tcBorders>
            <w:shd w:val="clear" w:color="auto" w:fill="D9D9D9" w:themeFill="background1" w:themeFillShade="D9"/>
            <w:noWrap/>
            <w:hideMark/>
          </w:tcPr>
          <w:p w14:paraId="3E3CFD8B" w14:textId="77777777" w:rsidR="00403B07" w:rsidRDefault="00403B07" w:rsidP="00B01272">
            <w:r w:rsidRPr="009F6B82">
              <w:rPr>
                <w:rFonts w:ascii="Marlett" w:hAnsi="Marlett"/>
              </w:rPr>
              <w:t></w:t>
            </w:r>
          </w:p>
        </w:tc>
        <w:tc>
          <w:tcPr>
            <w:tcW w:w="546" w:type="dxa"/>
            <w:tcBorders>
              <w:top w:val="nil"/>
              <w:left w:val="nil"/>
              <w:bottom w:val="single" w:sz="4" w:space="0" w:color="auto"/>
              <w:right w:val="nil"/>
            </w:tcBorders>
            <w:shd w:val="clear" w:color="auto" w:fill="D9D9D9" w:themeFill="background1" w:themeFillShade="D9"/>
            <w:hideMark/>
          </w:tcPr>
          <w:p w14:paraId="44D79E4E"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565" w:type="dxa"/>
            <w:tcBorders>
              <w:top w:val="nil"/>
              <w:left w:val="nil"/>
              <w:bottom w:val="single" w:sz="4" w:space="0" w:color="auto"/>
              <w:right w:val="single" w:sz="4" w:space="0" w:color="auto"/>
            </w:tcBorders>
            <w:shd w:val="clear" w:color="auto" w:fill="D9D9D9" w:themeFill="background1" w:themeFillShade="D9"/>
            <w:noWrap/>
            <w:hideMark/>
          </w:tcPr>
          <w:p w14:paraId="1EE0E3E4"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32" w:type="dxa"/>
            <w:tcBorders>
              <w:top w:val="nil"/>
              <w:left w:val="nil"/>
              <w:bottom w:val="single" w:sz="4" w:space="0" w:color="auto"/>
              <w:right w:val="nil"/>
            </w:tcBorders>
            <w:shd w:val="clear" w:color="auto" w:fill="D9D9D9" w:themeFill="background1" w:themeFillShade="D9"/>
            <w:hideMark/>
          </w:tcPr>
          <w:p w14:paraId="3493553B"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18" w:type="dxa"/>
            <w:tcBorders>
              <w:top w:val="nil"/>
              <w:left w:val="nil"/>
              <w:bottom w:val="single" w:sz="4" w:space="0" w:color="auto"/>
              <w:right w:val="single" w:sz="4" w:space="0" w:color="auto"/>
            </w:tcBorders>
            <w:shd w:val="clear" w:color="auto" w:fill="D9D9D9" w:themeFill="background1" w:themeFillShade="D9"/>
            <w:noWrap/>
            <w:hideMark/>
          </w:tcPr>
          <w:p w14:paraId="13398324"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562" w:type="dxa"/>
            <w:tcBorders>
              <w:top w:val="nil"/>
              <w:left w:val="nil"/>
              <w:bottom w:val="single" w:sz="4" w:space="0" w:color="auto"/>
              <w:right w:val="nil"/>
            </w:tcBorders>
            <w:shd w:val="clear" w:color="auto" w:fill="D9D9D9" w:themeFill="background1" w:themeFillShade="D9"/>
            <w:hideMark/>
          </w:tcPr>
          <w:p w14:paraId="2068B33A" w14:textId="77777777" w:rsidR="00403B07" w:rsidRDefault="00403B07" w:rsidP="00B01272">
            <w:r w:rsidRPr="000102BE">
              <w:rPr>
                <w:rFonts w:ascii="Marlett" w:hAnsi="Marlett"/>
              </w:rPr>
              <w:t></w:t>
            </w:r>
          </w:p>
        </w:tc>
        <w:tc>
          <w:tcPr>
            <w:tcW w:w="488" w:type="dxa"/>
            <w:tcBorders>
              <w:top w:val="nil"/>
              <w:left w:val="nil"/>
              <w:bottom w:val="single" w:sz="4" w:space="0" w:color="auto"/>
              <w:right w:val="single" w:sz="4" w:space="0" w:color="auto"/>
            </w:tcBorders>
            <w:shd w:val="clear" w:color="auto" w:fill="D9D9D9" w:themeFill="background1" w:themeFillShade="D9"/>
            <w:noWrap/>
            <w:hideMark/>
          </w:tcPr>
          <w:p w14:paraId="6BB085EB" w14:textId="77777777" w:rsidR="00403B07" w:rsidRDefault="00403B07" w:rsidP="00B01272">
            <w:r w:rsidRPr="000102BE">
              <w:rPr>
                <w:rFonts w:ascii="Marlett" w:hAnsi="Marlett"/>
              </w:rPr>
              <w:t></w:t>
            </w:r>
          </w:p>
        </w:tc>
        <w:tc>
          <w:tcPr>
            <w:tcW w:w="488" w:type="dxa"/>
            <w:tcBorders>
              <w:top w:val="nil"/>
              <w:left w:val="nil"/>
              <w:bottom w:val="single" w:sz="4" w:space="0" w:color="auto"/>
              <w:right w:val="nil"/>
            </w:tcBorders>
            <w:shd w:val="clear" w:color="auto" w:fill="D9D9D9" w:themeFill="background1" w:themeFillShade="D9"/>
            <w:hideMark/>
          </w:tcPr>
          <w:p w14:paraId="6E0E7E02" w14:textId="77777777" w:rsidR="00403B07" w:rsidRDefault="00403B07" w:rsidP="00B01272">
            <w:r w:rsidRPr="000102BE">
              <w:rPr>
                <w:rFonts w:ascii="Marlett" w:hAnsi="Marlett"/>
              </w:rPr>
              <w:t></w:t>
            </w:r>
          </w:p>
        </w:tc>
        <w:tc>
          <w:tcPr>
            <w:tcW w:w="488" w:type="dxa"/>
            <w:tcBorders>
              <w:top w:val="nil"/>
              <w:left w:val="nil"/>
              <w:bottom w:val="single" w:sz="4" w:space="0" w:color="auto"/>
              <w:right w:val="single" w:sz="4" w:space="0" w:color="auto"/>
            </w:tcBorders>
            <w:shd w:val="clear" w:color="auto" w:fill="D9D9D9" w:themeFill="background1" w:themeFillShade="D9"/>
            <w:noWrap/>
            <w:hideMark/>
          </w:tcPr>
          <w:p w14:paraId="3D04F376" w14:textId="77777777" w:rsidR="00403B07" w:rsidRDefault="00403B07" w:rsidP="00B01272">
            <w:r w:rsidRPr="000102BE">
              <w:rPr>
                <w:rFonts w:ascii="Marlett" w:hAnsi="Marlett"/>
              </w:rPr>
              <w:t></w:t>
            </w:r>
          </w:p>
        </w:tc>
        <w:tc>
          <w:tcPr>
            <w:tcW w:w="489" w:type="dxa"/>
            <w:tcBorders>
              <w:top w:val="nil"/>
              <w:left w:val="nil"/>
              <w:bottom w:val="single" w:sz="4" w:space="0" w:color="auto"/>
              <w:right w:val="nil"/>
            </w:tcBorders>
            <w:shd w:val="clear" w:color="auto" w:fill="D9D9D9" w:themeFill="background1" w:themeFillShade="D9"/>
            <w:hideMark/>
          </w:tcPr>
          <w:p w14:paraId="01FCBC87"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D9D9D9" w:themeFill="background1" w:themeFillShade="D9"/>
            <w:noWrap/>
            <w:hideMark/>
          </w:tcPr>
          <w:p w14:paraId="57D94588"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nil"/>
            </w:tcBorders>
            <w:shd w:val="clear" w:color="auto" w:fill="D9D9D9" w:themeFill="background1" w:themeFillShade="D9"/>
            <w:hideMark/>
          </w:tcPr>
          <w:p w14:paraId="454D5EFB"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D9D9D9" w:themeFill="background1" w:themeFillShade="D9"/>
            <w:noWrap/>
            <w:hideMark/>
          </w:tcPr>
          <w:p w14:paraId="4441953B"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nil"/>
            </w:tcBorders>
            <w:shd w:val="clear" w:color="auto" w:fill="D9D9D9" w:themeFill="background1" w:themeFillShade="D9"/>
            <w:hideMark/>
          </w:tcPr>
          <w:p w14:paraId="2306CE4E"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D9D9D9" w:themeFill="background1" w:themeFillShade="D9"/>
            <w:noWrap/>
            <w:hideMark/>
          </w:tcPr>
          <w:p w14:paraId="57253FF4"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nil"/>
            </w:tcBorders>
            <w:shd w:val="clear" w:color="auto" w:fill="D9D9D9" w:themeFill="background1" w:themeFillShade="D9"/>
            <w:hideMark/>
          </w:tcPr>
          <w:p w14:paraId="4B1367A1"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97" w:type="dxa"/>
            <w:tcBorders>
              <w:top w:val="nil"/>
              <w:left w:val="nil"/>
              <w:bottom w:val="single" w:sz="4" w:space="0" w:color="auto"/>
              <w:right w:val="single" w:sz="4" w:space="0" w:color="auto"/>
            </w:tcBorders>
            <w:shd w:val="clear" w:color="auto" w:fill="D9D9D9" w:themeFill="background1" w:themeFillShade="D9"/>
            <w:noWrap/>
            <w:hideMark/>
          </w:tcPr>
          <w:p w14:paraId="427B6C39"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2178" w:type="dxa"/>
            <w:tcBorders>
              <w:top w:val="nil"/>
              <w:left w:val="nil"/>
              <w:bottom w:val="single" w:sz="4" w:space="0" w:color="auto"/>
              <w:right w:val="single" w:sz="4" w:space="0" w:color="auto"/>
            </w:tcBorders>
            <w:shd w:val="clear" w:color="auto" w:fill="D9D9D9" w:themeFill="background1" w:themeFillShade="D9"/>
            <w:hideMark/>
          </w:tcPr>
          <w:p w14:paraId="13F38D4B" w14:textId="77777777" w:rsidR="00403B07" w:rsidRPr="00171BEB" w:rsidRDefault="00403B07" w:rsidP="00B01272">
            <w:pPr>
              <w:spacing w:after="0" w:line="240" w:lineRule="auto"/>
              <w:rPr>
                <w:rFonts w:ascii="Calibri" w:eastAsia="Times New Roman" w:hAnsi="Calibri" w:cs="Times New Roman"/>
                <w:color w:val="000000"/>
                <w:sz w:val="16"/>
                <w:szCs w:val="16"/>
              </w:rPr>
            </w:pPr>
            <w:r w:rsidRPr="00171BEB">
              <w:rPr>
                <w:rFonts w:ascii="Calibri" w:eastAsia="Times New Roman" w:hAnsi="Calibri" w:cs="Times New Roman"/>
                <w:color w:val="000000"/>
                <w:sz w:val="16"/>
                <w:szCs w:val="16"/>
              </w:rPr>
              <w:t> </w:t>
            </w:r>
          </w:p>
        </w:tc>
      </w:tr>
      <w:tr w:rsidR="00403B07" w:rsidRPr="00171BEB" w14:paraId="11BA8D65" w14:textId="77777777" w:rsidTr="00B01272">
        <w:trPr>
          <w:gridAfter w:val="1"/>
          <w:wAfter w:w="12" w:type="dxa"/>
          <w:trHeight w:val="227"/>
        </w:trPr>
        <w:tc>
          <w:tcPr>
            <w:tcW w:w="462" w:type="dxa"/>
            <w:tcBorders>
              <w:top w:val="single" w:sz="4" w:space="0" w:color="auto"/>
              <w:left w:val="single" w:sz="4" w:space="0" w:color="auto"/>
              <w:bottom w:val="single" w:sz="4" w:space="0" w:color="auto"/>
              <w:right w:val="nil"/>
            </w:tcBorders>
            <w:shd w:val="clear" w:color="auto" w:fill="FABF8F" w:themeFill="accent6" w:themeFillTint="99"/>
          </w:tcPr>
          <w:p w14:paraId="2D68A8E6"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1</w:t>
            </w:r>
            <w:r>
              <w:rPr>
                <w:rFonts w:ascii="Calibri" w:eastAsia="Times New Roman" w:hAnsi="Calibri" w:cs="Times New Roman"/>
                <w:color w:val="000000"/>
                <w:sz w:val="20"/>
                <w:szCs w:val="20"/>
              </w:rPr>
              <w:t>7</w:t>
            </w:r>
          </w:p>
        </w:tc>
        <w:tc>
          <w:tcPr>
            <w:tcW w:w="483" w:type="dxa"/>
            <w:tcBorders>
              <w:top w:val="single" w:sz="4" w:space="0" w:color="auto"/>
              <w:left w:val="single" w:sz="4" w:space="0" w:color="auto"/>
              <w:bottom w:val="single" w:sz="4" w:space="0" w:color="auto"/>
              <w:right w:val="nil"/>
            </w:tcBorders>
            <w:shd w:val="clear" w:color="auto" w:fill="auto"/>
          </w:tcPr>
          <w:p w14:paraId="23243A3A"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E61779">
              <w:rPr>
                <w:rFonts w:ascii="Marlett" w:hAnsi="Marlett"/>
              </w:rPr>
              <w:t></w:t>
            </w:r>
          </w:p>
        </w:tc>
        <w:tc>
          <w:tcPr>
            <w:tcW w:w="486" w:type="dxa"/>
            <w:tcBorders>
              <w:top w:val="single" w:sz="4" w:space="0" w:color="auto"/>
              <w:left w:val="nil"/>
              <w:bottom w:val="single" w:sz="4" w:space="0" w:color="auto"/>
              <w:right w:val="single" w:sz="4" w:space="0" w:color="auto"/>
            </w:tcBorders>
            <w:shd w:val="clear" w:color="auto" w:fill="auto"/>
            <w:noWrap/>
          </w:tcPr>
          <w:p w14:paraId="3FDA8AAA"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E61779">
              <w:rPr>
                <w:rFonts w:ascii="Marlett" w:hAnsi="Marlett"/>
              </w:rPr>
              <w:t></w:t>
            </w:r>
          </w:p>
        </w:tc>
        <w:tc>
          <w:tcPr>
            <w:tcW w:w="487" w:type="dxa"/>
            <w:tcBorders>
              <w:top w:val="single" w:sz="4" w:space="0" w:color="auto"/>
              <w:left w:val="nil"/>
              <w:bottom w:val="single" w:sz="4" w:space="0" w:color="auto"/>
              <w:right w:val="nil"/>
            </w:tcBorders>
            <w:shd w:val="clear" w:color="auto" w:fill="auto"/>
          </w:tcPr>
          <w:p w14:paraId="3E0677CF"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E61779">
              <w:rPr>
                <w:rFonts w:ascii="Marlett" w:hAnsi="Marlett"/>
              </w:rPr>
              <w:t></w:t>
            </w:r>
          </w:p>
        </w:tc>
        <w:tc>
          <w:tcPr>
            <w:tcW w:w="668" w:type="dxa"/>
            <w:tcBorders>
              <w:top w:val="single" w:sz="4" w:space="0" w:color="auto"/>
              <w:left w:val="nil"/>
              <w:bottom w:val="single" w:sz="4" w:space="0" w:color="auto"/>
              <w:right w:val="single" w:sz="4" w:space="0" w:color="auto"/>
            </w:tcBorders>
            <w:shd w:val="clear" w:color="auto" w:fill="auto"/>
            <w:noWrap/>
          </w:tcPr>
          <w:p w14:paraId="192F0C7B"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E61779">
              <w:rPr>
                <w:rFonts w:ascii="Marlett" w:hAnsi="Marlett"/>
              </w:rPr>
              <w:t></w:t>
            </w:r>
          </w:p>
        </w:tc>
        <w:tc>
          <w:tcPr>
            <w:tcW w:w="304" w:type="dxa"/>
            <w:tcBorders>
              <w:top w:val="single" w:sz="4" w:space="0" w:color="auto"/>
              <w:left w:val="nil"/>
              <w:bottom w:val="single" w:sz="4" w:space="0" w:color="auto"/>
              <w:right w:val="nil"/>
            </w:tcBorders>
            <w:shd w:val="clear" w:color="auto" w:fill="auto"/>
            <w:noWrap/>
          </w:tcPr>
          <w:p w14:paraId="3CFE7AB7" w14:textId="77777777" w:rsidR="00403B07" w:rsidRDefault="00403B07" w:rsidP="00B01272">
            <w:r w:rsidRPr="006927E1">
              <w:rPr>
                <w:rFonts w:ascii="Marlett" w:hAnsi="Marlett"/>
              </w:rPr>
              <w:t></w:t>
            </w:r>
          </w:p>
        </w:tc>
        <w:tc>
          <w:tcPr>
            <w:tcW w:w="688" w:type="dxa"/>
            <w:tcBorders>
              <w:top w:val="single" w:sz="4" w:space="0" w:color="auto"/>
              <w:left w:val="nil"/>
              <w:bottom w:val="single" w:sz="4" w:space="0" w:color="auto"/>
              <w:right w:val="single" w:sz="4" w:space="0" w:color="auto"/>
            </w:tcBorders>
            <w:shd w:val="clear" w:color="auto" w:fill="auto"/>
            <w:noWrap/>
          </w:tcPr>
          <w:p w14:paraId="09B68285" w14:textId="77777777" w:rsidR="00403B07" w:rsidRDefault="00403B07" w:rsidP="00B01272">
            <w:r w:rsidRPr="006927E1">
              <w:rPr>
                <w:rFonts w:ascii="Marlett" w:hAnsi="Marlett"/>
              </w:rPr>
              <w:t></w:t>
            </w:r>
          </w:p>
        </w:tc>
        <w:tc>
          <w:tcPr>
            <w:tcW w:w="289" w:type="dxa"/>
            <w:tcBorders>
              <w:top w:val="single" w:sz="4" w:space="0" w:color="auto"/>
              <w:left w:val="nil"/>
              <w:bottom w:val="single" w:sz="4" w:space="0" w:color="auto"/>
              <w:right w:val="nil"/>
            </w:tcBorders>
            <w:shd w:val="clear" w:color="auto" w:fill="auto"/>
          </w:tcPr>
          <w:p w14:paraId="39B9D918" w14:textId="77777777" w:rsidR="00403B07" w:rsidRDefault="00403B07" w:rsidP="00B01272">
            <w:r w:rsidRPr="006927E1">
              <w:rPr>
                <w:rFonts w:ascii="Marlett" w:hAnsi="Marlett"/>
              </w:rPr>
              <w:t></w:t>
            </w:r>
          </w:p>
        </w:tc>
        <w:tc>
          <w:tcPr>
            <w:tcW w:w="703" w:type="dxa"/>
            <w:tcBorders>
              <w:top w:val="single" w:sz="4" w:space="0" w:color="auto"/>
              <w:left w:val="nil"/>
              <w:bottom w:val="single" w:sz="4" w:space="0" w:color="auto"/>
              <w:right w:val="single" w:sz="4" w:space="0" w:color="auto"/>
            </w:tcBorders>
            <w:shd w:val="clear" w:color="auto" w:fill="auto"/>
            <w:noWrap/>
          </w:tcPr>
          <w:p w14:paraId="29CA5113" w14:textId="77777777" w:rsidR="00403B07" w:rsidRDefault="00403B07" w:rsidP="00B01272">
            <w:r w:rsidRPr="006927E1">
              <w:rPr>
                <w:rFonts w:ascii="Marlett" w:hAnsi="Marlett"/>
              </w:rPr>
              <w:t></w:t>
            </w:r>
          </w:p>
        </w:tc>
        <w:tc>
          <w:tcPr>
            <w:tcW w:w="546" w:type="dxa"/>
            <w:tcBorders>
              <w:top w:val="single" w:sz="4" w:space="0" w:color="auto"/>
              <w:left w:val="nil"/>
              <w:bottom w:val="single" w:sz="4" w:space="0" w:color="auto"/>
              <w:right w:val="nil"/>
            </w:tcBorders>
            <w:shd w:val="clear" w:color="auto" w:fill="auto"/>
          </w:tcPr>
          <w:p w14:paraId="51951A32"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565" w:type="dxa"/>
            <w:tcBorders>
              <w:top w:val="single" w:sz="4" w:space="0" w:color="auto"/>
              <w:left w:val="nil"/>
              <w:bottom w:val="single" w:sz="4" w:space="0" w:color="auto"/>
              <w:right w:val="single" w:sz="4" w:space="0" w:color="auto"/>
            </w:tcBorders>
            <w:shd w:val="clear" w:color="auto" w:fill="auto"/>
            <w:noWrap/>
          </w:tcPr>
          <w:p w14:paraId="601AD744"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32" w:type="dxa"/>
            <w:tcBorders>
              <w:top w:val="single" w:sz="4" w:space="0" w:color="auto"/>
              <w:left w:val="nil"/>
              <w:bottom w:val="single" w:sz="4" w:space="0" w:color="auto"/>
              <w:right w:val="nil"/>
            </w:tcBorders>
            <w:shd w:val="clear" w:color="auto" w:fill="auto"/>
          </w:tcPr>
          <w:p w14:paraId="00C12326"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18" w:type="dxa"/>
            <w:tcBorders>
              <w:top w:val="single" w:sz="4" w:space="0" w:color="auto"/>
              <w:left w:val="nil"/>
              <w:bottom w:val="single" w:sz="4" w:space="0" w:color="auto"/>
              <w:right w:val="single" w:sz="4" w:space="0" w:color="auto"/>
            </w:tcBorders>
            <w:shd w:val="clear" w:color="auto" w:fill="auto"/>
            <w:noWrap/>
          </w:tcPr>
          <w:p w14:paraId="0C6E1B4F"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562" w:type="dxa"/>
            <w:tcBorders>
              <w:top w:val="single" w:sz="4" w:space="0" w:color="auto"/>
              <w:left w:val="nil"/>
              <w:bottom w:val="single" w:sz="4" w:space="0" w:color="auto"/>
              <w:right w:val="nil"/>
            </w:tcBorders>
            <w:shd w:val="clear" w:color="auto" w:fill="auto"/>
          </w:tcPr>
          <w:p w14:paraId="771A6982" w14:textId="77777777" w:rsidR="00403B07" w:rsidRDefault="00403B07" w:rsidP="00B01272">
            <w:r w:rsidRPr="0000430C">
              <w:rPr>
                <w:rFonts w:ascii="Marlett" w:hAnsi="Marlett"/>
              </w:rPr>
              <w:t></w:t>
            </w:r>
          </w:p>
        </w:tc>
        <w:tc>
          <w:tcPr>
            <w:tcW w:w="488" w:type="dxa"/>
            <w:tcBorders>
              <w:top w:val="single" w:sz="4" w:space="0" w:color="auto"/>
              <w:left w:val="nil"/>
              <w:bottom w:val="single" w:sz="4" w:space="0" w:color="auto"/>
              <w:right w:val="single" w:sz="4" w:space="0" w:color="auto"/>
            </w:tcBorders>
            <w:shd w:val="clear" w:color="auto" w:fill="auto"/>
            <w:noWrap/>
          </w:tcPr>
          <w:p w14:paraId="4B4E9454" w14:textId="77777777" w:rsidR="00403B07" w:rsidRDefault="00403B07" w:rsidP="00B01272">
            <w:r w:rsidRPr="0000430C">
              <w:rPr>
                <w:rFonts w:ascii="Marlett" w:hAnsi="Marlett"/>
              </w:rPr>
              <w:t></w:t>
            </w:r>
          </w:p>
        </w:tc>
        <w:tc>
          <w:tcPr>
            <w:tcW w:w="488" w:type="dxa"/>
            <w:tcBorders>
              <w:top w:val="single" w:sz="4" w:space="0" w:color="auto"/>
              <w:left w:val="nil"/>
              <w:bottom w:val="single" w:sz="4" w:space="0" w:color="auto"/>
              <w:right w:val="nil"/>
            </w:tcBorders>
            <w:shd w:val="clear" w:color="auto" w:fill="auto"/>
          </w:tcPr>
          <w:p w14:paraId="209D328F" w14:textId="77777777" w:rsidR="00403B07" w:rsidRDefault="00403B07" w:rsidP="00B01272">
            <w:r w:rsidRPr="0000430C">
              <w:rPr>
                <w:rFonts w:ascii="Marlett" w:hAnsi="Marlett"/>
              </w:rPr>
              <w:t></w:t>
            </w:r>
          </w:p>
        </w:tc>
        <w:tc>
          <w:tcPr>
            <w:tcW w:w="488" w:type="dxa"/>
            <w:tcBorders>
              <w:top w:val="single" w:sz="4" w:space="0" w:color="auto"/>
              <w:left w:val="nil"/>
              <w:bottom w:val="single" w:sz="4" w:space="0" w:color="auto"/>
              <w:right w:val="single" w:sz="4" w:space="0" w:color="auto"/>
            </w:tcBorders>
            <w:shd w:val="clear" w:color="auto" w:fill="auto"/>
            <w:noWrap/>
          </w:tcPr>
          <w:p w14:paraId="49A95BD6" w14:textId="77777777" w:rsidR="00403B07" w:rsidRDefault="00403B07" w:rsidP="00B01272">
            <w:r w:rsidRPr="0000430C">
              <w:rPr>
                <w:rFonts w:ascii="Marlett" w:hAnsi="Marlett"/>
              </w:rPr>
              <w:t></w:t>
            </w:r>
          </w:p>
        </w:tc>
        <w:tc>
          <w:tcPr>
            <w:tcW w:w="489" w:type="dxa"/>
            <w:tcBorders>
              <w:top w:val="single" w:sz="4" w:space="0" w:color="auto"/>
              <w:left w:val="nil"/>
              <w:bottom w:val="single" w:sz="4" w:space="0" w:color="auto"/>
              <w:right w:val="nil"/>
            </w:tcBorders>
            <w:shd w:val="clear" w:color="auto" w:fill="auto"/>
          </w:tcPr>
          <w:p w14:paraId="0134E9F4"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single" w:sz="4" w:space="0" w:color="auto"/>
              <w:left w:val="nil"/>
              <w:bottom w:val="single" w:sz="4" w:space="0" w:color="auto"/>
              <w:right w:val="single" w:sz="4" w:space="0" w:color="auto"/>
            </w:tcBorders>
            <w:shd w:val="clear" w:color="auto" w:fill="auto"/>
            <w:noWrap/>
          </w:tcPr>
          <w:p w14:paraId="65FFD482"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single" w:sz="4" w:space="0" w:color="auto"/>
              <w:left w:val="nil"/>
              <w:bottom w:val="single" w:sz="4" w:space="0" w:color="auto"/>
              <w:right w:val="nil"/>
            </w:tcBorders>
            <w:shd w:val="clear" w:color="auto" w:fill="auto"/>
          </w:tcPr>
          <w:p w14:paraId="22887923"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single" w:sz="4" w:space="0" w:color="auto"/>
              <w:left w:val="nil"/>
              <w:bottom w:val="single" w:sz="4" w:space="0" w:color="auto"/>
              <w:right w:val="single" w:sz="4" w:space="0" w:color="auto"/>
            </w:tcBorders>
            <w:shd w:val="clear" w:color="auto" w:fill="auto"/>
            <w:noWrap/>
          </w:tcPr>
          <w:p w14:paraId="689C06F5"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single" w:sz="4" w:space="0" w:color="auto"/>
              <w:left w:val="nil"/>
              <w:bottom w:val="single" w:sz="4" w:space="0" w:color="auto"/>
              <w:right w:val="nil"/>
            </w:tcBorders>
            <w:shd w:val="clear" w:color="auto" w:fill="auto"/>
          </w:tcPr>
          <w:p w14:paraId="44C3DDA3"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single" w:sz="4" w:space="0" w:color="auto"/>
              <w:left w:val="nil"/>
              <w:bottom w:val="single" w:sz="4" w:space="0" w:color="auto"/>
              <w:right w:val="single" w:sz="4" w:space="0" w:color="auto"/>
            </w:tcBorders>
            <w:shd w:val="clear" w:color="auto" w:fill="auto"/>
            <w:noWrap/>
          </w:tcPr>
          <w:p w14:paraId="291AA0FD"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single" w:sz="4" w:space="0" w:color="auto"/>
              <w:left w:val="nil"/>
              <w:bottom w:val="single" w:sz="4" w:space="0" w:color="auto"/>
              <w:right w:val="nil"/>
            </w:tcBorders>
            <w:shd w:val="clear" w:color="auto" w:fill="auto"/>
          </w:tcPr>
          <w:p w14:paraId="7D9EDD87"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97" w:type="dxa"/>
            <w:tcBorders>
              <w:top w:val="single" w:sz="4" w:space="0" w:color="auto"/>
              <w:left w:val="nil"/>
              <w:bottom w:val="single" w:sz="4" w:space="0" w:color="auto"/>
              <w:right w:val="single" w:sz="4" w:space="0" w:color="auto"/>
            </w:tcBorders>
            <w:shd w:val="clear" w:color="auto" w:fill="auto"/>
            <w:noWrap/>
          </w:tcPr>
          <w:p w14:paraId="52A57928"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2178" w:type="dxa"/>
            <w:tcBorders>
              <w:top w:val="nil"/>
              <w:left w:val="nil"/>
              <w:bottom w:val="single" w:sz="4" w:space="0" w:color="auto"/>
              <w:right w:val="single" w:sz="4" w:space="0" w:color="auto"/>
            </w:tcBorders>
            <w:shd w:val="clear" w:color="auto" w:fill="auto"/>
          </w:tcPr>
          <w:p w14:paraId="3125C9C6" w14:textId="77777777" w:rsidR="00403B07" w:rsidRPr="00171BEB" w:rsidRDefault="00403B07" w:rsidP="00B01272">
            <w:pPr>
              <w:spacing w:after="0" w:line="240" w:lineRule="auto"/>
              <w:rPr>
                <w:rFonts w:ascii="Calibri" w:eastAsia="Times New Roman" w:hAnsi="Calibri" w:cs="Times New Roman"/>
                <w:color w:val="000000"/>
                <w:sz w:val="16"/>
                <w:szCs w:val="16"/>
              </w:rPr>
            </w:pPr>
            <w:r w:rsidRPr="00171BEB">
              <w:rPr>
                <w:rFonts w:ascii="Calibri" w:eastAsia="Times New Roman" w:hAnsi="Calibri" w:cs="Times New Roman"/>
                <w:color w:val="000000"/>
                <w:sz w:val="16"/>
                <w:szCs w:val="16"/>
              </w:rPr>
              <w:t>Healthy Eating Awards</w:t>
            </w:r>
          </w:p>
        </w:tc>
      </w:tr>
      <w:tr w:rsidR="00403B07" w:rsidRPr="00171BEB" w14:paraId="692863E2" w14:textId="77777777" w:rsidTr="00B01272">
        <w:trPr>
          <w:gridAfter w:val="1"/>
          <w:wAfter w:w="12" w:type="dxa"/>
          <w:trHeight w:val="227"/>
        </w:trPr>
        <w:tc>
          <w:tcPr>
            <w:tcW w:w="462" w:type="dxa"/>
            <w:tcBorders>
              <w:top w:val="single" w:sz="4" w:space="0" w:color="auto"/>
              <w:left w:val="single" w:sz="4" w:space="0" w:color="auto"/>
              <w:bottom w:val="single" w:sz="4" w:space="0" w:color="auto"/>
              <w:right w:val="nil"/>
            </w:tcBorders>
            <w:shd w:val="clear" w:color="auto" w:fill="FABF8F" w:themeFill="accent6" w:themeFillTint="99"/>
          </w:tcPr>
          <w:p w14:paraId="3CCF14B6" w14:textId="77777777" w:rsidR="00403B07" w:rsidRPr="000E3600" w:rsidRDefault="00403B07" w:rsidP="00B01272">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18</w:t>
            </w:r>
          </w:p>
        </w:tc>
        <w:tc>
          <w:tcPr>
            <w:tcW w:w="483" w:type="dxa"/>
            <w:tcBorders>
              <w:top w:val="nil"/>
              <w:left w:val="single" w:sz="4" w:space="0" w:color="auto"/>
              <w:bottom w:val="single" w:sz="4" w:space="0" w:color="auto"/>
              <w:right w:val="nil"/>
            </w:tcBorders>
            <w:shd w:val="clear" w:color="auto" w:fill="auto"/>
          </w:tcPr>
          <w:p w14:paraId="6F5A6CB8"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6" w:type="dxa"/>
            <w:tcBorders>
              <w:top w:val="nil"/>
              <w:left w:val="nil"/>
              <w:bottom w:val="single" w:sz="4" w:space="0" w:color="auto"/>
              <w:right w:val="single" w:sz="4" w:space="0" w:color="auto"/>
            </w:tcBorders>
            <w:shd w:val="clear" w:color="auto" w:fill="auto"/>
            <w:noWrap/>
          </w:tcPr>
          <w:p w14:paraId="7B09D08B"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7" w:type="dxa"/>
            <w:tcBorders>
              <w:top w:val="nil"/>
              <w:left w:val="nil"/>
              <w:bottom w:val="single" w:sz="4" w:space="0" w:color="auto"/>
              <w:right w:val="nil"/>
            </w:tcBorders>
            <w:shd w:val="clear" w:color="auto" w:fill="auto"/>
          </w:tcPr>
          <w:p w14:paraId="42924E85"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668" w:type="dxa"/>
            <w:tcBorders>
              <w:top w:val="nil"/>
              <w:left w:val="nil"/>
              <w:bottom w:val="single" w:sz="4" w:space="0" w:color="auto"/>
              <w:right w:val="single" w:sz="4" w:space="0" w:color="auto"/>
            </w:tcBorders>
            <w:shd w:val="clear" w:color="auto" w:fill="auto"/>
            <w:noWrap/>
          </w:tcPr>
          <w:p w14:paraId="01DB1F0F" w14:textId="77777777" w:rsidR="00403B07" w:rsidRPr="000E3600" w:rsidRDefault="00403B07" w:rsidP="00B01272">
            <w:pPr>
              <w:spacing w:after="0" w:line="240" w:lineRule="auto"/>
              <w:rPr>
                <w:rFonts w:ascii="Calibri" w:eastAsia="Times New Roman" w:hAnsi="Calibri" w:cs="Times New Roman"/>
                <w:color w:val="FF0000"/>
                <w:sz w:val="20"/>
                <w:szCs w:val="20"/>
              </w:rPr>
            </w:pPr>
            <w:r w:rsidRPr="000E3600">
              <w:rPr>
                <w:rFonts w:ascii="Marlett" w:hAnsi="Marlett"/>
                <w:color w:val="FF0000"/>
              </w:rPr>
              <w:t></w:t>
            </w:r>
          </w:p>
        </w:tc>
        <w:tc>
          <w:tcPr>
            <w:tcW w:w="304" w:type="dxa"/>
            <w:tcBorders>
              <w:top w:val="nil"/>
              <w:left w:val="nil"/>
              <w:bottom w:val="single" w:sz="4" w:space="0" w:color="auto"/>
              <w:right w:val="nil"/>
            </w:tcBorders>
            <w:shd w:val="clear" w:color="auto" w:fill="auto"/>
          </w:tcPr>
          <w:p w14:paraId="4E4334A7" w14:textId="77777777" w:rsidR="00403B07" w:rsidRDefault="00403B07" w:rsidP="00B01272">
            <w:r w:rsidRPr="00A44E1E">
              <w:rPr>
                <w:rFonts w:ascii="Marlett" w:hAnsi="Marlett"/>
              </w:rPr>
              <w:t></w:t>
            </w:r>
          </w:p>
        </w:tc>
        <w:tc>
          <w:tcPr>
            <w:tcW w:w="688" w:type="dxa"/>
            <w:tcBorders>
              <w:top w:val="nil"/>
              <w:left w:val="nil"/>
              <w:bottom w:val="single" w:sz="4" w:space="0" w:color="auto"/>
              <w:right w:val="single" w:sz="4" w:space="0" w:color="auto"/>
            </w:tcBorders>
            <w:shd w:val="clear" w:color="auto" w:fill="auto"/>
            <w:noWrap/>
          </w:tcPr>
          <w:p w14:paraId="0347B8F9" w14:textId="77777777" w:rsidR="00403B07" w:rsidRDefault="00403B07" w:rsidP="00B01272">
            <w:r w:rsidRPr="00A44E1E">
              <w:rPr>
                <w:rFonts w:ascii="Marlett" w:hAnsi="Marlett"/>
              </w:rPr>
              <w:t></w:t>
            </w:r>
          </w:p>
        </w:tc>
        <w:tc>
          <w:tcPr>
            <w:tcW w:w="289" w:type="dxa"/>
            <w:tcBorders>
              <w:top w:val="nil"/>
              <w:left w:val="nil"/>
              <w:bottom w:val="single" w:sz="4" w:space="0" w:color="auto"/>
              <w:right w:val="nil"/>
            </w:tcBorders>
            <w:shd w:val="clear" w:color="auto" w:fill="auto"/>
          </w:tcPr>
          <w:p w14:paraId="718FEBD1" w14:textId="77777777" w:rsidR="00403B07" w:rsidRDefault="00403B07" w:rsidP="00B01272">
            <w:r w:rsidRPr="00A44E1E">
              <w:rPr>
                <w:rFonts w:ascii="Marlett" w:hAnsi="Marlett"/>
              </w:rPr>
              <w:t></w:t>
            </w:r>
          </w:p>
        </w:tc>
        <w:tc>
          <w:tcPr>
            <w:tcW w:w="703" w:type="dxa"/>
            <w:tcBorders>
              <w:top w:val="nil"/>
              <w:left w:val="nil"/>
              <w:bottom w:val="single" w:sz="4" w:space="0" w:color="auto"/>
              <w:right w:val="single" w:sz="4" w:space="0" w:color="auto"/>
            </w:tcBorders>
            <w:shd w:val="clear" w:color="auto" w:fill="auto"/>
            <w:noWrap/>
          </w:tcPr>
          <w:p w14:paraId="39569615" w14:textId="77777777" w:rsidR="00403B07" w:rsidRDefault="00403B07" w:rsidP="00B01272">
            <w:r w:rsidRPr="00A44E1E">
              <w:rPr>
                <w:rFonts w:ascii="Marlett" w:hAnsi="Marlett"/>
              </w:rPr>
              <w:t></w:t>
            </w:r>
          </w:p>
        </w:tc>
        <w:tc>
          <w:tcPr>
            <w:tcW w:w="546" w:type="dxa"/>
            <w:tcBorders>
              <w:top w:val="nil"/>
              <w:left w:val="nil"/>
              <w:bottom w:val="single" w:sz="4" w:space="0" w:color="auto"/>
              <w:right w:val="nil"/>
            </w:tcBorders>
            <w:shd w:val="clear" w:color="auto" w:fill="auto"/>
          </w:tcPr>
          <w:p w14:paraId="49C8766D"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565" w:type="dxa"/>
            <w:tcBorders>
              <w:top w:val="nil"/>
              <w:left w:val="nil"/>
              <w:bottom w:val="single" w:sz="4" w:space="0" w:color="auto"/>
              <w:right w:val="single" w:sz="4" w:space="0" w:color="auto"/>
            </w:tcBorders>
            <w:shd w:val="clear" w:color="auto" w:fill="auto"/>
            <w:noWrap/>
          </w:tcPr>
          <w:p w14:paraId="2A74026D"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32" w:type="dxa"/>
            <w:tcBorders>
              <w:top w:val="nil"/>
              <w:left w:val="nil"/>
              <w:bottom w:val="single" w:sz="4" w:space="0" w:color="auto"/>
              <w:right w:val="nil"/>
            </w:tcBorders>
            <w:shd w:val="clear" w:color="auto" w:fill="auto"/>
          </w:tcPr>
          <w:p w14:paraId="3F8DC65F"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18" w:type="dxa"/>
            <w:tcBorders>
              <w:top w:val="nil"/>
              <w:left w:val="nil"/>
              <w:bottom w:val="single" w:sz="4" w:space="0" w:color="auto"/>
              <w:right w:val="single" w:sz="4" w:space="0" w:color="auto"/>
            </w:tcBorders>
            <w:shd w:val="clear" w:color="auto" w:fill="auto"/>
            <w:noWrap/>
          </w:tcPr>
          <w:p w14:paraId="3CFFFBE2"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562" w:type="dxa"/>
            <w:tcBorders>
              <w:top w:val="nil"/>
              <w:left w:val="nil"/>
              <w:bottom w:val="single" w:sz="4" w:space="0" w:color="auto"/>
              <w:right w:val="nil"/>
            </w:tcBorders>
            <w:shd w:val="clear" w:color="auto" w:fill="auto"/>
          </w:tcPr>
          <w:p w14:paraId="436EF0FB" w14:textId="77777777" w:rsidR="00403B07" w:rsidRDefault="00403B07" w:rsidP="00B01272">
            <w:r w:rsidRPr="00403F81">
              <w:rPr>
                <w:rFonts w:ascii="Marlett" w:hAnsi="Marlett"/>
              </w:rPr>
              <w:t></w:t>
            </w:r>
          </w:p>
        </w:tc>
        <w:tc>
          <w:tcPr>
            <w:tcW w:w="488" w:type="dxa"/>
            <w:tcBorders>
              <w:top w:val="nil"/>
              <w:left w:val="nil"/>
              <w:bottom w:val="single" w:sz="4" w:space="0" w:color="auto"/>
              <w:right w:val="single" w:sz="4" w:space="0" w:color="auto"/>
            </w:tcBorders>
            <w:shd w:val="clear" w:color="auto" w:fill="auto"/>
            <w:noWrap/>
          </w:tcPr>
          <w:p w14:paraId="121FABE5" w14:textId="77777777" w:rsidR="00403B07" w:rsidRDefault="00403B07" w:rsidP="00B01272">
            <w:r w:rsidRPr="00403F81">
              <w:rPr>
                <w:rFonts w:ascii="Marlett" w:hAnsi="Marlett"/>
              </w:rPr>
              <w:t></w:t>
            </w:r>
          </w:p>
        </w:tc>
        <w:tc>
          <w:tcPr>
            <w:tcW w:w="488" w:type="dxa"/>
            <w:tcBorders>
              <w:top w:val="nil"/>
              <w:left w:val="nil"/>
              <w:bottom w:val="single" w:sz="4" w:space="0" w:color="auto"/>
              <w:right w:val="nil"/>
            </w:tcBorders>
            <w:shd w:val="clear" w:color="auto" w:fill="auto"/>
          </w:tcPr>
          <w:p w14:paraId="64123A72"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auto"/>
            <w:noWrap/>
          </w:tcPr>
          <w:p w14:paraId="2A59017B"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9" w:type="dxa"/>
            <w:tcBorders>
              <w:top w:val="nil"/>
              <w:left w:val="nil"/>
              <w:bottom w:val="single" w:sz="4" w:space="0" w:color="auto"/>
              <w:right w:val="nil"/>
            </w:tcBorders>
            <w:shd w:val="clear" w:color="auto" w:fill="auto"/>
          </w:tcPr>
          <w:p w14:paraId="339A8BE6"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auto"/>
            <w:noWrap/>
          </w:tcPr>
          <w:p w14:paraId="4AF5C395"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nil"/>
            </w:tcBorders>
            <w:shd w:val="clear" w:color="auto" w:fill="auto"/>
          </w:tcPr>
          <w:p w14:paraId="515CFA7A"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auto"/>
            <w:noWrap/>
          </w:tcPr>
          <w:p w14:paraId="770201DE"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nil"/>
            </w:tcBorders>
            <w:shd w:val="clear" w:color="auto" w:fill="auto"/>
          </w:tcPr>
          <w:p w14:paraId="230EA2E7"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auto"/>
            <w:noWrap/>
          </w:tcPr>
          <w:p w14:paraId="038C3823"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nil"/>
            </w:tcBorders>
            <w:shd w:val="clear" w:color="auto" w:fill="auto"/>
          </w:tcPr>
          <w:p w14:paraId="35523D61"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tcPr>
          <w:p w14:paraId="2F098197"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2178" w:type="dxa"/>
            <w:tcBorders>
              <w:top w:val="nil"/>
              <w:left w:val="nil"/>
              <w:bottom w:val="single" w:sz="4" w:space="0" w:color="auto"/>
              <w:right w:val="single" w:sz="4" w:space="0" w:color="auto"/>
            </w:tcBorders>
            <w:shd w:val="clear" w:color="auto" w:fill="auto"/>
          </w:tcPr>
          <w:p w14:paraId="1ABD3F0C" w14:textId="77777777" w:rsidR="00403B07" w:rsidRPr="00171BEB" w:rsidRDefault="00403B07" w:rsidP="00B01272">
            <w:pPr>
              <w:spacing w:after="0" w:line="240" w:lineRule="auto"/>
              <w:rPr>
                <w:rFonts w:ascii="Calibri" w:eastAsia="Times New Roman" w:hAnsi="Calibri" w:cs="Times New Roman"/>
                <w:color w:val="000000"/>
                <w:sz w:val="16"/>
                <w:szCs w:val="16"/>
              </w:rPr>
            </w:pPr>
            <w:r w:rsidRPr="00171BEB">
              <w:rPr>
                <w:rFonts w:ascii="Calibri" w:eastAsia="Times New Roman" w:hAnsi="Calibri" w:cs="Times New Roman"/>
                <w:color w:val="000000"/>
                <w:sz w:val="16"/>
                <w:szCs w:val="16"/>
              </w:rPr>
              <w:t> </w:t>
            </w:r>
          </w:p>
        </w:tc>
      </w:tr>
      <w:tr w:rsidR="00403B07" w:rsidRPr="00171BEB" w14:paraId="015630CE" w14:textId="77777777" w:rsidTr="00B01272">
        <w:trPr>
          <w:gridAfter w:val="1"/>
          <w:wAfter w:w="12" w:type="dxa"/>
          <w:trHeight w:val="227"/>
        </w:trPr>
        <w:tc>
          <w:tcPr>
            <w:tcW w:w="462" w:type="dxa"/>
            <w:tcBorders>
              <w:top w:val="single" w:sz="4" w:space="0" w:color="auto"/>
              <w:left w:val="single" w:sz="4" w:space="0" w:color="auto"/>
              <w:bottom w:val="single" w:sz="4" w:space="0" w:color="auto"/>
              <w:right w:val="nil"/>
            </w:tcBorders>
            <w:shd w:val="clear" w:color="auto" w:fill="FABF8F" w:themeFill="accent6" w:themeFillTint="99"/>
          </w:tcPr>
          <w:p w14:paraId="4D8CBB9A" w14:textId="77777777" w:rsidR="00403B07" w:rsidRPr="000E3600" w:rsidRDefault="00403B07" w:rsidP="00B01272">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19</w:t>
            </w:r>
          </w:p>
        </w:tc>
        <w:tc>
          <w:tcPr>
            <w:tcW w:w="483" w:type="dxa"/>
            <w:tcBorders>
              <w:top w:val="nil"/>
              <w:left w:val="single" w:sz="4" w:space="0" w:color="auto"/>
              <w:bottom w:val="single" w:sz="4" w:space="0" w:color="auto"/>
              <w:right w:val="nil"/>
            </w:tcBorders>
            <w:shd w:val="clear" w:color="auto" w:fill="auto"/>
          </w:tcPr>
          <w:p w14:paraId="2B05EF5E"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6" w:type="dxa"/>
            <w:tcBorders>
              <w:top w:val="nil"/>
              <w:left w:val="nil"/>
              <w:bottom w:val="single" w:sz="4" w:space="0" w:color="auto"/>
              <w:right w:val="single" w:sz="4" w:space="0" w:color="auto"/>
            </w:tcBorders>
            <w:shd w:val="clear" w:color="auto" w:fill="auto"/>
            <w:noWrap/>
          </w:tcPr>
          <w:p w14:paraId="1DBCBC9F"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7" w:type="dxa"/>
            <w:tcBorders>
              <w:top w:val="nil"/>
              <w:left w:val="nil"/>
              <w:bottom w:val="single" w:sz="4" w:space="0" w:color="auto"/>
              <w:right w:val="nil"/>
            </w:tcBorders>
            <w:shd w:val="clear" w:color="auto" w:fill="auto"/>
          </w:tcPr>
          <w:p w14:paraId="6C9CE093"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668" w:type="dxa"/>
            <w:tcBorders>
              <w:top w:val="nil"/>
              <w:left w:val="nil"/>
              <w:bottom w:val="single" w:sz="4" w:space="0" w:color="auto"/>
              <w:right w:val="single" w:sz="4" w:space="0" w:color="auto"/>
            </w:tcBorders>
            <w:shd w:val="clear" w:color="auto" w:fill="auto"/>
            <w:noWrap/>
          </w:tcPr>
          <w:p w14:paraId="596045D0"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304" w:type="dxa"/>
            <w:tcBorders>
              <w:top w:val="nil"/>
              <w:left w:val="nil"/>
              <w:bottom w:val="single" w:sz="4" w:space="0" w:color="auto"/>
              <w:right w:val="nil"/>
            </w:tcBorders>
            <w:shd w:val="clear" w:color="auto" w:fill="auto"/>
          </w:tcPr>
          <w:p w14:paraId="5D63114E" w14:textId="77777777" w:rsidR="00403B07" w:rsidRDefault="00403B07" w:rsidP="00B01272">
            <w:r w:rsidRPr="00DB0271">
              <w:rPr>
                <w:rFonts w:ascii="Marlett" w:hAnsi="Marlett"/>
              </w:rPr>
              <w:t></w:t>
            </w:r>
          </w:p>
        </w:tc>
        <w:tc>
          <w:tcPr>
            <w:tcW w:w="688" w:type="dxa"/>
            <w:tcBorders>
              <w:top w:val="nil"/>
              <w:left w:val="nil"/>
              <w:bottom w:val="single" w:sz="4" w:space="0" w:color="auto"/>
              <w:right w:val="single" w:sz="4" w:space="0" w:color="auto"/>
            </w:tcBorders>
            <w:shd w:val="clear" w:color="auto" w:fill="auto"/>
            <w:noWrap/>
          </w:tcPr>
          <w:p w14:paraId="3C9BC7E2" w14:textId="77777777" w:rsidR="00403B07" w:rsidRDefault="00403B07" w:rsidP="00B01272">
            <w:r w:rsidRPr="00DB0271">
              <w:rPr>
                <w:rFonts w:ascii="Marlett" w:hAnsi="Marlett"/>
              </w:rPr>
              <w:t></w:t>
            </w:r>
          </w:p>
        </w:tc>
        <w:tc>
          <w:tcPr>
            <w:tcW w:w="289" w:type="dxa"/>
            <w:tcBorders>
              <w:top w:val="nil"/>
              <w:left w:val="nil"/>
              <w:bottom w:val="single" w:sz="4" w:space="0" w:color="auto"/>
              <w:right w:val="nil"/>
            </w:tcBorders>
            <w:shd w:val="clear" w:color="auto" w:fill="auto"/>
          </w:tcPr>
          <w:p w14:paraId="3F500E2E" w14:textId="77777777" w:rsidR="00403B07" w:rsidRDefault="00403B07" w:rsidP="00B01272">
            <w:r w:rsidRPr="00DB0271">
              <w:rPr>
                <w:rFonts w:ascii="Marlett" w:hAnsi="Marlett"/>
              </w:rPr>
              <w:t></w:t>
            </w:r>
          </w:p>
        </w:tc>
        <w:tc>
          <w:tcPr>
            <w:tcW w:w="703" w:type="dxa"/>
            <w:tcBorders>
              <w:top w:val="nil"/>
              <w:left w:val="nil"/>
              <w:bottom w:val="single" w:sz="4" w:space="0" w:color="auto"/>
              <w:right w:val="single" w:sz="4" w:space="0" w:color="auto"/>
            </w:tcBorders>
            <w:shd w:val="clear" w:color="auto" w:fill="auto"/>
            <w:noWrap/>
          </w:tcPr>
          <w:p w14:paraId="7D3CD5D2" w14:textId="77777777" w:rsidR="00403B07" w:rsidRDefault="00403B07" w:rsidP="00B01272">
            <w:r w:rsidRPr="00DB0271">
              <w:rPr>
                <w:rFonts w:ascii="Marlett" w:hAnsi="Marlett"/>
              </w:rPr>
              <w:t></w:t>
            </w:r>
          </w:p>
        </w:tc>
        <w:tc>
          <w:tcPr>
            <w:tcW w:w="546" w:type="dxa"/>
            <w:tcBorders>
              <w:top w:val="nil"/>
              <w:left w:val="nil"/>
              <w:bottom w:val="single" w:sz="4" w:space="0" w:color="auto"/>
              <w:right w:val="nil"/>
            </w:tcBorders>
            <w:shd w:val="clear" w:color="auto" w:fill="auto"/>
          </w:tcPr>
          <w:p w14:paraId="21E3D4B3"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565" w:type="dxa"/>
            <w:tcBorders>
              <w:top w:val="nil"/>
              <w:left w:val="nil"/>
              <w:bottom w:val="single" w:sz="4" w:space="0" w:color="auto"/>
              <w:right w:val="single" w:sz="4" w:space="0" w:color="auto"/>
            </w:tcBorders>
            <w:shd w:val="clear" w:color="auto" w:fill="auto"/>
            <w:noWrap/>
          </w:tcPr>
          <w:p w14:paraId="3C6390CC"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32" w:type="dxa"/>
            <w:tcBorders>
              <w:top w:val="nil"/>
              <w:left w:val="nil"/>
              <w:bottom w:val="single" w:sz="4" w:space="0" w:color="auto"/>
              <w:right w:val="nil"/>
            </w:tcBorders>
            <w:shd w:val="clear" w:color="auto" w:fill="auto"/>
          </w:tcPr>
          <w:p w14:paraId="52B6BDAC" w14:textId="77777777" w:rsidR="00403B07" w:rsidRDefault="00403B07" w:rsidP="00B01272">
            <w:r w:rsidRPr="00222DCE">
              <w:rPr>
                <w:rFonts w:ascii="Marlett" w:hAnsi="Marlett"/>
              </w:rPr>
              <w:t></w:t>
            </w:r>
          </w:p>
        </w:tc>
        <w:tc>
          <w:tcPr>
            <w:tcW w:w="418" w:type="dxa"/>
            <w:tcBorders>
              <w:top w:val="nil"/>
              <w:left w:val="nil"/>
              <w:bottom w:val="single" w:sz="4" w:space="0" w:color="auto"/>
              <w:right w:val="single" w:sz="4" w:space="0" w:color="auto"/>
            </w:tcBorders>
            <w:shd w:val="clear" w:color="auto" w:fill="auto"/>
            <w:noWrap/>
          </w:tcPr>
          <w:p w14:paraId="479747F9" w14:textId="77777777" w:rsidR="00403B07" w:rsidRDefault="00403B07" w:rsidP="00B01272">
            <w:r w:rsidRPr="00222DCE">
              <w:rPr>
                <w:rFonts w:ascii="Marlett" w:hAnsi="Marlett"/>
              </w:rPr>
              <w:t></w:t>
            </w:r>
          </w:p>
        </w:tc>
        <w:tc>
          <w:tcPr>
            <w:tcW w:w="562" w:type="dxa"/>
            <w:tcBorders>
              <w:top w:val="nil"/>
              <w:left w:val="nil"/>
              <w:bottom w:val="single" w:sz="4" w:space="0" w:color="auto"/>
              <w:right w:val="nil"/>
            </w:tcBorders>
            <w:shd w:val="clear" w:color="auto" w:fill="auto"/>
          </w:tcPr>
          <w:p w14:paraId="11B10928" w14:textId="77777777" w:rsidR="00403B07" w:rsidRDefault="00403B07" w:rsidP="00B01272">
            <w:r w:rsidRPr="00222DCE">
              <w:rPr>
                <w:rFonts w:ascii="Marlett" w:hAnsi="Marlett"/>
              </w:rPr>
              <w:t></w:t>
            </w:r>
          </w:p>
        </w:tc>
        <w:tc>
          <w:tcPr>
            <w:tcW w:w="488" w:type="dxa"/>
            <w:tcBorders>
              <w:top w:val="nil"/>
              <w:left w:val="nil"/>
              <w:bottom w:val="single" w:sz="4" w:space="0" w:color="auto"/>
              <w:right w:val="single" w:sz="4" w:space="0" w:color="auto"/>
            </w:tcBorders>
            <w:shd w:val="clear" w:color="auto" w:fill="auto"/>
            <w:noWrap/>
          </w:tcPr>
          <w:p w14:paraId="4FB8F402" w14:textId="77777777" w:rsidR="00403B07" w:rsidRDefault="00403B07" w:rsidP="00B01272">
            <w:r w:rsidRPr="00222DCE">
              <w:rPr>
                <w:rFonts w:ascii="Marlett" w:hAnsi="Marlett"/>
              </w:rPr>
              <w:t></w:t>
            </w:r>
          </w:p>
        </w:tc>
        <w:tc>
          <w:tcPr>
            <w:tcW w:w="488" w:type="dxa"/>
            <w:tcBorders>
              <w:top w:val="nil"/>
              <w:left w:val="nil"/>
              <w:bottom w:val="single" w:sz="4" w:space="0" w:color="auto"/>
              <w:right w:val="nil"/>
            </w:tcBorders>
            <w:shd w:val="clear" w:color="auto" w:fill="auto"/>
          </w:tcPr>
          <w:p w14:paraId="0575DE93"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auto"/>
            <w:noWrap/>
          </w:tcPr>
          <w:p w14:paraId="15E86BD2"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9" w:type="dxa"/>
            <w:tcBorders>
              <w:top w:val="nil"/>
              <w:left w:val="nil"/>
              <w:bottom w:val="single" w:sz="4" w:space="0" w:color="auto"/>
              <w:right w:val="nil"/>
            </w:tcBorders>
            <w:shd w:val="clear" w:color="auto" w:fill="auto"/>
          </w:tcPr>
          <w:p w14:paraId="107D1688"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auto"/>
            <w:noWrap/>
          </w:tcPr>
          <w:p w14:paraId="29D61E93"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nil"/>
            </w:tcBorders>
            <w:shd w:val="clear" w:color="auto" w:fill="auto"/>
          </w:tcPr>
          <w:p w14:paraId="165FA59A"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auto"/>
            <w:noWrap/>
          </w:tcPr>
          <w:p w14:paraId="6E60C143"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nil"/>
            </w:tcBorders>
            <w:shd w:val="clear" w:color="auto" w:fill="auto"/>
          </w:tcPr>
          <w:p w14:paraId="10E309A6"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auto"/>
            <w:noWrap/>
          </w:tcPr>
          <w:p w14:paraId="70F5E4C4"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nil"/>
            </w:tcBorders>
            <w:shd w:val="clear" w:color="auto" w:fill="auto"/>
          </w:tcPr>
          <w:p w14:paraId="24562DA3"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tcPr>
          <w:p w14:paraId="19219890"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2178" w:type="dxa"/>
            <w:tcBorders>
              <w:top w:val="nil"/>
              <w:left w:val="nil"/>
              <w:bottom w:val="single" w:sz="4" w:space="0" w:color="auto"/>
              <w:right w:val="single" w:sz="4" w:space="0" w:color="auto"/>
            </w:tcBorders>
            <w:shd w:val="clear" w:color="auto" w:fill="auto"/>
          </w:tcPr>
          <w:p w14:paraId="38E697B1" w14:textId="77777777" w:rsidR="00403B07" w:rsidRPr="00171BEB" w:rsidRDefault="00403B07" w:rsidP="00B01272">
            <w:pPr>
              <w:spacing w:after="0" w:line="240" w:lineRule="auto"/>
              <w:rPr>
                <w:rFonts w:ascii="Calibri" w:eastAsia="Times New Roman" w:hAnsi="Calibri" w:cs="Times New Roman"/>
                <w:color w:val="000000"/>
                <w:sz w:val="16"/>
                <w:szCs w:val="16"/>
              </w:rPr>
            </w:pPr>
            <w:r w:rsidRPr="00171BEB">
              <w:rPr>
                <w:rFonts w:ascii="Calibri" w:eastAsia="Times New Roman" w:hAnsi="Calibri" w:cs="Times New Roman"/>
                <w:color w:val="000000"/>
                <w:sz w:val="16"/>
                <w:szCs w:val="16"/>
              </w:rPr>
              <w:t>Healthy Schools Plus</w:t>
            </w:r>
          </w:p>
        </w:tc>
      </w:tr>
      <w:tr w:rsidR="00403B07" w:rsidRPr="00171BEB" w14:paraId="5A60FF67" w14:textId="77777777" w:rsidTr="00B01272">
        <w:trPr>
          <w:gridAfter w:val="1"/>
          <w:wAfter w:w="12" w:type="dxa"/>
          <w:trHeight w:val="227"/>
        </w:trPr>
        <w:tc>
          <w:tcPr>
            <w:tcW w:w="462" w:type="dxa"/>
            <w:tcBorders>
              <w:top w:val="single" w:sz="4" w:space="0" w:color="auto"/>
              <w:left w:val="single" w:sz="4" w:space="0" w:color="auto"/>
              <w:bottom w:val="single" w:sz="4" w:space="0" w:color="auto"/>
              <w:right w:val="nil"/>
            </w:tcBorders>
            <w:shd w:val="clear" w:color="auto" w:fill="FABF8F" w:themeFill="accent6" w:themeFillTint="99"/>
          </w:tcPr>
          <w:p w14:paraId="629AF798" w14:textId="77777777" w:rsidR="00403B07" w:rsidRPr="000E3600" w:rsidRDefault="00403B07" w:rsidP="00B01272">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20</w:t>
            </w:r>
          </w:p>
        </w:tc>
        <w:tc>
          <w:tcPr>
            <w:tcW w:w="483" w:type="dxa"/>
            <w:tcBorders>
              <w:top w:val="nil"/>
              <w:left w:val="single" w:sz="4" w:space="0" w:color="auto"/>
              <w:bottom w:val="single" w:sz="4" w:space="0" w:color="auto"/>
              <w:right w:val="nil"/>
            </w:tcBorders>
            <w:shd w:val="clear" w:color="auto" w:fill="auto"/>
          </w:tcPr>
          <w:p w14:paraId="6E197B3A"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6" w:type="dxa"/>
            <w:tcBorders>
              <w:top w:val="nil"/>
              <w:left w:val="nil"/>
              <w:bottom w:val="single" w:sz="4" w:space="0" w:color="auto"/>
              <w:right w:val="single" w:sz="4" w:space="0" w:color="auto"/>
            </w:tcBorders>
            <w:shd w:val="clear" w:color="auto" w:fill="auto"/>
            <w:noWrap/>
          </w:tcPr>
          <w:p w14:paraId="629952C9"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7" w:type="dxa"/>
            <w:tcBorders>
              <w:top w:val="nil"/>
              <w:left w:val="nil"/>
              <w:bottom w:val="single" w:sz="4" w:space="0" w:color="auto"/>
              <w:right w:val="nil"/>
            </w:tcBorders>
            <w:shd w:val="clear" w:color="auto" w:fill="auto"/>
          </w:tcPr>
          <w:p w14:paraId="2F09C675"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668" w:type="dxa"/>
            <w:tcBorders>
              <w:top w:val="nil"/>
              <w:left w:val="nil"/>
              <w:bottom w:val="single" w:sz="4" w:space="0" w:color="auto"/>
              <w:right w:val="single" w:sz="4" w:space="0" w:color="auto"/>
            </w:tcBorders>
            <w:shd w:val="clear" w:color="auto" w:fill="auto"/>
            <w:noWrap/>
          </w:tcPr>
          <w:p w14:paraId="250F3D63"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304" w:type="dxa"/>
            <w:tcBorders>
              <w:top w:val="nil"/>
              <w:left w:val="nil"/>
              <w:bottom w:val="single" w:sz="4" w:space="0" w:color="auto"/>
              <w:right w:val="nil"/>
            </w:tcBorders>
            <w:shd w:val="clear" w:color="auto" w:fill="auto"/>
          </w:tcPr>
          <w:p w14:paraId="54B2D25C" w14:textId="77777777" w:rsidR="00403B07" w:rsidRDefault="00403B07" w:rsidP="00B01272">
            <w:r w:rsidRPr="00DB0271">
              <w:rPr>
                <w:rFonts w:ascii="Marlett" w:hAnsi="Marlett"/>
              </w:rPr>
              <w:t></w:t>
            </w:r>
          </w:p>
        </w:tc>
        <w:tc>
          <w:tcPr>
            <w:tcW w:w="688" w:type="dxa"/>
            <w:tcBorders>
              <w:top w:val="nil"/>
              <w:left w:val="nil"/>
              <w:bottom w:val="single" w:sz="4" w:space="0" w:color="auto"/>
              <w:right w:val="single" w:sz="4" w:space="0" w:color="auto"/>
            </w:tcBorders>
            <w:shd w:val="clear" w:color="auto" w:fill="auto"/>
            <w:noWrap/>
          </w:tcPr>
          <w:p w14:paraId="6B3CF3A1" w14:textId="77777777" w:rsidR="00403B07" w:rsidRDefault="00403B07" w:rsidP="00B01272">
            <w:r w:rsidRPr="00DB0271">
              <w:rPr>
                <w:rFonts w:ascii="Marlett" w:hAnsi="Marlett"/>
              </w:rPr>
              <w:t></w:t>
            </w:r>
          </w:p>
        </w:tc>
        <w:tc>
          <w:tcPr>
            <w:tcW w:w="289" w:type="dxa"/>
            <w:tcBorders>
              <w:top w:val="nil"/>
              <w:left w:val="nil"/>
              <w:bottom w:val="single" w:sz="4" w:space="0" w:color="auto"/>
              <w:right w:val="nil"/>
            </w:tcBorders>
            <w:shd w:val="clear" w:color="auto" w:fill="auto"/>
          </w:tcPr>
          <w:p w14:paraId="1C5B4A06" w14:textId="77777777" w:rsidR="00403B07" w:rsidRDefault="00403B07" w:rsidP="00B01272">
            <w:r w:rsidRPr="00DB0271">
              <w:rPr>
                <w:rFonts w:ascii="Marlett" w:hAnsi="Marlett"/>
              </w:rPr>
              <w:t></w:t>
            </w:r>
          </w:p>
        </w:tc>
        <w:tc>
          <w:tcPr>
            <w:tcW w:w="703" w:type="dxa"/>
            <w:tcBorders>
              <w:top w:val="nil"/>
              <w:left w:val="nil"/>
              <w:bottom w:val="single" w:sz="4" w:space="0" w:color="auto"/>
              <w:right w:val="single" w:sz="4" w:space="0" w:color="auto"/>
            </w:tcBorders>
            <w:shd w:val="clear" w:color="auto" w:fill="auto"/>
            <w:noWrap/>
          </w:tcPr>
          <w:p w14:paraId="75337642" w14:textId="77777777" w:rsidR="00403B07" w:rsidRDefault="00403B07" w:rsidP="00B01272">
            <w:r w:rsidRPr="00DB0271">
              <w:rPr>
                <w:rFonts w:ascii="Marlett" w:hAnsi="Marlett"/>
              </w:rPr>
              <w:t></w:t>
            </w:r>
          </w:p>
        </w:tc>
        <w:tc>
          <w:tcPr>
            <w:tcW w:w="546" w:type="dxa"/>
            <w:tcBorders>
              <w:top w:val="nil"/>
              <w:left w:val="nil"/>
              <w:bottom w:val="single" w:sz="4" w:space="0" w:color="auto"/>
              <w:right w:val="nil"/>
            </w:tcBorders>
            <w:shd w:val="clear" w:color="auto" w:fill="auto"/>
          </w:tcPr>
          <w:p w14:paraId="524CB704"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565" w:type="dxa"/>
            <w:tcBorders>
              <w:top w:val="nil"/>
              <w:left w:val="nil"/>
              <w:bottom w:val="single" w:sz="4" w:space="0" w:color="auto"/>
              <w:right w:val="single" w:sz="4" w:space="0" w:color="auto"/>
            </w:tcBorders>
            <w:shd w:val="clear" w:color="auto" w:fill="auto"/>
            <w:noWrap/>
          </w:tcPr>
          <w:p w14:paraId="6415E3CD"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32" w:type="dxa"/>
            <w:tcBorders>
              <w:top w:val="nil"/>
              <w:left w:val="nil"/>
              <w:bottom w:val="single" w:sz="4" w:space="0" w:color="auto"/>
              <w:right w:val="nil"/>
            </w:tcBorders>
            <w:shd w:val="clear" w:color="auto" w:fill="auto"/>
          </w:tcPr>
          <w:p w14:paraId="36D11706"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18" w:type="dxa"/>
            <w:tcBorders>
              <w:top w:val="nil"/>
              <w:left w:val="nil"/>
              <w:bottom w:val="single" w:sz="4" w:space="0" w:color="auto"/>
              <w:right w:val="single" w:sz="4" w:space="0" w:color="auto"/>
            </w:tcBorders>
            <w:shd w:val="clear" w:color="auto" w:fill="auto"/>
            <w:noWrap/>
          </w:tcPr>
          <w:p w14:paraId="0E6D1C12"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562" w:type="dxa"/>
            <w:tcBorders>
              <w:top w:val="nil"/>
              <w:left w:val="nil"/>
              <w:bottom w:val="single" w:sz="4" w:space="0" w:color="auto"/>
              <w:right w:val="nil"/>
            </w:tcBorders>
            <w:shd w:val="clear" w:color="auto" w:fill="auto"/>
          </w:tcPr>
          <w:p w14:paraId="0ADA9EAE" w14:textId="77777777" w:rsidR="00403B07" w:rsidRDefault="00403B07" w:rsidP="00B01272">
            <w:r w:rsidRPr="0035529C">
              <w:rPr>
                <w:rFonts w:ascii="Marlett" w:hAnsi="Marlett"/>
              </w:rPr>
              <w:t></w:t>
            </w:r>
          </w:p>
        </w:tc>
        <w:tc>
          <w:tcPr>
            <w:tcW w:w="488" w:type="dxa"/>
            <w:tcBorders>
              <w:top w:val="nil"/>
              <w:left w:val="nil"/>
              <w:bottom w:val="single" w:sz="4" w:space="0" w:color="auto"/>
              <w:right w:val="single" w:sz="4" w:space="0" w:color="auto"/>
            </w:tcBorders>
            <w:shd w:val="clear" w:color="auto" w:fill="auto"/>
            <w:noWrap/>
          </w:tcPr>
          <w:p w14:paraId="00063F46" w14:textId="77777777" w:rsidR="00403B07" w:rsidRDefault="00403B07" w:rsidP="00B01272">
            <w:r w:rsidRPr="0035529C">
              <w:rPr>
                <w:rFonts w:ascii="Marlett" w:hAnsi="Marlett"/>
              </w:rPr>
              <w:t></w:t>
            </w:r>
          </w:p>
        </w:tc>
        <w:tc>
          <w:tcPr>
            <w:tcW w:w="488" w:type="dxa"/>
            <w:tcBorders>
              <w:top w:val="nil"/>
              <w:left w:val="nil"/>
              <w:bottom w:val="single" w:sz="4" w:space="0" w:color="auto"/>
              <w:right w:val="nil"/>
            </w:tcBorders>
            <w:shd w:val="clear" w:color="auto" w:fill="auto"/>
          </w:tcPr>
          <w:p w14:paraId="0AB60D8A"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auto"/>
            <w:noWrap/>
          </w:tcPr>
          <w:p w14:paraId="053227F3"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9" w:type="dxa"/>
            <w:tcBorders>
              <w:top w:val="nil"/>
              <w:left w:val="nil"/>
              <w:bottom w:val="single" w:sz="4" w:space="0" w:color="auto"/>
              <w:right w:val="nil"/>
            </w:tcBorders>
            <w:shd w:val="clear" w:color="auto" w:fill="auto"/>
          </w:tcPr>
          <w:p w14:paraId="70335AFA"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auto"/>
            <w:noWrap/>
          </w:tcPr>
          <w:p w14:paraId="7D361E53"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nil"/>
            </w:tcBorders>
            <w:shd w:val="clear" w:color="auto" w:fill="auto"/>
          </w:tcPr>
          <w:p w14:paraId="2036475F"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auto"/>
            <w:noWrap/>
          </w:tcPr>
          <w:p w14:paraId="5D5CCCAB"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nil"/>
            </w:tcBorders>
            <w:shd w:val="clear" w:color="auto" w:fill="auto"/>
          </w:tcPr>
          <w:p w14:paraId="4C24AF10"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auto"/>
            <w:noWrap/>
          </w:tcPr>
          <w:p w14:paraId="365CC4B7"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nil"/>
            </w:tcBorders>
            <w:shd w:val="clear" w:color="auto" w:fill="auto"/>
          </w:tcPr>
          <w:p w14:paraId="1FF37A66"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tcPr>
          <w:p w14:paraId="5AAB4D55"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2178" w:type="dxa"/>
            <w:tcBorders>
              <w:top w:val="nil"/>
              <w:left w:val="nil"/>
              <w:bottom w:val="single" w:sz="4" w:space="0" w:color="auto"/>
              <w:right w:val="single" w:sz="4" w:space="0" w:color="auto"/>
            </w:tcBorders>
            <w:shd w:val="clear" w:color="auto" w:fill="auto"/>
          </w:tcPr>
          <w:p w14:paraId="78C28B25" w14:textId="77777777" w:rsidR="00403B07" w:rsidRPr="00171BEB" w:rsidRDefault="00403B07" w:rsidP="00B01272">
            <w:pPr>
              <w:spacing w:after="0" w:line="240" w:lineRule="auto"/>
              <w:rPr>
                <w:rFonts w:ascii="Calibri" w:eastAsia="Times New Roman" w:hAnsi="Calibri" w:cs="Times New Roman"/>
                <w:color w:val="000000"/>
                <w:sz w:val="16"/>
                <w:szCs w:val="16"/>
              </w:rPr>
            </w:pPr>
            <w:r w:rsidRPr="00171BEB">
              <w:rPr>
                <w:rFonts w:ascii="Calibri" w:eastAsia="Times New Roman" w:hAnsi="Calibri" w:cs="Times New Roman"/>
                <w:color w:val="000000"/>
                <w:sz w:val="16"/>
                <w:szCs w:val="16"/>
              </w:rPr>
              <w:t> </w:t>
            </w:r>
          </w:p>
        </w:tc>
      </w:tr>
      <w:tr w:rsidR="00403B07" w:rsidRPr="00171BEB" w14:paraId="018D185C" w14:textId="77777777" w:rsidTr="00B01272">
        <w:trPr>
          <w:gridAfter w:val="1"/>
          <w:wAfter w:w="12" w:type="dxa"/>
          <w:trHeight w:val="227"/>
        </w:trPr>
        <w:tc>
          <w:tcPr>
            <w:tcW w:w="462" w:type="dxa"/>
            <w:tcBorders>
              <w:top w:val="single" w:sz="4" w:space="0" w:color="auto"/>
              <w:left w:val="single" w:sz="4" w:space="0" w:color="auto"/>
              <w:bottom w:val="single" w:sz="4" w:space="0" w:color="auto"/>
              <w:right w:val="nil"/>
            </w:tcBorders>
            <w:shd w:val="clear" w:color="auto" w:fill="FABF8F" w:themeFill="accent6" w:themeFillTint="99"/>
          </w:tcPr>
          <w:p w14:paraId="56330116" w14:textId="77777777" w:rsidR="00403B07" w:rsidRPr="000E3600" w:rsidRDefault="00403B07" w:rsidP="00B01272">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21</w:t>
            </w:r>
          </w:p>
        </w:tc>
        <w:tc>
          <w:tcPr>
            <w:tcW w:w="483" w:type="dxa"/>
            <w:tcBorders>
              <w:top w:val="nil"/>
              <w:left w:val="single" w:sz="4" w:space="0" w:color="auto"/>
              <w:bottom w:val="single" w:sz="4" w:space="0" w:color="auto"/>
              <w:right w:val="nil"/>
            </w:tcBorders>
            <w:shd w:val="clear" w:color="auto" w:fill="auto"/>
          </w:tcPr>
          <w:p w14:paraId="7DBD8DB1"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6" w:type="dxa"/>
            <w:tcBorders>
              <w:top w:val="nil"/>
              <w:left w:val="nil"/>
              <w:bottom w:val="single" w:sz="4" w:space="0" w:color="auto"/>
              <w:right w:val="single" w:sz="4" w:space="0" w:color="auto"/>
            </w:tcBorders>
            <w:shd w:val="clear" w:color="auto" w:fill="auto"/>
            <w:noWrap/>
          </w:tcPr>
          <w:p w14:paraId="6BF1C44C"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7" w:type="dxa"/>
            <w:tcBorders>
              <w:top w:val="nil"/>
              <w:left w:val="nil"/>
              <w:bottom w:val="single" w:sz="4" w:space="0" w:color="auto"/>
              <w:right w:val="nil"/>
            </w:tcBorders>
            <w:shd w:val="clear" w:color="auto" w:fill="auto"/>
          </w:tcPr>
          <w:p w14:paraId="35048156"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668" w:type="dxa"/>
            <w:tcBorders>
              <w:top w:val="nil"/>
              <w:left w:val="nil"/>
              <w:bottom w:val="single" w:sz="4" w:space="0" w:color="auto"/>
              <w:right w:val="single" w:sz="4" w:space="0" w:color="auto"/>
            </w:tcBorders>
            <w:shd w:val="clear" w:color="auto" w:fill="auto"/>
            <w:noWrap/>
          </w:tcPr>
          <w:p w14:paraId="08E27F1C"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304" w:type="dxa"/>
            <w:tcBorders>
              <w:top w:val="nil"/>
              <w:left w:val="nil"/>
              <w:bottom w:val="single" w:sz="4" w:space="0" w:color="auto"/>
              <w:right w:val="nil"/>
            </w:tcBorders>
            <w:shd w:val="clear" w:color="auto" w:fill="auto"/>
          </w:tcPr>
          <w:p w14:paraId="743317DB"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688" w:type="dxa"/>
            <w:tcBorders>
              <w:top w:val="nil"/>
              <w:left w:val="nil"/>
              <w:bottom w:val="single" w:sz="4" w:space="0" w:color="auto"/>
              <w:right w:val="single" w:sz="4" w:space="0" w:color="auto"/>
            </w:tcBorders>
            <w:shd w:val="clear" w:color="auto" w:fill="auto"/>
            <w:noWrap/>
          </w:tcPr>
          <w:p w14:paraId="67271FB9"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289" w:type="dxa"/>
            <w:tcBorders>
              <w:top w:val="nil"/>
              <w:left w:val="nil"/>
              <w:bottom w:val="single" w:sz="4" w:space="0" w:color="auto"/>
              <w:right w:val="nil"/>
            </w:tcBorders>
            <w:shd w:val="clear" w:color="auto" w:fill="auto"/>
          </w:tcPr>
          <w:p w14:paraId="62F8DD16"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703" w:type="dxa"/>
            <w:tcBorders>
              <w:top w:val="nil"/>
              <w:left w:val="nil"/>
              <w:bottom w:val="single" w:sz="4" w:space="0" w:color="auto"/>
              <w:right w:val="single" w:sz="4" w:space="0" w:color="auto"/>
            </w:tcBorders>
            <w:shd w:val="clear" w:color="auto" w:fill="auto"/>
            <w:noWrap/>
          </w:tcPr>
          <w:p w14:paraId="00468FE1" w14:textId="77777777" w:rsidR="00403B07" w:rsidRPr="000E3600" w:rsidRDefault="00403B07" w:rsidP="00B01272">
            <w:pPr>
              <w:spacing w:after="0" w:line="240" w:lineRule="auto"/>
              <w:rPr>
                <w:rFonts w:ascii="Calibri" w:eastAsia="Times New Roman" w:hAnsi="Calibri" w:cs="Times New Roman"/>
                <w:color w:val="FF0000"/>
                <w:sz w:val="20"/>
                <w:szCs w:val="20"/>
              </w:rPr>
            </w:pPr>
            <w:r w:rsidRPr="00B50813">
              <w:rPr>
                <w:rFonts w:ascii="Marlett" w:hAnsi="Marlett"/>
                <w:color w:val="FF0000"/>
              </w:rPr>
              <w:t></w:t>
            </w:r>
          </w:p>
        </w:tc>
        <w:tc>
          <w:tcPr>
            <w:tcW w:w="546" w:type="dxa"/>
            <w:tcBorders>
              <w:top w:val="nil"/>
              <w:left w:val="nil"/>
              <w:bottom w:val="single" w:sz="4" w:space="0" w:color="auto"/>
              <w:right w:val="nil"/>
            </w:tcBorders>
            <w:shd w:val="clear" w:color="auto" w:fill="auto"/>
          </w:tcPr>
          <w:p w14:paraId="2E0A5A05"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565" w:type="dxa"/>
            <w:tcBorders>
              <w:top w:val="nil"/>
              <w:left w:val="nil"/>
              <w:bottom w:val="single" w:sz="4" w:space="0" w:color="auto"/>
              <w:right w:val="single" w:sz="4" w:space="0" w:color="auto"/>
            </w:tcBorders>
            <w:shd w:val="clear" w:color="auto" w:fill="auto"/>
            <w:noWrap/>
          </w:tcPr>
          <w:p w14:paraId="5E2C3CE5"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32" w:type="dxa"/>
            <w:tcBorders>
              <w:top w:val="nil"/>
              <w:left w:val="nil"/>
              <w:bottom w:val="single" w:sz="4" w:space="0" w:color="auto"/>
              <w:right w:val="nil"/>
            </w:tcBorders>
            <w:shd w:val="clear" w:color="auto" w:fill="auto"/>
          </w:tcPr>
          <w:p w14:paraId="62290591"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18" w:type="dxa"/>
            <w:tcBorders>
              <w:top w:val="nil"/>
              <w:left w:val="nil"/>
              <w:bottom w:val="single" w:sz="4" w:space="0" w:color="auto"/>
              <w:right w:val="single" w:sz="4" w:space="0" w:color="auto"/>
            </w:tcBorders>
            <w:shd w:val="clear" w:color="auto" w:fill="auto"/>
            <w:noWrap/>
          </w:tcPr>
          <w:p w14:paraId="5AC7667D"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562" w:type="dxa"/>
            <w:tcBorders>
              <w:top w:val="nil"/>
              <w:left w:val="nil"/>
              <w:bottom w:val="single" w:sz="4" w:space="0" w:color="auto"/>
              <w:right w:val="nil"/>
            </w:tcBorders>
            <w:shd w:val="clear" w:color="auto" w:fill="auto"/>
          </w:tcPr>
          <w:p w14:paraId="2EB3A8F2" w14:textId="77777777" w:rsidR="00403B07" w:rsidRDefault="00403B07" w:rsidP="00B01272">
            <w:r w:rsidRPr="00D66A13">
              <w:rPr>
                <w:rFonts w:ascii="Marlett" w:hAnsi="Marlett"/>
              </w:rPr>
              <w:t></w:t>
            </w:r>
          </w:p>
        </w:tc>
        <w:tc>
          <w:tcPr>
            <w:tcW w:w="488" w:type="dxa"/>
            <w:tcBorders>
              <w:top w:val="nil"/>
              <w:left w:val="nil"/>
              <w:bottom w:val="single" w:sz="4" w:space="0" w:color="auto"/>
              <w:right w:val="single" w:sz="4" w:space="0" w:color="auto"/>
            </w:tcBorders>
            <w:shd w:val="clear" w:color="auto" w:fill="auto"/>
            <w:noWrap/>
          </w:tcPr>
          <w:p w14:paraId="3D651618" w14:textId="77777777" w:rsidR="00403B07" w:rsidRDefault="00403B07" w:rsidP="00B01272">
            <w:r w:rsidRPr="00D66A13">
              <w:rPr>
                <w:rFonts w:ascii="Marlett" w:hAnsi="Marlett"/>
              </w:rPr>
              <w:t></w:t>
            </w:r>
          </w:p>
        </w:tc>
        <w:tc>
          <w:tcPr>
            <w:tcW w:w="488" w:type="dxa"/>
            <w:tcBorders>
              <w:top w:val="nil"/>
              <w:left w:val="nil"/>
              <w:bottom w:val="single" w:sz="4" w:space="0" w:color="auto"/>
              <w:right w:val="nil"/>
            </w:tcBorders>
            <w:shd w:val="clear" w:color="auto" w:fill="auto"/>
          </w:tcPr>
          <w:p w14:paraId="6A0D69D0"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auto"/>
            <w:noWrap/>
          </w:tcPr>
          <w:p w14:paraId="1FA13B43"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9" w:type="dxa"/>
            <w:tcBorders>
              <w:top w:val="nil"/>
              <w:left w:val="nil"/>
              <w:bottom w:val="single" w:sz="4" w:space="0" w:color="auto"/>
              <w:right w:val="nil"/>
            </w:tcBorders>
            <w:shd w:val="clear" w:color="auto" w:fill="auto"/>
          </w:tcPr>
          <w:p w14:paraId="076B45FF"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auto"/>
            <w:noWrap/>
          </w:tcPr>
          <w:p w14:paraId="3968F425"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nil"/>
            </w:tcBorders>
            <w:shd w:val="clear" w:color="auto" w:fill="auto"/>
          </w:tcPr>
          <w:p w14:paraId="0A6B053D"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auto"/>
            <w:noWrap/>
          </w:tcPr>
          <w:p w14:paraId="46B4A7D0"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nil"/>
            </w:tcBorders>
            <w:shd w:val="clear" w:color="auto" w:fill="auto"/>
          </w:tcPr>
          <w:p w14:paraId="1B96A850"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auto"/>
            <w:noWrap/>
          </w:tcPr>
          <w:p w14:paraId="7DC3BF0E"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nil"/>
            </w:tcBorders>
            <w:shd w:val="clear" w:color="auto" w:fill="auto"/>
          </w:tcPr>
          <w:p w14:paraId="59856C8D"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tcPr>
          <w:p w14:paraId="6EA24FC9"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2178" w:type="dxa"/>
            <w:tcBorders>
              <w:top w:val="nil"/>
              <w:left w:val="nil"/>
              <w:bottom w:val="single" w:sz="4" w:space="0" w:color="auto"/>
              <w:right w:val="single" w:sz="4" w:space="0" w:color="auto"/>
            </w:tcBorders>
            <w:shd w:val="clear" w:color="auto" w:fill="auto"/>
          </w:tcPr>
          <w:p w14:paraId="63DBC7CE" w14:textId="77777777" w:rsidR="00403B07" w:rsidRPr="00171BEB" w:rsidRDefault="00403B07" w:rsidP="00B01272">
            <w:pPr>
              <w:spacing w:after="0" w:line="240" w:lineRule="auto"/>
              <w:rPr>
                <w:rFonts w:ascii="Calibri" w:eastAsia="Times New Roman" w:hAnsi="Calibri" w:cs="Times New Roman"/>
                <w:color w:val="000000"/>
                <w:sz w:val="16"/>
                <w:szCs w:val="16"/>
              </w:rPr>
            </w:pPr>
            <w:r w:rsidRPr="00171BEB">
              <w:rPr>
                <w:rFonts w:ascii="Calibri" w:eastAsia="Times New Roman" w:hAnsi="Calibri" w:cs="Times New Roman"/>
                <w:color w:val="000000"/>
                <w:sz w:val="16"/>
                <w:szCs w:val="16"/>
              </w:rPr>
              <w:t>Healthy School Award. Starting HCQM Bronze</w:t>
            </w:r>
          </w:p>
        </w:tc>
      </w:tr>
      <w:tr w:rsidR="00403B07" w:rsidRPr="00171BEB" w14:paraId="0026E9E1" w14:textId="77777777" w:rsidTr="00B01272">
        <w:trPr>
          <w:gridAfter w:val="1"/>
          <w:wAfter w:w="12" w:type="dxa"/>
          <w:trHeight w:val="227"/>
        </w:trPr>
        <w:tc>
          <w:tcPr>
            <w:tcW w:w="462" w:type="dxa"/>
            <w:tcBorders>
              <w:top w:val="single" w:sz="4" w:space="0" w:color="auto"/>
              <w:left w:val="single" w:sz="4" w:space="0" w:color="auto"/>
              <w:bottom w:val="single" w:sz="4" w:space="0" w:color="auto"/>
              <w:right w:val="nil"/>
            </w:tcBorders>
            <w:shd w:val="clear" w:color="auto" w:fill="FABF8F" w:themeFill="accent6" w:themeFillTint="99"/>
          </w:tcPr>
          <w:p w14:paraId="1CEC31D4" w14:textId="77777777" w:rsidR="00403B07" w:rsidRPr="000E3600" w:rsidRDefault="00403B07" w:rsidP="00B01272">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22</w:t>
            </w:r>
          </w:p>
        </w:tc>
        <w:tc>
          <w:tcPr>
            <w:tcW w:w="483" w:type="dxa"/>
            <w:tcBorders>
              <w:top w:val="nil"/>
              <w:left w:val="single" w:sz="4" w:space="0" w:color="auto"/>
              <w:bottom w:val="single" w:sz="4" w:space="0" w:color="auto"/>
              <w:right w:val="nil"/>
            </w:tcBorders>
            <w:shd w:val="clear" w:color="auto" w:fill="auto"/>
          </w:tcPr>
          <w:p w14:paraId="2C405288" w14:textId="77777777" w:rsidR="00403B07" w:rsidRDefault="00403B07" w:rsidP="00B01272">
            <w:r w:rsidRPr="00222907">
              <w:rPr>
                <w:rFonts w:ascii="Marlett" w:hAnsi="Marlett"/>
              </w:rPr>
              <w:t></w:t>
            </w:r>
          </w:p>
        </w:tc>
        <w:tc>
          <w:tcPr>
            <w:tcW w:w="486" w:type="dxa"/>
            <w:tcBorders>
              <w:top w:val="nil"/>
              <w:left w:val="nil"/>
              <w:bottom w:val="single" w:sz="4" w:space="0" w:color="auto"/>
              <w:right w:val="single" w:sz="4" w:space="0" w:color="auto"/>
            </w:tcBorders>
            <w:shd w:val="clear" w:color="auto" w:fill="auto"/>
            <w:noWrap/>
          </w:tcPr>
          <w:p w14:paraId="3AAAF972" w14:textId="77777777" w:rsidR="00403B07" w:rsidRDefault="00403B07" w:rsidP="00B01272">
            <w:r w:rsidRPr="00222907">
              <w:rPr>
                <w:rFonts w:ascii="Marlett" w:hAnsi="Marlett"/>
              </w:rPr>
              <w:t></w:t>
            </w:r>
          </w:p>
        </w:tc>
        <w:tc>
          <w:tcPr>
            <w:tcW w:w="487" w:type="dxa"/>
            <w:tcBorders>
              <w:top w:val="nil"/>
              <w:left w:val="nil"/>
              <w:bottom w:val="single" w:sz="4" w:space="0" w:color="auto"/>
              <w:right w:val="nil"/>
            </w:tcBorders>
            <w:shd w:val="clear" w:color="auto" w:fill="auto"/>
          </w:tcPr>
          <w:p w14:paraId="4C3057ED"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668" w:type="dxa"/>
            <w:tcBorders>
              <w:top w:val="nil"/>
              <w:left w:val="nil"/>
              <w:bottom w:val="single" w:sz="4" w:space="0" w:color="auto"/>
              <w:right w:val="single" w:sz="4" w:space="0" w:color="auto"/>
            </w:tcBorders>
            <w:shd w:val="clear" w:color="auto" w:fill="auto"/>
            <w:noWrap/>
          </w:tcPr>
          <w:p w14:paraId="75AA0898"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304" w:type="dxa"/>
            <w:tcBorders>
              <w:top w:val="nil"/>
              <w:left w:val="nil"/>
              <w:bottom w:val="single" w:sz="4" w:space="0" w:color="auto"/>
              <w:right w:val="nil"/>
            </w:tcBorders>
            <w:shd w:val="clear" w:color="auto" w:fill="auto"/>
          </w:tcPr>
          <w:p w14:paraId="1718A5D5" w14:textId="77777777" w:rsidR="00403B07" w:rsidRDefault="00403B07" w:rsidP="00B01272">
            <w:r w:rsidRPr="00D3320D">
              <w:rPr>
                <w:rFonts w:ascii="Marlett" w:hAnsi="Marlett"/>
              </w:rPr>
              <w:t></w:t>
            </w:r>
          </w:p>
        </w:tc>
        <w:tc>
          <w:tcPr>
            <w:tcW w:w="688" w:type="dxa"/>
            <w:tcBorders>
              <w:top w:val="nil"/>
              <w:left w:val="nil"/>
              <w:bottom w:val="single" w:sz="4" w:space="0" w:color="auto"/>
              <w:right w:val="single" w:sz="4" w:space="0" w:color="auto"/>
            </w:tcBorders>
            <w:shd w:val="clear" w:color="auto" w:fill="auto"/>
            <w:noWrap/>
          </w:tcPr>
          <w:p w14:paraId="279EA489" w14:textId="77777777" w:rsidR="00403B07" w:rsidRDefault="00403B07" w:rsidP="00B01272">
            <w:r w:rsidRPr="00D3320D">
              <w:rPr>
                <w:rFonts w:ascii="Marlett" w:hAnsi="Marlett"/>
              </w:rPr>
              <w:t></w:t>
            </w:r>
          </w:p>
        </w:tc>
        <w:tc>
          <w:tcPr>
            <w:tcW w:w="289" w:type="dxa"/>
            <w:tcBorders>
              <w:top w:val="nil"/>
              <w:left w:val="nil"/>
              <w:bottom w:val="single" w:sz="4" w:space="0" w:color="auto"/>
              <w:right w:val="nil"/>
            </w:tcBorders>
            <w:shd w:val="clear" w:color="auto" w:fill="auto"/>
          </w:tcPr>
          <w:p w14:paraId="0C1AF28A"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703" w:type="dxa"/>
            <w:tcBorders>
              <w:top w:val="nil"/>
              <w:left w:val="nil"/>
              <w:bottom w:val="single" w:sz="4" w:space="0" w:color="auto"/>
              <w:right w:val="single" w:sz="4" w:space="0" w:color="auto"/>
            </w:tcBorders>
            <w:shd w:val="clear" w:color="auto" w:fill="auto"/>
            <w:noWrap/>
          </w:tcPr>
          <w:p w14:paraId="00D758A6"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546" w:type="dxa"/>
            <w:tcBorders>
              <w:top w:val="nil"/>
              <w:left w:val="nil"/>
              <w:bottom w:val="single" w:sz="4" w:space="0" w:color="auto"/>
              <w:right w:val="nil"/>
            </w:tcBorders>
            <w:shd w:val="clear" w:color="auto" w:fill="auto"/>
          </w:tcPr>
          <w:p w14:paraId="60709AD7"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565" w:type="dxa"/>
            <w:tcBorders>
              <w:top w:val="nil"/>
              <w:left w:val="nil"/>
              <w:bottom w:val="single" w:sz="4" w:space="0" w:color="auto"/>
              <w:right w:val="single" w:sz="4" w:space="0" w:color="auto"/>
            </w:tcBorders>
            <w:shd w:val="clear" w:color="auto" w:fill="auto"/>
            <w:noWrap/>
          </w:tcPr>
          <w:p w14:paraId="5AF10F55" w14:textId="77777777" w:rsidR="00403B07" w:rsidRPr="000E3600" w:rsidRDefault="00403B07" w:rsidP="00B01272">
            <w:pPr>
              <w:spacing w:after="0" w:line="240" w:lineRule="auto"/>
              <w:rPr>
                <w:rFonts w:ascii="Calibri" w:eastAsia="Times New Roman" w:hAnsi="Calibri" w:cs="Times New Roman"/>
                <w:color w:val="FF0000"/>
                <w:sz w:val="20"/>
                <w:szCs w:val="20"/>
              </w:rPr>
            </w:pPr>
            <w:r w:rsidRPr="00B50813">
              <w:rPr>
                <w:rFonts w:ascii="Marlett" w:hAnsi="Marlett"/>
                <w:color w:val="FF0000"/>
              </w:rPr>
              <w:t></w:t>
            </w:r>
          </w:p>
        </w:tc>
        <w:tc>
          <w:tcPr>
            <w:tcW w:w="432" w:type="dxa"/>
            <w:tcBorders>
              <w:top w:val="nil"/>
              <w:left w:val="nil"/>
              <w:bottom w:val="single" w:sz="4" w:space="0" w:color="auto"/>
              <w:right w:val="nil"/>
            </w:tcBorders>
            <w:shd w:val="clear" w:color="auto" w:fill="auto"/>
          </w:tcPr>
          <w:p w14:paraId="6CE62464"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18" w:type="dxa"/>
            <w:tcBorders>
              <w:top w:val="nil"/>
              <w:left w:val="nil"/>
              <w:bottom w:val="single" w:sz="4" w:space="0" w:color="auto"/>
              <w:right w:val="single" w:sz="4" w:space="0" w:color="auto"/>
            </w:tcBorders>
            <w:shd w:val="clear" w:color="auto" w:fill="auto"/>
            <w:noWrap/>
          </w:tcPr>
          <w:p w14:paraId="540EFB7A"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562" w:type="dxa"/>
            <w:tcBorders>
              <w:top w:val="nil"/>
              <w:left w:val="nil"/>
              <w:bottom w:val="single" w:sz="4" w:space="0" w:color="auto"/>
              <w:right w:val="nil"/>
            </w:tcBorders>
            <w:shd w:val="clear" w:color="auto" w:fill="auto"/>
          </w:tcPr>
          <w:p w14:paraId="5DD24791" w14:textId="77777777" w:rsidR="00403B07" w:rsidRDefault="00403B07" w:rsidP="00B01272">
            <w:r w:rsidRPr="00D66A13">
              <w:rPr>
                <w:rFonts w:ascii="Marlett" w:hAnsi="Marlett"/>
              </w:rPr>
              <w:t></w:t>
            </w:r>
          </w:p>
        </w:tc>
        <w:tc>
          <w:tcPr>
            <w:tcW w:w="488" w:type="dxa"/>
            <w:tcBorders>
              <w:top w:val="nil"/>
              <w:left w:val="nil"/>
              <w:bottom w:val="single" w:sz="4" w:space="0" w:color="auto"/>
              <w:right w:val="single" w:sz="4" w:space="0" w:color="auto"/>
            </w:tcBorders>
            <w:shd w:val="clear" w:color="auto" w:fill="auto"/>
            <w:noWrap/>
          </w:tcPr>
          <w:p w14:paraId="6710741E" w14:textId="77777777" w:rsidR="00403B07" w:rsidRDefault="00403B07" w:rsidP="00B01272">
            <w:r w:rsidRPr="00D66A13">
              <w:rPr>
                <w:rFonts w:ascii="Marlett" w:hAnsi="Marlett"/>
              </w:rPr>
              <w:t></w:t>
            </w:r>
          </w:p>
        </w:tc>
        <w:tc>
          <w:tcPr>
            <w:tcW w:w="488" w:type="dxa"/>
            <w:tcBorders>
              <w:top w:val="nil"/>
              <w:left w:val="nil"/>
              <w:bottom w:val="single" w:sz="4" w:space="0" w:color="auto"/>
              <w:right w:val="nil"/>
            </w:tcBorders>
            <w:shd w:val="clear" w:color="auto" w:fill="auto"/>
          </w:tcPr>
          <w:p w14:paraId="7D43990F"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auto"/>
            <w:noWrap/>
          </w:tcPr>
          <w:p w14:paraId="2553BF73"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9" w:type="dxa"/>
            <w:tcBorders>
              <w:top w:val="nil"/>
              <w:left w:val="nil"/>
              <w:bottom w:val="single" w:sz="4" w:space="0" w:color="auto"/>
              <w:right w:val="nil"/>
            </w:tcBorders>
            <w:shd w:val="clear" w:color="auto" w:fill="auto"/>
          </w:tcPr>
          <w:p w14:paraId="18E460F1" w14:textId="77777777" w:rsidR="00403B07" w:rsidRDefault="00403B07" w:rsidP="00B01272">
            <w:r w:rsidRPr="00C77486">
              <w:rPr>
                <w:rFonts w:ascii="Marlett" w:hAnsi="Marlett"/>
              </w:rPr>
              <w:t></w:t>
            </w:r>
          </w:p>
        </w:tc>
        <w:tc>
          <w:tcPr>
            <w:tcW w:w="488" w:type="dxa"/>
            <w:tcBorders>
              <w:top w:val="nil"/>
              <w:left w:val="nil"/>
              <w:bottom w:val="single" w:sz="4" w:space="0" w:color="auto"/>
              <w:right w:val="single" w:sz="4" w:space="0" w:color="auto"/>
            </w:tcBorders>
            <w:shd w:val="clear" w:color="auto" w:fill="auto"/>
            <w:noWrap/>
          </w:tcPr>
          <w:p w14:paraId="0C67BFF1" w14:textId="77777777" w:rsidR="00403B07" w:rsidRDefault="00403B07" w:rsidP="00B01272">
            <w:r w:rsidRPr="00C77486">
              <w:rPr>
                <w:rFonts w:ascii="Marlett" w:hAnsi="Marlett"/>
              </w:rPr>
              <w:t></w:t>
            </w:r>
          </w:p>
        </w:tc>
        <w:tc>
          <w:tcPr>
            <w:tcW w:w="488" w:type="dxa"/>
            <w:tcBorders>
              <w:top w:val="nil"/>
              <w:left w:val="nil"/>
              <w:bottom w:val="single" w:sz="4" w:space="0" w:color="auto"/>
              <w:right w:val="nil"/>
            </w:tcBorders>
            <w:shd w:val="clear" w:color="auto" w:fill="auto"/>
          </w:tcPr>
          <w:p w14:paraId="033B317C"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auto"/>
            <w:noWrap/>
          </w:tcPr>
          <w:p w14:paraId="10E6069D" w14:textId="77777777" w:rsidR="00403B07" w:rsidRPr="00B50813" w:rsidRDefault="00403B07" w:rsidP="00B01272">
            <w:pPr>
              <w:spacing w:after="0" w:line="240" w:lineRule="auto"/>
              <w:rPr>
                <w:rFonts w:ascii="Calibri" w:eastAsia="Times New Roman" w:hAnsi="Calibri" w:cs="Times New Roman"/>
                <w:color w:val="FF0000"/>
                <w:sz w:val="20"/>
                <w:szCs w:val="20"/>
              </w:rPr>
            </w:pPr>
            <w:r w:rsidRPr="00B50813">
              <w:rPr>
                <w:rFonts w:ascii="Marlett" w:hAnsi="Marlett"/>
                <w:color w:val="FF0000"/>
              </w:rPr>
              <w:t></w:t>
            </w:r>
          </w:p>
        </w:tc>
        <w:tc>
          <w:tcPr>
            <w:tcW w:w="488" w:type="dxa"/>
            <w:tcBorders>
              <w:top w:val="nil"/>
              <w:left w:val="nil"/>
              <w:bottom w:val="single" w:sz="4" w:space="0" w:color="auto"/>
              <w:right w:val="nil"/>
            </w:tcBorders>
            <w:shd w:val="clear" w:color="auto" w:fill="auto"/>
          </w:tcPr>
          <w:p w14:paraId="63988116"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auto"/>
            <w:noWrap/>
          </w:tcPr>
          <w:p w14:paraId="6C9D27D8"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nil"/>
            </w:tcBorders>
            <w:shd w:val="clear" w:color="auto" w:fill="auto"/>
          </w:tcPr>
          <w:p w14:paraId="640E7729"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tcPr>
          <w:p w14:paraId="19FE5D1A"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2178" w:type="dxa"/>
            <w:tcBorders>
              <w:top w:val="nil"/>
              <w:left w:val="nil"/>
              <w:bottom w:val="single" w:sz="4" w:space="0" w:color="auto"/>
              <w:right w:val="single" w:sz="4" w:space="0" w:color="auto"/>
            </w:tcBorders>
            <w:shd w:val="clear" w:color="auto" w:fill="auto"/>
          </w:tcPr>
          <w:p w14:paraId="4E4675ED" w14:textId="77777777" w:rsidR="00403B07" w:rsidRPr="00171BEB" w:rsidRDefault="00403B07" w:rsidP="00B01272">
            <w:pPr>
              <w:spacing w:after="0" w:line="240" w:lineRule="auto"/>
              <w:rPr>
                <w:rFonts w:ascii="Calibri" w:eastAsia="Times New Roman" w:hAnsi="Calibri" w:cs="Times New Roman"/>
                <w:color w:val="000000"/>
                <w:sz w:val="16"/>
                <w:szCs w:val="16"/>
              </w:rPr>
            </w:pPr>
            <w:r w:rsidRPr="00171BEB">
              <w:rPr>
                <w:rFonts w:ascii="Calibri" w:eastAsia="Times New Roman" w:hAnsi="Calibri" w:cs="Times New Roman"/>
                <w:color w:val="000000"/>
                <w:sz w:val="16"/>
                <w:szCs w:val="16"/>
              </w:rPr>
              <w:t xml:space="preserve">Healthy Schools plus starting HCQM Bronze </w:t>
            </w:r>
          </w:p>
        </w:tc>
      </w:tr>
      <w:tr w:rsidR="00403B07" w:rsidRPr="00171BEB" w14:paraId="77C3D47E" w14:textId="77777777" w:rsidTr="00B01272">
        <w:trPr>
          <w:gridAfter w:val="1"/>
          <w:wAfter w:w="12" w:type="dxa"/>
          <w:trHeight w:val="227"/>
        </w:trPr>
        <w:tc>
          <w:tcPr>
            <w:tcW w:w="462" w:type="dxa"/>
            <w:tcBorders>
              <w:top w:val="single" w:sz="4" w:space="0" w:color="auto"/>
              <w:left w:val="single" w:sz="4" w:space="0" w:color="auto"/>
              <w:bottom w:val="single" w:sz="4" w:space="0" w:color="auto"/>
              <w:right w:val="nil"/>
            </w:tcBorders>
            <w:shd w:val="clear" w:color="auto" w:fill="FABF8F" w:themeFill="accent6" w:themeFillTint="99"/>
          </w:tcPr>
          <w:p w14:paraId="6FE71BFA" w14:textId="77777777" w:rsidR="00403B07" w:rsidRPr="000E3600" w:rsidRDefault="00403B07" w:rsidP="00B01272">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23</w:t>
            </w:r>
          </w:p>
        </w:tc>
        <w:tc>
          <w:tcPr>
            <w:tcW w:w="483" w:type="dxa"/>
            <w:tcBorders>
              <w:top w:val="nil"/>
              <w:left w:val="single" w:sz="4" w:space="0" w:color="auto"/>
              <w:bottom w:val="single" w:sz="4" w:space="0" w:color="auto"/>
              <w:right w:val="nil"/>
            </w:tcBorders>
            <w:shd w:val="clear" w:color="auto" w:fill="auto"/>
          </w:tcPr>
          <w:p w14:paraId="10292B5A"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6" w:type="dxa"/>
            <w:tcBorders>
              <w:top w:val="nil"/>
              <w:left w:val="nil"/>
              <w:bottom w:val="single" w:sz="4" w:space="0" w:color="auto"/>
              <w:right w:val="single" w:sz="4" w:space="0" w:color="auto"/>
            </w:tcBorders>
            <w:shd w:val="clear" w:color="auto" w:fill="auto"/>
            <w:noWrap/>
          </w:tcPr>
          <w:p w14:paraId="1670E25B"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7" w:type="dxa"/>
            <w:tcBorders>
              <w:top w:val="nil"/>
              <w:left w:val="nil"/>
              <w:bottom w:val="single" w:sz="4" w:space="0" w:color="auto"/>
              <w:right w:val="nil"/>
            </w:tcBorders>
            <w:shd w:val="clear" w:color="auto" w:fill="auto"/>
          </w:tcPr>
          <w:p w14:paraId="03A87B8E"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668" w:type="dxa"/>
            <w:tcBorders>
              <w:top w:val="nil"/>
              <w:left w:val="nil"/>
              <w:bottom w:val="single" w:sz="4" w:space="0" w:color="auto"/>
              <w:right w:val="single" w:sz="4" w:space="0" w:color="auto"/>
            </w:tcBorders>
            <w:shd w:val="clear" w:color="auto" w:fill="auto"/>
            <w:noWrap/>
          </w:tcPr>
          <w:p w14:paraId="7198966E" w14:textId="77777777" w:rsidR="00403B07" w:rsidRPr="000E3600" w:rsidRDefault="00403B07" w:rsidP="00B01272">
            <w:pPr>
              <w:spacing w:after="0" w:line="240" w:lineRule="auto"/>
              <w:rPr>
                <w:rFonts w:ascii="Calibri" w:eastAsia="Times New Roman" w:hAnsi="Calibri" w:cs="Times New Roman"/>
                <w:color w:val="FF0000"/>
                <w:sz w:val="20"/>
                <w:szCs w:val="20"/>
              </w:rPr>
            </w:pPr>
            <w:r w:rsidRPr="00B50813">
              <w:rPr>
                <w:rFonts w:ascii="Marlett" w:hAnsi="Marlett"/>
                <w:color w:val="FF0000"/>
              </w:rPr>
              <w:t></w:t>
            </w:r>
          </w:p>
        </w:tc>
        <w:tc>
          <w:tcPr>
            <w:tcW w:w="304" w:type="dxa"/>
            <w:tcBorders>
              <w:top w:val="nil"/>
              <w:left w:val="nil"/>
              <w:bottom w:val="single" w:sz="4" w:space="0" w:color="auto"/>
              <w:right w:val="nil"/>
            </w:tcBorders>
            <w:shd w:val="clear" w:color="auto" w:fill="auto"/>
          </w:tcPr>
          <w:p w14:paraId="05CFDB5F" w14:textId="77777777" w:rsidR="00403B07" w:rsidRDefault="00403B07" w:rsidP="00B01272">
            <w:r w:rsidRPr="001065E5">
              <w:rPr>
                <w:rFonts w:ascii="Marlett" w:hAnsi="Marlett"/>
              </w:rPr>
              <w:t></w:t>
            </w:r>
          </w:p>
        </w:tc>
        <w:tc>
          <w:tcPr>
            <w:tcW w:w="688" w:type="dxa"/>
            <w:tcBorders>
              <w:top w:val="nil"/>
              <w:left w:val="nil"/>
              <w:bottom w:val="single" w:sz="4" w:space="0" w:color="auto"/>
              <w:right w:val="single" w:sz="4" w:space="0" w:color="auto"/>
            </w:tcBorders>
            <w:shd w:val="clear" w:color="auto" w:fill="auto"/>
            <w:noWrap/>
          </w:tcPr>
          <w:p w14:paraId="121F8416" w14:textId="77777777" w:rsidR="00403B07" w:rsidRDefault="00403B07" w:rsidP="00B01272">
            <w:r w:rsidRPr="001065E5">
              <w:rPr>
                <w:rFonts w:ascii="Marlett" w:hAnsi="Marlett"/>
              </w:rPr>
              <w:t></w:t>
            </w:r>
          </w:p>
        </w:tc>
        <w:tc>
          <w:tcPr>
            <w:tcW w:w="289" w:type="dxa"/>
            <w:tcBorders>
              <w:top w:val="nil"/>
              <w:left w:val="nil"/>
              <w:bottom w:val="single" w:sz="4" w:space="0" w:color="auto"/>
              <w:right w:val="nil"/>
            </w:tcBorders>
            <w:shd w:val="clear" w:color="auto" w:fill="auto"/>
          </w:tcPr>
          <w:p w14:paraId="5E1AF8C9" w14:textId="77777777" w:rsidR="00403B07" w:rsidRDefault="00403B07" w:rsidP="00B01272">
            <w:r w:rsidRPr="001065E5">
              <w:rPr>
                <w:rFonts w:ascii="Marlett" w:hAnsi="Marlett"/>
              </w:rPr>
              <w:t></w:t>
            </w:r>
          </w:p>
        </w:tc>
        <w:tc>
          <w:tcPr>
            <w:tcW w:w="703" w:type="dxa"/>
            <w:tcBorders>
              <w:top w:val="nil"/>
              <w:left w:val="nil"/>
              <w:bottom w:val="single" w:sz="4" w:space="0" w:color="auto"/>
              <w:right w:val="single" w:sz="4" w:space="0" w:color="auto"/>
            </w:tcBorders>
            <w:shd w:val="clear" w:color="auto" w:fill="auto"/>
            <w:noWrap/>
          </w:tcPr>
          <w:p w14:paraId="4BC72B15" w14:textId="77777777" w:rsidR="00403B07" w:rsidRDefault="00403B07" w:rsidP="00B01272">
            <w:r w:rsidRPr="001065E5">
              <w:rPr>
                <w:rFonts w:ascii="Marlett" w:hAnsi="Marlett"/>
              </w:rPr>
              <w:t></w:t>
            </w:r>
          </w:p>
        </w:tc>
        <w:tc>
          <w:tcPr>
            <w:tcW w:w="546" w:type="dxa"/>
            <w:tcBorders>
              <w:top w:val="nil"/>
              <w:left w:val="nil"/>
              <w:bottom w:val="single" w:sz="4" w:space="0" w:color="auto"/>
              <w:right w:val="nil"/>
            </w:tcBorders>
            <w:shd w:val="clear" w:color="auto" w:fill="auto"/>
          </w:tcPr>
          <w:p w14:paraId="32CCAC55"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565" w:type="dxa"/>
            <w:tcBorders>
              <w:top w:val="nil"/>
              <w:left w:val="nil"/>
              <w:bottom w:val="single" w:sz="4" w:space="0" w:color="auto"/>
              <w:right w:val="single" w:sz="4" w:space="0" w:color="auto"/>
            </w:tcBorders>
            <w:shd w:val="clear" w:color="auto" w:fill="auto"/>
            <w:noWrap/>
          </w:tcPr>
          <w:p w14:paraId="70FBFB56"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32" w:type="dxa"/>
            <w:tcBorders>
              <w:top w:val="nil"/>
              <w:left w:val="nil"/>
              <w:bottom w:val="single" w:sz="4" w:space="0" w:color="auto"/>
              <w:right w:val="nil"/>
            </w:tcBorders>
            <w:shd w:val="clear" w:color="auto" w:fill="auto"/>
          </w:tcPr>
          <w:p w14:paraId="0DE616DE"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18" w:type="dxa"/>
            <w:tcBorders>
              <w:top w:val="nil"/>
              <w:left w:val="nil"/>
              <w:bottom w:val="single" w:sz="4" w:space="0" w:color="auto"/>
              <w:right w:val="single" w:sz="4" w:space="0" w:color="auto"/>
            </w:tcBorders>
            <w:shd w:val="clear" w:color="auto" w:fill="auto"/>
            <w:noWrap/>
          </w:tcPr>
          <w:p w14:paraId="4F08099B"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562" w:type="dxa"/>
            <w:tcBorders>
              <w:top w:val="nil"/>
              <w:left w:val="nil"/>
              <w:bottom w:val="single" w:sz="4" w:space="0" w:color="auto"/>
              <w:right w:val="nil"/>
            </w:tcBorders>
            <w:shd w:val="clear" w:color="auto" w:fill="auto"/>
          </w:tcPr>
          <w:p w14:paraId="026559AD"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auto"/>
            <w:noWrap/>
          </w:tcPr>
          <w:p w14:paraId="052DF793"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nil"/>
            </w:tcBorders>
            <w:shd w:val="clear" w:color="auto" w:fill="auto"/>
          </w:tcPr>
          <w:p w14:paraId="4F7F7EF2" w14:textId="77777777" w:rsidR="00403B07" w:rsidRDefault="00403B07" w:rsidP="00B01272">
            <w:r w:rsidRPr="005C07F9">
              <w:rPr>
                <w:rFonts w:ascii="Marlett" w:hAnsi="Marlett"/>
              </w:rPr>
              <w:t></w:t>
            </w:r>
          </w:p>
        </w:tc>
        <w:tc>
          <w:tcPr>
            <w:tcW w:w="488" w:type="dxa"/>
            <w:tcBorders>
              <w:top w:val="nil"/>
              <w:left w:val="nil"/>
              <w:bottom w:val="single" w:sz="4" w:space="0" w:color="auto"/>
              <w:right w:val="single" w:sz="4" w:space="0" w:color="auto"/>
            </w:tcBorders>
            <w:shd w:val="clear" w:color="auto" w:fill="auto"/>
            <w:noWrap/>
          </w:tcPr>
          <w:p w14:paraId="6935F1C1" w14:textId="77777777" w:rsidR="00403B07" w:rsidRDefault="00403B07" w:rsidP="00B01272">
            <w:r w:rsidRPr="005C07F9">
              <w:rPr>
                <w:rFonts w:ascii="Marlett" w:hAnsi="Marlett"/>
              </w:rPr>
              <w:t></w:t>
            </w:r>
          </w:p>
        </w:tc>
        <w:tc>
          <w:tcPr>
            <w:tcW w:w="489" w:type="dxa"/>
            <w:tcBorders>
              <w:top w:val="nil"/>
              <w:left w:val="nil"/>
              <w:bottom w:val="single" w:sz="4" w:space="0" w:color="auto"/>
              <w:right w:val="nil"/>
            </w:tcBorders>
            <w:shd w:val="clear" w:color="auto" w:fill="auto"/>
          </w:tcPr>
          <w:p w14:paraId="55886097" w14:textId="77777777" w:rsidR="00403B07" w:rsidRDefault="00403B07" w:rsidP="00B01272">
            <w:r w:rsidRPr="00AC01BB">
              <w:rPr>
                <w:rFonts w:ascii="Marlett" w:hAnsi="Marlett"/>
              </w:rPr>
              <w:t></w:t>
            </w:r>
          </w:p>
        </w:tc>
        <w:tc>
          <w:tcPr>
            <w:tcW w:w="488" w:type="dxa"/>
            <w:tcBorders>
              <w:top w:val="nil"/>
              <w:left w:val="nil"/>
              <w:bottom w:val="single" w:sz="4" w:space="0" w:color="auto"/>
              <w:right w:val="single" w:sz="4" w:space="0" w:color="auto"/>
            </w:tcBorders>
            <w:shd w:val="clear" w:color="auto" w:fill="auto"/>
            <w:noWrap/>
          </w:tcPr>
          <w:p w14:paraId="6BEE54C6" w14:textId="77777777" w:rsidR="00403B07" w:rsidRDefault="00403B07" w:rsidP="00B01272">
            <w:r w:rsidRPr="00AC01BB">
              <w:rPr>
                <w:rFonts w:ascii="Marlett" w:hAnsi="Marlett"/>
              </w:rPr>
              <w:t></w:t>
            </w:r>
          </w:p>
        </w:tc>
        <w:tc>
          <w:tcPr>
            <w:tcW w:w="488" w:type="dxa"/>
            <w:tcBorders>
              <w:top w:val="nil"/>
              <w:left w:val="nil"/>
              <w:bottom w:val="single" w:sz="4" w:space="0" w:color="auto"/>
              <w:right w:val="nil"/>
            </w:tcBorders>
            <w:shd w:val="clear" w:color="auto" w:fill="auto"/>
          </w:tcPr>
          <w:p w14:paraId="31371A8E"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auto"/>
            <w:noWrap/>
          </w:tcPr>
          <w:p w14:paraId="2A027F59"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nil"/>
            </w:tcBorders>
            <w:shd w:val="clear" w:color="auto" w:fill="auto"/>
          </w:tcPr>
          <w:p w14:paraId="3CDC30EE"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auto"/>
            <w:noWrap/>
          </w:tcPr>
          <w:p w14:paraId="664DEBC2"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nil"/>
            </w:tcBorders>
            <w:shd w:val="clear" w:color="auto" w:fill="auto"/>
          </w:tcPr>
          <w:p w14:paraId="565A4E63"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tcPr>
          <w:p w14:paraId="617E0ECB"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2178" w:type="dxa"/>
            <w:tcBorders>
              <w:top w:val="nil"/>
              <w:left w:val="nil"/>
              <w:bottom w:val="single" w:sz="4" w:space="0" w:color="auto"/>
              <w:right w:val="single" w:sz="4" w:space="0" w:color="auto"/>
            </w:tcBorders>
            <w:shd w:val="clear" w:color="auto" w:fill="auto"/>
          </w:tcPr>
          <w:p w14:paraId="3C0A71FD" w14:textId="77777777" w:rsidR="00403B07" w:rsidRPr="00171BEB" w:rsidRDefault="00403B07" w:rsidP="00B01272">
            <w:pPr>
              <w:spacing w:after="0" w:line="240" w:lineRule="auto"/>
              <w:rPr>
                <w:rFonts w:ascii="Calibri" w:eastAsia="Times New Roman" w:hAnsi="Calibri" w:cs="Times New Roman"/>
                <w:color w:val="000000"/>
                <w:sz w:val="16"/>
                <w:szCs w:val="16"/>
              </w:rPr>
            </w:pPr>
            <w:r w:rsidRPr="00171BEB">
              <w:rPr>
                <w:rFonts w:ascii="Calibri" w:eastAsia="Times New Roman" w:hAnsi="Calibri" w:cs="Times New Roman"/>
                <w:color w:val="000000"/>
                <w:sz w:val="16"/>
                <w:szCs w:val="16"/>
              </w:rPr>
              <w:t> </w:t>
            </w:r>
          </w:p>
        </w:tc>
      </w:tr>
      <w:tr w:rsidR="00403B07" w:rsidRPr="00171BEB" w14:paraId="6D01362A" w14:textId="77777777" w:rsidTr="00B01272">
        <w:trPr>
          <w:gridAfter w:val="1"/>
          <w:wAfter w:w="12" w:type="dxa"/>
          <w:trHeight w:val="227"/>
        </w:trPr>
        <w:tc>
          <w:tcPr>
            <w:tcW w:w="462" w:type="dxa"/>
            <w:tcBorders>
              <w:top w:val="single" w:sz="4" w:space="0" w:color="auto"/>
              <w:left w:val="single" w:sz="4" w:space="0" w:color="auto"/>
              <w:bottom w:val="single" w:sz="4" w:space="0" w:color="auto"/>
              <w:right w:val="nil"/>
            </w:tcBorders>
            <w:shd w:val="clear" w:color="auto" w:fill="FABF8F" w:themeFill="accent6" w:themeFillTint="99"/>
          </w:tcPr>
          <w:p w14:paraId="2EBBE0F5" w14:textId="77777777" w:rsidR="00403B07" w:rsidRPr="000E3600" w:rsidRDefault="00403B07" w:rsidP="00B01272">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24</w:t>
            </w:r>
          </w:p>
        </w:tc>
        <w:tc>
          <w:tcPr>
            <w:tcW w:w="483" w:type="dxa"/>
            <w:tcBorders>
              <w:top w:val="nil"/>
              <w:left w:val="single" w:sz="4" w:space="0" w:color="auto"/>
              <w:bottom w:val="single" w:sz="4" w:space="0" w:color="auto"/>
              <w:right w:val="nil"/>
            </w:tcBorders>
            <w:shd w:val="clear" w:color="auto" w:fill="auto"/>
          </w:tcPr>
          <w:p w14:paraId="78B1E227" w14:textId="77777777" w:rsidR="00403B07" w:rsidRDefault="00403B07" w:rsidP="00B01272">
            <w:r w:rsidRPr="00456E5F">
              <w:rPr>
                <w:rFonts w:ascii="Marlett" w:hAnsi="Marlett"/>
              </w:rPr>
              <w:t></w:t>
            </w:r>
          </w:p>
        </w:tc>
        <w:tc>
          <w:tcPr>
            <w:tcW w:w="486" w:type="dxa"/>
            <w:tcBorders>
              <w:top w:val="nil"/>
              <w:left w:val="nil"/>
              <w:bottom w:val="single" w:sz="4" w:space="0" w:color="auto"/>
              <w:right w:val="single" w:sz="4" w:space="0" w:color="auto"/>
            </w:tcBorders>
            <w:shd w:val="clear" w:color="auto" w:fill="auto"/>
            <w:noWrap/>
          </w:tcPr>
          <w:p w14:paraId="5B3DF97D" w14:textId="77777777" w:rsidR="00403B07" w:rsidRDefault="00403B07" w:rsidP="00B01272">
            <w:r w:rsidRPr="00456E5F">
              <w:rPr>
                <w:rFonts w:ascii="Marlett" w:hAnsi="Marlett"/>
              </w:rPr>
              <w:t></w:t>
            </w:r>
          </w:p>
        </w:tc>
        <w:tc>
          <w:tcPr>
            <w:tcW w:w="487" w:type="dxa"/>
            <w:tcBorders>
              <w:top w:val="nil"/>
              <w:left w:val="nil"/>
              <w:bottom w:val="single" w:sz="4" w:space="0" w:color="auto"/>
              <w:right w:val="nil"/>
            </w:tcBorders>
            <w:shd w:val="clear" w:color="auto" w:fill="auto"/>
          </w:tcPr>
          <w:p w14:paraId="73990C0B"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668" w:type="dxa"/>
            <w:tcBorders>
              <w:top w:val="nil"/>
              <w:left w:val="nil"/>
              <w:bottom w:val="single" w:sz="4" w:space="0" w:color="auto"/>
              <w:right w:val="single" w:sz="4" w:space="0" w:color="auto"/>
            </w:tcBorders>
            <w:shd w:val="clear" w:color="auto" w:fill="auto"/>
            <w:noWrap/>
          </w:tcPr>
          <w:p w14:paraId="517007D1" w14:textId="77777777" w:rsidR="00403B07" w:rsidRPr="000E3600" w:rsidRDefault="00403B07" w:rsidP="00B01272">
            <w:pPr>
              <w:spacing w:after="0" w:line="240" w:lineRule="auto"/>
              <w:rPr>
                <w:rFonts w:ascii="Calibri" w:eastAsia="Times New Roman" w:hAnsi="Calibri" w:cs="Times New Roman"/>
                <w:color w:val="FF0000"/>
                <w:sz w:val="20"/>
                <w:szCs w:val="20"/>
              </w:rPr>
            </w:pPr>
            <w:r w:rsidRPr="00B50813">
              <w:rPr>
                <w:rFonts w:ascii="Marlett" w:hAnsi="Marlett"/>
                <w:color w:val="FF0000"/>
              </w:rPr>
              <w:t></w:t>
            </w:r>
          </w:p>
        </w:tc>
        <w:tc>
          <w:tcPr>
            <w:tcW w:w="304" w:type="dxa"/>
            <w:tcBorders>
              <w:top w:val="nil"/>
              <w:left w:val="nil"/>
              <w:bottom w:val="single" w:sz="4" w:space="0" w:color="auto"/>
              <w:right w:val="nil"/>
            </w:tcBorders>
            <w:shd w:val="clear" w:color="auto" w:fill="auto"/>
          </w:tcPr>
          <w:p w14:paraId="51E8C6A6" w14:textId="77777777" w:rsidR="00403B07" w:rsidRDefault="00403B07" w:rsidP="00B01272">
            <w:r w:rsidRPr="00910FAA">
              <w:rPr>
                <w:rFonts w:ascii="Marlett" w:hAnsi="Marlett"/>
              </w:rPr>
              <w:t></w:t>
            </w:r>
          </w:p>
        </w:tc>
        <w:tc>
          <w:tcPr>
            <w:tcW w:w="688" w:type="dxa"/>
            <w:tcBorders>
              <w:top w:val="nil"/>
              <w:left w:val="nil"/>
              <w:bottom w:val="single" w:sz="4" w:space="0" w:color="auto"/>
              <w:right w:val="single" w:sz="4" w:space="0" w:color="auto"/>
            </w:tcBorders>
            <w:shd w:val="clear" w:color="auto" w:fill="auto"/>
            <w:noWrap/>
          </w:tcPr>
          <w:p w14:paraId="6A19B375" w14:textId="77777777" w:rsidR="00403B07" w:rsidRDefault="00403B07" w:rsidP="00B01272">
            <w:r w:rsidRPr="00910FAA">
              <w:rPr>
                <w:rFonts w:ascii="Marlett" w:hAnsi="Marlett"/>
              </w:rPr>
              <w:t></w:t>
            </w:r>
          </w:p>
        </w:tc>
        <w:tc>
          <w:tcPr>
            <w:tcW w:w="289" w:type="dxa"/>
            <w:tcBorders>
              <w:top w:val="nil"/>
              <w:left w:val="nil"/>
              <w:bottom w:val="single" w:sz="4" w:space="0" w:color="auto"/>
              <w:right w:val="nil"/>
            </w:tcBorders>
            <w:shd w:val="clear" w:color="auto" w:fill="auto"/>
          </w:tcPr>
          <w:p w14:paraId="77067195"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703" w:type="dxa"/>
            <w:tcBorders>
              <w:top w:val="nil"/>
              <w:left w:val="nil"/>
              <w:bottom w:val="single" w:sz="4" w:space="0" w:color="auto"/>
              <w:right w:val="single" w:sz="4" w:space="0" w:color="auto"/>
            </w:tcBorders>
            <w:shd w:val="clear" w:color="auto" w:fill="auto"/>
            <w:noWrap/>
          </w:tcPr>
          <w:p w14:paraId="4D40586A"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546" w:type="dxa"/>
            <w:tcBorders>
              <w:top w:val="nil"/>
              <w:left w:val="nil"/>
              <w:bottom w:val="single" w:sz="4" w:space="0" w:color="auto"/>
              <w:right w:val="nil"/>
            </w:tcBorders>
            <w:shd w:val="clear" w:color="auto" w:fill="auto"/>
          </w:tcPr>
          <w:p w14:paraId="388CBAF1" w14:textId="77777777" w:rsidR="00403B07" w:rsidRDefault="00403B07" w:rsidP="00B01272">
            <w:r w:rsidRPr="00744B8C">
              <w:rPr>
                <w:rFonts w:ascii="Marlett" w:hAnsi="Marlett"/>
              </w:rPr>
              <w:t></w:t>
            </w:r>
          </w:p>
        </w:tc>
        <w:tc>
          <w:tcPr>
            <w:tcW w:w="565" w:type="dxa"/>
            <w:tcBorders>
              <w:top w:val="nil"/>
              <w:left w:val="nil"/>
              <w:bottom w:val="single" w:sz="4" w:space="0" w:color="auto"/>
              <w:right w:val="single" w:sz="4" w:space="0" w:color="auto"/>
            </w:tcBorders>
            <w:shd w:val="clear" w:color="auto" w:fill="auto"/>
            <w:noWrap/>
          </w:tcPr>
          <w:p w14:paraId="09EC80A0" w14:textId="77777777" w:rsidR="00403B07" w:rsidRDefault="00403B07" w:rsidP="00B01272">
            <w:r w:rsidRPr="00744B8C">
              <w:rPr>
                <w:rFonts w:ascii="Marlett" w:hAnsi="Marlett"/>
              </w:rPr>
              <w:t></w:t>
            </w:r>
          </w:p>
        </w:tc>
        <w:tc>
          <w:tcPr>
            <w:tcW w:w="432" w:type="dxa"/>
            <w:tcBorders>
              <w:top w:val="nil"/>
              <w:left w:val="nil"/>
              <w:bottom w:val="single" w:sz="4" w:space="0" w:color="auto"/>
              <w:right w:val="nil"/>
            </w:tcBorders>
            <w:shd w:val="clear" w:color="auto" w:fill="auto"/>
          </w:tcPr>
          <w:p w14:paraId="510F4221"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18" w:type="dxa"/>
            <w:tcBorders>
              <w:top w:val="nil"/>
              <w:left w:val="nil"/>
              <w:bottom w:val="single" w:sz="4" w:space="0" w:color="auto"/>
              <w:right w:val="single" w:sz="4" w:space="0" w:color="auto"/>
            </w:tcBorders>
            <w:shd w:val="clear" w:color="auto" w:fill="auto"/>
            <w:noWrap/>
          </w:tcPr>
          <w:p w14:paraId="5168DB2E"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562" w:type="dxa"/>
            <w:tcBorders>
              <w:top w:val="nil"/>
              <w:left w:val="nil"/>
              <w:bottom w:val="single" w:sz="4" w:space="0" w:color="auto"/>
              <w:right w:val="nil"/>
            </w:tcBorders>
            <w:shd w:val="clear" w:color="auto" w:fill="auto"/>
          </w:tcPr>
          <w:p w14:paraId="3EAD62D4"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auto"/>
            <w:noWrap/>
          </w:tcPr>
          <w:p w14:paraId="1CB5472B"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nil"/>
            </w:tcBorders>
            <w:shd w:val="clear" w:color="auto" w:fill="auto"/>
          </w:tcPr>
          <w:p w14:paraId="71780287"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auto"/>
            <w:noWrap/>
          </w:tcPr>
          <w:p w14:paraId="2405E0F1"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9" w:type="dxa"/>
            <w:tcBorders>
              <w:top w:val="nil"/>
              <w:left w:val="nil"/>
              <w:bottom w:val="single" w:sz="4" w:space="0" w:color="auto"/>
              <w:right w:val="nil"/>
            </w:tcBorders>
            <w:shd w:val="clear" w:color="auto" w:fill="auto"/>
          </w:tcPr>
          <w:p w14:paraId="1093469C" w14:textId="77777777" w:rsidR="00403B07" w:rsidRDefault="00403B07" w:rsidP="00B01272">
            <w:r w:rsidRPr="00AC01BB">
              <w:rPr>
                <w:rFonts w:ascii="Marlett" w:hAnsi="Marlett"/>
              </w:rPr>
              <w:t></w:t>
            </w:r>
          </w:p>
        </w:tc>
        <w:tc>
          <w:tcPr>
            <w:tcW w:w="488" w:type="dxa"/>
            <w:tcBorders>
              <w:top w:val="nil"/>
              <w:left w:val="nil"/>
              <w:bottom w:val="single" w:sz="4" w:space="0" w:color="auto"/>
              <w:right w:val="single" w:sz="4" w:space="0" w:color="auto"/>
            </w:tcBorders>
            <w:shd w:val="clear" w:color="auto" w:fill="auto"/>
            <w:noWrap/>
          </w:tcPr>
          <w:p w14:paraId="7D0885F7" w14:textId="77777777" w:rsidR="00403B07" w:rsidRDefault="00403B07" w:rsidP="00B01272">
            <w:r w:rsidRPr="00AC01BB">
              <w:rPr>
                <w:rFonts w:ascii="Marlett" w:hAnsi="Marlett"/>
              </w:rPr>
              <w:t></w:t>
            </w:r>
          </w:p>
        </w:tc>
        <w:tc>
          <w:tcPr>
            <w:tcW w:w="488" w:type="dxa"/>
            <w:tcBorders>
              <w:top w:val="nil"/>
              <w:left w:val="nil"/>
              <w:bottom w:val="single" w:sz="4" w:space="0" w:color="auto"/>
              <w:right w:val="nil"/>
            </w:tcBorders>
            <w:shd w:val="clear" w:color="auto" w:fill="auto"/>
          </w:tcPr>
          <w:p w14:paraId="4B0856E1"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auto"/>
            <w:noWrap/>
          </w:tcPr>
          <w:p w14:paraId="19F9E336"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nil"/>
            </w:tcBorders>
            <w:shd w:val="clear" w:color="auto" w:fill="auto"/>
          </w:tcPr>
          <w:p w14:paraId="228E508E"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auto"/>
            <w:noWrap/>
          </w:tcPr>
          <w:p w14:paraId="48B52B6E"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nil"/>
            </w:tcBorders>
            <w:shd w:val="clear" w:color="auto" w:fill="auto"/>
          </w:tcPr>
          <w:p w14:paraId="694FFE9D"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97" w:type="dxa"/>
            <w:tcBorders>
              <w:top w:val="nil"/>
              <w:left w:val="nil"/>
              <w:bottom w:val="single" w:sz="4" w:space="0" w:color="auto"/>
              <w:right w:val="single" w:sz="4" w:space="0" w:color="auto"/>
            </w:tcBorders>
            <w:shd w:val="clear" w:color="auto" w:fill="auto"/>
            <w:noWrap/>
          </w:tcPr>
          <w:p w14:paraId="3CE7BD34"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2178" w:type="dxa"/>
            <w:tcBorders>
              <w:top w:val="nil"/>
              <w:left w:val="nil"/>
              <w:bottom w:val="single" w:sz="4" w:space="0" w:color="auto"/>
              <w:right w:val="single" w:sz="4" w:space="0" w:color="auto"/>
            </w:tcBorders>
            <w:shd w:val="clear" w:color="auto" w:fill="auto"/>
          </w:tcPr>
          <w:p w14:paraId="21524A83" w14:textId="77777777" w:rsidR="00403B07" w:rsidRPr="00171BEB" w:rsidRDefault="00403B07" w:rsidP="00B01272">
            <w:pPr>
              <w:spacing w:after="0" w:line="240" w:lineRule="auto"/>
              <w:rPr>
                <w:rFonts w:ascii="Calibri" w:eastAsia="Times New Roman" w:hAnsi="Calibri" w:cs="Times New Roman"/>
                <w:color w:val="000000"/>
                <w:sz w:val="16"/>
                <w:szCs w:val="16"/>
              </w:rPr>
            </w:pPr>
            <w:r w:rsidRPr="00171BEB">
              <w:rPr>
                <w:rFonts w:ascii="Calibri" w:eastAsia="Times New Roman" w:hAnsi="Calibri" w:cs="Times New Roman"/>
                <w:color w:val="000000"/>
                <w:sz w:val="16"/>
                <w:szCs w:val="16"/>
              </w:rPr>
              <w:t xml:space="preserve">Healthy School Award </w:t>
            </w:r>
          </w:p>
        </w:tc>
      </w:tr>
      <w:tr w:rsidR="00DA1C42" w:rsidRPr="00171BEB" w14:paraId="64DEA516" w14:textId="77777777" w:rsidTr="00B01272">
        <w:trPr>
          <w:gridAfter w:val="1"/>
          <w:wAfter w:w="12" w:type="dxa"/>
          <w:trHeight w:val="227"/>
        </w:trPr>
        <w:tc>
          <w:tcPr>
            <w:tcW w:w="462" w:type="dxa"/>
            <w:tcBorders>
              <w:top w:val="single" w:sz="4" w:space="0" w:color="auto"/>
              <w:left w:val="single" w:sz="4" w:space="0" w:color="auto"/>
              <w:bottom w:val="single" w:sz="4" w:space="0" w:color="auto"/>
              <w:right w:val="nil"/>
            </w:tcBorders>
            <w:shd w:val="clear" w:color="auto" w:fill="FABF8F" w:themeFill="accent6" w:themeFillTint="99"/>
          </w:tcPr>
          <w:p w14:paraId="6287DA66" w14:textId="77777777" w:rsidR="00403B07" w:rsidRPr="000E3600" w:rsidRDefault="00403B07" w:rsidP="00B01272">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25</w:t>
            </w:r>
          </w:p>
        </w:tc>
        <w:tc>
          <w:tcPr>
            <w:tcW w:w="483" w:type="dxa"/>
            <w:tcBorders>
              <w:top w:val="single" w:sz="4" w:space="0" w:color="auto"/>
              <w:left w:val="single" w:sz="4" w:space="0" w:color="auto"/>
              <w:bottom w:val="single" w:sz="4" w:space="0" w:color="auto"/>
              <w:right w:val="nil"/>
            </w:tcBorders>
            <w:shd w:val="clear" w:color="auto" w:fill="D9D9D9" w:themeFill="background1" w:themeFillShade="D9"/>
          </w:tcPr>
          <w:p w14:paraId="10D25FB0"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6" w:type="dxa"/>
            <w:tcBorders>
              <w:top w:val="single" w:sz="4" w:space="0" w:color="auto"/>
              <w:left w:val="nil"/>
              <w:bottom w:val="single" w:sz="4" w:space="0" w:color="auto"/>
              <w:right w:val="single" w:sz="4" w:space="0" w:color="auto"/>
            </w:tcBorders>
            <w:shd w:val="clear" w:color="auto" w:fill="D9D9D9" w:themeFill="background1" w:themeFillShade="D9"/>
            <w:noWrap/>
          </w:tcPr>
          <w:p w14:paraId="71AD943D"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7" w:type="dxa"/>
            <w:tcBorders>
              <w:top w:val="single" w:sz="4" w:space="0" w:color="auto"/>
              <w:left w:val="nil"/>
              <w:bottom w:val="single" w:sz="4" w:space="0" w:color="auto"/>
              <w:right w:val="nil"/>
            </w:tcBorders>
            <w:shd w:val="clear" w:color="auto" w:fill="D9D9D9" w:themeFill="background1" w:themeFillShade="D9"/>
          </w:tcPr>
          <w:p w14:paraId="2B1CD5EF"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668" w:type="dxa"/>
            <w:tcBorders>
              <w:top w:val="single" w:sz="4" w:space="0" w:color="auto"/>
              <w:left w:val="nil"/>
              <w:bottom w:val="single" w:sz="4" w:space="0" w:color="auto"/>
              <w:right w:val="single" w:sz="4" w:space="0" w:color="auto"/>
            </w:tcBorders>
            <w:shd w:val="clear" w:color="auto" w:fill="D9D9D9" w:themeFill="background1" w:themeFillShade="D9"/>
            <w:noWrap/>
          </w:tcPr>
          <w:p w14:paraId="0C47E959" w14:textId="77777777" w:rsidR="00403B07" w:rsidRPr="000E3600" w:rsidRDefault="00403B07" w:rsidP="00B01272">
            <w:pPr>
              <w:spacing w:after="0" w:line="240" w:lineRule="auto"/>
              <w:rPr>
                <w:rFonts w:ascii="Calibri" w:eastAsia="Times New Roman" w:hAnsi="Calibri" w:cs="Times New Roman"/>
                <w:color w:val="FF0000"/>
                <w:sz w:val="20"/>
                <w:szCs w:val="20"/>
              </w:rPr>
            </w:pPr>
            <w:r w:rsidRPr="00B50813">
              <w:rPr>
                <w:rFonts w:ascii="Marlett" w:hAnsi="Marlett"/>
                <w:color w:val="FF0000"/>
              </w:rPr>
              <w:t></w:t>
            </w:r>
          </w:p>
        </w:tc>
        <w:tc>
          <w:tcPr>
            <w:tcW w:w="304" w:type="dxa"/>
            <w:tcBorders>
              <w:top w:val="single" w:sz="4" w:space="0" w:color="auto"/>
              <w:left w:val="nil"/>
              <w:bottom w:val="single" w:sz="4" w:space="0" w:color="auto"/>
              <w:right w:val="nil"/>
            </w:tcBorders>
            <w:shd w:val="clear" w:color="auto" w:fill="D9D9D9" w:themeFill="background1" w:themeFillShade="D9"/>
          </w:tcPr>
          <w:p w14:paraId="3DCFC5A9"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688" w:type="dxa"/>
            <w:tcBorders>
              <w:top w:val="single" w:sz="4" w:space="0" w:color="auto"/>
              <w:left w:val="nil"/>
              <w:bottom w:val="single" w:sz="4" w:space="0" w:color="auto"/>
              <w:right w:val="single" w:sz="4" w:space="0" w:color="auto"/>
            </w:tcBorders>
            <w:shd w:val="clear" w:color="auto" w:fill="D9D9D9" w:themeFill="background1" w:themeFillShade="D9"/>
            <w:noWrap/>
          </w:tcPr>
          <w:p w14:paraId="66DEC56D"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289" w:type="dxa"/>
            <w:tcBorders>
              <w:top w:val="single" w:sz="4" w:space="0" w:color="auto"/>
              <w:left w:val="nil"/>
              <w:bottom w:val="single" w:sz="4" w:space="0" w:color="auto"/>
              <w:right w:val="nil"/>
            </w:tcBorders>
            <w:shd w:val="clear" w:color="auto" w:fill="D9D9D9" w:themeFill="background1" w:themeFillShade="D9"/>
          </w:tcPr>
          <w:p w14:paraId="0B48C90F" w14:textId="77777777" w:rsidR="00403B07" w:rsidRDefault="00403B07" w:rsidP="00B01272">
            <w:r w:rsidRPr="0004065B">
              <w:rPr>
                <w:rFonts w:ascii="Marlett" w:hAnsi="Marlett"/>
              </w:rPr>
              <w:t></w:t>
            </w:r>
          </w:p>
        </w:tc>
        <w:tc>
          <w:tcPr>
            <w:tcW w:w="703" w:type="dxa"/>
            <w:tcBorders>
              <w:top w:val="single" w:sz="4" w:space="0" w:color="auto"/>
              <w:left w:val="nil"/>
              <w:bottom w:val="single" w:sz="4" w:space="0" w:color="auto"/>
              <w:right w:val="single" w:sz="4" w:space="0" w:color="auto"/>
            </w:tcBorders>
            <w:shd w:val="clear" w:color="auto" w:fill="D9D9D9" w:themeFill="background1" w:themeFillShade="D9"/>
            <w:noWrap/>
          </w:tcPr>
          <w:p w14:paraId="0255EB7E" w14:textId="77777777" w:rsidR="00403B07" w:rsidRDefault="00403B07" w:rsidP="00B01272">
            <w:r w:rsidRPr="0004065B">
              <w:rPr>
                <w:rFonts w:ascii="Marlett" w:hAnsi="Marlett"/>
              </w:rPr>
              <w:t></w:t>
            </w:r>
          </w:p>
        </w:tc>
        <w:tc>
          <w:tcPr>
            <w:tcW w:w="546" w:type="dxa"/>
            <w:tcBorders>
              <w:top w:val="single" w:sz="4" w:space="0" w:color="auto"/>
              <w:left w:val="nil"/>
              <w:bottom w:val="single" w:sz="4" w:space="0" w:color="auto"/>
              <w:right w:val="nil"/>
            </w:tcBorders>
            <w:shd w:val="clear" w:color="auto" w:fill="D9D9D9" w:themeFill="background1" w:themeFillShade="D9"/>
          </w:tcPr>
          <w:p w14:paraId="3537E63D"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565" w:type="dxa"/>
            <w:tcBorders>
              <w:top w:val="single" w:sz="4" w:space="0" w:color="auto"/>
              <w:left w:val="nil"/>
              <w:bottom w:val="single" w:sz="4" w:space="0" w:color="auto"/>
              <w:right w:val="single" w:sz="4" w:space="0" w:color="auto"/>
            </w:tcBorders>
            <w:shd w:val="clear" w:color="auto" w:fill="D9D9D9" w:themeFill="background1" w:themeFillShade="D9"/>
            <w:noWrap/>
          </w:tcPr>
          <w:p w14:paraId="3C88851C"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32" w:type="dxa"/>
            <w:tcBorders>
              <w:top w:val="single" w:sz="4" w:space="0" w:color="auto"/>
              <w:left w:val="nil"/>
              <w:bottom w:val="single" w:sz="4" w:space="0" w:color="auto"/>
              <w:right w:val="nil"/>
            </w:tcBorders>
            <w:shd w:val="clear" w:color="auto" w:fill="D9D9D9" w:themeFill="background1" w:themeFillShade="D9"/>
          </w:tcPr>
          <w:p w14:paraId="5C675092"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18" w:type="dxa"/>
            <w:tcBorders>
              <w:top w:val="single" w:sz="4" w:space="0" w:color="auto"/>
              <w:left w:val="nil"/>
              <w:bottom w:val="single" w:sz="4" w:space="0" w:color="auto"/>
              <w:right w:val="single" w:sz="4" w:space="0" w:color="auto"/>
            </w:tcBorders>
            <w:shd w:val="clear" w:color="auto" w:fill="D9D9D9" w:themeFill="background1" w:themeFillShade="D9"/>
            <w:noWrap/>
          </w:tcPr>
          <w:p w14:paraId="028AE33C"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562" w:type="dxa"/>
            <w:tcBorders>
              <w:top w:val="single" w:sz="4" w:space="0" w:color="auto"/>
              <w:left w:val="nil"/>
              <w:bottom w:val="single" w:sz="4" w:space="0" w:color="auto"/>
              <w:right w:val="nil"/>
            </w:tcBorders>
            <w:shd w:val="clear" w:color="auto" w:fill="D9D9D9" w:themeFill="background1" w:themeFillShade="D9"/>
          </w:tcPr>
          <w:p w14:paraId="253C2162" w14:textId="77777777" w:rsidR="00403B07" w:rsidRDefault="00403B07" w:rsidP="00B01272">
            <w:r w:rsidRPr="006457EE">
              <w:rPr>
                <w:rFonts w:ascii="Marlett" w:hAnsi="Marlett"/>
              </w:rPr>
              <w:t></w:t>
            </w:r>
          </w:p>
        </w:tc>
        <w:tc>
          <w:tcPr>
            <w:tcW w:w="488" w:type="dxa"/>
            <w:tcBorders>
              <w:top w:val="single" w:sz="4" w:space="0" w:color="auto"/>
              <w:left w:val="nil"/>
              <w:bottom w:val="single" w:sz="4" w:space="0" w:color="auto"/>
              <w:right w:val="single" w:sz="4" w:space="0" w:color="auto"/>
            </w:tcBorders>
            <w:shd w:val="clear" w:color="auto" w:fill="D9D9D9" w:themeFill="background1" w:themeFillShade="D9"/>
            <w:noWrap/>
          </w:tcPr>
          <w:p w14:paraId="0ED96301" w14:textId="77777777" w:rsidR="00403B07" w:rsidRDefault="00403B07" w:rsidP="00B01272">
            <w:r w:rsidRPr="006457EE">
              <w:rPr>
                <w:rFonts w:ascii="Marlett" w:hAnsi="Marlett"/>
              </w:rPr>
              <w:t></w:t>
            </w:r>
          </w:p>
        </w:tc>
        <w:tc>
          <w:tcPr>
            <w:tcW w:w="488" w:type="dxa"/>
            <w:tcBorders>
              <w:top w:val="single" w:sz="4" w:space="0" w:color="auto"/>
              <w:left w:val="nil"/>
              <w:bottom w:val="single" w:sz="4" w:space="0" w:color="auto"/>
              <w:right w:val="nil"/>
            </w:tcBorders>
            <w:shd w:val="clear" w:color="auto" w:fill="D9D9D9" w:themeFill="background1" w:themeFillShade="D9"/>
          </w:tcPr>
          <w:p w14:paraId="44B7E2E6" w14:textId="77777777" w:rsidR="00403B07" w:rsidRDefault="00403B07" w:rsidP="00B01272">
            <w:r w:rsidRPr="00855229">
              <w:rPr>
                <w:rFonts w:ascii="Marlett" w:hAnsi="Marlett"/>
              </w:rPr>
              <w:t></w:t>
            </w:r>
          </w:p>
        </w:tc>
        <w:tc>
          <w:tcPr>
            <w:tcW w:w="488" w:type="dxa"/>
            <w:tcBorders>
              <w:top w:val="single" w:sz="4" w:space="0" w:color="auto"/>
              <w:left w:val="nil"/>
              <w:bottom w:val="single" w:sz="4" w:space="0" w:color="auto"/>
              <w:right w:val="single" w:sz="4" w:space="0" w:color="auto"/>
            </w:tcBorders>
            <w:shd w:val="clear" w:color="auto" w:fill="D9D9D9" w:themeFill="background1" w:themeFillShade="D9"/>
            <w:noWrap/>
          </w:tcPr>
          <w:p w14:paraId="5D885A9C" w14:textId="77777777" w:rsidR="00403B07" w:rsidRDefault="00403B07" w:rsidP="00B01272">
            <w:r w:rsidRPr="00855229">
              <w:rPr>
                <w:rFonts w:ascii="Marlett" w:hAnsi="Marlett"/>
              </w:rPr>
              <w:t></w:t>
            </w:r>
          </w:p>
        </w:tc>
        <w:tc>
          <w:tcPr>
            <w:tcW w:w="489" w:type="dxa"/>
            <w:tcBorders>
              <w:top w:val="single" w:sz="4" w:space="0" w:color="auto"/>
              <w:left w:val="nil"/>
              <w:bottom w:val="single" w:sz="4" w:space="0" w:color="auto"/>
              <w:right w:val="nil"/>
            </w:tcBorders>
            <w:shd w:val="clear" w:color="auto" w:fill="D9D9D9" w:themeFill="background1" w:themeFillShade="D9"/>
          </w:tcPr>
          <w:p w14:paraId="5308F055"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single" w:sz="4" w:space="0" w:color="auto"/>
              <w:left w:val="nil"/>
              <w:bottom w:val="single" w:sz="4" w:space="0" w:color="auto"/>
              <w:right w:val="single" w:sz="4" w:space="0" w:color="auto"/>
            </w:tcBorders>
            <w:shd w:val="clear" w:color="auto" w:fill="D9D9D9" w:themeFill="background1" w:themeFillShade="D9"/>
            <w:noWrap/>
          </w:tcPr>
          <w:p w14:paraId="18F8C8AB"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single" w:sz="4" w:space="0" w:color="auto"/>
              <w:left w:val="nil"/>
              <w:bottom w:val="single" w:sz="4" w:space="0" w:color="auto"/>
              <w:right w:val="nil"/>
            </w:tcBorders>
            <w:shd w:val="clear" w:color="auto" w:fill="D9D9D9" w:themeFill="background1" w:themeFillShade="D9"/>
          </w:tcPr>
          <w:p w14:paraId="1B370F28"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single" w:sz="4" w:space="0" w:color="auto"/>
              <w:left w:val="nil"/>
              <w:bottom w:val="single" w:sz="4" w:space="0" w:color="auto"/>
              <w:right w:val="single" w:sz="4" w:space="0" w:color="auto"/>
            </w:tcBorders>
            <w:shd w:val="clear" w:color="auto" w:fill="D9D9D9" w:themeFill="background1" w:themeFillShade="D9"/>
            <w:noWrap/>
          </w:tcPr>
          <w:p w14:paraId="2A4D2C80"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single" w:sz="4" w:space="0" w:color="auto"/>
              <w:left w:val="nil"/>
              <w:bottom w:val="single" w:sz="4" w:space="0" w:color="auto"/>
              <w:right w:val="nil"/>
            </w:tcBorders>
            <w:shd w:val="clear" w:color="auto" w:fill="D9D9D9" w:themeFill="background1" w:themeFillShade="D9"/>
          </w:tcPr>
          <w:p w14:paraId="6DB10277"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single" w:sz="4" w:space="0" w:color="auto"/>
              <w:left w:val="nil"/>
              <w:bottom w:val="single" w:sz="4" w:space="0" w:color="auto"/>
              <w:right w:val="single" w:sz="4" w:space="0" w:color="auto"/>
            </w:tcBorders>
            <w:shd w:val="clear" w:color="auto" w:fill="D9D9D9" w:themeFill="background1" w:themeFillShade="D9"/>
            <w:noWrap/>
          </w:tcPr>
          <w:p w14:paraId="3AB87283"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single" w:sz="4" w:space="0" w:color="auto"/>
              <w:left w:val="nil"/>
              <w:bottom w:val="single" w:sz="4" w:space="0" w:color="auto"/>
              <w:right w:val="nil"/>
            </w:tcBorders>
            <w:shd w:val="clear" w:color="auto" w:fill="D9D9D9" w:themeFill="background1" w:themeFillShade="D9"/>
          </w:tcPr>
          <w:p w14:paraId="510DD8FD"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97" w:type="dxa"/>
            <w:tcBorders>
              <w:top w:val="single" w:sz="4" w:space="0" w:color="auto"/>
              <w:left w:val="nil"/>
              <w:bottom w:val="single" w:sz="4" w:space="0" w:color="auto"/>
              <w:right w:val="single" w:sz="4" w:space="0" w:color="auto"/>
            </w:tcBorders>
            <w:shd w:val="clear" w:color="auto" w:fill="D9D9D9" w:themeFill="background1" w:themeFillShade="D9"/>
            <w:noWrap/>
          </w:tcPr>
          <w:p w14:paraId="1B4A541A"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2178" w:type="dxa"/>
            <w:tcBorders>
              <w:top w:val="single" w:sz="4" w:space="0" w:color="auto"/>
              <w:left w:val="nil"/>
              <w:bottom w:val="single" w:sz="4" w:space="0" w:color="auto"/>
              <w:right w:val="single" w:sz="4" w:space="0" w:color="auto"/>
            </w:tcBorders>
            <w:shd w:val="clear" w:color="auto" w:fill="D9D9D9" w:themeFill="background1" w:themeFillShade="D9"/>
          </w:tcPr>
          <w:p w14:paraId="0D893C65" w14:textId="77777777" w:rsidR="00403B07" w:rsidRPr="00171BEB" w:rsidRDefault="00403B07" w:rsidP="00B01272">
            <w:pPr>
              <w:spacing w:after="0" w:line="240" w:lineRule="auto"/>
              <w:rPr>
                <w:rFonts w:ascii="Calibri" w:eastAsia="Times New Roman" w:hAnsi="Calibri" w:cs="Times New Roman"/>
                <w:color w:val="000000"/>
                <w:sz w:val="16"/>
                <w:szCs w:val="16"/>
              </w:rPr>
            </w:pPr>
            <w:r w:rsidRPr="00171BEB">
              <w:rPr>
                <w:rFonts w:ascii="Calibri" w:eastAsia="Times New Roman" w:hAnsi="Calibri" w:cs="Times New Roman"/>
                <w:color w:val="000000"/>
                <w:sz w:val="16"/>
                <w:szCs w:val="16"/>
              </w:rPr>
              <w:t> </w:t>
            </w:r>
          </w:p>
        </w:tc>
      </w:tr>
      <w:tr w:rsidR="00DA1C42" w:rsidRPr="00171BEB" w14:paraId="75839D55" w14:textId="77777777" w:rsidTr="00B01272">
        <w:trPr>
          <w:gridAfter w:val="1"/>
          <w:wAfter w:w="12" w:type="dxa"/>
          <w:trHeight w:val="227"/>
        </w:trPr>
        <w:tc>
          <w:tcPr>
            <w:tcW w:w="462" w:type="dxa"/>
            <w:tcBorders>
              <w:top w:val="single" w:sz="4" w:space="0" w:color="auto"/>
              <w:left w:val="single" w:sz="4" w:space="0" w:color="auto"/>
              <w:bottom w:val="single" w:sz="4" w:space="0" w:color="auto"/>
              <w:right w:val="nil"/>
            </w:tcBorders>
            <w:shd w:val="clear" w:color="auto" w:fill="FABF8F" w:themeFill="accent6" w:themeFillTint="99"/>
          </w:tcPr>
          <w:p w14:paraId="4C703840" w14:textId="77777777" w:rsidR="00403B07" w:rsidRPr="000E3600" w:rsidRDefault="00403B07" w:rsidP="00B01272">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26</w:t>
            </w:r>
          </w:p>
        </w:tc>
        <w:tc>
          <w:tcPr>
            <w:tcW w:w="483" w:type="dxa"/>
            <w:tcBorders>
              <w:top w:val="nil"/>
              <w:left w:val="single" w:sz="4" w:space="0" w:color="auto"/>
              <w:bottom w:val="single" w:sz="4" w:space="0" w:color="auto"/>
              <w:right w:val="nil"/>
            </w:tcBorders>
            <w:shd w:val="clear" w:color="auto" w:fill="D9D9D9" w:themeFill="background1" w:themeFillShade="D9"/>
          </w:tcPr>
          <w:p w14:paraId="082AC160"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6" w:type="dxa"/>
            <w:tcBorders>
              <w:top w:val="nil"/>
              <w:left w:val="nil"/>
              <w:bottom w:val="single" w:sz="4" w:space="0" w:color="auto"/>
              <w:right w:val="single" w:sz="4" w:space="0" w:color="auto"/>
            </w:tcBorders>
            <w:shd w:val="clear" w:color="auto" w:fill="D9D9D9" w:themeFill="background1" w:themeFillShade="D9"/>
            <w:noWrap/>
          </w:tcPr>
          <w:p w14:paraId="6B493658"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7" w:type="dxa"/>
            <w:tcBorders>
              <w:top w:val="nil"/>
              <w:left w:val="nil"/>
              <w:bottom w:val="single" w:sz="4" w:space="0" w:color="auto"/>
              <w:right w:val="nil"/>
            </w:tcBorders>
            <w:shd w:val="clear" w:color="auto" w:fill="D9D9D9" w:themeFill="background1" w:themeFillShade="D9"/>
          </w:tcPr>
          <w:p w14:paraId="72B6D031"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668" w:type="dxa"/>
            <w:tcBorders>
              <w:top w:val="nil"/>
              <w:left w:val="nil"/>
              <w:bottom w:val="single" w:sz="4" w:space="0" w:color="auto"/>
              <w:right w:val="single" w:sz="4" w:space="0" w:color="auto"/>
            </w:tcBorders>
            <w:shd w:val="clear" w:color="auto" w:fill="D9D9D9" w:themeFill="background1" w:themeFillShade="D9"/>
            <w:noWrap/>
          </w:tcPr>
          <w:p w14:paraId="6A5DDC50"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304" w:type="dxa"/>
            <w:tcBorders>
              <w:top w:val="nil"/>
              <w:left w:val="nil"/>
              <w:bottom w:val="single" w:sz="4" w:space="0" w:color="auto"/>
              <w:right w:val="nil"/>
            </w:tcBorders>
            <w:shd w:val="clear" w:color="auto" w:fill="D9D9D9" w:themeFill="background1" w:themeFillShade="D9"/>
          </w:tcPr>
          <w:p w14:paraId="2DD9D449" w14:textId="77777777" w:rsidR="00403B07" w:rsidRDefault="00403B07" w:rsidP="00B01272">
            <w:r w:rsidRPr="00CE252B">
              <w:rPr>
                <w:rFonts w:ascii="Marlett" w:hAnsi="Marlett"/>
              </w:rPr>
              <w:t></w:t>
            </w:r>
          </w:p>
        </w:tc>
        <w:tc>
          <w:tcPr>
            <w:tcW w:w="688" w:type="dxa"/>
            <w:tcBorders>
              <w:top w:val="nil"/>
              <w:left w:val="nil"/>
              <w:bottom w:val="single" w:sz="4" w:space="0" w:color="auto"/>
              <w:right w:val="single" w:sz="4" w:space="0" w:color="auto"/>
            </w:tcBorders>
            <w:shd w:val="clear" w:color="auto" w:fill="D9D9D9" w:themeFill="background1" w:themeFillShade="D9"/>
            <w:noWrap/>
          </w:tcPr>
          <w:p w14:paraId="18B1CB97" w14:textId="77777777" w:rsidR="00403B07" w:rsidRDefault="00403B07" w:rsidP="00B01272">
            <w:r w:rsidRPr="00CE252B">
              <w:rPr>
                <w:rFonts w:ascii="Marlett" w:hAnsi="Marlett"/>
              </w:rPr>
              <w:t></w:t>
            </w:r>
          </w:p>
        </w:tc>
        <w:tc>
          <w:tcPr>
            <w:tcW w:w="289" w:type="dxa"/>
            <w:tcBorders>
              <w:top w:val="nil"/>
              <w:left w:val="nil"/>
              <w:bottom w:val="single" w:sz="4" w:space="0" w:color="auto"/>
              <w:right w:val="nil"/>
            </w:tcBorders>
            <w:shd w:val="clear" w:color="auto" w:fill="D9D9D9" w:themeFill="background1" w:themeFillShade="D9"/>
          </w:tcPr>
          <w:p w14:paraId="77DC15E0"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703" w:type="dxa"/>
            <w:tcBorders>
              <w:top w:val="nil"/>
              <w:left w:val="nil"/>
              <w:bottom w:val="single" w:sz="4" w:space="0" w:color="auto"/>
              <w:right w:val="single" w:sz="4" w:space="0" w:color="auto"/>
            </w:tcBorders>
            <w:shd w:val="clear" w:color="auto" w:fill="D9D9D9" w:themeFill="background1" w:themeFillShade="D9"/>
            <w:noWrap/>
          </w:tcPr>
          <w:p w14:paraId="51403127"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546" w:type="dxa"/>
            <w:tcBorders>
              <w:top w:val="nil"/>
              <w:left w:val="nil"/>
              <w:bottom w:val="single" w:sz="4" w:space="0" w:color="auto"/>
              <w:right w:val="nil"/>
            </w:tcBorders>
            <w:shd w:val="clear" w:color="auto" w:fill="D9D9D9" w:themeFill="background1" w:themeFillShade="D9"/>
          </w:tcPr>
          <w:p w14:paraId="26AA8BE6"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565" w:type="dxa"/>
            <w:tcBorders>
              <w:top w:val="nil"/>
              <w:left w:val="nil"/>
              <w:bottom w:val="single" w:sz="4" w:space="0" w:color="auto"/>
              <w:right w:val="single" w:sz="4" w:space="0" w:color="auto"/>
            </w:tcBorders>
            <w:shd w:val="clear" w:color="auto" w:fill="D9D9D9" w:themeFill="background1" w:themeFillShade="D9"/>
            <w:noWrap/>
          </w:tcPr>
          <w:p w14:paraId="77C5AB27"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32" w:type="dxa"/>
            <w:tcBorders>
              <w:top w:val="nil"/>
              <w:left w:val="nil"/>
              <w:bottom w:val="single" w:sz="4" w:space="0" w:color="auto"/>
              <w:right w:val="nil"/>
            </w:tcBorders>
            <w:shd w:val="clear" w:color="auto" w:fill="D9D9D9" w:themeFill="background1" w:themeFillShade="D9"/>
          </w:tcPr>
          <w:p w14:paraId="7543E4A3"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18" w:type="dxa"/>
            <w:tcBorders>
              <w:top w:val="nil"/>
              <w:left w:val="nil"/>
              <w:bottom w:val="single" w:sz="4" w:space="0" w:color="auto"/>
              <w:right w:val="single" w:sz="4" w:space="0" w:color="auto"/>
            </w:tcBorders>
            <w:shd w:val="clear" w:color="auto" w:fill="D9D9D9" w:themeFill="background1" w:themeFillShade="D9"/>
            <w:noWrap/>
          </w:tcPr>
          <w:p w14:paraId="48A72997"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562" w:type="dxa"/>
            <w:tcBorders>
              <w:top w:val="nil"/>
              <w:left w:val="nil"/>
              <w:bottom w:val="single" w:sz="4" w:space="0" w:color="auto"/>
              <w:right w:val="nil"/>
            </w:tcBorders>
            <w:shd w:val="clear" w:color="auto" w:fill="D9D9D9" w:themeFill="background1" w:themeFillShade="D9"/>
          </w:tcPr>
          <w:p w14:paraId="4FF360BE" w14:textId="77777777" w:rsidR="00403B07" w:rsidRDefault="00403B07" w:rsidP="00B01272">
            <w:r w:rsidRPr="006457EE">
              <w:rPr>
                <w:rFonts w:ascii="Marlett" w:hAnsi="Marlett"/>
              </w:rPr>
              <w:t></w:t>
            </w:r>
          </w:p>
        </w:tc>
        <w:tc>
          <w:tcPr>
            <w:tcW w:w="488" w:type="dxa"/>
            <w:tcBorders>
              <w:top w:val="nil"/>
              <w:left w:val="nil"/>
              <w:bottom w:val="single" w:sz="4" w:space="0" w:color="auto"/>
              <w:right w:val="single" w:sz="4" w:space="0" w:color="auto"/>
            </w:tcBorders>
            <w:shd w:val="clear" w:color="auto" w:fill="D9D9D9" w:themeFill="background1" w:themeFillShade="D9"/>
            <w:noWrap/>
          </w:tcPr>
          <w:p w14:paraId="46D33F86" w14:textId="77777777" w:rsidR="00403B07" w:rsidRDefault="00403B07" w:rsidP="00B01272">
            <w:r w:rsidRPr="006457EE">
              <w:rPr>
                <w:rFonts w:ascii="Marlett" w:hAnsi="Marlett"/>
              </w:rPr>
              <w:t></w:t>
            </w:r>
          </w:p>
        </w:tc>
        <w:tc>
          <w:tcPr>
            <w:tcW w:w="488" w:type="dxa"/>
            <w:tcBorders>
              <w:top w:val="nil"/>
              <w:left w:val="nil"/>
              <w:bottom w:val="single" w:sz="4" w:space="0" w:color="auto"/>
              <w:right w:val="nil"/>
            </w:tcBorders>
            <w:shd w:val="clear" w:color="auto" w:fill="D9D9D9" w:themeFill="background1" w:themeFillShade="D9"/>
          </w:tcPr>
          <w:p w14:paraId="3138E41A"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D9D9D9" w:themeFill="background1" w:themeFillShade="D9"/>
            <w:noWrap/>
          </w:tcPr>
          <w:p w14:paraId="6E938CEA"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9" w:type="dxa"/>
            <w:tcBorders>
              <w:top w:val="nil"/>
              <w:left w:val="nil"/>
              <w:bottom w:val="single" w:sz="4" w:space="0" w:color="auto"/>
              <w:right w:val="nil"/>
            </w:tcBorders>
            <w:shd w:val="clear" w:color="auto" w:fill="D9D9D9" w:themeFill="background1" w:themeFillShade="D9"/>
          </w:tcPr>
          <w:p w14:paraId="2D91D42F"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D9D9D9" w:themeFill="background1" w:themeFillShade="D9"/>
            <w:noWrap/>
          </w:tcPr>
          <w:p w14:paraId="4E85ED8F"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nil"/>
            </w:tcBorders>
            <w:shd w:val="clear" w:color="auto" w:fill="D9D9D9" w:themeFill="background1" w:themeFillShade="D9"/>
          </w:tcPr>
          <w:p w14:paraId="02F762AA"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D9D9D9" w:themeFill="background1" w:themeFillShade="D9"/>
            <w:noWrap/>
          </w:tcPr>
          <w:p w14:paraId="6790D3D2"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nil"/>
            </w:tcBorders>
            <w:shd w:val="clear" w:color="auto" w:fill="D9D9D9" w:themeFill="background1" w:themeFillShade="D9"/>
          </w:tcPr>
          <w:p w14:paraId="3A1B04BF"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D9D9D9" w:themeFill="background1" w:themeFillShade="D9"/>
            <w:noWrap/>
          </w:tcPr>
          <w:p w14:paraId="3991DB9E"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nil"/>
            </w:tcBorders>
            <w:shd w:val="clear" w:color="auto" w:fill="D9D9D9" w:themeFill="background1" w:themeFillShade="D9"/>
          </w:tcPr>
          <w:p w14:paraId="2BA31A23"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97" w:type="dxa"/>
            <w:tcBorders>
              <w:top w:val="nil"/>
              <w:left w:val="nil"/>
              <w:bottom w:val="single" w:sz="4" w:space="0" w:color="auto"/>
              <w:right w:val="single" w:sz="4" w:space="0" w:color="auto"/>
            </w:tcBorders>
            <w:shd w:val="clear" w:color="auto" w:fill="D9D9D9" w:themeFill="background1" w:themeFillShade="D9"/>
            <w:noWrap/>
          </w:tcPr>
          <w:p w14:paraId="2B2E6D1C"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2178" w:type="dxa"/>
            <w:tcBorders>
              <w:top w:val="nil"/>
              <w:left w:val="nil"/>
              <w:bottom w:val="single" w:sz="4" w:space="0" w:color="auto"/>
              <w:right w:val="single" w:sz="4" w:space="0" w:color="auto"/>
            </w:tcBorders>
            <w:shd w:val="clear" w:color="auto" w:fill="D9D9D9" w:themeFill="background1" w:themeFillShade="D9"/>
          </w:tcPr>
          <w:p w14:paraId="2F1C8E16" w14:textId="77777777" w:rsidR="00403B07" w:rsidRPr="00171BEB" w:rsidRDefault="00403B07" w:rsidP="00B01272">
            <w:pPr>
              <w:spacing w:after="0" w:line="240" w:lineRule="auto"/>
              <w:rPr>
                <w:rFonts w:ascii="Calibri" w:eastAsia="Times New Roman" w:hAnsi="Calibri" w:cs="Times New Roman"/>
                <w:color w:val="000000"/>
                <w:sz w:val="16"/>
                <w:szCs w:val="16"/>
              </w:rPr>
            </w:pPr>
            <w:r w:rsidRPr="00171BEB">
              <w:rPr>
                <w:rFonts w:ascii="Calibri" w:eastAsia="Times New Roman" w:hAnsi="Calibri" w:cs="Times New Roman"/>
                <w:color w:val="000000"/>
                <w:sz w:val="16"/>
                <w:szCs w:val="16"/>
              </w:rPr>
              <w:t> </w:t>
            </w:r>
          </w:p>
        </w:tc>
      </w:tr>
      <w:tr w:rsidR="00DA1C42" w:rsidRPr="00171BEB" w14:paraId="78CF8648" w14:textId="77777777" w:rsidTr="00B01272">
        <w:trPr>
          <w:gridAfter w:val="1"/>
          <w:wAfter w:w="12" w:type="dxa"/>
          <w:trHeight w:val="227"/>
        </w:trPr>
        <w:tc>
          <w:tcPr>
            <w:tcW w:w="462" w:type="dxa"/>
            <w:tcBorders>
              <w:top w:val="single" w:sz="4" w:space="0" w:color="auto"/>
              <w:left w:val="single" w:sz="4" w:space="0" w:color="auto"/>
              <w:bottom w:val="single" w:sz="4" w:space="0" w:color="auto"/>
              <w:right w:val="nil"/>
            </w:tcBorders>
            <w:shd w:val="clear" w:color="auto" w:fill="FABF8F" w:themeFill="accent6" w:themeFillTint="99"/>
          </w:tcPr>
          <w:p w14:paraId="5537C0AF" w14:textId="77777777" w:rsidR="00403B07" w:rsidRPr="000E3600" w:rsidRDefault="00403B07" w:rsidP="00B01272">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27</w:t>
            </w:r>
          </w:p>
        </w:tc>
        <w:tc>
          <w:tcPr>
            <w:tcW w:w="483" w:type="dxa"/>
            <w:tcBorders>
              <w:top w:val="nil"/>
              <w:left w:val="single" w:sz="4" w:space="0" w:color="auto"/>
              <w:bottom w:val="single" w:sz="4" w:space="0" w:color="auto"/>
              <w:right w:val="nil"/>
            </w:tcBorders>
            <w:shd w:val="clear" w:color="auto" w:fill="D9D9D9" w:themeFill="background1" w:themeFillShade="D9"/>
          </w:tcPr>
          <w:p w14:paraId="56E7EEB0"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6" w:type="dxa"/>
            <w:tcBorders>
              <w:top w:val="nil"/>
              <w:left w:val="nil"/>
              <w:bottom w:val="single" w:sz="4" w:space="0" w:color="auto"/>
              <w:right w:val="single" w:sz="4" w:space="0" w:color="auto"/>
            </w:tcBorders>
            <w:shd w:val="clear" w:color="auto" w:fill="D9D9D9" w:themeFill="background1" w:themeFillShade="D9"/>
            <w:noWrap/>
          </w:tcPr>
          <w:p w14:paraId="1ABCAC1C"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7" w:type="dxa"/>
            <w:tcBorders>
              <w:top w:val="nil"/>
              <w:left w:val="nil"/>
              <w:bottom w:val="single" w:sz="4" w:space="0" w:color="auto"/>
              <w:right w:val="nil"/>
            </w:tcBorders>
            <w:shd w:val="clear" w:color="auto" w:fill="D9D9D9" w:themeFill="background1" w:themeFillShade="D9"/>
          </w:tcPr>
          <w:p w14:paraId="53235D4D"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F9419C">
              <w:rPr>
                <w:rFonts w:ascii="Marlett" w:hAnsi="Marlett"/>
              </w:rPr>
              <w:t></w:t>
            </w:r>
          </w:p>
        </w:tc>
        <w:tc>
          <w:tcPr>
            <w:tcW w:w="668" w:type="dxa"/>
            <w:tcBorders>
              <w:top w:val="nil"/>
              <w:left w:val="nil"/>
              <w:bottom w:val="single" w:sz="4" w:space="0" w:color="auto"/>
              <w:right w:val="single" w:sz="4" w:space="0" w:color="auto"/>
            </w:tcBorders>
            <w:shd w:val="clear" w:color="auto" w:fill="D9D9D9" w:themeFill="background1" w:themeFillShade="D9"/>
            <w:noWrap/>
          </w:tcPr>
          <w:p w14:paraId="0EBF367B"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F9419C">
              <w:rPr>
                <w:rFonts w:ascii="Marlett" w:hAnsi="Marlett"/>
              </w:rPr>
              <w:t></w:t>
            </w:r>
          </w:p>
        </w:tc>
        <w:tc>
          <w:tcPr>
            <w:tcW w:w="304" w:type="dxa"/>
            <w:tcBorders>
              <w:top w:val="nil"/>
              <w:left w:val="nil"/>
              <w:bottom w:val="single" w:sz="4" w:space="0" w:color="auto"/>
              <w:right w:val="nil"/>
            </w:tcBorders>
            <w:shd w:val="clear" w:color="auto" w:fill="D9D9D9" w:themeFill="background1" w:themeFillShade="D9"/>
          </w:tcPr>
          <w:p w14:paraId="5899C88D" w14:textId="77777777" w:rsidR="00403B07" w:rsidRDefault="00403B07" w:rsidP="00B01272">
            <w:r w:rsidRPr="00CE252B">
              <w:rPr>
                <w:rFonts w:ascii="Marlett" w:hAnsi="Marlett"/>
              </w:rPr>
              <w:t></w:t>
            </w:r>
          </w:p>
        </w:tc>
        <w:tc>
          <w:tcPr>
            <w:tcW w:w="688" w:type="dxa"/>
            <w:tcBorders>
              <w:top w:val="nil"/>
              <w:left w:val="nil"/>
              <w:bottom w:val="single" w:sz="4" w:space="0" w:color="auto"/>
              <w:right w:val="single" w:sz="4" w:space="0" w:color="auto"/>
            </w:tcBorders>
            <w:shd w:val="clear" w:color="auto" w:fill="D9D9D9" w:themeFill="background1" w:themeFillShade="D9"/>
            <w:noWrap/>
          </w:tcPr>
          <w:p w14:paraId="1EAFA816" w14:textId="77777777" w:rsidR="00403B07" w:rsidRDefault="00403B07" w:rsidP="00B01272">
            <w:r w:rsidRPr="00CE252B">
              <w:rPr>
                <w:rFonts w:ascii="Marlett" w:hAnsi="Marlett"/>
              </w:rPr>
              <w:t></w:t>
            </w:r>
          </w:p>
        </w:tc>
        <w:tc>
          <w:tcPr>
            <w:tcW w:w="289" w:type="dxa"/>
            <w:tcBorders>
              <w:top w:val="nil"/>
              <w:left w:val="nil"/>
              <w:bottom w:val="single" w:sz="4" w:space="0" w:color="auto"/>
              <w:right w:val="nil"/>
            </w:tcBorders>
            <w:shd w:val="clear" w:color="auto" w:fill="D9D9D9" w:themeFill="background1" w:themeFillShade="D9"/>
          </w:tcPr>
          <w:p w14:paraId="53D005D2"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703" w:type="dxa"/>
            <w:tcBorders>
              <w:top w:val="nil"/>
              <w:left w:val="nil"/>
              <w:bottom w:val="single" w:sz="4" w:space="0" w:color="auto"/>
              <w:right w:val="single" w:sz="4" w:space="0" w:color="auto"/>
            </w:tcBorders>
            <w:shd w:val="clear" w:color="auto" w:fill="D9D9D9" w:themeFill="background1" w:themeFillShade="D9"/>
            <w:noWrap/>
          </w:tcPr>
          <w:p w14:paraId="6E7C1B1C"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546" w:type="dxa"/>
            <w:tcBorders>
              <w:top w:val="nil"/>
              <w:left w:val="nil"/>
              <w:bottom w:val="single" w:sz="4" w:space="0" w:color="auto"/>
              <w:right w:val="nil"/>
            </w:tcBorders>
            <w:shd w:val="clear" w:color="auto" w:fill="D9D9D9" w:themeFill="background1" w:themeFillShade="D9"/>
          </w:tcPr>
          <w:p w14:paraId="2A28E880"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565" w:type="dxa"/>
            <w:tcBorders>
              <w:top w:val="nil"/>
              <w:left w:val="nil"/>
              <w:bottom w:val="single" w:sz="4" w:space="0" w:color="auto"/>
              <w:right w:val="single" w:sz="4" w:space="0" w:color="auto"/>
            </w:tcBorders>
            <w:shd w:val="clear" w:color="auto" w:fill="D9D9D9" w:themeFill="background1" w:themeFillShade="D9"/>
            <w:noWrap/>
          </w:tcPr>
          <w:p w14:paraId="7E6C3C8E"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32" w:type="dxa"/>
            <w:tcBorders>
              <w:top w:val="nil"/>
              <w:left w:val="nil"/>
              <w:bottom w:val="single" w:sz="4" w:space="0" w:color="auto"/>
              <w:right w:val="nil"/>
            </w:tcBorders>
            <w:shd w:val="clear" w:color="auto" w:fill="D9D9D9" w:themeFill="background1" w:themeFillShade="D9"/>
          </w:tcPr>
          <w:p w14:paraId="195C0D6C"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18" w:type="dxa"/>
            <w:tcBorders>
              <w:top w:val="nil"/>
              <w:left w:val="nil"/>
              <w:bottom w:val="single" w:sz="4" w:space="0" w:color="auto"/>
              <w:right w:val="single" w:sz="4" w:space="0" w:color="auto"/>
            </w:tcBorders>
            <w:shd w:val="clear" w:color="auto" w:fill="D9D9D9" w:themeFill="background1" w:themeFillShade="D9"/>
            <w:noWrap/>
          </w:tcPr>
          <w:p w14:paraId="7B7BA932"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562" w:type="dxa"/>
            <w:tcBorders>
              <w:top w:val="nil"/>
              <w:left w:val="nil"/>
              <w:bottom w:val="single" w:sz="4" w:space="0" w:color="auto"/>
              <w:right w:val="nil"/>
            </w:tcBorders>
            <w:shd w:val="clear" w:color="auto" w:fill="D9D9D9" w:themeFill="background1" w:themeFillShade="D9"/>
          </w:tcPr>
          <w:p w14:paraId="5216CF82" w14:textId="77777777" w:rsidR="00403B07" w:rsidRDefault="00403B07" w:rsidP="00B01272">
            <w:r w:rsidRPr="006457EE">
              <w:rPr>
                <w:rFonts w:ascii="Marlett" w:hAnsi="Marlett"/>
              </w:rPr>
              <w:t></w:t>
            </w:r>
          </w:p>
        </w:tc>
        <w:tc>
          <w:tcPr>
            <w:tcW w:w="488" w:type="dxa"/>
            <w:tcBorders>
              <w:top w:val="nil"/>
              <w:left w:val="nil"/>
              <w:bottom w:val="single" w:sz="4" w:space="0" w:color="auto"/>
              <w:right w:val="single" w:sz="4" w:space="0" w:color="auto"/>
            </w:tcBorders>
            <w:shd w:val="clear" w:color="auto" w:fill="D9D9D9" w:themeFill="background1" w:themeFillShade="D9"/>
            <w:noWrap/>
          </w:tcPr>
          <w:p w14:paraId="5023A13E" w14:textId="77777777" w:rsidR="00403B07" w:rsidRDefault="00403B07" w:rsidP="00B01272">
            <w:r w:rsidRPr="006457EE">
              <w:rPr>
                <w:rFonts w:ascii="Marlett" w:hAnsi="Marlett"/>
              </w:rPr>
              <w:t></w:t>
            </w:r>
          </w:p>
        </w:tc>
        <w:tc>
          <w:tcPr>
            <w:tcW w:w="488" w:type="dxa"/>
            <w:tcBorders>
              <w:top w:val="nil"/>
              <w:left w:val="nil"/>
              <w:bottom w:val="single" w:sz="4" w:space="0" w:color="auto"/>
              <w:right w:val="nil"/>
            </w:tcBorders>
            <w:shd w:val="clear" w:color="auto" w:fill="D9D9D9" w:themeFill="background1" w:themeFillShade="D9"/>
          </w:tcPr>
          <w:p w14:paraId="01ED9A66" w14:textId="77777777" w:rsidR="00403B07" w:rsidRDefault="00403B07" w:rsidP="00B01272">
            <w:r w:rsidRPr="000619DF">
              <w:rPr>
                <w:rFonts w:ascii="Marlett" w:hAnsi="Marlett"/>
              </w:rPr>
              <w:t></w:t>
            </w:r>
          </w:p>
        </w:tc>
        <w:tc>
          <w:tcPr>
            <w:tcW w:w="488" w:type="dxa"/>
            <w:tcBorders>
              <w:top w:val="nil"/>
              <w:left w:val="nil"/>
              <w:bottom w:val="single" w:sz="4" w:space="0" w:color="auto"/>
              <w:right w:val="single" w:sz="4" w:space="0" w:color="auto"/>
            </w:tcBorders>
            <w:shd w:val="clear" w:color="auto" w:fill="D9D9D9" w:themeFill="background1" w:themeFillShade="D9"/>
            <w:noWrap/>
          </w:tcPr>
          <w:p w14:paraId="1348EA7D" w14:textId="77777777" w:rsidR="00403B07" w:rsidRDefault="00403B07" w:rsidP="00B01272">
            <w:r w:rsidRPr="000619DF">
              <w:rPr>
                <w:rFonts w:ascii="Marlett" w:hAnsi="Marlett"/>
              </w:rPr>
              <w:t></w:t>
            </w:r>
          </w:p>
        </w:tc>
        <w:tc>
          <w:tcPr>
            <w:tcW w:w="489" w:type="dxa"/>
            <w:tcBorders>
              <w:top w:val="nil"/>
              <w:left w:val="nil"/>
              <w:bottom w:val="single" w:sz="4" w:space="0" w:color="auto"/>
              <w:right w:val="nil"/>
            </w:tcBorders>
            <w:shd w:val="clear" w:color="auto" w:fill="D9D9D9" w:themeFill="background1" w:themeFillShade="D9"/>
          </w:tcPr>
          <w:p w14:paraId="6F587010"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D9D9D9" w:themeFill="background1" w:themeFillShade="D9"/>
            <w:noWrap/>
          </w:tcPr>
          <w:p w14:paraId="2ECFFE90"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nil"/>
            </w:tcBorders>
            <w:shd w:val="clear" w:color="auto" w:fill="D9D9D9" w:themeFill="background1" w:themeFillShade="D9"/>
          </w:tcPr>
          <w:p w14:paraId="7C65B1C0"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D9D9D9" w:themeFill="background1" w:themeFillShade="D9"/>
            <w:noWrap/>
          </w:tcPr>
          <w:p w14:paraId="646111FA"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nil"/>
            </w:tcBorders>
            <w:shd w:val="clear" w:color="auto" w:fill="D9D9D9" w:themeFill="background1" w:themeFillShade="D9"/>
          </w:tcPr>
          <w:p w14:paraId="7AFB8E24"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D9D9D9" w:themeFill="background1" w:themeFillShade="D9"/>
            <w:noWrap/>
          </w:tcPr>
          <w:p w14:paraId="1F88F19E"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nil"/>
            </w:tcBorders>
            <w:shd w:val="clear" w:color="auto" w:fill="D9D9D9" w:themeFill="background1" w:themeFillShade="D9"/>
          </w:tcPr>
          <w:p w14:paraId="63A9FBA9"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97" w:type="dxa"/>
            <w:tcBorders>
              <w:top w:val="nil"/>
              <w:left w:val="nil"/>
              <w:bottom w:val="single" w:sz="4" w:space="0" w:color="auto"/>
              <w:right w:val="single" w:sz="4" w:space="0" w:color="auto"/>
            </w:tcBorders>
            <w:shd w:val="clear" w:color="auto" w:fill="D9D9D9" w:themeFill="background1" w:themeFillShade="D9"/>
            <w:noWrap/>
          </w:tcPr>
          <w:p w14:paraId="0B286441"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2178" w:type="dxa"/>
            <w:tcBorders>
              <w:top w:val="nil"/>
              <w:left w:val="nil"/>
              <w:bottom w:val="single" w:sz="4" w:space="0" w:color="auto"/>
              <w:right w:val="single" w:sz="4" w:space="0" w:color="auto"/>
            </w:tcBorders>
            <w:shd w:val="clear" w:color="auto" w:fill="D9D9D9" w:themeFill="background1" w:themeFillShade="D9"/>
          </w:tcPr>
          <w:p w14:paraId="279ACDA2" w14:textId="77777777" w:rsidR="00403B07" w:rsidRPr="00171BEB" w:rsidRDefault="00403B07" w:rsidP="00B01272">
            <w:pPr>
              <w:spacing w:after="0" w:line="240" w:lineRule="auto"/>
              <w:rPr>
                <w:rFonts w:ascii="Calibri" w:eastAsia="Times New Roman" w:hAnsi="Calibri" w:cs="Times New Roman"/>
                <w:color w:val="000000"/>
                <w:sz w:val="16"/>
                <w:szCs w:val="16"/>
              </w:rPr>
            </w:pPr>
            <w:r w:rsidRPr="00171BEB">
              <w:rPr>
                <w:rFonts w:ascii="Calibri" w:eastAsia="Times New Roman" w:hAnsi="Calibri" w:cs="Times New Roman"/>
                <w:color w:val="000000"/>
                <w:sz w:val="16"/>
                <w:szCs w:val="16"/>
              </w:rPr>
              <w:t> </w:t>
            </w:r>
          </w:p>
        </w:tc>
      </w:tr>
      <w:tr w:rsidR="00DA1C42" w:rsidRPr="00171BEB" w14:paraId="70B3D5ED" w14:textId="77777777" w:rsidTr="00B01272">
        <w:trPr>
          <w:gridAfter w:val="1"/>
          <w:wAfter w:w="12" w:type="dxa"/>
          <w:trHeight w:val="227"/>
        </w:trPr>
        <w:tc>
          <w:tcPr>
            <w:tcW w:w="462" w:type="dxa"/>
            <w:tcBorders>
              <w:top w:val="single" w:sz="4" w:space="0" w:color="auto"/>
              <w:left w:val="single" w:sz="4" w:space="0" w:color="auto"/>
              <w:bottom w:val="single" w:sz="4" w:space="0" w:color="auto"/>
              <w:right w:val="nil"/>
            </w:tcBorders>
            <w:shd w:val="clear" w:color="auto" w:fill="FABF8F" w:themeFill="accent6" w:themeFillTint="99"/>
          </w:tcPr>
          <w:p w14:paraId="4C5F6E78" w14:textId="77777777" w:rsidR="00403B07" w:rsidRPr="000E3600" w:rsidRDefault="00403B07" w:rsidP="00B01272">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lastRenderedPageBreak/>
              <w:t>28</w:t>
            </w:r>
          </w:p>
        </w:tc>
        <w:tc>
          <w:tcPr>
            <w:tcW w:w="483" w:type="dxa"/>
            <w:tcBorders>
              <w:top w:val="nil"/>
              <w:left w:val="single" w:sz="4" w:space="0" w:color="auto"/>
              <w:bottom w:val="single" w:sz="4" w:space="0" w:color="auto"/>
              <w:right w:val="nil"/>
            </w:tcBorders>
            <w:shd w:val="clear" w:color="auto" w:fill="D9D9D9" w:themeFill="background1" w:themeFillShade="D9"/>
            <w:noWrap/>
          </w:tcPr>
          <w:p w14:paraId="041DC43E"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6" w:type="dxa"/>
            <w:tcBorders>
              <w:top w:val="nil"/>
              <w:left w:val="nil"/>
              <w:bottom w:val="single" w:sz="4" w:space="0" w:color="auto"/>
              <w:right w:val="single" w:sz="4" w:space="0" w:color="auto"/>
            </w:tcBorders>
            <w:shd w:val="clear" w:color="auto" w:fill="D9D9D9" w:themeFill="background1" w:themeFillShade="D9"/>
            <w:noWrap/>
          </w:tcPr>
          <w:p w14:paraId="04FE3F6A"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7" w:type="dxa"/>
            <w:tcBorders>
              <w:top w:val="nil"/>
              <w:left w:val="nil"/>
              <w:bottom w:val="single" w:sz="4" w:space="0" w:color="auto"/>
              <w:right w:val="nil"/>
            </w:tcBorders>
            <w:shd w:val="clear" w:color="auto" w:fill="D9D9D9" w:themeFill="background1" w:themeFillShade="D9"/>
          </w:tcPr>
          <w:p w14:paraId="28D38486"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668" w:type="dxa"/>
            <w:tcBorders>
              <w:top w:val="nil"/>
              <w:left w:val="nil"/>
              <w:bottom w:val="single" w:sz="4" w:space="0" w:color="auto"/>
              <w:right w:val="single" w:sz="4" w:space="0" w:color="auto"/>
            </w:tcBorders>
            <w:shd w:val="clear" w:color="auto" w:fill="D9D9D9" w:themeFill="background1" w:themeFillShade="D9"/>
            <w:noWrap/>
          </w:tcPr>
          <w:p w14:paraId="558FD94D"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304" w:type="dxa"/>
            <w:tcBorders>
              <w:top w:val="nil"/>
              <w:left w:val="nil"/>
              <w:bottom w:val="single" w:sz="4" w:space="0" w:color="auto"/>
              <w:right w:val="nil"/>
            </w:tcBorders>
            <w:shd w:val="clear" w:color="auto" w:fill="D9D9D9" w:themeFill="background1" w:themeFillShade="D9"/>
          </w:tcPr>
          <w:p w14:paraId="0A9049E6" w14:textId="77777777" w:rsidR="00403B07" w:rsidRDefault="00403B07" w:rsidP="00B01272">
            <w:r w:rsidRPr="00CE252B">
              <w:rPr>
                <w:rFonts w:ascii="Marlett" w:hAnsi="Marlett"/>
              </w:rPr>
              <w:t></w:t>
            </w:r>
          </w:p>
        </w:tc>
        <w:tc>
          <w:tcPr>
            <w:tcW w:w="688" w:type="dxa"/>
            <w:tcBorders>
              <w:top w:val="nil"/>
              <w:left w:val="nil"/>
              <w:bottom w:val="single" w:sz="4" w:space="0" w:color="auto"/>
              <w:right w:val="single" w:sz="4" w:space="0" w:color="auto"/>
            </w:tcBorders>
            <w:shd w:val="clear" w:color="auto" w:fill="D9D9D9" w:themeFill="background1" w:themeFillShade="D9"/>
            <w:noWrap/>
          </w:tcPr>
          <w:p w14:paraId="5C6FB7BF" w14:textId="77777777" w:rsidR="00403B07" w:rsidRDefault="00403B07" w:rsidP="00B01272">
            <w:r w:rsidRPr="00CE252B">
              <w:rPr>
                <w:rFonts w:ascii="Marlett" w:hAnsi="Marlett"/>
              </w:rPr>
              <w:t></w:t>
            </w:r>
          </w:p>
        </w:tc>
        <w:tc>
          <w:tcPr>
            <w:tcW w:w="289" w:type="dxa"/>
            <w:tcBorders>
              <w:top w:val="nil"/>
              <w:left w:val="nil"/>
              <w:bottom w:val="single" w:sz="4" w:space="0" w:color="auto"/>
              <w:right w:val="nil"/>
            </w:tcBorders>
            <w:shd w:val="clear" w:color="auto" w:fill="D9D9D9" w:themeFill="background1" w:themeFillShade="D9"/>
          </w:tcPr>
          <w:p w14:paraId="44E90742" w14:textId="77777777" w:rsidR="00403B07" w:rsidRDefault="00403B07" w:rsidP="00B01272">
            <w:r w:rsidRPr="004A7F93">
              <w:rPr>
                <w:rFonts w:ascii="Marlett" w:hAnsi="Marlett"/>
              </w:rPr>
              <w:t></w:t>
            </w:r>
          </w:p>
        </w:tc>
        <w:tc>
          <w:tcPr>
            <w:tcW w:w="703" w:type="dxa"/>
            <w:tcBorders>
              <w:top w:val="nil"/>
              <w:left w:val="nil"/>
              <w:bottom w:val="single" w:sz="4" w:space="0" w:color="auto"/>
              <w:right w:val="single" w:sz="4" w:space="0" w:color="auto"/>
            </w:tcBorders>
            <w:shd w:val="clear" w:color="auto" w:fill="D9D9D9" w:themeFill="background1" w:themeFillShade="D9"/>
            <w:noWrap/>
          </w:tcPr>
          <w:p w14:paraId="3AC845E5" w14:textId="77777777" w:rsidR="00403B07" w:rsidRDefault="00403B07" w:rsidP="00B01272">
            <w:r w:rsidRPr="004A7F93">
              <w:rPr>
                <w:rFonts w:ascii="Marlett" w:hAnsi="Marlett"/>
              </w:rPr>
              <w:t></w:t>
            </w:r>
          </w:p>
        </w:tc>
        <w:tc>
          <w:tcPr>
            <w:tcW w:w="546" w:type="dxa"/>
            <w:tcBorders>
              <w:top w:val="nil"/>
              <w:left w:val="nil"/>
              <w:bottom w:val="single" w:sz="4" w:space="0" w:color="auto"/>
              <w:right w:val="nil"/>
            </w:tcBorders>
            <w:shd w:val="clear" w:color="auto" w:fill="D9D9D9" w:themeFill="background1" w:themeFillShade="D9"/>
          </w:tcPr>
          <w:p w14:paraId="302E30A5"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565" w:type="dxa"/>
            <w:tcBorders>
              <w:top w:val="nil"/>
              <w:left w:val="nil"/>
              <w:bottom w:val="single" w:sz="4" w:space="0" w:color="auto"/>
              <w:right w:val="single" w:sz="4" w:space="0" w:color="auto"/>
            </w:tcBorders>
            <w:shd w:val="clear" w:color="auto" w:fill="D9D9D9" w:themeFill="background1" w:themeFillShade="D9"/>
            <w:noWrap/>
          </w:tcPr>
          <w:p w14:paraId="770CE43C"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32" w:type="dxa"/>
            <w:tcBorders>
              <w:top w:val="nil"/>
              <w:left w:val="nil"/>
              <w:bottom w:val="single" w:sz="4" w:space="0" w:color="auto"/>
              <w:right w:val="nil"/>
            </w:tcBorders>
            <w:shd w:val="clear" w:color="auto" w:fill="D9D9D9" w:themeFill="background1" w:themeFillShade="D9"/>
          </w:tcPr>
          <w:p w14:paraId="449CB7C6"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18" w:type="dxa"/>
            <w:tcBorders>
              <w:top w:val="nil"/>
              <w:left w:val="nil"/>
              <w:bottom w:val="single" w:sz="4" w:space="0" w:color="auto"/>
              <w:right w:val="single" w:sz="4" w:space="0" w:color="auto"/>
            </w:tcBorders>
            <w:shd w:val="clear" w:color="auto" w:fill="D9D9D9" w:themeFill="background1" w:themeFillShade="D9"/>
            <w:noWrap/>
          </w:tcPr>
          <w:p w14:paraId="4B430903"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562" w:type="dxa"/>
            <w:tcBorders>
              <w:top w:val="nil"/>
              <w:left w:val="nil"/>
              <w:bottom w:val="single" w:sz="4" w:space="0" w:color="auto"/>
              <w:right w:val="nil"/>
            </w:tcBorders>
            <w:shd w:val="clear" w:color="auto" w:fill="D9D9D9" w:themeFill="background1" w:themeFillShade="D9"/>
          </w:tcPr>
          <w:p w14:paraId="65BD8903" w14:textId="77777777" w:rsidR="00403B07" w:rsidRDefault="00403B07" w:rsidP="00B01272">
            <w:r w:rsidRPr="006457EE">
              <w:rPr>
                <w:rFonts w:ascii="Marlett" w:hAnsi="Marlett"/>
              </w:rPr>
              <w:t></w:t>
            </w:r>
          </w:p>
        </w:tc>
        <w:tc>
          <w:tcPr>
            <w:tcW w:w="488" w:type="dxa"/>
            <w:tcBorders>
              <w:top w:val="nil"/>
              <w:left w:val="nil"/>
              <w:bottom w:val="single" w:sz="4" w:space="0" w:color="auto"/>
              <w:right w:val="single" w:sz="4" w:space="0" w:color="auto"/>
            </w:tcBorders>
            <w:shd w:val="clear" w:color="auto" w:fill="D9D9D9" w:themeFill="background1" w:themeFillShade="D9"/>
            <w:noWrap/>
          </w:tcPr>
          <w:p w14:paraId="333E1886" w14:textId="77777777" w:rsidR="00403B07" w:rsidRDefault="00403B07" w:rsidP="00B01272">
            <w:r w:rsidRPr="006457EE">
              <w:rPr>
                <w:rFonts w:ascii="Marlett" w:hAnsi="Marlett"/>
              </w:rPr>
              <w:t></w:t>
            </w:r>
          </w:p>
        </w:tc>
        <w:tc>
          <w:tcPr>
            <w:tcW w:w="488" w:type="dxa"/>
            <w:tcBorders>
              <w:top w:val="nil"/>
              <w:left w:val="nil"/>
              <w:bottom w:val="single" w:sz="4" w:space="0" w:color="auto"/>
              <w:right w:val="nil"/>
            </w:tcBorders>
            <w:shd w:val="clear" w:color="auto" w:fill="D9D9D9" w:themeFill="background1" w:themeFillShade="D9"/>
          </w:tcPr>
          <w:p w14:paraId="703F9DC0"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D9D9D9" w:themeFill="background1" w:themeFillShade="D9"/>
            <w:noWrap/>
          </w:tcPr>
          <w:p w14:paraId="5393BD1E"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9" w:type="dxa"/>
            <w:tcBorders>
              <w:top w:val="nil"/>
              <w:left w:val="nil"/>
              <w:bottom w:val="single" w:sz="4" w:space="0" w:color="auto"/>
              <w:right w:val="nil"/>
            </w:tcBorders>
            <w:shd w:val="clear" w:color="auto" w:fill="D9D9D9" w:themeFill="background1" w:themeFillShade="D9"/>
            <w:noWrap/>
          </w:tcPr>
          <w:p w14:paraId="65CB172A"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D9D9D9" w:themeFill="background1" w:themeFillShade="D9"/>
            <w:noWrap/>
          </w:tcPr>
          <w:p w14:paraId="3B449C58"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nil"/>
            </w:tcBorders>
            <w:shd w:val="clear" w:color="auto" w:fill="D9D9D9" w:themeFill="background1" w:themeFillShade="D9"/>
          </w:tcPr>
          <w:p w14:paraId="522EBFFF"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D9D9D9" w:themeFill="background1" w:themeFillShade="D9"/>
            <w:noWrap/>
          </w:tcPr>
          <w:p w14:paraId="66888648"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nil"/>
            </w:tcBorders>
            <w:shd w:val="clear" w:color="auto" w:fill="D9D9D9" w:themeFill="background1" w:themeFillShade="D9"/>
          </w:tcPr>
          <w:p w14:paraId="1E946089"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D9D9D9" w:themeFill="background1" w:themeFillShade="D9"/>
            <w:noWrap/>
          </w:tcPr>
          <w:p w14:paraId="3D481C38"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nil"/>
            </w:tcBorders>
            <w:shd w:val="clear" w:color="auto" w:fill="D9D9D9" w:themeFill="background1" w:themeFillShade="D9"/>
          </w:tcPr>
          <w:p w14:paraId="126F6FE1"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97" w:type="dxa"/>
            <w:tcBorders>
              <w:top w:val="nil"/>
              <w:left w:val="nil"/>
              <w:bottom w:val="single" w:sz="4" w:space="0" w:color="auto"/>
              <w:right w:val="single" w:sz="4" w:space="0" w:color="auto"/>
            </w:tcBorders>
            <w:shd w:val="clear" w:color="auto" w:fill="D9D9D9" w:themeFill="background1" w:themeFillShade="D9"/>
            <w:noWrap/>
          </w:tcPr>
          <w:p w14:paraId="5823D4EB"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2178" w:type="dxa"/>
            <w:tcBorders>
              <w:top w:val="nil"/>
              <w:left w:val="nil"/>
              <w:bottom w:val="single" w:sz="4" w:space="0" w:color="auto"/>
              <w:right w:val="single" w:sz="4" w:space="0" w:color="auto"/>
            </w:tcBorders>
            <w:shd w:val="clear" w:color="auto" w:fill="D9D9D9" w:themeFill="background1" w:themeFillShade="D9"/>
          </w:tcPr>
          <w:p w14:paraId="71AC0E77" w14:textId="77777777" w:rsidR="00403B07" w:rsidRPr="00171BEB" w:rsidRDefault="00403B07" w:rsidP="00B01272">
            <w:pPr>
              <w:spacing w:after="0" w:line="240" w:lineRule="auto"/>
              <w:rPr>
                <w:rFonts w:ascii="Calibri" w:eastAsia="Times New Roman" w:hAnsi="Calibri" w:cs="Times New Roman"/>
                <w:color w:val="000000"/>
                <w:sz w:val="16"/>
                <w:szCs w:val="16"/>
              </w:rPr>
            </w:pPr>
            <w:r w:rsidRPr="00171BEB">
              <w:rPr>
                <w:rFonts w:ascii="Calibri" w:eastAsia="Times New Roman" w:hAnsi="Calibri" w:cs="Times New Roman"/>
                <w:color w:val="000000"/>
                <w:sz w:val="16"/>
                <w:szCs w:val="16"/>
              </w:rPr>
              <w:t> </w:t>
            </w:r>
          </w:p>
        </w:tc>
      </w:tr>
      <w:tr w:rsidR="00DA1C42" w:rsidRPr="00171BEB" w14:paraId="432EFBFC" w14:textId="77777777" w:rsidTr="00B01272">
        <w:trPr>
          <w:gridAfter w:val="1"/>
          <w:wAfter w:w="12" w:type="dxa"/>
          <w:trHeight w:val="252"/>
        </w:trPr>
        <w:tc>
          <w:tcPr>
            <w:tcW w:w="462" w:type="dxa"/>
            <w:tcBorders>
              <w:top w:val="single" w:sz="4" w:space="0" w:color="auto"/>
              <w:left w:val="single" w:sz="4" w:space="0" w:color="auto"/>
              <w:bottom w:val="single" w:sz="4" w:space="0" w:color="auto"/>
              <w:right w:val="nil"/>
            </w:tcBorders>
            <w:shd w:val="clear" w:color="auto" w:fill="FABF8F" w:themeFill="accent6" w:themeFillTint="99"/>
          </w:tcPr>
          <w:p w14:paraId="3E22D81D" w14:textId="77777777" w:rsidR="00403B07" w:rsidRPr="000E3600" w:rsidRDefault="00403B07" w:rsidP="00B01272">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29</w:t>
            </w:r>
          </w:p>
        </w:tc>
        <w:tc>
          <w:tcPr>
            <w:tcW w:w="483" w:type="dxa"/>
            <w:tcBorders>
              <w:top w:val="nil"/>
              <w:left w:val="single" w:sz="4" w:space="0" w:color="auto"/>
              <w:bottom w:val="single" w:sz="4" w:space="0" w:color="auto"/>
              <w:right w:val="nil"/>
            </w:tcBorders>
            <w:shd w:val="clear" w:color="auto" w:fill="D9D9D9" w:themeFill="background1" w:themeFillShade="D9"/>
          </w:tcPr>
          <w:p w14:paraId="59C9A37B"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6" w:type="dxa"/>
            <w:tcBorders>
              <w:top w:val="nil"/>
              <w:left w:val="nil"/>
              <w:bottom w:val="single" w:sz="4" w:space="0" w:color="auto"/>
              <w:right w:val="single" w:sz="4" w:space="0" w:color="auto"/>
            </w:tcBorders>
            <w:shd w:val="clear" w:color="auto" w:fill="D9D9D9" w:themeFill="background1" w:themeFillShade="D9"/>
            <w:noWrap/>
          </w:tcPr>
          <w:p w14:paraId="27918272"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7" w:type="dxa"/>
            <w:tcBorders>
              <w:top w:val="nil"/>
              <w:left w:val="nil"/>
              <w:bottom w:val="single" w:sz="4" w:space="0" w:color="auto"/>
              <w:right w:val="nil"/>
            </w:tcBorders>
            <w:shd w:val="clear" w:color="auto" w:fill="D9D9D9" w:themeFill="background1" w:themeFillShade="D9"/>
          </w:tcPr>
          <w:p w14:paraId="14462450"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668" w:type="dxa"/>
            <w:tcBorders>
              <w:top w:val="nil"/>
              <w:left w:val="nil"/>
              <w:bottom w:val="single" w:sz="4" w:space="0" w:color="auto"/>
              <w:right w:val="single" w:sz="4" w:space="0" w:color="auto"/>
            </w:tcBorders>
            <w:shd w:val="clear" w:color="auto" w:fill="D9D9D9" w:themeFill="background1" w:themeFillShade="D9"/>
            <w:noWrap/>
          </w:tcPr>
          <w:p w14:paraId="61EBBCD2"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304" w:type="dxa"/>
            <w:tcBorders>
              <w:top w:val="nil"/>
              <w:left w:val="nil"/>
              <w:bottom w:val="single" w:sz="4" w:space="0" w:color="auto"/>
              <w:right w:val="nil"/>
            </w:tcBorders>
            <w:shd w:val="clear" w:color="auto" w:fill="D9D9D9" w:themeFill="background1" w:themeFillShade="D9"/>
          </w:tcPr>
          <w:p w14:paraId="2BB7A120"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688" w:type="dxa"/>
            <w:tcBorders>
              <w:top w:val="nil"/>
              <w:left w:val="nil"/>
              <w:bottom w:val="single" w:sz="4" w:space="0" w:color="auto"/>
              <w:right w:val="single" w:sz="4" w:space="0" w:color="auto"/>
            </w:tcBorders>
            <w:shd w:val="clear" w:color="auto" w:fill="D9D9D9" w:themeFill="background1" w:themeFillShade="D9"/>
            <w:noWrap/>
          </w:tcPr>
          <w:p w14:paraId="3EAD247D"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289" w:type="dxa"/>
            <w:tcBorders>
              <w:top w:val="nil"/>
              <w:left w:val="nil"/>
              <w:bottom w:val="single" w:sz="4" w:space="0" w:color="auto"/>
              <w:right w:val="nil"/>
            </w:tcBorders>
            <w:shd w:val="clear" w:color="auto" w:fill="D9D9D9" w:themeFill="background1" w:themeFillShade="D9"/>
          </w:tcPr>
          <w:p w14:paraId="135D9D6A" w14:textId="77777777" w:rsidR="00403B07" w:rsidRDefault="00403B07" w:rsidP="00B01272">
            <w:r w:rsidRPr="004A7F93">
              <w:rPr>
                <w:rFonts w:ascii="Marlett" w:hAnsi="Marlett"/>
              </w:rPr>
              <w:t></w:t>
            </w:r>
          </w:p>
        </w:tc>
        <w:tc>
          <w:tcPr>
            <w:tcW w:w="703" w:type="dxa"/>
            <w:tcBorders>
              <w:top w:val="nil"/>
              <w:left w:val="nil"/>
              <w:bottom w:val="single" w:sz="4" w:space="0" w:color="auto"/>
              <w:right w:val="single" w:sz="4" w:space="0" w:color="auto"/>
            </w:tcBorders>
            <w:shd w:val="clear" w:color="auto" w:fill="D9D9D9" w:themeFill="background1" w:themeFillShade="D9"/>
            <w:noWrap/>
          </w:tcPr>
          <w:p w14:paraId="096CA25C" w14:textId="77777777" w:rsidR="00403B07" w:rsidRDefault="00403B07" w:rsidP="00B01272">
            <w:r w:rsidRPr="004A7F93">
              <w:rPr>
                <w:rFonts w:ascii="Marlett" w:hAnsi="Marlett"/>
              </w:rPr>
              <w:t></w:t>
            </w:r>
          </w:p>
        </w:tc>
        <w:tc>
          <w:tcPr>
            <w:tcW w:w="546" w:type="dxa"/>
            <w:tcBorders>
              <w:top w:val="nil"/>
              <w:left w:val="nil"/>
              <w:bottom w:val="single" w:sz="4" w:space="0" w:color="auto"/>
              <w:right w:val="nil"/>
            </w:tcBorders>
            <w:shd w:val="clear" w:color="auto" w:fill="D9D9D9" w:themeFill="background1" w:themeFillShade="D9"/>
          </w:tcPr>
          <w:p w14:paraId="279D5567"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565" w:type="dxa"/>
            <w:tcBorders>
              <w:top w:val="nil"/>
              <w:left w:val="nil"/>
              <w:bottom w:val="single" w:sz="4" w:space="0" w:color="auto"/>
              <w:right w:val="single" w:sz="4" w:space="0" w:color="auto"/>
            </w:tcBorders>
            <w:shd w:val="clear" w:color="auto" w:fill="D9D9D9" w:themeFill="background1" w:themeFillShade="D9"/>
            <w:noWrap/>
          </w:tcPr>
          <w:p w14:paraId="59E209D0"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32" w:type="dxa"/>
            <w:tcBorders>
              <w:top w:val="nil"/>
              <w:left w:val="nil"/>
              <w:bottom w:val="single" w:sz="4" w:space="0" w:color="auto"/>
              <w:right w:val="nil"/>
            </w:tcBorders>
            <w:shd w:val="clear" w:color="auto" w:fill="D9D9D9" w:themeFill="background1" w:themeFillShade="D9"/>
          </w:tcPr>
          <w:p w14:paraId="4F9F4FA5"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18" w:type="dxa"/>
            <w:tcBorders>
              <w:top w:val="nil"/>
              <w:left w:val="nil"/>
              <w:bottom w:val="single" w:sz="4" w:space="0" w:color="auto"/>
              <w:right w:val="single" w:sz="4" w:space="0" w:color="auto"/>
            </w:tcBorders>
            <w:shd w:val="clear" w:color="auto" w:fill="D9D9D9" w:themeFill="background1" w:themeFillShade="D9"/>
            <w:noWrap/>
          </w:tcPr>
          <w:p w14:paraId="2DBF5A0A"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562" w:type="dxa"/>
            <w:tcBorders>
              <w:top w:val="nil"/>
              <w:left w:val="nil"/>
              <w:bottom w:val="single" w:sz="4" w:space="0" w:color="auto"/>
              <w:right w:val="nil"/>
            </w:tcBorders>
            <w:shd w:val="clear" w:color="auto" w:fill="D9D9D9" w:themeFill="background1" w:themeFillShade="D9"/>
          </w:tcPr>
          <w:p w14:paraId="20EDF718" w14:textId="77777777" w:rsidR="00403B07" w:rsidRDefault="00403B07" w:rsidP="00B01272">
            <w:r w:rsidRPr="006457EE">
              <w:rPr>
                <w:rFonts w:ascii="Marlett" w:hAnsi="Marlett"/>
              </w:rPr>
              <w:t></w:t>
            </w:r>
          </w:p>
        </w:tc>
        <w:tc>
          <w:tcPr>
            <w:tcW w:w="488" w:type="dxa"/>
            <w:tcBorders>
              <w:top w:val="nil"/>
              <w:left w:val="nil"/>
              <w:bottom w:val="single" w:sz="4" w:space="0" w:color="auto"/>
              <w:right w:val="single" w:sz="4" w:space="0" w:color="auto"/>
            </w:tcBorders>
            <w:shd w:val="clear" w:color="auto" w:fill="D9D9D9" w:themeFill="background1" w:themeFillShade="D9"/>
            <w:noWrap/>
          </w:tcPr>
          <w:p w14:paraId="642D15CE" w14:textId="77777777" w:rsidR="00403B07" w:rsidRDefault="00403B07" w:rsidP="00B01272">
            <w:r w:rsidRPr="006457EE">
              <w:rPr>
                <w:rFonts w:ascii="Marlett" w:hAnsi="Marlett"/>
              </w:rPr>
              <w:t></w:t>
            </w:r>
          </w:p>
        </w:tc>
        <w:tc>
          <w:tcPr>
            <w:tcW w:w="488" w:type="dxa"/>
            <w:tcBorders>
              <w:top w:val="nil"/>
              <w:left w:val="nil"/>
              <w:bottom w:val="single" w:sz="4" w:space="0" w:color="auto"/>
              <w:right w:val="nil"/>
            </w:tcBorders>
            <w:shd w:val="clear" w:color="auto" w:fill="D9D9D9" w:themeFill="background1" w:themeFillShade="D9"/>
          </w:tcPr>
          <w:p w14:paraId="30AA619E"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D9D9D9" w:themeFill="background1" w:themeFillShade="D9"/>
            <w:noWrap/>
          </w:tcPr>
          <w:p w14:paraId="136FC5D0"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9" w:type="dxa"/>
            <w:tcBorders>
              <w:top w:val="nil"/>
              <w:left w:val="nil"/>
              <w:bottom w:val="single" w:sz="4" w:space="0" w:color="auto"/>
              <w:right w:val="nil"/>
            </w:tcBorders>
            <w:shd w:val="clear" w:color="auto" w:fill="D9D9D9" w:themeFill="background1" w:themeFillShade="D9"/>
          </w:tcPr>
          <w:p w14:paraId="4204871E"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D9D9D9" w:themeFill="background1" w:themeFillShade="D9"/>
            <w:noWrap/>
          </w:tcPr>
          <w:p w14:paraId="42C05979"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nil"/>
            </w:tcBorders>
            <w:shd w:val="clear" w:color="auto" w:fill="D9D9D9" w:themeFill="background1" w:themeFillShade="D9"/>
          </w:tcPr>
          <w:p w14:paraId="68354D0C"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D9D9D9" w:themeFill="background1" w:themeFillShade="D9"/>
            <w:noWrap/>
          </w:tcPr>
          <w:p w14:paraId="5FD9BA3F"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nil"/>
            </w:tcBorders>
            <w:shd w:val="clear" w:color="auto" w:fill="D9D9D9" w:themeFill="background1" w:themeFillShade="D9"/>
          </w:tcPr>
          <w:p w14:paraId="3ECAEA83"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D9D9D9" w:themeFill="background1" w:themeFillShade="D9"/>
            <w:noWrap/>
          </w:tcPr>
          <w:p w14:paraId="09938573"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nil"/>
            </w:tcBorders>
            <w:shd w:val="clear" w:color="auto" w:fill="D9D9D9" w:themeFill="background1" w:themeFillShade="D9"/>
          </w:tcPr>
          <w:p w14:paraId="7B7348CB"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97" w:type="dxa"/>
            <w:tcBorders>
              <w:top w:val="nil"/>
              <w:left w:val="nil"/>
              <w:bottom w:val="single" w:sz="4" w:space="0" w:color="auto"/>
              <w:right w:val="single" w:sz="4" w:space="0" w:color="auto"/>
            </w:tcBorders>
            <w:shd w:val="clear" w:color="auto" w:fill="D9D9D9" w:themeFill="background1" w:themeFillShade="D9"/>
            <w:noWrap/>
          </w:tcPr>
          <w:p w14:paraId="10BC808C"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2178" w:type="dxa"/>
            <w:tcBorders>
              <w:top w:val="nil"/>
              <w:left w:val="nil"/>
              <w:bottom w:val="single" w:sz="4" w:space="0" w:color="auto"/>
              <w:right w:val="single" w:sz="4" w:space="0" w:color="auto"/>
            </w:tcBorders>
            <w:shd w:val="clear" w:color="auto" w:fill="D9D9D9" w:themeFill="background1" w:themeFillShade="D9"/>
          </w:tcPr>
          <w:p w14:paraId="2A9C2472" w14:textId="77777777" w:rsidR="00403B07" w:rsidRPr="00171BEB" w:rsidRDefault="00403B07" w:rsidP="00B01272">
            <w:pPr>
              <w:spacing w:after="0" w:line="240" w:lineRule="auto"/>
              <w:rPr>
                <w:rFonts w:ascii="Calibri" w:eastAsia="Times New Roman" w:hAnsi="Calibri" w:cs="Times New Roman"/>
                <w:color w:val="000000"/>
                <w:sz w:val="16"/>
                <w:szCs w:val="16"/>
              </w:rPr>
            </w:pPr>
            <w:r w:rsidRPr="00171BEB">
              <w:rPr>
                <w:rFonts w:ascii="Calibri" w:eastAsia="Times New Roman" w:hAnsi="Calibri" w:cs="Times New Roman"/>
                <w:color w:val="000000"/>
                <w:sz w:val="16"/>
                <w:szCs w:val="16"/>
              </w:rPr>
              <w:t>Healthy school award</w:t>
            </w:r>
          </w:p>
        </w:tc>
      </w:tr>
      <w:tr w:rsidR="00DA1C42" w:rsidRPr="00171BEB" w14:paraId="69C690C1" w14:textId="77777777" w:rsidTr="00B01272">
        <w:trPr>
          <w:gridAfter w:val="1"/>
          <w:wAfter w:w="12" w:type="dxa"/>
          <w:trHeight w:val="252"/>
        </w:trPr>
        <w:tc>
          <w:tcPr>
            <w:tcW w:w="462" w:type="dxa"/>
            <w:tcBorders>
              <w:top w:val="single" w:sz="4" w:space="0" w:color="auto"/>
              <w:left w:val="single" w:sz="4" w:space="0" w:color="auto"/>
              <w:bottom w:val="single" w:sz="4" w:space="0" w:color="auto"/>
              <w:right w:val="nil"/>
            </w:tcBorders>
            <w:shd w:val="clear" w:color="auto" w:fill="FABF8F" w:themeFill="accent6" w:themeFillTint="99"/>
          </w:tcPr>
          <w:p w14:paraId="7C85D2D4" w14:textId="77777777" w:rsidR="00403B07" w:rsidRPr="000E3600" w:rsidRDefault="00403B07" w:rsidP="00B01272">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30</w:t>
            </w:r>
          </w:p>
        </w:tc>
        <w:tc>
          <w:tcPr>
            <w:tcW w:w="483" w:type="dxa"/>
            <w:tcBorders>
              <w:top w:val="nil"/>
              <w:left w:val="single" w:sz="4" w:space="0" w:color="auto"/>
              <w:bottom w:val="single" w:sz="4" w:space="0" w:color="auto"/>
              <w:right w:val="nil"/>
            </w:tcBorders>
            <w:shd w:val="clear" w:color="auto" w:fill="D9D9D9" w:themeFill="background1" w:themeFillShade="D9"/>
          </w:tcPr>
          <w:p w14:paraId="34F5F884"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6" w:type="dxa"/>
            <w:tcBorders>
              <w:top w:val="nil"/>
              <w:left w:val="nil"/>
              <w:bottom w:val="single" w:sz="4" w:space="0" w:color="auto"/>
              <w:right w:val="single" w:sz="4" w:space="0" w:color="auto"/>
            </w:tcBorders>
            <w:shd w:val="clear" w:color="auto" w:fill="D9D9D9" w:themeFill="background1" w:themeFillShade="D9"/>
            <w:noWrap/>
          </w:tcPr>
          <w:p w14:paraId="5B4BB033"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7" w:type="dxa"/>
            <w:tcBorders>
              <w:top w:val="nil"/>
              <w:left w:val="nil"/>
              <w:bottom w:val="single" w:sz="4" w:space="0" w:color="auto"/>
              <w:right w:val="nil"/>
            </w:tcBorders>
            <w:shd w:val="clear" w:color="auto" w:fill="D9D9D9" w:themeFill="background1" w:themeFillShade="D9"/>
          </w:tcPr>
          <w:p w14:paraId="01B382FA"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E61779">
              <w:rPr>
                <w:rFonts w:ascii="Marlett" w:hAnsi="Marlett"/>
              </w:rPr>
              <w:t></w:t>
            </w:r>
          </w:p>
        </w:tc>
        <w:tc>
          <w:tcPr>
            <w:tcW w:w="668" w:type="dxa"/>
            <w:tcBorders>
              <w:top w:val="nil"/>
              <w:left w:val="nil"/>
              <w:bottom w:val="single" w:sz="4" w:space="0" w:color="auto"/>
              <w:right w:val="single" w:sz="4" w:space="0" w:color="auto"/>
            </w:tcBorders>
            <w:shd w:val="clear" w:color="auto" w:fill="D9D9D9" w:themeFill="background1" w:themeFillShade="D9"/>
            <w:noWrap/>
          </w:tcPr>
          <w:p w14:paraId="5EB45A41"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F9419C">
              <w:rPr>
                <w:rFonts w:ascii="Marlett" w:hAnsi="Marlett"/>
              </w:rPr>
              <w:t></w:t>
            </w:r>
          </w:p>
        </w:tc>
        <w:tc>
          <w:tcPr>
            <w:tcW w:w="304" w:type="dxa"/>
            <w:tcBorders>
              <w:top w:val="nil"/>
              <w:left w:val="nil"/>
              <w:bottom w:val="single" w:sz="4" w:space="0" w:color="auto"/>
              <w:right w:val="nil"/>
            </w:tcBorders>
            <w:shd w:val="clear" w:color="auto" w:fill="D9D9D9" w:themeFill="background1" w:themeFillShade="D9"/>
          </w:tcPr>
          <w:p w14:paraId="47F75A9D"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688" w:type="dxa"/>
            <w:tcBorders>
              <w:top w:val="nil"/>
              <w:left w:val="nil"/>
              <w:bottom w:val="single" w:sz="4" w:space="0" w:color="auto"/>
              <w:right w:val="single" w:sz="4" w:space="0" w:color="auto"/>
            </w:tcBorders>
            <w:shd w:val="clear" w:color="auto" w:fill="D9D9D9" w:themeFill="background1" w:themeFillShade="D9"/>
            <w:noWrap/>
          </w:tcPr>
          <w:p w14:paraId="775C1232"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289" w:type="dxa"/>
            <w:tcBorders>
              <w:top w:val="nil"/>
              <w:left w:val="nil"/>
              <w:bottom w:val="single" w:sz="4" w:space="0" w:color="auto"/>
              <w:right w:val="nil"/>
            </w:tcBorders>
            <w:shd w:val="clear" w:color="auto" w:fill="D9D9D9" w:themeFill="background1" w:themeFillShade="D9"/>
          </w:tcPr>
          <w:p w14:paraId="22330E37" w14:textId="77777777" w:rsidR="00403B07" w:rsidRDefault="00403B07" w:rsidP="00B01272">
            <w:r w:rsidRPr="004A7F93">
              <w:rPr>
                <w:rFonts w:ascii="Marlett" w:hAnsi="Marlett"/>
              </w:rPr>
              <w:t></w:t>
            </w:r>
          </w:p>
        </w:tc>
        <w:tc>
          <w:tcPr>
            <w:tcW w:w="703" w:type="dxa"/>
            <w:tcBorders>
              <w:top w:val="nil"/>
              <w:left w:val="nil"/>
              <w:bottom w:val="single" w:sz="4" w:space="0" w:color="auto"/>
              <w:right w:val="single" w:sz="4" w:space="0" w:color="auto"/>
            </w:tcBorders>
            <w:shd w:val="clear" w:color="auto" w:fill="D9D9D9" w:themeFill="background1" w:themeFillShade="D9"/>
            <w:noWrap/>
          </w:tcPr>
          <w:p w14:paraId="1BB505CF" w14:textId="77777777" w:rsidR="00403B07" w:rsidRDefault="00403B07" w:rsidP="00B01272">
            <w:r w:rsidRPr="004A7F93">
              <w:rPr>
                <w:rFonts w:ascii="Marlett" w:hAnsi="Marlett"/>
              </w:rPr>
              <w:t></w:t>
            </w:r>
          </w:p>
        </w:tc>
        <w:tc>
          <w:tcPr>
            <w:tcW w:w="546" w:type="dxa"/>
            <w:tcBorders>
              <w:top w:val="nil"/>
              <w:left w:val="nil"/>
              <w:bottom w:val="single" w:sz="4" w:space="0" w:color="auto"/>
              <w:right w:val="nil"/>
            </w:tcBorders>
            <w:shd w:val="clear" w:color="auto" w:fill="D9D9D9" w:themeFill="background1" w:themeFillShade="D9"/>
          </w:tcPr>
          <w:p w14:paraId="0AACA806"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565" w:type="dxa"/>
            <w:tcBorders>
              <w:top w:val="nil"/>
              <w:left w:val="nil"/>
              <w:bottom w:val="single" w:sz="4" w:space="0" w:color="auto"/>
              <w:right w:val="single" w:sz="4" w:space="0" w:color="auto"/>
            </w:tcBorders>
            <w:shd w:val="clear" w:color="auto" w:fill="D9D9D9" w:themeFill="background1" w:themeFillShade="D9"/>
            <w:noWrap/>
          </w:tcPr>
          <w:p w14:paraId="1CB6AF25"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32" w:type="dxa"/>
            <w:tcBorders>
              <w:top w:val="nil"/>
              <w:left w:val="nil"/>
              <w:bottom w:val="single" w:sz="4" w:space="0" w:color="auto"/>
              <w:right w:val="nil"/>
            </w:tcBorders>
            <w:shd w:val="clear" w:color="auto" w:fill="D9D9D9" w:themeFill="background1" w:themeFillShade="D9"/>
          </w:tcPr>
          <w:p w14:paraId="2769E46D"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18" w:type="dxa"/>
            <w:tcBorders>
              <w:top w:val="nil"/>
              <w:left w:val="nil"/>
              <w:bottom w:val="single" w:sz="4" w:space="0" w:color="auto"/>
              <w:right w:val="single" w:sz="4" w:space="0" w:color="auto"/>
            </w:tcBorders>
            <w:shd w:val="clear" w:color="auto" w:fill="D9D9D9" w:themeFill="background1" w:themeFillShade="D9"/>
            <w:noWrap/>
          </w:tcPr>
          <w:p w14:paraId="246CF61A"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562" w:type="dxa"/>
            <w:tcBorders>
              <w:top w:val="nil"/>
              <w:left w:val="nil"/>
              <w:bottom w:val="single" w:sz="4" w:space="0" w:color="auto"/>
              <w:right w:val="nil"/>
            </w:tcBorders>
            <w:shd w:val="clear" w:color="auto" w:fill="D9D9D9" w:themeFill="background1" w:themeFillShade="D9"/>
          </w:tcPr>
          <w:p w14:paraId="032A0862" w14:textId="77777777" w:rsidR="00403B07" w:rsidRDefault="00403B07" w:rsidP="00B01272">
            <w:r w:rsidRPr="006457EE">
              <w:rPr>
                <w:rFonts w:ascii="Marlett" w:hAnsi="Marlett"/>
              </w:rPr>
              <w:t></w:t>
            </w:r>
          </w:p>
        </w:tc>
        <w:tc>
          <w:tcPr>
            <w:tcW w:w="488" w:type="dxa"/>
            <w:tcBorders>
              <w:top w:val="nil"/>
              <w:left w:val="nil"/>
              <w:bottom w:val="single" w:sz="4" w:space="0" w:color="auto"/>
              <w:right w:val="single" w:sz="4" w:space="0" w:color="auto"/>
            </w:tcBorders>
            <w:shd w:val="clear" w:color="auto" w:fill="D9D9D9" w:themeFill="background1" w:themeFillShade="D9"/>
            <w:noWrap/>
          </w:tcPr>
          <w:p w14:paraId="7E904F45" w14:textId="77777777" w:rsidR="00403B07" w:rsidRDefault="00403B07" w:rsidP="00B01272">
            <w:r w:rsidRPr="006457EE">
              <w:rPr>
                <w:rFonts w:ascii="Marlett" w:hAnsi="Marlett"/>
              </w:rPr>
              <w:t></w:t>
            </w:r>
          </w:p>
        </w:tc>
        <w:tc>
          <w:tcPr>
            <w:tcW w:w="488" w:type="dxa"/>
            <w:tcBorders>
              <w:top w:val="nil"/>
              <w:left w:val="nil"/>
              <w:bottom w:val="single" w:sz="4" w:space="0" w:color="auto"/>
              <w:right w:val="nil"/>
            </w:tcBorders>
            <w:shd w:val="clear" w:color="auto" w:fill="D9D9D9" w:themeFill="background1" w:themeFillShade="D9"/>
          </w:tcPr>
          <w:p w14:paraId="013E08B4"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D9D9D9" w:themeFill="background1" w:themeFillShade="D9"/>
            <w:noWrap/>
          </w:tcPr>
          <w:p w14:paraId="43E08488"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9" w:type="dxa"/>
            <w:tcBorders>
              <w:top w:val="nil"/>
              <w:left w:val="nil"/>
              <w:bottom w:val="single" w:sz="4" w:space="0" w:color="auto"/>
              <w:right w:val="nil"/>
            </w:tcBorders>
            <w:shd w:val="clear" w:color="auto" w:fill="D9D9D9" w:themeFill="background1" w:themeFillShade="D9"/>
          </w:tcPr>
          <w:p w14:paraId="17493684"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D9D9D9" w:themeFill="background1" w:themeFillShade="D9"/>
            <w:noWrap/>
          </w:tcPr>
          <w:p w14:paraId="6EBD347A"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nil"/>
            </w:tcBorders>
            <w:shd w:val="clear" w:color="auto" w:fill="D9D9D9" w:themeFill="background1" w:themeFillShade="D9"/>
          </w:tcPr>
          <w:p w14:paraId="6B9313F2"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D9D9D9" w:themeFill="background1" w:themeFillShade="D9"/>
            <w:noWrap/>
          </w:tcPr>
          <w:p w14:paraId="04710CD9"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nil"/>
            </w:tcBorders>
            <w:shd w:val="clear" w:color="auto" w:fill="D9D9D9" w:themeFill="background1" w:themeFillShade="D9"/>
          </w:tcPr>
          <w:p w14:paraId="0006A3E6"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D9D9D9" w:themeFill="background1" w:themeFillShade="D9"/>
            <w:noWrap/>
          </w:tcPr>
          <w:p w14:paraId="19CA5179"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nil"/>
            </w:tcBorders>
            <w:shd w:val="clear" w:color="auto" w:fill="D9D9D9" w:themeFill="background1" w:themeFillShade="D9"/>
          </w:tcPr>
          <w:p w14:paraId="01A45B2A"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97" w:type="dxa"/>
            <w:tcBorders>
              <w:top w:val="nil"/>
              <w:left w:val="nil"/>
              <w:bottom w:val="single" w:sz="4" w:space="0" w:color="auto"/>
              <w:right w:val="single" w:sz="4" w:space="0" w:color="auto"/>
            </w:tcBorders>
            <w:shd w:val="clear" w:color="auto" w:fill="D9D9D9" w:themeFill="background1" w:themeFillShade="D9"/>
            <w:noWrap/>
          </w:tcPr>
          <w:p w14:paraId="194A10FA"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2178" w:type="dxa"/>
            <w:tcBorders>
              <w:top w:val="nil"/>
              <w:left w:val="nil"/>
              <w:bottom w:val="single" w:sz="4" w:space="0" w:color="auto"/>
              <w:right w:val="single" w:sz="4" w:space="0" w:color="auto"/>
            </w:tcBorders>
            <w:shd w:val="clear" w:color="auto" w:fill="D9D9D9" w:themeFill="background1" w:themeFillShade="D9"/>
          </w:tcPr>
          <w:p w14:paraId="497A0960" w14:textId="77777777" w:rsidR="00403B07" w:rsidRPr="00171BEB" w:rsidRDefault="00403B07" w:rsidP="00B01272">
            <w:pPr>
              <w:spacing w:after="0" w:line="240" w:lineRule="auto"/>
              <w:rPr>
                <w:rFonts w:ascii="Calibri" w:eastAsia="Times New Roman" w:hAnsi="Calibri" w:cs="Times New Roman"/>
                <w:color w:val="000000"/>
                <w:sz w:val="16"/>
                <w:szCs w:val="16"/>
              </w:rPr>
            </w:pPr>
            <w:r w:rsidRPr="00171BEB">
              <w:rPr>
                <w:rFonts w:ascii="Calibri" w:eastAsia="Times New Roman" w:hAnsi="Calibri" w:cs="Times New Roman"/>
                <w:color w:val="000000"/>
                <w:sz w:val="16"/>
                <w:szCs w:val="16"/>
              </w:rPr>
              <w:t> </w:t>
            </w:r>
          </w:p>
        </w:tc>
      </w:tr>
      <w:tr w:rsidR="00DA1C42" w:rsidRPr="00171BEB" w14:paraId="212FE455" w14:textId="77777777" w:rsidTr="00B01272">
        <w:trPr>
          <w:gridAfter w:val="1"/>
          <w:wAfter w:w="12" w:type="dxa"/>
          <w:trHeight w:val="252"/>
        </w:trPr>
        <w:tc>
          <w:tcPr>
            <w:tcW w:w="462" w:type="dxa"/>
            <w:tcBorders>
              <w:top w:val="single" w:sz="4" w:space="0" w:color="auto"/>
              <w:left w:val="single" w:sz="4" w:space="0" w:color="auto"/>
              <w:bottom w:val="single" w:sz="4" w:space="0" w:color="auto"/>
              <w:right w:val="nil"/>
            </w:tcBorders>
            <w:shd w:val="clear" w:color="auto" w:fill="FABF8F" w:themeFill="accent6" w:themeFillTint="99"/>
          </w:tcPr>
          <w:p w14:paraId="01AC2937" w14:textId="77777777" w:rsidR="00403B07" w:rsidRPr="000E3600" w:rsidRDefault="00403B07" w:rsidP="00B01272">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31</w:t>
            </w:r>
          </w:p>
        </w:tc>
        <w:tc>
          <w:tcPr>
            <w:tcW w:w="483" w:type="dxa"/>
            <w:tcBorders>
              <w:top w:val="nil"/>
              <w:left w:val="single" w:sz="4" w:space="0" w:color="auto"/>
              <w:bottom w:val="single" w:sz="4" w:space="0" w:color="auto"/>
              <w:right w:val="nil"/>
            </w:tcBorders>
            <w:shd w:val="clear" w:color="auto" w:fill="D9D9D9" w:themeFill="background1" w:themeFillShade="D9"/>
            <w:noWrap/>
          </w:tcPr>
          <w:p w14:paraId="44B5C213"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6" w:type="dxa"/>
            <w:tcBorders>
              <w:top w:val="nil"/>
              <w:left w:val="nil"/>
              <w:bottom w:val="single" w:sz="4" w:space="0" w:color="auto"/>
              <w:right w:val="single" w:sz="4" w:space="0" w:color="auto"/>
            </w:tcBorders>
            <w:shd w:val="clear" w:color="auto" w:fill="D9D9D9" w:themeFill="background1" w:themeFillShade="D9"/>
            <w:noWrap/>
          </w:tcPr>
          <w:p w14:paraId="0BE33B5C"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7" w:type="dxa"/>
            <w:tcBorders>
              <w:top w:val="nil"/>
              <w:left w:val="nil"/>
              <w:bottom w:val="single" w:sz="4" w:space="0" w:color="auto"/>
              <w:right w:val="nil"/>
            </w:tcBorders>
            <w:shd w:val="clear" w:color="auto" w:fill="D9D9D9" w:themeFill="background1" w:themeFillShade="D9"/>
          </w:tcPr>
          <w:p w14:paraId="2768E47B"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668" w:type="dxa"/>
            <w:tcBorders>
              <w:top w:val="nil"/>
              <w:left w:val="nil"/>
              <w:bottom w:val="single" w:sz="4" w:space="0" w:color="auto"/>
              <w:right w:val="single" w:sz="4" w:space="0" w:color="auto"/>
            </w:tcBorders>
            <w:shd w:val="clear" w:color="auto" w:fill="D9D9D9" w:themeFill="background1" w:themeFillShade="D9"/>
            <w:noWrap/>
          </w:tcPr>
          <w:p w14:paraId="7E121507"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304" w:type="dxa"/>
            <w:tcBorders>
              <w:top w:val="nil"/>
              <w:left w:val="nil"/>
              <w:bottom w:val="single" w:sz="4" w:space="0" w:color="auto"/>
              <w:right w:val="nil"/>
            </w:tcBorders>
            <w:shd w:val="clear" w:color="auto" w:fill="D9D9D9" w:themeFill="background1" w:themeFillShade="D9"/>
          </w:tcPr>
          <w:p w14:paraId="16BD9F49" w14:textId="77777777" w:rsidR="00403B07" w:rsidRDefault="00403B07" w:rsidP="00B01272">
            <w:r w:rsidRPr="00BC0DD8">
              <w:rPr>
                <w:rFonts w:ascii="Marlett" w:hAnsi="Marlett"/>
              </w:rPr>
              <w:t></w:t>
            </w:r>
          </w:p>
        </w:tc>
        <w:tc>
          <w:tcPr>
            <w:tcW w:w="688" w:type="dxa"/>
            <w:tcBorders>
              <w:top w:val="nil"/>
              <w:left w:val="nil"/>
              <w:bottom w:val="single" w:sz="4" w:space="0" w:color="auto"/>
              <w:right w:val="single" w:sz="4" w:space="0" w:color="auto"/>
            </w:tcBorders>
            <w:shd w:val="clear" w:color="auto" w:fill="D9D9D9" w:themeFill="background1" w:themeFillShade="D9"/>
            <w:noWrap/>
          </w:tcPr>
          <w:p w14:paraId="0394832C" w14:textId="77777777" w:rsidR="00403B07" w:rsidRDefault="00403B07" w:rsidP="00B01272">
            <w:r w:rsidRPr="00BC0DD8">
              <w:rPr>
                <w:rFonts w:ascii="Marlett" w:hAnsi="Marlett"/>
              </w:rPr>
              <w:t></w:t>
            </w:r>
          </w:p>
        </w:tc>
        <w:tc>
          <w:tcPr>
            <w:tcW w:w="289" w:type="dxa"/>
            <w:tcBorders>
              <w:top w:val="nil"/>
              <w:left w:val="nil"/>
              <w:bottom w:val="single" w:sz="4" w:space="0" w:color="auto"/>
              <w:right w:val="nil"/>
            </w:tcBorders>
            <w:shd w:val="clear" w:color="auto" w:fill="D9D9D9" w:themeFill="background1" w:themeFillShade="D9"/>
            <w:noWrap/>
          </w:tcPr>
          <w:p w14:paraId="7378E5AE" w14:textId="77777777" w:rsidR="00403B07" w:rsidRDefault="00403B07" w:rsidP="00B01272">
            <w:r w:rsidRPr="004A7F93">
              <w:rPr>
                <w:rFonts w:ascii="Marlett" w:hAnsi="Marlett"/>
              </w:rPr>
              <w:t></w:t>
            </w:r>
          </w:p>
        </w:tc>
        <w:tc>
          <w:tcPr>
            <w:tcW w:w="703" w:type="dxa"/>
            <w:tcBorders>
              <w:top w:val="nil"/>
              <w:left w:val="nil"/>
              <w:bottom w:val="single" w:sz="4" w:space="0" w:color="auto"/>
              <w:right w:val="single" w:sz="4" w:space="0" w:color="auto"/>
            </w:tcBorders>
            <w:shd w:val="clear" w:color="auto" w:fill="D9D9D9" w:themeFill="background1" w:themeFillShade="D9"/>
            <w:noWrap/>
          </w:tcPr>
          <w:p w14:paraId="001034FB" w14:textId="77777777" w:rsidR="00403B07" w:rsidRDefault="00403B07" w:rsidP="00B01272">
            <w:r w:rsidRPr="004A7F93">
              <w:rPr>
                <w:rFonts w:ascii="Marlett" w:hAnsi="Marlett"/>
              </w:rPr>
              <w:t></w:t>
            </w:r>
          </w:p>
        </w:tc>
        <w:tc>
          <w:tcPr>
            <w:tcW w:w="546" w:type="dxa"/>
            <w:tcBorders>
              <w:top w:val="nil"/>
              <w:left w:val="nil"/>
              <w:bottom w:val="single" w:sz="4" w:space="0" w:color="auto"/>
              <w:right w:val="nil"/>
            </w:tcBorders>
            <w:shd w:val="clear" w:color="auto" w:fill="D9D9D9" w:themeFill="background1" w:themeFillShade="D9"/>
          </w:tcPr>
          <w:p w14:paraId="08CD42E6"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565" w:type="dxa"/>
            <w:tcBorders>
              <w:top w:val="nil"/>
              <w:left w:val="nil"/>
              <w:bottom w:val="single" w:sz="4" w:space="0" w:color="auto"/>
              <w:right w:val="single" w:sz="4" w:space="0" w:color="auto"/>
            </w:tcBorders>
            <w:shd w:val="clear" w:color="auto" w:fill="D9D9D9" w:themeFill="background1" w:themeFillShade="D9"/>
            <w:noWrap/>
          </w:tcPr>
          <w:p w14:paraId="458C307F"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32" w:type="dxa"/>
            <w:tcBorders>
              <w:top w:val="nil"/>
              <w:left w:val="nil"/>
              <w:bottom w:val="single" w:sz="4" w:space="0" w:color="auto"/>
              <w:right w:val="nil"/>
            </w:tcBorders>
            <w:shd w:val="clear" w:color="auto" w:fill="D9D9D9" w:themeFill="background1" w:themeFillShade="D9"/>
          </w:tcPr>
          <w:p w14:paraId="2E2D4F73"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18" w:type="dxa"/>
            <w:tcBorders>
              <w:top w:val="nil"/>
              <w:left w:val="nil"/>
              <w:bottom w:val="single" w:sz="4" w:space="0" w:color="auto"/>
              <w:right w:val="single" w:sz="4" w:space="0" w:color="auto"/>
            </w:tcBorders>
            <w:shd w:val="clear" w:color="auto" w:fill="D9D9D9" w:themeFill="background1" w:themeFillShade="D9"/>
            <w:noWrap/>
          </w:tcPr>
          <w:p w14:paraId="1B4DB1D7"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562" w:type="dxa"/>
            <w:tcBorders>
              <w:top w:val="nil"/>
              <w:left w:val="nil"/>
              <w:bottom w:val="single" w:sz="4" w:space="0" w:color="auto"/>
              <w:right w:val="nil"/>
            </w:tcBorders>
            <w:shd w:val="clear" w:color="auto" w:fill="D9D9D9" w:themeFill="background1" w:themeFillShade="D9"/>
          </w:tcPr>
          <w:p w14:paraId="0EAC4E64" w14:textId="77777777" w:rsidR="00403B07" w:rsidRDefault="00403B07" w:rsidP="00B01272">
            <w:r w:rsidRPr="006457EE">
              <w:rPr>
                <w:rFonts w:ascii="Marlett" w:hAnsi="Marlett"/>
              </w:rPr>
              <w:t></w:t>
            </w:r>
          </w:p>
        </w:tc>
        <w:tc>
          <w:tcPr>
            <w:tcW w:w="488" w:type="dxa"/>
            <w:tcBorders>
              <w:top w:val="nil"/>
              <w:left w:val="nil"/>
              <w:bottom w:val="single" w:sz="4" w:space="0" w:color="auto"/>
              <w:right w:val="single" w:sz="4" w:space="0" w:color="auto"/>
            </w:tcBorders>
            <w:shd w:val="clear" w:color="auto" w:fill="D9D9D9" w:themeFill="background1" w:themeFillShade="D9"/>
            <w:noWrap/>
          </w:tcPr>
          <w:p w14:paraId="0347F82C" w14:textId="77777777" w:rsidR="00403B07" w:rsidRDefault="00403B07" w:rsidP="00B01272">
            <w:r w:rsidRPr="006457EE">
              <w:rPr>
                <w:rFonts w:ascii="Marlett" w:hAnsi="Marlett"/>
              </w:rPr>
              <w:t></w:t>
            </w:r>
          </w:p>
        </w:tc>
        <w:tc>
          <w:tcPr>
            <w:tcW w:w="488" w:type="dxa"/>
            <w:tcBorders>
              <w:top w:val="nil"/>
              <w:left w:val="nil"/>
              <w:bottom w:val="single" w:sz="4" w:space="0" w:color="auto"/>
              <w:right w:val="nil"/>
            </w:tcBorders>
            <w:shd w:val="clear" w:color="auto" w:fill="D9D9D9" w:themeFill="background1" w:themeFillShade="D9"/>
          </w:tcPr>
          <w:p w14:paraId="7B08590B"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D9D9D9" w:themeFill="background1" w:themeFillShade="D9"/>
            <w:noWrap/>
          </w:tcPr>
          <w:p w14:paraId="0A4CE985"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9" w:type="dxa"/>
            <w:tcBorders>
              <w:top w:val="nil"/>
              <w:left w:val="nil"/>
              <w:bottom w:val="single" w:sz="4" w:space="0" w:color="auto"/>
              <w:right w:val="nil"/>
            </w:tcBorders>
            <w:shd w:val="clear" w:color="auto" w:fill="D9D9D9" w:themeFill="background1" w:themeFillShade="D9"/>
          </w:tcPr>
          <w:p w14:paraId="43A75AB9"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D9D9D9" w:themeFill="background1" w:themeFillShade="D9"/>
            <w:noWrap/>
          </w:tcPr>
          <w:p w14:paraId="06504905"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nil"/>
            </w:tcBorders>
            <w:shd w:val="clear" w:color="auto" w:fill="D9D9D9" w:themeFill="background1" w:themeFillShade="D9"/>
          </w:tcPr>
          <w:p w14:paraId="510E082D"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D9D9D9" w:themeFill="background1" w:themeFillShade="D9"/>
            <w:noWrap/>
          </w:tcPr>
          <w:p w14:paraId="225C8B81"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nil"/>
            </w:tcBorders>
            <w:shd w:val="clear" w:color="auto" w:fill="D9D9D9" w:themeFill="background1" w:themeFillShade="D9"/>
          </w:tcPr>
          <w:p w14:paraId="53608F95"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D9D9D9" w:themeFill="background1" w:themeFillShade="D9"/>
            <w:noWrap/>
          </w:tcPr>
          <w:p w14:paraId="3A71180D"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nil"/>
            </w:tcBorders>
            <w:shd w:val="clear" w:color="auto" w:fill="D9D9D9" w:themeFill="background1" w:themeFillShade="D9"/>
          </w:tcPr>
          <w:p w14:paraId="1FB48B28"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97" w:type="dxa"/>
            <w:tcBorders>
              <w:top w:val="nil"/>
              <w:left w:val="nil"/>
              <w:bottom w:val="single" w:sz="4" w:space="0" w:color="auto"/>
              <w:right w:val="single" w:sz="4" w:space="0" w:color="auto"/>
            </w:tcBorders>
            <w:shd w:val="clear" w:color="auto" w:fill="D9D9D9" w:themeFill="background1" w:themeFillShade="D9"/>
            <w:noWrap/>
          </w:tcPr>
          <w:p w14:paraId="6C4B4E9A"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2178" w:type="dxa"/>
            <w:tcBorders>
              <w:top w:val="nil"/>
              <w:left w:val="nil"/>
              <w:bottom w:val="single" w:sz="4" w:space="0" w:color="auto"/>
              <w:right w:val="single" w:sz="4" w:space="0" w:color="auto"/>
            </w:tcBorders>
            <w:shd w:val="clear" w:color="auto" w:fill="D9D9D9" w:themeFill="background1" w:themeFillShade="D9"/>
          </w:tcPr>
          <w:p w14:paraId="20135851" w14:textId="77777777" w:rsidR="00403B07" w:rsidRPr="00171BEB" w:rsidRDefault="00403B07" w:rsidP="00B01272">
            <w:pPr>
              <w:spacing w:after="0" w:line="240" w:lineRule="auto"/>
              <w:rPr>
                <w:rFonts w:ascii="Calibri" w:eastAsia="Times New Roman" w:hAnsi="Calibri" w:cs="Times New Roman"/>
                <w:color w:val="000000"/>
                <w:sz w:val="16"/>
                <w:szCs w:val="16"/>
              </w:rPr>
            </w:pPr>
            <w:r w:rsidRPr="00171BEB">
              <w:rPr>
                <w:rFonts w:ascii="Calibri" w:eastAsia="Times New Roman" w:hAnsi="Calibri" w:cs="Times New Roman"/>
                <w:color w:val="000000"/>
                <w:sz w:val="16"/>
                <w:szCs w:val="16"/>
              </w:rPr>
              <w:t> </w:t>
            </w:r>
          </w:p>
        </w:tc>
      </w:tr>
      <w:tr w:rsidR="00DA1C42" w:rsidRPr="00171BEB" w14:paraId="10E261C8" w14:textId="77777777" w:rsidTr="00B01272">
        <w:trPr>
          <w:gridAfter w:val="1"/>
          <w:wAfter w:w="12" w:type="dxa"/>
          <w:trHeight w:val="252"/>
        </w:trPr>
        <w:tc>
          <w:tcPr>
            <w:tcW w:w="462" w:type="dxa"/>
            <w:tcBorders>
              <w:top w:val="single" w:sz="4" w:space="0" w:color="auto"/>
              <w:left w:val="single" w:sz="4" w:space="0" w:color="auto"/>
              <w:bottom w:val="single" w:sz="4" w:space="0" w:color="auto"/>
              <w:right w:val="nil"/>
            </w:tcBorders>
            <w:shd w:val="clear" w:color="auto" w:fill="FABF8F" w:themeFill="accent6" w:themeFillTint="99"/>
          </w:tcPr>
          <w:p w14:paraId="4557609A" w14:textId="77777777" w:rsidR="00403B07" w:rsidRPr="000E3600" w:rsidRDefault="00403B07" w:rsidP="00B01272">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32</w:t>
            </w:r>
          </w:p>
        </w:tc>
        <w:tc>
          <w:tcPr>
            <w:tcW w:w="483" w:type="dxa"/>
            <w:tcBorders>
              <w:top w:val="nil"/>
              <w:left w:val="single" w:sz="4" w:space="0" w:color="auto"/>
              <w:bottom w:val="single" w:sz="4" w:space="0" w:color="auto"/>
              <w:right w:val="nil"/>
            </w:tcBorders>
            <w:shd w:val="clear" w:color="auto" w:fill="D9D9D9" w:themeFill="background1" w:themeFillShade="D9"/>
            <w:noWrap/>
          </w:tcPr>
          <w:p w14:paraId="4421D7FA"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6" w:type="dxa"/>
            <w:tcBorders>
              <w:top w:val="nil"/>
              <w:left w:val="nil"/>
              <w:bottom w:val="single" w:sz="4" w:space="0" w:color="auto"/>
              <w:right w:val="single" w:sz="4" w:space="0" w:color="auto"/>
            </w:tcBorders>
            <w:shd w:val="clear" w:color="auto" w:fill="D9D9D9" w:themeFill="background1" w:themeFillShade="D9"/>
            <w:noWrap/>
          </w:tcPr>
          <w:p w14:paraId="6167581A"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7" w:type="dxa"/>
            <w:tcBorders>
              <w:top w:val="nil"/>
              <w:left w:val="nil"/>
              <w:bottom w:val="single" w:sz="4" w:space="0" w:color="auto"/>
              <w:right w:val="nil"/>
            </w:tcBorders>
            <w:shd w:val="clear" w:color="auto" w:fill="D9D9D9" w:themeFill="background1" w:themeFillShade="D9"/>
          </w:tcPr>
          <w:p w14:paraId="54ABC5D2"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668" w:type="dxa"/>
            <w:tcBorders>
              <w:top w:val="nil"/>
              <w:left w:val="nil"/>
              <w:bottom w:val="single" w:sz="4" w:space="0" w:color="auto"/>
              <w:right w:val="single" w:sz="4" w:space="0" w:color="auto"/>
            </w:tcBorders>
            <w:shd w:val="clear" w:color="auto" w:fill="D9D9D9" w:themeFill="background1" w:themeFillShade="D9"/>
            <w:noWrap/>
          </w:tcPr>
          <w:p w14:paraId="5CD0E41A"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304" w:type="dxa"/>
            <w:tcBorders>
              <w:top w:val="nil"/>
              <w:left w:val="nil"/>
              <w:bottom w:val="single" w:sz="4" w:space="0" w:color="auto"/>
              <w:right w:val="nil"/>
            </w:tcBorders>
            <w:shd w:val="clear" w:color="auto" w:fill="D9D9D9" w:themeFill="background1" w:themeFillShade="D9"/>
            <w:noWrap/>
          </w:tcPr>
          <w:p w14:paraId="54CB98FA"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688" w:type="dxa"/>
            <w:tcBorders>
              <w:top w:val="nil"/>
              <w:left w:val="nil"/>
              <w:bottom w:val="single" w:sz="4" w:space="0" w:color="auto"/>
              <w:right w:val="single" w:sz="4" w:space="0" w:color="auto"/>
            </w:tcBorders>
            <w:shd w:val="clear" w:color="auto" w:fill="D9D9D9" w:themeFill="background1" w:themeFillShade="D9"/>
            <w:noWrap/>
          </w:tcPr>
          <w:p w14:paraId="21B89F5D"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289" w:type="dxa"/>
            <w:tcBorders>
              <w:top w:val="nil"/>
              <w:left w:val="nil"/>
              <w:bottom w:val="single" w:sz="4" w:space="0" w:color="auto"/>
              <w:right w:val="nil"/>
            </w:tcBorders>
            <w:shd w:val="clear" w:color="auto" w:fill="D9D9D9" w:themeFill="background1" w:themeFillShade="D9"/>
            <w:noWrap/>
          </w:tcPr>
          <w:p w14:paraId="42C685E1" w14:textId="77777777" w:rsidR="00403B07" w:rsidRDefault="00403B07" w:rsidP="00B01272">
            <w:r w:rsidRPr="004A7F93">
              <w:rPr>
                <w:rFonts w:ascii="Marlett" w:hAnsi="Marlett"/>
              </w:rPr>
              <w:t></w:t>
            </w:r>
          </w:p>
        </w:tc>
        <w:tc>
          <w:tcPr>
            <w:tcW w:w="703" w:type="dxa"/>
            <w:tcBorders>
              <w:top w:val="nil"/>
              <w:left w:val="nil"/>
              <w:bottom w:val="single" w:sz="4" w:space="0" w:color="auto"/>
              <w:right w:val="single" w:sz="4" w:space="0" w:color="auto"/>
            </w:tcBorders>
            <w:shd w:val="clear" w:color="auto" w:fill="D9D9D9" w:themeFill="background1" w:themeFillShade="D9"/>
            <w:noWrap/>
          </w:tcPr>
          <w:p w14:paraId="550AF36F" w14:textId="77777777" w:rsidR="00403B07" w:rsidRDefault="00403B07" w:rsidP="00B01272">
            <w:r w:rsidRPr="004A7F93">
              <w:rPr>
                <w:rFonts w:ascii="Marlett" w:hAnsi="Marlett"/>
              </w:rPr>
              <w:t></w:t>
            </w:r>
          </w:p>
        </w:tc>
        <w:tc>
          <w:tcPr>
            <w:tcW w:w="546" w:type="dxa"/>
            <w:tcBorders>
              <w:top w:val="nil"/>
              <w:left w:val="nil"/>
              <w:bottom w:val="single" w:sz="4" w:space="0" w:color="auto"/>
              <w:right w:val="nil"/>
            </w:tcBorders>
            <w:shd w:val="clear" w:color="auto" w:fill="D9D9D9" w:themeFill="background1" w:themeFillShade="D9"/>
          </w:tcPr>
          <w:p w14:paraId="2029DC57"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565" w:type="dxa"/>
            <w:tcBorders>
              <w:top w:val="nil"/>
              <w:left w:val="nil"/>
              <w:bottom w:val="single" w:sz="4" w:space="0" w:color="auto"/>
              <w:right w:val="single" w:sz="4" w:space="0" w:color="auto"/>
            </w:tcBorders>
            <w:shd w:val="clear" w:color="auto" w:fill="D9D9D9" w:themeFill="background1" w:themeFillShade="D9"/>
            <w:noWrap/>
          </w:tcPr>
          <w:p w14:paraId="00F6C87B"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32" w:type="dxa"/>
            <w:tcBorders>
              <w:top w:val="nil"/>
              <w:left w:val="nil"/>
              <w:bottom w:val="single" w:sz="4" w:space="0" w:color="auto"/>
              <w:right w:val="nil"/>
            </w:tcBorders>
            <w:shd w:val="clear" w:color="auto" w:fill="D9D9D9" w:themeFill="background1" w:themeFillShade="D9"/>
          </w:tcPr>
          <w:p w14:paraId="1675C61E"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18" w:type="dxa"/>
            <w:tcBorders>
              <w:top w:val="nil"/>
              <w:left w:val="nil"/>
              <w:bottom w:val="single" w:sz="4" w:space="0" w:color="auto"/>
              <w:right w:val="single" w:sz="4" w:space="0" w:color="auto"/>
            </w:tcBorders>
            <w:shd w:val="clear" w:color="auto" w:fill="D9D9D9" w:themeFill="background1" w:themeFillShade="D9"/>
            <w:noWrap/>
          </w:tcPr>
          <w:p w14:paraId="3F3E1F8D"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562" w:type="dxa"/>
            <w:tcBorders>
              <w:top w:val="nil"/>
              <w:left w:val="nil"/>
              <w:bottom w:val="single" w:sz="4" w:space="0" w:color="auto"/>
              <w:right w:val="nil"/>
            </w:tcBorders>
            <w:shd w:val="clear" w:color="auto" w:fill="D9D9D9" w:themeFill="background1" w:themeFillShade="D9"/>
          </w:tcPr>
          <w:p w14:paraId="4D4D4178"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D9D9D9" w:themeFill="background1" w:themeFillShade="D9"/>
            <w:noWrap/>
          </w:tcPr>
          <w:p w14:paraId="27D587A4"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nil"/>
            </w:tcBorders>
            <w:shd w:val="clear" w:color="auto" w:fill="D9D9D9" w:themeFill="background1" w:themeFillShade="D9"/>
          </w:tcPr>
          <w:p w14:paraId="45C15966"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D9D9D9" w:themeFill="background1" w:themeFillShade="D9"/>
            <w:noWrap/>
          </w:tcPr>
          <w:p w14:paraId="258F6816"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9" w:type="dxa"/>
            <w:tcBorders>
              <w:top w:val="nil"/>
              <w:left w:val="nil"/>
              <w:bottom w:val="single" w:sz="4" w:space="0" w:color="auto"/>
              <w:right w:val="nil"/>
            </w:tcBorders>
            <w:shd w:val="clear" w:color="auto" w:fill="D9D9D9" w:themeFill="background1" w:themeFillShade="D9"/>
          </w:tcPr>
          <w:p w14:paraId="0998D928"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D9D9D9" w:themeFill="background1" w:themeFillShade="D9"/>
            <w:noWrap/>
          </w:tcPr>
          <w:p w14:paraId="47CF79BF"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nil"/>
            </w:tcBorders>
            <w:shd w:val="clear" w:color="auto" w:fill="D9D9D9" w:themeFill="background1" w:themeFillShade="D9"/>
          </w:tcPr>
          <w:p w14:paraId="7D7E6049"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single" w:sz="4" w:space="0" w:color="auto"/>
            </w:tcBorders>
            <w:shd w:val="clear" w:color="auto" w:fill="D9D9D9" w:themeFill="background1" w:themeFillShade="D9"/>
            <w:noWrap/>
          </w:tcPr>
          <w:p w14:paraId="7440D0CB"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88" w:type="dxa"/>
            <w:tcBorders>
              <w:top w:val="nil"/>
              <w:left w:val="nil"/>
              <w:bottom w:val="single" w:sz="4" w:space="0" w:color="auto"/>
              <w:right w:val="nil"/>
            </w:tcBorders>
            <w:shd w:val="clear" w:color="auto" w:fill="D9D9D9" w:themeFill="background1" w:themeFillShade="D9"/>
          </w:tcPr>
          <w:p w14:paraId="7596FABF" w14:textId="77777777" w:rsidR="00403B07" w:rsidRDefault="00403B07" w:rsidP="00B01272">
            <w:r w:rsidRPr="0068142B">
              <w:rPr>
                <w:rFonts w:ascii="Marlett" w:hAnsi="Marlett"/>
              </w:rPr>
              <w:t></w:t>
            </w:r>
          </w:p>
        </w:tc>
        <w:tc>
          <w:tcPr>
            <w:tcW w:w="488" w:type="dxa"/>
            <w:tcBorders>
              <w:top w:val="nil"/>
              <w:left w:val="nil"/>
              <w:bottom w:val="single" w:sz="4" w:space="0" w:color="auto"/>
              <w:right w:val="single" w:sz="4" w:space="0" w:color="auto"/>
            </w:tcBorders>
            <w:shd w:val="clear" w:color="auto" w:fill="D9D9D9" w:themeFill="background1" w:themeFillShade="D9"/>
            <w:noWrap/>
          </w:tcPr>
          <w:p w14:paraId="3C1E6D18" w14:textId="77777777" w:rsidR="00403B07" w:rsidRDefault="00403B07" w:rsidP="00B01272">
            <w:r w:rsidRPr="0068142B">
              <w:rPr>
                <w:rFonts w:ascii="Marlett" w:hAnsi="Marlett"/>
              </w:rPr>
              <w:t></w:t>
            </w:r>
          </w:p>
        </w:tc>
        <w:tc>
          <w:tcPr>
            <w:tcW w:w="488" w:type="dxa"/>
            <w:tcBorders>
              <w:top w:val="nil"/>
              <w:left w:val="nil"/>
              <w:bottom w:val="single" w:sz="4" w:space="0" w:color="auto"/>
              <w:right w:val="nil"/>
            </w:tcBorders>
            <w:shd w:val="clear" w:color="auto" w:fill="D9D9D9" w:themeFill="background1" w:themeFillShade="D9"/>
          </w:tcPr>
          <w:p w14:paraId="764C075C"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497" w:type="dxa"/>
            <w:tcBorders>
              <w:top w:val="nil"/>
              <w:left w:val="nil"/>
              <w:bottom w:val="single" w:sz="4" w:space="0" w:color="auto"/>
              <w:right w:val="single" w:sz="4" w:space="0" w:color="auto"/>
            </w:tcBorders>
            <w:shd w:val="clear" w:color="auto" w:fill="D9D9D9" w:themeFill="background1" w:themeFillShade="D9"/>
            <w:noWrap/>
          </w:tcPr>
          <w:p w14:paraId="5DC345DD" w14:textId="77777777" w:rsidR="00403B07" w:rsidRPr="000E3600" w:rsidRDefault="00403B07" w:rsidP="00B01272">
            <w:pPr>
              <w:spacing w:after="0" w:line="240" w:lineRule="auto"/>
              <w:rPr>
                <w:rFonts w:ascii="Calibri" w:eastAsia="Times New Roman" w:hAnsi="Calibri" w:cs="Times New Roman"/>
                <w:color w:val="000000"/>
                <w:sz w:val="20"/>
                <w:szCs w:val="20"/>
              </w:rPr>
            </w:pPr>
            <w:r w:rsidRPr="000E3600">
              <w:rPr>
                <w:rFonts w:ascii="Calibri" w:eastAsia="Times New Roman" w:hAnsi="Calibri" w:cs="Times New Roman"/>
                <w:color w:val="000000"/>
                <w:sz w:val="20"/>
                <w:szCs w:val="20"/>
              </w:rPr>
              <w:t> </w:t>
            </w:r>
          </w:p>
        </w:tc>
        <w:tc>
          <w:tcPr>
            <w:tcW w:w="2178" w:type="dxa"/>
            <w:tcBorders>
              <w:top w:val="nil"/>
              <w:left w:val="nil"/>
              <w:bottom w:val="single" w:sz="4" w:space="0" w:color="auto"/>
              <w:right w:val="single" w:sz="4" w:space="0" w:color="auto"/>
            </w:tcBorders>
            <w:shd w:val="clear" w:color="auto" w:fill="D9D9D9" w:themeFill="background1" w:themeFillShade="D9"/>
          </w:tcPr>
          <w:p w14:paraId="275C096D" w14:textId="77777777" w:rsidR="00403B07" w:rsidRPr="00171BEB" w:rsidRDefault="00403B07" w:rsidP="00B01272">
            <w:pPr>
              <w:spacing w:after="0" w:line="240" w:lineRule="auto"/>
              <w:rPr>
                <w:rFonts w:ascii="Calibri" w:eastAsia="Times New Roman" w:hAnsi="Calibri" w:cs="Times New Roman"/>
                <w:color w:val="000000"/>
                <w:sz w:val="16"/>
                <w:szCs w:val="16"/>
              </w:rPr>
            </w:pPr>
            <w:r w:rsidRPr="00171BEB">
              <w:rPr>
                <w:rFonts w:ascii="Calibri" w:eastAsia="Times New Roman" w:hAnsi="Calibri" w:cs="Times New Roman"/>
                <w:color w:val="000000"/>
                <w:sz w:val="16"/>
                <w:szCs w:val="16"/>
              </w:rPr>
              <w:t> </w:t>
            </w:r>
          </w:p>
        </w:tc>
      </w:tr>
    </w:tbl>
    <w:p w14:paraId="57CDFE8F" w14:textId="77777777" w:rsidR="00403B07" w:rsidRDefault="00403B07" w:rsidP="00403B07">
      <w:pPr>
        <w:spacing w:after="0" w:line="360" w:lineRule="auto"/>
        <w:rPr>
          <w:b/>
        </w:rPr>
      </w:pPr>
    </w:p>
    <w:p w14:paraId="14ABAA0A" w14:textId="77777777" w:rsidR="00403B07" w:rsidRDefault="00403B07" w:rsidP="00403B07">
      <w:pPr>
        <w:rPr>
          <w:b/>
        </w:rPr>
      </w:pPr>
      <w:r>
        <w:rPr>
          <w:b/>
        </w:rPr>
        <w:br w:type="page"/>
      </w:r>
    </w:p>
    <w:p w14:paraId="18A6FF4D" w14:textId="5086864F" w:rsidR="00403B07" w:rsidRPr="00555C58" w:rsidRDefault="00403B07" w:rsidP="00AB4D98">
      <w:pPr>
        <w:pStyle w:val="Heading1"/>
      </w:pPr>
      <w:bookmarkStart w:id="692" w:name="_Toc475974425"/>
      <w:r w:rsidRPr="00555C58">
        <w:lastRenderedPageBreak/>
        <w:t>Appendix 1</w:t>
      </w:r>
      <w:r w:rsidR="00705B64">
        <w:t>7</w:t>
      </w:r>
      <w:r w:rsidRPr="00555C58">
        <w:t xml:space="preserve"> Parent Questionnaire responses to the quantitative questions</w:t>
      </w:r>
      <w:bookmarkEnd w:id="692"/>
    </w:p>
    <w:tbl>
      <w:tblPr>
        <w:tblStyle w:val="TableGrid"/>
        <w:tblW w:w="0" w:type="auto"/>
        <w:tblLook w:val="04A0" w:firstRow="1" w:lastRow="0" w:firstColumn="1" w:lastColumn="0" w:noHBand="0" w:noVBand="1"/>
      </w:tblPr>
      <w:tblGrid>
        <w:gridCol w:w="1951"/>
        <w:gridCol w:w="3718"/>
        <w:gridCol w:w="2236"/>
        <w:gridCol w:w="1842"/>
        <w:gridCol w:w="1843"/>
      </w:tblGrid>
      <w:tr w:rsidR="00403B07" w:rsidRPr="006E2ABA" w14:paraId="45D9CCFC" w14:textId="77777777" w:rsidTr="00B01272">
        <w:tc>
          <w:tcPr>
            <w:tcW w:w="1951" w:type="dxa"/>
          </w:tcPr>
          <w:p w14:paraId="599CF341" w14:textId="77777777" w:rsidR="00403B07" w:rsidRPr="006E2ABA" w:rsidRDefault="00403B07" w:rsidP="00B01272">
            <w:pPr>
              <w:rPr>
                <w:b/>
                <w:sz w:val="18"/>
                <w:szCs w:val="18"/>
              </w:rPr>
            </w:pPr>
            <w:r w:rsidRPr="006E2ABA">
              <w:rPr>
                <w:rFonts w:ascii="Calibri" w:eastAsia="Times New Roman" w:hAnsi="Calibri" w:cs="Times New Roman"/>
                <w:b/>
                <w:sz w:val="18"/>
                <w:szCs w:val="18"/>
              </w:rPr>
              <w:t>Question Number</w:t>
            </w:r>
          </w:p>
        </w:tc>
        <w:tc>
          <w:tcPr>
            <w:tcW w:w="3718" w:type="dxa"/>
          </w:tcPr>
          <w:p w14:paraId="752CECFC" w14:textId="77777777" w:rsidR="00403B07" w:rsidRPr="006E2ABA" w:rsidRDefault="00403B07" w:rsidP="00B01272">
            <w:pPr>
              <w:rPr>
                <w:b/>
                <w:sz w:val="18"/>
                <w:szCs w:val="18"/>
              </w:rPr>
            </w:pPr>
            <w:r w:rsidRPr="006E2ABA">
              <w:rPr>
                <w:rFonts w:ascii="Calibri" w:eastAsia="Times New Roman" w:hAnsi="Calibri" w:cs="Times New Roman"/>
                <w:b/>
                <w:sz w:val="18"/>
                <w:szCs w:val="18"/>
              </w:rPr>
              <w:t>Question</w:t>
            </w:r>
          </w:p>
        </w:tc>
        <w:tc>
          <w:tcPr>
            <w:tcW w:w="2236" w:type="dxa"/>
          </w:tcPr>
          <w:p w14:paraId="578C80B9" w14:textId="77777777" w:rsidR="00403B07" w:rsidRPr="00345A00" w:rsidRDefault="00403B07" w:rsidP="00B01272">
            <w:pPr>
              <w:rPr>
                <w:b/>
                <w:sz w:val="18"/>
                <w:szCs w:val="18"/>
              </w:rPr>
            </w:pPr>
            <w:r w:rsidRPr="00345A00">
              <w:rPr>
                <w:rFonts w:ascii="Calibri" w:eastAsia="Times New Roman" w:hAnsi="Calibri" w:cs="Times New Roman"/>
                <w:b/>
                <w:sz w:val="18"/>
                <w:szCs w:val="18"/>
              </w:rPr>
              <w:t>Response choice</w:t>
            </w:r>
          </w:p>
        </w:tc>
        <w:tc>
          <w:tcPr>
            <w:tcW w:w="1842" w:type="dxa"/>
          </w:tcPr>
          <w:p w14:paraId="443318BE" w14:textId="77777777" w:rsidR="00403B07" w:rsidRPr="00345A00" w:rsidRDefault="00403B07" w:rsidP="00B01272">
            <w:pPr>
              <w:jc w:val="center"/>
              <w:rPr>
                <w:b/>
                <w:sz w:val="18"/>
                <w:szCs w:val="18"/>
              </w:rPr>
            </w:pPr>
            <w:r w:rsidRPr="00345A00">
              <w:rPr>
                <w:rFonts w:ascii="Calibri" w:eastAsia="Times New Roman" w:hAnsi="Calibri" w:cs="Times New Roman"/>
                <w:b/>
                <w:bCs/>
                <w:sz w:val="18"/>
                <w:szCs w:val="18"/>
              </w:rPr>
              <w:t>N</w:t>
            </w:r>
          </w:p>
        </w:tc>
        <w:tc>
          <w:tcPr>
            <w:tcW w:w="1843" w:type="dxa"/>
          </w:tcPr>
          <w:p w14:paraId="7748FB33" w14:textId="77777777" w:rsidR="00403B07" w:rsidRPr="00345A00" w:rsidRDefault="00403B07" w:rsidP="00B01272">
            <w:pPr>
              <w:jc w:val="center"/>
              <w:rPr>
                <w:b/>
                <w:sz w:val="18"/>
                <w:szCs w:val="18"/>
              </w:rPr>
            </w:pPr>
            <w:r w:rsidRPr="00345A00">
              <w:rPr>
                <w:rFonts w:ascii="Calibri" w:eastAsia="Times New Roman" w:hAnsi="Calibri" w:cs="Times New Roman"/>
                <w:b/>
                <w:bCs/>
                <w:sz w:val="18"/>
                <w:szCs w:val="18"/>
              </w:rPr>
              <w:t>%</w:t>
            </w:r>
          </w:p>
        </w:tc>
      </w:tr>
      <w:tr w:rsidR="00403B07" w:rsidRPr="006E2ABA" w14:paraId="01681A42" w14:textId="77777777" w:rsidTr="00B01272">
        <w:tc>
          <w:tcPr>
            <w:tcW w:w="1951" w:type="dxa"/>
            <w:vMerge w:val="restart"/>
          </w:tcPr>
          <w:p w14:paraId="4F99CA52" w14:textId="77777777" w:rsidR="00403B07" w:rsidRPr="0027473F" w:rsidRDefault="00403B07" w:rsidP="00B01272">
            <w:pPr>
              <w:rPr>
                <w:b/>
                <w:sz w:val="18"/>
                <w:szCs w:val="18"/>
              </w:rPr>
            </w:pPr>
            <w:r w:rsidRPr="0027473F">
              <w:rPr>
                <w:b/>
                <w:sz w:val="18"/>
                <w:szCs w:val="18"/>
              </w:rPr>
              <w:t>2</w:t>
            </w:r>
          </w:p>
        </w:tc>
        <w:tc>
          <w:tcPr>
            <w:tcW w:w="3718" w:type="dxa"/>
            <w:vMerge w:val="restart"/>
          </w:tcPr>
          <w:p w14:paraId="59F37F68" w14:textId="77777777" w:rsidR="00403B07" w:rsidRPr="004D1BD2" w:rsidRDefault="00403B07" w:rsidP="00B01272">
            <w:pPr>
              <w:rPr>
                <w:i/>
                <w:sz w:val="18"/>
                <w:szCs w:val="18"/>
              </w:rPr>
            </w:pPr>
            <w:r w:rsidRPr="004D1BD2">
              <w:rPr>
                <w:i/>
                <w:sz w:val="18"/>
                <w:szCs w:val="18"/>
              </w:rPr>
              <w:t>Did you and your child talk about the Healthy Lifestyles Programme at all?</w:t>
            </w:r>
          </w:p>
        </w:tc>
        <w:tc>
          <w:tcPr>
            <w:tcW w:w="2236" w:type="dxa"/>
          </w:tcPr>
          <w:p w14:paraId="6D6BADE4" w14:textId="77777777" w:rsidR="00403B07" w:rsidRPr="006E2ABA" w:rsidRDefault="00403B07" w:rsidP="00B01272">
            <w:pPr>
              <w:rPr>
                <w:sz w:val="18"/>
                <w:szCs w:val="18"/>
              </w:rPr>
            </w:pPr>
            <w:r w:rsidRPr="006E2ABA">
              <w:rPr>
                <w:rFonts w:ascii="Calibri" w:eastAsia="Times New Roman" w:hAnsi="Calibri" w:cs="Times New Roman"/>
                <w:sz w:val="18"/>
                <w:szCs w:val="18"/>
              </w:rPr>
              <w:t>A lot</w:t>
            </w:r>
          </w:p>
        </w:tc>
        <w:tc>
          <w:tcPr>
            <w:tcW w:w="1842" w:type="dxa"/>
          </w:tcPr>
          <w:p w14:paraId="56FB005C" w14:textId="77777777" w:rsidR="00403B07" w:rsidRPr="006E2ABA" w:rsidRDefault="00403B07" w:rsidP="00B01272">
            <w:pPr>
              <w:jc w:val="right"/>
              <w:rPr>
                <w:sz w:val="18"/>
                <w:szCs w:val="18"/>
              </w:rPr>
            </w:pPr>
            <w:r w:rsidRPr="006E2ABA">
              <w:rPr>
                <w:rFonts w:ascii="Calibri" w:eastAsia="Times New Roman" w:hAnsi="Calibri" w:cs="Times New Roman"/>
                <w:sz w:val="18"/>
                <w:szCs w:val="18"/>
              </w:rPr>
              <w:t>102</w:t>
            </w:r>
          </w:p>
        </w:tc>
        <w:tc>
          <w:tcPr>
            <w:tcW w:w="1843" w:type="dxa"/>
          </w:tcPr>
          <w:p w14:paraId="76499F10" w14:textId="77777777" w:rsidR="00403B07" w:rsidRPr="006E2ABA" w:rsidRDefault="00403B07" w:rsidP="00B01272">
            <w:pPr>
              <w:jc w:val="right"/>
              <w:rPr>
                <w:sz w:val="18"/>
                <w:szCs w:val="18"/>
              </w:rPr>
            </w:pPr>
            <w:r w:rsidRPr="006E2ABA">
              <w:rPr>
                <w:rFonts w:ascii="Calibri" w:eastAsia="Times New Roman" w:hAnsi="Calibri" w:cs="Times New Roman"/>
                <w:sz w:val="18"/>
                <w:szCs w:val="18"/>
              </w:rPr>
              <w:t>58.0%</w:t>
            </w:r>
          </w:p>
        </w:tc>
      </w:tr>
      <w:tr w:rsidR="00403B07" w:rsidRPr="006E2ABA" w14:paraId="037D0826" w14:textId="77777777" w:rsidTr="00B01272">
        <w:tc>
          <w:tcPr>
            <w:tcW w:w="1951" w:type="dxa"/>
            <w:vMerge/>
          </w:tcPr>
          <w:p w14:paraId="11C409C1" w14:textId="77777777" w:rsidR="00403B07" w:rsidRPr="0027473F" w:rsidRDefault="00403B07" w:rsidP="00B01272">
            <w:pPr>
              <w:rPr>
                <w:b/>
                <w:sz w:val="18"/>
                <w:szCs w:val="18"/>
              </w:rPr>
            </w:pPr>
          </w:p>
        </w:tc>
        <w:tc>
          <w:tcPr>
            <w:tcW w:w="3718" w:type="dxa"/>
            <w:vMerge/>
          </w:tcPr>
          <w:p w14:paraId="28B6F84C" w14:textId="77777777" w:rsidR="00403B07" w:rsidRPr="004D1BD2" w:rsidRDefault="00403B07" w:rsidP="00B01272">
            <w:pPr>
              <w:rPr>
                <w:i/>
                <w:sz w:val="18"/>
                <w:szCs w:val="18"/>
              </w:rPr>
            </w:pPr>
          </w:p>
        </w:tc>
        <w:tc>
          <w:tcPr>
            <w:tcW w:w="2236" w:type="dxa"/>
          </w:tcPr>
          <w:p w14:paraId="0E605005" w14:textId="77777777" w:rsidR="00403B07" w:rsidRPr="006E2ABA" w:rsidRDefault="00403B07" w:rsidP="00B01272">
            <w:pPr>
              <w:rPr>
                <w:sz w:val="18"/>
                <w:szCs w:val="18"/>
              </w:rPr>
            </w:pPr>
            <w:r w:rsidRPr="006E2ABA">
              <w:rPr>
                <w:rFonts w:ascii="Calibri" w:eastAsia="Times New Roman" w:hAnsi="Calibri" w:cs="Times New Roman"/>
                <w:sz w:val="18"/>
                <w:szCs w:val="18"/>
              </w:rPr>
              <w:t>A little</w:t>
            </w:r>
          </w:p>
        </w:tc>
        <w:tc>
          <w:tcPr>
            <w:tcW w:w="1842" w:type="dxa"/>
          </w:tcPr>
          <w:p w14:paraId="1FEA87D4" w14:textId="77777777" w:rsidR="00403B07" w:rsidRPr="006E2ABA" w:rsidRDefault="00403B07" w:rsidP="00B01272">
            <w:pPr>
              <w:jc w:val="right"/>
              <w:rPr>
                <w:sz w:val="18"/>
                <w:szCs w:val="18"/>
              </w:rPr>
            </w:pPr>
            <w:r w:rsidRPr="006E2ABA">
              <w:rPr>
                <w:rFonts w:ascii="Calibri" w:eastAsia="Times New Roman" w:hAnsi="Calibri" w:cs="Times New Roman"/>
                <w:sz w:val="18"/>
                <w:szCs w:val="18"/>
              </w:rPr>
              <w:t>72</w:t>
            </w:r>
          </w:p>
        </w:tc>
        <w:tc>
          <w:tcPr>
            <w:tcW w:w="1843" w:type="dxa"/>
          </w:tcPr>
          <w:p w14:paraId="03698E19" w14:textId="77777777" w:rsidR="00403B07" w:rsidRPr="006E2ABA" w:rsidRDefault="00403B07" w:rsidP="00B01272">
            <w:pPr>
              <w:jc w:val="right"/>
              <w:rPr>
                <w:sz w:val="18"/>
                <w:szCs w:val="18"/>
              </w:rPr>
            </w:pPr>
            <w:r w:rsidRPr="006E2ABA">
              <w:rPr>
                <w:rFonts w:ascii="Calibri" w:eastAsia="Times New Roman" w:hAnsi="Calibri" w:cs="Times New Roman"/>
                <w:sz w:val="18"/>
                <w:szCs w:val="18"/>
              </w:rPr>
              <w:t>40.9%</w:t>
            </w:r>
          </w:p>
        </w:tc>
      </w:tr>
      <w:tr w:rsidR="00403B07" w:rsidRPr="006E2ABA" w14:paraId="1CFC1577" w14:textId="77777777" w:rsidTr="00B01272">
        <w:tc>
          <w:tcPr>
            <w:tcW w:w="1951" w:type="dxa"/>
            <w:vMerge/>
          </w:tcPr>
          <w:p w14:paraId="6EAE5854" w14:textId="77777777" w:rsidR="00403B07" w:rsidRPr="0027473F" w:rsidRDefault="00403B07" w:rsidP="00B01272">
            <w:pPr>
              <w:rPr>
                <w:b/>
                <w:sz w:val="18"/>
                <w:szCs w:val="18"/>
              </w:rPr>
            </w:pPr>
          </w:p>
        </w:tc>
        <w:tc>
          <w:tcPr>
            <w:tcW w:w="3718" w:type="dxa"/>
            <w:vMerge/>
          </w:tcPr>
          <w:p w14:paraId="317F91C1" w14:textId="77777777" w:rsidR="00403B07" w:rsidRPr="004D1BD2" w:rsidRDefault="00403B07" w:rsidP="00B01272">
            <w:pPr>
              <w:rPr>
                <w:i/>
                <w:sz w:val="18"/>
                <w:szCs w:val="18"/>
              </w:rPr>
            </w:pPr>
          </w:p>
        </w:tc>
        <w:tc>
          <w:tcPr>
            <w:tcW w:w="2236" w:type="dxa"/>
          </w:tcPr>
          <w:p w14:paraId="06076552" w14:textId="77777777" w:rsidR="00403B07" w:rsidRPr="006E2ABA" w:rsidRDefault="00403B07" w:rsidP="00B01272">
            <w:pPr>
              <w:rPr>
                <w:sz w:val="18"/>
                <w:szCs w:val="18"/>
              </w:rPr>
            </w:pPr>
            <w:r w:rsidRPr="006E2ABA">
              <w:rPr>
                <w:rFonts w:ascii="Calibri" w:eastAsia="Times New Roman" w:hAnsi="Calibri" w:cs="Times New Roman"/>
                <w:sz w:val="18"/>
                <w:szCs w:val="18"/>
              </w:rPr>
              <w:t>Not at all</w:t>
            </w:r>
          </w:p>
        </w:tc>
        <w:tc>
          <w:tcPr>
            <w:tcW w:w="1842" w:type="dxa"/>
          </w:tcPr>
          <w:p w14:paraId="64C6A3D9" w14:textId="77777777" w:rsidR="00403B07" w:rsidRPr="006E2ABA" w:rsidRDefault="00403B07" w:rsidP="00B01272">
            <w:pPr>
              <w:jc w:val="right"/>
              <w:rPr>
                <w:sz w:val="18"/>
                <w:szCs w:val="18"/>
              </w:rPr>
            </w:pPr>
            <w:r w:rsidRPr="006E2ABA">
              <w:rPr>
                <w:rFonts w:ascii="Calibri" w:eastAsia="Times New Roman" w:hAnsi="Calibri" w:cs="Times New Roman"/>
                <w:sz w:val="18"/>
                <w:szCs w:val="18"/>
              </w:rPr>
              <w:t>1</w:t>
            </w:r>
          </w:p>
        </w:tc>
        <w:tc>
          <w:tcPr>
            <w:tcW w:w="1843" w:type="dxa"/>
          </w:tcPr>
          <w:p w14:paraId="3388AA5A" w14:textId="77777777" w:rsidR="00403B07" w:rsidRPr="006E2ABA" w:rsidRDefault="00403B07" w:rsidP="00B01272">
            <w:pPr>
              <w:jc w:val="right"/>
              <w:rPr>
                <w:sz w:val="18"/>
                <w:szCs w:val="18"/>
              </w:rPr>
            </w:pPr>
            <w:r w:rsidRPr="006E2ABA">
              <w:rPr>
                <w:rFonts w:ascii="Calibri" w:eastAsia="Times New Roman" w:hAnsi="Calibri" w:cs="Times New Roman"/>
                <w:sz w:val="18"/>
                <w:szCs w:val="18"/>
              </w:rPr>
              <w:t>0.6%</w:t>
            </w:r>
          </w:p>
        </w:tc>
      </w:tr>
      <w:tr w:rsidR="00403B07" w:rsidRPr="006E2ABA" w14:paraId="0940B709" w14:textId="77777777" w:rsidTr="00B01272">
        <w:tc>
          <w:tcPr>
            <w:tcW w:w="1951" w:type="dxa"/>
            <w:vMerge/>
          </w:tcPr>
          <w:p w14:paraId="0DD036BF" w14:textId="77777777" w:rsidR="00403B07" w:rsidRPr="0027473F" w:rsidRDefault="00403B07" w:rsidP="00B01272">
            <w:pPr>
              <w:rPr>
                <w:b/>
                <w:sz w:val="18"/>
                <w:szCs w:val="18"/>
              </w:rPr>
            </w:pPr>
          </w:p>
        </w:tc>
        <w:tc>
          <w:tcPr>
            <w:tcW w:w="3718" w:type="dxa"/>
            <w:vMerge/>
          </w:tcPr>
          <w:p w14:paraId="07D0FFED" w14:textId="77777777" w:rsidR="00403B07" w:rsidRPr="004D1BD2" w:rsidRDefault="00403B07" w:rsidP="00B01272">
            <w:pPr>
              <w:rPr>
                <w:i/>
                <w:sz w:val="18"/>
                <w:szCs w:val="18"/>
              </w:rPr>
            </w:pPr>
          </w:p>
        </w:tc>
        <w:tc>
          <w:tcPr>
            <w:tcW w:w="2236" w:type="dxa"/>
          </w:tcPr>
          <w:p w14:paraId="77F6E5F6" w14:textId="77777777" w:rsidR="00403B07" w:rsidRPr="006E2ABA" w:rsidRDefault="00403B07" w:rsidP="00B01272">
            <w:pPr>
              <w:rPr>
                <w:sz w:val="18"/>
                <w:szCs w:val="18"/>
              </w:rPr>
            </w:pPr>
            <w:r w:rsidRPr="006E2ABA">
              <w:rPr>
                <w:rFonts w:ascii="Calibri" w:eastAsia="Times New Roman" w:hAnsi="Calibri" w:cs="Times New Roman"/>
                <w:sz w:val="18"/>
                <w:szCs w:val="18"/>
              </w:rPr>
              <w:t>spoilt/missing</w:t>
            </w:r>
          </w:p>
        </w:tc>
        <w:tc>
          <w:tcPr>
            <w:tcW w:w="1842" w:type="dxa"/>
          </w:tcPr>
          <w:p w14:paraId="55E0F76A" w14:textId="77777777" w:rsidR="00403B07" w:rsidRPr="006E2ABA" w:rsidRDefault="00403B07" w:rsidP="00B01272">
            <w:pPr>
              <w:jc w:val="right"/>
              <w:rPr>
                <w:sz w:val="18"/>
                <w:szCs w:val="18"/>
              </w:rPr>
            </w:pPr>
            <w:r w:rsidRPr="006E2ABA">
              <w:rPr>
                <w:rFonts w:ascii="Calibri" w:eastAsia="Times New Roman" w:hAnsi="Calibri" w:cs="Times New Roman"/>
                <w:sz w:val="18"/>
                <w:szCs w:val="18"/>
              </w:rPr>
              <w:t>1</w:t>
            </w:r>
          </w:p>
        </w:tc>
        <w:tc>
          <w:tcPr>
            <w:tcW w:w="1843" w:type="dxa"/>
          </w:tcPr>
          <w:p w14:paraId="328090D3" w14:textId="77777777" w:rsidR="00403B07" w:rsidRPr="006E2ABA" w:rsidRDefault="00403B07" w:rsidP="00B01272">
            <w:pPr>
              <w:jc w:val="right"/>
              <w:rPr>
                <w:sz w:val="18"/>
                <w:szCs w:val="18"/>
              </w:rPr>
            </w:pPr>
            <w:r w:rsidRPr="006E2ABA">
              <w:rPr>
                <w:rFonts w:ascii="Calibri" w:eastAsia="Times New Roman" w:hAnsi="Calibri" w:cs="Times New Roman"/>
                <w:sz w:val="18"/>
                <w:szCs w:val="18"/>
              </w:rPr>
              <w:t>0.6%</w:t>
            </w:r>
          </w:p>
        </w:tc>
      </w:tr>
      <w:tr w:rsidR="00403B07" w:rsidRPr="006E2ABA" w14:paraId="41A01890" w14:textId="77777777" w:rsidTr="00B01272">
        <w:tc>
          <w:tcPr>
            <w:tcW w:w="1951" w:type="dxa"/>
            <w:vMerge w:val="restart"/>
          </w:tcPr>
          <w:p w14:paraId="12BA9995" w14:textId="77777777" w:rsidR="00403B07" w:rsidRPr="0027473F" w:rsidRDefault="00403B07" w:rsidP="00B01272">
            <w:pPr>
              <w:rPr>
                <w:b/>
                <w:sz w:val="18"/>
                <w:szCs w:val="18"/>
              </w:rPr>
            </w:pPr>
            <w:r w:rsidRPr="0027473F">
              <w:rPr>
                <w:b/>
                <w:sz w:val="18"/>
                <w:szCs w:val="18"/>
              </w:rPr>
              <w:t>4a</w:t>
            </w:r>
          </w:p>
        </w:tc>
        <w:tc>
          <w:tcPr>
            <w:tcW w:w="3718" w:type="dxa"/>
            <w:vMerge w:val="restart"/>
          </w:tcPr>
          <w:p w14:paraId="1BA29D48" w14:textId="77777777" w:rsidR="00403B07" w:rsidRPr="004D1BD2" w:rsidRDefault="00403B07" w:rsidP="00B01272">
            <w:pPr>
              <w:rPr>
                <w:i/>
                <w:sz w:val="18"/>
                <w:szCs w:val="18"/>
              </w:rPr>
            </w:pPr>
            <w:r w:rsidRPr="004D1BD2">
              <w:rPr>
                <w:i/>
                <w:sz w:val="18"/>
                <w:szCs w:val="18"/>
              </w:rPr>
              <w:t>Were you aware of your child’s goals?</w:t>
            </w:r>
          </w:p>
        </w:tc>
        <w:tc>
          <w:tcPr>
            <w:tcW w:w="2236" w:type="dxa"/>
          </w:tcPr>
          <w:p w14:paraId="487896D1" w14:textId="77777777" w:rsidR="00403B07" w:rsidRPr="006E2ABA" w:rsidRDefault="00403B07" w:rsidP="00B01272">
            <w:pPr>
              <w:rPr>
                <w:sz w:val="18"/>
                <w:szCs w:val="18"/>
              </w:rPr>
            </w:pPr>
            <w:r w:rsidRPr="006E2ABA">
              <w:rPr>
                <w:rFonts w:ascii="Calibri" w:eastAsia="Times New Roman" w:hAnsi="Calibri" w:cs="Times New Roman"/>
                <w:sz w:val="18"/>
                <w:szCs w:val="18"/>
              </w:rPr>
              <w:t>No</w:t>
            </w:r>
          </w:p>
        </w:tc>
        <w:tc>
          <w:tcPr>
            <w:tcW w:w="1842" w:type="dxa"/>
          </w:tcPr>
          <w:p w14:paraId="553EAA97" w14:textId="77777777" w:rsidR="00403B07" w:rsidRPr="006E2ABA" w:rsidRDefault="00403B07" w:rsidP="00B01272">
            <w:pPr>
              <w:jc w:val="right"/>
              <w:rPr>
                <w:sz w:val="18"/>
                <w:szCs w:val="18"/>
              </w:rPr>
            </w:pPr>
            <w:r w:rsidRPr="006E2ABA">
              <w:rPr>
                <w:rFonts w:ascii="Calibri" w:eastAsia="Times New Roman" w:hAnsi="Calibri" w:cs="Times New Roman"/>
                <w:sz w:val="18"/>
                <w:szCs w:val="18"/>
              </w:rPr>
              <w:t>1</w:t>
            </w:r>
          </w:p>
        </w:tc>
        <w:tc>
          <w:tcPr>
            <w:tcW w:w="1843" w:type="dxa"/>
          </w:tcPr>
          <w:p w14:paraId="60233473" w14:textId="77777777" w:rsidR="00403B07" w:rsidRPr="006E2ABA" w:rsidRDefault="00403B07" w:rsidP="00B01272">
            <w:pPr>
              <w:jc w:val="right"/>
              <w:rPr>
                <w:sz w:val="18"/>
                <w:szCs w:val="18"/>
              </w:rPr>
            </w:pPr>
            <w:r w:rsidRPr="006E2ABA">
              <w:rPr>
                <w:rFonts w:ascii="Calibri" w:eastAsia="Times New Roman" w:hAnsi="Calibri" w:cs="Times New Roman"/>
                <w:sz w:val="18"/>
                <w:szCs w:val="18"/>
              </w:rPr>
              <w:t>0.6%</w:t>
            </w:r>
          </w:p>
        </w:tc>
      </w:tr>
      <w:tr w:rsidR="00403B07" w:rsidRPr="006E2ABA" w14:paraId="36D2C878" w14:textId="77777777" w:rsidTr="00B01272">
        <w:trPr>
          <w:trHeight w:val="209"/>
        </w:trPr>
        <w:tc>
          <w:tcPr>
            <w:tcW w:w="1951" w:type="dxa"/>
            <w:vMerge/>
          </w:tcPr>
          <w:p w14:paraId="35DB1EA9" w14:textId="77777777" w:rsidR="00403B07" w:rsidRPr="0027473F" w:rsidRDefault="00403B07" w:rsidP="00B01272">
            <w:pPr>
              <w:rPr>
                <w:b/>
                <w:sz w:val="18"/>
                <w:szCs w:val="18"/>
              </w:rPr>
            </w:pPr>
          </w:p>
        </w:tc>
        <w:tc>
          <w:tcPr>
            <w:tcW w:w="3718" w:type="dxa"/>
            <w:vMerge/>
          </w:tcPr>
          <w:p w14:paraId="323404C6" w14:textId="77777777" w:rsidR="00403B07" w:rsidRPr="004D1BD2" w:rsidRDefault="00403B07" w:rsidP="00B01272">
            <w:pPr>
              <w:rPr>
                <w:i/>
                <w:sz w:val="18"/>
                <w:szCs w:val="18"/>
              </w:rPr>
            </w:pPr>
          </w:p>
        </w:tc>
        <w:tc>
          <w:tcPr>
            <w:tcW w:w="2236" w:type="dxa"/>
          </w:tcPr>
          <w:p w14:paraId="10A7EF6F" w14:textId="77777777" w:rsidR="00403B07" w:rsidRPr="006E2ABA" w:rsidRDefault="00403B07" w:rsidP="00B01272">
            <w:pPr>
              <w:rPr>
                <w:sz w:val="18"/>
                <w:szCs w:val="18"/>
              </w:rPr>
            </w:pPr>
            <w:r w:rsidRPr="006E2ABA">
              <w:rPr>
                <w:rFonts w:ascii="Calibri" w:eastAsia="Times New Roman" w:hAnsi="Calibri" w:cs="Times New Roman"/>
                <w:sz w:val="18"/>
                <w:szCs w:val="18"/>
              </w:rPr>
              <w:t>Yes</w:t>
            </w:r>
          </w:p>
        </w:tc>
        <w:tc>
          <w:tcPr>
            <w:tcW w:w="1842" w:type="dxa"/>
          </w:tcPr>
          <w:p w14:paraId="15991E17" w14:textId="77777777" w:rsidR="00403B07" w:rsidRPr="006E2ABA" w:rsidRDefault="00403B07" w:rsidP="00B01272">
            <w:pPr>
              <w:jc w:val="right"/>
              <w:rPr>
                <w:sz w:val="18"/>
                <w:szCs w:val="18"/>
              </w:rPr>
            </w:pPr>
            <w:r w:rsidRPr="006E2ABA">
              <w:rPr>
                <w:rFonts w:ascii="Calibri" w:eastAsia="Times New Roman" w:hAnsi="Calibri" w:cs="Times New Roman"/>
                <w:sz w:val="18"/>
                <w:szCs w:val="18"/>
              </w:rPr>
              <w:t>175</w:t>
            </w:r>
          </w:p>
        </w:tc>
        <w:tc>
          <w:tcPr>
            <w:tcW w:w="1843" w:type="dxa"/>
          </w:tcPr>
          <w:p w14:paraId="2E2404A4" w14:textId="77777777" w:rsidR="00403B07" w:rsidRPr="006E2ABA" w:rsidRDefault="00403B07" w:rsidP="00B01272">
            <w:pPr>
              <w:jc w:val="right"/>
              <w:rPr>
                <w:sz w:val="18"/>
                <w:szCs w:val="18"/>
              </w:rPr>
            </w:pPr>
            <w:r w:rsidRPr="006E2ABA">
              <w:rPr>
                <w:rFonts w:ascii="Calibri" w:eastAsia="Times New Roman" w:hAnsi="Calibri" w:cs="Times New Roman"/>
                <w:sz w:val="18"/>
                <w:szCs w:val="18"/>
              </w:rPr>
              <w:t>99.4%</w:t>
            </w:r>
          </w:p>
        </w:tc>
      </w:tr>
      <w:tr w:rsidR="00403B07" w:rsidRPr="006E2ABA" w14:paraId="242B0843" w14:textId="77777777" w:rsidTr="00B01272">
        <w:tc>
          <w:tcPr>
            <w:tcW w:w="1951" w:type="dxa"/>
            <w:vMerge w:val="restart"/>
          </w:tcPr>
          <w:p w14:paraId="4F61629C" w14:textId="77777777" w:rsidR="00403B07" w:rsidRPr="0027473F" w:rsidRDefault="00403B07" w:rsidP="00B01272">
            <w:pPr>
              <w:rPr>
                <w:b/>
                <w:sz w:val="18"/>
                <w:szCs w:val="18"/>
              </w:rPr>
            </w:pPr>
            <w:r w:rsidRPr="0027473F">
              <w:rPr>
                <w:b/>
                <w:sz w:val="18"/>
                <w:szCs w:val="18"/>
              </w:rPr>
              <w:t>4b</w:t>
            </w:r>
          </w:p>
        </w:tc>
        <w:tc>
          <w:tcPr>
            <w:tcW w:w="3718" w:type="dxa"/>
            <w:vMerge w:val="restart"/>
          </w:tcPr>
          <w:p w14:paraId="6610CB4B" w14:textId="77777777" w:rsidR="00403B07" w:rsidRPr="004D1BD2" w:rsidRDefault="00403B07" w:rsidP="00B01272">
            <w:pPr>
              <w:rPr>
                <w:i/>
                <w:sz w:val="18"/>
                <w:szCs w:val="18"/>
              </w:rPr>
            </w:pPr>
            <w:r w:rsidRPr="004D1BD2">
              <w:rPr>
                <w:i/>
                <w:sz w:val="18"/>
                <w:szCs w:val="18"/>
              </w:rPr>
              <w:t>How easy do you think it was for your child to make these changes?</w:t>
            </w:r>
          </w:p>
        </w:tc>
        <w:tc>
          <w:tcPr>
            <w:tcW w:w="2236" w:type="dxa"/>
          </w:tcPr>
          <w:p w14:paraId="2D53E72C" w14:textId="77777777" w:rsidR="00403B07" w:rsidRPr="006E2ABA" w:rsidRDefault="00403B07" w:rsidP="00B01272">
            <w:pPr>
              <w:rPr>
                <w:sz w:val="18"/>
                <w:szCs w:val="18"/>
              </w:rPr>
            </w:pPr>
            <w:r w:rsidRPr="006E2ABA">
              <w:rPr>
                <w:rFonts w:ascii="Calibri" w:eastAsia="Times New Roman" w:hAnsi="Calibri" w:cs="Times New Roman"/>
                <w:sz w:val="18"/>
                <w:szCs w:val="18"/>
              </w:rPr>
              <w:t>Easy</w:t>
            </w:r>
          </w:p>
        </w:tc>
        <w:tc>
          <w:tcPr>
            <w:tcW w:w="1842" w:type="dxa"/>
          </w:tcPr>
          <w:p w14:paraId="06D83E2E" w14:textId="77777777" w:rsidR="00403B07" w:rsidRPr="006E2ABA" w:rsidRDefault="00403B07" w:rsidP="00B01272">
            <w:pPr>
              <w:jc w:val="right"/>
              <w:rPr>
                <w:sz w:val="18"/>
                <w:szCs w:val="18"/>
              </w:rPr>
            </w:pPr>
            <w:r w:rsidRPr="006E2ABA">
              <w:rPr>
                <w:rFonts w:ascii="Calibri" w:eastAsia="Times New Roman" w:hAnsi="Calibri" w:cs="Times New Roman"/>
                <w:sz w:val="18"/>
                <w:szCs w:val="18"/>
              </w:rPr>
              <w:t>31</w:t>
            </w:r>
          </w:p>
        </w:tc>
        <w:tc>
          <w:tcPr>
            <w:tcW w:w="1843" w:type="dxa"/>
          </w:tcPr>
          <w:p w14:paraId="30D63138" w14:textId="77777777" w:rsidR="00403B07" w:rsidRPr="006E2ABA" w:rsidRDefault="00403B07" w:rsidP="00B01272">
            <w:pPr>
              <w:jc w:val="right"/>
              <w:rPr>
                <w:sz w:val="18"/>
                <w:szCs w:val="18"/>
              </w:rPr>
            </w:pPr>
            <w:r w:rsidRPr="006E2ABA">
              <w:rPr>
                <w:rFonts w:ascii="Calibri" w:eastAsia="Times New Roman" w:hAnsi="Calibri" w:cs="Times New Roman"/>
                <w:sz w:val="18"/>
                <w:szCs w:val="18"/>
              </w:rPr>
              <w:t>17.6%</w:t>
            </w:r>
          </w:p>
        </w:tc>
      </w:tr>
      <w:tr w:rsidR="00403B07" w:rsidRPr="006E2ABA" w14:paraId="1EA573B4" w14:textId="77777777" w:rsidTr="00B01272">
        <w:tc>
          <w:tcPr>
            <w:tcW w:w="1951" w:type="dxa"/>
            <w:vMerge/>
          </w:tcPr>
          <w:p w14:paraId="21E8C0CB" w14:textId="77777777" w:rsidR="00403B07" w:rsidRPr="0027473F" w:rsidRDefault="00403B07" w:rsidP="00B01272">
            <w:pPr>
              <w:rPr>
                <w:b/>
                <w:sz w:val="18"/>
                <w:szCs w:val="18"/>
              </w:rPr>
            </w:pPr>
          </w:p>
        </w:tc>
        <w:tc>
          <w:tcPr>
            <w:tcW w:w="3718" w:type="dxa"/>
            <w:vMerge/>
          </w:tcPr>
          <w:p w14:paraId="7938E60A" w14:textId="77777777" w:rsidR="00403B07" w:rsidRPr="004D1BD2" w:rsidRDefault="00403B07" w:rsidP="00B01272">
            <w:pPr>
              <w:rPr>
                <w:i/>
                <w:sz w:val="18"/>
                <w:szCs w:val="18"/>
              </w:rPr>
            </w:pPr>
          </w:p>
        </w:tc>
        <w:tc>
          <w:tcPr>
            <w:tcW w:w="2236" w:type="dxa"/>
          </w:tcPr>
          <w:p w14:paraId="16DDF39D" w14:textId="77777777" w:rsidR="00403B07" w:rsidRPr="006E2ABA" w:rsidRDefault="00403B07" w:rsidP="00B01272">
            <w:pPr>
              <w:rPr>
                <w:sz w:val="18"/>
                <w:szCs w:val="18"/>
              </w:rPr>
            </w:pPr>
            <w:r w:rsidRPr="006E2ABA">
              <w:rPr>
                <w:rFonts w:ascii="Calibri" w:eastAsia="Times New Roman" w:hAnsi="Calibri" w:cs="Times New Roman"/>
                <w:sz w:val="18"/>
                <w:szCs w:val="18"/>
              </w:rPr>
              <w:t>Quite Easy</w:t>
            </w:r>
          </w:p>
        </w:tc>
        <w:tc>
          <w:tcPr>
            <w:tcW w:w="1842" w:type="dxa"/>
          </w:tcPr>
          <w:p w14:paraId="5BD789C0" w14:textId="77777777" w:rsidR="00403B07" w:rsidRPr="006E2ABA" w:rsidRDefault="00403B07" w:rsidP="00B01272">
            <w:pPr>
              <w:jc w:val="right"/>
              <w:rPr>
                <w:sz w:val="18"/>
                <w:szCs w:val="18"/>
              </w:rPr>
            </w:pPr>
            <w:r w:rsidRPr="006E2ABA">
              <w:rPr>
                <w:rFonts w:ascii="Calibri" w:eastAsia="Times New Roman" w:hAnsi="Calibri" w:cs="Times New Roman"/>
                <w:sz w:val="18"/>
                <w:szCs w:val="18"/>
              </w:rPr>
              <w:t>103</w:t>
            </w:r>
          </w:p>
        </w:tc>
        <w:tc>
          <w:tcPr>
            <w:tcW w:w="1843" w:type="dxa"/>
          </w:tcPr>
          <w:p w14:paraId="76CC8208" w14:textId="77777777" w:rsidR="00403B07" w:rsidRPr="006E2ABA" w:rsidRDefault="00403B07" w:rsidP="00B01272">
            <w:pPr>
              <w:jc w:val="right"/>
              <w:rPr>
                <w:sz w:val="18"/>
                <w:szCs w:val="18"/>
              </w:rPr>
            </w:pPr>
            <w:r w:rsidRPr="006E2ABA">
              <w:rPr>
                <w:rFonts w:ascii="Calibri" w:eastAsia="Times New Roman" w:hAnsi="Calibri" w:cs="Times New Roman"/>
                <w:sz w:val="18"/>
                <w:szCs w:val="18"/>
              </w:rPr>
              <w:t>58.5%</w:t>
            </w:r>
          </w:p>
        </w:tc>
      </w:tr>
      <w:tr w:rsidR="00403B07" w:rsidRPr="006E2ABA" w14:paraId="29B5C07B" w14:textId="77777777" w:rsidTr="00B01272">
        <w:tc>
          <w:tcPr>
            <w:tcW w:w="1951" w:type="dxa"/>
            <w:vMerge/>
          </w:tcPr>
          <w:p w14:paraId="4C54918A" w14:textId="77777777" w:rsidR="00403B07" w:rsidRPr="0027473F" w:rsidRDefault="00403B07" w:rsidP="00B01272">
            <w:pPr>
              <w:rPr>
                <w:b/>
                <w:sz w:val="18"/>
                <w:szCs w:val="18"/>
              </w:rPr>
            </w:pPr>
          </w:p>
        </w:tc>
        <w:tc>
          <w:tcPr>
            <w:tcW w:w="3718" w:type="dxa"/>
            <w:vMerge/>
          </w:tcPr>
          <w:p w14:paraId="63602A1B" w14:textId="77777777" w:rsidR="00403B07" w:rsidRPr="004D1BD2" w:rsidRDefault="00403B07" w:rsidP="00B01272">
            <w:pPr>
              <w:rPr>
                <w:i/>
                <w:sz w:val="18"/>
                <w:szCs w:val="18"/>
              </w:rPr>
            </w:pPr>
          </w:p>
        </w:tc>
        <w:tc>
          <w:tcPr>
            <w:tcW w:w="2236" w:type="dxa"/>
            <w:vAlign w:val="bottom"/>
          </w:tcPr>
          <w:p w14:paraId="7B3C38E1" w14:textId="77777777" w:rsidR="00403B07" w:rsidRPr="006E2ABA" w:rsidRDefault="00403B07" w:rsidP="00B01272">
            <w:pPr>
              <w:rPr>
                <w:rFonts w:ascii="Calibri" w:eastAsia="Times New Roman" w:hAnsi="Calibri" w:cs="Times New Roman"/>
                <w:sz w:val="18"/>
                <w:szCs w:val="18"/>
              </w:rPr>
            </w:pPr>
            <w:r w:rsidRPr="006E2ABA">
              <w:rPr>
                <w:rFonts w:ascii="Calibri" w:eastAsia="Times New Roman" w:hAnsi="Calibri" w:cs="Times New Roman"/>
                <w:sz w:val="18"/>
                <w:szCs w:val="18"/>
              </w:rPr>
              <w:t>Quite Difficult</w:t>
            </w:r>
          </w:p>
        </w:tc>
        <w:tc>
          <w:tcPr>
            <w:tcW w:w="1842" w:type="dxa"/>
          </w:tcPr>
          <w:p w14:paraId="505EFF3B" w14:textId="77777777" w:rsidR="00403B07" w:rsidRPr="006E2ABA" w:rsidRDefault="00403B07" w:rsidP="00B01272">
            <w:pPr>
              <w:jc w:val="right"/>
              <w:rPr>
                <w:sz w:val="18"/>
                <w:szCs w:val="18"/>
              </w:rPr>
            </w:pPr>
            <w:r w:rsidRPr="006E2ABA">
              <w:rPr>
                <w:rFonts w:ascii="Calibri" w:eastAsia="Times New Roman" w:hAnsi="Calibri" w:cs="Times New Roman"/>
                <w:sz w:val="18"/>
                <w:szCs w:val="18"/>
              </w:rPr>
              <w:t>35</w:t>
            </w:r>
          </w:p>
        </w:tc>
        <w:tc>
          <w:tcPr>
            <w:tcW w:w="1843" w:type="dxa"/>
          </w:tcPr>
          <w:p w14:paraId="67725F0F" w14:textId="77777777" w:rsidR="00403B07" w:rsidRPr="006E2ABA" w:rsidRDefault="00403B07" w:rsidP="00B01272">
            <w:pPr>
              <w:jc w:val="right"/>
              <w:rPr>
                <w:sz w:val="18"/>
                <w:szCs w:val="18"/>
              </w:rPr>
            </w:pPr>
            <w:r w:rsidRPr="006E2ABA">
              <w:rPr>
                <w:rFonts w:ascii="Calibri" w:eastAsia="Times New Roman" w:hAnsi="Calibri" w:cs="Times New Roman"/>
                <w:sz w:val="18"/>
                <w:szCs w:val="18"/>
              </w:rPr>
              <w:t>19.9%</w:t>
            </w:r>
          </w:p>
        </w:tc>
      </w:tr>
      <w:tr w:rsidR="00403B07" w:rsidRPr="006E2ABA" w14:paraId="3023F614" w14:textId="77777777" w:rsidTr="00B01272">
        <w:tc>
          <w:tcPr>
            <w:tcW w:w="1951" w:type="dxa"/>
            <w:vMerge/>
          </w:tcPr>
          <w:p w14:paraId="3CA5F617" w14:textId="77777777" w:rsidR="00403B07" w:rsidRPr="0027473F" w:rsidRDefault="00403B07" w:rsidP="00B01272">
            <w:pPr>
              <w:rPr>
                <w:b/>
                <w:sz w:val="18"/>
                <w:szCs w:val="18"/>
              </w:rPr>
            </w:pPr>
          </w:p>
        </w:tc>
        <w:tc>
          <w:tcPr>
            <w:tcW w:w="3718" w:type="dxa"/>
            <w:vMerge/>
          </w:tcPr>
          <w:p w14:paraId="45DEAE2A" w14:textId="77777777" w:rsidR="00403B07" w:rsidRPr="004D1BD2" w:rsidRDefault="00403B07" w:rsidP="00B01272">
            <w:pPr>
              <w:rPr>
                <w:i/>
                <w:sz w:val="18"/>
                <w:szCs w:val="18"/>
              </w:rPr>
            </w:pPr>
          </w:p>
        </w:tc>
        <w:tc>
          <w:tcPr>
            <w:tcW w:w="2236" w:type="dxa"/>
          </w:tcPr>
          <w:p w14:paraId="0ACC6AFC" w14:textId="77777777" w:rsidR="00403B07" w:rsidRPr="006E2ABA" w:rsidRDefault="00403B07" w:rsidP="00B01272">
            <w:pPr>
              <w:rPr>
                <w:sz w:val="18"/>
                <w:szCs w:val="18"/>
              </w:rPr>
            </w:pPr>
            <w:r w:rsidRPr="006E2ABA">
              <w:rPr>
                <w:rFonts w:ascii="Calibri" w:eastAsia="Times New Roman" w:hAnsi="Calibri" w:cs="Times New Roman"/>
                <w:sz w:val="18"/>
                <w:szCs w:val="18"/>
              </w:rPr>
              <w:t>Very Difficult</w:t>
            </w:r>
          </w:p>
        </w:tc>
        <w:tc>
          <w:tcPr>
            <w:tcW w:w="1842" w:type="dxa"/>
          </w:tcPr>
          <w:p w14:paraId="5F310456" w14:textId="77777777" w:rsidR="00403B07" w:rsidRPr="006E2ABA" w:rsidRDefault="00403B07" w:rsidP="00B01272">
            <w:pPr>
              <w:jc w:val="right"/>
              <w:rPr>
                <w:sz w:val="18"/>
                <w:szCs w:val="18"/>
              </w:rPr>
            </w:pPr>
            <w:r w:rsidRPr="006E2ABA">
              <w:rPr>
                <w:rFonts w:ascii="Calibri" w:eastAsia="Times New Roman" w:hAnsi="Calibri" w:cs="Times New Roman"/>
                <w:sz w:val="18"/>
                <w:szCs w:val="18"/>
              </w:rPr>
              <w:t>2</w:t>
            </w:r>
          </w:p>
        </w:tc>
        <w:tc>
          <w:tcPr>
            <w:tcW w:w="1843" w:type="dxa"/>
          </w:tcPr>
          <w:p w14:paraId="76803952" w14:textId="77777777" w:rsidR="00403B07" w:rsidRPr="006E2ABA" w:rsidRDefault="00403B07" w:rsidP="00B01272">
            <w:pPr>
              <w:jc w:val="right"/>
              <w:rPr>
                <w:sz w:val="18"/>
                <w:szCs w:val="18"/>
              </w:rPr>
            </w:pPr>
            <w:r w:rsidRPr="006E2ABA">
              <w:rPr>
                <w:rFonts w:ascii="Calibri" w:eastAsia="Times New Roman" w:hAnsi="Calibri" w:cs="Times New Roman"/>
                <w:sz w:val="18"/>
                <w:szCs w:val="18"/>
              </w:rPr>
              <w:t>1.1%</w:t>
            </w:r>
          </w:p>
        </w:tc>
      </w:tr>
      <w:tr w:rsidR="00403B07" w:rsidRPr="006E2ABA" w14:paraId="50745CD2" w14:textId="77777777" w:rsidTr="00B01272">
        <w:tc>
          <w:tcPr>
            <w:tcW w:w="1951" w:type="dxa"/>
            <w:vMerge/>
          </w:tcPr>
          <w:p w14:paraId="6EA41755" w14:textId="77777777" w:rsidR="00403B07" w:rsidRPr="0027473F" w:rsidRDefault="00403B07" w:rsidP="00B01272">
            <w:pPr>
              <w:rPr>
                <w:b/>
                <w:sz w:val="18"/>
                <w:szCs w:val="18"/>
              </w:rPr>
            </w:pPr>
          </w:p>
        </w:tc>
        <w:tc>
          <w:tcPr>
            <w:tcW w:w="3718" w:type="dxa"/>
            <w:vMerge/>
          </w:tcPr>
          <w:p w14:paraId="28200F51" w14:textId="77777777" w:rsidR="00403B07" w:rsidRPr="004D1BD2" w:rsidRDefault="00403B07" w:rsidP="00B01272">
            <w:pPr>
              <w:rPr>
                <w:i/>
                <w:sz w:val="18"/>
                <w:szCs w:val="18"/>
              </w:rPr>
            </w:pPr>
          </w:p>
        </w:tc>
        <w:tc>
          <w:tcPr>
            <w:tcW w:w="2236" w:type="dxa"/>
          </w:tcPr>
          <w:p w14:paraId="70F85E94" w14:textId="77777777" w:rsidR="00403B07" w:rsidRPr="006E2ABA" w:rsidRDefault="00403B07" w:rsidP="00B01272">
            <w:pPr>
              <w:rPr>
                <w:sz w:val="18"/>
                <w:szCs w:val="18"/>
              </w:rPr>
            </w:pPr>
            <w:r w:rsidRPr="006E2ABA">
              <w:rPr>
                <w:rFonts w:ascii="Calibri" w:eastAsia="Times New Roman" w:hAnsi="Calibri" w:cs="Times New Roman"/>
                <w:sz w:val="18"/>
                <w:szCs w:val="18"/>
              </w:rPr>
              <w:t>spoilt/missing</w:t>
            </w:r>
          </w:p>
        </w:tc>
        <w:tc>
          <w:tcPr>
            <w:tcW w:w="1842" w:type="dxa"/>
          </w:tcPr>
          <w:p w14:paraId="035150E6" w14:textId="77777777" w:rsidR="00403B07" w:rsidRPr="006E2ABA" w:rsidRDefault="00403B07" w:rsidP="00B01272">
            <w:pPr>
              <w:jc w:val="right"/>
              <w:rPr>
                <w:sz w:val="18"/>
                <w:szCs w:val="18"/>
              </w:rPr>
            </w:pPr>
            <w:r w:rsidRPr="006E2ABA">
              <w:rPr>
                <w:rFonts w:ascii="Calibri" w:eastAsia="Times New Roman" w:hAnsi="Calibri" w:cs="Times New Roman"/>
                <w:sz w:val="18"/>
                <w:szCs w:val="18"/>
              </w:rPr>
              <w:t>5</w:t>
            </w:r>
          </w:p>
        </w:tc>
        <w:tc>
          <w:tcPr>
            <w:tcW w:w="1843" w:type="dxa"/>
          </w:tcPr>
          <w:p w14:paraId="61994837" w14:textId="77777777" w:rsidR="00403B07" w:rsidRPr="006E2ABA" w:rsidRDefault="00403B07" w:rsidP="00B01272">
            <w:pPr>
              <w:jc w:val="right"/>
              <w:rPr>
                <w:sz w:val="18"/>
                <w:szCs w:val="18"/>
              </w:rPr>
            </w:pPr>
            <w:r w:rsidRPr="006E2ABA">
              <w:rPr>
                <w:rFonts w:ascii="Calibri" w:eastAsia="Times New Roman" w:hAnsi="Calibri" w:cs="Times New Roman"/>
                <w:sz w:val="18"/>
                <w:szCs w:val="18"/>
              </w:rPr>
              <w:t>2.8%</w:t>
            </w:r>
          </w:p>
        </w:tc>
      </w:tr>
      <w:tr w:rsidR="00403B07" w:rsidRPr="006E2ABA" w14:paraId="5E229BCE" w14:textId="77777777" w:rsidTr="00B01272">
        <w:tc>
          <w:tcPr>
            <w:tcW w:w="1951" w:type="dxa"/>
            <w:vMerge w:val="restart"/>
          </w:tcPr>
          <w:p w14:paraId="1B19B1EB" w14:textId="77777777" w:rsidR="00403B07" w:rsidRPr="0027473F" w:rsidRDefault="00403B07" w:rsidP="00B01272">
            <w:pPr>
              <w:rPr>
                <w:b/>
                <w:sz w:val="18"/>
                <w:szCs w:val="18"/>
              </w:rPr>
            </w:pPr>
            <w:r w:rsidRPr="0027473F">
              <w:rPr>
                <w:b/>
                <w:sz w:val="18"/>
                <w:szCs w:val="18"/>
              </w:rPr>
              <w:t>5a</w:t>
            </w:r>
          </w:p>
        </w:tc>
        <w:tc>
          <w:tcPr>
            <w:tcW w:w="3718" w:type="dxa"/>
            <w:vMerge w:val="restart"/>
          </w:tcPr>
          <w:p w14:paraId="43CB3EBE" w14:textId="77777777" w:rsidR="00403B07" w:rsidRPr="004D1BD2" w:rsidRDefault="00403B07" w:rsidP="00B01272">
            <w:pPr>
              <w:rPr>
                <w:i/>
                <w:sz w:val="18"/>
                <w:szCs w:val="18"/>
              </w:rPr>
            </w:pPr>
            <w:r w:rsidRPr="004D1BD2">
              <w:rPr>
                <w:i/>
                <w:sz w:val="18"/>
                <w:szCs w:val="18"/>
              </w:rPr>
              <w:t>Did you notice any change in your child’s choice of snacks?</w:t>
            </w:r>
          </w:p>
        </w:tc>
        <w:tc>
          <w:tcPr>
            <w:tcW w:w="2236" w:type="dxa"/>
          </w:tcPr>
          <w:p w14:paraId="6732C59B" w14:textId="77777777" w:rsidR="00403B07" w:rsidRPr="006E2ABA" w:rsidRDefault="00403B07" w:rsidP="00B01272">
            <w:pPr>
              <w:rPr>
                <w:b/>
                <w:sz w:val="18"/>
                <w:szCs w:val="18"/>
              </w:rPr>
            </w:pPr>
            <w:r w:rsidRPr="006E2ABA">
              <w:rPr>
                <w:rFonts w:ascii="Calibri" w:eastAsia="Times New Roman" w:hAnsi="Calibri" w:cs="Times New Roman"/>
                <w:sz w:val="18"/>
                <w:szCs w:val="18"/>
              </w:rPr>
              <w:t>No</w:t>
            </w:r>
          </w:p>
        </w:tc>
        <w:tc>
          <w:tcPr>
            <w:tcW w:w="1842" w:type="dxa"/>
          </w:tcPr>
          <w:p w14:paraId="21D3A932" w14:textId="77777777" w:rsidR="00403B07" w:rsidRPr="006E2ABA" w:rsidRDefault="00403B07" w:rsidP="00B01272">
            <w:pPr>
              <w:jc w:val="right"/>
              <w:rPr>
                <w:b/>
                <w:sz w:val="18"/>
                <w:szCs w:val="18"/>
              </w:rPr>
            </w:pPr>
            <w:r w:rsidRPr="006E2ABA">
              <w:rPr>
                <w:rFonts w:ascii="Calibri" w:eastAsia="Times New Roman" w:hAnsi="Calibri" w:cs="Times New Roman"/>
                <w:sz w:val="18"/>
                <w:szCs w:val="18"/>
              </w:rPr>
              <w:t>36</w:t>
            </w:r>
          </w:p>
        </w:tc>
        <w:tc>
          <w:tcPr>
            <w:tcW w:w="1843" w:type="dxa"/>
          </w:tcPr>
          <w:p w14:paraId="500EAD7E" w14:textId="77777777" w:rsidR="00403B07" w:rsidRPr="006E2ABA" w:rsidRDefault="00403B07" w:rsidP="00B01272">
            <w:pPr>
              <w:jc w:val="right"/>
              <w:rPr>
                <w:b/>
                <w:sz w:val="18"/>
                <w:szCs w:val="18"/>
              </w:rPr>
            </w:pPr>
            <w:r w:rsidRPr="006E2ABA">
              <w:rPr>
                <w:rFonts w:ascii="Calibri" w:eastAsia="Times New Roman" w:hAnsi="Calibri" w:cs="Times New Roman"/>
                <w:sz w:val="18"/>
                <w:szCs w:val="18"/>
              </w:rPr>
              <w:t>20.5%</w:t>
            </w:r>
          </w:p>
        </w:tc>
      </w:tr>
      <w:tr w:rsidR="00403B07" w:rsidRPr="006E2ABA" w14:paraId="72987AAE" w14:textId="77777777" w:rsidTr="00B01272">
        <w:tc>
          <w:tcPr>
            <w:tcW w:w="1951" w:type="dxa"/>
            <w:vMerge/>
          </w:tcPr>
          <w:p w14:paraId="70C0104A" w14:textId="77777777" w:rsidR="00403B07" w:rsidRPr="0027473F" w:rsidRDefault="00403B07" w:rsidP="00B01272">
            <w:pPr>
              <w:rPr>
                <w:b/>
                <w:sz w:val="18"/>
                <w:szCs w:val="18"/>
              </w:rPr>
            </w:pPr>
          </w:p>
        </w:tc>
        <w:tc>
          <w:tcPr>
            <w:tcW w:w="3718" w:type="dxa"/>
            <w:vMerge/>
          </w:tcPr>
          <w:p w14:paraId="133DDAA6" w14:textId="77777777" w:rsidR="00403B07" w:rsidRPr="004D1BD2" w:rsidRDefault="00403B07" w:rsidP="00B01272">
            <w:pPr>
              <w:rPr>
                <w:i/>
                <w:sz w:val="18"/>
                <w:szCs w:val="18"/>
              </w:rPr>
            </w:pPr>
          </w:p>
        </w:tc>
        <w:tc>
          <w:tcPr>
            <w:tcW w:w="2236" w:type="dxa"/>
          </w:tcPr>
          <w:p w14:paraId="46F9DE35" w14:textId="77777777" w:rsidR="00403B07" w:rsidRPr="006E2ABA" w:rsidRDefault="00403B07" w:rsidP="00B01272">
            <w:pPr>
              <w:rPr>
                <w:b/>
                <w:sz w:val="18"/>
                <w:szCs w:val="18"/>
              </w:rPr>
            </w:pPr>
            <w:r w:rsidRPr="006E2ABA">
              <w:rPr>
                <w:rFonts w:ascii="Calibri" w:eastAsia="Times New Roman" w:hAnsi="Calibri" w:cs="Times New Roman"/>
                <w:sz w:val="18"/>
                <w:szCs w:val="18"/>
              </w:rPr>
              <w:t>Yes</w:t>
            </w:r>
          </w:p>
        </w:tc>
        <w:tc>
          <w:tcPr>
            <w:tcW w:w="1842" w:type="dxa"/>
          </w:tcPr>
          <w:p w14:paraId="7ACE712A" w14:textId="77777777" w:rsidR="00403B07" w:rsidRPr="006E2ABA" w:rsidRDefault="00403B07" w:rsidP="00B01272">
            <w:pPr>
              <w:jc w:val="right"/>
              <w:rPr>
                <w:b/>
                <w:sz w:val="18"/>
                <w:szCs w:val="18"/>
              </w:rPr>
            </w:pPr>
            <w:r w:rsidRPr="006E2ABA">
              <w:rPr>
                <w:rFonts w:ascii="Calibri" w:eastAsia="Times New Roman" w:hAnsi="Calibri" w:cs="Times New Roman"/>
                <w:sz w:val="18"/>
                <w:szCs w:val="18"/>
              </w:rPr>
              <w:t>136</w:t>
            </w:r>
          </w:p>
        </w:tc>
        <w:tc>
          <w:tcPr>
            <w:tcW w:w="1843" w:type="dxa"/>
          </w:tcPr>
          <w:p w14:paraId="5CD85743" w14:textId="77777777" w:rsidR="00403B07" w:rsidRPr="006E2ABA" w:rsidRDefault="00403B07" w:rsidP="00B01272">
            <w:pPr>
              <w:jc w:val="right"/>
              <w:rPr>
                <w:b/>
                <w:sz w:val="18"/>
                <w:szCs w:val="18"/>
              </w:rPr>
            </w:pPr>
            <w:r w:rsidRPr="006E2ABA">
              <w:rPr>
                <w:rFonts w:ascii="Calibri" w:eastAsia="Times New Roman" w:hAnsi="Calibri" w:cs="Times New Roman"/>
                <w:sz w:val="18"/>
                <w:szCs w:val="18"/>
              </w:rPr>
              <w:t>77.3%</w:t>
            </w:r>
          </w:p>
        </w:tc>
      </w:tr>
      <w:tr w:rsidR="00403B07" w:rsidRPr="006E2ABA" w14:paraId="335A5915" w14:textId="77777777" w:rsidTr="00B01272">
        <w:tc>
          <w:tcPr>
            <w:tcW w:w="1951" w:type="dxa"/>
            <w:vMerge/>
          </w:tcPr>
          <w:p w14:paraId="5EA76124" w14:textId="77777777" w:rsidR="00403B07" w:rsidRPr="0027473F" w:rsidRDefault="00403B07" w:rsidP="00B01272">
            <w:pPr>
              <w:rPr>
                <w:b/>
                <w:sz w:val="18"/>
                <w:szCs w:val="18"/>
              </w:rPr>
            </w:pPr>
          </w:p>
        </w:tc>
        <w:tc>
          <w:tcPr>
            <w:tcW w:w="3718" w:type="dxa"/>
            <w:vMerge/>
          </w:tcPr>
          <w:p w14:paraId="56468CB3" w14:textId="77777777" w:rsidR="00403B07" w:rsidRPr="004D1BD2" w:rsidRDefault="00403B07" w:rsidP="00B01272">
            <w:pPr>
              <w:rPr>
                <w:i/>
                <w:sz w:val="18"/>
                <w:szCs w:val="18"/>
              </w:rPr>
            </w:pPr>
          </w:p>
        </w:tc>
        <w:tc>
          <w:tcPr>
            <w:tcW w:w="2236" w:type="dxa"/>
          </w:tcPr>
          <w:p w14:paraId="6B909B12" w14:textId="77777777" w:rsidR="00403B07" w:rsidRPr="006E2ABA" w:rsidRDefault="00403B07" w:rsidP="00B01272">
            <w:pPr>
              <w:rPr>
                <w:b/>
                <w:sz w:val="18"/>
                <w:szCs w:val="18"/>
              </w:rPr>
            </w:pPr>
            <w:r w:rsidRPr="006E2ABA">
              <w:rPr>
                <w:rFonts w:ascii="Calibri" w:eastAsia="Times New Roman" w:hAnsi="Calibri" w:cs="Times New Roman"/>
                <w:sz w:val="18"/>
                <w:szCs w:val="18"/>
              </w:rPr>
              <w:t>spoilt/missing</w:t>
            </w:r>
          </w:p>
        </w:tc>
        <w:tc>
          <w:tcPr>
            <w:tcW w:w="1842" w:type="dxa"/>
          </w:tcPr>
          <w:p w14:paraId="2599FEE5" w14:textId="77777777" w:rsidR="00403B07" w:rsidRPr="006E2ABA" w:rsidRDefault="00403B07" w:rsidP="00B01272">
            <w:pPr>
              <w:jc w:val="right"/>
              <w:rPr>
                <w:b/>
                <w:sz w:val="18"/>
                <w:szCs w:val="18"/>
              </w:rPr>
            </w:pPr>
            <w:r w:rsidRPr="006E2ABA">
              <w:rPr>
                <w:rFonts w:ascii="Calibri" w:eastAsia="Times New Roman" w:hAnsi="Calibri" w:cs="Times New Roman"/>
                <w:sz w:val="18"/>
                <w:szCs w:val="18"/>
              </w:rPr>
              <w:t>4</w:t>
            </w:r>
          </w:p>
        </w:tc>
        <w:tc>
          <w:tcPr>
            <w:tcW w:w="1843" w:type="dxa"/>
          </w:tcPr>
          <w:p w14:paraId="1FD46CB0" w14:textId="77777777" w:rsidR="00403B07" w:rsidRPr="006E2ABA" w:rsidRDefault="00403B07" w:rsidP="00B01272">
            <w:pPr>
              <w:jc w:val="right"/>
              <w:rPr>
                <w:b/>
                <w:sz w:val="18"/>
                <w:szCs w:val="18"/>
              </w:rPr>
            </w:pPr>
            <w:r w:rsidRPr="006E2ABA">
              <w:rPr>
                <w:rFonts w:ascii="Calibri" w:eastAsia="Times New Roman" w:hAnsi="Calibri" w:cs="Times New Roman"/>
                <w:sz w:val="18"/>
                <w:szCs w:val="18"/>
              </w:rPr>
              <w:t>2.3%</w:t>
            </w:r>
          </w:p>
        </w:tc>
      </w:tr>
      <w:tr w:rsidR="00403B07" w:rsidRPr="006E2ABA" w14:paraId="4FB1BD85" w14:textId="77777777" w:rsidTr="00B01272">
        <w:tc>
          <w:tcPr>
            <w:tcW w:w="1951" w:type="dxa"/>
            <w:vMerge w:val="restart"/>
          </w:tcPr>
          <w:p w14:paraId="2C183680" w14:textId="77777777" w:rsidR="00403B07" w:rsidRPr="0027473F" w:rsidRDefault="00403B07" w:rsidP="00B01272">
            <w:pPr>
              <w:rPr>
                <w:b/>
                <w:sz w:val="18"/>
                <w:szCs w:val="18"/>
              </w:rPr>
            </w:pPr>
            <w:r w:rsidRPr="0027473F">
              <w:rPr>
                <w:b/>
                <w:sz w:val="18"/>
                <w:szCs w:val="18"/>
              </w:rPr>
              <w:t>5b</w:t>
            </w:r>
          </w:p>
        </w:tc>
        <w:tc>
          <w:tcPr>
            <w:tcW w:w="3718" w:type="dxa"/>
            <w:vMerge w:val="restart"/>
          </w:tcPr>
          <w:p w14:paraId="37EF84FF" w14:textId="77777777" w:rsidR="00403B07" w:rsidRPr="004D1BD2" w:rsidRDefault="00403B07" w:rsidP="00B01272">
            <w:pPr>
              <w:rPr>
                <w:i/>
                <w:sz w:val="18"/>
                <w:szCs w:val="18"/>
              </w:rPr>
            </w:pPr>
            <w:r w:rsidRPr="004D1BD2">
              <w:rPr>
                <w:i/>
                <w:sz w:val="18"/>
                <w:szCs w:val="18"/>
              </w:rPr>
              <w:t>Did you notice any change in your child’s choice of drinks?</w:t>
            </w:r>
          </w:p>
        </w:tc>
        <w:tc>
          <w:tcPr>
            <w:tcW w:w="2236" w:type="dxa"/>
          </w:tcPr>
          <w:p w14:paraId="7ACE02D3" w14:textId="77777777" w:rsidR="00403B07" w:rsidRPr="006E2ABA" w:rsidRDefault="00403B07" w:rsidP="00B01272">
            <w:pPr>
              <w:rPr>
                <w:b/>
                <w:sz w:val="18"/>
                <w:szCs w:val="18"/>
              </w:rPr>
            </w:pPr>
            <w:r w:rsidRPr="006E2ABA">
              <w:rPr>
                <w:rFonts w:ascii="Calibri" w:eastAsia="Times New Roman" w:hAnsi="Calibri" w:cs="Times New Roman"/>
                <w:sz w:val="18"/>
                <w:szCs w:val="18"/>
              </w:rPr>
              <w:t>No</w:t>
            </w:r>
          </w:p>
        </w:tc>
        <w:tc>
          <w:tcPr>
            <w:tcW w:w="1842" w:type="dxa"/>
          </w:tcPr>
          <w:p w14:paraId="4C4F50D6" w14:textId="77777777" w:rsidR="00403B07" w:rsidRPr="006E2ABA" w:rsidRDefault="00403B07" w:rsidP="00B01272">
            <w:pPr>
              <w:jc w:val="right"/>
              <w:rPr>
                <w:b/>
                <w:sz w:val="18"/>
                <w:szCs w:val="18"/>
              </w:rPr>
            </w:pPr>
            <w:r w:rsidRPr="006E2ABA">
              <w:rPr>
                <w:rFonts w:ascii="Calibri" w:eastAsia="Times New Roman" w:hAnsi="Calibri" w:cs="Times New Roman"/>
                <w:sz w:val="18"/>
                <w:szCs w:val="18"/>
              </w:rPr>
              <w:t>66</w:t>
            </w:r>
          </w:p>
        </w:tc>
        <w:tc>
          <w:tcPr>
            <w:tcW w:w="1843" w:type="dxa"/>
          </w:tcPr>
          <w:p w14:paraId="19DD0912" w14:textId="77777777" w:rsidR="00403B07" w:rsidRPr="006E2ABA" w:rsidRDefault="00403B07" w:rsidP="00B01272">
            <w:pPr>
              <w:jc w:val="right"/>
              <w:rPr>
                <w:b/>
                <w:sz w:val="18"/>
                <w:szCs w:val="18"/>
              </w:rPr>
            </w:pPr>
            <w:r w:rsidRPr="006E2ABA">
              <w:rPr>
                <w:rFonts w:ascii="Calibri" w:eastAsia="Times New Roman" w:hAnsi="Calibri" w:cs="Times New Roman"/>
                <w:sz w:val="18"/>
                <w:szCs w:val="18"/>
              </w:rPr>
              <w:t>37.5%</w:t>
            </w:r>
          </w:p>
        </w:tc>
      </w:tr>
      <w:tr w:rsidR="00403B07" w:rsidRPr="006E2ABA" w14:paraId="193961CA" w14:textId="77777777" w:rsidTr="00B01272">
        <w:tc>
          <w:tcPr>
            <w:tcW w:w="1951" w:type="dxa"/>
            <w:vMerge/>
          </w:tcPr>
          <w:p w14:paraId="70C08A2E" w14:textId="77777777" w:rsidR="00403B07" w:rsidRPr="0027473F" w:rsidRDefault="00403B07" w:rsidP="00B01272">
            <w:pPr>
              <w:rPr>
                <w:b/>
                <w:sz w:val="18"/>
                <w:szCs w:val="18"/>
              </w:rPr>
            </w:pPr>
          </w:p>
        </w:tc>
        <w:tc>
          <w:tcPr>
            <w:tcW w:w="3718" w:type="dxa"/>
            <w:vMerge/>
          </w:tcPr>
          <w:p w14:paraId="2581F203" w14:textId="77777777" w:rsidR="00403B07" w:rsidRPr="004D1BD2" w:rsidRDefault="00403B07" w:rsidP="00B01272">
            <w:pPr>
              <w:rPr>
                <w:i/>
                <w:sz w:val="18"/>
                <w:szCs w:val="18"/>
              </w:rPr>
            </w:pPr>
          </w:p>
        </w:tc>
        <w:tc>
          <w:tcPr>
            <w:tcW w:w="2236" w:type="dxa"/>
          </w:tcPr>
          <w:p w14:paraId="052E14C4" w14:textId="77777777" w:rsidR="00403B07" w:rsidRPr="006E2ABA" w:rsidRDefault="00403B07" w:rsidP="00B01272">
            <w:pPr>
              <w:rPr>
                <w:b/>
                <w:sz w:val="18"/>
                <w:szCs w:val="18"/>
              </w:rPr>
            </w:pPr>
            <w:r w:rsidRPr="006E2ABA">
              <w:rPr>
                <w:rFonts w:ascii="Calibri" w:eastAsia="Times New Roman" w:hAnsi="Calibri" w:cs="Times New Roman"/>
                <w:sz w:val="18"/>
                <w:szCs w:val="18"/>
              </w:rPr>
              <w:t>Yes</w:t>
            </w:r>
          </w:p>
        </w:tc>
        <w:tc>
          <w:tcPr>
            <w:tcW w:w="1842" w:type="dxa"/>
          </w:tcPr>
          <w:p w14:paraId="53DF551B" w14:textId="77777777" w:rsidR="00403B07" w:rsidRPr="006E2ABA" w:rsidRDefault="00403B07" w:rsidP="00B01272">
            <w:pPr>
              <w:jc w:val="right"/>
              <w:rPr>
                <w:b/>
                <w:sz w:val="18"/>
                <w:szCs w:val="18"/>
              </w:rPr>
            </w:pPr>
            <w:r w:rsidRPr="006E2ABA">
              <w:rPr>
                <w:rFonts w:ascii="Calibri" w:eastAsia="Times New Roman" w:hAnsi="Calibri" w:cs="Times New Roman"/>
                <w:sz w:val="18"/>
                <w:szCs w:val="18"/>
              </w:rPr>
              <w:t>106</w:t>
            </w:r>
          </w:p>
        </w:tc>
        <w:tc>
          <w:tcPr>
            <w:tcW w:w="1843" w:type="dxa"/>
          </w:tcPr>
          <w:p w14:paraId="39D0C599" w14:textId="77777777" w:rsidR="00403B07" w:rsidRPr="006E2ABA" w:rsidRDefault="00403B07" w:rsidP="00B01272">
            <w:pPr>
              <w:jc w:val="right"/>
              <w:rPr>
                <w:b/>
                <w:sz w:val="18"/>
                <w:szCs w:val="18"/>
              </w:rPr>
            </w:pPr>
            <w:r w:rsidRPr="006E2ABA">
              <w:rPr>
                <w:rFonts w:ascii="Calibri" w:eastAsia="Times New Roman" w:hAnsi="Calibri" w:cs="Times New Roman"/>
                <w:sz w:val="18"/>
                <w:szCs w:val="18"/>
              </w:rPr>
              <w:t>60.2%</w:t>
            </w:r>
          </w:p>
        </w:tc>
      </w:tr>
      <w:tr w:rsidR="00403B07" w:rsidRPr="006E2ABA" w14:paraId="53823E19" w14:textId="77777777" w:rsidTr="00B01272">
        <w:tc>
          <w:tcPr>
            <w:tcW w:w="1951" w:type="dxa"/>
            <w:vMerge/>
          </w:tcPr>
          <w:p w14:paraId="496948BD" w14:textId="77777777" w:rsidR="00403B07" w:rsidRPr="0027473F" w:rsidRDefault="00403B07" w:rsidP="00B01272">
            <w:pPr>
              <w:rPr>
                <w:b/>
                <w:sz w:val="18"/>
                <w:szCs w:val="18"/>
              </w:rPr>
            </w:pPr>
          </w:p>
        </w:tc>
        <w:tc>
          <w:tcPr>
            <w:tcW w:w="3718" w:type="dxa"/>
            <w:vMerge/>
          </w:tcPr>
          <w:p w14:paraId="67186A00" w14:textId="77777777" w:rsidR="00403B07" w:rsidRPr="004D1BD2" w:rsidRDefault="00403B07" w:rsidP="00B01272">
            <w:pPr>
              <w:rPr>
                <w:i/>
                <w:sz w:val="18"/>
                <w:szCs w:val="18"/>
              </w:rPr>
            </w:pPr>
          </w:p>
        </w:tc>
        <w:tc>
          <w:tcPr>
            <w:tcW w:w="2236" w:type="dxa"/>
          </w:tcPr>
          <w:p w14:paraId="2EA77F0F" w14:textId="77777777" w:rsidR="00403B07" w:rsidRPr="006E2ABA" w:rsidRDefault="00403B07" w:rsidP="00B01272">
            <w:pPr>
              <w:rPr>
                <w:b/>
                <w:sz w:val="18"/>
                <w:szCs w:val="18"/>
              </w:rPr>
            </w:pPr>
            <w:r w:rsidRPr="006E2ABA">
              <w:rPr>
                <w:rFonts w:ascii="Calibri" w:eastAsia="Times New Roman" w:hAnsi="Calibri" w:cs="Times New Roman"/>
                <w:sz w:val="18"/>
                <w:szCs w:val="18"/>
              </w:rPr>
              <w:t>spoilt/missing</w:t>
            </w:r>
          </w:p>
        </w:tc>
        <w:tc>
          <w:tcPr>
            <w:tcW w:w="1842" w:type="dxa"/>
          </w:tcPr>
          <w:p w14:paraId="6AC21BFE" w14:textId="77777777" w:rsidR="00403B07" w:rsidRPr="006E2ABA" w:rsidRDefault="00403B07" w:rsidP="00B01272">
            <w:pPr>
              <w:jc w:val="right"/>
              <w:rPr>
                <w:b/>
                <w:sz w:val="18"/>
                <w:szCs w:val="18"/>
              </w:rPr>
            </w:pPr>
            <w:r w:rsidRPr="006E2ABA">
              <w:rPr>
                <w:rFonts w:ascii="Calibri" w:eastAsia="Times New Roman" w:hAnsi="Calibri" w:cs="Times New Roman"/>
                <w:sz w:val="18"/>
                <w:szCs w:val="18"/>
              </w:rPr>
              <w:t>4</w:t>
            </w:r>
          </w:p>
        </w:tc>
        <w:tc>
          <w:tcPr>
            <w:tcW w:w="1843" w:type="dxa"/>
          </w:tcPr>
          <w:p w14:paraId="33B8CC4C" w14:textId="77777777" w:rsidR="00403B07" w:rsidRPr="006E2ABA" w:rsidRDefault="00403B07" w:rsidP="00B01272">
            <w:pPr>
              <w:jc w:val="right"/>
              <w:rPr>
                <w:b/>
                <w:sz w:val="18"/>
                <w:szCs w:val="18"/>
              </w:rPr>
            </w:pPr>
            <w:r w:rsidRPr="006E2ABA">
              <w:rPr>
                <w:rFonts w:ascii="Calibri" w:eastAsia="Times New Roman" w:hAnsi="Calibri" w:cs="Times New Roman"/>
                <w:sz w:val="18"/>
                <w:szCs w:val="18"/>
              </w:rPr>
              <w:t>2.3%</w:t>
            </w:r>
          </w:p>
        </w:tc>
      </w:tr>
      <w:tr w:rsidR="00403B07" w:rsidRPr="006E2ABA" w14:paraId="5C643C2C" w14:textId="77777777" w:rsidTr="00B01272">
        <w:tc>
          <w:tcPr>
            <w:tcW w:w="1951" w:type="dxa"/>
            <w:vMerge w:val="restart"/>
          </w:tcPr>
          <w:p w14:paraId="469531A7" w14:textId="77777777" w:rsidR="00403B07" w:rsidRPr="0027473F" w:rsidRDefault="00403B07" w:rsidP="00B01272">
            <w:pPr>
              <w:rPr>
                <w:b/>
                <w:sz w:val="18"/>
                <w:szCs w:val="18"/>
              </w:rPr>
            </w:pPr>
            <w:r w:rsidRPr="0027473F">
              <w:rPr>
                <w:b/>
                <w:sz w:val="18"/>
                <w:szCs w:val="18"/>
              </w:rPr>
              <w:t>5c</w:t>
            </w:r>
          </w:p>
        </w:tc>
        <w:tc>
          <w:tcPr>
            <w:tcW w:w="3718" w:type="dxa"/>
            <w:vMerge w:val="restart"/>
          </w:tcPr>
          <w:p w14:paraId="649EB513" w14:textId="77777777" w:rsidR="00403B07" w:rsidRPr="004D1BD2" w:rsidRDefault="00403B07" w:rsidP="00B01272">
            <w:pPr>
              <w:rPr>
                <w:i/>
                <w:sz w:val="18"/>
                <w:szCs w:val="18"/>
              </w:rPr>
            </w:pPr>
            <w:r w:rsidRPr="004D1BD2">
              <w:rPr>
                <w:i/>
                <w:sz w:val="18"/>
                <w:szCs w:val="18"/>
              </w:rPr>
              <w:t>Did you notice any change in your child’s choice of time spent doing screen based activities?</w:t>
            </w:r>
          </w:p>
        </w:tc>
        <w:tc>
          <w:tcPr>
            <w:tcW w:w="2236" w:type="dxa"/>
          </w:tcPr>
          <w:p w14:paraId="379578D6" w14:textId="77777777" w:rsidR="00403B07" w:rsidRPr="006E2ABA" w:rsidRDefault="00403B07" w:rsidP="00B01272">
            <w:pPr>
              <w:rPr>
                <w:b/>
                <w:sz w:val="18"/>
                <w:szCs w:val="18"/>
              </w:rPr>
            </w:pPr>
            <w:r w:rsidRPr="006E2ABA">
              <w:rPr>
                <w:rFonts w:ascii="Calibri" w:eastAsia="Times New Roman" w:hAnsi="Calibri" w:cs="Times New Roman"/>
                <w:sz w:val="18"/>
                <w:szCs w:val="18"/>
              </w:rPr>
              <w:t>No</w:t>
            </w:r>
          </w:p>
        </w:tc>
        <w:tc>
          <w:tcPr>
            <w:tcW w:w="1842" w:type="dxa"/>
          </w:tcPr>
          <w:p w14:paraId="7C4988E6" w14:textId="77777777" w:rsidR="00403B07" w:rsidRPr="006E2ABA" w:rsidRDefault="00403B07" w:rsidP="00B01272">
            <w:pPr>
              <w:jc w:val="right"/>
              <w:rPr>
                <w:b/>
                <w:sz w:val="18"/>
                <w:szCs w:val="18"/>
              </w:rPr>
            </w:pPr>
            <w:r w:rsidRPr="006E2ABA">
              <w:rPr>
                <w:rFonts w:ascii="Calibri" w:eastAsia="Times New Roman" w:hAnsi="Calibri" w:cs="Times New Roman"/>
                <w:sz w:val="18"/>
                <w:szCs w:val="18"/>
              </w:rPr>
              <w:t>76</w:t>
            </w:r>
          </w:p>
        </w:tc>
        <w:tc>
          <w:tcPr>
            <w:tcW w:w="1843" w:type="dxa"/>
          </w:tcPr>
          <w:p w14:paraId="2C15D39F" w14:textId="77777777" w:rsidR="00403B07" w:rsidRPr="006E2ABA" w:rsidRDefault="00403B07" w:rsidP="00B01272">
            <w:pPr>
              <w:jc w:val="right"/>
              <w:rPr>
                <w:b/>
                <w:sz w:val="18"/>
                <w:szCs w:val="18"/>
              </w:rPr>
            </w:pPr>
            <w:r w:rsidRPr="006E2ABA">
              <w:rPr>
                <w:rFonts w:ascii="Calibri" w:eastAsia="Times New Roman" w:hAnsi="Calibri" w:cs="Times New Roman"/>
                <w:sz w:val="18"/>
                <w:szCs w:val="18"/>
              </w:rPr>
              <w:t>43.2%</w:t>
            </w:r>
          </w:p>
        </w:tc>
      </w:tr>
      <w:tr w:rsidR="00403B07" w:rsidRPr="006E2ABA" w14:paraId="25F1B8EF" w14:textId="77777777" w:rsidTr="00B01272">
        <w:tc>
          <w:tcPr>
            <w:tcW w:w="1951" w:type="dxa"/>
            <w:vMerge/>
          </w:tcPr>
          <w:p w14:paraId="0C6553C8" w14:textId="77777777" w:rsidR="00403B07" w:rsidRPr="0027473F" w:rsidRDefault="00403B07" w:rsidP="00B01272">
            <w:pPr>
              <w:rPr>
                <w:b/>
                <w:sz w:val="18"/>
                <w:szCs w:val="18"/>
              </w:rPr>
            </w:pPr>
          </w:p>
        </w:tc>
        <w:tc>
          <w:tcPr>
            <w:tcW w:w="3718" w:type="dxa"/>
            <w:vMerge/>
          </w:tcPr>
          <w:p w14:paraId="264BD36F" w14:textId="77777777" w:rsidR="00403B07" w:rsidRPr="004D1BD2" w:rsidRDefault="00403B07" w:rsidP="00B01272">
            <w:pPr>
              <w:rPr>
                <w:i/>
                <w:sz w:val="18"/>
                <w:szCs w:val="18"/>
              </w:rPr>
            </w:pPr>
          </w:p>
        </w:tc>
        <w:tc>
          <w:tcPr>
            <w:tcW w:w="2236" w:type="dxa"/>
          </w:tcPr>
          <w:p w14:paraId="45FB1082" w14:textId="77777777" w:rsidR="00403B07" w:rsidRPr="006E2ABA" w:rsidRDefault="00403B07" w:rsidP="00B01272">
            <w:pPr>
              <w:rPr>
                <w:b/>
                <w:sz w:val="18"/>
                <w:szCs w:val="18"/>
              </w:rPr>
            </w:pPr>
            <w:r w:rsidRPr="006E2ABA">
              <w:rPr>
                <w:rFonts w:ascii="Calibri" w:eastAsia="Times New Roman" w:hAnsi="Calibri" w:cs="Times New Roman"/>
                <w:sz w:val="18"/>
                <w:szCs w:val="18"/>
              </w:rPr>
              <w:t>Yes</w:t>
            </w:r>
          </w:p>
        </w:tc>
        <w:tc>
          <w:tcPr>
            <w:tcW w:w="1842" w:type="dxa"/>
          </w:tcPr>
          <w:p w14:paraId="4BB51422" w14:textId="77777777" w:rsidR="00403B07" w:rsidRPr="006E2ABA" w:rsidRDefault="00403B07" w:rsidP="00B01272">
            <w:pPr>
              <w:jc w:val="right"/>
              <w:rPr>
                <w:b/>
                <w:sz w:val="18"/>
                <w:szCs w:val="18"/>
              </w:rPr>
            </w:pPr>
            <w:r w:rsidRPr="006E2ABA">
              <w:rPr>
                <w:rFonts w:ascii="Calibri" w:eastAsia="Times New Roman" w:hAnsi="Calibri" w:cs="Times New Roman"/>
                <w:sz w:val="18"/>
                <w:szCs w:val="18"/>
              </w:rPr>
              <w:t>97</w:t>
            </w:r>
          </w:p>
        </w:tc>
        <w:tc>
          <w:tcPr>
            <w:tcW w:w="1843" w:type="dxa"/>
          </w:tcPr>
          <w:p w14:paraId="7CD22C12" w14:textId="77777777" w:rsidR="00403B07" w:rsidRPr="006E2ABA" w:rsidRDefault="00403B07" w:rsidP="00B01272">
            <w:pPr>
              <w:jc w:val="right"/>
              <w:rPr>
                <w:b/>
                <w:sz w:val="18"/>
                <w:szCs w:val="18"/>
              </w:rPr>
            </w:pPr>
            <w:r w:rsidRPr="006E2ABA">
              <w:rPr>
                <w:rFonts w:ascii="Calibri" w:eastAsia="Times New Roman" w:hAnsi="Calibri" w:cs="Times New Roman"/>
                <w:sz w:val="18"/>
                <w:szCs w:val="18"/>
              </w:rPr>
              <w:t>55.1%</w:t>
            </w:r>
          </w:p>
        </w:tc>
      </w:tr>
      <w:tr w:rsidR="00403B07" w:rsidRPr="006E2ABA" w14:paraId="1A89E7B8" w14:textId="77777777" w:rsidTr="00B01272">
        <w:tc>
          <w:tcPr>
            <w:tcW w:w="1951" w:type="dxa"/>
            <w:vMerge/>
          </w:tcPr>
          <w:p w14:paraId="45506F2F" w14:textId="77777777" w:rsidR="00403B07" w:rsidRPr="0027473F" w:rsidRDefault="00403B07" w:rsidP="00B01272">
            <w:pPr>
              <w:rPr>
                <w:b/>
                <w:sz w:val="18"/>
                <w:szCs w:val="18"/>
              </w:rPr>
            </w:pPr>
          </w:p>
        </w:tc>
        <w:tc>
          <w:tcPr>
            <w:tcW w:w="3718" w:type="dxa"/>
            <w:vMerge/>
          </w:tcPr>
          <w:p w14:paraId="39C6270E" w14:textId="77777777" w:rsidR="00403B07" w:rsidRPr="004D1BD2" w:rsidRDefault="00403B07" w:rsidP="00B01272">
            <w:pPr>
              <w:rPr>
                <w:i/>
                <w:sz w:val="18"/>
                <w:szCs w:val="18"/>
              </w:rPr>
            </w:pPr>
          </w:p>
        </w:tc>
        <w:tc>
          <w:tcPr>
            <w:tcW w:w="2236" w:type="dxa"/>
            <w:vAlign w:val="bottom"/>
          </w:tcPr>
          <w:p w14:paraId="01D51AC8" w14:textId="77777777" w:rsidR="00403B07" w:rsidRPr="006E2ABA" w:rsidRDefault="00403B07" w:rsidP="00B01272">
            <w:pPr>
              <w:rPr>
                <w:rFonts w:ascii="Calibri" w:eastAsia="Times New Roman" w:hAnsi="Calibri" w:cs="Times New Roman"/>
                <w:sz w:val="18"/>
                <w:szCs w:val="18"/>
              </w:rPr>
            </w:pPr>
            <w:r w:rsidRPr="006E2ABA">
              <w:rPr>
                <w:rFonts w:ascii="Calibri" w:eastAsia="Times New Roman" w:hAnsi="Calibri" w:cs="Times New Roman"/>
                <w:sz w:val="18"/>
                <w:szCs w:val="18"/>
              </w:rPr>
              <w:t>spoilt/missing</w:t>
            </w:r>
          </w:p>
        </w:tc>
        <w:tc>
          <w:tcPr>
            <w:tcW w:w="1842" w:type="dxa"/>
          </w:tcPr>
          <w:p w14:paraId="67712433" w14:textId="77777777" w:rsidR="00403B07" w:rsidRPr="006E2ABA" w:rsidRDefault="00403B07" w:rsidP="00B01272">
            <w:pPr>
              <w:jc w:val="right"/>
              <w:rPr>
                <w:b/>
                <w:sz w:val="18"/>
                <w:szCs w:val="18"/>
              </w:rPr>
            </w:pPr>
            <w:r w:rsidRPr="006E2ABA">
              <w:rPr>
                <w:rFonts w:ascii="Calibri" w:eastAsia="Times New Roman" w:hAnsi="Calibri" w:cs="Times New Roman"/>
                <w:sz w:val="18"/>
                <w:szCs w:val="18"/>
              </w:rPr>
              <w:t>3</w:t>
            </w:r>
          </w:p>
        </w:tc>
        <w:tc>
          <w:tcPr>
            <w:tcW w:w="1843" w:type="dxa"/>
          </w:tcPr>
          <w:p w14:paraId="7A86A58C" w14:textId="77777777" w:rsidR="00403B07" w:rsidRPr="006E2ABA" w:rsidRDefault="00403B07" w:rsidP="00B01272">
            <w:pPr>
              <w:jc w:val="right"/>
              <w:rPr>
                <w:b/>
                <w:sz w:val="18"/>
                <w:szCs w:val="18"/>
              </w:rPr>
            </w:pPr>
            <w:r w:rsidRPr="006E2ABA">
              <w:rPr>
                <w:rFonts w:ascii="Calibri" w:eastAsia="Times New Roman" w:hAnsi="Calibri" w:cs="Times New Roman"/>
                <w:sz w:val="18"/>
                <w:szCs w:val="18"/>
              </w:rPr>
              <w:t>1.7%</w:t>
            </w:r>
          </w:p>
        </w:tc>
      </w:tr>
      <w:tr w:rsidR="00403B07" w:rsidRPr="006E2ABA" w14:paraId="0B6139A6" w14:textId="77777777" w:rsidTr="00B01272">
        <w:tc>
          <w:tcPr>
            <w:tcW w:w="1951" w:type="dxa"/>
            <w:vMerge w:val="restart"/>
          </w:tcPr>
          <w:p w14:paraId="378B3B10" w14:textId="77777777" w:rsidR="00403B07" w:rsidRPr="0027473F" w:rsidRDefault="00403B07" w:rsidP="00B01272">
            <w:pPr>
              <w:rPr>
                <w:b/>
                <w:sz w:val="18"/>
                <w:szCs w:val="18"/>
              </w:rPr>
            </w:pPr>
            <w:r w:rsidRPr="0027473F">
              <w:rPr>
                <w:b/>
                <w:sz w:val="18"/>
                <w:szCs w:val="18"/>
              </w:rPr>
              <w:t>5d</w:t>
            </w:r>
          </w:p>
        </w:tc>
        <w:tc>
          <w:tcPr>
            <w:tcW w:w="3718" w:type="dxa"/>
            <w:vMerge w:val="restart"/>
          </w:tcPr>
          <w:p w14:paraId="736597A5" w14:textId="77777777" w:rsidR="00403B07" w:rsidRPr="004D1BD2" w:rsidRDefault="00403B07" w:rsidP="00B01272">
            <w:pPr>
              <w:rPr>
                <w:i/>
                <w:sz w:val="18"/>
                <w:szCs w:val="18"/>
              </w:rPr>
            </w:pPr>
            <w:r w:rsidRPr="004D1BD2">
              <w:rPr>
                <w:i/>
                <w:sz w:val="18"/>
                <w:szCs w:val="18"/>
              </w:rPr>
              <w:t>Did you notice any change in your child’s time spent doing physical activity?</w:t>
            </w:r>
          </w:p>
        </w:tc>
        <w:tc>
          <w:tcPr>
            <w:tcW w:w="2236" w:type="dxa"/>
          </w:tcPr>
          <w:p w14:paraId="1B77960C" w14:textId="77777777" w:rsidR="00403B07" w:rsidRPr="006E2ABA" w:rsidRDefault="00403B07" w:rsidP="00B01272">
            <w:pPr>
              <w:rPr>
                <w:b/>
                <w:sz w:val="18"/>
                <w:szCs w:val="18"/>
              </w:rPr>
            </w:pPr>
            <w:r w:rsidRPr="006E2ABA">
              <w:rPr>
                <w:rFonts w:ascii="Calibri" w:eastAsia="Times New Roman" w:hAnsi="Calibri" w:cs="Times New Roman"/>
                <w:sz w:val="18"/>
                <w:szCs w:val="18"/>
              </w:rPr>
              <w:t>No</w:t>
            </w:r>
          </w:p>
        </w:tc>
        <w:tc>
          <w:tcPr>
            <w:tcW w:w="1842" w:type="dxa"/>
          </w:tcPr>
          <w:p w14:paraId="55C3FCA3" w14:textId="77777777" w:rsidR="00403B07" w:rsidRPr="006E2ABA" w:rsidRDefault="00403B07" w:rsidP="00B01272">
            <w:pPr>
              <w:jc w:val="right"/>
              <w:rPr>
                <w:b/>
                <w:sz w:val="18"/>
                <w:szCs w:val="18"/>
              </w:rPr>
            </w:pPr>
            <w:r w:rsidRPr="006E2ABA">
              <w:rPr>
                <w:rFonts w:ascii="Calibri" w:eastAsia="Times New Roman" w:hAnsi="Calibri" w:cs="Times New Roman"/>
                <w:sz w:val="18"/>
                <w:szCs w:val="18"/>
              </w:rPr>
              <w:t>57</w:t>
            </w:r>
          </w:p>
        </w:tc>
        <w:tc>
          <w:tcPr>
            <w:tcW w:w="1843" w:type="dxa"/>
          </w:tcPr>
          <w:p w14:paraId="5ABFCE7B" w14:textId="77777777" w:rsidR="00403B07" w:rsidRPr="006E2ABA" w:rsidRDefault="00403B07" w:rsidP="00B01272">
            <w:pPr>
              <w:jc w:val="right"/>
              <w:rPr>
                <w:b/>
                <w:sz w:val="18"/>
                <w:szCs w:val="18"/>
              </w:rPr>
            </w:pPr>
            <w:r w:rsidRPr="006E2ABA">
              <w:rPr>
                <w:rFonts w:ascii="Calibri" w:eastAsia="Times New Roman" w:hAnsi="Calibri" w:cs="Times New Roman"/>
                <w:sz w:val="18"/>
                <w:szCs w:val="18"/>
              </w:rPr>
              <w:t>32.4%</w:t>
            </w:r>
          </w:p>
        </w:tc>
      </w:tr>
      <w:tr w:rsidR="00403B07" w:rsidRPr="006E2ABA" w14:paraId="60119B3F" w14:textId="77777777" w:rsidTr="00B01272">
        <w:tc>
          <w:tcPr>
            <w:tcW w:w="1951" w:type="dxa"/>
            <w:vMerge/>
          </w:tcPr>
          <w:p w14:paraId="2BED5D8A" w14:textId="77777777" w:rsidR="00403B07" w:rsidRPr="0027473F" w:rsidRDefault="00403B07" w:rsidP="00B01272">
            <w:pPr>
              <w:rPr>
                <w:b/>
                <w:sz w:val="18"/>
                <w:szCs w:val="18"/>
              </w:rPr>
            </w:pPr>
          </w:p>
        </w:tc>
        <w:tc>
          <w:tcPr>
            <w:tcW w:w="3718" w:type="dxa"/>
            <w:vMerge/>
          </w:tcPr>
          <w:p w14:paraId="4C2A2E81" w14:textId="77777777" w:rsidR="00403B07" w:rsidRPr="004D1BD2" w:rsidRDefault="00403B07" w:rsidP="00B01272">
            <w:pPr>
              <w:rPr>
                <w:i/>
                <w:sz w:val="18"/>
                <w:szCs w:val="18"/>
              </w:rPr>
            </w:pPr>
          </w:p>
        </w:tc>
        <w:tc>
          <w:tcPr>
            <w:tcW w:w="2236" w:type="dxa"/>
          </w:tcPr>
          <w:p w14:paraId="0946ED9F" w14:textId="77777777" w:rsidR="00403B07" w:rsidRPr="006E2ABA" w:rsidRDefault="00403B07" w:rsidP="00B01272">
            <w:pPr>
              <w:rPr>
                <w:b/>
                <w:sz w:val="18"/>
                <w:szCs w:val="18"/>
              </w:rPr>
            </w:pPr>
            <w:r w:rsidRPr="006E2ABA">
              <w:rPr>
                <w:rFonts w:ascii="Calibri" w:eastAsia="Times New Roman" w:hAnsi="Calibri" w:cs="Times New Roman"/>
                <w:sz w:val="18"/>
                <w:szCs w:val="18"/>
              </w:rPr>
              <w:t>Yes</w:t>
            </w:r>
          </w:p>
        </w:tc>
        <w:tc>
          <w:tcPr>
            <w:tcW w:w="1842" w:type="dxa"/>
          </w:tcPr>
          <w:p w14:paraId="0116AFAD" w14:textId="77777777" w:rsidR="00403B07" w:rsidRPr="006E2ABA" w:rsidRDefault="00403B07" w:rsidP="00B01272">
            <w:pPr>
              <w:jc w:val="right"/>
              <w:rPr>
                <w:b/>
                <w:sz w:val="18"/>
                <w:szCs w:val="18"/>
              </w:rPr>
            </w:pPr>
            <w:r w:rsidRPr="006E2ABA">
              <w:rPr>
                <w:rFonts w:ascii="Calibri" w:eastAsia="Times New Roman" w:hAnsi="Calibri" w:cs="Times New Roman"/>
                <w:sz w:val="18"/>
                <w:szCs w:val="18"/>
              </w:rPr>
              <w:t>117</w:t>
            </w:r>
          </w:p>
        </w:tc>
        <w:tc>
          <w:tcPr>
            <w:tcW w:w="1843" w:type="dxa"/>
          </w:tcPr>
          <w:p w14:paraId="5E5E3B30" w14:textId="77777777" w:rsidR="00403B07" w:rsidRPr="006E2ABA" w:rsidRDefault="00403B07" w:rsidP="00B01272">
            <w:pPr>
              <w:jc w:val="right"/>
              <w:rPr>
                <w:b/>
                <w:sz w:val="18"/>
                <w:szCs w:val="18"/>
              </w:rPr>
            </w:pPr>
            <w:r w:rsidRPr="006E2ABA">
              <w:rPr>
                <w:rFonts w:ascii="Calibri" w:eastAsia="Times New Roman" w:hAnsi="Calibri" w:cs="Times New Roman"/>
                <w:sz w:val="18"/>
                <w:szCs w:val="18"/>
              </w:rPr>
              <w:t>66.5%</w:t>
            </w:r>
          </w:p>
        </w:tc>
      </w:tr>
      <w:tr w:rsidR="00403B07" w:rsidRPr="006E2ABA" w14:paraId="2C8CE9D4" w14:textId="77777777" w:rsidTr="00B01272">
        <w:tc>
          <w:tcPr>
            <w:tcW w:w="1951" w:type="dxa"/>
            <w:vMerge/>
          </w:tcPr>
          <w:p w14:paraId="1E7D9A07" w14:textId="77777777" w:rsidR="00403B07" w:rsidRPr="0027473F" w:rsidRDefault="00403B07" w:rsidP="00B01272">
            <w:pPr>
              <w:rPr>
                <w:b/>
                <w:sz w:val="18"/>
                <w:szCs w:val="18"/>
              </w:rPr>
            </w:pPr>
          </w:p>
        </w:tc>
        <w:tc>
          <w:tcPr>
            <w:tcW w:w="3718" w:type="dxa"/>
            <w:vMerge/>
          </w:tcPr>
          <w:p w14:paraId="538AC5B9" w14:textId="77777777" w:rsidR="00403B07" w:rsidRPr="004D1BD2" w:rsidRDefault="00403B07" w:rsidP="00B01272">
            <w:pPr>
              <w:rPr>
                <w:i/>
                <w:sz w:val="18"/>
                <w:szCs w:val="18"/>
              </w:rPr>
            </w:pPr>
          </w:p>
        </w:tc>
        <w:tc>
          <w:tcPr>
            <w:tcW w:w="2236" w:type="dxa"/>
          </w:tcPr>
          <w:p w14:paraId="0DD0397B" w14:textId="77777777" w:rsidR="00403B07" w:rsidRPr="006E2ABA" w:rsidRDefault="00403B07" w:rsidP="00B01272">
            <w:pPr>
              <w:rPr>
                <w:b/>
                <w:sz w:val="18"/>
                <w:szCs w:val="18"/>
              </w:rPr>
            </w:pPr>
            <w:r w:rsidRPr="006E2ABA">
              <w:rPr>
                <w:rFonts w:ascii="Calibri" w:eastAsia="Times New Roman" w:hAnsi="Calibri" w:cs="Times New Roman"/>
                <w:sz w:val="18"/>
                <w:szCs w:val="18"/>
              </w:rPr>
              <w:t>spoilt/missing</w:t>
            </w:r>
          </w:p>
        </w:tc>
        <w:tc>
          <w:tcPr>
            <w:tcW w:w="1842" w:type="dxa"/>
          </w:tcPr>
          <w:p w14:paraId="0839CD0C" w14:textId="77777777" w:rsidR="00403B07" w:rsidRPr="006E2ABA" w:rsidRDefault="00403B07" w:rsidP="00B01272">
            <w:pPr>
              <w:jc w:val="right"/>
              <w:rPr>
                <w:b/>
                <w:sz w:val="18"/>
                <w:szCs w:val="18"/>
              </w:rPr>
            </w:pPr>
            <w:r w:rsidRPr="006E2ABA">
              <w:rPr>
                <w:rFonts w:ascii="Calibri" w:eastAsia="Times New Roman" w:hAnsi="Calibri" w:cs="Times New Roman"/>
                <w:sz w:val="18"/>
                <w:szCs w:val="18"/>
              </w:rPr>
              <w:t>2</w:t>
            </w:r>
          </w:p>
        </w:tc>
        <w:tc>
          <w:tcPr>
            <w:tcW w:w="1843" w:type="dxa"/>
          </w:tcPr>
          <w:p w14:paraId="2C7C0307" w14:textId="77777777" w:rsidR="00403B07" w:rsidRPr="006E2ABA" w:rsidRDefault="00403B07" w:rsidP="00B01272">
            <w:pPr>
              <w:jc w:val="right"/>
              <w:rPr>
                <w:b/>
                <w:sz w:val="18"/>
                <w:szCs w:val="18"/>
              </w:rPr>
            </w:pPr>
            <w:r w:rsidRPr="006E2ABA">
              <w:rPr>
                <w:rFonts w:ascii="Calibri" w:eastAsia="Times New Roman" w:hAnsi="Calibri" w:cs="Times New Roman"/>
                <w:sz w:val="18"/>
                <w:szCs w:val="18"/>
              </w:rPr>
              <w:t>1.1%</w:t>
            </w:r>
          </w:p>
        </w:tc>
      </w:tr>
      <w:tr w:rsidR="00403B07" w:rsidRPr="006E2ABA" w14:paraId="4182C844" w14:textId="77777777" w:rsidTr="00B01272">
        <w:tc>
          <w:tcPr>
            <w:tcW w:w="1951" w:type="dxa"/>
            <w:vMerge w:val="restart"/>
          </w:tcPr>
          <w:p w14:paraId="34F32C07" w14:textId="77777777" w:rsidR="00403B07" w:rsidRPr="0027473F" w:rsidRDefault="00403B07" w:rsidP="00B01272">
            <w:pPr>
              <w:rPr>
                <w:b/>
                <w:sz w:val="18"/>
                <w:szCs w:val="18"/>
              </w:rPr>
            </w:pPr>
            <w:r w:rsidRPr="0027473F">
              <w:rPr>
                <w:b/>
                <w:sz w:val="18"/>
                <w:szCs w:val="18"/>
              </w:rPr>
              <w:t>7</w:t>
            </w:r>
          </w:p>
        </w:tc>
        <w:tc>
          <w:tcPr>
            <w:tcW w:w="3718" w:type="dxa"/>
            <w:vMerge w:val="restart"/>
          </w:tcPr>
          <w:p w14:paraId="6FECE35A" w14:textId="77777777" w:rsidR="00403B07" w:rsidRPr="004D1BD2" w:rsidRDefault="00403B07" w:rsidP="00B01272">
            <w:pPr>
              <w:rPr>
                <w:i/>
                <w:sz w:val="18"/>
                <w:szCs w:val="18"/>
              </w:rPr>
            </w:pPr>
            <w:r w:rsidRPr="004D1BD2">
              <w:rPr>
                <w:i/>
                <w:sz w:val="18"/>
                <w:szCs w:val="18"/>
              </w:rPr>
              <w:t>Have they managed to stick to any of the changes they made?</w:t>
            </w:r>
          </w:p>
        </w:tc>
        <w:tc>
          <w:tcPr>
            <w:tcW w:w="2236" w:type="dxa"/>
          </w:tcPr>
          <w:p w14:paraId="6DDAF997" w14:textId="77777777" w:rsidR="00403B07" w:rsidRPr="006E2ABA" w:rsidRDefault="00403B07" w:rsidP="00B01272">
            <w:pPr>
              <w:rPr>
                <w:b/>
                <w:sz w:val="18"/>
                <w:szCs w:val="18"/>
              </w:rPr>
            </w:pPr>
            <w:r w:rsidRPr="006E2ABA">
              <w:rPr>
                <w:rFonts w:ascii="Calibri" w:eastAsia="Times New Roman" w:hAnsi="Calibri" w:cs="Times New Roman"/>
                <w:sz w:val="18"/>
                <w:szCs w:val="18"/>
              </w:rPr>
              <w:t>No</w:t>
            </w:r>
          </w:p>
        </w:tc>
        <w:tc>
          <w:tcPr>
            <w:tcW w:w="1842" w:type="dxa"/>
          </w:tcPr>
          <w:p w14:paraId="04A6067A" w14:textId="77777777" w:rsidR="00403B07" w:rsidRPr="006E2ABA" w:rsidRDefault="00403B07" w:rsidP="00B01272">
            <w:pPr>
              <w:jc w:val="right"/>
              <w:rPr>
                <w:b/>
                <w:sz w:val="18"/>
                <w:szCs w:val="18"/>
              </w:rPr>
            </w:pPr>
            <w:r w:rsidRPr="006E2ABA">
              <w:rPr>
                <w:rFonts w:ascii="Calibri" w:eastAsia="Times New Roman" w:hAnsi="Calibri" w:cs="Times New Roman"/>
                <w:sz w:val="18"/>
                <w:szCs w:val="18"/>
              </w:rPr>
              <w:t>9</w:t>
            </w:r>
          </w:p>
        </w:tc>
        <w:tc>
          <w:tcPr>
            <w:tcW w:w="1843" w:type="dxa"/>
          </w:tcPr>
          <w:p w14:paraId="70532A18" w14:textId="77777777" w:rsidR="00403B07" w:rsidRPr="006E2ABA" w:rsidRDefault="00403B07" w:rsidP="00B01272">
            <w:pPr>
              <w:jc w:val="right"/>
              <w:rPr>
                <w:b/>
                <w:sz w:val="18"/>
                <w:szCs w:val="18"/>
              </w:rPr>
            </w:pPr>
            <w:r w:rsidRPr="006E2ABA">
              <w:rPr>
                <w:rFonts w:ascii="Calibri" w:eastAsia="Times New Roman" w:hAnsi="Calibri" w:cs="Times New Roman"/>
                <w:sz w:val="18"/>
                <w:szCs w:val="18"/>
              </w:rPr>
              <w:t>5.1%</w:t>
            </w:r>
          </w:p>
        </w:tc>
      </w:tr>
      <w:tr w:rsidR="00403B07" w:rsidRPr="006E2ABA" w14:paraId="09B3D41D" w14:textId="77777777" w:rsidTr="00B01272">
        <w:tc>
          <w:tcPr>
            <w:tcW w:w="1951" w:type="dxa"/>
            <w:vMerge/>
          </w:tcPr>
          <w:p w14:paraId="5149A1C2" w14:textId="77777777" w:rsidR="00403B07" w:rsidRPr="0027473F" w:rsidRDefault="00403B07" w:rsidP="00B01272">
            <w:pPr>
              <w:rPr>
                <w:b/>
                <w:sz w:val="18"/>
                <w:szCs w:val="18"/>
              </w:rPr>
            </w:pPr>
          </w:p>
        </w:tc>
        <w:tc>
          <w:tcPr>
            <w:tcW w:w="3718" w:type="dxa"/>
            <w:vMerge/>
          </w:tcPr>
          <w:p w14:paraId="10CF6D24" w14:textId="77777777" w:rsidR="00403B07" w:rsidRPr="004D1BD2" w:rsidRDefault="00403B07" w:rsidP="00B01272">
            <w:pPr>
              <w:rPr>
                <w:i/>
                <w:sz w:val="18"/>
                <w:szCs w:val="18"/>
              </w:rPr>
            </w:pPr>
          </w:p>
        </w:tc>
        <w:tc>
          <w:tcPr>
            <w:tcW w:w="2236" w:type="dxa"/>
          </w:tcPr>
          <w:p w14:paraId="009AB382" w14:textId="77777777" w:rsidR="00403B07" w:rsidRPr="006E2ABA" w:rsidRDefault="00403B07" w:rsidP="00B01272">
            <w:pPr>
              <w:rPr>
                <w:b/>
                <w:sz w:val="18"/>
                <w:szCs w:val="18"/>
              </w:rPr>
            </w:pPr>
            <w:r w:rsidRPr="006E2ABA">
              <w:rPr>
                <w:rFonts w:ascii="Calibri" w:eastAsia="Times New Roman" w:hAnsi="Calibri" w:cs="Times New Roman"/>
                <w:sz w:val="18"/>
                <w:szCs w:val="18"/>
              </w:rPr>
              <w:t>Yes</w:t>
            </w:r>
          </w:p>
        </w:tc>
        <w:tc>
          <w:tcPr>
            <w:tcW w:w="1842" w:type="dxa"/>
          </w:tcPr>
          <w:p w14:paraId="49E522E5" w14:textId="77777777" w:rsidR="00403B07" w:rsidRPr="006E2ABA" w:rsidRDefault="00403B07" w:rsidP="00B01272">
            <w:pPr>
              <w:jc w:val="right"/>
              <w:rPr>
                <w:b/>
                <w:sz w:val="18"/>
                <w:szCs w:val="18"/>
              </w:rPr>
            </w:pPr>
            <w:r w:rsidRPr="006E2ABA">
              <w:rPr>
                <w:rFonts w:ascii="Calibri" w:eastAsia="Times New Roman" w:hAnsi="Calibri" w:cs="Times New Roman"/>
                <w:sz w:val="18"/>
                <w:szCs w:val="18"/>
              </w:rPr>
              <w:t>138</w:t>
            </w:r>
          </w:p>
        </w:tc>
        <w:tc>
          <w:tcPr>
            <w:tcW w:w="1843" w:type="dxa"/>
          </w:tcPr>
          <w:p w14:paraId="76788C85" w14:textId="77777777" w:rsidR="00403B07" w:rsidRPr="006E2ABA" w:rsidRDefault="00403B07" w:rsidP="00B01272">
            <w:pPr>
              <w:jc w:val="right"/>
              <w:rPr>
                <w:b/>
                <w:sz w:val="18"/>
                <w:szCs w:val="18"/>
              </w:rPr>
            </w:pPr>
            <w:r w:rsidRPr="006E2ABA">
              <w:rPr>
                <w:rFonts w:ascii="Calibri" w:eastAsia="Times New Roman" w:hAnsi="Calibri" w:cs="Times New Roman"/>
                <w:sz w:val="18"/>
                <w:szCs w:val="18"/>
              </w:rPr>
              <w:t>78.4%</w:t>
            </w:r>
          </w:p>
        </w:tc>
      </w:tr>
      <w:tr w:rsidR="00403B07" w:rsidRPr="006E2ABA" w14:paraId="38CD35E9" w14:textId="77777777" w:rsidTr="00B01272">
        <w:tc>
          <w:tcPr>
            <w:tcW w:w="1951" w:type="dxa"/>
            <w:vMerge/>
          </w:tcPr>
          <w:p w14:paraId="52DD1182" w14:textId="77777777" w:rsidR="00403B07" w:rsidRPr="0027473F" w:rsidRDefault="00403B07" w:rsidP="00B01272">
            <w:pPr>
              <w:rPr>
                <w:b/>
                <w:sz w:val="18"/>
                <w:szCs w:val="18"/>
              </w:rPr>
            </w:pPr>
          </w:p>
        </w:tc>
        <w:tc>
          <w:tcPr>
            <w:tcW w:w="3718" w:type="dxa"/>
            <w:vMerge/>
          </w:tcPr>
          <w:p w14:paraId="05F5922E" w14:textId="77777777" w:rsidR="00403B07" w:rsidRPr="004D1BD2" w:rsidRDefault="00403B07" w:rsidP="00B01272">
            <w:pPr>
              <w:rPr>
                <w:i/>
                <w:sz w:val="18"/>
                <w:szCs w:val="18"/>
              </w:rPr>
            </w:pPr>
          </w:p>
        </w:tc>
        <w:tc>
          <w:tcPr>
            <w:tcW w:w="2236" w:type="dxa"/>
          </w:tcPr>
          <w:p w14:paraId="38F59C0B" w14:textId="77777777" w:rsidR="00403B07" w:rsidRPr="006E2ABA" w:rsidRDefault="00403B07" w:rsidP="00B01272">
            <w:pPr>
              <w:rPr>
                <w:b/>
                <w:sz w:val="18"/>
                <w:szCs w:val="18"/>
              </w:rPr>
            </w:pPr>
            <w:r w:rsidRPr="006E2ABA">
              <w:rPr>
                <w:rFonts w:ascii="Calibri" w:eastAsia="Times New Roman" w:hAnsi="Calibri" w:cs="Times New Roman"/>
                <w:sz w:val="18"/>
                <w:szCs w:val="18"/>
              </w:rPr>
              <w:t>Unsure</w:t>
            </w:r>
          </w:p>
        </w:tc>
        <w:tc>
          <w:tcPr>
            <w:tcW w:w="1842" w:type="dxa"/>
          </w:tcPr>
          <w:p w14:paraId="417027B7" w14:textId="77777777" w:rsidR="00403B07" w:rsidRPr="006E2ABA" w:rsidRDefault="00403B07" w:rsidP="00B01272">
            <w:pPr>
              <w:jc w:val="right"/>
              <w:rPr>
                <w:b/>
                <w:sz w:val="18"/>
                <w:szCs w:val="18"/>
              </w:rPr>
            </w:pPr>
            <w:r w:rsidRPr="006E2ABA">
              <w:rPr>
                <w:rFonts w:ascii="Calibri" w:eastAsia="Times New Roman" w:hAnsi="Calibri" w:cs="Times New Roman"/>
                <w:sz w:val="18"/>
                <w:szCs w:val="18"/>
              </w:rPr>
              <w:t>19</w:t>
            </w:r>
          </w:p>
        </w:tc>
        <w:tc>
          <w:tcPr>
            <w:tcW w:w="1843" w:type="dxa"/>
          </w:tcPr>
          <w:p w14:paraId="06B06988" w14:textId="77777777" w:rsidR="00403B07" w:rsidRPr="006E2ABA" w:rsidRDefault="00403B07" w:rsidP="00B01272">
            <w:pPr>
              <w:jc w:val="right"/>
              <w:rPr>
                <w:b/>
                <w:sz w:val="18"/>
                <w:szCs w:val="18"/>
              </w:rPr>
            </w:pPr>
            <w:r w:rsidRPr="006E2ABA">
              <w:rPr>
                <w:rFonts w:ascii="Calibri" w:eastAsia="Times New Roman" w:hAnsi="Calibri" w:cs="Times New Roman"/>
                <w:sz w:val="18"/>
                <w:szCs w:val="18"/>
              </w:rPr>
              <w:t>10.8%</w:t>
            </w:r>
          </w:p>
        </w:tc>
      </w:tr>
      <w:tr w:rsidR="00403B07" w:rsidRPr="006E2ABA" w14:paraId="26038722" w14:textId="77777777" w:rsidTr="00B01272">
        <w:tc>
          <w:tcPr>
            <w:tcW w:w="1951" w:type="dxa"/>
            <w:vMerge/>
          </w:tcPr>
          <w:p w14:paraId="339A0BA1" w14:textId="77777777" w:rsidR="00403B07" w:rsidRPr="0027473F" w:rsidRDefault="00403B07" w:rsidP="00B01272">
            <w:pPr>
              <w:rPr>
                <w:b/>
                <w:sz w:val="18"/>
                <w:szCs w:val="18"/>
              </w:rPr>
            </w:pPr>
          </w:p>
        </w:tc>
        <w:tc>
          <w:tcPr>
            <w:tcW w:w="3718" w:type="dxa"/>
            <w:vMerge/>
          </w:tcPr>
          <w:p w14:paraId="37BCED1D" w14:textId="77777777" w:rsidR="00403B07" w:rsidRPr="004D1BD2" w:rsidRDefault="00403B07" w:rsidP="00B01272">
            <w:pPr>
              <w:rPr>
                <w:i/>
                <w:sz w:val="18"/>
                <w:szCs w:val="18"/>
              </w:rPr>
            </w:pPr>
          </w:p>
        </w:tc>
        <w:tc>
          <w:tcPr>
            <w:tcW w:w="2236" w:type="dxa"/>
          </w:tcPr>
          <w:p w14:paraId="65E15244" w14:textId="77777777" w:rsidR="00403B07" w:rsidRPr="006E2ABA" w:rsidRDefault="00403B07" w:rsidP="00B01272">
            <w:pPr>
              <w:rPr>
                <w:b/>
                <w:sz w:val="18"/>
                <w:szCs w:val="18"/>
              </w:rPr>
            </w:pPr>
            <w:r w:rsidRPr="006E2ABA">
              <w:rPr>
                <w:rFonts w:ascii="Calibri" w:eastAsia="Times New Roman" w:hAnsi="Calibri" w:cs="Times New Roman"/>
                <w:sz w:val="18"/>
                <w:szCs w:val="18"/>
              </w:rPr>
              <w:t>spoilt/missing</w:t>
            </w:r>
          </w:p>
        </w:tc>
        <w:tc>
          <w:tcPr>
            <w:tcW w:w="1842" w:type="dxa"/>
          </w:tcPr>
          <w:p w14:paraId="101DE7A7" w14:textId="77777777" w:rsidR="00403B07" w:rsidRPr="006E2ABA" w:rsidRDefault="00403B07" w:rsidP="00B01272">
            <w:pPr>
              <w:jc w:val="right"/>
              <w:rPr>
                <w:b/>
                <w:sz w:val="18"/>
                <w:szCs w:val="18"/>
              </w:rPr>
            </w:pPr>
            <w:r w:rsidRPr="006E2ABA">
              <w:rPr>
                <w:rFonts w:ascii="Calibri" w:eastAsia="Times New Roman" w:hAnsi="Calibri" w:cs="Times New Roman"/>
                <w:sz w:val="18"/>
                <w:szCs w:val="18"/>
              </w:rPr>
              <w:t>10</w:t>
            </w:r>
          </w:p>
        </w:tc>
        <w:tc>
          <w:tcPr>
            <w:tcW w:w="1843" w:type="dxa"/>
          </w:tcPr>
          <w:p w14:paraId="664CA930" w14:textId="77777777" w:rsidR="00403B07" w:rsidRPr="006E2ABA" w:rsidRDefault="00403B07" w:rsidP="00B01272">
            <w:pPr>
              <w:jc w:val="right"/>
              <w:rPr>
                <w:b/>
                <w:sz w:val="18"/>
                <w:szCs w:val="18"/>
              </w:rPr>
            </w:pPr>
            <w:r w:rsidRPr="006E2ABA">
              <w:rPr>
                <w:rFonts w:ascii="Calibri" w:eastAsia="Times New Roman" w:hAnsi="Calibri" w:cs="Times New Roman"/>
                <w:sz w:val="18"/>
                <w:szCs w:val="18"/>
              </w:rPr>
              <w:t>5.7%</w:t>
            </w:r>
          </w:p>
        </w:tc>
      </w:tr>
      <w:tr w:rsidR="00403B07" w:rsidRPr="006E2ABA" w14:paraId="40973EB2" w14:textId="77777777" w:rsidTr="00B01272">
        <w:tc>
          <w:tcPr>
            <w:tcW w:w="1951" w:type="dxa"/>
            <w:vMerge w:val="restart"/>
          </w:tcPr>
          <w:p w14:paraId="7063DE05" w14:textId="77777777" w:rsidR="00403B07" w:rsidRPr="0027473F" w:rsidRDefault="00403B07" w:rsidP="00B01272">
            <w:pPr>
              <w:rPr>
                <w:b/>
                <w:sz w:val="18"/>
                <w:szCs w:val="18"/>
              </w:rPr>
            </w:pPr>
            <w:r w:rsidRPr="0027473F">
              <w:rPr>
                <w:b/>
                <w:sz w:val="18"/>
                <w:szCs w:val="18"/>
              </w:rPr>
              <w:t>8</w:t>
            </w:r>
          </w:p>
        </w:tc>
        <w:tc>
          <w:tcPr>
            <w:tcW w:w="3718" w:type="dxa"/>
            <w:vMerge w:val="restart"/>
          </w:tcPr>
          <w:p w14:paraId="42494846" w14:textId="77777777" w:rsidR="00403B07" w:rsidRPr="004D1BD2" w:rsidRDefault="00403B07" w:rsidP="00B01272">
            <w:pPr>
              <w:rPr>
                <w:i/>
                <w:sz w:val="18"/>
                <w:szCs w:val="18"/>
              </w:rPr>
            </w:pPr>
            <w:r w:rsidRPr="004D1BD2">
              <w:rPr>
                <w:i/>
                <w:color w:val="000000"/>
                <w:sz w:val="18"/>
                <w:szCs w:val="18"/>
              </w:rPr>
              <w:t>Have the rest of family made changes?</w:t>
            </w:r>
          </w:p>
        </w:tc>
        <w:tc>
          <w:tcPr>
            <w:tcW w:w="2236" w:type="dxa"/>
          </w:tcPr>
          <w:p w14:paraId="106672FC" w14:textId="77777777" w:rsidR="00403B07" w:rsidRPr="006E2ABA" w:rsidRDefault="00403B07" w:rsidP="00B01272">
            <w:pPr>
              <w:rPr>
                <w:b/>
                <w:sz w:val="18"/>
                <w:szCs w:val="18"/>
              </w:rPr>
            </w:pPr>
            <w:r w:rsidRPr="006E2ABA">
              <w:rPr>
                <w:rFonts w:ascii="Calibri" w:eastAsia="Times New Roman" w:hAnsi="Calibri" w:cs="Times New Roman"/>
                <w:color w:val="000000"/>
                <w:sz w:val="18"/>
                <w:szCs w:val="18"/>
              </w:rPr>
              <w:t>No Changes</w:t>
            </w:r>
          </w:p>
        </w:tc>
        <w:tc>
          <w:tcPr>
            <w:tcW w:w="1842" w:type="dxa"/>
          </w:tcPr>
          <w:p w14:paraId="4555E0F3" w14:textId="77777777" w:rsidR="00403B07" w:rsidRPr="006E2ABA" w:rsidRDefault="00403B07" w:rsidP="00B01272">
            <w:pPr>
              <w:jc w:val="right"/>
              <w:rPr>
                <w:b/>
                <w:sz w:val="18"/>
                <w:szCs w:val="18"/>
              </w:rPr>
            </w:pPr>
            <w:r w:rsidRPr="006E2ABA">
              <w:rPr>
                <w:rFonts w:ascii="Calibri" w:eastAsia="Times New Roman" w:hAnsi="Calibri" w:cs="Times New Roman"/>
                <w:color w:val="000000"/>
                <w:sz w:val="18"/>
                <w:szCs w:val="18"/>
              </w:rPr>
              <w:t>46</w:t>
            </w:r>
          </w:p>
        </w:tc>
        <w:tc>
          <w:tcPr>
            <w:tcW w:w="1843" w:type="dxa"/>
          </w:tcPr>
          <w:p w14:paraId="0AA394FC" w14:textId="77777777" w:rsidR="00403B07" w:rsidRPr="006E2ABA" w:rsidRDefault="00403B07" w:rsidP="00B01272">
            <w:pPr>
              <w:jc w:val="right"/>
              <w:rPr>
                <w:b/>
                <w:sz w:val="18"/>
                <w:szCs w:val="18"/>
              </w:rPr>
            </w:pPr>
            <w:r w:rsidRPr="006E2ABA">
              <w:rPr>
                <w:rFonts w:ascii="Calibri" w:eastAsia="Times New Roman" w:hAnsi="Calibri" w:cs="Times New Roman"/>
                <w:sz w:val="18"/>
                <w:szCs w:val="18"/>
              </w:rPr>
              <w:t>26.1%</w:t>
            </w:r>
          </w:p>
        </w:tc>
      </w:tr>
      <w:tr w:rsidR="00403B07" w:rsidRPr="006E2ABA" w14:paraId="49E9DD4A" w14:textId="77777777" w:rsidTr="00B01272">
        <w:tc>
          <w:tcPr>
            <w:tcW w:w="1951" w:type="dxa"/>
            <w:vMerge/>
          </w:tcPr>
          <w:p w14:paraId="054D0085" w14:textId="77777777" w:rsidR="00403B07" w:rsidRPr="006E2ABA" w:rsidRDefault="00403B07" w:rsidP="00B01272">
            <w:pPr>
              <w:rPr>
                <w:b/>
                <w:sz w:val="18"/>
                <w:szCs w:val="18"/>
              </w:rPr>
            </w:pPr>
          </w:p>
        </w:tc>
        <w:tc>
          <w:tcPr>
            <w:tcW w:w="3718" w:type="dxa"/>
            <w:vMerge/>
          </w:tcPr>
          <w:p w14:paraId="76199739" w14:textId="77777777" w:rsidR="00403B07" w:rsidRPr="006E2ABA" w:rsidRDefault="00403B07" w:rsidP="00B01272">
            <w:pPr>
              <w:rPr>
                <w:b/>
                <w:sz w:val="18"/>
                <w:szCs w:val="18"/>
              </w:rPr>
            </w:pPr>
          </w:p>
        </w:tc>
        <w:tc>
          <w:tcPr>
            <w:tcW w:w="2236" w:type="dxa"/>
          </w:tcPr>
          <w:p w14:paraId="4ECB6CA7" w14:textId="77777777" w:rsidR="00403B07" w:rsidRPr="006E2ABA" w:rsidRDefault="00403B07" w:rsidP="00B01272">
            <w:pPr>
              <w:rPr>
                <w:b/>
                <w:sz w:val="18"/>
                <w:szCs w:val="18"/>
              </w:rPr>
            </w:pPr>
            <w:r w:rsidRPr="006E2ABA">
              <w:rPr>
                <w:rFonts w:ascii="Calibri" w:eastAsia="Times New Roman" w:hAnsi="Calibri" w:cs="Times New Roman"/>
                <w:color w:val="000000"/>
                <w:sz w:val="18"/>
                <w:szCs w:val="18"/>
              </w:rPr>
              <w:t>A few</w:t>
            </w:r>
          </w:p>
        </w:tc>
        <w:tc>
          <w:tcPr>
            <w:tcW w:w="1842" w:type="dxa"/>
          </w:tcPr>
          <w:p w14:paraId="6D1421C0" w14:textId="77777777" w:rsidR="00403B07" w:rsidRPr="006E2ABA" w:rsidRDefault="00403B07" w:rsidP="00B01272">
            <w:pPr>
              <w:jc w:val="right"/>
              <w:rPr>
                <w:b/>
                <w:sz w:val="18"/>
                <w:szCs w:val="18"/>
              </w:rPr>
            </w:pPr>
            <w:r w:rsidRPr="006E2ABA">
              <w:rPr>
                <w:rFonts w:ascii="Calibri" w:eastAsia="Times New Roman" w:hAnsi="Calibri" w:cs="Times New Roman"/>
                <w:color w:val="000000"/>
                <w:sz w:val="18"/>
                <w:szCs w:val="18"/>
              </w:rPr>
              <w:t>119</w:t>
            </w:r>
          </w:p>
        </w:tc>
        <w:tc>
          <w:tcPr>
            <w:tcW w:w="1843" w:type="dxa"/>
          </w:tcPr>
          <w:p w14:paraId="385FAFD9" w14:textId="77777777" w:rsidR="00403B07" w:rsidRPr="006E2ABA" w:rsidRDefault="00403B07" w:rsidP="00B01272">
            <w:pPr>
              <w:jc w:val="right"/>
              <w:rPr>
                <w:b/>
                <w:sz w:val="18"/>
                <w:szCs w:val="18"/>
              </w:rPr>
            </w:pPr>
            <w:r w:rsidRPr="006E2ABA">
              <w:rPr>
                <w:rFonts w:ascii="Calibri" w:eastAsia="Times New Roman" w:hAnsi="Calibri" w:cs="Times New Roman"/>
                <w:sz w:val="18"/>
                <w:szCs w:val="18"/>
              </w:rPr>
              <w:t>67.6%</w:t>
            </w:r>
          </w:p>
        </w:tc>
      </w:tr>
      <w:tr w:rsidR="00403B07" w:rsidRPr="006E2ABA" w14:paraId="50573808" w14:textId="77777777" w:rsidTr="00B01272">
        <w:tc>
          <w:tcPr>
            <w:tcW w:w="1951" w:type="dxa"/>
            <w:vMerge/>
          </w:tcPr>
          <w:p w14:paraId="2BDB4856" w14:textId="77777777" w:rsidR="00403B07" w:rsidRPr="006E2ABA" w:rsidRDefault="00403B07" w:rsidP="00B01272">
            <w:pPr>
              <w:rPr>
                <w:b/>
                <w:sz w:val="18"/>
                <w:szCs w:val="18"/>
              </w:rPr>
            </w:pPr>
          </w:p>
        </w:tc>
        <w:tc>
          <w:tcPr>
            <w:tcW w:w="3718" w:type="dxa"/>
            <w:vMerge/>
          </w:tcPr>
          <w:p w14:paraId="1672C6AA" w14:textId="77777777" w:rsidR="00403B07" w:rsidRPr="006E2ABA" w:rsidRDefault="00403B07" w:rsidP="00B01272">
            <w:pPr>
              <w:rPr>
                <w:b/>
                <w:sz w:val="18"/>
                <w:szCs w:val="18"/>
              </w:rPr>
            </w:pPr>
          </w:p>
        </w:tc>
        <w:tc>
          <w:tcPr>
            <w:tcW w:w="2236" w:type="dxa"/>
          </w:tcPr>
          <w:p w14:paraId="4C3C1CCE" w14:textId="77777777" w:rsidR="00403B07" w:rsidRPr="006E2ABA" w:rsidRDefault="00403B07" w:rsidP="00B01272">
            <w:pPr>
              <w:rPr>
                <w:b/>
                <w:sz w:val="18"/>
                <w:szCs w:val="18"/>
              </w:rPr>
            </w:pPr>
            <w:r w:rsidRPr="006E2ABA">
              <w:rPr>
                <w:rFonts w:ascii="Calibri" w:eastAsia="Times New Roman" w:hAnsi="Calibri" w:cs="Times New Roman"/>
                <w:color w:val="000000"/>
                <w:sz w:val="18"/>
                <w:szCs w:val="18"/>
              </w:rPr>
              <w:t>Lots</w:t>
            </w:r>
          </w:p>
        </w:tc>
        <w:tc>
          <w:tcPr>
            <w:tcW w:w="1842" w:type="dxa"/>
          </w:tcPr>
          <w:p w14:paraId="3929FBC1" w14:textId="77777777" w:rsidR="00403B07" w:rsidRPr="006E2ABA" w:rsidRDefault="00403B07" w:rsidP="00B01272">
            <w:pPr>
              <w:jc w:val="right"/>
              <w:rPr>
                <w:b/>
                <w:sz w:val="18"/>
                <w:szCs w:val="18"/>
              </w:rPr>
            </w:pPr>
            <w:r w:rsidRPr="006E2ABA">
              <w:rPr>
                <w:rFonts w:ascii="Calibri" w:eastAsia="Times New Roman" w:hAnsi="Calibri" w:cs="Times New Roman"/>
                <w:color w:val="000000"/>
                <w:sz w:val="18"/>
                <w:szCs w:val="18"/>
              </w:rPr>
              <w:t>11</w:t>
            </w:r>
          </w:p>
        </w:tc>
        <w:tc>
          <w:tcPr>
            <w:tcW w:w="1843" w:type="dxa"/>
          </w:tcPr>
          <w:p w14:paraId="1AABEAB1" w14:textId="77777777" w:rsidR="00403B07" w:rsidRPr="006E2ABA" w:rsidRDefault="00403B07" w:rsidP="00B01272">
            <w:pPr>
              <w:jc w:val="right"/>
              <w:rPr>
                <w:b/>
                <w:sz w:val="18"/>
                <w:szCs w:val="18"/>
              </w:rPr>
            </w:pPr>
            <w:r w:rsidRPr="006E2ABA">
              <w:rPr>
                <w:rFonts w:ascii="Calibri" w:eastAsia="Times New Roman" w:hAnsi="Calibri" w:cs="Times New Roman"/>
                <w:sz w:val="18"/>
                <w:szCs w:val="18"/>
              </w:rPr>
              <w:t>6.3%</w:t>
            </w:r>
          </w:p>
        </w:tc>
      </w:tr>
    </w:tbl>
    <w:p w14:paraId="3D0D596E" w14:textId="77777777" w:rsidR="00403B07" w:rsidRDefault="00403B07" w:rsidP="00403B07"/>
    <w:p w14:paraId="442CB896" w14:textId="77777777" w:rsidR="00403B07" w:rsidRDefault="00403B07" w:rsidP="00403B07">
      <w:pPr>
        <w:sectPr w:rsidR="00403B07" w:rsidSect="00B01272">
          <w:headerReference w:type="default" r:id="rId54"/>
          <w:footerReference w:type="default" r:id="rId55"/>
          <w:pgSz w:w="16838" w:h="11906" w:orient="landscape"/>
          <w:pgMar w:top="1440" w:right="1440" w:bottom="1440" w:left="1440" w:header="709" w:footer="709" w:gutter="0"/>
          <w:cols w:space="708"/>
          <w:docGrid w:linePitch="360"/>
        </w:sectPr>
      </w:pPr>
      <w:r>
        <w:br w:type="page"/>
      </w:r>
      <w:bookmarkStart w:id="693" w:name="_Toc454450770"/>
    </w:p>
    <w:p w14:paraId="02B2345A" w14:textId="69C304EA" w:rsidR="00403B07" w:rsidRPr="00555C58" w:rsidRDefault="00403B07" w:rsidP="00AB4D98">
      <w:pPr>
        <w:pStyle w:val="Heading1"/>
      </w:pPr>
      <w:bookmarkStart w:id="694" w:name="_Toc475974426"/>
      <w:r w:rsidRPr="00555C58">
        <w:lastRenderedPageBreak/>
        <w:t>Appendix 1</w:t>
      </w:r>
      <w:r w:rsidR="00705B64">
        <w:t>8</w:t>
      </w:r>
      <w:r w:rsidRPr="00555C58">
        <w:t xml:space="preserve"> Development and evaluation of the My Lifestyle Questionnaire</w:t>
      </w:r>
      <w:bookmarkEnd w:id="694"/>
    </w:p>
    <w:p w14:paraId="098F1CB7" w14:textId="77777777" w:rsidR="00403B07" w:rsidRDefault="00403B07" w:rsidP="00403B07">
      <w:pPr>
        <w:rPr>
          <w:rFonts w:ascii="Calibri" w:eastAsia="Times New Roman" w:hAnsi="Calibri" w:cs="Times New Roman"/>
          <w:b/>
          <w:bCs/>
          <w:sz w:val="24"/>
          <w:szCs w:val="24"/>
        </w:rPr>
      </w:pPr>
      <w:r w:rsidRPr="00186586">
        <w:rPr>
          <w:rFonts w:ascii="Calibri" w:eastAsia="Times New Roman" w:hAnsi="Calibri" w:cs="Times New Roman"/>
          <w:b/>
          <w:bCs/>
          <w:sz w:val="24"/>
          <w:szCs w:val="24"/>
        </w:rPr>
        <w:t>Development and evaluation of the My Lifestyle Questionnaire for 9-10 year olds: an instrument designed to assess health behaviour change in school children taking part in the Healthy Lifestyles Programme randomised controlled trial.</w:t>
      </w:r>
    </w:p>
    <w:p w14:paraId="524D5EEA" w14:textId="77777777" w:rsidR="00403B07" w:rsidRPr="00186586" w:rsidRDefault="00403B07" w:rsidP="00403B07">
      <w:pPr>
        <w:rPr>
          <w:rFonts w:ascii="Calibri" w:eastAsia="Times New Roman" w:hAnsi="Calibri" w:cs="Times New Roman"/>
          <w:b/>
          <w:bCs/>
          <w:sz w:val="24"/>
          <w:szCs w:val="24"/>
        </w:rPr>
      </w:pPr>
    </w:p>
    <w:p w14:paraId="7D3F1DF2" w14:textId="77777777" w:rsidR="00403B07" w:rsidRDefault="00403B07" w:rsidP="00403B07">
      <w:pPr>
        <w:rPr>
          <w:rFonts w:ascii="Calibri" w:eastAsia="Times New Roman" w:hAnsi="Calibri" w:cs="Times New Roman"/>
          <w:bCs/>
          <w:sz w:val="24"/>
          <w:szCs w:val="24"/>
        </w:rPr>
      </w:pPr>
      <w:r w:rsidRPr="00186586">
        <w:rPr>
          <w:rFonts w:ascii="Calibri" w:eastAsia="Times New Roman" w:hAnsi="Calibri" w:cs="Times New Roman"/>
          <w:b/>
          <w:bCs/>
          <w:sz w:val="24"/>
          <w:szCs w:val="24"/>
        </w:rPr>
        <w:t xml:space="preserve">Background </w:t>
      </w:r>
      <w:r w:rsidRPr="00186586">
        <w:rPr>
          <w:rFonts w:ascii="Calibri" w:eastAsia="Times New Roman" w:hAnsi="Calibri" w:cs="Times New Roman"/>
          <w:bCs/>
          <w:sz w:val="24"/>
          <w:szCs w:val="24"/>
        </w:rPr>
        <w:t>At the start of the HeLP trial there was no instrument available to assess the range of health behaviours targeted by the HeLP intervention. As part of the process evaluation of this complex intervention trial we developed and put in place a plan to evaluate such an instrument, called the My Lifestyle Questionnaire (MLQ).</w:t>
      </w:r>
    </w:p>
    <w:p w14:paraId="796CD3DB" w14:textId="77777777" w:rsidR="00403B07" w:rsidRPr="00186586" w:rsidRDefault="00403B07" w:rsidP="00403B07">
      <w:pPr>
        <w:rPr>
          <w:rFonts w:ascii="Calibri" w:eastAsia="Times New Roman" w:hAnsi="Calibri" w:cs="Times New Roman"/>
          <w:bCs/>
          <w:sz w:val="24"/>
          <w:szCs w:val="24"/>
        </w:rPr>
      </w:pPr>
    </w:p>
    <w:p w14:paraId="5F087E01" w14:textId="77777777" w:rsidR="00403B07" w:rsidRDefault="00403B07" w:rsidP="00403B07">
      <w:pPr>
        <w:rPr>
          <w:rFonts w:ascii="Calibri" w:eastAsia="Times New Roman" w:hAnsi="Calibri" w:cs="Times New Roman"/>
          <w:bCs/>
          <w:sz w:val="24"/>
          <w:szCs w:val="24"/>
        </w:rPr>
      </w:pPr>
      <w:r w:rsidRPr="00186586">
        <w:rPr>
          <w:rFonts w:ascii="Calibri" w:eastAsia="Times New Roman" w:hAnsi="Calibri" w:cs="Times New Roman"/>
          <w:b/>
          <w:bCs/>
          <w:sz w:val="24"/>
          <w:szCs w:val="24"/>
        </w:rPr>
        <w:t xml:space="preserve">Objectives </w:t>
      </w:r>
      <w:r w:rsidRPr="00186586">
        <w:rPr>
          <w:rFonts w:ascii="Calibri" w:eastAsia="Times New Roman" w:hAnsi="Calibri" w:cs="Times New Roman"/>
          <w:bCs/>
          <w:sz w:val="24"/>
          <w:szCs w:val="24"/>
        </w:rPr>
        <w:t xml:space="preserve">1) to develop and evaluate whether the MLQ contains items that are relevant, acceptable and feasible for 9-10 year olds to complete and 2) that the MLQ is psychometrically robust and 3) fit for purpose to use in a mediational analysis as part of the process evaluation of the HeLP trial. </w:t>
      </w:r>
    </w:p>
    <w:p w14:paraId="63D6D988" w14:textId="77777777" w:rsidR="00403B07" w:rsidRPr="00186586" w:rsidRDefault="00403B07" w:rsidP="00403B07">
      <w:pPr>
        <w:rPr>
          <w:rFonts w:ascii="Calibri" w:eastAsia="Times New Roman" w:hAnsi="Calibri" w:cs="Times New Roman"/>
          <w:bCs/>
          <w:sz w:val="24"/>
          <w:szCs w:val="24"/>
        </w:rPr>
      </w:pPr>
    </w:p>
    <w:p w14:paraId="44642932" w14:textId="77777777" w:rsidR="00403B07" w:rsidRPr="00186586" w:rsidRDefault="00403B07" w:rsidP="00403B07">
      <w:pPr>
        <w:rPr>
          <w:rFonts w:ascii="Calibri" w:eastAsia="Times New Roman" w:hAnsi="Calibri" w:cs="Times New Roman"/>
          <w:b/>
          <w:bCs/>
          <w:sz w:val="24"/>
          <w:szCs w:val="24"/>
        </w:rPr>
      </w:pPr>
      <w:r w:rsidRPr="00186586">
        <w:rPr>
          <w:rFonts w:ascii="Calibri" w:eastAsia="Times New Roman" w:hAnsi="Calibri" w:cs="Times New Roman"/>
          <w:b/>
          <w:bCs/>
          <w:sz w:val="24"/>
          <w:szCs w:val="24"/>
        </w:rPr>
        <w:t>Methods</w:t>
      </w:r>
    </w:p>
    <w:p w14:paraId="518D477E" w14:textId="77777777" w:rsidR="00403B07" w:rsidRPr="00186586" w:rsidRDefault="00403B07" w:rsidP="00403B07">
      <w:pPr>
        <w:rPr>
          <w:rFonts w:ascii="Calibri" w:eastAsia="Calibri" w:hAnsi="Calibri" w:cs="Times New Roman"/>
          <w:sz w:val="24"/>
          <w:szCs w:val="24"/>
        </w:rPr>
      </w:pPr>
      <w:r w:rsidRPr="00186586">
        <w:rPr>
          <w:rFonts w:ascii="Calibri" w:eastAsia="Calibri" w:hAnsi="Calibri" w:cs="Times New Roman"/>
          <w:sz w:val="24"/>
          <w:szCs w:val="24"/>
        </w:rPr>
        <w:t xml:space="preserve">The MLQ underwent two development phases and then a third phase for psychometric evaluation.  </w:t>
      </w:r>
    </w:p>
    <w:p w14:paraId="33FC8EEE" w14:textId="77777777" w:rsidR="00403B07" w:rsidRDefault="00403B07" w:rsidP="00403B07">
      <w:pPr>
        <w:rPr>
          <w:rFonts w:ascii="Calibri" w:eastAsia="Calibri" w:hAnsi="Calibri" w:cs="Times New Roman"/>
          <w:i/>
          <w:sz w:val="24"/>
          <w:szCs w:val="24"/>
        </w:rPr>
      </w:pPr>
    </w:p>
    <w:p w14:paraId="7B041859" w14:textId="77777777" w:rsidR="00403B07" w:rsidRPr="00186586" w:rsidRDefault="00403B07" w:rsidP="00403B07">
      <w:pPr>
        <w:rPr>
          <w:rFonts w:ascii="Calibri" w:eastAsia="Calibri" w:hAnsi="Calibri" w:cs="Times New Roman"/>
          <w:i/>
          <w:sz w:val="24"/>
          <w:szCs w:val="24"/>
        </w:rPr>
      </w:pPr>
      <w:r w:rsidRPr="00186586">
        <w:rPr>
          <w:rFonts w:ascii="Calibri" w:eastAsia="Calibri" w:hAnsi="Calibri" w:cs="Times New Roman"/>
          <w:i/>
          <w:sz w:val="24"/>
          <w:szCs w:val="24"/>
        </w:rPr>
        <w:t>Participants</w:t>
      </w:r>
    </w:p>
    <w:p w14:paraId="67271101" w14:textId="77777777" w:rsidR="00403B07" w:rsidRDefault="00403B07" w:rsidP="00403B07">
      <w:pPr>
        <w:rPr>
          <w:rFonts w:ascii="Calibri" w:eastAsia="Calibri" w:hAnsi="Calibri" w:cs="Times New Roman"/>
          <w:i/>
          <w:sz w:val="24"/>
          <w:szCs w:val="24"/>
        </w:rPr>
      </w:pPr>
      <w:r w:rsidRPr="00186586">
        <w:rPr>
          <w:rFonts w:ascii="Calibri" w:eastAsia="Calibri" w:hAnsi="Calibri" w:cs="Times New Roman"/>
          <w:sz w:val="24"/>
          <w:szCs w:val="24"/>
        </w:rPr>
        <w:t>Phase 1 was undertaken by the research team; Phase 2 participants were 9-10 year old children with a range of educational abilities. Initially 12 children took part and then a further 102 children from two primary schools who were a convenience sample based on contacts established during the pilot HeLP trial. In Phase 3 participants were the 1324 children who took part in the HeLP trial</w:t>
      </w:r>
      <w:r>
        <w:rPr>
          <w:rFonts w:ascii="Calibri" w:eastAsia="Calibri" w:hAnsi="Calibri" w:cs="Times New Roman"/>
          <w:sz w:val="24"/>
          <w:szCs w:val="24"/>
        </w:rPr>
        <w:t xml:space="preserve">. </w:t>
      </w:r>
    </w:p>
    <w:p w14:paraId="60C44B2C" w14:textId="77777777" w:rsidR="00403B07" w:rsidRDefault="00403B07" w:rsidP="00403B07">
      <w:pPr>
        <w:rPr>
          <w:rFonts w:ascii="Calibri" w:eastAsia="Calibri" w:hAnsi="Calibri" w:cs="Times New Roman"/>
          <w:i/>
          <w:sz w:val="24"/>
          <w:szCs w:val="24"/>
        </w:rPr>
      </w:pPr>
    </w:p>
    <w:p w14:paraId="6584C1D5" w14:textId="77777777" w:rsidR="00403B07" w:rsidRPr="00186586" w:rsidRDefault="00403B07" w:rsidP="00403B07">
      <w:pPr>
        <w:rPr>
          <w:rFonts w:ascii="Calibri" w:eastAsia="Calibri" w:hAnsi="Calibri" w:cs="Times New Roman"/>
          <w:i/>
          <w:sz w:val="24"/>
          <w:szCs w:val="24"/>
        </w:rPr>
      </w:pPr>
      <w:r w:rsidRPr="00186586">
        <w:rPr>
          <w:rFonts w:ascii="Calibri" w:eastAsia="Calibri" w:hAnsi="Calibri" w:cs="Times New Roman"/>
          <w:i/>
          <w:sz w:val="24"/>
          <w:szCs w:val="24"/>
        </w:rPr>
        <w:t>Phase 1 Development and establishment initial construct validity</w:t>
      </w:r>
    </w:p>
    <w:p w14:paraId="310CE2F8" w14:textId="43E9D94B" w:rsidR="00403B07" w:rsidRDefault="00403B07" w:rsidP="00403B07">
      <w:pPr>
        <w:rPr>
          <w:rFonts w:ascii="Calibri" w:eastAsia="Calibri" w:hAnsi="Calibri" w:cs="Times New Roman"/>
          <w:sz w:val="24"/>
          <w:szCs w:val="24"/>
        </w:rPr>
      </w:pPr>
      <w:r w:rsidRPr="00186586">
        <w:rPr>
          <w:rFonts w:ascii="Calibri" w:eastAsia="Calibri" w:hAnsi="Calibri" w:cs="Times New Roman"/>
          <w:sz w:val="24"/>
          <w:szCs w:val="24"/>
        </w:rPr>
        <w:t xml:space="preserve">The initial development of the </w:t>
      </w:r>
      <w:r>
        <w:rPr>
          <w:rFonts w:ascii="Calibri" w:eastAsia="Calibri" w:hAnsi="Calibri" w:cs="Times New Roman"/>
          <w:sz w:val="24"/>
          <w:szCs w:val="24"/>
        </w:rPr>
        <w:t xml:space="preserve">HeLP </w:t>
      </w:r>
      <w:r w:rsidRPr="00186586">
        <w:rPr>
          <w:rFonts w:ascii="Calibri" w:eastAsia="Calibri" w:hAnsi="Calibri" w:cs="Times New Roman"/>
          <w:sz w:val="24"/>
          <w:szCs w:val="24"/>
        </w:rPr>
        <w:t xml:space="preserve">MLQ </w:t>
      </w:r>
      <w:r>
        <w:rPr>
          <w:rFonts w:ascii="Calibri" w:eastAsia="Calibri" w:hAnsi="Calibri" w:cs="Times New Roman"/>
          <w:sz w:val="24"/>
          <w:szCs w:val="24"/>
        </w:rPr>
        <w:t xml:space="preserve">(MLQ) </w:t>
      </w:r>
      <w:r w:rsidRPr="00186586">
        <w:rPr>
          <w:rFonts w:ascii="Calibri" w:eastAsia="Calibri" w:hAnsi="Calibri" w:cs="Times New Roman"/>
          <w:sz w:val="24"/>
          <w:szCs w:val="24"/>
        </w:rPr>
        <w:t xml:space="preserve">was an iterative </w:t>
      </w:r>
      <w:r w:rsidRPr="00A868C3">
        <w:rPr>
          <w:rFonts w:ascii="Calibri" w:eastAsia="Calibri" w:hAnsi="Calibri" w:cs="Times New Roman"/>
          <w:sz w:val="24"/>
          <w:szCs w:val="24"/>
        </w:rPr>
        <w:t>process</w:t>
      </w:r>
      <w:r>
        <w:rPr>
          <w:rFonts w:ascii="Calibri" w:eastAsia="Calibri" w:hAnsi="Calibri" w:cs="Times New Roman"/>
          <w:sz w:val="24"/>
          <w:szCs w:val="24"/>
        </w:rPr>
        <w:t xml:space="preserve"> </w:t>
      </w:r>
      <w:r>
        <w:rPr>
          <w:rFonts w:ascii="Calibri" w:eastAsia="Calibri" w:hAnsi="Calibri" w:cs="Times New Roman"/>
          <w:sz w:val="24"/>
          <w:szCs w:val="24"/>
        </w:rPr>
        <w:fldChar w:fldCharType="begin"/>
      </w:r>
      <w:r w:rsidR="006B3301">
        <w:rPr>
          <w:rFonts w:ascii="Calibri" w:eastAsia="Calibri" w:hAnsi="Calibri" w:cs="Times New Roman"/>
          <w:sz w:val="24"/>
          <w:szCs w:val="24"/>
        </w:rPr>
        <w:instrText xml:space="preserve"> ADDIN EN.CITE &lt;EndNote&gt;&lt;Cite&gt;&lt;Author&gt;Lloyd&lt;/Author&gt;&lt;Year&gt;2013&lt;/Year&gt;&lt;RecNum&gt;5811&lt;/RecNum&gt;&lt;DisplayText&gt;&lt;style face="superscript"&gt;145&lt;/style&gt;&lt;/DisplayText&gt;&lt;record&gt;&lt;rec-number&gt;5811&lt;/rec-number&gt;&lt;foreign-keys&gt;&lt;key app="EN" db-id="2ewa9rrvjsdsawep2vpx5x97eedzzvxx5rta" timestamp="1478877391"&gt;5811&lt;/key&gt;&lt;/foreign-keys&gt;&lt;ref-type name="Thesis"&gt;32&lt;/ref-type&gt;&lt;contributors&gt;&lt;authors&gt;&lt;author&gt;Lloyd, J.&lt;/author&gt;&lt;/authors&gt;&lt;/contributors&gt;&lt;titles&gt;&lt;title&gt;Preventing childhood obesity: Developing complex interventions for behaviour change&lt;/title&gt;&lt;/titles&gt;&lt;dates&gt;&lt;year&gt;2013&lt;/year&gt;&lt;/dates&gt;&lt;pub-location&gt;Exeter&lt;/pub-location&gt;&lt;publisher&gt;University of Exeter&lt;/publisher&gt;&lt;urls&gt;&lt;/urls&gt;&lt;/record&gt;&lt;/Cite&gt;&lt;/EndNote&gt;</w:instrText>
      </w:r>
      <w:r>
        <w:rPr>
          <w:rFonts w:ascii="Calibri" w:eastAsia="Calibri" w:hAnsi="Calibri" w:cs="Times New Roman"/>
          <w:sz w:val="24"/>
          <w:szCs w:val="24"/>
        </w:rPr>
        <w:fldChar w:fldCharType="separate"/>
      </w:r>
      <w:r w:rsidR="006B3301" w:rsidRPr="006B3301">
        <w:rPr>
          <w:rFonts w:ascii="Calibri" w:eastAsia="Calibri" w:hAnsi="Calibri" w:cs="Times New Roman"/>
          <w:noProof/>
          <w:sz w:val="24"/>
          <w:szCs w:val="24"/>
          <w:vertAlign w:val="superscript"/>
        </w:rPr>
        <w:t>145</w:t>
      </w:r>
      <w:r>
        <w:rPr>
          <w:rFonts w:ascii="Calibri" w:eastAsia="Calibri" w:hAnsi="Calibri" w:cs="Times New Roman"/>
          <w:sz w:val="24"/>
          <w:szCs w:val="24"/>
        </w:rPr>
        <w:fldChar w:fldCharType="end"/>
      </w:r>
      <w:r w:rsidRPr="00A868C3">
        <w:rPr>
          <w:rFonts w:ascii="Calibri" w:eastAsia="Calibri" w:hAnsi="Calibri" w:cs="Times New Roman"/>
          <w:sz w:val="24"/>
          <w:szCs w:val="24"/>
        </w:rPr>
        <w:t xml:space="preserve"> and</w:t>
      </w:r>
      <w:r w:rsidRPr="00186586">
        <w:rPr>
          <w:rFonts w:ascii="Calibri" w:eastAsia="Calibri" w:hAnsi="Calibri" w:cs="Times New Roman"/>
          <w:sz w:val="24"/>
          <w:szCs w:val="24"/>
        </w:rPr>
        <w:t xml:space="preserve"> involved four </w:t>
      </w:r>
      <w:r w:rsidRPr="00A868C3">
        <w:rPr>
          <w:rFonts w:ascii="Calibri" w:eastAsia="Calibri" w:hAnsi="Calibri" w:cs="Times New Roman"/>
          <w:sz w:val="24"/>
          <w:szCs w:val="24"/>
        </w:rPr>
        <w:t>steps</w:t>
      </w:r>
      <w:r w:rsidRPr="00FE14C0">
        <w:rPr>
          <w:rFonts w:ascii="Cambria" w:eastAsia="MS Mincho" w:hAnsi="Cambria" w:cs="Times New Roman"/>
          <w:sz w:val="24"/>
          <w:szCs w:val="24"/>
          <w:lang w:val="en-NZ"/>
        </w:rPr>
        <w:t xml:space="preserve"> </w:t>
      </w:r>
      <w:r>
        <w:rPr>
          <w:rFonts w:ascii="Cambria" w:eastAsia="MS Mincho" w:hAnsi="Cambria" w:cs="Times New Roman"/>
          <w:sz w:val="24"/>
          <w:szCs w:val="24"/>
          <w:lang w:val="en-NZ"/>
        </w:rPr>
        <w:fldChar w:fldCharType="begin"/>
      </w:r>
      <w:r w:rsidR="006B3301">
        <w:rPr>
          <w:rFonts w:ascii="Cambria" w:eastAsia="MS Mincho" w:hAnsi="Cambria" w:cs="Times New Roman"/>
          <w:sz w:val="24"/>
          <w:szCs w:val="24"/>
          <w:lang w:val="en-NZ"/>
        </w:rPr>
        <w:instrText xml:space="preserve"> ADDIN EN.CITE &lt;EndNote&gt;&lt;Cite&gt;&lt;Author&gt;De Vet&lt;/Author&gt;&lt;Year&gt;2011&lt;/Year&gt;&lt;RecNum&gt;3836&lt;/RecNum&gt;&lt;DisplayText&gt;&lt;style face="superscript"&gt;146&lt;/style&gt;&lt;/DisplayText&gt;&lt;record&gt;&lt;rec-number&gt;3836&lt;/rec-number&gt;&lt;foreign-keys&gt;&lt;key app="EN" db-id="2ewa9rrvjsdsawep2vpx5x97eedzzvxx5rta" timestamp="0"&gt;3836&lt;/key&gt;&lt;/foreign-keys&gt;&lt;ref-type name="Book"&gt;6&lt;/ref-type&gt;&lt;contributors&gt;&lt;authors&gt;&lt;author&gt;De Vet, H.C.W.&lt;/author&gt;&lt;author&gt;Terwee, C.B.&lt;/author&gt;&lt;author&gt;Mokkink, L.B.&lt;/author&gt;&lt;author&gt;Knol, D.L.&lt;/author&gt;&lt;/authors&gt;&lt;/contributors&gt;&lt;titles&gt;&lt;title&gt;Measurement in medicine: a practical guide&lt;/title&gt;&lt;/titles&gt;&lt;dates&gt;&lt;year&gt;2011&lt;/year&gt;&lt;/dates&gt;&lt;publisher&gt;Cambridge University Press&lt;/publisher&gt;&lt;isbn&gt;0521118204&lt;/isbn&gt;&lt;urls&gt;&lt;/urls&gt;&lt;/record&gt;&lt;/Cite&gt;&lt;/EndNote&gt;</w:instrText>
      </w:r>
      <w:r>
        <w:rPr>
          <w:rFonts w:ascii="Cambria" w:eastAsia="MS Mincho" w:hAnsi="Cambria" w:cs="Times New Roman"/>
          <w:sz w:val="24"/>
          <w:szCs w:val="24"/>
          <w:lang w:val="en-NZ"/>
        </w:rPr>
        <w:fldChar w:fldCharType="separate"/>
      </w:r>
      <w:r w:rsidR="006B3301" w:rsidRPr="006B3301">
        <w:rPr>
          <w:rFonts w:ascii="Cambria" w:eastAsia="MS Mincho" w:hAnsi="Cambria" w:cs="Times New Roman"/>
          <w:noProof/>
          <w:sz w:val="24"/>
          <w:szCs w:val="24"/>
          <w:vertAlign w:val="superscript"/>
          <w:lang w:val="en-NZ"/>
        </w:rPr>
        <w:t>146</w:t>
      </w:r>
      <w:r>
        <w:rPr>
          <w:rFonts w:ascii="Cambria" w:eastAsia="MS Mincho" w:hAnsi="Cambria" w:cs="Times New Roman"/>
          <w:sz w:val="24"/>
          <w:szCs w:val="24"/>
          <w:lang w:val="en-NZ"/>
        </w:rPr>
        <w:fldChar w:fldCharType="end"/>
      </w:r>
      <w:r>
        <w:rPr>
          <w:rFonts w:ascii="Cambria" w:eastAsia="MS Mincho" w:hAnsi="Cambria" w:cs="Times New Roman"/>
          <w:sz w:val="24"/>
          <w:szCs w:val="24"/>
          <w:lang w:val="en-NZ"/>
        </w:rPr>
        <w:t xml:space="preserve">: </w:t>
      </w:r>
      <w:r w:rsidRPr="00186586">
        <w:rPr>
          <w:rFonts w:ascii="Calibri" w:eastAsia="Calibri" w:hAnsi="Calibri" w:cs="Times New Roman"/>
          <w:sz w:val="24"/>
          <w:szCs w:val="24"/>
        </w:rPr>
        <w:t xml:space="preserve">1) definition and elaboration of the construct intended to be measured; 2) choice of measurement method; 3) selecting and formulating items; 4) determining the scoring system. </w:t>
      </w:r>
      <w:r>
        <w:rPr>
          <w:rFonts w:ascii="Calibri" w:eastAsia="Calibri" w:hAnsi="Calibri" w:cs="Times New Roman"/>
          <w:sz w:val="24"/>
          <w:szCs w:val="24"/>
        </w:rPr>
        <w:t xml:space="preserve">Experts in health psychology and behaviour change within the research </w:t>
      </w:r>
      <w:r>
        <w:rPr>
          <w:rFonts w:ascii="Calibri" w:eastAsia="Calibri" w:hAnsi="Calibri" w:cs="Times New Roman"/>
          <w:sz w:val="24"/>
          <w:szCs w:val="24"/>
        </w:rPr>
        <w:lastRenderedPageBreak/>
        <w:t>team discussed how to meet each step taking into consideration the following requirements:</w:t>
      </w:r>
    </w:p>
    <w:p w14:paraId="566C0EB9" w14:textId="77777777" w:rsidR="00403B07" w:rsidRPr="00A41451" w:rsidRDefault="00403B07" w:rsidP="00403B07">
      <w:pPr>
        <w:rPr>
          <w:rFonts w:ascii="Calibri" w:eastAsia="Calibri" w:hAnsi="Calibri" w:cs="Times New Roman"/>
          <w:sz w:val="24"/>
          <w:szCs w:val="24"/>
        </w:rPr>
      </w:pPr>
      <w:r w:rsidRPr="00A41451">
        <w:rPr>
          <w:rFonts w:ascii="Calibri" w:eastAsia="Calibri" w:hAnsi="Calibri" w:cs="Times New Roman"/>
          <w:sz w:val="24"/>
          <w:szCs w:val="24"/>
        </w:rPr>
        <w:t>•</w:t>
      </w:r>
      <w:r>
        <w:rPr>
          <w:rFonts w:ascii="Calibri" w:eastAsia="Calibri" w:hAnsi="Calibri" w:cs="Times New Roman"/>
          <w:sz w:val="24"/>
          <w:szCs w:val="24"/>
        </w:rPr>
        <w:t xml:space="preserve"> Y</w:t>
      </w:r>
      <w:r w:rsidRPr="00A41451">
        <w:rPr>
          <w:rFonts w:ascii="Calibri" w:eastAsia="Calibri" w:hAnsi="Calibri" w:cs="Times New Roman"/>
          <w:sz w:val="24"/>
          <w:szCs w:val="24"/>
        </w:rPr>
        <w:t xml:space="preserve">ear 5 children </w:t>
      </w:r>
      <w:r>
        <w:rPr>
          <w:rFonts w:ascii="Calibri" w:eastAsia="Calibri" w:hAnsi="Calibri" w:cs="Times New Roman"/>
          <w:sz w:val="24"/>
          <w:szCs w:val="24"/>
        </w:rPr>
        <w:t xml:space="preserve">(9-10 year olds) would have a </w:t>
      </w:r>
      <w:r w:rsidRPr="00A41451">
        <w:rPr>
          <w:rFonts w:ascii="Calibri" w:eastAsia="Calibri" w:hAnsi="Calibri" w:cs="Times New Roman"/>
          <w:sz w:val="24"/>
          <w:szCs w:val="24"/>
        </w:rPr>
        <w:t>1 hour lesson</w:t>
      </w:r>
      <w:r>
        <w:rPr>
          <w:rFonts w:ascii="Calibri" w:eastAsia="Calibri" w:hAnsi="Calibri" w:cs="Times New Roman"/>
          <w:sz w:val="24"/>
          <w:szCs w:val="24"/>
        </w:rPr>
        <w:t xml:space="preserve"> made available so it </w:t>
      </w:r>
      <w:r w:rsidRPr="00A41451">
        <w:rPr>
          <w:rFonts w:ascii="Calibri" w:eastAsia="Calibri" w:hAnsi="Calibri" w:cs="Times New Roman"/>
          <w:sz w:val="24"/>
          <w:szCs w:val="24"/>
        </w:rPr>
        <w:t xml:space="preserve">should take no longer than 40 minutes </w:t>
      </w:r>
      <w:r>
        <w:rPr>
          <w:rFonts w:ascii="Calibri" w:eastAsia="Calibri" w:hAnsi="Calibri" w:cs="Times New Roman"/>
          <w:sz w:val="24"/>
          <w:szCs w:val="24"/>
        </w:rPr>
        <w:t>to complete (</w:t>
      </w:r>
      <w:r w:rsidRPr="00A41451">
        <w:rPr>
          <w:rFonts w:ascii="Calibri" w:eastAsia="Calibri" w:hAnsi="Calibri" w:cs="Times New Roman"/>
          <w:sz w:val="24"/>
          <w:szCs w:val="24"/>
        </w:rPr>
        <w:t>estimated no more than 60 items</w:t>
      </w:r>
      <w:r>
        <w:rPr>
          <w:rFonts w:ascii="Calibri" w:eastAsia="Calibri" w:hAnsi="Calibri" w:cs="Times New Roman"/>
          <w:sz w:val="24"/>
          <w:szCs w:val="24"/>
        </w:rPr>
        <w:t>)</w:t>
      </w:r>
      <w:r w:rsidRPr="00A41451">
        <w:rPr>
          <w:rFonts w:ascii="Calibri" w:eastAsia="Calibri" w:hAnsi="Calibri" w:cs="Times New Roman"/>
          <w:sz w:val="24"/>
          <w:szCs w:val="24"/>
        </w:rPr>
        <w:t xml:space="preserve">. </w:t>
      </w:r>
    </w:p>
    <w:p w14:paraId="0A7DA5C1" w14:textId="77777777" w:rsidR="00403B07" w:rsidRPr="00A41451" w:rsidRDefault="00403B07" w:rsidP="00403B07">
      <w:pPr>
        <w:rPr>
          <w:rFonts w:ascii="Calibri" w:eastAsia="Calibri" w:hAnsi="Calibri" w:cs="Times New Roman"/>
          <w:sz w:val="24"/>
          <w:szCs w:val="24"/>
        </w:rPr>
      </w:pPr>
      <w:r w:rsidRPr="00A41451">
        <w:rPr>
          <w:rFonts w:ascii="Calibri" w:eastAsia="Calibri" w:hAnsi="Calibri" w:cs="Times New Roman"/>
          <w:sz w:val="24"/>
          <w:szCs w:val="24"/>
        </w:rPr>
        <w:t>•</w:t>
      </w:r>
      <w:r>
        <w:rPr>
          <w:rFonts w:ascii="Calibri" w:eastAsia="Calibri" w:hAnsi="Calibri" w:cs="Times New Roman"/>
          <w:sz w:val="24"/>
          <w:szCs w:val="24"/>
        </w:rPr>
        <w:t xml:space="preserve"> Readability (language and sentence construction) needed to be appropriate for target age group (9-10 year olds) to avoid </w:t>
      </w:r>
      <w:r w:rsidRPr="00A41451">
        <w:rPr>
          <w:rFonts w:ascii="Calibri" w:eastAsia="Calibri" w:hAnsi="Calibri" w:cs="Times New Roman"/>
          <w:sz w:val="24"/>
          <w:szCs w:val="24"/>
        </w:rPr>
        <w:t>assessment of the child’s cognitive ability rather than the</w:t>
      </w:r>
      <w:r>
        <w:rPr>
          <w:rFonts w:ascii="Calibri" w:eastAsia="Calibri" w:hAnsi="Calibri" w:cs="Times New Roman"/>
          <w:sz w:val="24"/>
          <w:szCs w:val="24"/>
        </w:rPr>
        <w:t xml:space="preserve"> question construct.</w:t>
      </w:r>
    </w:p>
    <w:p w14:paraId="114C88BA" w14:textId="77777777" w:rsidR="00403B07" w:rsidRPr="00A41451" w:rsidRDefault="00403B07" w:rsidP="00403B07">
      <w:pPr>
        <w:rPr>
          <w:rFonts w:ascii="Calibri" w:eastAsia="Calibri" w:hAnsi="Calibri" w:cs="Times New Roman"/>
          <w:sz w:val="24"/>
          <w:szCs w:val="24"/>
        </w:rPr>
      </w:pPr>
      <w:r w:rsidRPr="00A41451">
        <w:rPr>
          <w:rFonts w:ascii="Calibri" w:eastAsia="Calibri" w:hAnsi="Calibri" w:cs="Times New Roman"/>
          <w:sz w:val="24"/>
          <w:szCs w:val="24"/>
        </w:rPr>
        <w:t>•</w:t>
      </w:r>
      <w:r>
        <w:rPr>
          <w:rFonts w:ascii="Calibri" w:eastAsia="Calibri" w:hAnsi="Calibri" w:cs="Times New Roman"/>
          <w:sz w:val="24"/>
          <w:szCs w:val="24"/>
        </w:rPr>
        <w:t xml:space="preserve"> Child friendly </w:t>
      </w:r>
      <w:r w:rsidRPr="00A41451">
        <w:rPr>
          <w:rFonts w:ascii="Calibri" w:eastAsia="Calibri" w:hAnsi="Calibri" w:cs="Times New Roman"/>
          <w:sz w:val="24"/>
          <w:szCs w:val="24"/>
        </w:rPr>
        <w:t>format to keep the target group interested and focussed on the task at hand</w:t>
      </w:r>
      <w:r>
        <w:rPr>
          <w:rFonts w:ascii="Calibri" w:eastAsia="Calibri" w:hAnsi="Calibri" w:cs="Times New Roman"/>
          <w:sz w:val="24"/>
          <w:szCs w:val="24"/>
        </w:rPr>
        <w:t>.</w:t>
      </w:r>
    </w:p>
    <w:p w14:paraId="4025F01B" w14:textId="19497229" w:rsidR="00403B07" w:rsidRPr="00A41451" w:rsidRDefault="00403B07" w:rsidP="00403B07">
      <w:pPr>
        <w:rPr>
          <w:rFonts w:ascii="Calibri" w:eastAsia="Calibri" w:hAnsi="Calibri" w:cs="Times New Roman"/>
          <w:sz w:val="24"/>
          <w:szCs w:val="24"/>
        </w:rPr>
      </w:pPr>
      <w:r w:rsidRPr="00A41451">
        <w:rPr>
          <w:rFonts w:ascii="Calibri" w:eastAsia="Calibri" w:hAnsi="Calibri" w:cs="Times New Roman"/>
          <w:sz w:val="24"/>
          <w:szCs w:val="24"/>
        </w:rPr>
        <w:t>•</w:t>
      </w:r>
      <w:r>
        <w:rPr>
          <w:rFonts w:ascii="Calibri" w:eastAsia="Calibri" w:hAnsi="Calibri" w:cs="Times New Roman"/>
          <w:sz w:val="24"/>
          <w:szCs w:val="24"/>
        </w:rPr>
        <w:t xml:space="preserve"> Items to allow for assessment of constructs over time, enabling the evaluation of any effects attributable to </w:t>
      </w:r>
      <w:r w:rsidRPr="00A41451">
        <w:rPr>
          <w:rFonts w:ascii="Calibri" w:eastAsia="Calibri" w:hAnsi="Calibri" w:cs="Times New Roman"/>
          <w:sz w:val="24"/>
          <w:szCs w:val="24"/>
        </w:rPr>
        <w:t>HeLP</w:t>
      </w:r>
      <w:r>
        <w:rPr>
          <w:rFonts w:ascii="Calibri" w:eastAsia="Calibri" w:hAnsi="Calibri" w:cs="Times New Roman"/>
          <w:sz w:val="24"/>
          <w:szCs w:val="24"/>
        </w:rPr>
        <w:t xml:space="preserve">. </w:t>
      </w:r>
      <w:r w:rsidRPr="00A41451">
        <w:rPr>
          <w:rFonts w:ascii="Calibri" w:eastAsia="Calibri" w:hAnsi="Calibri" w:cs="Times New Roman"/>
          <w:sz w:val="24"/>
          <w:szCs w:val="24"/>
        </w:rPr>
        <w:t xml:space="preserve"> </w:t>
      </w:r>
    </w:p>
    <w:p w14:paraId="0A791FEB" w14:textId="61226DCD" w:rsidR="00403B07" w:rsidRPr="00A41451" w:rsidRDefault="00403B07" w:rsidP="00403B07">
      <w:pPr>
        <w:rPr>
          <w:rFonts w:ascii="Calibri" w:eastAsia="Calibri" w:hAnsi="Calibri" w:cs="Times New Roman"/>
          <w:sz w:val="24"/>
          <w:szCs w:val="24"/>
        </w:rPr>
      </w:pPr>
      <w:r w:rsidRPr="00A41451">
        <w:rPr>
          <w:rFonts w:ascii="Calibri" w:eastAsia="Calibri" w:hAnsi="Calibri" w:cs="Times New Roman"/>
          <w:sz w:val="24"/>
          <w:szCs w:val="24"/>
        </w:rPr>
        <w:t>•</w:t>
      </w:r>
      <w:r>
        <w:rPr>
          <w:rFonts w:ascii="Calibri" w:eastAsia="Calibri" w:hAnsi="Calibri" w:cs="Times New Roman"/>
          <w:sz w:val="24"/>
          <w:szCs w:val="24"/>
        </w:rPr>
        <w:t xml:space="preserve"> K</w:t>
      </w:r>
      <w:r w:rsidRPr="00A41451">
        <w:rPr>
          <w:rFonts w:ascii="Calibri" w:eastAsia="Calibri" w:hAnsi="Calibri" w:cs="Times New Roman"/>
          <w:sz w:val="24"/>
          <w:szCs w:val="24"/>
        </w:rPr>
        <w:t xml:space="preserve">nowledge </w:t>
      </w:r>
      <w:r>
        <w:rPr>
          <w:rFonts w:ascii="Calibri" w:eastAsia="Calibri" w:hAnsi="Calibri" w:cs="Times New Roman"/>
          <w:sz w:val="24"/>
          <w:szCs w:val="24"/>
        </w:rPr>
        <w:t xml:space="preserve">items </w:t>
      </w:r>
      <w:r w:rsidRPr="00A41451">
        <w:rPr>
          <w:rFonts w:ascii="Calibri" w:eastAsia="Calibri" w:hAnsi="Calibri" w:cs="Times New Roman"/>
          <w:sz w:val="24"/>
          <w:szCs w:val="24"/>
        </w:rPr>
        <w:t xml:space="preserve">needed to be sufficiently challenging </w:t>
      </w:r>
      <w:r>
        <w:rPr>
          <w:rFonts w:ascii="Calibri" w:eastAsia="Calibri" w:hAnsi="Calibri" w:cs="Times New Roman"/>
          <w:sz w:val="24"/>
          <w:szCs w:val="24"/>
        </w:rPr>
        <w:t xml:space="preserve">to </w:t>
      </w:r>
      <w:r w:rsidRPr="00A41451">
        <w:rPr>
          <w:rFonts w:ascii="Calibri" w:eastAsia="Calibri" w:hAnsi="Calibri" w:cs="Times New Roman"/>
          <w:sz w:val="24"/>
          <w:szCs w:val="24"/>
        </w:rPr>
        <w:t>assess the key knowledge exchanged in HeLP</w:t>
      </w:r>
      <w:r>
        <w:rPr>
          <w:rFonts w:ascii="Calibri" w:eastAsia="Calibri" w:hAnsi="Calibri" w:cs="Times New Roman"/>
          <w:sz w:val="24"/>
          <w:szCs w:val="24"/>
        </w:rPr>
        <w:t>.</w:t>
      </w:r>
    </w:p>
    <w:p w14:paraId="63CA2142" w14:textId="77777777" w:rsidR="00403B07" w:rsidRDefault="00403B07" w:rsidP="00403B07">
      <w:pPr>
        <w:rPr>
          <w:rFonts w:ascii="Calibri" w:eastAsia="Calibri" w:hAnsi="Calibri" w:cs="Times New Roman"/>
          <w:sz w:val="24"/>
          <w:szCs w:val="24"/>
        </w:rPr>
      </w:pPr>
      <w:r w:rsidRPr="00A41451">
        <w:rPr>
          <w:rFonts w:ascii="Calibri" w:eastAsia="Calibri" w:hAnsi="Calibri" w:cs="Times New Roman"/>
          <w:sz w:val="24"/>
          <w:szCs w:val="24"/>
        </w:rPr>
        <w:t>•</w:t>
      </w:r>
      <w:r>
        <w:rPr>
          <w:rFonts w:ascii="Calibri" w:eastAsia="Calibri" w:hAnsi="Calibri" w:cs="Times New Roman"/>
          <w:sz w:val="24"/>
          <w:szCs w:val="24"/>
        </w:rPr>
        <w:t xml:space="preserve"> </w:t>
      </w:r>
      <w:r w:rsidRPr="00A41451">
        <w:rPr>
          <w:rFonts w:ascii="Calibri" w:eastAsia="Calibri" w:hAnsi="Calibri" w:cs="Times New Roman"/>
          <w:sz w:val="24"/>
          <w:szCs w:val="24"/>
        </w:rPr>
        <w:t xml:space="preserve">Assessment of </w:t>
      </w:r>
      <w:r>
        <w:rPr>
          <w:rFonts w:ascii="Calibri" w:eastAsia="Calibri" w:hAnsi="Calibri" w:cs="Times New Roman"/>
          <w:sz w:val="24"/>
          <w:szCs w:val="24"/>
        </w:rPr>
        <w:t xml:space="preserve">remaining </w:t>
      </w:r>
      <w:r w:rsidRPr="00A41451">
        <w:rPr>
          <w:rFonts w:ascii="Calibri" w:eastAsia="Calibri" w:hAnsi="Calibri" w:cs="Times New Roman"/>
          <w:sz w:val="24"/>
          <w:szCs w:val="24"/>
        </w:rPr>
        <w:t xml:space="preserve">constructs (individual motivations and cognitions, perceived environment and health behaviours) </w:t>
      </w:r>
      <w:r>
        <w:rPr>
          <w:rFonts w:ascii="Calibri" w:eastAsia="Calibri" w:hAnsi="Calibri" w:cs="Times New Roman"/>
          <w:sz w:val="24"/>
          <w:szCs w:val="24"/>
        </w:rPr>
        <w:t xml:space="preserve">to </w:t>
      </w:r>
      <w:r w:rsidRPr="00A41451">
        <w:rPr>
          <w:rFonts w:ascii="Calibri" w:eastAsia="Calibri" w:hAnsi="Calibri" w:cs="Times New Roman"/>
          <w:sz w:val="24"/>
          <w:szCs w:val="24"/>
        </w:rPr>
        <w:t>be measured at an ordinal level using Likert scales</w:t>
      </w:r>
      <w:r>
        <w:rPr>
          <w:rFonts w:ascii="Calibri" w:eastAsia="Calibri" w:hAnsi="Calibri" w:cs="Times New Roman"/>
          <w:sz w:val="24"/>
          <w:szCs w:val="24"/>
        </w:rPr>
        <w:t xml:space="preserve"> (as </w:t>
      </w:r>
      <w:r w:rsidRPr="00A41451">
        <w:rPr>
          <w:rFonts w:ascii="Calibri" w:eastAsia="Calibri" w:hAnsi="Calibri" w:cs="Times New Roman"/>
          <w:sz w:val="24"/>
          <w:szCs w:val="24"/>
        </w:rPr>
        <w:t xml:space="preserve">typical </w:t>
      </w:r>
      <w:r>
        <w:rPr>
          <w:rFonts w:ascii="Calibri" w:eastAsia="Calibri" w:hAnsi="Calibri" w:cs="Times New Roman"/>
          <w:sz w:val="24"/>
          <w:szCs w:val="24"/>
        </w:rPr>
        <w:t xml:space="preserve">in </w:t>
      </w:r>
      <w:r w:rsidRPr="00A41451">
        <w:rPr>
          <w:rFonts w:ascii="Calibri" w:eastAsia="Calibri" w:hAnsi="Calibri" w:cs="Times New Roman"/>
          <w:sz w:val="24"/>
          <w:szCs w:val="24"/>
        </w:rPr>
        <w:t>other questionnaires for children</w:t>
      </w:r>
      <w:r>
        <w:rPr>
          <w:rFonts w:ascii="Calibri" w:eastAsia="Calibri" w:hAnsi="Calibri" w:cs="Times New Roman"/>
          <w:sz w:val="24"/>
          <w:szCs w:val="24"/>
        </w:rPr>
        <w:t>)</w:t>
      </w:r>
      <w:r w:rsidRPr="00A41451">
        <w:rPr>
          <w:rFonts w:ascii="Calibri" w:eastAsia="Calibri" w:hAnsi="Calibri" w:cs="Times New Roman"/>
          <w:sz w:val="24"/>
          <w:szCs w:val="24"/>
        </w:rPr>
        <w:t>.</w:t>
      </w:r>
    </w:p>
    <w:p w14:paraId="5C6AC53B" w14:textId="642C4FD8" w:rsidR="00403B07" w:rsidRDefault="00403B07" w:rsidP="00403B07">
      <w:pPr>
        <w:rPr>
          <w:rFonts w:ascii="Calibri" w:eastAsia="Calibri" w:hAnsi="Calibri" w:cs="Times New Roman"/>
          <w:sz w:val="24"/>
          <w:szCs w:val="24"/>
        </w:rPr>
      </w:pPr>
      <w:r>
        <w:rPr>
          <w:rFonts w:ascii="Calibri" w:eastAsia="Calibri" w:hAnsi="Calibri" w:cs="Times New Roman"/>
          <w:sz w:val="24"/>
          <w:szCs w:val="24"/>
        </w:rPr>
        <w:t xml:space="preserve">Two further sources also informed the selection and formulation of items: </w:t>
      </w:r>
      <w:r w:rsidRPr="00A41451">
        <w:rPr>
          <w:rFonts w:ascii="Calibri" w:eastAsia="Calibri" w:hAnsi="Calibri" w:cs="Times New Roman"/>
          <w:sz w:val="24"/>
          <w:szCs w:val="24"/>
        </w:rPr>
        <w:t xml:space="preserve">the intervention mapping process used to create the HeLP </w:t>
      </w:r>
      <w:r>
        <w:rPr>
          <w:rFonts w:ascii="Calibri" w:eastAsia="Calibri" w:hAnsi="Calibri" w:cs="Times New Roman"/>
          <w:sz w:val="24"/>
          <w:szCs w:val="24"/>
        </w:rPr>
        <w:t>intervention</w:t>
      </w:r>
      <w:r>
        <w:rPr>
          <w:rFonts w:ascii="Calibri" w:eastAsia="Calibri" w:hAnsi="Calibri" w:cs="Times New Roman"/>
          <w:sz w:val="24"/>
          <w:szCs w:val="24"/>
        </w:rPr>
        <w:fldChar w:fldCharType="begin"/>
      </w:r>
      <w:r w:rsidR="00AB7764">
        <w:rPr>
          <w:rFonts w:ascii="Calibri" w:eastAsia="Calibri" w:hAnsi="Calibri" w:cs="Times New Roman"/>
          <w:sz w:val="24"/>
          <w:szCs w:val="24"/>
        </w:rPr>
        <w:instrText xml:space="preserve"> ADDIN EN.CITE &lt;EndNote&gt;&lt;Cite&gt;&lt;Author&gt;Lloyd&lt;/Author&gt;&lt;Year&gt;2011&lt;/Year&gt;&lt;RecNum&gt;3287&lt;/RecNum&gt;&lt;DisplayText&gt;&lt;style face="superscript"&gt;33&lt;/style&gt;&lt;/DisplayText&gt;&lt;record&gt;&lt;rec-number&gt;3287&lt;/rec-number&gt;&lt;foreign-keys&gt;&lt;key app="EN" db-id="2ewa9rrvjsdsawep2vpx5x97eedzzvxx5rta" timestamp="0"&gt;3287&lt;/key&gt;&lt;/foreign-keys&gt;&lt;ref-type name="Journal Article"&gt;17&lt;/ref-type&gt;&lt;contributors&gt;&lt;authors&gt;&lt;author&gt;Lloyd, J. J.&lt;/author&gt;&lt;author&gt;Logan, S.&lt;/author&gt;&lt;author&gt;Greaves, C. J.&lt;/author&gt;&lt;author&gt;Wyatt, K. M.&lt;/author&gt;&lt;/authors&gt;&lt;/contributors&gt;&lt;titles&gt;&lt;title&gt;Evidence, theory and context - using intervention mapping to develop a school-based intervention to prevent obesity in children&lt;/title&gt;&lt;secondary-title&gt;International Journal of Behavioral Nutrition and Physical Activity&lt;/secondary-title&gt;&lt;/titles&gt;&lt;periodical&gt;&lt;full-title&gt;International Journal of Behavioral Nutrition and Physical Activity&lt;/full-title&gt;&lt;abbr-1&gt;Int J Behav Nutr Phys Act&lt;/abbr-1&gt;&lt;/periodical&gt;&lt;pages&gt;73&lt;/pages&gt;&lt;volume&gt;8&lt;/volume&gt;&lt;number&gt;1&lt;/number&gt;&lt;edition&gt;2011/07/15&lt;/edition&gt;&lt;dates&gt;&lt;year&gt;2011&lt;/year&gt;&lt;pub-dates&gt;&lt;date&gt;Jul 13&lt;/date&gt;&lt;/pub-dates&gt;&lt;/dates&gt;&lt;isbn&gt;1479-5868 (Electronic)&amp;#xD;1479-5868 (Linking)&lt;/isbn&gt;&lt;accession-num&gt;21752261&lt;/accession-num&gt;&lt;urls&gt;&lt;related-urls&gt;&lt;url&gt;http://www.ncbi.nlm.nih.gov/pubmed/21752261&lt;/url&gt;&lt;/related-urls&gt;&lt;/urls&gt;&lt;electronic-resource-num&gt;1479-5868-8-73 [pii]&amp;#xD;10.1186/1479-5868-8-73&lt;/electronic-resource-num&gt;&lt;language&gt;Eng&lt;/language&gt;&lt;/record&gt;&lt;/Cite&gt;&lt;/EndNote&gt;</w:instrText>
      </w:r>
      <w:r>
        <w:rPr>
          <w:rFonts w:ascii="Calibri" w:eastAsia="Calibri" w:hAnsi="Calibri" w:cs="Times New Roman"/>
          <w:sz w:val="24"/>
          <w:szCs w:val="24"/>
        </w:rPr>
        <w:fldChar w:fldCharType="separate"/>
      </w:r>
      <w:r w:rsidR="006347BE" w:rsidRPr="006347BE">
        <w:rPr>
          <w:rFonts w:ascii="Calibri" w:eastAsia="Calibri" w:hAnsi="Calibri" w:cs="Times New Roman"/>
          <w:noProof/>
          <w:sz w:val="24"/>
          <w:szCs w:val="24"/>
          <w:vertAlign w:val="superscript"/>
        </w:rPr>
        <w:t>33</w:t>
      </w:r>
      <w:r>
        <w:rPr>
          <w:rFonts w:ascii="Calibri" w:eastAsia="Calibri" w:hAnsi="Calibri" w:cs="Times New Roman"/>
          <w:sz w:val="24"/>
          <w:szCs w:val="24"/>
        </w:rPr>
        <w:fldChar w:fldCharType="end"/>
      </w:r>
      <w:r w:rsidRPr="00A41451">
        <w:rPr>
          <w:rFonts w:ascii="Calibri" w:eastAsia="Calibri" w:hAnsi="Calibri" w:cs="Times New Roman"/>
          <w:sz w:val="24"/>
          <w:szCs w:val="24"/>
        </w:rPr>
        <w:t xml:space="preserve"> and previously published related questionnaires </w:t>
      </w:r>
      <w:r>
        <w:rPr>
          <w:rFonts w:ascii="Calibri" w:eastAsia="Calibri" w:hAnsi="Calibri" w:cs="Times New Roman"/>
          <w:sz w:val="24"/>
          <w:szCs w:val="24"/>
        </w:rPr>
        <w:t xml:space="preserve"> </w:t>
      </w:r>
      <w:r>
        <w:rPr>
          <w:rFonts w:ascii="Calibri" w:eastAsia="Calibri" w:hAnsi="Calibri" w:cs="Times New Roman"/>
          <w:sz w:val="24"/>
          <w:szCs w:val="24"/>
        </w:rPr>
        <w:fldChar w:fldCharType="begin">
          <w:fldData xml:space="preserve">PEVuZE5vdGU+PENpdGU+PEF1dGhvcj5QYXJjZWw8L0F1dGhvcj48WWVhcj4xOTk1PC9ZZWFyPjxS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</w:fldData>
        </w:fldChar>
      </w:r>
      <w:r w:rsidR="006B3301">
        <w:rPr>
          <w:rFonts w:ascii="Calibri" w:eastAsia="Calibri" w:hAnsi="Calibri" w:cs="Times New Roman"/>
          <w:sz w:val="24"/>
          <w:szCs w:val="24"/>
        </w:rPr>
        <w:instrText xml:space="preserve"> ADDIN EN.CITE </w:instrText>
      </w:r>
      <w:r w:rsidR="006B3301">
        <w:rPr>
          <w:rFonts w:ascii="Calibri" w:eastAsia="Calibri" w:hAnsi="Calibri" w:cs="Times New Roman"/>
          <w:sz w:val="24"/>
          <w:szCs w:val="24"/>
        </w:rPr>
        <w:fldChar w:fldCharType="begin">
          <w:fldData xml:space="preserve">PEVuZE5vdGU+PENpdGU+PEF1dGhvcj5QYXJjZWw8L0F1dGhvcj48WWVhcj4xOTk1PC9ZZWFyPjxS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</w:fldData>
        </w:fldChar>
      </w:r>
      <w:r w:rsidR="006B3301">
        <w:rPr>
          <w:rFonts w:ascii="Calibri" w:eastAsia="Calibri" w:hAnsi="Calibri" w:cs="Times New Roman"/>
          <w:sz w:val="24"/>
          <w:szCs w:val="24"/>
        </w:rPr>
        <w:instrText xml:space="preserve"> ADDIN EN.CITE.DATA </w:instrText>
      </w:r>
      <w:r w:rsidR="006B3301">
        <w:rPr>
          <w:rFonts w:ascii="Calibri" w:eastAsia="Calibri" w:hAnsi="Calibri" w:cs="Times New Roman"/>
          <w:sz w:val="24"/>
          <w:szCs w:val="24"/>
        </w:rPr>
      </w:r>
      <w:r w:rsidR="006B3301">
        <w:rPr>
          <w:rFonts w:ascii="Calibri" w:eastAsia="Calibri" w:hAnsi="Calibri" w:cs="Times New Roman"/>
          <w:sz w:val="24"/>
          <w:szCs w:val="24"/>
        </w:rPr>
        <w:fldChar w:fldCharType="end"/>
      </w:r>
      <w:r>
        <w:rPr>
          <w:rFonts w:ascii="Calibri" w:eastAsia="Calibri" w:hAnsi="Calibri" w:cs="Times New Roman"/>
          <w:sz w:val="24"/>
          <w:szCs w:val="24"/>
        </w:rPr>
      </w:r>
      <w:r>
        <w:rPr>
          <w:rFonts w:ascii="Calibri" w:eastAsia="Calibri" w:hAnsi="Calibri" w:cs="Times New Roman"/>
          <w:sz w:val="24"/>
          <w:szCs w:val="24"/>
        </w:rPr>
        <w:fldChar w:fldCharType="separate"/>
      </w:r>
      <w:r w:rsidR="006B3301" w:rsidRPr="006B3301">
        <w:rPr>
          <w:rFonts w:ascii="Calibri" w:eastAsia="Calibri" w:hAnsi="Calibri" w:cs="Times New Roman"/>
          <w:noProof/>
          <w:sz w:val="24"/>
          <w:szCs w:val="24"/>
          <w:vertAlign w:val="superscript"/>
        </w:rPr>
        <w:t>147-150</w:t>
      </w:r>
      <w:r>
        <w:rPr>
          <w:rFonts w:ascii="Calibri" w:eastAsia="Calibri" w:hAnsi="Calibri" w:cs="Times New Roman"/>
          <w:sz w:val="24"/>
          <w:szCs w:val="24"/>
        </w:rPr>
        <w:fldChar w:fldCharType="end"/>
      </w:r>
      <w:r w:rsidRPr="007B4CB9">
        <w:rPr>
          <w:rFonts w:ascii="Calibri" w:eastAsia="Calibri" w:hAnsi="Calibri" w:cs="Times New Roman"/>
          <w:sz w:val="24"/>
          <w:szCs w:val="24"/>
        </w:rPr>
        <w:t>.</w:t>
      </w:r>
    </w:p>
    <w:p w14:paraId="071D43A0" w14:textId="372BFF97" w:rsidR="00403B07" w:rsidRPr="00186586" w:rsidRDefault="00403B07" w:rsidP="00403B07">
      <w:pPr>
        <w:rPr>
          <w:rFonts w:ascii="Calibri" w:eastAsia="Calibri" w:hAnsi="Calibri" w:cs="Times New Roman"/>
          <w:sz w:val="24"/>
          <w:szCs w:val="24"/>
        </w:rPr>
      </w:pPr>
      <w:r>
        <w:rPr>
          <w:rFonts w:ascii="Calibri" w:eastAsia="Calibri" w:hAnsi="Calibri" w:cs="Times New Roman"/>
          <w:sz w:val="24"/>
          <w:szCs w:val="24"/>
        </w:rPr>
        <w:t>T</w:t>
      </w:r>
      <w:r w:rsidRPr="00186586">
        <w:rPr>
          <w:rFonts w:ascii="Calibri" w:eastAsia="Calibri" w:hAnsi="Calibri" w:cs="Times New Roman"/>
          <w:sz w:val="24"/>
          <w:szCs w:val="24"/>
        </w:rPr>
        <w:t>he</w:t>
      </w:r>
      <w:r>
        <w:rPr>
          <w:rFonts w:ascii="Calibri" w:eastAsia="Calibri" w:hAnsi="Calibri" w:cs="Times New Roman"/>
          <w:sz w:val="24"/>
          <w:szCs w:val="24"/>
        </w:rPr>
        <w:t xml:space="preserve"> research team selected 52 items for</w:t>
      </w:r>
      <w:r w:rsidRPr="00186586">
        <w:rPr>
          <w:rFonts w:ascii="Calibri" w:eastAsia="Calibri" w:hAnsi="Calibri" w:cs="Times New Roman"/>
          <w:sz w:val="24"/>
          <w:szCs w:val="24"/>
        </w:rPr>
        <w:t xml:space="preserve"> first draft the MLQ</w:t>
      </w:r>
      <w:r>
        <w:rPr>
          <w:rFonts w:ascii="Calibri" w:eastAsia="Calibri" w:hAnsi="Calibri" w:cs="Times New Roman"/>
          <w:sz w:val="24"/>
          <w:szCs w:val="24"/>
        </w:rPr>
        <w:t xml:space="preserve">. </w:t>
      </w:r>
      <w:r w:rsidRPr="00186586">
        <w:rPr>
          <w:rFonts w:ascii="Calibri" w:eastAsia="Calibri" w:hAnsi="Calibri" w:cs="Times New Roman"/>
          <w:sz w:val="24"/>
          <w:szCs w:val="24"/>
        </w:rPr>
        <w:t xml:space="preserve"> The Information-Motivation-Behavioural Skills </w:t>
      </w:r>
      <w:r w:rsidRPr="00A868C3">
        <w:rPr>
          <w:rFonts w:ascii="Calibri" w:eastAsia="Calibri" w:hAnsi="Calibri" w:cs="Times New Roman"/>
          <w:sz w:val="24"/>
          <w:szCs w:val="24"/>
        </w:rPr>
        <w:t xml:space="preserve">model </w:t>
      </w:r>
      <w:r>
        <w:rPr>
          <w:rFonts w:ascii="Calibri" w:eastAsia="Calibri" w:hAnsi="Calibri" w:cs="Times New Roman"/>
          <w:sz w:val="24"/>
          <w:szCs w:val="24"/>
        </w:rPr>
        <w:fldChar w:fldCharType="begin"/>
      </w:r>
      <w:r w:rsidR="006B3301">
        <w:rPr>
          <w:rFonts w:ascii="Calibri" w:eastAsia="Calibri" w:hAnsi="Calibri" w:cs="Times New Roman"/>
          <w:sz w:val="24"/>
          <w:szCs w:val="24"/>
        </w:rPr>
        <w:instrText xml:space="preserve"> ADDIN EN.CITE &lt;EndNote&gt;&lt;Cite&gt;&lt;Author&gt;Fisher&lt;/Author&gt;&lt;Year&gt;2002&lt;/Year&gt;&lt;RecNum&gt;3691&lt;/RecNum&gt;&lt;DisplayText&gt;&lt;style face="superscript"&gt;151&lt;/style&gt;&lt;/DisplayText&gt;&lt;record&gt;&lt;rec-number&gt;3691&lt;/rec-number&gt;&lt;foreign-keys&gt;&lt;key app="EN" db-id="2ewa9rrvjsdsawep2vpx5x97eedzzvxx5rta" timestamp="0"&gt;3691&lt;/key&gt;&lt;/foreign-keys&gt;&lt;ref-type name="Journal Article"&gt;17&lt;/ref-type&gt;&lt;contributors&gt;&lt;authors&gt;&lt;author&gt;Fisher, J. D.&lt;/author&gt;&lt;author&gt;Fisher, W A&lt;/author&gt;&lt;author&gt;Bryan, A&lt;/author&gt;&lt;author&gt;Misovich, S.J.&lt;/author&gt;&lt;/authors&gt;&lt;/contributors&gt;&lt;titles&gt;&lt;title&gt;Information-Motivation-Behavioral Skills Model-Based HIV Risk Behavior Change Intervention for Inner-City School Youth&lt;/title&gt;&lt;secondary-title&gt;Health Psychology&lt;/secondary-title&gt;&lt;/titles&gt;&lt;periodical&gt;&lt;full-title&gt;Health Psychology&lt;/full-title&gt;&lt;abbr-1&gt;Health Psychol.&lt;/abbr-1&gt;&lt;abbr-2&gt;Health Psychol&lt;/abbr-2&gt;&lt;/periodical&gt;&lt;pages&gt;177-186&lt;/pages&gt;&lt;volume&gt;21&lt;/volume&gt;&lt;number&gt;2&lt;/number&gt;&lt;section&gt;177&lt;/section&gt;&lt;dates&gt;&lt;year&gt;2002&lt;/year&gt;&lt;/dates&gt;&lt;urls&gt;&lt;/urls&gt;&lt;electronic-resource-num&gt;10.1037//0728-6.21.2.177&lt;/electronic-resource-num&gt;&lt;/record&gt;&lt;/Cite&gt;&lt;/EndNote&gt;</w:instrText>
      </w:r>
      <w:r>
        <w:rPr>
          <w:rFonts w:ascii="Calibri" w:eastAsia="Calibri" w:hAnsi="Calibri" w:cs="Times New Roman"/>
          <w:sz w:val="24"/>
          <w:szCs w:val="24"/>
        </w:rPr>
        <w:fldChar w:fldCharType="separate"/>
      </w:r>
      <w:r w:rsidR="006B3301" w:rsidRPr="006B3301">
        <w:rPr>
          <w:rFonts w:ascii="Calibri" w:eastAsia="Calibri" w:hAnsi="Calibri" w:cs="Times New Roman"/>
          <w:noProof/>
          <w:sz w:val="24"/>
          <w:szCs w:val="24"/>
          <w:vertAlign w:val="superscript"/>
        </w:rPr>
        <w:t>151</w:t>
      </w:r>
      <w:r>
        <w:rPr>
          <w:rFonts w:ascii="Calibri" w:eastAsia="Calibri" w:hAnsi="Calibri" w:cs="Times New Roman"/>
          <w:sz w:val="24"/>
          <w:szCs w:val="24"/>
        </w:rPr>
        <w:fldChar w:fldCharType="end"/>
      </w:r>
      <w:r w:rsidRPr="00186586">
        <w:rPr>
          <w:rFonts w:ascii="Calibri" w:eastAsia="Calibri" w:hAnsi="Calibri" w:cs="Times New Roman"/>
          <w:sz w:val="24"/>
          <w:szCs w:val="24"/>
        </w:rPr>
        <w:t xml:space="preserve"> which underpinned the mapping of the HeLP intervention provided the top level categorisation of the</w:t>
      </w:r>
      <w:r>
        <w:rPr>
          <w:rFonts w:ascii="Calibri" w:eastAsia="Calibri" w:hAnsi="Calibri" w:cs="Times New Roman"/>
          <w:sz w:val="24"/>
          <w:szCs w:val="24"/>
        </w:rPr>
        <w:t>se</w:t>
      </w:r>
      <w:r w:rsidRPr="00186586">
        <w:rPr>
          <w:rFonts w:ascii="Calibri" w:eastAsia="Calibri" w:hAnsi="Calibri" w:cs="Times New Roman"/>
          <w:sz w:val="24"/>
          <w:szCs w:val="24"/>
        </w:rPr>
        <w:t xml:space="preserve"> items</w:t>
      </w:r>
      <w:r>
        <w:rPr>
          <w:rFonts w:ascii="Calibri" w:eastAsia="Calibri" w:hAnsi="Calibri" w:cs="Times New Roman"/>
          <w:sz w:val="24"/>
          <w:szCs w:val="24"/>
        </w:rPr>
        <w:t xml:space="preserve"> which</w:t>
      </w:r>
      <w:r w:rsidRPr="00186586">
        <w:rPr>
          <w:rFonts w:ascii="Calibri" w:eastAsia="Calibri" w:hAnsi="Calibri" w:cs="Times New Roman"/>
          <w:sz w:val="24"/>
          <w:szCs w:val="24"/>
        </w:rPr>
        <w:t xml:space="preserve"> were then divided into further sections according to more specific behaviour change principles, theories or techniques.  </w:t>
      </w:r>
    </w:p>
    <w:p w14:paraId="08B806C7" w14:textId="77777777" w:rsidR="00403B07" w:rsidRPr="00186586" w:rsidRDefault="00403B07" w:rsidP="00403B07">
      <w:pPr>
        <w:rPr>
          <w:rFonts w:ascii="Calibri" w:eastAsia="Calibri" w:hAnsi="Calibri" w:cs="Times New Roman"/>
          <w:i/>
          <w:sz w:val="24"/>
          <w:szCs w:val="24"/>
        </w:rPr>
      </w:pPr>
      <w:r w:rsidRPr="00186586">
        <w:rPr>
          <w:rFonts w:ascii="Calibri" w:eastAsia="Calibri" w:hAnsi="Calibri" w:cs="Times New Roman"/>
          <w:i/>
          <w:sz w:val="24"/>
          <w:szCs w:val="24"/>
        </w:rPr>
        <w:t>Phase 2 Initial pilot and field testing for face validity and content validity</w:t>
      </w:r>
    </w:p>
    <w:p w14:paraId="16E8B5DF" w14:textId="77777777" w:rsidR="00403B07" w:rsidRPr="00186586" w:rsidRDefault="00403B07" w:rsidP="00403B07">
      <w:pPr>
        <w:rPr>
          <w:rFonts w:ascii="Calibri" w:eastAsia="Calibri" w:hAnsi="Calibri" w:cs="Times New Roman"/>
          <w:sz w:val="24"/>
          <w:szCs w:val="24"/>
        </w:rPr>
      </w:pPr>
      <w:r w:rsidRPr="00186586">
        <w:rPr>
          <w:rFonts w:ascii="Calibri" w:eastAsia="Calibri" w:hAnsi="Calibri" w:cs="Times New Roman"/>
          <w:sz w:val="24"/>
          <w:szCs w:val="24"/>
        </w:rPr>
        <w:t xml:space="preserve">The first MLQ draft was piloted on 12 children who completed the form at home and their parents were asked to provide feedback on the child’s understanding of the questions and the time taken to complete it.  This feedback was incorporated before field testing a revised version of the MLQ in two schools with 102 children aged 9-10 years. In school A the 57 children were asked to complete the questionnaire in their own time with researchers and teachers available for support and guidance if needed. In school B the 45 children completed the questionnaire as a whole class activity and any child with additional learning needs was given extra support outside of the main classroom.  The purpose of this fieldwork was to further test the applicability, comprehensibility, ease of completion, appropriateness of instructions, items and response format, overall presentation of the questionnaire and time taken to complete. Any items or formatting issues that were found to be problematic </w:t>
      </w:r>
      <w:r w:rsidRPr="00186586">
        <w:rPr>
          <w:rFonts w:ascii="Calibri" w:eastAsia="Calibri" w:hAnsi="Calibri" w:cs="Times New Roman"/>
          <w:sz w:val="24"/>
          <w:szCs w:val="24"/>
        </w:rPr>
        <w:lastRenderedPageBreak/>
        <w:t>by either the children or the teachers were removed or amended. Problematic items were defined as those which were ambiguously worded, difficult to understand or score.  This Phase ended with 50 item</w:t>
      </w:r>
      <w:r>
        <w:rPr>
          <w:rFonts w:ascii="Calibri" w:eastAsia="Calibri" w:hAnsi="Calibri" w:cs="Times New Roman"/>
          <w:sz w:val="24"/>
          <w:szCs w:val="24"/>
        </w:rPr>
        <w:t xml:space="preserve">s and this </w:t>
      </w:r>
      <w:r w:rsidRPr="00186586">
        <w:rPr>
          <w:rFonts w:ascii="Calibri" w:eastAsia="Calibri" w:hAnsi="Calibri" w:cs="Times New Roman"/>
          <w:sz w:val="24"/>
          <w:szCs w:val="24"/>
        </w:rPr>
        <w:t>was then used in the HeLP trial.</w:t>
      </w:r>
    </w:p>
    <w:p w14:paraId="7895DA9D" w14:textId="77777777" w:rsidR="00403B07" w:rsidRPr="00186586" w:rsidRDefault="00403B07" w:rsidP="00403B07">
      <w:pPr>
        <w:rPr>
          <w:rFonts w:ascii="Calibri" w:eastAsia="Calibri" w:hAnsi="Calibri" w:cs="Times New Roman"/>
          <w:i/>
          <w:sz w:val="24"/>
          <w:szCs w:val="24"/>
        </w:rPr>
      </w:pPr>
      <w:r w:rsidRPr="00186586">
        <w:rPr>
          <w:rFonts w:ascii="Calibri" w:eastAsia="Calibri" w:hAnsi="Calibri" w:cs="Times New Roman"/>
          <w:i/>
          <w:sz w:val="24"/>
          <w:szCs w:val="24"/>
        </w:rPr>
        <w:t xml:space="preserve">Phase 3 Psychometric evaluation </w:t>
      </w:r>
    </w:p>
    <w:p w14:paraId="27F0B87D" w14:textId="77777777" w:rsidR="00403B07" w:rsidRPr="00186586" w:rsidRDefault="00403B07" w:rsidP="00403B07">
      <w:pPr>
        <w:rPr>
          <w:rFonts w:ascii="Calibri" w:eastAsia="Calibri" w:hAnsi="Calibri" w:cs="Times New Roman"/>
          <w:sz w:val="24"/>
          <w:szCs w:val="24"/>
        </w:rPr>
      </w:pPr>
      <w:r w:rsidRPr="00186586">
        <w:rPr>
          <w:rFonts w:ascii="Calibri" w:eastAsia="Calibri" w:hAnsi="Calibri" w:cs="Times New Roman"/>
          <w:sz w:val="24"/>
          <w:szCs w:val="24"/>
        </w:rPr>
        <w:t>The 50 item MLQ was part of the baseline and 12 month data collection of all children involved in the HeLP trial (intervention and control schools from both cohorts). The MLQ was administered during a classroom session assigned to the HeLP intervention and children were supported to complete all sections by their teacher and the HeLP co-ordinator</w:t>
      </w:r>
      <w:r>
        <w:rPr>
          <w:rFonts w:ascii="Calibri" w:eastAsia="Calibri" w:hAnsi="Calibri" w:cs="Times New Roman"/>
          <w:sz w:val="24"/>
          <w:szCs w:val="24"/>
        </w:rPr>
        <w:t xml:space="preserve"> (HC)</w:t>
      </w:r>
      <w:r w:rsidRPr="00186586">
        <w:rPr>
          <w:rFonts w:ascii="Calibri" w:eastAsia="Calibri" w:hAnsi="Calibri" w:cs="Times New Roman"/>
          <w:sz w:val="24"/>
          <w:szCs w:val="24"/>
        </w:rPr>
        <w:t xml:space="preserve">. </w:t>
      </w:r>
      <w:r>
        <w:rPr>
          <w:rFonts w:ascii="Calibri" w:eastAsia="Calibri" w:hAnsi="Calibri" w:cs="Times New Roman"/>
          <w:sz w:val="24"/>
          <w:szCs w:val="24"/>
        </w:rPr>
        <w:t>T</w:t>
      </w:r>
      <w:r w:rsidRPr="00922AB3">
        <w:rPr>
          <w:rFonts w:ascii="Calibri" w:eastAsia="Calibri" w:hAnsi="Calibri" w:cs="Times New Roman"/>
          <w:sz w:val="24"/>
          <w:szCs w:val="24"/>
        </w:rPr>
        <w:t xml:space="preserve">he MLQ data </w:t>
      </w:r>
      <w:r>
        <w:rPr>
          <w:rFonts w:ascii="Calibri" w:eastAsia="Calibri" w:hAnsi="Calibri" w:cs="Times New Roman"/>
          <w:sz w:val="24"/>
          <w:szCs w:val="24"/>
        </w:rPr>
        <w:t xml:space="preserve">was collected </w:t>
      </w:r>
      <w:r w:rsidRPr="00922AB3">
        <w:rPr>
          <w:rFonts w:ascii="Calibri" w:eastAsia="Calibri" w:hAnsi="Calibri" w:cs="Times New Roman"/>
          <w:sz w:val="24"/>
          <w:szCs w:val="24"/>
        </w:rPr>
        <w:t xml:space="preserve">during a lesson </w:t>
      </w:r>
      <w:r>
        <w:rPr>
          <w:rFonts w:ascii="Calibri" w:eastAsia="Calibri" w:hAnsi="Calibri" w:cs="Times New Roman"/>
          <w:sz w:val="24"/>
          <w:szCs w:val="24"/>
        </w:rPr>
        <w:t>when the HCs</w:t>
      </w:r>
      <w:r w:rsidRPr="00922AB3">
        <w:rPr>
          <w:rFonts w:ascii="Calibri" w:eastAsia="Calibri" w:hAnsi="Calibri" w:cs="Times New Roman"/>
          <w:sz w:val="24"/>
          <w:szCs w:val="24"/>
        </w:rPr>
        <w:t xml:space="preserve"> read the questio</w:t>
      </w:r>
      <w:r>
        <w:rPr>
          <w:rFonts w:ascii="Calibri" w:eastAsia="Calibri" w:hAnsi="Calibri" w:cs="Times New Roman"/>
          <w:sz w:val="24"/>
          <w:szCs w:val="24"/>
        </w:rPr>
        <w:t xml:space="preserve">ns from the front of the class and </w:t>
      </w:r>
      <w:r w:rsidRPr="00922AB3">
        <w:rPr>
          <w:rFonts w:ascii="Calibri" w:eastAsia="Calibri" w:hAnsi="Calibri" w:cs="Times New Roman"/>
          <w:sz w:val="24"/>
          <w:szCs w:val="24"/>
        </w:rPr>
        <w:t>the children complet</w:t>
      </w:r>
      <w:r>
        <w:rPr>
          <w:rFonts w:ascii="Calibri" w:eastAsia="Calibri" w:hAnsi="Calibri" w:cs="Times New Roman"/>
          <w:sz w:val="24"/>
          <w:szCs w:val="24"/>
        </w:rPr>
        <w:t>ed</w:t>
      </w:r>
      <w:r w:rsidRPr="00922AB3">
        <w:rPr>
          <w:rFonts w:ascii="Calibri" w:eastAsia="Calibri" w:hAnsi="Calibri" w:cs="Times New Roman"/>
          <w:sz w:val="24"/>
          <w:szCs w:val="24"/>
        </w:rPr>
        <w:t xml:space="preserve"> the questionnaire at the same time in silence. Clarifications were given for specific questions. A poster was produced to demonstrate percentages so that the children were able to understand question 4 in the Knowledge section. Children with additional needs completed the questionnaire in a smaller group outside of the classroom with an additional researcher.</w:t>
      </w:r>
    </w:p>
    <w:p w14:paraId="58E26C33" w14:textId="77777777" w:rsidR="00403B07" w:rsidRPr="00186586" w:rsidRDefault="00403B07" w:rsidP="00403B07">
      <w:pPr>
        <w:rPr>
          <w:rFonts w:ascii="Calibri" w:eastAsia="Calibri" w:hAnsi="Calibri" w:cs="Times New Roman"/>
          <w:sz w:val="24"/>
          <w:szCs w:val="24"/>
        </w:rPr>
      </w:pPr>
      <w:r w:rsidRPr="00186586">
        <w:rPr>
          <w:rFonts w:ascii="Calibri" w:eastAsia="Calibri" w:hAnsi="Calibri" w:cs="Times New Roman"/>
          <w:sz w:val="24"/>
          <w:szCs w:val="24"/>
        </w:rPr>
        <w:t xml:space="preserve">Data were double entered and cleaned with any reverse scoring items re-coded. Spoilt and missing values were coded as missing data.  </w:t>
      </w:r>
    </w:p>
    <w:p w14:paraId="015DC3BD" w14:textId="77777777" w:rsidR="00403B07" w:rsidRPr="00186586" w:rsidRDefault="00403B07" w:rsidP="00403B07">
      <w:pPr>
        <w:rPr>
          <w:rFonts w:ascii="Calibri" w:eastAsia="Calibri" w:hAnsi="Calibri" w:cs="Times New Roman"/>
          <w:sz w:val="24"/>
          <w:szCs w:val="24"/>
        </w:rPr>
      </w:pPr>
      <w:r w:rsidRPr="00186586">
        <w:rPr>
          <w:rFonts w:ascii="Calibri" w:eastAsia="Calibri" w:hAnsi="Calibri" w:cs="Times New Roman"/>
          <w:sz w:val="24"/>
          <w:szCs w:val="24"/>
        </w:rPr>
        <w:t xml:space="preserve">The first MLQ section contained five Knowledge items (with ‘Knowledge’ relating to the Information component of the IMB model).  Responses from each child were summed to give a Knowledge total score (ranging from 0 to 20). </w:t>
      </w:r>
    </w:p>
    <w:p w14:paraId="052AC9A9" w14:textId="23D66B16" w:rsidR="00403B07" w:rsidRPr="00186586" w:rsidRDefault="00403B07" w:rsidP="00403B07">
      <w:pPr>
        <w:rPr>
          <w:rFonts w:ascii="Calibri" w:eastAsia="Calibri" w:hAnsi="Calibri" w:cs="Times New Roman"/>
          <w:sz w:val="24"/>
          <w:szCs w:val="24"/>
        </w:rPr>
      </w:pPr>
      <w:r w:rsidRPr="00186586">
        <w:rPr>
          <w:rFonts w:ascii="Calibri" w:eastAsia="Calibri" w:hAnsi="Calibri" w:cs="Times New Roman"/>
          <w:sz w:val="24"/>
          <w:szCs w:val="24"/>
        </w:rPr>
        <w:t xml:space="preserve">The remaining MLQ sections contained 45 Likert scale items. In order to check the psychometric properties of the MLQ the baseline dataset and the 12 month dataset were then each split into two further datasets (A and B) by taking alternate entries from the master database, this ensured each sample contained similar numbers from both cohorts of the HeLP Trial.  Each Likert </w:t>
      </w:r>
      <w:r>
        <w:rPr>
          <w:rFonts w:ascii="Calibri" w:eastAsia="Calibri" w:hAnsi="Calibri" w:cs="Times New Roman"/>
          <w:sz w:val="24"/>
          <w:szCs w:val="24"/>
        </w:rPr>
        <w:t>s</w:t>
      </w:r>
      <w:r w:rsidRPr="00186586">
        <w:rPr>
          <w:rFonts w:ascii="Calibri" w:eastAsia="Calibri" w:hAnsi="Calibri" w:cs="Times New Roman"/>
          <w:sz w:val="24"/>
          <w:szCs w:val="24"/>
        </w:rPr>
        <w:t xml:space="preserve">cale item was then screened for reading ease score, mean, SD, </w:t>
      </w:r>
      <w:r>
        <w:rPr>
          <w:rFonts w:ascii="Calibri" w:eastAsia="Calibri" w:hAnsi="Calibri" w:cs="Times New Roman"/>
          <w:sz w:val="24"/>
          <w:szCs w:val="24"/>
        </w:rPr>
        <w:t xml:space="preserve">ceiling and floor effects and </w:t>
      </w:r>
      <w:r w:rsidRPr="00186586">
        <w:rPr>
          <w:rFonts w:ascii="Calibri" w:eastAsia="Calibri" w:hAnsi="Calibri" w:cs="Times New Roman"/>
          <w:sz w:val="24"/>
          <w:szCs w:val="24"/>
        </w:rPr>
        <w:t>inter-item correlations</w:t>
      </w:r>
      <w:r>
        <w:rPr>
          <w:rFonts w:ascii="Calibri" w:eastAsia="Calibri" w:hAnsi="Calibri" w:cs="Times New Roman"/>
          <w:sz w:val="24"/>
          <w:szCs w:val="24"/>
        </w:rPr>
        <w:t xml:space="preserve">. We pre- specified the criteria </w:t>
      </w:r>
      <w:r>
        <w:rPr>
          <w:rFonts w:ascii="Calibri" w:eastAsia="Calibri" w:hAnsi="Calibri" w:cs="Times New Roman"/>
          <w:sz w:val="24"/>
          <w:szCs w:val="24"/>
        </w:rPr>
        <w:fldChar w:fldCharType="begin"/>
      </w:r>
      <w:r w:rsidR="006B3301">
        <w:rPr>
          <w:rFonts w:ascii="Calibri" w:eastAsia="Calibri" w:hAnsi="Calibri" w:cs="Times New Roman"/>
          <w:sz w:val="24"/>
          <w:szCs w:val="24"/>
        </w:rPr>
        <w:instrText xml:space="preserve"> ADDIN EN.CITE &lt;EndNote&gt;&lt;Cite&gt;&lt;Author&gt;De Vet&lt;/Author&gt;&lt;Year&gt;2011&lt;/Year&gt;&lt;RecNum&gt;3836&lt;/RecNum&gt;&lt;DisplayText&gt;&lt;style face="superscript"&gt;146&lt;/style&gt;&lt;/DisplayText&gt;&lt;record&gt;&lt;rec-number&gt;3836&lt;/rec-number&gt;&lt;foreign-keys&gt;&lt;key app="EN" db-id="2ewa9rrvjsdsawep2vpx5x97eedzzvxx5rta" timestamp="0"&gt;3836&lt;/key&gt;&lt;/foreign-keys&gt;&lt;ref-type name="Book"&gt;6&lt;/ref-type&gt;&lt;contributors&gt;&lt;authors&gt;&lt;author&gt;De Vet, H.C.W.&lt;/author&gt;&lt;author&gt;Terwee, C.B.&lt;/author&gt;&lt;author&gt;Mokkink, L.B.&lt;/author&gt;&lt;author&gt;Knol, D.L.&lt;/author&gt;&lt;/authors&gt;&lt;/contributors&gt;&lt;titles&gt;&lt;title&gt;Measurement in medicine: a practical guide&lt;/title&gt;&lt;/titles&gt;&lt;dates&gt;&lt;year&gt;2011&lt;/year&gt;&lt;/dates&gt;&lt;publisher&gt;Cambridge University Press&lt;/publisher&gt;&lt;isbn&gt;0521118204&lt;/isbn&gt;&lt;urls&gt;&lt;/urls&gt;&lt;/record&gt;&lt;/Cite&gt;&lt;/EndNote&gt;</w:instrText>
      </w:r>
      <w:r>
        <w:rPr>
          <w:rFonts w:ascii="Calibri" w:eastAsia="Calibri" w:hAnsi="Calibri" w:cs="Times New Roman"/>
          <w:sz w:val="24"/>
          <w:szCs w:val="24"/>
        </w:rPr>
        <w:fldChar w:fldCharType="separate"/>
      </w:r>
      <w:r w:rsidR="006B3301" w:rsidRPr="006B3301">
        <w:rPr>
          <w:rFonts w:ascii="Calibri" w:eastAsia="Calibri" w:hAnsi="Calibri" w:cs="Times New Roman"/>
          <w:noProof/>
          <w:sz w:val="24"/>
          <w:szCs w:val="24"/>
          <w:vertAlign w:val="superscript"/>
        </w:rPr>
        <w:t>146</w:t>
      </w:r>
      <w:r>
        <w:rPr>
          <w:rFonts w:ascii="Calibri" w:eastAsia="Calibri" w:hAnsi="Calibri" w:cs="Times New Roman"/>
          <w:sz w:val="24"/>
          <w:szCs w:val="24"/>
        </w:rPr>
        <w:fldChar w:fldCharType="end"/>
      </w:r>
      <w:r>
        <w:rPr>
          <w:rFonts w:ascii="Calibri" w:eastAsia="Calibri" w:hAnsi="Calibri" w:cs="Times New Roman"/>
          <w:sz w:val="24"/>
          <w:szCs w:val="24"/>
        </w:rPr>
        <w:t xml:space="preserve"> and agreed the </w:t>
      </w:r>
      <w:r w:rsidRPr="00186586">
        <w:rPr>
          <w:rFonts w:ascii="Calibri" w:eastAsia="Calibri" w:hAnsi="Calibri" w:cs="Times New Roman"/>
          <w:sz w:val="24"/>
          <w:szCs w:val="24"/>
        </w:rPr>
        <w:t xml:space="preserve">following </w:t>
      </w:r>
      <w:r>
        <w:rPr>
          <w:rFonts w:ascii="Calibri" w:eastAsia="Calibri" w:hAnsi="Calibri" w:cs="Times New Roman"/>
          <w:sz w:val="24"/>
          <w:szCs w:val="24"/>
        </w:rPr>
        <w:t>f</w:t>
      </w:r>
      <w:r w:rsidRPr="00186586">
        <w:rPr>
          <w:rFonts w:ascii="Calibri" w:eastAsia="Calibri" w:hAnsi="Calibri" w:cs="Times New Roman"/>
          <w:sz w:val="24"/>
          <w:szCs w:val="24"/>
        </w:rPr>
        <w:t>or identifying problems:</w:t>
      </w:r>
    </w:p>
    <w:p w14:paraId="5586FB03" w14:textId="77777777" w:rsidR="00403B07" w:rsidRPr="00186586" w:rsidRDefault="00403B07" w:rsidP="00403B07">
      <w:pPr>
        <w:rPr>
          <w:rFonts w:ascii="Calibri" w:eastAsia="Calibri" w:hAnsi="Calibri" w:cs="Times New Roman"/>
          <w:sz w:val="24"/>
          <w:szCs w:val="24"/>
        </w:rPr>
      </w:pPr>
      <w:r w:rsidRPr="00186586">
        <w:rPr>
          <w:rFonts w:ascii="Calibri" w:eastAsia="Calibri" w:hAnsi="Calibri" w:cs="Times New Roman"/>
          <w:sz w:val="24"/>
          <w:szCs w:val="24"/>
        </w:rPr>
        <w:t>Flesch-Kincaid reading ease score of less than 60 was considered problematic (</w:t>
      </w:r>
      <w:hyperlink r:id="rId56" w:history="1">
        <w:r w:rsidRPr="006E6280">
          <w:rPr>
            <w:rStyle w:val="Hyperlink"/>
            <w:rFonts w:ascii="Calibri" w:eastAsia="Calibri" w:hAnsi="Calibri" w:cs="Times New Roman"/>
            <w:sz w:val="24"/>
            <w:szCs w:val="24"/>
          </w:rPr>
          <w:t>https://readability-score.com/text/</w:t>
        </w:r>
      </w:hyperlink>
      <w:r>
        <w:rPr>
          <w:rFonts w:ascii="Calibri" w:eastAsia="Calibri" w:hAnsi="Calibri" w:cs="Times New Roman"/>
          <w:sz w:val="24"/>
          <w:szCs w:val="24"/>
        </w:rPr>
        <w:t xml:space="preserve"> Last accessed 21/10/2016).</w:t>
      </w:r>
      <w:r w:rsidRPr="00186586">
        <w:rPr>
          <w:rFonts w:ascii="Calibri" w:eastAsia="Calibri" w:hAnsi="Calibri" w:cs="Times New Roman"/>
          <w:sz w:val="24"/>
          <w:szCs w:val="24"/>
        </w:rPr>
        <w:t xml:space="preserve">  </w:t>
      </w:r>
    </w:p>
    <w:p w14:paraId="36588448" w14:textId="77777777" w:rsidR="00403B07" w:rsidRDefault="00403B07" w:rsidP="00403B07">
      <w:pPr>
        <w:rPr>
          <w:rFonts w:ascii="Calibri" w:eastAsia="Calibri" w:hAnsi="Calibri" w:cs="Times New Roman"/>
          <w:sz w:val="24"/>
          <w:szCs w:val="24"/>
        </w:rPr>
      </w:pPr>
      <w:r w:rsidRPr="00186586">
        <w:rPr>
          <w:rFonts w:ascii="Calibri" w:eastAsia="Calibri" w:hAnsi="Calibri" w:cs="Times New Roman"/>
          <w:sz w:val="24"/>
          <w:szCs w:val="24"/>
        </w:rPr>
        <w:t xml:space="preserve">Items which lack a range of scores / lack </w:t>
      </w:r>
      <w:r>
        <w:rPr>
          <w:rFonts w:ascii="Calibri" w:eastAsia="Calibri" w:hAnsi="Calibri" w:cs="Times New Roman"/>
          <w:sz w:val="24"/>
          <w:szCs w:val="24"/>
        </w:rPr>
        <w:t xml:space="preserve">of </w:t>
      </w:r>
      <w:r w:rsidRPr="00186586">
        <w:rPr>
          <w:rFonts w:ascii="Calibri" w:eastAsia="Calibri" w:hAnsi="Calibri" w:cs="Times New Roman"/>
          <w:sz w:val="24"/>
          <w:szCs w:val="24"/>
        </w:rPr>
        <w:t>variation around the mean (mean score to be &gt;1.5 or &lt;3.5; SD to be &gt;0.8 or &lt;1.8</w:t>
      </w:r>
      <w:r>
        <w:rPr>
          <w:rFonts w:ascii="Calibri" w:eastAsia="Calibri" w:hAnsi="Calibri" w:cs="Times New Roman"/>
          <w:sz w:val="24"/>
          <w:szCs w:val="24"/>
        </w:rPr>
        <w:t>).</w:t>
      </w:r>
    </w:p>
    <w:p w14:paraId="7CD77EBE" w14:textId="77777777" w:rsidR="00403B07" w:rsidRPr="00186586" w:rsidRDefault="00403B07" w:rsidP="00403B07">
      <w:pPr>
        <w:rPr>
          <w:rFonts w:ascii="Calibri" w:eastAsia="Calibri" w:hAnsi="Calibri" w:cs="Times New Roman"/>
          <w:sz w:val="24"/>
          <w:szCs w:val="24"/>
        </w:rPr>
      </w:pPr>
      <w:r>
        <w:rPr>
          <w:rFonts w:ascii="Calibri" w:eastAsia="Calibri" w:hAnsi="Calibri" w:cs="Times New Roman"/>
          <w:sz w:val="24"/>
          <w:szCs w:val="24"/>
        </w:rPr>
        <w:t>Ceiling and floor effects when more than 30% of participants have the maximum or minimum scores.</w:t>
      </w:r>
    </w:p>
    <w:p w14:paraId="72262EE3" w14:textId="77777777" w:rsidR="00403B07" w:rsidRPr="00186586" w:rsidRDefault="00403B07" w:rsidP="00403B07">
      <w:pPr>
        <w:rPr>
          <w:rFonts w:ascii="Calibri" w:eastAsia="Calibri" w:hAnsi="Calibri" w:cs="Times New Roman"/>
          <w:sz w:val="24"/>
          <w:szCs w:val="24"/>
        </w:rPr>
      </w:pPr>
      <w:r w:rsidRPr="00186586">
        <w:rPr>
          <w:rFonts w:ascii="Calibri" w:eastAsia="Calibri" w:hAnsi="Calibri" w:cs="Times New Roman"/>
          <w:sz w:val="24"/>
          <w:szCs w:val="24"/>
        </w:rPr>
        <w:t>Individual items which correlate 0.6 or higher with another item.</w:t>
      </w:r>
    </w:p>
    <w:p w14:paraId="3DE1C203" w14:textId="77777777" w:rsidR="00403B07" w:rsidRPr="00186586" w:rsidRDefault="00403B07" w:rsidP="00403B07">
      <w:pPr>
        <w:rPr>
          <w:rFonts w:ascii="Calibri" w:eastAsia="Calibri" w:hAnsi="Calibri" w:cs="Times New Roman"/>
          <w:sz w:val="24"/>
          <w:szCs w:val="24"/>
        </w:rPr>
      </w:pPr>
      <w:r w:rsidRPr="00186586">
        <w:rPr>
          <w:rFonts w:ascii="Calibri" w:eastAsia="Calibri" w:hAnsi="Calibri" w:cs="Times New Roman"/>
          <w:sz w:val="24"/>
          <w:szCs w:val="24"/>
        </w:rPr>
        <w:t xml:space="preserve">It was agreed that any item </w:t>
      </w:r>
      <w:r w:rsidRPr="00A868C3">
        <w:rPr>
          <w:rFonts w:ascii="Calibri" w:eastAsia="Calibri" w:hAnsi="Calibri" w:cs="Times New Roman"/>
          <w:sz w:val="24"/>
          <w:szCs w:val="24"/>
        </w:rPr>
        <w:t>failing on more than two of these</w:t>
      </w:r>
      <w:r w:rsidRPr="00186586">
        <w:rPr>
          <w:rFonts w:ascii="Calibri" w:eastAsia="Calibri" w:hAnsi="Calibri" w:cs="Times New Roman"/>
          <w:sz w:val="24"/>
          <w:szCs w:val="24"/>
        </w:rPr>
        <w:t xml:space="preserve"> properties would be removed from further analysis. </w:t>
      </w:r>
      <w:r>
        <w:rPr>
          <w:rFonts w:ascii="Calibri" w:eastAsia="Calibri" w:hAnsi="Calibri" w:cs="Times New Roman"/>
          <w:sz w:val="24"/>
          <w:szCs w:val="24"/>
        </w:rPr>
        <w:t xml:space="preserve"> </w:t>
      </w:r>
    </w:p>
    <w:p w14:paraId="18DCB732" w14:textId="77777777" w:rsidR="00403B07" w:rsidRPr="00186586" w:rsidRDefault="00403B07" w:rsidP="00403B07">
      <w:pPr>
        <w:rPr>
          <w:rFonts w:ascii="Calibri" w:eastAsia="Calibri" w:hAnsi="Calibri" w:cs="Times New Roman"/>
          <w:sz w:val="24"/>
          <w:szCs w:val="24"/>
        </w:rPr>
      </w:pPr>
      <w:r w:rsidRPr="00186586">
        <w:rPr>
          <w:rFonts w:ascii="Calibri" w:eastAsia="Calibri" w:hAnsi="Calibri" w:cs="Times New Roman"/>
          <w:sz w:val="24"/>
          <w:szCs w:val="24"/>
        </w:rPr>
        <w:lastRenderedPageBreak/>
        <w:t>The remaining items from Baseline Dataset A were then analysed using Exploratory Factor Analysis (EFA) to propose a plausible factor structure as there were no published data for determining the factor constructs</w:t>
      </w:r>
      <w:r>
        <w:rPr>
          <w:rFonts w:ascii="Calibri" w:eastAsia="Calibri" w:hAnsi="Calibri" w:cs="Times New Roman"/>
          <w:sz w:val="24"/>
          <w:szCs w:val="24"/>
        </w:rPr>
        <w:t xml:space="preserve"> arising from our new items,</w:t>
      </w:r>
      <w:r w:rsidRPr="00186586">
        <w:rPr>
          <w:rFonts w:ascii="Calibri" w:eastAsia="Calibri" w:hAnsi="Calibri" w:cs="Times New Roman"/>
          <w:sz w:val="24"/>
          <w:szCs w:val="24"/>
        </w:rPr>
        <w:t xml:space="preserve"> and the developmental mapping exercise created a number of different levels of item categorisation e.g. the IMB model level, a variety of theoretically derived constructs as well as three single items. </w:t>
      </w:r>
      <w:r>
        <w:rPr>
          <w:rFonts w:ascii="Calibri" w:eastAsia="Calibri" w:hAnsi="Calibri" w:cs="Times New Roman"/>
          <w:sz w:val="24"/>
          <w:szCs w:val="24"/>
        </w:rPr>
        <w:t>Whilst using EFA as the first approach to the factor analysis (FA) is justified, it should be noted that our analysis plan had to be amended to reflect this first step rather than Confirmatory Factor Analysis (CFA); this amendment was agreed with the Trial Steering Committee.</w:t>
      </w:r>
    </w:p>
    <w:p w14:paraId="666CC54A" w14:textId="77777777" w:rsidR="00403B07" w:rsidRPr="00186586" w:rsidRDefault="00403B07" w:rsidP="00403B07">
      <w:pPr>
        <w:rPr>
          <w:rFonts w:ascii="Calibri" w:eastAsia="Calibri" w:hAnsi="Calibri" w:cs="Times New Roman"/>
          <w:sz w:val="24"/>
          <w:szCs w:val="24"/>
        </w:rPr>
      </w:pPr>
      <w:r w:rsidRPr="00186586">
        <w:rPr>
          <w:rFonts w:ascii="Calibri" w:eastAsia="Calibri" w:hAnsi="Calibri" w:cs="Times New Roman"/>
          <w:sz w:val="24"/>
          <w:szCs w:val="24"/>
        </w:rPr>
        <w:t>The factors which emerged from the EFA were further assessed using CFA with the Baseline Dataset B.</w:t>
      </w:r>
      <w:r w:rsidRPr="00186586">
        <w:rPr>
          <w:rFonts w:ascii="Calibri" w:eastAsia="Calibri" w:hAnsi="Calibri" w:cs="Times New Roman"/>
        </w:rPr>
        <w:t xml:space="preserve"> </w:t>
      </w:r>
      <w:r w:rsidRPr="00186586">
        <w:rPr>
          <w:rFonts w:ascii="Calibri" w:eastAsia="Calibri" w:hAnsi="Calibri" w:cs="Times New Roman"/>
          <w:sz w:val="24"/>
          <w:szCs w:val="24"/>
        </w:rPr>
        <w:t>EFA explored whether this factor structure was still plausible for the 12 months dataset, again followed by CFA to provide fit indices of the proposed model fits. Additionally, multi-group CFA with invariance testing was to be used to explore the stability of the proposed factor solutions (comparing Dataset B at baseline with Dataset B at 12 months).</w:t>
      </w:r>
    </w:p>
    <w:p w14:paraId="75D996B3" w14:textId="77777777" w:rsidR="00403B07" w:rsidRPr="00186586" w:rsidRDefault="00403B07" w:rsidP="00403B07">
      <w:pPr>
        <w:rPr>
          <w:rFonts w:ascii="Calibri" w:eastAsia="Calibri" w:hAnsi="Calibri" w:cs="Times New Roman"/>
          <w:sz w:val="24"/>
          <w:szCs w:val="24"/>
        </w:rPr>
      </w:pPr>
      <w:r w:rsidRPr="00186586">
        <w:rPr>
          <w:rFonts w:ascii="Calibri" w:eastAsia="Calibri" w:hAnsi="Calibri" w:cs="Times New Roman"/>
          <w:sz w:val="24"/>
          <w:szCs w:val="24"/>
        </w:rPr>
        <w:t>An iterative approach was taken that was guided by a set of goodness-of-fit indices but gave priority to the interpretability of any proposed factor solution. This also minimised the chances that conclusions were driven by spurious results, which may yield slightly superior fit indices but provide little practical or theoretical benefits. Additionally, while correlating error variances typically leads to substantially improved model fits, such correlations were applied cautiously and with the intention to identify method effects or item clusters with shared content.</w:t>
      </w:r>
    </w:p>
    <w:p w14:paraId="377743AB" w14:textId="77777777" w:rsidR="00403B07" w:rsidRPr="00186586" w:rsidRDefault="00403B07" w:rsidP="00403B07">
      <w:pPr>
        <w:rPr>
          <w:rFonts w:ascii="Calibri" w:eastAsia="Calibri" w:hAnsi="Calibri" w:cs="Times New Roman"/>
          <w:sz w:val="24"/>
          <w:szCs w:val="24"/>
        </w:rPr>
      </w:pPr>
      <w:r w:rsidRPr="00186586">
        <w:rPr>
          <w:rFonts w:ascii="Calibri" w:eastAsia="Calibri" w:hAnsi="Calibri" w:cs="Times New Roman"/>
          <w:sz w:val="24"/>
          <w:szCs w:val="24"/>
        </w:rPr>
        <w:t>Since the data were ordinal in nature, the most appropriate CFA approach was using an asymptotic</w:t>
      </w:r>
      <w:r>
        <w:rPr>
          <w:rFonts w:ascii="Calibri" w:eastAsia="Calibri" w:hAnsi="Calibri" w:cs="Times New Roman"/>
          <w:sz w:val="24"/>
          <w:szCs w:val="24"/>
        </w:rPr>
        <w:t>ally</w:t>
      </w:r>
      <w:r w:rsidRPr="00186586">
        <w:rPr>
          <w:rFonts w:ascii="Calibri" w:eastAsia="Calibri" w:hAnsi="Calibri" w:cs="Times New Roman"/>
          <w:sz w:val="24"/>
          <w:szCs w:val="24"/>
        </w:rPr>
        <w:t xml:space="preserve"> distribution-free (ADF) method using polychoric correlations. This technique is also recommended for Likert-scale items with fewer than five options and the sample </w:t>
      </w:r>
      <w:r>
        <w:rPr>
          <w:rFonts w:ascii="Calibri" w:eastAsia="Calibri" w:hAnsi="Calibri" w:cs="Times New Roman"/>
          <w:sz w:val="24"/>
          <w:szCs w:val="24"/>
        </w:rPr>
        <w:t xml:space="preserve">size </w:t>
      </w:r>
      <w:r w:rsidRPr="00186586">
        <w:rPr>
          <w:rFonts w:ascii="Calibri" w:eastAsia="Calibri" w:hAnsi="Calibri" w:cs="Times New Roman"/>
          <w:sz w:val="24"/>
          <w:szCs w:val="24"/>
        </w:rPr>
        <w:t>requirements for this approach were met.</w:t>
      </w:r>
    </w:p>
    <w:p w14:paraId="756BCDA9" w14:textId="77777777" w:rsidR="00403B07" w:rsidRPr="00186586" w:rsidRDefault="00403B07" w:rsidP="00403B07">
      <w:pPr>
        <w:rPr>
          <w:rFonts w:ascii="Calibri" w:eastAsia="Calibri" w:hAnsi="Calibri" w:cs="Times New Roman"/>
          <w:i/>
          <w:sz w:val="24"/>
          <w:szCs w:val="24"/>
        </w:rPr>
      </w:pPr>
      <w:r w:rsidRPr="00186586">
        <w:rPr>
          <w:rFonts w:ascii="Calibri" w:eastAsia="Calibri" w:hAnsi="Calibri" w:cs="Times New Roman"/>
          <w:i/>
          <w:sz w:val="24"/>
          <w:szCs w:val="24"/>
        </w:rPr>
        <w:t>Software and type of factor analysis and goodness-of-fit indices used</w:t>
      </w:r>
    </w:p>
    <w:p w14:paraId="43BDC4BB" w14:textId="77777777" w:rsidR="00403B07" w:rsidRPr="00186586" w:rsidRDefault="00403B07" w:rsidP="00403B07">
      <w:pPr>
        <w:rPr>
          <w:rFonts w:ascii="Calibri" w:eastAsia="Calibri" w:hAnsi="Calibri" w:cs="Times New Roman"/>
          <w:sz w:val="24"/>
          <w:szCs w:val="24"/>
        </w:rPr>
      </w:pPr>
      <w:r w:rsidRPr="00186586">
        <w:rPr>
          <w:rFonts w:ascii="Calibri" w:eastAsia="Calibri" w:hAnsi="Calibri" w:cs="Times New Roman"/>
          <w:sz w:val="24"/>
          <w:szCs w:val="24"/>
        </w:rPr>
        <w:t xml:space="preserve">EFA was conducted using Principal Components Analysis with promax factor rotations using the software package </w:t>
      </w:r>
      <w:r w:rsidRPr="00922AB3">
        <w:rPr>
          <w:rFonts w:ascii="Calibri" w:eastAsia="Calibri" w:hAnsi="Calibri" w:cs="Times New Roman"/>
          <w:sz w:val="24"/>
          <w:szCs w:val="24"/>
        </w:rPr>
        <w:t>SPSS (Statistical Package for the Social Sciences v.23).</w:t>
      </w:r>
      <w:r w:rsidRPr="00186586">
        <w:rPr>
          <w:rFonts w:ascii="Calibri" w:eastAsia="Calibri" w:hAnsi="Calibri" w:cs="Times New Roman"/>
          <w:sz w:val="24"/>
          <w:szCs w:val="24"/>
        </w:rPr>
        <w:t xml:space="preserve"> The Kaiser criterion of eigenvalue above 1 was applied to identify number of factors for an initial factor solution. The pattern of factor loadings and cross-loadings was inspected (ignoring factor loadings &lt;0.20) together with conceptual criteria and face validity of the scale to derive at plausible factor solutions.</w:t>
      </w:r>
    </w:p>
    <w:p w14:paraId="623108FB" w14:textId="0D7C08C7" w:rsidR="00403B07" w:rsidRPr="00186586" w:rsidRDefault="00403B07" w:rsidP="00403B07">
      <w:pPr>
        <w:rPr>
          <w:rFonts w:ascii="Calibri" w:eastAsia="Calibri" w:hAnsi="Calibri" w:cs="Times New Roman"/>
          <w:sz w:val="24"/>
          <w:szCs w:val="24"/>
        </w:rPr>
      </w:pPr>
      <w:r w:rsidRPr="00186586">
        <w:rPr>
          <w:rFonts w:ascii="Calibri" w:eastAsia="Calibri" w:hAnsi="Calibri" w:cs="Times New Roman"/>
          <w:sz w:val="24"/>
          <w:szCs w:val="24"/>
        </w:rPr>
        <w:t xml:space="preserve">Confirmatory factor analyses were conducted </w:t>
      </w:r>
      <w:r>
        <w:rPr>
          <w:rFonts w:ascii="Calibri" w:eastAsia="Calibri" w:hAnsi="Calibri" w:cs="Times New Roman"/>
          <w:sz w:val="24"/>
          <w:szCs w:val="24"/>
        </w:rPr>
        <w:t>with</w:t>
      </w:r>
      <w:r w:rsidRPr="00186586">
        <w:rPr>
          <w:rFonts w:ascii="Calibri" w:eastAsia="Calibri" w:hAnsi="Calibri" w:cs="Times New Roman"/>
          <w:sz w:val="24"/>
          <w:szCs w:val="24"/>
        </w:rPr>
        <w:t xml:space="preserve"> the software package LISREL v. 8.80</w:t>
      </w:r>
      <w:r>
        <w:rPr>
          <w:rFonts w:ascii="Calibri" w:eastAsia="Calibri" w:hAnsi="Calibri" w:cs="Times New Roman"/>
          <w:sz w:val="24"/>
          <w:szCs w:val="24"/>
        </w:rPr>
        <w:t xml:space="preserve"> </w:t>
      </w:r>
      <w:r>
        <w:rPr>
          <w:rFonts w:ascii="Calibri" w:eastAsia="Calibri" w:hAnsi="Calibri" w:cs="Times New Roman"/>
          <w:sz w:val="24"/>
          <w:szCs w:val="24"/>
        </w:rPr>
        <w:fldChar w:fldCharType="begin"/>
      </w:r>
      <w:r w:rsidR="006B3301">
        <w:rPr>
          <w:rFonts w:ascii="Calibri" w:eastAsia="Calibri" w:hAnsi="Calibri" w:cs="Times New Roman"/>
          <w:sz w:val="24"/>
          <w:szCs w:val="24"/>
        </w:rPr>
        <w:instrText xml:space="preserve"> ADDIN EN.CITE &lt;EndNote&gt;&lt;Cite&gt;&lt;Author&gt;Jöreskog&lt;/Author&gt;&lt;Year&gt;1993&lt;/Year&gt;&lt;RecNum&gt;5815&lt;/RecNum&gt;&lt;DisplayText&gt;&lt;style face="superscript"&gt;152&lt;/style&gt;&lt;/DisplayText&gt;&lt;record&gt;&lt;rec-number&gt;5815&lt;/rec-number&gt;&lt;foreign-keys&gt;&lt;key app="EN" db-id="2ewa9rrvjsdsawep2vpx5x97eedzzvxx5rta" timestamp="1479120520"&gt;5815&lt;/key&gt;&lt;/foreign-keys&gt;&lt;ref-type name="Book"&gt;6&lt;/ref-type&gt;&lt;contributors&gt;&lt;authors&gt;&lt;author&gt;Jöreskog, K. G., &amp;amp; Sörbom, D. &lt;/author&gt;&lt;/authors&gt;&lt;/contributors&gt;&lt;titles&gt;&lt;title&gt;LISREL 8: Structural equation modelling with the SIMPLIS command language.&lt;/title&gt;&lt;/titles&gt;&lt;dates&gt;&lt;year&gt;1993&lt;/year&gt;&lt;/dates&gt;&lt;pub-location&gt;Hillsdale, NJ&lt;/pub-location&gt;&lt;publisher&gt;Erlbaum Associates&lt;/publisher&gt;&lt;urls&gt;&lt;/urls&gt;&lt;/record&gt;&lt;/Cite&gt;&lt;/EndNote&gt;</w:instrText>
      </w:r>
      <w:r>
        <w:rPr>
          <w:rFonts w:ascii="Calibri" w:eastAsia="Calibri" w:hAnsi="Calibri" w:cs="Times New Roman"/>
          <w:sz w:val="24"/>
          <w:szCs w:val="24"/>
        </w:rPr>
        <w:fldChar w:fldCharType="separate"/>
      </w:r>
      <w:r w:rsidR="006B3301" w:rsidRPr="006B3301">
        <w:rPr>
          <w:rFonts w:ascii="Calibri" w:eastAsia="Calibri" w:hAnsi="Calibri" w:cs="Times New Roman"/>
          <w:noProof/>
          <w:sz w:val="24"/>
          <w:szCs w:val="24"/>
          <w:vertAlign w:val="superscript"/>
        </w:rPr>
        <w:t>152</w:t>
      </w:r>
      <w:r>
        <w:rPr>
          <w:rFonts w:ascii="Calibri" w:eastAsia="Calibri" w:hAnsi="Calibri" w:cs="Times New Roman"/>
          <w:sz w:val="24"/>
          <w:szCs w:val="24"/>
        </w:rPr>
        <w:fldChar w:fldCharType="end"/>
      </w:r>
      <w:r w:rsidRPr="00186586">
        <w:rPr>
          <w:rFonts w:ascii="Calibri" w:eastAsia="Calibri" w:hAnsi="Calibri" w:cs="Times New Roman"/>
          <w:sz w:val="24"/>
          <w:szCs w:val="24"/>
        </w:rPr>
        <w:t xml:space="preserve"> </w:t>
      </w:r>
      <w:r>
        <w:rPr>
          <w:rFonts w:ascii="Calibri" w:eastAsia="Calibri" w:hAnsi="Calibri" w:cs="Times New Roman"/>
          <w:sz w:val="24"/>
          <w:szCs w:val="24"/>
        </w:rPr>
        <w:t xml:space="preserve"> u</w:t>
      </w:r>
      <w:r w:rsidRPr="00186586">
        <w:rPr>
          <w:rFonts w:ascii="Calibri" w:eastAsia="Calibri" w:hAnsi="Calibri" w:cs="Times New Roman"/>
          <w:sz w:val="24"/>
          <w:szCs w:val="24"/>
        </w:rPr>
        <w:t xml:space="preserve">sing robust diagonally-weighted least squares and polychoric correlations and asymptotic covariance matrices </w:t>
      </w:r>
      <w:r>
        <w:rPr>
          <w:rFonts w:ascii="Calibri" w:eastAsia="Calibri" w:hAnsi="Calibri" w:cs="Times New Roman"/>
          <w:sz w:val="24"/>
          <w:szCs w:val="24"/>
        </w:rPr>
        <w:fldChar w:fldCharType="begin"/>
      </w:r>
      <w:r w:rsidR="006B3301">
        <w:rPr>
          <w:rFonts w:ascii="Calibri" w:eastAsia="Calibri" w:hAnsi="Calibri" w:cs="Times New Roman"/>
          <w:sz w:val="24"/>
          <w:szCs w:val="24"/>
        </w:rPr>
        <w:instrText xml:space="preserve"> ADDIN EN.CITE &lt;EndNote&gt;&lt;Cite&gt;&lt;Author&gt;Jöreskog&lt;/Author&gt;&lt;Year&gt;1990&lt;/Year&gt;&lt;RecNum&gt;5814&lt;/RecNum&gt;&lt;DisplayText&gt;&lt;style face="superscript"&gt;153&lt;/style&gt;&lt;/DisplayText&gt;&lt;record&gt;&lt;rec-number&gt;5814&lt;/rec-number&gt;&lt;foreign-keys&gt;&lt;key app="EN" db-id="2ewa9rrvjsdsawep2vpx5x97eedzzvxx5rta" timestamp="1479120030"&gt;5814&lt;/key&gt;&lt;/foreign-keys&gt;&lt;ref-type name="Journal Article"&gt;17&lt;/ref-type&gt;&lt;contributors&gt;&lt;authors&gt;&lt;author&gt;Jöreskog, K. G. &lt;/author&gt;&lt;/authors&gt;&lt;/contributors&gt;&lt;titles&gt;&lt;title&gt;New developments in LISREL: Analysis of ordinal variables using polychoric correlations and weighted least squares&lt;/title&gt;&lt;secondary-title&gt;Quality &amp;amp; Quality: International Journal of Methodology&lt;/secondary-title&gt;&lt;/titles&gt;&lt;periodical&gt;&lt;full-title&gt;Quality &amp;amp; Quality: International Journal of Methodology&lt;/full-title&gt;&lt;abbr-1&gt;Qual Quant&lt;/abbr-1&gt;&lt;/periodical&gt;&lt;pages&gt;387-404&lt;/pages&gt;&lt;volume&gt;24&lt;/volume&gt;&lt;number&gt;4&lt;/number&gt;&lt;dates&gt;&lt;year&gt;1990&lt;/year&gt;&lt;/dates&gt;&lt;urls&gt;&lt;/urls&gt;&lt;/record&gt;&lt;/Cite&gt;&lt;/EndNote&gt;</w:instrText>
      </w:r>
      <w:r>
        <w:rPr>
          <w:rFonts w:ascii="Calibri" w:eastAsia="Calibri" w:hAnsi="Calibri" w:cs="Times New Roman"/>
          <w:sz w:val="24"/>
          <w:szCs w:val="24"/>
        </w:rPr>
        <w:fldChar w:fldCharType="separate"/>
      </w:r>
      <w:r w:rsidR="006B3301" w:rsidRPr="006B3301">
        <w:rPr>
          <w:rFonts w:ascii="Calibri" w:eastAsia="Calibri" w:hAnsi="Calibri" w:cs="Times New Roman"/>
          <w:noProof/>
          <w:sz w:val="24"/>
          <w:szCs w:val="24"/>
          <w:vertAlign w:val="superscript"/>
        </w:rPr>
        <w:t>153</w:t>
      </w:r>
      <w:r>
        <w:rPr>
          <w:rFonts w:ascii="Calibri" w:eastAsia="Calibri" w:hAnsi="Calibri" w:cs="Times New Roman"/>
          <w:sz w:val="24"/>
          <w:szCs w:val="24"/>
        </w:rPr>
        <w:fldChar w:fldCharType="end"/>
      </w:r>
      <w:r w:rsidRPr="00186586">
        <w:rPr>
          <w:rFonts w:ascii="Calibri" w:eastAsia="Calibri" w:hAnsi="Calibri" w:cs="Times New Roman"/>
          <w:sz w:val="24"/>
          <w:szCs w:val="24"/>
        </w:rPr>
        <w:t xml:space="preserve">. Since chi-square is known to be inflated with sample size </w:t>
      </w:r>
      <w:r>
        <w:rPr>
          <w:rFonts w:ascii="Calibri" w:eastAsia="Calibri" w:hAnsi="Calibri" w:cs="Times New Roman"/>
          <w:sz w:val="24"/>
          <w:szCs w:val="24"/>
        </w:rPr>
        <w:fldChar w:fldCharType="begin"/>
      </w:r>
      <w:r w:rsidR="008C43BF">
        <w:rPr>
          <w:rFonts w:ascii="Calibri" w:eastAsia="Calibri" w:hAnsi="Calibri" w:cs="Times New Roman"/>
          <w:sz w:val="24"/>
          <w:szCs w:val="24"/>
        </w:rPr>
        <w:instrText xml:space="preserve"> ADDIN EN.CITE &lt;EndNote&gt;&lt;Cite&gt;&lt;Author&gt;Marsh&lt;/Author&gt;&lt;Year&gt;1988&lt;/Year&gt;&lt;RecNum&gt;5794&lt;/RecNum&gt;&lt;DisplayText&gt;&lt;style face="superscript"&gt;130&lt;/style&gt;&lt;/DisplayText&gt;&lt;record&gt;&lt;rec-number&gt;5794&lt;/rec-number&gt;&lt;foreign-keys&gt;&lt;key app="EN" db-id="2ewa9rrvjsdsawep2vpx5x97eedzzvxx5rta" timestamp="1478769942"&gt;5794&lt;/key&gt;&lt;/foreign-keys&gt;&lt;ref-type name="Journal Article"&gt;17&lt;/ref-type&gt;&lt;contributors&gt;&lt;authors&gt;&lt;author&gt;Marsh, H. W., Balla, J. R., &amp;amp; McDonald, R. P&lt;/author&gt;&lt;/authors&gt;&lt;/contributors&gt;&lt;titles&gt;&lt;title&gt;Goodness-of-fit indices in confirmatory factor analysis: The effect of sample size&lt;/title&gt;&lt;secondary-title&gt;Psychological Bulletin&lt;/secondary-title&gt;&lt;/titles&gt;&lt;periodical&gt;&lt;full-title&gt;Psychological Bulletin&lt;/full-title&gt;&lt;abbr-1&gt;Psychol. Bull.&lt;/abbr-1&gt;&lt;abbr-2&gt;Psychol Bull&lt;/abbr-2&gt;&lt;/periodical&gt;&lt;pages&gt;391-410&lt;/pages&gt;&lt;volume&gt;103&lt;/volume&gt;&lt;dates&gt;&lt;year&gt;1988&lt;/year&gt;&lt;/dates&gt;&lt;urls&gt;&lt;/urls&gt;&lt;electronic-resource-num&gt;10.1037/0033-2909.103.3.391&lt;/electronic-resource-num&gt;&lt;/record&gt;&lt;/Cite&gt;&lt;/EndNote&gt;</w:instrText>
      </w:r>
      <w:r>
        <w:rPr>
          <w:rFonts w:ascii="Calibri" w:eastAsia="Calibri" w:hAnsi="Calibri" w:cs="Times New Roman"/>
          <w:sz w:val="24"/>
          <w:szCs w:val="24"/>
        </w:rPr>
        <w:fldChar w:fldCharType="separate"/>
      </w:r>
      <w:r w:rsidR="008C43BF" w:rsidRPr="008C43BF">
        <w:rPr>
          <w:rFonts w:ascii="Calibri" w:eastAsia="Calibri" w:hAnsi="Calibri" w:cs="Times New Roman"/>
          <w:noProof/>
          <w:sz w:val="24"/>
          <w:szCs w:val="24"/>
          <w:vertAlign w:val="superscript"/>
        </w:rPr>
        <w:t>130</w:t>
      </w:r>
      <w:r>
        <w:rPr>
          <w:rFonts w:ascii="Calibri" w:eastAsia="Calibri" w:hAnsi="Calibri" w:cs="Times New Roman"/>
          <w:sz w:val="24"/>
          <w:szCs w:val="24"/>
        </w:rPr>
        <w:fldChar w:fldCharType="end"/>
      </w:r>
      <w:r w:rsidRPr="00186586">
        <w:rPr>
          <w:rFonts w:ascii="Calibri" w:eastAsia="Calibri" w:hAnsi="Calibri" w:cs="Times New Roman"/>
          <w:sz w:val="24"/>
          <w:szCs w:val="24"/>
        </w:rPr>
        <w:t xml:space="preserve">, chi-square was not used as an indicator of goodness of fit. Instead, a set of indicators was used </w:t>
      </w:r>
      <w:r w:rsidRPr="00186586">
        <w:rPr>
          <w:rFonts w:ascii="Calibri" w:eastAsia="Calibri" w:hAnsi="Calibri" w:cs="Times New Roman"/>
          <w:sz w:val="24"/>
          <w:szCs w:val="24"/>
        </w:rPr>
        <w:lastRenderedPageBreak/>
        <w:t xml:space="preserve">to provide a fair assessment of goodness of fit. These indicators are known to be sensitive to different aspects of model </w:t>
      </w:r>
      <w:r>
        <w:rPr>
          <w:rFonts w:ascii="Calibri" w:eastAsia="Calibri" w:hAnsi="Calibri" w:cs="Times New Roman"/>
          <w:sz w:val="24"/>
          <w:szCs w:val="24"/>
        </w:rPr>
        <w:t>mis</w:t>
      </w:r>
      <w:r w:rsidRPr="00186586">
        <w:rPr>
          <w:rFonts w:ascii="Calibri" w:eastAsia="Calibri" w:hAnsi="Calibri" w:cs="Times New Roman"/>
          <w:sz w:val="24"/>
          <w:szCs w:val="24"/>
        </w:rPr>
        <w:t>fits. The following criteria were used:</w:t>
      </w:r>
    </w:p>
    <w:p w14:paraId="0E32773A" w14:textId="334FEBD6" w:rsidR="00403B07" w:rsidRPr="00186586" w:rsidRDefault="00403B07" w:rsidP="00403B07">
      <w:pPr>
        <w:rPr>
          <w:rFonts w:ascii="Calibri" w:eastAsia="Calibri" w:hAnsi="Calibri" w:cs="Times New Roman"/>
          <w:sz w:val="24"/>
          <w:szCs w:val="24"/>
        </w:rPr>
      </w:pPr>
      <w:r w:rsidRPr="00186586">
        <w:rPr>
          <w:rFonts w:ascii="Calibri" w:eastAsia="Calibri" w:hAnsi="Calibri" w:cs="Times New Roman"/>
          <w:sz w:val="24"/>
          <w:szCs w:val="24"/>
        </w:rPr>
        <w:t xml:space="preserve">root mean square error of approximation (RMSEA) &lt;.06 </w:t>
      </w:r>
      <w:r>
        <w:rPr>
          <w:rFonts w:ascii="Calibri" w:eastAsia="Calibri" w:hAnsi="Calibri" w:cs="Times New Roman"/>
          <w:sz w:val="24"/>
          <w:szCs w:val="24"/>
        </w:rPr>
        <w:fldChar w:fldCharType="begin"/>
      </w:r>
      <w:r w:rsidR="008C43BF">
        <w:rPr>
          <w:rFonts w:ascii="Calibri" w:eastAsia="Calibri" w:hAnsi="Calibri" w:cs="Times New Roman"/>
          <w:sz w:val="24"/>
          <w:szCs w:val="24"/>
        </w:rPr>
        <w:instrText xml:space="preserve"> ADDIN EN.CITE &lt;EndNote&gt;&lt;Cite&gt;&lt;Author&gt;Hu&lt;/Author&gt;&lt;Year&gt;1998&lt;/Year&gt;&lt;RecNum&gt;5795&lt;/RecNum&gt;&lt;DisplayText&gt;&lt;style face="superscript"&gt;131&lt;/style&gt;&lt;/DisplayText&gt;&lt;record&gt;&lt;rec-number&gt;5795&lt;/rec-number&gt;&lt;foreign-keys&gt;&lt;key app="EN" db-id="2ewa9rrvjsdsawep2vpx5x97eedzzvxx5rta" timestamp="1478770364"&gt;5795&lt;/key&gt;&lt;/foreign-keys&gt;&lt;ref-type name="Journal Article"&gt;17&lt;/ref-type&gt;&lt;contributors&gt;&lt;authors&gt;&lt;author&gt;Hu, L. Bentler, P.&lt;/author&gt;&lt;/authors&gt;&lt;/contributors&gt;&lt;titles&gt;&lt;title&gt;Fit Indices in Covariance Structure Modeling: Sensitivity to Underparameterized Model Misspecification&lt;/title&gt;&lt;secondary-title&gt;Psychological Methods&lt;/secondary-title&gt;&lt;/titles&gt;&lt;periodical&gt;&lt;full-title&gt;Psychological Methods&lt;/full-title&gt;&lt;abbr-1&gt;Psychol. Methods&lt;/abbr-1&gt;&lt;abbr-2&gt;Psychol Methods&lt;/abbr-2&gt;&lt;/periodical&gt;&lt;pages&gt;424-453&lt;/pages&gt;&lt;volume&gt;3&lt;/volume&gt;&lt;number&gt;4&lt;/number&gt;&lt;dates&gt;&lt;year&gt;1998&lt;/year&gt;&lt;/dates&gt;&lt;urls&gt;&lt;/urls&gt;&lt;/record&gt;&lt;/Cite&gt;&lt;/EndNote&gt;</w:instrText>
      </w:r>
      <w:r>
        <w:rPr>
          <w:rFonts w:ascii="Calibri" w:eastAsia="Calibri" w:hAnsi="Calibri" w:cs="Times New Roman"/>
          <w:sz w:val="24"/>
          <w:szCs w:val="24"/>
        </w:rPr>
        <w:fldChar w:fldCharType="separate"/>
      </w:r>
      <w:r w:rsidR="008C43BF" w:rsidRPr="008C43BF">
        <w:rPr>
          <w:rFonts w:ascii="Calibri" w:eastAsia="Calibri" w:hAnsi="Calibri" w:cs="Times New Roman"/>
          <w:noProof/>
          <w:sz w:val="24"/>
          <w:szCs w:val="24"/>
          <w:vertAlign w:val="superscript"/>
        </w:rPr>
        <w:t>131</w:t>
      </w:r>
      <w:r>
        <w:rPr>
          <w:rFonts w:ascii="Calibri" w:eastAsia="Calibri" w:hAnsi="Calibri" w:cs="Times New Roman"/>
          <w:sz w:val="24"/>
          <w:szCs w:val="24"/>
        </w:rPr>
        <w:fldChar w:fldCharType="end"/>
      </w:r>
    </w:p>
    <w:p w14:paraId="4114B114" w14:textId="567D0C90" w:rsidR="00403B07" w:rsidRDefault="00403B07" w:rsidP="00403B07">
      <w:pPr>
        <w:rPr>
          <w:rFonts w:ascii="Calibri" w:eastAsia="Calibri" w:hAnsi="Calibri" w:cs="Times New Roman"/>
          <w:sz w:val="24"/>
          <w:szCs w:val="24"/>
        </w:rPr>
      </w:pPr>
      <w:r w:rsidRPr="0000413F">
        <w:rPr>
          <w:rFonts w:ascii="Calibri" w:eastAsia="Calibri" w:hAnsi="Calibri" w:cs="Times New Roman"/>
          <w:sz w:val="24"/>
          <w:szCs w:val="24"/>
        </w:rPr>
        <w:t xml:space="preserve">comparative fit index (CFI) &gt;0.95 </w:t>
      </w:r>
      <w:r>
        <w:rPr>
          <w:rFonts w:ascii="Calibri" w:eastAsia="Calibri" w:hAnsi="Calibri" w:cs="Times New Roman"/>
          <w:sz w:val="24"/>
          <w:szCs w:val="24"/>
        </w:rPr>
        <w:fldChar w:fldCharType="begin"/>
      </w:r>
      <w:r w:rsidR="008C43BF">
        <w:rPr>
          <w:rFonts w:ascii="Calibri" w:eastAsia="Calibri" w:hAnsi="Calibri" w:cs="Times New Roman"/>
          <w:sz w:val="24"/>
          <w:szCs w:val="24"/>
        </w:rPr>
        <w:instrText xml:space="preserve"> ADDIN EN.CITE &lt;EndNote&gt;&lt;Cite&gt;&lt;Author&gt;Hu&lt;/Author&gt;&lt;Year&gt;1998&lt;/Year&gt;&lt;RecNum&gt;5795&lt;/RecNum&gt;&lt;DisplayText&gt;&lt;style face="superscript"&gt;131&lt;/style&gt;&lt;/DisplayText&gt;&lt;record&gt;&lt;rec-number&gt;5795&lt;/rec-number&gt;&lt;foreign-keys&gt;&lt;key app="EN" db-id="2ewa9rrvjsdsawep2vpx5x97eedzzvxx5rta" timestamp="1478770364"&gt;5795&lt;/key&gt;&lt;/foreign-keys&gt;&lt;ref-type name="Journal Article"&gt;17&lt;/ref-type&gt;&lt;contributors&gt;&lt;authors&gt;&lt;author&gt;Hu, L. Bentler, P.&lt;/author&gt;&lt;/authors&gt;&lt;/contributors&gt;&lt;titles&gt;&lt;title&gt;Fit Indices in Covariance Structure Modeling: Sensitivity to Underparameterized Model Misspecification&lt;/title&gt;&lt;secondary-title&gt;Psychological Methods&lt;/secondary-title&gt;&lt;/titles&gt;&lt;periodical&gt;&lt;full-title&gt;Psychological Methods&lt;/full-title&gt;&lt;abbr-1&gt;Psychol. Methods&lt;/abbr-1&gt;&lt;abbr-2&gt;Psychol Methods&lt;/abbr-2&gt;&lt;/periodical&gt;&lt;pages&gt;424-453&lt;/pages&gt;&lt;volume&gt;3&lt;/volume&gt;&lt;number&gt;4&lt;/number&gt;&lt;dates&gt;&lt;year&gt;1998&lt;/year&gt;&lt;/dates&gt;&lt;urls&gt;&lt;/urls&gt;&lt;/record&gt;&lt;/Cite&gt;&lt;/EndNote&gt;</w:instrText>
      </w:r>
      <w:r>
        <w:rPr>
          <w:rFonts w:ascii="Calibri" w:eastAsia="Calibri" w:hAnsi="Calibri" w:cs="Times New Roman"/>
          <w:sz w:val="24"/>
          <w:szCs w:val="24"/>
        </w:rPr>
        <w:fldChar w:fldCharType="separate"/>
      </w:r>
      <w:r w:rsidR="008C43BF" w:rsidRPr="008C43BF">
        <w:rPr>
          <w:rFonts w:ascii="Calibri" w:eastAsia="Calibri" w:hAnsi="Calibri" w:cs="Times New Roman"/>
          <w:noProof/>
          <w:sz w:val="24"/>
          <w:szCs w:val="24"/>
          <w:vertAlign w:val="superscript"/>
        </w:rPr>
        <w:t>131</w:t>
      </w:r>
      <w:r>
        <w:rPr>
          <w:rFonts w:ascii="Calibri" w:eastAsia="Calibri" w:hAnsi="Calibri" w:cs="Times New Roman"/>
          <w:sz w:val="24"/>
          <w:szCs w:val="24"/>
        </w:rPr>
        <w:fldChar w:fldCharType="end"/>
      </w:r>
    </w:p>
    <w:p w14:paraId="51DA3145" w14:textId="5C95756F" w:rsidR="00403B07" w:rsidRPr="0000413F" w:rsidRDefault="00403B07" w:rsidP="00403B07">
      <w:pPr>
        <w:rPr>
          <w:rFonts w:ascii="Calibri" w:eastAsia="Calibri" w:hAnsi="Calibri" w:cs="Times New Roman"/>
          <w:sz w:val="24"/>
          <w:szCs w:val="24"/>
        </w:rPr>
      </w:pPr>
      <w:r w:rsidRPr="0000413F">
        <w:rPr>
          <w:rFonts w:ascii="Calibri" w:eastAsia="Calibri" w:hAnsi="Calibri" w:cs="Times New Roman"/>
          <w:sz w:val="24"/>
          <w:szCs w:val="24"/>
        </w:rPr>
        <w:t xml:space="preserve">standardised root-mean-square residual (SRMR) &lt;.08 </w:t>
      </w:r>
      <w:r>
        <w:rPr>
          <w:rFonts w:ascii="Calibri" w:eastAsia="Calibri" w:hAnsi="Calibri" w:cs="Times New Roman"/>
          <w:sz w:val="24"/>
          <w:szCs w:val="24"/>
        </w:rPr>
        <w:fldChar w:fldCharType="begin"/>
      </w:r>
      <w:r w:rsidR="008C43BF">
        <w:rPr>
          <w:rFonts w:ascii="Calibri" w:eastAsia="Calibri" w:hAnsi="Calibri" w:cs="Times New Roman"/>
          <w:sz w:val="24"/>
          <w:szCs w:val="24"/>
        </w:rPr>
        <w:instrText xml:space="preserve"> ADDIN EN.CITE &lt;EndNote&gt;&lt;Cite&gt;&lt;Author&gt;Hu&lt;/Author&gt;&lt;Year&gt;1998&lt;/Year&gt;&lt;RecNum&gt;5795&lt;/RecNum&gt;&lt;DisplayText&gt;&lt;style face="superscript"&gt;131&lt;/style&gt;&lt;/DisplayText&gt;&lt;record&gt;&lt;rec-number&gt;5795&lt;/rec-number&gt;&lt;foreign-keys&gt;&lt;key app="EN" db-id="2ewa9rrvjsdsawep2vpx5x97eedzzvxx5rta" timestamp="1478770364"&gt;5795&lt;/key&gt;&lt;/foreign-keys&gt;&lt;ref-type name="Journal Article"&gt;17&lt;/ref-type&gt;&lt;contributors&gt;&lt;authors&gt;&lt;author&gt;Hu, L. Bentler, P.&lt;/author&gt;&lt;/authors&gt;&lt;/contributors&gt;&lt;titles&gt;&lt;title&gt;Fit Indices in Covariance Structure Modeling: Sensitivity to Underparameterized Model Misspecification&lt;/title&gt;&lt;secondary-title&gt;Psychological Methods&lt;/secondary-title&gt;&lt;/titles&gt;&lt;periodical&gt;&lt;full-title&gt;Psychological Methods&lt;/full-title&gt;&lt;abbr-1&gt;Psychol. Methods&lt;/abbr-1&gt;&lt;abbr-2&gt;Psychol Methods&lt;/abbr-2&gt;&lt;/periodical&gt;&lt;pages&gt;424-453&lt;/pages&gt;&lt;volume&gt;3&lt;/volume&gt;&lt;number&gt;4&lt;/number&gt;&lt;dates&gt;&lt;year&gt;1998&lt;/year&gt;&lt;/dates&gt;&lt;urls&gt;&lt;/urls&gt;&lt;/record&gt;&lt;/Cite&gt;&lt;/EndNote&gt;</w:instrText>
      </w:r>
      <w:r>
        <w:rPr>
          <w:rFonts w:ascii="Calibri" w:eastAsia="Calibri" w:hAnsi="Calibri" w:cs="Times New Roman"/>
          <w:sz w:val="24"/>
          <w:szCs w:val="24"/>
        </w:rPr>
        <w:fldChar w:fldCharType="separate"/>
      </w:r>
      <w:r w:rsidR="008C43BF" w:rsidRPr="008C43BF">
        <w:rPr>
          <w:rFonts w:ascii="Calibri" w:eastAsia="Calibri" w:hAnsi="Calibri" w:cs="Times New Roman"/>
          <w:noProof/>
          <w:sz w:val="24"/>
          <w:szCs w:val="24"/>
          <w:vertAlign w:val="superscript"/>
        </w:rPr>
        <w:t>131</w:t>
      </w:r>
      <w:r>
        <w:rPr>
          <w:rFonts w:ascii="Calibri" w:eastAsia="Calibri" w:hAnsi="Calibri" w:cs="Times New Roman"/>
          <w:sz w:val="24"/>
          <w:szCs w:val="24"/>
        </w:rPr>
        <w:fldChar w:fldCharType="end"/>
      </w:r>
    </w:p>
    <w:p w14:paraId="3AA0F836" w14:textId="2256AFDC" w:rsidR="00403B07" w:rsidRPr="00186586" w:rsidRDefault="00403B07" w:rsidP="00403B07">
      <w:pPr>
        <w:rPr>
          <w:rFonts w:ascii="Calibri" w:eastAsia="Calibri" w:hAnsi="Calibri" w:cs="Times New Roman"/>
          <w:sz w:val="24"/>
          <w:szCs w:val="24"/>
        </w:rPr>
      </w:pPr>
      <w:r w:rsidRPr="00186586">
        <w:rPr>
          <w:rFonts w:ascii="Calibri" w:eastAsia="Calibri" w:hAnsi="Calibri" w:cs="Times New Roman"/>
          <w:sz w:val="24"/>
          <w:szCs w:val="24"/>
        </w:rPr>
        <w:t xml:space="preserve">relative/normed chi-square (χ2/df) &lt;5 (while this criterion is commonly used and well-known, it is equally sensitive to sample size </w:t>
      </w:r>
      <w:r>
        <w:rPr>
          <w:rFonts w:ascii="Calibri" w:eastAsia="Calibri" w:hAnsi="Calibri" w:cs="Times New Roman"/>
          <w:sz w:val="24"/>
          <w:szCs w:val="24"/>
        </w:rPr>
        <w:fldChar w:fldCharType="begin"/>
      </w:r>
      <w:r w:rsidR="008C43BF">
        <w:rPr>
          <w:rFonts w:ascii="Calibri" w:eastAsia="Calibri" w:hAnsi="Calibri" w:cs="Times New Roman"/>
          <w:sz w:val="24"/>
          <w:szCs w:val="24"/>
        </w:rPr>
        <w:instrText xml:space="preserve"> ADDIN EN.CITE &lt;EndNote&gt;&lt;Cite&gt;&lt;Author&gt;Wheaton&lt;/Author&gt;&lt;Year&gt;1987&lt;/Year&gt;&lt;RecNum&gt;5796&lt;/RecNum&gt;&lt;DisplayText&gt;&lt;style face="superscript"&gt;132&lt;/style&gt;&lt;/DisplayText&gt;&lt;record&gt;&lt;rec-number&gt;5796&lt;/rec-number&gt;&lt;foreign-keys&gt;&lt;key app="EN" db-id="2ewa9rrvjsdsawep2vpx5x97eedzzvxx5rta" timestamp="1478771276"&gt;5796&lt;/key&gt;&lt;/foreign-keys&gt;&lt;ref-type name="Journal Article"&gt;17&lt;/ref-type&gt;&lt;contributors&gt;&lt;authors&gt;&lt;author&gt;Wheaton, B.&lt;/author&gt;&lt;/authors&gt;&lt;/contributors&gt;&lt;titles&gt;&lt;title&gt;Assessment of fit in overidentified models with latent variables&lt;/title&gt;&lt;secondary-title&gt;Sociological Methods &amp;amp; Research&lt;/secondary-title&gt;&lt;/titles&gt;&lt;pages&gt;118-154&lt;/pages&gt;&lt;volume&gt;16&lt;/volume&gt;&lt;dates&gt;&lt;year&gt;1987&lt;/year&gt;&lt;/dates&gt;&lt;urls&gt;&lt;related-urls&gt;&lt;url&gt;http://people.cehd.tamu.edu/~okwok/epsy651R/Articles/HuBentler1998.pdf&lt;/url&gt;&lt;/related-urls&gt;&lt;/urls&gt;&lt;/record&gt;&lt;/Cite&gt;&lt;/EndNote&gt;</w:instrText>
      </w:r>
      <w:r>
        <w:rPr>
          <w:rFonts w:ascii="Calibri" w:eastAsia="Calibri" w:hAnsi="Calibri" w:cs="Times New Roman"/>
          <w:sz w:val="24"/>
          <w:szCs w:val="24"/>
        </w:rPr>
        <w:fldChar w:fldCharType="separate"/>
      </w:r>
      <w:r w:rsidR="008C43BF" w:rsidRPr="008C43BF">
        <w:rPr>
          <w:rFonts w:ascii="Calibri" w:eastAsia="Calibri" w:hAnsi="Calibri" w:cs="Times New Roman"/>
          <w:noProof/>
          <w:sz w:val="24"/>
          <w:szCs w:val="24"/>
          <w:vertAlign w:val="superscript"/>
        </w:rPr>
        <w:t>132</w:t>
      </w:r>
      <w:r>
        <w:rPr>
          <w:rFonts w:ascii="Calibri" w:eastAsia="Calibri" w:hAnsi="Calibri" w:cs="Times New Roman"/>
          <w:sz w:val="24"/>
          <w:szCs w:val="24"/>
        </w:rPr>
        <w:fldChar w:fldCharType="end"/>
      </w:r>
      <w:r w:rsidRPr="00186586">
        <w:rPr>
          <w:rFonts w:ascii="Calibri" w:eastAsia="Calibri" w:hAnsi="Calibri" w:cs="Times New Roman"/>
          <w:sz w:val="24"/>
          <w:szCs w:val="24"/>
        </w:rPr>
        <w:t>)</w:t>
      </w:r>
    </w:p>
    <w:p w14:paraId="733A2808" w14:textId="77777777" w:rsidR="00403B07" w:rsidRPr="00A868C3" w:rsidRDefault="00403B07" w:rsidP="00403B07">
      <w:pPr>
        <w:rPr>
          <w:rFonts w:ascii="Calibri" w:eastAsia="Calibri" w:hAnsi="Calibri" w:cs="Times New Roman"/>
          <w:b/>
          <w:sz w:val="24"/>
          <w:szCs w:val="24"/>
        </w:rPr>
      </w:pPr>
      <w:r w:rsidRPr="00A868C3">
        <w:rPr>
          <w:rFonts w:ascii="Calibri" w:eastAsia="Calibri" w:hAnsi="Calibri" w:cs="Times New Roman"/>
          <w:b/>
          <w:sz w:val="24"/>
          <w:szCs w:val="24"/>
        </w:rPr>
        <w:t>Results</w:t>
      </w:r>
    </w:p>
    <w:p w14:paraId="191EAD2D" w14:textId="77777777" w:rsidR="00403B07" w:rsidRPr="00186586" w:rsidRDefault="00403B07" w:rsidP="00403B07">
      <w:pPr>
        <w:rPr>
          <w:rFonts w:ascii="Calibri" w:eastAsia="Calibri" w:hAnsi="Calibri" w:cs="Times New Roman"/>
          <w:i/>
          <w:sz w:val="24"/>
          <w:szCs w:val="24"/>
        </w:rPr>
      </w:pPr>
      <w:r w:rsidRPr="00186586">
        <w:rPr>
          <w:rFonts w:ascii="Calibri" w:eastAsia="Calibri" w:hAnsi="Calibri" w:cs="Times New Roman"/>
          <w:i/>
          <w:sz w:val="24"/>
          <w:szCs w:val="24"/>
        </w:rPr>
        <w:t>Phases 1 &amp; 2</w:t>
      </w:r>
    </w:p>
    <w:p w14:paraId="48E64AF9" w14:textId="347F7D98" w:rsidR="00403B07" w:rsidRPr="00186586" w:rsidRDefault="00403B07" w:rsidP="00403B07">
      <w:pPr>
        <w:rPr>
          <w:rFonts w:ascii="Calibri" w:eastAsia="Calibri" w:hAnsi="Calibri" w:cs="Times New Roman"/>
          <w:sz w:val="24"/>
          <w:szCs w:val="24"/>
        </w:rPr>
      </w:pPr>
      <w:r w:rsidRPr="00186586">
        <w:rPr>
          <w:rFonts w:ascii="Calibri" w:eastAsia="Calibri" w:hAnsi="Calibri" w:cs="Times New Roman"/>
          <w:sz w:val="24"/>
          <w:szCs w:val="24"/>
        </w:rPr>
        <w:t xml:space="preserve">An initial </w:t>
      </w:r>
      <w:r w:rsidRPr="00A41451">
        <w:rPr>
          <w:rFonts w:ascii="Calibri" w:eastAsia="Calibri" w:hAnsi="Calibri" w:cs="Times New Roman"/>
          <w:sz w:val="24"/>
          <w:szCs w:val="24"/>
        </w:rPr>
        <w:t>52</w:t>
      </w:r>
      <w:r w:rsidRPr="00186586">
        <w:rPr>
          <w:rFonts w:ascii="Calibri" w:eastAsia="Calibri" w:hAnsi="Calibri" w:cs="Times New Roman"/>
          <w:sz w:val="24"/>
          <w:szCs w:val="24"/>
        </w:rPr>
        <w:t xml:space="preserve"> item </w:t>
      </w:r>
      <w:r>
        <w:rPr>
          <w:rFonts w:ascii="Calibri" w:eastAsia="Calibri" w:hAnsi="Calibri" w:cs="Times New Roman"/>
          <w:sz w:val="24"/>
          <w:szCs w:val="24"/>
        </w:rPr>
        <w:t xml:space="preserve">MLQ </w:t>
      </w:r>
      <w:r w:rsidRPr="00186586">
        <w:rPr>
          <w:rFonts w:ascii="Calibri" w:eastAsia="Calibri" w:hAnsi="Calibri" w:cs="Times New Roman"/>
          <w:sz w:val="24"/>
          <w:szCs w:val="24"/>
        </w:rPr>
        <w:t xml:space="preserve">booklet was created in Phase 1 from </w:t>
      </w:r>
      <w:r>
        <w:rPr>
          <w:rFonts w:ascii="Calibri" w:eastAsia="Calibri" w:hAnsi="Calibri" w:cs="Times New Roman"/>
          <w:sz w:val="24"/>
          <w:szCs w:val="24"/>
        </w:rPr>
        <w:t xml:space="preserve">team discussion, </w:t>
      </w:r>
      <w:r w:rsidRPr="00186586">
        <w:rPr>
          <w:rFonts w:ascii="Calibri" w:eastAsia="Calibri" w:hAnsi="Calibri" w:cs="Times New Roman"/>
          <w:sz w:val="24"/>
          <w:szCs w:val="24"/>
        </w:rPr>
        <w:t>mapping</w:t>
      </w:r>
      <w:r>
        <w:rPr>
          <w:rFonts w:ascii="Calibri" w:eastAsia="Calibri" w:hAnsi="Calibri" w:cs="Times New Roman"/>
          <w:sz w:val="24"/>
          <w:szCs w:val="24"/>
        </w:rPr>
        <w:t xml:space="preserve"> work</w:t>
      </w:r>
      <w:r w:rsidRPr="00186586">
        <w:rPr>
          <w:rFonts w:ascii="Calibri" w:eastAsia="Calibri" w:hAnsi="Calibri" w:cs="Times New Roman"/>
          <w:sz w:val="24"/>
          <w:szCs w:val="24"/>
        </w:rPr>
        <w:t xml:space="preserve"> and published </w:t>
      </w:r>
      <w:r w:rsidRPr="00A868C3">
        <w:rPr>
          <w:rFonts w:ascii="Calibri" w:eastAsia="Calibri" w:hAnsi="Calibri" w:cs="Times New Roman"/>
          <w:sz w:val="24"/>
          <w:szCs w:val="24"/>
        </w:rPr>
        <w:t xml:space="preserve">sources </w:t>
      </w:r>
      <w:r>
        <w:rPr>
          <w:rFonts w:ascii="Calibri" w:eastAsia="Calibri" w:hAnsi="Calibri" w:cs="Times New Roman"/>
          <w:sz w:val="24"/>
          <w:szCs w:val="24"/>
        </w:rPr>
        <w:fldChar w:fldCharType="begin"/>
      </w:r>
      <w:r w:rsidR="006B3301">
        <w:rPr>
          <w:rFonts w:ascii="Calibri" w:eastAsia="Calibri" w:hAnsi="Calibri" w:cs="Times New Roman"/>
          <w:sz w:val="24"/>
          <w:szCs w:val="24"/>
        </w:rPr>
        <w:instrText xml:space="preserve"> ADDIN EN.CITE &lt;EndNote&gt;&lt;Cite&gt;&lt;Author&gt;Lloyd&lt;/Author&gt;&lt;Year&gt;2013&lt;/Year&gt;&lt;RecNum&gt;5811&lt;/RecNum&gt;&lt;DisplayText&gt;&lt;style face="superscript"&gt;145&lt;/style&gt;&lt;/DisplayText&gt;&lt;record&gt;&lt;rec-number&gt;5811&lt;/rec-number&gt;&lt;foreign-keys&gt;&lt;key app="EN" db-id="2ewa9rrvjsdsawep2vpx5x97eedzzvxx5rta" timestamp="1478877391"&gt;5811&lt;/key&gt;&lt;/foreign-keys&gt;&lt;ref-type name="Thesis"&gt;32&lt;/ref-type&gt;&lt;contributors&gt;&lt;authors&gt;&lt;author&gt;Lloyd, J.&lt;/author&gt;&lt;/authors&gt;&lt;/contributors&gt;&lt;titles&gt;&lt;title&gt;Preventing childhood obesity: Developing complex interventions for behaviour change&lt;/title&gt;&lt;/titles&gt;&lt;dates&gt;&lt;year&gt;2013&lt;/year&gt;&lt;/dates&gt;&lt;pub-location&gt;Exeter&lt;/pub-location&gt;&lt;publisher&gt;University of Exeter&lt;/publisher&gt;&lt;urls&gt;&lt;/urls&gt;&lt;/record&gt;&lt;/Cite&gt;&lt;/EndNote&gt;</w:instrText>
      </w:r>
      <w:r>
        <w:rPr>
          <w:rFonts w:ascii="Calibri" w:eastAsia="Calibri" w:hAnsi="Calibri" w:cs="Times New Roman"/>
          <w:sz w:val="24"/>
          <w:szCs w:val="24"/>
        </w:rPr>
        <w:fldChar w:fldCharType="separate"/>
      </w:r>
      <w:r w:rsidR="006B3301" w:rsidRPr="006B3301">
        <w:rPr>
          <w:rFonts w:ascii="Calibri" w:eastAsia="Calibri" w:hAnsi="Calibri" w:cs="Times New Roman"/>
          <w:noProof/>
          <w:sz w:val="24"/>
          <w:szCs w:val="24"/>
          <w:vertAlign w:val="superscript"/>
        </w:rPr>
        <w:t>145</w:t>
      </w:r>
      <w:r>
        <w:rPr>
          <w:rFonts w:ascii="Calibri" w:eastAsia="Calibri" w:hAnsi="Calibri" w:cs="Times New Roman"/>
          <w:sz w:val="24"/>
          <w:szCs w:val="24"/>
        </w:rPr>
        <w:fldChar w:fldCharType="end"/>
      </w:r>
      <w:r w:rsidRPr="00A868C3">
        <w:rPr>
          <w:rFonts w:ascii="Calibri" w:eastAsia="Calibri" w:hAnsi="Calibri" w:cs="Times New Roman"/>
          <w:sz w:val="24"/>
          <w:szCs w:val="24"/>
        </w:rPr>
        <w:t>.</w:t>
      </w:r>
      <w:r w:rsidRPr="00186586">
        <w:rPr>
          <w:rFonts w:ascii="Calibri" w:eastAsia="Calibri" w:hAnsi="Calibri" w:cs="Times New Roman"/>
          <w:sz w:val="24"/>
          <w:szCs w:val="24"/>
        </w:rPr>
        <w:t xml:space="preserve"> </w:t>
      </w:r>
    </w:p>
    <w:p w14:paraId="45D71211" w14:textId="584A44A3" w:rsidR="00E85074" w:rsidRDefault="00403B07" w:rsidP="00403B07">
      <w:pPr>
        <w:rPr>
          <w:rFonts w:ascii="Calibri" w:eastAsia="Calibri" w:hAnsi="Calibri" w:cs="Times New Roman"/>
          <w:sz w:val="24"/>
          <w:szCs w:val="24"/>
        </w:rPr>
      </w:pPr>
      <w:r w:rsidRPr="00186586">
        <w:rPr>
          <w:rFonts w:ascii="Calibri" w:eastAsia="Calibri" w:hAnsi="Calibri" w:cs="Times New Roman"/>
          <w:sz w:val="24"/>
          <w:szCs w:val="24"/>
        </w:rPr>
        <w:t>Qualitative feedback from the fieldwork (Phase 2) and summary statistical data (</w:t>
      </w:r>
      <w:r>
        <w:rPr>
          <w:rFonts w:ascii="Calibri" w:eastAsia="Calibri" w:hAnsi="Calibri" w:cs="Times New Roman"/>
          <w:sz w:val="24"/>
          <w:szCs w:val="24"/>
        </w:rPr>
        <w:t xml:space="preserve">e.g. means, SDs, floor and ceiling effects and </w:t>
      </w:r>
      <w:r w:rsidRPr="00186586">
        <w:rPr>
          <w:rFonts w:ascii="Calibri" w:eastAsia="Calibri" w:hAnsi="Calibri" w:cs="Times New Roman"/>
          <w:sz w:val="24"/>
          <w:szCs w:val="24"/>
        </w:rPr>
        <w:t xml:space="preserve">item correlations) were discussed by the development team, resulting in </w:t>
      </w:r>
      <w:r>
        <w:rPr>
          <w:rFonts w:ascii="Calibri" w:eastAsia="Calibri" w:hAnsi="Calibri" w:cs="Times New Roman"/>
          <w:sz w:val="24"/>
          <w:szCs w:val="24"/>
        </w:rPr>
        <w:t xml:space="preserve">a number of </w:t>
      </w:r>
      <w:r w:rsidRPr="00186586">
        <w:rPr>
          <w:rFonts w:ascii="Calibri" w:eastAsia="Calibri" w:hAnsi="Calibri" w:cs="Times New Roman"/>
          <w:sz w:val="24"/>
          <w:szCs w:val="24"/>
        </w:rPr>
        <w:t>amendments and formatting changes. The resultant second draft of MLQ comprised 50 items in five sections</w:t>
      </w:r>
      <w:r>
        <w:rPr>
          <w:rFonts w:ascii="Calibri" w:eastAsia="Calibri" w:hAnsi="Calibri" w:cs="Times New Roman"/>
          <w:sz w:val="24"/>
          <w:szCs w:val="24"/>
        </w:rPr>
        <w:t xml:space="preserve"> (see Box 1)</w:t>
      </w:r>
      <w:r w:rsidRPr="00186586">
        <w:rPr>
          <w:rFonts w:ascii="Calibri" w:eastAsia="Calibri" w:hAnsi="Calibri" w:cs="Times New Roman"/>
          <w:sz w:val="24"/>
          <w:szCs w:val="24"/>
        </w:rPr>
        <w:t xml:space="preserve">: the first section contained five ‘knowledge’ items with a score range of 0-20. The remaining sections were related to individual motivations and cognitions (23 items), parental mediating behaviours (4 items), child use of change techniques (10 items) and child mediating behaviours (8 items); all these items had a 4 </w:t>
      </w:r>
      <w:r>
        <w:rPr>
          <w:rFonts w:ascii="Calibri" w:eastAsia="Calibri" w:hAnsi="Calibri" w:cs="Times New Roman"/>
          <w:sz w:val="24"/>
          <w:szCs w:val="24"/>
        </w:rPr>
        <w:t xml:space="preserve">point Likert </w:t>
      </w:r>
      <w:r w:rsidRPr="00186586">
        <w:rPr>
          <w:rFonts w:ascii="Calibri" w:eastAsia="Calibri" w:hAnsi="Calibri" w:cs="Times New Roman"/>
          <w:sz w:val="24"/>
          <w:szCs w:val="24"/>
        </w:rPr>
        <w:t xml:space="preserve">rating scale </w:t>
      </w:r>
      <w:r w:rsidRPr="00E00FD1">
        <w:rPr>
          <w:rFonts w:ascii="Calibri" w:eastAsia="Calibri" w:hAnsi="Calibri" w:cs="Times New Roman"/>
          <w:sz w:val="24"/>
          <w:szCs w:val="24"/>
        </w:rPr>
        <w:t>(see Appendix 3 for copy of the MLQ and its scoring system).</w:t>
      </w:r>
      <w:r>
        <w:rPr>
          <w:rFonts w:ascii="Calibri" w:eastAsia="Calibri" w:hAnsi="Calibri" w:cs="Times New Roman"/>
          <w:sz w:val="24"/>
          <w:szCs w:val="24"/>
        </w:rPr>
        <w:t xml:space="preserve"> Eleven items require reverse scoring. Higher scores represent health promoting motivation and behavioural skills.</w:t>
      </w:r>
    </w:p>
    <w:p w14:paraId="3437FCEE" w14:textId="77777777" w:rsidR="00E85074" w:rsidRDefault="00E85074">
      <w:pPr>
        <w:rPr>
          <w:rFonts w:ascii="Calibri" w:eastAsia="Calibri" w:hAnsi="Calibri" w:cs="Times New Roman"/>
          <w:sz w:val="24"/>
          <w:szCs w:val="24"/>
        </w:rPr>
      </w:pPr>
      <w:r>
        <w:rPr>
          <w:rFonts w:ascii="Calibri" w:eastAsia="Calibri" w:hAnsi="Calibri" w:cs="Times New Roman"/>
          <w:sz w:val="24"/>
          <w:szCs w:val="24"/>
        </w:rPr>
        <w:br w:type="page"/>
      </w:r>
    </w:p>
    <w:p w14:paraId="43A32A20" w14:textId="1178CCC7" w:rsidR="00403B07" w:rsidRPr="0000413F" w:rsidRDefault="00E85074" w:rsidP="00403B07">
      <w:pPr>
        <w:rPr>
          <w:rFonts w:ascii="Calibri" w:eastAsia="Calibri" w:hAnsi="Calibri" w:cs="Times New Roman"/>
          <w:b/>
          <w:sz w:val="24"/>
          <w:szCs w:val="24"/>
        </w:rPr>
      </w:pPr>
      <w:r w:rsidRPr="000A67DA">
        <w:rPr>
          <w:rFonts w:ascii="Calibri" w:eastAsia="Calibri" w:hAnsi="Calibri" w:cs="Times New Roman"/>
          <w:noProof/>
          <w:highlight w:val="yellow"/>
          <w:lang w:eastAsia="zh-CN"/>
        </w:rPr>
        <w:lastRenderedPageBreak/>
        <mc:AlternateContent>
          <mc:Choice Requires="wps">
            <w:drawing>
              <wp:anchor distT="0" distB="0" distL="114300" distR="114300" simplePos="0" relativeHeight="251679744" behindDoc="0" locked="0" layoutInCell="1" allowOverlap="1" wp14:anchorId="79B64D32" wp14:editId="76ED7D09">
                <wp:simplePos x="0" y="0"/>
                <wp:positionH relativeFrom="column">
                  <wp:posOffset>466725</wp:posOffset>
                </wp:positionH>
                <wp:positionV relativeFrom="paragraph">
                  <wp:posOffset>323215</wp:posOffset>
                </wp:positionV>
                <wp:extent cx="5257800" cy="6010275"/>
                <wp:effectExtent l="0" t="0" r="19050" b="28575"/>
                <wp:wrapNone/>
                <wp:docPr id="694"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6010275"/>
                        </a:xfrm>
                        <a:prstGeom prst="rect">
                          <a:avLst/>
                        </a:prstGeom>
                        <a:solidFill>
                          <a:srgbClr val="FFFFFF"/>
                        </a:solidFill>
                        <a:ln w="9525">
                          <a:solidFill>
                            <a:srgbClr val="000000"/>
                          </a:solidFill>
                          <a:miter lim="800000"/>
                          <a:headEnd/>
                          <a:tailEnd/>
                        </a:ln>
                      </wps:spPr>
                      <wps:txbx>
                        <w:txbxContent>
                          <w:p w14:paraId="53CDD3D8" w14:textId="77777777" w:rsidR="00DE3537" w:rsidRDefault="00DE3537" w:rsidP="00403B07">
                            <w:pPr>
                              <w:rPr>
                                <w:b/>
                                <w:lang w:val="en-US"/>
                              </w:rPr>
                            </w:pPr>
                            <w:r w:rsidRPr="00FA02F9">
                              <w:rPr>
                                <w:b/>
                                <w:lang w:val="en-US"/>
                              </w:rPr>
                              <w:t>Knowledge</w:t>
                            </w:r>
                          </w:p>
                          <w:p w14:paraId="1A44F424" w14:textId="77777777" w:rsidR="00DE3537" w:rsidRDefault="00DE3537" w:rsidP="00403B07">
                            <w:pPr>
                              <w:pStyle w:val="ListParagraph"/>
                              <w:numPr>
                                <w:ilvl w:val="0"/>
                                <w:numId w:val="10"/>
                              </w:numPr>
                              <w:rPr>
                                <w:lang w:val="en-US"/>
                              </w:rPr>
                            </w:pPr>
                            <w:r>
                              <w:rPr>
                                <w:lang w:val="en-US"/>
                              </w:rPr>
                              <w:t>Healthy snack/drink alternatives</w:t>
                            </w:r>
                          </w:p>
                          <w:p w14:paraId="6256C76B" w14:textId="77777777" w:rsidR="00DE3537" w:rsidRDefault="00DE3537" w:rsidP="00403B07">
                            <w:pPr>
                              <w:pStyle w:val="ListParagraph"/>
                              <w:numPr>
                                <w:ilvl w:val="0"/>
                                <w:numId w:val="10"/>
                              </w:numPr>
                              <w:rPr>
                                <w:lang w:val="en-US"/>
                              </w:rPr>
                            </w:pPr>
                            <w:r>
                              <w:rPr>
                                <w:lang w:val="en-US"/>
                              </w:rPr>
                              <w:t>Food group proportions</w:t>
                            </w:r>
                          </w:p>
                          <w:p w14:paraId="362D3282" w14:textId="77777777" w:rsidR="00DE3537" w:rsidRDefault="00DE3537" w:rsidP="00403B07">
                            <w:pPr>
                              <w:pStyle w:val="ListParagraph"/>
                              <w:numPr>
                                <w:ilvl w:val="0"/>
                                <w:numId w:val="10"/>
                              </w:numPr>
                              <w:rPr>
                                <w:lang w:val="en-US"/>
                              </w:rPr>
                            </w:pPr>
                            <w:r>
                              <w:rPr>
                                <w:lang w:val="en-US"/>
                              </w:rPr>
                              <w:t>Lifestyle physical activity</w:t>
                            </w:r>
                          </w:p>
                          <w:p w14:paraId="7EF76882" w14:textId="77777777" w:rsidR="00DE3537" w:rsidRDefault="00DE3537" w:rsidP="00403B07">
                            <w:pPr>
                              <w:pStyle w:val="ListParagraph"/>
                              <w:numPr>
                                <w:ilvl w:val="0"/>
                                <w:numId w:val="10"/>
                              </w:numPr>
                              <w:rPr>
                                <w:lang w:val="en-US"/>
                              </w:rPr>
                            </w:pPr>
                            <w:r>
                              <w:rPr>
                                <w:lang w:val="en-US"/>
                              </w:rPr>
                              <w:t>Energy balance</w:t>
                            </w:r>
                          </w:p>
                          <w:p w14:paraId="747147C6" w14:textId="77777777" w:rsidR="00DE3537" w:rsidRPr="00FA02F9" w:rsidRDefault="00DE3537" w:rsidP="00403B07">
                            <w:pPr>
                              <w:pStyle w:val="ListParagraph"/>
                              <w:numPr>
                                <w:ilvl w:val="0"/>
                                <w:numId w:val="10"/>
                              </w:numPr>
                              <w:rPr>
                                <w:lang w:val="en-US"/>
                              </w:rPr>
                            </w:pPr>
                            <w:r>
                              <w:rPr>
                                <w:lang w:val="en-US"/>
                              </w:rPr>
                              <w:t>Strategies for change</w:t>
                            </w:r>
                          </w:p>
                          <w:p w14:paraId="38DB5D35" w14:textId="77777777" w:rsidR="00DE3537" w:rsidRDefault="00DE3537" w:rsidP="00403B07">
                            <w:pPr>
                              <w:rPr>
                                <w:b/>
                                <w:lang w:val="en-US"/>
                              </w:rPr>
                            </w:pPr>
                            <w:r w:rsidRPr="00FA02F9">
                              <w:rPr>
                                <w:b/>
                                <w:lang w:val="en-US"/>
                              </w:rPr>
                              <w:t>Individual motivations and cognitions</w:t>
                            </w:r>
                          </w:p>
                          <w:p w14:paraId="529391D8" w14:textId="77777777" w:rsidR="00DE3537" w:rsidRDefault="00DE3537" w:rsidP="00403B07">
                            <w:pPr>
                              <w:pStyle w:val="ListParagraph"/>
                              <w:numPr>
                                <w:ilvl w:val="0"/>
                                <w:numId w:val="11"/>
                              </w:numPr>
                              <w:rPr>
                                <w:lang w:val="en-US"/>
                              </w:rPr>
                            </w:pPr>
                            <w:r w:rsidRPr="00FD5F89">
                              <w:rPr>
                                <w:lang w:val="en-US"/>
                              </w:rPr>
                              <w:t>Self-efficacy  to make healthy eating and activity choices</w:t>
                            </w:r>
                          </w:p>
                          <w:p w14:paraId="024EF246" w14:textId="77777777" w:rsidR="00DE3537" w:rsidRDefault="00DE3537" w:rsidP="00403B07">
                            <w:pPr>
                              <w:pStyle w:val="ListParagraph"/>
                              <w:numPr>
                                <w:ilvl w:val="0"/>
                                <w:numId w:val="11"/>
                              </w:numPr>
                              <w:rPr>
                                <w:lang w:val="en-US"/>
                              </w:rPr>
                            </w:pPr>
                            <w:r>
                              <w:rPr>
                                <w:lang w:val="en-US"/>
                              </w:rPr>
                              <w:t>Intentions to make healthy eating and activity choices</w:t>
                            </w:r>
                          </w:p>
                          <w:p w14:paraId="29B12300" w14:textId="77777777" w:rsidR="00DE3537" w:rsidRDefault="00DE3537" w:rsidP="00403B07">
                            <w:pPr>
                              <w:pStyle w:val="ListParagraph"/>
                              <w:numPr>
                                <w:ilvl w:val="0"/>
                                <w:numId w:val="11"/>
                              </w:numPr>
                              <w:rPr>
                                <w:lang w:val="en-US"/>
                              </w:rPr>
                            </w:pPr>
                            <w:r>
                              <w:rPr>
                                <w:lang w:val="en-US"/>
                              </w:rPr>
                              <w:t>Peer norms</w:t>
                            </w:r>
                          </w:p>
                          <w:p w14:paraId="0B9879FE" w14:textId="77777777" w:rsidR="00DE3537" w:rsidRDefault="00DE3537" w:rsidP="00403B07">
                            <w:pPr>
                              <w:pStyle w:val="ListParagraph"/>
                              <w:numPr>
                                <w:ilvl w:val="0"/>
                                <w:numId w:val="11"/>
                              </w:numPr>
                              <w:rPr>
                                <w:lang w:val="en-US"/>
                              </w:rPr>
                            </w:pPr>
                            <w:r>
                              <w:rPr>
                                <w:lang w:val="en-US"/>
                              </w:rPr>
                              <w:t>Peer approval</w:t>
                            </w:r>
                          </w:p>
                          <w:p w14:paraId="738CB839" w14:textId="77777777" w:rsidR="00DE3537" w:rsidRDefault="00DE3537" w:rsidP="00403B07">
                            <w:pPr>
                              <w:pStyle w:val="ListParagraph"/>
                              <w:numPr>
                                <w:ilvl w:val="0"/>
                                <w:numId w:val="11"/>
                              </w:numPr>
                              <w:rPr>
                                <w:lang w:val="en-US"/>
                              </w:rPr>
                            </w:pPr>
                            <w:r>
                              <w:rPr>
                                <w:lang w:val="en-US"/>
                              </w:rPr>
                              <w:t>Family approval</w:t>
                            </w:r>
                          </w:p>
                          <w:p w14:paraId="78845053" w14:textId="77777777" w:rsidR="00DE3537" w:rsidRPr="00FD5F89" w:rsidRDefault="00DE3537" w:rsidP="00403B07">
                            <w:pPr>
                              <w:pStyle w:val="ListParagraph"/>
                              <w:numPr>
                                <w:ilvl w:val="0"/>
                                <w:numId w:val="11"/>
                              </w:numPr>
                              <w:rPr>
                                <w:lang w:val="en-US"/>
                              </w:rPr>
                            </w:pPr>
                            <w:r>
                              <w:rPr>
                                <w:lang w:val="en-US"/>
                              </w:rPr>
                              <w:t>Attitudes towards restrictions on behaviour</w:t>
                            </w:r>
                          </w:p>
                          <w:p w14:paraId="070A7678" w14:textId="77777777" w:rsidR="00DE3537" w:rsidRDefault="00DE3537" w:rsidP="00403B07">
                            <w:pPr>
                              <w:rPr>
                                <w:b/>
                                <w:lang w:val="en-US"/>
                              </w:rPr>
                            </w:pPr>
                            <w:r w:rsidRPr="00FA02F9">
                              <w:rPr>
                                <w:b/>
                                <w:lang w:val="en-US"/>
                              </w:rPr>
                              <w:t>Parental mediating behaviours</w:t>
                            </w:r>
                          </w:p>
                          <w:p w14:paraId="376F85E1" w14:textId="77777777" w:rsidR="00DE3537" w:rsidRPr="00FD5F89" w:rsidRDefault="00DE3537" w:rsidP="00403B07">
                            <w:pPr>
                              <w:pStyle w:val="ListParagraph"/>
                              <w:numPr>
                                <w:ilvl w:val="0"/>
                                <w:numId w:val="12"/>
                              </w:numPr>
                              <w:rPr>
                                <w:lang w:val="en-US"/>
                              </w:rPr>
                            </w:pPr>
                            <w:r>
                              <w:rPr>
                                <w:lang w:val="en-US"/>
                              </w:rPr>
                              <w:t>Parental provision of healthy</w:t>
                            </w:r>
                            <w:r w:rsidRPr="00FD5F89">
                              <w:rPr>
                                <w:lang w:val="en-US"/>
                              </w:rPr>
                              <w:t>/unhealthy snacks/drinks and physical activity opportunities</w:t>
                            </w:r>
                          </w:p>
                          <w:p w14:paraId="4C6FC9A0" w14:textId="77777777" w:rsidR="00DE3537" w:rsidRPr="00EC524C" w:rsidRDefault="00DE3537" w:rsidP="00403B07">
                            <w:pPr>
                              <w:pStyle w:val="ListParagraph"/>
                              <w:numPr>
                                <w:ilvl w:val="0"/>
                                <w:numId w:val="12"/>
                              </w:numPr>
                              <w:rPr>
                                <w:lang w:val="en-US"/>
                              </w:rPr>
                            </w:pPr>
                            <w:r w:rsidRPr="00EC524C">
                              <w:rPr>
                                <w:lang w:val="en-US"/>
                              </w:rPr>
                              <w:t>Parental rules for food consumption and screen time</w:t>
                            </w:r>
                          </w:p>
                          <w:p w14:paraId="7796E480" w14:textId="77777777" w:rsidR="00DE3537" w:rsidRDefault="00DE3537" w:rsidP="00403B07">
                            <w:pPr>
                              <w:rPr>
                                <w:b/>
                                <w:lang w:val="en-US"/>
                              </w:rPr>
                            </w:pPr>
                            <w:r w:rsidRPr="00FA02F9">
                              <w:rPr>
                                <w:b/>
                                <w:lang w:val="en-US"/>
                              </w:rPr>
                              <w:t>Child mediating behaviours</w:t>
                            </w:r>
                          </w:p>
                          <w:p w14:paraId="72C8F97C" w14:textId="77777777" w:rsidR="00DE3537" w:rsidRDefault="00DE3537" w:rsidP="00403B07">
                            <w:pPr>
                              <w:pStyle w:val="ListParagraph"/>
                              <w:numPr>
                                <w:ilvl w:val="0"/>
                                <w:numId w:val="13"/>
                              </w:numPr>
                              <w:rPr>
                                <w:lang w:val="en-US"/>
                              </w:rPr>
                            </w:pPr>
                            <w:r>
                              <w:rPr>
                                <w:lang w:val="en-US"/>
                              </w:rPr>
                              <w:t>Goal setting</w:t>
                            </w:r>
                          </w:p>
                          <w:p w14:paraId="2317F4F9" w14:textId="77777777" w:rsidR="00DE3537" w:rsidRDefault="00DE3537" w:rsidP="00403B07">
                            <w:pPr>
                              <w:pStyle w:val="ListParagraph"/>
                              <w:numPr>
                                <w:ilvl w:val="0"/>
                                <w:numId w:val="13"/>
                              </w:numPr>
                              <w:rPr>
                                <w:lang w:val="en-US"/>
                              </w:rPr>
                            </w:pPr>
                            <w:r>
                              <w:rPr>
                                <w:lang w:val="en-US"/>
                              </w:rPr>
                              <w:t>Self-monitoring</w:t>
                            </w:r>
                          </w:p>
                          <w:p w14:paraId="691DAFB9" w14:textId="77777777" w:rsidR="00DE3537" w:rsidRDefault="00DE3537" w:rsidP="00403B07">
                            <w:pPr>
                              <w:pStyle w:val="ListParagraph"/>
                              <w:numPr>
                                <w:ilvl w:val="0"/>
                                <w:numId w:val="13"/>
                              </w:numPr>
                              <w:rPr>
                                <w:lang w:val="en-US"/>
                              </w:rPr>
                            </w:pPr>
                            <w:r>
                              <w:rPr>
                                <w:lang w:val="en-US"/>
                              </w:rPr>
                              <w:t>Discussion about healthy lifestyles with parents/family</w:t>
                            </w:r>
                          </w:p>
                          <w:p w14:paraId="32EB400C" w14:textId="77777777" w:rsidR="00DE3537" w:rsidRDefault="00DE3537" w:rsidP="00403B07">
                            <w:pPr>
                              <w:pStyle w:val="ListParagraph"/>
                              <w:numPr>
                                <w:ilvl w:val="0"/>
                                <w:numId w:val="13"/>
                              </w:numPr>
                              <w:rPr>
                                <w:lang w:val="en-US"/>
                              </w:rPr>
                            </w:pPr>
                            <w:r>
                              <w:rPr>
                                <w:lang w:val="en-US"/>
                              </w:rPr>
                              <w:t>Encouraging the family to be more healthy</w:t>
                            </w:r>
                          </w:p>
                          <w:p w14:paraId="0604DF29" w14:textId="77777777" w:rsidR="00DE3537" w:rsidRDefault="00DE3537" w:rsidP="00403B07">
                            <w:pPr>
                              <w:pStyle w:val="ListParagraph"/>
                              <w:numPr>
                                <w:ilvl w:val="0"/>
                                <w:numId w:val="13"/>
                              </w:numPr>
                              <w:rPr>
                                <w:lang w:val="en-US"/>
                              </w:rPr>
                            </w:pPr>
                            <w:r>
                              <w:rPr>
                                <w:lang w:val="en-US"/>
                              </w:rPr>
                              <w:t>Shopping with family</w:t>
                            </w:r>
                          </w:p>
                          <w:p w14:paraId="03F1D05C" w14:textId="77777777" w:rsidR="00DE3537" w:rsidRDefault="00DE3537" w:rsidP="00403B07">
                            <w:pPr>
                              <w:pStyle w:val="ListParagraph"/>
                              <w:numPr>
                                <w:ilvl w:val="0"/>
                                <w:numId w:val="13"/>
                              </w:numPr>
                              <w:rPr>
                                <w:lang w:val="en-US"/>
                              </w:rPr>
                            </w:pPr>
                            <w:r>
                              <w:rPr>
                                <w:lang w:val="en-US"/>
                              </w:rPr>
                              <w:t>Cooking with family</w:t>
                            </w:r>
                          </w:p>
                          <w:p w14:paraId="6ED31031" w14:textId="77777777" w:rsidR="00DE3537" w:rsidRPr="00EC524C" w:rsidRDefault="00DE3537" w:rsidP="00403B07">
                            <w:pPr>
                              <w:pStyle w:val="ListParagraph"/>
                              <w:numPr>
                                <w:ilvl w:val="0"/>
                                <w:numId w:val="13"/>
                              </w:numPr>
                              <w:rPr>
                                <w:lang w:val="en-US"/>
                              </w:rPr>
                            </w:pPr>
                            <w:r w:rsidRPr="00922AB3">
                              <w:rPr>
                                <w:lang w:val="en-US"/>
                              </w:rPr>
                              <w:t>Trying new healthy foods/drinks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B64D32" id="Text Box 694" o:spid="_x0000_s1220" type="#_x0000_t202" style="position:absolute;margin-left:36.75pt;margin-top:25.45pt;width:414pt;height:47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">
                <v:textbox>
                  <w:txbxContent>
                    <w:p w14:paraId="53CDD3D8" w14:textId="77777777" w:rsidR="00DE3537" w:rsidRDefault="00DE3537" w:rsidP="00403B07">
                      <w:pPr>
                        <w:rPr>
                          <w:b/>
                          <w:lang w:val="en-US"/>
                        </w:rPr>
                      </w:pPr>
                      <w:r w:rsidRPr="00FA02F9">
                        <w:rPr>
                          <w:b/>
                          <w:lang w:val="en-US"/>
                        </w:rPr>
                        <w:t>Knowledge</w:t>
                      </w:r>
                    </w:p>
                    <w:p w14:paraId="1A44F424" w14:textId="77777777" w:rsidR="00DE3537" w:rsidRDefault="00DE3537" w:rsidP="00403B07">
                      <w:pPr>
                        <w:pStyle w:val="ListParagraph"/>
                        <w:numPr>
                          <w:ilvl w:val="0"/>
                          <w:numId w:val="10"/>
                        </w:numPr>
                        <w:rPr>
                          <w:lang w:val="en-US"/>
                        </w:rPr>
                      </w:pPr>
                      <w:r>
                        <w:rPr>
                          <w:lang w:val="en-US"/>
                        </w:rPr>
                        <w:t>Healthy snack/drink alternatives</w:t>
                      </w:r>
                    </w:p>
                    <w:p w14:paraId="6256C76B" w14:textId="77777777" w:rsidR="00DE3537" w:rsidRDefault="00DE3537" w:rsidP="00403B07">
                      <w:pPr>
                        <w:pStyle w:val="ListParagraph"/>
                        <w:numPr>
                          <w:ilvl w:val="0"/>
                          <w:numId w:val="10"/>
                        </w:numPr>
                        <w:rPr>
                          <w:lang w:val="en-US"/>
                        </w:rPr>
                      </w:pPr>
                      <w:r>
                        <w:rPr>
                          <w:lang w:val="en-US"/>
                        </w:rPr>
                        <w:t>Food group proportions</w:t>
                      </w:r>
                    </w:p>
                    <w:p w14:paraId="362D3282" w14:textId="77777777" w:rsidR="00DE3537" w:rsidRDefault="00DE3537" w:rsidP="00403B07">
                      <w:pPr>
                        <w:pStyle w:val="ListParagraph"/>
                        <w:numPr>
                          <w:ilvl w:val="0"/>
                          <w:numId w:val="10"/>
                        </w:numPr>
                        <w:rPr>
                          <w:lang w:val="en-US"/>
                        </w:rPr>
                      </w:pPr>
                      <w:r>
                        <w:rPr>
                          <w:lang w:val="en-US"/>
                        </w:rPr>
                        <w:t>Lifestyle physical activity</w:t>
                      </w:r>
                    </w:p>
                    <w:p w14:paraId="7EF76882" w14:textId="77777777" w:rsidR="00DE3537" w:rsidRDefault="00DE3537" w:rsidP="00403B07">
                      <w:pPr>
                        <w:pStyle w:val="ListParagraph"/>
                        <w:numPr>
                          <w:ilvl w:val="0"/>
                          <w:numId w:val="10"/>
                        </w:numPr>
                        <w:rPr>
                          <w:lang w:val="en-US"/>
                        </w:rPr>
                      </w:pPr>
                      <w:r>
                        <w:rPr>
                          <w:lang w:val="en-US"/>
                        </w:rPr>
                        <w:t>Energy balance</w:t>
                      </w:r>
                    </w:p>
                    <w:p w14:paraId="747147C6" w14:textId="77777777" w:rsidR="00DE3537" w:rsidRPr="00FA02F9" w:rsidRDefault="00DE3537" w:rsidP="00403B07">
                      <w:pPr>
                        <w:pStyle w:val="ListParagraph"/>
                        <w:numPr>
                          <w:ilvl w:val="0"/>
                          <w:numId w:val="10"/>
                        </w:numPr>
                        <w:rPr>
                          <w:lang w:val="en-US"/>
                        </w:rPr>
                      </w:pPr>
                      <w:r>
                        <w:rPr>
                          <w:lang w:val="en-US"/>
                        </w:rPr>
                        <w:t>Strategies for change</w:t>
                      </w:r>
                    </w:p>
                    <w:p w14:paraId="38DB5D35" w14:textId="77777777" w:rsidR="00DE3537" w:rsidRDefault="00DE3537" w:rsidP="00403B07">
                      <w:pPr>
                        <w:rPr>
                          <w:b/>
                          <w:lang w:val="en-US"/>
                        </w:rPr>
                      </w:pPr>
                      <w:r w:rsidRPr="00FA02F9">
                        <w:rPr>
                          <w:b/>
                          <w:lang w:val="en-US"/>
                        </w:rPr>
                        <w:t>Individual motivations and cognitions</w:t>
                      </w:r>
                    </w:p>
                    <w:p w14:paraId="529391D8" w14:textId="77777777" w:rsidR="00DE3537" w:rsidRDefault="00DE3537" w:rsidP="00403B07">
                      <w:pPr>
                        <w:pStyle w:val="ListParagraph"/>
                        <w:numPr>
                          <w:ilvl w:val="0"/>
                          <w:numId w:val="11"/>
                        </w:numPr>
                        <w:rPr>
                          <w:lang w:val="en-US"/>
                        </w:rPr>
                      </w:pPr>
                      <w:r w:rsidRPr="00FD5F89">
                        <w:rPr>
                          <w:lang w:val="en-US"/>
                        </w:rPr>
                        <w:t>Self-efficacy  to make healthy eating and activity choices</w:t>
                      </w:r>
                    </w:p>
                    <w:p w14:paraId="024EF246" w14:textId="77777777" w:rsidR="00DE3537" w:rsidRDefault="00DE3537" w:rsidP="00403B07">
                      <w:pPr>
                        <w:pStyle w:val="ListParagraph"/>
                        <w:numPr>
                          <w:ilvl w:val="0"/>
                          <w:numId w:val="11"/>
                        </w:numPr>
                        <w:rPr>
                          <w:lang w:val="en-US"/>
                        </w:rPr>
                      </w:pPr>
                      <w:r>
                        <w:rPr>
                          <w:lang w:val="en-US"/>
                        </w:rPr>
                        <w:t>Intentions to make healthy eating and activity choices</w:t>
                      </w:r>
                    </w:p>
                    <w:p w14:paraId="29B12300" w14:textId="77777777" w:rsidR="00DE3537" w:rsidRDefault="00DE3537" w:rsidP="00403B07">
                      <w:pPr>
                        <w:pStyle w:val="ListParagraph"/>
                        <w:numPr>
                          <w:ilvl w:val="0"/>
                          <w:numId w:val="11"/>
                        </w:numPr>
                        <w:rPr>
                          <w:lang w:val="en-US"/>
                        </w:rPr>
                      </w:pPr>
                      <w:r>
                        <w:rPr>
                          <w:lang w:val="en-US"/>
                        </w:rPr>
                        <w:t>Peer norms</w:t>
                      </w:r>
                    </w:p>
                    <w:p w14:paraId="0B9879FE" w14:textId="77777777" w:rsidR="00DE3537" w:rsidRDefault="00DE3537" w:rsidP="00403B07">
                      <w:pPr>
                        <w:pStyle w:val="ListParagraph"/>
                        <w:numPr>
                          <w:ilvl w:val="0"/>
                          <w:numId w:val="11"/>
                        </w:numPr>
                        <w:rPr>
                          <w:lang w:val="en-US"/>
                        </w:rPr>
                      </w:pPr>
                      <w:r>
                        <w:rPr>
                          <w:lang w:val="en-US"/>
                        </w:rPr>
                        <w:t>Peer approval</w:t>
                      </w:r>
                    </w:p>
                    <w:p w14:paraId="738CB839" w14:textId="77777777" w:rsidR="00DE3537" w:rsidRDefault="00DE3537" w:rsidP="00403B07">
                      <w:pPr>
                        <w:pStyle w:val="ListParagraph"/>
                        <w:numPr>
                          <w:ilvl w:val="0"/>
                          <w:numId w:val="11"/>
                        </w:numPr>
                        <w:rPr>
                          <w:lang w:val="en-US"/>
                        </w:rPr>
                      </w:pPr>
                      <w:r>
                        <w:rPr>
                          <w:lang w:val="en-US"/>
                        </w:rPr>
                        <w:t>Family approval</w:t>
                      </w:r>
                    </w:p>
                    <w:p w14:paraId="78845053" w14:textId="77777777" w:rsidR="00DE3537" w:rsidRPr="00FD5F89" w:rsidRDefault="00DE3537" w:rsidP="00403B07">
                      <w:pPr>
                        <w:pStyle w:val="ListParagraph"/>
                        <w:numPr>
                          <w:ilvl w:val="0"/>
                          <w:numId w:val="11"/>
                        </w:numPr>
                        <w:rPr>
                          <w:lang w:val="en-US"/>
                        </w:rPr>
                      </w:pPr>
                      <w:r>
                        <w:rPr>
                          <w:lang w:val="en-US"/>
                        </w:rPr>
                        <w:t>Attitudes towards restrictions on behaviour</w:t>
                      </w:r>
                    </w:p>
                    <w:p w14:paraId="070A7678" w14:textId="77777777" w:rsidR="00DE3537" w:rsidRDefault="00DE3537" w:rsidP="00403B07">
                      <w:pPr>
                        <w:rPr>
                          <w:b/>
                          <w:lang w:val="en-US"/>
                        </w:rPr>
                      </w:pPr>
                      <w:r w:rsidRPr="00FA02F9">
                        <w:rPr>
                          <w:b/>
                          <w:lang w:val="en-US"/>
                        </w:rPr>
                        <w:t>Parental mediating behaviours</w:t>
                      </w:r>
                    </w:p>
                    <w:p w14:paraId="376F85E1" w14:textId="77777777" w:rsidR="00DE3537" w:rsidRPr="00FD5F89" w:rsidRDefault="00DE3537" w:rsidP="00403B07">
                      <w:pPr>
                        <w:pStyle w:val="ListParagraph"/>
                        <w:numPr>
                          <w:ilvl w:val="0"/>
                          <w:numId w:val="12"/>
                        </w:numPr>
                        <w:rPr>
                          <w:lang w:val="en-US"/>
                        </w:rPr>
                      </w:pPr>
                      <w:r>
                        <w:rPr>
                          <w:lang w:val="en-US"/>
                        </w:rPr>
                        <w:t>Parental provision of healthy</w:t>
                      </w:r>
                      <w:r w:rsidRPr="00FD5F89">
                        <w:rPr>
                          <w:lang w:val="en-US"/>
                        </w:rPr>
                        <w:t>/unhealthy snacks/drinks and physical activity opportunities</w:t>
                      </w:r>
                    </w:p>
                    <w:p w14:paraId="4C6FC9A0" w14:textId="77777777" w:rsidR="00DE3537" w:rsidRPr="00EC524C" w:rsidRDefault="00DE3537" w:rsidP="00403B07">
                      <w:pPr>
                        <w:pStyle w:val="ListParagraph"/>
                        <w:numPr>
                          <w:ilvl w:val="0"/>
                          <w:numId w:val="12"/>
                        </w:numPr>
                        <w:rPr>
                          <w:lang w:val="en-US"/>
                        </w:rPr>
                      </w:pPr>
                      <w:r w:rsidRPr="00EC524C">
                        <w:rPr>
                          <w:lang w:val="en-US"/>
                        </w:rPr>
                        <w:t>Parental rules for food consumption and screen time</w:t>
                      </w:r>
                    </w:p>
                    <w:p w14:paraId="7796E480" w14:textId="77777777" w:rsidR="00DE3537" w:rsidRDefault="00DE3537" w:rsidP="00403B07">
                      <w:pPr>
                        <w:rPr>
                          <w:b/>
                          <w:lang w:val="en-US"/>
                        </w:rPr>
                      </w:pPr>
                      <w:r w:rsidRPr="00FA02F9">
                        <w:rPr>
                          <w:b/>
                          <w:lang w:val="en-US"/>
                        </w:rPr>
                        <w:t>Child mediating behaviours</w:t>
                      </w:r>
                    </w:p>
                    <w:p w14:paraId="72C8F97C" w14:textId="77777777" w:rsidR="00DE3537" w:rsidRDefault="00DE3537" w:rsidP="00403B07">
                      <w:pPr>
                        <w:pStyle w:val="ListParagraph"/>
                        <w:numPr>
                          <w:ilvl w:val="0"/>
                          <w:numId w:val="13"/>
                        </w:numPr>
                        <w:rPr>
                          <w:lang w:val="en-US"/>
                        </w:rPr>
                      </w:pPr>
                      <w:r>
                        <w:rPr>
                          <w:lang w:val="en-US"/>
                        </w:rPr>
                        <w:t>Goal setting</w:t>
                      </w:r>
                    </w:p>
                    <w:p w14:paraId="2317F4F9" w14:textId="77777777" w:rsidR="00DE3537" w:rsidRDefault="00DE3537" w:rsidP="00403B07">
                      <w:pPr>
                        <w:pStyle w:val="ListParagraph"/>
                        <w:numPr>
                          <w:ilvl w:val="0"/>
                          <w:numId w:val="13"/>
                        </w:numPr>
                        <w:rPr>
                          <w:lang w:val="en-US"/>
                        </w:rPr>
                      </w:pPr>
                      <w:r>
                        <w:rPr>
                          <w:lang w:val="en-US"/>
                        </w:rPr>
                        <w:t>Self-monitoring</w:t>
                      </w:r>
                    </w:p>
                    <w:p w14:paraId="691DAFB9" w14:textId="77777777" w:rsidR="00DE3537" w:rsidRDefault="00DE3537" w:rsidP="00403B07">
                      <w:pPr>
                        <w:pStyle w:val="ListParagraph"/>
                        <w:numPr>
                          <w:ilvl w:val="0"/>
                          <w:numId w:val="13"/>
                        </w:numPr>
                        <w:rPr>
                          <w:lang w:val="en-US"/>
                        </w:rPr>
                      </w:pPr>
                      <w:r>
                        <w:rPr>
                          <w:lang w:val="en-US"/>
                        </w:rPr>
                        <w:t>Discussion about healthy lifestyles with parents/family</w:t>
                      </w:r>
                    </w:p>
                    <w:p w14:paraId="32EB400C" w14:textId="77777777" w:rsidR="00DE3537" w:rsidRDefault="00DE3537" w:rsidP="00403B07">
                      <w:pPr>
                        <w:pStyle w:val="ListParagraph"/>
                        <w:numPr>
                          <w:ilvl w:val="0"/>
                          <w:numId w:val="13"/>
                        </w:numPr>
                        <w:rPr>
                          <w:lang w:val="en-US"/>
                        </w:rPr>
                      </w:pPr>
                      <w:r>
                        <w:rPr>
                          <w:lang w:val="en-US"/>
                        </w:rPr>
                        <w:t>Encouraging the family to be more healthy</w:t>
                      </w:r>
                    </w:p>
                    <w:p w14:paraId="0604DF29" w14:textId="77777777" w:rsidR="00DE3537" w:rsidRDefault="00DE3537" w:rsidP="00403B07">
                      <w:pPr>
                        <w:pStyle w:val="ListParagraph"/>
                        <w:numPr>
                          <w:ilvl w:val="0"/>
                          <w:numId w:val="13"/>
                        </w:numPr>
                        <w:rPr>
                          <w:lang w:val="en-US"/>
                        </w:rPr>
                      </w:pPr>
                      <w:r>
                        <w:rPr>
                          <w:lang w:val="en-US"/>
                        </w:rPr>
                        <w:t>Shopping with family</w:t>
                      </w:r>
                    </w:p>
                    <w:p w14:paraId="03F1D05C" w14:textId="77777777" w:rsidR="00DE3537" w:rsidRDefault="00DE3537" w:rsidP="00403B07">
                      <w:pPr>
                        <w:pStyle w:val="ListParagraph"/>
                        <w:numPr>
                          <w:ilvl w:val="0"/>
                          <w:numId w:val="13"/>
                        </w:numPr>
                        <w:rPr>
                          <w:lang w:val="en-US"/>
                        </w:rPr>
                      </w:pPr>
                      <w:r>
                        <w:rPr>
                          <w:lang w:val="en-US"/>
                        </w:rPr>
                        <w:t>Cooking with family</w:t>
                      </w:r>
                    </w:p>
                    <w:p w14:paraId="6ED31031" w14:textId="77777777" w:rsidR="00DE3537" w:rsidRPr="00EC524C" w:rsidRDefault="00DE3537" w:rsidP="00403B07">
                      <w:pPr>
                        <w:pStyle w:val="ListParagraph"/>
                        <w:numPr>
                          <w:ilvl w:val="0"/>
                          <w:numId w:val="13"/>
                        </w:numPr>
                        <w:rPr>
                          <w:lang w:val="en-US"/>
                        </w:rPr>
                      </w:pPr>
                      <w:r w:rsidRPr="00922AB3">
                        <w:rPr>
                          <w:lang w:val="en-US"/>
                        </w:rPr>
                        <w:t>Trying new healthy foods/drinks</w:t>
                      </w:r>
                    </w:p>
                  </w:txbxContent>
                </v:textbox>
              </v:shape>
            </w:pict>
          </mc:Fallback>
        </mc:AlternateContent>
      </w:r>
      <w:r w:rsidR="00403B07" w:rsidRPr="0000413F">
        <w:rPr>
          <w:rFonts w:ascii="Calibri" w:eastAsia="Calibri" w:hAnsi="Calibri" w:cs="Times New Roman"/>
          <w:b/>
          <w:sz w:val="24"/>
          <w:szCs w:val="24"/>
        </w:rPr>
        <w:t>BOX 1 Sections of the My Lifestyle Questionnaire</w:t>
      </w:r>
    </w:p>
    <w:p w14:paraId="6593F8B2" w14:textId="6C54EF9A" w:rsidR="00403B07" w:rsidRDefault="00403B07" w:rsidP="00403B07">
      <w:pPr>
        <w:rPr>
          <w:rFonts w:ascii="Calibri" w:eastAsia="Calibri" w:hAnsi="Calibri" w:cs="Times New Roman"/>
          <w:i/>
          <w:sz w:val="24"/>
          <w:szCs w:val="24"/>
        </w:rPr>
      </w:pPr>
    </w:p>
    <w:p w14:paraId="78B8B427" w14:textId="77777777" w:rsidR="00403B07" w:rsidRDefault="00403B07" w:rsidP="00403B07">
      <w:pPr>
        <w:rPr>
          <w:rFonts w:ascii="Calibri" w:eastAsia="Calibri" w:hAnsi="Calibri" w:cs="Times New Roman"/>
          <w:i/>
          <w:sz w:val="24"/>
          <w:szCs w:val="24"/>
        </w:rPr>
      </w:pPr>
    </w:p>
    <w:p w14:paraId="60E44729" w14:textId="77777777" w:rsidR="00403B07" w:rsidRDefault="00403B07" w:rsidP="00403B07">
      <w:pPr>
        <w:rPr>
          <w:rFonts w:ascii="Calibri" w:eastAsia="Calibri" w:hAnsi="Calibri" w:cs="Times New Roman"/>
          <w:i/>
          <w:sz w:val="24"/>
          <w:szCs w:val="24"/>
        </w:rPr>
      </w:pPr>
    </w:p>
    <w:p w14:paraId="308AC7A3" w14:textId="77777777" w:rsidR="00403B07" w:rsidRDefault="00403B07" w:rsidP="00403B07">
      <w:pPr>
        <w:rPr>
          <w:rFonts w:ascii="Calibri" w:eastAsia="Calibri" w:hAnsi="Calibri" w:cs="Times New Roman"/>
          <w:i/>
          <w:sz w:val="24"/>
          <w:szCs w:val="24"/>
        </w:rPr>
      </w:pPr>
    </w:p>
    <w:p w14:paraId="57198697" w14:textId="77777777" w:rsidR="00403B07" w:rsidRDefault="00403B07" w:rsidP="00403B07">
      <w:pPr>
        <w:rPr>
          <w:rFonts w:ascii="Calibri" w:eastAsia="Calibri" w:hAnsi="Calibri" w:cs="Times New Roman"/>
          <w:i/>
          <w:sz w:val="24"/>
          <w:szCs w:val="24"/>
        </w:rPr>
      </w:pPr>
    </w:p>
    <w:p w14:paraId="094D288C" w14:textId="77777777" w:rsidR="00403B07" w:rsidRDefault="00403B07" w:rsidP="00403B07">
      <w:pPr>
        <w:rPr>
          <w:rFonts w:ascii="Calibri" w:eastAsia="Calibri" w:hAnsi="Calibri" w:cs="Times New Roman"/>
          <w:i/>
          <w:sz w:val="24"/>
          <w:szCs w:val="24"/>
        </w:rPr>
      </w:pPr>
    </w:p>
    <w:p w14:paraId="70194698" w14:textId="77777777" w:rsidR="00403B07" w:rsidRDefault="00403B07" w:rsidP="00403B07">
      <w:pPr>
        <w:rPr>
          <w:rFonts w:ascii="Calibri" w:eastAsia="Calibri" w:hAnsi="Calibri" w:cs="Times New Roman"/>
          <w:i/>
          <w:sz w:val="24"/>
          <w:szCs w:val="24"/>
        </w:rPr>
      </w:pPr>
    </w:p>
    <w:p w14:paraId="14B616DA" w14:textId="77777777" w:rsidR="00403B07" w:rsidRDefault="00403B07" w:rsidP="00403B07">
      <w:pPr>
        <w:rPr>
          <w:rFonts w:ascii="Calibri" w:eastAsia="Calibri" w:hAnsi="Calibri" w:cs="Times New Roman"/>
          <w:i/>
          <w:sz w:val="24"/>
          <w:szCs w:val="24"/>
        </w:rPr>
      </w:pPr>
    </w:p>
    <w:p w14:paraId="289776BF" w14:textId="77777777" w:rsidR="00403B07" w:rsidRDefault="00403B07" w:rsidP="00403B07">
      <w:pPr>
        <w:rPr>
          <w:rFonts w:ascii="Calibri" w:eastAsia="Calibri" w:hAnsi="Calibri" w:cs="Times New Roman"/>
          <w:i/>
          <w:sz w:val="24"/>
          <w:szCs w:val="24"/>
        </w:rPr>
      </w:pPr>
    </w:p>
    <w:p w14:paraId="55B35726" w14:textId="77777777" w:rsidR="00403B07" w:rsidRDefault="00403B07" w:rsidP="00403B07">
      <w:pPr>
        <w:rPr>
          <w:rFonts w:ascii="Calibri" w:eastAsia="Calibri" w:hAnsi="Calibri" w:cs="Times New Roman"/>
          <w:i/>
          <w:sz w:val="24"/>
          <w:szCs w:val="24"/>
        </w:rPr>
      </w:pPr>
    </w:p>
    <w:p w14:paraId="5C233DDF" w14:textId="77777777" w:rsidR="00403B07" w:rsidRDefault="00403B07" w:rsidP="00403B07">
      <w:pPr>
        <w:rPr>
          <w:rFonts w:ascii="Calibri" w:eastAsia="Calibri" w:hAnsi="Calibri" w:cs="Times New Roman"/>
          <w:i/>
          <w:sz w:val="24"/>
          <w:szCs w:val="24"/>
        </w:rPr>
      </w:pPr>
    </w:p>
    <w:p w14:paraId="4F097186" w14:textId="77777777" w:rsidR="00403B07" w:rsidRDefault="00403B07" w:rsidP="00403B07">
      <w:pPr>
        <w:rPr>
          <w:rFonts w:ascii="Calibri" w:eastAsia="Calibri" w:hAnsi="Calibri" w:cs="Times New Roman"/>
          <w:i/>
          <w:sz w:val="24"/>
          <w:szCs w:val="24"/>
        </w:rPr>
      </w:pPr>
    </w:p>
    <w:p w14:paraId="3854EF88" w14:textId="77777777" w:rsidR="00403B07" w:rsidRDefault="00403B07" w:rsidP="00403B07">
      <w:pPr>
        <w:rPr>
          <w:rFonts w:ascii="Calibri" w:eastAsia="Calibri" w:hAnsi="Calibri" w:cs="Times New Roman"/>
          <w:i/>
          <w:sz w:val="24"/>
          <w:szCs w:val="24"/>
        </w:rPr>
      </w:pPr>
    </w:p>
    <w:p w14:paraId="2D7603AF" w14:textId="77777777" w:rsidR="00403B07" w:rsidRDefault="00403B07" w:rsidP="00403B07">
      <w:pPr>
        <w:rPr>
          <w:rFonts w:ascii="Calibri" w:eastAsia="Calibri" w:hAnsi="Calibri" w:cs="Times New Roman"/>
          <w:i/>
          <w:sz w:val="24"/>
          <w:szCs w:val="24"/>
        </w:rPr>
      </w:pPr>
    </w:p>
    <w:p w14:paraId="23780ACC" w14:textId="77777777" w:rsidR="00403B07" w:rsidRDefault="00403B07" w:rsidP="00403B07">
      <w:pPr>
        <w:rPr>
          <w:rFonts w:ascii="Calibri" w:eastAsia="Calibri" w:hAnsi="Calibri" w:cs="Times New Roman"/>
          <w:i/>
          <w:sz w:val="24"/>
          <w:szCs w:val="24"/>
        </w:rPr>
      </w:pPr>
    </w:p>
    <w:p w14:paraId="04745823" w14:textId="77777777" w:rsidR="00E85074" w:rsidRDefault="00E85074" w:rsidP="00403B07">
      <w:pPr>
        <w:rPr>
          <w:rFonts w:ascii="Calibri" w:eastAsia="Calibri" w:hAnsi="Calibri" w:cs="Times New Roman"/>
          <w:i/>
          <w:sz w:val="24"/>
          <w:szCs w:val="24"/>
        </w:rPr>
      </w:pPr>
    </w:p>
    <w:p w14:paraId="7E65E7F0" w14:textId="77777777" w:rsidR="00E85074" w:rsidRDefault="00E85074" w:rsidP="00403B07">
      <w:pPr>
        <w:rPr>
          <w:rFonts w:ascii="Calibri" w:eastAsia="Calibri" w:hAnsi="Calibri" w:cs="Times New Roman"/>
          <w:i/>
          <w:sz w:val="24"/>
          <w:szCs w:val="24"/>
        </w:rPr>
      </w:pPr>
    </w:p>
    <w:p w14:paraId="267FEF5B" w14:textId="77777777" w:rsidR="00E85074" w:rsidRDefault="00E85074" w:rsidP="00403B07">
      <w:pPr>
        <w:rPr>
          <w:rFonts w:ascii="Calibri" w:eastAsia="Calibri" w:hAnsi="Calibri" w:cs="Times New Roman"/>
          <w:i/>
          <w:sz w:val="24"/>
          <w:szCs w:val="24"/>
        </w:rPr>
      </w:pPr>
    </w:p>
    <w:p w14:paraId="4F42ECC1" w14:textId="77777777" w:rsidR="00403B07" w:rsidRPr="00186586" w:rsidRDefault="00403B07" w:rsidP="00403B07">
      <w:pPr>
        <w:rPr>
          <w:rFonts w:ascii="Calibri" w:eastAsia="Calibri" w:hAnsi="Calibri" w:cs="Times New Roman"/>
          <w:i/>
          <w:sz w:val="24"/>
          <w:szCs w:val="24"/>
        </w:rPr>
      </w:pPr>
      <w:r w:rsidRPr="00186586">
        <w:rPr>
          <w:rFonts w:ascii="Calibri" w:eastAsia="Calibri" w:hAnsi="Calibri" w:cs="Times New Roman"/>
          <w:i/>
          <w:sz w:val="24"/>
          <w:szCs w:val="24"/>
        </w:rPr>
        <w:t>Phase 3</w:t>
      </w:r>
    </w:p>
    <w:p w14:paraId="55818E3D" w14:textId="77777777" w:rsidR="00403B07" w:rsidRPr="00186586" w:rsidRDefault="00403B07" w:rsidP="00403B07">
      <w:pPr>
        <w:rPr>
          <w:rFonts w:ascii="Calibri" w:eastAsia="Calibri" w:hAnsi="Calibri" w:cs="Times New Roman"/>
          <w:sz w:val="24"/>
          <w:szCs w:val="24"/>
        </w:rPr>
      </w:pPr>
      <w:r w:rsidRPr="00186586">
        <w:rPr>
          <w:rFonts w:ascii="Calibri" w:eastAsia="Calibri" w:hAnsi="Calibri" w:cs="Times New Roman"/>
          <w:sz w:val="24"/>
          <w:szCs w:val="24"/>
        </w:rPr>
        <w:t>There were 1324 children involved in the trial, randomised to intervention and control groups within two cohorts. The MLQ was administered as part of a school lesson</w:t>
      </w:r>
      <w:r>
        <w:rPr>
          <w:rFonts w:ascii="Calibri" w:eastAsia="Calibri" w:hAnsi="Calibri" w:cs="Times New Roman"/>
          <w:sz w:val="24"/>
          <w:szCs w:val="24"/>
        </w:rPr>
        <w:t>,</w:t>
      </w:r>
      <w:r w:rsidRPr="00186586">
        <w:rPr>
          <w:rFonts w:ascii="Calibri" w:eastAsia="Calibri" w:hAnsi="Calibri" w:cs="Times New Roman"/>
          <w:sz w:val="24"/>
          <w:szCs w:val="24"/>
        </w:rPr>
        <w:t xml:space="preserve"> and the children were supported to complete the questionnaire by their class teacher and the HeLP co-ordinator; this process resulted in high level of completeness. However</w:t>
      </w:r>
      <w:r>
        <w:rPr>
          <w:rFonts w:ascii="Calibri" w:eastAsia="Calibri" w:hAnsi="Calibri" w:cs="Times New Roman"/>
          <w:sz w:val="24"/>
          <w:szCs w:val="24"/>
        </w:rPr>
        <w:t>,</w:t>
      </w:r>
      <w:r w:rsidRPr="00186586">
        <w:rPr>
          <w:rFonts w:ascii="Calibri" w:eastAsia="Calibri" w:hAnsi="Calibri" w:cs="Times New Roman"/>
          <w:sz w:val="24"/>
          <w:szCs w:val="24"/>
        </w:rPr>
        <w:t xml:space="preserve"> some children had spoilt entries (partially marked answers etc.) or some missing entries particularly for the last items in the questionnaire. All spoilt entries were re-coded as missing data. Overall the proportion of MLQ missing data was small (less than 1%)</w:t>
      </w:r>
      <w:r>
        <w:rPr>
          <w:rFonts w:ascii="Calibri" w:eastAsia="Calibri" w:hAnsi="Calibri" w:cs="Times New Roman"/>
          <w:sz w:val="24"/>
          <w:szCs w:val="24"/>
        </w:rPr>
        <w:t>,</w:t>
      </w:r>
      <w:r w:rsidRPr="00186586">
        <w:rPr>
          <w:rFonts w:ascii="Calibri" w:eastAsia="Calibri" w:hAnsi="Calibri" w:cs="Times New Roman"/>
          <w:sz w:val="24"/>
          <w:szCs w:val="24"/>
        </w:rPr>
        <w:t xml:space="preserve"> and imputation of missing values was not undertaken at this stage of the evaluation work.</w:t>
      </w:r>
    </w:p>
    <w:p w14:paraId="0FE2B37D" w14:textId="77777777" w:rsidR="00E85074" w:rsidRDefault="00E85074" w:rsidP="00403B07">
      <w:pPr>
        <w:rPr>
          <w:rFonts w:ascii="Calibri" w:eastAsia="Calibri" w:hAnsi="Calibri" w:cs="Times New Roman"/>
          <w:i/>
          <w:sz w:val="24"/>
          <w:szCs w:val="24"/>
        </w:rPr>
      </w:pPr>
    </w:p>
    <w:p w14:paraId="663AAA1A" w14:textId="77777777" w:rsidR="00403B07" w:rsidRDefault="00403B07" w:rsidP="00403B07">
      <w:pPr>
        <w:rPr>
          <w:rFonts w:ascii="Calibri" w:eastAsia="Calibri" w:hAnsi="Calibri" w:cs="Times New Roman"/>
          <w:i/>
          <w:sz w:val="24"/>
          <w:szCs w:val="24"/>
        </w:rPr>
      </w:pPr>
      <w:r>
        <w:rPr>
          <w:rFonts w:ascii="Calibri" w:eastAsia="Calibri" w:hAnsi="Calibri" w:cs="Times New Roman"/>
          <w:i/>
          <w:sz w:val="24"/>
          <w:szCs w:val="24"/>
        </w:rPr>
        <w:lastRenderedPageBreak/>
        <w:t>Knowledge scores</w:t>
      </w:r>
    </w:p>
    <w:p w14:paraId="739C8F85" w14:textId="77777777" w:rsidR="00403B07" w:rsidRPr="00C366D9" w:rsidRDefault="00403B07" w:rsidP="00403B07">
      <w:pPr>
        <w:rPr>
          <w:rFonts w:ascii="Calibri" w:eastAsia="Calibri" w:hAnsi="Calibri" w:cs="Times New Roman"/>
          <w:sz w:val="24"/>
          <w:szCs w:val="24"/>
        </w:rPr>
      </w:pPr>
      <w:r w:rsidRPr="00C366D9">
        <w:rPr>
          <w:rFonts w:ascii="Calibri" w:eastAsia="Calibri" w:hAnsi="Calibri" w:cs="Times New Roman"/>
          <w:sz w:val="24"/>
          <w:szCs w:val="24"/>
        </w:rPr>
        <w:t>Total</w:t>
      </w:r>
      <w:r>
        <w:rPr>
          <w:rFonts w:ascii="Calibri" w:eastAsia="Calibri" w:hAnsi="Calibri" w:cs="Times New Roman"/>
          <w:sz w:val="24"/>
          <w:szCs w:val="24"/>
        </w:rPr>
        <w:t xml:space="preserve"> Knowledge score (see Appendix 3</w:t>
      </w:r>
      <w:r w:rsidRPr="00C366D9">
        <w:rPr>
          <w:rFonts w:ascii="Calibri" w:eastAsia="Calibri" w:hAnsi="Calibri" w:cs="Times New Roman"/>
          <w:sz w:val="24"/>
          <w:szCs w:val="24"/>
        </w:rPr>
        <w:t xml:space="preserve"> for scoring system) at baseline (n = 1310) ranged from 0–</w:t>
      </w:r>
      <w:r>
        <w:rPr>
          <w:rFonts w:ascii="Calibri" w:eastAsia="Calibri" w:hAnsi="Calibri" w:cs="Times New Roman"/>
          <w:sz w:val="24"/>
          <w:szCs w:val="24"/>
        </w:rPr>
        <w:t>1</w:t>
      </w:r>
      <w:r w:rsidRPr="00C366D9">
        <w:rPr>
          <w:rFonts w:ascii="Calibri" w:eastAsia="Calibri" w:hAnsi="Calibri" w:cs="Times New Roman"/>
          <w:sz w:val="24"/>
          <w:szCs w:val="24"/>
        </w:rPr>
        <w:t xml:space="preserve">9 with a mean score of 8.40 (SD 2.72). At 12 months (n=1278) the total Knowledge score range was 0-20 with a mean score of 10.48 (SD 3.19). </w:t>
      </w:r>
    </w:p>
    <w:p w14:paraId="583AC69E" w14:textId="77777777" w:rsidR="00403B07" w:rsidRPr="00186586" w:rsidRDefault="00403B07" w:rsidP="00403B07">
      <w:pPr>
        <w:rPr>
          <w:rFonts w:ascii="Calibri" w:eastAsia="Calibri" w:hAnsi="Calibri" w:cs="Times New Roman"/>
          <w:i/>
          <w:sz w:val="24"/>
          <w:szCs w:val="24"/>
        </w:rPr>
      </w:pPr>
      <w:r w:rsidRPr="00186586">
        <w:rPr>
          <w:rFonts w:ascii="Calibri" w:eastAsia="Calibri" w:hAnsi="Calibri" w:cs="Times New Roman"/>
          <w:i/>
          <w:sz w:val="24"/>
          <w:szCs w:val="24"/>
        </w:rPr>
        <w:t>Data screening and preliminary analyses</w:t>
      </w:r>
      <w:r>
        <w:rPr>
          <w:rFonts w:ascii="Calibri" w:eastAsia="Calibri" w:hAnsi="Calibri" w:cs="Times New Roman"/>
          <w:i/>
          <w:sz w:val="24"/>
          <w:szCs w:val="24"/>
        </w:rPr>
        <w:t xml:space="preserve"> of the MLQ Likert Scale items</w:t>
      </w:r>
    </w:p>
    <w:p w14:paraId="61E28B6A" w14:textId="77777777" w:rsidR="00403B07" w:rsidRDefault="00403B07" w:rsidP="00403B07">
      <w:pPr>
        <w:rPr>
          <w:rFonts w:ascii="Calibri" w:eastAsia="Calibri" w:hAnsi="Calibri" w:cs="Times New Roman"/>
          <w:sz w:val="24"/>
          <w:szCs w:val="24"/>
        </w:rPr>
      </w:pPr>
      <w:r>
        <w:rPr>
          <w:rFonts w:ascii="Calibri" w:eastAsia="Calibri" w:hAnsi="Calibri" w:cs="Times New Roman"/>
          <w:sz w:val="24"/>
          <w:szCs w:val="24"/>
        </w:rPr>
        <w:t xml:space="preserve">The remaining analysis focuses on the 45 Likert Scale items </w:t>
      </w:r>
      <w:r w:rsidRPr="00FB138A">
        <w:rPr>
          <w:rFonts w:ascii="Calibri" w:eastAsia="Calibri" w:hAnsi="Calibri" w:cs="Times New Roman"/>
          <w:sz w:val="24"/>
          <w:szCs w:val="24"/>
        </w:rPr>
        <w:t>was randomly split in half (n=662 each) and designated Dataset A and Dataset B</w:t>
      </w:r>
      <w:r>
        <w:rPr>
          <w:rFonts w:ascii="Calibri" w:eastAsia="Calibri" w:hAnsi="Calibri" w:cs="Times New Roman"/>
          <w:sz w:val="24"/>
          <w:szCs w:val="24"/>
        </w:rPr>
        <w:t xml:space="preserve"> for both the baseline and 12 months data</w:t>
      </w:r>
      <w:r w:rsidRPr="00FB138A">
        <w:rPr>
          <w:rFonts w:ascii="Calibri" w:eastAsia="Calibri" w:hAnsi="Calibri" w:cs="Times New Roman"/>
          <w:sz w:val="24"/>
          <w:szCs w:val="24"/>
        </w:rPr>
        <w:t xml:space="preserve">. </w:t>
      </w:r>
    </w:p>
    <w:p w14:paraId="4B0B508D" w14:textId="00DB2E2A" w:rsidR="00403B07" w:rsidRDefault="00403B07" w:rsidP="00403B07">
      <w:pPr>
        <w:rPr>
          <w:rFonts w:ascii="Calibri" w:eastAsia="Calibri" w:hAnsi="Calibri" w:cs="Times New Roman"/>
          <w:sz w:val="24"/>
          <w:szCs w:val="24"/>
          <w:highlight w:val="yellow"/>
        </w:rPr>
      </w:pPr>
      <w:r>
        <w:rPr>
          <w:rFonts w:ascii="Calibri" w:eastAsia="Calibri" w:hAnsi="Calibri" w:cs="Times New Roman"/>
          <w:sz w:val="24"/>
          <w:szCs w:val="24"/>
        </w:rPr>
        <w:t xml:space="preserve">Table </w:t>
      </w:r>
      <w:r w:rsidR="00AE7526">
        <w:rPr>
          <w:rFonts w:ascii="Calibri" w:eastAsia="Calibri" w:hAnsi="Calibri" w:cs="Times New Roman"/>
          <w:sz w:val="24"/>
          <w:szCs w:val="24"/>
        </w:rPr>
        <w:t>5</w:t>
      </w:r>
      <w:r w:rsidR="00B14404">
        <w:rPr>
          <w:rFonts w:ascii="Calibri" w:eastAsia="Calibri" w:hAnsi="Calibri" w:cs="Times New Roman"/>
          <w:sz w:val="24"/>
          <w:szCs w:val="24"/>
        </w:rPr>
        <w:t>1</w:t>
      </w:r>
      <w:r w:rsidR="00AE7526">
        <w:rPr>
          <w:rFonts w:ascii="Calibri" w:eastAsia="Calibri" w:hAnsi="Calibri" w:cs="Times New Roman"/>
          <w:sz w:val="24"/>
          <w:szCs w:val="24"/>
        </w:rPr>
        <w:t xml:space="preserve"> </w:t>
      </w:r>
      <w:r>
        <w:rPr>
          <w:rFonts w:ascii="Calibri" w:eastAsia="Calibri" w:hAnsi="Calibri" w:cs="Times New Roman"/>
          <w:sz w:val="24"/>
          <w:szCs w:val="24"/>
        </w:rPr>
        <w:t xml:space="preserve"> summarises the screening exercise performed on each item for each of the four datasets. Two items (31 and 44) failed the Flesch-Kincaid reading ease test; item 31 also showed a high mean score in the 12 month data. For spread of scores (SD should be &gt; 0.8 or &lt; 1.8) items 15 and 31 at baseline and items 15 and 17 at 12 months showed low SDs. The pattern of floor and ceiling effects were similar for the same time point data sets: in Baseline dataset A there were 12 items with floor effects and 19 items with ceiling effects; in Baseline dataset B the same pattern was repeated albeit with 14 items showing floor effects and 18 showing ceiling effects. In the 12 month datasets fewer items showed floor effects (8 items in dataset A and 7 items in dataset B) but a similar pattern of ceiling effects as before (16 items in Dataset A and 18 items in dataset B). For individual item correlations, only one pair of items correlated above 0.06 in the baseline A dataset (items 39 &amp; 40). In both the 12 month datasets four item pairs correlated above 0.06 (items 7 &amp; 10; 8 &amp; 11; 26 &amp; 27; 39 &amp; 40). Overall one item (31) failed on more than two of the criteria (reading ease, mean, SD and ceiling effects).</w:t>
      </w:r>
      <w:r w:rsidRPr="003D1135">
        <w:rPr>
          <w:rFonts w:ascii="Calibri" w:eastAsia="Calibri" w:hAnsi="Calibri" w:cs="Times New Roman"/>
          <w:sz w:val="24"/>
          <w:szCs w:val="24"/>
          <w:highlight w:val="yellow"/>
        </w:rPr>
        <w:t xml:space="preserve"> </w:t>
      </w:r>
    </w:p>
    <w:p w14:paraId="0C1E1268" w14:textId="77777777" w:rsidR="00403B07" w:rsidRDefault="00403B07" w:rsidP="00403B07">
      <w:pPr>
        <w:rPr>
          <w:rFonts w:ascii="Calibri" w:eastAsia="Calibri" w:hAnsi="Calibri" w:cs="Times New Roman"/>
          <w:sz w:val="24"/>
          <w:szCs w:val="24"/>
          <w:highlight w:val="yellow"/>
        </w:rPr>
        <w:sectPr w:rsidR="00403B07" w:rsidSect="00B01272">
          <w:pgSz w:w="11906" w:h="16838"/>
          <w:pgMar w:top="1440" w:right="1440" w:bottom="1440" w:left="1440" w:header="709" w:footer="709" w:gutter="0"/>
          <w:cols w:space="708"/>
          <w:docGrid w:linePitch="360"/>
        </w:sectPr>
      </w:pPr>
    </w:p>
    <w:p w14:paraId="78B4E9CF" w14:textId="10075689" w:rsidR="00403B07" w:rsidRDefault="00403B07" w:rsidP="00403B07">
      <w:pPr>
        <w:rPr>
          <w:rFonts w:ascii="Calibri" w:eastAsia="Calibri" w:hAnsi="Calibri" w:cs="Times New Roman"/>
          <w:b/>
          <w:sz w:val="24"/>
          <w:szCs w:val="24"/>
        </w:rPr>
      </w:pPr>
      <w:r w:rsidRPr="00F9312C">
        <w:rPr>
          <w:rFonts w:ascii="Calibri" w:eastAsia="Calibri" w:hAnsi="Calibri" w:cs="Times New Roman"/>
          <w:b/>
          <w:sz w:val="24"/>
          <w:szCs w:val="24"/>
        </w:rPr>
        <w:lastRenderedPageBreak/>
        <w:t xml:space="preserve">TABLE </w:t>
      </w:r>
      <w:r w:rsidR="00AE7526">
        <w:rPr>
          <w:rFonts w:ascii="Calibri" w:eastAsia="Calibri" w:hAnsi="Calibri" w:cs="Times New Roman"/>
          <w:b/>
          <w:sz w:val="24"/>
          <w:szCs w:val="24"/>
        </w:rPr>
        <w:t>5</w:t>
      </w:r>
      <w:r w:rsidR="00B14404">
        <w:rPr>
          <w:rFonts w:ascii="Calibri" w:eastAsia="Calibri" w:hAnsi="Calibri" w:cs="Times New Roman"/>
          <w:b/>
          <w:sz w:val="24"/>
          <w:szCs w:val="24"/>
        </w:rPr>
        <w:t>1</w:t>
      </w:r>
      <w:r w:rsidRPr="00F9312C">
        <w:rPr>
          <w:rFonts w:ascii="Calibri" w:eastAsia="Calibri" w:hAnsi="Calibri" w:cs="Times New Roman"/>
          <w:b/>
          <w:sz w:val="24"/>
          <w:szCs w:val="24"/>
        </w:rPr>
        <w:t xml:space="preserve"> Screening Summary of MLQ Likert Scale items for Baseline Datasets A &amp; B and 12 months Datasets A &amp; B</w:t>
      </w:r>
    </w:p>
    <w:tbl>
      <w:tblPr>
        <w:tblW w:w="12900" w:type="dxa"/>
        <w:tblLook w:val="04A0" w:firstRow="1" w:lastRow="0" w:firstColumn="1" w:lastColumn="0" w:noHBand="0" w:noVBand="1"/>
      </w:tblPr>
      <w:tblGrid>
        <w:gridCol w:w="844"/>
        <w:gridCol w:w="1249"/>
        <w:gridCol w:w="850"/>
        <w:gridCol w:w="993"/>
        <w:gridCol w:w="992"/>
        <w:gridCol w:w="1134"/>
        <w:gridCol w:w="1292"/>
        <w:gridCol w:w="976"/>
        <w:gridCol w:w="992"/>
        <w:gridCol w:w="992"/>
        <w:gridCol w:w="1134"/>
        <w:gridCol w:w="1452"/>
      </w:tblGrid>
      <w:tr w:rsidR="00403B07" w:rsidRPr="00734C53" w14:paraId="5F97F98A" w14:textId="77777777" w:rsidTr="00B01272">
        <w:trPr>
          <w:trHeight w:val="156"/>
        </w:trPr>
        <w:tc>
          <w:tcPr>
            <w:tcW w:w="844" w:type="dxa"/>
            <w:tcBorders>
              <w:top w:val="nil"/>
              <w:left w:val="nil"/>
              <w:bottom w:val="nil"/>
              <w:right w:val="nil"/>
            </w:tcBorders>
            <w:shd w:val="clear" w:color="auto" w:fill="auto"/>
            <w:noWrap/>
            <w:vAlign w:val="bottom"/>
            <w:hideMark/>
          </w:tcPr>
          <w:p w14:paraId="4F7A95B9" w14:textId="77777777" w:rsidR="00403B07" w:rsidRPr="00734C53" w:rsidRDefault="00403B07" w:rsidP="00B01272">
            <w:pPr>
              <w:spacing w:after="0" w:line="240" w:lineRule="auto"/>
              <w:rPr>
                <w:rFonts w:ascii="Times New Roman" w:eastAsia="Times New Roman" w:hAnsi="Times New Roman" w:cs="Times New Roman"/>
                <w:sz w:val="24"/>
                <w:szCs w:val="24"/>
              </w:rPr>
            </w:pPr>
            <w:r>
              <w:rPr>
                <w:rFonts w:ascii="Calibri" w:eastAsia="Calibri" w:hAnsi="Calibri" w:cs="Times New Roman"/>
                <w:sz w:val="24"/>
                <w:szCs w:val="24"/>
                <w:highlight w:val="yellow"/>
              </w:rPr>
              <w:br w:type="page"/>
            </w:r>
            <w:r>
              <w:rPr>
                <w:rFonts w:ascii="Calibri" w:eastAsia="Calibri" w:hAnsi="Calibri" w:cs="Times New Roman"/>
                <w:sz w:val="24"/>
                <w:szCs w:val="24"/>
                <w:highlight w:val="yellow"/>
              </w:rPr>
              <w:br w:type="page"/>
            </w:r>
          </w:p>
        </w:tc>
        <w:tc>
          <w:tcPr>
            <w:tcW w:w="1249" w:type="dxa"/>
            <w:tcBorders>
              <w:top w:val="nil"/>
              <w:left w:val="nil"/>
              <w:bottom w:val="nil"/>
              <w:right w:val="nil"/>
            </w:tcBorders>
            <w:shd w:val="clear" w:color="auto" w:fill="auto"/>
            <w:noWrap/>
            <w:vAlign w:val="bottom"/>
            <w:hideMark/>
          </w:tcPr>
          <w:p w14:paraId="2CCEA6DC" w14:textId="77777777" w:rsidR="00403B07" w:rsidRPr="00734C53" w:rsidRDefault="00403B07" w:rsidP="00B01272">
            <w:pPr>
              <w:spacing w:after="0" w:line="240" w:lineRule="auto"/>
              <w:rPr>
                <w:rFonts w:ascii="Times New Roman" w:eastAsia="Times New Roman" w:hAnsi="Times New Roman" w:cs="Times New Roman"/>
                <w:sz w:val="20"/>
                <w:szCs w:val="20"/>
              </w:rPr>
            </w:pPr>
          </w:p>
        </w:tc>
        <w:tc>
          <w:tcPr>
            <w:tcW w:w="10807"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E418CC" w14:textId="77777777" w:rsidR="00403B07" w:rsidRPr="00734C53" w:rsidRDefault="00403B07" w:rsidP="00B01272">
            <w:pPr>
              <w:spacing w:after="0" w:line="240" w:lineRule="auto"/>
              <w:ind w:right="493"/>
              <w:jc w:val="center"/>
              <w:rPr>
                <w:rFonts w:ascii="Calibri" w:eastAsia="Times New Roman" w:hAnsi="Calibri" w:cs="Times New Roman"/>
                <w:b/>
                <w:bCs/>
                <w:color w:val="000000"/>
              </w:rPr>
            </w:pPr>
            <w:r w:rsidRPr="00734C53">
              <w:rPr>
                <w:rFonts w:ascii="Calibri" w:eastAsia="Times New Roman" w:hAnsi="Calibri" w:cs="Times New Roman"/>
                <w:b/>
                <w:bCs/>
                <w:color w:val="000000"/>
              </w:rPr>
              <w:t xml:space="preserve">Baseline MLQ items </w:t>
            </w:r>
          </w:p>
        </w:tc>
      </w:tr>
      <w:tr w:rsidR="00403B07" w:rsidRPr="00734C53" w14:paraId="27B383AB" w14:textId="77777777" w:rsidTr="00B01272">
        <w:trPr>
          <w:trHeight w:val="246"/>
        </w:trPr>
        <w:tc>
          <w:tcPr>
            <w:tcW w:w="844" w:type="dxa"/>
            <w:tcBorders>
              <w:top w:val="nil"/>
              <w:left w:val="nil"/>
              <w:bottom w:val="nil"/>
              <w:right w:val="nil"/>
            </w:tcBorders>
            <w:shd w:val="clear" w:color="auto" w:fill="auto"/>
            <w:noWrap/>
            <w:vAlign w:val="bottom"/>
            <w:hideMark/>
          </w:tcPr>
          <w:p w14:paraId="644CFC25" w14:textId="77777777" w:rsidR="00403B07" w:rsidRPr="00734C53" w:rsidRDefault="00403B07" w:rsidP="00B01272">
            <w:pPr>
              <w:spacing w:after="0" w:line="240" w:lineRule="auto"/>
              <w:jc w:val="center"/>
              <w:rPr>
                <w:rFonts w:ascii="Calibri" w:eastAsia="Times New Roman" w:hAnsi="Calibri" w:cs="Times New Roman"/>
                <w:b/>
                <w:bCs/>
                <w:color w:val="000000"/>
              </w:rPr>
            </w:pPr>
          </w:p>
        </w:tc>
        <w:tc>
          <w:tcPr>
            <w:tcW w:w="1249" w:type="dxa"/>
            <w:tcBorders>
              <w:top w:val="nil"/>
              <w:left w:val="nil"/>
              <w:bottom w:val="single" w:sz="4" w:space="0" w:color="auto"/>
              <w:right w:val="single" w:sz="4" w:space="0" w:color="auto"/>
            </w:tcBorders>
            <w:shd w:val="clear" w:color="auto" w:fill="auto"/>
            <w:noWrap/>
            <w:vAlign w:val="bottom"/>
            <w:hideMark/>
          </w:tcPr>
          <w:p w14:paraId="78720F8C" w14:textId="77777777" w:rsidR="00403B07" w:rsidRPr="00734C53" w:rsidRDefault="00403B07" w:rsidP="00B01272">
            <w:pPr>
              <w:spacing w:after="0" w:line="240" w:lineRule="auto"/>
              <w:jc w:val="center"/>
              <w:rPr>
                <w:rFonts w:ascii="Calibri" w:eastAsia="Times New Roman" w:hAnsi="Calibri" w:cs="Times New Roman"/>
                <w:b/>
                <w:bCs/>
                <w:color w:val="000000"/>
                <w:sz w:val="24"/>
                <w:szCs w:val="24"/>
              </w:rPr>
            </w:pPr>
            <w:r w:rsidRPr="00734C53">
              <w:rPr>
                <w:rFonts w:ascii="Calibri" w:eastAsia="Times New Roman" w:hAnsi="Calibri" w:cs="Times New Roman"/>
                <w:b/>
                <w:bCs/>
                <w:color w:val="000000"/>
                <w:sz w:val="24"/>
                <w:szCs w:val="24"/>
              </w:rPr>
              <w:t> </w:t>
            </w:r>
          </w:p>
        </w:tc>
        <w:tc>
          <w:tcPr>
            <w:tcW w:w="5261"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4ACB7495" w14:textId="77777777" w:rsidR="00403B07" w:rsidRPr="00734C53" w:rsidRDefault="00403B07" w:rsidP="00B01272">
            <w:pPr>
              <w:spacing w:after="0" w:line="240" w:lineRule="auto"/>
              <w:jc w:val="center"/>
              <w:rPr>
                <w:rFonts w:ascii="Calibri" w:eastAsia="Times New Roman" w:hAnsi="Calibri" w:cs="Times New Roman"/>
                <w:b/>
                <w:bCs/>
                <w:color w:val="000000"/>
                <w:sz w:val="24"/>
                <w:szCs w:val="24"/>
              </w:rPr>
            </w:pPr>
            <w:r w:rsidRPr="00734C53">
              <w:rPr>
                <w:rFonts w:ascii="Calibri" w:eastAsia="Times New Roman" w:hAnsi="Calibri" w:cs="Times New Roman"/>
                <w:b/>
                <w:bCs/>
                <w:color w:val="000000"/>
                <w:sz w:val="24"/>
                <w:szCs w:val="24"/>
              </w:rPr>
              <w:t>data set A</w:t>
            </w:r>
          </w:p>
        </w:tc>
        <w:tc>
          <w:tcPr>
            <w:tcW w:w="5546"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7A444261" w14:textId="77777777" w:rsidR="00403B07" w:rsidRPr="00734C53" w:rsidRDefault="00403B07" w:rsidP="00B01272">
            <w:pPr>
              <w:spacing w:after="0" w:line="240" w:lineRule="auto"/>
              <w:jc w:val="center"/>
              <w:rPr>
                <w:rFonts w:ascii="Calibri" w:eastAsia="Times New Roman" w:hAnsi="Calibri" w:cs="Times New Roman"/>
                <w:b/>
                <w:bCs/>
                <w:color w:val="000000"/>
                <w:sz w:val="24"/>
                <w:szCs w:val="24"/>
              </w:rPr>
            </w:pPr>
            <w:r w:rsidRPr="00734C53">
              <w:rPr>
                <w:rFonts w:ascii="Calibri" w:eastAsia="Times New Roman" w:hAnsi="Calibri" w:cs="Times New Roman"/>
                <w:b/>
                <w:bCs/>
                <w:color w:val="000000"/>
                <w:sz w:val="24"/>
                <w:szCs w:val="24"/>
              </w:rPr>
              <w:t xml:space="preserve"> data set B</w:t>
            </w:r>
          </w:p>
        </w:tc>
      </w:tr>
      <w:tr w:rsidR="00403B07" w:rsidRPr="00734C53" w14:paraId="53CD0DEB" w14:textId="77777777" w:rsidTr="00B01272">
        <w:trPr>
          <w:trHeight w:val="1086"/>
        </w:trPr>
        <w:tc>
          <w:tcPr>
            <w:tcW w:w="84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CEF77C" w14:textId="77777777" w:rsidR="00403B07" w:rsidRPr="00734C53" w:rsidRDefault="00403B07" w:rsidP="00B01272">
            <w:pPr>
              <w:spacing w:after="0" w:line="240" w:lineRule="auto"/>
              <w:rPr>
                <w:rFonts w:ascii="Calibri" w:eastAsia="Times New Roman" w:hAnsi="Calibri" w:cs="Times New Roman"/>
                <w:b/>
                <w:bCs/>
                <w:color w:val="000000"/>
              </w:rPr>
            </w:pPr>
            <w:r w:rsidRPr="00734C53">
              <w:rPr>
                <w:rFonts w:ascii="Calibri" w:eastAsia="Times New Roman" w:hAnsi="Calibri" w:cs="Times New Roman"/>
                <w:b/>
                <w:bCs/>
                <w:color w:val="000000"/>
              </w:rPr>
              <w:t xml:space="preserve"> MLQ item</w:t>
            </w:r>
          </w:p>
        </w:tc>
        <w:tc>
          <w:tcPr>
            <w:tcW w:w="1249" w:type="dxa"/>
            <w:tcBorders>
              <w:top w:val="nil"/>
              <w:left w:val="nil"/>
              <w:bottom w:val="single" w:sz="4" w:space="0" w:color="auto"/>
              <w:right w:val="single" w:sz="4" w:space="0" w:color="auto"/>
            </w:tcBorders>
            <w:shd w:val="clear" w:color="auto" w:fill="auto"/>
            <w:vAlign w:val="bottom"/>
            <w:hideMark/>
          </w:tcPr>
          <w:p w14:paraId="1AF92B03" w14:textId="77777777" w:rsidR="00403B07" w:rsidRPr="00734C53" w:rsidRDefault="00403B07" w:rsidP="00B01272">
            <w:pPr>
              <w:spacing w:after="0" w:line="240" w:lineRule="auto"/>
              <w:rPr>
                <w:rFonts w:ascii="Calibri" w:eastAsia="Times New Roman" w:hAnsi="Calibri" w:cs="Times New Roman"/>
                <w:b/>
                <w:bCs/>
                <w:color w:val="000000"/>
              </w:rPr>
            </w:pPr>
            <w:r w:rsidRPr="00734C53">
              <w:rPr>
                <w:rFonts w:ascii="Calibri" w:eastAsia="Times New Roman" w:hAnsi="Calibri" w:cs="Times New Roman"/>
                <w:b/>
                <w:bCs/>
                <w:color w:val="000000"/>
              </w:rPr>
              <w:t>Flesch-Kincaid reading ease (&gt;60)</w:t>
            </w:r>
          </w:p>
        </w:tc>
        <w:tc>
          <w:tcPr>
            <w:tcW w:w="850" w:type="dxa"/>
            <w:tcBorders>
              <w:top w:val="nil"/>
              <w:left w:val="nil"/>
              <w:bottom w:val="single" w:sz="4" w:space="0" w:color="auto"/>
              <w:right w:val="single" w:sz="4" w:space="0" w:color="auto"/>
            </w:tcBorders>
            <w:shd w:val="clear" w:color="auto" w:fill="auto"/>
            <w:vAlign w:val="bottom"/>
            <w:hideMark/>
          </w:tcPr>
          <w:p w14:paraId="63F3D932" w14:textId="77777777" w:rsidR="00403B07" w:rsidRPr="00734C53" w:rsidRDefault="00403B07" w:rsidP="00B01272">
            <w:pPr>
              <w:spacing w:after="0" w:line="240" w:lineRule="auto"/>
              <w:rPr>
                <w:rFonts w:ascii="Calibri" w:eastAsia="Times New Roman" w:hAnsi="Calibri" w:cs="Times New Roman"/>
                <w:b/>
                <w:bCs/>
                <w:color w:val="000000"/>
              </w:rPr>
            </w:pPr>
            <w:r w:rsidRPr="00734C53">
              <w:rPr>
                <w:rFonts w:ascii="Calibri" w:eastAsia="Times New Roman" w:hAnsi="Calibri" w:cs="Times New Roman"/>
                <w:b/>
                <w:bCs/>
                <w:color w:val="000000"/>
              </w:rPr>
              <w:t>Mean (&gt;1.5 or &lt;3.5)</w:t>
            </w:r>
          </w:p>
        </w:tc>
        <w:tc>
          <w:tcPr>
            <w:tcW w:w="993" w:type="dxa"/>
            <w:tcBorders>
              <w:top w:val="nil"/>
              <w:left w:val="nil"/>
              <w:bottom w:val="single" w:sz="4" w:space="0" w:color="auto"/>
              <w:right w:val="single" w:sz="4" w:space="0" w:color="auto"/>
            </w:tcBorders>
            <w:shd w:val="clear" w:color="auto" w:fill="auto"/>
            <w:vAlign w:val="bottom"/>
            <w:hideMark/>
          </w:tcPr>
          <w:p w14:paraId="1CE03B77" w14:textId="77777777" w:rsidR="00403B07" w:rsidRPr="00734C53" w:rsidRDefault="00403B07" w:rsidP="00B01272">
            <w:pPr>
              <w:spacing w:after="0" w:line="240" w:lineRule="auto"/>
              <w:jc w:val="center"/>
              <w:rPr>
                <w:rFonts w:ascii="Calibri" w:eastAsia="Times New Roman" w:hAnsi="Calibri" w:cs="Times New Roman"/>
                <w:b/>
                <w:bCs/>
                <w:color w:val="000000"/>
              </w:rPr>
            </w:pPr>
            <w:r w:rsidRPr="00734C53">
              <w:rPr>
                <w:rFonts w:ascii="Calibri" w:eastAsia="Times New Roman" w:hAnsi="Calibri" w:cs="Times New Roman"/>
                <w:b/>
                <w:bCs/>
                <w:color w:val="000000"/>
              </w:rPr>
              <w:t>SD (&gt; 0.8 or &lt;1.8)</w:t>
            </w:r>
          </w:p>
        </w:tc>
        <w:tc>
          <w:tcPr>
            <w:tcW w:w="992" w:type="dxa"/>
            <w:tcBorders>
              <w:top w:val="nil"/>
              <w:left w:val="nil"/>
              <w:bottom w:val="single" w:sz="4" w:space="0" w:color="auto"/>
              <w:right w:val="single" w:sz="4" w:space="0" w:color="auto"/>
            </w:tcBorders>
            <w:shd w:val="clear" w:color="auto" w:fill="auto"/>
            <w:vAlign w:val="bottom"/>
            <w:hideMark/>
          </w:tcPr>
          <w:p w14:paraId="61561813" w14:textId="77777777" w:rsidR="00403B07" w:rsidRPr="00734C53" w:rsidRDefault="00403B07" w:rsidP="00B01272">
            <w:pPr>
              <w:spacing w:after="0" w:line="240" w:lineRule="auto"/>
              <w:jc w:val="center"/>
              <w:rPr>
                <w:rFonts w:ascii="Calibri" w:eastAsia="Times New Roman" w:hAnsi="Calibri" w:cs="Times New Roman"/>
                <w:b/>
                <w:bCs/>
                <w:color w:val="000000"/>
              </w:rPr>
            </w:pPr>
            <w:r w:rsidRPr="00734C53">
              <w:rPr>
                <w:rFonts w:ascii="Calibri" w:eastAsia="Times New Roman" w:hAnsi="Calibri" w:cs="Times New Roman"/>
                <w:b/>
                <w:bCs/>
                <w:color w:val="000000"/>
              </w:rPr>
              <w:t>Floor %  (&lt;30%)</w:t>
            </w:r>
          </w:p>
        </w:tc>
        <w:tc>
          <w:tcPr>
            <w:tcW w:w="1134" w:type="dxa"/>
            <w:tcBorders>
              <w:top w:val="nil"/>
              <w:left w:val="nil"/>
              <w:bottom w:val="single" w:sz="4" w:space="0" w:color="auto"/>
              <w:right w:val="single" w:sz="4" w:space="0" w:color="auto"/>
            </w:tcBorders>
            <w:shd w:val="clear" w:color="auto" w:fill="auto"/>
            <w:vAlign w:val="bottom"/>
            <w:hideMark/>
          </w:tcPr>
          <w:p w14:paraId="3EE6748F" w14:textId="77777777" w:rsidR="00403B07" w:rsidRPr="00734C53" w:rsidRDefault="00403B07" w:rsidP="00B01272">
            <w:pPr>
              <w:spacing w:after="0" w:line="240" w:lineRule="auto"/>
              <w:jc w:val="center"/>
              <w:rPr>
                <w:rFonts w:ascii="Calibri" w:eastAsia="Times New Roman" w:hAnsi="Calibri" w:cs="Times New Roman"/>
                <w:b/>
                <w:bCs/>
                <w:color w:val="000000"/>
              </w:rPr>
            </w:pPr>
            <w:r w:rsidRPr="00734C53">
              <w:rPr>
                <w:rFonts w:ascii="Calibri" w:eastAsia="Times New Roman" w:hAnsi="Calibri" w:cs="Times New Roman"/>
                <w:b/>
                <w:bCs/>
                <w:color w:val="000000"/>
              </w:rPr>
              <w:t>Ceiling % (&lt;30%)</w:t>
            </w:r>
          </w:p>
        </w:tc>
        <w:tc>
          <w:tcPr>
            <w:tcW w:w="1292" w:type="dxa"/>
            <w:tcBorders>
              <w:top w:val="nil"/>
              <w:left w:val="nil"/>
              <w:bottom w:val="single" w:sz="4" w:space="0" w:color="auto"/>
              <w:right w:val="single" w:sz="4" w:space="0" w:color="auto"/>
            </w:tcBorders>
            <w:shd w:val="clear" w:color="auto" w:fill="auto"/>
            <w:vAlign w:val="bottom"/>
            <w:hideMark/>
          </w:tcPr>
          <w:p w14:paraId="2A125BC1" w14:textId="77777777" w:rsidR="00403B07" w:rsidRPr="00734C53" w:rsidRDefault="00403B07" w:rsidP="00B01272">
            <w:pPr>
              <w:spacing w:after="0" w:line="240" w:lineRule="auto"/>
              <w:rPr>
                <w:rFonts w:ascii="Calibri" w:eastAsia="Times New Roman" w:hAnsi="Calibri" w:cs="Times New Roman"/>
                <w:b/>
                <w:bCs/>
                <w:color w:val="000000"/>
              </w:rPr>
            </w:pPr>
            <w:r w:rsidRPr="00734C53">
              <w:rPr>
                <w:rFonts w:ascii="Calibri" w:eastAsia="Times New Roman" w:hAnsi="Calibri" w:cs="Times New Roman"/>
                <w:b/>
                <w:bCs/>
                <w:color w:val="000000"/>
              </w:rPr>
              <w:t xml:space="preserve">Highest pair item (correlation coefficient)  </w:t>
            </w:r>
          </w:p>
        </w:tc>
        <w:tc>
          <w:tcPr>
            <w:tcW w:w="976" w:type="dxa"/>
            <w:tcBorders>
              <w:top w:val="nil"/>
              <w:left w:val="nil"/>
              <w:bottom w:val="single" w:sz="4" w:space="0" w:color="auto"/>
              <w:right w:val="single" w:sz="4" w:space="0" w:color="auto"/>
            </w:tcBorders>
            <w:shd w:val="clear" w:color="auto" w:fill="auto"/>
            <w:vAlign w:val="bottom"/>
            <w:hideMark/>
          </w:tcPr>
          <w:p w14:paraId="1D56D1BC" w14:textId="77777777" w:rsidR="00403B07" w:rsidRPr="00734C53" w:rsidRDefault="00403B07" w:rsidP="00B01272">
            <w:pPr>
              <w:spacing w:after="0" w:line="240" w:lineRule="auto"/>
              <w:jc w:val="center"/>
              <w:rPr>
                <w:rFonts w:ascii="Calibri" w:eastAsia="Times New Roman" w:hAnsi="Calibri" w:cs="Times New Roman"/>
                <w:b/>
                <w:bCs/>
                <w:color w:val="000000"/>
              </w:rPr>
            </w:pPr>
            <w:r w:rsidRPr="00734C53">
              <w:rPr>
                <w:rFonts w:ascii="Calibri" w:eastAsia="Times New Roman" w:hAnsi="Calibri" w:cs="Times New Roman"/>
                <w:b/>
                <w:bCs/>
                <w:color w:val="000000"/>
              </w:rPr>
              <w:t>Mean (&gt;1.5 or &lt;3.5)</w:t>
            </w:r>
          </w:p>
        </w:tc>
        <w:tc>
          <w:tcPr>
            <w:tcW w:w="992" w:type="dxa"/>
            <w:tcBorders>
              <w:top w:val="nil"/>
              <w:left w:val="nil"/>
              <w:bottom w:val="single" w:sz="4" w:space="0" w:color="auto"/>
              <w:right w:val="single" w:sz="4" w:space="0" w:color="auto"/>
            </w:tcBorders>
            <w:shd w:val="clear" w:color="auto" w:fill="auto"/>
            <w:vAlign w:val="bottom"/>
            <w:hideMark/>
          </w:tcPr>
          <w:p w14:paraId="26B8CBE0" w14:textId="77777777" w:rsidR="00403B07" w:rsidRPr="00734C53" w:rsidRDefault="00403B07" w:rsidP="00B01272">
            <w:pPr>
              <w:spacing w:after="0" w:line="240" w:lineRule="auto"/>
              <w:jc w:val="center"/>
              <w:rPr>
                <w:rFonts w:ascii="Calibri" w:eastAsia="Times New Roman" w:hAnsi="Calibri" w:cs="Times New Roman"/>
                <w:b/>
                <w:bCs/>
                <w:color w:val="000000"/>
              </w:rPr>
            </w:pPr>
            <w:r w:rsidRPr="00734C53">
              <w:rPr>
                <w:rFonts w:ascii="Calibri" w:eastAsia="Times New Roman" w:hAnsi="Calibri" w:cs="Times New Roman"/>
                <w:b/>
                <w:bCs/>
                <w:color w:val="000000"/>
              </w:rPr>
              <w:t>SD (&gt; 0.8 or &lt;1.8)</w:t>
            </w:r>
          </w:p>
        </w:tc>
        <w:tc>
          <w:tcPr>
            <w:tcW w:w="992" w:type="dxa"/>
            <w:tcBorders>
              <w:top w:val="nil"/>
              <w:left w:val="nil"/>
              <w:bottom w:val="single" w:sz="4" w:space="0" w:color="auto"/>
              <w:right w:val="single" w:sz="4" w:space="0" w:color="auto"/>
            </w:tcBorders>
            <w:shd w:val="clear" w:color="auto" w:fill="auto"/>
            <w:vAlign w:val="bottom"/>
            <w:hideMark/>
          </w:tcPr>
          <w:p w14:paraId="1A721B28" w14:textId="77777777" w:rsidR="00403B07" w:rsidRPr="00734C53" w:rsidRDefault="00403B07" w:rsidP="00B01272">
            <w:pPr>
              <w:spacing w:after="0" w:line="240" w:lineRule="auto"/>
              <w:jc w:val="center"/>
              <w:rPr>
                <w:rFonts w:ascii="Calibri" w:eastAsia="Times New Roman" w:hAnsi="Calibri" w:cs="Times New Roman"/>
                <w:b/>
                <w:bCs/>
                <w:color w:val="000000"/>
              </w:rPr>
            </w:pPr>
            <w:r w:rsidRPr="00734C53">
              <w:rPr>
                <w:rFonts w:ascii="Calibri" w:eastAsia="Times New Roman" w:hAnsi="Calibri" w:cs="Times New Roman"/>
                <w:b/>
                <w:bCs/>
                <w:color w:val="000000"/>
              </w:rPr>
              <w:t>Floor % (&lt;30%)</w:t>
            </w:r>
          </w:p>
        </w:tc>
        <w:tc>
          <w:tcPr>
            <w:tcW w:w="1134" w:type="dxa"/>
            <w:tcBorders>
              <w:top w:val="nil"/>
              <w:left w:val="nil"/>
              <w:bottom w:val="single" w:sz="4" w:space="0" w:color="auto"/>
              <w:right w:val="single" w:sz="4" w:space="0" w:color="auto"/>
            </w:tcBorders>
            <w:shd w:val="clear" w:color="auto" w:fill="auto"/>
            <w:vAlign w:val="bottom"/>
            <w:hideMark/>
          </w:tcPr>
          <w:p w14:paraId="26888BA6" w14:textId="77777777" w:rsidR="00403B07" w:rsidRPr="00734C53" w:rsidRDefault="00403B07" w:rsidP="00B01272">
            <w:pPr>
              <w:spacing w:after="0" w:line="240" w:lineRule="auto"/>
              <w:jc w:val="center"/>
              <w:rPr>
                <w:rFonts w:ascii="Calibri" w:eastAsia="Times New Roman" w:hAnsi="Calibri" w:cs="Times New Roman"/>
                <w:b/>
                <w:bCs/>
                <w:color w:val="000000"/>
              </w:rPr>
            </w:pPr>
            <w:r w:rsidRPr="00734C53">
              <w:rPr>
                <w:rFonts w:ascii="Calibri" w:eastAsia="Times New Roman" w:hAnsi="Calibri" w:cs="Times New Roman"/>
                <w:b/>
                <w:bCs/>
                <w:color w:val="000000"/>
              </w:rPr>
              <w:t>Ceiling</w:t>
            </w:r>
            <w:r>
              <w:rPr>
                <w:rFonts w:ascii="Calibri" w:eastAsia="Times New Roman" w:hAnsi="Calibri" w:cs="Times New Roman"/>
                <w:b/>
                <w:bCs/>
                <w:color w:val="000000"/>
              </w:rPr>
              <w:t xml:space="preserve"> %</w:t>
            </w:r>
            <w:r w:rsidRPr="00734C53">
              <w:rPr>
                <w:rFonts w:ascii="Calibri" w:eastAsia="Times New Roman" w:hAnsi="Calibri" w:cs="Times New Roman"/>
                <w:b/>
                <w:bCs/>
                <w:color w:val="000000"/>
              </w:rPr>
              <w:t xml:space="preserve">  (&lt;30%)</w:t>
            </w:r>
          </w:p>
        </w:tc>
        <w:tc>
          <w:tcPr>
            <w:tcW w:w="1452" w:type="dxa"/>
            <w:tcBorders>
              <w:top w:val="nil"/>
              <w:left w:val="nil"/>
              <w:bottom w:val="single" w:sz="4" w:space="0" w:color="auto"/>
              <w:right w:val="single" w:sz="4" w:space="0" w:color="auto"/>
            </w:tcBorders>
            <w:shd w:val="clear" w:color="auto" w:fill="auto"/>
            <w:vAlign w:val="bottom"/>
            <w:hideMark/>
          </w:tcPr>
          <w:p w14:paraId="5F622908" w14:textId="77777777" w:rsidR="00403B07" w:rsidRPr="00734C53" w:rsidRDefault="00403B07" w:rsidP="00B01272">
            <w:pPr>
              <w:spacing w:after="0" w:line="240" w:lineRule="auto"/>
              <w:rPr>
                <w:rFonts w:ascii="Calibri" w:eastAsia="Times New Roman" w:hAnsi="Calibri" w:cs="Times New Roman"/>
                <w:b/>
                <w:bCs/>
                <w:color w:val="000000"/>
              </w:rPr>
            </w:pPr>
            <w:r w:rsidRPr="00734C53">
              <w:rPr>
                <w:rFonts w:ascii="Calibri" w:eastAsia="Times New Roman" w:hAnsi="Calibri" w:cs="Times New Roman"/>
                <w:b/>
                <w:bCs/>
                <w:color w:val="000000"/>
              </w:rPr>
              <w:t xml:space="preserve">Highest pair item (correlation coefficient)  </w:t>
            </w:r>
          </w:p>
        </w:tc>
      </w:tr>
      <w:tr w:rsidR="00403B07" w:rsidRPr="00734C53" w14:paraId="21E685E7" w14:textId="77777777" w:rsidTr="00B01272">
        <w:trPr>
          <w:trHeight w:val="297"/>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7C9BCD6E"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6</w:t>
            </w:r>
          </w:p>
        </w:tc>
        <w:tc>
          <w:tcPr>
            <w:tcW w:w="1249" w:type="dxa"/>
            <w:tcBorders>
              <w:top w:val="nil"/>
              <w:left w:val="nil"/>
              <w:bottom w:val="single" w:sz="4" w:space="0" w:color="auto"/>
              <w:right w:val="single" w:sz="4" w:space="0" w:color="auto"/>
            </w:tcBorders>
            <w:shd w:val="clear" w:color="auto" w:fill="auto"/>
            <w:noWrap/>
            <w:vAlign w:val="bottom"/>
            <w:hideMark/>
          </w:tcPr>
          <w:p w14:paraId="0024E5BB"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 xml:space="preserve"> 62.1</w:t>
            </w:r>
          </w:p>
        </w:tc>
        <w:tc>
          <w:tcPr>
            <w:tcW w:w="850" w:type="dxa"/>
            <w:tcBorders>
              <w:top w:val="nil"/>
              <w:left w:val="nil"/>
              <w:bottom w:val="single" w:sz="4" w:space="0" w:color="auto"/>
              <w:right w:val="single" w:sz="4" w:space="0" w:color="auto"/>
            </w:tcBorders>
            <w:shd w:val="clear" w:color="auto" w:fill="auto"/>
            <w:noWrap/>
            <w:vAlign w:val="bottom"/>
            <w:hideMark/>
          </w:tcPr>
          <w:p w14:paraId="228DF8A6"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2.93</w:t>
            </w:r>
          </w:p>
        </w:tc>
        <w:tc>
          <w:tcPr>
            <w:tcW w:w="993" w:type="dxa"/>
            <w:tcBorders>
              <w:top w:val="nil"/>
              <w:left w:val="nil"/>
              <w:bottom w:val="single" w:sz="4" w:space="0" w:color="auto"/>
              <w:right w:val="single" w:sz="4" w:space="0" w:color="auto"/>
            </w:tcBorders>
            <w:shd w:val="clear" w:color="auto" w:fill="auto"/>
            <w:noWrap/>
            <w:vAlign w:val="bottom"/>
            <w:hideMark/>
          </w:tcPr>
          <w:p w14:paraId="3B88B73F"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1.008</w:t>
            </w:r>
          </w:p>
        </w:tc>
        <w:tc>
          <w:tcPr>
            <w:tcW w:w="992" w:type="dxa"/>
            <w:tcBorders>
              <w:top w:val="nil"/>
              <w:left w:val="nil"/>
              <w:bottom w:val="single" w:sz="4" w:space="0" w:color="auto"/>
              <w:right w:val="single" w:sz="4" w:space="0" w:color="auto"/>
            </w:tcBorders>
            <w:shd w:val="clear" w:color="auto" w:fill="auto"/>
            <w:noWrap/>
            <w:vAlign w:val="bottom"/>
            <w:hideMark/>
          </w:tcPr>
          <w:p w14:paraId="06EAC3EE"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13.1</w:t>
            </w:r>
          </w:p>
        </w:tc>
        <w:tc>
          <w:tcPr>
            <w:tcW w:w="1134" w:type="dxa"/>
            <w:tcBorders>
              <w:top w:val="nil"/>
              <w:left w:val="nil"/>
              <w:bottom w:val="single" w:sz="4" w:space="0" w:color="auto"/>
              <w:right w:val="single" w:sz="4" w:space="0" w:color="auto"/>
            </w:tcBorders>
            <w:shd w:val="clear" w:color="000000" w:fill="D9D9D9"/>
            <w:noWrap/>
            <w:vAlign w:val="bottom"/>
            <w:hideMark/>
          </w:tcPr>
          <w:p w14:paraId="776B4558"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34.4</w:t>
            </w:r>
          </w:p>
        </w:tc>
        <w:tc>
          <w:tcPr>
            <w:tcW w:w="1292" w:type="dxa"/>
            <w:tcBorders>
              <w:top w:val="nil"/>
              <w:left w:val="nil"/>
              <w:bottom w:val="single" w:sz="4" w:space="0" w:color="auto"/>
              <w:right w:val="single" w:sz="4" w:space="0" w:color="auto"/>
            </w:tcBorders>
            <w:shd w:val="clear" w:color="auto" w:fill="auto"/>
            <w:noWrap/>
            <w:vAlign w:val="bottom"/>
            <w:hideMark/>
          </w:tcPr>
          <w:p w14:paraId="69503089"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9 (0.55)</w:t>
            </w:r>
          </w:p>
        </w:tc>
        <w:tc>
          <w:tcPr>
            <w:tcW w:w="976" w:type="dxa"/>
            <w:tcBorders>
              <w:top w:val="nil"/>
              <w:left w:val="nil"/>
              <w:bottom w:val="single" w:sz="4" w:space="0" w:color="auto"/>
              <w:right w:val="single" w:sz="4" w:space="0" w:color="auto"/>
            </w:tcBorders>
            <w:shd w:val="clear" w:color="auto" w:fill="auto"/>
            <w:noWrap/>
            <w:vAlign w:val="bottom"/>
            <w:hideMark/>
          </w:tcPr>
          <w:p w14:paraId="4462E371"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2.95</w:t>
            </w:r>
          </w:p>
        </w:tc>
        <w:tc>
          <w:tcPr>
            <w:tcW w:w="992" w:type="dxa"/>
            <w:tcBorders>
              <w:top w:val="nil"/>
              <w:left w:val="nil"/>
              <w:bottom w:val="single" w:sz="4" w:space="0" w:color="auto"/>
              <w:right w:val="single" w:sz="4" w:space="0" w:color="auto"/>
            </w:tcBorders>
            <w:shd w:val="clear" w:color="auto" w:fill="auto"/>
            <w:noWrap/>
            <w:vAlign w:val="bottom"/>
            <w:hideMark/>
          </w:tcPr>
          <w:p w14:paraId="20BC4091"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0.936</w:t>
            </w:r>
          </w:p>
        </w:tc>
        <w:tc>
          <w:tcPr>
            <w:tcW w:w="992" w:type="dxa"/>
            <w:tcBorders>
              <w:top w:val="nil"/>
              <w:left w:val="nil"/>
              <w:bottom w:val="single" w:sz="4" w:space="0" w:color="auto"/>
              <w:right w:val="single" w:sz="4" w:space="0" w:color="auto"/>
            </w:tcBorders>
            <w:shd w:val="clear" w:color="auto" w:fill="auto"/>
            <w:noWrap/>
            <w:vAlign w:val="bottom"/>
            <w:hideMark/>
          </w:tcPr>
          <w:p w14:paraId="7105BE55"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10.7</w:t>
            </w:r>
          </w:p>
        </w:tc>
        <w:tc>
          <w:tcPr>
            <w:tcW w:w="1134" w:type="dxa"/>
            <w:tcBorders>
              <w:top w:val="nil"/>
              <w:left w:val="nil"/>
              <w:bottom w:val="single" w:sz="4" w:space="0" w:color="auto"/>
              <w:right w:val="single" w:sz="4" w:space="0" w:color="auto"/>
            </w:tcBorders>
            <w:shd w:val="clear" w:color="000000" w:fill="D9D9D9"/>
            <w:noWrap/>
            <w:vAlign w:val="bottom"/>
            <w:hideMark/>
          </w:tcPr>
          <w:p w14:paraId="0463C3E9"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30.7</w:t>
            </w:r>
          </w:p>
        </w:tc>
        <w:tc>
          <w:tcPr>
            <w:tcW w:w="1452" w:type="dxa"/>
            <w:tcBorders>
              <w:top w:val="nil"/>
              <w:left w:val="nil"/>
              <w:bottom w:val="single" w:sz="4" w:space="0" w:color="auto"/>
              <w:right w:val="single" w:sz="4" w:space="0" w:color="auto"/>
            </w:tcBorders>
            <w:shd w:val="clear" w:color="auto" w:fill="auto"/>
            <w:noWrap/>
            <w:hideMark/>
          </w:tcPr>
          <w:p w14:paraId="025F6D08"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9 (0.52)</w:t>
            </w:r>
          </w:p>
        </w:tc>
      </w:tr>
      <w:tr w:rsidR="00403B07" w:rsidRPr="00734C53" w14:paraId="110386C9" w14:textId="77777777" w:rsidTr="00B01272">
        <w:trPr>
          <w:trHeight w:val="297"/>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23ABB907"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7</w:t>
            </w:r>
          </w:p>
        </w:tc>
        <w:tc>
          <w:tcPr>
            <w:tcW w:w="1249" w:type="dxa"/>
            <w:tcBorders>
              <w:top w:val="nil"/>
              <w:left w:val="nil"/>
              <w:bottom w:val="single" w:sz="4" w:space="0" w:color="auto"/>
              <w:right w:val="single" w:sz="4" w:space="0" w:color="auto"/>
            </w:tcBorders>
            <w:shd w:val="clear" w:color="auto" w:fill="auto"/>
            <w:noWrap/>
            <w:vAlign w:val="bottom"/>
            <w:hideMark/>
          </w:tcPr>
          <w:p w14:paraId="0DE5FE50"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65.7</w:t>
            </w:r>
          </w:p>
        </w:tc>
        <w:tc>
          <w:tcPr>
            <w:tcW w:w="850" w:type="dxa"/>
            <w:tcBorders>
              <w:top w:val="nil"/>
              <w:left w:val="nil"/>
              <w:bottom w:val="single" w:sz="4" w:space="0" w:color="auto"/>
              <w:right w:val="single" w:sz="4" w:space="0" w:color="auto"/>
            </w:tcBorders>
            <w:shd w:val="clear" w:color="auto" w:fill="auto"/>
            <w:noWrap/>
            <w:vAlign w:val="bottom"/>
            <w:hideMark/>
          </w:tcPr>
          <w:p w14:paraId="4B5A0274"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2.68</w:t>
            </w:r>
          </w:p>
        </w:tc>
        <w:tc>
          <w:tcPr>
            <w:tcW w:w="993" w:type="dxa"/>
            <w:tcBorders>
              <w:top w:val="nil"/>
              <w:left w:val="nil"/>
              <w:bottom w:val="single" w:sz="4" w:space="0" w:color="auto"/>
              <w:right w:val="single" w:sz="4" w:space="0" w:color="auto"/>
            </w:tcBorders>
            <w:shd w:val="clear" w:color="auto" w:fill="auto"/>
            <w:noWrap/>
            <w:vAlign w:val="bottom"/>
            <w:hideMark/>
          </w:tcPr>
          <w:p w14:paraId="571CE93E"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1.060</w:t>
            </w:r>
          </w:p>
        </w:tc>
        <w:tc>
          <w:tcPr>
            <w:tcW w:w="992" w:type="dxa"/>
            <w:tcBorders>
              <w:top w:val="nil"/>
              <w:left w:val="nil"/>
              <w:bottom w:val="single" w:sz="4" w:space="0" w:color="auto"/>
              <w:right w:val="single" w:sz="4" w:space="0" w:color="auto"/>
            </w:tcBorders>
            <w:shd w:val="clear" w:color="auto" w:fill="auto"/>
            <w:noWrap/>
            <w:vAlign w:val="bottom"/>
            <w:hideMark/>
          </w:tcPr>
          <w:p w14:paraId="0B2CC5D8"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17.5</w:t>
            </w:r>
          </w:p>
        </w:tc>
        <w:tc>
          <w:tcPr>
            <w:tcW w:w="1134" w:type="dxa"/>
            <w:tcBorders>
              <w:top w:val="nil"/>
              <w:left w:val="nil"/>
              <w:bottom w:val="single" w:sz="4" w:space="0" w:color="auto"/>
              <w:right w:val="single" w:sz="4" w:space="0" w:color="auto"/>
            </w:tcBorders>
            <w:shd w:val="clear" w:color="auto" w:fill="auto"/>
            <w:noWrap/>
            <w:vAlign w:val="bottom"/>
            <w:hideMark/>
          </w:tcPr>
          <w:p w14:paraId="4FAEAC89"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27.7</w:t>
            </w:r>
          </w:p>
        </w:tc>
        <w:tc>
          <w:tcPr>
            <w:tcW w:w="1292" w:type="dxa"/>
            <w:tcBorders>
              <w:top w:val="nil"/>
              <w:left w:val="nil"/>
              <w:bottom w:val="single" w:sz="4" w:space="0" w:color="auto"/>
              <w:right w:val="single" w:sz="4" w:space="0" w:color="auto"/>
            </w:tcBorders>
            <w:shd w:val="clear" w:color="auto" w:fill="auto"/>
            <w:noWrap/>
            <w:vAlign w:val="bottom"/>
            <w:hideMark/>
          </w:tcPr>
          <w:p w14:paraId="7B1DDF07"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10 (0.57)</w:t>
            </w:r>
          </w:p>
        </w:tc>
        <w:tc>
          <w:tcPr>
            <w:tcW w:w="976" w:type="dxa"/>
            <w:tcBorders>
              <w:top w:val="nil"/>
              <w:left w:val="nil"/>
              <w:bottom w:val="single" w:sz="4" w:space="0" w:color="auto"/>
              <w:right w:val="single" w:sz="4" w:space="0" w:color="auto"/>
            </w:tcBorders>
            <w:shd w:val="clear" w:color="auto" w:fill="auto"/>
            <w:noWrap/>
            <w:vAlign w:val="bottom"/>
            <w:hideMark/>
          </w:tcPr>
          <w:p w14:paraId="440218E3"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2.70</w:t>
            </w:r>
          </w:p>
        </w:tc>
        <w:tc>
          <w:tcPr>
            <w:tcW w:w="992" w:type="dxa"/>
            <w:tcBorders>
              <w:top w:val="nil"/>
              <w:left w:val="nil"/>
              <w:bottom w:val="single" w:sz="4" w:space="0" w:color="auto"/>
              <w:right w:val="single" w:sz="4" w:space="0" w:color="auto"/>
            </w:tcBorders>
            <w:shd w:val="clear" w:color="auto" w:fill="auto"/>
            <w:noWrap/>
            <w:vAlign w:val="bottom"/>
            <w:hideMark/>
          </w:tcPr>
          <w:p w14:paraId="1F81945C"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1.055</w:t>
            </w:r>
          </w:p>
        </w:tc>
        <w:tc>
          <w:tcPr>
            <w:tcW w:w="992" w:type="dxa"/>
            <w:tcBorders>
              <w:top w:val="nil"/>
              <w:left w:val="nil"/>
              <w:bottom w:val="single" w:sz="4" w:space="0" w:color="auto"/>
              <w:right w:val="single" w:sz="4" w:space="0" w:color="auto"/>
            </w:tcBorders>
            <w:shd w:val="clear" w:color="auto" w:fill="auto"/>
            <w:noWrap/>
            <w:vAlign w:val="bottom"/>
            <w:hideMark/>
          </w:tcPr>
          <w:p w14:paraId="4925435F"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16.4</w:t>
            </w:r>
          </w:p>
        </w:tc>
        <w:tc>
          <w:tcPr>
            <w:tcW w:w="1134" w:type="dxa"/>
            <w:tcBorders>
              <w:top w:val="nil"/>
              <w:left w:val="nil"/>
              <w:bottom w:val="single" w:sz="4" w:space="0" w:color="auto"/>
              <w:right w:val="single" w:sz="4" w:space="0" w:color="auto"/>
            </w:tcBorders>
            <w:shd w:val="clear" w:color="auto" w:fill="auto"/>
            <w:noWrap/>
            <w:vAlign w:val="bottom"/>
            <w:hideMark/>
          </w:tcPr>
          <w:p w14:paraId="359664F6"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28.7</w:t>
            </w:r>
          </w:p>
        </w:tc>
        <w:tc>
          <w:tcPr>
            <w:tcW w:w="1452" w:type="dxa"/>
            <w:tcBorders>
              <w:top w:val="nil"/>
              <w:left w:val="nil"/>
              <w:bottom w:val="single" w:sz="4" w:space="0" w:color="auto"/>
              <w:right w:val="single" w:sz="4" w:space="0" w:color="auto"/>
            </w:tcBorders>
            <w:shd w:val="clear" w:color="auto" w:fill="auto"/>
            <w:noWrap/>
            <w:hideMark/>
          </w:tcPr>
          <w:p w14:paraId="65ABF5DA"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10 (0.56)</w:t>
            </w:r>
          </w:p>
        </w:tc>
      </w:tr>
      <w:tr w:rsidR="00403B07" w:rsidRPr="00734C53" w14:paraId="09E5BC8A" w14:textId="77777777" w:rsidTr="00B01272">
        <w:trPr>
          <w:trHeight w:val="312"/>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4F5697A6"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8</w:t>
            </w:r>
          </w:p>
        </w:tc>
        <w:tc>
          <w:tcPr>
            <w:tcW w:w="1249" w:type="dxa"/>
            <w:tcBorders>
              <w:top w:val="nil"/>
              <w:left w:val="nil"/>
              <w:bottom w:val="single" w:sz="4" w:space="0" w:color="auto"/>
              <w:right w:val="single" w:sz="4" w:space="0" w:color="auto"/>
            </w:tcBorders>
            <w:shd w:val="clear" w:color="auto" w:fill="auto"/>
            <w:noWrap/>
            <w:vAlign w:val="bottom"/>
            <w:hideMark/>
          </w:tcPr>
          <w:p w14:paraId="480491D9"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69</w:t>
            </w:r>
          </w:p>
        </w:tc>
        <w:tc>
          <w:tcPr>
            <w:tcW w:w="850" w:type="dxa"/>
            <w:tcBorders>
              <w:top w:val="nil"/>
              <w:left w:val="nil"/>
              <w:bottom w:val="single" w:sz="4" w:space="0" w:color="auto"/>
              <w:right w:val="single" w:sz="4" w:space="0" w:color="auto"/>
            </w:tcBorders>
            <w:shd w:val="clear" w:color="auto" w:fill="auto"/>
            <w:noWrap/>
            <w:vAlign w:val="bottom"/>
            <w:hideMark/>
          </w:tcPr>
          <w:p w14:paraId="725C03CD"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2.24</w:t>
            </w:r>
          </w:p>
        </w:tc>
        <w:tc>
          <w:tcPr>
            <w:tcW w:w="993" w:type="dxa"/>
            <w:tcBorders>
              <w:top w:val="nil"/>
              <w:left w:val="nil"/>
              <w:bottom w:val="single" w:sz="4" w:space="0" w:color="auto"/>
              <w:right w:val="single" w:sz="4" w:space="0" w:color="auto"/>
            </w:tcBorders>
            <w:shd w:val="clear" w:color="auto" w:fill="auto"/>
            <w:noWrap/>
            <w:vAlign w:val="bottom"/>
            <w:hideMark/>
          </w:tcPr>
          <w:p w14:paraId="4F0AC4BC"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1.083</w:t>
            </w:r>
          </w:p>
        </w:tc>
        <w:tc>
          <w:tcPr>
            <w:tcW w:w="992" w:type="dxa"/>
            <w:tcBorders>
              <w:top w:val="nil"/>
              <w:left w:val="nil"/>
              <w:bottom w:val="single" w:sz="4" w:space="0" w:color="auto"/>
              <w:right w:val="single" w:sz="4" w:space="0" w:color="auto"/>
            </w:tcBorders>
            <w:shd w:val="clear" w:color="000000" w:fill="D9D9D9"/>
            <w:noWrap/>
            <w:vAlign w:val="bottom"/>
            <w:hideMark/>
          </w:tcPr>
          <w:p w14:paraId="6B2A4479"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33.4</w:t>
            </w:r>
          </w:p>
        </w:tc>
        <w:tc>
          <w:tcPr>
            <w:tcW w:w="1134" w:type="dxa"/>
            <w:tcBorders>
              <w:top w:val="nil"/>
              <w:left w:val="nil"/>
              <w:bottom w:val="single" w:sz="4" w:space="0" w:color="auto"/>
              <w:right w:val="single" w:sz="4" w:space="0" w:color="auto"/>
            </w:tcBorders>
            <w:shd w:val="clear" w:color="auto" w:fill="auto"/>
            <w:noWrap/>
            <w:vAlign w:val="bottom"/>
            <w:hideMark/>
          </w:tcPr>
          <w:p w14:paraId="4F91D08A"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15.9</w:t>
            </w:r>
          </w:p>
        </w:tc>
        <w:tc>
          <w:tcPr>
            <w:tcW w:w="1292" w:type="dxa"/>
            <w:tcBorders>
              <w:top w:val="nil"/>
              <w:left w:val="nil"/>
              <w:bottom w:val="single" w:sz="4" w:space="0" w:color="auto"/>
              <w:right w:val="single" w:sz="4" w:space="0" w:color="auto"/>
            </w:tcBorders>
            <w:shd w:val="clear" w:color="auto" w:fill="auto"/>
            <w:noWrap/>
            <w:vAlign w:val="bottom"/>
            <w:hideMark/>
          </w:tcPr>
          <w:p w14:paraId="27FA1E45"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11 (0.57)</w:t>
            </w:r>
          </w:p>
        </w:tc>
        <w:tc>
          <w:tcPr>
            <w:tcW w:w="976" w:type="dxa"/>
            <w:tcBorders>
              <w:top w:val="nil"/>
              <w:left w:val="nil"/>
              <w:bottom w:val="single" w:sz="4" w:space="0" w:color="auto"/>
              <w:right w:val="single" w:sz="4" w:space="0" w:color="auto"/>
            </w:tcBorders>
            <w:shd w:val="clear" w:color="auto" w:fill="auto"/>
            <w:noWrap/>
            <w:vAlign w:val="bottom"/>
            <w:hideMark/>
          </w:tcPr>
          <w:p w14:paraId="4167F244"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2.26</w:t>
            </w:r>
          </w:p>
        </w:tc>
        <w:tc>
          <w:tcPr>
            <w:tcW w:w="992" w:type="dxa"/>
            <w:tcBorders>
              <w:top w:val="nil"/>
              <w:left w:val="nil"/>
              <w:bottom w:val="single" w:sz="4" w:space="0" w:color="auto"/>
              <w:right w:val="single" w:sz="4" w:space="0" w:color="auto"/>
            </w:tcBorders>
            <w:shd w:val="clear" w:color="auto" w:fill="auto"/>
            <w:noWrap/>
            <w:vAlign w:val="bottom"/>
            <w:hideMark/>
          </w:tcPr>
          <w:p w14:paraId="4BC5F331"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1.106</w:t>
            </w:r>
          </w:p>
        </w:tc>
        <w:tc>
          <w:tcPr>
            <w:tcW w:w="992" w:type="dxa"/>
            <w:tcBorders>
              <w:top w:val="nil"/>
              <w:left w:val="nil"/>
              <w:bottom w:val="single" w:sz="4" w:space="0" w:color="auto"/>
              <w:right w:val="single" w:sz="4" w:space="0" w:color="auto"/>
            </w:tcBorders>
            <w:shd w:val="clear" w:color="000000" w:fill="D9D9D9"/>
            <w:noWrap/>
            <w:vAlign w:val="bottom"/>
            <w:hideMark/>
          </w:tcPr>
          <w:p w14:paraId="040F8C80"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33.3</w:t>
            </w:r>
          </w:p>
        </w:tc>
        <w:tc>
          <w:tcPr>
            <w:tcW w:w="1134" w:type="dxa"/>
            <w:tcBorders>
              <w:top w:val="nil"/>
              <w:left w:val="nil"/>
              <w:bottom w:val="single" w:sz="4" w:space="0" w:color="auto"/>
              <w:right w:val="single" w:sz="4" w:space="0" w:color="auto"/>
            </w:tcBorders>
            <w:shd w:val="clear" w:color="auto" w:fill="auto"/>
            <w:noWrap/>
            <w:vAlign w:val="bottom"/>
            <w:hideMark/>
          </w:tcPr>
          <w:p w14:paraId="638DBAFA"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18.1</w:t>
            </w:r>
          </w:p>
        </w:tc>
        <w:tc>
          <w:tcPr>
            <w:tcW w:w="1452" w:type="dxa"/>
            <w:tcBorders>
              <w:top w:val="nil"/>
              <w:left w:val="nil"/>
              <w:bottom w:val="single" w:sz="4" w:space="0" w:color="auto"/>
              <w:right w:val="single" w:sz="4" w:space="0" w:color="auto"/>
            </w:tcBorders>
            <w:shd w:val="clear" w:color="auto" w:fill="auto"/>
            <w:noWrap/>
            <w:hideMark/>
          </w:tcPr>
          <w:p w14:paraId="4F4AF6AA"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11 (0.58)</w:t>
            </w:r>
          </w:p>
        </w:tc>
      </w:tr>
      <w:tr w:rsidR="00403B07" w:rsidRPr="00734C53" w14:paraId="314252DB" w14:textId="77777777" w:rsidTr="00B01272">
        <w:trPr>
          <w:trHeight w:val="297"/>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4D7EB95F"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9</w:t>
            </w:r>
          </w:p>
        </w:tc>
        <w:tc>
          <w:tcPr>
            <w:tcW w:w="1249" w:type="dxa"/>
            <w:tcBorders>
              <w:top w:val="nil"/>
              <w:left w:val="nil"/>
              <w:bottom w:val="single" w:sz="4" w:space="0" w:color="auto"/>
              <w:right w:val="single" w:sz="4" w:space="0" w:color="auto"/>
            </w:tcBorders>
            <w:shd w:val="clear" w:color="auto" w:fill="auto"/>
            <w:noWrap/>
            <w:vAlign w:val="bottom"/>
            <w:hideMark/>
          </w:tcPr>
          <w:p w14:paraId="119A570B"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67.3</w:t>
            </w:r>
          </w:p>
        </w:tc>
        <w:tc>
          <w:tcPr>
            <w:tcW w:w="850" w:type="dxa"/>
            <w:tcBorders>
              <w:top w:val="nil"/>
              <w:left w:val="nil"/>
              <w:bottom w:val="single" w:sz="4" w:space="0" w:color="auto"/>
              <w:right w:val="single" w:sz="4" w:space="0" w:color="auto"/>
            </w:tcBorders>
            <w:shd w:val="clear" w:color="auto" w:fill="auto"/>
            <w:noWrap/>
            <w:vAlign w:val="bottom"/>
            <w:hideMark/>
          </w:tcPr>
          <w:p w14:paraId="6909F931"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2.80</w:t>
            </w:r>
          </w:p>
        </w:tc>
        <w:tc>
          <w:tcPr>
            <w:tcW w:w="993" w:type="dxa"/>
            <w:tcBorders>
              <w:top w:val="nil"/>
              <w:left w:val="nil"/>
              <w:bottom w:val="single" w:sz="4" w:space="0" w:color="auto"/>
              <w:right w:val="single" w:sz="4" w:space="0" w:color="auto"/>
            </w:tcBorders>
            <w:shd w:val="clear" w:color="auto" w:fill="auto"/>
            <w:noWrap/>
            <w:vAlign w:val="bottom"/>
            <w:hideMark/>
          </w:tcPr>
          <w:p w14:paraId="3EA9AF7B"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1.092</w:t>
            </w:r>
          </w:p>
        </w:tc>
        <w:tc>
          <w:tcPr>
            <w:tcW w:w="992" w:type="dxa"/>
            <w:tcBorders>
              <w:top w:val="nil"/>
              <w:left w:val="nil"/>
              <w:bottom w:val="single" w:sz="4" w:space="0" w:color="auto"/>
              <w:right w:val="single" w:sz="4" w:space="0" w:color="auto"/>
            </w:tcBorders>
            <w:shd w:val="clear" w:color="auto" w:fill="auto"/>
            <w:noWrap/>
            <w:vAlign w:val="bottom"/>
            <w:hideMark/>
          </w:tcPr>
          <w:p w14:paraId="0EBDE3FE"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18.7</w:t>
            </w:r>
          </w:p>
        </w:tc>
        <w:tc>
          <w:tcPr>
            <w:tcW w:w="1134" w:type="dxa"/>
            <w:tcBorders>
              <w:top w:val="nil"/>
              <w:left w:val="nil"/>
              <w:bottom w:val="single" w:sz="4" w:space="0" w:color="auto"/>
              <w:right w:val="single" w:sz="4" w:space="0" w:color="auto"/>
            </w:tcBorders>
            <w:shd w:val="clear" w:color="000000" w:fill="D9D9D9"/>
            <w:noWrap/>
            <w:vAlign w:val="bottom"/>
            <w:hideMark/>
          </w:tcPr>
          <w:p w14:paraId="25E046BD"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32.9</w:t>
            </w:r>
          </w:p>
        </w:tc>
        <w:tc>
          <w:tcPr>
            <w:tcW w:w="1292" w:type="dxa"/>
            <w:tcBorders>
              <w:top w:val="nil"/>
              <w:left w:val="nil"/>
              <w:bottom w:val="single" w:sz="4" w:space="0" w:color="auto"/>
              <w:right w:val="single" w:sz="4" w:space="0" w:color="auto"/>
            </w:tcBorders>
            <w:shd w:val="clear" w:color="auto" w:fill="auto"/>
            <w:noWrap/>
            <w:vAlign w:val="bottom"/>
            <w:hideMark/>
          </w:tcPr>
          <w:p w14:paraId="280694BB"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6 (0.55)</w:t>
            </w:r>
          </w:p>
        </w:tc>
        <w:tc>
          <w:tcPr>
            <w:tcW w:w="976" w:type="dxa"/>
            <w:tcBorders>
              <w:top w:val="nil"/>
              <w:left w:val="nil"/>
              <w:bottom w:val="single" w:sz="4" w:space="0" w:color="auto"/>
              <w:right w:val="single" w:sz="4" w:space="0" w:color="auto"/>
            </w:tcBorders>
            <w:shd w:val="clear" w:color="auto" w:fill="auto"/>
            <w:noWrap/>
            <w:vAlign w:val="bottom"/>
            <w:hideMark/>
          </w:tcPr>
          <w:p w14:paraId="1F849C22"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2.86</w:t>
            </w:r>
          </w:p>
        </w:tc>
        <w:tc>
          <w:tcPr>
            <w:tcW w:w="992" w:type="dxa"/>
            <w:tcBorders>
              <w:top w:val="nil"/>
              <w:left w:val="nil"/>
              <w:bottom w:val="single" w:sz="4" w:space="0" w:color="auto"/>
              <w:right w:val="single" w:sz="4" w:space="0" w:color="auto"/>
            </w:tcBorders>
            <w:shd w:val="clear" w:color="auto" w:fill="auto"/>
            <w:noWrap/>
            <w:vAlign w:val="bottom"/>
            <w:hideMark/>
          </w:tcPr>
          <w:p w14:paraId="3D6681CB"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1.014</w:t>
            </w:r>
          </w:p>
        </w:tc>
        <w:tc>
          <w:tcPr>
            <w:tcW w:w="992" w:type="dxa"/>
            <w:tcBorders>
              <w:top w:val="nil"/>
              <w:left w:val="nil"/>
              <w:bottom w:val="single" w:sz="4" w:space="0" w:color="auto"/>
              <w:right w:val="single" w:sz="4" w:space="0" w:color="auto"/>
            </w:tcBorders>
            <w:shd w:val="clear" w:color="auto" w:fill="auto"/>
            <w:noWrap/>
            <w:vAlign w:val="bottom"/>
            <w:hideMark/>
          </w:tcPr>
          <w:p w14:paraId="208E207D"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13.7</w:t>
            </w:r>
          </w:p>
        </w:tc>
        <w:tc>
          <w:tcPr>
            <w:tcW w:w="1134" w:type="dxa"/>
            <w:tcBorders>
              <w:top w:val="nil"/>
              <w:left w:val="nil"/>
              <w:bottom w:val="single" w:sz="4" w:space="0" w:color="auto"/>
              <w:right w:val="single" w:sz="4" w:space="0" w:color="auto"/>
            </w:tcBorders>
            <w:shd w:val="clear" w:color="000000" w:fill="D9D9D9"/>
            <w:noWrap/>
            <w:vAlign w:val="bottom"/>
            <w:hideMark/>
          </w:tcPr>
          <w:p w14:paraId="078129CA"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31.5</w:t>
            </w:r>
          </w:p>
        </w:tc>
        <w:tc>
          <w:tcPr>
            <w:tcW w:w="1452" w:type="dxa"/>
            <w:tcBorders>
              <w:top w:val="nil"/>
              <w:left w:val="nil"/>
              <w:bottom w:val="single" w:sz="4" w:space="0" w:color="auto"/>
              <w:right w:val="single" w:sz="4" w:space="0" w:color="auto"/>
            </w:tcBorders>
            <w:shd w:val="clear" w:color="auto" w:fill="auto"/>
            <w:noWrap/>
            <w:hideMark/>
          </w:tcPr>
          <w:p w14:paraId="012CDDB6"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6 (0.52)</w:t>
            </w:r>
          </w:p>
        </w:tc>
      </w:tr>
      <w:tr w:rsidR="00403B07" w:rsidRPr="00734C53" w14:paraId="1237B37B" w14:textId="77777777" w:rsidTr="00B01272">
        <w:trPr>
          <w:trHeight w:val="297"/>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587156D4"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w:t>
            </w:r>
          </w:p>
        </w:tc>
        <w:tc>
          <w:tcPr>
            <w:tcW w:w="1249" w:type="dxa"/>
            <w:tcBorders>
              <w:top w:val="nil"/>
              <w:left w:val="nil"/>
              <w:bottom w:val="single" w:sz="4" w:space="0" w:color="auto"/>
              <w:right w:val="single" w:sz="4" w:space="0" w:color="auto"/>
            </w:tcBorders>
            <w:shd w:val="clear" w:color="auto" w:fill="auto"/>
            <w:noWrap/>
            <w:vAlign w:val="bottom"/>
            <w:hideMark/>
          </w:tcPr>
          <w:p w14:paraId="0F1CDBFF"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69.8</w:t>
            </w:r>
          </w:p>
        </w:tc>
        <w:tc>
          <w:tcPr>
            <w:tcW w:w="850" w:type="dxa"/>
            <w:tcBorders>
              <w:top w:val="nil"/>
              <w:left w:val="nil"/>
              <w:bottom w:val="single" w:sz="4" w:space="0" w:color="auto"/>
              <w:right w:val="single" w:sz="4" w:space="0" w:color="auto"/>
            </w:tcBorders>
            <w:shd w:val="clear" w:color="auto" w:fill="auto"/>
            <w:noWrap/>
            <w:vAlign w:val="bottom"/>
            <w:hideMark/>
          </w:tcPr>
          <w:p w14:paraId="613080AE"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2.45</w:t>
            </w:r>
          </w:p>
        </w:tc>
        <w:tc>
          <w:tcPr>
            <w:tcW w:w="993" w:type="dxa"/>
            <w:tcBorders>
              <w:top w:val="nil"/>
              <w:left w:val="nil"/>
              <w:bottom w:val="single" w:sz="4" w:space="0" w:color="auto"/>
              <w:right w:val="single" w:sz="4" w:space="0" w:color="auto"/>
            </w:tcBorders>
            <w:shd w:val="clear" w:color="auto" w:fill="auto"/>
            <w:noWrap/>
            <w:vAlign w:val="bottom"/>
            <w:hideMark/>
          </w:tcPr>
          <w:p w14:paraId="1CC57226"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1.115</w:t>
            </w:r>
          </w:p>
        </w:tc>
        <w:tc>
          <w:tcPr>
            <w:tcW w:w="992" w:type="dxa"/>
            <w:tcBorders>
              <w:top w:val="nil"/>
              <w:left w:val="nil"/>
              <w:bottom w:val="single" w:sz="4" w:space="0" w:color="auto"/>
              <w:right w:val="single" w:sz="4" w:space="0" w:color="auto"/>
            </w:tcBorders>
            <w:shd w:val="clear" w:color="auto" w:fill="auto"/>
            <w:noWrap/>
            <w:vAlign w:val="bottom"/>
            <w:hideMark/>
          </w:tcPr>
          <w:p w14:paraId="5DB8D499"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26.6</w:t>
            </w:r>
          </w:p>
        </w:tc>
        <w:tc>
          <w:tcPr>
            <w:tcW w:w="1134" w:type="dxa"/>
            <w:tcBorders>
              <w:top w:val="nil"/>
              <w:left w:val="nil"/>
              <w:bottom w:val="single" w:sz="4" w:space="0" w:color="auto"/>
              <w:right w:val="single" w:sz="4" w:space="0" w:color="auto"/>
            </w:tcBorders>
            <w:shd w:val="clear" w:color="auto" w:fill="auto"/>
            <w:noWrap/>
            <w:vAlign w:val="bottom"/>
            <w:hideMark/>
          </w:tcPr>
          <w:p w14:paraId="16C0E5A6"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23.1</w:t>
            </w:r>
          </w:p>
        </w:tc>
        <w:tc>
          <w:tcPr>
            <w:tcW w:w="1292" w:type="dxa"/>
            <w:tcBorders>
              <w:top w:val="nil"/>
              <w:left w:val="nil"/>
              <w:bottom w:val="single" w:sz="4" w:space="0" w:color="auto"/>
              <w:right w:val="single" w:sz="4" w:space="0" w:color="auto"/>
            </w:tcBorders>
            <w:shd w:val="clear" w:color="auto" w:fill="auto"/>
            <w:noWrap/>
            <w:vAlign w:val="bottom"/>
            <w:hideMark/>
          </w:tcPr>
          <w:p w14:paraId="0136D2A5"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7 (0.57)</w:t>
            </w:r>
          </w:p>
        </w:tc>
        <w:tc>
          <w:tcPr>
            <w:tcW w:w="976" w:type="dxa"/>
            <w:tcBorders>
              <w:top w:val="nil"/>
              <w:left w:val="nil"/>
              <w:bottom w:val="single" w:sz="4" w:space="0" w:color="auto"/>
              <w:right w:val="single" w:sz="4" w:space="0" w:color="auto"/>
            </w:tcBorders>
            <w:shd w:val="clear" w:color="auto" w:fill="auto"/>
            <w:noWrap/>
            <w:vAlign w:val="bottom"/>
            <w:hideMark/>
          </w:tcPr>
          <w:p w14:paraId="2F3BC667"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2.58</w:t>
            </w:r>
          </w:p>
        </w:tc>
        <w:tc>
          <w:tcPr>
            <w:tcW w:w="992" w:type="dxa"/>
            <w:tcBorders>
              <w:top w:val="nil"/>
              <w:left w:val="nil"/>
              <w:bottom w:val="single" w:sz="4" w:space="0" w:color="auto"/>
              <w:right w:val="single" w:sz="4" w:space="0" w:color="auto"/>
            </w:tcBorders>
            <w:shd w:val="clear" w:color="auto" w:fill="auto"/>
            <w:noWrap/>
            <w:vAlign w:val="bottom"/>
            <w:hideMark/>
          </w:tcPr>
          <w:p w14:paraId="23373BAE"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1.124</w:t>
            </w:r>
          </w:p>
        </w:tc>
        <w:tc>
          <w:tcPr>
            <w:tcW w:w="992" w:type="dxa"/>
            <w:tcBorders>
              <w:top w:val="nil"/>
              <w:left w:val="nil"/>
              <w:bottom w:val="single" w:sz="4" w:space="0" w:color="auto"/>
              <w:right w:val="single" w:sz="4" w:space="0" w:color="auto"/>
            </w:tcBorders>
            <w:shd w:val="clear" w:color="auto" w:fill="auto"/>
            <w:noWrap/>
            <w:vAlign w:val="bottom"/>
            <w:hideMark/>
          </w:tcPr>
          <w:p w14:paraId="18F95486"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23.4</w:t>
            </w:r>
          </w:p>
        </w:tc>
        <w:tc>
          <w:tcPr>
            <w:tcW w:w="1134" w:type="dxa"/>
            <w:tcBorders>
              <w:top w:val="nil"/>
              <w:left w:val="nil"/>
              <w:bottom w:val="single" w:sz="4" w:space="0" w:color="auto"/>
              <w:right w:val="single" w:sz="4" w:space="0" w:color="auto"/>
            </w:tcBorders>
            <w:shd w:val="clear" w:color="auto" w:fill="auto"/>
            <w:noWrap/>
            <w:vAlign w:val="bottom"/>
            <w:hideMark/>
          </w:tcPr>
          <w:p w14:paraId="302C4D65"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27.5</w:t>
            </w:r>
          </w:p>
        </w:tc>
        <w:tc>
          <w:tcPr>
            <w:tcW w:w="1452" w:type="dxa"/>
            <w:tcBorders>
              <w:top w:val="nil"/>
              <w:left w:val="nil"/>
              <w:bottom w:val="single" w:sz="4" w:space="0" w:color="auto"/>
              <w:right w:val="single" w:sz="4" w:space="0" w:color="auto"/>
            </w:tcBorders>
            <w:shd w:val="clear" w:color="auto" w:fill="auto"/>
            <w:noWrap/>
            <w:hideMark/>
          </w:tcPr>
          <w:p w14:paraId="2EA1DA12"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7 (0.56)</w:t>
            </w:r>
          </w:p>
        </w:tc>
      </w:tr>
      <w:tr w:rsidR="00403B07" w:rsidRPr="00734C53" w14:paraId="3954D1BA" w14:textId="77777777" w:rsidTr="00B01272">
        <w:trPr>
          <w:trHeight w:val="297"/>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7DED23B9"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11</w:t>
            </w:r>
          </w:p>
        </w:tc>
        <w:tc>
          <w:tcPr>
            <w:tcW w:w="1249" w:type="dxa"/>
            <w:tcBorders>
              <w:top w:val="nil"/>
              <w:left w:val="nil"/>
              <w:bottom w:val="single" w:sz="4" w:space="0" w:color="auto"/>
              <w:right w:val="single" w:sz="4" w:space="0" w:color="auto"/>
            </w:tcBorders>
            <w:shd w:val="clear" w:color="auto" w:fill="auto"/>
            <w:noWrap/>
            <w:vAlign w:val="bottom"/>
            <w:hideMark/>
          </w:tcPr>
          <w:p w14:paraId="0D8074F2"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72.6</w:t>
            </w:r>
          </w:p>
        </w:tc>
        <w:tc>
          <w:tcPr>
            <w:tcW w:w="850" w:type="dxa"/>
            <w:tcBorders>
              <w:top w:val="nil"/>
              <w:left w:val="nil"/>
              <w:bottom w:val="single" w:sz="4" w:space="0" w:color="auto"/>
              <w:right w:val="single" w:sz="4" w:space="0" w:color="auto"/>
            </w:tcBorders>
            <w:shd w:val="clear" w:color="auto" w:fill="auto"/>
            <w:noWrap/>
            <w:vAlign w:val="bottom"/>
            <w:hideMark/>
          </w:tcPr>
          <w:p w14:paraId="14132608"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2.36</w:t>
            </w:r>
          </w:p>
        </w:tc>
        <w:tc>
          <w:tcPr>
            <w:tcW w:w="993" w:type="dxa"/>
            <w:tcBorders>
              <w:top w:val="nil"/>
              <w:left w:val="nil"/>
              <w:bottom w:val="single" w:sz="4" w:space="0" w:color="auto"/>
              <w:right w:val="single" w:sz="4" w:space="0" w:color="auto"/>
            </w:tcBorders>
            <w:shd w:val="clear" w:color="auto" w:fill="auto"/>
            <w:noWrap/>
            <w:vAlign w:val="bottom"/>
            <w:hideMark/>
          </w:tcPr>
          <w:p w14:paraId="3DA6CAA3"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1.083</w:t>
            </w:r>
          </w:p>
        </w:tc>
        <w:tc>
          <w:tcPr>
            <w:tcW w:w="992" w:type="dxa"/>
            <w:tcBorders>
              <w:top w:val="nil"/>
              <w:left w:val="nil"/>
              <w:bottom w:val="single" w:sz="4" w:space="0" w:color="auto"/>
              <w:right w:val="single" w:sz="4" w:space="0" w:color="auto"/>
            </w:tcBorders>
            <w:shd w:val="clear" w:color="auto" w:fill="auto"/>
            <w:noWrap/>
            <w:vAlign w:val="bottom"/>
            <w:hideMark/>
          </w:tcPr>
          <w:p w14:paraId="42B89EDD"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28.6</w:t>
            </w:r>
          </w:p>
        </w:tc>
        <w:tc>
          <w:tcPr>
            <w:tcW w:w="1134" w:type="dxa"/>
            <w:tcBorders>
              <w:top w:val="nil"/>
              <w:left w:val="nil"/>
              <w:bottom w:val="single" w:sz="4" w:space="0" w:color="auto"/>
              <w:right w:val="single" w:sz="4" w:space="0" w:color="auto"/>
            </w:tcBorders>
            <w:shd w:val="clear" w:color="auto" w:fill="auto"/>
            <w:noWrap/>
            <w:vAlign w:val="bottom"/>
            <w:hideMark/>
          </w:tcPr>
          <w:p w14:paraId="3FB36159"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18.5</w:t>
            </w:r>
          </w:p>
        </w:tc>
        <w:tc>
          <w:tcPr>
            <w:tcW w:w="1292" w:type="dxa"/>
            <w:tcBorders>
              <w:top w:val="nil"/>
              <w:left w:val="nil"/>
              <w:bottom w:val="single" w:sz="4" w:space="0" w:color="auto"/>
              <w:right w:val="single" w:sz="4" w:space="0" w:color="auto"/>
            </w:tcBorders>
            <w:shd w:val="clear" w:color="auto" w:fill="auto"/>
            <w:noWrap/>
            <w:vAlign w:val="bottom"/>
            <w:hideMark/>
          </w:tcPr>
          <w:p w14:paraId="5FAA5DBC"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8 (0.57)</w:t>
            </w:r>
          </w:p>
        </w:tc>
        <w:tc>
          <w:tcPr>
            <w:tcW w:w="976" w:type="dxa"/>
            <w:tcBorders>
              <w:top w:val="nil"/>
              <w:left w:val="nil"/>
              <w:bottom w:val="single" w:sz="4" w:space="0" w:color="auto"/>
              <w:right w:val="single" w:sz="4" w:space="0" w:color="auto"/>
            </w:tcBorders>
            <w:shd w:val="clear" w:color="auto" w:fill="auto"/>
            <w:noWrap/>
            <w:vAlign w:val="bottom"/>
            <w:hideMark/>
          </w:tcPr>
          <w:p w14:paraId="25DADD4D"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2.35</w:t>
            </w:r>
          </w:p>
        </w:tc>
        <w:tc>
          <w:tcPr>
            <w:tcW w:w="992" w:type="dxa"/>
            <w:tcBorders>
              <w:top w:val="nil"/>
              <w:left w:val="nil"/>
              <w:bottom w:val="single" w:sz="4" w:space="0" w:color="auto"/>
              <w:right w:val="single" w:sz="4" w:space="0" w:color="auto"/>
            </w:tcBorders>
            <w:shd w:val="clear" w:color="auto" w:fill="auto"/>
            <w:noWrap/>
            <w:vAlign w:val="bottom"/>
            <w:hideMark/>
          </w:tcPr>
          <w:p w14:paraId="58688AF1"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1.124</w:t>
            </w:r>
          </w:p>
        </w:tc>
        <w:tc>
          <w:tcPr>
            <w:tcW w:w="992" w:type="dxa"/>
            <w:tcBorders>
              <w:top w:val="nil"/>
              <w:left w:val="nil"/>
              <w:bottom w:val="single" w:sz="4" w:space="0" w:color="auto"/>
              <w:right w:val="single" w:sz="4" w:space="0" w:color="auto"/>
            </w:tcBorders>
            <w:shd w:val="clear" w:color="000000" w:fill="D9D9D9"/>
            <w:noWrap/>
            <w:vAlign w:val="bottom"/>
            <w:hideMark/>
          </w:tcPr>
          <w:p w14:paraId="3DA733B1"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31.0</w:t>
            </w:r>
          </w:p>
        </w:tc>
        <w:tc>
          <w:tcPr>
            <w:tcW w:w="1134" w:type="dxa"/>
            <w:tcBorders>
              <w:top w:val="nil"/>
              <w:left w:val="nil"/>
              <w:bottom w:val="single" w:sz="4" w:space="0" w:color="auto"/>
              <w:right w:val="single" w:sz="4" w:space="0" w:color="auto"/>
            </w:tcBorders>
            <w:shd w:val="clear" w:color="auto" w:fill="auto"/>
            <w:noWrap/>
            <w:vAlign w:val="bottom"/>
            <w:hideMark/>
          </w:tcPr>
          <w:p w14:paraId="5276D59B"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20.7</w:t>
            </w:r>
          </w:p>
        </w:tc>
        <w:tc>
          <w:tcPr>
            <w:tcW w:w="1452" w:type="dxa"/>
            <w:tcBorders>
              <w:top w:val="nil"/>
              <w:left w:val="nil"/>
              <w:bottom w:val="single" w:sz="4" w:space="0" w:color="auto"/>
              <w:right w:val="single" w:sz="4" w:space="0" w:color="auto"/>
            </w:tcBorders>
            <w:shd w:val="clear" w:color="auto" w:fill="auto"/>
            <w:noWrap/>
            <w:hideMark/>
          </w:tcPr>
          <w:p w14:paraId="33ED8003"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8 (0.58)</w:t>
            </w:r>
          </w:p>
        </w:tc>
      </w:tr>
      <w:tr w:rsidR="00403B07" w:rsidRPr="00734C53" w14:paraId="795A2041" w14:textId="77777777" w:rsidTr="00B01272">
        <w:trPr>
          <w:trHeight w:val="297"/>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05FE8FDC"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12</w:t>
            </w:r>
          </w:p>
        </w:tc>
        <w:tc>
          <w:tcPr>
            <w:tcW w:w="1249" w:type="dxa"/>
            <w:tcBorders>
              <w:top w:val="nil"/>
              <w:left w:val="nil"/>
              <w:bottom w:val="single" w:sz="4" w:space="0" w:color="auto"/>
              <w:right w:val="single" w:sz="4" w:space="0" w:color="auto"/>
            </w:tcBorders>
            <w:shd w:val="clear" w:color="auto" w:fill="auto"/>
            <w:noWrap/>
            <w:vAlign w:val="bottom"/>
            <w:hideMark/>
          </w:tcPr>
          <w:p w14:paraId="11E1A2BF"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103</w:t>
            </w:r>
          </w:p>
        </w:tc>
        <w:tc>
          <w:tcPr>
            <w:tcW w:w="850" w:type="dxa"/>
            <w:tcBorders>
              <w:top w:val="nil"/>
              <w:left w:val="nil"/>
              <w:bottom w:val="single" w:sz="4" w:space="0" w:color="auto"/>
              <w:right w:val="single" w:sz="4" w:space="0" w:color="auto"/>
            </w:tcBorders>
            <w:shd w:val="clear" w:color="auto" w:fill="auto"/>
            <w:noWrap/>
            <w:vAlign w:val="bottom"/>
            <w:hideMark/>
          </w:tcPr>
          <w:p w14:paraId="182D393A"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3.10</w:t>
            </w:r>
          </w:p>
        </w:tc>
        <w:tc>
          <w:tcPr>
            <w:tcW w:w="993" w:type="dxa"/>
            <w:tcBorders>
              <w:top w:val="nil"/>
              <w:left w:val="nil"/>
              <w:bottom w:val="single" w:sz="4" w:space="0" w:color="auto"/>
              <w:right w:val="single" w:sz="4" w:space="0" w:color="auto"/>
            </w:tcBorders>
            <w:shd w:val="clear" w:color="auto" w:fill="auto"/>
            <w:noWrap/>
            <w:vAlign w:val="bottom"/>
            <w:hideMark/>
          </w:tcPr>
          <w:p w14:paraId="19F9369F"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1.045</w:t>
            </w:r>
          </w:p>
        </w:tc>
        <w:tc>
          <w:tcPr>
            <w:tcW w:w="992" w:type="dxa"/>
            <w:tcBorders>
              <w:top w:val="nil"/>
              <w:left w:val="nil"/>
              <w:bottom w:val="single" w:sz="4" w:space="0" w:color="auto"/>
              <w:right w:val="single" w:sz="4" w:space="0" w:color="auto"/>
            </w:tcBorders>
            <w:shd w:val="clear" w:color="auto" w:fill="auto"/>
            <w:noWrap/>
            <w:vAlign w:val="bottom"/>
            <w:hideMark/>
          </w:tcPr>
          <w:p w14:paraId="08B12F5B"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12.0</w:t>
            </w:r>
          </w:p>
        </w:tc>
        <w:tc>
          <w:tcPr>
            <w:tcW w:w="1134" w:type="dxa"/>
            <w:tcBorders>
              <w:top w:val="nil"/>
              <w:left w:val="nil"/>
              <w:bottom w:val="single" w:sz="4" w:space="0" w:color="auto"/>
              <w:right w:val="single" w:sz="4" w:space="0" w:color="auto"/>
            </w:tcBorders>
            <w:shd w:val="clear" w:color="000000" w:fill="D9D9D9"/>
            <w:noWrap/>
            <w:vAlign w:val="bottom"/>
            <w:hideMark/>
          </w:tcPr>
          <w:p w14:paraId="10727560"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48.3</w:t>
            </w:r>
          </w:p>
        </w:tc>
        <w:tc>
          <w:tcPr>
            <w:tcW w:w="1292" w:type="dxa"/>
            <w:tcBorders>
              <w:top w:val="nil"/>
              <w:left w:val="nil"/>
              <w:bottom w:val="single" w:sz="4" w:space="0" w:color="auto"/>
              <w:right w:val="single" w:sz="4" w:space="0" w:color="auto"/>
            </w:tcBorders>
            <w:shd w:val="clear" w:color="auto" w:fill="auto"/>
            <w:noWrap/>
            <w:vAlign w:val="bottom"/>
            <w:hideMark/>
          </w:tcPr>
          <w:p w14:paraId="120DAA03"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13 (0.45) </w:t>
            </w:r>
          </w:p>
        </w:tc>
        <w:tc>
          <w:tcPr>
            <w:tcW w:w="976" w:type="dxa"/>
            <w:tcBorders>
              <w:top w:val="nil"/>
              <w:left w:val="nil"/>
              <w:bottom w:val="single" w:sz="4" w:space="0" w:color="auto"/>
              <w:right w:val="single" w:sz="4" w:space="0" w:color="auto"/>
            </w:tcBorders>
            <w:shd w:val="clear" w:color="auto" w:fill="auto"/>
            <w:noWrap/>
            <w:vAlign w:val="bottom"/>
            <w:hideMark/>
          </w:tcPr>
          <w:p w14:paraId="313FE92B"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3.08</w:t>
            </w:r>
          </w:p>
        </w:tc>
        <w:tc>
          <w:tcPr>
            <w:tcW w:w="992" w:type="dxa"/>
            <w:tcBorders>
              <w:top w:val="nil"/>
              <w:left w:val="nil"/>
              <w:bottom w:val="single" w:sz="4" w:space="0" w:color="auto"/>
              <w:right w:val="single" w:sz="4" w:space="0" w:color="auto"/>
            </w:tcBorders>
            <w:shd w:val="clear" w:color="auto" w:fill="auto"/>
            <w:noWrap/>
            <w:vAlign w:val="bottom"/>
            <w:hideMark/>
          </w:tcPr>
          <w:p w14:paraId="7BE0D34F"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1.017</w:t>
            </w:r>
          </w:p>
        </w:tc>
        <w:tc>
          <w:tcPr>
            <w:tcW w:w="992" w:type="dxa"/>
            <w:tcBorders>
              <w:top w:val="nil"/>
              <w:left w:val="nil"/>
              <w:bottom w:val="single" w:sz="4" w:space="0" w:color="auto"/>
              <w:right w:val="single" w:sz="4" w:space="0" w:color="auto"/>
            </w:tcBorders>
            <w:shd w:val="clear" w:color="auto" w:fill="auto"/>
            <w:noWrap/>
            <w:vAlign w:val="bottom"/>
            <w:hideMark/>
          </w:tcPr>
          <w:p w14:paraId="7B1782D8"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10.5</w:t>
            </w:r>
          </w:p>
        </w:tc>
        <w:tc>
          <w:tcPr>
            <w:tcW w:w="1134" w:type="dxa"/>
            <w:tcBorders>
              <w:top w:val="nil"/>
              <w:left w:val="nil"/>
              <w:bottom w:val="single" w:sz="4" w:space="0" w:color="auto"/>
              <w:right w:val="single" w:sz="4" w:space="0" w:color="auto"/>
            </w:tcBorders>
            <w:shd w:val="clear" w:color="000000" w:fill="D9D9D9"/>
            <w:noWrap/>
            <w:vAlign w:val="bottom"/>
            <w:hideMark/>
          </w:tcPr>
          <w:p w14:paraId="50039021"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45.4</w:t>
            </w:r>
          </w:p>
        </w:tc>
        <w:tc>
          <w:tcPr>
            <w:tcW w:w="1452" w:type="dxa"/>
            <w:tcBorders>
              <w:top w:val="nil"/>
              <w:left w:val="nil"/>
              <w:bottom w:val="single" w:sz="4" w:space="0" w:color="auto"/>
              <w:right w:val="single" w:sz="4" w:space="0" w:color="auto"/>
            </w:tcBorders>
            <w:shd w:val="clear" w:color="auto" w:fill="auto"/>
            <w:noWrap/>
            <w:hideMark/>
          </w:tcPr>
          <w:p w14:paraId="33BD1EFA"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13 (0.41)</w:t>
            </w:r>
          </w:p>
        </w:tc>
      </w:tr>
      <w:tr w:rsidR="00403B07" w:rsidRPr="00734C53" w14:paraId="4874793E" w14:textId="77777777" w:rsidTr="00B01272">
        <w:trPr>
          <w:trHeight w:val="297"/>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119449BD"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13</w:t>
            </w:r>
          </w:p>
        </w:tc>
        <w:tc>
          <w:tcPr>
            <w:tcW w:w="1249" w:type="dxa"/>
            <w:tcBorders>
              <w:top w:val="nil"/>
              <w:left w:val="nil"/>
              <w:bottom w:val="single" w:sz="4" w:space="0" w:color="auto"/>
              <w:right w:val="single" w:sz="4" w:space="0" w:color="auto"/>
            </w:tcBorders>
            <w:shd w:val="clear" w:color="auto" w:fill="auto"/>
            <w:noWrap/>
            <w:vAlign w:val="bottom"/>
            <w:hideMark/>
          </w:tcPr>
          <w:p w14:paraId="00DD8F56"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74.3</w:t>
            </w:r>
          </w:p>
        </w:tc>
        <w:tc>
          <w:tcPr>
            <w:tcW w:w="850" w:type="dxa"/>
            <w:tcBorders>
              <w:top w:val="nil"/>
              <w:left w:val="nil"/>
              <w:bottom w:val="single" w:sz="4" w:space="0" w:color="auto"/>
              <w:right w:val="single" w:sz="4" w:space="0" w:color="auto"/>
            </w:tcBorders>
            <w:shd w:val="clear" w:color="auto" w:fill="auto"/>
            <w:noWrap/>
            <w:vAlign w:val="bottom"/>
            <w:hideMark/>
          </w:tcPr>
          <w:p w14:paraId="4ED08825"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2.46</w:t>
            </w:r>
          </w:p>
        </w:tc>
        <w:tc>
          <w:tcPr>
            <w:tcW w:w="993" w:type="dxa"/>
            <w:tcBorders>
              <w:top w:val="nil"/>
              <w:left w:val="nil"/>
              <w:bottom w:val="single" w:sz="4" w:space="0" w:color="auto"/>
              <w:right w:val="single" w:sz="4" w:space="0" w:color="auto"/>
            </w:tcBorders>
            <w:shd w:val="clear" w:color="auto" w:fill="auto"/>
            <w:noWrap/>
            <w:vAlign w:val="bottom"/>
            <w:hideMark/>
          </w:tcPr>
          <w:p w14:paraId="3103CC3C"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1.123</w:t>
            </w:r>
          </w:p>
        </w:tc>
        <w:tc>
          <w:tcPr>
            <w:tcW w:w="992" w:type="dxa"/>
            <w:tcBorders>
              <w:top w:val="nil"/>
              <w:left w:val="nil"/>
              <w:bottom w:val="single" w:sz="4" w:space="0" w:color="auto"/>
              <w:right w:val="single" w:sz="4" w:space="0" w:color="auto"/>
            </w:tcBorders>
            <w:shd w:val="clear" w:color="auto" w:fill="auto"/>
            <w:noWrap/>
            <w:vAlign w:val="bottom"/>
            <w:hideMark/>
          </w:tcPr>
          <w:p w14:paraId="79BEE219"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27.0</w:t>
            </w:r>
          </w:p>
        </w:tc>
        <w:tc>
          <w:tcPr>
            <w:tcW w:w="1134" w:type="dxa"/>
            <w:tcBorders>
              <w:top w:val="nil"/>
              <w:left w:val="nil"/>
              <w:bottom w:val="single" w:sz="4" w:space="0" w:color="auto"/>
              <w:right w:val="single" w:sz="4" w:space="0" w:color="auto"/>
            </w:tcBorders>
            <w:shd w:val="clear" w:color="auto" w:fill="auto"/>
            <w:noWrap/>
            <w:vAlign w:val="bottom"/>
            <w:hideMark/>
          </w:tcPr>
          <w:p w14:paraId="2AF4E427"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23.6</w:t>
            </w:r>
          </w:p>
        </w:tc>
        <w:tc>
          <w:tcPr>
            <w:tcW w:w="1292" w:type="dxa"/>
            <w:tcBorders>
              <w:top w:val="nil"/>
              <w:left w:val="nil"/>
              <w:bottom w:val="single" w:sz="4" w:space="0" w:color="auto"/>
              <w:right w:val="single" w:sz="4" w:space="0" w:color="auto"/>
            </w:tcBorders>
            <w:shd w:val="clear" w:color="auto" w:fill="auto"/>
            <w:noWrap/>
            <w:vAlign w:val="bottom"/>
            <w:hideMark/>
          </w:tcPr>
          <w:p w14:paraId="0FE16471"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14 (0.46) </w:t>
            </w:r>
          </w:p>
        </w:tc>
        <w:tc>
          <w:tcPr>
            <w:tcW w:w="976" w:type="dxa"/>
            <w:tcBorders>
              <w:top w:val="nil"/>
              <w:left w:val="nil"/>
              <w:bottom w:val="single" w:sz="4" w:space="0" w:color="auto"/>
              <w:right w:val="single" w:sz="4" w:space="0" w:color="auto"/>
            </w:tcBorders>
            <w:shd w:val="clear" w:color="auto" w:fill="auto"/>
            <w:noWrap/>
            <w:vAlign w:val="bottom"/>
            <w:hideMark/>
          </w:tcPr>
          <w:p w14:paraId="54D70656"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2.44</w:t>
            </w:r>
          </w:p>
        </w:tc>
        <w:tc>
          <w:tcPr>
            <w:tcW w:w="992" w:type="dxa"/>
            <w:tcBorders>
              <w:top w:val="nil"/>
              <w:left w:val="nil"/>
              <w:bottom w:val="single" w:sz="4" w:space="0" w:color="auto"/>
              <w:right w:val="single" w:sz="4" w:space="0" w:color="auto"/>
            </w:tcBorders>
            <w:shd w:val="clear" w:color="auto" w:fill="auto"/>
            <w:noWrap/>
            <w:vAlign w:val="bottom"/>
            <w:hideMark/>
          </w:tcPr>
          <w:p w14:paraId="581AEF6D"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1.135</w:t>
            </w:r>
          </w:p>
        </w:tc>
        <w:tc>
          <w:tcPr>
            <w:tcW w:w="992" w:type="dxa"/>
            <w:tcBorders>
              <w:top w:val="nil"/>
              <w:left w:val="nil"/>
              <w:bottom w:val="single" w:sz="4" w:space="0" w:color="auto"/>
              <w:right w:val="single" w:sz="4" w:space="0" w:color="auto"/>
            </w:tcBorders>
            <w:shd w:val="clear" w:color="auto" w:fill="auto"/>
            <w:noWrap/>
            <w:vAlign w:val="bottom"/>
            <w:hideMark/>
          </w:tcPr>
          <w:p w14:paraId="1C600ECD"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28.7</w:t>
            </w:r>
          </w:p>
        </w:tc>
        <w:tc>
          <w:tcPr>
            <w:tcW w:w="1134" w:type="dxa"/>
            <w:tcBorders>
              <w:top w:val="nil"/>
              <w:left w:val="nil"/>
              <w:bottom w:val="single" w:sz="4" w:space="0" w:color="auto"/>
              <w:right w:val="single" w:sz="4" w:space="0" w:color="auto"/>
            </w:tcBorders>
            <w:shd w:val="clear" w:color="auto" w:fill="auto"/>
            <w:noWrap/>
            <w:vAlign w:val="bottom"/>
            <w:hideMark/>
          </w:tcPr>
          <w:p w14:paraId="2C249F06"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23.3</w:t>
            </w:r>
          </w:p>
        </w:tc>
        <w:tc>
          <w:tcPr>
            <w:tcW w:w="1452" w:type="dxa"/>
            <w:tcBorders>
              <w:top w:val="nil"/>
              <w:left w:val="nil"/>
              <w:bottom w:val="single" w:sz="4" w:space="0" w:color="auto"/>
              <w:right w:val="single" w:sz="4" w:space="0" w:color="auto"/>
            </w:tcBorders>
            <w:shd w:val="clear" w:color="auto" w:fill="auto"/>
            <w:noWrap/>
            <w:hideMark/>
          </w:tcPr>
          <w:p w14:paraId="13F566C6"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43 (0.46)</w:t>
            </w:r>
          </w:p>
        </w:tc>
      </w:tr>
      <w:tr w:rsidR="00403B07" w:rsidRPr="00734C53" w14:paraId="5A82F72B" w14:textId="77777777" w:rsidTr="00B01272">
        <w:trPr>
          <w:trHeight w:val="297"/>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375C2C05"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14</w:t>
            </w:r>
          </w:p>
        </w:tc>
        <w:tc>
          <w:tcPr>
            <w:tcW w:w="1249" w:type="dxa"/>
            <w:tcBorders>
              <w:top w:val="nil"/>
              <w:left w:val="nil"/>
              <w:bottom w:val="single" w:sz="4" w:space="0" w:color="auto"/>
              <w:right w:val="single" w:sz="4" w:space="0" w:color="auto"/>
            </w:tcBorders>
            <w:shd w:val="clear" w:color="auto" w:fill="auto"/>
            <w:noWrap/>
            <w:vAlign w:val="bottom"/>
            <w:hideMark/>
          </w:tcPr>
          <w:p w14:paraId="66119641"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81.9</w:t>
            </w:r>
          </w:p>
        </w:tc>
        <w:tc>
          <w:tcPr>
            <w:tcW w:w="850" w:type="dxa"/>
            <w:tcBorders>
              <w:top w:val="nil"/>
              <w:left w:val="nil"/>
              <w:bottom w:val="single" w:sz="4" w:space="0" w:color="auto"/>
              <w:right w:val="single" w:sz="4" w:space="0" w:color="auto"/>
            </w:tcBorders>
            <w:shd w:val="clear" w:color="auto" w:fill="auto"/>
            <w:noWrap/>
            <w:vAlign w:val="bottom"/>
            <w:hideMark/>
          </w:tcPr>
          <w:p w14:paraId="4BBE1EAB"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2.87</w:t>
            </w:r>
          </w:p>
        </w:tc>
        <w:tc>
          <w:tcPr>
            <w:tcW w:w="993" w:type="dxa"/>
            <w:tcBorders>
              <w:top w:val="nil"/>
              <w:left w:val="nil"/>
              <w:bottom w:val="single" w:sz="4" w:space="0" w:color="auto"/>
              <w:right w:val="single" w:sz="4" w:space="0" w:color="auto"/>
            </w:tcBorders>
            <w:shd w:val="clear" w:color="auto" w:fill="auto"/>
            <w:noWrap/>
            <w:vAlign w:val="bottom"/>
            <w:hideMark/>
          </w:tcPr>
          <w:p w14:paraId="57AB64E7"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1.170</w:t>
            </w:r>
          </w:p>
        </w:tc>
        <w:tc>
          <w:tcPr>
            <w:tcW w:w="992" w:type="dxa"/>
            <w:tcBorders>
              <w:top w:val="nil"/>
              <w:left w:val="nil"/>
              <w:bottom w:val="single" w:sz="4" w:space="0" w:color="auto"/>
              <w:right w:val="single" w:sz="4" w:space="0" w:color="auto"/>
            </w:tcBorders>
            <w:shd w:val="clear" w:color="auto" w:fill="auto"/>
            <w:noWrap/>
            <w:vAlign w:val="bottom"/>
            <w:hideMark/>
          </w:tcPr>
          <w:p w14:paraId="654AE980"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19.9</w:t>
            </w:r>
          </w:p>
        </w:tc>
        <w:tc>
          <w:tcPr>
            <w:tcW w:w="1134" w:type="dxa"/>
            <w:tcBorders>
              <w:top w:val="nil"/>
              <w:left w:val="nil"/>
              <w:bottom w:val="single" w:sz="4" w:space="0" w:color="auto"/>
              <w:right w:val="single" w:sz="4" w:space="0" w:color="auto"/>
            </w:tcBorders>
            <w:shd w:val="clear" w:color="000000" w:fill="D9D9D9"/>
            <w:noWrap/>
            <w:vAlign w:val="bottom"/>
            <w:hideMark/>
          </w:tcPr>
          <w:p w14:paraId="05ECCFCF"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42.9</w:t>
            </w:r>
          </w:p>
        </w:tc>
        <w:tc>
          <w:tcPr>
            <w:tcW w:w="1292" w:type="dxa"/>
            <w:tcBorders>
              <w:top w:val="nil"/>
              <w:left w:val="nil"/>
              <w:bottom w:val="single" w:sz="4" w:space="0" w:color="auto"/>
              <w:right w:val="single" w:sz="4" w:space="0" w:color="auto"/>
            </w:tcBorders>
            <w:shd w:val="clear" w:color="auto" w:fill="auto"/>
            <w:noWrap/>
            <w:vAlign w:val="bottom"/>
            <w:hideMark/>
          </w:tcPr>
          <w:p w14:paraId="68ECF8C9"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13 (0.46) </w:t>
            </w:r>
          </w:p>
        </w:tc>
        <w:tc>
          <w:tcPr>
            <w:tcW w:w="976" w:type="dxa"/>
            <w:tcBorders>
              <w:top w:val="nil"/>
              <w:left w:val="nil"/>
              <w:bottom w:val="single" w:sz="4" w:space="0" w:color="auto"/>
              <w:right w:val="single" w:sz="4" w:space="0" w:color="auto"/>
            </w:tcBorders>
            <w:shd w:val="clear" w:color="auto" w:fill="auto"/>
            <w:noWrap/>
            <w:vAlign w:val="bottom"/>
            <w:hideMark/>
          </w:tcPr>
          <w:p w14:paraId="661126E3"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2.84</w:t>
            </w:r>
          </w:p>
        </w:tc>
        <w:tc>
          <w:tcPr>
            <w:tcW w:w="992" w:type="dxa"/>
            <w:tcBorders>
              <w:top w:val="nil"/>
              <w:left w:val="nil"/>
              <w:bottom w:val="single" w:sz="4" w:space="0" w:color="auto"/>
              <w:right w:val="single" w:sz="4" w:space="0" w:color="auto"/>
            </w:tcBorders>
            <w:shd w:val="clear" w:color="auto" w:fill="auto"/>
            <w:noWrap/>
            <w:vAlign w:val="bottom"/>
            <w:hideMark/>
          </w:tcPr>
          <w:p w14:paraId="3B0DB393"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1.164</w:t>
            </w:r>
          </w:p>
        </w:tc>
        <w:tc>
          <w:tcPr>
            <w:tcW w:w="992" w:type="dxa"/>
            <w:tcBorders>
              <w:top w:val="nil"/>
              <w:left w:val="nil"/>
              <w:bottom w:val="single" w:sz="4" w:space="0" w:color="auto"/>
              <w:right w:val="single" w:sz="4" w:space="0" w:color="auto"/>
            </w:tcBorders>
            <w:shd w:val="clear" w:color="auto" w:fill="auto"/>
            <w:noWrap/>
            <w:vAlign w:val="bottom"/>
            <w:hideMark/>
          </w:tcPr>
          <w:p w14:paraId="17AED177"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21.0</w:t>
            </w:r>
          </w:p>
        </w:tc>
        <w:tc>
          <w:tcPr>
            <w:tcW w:w="1134" w:type="dxa"/>
            <w:tcBorders>
              <w:top w:val="nil"/>
              <w:left w:val="nil"/>
              <w:bottom w:val="single" w:sz="4" w:space="0" w:color="auto"/>
              <w:right w:val="single" w:sz="4" w:space="0" w:color="auto"/>
            </w:tcBorders>
            <w:shd w:val="clear" w:color="000000" w:fill="D9D9D9"/>
            <w:noWrap/>
            <w:vAlign w:val="bottom"/>
            <w:hideMark/>
          </w:tcPr>
          <w:p w14:paraId="28A68B83"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39.9</w:t>
            </w:r>
          </w:p>
        </w:tc>
        <w:tc>
          <w:tcPr>
            <w:tcW w:w="1452" w:type="dxa"/>
            <w:tcBorders>
              <w:top w:val="nil"/>
              <w:left w:val="nil"/>
              <w:bottom w:val="single" w:sz="4" w:space="0" w:color="auto"/>
              <w:right w:val="single" w:sz="4" w:space="0" w:color="auto"/>
            </w:tcBorders>
            <w:shd w:val="clear" w:color="auto" w:fill="auto"/>
            <w:noWrap/>
            <w:hideMark/>
          </w:tcPr>
          <w:p w14:paraId="1842ECCB"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13 (0.45)</w:t>
            </w:r>
          </w:p>
        </w:tc>
      </w:tr>
      <w:tr w:rsidR="00403B07" w:rsidRPr="00734C53" w14:paraId="5BF06C16" w14:textId="77777777" w:rsidTr="00B01272">
        <w:trPr>
          <w:trHeight w:val="297"/>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6D511B23"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15</w:t>
            </w:r>
          </w:p>
        </w:tc>
        <w:tc>
          <w:tcPr>
            <w:tcW w:w="1249" w:type="dxa"/>
            <w:tcBorders>
              <w:top w:val="nil"/>
              <w:left w:val="nil"/>
              <w:bottom w:val="single" w:sz="4" w:space="0" w:color="auto"/>
              <w:right w:val="single" w:sz="4" w:space="0" w:color="auto"/>
            </w:tcBorders>
            <w:shd w:val="clear" w:color="auto" w:fill="auto"/>
            <w:noWrap/>
            <w:vAlign w:val="bottom"/>
            <w:hideMark/>
          </w:tcPr>
          <w:p w14:paraId="5B8B0AD8"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95.7</w:t>
            </w:r>
          </w:p>
        </w:tc>
        <w:tc>
          <w:tcPr>
            <w:tcW w:w="850" w:type="dxa"/>
            <w:tcBorders>
              <w:top w:val="nil"/>
              <w:left w:val="nil"/>
              <w:bottom w:val="single" w:sz="4" w:space="0" w:color="auto"/>
              <w:right w:val="single" w:sz="4" w:space="0" w:color="auto"/>
            </w:tcBorders>
            <w:shd w:val="clear" w:color="auto" w:fill="auto"/>
            <w:noWrap/>
            <w:vAlign w:val="bottom"/>
            <w:hideMark/>
          </w:tcPr>
          <w:p w14:paraId="002BE780"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2.21</w:t>
            </w:r>
          </w:p>
        </w:tc>
        <w:tc>
          <w:tcPr>
            <w:tcW w:w="993" w:type="dxa"/>
            <w:tcBorders>
              <w:top w:val="nil"/>
              <w:left w:val="nil"/>
              <w:bottom w:val="single" w:sz="4" w:space="0" w:color="auto"/>
              <w:right w:val="single" w:sz="4" w:space="0" w:color="auto"/>
            </w:tcBorders>
            <w:shd w:val="clear" w:color="000000" w:fill="D9D9D9"/>
            <w:noWrap/>
            <w:vAlign w:val="bottom"/>
            <w:hideMark/>
          </w:tcPr>
          <w:p w14:paraId="2F5CC39C"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0.744</w:t>
            </w:r>
          </w:p>
        </w:tc>
        <w:tc>
          <w:tcPr>
            <w:tcW w:w="992" w:type="dxa"/>
            <w:tcBorders>
              <w:top w:val="nil"/>
              <w:left w:val="nil"/>
              <w:bottom w:val="single" w:sz="4" w:space="0" w:color="auto"/>
              <w:right w:val="single" w:sz="4" w:space="0" w:color="auto"/>
            </w:tcBorders>
            <w:shd w:val="clear" w:color="auto" w:fill="auto"/>
            <w:noWrap/>
            <w:vAlign w:val="bottom"/>
            <w:hideMark/>
          </w:tcPr>
          <w:p w14:paraId="14C914AA"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10.9</w:t>
            </w:r>
          </w:p>
        </w:tc>
        <w:tc>
          <w:tcPr>
            <w:tcW w:w="1134" w:type="dxa"/>
            <w:tcBorders>
              <w:top w:val="nil"/>
              <w:left w:val="nil"/>
              <w:bottom w:val="single" w:sz="4" w:space="0" w:color="auto"/>
              <w:right w:val="single" w:sz="4" w:space="0" w:color="auto"/>
            </w:tcBorders>
            <w:shd w:val="clear" w:color="auto" w:fill="auto"/>
            <w:noWrap/>
            <w:vAlign w:val="bottom"/>
            <w:hideMark/>
          </w:tcPr>
          <w:p w14:paraId="012A6938"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8.3</w:t>
            </w:r>
          </w:p>
        </w:tc>
        <w:tc>
          <w:tcPr>
            <w:tcW w:w="1292" w:type="dxa"/>
            <w:tcBorders>
              <w:top w:val="nil"/>
              <w:left w:val="nil"/>
              <w:bottom w:val="single" w:sz="4" w:space="0" w:color="auto"/>
              <w:right w:val="single" w:sz="4" w:space="0" w:color="auto"/>
            </w:tcBorders>
            <w:shd w:val="clear" w:color="auto" w:fill="auto"/>
            <w:noWrap/>
            <w:vAlign w:val="bottom"/>
            <w:hideMark/>
          </w:tcPr>
          <w:p w14:paraId="53134A4E"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20 (0.27)</w:t>
            </w:r>
          </w:p>
        </w:tc>
        <w:tc>
          <w:tcPr>
            <w:tcW w:w="976" w:type="dxa"/>
            <w:tcBorders>
              <w:top w:val="nil"/>
              <w:left w:val="nil"/>
              <w:bottom w:val="single" w:sz="4" w:space="0" w:color="auto"/>
              <w:right w:val="single" w:sz="4" w:space="0" w:color="auto"/>
            </w:tcBorders>
            <w:shd w:val="clear" w:color="auto" w:fill="auto"/>
            <w:noWrap/>
            <w:vAlign w:val="bottom"/>
            <w:hideMark/>
          </w:tcPr>
          <w:p w14:paraId="26167EAF"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2.16</w:t>
            </w:r>
          </w:p>
        </w:tc>
        <w:tc>
          <w:tcPr>
            <w:tcW w:w="992" w:type="dxa"/>
            <w:tcBorders>
              <w:top w:val="nil"/>
              <w:left w:val="nil"/>
              <w:bottom w:val="single" w:sz="4" w:space="0" w:color="auto"/>
              <w:right w:val="single" w:sz="4" w:space="0" w:color="auto"/>
            </w:tcBorders>
            <w:shd w:val="clear" w:color="000000" w:fill="D9D9D9"/>
            <w:noWrap/>
            <w:vAlign w:val="bottom"/>
            <w:hideMark/>
          </w:tcPr>
          <w:p w14:paraId="4806D78A"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0.672</w:t>
            </w:r>
          </w:p>
        </w:tc>
        <w:tc>
          <w:tcPr>
            <w:tcW w:w="992" w:type="dxa"/>
            <w:tcBorders>
              <w:top w:val="nil"/>
              <w:left w:val="nil"/>
              <w:bottom w:val="single" w:sz="4" w:space="0" w:color="auto"/>
              <w:right w:val="single" w:sz="4" w:space="0" w:color="auto"/>
            </w:tcBorders>
            <w:shd w:val="clear" w:color="auto" w:fill="auto"/>
            <w:noWrap/>
            <w:vAlign w:val="bottom"/>
            <w:hideMark/>
          </w:tcPr>
          <w:p w14:paraId="4987AC6A"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10.3</w:t>
            </w:r>
          </w:p>
        </w:tc>
        <w:tc>
          <w:tcPr>
            <w:tcW w:w="1134" w:type="dxa"/>
            <w:tcBorders>
              <w:top w:val="nil"/>
              <w:left w:val="nil"/>
              <w:bottom w:val="single" w:sz="4" w:space="0" w:color="auto"/>
              <w:right w:val="single" w:sz="4" w:space="0" w:color="auto"/>
            </w:tcBorders>
            <w:shd w:val="clear" w:color="auto" w:fill="auto"/>
            <w:noWrap/>
            <w:vAlign w:val="bottom"/>
            <w:hideMark/>
          </w:tcPr>
          <w:p w14:paraId="74EE2BD5"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5.4</w:t>
            </w:r>
          </w:p>
        </w:tc>
        <w:tc>
          <w:tcPr>
            <w:tcW w:w="1452" w:type="dxa"/>
            <w:tcBorders>
              <w:top w:val="nil"/>
              <w:left w:val="nil"/>
              <w:bottom w:val="single" w:sz="4" w:space="0" w:color="auto"/>
              <w:right w:val="single" w:sz="4" w:space="0" w:color="auto"/>
            </w:tcBorders>
            <w:shd w:val="clear" w:color="auto" w:fill="auto"/>
            <w:noWrap/>
            <w:hideMark/>
          </w:tcPr>
          <w:p w14:paraId="70147599"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18 (0.19)</w:t>
            </w:r>
          </w:p>
        </w:tc>
      </w:tr>
      <w:tr w:rsidR="00403B07" w:rsidRPr="00734C53" w14:paraId="6DE133E7" w14:textId="77777777" w:rsidTr="00B01272">
        <w:trPr>
          <w:trHeight w:val="297"/>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316F6B6C"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16</w:t>
            </w:r>
          </w:p>
        </w:tc>
        <w:tc>
          <w:tcPr>
            <w:tcW w:w="1249" w:type="dxa"/>
            <w:tcBorders>
              <w:top w:val="nil"/>
              <w:left w:val="nil"/>
              <w:bottom w:val="single" w:sz="4" w:space="0" w:color="auto"/>
              <w:right w:val="single" w:sz="4" w:space="0" w:color="auto"/>
            </w:tcBorders>
            <w:shd w:val="clear" w:color="auto" w:fill="auto"/>
            <w:noWrap/>
            <w:vAlign w:val="bottom"/>
            <w:hideMark/>
          </w:tcPr>
          <w:p w14:paraId="1A78E980"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79.8</w:t>
            </w:r>
          </w:p>
        </w:tc>
        <w:tc>
          <w:tcPr>
            <w:tcW w:w="850" w:type="dxa"/>
            <w:tcBorders>
              <w:top w:val="nil"/>
              <w:left w:val="nil"/>
              <w:bottom w:val="single" w:sz="4" w:space="0" w:color="auto"/>
              <w:right w:val="single" w:sz="4" w:space="0" w:color="auto"/>
            </w:tcBorders>
            <w:shd w:val="clear" w:color="auto" w:fill="auto"/>
            <w:noWrap/>
            <w:vAlign w:val="bottom"/>
            <w:hideMark/>
          </w:tcPr>
          <w:p w14:paraId="2BA2901E"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2.78</w:t>
            </w:r>
          </w:p>
        </w:tc>
        <w:tc>
          <w:tcPr>
            <w:tcW w:w="993" w:type="dxa"/>
            <w:tcBorders>
              <w:top w:val="nil"/>
              <w:left w:val="nil"/>
              <w:bottom w:val="single" w:sz="4" w:space="0" w:color="auto"/>
              <w:right w:val="single" w:sz="4" w:space="0" w:color="auto"/>
            </w:tcBorders>
            <w:shd w:val="clear" w:color="auto" w:fill="auto"/>
            <w:noWrap/>
            <w:vAlign w:val="bottom"/>
            <w:hideMark/>
          </w:tcPr>
          <w:p w14:paraId="167FA6B8"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0.954</w:t>
            </w:r>
          </w:p>
        </w:tc>
        <w:tc>
          <w:tcPr>
            <w:tcW w:w="992" w:type="dxa"/>
            <w:tcBorders>
              <w:top w:val="nil"/>
              <w:left w:val="nil"/>
              <w:bottom w:val="single" w:sz="4" w:space="0" w:color="auto"/>
              <w:right w:val="single" w:sz="4" w:space="0" w:color="auto"/>
            </w:tcBorders>
            <w:shd w:val="clear" w:color="auto" w:fill="auto"/>
            <w:noWrap/>
            <w:vAlign w:val="bottom"/>
            <w:hideMark/>
          </w:tcPr>
          <w:p w14:paraId="3A2B8FD3"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12.5</w:t>
            </w:r>
          </w:p>
        </w:tc>
        <w:tc>
          <w:tcPr>
            <w:tcW w:w="1134" w:type="dxa"/>
            <w:tcBorders>
              <w:top w:val="nil"/>
              <w:left w:val="nil"/>
              <w:bottom w:val="single" w:sz="4" w:space="0" w:color="auto"/>
              <w:right w:val="single" w:sz="4" w:space="0" w:color="auto"/>
            </w:tcBorders>
            <w:shd w:val="clear" w:color="auto" w:fill="auto"/>
            <w:noWrap/>
            <w:vAlign w:val="bottom"/>
            <w:hideMark/>
          </w:tcPr>
          <w:p w14:paraId="34396739"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24.4</w:t>
            </w:r>
          </w:p>
        </w:tc>
        <w:tc>
          <w:tcPr>
            <w:tcW w:w="1292" w:type="dxa"/>
            <w:tcBorders>
              <w:top w:val="nil"/>
              <w:left w:val="nil"/>
              <w:bottom w:val="single" w:sz="4" w:space="0" w:color="auto"/>
              <w:right w:val="single" w:sz="4" w:space="0" w:color="auto"/>
            </w:tcBorders>
            <w:shd w:val="clear" w:color="auto" w:fill="auto"/>
            <w:noWrap/>
            <w:vAlign w:val="bottom"/>
            <w:hideMark/>
          </w:tcPr>
          <w:p w14:paraId="1939B9D2"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24 (0.35)</w:t>
            </w:r>
          </w:p>
        </w:tc>
        <w:tc>
          <w:tcPr>
            <w:tcW w:w="976" w:type="dxa"/>
            <w:tcBorders>
              <w:top w:val="nil"/>
              <w:left w:val="nil"/>
              <w:bottom w:val="single" w:sz="4" w:space="0" w:color="auto"/>
              <w:right w:val="single" w:sz="4" w:space="0" w:color="auto"/>
            </w:tcBorders>
            <w:shd w:val="clear" w:color="auto" w:fill="auto"/>
            <w:noWrap/>
            <w:vAlign w:val="bottom"/>
            <w:hideMark/>
          </w:tcPr>
          <w:p w14:paraId="569A6509"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2.89</w:t>
            </w:r>
          </w:p>
        </w:tc>
        <w:tc>
          <w:tcPr>
            <w:tcW w:w="992" w:type="dxa"/>
            <w:tcBorders>
              <w:top w:val="nil"/>
              <w:left w:val="nil"/>
              <w:bottom w:val="single" w:sz="4" w:space="0" w:color="auto"/>
              <w:right w:val="single" w:sz="4" w:space="0" w:color="auto"/>
            </w:tcBorders>
            <w:shd w:val="clear" w:color="auto" w:fill="auto"/>
            <w:noWrap/>
            <w:vAlign w:val="bottom"/>
            <w:hideMark/>
          </w:tcPr>
          <w:p w14:paraId="7C22E980"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0.934</w:t>
            </w:r>
          </w:p>
        </w:tc>
        <w:tc>
          <w:tcPr>
            <w:tcW w:w="992" w:type="dxa"/>
            <w:tcBorders>
              <w:top w:val="nil"/>
              <w:left w:val="nil"/>
              <w:bottom w:val="single" w:sz="4" w:space="0" w:color="auto"/>
              <w:right w:val="single" w:sz="4" w:space="0" w:color="auto"/>
            </w:tcBorders>
            <w:shd w:val="clear" w:color="auto" w:fill="auto"/>
            <w:noWrap/>
            <w:vAlign w:val="bottom"/>
            <w:hideMark/>
          </w:tcPr>
          <w:p w14:paraId="6264CE88"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10.0</w:t>
            </w:r>
          </w:p>
        </w:tc>
        <w:tc>
          <w:tcPr>
            <w:tcW w:w="1134" w:type="dxa"/>
            <w:tcBorders>
              <w:top w:val="nil"/>
              <w:left w:val="nil"/>
              <w:bottom w:val="single" w:sz="4" w:space="0" w:color="auto"/>
              <w:right w:val="single" w:sz="4" w:space="0" w:color="auto"/>
            </w:tcBorders>
            <w:shd w:val="clear" w:color="auto" w:fill="auto"/>
            <w:noWrap/>
            <w:vAlign w:val="bottom"/>
            <w:hideMark/>
          </w:tcPr>
          <w:p w14:paraId="50541B23"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28.8</w:t>
            </w:r>
          </w:p>
        </w:tc>
        <w:tc>
          <w:tcPr>
            <w:tcW w:w="1452" w:type="dxa"/>
            <w:tcBorders>
              <w:top w:val="nil"/>
              <w:left w:val="nil"/>
              <w:bottom w:val="single" w:sz="4" w:space="0" w:color="auto"/>
              <w:right w:val="single" w:sz="4" w:space="0" w:color="auto"/>
            </w:tcBorders>
            <w:shd w:val="clear" w:color="auto" w:fill="auto"/>
            <w:noWrap/>
            <w:hideMark/>
          </w:tcPr>
          <w:p w14:paraId="45A1DE7D"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24 (0.31)</w:t>
            </w:r>
          </w:p>
        </w:tc>
      </w:tr>
      <w:tr w:rsidR="00403B07" w:rsidRPr="00734C53" w14:paraId="278C0D35" w14:textId="77777777" w:rsidTr="00B01272">
        <w:trPr>
          <w:trHeight w:val="297"/>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73912498"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17</w:t>
            </w:r>
          </w:p>
        </w:tc>
        <w:tc>
          <w:tcPr>
            <w:tcW w:w="1249" w:type="dxa"/>
            <w:tcBorders>
              <w:top w:val="nil"/>
              <w:left w:val="nil"/>
              <w:bottom w:val="single" w:sz="4" w:space="0" w:color="auto"/>
              <w:right w:val="single" w:sz="4" w:space="0" w:color="auto"/>
            </w:tcBorders>
            <w:shd w:val="clear" w:color="auto" w:fill="auto"/>
            <w:noWrap/>
            <w:vAlign w:val="bottom"/>
            <w:hideMark/>
          </w:tcPr>
          <w:p w14:paraId="2235C8D7"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85</w:t>
            </w:r>
          </w:p>
        </w:tc>
        <w:tc>
          <w:tcPr>
            <w:tcW w:w="850" w:type="dxa"/>
            <w:tcBorders>
              <w:top w:val="nil"/>
              <w:left w:val="nil"/>
              <w:bottom w:val="single" w:sz="4" w:space="0" w:color="auto"/>
              <w:right w:val="single" w:sz="4" w:space="0" w:color="auto"/>
            </w:tcBorders>
            <w:shd w:val="clear" w:color="auto" w:fill="auto"/>
            <w:noWrap/>
            <w:vAlign w:val="bottom"/>
            <w:hideMark/>
          </w:tcPr>
          <w:p w14:paraId="0466B00F"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1.91</w:t>
            </w:r>
          </w:p>
        </w:tc>
        <w:tc>
          <w:tcPr>
            <w:tcW w:w="993" w:type="dxa"/>
            <w:tcBorders>
              <w:top w:val="nil"/>
              <w:left w:val="nil"/>
              <w:bottom w:val="single" w:sz="4" w:space="0" w:color="auto"/>
              <w:right w:val="single" w:sz="4" w:space="0" w:color="auto"/>
            </w:tcBorders>
            <w:shd w:val="clear" w:color="000000" w:fill="FFFFFF"/>
            <w:noWrap/>
            <w:vAlign w:val="bottom"/>
            <w:hideMark/>
          </w:tcPr>
          <w:p w14:paraId="727CDBA7"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0.830</w:t>
            </w:r>
          </w:p>
        </w:tc>
        <w:tc>
          <w:tcPr>
            <w:tcW w:w="992" w:type="dxa"/>
            <w:tcBorders>
              <w:top w:val="nil"/>
              <w:left w:val="nil"/>
              <w:bottom w:val="single" w:sz="4" w:space="0" w:color="auto"/>
              <w:right w:val="single" w:sz="4" w:space="0" w:color="auto"/>
            </w:tcBorders>
            <w:shd w:val="clear" w:color="000000" w:fill="D9D9D9"/>
            <w:noWrap/>
            <w:vAlign w:val="bottom"/>
            <w:hideMark/>
          </w:tcPr>
          <w:p w14:paraId="3B039C51"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36.5</w:t>
            </w:r>
          </w:p>
        </w:tc>
        <w:tc>
          <w:tcPr>
            <w:tcW w:w="1134" w:type="dxa"/>
            <w:tcBorders>
              <w:top w:val="nil"/>
              <w:left w:val="nil"/>
              <w:bottom w:val="single" w:sz="4" w:space="0" w:color="auto"/>
              <w:right w:val="single" w:sz="4" w:space="0" w:color="auto"/>
            </w:tcBorders>
            <w:shd w:val="clear" w:color="auto" w:fill="auto"/>
            <w:noWrap/>
            <w:vAlign w:val="bottom"/>
            <w:hideMark/>
          </w:tcPr>
          <w:p w14:paraId="149092A4"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3.1</w:t>
            </w:r>
          </w:p>
        </w:tc>
        <w:tc>
          <w:tcPr>
            <w:tcW w:w="1292" w:type="dxa"/>
            <w:tcBorders>
              <w:top w:val="nil"/>
              <w:left w:val="nil"/>
              <w:bottom w:val="single" w:sz="4" w:space="0" w:color="auto"/>
              <w:right w:val="single" w:sz="4" w:space="0" w:color="auto"/>
            </w:tcBorders>
            <w:shd w:val="clear" w:color="auto" w:fill="auto"/>
            <w:noWrap/>
            <w:vAlign w:val="bottom"/>
            <w:hideMark/>
          </w:tcPr>
          <w:p w14:paraId="09564E6F"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16 (0.26)</w:t>
            </w:r>
          </w:p>
        </w:tc>
        <w:tc>
          <w:tcPr>
            <w:tcW w:w="976" w:type="dxa"/>
            <w:tcBorders>
              <w:top w:val="nil"/>
              <w:left w:val="nil"/>
              <w:bottom w:val="single" w:sz="4" w:space="0" w:color="auto"/>
              <w:right w:val="single" w:sz="4" w:space="0" w:color="auto"/>
            </w:tcBorders>
            <w:shd w:val="clear" w:color="auto" w:fill="auto"/>
            <w:noWrap/>
            <w:vAlign w:val="bottom"/>
            <w:hideMark/>
          </w:tcPr>
          <w:p w14:paraId="4F0BBC49"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1.94</w:t>
            </w:r>
          </w:p>
        </w:tc>
        <w:tc>
          <w:tcPr>
            <w:tcW w:w="992" w:type="dxa"/>
            <w:tcBorders>
              <w:top w:val="nil"/>
              <w:left w:val="nil"/>
              <w:bottom w:val="single" w:sz="4" w:space="0" w:color="auto"/>
              <w:right w:val="single" w:sz="4" w:space="0" w:color="auto"/>
            </w:tcBorders>
            <w:shd w:val="clear" w:color="auto" w:fill="auto"/>
            <w:noWrap/>
            <w:vAlign w:val="bottom"/>
            <w:hideMark/>
          </w:tcPr>
          <w:p w14:paraId="10430CB2"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0.814</w:t>
            </w:r>
          </w:p>
        </w:tc>
        <w:tc>
          <w:tcPr>
            <w:tcW w:w="992" w:type="dxa"/>
            <w:tcBorders>
              <w:top w:val="nil"/>
              <w:left w:val="nil"/>
              <w:bottom w:val="single" w:sz="4" w:space="0" w:color="auto"/>
              <w:right w:val="single" w:sz="4" w:space="0" w:color="auto"/>
            </w:tcBorders>
            <w:shd w:val="clear" w:color="000000" w:fill="D9D9D9"/>
            <w:noWrap/>
            <w:vAlign w:val="bottom"/>
            <w:hideMark/>
          </w:tcPr>
          <w:p w14:paraId="774AC9C6"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33.6</w:t>
            </w:r>
          </w:p>
        </w:tc>
        <w:tc>
          <w:tcPr>
            <w:tcW w:w="1134" w:type="dxa"/>
            <w:tcBorders>
              <w:top w:val="nil"/>
              <w:left w:val="nil"/>
              <w:bottom w:val="single" w:sz="4" w:space="0" w:color="auto"/>
              <w:right w:val="single" w:sz="4" w:space="0" w:color="auto"/>
            </w:tcBorders>
            <w:shd w:val="clear" w:color="auto" w:fill="auto"/>
            <w:noWrap/>
            <w:vAlign w:val="bottom"/>
            <w:hideMark/>
          </w:tcPr>
          <w:p w14:paraId="0B2BAB37"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2.9</w:t>
            </w:r>
          </w:p>
        </w:tc>
        <w:tc>
          <w:tcPr>
            <w:tcW w:w="1452" w:type="dxa"/>
            <w:tcBorders>
              <w:top w:val="nil"/>
              <w:left w:val="nil"/>
              <w:bottom w:val="single" w:sz="4" w:space="0" w:color="auto"/>
              <w:right w:val="single" w:sz="4" w:space="0" w:color="auto"/>
            </w:tcBorders>
            <w:shd w:val="clear" w:color="auto" w:fill="auto"/>
            <w:noWrap/>
            <w:hideMark/>
          </w:tcPr>
          <w:p w14:paraId="2554213E"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16 (0.25)</w:t>
            </w:r>
          </w:p>
        </w:tc>
      </w:tr>
      <w:tr w:rsidR="00403B07" w:rsidRPr="00734C53" w14:paraId="204093F6" w14:textId="77777777" w:rsidTr="00B01272">
        <w:trPr>
          <w:trHeight w:val="297"/>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42E3813F"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18</w:t>
            </w:r>
          </w:p>
        </w:tc>
        <w:tc>
          <w:tcPr>
            <w:tcW w:w="1249" w:type="dxa"/>
            <w:tcBorders>
              <w:top w:val="nil"/>
              <w:left w:val="nil"/>
              <w:bottom w:val="single" w:sz="4" w:space="0" w:color="auto"/>
              <w:right w:val="single" w:sz="4" w:space="0" w:color="auto"/>
            </w:tcBorders>
            <w:shd w:val="clear" w:color="auto" w:fill="auto"/>
            <w:noWrap/>
            <w:vAlign w:val="bottom"/>
            <w:hideMark/>
          </w:tcPr>
          <w:p w14:paraId="2CE2234E"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88.4</w:t>
            </w:r>
          </w:p>
        </w:tc>
        <w:tc>
          <w:tcPr>
            <w:tcW w:w="850" w:type="dxa"/>
            <w:tcBorders>
              <w:top w:val="nil"/>
              <w:left w:val="nil"/>
              <w:bottom w:val="single" w:sz="4" w:space="0" w:color="auto"/>
              <w:right w:val="single" w:sz="4" w:space="0" w:color="auto"/>
            </w:tcBorders>
            <w:shd w:val="clear" w:color="auto" w:fill="auto"/>
            <w:noWrap/>
            <w:vAlign w:val="bottom"/>
            <w:hideMark/>
          </w:tcPr>
          <w:p w14:paraId="7A7143DE"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2.24</w:t>
            </w:r>
          </w:p>
        </w:tc>
        <w:tc>
          <w:tcPr>
            <w:tcW w:w="993" w:type="dxa"/>
            <w:tcBorders>
              <w:top w:val="nil"/>
              <w:left w:val="nil"/>
              <w:bottom w:val="single" w:sz="4" w:space="0" w:color="auto"/>
              <w:right w:val="single" w:sz="4" w:space="0" w:color="auto"/>
            </w:tcBorders>
            <w:shd w:val="clear" w:color="auto" w:fill="auto"/>
            <w:noWrap/>
            <w:vAlign w:val="bottom"/>
            <w:hideMark/>
          </w:tcPr>
          <w:p w14:paraId="6645A85D"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0.958</w:t>
            </w:r>
          </w:p>
        </w:tc>
        <w:tc>
          <w:tcPr>
            <w:tcW w:w="992" w:type="dxa"/>
            <w:tcBorders>
              <w:top w:val="nil"/>
              <w:left w:val="nil"/>
              <w:bottom w:val="single" w:sz="4" w:space="0" w:color="auto"/>
              <w:right w:val="single" w:sz="4" w:space="0" w:color="auto"/>
            </w:tcBorders>
            <w:shd w:val="clear" w:color="auto" w:fill="auto"/>
            <w:noWrap/>
            <w:vAlign w:val="bottom"/>
            <w:hideMark/>
          </w:tcPr>
          <w:p w14:paraId="1958D66C"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24.0</w:t>
            </w:r>
          </w:p>
        </w:tc>
        <w:tc>
          <w:tcPr>
            <w:tcW w:w="1134" w:type="dxa"/>
            <w:tcBorders>
              <w:top w:val="nil"/>
              <w:left w:val="nil"/>
              <w:bottom w:val="single" w:sz="4" w:space="0" w:color="auto"/>
              <w:right w:val="single" w:sz="4" w:space="0" w:color="auto"/>
            </w:tcBorders>
            <w:shd w:val="clear" w:color="auto" w:fill="auto"/>
            <w:noWrap/>
            <w:vAlign w:val="bottom"/>
            <w:hideMark/>
          </w:tcPr>
          <w:p w14:paraId="0026B086"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12.5</w:t>
            </w:r>
          </w:p>
        </w:tc>
        <w:tc>
          <w:tcPr>
            <w:tcW w:w="1292" w:type="dxa"/>
            <w:tcBorders>
              <w:top w:val="nil"/>
              <w:left w:val="nil"/>
              <w:bottom w:val="single" w:sz="4" w:space="0" w:color="auto"/>
              <w:right w:val="single" w:sz="4" w:space="0" w:color="auto"/>
            </w:tcBorders>
            <w:shd w:val="clear" w:color="auto" w:fill="auto"/>
            <w:noWrap/>
            <w:vAlign w:val="bottom"/>
            <w:hideMark/>
          </w:tcPr>
          <w:p w14:paraId="674EBC80"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21 (0.46)</w:t>
            </w:r>
          </w:p>
        </w:tc>
        <w:tc>
          <w:tcPr>
            <w:tcW w:w="976" w:type="dxa"/>
            <w:tcBorders>
              <w:top w:val="nil"/>
              <w:left w:val="nil"/>
              <w:bottom w:val="single" w:sz="4" w:space="0" w:color="auto"/>
              <w:right w:val="single" w:sz="4" w:space="0" w:color="auto"/>
            </w:tcBorders>
            <w:shd w:val="clear" w:color="auto" w:fill="auto"/>
            <w:noWrap/>
            <w:vAlign w:val="bottom"/>
            <w:hideMark/>
          </w:tcPr>
          <w:p w14:paraId="52A260B4"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2.23</w:t>
            </w:r>
          </w:p>
        </w:tc>
        <w:tc>
          <w:tcPr>
            <w:tcW w:w="992" w:type="dxa"/>
            <w:tcBorders>
              <w:top w:val="nil"/>
              <w:left w:val="nil"/>
              <w:bottom w:val="single" w:sz="4" w:space="0" w:color="auto"/>
              <w:right w:val="single" w:sz="4" w:space="0" w:color="auto"/>
            </w:tcBorders>
            <w:shd w:val="clear" w:color="auto" w:fill="auto"/>
            <w:noWrap/>
            <w:vAlign w:val="bottom"/>
            <w:hideMark/>
          </w:tcPr>
          <w:p w14:paraId="3A64B853"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0.961</w:t>
            </w:r>
          </w:p>
        </w:tc>
        <w:tc>
          <w:tcPr>
            <w:tcW w:w="992" w:type="dxa"/>
            <w:tcBorders>
              <w:top w:val="nil"/>
              <w:left w:val="nil"/>
              <w:bottom w:val="single" w:sz="4" w:space="0" w:color="auto"/>
              <w:right w:val="single" w:sz="4" w:space="0" w:color="auto"/>
            </w:tcBorders>
            <w:shd w:val="clear" w:color="auto" w:fill="auto"/>
            <w:noWrap/>
            <w:vAlign w:val="bottom"/>
            <w:hideMark/>
          </w:tcPr>
          <w:p w14:paraId="45002750"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26.0</w:t>
            </w:r>
          </w:p>
        </w:tc>
        <w:tc>
          <w:tcPr>
            <w:tcW w:w="1134" w:type="dxa"/>
            <w:tcBorders>
              <w:top w:val="nil"/>
              <w:left w:val="nil"/>
              <w:bottom w:val="single" w:sz="4" w:space="0" w:color="auto"/>
              <w:right w:val="single" w:sz="4" w:space="0" w:color="auto"/>
            </w:tcBorders>
            <w:shd w:val="clear" w:color="auto" w:fill="auto"/>
            <w:noWrap/>
            <w:vAlign w:val="bottom"/>
            <w:hideMark/>
          </w:tcPr>
          <w:p w14:paraId="31F0F5C4"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11.4</w:t>
            </w:r>
          </w:p>
        </w:tc>
        <w:tc>
          <w:tcPr>
            <w:tcW w:w="1452" w:type="dxa"/>
            <w:tcBorders>
              <w:top w:val="nil"/>
              <w:left w:val="nil"/>
              <w:bottom w:val="single" w:sz="4" w:space="0" w:color="auto"/>
              <w:right w:val="single" w:sz="4" w:space="0" w:color="auto"/>
            </w:tcBorders>
            <w:shd w:val="clear" w:color="auto" w:fill="auto"/>
            <w:noWrap/>
            <w:hideMark/>
          </w:tcPr>
          <w:p w14:paraId="0411218B"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21 (0.49)</w:t>
            </w:r>
          </w:p>
        </w:tc>
      </w:tr>
      <w:tr w:rsidR="00403B07" w:rsidRPr="00734C53" w14:paraId="669E07DA" w14:textId="77777777" w:rsidTr="00B01272">
        <w:trPr>
          <w:trHeight w:val="297"/>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6878FC43"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19</w:t>
            </w:r>
          </w:p>
        </w:tc>
        <w:tc>
          <w:tcPr>
            <w:tcW w:w="1249" w:type="dxa"/>
            <w:tcBorders>
              <w:top w:val="nil"/>
              <w:left w:val="nil"/>
              <w:bottom w:val="single" w:sz="4" w:space="0" w:color="auto"/>
              <w:right w:val="single" w:sz="4" w:space="0" w:color="auto"/>
            </w:tcBorders>
            <w:shd w:val="clear" w:color="auto" w:fill="auto"/>
            <w:noWrap/>
            <w:vAlign w:val="bottom"/>
            <w:hideMark/>
          </w:tcPr>
          <w:p w14:paraId="04728384"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101.4</w:t>
            </w:r>
          </w:p>
        </w:tc>
        <w:tc>
          <w:tcPr>
            <w:tcW w:w="850" w:type="dxa"/>
            <w:tcBorders>
              <w:top w:val="nil"/>
              <w:left w:val="nil"/>
              <w:bottom w:val="single" w:sz="4" w:space="0" w:color="auto"/>
              <w:right w:val="single" w:sz="4" w:space="0" w:color="auto"/>
            </w:tcBorders>
            <w:shd w:val="clear" w:color="auto" w:fill="auto"/>
            <w:noWrap/>
            <w:vAlign w:val="bottom"/>
            <w:hideMark/>
          </w:tcPr>
          <w:p w14:paraId="382C0504"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2.84</w:t>
            </w:r>
          </w:p>
        </w:tc>
        <w:tc>
          <w:tcPr>
            <w:tcW w:w="993" w:type="dxa"/>
            <w:tcBorders>
              <w:top w:val="nil"/>
              <w:left w:val="nil"/>
              <w:bottom w:val="single" w:sz="4" w:space="0" w:color="auto"/>
              <w:right w:val="single" w:sz="4" w:space="0" w:color="auto"/>
            </w:tcBorders>
            <w:shd w:val="clear" w:color="auto" w:fill="auto"/>
            <w:noWrap/>
            <w:vAlign w:val="bottom"/>
            <w:hideMark/>
          </w:tcPr>
          <w:p w14:paraId="0BC94EC9"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1.089</w:t>
            </w:r>
          </w:p>
        </w:tc>
        <w:tc>
          <w:tcPr>
            <w:tcW w:w="992" w:type="dxa"/>
            <w:tcBorders>
              <w:top w:val="nil"/>
              <w:left w:val="nil"/>
              <w:bottom w:val="single" w:sz="4" w:space="0" w:color="auto"/>
              <w:right w:val="single" w:sz="4" w:space="0" w:color="auto"/>
            </w:tcBorders>
            <w:shd w:val="clear" w:color="auto" w:fill="auto"/>
            <w:noWrap/>
            <w:vAlign w:val="bottom"/>
            <w:hideMark/>
          </w:tcPr>
          <w:p w14:paraId="44E030D0"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16.8</w:t>
            </w:r>
          </w:p>
        </w:tc>
        <w:tc>
          <w:tcPr>
            <w:tcW w:w="1134" w:type="dxa"/>
            <w:tcBorders>
              <w:top w:val="nil"/>
              <w:left w:val="nil"/>
              <w:bottom w:val="single" w:sz="4" w:space="0" w:color="auto"/>
              <w:right w:val="single" w:sz="4" w:space="0" w:color="auto"/>
            </w:tcBorders>
            <w:shd w:val="clear" w:color="000000" w:fill="D9D9D9"/>
            <w:noWrap/>
            <w:vAlign w:val="bottom"/>
            <w:hideMark/>
          </w:tcPr>
          <w:p w14:paraId="67BD7374"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35.5</w:t>
            </w:r>
          </w:p>
        </w:tc>
        <w:tc>
          <w:tcPr>
            <w:tcW w:w="1292" w:type="dxa"/>
            <w:tcBorders>
              <w:top w:val="nil"/>
              <w:left w:val="nil"/>
              <w:bottom w:val="single" w:sz="4" w:space="0" w:color="auto"/>
              <w:right w:val="single" w:sz="4" w:space="0" w:color="auto"/>
            </w:tcBorders>
            <w:shd w:val="clear" w:color="auto" w:fill="auto"/>
            <w:noWrap/>
            <w:vAlign w:val="bottom"/>
            <w:hideMark/>
          </w:tcPr>
          <w:p w14:paraId="6A030573"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20 (0.44)</w:t>
            </w:r>
          </w:p>
        </w:tc>
        <w:tc>
          <w:tcPr>
            <w:tcW w:w="976" w:type="dxa"/>
            <w:tcBorders>
              <w:top w:val="nil"/>
              <w:left w:val="nil"/>
              <w:bottom w:val="single" w:sz="4" w:space="0" w:color="auto"/>
              <w:right w:val="single" w:sz="4" w:space="0" w:color="auto"/>
            </w:tcBorders>
            <w:shd w:val="clear" w:color="auto" w:fill="auto"/>
            <w:noWrap/>
            <w:vAlign w:val="bottom"/>
            <w:hideMark/>
          </w:tcPr>
          <w:p w14:paraId="10F50497"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2.78</w:t>
            </w:r>
          </w:p>
        </w:tc>
        <w:tc>
          <w:tcPr>
            <w:tcW w:w="992" w:type="dxa"/>
            <w:tcBorders>
              <w:top w:val="nil"/>
              <w:left w:val="nil"/>
              <w:bottom w:val="single" w:sz="4" w:space="0" w:color="auto"/>
              <w:right w:val="single" w:sz="4" w:space="0" w:color="auto"/>
            </w:tcBorders>
            <w:shd w:val="clear" w:color="auto" w:fill="auto"/>
            <w:noWrap/>
            <w:vAlign w:val="bottom"/>
            <w:hideMark/>
          </w:tcPr>
          <w:p w14:paraId="22BDD958"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1.102</w:t>
            </w:r>
          </w:p>
        </w:tc>
        <w:tc>
          <w:tcPr>
            <w:tcW w:w="992" w:type="dxa"/>
            <w:tcBorders>
              <w:top w:val="nil"/>
              <w:left w:val="nil"/>
              <w:bottom w:val="single" w:sz="4" w:space="0" w:color="auto"/>
              <w:right w:val="single" w:sz="4" w:space="0" w:color="auto"/>
            </w:tcBorders>
            <w:shd w:val="clear" w:color="auto" w:fill="auto"/>
            <w:noWrap/>
            <w:vAlign w:val="bottom"/>
            <w:hideMark/>
          </w:tcPr>
          <w:p w14:paraId="6847B931"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19.1</w:t>
            </w:r>
          </w:p>
        </w:tc>
        <w:tc>
          <w:tcPr>
            <w:tcW w:w="1134" w:type="dxa"/>
            <w:tcBorders>
              <w:top w:val="nil"/>
              <w:left w:val="nil"/>
              <w:bottom w:val="single" w:sz="4" w:space="0" w:color="auto"/>
              <w:right w:val="single" w:sz="4" w:space="0" w:color="auto"/>
            </w:tcBorders>
            <w:shd w:val="clear" w:color="000000" w:fill="D9D9D9"/>
            <w:noWrap/>
            <w:vAlign w:val="bottom"/>
            <w:hideMark/>
          </w:tcPr>
          <w:p w14:paraId="22987DCB"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32.9</w:t>
            </w:r>
          </w:p>
        </w:tc>
        <w:tc>
          <w:tcPr>
            <w:tcW w:w="1452" w:type="dxa"/>
            <w:tcBorders>
              <w:top w:val="nil"/>
              <w:left w:val="nil"/>
              <w:bottom w:val="single" w:sz="4" w:space="0" w:color="auto"/>
              <w:right w:val="single" w:sz="4" w:space="0" w:color="auto"/>
            </w:tcBorders>
            <w:shd w:val="clear" w:color="auto" w:fill="auto"/>
            <w:noWrap/>
            <w:hideMark/>
          </w:tcPr>
          <w:p w14:paraId="4F1EAB4A"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20 (0.51)</w:t>
            </w:r>
          </w:p>
        </w:tc>
      </w:tr>
      <w:tr w:rsidR="00403B07" w:rsidRPr="00734C53" w14:paraId="73C17E75" w14:textId="77777777" w:rsidTr="00B01272">
        <w:trPr>
          <w:trHeight w:val="297"/>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57A02B75"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20</w:t>
            </w:r>
          </w:p>
        </w:tc>
        <w:tc>
          <w:tcPr>
            <w:tcW w:w="1249" w:type="dxa"/>
            <w:tcBorders>
              <w:top w:val="nil"/>
              <w:left w:val="nil"/>
              <w:bottom w:val="single" w:sz="4" w:space="0" w:color="auto"/>
              <w:right w:val="single" w:sz="4" w:space="0" w:color="auto"/>
            </w:tcBorders>
            <w:shd w:val="clear" w:color="auto" w:fill="auto"/>
            <w:noWrap/>
            <w:vAlign w:val="bottom"/>
            <w:hideMark/>
          </w:tcPr>
          <w:p w14:paraId="36B00B9C"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95.4</w:t>
            </w:r>
          </w:p>
        </w:tc>
        <w:tc>
          <w:tcPr>
            <w:tcW w:w="850" w:type="dxa"/>
            <w:tcBorders>
              <w:top w:val="nil"/>
              <w:left w:val="nil"/>
              <w:bottom w:val="single" w:sz="4" w:space="0" w:color="auto"/>
              <w:right w:val="single" w:sz="4" w:space="0" w:color="auto"/>
            </w:tcBorders>
            <w:shd w:val="clear" w:color="auto" w:fill="auto"/>
            <w:noWrap/>
            <w:vAlign w:val="bottom"/>
            <w:hideMark/>
          </w:tcPr>
          <w:p w14:paraId="1ABA2CED"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2.81</w:t>
            </w:r>
          </w:p>
        </w:tc>
        <w:tc>
          <w:tcPr>
            <w:tcW w:w="993" w:type="dxa"/>
            <w:tcBorders>
              <w:top w:val="nil"/>
              <w:left w:val="nil"/>
              <w:bottom w:val="single" w:sz="4" w:space="0" w:color="auto"/>
              <w:right w:val="single" w:sz="4" w:space="0" w:color="auto"/>
            </w:tcBorders>
            <w:shd w:val="clear" w:color="auto" w:fill="auto"/>
            <w:noWrap/>
            <w:vAlign w:val="bottom"/>
            <w:hideMark/>
          </w:tcPr>
          <w:p w14:paraId="735A3DFC"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1.069</w:t>
            </w:r>
          </w:p>
        </w:tc>
        <w:tc>
          <w:tcPr>
            <w:tcW w:w="992" w:type="dxa"/>
            <w:tcBorders>
              <w:top w:val="nil"/>
              <w:left w:val="nil"/>
              <w:bottom w:val="single" w:sz="4" w:space="0" w:color="auto"/>
              <w:right w:val="single" w:sz="4" w:space="0" w:color="auto"/>
            </w:tcBorders>
            <w:shd w:val="clear" w:color="auto" w:fill="auto"/>
            <w:noWrap/>
            <w:vAlign w:val="bottom"/>
            <w:hideMark/>
          </w:tcPr>
          <w:p w14:paraId="6808EE19"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16.1</w:t>
            </w:r>
          </w:p>
        </w:tc>
        <w:tc>
          <w:tcPr>
            <w:tcW w:w="1134" w:type="dxa"/>
            <w:tcBorders>
              <w:top w:val="nil"/>
              <w:left w:val="nil"/>
              <w:bottom w:val="single" w:sz="4" w:space="0" w:color="auto"/>
              <w:right w:val="single" w:sz="4" w:space="0" w:color="auto"/>
            </w:tcBorders>
            <w:shd w:val="clear" w:color="000000" w:fill="D9D9D9"/>
            <w:noWrap/>
            <w:vAlign w:val="bottom"/>
            <w:hideMark/>
          </w:tcPr>
          <w:p w14:paraId="39A3112B"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33.2</w:t>
            </w:r>
          </w:p>
        </w:tc>
        <w:tc>
          <w:tcPr>
            <w:tcW w:w="1292" w:type="dxa"/>
            <w:tcBorders>
              <w:top w:val="nil"/>
              <w:left w:val="nil"/>
              <w:bottom w:val="single" w:sz="4" w:space="0" w:color="auto"/>
              <w:right w:val="single" w:sz="4" w:space="0" w:color="auto"/>
            </w:tcBorders>
            <w:shd w:val="clear" w:color="auto" w:fill="auto"/>
            <w:noWrap/>
            <w:vAlign w:val="bottom"/>
            <w:hideMark/>
          </w:tcPr>
          <w:p w14:paraId="3FD68187"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22 (0.45)</w:t>
            </w:r>
          </w:p>
        </w:tc>
        <w:tc>
          <w:tcPr>
            <w:tcW w:w="976" w:type="dxa"/>
            <w:tcBorders>
              <w:top w:val="nil"/>
              <w:left w:val="nil"/>
              <w:bottom w:val="single" w:sz="4" w:space="0" w:color="auto"/>
              <w:right w:val="single" w:sz="4" w:space="0" w:color="auto"/>
            </w:tcBorders>
            <w:shd w:val="clear" w:color="auto" w:fill="auto"/>
            <w:noWrap/>
            <w:vAlign w:val="bottom"/>
            <w:hideMark/>
          </w:tcPr>
          <w:p w14:paraId="2333E8E5"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2.84</w:t>
            </w:r>
          </w:p>
        </w:tc>
        <w:tc>
          <w:tcPr>
            <w:tcW w:w="992" w:type="dxa"/>
            <w:tcBorders>
              <w:top w:val="nil"/>
              <w:left w:val="nil"/>
              <w:bottom w:val="single" w:sz="4" w:space="0" w:color="auto"/>
              <w:right w:val="single" w:sz="4" w:space="0" w:color="auto"/>
            </w:tcBorders>
            <w:shd w:val="clear" w:color="auto" w:fill="auto"/>
            <w:noWrap/>
            <w:vAlign w:val="bottom"/>
            <w:hideMark/>
          </w:tcPr>
          <w:p w14:paraId="197A4C4C"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1.106</w:t>
            </w:r>
          </w:p>
        </w:tc>
        <w:tc>
          <w:tcPr>
            <w:tcW w:w="992" w:type="dxa"/>
            <w:tcBorders>
              <w:top w:val="nil"/>
              <w:left w:val="nil"/>
              <w:bottom w:val="single" w:sz="4" w:space="0" w:color="auto"/>
              <w:right w:val="single" w:sz="4" w:space="0" w:color="auto"/>
            </w:tcBorders>
            <w:shd w:val="clear" w:color="auto" w:fill="auto"/>
            <w:noWrap/>
            <w:vAlign w:val="bottom"/>
            <w:hideMark/>
          </w:tcPr>
          <w:p w14:paraId="03CDAE72"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17.2</w:t>
            </w:r>
          </w:p>
        </w:tc>
        <w:tc>
          <w:tcPr>
            <w:tcW w:w="1134" w:type="dxa"/>
            <w:tcBorders>
              <w:top w:val="nil"/>
              <w:left w:val="nil"/>
              <w:bottom w:val="single" w:sz="4" w:space="0" w:color="auto"/>
              <w:right w:val="single" w:sz="4" w:space="0" w:color="auto"/>
            </w:tcBorders>
            <w:shd w:val="clear" w:color="000000" w:fill="D9D9D9"/>
            <w:noWrap/>
            <w:vAlign w:val="bottom"/>
            <w:hideMark/>
          </w:tcPr>
          <w:p w14:paraId="04A9ECB0"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37.1</w:t>
            </w:r>
          </w:p>
        </w:tc>
        <w:tc>
          <w:tcPr>
            <w:tcW w:w="1452" w:type="dxa"/>
            <w:tcBorders>
              <w:top w:val="nil"/>
              <w:left w:val="nil"/>
              <w:bottom w:val="single" w:sz="4" w:space="0" w:color="auto"/>
              <w:right w:val="single" w:sz="4" w:space="0" w:color="auto"/>
            </w:tcBorders>
            <w:shd w:val="clear" w:color="auto" w:fill="auto"/>
            <w:noWrap/>
            <w:hideMark/>
          </w:tcPr>
          <w:p w14:paraId="05E9C1EE"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19 (0.51)</w:t>
            </w:r>
          </w:p>
        </w:tc>
      </w:tr>
      <w:tr w:rsidR="00403B07" w:rsidRPr="00734C53" w14:paraId="6FCE1656" w14:textId="77777777" w:rsidTr="00B01272">
        <w:trPr>
          <w:trHeight w:val="297"/>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611D34C8"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21</w:t>
            </w:r>
          </w:p>
        </w:tc>
        <w:tc>
          <w:tcPr>
            <w:tcW w:w="1249" w:type="dxa"/>
            <w:tcBorders>
              <w:top w:val="nil"/>
              <w:left w:val="nil"/>
              <w:bottom w:val="single" w:sz="4" w:space="0" w:color="auto"/>
              <w:right w:val="single" w:sz="4" w:space="0" w:color="auto"/>
            </w:tcBorders>
            <w:shd w:val="clear" w:color="auto" w:fill="auto"/>
            <w:noWrap/>
            <w:vAlign w:val="bottom"/>
            <w:hideMark/>
          </w:tcPr>
          <w:p w14:paraId="387EB440"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105</w:t>
            </w:r>
          </w:p>
        </w:tc>
        <w:tc>
          <w:tcPr>
            <w:tcW w:w="850" w:type="dxa"/>
            <w:tcBorders>
              <w:top w:val="nil"/>
              <w:left w:val="nil"/>
              <w:bottom w:val="single" w:sz="4" w:space="0" w:color="auto"/>
              <w:right w:val="single" w:sz="4" w:space="0" w:color="auto"/>
            </w:tcBorders>
            <w:shd w:val="clear" w:color="auto" w:fill="auto"/>
            <w:noWrap/>
            <w:vAlign w:val="bottom"/>
            <w:hideMark/>
          </w:tcPr>
          <w:p w14:paraId="6FD5BBB0"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2.31</w:t>
            </w:r>
          </w:p>
        </w:tc>
        <w:tc>
          <w:tcPr>
            <w:tcW w:w="993" w:type="dxa"/>
            <w:tcBorders>
              <w:top w:val="nil"/>
              <w:left w:val="nil"/>
              <w:bottom w:val="single" w:sz="4" w:space="0" w:color="auto"/>
              <w:right w:val="single" w:sz="4" w:space="0" w:color="auto"/>
            </w:tcBorders>
            <w:shd w:val="clear" w:color="auto" w:fill="auto"/>
            <w:noWrap/>
            <w:vAlign w:val="bottom"/>
            <w:hideMark/>
          </w:tcPr>
          <w:p w14:paraId="758E30DE"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1.034</w:t>
            </w:r>
          </w:p>
        </w:tc>
        <w:tc>
          <w:tcPr>
            <w:tcW w:w="992" w:type="dxa"/>
            <w:tcBorders>
              <w:top w:val="nil"/>
              <w:left w:val="nil"/>
              <w:bottom w:val="single" w:sz="4" w:space="0" w:color="auto"/>
              <w:right w:val="single" w:sz="4" w:space="0" w:color="auto"/>
            </w:tcBorders>
            <w:shd w:val="clear" w:color="auto" w:fill="auto"/>
            <w:noWrap/>
            <w:vAlign w:val="bottom"/>
            <w:hideMark/>
          </w:tcPr>
          <w:p w14:paraId="6AF59E12"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27.6</w:t>
            </w:r>
          </w:p>
        </w:tc>
        <w:tc>
          <w:tcPr>
            <w:tcW w:w="1134" w:type="dxa"/>
            <w:tcBorders>
              <w:top w:val="nil"/>
              <w:left w:val="nil"/>
              <w:bottom w:val="single" w:sz="4" w:space="0" w:color="auto"/>
              <w:right w:val="single" w:sz="4" w:space="0" w:color="auto"/>
            </w:tcBorders>
            <w:shd w:val="clear" w:color="auto" w:fill="auto"/>
            <w:noWrap/>
            <w:vAlign w:val="bottom"/>
            <w:hideMark/>
          </w:tcPr>
          <w:p w14:paraId="6BBE0841"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15.1</w:t>
            </w:r>
          </w:p>
        </w:tc>
        <w:tc>
          <w:tcPr>
            <w:tcW w:w="1292" w:type="dxa"/>
            <w:tcBorders>
              <w:top w:val="nil"/>
              <w:left w:val="nil"/>
              <w:bottom w:val="single" w:sz="4" w:space="0" w:color="auto"/>
              <w:right w:val="single" w:sz="4" w:space="0" w:color="auto"/>
            </w:tcBorders>
            <w:shd w:val="clear" w:color="auto" w:fill="auto"/>
            <w:noWrap/>
            <w:vAlign w:val="bottom"/>
            <w:hideMark/>
          </w:tcPr>
          <w:p w14:paraId="744F9F38"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18 (0.46)</w:t>
            </w:r>
          </w:p>
        </w:tc>
        <w:tc>
          <w:tcPr>
            <w:tcW w:w="976" w:type="dxa"/>
            <w:tcBorders>
              <w:top w:val="nil"/>
              <w:left w:val="nil"/>
              <w:bottom w:val="single" w:sz="4" w:space="0" w:color="auto"/>
              <w:right w:val="single" w:sz="4" w:space="0" w:color="auto"/>
            </w:tcBorders>
            <w:shd w:val="clear" w:color="auto" w:fill="auto"/>
            <w:noWrap/>
            <w:vAlign w:val="bottom"/>
            <w:hideMark/>
          </w:tcPr>
          <w:p w14:paraId="2D9C200E"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2.34</w:t>
            </w:r>
          </w:p>
        </w:tc>
        <w:tc>
          <w:tcPr>
            <w:tcW w:w="992" w:type="dxa"/>
            <w:tcBorders>
              <w:top w:val="nil"/>
              <w:left w:val="nil"/>
              <w:bottom w:val="single" w:sz="4" w:space="0" w:color="auto"/>
              <w:right w:val="single" w:sz="4" w:space="0" w:color="auto"/>
            </w:tcBorders>
            <w:shd w:val="clear" w:color="auto" w:fill="auto"/>
            <w:noWrap/>
            <w:vAlign w:val="bottom"/>
            <w:hideMark/>
          </w:tcPr>
          <w:p w14:paraId="5986848A"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1.040</w:t>
            </w:r>
          </w:p>
        </w:tc>
        <w:tc>
          <w:tcPr>
            <w:tcW w:w="992" w:type="dxa"/>
            <w:tcBorders>
              <w:top w:val="nil"/>
              <w:left w:val="nil"/>
              <w:bottom w:val="single" w:sz="4" w:space="0" w:color="auto"/>
              <w:right w:val="single" w:sz="4" w:space="0" w:color="auto"/>
            </w:tcBorders>
            <w:shd w:val="clear" w:color="auto" w:fill="auto"/>
            <w:noWrap/>
            <w:vAlign w:val="bottom"/>
            <w:hideMark/>
          </w:tcPr>
          <w:p w14:paraId="1897789A"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26.4</w:t>
            </w:r>
          </w:p>
        </w:tc>
        <w:tc>
          <w:tcPr>
            <w:tcW w:w="1134" w:type="dxa"/>
            <w:tcBorders>
              <w:top w:val="nil"/>
              <w:left w:val="nil"/>
              <w:bottom w:val="single" w:sz="4" w:space="0" w:color="auto"/>
              <w:right w:val="single" w:sz="4" w:space="0" w:color="auto"/>
            </w:tcBorders>
            <w:shd w:val="clear" w:color="auto" w:fill="auto"/>
            <w:noWrap/>
            <w:vAlign w:val="bottom"/>
            <w:hideMark/>
          </w:tcPr>
          <w:p w14:paraId="05FA76F4"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16.4</w:t>
            </w:r>
          </w:p>
        </w:tc>
        <w:tc>
          <w:tcPr>
            <w:tcW w:w="1452" w:type="dxa"/>
            <w:tcBorders>
              <w:top w:val="nil"/>
              <w:left w:val="nil"/>
              <w:bottom w:val="single" w:sz="4" w:space="0" w:color="auto"/>
              <w:right w:val="single" w:sz="4" w:space="0" w:color="auto"/>
            </w:tcBorders>
            <w:shd w:val="clear" w:color="auto" w:fill="auto"/>
            <w:noWrap/>
            <w:hideMark/>
          </w:tcPr>
          <w:p w14:paraId="74B21B4C"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18 (0.49)</w:t>
            </w:r>
          </w:p>
        </w:tc>
      </w:tr>
      <w:tr w:rsidR="00403B07" w:rsidRPr="00734C53" w14:paraId="6FFDEC3F" w14:textId="77777777" w:rsidTr="00B01272">
        <w:trPr>
          <w:trHeight w:val="297"/>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503BD874"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22</w:t>
            </w:r>
          </w:p>
        </w:tc>
        <w:tc>
          <w:tcPr>
            <w:tcW w:w="1249" w:type="dxa"/>
            <w:tcBorders>
              <w:top w:val="nil"/>
              <w:left w:val="nil"/>
              <w:bottom w:val="single" w:sz="4" w:space="0" w:color="auto"/>
              <w:right w:val="single" w:sz="4" w:space="0" w:color="auto"/>
            </w:tcBorders>
            <w:shd w:val="clear" w:color="auto" w:fill="auto"/>
            <w:noWrap/>
            <w:vAlign w:val="bottom"/>
            <w:hideMark/>
          </w:tcPr>
          <w:p w14:paraId="22EBB3AF"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83.3</w:t>
            </w:r>
          </w:p>
        </w:tc>
        <w:tc>
          <w:tcPr>
            <w:tcW w:w="850" w:type="dxa"/>
            <w:tcBorders>
              <w:top w:val="nil"/>
              <w:left w:val="nil"/>
              <w:bottom w:val="single" w:sz="4" w:space="0" w:color="auto"/>
              <w:right w:val="single" w:sz="4" w:space="0" w:color="auto"/>
            </w:tcBorders>
            <w:shd w:val="clear" w:color="auto" w:fill="auto"/>
            <w:noWrap/>
            <w:vAlign w:val="bottom"/>
            <w:hideMark/>
          </w:tcPr>
          <w:p w14:paraId="4758F65F"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2.48</w:t>
            </w:r>
          </w:p>
        </w:tc>
        <w:tc>
          <w:tcPr>
            <w:tcW w:w="993" w:type="dxa"/>
            <w:tcBorders>
              <w:top w:val="nil"/>
              <w:left w:val="nil"/>
              <w:bottom w:val="single" w:sz="4" w:space="0" w:color="auto"/>
              <w:right w:val="single" w:sz="4" w:space="0" w:color="auto"/>
            </w:tcBorders>
            <w:shd w:val="clear" w:color="auto" w:fill="auto"/>
            <w:noWrap/>
            <w:vAlign w:val="bottom"/>
            <w:hideMark/>
          </w:tcPr>
          <w:p w14:paraId="3AF08463"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1.161</w:t>
            </w:r>
          </w:p>
        </w:tc>
        <w:tc>
          <w:tcPr>
            <w:tcW w:w="992" w:type="dxa"/>
            <w:tcBorders>
              <w:top w:val="nil"/>
              <w:left w:val="nil"/>
              <w:bottom w:val="single" w:sz="4" w:space="0" w:color="auto"/>
              <w:right w:val="single" w:sz="4" w:space="0" w:color="auto"/>
            </w:tcBorders>
            <w:shd w:val="clear" w:color="auto" w:fill="auto"/>
            <w:noWrap/>
            <w:vAlign w:val="bottom"/>
            <w:hideMark/>
          </w:tcPr>
          <w:p w14:paraId="381396B1"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28.7</w:t>
            </w:r>
          </w:p>
        </w:tc>
        <w:tc>
          <w:tcPr>
            <w:tcW w:w="1134" w:type="dxa"/>
            <w:tcBorders>
              <w:top w:val="nil"/>
              <w:left w:val="nil"/>
              <w:bottom w:val="single" w:sz="4" w:space="0" w:color="auto"/>
              <w:right w:val="single" w:sz="4" w:space="0" w:color="auto"/>
            </w:tcBorders>
            <w:shd w:val="clear" w:color="auto" w:fill="auto"/>
            <w:noWrap/>
            <w:vAlign w:val="bottom"/>
            <w:hideMark/>
          </w:tcPr>
          <w:p w14:paraId="6288DE23"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26.1</w:t>
            </w:r>
          </w:p>
        </w:tc>
        <w:tc>
          <w:tcPr>
            <w:tcW w:w="1292" w:type="dxa"/>
            <w:tcBorders>
              <w:top w:val="nil"/>
              <w:left w:val="nil"/>
              <w:bottom w:val="single" w:sz="4" w:space="0" w:color="auto"/>
              <w:right w:val="single" w:sz="4" w:space="0" w:color="auto"/>
            </w:tcBorders>
            <w:shd w:val="clear" w:color="auto" w:fill="auto"/>
            <w:noWrap/>
            <w:vAlign w:val="bottom"/>
            <w:hideMark/>
          </w:tcPr>
          <w:p w14:paraId="37BEDCC0"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20 (0.45)</w:t>
            </w:r>
          </w:p>
        </w:tc>
        <w:tc>
          <w:tcPr>
            <w:tcW w:w="976" w:type="dxa"/>
            <w:tcBorders>
              <w:top w:val="nil"/>
              <w:left w:val="nil"/>
              <w:bottom w:val="single" w:sz="4" w:space="0" w:color="auto"/>
              <w:right w:val="single" w:sz="4" w:space="0" w:color="auto"/>
            </w:tcBorders>
            <w:shd w:val="clear" w:color="auto" w:fill="auto"/>
            <w:noWrap/>
            <w:vAlign w:val="bottom"/>
            <w:hideMark/>
          </w:tcPr>
          <w:p w14:paraId="30278B24"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2.51</w:t>
            </w:r>
          </w:p>
        </w:tc>
        <w:tc>
          <w:tcPr>
            <w:tcW w:w="992" w:type="dxa"/>
            <w:tcBorders>
              <w:top w:val="nil"/>
              <w:left w:val="nil"/>
              <w:bottom w:val="single" w:sz="4" w:space="0" w:color="auto"/>
              <w:right w:val="single" w:sz="4" w:space="0" w:color="auto"/>
            </w:tcBorders>
            <w:shd w:val="clear" w:color="auto" w:fill="auto"/>
            <w:noWrap/>
            <w:vAlign w:val="bottom"/>
            <w:hideMark/>
          </w:tcPr>
          <w:p w14:paraId="7811B24D"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1.194</w:t>
            </w:r>
          </w:p>
        </w:tc>
        <w:tc>
          <w:tcPr>
            <w:tcW w:w="992" w:type="dxa"/>
            <w:tcBorders>
              <w:top w:val="nil"/>
              <w:left w:val="nil"/>
              <w:bottom w:val="single" w:sz="4" w:space="0" w:color="auto"/>
              <w:right w:val="single" w:sz="4" w:space="0" w:color="auto"/>
            </w:tcBorders>
            <w:shd w:val="clear" w:color="auto" w:fill="auto"/>
            <w:noWrap/>
            <w:vAlign w:val="bottom"/>
            <w:hideMark/>
          </w:tcPr>
          <w:p w14:paraId="59F22616"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29.4</w:t>
            </w:r>
          </w:p>
        </w:tc>
        <w:tc>
          <w:tcPr>
            <w:tcW w:w="1134" w:type="dxa"/>
            <w:tcBorders>
              <w:top w:val="nil"/>
              <w:left w:val="nil"/>
              <w:bottom w:val="single" w:sz="4" w:space="0" w:color="auto"/>
              <w:right w:val="single" w:sz="4" w:space="0" w:color="auto"/>
            </w:tcBorders>
            <w:shd w:val="clear" w:color="auto" w:fill="auto"/>
            <w:noWrap/>
            <w:vAlign w:val="bottom"/>
            <w:hideMark/>
          </w:tcPr>
          <w:p w14:paraId="39AC0C69"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29.2</w:t>
            </w:r>
          </w:p>
        </w:tc>
        <w:tc>
          <w:tcPr>
            <w:tcW w:w="1452" w:type="dxa"/>
            <w:tcBorders>
              <w:top w:val="nil"/>
              <w:left w:val="nil"/>
              <w:bottom w:val="single" w:sz="4" w:space="0" w:color="auto"/>
              <w:right w:val="single" w:sz="4" w:space="0" w:color="auto"/>
            </w:tcBorders>
            <w:shd w:val="clear" w:color="auto" w:fill="auto"/>
            <w:noWrap/>
            <w:hideMark/>
          </w:tcPr>
          <w:p w14:paraId="1864D9A2"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20 (0.51)</w:t>
            </w:r>
          </w:p>
        </w:tc>
      </w:tr>
      <w:tr w:rsidR="00403B07" w:rsidRPr="00734C53" w14:paraId="1ECD8D7A" w14:textId="77777777" w:rsidTr="00B01272">
        <w:trPr>
          <w:trHeight w:val="297"/>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7B5D2944"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23</w:t>
            </w:r>
          </w:p>
        </w:tc>
        <w:tc>
          <w:tcPr>
            <w:tcW w:w="1249" w:type="dxa"/>
            <w:tcBorders>
              <w:top w:val="nil"/>
              <w:left w:val="nil"/>
              <w:bottom w:val="single" w:sz="4" w:space="0" w:color="auto"/>
              <w:right w:val="single" w:sz="4" w:space="0" w:color="auto"/>
            </w:tcBorders>
            <w:shd w:val="clear" w:color="auto" w:fill="auto"/>
            <w:noWrap/>
            <w:vAlign w:val="bottom"/>
            <w:hideMark/>
          </w:tcPr>
          <w:p w14:paraId="400503A0"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83.3</w:t>
            </w:r>
          </w:p>
        </w:tc>
        <w:tc>
          <w:tcPr>
            <w:tcW w:w="850" w:type="dxa"/>
            <w:tcBorders>
              <w:top w:val="nil"/>
              <w:left w:val="nil"/>
              <w:bottom w:val="single" w:sz="4" w:space="0" w:color="auto"/>
              <w:right w:val="single" w:sz="4" w:space="0" w:color="auto"/>
            </w:tcBorders>
            <w:shd w:val="clear" w:color="auto" w:fill="auto"/>
            <w:noWrap/>
            <w:vAlign w:val="bottom"/>
            <w:hideMark/>
          </w:tcPr>
          <w:p w14:paraId="1B68D696"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2.80</w:t>
            </w:r>
          </w:p>
        </w:tc>
        <w:tc>
          <w:tcPr>
            <w:tcW w:w="993" w:type="dxa"/>
            <w:tcBorders>
              <w:top w:val="nil"/>
              <w:left w:val="nil"/>
              <w:bottom w:val="single" w:sz="4" w:space="0" w:color="auto"/>
              <w:right w:val="single" w:sz="4" w:space="0" w:color="auto"/>
            </w:tcBorders>
            <w:shd w:val="clear" w:color="auto" w:fill="auto"/>
            <w:noWrap/>
            <w:vAlign w:val="bottom"/>
            <w:hideMark/>
          </w:tcPr>
          <w:p w14:paraId="1FFCFA95"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1.107</w:t>
            </w:r>
          </w:p>
        </w:tc>
        <w:tc>
          <w:tcPr>
            <w:tcW w:w="992" w:type="dxa"/>
            <w:tcBorders>
              <w:top w:val="nil"/>
              <w:left w:val="nil"/>
              <w:bottom w:val="single" w:sz="4" w:space="0" w:color="auto"/>
              <w:right w:val="single" w:sz="4" w:space="0" w:color="auto"/>
            </w:tcBorders>
            <w:shd w:val="clear" w:color="auto" w:fill="auto"/>
            <w:noWrap/>
            <w:vAlign w:val="bottom"/>
            <w:hideMark/>
          </w:tcPr>
          <w:p w14:paraId="4725E18C"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17.1</w:t>
            </w:r>
          </w:p>
        </w:tc>
        <w:tc>
          <w:tcPr>
            <w:tcW w:w="1134" w:type="dxa"/>
            <w:tcBorders>
              <w:top w:val="nil"/>
              <w:left w:val="nil"/>
              <w:bottom w:val="single" w:sz="4" w:space="0" w:color="auto"/>
              <w:right w:val="single" w:sz="4" w:space="0" w:color="auto"/>
            </w:tcBorders>
            <w:shd w:val="clear" w:color="000000" w:fill="D9D9D9"/>
            <w:noWrap/>
            <w:vAlign w:val="bottom"/>
            <w:hideMark/>
          </w:tcPr>
          <w:p w14:paraId="134A9346"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36.0</w:t>
            </w:r>
          </w:p>
        </w:tc>
        <w:tc>
          <w:tcPr>
            <w:tcW w:w="1292" w:type="dxa"/>
            <w:tcBorders>
              <w:top w:val="nil"/>
              <w:left w:val="nil"/>
              <w:bottom w:val="single" w:sz="4" w:space="0" w:color="auto"/>
              <w:right w:val="single" w:sz="4" w:space="0" w:color="auto"/>
            </w:tcBorders>
            <w:shd w:val="clear" w:color="auto" w:fill="auto"/>
            <w:noWrap/>
            <w:vAlign w:val="bottom"/>
            <w:hideMark/>
          </w:tcPr>
          <w:p w14:paraId="2F00AEFC"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24 (0.52)</w:t>
            </w:r>
          </w:p>
        </w:tc>
        <w:tc>
          <w:tcPr>
            <w:tcW w:w="976" w:type="dxa"/>
            <w:tcBorders>
              <w:top w:val="nil"/>
              <w:left w:val="nil"/>
              <w:bottom w:val="single" w:sz="4" w:space="0" w:color="auto"/>
              <w:right w:val="single" w:sz="4" w:space="0" w:color="auto"/>
            </w:tcBorders>
            <w:shd w:val="clear" w:color="auto" w:fill="auto"/>
            <w:noWrap/>
            <w:vAlign w:val="bottom"/>
            <w:hideMark/>
          </w:tcPr>
          <w:p w14:paraId="4845C91F"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2.88</w:t>
            </w:r>
          </w:p>
        </w:tc>
        <w:tc>
          <w:tcPr>
            <w:tcW w:w="992" w:type="dxa"/>
            <w:tcBorders>
              <w:top w:val="nil"/>
              <w:left w:val="nil"/>
              <w:bottom w:val="single" w:sz="4" w:space="0" w:color="auto"/>
              <w:right w:val="single" w:sz="4" w:space="0" w:color="auto"/>
            </w:tcBorders>
            <w:shd w:val="clear" w:color="auto" w:fill="auto"/>
            <w:noWrap/>
            <w:vAlign w:val="bottom"/>
            <w:hideMark/>
          </w:tcPr>
          <w:p w14:paraId="3841805B"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1.068</w:t>
            </w:r>
          </w:p>
        </w:tc>
        <w:tc>
          <w:tcPr>
            <w:tcW w:w="992" w:type="dxa"/>
            <w:tcBorders>
              <w:top w:val="nil"/>
              <w:left w:val="nil"/>
              <w:bottom w:val="single" w:sz="4" w:space="0" w:color="auto"/>
              <w:right w:val="single" w:sz="4" w:space="0" w:color="auto"/>
            </w:tcBorders>
            <w:shd w:val="clear" w:color="auto" w:fill="auto"/>
            <w:noWrap/>
            <w:vAlign w:val="bottom"/>
            <w:hideMark/>
          </w:tcPr>
          <w:p w14:paraId="43E5F195"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14.2</w:t>
            </w:r>
          </w:p>
        </w:tc>
        <w:tc>
          <w:tcPr>
            <w:tcW w:w="1134" w:type="dxa"/>
            <w:tcBorders>
              <w:top w:val="nil"/>
              <w:left w:val="nil"/>
              <w:bottom w:val="single" w:sz="4" w:space="0" w:color="auto"/>
              <w:right w:val="single" w:sz="4" w:space="0" w:color="auto"/>
            </w:tcBorders>
            <w:shd w:val="clear" w:color="000000" w:fill="D9D9D9"/>
            <w:noWrap/>
            <w:vAlign w:val="bottom"/>
            <w:hideMark/>
          </w:tcPr>
          <w:p w14:paraId="6771C8C1"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37.4</w:t>
            </w:r>
          </w:p>
        </w:tc>
        <w:tc>
          <w:tcPr>
            <w:tcW w:w="1452" w:type="dxa"/>
            <w:tcBorders>
              <w:top w:val="nil"/>
              <w:left w:val="nil"/>
              <w:bottom w:val="single" w:sz="4" w:space="0" w:color="auto"/>
              <w:right w:val="single" w:sz="4" w:space="0" w:color="auto"/>
            </w:tcBorders>
            <w:shd w:val="clear" w:color="auto" w:fill="auto"/>
            <w:noWrap/>
            <w:hideMark/>
          </w:tcPr>
          <w:p w14:paraId="132F75F9"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25 (0.43)</w:t>
            </w:r>
          </w:p>
        </w:tc>
      </w:tr>
      <w:tr w:rsidR="00403B07" w:rsidRPr="00734C53" w14:paraId="676311EB" w14:textId="77777777" w:rsidTr="00B01272">
        <w:trPr>
          <w:trHeight w:val="297"/>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4EB947C1"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24</w:t>
            </w:r>
          </w:p>
        </w:tc>
        <w:tc>
          <w:tcPr>
            <w:tcW w:w="1249" w:type="dxa"/>
            <w:tcBorders>
              <w:top w:val="nil"/>
              <w:left w:val="nil"/>
              <w:bottom w:val="single" w:sz="4" w:space="0" w:color="auto"/>
              <w:right w:val="single" w:sz="4" w:space="0" w:color="auto"/>
            </w:tcBorders>
            <w:shd w:val="clear" w:color="auto" w:fill="auto"/>
            <w:noWrap/>
            <w:vAlign w:val="bottom"/>
            <w:hideMark/>
          </w:tcPr>
          <w:p w14:paraId="35028710"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85</w:t>
            </w:r>
          </w:p>
        </w:tc>
        <w:tc>
          <w:tcPr>
            <w:tcW w:w="850" w:type="dxa"/>
            <w:tcBorders>
              <w:top w:val="nil"/>
              <w:left w:val="nil"/>
              <w:bottom w:val="single" w:sz="4" w:space="0" w:color="auto"/>
              <w:right w:val="single" w:sz="4" w:space="0" w:color="auto"/>
            </w:tcBorders>
            <w:shd w:val="clear" w:color="auto" w:fill="auto"/>
            <w:noWrap/>
            <w:vAlign w:val="bottom"/>
            <w:hideMark/>
          </w:tcPr>
          <w:p w14:paraId="3D044362"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3.11</w:t>
            </w:r>
          </w:p>
        </w:tc>
        <w:tc>
          <w:tcPr>
            <w:tcW w:w="993" w:type="dxa"/>
            <w:tcBorders>
              <w:top w:val="nil"/>
              <w:left w:val="nil"/>
              <w:bottom w:val="single" w:sz="4" w:space="0" w:color="auto"/>
              <w:right w:val="single" w:sz="4" w:space="0" w:color="auto"/>
            </w:tcBorders>
            <w:shd w:val="clear" w:color="auto" w:fill="auto"/>
            <w:noWrap/>
            <w:vAlign w:val="bottom"/>
            <w:hideMark/>
          </w:tcPr>
          <w:p w14:paraId="6799E6E2"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1.069</w:t>
            </w:r>
          </w:p>
        </w:tc>
        <w:tc>
          <w:tcPr>
            <w:tcW w:w="992" w:type="dxa"/>
            <w:tcBorders>
              <w:top w:val="nil"/>
              <w:left w:val="nil"/>
              <w:bottom w:val="single" w:sz="4" w:space="0" w:color="auto"/>
              <w:right w:val="single" w:sz="4" w:space="0" w:color="auto"/>
            </w:tcBorders>
            <w:shd w:val="clear" w:color="auto" w:fill="auto"/>
            <w:noWrap/>
            <w:vAlign w:val="bottom"/>
            <w:hideMark/>
          </w:tcPr>
          <w:p w14:paraId="163B559A"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12.1</w:t>
            </w:r>
          </w:p>
        </w:tc>
        <w:tc>
          <w:tcPr>
            <w:tcW w:w="1134" w:type="dxa"/>
            <w:tcBorders>
              <w:top w:val="nil"/>
              <w:left w:val="nil"/>
              <w:bottom w:val="single" w:sz="4" w:space="0" w:color="auto"/>
              <w:right w:val="single" w:sz="4" w:space="0" w:color="auto"/>
            </w:tcBorders>
            <w:shd w:val="clear" w:color="000000" w:fill="D9D9D9"/>
            <w:noWrap/>
            <w:vAlign w:val="bottom"/>
            <w:hideMark/>
          </w:tcPr>
          <w:p w14:paraId="7D4FC531"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50.8</w:t>
            </w:r>
          </w:p>
        </w:tc>
        <w:tc>
          <w:tcPr>
            <w:tcW w:w="1292" w:type="dxa"/>
            <w:tcBorders>
              <w:top w:val="nil"/>
              <w:left w:val="nil"/>
              <w:bottom w:val="single" w:sz="4" w:space="0" w:color="auto"/>
              <w:right w:val="single" w:sz="4" w:space="0" w:color="auto"/>
            </w:tcBorders>
            <w:shd w:val="clear" w:color="auto" w:fill="auto"/>
            <w:noWrap/>
            <w:vAlign w:val="bottom"/>
            <w:hideMark/>
          </w:tcPr>
          <w:p w14:paraId="784CD73E"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23 (0.52)</w:t>
            </w:r>
          </w:p>
        </w:tc>
        <w:tc>
          <w:tcPr>
            <w:tcW w:w="976" w:type="dxa"/>
            <w:tcBorders>
              <w:top w:val="nil"/>
              <w:left w:val="nil"/>
              <w:bottom w:val="single" w:sz="4" w:space="0" w:color="auto"/>
              <w:right w:val="single" w:sz="4" w:space="0" w:color="auto"/>
            </w:tcBorders>
            <w:shd w:val="clear" w:color="auto" w:fill="auto"/>
            <w:noWrap/>
            <w:vAlign w:val="bottom"/>
            <w:hideMark/>
          </w:tcPr>
          <w:p w14:paraId="36EA5BD6"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3.12</w:t>
            </w:r>
          </w:p>
        </w:tc>
        <w:tc>
          <w:tcPr>
            <w:tcW w:w="992" w:type="dxa"/>
            <w:tcBorders>
              <w:top w:val="nil"/>
              <w:left w:val="nil"/>
              <w:bottom w:val="single" w:sz="4" w:space="0" w:color="auto"/>
              <w:right w:val="single" w:sz="4" w:space="0" w:color="auto"/>
            </w:tcBorders>
            <w:shd w:val="clear" w:color="auto" w:fill="auto"/>
            <w:noWrap/>
            <w:vAlign w:val="bottom"/>
            <w:hideMark/>
          </w:tcPr>
          <w:p w14:paraId="57D1F363"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1.056</w:t>
            </w:r>
          </w:p>
        </w:tc>
        <w:tc>
          <w:tcPr>
            <w:tcW w:w="992" w:type="dxa"/>
            <w:tcBorders>
              <w:top w:val="nil"/>
              <w:left w:val="nil"/>
              <w:bottom w:val="single" w:sz="4" w:space="0" w:color="auto"/>
              <w:right w:val="single" w:sz="4" w:space="0" w:color="auto"/>
            </w:tcBorders>
            <w:shd w:val="clear" w:color="auto" w:fill="auto"/>
            <w:noWrap/>
            <w:vAlign w:val="bottom"/>
            <w:hideMark/>
          </w:tcPr>
          <w:p w14:paraId="2C730438"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11.8</w:t>
            </w:r>
          </w:p>
        </w:tc>
        <w:tc>
          <w:tcPr>
            <w:tcW w:w="1134" w:type="dxa"/>
            <w:tcBorders>
              <w:top w:val="nil"/>
              <w:left w:val="nil"/>
              <w:bottom w:val="single" w:sz="4" w:space="0" w:color="auto"/>
              <w:right w:val="single" w:sz="4" w:space="0" w:color="auto"/>
            </w:tcBorders>
            <w:shd w:val="clear" w:color="000000" w:fill="D9D9D9"/>
            <w:noWrap/>
            <w:vAlign w:val="bottom"/>
            <w:hideMark/>
          </w:tcPr>
          <w:p w14:paraId="5375975C"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50.3</w:t>
            </w:r>
          </w:p>
        </w:tc>
        <w:tc>
          <w:tcPr>
            <w:tcW w:w="1452" w:type="dxa"/>
            <w:tcBorders>
              <w:top w:val="nil"/>
              <w:left w:val="nil"/>
              <w:bottom w:val="single" w:sz="4" w:space="0" w:color="auto"/>
              <w:right w:val="single" w:sz="4" w:space="0" w:color="auto"/>
            </w:tcBorders>
            <w:shd w:val="clear" w:color="auto" w:fill="auto"/>
            <w:noWrap/>
            <w:hideMark/>
          </w:tcPr>
          <w:p w14:paraId="613C750B"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27 (0.46)</w:t>
            </w:r>
          </w:p>
        </w:tc>
      </w:tr>
      <w:tr w:rsidR="00403B07" w:rsidRPr="00734C53" w14:paraId="02B4B1FF" w14:textId="77777777" w:rsidTr="00B01272">
        <w:trPr>
          <w:trHeight w:val="297"/>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5EB345ED"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25</w:t>
            </w:r>
          </w:p>
        </w:tc>
        <w:tc>
          <w:tcPr>
            <w:tcW w:w="1249" w:type="dxa"/>
            <w:tcBorders>
              <w:top w:val="nil"/>
              <w:left w:val="nil"/>
              <w:bottom w:val="single" w:sz="4" w:space="0" w:color="auto"/>
              <w:right w:val="single" w:sz="4" w:space="0" w:color="auto"/>
            </w:tcBorders>
            <w:shd w:val="clear" w:color="auto" w:fill="auto"/>
            <w:noWrap/>
            <w:vAlign w:val="bottom"/>
            <w:hideMark/>
          </w:tcPr>
          <w:p w14:paraId="1E8E81F9"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73</w:t>
            </w:r>
          </w:p>
        </w:tc>
        <w:tc>
          <w:tcPr>
            <w:tcW w:w="850" w:type="dxa"/>
            <w:tcBorders>
              <w:top w:val="nil"/>
              <w:left w:val="nil"/>
              <w:bottom w:val="single" w:sz="4" w:space="0" w:color="auto"/>
              <w:right w:val="single" w:sz="4" w:space="0" w:color="auto"/>
            </w:tcBorders>
            <w:shd w:val="clear" w:color="auto" w:fill="auto"/>
            <w:noWrap/>
            <w:vAlign w:val="bottom"/>
            <w:hideMark/>
          </w:tcPr>
          <w:p w14:paraId="5C1CDE02"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2.84</w:t>
            </w:r>
          </w:p>
        </w:tc>
        <w:tc>
          <w:tcPr>
            <w:tcW w:w="993" w:type="dxa"/>
            <w:tcBorders>
              <w:top w:val="nil"/>
              <w:left w:val="nil"/>
              <w:bottom w:val="single" w:sz="4" w:space="0" w:color="auto"/>
              <w:right w:val="single" w:sz="4" w:space="0" w:color="auto"/>
            </w:tcBorders>
            <w:shd w:val="clear" w:color="auto" w:fill="auto"/>
            <w:noWrap/>
            <w:vAlign w:val="bottom"/>
            <w:hideMark/>
          </w:tcPr>
          <w:p w14:paraId="5A7DE78A"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1.145</w:t>
            </w:r>
          </w:p>
        </w:tc>
        <w:tc>
          <w:tcPr>
            <w:tcW w:w="992" w:type="dxa"/>
            <w:tcBorders>
              <w:top w:val="nil"/>
              <w:left w:val="nil"/>
              <w:bottom w:val="single" w:sz="4" w:space="0" w:color="auto"/>
              <w:right w:val="single" w:sz="4" w:space="0" w:color="auto"/>
            </w:tcBorders>
            <w:shd w:val="clear" w:color="auto" w:fill="auto"/>
            <w:noWrap/>
            <w:vAlign w:val="bottom"/>
            <w:hideMark/>
          </w:tcPr>
          <w:p w14:paraId="2B2879CB"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18.3</w:t>
            </w:r>
          </w:p>
        </w:tc>
        <w:tc>
          <w:tcPr>
            <w:tcW w:w="1134" w:type="dxa"/>
            <w:tcBorders>
              <w:top w:val="nil"/>
              <w:left w:val="nil"/>
              <w:bottom w:val="single" w:sz="4" w:space="0" w:color="auto"/>
              <w:right w:val="single" w:sz="4" w:space="0" w:color="auto"/>
            </w:tcBorders>
            <w:shd w:val="clear" w:color="000000" w:fill="D9D9D9"/>
            <w:noWrap/>
            <w:vAlign w:val="bottom"/>
            <w:hideMark/>
          </w:tcPr>
          <w:p w14:paraId="4AD5205C"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40.4</w:t>
            </w:r>
          </w:p>
        </w:tc>
        <w:tc>
          <w:tcPr>
            <w:tcW w:w="1292" w:type="dxa"/>
            <w:tcBorders>
              <w:top w:val="nil"/>
              <w:left w:val="nil"/>
              <w:bottom w:val="single" w:sz="4" w:space="0" w:color="auto"/>
              <w:right w:val="single" w:sz="4" w:space="0" w:color="auto"/>
            </w:tcBorders>
            <w:shd w:val="clear" w:color="auto" w:fill="auto"/>
            <w:noWrap/>
            <w:vAlign w:val="bottom"/>
            <w:hideMark/>
          </w:tcPr>
          <w:p w14:paraId="6D474B6D"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28 (0.50)</w:t>
            </w:r>
          </w:p>
        </w:tc>
        <w:tc>
          <w:tcPr>
            <w:tcW w:w="976" w:type="dxa"/>
            <w:tcBorders>
              <w:top w:val="nil"/>
              <w:left w:val="nil"/>
              <w:bottom w:val="single" w:sz="4" w:space="0" w:color="auto"/>
              <w:right w:val="single" w:sz="4" w:space="0" w:color="auto"/>
            </w:tcBorders>
            <w:shd w:val="clear" w:color="auto" w:fill="auto"/>
            <w:noWrap/>
            <w:vAlign w:val="bottom"/>
            <w:hideMark/>
          </w:tcPr>
          <w:p w14:paraId="632584EA"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2.92</w:t>
            </w:r>
          </w:p>
        </w:tc>
        <w:tc>
          <w:tcPr>
            <w:tcW w:w="992" w:type="dxa"/>
            <w:tcBorders>
              <w:top w:val="nil"/>
              <w:left w:val="nil"/>
              <w:bottom w:val="single" w:sz="4" w:space="0" w:color="auto"/>
              <w:right w:val="single" w:sz="4" w:space="0" w:color="auto"/>
            </w:tcBorders>
            <w:shd w:val="clear" w:color="auto" w:fill="auto"/>
            <w:noWrap/>
            <w:vAlign w:val="bottom"/>
            <w:hideMark/>
          </w:tcPr>
          <w:p w14:paraId="3168E9A3"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1.116</w:t>
            </w:r>
          </w:p>
        </w:tc>
        <w:tc>
          <w:tcPr>
            <w:tcW w:w="992" w:type="dxa"/>
            <w:tcBorders>
              <w:top w:val="nil"/>
              <w:left w:val="nil"/>
              <w:bottom w:val="single" w:sz="4" w:space="0" w:color="auto"/>
              <w:right w:val="single" w:sz="4" w:space="0" w:color="auto"/>
            </w:tcBorders>
            <w:shd w:val="clear" w:color="auto" w:fill="auto"/>
            <w:noWrap/>
            <w:vAlign w:val="bottom"/>
            <w:hideMark/>
          </w:tcPr>
          <w:p w14:paraId="20D7E9E2"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16.3</w:t>
            </w:r>
          </w:p>
        </w:tc>
        <w:tc>
          <w:tcPr>
            <w:tcW w:w="1134" w:type="dxa"/>
            <w:tcBorders>
              <w:top w:val="nil"/>
              <w:left w:val="nil"/>
              <w:bottom w:val="single" w:sz="4" w:space="0" w:color="auto"/>
              <w:right w:val="single" w:sz="4" w:space="0" w:color="auto"/>
            </w:tcBorders>
            <w:shd w:val="clear" w:color="000000" w:fill="D9D9D9"/>
            <w:noWrap/>
            <w:vAlign w:val="bottom"/>
            <w:hideMark/>
          </w:tcPr>
          <w:p w14:paraId="16344A83"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42.2</w:t>
            </w:r>
          </w:p>
        </w:tc>
        <w:tc>
          <w:tcPr>
            <w:tcW w:w="1452" w:type="dxa"/>
            <w:tcBorders>
              <w:top w:val="nil"/>
              <w:left w:val="nil"/>
              <w:bottom w:val="single" w:sz="4" w:space="0" w:color="auto"/>
              <w:right w:val="single" w:sz="4" w:space="0" w:color="auto"/>
            </w:tcBorders>
            <w:shd w:val="clear" w:color="auto" w:fill="auto"/>
            <w:noWrap/>
            <w:hideMark/>
          </w:tcPr>
          <w:p w14:paraId="6F1B3B09"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28 (0.52)</w:t>
            </w:r>
          </w:p>
        </w:tc>
      </w:tr>
      <w:tr w:rsidR="00403B07" w:rsidRPr="00734C53" w14:paraId="23FA1287" w14:textId="77777777" w:rsidTr="00B01272">
        <w:trPr>
          <w:trHeight w:val="297"/>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691D4280"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26</w:t>
            </w:r>
          </w:p>
        </w:tc>
        <w:tc>
          <w:tcPr>
            <w:tcW w:w="1249" w:type="dxa"/>
            <w:tcBorders>
              <w:top w:val="nil"/>
              <w:left w:val="nil"/>
              <w:bottom w:val="single" w:sz="4" w:space="0" w:color="auto"/>
              <w:right w:val="single" w:sz="4" w:space="0" w:color="auto"/>
            </w:tcBorders>
            <w:shd w:val="clear" w:color="auto" w:fill="auto"/>
            <w:noWrap/>
            <w:vAlign w:val="bottom"/>
            <w:hideMark/>
          </w:tcPr>
          <w:p w14:paraId="228D118E"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93.5</w:t>
            </w:r>
          </w:p>
        </w:tc>
        <w:tc>
          <w:tcPr>
            <w:tcW w:w="850" w:type="dxa"/>
            <w:tcBorders>
              <w:top w:val="nil"/>
              <w:left w:val="nil"/>
              <w:bottom w:val="single" w:sz="4" w:space="0" w:color="auto"/>
              <w:right w:val="single" w:sz="4" w:space="0" w:color="auto"/>
            </w:tcBorders>
            <w:shd w:val="clear" w:color="auto" w:fill="auto"/>
            <w:noWrap/>
            <w:vAlign w:val="bottom"/>
            <w:hideMark/>
          </w:tcPr>
          <w:p w14:paraId="18E73208"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3.03</w:t>
            </w:r>
          </w:p>
        </w:tc>
        <w:tc>
          <w:tcPr>
            <w:tcW w:w="993" w:type="dxa"/>
            <w:tcBorders>
              <w:top w:val="nil"/>
              <w:left w:val="nil"/>
              <w:bottom w:val="single" w:sz="4" w:space="0" w:color="auto"/>
              <w:right w:val="single" w:sz="4" w:space="0" w:color="auto"/>
            </w:tcBorders>
            <w:shd w:val="clear" w:color="auto" w:fill="auto"/>
            <w:noWrap/>
            <w:vAlign w:val="bottom"/>
            <w:hideMark/>
          </w:tcPr>
          <w:p w14:paraId="78770E48"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0.959</w:t>
            </w:r>
          </w:p>
        </w:tc>
        <w:tc>
          <w:tcPr>
            <w:tcW w:w="992" w:type="dxa"/>
            <w:tcBorders>
              <w:top w:val="nil"/>
              <w:left w:val="nil"/>
              <w:bottom w:val="single" w:sz="4" w:space="0" w:color="auto"/>
              <w:right w:val="single" w:sz="4" w:space="0" w:color="auto"/>
            </w:tcBorders>
            <w:shd w:val="clear" w:color="auto" w:fill="auto"/>
            <w:noWrap/>
            <w:vAlign w:val="bottom"/>
            <w:hideMark/>
          </w:tcPr>
          <w:p w14:paraId="0A6BD4E6"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8.4</w:t>
            </w:r>
          </w:p>
        </w:tc>
        <w:tc>
          <w:tcPr>
            <w:tcW w:w="1134" w:type="dxa"/>
            <w:tcBorders>
              <w:top w:val="nil"/>
              <w:left w:val="nil"/>
              <w:bottom w:val="single" w:sz="4" w:space="0" w:color="auto"/>
              <w:right w:val="single" w:sz="4" w:space="0" w:color="auto"/>
            </w:tcBorders>
            <w:shd w:val="clear" w:color="000000" w:fill="D9D9D9"/>
            <w:noWrap/>
            <w:vAlign w:val="bottom"/>
            <w:hideMark/>
          </w:tcPr>
          <w:p w14:paraId="65D32F07"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39.0</w:t>
            </w:r>
          </w:p>
        </w:tc>
        <w:tc>
          <w:tcPr>
            <w:tcW w:w="1292" w:type="dxa"/>
            <w:tcBorders>
              <w:top w:val="nil"/>
              <w:left w:val="nil"/>
              <w:bottom w:val="single" w:sz="4" w:space="0" w:color="auto"/>
              <w:right w:val="single" w:sz="4" w:space="0" w:color="auto"/>
            </w:tcBorders>
            <w:shd w:val="clear" w:color="auto" w:fill="auto"/>
            <w:noWrap/>
            <w:hideMark/>
          </w:tcPr>
          <w:p w14:paraId="71C01793"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27 (0.60)</w:t>
            </w:r>
          </w:p>
        </w:tc>
        <w:tc>
          <w:tcPr>
            <w:tcW w:w="976" w:type="dxa"/>
            <w:tcBorders>
              <w:top w:val="nil"/>
              <w:left w:val="nil"/>
              <w:bottom w:val="single" w:sz="4" w:space="0" w:color="auto"/>
              <w:right w:val="single" w:sz="4" w:space="0" w:color="auto"/>
            </w:tcBorders>
            <w:shd w:val="clear" w:color="auto" w:fill="auto"/>
            <w:noWrap/>
            <w:vAlign w:val="bottom"/>
            <w:hideMark/>
          </w:tcPr>
          <w:p w14:paraId="71556227"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3.08</w:t>
            </w:r>
          </w:p>
        </w:tc>
        <w:tc>
          <w:tcPr>
            <w:tcW w:w="992" w:type="dxa"/>
            <w:tcBorders>
              <w:top w:val="nil"/>
              <w:left w:val="nil"/>
              <w:bottom w:val="single" w:sz="4" w:space="0" w:color="auto"/>
              <w:right w:val="single" w:sz="4" w:space="0" w:color="auto"/>
            </w:tcBorders>
            <w:shd w:val="clear" w:color="auto" w:fill="auto"/>
            <w:noWrap/>
            <w:vAlign w:val="bottom"/>
            <w:hideMark/>
          </w:tcPr>
          <w:p w14:paraId="73A366D4"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0.923</w:t>
            </w:r>
          </w:p>
        </w:tc>
        <w:tc>
          <w:tcPr>
            <w:tcW w:w="992" w:type="dxa"/>
            <w:tcBorders>
              <w:top w:val="nil"/>
              <w:left w:val="nil"/>
              <w:bottom w:val="single" w:sz="4" w:space="0" w:color="auto"/>
              <w:right w:val="single" w:sz="4" w:space="0" w:color="auto"/>
            </w:tcBorders>
            <w:shd w:val="clear" w:color="auto" w:fill="auto"/>
            <w:noWrap/>
            <w:vAlign w:val="bottom"/>
            <w:hideMark/>
          </w:tcPr>
          <w:p w14:paraId="5EACCC2C"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7.3</w:t>
            </w:r>
          </w:p>
        </w:tc>
        <w:tc>
          <w:tcPr>
            <w:tcW w:w="1134" w:type="dxa"/>
            <w:tcBorders>
              <w:top w:val="nil"/>
              <w:left w:val="nil"/>
              <w:bottom w:val="single" w:sz="4" w:space="0" w:color="auto"/>
              <w:right w:val="single" w:sz="4" w:space="0" w:color="auto"/>
            </w:tcBorders>
            <w:shd w:val="clear" w:color="000000" w:fill="D9D9D9"/>
            <w:noWrap/>
            <w:vAlign w:val="bottom"/>
            <w:hideMark/>
          </w:tcPr>
          <w:p w14:paraId="2621A940"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39.3</w:t>
            </w:r>
          </w:p>
        </w:tc>
        <w:tc>
          <w:tcPr>
            <w:tcW w:w="1452" w:type="dxa"/>
            <w:tcBorders>
              <w:top w:val="nil"/>
              <w:left w:val="nil"/>
              <w:bottom w:val="single" w:sz="4" w:space="0" w:color="auto"/>
              <w:right w:val="single" w:sz="4" w:space="0" w:color="auto"/>
            </w:tcBorders>
            <w:shd w:val="clear" w:color="auto" w:fill="auto"/>
            <w:noWrap/>
            <w:hideMark/>
          </w:tcPr>
          <w:p w14:paraId="7466B9FD"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28 (0.53)</w:t>
            </w:r>
          </w:p>
        </w:tc>
      </w:tr>
      <w:tr w:rsidR="00403B07" w:rsidRPr="00734C53" w14:paraId="2B040557" w14:textId="77777777" w:rsidTr="00B01272">
        <w:trPr>
          <w:trHeight w:val="297"/>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4BA58302"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27</w:t>
            </w:r>
          </w:p>
        </w:tc>
        <w:tc>
          <w:tcPr>
            <w:tcW w:w="1249" w:type="dxa"/>
            <w:tcBorders>
              <w:top w:val="nil"/>
              <w:left w:val="nil"/>
              <w:bottom w:val="single" w:sz="4" w:space="0" w:color="auto"/>
              <w:right w:val="single" w:sz="4" w:space="0" w:color="auto"/>
            </w:tcBorders>
            <w:shd w:val="clear" w:color="auto" w:fill="auto"/>
            <w:noWrap/>
            <w:vAlign w:val="bottom"/>
            <w:hideMark/>
          </w:tcPr>
          <w:p w14:paraId="279FC5E2"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89.9</w:t>
            </w:r>
          </w:p>
        </w:tc>
        <w:tc>
          <w:tcPr>
            <w:tcW w:w="850" w:type="dxa"/>
            <w:tcBorders>
              <w:top w:val="nil"/>
              <w:left w:val="nil"/>
              <w:bottom w:val="single" w:sz="4" w:space="0" w:color="auto"/>
              <w:right w:val="single" w:sz="4" w:space="0" w:color="auto"/>
            </w:tcBorders>
            <w:shd w:val="clear" w:color="auto" w:fill="auto"/>
            <w:noWrap/>
            <w:vAlign w:val="bottom"/>
            <w:hideMark/>
          </w:tcPr>
          <w:p w14:paraId="377746FE"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2.74</w:t>
            </w:r>
          </w:p>
        </w:tc>
        <w:tc>
          <w:tcPr>
            <w:tcW w:w="993" w:type="dxa"/>
            <w:tcBorders>
              <w:top w:val="nil"/>
              <w:left w:val="nil"/>
              <w:bottom w:val="single" w:sz="4" w:space="0" w:color="auto"/>
              <w:right w:val="single" w:sz="4" w:space="0" w:color="auto"/>
            </w:tcBorders>
            <w:shd w:val="clear" w:color="auto" w:fill="auto"/>
            <w:noWrap/>
            <w:vAlign w:val="bottom"/>
            <w:hideMark/>
          </w:tcPr>
          <w:p w14:paraId="75EB5A95"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1.060</w:t>
            </w:r>
          </w:p>
        </w:tc>
        <w:tc>
          <w:tcPr>
            <w:tcW w:w="992" w:type="dxa"/>
            <w:tcBorders>
              <w:top w:val="nil"/>
              <w:left w:val="nil"/>
              <w:bottom w:val="single" w:sz="4" w:space="0" w:color="auto"/>
              <w:right w:val="single" w:sz="4" w:space="0" w:color="auto"/>
            </w:tcBorders>
            <w:shd w:val="clear" w:color="auto" w:fill="auto"/>
            <w:noWrap/>
            <w:vAlign w:val="bottom"/>
            <w:hideMark/>
          </w:tcPr>
          <w:p w14:paraId="60FEFDF0"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16.5</w:t>
            </w:r>
          </w:p>
        </w:tc>
        <w:tc>
          <w:tcPr>
            <w:tcW w:w="1134" w:type="dxa"/>
            <w:tcBorders>
              <w:top w:val="nil"/>
              <w:left w:val="nil"/>
              <w:bottom w:val="single" w:sz="4" w:space="0" w:color="auto"/>
              <w:right w:val="single" w:sz="4" w:space="0" w:color="auto"/>
            </w:tcBorders>
            <w:shd w:val="clear" w:color="auto" w:fill="auto"/>
            <w:noWrap/>
            <w:vAlign w:val="bottom"/>
            <w:hideMark/>
          </w:tcPr>
          <w:p w14:paraId="3160CB1D"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29.9</w:t>
            </w:r>
          </w:p>
        </w:tc>
        <w:tc>
          <w:tcPr>
            <w:tcW w:w="1292" w:type="dxa"/>
            <w:tcBorders>
              <w:top w:val="nil"/>
              <w:left w:val="nil"/>
              <w:bottom w:val="single" w:sz="4" w:space="0" w:color="auto"/>
              <w:right w:val="single" w:sz="4" w:space="0" w:color="auto"/>
            </w:tcBorders>
            <w:shd w:val="clear" w:color="auto" w:fill="auto"/>
            <w:noWrap/>
            <w:hideMark/>
          </w:tcPr>
          <w:p w14:paraId="695CD2BA"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26 (0.60)</w:t>
            </w:r>
          </w:p>
        </w:tc>
        <w:tc>
          <w:tcPr>
            <w:tcW w:w="976" w:type="dxa"/>
            <w:tcBorders>
              <w:top w:val="nil"/>
              <w:left w:val="nil"/>
              <w:bottom w:val="single" w:sz="4" w:space="0" w:color="auto"/>
              <w:right w:val="single" w:sz="4" w:space="0" w:color="auto"/>
            </w:tcBorders>
            <w:shd w:val="clear" w:color="auto" w:fill="auto"/>
            <w:noWrap/>
            <w:vAlign w:val="bottom"/>
            <w:hideMark/>
          </w:tcPr>
          <w:p w14:paraId="290D1671"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2.73</w:t>
            </w:r>
          </w:p>
        </w:tc>
        <w:tc>
          <w:tcPr>
            <w:tcW w:w="992" w:type="dxa"/>
            <w:tcBorders>
              <w:top w:val="nil"/>
              <w:left w:val="nil"/>
              <w:bottom w:val="single" w:sz="4" w:space="0" w:color="auto"/>
              <w:right w:val="single" w:sz="4" w:space="0" w:color="auto"/>
            </w:tcBorders>
            <w:shd w:val="clear" w:color="auto" w:fill="auto"/>
            <w:noWrap/>
            <w:vAlign w:val="bottom"/>
            <w:hideMark/>
          </w:tcPr>
          <w:p w14:paraId="7622C3F7"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1.026</w:t>
            </w:r>
          </w:p>
        </w:tc>
        <w:tc>
          <w:tcPr>
            <w:tcW w:w="992" w:type="dxa"/>
            <w:tcBorders>
              <w:top w:val="nil"/>
              <w:left w:val="nil"/>
              <w:bottom w:val="single" w:sz="4" w:space="0" w:color="auto"/>
              <w:right w:val="single" w:sz="4" w:space="0" w:color="auto"/>
            </w:tcBorders>
            <w:shd w:val="clear" w:color="auto" w:fill="auto"/>
            <w:noWrap/>
            <w:vAlign w:val="bottom"/>
            <w:hideMark/>
          </w:tcPr>
          <w:p w14:paraId="2EC4CF8C"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14.2</w:t>
            </w:r>
          </w:p>
        </w:tc>
        <w:tc>
          <w:tcPr>
            <w:tcW w:w="1134" w:type="dxa"/>
            <w:tcBorders>
              <w:top w:val="nil"/>
              <w:left w:val="nil"/>
              <w:bottom w:val="single" w:sz="4" w:space="0" w:color="auto"/>
              <w:right w:val="single" w:sz="4" w:space="0" w:color="auto"/>
            </w:tcBorders>
            <w:shd w:val="clear" w:color="auto" w:fill="auto"/>
            <w:noWrap/>
            <w:vAlign w:val="bottom"/>
            <w:hideMark/>
          </w:tcPr>
          <w:p w14:paraId="4F5AE83A"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28.6</w:t>
            </w:r>
          </w:p>
        </w:tc>
        <w:tc>
          <w:tcPr>
            <w:tcW w:w="1452" w:type="dxa"/>
            <w:tcBorders>
              <w:top w:val="nil"/>
              <w:left w:val="nil"/>
              <w:bottom w:val="single" w:sz="4" w:space="0" w:color="auto"/>
              <w:right w:val="single" w:sz="4" w:space="0" w:color="auto"/>
            </w:tcBorders>
            <w:shd w:val="clear" w:color="auto" w:fill="auto"/>
            <w:noWrap/>
            <w:hideMark/>
          </w:tcPr>
          <w:p w14:paraId="6D8BE603"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26 (0.50)</w:t>
            </w:r>
          </w:p>
        </w:tc>
      </w:tr>
    </w:tbl>
    <w:p w14:paraId="544DA502" w14:textId="77777777" w:rsidR="00403B07" w:rsidRDefault="00403B07" w:rsidP="00403B07">
      <w:pPr>
        <w:rPr>
          <w:rFonts w:ascii="Times New Roman" w:eastAsia="Times New Roman" w:hAnsi="Times New Roman" w:cs="Times New Roman"/>
          <w:sz w:val="20"/>
          <w:szCs w:val="20"/>
        </w:rPr>
        <w:sectPr w:rsidR="00403B07" w:rsidSect="00B01272">
          <w:pgSz w:w="16838" w:h="11906" w:orient="landscape"/>
          <w:pgMar w:top="1440" w:right="1440" w:bottom="1440" w:left="1440" w:header="709" w:footer="709" w:gutter="0"/>
          <w:cols w:space="708"/>
          <w:docGrid w:linePitch="360"/>
        </w:sectPr>
      </w:pPr>
    </w:p>
    <w:tbl>
      <w:tblPr>
        <w:tblW w:w="12900" w:type="dxa"/>
        <w:tblLook w:val="04A0" w:firstRow="1" w:lastRow="0" w:firstColumn="1" w:lastColumn="0" w:noHBand="0" w:noVBand="1"/>
      </w:tblPr>
      <w:tblGrid>
        <w:gridCol w:w="844"/>
        <w:gridCol w:w="110"/>
        <w:gridCol w:w="1139"/>
        <w:gridCol w:w="216"/>
        <w:gridCol w:w="924"/>
        <w:gridCol w:w="28"/>
        <w:gridCol w:w="970"/>
        <w:gridCol w:w="155"/>
        <w:gridCol w:w="692"/>
        <w:gridCol w:w="359"/>
        <w:gridCol w:w="538"/>
        <w:gridCol w:w="394"/>
        <w:gridCol w:w="898"/>
        <w:gridCol w:w="394"/>
        <w:gridCol w:w="561"/>
        <w:gridCol w:w="425"/>
        <w:gridCol w:w="567"/>
        <w:gridCol w:w="376"/>
        <w:gridCol w:w="758"/>
        <w:gridCol w:w="284"/>
        <w:gridCol w:w="976"/>
        <w:gridCol w:w="1292"/>
      </w:tblGrid>
      <w:tr w:rsidR="00403B07" w:rsidRPr="00734C53" w14:paraId="4F01E3D1" w14:textId="77777777" w:rsidTr="00B01272">
        <w:trPr>
          <w:trHeight w:val="319"/>
        </w:trPr>
        <w:tc>
          <w:tcPr>
            <w:tcW w:w="2093" w:type="dxa"/>
            <w:gridSpan w:val="3"/>
            <w:vMerge w:val="restart"/>
            <w:tcBorders>
              <w:bottom w:val="single" w:sz="4" w:space="0" w:color="auto"/>
              <w:right w:val="single" w:sz="4" w:space="0" w:color="auto"/>
            </w:tcBorders>
            <w:shd w:val="clear" w:color="auto" w:fill="auto"/>
            <w:noWrap/>
            <w:vAlign w:val="bottom"/>
          </w:tcPr>
          <w:p w14:paraId="41C025BA" w14:textId="77777777" w:rsidR="00403B07" w:rsidRDefault="00403B07" w:rsidP="00B01272">
            <w:pPr>
              <w:spacing w:after="0" w:line="240" w:lineRule="auto"/>
              <w:rPr>
                <w:rFonts w:ascii="Times New Roman" w:eastAsia="Times New Roman" w:hAnsi="Times New Roman" w:cs="Times New Roman"/>
                <w:sz w:val="20"/>
                <w:szCs w:val="20"/>
              </w:rPr>
            </w:pPr>
          </w:p>
          <w:p w14:paraId="03742EE9" w14:textId="77777777" w:rsidR="00403B07" w:rsidRDefault="00403B07" w:rsidP="00B01272">
            <w:pPr>
              <w:spacing w:after="0" w:line="240" w:lineRule="auto"/>
              <w:jc w:val="center"/>
              <w:rPr>
                <w:rFonts w:ascii="Times New Roman" w:eastAsia="Times New Roman" w:hAnsi="Times New Roman" w:cs="Times New Roman"/>
                <w:sz w:val="20"/>
                <w:szCs w:val="20"/>
              </w:rPr>
            </w:pPr>
          </w:p>
          <w:p w14:paraId="1B38480F" w14:textId="77777777" w:rsidR="00403B07" w:rsidRPr="00734C53" w:rsidRDefault="00403B07" w:rsidP="00B01272">
            <w:pPr>
              <w:spacing w:after="0" w:line="240" w:lineRule="auto"/>
              <w:jc w:val="center"/>
              <w:rPr>
                <w:rFonts w:ascii="Times New Roman" w:eastAsia="Times New Roman" w:hAnsi="Times New Roman" w:cs="Times New Roman"/>
                <w:sz w:val="20"/>
                <w:szCs w:val="20"/>
              </w:rPr>
            </w:pPr>
          </w:p>
        </w:tc>
        <w:tc>
          <w:tcPr>
            <w:tcW w:w="10807" w:type="dxa"/>
            <w:gridSpan w:val="19"/>
            <w:tcBorders>
              <w:top w:val="single" w:sz="4" w:space="0" w:color="auto"/>
              <w:left w:val="nil"/>
              <w:bottom w:val="single" w:sz="4" w:space="0" w:color="auto"/>
              <w:right w:val="single" w:sz="4" w:space="0" w:color="auto"/>
            </w:tcBorders>
            <w:shd w:val="clear" w:color="auto" w:fill="auto"/>
            <w:noWrap/>
            <w:vAlign w:val="center"/>
          </w:tcPr>
          <w:p w14:paraId="59312FC1" w14:textId="77777777" w:rsidR="00403B07" w:rsidRPr="008E65E8" w:rsidRDefault="00403B07" w:rsidP="00B01272">
            <w:pPr>
              <w:spacing w:after="0" w:line="240" w:lineRule="auto"/>
              <w:jc w:val="center"/>
              <w:rPr>
                <w:rFonts w:ascii="Calibri" w:eastAsia="Times New Roman" w:hAnsi="Calibri" w:cs="Times New Roman"/>
                <w:color w:val="000000"/>
              </w:rPr>
            </w:pPr>
            <w:r w:rsidRPr="008E65E8">
              <w:rPr>
                <w:rFonts w:ascii="Calibri" w:eastAsia="Times New Roman" w:hAnsi="Calibri" w:cs="Times New Roman"/>
                <w:b/>
                <w:bCs/>
                <w:color w:val="000000"/>
              </w:rPr>
              <w:t>Baseline MLQ items</w:t>
            </w:r>
          </w:p>
        </w:tc>
      </w:tr>
      <w:tr w:rsidR="00403B07" w:rsidRPr="00734C53" w14:paraId="18BA9668" w14:textId="77777777" w:rsidTr="00B01272">
        <w:trPr>
          <w:trHeight w:val="310"/>
        </w:trPr>
        <w:tc>
          <w:tcPr>
            <w:tcW w:w="2093" w:type="dxa"/>
            <w:gridSpan w:val="3"/>
            <w:vMerge/>
            <w:tcBorders>
              <w:bottom w:val="single" w:sz="4" w:space="0" w:color="auto"/>
              <w:right w:val="single" w:sz="4" w:space="0" w:color="auto"/>
            </w:tcBorders>
            <w:shd w:val="clear" w:color="auto" w:fill="auto"/>
            <w:noWrap/>
            <w:vAlign w:val="bottom"/>
          </w:tcPr>
          <w:p w14:paraId="168DA790" w14:textId="77777777" w:rsidR="00403B07" w:rsidRPr="00734C53" w:rsidRDefault="00403B07" w:rsidP="00B01272">
            <w:pPr>
              <w:spacing w:after="0" w:line="240" w:lineRule="auto"/>
              <w:jc w:val="center"/>
              <w:rPr>
                <w:rFonts w:ascii="Calibri" w:eastAsia="Times New Roman" w:hAnsi="Calibri" w:cs="Times New Roman"/>
                <w:b/>
                <w:bCs/>
                <w:color w:val="000000"/>
                <w:sz w:val="24"/>
                <w:szCs w:val="24"/>
              </w:rPr>
            </w:pPr>
          </w:p>
        </w:tc>
        <w:tc>
          <w:tcPr>
            <w:tcW w:w="5568" w:type="dxa"/>
            <w:gridSpan w:val="11"/>
            <w:tcBorders>
              <w:top w:val="nil"/>
              <w:left w:val="nil"/>
              <w:bottom w:val="single" w:sz="4" w:space="0" w:color="auto"/>
              <w:right w:val="single" w:sz="4" w:space="0" w:color="auto"/>
            </w:tcBorders>
            <w:shd w:val="clear" w:color="auto" w:fill="auto"/>
            <w:noWrap/>
            <w:vAlign w:val="bottom"/>
          </w:tcPr>
          <w:p w14:paraId="53620299" w14:textId="77777777" w:rsidR="00403B07" w:rsidRPr="008E65E8" w:rsidRDefault="00403B07" w:rsidP="00B01272">
            <w:pPr>
              <w:spacing w:after="0" w:line="240" w:lineRule="auto"/>
              <w:jc w:val="center"/>
              <w:rPr>
                <w:rFonts w:ascii="Calibri" w:eastAsia="Times New Roman" w:hAnsi="Calibri" w:cs="Times New Roman"/>
                <w:color w:val="000000"/>
                <w:shd w:val="clear" w:color="auto" w:fill="D9D9D9"/>
              </w:rPr>
            </w:pPr>
            <w:r w:rsidRPr="008E65E8">
              <w:rPr>
                <w:rFonts w:ascii="Calibri" w:eastAsia="Times New Roman" w:hAnsi="Calibri" w:cs="Times New Roman"/>
                <w:b/>
                <w:bCs/>
                <w:color w:val="000000"/>
              </w:rPr>
              <w:t>data set A</w:t>
            </w:r>
          </w:p>
        </w:tc>
        <w:tc>
          <w:tcPr>
            <w:tcW w:w="5239" w:type="dxa"/>
            <w:gridSpan w:val="8"/>
            <w:tcBorders>
              <w:top w:val="nil"/>
              <w:left w:val="nil"/>
              <w:bottom w:val="single" w:sz="4" w:space="0" w:color="auto"/>
              <w:right w:val="single" w:sz="4" w:space="0" w:color="auto"/>
            </w:tcBorders>
            <w:shd w:val="clear" w:color="auto" w:fill="auto"/>
            <w:noWrap/>
            <w:vAlign w:val="bottom"/>
          </w:tcPr>
          <w:p w14:paraId="720A85C4" w14:textId="77777777" w:rsidR="00403B07" w:rsidRPr="008E65E8" w:rsidRDefault="00403B07" w:rsidP="00B01272">
            <w:pPr>
              <w:spacing w:after="0" w:line="240" w:lineRule="auto"/>
              <w:jc w:val="center"/>
              <w:rPr>
                <w:rFonts w:ascii="Calibri" w:eastAsia="Times New Roman" w:hAnsi="Calibri" w:cs="Times New Roman"/>
                <w:color w:val="000000"/>
              </w:rPr>
            </w:pPr>
            <w:r w:rsidRPr="008E65E8">
              <w:rPr>
                <w:rFonts w:ascii="Calibri" w:eastAsia="Times New Roman" w:hAnsi="Calibri" w:cs="Times New Roman"/>
                <w:b/>
                <w:bCs/>
                <w:color w:val="000000"/>
              </w:rPr>
              <w:t>data set B</w:t>
            </w:r>
          </w:p>
        </w:tc>
      </w:tr>
      <w:tr w:rsidR="00403B07" w:rsidRPr="00734C53" w14:paraId="5FC79A12" w14:textId="77777777" w:rsidTr="00B01272">
        <w:trPr>
          <w:trHeight w:val="1134"/>
        </w:trPr>
        <w:tc>
          <w:tcPr>
            <w:tcW w:w="844" w:type="dxa"/>
            <w:tcBorders>
              <w:top w:val="nil"/>
              <w:left w:val="single" w:sz="4" w:space="0" w:color="auto"/>
              <w:bottom w:val="single" w:sz="4" w:space="0" w:color="auto"/>
              <w:right w:val="single" w:sz="4" w:space="0" w:color="auto"/>
            </w:tcBorders>
            <w:shd w:val="clear" w:color="auto" w:fill="auto"/>
            <w:noWrap/>
            <w:vAlign w:val="bottom"/>
          </w:tcPr>
          <w:p w14:paraId="4928E454" w14:textId="77777777" w:rsidR="00403B07" w:rsidRPr="00734C53" w:rsidRDefault="00403B07" w:rsidP="00B01272">
            <w:pPr>
              <w:spacing w:after="0" w:line="240" w:lineRule="auto"/>
              <w:rPr>
                <w:rFonts w:ascii="Calibri" w:eastAsia="Times New Roman" w:hAnsi="Calibri" w:cs="Times New Roman"/>
                <w:b/>
                <w:bCs/>
                <w:color w:val="000000"/>
              </w:rPr>
            </w:pPr>
            <w:r w:rsidRPr="00734C53">
              <w:rPr>
                <w:rFonts w:ascii="Calibri" w:eastAsia="Times New Roman" w:hAnsi="Calibri" w:cs="Times New Roman"/>
                <w:b/>
                <w:bCs/>
                <w:color w:val="000000"/>
              </w:rPr>
              <w:t xml:space="preserve"> MLQ item</w:t>
            </w:r>
          </w:p>
        </w:tc>
        <w:tc>
          <w:tcPr>
            <w:tcW w:w="1249" w:type="dxa"/>
            <w:gridSpan w:val="2"/>
            <w:tcBorders>
              <w:top w:val="nil"/>
              <w:left w:val="nil"/>
              <w:bottom w:val="single" w:sz="4" w:space="0" w:color="auto"/>
              <w:right w:val="single" w:sz="4" w:space="0" w:color="auto"/>
            </w:tcBorders>
            <w:shd w:val="clear" w:color="auto" w:fill="auto"/>
            <w:noWrap/>
            <w:vAlign w:val="bottom"/>
          </w:tcPr>
          <w:p w14:paraId="40CC4E78" w14:textId="77777777" w:rsidR="00403B07" w:rsidRPr="00734C53" w:rsidRDefault="00403B07" w:rsidP="00B01272">
            <w:pPr>
              <w:spacing w:after="0" w:line="240" w:lineRule="auto"/>
              <w:jc w:val="center"/>
              <w:rPr>
                <w:rFonts w:ascii="Calibri" w:eastAsia="Times New Roman" w:hAnsi="Calibri" w:cs="Times New Roman"/>
                <w:b/>
                <w:bCs/>
                <w:color w:val="000000"/>
              </w:rPr>
            </w:pPr>
            <w:r w:rsidRPr="00734C53">
              <w:rPr>
                <w:rFonts w:ascii="Calibri" w:eastAsia="Times New Roman" w:hAnsi="Calibri" w:cs="Times New Roman"/>
                <w:b/>
                <w:bCs/>
                <w:color w:val="000000"/>
              </w:rPr>
              <w:t xml:space="preserve">Flesch-Kincaid reading ease </w:t>
            </w:r>
            <w:r>
              <w:rPr>
                <w:rFonts w:ascii="Calibri" w:eastAsia="Times New Roman" w:hAnsi="Calibri" w:cs="Times New Roman"/>
                <w:b/>
                <w:bCs/>
                <w:color w:val="000000"/>
              </w:rPr>
              <w:t>(</w:t>
            </w:r>
            <w:r w:rsidRPr="00734C53">
              <w:rPr>
                <w:rFonts w:ascii="Calibri" w:eastAsia="Times New Roman" w:hAnsi="Calibri" w:cs="Times New Roman"/>
                <w:b/>
                <w:bCs/>
                <w:color w:val="000000"/>
              </w:rPr>
              <w:t>&gt;60</w:t>
            </w:r>
            <w:r>
              <w:rPr>
                <w:rFonts w:ascii="Calibri" w:eastAsia="Times New Roman" w:hAnsi="Calibri" w:cs="Times New Roman"/>
                <w:b/>
                <w:bCs/>
                <w:color w:val="000000"/>
              </w:rPr>
              <w:t>)</w:t>
            </w:r>
          </w:p>
        </w:tc>
        <w:tc>
          <w:tcPr>
            <w:tcW w:w="1140" w:type="dxa"/>
            <w:gridSpan w:val="2"/>
            <w:tcBorders>
              <w:top w:val="nil"/>
              <w:left w:val="nil"/>
              <w:bottom w:val="single" w:sz="4" w:space="0" w:color="auto"/>
              <w:right w:val="single" w:sz="4" w:space="0" w:color="auto"/>
            </w:tcBorders>
            <w:shd w:val="clear" w:color="auto" w:fill="auto"/>
            <w:noWrap/>
            <w:vAlign w:val="bottom"/>
          </w:tcPr>
          <w:p w14:paraId="78EB3745" w14:textId="77777777" w:rsidR="00403B07" w:rsidRPr="00734C53" w:rsidRDefault="00403B07" w:rsidP="00B01272">
            <w:pPr>
              <w:spacing w:after="0" w:line="240" w:lineRule="auto"/>
              <w:jc w:val="center"/>
              <w:rPr>
                <w:rFonts w:ascii="Calibri" w:eastAsia="Times New Roman" w:hAnsi="Calibri" w:cs="Times New Roman"/>
                <w:b/>
                <w:bCs/>
                <w:color w:val="000000"/>
              </w:rPr>
            </w:pPr>
            <w:r w:rsidRPr="00734C53">
              <w:rPr>
                <w:rFonts w:ascii="Calibri" w:eastAsia="Times New Roman" w:hAnsi="Calibri" w:cs="Times New Roman"/>
                <w:b/>
                <w:bCs/>
                <w:color w:val="000000"/>
              </w:rPr>
              <w:t>Mean  (&gt;1.5 or &lt;3.5)</w:t>
            </w:r>
          </w:p>
        </w:tc>
        <w:tc>
          <w:tcPr>
            <w:tcW w:w="1153" w:type="dxa"/>
            <w:gridSpan w:val="3"/>
            <w:tcBorders>
              <w:top w:val="nil"/>
              <w:left w:val="nil"/>
              <w:bottom w:val="single" w:sz="4" w:space="0" w:color="auto"/>
              <w:right w:val="single" w:sz="4" w:space="0" w:color="auto"/>
            </w:tcBorders>
            <w:shd w:val="clear" w:color="auto" w:fill="auto"/>
            <w:noWrap/>
            <w:vAlign w:val="bottom"/>
          </w:tcPr>
          <w:p w14:paraId="72B43E8F" w14:textId="77777777" w:rsidR="00403B07" w:rsidRPr="00734C53" w:rsidRDefault="00403B07" w:rsidP="00B01272">
            <w:pPr>
              <w:spacing w:after="0" w:line="240" w:lineRule="auto"/>
              <w:jc w:val="center"/>
              <w:rPr>
                <w:rFonts w:ascii="Calibri" w:eastAsia="Times New Roman" w:hAnsi="Calibri" w:cs="Times New Roman"/>
                <w:b/>
                <w:bCs/>
                <w:color w:val="000000"/>
              </w:rPr>
            </w:pPr>
            <w:r w:rsidRPr="00734C53">
              <w:rPr>
                <w:rFonts w:ascii="Calibri" w:eastAsia="Times New Roman" w:hAnsi="Calibri" w:cs="Times New Roman"/>
                <w:b/>
                <w:bCs/>
                <w:color w:val="000000"/>
              </w:rPr>
              <w:t>SD (&gt;0.8 or &lt;1.8)</w:t>
            </w:r>
          </w:p>
        </w:tc>
        <w:tc>
          <w:tcPr>
            <w:tcW w:w="1051" w:type="dxa"/>
            <w:gridSpan w:val="2"/>
            <w:tcBorders>
              <w:top w:val="nil"/>
              <w:left w:val="nil"/>
              <w:bottom w:val="single" w:sz="4" w:space="0" w:color="auto"/>
              <w:right w:val="single" w:sz="4" w:space="0" w:color="auto"/>
            </w:tcBorders>
            <w:shd w:val="clear" w:color="auto" w:fill="auto"/>
            <w:noWrap/>
            <w:vAlign w:val="bottom"/>
          </w:tcPr>
          <w:p w14:paraId="07D0F4C1" w14:textId="77777777" w:rsidR="00403B07" w:rsidRPr="00734C53" w:rsidRDefault="00403B07" w:rsidP="00B01272">
            <w:pPr>
              <w:spacing w:after="0" w:line="240" w:lineRule="auto"/>
              <w:jc w:val="center"/>
              <w:rPr>
                <w:rFonts w:ascii="Calibri" w:eastAsia="Times New Roman" w:hAnsi="Calibri" w:cs="Times New Roman"/>
                <w:b/>
                <w:bCs/>
                <w:color w:val="000000"/>
              </w:rPr>
            </w:pPr>
            <w:r w:rsidRPr="00734C53">
              <w:rPr>
                <w:rFonts w:ascii="Calibri" w:eastAsia="Times New Roman" w:hAnsi="Calibri" w:cs="Times New Roman"/>
                <w:b/>
                <w:bCs/>
                <w:color w:val="000000"/>
              </w:rPr>
              <w:t>Floor % (&lt;30%)</w:t>
            </w:r>
          </w:p>
        </w:tc>
        <w:tc>
          <w:tcPr>
            <w:tcW w:w="932" w:type="dxa"/>
            <w:gridSpan w:val="2"/>
            <w:tcBorders>
              <w:top w:val="nil"/>
              <w:left w:val="nil"/>
              <w:bottom w:val="single" w:sz="4" w:space="0" w:color="auto"/>
              <w:right w:val="single" w:sz="4" w:space="0" w:color="auto"/>
            </w:tcBorders>
            <w:shd w:val="clear" w:color="auto" w:fill="auto"/>
            <w:noWrap/>
            <w:vAlign w:val="bottom"/>
          </w:tcPr>
          <w:p w14:paraId="764A4CE1" w14:textId="77777777" w:rsidR="00403B07" w:rsidRPr="00734C53" w:rsidRDefault="00403B07" w:rsidP="00B01272">
            <w:pPr>
              <w:spacing w:after="0" w:line="240" w:lineRule="auto"/>
              <w:jc w:val="center"/>
              <w:rPr>
                <w:rFonts w:ascii="Calibri" w:eastAsia="Times New Roman" w:hAnsi="Calibri" w:cs="Times New Roman"/>
                <w:b/>
                <w:bCs/>
                <w:color w:val="000000"/>
              </w:rPr>
            </w:pPr>
            <w:r w:rsidRPr="00734C53">
              <w:rPr>
                <w:rFonts w:ascii="Calibri" w:eastAsia="Times New Roman" w:hAnsi="Calibri" w:cs="Times New Roman"/>
                <w:b/>
                <w:bCs/>
                <w:color w:val="000000"/>
              </w:rPr>
              <w:t>Ceiling % (&lt;30%)</w:t>
            </w:r>
          </w:p>
        </w:tc>
        <w:tc>
          <w:tcPr>
            <w:tcW w:w="1292" w:type="dxa"/>
            <w:gridSpan w:val="2"/>
            <w:tcBorders>
              <w:top w:val="nil"/>
              <w:left w:val="nil"/>
              <w:bottom w:val="single" w:sz="4" w:space="0" w:color="auto"/>
              <w:right w:val="single" w:sz="4" w:space="0" w:color="auto"/>
            </w:tcBorders>
            <w:shd w:val="clear" w:color="auto" w:fill="auto"/>
            <w:noWrap/>
            <w:vAlign w:val="bottom"/>
          </w:tcPr>
          <w:p w14:paraId="1B74397E" w14:textId="77777777" w:rsidR="00403B07" w:rsidRPr="00734C53" w:rsidRDefault="00403B07" w:rsidP="00B01272">
            <w:pPr>
              <w:spacing w:after="0" w:line="240" w:lineRule="auto"/>
              <w:jc w:val="center"/>
              <w:rPr>
                <w:rFonts w:ascii="Calibri" w:eastAsia="Times New Roman" w:hAnsi="Calibri" w:cs="Times New Roman"/>
                <w:b/>
                <w:bCs/>
                <w:color w:val="000000"/>
              </w:rPr>
            </w:pPr>
            <w:r w:rsidRPr="00734C53">
              <w:rPr>
                <w:rFonts w:ascii="Calibri" w:eastAsia="Times New Roman" w:hAnsi="Calibri" w:cs="Times New Roman"/>
                <w:b/>
                <w:bCs/>
                <w:color w:val="000000"/>
              </w:rPr>
              <w:t xml:space="preserve">Highest pair item (correlation coefficient)  </w:t>
            </w:r>
          </w:p>
        </w:tc>
        <w:tc>
          <w:tcPr>
            <w:tcW w:w="986" w:type="dxa"/>
            <w:gridSpan w:val="2"/>
            <w:tcBorders>
              <w:top w:val="nil"/>
              <w:left w:val="nil"/>
              <w:bottom w:val="single" w:sz="4" w:space="0" w:color="auto"/>
              <w:right w:val="single" w:sz="4" w:space="0" w:color="auto"/>
            </w:tcBorders>
            <w:shd w:val="clear" w:color="auto" w:fill="auto"/>
            <w:noWrap/>
            <w:vAlign w:val="bottom"/>
          </w:tcPr>
          <w:p w14:paraId="54CE6406" w14:textId="77777777" w:rsidR="00403B07" w:rsidRPr="00734C53" w:rsidRDefault="00403B07" w:rsidP="00B01272">
            <w:pPr>
              <w:spacing w:after="0" w:line="240" w:lineRule="auto"/>
              <w:jc w:val="center"/>
              <w:rPr>
                <w:rFonts w:ascii="Calibri" w:eastAsia="Times New Roman" w:hAnsi="Calibri" w:cs="Times New Roman"/>
                <w:b/>
                <w:bCs/>
                <w:color w:val="000000"/>
              </w:rPr>
            </w:pPr>
            <w:r w:rsidRPr="00734C53">
              <w:rPr>
                <w:rFonts w:ascii="Calibri" w:eastAsia="Times New Roman" w:hAnsi="Calibri" w:cs="Times New Roman"/>
                <w:b/>
                <w:bCs/>
                <w:color w:val="000000"/>
              </w:rPr>
              <w:t>Mean  (&gt;1.5 or &lt;3.5)</w:t>
            </w:r>
          </w:p>
        </w:tc>
        <w:tc>
          <w:tcPr>
            <w:tcW w:w="943" w:type="dxa"/>
            <w:gridSpan w:val="2"/>
            <w:tcBorders>
              <w:top w:val="nil"/>
              <w:left w:val="nil"/>
              <w:bottom w:val="single" w:sz="4" w:space="0" w:color="auto"/>
              <w:right w:val="single" w:sz="4" w:space="0" w:color="auto"/>
            </w:tcBorders>
            <w:shd w:val="clear" w:color="auto" w:fill="auto"/>
            <w:noWrap/>
            <w:vAlign w:val="bottom"/>
          </w:tcPr>
          <w:p w14:paraId="0CE01E70" w14:textId="77777777" w:rsidR="00403B07" w:rsidRPr="00734C53" w:rsidRDefault="00403B07" w:rsidP="00B01272">
            <w:pPr>
              <w:spacing w:after="0" w:line="240" w:lineRule="auto"/>
              <w:jc w:val="center"/>
              <w:rPr>
                <w:rFonts w:ascii="Calibri" w:eastAsia="Times New Roman" w:hAnsi="Calibri" w:cs="Times New Roman"/>
                <w:b/>
                <w:bCs/>
                <w:color w:val="000000"/>
              </w:rPr>
            </w:pPr>
            <w:r w:rsidRPr="00734C53">
              <w:rPr>
                <w:rFonts w:ascii="Calibri" w:eastAsia="Times New Roman" w:hAnsi="Calibri" w:cs="Times New Roman"/>
                <w:b/>
                <w:bCs/>
                <w:color w:val="000000"/>
              </w:rPr>
              <w:t>SD (&gt;0.8 or &lt;1.8)</w:t>
            </w:r>
          </w:p>
        </w:tc>
        <w:tc>
          <w:tcPr>
            <w:tcW w:w="1042" w:type="dxa"/>
            <w:gridSpan w:val="2"/>
            <w:tcBorders>
              <w:top w:val="nil"/>
              <w:left w:val="nil"/>
              <w:bottom w:val="single" w:sz="4" w:space="0" w:color="auto"/>
              <w:right w:val="single" w:sz="4" w:space="0" w:color="auto"/>
            </w:tcBorders>
            <w:shd w:val="clear" w:color="auto" w:fill="auto"/>
            <w:noWrap/>
            <w:vAlign w:val="bottom"/>
          </w:tcPr>
          <w:p w14:paraId="0CFC6384" w14:textId="77777777" w:rsidR="00403B07" w:rsidRPr="00734C53" w:rsidRDefault="00403B07" w:rsidP="00B01272">
            <w:pPr>
              <w:spacing w:after="0" w:line="240" w:lineRule="auto"/>
              <w:jc w:val="center"/>
              <w:rPr>
                <w:rFonts w:ascii="Calibri" w:eastAsia="Times New Roman" w:hAnsi="Calibri" w:cs="Times New Roman"/>
                <w:b/>
                <w:bCs/>
                <w:color w:val="000000"/>
              </w:rPr>
            </w:pPr>
            <w:r w:rsidRPr="00734C53">
              <w:rPr>
                <w:rFonts w:ascii="Calibri" w:eastAsia="Times New Roman" w:hAnsi="Calibri" w:cs="Times New Roman"/>
                <w:b/>
                <w:bCs/>
                <w:color w:val="000000"/>
              </w:rPr>
              <w:t>Floor % (&lt;30%)</w:t>
            </w:r>
          </w:p>
        </w:tc>
        <w:tc>
          <w:tcPr>
            <w:tcW w:w="976" w:type="dxa"/>
            <w:tcBorders>
              <w:top w:val="nil"/>
              <w:left w:val="nil"/>
              <w:bottom w:val="single" w:sz="4" w:space="0" w:color="auto"/>
              <w:right w:val="single" w:sz="4" w:space="0" w:color="auto"/>
            </w:tcBorders>
            <w:shd w:val="clear" w:color="auto" w:fill="auto"/>
            <w:noWrap/>
            <w:vAlign w:val="bottom"/>
          </w:tcPr>
          <w:p w14:paraId="4982749A" w14:textId="77777777" w:rsidR="00403B07" w:rsidRPr="00734C53" w:rsidRDefault="00403B07" w:rsidP="00B01272">
            <w:pPr>
              <w:spacing w:after="0" w:line="240" w:lineRule="auto"/>
              <w:jc w:val="center"/>
              <w:rPr>
                <w:rFonts w:ascii="Calibri" w:eastAsia="Times New Roman" w:hAnsi="Calibri" w:cs="Times New Roman"/>
                <w:b/>
                <w:bCs/>
                <w:color w:val="000000"/>
              </w:rPr>
            </w:pPr>
            <w:r w:rsidRPr="00734C53">
              <w:rPr>
                <w:rFonts w:ascii="Calibri" w:eastAsia="Times New Roman" w:hAnsi="Calibri" w:cs="Times New Roman"/>
                <w:b/>
                <w:bCs/>
                <w:color w:val="000000"/>
              </w:rPr>
              <w:t>Ceiling % (&lt;30%)</w:t>
            </w:r>
          </w:p>
        </w:tc>
        <w:tc>
          <w:tcPr>
            <w:tcW w:w="1292" w:type="dxa"/>
            <w:tcBorders>
              <w:top w:val="nil"/>
              <w:left w:val="nil"/>
              <w:bottom w:val="single" w:sz="4" w:space="0" w:color="auto"/>
              <w:right w:val="single" w:sz="4" w:space="0" w:color="auto"/>
            </w:tcBorders>
            <w:shd w:val="clear" w:color="auto" w:fill="auto"/>
            <w:noWrap/>
            <w:vAlign w:val="bottom"/>
          </w:tcPr>
          <w:p w14:paraId="2CC013E2" w14:textId="77777777" w:rsidR="00403B07" w:rsidRPr="00734C53" w:rsidRDefault="00403B07" w:rsidP="00B01272">
            <w:pPr>
              <w:spacing w:after="0" w:line="240" w:lineRule="auto"/>
              <w:jc w:val="center"/>
              <w:rPr>
                <w:rFonts w:ascii="Calibri" w:eastAsia="Times New Roman" w:hAnsi="Calibri" w:cs="Times New Roman"/>
                <w:b/>
                <w:bCs/>
                <w:color w:val="000000"/>
              </w:rPr>
            </w:pPr>
            <w:r w:rsidRPr="00734C53">
              <w:rPr>
                <w:rFonts w:ascii="Calibri" w:eastAsia="Times New Roman" w:hAnsi="Calibri" w:cs="Times New Roman"/>
                <w:b/>
                <w:bCs/>
                <w:color w:val="000000"/>
              </w:rPr>
              <w:t xml:space="preserve">Highest pair item (correlation coefficient)  </w:t>
            </w:r>
          </w:p>
        </w:tc>
      </w:tr>
      <w:tr w:rsidR="00403B07" w:rsidRPr="00734C53" w14:paraId="3D0DA6BC" w14:textId="77777777" w:rsidTr="00B01272">
        <w:trPr>
          <w:trHeight w:val="297"/>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076E7DA2"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28</w:t>
            </w:r>
          </w:p>
        </w:tc>
        <w:tc>
          <w:tcPr>
            <w:tcW w:w="1249" w:type="dxa"/>
            <w:gridSpan w:val="2"/>
            <w:tcBorders>
              <w:top w:val="nil"/>
              <w:left w:val="nil"/>
              <w:bottom w:val="single" w:sz="4" w:space="0" w:color="auto"/>
              <w:right w:val="single" w:sz="4" w:space="0" w:color="auto"/>
            </w:tcBorders>
            <w:shd w:val="clear" w:color="auto" w:fill="auto"/>
            <w:noWrap/>
            <w:vAlign w:val="bottom"/>
            <w:hideMark/>
          </w:tcPr>
          <w:p w14:paraId="34D66234"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80.8</w:t>
            </w:r>
          </w:p>
        </w:tc>
        <w:tc>
          <w:tcPr>
            <w:tcW w:w="1140" w:type="dxa"/>
            <w:gridSpan w:val="2"/>
            <w:tcBorders>
              <w:top w:val="nil"/>
              <w:left w:val="nil"/>
              <w:bottom w:val="single" w:sz="4" w:space="0" w:color="auto"/>
              <w:right w:val="single" w:sz="4" w:space="0" w:color="auto"/>
            </w:tcBorders>
            <w:shd w:val="clear" w:color="auto" w:fill="auto"/>
            <w:noWrap/>
            <w:vAlign w:val="bottom"/>
            <w:hideMark/>
          </w:tcPr>
          <w:p w14:paraId="1F824121"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2.92</w:t>
            </w:r>
          </w:p>
        </w:tc>
        <w:tc>
          <w:tcPr>
            <w:tcW w:w="1153" w:type="dxa"/>
            <w:gridSpan w:val="3"/>
            <w:tcBorders>
              <w:top w:val="nil"/>
              <w:left w:val="nil"/>
              <w:bottom w:val="single" w:sz="4" w:space="0" w:color="auto"/>
              <w:right w:val="single" w:sz="4" w:space="0" w:color="auto"/>
            </w:tcBorders>
            <w:shd w:val="clear" w:color="auto" w:fill="auto"/>
            <w:noWrap/>
            <w:vAlign w:val="bottom"/>
            <w:hideMark/>
          </w:tcPr>
          <w:p w14:paraId="63095977"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1.131</w:t>
            </w:r>
          </w:p>
        </w:tc>
        <w:tc>
          <w:tcPr>
            <w:tcW w:w="1051" w:type="dxa"/>
            <w:gridSpan w:val="2"/>
            <w:tcBorders>
              <w:top w:val="nil"/>
              <w:left w:val="nil"/>
              <w:bottom w:val="single" w:sz="4" w:space="0" w:color="auto"/>
              <w:right w:val="single" w:sz="4" w:space="0" w:color="auto"/>
            </w:tcBorders>
            <w:shd w:val="clear" w:color="auto" w:fill="auto"/>
            <w:noWrap/>
            <w:vAlign w:val="bottom"/>
            <w:hideMark/>
          </w:tcPr>
          <w:p w14:paraId="78BA1932"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17.3</w:t>
            </w:r>
          </w:p>
        </w:tc>
        <w:tc>
          <w:tcPr>
            <w:tcW w:w="932" w:type="dxa"/>
            <w:gridSpan w:val="2"/>
            <w:tcBorders>
              <w:top w:val="nil"/>
              <w:left w:val="nil"/>
              <w:bottom w:val="single" w:sz="4" w:space="0" w:color="auto"/>
              <w:right w:val="single" w:sz="4" w:space="0" w:color="auto"/>
            </w:tcBorders>
            <w:shd w:val="clear" w:color="000000" w:fill="D9D9D9"/>
            <w:noWrap/>
            <w:vAlign w:val="bottom"/>
            <w:hideMark/>
          </w:tcPr>
          <w:p w14:paraId="166593BE"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42.9</w:t>
            </w:r>
          </w:p>
        </w:tc>
        <w:tc>
          <w:tcPr>
            <w:tcW w:w="1292" w:type="dxa"/>
            <w:gridSpan w:val="2"/>
            <w:tcBorders>
              <w:top w:val="nil"/>
              <w:left w:val="nil"/>
              <w:bottom w:val="single" w:sz="4" w:space="0" w:color="auto"/>
              <w:right w:val="single" w:sz="4" w:space="0" w:color="auto"/>
            </w:tcBorders>
            <w:shd w:val="clear" w:color="auto" w:fill="auto"/>
            <w:noWrap/>
            <w:vAlign w:val="bottom"/>
            <w:hideMark/>
          </w:tcPr>
          <w:p w14:paraId="51E1AE2C"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27 (0.51)</w:t>
            </w:r>
          </w:p>
        </w:tc>
        <w:tc>
          <w:tcPr>
            <w:tcW w:w="986" w:type="dxa"/>
            <w:gridSpan w:val="2"/>
            <w:tcBorders>
              <w:top w:val="nil"/>
              <w:left w:val="nil"/>
              <w:bottom w:val="single" w:sz="4" w:space="0" w:color="auto"/>
              <w:right w:val="single" w:sz="4" w:space="0" w:color="auto"/>
            </w:tcBorders>
            <w:shd w:val="clear" w:color="auto" w:fill="auto"/>
            <w:noWrap/>
            <w:vAlign w:val="bottom"/>
            <w:hideMark/>
          </w:tcPr>
          <w:p w14:paraId="59E3B921"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2.91</w:t>
            </w:r>
          </w:p>
        </w:tc>
        <w:tc>
          <w:tcPr>
            <w:tcW w:w="943" w:type="dxa"/>
            <w:gridSpan w:val="2"/>
            <w:tcBorders>
              <w:top w:val="nil"/>
              <w:left w:val="nil"/>
              <w:bottom w:val="single" w:sz="4" w:space="0" w:color="auto"/>
              <w:right w:val="single" w:sz="4" w:space="0" w:color="auto"/>
            </w:tcBorders>
            <w:shd w:val="clear" w:color="auto" w:fill="auto"/>
            <w:noWrap/>
            <w:vAlign w:val="bottom"/>
            <w:hideMark/>
          </w:tcPr>
          <w:p w14:paraId="10421D74"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1.107</w:t>
            </w:r>
          </w:p>
        </w:tc>
        <w:tc>
          <w:tcPr>
            <w:tcW w:w="1042" w:type="dxa"/>
            <w:gridSpan w:val="2"/>
            <w:tcBorders>
              <w:top w:val="nil"/>
              <w:left w:val="nil"/>
              <w:bottom w:val="single" w:sz="4" w:space="0" w:color="auto"/>
              <w:right w:val="single" w:sz="4" w:space="0" w:color="auto"/>
            </w:tcBorders>
            <w:shd w:val="clear" w:color="auto" w:fill="auto"/>
            <w:noWrap/>
            <w:vAlign w:val="bottom"/>
            <w:hideMark/>
          </w:tcPr>
          <w:p w14:paraId="5370A549"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16.2</w:t>
            </w:r>
          </w:p>
        </w:tc>
        <w:tc>
          <w:tcPr>
            <w:tcW w:w="976" w:type="dxa"/>
            <w:tcBorders>
              <w:top w:val="nil"/>
              <w:left w:val="nil"/>
              <w:bottom w:val="single" w:sz="4" w:space="0" w:color="auto"/>
              <w:right w:val="single" w:sz="4" w:space="0" w:color="auto"/>
            </w:tcBorders>
            <w:shd w:val="clear" w:color="000000" w:fill="D9D9D9"/>
            <w:noWrap/>
            <w:vAlign w:val="bottom"/>
            <w:hideMark/>
          </w:tcPr>
          <w:p w14:paraId="2381B990"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41.0</w:t>
            </w:r>
          </w:p>
        </w:tc>
        <w:tc>
          <w:tcPr>
            <w:tcW w:w="1292" w:type="dxa"/>
            <w:tcBorders>
              <w:top w:val="nil"/>
              <w:left w:val="nil"/>
              <w:bottom w:val="single" w:sz="4" w:space="0" w:color="auto"/>
              <w:right w:val="single" w:sz="4" w:space="0" w:color="auto"/>
            </w:tcBorders>
            <w:shd w:val="clear" w:color="auto" w:fill="auto"/>
            <w:noWrap/>
            <w:hideMark/>
          </w:tcPr>
          <w:p w14:paraId="42B88D33"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26 (0.53)</w:t>
            </w:r>
          </w:p>
        </w:tc>
      </w:tr>
      <w:tr w:rsidR="00403B07" w:rsidRPr="00734C53" w14:paraId="3C5976CF" w14:textId="77777777" w:rsidTr="00B01272">
        <w:trPr>
          <w:trHeight w:val="297"/>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4FC23F88"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29</w:t>
            </w:r>
          </w:p>
        </w:tc>
        <w:tc>
          <w:tcPr>
            <w:tcW w:w="1249" w:type="dxa"/>
            <w:gridSpan w:val="2"/>
            <w:tcBorders>
              <w:top w:val="nil"/>
              <w:left w:val="nil"/>
              <w:bottom w:val="single" w:sz="4" w:space="0" w:color="auto"/>
              <w:right w:val="single" w:sz="4" w:space="0" w:color="auto"/>
            </w:tcBorders>
            <w:shd w:val="clear" w:color="auto" w:fill="auto"/>
            <w:noWrap/>
            <w:vAlign w:val="bottom"/>
            <w:hideMark/>
          </w:tcPr>
          <w:p w14:paraId="6A0C17F3"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72.8</w:t>
            </w:r>
          </w:p>
        </w:tc>
        <w:tc>
          <w:tcPr>
            <w:tcW w:w="1140" w:type="dxa"/>
            <w:gridSpan w:val="2"/>
            <w:tcBorders>
              <w:top w:val="nil"/>
              <w:left w:val="nil"/>
              <w:bottom w:val="single" w:sz="4" w:space="0" w:color="auto"/>
              <w:right w:val="single" w:sz="4" w:space="0" w:color="auto"/>
            </w:tcBorders>
            <w:shd w:val="clear" w:color="auto" w:fill="auto"/>
            <w:noWrap/>
            <w:vAlign w:val="bottom"/>
            <w:hideMark/>
          </w:tcPr>
          <w:p w14:paraId="6CFFB36B"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3.27</w:t>
            </w:r>
          </w:p>
        </w:tc>
        <w:tc>
          <w:tcPr>
            <w:tcW w:w="1153" w:type="dxa"/>
            <w:gridSpan w:val="3"/>
            <w:tcBorders>
              <w:top w:val="nil"/>
              <w:left w:val="nil"/>
              <w:bottom w:val="single" w:sz="4" w:space="0" w:color="auto"/>
              <w:right w:val="single" w:sz="4" w:space="0" w:color="auto"/>
            </w:tcBorders>
            <w:shd w:val="clear" w:color="000000" w:fill="FFFFFF"/>
            <w:noWrap/>
            <w:vAlign w:val="bottom"/>
            <w:hideMark/>
          </w:tcPr>
          <w:p w14:paraId="28931086"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0.815</w:t>
            </w:r>
          </w:p>
        </w:tc>
        <w:tc>
          <w:tcPr>
            <w:tcW w:w="1051" w:type="dxa"/>
            <w:gridSpan w:val="2"/>
            <w:tcBorders>
              <w:top w:val="nil"/>
              <w:left w:val="nil"/>
              <w:bottom w:val="single" w:sz="4" w:space="0" w:color="auto"/>
              <w:right w:val="single" w:sz="4" w:space="0" w:color="auto"/>
            </w:tcBorders>
            <w:shd w:val="clear" w:color="auto" w:fill="auto"/>
            <w:noWrap/>
            <w:vAlign w:val="bottom"/>
            <w:hideMark/>
          </w:tcPr>
          <w:p w14:paraId="2CEDB9E0"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4.0</w:t>
            </w:r>
          </w:p>
        </w:tc>
        <w:tc>
          <w:tcPr>
            <w:tcW w:w="932" w:type="dxa"/>
            <w:gridSpan w:val="2"/>
            <w:tcBorders>
              <w:top w:val="nil"/>
              <w:left w:val="nil"/>
              <w:bottom w:val="single" w:sz="4" w:space="0" w:color="auto"/>
              <w:right w:val="single" w:sz="4" w:space="0" w:color="auto"/>
            </w:tcBorders>
            <w:shd w:val="clear" w:color="000000" w:fill="D9D9D9"/>
            <w:noWrap/>
            <w:vAlign w:val="bottom"/>
            <w:hideMark/>
          </w:tcPr>
          <w:p w14:paraId="37008E02"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46.4</w:t>
            </w:r>
          </w:p>
        </w:tc>
        <w:tc>
          <w:tcPr>
            <w:tcW w:w="1292" w:type="dxa"/>
            <w:gridSpan w:val="2"/>
            <w:tcBorders>
              <w:top w:val="nil"/>
              <w:left w:val="nil"/>
              <w:bottom w:val="single" w:sz="4" w:space="0" w:color="auto"/>
              <w:right w:val="single" w:sz="4" w:space="0" w:color="auto"/>
            </w:tcBorders>
            <w:shd w:val="clear" w:color="auto" w:fill="auto"/>
            <w:noWrap/>
            <w:vAlign w:val="bottom"/>
            <w:hideMark/>
          </w:tcPr>
          <w:p w14:paraId="2B54AF15"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50 (0.34)</w:t>
            </w:r>
          </w:p>
        </w:tc>
        <w:tc>
          <w:tcPr>
            <w:tcW w:w="986" w:type="dxa"/>
            <w:gridSpan w:val="2"/>
            <w:tcBorders>
              <w:top w:val="nil"/>
              <w:left w:val="nil"/>
              <w:bottom w:val="single" w:sz="4" w:space="0" w:color="auto"/>
              <w:right w:val="single" w:sz="4" w:space="0" w:color="auto"/>
            </w:tcBorders>
            <w:shd w:val="clear" w:color="auto" w:fill="auto"/>
            <w:noWrap/>
            <w:vAlign w:val="bottom"/>
            <w:hideMark/>
          </w:tcPr>
          <w:p w14:paraId="6ACD6FA0"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3.28</w:t>
            </w:r>
          </w:p>
        </w:tc>
        <w:tc>
          <w:tcPr>
            <w:tcW w:w="943" w:type="dxa"/>
            <w:gridSpan w:val="2"/>
            <w:tcBorders>
              <w:top w:val="nil"/>
              <w:left w:val="nil"/>
              <w:bottom w:val="single" w:sz="4" w:space="0" w:color="auto"/>
              <w:right w:val="single" w:sz="4" w:space="0" w:color="auto"/>
            </w:tcBorders>
            <w:shd w:val="clear" w:color="auto" w:fill="auto"/>
            <w:noWrap/>
            <w:vAlign w:val="bottom"/>
            <w:hideMark/>
          </w:tcPr>
          <w:p w14:paraId="66403366"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0.840</w:t>
            </w:r>
          </w:p>
        </w:tc>
        <w:tc>
          <w:tcPr>
            <w:tcW w:w="1042" w:type="dxa"/>
            <w:gridSpan w:val="2"/>
            <w:tcBorders>
              <w:top w:val="nil"/>
              <w:left w:val="nil"/>
              <w:bottom w:val="single" w:sz="4" w:space="0" w:color="auto"/>
              <w:right w:val="single" w:sz="4" w:space="0" w:color="auto"/>
            </w:tcBorders>
            <w:shd w:val="clear" w:color="auto" w:fill="auto"/>
            <w:noWrap/>
            <w:vAlign w:val="bottom"/>
            <w:hideMark/>
          </w:tcPr>
          <w:p w14:paraId="4800CE02"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4.8</w:t>
            </w:r>
          </w:p>
        </w:tc>
        <w:tc>
          <w:tcPr>
            <w:tcW w:w="976" w:type="dxa"/>
            <w:tcBorders>
              <w:top w:val="nil"/>
              <w:left w:val="nil"/>
              <w:bottom w:val="single" w:sz="4" w:space="0" w:color="auto"/>
              <w:right w:val="single" w:sz="4" w:space="0" w:color="auto"/>
            </w:tcBorders>
            <w:shd w:val="clear" w:color="000000" w:fill="D9D9D9"/>
            <w:noWrap/>
            <w:vAlign w:val="bottom"/>
            <w:hideMark/>
          </w:tcPr>
          <w:p w14:paraId="61EC0987"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48.1</w:t>
            </w:r>
          </w:p>
        </w:tc>
        <w:tc>
          <w:tcPr>
            <w:tcW w:w="1292" w:type="dxa"/>
            <w:tcBorders>
              <w:top w:val="nil"/>
              <w:left w:val="nil"/>
              <w:bottom w:val="single" w:sz="4" w:space="0" w:color="auto"/>
              <w:right w:val="single" w:sz="4" w:space="0" w:color="auto"/>
            </w:tcBorders>
            <w:shd w:val="clear" w:color="auto" w:fill="auto"/>
            <w:noWrap/>
            <w:hideMark/>
          </w:tcPr>
          <w:p w14:paraId="373661FA"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50 (0.32)</w:t>
            </w:r>
          </w:p>
        </w:tc>
      </w:tr>
      <w:tr w:rsidR="00403B07" w:rsidRPr="00734C53" w14:paraId="04923E97" w14:textId="77777777" w:rsidTr="00B01272">
        <w:trPr>
          <w:trHeight w:val="297"/>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4F2FA583"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30</w:t>
            </w:r>
          </w:p>
        </w:tc>
        <w:tc>
          <w:tcPr>
            <w:tcW w:w="1249" w:type="dxa"/>
            <w:gridSpan w:val="2"/>
            <w:tcBorders>
              <w:top w:val="nil"/>
              <w:left w:val="nil"/>
              <w:bottom w:val="single" w:sz="4" w:space="0" w:color="auto"/>
              <w:right w:val="single" w:sz="4" w:space="0" w:color="auto"/>
            </w:tcBorders>
            <w:shd w:val="clear" w:color="auto" w:fill="auto"/>
            <w:noWrap/>
            <w:vAlign w:val="bottom"/>
            <w:hideMark/>
          </w:tcPr>
          <w:p w14:paraId="71ED62E9"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64.9</w:t>
            </w:r>
          </w:p>
        </w:tc>
        <w:tc>
          <w:tcPr>
            <w:tcW w:w="1140" w:type="dxa"/>
            <w:gridSpan w:val="2"/>
            <w:tcBorders>
              <w:top w:val="nil"/>
              <w:left w:val="nil"/>
              <w:bottom w:val="single" w:sz="4" w:space="0" w:color="auto"/>
              <w:right w:val="single" w:sz="4" w:space="0" w:color="auto"/>
            </w:tcBorders>
            <w:shd w:val="clear" w:color="auto" w:fill="auto"/>
            <w:noWrap/>
            <w:vAlign w:val="bottom"/>
            <w:hideMark/>
          </w:tcPr>
          <w:p w14:paraId="3AF87A0F"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3.20</w:t>
            </w:r>
          </w:p>
        </w:tc>
        <w:tc>
          <w:tcPr>
            <w:tcW w:w="1153" w:type="dxa"/>
            <w:gridSpan w:val="3"/>
            <w:tcBorders>
              <w:top w:val="nil"/>
              <w:left w:val="nil"/>
              <w:bottom w:val="single" w:sz="4" w:space="0" w:color="auto"/>
              <w:right w:val="single" w:sz="4" w:space="0" w:color="auto"/>
            </w:tcBorders>
            <w:shd w:val="clear" w:color="auto" w:fill="auto"/>
            <w:noWrap/>
            <w:vAlign w:val="bottom"/>
            <w:hideMark/>
          </w:tcPr>
          <w:p w14:paraId="696F5D33"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0.936</w:t>
            </w:r>
          </w:p>
        </w:tc>
        <w:tc>
          <w:tcPr>
            <w:tcW w:w="1051" w:type="dxa"/>
            <w:gridSpan w:val="2"/>
            <w:tcBorders>
              <w:top w:val="nil"/>
              <w:left w:val="nil"/>
              <w:bottom w:val="single" w:sz="4" w:space="0" w:color="auto"/>
              <w:right w:val="single" w:sz="4" w:space="0" w:color="auto"/>
            </w:tcBorders>
            <w:shd w:val="clear" w:color="auto" w:fill="auto"/>
            <w:noWrap/>
            <w:vAlign w:val="bottom"/>
            <w:hideMark/>
          </w:tcPr>
          <w:p w14:paraId="70575FDE"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7.6</w:t>
            </w:r>
          </w:p>
        </w:tc>
        <w:tc>
          <w:tcPr>
            <w:tcW w:w="932" w:type="dxa"/>
            <w:gridSpan w:val="2"/>
            <w:tcBorders>
              <w:top w:val="nil"/>
              <w:left w:val="nil"/>
              <w:bottom w:val="single" w:sz="4" w:space="0" w:color="auto"/>
              <w:right w:val="single" w:sz="4" w:space="0" w:color="auto"/>
            </w:tcBorders>
            <w:shd w:val="clear" w:color="000000" w:fill="D9D9D9"/>
            <w:noWrap/>
            <w:vAlign w:val="bottom"/>
            <w:hideMark/>
          </w:tcPr>
          <w:p w14:paraId="6305A887"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47.9</w:t>
            </w:r>
          </w:p>
        </w:tc>
        <w:tc>
          <w:tcPr>
            <w:tcW w:w="1292" w:type="dxa"/>
            <w:gridSpan w:val="2"/>
            <w:tcBorders>
              <w:top w:val="nil"/>
              <w:left w:val="nil"/>
              <w:bottom w:val="single" w:sz="4" w:space="0" w:color="auto"/>
              <w:right w:val="single" w:sz="4" w:space="0" w:color="auto"/>
            </w:tcBorders>
            <w:shd w:val="clear" w:color="auto" w:fill="auto"/>
            <w:noWrap/>
            <w:vAlign w:val="bottom"/>
            <w:hideMark/>
          </w:tcPr>
          <w:p w14:paraId="6B1F3DFF"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27 (0.48)</w:t>
            </w:r>
          </w:p>
        </w:tc>
        <w:tc>
          <w:tcPr>
            <w:tcW w:w="986" w:type="dxa"/>
            <w:gridSpan w:val="2"/>
            <w:tcBorders>
              <w:top w:val="nil"/>
              <w:left w:val="nil"/>
              <w:bottom w:val="single" w:sz="4" w:space="0" w:color="auto"/>
              <w:right w:val="single" w:sz="4" w:space="0" w:color="auto"/>
            </w:tcBorders>
            <w:shd w:val="clear" w:color="auto" w:fill="auto"/>
            <w:noWrap/>
            <w:vAlign w:val="bottom"/>
            <w:hideMark/>
          </w:tcPr>
          <w:p w14:paraId="289A629D"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3.20</w:t>
            </w:r>
          </w:p>
        </w:tc>
        <w:tc>
          <w:tcPr>
            <w:tcW w:w="943" w:type="dxa"/>
            <w:gridSpan w:val="2"/>
            <w:tcBorders>
              <w:top w:val="nil"/>
              <w:left w:val="nil"/>
              <w:bottom w:val="single" w:sz="4" w:space="0" w:color="auto"/>
              <w:right w:val="single" w:sz="4" w:space="0" w:color="auto"/>
            </w:tcBorders>
            <w:shd w:val="clear" w:color="auto" w:fill="auto"/>
            <w:noWrap/>
            <w:vAlign w:val="bottom"/>
            <w:hideMark/>
          </w:tcPr>
          <w:p w14:paraId="45C5E7FE"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0.922</w:t>
            </w:r>
          </w:p>
        </w:tc>
        <w:tc>
          <w:tcPr>
            <w:tcW w:w="1042" w:type="dxa"/>
            <w:gridSpan w:val="2"/>
            <w:tcBorders>
              <w:top w:val="nil"/>
              <w:left w:val="nil"/>
              <w:bottom w:val="single" w:sz="4" w:space="0" w:color="auto"/>
              <w:right w:val="single" w:sz="4" w:space="0" w:color="auto"/>
            </w:tcBorders>
            <w:shd w:val="clear" w:color="auto" w:fill="auto"/>
            <w:noWrap/>
            <w:vAlign w:val="bottom"/>
            <w:hideMark/>
          </w:tcPr>
          <w:p w14:paraId="5461D5A3"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6.5</w:t>
            </w:r>
          </w:p>
        </w:tc>
        <w:tc>
          <w:tcPr>
            <w:tcW w:w="976" w:type="dxa"/>
            <w:tcBorders>
              <w:top w:val="nil"/>
              <w:left w:val="nil"/>
              <w:bottom w:val="single" w:sz="4" w:space="0" w:color="auto"/>
              <w:right w:val="single" w:sz="4" w:space="0" w:color="auto"/>
            </w:tcBorders>
            <w:shd w:val="clear" w:color="000000" w:fill="D9D9D9"/>
            <w:noWrap/>
            <w:vAlign w:val="bottom"/>
            <w:hideMark/>
          </w:tcPr>
          <w:p w14:paraId="484DAA4D"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47.6</w:t>
            </w:r>
          </w:p>
        </w:tc>
        <w:tc>
          <w:tcPr>
            <w:tcW w:w="1292" w:type="dxa"/>
            <w:tcBorders>
              <w:top w:val="nil"/>
              <w:left w:val="nil"/>
              <w:bottom w:val="single" w:sz="4" w:space="0" w:color="auto"/>
              <w:right w:val="single" w:sz="4" w:space="0" w:color="auto"/>
            </w:tcBorders>
            <w:shd w:val="clear" w:color="auto" w:fill="auto"/>
            <w:noWrap/>
            <w:hideMark/>
          </w:tcPr>
          <w:p w14:paraId="668B2EE0"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27 (0.42)</w:t>
            </w:r>
          </w:p>
        </w:tc>
      </w:tr>
      <w:tr w:rsidR="00403B07" w:rsidRPr="00734C53" w14:paraId="394A3AE8" w14:textId="77777777" w:rsidTr="00B01272">
        <w:trPr>
          <w:trHeight w:val="297"/>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7977D9F4"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31</w:t>
            </w:r>
          </w:p>
        </w:tc>
        <w:tc>
          <w:tcPr>
            <w:tcW w:w="1249" w:type="dxa"/>
            <w:gridSpan w:val="2"/>
            <w:tcBorders>
              <w:top w:val="nil"/>
              <w:left w:val="nil"/>
              <w:bottom w:val="single" w:sz="4" w:space="0" w:color="auto"/>
              <w:right w:val="single" w:sz="4" w:space="0" w:color="auto"/>
            </w:tcBorders>
            <w:shd w:val="clear" w:color="000000" w:fill="D9D9D9"/>
            <w:noWrap/>
            <w:vAlign w:val="bottom"/>
            <w:hideMark/>
          </w:tcPr>
          <w:p w14:paraId="05F16134"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25.5</w:t>
            </w:r>
          </w:p>
        </w:tc>
        <w:tc>
          <w:tcPr>
            <w:tcW w:w="1140" w:type="dxa"/>
            <w:gridSpan w:val="2"/>
            <w:tcBorders>
              <w:top w:val="nil"/>
              <w:left w:val="nil"/>
              <w:bottom w:val="single" w:sz="4" w:space="0" w:color="auto"/>
              <w:right w:val="single" w:sz="4" w:space="0" w:color="auto"/>
            </w:tcBorders>
            <w:shd w:val="clear" w:color="000000" w:fill="FFFFFF"/>
            <w:noWrap/>
            <w:vAlign w:val="bottom"/>
            <w:hideMark/>
          </w:tcPr>
          <w:p w14:paraId="182AA93D"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3.44</w:t>
            </w:r>
          </w:p>
        </w:tc>
        <w:tc>
          <w:tcPr>
            <w:tcW w:w="1153" w:type="dxa"/>
            <w:gridSpan w:val="3"/>
            <w:tcBorders>
              <w:top w:val="nil"/>
              <w:left w:val="nil"/>
              <w:bottom w:val="single" w:sz="4" w:space="0" w:color="auto"/>
              <w:right w:val="single" w:sz="4" w:space="0" w:color="auto"/>
            </w:tcBorders>
            <w:shd w:val="clear" w:color="auto" w:fill="auto"/>
            <w:noWrap/>
            <w:vAlign w:val="bottom"/>
            <w:hideMark/>
          </w:tcPr>
          <w:p w14:paraId="37AB361E"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0.866</w:t>
            </w:r>
          </w:p>
        </w:tc>
        <w:tc>
          <w:tcPr>
            <w:tcW w:w="1051" w:type="dxa"/>
            <w:gridSpan w:val="2"/>
            <w:tcBorders>
              <w:top w:val="nil"/>
              <w:left w:val="nil"/>
              <w:bottom w:val="single" w:sz="4" w:space="0" w:color="auto"/>
              <w:right w:val="single" w:sz="4" w:space="0" w:color="auto"/>
            </w:tcBorders>
            <w:shd w:val="clear" w:color="auto" w:fill="auto"/>
            <w:noWrap/>
            <w:vAlign w:val="bottom"/>
            <w:hideMark/>
          </w:tcPr>
          <w:p w14:paraId="3E47F623"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5.6</w:t>
            </w:r>
          </w:p>
        </w:tc>
        <w:tc>
          <w:tcPr>
            <w:tcW w:w="932" w:type="dxa"/>
            <w:gridSpan w:val="2"/>
            <w:tcBorders>
              <w:top w:val="nil"/>
              <w:left w:val="nil"/>
              <w:bottom w:val="single" w:sz="4" w:space="0" w:color="auto"/>
              <w:right w:val="single" w:sz="4" w:space="0" w:color="auto"/>
            </w:tcBorders>
            <w:shd w:val="clear" w:color="000000" w:fill="D9D9D9"/>
            <w:noWrap/>
            <w:vAlign w:val="bottom"/>
            <w:hideMark/>
          </w:tcPr>
          <w:p w14:paraId="69BA835D"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63.3</w:t>
            </w:r>
          </w:p>
        </w:tc>
        <w:tc>
          <w:tcPr>
            <w:tcW w:w="1292" w:type="dxa"/>
            <w:gridSpan w:val="2"/>
            <w:tcBorders>
              <w:top w:val="nil"/>
              <w:left w:val="nil"/>
              <w:bottom w:val="single" w:sz="4" w:space="0" w:color="auto"/>
              <w:right w:val="single" w:sz="4" w:space="0" w:color="auto"/>
            </w:tcBorders>
            <w:shd w:val="clear" w:color="auto" w:fill="auto"/>
            <w:noWrap/>
            <w:vAlign w:val="bottom"/>
            <w:hideMark/>
          </w:tcPr>
          <w:p w14:paraId="334E8125"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36 (0.32)</w:t>
            </w:r>
          </w:p>
        </w:tc>
        <w:tc>
          <w:tcPr>
            <w:tcW w:w="986" w:type="dxa"/>
            <w:gridSpan w:val="2"/>
            <w:tcBorders>
              <w:top w:val="nil"/>
              <w:left w:val="nil"/>
              <w:bottom w:val="single" w:sz="4" w:space="0" w:color="auto"/>
              <w:right w:val="single" w:sz="4" w:space="0" w:color="auto"/>
            </w:tcBorders>
            <w:shd w:val="clear" w:color="auto" w:fill="D9D9D9" w:themeFill="background1" w:themeFillShade="D9"/>
            <w:noWrap/>
            <w:vAlign w:val="bottom"/>
            <w:hideMark/>
          </w:tcPr>
          <w:p w14:paraId="65BD33AB"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3.52</w:t>
            </w:r>
          </w:p>
        </w:tc>
        <w:tc>
          <w:tcPr>
            <w:tcW w:w="943" w:type="dxa"/>
            <w:gridSpan w:val="2"/>
            <w:tcBorders>
              <w:top w:val="nil"/>
              <w:left w:val="nil"/>
              <w:bottom w:val="single" w:sz="4" w:space="0" w:color="auto"/>
              <w:right w:val="single" w:sz="4" w:space="0" w:color="auto"/>
            </w:tcBorders>
            <w:shd w:val="clear" w:color="000000" w:fill="D9D9D9"/>
            <w:noWrap/>
            <w:vAlign w:val="bottom"/>
            <w:hideMark/>
          </w:tcPr>
          <w:p w14:paraId="26740F0C"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0.783</w:t>
            </w:r>
          </w:p>
        </w:tc>
        <w:tc>
          <w:tcPr>
            <w:tcW w:w="1042" w:type="dxa"/>
            <w:gridSpan w:val="2"/>
            <w:tcBorders>
              <w:top w:val="nil"/>
              <w:left w:val="nil"/>
              <w:bottom w:val="single" w:sz="4" w:space="0" w:color="auto"/>
              <w:right w:val="single" w:sz="4" w:space="0" w:color="auto"/>
            </w:tcBorders>
            <w:shd w:val="clear" w:color="auto" w:fill="auto"/>
            <w:noWrap/>
            <w:vAlign w:val="bottom"/>
            <w:hideMark/>
          </w:tcPr>
          <w:p w14:paraId="4D7216BA"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3.7</w:t>
            </w:r>
          </w:p>
        </w:tc>
        <w:tc>
          <w:tcPr>
            <w:tcW w:w="976" w:type="dxa"/>
            <w:tcBorders>
              <w:top w:val="nil"/>
              <w:left w:val="nil"/>
              <w:bottom w:val="single" w:sz="4" w:space="0" w:color="auto"/>
              <w:right w:val="single" w:sz="4" w:space="0" w:color="auto"/>
            </w:tcBorders>
            <w:shd w:val="clear" w:color="000000" w:fill="D9D9D9"/>
            <w:noWrap/>
            <w:vAlign w:val="bottom"/>
            <w:hideMark/>
          </w:tcPr>
          <w:p w14:paraId="2CDEAF78"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66.9</w:t>
            </w:r>
          </w:p>
        </w:tc>
        <w:tc>
          <w:tcPr>
            <w:tcW w:w="1292" w:type="dxa"/>
            <w:tcBorders>
              <w:top w:val="nil"/>
              <w:left w:val="nil"/>
              <w:bottom w:val="single" w:sz="4" w:space="0" w:color="auto"/>
              <w:right w:val="single" w:sz="4" w:space="0" w:color="auto"/>
            </w:tcBorders>
            <w:shd w:val="clear" w:color="auto" w:fill="auto"/>
            <w:noWrap/>
            <w:hideMark/>
          </w:tcPr>
          <w:p w14:paraId="75FE5686"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36 (0.31)</w:t>
            </w:r>
          </w:p>
        </w:tc>
      </w:tr>
      <w:tr w:rsidR="00403B07" w:rsidRPr="00734C53" w14:paraId="7B4D48FF" w14:textId="77777777" w:rsidTr="00B01272">
        <w:trPr>
          <w:trHeight w:val="279"/>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6FC2A33B"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32</w:t>
            </w:r>
          </w:p>
        </w:tc>
        <w:tc>
          <w:tcPr>
            <w:tcW w:w="1249" w:type="dxa"/>
            <w:gridSpan w:val="2"/>
            <w:tcBorders>
              <w:top w:val="nil"/>
              <w:left w:val="nil"/>
              <w:bottom w:val="single" w:sz="4" w:space="0" w:color="auto"/>
              <w:right w:val="single" w:sz="4" w:space="0" w:color="auto"/>
            </w:tcBorders>
            <w:shd w:val="clear" w:color="auto" w:fill="auto"/>
            <w:noWrap/>
            <w:vAlign w:val="bottom"/>
            <w:hideMark/>
          </w:tcPr>
          <w:p w14:paraId="18FCFD2E"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81.8</w:t>
            </w:r>
          </w:p>
        </w:tc>
        <w:tc>
          <w:tcPr>
            <w:tcW w:w="1140" w:type="dxa"/>
            <w:gridSpan w:val="2"/>
            <w:tcBorders>
              <w:top w:val="nil"/>
              <w:left w:val="nil"/>
              <w:bottom w:val="single" w:sz="4" w:space="0" w:color="auto"/>
              <w:right w:val="single" w:sz="4" w:space="0" w:color="auto"/>
            </w:tcBorders>
            <w:shd w:val="clear" w:color="auto" w:fill="auto"/>
            <w:noWrap/>
            <w:vAlign w:val="bottom"/>
            <w:hideMark/>
          </w:tcPr>
          <w:p w14:paraId="3C89932C"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2.80</w:t>
            </w:r>
          </w:p>
        </w:tc>
        <w:tc>
          <w:tcPr>
            <w:tcW w:w="1153" w:type="dxa"/>
            <w:gridSpan w:val="3"/>
            <w:tcBorders>
              <w:top w:val="nil"/>
              <w:left w:val="nil"/>
              <w:bottom w:val="single" w:sz="4" w:space="0" w:color="auto"/>
              <w:right w:val="single" w:sz="4" w:space="0" w:color="auto"/>
            </w:tcBorders>
            <w:shd w:val="clear" w:color="auto" w:fill="auto"/>
            <w:noWrap/>
            <w:vAlign w:val="bottom"/>
            <w:hideMark/>
          </w:tcPr>
          <w:p w14:paraId="04DFC113"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1.119</w:t>
            </w:r>
          </w:p>
        </w:tc>
        <w:tc>
          <w:tcPr>
            <w:tcW w:w="1051" w:type="dxa"/>
            <w:gridSpan w:val="2"/>
            <w:tcBorders>
              <w:top w:val="nil"/>
              <w:left w:val="nil"/>
              <w:bottom w:val="single" w:sz="4" w:space="0" w:color="auto"/>
              <w:right w:val="single" w:sz="4" w:space="0" w:color="auto"/>
            </w:tcBorders>
            <w:shd w:val="clear" w:color="auto" w:fill="auto"/>
            <w:noWrap/>
            <w:vAlign w:val="bottom"/>
            <w:hideMark/>
          </w:tcPr>
          <w:p w14:paraId="16FEB153"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18.7</w:t>
            </w:r>
          </w:p>
        </w:tc>
        <w:tc>
          <w:tcPr>
            <w:tcW w:w="932" w:type="dxa"/>
            <w:gridSpan w:val="2"/>
            <w:tcBorders>
              <w:top w:val="nil"/>
              <w:left w:val="nil"/>
              <w:bottom w:val="single" w:sz="4" w:space="0" w:color="auto"/>
              <w:right w:val="single" w:sz="4" w:space="0" w:color="auto"/>
            </w:tcBorders>
            <w:shd w:val="clear" w:color="000000" w:fill="D9D9D9"/>
            <w:noWrap/>
            <w:vAlign w:val="bottom"/>
            <w:hideMark/>
          </w:tcPr>
          <w:p w14:paraId="43E57234"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35.7</w:t>
            </w:r>
          </w:p>
        </w:tc>
        <w:tc>
          <w:tcPr>
            <w:tcW w:w="1292" w:type="dxa"/>
            <w:gridSpan w:val="2"/>
            <w:tcBorders>
              <w:top w:val="nil"/>
              <w:left w:val="nil"/>
              <w:bottom w:val="single" w:sz="4" w:space="0" w:color="auto"/>
              <w:right w:val="single" w:sz="4" w:space="0" w:color="auto"/>
            </w:tcBorders>
            <w:shd w:val="clear" w:color="auto" w:fill="auto"/>
            <w:noWrap/>
            <w:vAlign w:val="bottom"/>
            <w:hideMark/>
          </w:tcPr>
          <w:p w14:paraId="545AFF72"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29 (0.28)</w:t>
            </w:r>
          </w:p>
        </w:tc>
        <w:tc>
          <w:tcPr>
            <w:tcW w:w="986" w:type="dxa"/>
            <w:gridSpan w:val="2"/>
            <w:tcBorders>
              <w:top w:val="nil"/>
              <w:left w:val="nil"/>
              <w:bottom w:val="single" w:sz="4" w:space="0" w:color="auto"/>
              <w:right w:val="single" w:sz="4" w:space="0" w:color="auto"/>
            </w:tcBorders>
            <w:shd w:val="clear" w:color="auto" w:fill="auto"/>
            <w:noWrap/>
            <w:vAlign w:val="bottom"/>
            <w:hideMark/>
          </w:tcPr>
          <w:p w14:paraId="420687FD"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2.71</w:t>
            </w:r>
          </w:p>
        </w:tc>
        <w:tc>
          <w:tcPr>
            <w:tcW w:w="943" w:type="dxa"/>
            <w:gridSpan w:val="2"/>
            <w:tcBorders>
              <w:top w:val="nil"/>
              <w:left w:val="nil"/>
              <w:bottom w:val="single" w:sz="4" w:space="0" w:color="auto"/>
              <w:right w:val="single" w:sz="4" w:space="0" w:color="auto"/>
            </w:tcBorders>
            <w:shd w:val="clear" w:color="auto" w:fill="auto"/>
            <w:noWrap/>
            <w:vAlign w:val="bottom"/>
            <w:hideMark/>
          </w:tcPr>
          <w:p w14:paraId="0F9BCB02"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1.162</w:t>
            </w:r>
          </w:p>
        </w:tc>
        <w:tc>
          <w:tcPr>
            <w:tcW w:w="1042" w:type="dxa"/>
            <w:gridSpan w:val="2"/>
            <w:tcBorders>
              <w:top w:val="nil"/>
              <w:left w:val="nil"/>
              <w:bottom w:val="single" w:sz="4" w:space="0" w:color="auto"/>
              <w:right w:val="single" w:sz="4" w:space="0" w:color="auto"/>
            </w:tcBorders>
            <w:shd w:val="clear" w:color="auto" w:fill="auto"/>
            <w:noWrap/>
            <w:vAlign w:val="bottom"/>
            <w:hideMark/>
          </w:tcPr>
          <w:p w14:paraId="66C7B3E3"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23.0</w:t>
            </w:r>
          </w:p>
        </w:tc>
        <w:tc>
          <w:tcPr>
            <w:tcW w:w="976" w:type="dxa"/>
            <w:tcBorders>
              <w:top w:val="nil"/>
              <w:left w:val="nil"/>
              <w:bottom w:val="single" w:sz="4" w:space="0" w:color="auto"/>
              <w:right w:val="single" w:sz="4" w:space="0" w:color="auto"/>
            </w:tcBorders>
            <w:shd w:val="clear" w:color="000000" w:fill="D9D9D9"/>
            <w:noWrap/>
            <w:vAlign w:val="bottom"/>
            <w:hideMark/>
          </w:tcPr>
          <w:p w14:paraId="164CF318"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34.0</w:t>
            </w:r>
          </w:p>
        </w:tc>
        <w:tc>
          <w:tcPr>
            <w:tcW w:w="1292" w:type="dxa"/>
            <w:tcBorders>
              <w:top w:val="nil"/>
              <w:left w:val="nil"/>
              <w:bottom w:val="single" w:sz="4" w:space="0" w:color="auto"/>
              <w:right w:val="single" w:sz="4" w:space="0" w:color="auto"/>
            </w:tcBorders>
            <w:shd w:val="clear" w:color="auto" w:fill="auto"/>
            <w:noWrap/>
            <w:hideMark/>
          </w:tcPr>
          <w:p w14:paraId="21169B37"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25 (0.32)</w:t>
            </w:r>
          </w:p>
        </w:tc>
      </w:tr>
      <w:tr w:rsidR="00403B07" w:rsidRPr="00734C53" w14:paraId="6DA01387" w14:textId="77777777" w:rsidTr="00B01272">
        <w:trPr>
          <w:trHeight w:val="282"/>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5EF64B6E"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33</w:t>
            </w:r>
          </w:p>
        </w:tc>
        <w:tc>
          <w:tcPr>
            <w:tcW w:w="1249" w:type="dxa"/>
            <w:gridSpan w:val="2"/>
            <w:tcBorders>
              <w:top w:val="nil"/>
              <w:left w:val="nil"/>
              <w:bottom w:val="single" w:sz="4" w:space="0" w:color="auto"/>
              <w:right w:val="single" w:sz="4" w:space="0" w:color="auto"/>
            </w:tcBorders>
            <w:shd w:val="clear" w:color="auto" w:fill="auto"/>
            <w:noWrap/>
            <w:vAlign w:val="bottom"/>
            <w:hideMark/>
          </w:tcPr>
          <w:p w14:paraId="29B8B146"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84.8</w:t>
            </w:r>
          </w:p>
        </w:tc>
        <w:tc>
          <w:tcPr>
            <w:tcW w:w="1140" w:type="dxa"/>
            <w:gridSpan w:val="2"/>
            <w:tcBorders>
              <w:top w:val="nil"/>
              <w:left w:val="nil"/>
              <w:bottom w:val="single" w:sz="4" w:space="0" w:color="auto"/>
              <w:right w:val="single" w:sz="4" w:space="0" w:color="auto"/>
            </w:tcBorders>
            <w:shd w:val="clear" w:color="auto" w:fill="auto"/>
            <w:noWrap/>
            <w:vAlign w:val="bottom"/>
            <w:hideMark/>
          </w:tcPr>
          <w:p w14:paraId="2D759D01"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2.19</w:t>
            </w:r>
          </w:p>
        </w:tc>
        <w:tc>
          <w:tcPr>
            <w:tcW w:w="1153" w:type="dxa"/>
            <w:gridSpan w:val="3"/>
            <w:tcBorders>
              <w:top w:val="nil"/>
              <w:left w:val="nil"/>
              <w:bottom w:val="single" w:sz="4" w:space="0" w:color="auto"/>
              <w:right w:val="single" w:sz="4" w:space="0" w:color="auto"/>
            </w:tcBorders>
            <w:shd w:val="clear" w:color="auto" w:fill="auto"/>
            <w:noWrap/>
            <w:vAlign w:val="bottom"/>
            <w:hideMark/>
          </w:tcPr>
          <w:p w14:paraId="1414E949"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0.948</w:t>
            </w:r>
          </w:p>
        </w:tc>
        <w:tc>
          <w:tcPr>
            <w:tcW w:w="1051" w:type="dxa"/>
            <w:gridSpan w:val="2"/>
            <w:tcBorders>
              <w:top w:val="nil"/>
              <w:left w:val="nil"/>
              <w:bottom w:val="single" w:sz="4" w:space="0" w:color="auto"/>
              <w:right w:val="single" w:sz="4" w:space="0" w:color="auto"/>
            </w:tcBorders>
            <w:shd w:val="clear" w:color="auto" w:fill="auto"/>
            <w:noWrap/>
            <w:vAlign w:val="bottom"/>
            <w:hideMark/>
          </w:tcPr>
          <w:p w14:paraId="014658A9"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26.9</w:t>
            </w:r>
          </w:p>
        </w:tc>
        <w:tc>
          <w:tcPr>
            <w:tcW w:w="932" w:type="dxa"/>
            <w:gridSpan w:val="2"/>
            <w:tcBorders>
              <w:top w:val="nil"/>
              <w:left w:val="nil"/>
              <w:bottom w:val="single" w:sz="4" w:space="0" w:color="auto"/>
              <w:right w:val="single" w:sz="4" w:space="0" w:color="auto"/>
            </w:tcBorders>
            <w:shd w:val="clear" w:color="auto" w:fill="auto"/>
            <w:noWrap/>
            <w:vAlign w:val="bottom"/>
            <w:hideMark/>
          </w:tcPr>
          <w:p w14:paraId="02C3F549"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10.4</w:t>
            </w:r>
          </w:p>
        </w:tc>
        <w:tc>
          <w:tcPr>
            <w:tcW w:w="1292" w:type="dxa"/>
            <w:gridSpan w:val="2"/>
            <w:tcBorders>
              <w:top w:val="nil"/>
              <w:left w:val="nil"/>
              <w:bottom w:val="single" w:sz="4" w:space="0" w:color="auto"/>
              <w:right w:val="single" w:sz="4" w:space="0" w:color="auto"/>
            </w:tcBorders>
            <w:shd w:val="clear" w:color="auto" w:fill="auto"/>
            <w:noWrap/>
            <w:vAlign w:val="bottom"/>
            <w:hideMark/>
          </w:tcPr>
          <w:p w14:paraId="32A5933D"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34 (0.57)</w:t>
            </w:r>
          </w:p>
        </w:tc>
        <w:tc>
          <w:tcPr>
            <w:tcW w:w="986" w:type="dxa"/>
            <w:gridSpan w:val="2"/>
            <w:tcBorders>
              <w:top w:val="nil"/>
              <w:left w:val="nil"/>
              <w:bottom w:val="single" w:sz="4" w:space="0" w:color="auto"/>
              <w:right w:val="single" w:sz="4" w:space="0" w:color="auto"/>
            </w:tcBorders>
            <w:shd w:val="clear" w:color="auto" w:fill="auto"/>
            <w:noWrap/>
            <w:vAlign w:val="bottom"/>
            <w:hideMark/>
          </w:tcPr>
          <w:p w14:paraId="150E6676"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2.14</w:t>
            </w:r>
          </w:p>
        </w:tc>
        <w:tc>
          <w:tcPr>
            <w:tcW w:w="943" w:type="dxa"/>
            <w:gridSpan w:val="2"/>
            <w:tcBorders>
              <w:top w:val="nil"/>
              <w:left w:val="nil"/>
              <w:bottom w:val="single" w:sz="4" w:space="0" w:color="auto"/>
              <w:right w:val="single" w:sz="4" w:space="0" w:color="auto"/>
            </w:tcBorders>
            <w:shd w:val="clear" w:color="auto" w:fill="auto"/>
            <w:noWrap/>
            <w:vAlign w:val="bottom"/>
            <w:hideMark/>
          </w:tcPr>
          <w:p w14:paraId="647D7925"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0.943</w:t>
            </w:r>
          </w:p>
        </w:tc>
        <w:tc>
          <w:tcPr>
            <w:tcW w:w="1042" w:type="dxa"/>
            <w:gridSpan w:val="2"/>
            <w:tcBorders>
              <w:top w:val="nil"/>
              <w:left w:val="nil"/>
              <w:bottom w:val="single" w:sz="4" w:space="0" w:color="auto"/>
              <w:right w:val="single" w:sz="4" w:space="0" w:color="auto"/>
            </w:tcBorders>
            <w:shd w:val="clear" w:color="auto" w:fill="auto"/>
            <w:noWrap/>
            <w:vAlign w:val="bottom"/>
            <w:hideMark/>
          </w:tcPr>
          <w:p w14:paraId="3C9D7272"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27.6</w:t>
            </w:r>
          </w:p>
        </w:tc>
        <w:tc>
          <w:tcPr>
            <w:tcW w:w="976" w:type="dxa"/>
            <w:tcBorders>
              <w:top w:val="nil"/>
              <w:left w:val="nil"/>
              <w:bottom w:val="single" w:sz="4" w:space="0" w:color="auto"/>
              <w:right w:val="single" w:sz="4" w:space="0" w:color="auto"/>
            </w:tcBorders>
            <w:shd w:val="clear" w:color="auto" w:fill="auto"/>
            <w:noWrap/>
            <w:vAlign w:val="bottom"/>
            <w:hideMark/>
          </w:tcPr>
          <w:p w14:paraId="7F3C5414"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10.8</w:t>
            </w:r>
          </w:p>
        </w:tc>
        <w:tc>
          <w:tcPr>
            <w:tcW w:w="1292" w:type="dxa"/>
            <w:tcBorders>
              <w:top w:val="nil"/>
              <w:left w:val="nil"/>
              <w:bottom w:val="single" w:sz="4" w:space="0" w:color="auto"/>
              <w:right w:val="single" w:sz="4" w:space="0" w:color="auto"/>
            </w:tcBorders>
            <w:shd w:val="clear" w:color="auto" w:fill="auto"/>
            <w:noWrap/>
            <w:hideMark/>
          </w:tcPr>
          <w:p w14:paraId="48728D35"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34 (0.58)</w:t>
            </w:r>
          </w:p>
        </w:tc>
      </w:tr>
      <w:tr w:rsidR="00403B07" w:rsidRPr="00734C53" w14:paraId="411E4B5E" w14:textId="77777777" w:rsidTr="00B01272">
        <w:trPr>
          <w:trHeight w:val="297"/>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311A03C0"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34</w:t>
            </w:r>
          </w:p>
        </w:tc>
        <w:tc>
          <w:tcPr>
            <w:tcW w:w="1249" w:type="dxa"/>
            <w:gridSpan w:val="2"/>
            <w:tcBorders>
              <w:top w:val="nil"/>
              <w:left w:val="nil"/>
              <w:bottom w:val="single" w:sz="4" w:space="0" w:color="auto"/>
              <w:right w:val="single" w:sz="4" w:space="0" w:color="auto"/>
            </w:tcBorders>
            <w:shd w:val="clear" w:color="auto" w:fill="auto"/>
            <w:noWrap/>
            <w:vAlign w:val="bottom"/>
            <w:hideMark/>
          </w:tcPr>
          <w:p w14:paraId="4E0EB132"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85.1</w:t>
            </w:r>
          </w:p>
        </w:tc>
        <w:tc>
          <w:tcPr>
            <w:tcW w:w="1140" w:type="dxa"/>
            <w:gridSpan w:val="2"/>
            <w:tcBorders>
              <w:top w:val="nil"/>
              <w:left w:val="nil"/>
              <w:bottom w:val="single" w:sz="4" w:space="0" w:color="auto"/>
              <w:right w:val="single" w:sz="4" w:space="0" w:color="auto"/>
            </w:tcBorders>
            <w:shd w:val="clear" w:color="auto" w:fill="auto"/>
            <w:noWrap/>
            <w:vAlign w:val="bottom"/>
            <w:hideMark/>
          </w:tcPr>
          <w:p w14:paraId="24B099D7"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2.20</w:t>
            </w:r>
          </w:p>
        </w:tc>
        <w:tc>
          <w:tcPr>
            <w:tcW w:w="1153" w:type="dxa"/>
            <w:gridSpan w:val="3"/>
            <w:tcBorders>
              <w:top w:val="nil"/>
              <w:left w:val="nil"/>
              <w:bottom w:val="single" w:sz="4" w:space="0" w:color="auto"/>
              <w:right w:val="single" w:sz="4" w:space="0" w:color="auto"/>
            </w:tcBorders>
            <w:shd w:val="clear" w:color="auto" w:fill="auto"/>
            <w:noWrap/>
            <w:vAlign w:val="bottom"/>
            <w:hideMark/>
          </w:tcPr>
          <w:p w14:paraId="260A9C4E"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1.073</w:t>
            </w:r>
          </w:p>
        </w:tc>
        <w:tc>
          <w:tcPr>
            <w:tcW w:w="1051" w:type="dxa"/>
            <w:gridSpan w:val="2"/>
            <w:tcBorders>
              <w:top w:val="nil"/>
              <w:left w:val="nil"/>
              <w:bottom w:val="single" w:sz="4" w:space="0" w:color="auto"/>
              <w:right w:val="single" w:sz="4" w:space="0" w:color="auto"/>
            </w:tcBorders>
            <w:shd w:val="clear" w:color="000000" w:fill="D9D9D9"/>
            <w:noWrap/>
            <w:vAlign w:val="bottom"/>
            <w:hideMark/>
          </w:tcPr>
          <w:p w14:paraId="001B35F4"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33.5</w:t>
            </w:r>
          </w:p>
        </w:tc>
        <w:tc>
          <w:tcPr>
            <w:tcW w:w="932" w:type="dxa"/>
            <w:gridSpan w:val="2"/>
            <w:tcBorders>
              <w:top w:val="nil"/>
              <w:left w:val="nil"/>
              <w:bottom w:val="single" w:sz="4" w:space="0" w:color="auto"/>
              <w:right w:val="single" w:sz="4" w:space="0" w:color="auto"/>
            </w:tcBorders>
            <w:shd w:val="clear" w:color="auto" w:fill="auto"/>
            <w:noWrap/>
            <w:vAlign w:val="bottom"/>
            <w:hideMark/>
          </w:tcPr>
          <w:p w14:paraId="2EF18E69"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15.9</w:t>
            </w:r>
          </w:p>
        </w:tc>
        <w:tc>
          <w:tcPr>
            <w:tcW w:w="1292" w:type="dxa"/>
            <w:gridSpan w:val="2"/>
            <w:tcBorders>
              <w:top w:val="nil"/>
              <w:left w:val="nil"/>
              <w:bottom w:val="single" w:sz="4" w:space="0" w:color="auto"/>
              <w:right w:val="single" w:sz="4" w:space="0" w:color="auto"/>
            </w:tcBorders>
            <w:shd w:val="clear" w:color="auto" w:fill="auto"/>
            <w:noWrap/>
            <w:vAlign w:val="bottom"/>
            <w:hideMark/>
          </w:tcPr>
          <w:p w14:paraId="03F1118A"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33 (0.57)</w:t>
            </w:r>
          </w:p>
        </w:tc>
        <w:tc>
          <w:tcPr>
            <w:tcW w:w="986" w:type="dxa"/>
            <w:gridSpan w:val="2"/>
            <w:tcBorders>
              <w:top w:val="nil"/>
              <w:left w:val="nil"/>
              <w:bottom w:val="single" w:sz="4" w:space="0" w:color="auto"/>
              <w:right w:val="single" w:sz="4" w:space="0" w:color="auto"/>
            </w:tcBorders>
            <w:shd w:val="clear" w:color="auto" w:fill="auto"/>
            <w:noWrap/>
            <w:vAlign w:val="bottom"/>
            <w:hideMark/>
          </w:tcPr>
          <w:p w14:paraId="523A9042"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2.24</w:t>
            </w:r>
          </w:p>
        </w:tc>
        <w:tc>
          <w:tcPr>
            <w:tcW w:w="943" w:type="dxa"/>
            <w:gridSpan w:val="2"/>
            <w:tcBorders>
              <w:top w:val="nil"/>
              <w:left w:val="nil"/>
              <w:bottom w:val="single" w:sz="4" w:space="0" w:color="auto"/>
              <w:right w:val="single" w:sz="4" w:space="0" w:color="auto"/>
            </w:tcBorders>
            <w:shd w:val="clear" w:color="auto" w:fill="auto"/>
            <w:noWrap/>
            <w:vAlign w:val="bottom"/>
            <w:hideMark/>
          </w:tcPr>
          <w:p w14:paraId="2BBD0580"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1.076</w:t>
            </w:r>
          </w:p>
        </w:tc>
        <w:tc>
          <w:tcPr>
            <w:tcW w:w="1042" w:type="dxa"/>
            <w:gridSpan w:val="2"/>
            <w:tcBorders>
              <w:top w:val="nil"/>
              <w:left w:val="nil"/>
              <w:bottom w:val="single" w:sz="4" w:space="0" w:color="auto"/>
              <w:right w:val="single" w:sz="4" w:space="0" w:color="auto"/>
            </w:tcBorders>
            <w:shd w:val="clear" w:color="000000" w:fill="D9D9D9"/>
            <w:noWrap/>
            <w:vAlign w:val="bottom"/>
            <w:hideMark/>
          </w:tcPr>
          <w:p w14:paraId="0D88CAF5"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31.6</w:t>
            </w:r>
          </w:p>
        </w:tc>
        <w:tc>
          <w:tcPr>
            <w:tcW w:w="976" w:type="dxa"/>
            <w:tcBorders>
              <w:top w:val="nil"/>
              <w:left w:val="nil"/>
              <w:bottom w:val="single" w:sz="4" w:space="0" w:color="auto"/>
              <w:right w:val="single" w:sz="4" w:space="0" w:color="auto"/>
            </w:tcBorders>
            <w:shd w:val="clear" w:color="auto" w:fill="auto"/>
            <w:noWrap/>
            <w:vAlign w:val="bottom"/>
            <w:hideMark/>
          </w:tcPr>
          <w:p w14:paraId="53DEC91B"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17.1</w:t>
            </w:r>
          </w:p>
        </w:tc>
        <w:tc>
          <w:tcPr>
            <w:tcW w:w="1292" w:type="dxa"/>
            <w:tcBorders>
              <w:top w:val="nil"/>
              <w:left w:val="nil"/>
              <w:bottom w:val="single" w:sz="4" w:space="0" w:color="auto"/>
              <w:right w:val="single" w:sz="4" w:space="0" w:color="auto"/>
            </w:tcBorders>
            <w:shd w:val="clear" w:color="auto" w:fill="auto"/>
            <w:noWrap/>
            <w:hideMark/>
          </w:tcPr>
          <w:p w14:paraId="24D6022D"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33 (0.58)</w:t>
            </w:r>
          </w:p>
        </w:tc>
      </w:tr>
      <w:tr w:rsidR="00403B07" w:rsidRPr="00734C53" w14:paraId="1D0F4F47" w14:textId="77777777" w:rsidTr="00B01272">
        <w:trPr>
          <w:trHeight w:val="297"/>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423E38E1"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35</w:t>
            </w:r>
          </w:p>
        </w:tc>
        <w:tc>
          <w:tcPr>
            <w:tcW w:w="1249" w:type="dxa"/>
            <w:gridSpan w:val="2"/>
            <w:tcBorders>
              <w:top w:val="nil"/>
              <w:left w:val="nil"/>
              <w:bottom w:val="single" w:sz="4" w:space="0" w:color="auto"/>
              <w:right w:val="single" w:sz="4" w:space="0" w:color="auto"/>
            </w:tcBorders>
            <w:shd w:val="clear" w:color="auto" w:fill="auto"/>
            <w:noWrap/>
            <w:vAlign w:val="bottom"/>
            <w:hideMark/>
          </w:tcPr>
          <w:p w14:paraId="6818E082"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103</w:t>
            </w:r>
          </w:p>
        </w:tc>
        <w:tc>
          <w:tcPr>
            <w:tcW w:w="1140" w:type="dxa"/>
            <w:gridSpan w:val="2"/>
            <w:tcBorders>
              <w:top w:val="nil"/>
              <w:left w:val="nil"/>
              <w:bottom w:val="single" w:sz="4" w:space="0" w:color="auto"/>
              <w:right w:val="single" w:sz="4" w:space="0" w:color="auto"/>
            </w:tcBorders>
            <w:shd w:val="clear" w:color="auto" w:fill="auto"/>
            <w:noWrap/>
            <w:vAlign w:val="bottom"/>
            <w:hideMark/>
          </w:tcPr>
          <w:p w14:paraId="1D69D417"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2.12</w:t>
            </w:r>
          </w:p>
        </w:tc>
        <w:tc>
          <w:tcPr>
            <w:tcW w:w="1153" w:type="dxa"/>
            <w:gridSpan w:val="3"/>
            <w:tcBorders>
              <w:top w:val="nil"/>
              <w:left w:val="nil"/>
              <w:bottom w:val="single" w:sz="4" w:space="0" w:color="auto"/>
              <w:right w:val="single" w:sz="4" w:space="0" w:color="auto"/>
            </w:tcBorders>
            <w:shd w:val="clear" w:color="auto" w:fill="auto"/>
            <w:noWrap/>
            <w:vAlign w:val="bottom"/>
            <w:hideMark/>
          </w:tcPr>
          <w:p w14:paraId="7FFA294E"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1.060</w:t>
            </w:r>
          </w:p>
        </w:tc>
        <w:tc>
          <w:tcPr>
            <w:tcW w:w="1051" w:type="dxa"/>
            <w:gridSpan w:val="2"/>
            <w:tcBorders>
              <w:top w:val="nil"/>
              <w:left w:val="nil"/>
              <w:bottom w:val="single" w:sz="4" w:space="0" w:color="auto"/>
              <w:right w:val="single" w:sz="4" w:space="0" w:color="auto"/>
            </w:tcBorders>
            <w:shd w:val="clear" w:color="000000" w:fill="D9D9D9"/>
            <w:noWrap/>
            <w:vAlign w:val="bottom"/>
            <w:hideMark/>
          </w:tcPr>
          <w:p w14:paraId="3B0F82F5"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36.2</w:t>
            </w:r>
          </w:p>
        </w:tc>
        <w:tc>
          <w:tcPr>
            <w:tcW w:w="932" w:type="dxa"/>
            <w:gridSpan w:val="2"/>
            <w:tcBorders>
              <w:top w:val="nil"/>
              <w:left w:val="nil"/>
              <w:bottom w:val="single" w:sz="4" w:space="0" w:color="auto"/>
              <w:right w:val="single" w:sz="4" w:space="0" w:color="auto"/>
            </w:tcBorders>
            <w:shd w:val="clear" w:color="auto" w:fill="auto"/>
            <w:noWrap/>
            <w:vAlign w:val="bottom"/>
            <w:hideMark/>
          </w:tcPr>
          <w:p w14:paraId="5D1FC0F3"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14.4</w:t>
            </w:r>
          </w:p>
        </w:tc>
        <w:tc>
          <w:tcPr>
            <w:tcW w:w="1292" w:type="dxa"/>
            <w:gridSpan w:val="2"/>
            <w:tcBorders>
              <w:top w:val="nil"/>
              <w:left w:val="nil"/>
              <w:bottom w:val="single" w:sz="4" w:space="0" w:color="auto"/>
              <w:right w:val="single" w:sz="4" w:space="0" w:color="auto"/>
            </w:tcBorders>
            <w:shd w:val="clear" w:color="auto" w:fill="auto"/>
            <w:noWrap/>
            <w:vAlign w:val="bottom"/>
            <w:hideMark/>
          </w:tcPr>
          <w:p w14:paraId="263A2337"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41 (0.51)</w:t>
            </w:r>
          </w:p>
        </w:tc>
        <w:tc>
          <w:tcPr>
            <w:tcW w:w="986" w:type="dxa"/>
            <w:gridSpan w:val="2"/>
            <w:tcBorders>
              <w:top w:val="nil"/>
              <w:left w:val="nil"/>
              <w:bottom w:val="single" w:sz="4" w:space="0" w:color="auto"/>
              <w:right w:val="single" w:sz="4" w:space="0" w:color="auto"/>
            </w:tcBorders>
            <w:shd w:val="clear" w:color="auto" w:fill="auto"/>
            <w:noWrap/>
            <w:vAlign w:val="bottom"/>
            <w:hideMark/>
          </w:tcPr>
          <w:p w14:paraId="1F65AEE7"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2.16</w:t>
            </w:r>
          </w:p>
        </w:tc>
        <w:tc>
          <w:tcPr>
            <w:tcW w:w="943" w:type="dxa"/>
            <w:gridSpan w:val="2"/>
            <w:tcBorders>
              <w:top w:val="nil"/>
              <w:left w:val="nil"/>
              <w:bottom w:val="single" w:sz="4" w:space="0" w:color="auto"/>
              <w:right w:val="single" w:sz="4" w:space="0" w:color="auto"/>
            </w:tcBorders>
            <w:shd w:val="clear" w:color="auto" w:fill="auto"/>
            <w:noWrap/>
            <w:vAlign w:val="bottom"/>
            <w:hideMark/>
          </w:tcPr>
          <w:p w14:paraId="1AF3970E"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1.050</w:t>
            </w:r>
          </w:p>
        </w:tc>
        <w:tc>
          <w:tcPr>
            <w:tcW w:w="1042" w:type="dxa"/>
            <w:gridSpan w:val="2"/>
            <w:tcBorders>
              <w:top w:val="nil"/>
              <w:left w:val="nil"/>
              <w:bottom w:val="single" w:sz="4" w:space="0" w:color="auto"/>
              <w:right w:val="single" w:sz="4" w:space="0" w:color="auto"/>
            </w:tcBorders>
            <w:shd w:val="clear" w:color="000000" w:fill="D9D9D9"/>
            <w:noWrap/>
            <w:vAlign w:val="bottom"/>
            <w:hideMark/>
          </w:tcPr>
          <w:p w14:paraId="0DF6C456"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33.9</w:t>
            </w:r>
          </w:p>
        </w:tc>
        <w:tc>
          <w:tcPr>
            <w:tcW w:w="976" w:type="dxa"/>
            <w:tcBorders>
              <w:top w:val="nil"/>
              <w:left w:val="nil"/>
              <w:bottom w:val="single" w:sz="4" w:space="0" w:color="auto"/>
              <w:right w:val="single" w:sz="4" w:space="0" w:color="auto"/>
            </w:tcBorders>
            <w:shd w:val="clear" w:color="auto" w:fill="auto"/>
            <w:noWrap/>
            <w:vAlign w:val="bottom"/>
            <w:hideMark/>
          </w:tcPr>
          <w:p w14:paraId="4ED6DF53"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14.6</w:t>
            </w:r>
          </w:p>
        </w:tc>
        <w:tc>
          <w:tcPr>
            <w:tcW w:w="1292" w:type="dxa"/>
            <w:tcBorders>
              <w:top w:val="nil"/>
              <w:left w:val="nil"/>
              <w:bottom w:val="single" w:sz="4" w:space="0" w:color="auto"/>
              <w:right w:val="single" w:sz="4" w:space="0" w:color="auto"/>
            </w:tcBorders>
            <w:shd w:val="clear" w:color="auto" w:fill="auto"/>
            <w:noWrap/>
            <w:hideMark/>
          </w:tcPr>
          <w:p w14:paraId="244242F4"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41 (0.57)</w:t>
            </w:r>
          </w:p>
        </w:tc>
      </w:tr>
      <w:tr w:rsidR="00403B07" w:rsidRPr="00734C53" w14:paraId="6A87A327" w14:textId="77777777" w:rsidTr="00B01272">
        <w:trPr>
          <w:trHeight w:val="297"/>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6F6118F4"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36</w:t>
            </w:r>
          </w:p>
        </w:tc>
        <w:tc>
          <w:tcPr>
            <w:tcW w:w="1249" w:type="dxa"/>
            <w:gridSpan w:val="2"/>
            <w:tcBorders>
              <w:top w:val="nil"/>
              <w:left w:val="nil"/>
              <w:bottom w:val="single" w:sz="4" w:space="0" w:color="auto"/>
              <w:right w:val="single" w:sz="4" w:space="0" w:color="auto"/>
            </w:tcBorders>
            <w:shd w:val="clear" w:color="auto" w:fill="auto"/>
            <w:noWrap/>
            <w:vAlign w:val="bottom"/>
            <w:hideMark/>
          </w:tcPr>
          <w:p w14:paraId="7B073163"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61.3</w:t>
            </w:r>
          </w:p>
        </w:tc>
        <w:tc>
          <w:tcPr>
            <w:tcW w:w="1140" w:type="dxa"/>
            <w:gridSpan w:val="2"/>
            <w:tcBorders>
              <w:top w:val="nil"/>
              <w:left w:val="nil"/>
              <w:bottom w:val="single" w:sz="4" w:space="0" w:color="auto"/>
              <w:right w:val="single" w:sz="4" w:space="0" w:color="auto"/>
            </w:tcBorders>
            <w:shd w:val="clear" w:color="auto" w:fill="auto"/>
            <w:noWrap/>
            <w:vAlign w:val="bottom"/>
            <w:hideMark/>
          </w:tcPr>
          <w:p w14:paraId="5DFEA0C5"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2.78</w:t>
            </w:r>
          </w:p>
        </w:tc>
        <w:tc>
          <w:tcPr>
            <w:tcW w:w="1153" w:type="dxa"/>
            <w:gridSpan w:val="3"/>
            <w:tcBorders>
              <w:top w:val="nil"/>
              <w:left w:val="nil"/>
              <w:bottom w:val="single" w:sz="4" w:space="0" w:color="auto"/>
              <w:right w:val="single" w:sz="4" w:space="0" w:color="auto"/>
            </w:tcBorders>
            <w:shd w:val="clear" w:color="auto" w:fill="auto"/>
            <w:noWrap/>
            <w:vAlign w:val="bottom"/>
            <w:hideMark/>
          </w:tcPr>
          <w:p w14:paraId="0C6A7E82"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1.117</w:t>
            </w:r>
          </w:p>
        </w:tc>
        <w:tc>
          <w:tcPr>
            <w:tcW w:w="1051" w:type="dxa"/>
            <w:gridSpan w:val="2"/>
            <w:tcBorders>
              <w:top w:val="nil"/>
              <w:left w:val="nil"/>
              <w:bottom w:val="single" w:sz="4" w:space="0" w:color="auto"/>
              <w:right w:val="single" w:sz="4" w:space="0" w:color="auto"/>
            </w:tcBorders>
            <w:shd w:val="clear" w:color="auto" w:fill="auto"/>
            <w:noWrap/>
            <w:vAlign w:val="bottom"/>
            <w:hideMark/>
          </w:tcPr>
          <w:p w14:paraId="6C840C01"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18.7</w:t>
            </w:r>
          </w:p>
        </w:tc>
        <w:tc>
          <w:tcPr>
            <w:tcW w:w="932" w:type="dxa"/>
            <w:gridSpan w:val="2"/>
            <w:tcBorders>
              <w:top w:val="nil"/>
              <w:left w:val="nil"/>
              <w:bottom w:val="single" w:sz="4" w:space="0" w:color="auto"/>
              <w:right w:val="single" w:sz="4" w:space="0" w:color="auto"/>
            </w:tcBorders>
            <w:shd w:val="clear" w:color="000000" w:fill="D9D9D9"/>
            <w:noWrap/>
            <w:vAlign w:val="bottom"/>
            <w:hideMark/>
          </w:tcPr>
          <w:p w14:paraId="20CD66D8"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35.0</w:t>
            </w:r>
          </w:p>
        </w:tc>
        <w:tc>
          <w:tcPr>
            <w:tcW w:w="1292" w:type="dxa"/>
            <w:gridSpan w:val="2"/>
            <w:tcBorders>
              <w:top w:val="nil"/>
              <w:left w:val="nil"/>
              <w:bottom w:val="single" w:sz="4" w:space="0" w:color="auto"/>
              <w:right w:val="single" w:sz="4" w:space="0" w:color="auto"/>
            </w:tcBorders>
            <w:shd w:val="clear" w:color="auto" w:fill="auto"/>
            <w:noWrap/>
            <w:vAlign w:val="bottom"/>
            <w:hideMark/>
          </w:tcPr>
          <w:p w14:paraId="02EF3647"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42 (0.54)</w:t>
            </w:r>
          </w:p>
        </w:tc>
        <w:tc>
          <w:tcPr>
            <w:tcW w:w="986" w:type="dxa"/>
            <w:gridSpan w:val="2"/>
            <w:tcBorders>
              <w:top w:val="nil"/>
              <w:left w:val="nil"/>
              <w:bottom w:val="single" w:sz="4" w:space="0" w:color="auto"/>
              <w:right w:val="single" w:sz="4" w:space="0" w:color="auto"/>
            </w:tcBorders>
            <w:shd w:val="clear" w:color="auto" w:fill="auto"/>
            <w:noWrap/>
            <w:vAlign w:val="bottom"/>
            <w:hideMark/>
          </w:tcPr>
          <w:p w14:paraId="2E01F20C"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2.74</w:t>
            </w:r>
          </w:p>
        </w:tc>
        <w:tc>
          <w:tcPr>
            <w:tcW w:w="943" w:type="dxa"/>
            <w:gridSpan w:val="2"/>
            <w:tcBorders>
              <w:top w:val="nil"/>
              <w:left w:val="nil"/>
              <w:bottom w:val="single" w:sz="4" w:space="0" w:color="auto"/>
              <w:right w:val="single" w:sz="4" w:space="0" w:color="auto"/>
            </w:tcBorders>
            <w:shd w:val="clear" w:color="auto" w:fill="auto"/>
            <w:noWrap/>
            <w:vAlign w:val="bottom"/>
            <w:hideMark/>
          </w:tcPr>
          <w:p w14:paraId="1BAF8F4E"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1.104</w:t>
            </w:r>
          </w:p>
        </w:tc>
        <w:tc>
          <w:tcPr>
            <w:tcW w:w="1042" w:type="dxa"/>
            <w:gridSpan w:val="2"/>
            <w:tcBorders>
              <w:top w:val="nil"/>
              <w:left w:val="nil"/>
              <w:bottom w:val="single" w:sz="4" w:space="0" w:color="auto"/>
              <w:right w:val="single" w:sz="4" w:space="0" w:color="auto"/>
            </w:tcBorders>
            <w:shd w:val="clear" w:color="auto" w:fill="auto"/>
            <w:noWrap/>
            <w:vAlign w:val="bottom"/>
            <w:hideMark/>
          </w:tcPr>
          <w:p w14:paraId="39195EC1"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17.9</w:t>
            </w:r>
          </w:p>
        </w:tc>
        <w:tc>
          <w:tcPr>
            <w:tcW w:w="976" w:type="dxa"/>
            <w:tcBorders>
              <w:top w:val="nil"/>
              <w:left w:val="nil"/>
              <w:bottom w:val="single" w:sz="4" w:space="0" w:color="auto"/>
              <w:right w:val="single" w:sz="4" w:space="0" w:color="auto"/>
            </w:tcBorders>
            <w:shd w:val="clear" w:color="000000" w:fill="D9D9D9"/>
            <w:noWrap/>
            <w:vAlign w:val="bottom"/>
            <w:hideMark/>
          </w:tcPr>
          <w:p w14:paraId="1D54ED87"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33.3</w:t>
            </w:r>
          </w:p>
        </w:tc>
        <w:tc>
          <w:tcPr>
            <w:tcW w:w="1292" w:type="dxa"/>
            <w:tcBorders>
              <w:top w:val="nil"/>
              <w:left w:val="nil"/>
              <w:bottom w:val="single" w:sz="4" w:space="0" w:color="auto"/>
              <w:right w:val="single" w:sz="4" w:space="0" w:color="auto"/>
            </w:tcBorders>
            <w:shd w:val="clear" w:color="auto" w:fill="auto"/>
            <w:noWrap/>
            <w:hideMark/>
          </w:tcPr>
          <w:p w14:paraId="5E291E98"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42 (0.57)</w:t>
            </w:r>
          </w:p>
        </w:tc>
      </w:tr>
      <w:tr w:rsidR="00403B07" w:rsidRPr="00734C53" w14:paraId="7FAC7F24" w14:textId="77777777" w:rsidTr="00B01272">
        <w:trPr>
          <w:trHeight w:val="297"/>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708B0B9F"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37</w:t>
            </w:r>
          </w:p>
        </w:tc>
        <w:tc>
          <w:tcPr>
            <w:tcW w:w="1249" w:type="dxa"/>
            <w:gridSpan w:val="2"/>
            <w:tcBorders>
              <w:top w:val="nil"/>
              <w:left w:val="nil"/>
              <w:bottom w:val="single" w:sz="4" w:space="0" w:color="auto"/>
              <w:right w:val="single" w:sz="4" w:space="0" w:color="auto"/>
            </w:tcBorders>
            <w:shd w:val="clear" w:color="auto" w:fill="auto"/>
            <w:noWrap/>
            <w:vAlign w:val="bottom"/>
            <w:hideMark/>
          </w:tcPr>
          <w:p w14:paraId="2149C7A7"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103.7</w:t>
            </w:r>
          </w:p>
        </w:tc>
        <w:tc>
          <w:tcPr>
            <w:tcW w:w="1140" w:type="dxa"/>
            <w:gridSpan w:val="2"/>
            <w:tcBorders>
              <w:top w:val="nil"/>
              <w:left w:val="nil"/>
              <w:bottom w:val="single" w:sz="4" w:space="0" w:color="auto"/>
              <w:right w:val="single" w:sz="4" w:space="0" w:color="auto"/>
            </w:tcBorders>
            <w:shd w:val="clear" w:color="auto" w:fill="auto"/>
            <w:noWrap/>
            <w:vAlign w:val="bottom"/>
            <w:hideMark/>
          </w:tcPr>
          <w:p w14:paraId="267D12EF"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1.92</w:t>
            </w:r>
          </w:p>
        </w:tc>
        <w:tc>
          <w:tcPr>
            <w:tcW w:w="1153" w:type="dxa"/>
            <w:gridSpan w:val="3"/>
            <w:tcBorders>
              <w:top w:val="nil"/>
              <w:left w:val="nil"/>
              <w:bottom w:val="single" w:sz="4" w:space="0" w:color="auto"/>
              <w:right w:val="single" w:sz="4" w:space="0" w:color="auto"/>
            </w:tcBorders>
            <w:shd w:val="clear" w:color="auto" w:fill="auto"/>
            <w:noWrap/>
            <w:vAlign w:val="bottom"/>
            <w:hideMark/>
          </w:tcPr>
          <w:p w14:paraId="274C1652"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1.120</w:t>
            </w:r>
          </w:p>
        </w:tc>
        <w:tc>
          <w:tcPr>
            <w:tcW w:w="1051" w:type="dxa"/>
            <w:gridSpan w:val="2"/>
            <w:tcBorders>
              <w:top w:val="nil"/>
              <w:left w:val="nil"/>
              <w:bottom w:val="single" w:sz="4" w:space="0" w:color="auto"/>
              <w:right w:val="single" w:sz="4" w:space="0" w:color="auto"/>
            </w:tcBorders>
            <w:shd w:val="clear" w:color="000000" w:fill="D9D9D9"/>
            <w:noWrap/>
            <w:vAlign w:val="bottom"/>
            <w:hideMark/>
          </w:tcPr>
          <w:p w14:paraId="2D0103CF"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51.5</w:t>
            </w:r>
          </w:p>
        </w:tc>
        <w:tc>
          <w:tcPr>
            <w:tcW w:w="932" w:type="dxa"/>
            <w:gridSpan w:val="2"/>
            <w:tcBorders>
              <w:top w:val="nil"/>
              <w:left w:val="nil"/>
              <w:bottom w:val="single" w:sz="4" w:space="0" w:color="auto"/>
              <w:right w:val="single" w:sz="4" w:space="0" w:color="auto"/>
            </w:tcBorders>
            <w:shd w:val="clear" w:color="auto" w:fill="auto"/>
            <w:noWrap/>
            <w:vAlign w:val="bottom"/>
            <w:hideMark/>
          </w:tcPr>
          <w:p w14:paraId="1AFBE2A2"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15.6</w:t>
            </w:r>
          </w:p>
        </w:tc>
        <w:tc>
          <w:tcPr>
            <w:tcW w:w="1292" w:type="dxa"/>
            <w:gridSpan w:val="2"/>
            <w:tcBorders>
              <w:top w:val="nil"/>
              <w:left w:val="nil"/>
              <w:bottom w:val="single" w:sz="4" w:space="0" w:color="auto"/>
              <w:right w:val="single" w:sz="4" w:space="0" w:color="auto"/>
            </w:tcBorders>
            <w:shd w:val="clear" w:color="auto" w:fill="auto"/>
            <w:noWrap/>
            <w:vAlign w:val="bottom"/>
            <w:hideMark/>
          </w:tcPr>
          <w:p w14:paraId="4C3230CD"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38 (0.53)</w:t>
            </w:r>
          </w:p>
        </w:tc>
        <w:tc>
          <w:tcPr>
            <w:tcW w:w="986" w:type="dxa"/>
            <w:gridSpan w:val="2"/>
            <w:tcBorders>
              <w:top w:val="nil"/>
              <w:left w:val="nil"/>
              <w:bottom w:val="single" w:sz="4" w:space="0" w:color="auto"/>
              <w:right w:val="single" w:sz="4" w:space="0" w:color="auto"/>
            </w:tcBorders>
            <w:shd w:val="clear" w:color="auto" w:fill="auto"/>
            <w:noWrap/>
            <w:vAlign w:val="bottom"/>
            <w:hideMark/>
          </w:tcPr>
          <w:p w14:paraId="3C86FB0B"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1.98</w:t>
            </w:r>
          </w:p>
        </w:tc>
        <w:tc>
          <w:tcPr>
            <w:tcW w:w="943" w:type="dxa"/>
            <w:gridSpan w:val="2"/>
            <w:tcBorders>
              <w:top w:val="nil"/>
              <w:left w:val="nil"/>
              <w:bottom w:val="single" w:sz="4" w:space="0" w:color="auto"/>
              <w:right w:val="single" w:sz="4" w:space="0" w:color="auto"/>
            </w:tcBorders>
            <w:shd w:val="clear" w:color="auto" w:fill="auto"/>
            <w:noWrap/>
            <w:vAlign w:val="bottom"/>
            <w:hideMark/>
          </w:tcPr>
          <w:p w14:paraId="2159B548"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1.155</w:t>
            </w:r>
          </w:p>
        </w:tc>
        <w:tc>
          <w:tcPr>
            <w:tcW w:w="1042" w:type="dxa"/>
            <w:gridSpan w:val="2"/>
            <w:tcBorders>
              <w:top w:val="nil"/>
              <w:left w:val="nil"/>
              <w:bottom w:val="single" w:sz="4" w:space="0" w:color="auto"/>
              <w:right w:val="single" w:sz="4" w:space="0" w:color="auto"/>
            </w:tcBorders>
            <w:shd w:val="clear" w:color="000000" w:fill="D9D9D9"/>
            <w:noWrap/>
            <w:vAlign w:val="bottom"/>
            <w:hideMark/>
          </w:tcPr>
          <w:p w14:paraId="098C4E4C"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50.5</w:t>
            </w:r>
          </w:p>
        </w:tc>
        <w:tc>
          <w:tcPr>
            <w:tcW w:w="976" w:type="dxa"/>
            <w:tcBorders>
              <w:top w:val="nil"/>
              <w:left w:val="nil"/>
              <w:bottom w:val="single" w:sz="4" w:space="0" w:color="auto"/>
              <w:right w:val="single" w:sz="4" w:space="0" w:color="auto"/>
            </w:tcBorders>
            <w:shd w:val="clear" w:color="auto" w:fill="auto"/>
            <w:noWrap/>
            <w:vAlign w:val="bottom"/>
            <w:hideMark/>
          </w:tcPr>
          <w:p w14:paraId="66A4637E"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17.4</w:t>
            </w:r>
          </w:p>
        </w:tc>
        <w:tc>
          <w:tcPr>
            <w:tcW w:w="1292" w:type="dxa"/>
            <w:tcBorders>
              <w:top w:val="nil"/>
              <w:left w:val="nil"/>
              <w:bottom w:val="single" w:sz="4" w:space="0" w:color="auto"/>
              <w:right w:val="single" w:sz="4" w:space="0" w:color="auto"/>
            </w:tcBorders>
            <w:shd w:val="clear" w:color="auto" w:fill="auto"/>
            <w:noWrap/>
            <w:hideMark/>
          </w:tcPr>
          <w:p w14:paraId="4B89C738"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38 (0.52)</w:t>
            </w:r>
          </w:p>
        </w:tc>
      </w:tr>
      <w:tr w:rsidR="00403B07" w:rsidRPr="00734C53" w14:paraId="143D28DB" w14:textId="77777777" w:rsidTr="00B01272">
        <w:trPr>
          <w:trHeight w:val="297"/>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17967314"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38</w:t>
            </w:r>
          </w:p>
        </w:tc>
        <w:tc>
          <w:tcPr>
            <w:tcW w:w="1249" w:type="dxa"/>
            <w:gridSpan w:val="2"/>
            <w:tcBorders>
              <w:top w:val="nil"/>
              <w:left w:val="nil"/>
              <w:bottom w:val="single" w:sz="4" w:space="0" w:color="auto"/>
              <w:right w:val="single" w:sz="4" w:space="0" w:color="auto"/>
            </w:tcBorders>
            <w:shd w:val="clear" w:color="auto" w:fill="auto"/>
            <w:noWrap/>
            <w:vAlign w:val="bottom"/>
            <w:hideMark/>
          </w:tcPr>
          <w:p w14:paraId="01C9886E"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85.1</w:t>
            </w:r>
          </w:p>
        </w:tc>
        <w:tc>
          <w:tcPr>
            <w:tcW w:w="1140" w:type="dxa"/>
            <w:gridSpan w:val="2"/>
            <w:tcBorders>
              <w:top w:val="nil"/>
              <w:left w:val="nil"/>
              <w:bottom w:val="single" w:sz="4" w:space="0" w:color="auto"/>
              <w:right w:val="single" w:sz="4" w:space="0" w:color="auto"/>
            </w:tcBorders>
            <w:shd w:val="clear" w:color="auto" w:fill="auto"/>
            <w:noWrap/>
            <w:vAlign w:val="bottom"/>
            <w:hideMark/>
          </w:tcPr>
          <w:p w14:paraId="2B83A659"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2.06</w:t>
            </w:r>
          </w:p>
        </w:tc>
        <w:tc>
          <w:tcPr>
            <w:tcW w:w="1153" w:type="dxa"/>
            <w:gridSpan w:val="3"/>
            <w:tcBorders>
              <w:top w:val="nil"/>
              <w:left w:val="nil"/>
              <w:bottom w:val="single" w:sz="4" w:space="0" w:color="auto"/>
              <w:right w:val="single" w:sz="4" w:space="0" w:color="auto"/>
            </w:tcBorders>
            <w:shd w:val="clear" w:color="auto" w:fill="auto"/>
            <w:noWrap/>
            <w:vAlign w:val="bottom"/>
            <w:hideMark/>
          </w:tcPr>
          <w:p w14:paraId="74917B9F"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1.151</w:t>
            </w:r>
          </w:p>
        </w:tc>
        <w:tc>
          <w:tcPr>
            <w:tcW w:w="1051" w:type="dxa"/>
            <w:gridSpan w:val="2"/>
            <w:tcBorders>
              <w:top w:val="nil"/>
              <w:left w:val="nil"/>
              <w:bottom w:val="single" w:sz="4" w:space="0" w:color="auto"/>
              <w:right w:val="single" w:sz="4" w:space="0" w:color="auto"/>
            </w:tcBorders>
            <w:shd w:val="clear" w:color="000000" w:fill="D9D9D9"/>
            <w:noWrap/>
            <w:vAlign w:val="bottom"/>
            <w:hideMark/>
          </w:tcPr>
          <w:p w14:paraId="0C408B0F"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45.4</w:t>
            </w:r>
          </w:p>
        </w:tc>
        <w:tc>
          <w:tcPr>
            <w:tcW w:w="932" w:type="dxa"/>
            <w:gridSpan w:val="2"/>
            <w:tcBorders>
              <w:top w:val="nil"/>
              <w:left w:val="nil"/>
              <w:bottom w:val="single" w:sz="4" w:space="0" w:color="auto"/>
              <w:right w:val="single" w:sz="4" w:space="0" w:color="auto"/>
            </w:tcBorders>
            <w:shd w:val="clear" w:color="auto" w:fill="auto"/>
            <w:noWrap/>
            <w:vAlign w:val="bottom"/>
            <w:hideMark/>
          </w:tcPr>
          <w:p w14:paraId="23238183"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18.0</w:t>
            </w:r>
          </w:p>
        </w:tc>
        <w:tc>
          <w:tcPr>
            <w:tcW w:w="1292" w:type="dxa"/>
            <w:gridSpan w:val="2"/>
            <w:tcBorders>
              <w:top w:val="nil"/>
              <w:left w:val="nil"/>
              <w:bottom w:val="single" w:sz="4" w:space="0" w:color="auto"/>
              <w:right w:val="single" w:sz="4" w:space="0" w:color="auto"/>
            </w:tcBorders>
            <w:shd w:val="clear" w:color="auto" w:fill="auto"/>
            <w:noWrap/>
            <w:vAlign w:val="bottom"/>
            <w:hideMark/>
          </w:tcPr>
          <w:p w14:paraId="242C47DF"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37 (0.53)</w:t>
            </w:r>
          </w:p>
        </w:tc>
        <w:tc>
          <w:tcPr>
            <w:tcW w:w="986" w:type="dxa"/>
            <w:gridSpan w:val="2"/>
            <w:tcBorders>
              <w:top w:val="nil"/>
              <w:left w:val="nil"/>
              <w:bottom w:val="single" w:sz="4" w:space="0" w:color="auto"/>
              <w:right w:val="single" w:sz="4" w:space="0" w:color="auto"/>
            </w:tcBorders>
            <w:shd w:val="clear" w:color="auto" w:fill="auto"/>
            <w:noWrap/>
            <w:vAlign w:val="bottom"/>
            <w:hideMark/>
          </w:tcPr>
          <w:p w14:paraId="51CE0237"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2.04</w:t>
            </w:r>
          </w:p>
        </w:tc>
        <w:tc>
          <w:tcPr>
            <w:tcW w:w="943" w:type="dxa"/>
            <w:gridSpan w:val="2"/>
            <w:tcBorders>
              <w:top w:val="nil"/>
              <w:left w:val="nil"/>
              <w:bottom w:val="single" w:sz="4" w:space="0" w:color="auto"/>
              <w:right w:val="single" w:sz="4" w:space="0" w:color="auto"/>
            </w:tcBorders>
            <w:shd w:val="clear" w:color="auto" w:fill="auto"/>
            <w:noWrap/>
            <w:vAlign w:val="bottom"/>
            <w:hideMark/>
          </w:tcPr>
          <w:p w14:paraId="6737C767"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1.142</w:t>
            </w:r>
          </w:p>
        </w:tc>
        <w:tc>
          <w:tcPr>
            <w:tcW w:w="1042" w:type="dxa"/>
            <w:gridSpan w:val="2"/>
            <w:tcBorders>
              <w:top w:val="nil"/>
              <w:left w:val="nil"/>
              <w:bottom w:val="single" w:sz="4" w:space="0" w:color="auto"/>
              <w:right w:val="single" w:sz="4" w:space="0" w:color="auto"/>
            </w:tcBorders>
            <w:shd w:val="clear" w:color="000000" w:fill="D9D9D9"/>
            <w:noWrap/>
            <w:vAlign w:val="bottom"/>
            <w:hideMark/>
          </w:tcPr>
          <w:p w14:paraId="61E9A8EF"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44.9</w:t>
            </w:r>
          </w:p>
        </w:tc>
        <w:tc>
          <w:tcPr>
            <w:tcW w:w="976" w:type="dxa"/>
            <w:tcBorders>
              <w:top w:val="nil"/>
              <w:left w:val="nil"/>
              <w:bottom w:val="single" w:sz="4" w:space="0" w:color="auto"/>
              <w:right w:val="single" w:sz="4" w:space="0" w:color="auto"/>
            </w:tcBorders>
            <w:shd w:val="clear" w:color="auto" w:fill="auto"/>
            <w:noWrap/>
            <w:vAlign w:val="bottom"/>
            <w:hideMark/>
          </w:tcPr>
          <w:p w14:paraId="5C02D5F4"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18.2</w:t>
            </w:r>
          </w:p>
        </w:tc>
        <w:tc>
          <w:tcPr>
            <w:tcW w:w="1292" w:type="dxa"/>
            <w:tcBorders>
              <w:top w:val="nil"/>
              <w:left w:val="nil"/>
              <w:bottom w:val="single" w:sz="4" w:space="0" w:color="auto"/>
              <w:right w:val="single" w:sz="4" w:space="0" w:color="auto"/>
            </w:tcBorders>
            <w:shd w:val="clear" w:color="auto" w:fill="auto"/>
            <w:noWrap/>
            <w:hideMark/>
          </w:tcPr>
          <w:p w14:paraId="73D6D884"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37 (0.52)</w:t>
            </w:r>
          </w:p>
        </w:tc>
      </w:tr>
      <w:tr w:rsidR="00403B07" w:rsidRPr="00734C53" w14:paraId="6E702F80" w14:textId="77777777" w:rsidTr="00B01272">
        <w:trPr>
          <w:trHeight w:val="297"/>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0955186D"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39</w:t>
            </w:r>
          </w:p>
        </w:tc>
        <w:tc>
          <w:tcPr>
            <w:tcW w:w="1249" w:type="dxa"/>
            <w:gridSpan w:val="2"/>
            <w:tcBorders>
              <w:top w:val="nil"/>
              <w:left w:val="nil"/>
              <w:bottom w:val="single" w:sz="4" w:space="0" w:color="auto"/>
              <w:right w:val="single" w:sz="4" w:space="0" w:color="auto"/>
            </w:tcBorders>
            <w:shd w:val="clear" w:color="auto" w:fill="auto"/>
            <w:noWrap/>
            <w:vAlign w:val="bottom"/>
            <w:hideMark/>
          </w:tcPr>
          <w:p w14:paraId="2096D049"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80.8</w:t>
            </w:r>
          </w:p>
        </w:tc>
        <w:tc>
          <w:tcPr>
            <w:tcW w:w="1140" w:type="dxa"/>
            <w:gridSpan w:val="2"/>
            <w:tcBorders>
              <w:top w:val="nil"/>
              <w:left w:val="nil"/>
              <w:bottom w:val="single" w:sz="4" w:space="0" w:color="auto"/>
              <w:right w:val="single" w:sz="4" w:space="0" w:color="auto"/>
            </w:tcBorders>
            <w:shd w:val="clear" w:color="auto" w:fill="auto"/>
            <w:noWrap/>
            <w:vAlign w:val="bottom"/>
            <w:hideMark/>
          </w:tcPr>
          <w:p w14:paraId="54C14D52"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2.31</w:t>
            </w:r>
          </w:p>
        </w:tc>
        <w:tc>
          <w:tcPr>
            <w:tcW w:w="1153" w:type="dxa"/>
            <w:gridSpan w:val="3"/>
            <w:tcBorders>
              <w:top w:val="nil"/>
              <w:left w:val="nil"/>
              <w:bottom w:val="single" w:sz="4" w:space="0" w:color="auto"/>
              <w:right w:val="single" w:sz="4" w:space="0" w:color="auto"/>
            </w:tcBorders>
            <w:shd w:val="clear" w:color="auto" w:fill="auto"/>
            <w:noWrap/>
            <w:vAlign w:val="bottom"/>
            <w:hideMark/>
          </w:tcPr>
          <w:p w14:paraId="16C02399"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1.104</w:t>
            </w:r>
          </w:p>
        </w:tc>
        <w:tc>
          <w:tcPr>
            <w:tcW w:w="1051" w:type="dxa"/>
            <w:gridSpan w:val="2"/>
            <w:tcBorders>
              <w:top w:val="nil"/>
              <w:left w:val="nil"/>
              <w:bottom w:val="single" w:sz="4" w:space="0" w:color="auto"/>
              <w:right w:val="single" w:sz="4" w:space="0" w:color="auto"/>
            </w:tcBorders>
            <w:shd w:val="clear" w:color="000000" w:fill="D9D9D9"/>
            <w:noWrap/>
            <w:vAlign w:val="bottom"/>
            <w:hideMark/>
          </w:tcPr>
          <w:p w14:paraId="64227222"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30.5</w:t>
            </w:r>
          </w:p>
        </w:tc>
        <w:tc>
          <w:tcPr>
            <w:tcW w:w="932" w:type="dxa"/>
            <w:gridSpan w:val="2"/>
            <w:tcBorders>
              <w:top w:val="nil"/>
              <w:left w:val="nil"/>
              <w:bottom w:val="single" w:sz="4" w:space="0" w:color="auto"/>
              <w:right w:val="single" w:sz="4" w:space="0" w:color="auto"/>
            </w:tcBorders>
            <w:shd w:val="clear" w:color="auto" w:fill="auto"/>
            <w:noWrap/>
            <w:vAlign w:val="bottom"/>
            <w:hideMark/>
          </w:tcPr>
          <w:p w14:paraId="18815C1E"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19.6</w:t>
            </w:r>
          </w:p>
        </w:tc>
        <w:tc>
          <w:tcPr>
            <w:tcW w:w="1292" w:type="dxa"/>
            <w:gridSpan w:val="2"/>
            <w:tcBorders>
              <w:top w:val="nil"/>
              <w:left w:val="nil"/>
              <w:bottom w:val="single" w:sz="4" w:space="0" w:color="auto"/>
              <w:right w:val="single" w:sz="4" w:space="0" w:color="auto"/>
            </w:tcBorders>
            <w:shd w:val="clear" w:color="000000" w:fill="D9D9D9"/>
            <w:noWrap/>
            <w:hideMark/>
          </w:tcPr>
          <w:p w14:paraId="35B7B59A"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40 (0.62)</w:t>
            </w:r>
          </w:p>
        </w:tc>
        <w:tc>
          <w:tcPr>
            <w:tcW w:w="986" w:type="dxa"/>
            <w:gridSpan w:val="2"/>
            <w:tcBorders>
              <w:top w:val="nil"/>
              <w:left w:val="nil"/>
              <w:bottom w:val="single" w:sz="4" w:space="0" w:color="auto"/>
              <w:right w:val="single" w:sz="4" w:space="0" w:color="auto"/>
            </w:tcBorders>
            <w:shd w:val="clear" w:color="auto" w:fill="auto"/>
            <w:noWrap/>
            <w:vAlign w:val="bottom"/>
            <w:hideMark/>
          </w:tcPr>
          <w:p w14:paraId="63BEB274"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2.31</w:t>
            </w:r>
          </w:p>
        </w:tc>
        <w:tc>
          <w:tcPr>
            <w:tcW w:w="943" w:type="dxa"/>
            <w:gridSpan w:val="2"/>
            <w:tcBorders>
              <w:top w:val="nil"/>
              <w:left w:val="nil"/>
              <w:bottom w:val="single" w:sz="4" w:space="0" w:color="auto"/>
              <w:right w:val="single" w:sz="4" w:space="0" w:color="auto"/>
            </w:tcBorders>
            <w:shd w:val="clear" w:color="auto" w:fill="auto"/>
            <w:noWrap/>
            <w:vAlign w:val="bottom"/>
            <w:hideMark/>
          </w:tcPr>
          <w:p w14:paraId="25D1005B"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1.098</w:t>
            </w:r>
          </w:p>
        </w:tc>
        <w:tc>
          <w:tcPr>
            <w:tcW w:w="1042" w:type="dxa"/>
            <w:gridSpan w:val="2"/>
            <w:tcBorders>
              <w:top w:val="nil"/>
              <w:left w:val="nil"/>
              <w:bottom w:val="single" w:sz="4" w:space="0" w:color="auto"/>
              <w:right w:val="single" w:sz="4" w:space="0" w:color="auto"/>
            </w:tcBorders>
            <w:shd w:val="clear" w:color="000000" w:fill="D9D9D9"/>
            <w:noWrap/>
            <w:vAlign w:val="bottom"/>
            <w:hideMark/>
          </w:tcPr>
          <w:p w14:paraId="5E077255"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30.5</w:t>
            </w:r>
          </w:p>
        </w:tc>
        <w:tc>
          <w:tcPr>
            <w:tcW w:w="976" w:type="dxa"/>
            <w:tcBorders>
              <w:top w:val="nil"/>
              <w:left w:val="nil"/>
              <w:bottom w:val="single" w:sz="4" w:space="0" w:color="auto"/>
              <w:right w:val="single" w:sz="4" w:space="0" w:color="auto"/>
            </w:tcBorders>
            <w:shd w:val="clear" w:color="auto" w:fill="auto"/>
            <w:noWrap/>
            <w:vAlign w:val="bottom"/>
            <w:hideMark/>
          </w:tcPr>
          <w:p w14:paraId="5EBA0776"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19.1</w:t>
            </w:r>
          </w:p>
        </w:tc>
        <w:tc>
          <w:tcPr>
            <w:tcW w:w="1292" w:type="dxa"/>
            <w:tcBorders>
              <w:top w:val="nil"/>
              <w:left w:val="nil"/>
              <w:bottom w:val="single" w:sz="4" w:space="0" w:color="auto"/>
              <w:right w:val="single" w:sz="4" w:space="0" w:color="auto"/>
            </w:tcBorders>
            <w:shd w:val="clear" w:color="auto" w:fill="D9D9D9" w:themeFill="background1" w:themeFillShade="D9"/>
            <w:noWrap/>
            <w:hideMark/>
          </w:tcPr>
          <w:p w14:paraId="21BD18E1"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40 (0.63)</w:t>
            </w:r>
          </w:p>
        </w:tc>
      </w:tr>
      <w:tr w:rsidR="00403B07" w:rsidRPr="00734C53" w14:paraId="689B264B" w14:textId="77777777" w:rsidTr="00B01272">
        <w:trPr>
          <w:trHeight w:val="297"/>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60DB3171"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40</w:t>
            </w:r>
          </w:p>
        </w:tc>
        <w:tc>
          <w:tcPr>
            <w:tcW w:w="1249" w:type="dxa"/>
            <w:gridSpan w:val="2"/>
            <w:tcBorders>
              <w:top w:val="nil"/>
              <w:left w:val="nil"/>
              <w:bottom w:val="single" w:sz="4" w:space="0" w:color="auto"/>
              <w:right w:val="single" w:sz="4" w:space="0" w:color="auto"/>
            </w:tcBorders>
            <w:shd w:val="clear" w:color="auto" w:fill="auto"/>
            <w:noWrap/>
            <w:vAlign w:val="bottom"/>
            <w:hideMark/>
          </w:tcPr>
          <w:p w14:paraId="5404A446"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85.2</w:t>
            </w:r>
          </w:p>
        </w:tc>
        <w:tc>
          <w:tcPr>
            <w:tcW w:w="1140" w:type="dxa"/>
            <w:gridSpan w:val="2"/>
            <w:tcBorders>
              <w:top w:val="nil"/>
              <w:left w:val="nil"/>
              <w:bottom w:val="single" w:sz="4" w:space="0" w:color="auto"/>
              <w:right w:val="single" w:sz="4" w:space="0" w:color="auto"/>
            </w:tcBorders>
            <w:shd w:val="clear" w:color="auto" w:fill="auto"/>
            <w:noWrap/>
            <w:vAlign w:val="bottom"/>
            <w:hideMark/>
          </w:tcPr>
          <w:p w14:paraId="511F04AB"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2.49</w:t>
            </w:r>
          </w:p>
        </w:tc>
        <w:tc>
          <w:tcPr>
            <w:tcW w:w="1153" w:type="dxa"/>
            <w:gridSpan w:val="3"/>
            <w:tcBorders>
              <w:top w:val="nil"/>
              <w:left w:val="nil"/>
              <w:bottom w:val="single" w:sz="4" w:space="0" w:color="auto"/>
              <w:right w:val="single" w:sz="4" w:space="0" w:color="auto"/>
            </w:tcBorders>
            <w:shd w:val="clear" w:color="auto" w:fill="auto"/>
            <w:noWrap/>
            <w:vAlign w:val="bottom"/>
            <w:hideMark/>
          </w:tcPr>
          <w:p w14:paraId="2E02FBE6"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1.099</w:t>
            </w:r>
          </w:p>
        </w:tc>
        <w:tc>
          <w:tcPr>
            <w:tcW w:w="1051" w:type="dxa"/>
            <w:gridSpan w:val="2"/>
            <w:tcBorders>
              <w:top w:val="nil"/>
              <w:left w:val="nil"/>
              <w:bottom w:val="single" w:sz="4" w:space="0" w:color="auto"/>
              <w:right w:val="single" w:sz="4" w:space="0" w:color="auto"/>
            </w:tcBorders>
            <w:shd w:val="clear" w:color="auto" w:fill="auto"/>
            <w:noWrap/>
            <w:vAlign w:val="bottom"/>
            <w:hideMark/>
          </w:tcPr>
          <w:p w14:paraId="43866FFC"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23.5</w:t>
            </w:r>
          </w:p>
        </w:tc>
        <w:tc>
          <w:tcPr>
            <w:tcW w:w="932" w:type="dxa"/>
            <w:gridSpan w:val="2"/>
            <w:tcBorders>
              <w:top w:val="nil"/>
              <w:left w:val="nil"/>
              <w:bottom w:val="single" w:sz="4" w:space="0" w:color="auto"/>
              <w:right w:val="single" w:sz="4" w:space="0" w:color="auto"/>
            </w:tcBorders>
            <w:shd w:val="clear" w:color="auto" w:fill="auto"/>
            <w:noWrap/>
            <w:vAlign w:val="bottom"/>
            <w:hideMark/>
          </w:tcPr>
          <w:p w14:paraId="1782F0B0"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24.3</w:t>
            </w:r>
          </w:p>
        </w:tc>
        <w:tc>
          <w:tcPr>
            <w:tcW w:w="1292" w:type="dxa"/>
            <w:gridSpan w:val="2"/>
            <w:tcBorders>
              <w:top w:val="nil"/>
              <w:left w:val="nil"/>
              <w:bottom w:val="single" w:sz="4" w:space="0" w:color="auto"/>
              <w:right w:val="single" w:sz="4" w:space="0" w:color="auto"/>
            </w:tcBorders>
            <w:shd w:val="clear" w:color="000000" w:fill="D9D9D9"/>
            <w:noWrap/>
            <w:hideMark/>
          </w:tcPr>
          <w:p w14:paraId="1558571F"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39 (0.62)</w:t>
            </w:r>
          </w:p>
        </w:tc>
        <w:tc>
          <w:tcPr>
            <w:tcW w:w="986" w:type="dxa"/>
            <w:gridSpan w:val="2"/>
            <w:tcBorders>
              <w:top w:val="nil"/>
              <w:left w:val="nil"/>
              <w:bottom w:val="single" w:sz="4" w:space="0" w:color="auto"/>
              <w:right w:val="single" w:sz="4" w:space="0" w:color="auto"/>
            </w:tcBorders>
            <w:shd w:val="clear" w:color="auto" w:fill="auto"/>
            <w:noWrap/>
            <w:vAlign w:val="bottom"/>
            <w:hideMark/>
          </w:tcPr>
          <w:p w14:paraId="7913092A"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2.47</w:t>
            </w:r>
          </w:p>
        </w:tc>
        <w:tc>
          <w:tcPr>
            <w:tcW w:w="943" w:type="dxa"/>
            <w:gridSpan w:val="2"/>
            <w:tcBorders>
              <w:top w:val="nil"/>
              <w:left w:val="nil"/>
              <w:bottom w:val="single" w:sz="4" w:space="0" w:color="auto"/>
              <w:right w:val="single" w:sz="4" w:space="0" w:color="auto"/>
            </w:tcBorders>
            <w:shd w:val="clear" w:color="auto" w:fill="auto"/>
            <w:noWrap/>
            <w:vAlign w:val="bottom"/>
            <w:hideMark/>
          </w:tcPr>
          <w:p w14:paraId="6A538658"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1.096</w:t>
            </w:r>
          </w:p>
        </w:tc>
        <w:tc>
          <w:tcPr>
            <w:tcW w:w="1042" w:type="dxa"/>
            <w:gridSpan w:val="2"/>
            <w:tcBorders>
              <w:top w:val="nil"/>
              <w:left w:val="nil"/>
              <w:bottom w:val="single" w:sz="4" w:space="0" w:color="auto"/>
              <w:right w:val="single" w:sz="4" w:space="0" w:color="auto"/>
            </w:tcBorders>
            <w:shd w:val="clear" w:color="auto" w:fill="auto"/>
            <w:noWrap/>
            <w:vAlign w:val="bottom"/>
            <w:hideMark/>
          </w:tcPr>
          <w:p w14:paraId="2155C200"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24.2</w:t>
            </w:r>
          </w:p>
        </w:tc>
        <w:tc>
          <w:tcPr>
            <w:tcW w:w="976" w:type="dxa"/>
            <w:tcBorders>
              <w:top w:val="nil"/>
              <w:left w:val="nil"/>
              <w:bottom w:val="single" w:sz="4" w:space="0" w:color="auto"/>
              <w:right w:val="single" w:sz="4" w:space="0" w:color="auto"/>
            </w:tcBorders>
            <w:shd w:val="clear" w:color="auto" w:fill="auto"/>
            <w:noWrap/>
            <w:vAlign w:val="bottom"/>
            <w:hideMark/>
          </w:tcPr>
          <w:p w14:paraId="72004048"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23.3</w:t>
            </w:r>
          </w:p>
        </w:tc>
        <w:tc>
          <w:tcPr>
            <w:tcW w:w="1292" w:type="dxa"/>
            <w:tcBorders>
              <w:top w:val="nil"/>
              <w:left w:val="nil"/>
              <w:bottom w:val="single" w:sz="4" w:space="0" w:color="auto"/>
              <w:right w:val="single" w:sz="4" w:space="0" w:color="auto"/>
            </w:tcBorders>
            <w:shd w:val="clear" w:color="auto" w:fill="D9D9D9" w:themeFill="background1" w:themeFillShade="D9"/>
            <w:noWrap/>
            <w:vAlign w:val="bottom"/>
            <w:hideMark/>
          </w:tcPr>
          <w:p w14:paraId="0EAEF289"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39 (0.63)</w:t>
            </w:r>
          </w:p>
        </w:tc>
      </w:tr>
      <w:tr w:rsidR="00403B07" w:rsidRPr="00734C53" w14:paraId="66ADCB6E" w14:textId="77777777" w:rsidTr="00B01272">
        <w:trPr>
          <w:trHeight w:val="297"/>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2318F1C0"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41</w:t>
            </w:r>
          </w:p>
        </w:tc>
        <w:tc>
          <w:tcPr>
            <w:tcW w:w="1249" w:type="dxa"/>
            <w:gridSpan w:val="2"/>
            <w:tcBorders>
              <w:top w:val="nil"/>
              <w:left w:val="nil"/>
              <w:bottom w:val="single" w:sz="4" w:space="0" w:color="auto"/>
              <w:right w:val="single" w:sz="4" w:space="0" w:color="auto"/>
            </w:tcBorders>
            <w:shd w:val="clear" w:color="auto" w:fill="auto"/>
            <w:noWrap/>
            <w:vAlign w:val="bottom"/>
            <w:hideMark/>
          </w:tcPr>
          <w:p w14:paraId="0EFF18D0"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80.8</w:t>
            </w:r>
          </w:p>
        </w:tc>
        <w:tc>
          <w:tcPr>
            <w:tcW w:w="1140" w:type="dxa"/>
            <w:gridSpan w:val="2"/>
            <w:tcBorders>
              <w:top w:val="nil"/>
              <w:left w:val="nil"/>
              <w:bottom w:val="single" w:sz="4" w:space="0" w:color="auto"/>
              <w:right w:val="single" w:sz="4" w:space="0" w:color="auto"/>
            </w:tcBorders>
            <w:shd w:val="clear" w:color="auto" w:fill="auto"/>
            <w:noWrap/>
            <w:vAlign w:val="bottom"/>
            <w:hideMark/>
          </w:tcPr>
          <w:p w14:paraId="6B6790AB"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2.29</w:t>
            </w:r>
          </w:p>
        </w:tc>
        <w:tc>
          <w:tcPr>
            <w:tcW w:w="1153" w:type="dxa"/>
            <w:gridSpan w:val="3"/>
            <w:tcBorders>
              <w:top w:val="nil"/>
              <w:left w:val="nil"/>
              <w:bottom w:val="single" w:sz="4" w:space="0" w:color="auto"/>
              <w:right w:val="single" w:sz="4" w:space="0" w:color="auto"/>
            </w:tcBorders>
            <w:shd w:val="clear" w:color="auto" w:fill="auto"/>
            <w:noWrap/>
            <w:vAlign w:val="bottom"/>
            <w:hideMark/>
          </w:tcPr>
          <w:p w14:paraId="7F25D74B"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1.112</w:t>
            </w:r>
          </w:p>
        </w:tc>
        <w:tc>
          <w:tcPr>
            <w:tcW w:w="1051" w:type="dxa"/>
            <w:gridSpan w:val="2"/>
            <w:tcBorders>
              <w:top w:val="nil"/>
              <w:left w:val="nil"/>
              <w:bottom w:val="single" w:sz="4" w:space="0" w:color="auto"/>
              <w:right w:val="single" w:sz="4" w:space="0" w:color="auto"/>
            </w:tcBorders>
            <w:shd w:val="clear" w:color="000000" w:fill="D9D9D9"/>
            <w:noWrap/>
            <w:vAlign w:val="bottom"/>
            <w:hideMark/>
          </w:tcPr>
          <w:p w14:paraId="69C15D17"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31.9</w:t>
            </w:r>
          </w:p>
        </w:tc>
        <w:tc>
          <w:tcPr>
            <w:tcW w:w="932" w:type="dxa"/>
            <w:gridSpan w:val="2"/>
            <w:tcBorders>
              <w:top w:val="nil"/>
              <w:left w:val="nil"/>
              <w:bottom w:val="single" w:sz="4" w:space="0" w:color="auto"/>
              <w:right w:val="single" w:sz="4" w:space="0" w:color="auto"/>
            </w:tcBorders>
            <w:shd w:val="clear" w:color="auto" w:fill="auto"/>
            <w:noWrap/>
            <w:vAlign w:val="bottom"/>
            <w:hideMark/>
          </w:tcPr>
          <w:p w14:paraId="3A1D3D82"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19.5</w:t>
            </w:r>
          </w:p>
        </w:tc>
        <w:tc>
          <w:tcPr>
            <w:tcW w:w="1292" w:type="dxa"/>
            <w:gridSpan w:val="2"/>
            <w:tcBorders>
              <w:top w:val="nil"/>
              <w:left w:val="nil"/>
              <w:bottom w:val="single" w:sz="4" w:space="0" w:color="auto"/>
              <w:right w:val="single" w:sz="4" w:space="0" w:color="auto"/>
            </w:tcBorders>
            <w:shd w:val="clear" w:color="auto" w:fill="auto"/>
            <w:noWrap/>
            <w:vAlign w:val="bottom"/>
            <w:hideMark/>
          </w:tcPr>
          <w:p w14:paraId="0ECD6B43"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35 (0.51)</w:t>
            </w:r>
          </w:p>
        </w:tc>
        <w:tc>
          <w:tcPr>
            <w:tcW w:w="986" w:type="dxa"/>
            <w:gridSpan w:val="2"/>
            <w:tcBorders>
              <w:top w:val="nil"/>
              <w:left w:val="nil"/>
              <w:bottom w:val="single" w:sz="4" w:space="0" w:color="auto"/>
              <w:right w:val="single" w:sz="4" w:space="0" w:color="auto"/>
            </w:tcBorders>
            <w:shd w:val="clear" w:color="auto" w:fill="auto"/>
            <w:noWrap/>
            <w:vAlign w:val="bottom"/>
            <w:hideMark/>
          </w:tcPr>
          <w:p w14:paraId="7998A44E"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2.24</w:t>
            </w:r>
          </w:p>
        </w:tc>
        <w:tc>
          <w:tcPr>
            <w:tcW w:w="943" w:type="dxa"/>
            <w:gridSpan w:val="2"/>
            <w:tcBorders>
              <w:top w:val="nil"/>
              <w:left w:val="nil"/>
              <w:bottom w:val="single" w:sz="4" w:space="0" w:color="auto"/>
              <w:right w:val="single" w:sz="4" w:space="0" w:color="auto"/>
            </w:tcBorders>
            <w:shd w:val="clear" w:color="auto" w:fill="auto"/>
            <w:noWrap/>
            <w:vAlign w:val="bottom"/>
            <w:hideMark/>
          </w:tcPr>
          <w:p w14:paraId="6FE442AA"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1.129</w:t>
            </w:r>
          </w:p>
        </w:tc>
        <w:tc>
          <w:tcPr>
            <w:tcW w:w="1042" w:type="dxa"/>
            <w:gridSpan w:val="2"/>
            <w:tcBorders>
              <w:top w:val="nil"/>
              <w:left w:val="nil"/>
              <w:bottom w:val="single" w:sz="4" w:space="0" w:color="auto"/>
              <w:right w:val="single" w:sz="4" w:space="0" w:color="auto"/>
            </w:tcBorders>
            <w:shd w:val="clear" w:color="000000" w:fill="D9D9D9"/>
            <w:noWrap/>
            <w:vAlign w:val="bottom"/>
            <w:hideMark/>
          </w:tcPr>
          <w:p w14:paraId="22DE5731"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35.5</w:t>
            </w:r>
          </w:p>
        </w:tc>
        <w:tc>
          <w:tcPr>
            <w:tcW w:w="976" w:type="dxa"/>
            <w:tcBorders>
              <w:top w:val="nil"/>
              <w:left w:val="nil"/>
              <w:bottom w:val="single" w:sz="4" w:space="0" w:color="auto"/>
              <w:right w:val="single" w:sz="4" w:space="0" w:color="auto"/>
            </w:tcBorders>
            <w:shd w:val="clear" w:color="auto" w:fill="auto"/>
            <w:noWrap/>
            <w:vAlign w:val="bottom"/>
            <w:hideMark/>
          </w:tcPr>
          <w:p w14:paraId="46C3A7C6"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19.0</w:t>
            </w:r>
          </w:p>
        </w:tc>
        <w:tc>
          <w:tcPr>
            <w:tcW w:w="1292" w:type="dxa"/>
            <w:tcBorders>
              <w:top w:val="nil"/>
              <w:left w:val="nil"/>
              <w:bottom w:val="single" w:sz="4" w:space="0" w:color="auto"/>
              <w:right w:val="single" w:sz="4" w:space="0" w:color="auto"/>
            </w:tcBorders>
            <w:shd w:val="clear" w:color="auto" w:fill="auto"/>
            <w:noWrap/>
            <w:vAlign w:val="bottom"/>
            <w:hideMark/>
          </w:tcPr>
          <w:p w14:paraId="5B0840E1"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35 (0.57)</w:t>
            </w:r>
          </w:p>
        </w:tc>
      </w:tr>
      <w:tr w:rsidR="00403B07" w:rsidRPr="00734C53" w14:paraId="15040D4A" w14:textId="77777777" w:rsidTr="00B01272">
        <w:trPr>
          <w:trHeight w:val="297"/>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3462370B"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42</w:t>
            </w:r>
          </w:p>
        </w:tc>
        <w:tc>
          <w:tcPr>
            <w:tcW w:w="1249" w:type="dxa"/>
            <w:gridSpan w:val="2"/>
            <w:tcBorders>
              <w:top w:val="nil"/>
              <w:left w:val="nil"/>
              <w:bottom w:val="single" w:sz="4" w:space="0" w:color="auto"/>
              <w:right w:val="single" w:sz="4" w:space="0" w:color="auto"/>
            </w:tcBorders>
            <w:shd w:val="clear" w:color="auto" w:fill="auto"/>
            <w:noWrap/>
            <w:vAlign w:val="bottom"/>
            <w:hideMark/>
          </w:tcPr>
          <w:p w14:paraId="36E6730B"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63.7</w:t>
            </w:r>
          </w:p>
        </w:tc>
        <w:tc>
          <w:tcPr>
            <w:tcW w:w="1140" w:type="dxa"/>
            <w:gridSpan w:val="2"/>
            <w:tcBorders>
              <w:top w:val="nil"/>
              <w:left w:val="nil"/>
              <w:bottom w:val="single" w:sz="4" w:space="0" w:color="auto"/>
              <w:right w:val="single" w:sz="4" w:space="0" w:color="auto"/>
            </w:tcBorders>
            <w:shd w:val="clear" w:color="auto" w:fill="auto"/>
            <w:noWrap/>
            <w:vAlign w:val="bottom"/>
            <w:hideMark/>
          </w:tcPr>
          <w:p w14:paraId="41D842DD"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2.68</w:t>
            </w:r>
          </w:p>
        </w:tc>
        <w:tc>
          <w:tcPr>
            <w:tcW w:w="1153" w:type="dxa"/>
            <w:gridSpan w:val="3"/>
            <w:tcBorders>
              <w:top w:val="nil"/>
              <w:left w:val="nil"/>
              <w:bottom w:val="single" w:sz="4" w:space="0" w:color="auto"/>
              <w:right w:val="single" w:sz="4" w:space="0" w:color="auto"/>
            </w:tcBorders>
            <w:shd w:val="clear" w:color="auto" w:fill="auto"/>
            <w:noWrap/>
            <w:vAlign w:val="bottom"/>
            <w:hideMark/>
          </w:tcPr>
          <w:p w14:paraId="2089F845"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1.123</w:t>
            </w:r>
          </w:p>
        </w:tc>
        <w:tc>
          <w:tcPr>
            <w:tcW w:w="1051" w:type="dxa"/>
            <w:gridSpan w:val="2"/>
            <w:tcBorders>
              <w:top w:val="nil"/>
              <w:left w:val="nil"/>
              <w:bottom w:val="single" w:sz="4" w:space="0" w:color="auto"/>
              <w:right w:val="single" w:sz="4" w:space="0" w:color="auto"/>
            </w:tcBorders>
            <w:shd w:val="clear" w:color="auto" w:fill="auto"/>
            <w:noWrap/>
            <w:vAlign w:val="bottom"/>
            <w:hideMark/>
          </w:tcPr>
          <w:p w14:paraId="68063CB1"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20.0</w:t>
            </w:r>
          </w:p>
        </w:tc>
        <w:tc>
          <w:tcPr>
            <w:tcW w:w="932" w:type="dxa"/>
            <w:gridSpan w:val="2"/>
            <w:tcBorders>
              <w:top w:val="nil"/>
              <w:left w:val="nil"/>
              <w:bottom w:val="single" w:sz="4" w:space="0" w:color="auto"/>
              <w:right w:val="single" w:sz="4" w:space="0" w:color="auto"/>
            </w:tcBorders>
            <w:shd w:val="clear" w:color="000000" w:fill="D9D9D9"/>
            <w:noWrap/>
            <w:vAlign w:val="bottom"/>
            <w:hideMark/>
          </w:tcPr>
          <w:p w14:paraId="52533308"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32.0</w:t>
            </w:r>
          </w:p>
        </w:tc>
        <w:tc>
          <w:tcPr>
            <w:tcW w:w="1292" w:type="dxa"/>
            <w:gridSpan w:val="2"/>
            <w:tcBorders>
              <w:top w:val="nil"/>
              <w:left w:val="nil"/>
              <w:bottom w:val="single" w:sz="4" w:space="0" w:color="auto"/>
              <w:right w:val="single" w:sz="4" w:space="0" w:color="auto"/>
            </w:tcBorders>
            <w:shd w:val="clear" w:color="auto" w:fill="auto"/>
            <w:noWrap/>
            <w:vAlign w:val="bottom"/>
            <w:hideMark/>
          </w:tcPr>
          <w:p w14:paraId="5CD9A6DA"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36 (0.54)</w:t>
            </w:r>
          </w:p>
        </w:tc>
        <w:tc>
          <w:tcPr>
            <w:tcW w:w="986" w:type="dxa"/>
            <w:gridSpan w:val="2"/>
            <w:tcBorders>
              <w:top w:val="nil"/>
              <w:left w:val="nil"/>
              <w:bottom w:val="single" w:sz="4" w:space="0" w:color="auto"/>
              <w:right w:val="single" w:sz="4" w:space="0" w:color="auto"/>
            </w:tcBorders>
            <w:shd w:val="clear" w:color="auto" w:fill="auto"/>
            <w:noWrap/>
            <w:vAlign w:val="bottom"/>
            <w:hideMark/>
          </w:tcPr>
          <w:p w14:paraId="24E2D715"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2.68</w:t>
            </w:r>
          </w:p>
        </w:tc>
        <w:tc>
          <w:tcPr>
            <w:tcW w:w="943" w:type="dxa"/>
            <w:gridSpan w:val="2"/>
            <w:tcBorders>
              <w:top w:val="nil"/>
              <w:left w:val="nil"/>
              <w:bottom w:val="single" w:sz="4" w:space="0" w:color="auto"/>
              <w:right w:val="single" w:sz="4" w:space="0" w:color="auto"/>
            </w:tcBorders>
            <w:shd w:val="clear" w:color="auto" w:fill="auto"/>
            <w:noWrap/>
            <w:vAlign w:val="bottom"/>
            <w:hideMark/>
          </w:tcPr>
          <w:p w14:paraId="2D620AF6"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1.155</w:t>
            </w:r>
          </w:p>
        </w:tc>
        <w:tc>
          <w:tcPr>
            <w:tcW w:w="1042" w:type="dxa"/>
            <w:gridSpan w:val="2"/>
            <w:tcBorders>
              <w:top w:val="nil"/>
              <w:left w:val="nil"/>
              <w:bottom w:val="single" w:sz="4" w:space="0" w:color="auto"/>
              <w:right w:val="single" w:sz="4" w:space="0" w:color="auto"/>
            </w:tcBorders>
            <w:shd w:val="clear" w:color="auto" w:fill="auto"/>
            <w:noWrap/>
            <w:vAlign w:val="bottom"/>
            <w:hideMark/>
          </w:tcPr>
          <w:p w14:paraId="254B3A0A"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20.9</w:t>
            </w:r>
          </w:p>
        </w:tc>
        <w:tc>
          <w:tcPr>
            <w:tcW w:w="976" w:type="dxa"/>
            <w:tcBorders>
              <w:top w:val="nil"/>
              <w:left w:val="nil"/>
              <w:bottom w:val="single" w:sz="4" w:space="0" w:color="auto"/>
              <w:right w:val="single" w:sz="4" w:space="0" w:color="auto"/>
            </w:tcBorders>
            <w:shd w:val="clear" w:color="000000" w:fill="D9D9D9"/>
            <w:noWrap/>
            <w:vAlign w:val="bottom"/>
            <w:hideMark/>
          </w:tcPr>
          <w:p w14:paraId="51FE4DB9"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34.8</w:t>
            </w:r>
          </w:p>
        </w:tc>
        <w:tc>
          <w:tcPr>
            <w:tcW w:w="1292" w:type="dxa"/>
            <w:tcBorders>
              <w:top w:val="nil"/>
              <w:left w:val="nil"/>
              <w:bottom w:val="single" w:sz="4" w:space="0" w:color="auto"/>
              <w:right w:val="single" w:sz="4" w:space="0" w:color="auto"/>
            </w:tcBorders>
            <w:shd w:val="clear" w:color="auto" w:fill="auto"/>
            <w:noWrap/>
            <w:vAlign w:val="bottom"/>
            <w:hideMark/>
          </w:tcPr>
          <w:p w14:paraId="23F8A5F9"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40 (0.57)</w:t>
            </w:r>
          </w:p>
        </w:tc>
      </w:tr>
      <w:tr w:rsidR="00403B07" w:rsidRPr="00734C53" w14:paraId="32FA32C3" w14:textId="77777777" w:rsidTr="00B01272">
        <w:trPr>
          <w:trHeight w:val="297"/>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577E7C77"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43</w:t>
            </w:r>
          </w:p>
        </w:tc>
        <w:tc>
          <w:tcPr>
            <w:tcW w:w="1249" w:type="dxa"/>
            <w:gridSpan w:val="2"/>
            <w:tcBorders>
              <w:top w:val="nil"/>
              <w:left w:val="nil"/>
              <w:bottom w:val="single" w:sz="4" w:space="0" w:color="auto"/>
              <w:right w:val="single" w:sz="4" w:space="0" w:color="auto"/>
            </w:tcBorders>
            <w:shd w:val="clear" w:color="auto" w:fill="auto"/>
            <w:noWrap/>
            <w:vAlign w:val="bottom"/>
            <w:hideMark/>
          </w:tcPr>
          <w:p w14:paraId="2A79BDFE"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61.3</w:t>
            </w:r>
          </w:p>
        </w:tc>
        <w:tc>
          <w:tcPr>
            <w:tcW w:w="1140" w:type="dxa"/>
            <w:gridSpan w:val="2"/>
            <w:tcBorders>
              <w:top w:val="nil"/>
              <w:left w:val="nil"/>
              <w:bottom w:val="single" w:sz="4" w:space="0" w:color="auto"/>
              <w:right w:val="single" w:sz="4" w:space="0" w:color="auto"/>
            </w:tcBorders>
            <w:shd w:val="clear" w:color="auto" w:fill="auto"/>
            <w:noWrap/>
            <w:vAlign w:val="bottom"/>
            <w:hideMark/>
          </w:tcPr>
          <w:p w14:paraId="1B7A8E2B"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2.04</w:t>
            </w:r>
          </w:p>
        </w:tc>
        <w:tc>
          <w:tcPr>
            <w:tcW w:w="1153" w:type="dxa"/>
            <w:gridSpan w:val="3"/>
            <w:tcBorders>
              <w:top w:val="nil"/>
              <w:left w:val="nil"/>
              <w:bottom w:val="single" w:sz="4" w:space="0" w:color="auto"/>
              <w:right w:val="single" w:sz="4" w:space="0" w:color="auto"/>
            </w:tcBorders>
            <w:shd w:val="clear" w:color="auto" w:fill="auto"/>
            <w:noWrap/>
            <w:vAlign w:val="bottom"/>
            <w:hideMark/>
          </w:tcPr>
          <w:p w14:paraId="47ACD9BE"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1.069</w:t>
            </w:r>
          </w:p>
        </w:tc>
        <w:tc>
          <w:tcPr>
            <w:tcW w:w="1051" w:type="dxa"/>
            <w:gridSpan w:val="2"/>
            <w:tcBorders>
              <w:top w:val="nil"/>
              <w:left w:val="nil"/>
              <w:bottom w:val="single" w:sz="4" w:space="0" w:color="auto"/>
              <w:right w:val="single" w:sz="4" w:space="0" w:color="auto"/>
            </w:tcBorders>
            <w:shd w:val="clear" w:color="000000" w:fill="D9D9D9"/>
            <w:noWrap/>
            <w:vAlign w:val="bottom"/>
            <w:hideMark/>
          </w:tcPr>
          <w:p w14:paraId="4D2A2ADC"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41.0</w:t>
            </w:r>
          </w:p>
        </w:tc>
        <w:tc>
          <w:tcPr>
            <w:tcW w:w="932" w:type="dxa"/>
            <w:gridSpan w:val="2"/>
            <w:tcBorders>
              <w:top w:val="nil"/>
              <w:left w:val="nil"/>
              <w:bottom w:val="single" w:sz="4" w:space="0" w:color="auto"/>
              <w:right w:val="single" w:sz="4" w:space="0" w:color="auto"/>
            </w:tcBorders>
            <w:shd w:val="clear" w:color="auto" w:fill="auto"/>
            <w:noWrap/>
            <w:vAlign w:val="bottom"/>
            <w:hideMark/>
          </w:tcPr>
          <w:p w14:paraId="65BB15C8"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14.2</w:t>
            </w:r>
          </w:p>
        </w:tc>
        <w:tc>
          <w:tcPr>
            <w:tcW w:w="1292" w:type="dxa"/>
            <w:gridSpan w:val="2"/>
            <w:tcBorders>
              <w:top w:val="nil"/>
              <w:left w:val="nil"/>
              <w:bottom w:val="single" w:sz="4" w:space="0" w:color="auto"/>
              <w:right w:val="single" w:sz="4" w:space="0" w:color="auto"/>
            </w:tcBorders>
            <w:shd w:val="clear" w:color="auto" w:fill="auto"/>
            <w:noWrap/>
            <w:hideMark/>
          </w:tcPr>
          <w:p w14:paraId="553F8E05"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47 (0.59)</w:t>
            </w:r>
          </w:p>
        </w:tc>
        <w:tc>
          <w:tcPr>
            <w:tcW w:w="986" w:type="dxa"/>
            <w:gridSpan w:val="2"/>
            <w:tcBorders>
              <w:top w:val="nil"/>
              <w:left w:val="nil"/>
              <w:bottom w:val="single" w:sz="4" w:space="0" w:color="auto"/>
              <w:right w:val="single" w:sz="4" w:space="0" w:color="auto"/>
            </w:tcBorders>
            <w:shd w:val="clear" w:color="auto" w:fill="auto"/>
            <w:noWrap/>
            <w:vAlign w:val="bottom"/>
            <w:hideMark/>
          </w:tcPr>
          <w:p w14:paraId="02383308"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2.08</w:t>
            </w:r>
          </w:p>
        </w:tc>
        <w:tc>
          <w:tcPr>
            <w:tcW w:w="943" w:type="dxa"/>
            <w:gridSpan w:val="2"/>
            <w:tcBorders>
              <w:top w:val="nil"/>
              <w:left w:val="nil"/>
              <w:bottom w:val="single" w:sz="4" w:space="0" w:color="auto"/>
              <w:right w:val="single" w:sz="4" w:space="0" w:color="auto"/>
            </w:tcBorders>
            <w:shd w:val="clear" w:color="auto" w:fill="auto"/>
            <w:noWrap/>
            <w:vAlign w:val="bottom"/>
            <w:hideMark/>
          </w:tcPr>
          <w:p w14:paraId="410A6BE2"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1.109</w:t>
            </w:r>
          </w:p>
        </w:tc>
        <w:tc>
          <w:tcPr>
            <w:tcW w:w="1042" w:type="dxa"/>
            <w:gridSpan w:val="2"/>
            <w:tcBorders>
              <w:top w:val="nil"/>
              <w:left w:val="nil"/>
              <w:bottom w:val="single" w:sz="4" w:space="0" w:color="auto"/>
              <w:right w:val="single" w:sz="4" w:space="0" w:color="auto"/>
            </w:tcBorders>
            <w:shd w:val="clear" w:color="000000" w:fill="D9D9D9"/>
            <w:noWrap/>
            <w:vAlign w:val="bottom"/>
            <w:hideMark/>
          </w:tcPr>
          <w:p w14:paraId="47D99CDD"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40.8</w:t>
            </w:r>
          </w:p>
        </w:tc>
        <w:tc>
          <w:tcPr>
            <w:tcW w:w="976" w:type="dxa"/>
            <w:tcBorders>
              <w:top w:val="nil"/>
              <w:left w:val="nil"/>
              <w:bottom w:val="single" w:sz="4" w:space="0" w:color="auto"/>
              <w:right w:val="single" w:sz="4" w:space="0" w:color="auto"/>
            </w:tcBorders>
            <w:shd w:val="clear" w:color="auto" w:fill="auto"/>
            <w:noWrap/>
            <w:vAlign w:val="bottom"/>
            <w:hideMark/>
          </w:tcPr>
          <w:p w14:paraId="02639A03"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16.8</w:t>
            </w:r>
          </w:p>
        </w:tc>
        <w:tc>
          <w:tcPr>
            <w:tcW w:w="1292" w:type="dxa"/>
            <w:tcBorders>
              <w:top w:val="nil"/>
              <w:left w:val="nil"/>
              <w:bottom w:val="single" w:sz="4" w:space="0" w:color="auto"/>
              <w:right w:val="single" w:sz="4" w:space="0" w:color="auto"/>
            </w:tcBorders>
            <w:shd w:val="clear" w:color="auto" w:fill="auto"/>
            <w:noWrap/>
            <w:vAlign w:val="bottom"/>
            <w:hideMark/>
          </w:tcPr>
          <w:p w14:paraId="421822C2"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47 (0.60)</w:t>
            </w:r>
          </w:p>
        </w:tc>
      </w:tr>
      <w:tr w:rsidR="00403B07" w:rsidRPr="00734C53" w14:paraId="2A306DA1" w14:textId="77777777" w:rsidTr="00B01272">
        <w:trPr>
          <w:trHeight w:val="297"/>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437A3BDB"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44</w:t>
            </w:r>
          </w:p>
        </w:tc>
        <w:tc>
          <w:tcPr>
            <w:tcW w:w="1249" w:type="dxa"/>
            <w:gridSpan w:val="2"/>
            <w:tcBorders>
              <w:top w:val="nil"/>
              <w:left w:val="nil"/>
              <w:bottom w:val="single" w:sz="4" w:space="0" w:color="auto"/>
              <w:right w:val="single" w:sz="4" w:space="0" w:color="auto"/>
            </w:tcBorders>
            <w:shd w:val="clear" w:color="000000" w:fill="D9D9D9"/>
            <w:noWrap/>
            <w:vAlign w:val="bottom"/>
            <w:hideMark/>
          </w:tcPr>
          <w:p w14:paraId="4357124E"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34.2</w:t>
            </w:r>
          </w:p>
        </w:tc>
        <w:tc>
          <w:tcPr>
            <w:tcW w:w="1140" w:type="dxa"/>
            <w:gridSpan w:val="2"/>
            <w:tcBorders>
              <w:top w:val="nil"/>
              <w:left w:val="nil"/>
              <w:bottom w:val="single" w:sz="4" w:space="0" w:color="auto"/>
              <w:right w:val="single" w:sz="4" w:space="0" w:color="auto"/>
            </w:tcBorders>
            <w:shd w:val="clear" w:color="auto" w:fill="auto"/>
            <w:noWrap/>
            <w:vAlign w:val="bottom"/>
            <w:hideMark/>
          </w:tcPr>
          <w:p w14:paraId="7E661AB1"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2.41</w:t>
            </w:r>
          </w:p>
        </w:tc>
        <w:tc>
          <w:tcPr>
            <w:tcW w:w="1153" w:type="dxa"/>
            <w:gridSpan w:val="3"/>
            <w:tcBorders>
              <w:top w:val="nil"/>
              <w:left w:val="nil"/>
              <w:bottom w:val="single" w:sz="4" w:space="0" w:color="auto"/>
              <w:right w:val="single" w:sz="4" w:space="0" w:color="auto"/>
            </w:tcBorders>
            <w:shd w:val="clear" w:color="auto" w:fill="auto"/>
            <w:noWrap/>
            <w:vAlign w:val="bottom"/>
            <w:hideMark/>
          </w:tcPr>
          <w:p w14:paraId="2E1AE8C5"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1.155</w:t>
            </w:r>
          </w:p>
        </w:tc>
        <w:tc>
          <w:tcPr>
            <w:tcW w:w="1051" w:type="dxa"/>
            <w:gridSpan w:val="2"/>
            <w:tcBorders>
              <w:top w:val="nil"/>
              <w:left w:val="nil"/>
              <w:bottom w:val="single" w:sz="4" w:space="0" w:color="auto"/>
              <w:right w:val="single" w:sz="4" w:space="0" w:color="auto"/>
            </w:tcBorders>
            <w:shd w:val="clear" w:color="auto" w:fill="auto"/>
            <w:noWrap/>
            <w:vAlign w:val="bottom"/>
            <w:hideMark/>
          </w:tcPr>
          <w:p w14:paraId="596099C4"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29.8</w:t>
            </w:r>
          </w:p>
        </w:tc>
        <w:tc>
          <w:tcPr>
            <w:tcW w:w="932" w:type="dxa"/>
            <w:gridSpan w:val="2"/>
            <w:tcBorders>
              <w:top w:val="nil"/>
              <w:left w:val="nil"/>
              <w:bottom w:val="single" w:sz="4" w:space="0" w:color="auto"/>
              <w:right w:val="single" w:sz="4" w:space="0" w:color="auto"/>
            </w:tcBorders>
            <w:shd w:val="clear" w:color="auto" w:fill="auto"/>
            <w:noWrap/>
            <w:vAlign w:val="bottom"/>
            <w:hideMark/>
          </w:tcPr>
          <w:p w14:paraId="69F7E9FD"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24.7</w:t>
            </w:r>
          </w:p>
        </w:tc>
        <w:tc>
          <w:tcPr>
            <w:tcW w:w="1292" w:type="dxa"/>
            <w:gridSpan w:val="2"/>
            <w:tcBorders>
              <w:top w:val="nil"/>
              <w:left w:val="nil"/>
              <w:bottom w:val="single" w:sz="4" w:space="0" w:color="auto"/>
              <w:right w:val="single" w:sz="4" w:space="0" w:color="auto"/>
            </w:tcBorders>
            <w:shd w:val="clear" w:color="auto" w:fill="auto"/>
            <w:noWrap/>
            <w:vAlign w:val="bottom"/>
            <w:hideMark/>
          </w:tcPr>
          <w:p w14:paraId="66D87D6D"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42 (0.53)</w:t>
            </w:r>
          </w:p>
        </w:tc>
        <w:tc>
          <w:tcPr>
            <w:tcW w:w="986" w:type="dxa"/>
            <w:gridSpan w:val="2"/>
            <w:tcBorders>
              <w:top w:val="nil"/>
              <w:left w:val="nil"/>
              <w:bottom w:val="single" w:sz="4" w:space="0" w:color="auto"/>
              <w:right w:val="single" w:sz="4" w:space="0" w:color="auto"/>
            </w:tcBorders>
            <w:shd w:val="clear" w:color="auto" w:fill="auto"/>
            <w:noWrap/>
            <w:vAlign w:val="bottom"/>
            <w:hideMark/>
          </w:tcPr>
          <w:p w14:paraId="1A50BBBB"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2.35</w:t>
            </w:r>
          </w:p>
        </w:tc>
        <w:tc>
          <w:tcPr>
            <w:tcW w:w="943" w:type="dxa"/>
            <w:gridSpan w:val="2"/>
            <w:tcBorders>
              <w:top w:val="nil"/>
              <w:left w:val="nil"/>
              <w:bottom w:val="single" w:sz="4" w:space="0" w:color="auto"/>
              <w:right w:val="single" w:sz="4" w:space="0" w:color="auto"/>
            </w:tcBorders>
            <w:shd w:val="clear" w:color="auto" w:fill="auto"/>
            <w:noWrap/>
            <w:vAlign w:val="bottom"/>
            <w:hideMark/>
          </w:tcPr>
          <w:p w14:paraId="263EB573"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1.159</w:t>
            </w:r>
          </w:p>
        </w:tc>
        <w:tc>
          <w:tcPr>
            <w:tcW w:w="1042" w:type="dxa"/>
            <w:gridSpan w:val="2"/>
            <w:tcBorders>
              <w:top w:val="nil"/>
              <w:left w:val="nil"/>
              <w:bottom w:val="single" w:sz="4" w:space="0" w:color="auto"/>
              <w:right w:val="single" w:sz="4" w:space="0" w:color="auto"/>
            </w:tcBorders>
            <w:shd w:val="clear" w:color="000000" w:fill="D9D9D9"/>
            <w:noWrap/>
            <w:vAlign w:val="bottom"/>
            <w:hideMark/>
          </w:tcPr>
          <w:p w14:paraId="4EC3BF50"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31.8</w:t>
            </w:r>
          </w:p>
        </w:tc>
        <w:tc>
          <w:tcPr>
            <w:tcW w:w="976" w:type="dxa"/>
            <w:tcBorders>
              <w:top w:val="nil"/>
              <w:left w:val="nil"/>
              <w:bottom w:val="single" w:sz="4" w:space="0" w:color="auto"/>
              <w:right w:val="single" w:sz="4" w:space="0" w:color="auto"/>
            </w:tcBorders>
            <w:shd w:val="clear" w:color="auto" w:fill="auto"/>
            <w:noWrap/>
            <w:vAlign w:val="bottom"/>
            <w:hideMark/>
          </w:tcPr>
          <w:p w14:paraId="468F454A"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23.9</w:t>
            </w:r>
          </w:p>
        </w:tc>
        <w:tc>
          <w:tcPr>
            <w:tcW w:w="1292" w:type="dxa"/>
            <w:tcBorders>
              <w:top w:val="nil"/>
              <w:left w:val="nil"/>
              <w:bottom w:val="single" w:sz="4" w:space="0" w:color="auto"/>
              <w:right w:val="single" w:sz="4" w:space="0" w:color="auto"/>
            </w:tcBorders>
            <w:shd w:val="clear" w:color="auto" w:fill="auto"/>
            <w:noWrap/>
            <w:vAlign w:val="bottom"/>
            <w:hideMark/>
          </w:tcPr>
          <w:p w14:paraId="016210F0"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42 (0.55)</w:t>
            </w:r>
          </w:p>
        </w:tc>
      </w:tr>
      <w:tr w:rsidR="00403B07" w:rsidRPr="00734C53" w14:paraId="31B31382" w14:textId="77777777" w:rsidTr="00B01272">
        <w:trPr>
          <w:trHeight w:val="297"/>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1EEA73F0"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45</w:t>
            </w:r>
          </w:p>
        </w:tc>
        <w:tc>
          <w:tcPr>
            <w:tcW w:w="1249" w:type="dxa"/>
            <w:gridSpan w:val="2"/>
            <w:tcBorders>
              <w:top w:val="nil"/>
              <w:left w:val="nil"/>
              <w:bottom w:val="single" w:sz="4" w:space="0" w:color="auto"/>
              <w:right w:val="single" w:sz="4" w:space="0" w:color="auto"/>
            </w:tcBorders>
            <w:shd w:val="clear" w:color="auto" w:fill="auto"/>
            <w:noWrap/>
            <w:vAlign w:val="bottom"/>
            <w:hideMark/>
          </w:tcPr>
          <w:p w14:paraId="236E70E1"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65.7</w:t>
            </w:r>
          </w:p>
        </w:tc>
        <w:tc>
          <w:tcPr>
            <w:tcW w:w="1140" w:type="dxa"/>
            <w:gridSpan w:val="2"/>
            <w:tcBorders>
              <w:top w:val="nil"/>
              <w:left w:val="nil"/>
              <w:bottom w:val="single" w:sz="4" w:space="0" w:color="auto"/>
              <w:right w:val="single" w:sz="4" w:space="0" w:color="auto"/>
            </w:tcBorders>
            <w:shd w:val="clear" w:color="auto" w:fill="auto"/>
            <w:noWrap/>
            <w:vAlign w:val="bottom"/>
            <w:hideMark/>
          </w:tcPr>
          <w:p w14:paraId="5EED29C9"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1.93</w:t>
            </w:r>
          </w:p>
        </w:tc>
        <w:tc>
          <w:tcPr>
            <w:tcW w:w="1153" w:type="dxa"/>
            <w:gridSpan w:val="3"/>
            <w:tcBorders>
              <w:top w:val="nil"/>
              <w:left w:val="nil"/>
              <w:bottom w:val="single" w:sz="4" w:space="0" w:color="auto"/>
              <w:right w:val="single" w:sz="4" w:space="0" w:color="auto"/>
            </w:tcBorders>
            <w:shd w:val="clear" w:color="auto" w:fill="auto"/>
            <w:noWrap/>
            <w:vAlign w:val="bottom"/>
            <w:hideMark/>
          </w:tcPr>
          <w:p w14:paraId="4B68F580"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1.075</w:t>
            </w:r>
          </w:p>
        </w:tc>
        <w:tc>
          <w:tcPr>
            <w:tcW w:w="1051" w:type="dxa"/>
            <w:gridSpan w:val="2"/>
            <w:tcBorders>
              <w:top w:val="nil"/>
              <w:left w:val="nil"/>
              <w:bottom w:val="single" w:sz="4" w:space="0" w:color="auto"/>
              <w:right w:val="single" w:sz="4" w:space="0" w:color="auto"/>
            </w:tcBorders>
            <w:shd w:val="clear" w:color="000000" w:fill="D9D9D9"/>
            <w:noWrap/>
            <w:vAlign w:val="bottom"/>
            <w:hideMark/>
          </w:tcPr>
          <w:p w14:paraId="149EF9D5"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47.7</w:t>
            </w:r>
          </w:p>
        </w:tc>
        <w:tc>
          <w:tcPr>
            <w:tcW w:w="932" w:type="dxa"/>
            <w:gridSpan w:val="2"/>
            <w:tcBorders>
              <w:top w:val="nil"/>
              <w:left w:val="nil"/>
              <w:bottom w:val="single" w:sz="4" w:space="0" w:color="auto"/>
              <w:right w:val="single" w:sz="4" w:space="0" w:color="auto"/>
            </w:tcBorders>
            <w:shd w:val="clear" w:color="auto" w:fill="auto"/>
            <w:noWrap/>
            <w:vAlign w:val="bottom"/>
            <w:hideMark/>
          </w:tcPr>
          <w:p w14:paraId="31E31B0D"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13.5</w:t>
            </w:r>
          </w:p>
        </w:tc>
        <w:tc>
          <w:tcPr>
            <w:tcW w:w="1292" w:type="dxa"/>
            <w:gridSpan w:val="2"/>
            <w:tcBorders>
              <w:top w:val="nil"/>
              <w:left w:val="nil"/>
              <w:bottom w:val="single" w:sz="4" w:space="0" w:color="auto"/>
              <w:right w:val="single" w:sz="4" w:space="0" w:color="auto"/>
            </w:tcBorders>
            <w:shd w:val="clear" w:color="auto" w:fill="auto"/>
            <w:noWrap/>
            <w:vAlign w:val="bottom"/>
            <w:hideMark/>
          </w:tcPr>
          <w:p w14:paraId="70917DD0"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47 (0.51)</w:t>
            </w:r>
          </w:p>
        </w:tc>
        <w:tc>
          <w:tcPr>
            <w:tcW w:w="986" w:type="dxa"/>
            <w:gridSpan w:val="2"/>
            <w:tcBorders>
              <w:top w:val="nil"/>
              <w:left w:val="nil"/>
              <w:bottom w:val="single" w:sz="4" w:space="0" w:color="auto"/>
              <w:right w:val="single" w:sz="4" w:space="0" w:color="auto"/>
            </w:tcBorders>
            <w:shd w:val="clear" w:color="auto" w:fill="auto"/>
            <w:noWrap/>
            <w:vAlign w:val="bottom"/>
            <w:hideMark/>
          </w:tcPr>
          <w:p w14:paraId="18948854"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1.98</w:t>
            </w:r>
          </w:p>
        </w:tc>
        <w:tc>
          <w:tcPr>
            <w:tcW w:w="943" w:type="dxa"/>
            <w:gridSpan w:val="2"/>
            <w:tcBorders>
              <w:top w:val="nil"/>
              <w:left w:val="nil"/>
              <w:bottom w:val="single" w:sz="4" w:space="0" w:color="auto"/>
              <w:right w:val="single" w:sz="4" w:space="0" w:color="auto"/>
            </w:tcBorders>
            <w:shd w:val="clear" w:color="auto" w:fill="auto"/>
            <w:noWrap/>
            <w:vAlign w:val="bottom"/>
            <w:hideMark/>
          </w:tcPr>
          <w:p w14:paraId="153ECA6C"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1.092</w:t>
            </w:r>
          </w:p>
        </w:tc>
        <w:tc>
          <w:tcPr>
            <w:tcW w:w="1042" w:type="dxa"/>
            <w:gridSpan w:val="2"/>
            <w:tcBorders>
              <w:top w:val="nil"/>
              <w:left w:val="nil"/>
              <w:bottom w:val="single" w:sz="4" w:space="0" w:color="auto"/>
              <w:right w:val="single" w:sz="4" w:space="0" w:color="auto"/>
            </w:tcBorders>
            <w:shd w:val="clear" w:color="000000" w:fill="D9D9D9"/>
            <w:noWrap/>
            <w:vAlign w:val="bottom"/>
            <w:hideMark/>
          </w:tcPr>
          <w:p w14:paraId="24E844C9"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46.4</w:t>
            </w:r>
          </w:p>
        </w:tc>
        <w:tc>
          <w:tcPr>
            <w:tcW w:w="976" w:type="dxa"/>
            <w:tcBorders>
              <w:top w:val="nil"/>
              <w:left w:val="nil"/>
              <w:bottom w:val="single" w:sz="4" w:space="0" w:color="auto"/>
              <w:right w:val="single" w:sz="4" w:space="0" w:color="auto"/>
            </w:tcBorders>
            <w:shd w:val="clear" w:color="auto" w:fill="auto"/>
            <w:noWrap/>
            <w:vAlign w:val="bottom"/>
            <w:hideMark/>
          </w:tcPr>
          <w:p w14:paraId="7DA3ABA8"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14.4</w:t>
            </w:r>
          </w:p>
        </w:tc>
        <w:tc>
          <w:tcPr>
            <w:tcW w:w="1292" w:type="dxa"/>
            <w:tcBorders>
              <w:top w:val="nil"/>
              <w:left w:val="nil"/>
              <w:bottom w:val="single" w:sz="4" w:space="0" w:color="auto"/>
              <w:right w:val="single" w:sz="4" w:space="0" w:color="auto"/>
            </w:tcBorders>
            <w:shd w:val="clear" w:color="auto" w:fill="auto"/>
            <w:noWrap/>
            <w:vAlign w:val="bottom"/>
            <w:hideMark/>
          </w:tcPr>
          <w:p w14:paraId="0AFD47AB"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47 (0.56)</w:t>
            </w:r>
          </w:p>
        </w:tc>
      </w:tr>
      <w:tr w:rsidR="00403B07" w:rsidRPr="00734C53" w14:paraId="6C61B69A" w14:textId="77777777" w:rsidTr="00B01272">
        <w:trPr>
          <w:trHeight w:val="297"/>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3E003865"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46</w:t>
            </w:r>
          </w:p>
        </w:tc>
        <w:tc>
          <w:tcPr>
            <w:tcW w:w="1249" w:type="dxa"/>
            <w:gridSpan w:val="2"/>
            <w:tcBorders>
              <w:top w:val="nil"/>
              <w:left w:val="nil"/>
              <w:bottom w:val="single" w:sz="4" w:space="0" w:color="auto"/>
              <w:right w:val="single" w:sz="4" w:space="0" w:color="auto"/>
            </w:tcBorders>
            <w:shd w:val="clear" w:color="auto" w:fill="auto"/>
            <w:noWrap/>
            <w:vAlign w:val="bottom"/>
            <w:hideMark/>
          </w:tcPr>
          <w:p w14:paraId="29805030"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65.2</w:t>
            </w:r>
          </w:p>
        </w:tc>
        <w:tc>
          <w:tcPr>
            <w:tcW w:w="1140" w:type="dxa"/>
            <w:gridSpan w:val="2"/>
            <w:tcBorders>
              <w:top w:val="nil"/>
              <w:left w:val="nil"/>
              <w:bottom w:val="single" w:sz="4" w:space="0" w:color="auto"/>
              <w:right w:val="single" w:sz="4" w:space="0" w:color="auto"/>
            </w:tcBorders>
            <w:shd w:val="clear" w:color="auto" w:fill="auto"/>
            <w:noWrap/>
            <w:vAlign w:val="bottom"/>
            <w:hideMark/>
          </w:tcPr>
          <w:p w14:paraId="3A90FE94"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2.18</w:t>
            </w:r>
          </w:p>
        </w:tc>
        <w:tc>
          <w:tcPr>
            <w:tcW w:w="1153" w:type="dxa"/>
            <w:gridSpan w:val="3"/>
            <w:tcBorders>
              <w:top w:val="nil"/>
              <w:left w:val="nil"/>
              <w:bottom w:val="single" w:sz="4" w:space="0" w:color="auto"/>
              <w:right w:val="single" w:sz="4" w:space="0" w:color="auto"/>
            </w:tcBorders>
            <w:shd w:val="clear" w:color="auto" w:fill="auto"/>
            <w:noWrap/>
            <w:vAlign w:val="bottom"/>
            <w:hideMark/>
          </w:tcPr>
          <w:p w14:paraId="678355FF"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1.095</w:t>
            </w:r>
          </w:p>
        </w:tc>
        <w:tc>
          <w:tcPr>
            <w:tcW w:w="1051" w:type="dxa"/>
            <w:gridSpan w:val="2"/>
            <w:tcBorders>
              <w:top w:val="nil"/>
              <w:left w:val="nil"/>
              <w:bottom w:val="single" w:sz="4" w:space="0" w:color="auto"/>
              <w:right w:val="single" w:sz="4" w:space="0" w:color="auto"/>
            </w:tcBorders>
            <w:shd w:val="clear" w:color="000000" w:fill="D9D9D9"/>
            <w:noWrap/>
            <w:vAlign w:val="bottom"/>
            <w:hideMark/>
          </w:tcPr>
          <w:p w14:paraId="3486F67F"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35.3</w:t>
            </w:r>
          </w:p>
        </w:tc>
        <w:tc>
          <w:tcPr>
            <w:tcW w:w="932" w:type="dxa"/>
            <w:gridSpan w:val="2"/>
            <w:tcBorders>
              <w:top w:val="nil"/>
              <w:left w:val="nil"/>
              <w:bottom w:val="single" w:sz="4" w:space="0" w:color="auto"/>
              <w:right w:val="single" w:sz="4" w:space="0" w:color="auto"/>
            </w:tcBorders>
            <w:shd w:val="clear" w:color="auto" w:fill="auto"/>
            <w:noWrap/>
            <w:vAlign w:val="bottom"/>
            <w:hideMark/>
          </w:tcPr>
          <w:p w14:paraId="38AB3E54"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17.1</w:t>
            </w:r>
          </w:p>
        </w:tc>
        <w:tc>
          <w:tcPr>
            <w:tcW w:w="1292" w:type="dxa"/>
            <w:gridSpan w:val="2"/>
            <w:tcBorders>
              <w:top w:val="nil"/>
              <w:left w:val="nil"/>
              <w:bottom w:val="single" w:sz="4" w:space="0" w:color="auto"/>
              <w:right w:val="single" w:sz="4" w:space="0" w:color="auto"/>
            </w:tcBorders>
            <w:shd w:val="clear" w:color="auto" w:fill="auto"/>
            <w:noWrap/>
            <w:vAlign w:val="bottom"/>
            <w:hideMark/>
          </w:tcPr>
          <w:p w14:paraId="1C82EE57"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47 (0.58)</w:t>
            </w:r>
          </w:p>
        </w:tc>
        <w:tc>
          <w:tcPr>
            <w:tcW w:w="986" w:type="dxa"/>
            <w:gridSpan w:val="2"/>
            <w:tcBorders>
              <w:top w:val="nil"/>
              <w:left w:val="nil"/>
              <w:bottom w:val="single" w:sz="4" w:space="0" w:color="auto"/>
              <w:right w:val="single" w:sz="4" w:space="0" w:color="auto"/>
            </w:tcBorders>
            <w:shd w:val="clear" w:color="auto" w:fill="auto"/>
            <w:noWrap/>
            <w:vAlign w:val="bottom"/>
            <w:hideMark/>
          </w:tcPr>
          <w:p w14:paraId="65FE4091"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2.16</w:t>
            </w:r>
          </w:p>
        </w:tc>
        <w:tc>
          <w:tcPr>
            <w:tcW w:w="943" w:type="dxa"/>
            <w:gridSpan w:val="2"/>
            <w:tcBorders>
              <w:top w:val="nil"/>
              <w:left w:val="nil"/>
              <w:bottom w:val="single" w:sz="4" w:space="0" w:color="auto"/>
              <w:right w:val="single" w:sz="4" w:space="0" w:color="auto"/>
            </w:tcBorders>
            <w:shd w:val="clear" w:color="auto" w:fill="auto"/>
            <w:noWrap/>
            <w:vAlign w:val="bottom"/>
            <w:hideMark/>
          </w:tcPr>
          <w:p w14:paraId="65FFE705"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1.091</w:t>
            </w:r>
          </w:p>
        </w:tc>
        <w:tc>
          <w:tcPr>
            <w:tcW w:w="1042" w:type="dxa"/>
            <w:gridSpan w:val="2"/>
            <w:tcBorders>
              <w:top w:val="nil"/>
              <w:left w:val="nil"/>
              <w:bottom w:val="single" w:sz="4" w:space="0" w:color="auto"/>
              <w:right w:val="single" w:sz="4" w:space="0" w:color="auto"/>
            </w:tcBorders>
            <w:shd w:val="clear" w:color="000000" w:fill="D9D9D9"/>
            <w:noWrap/>
            <w:vAlign w:val="bottom"/>
            <w:hideMark/>
          </w:tcPr>
          <w:p w14:paraId="254E9DAF"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35.5</w:t>
            </w:r>
          </w:p>
        </w:tc>
        <w:tc>
          <w:tcPr>
            <w:tcW w:w="976" w:type="dxa"/>
            <w:tcBorders>
              <w:top w:val="nil"/>
              <w:left w:val="nil"/>
              <w:bottom w:val="single" w:sz="4" w:space="0" w:color="auto"/>
              <w:right w:val="single" w:sz="4" w:space="0" w:color="auto"/>
            </w:tcBorders>
            <w:shd w:val="clear" w:color="auto" w:fill="auto"/>
            <w:noWrap/>
            <w:vAlign w:val="bottom"/>
            <w:hideMark/>
          </w:tcPr>
          <w:p w14:paraId="54040782"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17.1</w:t>
            </w:r>
          </w:p>
        </w:tc>
        <w:tc>
          <w:tcPr>
            <w:tcW w:w="1292" w:type="dxa"/>
            <w:tcBorders>
              <w:top w:val="nil"/>
              <w:left w:val="nil"/>
              <w:bottom w:val="single" w:sz="4" w:space="0" w:color="auto"/>
              <w:right w:val="single" w:sz="4" w:space="0" w:color="auto"/>
            </w:tcBorders>
            <w:shd w:val="clear" w:color="auto" w:fill="auto"/>
            <w:noWrap/>
            <w:vAlign w:val="bottom"/>
            <w:hideMark/>
          </w:tcPr>
          <w:p w14:paraId="39A0E443"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47 (0.59)</w:t>
            </w:r>
          </w:p>
        </w:tc>
      </w:tr>
      <w:tr w:rsidR="00403B07" w:rsidRPr="00734C53" w14:paraId="77D5635E" w14:textId="77777777" w:rsidTr="00B01272">
        <w:trPr>
          <w:trHeight w:val="297"/>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7BA73118"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47</w:t>
            </w:r>
          </w:p>
        </w:tc>
        <w:tc>
          <w:tcPr>
            <w:tcW w:w="1249" w:type="dxa"/>
            <w:gridSpan w:val="2"/>
            <w:tcBorders>
              <w:top w:val="nil"/>
              <w:left w:val="nil"/>
              <w:bottom w:val="single" w:sz="4" w:space="0" w:color="auto"/>
              <w:right w:val="single" w:sz="4" w:space="0" w:color="auto"/>
            </w:tcBorders>
            <w:shd w:val="clear" w:color="auto" w:fill="auto"/>
            <w:noWrap/>
            <w:vAlign w:val="bottom"/>
            <w:hideMark/>
          </w:tcPr>
          <w:p w14:paraId="58136F5C"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65.7</w:t>
            </w:r>
          </w:p>
        </w:tc>
        <w:tc>
          <w:tcPr>
            <w:tcW w:w="1140" w:type="dxa"/>
            <w:gridSpan w:val="2"/>
            <w:tcBorders>
              <w:top w:val="nil"/>
              <w:left w:val="nil"/>
              <w:bottom w:val="single" w:sz="4" w:space="0" w:color="auto"/>
              <w:right w:val="single" w:sz="4" w:space="0" w:color="auto"/>
            </w:tcBorders>
            <w:shd w:val="clear" w:color="auto" w:fill="auto"/>
            <w:noWrap/>
            <w:vAlign w:val="bottom"/>
            <w:hideMark/>
          </w:tcPr>
          <w:p w14:paraId="7CA4102F"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1.97</w:t>
            </w:r>
          </w:p>
        </w:tc>
        <w:tc>
          <w:tcPr>
            <w:tcW w:w="1153" w:type="dxa"/>
            <w:gridSpan w:val="3"/>
            <w:tcBorders>
              <w:top w:val="nil"/>
              <w:left w:val="nil"/>
              <w:bottom w:val="single" w:sz="4" w:space="0" w:color="auto"/>
              <w:right w:val="single" w:sz="4" w:space="0" w:color="auto"/>
            </w:tcBorders>
            <w:shd w:val="clear" w:color="auto" w:fill="auto"/>
            <w:noWrap/>
            <w:vAlign w:val="bottom"/>
            <w:hideMark/>
          </w:tcPr>
          <w:p w14:paraId="3D0DCD44"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1.062</w:t>
            </w:r>
          </w:p>
        </w:tc>
        <w:tc>
          <w:tcPr>
            <w:tcW w:w="1051" w:type="dxa"/>
            <w:gridSpan w:val="2"/>
            <w:tcBorders>
              <w:top w:val="nil"/>
              <w:left w:val="nil"/>
              <w:bottom w:val="single" w:sz="4" w:space="0" w:color="auto"/>
              <w:right w:val="single" w:sz="4" w:space="0" w:color="auto"/>
            </w:tcBorders>
            <w:shd w:val="clear" w:color="000000" w:fill="D9D9D9"/>
            <w:noWrap/>
            <w:vAlign w:val="bottom"/>
            <w:hideMark/>
          </w:tcPr>
          <w:p w14:paraId="55887CA6"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45.0</w:t>
            </w:r>
          </w:p>
        </w:tc>
        <w:tc>
          <w:tcPr>
            <w:tcW w:w="932" w:type="dxa"/>
            <w:gridSpan w:val="2"/>
            <w:tcBorders>
              <w:top w:val="nil"/>
              <w:left w:val="nil"/>
              <w:bottom w:val="single" w:sz="4" w:space="0" w:color="auto"/>
              <w:right w:val="single" w:sz="4" w:space="0" w:color="auto"/>
            </w:tcBorders>
            <w:shd w:val="clear" w:color="auto" w:fill="auto"/>
            <w:noWrap/>
            <w:vAlign w:val="bottom"/>
            <w:hideMark/>
          </w:tcPr>
          <w:p w14:paraId="7022C910"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12.9</w:t>
            </w:r>
          </w:p>
        </w:tc>
        <w:tc>
          <w:tcPr>
            <w:tcW w:w="1292" w:type="dxa"/>
            <w:gridSpan w:val="2"/>
            <w:tcBorders>
              <w:top w:val="nil"/>
              <w:left w:val="nil"/>
              <w:bottom w:val="single" w:sz="4" w:space="0" w:color="auto"/>
              <w:right w:val="single" w:sz="4" w:space="0" w:color="auto"/>
            </w:tcBorders>
            <w:shd w:val="clear" w:color="auto" w:fill="auto"/>
            <w:noWrap/>
            <w:hideMark/>
          </w:tcPr>
          <w:p w14:paraId="01886613"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43 (0.59)</w:t>
            </w:r>
          </w:p>
        </w:tc>
        <w:tc>
          <w:tcPr>
            <w:tcW w:w="986" w:type="dxa"/>
            <w:gridSpan w:val="2"/>
            <w:tcBorders>
              <w:top w:val="nil"/>
              <w:left w:val="nil"/>
              <w:bottom w:val="single" w:sz="4" w:space="0" w:color="auto"/>
              <w:right w:val="single" w:sz="4" w:space="0" w:color="auto"/>
            </w:tcBorders>
            <w:shd w:val="clear" w:color="auto" w:fill="auto"/>
            <w:noWrap/>
            <w:vAlign w:val="bottom"/>
            <w:hideMark/>
          </w:tcPr>
          <w:p w14:paraId="68C092BC"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1.99</w:t>
            </w:r>
          </w:p>
        </w:tc>
        <w:tc>
          <w:tcPr>
            <w:tcW w:w="943" w:type="dxa"/>
            <w:gridSpan w:val="2"/>
            <w:tcBorders>
              <w:top w:val="nil"/>
              <w:left w:val="nil"/>
              <w:bottom w:val="single" w:sz="4" w:space="0" w:color="auto"/>
              <w:right w:val="single" w:sz="4" w:space="0" w:color="auto"/>
            </w:tcBorders>
            <w:shd w:val="clear" w:color="auto" w:fill="auto"/>
            <w:noWrap/>
            <w:vAlign w:val="bottom"/>
            <w:hideMark/>
          </w:tcPr>
          <w:p w14:paraId="3ECA1A1A"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1.059</w:t>
            </w:r>
          </w:p>
        </w:tc>
        <w:tc>
          <w:tcPr>
            <w:tcW w:w="1042" w:type="dxa"/>
            <w:gridSpan w:val="2"/>
            <w:tcBorders>
              <w:top w:val="nil"/>
              <w:left w:val="nil"/>
              <w:bottom w:val="single" w:sz="4" w:space="0" w:color="auto"/>
              <w:right w:val="single" w:sz="4" w:space="0" w:color="auto"/>
            </w:tcBorders>
            <w:shd w:val="clear" w:color="auto" w:fill="D9D9D9" w:themeFill="background1" w:themeFillShade="D9"/>
            <w:noWrap/>
            <w:vAlign w:val="bottom"/>
            <w:hideMark/>
          </w:tcPr>
          <w:p w14:paraId="6A583AA6"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42.8</w:t>
            </w:r>
          </w:p>
        </w:tc>
        <w:tc>
          <w:tcPr>
            <w:tcW w:w="976" w:type="dxa"/>
            <w:tcBorders>
              <w:top w:val="nil"/>
              <w:left w:val="nil"/>
              <w:bottom w:val="single" w:sz="4" w:space="0" w:color="auto"/>
              <w:right w:val="single" w:sz="4" w:space="0" w:color="auto"/>
            </w:tcBorders>
            <w:shd w:val="clear" w:color="auto" w:fill="auto"/>
            <w:noWrap/>
            <w:vAlign w:val="bottom"/>
            <w:hideMark/>
          </w:tcPr>
          <w:p w14:paraId="55CEDF06"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13.8</w:t>
            </w:r>
          </w:p>
        </w:tc>
        <w:tc>
          <w:tcPr>
            <w:tcW w:w="1292" w:type="dxa"/>
            <w:tcBorders>
              <w:top w:val="nil"/>
              <w:left w:val="nil"/>
              <w:bottom w:val="single" w:sz="4" w:space="0" w:color="auto"/>
              <w:right w:val="single" w:sz="4" w:space="0" w:color="auto"/>
            </w:tcBorders>
            <w:shd w:val="clear" w:color="auto" w:fill="auto"/>
            <w:noWrap/>
            <w:vAlign w:val="bottom"/>
            <w:hideMark/>
          </w:tcPr>
          <w:p w14:paraId="7C4ED885"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43 (0.60)</w:t>
            </w:r>
          </w:p>
        </w:tc>
      </w:tr>
      <w:tr w:rsidR="00403B07" w:rsidRPr="00734C53" w14:paraId="2C9AD816" w14:textId="77777777" w:rsidTr="00B01272">
        <w:trPr>
          <w:trHeight w:val="297"/>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5052137F"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48</w:t>
            </w:r>
          </w:p>
        </w:tc>
        <w:tc>
          <w:tcPr>
            <w:tcW w:w="1249" w:type="dxa"/>
            <w:gridSpan w:val="2"/>
            <w:tcBorders>
              <w:top w:val="nil"/>
              <w:left w:val="nil"/>
              <w:bottom w:val="single" w:sz="4" w:space="0" w:color="auto"/>
              <w:right w:val="single" w:sz="4" w:space="0" w:color="auto"/>
            </w:tcBorders>
            <w:shd w:val="clear" w:color="auto" w:fill="auto"/>
            <w:noWrap/>
            <w:vAlign w:val="bottom"/>
            <w:hideMark/>
          </w:tcPr>
          <w:p w14:paraId="77C2BCD6"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85.2</w:t>
            </w:r>
          </w:p>
        </w:tc>
        <w:tc>
          <w:tcPr>
            <w:tcW w:w="1140" w:type="dxa"/>
            <w:gridSpan w:val="2"/>
            <w:tcBorders>
              <w:top w:val="nil"/>
              <w:left w:val="nil"/>
              <w:bottom w:val="single" w:sz="4" w:space="0" w:color="auto"/>
              <w:right w:val="single" w:sz="4" w:space="0" w:color="auto"/>
            </w:tcBorders>
            <w:shd w:val="clear" w:color="auto" w:fill="auto"/>
            <w:noWrap/>
            <w:vAlign w:val="bottom"/>
            <w:hideMark/>
          </w:tcPr>
          <w:p w14:paraId="04D34572"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2.48</w:t>
            </w:r>
          </w:p>
        </w:tc>
        <w:tc>
          <w:tcPr>
            <w:tcW w:w="1153" w:type="dxa"/>
            <w:gridSpan w:val="3"/>
            <w:tcBorders>
              <w:top w:val="nil"/>
              <w:left w:val="nil"/>
              <w:bottom w:val="single" w:sz="4" w:space="0" w:color="auto"/>
              <w:right w:val="single" w:sz="4" w:space="0" w:color="auto"/>
            </w:tcBorders>
            <w:shd w:val="clear" w:color="auto" w:fill="auto"/>
            <w:noWrap/>
            <w:vAlign w:val="bottom"/>
            <w:hideMark/>
          </w:tcPr>
          <w:p w14:paraId="381BE8E0"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1.145</w:t>
            </w:r>
          </w:p>
        </w:tc>
        <w:tc>
          <w:tcPr>
            <w:tcW w:w="1051" w:type="dxa"/>
            <w:gridSpan w:val="2"/>
            <w:tcBorders>
              <w:top w:val="nil"/>
              <w:left w:val="nil"/>
              <w:bottom w:val="single" w:sz="4" w:space="0" w:color="auto"/>
              <w:right w:val="single" w:sz="4" w:space="0" w:color="auto"/>
            </w:tcBorders>
            <w:shd w:val="clear" w:color="auto" w:fill="auto"/>
            <w:noWrap/>
            <w:vAlign w:val="bottom"/>
            <w:hideMark/>
          </w:tcPr>
          <w:p w14:paraId="21C1B7A3"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26.4</w:t>
            </w:r>
          </w:p>
        </w:tc>
        <w:tc>
          <w:tcPr>
            <w:tcW w:w="932" w:type="dxa"/>
            <w:gridSpan w:val="2"/>
            <w:tcBorders>
              <w:top w:val="nil"/>
              <w:left w:val="nil"/>
              <w:bottom w:val="single" w:sz="4" w:space="0" w:color="auto"/>
              <w:right w:val="single" w:sz="4" w:space="0" w:color="auto"/>
            </w:tcBorders>
            <w:shd w:val="clear" w:color="auto" w:fill="auto"/>
            <w:noWrap/>
            <w:vAlign w:val="bottom"/>
            <w:hideMark/>
          </w:tcPr>
          <w:p w14:paraId="1FAEAF06"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26.5</w:t>
            </w:r>
          </w:p>
        </w:tc>
        <w:tc>
          <w:tcPr>
            <w:tcW w:w="1292" w:type="dxa"/>
            <w:gridSpan w:val="2"/>
            <w:tcBorders>
              <w:top w:val="nil"/>
              <w:left w:val="nil"/>
              <w:bottom w:val="single" w:sz="4" w:space="0" w:color="auto"/>
              <w:right w:val="single" w:sz="4" w:space="0" w:color="auto"/>
            </w:tcBorders>
            <w:shd w:val="clear" w:color="auto" w:fill="auto"/>
            <w:noWrap/>
            <w:vAlign w:val="bottom"/>
            <w:hideMark/>
          </w:tcPr>
          <w:p w14:paraId="0B7D459C"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39 (0.47)</w:t>
            </w:r>
          </w:p>
        </w:tc>
        <w:tc>
          <w:tcPr>
            <w:tcW w:w="986" w:type="dxa"/>
            <w:gridSpan w:val="2"/>
            <w:tcBorders>
              <w:top w:val="nil"/>
              <w:left w:val="nil"/>
              <w:bottom w:val="single" w:sz="4" w:space="0" w:color="auto"/>
              <w:right w:val="single" w:sz="4" w:space="0" w:color="auto"/>
            </w:tcBorders>
            <w:shd w:val="clear" w:color="auto" w:fill="auto"/>
            <w:noWrap/>
            <w:vAlign w:val="bottom"/>
            <w:hideMark/>
          </w:tcPr>
          <w:p w14:paraId="5FE42FA3"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2.45</w:t>
            </w:r>
          </w:p>
        </w:tc>
        <w:tc>
          <w:tcPr>
            <w:tcW w:w="943" w:type="dxa"/>
            <w:gridSpan w:val="2"/>
            <w:tcBorders>
              <w:top w:val="nil"/>
              <w:left w:val="nil"/>
              <w:bottom w:val="single" w:sz="4" w:space="0" w:color="auto"/>
              <w:right w:val="single" w:sz="4" w:space="0" w:color="auto"/>
            </w:tcBorders>
            <w:shd w:val="clear" w:color="auto" w:fill="auto"/>
            <w:noWrap/>
            <w:vAlign w:val="bottom"/>
            <w:hideMark/>
          </w:tcPr>
          <w:p w14:paraId="5004625F"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1.145</w:t>
            </w:r>
          </w:p>
        </w:tc>
        <w:tc>
          <w:tcPr>
            <w:tcW w:w="1042" w:type="dxa"/>
            <w:gridSpan w:val="2"/>
            <w:tcBorders>
              <w:top w:val="nil"/>
              <w:left w:val="nil"/>
              <w:bottom w:val="single" w:sz="4" w:space="0" w:color="auto"/>
              <w:right w:val="single" w:sz="4" w:space="0" w:color="auto"/>
            </w:tcBorders>
            <w:shd w:val="clear" w:color="auto" w:fill="auto"/>
            <w:noWrap/>
            <w:vAlign w:val="bottom"/>
            <w:hideMark/>
          </w:tcPr>
          <w:p w14:paraId="533EAE67"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27.2</w:t>
            </w:r>
          </w:p>
        </w:tc>
        <w:tc>
          <w:tcPr>
            <w:tcW w:w="976" w:type="dxa"/>
            <w:tcBorders>
              <w:top w:val="nil"/>
              <w:left w:val="nil"/>
              <w:bottom w:val="single" w:sz="4" w:space="0" w:color="auto"/>
              <w:right w:val="single" w:sz="4" w:space="0" w:color="auto"/>
            </w:tcBorders>
            <w:shd w:val="clear" w:color="auto" w:fill="auto"/>
            <w:noWrap/>
            <w:vAlign w:val="bottom"/>
            <w:hideMark/>
          </w:tcPr>
          <w:p w14:paraId="26B581BB"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25.9</w:t>
            </w:r>
          </w:p>
        </w:tc>
        <w:tc>
          <w:tcPr>
            <w:tcW w:w="1292" w:type="dxa"/>
            <w:tcBorders>
              <w:top w:val="nil"/>
              <w:left w:val="nil"/>
              <w:bottom w:val="single" w:sz="4" w:space="0" w:color="auto"/>
              <w:right w:val="single" w:sz="4" w:space="0" w:color="auto"/>
            </w:tcBorders>
            <w:shd w:val="clear" w:color="auto" w:fill="auto"/>
            <w:noWrap/>
            <w:vAlign w:val="bottom"/>
            <w:hideMark/>
          </w:tcPr>
          <w:p w14:paraId="1C3EB462"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47 (0.48)</w:t>
            </w:r>
          </w:p>
        </w:tc>
      </w:tr>
      <w:tr w:rsidR="00403B07" w:rsidRPr="00734C53" w14:paraId="16CFF99B" w14:textId="77777777" w:rsidTr="00B01272">
        <w:trPr>
          <w:trHeight w:val="297"/>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4B609E95"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49</w:t>
            </w:r>
          </w:p>
        </w:tc>
        <w:tc>
          <w:tcPr>
            <w:tcW w:w="1249" w:type="dxa"/>
            <w:gridSpan w:val="2"/>
            <w:tcBorders>
              <w:top w:val="nil"/>
              <w:left w:val="nil"/>
              <w:bottom w:val="single" w:sz="4" w:space="0" w:color="auto"/>
              <w:right w:val="single" w:sz="4" w:space="0" w:color="auto"/>
            </w:tcBorders>
            <w:shd w:val="clear" w:color="auto" w:fill="auto"/>
            <w:noWrap/>
            <w:vAlign w:val="bottom"/>
            <w:hideMark/>
          </w:tcPr>
          <w:p w14:paraId="54B084C2"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94.3</w:t>
            </w:r>
          </w:p>
        </w:tc>
        <w:tc>
          <w:tcPr>
            <w:tcW w:w="1140" w:type="dxa"/>
            <w:gridSpan w:val="2"/>
            <w:tcBorders>
              <w:top w:val="nil"/>
              <w:left w:val="nil"/>
              <w:bottom w:val="single" w:sz="4" w:space="0" w:color="auto"/>
              <w:right w:val="single" w:sz="4" w:space="0" w:color="auto"/>
            </w:tcBorders>
            <w:shd w:val="clear" w:color="auto" w:fill="auto"/>
            <w:noWrap/>
            <w:vAlign w:val="bottom"/>
            <w:hideMark/>
          </w:tcPr>
          <w:p w14:paraId="12E1DD06"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2.58</w:t>
            </w:r>
          </w:p>
        </w:tc>
        <w:tc>
          <w:tcPr>
            <w:tcW w:w="1153" w:type="dxa"/>
            <w:gridSpan w:val="3"/>
            <w:tcBorders>
              <w:top w:val="nil"/>
              <w:left w:val="nil"/>
              <w:bottom w:val="single" w:sz="4" w:space="0" w:color="auto"/>
              <w:right w:val="single" w:sz="4" w:space="0" w:color="auto"/>
            </w:tcBorders>
            <w:shd w:val="clear" w:color="auto" w:fill="auto"/>
            <w:noWrap/>
            <w:vAlign w:val="bottom"/>
            <w:hideMark/>
          </w:tcPr>
          <w:p w14:paraId="7DE8DAC9"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1.127</w:t>
            </w:r>
          </w:p>
        </w:tc>
        <w:tc>
          <w:tcPr>
            <w:tcW w:w="1051" w:type="dxa"/>
            <w:gridSpan w:val="2"/>
            <w:tcBorders>
              <w:top w:val="nil"/>
              <w:left w:val="nil"/>
              <w:bottom w:val="single" w:sz="4" w:space="0" w:color="auto"/>
              <w:right w:val="single" w:sz="4" w:space="0" w:color="auto"/>
            </w:tcBorders>
            <w:shd w:val="clear" w:color="auto" w:fill="auto"/>
            <w:noWrap/>
            <w:vAlign w:val="bottom"/>
            <w:hideMark/>
          </w:tcPr>
          <w:p w14:paraId="691E4648"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21.0</w:t>
            </w:r>
          </w:p>
        </w:tc>
        <w:tc>
          <w:tcPr>
            <w:tcW w:w="932" w:type="dxa"/>
            <w:gridSpan w:val="2"/>
            <w:tcBorders>
              <w:top w:val="nil"/>
              <w:left w:val="nil"/>
              <w:bottom w:val="single" w:sz="4" w:space="0" w:color="auto"/>
              <w:right w:val="single" w:sz="4" w:space="0" w:color="auto"/>
            </w:tcBorders>
            <w:shd w:val="clear" w:color="000000" w:fill="D9D9D9"/>
            <w:noWrap/>
            <w:vAlign w:val="bottom"/>
            <w:hideMark/>
          </w:tcPr>
          <w:p w14:paraId="497B1C56"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30.3</w:t>
            </w:r>
          </w:p>
        </w:tc>
        <w:tc>
          <w:tcPr>
            <w:tcW w:w="1292" w:type="dxa"/>
            <w:gridSpan w:val="2"/>
            <w:tcBorders>
              <w:top w:val="nil"/>
              <w:left w:val="nil"/>
              <w:bottom w:val="single" w:sz="4" w:space="0" w:color="auto"/>
              <w:right w:val="single" w:sz="4" w:space="0" w:color="auto"/>
            </w:tcBorders>
            <w:shd w:val="clear" w:color="auto" w:fill="auto"/>
            <w:noWrap/>
            <w:vAlign w:val="bottom"/>
            <w:hideMark/>
          </w:tcPr>
          <w:p w14:paraId="12FAE377"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50 (0.37)</w:t>
            </w:r>
          </w:p>
        </w:tc>
        <w:tc>
          <w:tcPr>
            <w:tcW w:w="986" w:type="dxa"/>
            <w:gridSpan w:val="2"/>
            <w:tcBorders>
              <w:top w:val="nil"/>
              <w:left w:val="nil"/>
              <w:bottom w:val="single" w:sz="4" w:space="0" w:color="auto"/>
              <w:right w:val="single" w:sz="4" w:space="0" w:color="auto"/>
            </w:tcBorders>
            <w:shd w:val="clear" w:color="auto" w:fill="auto"/>
            <w:noWrap/>
            <w:vAlign w:val="bottom"/>
            <w:hideMark/>
          </w:tcPr>
          <w:p w14:paraId="3DF50600"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2.50</w:t>
            </w:r>
          </w:p>
        </w:tc>
        <w:tc>
          <w:tcPr>
            <w:tcW w:w="943" w:type="dxa"/>
            <w:gridSpan w:val="2"/>
            <w:tcBorders>
              <w:top w:val="nil"/>
              <w:left w:val="nil"/>
              <w:bottom w:val="single" w:sz="4" w:space="0" w:color="auto"/>
              <w:right w:val="single" w:sz="4" w:space="0" w:color="auto"/>
            </w:tcBorders>
            <w:shd w:val="clear" w:color="auto" w:fill="auto"/>
            <w:noWrap/>
            <w:vAlign w:val="bottom"/>
            <w:hideMark/>
          </w:tcPr>
          <w:p w14:paraId="7BF4098F"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1.131</w:t>
            </w:r>
          </w:p>
        </w:tc>
        <w:tc>
          <w:tcPr>
            <w:tcW w:w="1042" w:type="dxa"/>
            <w:gridSpan w:val="2"/>
            <w:tcBorders>
              <w:top w:val="nil"/>
              <w:left w:val="nil"/>
              <w:bottom w:val="single" w:sz="4" w:space="0" w:color="auto"/>
              <w:right w:val="single" w:sz="4" w:space="0" w:color="auto"/>
            </w:tcBorders>
            <w:shd w:val="clear" w:color="auto" w:fill="auto"/>
            <w:noWrap/>
            <w:vAlign w:val="bottom"/>
            <w:hideMark/>
          </w:tcPr>
          <w:p w14:paraId="5C1FB1CD"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23.6</w:t>
            </w:r>
          </w:p>
        </w:tc>
        <w:tc>
          <w:tcPr>
            <w:tcW w:w="976" w:type="dxa"/>
            <w:tcBorders>
              <w:top w:val="nil"/>
              <w:left w:val="nil"/>
              <w:bottom w:val="single" w:sz="4" w:space="0" w:color="auto"/>
              <w:right w:val="single" w:sz="4" w:space="0" w:color="auto"/>
            </w:tcBorders>
            <w:shd w:val="clear" w:color="auto" w:fill="auto"/>
            <w:noWrap/>
            <w:vAlign w:val="bottom"/>
            <w:hideMark/>
          </w:tcPr>
          <w:p w14:paraId="46F4F33E"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27.7</w:t>
            </w:r>
          </w:p>
        </w:tc>
        <w:tc>
          <w:tcPr>
            <w:tcW w:w="1292" w:type="dxa"/>
            <w:tcBorders>
              <w:top w:val="nil"/>
              <w:left w:val="nil"/>
              <w:bottom w:val="single" w:sz="4" w:space="0" w:color="auto"/>
              <w:right w:val="single" w:sz="4" w:space="0" w:color="auto"/>
            </w:tcBorders>
            <w:shd w:val="clear" w:color="auto" w:fill="auto"/>
            <w:noWrap/>
            <w:vAlign w:val="bottom"/>
            <w:hideMark/>
          </w:tcPr>
          <w:p w14:paraId="3E246F56"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48 (0.41)</w:t>
            </w:r>
          </w:p>
        </w:tc>
      </w:tr>
      <w:tr w:rsidR="00403B07" w:rsidRPr="00734C53" w14:paraId="4A7BB06F" w14:textId="77777777" w:rsidTr="00B01272">
        <w:trPr>
          <w:trHeight w:val="70"/>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14:paraId="43A76E19"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50</w:t>
            </w:r>
          </w:p>
        </w:tc>
        <w:tc>
          <w:tcPr>
            <w:tcW w:w="1249" w:type="dxa"/>
            <w:gridSpan w:val="2"/>
            <w:tcBorders>
              <w:top w:val="nil"/>
              <w:left w:val="nil"/>
              <w:bottom w:val="single" w:sz="4" w:space="0" w:color="auto"/>
              <w:right w:val="single" w:sz="4" w:space="0" w:color="auto"/>
            </w:tcBorders>
            <w:shd w:val="clear" w:color="auto" w:fill="auto"/>
            <w:noWrap/>
            <w:vAlign w:val="bottom"/>
            <w:hideMark/>
          </w:tcPr>
          <w:p w14:paraId="0937972B"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 xml:space="preserve"> (103)</w:t>
            </w:r>
          </w:p>
        </w:tc>
        <w:tc>
          <w:tcPr>
            <w:tcW w:w="1140" w:type="dxa"/>
            <w:gridSpan w:val="2"/>
            <w:tcBorders>
              <w:top w:val="nil"/>
              <w:left w:val="nil"/>
              <w:bottom w:val="single" w:sz="4" w:space="0" w:color="auto"/>
              <w:right w:val="single" w:sz="4" w:space="0" w:color="auto"/>
            </w:tcBorders>
            <w:shd w:val="clear" w:color="auto" w:fill="auto"/>
            <w:noWrap/>
            <w:vAlign w:val="bottom"/>
            <w:hideMark/>
          </w:tcPr>
          <w:p w14:paraId="34AEF72E"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2.93</w:t>
            </w:r>
          </w:p>
        </w:tc>
        <w:tc>
          <w:tcPr>
            <w:tcW w:w="1153" w:type="dxa"/>
            <w:gridSpan w:val="3"/>
            <w:tcBorders>
              <w:top w:val="nil"/>
              <w:left w:val="nil"/>
              <w:bottom w:val="single" w:sz="4" w:space="0" w:color="auto"/>
              <w:right w:val="single" w:sz="4" w:space="0" w:color="auto"/>
            </w:tcBorders>
            <w:shd w:val="clear" w:color="auto" w:fill="auto"/>
            <w:noWrap/>
            <w:vAlign w:val="bottom"/>
            <w:hideMark/>
          </w:tcPr>
          <w:p w14:paraId="374D8025"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1.063</w:t>
            </w:r>
          </w:p>
        </w:tc>
        <w:tc>
          <w:tcPr>
            <w:tcW w:w="1051" w:type="dxa"/>
            <w:gridSpan w:val="2"/>
            <w:tcBorders>
              <w:top w:val="nil"/>
              <w:left w:val="nil"/>
              <w:bottom w:val="single" w:sz="4" w:space="0" w:color="auto"/>
              <w:right w:val="single" w:sz="4" w:space="0" w:color="auto"/>
            </w:tcBorders>
            <w:shd w:val="clear" w:color="auto" w:fill="auto"/>
            <w:noWrap/>
            <w:vAlign w:val="bottom"/>
            <w:hideMark/>
          </w:tcPr>
          <w:p w14:paraId="3339DC84"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12.7</w:t>
            </w:r>
          </w:p>
        </w:tc>
        <w:tc>
          <w:tcPr>
            <w:tcW w:w="932" w:type="dxa"/>
            <w:gridSpan w:val="2"/>
            <w:tcBorders>
              <w:top w:val="nil"/>
              <w:left w:val="nil"/>
              <w:bottom w:val="single" w:sz="4" w:space="0" w:color="auto"/>
              <w:right w:val="single" w:sz="4" w:space="0" w:color="auto"/>
            </w:tcBorders>
            <w:shd w:val="clear" w:color="000000" w:fill="D9D9D9"/>
            <w:noWrap/>
            <w:vAlign w:val="bottom"/>
            <w:hideMark/>
          </w:tcPr>
          <w:p w14:paraId="4DCD7BF5"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40.3</w:t>
            </w:r>
          </w:p>
        </w:tc>
        <w:tc>
          <w:tcPr>
            <w:tcW w:w="1292" w:type="dxa"/>
            <w:gridSpan w:val="2"/>
            <w:tcBorders>
              <w:top w:val="nil"/>
              <w:left w:val="nil"/>
              <w:bottom w:val="single" w:sz="4" w:space="0" w:color="auto"/>
              <w:right w:val="single" w:sz="4" w:space="0" w:color="auto"/>
            </w:tcBorders>
            <w:shd w:val="clear" w:color="auto" w:fill="auto"/>
            <w:noWrap/>
            <w:vAlign w:val="bottom"/>
            <w:hideMark/>
          </w:tcPr>
          <w:p w14:paraId="5F195532"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12 (0.43)</w:t>
            </w:r>
          </w:p>
        </w:tc>
        <w:tc>
          <w:tcPr>
            <w:tcW w:w="986" w:type="dxa"/>
            <w:gridSpan w:val="2"/>
            <w:tcBorders>
              <w:top w:val="nil"/>
              <w:left w:val="nil"/>
              <w:bottom w:val="single" w:sz="4" w:space="0" w:color="auto"/>
              <w:right w:val="single" w:sz="4" w:space="0" w:color="auto"/>
            </w:tcBorders>
            <w:shd w:val="clear" w:color="auto" w:fill="auto"/>
            <w:noWrap/>
            <w:vAlign w:val="bottom"/>
            <w:hideMark/>
          </w:tcPr>
          <w:p w14:paraId="69E64E48"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2.83</w:t>
            </w:r>
          </w:p>
        </w:tc>
        <w:tc>
          <w:tcPr>
            <w:tcW w:w="943" w:type="dxa"/>
            <w:gridSpan w:val="2"/>
            <w:tcBorders>
              <w:top w:val="nil"/>
              <w:left w:val="nil"/>
              <w:bottom w:val="single" w:sz="4" w:space="0" w:color="auto"/>
              <w:right w:val="single" w:sz="4" w:space="0" w:color="auto"/>
            </w:tcBorders>
            <w:shd w:val="clear" w:color="auto" w:fill="auto"/>
            <w:noWrap/>
            <w:vAlign w:val="bottom"/>
            <w:hideMark/>
          </w:tcPr>
          <w:p w14:paraId="4356084F"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1.065</w:t>
            </w:r>
          </w:p>
        </w:tc>
        <w:tc>
          <w:tcPr>
            <w:tcW w:w="1042" w:type="dxa"/>
            <w:gridSpan w:val="2"/>
            <w:tcBorders>
              <w:top w:val="nil"/>
              <w:left w:val="nil"/>
              <w:bottom w:val="single" w:sz="4" w:space="0" w:color="auto"/>
              <w:right w:val="single" w:sz="4" w:space="0" w:color="auto"/>
            </w:tcBorders>
            <w:shd w:val="clear" w:color="auto" w:fill="auto"/>
            <w:noWrap/>
            <w:vAlign w:val="bottom"/>
            <w:hideMark/>
          </w:tcPr>
          <w:p w14:paraId="5689849B"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13.1</w:t>
            </w:r>
          </w:p>
        </w:tc>
        <w:tc>
          <w:tcPr>
            <w:tcW w:w="976" w:type="dxa"/>
            <w:tcBorders>
              <w:top w:val="nil"/>
              <w:left w:val="nil"/>
              <w:bottom w:val="single" w:sz="4" w:space="0" w:color="auto"/>
              <w:right w:val="single" w:sz="4" w:space="0" w:color="auto"/>
            </w:tcBorders>
            <w:shd w:val="clear" w:color="000000" w:fill="D9D9D9"/>
            <w:noWrap/>
            <w:vAlign w:val="bottom"/>
            <w:hideMark/>
          </w:tcPr>
          <w:p w14:paraId="74B11A34"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36.6</w:t>
            </w:r>
          </w:p>
        </w:tc>
        <w:tc>
          <w:tcPr>
            <w:tcW w:w="1292" w:type="dxa"/>
            <w:tcBorders>
              <w:top w:val="nil"/>
              <w:left w:val="nil"/>
              <w:bottom w:val="single" w:sz="4" w:space="0" w:color="auto"/>
              <w:right w:val="single" w:sz="4" w:space="0" w:color="auto"/>
            </w:tcBorders>
            <w:shd w:val="clear" w:color="auto" w:fill="auto"/>
            <w:noWrap/>
            <w:vAlign w:val="bottom"/>
            <w:hideMark/>
          </w:tcPr>
          <w:p w14:paraId="49472C4F"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48 (0.46)</w:t>
            </w:r>
          </w:p>
        </w:tc>
      </w:tr>
      <w:tr w:rsidR="00403B07" w:rsidRPr="00734C53" w14:paraId="50A3708D" w14:textId="77777777" w:rsidTr="00B01272">
        <w:trPr>
          <w:trHeight w:val="276"/>
        </w:trPr>
        <w:tc>
          <w:tcPr>
            <w:tcW w:w="954" w:type="dxa"/>
            <w:gridSpan w:val="2"/>
            <w:tcBorders>
              <w:top w:val="nil"/>
              <w:left w:val="nil"/>
              <w:bottom w:val="nil"/>
              <w:right w:val="nil"/>
            </w:tcBorders>
            <w:shd w:val="clear" w:color="auto" w:fill="auto"/>
            <w:noWrap/>
            <w:vAlign w:val="bottom"/>
            <w:hideMark/>
          </w:tcPr>
          <w:p w14:paraId="062C7515" w14:textId="77777777" w:rsidR="00403B07" w:rsidRPr="00734C53" w:rsidRDefault="00403B07" w:rsidP="00B01272">
            <w:pPr>
              <w:spacing w:after="0" w:line="240" w:lineRule="auto"/>
              <w:rPr>
                <w:rFonts w:ascii="Times New Roman" w:eastAsia="Times New Roman" w:hAnsi="Times New Roman" w:cs="Times New Roman"/>
                <w:sz w:val="24"/>
                <w:szCs w:val="24"/>
              </w:rPr>
            </w:pPr>
          </w:p>
        </w:tc>
        <w:tc>
          <w:tcPr>
            <w:tcW w:w="1355" w:type="dxa"/>
            <w:gridSpan w:val="2"/>
            <w:tcBorders>
              <w:top w:val="nil"/>
              <w:left w:val="nil"/>
              <w:bottom w:val="nil"/>
              <w:right w:val="nil"/>
            </w:tcBorders>
            <w:shd w:val="clear" w:color="auto" w:fill="auto"/>
            <w:noWrap/>
            <w:vAlign w:val="bottom"/>
            <w:hideMark/>
          </w:tcPr>
          <w:p w14:paraId="7294698A" w14:textId="77777777" w:rsidR="00403B07" w:rsidRPr="00734C53" w:rsidRDefault="00403B07" w:rsidP="00B01272">
            <w:pPr>
              <w:spacing w:after="0" w:line="240" w:lineRule="auto"/>
              <w:rPr>
                <w:rFonts w:ascii="Times New Roman" w:eastAsia="Times New Roman" w:hAnsi="Times New Roman" w:cs="Times New Roman"/>
                <w:sz w:val="20"/>
                <w:szCs w:val="20"/>
              </w:rPr>
            </w:pPr>
          </w:p>
        </w:tc>
        <w:tc>
          <w:tcPr>
            <w:tcW w:w="10591" w:type="dxa"/>
            <w:gridSpan w:val="18"/>
            <w:tcBorders>
              <w:top w:val="single" w:sz="4" w:space="0" w:color="auto"/>
              <w:left w:val="single" w:sz="4" w:space="0" w:color="auto"/>
              <w:bottom w:val="single" w:sz="4" w:space="0" w:color="auto"/>
              <w:right w:val="single" w:sz="4" w:space="0" w:color="000000"/>
            </w:tcBorders>
            <w:shd w:val="clear" w:color="auto" w:fill="auto"/>
            <w:vAlign w:val="center"/>
            <w:hideMark/>
          </w:tcPr>
          <w:p w14:paraId="42A1B4D7" w14:textId="77777777" w:rsidR="00403B07" w:rsidRPr="00734C53" w:rsidRDefault="00403B07" w:rsidP="00B01272">
            <w:pPr>
              <w:spacing w:after="0" w:line="240" w:lineRule="auto"/>
              <w:jc w:val="center"/>
              <w:rPr>
                <w:rFonts w:ascii="Calibri" w:eastAsia="Times New Roman" w:hAnsi="Calibri" w:cs="Times New Roman"/>
                <w:b/>
                <w:bCs/>
                <w:color w:val="000000"/>
              </w:rPr>
            </w:pPr>
            <w:r w:rsidRPr="00734C53">
              <w:rPr>
                <w:rFonts w:ascii="Calibri" w:eastAsia="Times New Roman" w:hAnsi="Calibri" w:cs="Times New Roman"/>
                <w:b/>
                <w:bCs/>
                <w:color w:val="000000"/>
              </w:rPr>
              <w:t xml:space="preserve">12 months MLQ items </w:t>
            </w:r>
          </w:p>
        </w:tc>
      </w:tr>
      <w:tr w:rsidR="00403B07" w:rsidRPr="00734C53" w14:paraId="4F070CC8" w14:textId="77777777" w:rsidTr="00B01272">
        <w:trPr>
          <w:trHeight w:val="289"/>
        </w:trPr>
        <w:tc>
          <w:tcPr>
            <w:tcW w:w="954" w:type="dxa"/>
            <w:gridSpan w:val="2"/>
            <w:tcBorders>
              <w:top w:val="nil"/>
              <w:left w:val="nil"/>
              <w:bottom w:val="nil"/>
              <w:right w:val="nil"/>
            </w:tcBorders>
            <w:shd w:val="clear" w:color="auto" w:fill="auto"/>
            <w:noWrap/>
            <w:vAlign w:val="bottom"/>
            <w:hideMark/>
          </w:tcPr>
          <w:p w14:paraId="29219FE6" w14:textId="77777777" w:rsidR="00403B07" w:rsidRPr="00734C53" w:rsidRDefault="00403B07" w:rsidP="00B01272">
            <w:pPr>
              <w:spacing w:after="0" w:line="240" w:lineRule="auto"/>
              <w:jc w:val="center"/>
              <w:rPr>
                <w:rFonts w:ascii="Calibri" w:eastAsia="Times New Roman" w:hAnsi="Calibri" w:cs="Times New Roman"/>
                <w:b/>
                <w:bCs/>
                <w:color w:val="000000"/>
              </w:rPr>
            </w:pPr>
          </w:p>
        </w:tc>
        <w:tc>
          <w:tcPr>
            <w:tcW w:w="1355" w:type="dxa"/>
            <w:gridSpan w:val="2"/>
            <w:tcBorders>
              <w:top w:val="nil"/>
              <w:left w:val="nil"/>
              <w:bottom w:val="single" w:sz="4" w:space="0" w:color="auto"/>
              <w:right w:val="single" w:sz="4" w:space="0" w:color="auto"/>
            </w:tcBorders>
            <w:shd w:val="clear" w:color="auto" w:fill="auto"/>
            <w:noWrap/>
            <w:vAlign w:val="bottom"/>
            <w:hideMark/>
          </w:tcPr>
          <w:p w14:paraId="0A0009C2" w14:textId="77777777" w:rsidR="00403B07" w:rsidRPr="00734C53" w:rsidRDefault="00403B07" w:rsidP="00B01272">
            <w:pPr>
              <w:spacing w:after="0" w:line="240" w:lineRule="auto"/>
              <w:jc w:val="center"/>
              <w:rPr>
                <w:rFonts w:ascii="Calibri" w:eastAsia="Times New Roman" w:hAnsi="Calibri" w:cs="Times New Roman"/>
                <w:b/>
                <w:bCs/>
                <w:color w:val="000000"/>
                <w:sz w:val="24"/>
                <w:szCs w:val="24"/>
              </w:rPr>
            </w:pPr>
            <w:r w:rsidRPr="00734C53">
              <w:rPr>
                <w:rFonts w:ascii="Calibri" w:eastAsia="Times New Roman" w:hAnsi="Calibri" w:cs="Times New Roman"/>
                <w:b/>
                <w:bCs/>
                <w:color w:val="000000"/>
                <w:sz w:val="24"/>
                <w:szCs w:val="24"/>
              </w:rPr>
              <w:t> </w:t>
            </w:r>
          </w:p>
        </w:tc>
        <w:tc>
          <w:tcPr>
            <w:tcW w:w="4958" w:type="dxa"/>
            <w:gridSpan w:val="9"/>
            <w:tcBorders>
              <w:top w:val="single" w:sz="4" w:space="0" w:color="auto"/>
              <w:left w:val="nil"/>
              <w:bottom w:val="single" w:sz="4" w:space="0" w:color="auto"/>
              <w:right w:val="single" w:sz="4" w:space="0" w:color="000000"/>
            </w:tcBorders>
            <w:shd w:val="clear" w:color="auto" w:fill="auto"/>
            <w:noWrap/>
            <w:vAlign w:val="bottom"/>
            <w:hideMark/>
          </w:tcPr>
          <w:p w14:paraId="3E830ABA" w14:textId="77777777" w:rsidR="00403B07" w:rsidRPr="00734C53" w:rsidRDefault="00403B07" w:rsidP="00B01272">
            <w:pPr>
              <w:spacing w:after="0" w:line="240" w:lineRule="auto"/>
              <w:jc w:val="center"/>
              <w:rPr>
                <w:rFonts w:ascii="Calibri" w:eastAsia="Times New Roman" w:hAnsi="Calibri" w:cs="Times New Roman"/>
                <w:b/>
                <w:bCs/>
                <w:color w:val="000000"/>
                <w:sz w:val="24"/>
                <w:szCs w:val="24"/>
              </w:rPr>
            </w:pPr>
            <w:r w:rsidRPr="00734C53">
              <w:rPr>
                <w:rFonts w:ascii="Calibri" w:eastAsia="Times New Roman" w:hAnsi="Calibri" w:cs="Times New Roman"/>
                <w:b/>
                <w:bCs/>
                <w:color w:val="000000"/>
                <w:sz w:val="24"/>
                <w:szCs w:val="24"/>
              </w:rPr>
              <w:t xml:space="preserve"> data set A</w:t>
            </w:r>
          </w:p>
        </w:tc>
        <w:tc>
          <w:tcPr>
            <w:tcW w:w="5633" w:type="dxa"/>
            <w:gridSpan w:val="9"/>
            <w:tcBorders>
              <w:top w:val="single" w:sz="4" w:space="0" w:color="auto"/>
              <w:left w:val="nil"/>
              <w:bottom w:val="single" w:sz="4" w:space="0" w:color="auto"/>
              <w:right w:val="single" w:sz="4" w:space="0" w:color="000000"/>
            </w:tcBorders>
            <w:shd w:val="clear" w:color="auto" w:fill="auto"/>
            <w:noWrap/>
            <w:vAlign w:val="bottom"/>
            <w:hideMark/>
          </w:tcPr>
          <w:p w14:paraId="443F64B3" w14:textId="77777777" w:rsidR="00403B07" w:rsidRPr="00734C53" w:rsidRDefault="00403B07" w:rsidP="00B01272">
            <w:pPr>
              <w:spacing w:after="0" w:line="240" w:lineRule="auto"/>
              <w:jc w:val="center"/>
              <w:rPr>
                <w:rFonts w:ascii="Calibri" w:eastAsia="Times New Roman" w:hAnsi="Calibri" w:cs="Times New Roman"/>
                <w:b/>
                <w:bCs/>
                <w:color w:val="000000"/>
                <w:sz w:val="24"/>
                <w:szCs w:val="24"/>
              </w:rPr>
            </w:pPr>
            <w:r w:rsidRPr="00734C53">
              <w:rPr>
                <w:rFonts w:ascii="Calibri" w:eastAsia="Times New Roman" w:hAnsi="Calibri" w:cs="Times New Roman"/>
                <w:b/>
                <w:bCs/>
                <w:color w:val="000000"/>
                <w:sz w:val="24"/>
                <w:szCs w:val="24"/>
              </w:rPr>
              <w:t xml:space="preserve"> data set B</w:t>
            </w:r>
          </w:p>
        </w:tc>
      </w:tr>
      <w:tr w:rsidR="00403B07" w:rsidRPr="00734C53" w14:paraId="4F559510" w14:textId="77777777" w:rsidTr="00B01272">
        <w:trPr>
          <w:trHeight w:val="1339"/>
        </w:trPr>
        <w:tc>
          <w:tcPr>
            <w:tcW w:w="9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221C2" w14:textId="77777777" w:rsidR="00403B07" w:rsidRPr="00734C53" w:rsidRDefault="00403B07" w:rsidP="00B01272">
            <w:pPr>
              <w:spacing w:after="0" w:line="240" w:lineRule="auto"/>
              <w:rPr>
                <w:rFonts w:ascii="Calibri" w:eastAsia="Times New Roman" w:hAnsi="Calibri" w:cs="Times New Roman"/>
                <w:b/>
                <w:bCs/>
                <w:color w:val="000000"/>
              </w:rPr>
            </w:pPr>
            <w:r w:rsidRPr="00734C53">
              <w:rPr>
                <w:rFonts w:ascii="Calibri" w:eastAsia="Times New Roman" w:hAnsi="Calibri" w:cs="Times New Roman"/>
                <w:b/>
                <w:bCs/>
                <w:color w:val="000000"/>
              </w:rPr>
              <w:t>MLQ item</w:t>
            </w:r>
          </w:p>
        </w:tc>
        <w:tc>
          <w:tcPr>
            <w:tcW w:w="1355" w:type="dxa"/>
            <w:gridSpan w:val="2"/>
            <w:tcBorders>
              <w:top w:val="nil"/>
              <w:left w:val="nil"/>
              <w:bottom w:val="single" w:sz="4" w:space="0" w:color="auto"/>
              <w:right w:val="single" w:sz="4" w:space="0" w:color="auto"/>
            </w:tcBorders>
            <w:shd w:val="clear" w:color="auto" w:fill="auto"/>
            <w:vAlign w:val="bottom"/>
            <w:hideMark/>
          </w:tcPr>
          <w:p w14:paraId="0755E5CC" w14:textId="77777777" w:rsidR="00403B07" w:rsidRPr="00734C53" w:rsidRDefault="00403B07" w:rsidP="00B01272">
            <w:pPr>
              <w:spacing w:after="0" w:line="240" w:lineRule="auto"/>
              <w:jc w:val="center"/>
              <w:rPr>
                <w:rFonts w:ascii="Calibri" w:eastAsia="Times New Roman" w:hAnsi="Calibri" w:cs="Times New Roman"/>
                <w:b/>
                <w:bCs/>
                <w:color w:val="000000"/>
              </w:rPr>
            </w:pPr>
            <w:r w:rsidRPr="00734C53">
              <w:rPr>
                <w:rFonts w:ascii="Calibri" w:eastAsia="Times New Roman" w:hAnsi="Calibri" w:cs="Times New Roman"/>
                <w:b/>
                <w:bCs/>
                <w:color w:val="000000"/>
              </w:rPr>
              <w:t>Flesch-Kincaid reading ease (&gt;60)</w:t>
            </w:r>
          </w:p>
        </w:tc>
        <w:tc>
          <w:tcPr>
            <w:tcW w:w="952" w:type="dxa"/>
            <w:gridSpan w:val="2"/>
            <w:tcBorders>
              <w:top w:val="nil"/>
              <w:left w:val="nil"/>
              <w:bottom w:val="single" w:sz="4" w:space="0" w:color="auto"/>
              <w:right w:val="single" w:sz="4" w:space="0" w:color="auto"/>
            </w:tcBorders>
            <w:shd w:val="clear" w:color="auto" w:fill="auto"/>
            <w:vAlign w:val="bottom"/>
            <w:hideMark/>
          </w:tcPr>
          <w:p w14:paraId="055D802E" w14:textId="77777777" w:rsidR="00403B07" w:rsidRPr="00734C53" w:rsidRDefault="00403B07" w:rsidP="00B01272">
            <w:pPr>
              <w:spacing w:after="0" w:line="240" w:lineRule="auto"/>
              <w:jc w:val="center"/>
              <w:rPr>
                <w:rFonts w:ascii="Calibri" w:eastAsia="Times New Roman" w:hAnsi="Calibri" w:cs="Times New Roman"/>
                <w:b/>
                <w:bCs/>
                <w:color w:val="000000"/>
              </w:rPr>
            </w:pPr>
            <w:r w:rsidRPr="00734C53">
              <w:rPr>
                <w:rFonts w:ascii="Calibri" w:eastAsia="Times New Roman" w:hAnsi="Calibri" w:cs="Times New Roman"/>
                <w:b/>
                <w:bCs/>
                <w:color w:val="000000"/>
              </w:rPr>
              <w:t>Mean (&gt;1.5 or &lt;3.5)</w:t>
            </w:r>
          </w:p>
        </w:tc>
        <w:tc>
          <w:tcPr>
            <w:tcW w:w="970" w:type="dxa"/>
            <w:tcBorders>
              <w:top w:val="nil"/>
              <w:left w:val="nil"/>
              <w:bottom w:val="single" w:sz="4" w:space="0" w:color="auto"/>
              <w:right w:val="single" w:sz="4" w:space="0" w:color="auto"/>
            </w:tcBorders>
            <w:shd w:val="clear" w:color="auto" w:fill="auto"/>
            <w:vAlign w:val="bottom"/>
            <w:hideMark/>
          </w:tcPr>
          <w:p w14:paraId="6F0B199C" w14:textId="77777777" w:rsidR="00403B07" w:rsidRPr="00734C53" w:rsidRDefault="00403B07" w:rsidP="00B01272">
            <w:pPr>
              <w:spacing w:after="0" w:line="240" w:lineRule="auto"/>
              <w:jc w:val="center"/>
              <w:rPr>
                <w:rFonts w:ascii="Calibri" w:eastAsia="Times New Roman" w:hAnsi="Calibri" w:cs="Times New Roman"/>
                <w:b/>
                <w:bCs/>
                <w:color w:val="000000"/>
              </w:rPr>
            </w:pPr>
            <w:r w:rsidRPr="00734C53">
              <w:rPr>
                <w:rFonts w:ascii="Calibri" w:eastAsia="Times New Roman" w:hAnsi="Calibri" w:cs="Times New Roman"/>
                <w:b/>
                <w:bCs/>
                <w:color w:val="000000"/>
              </w:rPr>
              <w:t>SD (&gt; 0.8 or &lt;1.8)</w:t>
            </w:r>
          </w:p>
        </w:tc>
        <w:tc>
          <w:tcPr>
            <w:tcW w:w="847" w:type="dxa"/>
            <w:gridSpan w:val="2"/>
            <w:tcBorders>
              <w:top w:val="nil"/>
              <w:left w:val="nil"/>
              <w:bottom w:val="single" w:sz="4" w:space="0" w:color="auto"/>
              <w:right w:val="single" w:sz="4" w:space="0" w:color="auto"/>
            </w:tcBorders>
            <w:shd w:val="clear" w:color="auto" w:fill="auto"/>
            <w:vAlign w:val="bottom"/>
            <w:hideMark/>
          </w:tcPr>
          <w:p w14:paraId="17E258A8" w14:textId="77777777" w:rsidR="00403B07" w:rsidRPr="00734C53" w:rsidRDefault="00403B07" w:rsidP="00B01272">
            <w:pPr>
              <w:spacing w:after="0" w:line="240" w:lineRule="auto"/>
              <w:jc w:val="center"/>
              <w:rPr>
                <w:rFonts w:ascii="Calibri" w:eastAsia="Times New Roman" w:hAnsi="Calibri" w:cs="Times New Roman"/>
                <w:b/>
                <w:bCs/>
                <w:color w:val="000000"/>
              </w:rPr>
            </w:pPr>
            <w:r w:rsidRPr="00734C53">
              <w:rPr>
                <w:rFonts w:ascii="Calibri" w:eastAsia="Times New Roman" w:hAnsi="Calibri" w:cs="Times New Roman"/>
                <w:b/>
                <w:bCs/>
                <w:color w:val="000000"/>
              </w:rPr>
              <w:t>Floor %  (&lt;30%)</w:t>
            </w:r>
          </w:p>
        </w:tc>
        <w:tc>
          <w:tcPr>
            <w:tcW w:w="897" w:type="dxa"/>
            <w:gridSpan w:val="2"/>
            <w:tcBorders>
              <w:top w:val="nil"/>
              <w:left w:val="nil"/>
              <w:bottom w:val="single" w:sz="4" w:space="0" w:color="auto"/>
              <w:right w:val="single" w:sz="4" w:space="0" w:color="auto"/>
            </w:tcBorders>
            <w:shd w:val="clear" w:color="auto" w:fill="auto"/>
            <w:vAlign w:val="bottom"/>
            <w:hideMark/>
          </w:tcPr>
          <w:p w14:paraId="616FD68F" w14:textId="77777777" w:rsidR="00403B07" w:rsidRPr="00734C53" w:rsidRDefault="00403B07" w:rsidP="00B01272">
            <w:pPr>
              <w:spacing w:after="0" w:line="240" w:lineRule="auto"/>
              <w:jc w:val="center"/>
              <w:rPr>
                <w:rFonts w:ascii="Calibri" w:eastAsia="Times New Roman" w:hAnsi="Calibri" w:cs="Times New Roman"/>
                <w:b/>
                <w:bCs/>
                <w:color w:val="000000"/>
              </w:rPr>
            </w:pPr>
            <w:r w:rsidRPr="00734C53">
              <w:rPr>
                <w:rFonts w:ascii="Calibri" w:eastAsia="Times New Roman" w:hAnsi="Calibri" w:cs="Times New Roman"/>
                <w:b/>
                <w:bCs/>
                <w:color w:val="000000"/>
              </w:rPr>
              <w:t>Ceiling %  (&lt;30%)</w:t>
            </w:r>
          </w:p>
        </w:tc>
        <w:tc>
          <w:tcPr>
            <w:tcW w:w="1292" w:type="dxa"/>
            <w:gridSpan w:val="2"/>
            <w:tcBorders>
              <w:top w:val="nil"/>
              <w:left w:val="nil"/>
              <w:bottom w:val="single" w:sz="4" w:space="0" w:color="auto"/>
              <w:right w:val="single" w:sz="4" w:space="0" w:color="auto"/>
            </w:tcBorders>
            <w:shd w:val="clear" w:color="auto" w:fill="auto"/>
            <w:vAlign w:val="bottom"/>
            <w:hideMark/>
          </w:tcPr>
          <w:p w14:paraId="1A870843" w14:textId="77777777" w:rsidR="00403B07" w:rsidRPr="00734C53" w:rsidRDefault="00403B07" w:rsidP="00B01272">
            <w:pPr>
              <w:spacing w:after="0" w:line="240" w:lineRule="auto"/>
              <w:jc w:val="center"/>
              <w:rPr>
                <w:rFonts w:ascii="Calibri" w:eastAsia="Times New Roman" w:hAnsi="Calibri" w:cs="Times New Roman"/>
                <w:b/>
                <w:bCs/>
                <w:color w:val="000000"/>
              </w:rPr>
            </w:pPr>
            <w:r w:rsidRPr="00734C53">
              <w:rPr>
                <w:rFonts w:ascii="Calibri" w:eastAsia="Times New Roman" w:hAnsi="Calibri" w:cs="Times New Roman"/>
                <w:b/>
                <w:bCs/>
                <w:color w:val="000000"/>
              </w:rPr>
              <w:t xml:space="preserve">Highest pair item (correlation coefficient)  </w:t>
            </w:r>
          </w:p>
        </w:tc>
        <w:tc>
          <w:tcPr>
            <w:tcW w:w="955" w:type="dxa"/>
            <w:gridSpan w:val="2"/>
            <w:tcBorders>
              <w:top w:val="nil"/>
              <w:left w:val="nil"/>
              <w:bottom w:val="single" w:sz="4" w:space="0" w:color="auto"/>
              <w:right w:val="single" w:sz="4" w:space="0" w:color="auto"/>
            </w:tcBorders>
            <w:shd w:val="clear" w:color="auto" w:fill="auto"/>
            <w:vAlign w:val="bottom"/>
            <w:hideMark/>
          </w:tcPr>
          <w:p w14:paraId="4954C3C9" w14:textId="77777777" w:rsidR="00403B07" w:rsidRPr="00734C53" w:rsidRDefault="00403B07" w:rsidP="00B01272">
            <w:pPr>
              <w:spacing w:after="0" w:line="240" w:lineRule="auto"/>
              <w:jc w:val="center"/>
              <w:rPr>
                <w:rFonts w:ascii="Calibri" w:eastAsia="Times New Roman" w:hAnsi="Calibri" w:cs="Times New Roman"/>
                <w:b/>
                <w:bCs/>
                <w:color w:val="000000"/>
              </w:rPr>
            </w:pPr>
            <w:r w:rsidRPr="00734C53">
              <w:rPr>
                <w:rFonts w:ascii="Calibri" w:eastAsia="Times New Roman" w:hAnsi="Calibri" w:cs="Times New Roman"/>
                <w:b/>
                <w:bCs/>
                <w:color w:val="000000"/>
              </w:rPr>
              <w:t>Mean  (&gt;1.5 or &lt;3.5)</w:t>
            </w:r>
          </w:p>
        </w:tc>
        <w:tc>
          <w:tcPr>
            <w:tcW w:w="992" w:type="dxa"/>
            <w:gridSpan w:val="2"/>
            <w:tcBorders>
              <w:top w:val="nil"/>
              <w:left w:val="nil"/>
              <w:bottom w:val="single" w:sz="4" w:space="0" w:color="auto"/>
              <w:right w:val="single" w:sz="4" w:space="0" w:color="auto"/>
            </w:tcBorders>
            <w:shd w:val="clear" w:color="auto" w:fill="auto"/>
            <w:vAlign w:val="bottom"/>
            <w:hideMark/>
          </w:tcPr>
          <w:p w14:paraId="53E7E0DE" w14:textId="77777777" w:rsidR="00403B07" w:rsidRPr="00734C53" w:rsidRDefault="00403B07" w:rsidP="00B01272">
            <w:pPr>
              <w:spacing w:after="0" w:line="240" w:lineRule="auto"/>
              <w:jc w:val="center"/>
              <w:rPr>
                <w:rFonts w:ascii="Calibri" w:eastAsia="Times New Roman" w:hAnsi="Calibri" w:cs="Times New Roman"/>
                <w:b/>
                <w:bCs/>
                <w:color w:val="000000"/>
              </w:rPr>
            </w:pPr>
            <w:r w:rsidRPr="00734C53">
              <w:rPr>
                <w:rFonts w:ascii="Calibri" w:eastAsia="Times New Roman" w:hAnsi="Calibri" w:cs="Times New Roman"/>
                <w:b/>
                <w:bCs/>
                <w:color w:val="000000"/>
              </w:rPr>
              <w:t>SD (&gt; 0.8 or &lt;1.8)</w:t>
            </w:r>
          </w:p>
        </w:tc>
        <w:tc>
          <w:tcPr>
            <w:tcW w:w="1134" w:type="dxa"/>
            <w:gridSpan w:val="2"/>
            <w:tcBorders>
              <w:top w:val="nil"/>
              <w:left w:val="nil"/>
              <w:bottom w:val="single" w:sz="4" w:space="0" w:color="auto"/>
              <w:right w:val="single" w:sz="4" w:space="0" w:color="auto"/>
            </w:tcBorders>
            <w:shd w:val="clear" w:color="auto" w:fill="auto"/>
            <w:vAlign w:val="bottom"/>
            <w:hideMark/>
          </w:tcPr>
          <w:p w14:paraId="01AA7F3E" w14:textId="77777777" w:rsidR="00403B07" w:rsidRPr="00734C53" w:rsidRDefault="00403B07" w:rsidP="00B01272">
            <w:pPr>
              <w:spacing w:after="0" w:line="240" w:lineRule="auto"/>
              <w:jc w:val="center"/>
              <w:rPr>
                <w:rFonts w:ascii="Calibri" w:eastAsia="Times New Roman" w:hAnsi="Calibri" w:cs="Times New Roman"/>
                <w:b/>
                <w:bCs/>
                <w:color w:val="000000"/>
              </w:rPr>
            </w:pPr>
            <w:r w:rsidRPr="00734C53">
              <w:rPr>
                <w:rFonts w:ascii="Calibri" w:eastAsia="Times New Roman" w:hAnsi="Calibri" w:cs="Times New Roman"/>
                <w:b/>
                <w:bCs/>
                <w:color w:val="000000"/>
              </w:rPr>
              <w:t>Floor %  (&lt;30%)</w:t>
            </w:r>
          </w:p>
        </w:tc>
        <w:tc>
          <w:tcPr>
            <w:tcW w:w="1260" w:type="dxa"/>
            <w:gridSpan w:val="2"/>
            <w:tcBorders>
              <w:top w:val="nil"/>
              <w:left w:val="nil"/>
              <w:bottom w:val="single" w:sz="4" w:space="0" w:color="auto"/>
              <w:right w:val="single" w:sz="4" w:space="0" w:color="auto"/>
            </w:tcBorders>
            <w:shd w:val="clear" w:color="auto" w:fill="auto"/>
            <w:vAlign w:val="bottom"/>
            <w:hideMark/>
          </w:tcPr>
          <w:p w14:paraId="04E011CB" w14:textId="77777777" w:rsidR="00403B07" w:rsidRPr="00734C53" w:rsidRDefault="00403B07" w:rsidP="00B01272">
            <w:pPr>
              <w:spacing w:after="0" w:line="240" w:lineRule="auto"/>
              <w:jc w:val="center"/>
              <w:rPr>
                <w:rFonts w:ascii="Calibri" w:eastAsia="Times New Roman" w:hAnsi="Calibri" w:cs="Times New Roman"/>
                <w:b/>
                <w:bCs/>
                <w:color w:val="000000"/>
              </w:rPr>
            </w:pPr>
            <w:r w:rsidRPr="00734C53">
              <w:rPr>
                <w:rFonts w:ascii="Calibri" w:eastAsia="Times New Roman" w:hAnsi="Calibri" w:cs="Times New Roman"/>
                <w:b/>
                <w:bCs/>
                <w:color w:val="000000"/>
              </w:rPr>
              <w:t>Ceiling %  (&lt;30%)</w:t>
            </w:r>
          </w:p>
        </w:tc>
        <w:tc>
          <w:tcPr>
            <w:tcW w:w="1292" w:type="dxa"/>
            <w:tcBorders>
              <w:top w:val="nil"/>
              <w:left w:val="nil"/>
              <w:bottom w:val="single" w:sz="4" w:space="0" w:color="auto"/>
              <w:right w:val="single" w:sz="4" w:space="0" w:color="auto"/>
            </w:tcBorders>
            <w:shd w:val="clear" w:color="auto" w:fill="auto"/>
            <w:vAlign w:val="bottom"/>
            <w:hideMark/>
          </w:tcPr>
          <w:p w14:paraId="231748EE" w14:textId="77777777" w:rsidR="00403B07" w:rsidRPr="00734C53" w:rsidRDefault="00403B07" w:rsidP="00B01272">
            <w:pPr>
              <w:spacing w:after="0" w:line="240" w:lineRule="auto"/>
              <w:jc w:val="center"/>
              <w:rPr>
                <w:rFonts w:ascii="Calibri" w:eastAsia="Times New Roman" w:hAnsi="Calibri" w:cs="Times New Roman"/>
                <w:b/>
                <w:bCs/>
                <w:color w:val="000000"/>
              </w:rPr>
            </w:pPr>
            <w:r w:rsidRPr="00734C53">
              <w:rPr>
                <w:rFonts w:ascii="Calibri" w:eastAsia="Times New Roman" w:hAnsi="Calibri" w:cs="Times New Roman"/>
                <w:b/>
                <w:bCs/>
                <w:color w:val="000000"/>
              </w:rPr>
              <w:t xml:space="preserve">Highest pair item (correlation coefficient)  </w:t>
            </w:r>
          </w:p>
        </w:tc>
      </w:tr>
      <w:tr w:rsidR="00403B07" w:rsidRPr="00734C53" w14:paraId="0E949E23" w14:textId="77777777" w:rsidTr="00B01272">
        <w:trPr>
          <w:trHeight w:val="276"/>
        </w:trPr>
        <w:tc>
          <w:tcPr>
            <w:tcW w:w="954" w:type="dxa"/>
            <w:gridSpan w:val="2"/>
            <w:tcBorders>
              <w:top w:val="nil"/>
              <w:left w:val="single" w:sz="4" w:space="0" w:color="auto"/>
              <w:bottom w:val="single" w:sz="4" w:space="0" w:color="auto"/>
              <w:right w:val="single" w:sz="4" w:space="0" w:color="auto"/>
            </w:tcBorders>
            <w:shd w:val="clear" w:color="auto" w:fill="auto"/>
            <w:noWrap/>
            <w:vAlign w:val="bottom"/>
            <w:hideMark/>
          </w:tcPr>
          <w:p w14:paraId="214463C3"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6</w:t>
            </w:r>
          </w:p>
        </w:tc>
        <w:tc>
          <w:tcPr>
            <w:tcW w:w="1355" w:type="dxa"/>
            <w:gridSpan w:val="2"/>
            <w:tcBorders>
              <w:top w:val="nil"/>
              <w:left w:val="nil"/>
              <w:bottom w:val="single" w:sz="4" w:space="0" w:color="auto"/>
              <w:right w:val="single" w:sz="4" w:space="0" w:color="auto"/>
            </w:tcBorders>
            <w:shd w:val="clear" w:color="auto" w:fill="auto"/>
            <w:noWrap/>
            <w:vAlign w:val="bottom"/>
            <w:hideMark/>
          </w:tcPr>
          <w:p w14:paraId="57B40302"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62.1</w:t>
            </w:r>
          </w:p>
        </w:tc>
        <w:tc>
          <w:tcPr>
            <w:tcW w:w="952" w:type="dxa"/>
            <w:gridSpan w:val="2"/>
            <w:tcBorders>
              <w:top w:val="nil"/>
              <w:left w:val="nil"/>
              <w:bottom w:val="single" w:sz="4" w:space="0" w:color="auto"/>
              <w:right w:val="single" w:sz="4" w:space="0" w:color="auto"/>
            </w:tcBorders>
            <w:shd w:val="clear" w:color="auto" w:fill="auto"/>
            <w:noWrap/>
            <w:vAlign w:val="bottom"/>
            <w:hideMark/>
          </w:tcPr>
          <w:p w14:paraId="2FE45565"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2.97</w:t>
            </w:r>
          </w:p>
        </w:tc>
        <w:tc>
          <w:tcPr>
            <w:tcW w:w="970" w:type="dxa"/>
            <w:tcBorders>
              <w:top w:val="nil"/>
              <w:left w:val="nil"/>
              <w:bottom w:val="single" w:sz="4" w:space="0" w:color="auto"/>
              <w:right w:val="single" w:sz="4" w:space="0" w:color="auto"/>
            </w:tcBorders>
            <w:shd w:val="clear" w:color="auto" w:fill="auto"/>
            <w:noWrap/>
            <w:vAlign w:val="bottom"/>
            <w:hideMark/>
          </w:tcPr>
          <w:p w14:paraId="65ACCC38"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0.876</w:t>
            </w:r>
          </w:p>
        </w:tc>
        <w:tc>
          <w:tcPr>
            <w:tcW w:w="847" w:type="dxa"/>
            <w:gridSpan w:val="2"/>
            <w:tcBorders>
              <w:top w:val="nil"/>
              <w:left w:val="nil"/>
              <w:bottom w:val="single" w:sz="4" w:space="0" w:color="auto"/>
              <w:right w:val="single" w:sz="4" w:space="0" w:color="auto"/>
            </w:tcBorders>
            <w:shd w:val="clear" w:color="auto" w:fill="auto"/>
            <w:noWrap/>
            <w:vAlign w:val="bottom"/>
            <w:hideMark/>
          </w:tcPr>
          <w:p w14:paraId="312379F4"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7.3</w:t>
            </w:r>
          </w:p>
        </w:tc>
        <w:tc>
          <w:tcPr>
            <w:tcW w:w="897" w:type="dxa"/>
            <w:gridSpan w:val="2"/>
            <w:tcBorders>
              <w:top w:val="nil"/>
              <w:left w:val="nil"/>
              <w:bottom w:val="single" w:sz="4" w:space="0" w:color="auto"/>
              <w:right w:val="single" w:sz="4" w:space="0" w:color="auto"/>
            </w:tcBorders>
            <w:shd w:val="clear" w:color="auto" w:fill="auto"/>
            <w:noWrap/>
            <w:vAlign w:val="bottom"/>
            <w:hideMark/>
          </w:tcPr>
          <w:p w14:paraId="390A57EA"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29.5</w:t>
            </w:r>
          </w:p>
        </w:tc>
        <w:tc>
          <w:tcPr>
            <w:tcW w:w="1292" w:type="dxa"/>
            <w:gridSpan w:val="2"/>
            <w:tcBorders>
              <w:top w:val="nil"/>
              <w:left w:val="nil"/>
              <w:bottom w:val="single" w:sz="4" w:space="0" w:color="auto"/>
              <w:right w:val="single" w:sz="4" w:space="0" w:color="auto"/>
            </w:tcBorders>
            <w:shd w:val="clear" w:color="auto" w:fill="auto"/>
            <w:noWrap/>
            <w:hideMark/>
          </w:tcPr>
          <w:p w14:paraId="5CDB706A"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9 (0.59)</w:t>
            </w:r>
          </w:p>
        </w:tc>
        <w:tc>
          <w:tcPr>
            <w:tcW w:w="955" w:type="dxa"/>
            <w:gridSpan w:val="2"/>
            <w:tcBorders>
              <w:top w:val="nil"/>
              <w:left w:val="nil"/>
              <w:bottom w:val="single" w:sz="4" w:space="0" w:color="auto"/>
              <w:right w:val="single" w:sz="4" w:space="0" w:color="auto"/>
            </w:tcBorders>
            <w:shd w:val="clear" w:color="auto" w:fill="auto"/>
            <w:noWrap/>
            <w:vAlign w:val="bottom"/>
            <w:hideMark/>
          </w:tcPr>
          <w:p w14:paraId="69748C7D"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2.99</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373E8C86"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0.900</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75A1C6D8"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8.8</w:t>
            </w:r>
          </w:p>
        </w:tc>
        <w:tc>
          <w:tcPr>
            <w:tcW w:w="1260" w:type="dxa"/>
            <w:gridSpan w:val="2"/>
            <w:tcBorders>
              <w:top w:val="nil"/>
              <w:left w:val="nil"/>
              <w:bottom w:val="single" w:sz="4" w:space="0" w:color="auto"/>
              <w:right w:val="single" w:sz="4" w:space="0" w:color="auto"/>
            </w:tcBorders>
            <w:shd w:val="clear" w:color="000000" w:fill="D9D9D9"/>
            <w:noWrap/>
            <w:vAlign w:val="bottom"/>
            <w:hideMark/>
          </w:tcPr>
          <w:p w14:paraId="5A564853"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31.0</w:t>
            </w:r>
          </w:p>
        </w:tc>
        <w:tc>
          <w:tcPr>
            <w:tcW w:w="1292" w:type="dxa"/>
            <w:tcBorders>
              <w:top w:val="nil"/>
              <w:left w:val="nil"/>
              <w:bottom w:val="single" w:sz="4" w:space="0" w:color="auto"/>
              <w:right w:val="single" w:sz="4" w:space="0" w:color="auto"/>
            </w:tcBorders>
            <w:shd w:val="clear" w:color="auto" w:fill="auto"/>
            <w:noWrap/>
            <w:hideMark/>
          </w:tcPr>
          <w:p w14:paraId="3B217BBC"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9 (0.57)</w:t>
            </w:r>
          </w:p>
        </w:tc>
      </w:tr>
      <w:tr w:rsidR="00403B07" w:rsidRPr="00734C53" w14:paraId="647AC132" w14:textId="77777777" w:rsidTr="00B01272">
        <w:trPr>
          <w:trHeight w:val="276"/>
        </w:trPr>
        <w:tc>
          <w:tcPr>
            <w:tcW w:w="954" w:type="dxa"/>
            <w:gridSpan w:val="2"/>
            <w:tcBorders>
              <w:top w:val="nil"/>
              <w:left w:val="single" w:sz="4" w:space="0" w:color="auto"/>
              <w:bottom w:val="single" w:sz="4" w:space="0" w:color="auto"/>
              <w:right w:val="single" w:sz="4" w:space="0" w:color="auto"/>
            </w:tcBorders>
            <w:shd w:val="clear" w:color="auto" w:fill="auto"/>
            <w:noWrap/>
            <w:vAlign w:val="bottom"/>
            <w:hideMark/>
          </w:tcPr>
          <w:p w14:paraId="76835916"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7</w:t>
            </w:r>
          </w:p>
        </w:tc>
        <w:tc>
          <w:tcPr>
            <w:tcW w:w="1355" w:type="dxa"/>
            <w:gridSpan w:val="2"/>
            <w:tcBorders>
              <w:top w:val="nil"/>
              <w:left w:val="nil"/>
              <w:bottom w:val="single" w:sz="4" w:space="0" w:color="auto"/>
              <w:right w:val="single" w:sz="4" w:space="0" w:color="auto"/>
            </w:tcBorders>
            <w:shd w:val="clear" w:color="auto" w:fill="auto"/>
            <w:noWrap/>
            <w:vAlign w:val="bottom"/>
            <w:hideMark/>
          </w:tcPr>
          <w:p w14:paraId="27FD9FEC"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65.7</w:t>
            </w:r>
          </w:p>
        </w:tc>
        <w:tc>
          <w:tcPr>
            <w:tcW w:w="952" w:type="dxa"/>
            <w:gridSpan w:val="2"/>
            <w:tcBorders>
              <w:top w:val="nil"/>
              <w:left w:val="nil"/>
              <w:bottom w:val="single" w:sz="4" w:space="0" w:color="auto"/>
              <w:right w:val="single" w:sz="4" w:space="0" w:color="auto"/>
            </w:tcBorders>
            <w:shd w:val="clear" w:color="auto" w:fill="auto"/>
            <w:noWrap/>
            <w:vAlign w:val="bottom"/>
            <w:hideMark/>
          </w:tcPr>
          <w:p w14:paraId="47ECEF2F"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2.64</w:t>
            </w:r>
          </w:p>
        </w:tc>
        <w:tc>
          <w:tcPr>
            <w:tcW w:w="970" w:type="dxa"/>
            <w:tcBorders>
              <w:top w:val="nil"/>
              <w:left w:val="nil"/>
              <w:bottom w:val="single" w:sz="4" w:space="0" w:color="auto"/>
              <w:right w:val="single" w:sz="4" w:space="0" w:color="auto"/>
            </w:tcBorders>
            <w:shd w:val="clear" w:color="auto" w:fill="auto"/>
            <w:noWrap/>
            <w:vAlign w:val="bottom"/>
            <w:hideMark/>
          </w:tcPr>
          <w:p w14:paraId="67A0BEBB"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1.003</w:t>
            </w:r>
          </w:p>
        </w:tc>
        <w:tc>
          <w:tcPr>
            <w:tcW w:w="847" w:type="dxa"/>
            <w:gridSpan w:val="2"/>
            <w:tcBorders>
              <w:top w:val="nil"/>
              <w:left w:val="nil"/>
              <w:bottom w:val="single" w:sz="4" w:space="0" w:color="auto"/>
              <w:right w:val="single" w:sz="4" w:space="0" w:color="auto"/>
            </w:tcBorders>
            <w:shd w:val="clear" w:color="auto" w:fill="auto"/>
            <w:noWrap/>
            <w:vAlign w:val="bottom"/>
            <w:hideMark/>
          </w:tcPr>
          <w:p w14:paraId="1CC1F1EA"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15.2</w:t>
            </w:r>
          </w:p>
        </w:tc>
        <w:tc>
          <w:tcPr>
            <w:tcW w:w="897" w:type="dxa"/>
            <w:gridSpan w:val="2"/>
            <w:tcBorders>
              <w:top w:val="nil"/>
              <w:left w:val="nil"/>
              <w:bottom w:val="single" w:sz="4" w:space="0" w:color="auto"/>
              <w:right w:val="single" w:sz="4" w:space="0" w:color="auto"/>
            </w:tcBorders>
            <w:shd w:val="clear" w:color="auto" w:fill="auto"/>
            <w:noWrap/>
            <w:vAlign w:val="bottom"/>
            <w:hideMark/>
          </w:tcPr>
          <w:p w14:paraId="576A59A6"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23.5</w:t>
            </w:r>
          </w:p>
        </w:tc>
        <w:tc>
          <w:tcPr>
            <w:tcW w:w="1292" w:type="dxa"/>
            <w:gridSpan w:val="2"/>
            <w:tcBorders>
              <w:top w:val="nil"/>
              <w:left w:val="nil"/>
              <w:bottom w:val="single" w:sz="4" w:space="0" w:color="auto"/>
              <w:right w:val="single" w:sz="4" w:space="0" w:color="auto"/>
            </w:tcBorders>
            <w:shd w:val="clear" w:color="000000" w:fill="D9D9D9"/>
            <w:noWrap/>
            <w:hideMark/>
          </w:tcPr>
          <w:p w14:paraId="25FE25A0"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10 (0.63)</w:t>
            </w:r>
          </w:p>
        </w:tc>
        <w:tc>
          <w:tcPr>
            <w:tcW w:w="955" w:type="dxa"/>
            <w:gridSpan w:val="2"/>
            <w:tcBorders>
              <w:top w:val="nil"/>
              <w:left w:val="nil"/>
              <w:bottom w:val="single" w:sz="4" w:space="0" w:color="auto"/>
              <w:right w:val="single" w:sz="4" w:space="0" w:color="auto"/>
            </w:tcBorders>
            <w:shd w:val="clear" w:color="auto" w:fill="auto"/>
            <w:noWrap/>
            <w:vAlign w:val="bottom"/>
            <w:hideMark/>
          </w:tcPr>
          <w:p w14:paraId="21F62951"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2.66</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7B9BD91F"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1.029</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24E56C28"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16.0</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1072F19B"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25.6</w:t>
            </w:r>
          </w:p>
        </w:tc>
        <w:tc>
          <w:tcPr>
            <w:tcW w:w="1292" w:type="dxa"/>
            <w:tcBorders>
              <w:top w:val="nil"/>
              <w:left w:val="nil"/>
              <w:bottom w:val="single" w:sz="4" w:space="0" w:color="auto"/>
              <w:right w:val="single" w:sz="4" w:space="0" w:color="auto"/>
            </w:tcBorders>
            <w:shd w:val="clear" w:color="000000" w:fill="D9D9D9"/>
            <w:noWrap/>
            <w:hideMark/>
          </w:tcPr>
          <w:p w14:paraId="24AB8E31"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10 (0.66)</w:t>
            </w:r>
          </w:p>
        </w:tc>
      </w:tr>
      <w:tr w:rsidR="00403B07" w:rsidRPr="00734C53" w14:paraId="5829AB41" w14:textId="77777777" w:rsidTr="00B01272">
        <w:trPr>
          <w:trHeight w:val="276"/>
        </w:trPr>
        <w:tc>
          <w:tcPr>
            <w:tcW w:w="954" w:type="dxa"/>
            <w:gridSpan w:val="2"/>
            <w:tcBorders>
              <w:top w:val="nil"/>
              <w:left w:val="single" w:sz="4" w:space="0" w:color="auto"/>
              <w:bottom w:val="single" w:sz="4" w:space="0" w:color="auto"/>
              <w:right w:val="single" w:sz="4" w:space="0" w:color="auto"/>
            </w:tcBorders>
            <w:shd w:val="clear" w:color="auto" w:fill="auto"/>
            <w:noWrap/>
            <w:vAlign w:val="bottom"/>
            <w:hideMark/>
          </w:tcPr>
          <w:p w14:paraId="54527B5F"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8</w:t>
            </w:r>
          </w:p>
        </w:tc>
        <w:tc>
          <w:tcPr>
            <w:tcW w:w="1355" w:type="dxa"/>
            <w:gridSpan w:val="2"/>
            <w:tcBorders>
              <w:top w:val="nil"/>
              <w:left w:val="nil"/>
              <w:bottom w:val="single" w:sz="4" w:space="0" w:color="auto"/>
              <w:right w:val="single" w:sz="4" w:space="0" w:color="auto"/>
            </w:tcBorders>
            <w:shd w:val="clear" w:color="auto" w:fill="auto"/>
            <w:noWrap/>
            <w:vAlign w:val="bottom"/>
            <w:hideMark/>
          </w:tcPr>
          <w:p w14:paraId="7B53CE0A"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69</w:t>
            </w:r>
          </w:p>
        </w:tc>
        <w:tc>
          <w:tcPr>
            <w:tcW w:w="952" w:type="dxa"/>
            <w:gridSpan w:val="2"/>
            <w:tcBorders>
              <w:top w:val="nil"/>
              <w:left w:val="nil"/>
              <w:bottom w:val="single" w:sz="4" w:space="0" w:color="auto"/>
              <w:right w:val="single" w:sz="4" w:space="0" w:color="auto"/>
            </w:tcBorders>
            <w:shd w:val="clear" w:color="auto" w:fill="auto"/>
            <w:noWrap/>
            <w:vAlign w:val="bottom"/>
            <w:hideMark/>
          </w:tcPr>
          <w:p w14:paraId="5914505D"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2.12</w:t>
            </w:r>
          </w:p>
        </w:tc>
        <w:tc>
          <w:tcPr>
            <w:tcW w:w="970" w:type="dxa"/>
            <w:tcBorders>
              <w:top w:val="nil"/>
              <w:left w:val="nil"/>
              <w:bottom w:val="single" w:sz="4" w:space="0" w:color="auto"/>
              <w:right w:val="single" w:sz="4" w:space="0" w:color="auto"/>
            </w:tcBorders>
            <w:shd w:val="clear" w:color="auto" w:fill="auto"/>
            <w:noWrap/>
            <w:vAlign w:val="bottom"/>
            <w:hideMark/>
          </w:tcPr>
          <w:p w14:paraId="7B5BEE00"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0.966</w:t>
            </w:r>
          </w:p>
        </w:tc>
        <w:tc>
          <w:tcPr>
            <w:tcW w:w="847" w:type="dxa"/>
            <w:gridSpan w:val="2"/>
            <w:tcBorders>
              <w:top w:val="nil"/>
              <w:left w:val="nil"/>
              <w:bottom w:val="single" w:sz="4" w:space="0" w:color="auto"/>
              <w:right w:val="single" w:sz="4" w:space="0" w:color="auto"/>
            </w:tcBorders>
            <w:shd w:val="clear" w:color="000000" w:fill="D9D9D9"/>
            <w:noWrap/>
            <w:vAlign w:val="bottom"/>
            <w:hideMark/>
          </w:tcPr>
          <w:p w14:paraId="10C67DA0"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32.2</w:t>
            </w:r>
          </w:p>
        </w:tc>
        <w:tc>
          <w:tcPr>
            <w:tcW w:w="897" w:type="dxa"/>
            <w:gridSpan w:val="2"/>
            <w:tcBorders>
              <w:top w:val="nil"/>
              <w:left w:val="nil"/>
              <w:bottom w:val="single" w:sz="4" w:space="0" w:color="auto"/>
              <w:right w:val="single" w:sz="4" w:space="0" w:color="auto"/>
            </w:tcBorders>
            <w:shd w:val="clear" w:color="auto" w:fill="auto"/>
            <w:noWrap/>
            <w:vAlign w:val="bottom"/>
            <w:hideMark/>
          </w:tcPr>
          <w:p w14:paraId="29CE0DE9"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8.9</w:t>
            </w:r>
          </w:p>
        </w:tc>
        <w:tc>
          <w:tcPr>
            <w:tcW w:w="1292" w:type="dxa"/>
            <w:gridSpan w:val="2"/>
            <w:tcBorders>
              <w:top w:val="nil"/>
              <w:left w:val="nil"/>
              <w:bottom w:val="single" w:sz="4" w:space="0" w:color="auto"/>
              <w:right w:val="single" w:sz="4" w:space="0" w:color="auto"/>
            </w:tcBorders>
            <w:shd w:val="clear" w:color="000000" w:fill="D9D9D9"/>
            <w:noWrap/>
            <w:hideMark/>
          </w:tcPr>
          <w:p w14:paraId="60F8729E"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11 (0.64)</w:t>
            </w:r>
          </w:p>
        </w:tc>
        <w:tc>
          <w:tcPr>
            <w:tcW w:w="955" w:type="dxa"/>
            <w:gridSpan w:val="2"/>
            <w:tcBorders>
              <w:top w:val="nil"/>
              <w:left w:val="nil"/>
              <w:bottom w:val="single" w:sz="4" w:space="0" w:color="auto"/>
              <w:right w:val="single" w:sz="4" w:space="0" w:color="auto"/>
            </w:tcBorders>
            <w:shd w:val="clear" w:color="auto" w:fill="auto"/>
            <w:noWrap/>
            <w:vAlign w:val="bottom"/>
            <w:hideMark/>
          </w:tcPr>
          <w:p w14:paraId="36520279"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2.24</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0335A517"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1.005</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3C0B219F"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28.6</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1215A86F"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12.7</w:t>
            </w:r>
          </w:p>
        </w:tc>
        <w:tc>
          <w:tcPr>
            <w:tcW w:w="1292" w:type="dxa"/>
            <w:tcBorders>
              <w:top w:val="nil"/>
              <w:left w:val="nil"/>
              <w:bottom w:val="single" w:sz="4" w:space="0" w:color="auto"/>
              <w:right w:val="single" w:sz="4" w:space="0" w:color="auto"/>
            </w:tcBorders>
            <w:shd w:val="clear" w:color="000000" w:fill="D9D9D9"/>
            <w:noWrap/>
            <w:hideMark/>
          </w:tcPr>
          <w:p w14:paraId="63EB625E"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11 (0.62)</w:t>
            </w:r>
          </w:p>
        </w:tc>
      </w:tr>
      <w:tr w:rsidR="00403B07" w:rsidRPr="00734C53" w14:paraId="1A71D51E" w14:textId="77777777" w:rsidTr="00B01272">
        <w:trPr>
          <w:trHeight w:val="276"/>
        </w:trPr>
        <w:tc>
          <w:tcPr>
            <w:tcW w:w="954" w:type="dxa"/>
            <w:gridSpan w:val="2"/>
            <w:tcBorders>
              <w:top w:val="nil"/>
              <w:left w:val="single" w:sz="4" w:space="0" w:color="auto"/>
              <w:bottom w:val="single" w:sz="4" w:space="0" w:color="auto"/>
              <w:right w:val="single" w:sz="4" w:space="0" w:color="auto"/>
            </w:tcBorders>
            <w:shd w:val="clear" w:color="auto" w:fill="auto"/>
            <w:noWrap/>
            <w:vAlign w:val="bottom"/>
            <w:hideMark/>
          </w:tcPr>
          <w:p w14:paraId="519BC729"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9</w:t>
            </w:r>
          </w:p>
        </w:tc>
        <w:tc>
          <w:tcPr>
            <w:tcW w:w="1355" w:type="dxa"/>
            <w:gridSpan w:val="2"/>
            <w:tcBorders>
              <w:top w:val="nil"/>
              <w:left w:val="nil"/>
              <w:bottom w:val="single" w:sz="4" w:space="0" w:color="auto"/>
              <w:right w:val="single" w:sz="4" w:space="0" w:color="auto"/>
            </w:tcBorders>
            <w:shd w:val="clear" w:color="auto" w:fill="auto"/>
            <w:noWrap/>
            <w:vAlign w:val="bottom"/>
            <w:hideMark/>
          </w:tcPr>
          <w:p w14:paraId="603454F9"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67.3</w:t>
            </w:r>
          </w:p>
        </w:tc>
        <w:tc>
          <w:tcPr>
            <w:tcW w:w="952" w:type="dxa"/>
            <w:gridSpan w:val="2"/>
            <w:tcBorders>
              <w:top w:val="nil"/>
              <w:left w:val="nil"/>
              <w:bottom w:val="single" w:sz="4" w:space="0" w:color="auto"/>
              <w:right w:val="single" w:sz="4" w:space="0" w:color="auto"/>
            </w:tcBorders>
            <w:shd w:val="clear" w:color="auto" w:fill="auto"/>
            <w:noWrap/>
            <w:vAlign w:val="bottom"/>
            <w:hideMark/>
          </w:tcPr>
          <w:p w14:paraId="52ACAF92"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3.07</w:t>
            </w:r>
          </w:p>
        </w:tc>
        <w:tc>
          <w:tcPr>
            <w:tcW w:w="970" w:type="dxa"/>
            <w:tcBorders>
              <w:top w:val="nil"/>
              <w:left w:val="nil"/>
              <w:bottom w:val="single" w:sz="4" w:space="0" w:color="auto"/>
              <w:right w:val="single" w:sz="4" w:space="0" w:color="auto"/>
            </w:tcBorders>
            <w:shd w:val="clear" w:color="auto" w:fill="auto"/>
            <w:noWrap/>
            <w:vAlign w:val="bottom"/>
            <w:hideMark/>
          </w:tcPr>
          <w:p w14:paraId="45D84915"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0.911</w:t>
            </w:r>
          </w:p>
        </w:tc>
        <w:tc>
          <w:tcPr>
            <w:tcW w:w="847" w:type="dxa"/>
            <w:gridSpan w:val="2"/>
            <w:tcBorders>
              <w:top w:val="nil"/>
              <w:left w:val="nil"/>
              <w:bottom w:val="single" w:sz="4" w:space="0" w:color="auto"/>
              <w:right w:val="single" w:sz="4" w:space="0" w:color="auto"/>
            </w:tcBorders>
            <w:shd w:val="clear" w:color="auto" w:fill="auto"/>
            <w:noWrap/>
            <w:vAlign w:val="bottom"/>
            <w:hideMark/>
          </w:tcPr>
          <w:p w14:paraId="15788AB1"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6.9</w:t>
            </w:r>
          </w:p>
        </w:tc>
        <w:tc>
          <w:tcPr>
            <w:tcW w:w="897" w:type="dxa"/>
            <w:gridSpan w:val="2"/>
            <w:tcBorders>
              <w:top w:val="nil"/>
              <w:left w:val="nil"/>
              <w:bottom w:val="single" w:sz="4" w:space="0" w:color="auto"/>
              <w:right w:val="single" w:sz="4" w:space="0" w:color="auto"/>
            </w:tcBorders>
            <w:shd w:val="clear" w:color="000000" w:fill="D9D9D9"/>
            <w:noWrap/>
            <w:vAlign w:val="bottom"/>
            <w:hideMark/>
          </w:tcPr>
          <w:p w14:paraId="4C6D5688"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38.0</w:t>
            </w:r>
          </w:p>
        </w:tc>
        <w:tc>
          <w:tcPr>
            <w:tcW w:w="1292" w:type="dxa"/>
            <w:gridSpan w:val="2"/>
            <w:tcBorders>
              <w:top w:val="nil"/>
              <w:left w:val="nil"/>
              <w:bottom w:val="single" w:sz="4" w:space="0" w:color="auto"/>
              <w:right w:val="single" w:sz="4" w:space="0" w:color="auto"/>
            </w:tcBorders>
            <w:shd w:val="clear" w:color="auto" w:fill="auto"/>
            <w:noWrap/>
            <w:hideMark/>
          </w:tcPr>
          <w:p w14:paraId="199D7C05"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6 (0.59)</w:t>
            </w:r>
          </w:p>
        </w:tc>
        <w:tc>
          <w:tcPr>
            <w:tcW w:w="955" w:type="dxa"/>
            <w:gridSpan w:val="2"/>
            <w:tcBorders>
              <w:top w:val="nil"/>
              <w:left w:val="nil"/>
              <w:bottom w:val="single" w:sz="4" w:space="0" w:color="auto"/>
              <w:right w:val="single" w:sz="4" w:space="0" w:color="auto"/>
            </w:tcBorders>
            <w:shd w:val="clear" w:color="auto" w:fill="auto"/>
            <w:noWrap/>
            <w:vAlign w:val="bottom"/>
            <w:hideMark/>
          </w:tcPr>
          <w:p w14:paraId="49AB92C6"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3.02</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562A904B"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0.930</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39EE6955"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8.2</w:t>
            </w:r>
          </w:p>
        </w:tc>
        <w:tc>
          <w:tcPr>
            <w:tcW w:w="1260" w:type="dxa"/>
            <w:gridSpan w:val="2"/>
            <w:tcBorders>
              <w:top w:val="nil"/>
              <w:left w:val="nil"/>
              <w:bottom w:val="single" w:sz="4" w:space="0" w:color="auto"/>
              <w:right w:val="single" w:sz="4" w:space="0" w:color="auto"/>
            </w:tcBorders>
            <w:shd w:val="clear" w:color="000000" w:fill="D9D9D9"/>
            <w:noWrap/>
            <w:vAlign w:val="bottom"/>
            <w:hideMark/>
          </w:tcPr>
          <w:p w14:paraId="0A4BC4CA"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35.8</w:t>
            </w:r>
          </w:p>
        </w:tc>
        <w:tc>
          <w:tcPr>
            <w:tcW w:w="1292" w:type="dxa"/>
            <w:tcBorders>
              <w:top w:val="nil"/>
              <w:left w:val="nil"/>
              <w:bottom w:val="single" w:sz="4" w:space="0" w:color="auto"/>
              <w:right w:val="single" w:sz="4" w:space="0" w:color="auto"/>
            </w:tcBorders>
            <w:shd w:val="clear" w:color="auto" w:fill="auto"/>
            <w:noWrap/>
            <w:hideMark/>
          </w:tcPr>
          <w:p w14:paraId="17C923DF"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6 (0.57)</w:t>
            </w:r>
          </w:p>
        </w:tc>
      </w:tr>
      <w:tr w:rsidR="00403B07" w:rsidRPr="00734C53" w14:paraId="14FF39E4" w14:textId="77777777" w:rsidTr="00B01272">
        <w:trPr>
          <w:trHeight w:val="276"/>
        </w:trPr>
        <w:tc>
          <w:tcPr>
            <w:tcW w:w="954" w:type="dxa"/>
            <w:gridSpan w:val="2"/>
            <w:tcBorders>
              <w:top w:val="nil"/>
              <w:left w:val="single" w:sz="4" w:space="0" w:color="auto"/>
              <w:bottom w:val="single" w:sz="4" w:space="0" w:color="auto"/>
              <w:right w:val="single" w:sz="4" w:space="0" w:color="auto"/>
            </w:tcBorders>
            <w:shd w:val="clear" w:color="auto" w:fill="auto"/>
            <w:noWrap/>
            <w:vAlign w:val="bottom"/>
            <w:hideMark/>
          </w:tcPr>
          <w:p w14:paraId="1C098EBB"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w:t>
            </w:r>
          </w:p>
        </w:tc>
        <w:tc>
          <w:tcPr>
            <w:tcW w:w="1355" w:type="dxa"/>
            <w:gridSpan w:val="2"/>
            <w:tcBorders>
              <w:top w:val="nil"/>
              <w:left w:val="nil"/>
              <w:bottom w:val="single" w:sz="4" w:space="0" w:color="auto"/>
              <w:right w:val="single" w:sz="4" w:space="0" w:color="auto"/>
            </w:tcBorders>
            <w:shd w:val="clear" w:color="auto" w:fill="auto"/>
            <w:noWrap/>
            <w:vAlign w:val="bottom"/>
            <w:hideMark/>
          </w:tcPr>
          <w:p w14:paraId="35B56391"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69.8</w:t>
            </w:r>
          </w:p>
        </w:tc>
        <w:tc>
          <w:tcPr>
            <w:tcW w:w="952" w:type="dxa"/>
            <w:gridSpan w:val="2"/>
            <w:tcBorders>
              <w:top w:val="nil"/>
              <w:left w:val="nil"/>
              <w:bottom w:val="single" w:sz="4" w:space="0" w:color="auto"/>
              <w:right w:val="single" w:sz="4" w:space="0" w:color="auto"/>
            </w:tcBorders>
            <w:shd w:val="clear" w:color="auto" w:fill="auto"/>
            <w:noWrap/>
            <w:vAlign w:val="bottom"/>
            <w:hideMark/>
          </w:tcPr>
          <w:p w14:paraId="0AB97E08"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2.53</w:t>
            </w:r>
          </w:p>
        </w:tc>
        <w:tc>
          <w:tcPr>
            <w:tcW w:w="970" w:type="dxa"/>
            <w:tcBorders>
              <w:top w:val="nil"/>
              <w:left w:val="nil"/>
              <w:bottom w:val="single" w:sz="4" w:space="0" w:color="auto"/>
              <w:right w:val="single" w:sz="4" w:space="0" w:color="auto"/>
            </w:tcBorders>
            <w:shd w:val="clear" w:color="auto" w:fill="auto"/>
            <w:noWrap/>
            <w:vAlign w:val="bottom"/>
            <w:hideMark/>
          </w:tcPr>
          <w:p w14:paraId="0924AFE8"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1.010</w:t>
            </w:r>
          </w:p>
        </w:tc>
        <w:tc>
          <w:tcPr>
            <w:tcW w:w="847" w:type="dxa"/>
            <w:gridSpan w:val="2"/>
            <w:tcBorders>
              <w:top w:val="nil"/>
              <w:left w:val="nil"/>
              <w:bottom w:val="single" w:sz="4" w:space="0" w:color="auto"/>
              <w:right w:val="single" w:sz="4" w:space="0" w:color="auto"/>
            </w:tcBorders>
            <w:shd w:val="clear" w:color="auto" w:fill="auto"/>
            <w:noWrap/>
            <w:vAlign w:val="bottom"/>
            <w:hideMark/>
          </w:tcPr>
          <w:p w14:paraId="5F7D1732"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18.8</w:t>
            </w:r>
          </w:p>
        </w:tc>
        <w:tc>
          <w:tcPr>
            <w:tcW w:w="897" w:type="dxa"/>
            <w:gridSpan w:val="2"/>
            <w:tcBorders>
              <w:top w:val="nil"/>
              <w:left w:val="nil"/>
              <w:bottom w:val="single" w:sz="4" w:space="0" w:color="auto"/>
              <w:right w:val="single" w:sz="4" w:space="0" w:color="auto"/>
            </w:tcBorders>
            <w:shd w:val="clear" w:color="auto" w:fill="auto"/>
            <w:noWrap/>
            <w:vAlign w:val="bottom"/>
            <w:hideMark/>
          </w:tcPr>
          <w:p w14:paraId="5CEFB0AE"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19.6</w:t>
            </w:r>
          </w:p>
        </w:tc>
        <w:tc>
          <w:tcPr>
            <w:tcW w:w="1292" w:type="dxa"/>
            <w:gridSpan w:val="2"/>
            <w:tcBorders>
              <w:top w:val="nil"/>
              <w:left w:val="nil"/>
              <w:bottom w:val="single" w:sz="4" w:space="0" w:color="auto"/>
              <w:right w:val="single" w:sz="4" w:space="0" w:color="auto"/>
            </w:tcBorders>
            <w:shd w:val="clear" w:color="000000" w:fill="D9D9D9"/>
            <w:noWrap/>
            <w:hideMark/>
          </w:tcPr>
          <w:p w14:paraId="7259E30B"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7 (0.63)</w:t>
            </w:r>
          </w:p>
        </w:tc>
        <w:tc>
          <w:tcPr>
            <w:tcW w:w="955" w:type="dxa"/>
            <w:gridSpan w:val="2"/>
            <w:tcBorders>
              <w:top w:val="nil"/>
              <w:left w:val="nil"/>
              <w:bottom w:val="single" w:sz="4" w:space="0" w:color="auto"/>
              <w:right w:val="single" w:sz="4" w:space="0" w:color="auto"/>
            </w:tcBorders>
            <w:shd w:val="clear" w:color="auto" w:fill="auto"/>
            <w:noWrap/>
            <w:vAlign w:val="bottom"/>
            <w:hideMark/>
          </w:tcPr>
          <w:p w14:paraId="7D68030C"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2.58</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1A49CC7D"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1.039</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1C3684E5"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18.9</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7295027B"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22.7</w:t>
            </w:r>
          </w:p>
        </w:tc>
        <w:tc>
          <w:tcPr>
            <w:tcW w:w="1292" w:type="dxa"/>
            <w:tcBorders>
              <w:top w:val="nil"/>
              <w:left w:val="nil"/>
              <w:bottom w:val="single" w:sz="4" w:space="0" w:color="auto"/>
              <w:right w:val="single" w:sz="4" w:space="0" w:color="auto"/>
            </w:tcBorders>
            <w:shd w:val="clear" w:color="000000" w:fill="D9D9D9"/>
            <w:noWrap/>
            <w:hideMark/>
          </w:tcPr>
          <w:p w14:paraId="598D18DA"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7 (0.66)</w:t>
            </w:r>
          </w:p>
        </w:tc>
      </w:tr>
      <w:tr w:rsidR="00403B07" w:rsidRPr="00734C53" w14:paraId="5A2DD648" w14:textId="77777777" w:rsidTr="00B01272">
        <w:trPr>
          <w:trHeight w:val="276"/>
        </w:trPr>
        <w:tc>
          <w:tcPr>
            <w:tcW w:w="954" w:type="dxa"/>
            <w:gridSpan w:val="2"/>
            <w:tcBorders>
              <w:top w:val="nil"/>
              <w:left w:val="single" w:sz="4" w:space="0" w:color="auto"/>
              <w:bottom w:val="single" w:sz="4" w:space="0" w:color="auto"/>
              <w:right w:val="single" w:sz="4" w:space="0" w:color="auto"/>
            </w:tcBorders>
            <w:shd w:val="clear" w:color="auto" w:fill="auto"/>
            <w:noWrap/>
            <w:vAlign w:val="bottom"/>
            <w:hideMark/>
          </w:tcPr>
          <w:p w14:paraId="1E5C9960"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11</w:t>
            </w:r>
          </w:p>
        </w:tc>
        <w:tc>
          <w:tcPr>
            <w:tcW w:w="1355" w:type="dxa"/>
            <w:gridSpan w:val="2"/>
            <w:tcBorders>
              <w:top w:val="nil"/>
              <w:left w:val="nil"/>
              <w:bottom w:val="single" w:sz="4" w:space="0" w:color="auto"/>
              <w:right w:val="single" w:sz="4" w:space="0" w:color="auto"/>
            </w:tcBorders>
            <w:shd w:val="clear" w:color="auto" w:fill="auto"/>
            <w:noWrap/>
            <w:vAlign w:val="bottom"/>
            <w:hideMark/>
          </w:tcPr>
          <w:p w14:paraId="6174BE88"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72.6</w:t>
            </w:r>
          </w:p>
        </w:tc>
        <w:tc>
          <w:tcPr>
            <w:tcW w:w="952" w:type="dxa"/>
            <w:gridSpan w:val="2"/>
            <w:tcBorders>
              <w:top w:val="nil"/>
              <w:left w:val="nil"/>
              <w:bottom w:val="single" w:sz="4" w:space="0" w:color="auto"/>
              <w:right w:val="single" w:sz="4" w:space="0" w:color="auto"/>
            </w:tcBorders>
            <w:shd w:val="clear" w:color="auto" w:fill="auto"/>
            <w:noWrap/>
            <w:vAlign w:val="bottom"/>
            <w:hideMark/>
          </w:tcPr>
          <w:p w14:paraId="56BE4C42"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2.29</w:t>
            </w:r>
          </w:p>
        </w:tc>
        <w:tc>
          <w:tcPr>
            <w:tcW w:w="970" w:type="dxa"/>
            <w:tcBorders>
              <w:top w:val="nil"/>
              <w:left w:val="nil"/>
              <w:bottom w:val="single" w:sz="4" w:space="0" w:color="auto"/>
              <w:right w:val="single" w:sz="4" w:space="0" w:color="auto"/>
            </w:tcBorders>
            <w:shd w:val="clear" w:color="auto" w:fill="auto"/>
            <w:noWrap/>
            <w:vAlign w:val="bottom"/>
            <w:hideMark/>
          </w:tcPr>
          <w:p w14:paraId="5D806C8C"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0.980</w:t>
            </w:r>
          </w:p>
        </w:tc>
        <w:tc>
          <w:tcPr>
            <w:tcW w:w="847" w:type="dxa"/>
            <w:gridSpan w:val="2"/>
            <w:tcBorders>
              <w:top w:val="nil"/>
              <w:left w:val="nil"/>
              <w:bottom w:val="single" w:sz="4" w:space="0" w:color="auto"/>
              <w:right w:val="single" w:sz="4" w:space="0" w:color="auto"/>
            </w:tcBorders>
            <w:shd w:val="clear" w:color="auto" w:fill="auto"/>
            <w:noWrap/>
            <w:vAlign w:val="bottom"/>
            <w:hideMark/>
          </w:tcPr>
          <w:p w14:paraId="22D11845"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25.0</w:t>
            </w:r>
          </w:p>
        </w:tc>
        <w:tc>
          <w:tcPr>
            <w:tcW w:w="897" w:type="dxa"/>
            <w:gridSpan w:val="2"/>
            <w:tcBorders>
              <w:top w:val="nil"/>
              <w:left w:val="nil"/>
              <w:bottom w:val="single" w:sz="4" w:space="0" w:color="auto"/>
              <w:right w:val="single" w:sz="4" w:space="0" w:color="auto"/>
            </w:tcBorders>
            <w:shd w:val="clear" w:color="auto" w:fill="auto"/>
            <w:noWrap/>
            <w:vAlign w:val="bottom"/>
            <w:hideMark/>
          </w:tcPr>
          <w:p w14:paraId="4A9CC7A3"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12.7</w:t>
            </w:r>
          </w:p>
        </w:tc>
        <w:tc>
          <w:tcPr>
            <w:tcW w:w="1292" w:type="dxa"/>
            <w:gridSpan w:val="2"/>
            <w:tcBorders>
              <w:top w:val="nil"/>
              <w:left w:val="nil"/>
              <w:bottom w:val="single" w:sz="4" w:space="0" w:color="auto"/>
              <w:right w:val="single" w:sz="4" w:space="0" w:color="auto"/>
            </w:tcBorders>
            <w:shd w:val="clear" w:color="000000" w:fill="D9D9D9"/>
            <w:noWrap/>
            <w:hideMark/>
          </w:tcPr>
          <w:p w14:paraId="7BA3975F"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8 (0.64)</w:t>
            </w:r>
          </w:p>
        </w:tc>
        <w:tc>
          <w:tcPr>
            <w:tcW w:w="955" w:type="dxa"/>
            <w:gridSpan w:val="2"/>
            <w:tcBorders>
              <w:top w:val="nil"/>
              <w:left w:val="nil"/>
              <w:bottom w:val="single" w:sz="4" w:space="0" w:color="auto"/>
              <w:right w:val="single" w:sz="4" w:space="0" w:color="auto"/>
            </w:tcBorders>
            <w:shd w:val="clear" w:color="auto" w:fill="auto"/>
            <w:noWrap/>
            <w:vAlign w:val="bottom"/>
            <w:hideMark/>
          </w:tcPr>
          <w:p w14:paraId="4DF30B93"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2.38</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000FEE2F"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1.009</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7E312423"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23.4</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3E445338"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15.6</w:t>
            </w:r>
          </w:p>
        </w:tc>
        <w:tc>
          <w:tcPr>
            <w:tcW w:w="1292" w:type="dxa"/>
            <w:tcBorders>
              <w:top w:val="nil"/>
              <w:left w:val="nil"/>
              <w:bottom w:val="single" w:sz="4" w:space="0" w:color="auto"/>
              <w:right w:val="single" w:sz="4" w:space="0" w:color="auto"/>
            </w:tcBorders>
            <w:shd w:val="clear" w:color="000000" w:fill="D9D9D9"/>
            <w:noWrap/>
            <w:hideMark/>
          </w:tcPr>
          <w:p w14:paraId="5E39603C"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8 (0.62)</w:t>
            </w:r>
          </w:p>
        </w:tc>
      </w:tr>
      <w:tr w:rsidR="00403B07" w:rsidRPr="00734C53" w14:paraId="27F657FB" w14:textId="77777777" w:rsidTr="00B01272">
        <w:trPr>
          <w:trHeight w:val="276"/>
        </w:trPr>
        <w:tc>
          <w:tcPr>
            <w:tcW w:w="954" w:type="dxa"/>
            <w:gridSpan w:val="2"/>
            <w:tcBorders>
              <w:top w:val="nil"/>
              <w:left w:val="single" w:sz="4" w:space="0" w:color="auto"/>
              <w:bottom w:val="single" w:sz="4" w:space="0" w:color="auto"/>
              <w:right w:val="single" w:sz="4" w:space="0" w:color="auto"/>
            </w:tcBorders>
            <w:shd w:val="clear" w:color="auto" w:fill="auto"/>
            <w:noWrap/>
            <w:vAlign w:val="bottom"/>
            <w:hideMark/>
          </w:tcPr>
          <w:p w14:paraId="2B8264FE"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12</w:t>
            </w:r>
          </w:p>
        </w:tc>
        <w:tc>
          <w:tcPr>
            <w:tcW w:w="1355" w:type="dxa"/>
            <w:gridSpan w:val="2"/>
            <w:tcBorders>
              <w:top w:val="nil"/>
              <w:left w:val="nil"/>
              <w:bottom w:val="single" w:sz="4" w:space="0" w:color="auto"/>
              <w:right w:val="single" w:sz="4" w:space="0" w:color="auto"/>
            </w:tcBorders>
            <w:shd w:val="clear" w:color="auto" w:fill="auto"/>
            <w:noWrap/>
            <w:vAlign w:val="bottom"/>
            <w:hideMark/>
          </w:tcPr>
          <w:p w14:paraId="44694023"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103</w:t>
            </w:r>
          </w:p>
        </w:tc>
        <w:tc>
          <w:tcPr>
            <w:tcW w:w="952" w:type="dxa"/>
            <w:gridSpan w:val="2"/>
            <w:tcBorders>
              <w:top w:val="nil"/>
              <w:left w:val="nil"/>
              <w:bottom w:val="single" w:sz="4" w:space="0" w:color="auto"/>
              <w:right w:val="single" w:sz="4" w:space="0" w:color="auto"/>
            </w:tcBorders>
            <w:shd w:val="clear" w:color="auto" w:fill="auto"/>
            <w:noWrap/>
            <w:vAlign w:val="bottom"/>
            <w:hideMark/>
          </w:tcPr>
          <w:p w14:paraId="14CE4CB8"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3.27</w:t>
            </w:r>
          </w:p>
        </w:tc>
        <w:tc>
          <w:tcPr>
            <w:tcW w:w="970" w:type="dxa"/>
            <w:tcBorders>
              <w:top w:val="nil"/>
              <w:left w:val="nil"/>
              <w:bottom w:val="single" w:sz="4" w:space="0" w:color="auto"/>
              <w:right w:val="single" w:sz="4" w:space="0" w:color="auto"/>
            </w:tcBorders>
            <w:shd w:val="clear" w:color="auto" w:fill="auto"/>
            <w:noWrap/>
            <w:vAlign w:val="bottom"/>
            <w:hideMark/>
          </w:tcPr>
          <w:p w14:paraId="4961E5B1"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0.892</w:t>
            </w:r>
          </w:p>
        </w:tc>
        <w:tc>
          <w:tcPr>
            <w:tcW w:w="847" w:type="dxa"/>
            <w:gridSpan w:val="2"/>
            <w:tcBorders>
              <w:top w:val="nil"/>
              <w:left w:val="nil"/>
              <w:bottom w:val="single" w:sz="4" w:space="0" w:color="auto"/>
              <w:right w:val="single" w:sz="4" w:space="0" w:color="auto"/>
            </w:tcBorders>
            <w:shd w:val="clear" w:color="auto" w:fill="auto"/>
            <w:noWrap/>
            <w:vAlign w:val="bottom"/>
            <w:hideMark/>
          </w:tcPr>
          <w:p w14:paraId="4BB58FA4"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6.9</w:t>
            </w:r>
          </w:p>
        </w:tc>
        <w:tc>
          <w:tcPr>
            <w:tcW w:w="897" w:type="dxa"/>
            <w:gridSpan w:val="2"/>
            <w:tcBorders>
              <w:top w:val="nil"/>
              <w:left w:val="nil"/>
              <w:bottom w:val="single" w:sz="4" w:space="0" w:color="auto"/>
              <w:right w:val="single" w:sz="4" w:space="0" w:color="auto"/>
            </w:tcBorders>
            <w:shd w:val="clear" w:color="000000" w:fill="D9D9D9"/>
            <w:noWrap/>
            <w:vAlign w:val="bottom"/>
            <w:hideMark/>
          </w:tcPr>
          <w:p w14:paraId="0F546657"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49.7</w:t>
            </w:r>
          </w:p>
        </w:tc>
        <w:tc>
          <w:tcPr>
            <w:tcW w:w="1292" w:type="dxa"/>
            <w:gridSpan w:val="2"/>
            <w:tcBorders>
              <w:top w:val="nil"/>
              <w:left w:val="nil"/>
              <w:bottom w:val="single" w:sz="4" w:space="0" w:color="auto"/>
              <w:right w:val="single" w:sz="4" w:space="0" w:color="auto"/>
            </w:tcBorders>
            <w:shd w:val="clear" w:color="auto" w:fill="auto"/>
            <w:noWrap/>
            <w:hideMark/>
          </w:tcPr>
          <w:p w14:paraId="33E6D054"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50 (0.44)</w:t>
            </w:r>
          </w:p>
        </w:tc>
        <w:tc>
          <w:tcPr>
            <w:tcW w:w="955" w:type="dxa"/>
            <w:gridSpan w:val="2"/>
            <w:tcBorders>
              <w:top w:val="nil"/>
              <w:left w:val="nil"/>
              <w:bottom w:val="single" w:sz="4" w:space="0" w:color="auto"/>
              <w:right w:val="single" w:sz="4" w:space="0" w:color="auto"/>
            </w:tcBorders>
            <w:shd w:val="clear" w:color="auto" w:fill="auto"/>
            <w:noWrap/>
            <w:vAlign w:val="bottom"/>
            <w:hideMark/>
          </w:tcPr>
          <w:p w14:paraId="38D2ED40"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3.27</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0EE475B6"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0.875</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6D848934"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6.0</w:t>
            </w:r>
          </w:p>
        </w:tc>
        <w:tc>
          <w:tcPr>
            <w:tcW w:w="1260" w:type="dxa"/>
            <w:gridSpan w:val="2"/>
            <w:tcBorders>
              <w:top w:val="nil"/>
              <w:left w:val="nil"/>
              <w:bottom w:val="single" w:sz="4" w:space="0" w:color="auto"/>
              <w:right w:val="single" w:sz="4" w:space="0" w:color="auto"/>
            </w:tcBorders>
            <w:shd w:val="clear" w:color="000000" w:fill="D9D9D9"/>
            <w:noWrap/>
            <w:vAlign w:val="bottom"/>
            <w:hideMark/>
          </w:tcPr>
          <w:p w14:paraId="109071AD"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49.0</w:t>
            </w:r>
          </w:p>
        </w:tc>
        <w:tc>
          <w:tcPr>
            <w:tcW w:w="1292" w:type="dxa"/>
            <w:tcBorders>
              <w:top w:val="nil"/>
              <w:left w:val="nil"/>
              <w:bottom w:val="single" w:sz="4" w:space="0" w:color="auto"/>
              <w:right w:val="single" w:sz="4" w:space="0" w:color="auto"/>
            </w:tcBorders>
            <w:shd w:val="clear" w:color="auto" w:fill="auto"/>
            <w:noWrap/>
            <w:hideMark/>
          </w:tcPr>
          <w:p w14:paraId="1065AEFA"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13 (0.44)</w:t>
            </w:r>
          </w:p>
        </w:tc>
      </w:tr>
      <w:tr w:rsidR="00403B07" w:rsidRPr="00734C53" w14:paraId="23652460" w14:textId="77777777" w:rsidTr="00B01272">
        <w:trPr>
          <w:trHeight w:val="276"/>
        </w:trPr>
        <w:tc>
          <w:tcPr>
            <w:tcW w:w="954" w:type="dxa"/>
            <w:gridSpan w:val="2"/>
            <w:tcBorders>
              <w:top w:val="nil"/>
              <w:left w:val="single" w:sz="4" w:space="0" w:color="auto"/>
              <w:bottom w:val="single" w:sz="4" w:space="0" w:color="auto"/>
              <w:right w:val="single" w:sz="4" w:space="0" w:color="auto"/>
            </w:tcBorders>
            <w:shd w:val="clear" w:color="auto" w:fill="auto"/>
            <w:noWrap/>
            <w:vAlign w:val="bottom"/>
            <w:hideMark/>
          </w:tcPr>
          <w:p w14:paraId="309A03A3"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13</w:t>
            </w:r>
          </w:p>
        </w:tc>
        <w:tc>
          <w:tcPr>
            <w:tcW w:w="1355" w:type="dxa"/>
            <w:gridSpan w:val="2"/>
            <w:tcBorders>
              <w:top w:val="nil"/>
              <w:left w:val="nil"/>
              <w:bottom w:val="single" w:sz="4" w:space="0" w:color="auto"/>
              <w:right w:val="single" w:sz="4" w:space="0" w:color="auto"/>
            </w:tcBorders>
            <w:shd w:val="clear" w:color="auto" w:fill="auto"/>
            <w:noWrap/>
            <w:vAlign w:val="bottom"/>
            <w:hideMark/>
          </w:tcPr>
          <w:p w14:paraId="1F8A5AAF"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74.3</w:t>
            </w:r>
          </w:p>
        </w:tc>
        <w:tc>
          <w:tcPr>
            <w:tcW w:w="952" w:type="dxa"/>
            <w:gridSpan w:val="2"/>
            <w:tcBorders>
              <w:top w:val="nil"/>
              <w:left w:val="nil"/>
              <w:bottom w:val="single" w:sz="4" w:space="0" w:color="auto"/>
              <w:right w:val="single" w:sz="4" w:space="0" w:color="auto"/>
            </w:tcBorders>
            <w:shd w:val="clear" w:color="auto" w:fill="auto"/>
            <w:noWrap/>
            <w:vAlign w:val="bottom"/>
            <w:hideMark/>
          </w:tcPr>
          <w:p w14:paraId="19C5B695"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2.52</w:t>
            </w:r>
          </w:p>
        </w:tc>
        <w:tc>
          <w:tcPr>
            <w:tcW w:w="970" w:type="dxa"/>
            <w:tcBorders>
              <w:top w:val="nil"/>
              <w:left w:val="nil"/>
              <w:bottom w:val="single" w:sz="4" w:space="0" w:color="auto"/>
              <w:right w:val="single" w:sz="4" w:space="0" w:color="auto"/>
            </w:tcBorders>
            <w:shd w:val="clear" w:color="auto" w:fill="auto"/>
            <w:noWrap/>
            <w:vAlign w:val="bottom"/>
            <w:hideMark/>
          </w:tcPr>
          <w:p w14:paraId="50FA1EC9"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1.089</w:t>
            </w:r>
          </w:p>
        </w:tc>
        <w:tc>
          <w:tcPr>
            <w:tcW w:w="847" w:type="dxa"/>
            <w:gridSpan w:val="2"/>
            <w:tcBorders>
              <w:top w:val="nil"/>
              <w:left w:val="nil"/>
              <w:bottom w:val="single" w:sz="4" w:space="0" w:color="auto"/>
              <w:right w:val="single" w:sz="4" w:space="0" w:color="auto"/>
            </w:tcBorders>
            <w:shd w:val="clear" w:color="auto" w:fill="auto"/>
            <w:noWrap/>
            <w:vAlign w:val="bottom"/>
            <w:hideMark/>
          </w:tcPr>
          <w:p w14:paraId="267BE8C0"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23.3</w:t>
            </w:r>
          </w:p>
        </w:tc>
        <w:tc>
          <w:tcPr>
            <w:tcW w:w="897" w:type="dxa"/>
            <w:gridSpan w:val="2"/>
            <w:tcBorders>
              <w:top w:val="nil"/>
              <w:left w:val="nil"/>
              <w:bottom w:val="single" w:sz="4" w:space="0" w:color="auto"/>
              <w:right w:val="single" w:sz="4" w:space="0" w:color="auto"/>
            </w:tcBorders>
            <w:shd w:val="clear" w:color="auto" w:fill="auto"/>
            <w:noWrap/>
            <w:vAlign w:val="bottom"/>
            <w:hideMark/>
          </w:tcPr>
          <w:p w14:paraId="7A9CDE85"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23.5</w:t>
            </w:r>
          </w:p>
        </w:tc>
        <w:tc>
          <w:tcPr>
            <w:tcW w:w="1292" w:type="dxa"/>
            <w:gridSpan w:val="2"/>
            <w:tcBorders>
              <w:top w:val="nil"/>
              <w:left w:val="nil"/>
              <w:bottom w:val="single" w:sz="4" w:space="0" w:color="auto"/>
              <w:right w:val="single" w:sz="4" w:space="0" w:color="auto"/>
            </w:tcBorders>
            <w:shd w:val="clear" w:color="auto" w:fill="auto"/>
            <w:noWrap/>
            <w:hideMark/>
          </w:tcPr>
          <w:p w14:paraId="6F118D2C"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14 (0.56)</w:t>
            </w:r>
          </w:p>
        </w:tc>
        <w:tc>
          <w:tcPr>
            <w:tcW w:w="955" w:type="dxa"/>
            <w:gridSpan w:val="2"/>
            <w:tcBorders>
              <w:top w:val="nil"/>
              <w:left w:val="nil"/>
              <w:bottom w:val="single" w:sz="4" w:space="0" w:color="auto"/>
              <w:right w:val="single" w:sz="4" w:space="0" w:color="auto"/>
            </w:tcBorders>
            <w:shd w:val="clear" w:color="auto" w:fill="auto"/>
            <w:noWrap/>
            <w:vAlign w:val="bottom"/>
            <w:hideMark/>
          </w:tcPr>
          <w:p w14:paraId="0F61D0BE"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2.58</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3691B0F6"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1.033</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0E3EA017"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18.8</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13905A37"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22.2</w:t>
            </w:r>
          </w:p>
        </w:tc>
        <w:tc>
          <w:tcPr>
            <w:tcW w:w="1292" w:type="dxa"/>
            <w:tcBorders>
              <w:top w:val="nil"/>
              <w:left w:val="nil"/>
              <w:bottom w:val="single" w:sz="4" w:space="0" w:color="auto"/>
              <w:right w:val="single" w:sz="4" w:space="0" w:color="auto"/>
            </w:tcBorders>
            <w:shd w:val="clear" w:color="auto" w:fill="auto"/>
            <w:noWrap/>
            <w:hideMark/>
          </w:tcPr>
          <w:p w14:paraId="23E1AAE0"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14 (0.51)</w:t>
            </w:r>
          </w:p>
        </w:tc>
      </w:tr>
      <w:tr w:rsidR="00403B07" w:rsidRPr="00734C53" w14:paraId="31E6308A" w14:textId="77777777" w:rsidTr="00B01272">
        <w:trPr>
          <w:trHeight w:val="276"/>
        </w:trPr>
        <w:tc>
          <w:tcPr>
            <w:tcW w:w="954" w:type="dxa"/>
            <w:gridSpan w:val="2"/>
            <w:tcBorders>
              <w:top w:val="nil"/>
              <w:left w:val="single" w:sz="4" w:space="0" w:color="auto"/>
              <w:bottom w:val="single" w:sz="4" w:space="0" w:color="auto"/>
              <w:right w:val="single" w:sz="4" w:space="0" w:color="auto"/>
            </w:tcBorders>
            <w:shd w:val="clear" w:color="auto" w:fill="auto"/>
            <w:noWrap/>
            <w:vAlign w:val="bottom"/>
            <w:hideMark/>
          </w:tcPr>
          <w:p w14:paraId="7A3137E9"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14</w:t>
            </w:r>
          </w:p>
        </w:tc>
        <w:tc>
          <w:tcPr>
            <w:tcW w:w="1355" w:type="dxa"/>
            <w:gridSpan w:val="2"/>
            <w:tcBorders>
              <w:top w:val="nil"/>
              <w:left w:val="nil"/>
              <w:bottom w:val="single" w:sz="4" w:space="0" w:color="auto"/>
              <w:right w:val="single" w:sz="4" w:space="0" w:color="auto"/>
            </w:tcBorders>
            <w:shd w:val="clear" w:color="auto" w:fill="auto"/>
            <w:noWrap/>
            <w:vAlign w:val="bottom"/>
            <w:hideMark/>
          </w:tcPr>
          <w:p w14:paraId="4D3AD8F5"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81.9</w:t>
            </w:r>
          </w:p>
        </w:tc>
        <w:tc>
          <w:tcPr>
            <w:tcW w:w="952" w:type="dxa"/>
            <w:gridSpan w:val="2"/>
            <w:tcBorders>
              <w:top w:val="nil"/>
              <w:left w:val="nil"/>
              <w:bottom w:val="single" w:sz="4" w:space="0" w:color="auto"/>
              <w:right w:val="single" w:sz="4" w:space="0" w:color="auto"/>
            </w:tcBorders>
            <w:shd w:val="clear" w:color="auto" w:fill="auto"/>
            <w:noWrap/>
            <w:vAlign w:val="bottom"/>
            <w:hideMark/>
          </w:tcPr>
          <w:p w14:paraId="65A21DD2"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2.72</w:t>
            </w:r>
          </w:p>
        </w:tc>
        <w:tc>
          <w:tcPr>
            <w:tcW w:w="970" w:type="dxa"/>
            <w:tcBorders>
              <w:top w:val="nil"/>
              <w:left w:val="nil"/>
              <w:bottom w:val="single" w:sz="4" w:space="0" w:color="auto"/>
              <w:right w:val="single" w:sz="4" w:space="0" w:color="auto"/>
            </w:tcBorders>
            <w:shd w:val="clear" w:color="auto" w:fill="auto"/>
            <w:noWrap/>
            <w:vAlign w:val="bottom"/>
            <w:hideMark/>
          </w:tcPr>
          <w:p w14:paraId="175EF3EF"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1.136</w:t>
            </w:r>
          </w:p>
        </w:tc>
        <w:tc>
          <w:tcPr>
            <w:tcW w:w="847" w:type="dxa"/>
            <w:gridSpan w:val="2"/>
            <w:tcBorders>
              <w:top w:val="nil"/>
              <w:left w:val="nil"/>
              <w:bottom w:val="single" w:sz="4" w:space="0" w:color="auto"/>
              <w:right w:val="single" w:sz="4" w:space="0" w:color="auto"/>
            </w:tcBorders>
            <w:shd w:val="clear" w:color="auto" w:fill="auto"/>
            <w:noWrap/>
            <w:vAlign w:val="bottom"/>
            <w:hideMark/>
          </w:tcPr>
          <w:p w14:paraId="30C0C7DB"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21.0</w:t>
            </w:r>
          </w:p>
        </w:tc>
        <w:tc>
          <w:tcPr>
            <w:tcW w:w="897" w:type="dxa"/>
            <w:gridSpan w:val="2"/>
            <w:tcBorders>
              <w:top w:val="nil"/>
              <w:left w:val="nil"/>
              <w:bottom w:val="single" w:sz="4" w:space="0" w:color="auto"/>
              <w:right w:val="single" w:sz="4" w:space="0" w:color="auto"/>
            </w:tcBorders>
            <w:shd w:val="clear" w:color="000000" w:fill="D9D9D9"/>
            <w:noWrap/>
            <w:vAlign w:val="bottom"/>
            <w:hideMark/>
          </w:tcPr>
          <w:p w14:paraId="6EBFE097"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33.4</w:t>
            </w:r>
          </w:p>
        </w:tc>
        <w:tc>
          <w:tcPr>
            <w:tcW w:w="1292" w:type="dxa"/>
            <w:gridSpan w:val="2"/>
            <w:tcBorders>
              <w:top w:val="nil"/>
              <w:left w:val="nil"/>
              <w:bottom w:val="single" w:sz="4" w:space="0" w:color="auto"/>
              <w:right w:val="single" w:sz="4" w:space="0" w:color="auto"/>
            </w:tcBorders>
            <w:shd w:val="clear" w:color="auto" w:fill="auto"/>
            <w:noWrap/>
            <w:hideMark/>
          </w:tcPr>
          <w:p w14:paraId="5217FE5C"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13 (0.56)</w:t>
            </w:r>
          </w:p>
        </w:tc>
        <w:tc>
          <w:tcPr>
            <w:tcW w:w="955" w:type="dxa"/>
            <w:gridSpan w:val="2"/>
            <w:tcBorders>
              <w:top w:val="nil"/>
              <w:left w:val="nil"/>
              <w:bottom w:val="single" w:sz="4" w:space="0" w:color="auto"/>
              <w:right w:val="single" w:sz="4" w:space="0" w:color="auto"/>
            </w:tcBorders>
            <w:shd w:val="clear" w:color="auto" w:fill="auto"/>
            <w:noWrap/>
            <w:vAlign w:val="bottom"/>
            <w:hideMark/>
          </w:tcPr>
          <w:p w14:paraId="7D85F2D9"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2.80</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16C27076"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1.141</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3C611BA2"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19.4</w:t>
            </w:r>
          </w:p>
        </w:tc>
        <w:tc>
          <w:tcPr>
            <w:tcW w:w="1260" w:type="dxa"/>
            <w:gridSpan w:val="2"/>
            <w:tcBorders>
              <w:top w:val="nil"/>
              <w:left w:val="nil"/>
              <w:bottom w:val="single" w:sz="4" w:space="0" w:color="auto"/>
              <w:right w:val="single" w:sz="4" w:space="0" w:color="auto"/>
            </w:tcBorders>
            <w:shd w:val="clear" w:color="000000" w:fill="D9D9D9"/>
            <w:noWrap/>
            <w:vAlign w:val="bottom"/>
            <w:hideMark/>
          </w:tcPr>
          <w:p w14:paraId="746DFB9A"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37.5</w:t>
            </w:r>
          </w:p>
        </w:tc>
        <w:tc>
          <w:tcPr>
            <w:tcW w:w="1292" w:type="dxa"/>
            <w:tcBorders>
              <w:top w:val="nil"/>
              <w:left w:val="nil"/>
              <w:bottom w:val="single" w:sz="4" w:space="0" w:color="auto"/>
              <w:right w:val="single" w:sz="4" w:space="0" w:color="auto"/>
            </w:tcBorders>
            <w:shd w:val="clear" w:color="auto" w:fill="auto"/>
            <w:noWrap/>
            <w:hideMark/>
          </w:tcPr>
          <w:p w14:paraId="3A5A3669"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13 (0.51)</w:t>
            </w:r>
          </w:p>
        </w:tc>
      </w:tr>
      <w:tr w:rsidR="00403B07" w:rsidRPr="00734C53" w14:paraId="47673023" w14:textId="77777777" w:rsidTr="00B01272">
        <w:trPr>
          <w:trHeight w:val="276"/>
        </w:trPr>
        <w:tc>
          <w:tcPr>
            <w:tcW w:w="954" w:type="dxa"/>
            <w:gridSpan w:val="2"/>
            <w:tcBorders>
              <w:top w:val="nil"/>
              <w:left w:val="single" w:sz="4" w:space="0" w:color="auto"/>
              <w:bottom w:val="single" w:sz="4" w:space="0" w:color="auto"/>
              <w:right w:val="single" w:sz="4" w:space="0" w:color="auto"/>
            </w:tcBorders>
            <w:shd w:val="clear" w:color="auto" w:fill="auto"/>
            <w:noWrap/>
            <w:vAlign w:val="bottom"/>
            <w:hideMark/>
          </w:tcPr>
          <w:p w14:paraId="66E0E22A"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15</w:t>
            </w:r>
          </w:p>
        </w:tc>
        <w:tc>
          <w:tcPr>
            <w:tcW w:w="1355" w:type="dxa"/>
            <w:gridSpan w:val="2"/>
            <w:tcBorders>
              <w:top w:val="nil"/>
              <w:left w:val="nil"/>
              <w:bottom w:val="single" w:sz="4" w:space="0" w:color="auto"/>
              <w:right w:val="single" w:sz="4" w:space="0" w:color="auto"/>
            </w:tcBorders>
            <w:shd w:val="clear" w:color="auto" w:fill="auto"/>
            <w:noWrap/>
            <w:vAlign w:val="bottom"/>
            <w:hideMark/>
          </w:tcPr>
          <w:p w14:paraId="5C5162C3"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95.7</w:t>
            </w:r>
          </w:p>
        </w:tc>
        <w:tc>
          <w:tcPr>
            <w:tcW w:w="952" w:type="dxa"/>
            <w:gridSpan w:val="2"/>
            <w:tcBorders>
              <w:top w:val="nil"/>
              <w:left w:val="nil"/>
              <w:bottom w:val="single" w:sz="4" w:space="0" w:color="auto"/>
              <w:right w:val="single" w:sz="4" w:space="0" w:color="auto"/>
            </w:tcBorders>
            <w:shd w:val="clear" w:color="auto" w:fill="auto"/>
            <w:noWrap/>
            <w:vAlign w:val="bottom"/>
            <w:hideMark/>
          </w:tcPr>
          <w:p w14:paraId="3946B632"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2.27</w:t>
            </w:r>
          </w:p>
        </w:tc>
        <w:tc>
          <w:tcPr>
            <w:tcW w:w="970" w:type="dxa"/>
            <w:tcBorders>
              <w:top w:val="nil"/>
              <w:left w:val="nil"/>
              <w:bottom w:val="single" w:sz="4" w:space="0" w:color="auto"/>
              <w:right w:val="single" w:sz="4" w:space="0" w:color="auto"/>
            </w:tcBorders>
            <w:shd w:val="clear" w:color="000000" w:fill="D9D9D9"/>
            <w:noWrap/>
            <w:vAlign w:val="bottom"/>
            <w:hideMark/>
          </w:tcPr>
          <w:p w14:paraId="68C87075"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0.668</w:t>
            </w:r>
          </w:p>
        </w:tc>
        <w:tc>
          <w:tcPr>
            <w:tcW w:w="847" w:type="dxa"/>
            <w:gridSpan w:val="2"/>
            <w:tcBorders>
              <w:top w:val="nil"/>
              <w:left w:val="nil"/>
              <w:bottom w:val="single" w:sz="4" w:space="0" w:color="auto"/>
              <w:right w:val="single" w:sz="4" w:space="0" w:color="auto"/>
            </w:tcBorders>
            <w:shd w:val="clear" w:color="auto" w:fill="auto"/>
            <w:noWrap/>
            <w:vAlign w:val="bottom"/>
            <w:hideMark/>
          </w:tcPr>
          <w:p w14:paraId="6C8F1F9A"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7.6</w:t>
            </w:r>
          </w:p>
        </w:tc>
        <w:tc>
          <w:tcPr>
            <w:tcW w:w="897" w:type="dxa"/>
            <w:gridSpan w:val="2"/>
            <w:tcBorders>
              <w:top w:val="nil"/>
              <w:left w:val="nil"/>
              <w:bottom w:val="single" w:sz="4" w:space="0" w:color="auto"/>
              <w:right w:val="single" w:sz="4" w:space="0" w:color="auto"/>
            </w:tcBorders>
            <w:shd w:val="clear" w:color="auto" w:fill="auto"/>
            <w:noWrap/>
            <w:vAlign w:val="bottom"/>
            <w:hideMark/>
          </w:tcPr>
          <w:p w14:paraId="49BC54C0"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4.7</w:t>
            </w:r>
          </w:p>
        </w:tc>
        <w:tc>
          <w:tcPr>
            <w:tcW w:w="1292" w:type="dxa"/>
            <w:gridSpan w:val="2"/>
            <w:tcBorders>
              <w:top w:val="nil"/>
              <w:left w:val="nil"/>
              <w:bottom w:val="single" w:sz="4" w:space="0" w:color="auto"/>
              <w:right w:val="single" w:sz="4" w:space="0" w:color="auto"/>
            </w:tcBorders>
            <w:shd w:val="clear" w:color="auto" w:fill="auto"/>
            <w:noWrap/>
            <w:hideMark/>
          </w:tcPr>
          <w:p w14:paraId="590C22B0"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28 (0.18)</w:t>
            </w:r>
          </w:p>
        </w:tc>
        <w:tc>
          <w:tcPr>
            <w:tcW w:w="955" w:type="dxa"/>
            <w:gridSpan w:val="2"/>
            <w:tcBorders>
              <w:top w:val="nil"/>
              <w:left w:val="nil"/>
              <w:bottom w:val="single" w:sz="4" w:space="0" w:color="auto"/>
              <w:right w:val="single" w:sz="4" w:space="0" w:color="auto"/>
            </w:tcBorders>
            <w:shd w:val="clear" w:color="auto" w:fill="auto"/>
            <w:noWrap/>
            <w:vAlign w:val="bottom"/>
            <w:hideMark/>
          </w:tcPr>
          <w:p w14:paraId="419BAB14"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2.32</w:t>
            </w:r>
          </w:p>
        </w:tc>
        <w:tc>
          <w:tcPr>
            <w:tcW w:w="992" w:type="dxa"/>
            <w:gridSpan w:val="2"/>
            <w:tcBorders>
              <w:top w:val="nil"/>
              <w:left w:val="nil"/>
              <w:bottom w:val="single" w:sz="4" w:space="0" w:color="auto"/>
              <w:right w:val="single" w:sz="4" w:space="0" w:color="auto"/>
            </w:tcBorders>
            <w:shd w:val="clear" w:color="000000" w:fill="D9D9D9"/>
            <w:noWrap/>
            <w:vAlign w:val="bottom"/>
            <w:hideMark/>
          </w:tcPr>
          <w:p w14:paraId="0BFF02BF"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0.673</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5119231E"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5.2</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4C65058C"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6.6</w:t>
            </w:r>
          </w:p>
        </w:tc>
        <w:tc>
          <w:tcPr>
            <w:tcW w:w="1292" w:type="dxa"/>
            <w:tcBorders>
              <w:top w:val="nil"/>
              <w:left w:val="nil"/>
              <w:bottom w:val="single" w:sz="4" w:space="0" w:color="auto"/>
              <w:right w:val="single" w:sz="4" w:space="0" w:color="auto"/>
            </w:tcBorders>
            <w:shd w:val="clear" w:color="auto" w:fill="auto"/>
            <w:noWrap/>
            <w:hideMark/>
          </w:tcPr>
          <w:p w14:paraId="5A92A8EB"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12 (0.13)</w:t>
            </w:r>
          </w:p>
        </w:tc>
      </w:tr>
      <w:tr w:rsidR="00403B07" w:rsidRPr="00734C53" w14:paraId="10B1EF7B" w14:textId="77777777" w:rsidTr="00B01272">
        <w:trPr>
          <w:trHeight w:val="276"/>
        </w:trPr>
        <w:tc>
          <w:tcPr>
            <w:tcW w:w="954" w:type="dxa"/>
            <w:gridSpan w:val="2"/>
            <w:tcBorders>
              <w:top w:val="nil"/>
              <w:left w:val="single" w:sz="4" w:space="0" w:color="auto"/>
              <w:bottom w:val="single" w:sz="4" w:space="0" w:color="auto"/>
              <w:right w:val="single" w:sz="4" w:space="0" w:color="auto"/>
            </w:tcBorders>
            <w:shd w:val="clear" w:color="auto" w:fill="auto"/>
            <w:noWrap/>
            <w:vAlign w:val="bottom"/>
            <w:hideMark/>
          </w:tcPr>
          <w:p w14:paraId="5CAE96B7"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16</w:t>
            </w:r>
          </w:p>
        </w:tc>
        <w:tc>
          <w:tcPr>
            <w:tcW w:w="1355" w:type="dxa"/>
            <w:gridSpan w:val="2"/>
            <w:tcBorders>
              <w:top w:val="nil"/>
              <w:left w:val="nil"/>
              <w:bottom w:val="single" w:sz="4" w:space="0" w:color="auto"/>
              <w:right w:val="single" w:sz="4" w:space="0" w:color="auto"/>
            </w:tcBorders>
            <w:shd w:val="clear" w:color="auto" w:fill="auto"/>
            <w:noWrap/>
            <w:vAlign w:val="bottom"/>
            <w:hideMark/>
          </w:tcPr>
          <w:p w14:paraId="30D8C8D1"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79.8</w:t>
            </w:r>
          </w:p>
        </w:tc>
        <w:tc>
          <w:tcPr>
            <w:tcW w:w="952" w:type="dxa"/>
            <w:gridSpan w:val="2"/>
            <w:tcBorders>
              <w:top w:val="nil"/>
              <w:left w:val="nil"/>
              <w:bottom w:val="single" w:sz="4" w:space="0" w:color="auto"/>
              <w:right w:val="single" w:sz="4" w:space="0" w:color="auto"/>
            </w:tcBorders>
            <w:shd w:val="clear" w:color="auto" w:fill="auto"/>
            <w:noWrap/>
            <w:vAlign w:val="bottom"/>
            <w:hideMark/>
          </w:tcPr>
          <w:p w14:paraId="079CC7B5"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2.83</w:t>
            </w:r>
          </w:p>
        </w:tc>
        <w:tc>
          <w:tcPr>
            <w:tcW w:w="970" w:type="dxa"/>
            <w:tcBorders>
              <w:top w:val="nil"/>
              <w:left w:val="nil"/>
              <w:bottom w:val="single" w:sz="4" w:space="0" w:color="auto"/>
              <w:right w:val="single" w:sz="4" w:space="0" w:color="auto"/>
            </w:tcBorders>
            <w:shd w:val="clear" w:color="auto" w:fill="auto"/>
            <w:noWrap/>
            <w:vAlign w:val="bottom"/>
            <w:hideMark/>
          </w:tcPr>
          <w:p w14:paraId="24A60CB3"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0.896</w:t>
            </w:r>
          </w:p>
        </w:tc>
        <w:tc>
          <w:tcPr>
            <w:tcW w:w="847" w:type="dxa"/>
            <w:gridSpan w:val="2"/>
            <w:tcBorders>
              <w:top w:val="nil"/>
              <w:left w:val="nil"/>
              <w:bottom w:val="single" w:sz="4" w:space="0" w:color="auto"/>
              <w:right w:val="single" w:sz="4" w:space="0" w:color="auto"/>
            </w:tcBorders>
            <w:shd w:val="clear" w:color="auto" w:fill="auto"/>
            <w:noWrap/>
            <w:vAlign w:val="bottom"/>
            <w:hideMark/>
          </w:tcPr>
          <w:p w14:paraId="1141ED5F"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8.5</w:t>
            </w:r>
          </w:p>
        </w:tc>
        <w:tc>
          <w:tcPr>
            <w:tcW w:w="897" w:type="dxa"/>
            <w:gridSpan w:val="2"/>
            <w:tcBorders>
              <w:top w:val="nil"/>
              <w:left w:val="nil"/>
              <w:bottom w:val="single" w:sz="4" w:space="0" w:color="auto"/>
              <w:right w:val="single" w:sz="4" w:space="0" w:color="auto"/>
            </w:tcBorders>
            <w:shd w:val="clear" w:color="auto" w:fill="auto"/>
            <w:noWrap/>
            <w:vAlign w:val="bottom"/>
            <w:hideMark/>
          </w:tcPr>
          <w:p w14:paraId="293C0DC9"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24.6</w:t>
            </w:r>
          </w:p>
        </w:tc>
        <w:tc>
          <w:tcPr>
            <w:tcW w:w="1292" w:type="dxa"/>
            <w:gridSpan w:val="2"/>
            <w:tcBorders>
              <w:top w:val="nil"/>
              <w:left w:val="nil"/>
              <w:bottom w:val="single" w:sz="4" w:space="0" w:color="auto"/>
              <w:right w:val="single" w:sz="4" w:space="0" w:color="auto"/>
            </w:tcBorders>
            <w:shd w:val="clear" w:color="auto" w:fill="auto"/>
            <w:noWrap/>
            <w:hideMark/>
          </w:tcPr>
          <w:p w14:paraId="7FE99B4D"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17 (0.31)</w:t>
            </w:r>
          </w:p>
        </w:tc>
        <w:tc>
          <w:tcPr>
            <w:tcW w:w="955" w:type="dxa"/>
            <w:gridSpan w:val="2"/>
            <w:tcBorders>
              <w:top w:val="nil"/>
              <w:left w:val="nil"/>
              <w:bottom w:val="single" w:sz="4" w:space="0" w:color="auto"/>
              <w:right w:val="single" w:sz="4" w:space="0" w:color="auto"/>
            </w:tcBorders>
            <w:shd w:val="clear" w:color="auto" w:fill="auto"/>
            <w:noWrap/>
            <w:vAlign w:val="bottom"/>
            <w:hideMark/>
          </w:tcPr>
          <w:p w14:paraId="3FF7DD85"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2.88</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22FA1D98"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0.909</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704E27BB"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7.9</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01573722"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28.2</w:t>
            </w:r>
          </w:p>
        </w:tc>
        <w:tc>
          <w:tcPr>
            <w:tcW w:w="1292" w:type="dxa"/>
            <w:tcBorders>
              <w:top w:val="nil"/>
              <w:left w:val="nil"/>
              <w:bottom w:val="single" w:sz="4" w:space="0" w:color="auto"/>
              <w:right w:val="single" w:sz="4" w:space="0" w:color="auto"/>
            </w:tcBorders>
            <w:shd w:val="clear" w:color="auto" w:fill="auto"/>
            <w:noWrap/>
            <w:hideMark/>
          </w:tcPr>
          <w:p w14:paraId="09EAD31F"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24 (0.33)</w:t>
            </w:r>
          </w:p>
        </w:tc>
      </w:tr>
      <w:tr w:rsidR="00403B07" w:rsidRPr="00734C53" w14:paraId="72BA8ACF" w14:textId="77777777" w:rsidTr="00B01272">
        <w:trPr>
          <w:trHeight w:val="276"/>
        </w:trPr>
        <w:tc>
          <w:tcPr>
            <w:tcW w:w="954" w:type="dxa"/>
            <w:gridSpan w:val="2"/>
            <w:tcBorders>
              <w:top w:val="nil"/>
              <w:left w:val="single" w:sz="4" w:space="0" w:color="auto"/>
              <w:bottom w:val="single" w:sz="4" w:space="0" w:color="auto"/>
              <w:right w:val="single" w:sz="4" w:space="0" w:color="auto"/>
            </w:tcBorders>
            <w:shd w:val="clear" w:color="auto" w:fill="auto"/>
            <w:noWrap/>
            <w:vAlign w:val="bottom"/>
            <w:hideMark/>
          </w:tcPr>
          <w:p w14:paraId="153D0EE6"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17</w:t>
            </w:r>
          </w:p>
        </w:tc>
        <w:tc>
          <w:tcPr>
            <w:tcW w:w="1355" w:type="dxa"/>
            <w:gridSpan w:val="2"/>
            <w:tcBorders>
              <w:top w:val="nil"/>
              <w:left w:val="nil"/>
              <w:bottom w:val="single" w:sz="4" w:space="0" w:color="auto"/>
              <w:right w:val="single" w:sz="4" w:space="0" w:color="auto"/>
            </w:tcBorders>
            <w:shd w:val="clear" w:color="auto" w:fill="auto"/>
            <w:noWrap/>
            <w:vAlign w:val="bottom"/>
            <w:hideMark/>
          </w:tcPr>
          <w:p w14:paraId="62715B24"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85</w:t>
            </w:r>
          </w:p>
        </w:tc>
        <w:tc>
          <w:tcPr>
            <w:tcW w:w="952" w:type="dxa"/>
            <w:gridSpan w:val="2"/>
            <w:tcBorders>
              <w:top w:val="nil"/>
              <w:left w:val="nil"/>
              <w:bottom w:val="single" w:sz="4" w:space="0" w:color="auto"/>
              <w:right w:val="single" w:sz="4" w:space="0" w:color="auto"/>
            </w:tcBorders>
            <w:shd w:val="clear" w:color="auto" w:fill="auto"/>
            <w:noWrap/>
            <w:vAlign w:val="bottom"/>
            <w:hideMark/>
          </w:tcPr>
          <w:p w14:paraId="31C26482"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1.74</w:t>
            </w:r>
          </w:p>
        </w:tc>
        <w:tc>
          <w:tcPr>
            <w:tcW w:w="970" w:type="dxa"/>
            <w:tcBorders>
              <w:top w:val="nil"/>
              <w:left w:val="nil"/>
              <w:bottom w:val="single" w:sz="4" w:space="0" w:color="auto"/>
              <w:right w:val="single" w:sz="4" w:space="0" w:color="auto"/>
            </w:tcBorders>
            <w:shd w:val="clear" w:color="000000" w:fill="D9D9D9"/>
            <w:noWrap/>
            <w:vAlign w:val="bottom"/>
            <w:hideMark/>
          </w:tcPr>
          <w:p w14:paraId="0996AB18"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0.744</w:t>
            </w:r>
          </w:p>
        </w:tc>
        <w:tc>
          <w:tcPr>
            <w:tcW w:w="847" w:type="dxa"/>
            <w:gridSpan w:val="2"/>
            <w:tcBorders>
              <w:top w:val="nil"/>
              <w:left w:val="nil"/>
              <w:bottom w:val="single" w:sz="4" w:space="0" w:color="auto"/>
              <w:right w:val="single" w:sz="4" w:space="0" w:color="auto"/>
            </w:tcBorders>
            <w:shd w:val="clear" w:color="000000" w:fill="D9D9D9"/>
            <w:noWrap/>
            <w:vAlign w:val="bottom"/>
            <w:hideMark/>
          </w:tcPr>
          <w:p w14:paraId="742E5F5A"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43.3</w:t>
            </w:r>
          </w:p>
        </w:tc>
        <w:tc>
          <w:tcPr>
            <w:tcW w:w="897" w:type="dxa"/>
            <w:gridSpan w:val="2"/>
            <w:tcBorders>
              <w:top w:val="nil"/>
              <w:left w:val="nil"/>
              <w:bottom w:val="single" w:sz="4" w:space="0" w:color="auto"/>
              <w:right w:val="single" w:sz="4" w:space="0" w:color="auto"/>
            </w:tcBorders>
            <w:shd w:val="clear" w:color="auto" w:fill="auto"/>
            <w:noWrap/>
            <w:vAlign w:val="bottom"/>
            <w:hideMark/>
          </w:tcPr>
          <w:p w14:paraId="320D0345"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0.8</w:t>
            </w:r>
          </w:p>
        </w:tc>
        <w:tc>
          <w:tcPr>
            <w:tcW w:w="1292" w:type="dxa"/>
            <w:gridSpan w:val="2"/>
            <w:tcBorders>
              <w:top w:val="nil"/>
              <w:left w:val="nil"/>
              <w:bottom w:val="single" w:sz="4" w:space="0" w:color="auto"/>
              <w:right w:val="single" w:sz="4" w:space="0" w:color="auto"/>
            </w:tcBorders>
            <w:shd w:val="clear" w:color="auto" w:fill="auto"/>
            <w:noWrap/>
            <w:hideMark/>
          </w:tcPr>
          <w:p w14:paraId="38434668"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16 (0.31)</w:t>
            </w:r>
          </w:p>
        </w:tc>
        <w:tc>
          <w:tcPr>
            <w:tcW w:w="955" w:type="dxa"/>
            <w:gridSpan w:val="2"/>
            <w:tcBorders>
              <w:top w:val="nil"/>
              <w:left w:val="nil"/>
              <w:bottom w:val="single" w:sz="4" w:space="0" w:color="auto"/>
              <w:right w:val="single" w:sz="4" w:space="0" w:color="auto"/>
            </w:tcBorders>
            <w:shd w:val="clear" w:color="auto" w:fill="auto"/>
            <w:noWrap/>
            <w:vAlign w:val="bottom"/>
            <w:hideMark/>
          </w:tcPr>
          <w:p w14:paraId="07F0E38B"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1.75</w:t>
            </w:r>
          </w:p>
        </w:tc>
        <w:tc>
          <w:tcPr>
            <w:tcW w:w="992" w:type="dxa"/>
            <w:gridSpan w:val="2"/>
            <w:tcBorders>
              <w:top w:val="nil"/>
              <w:left w:val="nil"/>
              <w:bottom w:val="single" w:sz="4" w:space="0" w:color="auto"/>
              <w:right w:val="single" w:sz="4" w:space="0" w:color="auto"/>
            </w:tcBorders>
            <w:shd w:val="clear" w:color="000000" w:fill="D9D9D9"/>
            <w:noWrap/>
            <w:vAlign w:val="bottom"/>
            <w:hideMark/>
          </w:tcPr>
          <w:p w14:paraId="3F560438"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0.751</w:t>
            </w:r>
          </w:p>
        </w:tc>
        <w:tc>
          <w:tcPr>
            <w:tcW w:w="1134" w:type="dxa"/>
            <w:gridSpan w:val="2"/>
            <w:tcBorders>
              <w:top w:val="nil"/>
              <w:left w:val="nil"/>
              <w:bottom w:val="single" w:sz="4" w:space="0" w:color="auto"/>
              <w:right w:val="single" w:sz="4" w:space="0" w:color="auto"/>
            </w:tcBorders>
            <w:shd w:val="clear" w:color="000000" w:fill="D9D9D9"/>
            <w:noWrap/>
            <w:vAlign w:val="bottom"/>
            <w:hideMark/>
          </w:tcPr>
          <w:p w14:paraId="61EC9F13"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42.7</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4D9F87B9"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0.8</w:t>
            </w:r>
          </w:p>
        </w:tc>
        <w:tc>
          <w:tcPr>
            <w:tcW w:w="1292" w:type="dxa"/>
            <w:tcBorders>
              <w:top w:val="nil"/>
              <w:left w:val="nil"/>
              <w:bottom w:val="single" w:sz="4" w:space="0" w:color="auto"/>
              <w:right w:val="single" w:sz="4" w:space="0" w:color="auto"/>
            </w:tcBorders>
            <w:shd w:val="clear" w:color="auto" w:fill="auto"/>
            <w:noWrap/>
            <w:hideMark/>
          </w:tcPr>
          <w:p w14:paraId="7C26ACA7"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16 (0.27)</w:t>
            </w:r>
          </w:p>
        </w:tc>
      </w:tr>
      <w:tr w:rsidR="00403B07" w:rsidRPr="00734C53" w14:paraId="6DD31544" w14:textId="77777777" w:rsidTr="00B01272">
        <w:trPr>
          <w:trHeight w:val="276"/>
        </w:trPr>
        <w:tc>
          <w:tcPr>
            <w:tcW w:w="954" w:type="dxa"/>
            <w:gridSpan w:val="2"/>
            <w:tcBorders>
              <w:top w:val="nil"/>
              <w:left w:val="single" w:sz="4" w:space="0" w:color="auto"/>
              <w:bottom w:val="single" w:sz="4" w:space="0" w:color="auto"/>
              <w:right w:val="single" w:sz="4" w:space="0" w:color="auto"/>
            </w:tcBorders>
            <w:shd w:val="clear" w:color="auto" w:fill="auto"/>
            <w:noWrap/>
            <w:vAlign w:val="bottom"/>
            <w:hideMark/>
          </w:tcPr>
          <w:p w14:paraId="796C290C"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18</w:t>
            </w:r>
          </w:p>
        </w:tc>
        <w:tc>
          <w:tcPr>
            <w:tcW w:w="1355" w:type="dxa"/>
            <w:gridSpan w:val="2"/>
            <w:tcBorders>
              <w:top w:val="nil"/>
              <w:left w:val="nil"/>
              <w:bottom w:val="single" w:sz="4" w:space="0" w:color="auto"/>
              <w:right w:val="single" w:sz="4" w:space="0" w:color="auto"/>
            </w:tcBorders>
            <w:shd w:val="clear" w:color="auto" w:fill="auto"/>
            <w:noWrap/>
            <w:vAlign w:val="bottom"/>
            <w:hideMark/>
          </w:tcPr>
          <w:p w14:paraId="456FA952"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88.4</w:t>
            </w:r>
          </w:p>
        </w:tc>
        <w:tc>
          <w:tcPr>
            <w:tcW w:w="952" w:type="dxa"/>
            <w:gridSpan w:val="2"/>
            <w:tcBorders>
              <w:top w:val="nil"/>
              <w:left w:val="nil"/>
              <w:bottom w:val="single" w:sz="4" w:space="0" w:color="auto"/>
              <w:right w:val="single" w:sz="4" w:space="0" w:color="auto"/>
            </w:tcBorders>
            <w:shd w:val="clear" w:color="auto" w:fill="auto"/>
            <w:noWrap/>
            <w:vAlign w:val="bottom"/>
            <w:hideMark/>
          </w:tcPr>
          <w:p w14:paraId="67BF8148"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2.24</w:t>
            </w:r>
          </w:p>
        </w:tc>
        <w:tc>
          <w:tcPr>
            <w:tcW w:w="970" w:type="dxa"/>
            <w:tcBorders>
              <w:top w:val="nil"/>
              <w:left w:val="nil"/>
              <w:bottom w:val="single" w:sz="4" w:space="0" w:color="auto"/>
              <w:right w:val="single" w:sz="4" w:space="0" w:color="auto"/>
            </w:tcBorders>
            <w:shd w:val="clear" w:color="auto" w:fill="auto"/>
            <w:noWrap/>
            <w:vAlign w:val="bottom"/>
            <w:hideMark/>
          </w:tcPr>
          <w:p w14:paraId="38CFA6D6"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0.944</w:t>
            </w:r>
          </w:p>
        </w:tc>
        <w:tc>
          <w:tcPr>
            <w:tcW w:w="847" w:type="dxa"/>
            <w:gridSpan w:val="2"/>
            <w:tcBorders>
              <w:top w:val="nil"/>
              <w:left w:val="nil"/>
              <w:bottom w:val="single" w:sz="4" w:space="0" w:color="auto"/>
              <w:right w:val="single" w:sz="4" w:space="0" w:color="auto"/>
            </w:tcBorders>
            <w:shd w:val="clear" w:color="auto" w:fill="auto"/>
            <w:noWrap/>
            <w:vAlign w:val="bottom"/>
            <w:hideMark/>
          </w:tcPr>
          <w:p w14:paraId="11402701"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24.3</w:t>
            </w:r>
          </w:p>
        </w:tc>
        <w:tc>
          <w:tcPr>
            <w:tcW w:w="897" w:type="dxa"/>
            <w:gridSpan w:val="2"/>
            <w:tcBorders>
              <w:top w:val="nil"/>
              <w:left w:val="nil"/>
              <w:bottom w:val="single" w:sz="4" w:space="0" w:color="auto"/>
              <w:right w:val="single" w:sz="4" w:space="0" w:color="auto"/>
            </w:tcBorders>
            <w:shd w:val="clear" w:color="auto" w:fill="auto"/>
            <w:noWrap/>
            <w:vAlign w:val="bottom"/>
            <w:hideMark/>
          </w:tcPr>
          <w:p w14:paraId="6524FADF"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11.0</w:t>
            </w:r>
          </w:p>
        </w:tc>
        <w:tc>
          <w:tcPr>
            <w:tcW w:w="1292" w:type="dxa"/>
            <w:gridSpan w:val="2"/>
            <w:tcBorders>
              <w:top w:val="nil"/>
              <w:left w:val="nil"/>
              <w:bottom w:val="nil"/>
              <w:right w:val="single" w:sz="4" w:space="0" w:color="auto"/>
            </w:tcBorders>
            <w:shd w:val="clear" w:color="auto" w:fill="auto"/>
            <w:noWrap/>
            <w:hideMark/>
          </w:tcPr>
          <w:p w14:paraId="56B92EFA"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21 (0.54)</w:t>
            </w:r>
          </w:p>
        </w:tc>
        <w:tc>
          <w:tcPr>
            <w:tcW w:w="955" w:type="dxa"/>
            <w:gridSpan w:val="2"/>
            <w:tcBorders>
              <w:top w:val="nil"/>
              <w:left w:val="nil"/>
              <w:bottom w:val="single" w:sz="4" w:space="0" w:color="auto"/>
              <w:right w:val="single" w:sz="4" w:space="0" w:color="auto"/>
            </w:tcBorders>
            <w:shd w:val="clear" w:color="auto" w:fill="auto"/>
            <w:noWrap/>
            <w:vAlign w:val="bottom"/>
            <w:hideMark/>
          </w:tcPr>
          <w:p w14:paraId="194C113A"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2.30</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163DA0D6"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0.957</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554FDF26"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22.5</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7430917D"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12.7</w:t>
            </w:r>
          </w:p>
        </w:tc>
        <w:tc>
          <w:tcPr>
            <w:tcW w:w="1292" w:type="dxa"/>
            <w:tcBorders>
              <w:top w:val="nil"/>
              <w:left w:val="nil"/>
              <w:bottom w:val="single" w:sz="4" w:space="0" w:color="auto"/>
              <w:right w:val="single" w:sz="4" w:space="0" w:color="auto"/>
            </w:tcBorders>
            <w:shd w:val="clear" w:color="auto" w:fill="auto"/>
            <w:noWrap/>
            <w:hideMark/>
          </w:tcPr>
          <w:p w14:paraId="064A5CB4"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21 (0.56)</w:t>
            </w:r>
          </w:p>
        </w:tc>
      </w:tr>
      <w:tr w:rsidR="00403B07" w:rsidRPr="00734C53" w14:paraId="35C60D7F" w14:textId="77777777" w:rsidTr="00B01272">
        <w:trPr>
          <w:trHeight w:val="276"/>
        </w:trPr>
        <w:tc>
          <w:tcPr>
            <w:tcW w:w="954" w:type="dxa"/>
            <w:gridSpan w:val="2"/>
            <w:tcBorders>
              <w:top w:val="nil"/>
              <w:left w:val="single" w:sz="4" w:space="0" w:color="auto"/>
              <w:bottom w:val="single" w:sz="4" w:space="0" w:color="auto"/>
              <w:right w:val="single" w:sz="4" w:space="0" w:color="auto"/>
            </w:tcBorders>
            <w:shd w:val="clear" w:color="auto" w:fill="auto"/>
            <w:noWrap/>
            <w:vAlign w:val="bottom"/>
            <w:hideMark/>
          </w:tcPr>
          <w:p w14:paraId="55E3D487"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19</w:t>
            </w:r>
          </w:p>
        </w:tc>
        <w:tc>
          <w:tcPr>
            <w:tcW w:w="1355" w:type="dxa"/>
            <w:gridSpan w:val="2"/>
            <w:tcBorders>
              <w:top w:val="nil"/>
              <w:left w:val="nil"/>
              <w:bottom w:val="single" w:sz="4" w:space="0" w:color="auto"/>
              <w:right w:val="single" w:sz="4" w:space="0" w:color="auto"/>
            </w:tcBorders>
            <w:shd w:val="clear" w:color="auto" w:fill="auto"/>
            <w:noWrap/>
            <w:vAlign w:val="bottom"/>
            <w:hideMark/>
          </w:tcPr>
          <w:p w14:paraId="205D1E94"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101.4</w:t>
            </w:r>
          </w:p>
        </w:tc>
        <w:tc>
          <w:tcPr>
            <w:tcW w:w="952" w:type="dxa"/>
            <w:gridSpan w:val="2"/>
            <w:tcBorders>
              <w:top w:val="nil"/>
              <w:left w:val="nil"/>
              <w:bottom w:val="single" w:sz="4" w:space="0" w:color="auto"/>
              <w:right w:val="single" w:sz="4" w:space="0" w:color="auto"/>
            </w:tcBorders>
            <w:shd w:val="clear" w:color="auto" w:fill="auto"/>
            <w:noWrap/>
            <w:vAlign w:val="bottom"/>
            <w:hideMark/>
          </w:tcPr>
          <w:p w14:paraId="2F6ADDF2"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2.89</w:t>
            </w:r>
          </w:p>
        </w:tc>
        <w:tc>
          <w:tcPr>
            <w:tcW w:w="970" w:type="dxa"/>
            <w:tcBorders>
              <w:top w:val="nil"/>
              <w:left w:val="nil"/>
              <w:bottom w:val="single" w:sz="4" w:space="0" w:color="auto"/>
              <w:right w:val="single" w:sz="4" w:space="0" w:color="auto"/>
            </w:tcBorders>
            <w:shd w:val="clear" w:color="auto" w:fill="auto"/>
            <w:noWrap/>
            <w:vAlign w:val="bottom"/>
            <w:hideMark/>
          </w:tcPr>
          <w:p w14:paraId="31D16003"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1.040</w:t>
            </w:r>
          </w:p>
        </w:tc>
        <w:tc>
          <w:tcPr>
            <w:tcW w:w="847" w:type="dxa"/>
            <w:gridSpan w:val="2"/>
            <w:tcBorders>
              <w:top w:val="nil"/>
              <w:left w:val="nil"/>
              <w:bottom w:val="single" w:sz="4" w:space="0" w:color="auto"/>
              <w:right w:val="single" w:sz="4" w:space="0" w:color="auto"/>
            </w:tcBorders>
            <w:shd w:val="clear" w:color="auto" w:fill="auto"/>
            <w:noWrap/>
            <w:vAlign w:val="bottom"/>
            <w:hideMark/>
          </w:tcPr>
          <w:p w14:paraId="485D176D"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13.0</w:t>
            </w:r>
          </w:p>
        </w:tc>
        <w:tc>
          <w:tcPr>
            <w:tcW w:w="897" w:type="dxa"/>
            <w:gridSpan w:val="2"/>
            <w:tcBorders>
              <w:top w:val="nil"/>
              <w:left w:val="nil"/>
              <w:bottom w:val="single" w:sz="4" w:space="0" w:color="auto"/>
              <w:right w:val="single" w:sz="4" w:space="0" w:color="auto"/>
            </w:tcBorders>
            <w:shd w:val="clear" w:color="000000" w:fill="D9D9D9"/>
            <w:noWrap/>
            <w:vAlign w:val="bottom"/>
            <w:hideMark/>
          </w:tcPr>
          <w:p w14:paraId="36587D40"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36.1</w:t>
            </w:r>
          </w:p>
        </w:tc>
        <w:tc>
          <w:tcPr>
            <w:tcW w:w="1292" w:type="dxa"/>
            <w:gridSpan w:val="2"/>
            <w:tcBorders>
              <w:top w:val="single" w:sz="4" w:space="0" w:color="auto"/>
              <w:left w:val="nil"/>
              <w:bottom w:val="single" w:sz="4" w:space="0" w:color="auto"/>
              <w:right w:val="single" w:sz="4" w:space="0" w:color="auto"/>
            </w:tcBorders>
            <w:shd w:val="clear" w:color="auto" w:fill="auto"/>
            <w:noWrap/>
            <w:hideMark/>
          </w:tcPr>
          <w:p w14:paraId="7BC9D31E"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20 (0.43)</w:t>
            </w:r>
          </w:p>
        </w:tc>
        <w:tc>
          <w:tcPr>
            <w:tcW w:w="955" w:type="dxa"/>
            <w:gridSpan w:val="2"/>
            <w:tcBorders>
              <w:top w:val="nil"/>
              <w:left w:val="nil"/>
              <w:bottom w:val="single" w:sz="4" w:space="0" w:color="auto"/>
              <w:right w:val="single" w:sz="4" w:space="0" w:color="auto"/>
            </w:tcBorders>
            <w:shd w:val="clear" w:color="auto" w:fill="auto"/>
            <w:noWrap/>
            <w:vAlign w:val="bottom"/>
            <w:hideMark/>
          </w:tcPr>
          <w:p w14:paraId="08B5220F"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2.88</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27E84C2D"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1.042</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15BF3311"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13.4</w:t>
            </w:r>
          </w:p>
        </w:tc>
        <w:tc>
          <w:tcPr>
            <w:tcW w:w="1260" w:type="dxa"/>
            <w:gridSpan w:val="2"/>
            <w:tcBorders>
              <w:top w:val="nil"/>
              <w:left w:val="nil"/>
              <w:bottom w:val="single" w:sz="4" w:space="0" w:color="auto"/>
              <w:right w:val="single" w:sz="4" w:space="0" w:color="auto"/>
            </w:tcBorders>
            <w:shd w:val="clear" w:color="000000" w:fill="D9D9D9"/>
            <w:noWrap/>
            <w:vAlign w:val="bottom"/>
            <w:hideMark/>
          </w:tcPr>
          <w:p w14:paraId="6316C90C"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35.7</w:t>
            </w:r>
          </w:p>
        </w:tc>
        <w:tc>
          <w:tcPr>
            <w:tcW w:w="1292" w:type="dxa"/>
            <w:tcBorders>
              <w:top w:val="nil"/>
              <w:left w:val="nil"/>
              <w:bottom w:val="single" w:sz="4" w:space="0" w:color="auto"/>
              <w:right w:val="single" w:sz="4" w:space="0" w:color="auto"/>
            </w:tcBorders>
            <w:shd w:val="clear" w:color="auto" w:fill="auto"/>
            <w:noWrap/>
            <w:hideMark/>
          </w:tcPr>
          <w:p w14:paraId="7C2BC233"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20 (0.47)</w:t>
            </w:r>
          </w:p>
        </w:tc>
      </w:tr>
      <w:tr w:rsidR="00403B07" w:rsidRPr="00734C53" w14:paraId="65F4A68C" w14:textId="77777777" w:rsidTr="00B01272">
        <w:trPr>
          <w:trHeight w:val="276"/>
        </w:trPr>
        <w:tc>
          <w:tcPr>
            <w:tcW w:w="954" w:type="dxa"/>
            <w:gridSpan w:val="2"/>
            <w:tcBorders>
              <w:top w:val="nil"/>
              <w:left w:val="single" w:sz="4" w:space="0" w:color="auto"/>
              <w:bottom w:val="single" w:sz="4" w:space="0" w:color="auto"/>
              <w:right w:val="single" w:sz="4" w:space="0" w:color="auto"/>
            </w:tcBorders>
            <w:shd w:val="clear" w:color="auto" w:fill="auto"/>
            <w:noWrap/>
            <w:vAlign w:val="bottom"/>
            <w:hideMark/>
          </w:tcPr>
          <w:p w14:paraId="0A009B6E"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20</w:t>
            </w:r>
          </w:p>
        </w:tc>
        <w:tc>
          <w:tcPr>
            <w:tcW w:w="1355" w:type="dxa"/>
            <w:gridSpan w:val="2"/>
            <w:tcBorders>
              <w:top w:val="nil"/>
              <w:left w:val="nil"/>
              <w:bottom w:val="single" w:sz="4" w:space="0" w:color="auto"/>
              <w:right w:val="single" w:sz="4" w:space="0" w:color="auto"/>
            </w:tcBorders>
            <w:shd w:val="clear" w:color="auto" w:fill="auto"/>
            <w:noWrap/>
            <w:vAlign w:val="bottom"/>
            <w:hideMark/>
          </w:tcPr>
          <w:p w14:paraId="545779B7"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95.4</w:t>
            </w:r>
          </w:p>
        </w:tc>
        <w:tc>
          <w:tcPr>
            <w:tcW w:w="952" w:type="dxa"/>
            <w:gridSpan w:val="2"/>
            <w:tcBorders>
              <w:top w:val="nil"/>
              <w:left w:val="nil"/>
              <w:bottom w:val="single" w:sz="4" w:space="0" w:color="auto"/>
              <w:right w:val="single" w:sz="4" w:space="0" w:color="auto"/>
            </w:tcBorders>
            <w:shd w:val="clear" w:color="auto" w:fill="auto"/>
            <w:noWrap/>
            <w:vAlign w:val="bottom"/>
            <w:hideMark/>
          </w:tcPr>
          <w:p w14:paraId="3AE54882"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2.76</w:t>
            </w:r>
          </w:p>
        </w:tc>
        <w:tc>
          <w:tcPr>
            <w:tcW w:w="970" w:type="dxa"/>
            <w:tcBorders>
              <w:top w:val="nil"/>
              <w:left w:val="nil"/>
              <w:bottom w:val="single" w:sz="4" w:space="0" w:color="auto"/>
              <w:right w:val="single" w:sz="4" w:space="0" w:color="auto"/>
            </w:tcBorders>
            <w:shd w:val="clear" w:color="auto" w:fill="auto"/>
            <w:noWrap/>
            <w:vAlign w:val="bottom"/>
            <w:hideMark/>
          </w:tcPr>
          <w:p w14:paraId="091B73B4"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1.010</w:t>
            </w:r>
          </w:p>
        </w:tc>
        <w:tc>
          <w:tcPr>
            <w:tcW w:w="847" w:type="dxa"/>
            <w:gridSpan w:val="2"/>
            <w:tcBorders>
              <w:top w:val="nil"/>
              <w:left w:val="nil"/>
              <w:bottom w:val="single" w:sz="4" w:space="0" w:color="auto"/>
              <w:right w:val="single" w:sz="4" w:space="0" w:color="auto"/>
            </w:tcBorders>
            <w:shd w:val="clear" w:color="auto" w:fill="auto"/>
            <w:noWrap/>
            <w:vAlign w:val="bottom"/>
            <w:hideMark/>
          </w:tcPr>
          <w:p w14:paraId="7D327703"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12.7</w:t>
            </w:r>
          </w:p>
        </w:tc>
        <w:tc>
          <w:tcPr>
            <w:tcW w:w="897" w:type="dxa"/>
            <w:gridSpan w:val="2"/>
            <w:tcBorders>
              <w:top w:val="nil"/>
              <w:left w:val="nil"/>
              <w:bottom w:val="single" w:sz="4" w:space="0" w:color="auto"/>
              <w:right w:val="single" w:sz="4" w:space="0" w:color="auto"/>
            </w:tcBorders>
            <w:shd w:val="clear" w:color="auto" w:fill="auto"/>
            <w:noWrap/>
            <w:vAlign w:val="bottom"/>
            <w:hideMark/>
          </w:tcPr>
          <w:p w14:paraId="140C97E4"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29.0</w:t>
            </w:r>
          </w:p>
        </w:tc>
        <w:tc>
          <w:tcPr>
            <w:tcW w:w="1292" w:type="dxa"/>
            <w:gridSpan w:val="2"/>
            <w:tcBorders>
              <w:top w:val="nil"/>
              <w:left w:val="nil"/>
              <w:bottom w:val="single" w:sz="4" w:space="0" w:color="auto"/>
              <w:right w:val="single" w:sz="4" w:space="0" w:color="auto"/>
            </w:tcBorders>
            <w:shd w:val="clear" w:color="auto" w:fill="auto"/>
            <w:noWrap/>
            <w:hideMark/>
          </w:tcPr>
          <w:p w14:paraId="422BCB96"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22 (0.45)</w:t>
            </w:r>
          </w:p>
        </w:tc>
        <w:tc>
          <w:tcPr>
            <w:tcW w:w="955" w:type="dxa"/>
            <w:gridSpan w:val="2"/>
            <w:tcBorders>
              <w:top w:val="nil"/>
              <w:left w:val="nil"/>
              <w:bottom w:val="single" w:sz="4" w:space="0" w:color="auto"/>
              <w:right w:val="single" w:sz="4" w:space="0" w:color="auto"/>
            </w:tcBorders>
            <w:shd w:val="clear" w:color="auto" w:fill="auto"/>
            <w:noWrap/>
            <w:vAlign w:val="bottom"/>
            <w:hideMark/>
          </w:tcPr>
          <w:p w14:paraId="252E1774"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2.73</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74468E6F"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1.027</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51D33B99"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14.2</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2FA23F6A"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28.6</w:t>
            </w:r>
          </w:p>
        </w:tc>
        <w:tc>
          <w:tcPr>
            <w:tcW w:w="1292" w:type="dxa"/>
            <w:tcBorders>
              <w:top w:val="nil"/>
              <w:left w:val="nil"/>
              <w:bottom w:val="single" w:sz="4" w:space="0" w:color="auto"/>
              <w:right w:val="single" w:sz="4" w:space="0" w:color="auto"/>
            </w:tcBorders>
            <w:shd w:val="clear" w:color="auto" w:fill="auto"/>
            <w:noWrap/>
            <w:hideMark/>
          </w:tcPr>
          <w:p w14:paraId="7E678F62"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19 (0.47)</w:t>
            </w:r>
          </w:p>
        </w:tc>
      </w:tr>
      <w:tr w:rsidR="00403B07" w:rsidRPr="00734C53" w14:paraId="371DACE5" w14:textId="77777777" w:rsidTr="00B01272">
        <w:trPr>
          <w:trHeight w:val="276"/>
        </w:trPr>
        <w:tc>
          <w:tcPr>
            <w:tcW w:w="954" w:type="dxa"/>
            <w:gridSpan w:val="2"/>
            <w:tcBorders>
              <w:top w:val="nil"/>
              <w:left w:val="single" w:sz="4" w:space="0" w:color="auto"/>
              <w:bottom w:val="single" w:sz="4" w:space="0" w:color="auto"/>
              <w:right w:val="single" w:sz="4" w:space="0" w:color="auto"/>
            </w:tcBorders>
            <w:shd w:val="clear" w:color="auto" w:fill="auto"/>
            <w:noWrap/>
            <w:vAlign w:val="bottom"/>
            <w:hideMark/>
          </w:tcPr>
          <w:p w14:paraId="75A6441D"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21</w:t>
            </w:r>
          </w:p>
        </w:tc>
        <w:tc>
          <w:tcPr>
            <w:tcW w:w="1355" w:type="dxa"/>
            <w:gridSpan w:val="2"/>
            <w:tcBorders>
              <w:top w:val="nil"/>
              <w:left w:val="nil"/>
              <w:bottom w:val="single" w:sz="4" w:space="0" w:color="auto"/>
              <w:right w:val="single" w:sz="4" w:space="0" w:color="auto"/>
            </w:tcBorders>
            <w:shd w:val="clear" w:color="auto" w:fill="auto"/>
            <w:noWrap/>
            <w:vAlign w:val="bottom"/>
            <w:hideMark/>
          </w:tcPr>
          <w:p w14:paraId="06900506"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105</w:t>
            </w:r>
          </w:p>
        </w:tc>
        <w:tc>
          <w:tcPr>
            <w:tcW w:w="952" w:type="dxa"/>
            <w:gridSpan w:val="2"/>
            <w:tcBorders>
              <w:top w:val="nil"/>
              <w:left w:val="nil"/>
              <w:bottom w:val="single" w:sz="4" w:space="0" w:color="auto"/>
              <w:right w:val="single" w:sz="4" w:space="0" w:color="auto"/>
            </w:tcBorders>
            <w:shd w:val="clear" w:color="auto" w:fill="auto"/>
            <w:noWrap/>
            <w:vAlign w:val="bottom"/>
            <w:hideMark/>
          </w:tcPr>
          <w:p w14:paraId="5E1D6DA7"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2.30</w:t>
            </w:r>
          </w:p>
        </w:tc>
        <w:tc>
          <w:tcPr>
            <w:tcW w:w="970" w:type="dxa"/>
            <w:tcBorders>
              <w:top w:val="nil"/>
              <w:left w:val="nil"/>
              <w:bottom w:val="single" w:sz="4" w:space="0" w:color="auto"/>
              <w:right w:val="single" w:sz="4" w:space="0" w:color="auto"/>
            </w:tcBorders>
            <w:shd w:val="clear" w:color="auto" w:fill="auto"/>
            <w:noWrap/>
            <w:vAlign w:val="bottom"/>
            <w:hideMark/>
          </w:tcPr>
          <w:p w14:paraId="2A047B88"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0.972</w:t>
            </w:r>
          </w:p>
        </w:tc>
        <w:tc>
          <w:tcPr>
            <w:tcW w:w="847" w:type="dxa"/>
            <w:gridSpan w:val="2"/>
            <w:tcBorders>
              <w:top w:val="nil"/>
              <w:left w:val="nil"/>
              <w:bottom w:val="single" w:sz="4" w:space="0" w:color="auto"/>
              <w:right w:val="single" w:sz="4" w:space="0" w:color="auto"/>
            </w:tcBorders>
            <w:shd w:val="clear" w:color="auto" w:fill="auto"/>
            <w:noWrap/>
            <w:vAlign w:val="bottom"/>
            <w:hideMark/>
          </w:tcPr>
          <w:p w14:paraId="0903DE69"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24.5</w:t>
            </w:r>
          </w:p>
        </w:tc>
        <w:tc>
          <w:tcPr>
            <w:tcW w:w="897" w:type="dxa"/>
            <w:gridSpan w:val="2"/>
            <w:tcBorders>
              <w:top w:val="nil"/>
              <w:left w:val="nil"/>
              <w:bottom w:val="single" w:sz="4" w:space="0" w:color="auto"/>
              <w:right w:val="single" w:sz="4" w:space="0" w:color="auto"/>
            </w:tcBorders>
            <w:shd w:val="clear" w:color="auto" w:fill="auto"/>
            <w:noWrap/>
            <w:vAlign w:val="bottom"/>
            <w:hideMark/>
          </w:tcPr>
          <w:p w14:paraId="747818FD"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12.2</w:t>
            </w:r>
          </w:p>
        </w:tc>
        <w:tc>
          <w:tcPr>
            <w:tcW w:w="1292" w:type="dxa"/>
            <w:gridSpan w:val="2"/>
            <w:tcBorders>
              <w:top w:val="nil"/>
              <w:left w:val="nil"/>
              <w:bottom w:val="single" w:sz="4" w:space="0" w:color="auto"/>
              <w:right w:val="single" w:sz="4" w:space="0" w:color="auto"/>
            </w:tcBorders>
            <w:shd w:val="clear" w:color="auto" w:fill="auto"/>
            <w:noWrap/>
            <w:hideMark/>
          </w:tcPr>
          <w:p w14:paraId="3E63A09D"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18 (0.54)</w:t>
            </w:r>
          </w:p>
        </w:tc>
        <w:tc>
          <w:tcPr>
            <w:tcW w:w="955" w:type="dxa"/>
            <w:gridSpan w:val="2"/>
            <w:tcBorders>
              <w:top w:val="nil"/>
              <w:left w:val="nil"/>
              <w:bottom w:val="single" w:sz="4" w:space="0" w:color="auto"/>
              <w:right w:val="single" w:sz="4" w:space="0" w:color="auto"/>
            </w:tcBorders>
            <w:shd w:val="clear" w:color="auto" w:fill="auto"/>
            <w:noWrap/>
            <w:vAlign w:val="bottom"/>
            <w:hideMark/>
          </w:tcPr>
          <w:p w14:paraId="0F1586DF"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2.38</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47E3D8B3"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1.021</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0AFD3401"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24.5</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2EC0D033"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15.8</w:t>
            </w:r>
          </w:p>
        </w:tc>
        <w:tc>
          <w:tcPr>
            <w:tcW w:w="1292" w:type="dxa"/>
            <w:tcBorders>
              <w:top w:val="nil"/>
              <w:left w:val="nil"/>
              <w:bottom w:val="single" w:sz="4" w:space="0" w:color="auto"/>
              <w:right w:val="single" w:sz="4" w:space="0" w:color="auto"/>
            </w:tcBorders>
            <w:shd w:val="clear" w:color="auto" w:fill="auto"/>
            <w:noWrap/>
            <w:hideMark/>
          </w:tcPr>
          <w:p w14:paraId="35FFF318"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18 (0.56)</w:t>
            </w:r>
          </w:p>
        </w:tc>
      </w:tr>
      <w:tr w:rsidR="00403B07" w:rsidRPr="00734C53" w14:paraId="00032552" w14:textId="77777777" w:rsidTr="00B01272">
        <w:trPr>
          <w:trHeight w:val="276"/>
        </w:trPr>
        <w:tc>
          <w:tcPr>
            <w:tcW w:w="954" w:type="dxa"/>
            <w:gridSpan w:val="2"/>
            <w:tcBorders>
              <w:top w:val="nil"/>
              <w:left w:val="single" w:sz="4" w:space="0" w:color="auto"/>
              <w:bottom w:val="single" w:sz="4" w:space="0" w:color="auto"/>
              <w:right w:val="single" w:sz="4" w:space="0" w:color="auto"/>
            </w:tcBorders>
            <w:shd w:val="clear" w:color="auto" w:fill="auto"/>
            <w:noWrap/>
            <w:vAlign w:val="bottom"/>
            <w:hideMark/>
          </w:tcPr>
          <w:p w14:paraId="087EAA7B"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22</w:t>
            </w:r>
          </w:p>
        </w:tc>
        <w:tc>
          <w:tcPr>
            <w:tcW w:w="1355" w:type="dxa"/>
            <w:gridSpan w:val="2"/>
            <w:tcBorders>
              <w:top w:val="nil"/>
              <w:left w:val="nil"/>
              <w:bottom w:val="single" w:sz="4" w:space="0" w:color="auto"/>
              <w:right w:val="single" w:sz="4" w:space="0" w:color="auto"/>
            </w:tcBorders>
            <w:shd w:val="clear" w:color="auto" w:fill="auto"/>
            <w:noWrap/>
            <w:vAlign w:val="bottom"/>
            <w:hideMark/>
          </w:tcPr>
          <w:p w14:paraId="7E5EE9A0"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83.3</w:t>
            </w:r>
          </w:p>
        </w:tc>
        <w:tc>
          <w:tcPr>
            <w:tcW w:w="952" w:type="dxa"/>
            <w:gridSpan w:val="2"/>
            <w:tcBorders>
              <w:top w:val="nil"/>
              <w:left w:val="nil"/>
              <w:bottom w:val="single" w:sz="4" w:space="0" w:color="auto"/>
              <w:right w:val="single" w:sz="4" w:space="0" w:color="auto"/>
            </w:tcBorders>
            <w:shd w:val="clear" w:color="auto" w:fill="auto"/>
            <w:noWrap/>
            <w:vAlign w:val="bottom"/>
            <w:hideMark/>
          </w:tcPr>
          <w:p w14:paraId="1A35A121"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2.46</w:t>
            </w:r>
          </w:p>
        </w:tc>
        <w:tc>
          <w:tcPr>
            <w:tcW w:w="970" w:type="dxa"/>
            <w:tcBorders>
              <w:top w:val="nil"/>
              <w:left w:val="nil"/>
              <w:bottom w:val="single" w:sz="4" w:space="0" w:color="auto"/>
              <w:right w:val="single" w:sz="4" w:space="0" w:color="auto"/>
            </w:tcBorders>
            <w:shd w:val="clear" w:color="auto" w:fill="auto"/>
            <w:noWrap/>
            <w:vAlign w:val="bottom"/>
            <w:hideMark/>
          </w:tcPr>
          <w:p w14:paraId="16732829"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1.123</w:t>
            </w:r>
          </w:p>
        </w:tc>
        <w:tc>
          <w:tcPr>
            <w:tcW w:w="847" w:type="dxa"/>
            <w:gridSpan w:val="2"/>
            <w:tcBorders>
              <w:top w:val="nil"/>
              <w:left w:val="nil"/>
              <w:bottom w:val="single" w:sz="4" w:space="0" w:color="auto"/>
              <w:right w:val="single" w:sz="4" w:space="0" w:color="auto"/>
            </w:tcBorders>
            <w:shd w:val="clear" w:color="auto" w:fill="auto"/>
            <w:noWrap/>
            <w:vAlign w:val="bottom"/>
            <w:hideMark/>
          </w:tcPr>
          <w:p w14:paraId="5AD87712"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26.8</w:t>
            </w:r>
          </w:p>
        </w:tc>
        <w:tc>
          <w:tcPr>
            <w:tcW w:w="897" w:type="dxa"/>
            <w:gridSpan w:val="2"/>
            <w:tcBorders>
              <w:top w:val="nil"/>
              <w:left w:val="nil"/>
              <w:bottom w:val="single" w:sz="4" w:space="0" w:color="auto"/>
              <w:right w:val="single" w:sz="4" w:space="0" w:color="auto"/>
            </w:tcBorders>
            <w:shd w:val="clear" w:color="auto" w:fill="auto"/>
            <w:noWrap/>
            <w:vAlign w:val="bottom"/>
            <w:hideMark/>
          </w:tcPr>
          <w:p w14:paraId="3D5CE700"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23.8</w:t>
            </w:r>
          </w:p>
        </w:tc>
        <w:tc>
          <w:tcPr>
            <w:tcW w:w="1292" w:type="dxa"/>
            <w:gridSpan w:val="2"/>
            <w:tcBorders>
              <w:top w:val="nil"/>
              <w:left w:val="nil"/>
              <w:bottom w:val="single" w:sz="4" w:space="0" w:color="auto"/>
              <w:right w:val="single" w:sz="4" w:space="0" w:color="auto"/>
            </w:tcBorders>
            <w:shd w:val="clear" w:color="auto" w:fill="auto"/>
            <w:noWrap/>
            <w:hideMark/>
          </w:tcPr>
          <w:p w14:paraId="3016AF56"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20 (0.45)</w:t>
            </w:r>
          </w:p>
        </w:tc>
        <w:tc>
          <w:tcPr>
            <w:tcW w:w="955" w:type="dxa"/>
            <w:gridSpan w:val="2"/>
            <w:tcBorders>
              <w:top w:val="nil"/>
              <w:left w:val="nil"/>
              <w:bottom w:val="nil"/>
              <w:right w:val="single" w:sz="4" w:space="0" w:color="auto"/>
            </w:tcBorders>
            <w:shd w:val="clear" w:color="auto" w:fill="auto"/>
            <w:noWrap/>
            <w:vAlign w:val="bottom"/>
            <w:hideMark/>
          </w:tcPr>
          <w:p w14:paraId="715142E4"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2.40</w:t>
            </w:r>
          </w:p>
        </w:tc>
        <w:tc>
          <w:tcPr>
            <w:tcW w:w="992" w:type="dxa"/>
            <w:gridSpan w:val="2"/>
            <w:tcBorders>
              <w:top w:val="nil"/>
              <w:left w:val="nil"/>
              <w:bottom w:val="nil"/>
              <w:right w:val="single" w:sz="4" w:space="0" w:color="auto"/>
            </w:tcBorders>
            <w:shd w:val="clear" w:color="auto" w:fill="auto"/>
            <w:noWrap/>
            <w:vAlign w:val="bottom"/>
            <w:hideMark/>
          </w:tcPr>
          <w:p w14:paraId="55801E10"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1.098</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2F0E21C2"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27.4</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4C31D010"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20.8</w:t>
            </w:r>
          </w:p>
        </w:tc>
        <w:tc>
          <w:tcPr>
            <w:tcW w:w="1292" w:type="dxa"/>
            <w:tcBorders>
              <w:top w:val="nil"/>
              <w:left w:val="nil"/>
              <w:bottom w:val="single" w:sz="4" w:space="0" w:color="auto"/>
              <w:right w:val="single" w:sz="4" w:space="0" w:color="auto"/>
            </w:tcBorders>
            <w:shd w:val="clear" w:color="auto" w:fill="auto"/>
            <w:noWrap/>
            <w:hideMark/>
          </w:tcPr>
          <w:p w14:paraId="2E07E5AF"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20 (0.45)</w:t>
            </w:r>
          </w:p>
        </w:tc>
      </w:tr>
      <w:tr w:rsidR="00403B07" w:rsidRPr="00734C53" w14:paraId="32F280E2" w14:textId="77777777" w:rsidTr="00B01272">
        <w:trPr>
          <w:trHeight w:val="276"/>
        </w:trPr>
        <w:tc>
          <w:tcPr>
            <w:tcW w:w="954" w:type="dxa"/>
            <w:gridSpan w:val="2"/>
            <w:tcBorders>
              <w:top w:val="nil"/>
              <w:left w:val="single" w:sz="4" w:space="0" w:color="auto"/>
              <w:bottom w:val="single" w:sz="4" w:space="0" w:color="auto"/>
              <w:right w:val="single" w:sz="4" w:space="0" w:color="auto"/>
            </w:tcBorders>
            <w:shd w:val="clear" w:color="auto" w:fill="auto"/>
            <w:noWrap/>
            <w:vAlign w:val="bottom"/>
            <w:hideMark/>
          </w:tcPr>
          <w:p w14:paraId="13BB7DDA"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23</w:t>
            </w:r>
          </w:p>
        </w:tc>
        <w:tc>
          <w:tcPr>
            <w:tcW w:w="1355" w:type="dxa"/>
            <w:gridSpan w:val="2"/>
            <w:tcBorders>
              <w:top w:val="nil"/>
              <w:left w:val="nil"/>
              <w:bottom w:val="single" w:sz="4" w:space="0" w:color="auto"/>
              <w:right w:val="single" w:sz="4" w:space="0" w:color="auto"/>
            </w:tcBorders>
            <w:shd w:val="clear" w:color="auto" w:fill="auto"/>
            <w:noWrap/>
            <w:vAlign w:val="bottom"/>
            <w:hideMark/>
          </w:tcPr>
          <w:p w14:paraId="1AD7DD7B"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83.3</w:t>
            </w:r>
          </w:p>
        </w:tc>
        <w:tc>
          <w:tcPr>
            <w:tcW w:w="952" w:type="dxa"/>
            <w:gridSpan w:val="2"/>
            <w:tcBorders>
              <w:top w:val="nil"/>
              <w:left w:val="nil"/>
              <w:bottom w:val="single" w:sz="4" w:space="0" w:color="auto"/>
              <w:right w:val="single" w:sz="4" w:space="0" w:color="auto"/>
            </w:tcBorders>
            <w:shd w:val="clear" w:color="auto" w:fill="auto"/>
            <w:noWrap/>
            <w:vAlign w:val="bottom"/>
            <w:hideMark/>
          </w:tcPr>
          <w:p w14:paraId="66586B58"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2.98</w:t>
            </w:r>
          </w:p>
        </w:tc>
        <w:tc>
          <w:tcPr>
            <w:tcW w:w="970" w:type="dxa"/>
            <w:tcBorders>
              <w:top w:val="nil"/>
              <w:left w:val="nil"/>
              <w:bottom w:val="single" w:sz="4" w:space="0" w:color="auto"/>
              <w:right w:val="single" w:sz="4" w:space="0" w:color="auto"/>
            </w:tcBorders>
            <w:shd w:val="clear" w:color="auto" w:fill="auto"/>
            <w:noWrap/>
            <w:vAlign w:val="bottom"/>
            <w:hideMark/>
          </w:tcPr>
          <w:p w14:paraId="691B053E"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1.022</w:t>
            </w:r>
          </w:p>
        </w:tc>
        <w:tc>
          <w:tcPr>
            <w:tcW w:w="847" w:type="dxa"/>
            <w:gridSpan w:val="2"/>
            <w:tcBorders>
              <w:top w:val="nil"/>
              <w:left w:val="nil"/>
              <w:bottom w:val="single" w:sz="4" w:space="0" w:color="auto"/>
              <w:right w:val="single" w:sz="4" w:space="0" w:color="auto"/>
            </w:tcBorders>
            <w:shd w:val="clear" w:color="auto" w:fill="auto"/>
            <w:noWrap/>
            <w:vAlign w:val="bottom"/>
            <w:hideMark/>
          </w:tcPr>
          <w:p w14:paraId="4CA4FDD4"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11.1</w:t>
            </w:r>
          </w:p>
        </w:tc>
        <w:tc>
          <w:tcPr>
            <w:tcW w:w="897" w:type="dxa"/>
            <w:gridSpan w:val="2"/>
            <w:tcBorders>
              <w:top w:val="nil"/>
              <w:left w:val="nil"/>
              <w:bottom w:val="single" w:sz="4" w:space="0" w:color="auto"/>
              <w:right w:val="single" w:sz="4" w:space="0" w:color="auto"/>
            </w:tcBorders>
            <w:shd w:val="clear" w:color="000000" w:fill="D9D9D9"/>
            <w:noWrap/>
            <w:vAlign w:val="bottom"/>
            <w:hideMark/>
          </w:tcPr>
          <w:p w14:paraId="70AA93D7"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40.3</w:t>
            </w:r>
          </w:p>
        </w:tc>
        <w:tc>
          <w:tcPr>
            <w:tcW w:w="1292" w:type="dxa"/>
            <w:gridSpan w:val="2"/>
            <w:tcBorders>
              <w:top w:val="nil"/>
              <w:left w:val="nil"/>
              <w:bottom w:val="single" w:sz="4" w:space="0" w:color="auto"/>
              <w:right w:val="single" w:sz="4" w:space="0" w:color="auto"/>
            </w:tcBorders>
            <w:shd w:val="clear" w:color="auto" w:fill="auto"/>
            <w:noWrap/>
            <w:hideMark/>
          </w:tcPr>
          <w:p w14:paraId="5AF69989"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24 (0.48)</w:t>
            </w:r>
          </w:p>
        </w:tc>
        <w:tc>
          <w:tcPr>
            <w:tcW w:w="955" w:type="dxa"/>
            <w:gridSpan w:val="2"/>
            <w:tcBorders>
              <w:top w:val="single" w:sz="4" w:space="0" w:color="auto"/>
              <w:left w:val="nil"/>
              <w:bottom w:val="single" w:sz="4" w:space="0" w:color="auto"/>
              <w:right w:val="single" w:sz="4" w:space="0" w:color="auto"/>
            </w:tcBorders>
            <w:shd w:val="clear" w:color="auto" w:fill="auto"/>
            <w:noWrap/>
            <w:vAlign w:val="bottom"/>
            <w:hideMark/>
          </w:tcPr>
          <w:p w14:paraId="416D157B"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3.03</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14:paraId="10DDDB11"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1.020</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2A29C450"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10.9</w:t>
            </w:r>
          </w:p>
        </w:tc>
        <w:tc>
          <w:tcPr>
            <w:tcW w:w="1260" w:type="dxa"/>
            <w:gridSpan w:val="2"/>
            <w:tcBorders>
              <w:top w:val="nil"/>
              <w:left w:val="nil"/>
              <w:bottom w:val="single" w:sz="4" w:space="0" w:color="auto"/>
              <w:right w:val="single" w:sz="4" w:space="0" w:color="auto"/>
            </w:tcBorders>
            <w:shd w:val="clear" w:color="000000" w:fill="D9D9D9"/>
            <w:noWrap/>
            <w:vAlign w:val="bottom"/>
            <w:hideMark/>
          </w:tcPr>
          <w:p w14:paraId="1F5D0030"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42.5</w:t>
            </w:r>
          </w:p>
        </w:tc>
        <w:tc>
          <w:tcPr>
            <w:tcW w:w="1292" w:type="dxa"/>
            <w:tcBorders>
              <w:top w:val="nil"/>
              <w:left w:val="nil"/>
              <w:bottom w:val="single" w:sz="4" w:space="0" w:color="auto"/>
              <w:right w:val="single" w:sz="4" w:space="0" w:color="auto"/>
            </w:tcBorders>
            <w:shd w:val="clear" w:color="auto" w:fill="auto"/>
            <w:noWrap/>
            <w:hideMark/>
          </w:tcPr>
          <w:p w14:paraId="4DDD0415"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24 (0.45)</w:t>
            </w:r>
          </w:p>
        </w:tc>
      </w:tr>
      <w:tr w:rsidR="00403B07" w:rsidRPr="00734C53" w14:paraId="7995A51E" w14:textId="77777777" w:rsidTr="00B01272">
        <w:trPr>
          <w:trHeight w:val="276"/>
        </w:trPr>
        <w:tc>
          <w:tcPr>
            <w:tcW w:w="954" w:type="dxa"/>
            <w:gridSpan w:val="2"/>
            <w:tcBorders>
              <w:top w:val="nil"/>
              <w:left w:val="single" w:sz="4" w:space="0" w:color="auto"/>
              <w:bottom w:val="single" w:sz="4" w:space="0" w:color="auto"/>
              <w:right w:val="single" w:sz="4" w:space="0" w:color="auto"/>
            </w:tcBorders>
            <w:shd w:val="clear" w:color="auto" w:fill="auto"/>
            <w:noWrap/>
            <w:vAlign w:val="bottom"/>
            <w:hideMark/>
          </w:tcPr>
          <w:p w14:paraId="1C471D1E"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24</w:t>
            </w:r>
          </w:p>
        </w:tc>
        <w:tc>
          <w:tcPr>
            <w:tcW w:w="1355" w:type="dxa"/>
            <w:gridSpan w:val="2"/>
            <w:tcBorders>
              <w:top w:val="nil"/>
              <w:left w:val="nil"/>
              <w:bottom w:val="single" w:sz="4" w:space="0" w:color="auto"/>
              <w:right w:val="single" w:sz="4" w:space="0" w:color="auto"/>
            </w:tcBorders>
            <w:shd w:val="clear" w:color="auto" w:fill="auto"/>
            <w:noWrap/>
            <w:vAlign w:val="bottom"/>
            <w:hideMark/>
          </w:tcPr>
          <w:p w14:paraId="6F34D885"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85</w:t>
            </w:r>
          </w:p>
        </w:tc>
        <w:tc>
          <w:tcPr>
            <w:tcW w:w="952" w:type="dxa"/>
            <w:gridSpan w:val="2"/>
            <w:tcBorders>
              <w:top w:val="nil"/>
              <w:left w:val="nil"/>
              <w:bottom w:val="single" w:sz="4" w:space="0" w:color="auto"/>
              <w:right w:val="single" w:sz="4" w:space="0" w:color="auto"/>
            </w:tcBorders>
            <w:shd w:val="clear" w:color="auto" w:fill="auto"/>
            <w:noWrap/>
            <w:vAlign w:val="bottom"/>
            <w:hideMark/>
          </w:tcPr>
          <w:p w14:paraId="5963513D"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3.32</w:t>
            </w:r>
          </w:p>
        </w:tc>
        <w:tc>
          <w:tcPr>
            <w:tcW w:w="970" w:type="dxa"/>
            <w:tcBorders>
              <w:top w:val="nil"/>
              <w:left w:val="nil"/>
              <w:bottom w:val="single" w:sz="4" w:space="0" w:color="auto"/>
              <w:right w:val="single" w:sz="4" w:space="0" w:color="auto"/>
            </w:tcBorders>
            <w:shd w:val="clear" w:color="auto" w:fill="auto"/>
            <w:noWrap/>
            <w:vAlign w:val="bottom"/>
            <w:hideMark/>
          </w:tcPr>
          <w:p w14:paraId="523072CA"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0.959</w:t>
            </w:r>
          </w:p>
        </w:tc>
        <w:tc>
          <w:tcPr>
            <w:tcW w:w="847" w:type="dxa"/>
            <w:gridSpan w:val="2"/>
            <w:tcBorders>
              <w:top w:val="nil"/>
              <w:left w:val="nil"/>
              <w:bottom w:val="single" w:sz="4" w:space="0" w:color="auto"/>
              <w:right w:val="single" w:sz="4" w:space="0" w:color="auto"/>
            </w:tcBorders>
            <w:shd w:val="clear" w:color="auto" w:fill="auto"/>
            <w:noWrap/>
            <w:vAlign w:val="bottom"/>
            <w:hideMark/>
          </w:tcPr>
          <w:p w14:paraId="27B0A339"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8.0</w:t>
            </w:r>
          </w:p>
        </w:tc>
        <w:tc>
          <w:tcPr>
            <w:tcW w:w="897" w:type="dxa"/>
            <w:gridSpan w:val="2"/>
            <w:tcBorders>
              <w:top w:val="nil"/>
              <w:left w:val="nil"/>
              <w:bottom w:val="single" w:sz="4" w:space="0" w:color="auto"/>
              <w:right w:val="single" w:sz="4" w:space="0" w:color="auto"/>
            </w:tcBorders>
            <w:shd w:val="clear" w:color="000000" w:fill="D9D9D9"/>
            <w:noWrap/>
            <w:vAlign w:val="bottom"/>
            <w:hideMark/>
          </w:tcPr>
          <w:p w14:paraId="3E729481"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59.2</w:t>
            </w:r>
          </w:p>
        </w:tc>
        <w:tc>
          <w:tcPr>
            <w:tcW w:w="1292" w:type="dxa"/>
            <w:gridSpan w:val="2"/>
            <w:tcBorders>
              <w:top w:val="nil"/>
              <w:left w:val="nil"/>
              <w:bottom w:val="single" w:sz="4" w:space="0" w:color="auto"/>
              <w:right w:val="single" w:sz="4" w:space="0" w:color="auto"/>
            </w:tcBorders>
            <w:shd w:val="clear" w:color="auto" w:fill="auto"/>
            <w:noWrap/>
            <w:hideMark/>
          </w:tcPr>
          <w:p w14:paraId="4CB7E7B0"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23 (0.48)</w:t>
            </w:r>
          </w:p>
        </w:tc>
        <w:tc>
          <w:tcPr>
            <w:tcW w:w="955" w:type="dxa"/>
            <w:gridSpan w:val="2"/>
            <w:tcBorders>
              <w:top w:val="nil"/>
              <w:left w:val="nil"/>
              <w:bottom w:val="single" w:sz="4" w:space="0" w:color="auto"/>
              <w:right w:val="single" w:sz="4" w:space="0" w:color="auto"/>
            </w:tcBorders>
            <w:shd w:val="clear" w:color="auto" w:fill="auto"/>
            <w:noWrap/>
            <w:vAlign w:val="bottom"/>
            <w:hideMark/>
          </w:tcPr>
          <w:p w14:paraId="46402813"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3.35</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264E3247"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0.919</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20EB8B50"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6.3</w:t>
            </w:r>
          </w:p>
        </w:tc>
        <w:tc>
          <w:tcPr>
            <w:tcW w:w="1260" w:type="dxa"/>
            <w:gridSpan w:val="2"/>
            <w:tcBorders>
              <w:top w:val="nil"/>
              <w:left w:val="nil"/>
              <w:bottom w:val="single" w:sz="4" w:space="0" w:color="auto"/>
              <w:right w:val="single" w:sz="4" w:space="0" w:color="auto"/>
            </w:tcBorders>
            <w:shd w:val="clear" w:color="000000" w:fill="D9D9D9"/>
            <w:noWrap/>
            <w:vAlign w:val="bottom"/>
            <w:hideMark/>
          </w:tcPr>
          <w:p w14:paraId="074C346A"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59.5</w:t>
            </w:r>
          </w:p>
        </w:tc>
        <w:tc>
          <w:tcPr>
            <w:tcW w:w="1292" w:type="dxa"/>
            <w:tcBorders>
              <w:top w:val="nil"/>
              <w:left w:val="nil"/>
              <w:bottom w:val="single" w:sz="4" w:space="0" w:color="auto"/>
              <w:right w:val="single" w:sz="4" w:space="0" w:color="auto"/>
            </w:tcBorders>
            <w:shd w:val="clear" w:color="auto" w:fill="auto"/>
            <w:noWrap/>
            <w:hideMark/>
          </w:tcPr>
          <w:p w14:paraId="11836A67"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27 (0.47)</w:t>
            </w:r>
          </w:p>
        </w:tc>
      </w:tr>
      <w:tr w:rsidR="00403B07" w:rsidRPr="00734C53" w14:paraId="79B20D58" w14:textId="77777777" w:rsidTr="00B01272">
        <w:trPr>
          <w:trHeight w:val="276"/>
        </w:trPr>
        <w:tc>
          <w:tcPr>
            <w:tcW w:w="954" w:type="dxa"/>
            <w:gridSpan w:val="2"/>
            <w:tcBorders>
              <w:top w:val="nil"/>
              <w:left w:val="single" w:sz="4" w:space="0" w:color="auto"/>
              <w:bottom w:val="single" w:sz="4" w:space="0" w:color="auto"/>
              <w:right w:val="single" w:sz="4" w:space="0" w:color="auto"/>
            </w:tcBorders>
            <w:shd w:val="clear" w:color="auto" w:fill="auto"/>
            <w:noWrap/>
            <w:vAlign w:val="bottom"/>
            <w:hideMark/>
          </w:tcPr>
          <w:p w14:paraId="7CEC5679"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25</w:t>
            </w:r>
          </w:p>
        </w:tc>
        <w:tc>
          <w:tcPr>
            <w:tcW w:w="1355" w:type="dxa"/>
            <w:gridSpan w:val="2"/>
            <w:tcBorders>
              <w:top w:val="nil"/>
              <w:left w:val="nil"/>
              <w:bottom w:val="single" w:sz="4" w:space="0" w:color="auto"/>
              <w:right w:val="single" w:sz="4" w:space="0" w:color="auto"/>
            </w:tcBorders>
            <w:shd w:val="clear" w:color="auto" w:fill="auto"/>
            <w:noWrap/>
            <w:vAlign w:val="bottom"/>
            <w:hideMark/>
          </w:tcPr>
          <w:p w14:paraId="11BE536D"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73</w:t>
            </w:r>
          </w:p>
        </w:tc>
        <w:tc>
          <w:tcPr>
            <w:tcW w:w="952" w:type="dxa"/>
            <w:gridSpan w:val="2"/>
            <w:tcBorders>
              <w:top w:val="nil"/>
              <w:left w:val="nil"/>
              <w:bottom w:val="single" w:sz="4" w:space="0" w:color="auto"/>
              <w:right w:val="single" w:sz="4" w:space="0" w:color="auto"/>
            </w:tcBorders>
            <w:shd w:val="clear" w:color="auto" w:fill="auto"/>
            <w:noWrap/>
            <w:vAlign w:val="bottom"/>
            <w:hideMark/>
          </w:tcPr>
          <w:p w14:paraId="4D932CA0"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2.89</w:t>
            </w:r>
          </w:p>
        </w:tc>
        <w:tc>
          <w:tcPr>
            <w:tcW w:w="970" w:type="dxa"/>
            <w:tcBorders>
              <w:top w:val="nil"/>
              <w:left w:val="nil"/>
              <w:bottom w:val="single" w:sz="4" w:space="0" w:color="auto"/>
              <w:right w:val="single" w:sz="4" w:space="0" w:color="auto"/>
            </w:tcBorders>
            <w:shd w:val="clear" w:color="auto" w:fill="auto"/>
            <w:noWrap/>
            <w:vAlign w:val="bottom"/>
            <w:hideMark/>
          </w:tcPr>
          <w:p w14:paraId="2223E086"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1.110</w:t>
            </w:r>
          </w:p>
        </w:tc>
        <w:tc>
          <w:tcPr>
            <w:tcW w:w="847" w:type="dxa"/>
            <w:gridSpan w:val="2"/>
            <w:tcBorders>
              <w:top w:val="nil"/>
              <w:left w:val="nil"/>
              <w:bottom w:val="single" w:sz="4" w:space="0" w:color="auto"/>
              <w:right w:val="single" w:sz="4" w:space="0" w:color="auto"/>
            </w:tcBorders>
            <w:shd w:val="clear" w:color="auto" w:fill="auto"/>
            <w:noWrap/>
            <w:vAlign w:val="bottom"/>
            <w:hideMark/>
          </w:tcPr>
          <w:p w14:paraId="55694BD2"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16.3</w:t>
            </w:r>
          </w:p>
        </w:tc>
        <w:tc>
          <w:tcPr>
            <w:tcW w:w="897" w:type="dxa"/>
            <w:gridSpan w:val="2"/>
            <w:tcBorders>
              <w:top w:val="nil"/>
              <w:left w:val="nil"/>
              <w:bottom w:val="single" w:sz="4" w:space="0" w:color="auto"/>
              <w:right w:val="single" w:sz="4" w:space="0" w:color="auto"/>
            </w:tcBorders>
            <w:shd w:val="clear" w:color="000000" w:fill="D9D9D9"/>
            <w:noWrap/>
            <w:vAlign w:val="bottom"/>
            <w:hideMark/>
          </w:tcPr>
          <w:p w14:paraId="438E9AA5"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40.4</w:t>
            </w:r>
          </w:p>
        </w:tc>
        <w:tc>
          <w:tcPr>
            <w:tcW w:w="1292" w:type="dxa"/>
            <w:gridSpan w:val="2"/>
            <w:tcBorders>
              <w:top w:val="nil"/>
              <w:left w:val="nil"/>
              <w:bottom w:val="single" w:sz="4" w:space="0" w:color="auto"/>
              <w:right w:val="single" w:sz="4" w:space="0" w:color="auto"/>
            </w:tcBorders>
            <w:shd w:val="clear" w:color="auto" w:fill="auto"/>
            <w:noWrap/>
            <w:hideMark/>
          </w:tcPr>
          <w:p w14:paraId="50CF803C"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28 (0.57)</w:t>
            </w:r>
          </w:p>
        </w:tc>
        <w:tc>
          <w:tcPr>
            <w:tcW w:w="955" w:type="dxa"/>
            <w:gridSpan w:val="2"/>
            <w:tcBorders>
              <w:top w:val="nil"/>
              <w:left w:val="nil"/>
              <w:bottom w:val="single" w:sz="4" w:space="0" w:color="auto"/>
              <w:right w:val="single" w:sz="4" w:space="0" w:color="auto"/>
            </w:tcBorders>
            <w:shd w:val="clear" w:color="auto" w:fill="auto"/>
            <w:noWrap/>
            <w:vAlign w:val="bottom"/>
            <w:hideMark/>
          </w:tcPr>
          <w:p w14:paraId="437764E6"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2.89</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5666A2FF"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1.066</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3A87E981"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14.5</w:t>
            </w:r>
          </w:p>
        </w:tc>
        <w:tc>
          <w:tcPr>
            <w:tcW w:w="1260" w:type="dxa"/>
            <w:gridSpan w:val="2"/>
            <w:tcBorders>
              <w:top w:val="nil"/>
              <w:left w:val="nil"/>
              <w:bottom w:val="single" w:sz="4" w:space="0" w:color="auto"/>
              <w:right w:val="single" w:sz="4" w:space="0" w:color="auto"/>
            </w:tcBorders>
            <w:shd w:val="clear" w:color="000000" w:fill="D9D9D9"/>
            <w:noWrap/>
            <w:vAlign w:val="bottom"/>
            <w:hideMark/>
          </w:tcPr>
          <w:p w14:paraId="0B15BDAD"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37.3</w:t>
            </w:r>
          </w:p>
        </w:tc>
        <w:tc>
          <w:tcPr>
            <w:tcW w:w="1292" w:type="dxa"/>
            <w:tcBorders>
              <w:top w:val="nil"/>
              <w:left w:val="nil"/>
              <w:bottom w:val="single" w:sz="4" w:space="0" w:color="auto"/>
              <w:right w:val="single" w:sz="4" w:space="0" w:color="auto"/>
            </w:tcBorders>
            <w:shd w:val="clear" w:color="auto" w:fill="auto"/>
            <w:noWrap/>
            <w:hideMark/>
          </w:tcPr>
          <w:p w14:paraId="5C1A5815"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28 (0.51)</w:t>
            </w:r>
          </w:p>
        </w:tc>
      </w:tr>
      <w:tr w:rsidR="00403B07" w:rsidRPr="00734C53" w14:paraId="42C784CF" w14:textId="77777777" w:rsidTr="00B01272">
        <w:trPr>
          <w:trHeight w:val="276"/>
        </w:trPr>
        <w:tc>
          <w:tcPr>
            <w:tcW w:w="954" w:type="dxa"/>
            <w:gridSpan w:val="2"/>
            <w:tcBorders>
              <w:top w:val="nil"/>
              <w:left w:val="single" w:sz="4" w:space="0" w:color="auto"/>
              <w:bottom w:val="single" w:sz="4" w:space="0" w:color="auto"/>
              <w:right w:val="single" w:sz="4" w:space="0" w:color="auto"/>
            </w:tcBorders>
            <w:shd w:val="clear" w:color="auto" w:fill="auto"/>
            <w:noWrap/>
            <w:vAlign w:val="bottom"/>
            <w:hideMark/>
          </w:tcPr>
          <w:p w14:paraId="3EB6E281"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26</w:t>
            </w:r>
          </w:p>
        </w:tc>
        <w:tc>
          <w:tcPr>
            <w:tcW w:w="1355" w:type="dxa"/>
            <w:gridSpan w:val="2"/>
            <w:tcBorders>
              <w:top w:val="nil"/>
              <w:left w:val="nil"/>
              <w:bottom w:val="single" w:sz="4" w:space="0" w:color="auto"/>
              <w:right w:val="single" w:sz="4" w:space="0" w:color="auto"/>
            </w:tcBorders>
            <w:shd w:val="clear" w:color="auto" w:fill="auto"/>
            <w:noWrap/>
            <w:vAlign w:val="bottom"/>
            <w:hideMark/>
          </w:tcPr>
          <w:p w14:paraId="091C3A52"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93.5</w:t>
            </w:r>
          </w:p>
        </w:tc>
        <w:tc>
          <w:tcPr>
            <w:tcW w:w="952" w:type="dxa"/>
            <w:gridSpan w:val="2"/>
            <w:tcBorders>
              <w:top w:val="nil"/>
              <w:left w:val="nil"/>
              <w:bottom w:val="single" w:sz="4" w:space="0" w:color="auto"/>
              <w:right w:val="single" w:sz="4" w:space="0" w:color="auto"/>
            </w:tcBorders>
            <w:shd w:val="clear" w:color="auto" w:fill="auto"/>
            <w:noWrap/>
            <w:vAlign w:val="bottom"/>
            <w:hideMark/>
          </w:tcPr>
          <w:p w14:paraId="1AF60BE5"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2.96</w:t>
            </w:r>
          </w:p>
        </w:tc>
        <w:tc>
          <w:tcPr>
            <w:tcW w:w="970" w:type="dxa"/>
            <w:tcBorders>
              <w:top w:val="nil"/>
              <w:left w:val="nil"/>
              <w:bottom w:val="single" w:sz="4" w:space="0" w:color="auto"/>
              <w:right w:val="single" w:sz="4" w:space="0" w:color="auto"/>
            </w:tcBorders>
            <w:shd w:val="clear" w:color="auto" w:fill="auto"/>
            <w:noWrap/>
            <w:vAlign w:val="bottom"/>
            <w:hideMark/>
          </w:tcPr>
          <w:p w14:paraId="6C331B31"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0.943</w:t>
            </w:r>
          </w:p>
        </w:tc>
        <w:tc>
          <w:tcPr>
            <w:tcW w:w="847" w:type="dxa"/>
            <w:gridSpan w:val="2"/>
            <w:tcBorders>
              <w:top w:val="nil"/>
              <w:left w:val="nil"/>
              <w:bottom w:val="single" w:sz="4" w:space="0" w:color="auto"/>
              <w:right w:val="single" w:sz="4" w:space="0" w:color="auto"/>
            </w:tcBorders>
            <w:shd w:val="clear" w:color="auto" w:fill="auto"/>
            <w:noWrap/>
            <w:vAlign w:val="bottom"/>
            <w:hideMark/>
          </w:tcPr>
          <w:p w14:paraId="7FA7202E"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9.1</w:t>
            </w:r>
          </w:p>
        </w:tc>
        <w:tc>
          <w:tcPr>
            <w:tcW w:w="897" w:type="dxa"/>
            <w:gridSpan w:val="2"/>
            <w:tcBorders>
              <w:top w:val="nil"/>
              <w:left w:val="nil"/>
              <w:bottom w:val="single" w:sz="4" w:space="0" w:color="auto"/>
              <w:right w:val="single" w:sz="4" w:space="0" w:color="auto"/>
            </w:tcBorders>
            <w:shd w:val="clear" w:color="000000" w:fill="D9D9D9"/>
            <w:noWrap/>
            <w:vAlign w:val="bottom"/>
            <w:hideMark/>
          </w:tcPr>
          <w:p w14:paraId="498A8ECE"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33.3</w:t>
            </w:r>
          </w:p>
        </w:tc>
        <w:tc>
          <w:tcPr>
            <w:tcW w:w="1292" w:type="dxa"/>
            <w:gridSpan w:val="2"/>
            <w:tcBorders>
              <w:top w:val="nil"/>
              <w:left w:val="nil"/>
              <w:bottom w:val="single" w:sz="4" w:space="0" w:color="auto"/>
              <w:right w:val="single" w:sz="4" w:space="0" w:color="auto"/>
            </w:tcBorders>
            <w:shd w:val="clear" w:color="000000" w:fill="D9D9D9"/>
            <w:noWrap/>
            <w:hideMark/>
          </w:tcPr>
          <w:p w14:paraId="639545AF"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27 (0.64)</w:t>
            </w:r>
          </w:p>
        </w:tc>
        <w:tc>
          <w:tcPr>
            <w:tcW w:w="955" w:type="dxa"/>
            <w:gridSpan w:val="2"/>
            <w:tcBorders>
              <w:top w:val="nil"/>
              <w:left w:val="nil"/>
              <w:bottom w:val="single" w:sz="4" w:space="0" w:color="auto"/>
              <w:right w:val="single" w:sz="4" w:space="0" w:color="auto"/>
            </w:tcBorders>
            <w:shd w:val="clear" w:color="auto" w:fill="auto"/>
            <w:noWrap/>
            <w:vAlign w:val="bottom"/>
            <w:hideMark/>
          </w:tcPr>
          <w:p w14:paraId="709F2409"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3.00</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243668D4"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0.936</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566054B9"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8.3</w:t>
            </w:r>
          </w:p>
        </w:tc>
        <w:tc>
          <w:tcPr>
            <w:tcW w:w="1260" w:type="dxa"/>
            <w:gridSpan w:val="2"/>
            <w:tcBorders>
              <w:top w:val="nil"/>
              <w:left w:val="nil"/>
              <w:bottom w:val="single" w:sz="4" w:space="0" w:color="auto"/>
              <w:right w:val="single" w:sz="4" w:space="0" w:color="auto"/>
            </w:tcBorders>
            <w:shd w:val="clear" w:color="000000" w:fill="D9D9D9"/>
            <w:noWrap/>
            <w:vAlign w:val="bottom"/>
            <w:hideMark/>
          </w:tcPr>
          <w:p w14:paraId="489F1087"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35.6</w:t>
            </w:r>
          </w:p>
        </w:tc>
        <w:tc>
          <w:tcPr>
            <w:tcW w:w="1292" w:type="dxa"/>
            <w:tcBorders>
              <w:top w:val="nil"/>
              <w:left w:val="nil"/>
              <w:bottom w:val="single" w:sz="4" w:space="0" w:color="auto"/>
              <w:right w:val="single" w:sz="4" w:space="0" w:color="auto"/>
            </w:tcBorders>
            <w:shd w:val="clear" w:color="000000" w:fill="D9D9D9"/>
            <w:noWrap/>
            <w:hideMark/>
          </w:tcPr>
          <w:p w14:paraId="1949E449"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27 (0.67)</w:t>
            </w:r>
          </w:p>
        </w:tc>
      </w:tr>
      <w:tr w:rsidR="00403B07" w:rsidRPr="00734C53" w14:paraId="5ED25AA0" w14:textId="77777777" w:rsidTr="00B01272">
        <w:trPr>
          <w:trHeight w:val="276"/>
        </w:trPr>
        <w:tc>
          <w:tcPr>
            <w:tcW w:w="954" w:type="dxa"/>
            <w:gridSpan w:val="2"/>
            <w:tcBorders>
              <w:top w:val="nil"/>
              <w:left w:val="single" w:sz="4" w:space="0" w:color="auto"/>
              <w:bottom w:val="single" w:sz="4" w:space="0" w:color="auto"/>
              <w:right w:val="single" w:sz="4" w:space="0" w:color="auto"/>
            </w:tcBorders>
            <w:shd w:val="clear" w:color="auto" w:fill="auto"/>
            <w:noWrap/>
            <w:vAlign w:val="bottom"/>
            <w:hideMark/>
          </w:tcPr>
          <w:p w14:paraId="7B3ECD31"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27</w:t>
            </w:r>
          </w:p>
        </w:tc>
        <w:tc>
          <w:tcPr>
            <w:tcW w:w="1355" w:type="dxa"/>
            <w:gridSpan w:val="2"/>
            <w:tcBorders>
              <w:top w:val="nil"/>
              <w:left w:val="nil"/>
              <w:bottom w:val="single" w:sz="4" w:space="0" w:color="auto"/>
              <w:right w:val="single" w:sz="4" w:space="0" w:color="auto"/>
            </w:tcBorders>
            <w:shd w:val="clear" w:color="auto" w:fill="auto"/>
            <w:noWrap/>
            <w:vAlign w:val="bottom"/>
            <w:hideMark/>
          </w:tcPr>
          <w:p w14:paraId="3352C265"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89.9</w:t>
            </w:r>
          </w:p>
        </w:tc>
        <w:tc>
          <w:tcPr>
            <w:tcW w:w="952" w:type="dxa"/>
            <w:gridSpan w:val="2"/>
            <w:tcBorders>
              <w:top w:val="nil"/>
              <w:left w:val="nil"/>
              <w:bottom w:val="single" w:sz="4" w:space="0" w:color="auto"/>
              <w:right w:val="single" w:sz="4" w:space="0" w:color="auto"/>
            </w:tcBorders>
            <w:shd w:val="clear" w:color="auto" w:fill="auto"/>
            <w:noWrap/>
            <w:vAlign w:val="bottom"/>
            <w:hideMark/>
          </w:tcPr>
          <w:p w14:paraId="08F85E42"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2.83</w:t>
            </w:r>
          </w:p>
        </w:tc>
        <w:tc>
          <w:tcPr>
            <w:tcW w:w="970" w:type="dxa"/>
            <w:tcBorders>
              <w:top w:val="nil"/>
              <w:left w:val="nil"/>
              <w:bottom w:val="single" w:sz="4" w:space="0" w:color="auto"/>
              <w:right w:val="single" w:sz="4" w:space="0" w:color="auto"/>
            </w:tcBorders>
            <w:shd w:val="clear" w:color="auto" w:fill="auto"/>
            <w:noWrap/>
            <w:vAlign w:val="bottom"/>
            <w:hideMark/>
          </w:tcPr>
          <w:p w14:paraId="3B44BAFB"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0.979</w:t>
            </w:r>
          </w:p>
        </w:tc>
        <w:tc>
          <w:tcPr>
            <w:tcW w:w="847" w:type="dxa"/>
            <w:gridSpan w:val="2"/>
            <w:tcBorders>
              <w:top w:val="nil"/>
              <w:left w:val="nil"/>
              <w:bottom w:val="single" w:sz="4" w:space="0" w:color="auto"/>
              <w:right w:val="single" w:sz="4" w:space="0" w:color="auto"/>
            </w:tcBorders>
            <w:shd w:val="clear" w:color="auto" w:fill="auto"/>
            <w:noWrap/>
            <w:vAlign w:val="bottom"/>
            <w:hideMark/>
          </w:tcPr>
          <w:p w14:paraId="56C60114"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11.4</w:t>
            </w:r>
          </w:p>
        </w:tc>
        <w:tc>
          <w:tcPr>
            <w:tcW w:w="897" w:type="dxa"/>
            <w:gridSpan w:val="2"/>
            <w:tcBorders>
              <w:top w:val="nil"/>
              <w:left w:val="nil"/>
              <w:bottom w:val="single" w:sz="4" w:space="0" w:color="auto"/>
              <w:right w:val="single" w:sz="4" w:space="0" w:color="auto"/>
            </w:tcBorders>
            <w:shd w:val="clear" w:color="auto" w:fill="auto"/>
            <w:noWrap/>
            <w:vAlign w:val="bottom"/>
            <w:hideMark/>
          </w:tcPr>
          <w:p w14:paraId="05244A90"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29.3</w:t>
            </w:r>
          </w:p>
        </w:tc>
        <w:tc>
          <w:tcPr>
            <w:tcW w:w="1292" w:type="dxa"/>
            <w:gridSpan w:val="2"/>
            <w:tcBorders>
              <w:top w:val="nil"/>
              <w:left w:val="nil"/>
              <w:bottom w:val="single" w:sz="4" w:space="0" w:color="auto"/>
              <w:right w:val="single" w:sz="4" w:space="0" w:color="auto"/>
            </w:tcBorders>
            <w:shd w:val="clear" w:color="000000" w:fill="D9D9D9"/>
            <w:noWrap/>
            <w:hideMark/>
          </w:tcPr>
          <w:p w14:paraId="5C4D382C"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26 (0.64)</w:t>
            </w:r>
          </w:p>
        </w:tc>
        <w:tc>
          <w:tcPr>
            <w:tcW w:w="955" w:type="dxa"/>
            <w:gridSpan w:val="2"/>
            <w:tcBorders>
              <w:top w:val="nil"/>
              <w:left w:val="nil"/>
              <w:bottom w:val="single" w:sz="4" w:space="0" w:color="auto"/>
              <w:right w:val="single" w:sz="4" w:space="0" w:color="auto"/>
            </w:tcBorders>
            <w:shd w:val="clear" w:color="auto" w:fill="auto"/>
            <w:noWrap/>
            <w:vAlign w:val="bottom"/>
            <w:hideMark/>
          </w:tcPr>
          <w:p w14:paraId="1970E33A"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2.83</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1AC9E97C"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1.020</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4F0F037A"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12.9</w:t>
            </w:r>
          </w:p>
        </w:tc>
        <w:tc>
          <w:tcPr>
            <w:tcW w:w="1260" w:type="dxa"/>
            <w:gridSpan w:val="2"/>
            <w:tcBorders>
              <w:top w:val="nil"/>
              <w:left w:val="nil"/>
              <w:bottom w:val="single" w:sz="4" w:space="0" w:color="auto"/>
              <w:right w:val="single" w:sz="4" w:space="0" w:color="auto"/>
            </w:tcBorders>
            <w:shd w:val="clear" w:color="000000" w:fill="D9D9D9"/>
            <w:noWrap/>
            <w:vAlign w:val="bottom"/>
            <w:hideMark/>
          </w:tcPr>
          <w:p w14:paraId="0E053976"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31.9</w:t>
            </w:r>
          </w:p>
        </w:tc>
        <w:tc>
          <w:tcPr>
            <w:tcW w:w="1292" w:type="dxa"/>
            <w:tcBorders>
              <w:top w:val="nil"/>
              <w:left w:val="nil"/>
              <w:bottom w:val="single" w:sz="4" w:space="0" w:color="auto"/>
              <w:right w:val="single" w:sz="4" w:space="0" w:color="auto"/>
            </w:tcBorders>
            <w:shd w:val="clear" w:color="000000" w:fill="D9D9D9"/>
            <w:noWrap/>
            <w:hideMark/>
          </w:tcPr>
          <w:p w14:paraId="797A2B0C"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26 (0.67)</w:t>
            </w:r>
          </w:p>
        </w:tc>
      </w:tr>
    </w:tbl>
    <w:p w14:paraId="46EBA249" w14:textId="77777777" w:rsidR="00403B07" w:rsidRDefault="00403B07" w:rsidP="00403B07">
      <w:pPr>
        <w:rPr>
          <w:rFonts w:ascii="Calibri" w:eastAsia="Calibri" w:hAnsi="Calibri" w:cs="Times New Roman"/>
        </w:rPr>
      </w:pPr>
    </w:p>
    <w:p w14:paraId="58BDB584" w14:textId="77777777" w:rsidR="00403B07" w:rsidRDefault="00403B07" w:rsidP="00403B07">
      <w:pPr>
        <w:rPr>
          <w:rFonts w:ascii="Calibri" w:eastAsia="Calibri" w:hAnsi="Calibri" w:cs="Times New Roman"/>
        </w:rPr>
      </w:pPr>
    </w:p>
    <w:tbl>
      <w:tblPr>
        <w:tblW w:w="12727" w:type="dxa"/>
        <w:tblLayout w:type="fixed"/>
        <w:tblLook w:val="04A0" w:firstRow="1" w:lastRow="0" w:firstColumn="1" w:lastColumn="0" w:noHBand="0" w:noVBand="1"/>
      </w:tblPr>
      <w:tblGrid>
        <w:gridCol w:w="837"/>
        <w:gridCol w:w="1397"/>
        <w:gridCol w:w="980"/>
        <w:gridCol w:w="863"/>
        <w:gridCol w:w="955"/>
        <w:gridCol w:w="980"/>
        <w:gridCol w:w="1338"/>
        <w:gridCol w:w="990"/>
        <w:gridCol w:w="989"/>
        <w:gridCol w:w="989"/>
        <w:gridCol w:w="989"/>
        <w:gridCol w:w="1414"/>
        <w:gridCol w:w="6"/>
      </w:tblGrid>
      <w:tr w:rsidR="00403B07" w:rsidRPr="00734C53" w14:paraId="27A934CF" w14:textId="77777777" w:rsidTr="00B01272">
        <w:trPr>
          <w:trHeight w:val="187"/>
        </w:trPr>
        <w:tc>
          <w:tcPr>
            <w:tcW w:w="837" w:type="dxa"/>
            <w:tcBorders>
              <w:top w:val="nil"/>
              <w:left w:val="nil"/>
              <w:bottom w:val="nil"/>
              <w:right w:val="nil"/>
            </w:tcBorders>
            <w:shd w:val="clear" w:color="auto" w:fill="auto"/>
            <w:noWrap/>
            <w:vAlign w:val="bottom"/>
            <w:hideMark/>
          </w:tcPr>
          <w:p w14:paraId="00E9717B" w14:textId="77777777" w:rsidR="00403B07" w:rsidRPr="00734C53" w:rsidRDefault="00403B07" w:rsidP="00B01272">
            <w:pPr>
              <w:spacing w:after="0" w:line="240" w:lineRule="auto"/>
              <w:rPr>
                <w:rFonts w:ascii="Times New Roman" w:eastAsia="Times New Roman" w:hAnsi="Times New Roman" w:cs="Times New Roman"/>
                <w:sz w:val="24"/>
                <w:szCs w:val="24"/>
              </w:rPr>
            </w:pPr>
          </w:p>
        </w:tc>
        <w:tc>
          <w:tcPr>
            <w:tcW w:w="1397" w:type="dxa"/>
            <w:tcBorders>
              <w:top w:val="nil"/>
              <w:left w:val="nil"/>
              <w:bottom w:val="nil"/>
              <w:right w:val="nil"/>
            </w:tcBorders>
            <w:shd w:val="clear" w:color="auto" w:fill="auto"/>
            <w:noWrap/>
            <w:vAlign w:val="bottom"/>
            <w:hideMark/>
          </w:tcPr>
          <w:p w14:paraId="16B33E13" w14:textId="77777777" w:rsidR="00403B07" w:rsidRPr="00734C53" w:rsidRDefault="00403B07" w:rsidP="00B01272">
            <w:pPr>
              <w:spacing w:after="0" w:line="240" w:lineRule="auto"/>
              <w:rPr>
                <w:rFonts w:ascii="Times New Roman" w:eastAsia="Times New Roman" w:hAnsi="Times New Roman" w:cs="Times New Roman"/>
                <w:sz w:val="20"/>
                <w:szCs w:val="20"/>
              </w:rPr>
            </w:pPr>
          </w:p>
        </w:tc>
        <w:tc>
          <w:tcPr>
            <w:tcW w:w="10493"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75610FD4" w14:textId="77777777" w:rsidR="00403B07" w:rsidRPr="00734C53" w:rsidRDefault="00403B07" w:rsidP="00B01272">
            <w:pPr>
              <w:spacing w:after="0" w:line="240" w:lineRule="auto"/>
              <w:jc w:val="center"/>
              <w:rPr>
                <w:rFonts w:ascii="Calibri" w:eastAsia="Times New Roman" w:hAnsi="Calibri" w:cs="Times New Roman"/>
                <w:b/>
                <w:bCs/>
                <w:color w:val="000000"/>
              </w:rPr>
            </w:pPr>
            <w:r w:rsidRPr="00734C53">
              <w:rPr>
                <w:rFonts w:ascii="Calibri" w:eastAsia="Times New Roman" w:hAnsi="Calibri" w:cs="Times New Roman"/>
                <w:b/>
                <w:bCs/>
                <w:color w:val="000000"/>
              </w:rPr>
              <w:t xml:space="preserve">12 months MLQ items </w:t>
            </w:r>
          </w:p>
        </w:tc>
      </w:tr>
      <w:tr w:rsidR="00403B07" w:rsidRPr="00734C53" w14:paraId="6D81A84A" w14:textId="77777777" w:rsidTr="00B01272">
        <w:trPr>
          <w:trHeight w:val="195"/>
        </w:trPr>
        <w:tc>
          <w:tcPr>
            <w:tcW w:w="837" w:type="dxa"/>
            <w:tcBorders>
              <w:top w:val="nil"/>
              <w:left w:val="nil"/>
              <w:bottom w:val="nil"/>
              <w:right w:val="nil"/>
            </w:tcBorders>
            <w:shd w:val="clear" w:color="auto" w:fill="auto"/>
            <w:noWrap/>
            <w:vAlign w:val="bottom"/>
            <w:hideMark/>
          </w:tcPr>
          <w:p w14:paraId="215BC3F1" w14:textId="77777777" w:rsidR="00403B07" w:rsidRPr="00734C53" w:rsidRDefault="00403B07" w:rsidP="00B01272">
            <w:pPr>
              <w:spacing w:after="0" w:line="240" w:lineRule="auto"/>
              <w:jc w:val="center"/>
              <w:rPr>
                <w:rFonts w:ascii="Calibri" w:eastAsia="Times New Roman" w:hAnsi="Calibri" w:cs="Times New Roman"/>
                <w:b/>
                <w:bCs/>
                <w:color w:val="000000"/>
              </w:rPr>
            </w:pPr>
          </w:p>
        </w:tc>
        <w:tc>
          <w:tcPr>
            <w:tcW w:w="1397" w:type="dxa"/>
            <w:tcBorders>
              <w:top w:val="nil"/>
              <w:left w:val="nil"/>
              <w:bottom w:val="single" w:sz="4" w:space="0" w:color="auto"/>
              <w:right w:val="single" w:sz="4" w:space="0" w:color="auto"/>
            </w:tcBorders>
            <w:shd w:val="clear" w:color="auto" w:fill="auto"/>
            <w:noWrap/>
            <w:vAlign w:val="bottom"/>
            <w:hideMark/>
          </w:tcPr>
          <w:p w14:paraId="5878A6C0" w14:textId="77777777" w:rsidR="00403B07" w:rsidRPr="00734C53" w:rsidRDefault="00403B07" w:rsidP="00B01272">
            <w:pPr>
              <w:spacing w:after="0" w:line="240" w:lineRule="auto"/>
              <w:jc w:val="center"/>
              <w:rPr>
                <w:rFonts w:ascii="Calibri" w:eastAsia="Times New Roman" w:hAnsi="Calibri" w:cs="Times New Roman"/>
                <w:b/>
                <w:bCs/>
                <w:color w:val="000000"/>
                <w:sz w:val="24"/>
                <w:szCs w:val="24"/>
              </w:rPr>
            </w:pPr>
            <w:r w:rsidRPr="00734C53">
              <w:rPr>
                <w:rFonts w:ascii="Calibri" w:eastAsia="Times New Roman" w:hAnsi="Calibri" w:cs="Times New Roman"/>
                <w:b/>
                <w:bCs/>
                <w:color w:val="000000"/>
                <w:sz w:val="24"/>
                <w:szCs w:val="24"/>
              </w:rPr>
              <w:t> </w:t>
            </w:r>
          </w:p>
        </w:tc>
        <w:tc>
          <w:tcPr>
            <w:tcW w:w="5116"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27A2086A" w14:textId="77777777" w:rsidR="00403B07" w:rsidRPr="00734C53" w:rsidRDefault="00403B07" w:rsidP="00B01272">
            <w:pPr>
              <w:spacing w:after="0" w:line="240" w:lineRule="auto"/>
              <w:jc w:val="center"/>
              <w:rPr>
                <w:rFonts w:ascii="Calibri" w:eastAsia="Times New Roman" w:hAnsi="Calibri" w:cs="Times New Roman"/>
                <w:b/>
                <w:bCs/>
                <w:color w:val="000000"/>
                <w:sz w:val="24"/>
                <w:szCs w:val="24"/>
              </w:rPr>
            </w:pPr>
            <w:r w:rsidRPr="00734C53">
              <w:rPr>
                <w:rFonts w:ascii="Calibri" w:eastAsia="Times New Roman" w:hAnsi="Calibri" w:cs="Times New Roman"/>
                <w:b/>
                <w:bCs/>
                <w:color w:val="000000"/>
                <w:sz w:val="24"/>
                <w:szCs w:val="24"/>
              </w:rPr>
              <w:t xml:space="preserve"> data set A</w:t>
            </w:r>
          </w:p>
        </w:tc>
        <w:tc>
          <w:tcPr>
            <w:tcW w:w="5377"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0E299D3B" w14:textId="77777777" w:rsidR="00403B07" w:rsidRPr="00734C53" w:rsidRDefault="00403B07" w:rsidP="00B01272">
            <w:pPr>
              <w:spacing w:after="0" w:line="240" w:lineRule="auto"/>
              <w:jc w:val="center"/>
              <w:rPr>
                <w:rFonts w:ascii="Calibri" w:eastAsia="Times New Roman" w:hAnsi="Calibri" w:cs="Times New Roman"/>
                <w:b/>
                <w:bCs/>
                <w:color w:val="000000"/>
                <w:sz w:val="24"/>
                <w:szCs w:val="24"/>
              </w:rPr>
            </w:pPr>
            <w:r w:rsidRPr="00734C53">
              <w:rPr>
                <w:rFonts w:ascii="Calibri" w:eastAsia="Times New Roman" w:hAnsi="Calibri" w:cs="Times New Roman"/>
                <w:b/>
                <w:bCs/>
                <w:color w:val="000000"/>
                <w:sz w:val="24"/>
                <w:szCs w:val="24"/>
              </w:rPr>
              <w:t xml:space="preserve"> data set B</w:t>
            </w:r>
          </w:p>
        </w:tc>
      </w:tr>
      <w:tr w:rsidR="00403B07" w:rsidRPr="00734C53" w14:paraId="00EFC338" w14:textId="77777777" w:rsidTr="00B01272">
        <w:trPr>
          <w:gridAfter w:val="1"/>
          <w:wAfter w:w="6" w:type="dxa"/>
          <w:trHeight w:val="914"/>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220024" w14:textId="77777777" w:rsidR="00403B07" w:rsidRPr="00734C53" w:rsidRDefault="00403B07" w:rsidP="00B01272">
            <w:pPr>
              <w:spacing w:after="0" w:line="240" w:lineRule="auto"/>
              <w:rPr>
                <w:rFonts w:ascii="Calibri" w:eastAsia="Times New Roman" w:hAnsi="Calibri" w:cs="Times New Roman"/>
                <w:b/>
                <w:bCs/>
                <w:color w:val="000000"/>
              </w:rPr>
            </w:pPr>
            <w:r w:rsidRPr="00734C53">
              <w:rPr>
                <w:rFonts w:ascii="Calibri" w:eastAsia="Times New Roman" w:hAnsi="Calibri" w:cs="Times New Roman"/>
                <w:b/>
                <w:bCs/>
                <w:color w:val="000000"/>
              </w:rPr>
              <w:t>MLQ item</w:t>
            </w:r>
          </w:p>
        </w:tc>
        <w:tc>
          <w:tcPr>
            <w:tcW w:w="1397" w:type="dxa"/>
            <w:tcBorders>
              <w:top w:val="nil"/>
              <w:left w:val="nil"/>
              <w:bottom w:val="single" w:sz="4" w:space="0" w:color="auto"/>
              <w:right w:val="single" w:sz="4" w:space="0" w:color="auto"/>
            </w:tcBorders>
            <w:shd w:val="clear" w:color="auto" w:fill="auto"/>
            <w:vAlign w:val="bottom"/>
            <w:hideMark/>
          </w:tcPr>
          <w:p w14:paraId="0D6C363B" w14:textId="77777777" w:rsidR="00403B07" w:rsidRPr="00734C53" w:rsidRDefault="00403B07" w:rsidP="00B01272">
            <w:pPr>
              <w:spacing w:after="0" w:line="240" w:lineRule="auto"/>
              <w:jc w:val="center"/>
              <w:rPr>
                <w:rFonts w:ascii="Calibri" w:eastAsia="Times New Roman" w:hAnsi="Calibri" w:cs="Times New Roman"/>
                <w:b/>
                <w:bCs/>
                <w:color w:val="000000"/>
              </w:rPr>
            </w:pPr>
            <w:r w:rsidRPr="00734C53">
              <w:rPr>
                <w:rFonts w:ascii="Calibri" w:eastAsia="Times New Roman" w:hAnsi="Calibri" w:cs="Times New Roman"/>
                <w:b/>
                <w:bCs/>
                <w:color w:val="000000"/>
              </w:rPr>
              <w:t>Flesch-Kincaid reading ease (&gt;60)</w:t>
            </w:r>
          </w:p>
        </w:tc>
        <w:tc>
          <w:tcPr>
            <w:tcW w:w="980" w:type="dxa"/>
            <w:tcBorders>
              <w:top w:val="nil"/>
              <w:left w:val="nil"/>
              <w:bottom w:val="single" w:sz="4" w:space="0" w:color="auto"/>
              <w:right w:val="single" w:sz="4" w:space="0" w:color="auto"/>
            </w:tcBorders>
            <w:shd w:val="clear" w:color="auto" w:fill="auto"/>
            <w:vAlign w:val="bottom"/>
            <w:hideMark/>
          </w:tcPr>
          <w:p w14:paraId="0B691E0C" w14:textId="77777777" w:rsidR="00403B07" w:rsidRPr="00734C53" w:rsidRDefault="00403B07" w:rsidP="00B01272">
            <w:pPr>
              <w:spacing w:after="0" w:line="240" w:lineRule="auto"/>
              <w:jc w:val="center"/>
              <w:rPr>
                <w:rFonts w:ascii="Calibri" w:eastAsia="Times New Roman" w:hAnsi="Calibri" w:cs="Times New Roman"/>
                <w:b/>
                <w:bCs/>
                <w:color w:val="000000"/>
              </w:rPr>
            </w:pPr>
            <w:r w:rsidRPr="00734C53">
              <w:rPr>
                <w:rFonts w:ascii="Calibri" w:eastAsia="Times New Roman" w:hAnsi="Calibri" w:cs="Times New Roman"/>
                <w:b/>
                <w:bCs/>
                <w:color w:val="000000"/>
              </w:rPr>
              <w:t>Mean (&gt;1.5 or &lt;3.5)</w:t>
            </w:r>
          </w:p>
        </w:tc>
        <w:tc>
          <w:tcPr>
            <w:tcW w:w="863" w:type="dxa"/>
            <w:tcBorders>
              <w:top w:val="nil"/>
              <w:left w:val="nil"/>
              <w:bottom w:val="single" w:sz="4" w:space="0" w:color="auto"/>
              <w:right w:val="single" w:sz="4" w:space="0" w:color="auto"/>
            </w:tcBorders>
            <w:shd w:val="clear" w:color="auto" w:fill="auto"/>
            <w:vAlign w:val="bottom"/>
            <w:hideMark/>
          </w:tcPr>
          <w:p w14:paraId="5AB27711" w14:textId="77777777" w:rsidR="00403B07" w:rsidRPr="00734C53" w:rsidRDefault="00403B07" w:rsidP="00B01272">
            <w:pPr>
              <w:spacing w:after="0" w:line="240" w:lineRule="auto"/>
              <w:jc w:val="center"/>
              <w:rPr>
                <w:rFonts w:ascii="Calibri" w:eastAsia="Times New Roman" w:hAnsi="Calibri" w:cs="Times New Roman"/>
                <w:b/>
                <w:bCs/>
                <w:color w:val="000000"/>
              </w:rPr>
            </w:pPr>
            <w:r w:rsidRPr="00734C53">
              <w:rPr>
                <w:rFonts w:ascii="Calibri" w:eastAsia="Times New Roman" w:hAnsi="Calibri" w:cs="Times New Roman"/>
                <w:b/>
                <w:bCs/>
                <w:color w:val="000000"/>
              </w:rPr>
              <w:t>SD  (&gt; 0.8 or &lt;1.8)</w:t>
            </w:r>
          </w:p>
        </w:tc>
        <w:tc>
          <w:tcPr>
            <w:tcW w:w="955" w:type="dxa"/>
            <w:tcBorders>
              <w:top w:val="nil"/>
              <w:left w:val="nil"/>
              <w:bottom w:val="single" w:sz="4" w:space="0" w:color="auto"/>
              <w:right w:val="single" w:sz="4" w:space="0" w:color="auto"/>
            </w:tcBorders>
            <w:shd w:val="clear" w:color="auto" w:fill="auto"/>
            <w:vAlign w:val="bottom"/>
            <w:hideMark/>
          </w:tcPr>
          <w:p w14:paraId="0B8EB6AC" w14:textId="77777777" w:rsidR="00403B07" w:rsidRPr="00734C53" w:rsidRDefault="00403B07" w:rsidP="00B01272">
            <w:pPr>
              <w:spacing w:after="0" w:line="240" w:lineRule="auto"/>
              <w:jc w:val="center"/>
              <w:rPr>
                <w:rFonts w:ascii="Calibri" w:eastAsia="Times New Roman" w:hAnsi="Calibri" w:cs="Times New Roman"/>
                <w:b/>
                <w:bCs/>
                <w:color w:val="000000"/>
              </w:rPr>
            </w:pPr>
            <w:r w:rsidRPr="00734C53">
              <w:rPr>
                <w:rFonts w:ascii="Calibri" w:eastAsia="Times New Roman" w:hAnsi="Calibri" w:cs="Times New Roman"/>
                <w:b/>
                <w:bCs/>
                <w:color w:val="000000"/>
              </w:rPr>
              <w:t>Floor %  (&lt;30%)</w:t>
            </w:r>
          </w:p>
        </w:tc>
        <w:tc>
          <w:tcPr>
            <w:tcW w:w="980" w:type="dxa"/>
            <w:tcBorders>
              <w:top w:val="nil"/>
              <w:left w:val="nil"/>
              <w:bottom w:val="single" w:sz="4" w:space="0" w:color="auto"/>
              <w:right w:val="single" w:sz="4" w:space="0" w:color="auto"/>
            </w:tcBorders>
            <w:shd w:val="clear" w:color="auto" w:fill="auto"/>
            <w:vAlign w:val="bottom"/>
            <w:hideMark/>
          </w:tcPr>
          <w:p w14:paraId="7D02A2BF" w14:textId="77777777" w:rsidR="00403B07" w:rsidRPr="00734C53" w:rsidRDefault="00403B07" w:rsidP="00B01272">
            <w:pPr>
              <w:spacing w:after="0" w:line="240" w:lineRule="auto"/>
              <w:jc w:val="center"/>
              <w:rPr>
                <w:rFonts w:ascii="Calibri" w:eastAsia="Times New Roman" w:hAnsi="Calibri" w:cs="Times New Roman"/>
                <w:b/>
                <w:bCs/>
                <w:color w:val="000000"/>
              </w:rPr>
            </w:pPr>
            <w:r w:rsidRPr="00734C53">
              <w:rPr>
                <w:rFonts w:ascii="Calibri" w:eastAsia="Times New Roman" w:hAnsi="Calibri" w:cs="Times New Roman"/>
                <w:b/>
                <w:bCs/>
                <w:color w:val="000000"/>
              </w:rPr>
              <w:t>Ceiling %  (&lt;30%)</w:t>
            </w:r>
          </w:p>
        </w:tc>
        <w:tc>
          <w:tcPr>
            <w:tcW w:w="1338" w:type="dxa"/>
            <w:tcBorders>
              <w:top w:val="nil"/>
              <w:left w:val="nil"/>
              <w:bottom w:val="single" w:sz="4" w:space="0" w:color="auto"/>
              <w:right w:val="single" w:sz="4" w:space="0" w:color="auto"/>
            </w:tcBorders>
            <w:shd w:val="clear" w:color="auto" w:fill="auto"/>
            <w:vAlign w:val="bottom"/>
            <w:hideMark/>
          </w:tcPr>
          <w:p w14:paraId="692A776A" w14:textId="77777777" w:rsidR="00403B07" w:rsidRPr="00734C53" w:rsidRDefault="00403B07" w:rsidP="00B01272">
            <w:pPr>
              <w:spacing w:after="0" w:line="240" w:lineRule="auto"/>
              <w:jc w:val="center"/>
              <w:rPr>
                <w:rFonts w:ascii="Calibri" w:eastAsia="Times New Roman" w:hAnsi="Calibri" w:cs="Times New Roman"/>
                <w:b/>
                <w:bCs/>
                <w:color w:val="000000"/>
              </w:rPr>
            </w:pPr>
            <w:r w:rsidRPr="00734C53">
              <w:rPr>
                <w:rFonts w:ascii="Calibri" w:eastAsia="Times New Roman" w:hAnsi="Calibri" w:cs="Times New Roman"/>
                <w:b/>
                <w:bCs/>
                <w:color w:val="000000"/>
              </w:rPr>
              <w:t xml:space="preserve">Highest pair item (correlation coefficient)  </w:t>
            </w:r>
          </w:p>
        </w:tc>
        <w:tc>
          <w:tcPr>
            <w:tcW w:w="990" w:type="dxa"/>
            <w:tcBorders>
              <w:top w:val="nil"/>
              <w:left w:val="nil"/>
              <w:bottom w:val="single" w:sz="4" w:space="0" w:color="auto"/>
              <w:right w:val="single" w:sz="4" w:space="0" w:color="auto"/>
            </w:tcBorders>
            <w:shd w:val="clear" w:color="auto" w:fill="auto"/>
            <w:vAlign w:val="bottom"/>
            <w:hideMark/>
          </w:tcPr>
          <w:p w14:paraId="1D340B6E" w14:textId="77777777" w:rsidR="00403B07" w:rsidRPr="00734C53" w:rsidRDefault="00403B07" w:rsidP="00B01272">
            <w:pPr>
              <w:spacing w:after="0" w:line="240" w:lineRule="auto"/>
              <w:jc w:val="center"/>
              <w:rPr>
                <w:rFonts w:ascii="Calibri" w:eastAsia="Times New Roman" w:hAnsi="Calibri" w:cs="Times New Roman"/>
                <w:b/>
                <w:bCs/>
                <w:color w:val="000000"/>
              </w:rPr>
            </w:pPr>
            <w:r w:rsidRPr="00734C53">
              <w:rPr>
                <w:rFonts w:ascii="Calibri" w:eastAsia="Times New Roman" w:hAnsi="Calibri" w:cs="Times New Roman"/>
                <w:b/>
                <w:bCs/>
                <w:color w:val="000000"/>
              </w:rPr>
              <w:t>Mean (&gt;1.5 or &lt;3.5)</w:t>
            </w:r>
          </w:p>
        </w:tc>
        <w:tc>
          <w:tcPr>
            <w:tcW w:w="989" w:type="dxa"/>
            <w:tcBorders>
              <w:top w:val="nil"/>
              <w:left w:val="nil"/>
              <w:bottom w:val="single" w:sz="4" w:space="0" w:color="auto"/>
              <w:right w:val="single" w:sz="4" w:space="0" w:color="auto"/>
            </w:tcBorders>
            <w:shd w:val="clear" w:color="auto" w:fill="auto"/>
            <w:vAlign w:val="bottom"/>
            <w:hideMark/>
          </w:tcPr>
          <w:p w14:paraId="70A74058" w14:textId="77777777" w:rsidR="00403B07" w:rsidRPr="00734C53" w:rsidRDefault="00403B07" w:rsidP="00B01272">
            <w:pPr>
              <w:spacing w:after="0" w:line="240" w:lineRule="auto"/>
              <w:jc w:val="center"/>
              <w:rPr>
                <w:rFonts w:ascii="Calibri" w:eastAsia="Times New Roman" w:hAnsi="Calibri" w:cs="Times New Roman"/>
                <w:b/>
                <w:bCs/>
                <w:color w:val="000000"/>
              </w:rPr>
            </w:pPr>
            <w:r w:rsidRPr="00734C53">
              <w:rPr>
                <w:rFonts w:ascii="Calibri" w:eastAsia="Times New Roman" w:hAnsi="Calibri" w:cs="Times New Roman"/>
                <w:b/>
                <w:bCs/>
                <w:color w:val="000000"/>
              </w:rPr>
              <w:t>SD (&gt; 0.8 or &lt;1.8)</w:t>
            </w:r>
          </w:p>
        </w:tc>
        <w:tc>
          <w:tcPr>
            <w:tcW w:w="989" w:type="dxa"/>
            <w:tcBorders>
              <w:top w:val="nil"/>
              <w:left w:val="nil"/>
              <w:bottom w:val="single" w:sz="4" w:space="0" w:color="auto"/>
              <w:right w:val="single" w:sz="4" w:space="0" w:color="auto"/>
            </w:tcBorders>
            <w:shd w:val="clear" w:color="auto" w:fill="auto"/>
            <w:vAlign w:val="bottom"/>
            <w:hideMark/>
          </w:tcPr>
          <w:p w14:paraId="5B5C5173" w14:textId="77777777" w:rsidR="00403B07" w:rsidRPr="00734C53" w:rsidRDefault="00403B07" w:rsidP="00B01272">
            <w:pPr>
              <w:spacing w:after="0" w:line="240" w:lineRule="auto"/>
              <w:jc w:val="center"/>
              <w:rPr>
                <w:rFonts w:ascii="Calibri" w:eastAsia="Times New Roman" w:hAnsi="Calibri" w:cs="Times New Roman"/>
                <w:b/>
                <w:bCs/>
                <w:color w:val="000000"/>
              </w:rPr>
            </w:pPr>
            <w:r w:rsidRPr="00734C53">
              <w:rPr>
                <w:rFonts w:ascii="Calibri" w:eastAsia="Times New Roman" w:hAnsi="Calibri" w:cs="Times New Roman"/>
                <w:b/>
                <w:bCs/>
                <w:color w:val="000000"/>
              </w:rPr>
              <w:t>Floor %  (&lt;30%)</w:t>
            </w:r>
          </w:p>
        </w:tc>
        <w:tc>
          <w:tcPr>
            <w:tcW w:w="989" w:type="dxa"/>
            <w:tcBorders>
              <w:top w:val="nil"/>
              <w:left w:val="nil"/>
              <w:bottom w:val="single" w:sz="4" w:space="0" w:color="auto"/>
              <w:right w:val="single" w:sz="4" w:space="0" w:color="auto"/>
            </w:tcBorders>
            <w:shd w:val="clear" w:color="auto" w:fill="auto"/>
            <w:vAlign w:val="bottom"/>
            <w:hideMark/>
          </w:tcPr>
          <w:p w14:paraId="7FAD8EC0" w14:textId="77777777" w:rsidR="00403B07" w:rsidRPr="00734C53" w:rsidRDefault="00403B07" w:rsidP="00B01272">
            <w:pPr>
              <w:spacing w:after="0" w:line="240" w:lineRule="auto"/>
              <w:jc w:val="center"/>
              <w:rPr>
                <w:rFonts w:ascii="Calibri" w:eastAsia="Times New Roman" w:hAnsi="Calibri" w:cs="Times New Roman"/>
                <w:b/>
                <w:bCs/>
                <w:color w:val="000000"/>
              </w:rPr>
            </w:pPr>
            <w:r w:rsidRPr="00734C53">
              <w:rPr>
                <w:rFonts w:ascii="Calibri" w:eastAsia="Times New Roman" w:hAnsi="Calibri" w:cs="Times New Roman"/>
                <w:b/>
                <w:bCs/>
                <w:color w:val="000000"/>
              </w:rPr>
              <w:t>Ceiling % (&lt;30%)</w:t>
            </w:r>
          </w:p>
        </w:tc>
        <w:tc>
          <w:tcPr>
            <w:tcW w:w="1414" w:type="dxa"/>
            <w:tcBorders>
              <w:top w:val="nil"/>
              <w:left w:val="nil"/>
              <w:bottom w:val="single" w:sz="4" w:space="0" w:color="auto"/>
              <w:right w:val="single" w:sz="4" w:space="0" w:color="auto"/>
            </w:tcBorders>
            <w:shd w:val="clear" w:color="auto" w:fill="auto"/>
            <w:vAlign w:val="bottom"/>
            <w:hideMark/>
          </w:tcPr>
          <w:p w14:paraId="404A641F" w14:textId="77777777" w:rsidR="00403B07" w:rsidRPr="00734C53" w:rsidRDefault="00403B07" w:rsidP="00B01272">
            <w:pPr>
              <w:spacing w:after="0" w:line="240" w:lineRule="auto"/>
              <w:jc w:val="center"/>
              <w:rPr>
                <w:rFonts w:ascii="Calibri" w:eastAsia="Times New Roman" w:hAnsi="Calibri" w:cs="Times New Roman"/>
                <w:b/>
                <w:bCs/>
                <w:color w:val="000000"/>
              </w:rPr>
            </w:pPr>
            <w:r w:rsidRPr="00734C53">
              <w:rPr>
                <w:rFonts w:ascii="Calibri" w:eastAsia="Times New Roman" w:hAnsi="Calibri" w:cs="Times New Roman"/>
                <w:b/>
                <w:bCs/>
                <w:color w:val="000000"/>
              </w:rPr>
              <w:t xml:space="preserve">Highest pair item (correlation coefficient)  </w:t>
            </w:r>
          </w:p>
        </w:tc>
      </w:tr>
      <w:tr w:rsidR="00403B07" w:rsidRPr="00734C53" w14:paraId="3ACF6366" w14:textId="77777777" w:rsidTr="00B01272">
        <w:trPr>
          <w:gridAfter w:val="1"/>
          <w:wAfter w:w="6" w:type="dxa"/>
          <w:trHeight w:val="203"/>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20F98A"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28</w:t>
            </w:r>
          </w:p>
        </w:tc>
        <w:tc>
          <w:tcPr>
            <w:tcW w:w="1397" w:type="dxa"/>
            <w:tcBorders>
              <w:top w:val="single" w:sz="4" w:space="0" w:color="auto"/>
              <w:left w:val="nil"/>
              <w:bottom w:val="single" w:sz="4" w:space="0" w:color="auto"/>
              <w:right w:val="single" w:sz="4" w:space="0" w:color="auto"/>
            </w:tcBorders>
            <w:shd w:val="clear" w:color="auto" w:fill="auto"/>
            <w:noWrap/>
            <w:vAlign w:val="bottom"/>
            <w:hideMark/>
          </w:tcPr>
          <w:p w14:paraId="5111CD78"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80.8</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33044BA0"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2.87</w:t>
            </w:r>
          </w:p>
        </w:tc>
        <w:tc>
          <w:tcPr>
            <w:tcW w:w="863" w:type="dxa"/>
            <w:tcBorders>
              <w:top w:val="single" w:sz="4" w:space="0" w:color="auto"/>
              <w:left w:val="nil"/>
              <w:bottom w:val="single" w:sz="4" w:space="0" w:color="auto"/>
              <w:right w:val="single" w:sz="4" w:space="0" w:color="auto"/>
            </w:tcBorders>
            <w:shd w:val="clear" w:color="auto" w:fill="auto"/>
            <w:noWrap/>
            <w:vAlign w:val="bottom"/>
            <w:hideMark/>
          </w:tcPr>
          <w:p w14:paraId="46D5FECF"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1.087</w:t>
            </w:r>
          </w:p>
        </w:tc>
        <w:tc>
          <w:tcPr>
            <w:tcW w:w="955" w:type="dxa"/>
            <w:tcBorders>
              <w:top w:val="single" w:sz="4" w:space="0" w:color="auto"/>
              <w:left w:val="nil"/>
              <w:bottom w:val="single" w:sz="4" w:space="0" w:color="auto"/>
              <w:right w:val="single" w:sz="4" w:space="0" w:color="auto"/>
            </w:tcBorders>
            <w:shd w:val="clear" w:color="auto" w:fill="auto"/>
            <w:noWrap/>
            <w:vAlign w:val="bottom"/>
            <w:hideMark/>
          </w:tcPr>
          <w:p w14:paraId="1A9D2232"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16.6</w:t>
            </w:r>
          </w:p>
        </w:tc>
        <w:tc>
          <w:tcPr>
            <w:tcW w:w="980" w:type="dxa"/>
            <w:tcBorders>
              <w:top w:val="single" w:sz="4" w:space="0" w:color="auto"/>
              <w:left w:val="nil"/>
              <w:bottom w:val="single" w:sz="4" w:space="0" w:color="auto"/>
              <w:right w:val="single" w:sz="4" w:space="0" w:color="auto"/>
            </w:tcBorders>
            <w:shd w:val="clear" w:color="000000" w:fill="D9D9D9"/>
            <w:noWrap/>
            <w:vAlign w:val="bottom"/>
            <w:hideMark/>
          </w:tcPr>
          <w:p w14:paraId="19358739"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36.9</w:t>
            </w:r>
          </w:p>
        </w:tc>
        <w:tc>
          <w:tcPr>
            <w:tcW w:w="1338" w:type="dxa"/>
            <w:tcBorders>
              <w:top w:val="single" w:sz="4" w:space="0" w:color="auto"/>
              <w:left w:val="nil"/>
              <w:bottom w:val="single" w:sz="4" w:space="0" w:color="auto"/>
              <w:right w:val="single" w:sz="4" w:space="0" w:color="auto"/>
            </w:tcBorders>
            <w:shd w:val="clear" w:color="auto" w:fill="auto"/>
            <w:noWrap/>
            <w:hideMark/>
          </w:tcPr>
          <w:p w14:paraId="35914BE2"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25 (0.57)</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2218DD18"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2.86</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14:paraId="2EE699D7"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1.074</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14:paraId="5FA8A8D1"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15.7</w:t>
            </w:r>
          </w:p>
        </w:tc>
        <w:tc>
          <w:tcPr>
            <w:tcW w:w="989" w:type="dxa"/>
            <w:tcBorders>
              <w:top w:val="single" w:sz="4" w:space="0" w:color="auto"/>
              <w:left w:val="nil"/>
              <w:bottom w:val="single" w:sz="4" w:space="0" w:color="auto"/>
              <w:right w:val="single" w:sz="4" w:space="0" w:color="auto"/>
            </w:tcBorders>
            <w:shd w:val="clear" w:color="000000" w:fill="D9D9D9"/>
            <w:noWrap/>
            <w:vAlign w:val="bottom"/>
            <w:hideMark/>
          </w:tcPr>
          <w:p w14:paraId="6461405A"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36.0</w:t>
            </w:r>
          </w:p>
        </w:tc>
        <w:tc>
          <w:tcPr>
            <w:tcW w:w="1414" w:type="dxa"/>
            <w:tcBorders>
              <w:top w:val="single" w:sz="4" w:space="0" w:color="auto"/>
              <w:left w:val="nil"/>
              <w:bottom w:val="single" w:sz="4" w:space="0" w:color="auto"/>
              <w:right w:val="single" w:sz="4" w:space="0" w:color="auto"/>
            </w:tcBorders>
            <w:shd w:val="clear" w:color="auto" w:fill="auto"/>
            <w:noWrap/>
            <w:hideMark/>
          </w:tcPr>
          <w:p w14:paraId="01EEA227"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27 (0.57)</w:t>
            </w:r>
          </w:p>
        </w:tc>
      </w:tr>
      <w:tr w:rsidR="00403B07" w:rsidRPr="00734C53" w14:paraId="053DAAFD" w14:textId="77777777" w:rsidTr="00B01272">
        <w:trPr>
          <w:gridAfter w:val="1"/>
          <w:wAfter w:w="6" w:type="dxa"/>
          <w:trHeight w:val="203"/>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14:paraId="4125007F"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29</w:t>
            </w:r>
          </w:p>
        </w:tc>
        <w:tc>
          <w:tcPr>
            <w:tcW w:w="1397" w:type="dxa"/>
            <w:tcBorders>
              <w:top w:val="nil"/>
              <w:left w:val="nil"/>
              <w:bottom w:val="single" w:sz="4" w:space="0" w:color="auto"/>
              <w:right w:val="single" w:sz="4" w:space="0" w:color="auto"/>
            </w:tcBorders>
            <w:shd w:val="clear" w:color="auto" w:fill="auto"/>
            <w:noWrap/>
            <w:vAlign w:val="bottom"/>
            <w:hideMark/>
          </w:tcPr>
          <w:p w14:paraId="4390DAB5"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72.8</w:t>
            </w:r>
          </w:p>
        </w:tc>
        <w:tc>
          <w:tcPr>
            <w:tcW w:w="980" w:type="dxa"/>
            <w:tcBorders>
              <w:top w:val="nil"/>
              <w:left w:val="nil"/>
              <w:bottom w:val="single" w:sz="4" w:space="0" w:color="auto"/>
              <w:right w:val="single" w:sz="4" w:space="0" w:color="auto"/>
            </w:tcBorders>
            <w:shd w:val="clear" w:color="auto" w:fill="auto"/>
            <w:noWrap/>
            <w:vAlign w:val="bottom"/>
            <w:hideMark/>
          </w:tcPr>
          <w:p w14:paraId="2723320A"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3.25</w:t>
            </w:r>
          </w:p>
        </w:tc>
        <w:tc>
          <w:tcPr>
            <w:tcW w:w="863" w:type="dxa"/>
            <w:tcBorders>
              <w:top w:val="nil"/>
              <w:left w:val="nil"/>
              <w:bottom w:val="single" w:sz="4" w:space="0" w:color="auto"/>
              <w:right w:val="single" w:sz="4" w:space="0" w:color="auto"/>
            </w:tcBorders>
            <w:shd w:val="clear" w:color="auto" w:fill="auto"/>
            <w:noWrap/>
            <w:vAlign w:val="bottom"/>
            <w:hideMark/>
          </w:tcPr>
          <w:p w14:paraId="0C436CC6"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0.801</w:t>
            </w:r>
          </w:p>
        </w:tc>
        <w:tc>
          <w:tcPr>
            <w:tcW w:w="955" w:type="dxa"/>
            <w:tcBorders>
              <w:top w:val="nil"/>
              <w:left w:val="nil"/>
              <w:bottom w:val="single" w:sz="4" w:space="0" w:color="auto"/>
              <w:right w:val="single" w:sz="4" w:space="0" w:color="auto"/>
            </w:tcBorders>
            <w:shd w:val="clear" w:color="auto" w:fill="auto"/>
            <w:noWrap/>
            <w:vAlign w:val="bottom"/>
            <w:hideMark/>
          </w:tcPr>
          <w:p w14:paraId="11B091D1"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3.1</w:t>
            </w:r>
          </w:p>
        </w:tc>
        <w:tc>
          <w:tcPr>
            <w:tcW w:w="980" w:type="dxa"/>
            <w:tcBorders>
              <w:top w:val="nil"/>
              <w:left w:val="nil"/>
              <w:bottom w:val="single" w:sz="4" w:space="0" w:color="auto"/>
              <w:right w:val="single" w:sz="4" w:space="0" w:color="auto"/>
            </w:tcBorders>
            <w:shd w:val="clear" w:color="000000" w:fill="D9D9D9"/>
            <w:noWrap/>
            <w:vAlign w:val="bottom"/>
            <w:hideMark/>
          </w:tcPr>
          <w:p w14:paraId="3DD6C702"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44.5</w:t>
            </w:r>
          </w:p>
        </w:tc>
        <w:tc>
          <w:tcPr>
            <w:tcW w:w="1338" w:type="dxa"/>
            <w:tcBorders>
              <w:top w:val="nil"/>
              <w:left w:val="nil"/>
              <w:bottom w:val="single" w:sz="4" w:space="0" w:color="auto"/>
              <w:right w:val="single" w:sz="4" w:space="0" w:color="auto"/>
            </w:tcBorders>
            <w:shd w:val="clear" w:color="auto" w:fill="auto"/>
            <w:noWrap/>
            <w:hideMark/>
          </w:tcPr>
          <w:p w14:paraId="739D6786"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50 (0.36)</w:t>
            </w:r>
          </w:p>
        </w:tc>
        <w:tc>
          <w:tcPr>
            <w:tcW w:w="990" w:type="dxa"/>
            <w:tcBorders>
              <w:top w:val="nil"/>
              <w:left w:val="nil"/>
              <w:bottom w:val="single" w:sz="4" w:space="0" w:color="auto"/>
              <w:right w:val="single" w:sz="4" w:space="0" w:color="auto"/>
            </w:tcBorders>
            <w:shd w:val="clear" w:color="auto" w:fill="auto"/>
            <w:noWrap/>
            <w:vAlign w:val="bottom"/>
            <w:hideMark/>
          </w:tcPr>
          <w:p w14:paraId="78996AAD"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3.21</w:t>
            </w:r>
          </w:p>
        </w:tc>
        <w:tc>
          <w:tcPr>
            <w:tcW w:w="989" w:type="dxa"/>
            <w:tcBorders>
              <w:top w:val="nil"/>
              <w:left w:val="nil"/>
              <w:bottom w:val="single" w:sz="4" w:space="0" w:color="auto"/>
              <w:right w:val="single" w:sz="4" w:space="0" w:color="auto"/>
            </w:tcBorders>
            <w:shd w:val="clear" w:color="auto" w:fill="auto"/>
            <w:noWrap/>
            <w:vAlign w:val="bottom"/>
            <w:hideMark/>
          </w:tcPr>
          <w:p w14:paraId="309E5760"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0.855</w:t>
            </w:r>
          </w:p>
        </w:tc>
        <w:tc>
          <w:tcPr>
            <w:tcW w:w="989" w:type="dxa"/>
            <w:tcBorders>
              <w:top w:val="nil"/>
              <w:left w:val="nil"/>
              <w:bottom w:val="single" w:sz="4" w:space="0" w:color="auto"/>
              <w:right w:val="single" w:sz="4" w:space="0" w:color="auto"/>
            </w:tcBorders>
            <w:shd w:val="clear" w:color="auto" w:fill="auto"/>
            <w:noWrap/>
            <w:vAlign w:val="bottom"/>
            <w:hideMark/>
          </w:tcPr>
          <w:p w14:paraId="458AC056"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4.9</w:t>
            </w:r>
          </w:p>
        </w:tc>
        <w:tc>
          <w:tcPr>
            <w:tcW w:w="989" w:type="dxa"/>
            <w:tcBorders>
              <w:top w:val="nil"/>
              <w:left w:val="nil"/>
              <w:bottom w:val="single" w:sz="4" w:space="0" w:color="auto"/>
              <w:right w:val="single" w:sz="4" w:space="0" w:color="auto"/>
            </w:tcBorders>
            <w:shd w:val="clear" w:color="000000" w:fill="D9D9D9"/>
            <w:noWrap/>
            <w:vAlign w:val="bottom"/>
            <w:hideMark/>
          </w:tcPr>
          <w:p w14:paraId="77018180"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44.5</w:t>
            </w:r>
          </w:p>
        </w:tc>
        <w:tc>
          <w:tcPr>
            <w:tcW w:w="1414" w:type="dxa"/>
            <w:tcBorders>
              <w:top w:val="nil"/>
              <w:left w:val="nil"/>
              <w:bottom w:val="single" w:sz="4" w:space="0" w:color="auto"/>
              <w:right w:val="single" w:sz="4" w:space="0" w:color="auto"/>
            </w:tcBorders>
            <w:shd w:val="clear" w:color="auto" w:fill="auto"/>
            <w:noWrap/>
            <w:hideMark/>
          </w:tcPr>
          <w:p w14:paraId="0FD1F8AC"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40 (0.35)</w:t>
            </w:r>
          </w:p>
        </w:tc>
      </w:tr>
      <w:tr w:rsidR="00403B07" w:rsidRPr="00734C53" w14:paraId="15E0B67D" w14:textId="77777777" w:rsidTr="00B01272">
        <w:trPr>
          <w:gridAfter w:val="1"/>
          <w:wAfter w:w="6" w:type="dxa"/>
          <w:trHeight w:val="203"/>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14:paraId="29D570D9"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30</w:t>
            </w:r>
          </w:p>
        </w:tc>
        <w:tc>
          <w:tcPr>
            <w:tcW w:w="1397" w:type="dxa"/>
            <w:tcBorders>
              <w:top w:val="nil"/>
              <w:left w:val="nil"/>
              <w:bottom w:val="single" w:sz="4" w:space="0" w:color="auto"/>
              <w:right w:val="single" w:sz="4" w:space="0" w:color="auto"/>
            </w:tcBorders>
            <w:shd w:val="clear" w:color="auto" w:fill="auto"/>
            <w:noWrap/>
            <w:vAlign w:val="bottom"/>
            <w:hideMark/>
          </w:tcPr>
          <w:p w14:paraId="7C56EC80"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64.9</w:t>
            </w:r>
          </w:p>
        </w:tc>
        <w:tc>
          <w:tcPr>
            <w:tcW w:w="980" w:type="dxa"/>
            <w:tcBorders>
              <w:top w:val="nil"/>
              <w:left w:val="nil"/>
              <w:bottom w:val="single" w:sz="4" w:space="0" w:color="auto"/>
              <w:right w:val="single" w:sz="4" w:space="0" w:color="auto"/>
            </w:tcBorders>
            <w:shd w:val="clear" w:color="auto" w:fill="auto"/>
            <w:noWrap/>
            <w:vAlign w:val="bottom"/>
            <w:hideMark/>
          </w:tcPr>
          <w:p w14:paraId="2DBBE921"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3.37</w:t>
            </w:r>
          </w:p>
        </w:tc>
        <w:tc>
          <w:tcPr>
            <w:tcW w:w="863" w:type="dxa"/>
            <w:tcBorders>
              <w:top w:val="nil"/>
              <w:left w:val="nil"/>
              <w:bottom w:val="single" w:sz="4" w:space="0" w:color="auto"/>
              <w:right w:val="single" w:sz="4" w:space="0" w:color="auto"/>
            </w:tcBorders>
            <w:shd w:val="clear" w:color="auto" w:fill="auto"/>
            <w:noWrap/>
            <w:vAlign w:val="bottom"/>
            <w:hideMark/>
          </w:tcPr>
          <w:p w14:paraId="1CEB6FEE"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0.812</w:t>
            </w:r>
          </w:p>
        </w:tc>
        <w:tc>
          <w:tcPr>
            <w:tcW w:w="955" w:type="dxa"/>
            <w:tcBorders>
              <w:top w:val="nil"/>
              <w:left w:val="nil"/>
              <w:bottom w:val="single" w:sz="4" w:space="0" w:color="auto"/>
              <w:right w:val="single" w:sz="4" w:space="0" w:color="auto"/>
            </w:tcBorders>
            <w:shd w:val="clear" w:color="auto" w:fill="auto"/>
            <w:noWrap/>
            <w:vAlign w:val="bottom"/>
            <w:hideMark/>
          </w:tcPr>
          <w:p w14:paraId="0F31C83E"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4.1</w:t>
            </w:r>
          </w:p>
        </w:tc>
        <w:tc>
          <w:tcPr>
            <w:tcW w:w="980" w:type="dxa"/>
            <w:tcBorders>
              <w:top w:val="nil"/>
              <w:left w:val="nil"/>
              <w:bottom w:val="single" w:sz="4" w:space="0" w:color="auto"/>
              <w:right w:val="single" w:sz="4" w:space="0" w:color="auto"/>
            </w:tcBorders>
            <w:shd w:val="clear" w:color="000000" w:fill="D9D9D9"/>
            <w:noWrap/>
            <w:vAlign w:val="bottom"/>
            <w:hideMark/>
          </w:tcPr>
          <w:p w14:paraId="03DBB0A5"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54.2</w:t>
            </w:r>
          </w:p>
        </w:tc>
        <w:tc>
          <w:tcPr>
            <w:tcW w:w="1338" w:type="dxa"/>
            <w:tcBorders>
              <w:top w:val="nil"/>
              <w:left w:val="nil"/>
              <w:bottom w:val="single" w:sz="4" w:space="0" w:color="auto"/>
              <w:right w:val="single" w:sz="4" w:space="0" w:color="auto"/>
            </w:tcBorders>
            <w:shd w:val="clear" w:color="auto" w:fill="auto"/>
            <w:noWrap/>
            <w:hideMark/>
          </w:tcPr>
          <w:p w14:paraId="1E144D4F"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24 (0.46)</w:t>
            </w:r>
          </w:p>
        </w:tc>
        <w:tc>
          <w:tcPr>
            <w:tcW w:w="990" w:type="dxa"/>
            <w:tcBorders>
              <w:top w:val="nil"/>
              <w:left w:val="nil"/>
              <w:bottom w:val="single" w:sz="4" w:space="0" w:color="auto"/>
              <w:right w:val="single" w:sz="4" w:space="0" w:color="auto"/>
            </w:tcBorders>
            <w:shd w:val="clear" w:color="auto" w:fill="auto"/>
            <w:noWrap/>
            <w:vAlign w:val="bottom"/>
            <w:hideMark/>
          </w:tcPr>
          <w:p w14:paraId="0BE69F5A"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3.30</w:t>
            </w:r>
          </w:p>
        </w:tc>
        <w:tc>
          <w:tcPr>
            <w:tcW w:w="989" w:type="dxa"/>
            <w:tcBorders>
              <w:top w:val="nil"/>
              <w:left w:val="nil"/>
              <w:bottom w:val="single" w:sz="4" w:space="0" w:color="auto"/>
              <w:right w:val="single" w:sz="4" w:space="0" w:color="auto"/>
            </w:tcBorders>
            <w:shd w:val="clear" w:color="auto" w:fill="auto"/>
            <w:noWrap/>
            <w:vAlign w:val="bottom"/>
            <w:hideMark/>
          </w:tcPr>
          <w:p w14:paraId="297BF665"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0.868</w:t>
            </w:r>
          </w:p>
        </w:tc>
        <w:tc>
          <w:tcPr>
            <w:tcW w:w="989" w:type="dxa"/>
            <w:tcBorders>
              <w:top w:val="nil"/>
              <w:left w:val="nil"/>
              <w:bottom w:val="single" w:sz="4" w:space="0" w:color="auto"/>
              <w:right w:val="single" w:sz="4" w:space="0" w:color="auto"/>
            </w:tcBorders>
            <w:shd w:val="clear" w:color="auto" w:fill="auto"/>
            <w:noWrap/>
            <w:vAlign w:val="bottom"/>
            <w:hideMark/>
          </w:tcPr>
          <w:p w14:paraId="13A84B19"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5.0</w:t>
            </w:r>
          </w:p>
        </w:tc>
        <w:tc>
          <w:tcPr>
            <w:tcW w:w="989" w:type="dxa"/>
            <w:tcBorders>
              <w:top w:val="nil"/>
              <w:left w:val="nil"/>
              <w:bottom w:val="single" w:sz="4" w:space="0" w:color="auto"/>
              <w:right w:val="single" w:sz="4" w:space="0" w:color="auto"/>
            </w:tcBorders>
            <w:shd w:val="clear" w:color="000000" w:fill="D9D9D9"/>
            <w:noWrap/>
            <w:vAlign w:val="bottom"/>
            <w:hideMark/>
          </w:tcPr>
          <w:p w14:paraId="3A55BFB8"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52.2</w:t>
            </w:r>
          </w:p>
        </w:tc>
        <w:tc>
          <w:tcPr>
            <w:tcW w:w="1414" w:type="dxa"/>
            <w:tcBorders>
              <w:top w:val="nil"/>
              <w:left w:val="nil"/>
              <w:bottom w:val="single" w:sz="4" w:space="0" w:color="auto"/>
              <w:right w:val="single" w:sz="4" w:space="0" w:color="auto"/>
            </w:tcBorders>
            <w:shd w:val="clear" w:color="auto" w:fill="auto"/>
            <w:noWrap/>
            <w:hideMark/>
          </w:tcPr>
          <w:p w14:paraId="06A8D42F"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24 (0.47)</w:t>
            </w:r>
          </w:p>
        </w:tc>
      </w:tr>
      <w:tr w:rsidR="00403B07" w:rsidRPr="00734C53" w14:paraId="5046AA46" w14:textId="77777777" w:rsidTr="00B01272">
        <w:trPr>
          <w:gridAfter w:val="1"/>
          <w:wAfter w:w="6" w:type="dxa"/>
          <w:trHeight w:val="203"/>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14:paraId="68C5A1B7"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31</w:t>
            </w:r>
          </w:p>
        </w:tc>
        <w:tc>
          <w:tcPr>
            <w:tcW w:w="1397" w:type="dxa"/>
            <w:tcBorders>
              <w:top w:val="nil"/>
              <w:left w:val="nil"/>
              <w:bottom w:val="single" w:sz="4" w:space="0" w:color="auto"/>
              <w:right w:val="single" w:sz="4" w:space="0" w:color="auto"/>
            </w:tcBorders>
            <w:shd w:val="clear" w:color="000000" w:fill="D9D9D9"/>
            <w:noWrap/>
            <w:vAlign w:val="bottom"/>
            <w:hideMark/>
          </w:tcPr>
          <w:p w14:paraId="00D9CE30"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25.5</w:t>
            </w:r>
          </w:p>
        </w:tc>
        <w:tc>
          <w:tcPr>
            <w:tcW w:w="980" w:type="dxa"/>
            <w:tcBorders>
              <w:top w:val="nil"/>
              <w:left w:val="nil"/>
              <w:bottom w:val="single" w:sz="4" w:space="0" w:color="auto"/>
              <w:right w:val="single" w:sz="4" w:space="0" w:color="auto"/>
            </w:tcBorders>
            <w:shd w:val="clear" w:color="000000" w:fill="D9D9D9"/>
            <w:noWrap/>
            <w:vAlign w:val="bottom"/>
            <w:hideMark/>
          </w:tcPr>
          <w:p w14:paraId="3EC7BFB6"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3.52</w:t>
            </w:r>
          </w:p>
        </w:tc>
        <w:tc>
          <w:tcPr>
            <w:tcW w:w="863" w:type="dxa"/>
            <w:tcBorders>
              <w:top w:val="nil"/>
              <w:left w:val="nil"/>
              <w:bottom w:val="single" w:sz="4" w:space="0" w:color="auto"/>
              <w:right w:val="single" w:sz="4" w:space="0" w:color="auto"/>
            </w:tcBorders>
            <w:shd w:val="clear" w:color="auto" w:fill="auto"/>
            <w:noWrap/>
            <w:vAlign w:val="bottom"/>
            <w:hideMark/>
          </w:tcPr>
          <w:p w14:paraId="10126C68"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0.805</w:t>
            </w:r>
          </w:p>
        </w:tc>
        <w:tc>
          <w:tcPr>
            <w:tcW w:w="955" w:type="dxa"/>
            <w:tcBorders>
              <w:top w:val="nil"/>
              <w:left w:val="nil"/>
              <w:bottom w:val="single" w:sz="4" w:space="0" w:color="auto"/>
              <w:right w:val="single" w:sz="4" w:space="0" w:color="auto"/>
            </w:tcBorders>
            <w:shd w:val="clear" w:color="auto" w:fill="auto"/>
            <w:noWrap/>
            <w:vAlign w:val="bottom"/>
            <w:hideMark/>
          </w:tcPr>
          <w:p w14:paraId="2DD59511"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4.1</w:t>
            </w:r>
          </w:p>
        </w:tc>
        <w:tc>
          <w:tcPr>
            <w:tcW w:w="980" w:type="dxa"/>
            <w:tcBorders>
              <w:top w:val="nil"/>
              <w:left w:val="nil"/>
              <w:bottom w:val="single" w:sz="4" w:space="0" w:color="auto"/>
              <w:right w:val="single" w:sz="4" w:space="0" w:color="auto"/>
            </w:tcBorders>
            <w:shd w:val="clear" w:color="000000" w:fill="D9D9D9"/>
            <w:noWrap/>
            <w:vAlign w:val="bottom"/>
            <w:hideMark/>
          </w:tcPr>
          <w:p w14:paraId="75C48B5C"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68.1</w:t>
            </w:r>
          </w:p>
        </w:tc>
        <w:tc>
          <w:tcPr>
            <w:tcW w:w="1338" w:type="dxa"/>
            <w:tcBorders>
              <w:top w:val="nil"/>
              <w:left w:val="nil"/>
              <w:bottom w:val="single" w:sz="4" w:space="0" w:color="auto"/>
              <w:right w:val="single" w:sz="4" w:space="0" w:color="auto"/>
            </w:tcBorders>
            <w:shd w:val="clear" w:color="auto" w:fill="auto"/>
            <w:noWrap/>
            <w:hideMark/>
          </w:tcPr>
          <w:p w14:paraId="10232EA1"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36 (0.33)</w:t>
            </w:r>
          </w:p>
        </w:tc>
        <w:tc>
          <w:tcPr>
            <w:tcW w:w="990" w:type="dxa"/>
            <w:tcBorders>
              <w:top w:val="nil"/>
              <w:left w:val="nil"/>
              <w:bottom w:val="single" w:sz="4" w:space="0" w:color="auto"/>
              <w:right w:val="single" w:sz="4" w:space="0" w:color="auto"/>
            </w:tcBorders>
            <w:shd w:val="clear" w:color="000000" w:fill="D9D9D9"/>
            <w:noWrap/>
            <w:vAlign w:val="bottom"/>
            <w:hideMark/>
          </w:tcPr>
          <w:p w14:paraId="30C080AD"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3.61</w:t>
            </w:r>
          </w:p>
        </w:tc>
        <w:tc>
          <w:tcPr>
            <w:tcW w:w="989" w:type="dxa"/>
            <w:tcBorders>
              <w:top w:val="nil"/>
              <w:left w:val="nil"/>
              <w:bottom w:val="single" w:sz="4" w:space="0" w:color="auto"/>
              <w:right w:val="single" w:sz="4" w:space="0" w:color="auto"/>
            </w:tcBorders>
            <w:shd w:val="clear" w:color="auto" w:fill="auto"/>
            <w:noWrap/>
            <w:vAlign w:val="bottom"/>
            <w:hideMark/>
          </w:tcPr>
          <w:p w14:paraId="64152A70"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0.687</w:t>
            </w:r>
          </w:p>
        </w:tc>
        <w:tc>
          <w:tcPr>
            <w:tcW w:w="989" w:type="dxa"/>
            <w:tcBorders>
              <w:top w:val="nil"/>
              <w:left w:val="nil"/>
              <w:bottom w:val="single" w:sz="4" w:space="0" w:color="auto"/>
              <w:right w:val="single" w:sz="4" w:space="0" w:color="auto"/>
            </w:tcBorders>
            <w:shd w:val="clear" w:color="auto" w:fill="auto"/>
            <w:noWrap/>
            <w:vAlign w:val="bottom"/>
            <w:hideMark/>
          </w:tcPr>
          <w:p w14:paraId="1B09F05E"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2.1</w:t>
            </w:r>
          </w:p>
        </w:tc>
        <w:tc>
          <w:tcPr>
            <w:tcW w:w="989" w:type="dxa"/>
            <w:tcBorders>
              <w:top w:val="nil"/>
              <w:left w:val="nil"/>
              <w:bottom w:val="single" w:sz="4" w:space="0" w:color="auto"/>
              <w:right w:val="single" w:sz="4" w:space="0" w:color="auto"/>
            </w:tcBorders>
            <w:shd w:val="clear" w:color="000000" w:fill="D9D9D9"/>
            <w:noWrap/>
            <w:vAlign w:val="bottom"/>
            <w:hideMark/>
          </w:tcPr>
          <w:p w14:paraId="67570C47"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71.1</w:t>
            </w:r>
          </w:p>
        </w:tc>
        <w:tc>
          <w:tcPr>
            <w:tcW w:w="1414" w:type="dxa"/>
            <w:tcBorders>
              <w:top w:val="nil"/>
              <w:left w:val="nil"/>
              <w:bottom w:val="single" w:sz="4" w:space="0" w:color="auto"/>
              <w:right w:val="single" w:sz="4" w:space="0" w:color="auto"/>
            </w:tcBorders>
            <w:shd w:val="clear" w:color="auto" w:fill="auto"/>
            <w:noWrap/>
            <w:hideMark/>
          </w:tcPr>
          <w:p w14:paraId="117F0099"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36 (0.36)</w:t>
            </w:r>
          </w:p>
        </w:tc>
      </w:tr>
      <w:tr w:rsidR="00403B07" w:rsidRPr="00734C53" w14:paraId="5FBE7DB1" w14:textId="77777777" w:rsidTr="00B01272">
        <w:trPr>
          <w:gridAfter w:val="1"/>
          <w:wAfter w:w="6" w:type="dxa"/>
          <w:trHeight w:val="203"/>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14:paraId="41FF1E37"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32</w:t>
            </w:r>
          </w:p>
        </w:tc>
        <w:tc>
          <w:tcPr>
            <w:tcW w:w="1397" w:type="dxa"/>
            <w:tcBorders>
              <w:top w:val="nil"/>
              <w:left w:val="nil"/>
              <w:bottom w:val="single" w:sz="4" w:space="0" w:color="auto"/>
              <w:right w:val="single" w:sz="4" w:space="0" w:color="auto"/>
            </w:tcBorders>
            <w:shd w:val="clear" w:color="auto" w:fill="auto"/>
            <w:noWrap/>
            <w:vAlign w:val="bottom"/>
            <w:hideMark/>
          </w:tcPr>
          <w:p w14:paraId="7336F533"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81.8</w:t>
            </w:r>
          </w:p>
        </w:tc>
        <w:tc>
          <w:tcPr>
            <w:tcW w:w="980" w:type="dxa"/>
            <w:tcBorders>
              <w:top w:val="nil"/>
              <w:left w:val="nil"/>
              <w:bottom w:val="single" w:sz="4" w:space="0" w:color="auto"/>
              <w:right w:val="single" w:sz="4" w:space="0" w:color="auto"/>
            </w:tcBorders>
            <w:shd w:val="clear" w:color="auto" w:fill="auto"/>
            <w:noWrap/>
            <w:vAlign w:val="bottom"/>
            <w:hideMark/>
          </w:tcPr>
          <w:p w14:paraId="1E69A1D6"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2.85</w:t>
            </w:r>
          </w:p>
        </w:tc>
        <w:tc>
          <w:tcPr>
            <w:tcW w:w="863" w:type="dxa"/>
            <w:tcBorders>
              <w:top w:val="nil"/>
              <w:left w:val="nil"/>
              <w:bottom w:val="single" w:sz="4" w:space="0" w:color="auto"/>
              <w:right w:val="single" w:sz="4" w:space="0" w:color="auto"/>
            </w:tcBorders>
            <w:shd w:val="clear" w:color="auto" w:fill="auto"/>
            <w:noWrap/>
            <w:vAlign w:val="bottom"/>
            <w:hideMark/>
          </w:tcPr>
          <w:p w14:paraId="55724F68"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1.064</w:t>
            </w:r>
          </w:p>
        </w:tc>
        <w:tc>
          <w:tcPr>
            <w:tcW w:w="955" w:type="dxa"/>
            <w:tcBorders>
              <w:top w:val="nil"/>
              <w:left w:val="nil"/>
              <w:bottom w:val="single" w:sz="4" w:space="0" w:color="auto"/>
              <w:right w:val="single" w:sz="4" w:space="0" w:color="auto"/>
            </w:tcBorders>
            <w:shd w:val="clear" w:color="auto" w:fill="auto"/>
            <w:noWrap/>
            <w:vAlign w:val="bottom"/>
            <w:hideMark/>
          </w:tcPr>
          <w:p w14:paraId="1D5D1942"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16.1</w:t>
            </w:r>
          </w:p>
        </w:tc>
        <w:tc>
          <w:tcPr>
            <w:tcW w:w="980" w:type="dxa"/>
            <w:tcBorders>
              <w:top w:val="nil"/>
              <w:left w:val="nil"/>
              <w:bottom w:val="single" w:sz="4" w:space="0" w:color="auto"/>
              <w:right w:val="single" w:sz="4" w:space="0" w:color="auto"/>
            </w:tcBorders>
            <w:shd w:val="clear" w:color="000000" w:fill="D9D9D9"/>
            <w:noWrap/>
            <w:vAlign w:val="bottom"/>
            <w:hideMark/>
          </w:tcPr>
          <w:p w14:paraId="179EAF9A"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34.1</w:t>
            </w:r>
          </w:p>
        </w:tc>
        <w:tc>
          <w:tcPr>
            <w:tcW w:w="1338" w:type="dxa"/>
            <w:tcBorders>
              <w:top w:val="nil"/>
              <w:left w:val="nil"/>
              <w:bottom w:val="single" w:sz="4" w:space="0" w:color="auto"/>
              <w:right w:val="single" w:sz="4" w:space="0" w:color="auto"/>
            </w:tcBorders>
            <w:shd w:val="clear" w:color="auto" w:fill="auto"/>
            <w:noWrap/>
            <w:hideMark/>
          </w:tcPr>
          <w:p w14:paraId="3DC36A62"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33 (0.39)</w:t>
            </w:r>
          </w:p>
        </w:tc>
        <w:tc>
          <w:tcPr>
            <w:tcW w:w="990" w:type="dxa"/>
            <w:tcBorders>
              <w:top w:val="nil"/>
              <w:left w:val="nil"/>
              <w:bottom w:val="single" w:sz="4" w:space="0" w:color="auto"/>
              <w:right w:val="single" w:sz="4" w:space="0" w:color="auto"/>
            </w:tcBorders>
            <w:shd w:val="clear" w:color="auto" w:fill="auto"/>
            <w:noWrap/>
            <w:vAlign w:val="bottom"/>
            <w:hideMark/>
          </w:tcPr>
          <w:p w14:paraId="0CD4F75D"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2.79</w:t>
            </w:r>
          </w:p>
        </w:tc>
        <w:tc>
          <w:tcPr>
            <w:tcW w:w="989" w:type="dxa"/>
            <w:tcBorders>
              <w:top w:val="nil"/>
              <w:left w:val="nil"/>
              <w:bottom w:val="single" w:sz="4" w:space="0" w:color="auto"/>
              <w:right w:val="single" w:sz="4" w:space="0" w:color="auto"/>
            </w:tcBorders>
            <w:shd w:val="clear" w:color="auto" w:fill="auto"/>
            <w:noWrap/>
            <w:vAlign w:val="bottom"/>
            <w:hideMark/>
          </w:tcPr>
          <w:p w14:paraId="61226261"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1.067</w:t>
            </w:r>
          </w:p>
        </w:tc>
        <w:tc>
          <w:tcPr>
            <w:tcW w:w="989" w:type="dxa"/>
            <w:tcBorders>
              <w:top w:val="nil"/>
              <w:left w:val="nil"/>
              <w:bottom w:val="single" w:sz="4" w:space="0" w:color="auto"/>
              <w:right w:val="single" w:sz="4" w:space="0" w:color="auto"/>
            </w:tcBorders>
            <w:shd w:val="clear" w:color="auto" w:fill="auto"/>
            <w:noWrap/>
            <w:vAlign w:val="bottom"/>
            <w:hideMark/>
          </w:tcPr>
          <w:p w14:paraId="7F251AE5"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16.4</w:t>
            </w:r>
          </w:p>
        </w:tc>
        <w:tc>
          <w:tcPr>
            <w:tcW w:w="989" w:type="dxa"/>
            <w:tcBorders>
              <w:top w:val="nil"/>
              <w:left w:val="nil"/>
              <w:bottom w:val="single" w:sz="4" w:space="0" w:color="auto"/>
              <w:right w:val="single" w:sz="4" w:space="0" w:color="auto"/>
            </w:tcBorders>
            <w:shd w:val="clear" w:color="000000" w:fill="D9D9D9"/>
            <w:noWrap/>
            <w:vAlign w:val="bottom"/>
            <w:hideMark/>
          </w:tcPr>
          <w:p w14:paraId="4D85C677"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32.2</w:t>
            </w:r>
          </w:p>
        </w:tc>
        <w:tc>
          <w:tcPr>
            <w:tcW w:w="1414" w:type="dxa"/>
            <w:tcBorders>
              <w:top w:val="nil"/>
              <w:left w:val="nil"/>
              <w:bottom w:val="single" w:sz="4" w:space="0" w:color="auto"/>
              <w:right w:val="single" w:sz="4" w:space="0" w:color="auto"/>
            </w:tcBorders>
            <w:shd w:val="clear" w:color="auto" w:fill="auto"/>
            <w:noWrap/>
            <w:hideMark/>
          </w:tcPr>
          <w:p w14:paraId="201BA610"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35 (0.39)</w:t>
            </w:r>
          </w:p>
        </w:tc>
      </w:tr>
      <w:tr w:rsidR="00403B07" w:rsidRPr="00734C53" w14:paraId="3AF4E25E" w14:textId="77777777" w:rsidTr="00B01272">
        <w:trPr>
          <w:gridAfter w:val="1"/>
          <w:wAfter w:w="6" w:type="dxa"/>
          <w:trHeight w:val="203"/>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14:paraId="29E8CCE3"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33</w:t>
            </w:r>
          </w:p>
        </w:tc>
        <w:tc>
          <w:tcPr>
            <w:tcW w:w="1397" w:type="dxa"/>
            <w:tcBorders>
              <w:top w:val="nil"/>
              <w:left w:val="nil"/>
              <w:bottom w:val="single" w:sz="4" w:space="0" w:color="auto"/>
              <w:right w:val="single" w:sz="4" w:space="0" w:color="auto"/>
            </w:tcBorders>
            <w:shd w:val="clear" w:color="auto" w:fill="auto"/>
            <w:noWrap/>
            <w:vAlign w:val="bottom"/>
            <w:hideMark/>
          </w:tcPr>
          <w:p w14:paraId="6308F548"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84.8</w:t>
            </w:r>
          </w:p>
        </w:tc>
        <w:tc>
          <w:tcPr>
            <w:tcW w:w="980" w:type="dxa"/>
            <w:tcBorders>
              <w:top w:val="nil"/>
              <w:left w:val="nil"/>
              <w:bottom w:val="single" w:sz="4" w:space="0" w:color="auto"/>
              <w:right w:val="single" w:sz="4" w:space="0" w:color="auto"/>
            </w:tcBorders>
            <w:shd w:val="clear" w:color="auto" w:fill="auto"/>
            <w:noWrap/>
            <w:vAlign w:val="bottom"/>
            <w:hideMark/>
          </w:tcPr>
          <w:p w14:paraId="69B6BCAC"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2.25</w:t>
            </w:r>
          </w:p>
        </w:tc>
        <w:tc>
          <w:tcPr>
            <w:tcW w:w="863" w:type="dxa"/>
            <w:tcBorders>
              <w:top w:val="nil"/>
              <w:left w:val="nil"/>
              <w:bottom w:val="single" w:sz="4" w:space="0" w:color="auto"/>
              <w:right w:val="single" w:sz="4" w:space="0" w:color="auto"/>
            </w:tcBorders>
            <w:shd w:val="clear" w:color="auto" w:fill="auto"/>
            <w:noWrap/>
            <w:vAlign w:val="bottom"/>
            <w:hideMark/>
          </w:tcPr>
          <w:p w14:paraId="2270F372"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0.854</w:t>
            </w:r>
          </w:p>
        </w:tc>
        <w:tc>
          <w:tcPr>
            <w:tcW w:w="955" w:type="dxa"/>
            <w:tcBorders>
              <w:top w:val="nil"/>
              <w:left w:val="nil"/>
              <w:bottom w:val="single" w:sz="4" w:space="0" w:color="auto"/>
              <w:right w:val="single" w:sz="4" w:space="0" w:color="auto"/>
            </w:tcBorders>
            <w:shd w:val="clear" w:color="auto" w:fill="auto"/>
            <w:noWrap/>
            <w:vAlign w:val="bottom"/>
            <w:hideMark/>
          </w:tcPr>
          <w:p w14:paraId="62381189"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19.6</w:t>
            </w:r>
          </w:p>
        </w:tc>
        <w:tc>
          <w:tcPr>
            <w:tcW w:w="980" w:type="dxa"/>
            <w:tcBorders>
              <w:top w:val="nil"/>
              <w:left w:val="nil"/>
              <w:bottom w:val="single" w:sz="4" w:space="0" w:color="auto"/>
              <w:right w:val="single" w:sz="4" w:space="0" w:color="auto"/>
            </w:tcBorders>
            <w:shd w:val="clear" w:color="auto" w:fill="auto"/>
            <w:noWrap/>
            <w:vAlign w:val="bottom"/>
            <w:hideMark/>
          </w:tcPr>
          <w:p w14:paraId="1C05ACA8"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7.4</w:t>
            </w:r>
          </w:p>
        </w:tc>
        <w:tc>
          <w:tcPr>
            <w:tcW w:w="1338" w:type="dxa"/>
            <w:tcBorders>
              <w:top w:val="nil"/>
              <w:left w:val="nil"/>
              <w:bottom w:val="single" w:sz="4" w:space="0" w:color="auto"/>
              <w:right w:val="single" w:sz="4" w:space="0" w:color="auto"/>
            </w:tcBorders>
            <w:shd w:val="clear" w:color="auto" w:fill="auto"/>
            <w:noWrap/>
            <w:hideMark/>
          </w:tcPr>
          <w:p w14:paraId="20BD747C"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40 (0.52)</w:t>
            </w:r>
          </w:p>
        </w:tc>
        <w:tc>
          <w:tcPr>
            <w:tcW w:w="990" w:type="dxa"/>
            <w:tcBorders>
              <w:top w:val="nil"/>
              <w:left w:val="nil"/>
              <w:bottom w:val="single" w:sz="4" w:space="0" w:color="auto"/>
              <w:right w:val="single" w:sz="4" w:space="0" w:color="auto"/>
            </w:tcBorders>
            <w:shd w:val="clear" w:color="auto" w:fill="auto"/>
            <w:noWrap/>
            <w:vAlign w:val="bottom"/>
            <w:hideMark/>
          </w:tcPr>
          <w:p w14:paraId="1F2A8F84"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2.26</w:t>
            </w:r>
          </w:p>
        </w:tc>
        <w:tc>
          <w:tcPr>
            <w:tcW w:w="989" w:type="dxa"/>
            <w:tcBorders>
              <w:top w:val="nil"/>
              <w:left w:val="nil"/>
              <w:bottom w:val="single" w:sz="4" w:space="0" w:color="auto"/>
              <w:right w:val="single" w:sz="4" w:space="0" w:color="auto"/>
            </w:tcBorders>
            <w:shd w:val="clear" w:color="auto" w:fill="auto"/>
            <w:noWrap/>
            <w:vAlign w:val="bottom"/>
            <w:hideMark/>
          </w:tcPr>
          <w:p w14:paraId="3ED085F5"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0.844</w:t>
            </w:r>
          </w:p>
        </w:tc>
        <w:tc>
          <w:tcPr>
            <w:tcW w:w="989" w:type="dxa"/>
            <w:tcBorders>
              <w:top w:val="nil"/>
              <w:left w:val="nil"/>
              <w:bottom w:val="single" w:sz="4" w:space="0" w:color="auto"/>
              <w:right w:val="single" w:sz="4" w:space="0" w:color="auto"/>
            </w:tcBorders>
            <w:shd w:val="clear" w:color="auto" w:fill="auto"/>
            <w:noWrap/>
            <w:vAlign w:val="bottom"/>
            <w:hideMark/>
          </w:tcPr>
          <w:p w14:paraId="60AFDB06"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17.9</w:t>
            </w:r>
          </w:p>
        </w:tc>
        <w:tc>
          <w:tcPr>
            <w:tcW w:w="989" w:type="dxa"/>
            <w:tcBorders>
              <w:top w:val="nil"/>
              <w:left w:val="nil"/>
              <w:bottom w:val="single" w:sz="4" w:space="0" w:color="auto"/>
              <w:right w:val="single" w:sz="4" w:space="0" w:color="auto"/>
            </w:tcBorders>
            <w:shd w:val="clear" w:color="auto" w:fill="auto"/>
            <w:noWrap/>
            <w:vAlign w:val="bottom"/>
            <w:hideMark/>
          </w:tcPr>
          <w:p w14:paraId="557258E9"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8.0</w:t>
            </w:r>
          </w:p>
        </w:tc>
        <w:tc>
          <w:tcPr>
            <w:tcW w:w="1414" w:type="dxa"/>
            <w:tcBorders>
              <w:top w:val="nil"/>
              <w:left w:val="nil"/>
              <w:bottom w:val="single" w:sz="4" w:space="0" w:color="auto"/>
              <w:right w:val="single" w:sz="4" w:space="0" w:color="auto"/>
            </w:tcBorders>
            <w:shd w:val="clear" w:color="auto" w:fill="auto"/>
            <w:noWrap/>
            <w:hideMark/>
          </w:tcPr>
          <w:p w14:paraId="1EC9B36B"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34 (0.60)</w:t>
            </w:r>
          </w:p>
        </w:tc>
      </w:tr>
      <w:tr w:rsidR="00403B07" w:rsidRPr="00734C53" w14:paraId="7E91557B" w14:textId="77777777" w:rsidTr="00B01272">
        <w:trPr>
          <w:gridAfter w:val="1"/>
          <w:wAfter w:w="6" w:type="dxa"/>
          <w:trHeight w:val="203"/>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14:paraId="5F9D0976"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34</w:t>
            </w:r>
          </w:p>
        </w:tc>
        <w:tc>
          <w:tcPr>
            <w:tcW w:w="1397" w:type="dxa"/>
            <w:tcBorders>
              <w:top w:val="nil"/>
              <w:left w:val="nil"/>
              <w:bottom w:val="single" w:sz="4" w:space="0" w:color="auto"/>
              <w:right w:val="single" w:sz="4" w:space="0" w:color="auto"/>
            </w:tcBorders>
            <w:shd w:val="clear" w:color="auto" w:fill="auto"/>
            <w:noWrap/>
            <w:vAlign w:val="bottom"/>
            <w:hideMark/>
          </w:tcPr>
          <w:p w14:paraId="2680E17D"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85.1</w:t>
            </w:r>
          </w:p>
        </w:tc>
        <w:tc>
          <w:tcPr>
            <w:tcW w:w="980" w:type="dxa"/>
            <w:tcBorders>
              <w:top w:val="nil"/>
              <w:left w:val="nil"/>
              <w:bottom w:val="single" w:sz="4" w:space="0" w:color="auto"/>
              <w:right w:val="single" w:sz="4" w:space="0" w:color="auto"/>
            </w:tcBorders>
            <w:shd w:val="clear" w:color="auto" w:fill="auto"/>
            <w:noWrap/>
            <w:vAlign w:val="bottom"/>
            <w:hideMark/>
          </w:tcPr>
          <w:p w14:paraId="39574849"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2.32</w:t>
            </w:r>
          </w:p>
        </w:tc>
        <w:tc>
          <w:tcPr>
            <w:tcW w:w="863" w:type="dxa"/>
            <w:tcBorders>
              <w:top w:val="nil"/>
              <w:left w:val="nil"/>
              <w:bottom w:val="single" w:sz="4" w:space="0" w:color="auto"/>
              <w:right w:val="single" w:sz="4" w:space="0" w:color="auto"/>
            </w:tcBorders>
            <w:shd w:val="clear" w:color="auto" w:fill="auto"/>
            <w:noWrap/>
            <w:vAlign w:val="bottom"/>
            <w:hideMark/>
          </w:tcPr>
          <w:p w14:paraId="647CE41F"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1.027</w:t>
            </w:r>
          </w:p>
        </w:tc>
        <w:tc>
          <w:tcPr>
            <w:tcW w:w="955" w:type="dxa"/>
            <w:tcBorders>
              <w:top w:val="nil"/>
              <w:left w:val="nil"/>
              <w:bottom w:val="single" w:sz="4" w:space="0" w:color="auto"/>
              <w:right w:val="single" w:sz="4" w:space="0" w:color="auto"/>
            </w:tcBorders>
            <w:shd w:val="clear" w:color="auto" w:fill="auto"/>
            <w:noWrap/>
            <w:vAlign w:val="bottom"/>
            <w:hideMark/>
          </w:tcPr>
          <w:p w14:paraId="26485DAB"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24.7</w:t>
            </w:r>
          </w:p>
        </w:tc>
        <w:tc>
          <w:tcPr>
            <w:tcW w:w="980" w:type="dxa"/>
            <w:tcBorders>
              <w:top w:val="nil"/>
              <w:left w:val="nil"/>
              <w:bottom w:val="single" w:sz="4" w:space="0" w:color="auto"/>
              <w:right w:val="single" w:sz="4" w:space="0" w:color="auto"/>
            </w:tcBorders>
            <w:shd w:val="clear" w:color="auto" w:fill="auto"/>
            <w:noWrap/>
            <w:vAlign w:val="bottom"/>
            <w:hideMark/>
          </w:tcPr>
          <w:p w14:paraId="413E2BE2"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17.0</w:t>
            </w:r>
          </w:p>
        </w:tc>
        <w:tc>
          <w:tcPr>
            <w:tcW w:w="1338" w:type="dxa"/>
            <w:tcBorders>
              <w:top w:val="nil"/>
              <w:left w:val="nil"/>
              <w:bottom w:val="single" w:sz="4" w:space="0" w:color="auto"/>
              <w:right w:val="single" w:sz="4" w:space="0" w:color="auto"/>
            </w:tcBorders>
            <w:shd w:val="clear" w:color="auto" w:fill="auto"/>
            <w:noWrap/>
            <w:hideMark/>
          </w:tcPr>
          <w:p w14:paraId="092650E0"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33 (0.50)</w:t>
            </w:r>
          </w:p>
        </w:tc>
        <w:tc>
          <w:tcPr>
            <w:tcW w:w="990" w:type="dxa"/>
            <w:tcBorders>
              <w:top w:val="nil"/>
              <w:left w:val="nil"/>
              <w:bottom w:val="single" w:sz="4" w:space="0" w:color="auto"/>
              <w:right w:val="single" w:sz="4" w:space="0" w:color="auto"/>
            </w:tcBorders>
            <w:shd w:val="clear" w:color="auto" w:fill="auto"/>
            <w:noWrap/>
            <w:vAlign w:val="bottom"/>
            <w:hideMark/>
          </w:tcPr>
          <w:p w14:paraId="1DF957B3"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2.34</w:t>
            </w:r>
          </w:p>
        </w:tc>
        <w:tc>
          <w:tcPr>
            <w:tcW w:w="989" w:type="dxa"/>
            <w:tcBorders>
              <w:top w:val="nil"/>
              <w:left w:val="nil"/>
              <w:bottom w:val="single" w:sz="4" w:space="0" w:color="auto"/>
              <w:right w:val="single" w:sz="4" w:space="0" w:color="auto"/>
            </w:tcBorders>
            <w:shd w:val="clear" w:color="auto" w:fill="auto"/>
            <w:noWrap/>
            <w:vAlign w:val="bottom"/>
            <w:hideMark/>
          </w:tcPr>
          <w:p w14:paraId="01A63BF5"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1.010</w:t>
            </w:r>
          </w:p>
        </w:tc>
        <w:tc>
          <w:tcPr>
            <w:tcW w:w="989" w:type="dxa"/>
            <w:tcBorders>
              <w:top w:val="nil"/>
              <w:left w:val="nil"/>
              <w:bottom w:val="single" w:sz="4" w:space="0" w:color="auto"/>
              <w:right w:val="single" w:sz="4" w:space="0" w:color="auto"/>
            </w:tcBorders>
            <w:shd w:val="clear" w:color="auto" w:fill="auto"/>
            <w:noWrap/>
            <w:vAlign w:val="bottom"/>
            <w:hideMark/>
          </w:tcPr>
          <w:p w14:paraId="6156D5E2"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24.3</w:t>
            </w:r>
          </w:p>
        </w:tc>
        <w:tc>
          <w:tcPr>
            <w:tcW w:w="989" w:type="dxa"/>
            <w:tcBorders>
              <w:top w:val="nil"/>
              <w:left w:val="nil"/>
              <w:bottom w:val="single" w:sz="4" w:space="0" w:color="auto"/>
              <w:right w:val="single" w:sz="4" w:space="0" w:color="auto"/>
            </w:tcBorders>
            <w:shd w:val="clear" w:color="auto" w:fill="auto"/>
            <w:noWrap/>
            <w:vAlign w:val="bottom"/>
            <w:hideMark/>
          </w:tcPr>
          <w:p w14:paraId="5B581B90"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15.4</w:t>
            </w:r>
          </w:p>
        </w:tc>
        <w:tc>
          <w:tcPr>
            <w:tcW w:w="1414" w:type="dxa"/>
            <w:tcBorders>
              <w:top w:val="nil"/>
              <w:left w:val="nil"/>
              <w:bottom w:val="single" w:sz="4" w:space="0" w:color="auto"/>
              <w:right w:val="single" w:sz="4" w:space="0" w:color="auto"/>
            </w:tcBorders>
            <w:shd w:val="clear" w:color="auto" w:fill="auto"/>
            <w:noWrap/>
            <w:hideMark/>
          </w:tcPr>
          <w:p w14:paraId="5E264E29"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33 (0.60)</w:t>
            </w:r>
          </w:p>
        </w:tc>
      </w:tr>
      <w:tr w:rsidR="00403B07" w:rsidRPr="00734C53" w14:paraId="78232F97" w14:textId="77777777" w:rsidTr="00B01272">
        <w:trPr>
          <w:gridAfter w:val="1"/>
          <w:wAfter w:w="6" w:type="dxa"/>
          <w:trHeight w:val="203"/>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14:paraId="288940AD"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35</w:t>
            </w:r>
          </w:p>
        </w:tc>
        <w:tc>
          <w:tcPr>
            <w:tcW w:w="1397" w:type="dxa"/>
            <w:tcBorders>
              <w:top w:val="nil"/>
              <w:left w:val="nil"/>
              <w:bottom w:val="single" w:sz="4" w:space="0" w:color="auto"/>
              <w:right w:val="single" w:sz="4" w:space="0" w:color="auto"/>
            </w:tcBorders>
            <w:shd w:val="clear" w:color="auto" w:fill="auto"/>
            <w:noWrap/>
            <w:vAlign w:val="bottom"/>
            <w:hideMark/>
          </w:tcPr>
          <w:p w14:paraId="34830364"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103</w:t>
            </w:r>
          </w:p>
        </w:tc>
        <w:tc>
          <w:tcPr>
            <w:tcW w:w="980" w:type="dxa"/>
            <w:tcBorders>
              <w:top w:val="nil"/>
              <w:left w:val="nil"/>
              <w:bottom w:val="single" w:sz="4" w:space="0" w:color="auto"/>
              <w:right w:val="single" w:sz="4" w:space="0" w:color="auto"/>
            </w:tcBorders>
            <w:shd w:val="clear" w:color="auto" w:fill="auto"/>
            <w:noWrap/>
            <w:vAlign w:val="bottom"/>
            <w:hideMark/>
          </w:tcPr>
          <w:p w14:paraId="2125E54D"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2.23</w:t>
            </w:r>
          </w:p>
        </w:tc>
        <w:tc>
          <w:tcPr>
            <w:tcW w:w="863" w:type="dxa"/>
            <w:tcBorders>
              <w:top w:val="nil"/>
              <w:left w:val="nil"/>
              <w:bottom w:val="single" w:sz="4" w:space="0" w:color="auto"/>
              <w:right w:val="single" w:sz="4" w:space="0" w:color="auto"/>
            </w:tcBorders>
            <w:shd w:val="clear" w:color="auto" w:fill="auto"/>
            <w:noWrap/>
            <w:vAlign w:val="bottom"/>
            <w:hideMark/>
          </w:tcPr>
          <w:p w14:paraId="45DA89DF"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1.004</w:t>
            </w:r>
          </w:p>
        </w:tc>
        <w:tc>
          <w:tcPr>
            <w:tcW w:w="955" w:type="dxa"/>
            <w:tcBorders>
              <w:top w:val="nil"/>
              <w:left w:val="nil"/>
              <w:bottom w:val="single" w:sz="4" w:space="0" w:color="auto"/>
              <w:right w:val="single" w:sz="4" w:space="0" w:color="auto"/>
            </w:tcBorders>
            <w:shd w:val="clear" w:color="auto" w:fill="auto"/>
            <w:noWrap/>
            <w:vAlign w:val="bottom"/>
            <w:hideMark/>
          </w:tcPr>
          <w:p w14:paraId="6BE8141D"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28.4</w:t>
            </w:r>
          </w:p>
        </w:tc>
        <w:tc>
          <w:tcPr>
            <w:tcW w:w="980" w:type="dxa"/>
            <w:tcBorders>
              <w:top w:val="nil"/>
              <w:left w:val="nil"/>
              <w:bottom w:val="single" w:sz="4" w:space="0" w:color="auto"/>
              <w:right w:val="single" w:sz="4" w:space="0" w:color="auto"/>
            </w:tcBorders>
            <w:shd w:val="clear" w:color="auto" w:fill="auto"/>
            <w:noWrap/>
            <w:vAlign w:val="bottom"/>
            <w:hideMark/>
          </w:tcPr>
          <w:p w14:paraId="41589026"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13.2</w:t>
            </w:r>
          </w:p>
        </w:tc>
        <w:tc>
          <w:tcPr>
            <w:tcW w:w="1338" w:type="dxa"/>
            <w:tcBorders>
              <w:top w:val="nil"/>
              <w:left w:val="nil"/>
              <w:bottom w:val="single" w:sz="4" w:space="0" w:color="auto"/>
              <w:right w:val="single" w:sz="4" w:space="0" w:color="auto"/>
            </w:tcBorders>
            <w:shd w:val="clear" w:color="auto" w:fill="auto"/>
            <w:noWrap/>
            <w:hideMark/>
          </w:tcPr>
          <w:p w14:paraId="7D9EE621"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41 (0.54)</w:t>
            </w:r>
          </w:p>
        </w:tc>
        <w:tc>
          <w:tcPr>
            <w:tcW w:w="990" w:type="dxa"/>
            <w:tcBorders>
              <w:top w:val="nil"/>
              <w:left w:val="nil"/>
              <w:bottom w:val="single" w:sz="4" w:space="0" w:color="auto"/>
              <w:right w:val="single" w:sz="4" w:space="0" w:color="auto"/>
            </w:tcBorders>
            <w:shd w:val="clear" w:color="auto" w:fill="auto"/>
            <w:noWrap/>
            <w:vAlign w:val="bottom"/>
            <w:hideMark/>
          </w:tcPr>
          <w:p w14:paraId="53EF8882"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2.22</w:t>
            </w:r>
          </w:p>
        </w:tc>
        <w:tc>
          <w:tcPr>
            <w:tcW w:w="989" w:type="dxa"/>
            <w:tcBorders>
              <w:top w:val="nil"/>
              <w:left w:val="nil"/>
              <w:bottom w:val="single" w:sz="4" w:space="0" w:color="auto"/>
              <w:right w:val="single" w:sz="4" w:space="0" w:color="auto"/>
            </w:tcBorders>
            <w:shd w:val="clear" w:color="auto" w:fill="auto"/>
            <w:noWrap/>
            <w:vAlign w:val="bottom"/>
            <w:hideMark/>
          </w:tcPr>
          <w:p w14:paraId="2754BB45"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0.971</w:t>
            </w:r>
          </w:p>
        </w:tc>
        <w:tc>
          <w:tcPr>
            <w:tcW w:w="989" w:type="dxa"/>
            <w:tcBorders>
              <w:top w:val="nil"/>
              <w:left w:val="nil"/>
              <w:bottom w:val="single" w:sz="4" w:space="0" w:color="auto"/>
              <w:right w:val="single" w:sz="4" w:space="0" w:color="auto"/>
            </w:tcBorders>
            <w:shd w:val="clear" w:color="auto" w:fill="auto"/>
            <w:noWrap/>
            <w:vAlign w:val="bottom"/>
            <w:hideMark/>
          </w:tcPr>
          <w:p w14:paraId="78A109F3"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26.1</w:t>
            </w:r>
          </w:p>
        </w:tc>
        <w:tc>
          <w:tcPr>
            <w:tcW w:w="989" w:type="dxa"/>
            <w:tcBorders>
              <w:top w:val="nil"/>
              <w:left w:val="nil"/>
              <w:bottom w:val="single" w:sz="4" w:space="0" w:color="auto"/>
              <w:right w:val="single" w:sz="4" w:space="0" w:color="auto"/>
            </w:tcBorders>
            <w:shd w:val="clear" w:color="auto" w:fill="auto"/>
            <w:noWrap/>
            <w:vAlign w:val="bottom"/>
            <w:hideMark/>
          </w:tcPr>
          <w:p w14:paraId="55079ED8"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12.3</w:t>
            </w:r>
          </w:p>
        </w:tc>
        <w:tc>
          <w:tcPr>
            <w:tcW w:w="1414" w:type="dxa"/>
            <w:tcBorders>
              <w:top w:val="nil"/>
              <w:left w:val="nil"/>
              <w:bottom w:val="single" w:sz="4" w:space="0" w:color="auto"/>
              <w:right w:val="single" w:sz="4" w:space="0" w:color="auto"/>
            </w:tcBorders>
            <w:shd w:val="clear" w:color="auto" w:fill="auto"/>
            <w:noWrap/>
            <w:hideMark/>
          </w:tcPr>
          <w:p w14:paraId="2065B025"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41 (0.55)</w:t>
            </w:r>
          </w:p>
        </w:tc>
      </w:tr>
      <w:tr w:rsidR="00403B07" w:rsidRPr="00734C53" w14:paraId="260775BD" w14:textId="77777777" w:rsidTr="00B01272">
        <w:trPr>
          <w:gridAfter w:val="1"/>
          <w:wAfter w:w="6" w:type="dxa"/>
          <w:trHeight w:val="203"/>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14:paraId="78E59DE0"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36</w:t>
            </w:r>
          </w:p>
        </w:tc>
        <w:tc>
          <w:tcPr>
            <w:tcW w:w="1397" w:type="dxa"/>
            <w:tcBorders>
              <w:top w:val="nil"/>
              <w:left w:val="nil"/>
              <w:bottom w:val="single" w:sz="4" w:space="0" w:color="auto"/>
              <w:right w:val="single" w:sz="4" w:space="0" w:color="auto"/>
            </w:tcBorders>
            <w:shd w:val="clear" w:color="auto" w:fill="auto"/>
            <w:noWrap/>
            <w:vAlign w:val="bottom"/>
            <w:hideMark/>
          </w:tcPr>
          <w:p w14:paraId="1BE69B7B"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61.3</w:t>
            </w:r>
          </w:p>
        </w:tc>
        <w:tc>
          <w:tcPr>
            <w:tcW w:w="980" w:type="dxa"/>
            <w:tcBorders>
              <w:top w:val="nil"/>
              <w:left w:val="nil"/>
              <w:bottom w:val="single" w:sz="4" w:space="0" w:color="auto"/>
              <w:right w:val="single" w:sz="4" w:space="0" w:color="auto"/>
            </w:tcBorders>
            <w:shd w:val="clear" w:color="auto" w:fill="auto"/>
            <w:noWrap/>
            <w:vAlign w:val="bottom"/>
            <w:hideMark/>
          </w:tcPr>
          <w:p w14:paraId="78E76FF5"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2.96</w:t>
            </w:r>
          </w:p>
        </w:tc>
        <w:tc>
          <w:tcPr>
            <w:tcW w:w="863" w:type="dxa"/>
            <w:tcBorders>
              <w:top w:val="nil"/>
              <w:left w:val="nil"/>
              <w:bottom w:val="single" w:sz="4" w:space="0" w:color="auto"/>
              <w:right w:val="single" w:sz="4" w:space="0" w:color="auto"/>
            </w:tcBorders>
            <w:shd w:val="clear" w:color="auto" w:fill="auto"/>
            <w:noWrap/>
            <w:vAlign w:val="bottom"/>
            <w:hideMark/>
          </w:tcPr>
          <w:p w14:paraId="61BF05A2"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1.000</w:t>
            </w:r>
          </w:p>
        </w:tc>
        <w:tc>
          <w:tcPr>
            <w:tcW w:w="955" w:type="dxa"/>
            <w:tcBorders>
              <w:top w:val="nil"/>
              <w:left w:val="nil"/>
              <w:bottom w:val="single" w:sz="4" w:space="0" w:color="auto"/>
              <w:right w:val="single" w:sz="4" w:space="0" w:color="auto"/>
            </w:tcBorders>
            <w:shd w:val="clear" w:color="auto" w:fill="auto"/>
            <w:noWrap/>
            <w:vAlign w:val="bottom"/>
            <w:hideMark/>
          </w:tcPr>
          <w:p w14:paraId="78480CF6"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10.0</w:t>
            </w:r>
          </w:p>
        </w:tc>
        <w:tc>
          <w:tcPr>
            <w:tcW w:w="980" w:type="dxa"/>
            <w:tcBorders>
              <w:top w:val="nil"/>
              <w:left w:val="nil"/>
              <w:bottom w:val="single" w:sz="4" w:space="0" w:color="auto"/>
              <w:right w:val="single" w:sz="4" w:space="0" w:color="auto"/>
            </w:tcBorders>
            <w:shd w:val="clear" w:color="000000" w:fill="D9D9D9"/>
            <w:noWrap/>
            <w:vAlign w:val="bottom"/>
            <w:hideMark/>
          </w:tcPr>
          <w:p w14:paraId="7F2635E5"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38.2</w:t>
            </w:r>
          </w:p>
        </w:tc>
        <w:tc>
          <w:tcPr>
            <w:tcW w:w="1338" w:type="dxa"/>
            <w:tcBorders>
              <w:top w:val="nil"/>
              <w:left w:val="nil"/>
              <w:bottom w:val="single" w:sz="4" w:space="0" w:color="auto"/>
              <w:right w:val="single" w:sz="4" w:space="0" w:color="auto"/>
            </w:tcBorders>
            <w:shd w:val="clear" w:color="auto" w:fill="auto"/>
            <w:noWrap/>
            <w:hideMark/>
          </w:tcPr>
          <w:p w14:paraId="77EE8E32"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42 (0.52)</w:t>
            </w:r>
          </w:p>
        </w:tc>
        <w:tc>
          <w:tcPr>
            <w:tcW w:w="990" w:type="dxa"/>
            <w:tcBorders>
              <w:top w:val="nil"/>
              <w:left w:val="nil"/>
              <w:bottom w:val="single" w:sz="4" w:space="0" w:color="auto"/>
              <w:right w:val="single" w:sz="4" w:space="0" w:color="auto"/>
            </w:tcBorders>
            <w:shd w:val="clear" w:color="auto" w:fill="auto"/>
            <w:noWrap/>
            <w:vAlign w:val="bottom"/>
            <w:hideMark/>
          </w:tcPr>
          <w:p w14:paraId="15D205AF"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2.92</w:t>
            </w:r>
          </w:p>
        </w:tc>
        <w:tc>
          <w:tcPr>
            <w:tcW w:w="989" w:type="dxa"/>
            <w:tcBorders>
              <w:top w:val="nil"/>
              <w:left w:val="nil"/>
              <w:bottom w:val="single" w:sz="4" w:space="0" w:color="auto"/>
              <w:right w:val="single" w:sz="4" w:space="0" w:color="auto"/>
            </w:tcBorders>
            <w:shd w:val="clear" w:color="auto" w:fill="auto"/>
            <w:noWrap/>
            <w:vAlign w:val="bottom"/>
            <w:hideMark/>
          </w:tcPr>
          <w:p w14:paraId="3530C53E"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0.990</w:t>
            </w:r>
          </w:p>
        </w:tc>
        <w:tc>
          <w:tcPr>
            <w:tcW w:w="989" w:type="dxa"/>
            <w:tcBorders>
              <w:top w:val="nil"/>
              <w:left w:val="nil"/>
              <w:bottom w:val="single" w:sz="4" w:space="0" w:color="auto"/>
              <w:right w:val="single" w:sz="4" w:space="0" w:color="auto"/>
            </w:tcBorders>
            <w:shd w:val="clear" w:color="auto" w:fill="auto"/>
            <w:noWrap/>
            <w:vAlign w:val="bottom"/>
            <w:hideMark/>
          </w:tcPr>
          <w:p w14:paraId="2B0BBDFB"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10.3</w:t>
            </w:r>
          </w:p>
        </w:tc>
        <w:tc>
          <w:tcPr>
            <w:tcW w:w="989" w:type="dxa"/>
            <w:tcBorders>
              <w:top w:val="nil"/>
              <w:left w:val="nil"/>
              <w:bottom w:val="single" w:sz="4" w:space="0" w:color="auto"/>
              <w:right w:val="single" w:sz="4" w:space="0" w:color="auto"/>
            </w:tcBorders>
            <w:shd w:val="clear" w:color="000000" w:fill="D9D9D9"/>
            <w:noWrap/>
            <w:vAlign w:val="bottom"/>
            <w:hideMark/>
          </w:tcPr>
          <w:p w14:paraId="7C841395"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35.0</w:t>
            </w:r>
          </w:p>
        </w:tc>
        <w:tc>
          <w:tcPr>
            <w:tcW w:w="1414" w:type="dxa"/>
            <w:tcBorders>
              <w:top w:val="nil"/>
              <w:left w:val="nil"/>
              <w:bottom w:val="single" w:sz="4" w:space="0" w:color="auto"/>
              <w:right w:val="single" w:sz="4" w:space="0" w:color="auto"/>
            </w:tcBorders>
            <w:shd w:val="clear" w:color="auto" w:fill="auto"/>
            <w:noWrap/>
            <w:hideMark/>
          </w:tcPr>
          <w:p w14:paraId="71F02D51"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42 (0.60)</w:t>
            </w:r>
          </w:p>
        </w:tc>
      </w:tr>
      <w:tr w:rsidR="00403B07" w:rsidRPr="00734C53" w14:paraId="2B66A500" w14:textId="77777777" w:rsidTr="00B01272">
        <w:trPr>
          <w:gridAfter w:val="1"/>
          <w:wAfter w:w="6" w:type="dxa"/>
          <w:trHeight w:val="203"/>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14:paraId="073C8A23"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37</w:t>
            </w:r>
          </w:p>
        </w:tc>
        <w:tc>
          <w:tcPr>
            <w:tcW w:w="1397" w:type="dxa"/>
            <w:tcBorders>
              <w:top w:val="nil"/>
              <w:left w:val="nil"/>
              <w:bottom w:val="single" w:sz="4" w:space="0" w:color="auto"/>
              <w:right w:val="single" w:sz="4" w:space="0" w:color="auto"/>
            </w:tcBorders>
            <w:shd w:val="clear" w:color="auto" w:fill="auto"/>
            <w:noWrap/>
            <w:vAlign w:val="bottom"/>
            <w:hideMark/>
          </w:tcPr>
          <w:p w14:paraId="388C1637"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103.7</w:t>
            </w:r>
          </w:p>
        </w:tc>
        <w:tc>
          <w:tcPr>
            <w:tcW w:w="980" w:type="dxa"/>
            <w:tcBorders>
              <w:top w:val="nil"/>
              <w:left w:val="nil"/>
              <w:bottom w:val="single" w:sz="4" w:space="0" w:color="auto"/>
              <w:right w:val="single" w:sz="4" w:space="0" w:color="auto"/>
            </w:tcBorders>
            <w:shd w:val="clear" w:color="auto" w:fill="auto"/>
            <w:noWrap/>
            <w:vAlign w:val="bottom"/>
            <w:hideMark/>
          </w:tcPr>
          <w:p w14:paraId="713D09FA"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1.97</w:t>
            </w:r>
          </w:p>
        </w:tc>
        <w:tc>
          <w:tcPr>
            <w:tcW w:w="863" w:type="dxa"/>
            <w:tcBorders>
              <w:top w:val="nil"/>
              <w:left w:val="nil"/>
              <w:bottom w:val="single" w:sz="4" w:space="0" w:color="auto"/>
              <w:right w:val="single" w:sz="4" w:space="0" w:color="auto"/>
            </w:tcBorders>
            <w:shd w:val="clear" w:color="auto" w:fill="auto"/>
            <w:noWrap/>
            <w:vAlign w:val="bottom"/>
            <w:hideMark/>
          </w:tcPr>
          <w:p w14:paraId="4DB4BF65"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1.126</w:t>
            </w:r>
          </w:p>
        </w:tc>
        <w:tc>
          <w:tcPr>
            <w:tcW w:w="955" w:type="dxa"/>
            <w:tcBorders>
              <w:top w:val="nil"/>
              <w:left w:val="nil"/>
              <w:bottom w:val="single" w:sz="4" w:space="0" w:color="auto"/>
              <w:right w:val="single" w:sz="4" w:space="0" w:color="auto"/>
            </w:tcBorders>
            <w:shd w:val="clear" w:color="000000" w:fill="D9D9D9"/>
            <w:noWrap/>
            <w:vAlign w:val="bottom"/>
            <w:hideMark/>
          </w:tcPr>
          <w:p w14:paraId="2A1F5E09"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48.7</w:t>
            </w:r>
          </w:p>
        </w:tc>
        <w:tc>
          <w:tcPr>
            <w:tcW w:w="980" w:type="dxa"/>
            <w:tcBorders>
              <w:top w:val="nil"/>
              <w:left w:val="nil"/>
              <w:bottom w:val="single" w:sz="4" w:space="0" w:color="auto"/>
              <w:right w:val="single" w:sz="4" w:space="0" w:color="auto"/>
            </w:tcBorders>
            <w:shd w:val="clear" w:color="auto" w:fill="auto"/>
            <w:noWrap/>
            <w:vAlign w:val="bottom"/>
            <w:hideMark/>
          </w:tcPr>
          <w:p w14:paraId="106738AB"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16.0</w:t>
            </w:r>
          </w:p>
        </w:tc>
        <w:tc>
          <w:tcPr>
            <w:tcW w:w="1338" w:type="dxa"/>
            <w:tcBorders>
              <w:top w:val="nil"/>
              <w:left w:val="nil"/>
              <w:bottom w:val="single" w:sz="4" w:space="0" w:color="auto"/>
              <w:right w:val="single" w:sz="4" w:space="0" w:color="auto"/>
            </w:tcBorders>
            <w:shd w:val="clear" w:color="auto" w:fill="auto"/>
            <w:noWrap/>
            <w:hideMark/>
          </w:tcPr>
          <w:p w14:paraId="62F5B0D7"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38 (0.48)</w:t>
            </w:r>
          </w:p>
        </w:tc>
        <w:tc>
          <w:tcPr>
            <w:tcW w:w="990" w:type="dxa"/>
            <w:tcBorders>
              <w:top w:val="nil"/>
              <w:left w:val="nil"/>
              <w:bottom w:val="single" w:sz="4" w:space="0" w:color="auto"/>
              <w:right w:val="single" w:sz="4" w:space="0" w:color="auto"/>
            </w:tcBorders>
            <w:shd w:val="clear" w:color="auto" w:fill="auto"/>
            <w:noWrap/>
            <w:vAlign w:val="bottom"/>
            <w:hideMark/>
          </w:tcPr>
          <w:p w14:paraId="068E1534"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2.02</w:t>
            </w:r>
          </w:p>
        </w:tc>
        <w:tc>
          <w:tcPr>
            <w:tcW w:w="989" w:type="dxa"/>
            <w:tcBorders>
              <w:top w:val="nil"/>
              <w:left w:val="nil"/>
              <w:bottom w:val="single" w:sz="4" w:space="0" w:color="auto"/>
              <w:right w:val="single" w:sz="4" w:space="0" w:color="auto"/>
            </w:tcBorders>
            <w:shd w:val="clear" w:color="auto" w:fill="auto"/>
            <w:noWrap/>
            <w:vAlign w:val="bottom"/>
            <w:hideMark/>
          </w:tcPr>
          <w:p w14:paraId="13D0315A"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1.113</w:t>
            </w:r>
          </w:p>
        </w:tc>
        <w:tc>
          <w:tcPr>
            <w:tcW w:w="989" w:type="dxa"/>
            <w:tcBorders>
              <w:top w:val="nil"/>
              <w:left w:val="nil"/>
              <w:bottom w:val="single" w:sz="4" w:space="0" w:color="auto"/>
              <w:right w:val="single" w:sz="4" w:space="0" w:color="auto"/>
            </w:tcBorders>
            <w:shd w:val="clear" w:color="000000" w:fill="D9D9D9"/>
            <w:noWrap/>
            <w:vAlign w:val="bottom"/>
            <w:hideMark/>
          </w:tcPr>
          <w:p w14:paraId="35020BC8"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44.6</w:t>
            </w:r>
          </w:p>
        </w:tc>
        <w:tc>
          <w:tcPr>
            <w:tcW w:w="989" w:type="dxa"/>
            <w:tcBorders>
              <w:top w:val="nil"/>
              <w:left w:val="nil"/>
              <w:bottom w:val="single" w:sz="4" w:space="0" w:color="auto"/>
              <w:right w:val="single" w:sz="4" w:space="0" w:color="auto"/>
            </w:tcBorders>
            <w:shd w:val="clear" w:color="auto" w:fill="auto"/>
            <w:noWrap/>
            <w:vAlign w:val="bottom"/>
            <w:hideMark/>
          </w:tcPr>
          <w:p w14:paraId="2A8AD970"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16.4</w:t>
            </w:r>
          </w:p>
        </w:tc>
        <w:tc>
          <w:tcPr>
            <w:tcW w:w="1414" w:type="dxa"/>
            <w:tcBorders>
              <w:top w:val="nil"/>
              <w:left w:val="nil"/>
              <w:bottom w:val="single" w:sz="4" w:space="0" w:color="auto"/>
              <w:right w:val="single" w:sz="4" w:space="0" w:color="auto"/>
            </w:tcBorders>
            <w:shd w:val="clear" w:color="auto" w:fill="auto"/>
            <w:noWrap/>
            <w:hideMark/>
          </w:tcPr>
          <w:p w14:paraId="2BC4791A"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38 (0.52)</w:t>
            </w:r>
          </w:p>
        </w:tc>
      </w:tr>
      <w:tr w:rsidR="00403B07" w:rsidRPr="00734C53" w14:paraId="614683BE" w14:textId="77777777" w:rsidTr="00B01272">
        <w:trPr>
          <w:gridAfter w:val="1"/>
          <w:wAfter w:w="6" w:type="dxa"/>
          <w:trHeight w:val="203"/>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14:paraId="1BD4C094"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38</w:t>
            </w:r>
          </w:p>
        </w:tc>
        <w:tc>
          <w:tcPr>
            <w:tcW w:w="1397" w:type="dxa"/>
            <w:tcBorders>
              <w:top w:val="nil"/>
              <w:left w:val="nil"/>
              <w:bottom w:val="single" w:sz="4" w:space="0" w:color="auto"/>
              <w:right w:val="single" w:sz="4" w:space="0" w:color="auto"/>
            </w:tcBorders>
            <w:shd w:val="clear" w:color="auto" w:fill="auto"/>
            <w:noWrap/>
            <w:vAlign w:val="bottom"/>
            <w:hideMark/>
          </w:tcPr>
          <w:p w14:paraId="4BEC9D7F"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85.1</w:t>
            </w:r>
          </w:p>
        </w:tc>
        <w:tc>
          <w:tcPr>
            <w:tcW w:w="980" w:type="dxa"/>
            <w:tcBorders>
              <w:top w:val="nil"/>
              <w:left w:val="nil"/>
              <w:bottom w:val="single" w:sz="4" w:space="0" w:color="auto"/>
              <w:right w:val="single" w:sz="4" w:space="0" w:color="auto"/>
            </w:tcBorders>
            <w:shd w:val="clear" w:color="auto" w:fill="auto"/>
            <w:noWrap/>
            <w:vAlign w:val="bottom"/>
            <w:hideMark/>
          </w:tcPr>
          <w:p w14:paraId="4F62DFA9"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2.14</w:t>
            </w:r>
          </w:p>
        </w:tc>
        <w:tc>
          <w:tcPr>
            <w:tcW w:w="863" w:type="dxa"/>
            <w:tcBorders>
              <w:top w:val="nil"/>
              <w:left w:val="nil"/>
              <w:bottom w:val="single" w:sz="4" w:space="0" w:color="auto"/>
              <w:right w:val="single" w:sz="4" w:space="0" w:color="auto"/>
            </w:tcBorders>
            <w:shd w:val="clear" w:color="auto" w:fill="auto"/>
            <w:noWrap/>
            <w:vAlign w:val="bottom"/>
            <w:hideMark/>
          </w:tcPr>
          <w:p w14:paraId="1F2B3E06"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1.165</w:t>
            </w:r>
          </w:p>
        </w:tc>
        <w:tc>
          <w:tcPr>
            <w:tcW w:w="955" w:type="dxa"/>
            <w:tcBorders>
              <w:top w:val="nil"/>
              <w:left w:val="nil"/>
              <w:bottom w:val="single" w:sz="4" w:space="0" w:color="auto"/>
              <w:right w:val="single" w:sz="4" w:space="0" w:color="auto"/>
            </w:tcBorders>
            <w:shd w:val="clear" w:color="000000" w:fill="D9D9D9"/>
            <w:noWrap/>
            <w:vAlign w:val="bottom"/>
            <w:hideMark/>
          </w:tcPr>
          <w:p w14:paraId="58F727AC"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41.7</w:t>
            </w:r>
          </w:p>
        </w:tc>
        <w:tc>
          <w:tcPr>
            <w:tcW w:w="980" w:type="dxa"/>
            <w:tcBorders>
              <w:top w:val="nil"/>
              <w:left w:val="nil"/>
              <w:bottom w:val="single" w:sz="4" w:space="0" w:color="auto"/>
              <w:right w:val="single" w:sz="4" w:space="0" w:color="auto"/>
            </w:tcBorders>
            <w:shd w:val="clear" w:color="auto" w:fill="auto"/>
            <w:noWrap/>
            <w:vAlign w:val="bottom"/>
            <w:hideMark/>
          </w:tcPr>
          <w:p w14:paraId="1CB9D3DE"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20.2</w:t>
            </w:r>
          </w:p>
        </w:tc>
        <w:tc>
          <w:tcPr>
            <w:tcW w:w="1338" w:type="dxa"/>
            <w:tcBorders>
              <w:top w:val="nil"/>
              <w:left w:val="nil"/>
              <w:bottom w:val="single" w:sz="4" w:space="0" w:color="auto"/>
              <w:right w:val="single" w:sz="4" w:space="0" w:color="auto"/>
            </w:tcBorders>
            <w:shd w:val="clear" w:color="auto" w:fill="auto"/>
            <w:noWrap/>
            <w:hideMark/>
          </w:tcPr>
          <w:p w14:paraId="2001B215"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43 (0.50)</w:t>
            </w:r>
          </w:p>
        </w:tc>
        <w:tc>
          <w:tcPr>
            <w:tcW w:w="990" w:type="dxa"/>
            <w:tcBorders>
              <w:top w:val="nil"/>
              <w:left w:val="nil"/>
              <w:bottom w:val="single" w:sz="4" w:space="0" w:color="auto"/>
              <w:right w:val="single" w:sz="4" w:space="0" w:color="auto"/>
            </w:tcBorders>
            <w:shd w:val="clear" w:color="auto" w:fill="auto"/>
            <w:noWrap/>
            <w:vAlign w:val="bottom"/>
            <w:hideMark/>
          </w:tcPr>
          <w:p w14:paraId="7C199F93"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2.11</w:t>
            </w:r>
          </w:p>
        </w:tc>
        <w:tc>
          <w:tcPr>
            <w:tcW w:w="989" w:type="dxa"/>
            <w:tcBorders>
              <w:top w:val="nil"/>
              <w:left w:val="nil"/>
              <w:bottom w:val="single" w:sz="4" w:space="0" w:color="auto"/>
              <w:right w:val="single" w:sz="4" w:space="0" w:color="auto"/>
            </w:tcBorders>
            <w:shd w:val="clear" w:color="auto" w:fill="auto"/>
            <w:noWrap/>
            <w:vAlign w:val="bottom"/>
            <w:hideMark/>
          </w:tcPr>
          <w:p w14:paraId="7E0BC355"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1.119</w:t>
            </w:r>
          </w:p>
        </w:tc>
        <w:tc>
          <w:tcPr>
            <w:tcW w:w="989" w:type="dxa"/>
            <w:tcBorders>
              <w:top w:val="nil"/>
              <w:left w:val="nil"/>
              <w:bottom w:val="single" w:sz="4" w:space="0" w:color="auto"/>
              <w:right w:val="single" w:sz="4" w:space="0" w:color="auto"/>
            </w:tcBorders>
            <w:shd w:val="clear" w:color="000000" w:fill="D9D9D9"/>
            <w:noWrap/>
            <w:vAlign w:val="bottom"/>
            <w:hideMark/>
          </w:tcPr>
          <w:p w14:paraId="24519AAD"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40.8</w:t>
            </w:r>
          </w:p>
        </w:tc>
        <w:tc>
          <w:tcPr>
            <w:tcW w:w="989" w:type="dxa"/>
            <w:tcBorders>
              <w:top w:val="nil"/>
              <w:left w:val="nil"/>
              <w:bottom w:val="single" w:sz="4" w:space="0" w:color="auto"/>
              <w:right w:val="single" w:sz="4" w:space="0" w:color="auto"/>
            </w:tcBorders>
            <w:shd w:val="clear" w:color="auto" w:fill="auto"/>
            <w:noWrap/>
            <w:vAlign w:val="bottom"/>
            <w:hideMark/>
          </w:tcPr>
          <w:p w14:paraId="69A7AFFE"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16.9</w:t>
            </w:r>
          </w:p>
        </w:tc>
        <w:tc>
          <w:tcPr>
            <w:tcW w:w="1414" w:type="dxa"/>
            <w:tcBorders>
              <w:top w:val="nil"/>
              <w:left w:val="nil"/>
              <w:bottom w:val="single" w:sz="4" w:space="0" w:color="auto"/>
              <w:right w:val="single" w:sz="4" w:space="0" w:color="auto"/>
            </w:tcBorders>
            <w:shd w:val="clear" w:color="auto" w:fill="auto"/>
            <w:noWrap/>
            <w:hideMark/>
          </w:tcPr>
          <w:p w14:paraId="6117989C"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43 (0.53)</w:t>
            </w:r>
          </w:p>
        </w:tc>
      </w:tr>
      <w:tr w:rsidR="00403B07" w:rsidRPr="00734C53" w14:paraId="4C6BA31E" w14:textId="77777777" w:rsidTr="00B01272">
        <w:trPr>
          <w:gridAfter w:val="1"/>
          <w:wAfter w:w="6" w:type="dxa"/>
          <w:trHeight w:val="203"/>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14:paraId="6938FF84"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39</w:t>
            </w:r>
          </w:p>
        </w:tc>
        <w:tc>
          <w:tcPr>
            <w:tcW w:w="1397" w:type="dxa"/>
            <w:tcBorders>
              <w:top w:val="nil"/>
              <w:left w:val="nil"/>
              <w:bottom w:val="single" w:sz="4" w:space="0" w:color="auto"/>
              <w:right w:val="single" w:sz="4" w:space="0" w:color="auto"/>
            </w:tcBorders>
            <w:shd w:val="clear" w:color="auto" w:fill="auto"/>
            <w:noWrap/>
            <w:vAlign w:val="bottom"/>
            <w:hideMark/>
          </w:tcPr>
          <w:p w14:paraId="4AAF4F95"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80.8</w:t>
            </w:r>
          </w:p>
        </w:tc>
        <w:tc>
          <w:tcPr>
            <w:tcW w:w="980" w:type="dxa"/>
            <w:tcBorders>
              <w:top w:val="nil"/>
              <w:left w:val="nil"/>
              <w:bottom w:val="single" w:sz="4" w:space="0" w:color="auto"/>
              <w:right w:val="single" w:sz="4" w:space="0" w:color="auto"/>
            </w:tcBorders>
            <w:shd w:val="clear" w:color="auto" w:fill="auto"/>
            <w:noWrap/>
            <w:vAlign w:val="bottom"/>
            <w:hideMark/>
          </w:tcPr>
          <w:p w14:paraId="428CDECC"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2.27</w:t>
            </w:r>
          </w:p>
        </w:tc>
        <w:tc>
          <w:tcPr>
            <w:tcW w:w="863" w:type="dxa"/>
            <w:tcBorders>
              <w:top w:val="nil"/>
              <w:left w:val="nil"/>
              <w:bottom w:val="single" w:sz="4" w:space="0" w:color="auto"/>
              <w:right w:val="single" w:sz="4" w:space="0" w:color="auto"/>
            </w:tcBorders>
            <w:shd w:val="clear" w:color="auto" w:fill="auto"/>
            <w:noWrap/>
            <w:vAlign w:val="bottom"/>
            <w:hideMark/>
          </w:tcPr>
          <w:p w14:paraId="314BFF84"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1.031</w:t>
            </w:r>
          </w:p>
        </w:tc>
        <w:tc>
          <w:tcPr>
            <w:tcW w:w="955" w:type="dxa"/>
            <w:tcBorders>
              <w:top w:val="nil"/>
              <w:left w:val="nil"/>
              <w:bottom w:val="single" w:sz="4" w:space="0" w:color="auto"/>
              <w:right w:val="single" w:sz="4" w:space="0" w:color="auto"/>
            </w:tcBorders>
            <w:shd w:val="clear" w:color="auto" w:fill="auto"/>
            <w:noWrap/>
            <w:vAlign w:val="bottom"/>
            <w:hideMark/>
          </w:tcPr>
          <w:p w14:paraId="4B9648C3"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27.3</w:t>
            </w:r>
          </w:p>
        </w:tc>
        <w:tc>
          <w:tcPr>
            <w:tcW w:w="980" w:type="dxa"/>
            <w:tcBorders>
              <w:top w:val="nil"/>
              <w:left w:val="nil"/>
              <w:bottom w:val="single" w:sz="4" w:space="0" w:color="auto"/>
              <w:right w:val="single" w:sz="4" w:space="0" w:color="auto"/>
            </w:tcBorders>
            <w:shd w:val="clear" w:color="auto" w:fill="auto"/>
            <w:noWrap/>
            <w:vAlign w:val="bottom"/>
            <w:hideMark/>
          </w:tcPr>
          <w:p w14:paraId="5F724A90"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15.9</w:t>
            </w:r>
          </w:p>
        </w:tc>
        <w:tc>
          <w:tcPr>
            <w:tcW w:w="1338" w:type="dxa"/>
            <w:tcBorders>
              <w:top w:val="nil"/>
              <w:left w:val="nil"/>
              <w:bottom w:val="single" w:sz="4" w:space="0" w:color="auto"/>
              <w:right w:val="single" w:sz="4" w:space="0" w:color="auto"/>
            </w:tcBorders>
            <w:shd w:val="clear" w:color="000000" w:fill="D9D9D9"/>
            <w:noWrap/>
            <w:hideMark/>
          </w:tcPr>
          <w:p w14:paraId="3EA35B77"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40 (0.63)</w:t>
            </w:r>
          </w:p>
        </w:tc>
        <w:tc>
          <w:tcPr>
            <w:tcW w:w="990" w:type="dxa"/>
            <w:tcBorders>
              <w:top w:val="nil"/>
              <w:left w:val="nil"/>
              <w:bottom w:val="single" w:sz="4" w:space="0" w:color="auto"/>
              <w:right w:val="single" w:sz="4" w:space="0" w:color="auto"/>
            </w:tcBorders>
            <w:shd w:val="clear" w:color="auto" w:fill="auto"/>
            <w:noWrap/>
            <w:vAlign w:val="bottom"/>
            <w:hideMark/>
          </w:tcPr>
          <w:p w14:paraId="1BF8C650"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2.33</w:t>
            </w:r>
          </w:p>
        </w:tc>
        <w:tc>
          <w:tcPr>
            <w:tcW w:w="989" w:type="dxa"/>
            <w:tcBorders>
              <w:top w:val="nil"/>
              <w:left w:val="nil"/>
              <w:bottom w:val="single" w:sz="4" w:space="0" w:color="auto"/>
              <w:right w:val="single" w:sz="4" w:space="0" w:color="auto"/>
            </w:tcBorders>
            <w:shd w:val="clear" w:color="auto" w:fill="auto"/>
            <w:noWrap/>
            <w:vAlign w:val="bottom"/>
            <w:hideMark/>
          </w:tcPr>
          <w:p w14:paraId="31DCBBFC"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1.037</w:t>
            </w:r>
          </w:p>
        </w:tc>
        <w:tc>
          <w:tcPr>
            <w:tcW w:w="989" w:type="dxa"/>
            <w:tcBorders>
              <w:top w:val="nil"/>
              <w:left w:val="nil"/>
              <w:bottom w:val="single" w:sz="4" w:space="0" w:color="auto"/>
              <w:right w:val="single" w:sz="4" w:space="0" w:color="auto"/>
            </w:tcBorders>
            <w:shd w:val="clear" w:color="auto" w:fill="auto"/>
            <w:noWrap/>
            <w:vAlign w:val="bottom"/>
            <w:hideMark/>
          </w:tcPr>
          <w:p w14:paraId="7C2492FA"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26.2</w:t>
            </w:r>
          </w:p>
        </w:tc>
        <w:tc>
          <w:tcPr>
            <w:tcW w:w="989" w:type="dxa"/>
            <w:tcBorders>
              <w:top w:val="nil"/>
              <w:left w:val="nil"/>
              <w:bottom w:val="single" w:sz="4" w:space="0" w:color="auto"/>
              <w:right w:val="single" w:sz="4" w:space="0" w:color="auto"/>
            </w:tcBorders>
            <w:shd w:val="clear" w:color="auto" w:fill="auto"/>
            <w:noWrap/>
            <w:vAlign w:val="bottom"/>
            <w:hideMark/>
          </w:tcPr>
          <w:p w14:paraId="22277842"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16.4</w:t>
            </w:r>
          </w:p>
        </w:tc>
        <w:tc>
          <w:tcPr>
            <w:tcW w:w="1414" w:type="dxa"/>
            <w:tcBorders>
              <w:top w:val="nil"/>
              <w:left w:val="nil"/>
              <w:bottom w:val="single" w:sz="4" w:space="0" w:color="auto"/>
              <w:right w:val="single" w:sz="4" w:space="0" w:color="auto"/>
            </w:tcBorders>
            <w:shd w:val="clear" w:color="auto" w:fill="D9D9D9" w:themeFill="background1" w:themeFillShade="D9"/>
            <w:noWrap/>
            <w:hideMark/>
          </w:tcPr>
          <w:p w14:paraId="5F3D4422"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40 (0.71)</w:t>
            </w:r>
          </w:p>
        </w:tc>
      </w:tr>
      <w:tr w:rsidR="00403B07" w:rsidRPr="00734C53" w14:paraId="4D2C6C99" w14:textId="77777777" w:rsidTr="00B01272">
        <w:trPr>
          <w:gridAfter w:val="1"/>
          <w:wAfter w:w="6" w:type="dxa"/>
          <w:trHeight w:val="203"/>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14:paraId="585D9CC6"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40</w:t>
            </w:r>
          </w:p>
        </w:tc>
        <w:tc>
          <w:tcPr>
            <w:tcW w:w="1397" w:type="dxa"/>
            <w:tcBorders>
              <w:top w:val="nil"/>
              <w:left w:val="nil"/>
              <w:bottom w:val="single" w:sz="4" w:space="0" w:color="auto"/>
              <w:right w:val="single" w:sz="4" w:space="0" w:color="auto"/>
            </w:tcBorders>
            <w:shd w:val="clear" w:color="auto" w:fill="auto"/>
            <w:noWrap/>
            <w:vAlign w:val="bottom"/>
            <w:hideMark/>
          </w:tcPr>
          <w:p w14:paraId="1A5440D5"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85.2</w:t>
            </w:r>
          </w:p>
        </w:tc>
        <w:tc>
          <w:tcPr>
            <w:tcW w:w="980" w:type="dxa"/>
            <w:tcBorders>
              <w:top w:val="nil"/>
              <w:left w:val="nil"/>
              <w:bottom w:val="single" w:sz="4" w:space="0" w:color="auto"/>
              <w:right w:val="single" w:sz="4" w:space="0" w:color="auto"/>
            </w:tcBorders>
            <w:shd w:val="clear" w:color="auto" w:fill="auto"/>
            <w:noWrap/>
            <w:vAlign w:val="bottom"/>
            <w:hideMark/>
          </w:tcPr>
          <w:p w14:paraId="2D47EA3F"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2.43</w:t>
            </w:r>
          </w:p>
        </w:tc>
        <w:tc>
          <w:tcPr>
            <w:tcW w:w="863" w:type="dxa"/>
            <w:tcBorders>
              <w:top w:val="nil"/>
              <w:left w:val="nil"/>
              <w:bottom w:val="single" w:sz="4" w:space="0" w:color="auto"/>
              <w:right w:val="single" w:sz="4" w:space="0" w:color="auto"/>
            </w:tcBorders>
            <w:shd w:val="clear" w:color="auto" w:fill="auto"/>
            <w:noWrap/>
            <w:vAlign w:val="bottom"/>
            <w:hideMark/>
          </w:tcPr>
          <w:p w14:paraId="3AF23593"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1.041</w:t>
            </w:r>
          </w:p>
        </w:tc>
        <w:tc>
          <w:tcPr>
            <w:tcW w:w="955" w:type="dxa"/>
            <w:tcBorders>
              <w:top w:val="nil"/>
              <w:left w:val="nil"/>
              <w:bottom w:val="single" w:sz="4" w:space="0" w:color="auto"/>
              <w:right w:val="single" w:sz="4" w:space="0" w:color="auto"/>
            </w:tcBorders>
            <w:shd w:val="clear" w:color="auto" w:fill="auto"/>
            <w:noWrap/>
            <w:vAlign w:val="bottom"/>
            <w:hideMark/>
          </w:tcPr>
          <w:p w14:paraId="78FE1533"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22.6</w:t>
            </w:r>
          </w:p>
        </w:tc>
        <w:tc>
          <w:tcPr>
            <w:tcW w:w="980" w:type="dxa"/>
            <w:tcBorders>
              <w:top w:val="nil"/>
              <w:left w:val="nil"/>
              <w:bottom w:val="single" w:sz="4" w:space="0" w:color="auto"/>
              <w:right w:val="single" w:sz="4" w:space="0" w:color="auto"/>
            </w:tcBorders>
            <w:shd w:val="clear" w:color="auto" w:fill="auto"/>
            <w:noWrap/>
            <w:vAlign w:val="bottom"/>
            <w:hideMark/>
          </w:tcPr>
          <w:p w14:paraId="46804CB3"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19.2</w:t>
            </w:r>
          </w:p>
        </w:tc>
        <w:tc>
          <w:tcPr>
            <w:tcW w:w="1338" w:type="dxa"/>
            <w:tcBorders>
              <w:top w:val="nil"/>
              <w:left w:val="nil"/>
              <w:bottom w:val="single" w:sz="4" w:space="0" w:color="auto"/>
              <w:right w:val="single" w:sz="4" w:space="0" w:color="auto"/>
            </w:tcBorders>
            <w:shd w:val="clear" w:color="000000" w:fill="D9D9D9"/>
            <w:noWrap/>
            <w:hideMark/>
          </w:tcPr>
          <w:p w14:paraId="430B3C94"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39 (0.63)</w:t>
            </w:r>
          </w:p>
        </w:tc>
        <w:tc>
          <w:tcPr>
            <w:tcW w:w="990" w:type="dxa"/>
            <w:tcBorders>
              <w:top w:val="nil"/>
              <w:left w:val="nil"/>
              <w:bottom w:val="single" w:sz="4" w:space="0" w:color="auto"/>
              <w:right w:val="single" w:sz="4" w:space="0" w:color="auto"/>
            </w:tcBorders>
            <w:shd w:val="clear" w:color="auto" w:fill="auto"/>
            <w:noWrap/>
            <w:vAlign w:val="bottom"/>
            <w:hideMark/>
          </w:tcPr>
          <w:p w14:paraId="211FD388"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2.51</w:t>
            </w:r>
          </w:p>
        </w:tc>
        <w:tc>
          <w:tcPr>
            <w:tcW w:w="989" w:type="dxa"/>
            <w:tcBorders>
              <w:top w:val="nil"/>
              <w:left w:val="nil"/>
              <w:bottom w:val="single" w:sz="4" w:space="0" w:color="auto"/>
              <w:right w:val="single" w:sz="4" w:space="0" w:color="auto"/>
            </w:tcBorders>
            <w:shd w:val="clear" w:color="auto" w:fill="auto"/>
            <w:noWrap/>
            <w:vAlign w:val="bottom"/>
            <w:hideMark/>
          </w:tcPr>
          <w:p w14:paraId="5D02D31C"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1.006</w:t>
            </w:r>
          </w:p>
        </w:tc>
        <w:tc>
          <w:tcPr>
            <w:tcW w:w="989" w:type="dxa"/>
            <w:tcBorders>
              <w:top w:val="nil"/>
              <w:left w:val="nil"/>
              <w:bottom w:val="single" w:sz="4" w:space="0" w:color="auto"/>
              <w:right w:val="single" w:sz="4" w:space="0" w:color="auto"/>
            </w:tcBorders>
            <w:shd w:val="clear" w:color="auto" w:fill="auto"/>
            <w:noWrap/>
            <w:vAlign w:val="bottom"/>
            <w:hideMark/>
          </w:tcPr>
          <w:p w14:paraId="5069B6AF"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18.7</w:t>
            </w:r>
          </w:p>
        </w:tc>
        <w:tc>
          <w:tcPr>
            <w:tcW w:w="989" w:type="dxa"/>
            <w:tcBorders>
              <w:top w:val="nil"/>
              <w:left w:val="nil"/>
              <w:bottom w:val="single" w:sz="4" w:space="0" w:color="auto"/>
              <w:right w:val="single" w:sz="4" w:space="0" w:color="auto"/>
            </w:tcBorders>
            <w:shd w:val="clear" w:color="auto" w:fill="auto"/>
            <w:noWrap/>
            <w:vAlign w:val="bottom"/>
            <w:hideMark/>
          </w:tcPr>
          <w:p w14:paraId="0292256E"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19.3</w:t>
            </w:r>
          </w:p>
        </w:tc>
        <w:tc>
          <w:tcPr>
            <w:tcW w:w="1414" w:type="dxa"/>
            <w:tcBorders>
              <w:top w:val="nil"/>
              <w:left w:val="nil"/>
              <w:bottom w:val="single" w:sz="4" w:space="0" w:color="auto"/>
              <w:right w:val="single" w:sz="4" w:space="0" w:color="auto"/>
            </w:tcBorders>
            <w:shd w:val="clear" w:color="auto" w:fill="D9D9D9" w:themeFill="background1" w:themeFillShade="D9"/>
            <w:noWrap/>
            <w:hideMark/>
          </w:tcPr>
          <w:p w14:paraId="3BB295DF"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39 (0.71)</w:t>
            </w:r>
          </w:p>
        </w:tc>
      </w:tr>
      <w:tr w:rsidR="00403B07" w:rsidRPr="00734C53" w14:paraId="07E4DC65" w14:textId="77777777" w:rsidTr="00B01272">
        <w:trPr>
          <w:gridAfter w:val="1"/>
          <w:wAfter w:w="6" w:type="dxa"/>
          <w:trHeight w:val="203"/>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14:paraId="3C4EF93B"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41</w:t>
            </w:r>
          </w:p>
        </w:tc>
        <w:tc>
          <w:tcPr>
            <w:tcW w:w="1397" w:type="dxa"/>
            <w:tcBorders>
              <w:top w:val="nil"/>
              <w:left w:val="nil"/>
              <w:bottom w:val="single" w:sz="4" w:space="0" w:color="auto"/>
              <w:right w:val="single" w:sz="4" w:space="0" w:color="auto"/>
            </w:tcBorders>
            <w:shd w:val="clear" w:color="auto" w:fill="auto"/>
            <w:noWrap/>
            <w:vAlign w:val="bottom"/>
            <w:hideMark/>
          </w:tcPr>
          <w:p w14:paraId="3CBC297F"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80.8</w:t>
            </w:r>
          </w:p>
        </w:tc>
        <w:tc>
          <w:tcPr>
            <w:tcW w:w="980" w:type="dxa"/>
            <w:tcBorders>
              <w:top w:val="nil"/>
              <w:left w:val="nil"/>
              <w:bottom w:val="single" w:sz="4" w:space="0" w:color="auto"/>
              <w:right w:val="single" w:sz="4" w:space="0" w:color="auto"/>
            </w:tcBorders>
            <w:shd w:val="clear" w:color="auto" w:fill="auto"/>
            <w:noWrap/>
            <w:vAlign w:val="bottom"/>
            <w:hideMark/>
          </w:tcPr>
          <w:p w14:paraId="1990B78B"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2.33</w:t>
            </w:r>
          </w:p>
        </w:tc>
        <w:tc>
          <w:tcPr>
            <w:tcW w:w="863" w:type="dxa"/>
            <w:tcBorders>
              <w:top w:val="nil"/>
              <w:left w:val="nil"/>
              <w:bottom w:val="single" w:sz="4" w:space="0" w:color="auto"/>
              <w:right w:val="single" w:sz="4" w:space="0" w:color="auto"/>
            </w:tcBorders>
            <w:shd w:val="clear" w:color="auto" w:fill="auto"/>
            <w:noWrap/>
            <w:vAlign w:val="bottom"/>
            <w:hideMark/>
          </w:tcPr>
          <w:p w14:paraId="5FDE1122"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1.094</w:t>
            </w:r>
          </w:p>
        </w:tc>
        <w:tc>
          <w:tcPr>
            <w:tcW w:w="955" w:type="dxa"/>
            <w:tcBorders>
              <w:top w:val="nil"/>
              <w:left w:val="nil"/>
              <w:bottom w:val="single" w:sz="4" w:space="0" w:color="auto"/>
              <w:right w:val="single" w:sz="4" w:space="0" w:color="auto"/>
            </w:tcBorders>
            <w:shd w:val="clear" w:color="auto" w:fill="auto"/>
            <w:noWrap/>
            <w:vAlign w:val="bottom"/>
            <w:hideMark/>
          </w:tcPr>
          <w:p w14:paraId="654423AF"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29.0</w:t>
            </w:r>
          </w:p>
        </w:tc>
        <w:tc>
          <w:tcPr>
            <w:tcW w:w="980" w:type="dxa"/>
            <w:tcBorders>
              <w:top w:val="nil"/>
              <w:left w:val="nil"/>
              <w:bottom w:val="single" w:sz="4" w:space="0" w:color="auto"/>
              <w:right w:val="single" w:sz="4" w:space="0" w:color="auto"/>
            </w:tcBorders>
            <w:shd w:val="clear" w:color="auto" w:fill="auto"/>
            <w:noWrap/>
            <w:vAlign w:val="bottom"/>
            <w:hideMark/>
          </w:tcPr>
          <w:p w14:paraId="0219E4B8"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19.6</w:t>
            </w:r>
          </w:p>
        </w:tc>
        <w:tc>
          <w:tcPr>
            <w:tcW w:w="1338" w:type="dxa"/>
            <w:tcBorders>
              <w:top w:val="nil"/>
              <w:left w:val="nil"/>
              <w:bottom w:val="single" w:sz="4" w:space="0" w:color="auto"/>
              <w:right w:val="single" w:sz="4" w:space="0" w:color="auto"/>
            </w:tcBorders>
            <w:shd w:val="clear" w:color="auto" w:fill="auto"/>
            <w:noWrap/>
            <w:hideMark/>
          </w:tcPr>
          <w:p w14:paraId="366808CA"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35 (0.54)</w:t>
            </w:r>
          </w:p>
        </w:tc>
        <w:tc>
          <w:tcPr>
            <w:tcW w:w="990" w:type="dxa"/>
            <w:tcBorders>
              <w:top w:val="nil"/>
              <w:left w:val="nil"/>
              <w:bottom w:val="single" w:sz="4" w:space="0" w:color="auto"/>
              <w:right w:val="single" w:sz="4" w:space="0" w:color="auto"/>
            </w:tcBorders>
            <w:shd w:val="clear" w:color="auto" w:fill="auto"/>
            <w:noWrap/>
            <w:vAlign w:val="bottom"/>
            <w:hideMark/>
          </w:tcPr>
          <w:p w14:paraId="5025EBBA"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2.30</w:t>
            </w:r>
          </w:p>
        </w:tc>
        <w:tc>
          <w:tcPr>
            <w:tcW w:w="989" w:type="dxa"/>
            <w:tcBorders>
              <w:top w:val="nil"/>
              <w:left w:val="nil"/>
              <w:bottom w:val="single" w:sz="4" w:space="0" w:color="auto"/>
              <w:right w:val="single" w:sz="4" w:space="0" w:color="auto"/>
            </w:tcBorders>
            <w:shd w:val="clear" w:color="auto" w:fill="auto"/>
            <w:noWrap/>
            <w:vAlign w:val="bottom"/>
            <w:hideMark/>
          </w:tcPr>
          <w:p w14:paraId="59D10DD8"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1.045</w:t>
            </w:r>
          </w:p>
        </w:tc>
        <w:tc>
          <w:tcPr>
            <w:tcW w:w="989" w:type="dxa"/>
            <w:tcBorders>
              <w:top w:val="nil"/>
              <w:left w:val="nil"/>
              <w:bottom w:val="single" w:sz="4" w:space="0" w:color="auto"/>
              <w:right w:val="single" w:sz="4" w:space="0" w:color="auto"/>
            </w:tcBorders>
            <w:shd w:val="clear" w:color="auto" w:fill="auto"/>
            <w:noWrap/>
            <w:vAlign w:val="bottom"/>
            <w:hideMark/>
          </w:tcPr>
          <w:p w14:paraId="440CF80D"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27.1</w:t>
            </w:r>
          </w:p>
        </w:tc>
        <w:tc>
          <w:tcPr>
            <w:tcW w:w="989" w:type="dxa"/>
            <w:tcBorders>
              <w:top w:val="nil"/>
              <w:left w:val="nil"/>
              <w:bottom w:val="single" w:sz="4" w:space="0" w:color="auto"/>
              <w:right w:val="single" w:sz="4" w:space="0" w:color="auto"/>
            </w:tcBorders>
            <w:shd w:val="clear" w:color="auto" w:fill="auto"/>
            <w:noWrap/>
            <w:vAlign w:val="bottom"/>
            <w:hideMark/>
          </w:tcPr>
          <w:p w14:paraId="4094E9BB"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17.0</w:t>
            </w:r>
          </w:p>
        </w:tc>
        <w:tc>
          <w:tcPr>
            <w:tcW w:w="1414" w:type="dxa"/>
            <w:tcBorders>
              <w:top w:val="nil"/>
              <w:left w:val="nil"/>
              <w:bottom w:val="single" w:sz="4" w:space="0" w:color="auto"/>
              <w:right w:val="single" w:sz="4" w:space="0" w:color="auto"/>
            </w:tcBorders>
            <w:shd w:val="clear" w:color="auto" w:fill="auto"/>
            <w:noWrap/>
            <w:hideMark/>
          </w:tcPr>
          <w:p w14:paraId="2BD79110"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35 (0.55)</w:t>
            </w:r>
          </w:p>
        </w:tc>
      </w:tr>
      <w:tr w:rsidR="00403B07" w:rsidRPr="00734C53" w14:paraId="36FC5F1F" w14:textId="77777777" w:rsidTr="00B01272">
        <w:trPr>
          <w:gridAfter w:val="1"/>
          <w:wAfter w:w="6" w:type="dxa"/>
          <w:trHeight w:val="203"/>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14:paraId="71E7D067"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42</w:t>
            </w:r>
          </w:p>
        </w:tc>
        <w:tc>
          <w:tcPr>
            <w:tcW w:w="1397" w:type="dxa"/>
            <w:tcBorders>
              <w:top w:val="nil"/>
              <w:left w:val="nil"/>
              <w:bottom w:val="single" w:sz="4" w:space="0" w:color="auto"/>
              <w:right w:val="single" w:sz="4" w:space="0" w:color="auto"/>
            </w:tcBorders>
            <w:shd w:val="clear" w:color="auto" w:fill="auto"/>
            <w:noWrap/>
            <w:vAlign w:val="bottom"/>
            <w:hideMark/>
          </w:tcPr>
          <w:p w14:paraId="6532E4B8"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63.7</w:t>
            </w:r>
          </w:p>
        </w:tc>
        <w:tc>
          <w:tcPr>
            <w:tcW w:w="980" w:type="dxa"/>
            <w:tcBorders>
              <w:top w:val="nil"/>
              <w:left w:val="nil"/>
              <w:bottom w:val="single" w:sz="4" w:space="0" w:color="auto"/>
              <w:right w:val="single" w:sz="4" w:space="0" w:color="auto"/>
            </w:tcBorders>
            <w:shd w:val="clear" w:color="auto" w:fill="auto"/>
            <w:noWrap/>
            <w:vAlign w:val="bottom"/>
            <w:hideMark/>
          </w:tcPr>
          <w:p w14:paraId="6C7D56DC"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2.83</w:t>
            </w:r>
          </w:p>
        </w:tc>
        <w:tc>
          <w:tcPr>
            <w:tcW w:w="863" w:type="dxa"/>
            <w:tcBorders>
              <w:top w:val="nil"/>
              <w:left w:val="nil"/>
              <w:bottom w:val="single" w:sz="4" w:space="0" w:color="auto"/>
              <w:right w:val="single" w:sz="4" w:space="0" w:color="auto"/>
            </w:tcBorders>
            <w:shd w:val="clear" w:color="auto" w:fill="auto"/>
            <w:noWrap/>
            <w:vAlign w:val="bottom"/>
            <w:hideMark/>
          </w:tcPr>
          <w:p w14:paraId="1F7A24F8"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1.042</w:t>
            </w:r>
          </w:p>
        </w:tc>
        <w:tc>
          <w:tcPr>
            <w:tcW w:w="955" w:type="dxa"/>
            <w:tcBorders>
              <w:top w:val="nil"/>
              <w:left w:val="nil"/>
              <w:bottom w:val="single" w:sz="4" w:space="0" w:color="auto"/>
              <w:right w:val="single" w:sz="4" w:space="0" w:color="auto"/>
            </w:tcBorders>
            <w:shd w:val="clear" w:color="auto" w:fill="auto"/>
            <w:noWrap/>
            <w:vAlign w:val="bottom"/>
            <w:hideMark/>
          </w:tcPr>
          <w:p w14:paraId="2BE8F910"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13.8</w:t>
            </w:r>
          </w:p>
        </w:tc>
        <w:tc>
          <w:tcPr>
            <w:tcW w:w="980" w:type="dxa"/>
            <w:tcBorders>
              <w:top w:val="nil"/>
              <w:left w:val="nil"/>
              <w:bottom w:val="single" w:sz="4" w:space="0" w:color="auto"/>
              <w:right w:val="single" w:sz="4" w:space="0" w:color="auto"/>
            </w:tcBorders>
            <w:shd w:val="clear" w:color="000000" w:fill="D9D9D9"/>
            <w:noWrap/>
            <w:vAlign w:val="bottom"/>
            <w:hideMark/>
          </w:tcPr>
          <w:p w14:paraId="23A7B2C8"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33.2</w:t>
            </w:r>
          </w:p>
        </w:tc>
        <w:tc>
          <w:tcPr>
            <w:tcW w:w="1338" w:type="dxa"/>
            <w:tcBorders>
              <w:top w:val="nil"/>
              <w:left w:val="nil"/>
              <w:bottom w:val="single" w:sz="4" w:space="0" w:color="auto"/>
              <w:right w:val="single" w:sz="4" w:space="0" w:color="auto"/>
            </w:tcBorders>
            <w:shd w:val="clear" w:color="auto" w:fill="auto"/>
            <w:noWrap/>
            <w:hideMark/>
          </w:tcPr>
          <w:p w14:paraId="73825F92"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36 (0.52)</w:t>
            </w:r>
          </w:p>
        </w:tc>
        <w:tc>
          <w:tcPr>
            <w:tcW w:w="990" w:type="dxa"/>
            <w:tcBorders>
              <w:top w:val="nil"/>
              <w:left w:val="nil"/>
              <w:bottom w:val="single" w:sz="4" w:space="0" w:color="auto"/>
              <w:right w:val="single" w:sz="4" w:space="0" w:color="auto"/>
            </w:tcBorders>
            <w:shd w:val="clear" w:color="auto" w:fill="auto"/>
            <w:noWrap/>
            <w:vAlign w:val="bottom"/>
            <w:hideMark/>
          </w:tcPr>
          <w:p w14:paraId="6B9957BA"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2.81</w:t>
            </w:r>
          </w:p>
        </w:tc>
        <w:tc>
          <w:tcPr>
            <w:tcW w:w="989" w:type="dxa"/>
            <w:tcBorders>
              <w:top w:val="nil"/>
              <w:left w:val="nil"/>
              <w:bottom w:val="single" w:sz="4" w:space="0" w:color="auto"/>
              <w:right w:val="single" w:sz="4" w:space="0" w:color="auto"/>
            </w:tcBorders>
            <w:shd w:val="clear" w:color="auto" w:fill="auto"/>
            <w:noWrap/>
            <w:vAlign w:val="bottom"/>
            <w:hideMark/>
          </w:tcPr>
          <w:p w14:paraId="74C765CA"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1.039</w:t>
            </w:r>
          </w:p>
        </w:tc>
        <w:tc>
          <w:tcPr>
            <w:tcW w:w="989" w:type="dxa"/>
            <w:tcBorders>
              <w:top w:val="nil"/>
              <w:left w:val="nil"/>
              <w:bottom w:val="single" w:sz="4" w:space="0" w:color="auto"/>
              <w:right w:val="single" w:sz="4" w:space="0" w:color="auto"/>
            </w:tcBorders>
            <w:shd w:val="clear" w:color="auto" w:fill="auto"/>
            <w:noWrap/>
            <w:vAlign w:val="bottom"/>
            <w:hideMark/>
          </w:tcPr>
          <w:p w14:paraId="2098F3E4"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14.7</w:t>
            </w:r>
          </w:p>
        </w:tc>
        <w:tc>
          <w:tcPr>
            <w:tcW w:w="989" w:type="dxa"/>
            <w:tcBorders>
              <w:top w:val="nil"/>
              <w:left w:val="nil"/>
              <w:bottom w:val="single" w:sz="4" w:space="0" w:color="auto"/>
              <w:right w:val="single" w:sz="4" w:space="0" w:color="auto"/>
            </w:tcBorders>
            <w:shd w:val="clear" w:color="000000" w:fill="D9D9D9"/>
            <w:noWrap/>
            <w:vAlign w:val="bottom"/>
            <w:hideMark/>
          </w:tcPr>
          <w:p w14:paraId="26D12EE6"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31.3</w:t>
            </w:r>
          </w:p>
        </w:tc>
        <w:tc>
          <w:tcPr>
            <w:tcW w:w="1414" w:type="dxa"/>
            <w:tcBorders>
              <w:top w:val="nil"/>
              <w:left w:val="nil"/>
              <w:bottom w:val="single" w:sz="4" w:space="0" w:color="auto"/>
              <w:right w:val="single" w:sz="4" w:space="0" w:color="auto"/>
            </w:tcBorders>
            <w:shd w:val="clear" w:color="auto" w:fill="auto"/>
            <w:noWrap/>
            <w:hideMark/>
          </w:tcPr>
          <w:p w14:paraId="4200E274"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36 (0.60)</w:t>
            </w:r>
          </w:p>
        </w:tc>
      </w:tr>
      <w:tr w:rsidR="00403B07" w:rsidRPr="00734C53" w14:paraId="4CD4EE83" w14:textId="77777777" w:rsidTr="00B01272">
        <w:trPr>
          <w:gridAfter w:val="1"/>
          <w:wAfter w:w="6" w:type="dxa"/>
          <w:trHeight w:val="203"/>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14:paraId="0ADA0015"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43</w:t>
            </w:r>
          </w:p>
        </w:tc>
        <w:tc>
          <w:tcPr>
            <w:tcW w:w="1397" w:type="dxa"/>
            <w:tcBorders>
              <w:top w:val="nil"/>
              <w:left w:val="nil"/>
              <w:bottom w:val="single" w:sz="4" w:space="0" w:color="auto"/>
              <w:right w:val="single" w:sz="4" w:space="0" w:color="auto"/>
            </w:tcBorders>
            <w:shd w:val="clear" w:color="auto" w:fill="auto"/>
            <w:noWrap/>
            <w:vAlign w:val="bottom"/>
            <w:hideMark/>
          </w:tcPr>
          <w:p w14:paraId="6841D49B"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61.3</w:t>
            </w:r>
          </w:p>
        </w:tc>
        <w:tc>
          <w:tcPr>
            <w:tcW w:w="980" w:type="dxa"/>
            <w:tcBorders>
              <w:top w:val="nil"/>
              <w:left w:val="nil"/>
              <w:bottom w:val="single" w:sz="4" w:space="0" w:color="auto"/>
              <w:right w:val="single" w:sz="4" w:space="0" w:color="auto"/>
            </w:tcBorders>
            <w:shd w:val="clear" w:color="auto" w:fill="auto"/>
            <w:noWrap/>
            <w:vAlign w:val="bottom"/>
            <w:hideMark/>
          </w:tcPr>
          <w:p w14:paraId="40863A3E"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2.15</w:t>
            </w:r>
          </w:p>
        </w:tc>
        <w:tc>
          <w:tcPr>
            <w:tcW w:w="863" w:type="dxa"/>
            <w:tcBorders>
              <w:top w:val="nil"/>
              <w:left w:val="nil"/>
              <w:bottom w:val="single" w:sz="4" w:space="0" w:color="auto"/>
              <w:right w:val="single" w:sz="4" w:space="0" w:color="auto"/>
            </w:tcBorders>
            <w:shd w:val="clear" w:color="auto" w:fill="auto"/>
            <w:noWrap/>
            <w:vAlign w:val="bottom"/>
            <w:hideMark/>
          </w:tcPr>
          <w:p w14:paraId="787520A1"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1.035</w:t>
            </w:r>
          </w:p>
        </w:tc>
        <w:tc>
          <w:tcPr>
            <w:tcW w:w="955" w:type="dxa"/>
            <w:tcBorders>
              <w:top w:val="nil"/>
              <w:left w:val="nil"/>
              <w:bottom w:val="single" w:sz="4" w:space="0" w:color="auto"/>
              <w:right w:val="single" w:sz="4" w:space="0" w:color="auto"/>
            </w:tcBorders>
            <w:shd w:val="clear" w:color="000000" w:fill="D9D9D9"/>
            <w:noWrap/>
            <w:vAlign w:val="bottom"/>
            <w:hideMark/>
          </w:tcPr>
          <w:p w14:paraId="4071C4F6"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33.6</w:t>
            </w:r>
          </w:p>
        </w:tc>
        <w:tc>
          <w:tcPr>
            <w:tcW w:w="980" w:type="dxa"/>
            <w:tcBorders>
              <w:top w:val="nil"/>
              <w:left w:val="nil"/>
              <w:bottom w:val="single" w:sz="4" w:space="0" w:color="auto"/>
              <w:right w:val="single" w:sz="4" w:space="0" w:color="auto"/>
            </w:tcBorders>
            <w:shd w:val="clear" w:color="auto" w:fill="auto"/>
            <w:noWrap/>
            <w:vAlign w:val="bottom"/>
            <w:hideMark/>
          </w:tcPr>
          <w:p w14:paraId="679DF099"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13.5</w:t>
            </w:r>
          </w:p>
        </w:tc>
        <w:tc>
          <w:tcPr>
            <w:tcW w:w="1338" w:type="dxa"/>
            <w:tcBorders>
              <w:top w:val="nil"/>
              <w:left w:val="nil"/>
              <w:bottom w:val="single" w:sz="4" w:space="0" w:color="auto"/>
              <w:right w:val="single" w:sz="4" w:space="0" w:color="auto"/>
            </w:tcBorders>
            <w:shd w:val="clear" w:color="auto" w:fill="D9D9D9" w:themeFill="background1" w:themeFillShade="D9"/>
            <w:noWrap/>
            <w:hideMark/>
          </w:tcPr>
          <w:p w14:paraId="3124189E"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47 (0.65)</w:t>
            </w:r>
          </w:p>
        </w:tc>
        <w:tc>
          <w:tcPr>
            <w:tcW w:w="990" w:type="dxa"/>
            <w:tcBorders>
              <w:top w:val="nil"/>
              <w:left w:val="nil"/>
              <w:bottom w:val="single" w:sz="4" w:space="0" w:color="auto"/>
              <w:right w:val="single" w:sz="4" w:space="0" w:color="auto"/>
            </w:tcBorders>
            <w:shd w:val="clear" w:color="auto" w:fill="auto"/>
            <w:noWrap/>
            <w:vAlign w:val="bottom"/>
            <w:hideMark/>
          </w:tcPr>
          <w:p w14:paraId="50D1229D"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2.11</w:t>
            </w:r>
          </w:p>
        </w:tc>
        <w:tc>
          <w:tcPr>
            <w:tcW w:w="989" w:type="dxa"/>
            <w:tcBorders>
              <w:top w:val="nil"/>
              <w:left w:val="nil"/>
              <w:bottom w:val="single" w:sz="4" w:space="0" w:color="auto"/>
              <w:right w:val="single" w:sz="4" w:space="0" w:color="auto"/>
            </w:tcBorders>
            <w:shd w:val="clear" w:color="auto" w:fill="auto"/>
            <w:noWrap/>
            <w:vAlign w:val="bottom"/>
            <w:hideMark/>
          </w:tcPr>
          <w:p w14:paraId="0229CA3D"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0.992</w:t>
            </w:r>
          </w:p>
        </w:tc>
        <w:tc>
          <w:tcPr>
            <w:tcW w:w="989" w:type="dxa"/>
            <w:tcBorders>
              <w:top w:val="nil"/>
              <w:left w:val="nil"/>
              <w:bottom w:val="single" w:sz="4" w:space="0" w:color="auto"/>
              <w:right w:val="single" w:sz="4" w:space="0" w:color="auto"/>
            </w:tcBorders>
            <w:shd w:val="clear" w:color="000000" w:fill="D9D9D9"/>
            <w:noWrap/>
            <w:vAlign w:val="bottom"/>
            <w:hideMark/>
          </w:tcPr>
          <w:p w14:paraId="18403A8A"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32.6</w:t>
            </w:r>
          </w:p>
        </w:tc>
        <w:tc>
          <w:tcPr>
            <w:tcW w:w="989" w:type="dxa"/>
            <w:tcBorders>
              <w:top w:val="nil"/>
              <w:left w:val="nil"/>
              <w:bottom w:val="single" w:sz="4" w:space="0" w:color="auto"/>
              <w:right w:val="single" w:sz="4" w:space="0" w:color="auto"/>
            </w:tcBorders>
            <w:shd w:val="clear" w:color="auto" w:fill="auto"/>
            <w:noWrap/>
            <w:vAlign w:val="bottom"/>
            <w:hideMark/>
          </w:tcPr>
          <w:p w14:paraId="73127256"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11.8</w:t>
            </w:r>
          </w:p>
        </w:tc>
        <w:tc>
          <w:tcPr>
            <w:tcW w:w="1414" w:type="dxa"/>
            <w:tcBorders>
              <w:top w:val="nil"/>
              <w:left w:val="nil"/>
              <w:bottom w:val="single" w:sz="4" w:space="0" w:color="auto"/>
              <w:right w:val="single" w:sz="4" w:space="0" w:color="auto"/>
            </w:tcBorders>
            <w:shd w:val="clear" w:color="auto" w:fill="auto"/>
            <w:noWrap/>
            <w:hideMark/>
          </w:tcPr>
          <w:p w14:paraId="25B9328C"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47 (0.58)</w:t>
            </w:r>
          </w:p>
        </w:tc>
      </w:tr>
      <w:tr w:rsidR="00403B07" w:rsidRPr="00734C53" w14:paraId="176B40E0" w14:textId="77777777" w:rsidTr="00B01272">
        <w:trPr>
          <w:gridAfter w:val="1"/>
          <w:wAfter w:w="6" w:type="dxa"/>
          <w:trHeight w:val="203"/>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14:paraId="1FCF06A3"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44</w:t>
            </w:r>
          </w:p>
        </w:tc>
        <w:tc>
          <w:tcPr>
            <w:tcW w:w="1397" w:type="dxa"/>
            <w:tcBorders>
              <w:top w:val="nil"/>
              <w:left w:val="nil"/>
              <w:bottom w:val="single" w:sz="4" w:space="0" w:color="auto"/>
              <w:right w:val="single" w:sz="4" w:space="0" w:color="auto"/>
            </w:tcBorders>
            <w:shd w:val="clear" w:color="000000" w:fill="D9D9D9"/>
            <w:noWrap/>
            <w:vAlign w:val="bottom"/>
            <w:hideMark/>
          </w:tcPr>
          <w:p w14:paraId="643E5608"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34.2</w:t>
            </w:r>
          </w:p>
        </w:tc>
        <w:tc>
          <w:tcPr>
            <w:tcW w:w="980" w:type="dxa"/>
            <w:tcBorders>
              <w:top w:val="nil"/>
              <w:left w:val="nil"/>
              <w:bottom w:val="single" w:sz="4" w:space="0" w:color="auto"/>
              <w:right w:val="single" w:sz="4" w:space="0" w:color="auto"/>
            </w:tcBorders>
            <w:shd w:val="clear" w:color="auto" w:fill="auto"/>
            <w:noWrap/>
            <w:vAlign w:val="bottom"/>
            <w:hideMark/>
          </w:tcPr>
          <w:p w14:paraId="4677614C"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2.51</w:t>
            </w:r>
          </w:p>
        </w:tc>
        <w:tc>
          <w:tcPr>
            <w:tcW w:w="863" w:type="dxa"/>
            <w:tcBorders>
              <w:top w:val="nil"/>
              <w:left w:val="nil"/>
              <w:bottom w:val="single" w:sz="4" w:space="0" w:color="auto"/>
              <w:right w:val="single" w:sz="4" w:space="0" w:color="auto"/>
            </w:tcBorders>
            <w:shd w:val="clear" w:color="auto" w:fill="auto"/>
            <w:noWrap/>
            <w:vAlign w:val="bottom"/>
            <w:hideMark/>
          </w:tcPr>
          <w:p w14:paraId="6CDC8C21"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1.120</w:t>
            </w:r>
          </w:p>
        </w:tc>
        <w:tc>
          <w:tcPr>
            <w:tcW w:w="955" w:type="dxa"/>
            <w:tcBorders>
              <w:top w:val="nil"/>
              <w:left w:val="nil"/>
              <w:bottom w:val="single" w:sz="4" w:space="0" w:color="auto"/>
              <w:right w:val="single" w:sz="4" w:space="0" w:color="auto"/>
            </w:tcBorders>
            <w:shd w:val="clear" w:color="auto" w:fill="auto"/>
            <w:noWrap/>
            <w:vAlign w:val="bottom"/>
            <w:hideMark/>
          </w:tcPr>
          <w:p w14:paraId="63F8C0ED"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23.9</w:t>
            </w:r>
          </w:p>
        </w:tc>
        <w:tc>
          <w:tcPr>
            <w:tcW w:w="980" w:type="dxa"/>
            <w:tcBorders>
              <w:top w:val="nil"/>
              <w:left w:val="nil"/>
              <w:bottom w:val="single" w:sz="4" w:space="0" w:color="auto"/>
              <w:right w:val="single" w:sz="4" w:space="0" w:color="auto"/>
            </w:tcBorders>
            <w:shd w:val="clear" w:color="auto" w:fill="auto"/>
            <w:noWrap/>
            <w:vAlign w:val="bottom"/>
            <w:hideMark/>
          </w:tcPr>
          <w:p w14:paraId="590E3683"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26.2</w:t>
            </w:r>
          </w:p>
        </w:tc>
        <w:tc>
          <w:tcPr>
            <w:tcW w:w="1338" w:type="dxa"/>
            <w:tcBorders>
              <w:top w:val="nil"/>
              <w:left w:val="nil"/>
              <w:bottom w:val="single" w:sz="4" w:space="0" w:color="auto"/>
              <w:right w:val="single" w:sz="4" w:space="0" w:color="auto"/>
            </w:tcBorders>
            <w:shd w:val="clear" w:color="auto" w:fill="auto"/>
            <w:noWrap/>
            <w:hideMark/>
          </w:tcPr>
          <w:p w14:paraId="114E2772"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43 (0.53)</w:t>
            </w:r>
          </w:p>
        </w:tc>
        <w:tc>
          <w:tcPr>
            <w:tcW w:w="990" w:type="dxa"/>
            <w:tcBorders>
              <w:top w:val="nil"/>
              <w:left w:val="nil"/>
              <w:bottom w:val="single" w:sz="4" w:space="0" w:color="auto"/>
              <w:right w:val="single" w:sz="4" w:space="0" w:color="auto"/>
            </w:tcBorders>
            <w:shd w:val="clear" w:color="auto" w:fill="auto"/>
            <w:noWrap/>
            <w:vAlign w:val="bottom"/>
            <w:hideMark/>
          </w:tcPr>
          <w:p w14:paraId="7E4BEA72"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2.45</w:t>
            </w:r>
          </w:p>
        </w:tc>
        <w:tc>
          <w:tcPr>
            <w:tcW w:w="989" w:type="dxa"/>
            <w:tcBorders>
              <w:top w:val="nil"/>
              <w:left w:val="nil"/>
              <w:bottom w:val="single" w:sz="4" w:space="0" w:color="auto"/>
              <w:right w:val="single" w:sz="4" w:space="0" w:color="auto"/>
            </w:tcBorders>
            <w:shd w:val="clear" w:color="auto" w:fill="auto"/>
            <w:noWrap/>
            <w:vAlign w:val="bottom"/>
            <w:hideMark/>
          </w:tcPr>
          <w:p w14:paraId="416E13CC"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1.097</w:t>
            </w:r>
          </w:p>
        </w:tc>
        <w:tc>
          <w:tcPr>
            <w:tcW w:w="989" w:type="dxa"/>
            <w:tcBorders>
              <w:top w:val="nil"/>
              <w:left w:val="nil"/>
              <w:bottom w:val="single" w:sz="4" w:space="0" w:color="auto"/>
              <w:right w:val="single" w:sz="4" w:space="0" w:color="auto"/>
            </w:tcBorders>
            <w:shd w:val="clear" w:color="auto" w:fill="auto"/>
            <w:noWrap/>
            <w:vAlign w:val="bottom"/>
            <w:hideMark/>
          </w:tcPr>
          <w:p w14:paraId="36FA40AB"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24.6</w:t>
            </w:r>
          </w:p>
        </w:tc>
        <w:tc>
          <w:tcPr>
            <w:tcW w:w="989" w:type="dxa"/>
            <w:tcBorders>
              <w:top w:val="nil"/>
              <w:left w:val="nil"/>
              <w:bottom w:val="single" w:sz="4" w:space="0" w:color="auto"/>
              <w:right w:val="single" w:sz="4" w:space="0" w:color="auto"/>
            </w:tcBorders>
            <w:shd w:val="clear" w:color="auto" w:fill="auto"/>
            <w:noWrap/>
            <w:vAlign w:val="bottom"/>
            <w:hideMark/>
          </w:tcPr>
          <w:p w14:paraId="398FA581"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23.1</w:t>
            </w:r>
          </w:p>
        </w:tc>
        <w:tc>
          <w:tcPr>
            <w:tcW w:w="1414" w:type="dxa"/>
            <w:tcBorders>
              <w:top w:val="nil"/>
              <w:left w:val="nil"/>
              <w:bottom w:val="single" w:sz="4" w:space="0" w:color="auto"/>
              <w:right w:val="single" w:sz="4" w:space="0" w:color="auto"/>
            </w:tcBorders>
            <w:shd w:val="clear" w:color="auto" w:fill="auto"/>
            <w:noWrap/>
            <w:hideMark/>
          </w:tcPr>
          <w:p w14:paraId="56CD2758"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42 (0.56)</w:t>
            </w:r>
          </w:p>
        </w:tc>
      </w:tr>
      <w:tr w:rsidR="00403B07" w:rsidRPr="00734C53" w14:paraId="41BCC846" w14:textId="77777777" w:rsidTr="00B01272">
        <w:trPr>
          <w:gridAfter w:val="1"/>
          <w:wAfter w:w="6" w:type="dxa"/>
          <w:trHeight w:val="203"/>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14:paraId="08A4860E"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45</w:t>
            </w:r>
          </w:p>
        </w:tc>
        <w:tc>
          <w:tcPr>
            <w:tcW w:w="1397" w:type="dxa"/>
            <w:tcBorders>
              <w:top w:val="nil"/>
              <w:left w:val="nil"/>
              <w:bottom w:val="single" w:sz="4" w:space="0" w:color="auto"/>
              <w:right w:val="single" w:sz="4" w:space="0" w:color="auto"/>
            </w:tcBorders>
            <w:shd w:val="clear" w:color="auto" w:fill="auto"/>
            <w:noWrap/>
            <w:vAlign w:val="bottom"/>
            <w:hideMark/>
          </w:tcPr>
          <w:p w14:paraId="2AB76ECD"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65.7</w:t>
            </w:r>
          </w:p>
        </w:tc>
        <w:tc>
          <w:tcPr>
            <w:tcW w:w="980" w:type="dxa"/>
            <w:tcBorders>
              <w:top w:val="nil"/>
              <w:left w:val="nil"/>
              <w:bottom w:val="single" w:sz="4" w:space="0" w:color="auto"/>
              <w:right w:val="single" w:sz="4" w:space="0" w:color="auto"/>
            </w:tcBorders>
            <w:shd w:val="clear" w:color="auto" w:fill="auto"/>
            <w:noWrap/>
            <w:vAlign w:val="bottom"/>
            <w:hideMark/>
          </w:tcPr>
          <w:p w14:paraId="5A226C4A"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1.99</w:t>
            </w:r>
          </w:p>
        </w:tc>
        <w:tc>
          <w:tcPr>
            <w:tcW w:w="863" w:type="dxa"/>
            <w:tcBorders>
              <w:top w:val="nil"/>
              <w:left w:val="nil"/>
              <w:bottom w:val="single" w:sz="4" w:space="0" w:color="auto"/>
              <w:right w:val="single" w:sz="4" w:space="0" w:color="auto"/>
            </w:tcBorders>
            <w:shd w:val="clear" w:color="auto" w:fill="auto"/>
            <w:noWrap/>
            <w:vAlign w:val="bottom"/>
            <w:hideMark/>
          </w:tcPr>
          <w:p w14:paraId="75A12719"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1.003</w:t>
            </w:r>
          </w:p>
        </w:tc>
        <w:tc>
          <w:tcPr>
            <w:tcW w:w="955" w:type="dxa"/>
            <w:tcBorders>
              <w:top w:val="nil"/>
              <w:left w:val="nil"/>
              <w:bottom w:val="single" w:sz="4" w:space="0" w:color="auto"/>
              <w:right w:val="single" w:sz="4" w:space="0" w:color="auto"/>
            </w:tcBorders>
            <w:shd w:val="clear" w:color="000000" w:fill="D9D9D9"/>
            <w:noWrap/>
            <w:vAlign w:val="bottom"/>
            <w:hideMark/>
          </w:tcPr>
          <w:p w14:paraId="4265F094"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40.3</w:t>
            </w:r>
          </w:p>
        </w:tc>
        <w:tc>
          <w:tcPr>
            <w:tcW w:w="980" w:type="dxa"/>
            <w:tcBorders>
              <w:top w:val="nil"/>
              <w:left w:val="nil"/>
              <w:bottom w:val="single" w:sz="4" w:space="0" w:color="auto"/>
              <w:right w:val="single" w:sz="4" w:space="0" w:color="auto"/>
            </w:tcBorders>
            <w:shd w:val="clear" w:color="auto" w:fill="auto"/>
            <w:noWrap/>
            <w:vAlign w:val="bottom"/>
            <w:hideMark/>
          </w:tcPr>
          <w:p w14:paraId="5BCB3967"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10.5</w:t>
            </w:r>
          </w:p>
        </w:tc>
        <w:tc>
          <w:tcPr>
            <w:tcW w:w="1338" w:type="dxa"/>
            <w:tcBorders>
              <w:top w:val="nil"/>
              <w:left w:val="nil"/>
              <w:bottom w:val="single" w:sz="4" w:space="0" w:color="auto"/>
              <w:right w:val="single" w:sz="4" w:space="0" w:color="auto"/>
            </w:tcBorders>
            <w:shd w:val="clear" w:color="auto" w:fill="auto"/>
            <w:noWrap/>
            <w:hideMark/>
          </w:tcPr>
          <w:p w14:paraId="1E6603E1"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43 (0.57)</w:t>
            </w:r>
          </w:p>
        </w:tc>
        <w:tc>
          <w:tcPr>
            <w:tcW w:w="990" w:type="dxa"/>
            <w:tcBorders>
              <w:top w:val="nil"/>
              <w:left w:val="nil"/>
              <w:bottom w:val="single" w:sz="4" w:space="0" w:color="auto"/>
              <w:right w:val="single" w:sz="4" w:space="0" w:color="auto"/>
            </w:tcBorders>
            <w:shd w:val="clear" w:color="auto" w:fill="auto"/>
            <w:noWrap/>
            <w:vAlign w:val="bottom"/>
            <w:hideMark/>
          </w:tcPr>
          <w:p w14:paraId="4AAF91F3"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1.96</w:t>
            </w:r>
          </w:p>
        </w:tc>
        <w:tc>
          <w:tcPr>
            <w:tcW w:w="989" w:type="dxa"/>
            <w:tcBorders>
              <w:top w:val="nil"/>
              <w:left w:val="nil"/>
              <w:bottom w:val="single" w:sz="4" w:space="0" w:color="auto"/>
              <w:right w:val="single" w:sz="4" w:space="0" w:color="auto"/>
            </w:tcBorders>
            <w:shd w:val="clear" w:color="auto" w:fill="auto"/>
            <w:noWrap/>
            <w:vAlign w:val="bottom"/>
            <w:hideMark/>
          </w:tcPr>
          <w:p w14:paraId="4C7EEE7E"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0.992</w:t>
            </w:r>
          </w:p>
        </w:tc>
        <w:tc>
          <w:tcPr>
            <w:tcW w:w="989" w:type="dxa"/>
            <w:tcBorders>
              <w:top w:val="nil"/>
              <w:left w:val="nil"/>
              <w:bottom w:val="single" w:sz="4" w:space="0" w:color="auto"/>
              <w:right w:val="single" w:sz="4" w:space="0" w:color="auto"/>
            </w:tcBorders>
            <w:shd w:val="clear" w:color="000000" w:fill="D9D9D9"/>
            <w:noWrap/>
            <w:vAlign w:val="bottom"/>
            <w:hideMark/>
          </w:tcPr>
          <w:p w14:paraId="3C904219"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41.2</w:t>
            </w:r>
          </w:p>
        </w:tc>
        <w:tc>
          <w:tcPr>
            <w:tcW w:w="989" w:type="dxa"/>
            <w:tcBorders>
              <w:top w:val="nil"/>
              <w:left w:val="nil"/>
              <w:bottom w:val="single" w:sz="4" w:space="0" w:color="auto"/>
              <w:right w:val="single" w:sz="4" w:space="0" w:color="auto"/>
            </w:tcBorders>
            <w:shd w:val="clear" w:color="auto" w:fill="auto"/>
            <w:noWrap/>
            <w:vAlign w:val="bottom"/>
            <w:hideMark/>
          </w:tcPr>
          <w:p w14:paraId="05448942"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10.2</w:t>
            </w:r>
          </w:p>
        </w:tc>
        <w:tc>
          <w:tcPr>
            <w:tcW w:w="1414" w:type="dxa"/>
            <w:tcBorders>
              <w:top w:val="nil"/>
              <w:left w:val="nil"/>
              <w:bottom w:val="single" w:sz="4" w:space="0" w:color="auto"/>
              <w:right w:val="single" w:sz="4" w:space="0" w:color="auto"/>
            </w:tcBorders>
            <w:shd w:val="clear" w:color="auto" w:fill="auto"/>
            <w:noWrap/>
            <w:hideMark/>
          </w:tcPr>
          <w:p w14:paraId="31526A17"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41 (0.52)</w:t>
            </w:r>
          </w:p>
        </w:tc>
      </w:tr>
      <w:tr w:rsidR="00403B07" w:rsidRPr="00734C53" w14:paraId="44CE4A36" w14:textId="77777777" w:rsidTr="00B01272">
        <w:trPr>
          <w:gridAfter w:val="1"/>
          <w:wAfter w:w="6" w:type="dxa"/>
          <w:trHeight w:val="203"/>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14:paraId="025C100F"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46</w:t>
            </w:r>
          </w:p>
        </w:tc>
        <w:tc>
          <w:tcPr>
            <w:tcW w:w="1397" w:type="dxa"/>
            <w:tcBorders>
              <w:top w:val="nil"/>
              <w:left w:val="nil"/>
              <w:bottom w:val="single" w:sz="4" w:space="0" w:color="auto"/>
              <w:right w:val="single" w:sz="4" w:space="0" w:color="auto"/>
            </w:tcBorders>
            <w:shd w:val="clear" w:color="auto" w:fill="auto"/>
            <w:noWrap/>
            <w:vAlign w:val="bottom"/>
            <w:hideMark/>
          </w:tcPr>
          <w:p w14:paraId="20E0AEC5"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65.2</w:t>
            </w:r>
          </w:p>
        </w:tc>
        <w:tc>
          <w:tcPr>
            <w:tcW w:w="980" w:type="dxa"/>
            <w:tcBorders>
              <w:top w:val="nil"/>
              <w:left w:val="nil"/>
              <w:bottom w:val="single" w:sz="4" w:space="0" w:color="auto"/>
              <w:right w:val="single" w:sz="4" w:space="0" w:color="auto"/>
            </w:tcBorders>
            <w:shd w:val="clear" w:color="auto" w:fill="auto"/>
            <w:noWrap/>
            <w:vAlign w:val="bottom"/>
            <w:hideMark/>
          </w:tcPr>
          <w:p w14:paraId="669D928F"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2.18</w:t>
            </w:r>
          </w:p>
        </w:tc>
        <w:tc>
          <w:tcPr>
            <w:tcW w:w="863" w:type="dxa"/>
            <w:tcBorders>
              <w:top w:val="nil"/>
              <w:left w:val="nil"/>
              <w:bottom w:val="single" w:sz="4" w:space="0" w:color="auto"/>
              <w:right w:val="single" w:sz="4" w:space="0" w:color="auto"/>
            </w:tcBorders>
            <w:shd w:val="clear" w:color="auto" w:fill="auto"/>
            <w:noWrap/>
            <w:vAlign w:val="bottom"/>
            <w:hideMark/>
          </w:tcPr>
          <w:p w14:paraId="460C645F"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1.085</w:t>
            </w:r>
          </w:p>
        </w:tc>
        <w:tc>
          <w:tcPr>
            <w:tcW w:w="955" w:type="dxa"/>
            <w:tcBorders>
              <w:top w:val="nil"/>
              <w:left w:val="nil"/>
              <w:bottom w:val="single" w:sz="4" w:space="0" w:color="auto"/>
              <w:right w:val="single" w:sz="4" w:space="0" w:color="auto"/>
            </w:tcBorders>
            <w:shd w:val="clear" w:color="000000" w:fill="D9D9D9"/>
            <w:noWrap/>
            <w:vAlign w:val="bottom"/>
            <w:hideMark/>
          </w:tcPr>
          <w:p w14:paraId="647363FB"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34.3</w:t>
            </w:r>
          </w:p>
        </w:tc>
        <w:tc>
          <w:tcPr>
            <w:tcW w:w="980" w:type="dxa"/>
            <w:tcBorders>
              <w:top w:val="nil"/>
              <w:left w:val="nil"/>
              <w:bottom w:val="single" w:sz="4" w:space="0" w:color="auto"/>
              <w:right w:val="single" w:sz="4" w:space="0" w:color="auto"/>
            </w:tcBorders>
            <w:shd w:val="clear" w:color="auto" w:fill="auto"/>
            <w:noWrap/>
            <w:vAlign w:val="bottom"/>
            <w:hideMark/>
          </w:tcPr>
          <w:p w14:paraId="39CF7B5C"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17.1</w:t>
            </w:r>
          </w:p>
        </w:tc>
        <w:tc>
          <w:tcPr>
            <w:tcW w:w="1338" w:type="dxa"/>
            <w:tcBorders>
              <w:top w:val="nil"/>
              <w:left w:val="nil"/>
              <w:bottom w:val="single" w:sz="4" w:space="0" w:color="auto"/>
              <w:right w:val="single" w:sz="4" w:space="0" w:color="auto"/>
            </w:tcBorders>
            <w:shd w:val="clear" w:color="auto" w:fill="auto"/>
            <w:noWrap/>
            <w:hideMark/>
          </w:tcPr>
          <w:p w14:paraId="67BC56D4"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47 (0.57)</w:t>
            </w:r>
          </w:p>
        </w:tc>
        <w:tc>
          <w:tcPr>
            <w:tcW w:w="990" w:type="dxa"/>
            <w:tcBorders>
              <w:top w:val="nil"/>
              <w:left w:val="nil"/>
              <w:bottom w:val="single" w:sz="4" w:space="0" w:color="auto"/>
              <w:right w:val="single" w:sz="4" w:space="0" w:color="auto"/>
            </w:tcBorders>
            <w:shd w:val="clear" w:color="auto" w:fill="auto"/>
            <w:noWrap/>
            <w:vAlign w:val="bottom"/>
            <w:hideMark/>
          </w:tcPr>
          <w:p w14:paraId="3F5BFE20"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2.16</w:t>
            </w:r>
          </w:p>
        </w:tc>
        <w:tc>
          <w:tcPr>
            <w:tcW w:w="989" w:type="dxa"/>
            <w:tcBorders>
              <w:top w:val="nil"/>
              <w:left w:val="nil"/>
              <w:bottom w:val="single" w:sz="4" w:space="0" w:color="auto"/>
              <w:right w:val="single" w:sz="4" w:space="0" w:color="auto"/>
            </w:tcBorders>
            <w:shd w:val="clear" w:color="auto" w:fill="auto"/>
            <w:noWrap/>
            <w:vAlign w:val="bottom"/>
            <w:hideMark/>
          </w:tcPr>
          <w:p w14:paraId="4730D5CF"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1.063</w:t>
            </w:r>
          </w:p>
        </w:tc>
        <w:tc>
          <w:tcPr>
            <w:tcW w:w="989" w:type="dxa"/>
            <w:tcBorders>
              <w:top w:val="nil"/>
              <w:left w:val="nil"/>
              <w:bottom w:val="single" w:sz="4" w:space="0" w:color="auto"/>
              <w:right w:val="single" w:sz="4" w:space="0" w:color="auto"/>
            </w:tcBorders>
            <w:shd w:val="clear" w:color="000000" w:fill="D9D9D9"/>
            <w:noWrap/>
            <w:vAlign w:val="bottom"/>
            <w:hideMark/>
          </w:tcPr>
          <w:p w14:paraId="37874B47"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34.3</w:t>
            </w:r>
          </w:p>
        </w:tc>
        <w:tc>
          <w:tcPr>
            <w:tcW w:w="989" w:type="dxa"/>
            <w:tcBorders>
              <w:top w:val="nil"/>
              <w:left w:val="nil"/>
              <w:bottom w:val="single" w:sz="4" w:space="0" w:color="auto"/>
              <w:right w:val="single" w:sz="4" w:space="0" w:color="auto"/>
            </w:tcBorders>
            <w:shd w:val="clear" w:color="auto" w:fill="auto"/>
            <w:noWrap/>
            <w:vAlign w:val="bottom"/>
            <w:hideMark/>
          </w:tcPr>
          <w:p w14:paraId="5C5FBDE8"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15.3</w:t>
            </w:r>
          </w:p>
        </w:tc>
        <w:tc>
          <w:tcPr>
            <w:tcW w:w="1414" w:type="dxa"/>
            <w:tcBorders>
              <w:top w:val="nil"/>
              <w:left w:val="nil"/>
              <w:bottom w:val="single" w:sz="4" w:space="0" w:color="auto"/>
              <w:right w:val="single" w:sz="4" w:space="0" w:color="auto"/>
            </w:tcBorders>
            <w:shd w:val="clear" w:color="auto" w:fill="auto"/>
            <w:noWrap/>
            <w:hideMark/>
          </w:tcPr>
          <w:p w14:paraId="60054253"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47 (0.54)</w:t>
            </w:r>
          </w:p>
        </w:tc>
      </w:tr>
      <w:tr w:rsidR="00403B07" w:rsidRPr="00734C53" w14:paraId="3FDE0726" w14:textId="77777777" w:rsidTr="00B01272">
        <w:trPr>
          <w:gridAfter w:val="1"/>
          <w:wAfter w:w="6" w:type="dxa"/>
          <w:trHeight w:val="203"/>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14:paraId="3901CE36"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47</w:t>
            </w:r>
          </w:p>
        </w:tc>
        <w:tc>
          <w:tcPr>
            <w:tcW w:w="1397" w:type="dxa"/>
            <w:tcBorders>
              <w:top w:val="nil"/>
              <w:left w:val="nil"/>
              <w:bottom w:val="single" w:sz="4" w:space="0" w:color="auto"/>
              <w:right w:val="single" w:sz="4" w:space="0" w:color="auto"/>
            </w:tcBorders>
            <w:shd w:val="clear" w:color="auto" w:fill="auto"/>
            <w:noWrap/>
            <w:vAlign w:val="bottom"/>
            <w:hideMark/>
          </w:tcPr>
          <w:p w14:paraId="1550CA3B"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65.7</w:t>
            </w:r>
          </w:p>
        </w:tc>
        <w:tc>
          <w:tcPr>
            <w:tcW w:w="980" w:type="dxa"/>
            <w:tcBorders>
              <w:top w:val="nil"/>
              <w:left w:val="nil"/>
              <w:bottom w:val="single" w:sz="4" w:space="0" w:color="auto"/>
              <w:right w:val="single" w:sz="4" w:space="0" w:color="auto"/>
            </w:tcBorders>
            <w:shd w:val="clear" w:color="auto" w:fill="auto"/>
            <w:noWrap/>
            <w:vAlign w:val="bottom"/>
            <w:hideMark/>
          </w:tcPr>
          <w:p w14:paraId="576B0064"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2.05</w:t>
            </w:r>
          </w:p>
        </w:tc>
        <w:tc>
          <w:tcPr>
            <w:tcW w:w="863" w:type="dxa"/>
            <w:tcBorders>
              <w:top w:val="nil"/>
              <w:left w:val="nil"/>
              <w:bottom w:val="single" w:sz="4" w:space="0" w:color="auto"/>
              <w:right w:val="single" w:sz="4" w:space="0" w:color="auto"/>
            </w:tcBorders>
            <w:shd w:val="clear" w:color="auto" w:fill="auto"/>
            <w:noWrap/>
            <w:vAlign w:val="bottom"/>
            <w:hideMark/>
          </w:tcPr>
          <w:p w14:paraId="3EFAD6B1"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1.014</w:t>
            </w:r>
          </w:p>
        </w:tc>
        <w:tc>
          <w:tcPr>
            <w:tcW w:w="955" w:type="dxa"/>
            <w:tcBorders>
              <w:top w:val="nil"/>
              <w:left w:val="nil"/>
              <w:bottom w:val="single" w:sz="4" w:space="0" w:color="auto"/>
              <w:right w:val="single" w:sz="4" w:space="0" w:color="auto"/>
            </w:tcBorders>
            <w:shd w:val="clear" w:color="000000" w:fill="D9D9D9"/>
            <w:noWrap/>
            <w:vAlign w:val="bottom"/>
            <w:hideMark/>
          </w:tcPr>
          <w:p w14:paraId="380B2063"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37.6</w:t>
            </w:r>
          </w:p>
        </w:tc>
        <w:tc>
          <w:tcPr>
            <w:tcW w:w="980" w:type="dxa"/>
            <w:tcBorders>
              <w:top w:val="nil"/>
              <w:left w:val="nil"/>
              <w:bottom w:val="single" w:sz="4" w:space="0" w:color="auto"/>
              <w:right w:val="single" w:sz="4" w:space="0" w:color="auto"/>
            </w:tcBorders>
            <w:shd w:val="clear" w:color="auto" w:fill="auto"/>
            <w:noWrap/>
            <w:vAlign w:val="bottom"/>
            <w:hideMark/>
          </w:tcPr>
          <w:p w14:paraId="1DE658DF"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11.2</w:t>
            </w:r>
          </w:p>
        </w:tc>
        <w:tc>
          <w:tcPr>
            <w:tcW w:w="1338" w:type="dxa"/>
            <w:tcBorders>
              <w:top w:val="nil"/>
              <w:left w:val="nil"/>
              <w:bottom w:val="single" w:sz="4" w:space="0" w:color="auto"/>
              <w:right w:val="single" w:sz="4" w:space="0" w:color="auto"/>
            </w:tcBorders>
            <w:shd w:val="clear" w:color="auto" w:fill="D9D9D9" w:themeFill="background1" w:themeFillShade="D9"/>
            <w:noWrap/>
            <w:hideMark/>
          </w:tcPr>
          <w:p w14:paraId="28EC33DC"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43 (0.64)</w:t>
            </w:r>
          </w:p>
        </w:tc>
        <w:tc>
          <w:tcPr>
            <w:tcW w:w="990" w:type="dxa"/>
            <w:tcBorders>
              <w:top w:val="nil"/>
              <w:left w:val="nil"/>
              <w:bottom w:val="single" w:sz="4" w:space="0" w:color="auto"/>
              <w:right w:val="single" w:sz="4" w:space="0" w:color="auto"/>
            </w:tcBorders>
            <w:shd w:val="clear" w:color="auto" w:fill="auto"/>
            <w:noWrap/>
            <w:vAlign w:val="bottom"/>
            <w:hideMark/>
          </w:tcPr>
          <w:p w14:paraId="088E5864"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2.03</w:t>
            </w:r>
          </w:p>
        </w:tc>
        <w:tc>
          <w:tcPr>
            <w:tcW w:w="989" w:type="dxa"/>
            <w:tcBorders>
              <w:top w:val="nil"/>
              <w:left w:val="nil"/>
              <w:bottom w:val="single" w:sz="4" w:space="0" w:color="auto"/>
              <w:right w:val="single" w:sz="4" w:space="0" w:color="auto"/>
            </w:tcBorders>
            <w:shd w:val="clear" w:color="auto" w:fill="auto"/>
            <w:noWrap/>
            <w:vAlign w:val="bottom"/>
            <w:hideMark/>
          </w:tcPr>
          <w:p w14:paraId="57E1A328"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0.980</w:t>
            </w:r>
          </w:p>
        </w:tc>
        <w:tc>
          <w:tcPr>
            <w:tcW w:w="989" w:type="dxa"/>
            <w:tcBorders>
              <w:top w:val="nil"/>
              <w:left w:val="nil"/>
              <w:bottom w:val="single" w:sz="4" w:space="0" w:color="auto"/>
              <w:right w:val="single" w:sz="4" w:space="0" w:color="auto"/>
            </w:tcBorders>
            <w:shd w:val="clear" w:color="000000" w:fill="D9D9D9"/>
            <w:noWrap/>
            <w:vAlign w:val="bottom"/>
            <w:hideMark/>
          </w:tcPr>
          <w:p w14:paraId="063D2388"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36.5</w:t>
            </w:r>
          </w:p>
        </w:tc>
        <w:tc>
          <w:tcPr>
            <w:tcW w:w="989" w:type="dxa"/>
            <w:tcBorders>
              <w:top w:val="nil"/>
              <w:left w:val="nil"/>
              <w:bottom w:val="single" w:sz="4" w:space="0" w:color="auto"/>
              <w:right w:val="single" w:sz="4" w:space="0" w:color="auto"/>
            </w:tcBorders>
            <w:shd w:val="clear" w:color="auto" w:fill="auto"/>
            <w:noWrap/>
            <w:vAlign w:val="bottom"/>
            <w:hideMark/>
          </w:tcPr>
          <w:p w14:paraId="7288BE64"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10.0</w:t>
            </w:r>
          </w:p>
        </w:tc>
        <w:tc>
          <w:tcPr>
            <w:tcW w:w="1414" w:type="dxa"/>
            <w:tcBorders>
              <w:top w:val="nil"/>
              <w:left w:val="nil"/>
              <w:bottom w:val="single" w:sz="4" w:space="0" w:color="auto"/>
              <w:right w:val="single" w:sz="4" w:space="0" w:color="auto"/>
            </w:tcBorders>
            <w:shd w:val="clear" w:color="auto" w:fill="auto"/>
            <w:noWrap/>
            <w:hideMark/>
          </w:tcPr>
          <w:p w14:paraId="02FD060E"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43 (0.58)</w:t>
            </w:r>
          </w:p>
        </w:tc>
      </w:tr>
      <w:tr w:rsidR="00403B07" w:rsidRPr="00734C53" w14:paraId="54CEA6B7" w14:textId="77777777" w:rsidTr="00B01272">
        <w:trPr>
          <w:gridAfter w:val="1"/>
          <w:wAfter w:w="6" w:type="dxa"/>
          <w:trHeight w:val="203"/>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14:paraId="43C52243"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48</w:t>
            </w:r>
          </w:p>
        </w:tc>
        <w:tc>
          <w:tcPr>
            <w:tcW w:w="1397" w:type="dxa"/>
            <w:tcBorders>
              <w:top w:val="nil"/>
              <w:left w:val="nil"/>
              <w:bottom w:val="single" w:sz="4" w:space="0" w:color="auto"/>
              <w:right w:val="single" w:sz="4" w:space="0" w:color="auto"/>
            </w:tcBorders>
            <w:shd w:val="clear" w:color="auto" w:fill="auto"/>
            <w:noWrap/>
            <w:vAlign w:val="bottom"/>
            <w:hideMark/>
          </w:tcPr>
          <w:p w14:paraId="7CC02C91"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85.2</w:t>
            </w:r>
          </w:p>
        </w:tc>
        <w:tc>
          <w:tcPr>
            <w:tcW w:w="980" w:type="dxa"/>
            <w:tcBorders>
              <w:top w:val="nil"/>
              <w:left w:val="nil"/>
              <w:bottom w:val="single" w:sz="4" w:space="0" w:color="auto"/>
              <w:right w:val="single" w:sz="4" w:space="0" w:color="auto"/>
            </w:tcBorders>
            <w:shd w:val="clear" w:color="auto" w:fill="auto"/>
            <w:noWrap/>
            <w:vAlign w:val="bottom"/>
            <w:hideMark/>
          </w:tcPr>
          <w:p w14:paraId="737ABAC6"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2.50</w:t>
            </w:r>
          </w:p>
        </w:tc>
        <w:tc>
          <w:tcPr>
            <w:tcW w:w="863" w:type="dxa"/>
            <w:tcBorders>
              <w:top w:val="nil"/>
              <w:left w:val="nil"/>
              <w:bottom w:val="single" w:sz="4" w:space="0" w:color="auto"/>
              <w:right w:val="single" w:sz="4" w:space="0" w:color="auto"/>
            </w:tcBorders>
            <w:shd w:val="clear" w:color="auto" w:fill="auto"/>
            <w:noWrap/>
            <w:vAlign w:val="bottom"/>
            <w:hideMark/>
          </w:tcPr>
          <w:p w14:paraId="465C20C3"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1.112</w:t>
            </w:r>
          </w:p>
        </w:tc>
        <w:tc>
          <w:tcPr>
            <w:tcW w:w="955" w:type="dxa"/>
            <w:tcBorders>
              <w:top w:val="nil"/>
              <w:left w:val="nil"/>
              <w:bottom w:val="single" w:sz="4" w:space="0" w:color="auto"/>
              <w:right w:val="single" w:sz="4" w:space="0" w:color="auto"/>
            </w:tcBorders>
            <w:shd w:val="clear" w:color="auto" w:fill="auto"/>
            <w:noWrap/>
            <w:vAlign w:val="bottom"/>
            <w:hideMark/>
          </w:tcPr>
          <w:p w14:paraId="5761A2CB"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23.0</w:t>
            </w:r>
          </w:p>
        </w:tc>
        <w:tc>
          <w:tcPr>
            <w:tcW w:w="980" w:type="dxa"/>
            <w:tcBorders>
              <w:top w:val="nil"/>
              <w:left w:val="nil"/>
              <w:bottom w:val="single" w:sz="4" w:space="0" w:color="auto"/>
              <w:right w:val="single" w:sz="4" w:space="0" w:color="auto"/>
            </w:tcBorders>
            <w:shd w:val="clear" w:color="auto" w:fill="auto"/>
            <w:noWrap/>
            <w:vAlign w:val="bottom"/>
            <w:hideMark/>
          </w:tcPr>
          <w:p w14:paraId="57AF2A4C"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26.3</w:t>
            </w:r>
          </w:p>
        </w:tc>
        <w:tc>
          <w:tcPr>
            <w:tcW w:w="1338" w:type="dxa"/>
            <w:tcBorders>
              <w:top w:val="nil"/>
              <w:left w:val="nil"/>
              <w:bottom w:val="single" w:sz="4" w:space="0" w:color="auto"/>
              <w:right w:val="single" w:sz="4" w:space="0" w:color="auto"/>
            </w:tcBorders>
            <w:shd w:val="clear" w:color="auto" w:fill="auto"/>
            <w:noWrap/>
            <w:hideMark/>
          </w:tcPr>
          <w:p w14:paraId="75F69CAB"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47 (0.52)</w:t>
            </w:r>
          </w:p>
        </w:tc>
        <w:tc>
          <w:tcPr>
            <w:tcW w:w="990" w:type="dxa"/>
            <w:tcBorders>
              <w:top w:val="nil"/>
              <w:left w:val="nil"/>
              <w:bottom w:val="single" w:sz="4" w:space="0" w:color="auto"/>
              <w:right w:val="single" w:sz="4" w:space="0" w:color="auto"/>
            </w:tcBorders>
            <w:shd w:val="clear" w:color="auto" w:fill="auto"/>
            <w:noWrap/>
            <w:vAlign w:val="bottom"/>
            <w:hideMark/>
          </w:tcPr>
          <w:p w14:paraId="10E53E04"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2.50</w:t>
            </w:r>
          </w:p>
        </w:tc>
        <w:tc>
          <w:tcPr>
            <w:tcW w:w="989" w:type="dxa"/>
            <w:tcBorders>
              <w:top w:val="nil"/>
              <w:left w:val="nil"/>
              <w:bottom w:val="single" w:sz="4" w:space="0" w:color="auto"/>
              <w:right w:val="single" w:sz="4" w:space="0" w:color="auto"/>
            </w:tcBorders>
            <w:shd w:val="clear" w:color="auto" w:fill="auto"/>
            <w:noWrap/>
            <w:vAlign w:val="bottom"/>
            <w:hideMark/>
          </w:tcPr>
          <w:p w14:paraId="4588D687"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1.073</w:t>
            </w:r>
          </w:p>
        </w:tc>
        <w:tc>
          <w:tcPr>
            <w:tcW w:w="989" w:type="dxa"/>
            <w:tcBorders>
              <w:top w:val="nil"/>
              <w:left w:val="nil"/>
              <w:bottom w:val="single" w:sz="4" w:space="0" w:color="auto"/>
              <w:right w:val="single" w:sz="4" w:space="0" w:color="auto"/>
            </w:tcBorders>
            <w:shd w:val="clear" w:color="auto" w:fill="auto"/>
            <w:noWrap/>
            <w:vAlign w:val="bottom"/>
            <w:hideMark/>
          </w:tcPr>
          <w:p w14:paraId="2D9ABFED"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21.5</w:t>
            </w:r>
          </w:p>
        </w:tc>
        <w:tc>
          <w:tcPr>
            <w:tcW w:w="989" w:type="dxa"/>
            <w:tcBorders>
              <w:top w:val="nil"/>
              <w:left w:val="nil"/>
              <w:bottom w:val="single" w:sz="4" w:space="0" w:color="auto"/>
              <w:right w:val="single" w:sz="4" w:space="0" w:color="auto"/>
            </w:tcBorders>
            <w:shd w:val="clear" w:color="auto" w:fill="auto"/>
            <w:noWrap/>
            <w:vAlign w:val="bottom"/>
            <w:hideMark/>
          </w:tcPr>
          <w:p w14:paraId="24C1BA7F"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23.5</w:t>
            </w:r>
          </w:p>
        </w:tc>
        <w:tc>
          <w:tcPr>
            <w:tcW w:w="1414" w:type="dxa"/>
            <w:tcBorders>
              <w:top w:val="nil"/>
              <w:left w:val="nil"/>
              <w:bottom w:val="single" w:sz="4" w:space="0" w:color="auto"/>
              <w:right w:val="single" w:sz="4" w:space="0" w:color="auto"/>
            </w:tcBorders>
            <w:shd w:val="clear" w:color="auto" w:fill="auto"/>
            <w:noWrap/>
            <w:hideMark/>
          </w:tcPr>
          <w:p w14:paraId="371C53FB"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40 (0.47)</w:t>
            </w:r>
          </w:p>
        </w:tc>
      </w:tr>
      <w:tr w:rsidR="00403B07" w:rsidRPr="00734C53" w14:paraId="73E97818" w14:textId="77777777" w:rsidTr="00B01272">
        <w:trPr>
          <w:gridAfter w:val="1"/>
          <w:wAfter w:w="6" w:type="dxa"/>
          <w:trHeight w:val="203"/>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14:paraId="16DE8EDA"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49</w:t>
            </w:r>
          </w:p>
        </w:tc>
        <w:tc>
          <w:tcPr>
            <w:tcW w:w="1397" w:type="dxa"/>
            <w:tcBorders>
              <w:top w:val="nil"/>
              <w:left w:val="nil"/>
              <w:bottom w:val="single" w:sz="4" w:space="0" w:color="auto"/>
              <w:right w:val="single" w:sz="4" w:space="0" w:color="auto"/>
            </w:tcBorders>
            <w:shd w:val="clear" w:color="auto" w:fill="auto"/>
            <w:noWrap/>
            <w:vAlign w:val="bottom"/>
            <w:hideMark/>
          </w:tcPr>
          <w:p w14:paraId="731B08E6"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94.3</w:t>
            </w:r>
          </w:p>
        </w:tc>
        <w:tc>
          <w:tcPr>
            <w:tcW w:w="980" w:type="dxa"/>
            <w:tcBorders>
              <w:top w:val="nil"/>
              <w:left w:val="nil"/>
              <w:bottom w:val="single" w:sz="4" w:space="0" w:color="auto"/>
              <w:right w:val="single" w:sz="4" w:space="0" w:color="auto"/>
            </w:tcBorders>
            <w:shd w:val="clear" w:color="auto" w:fill="auto"/>
            <w:noWrap/>
            <w:vAlign w:val="bottom"/>
            <w:hideMark/>
          </w:tcPr>
          <w:p w14:paraId="6F31593C"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2.60</w:t>
            </w:r>
          </w:p>
        </w:tc>
        <w:tc>
          <w:tcPr>
            <w:tcW w:w="863" w:type="dxa"/>
            <w:tcBorders>
              <w:top w:val="nil"/>
              <w:left w:val="nil"/>
              <w:bottom w:val="single" w:sz="4" w:space="0" w:color="auto"/>
              <w:right w:val="single" w:sz="4" w:space="0" w:color="auto"/>
            </w:tcBorders>
            <w:shd w:val="clear" w:color="auto" w:fill="auto"/>
            <w:noWrap/>
            <w:vAlign w:val="bottom"/>
            <w:hideMark/>
          </w:tcPr>
          <w:p w14:paraId="53395266"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1.061</w:t>
            </w:r>
          </w:p>
        </w:tc>
        <w:tc>
          <w:tcPr>
            <w:tcW w:w="955" w:type="dxa"/>
            <w:tcBorders>
              <w:top w:val="nil"/>
              <w:left w:val="nil"/>
              <w:bottom w:val="single" w:sz="4" w:space="0" w:color="auto"/>
              <w:right w:val="single" w:sz="4" w:space="0" w:color="auto"/>
            </w:tcBorders>
            <w:shd w:val="clear" w:color="auto" w:fill="auto"/>
            <w:noWrap/>
            <w:vAlign w:val="bottom"/>
            <w:hideMark/>
          </w:tcPr>
          <w:p w14:paraId="591AF9C8"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17.5</w:t>
            </w:r>
          </w:p>
        </w:tc>
        <w:tc>
          <w:tcPr>
            <w:tcW w:w="980" w:type="dxa"/>
            <w:tcBorders>
              <w:top w:val="nil"/>
              <w:left w:val="nil"/>
              <w:bottom w:val="single" w:sz="4" w:space="0" w:color="auto"/>
              <w:right w:val="single" w:sz="4" w:space="0" w:color="auto"/>
            </w:tcBorders>
            <w:shd w:val="clear" w:color="auto" w:fill="auto"/>
            <w:noWrap/>
            <w:vAlign w:val="bottom"/>
            <w:hideMark/>
          </w:tcPr>
          <w:p w14:paraId="7AED489E"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26.7</w:t>
            </w:r>
          </w:p>
        </w:tc>
        <w:tc>
          <w:tcPr>
            <w:tcW w:w="1338" w:type="dxa"/>
            <w:tcBorders>
              <w:top w:val="nil"/>
              <w:left w:val="nil"/>
              <w:bottom w:val="single" w:sz="4" w:space="0" w:color="auto"/>
              <w:right w:val="single" w:sz="4" w:space="0" w:color="auto"/>
            </w:tcBorders>
            <w:shd w:val="clear" w:color="auto" w:fill="auto"/>
            <w:noWrap/>
            <w:hideMark/>
          </w:tcPr>
          <w:p w14:paraId="7C07C2DE"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48 (0.39)</w:t>
            </w:r>
          </w:p>
        </w:tc>
        <w:tc>
          <w:tcPr>
            <w:tcW w:w="990" w:type="dxa"/>
            <w:tcBorders>
              <w:top w:val="nil"/>
              <w:left w:val="nil"/>
              <w:bottom w:val="single" w:sz="4" w:space="0" w:color="auto"/>
              <w:right w:val="single" w:sz="4" w:space="0" w:color="auto"/>
            </w:tcBorders>
            <w:shd w:val="clear" w:color="auto" w:fill="auto"/>
            <w:noWrap/>
            <w:vAlign w:val="bottom"/>
            <w:hideMark/>
          </w:tcPr>
          <w:p w14:paraId="50CBA706"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2.60</w:t>
            </w:r>
          </w:p>
        </w:tc>
        <w:tc>
          <w:tcPr>
            <w:tcW w:w="989" w:type="dxa"/>
            <w:tcBorders>
              <w:top w:val="nil"/>
              <w:left w:val="nil"/>
              <w:bottom w:val="single" w:sz="4" w:space="0" w:color="auto"/>
              <w:right w:val="single" w:sz="4" w:space="0" w:color="auto"/>
            </w:tcBorders>
            <w:shd w:val="clear" w:color="auto" w:fill="auto"/>
            <w:noWrap/>
            <w:vAlign w:val="bottom"/>
            <w:hideMark/>
          </w:tcPr>
          <w:p w14:paraId="2FD36C12"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1.055</w:t>
            </w:r>
          </w:p>
        </w:tc>
        <w:tc>
          <w:tcPr>
            <w:tcW w:w="989" w:type="dxa"/>
            <w:tcBorders>
              <w:top w:val="nil"/>
              <w:left w:val="nil"/>
              <w:bottom w:val="single" w:sz="4" w:space="0" w:color="auto"/>
              <w:right w:val="single" w:sz="4" w:space="0" w:color="auto"/>
            </w:tcBorders>
            <w:shd w:val="clear" w:color="auto" w:fill="auto"/>
            <w:noWrap/>
            <w:vAlign w:val="bottom"/>
            <w:hideMark/>
          </w:tcPr>
          <w:p w14:paraId="5CE5AEAD"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17.0</w:t>
            </w:r>
          </w:p>
        </w:tc>
        <w:tc>
          <w:tcPr>
            <w:tcW w:w="989" w:type="dxa"/>
            <w:tcBorders>
              <w:top w:val="nil"/>
              <w:left w:val="nil"/>
              <w:bottom w:val="single" w:sz="4" w:space="0" w:color="auto"/>
              <w:right w:val="single" w:sz="4" w:space="0" w:color="auto"/>
            </w:tcBorders>
            <w:shd w:val="clear" w:color="auto" w:fill="auto"/>
            <w:noWrap/>
            <w:vAlign w:val="bottom"/>
            <w:hideMark/>
          </w:tcPr>
          <w:p w14:paraId="726B0F44"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26.6</w:t>
            </w:r>
          </w:p>
        </w:tc>
        <w:tc>
          <w:tcPr>
            <w:tcW w:w="1414" w:type="dxa"/>
            <w:tcBorders>
              <w:top w:val="nil"/>
              <w:left w:val="nil"/>
              <w:bottom w:val="single" w:sz="4" w:space="0" w:color="auto"/>
              <w:right w:val="single" w:sz="4" w:space="0" w:color="auto"/>
            </w:tcBorders>
            <w:shd w:val="clear" w:color="auto" w:fill="auto"/>
            <w:noWrap/>
            <w:hideMark/>
          </w:tcPr>
          <w:p w14:paraId="10359D8A"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50 (0.40)</w:t>
            </w:r>
          </w:p>
        </w:tc>
      </w:tr>
      <w:tr w:rsidR="00403B07" w:rsidRPr="00734C53" w14:paraId="467CC0F6" w14:textId="77777777" w:rsidTr="00B01272">
        <w:trPr>
          <w:gridAfter w:val="1"/>
          <w:wAfter w:w="6" w:type="dxa"/>
          <w:trHeight w:val="203"/>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14:paraId="5EB11D10"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50</w:t>
            </w:r>
          </w:p>
        </w:tc>
        <w:tc>
          <w:tcPr>
            <w:tcW w:w="1397" w:type="dxa"/>
            <w:tcBorders>
              <w:top w:val="nil"/>
              <w:left w:val="nil"/>
              <w:bottom w:val="single" w:sz="4" w:space="0" w:color="auto"/>
              <w:right w:val="single" w:sz="4" w:space="0" w:color="auto"/>
            </w:tcBorders>
            <w:shd w:val="clear" w:color="auto" w:fill="auto"/>
            <w:noWrap/>
            <w:vAlign w:val="bottom"/>
            <w:hideMark/>
          </w:tcPr>
          <w:p w14:paraId="4BB4E1D4"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103)</w:t>
            </w:r>
          </w:p>
        </w:tc>
        <w:tc>
          <w:tcPr>
            <w:tcW w:w="980" w:type="dxa"/>
            <w:tcBorders>
              <w:top w:val="nil"/>
              <w:left w:val="nil"/>
              <w:bottom w:val="single" w:sz="4" w:space="0" w:color="auto"/>
              <w:right w:val="single" w:sz="4" w:space="0" w:color="auto"/>
            </w:tcBorders>
            <w:shd w:val="clear" w:color="auto" w:fill="auto"/>
            <w:noWrap/>
            <w:vAlign w:val="bottom"/>
            <w:hideMark/>
          </w:tcPr>
          <w:p w14:paraId="754854E2"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2.97</w:t>
            </w:r>
          </w:p>
        </w:tc>
        <w:tc>
          <w:tcPr>
            <w:tcW w:w="863" w:type="dxa"/>
            <w:tcBorders>
              <w:top w:val="nil"/>
              <w:left w:val="nil"/>
              <w:bottom w:val="single" w:sz="4" w:space="0" w:color="auto"/>
              <w:right w:val="single" w:sz="4" w:space="0" w:color="auto"/>
            </w:tcBorders>
            <w:shd w:val="clear" w:color="auto" w:fill="auto"/>
            <w:noWrap/>
            <w:vAlign w:val="bottom"/>
            <w:hideMark/>
          </w:tcPr>
          <w:p w14:paraId="72ED5E41"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1.010</w:t>
            </w:r>
          </w:p>
        </w:tc>
        <w:tc>
          <w:tcPr>
            <w:tcW w:w="955" w:type="dxa"/>
            <w:tcBorders>
              <w:top w:val="nil"/>
              <w:left w:val="nil"/>
              <w:bottom w:val="single" w:sz="4" w:space="0" w:color="auto"/>
              <w:right w:val="single" w:sz="4" w:space="0" w:color="auto"/>
            </w:tcBorders>
            <w:shd w:val="clear" w:color="auto" w:fill="auto"/>
            <w:noWrap/>
            <w:vAlign w:val="bottom"/>
            <w:hideMark/>
          </w:tcPr>
          <w:p w14:paraId="1745E312"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9.5</w:t>
            </w:r>
          </w:p>
        </w:tc>
        <w:tc>
          <w:tcPr>
            <w:tcW w:w="980" w:type="dxa"/>
            <w:tcBorders>
              <w:top w:val="nil"/>
              <w:left w:val="nil"/>
              <w:bottom w:val="single" w:sz="4" w:space="0" w:color="auto"/>
              <w:right w:val="single" w:sz="4" w:space="0" w:color="auto"/>
            </w:tcBorders>
            <w:shd w:val="clear" w:color="000000" w:fill="D9D9D9"/>
            <w:noWrap/>
            <w:vAlign w:val="bottom"/>
            <w:hideMark/>
          </w:tcPr>
          <w:p w14:paraId="6F24DBF7"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40.0</w:t>
            </w:r>
          </w:p>
        </w:tc>
        <w:tc>
          <w:tcPr>
            <w:tcW w:w="1338" w:type="dxa"/>
            <w:tcBorders>
              <w:top w:val="nil"/>
              <w:left w:val="nil"/>
              <w:bottom w:val="single" w:sz="4" w:space="0" w:color="auto"/>
              <w:right w:val="single" w:sz="4" w:space="0" w:color="auto"/>
            </w:tcBorders>
            <w:shd w:val="clear" w:color="auto" w:fill="auto"/>
            <w:noWrap/>
            <w:hideMark/>
          </w:tcPr>
          <w:p w14:paraId="741775EF"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47 (0.48)</w:t>
            </w:r>
          </w:p>
        </w:tc>
        <w:tc>
          <w:tcPr>
            <w:tcW w:w="990" w:type="dxa"/>
            <w:tcBorders>
              <w:top w:val="nil"/>
              <w:left w:val="nil"/>
              <w:bottom w:val="single" w:sz="4" w:space="0" w:color="auto"/>
              <w:right w:val="single" w:sz="4" w:space="0" w:color="auto"/>
            </w:tcBorders>
            <w:shd w:val="clear" w:color="auto" w:fill="auto"/>
            <w:noWrap/>
            <w:vAlign w:val="bottom"/>
            <w:hideMark/>
          </w:tcPr>
          <w:p w14:paraId="43143E8C"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2.94</w:t>
            </w:r>
          </w:p>
        </w:tc>
        <w:tc>
          <w:tcPr>
            <w:tcW w:w="989" w:type="dxa"/>
            <w:tcBorders>
              <w:top w:val="nil"/>
              <w:left w:val="nil"/>
              <w:bottom w:val="single" w:sz="4" w:space="0" w:color="auto"/>
              <w:right w:val="single" w:sz="4" w:space="0" w:color="auto"/>
            </w:tcBorders>
            <w:shd w:val="clear" w:color="auto" w:fill="auto"/>
            <w:noWrap/>
            <w:vAlign w:val="bottom"/>
            <w:hideMark/>
          </w:tcPr>
          <w:p w14:paraId="7AB049E9"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0.988</w:t>
            </w:r>
          </w:p>
        </w:tc>
        <w:tc>
          <w:tcPr>
            <w:tcW w:w="989" w:type="dxa"/>
            <w:tcBorders>
              <w:top w:val="nil"/>
              <w:left w:val="nil"/>
              <w:bottom w:val="single" w:sz="4" w:space="0" w:color="auto"/>
              <w:right w:val="single" w:sz="4" w:space="0" w:color="auto"/>
            </w:tcBorders>
            <w:shd w:val="clear" w:color="auto" w:fill="auto"/>
            <w:noWrap/>
            <w:vAlign w:val="bottom"/>
            <w:hideMark/>
          </w:tcPr>
          <w:p w14:paraId="581073AB"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8.7</w:t>
            </w:r>
          </w:p>
        </w:tc>
        <w:tc>
          <w:tcPr>
            <w:tcW w:w="989" w:type="dxa"/>
            <w:tcBorders>
              <w:top w:val="nil"/>
              <w:left w:val="nil"/>
              <w:bottom w:val="single" w:sz="4" w:space="0" w:color="auto"/>
              <w:right w:val="single" w:sz="4" w:space="0" w:color="auto"/>
            </w:tcBorders>
            <w:shd w:val="clear" w:color="000000" w:fill="D9D9D9"/>
            <w:noWrap/>
            <w:vAlign w:val="bottom"/>
            <w:hideMark/>
          </w:tcPr>
          <w:p w14:paraId="0A324310" w14:textId="77777777" w:rsidR="00403B07" w:rsidRPr="00734C53" w:rsidRDefault="00403B07" w:rsidP="00B01272">
            <w:pPr>
              <w:spacing w:after="0" w:line="240" w:lineRule="auto"/>
              <w:jc w:val="center"/>
              <w:rPr>
                <w:rFonts w:ascii="Calibri" w:eastAsia="Times New Roman" w:hAnsi="Calibri" w:cs="Times New Roman"/>
                <w:color w:val="000000"/>
              </w:rPr>
            </w:pPr>
            <w:r w:rsidRPr="00734C53">
              <w:rPr>
                <w:rFonts w:ascii="Calibri" w:eastAsia="Times New Roman" w:hAnsi="Calibri" w:cs="Times New Roman"/>
                <w:color w:val="000000"/>
              </w:rPr>
              <w:t>37.5</w:t>
            </w:r>
          </w:p>
        </w:tc>
        <w:tc>
          <w:tcPr>
            <w:tcW w:w="1414" w:type="dxa"/>
            <w:tcBorders>
              <w:top w:val="nil"/>
              <w:left w:val="nil"/>
              <w:bottom w:val="single" w:sz="4" w:space="0" w:color="auto"/>
              <w:right w:val="single" w:sz="4" w:space="0" w:color="auto"/>
            </w:tcBorders>
            <w:shd w:val="clear" w:color="auto" w:fill="auto"/>
            <w:noWrap/>
            <w:hideMark/>
          </w:tcPr>
          <w:p w14:paraId="45436B6B" w14:textId="77777777" w:rsidR="00403B07" w:rsidRPr="00734C53" w:rsidRDefault="00403B07" w:rsidP="00B01272">
            <w:pPr>
              <w:spacing w:after="0" w:line="240" w:lineRule="auto"/>
              <w:jc w:val="right"/>
              <w:rPr>
                <w:rFonts w:ascii="Calibri" w:eastAsia="Times New Roman" w:hAnsi="Calibri" w:cs="Times New Roman"/>
                <w:color w:val="000000"/>
              </w:rPr>
            </w:pPr>
            <w:r w:rsidRPr="00734C53">
              <w:rPr>
                <w:rFonts w:ascii="Calibri" w:eastAsia="Times New Roman" w:hAnsi="Calibri" w:cs="Times New Roman"/>
                <w:color w:val="000000"/>
              </w:rPr>
              <w:t xml:space="preserve"> 48 (0.41)</w:t>
            </w:r>
          </w:p>
        </w:tc>
      </w:tr>
    </w:tbl>
    <w:p w14:paraId="213F2941" w14:textId="77777777" w:rsidR="00403B07" w:rsidRDefault="00403B07" w:rsidP="00403B07">
      <w:pPr>
        <w:rPr>
          <w:rFonts w:ascii="Calibri" w:eastAsia="Calibri" w:hAnsi="Calibri" w:cs="Times New Roman"/>
        </w:rPr>
      </w:pPr>
    </w:p>
    <w:p w14:paraId="0F1E67DA" w14:textId="77777777" w:rsidR="00403B07" w:rsidRDefault="00403B07" w:rsidP="00403B07">
      <w:pPr>
        <w:rPr>
          <w:rFonts w:ascii="Calibri" w:eastAsia="Calibri" w:hAnsi="Calibri" w:cs="Times New Roman"/>
        </w:rPr>
      </w:pPr>
    </w:p>
    <w:p w14:paraId="1DEC514E" w14:textId="77777777" w:rsidR="00E85074" w:rsidRDefault="00E85074" w:rsidP="00403B07">
      <w:pPr>
        <w:rPr>
          <w:rFonts w:ascii="Calibri" w:eastAsia="Calibri" w:hAnsi="Calibri" w:cs="Times New Roman"/>
        </w:rPr>
        <w:sectPr w:rsidR="00E85074" w:rsidSect="00B01272">
          <w:pgSz w:w="16838" w:h="11906" w:orient="landscape"/>
          <w:pgMar w:top="1440" w:right="1440" w:bottom="1440" w:left="1440" w:header="709" w:footer="709" w:gutter="0"/>
          <w:cols w:space="708"/>
          <w:docGrid w:linePitch="360"/>
        </w:sectPr>
      </w:pPr>
    </w:p>
    <w:p w14:paraId="4DC20EF9" w14:textId="77777777" w:rsidR="00403B07" w:rsidRPr="00186586" w:rsidRDefault="00403B07" w:rsidP="00403B07">
      <w:pPr>
        <w:rPr>
          <w:rFonts w:ascii="Calibri" w:eastAsia="Calibri" w:hAnsi="Calibri" w:cs="Times New Roman"/>
          <w:sz w:val="24"/>
          <w:szCs w:val="24"/>
        </w:rPr>
      </w:pPr>
      <w:r>
        <w:rPr>
          <w:rFonts w:ascii="Calibri" w:eastAsia="Calibri" w:hAnsi="Calibri" w:cs="Times New Roman"/>
          <w:sz w:val="24"/>
          <w:szCs w:val="24"/>
        </w:rPr>
        <w:lastRenderedPageBreak/>
        <w:t>As d</w:t>
      </w:r>
      <w:r w:rsidRPr="00FB138A">
        <w:rPr>
          <w:rFonts w:ascii="Calibri" w:eastAsia="Calibri" w:hAnsi="Calibri" w:cs="Times New Roman"/>
          <w:sz w:val="24"/>
          <w:szCs w:val="24"/>
        </w:rPr>
        <w:t xml:space="preserve">ata screening revealed issues with item 31, </w:t>
      </w:r>
      <w:r>
        <w:rPr>
          <w:rFonts w:ascii="Calibri" w:eastAsia="Calibri" w:hAnsi="Calibri" w:cs="Times New Roman"/>
          <w:sz w:val="24"/>
          <w:szCs w:val="24"/>
        </w:rPr>
        <w:t xml:space="preserve">this </w:t>
      </w:r>
      <w:r w:rsidRPr="00FB138A">
        <w:rPr>
          <w:rFonts w:ascii="Calibri" w:eastAsia="Calibri" w:hAnsi="Calibri" w:cs="Times New Roman"/>
          <w:sz w:val="24"/>
          <w:szCs w:val="24"/>
        </w:rPr>
        <w:t>was removed from all datasets</w:t>
      </w:r>
      <w:r>
        <w:rPr>
          <w:rFonts w:ascii="Calibri" w:eastAsia="Calibri" w:hAnsi="Calibri" w:cs="Times New Roman"/>
          <w:sz w:val="24"/>
          <w:szCs w:val="24"/>
        </w:rPr>
        <w:t xml:space="preserve"> for the subsequent factor analyses</w:t>
      </w:r>
      <w:r w:rsidRPr="00FB138A">
        <w:rPr>
          <w:rFonts w:ascii="Calibri" w:eastAsia="Calibri" w:hAnsi="Calibri" w:cs="Times New Roman"/>
          <w:sz w:val="24"/>
          <w:szCs w:val="24"/>
        </w:rPr>
        <w:t>. Initially, the analysis team had agreed on data imputation rules in preparation for the CFAs. However, since polychoric correlations were used for these analyses, this was no longer necessary. Additionally, no data needed to be discarded, and the sample size could be maintained at 662.</w:t>
      </w:r>
    </w:p>
    <w:p w14:paraId="28C55295" w14:textId="77777777" w:rsidR="00403B07" w:rsidRPr="00186586" w:rsidRDefault="00403B07" w:rsidP="00403B07">
      <w:pPr>
        <w:rPr>
          <w:rFonts w:ascii="Calibri" w:eastAsia="Calibri" w:hAnsi="Calibri" w:cs="Times New Roman"/>
          <w:i/>
          <w:sz w:val="24"/>
          <w:szCs w:val="24"/>
        </w:rPr>
      </w:pPr>
      <w:r w:rsidRPr="00186586">
        <w:rPr>
          <w:rFonts w:ascii="Calibri" w:eastAsia="Calibri" w:hAnsi="Calibri" w:cs="Times New Roman"/>
          <w:i/>
          <w:sz w:val="24"/>
          <w:szCs w:val="24"/>
        </w:rPr>
        <w:t>Results of EFAs on Baseline Dataset A</w:t>
      </w:r>
    </w:p>
    <w:p w14:paraId="34FDD5BA" w14:textId="77777777" w:rsidR="00403B07" w:rsidRPr="00186586" w:rsidRDefault="00403B07" w:rsidP="00403B07">
      <w:pPr>
        <w:rPr>
          <w:rFonts w:ascii="Calibri" w:eastAsia="Calibri" w:hAnsi="Calibri" w:cs="Times New Roman"/>
          <w:sz w:val="24"/>
          <w:szCs w:val="24"/>
        </w:rPr>
      </w:pPr>
      <w:r w:rsidRPr="00186586">
        <w:rPr>
          <w:rFonts w:ascii="Calibri" w:eastAsia="Calibri" w:hAnsi="Calibri" w:cs="Times New Roman"/>
          <w:sz w:val="24"/>
          <w:szCs w:val="24"/>
        </w:rPr>
        <w:t xml:space="preserve">An initial EFA yielded ten factors with eigenvalues above 1.00, although the scree plot indicated that </w:t>
      </w:r>
      <w:r>
        <w:rPr>
          <w:rFonts w:ascii="Calibri" w:eastAsia="Calibri" w:hAnsi="Calibri" w:cs="Times New Roman"/>
          <w:sz w:val="24"/>
          <w:szCs w:val="24"/>
        </w:rPr>
        <w:t xml:space="preserve">only </w:t>
      </w:r>
      <w:r w:rsidRPr="00186586">
        <w:rPr>
          <w:rFonts w:ascii="Calibri" w:eastAsia="Calibri" w:hAnsi="Calibri" w:cs="Times New Roman"/>
          <w:sz w:val="24"/>
          <w:szCs w:val="24"/>
        </w:rPr>
        <w:t xml:space="preserve">three to six factors </w:t>
      </w:r>
      <w:r>
        <w:rPr>
          <w:rFonts w:ascii="Calibri" w:eastAsia="Calibri" w:hAnsi="Calibri" w:cs="Times New Roman"/>
          <w:sz w:val="24"/>
          <w:szCs w:val="24"/>
        </w:rPr>
        <w:t xml:space="preserve">were likely to be </w:t>
      </w:r>
      <w:r w:rsidRPr="00186586">
        <w:rPr>
          <w:rFonts w:ascii="Calibri" w:eastAsia="Calibri" w:hAnsi="Calibri" w:cs="Times New Roman"/>
          <w:sz w:val="24"/>
          <w:szCs w:val="24"/>
        </w:rPr>
        <w:t xml:space="preserve">plausible, and any factors beyond that would contribute very little to variance explained. A four-factor solution </w:t>
      </w:r>
      <w:r>
        <w:rPr>
          <w:rFonts w:ascii="Calibri" w:eastAsia="Calibri" w:hAnsi="Calibri" w:cs="Times New Roman"/>
          <w:sz w:val="24"/>
          <w:szCs w:val="24"/>
        </w:rPr>
        <w:t xml:space="preserve">accounted for </w:t>
      </w:r>
      <w:r w:rsidRPr="00186586">
        <w:rPr>
          <w:rFonts w:ascii="Calibri" w:eastAsia="Calibri" w:hAnsi="Calibri" w:cs="Times New Roman"/>
          <w:sz w:val="24"/>
          <w:szCs w:val="24"/>
        </w:rPr>
        <w:t>42.68% cumulative variance. The loading pattern matched that of the questionnaires, although with some substantial cross-loadings</w:t>
      </w:r>
      <w:r>
        <w:rPr>
          <w:rFonts w:ascii="Calibri" w:eastAsia="Calibri" w:hAnsi="Calibri" w:cs="Times New Roman"/>
          <w:sz w:val="24"/>
          <w:szCs w:val="24"/>
        </w:rPr>
        <w:t>, we named the four factors as</w:t>
      </w:r>
      <w:r w:rsidRPr="00186586">
        <w:rPr>
          <w:rFonts w:ascii="Calibri" w:eastAsia="Calibri" w:hAnsi="Calibri" w:cs="Times New Roman"/>
          <w:sz w:val="24"/>
          <w:szCs w:val="24"/>
        </w:rPr>
        <w:t>:</w:t>
      </w:r>
    </w:p>
    <w:p w14:paraId="08FD11DF" w14:textId="77777777" w:rsidR="00403B07" w:rsidRPr="00186586" w:rsidRDefault="00403B07" w:rsidP="00403B07">
      <w:pPr>
        <w:rPr>
          <w:rFonts w:ascii="Calibri" w:eastAsia="Calibri" w:hAnsi="Calibri" w:cs="Times New Roman"/>
          <w:sz w:val="24"/>
          <w:szCs w:val="24"/>
        </w:rPr>
      </w:pPr>
      <w:r>
        <w:rPr>
          <w:rFonts w:ascii="Calibri" w:eastAsia="Calibri" w:hAnsi="Calibri" w:cs="Times New Roman"/>
          <w:sz w:val="24"/>
          <w:szCs w:val="24"/>
        </w:rPr>
        <w:t xml:space="preserve">Factor 1: Behaviours &amp; strategies </w:t>
      </w:r>
      <w:r w:rsidRPr="00186586">
        <w:rPr>
          <w:rFonts w:ascii="Calibri" w:eastAsia="Calibri" w:hAnsi="Calibri" w:cs="Times New Roman"/>
          <w:sz w:val="24"/>
          <w:szCs w:val="24"/>
        </w:rPr>
        <w:t>(</w:t>
      </w:r>
      <w:r>
        <w:rPr>
          <w:rFonts w:ascii="Calibri" w:eastAsia="Calibri" w:hAnsi="Calibri" w:cs="Times New Roman"/>
          <w:sz w:val="24"/>
          <w:szCs w:val="24"/>
        </w:rPr>
        <w:t xml:space="preserve">considerable </w:t>
      </w:r>
      <w:r w:rsidRPr="00186586">
        <w:rPr>
          <w:rFonts w:ascii="Calibri" w:eastAsia="Calibri" w:hAnsi="Calibri" w:cs="Times New Roman"/>
          <w:sz w:val="24"/>
          <w:szCs w:val="24"/>
        </w:rPr>
        <w:t>cross-loading with F</w:t>
      </w:r>
      <w:r>
        <w:rPr>
          <w:rFonts w:ascii="Calibri" w:eastAsia="Calibri" w:hAnsi="Calibri" w:cs="Times New Roman"/>
          <w:sz w:val="24"/>
          <w:szCs w:val="24"/>
        </w:rPr>
        <w:t xml:space="preserve">actor </w:t>
      </w:r>
      <w:r w:rsidRPr="00186586">
        <w:rPr>
          <w:rFonts w:ascii="Calibri" w:eastAsia="Calibri" w:hAnsi="Calibri" w:cs="Times New Roman"/>
          <w:sz w:val="24"/>
          <w:szCs w:val="24"/>
        </w:rPr>
        <w:t>3)</w:t>
      </w:r>
    </w:p>
    <w:p w14:paraId="6FA34E8F" w14:textId="77777777" w:rsidR="00403B07" w:rsidRPr="00186586" w:rsidRDefault="00403B07" w:rsidP="00403B07">
      <w:pPr>
        <w:rPr>
          <w:rFonts w:ascii="Calibri" w:eastAsia="Calibri" w:hAnsi="Calibri" w:cs="Times New Roman"/>
          <w:sz w:val="24"/>
          <w:szCs w:val="24"/>
        </w:rPr>
      </w:pPr>
      <w:r w:rsidRPr="00186586">
        <w:rPr>
          <w:rFonts w:ascii="Calibri" w:eastAsia="Calibri" w:hAnsi="Calibri" w:cs="Times New Roman"/>
          <w:sz w:val="24"/>
          <w:szCs w:val="24"/>
        </w:rPr>
        <w:t>Factor 2: Family approval</w:t>
      </w:r>
      <w:r>
        <w:rPr>
          <w:rFonts w:ascii="Calibri" w:eastAsia="Calibri" w:hAnsi="Calibri" w:cs="Times New Roman"/>
          <w:sz w:val="24"/>
          <w:szCs w:val="24"/>
        </w:rPr>
        <w:t xml:space="preserve">/behaviours </w:t>
      </w:r>
      <w:r w:rsidRPr="00186586">
        <w:rPr>
          <w:rFonts w:ascii="Calibri" w:eastAsia="Calibri" w:hAnsi="Calibri" w:cs="Times New Roman"/>
          <w:sz w:val="24"/>
          <w:szCs w:val="24"/>
        </w:rPr>
        <w:t xml:space="preserve">and </w:t>
      </w:r>
      <w:r>
        <w:rPr>
          <w:rFonts w:ascii="Calibri" w:eastAsia="Calibri" w:hAnsi="Calibri" w:cs="Times New Roman"/>
          <w:sz w:val="24"/>
          <w:szCs w:val="24"/>
        </w:rPr>
        <w:t xml:space="preserve">child </w:t>
      </w:r>
      <w:r w:rsidRPr="00186586">
        <w:rPr>
          <w:rFonts w:ascii="Calibri" w:eastAsia="Calibri" w:hAnsi="Calibri" w:cs="Times New Roman"/>
          <w:sz w:val="24"/>
          <w:szCs w:val="24"/>
        </w:rPr>
        <w:t>attitude</w:t>
      </w:r>
      <w:r>
        <w:rPr>
          <w:rFonts w:ascii="Calibri" w:eastAsia="Calibri" w:hAnsi="Calibri" w:cs="Times New Roman"/>
          <w:sz w:val="24"/>
          <w:szCs w:val="24"/>
        </w:rPr>
        <w:t>s</w:t>
      </w:r>
      <w:r w:rsidRPr="00186586">
        <w:rPr>
          <w:rFonts w:ascii="Calibri" w:eastAsia="Calibri" w:hAnsi="Calibri" w:cs="Times New Roman"/>
          <w:sz w:val="24"/>
          <w:szCs w:val="24"/>
        </w:rPr>
        <w:t xml:space="preserve"> (</w:t>
      </w:r>
      <w:r>
        <w:rPr>
          <w:rFonts w:ascii="Calibri" w:eastAsia="Calibri" w:hAnsi="Calibri" w:cs="Times New Roman"/>
          <w:sz w:val="24"/>
          <w:szCs w:val="24"/>
        </w:rPr>
        <w:t xml:space="preserve">items </w:t>
      </w:r>
      <w:r w:rsidRPr="00186586">
        <w:rPr>
          <w:rFonts w:ascii="Calibri" w:eastAsia="Calibri" w:hAnsi="Calibri" w:cs="Times New Roman"/>
          <w:sz w:val="24"/>
          <w:szCs w:val="24"/>
        </w:rPr>
        <w:t>29 and 32 loaded most on F</w:t>
      </w:r>
      <w:r>
        <w:rPr>
          <w:rFonts w:ascii="Calibri" w:eastAsia="Calibri" w:hAnsi="Calibri" w:cs="Times New Roman"/>
          <w:sz w:val="24"/>
          <w:szCs w:val="24"/>
        </w:rPr>
        <w:t xml:space="preserve">actor </w:t>
      </w:r>
      <w:r w:rsidRPr="00186586">
        <w:rPr>
          <w:rFonts w:ascii="Calibri" w:eastAsia="Calibri" w:hAnsi="Calibri" w:cs="Times New Roman"/>
          <w:sz w:val="24"/>
          <w:szCs w:val="24"/>
        </w:rPr>
        <w:t>1)</w:t>
      </w:r>
    </w:p>
    <w:p w14:paraId="6709A6C7" w14:textId="77777777" w:rsidR="00403B07" w:rsidRPr="00186586" w:rsidRDefault="00403B07" w:rsidP="00403B07">
      <w:pPr>
        <w:rPr>
          <w:rFonts w:ascii="Calibri" w:eastAsia="Calibri" w:hAnsi="Calibri" w:cs="Times New Roman"/>
          <w:sz w:val="24"/>
          <w:szCs w:val="24"/>
        </w:rPr>
      </w:pPr>
      <w:r>
        <w:rPr>
          <w:rFonts w:ascii="Calibri" w:eastAsia="Calibri" w:hAnsi="Calibri" w:cs="Times New Roman"/>
          <w:sz w:val="24"/>
          <w:szCs w:val="24"/>
        </w:rPr>
        <w:t xml:space="preserve">Factor 3: Confidence &amp; motivations </w:t>
      </w:r>
      <w:r w:rsidRPr="00186586">
        <w:rPr>
          <w:rFonts w:ascii="Calibri" w:eastAsia="Calibri" w:hAnsi="Calibri" w:cs="Times New Roman"/>
          <w:sz w:val="24"/>
          <w:szCs w:val="24"/>
        </w:rPr>
        <w:t>(with high cross-loadings to other factors)</w:t>
      </w:r>
    </w:p>
    <w:p w14:paraId="7850109B" w14:textId="77777777" w:rsidR="00403B07" w:rsidRDefault="00403B07" w:rsidP="00403B07">
      <w:pPr>
        <w:rPr>
          <w:rFonts w:ascii="Calibri" w:eastAsia="Calibri" w:hAnsi="Calibri" w:cs="Times New Roman"/>
          <w:sz w:val="24"/>
          <w:szCs w:val="24"/>
        </w:rPr>
      </w:pPr>
      <w:r w:rsidRPr="00186586">
        <w:rPr>
          <w:rFonts w:ascii="Calibri" w:eastAsia="Calibri" w:hAnsi="Calibri" w:cs="Times New Roman"/>
          <w:sz w:val="24"/>
          <w:szCs w:val="24"/>
        </w:rPr>
        <w:t>Factor 4: Peer norms (</w:t>
      </w:r>
      <w:r>
        <w:rPr>
          <w:rFonts w:ascii="Calibri" w:eastAsia="Calibri" w:hAnsi="Calibri" w:cs="Times New Roman"/>
          <w:sz w:val="24"/>
          <w:szCs w:val="24"/>
        </w:rPr>
        <w:t>item 1</w:t>
      </w:r>
      <w:r w:rsidRPr="00186586">
        <w:rPr>
          <w:rFonts w:ascii="Calibri" w:eastAsia="Calibri" w:hAnsi="Calibri" w:cs="Times New Roman"/>
          <w:sz w:val="24"/>
          <w:szCs w:val="24"/>
        </w:rPr>
        <w:t>6 loading substantially more with F</w:t>
      </w:r>
      <w:r>
        <w:rPr>
          <w:rFonts w:ascii="Calibri" w:eastAsia="Calibri" w:hAnsi="Calibri" w:cs="Times New Roman"/>
          <w:sz w:val="24"/>
          <w:szCs w:val="24"/>
        </w:rPr>
        <w:t xml:space="preserve">actor </w:t>
      </w:r>
      <w:r w:rsidRPr="00186586">
        <w:rPr>
          <w:rFonts w:ascii="Calibri" w:eastAsia="Calibri" w:hAnsi="Calibri" w:cs="Times New Roman"/>
          <w:sz w:val="24"/>
          <w:szCs w:val="24"/>
        </w:rPr>
        <w:t>2).</w:t>
      </w:r>
    </w:p>
    <w:p w14:paraId="329A153A" w14:textId="77777777" w:rsidR="00403B07" w:rsidRPr="00186586" w:rsidRDefault="00403B07" w:rsidP="00403B07">
      <w:pPr>
        <w:rPr>
          <w:rFonts w:ascii="Calibri" w:eastAsia="Calibri" w:hAnsi="Calibri" w:cs="Times New Roman"/>
          <w:sz w:val="24"/>
          <w:szCs w:val="24"/>
        </w:rPr>
      </w:pPr>
    </w:p>
    <w:p w14:paraId="5C2D22EB" w14:textId="77777777" w:rsidR="00403B07" w:rsidRPr="00186586" w:rsidRDefault="00403B07" w:rsidP="00403B07">
      <w:pPr>
        <w:rPr>
          <w:rFonts w:ascii="Calibri" w:eastAsia="Calibri" w:hAnsi="Calibri" w:cs="Times New Roman"/>
          <w:i/>
          <w:sz w:val="24"/>
          <w:szCs w:val="24"/>
        </w:rPr>
      </w:pPr>
      <w:r w:rsidRPr="00186586">
        <w:rPr>
          <w:rFonts w:ascii="Calibri" w:eastAsia="Calibri" w:hAnsi="Calibri" w:cs="Times New Roman"/>
          <w:i/>
          <w:sz w:val="24"/>
          <w:szCs w:val="24"/>
        </w:rPr>
        <w:t>Results of EFAs on Baseline Dataset A</w:t>
      </w:r>
    </w:p>
    <w:p w14:paraId="4AA16AD6" w14:textId="77777777" w:rsidR="00403B07" w:rsidRPr="00186586" w:rsidRDefault="00403B07" w:rsidP="00403B07">
      <w:pPr>
        <w:rPr>
          <w:rFonts w:ascii="Calibri" w:eastAsia="Calibri" w:hAnsi="Calibri" w:cs="Times New Roman"/>
          <w:sz w:val="24"/>
          <w:szCs w:val="24"/>
        </w:rPr>
      </w:pPr>
      <w:r w:rsidRPr="00186586">
        <w:rPr>
          <w:rFonts w:ascii="Calibri" w:eastAsia="Calibri" w:hAnsi="Calibri" w:cs="Times New Roman"/>
          <w:sz w:val="24"/>
          <w:szCs w:val="24"/>
        </w:rPr>
        <w:t>Replication with the 12 months Dataset A yielded a similar pattern. Cumulative variance was 42.60% w</w:t>
      </w:r>
      <w:r>
        <w:rPr>
          <w:rFonts w:ascii="Calibri" w:eastAsia="Calibri" w:hAnsi="Calibri" w:cs="Times New Roman"/>
          <w:sz w:val="24"/>
          <w:szCs w:val="24"/>
        </w:rPr>
        <w:t xml:space="preserve">ith </w:t>
      </w:r>
      <w:r w:rsidRPr="00186586">
        <w:rPr>
          <w:rFonts w:ascii="Calibri" w:eastAsia="Calibri" w:hAnsi="Calibri" w:cs="Times New Roman"/>
          <w:sz w:val="24"/>
          <w:szCs w:val="24"/>
        </w:rPr>
        <w:t>a four-factor solution. Again, substantial cross-loadings were noticeable:</w:t>
      </w:r>
    </w:p>
    <w:p w14:paraId="2D8C68F0" w14:textId="77777777" w:rsidR="00403B07" w:rsidRPr="00922AB3" w:rsidRDefault="00403B07" w:rsidP="00403B07">
      <w:pPr>
        <w:rPr>
          <w:rFonts w:ascii="Calibri" w:eastAsia="Calibri" w:hAnsi="Calibri" w:cs="Times New Roman"/>
          <w:sz w:val="24"/>
          <w:szCs w:val="24"/>
        </w:rPr>
      </w:pPr>
      <w:r w:rsidRPr="00922AB3">
        <w:rPr>
          <w:rFonts w:ascii="Calibri" w:eastAsia="Calibri" w:hAnsi="Calibri" w:cs="Times New Roman"/>
          <w:sz w:val="24"/>
          <w:szCs w:val="24"/>
        </w:rPr>
        <w:t xml:space="preserve">Factor 1: </w:t>
      </w:r>
      <w:r>
        <w:rPr>
          <w:rFonts w:ascii="Calibri" w:eastAsia="Calibri" w:hAnsi="Calibri" w:cs="Times New Roman"/>
          <w:sz w:val="24"/>
          <w:szCs w:val="24"/>
        </w:rPr>
        <w:t>Additional behaviours &amp; strategies</w:t>
      </w:r>
      <w:r w:rsidRPr="00922AB3">
        <w:rPr>
          <w:rFonts w:ascii="Calibri" w:eastAsia="Calibri" w:hAnsi="Calibri" w:cs="Times New Roman"/>
          <w:sz w:val="24"/>
          <w:szCs w:val="24"/>
        </w:rPr>
        <w:t xml:space="preserve"> (considerable cross-loading with F</w:t>
      </w:r>
      <w:r>
        <w:rPr>
          <w:rFonts w:ascii="Calibri" w:eastAsia="Calibri" w:hAnsi="Calibri" w:cs="Times New Roman"/>
          <w:sz w:val="24"/>
          <w:szCs w:val="24"/>
        </w:rPr>
        <w:t xml:space="preserve">actor </w:t>
      </w:r>
      <w:r w:rsidRPr="00922AB3">
        <w:rPr>
          <w:rFonts w:ascii="Calibri" w:eastAsia="Calibri" w:hAnsi="Calibri" w:cs="Times New Roman"/>
          <w:sz w:val="24"/>
          <w:szCs w:val="24"/>
        </w:rPr>
        <w:t>3)</w:t>
      </w:r>
    </w:p>
    <w:p w14:paraId="7EA286D1" w14:textId="77777777" w:rsidR="00403B07" w:rsidRPr="00922AB3" w:rsidRDefault="00403B07" w:rsidP="00403B07">
      <w:pPr>
        <w:rPr>
          <w:rFonts w:ascii="Calibri" w:eastAsia="Calibri" w:hAnsi="Calibri" w:cs="Times New Roman"/>
          <w:sz w:val="24"/>
          <w:szCs w:val="24"/>
        </w:rPr>
      </w:pPr>
      <w:r w:rsidRPr="00922AB3">
        <w:rPr>
          <w:rFonts w:ascii="Calibri" w:eastAsia="Calibri" w:hAnsi="Calibri" w:cs="Times New Roman"/>
          <w:sz w:val="24"/>
          <w:szCs w:val="24"/>
        </w:rPr>
        <w:t>Factor 2: Family approval</w:t>
      </w:r>
      <w:r>
        <w:rPr>
          <w:rFonts w:ascii="Calibri" w:eastAsia="Calibri" w:hAnsi="Calibri" w:cs="Times New Roman"/>
          <w:sz w:val="24"/>
          <w:szCs w:val="24"/>
        </w:rPr>
        <w:t>/behaviours</w:t>
      </w:r>
      <w:r w:rsidRPr="00922AB3">
        <w:rPr>
          <w:rFonts w:ascii="Calibri" w:eastAsia="Calibri" w:hAnsi="Calibri" w:cs="Times New Roman"/>
          <w:sz w:val="24"/>
          <w:szCs w:val="24"/>
        </w:rPr>
        <w:t xml:space="preserve"> and </w:t>
      </w:r>
      <w:r>
        <w:rPr>
          <w:rFonts w:ascii="Calibri" w:eastAsia="Calibri" w:hAnsi="Calibri" w:cs="Times New Roman"/>
          <w:sz w:val="24"/>
          <w:szCs w:val="24"/>
        </w:rPr>
        <w:t xml:space="preserve">child </w:t>
      </w:r>
      <w:r w:rsidRPr="00922AB3">
        <w:rPr>
          <w:rFonts w:ascii="Calibri" w:eastAsia="Calibri" w:hAnsi="Calibri" w:cs="Times New Roman"/>
          <w:sz w:val="24"/>
          <w:szCs w:val="24"/>
        </w:rPr>
        <w:t>attitudes (</w:t>
      </w:r>
      <w:r>
        <w:rPr>
          <w:rFonts w:ascii="Calibri" w:eastAsia="Calibri" w:hAnsi="Calibri" w:cs="Times New Roman"/>
          <w:sz w:val="24"/>
          <w:szCs w:val="24"/>
        </w:rPr>
        <w:t xml:space="preserve">items </w:t>
      </w:r>
      <w:r w:rsidRPr="00922AB3">
        <w:rPr>
          <w:rFonts w:ascii="Calibri" w:eastAsia="Calibri" w:hAnsi="Calibri" w:cs="Times New Roman"/>
          <w:sz w:val="24"/>
          <w:szCs w:val="24"/>
        </w:rPr>
        <w:t>29</w:t>
      </w:r>
      <w:r>
        <w:rPr>
          <w:rFonts w:ascii="Calibri" w:eastAsia="Calibri" w:hAnsi="Calibri" w:cs="Times New Roman"/>
          <w:sz w:val="24"/>
          <w:szCs w:val="24"/>
        </w:rPr>
        <w:t xml:space="preserve">, </w:t>
      </w:r>
      <w:r w:rsidRPr="00922AB3">
        <w:rPr>
          <w:rFonts w:ascii="Calibri" w:eastAsia="Calibri" w:hAnsi="Calibri" w:cs="Times New Roman"/>
          <w:sz w:val="24"/>
          <w:szCs w:val="24"/>
        </w:rPr>
        <w:t xml:space="preserve">30 and 32 </w:t>
      </w:r>
      <w:r>
        <w:rPr>
          <w:rFonts w:ascii="Calibri" w:eastAsia="Calibri" w:hAnsi="Calibri" w:cs="Times New Roman"/>
          <w:sz w:val="24"/>
          <w:szCs w:val="24"/>
        </w:rPr>
        <w:t xml:space="preserve">loaded </w:t>
      </w:r>
      <w:r w:rsidRPr="00922AB3">
        <w:rPr>
          <w:rFonts w:ascii="Calibri" w:eastAsia="Calibri" w:hAnsi="Calibri" w:cs="Times New Roman"/>
          <w:sz w:val="24"/>
          <w:szCs w:val="24"/>
        </w:rPr>
        <w:t>most on F</w:t>
      </w:r>
      <w:r>
        <w:rPr>
          <w:rFonts w:ascii="Calibri" w:eastAsia="Calibri" w:hAnsi="Calibri" w:cs="Times New Roman"/>
          <w:sz w:val="24"/>
          <w:szCs w:val="24"/>
        </w:rPr>
        <w:t xml:space="preserve">actor </w:t>
      </w:r>
      <w:r w:rsidRPr="00922AB3">
        <w:rPr>
          <w:rFonts w:ascii="Calibri" w:eastAsia="Calibri" w:hAnsi="Calibri" w:cs="Times New Roman"/>
          <w:sz w:val="24"/>
          <w:szCs w:val="24"/>
        </w:rPr>
        <w:t>1)</w:t>
      </w:r>
    </w:p>
    <w:p w14:paraId="3C1AF2A4" w14:textId="77777777" w:rsidR="00403B07" w:rsidRPr="00922AB3" w:rsidRDefault="00403B07" w:rsidP="00403B07">
      <w:pPr>
        <w:rPr>
          <w:rFonts w:ascii="Calibri" w:eastAsia="Calibri" w:hAnsi="Calibri" w:cs="Times New Roman"/>
          <w:sz w:val="24"/>
          <w:szCs w:val="24"/>
        </w:rPr>
      </w:pPr>
      <w:r>
        <w:rPr>
          <w:rFonts w:ascii="Calibri" w:eastAsia="Calibri" w:hAnsi="Calibri" w:cs="Times New Roman"/>
          <w:sz w:val="24"/>
          <w:szCs w:val="24"/>
        </w:rPr>
        <w:t xml:space="preserve">Factor </w:t>
      </w:r>
      <w:r w:rsidRPr="00922AB3">
        <w:rPr>
          <w:rFonts w:ascii="Calibri" w:eastAsia="Calibri" w:hAnsi="Calibri" w:cs="Times New Roman"/>
          <w:sz w:val="24"/>
          <w:szCs w:val="24"/>
        </w:rPr>
        <w:t xml:space="preserve">3: </w:t>
      </w:r>
      <w:r>
        <w:rPr>
          <w:rFonts w:ascii="Calibri" w:eastAsia="Calibri" w:hAnsi="Calibri" w:cs="Times New Roman"/>
          <w:sz w:val="24"/>
          <w:szCs w:val="24"/>
        </w:rPr>
        <w:t>Confidence &amp; motivation</w:t>
      </w:r>
      <w:r w:rsidRPr="00922AB3">
        <w:rPr>
          <w:rFonts w:ascii="Calibri" w:eastAsia="Calibri" w:hAnsi="Calibri" w:cs="Times New Roman"/>
          <w:sz w:val="24"/>
          <w:szCs w:val="24"/>
        </w:rPr>
        <w:t xml:space="preserve"> (with high cross-loadings to other items especially </w:t>
      </w:r>
      <w:r>
        <w:rPr>
          <w:rFonts w:ascii="Calibri" w:eastAsia="Calibri" w:hAnsi="Calibri" w:cs="Times New Roman"/>
          <w:sz w:val="24"/>
          <w:szCs w:val="24"/>
        </w:rPr>
        <w:t xml:space="preserve">item </w:t>
      </w:r>
      <w:r w:rsidRPr="00922AB3">
        <w:rPr>
          <w:rFonts w:ascii="Calibri" w:eastAsia="Calibri" w:hAnsi="Calibri" w:cs="Times New Roman"/>
          <w:sz w:val="24"/>
          <w:szCs w:val="24"/>
        </w:rPr>
        <w:t xml:space="preserve">6). </w:t>
      </w:r>
    </w:p>
    <w:p w14:paraId="70DB5B03" w14:textId="77777777" w:rsidR="00403B07" w:rsidRPr="00922AB3" w:rsidRDefault="00403B07" w:rsidP="00403B07">
      <w:pPr>
        <w:rPr>
          <w:rFonts w:ascii="Calibri" w:eastAsia="Calibri" w:hAnsi="Calibri" w:cs="Times New Roman"/>
          <w:sz w:val="24"/>
          <w:szCs w:val="24"/>
        </w:rPr>
      </w:pPr>
      <w:r w:rsidRPr="00922AB3">
        <w:rPr>
          <w:rFonts w:ascii="Calibri" w:eastAsia="Calibri" w:hAnsi="Calibri" w:cs="Times New Roman"/>
          <w:sz w:val="24"/>
          <w:szCs w:val="24"/>
        </w:rPr>
        <w:t>Factor 4: Peer norms (</w:t>
      </w:r>
      <w:r>
        <w:rPr>
          <w:rFonts w:ascii="Calibri" w:eastAsia="Calibri" w:hAnsi="Calibri" w:cs="Times New Roman"/>
          <w:sz w:val="24"/>
          <w:szCs w:val="24"/>
        </w:rPr>
        <w:t xml:space="preserve">item </w:t>
      </w:r>
      <w:r w:rsidRPr="00922AB3">
        <w:rPr>
          <w:rFonts w:ascii="Calibri" w:eastAsia="Calibri" w:hAnsi="Calibri" w:cs="Times New Roman"/>
          <w:sz w:val="24"/>
          <w:szCs w:val="24"/>
        </w:rPr>
        <w:t>16 loading substantially more with F</w:t>
      </w:r>
      <w:r>
        <w:rPr>
          <w:rFonts w:ascii="Calibri" w:eastAsia="Calibri" w:hAnsi="Calibri" w:cs="Times New Roman"/>
          <w:sz w:val="24"/>
          <w:szCs w:val="24"/>
        </w:rPr>
        <w:t xml:space="preserve">actor </w:t>
      </w:r>
      <w:r w:rsidRPr="00922AB3">
        <w:rPr>
          <w:rFonts w:ascii="Calibri" w:eastAsia="Calibri" w:hAnsi="Calibri" w:cs="Times New Roman"/>
          <w:sz w:val="24"/>
          <w:szCs w:val="24"/>
        </w:rPr>
        <w:t>2)</w:t>
      </w:r>
    </w:p>
    <w:p w14:paraId="2A3F6F56" w14:textId="77777777" w:rsidR="00403B07" w:rsidRPr="00186586" w:rsidRDefault="00403B07" w:rsidP="00403B07">
      <w:pPr>
        <w:rPr>
          <w:rFonts w:ascii="Calibri" w:eastAsia="Calibri" w:hAnsi="Calibri" w:cs="Times New Roman"/>
          <w:sz w:val="24"/>
          <w:szCs w:val="24"/>
        </w:rPr>
      </w:pPr>
    </w:p>
    <w:p w14:paraId="5E9F09C9" w14:textId="77777777" w:rsidR="00403B07" w:rsidRPr="00186586" w:rsidRDefault="00403B07" w:rsidP="00403B07">
      <w:pPr>
        <w:rPr>
          <w:rFonts w:ascii="Calibri" w:eastAsia="Calibri" w:hAnsi="Calibri" w:cs="Times New Roman"/>
          <w:i/>
          <w:sz w:val="24"/>
          <w:szCs w:val="24"/>
        </w:rPr>
      </w:pPr>
      <w:r w:rsidRPr="00186586">
        <w:rPr>
          <w:rFonts w:ascii="Calibri" w:eastAsia="Calibri" w:hAnsi="Calibri" w:cs="Times New Roman"/>
          <w:i/>
          <w:sz w:val="24"/>
          <w:szCs w:val="24"/>
        </w:rPr>
        <w:t>EFA conclusions</w:t>
      </w:r>
    </w:p>
    <w:p w14:paraId="1647522B" w14:textId="77777777" w:rsidR="00403B07" w:rsidRPr="00186586" w:rsidRDefault="00403B07" w:rsidP="00403B07">
      <w:pPr>
        <w:rPr>
          <w:rFonts w:ascii="Calibri" w:eastAsia="Calibri" w:hAnsi="Calibri" w:cs="Times New Roman"/>
          <w:sz w:val="24"/>
          <w:szCs w:val="24"/>
        </w:rPr>
      </w:pPr>
      <w:r w:rsidRPr="00186586">
        <w:rPr>
          <w:rFonts w:ascii="Calibri" w:eastAsia="Calibri" w:hAnsi="Calibri" w:cs="Times New Roman"/>
          <w:sz w:val="24"/>
          <w:szCs w:val="24"/>
        </w:rPr>
        <w:t>Based on the above-mentioned results the following sub-scales were proposed for testing using CFA</w:t>
      </w:r>
      <w:r>
        <w:rPr>
          <w:rFonts w:ascii="Calibri" w:eastAsia="Calibri" w:hAnsi="Calibri" w:cs="Times New Roman"/>
          <w:sz w:val="24"/>
          <w:szCs w:val="24"/>
        </w:rPr>
        <w:t xml:space="preserve"> (sub-scales have been re-ordered to reflect item number sequence)</w:t>
      </w:r>
      <w:r w:rsidRPr="00186586">
        <w:rPr>
          <w:rFonts w:ascii="Calibri" w:eastAsia="Calibri" w:hAnsi="Calibri" w:cs="Times New Roman"/>
          <w:sz w:val="24"/>
          <w:szCs w:val="24"/>
        </w:rPr>
        <w:t>:</w:t>
      </w:r>
    </w:p>
    <w:p w14:paraId="4927EF8C" w14:textId="77777777" w:rsidR="00403B07" w:rsidRPr="00186586" w:rsidRDefault="00403B07" w:rsidP="00403B07">
      <w:pPr>
        <w:rPr>
          <w:rFonts w:ascii="Calibri" w:eastAsia="Calibri" w:hAnsi="Calibri" w:cs="Times New Roman"/>
          <w:sz w:val="24"/>
          <w:szCs w:val="24"/>
        </w:rPr>
      </w:pPr>
      <w:r>
        <w:rPr>
          <w:rFonts w:ascii="Calibri" w:eastAsia="Calibri" w:hAnsi="Calibri" w:cs="Times New Roman"/>
          <w:sz w:val="24"/>
          <w:szCs w:val="24"/>
        </w:rPr>
        <w:t>Confidence &amp; Motivation (C&amp;M) (</w:t>
      </w:r>
      <w:r w:rsidRPr="00186586">
        <w:rPr>
          <w:rFonts w:ascii="Calibri" w:eastAsia="Calibri" w:hAnsi="Calibri" w:cs="Times New Roman"/>
          <w:sz w:val="24"/>
          <w:szCs w:val="24"/>
        </w:rPr>
        <w:t>Items 6-1</w:t>
      </w:r>
      <w:r>
        <w:rPr>
          <w:rFonts w:ascii="Calibri" w:eastAsia="Calibri" w:hAnsi="Calibri" w:cs="Times New Roman"/>
          <w:sz w:val="24"/>
          <w:szCs w:val="24"/>
        </w:rPr>
        <w:t>4)</w:t>
      </w:r>
    </w:p>
    <w:p w14:paraId="1C1DA2FB" w14:textId="77777777" w:rsidR="00403B07" w:rsidRPr="00186586" w:rsidRDefault="00403B07" w:rsidP="00403B07">
      <w:pPr>
        <w:rPr>
          <w:rFonts w:ascii="Calibri" w:eastAsia="Calibri" w:hAnsi="Calibri" w:cs="Times New Roman"/>
          <w:sz w:val="24"/>
          <w:szCs w:val="24"/>
        </w:rPr>
      </w:pPr>
      <w:r>
        <w:rPr>
          <w:rFonts w:ascii="Calibri" w:eastAsia="Calibri" w:hAnsi="Calibri" w:cs="Times New Roman"/>
          <w:sz w:val="24"/>
          <w:szCs w:val="24"/>
        </w:rPr>
        <w:lastRenderedPageBreak/>
        <w:t>Peer Norms (PN) (</w:t>
      </w:r>
      <w:r w:rsidRPr="00186586">
        <w:rPr>
          <w:rFonts w:ascii="Calibri" w:eastAsia="Calibri" w:hAnsi="Calibri" w:cs="Times New Roman"/>
          <w:sz w:val="24"/>
          <w:szCs w:val="24"/>
        </w:rPr>
        <w:t>Items 15-22</w:t>
      </w:r>
      <w:r>
        <w:rPr>
          <w:rFonts w:ascii="Calibri" w:eastAsia="Calibri" w:hAnsi="Calibri" w:cs="Times New Roman"/>
          <w:sz w:val="24"/>
          <w:szCs w:val="24"/>
        </w:rPr>
        <w:t>)</w:t>
      </w:r>
      <w:r w:rsidRPr="00186586">
        <w:rPr>
          <w:rFonts w:ascii="Calibri" w:eastAsia="Calibri" w:hAnsi="Calibri" w:cs="Times New Roman"/>
          <w:sz w:val="24"/>
          <w:szCs w:val="24"/>
        </w:rPr>
        <w:t xml:space="preserve"> </w:t>
      </w:r>
    </w:p>
    <w:p w14:paraId="380237D9" w14:textId="77777777" w:rsidR="00403B07" w:rsidRDefault="00403B07" w:rsidP="00403B07">
      <w:pPr>
        <w:rPr>
          <w:rFonts w:ascii="Calibri" w:eastAsia="Calibri" w:hAnsi="Calibri" w:cs="Times New Roman"/>
          <w:sz w:val="24"/>
          <w:szCs w:val="24"/>
        </w:rPr>
      </w:pPr>
      <w:r w:rsidRPr="00FB138A">
        <w:rPr>
          <w:rFonts w:ascii="Calibri" w:eastAsia="Calibri" w:hAnsi="Calibri" w:cs="Times New Roman"/>
          <w:sz w:val="24"/>
          <w:szCs w:val="24"/>
        </w:rPr>
        <w:t>Family Approval</w:t>
      </w:r>
      <w:r>
        <w:rPr>
          <w:rFonts w:ascii="Calibri" w:eastAsia="Calibri" w:hAnsi="Calibri" w:cs="Times New Roman"/>
          <w:sz w:val="24"/>
          <w:szCs w:val="24"/>
        </w:rPr>
        <w:t>/Behaviours</w:t>
      </w:r>
      <w:r w:rsidRPr="00FB138A">
        <w:rPr>
          <w:rFonts w:ascii="Calibri" w:eastAsia="Calibri" w:hAnsi="Calibri" w:cs="Times New Roman"/>
          <w:sz w:val="24"/>
          <w:szCs w:val="24"/>
        </w:rPr>
        <w:t xml:space="preserve"> and </w:t>
      </w:r>
      <w:r>
        <w:rPr>
          <w:rFonts w:ascii="Calibri" w:eastAsia="Calibri" w:hAnsi="Calibri" w:cs="Times New Roman"/>
          <w:sz w:val="24"/>
          <w:szCs w:val="24"/>
        </w:rPr>
        <w:t xml:space="preserve">Child </w:t>
      </w:r>
      <w:r w:rsidRPr="00FB138A">
        <w:rPr>
          <w:rFonts w:ascii="Calibri" w:eastAsia="Calibri" w:hAnsi="Calibri" w:cs="Times New Roman"/>
          <w:sz w:val="24"/>
          <w:szCs w:val="24"/>
        </w:rPr>
        <w:t>Attitudes (</w:t>
      </w:r>
      <w:r>
        <w:rPr>
          <w:rFonts w:ascii="Calibri" w:eastAsia="Calibri" w:hAnsi="Calibri" w:cs="Times New Roman"/>
          <w:sz w:val="24"/>
          <w:szCs w:val="24"/>
        </w:rPr>
        <w:t>FAB&amp;CA</w:t>
      </w:r>
      <w:r w:rsidRPr="00FB138A">
        <w:rPr>
          <w:rFonts w:ascii="Calibri" w:eastAsia="Calibri" w:hAnsi="Calibri" w:cs="Times New Roman"/>
          <w:sz w:val="24"/>
          <w:szCs w:val="24"/>
        </w:rPr>
        <w:t>) (</w:t>
      </w:r>
      <w:r w:rsidRPr="00186586">
        <w:rPr>
          <w:rFonts w:ascii="Calibri" w:eastAsia="Calibri" w:hAnsi="Calibri" w:cs="Times New Roman"/>
          <w:sz w:val="24"/>
          <w:szCs w:val="24"/>
        </w:rPr>
        <w:t>Items 23-32 without Item 31</w:t>
      </w:r>
      <w:r w:rsidRPr="00FB138A">
        <w:rPr>
          <w:rFonts w:ascii="Calibri" w:eastAsia="Calibri" w:hAnsi="Calibri" w:cs="Times New Roman"/>
          <w:sz w:val="24"/>
          <w:szCs w:val="24"/>
        </w:rPr>
        <w:t>)</w:t>
      </w:r>
    </w:p>
    <w:p w14:paraId="4825504E" w14:textId="77777777" w:rsidR="00403B07" w:rsidRPr="00FB138A" w:rsidRDefault="00403B07" w:rsidP="00403B07">
      <w:pPr>
        <w:rPr>
          <w:rFonts w:ascii="Calibri" w:eastAsia="Calibri" w:hAnsi="Calibri" w:cs="Times New Roman"/>
          <w:sz w:val="24"/>
          <w:szCs w:val="24"/>
        </w:rPr>
      </w:pPr>
      <w:r>
        <w:rPr>
          <w:rFonts w:ascii="Calibri" w:eastAsia="Calibri" w:hAnsi="Calibri" w:cs="Times New Roman"/>
          <w:sz w:val="24"/>
          <w:szCs w:val="24"/>
        </w:rPr>
        <w:t>Behaviours &amp; Strategies (AB&amp;S) (</w:t>
      </w:r>
      <w:r w:rsidRPr="00186586">
        <w:rPr>
          <w:rFonts w:ascii="Calibri" w:eastAsia="Calibri" w:hAnsi="Calibri" w:cs="Times New Roman"/>
          <w:sz w:val="24"/>
          <w:szCs w:val="24"/>
        </w:rPr>
        <w:t>Items 33-50</w:t>
      </w:r>
      <w:r>
        <w:rPr>
          <w:rFonts w:ascii="Calibri" w:eastAsia="Calibri" w:hAnsi="Calibri" w:cs="Times New Roman"/>
          <w:sz w:val="24"/>
          <w:szCs w:val="24"/>
        </w:rPr>
        <w:t>)</w:t>
      </w:r>
    </w:p>
    <w:p w14:paraId="5A869D52" w14:textId="77777777" w:rsidR="00403B07" w:rsidRPr="00186586" w:rsidRDefault="00403B07" w:rsidP="00403B07">
      <w:pPr>
        <w:rPr>
          <w:rFonts w:ascii="Calibri" w:eastAsia="Calibri" w:hAnsi="Calibri" w:cs="Times New Roman"/>
          <w:sz w:val="24"/>
          <w:szCs w:val="24"/>
        </w:rPr>
      </w:pPr>
    </w:p>
    <w:p w14:paraId="794E3C96" w14:textId="77777777" w:rsidR="00403B07" w:rsidRPr="00FB138A" w:rsidRDefault="00403B07" w:rsidP="00403B07">
      <w:pPr>
        <w:rPr>
          <w:rFonts w:ascii="Calibri" w:eastAsia="Calibri" w:hAnsi="Calibri" w:cs="Times New Roman"/>
          <w:i/>
          <w:sz w:val="24"/>
          <w:szCs w:val="24"/>
        </w:rPr>
      </w:pPr>
      <w:r w:rsidRPr="00FB138A">
        <w:rPr>
          <w:rFonts w:ascii="Calibri" w:eastAsia="Calibri" w:hAnsi="Calibri" w:cs="Times New Roman"/>
          <w:i/>
          <w:sz w:val="24"/>
          <w:szCs w:val="24"/>
        </w:rPr>
        <w:t>Results of CFAs:</w:t>
      </w:r>
    </w:p>
    <w:p w14:paraId="4977329D" w14:textId="77777777" w:rsidR="00403B07" w:rsidRPr="00FB138A" w:rsidRDefault="00403B07" w:rsidP="00403B07">
      <w:pPr>
        <w:rPr>
          <w:rFonts w:ascii="Calibri" w:eastAsia="Calibri" w:hAnsi="Calibri" w:cs="Times New Roman"/>
          <w:i/>
          <w:sz w:val="24"/>
          <w:szCs w:val="24"/>
        </w:rPr>
      </w:pPr>
      <w:r>
        <w:rPr>
          <w:rFonts w:ascii="Calibri" w:eastAsia="Calibri" w:hAnsi="Calibri" w:cs="Times New Roman"/>
          <w:i/>
          <w:sz w:val="24"/>
          <w:szCs w:val="24"/>
        </w:rPr>
        <w:t xml:space="preserve">Confidence &amp; </w:t>
      </w:r>
      <w:r w:rsidRPr="00FB138A">
        <w:rPr>
          <w:rFonts w:ascii="Calibri" w:eastAsia="Calibri" w:hAnsi="Calibri" w:cs="Times New Roman"/>
          <w:i/>
          <w:sz w:val="24"/>
          <w:szCs w:val="24"/>
        </w:rPr>
        <w:t>Motivation</w:t>
      </w:r>
      <w:r>
        <w:rPr>
          <w:rFonts w:ascii="Calibri" w:eastAsia="Calibri" w:hAnsi="Calibri" w:cs="Times New Roman"/>
          <w:i/>
          <w:sz w:val="24"/>
          <w:szCs w:val="24"/>
        </w:rPr>
        <w:t>: (C&amp;M) (</w:t>
      </w:r>
      <w:r w:rsidRPr="00FB138A">
        <w:rPr>
          <w:rFonts w:ascii="Calibri" w:eastAsia="Calibri" w:hAnsi="Calibri" w:cs="Times New Roman"/>
          <w:i/>
          <w:sz w:val="24"/>
          <w:szCs w:val="24"/>
        </w:rPr>
        <w:t>Items 6-14):</w:t>
      </w:r>
    </w:p>
    <w:p w14:paraId="7CDD8F11" w14:textId="048F877C" w:rsidR="00403B07" w:rsidRPr="00FB138A" w:rsidRDefault="00403B07" w:rsidP="00403B07">
      <w:pPr>
        <w:rPr>
          <w:rFonts w:ascii="Calibri" w:eastAsia="Calibri" w:hAnsi="Calibri" w:cs="Times New Roman"/>
          <w:sz w:val="24"/>
          <w:szCs w:val="24"/>
        </w:rPr>
      </w:pPr>
      <w:r w:rsidRPr="00FB138A">
        <w:rPr>
          <w:rFonts w:ascii="Calibri" w:eastAsia="Calibri" w:hAnsi="Calibri" w:cs="Times New Roman"/>
          <w:sz w:val="24"/>
          <w:szCs w:val="24"/>
        </w:rPr>
        <w:t xml:space="preserve">The fit indices of the first model (without any error variance correlations) showed that the solution was marginally adequate. However, RMSEA was elevated at 0.114 (Table </w:t>
      </w:r>
      <w:r w:rsidR="00AE7526">
        <w:rPr>
          <w:rFonts w:ascii="Calibri" w:eastAsia="Calibri" w:hAnsi="Calibri" w:cs="Times New Roman"/>
          <w:sz w:val="24"/>
          <w:szCs w:val="24"/>
        </w:rPr>
        <w:t>5</w:t>
      </w:r>
      <w:r w:rsidR="00B14404">
        <w:rPr>
          <w:rFonts w:ascii="Calibri" w:eastAsia="Calibri" w:hAnsi="Calibri" w:cs="Times New Roman"/>
          <w:sz w:val="24"/>
          <w:szCs w:val="24"/>
        </w:rPr>
        <w:t>2</w:t>
      </w:r>
      <w:r w:rsidRPr="00FB138A">
        <w:rPr>
          <w:rFonts w:ascii="Calibri" w:eastAsia="Calibri" w:hAnsi="Calibri" w:cs="Times New Roman"/>
          <w:sz w:val="24"/>
          <w:szCs w:val="24"/>
        </w:rPr>
        <w:t xml:space="preserve">). Using an iterative approach, error variances were correlated based on modification indices. However, such correlations were kept to a minimum and conducted based on shared meaning or structure of questions. </w:t>
      </w:r>
    </w:p>
    <w:p w14:paraId="5AC67DCE" w14:textId="114D5EFD" w:rsidR="00403B07" w:rsidRDefault="00403B07" w:rsidP="00403B07">
      <w:pPr>
        <w:rPr>
          <w:rFonts w:ascii="Calibri" w:eastAsia="Calibri" w:hAnsi="Calibri" w:cs="Times New Roman"/>
          <w:sz w:val="24"/>
          <w:szCs w:val="24"/>
        </w:rPr>
      </w:pPr>
      <w:r w:rsidRPr="00FB138A">
        <w:rPr>
          <w:rFonts w:ascii="Calibri" w:eastAsia="Calibri" w:hAnsi="Calibri" w:cs="Times New Roman"/>
          <w:sz w:val="24"/>
          <w:szCs w:val="24"/>
        </w:rPr>
        <w:t xml:space="preserve">After a satisfactory model fit has been obtained for the Baseline Dataset B, the exact same model </w:t>
      </w:r>
      <w:r>
        <w:rPr>
          <w:rFonts w:ascii="Calibri" w:eastAsia="Calibri" w:hAnsi="Calibri" w:cs="Times New Roman"/>
          <w:sz w:val="24"/>
          <w:szCs w:val="24"/>
        </w:rPr>
        <w:t>w</w:t>
      </w:r>
      <w:r w:rsidRPr="00FB138A">
        <w:rPr>
          <w:rFonts w:ascii="Calibri" w:eastAsia="Calibri" w:hAnsi="Calibri" w:cs="Times New Roman"/>
          <w:sz w:val="24"/>
          <w:szCs w:val="24"/>
        </w:rPr>
        <w:t xml:space="preserve">as fitted to the 12 months Dataset B. Results are also shown in Table </w:t>
      </w:r>
      <w:r w:rsidR="00AE7526">
        <w:rPr>
          <w:rFonts w:ascii="Calibri" w:eastAsia="Calibri" w:hAnsi="Calibri" w:cs="Times New Roman"/>
          <w:sz w:val="24"/>
          <w:szCs w:val="24"/>
        </w:rPr>
        <w:t>5</w:t>
      </w:r>
      <w:r w:rsidR="00B14404">
        <w:rPr>
          <w:rFonts w:ascii="Calibri" w:eastAsia="Calibri" w:hAnsi="Calibri" w:cs="Times New Roman"/>
          <w:sz w:val="24"/>
          <w:szCs w:val="24"/>
        </w:rPr>
        <w:t>2</w:t>
      </w:r>
      <w:r w:rsidRPr="00FB138A">
        <w:rPr>
          <w:rFonts w:ascii="Calibri" w:eastAsia="Calibri" w:hAnsi="Calibri" w:cs="Times New Roman"/>
          <w:sz w:val="24"/>
          <w:szCs w:val="24"/>
        </w:rPr>
        <w:t>.</w:t>
      </w:r>
    </w:p>
    <w:p w14:paraId="0BD520C8" w14:textId="77777777" w:rsidR="00403B07" w:rsidRPr="00FB138A" w:rsidRDefault="00403B07" w:rsidP="00403B07">
      <w:pPr>
        <w:rPr>
          <w:rFonts w:ascii="Calibri" w:eastAsia="Calibri" w:hAnsi="Calibri" w:cs="Times New Roman"/>
          <w:sz w:val="24"/>
          <w:szCs w:val="24"/>
        </w:rPr>
      </w:pPr>
    </w:p>
    <w:p w14:paraId="0A573D13" w14:textId="6041D990" w:rsidR="00403B07" w:rsidRPr="003934F8" w:rsidRDefault="00403B07" w:rsidP="00403B07">
      <w:pPr>
        <w:rPr>
          <w:rFonts w:ascii="Calibri" w:eastAsia="Calibri" w:hAnsi="Calibri" w:cs="Times New Roman"/>
          <w:b/>
          <w:sz w:val="24"/>
          <w:szCs w:val="24"/>
        </w:rPr>
      </w:pPr>
      <w:r w:rsidRPr="003934F8">
        <w:rPr>
          <w:rFonts w:ascii="Calibri" w:eastAsia="Calibri" w:hAnsi="Calibri" w:cs="Times New Roman"/>
          <w:b/>
          <w:sz w:val="24"/>
          <w:szCs w:val="24"/>
        </w:rPr>
        <w:t xml:space="preserve">TABLE </w:t>
      </w:r>
      <w:r w:rsidR="00AE7526" w:rsidRPr="003934F8">
        <w:rPr>
          <w:rFonts w:ascii="Calibri" w:eastAsia="Calibri" w:hAnsi="Calibri" w:cs="Times New Roman"/>
          <w:b/>
          <w:sz w:val="24"/>
          <w:szCs w:val="24"/>
        </w:rPr>
        <w:t>5</w:t>
      </w:r>
      <w:r w:rsidR="00B14404">
        <w:rPr>
          <w:rFonts w:ascii="Calibri" w:eastAsia="Calibri" w:hAnsi="Calibri" w:cs="Times New Roman"/>
          <w:b/>
          <w:sz w:val="24"/>
          <w:szCs w:val="24"/>
        </w:rPr>
        <w:t>2</w:t>
      </w:r>
      <w:r w:rsidRPr="003934F8">
        <w:rPr>
          <w:rFonts w:ascii="Calibri" w:eastAsia="Calibri" w:hAnsi="Calibri" w:cs="Times New Roman"/>
          <w:b/>
          <w:sz w:val="24"/>
          <w:szCs w:val="24"/>
        </w:rPr>
        <w:t xml:space="preserve"> Goodness-of-fit indices for the Confidence &amp; Motivation (C&amp;M) sub-scale. Results are shown for fits without correlation of any error variances (first model) and with correlations (final model). Fit indices for the replication of the final model with the 12 months Dataset B are also shown. All results are shown to three decimal places.</w:t>
      </w:r>
    </w:p>
    <w:p w14:paraId="4FCEC004" w14:textId="77777777" w:rsidR="00403B07" w:rsidRPr="00FB138A" w:rsidRDefault="00403B07" w:rsidP="00403B07">
      <w:pPr>
        <w:rPr>
          <w:rFonts w:ascii="Calibri" w:eastAsia="Calibri" w:hAnsi="Calibri" w:cs="Times New Roman"/>
          <w:i/>
          <w:sz w:val="24"/>
          <w:szCs w:val="24"/>
        </w:rPr>
      </w:pPr>
    </w:p>
    <w:tbl>
      <w:tblPr>
        <w:tblStyle w:val="TableGrid"/>
        <w:tblW w:w="0" w:type="auto"/>
        <w:tblLook w:val="04A0" w:firstRow="1" w:lastRow="0" w:firstColumn="1" w:lastColumn="0" w:noHBand="0" w:noVBand="1"/>
      </w:tblPr>
      <w:tblGrid>
        <w:gridCol w:w="2562"/>
        <w:gridCol w:w="1569"/>
        <w:gridCol w:w="1578"/>
        <w:gridCol w:w="3147"/>
      </w:tblGrid>
      <w:tr w:rsidR="00403B07" w:rsidRPr="00FB138A" w14:paraId="14E7E070" w14:textId="77777777" w:rsidTr="00B01272">
        <w:tc>
          <w:tcPr>
            <w:tcW w:w="2562" w:type="dxa"/>
          </w:tcPr>
          <w:p w14:paraId="49A9498C" w14:textId="77777777" w:rsidR="00403B07" w:rsidRPr="00FB138A" w:rsidRDefault="00403B07" w:rsidP="00B01272">
            <w:pPr>
              <w:rPr>
                <w:rFonts w:ascii="Calibri" w:eastAsia="Calibri" w:hAnsi="Calibri" w:cs="Times New Roman"/>
              </w:rPr>
            </w:pPr>
          </w:p>
        </w:tc>
        <w:tc>
          <w:tcPr>
            <w:tcW w:w="3147" w:type="dxa"/>
            <w:gridSpan w:val="2"/>
          </w:tcPr>
          <w:p w14:paraId="7E774F81"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Baseline Dataset B</w:t>
            </w:r>
          </w:p>
        </w:tc>
        <w:tc>
          <w:tcPr>
            <w:tcW w:w="3147" w:type="dxa"/>
          </w:tcPr>
          <w:p w14:paraId="42320B4A"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12 months Dataset B</w:t>
            </w:r>
          </w:p>
        </w:tc>
      </w:tr>
      <w:tr w:rsidR="00403B07" w:rsidRPr="00FB138A" w14:paraId="43616E5C" w14:textId="77777777" w:rsidTr="00B01272">
        <w:tc>
          <w:tcPr>
            <w:tcW w:w="2562" w:type="dxa"/>
          </w:tcPr>
          <w:p w14:paraId="1E99F844" w14:textId="77777777" w:rsidR="00403B07" w:rsidRPr="00FB138A" w:rsidRDefault="00403B07" w:rsidP="00B01272">
            <w:pPr>
              <w:rPr>
                <w:rFonts w:ascii="Calibri" w:eastAsia="Calibri" w:hAnsi="Calibri" w:cs="Times New Roman"/>
              </w:rPr>
            </w:pPr>
          </w:p>
        </w:tc>
        <w:tc>
          <w:tcPr>
            <w:tcW w:w="1569" w:type="dxa"/>
          </w:tcPr>
          <w:p w14:paraId="13D5F86F"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No corr. error var.</w:t>
            </w:r>
          </w:p>
        </w:tc>
        <w:tc>
          <w:tcPr>
            <w:tcW w:w="1578" w:type="dxa"/>
          </w:tcPr>
          <w:p w14:paraId="12A888DA"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Error var. corr.</w:t>
            </w:r>
          </w:p>
        </w:tc>
        <w:tc>
          <w:tcPr>
            <w:tcW w:w="3147" w:type="dxa"/>
          </w:tcPr>
          <w:p w14:paraId="6696D475"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Error var. corr.</w:t>
            </w:r>
          </w:p>
        </w:tc>
      </w:tr>
      <w:tr w:rsidR="00403B07" w:rsidRPr="00FB138A" w14:paraId="703E4B76" w14:textId="77777777" w:rsidTr="00B01272">
        <w:tc>
          <w:tcPr>
            <w:tcW w:w="2562" w:type="dxa"/>
          </w:tcPr>
          <w:p w14:paraId="0BD3A1CE"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 xml:space="preserve">Satorra-Bentler scaled </w:t>
            </w:r>
            <w:r w:rsidRPr="00FB138A">
              <w:rPr>
                <w:rFonts w:ascii="Calibri" w:eastAsia="Calibri" w:hAnsi="Calibri" w:cs="Times New Roman"/>
                <w:i/>
              </w:rPr>
              <w:t>χ</w:t>
            </w:r>
            <w:r w:rsidRPr="00FB138A">
              <w:rPr>
                <w:rFonts w:ascii="Calibri" w:eastAsia="Calibri" w:hAnsi="Calibri" w:cs="Times New Roman"/>
                <w:vertAlign w:val="superscript"/>
              </w:rPr>
              <w:t>2</w:t>
            </w:r>
            <w:r w:rsidRPr="00FB138A">
              <w:rPr>
                <w:rFonts w:ascii="Calibri" w:eastAsia="Calibri" w:hAnsi="Calibri" w:cs="Times New Roman"/>
              </w:rPr>
              <w:t>/</w:t>
            </w:r>
            <w:r w:rsidRPr="00FB138A">
              <w:rPr>
                <w:rFonts w:ascii="Calibri" w:eastAsia="Calibri" w:hAnsi="Calibri" w:cs="Times New Roman"/>
                <w:i/>
              </w:rPr>
              <w:t>df</w:t>
            </w:r>
          </w:p>
        </w:tc>
        <w:tc>
          <w:tcPr>
            <w:tcW w:w="1569" w:type="dxa"/>
          </w:tcPr>
          <w:p w14:paraId="50F32245"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9.650</w:t>
            </w:r>
          </w:p>
        </w:tc>
        <w:tc>
          <w:tcPr>
            <w:tcW w:w="1578" w:type="dxa"/>
          </w:tcPr>
          <w:p w14:paraId="1A768104"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2.304</w:t>
            </w:r>
          </w:p>
        </w:tc>
        <w:tc>
          <w:tcPr>
            <w:tcW w:w="3147" w:type="dxa"/>
          </w:tcPr>
          <w:p w14:paraId="4F404906"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3.476</w:t>
            </w:r>
          </w:p>
        </w:tc>
      </w:tr>
      <w:tr w:rsidR="00403B07" w:rsidRPr="00FB138A" w14:paraId="02720097" w14:textId="77777777" w:rsidTr="00B01272">
        <w:tc>
          <w:tcPr>
            <w:tcW w:w="2562" w:type="dxa"/>
          </w:tcPr>
          <w:p w14:paraId="20E1D75E"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RMSEA</w:t>
            </w:r>
          </w:p>
        </w:tc>
        <w:tc>
          <w:tcPr>
            <w:tcW w:w="1569" w:type="dxa"/>
          </w:tcPr>
          <w:p w14:paraId="13100166"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0.114</w:t>
            </w:r>
          </w:p>
        </w:tc>
        <w:tc>
          <w:tcPr>
            <w:tcW w:w="1578" w:type="dxa"/>
          </w:tcPr>
          <w:p w14:paraId="68126E22"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0.044</w:t>
            </w:r>
          </w:p>
        </w:tc>
        <w:tc>
          <w:tcPr>
            <w:tcW w:w="3147" w:type="dxa"/>
          </w:tcPr>
          <w:p w14:paraId="26180484"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0.061</w:t>
            </w:r>
          </w:p>
        </w:tc>
      </w:tr>
      <w:tr w:rsidR="00403B07" w:rsidRPr="00FB138A" w14:paraId="795A3BD9" w14:textId="77777777" w:rsidTr="00B01272">
        <w:tc>
          <w:tcPr>
            <w:tcW w:w="2562" w:type="dxa"/>
          </w:tcPr>
          <w:p w14:paraId="6A8D6304"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CFI</w:t>
            </w:r>
          </w:p>
        </w:tc>
        <w:tc>
          <w:tcPr>
            <w:tcW w:w="1569" w:type="dxa"/>
          </w:tcPr>
          <w:p w14:paraId="4D1C7934"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0.946</w:t>
            </w:r>
          </w:p>
        </w:tc>
        <w:tc>
          <w:tcPr>
            <w:tcW w:w="1578" w:type="dxa"/>
          </w:tcPr>
          <w:p w14:paraId="5862AE2F"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0.993</w:t>
            </w:r>
          </w:p>
        </w:tc>
        <w:tc>
          <w:tcPr>
            <w:tcW w:w="3147" w:type="dxa"/>
          </w:tcPr>
          <w:p w14:paraId="5CC1294C"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0.987</w:t>
            </w:r>
          </w:p>
        </w:tc>
      </w:tr>
      <w:tr w:rsidR="00403B07" w:rsidRPr="00FB138A" w14:paraId="66FB36F4" w14:textId="77777777" w:rsidTr="00B01272">
        <w:tc>
          <w:tcPr>
            <w:tcW w:w="2562" w:type="dxa"/>
          </w:tcPr>
          <w:p w14:paraId="15B6DB9C"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SRMR</w:t>
            </w:r>
          </w:p>
        </w:tc>
        <w:tc>
          <w:tcPr>
            <w:tcW w:w="1569" w:type="dxa"/>
          </w:tcPr>
          <w:p w14:paraId="2313B92E"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0.078</w:t>
            </w:r>
          </w:p>
        </w:tc>
        <w:tc>
          <w:tcPr>
            <w:tcW w:w="1578" w:type="dxa"/>
          </w:tcPr>
          <w:p w14:paraId="46B3D474"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0.041</w:t>
            </w:r>
          </w:p>
        </w:tc>
        <w:tc>
          <w:tcPr>
            <w:tcW w:w="3147" w:type="dxa"/>
          </w:tcPr>
          <w:p w14:paraId="7BEA4F90"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0.043</w:t>
            </w:r>
          </w:p>
        </w:tc>
      </w:tr>
    </w:tbl>
    <w:p w14:paraId="4E78215B" w14:textId="77777777" w:rsidR="00403B07" w:rsidRPr="00FB138A" w:rsidRDefault="00403B07" w:rsidP="00403B07">
      <w:pPr>
        <w:rPr>
          <w:rFonts w:ascii="Calibri" w:eastAsia="Calibri" w:hAnsi="Calibri" w:cs="Times New Roman"/>
          <w:sz w:val="24"/>
          <w:szCs w:val="24"/>
        </w:rPr>
      </w:pPr>
    </w:p>
    <w:p w14:paraId="71A47D6B" w14:textId="77777777" w:rsidR="00403B07" w:rsidRDefault="00403B07" w:rsidP="00403B07">
      <w:pPr>
        <w:rPr>
          <w:rFonts w:ascii="Calibri" w:eastAsia="Calibri" w:hAnsi="Calibri" w:cs="Times New Roman"/>
          <w:sz w:val="24"/>
          <w:szCs w:val="24"/>
        </w:rPr>
      </w:pPr>
      <w:r w:rsidRPr="00FB138A">
        <w:rPr>
          <w:rFonts w:ascii="Calibri" w:eastAsia="Calibri" w:hAnsi="Calibri" w:cs="Times New Roman"/>
          <w:sz w:val="24"/>
          <w:szCs w:val="24"/>
        </w:rPr>
        <w:t xml:space="preserve">The fit for the replication dataset </w:t>
      </w:r>
      <w:r>
        <w:rPr>
          <w:rFonts w:ascii="Calibri" w:eastAsia="Calibri" w:hAnsi="Calibri" w:cs="Times New Roman"/>
          <w:sz w:val="24"/>
          <w:szCs w:val="24"/>
        </w:rPr>
        <w:t>was</w:t>
      </w:r>
      <w:r w:rsidRPr="00FB138A">
        <w:rPr>
          <w:rFonts w:ascii="Calibri" w:eastAsia="Calibri" w:hAnsi="Calibri" w:cs="Times New Roman"/>
          <w:sz w:val="24"/>
          <w:szCs w:val="24"/>
        </w:rPr>
        <w:t xml:space="preserve"> slightly worse. While RMSEA </w:t>
      </w:r>
      <w:r>
        <w:rPr>
          <w:rFonts w:ascii="Calibri" w:eastAsia="Calibri" w:hAnsi="Calibri" w:cs="Times New Roman"/>
          <w:sz w:val="24"/>
          <w:szCs w:val="24"/>
        </w:rPr>
        <w:t>was</w:t>
      </w:r>
      <w:r w:rsidRPr="00FB138A">
        <w:rPr>
          <w:rFonts w:ascii="Calibri" w:eastAsia="Calibri" w:hAnsi="Calibri" w:cs="Times New Roman"/>
          <w:sz w:val="24"/>
          <w:szCs w:val="24"/>
        </w:rPr>
        <w:t xml:space="preserve"> now marginally above the 0.060 cut-off, the confidence interval (90%) contain</w:t>
      </w:r>
      <w:r>
        <w:rPr>
          <w:rFonts w:ascii="Calibri" w:eastAsia="Calibri" w:hAnsi="Calibri" w:cs="Times New Roman"/>
          <w:sz w:val="24"/>
          <w:szCs w:val="24"/>
        </w:rPr>
        <w:t>ed</w:t>
      </w:r>
      <w:r w:rsidRPr="00FB138A">
        <w:rPr>
          <w:rFonts w:ascii="Calibri" w:eastAsia="Calibri" w:hAnsi="Calibri" w:cs="Times New Roman"/>
          <w:sz w:val="24"/>
          <w:szCs w:val="24"/>
        </w:rPr>
        <w:t xml:space="preserve"> 0.060 (0.047 to 0.076). A multi</w:t>
      </w:r>
      <w:r>
        <w:rPr>
          <w:rFonts w:ascii="Calibri" w:eastAsia="Calibri" w:hAnsi="Calibri" w:cs="Times New Roman"/>
          <w:sz w:val="24"/>
          <w:szCs w:val="24"/>
        </w:rPr>
        <w:t>-</w:t>
      </w:r>
      <w:r w:rsidRPr="00FB138A">
        <w:rPr>
          <w:rFonts w:ascii="Calibri" w:eastAsia="Calibri" w:hAnsi="Calibri" w:cs="Times New Roman"/>
          <w:sz w:val="24"/>
          <w:szCs w:val="24"/>
        </w:rPr>
        <w:t>group invariance test (reported below) will specifically test generalisability of these fits to the 12 months dataset.</w:t>
      </w:r>
    </w:p>
    <w:p w14:paraId="4E6C5826" w14:textId="77777777" w:rsidR="00403B07" w:rsidRDefault="00403B07" w:rsidP="00403B07">
      <w:pPr>
        <w:rPr>
          <w:rFonts w:ascii="Calibri" w:eastAsia="Calibri" w:hAnsi="Calibri" w:cs="Times New Roman"/>
          <w:sz w:val="24"/>
          <w:szCs w:val="24"/>
        </w:rPr>
      </w:pPr>
    </w:p>
    <w:p w14:paraId="2D7E8166" w14:textId="77777777" w:rsidR="00403B07" w:rsidRPr="00FB138A" w:rsidRDefault="00403B07" w:rsidP="00403B07">
      <w:pPr>
        <w:rPr>
          <w:rFonts w:ascii="Calibri" w:eastAsia="Calibri" w:hAnsi="Calibri" w:cs="Times New Roman"/>
          <w:sz w:val="24"/>
          <w:szCs w:val="24"/>
        </w:rPr>
      </w:pPr>
    </w:p>
    <w:p w14:paraId="6936E67E" w14:textId="77777777" w:rsidR="00403B07" w:rsidRDefault="00403B07" w:rsidP="00403B07">
      <w:pPr>
        <w:rPr>
          <w:rFonts w:ascii="Calibri" w:eastAsia="Calibri" w:hAnsi="Calibri" w:cs="Times New Roman"/>
          <w:i/>
          <w:sz w:val="24"/>
          <w:szCs w:val="24"/>
        </w:rPr>
      </w:pPr>
    </w:p>
    <w:p w14:paraId="7A3551B4" w14:textId="77777777" w:rsidR="00403B07" w:rsidRPr="00FB138A" w:rsidRDefault="00403B07" w:rsidP="00403B07">
      <w:pPr>
        <w:rPr>
          <w:rFonts w:ascii="Calibri" w:eastAsia="Calibri" w:hAnsi="Calibri" w:cs="Times New Roman"/>
          <w:i/>
          <w:sz w:val="24"/>
          <w:szCs w:val="24"/>
        </w:rPr>
      </w:pPr>
      <w:r>
        <w:rPr>
          <w:rFonts w:ascii="Calibri" w:eastAsia="Calibri" w:hAnsi="Calibri" w:cs="Times New Roman"/>
          <w:i/>
          <w:sz w:val="24"/>
          <w:szCs w:val="24"/>
        </w:rPr>
        <w:t>Peer Norms (PN) (</w:t>
      </w:r>
      <w:r w:rsidRPr="00FB138A">
        <w:rPr>
          <w:rFonts w:ascii="Calibri" w:eastAsia="Calibri" w:hAnsi="Calibri" w:cs="Times New Roman"/>
          <w:i/>
          <w:sz w:val="24"/>
          <w:szCs w:val="24"/>
        </w:rPr>
        <w:t>Items 15-22):</w:t>
      </w:r>
    </w:p>
    <w:p w14:paraId="6A8C4FBD" w14:textId="5944585B" w:rsidR="00403B07" w:rsidRPr="00FB138A" w:rsidRDefault="00403B07" w:rsidP="00403B07">
      <w:pPr>
        <w:rPr>
          <w:rFonts w:ascii="Calibri" w:eastAsia="Calibri" w:hAnsi="Calibri" w:cs="Times New Roman"/>
          <w:sz w:val="24"/>
          <w:szCs w:val="24"/>
        </w:rPr>
      </w:pPr>
      <w:r w:rsidRPr="00FB138A">
        <w:rPr>
          <w:rFonts w:ascii="Calibri" w:eastAsia="Calibri" w:hAnsi="Calibri" w:cs="Times New Roman"/>
          <w:sz w:val="24"/>
          <w:szCs w:val="24"/>
        </w:rPr>
        <w:t>The fit indices of the first model (without any error variance correlations) showed that the solution was inadequate. Additionally, the regression weights for Items 15 to 17 were low, with 0.31, 0.32, and 0.38, respectively. After correlating the error terms for a cluster of three items with shared meaning (Items 19, 20, and 22 were all about helping parents), the fits improved substantially (Table</w:t>
      </w:r>
      <w:r>
        <w:rPr>
          <w:rFonts w:ascii="Calibri" w:eastAsia="Calibri" w:hAnsi="Calibri" w:cs="Times New Roman"/>
          <w:sz w:val="24"/>
          <w:szCs w:val="24"/>
        </w:rPr>
        <w:t xml:space="preserve"> </w:t>
      </w:r>
      <w:r w:rsidR="00AE7526">
        <w:rPr>
          <w:rFonts w:ascii="Calibri" w:eastAsia="Calibri" w:hAnsi="Calibri" w:cs="Times New Roman"/>
          <w:sz w:val="24"/>
          <w:szCs w:val="24"/>
        </w:rPr>
        <w:t>5</w:t>
      </w:r>
      <w:r w:rsidR="00B14404">
        <w:rPr>
          <w:rFonts w:ascii="Calibri" w:eastAsia="Calibri" w:hAnsi="Calibri" w:cs="Times New Roman"/>
          <w:sz w:val="24"/>
          <w:szCs w:val="24"/>
        </w:rPr>
        <w:t>3</w:t>
      </w:r>
      <w:r w:rsidRPr="00FB138A">
        <w:rPr>
          <w:rFonts w:ascii="Calibri" w:eastAsia="Calibri" w:hAnsi="Calibri" w:cs="Times New Roman"/>
          <w:sz w:val="24"/>
          <w:szCs w:val="24"/>
        </w:rPr>
        <w:t>). Additionally, the regression weights for Items 15 to 17 increased to 0.34, 0.38, and 0.44, respectively.</w:t>
      </w:r>
    </w:p>
    <w:p w14:paraId="23DBEE7D" w14:textId="16F1208E" w:rsidR="00403B07" w:rsidRDefault="00403B07" w:rsidP="00403B07">
      <w:pPr>
        <w:rPr>
          <w:rFonts w:ascii="Calibri" w:eastAsia="Calibri" w:hAnsi="Calibri" w:cs="Times New Roman"/>
          <w:sz w:val="24"/>
          <w:szCs w:val="24"/>
        </w:rPr>
      </w:pPr>
      <w:r w:rsidRPr="00FB138A">
        <w:rPr>
          <w:rFonts w:ascii="Calibri" w:eastAsia="Calibri" w:hAnsi="Calibri" w:cs="Times New Roman"/>
          <w:sz w:val="24"/>
          <w:szCs w:val="24"/>
        </w:rPr>
        <w:t>After a satisfactory model fit has been obtained for the Baseline Dataset B, the exact same model was fitted to the 12 months Dataset B (Table</w:t>
      </w:r>
      <w:r w:rsidR="00AE7526">
        <w:rPr>
          <w:rFonts w:ascii="Calibri" w:eastAsia="Calibri" w:hAnsi="Calibri" w:cs="Times New Roman"/>
          <w:sz w:val="24"/>
          <w:szCs w:val="24"/>
        </w:rPr>
        <w:t xml:space="preserve"> 5</w:t>
      </w:r>
      <w:r w:rsidR="00B14404">
        <w:rPr>
          <w:rFonts w:ascii="Calibri" w:eastAsia="Calibri" w:hAnsi="Calibri" w:cs="Times New Roman"/>
          <w:sz w:val="24"/>
          <w:szCs w:val="24"/>
        </w:rPr>
        <w:t>3</w:t>
      </w:r>
      <w:r w:rsidRPr="00FB138A">
        <w:rPr>
          <w:rFonts w:ascii="Calibri" w:eastAsia="Calibri" w:hAnsi="Calibri" w:cs="Times New Roman"/>
          <w:sz w:val="24"/>
          <w:szCs w:val="24"/>
        </w:rPr>
        <w:t>), showing that this solution was also adequate for that dataset.</w:t>
      </w:r>
    </w:p>
    <w:p w14:paraId="4758E94E" w14:textId="77777777" w:rsidR="00403B07" w:rsidRPr="00FB138A" w:rsidRDefault="00403B07" w:rsidP="00403B07">
      <w:pPr>
        <w:rPr>
          <w:rFonts w:ascii="Calibri" w:eastAsia="Calibri" w:hAnsi="Calibri" w:cs="Times New Roman"/>
          <w:sz w:val="24"/>
          <w:szCs w:val="24"/>
        </w:rPr>
      </w:pPr>
    </w:p>
    <w:p w14:paraId="38FB4282" w14:textId="3B7AACBF" w:rsidR="00403B07" w:rsidRPr="003934F8" w:rsidRDefault="00403B07" w:rsidP="00403B07">
      <w:pPr>
        <w:rPr>
          <w:rFonts w:ascii="Calibri" w:eastAsia="Calibri" w:hAnsi="Calibri" w:cs="Times New Roman"/>
          <w:b/>
          <w:sz w:val="24"/>
          <w:szCs w:val="24"/>
        </w:rPr>
      </w:pPr>
      <w:r w:rsidRPr="003934F8">
        <w:rPr>
          <w:rFonts w:ascii="Calibri" w:eastAsia="Calibri" w:hAnsi="Calibri" w:cs="Times New Roman"/>
          <w:b/>
          <w:sz w:val="24"/>
          <w:szCs w:val="24"/>
        </w:rPr>
        <w:t xml:space="preserve">Table </w:t>
      </w:r>
      <w:r w:rsidR="00AE7526" w:rsidRPr="003934F8">
        <w:rPr>
          <w:rFonts w:ascii="Calibri" w:eastAsia="Calibri" w:hAnsi="Calibri" w:cs="Times New Roman"/>
          <w:b/>
          <w:sz w:val="24"/>
          <w:szCs w:val="24"/>
        </w:rPr>
        <w:t>5</w:t>
      </w:r>
      <w:r w:rsidR="00B14404">
        <w:rPr>
          <w:rFonts w:ascii="Calibri" w:eastAsia="Calibri" w:hAnsi="Calibri" w:cs="Times New Roman"/>
          <w:b/>
          <w:sz w:val="24"/>
          <w:szCs w:val="24"/>
        </w:rPr>
        <w:t>3</w:t>
      </w:r>
      <w:r w:rsidR="00AE7526" w:rsidRPr="003934F8">
        <w:rPr>
          <w:rFonts w:ascii="Calibri" w:eastAsia="Calibri" w:hAnsi="Calibri" w:cs="Times New Roman"/>
          <w:b/>
          <w:sz w:val="24"/>
          <w:szCs w:val="24"/>
        </w:rPr>
        <w:t xml:space="preserve"> </w:t>
      </w:r>
      <w:r w:rsidRPr="003934F8">
        <w:rPr>
          <w:rFonts w:ascii="Calibri" w:eastAsia="Calibri" w:hAnsi="Calibri" w:cs="Times New Roman"/>
          <w:b/>
          <w:sz w:val="24"/>
          <w:szCs w:val="24"/>
        </w:rPr>
        <w:t xml:space="preserve"> Goodness-of-fit indices for the Peer Norms (PN) sub-scale. Results are shown for fits without correlation of any error variances (first model) and with correlations (final model). Fit indices for the replication of the final model with the 12 months Dataset B are also shown. All results are shown to three decimal places.</w:t>
      </w:r>
    </w:p>
    <w:p w14:paraId="1A3341A8" w14:textId="77777777" w:rsidR="00403B07" w:rsidRPr="00FB138A" w:rsidRDefault="00403B07" w:rsidP="00403B07">
      <w:pPr>
        <w:rPr>
          <w:rFonts w:ascii="Calibri" w:eastAsia="Calibri" w:hAnsi="Calibri" w:cs="Times New Roman"/>
          <w:i/>
          <w:sz w:val="24"/>
          <w:szCs w:val="24"/>
        </w:rPr>
      </w:pPr>
    </w:p>
    <w:tbl>
      <w:tblPr>
        <w:tblStyle w:val="TableGrid"/>
        <w:tblW w:w="0" w:type="auto"/>
        <w:tblLook w:val="04A0" w:firstRow="1" w:lastRow="0" w:firstColumn="1" w:lastColumn="0" w:noHBand="0" w:noVBand="1"/>
      </w:tblPr>
      <w:tblGrid>
        <w:gridCol w:w="2562"/>
        <w:gridCol w:w="1569"/>
        <w:gridCol w:w="1578"/>
        <w:gridCol w:w="3147"/>
      </w:tblGrid>
      <w:tr w:rsidR="00403B07" w:rsidRPr="00FB138A" w14:paraId="09311B88" w14:textId="77777777" w:rsidTr="00B01272">
        <w:tc>
          <w:tcPr>
            <w:tcW w:w="2562" w:type="dxa"/>
          </w:tcPr>
          <w:p w14:paraId="3B6A87FF" w14:textId="77777777" w:rsidR="00403B07" w:rsidRPr="00FB138A" w:rsidRDefault="00403B07" w:rsidP="00B01272">
            <w:pPr>
              <w:rPr>
                <w:rFonts w:ascii="Calibri" w:eastAsia="Calibri" w:hAnsi="Calibri" w:cs="Times New Roman"/>
              </w:rPr>
            </w:pPr>
          </w:p>
        </w:tc>
        <w:tc>
          <w:tcPr>
            <w:tcW w:w="3147" w:type="dxa"/>
            <w:gridSpan w:val="2"/>
          </w:tcPr>
          <w:p w14:paraId="00F023CC" w14:textId="77777777" w:rsidR="00403B07" w:rsidRPr="00625E4E" w:rsidRDefault="00403B07" w:rsidP="00B01272">
            <w:pPr>
              <w:rPr>
                <w:rFonts w:ascii="Calibri" w:eastAsia="Calibri" w:hAnsi="Calibri" w:cs="Times New Roman"/>
                <w:b/>
              </w:rPr>
            </w:pPr>
            <w:r w:rsidRPr="00625E4E">
              <w:rPr>
                <w:rFonts w:ascii="Calibri" w:eastAsia="Calibri" w:hAnsi="Calibri" w:cs="Times New Roman"/>
                <w:b/>
              </w:rPr>
              <w:t>Baseline Dataset B</w:t>
            </w:r>
          </w:p>
        </w:tc>
        <w:tc>
          <w:tcPr>
            <w:tcW w:w="3147" w:type="dxa"/>
          </w:tcPr>
          <w:p w14:paraId="1799FAA4" w14:textId="77777777" w:rsidR="00403B07" w:rsidRPr="00625E4E" w:rsidRDefault="00403B07" w:rsidP="00B01272">
            <w:pPr>
              <w:rPr>
                <w:rFonts w:ascii="Calibri" w:eastAsia="Calibri" w:hAnsi="Calibri" w:cs="Times New Roman"/>
                <w:b/>
              </w:rPr>
            </w:pPr>
            <w:r w:rsidRPr="00625E4E">
              <w:rPr>
                <w:rFonts w:ascii="Calibri" w:eastAsia="Calibri" w:hAnsi="Calibri" w:cs="Times New Roman"/>
                <w:b/>
              </w:rPr>
              <w:t>12 months Dataset B</w:t>
            </w:r>
          </w:p>
        </w:tc>
      </w:tr>
      <w:tr w:rsidR="00403B07" w:rsidRPr="00FB138A" w14:paraId="1B3CBCD1" w14:textId="77777777" w:rsidTr="00B01272">
        <w:tc>
          <w:tcPr>
            <w:tcW w:w="2562" w:type="dxa"/>
          </w:tcPr>
          <w:p w14:paraId="3BF9E6FE" w14:textId="77777777" w:rsidR="00403B07" w:rsidRPr="00FB138A" w:rsidRDefault="00403B07" w:rsidP="00B01272">
            <w:pPr>
              <w:rPr>
                <w:rFonts w:ascii="Calibri" w:eastAsia="Calibri" w:hAnsi="Calibri" w:cs="Times New Roman"/>
              </w:rPr>
            </w:pPr>
          </w:p>
        </w:tc>
        <w:tc>
          <w:tcPr>
            <w:tcW w:w="1569" w:type="dxa"/>
          </w:tcPr>
          <w:p w14:paraId="7D1F7167"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No corr. error var.</w:t>
            </w:r>
          </w:p>
        </w:tc>
        <w:tc>
          <w:tcPr>
            <w:tcW w:w="1578" w:type="dxa"/>
          </w:tcPr>
          <w:p w14:paraId="3A4E7DBF"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Error var. corr.</w:t>
            </w:r>
          </w:p>
        </w:tc>
        <w:tc>
          <w:tcPr>
            <w:tcW w:w="3147" w:type="dxa"/>
          </w:tcPr>
          <w:p w14:paraId="703ACFA4"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Error var. corr.</w:t>
            </w:r>
          </w:p>
        </w:tc>
      </w:tr>
      <w:tr w:rsidR="00403B07" w:rsidRPr="00FB138A" w14:paraId="0AABC859" w14:textId="77777777" w:rsidTr="00B01272">
        <w:tc>
          <w:tcPr>
            <w:tcW w:w="2562" w:type="dxa"/>
          </w:tcPr>
          <w:p w14:paraId="042469AF"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 xml:space="preserve">Satorra-Bentler scaled </w:t>
            </w:r>
            <w:r w:rsidRPr="00FB138A">
              <w:rPr>
                <w:rFonts w:ascii="Calibri" w:eastAsia="Calibri" w:hAnsi="Calibri" w:cs="Times New Roman"/>
                <w:i/>
              </w:rPr>
              <w:t>χ</w:t>
            </w:r>
            <w:r w:rsidRPr="00FB138A">
              <w:rPr>
                <w:rFonts w:ascii="Calibri" w:eastAsia="Calibri" w:hAnsi="Calibri" w:cs="Times New Roman"/>
                <w:vertAlign w:val="superscript"/>
              </w:rPr>
              <w:t>2</w:t>
            </w:r>
            <w:r w:rsidRPr="00FB138A">
              <w:rPr>
                <w:rFonts w:ascii="Calibri" w:eastAsia="Calibri" w:hAnsi="Calibri" w:cs="Times New Roman"/>
              </w:rPr>
              <w:t>/</w:t>
            </w:r>
            <w:r w:rsidRPr="00FB138A">
              <w:rPr>
                <w:rFonts w:ascii="Calibri" w:eastAsia="Calibri" w:hAnsi="Calibri" w:cs="Times New Roman"/>
                <w:i/>
              </w:rPr>
              <w:t>df</w:t>
            </w:r>
          </w:p>
        </w:tc>
        <w:tc>
          <w:tcPr>
            <w:tcW w:w="1569" w:type="dxa"/>
          </w:tcPr>
          <w:p w14:paraId="03F70431"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10.341</w:t>
            </w:r>
          </w:p>
        </w:tc>
        <w:tc>
          <w:tcPr>
            <w:tcW w:w="1578" w:type="dxa"/>
          </w:tcPr>
          <w:p w14:paraId="36688652"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2.974</w:t>
            </w:r>
          </w:p>
        </w:tc>
        <w:tc>
          <w:tcPr>
            <w:tcW w:w="3147" w:type="dxa"/>
          </w:tcPr>
          <w:p w14:paraId="62F5CC4E"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3.005</w:t>
            </w:r>
          </w:p>
        </w:tc>
      </w:tr>
      <w:tr w:rsidR="00403B07" w:rsidRPr="00FB138A" w14:paraId="10516FE5" w14:textId="77777777" w:rsidTr="00B01272">
        <w:tc>
          <w:tcPr>
            <w:tcW w:w="2562" w:type="dxa"/>
          </w:tcPr>
          <w:p w14:paraId="7B31A30B"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RMSEA</w:t>
            </w:r>
          </w:p>
        </w:tc>
        <w:tc>
          <w:tcPr>
            <w:tcW w:w="1569" w:type="dxa"/>
          </w:tcPr>
          <w:p w14:paraId="3A48DD59"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0.119</w:t>
            </w:r>
          </w:p>
        </w:tc>
        <w:tc>
          <w:tcPr>
            <w:tcW w:w="1578" w:type="dxa"/>
          </w:tcPr>
          <w:p w14:paraId="18607F05"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0.055</w:t>
            </w:r>
          </w:p>
        </w:tc>
        <w:tc>
          <w:tcPr>
            <w:tcW w:w="3147" w:type="dxa"/>
          </w:tcPr>
          <w:p w14:paraId="48F59492"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0.055</w:t>
            </w:r>
          </w:p>
        </w:tc>
      </w:tr>
      <w:tr w:rsidR="00403B07" w:rsidRPr="00FB138A" w14:paraId="20056205" w14:textId="77777777" w:rsidTr="00B01272">
        <w:tc>
          <w:tcPr>
            <w:tcW w:w="2562" w:type="dxa"/>
          </w:tcPr>
          <w:p w14:paraId="1F3E6947"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CFI</w:t>
            </w:r>
          </w:p>
        </w:tc>
        <w:tc>
          <w:tcPr>
            <w:tcW w:w="1569" w:type="dxa"/>
          </w:tcPr>
          <w:p w14:paraId="38598E67"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0.898</w:t>
            </w:r>
          </w:p>
        </w:tc>
        <w:tc>
          <w:tcPr>
            <w:tcW w:w="1578" w:type="dxa"/>
          </w:tcPr>
          <w:p w14:paraId="5EB8D571"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0.982</w:t>
            </w:r>
          </w:p>
        </w:tc>
        <w:tc>
          <w:tcPr>
            <w:tcW w:w="3147" w:type="dxa"/>
          </w:tcPr>
          <w:p w14:paraId="73E12996"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0.978</w:t>
            </w:r>
          </w:p>
        </w:tc>
      </w:tr>
      <w:tr w:rsidR="00403B07" w:rsidRPr="00FB138A" w14:paraId="033C0DA3" w14:textId="77777777" w:rsidTr="00B01272">
        <w:tc>
          <w:tcPr>
            <w:tcW w:w="2562" w:type="dxa"/>
          </w:tcPr>
          <w:p w14:paraId="098E1D7B"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SRMR</w:t>
            </w:r>
          </w:p>
        </w:tc>
        <w:tc>
          <w:tcPr>
            <w:tcW w:w="1569" w:type="dxa"/>
          </w:tcPr>
          <w:p w14:paraId="2C0DABFC"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0.085</w:t>
            </w:r>
          </w:p>
        </w:tc>
        <w:tc>
          <w:tcPr>
            <w:tcW w:w="1578" w:type="dxa"/>
          </w:tcPr>
          <w:p w14:paraId="238BB425"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0.046</w:t>
            </w:r>
          </w:p>
        </w:tc>
        <w:tc>
          <w:tcPr>
            <w:tcW w:w="3147" w:type="dxa"/>
          </w:tcPr>
          <w:p w14:paraId="418AC1DD"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0.045</w:t>
            </w:r>
          </w:p>
        </w:tc>
      </w:tr>
    </w:tbl>
    <w:p w14:paraId="31E3CB3B" w14:textId="77777777" w:rsidR="00403B07" w:rsidRPr="00FB138A" w:rsidRDefault="00403B07" w:rsidP="00403B07">
      <w:pPr>
        <w:rPr>
          <w:rFonts w:ascii="Calibri" w:eastAsia="Calibri" w:hAnsi="Calibri" w:cs="Times New Roman"/>
          <w:sz w:val="24"/>
          <w:szCs w:val="24"/>
        </w:rPr>
      </w:pPr>
    </w:p>
    <w:p w14:paraId="0AF865F0" w14:textId="77777777" w:rsidR="00403B07" w:rsidRDefault="00403B07" w:rsidP="00403B07">
      <w:pPr>
        <w:rPr>
          <w:rFonts w:ascii="Calibri" w:eastAsia="Calibri" w:hAnsi="Calibri" w:cs="Times New Roman"/>
          <w:i/>
          <w:sz w:val="24"/>
          <w:szCs w:val="24"/>
        </w:rPr>
      </w:pPr>
      <w:r>
        <w:rPr>
          <w:rFonts w:ascii="Calibri" w:eastAsia="Calibri" w:hAnsi="Calibri" w:cs="Times New Roman"/>
          <w:i/>
          <w:sz w:val="24"/>
          <w:szCs w:val="24"/>
        </w:rPr>
        <w:br w:type="page"/>
      </w:r>
    </w:p>
    <w:p w14:paraId="766B67F3" w14:textId="77777777" w:rsidR="00403B07" w:rsidRDefault="00403B07" w:rsidP="00403B07">
      <w:pPr>
        <w:rPr>
          <w:rFonts w:ascii="Calibri" w:eastAsia="Calibri" w:hAnsi="Calibri" w:cs="Times New Roman"/>
          <w:i/>
          <w:sz w:val="24"/>
          <w:szCs w:val="24"/>
        </w:rPr>
      </w:pPr>
    </w:p>
    <w:p w14:paraId="117FC539" w14:textId="77777777" w:rsidR="00403B07" w:rsidRPr="00FB138A" w:rsidRDefault="00403B07" w:rsidP="00403B07">
      <w:pPr>
        <w:rPr>
          <w:rFonts w:ascii="Calibri" w:eastAsia="Calibri" w:hAnsi="Calibri" w:cs="Times New Roman"/>
          <w:i/>
          <w:sz w:val="24"/>
          <w:szCs w:val="24"/>
        </w:rPr>
      </w:pPr>
      <w:r>
        <w:rPr>
          <w:rFonts w:ascii="Calibri" w:eastAsia="Calibri" w:hAnsi="Calibri" w:cs="Times New Roman"/>
          <w:i/>
          <w:sz w:val="24"/>
          <w:szCs w:val="24"/>
        </w:rPr>
        <w:t>F</w:t>
      </w:r>
      <w:r w:rsidRPr="00FB138A">
        <w:rPr>
          <w:rFonts w:ascii="Calibri" w:eastAsia="Calibri" w:hAnsi="Calibri" w:cs="Times New Roman"/>
          <w:i/>
          <w:sz w:val="24"/>
          <w:szCs w:val="24"/>
        </w:rPr>
        <w:t xml:space="preserve">amily </w:t>
      </w:r>
      <w:r>
        <w:rPr>
          <w:rFonts w:ascii="Calibri" w:eastAsia="Calibri" w:hAnsi="Calibri" w:cs="Times New Roman"/>
          <w:i/>
          <w:sz w:val="24"/>
          <w:szCs w:val="24"/>
        </w:rPr>
        <w:t>A</w:t>
      </w:r>
      <w:r w:rsidRPr="00FB138A">
        <w:rPr>
          <w:rFonts w:ascii="Calibri" w:eastAsia="Calibri" w:hAnsi="Calibri" w:cs="Times New Roman"/>
          <w:i/>
          <w:sz w:val="24"/>
          <w:szCs w:val="24"/>
        </w:rPr>
        <w:t>pproval</w:t>
      </w:r>
      <w:r>
        <w:rPr>
          <w:rFonts w:ascii="Calibri" w:eastAsia="Calibri" w:hAnsi="Calibri" w:cs="Times New Roman"/>
          <w:i/>
          <w:sz w:val="24"/>
          <w:szCs w:val="24"/>
        </w:rPr>
        <w:t>/Behaviours</w:t>
      </w:r>
      <w:r w:rsidRPr="00FB138A">
        <w:rPr>
          <w:rFonts w:ascii="Calibri" w:eastAsia="Calibri" w:hAnsi="Calibri" w:cs="Times New Roman"/>
          <w:i/>
          <w:sz w:val="24"/>
          <w:szCs w:val="24"/>
        </w:rPr>
        <w:t xml:space="preserve"> and </w:t>
      </w:r>
      <w:r>
        <w:rPr>
          <w:rFonts w:ascii="Calibri" w:eastAsia="Calibri" w:hAnsi="Calibri" w:cs="Times New Roman"/>
          <w:i/>
          <w:sz w:val="24"/>
          <w:szCs w:val="24"/>
        </w:rPr>
        <w:t>Child A</w:t>
      </w:r>
      <w:r w:rsidRPr="00FB138A">
        <w:rPr>
          <w:rFonts w:ascii="Calibri" w:eastAsia="Calibri" w:hAnsi="Calibri" w:cs="Times New Roman"/>
          <w:i/>
          <w:sz w:val="24"/>
          <w:szCs w:val="24"/>
        </w:rPr>
        <w:t>ttitude</w:t>
      </w:r>
      <w:r>
        <w:rPr>
          <w:rFonts w:ascii="Calibri" w:eastAsia="Calibri" w:hAnsi="Calibri" w:cs="Times New Roman"/>
          <w:i/>
          <w:sz w:val="24"/>
          <w:szCs w:val="24"/>
        </w:rPr>
        <w:t>s (FAB&amp;CA) (</w:t>
      </w:r>
      <w:r w:rsidRPr="00FB138A">
        <w:rPr>
          <w:rFonts w:ascii="Calibri" w:eastAsia="Calibri" w:hAnsi="Calibri" w:cs="Times New Roman"/>
          <w:i/>
          <w:sz w:val="24"/>
          <w:szCs w:val="24"/>
        </w:rPr>
        <w:t>Items 23-32 without Item 31):</w:t>
      </w:r>
    </w:p>
    <w:p w14:paraId="6DBDDD91" w14:textId="6C41E7F6" w:rsidR="00403B07" w:rsidRPr="00FB138A" w:rsidRDefault="00403B07" w:rsidP="00403B07">
      <w:pPr>
        <w:rPr>
          <w:rFonts w:ascii="Calibri" w:eastAsia="Calibri" w:hAnsi="Calibri" w:cs="Times New Roman"/>
          <w:sz w:val="24"/>
          <w:szCs w:val="24"/>
        </w:rPr>
      </w:pPr>
      <w:r w:rsidRPr="00FB138A">
        <w:rPr>
          <w:rFonts w:ascii="Calibri" w:eastAsia="Calibri" w:hAnsi="Calibri" w:cs="Times New Roman"/>
          <w:sz w:val="24"/>
          <w:szCs w:val="24"/>
        </w:rPr>
        <w:t xml:space="preserve">The fit indices of the first model (without any error variance correlations) showed that the solution was marginally adequate, although RMSEA </w:t>
      </w:r>
      <w:r>
        <w:rPr>
          <w:rFonts w:ascii="Calibri" w:eastAsia="Calibri" w:hAnsi="Calibri" w:cs="Times New Roman"/>
          <w:sz w:val="24"/>
          <w:szCs w:val="24"/>
        </w:rPr>
        <w:t xml:space="preserve">was </w:t>
      </w:r>
      <w:r w:rsidRPr="00FB138A">
        <w:rPr>
          <w:rFonts w:ascii="Calibri" w:eastAsia="Calibri" w:hAnsi="Calibri" w:cs="Times New Roman"/>
          <w:sz w:val="24"/>
          <w:szCs w:val="24"/>
        </w:rPr>
        <w:t>slightly elevated at 0.088. After correlating error terms for pairs of items with shared meaning, the fit bec</w:t>
      </w:r>
      <w:r>
        <w:rPr>
          <w:rFonts w:ascii="Calibri" w:eastAsia="Calibri" w:hAnsi="Calibri" w:cs="Times New Roman"/>
          <w:sz w:val="24"/>
          <w:szCs w:val="24"/>
        </w:rPr>
        <w:t>a</w:t>
      </w:r>
      <w:r w:rsidRPr="00FB138A">
        <w:rPr>
          <w:rFonts w:ascii="Calibri" w:eastAsia="Calibri" w:hAnsi="Calibri" w:cs="Times New Roman"/>
          <w:sz w:val="24"/>
          <w:szCs w:val="24"/>
        </w:rPr>
        <w:t xml:space="preserve">me excellent (Table </w:t>
      </w:r>
      <w:r w:rsidR="00AE7526">
        <w:rPr>
          <w:rFonts w:ascii="Calibri" w:eastAsia="Calibri" w:hAnsi="Calibri" w:cs="Times New Roman"/>
          <w:sz w:val="24"/>
          <w:szCs w:val="24"/>
        </w:rPr>
        <w:t>5</w:t>
      </w:r>
      <w:r w:rsidR="00B14404">
        <w:rPr>
          <w:rFonts w:ascii="Calibri" w:eastAsia="Calibri" w:hAnsi="Calibri" w:cs="Times New Roman"/>
          <w:sz w:val="24"/>
          <w:szCs w:val="24"/>
        </w:rPr>
        <w:t>4</w:t>
      </w:r>
      <w:r w:rsidR="00AE7526">
        <w:rPr>
          <w:rFonts w:ascii="Calibri" w:eastAsia="Calibri" w:hAnsi="Calibri" w:cs="Times New Roman"/>
          <w:sz w:val="24"/>
          <w:szCs w:val="24"/>
        </w:rPr>
        <w:t>3</w:t>
      </w:r>
      <w:r w:rsidRPr="00FB138A">
        <w:rPr>
          <w:rFonts w:ascii="Calibri" w:eastAsia="Calibri" w:hAnsi="Calibri" w:cs="Times New Roman"/>
          <w:sz w:val="24"/>
          <w:szCs w:val="24"/>
        </w:rPr>
        <w:t>).</w:t>
      </w:r>
    </w:p>
    <w:p w14:paraId="27E9F6EB" w14:textId="6140B2D7" w:rsidR="00403B07" w:rsidRDefault="00403B07" w:rsidP="00403B07">
      <w:pPr>
        <w:rPr>
          <w:rFonts w:ascii="Calibri" w:eastAsia="Calibri" w:hAnsi="Calibri" w:cs="Times New Roman"/>
          <w:sz w:val="24"/>
          <w:szCs w:val="24"/>
        </w:rPr>
      </w:pPr>
      <w:r w:rsidRPr="00FB138A">
        <w:rPr>
          <w:rFonts w:ascii="Calibri" w:eastAsia="Calibri" w:hAnsi="Calibri" w:cs="Times New Roman"/>
          <w:sz w:val="24"/>
          <w:szCs w:val="24"/>
        </w:rPr>
        <w:t>After a satisfactory model fit ha</w:t>
      </w:r>
      <w:r>
        <w:rPr>
          <w:rFonts w:ascii="Calibri" w:eastAsia="Calibri" w:hAnsi="Calibri" w:cs="Times New Roman"/>
          <w:sz w:val="24"/>
          <w:szCs w:val="24"/>
        </w:rPr>
        <w:t>d</w:t>
      </w:r>
      <w:r w:rsidRPr="00FB138A">
        <w:rPr>
          <w:rFonts w:ascii="Calibri" w:eastAsia="Calibri" w:hAnsi="Calibri" w:cs="Times New Roman"/>
          <w:sz w:val="24"/>
          <w:szCs w:val="24"/>
        </w:rPr>
        <w:t xml:space="preserve"> been obtained for the Baseline Dataset B, the exact same model was fitted to the 12 months Dataset B (Table</w:t>
      </w:r>
      <w:r w:rsidR="00D16A05">
        <w:rPr>
          <w:rFonts w:ascii="Calibri" w:eastAsia="Calibri" w:hAnsi="Calibri" w:cs="Times New Roman"/>
          <w:sz w:val="24"/>
          <w:szCs w:val="24"/>
        </w:rPr>
        <w:t xml:space="preserve"> 5</w:t>
      </w:r>
      <w:r w:rsidR="00B14404">
        <w:rPr>
          <w:rFonts w:ascii="Calibri" w:eastAsia="Calibri" w:hAnsi="Calibri" w:cs="Times New Roman"/>
          <w:sz w:val="24"/>
          <w:szCs w:val="24"/>
        </w:rPr>
        <w:t>4</w:t>
      </w:r>
      <w:r w:rsidRPr="00FB138A">
        <w:rPr>
          <w:rFonts w:ascii="Calibri" w:eastAsia="Calibri" w:hAnsi="Calibri" w:cs="Times New Roman"/>
          <w:sz w:val="24"/>
          <w:szCs w:val="24"/>
        </w:rPr>
        <w:t>), showing that this solution was also excellent for that dataset.</w:t>
      </w:r>
    </w:p>
    <w:p w14:paraId="55B256EF" w14:textId="77777777" w:rsidR="00403B07" w:rsidRPr="00FB138A" w:rsidRDefault="00403B07" w:rsidP="00403B07">
      <w:pPr>
        <w:rPr>
          <w:rFonts w:ascii="Calibri" w:eastAsia="Calibri" w:hAnsi="Calibri" w:cs="Times New Roman"/>
          <w:sz w:val="24"/>
          <w:szCs w:val="24"/>
        </w:rPr>
      </w:pPr>
    </w:p>
    <w:p w14:paraId="35BDE631" w14:textId="0A19C1B8" w:rsidR="00403B07" w:rsidRPr="001251FD" w:rsidRDefault="00403B07" w:rsidP="00403B07">
      <w:pPr>
        <w:rPr>
          <w:rFonts w:ascii="Calibri" w:eastAsia="Calibri" w:hAnsi="Calibri" w:cs="Times New Roman"/>
          <w:b/>
          <w:sz w:val="24"/>
          <w:szCs w:val="24"/>
        </w:rPr>
      </w:pPr>
      <w:r w:rsidRPr="001251FD">
        <w:rPr>
          <w:rFonts w:ascii="Calibri" w:eastAsia="Calibri" w:hAnsi="Calibri" w:cs="Times New Roman"/>
          <w:b/>
          <w:sz w:val="24"/>
          <w:szCs w:val="24"/>
        </w:rPr>
        <w:t xml:space="preserve">TABLE </w:t>
      </w:r>
      <w:r w:rsidR="00AE7526" w:rsidRPr="001251FD">
        <w:rPr>
          <w:rFonts w:ascii="Calibri" w:eastAsia="Calibri" w:hAnsi="Calibri" w:cs="Times New Roman"/>
          <w:b/>
          <w:sz w:val="24"/>
          <w:szCs w:val="24"/>
        </w:rPr>
        <w:t>5</w:t>
      </w:r>
      <w:r w:rsidR="00B14404">
        <w:rPr>
          <w:rFonts w:ascii="Calibri" w:eastAsia="Calibri" w:hAnsi="Calibri" w:cs="Times New Roman"/>
          <w:b/>
          <w:sz w:val="24"/>
          <w:szCs w:val="24"/>
        </w:rPr>
        <w:t>4</w:t>
      </w:r>
      <w:r w:rsidR="00AE7526" w:rsidRPr="001251FD">
        <w:rPr>
          <w:rFonts w:ascii="Calibri" w:eastAsia="Calibri" w:hAnsi="Calibri" w:cs="Times New Roman"/>
          <w:b/>
          <w:sz w:val="24"/>
          <w:szCs w:val="24"/>
        </w:rPr>
        <w:t xml:space="preserve"> </w:t>
      </w:r>
      <w:r w:rsidRPr="001251FD">
        <w:rPr>
          <w:rFonts w:ascii="Calibri" w:eastAsia="Calibri" w:hAnsi="Calibri" w:cs="Times New Roman"/>
          <w:b/>
          <w:sz w:val="24"/>
          <w:szCs w:val="24"/>
        </w:rPr>
        <w:t xml:space="preserve"> Goodness-of-fit indices for the Family Approval/Behaviours and Child Attitudes (FAB&amp;CA) sub-scale. Results are shown for fits without correlation of any error variances (first model) and with correlations (final model). Fit indices for the replication of the final model with the 12 months Dataset B are also shown. All results are shown to three decimal places.</w:t>
      </w:r>
    </w:p>
    <w:tbl>
      <w:tblPr>
        <w:tblStyle w:val="TableGrid"/>
        <w:tblW w:w="0" w:type="auto"/>
        <w:tblLook w:val="04A0" w:firstRow="1" w:lastRow="0" w:firstColumn="1" w:lastColumn="0" w:noHBand="0" w:noVBand="1"/>
      </w:tblPr>
      <w:tblGrid>
        <w:gridCol w:w="2562"/>
        <w:gridCol w:w="1569"/>
        <w:gridCol w:w="1578"/>
        <w:gridCol w:w="3147"/>
      </w:tblGrid>
      <w:tr w:rsidR="00403B07" w:rsidRPr="00FB138A" w14:paraId="687FE462" w14:textId="77777777" w:rsidTr="00B01272">
        <w:tc>
          <w:tcPr>
            <w:tcW w:w="2562" w:type="dxa"/>
          </w:tcPr>
          <w:p w14:paraId="5134B7B2" w14:textId="77777777" w:rsidR="00403B07" w:rsidRPr="00FB138A" w:rsidRDefault="00403B07" w:rsidP="00B01272">
            <w:pPr>
              <w:rPr>
                <w:rFonts w:ascii="Calibri" w:eastAsia="Calibri" w:hAnsi="Calibri" w:cs="Times New Roman"/>
              </w:rPr>
            </w:pPr>
          </w:p>
        </w:tc>
        <w:tc>
          <w:tcPr>
            <w:tcW w:w="3147" w:type="dxa"/>
            <w:gridSpan w:val="2"/>
          </w:tcPr>
          <w:p w14:paraId="6E7815F5"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Baseline Dataset B</w:t>
            </w:r>
          </w:p>
        </w:tc>
        <w:tc>
          <w:tcPr>
            <w:tcW w:w="3147" w:type="dxa"/>
          </w:tcPr>
          <w:p w14:paraId="0FEF403C"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12 months Dataset B</w:t>
            </w:r>
          </w:p>
        </w:tc>
      </w:tr>
      <w:tr w:rsidR="00403B07" w:rsidRPr="00FB138A" w14:paraId="2FDCC6E7" w14:textId="77777777" w:rsidTr="00B01272">
        <w:tc>
          <w:tcPr>
            <w:tcW w:w="2562" w:type="dxa"/>
          </w:tcPr>
          <w:p w14:paraId="0D697259" w14:textId="77777777" w:rsidR="00403B07" w:rsidRPr="00FB138A" w:rsidRDefault="00403B07" w:rsidP="00B01272">
            <w:pPr>
              <w:rPr>
                <w:rFonts w:ascii="Calibri" w:eastAsia="Calibri" w:hAnsi="Calibri" w:cs="Times New Roman"/>
              </w:rPr>
            </w:pPr>
          </w:p>
        </w:tc>
        <w:tc>
          <w:tcPr>
            <w:tcW w:w="1569" w:type="dxa"/>
          </w:tcPr>
          <w:p w14:paraId="215485A5"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No corr. error var.</w:t>
            </w:r>
          </w:p>
        </w:tc>
        <w:tc>
          <w:tcPr>
            <w:tcW w:w="1578" w:type="dxa"/>
          </w:tcPr>
          <w:p w14:paraId="4297BF17"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Error var. corr.</w:t>
            </w:r>
          </w:p>
        </w:tc>
        <w:tc>
          <w:tcPr>
            <w:tcW w:w="3147" w:type="dxa"/>
          </w:tcPr>
          <w:p w14:paraId="528ABF61"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Error var. corr.</w:t>
            </w:r>
          </w:p>
        </w:tc>
      </w:tr>
      <w:tr w:rsidR="00403B07" w:rsidRPr="00FB138A" w14:paraId="2032E57E" w14:textId="77777777" w:rsidTr="00B01272">
        <w:tc>
          <w:tcPr>
            <w:tcW w:w="2562" w:type="dxa"/>
          </w:tcPr>
          <w:p w14:paraId="43C75D84"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 xml:space="preserve">Satorra-Bentler scaled </w:t>
            </w:r>
            <w:r w:rsidRPr="00FB138A">
              <w:rPr>
                <w:rFonts w:ascii="Calibri" w:eastAsia="Calibri" w:hAnsi="Calibri" w:cs="Times New Roman"/>
                <w:i/>
              </w:rPr>
              <w:t>χ</w:t>
            </w:r>
            <w:r w:rsidRPr="00FB138A">
              <w:rPr>
                <w:rFonts w:ascii="Calibri" w:eastAsia="Calibri" w:hAnsi="Calibri" w:cs="Times New Roman"/>
                <w:vertAlign w:val="superscript"/>
              </w:rPr>
              <w:t>2</w:t>
            </w:r>
            <w:r w:rsidRPr="00FB138A">
              <w:rPr>
                <w:rFonts w:ascii="Calibri" w:eastAsia="Calibri" w:hAnsi="Calibri" w:cs="Times New Roman"/>
              </w:rPr>
              <w:t>/</w:t>
            </w:r>
            <w:r w:rsidRPr="00FB138A">
              <w:rPr>
                <w:rFonts w:ascii="Calibri" w:eastAsia="Calibri" w:hAnsi="Calibri" w:cs="Times New Roman"/>
                <w:i/>
              </w:rPr>
              <w:t>df</w:t>
            </w:r>
          </w:p>
        </w:tc>
        <w:tc>
          <w:tcPr>
            <w:tcW w:w="1569" w:type="dxa"/>
          </w:tcPr>
          <w:p w14:paraId="525B6360"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6.164</w:t>
            </w:r>
          </w:p>
        </w:tc>
        <w:tc>
          <w:tcPr>
            <w:tcW w:w="1578" w:type="dxa"/>
          </w:tcPr>
          <w:p w14:paraId="17002C39"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2.100</w:t>
            </w:r>
          </w:p>
        </w:tc>
        <w:tc>
          <w:tcPr>
            <w:tcW w:w="3147" w:type="dxa"/>
          </w:tcPr>
          <w:p w14:paraId="7CAD5215"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2.963</w:t>
            </w:r>
          </w:p>
        </w:tc>
      </w:tr>
      <w:tr w:rsidR="00403B07" w:rsidRPr="00FB138A" w14:paraId="2BEB2F7A" w14:textId="77777777" w:rsidTr="00B01272">
        <w:tc>
          <w:tcPr>
            <w:tcW w:w="2562" w:type="dxa"/>
          </w:tcPr>
          <w:p w14:paraId="5B9AE1F9"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RMSEA</w:t>
            </w:r>
          </w:p>
        </w:tc>
        <w:tc>
          <w:tcPr>
            <w:tcW w:w="1569" w:type="dxa"/>
          </w:tcPr>
          <w:p w14:paraId="5FDBE712"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0.088</w:t>
            </w:r>
          </w:p>
        </w:tc>
        <w:tc>
          <w:tcPr>
            <w:tcW w:w="1578" w:type="dxa"/>
          </w:tcPr>
          <w:p w14:paraId="123C80AC"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0.039</w:t>
            </w:r>
          </w:p>
        </w:tc>
        <w:tc>
          <w:tcPr>
            <w:tcW w:w="3147" w:type="dxa"/>
          </w:tcPr>
          <w:p w14:paraId="362105E0"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0.039</w:t>
            </w:r>
          </w:p>
        </w:tc>
      </w:tr>
      <w:tr w:rsidR="00403B07" w:rsidRPr="00FB138A" w14:paraId="051B13DF" w14:textId="77777777" w:rsidTr="00B01272">
        <w:tc>
          <w:tcPr>
            <w:tcW w:w="2562" w:type="dxa"/>
          </w:tcPr>
          <w:p w14:paraId="788931A2"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CFI</w:t>
            </w:r>
          </w:p>
        </w:tc>
        <w:tc>
          <w:tcPr>
            <w:tcW w:w="1569" w:type="dxa"/>
          </w:tcPr>
          <w:p w14:paraId="42421DA5"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0.967</w:t>
            </w:r>
          </w:p>
        </w:tc>
        <w:tc>
          <w:tcPr>
            <w:tcW w:w="1578" w:type="dxa"/>
          </w:tcPr>
          <w:p w14:paraId="7D781E47"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0.995</w:t>
            </w:r>
          </w:p>
        </w:tc>
        <w:tc>
          <w:tcPr>
            <w:tcW w:w="3147" w:type="dxa"/>
          </w:tcPr>
          <w:p w14:paraId="042E73BF"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0.995</w:t>
            </w:r>
          </w:p>
        </w:tc>
      </w:tr>
      <w:tr w:rsidR="00403B07" w:rsidRPr="00FB138A" w14:paraId="7DF8BF70" w14:textId="77777777" w:rsidTr="00B01272">
        <w:tc>
          <w:tcPr>
            <w:tcW w:w="2562" w:type="dxa"/>
          </w:tcPr>
          <w:p w14:paraId="7AD60F4D"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SRMR</w:t>
            </w:r>
          </w:p>
        </w:tc>
        <w:tc>
          <w:tcPr>
            <w:tcW w:w="1569" w:type="dxa"/>
          </w:tcPr>
          <w:p w14:paraId="0115ED25"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0.061</w:t>
            </w:r>
          </w:p>
        </w:tc>
        <w:tc>
          <w:tcPr>
            <w:tcW w:w="1578" w:type="dxa"/>
          </w:tcPr>
          <w:p w14:paraId="413754C5"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0.034</w:t>
            </w:r>
          </w:p>
        </w:tc>
        <w:tc>
          <w:tcPr>
            <w:tcW w:w="3147" w:type="dxa"/>
          </w:tcPr>
          <w:p w14:paraId="02BBE97B"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0.034</w:t>
            </w:r>
          </w:p>
        </w:tc>
      </w:tr>
    </w:tbl>
    <w:p w14:paraId="4AD52EE4" w14:textId="77777777" w:rsidR="00403B07" w:rsidRPr="00FB138A" w:rsidRDefault="00403B07" w:rsidP="00403B07">
      <w:pPr>
        <w:rPr>
          <w:rFonts w:ascii="Calibri" w:eastAsia="Calibri" w:hAnsi="Calibri" w:cs="Times New Roman"/>
          <w:sz w:val="24"/>
          <w:szCs w:val="24"/>
        </w:rPr>
      </w:pPr>
    </w:p>
    <w:p w14:paraId="6F74AD54" w14:textId="77777777" w:rsidR="00403B07" w:rsidRPr="00FB138A" w:rsidRDefault="00403B07" w:rsidP="00403B07">
      <w:pPr>
        <w:rPr>
          <w:rFonts w:ascii="Calibri" w:eastAsia="Calibri" w:hAnsi="Calibri" w:cs="Times New Roman"/>
          <w:i/>
          <w:sz w:val="24"/>
          <w:szCs w:val="24"/>
        </w:rPr>
      </w:pPr>
      <w:r w:rsidRPr="00FB138A">
        <w:rPr>
          <w:rFonts w:ascii="Calibri" w:eastAsia="Calibri" w:hAnsi="Calibri" w:cs="Times New Roman"/>
          <w:i/>
          <w:sz w:val="24"/>
          <w:szCs w:val="24"/>
        </w:rPr>
        <w:t>Behaviour</w:t>
      </w:r>
      <w:r>
        <w:rPr>
          <w:rFonts w:ascii="Calibri" w:eastAsia="Calibri" w:hAnsi="Calibri" w:cs="Times New Roman"/>
          <w:i/>
          <w:sz w:val="24"/>
          <w:szCs w:val="24"/>
        </w:rPr>
        <w:t>s &amp; Strategies (B&amp;S) (</w:t>
      </w:r>
      <w:r w:rsidRPr="00FB138A">
        <w:rPr>
          <w:rFonts w:ascii="Calibri" w:eastAsia="Calibri" w:hAnsi="Calibri" w:cs="Times New Roman"/>
          <w:i/>
          <w:sz w:val="24"/>
          <w:szCs w:val="24"/>
        </w:rPr>
        <w:t>Items 33-50):</w:t>
      </w:r>
    </w:p>
    <w:p w14:paraId="6A2A5AD0" w14:textId="19295AA1" w:rsidR="00403B07" w:rsidRPr="00FB138A" w:rsidRDefault="00403B07" w:rsidP="00403B07">
      <w:pPr>
        <w:rPr>
          <w:rFonts w:ascii="Calibri" w:eastAsia="Calibri" w:hAnsi="Calibri" w:cs="Times New Roman"/>
          <w:sz w:val="24"/>
          <w:szCs w:val="24"/>
        </w:rPr>
      </w:pPr>
      <w:r w:rsidRPr="00FB138A">
        <w:rPr>
          <w:rFonts w:ascii="Calibri" w:eastAsia="Calibri" w:hAnsi="Calibri" w:cs="Times New Roman"/>
          <w:sz w:val="24"/>
          <w:szCs w:val="24"/>
        </w:rPr>
        <w:t xml:space="preserve">The fit indices of the first model (without any error variance correlations) showed that the solution was marginally adequate, although RMSEA slightly elevated at 0.079. After correlating error terms for pairs of items with shared meaning, the fit has become very good (Table </w:t>
      </w:r>
      <w:r w:rsidR="003934F8">
        <w:rPr>
          <w:rFonts w:ascii="Calibri" w:eastAsia="Calibri" w:hAnsi="Calibri" w:cs="Times New Roman"/>
          <w:sz w:val="24"/>
          <w:szCs w:val="24"/>
        </w:rPr>
        <w:t>5</w:t>
      </w:r>
      <w:r w:rsidR="00B14404">
        <w:rPr>
          <w:rFonts w:ascii="Calibri" w:eastAsia="Calibri" w:hAnsi="Calibri" w:cs="Times New Roman"/>
          <w:sz w:val="24"/>
          <w:szCs w:val="24"/>
        </w:rPr>
        <w:t>5</w:t>
      </w:r>
      <w:r w:rsidRPr="00FB138A">
        <w:rPr>
          <w:rFonts w:ascii="Calibri" w:eastAsia="Calibri" w:hAnsi="Calibri" w:cs="Times New Roman"/>
          <w:sz w:val="24"/>
          <w:szCs w:val="24"/>
        </w:rPr>
        <w:t>).</w:t>
      </w:r>
    </w:p>
    <w:p w14:paraId="75EABB98" w14:textId="6286A176" w:rsidR="00403B07" w:rsidRDefault="00403B07" w:rsidP="00403B07">
      <w:pPr>
        <w:rPr>
          <w:rFonts w:ascii="Calibri" w:eastAsia="Calibri" w:hAnsi="Calibri" w:cs="Times New Roman"/>
          <w:sz w:val="24"/>
          <w:szCs w:val="24"/>
        </w:rPr>
      </w:pPr>
      <w:r w:rsidRPr="00FB138A">
        <w:rPr>
          <w:rFonts w:ascii="Calibri" w:eastAsia="Calibri" w:hAnsi="Calibri" w:cs="Times New Roman"/>
          <w:sz w:val="24"/>
          <w:szCs w:val="24"/>
        </w:rPr>
        <w:t>After a satisfactory model fit ha</w:t>
      </w:r>
      <w:r>
        <w:rPr>
          <w:rFonts w:ascii="Calibri" w:eastAsia="Calibri" w:hAnsi="Calibri" w:cs="Times New Roman"/>
          <w:sz w:val="24"/>
          <w:szCs w:val="24"/>
        </w:rPr>
        <w:t>d</w:t>
      </w:r>
      <w:r w:rsidRPr="00FB138A">
        <w:rPr>
          <w:rFonts w:ascii="Calibri" w:eastAsia="Calibri" w:hAnsi="Calibri" w:cs="Times New Roman"/>
          <w:sz w:val="24"/>
          <w:szCs w:val="24"/>
        </w:rPr>
        <w:t xml:space="preserve"> been obtained for the Baseline Dataset B, the exact same model was fitted to the 12 months Dataset B (Table </w:t>
      </w:r>
      <w:r w:rsidR="003934F8">
        <w:rPr>
          <w:rFonts w:ascii="Calibri" w:eastAsia="Calibri" w:hAnsi="Calibri" w:cs="Times New Roman"/>
          <w:sz w:val="24"/>
          <w:szCs w:val="24"/>
        </w:rPr>
        <w:t>5</w:t>
      </w:r>
      <w:r w:rsidR="00B14404">
        <w:rPr>
          <w:rFonts w:ascii="Calibri" w:eastAsia="Calibri" w:hAnsi="Calibri" w:cs="Times New Roman"/>
          <w:sz w:val="24"/>
          <w:szCs w:val="24"/>
        </w:rPr>
        <w:t>5</w:t>
      </w:r>
      <w:r w:rsidRPr="00FB138A">
        <w:rPr>
          <w:rFonts w:ascii="Calibri" w:eastAsia="Calibri" w:hAnsi="Calibri" w:cs="Times New Roman"/>
          <w:sz w:val="24"/>
          <w:szCs w:val="24"/>
        </w:rPr>
        <w:t xml:space="preserve">). The fit for the replication dataset </w:t>
      </w:r>
      <w:r>
        <w:rPr>
          <w:rFonts w:ascii="Calibri" w:eastAsia="Calibri" w:hAnsi="Calibri" w:cs="Times New Roman"/>
          <w:sz w:val="24"/>
          <w:szCs w:val="24"/>
        </w:rPr>
        <w:t>was</w:t>
      </w:r>
      <w:r w:rsidRPr="00FB138A">
        <w:rPr>
          <w:rFonts w:ascii="Calibri" w:eastAsia="Calibri" w:hAnsi="Calibri" w:cs="Times New Roman"/>
          <w:sz w:val="24"/>
          <w:szCs w:val="24"/>
        </w:rPr>
        <w:t xml:space="preserve"> worse, and RMSEA was now above 0.060. The 90-% confidence interval (0.065 to 0.078) did not contain this 0.060 cut-off value. A multi</w:t>
      </w:r>
      <w:r>
        <w:rPr>
          <w:rFonts w:ascii="Calibri" w:eastAsia="Calibri" w:hAnsi="Calibri" w:cs="Times New Roman"/>
          <w:sz w:val="24"/>
          <w:szCs w:val="24"/>
        </w:rPr>
        <w:t>-</w:t>
      </w:r>
      <w:r w:rsidRPr="00FB138A">
        <w:rPr>
          <w:rFonts w:ascii="Calibri" w:eastAsia="Calibri" w:hAnsi="Calibri" w:cs="Times New Roman"/>
          <w:sz w:val="24"/>
          <w:szCs w:val="24"/>
        </w:rPr>
        <w:t>group invariance test (reported below) will provide more detailed information about the adequacy of this model for the 12 months dataset.</w:t>
      </w:r>
    </w:p>
    <w:p w14:paraId="72E4914F" w14:textId="77777777" w:rsidR="00CD02A2" w:rsidRPr="00FB138A" w:rsidRDefault="00CD02A2" w:rsidP="00403B07">
      <w:pPr>
        <w:rPr>
          <w:rFonts w:ascii="Calibri" w:eastAsia="Calibri" w:hAnsi="Calibri" w:cs="Times New Roman"/>
          <w:sz w:val="24"/>
          <w:szCs w:val="24"/>
        </w:rPr>
      </w:pPr>
    </w:p>
    <w:p w14:paraId="492BB4D9" w14:textId="61ED16F0" w:rsidR="00403B07" w:rsidRPr="00D16A05" w:rsidRDefault="00403B07" w:rsidP="00403B07">
      <w:pPr>
        <w:rPr>
          <w:rFonts w:ascii="Calibri" w:eastAsia="Calibri" w:hAnsi="Calibri" w:cs="Times New Roman"/>
          <w:b/>
          <w:sz w:val="24"/>
          <w:szCs w:val="24"/>
        </w:rPr>
      </w:pPr>
      <w:r w:rsidRPr="00D16A05">
        <w:rPr>
          <w:rFonts w:ascii="Calibri" w:eastAsia="Calibri" w:hAnsi="Calibri" w:cs="Times New Roman"/>
          <w:b/>
          <w:sz w:val="24"/>
          <w:szCs w:val="24"/>
        </w:rPr>
        <w:lastRenderedPageBreak/>
        <w:t xml:space="preserve">Table </w:t>
      </w:r>
      <w:r w:rsidR="00AE7526" w:rsidRPr="00D16A05">
        <w:rPr>
          <w:rFonts w:ascii="Calibri" w:eastAsia="Calibri" w:hAnsi="Calibri" w:cs="Times New Roman"/>
          <w:b/>
          <w:sz w:val="24"/>
          <w:szCs w:val="24"/>
        </w:rPr>
        <w:t>5</w:t>
      </w:r>
      <w:r w:rsidR="00B14404">
        <w:rPr>
          <w:rFonts w:ascii="Calibri" w:eastAsia="Calibri" w:hAnsi="Calibri" w:cs="Times New Roman"/>
          <w:b/>
          <w:sz w:val="24"/>
          <w:szCs w:val="24"/>
        </w:rPr>
        <w:t>5</w:t>
      </w:r>
      <w:r w:rsidRPr="00D16A05">
        <w:rPr>
          <w:rFonts w:ascii="Calibri" w:eastAsia="Calibri" w:hAnsi="Calibri" w:cs="Times New Roman"/>
          <w:b/>
          <w:sz w:val="24"/>
          <w:szCs w:val="24"/>
        </w:rPr>
        <w:t>: Goodness-of-fit indices for the Behaviours &amp; Strategies (B&amp;S) sub-scale. Results are shown for fits without correlation of any error variances (first model) and with correlations (final model). Fit indices for the replication of the final model with the 12 months Dataset B are also shown. All results are shown to three decimal places.</w:t>
      </w:r>
    </w:p>
    <w:tbl>
      <w:tblPr>
        <w:tblStyle w:val="TableGrid"/>
        <w:tblW w:w="0" w:type="auto"/>
        <w:tblLook w:val="04A0" w:firstRow="1" w:lastRow="0" w:firstColumn="1" w:lastColumn="0" w:noHBand="0" w:noVBand="1"/>
      </w:tblPr>
      <w:tblGrid>
        <w:gridCol w:w="2562"/>
        <w:gridCol w:w="1569"/>
        <w:gridCol w:w="1578"/>
        <w:gridCol w:w="3147"/>
      </w:tblGrid>
      <w:tr w:rsidR="00403B07" w:rsidRPr="00FB138A" w14:paraId="1250A688" w14:textId="77777777" w:rsidTr="00B01272">
        <w:tc>
          <w:tcPr>
            <w:tcW w:w="2562" w:type="dxa"/>
          </w:tcPr>
          <w:p w14:paraId="2CC5C1C6" w14:textId="77777777" w:rsidR="00403B07" w:rsidRPr="00FB138A" w:rsidRDefault="00403B07" w:rsidP="00B01272">
            <w:pPr>
              <w:rPr>
                <w:rFonts w:ascii="Calibri" w:eastAsia="Calibri" w:hAnsi="Calibri" w:cs="Times New Roman"/>
              </w:rPr>
            </w:pPr>
          </w:p>
        </w:tc>
        <w:tc>
          <w:tcPr>
            <w:tcW w:w="3147" w:type="dxa"/>
            <w:gridSpan w:val="2"/>
          </w:tcPr>
          <w:p w14:paraId="39A793B5"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Baseline Dataset B</w:t>
            </w:r>
          </w:p>
        </w:tc>
        <w:tc>
          <w:tcPr>
            <w:tcW w:w="3147" w:type="dxa"/>
          </w:tcPr>
          <w:p w14:paraId="6CDA6B3B"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12 months Dataset B</w:t>
            </w:r>
          </w:p>
        </w:tc>
      </w:tr>
      <w:tr w:rsidR="00403B07" w:rsidRPr="00FB138A" w14:paraId="501C8D06" w14:textId="77777777" w:rsidTr="00B01272">
        <w:tc>
          <w:tcPr>
            <w:tcW w:w="2562" w:type="dxa"/>
          </w:tcPr>
          <w:p w14:paraId="3B1158B1" w14:textId="77777777" w:rsidR="00403B07" w:rsidRPr="00FB138A" w:rsidRDefault="00403B07" w:rsidP="00B01272">
            <w:pPr>
              <w:rPr>
                <w:rFonts w:ascii="Calibri" w:eastAsia="Calibri" w:hAnsi="Calibri" w:cs="Times New Roman"/>
              </w:rPr>
            </w:pPr>
          </w:p>
        </w:tc>
        <w:tc>
          <w:tcPr>
            <w:tcW w:w="1569" w:type="dxa"/>
          </w:tcPr>
          <w:p w14:paraId="23845B5D"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No corr. error var.</w:t>
            </w:r>
          </w:p>
        </w:tc>
        <w:tc>
          <w:tcPr>
            <w:tcW w:w="1578" w:type="dxa"/>
          </w:tcPr>
          <w:p w14:paraId="27B1C931"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Error var. corr.</w:t>
            </w:r>
          </w:p>
        </w:tc>
        <w:tc>
          <w:tcPr>
            <w:tcW w:w="3147" w:type="dxa"/>
          </w:tcPr>
          <w:p w14:paraId="6A801E70"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Error var. corr.</w:t>
            </w:r>
          </w:p>
        </w:tc>
      </w:tr>
      <w:tr w:rsidR="00403B07" w:rsidRPr="00FB138A" w14:paraId="75099642" w14:textId="77777777" w:rsidTr="00B01272">
        <w:tc>
          <w:tcPr>
            <w:tcW w:w="2562" w:type="dxa"/>
          </w:tcPr>
          <w:p w14:paraId="725AECF4"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 xml:space="preserve">Satorra-Bentler scaled </w:t>
            </w:r>
            <w:r w:rsidRPr="00FB138A">
              <w:rPr>
                <w:rFonts w:ascii="Calibri" w:eastAsia="Calibri" w:hAnsi="Calibri" w:cs="Times New Roman"/>
                <w:i/>
              </w:rPr>
              <w:t>χ</w:t>
            </w:r>
            <w:r w:rsidRPr="00FB138A">
              <w:rPr>
                <w:rFonts w:ascii="Calibri" w:eastAsia="Calibri" w:hAnsi="Calibri" w:cs="Times New Roman"/>
                <w:vertAlign w:val="superscript"/>
              </w:rPr>
              <w:t>2</w:t>
            </w:r>
            <w:r w:rsidRPr="00FB138A">
              <w:rPr>
                <w:rFonts w:ascii="Calibri" w:eastAsia="Calibri" w:hAnsi="Calibri" w:cs="Times New Roman"/>
              </w:rPr>
              <w:t>/</w:t>
            </w:r>
            <w:r w:rsidRPr="00FB138A">
              <w:rPr>
                <w:rFonts w:ascii="Calibri" w:eastAsia="Calibri" w:hAnsi="Calibri" w:cs="Times New Roman"/>
                <w:i/>
              </w:rPr>
              <w:t>df</w:t>
            </w:r>
          </w:p>
        </w:tc>
        <w:tc>
          <w:tcPr>
            <w:tcW w:w="1569" w:type="dxa"/>
          </w:tcPr>
          <w:p w14:paraId="25413B50"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5.094</w:t>
            </w:r>
          </w:p>
        </w:tc>
        <w:tc>
          <w:tcPr>
            <w:tcW w:w="1578" w:type="dxa"/>
          </w:tcPr>
          <w:p w14:paraId="528D2A7A"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3.055</w:t>
            </w:r>
          </w:p>
        </w:tc>
        <w:tc>
          <w:tcPr>
            <w:tcW w:w="3147" w:type="dxa"/>
          </w:tcPr>
          <w:p w14:paraId="0CA36FED"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4.376</w:t>
            </w:r>
          </w:p>
        </w:tc>
      </w:tr>
      <w:tr w:rsidR="00403B07" w:rsidRPr="00FB138A" w14:paraId="60C898E7" w14:textId="77777777" w:rsidTr="00B01272">
        <w:tc>
          <w:tcPr>
            <w:tcW w:w="2562" w:type="dxa"/>
          </w:tcPr>
          <w:p w14:paraId="0BD666E7"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RMSEA</w:t>
            </w:r>
          </w:p>
        </w:tc>
        <w:tc>
          <w:tcPr>
            <w:tcW w:w="1569" w:type="dxa"/>
          </w:tcPr>
          <w:p w14:paraId="3B366863"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0.079</w:t>
            </w:r>
          </w:p>
        </w:tc>
        <w:tc>
          <w:tcPr>
            <w:tcW w:w="1578" w:type="dxa"/>
          </w:tcPr>
          <w:p w14:paraId="314F67D8"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0.056</w:t>
            </w:r>
          </w:p>
        </w:tc>
        <w:tc>
          <w:tcPr>
            <w:tcW w:w="3147" w:type="dxa"/>
          </w:tcPr>
          <w:p w14:paraId="4E4FA70E"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0.072</w:t>
            </w:r>
          </w:p>
        </w:tc>
      </w:tr>
      <w:tr w:rsidR="00403B07" w:rsidRPr="00FB138A" w14:paraId="5C62B2AF" w14:textId="77777777" w:rsidTr="00B01272">
        <w:tc>
          <w:tcPr>
            <w:tcW w:w="2562" w:type="dxa"/>
          </w:tcPr>
          <w:p w14:paraId="0A9EC770"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CFI</w:t>
            </w:r>
          </w:p>
        </w:tc>
        <w:tc>
          <w:tcPr>
            <w:tcW w:w="1569" w:type="dxa"/>
          </w:tcPr>
          <w:p w14:paraId="0855CE49"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0.977</w:t>
            </w:r>
          </w:p>
        </w:tc>
        <w:tc>
          <w:tcPr>
            <w:tcW w:w="1578" w:type="dxa"/>
          </w:tcPr>
          <w:p w14:paraId="5ED77BA4"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0.990</w:t>
            </w:r>
          </w:p>
        </w:tc>
        <w:tc>
          <w:tcPr>
            <w:tcW w:w="3147" w:type="dxa"/>
          </w:tcPr>
          <w:p w14:paraId="0BAF3A78"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0.981</w:t>
            </w:r>
          </w:p>
        </w:tc>
      </w:tr>
      <w:tr w:rsidR="00403B07" w:rsidRPr="00FB138A" w14:paraId="6A1BBCA1" w14:textId="77777777" w:rsidTr="00B01272">
        <w:tc>
          <w:tcPr>
            <w:tcW w:w="2562" w:type="dxa"/>
          </w:tcPr>
          <w:p w14:paraId="516DBA0A"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SRMR</w:t>
            </w:r>
          </w:p>
        </w:tc>
        <w:tc>
          <w:tcPr>
            <w:tcW w:w="1569" w:type="dxa"/>
          </w:tcPr>
          <w:p w14:paraId="798702FF"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0.057</w:t>
            </w:r>
          </w:p>
        </w:tc>
        <w:tc>
          <w:tcPr>
            <w:tcW w:w="1578" w:type="dxa"/>
          </w:tcPr>
          <w:p w14:paraId="4B8AEA05"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0.043</w:t>
            </w:r>
          </w:p>
        </w:tc>
        <w:tc>
          <w:tcPr>
            <w:tcW w:w="3147" w:type="dxa"/>
          </w:tcPr>
          <w:p w14:paraId="2B40A58C"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0.054</w:t>
            </w:r>
          </w:p>
        </w:tc>
      </w:tr>
    </w:tbl>
    <w:p w14:paraId="45206559" w14:textId="77777777" w:rsidR="00403B07" w:rsidRPr="00FB138A" w:rsidRDefault="00403B07" w:rsidP="00403B07">
      <w:pPr>
        <w:rPr>
          <w:rFonts w:ascii="Calibri" w:eastAsia="Calibri" w:hAnsi="Calibri" w:cs="Times New Roman"/>
          <w:sz w:val="24"/>
          <w:szCs w:val="24"/>
        </w:rPr>
      </w:pPr>
    </w:p>
    <w:p w14:paraId="06DCE0A6" w14:textId="77777777" w:rsidR="00403B07" w:rsidRPr="00FB138A" w:rsidRDefault="00403B07" w:rsidP="00403B07">
      <w:pPr>
        <w:rPr>
          <w:rFonts w:ascii="Calibri" w:eastAsia="Calibri" w:hAnsi="Calibri" w:cs="Times New Roman"/>
          <w:i/>
          <w:sz w:val="24"/>
          <w:szCs w:val="24"/>
        </w:rPr>
      </w:pPr>
      <w:r w:rsidRPr="00FB138A">
        <w:rPr>
          <w:rFonts w:ascii="Calibri" w:eastAsia="Calibri" w:hAnsi="Calibri" w:cs="Times New Roman"/>
          <w:i/>
          <w:sz w:val="24"/>
          <w:szCs w:val="24"/>
        </w:rPr>
        <w:t xml:space="preserve">Results of </w:t>
      </w:r>
      <w:r>
        <w:rPr>
          <w:rFonts w:ascii="Calibri" w:eastAsia="Calibri" w:hAnsi="Calibri" w:cs="Times New Roman"/>
          <w:i/>
          <w:sz w:val="24"/>
          <w:szCs w:val="24"/>
        </w:rPr>
        <w:t>multi-group invariance test</w:t>
      </w:r>
    </w:p>
    <w:p w14:paraId="62A3078F" w14:textId="2E6BF2A1" w:rsidR="00403B07" w:rsidRPr="00FB138A" w:rsidRDefault="00403B07" w:rsidP="00403B07">
      <w:pPr>
        <w:rPr>
          <w:rFonts w:ascii="Calibri" w:eastAsia="Calibri" w:hAnsi="Calibri" w:cs="Times New Roman"/>
          <w:sz w:val="24"/>
          <w:szCs w:val="24"/>
        </w:rPr>
      </w:pPr>
      <w:r w:rsidRPr="00FB138A">
        <w:rPr>
          <w:rFonts w:ascii="Calibri" w:eastAsia="Calibri" w:hAnsi="Calibri" w:cs="Times New Roman"/>
          <w:sz w:val="24"/>
          <w:szCs w:val="24"/>
        </w:rPr>
        <w:t>The following analyses were conducted to test specifically the suitability of the factor solution obtained from Baseline Dataset B with the 12 months Dataset B. These tests were conducted separately for each sub-scale. A baseline model (Model 1) for each sub-scale tested for generalisability of the final factor solutions reported to the 12 months dataset (configural invariance). In this model, the 12 months dataset received separate factor loadings and error variances. In the next model (Model 2), the factor loadings of the 12 months dataset were fixed to the values estimated for the baseline dataset. Comparing the fit between Models 1 and 2 is thus a test of metric invariance. In other words, if Model 2 does not provide a significantly improved fit (as assessed by a chi-square difference test) compared to Model 1, the factor loadings for the two datasets can be assumed to be equal. In the next step, invariance of error variation and the error term correlations was investigated. Model 3 fixed the general error variance and the values of error term correlations of the 12 months dataset to the values for the baseline dataset. Again, if there is no significant improvement compared to the preceding model (in this case Model 2), residual invariance can be concluded. Refer to Milfont and Fischer</w:t>
      </w:r>
      <w:r>
        <w:rPr>
          <w:rFonts w:ascii="Calibri" w:eastAsia="Calibri" w:hAnsi="Calibri" w:cs="Times New Roman"/>
          <w:sz w:val="24"/>
          <w:szCs w:val="24"/>
        </w:rPr>
        <w:t>,</w:t>
      </w:r>
      <w:r w:rsidRPr="00FB138A">
        <w:rPr>
          <w:rFonts w:ascii="Calibri" w:eastAsia="Calibri" w:hAnsi="Calibri" w:cs="Times New Roman"/>
          <w:sz w:val="24"/>
          <w:szCs w:val="24"/>
        </w:rPr>
        <w:t xml:space="preserve"> 2010</w:t>
      </w:r>
      <w:r>
        <w:rPr>
          <w:rFonts w:ascii="Calibri" w:eastAsia="Calibri" w:hAnsi="Calibri" w:cs="Times New Roman"/>
          <w:sz w:val="24"/>
          <w:szCs w:val="24"/>
        </w:rPr>
        <w:t xml:space="preserve"> </w:t>
      </w:r>
      <w:r>
        <w:rPr>
          <w:rFonts w:ascii="Calibri" w:eastAsia="Calibri" w:hAnsi="Calibri" w:cs="Times New Roman"/>
          <w:sz w:val="24"/>
          <w:szCs w:val="24"/>
        </w:rPr>
        <w:fldChar w:fldCharType="begin"/>
      </w:r>
      <w:r w:rsidR="006B3301">
        <w:rPr>
          <w:rFonts w:ascii="Calibri" w:eastAsia="Calibri" w:hAnsi="Calibri" w:cs="Times New Roman"/>
          <w:sz w:val="24"/>
          <w:szCs w:val="24"/>
        </w:rPr>
        <w:instrText xml:space="preserve"> ADDIN EN.CITE &lt;EndNote&gt;&lt;Cite&gt;&lt;Author&gt;Milfont&lt;/Author&gt;&lt;Year&gt;2010&lt;/Year&gt;&lt;RecNum&gt;5816&lt;/RecNum&gt;&lt;DisplayText&gt;&lt;style face="superscript"&gt;154&lt;/style&gt;&lt;/DisplayText&gt;&lt;record&gt;&lt;rec-number&gt;5816&lt;/rec-number&gt;&lt;foreign-keys&gt;&lt;key app="EN" db-id="2ewa9rrvjsdsawep2vpx5x97eedzzvxx5rta" timestamp="1479121161"&gt;5816&lt;/key&gt;&lt;/foreign-keys&gt;&lt;ref-type name="Journal Article"&gt;17&lt;/ref-type&gt;&lt;contributors&gt;&lt;authors&gt;&lt;author&gt;Milfont, T. L., &amp;amp; Fischer, R. &lt;/author&gt;&lt;/authors&gt;&lt;/contributors&gt;&lt;titles&gt;&lt;title&gt;Testing measurement invariance across groups: Applications in cross-cultural research&lt;/title&gt;&lt;secondary-title&gt;International Journal of Psychological Research&lt;/secondary-title&gt;&lt;/titles&gt;&lt;periodical&gt;&lt;full-title&gt;International Journal of Psychological Research&lt;/full-title&gt;&lt;abbr-1&gt;Int. J. Psychol. Res&lt;/abbr-1&gt;&lt;/periodical&gt;&lt;pages&gt;111-121&lt;/pages&gt;&lt;volume&gt;3&lt;/volume&gt;&lt;dates&gt;&lt;year&gt;2010&lt;/year&gt;&lt;/dates&gt;&lt;urls&gt;&lt;/urls&gt;&lt;/record&gt;&lt;/Cite&gt;&lt;/EndNote&gt;</w:instrText>
      </w:r>
      <w:r>
        <w:rPr>
          <w:rFonts w:ascii="Calibri" w:eastAsia="Calibri" w:hAnsi="Calibri" w:cs="Times New Roman"/>
          <w:sz w:val="24"/>
          <w:szCs w:val="24"/>
        </w:rPr>
        <w:fldChar w:fldCharType="separate"/>
      </w:r>
      <w:r w:rsidR="006B3301" w:rsidRPr="006B3301">
        <w:rPr>
          <w:rFonts w:ascii="Calibri" w:eastAsia="Calibri" w:hAnsi="Calibri" w:cs="Times New Roman"/>
          <w:noProof/>
          <w:sz w:val="24"/>
          <w:szCs w:val="24"/>
          <w:vertAlign w:val="superscript"/>
        </w:rPr>
        <w:t>154</w:t>
      </w:r>
      <w:r>
        <w:rPr>
          <w:rFonts w:ascii="Calibri" w:eastAsia="Calibri" w:hAnsi="Calibri" w:cs="Times New Roman"/>
          <w:sz w:val="24"/>
          <w:szCs w:val="24"/>
        </w:rPr>
        <w:fldChar w:fldCharType="end"/>
      </w:r>
      <w:r>
        <w:rPr>
          <w:rFonts w:ascii="Calibri" w:eastAsia="Calibri" w:hAnsi="Calibri" w:cs="Times New Roman"/>
          <w:sz w:val="24"/>
          <w:szCs w:val="24"/>
        </w:rPr>
        <w:t xml:space="preserve"> </w:t>
      </w:r>
      <w:r w:rsidRPr="00FB138A">
        <w:rPr>
          <w:rFonts w:ascii="Calibri" w:eastAsia="Calibri" w:hAnsi="Calibri" w:cs="Times New Roman"/>
          <w:sz w:val="24"/>
          <w:szCs w:val="24"/>
        </w:rPr>
        <w:t>and Marsh</w:t>
      </w:r>
      <w:r>
        <w:rPr>
          <w:rFonts w:ascii="Calibri" w:eastAsia="Calibri" w:hAnsi="Calibri" w:cs="Times New Roman"/>
          <w:sz w:val="24"/>
          <w:szCs w:val="24"/>
        </w:rPr>
        <w:t xml:space="preserve">, </w:t>
      </w:r>
      <w:r w:rsidRPr="00FB138A">
        <w:rPr>
          <w:rFonts w:ascii="Calibri" w:eastAsia="Calibri" w:hAnsi="Calibri" w:cs="Times New Roman"/>
          <w:sz w:val="24"/>
          <w:szCs w:val="24"/>
        </w:rPr>
        <w:t>1994</w:t>
      </w:r>
      <w:r>
        <w:rPr>
          <w:rFonts w:ascii="Calibri" w:eastAsia="Calibri" w:hAnsi="Calibri" w:cs="Times New Roman"/>
          <w:sz w:val="24"/>
          <w:szCs w:val="24"/>
        </w:rPr>
        <w:t xml:space="preserve"> </w:t>
      </w:r>
      <w:r>
        <w:rPr>
          <w:rFonts w:ascii="Calibri" w:eastAsia="Calibri" w:hAnsi="Calibri" w:cs="Times New Roman"/>
          <w:sz w:val="24"/>
          <w:szCs w:val="24"/>
        </w:rPr>
        <w:fldChar w:fldCharType="begin"/>
      </w:r>
      <w:r w:rsidR="008C43BF">
        <w:rPr>
          <w:rFonts w:ascii="Calibri" w:eastAsia="Calibri" w:hAnsi="Calibri" w:cs="Times New Roman"/>
          <w:sz w:val="24"/>
          <w:szCs w:val="24"/>
        </w:rPr>
        <w:instrText xml:space="preserve"> ADDIN EN.CITE &lt;EndNote&gt;&lt;Cite&gt;&lt;Author&gt;Marsh&lt;/Author&gt;&lt;Year&gt;1988&lt;/Year&gt;&lt;RecNum&gt;5794&lt;/RecNum&gt;&lt;DisplayText&gt;&lt;style face="superscript"&gt;130&lt;/style&gt;&lt;/DisplayText&gt;&lt;record&gt;&lt;rec-number&gt;5794&lt;/rec-number&gt;&lt;foreign-keys&gt;&lt;key app="EN" db-id="2ewa9rrvjsdsawep2vpx5x97eedzzvxx5rta" timestamp="1478769942"&gt;5794&lt;/key&gt;&lt;/foreign-keys&gt;&lt;ref-type name="Journal Article"&gt;17&lt;/ref-type&gt;&lt;contributors&gt;&lt;authors&gt;&lt;author&gt;Marsh, H. W., Balla, J. R., &amp;amp; McDonald, R. P&lt;/author&gt;&lt;/authors&gt;&lt;/contributors&gt;&lt;titles&gt;&lt;title&gt;Goodness-of-fit indices in confirmatory factor analysis: The effect of sample size&lt;/title&gt;&lt;secondary-title&gt;Psychological Bulletin&lt;/secondary-title&gt;&lt;/titles&gt;&lt;periodical&gt;&lt;full-title&gt;Psychological Bulletin&lt;/full-title&gt;&lt;abbr-1&gt;Psychol. Bull.&lt;/abbr-1&gt;&lt;abbr-2&gt;Psychol Bull&lt;/abbr-2&gt;&lt;/periodical&gt;&lt;pages&gt;391-410&lt;/pages&gt;&lt;volume&gt;103&lt;/volume&gt;&lt;dates&gt;&lt;year&gt;1988&lt;/year&gt;&lt;/dates&gt;&lt;urls&gt;&lt;/urls&gt;&lt;electronic-resource-num&gt;10.1037/0033-2909.103.3.391&lt;/electronic-resource-num&gt;&lt;/record&gt;&lt;/Cite&gt;&lt;/EndNote&gt;</w:instrText>
      </w:r>
      <w:r>
        <w:rPr>
          <w:rFonts w:ascii="Calibri" w:eastAsia="Calibri" w:hAnsi="Calibri" w:cs="Times New Roman"/>
          <w:sz w:val="24"/>
          <w:szCs w:val="24"/>
        </w:rPr>
        <w:fldChar w:fldCharType="separate"/>
      </w:r>
      <w:r w:rsidR="008C43BF" w:rsidRPr="008C43BF">
        <w:rPr>
          <w:rFonts w:ascii="Calibri" w:eastAsia="Calibri" w:hAnsi="Calibri" w:cs="Times New Roman"/>
          <w:noProof/>
          <w:sz w:val="24"/>
          <w:szCs w:val="24"/>
          <w:vertAlign w:val="superscript"/>
        </w:rPr>
        <w:t>130</w:t>
      </w:r>
      <w:r>
        <w:rPr>
          <w:rFonts w:ascii="Calibri" w:eastAsia="Calibri" w:hAnsi="Calibri" w:cs="Times New Roman"/>
          <w:sz w:val="24"/>
          <w:szCs w:val="24"/>
        </w:rPr>
        <w:fldChar w:fldCharType="end"/>
      </w:r>
      <w:r w:rsidRPr="00FB138A">
        <w:rPr>
          <w:rFonts w:ascii="Calibri" w:eastAsia="Calibri" w:hAnsi="Calibri" w:cs="Times New Roman"/>
          <w:sz w:val="24"/>
          <w:szCs w:val="24"/>
        </w:rPr>
        <w:t xml:space="preserve"> for information about measurement invariance testing.</w:t>
      </w:r>
    </w:p>
    <w:p w14:paraId="2365EF30" w14:textId="77777777" w:rsidR="00403B07" w:rsidRPr="00FB138A" w:rsidRDefault="00403B07" w:rsidP="00403B07">
      <w:pPr>
        <w:rPr>
          <w:rFonts w:ascii="Calibri" w:eastAsia="Calibri" w:hAnsi="Calibri" w:cs="Times New Roman"/>
          <w:i/>
          <w:sz w:val="24"/>
          <w:szCs w:val="24"/>
        </w:rPr>
      </w:pPr>
      <w:r w:rsidRPr="00FB138A">
        <w:rPr>
          <w:rFonts w:ascii="Calibri" w:eastAsia="Calibri" w:hAnsi="Calibri" w:cs="Times New Roman"/>
          <w:i/>
          <w:sz w:val="24"/>
          <w:szCs w:val="24"/>
        </w:rPr>
        <w:t>Results of invariance tests:</w:t>
      </w:r>
    </w:p>
    <w:p w14:paraId="1895D00B" w14:textId="77777777" w:rsidR="00403B07" w:rsidRPr="00FB138A" w:rsidRDefault="00403B07" w:rsidP="00403B07">
      <w:pPr>
        <w:rPr>
          <w:rFonts w:ascii="Calibri" w:eastAsia="Calibri" w:hAnsi="Calibri" w:cs="Times New Roman"/>
          <w:i/>
          <w:sz w:val="24"/>
          <w:szCs w:val="24"/>
        </w:rPr>
      </w:pPr>
      <w:r>
        <w:rPr>
          <w:rFonts w:ascii="Calibri" w:eastAsia="Calibri" w:hAnsi="Calibri" w:cs="Times New Roman"/>
          <w:i/>
          <w:sz w:val="24"/>
          <w:szCs w:val="24"/>
        </w:rPr>
        <w:t xml:space="preserve">Confidence &amp; </w:t>
      </w:r>
      <w:r w:rsidRPr="00FB138A">
        <w:rPr>
          <w:rFonts w:ascii="Calibri" w:eastAsia="Calibri" w:hAnsi="Calibri" w:cs="Times New Roman"/>
          <w:i/>
          <w:sz w:val="24"/>
          <w:szCs w:val="24"/>
        </w:rPr>
        <w:t>Motivation</w:t>
      </w:r>
      <w:r>
        <w:rPr>
          <w:rFonts w:ascii="Calibri" w:eastAsia="Calibri" w:hAnsi="Calibri" w:cs="Times New Roman"/>
          <w:i/>
          <w:sz w:val="24"/>
          <w:szCs w:val="24"/>
        </w:rPr>
        <w:t>: (C&amp;M) (</w:t>
      </w:r>
      <w:r w:rsidRPr="00FB138A">
        <w:rPr>
          <w:rFonts w:ascii="Calibri" w:eastAsia="Calibri" w:hAnsi="Calibri" w:cs="Times New Roman"/>
          <w:i/>
          <w:sz w:val="24"/>
          <w:szCs w:val="24"/>
        </w:rPr>
        <w:t>Items 6-14):</w:t>
      </w:r>
    </w:p>
    <w:p w14:paraId="465AF409" w14:textId="5F95E4AE" w:rsidR="00403B07" w:rsidRDefault="00403B07" w:rsidP="00403B07">
      <w:pPr>
        <w:rPr>
          <w:rFonts w:ascii="Calibri" w:eastAsia="Calibri" w:hAnsi="Calibri" w:cs="Times New Roman"/>
          <w:sz w:val="24"/>
          <w:szCs w:val="24"/>
        </w:rPr>
      </w:pPr>
      <w:r w:rsidRPr="00FB138A">
        <w:rPr>
          <w:rFonts w:ascii="Calibri" w:eastAsia="Calibri" w:hAnsi="Calibri" w:cs="Times New Roman"/>
          <w:sz w:val="24"/>
          <w:szCs w:val="24"/>
        </w:rPr>
        <w:t xml:space="preserve">The metric invariance test for the </w:t>
      </w:r>
      <w:r>
        <w:rPr>
          <w:rFonts w:ascii="Calibri" w:eastAsia="Calibri" w:hAnsi="Calibri" w:cs="Times New Roman"/>
          <w:sz w:val="24"/>
          <w:szCs w:val="24"/>
        </w:rPr>
        <w:t xml:space="preserve">Confidence &amp; </w:t>
      </w:r>
      <w:r w:rsidRPr="00FB138A">
        <w:rPr>
          <w:rFonts w:ascii="Calibri" w:eastAsia="Calibri" w:hAnsi="Calibri" w:cs="Times New Roman"/>
          <w:sz w:val="24"/>
          <w:szCs w:val="24"/>
        </w:rPr>
        <w:t>Motivation</w:t>
      </w:r>
      <w:r>
        <w:rPr>
          <w:rFonts w:ascii="Calibri" w:eastAsia="Calibri" w:hAnsi="Calibri" w:cs="Times New Roman"/>
          <w:sz w:val="24"/>
          <w:szCs w:val="24"/>
        </w:rPr>
        <w:t xml:space="preserve"> </w:t>
      </w:r>
      <w:r w:rsidRPr="00FB138A">
        <w:rPr>
          <w:rFonts w:ascii="Calibri" w:eastAsia="Calibri" w:hAnsi="Calibri" w:cs="Times New Roman"/>
          <w:sz w:val="24"/>
          <w:szCs w:val="24"/>
        </w:rPr>
        <w:t xml:space="preserve">sub-scale failed to demonstrate full metric invariance as the comparison of Model 2 with Model 1 was significant (Table </w:t>
      </w:r>
      <w:r w:rsidR="003934F8">
        <w:rPr>
          <w:rFonts w:ascii="Calibri" w:eastAsia="Calibri" w:hAnsi="Calibri" w:cs="Times New Roman"/>
          <w:sz w:val="24"/>
          <w:szCs w:val="24"/>
        </w:rPr>
        <w:t>5</w:t>
      </w:r>
      <w:r w:rsidR="00B14404">
        <w:rPr>
          <w:rFonts w:ascii="Calibri" w:eastAsia="Calibri" w:hAnsi="Calibri" w:cs="Times New Roman"/>
          <w:sz w:val="24"/>
          <w:szCs w:val="24"/>
        </w:rPr>
        <w:t>6</w:t>
      </w:r>
      <w:r w:rsidRPr="00FB138A">
        <w:rPr>
          <w:rFonts w:ascii="Calibri" w:eastAsia="Calibri" w:hAnsi="Calibri" w:cs="Times New Roman"/>
          <w:sz w:val="24"/>
          <w:szCs w:val="24"/>
        </w:rPr>
        <w:t>). Inspection of the results of the CFA with the two datasets separately revealed a clear difference in the factor loading for Item 10. For the Baseline Dataset B, the factor loading of Item 10 was 0.76, and for the 12 months Dataset B it was 0.63. As a result, partial invariance was testing whereby only the factor loading of Item 10 was allowed to vary between samples</w:t>
      </w:r>
      <w:r>
        <w:rPr>
          <w:rFonts w:ascii="Calibri" w:eastAsia="Calibri" w:hAnsi="Calibri" w:cs="Times New Roman"/>
          <w:sz w:val="24"/>
          <w:szCs w:val="24"/>
        </w:rPr>
        <w:t xml:space="preserve"> (Model 2a)</w:t>
      </w:r>
      <w:r w:rsidRPr="00FB138A">
        <w:rPr>
          <w:rFonts w:ascii="Calibri" w:eastAsia="Calibri" w:hAnsi="Calibri" w:cs="Times New Roman"/>
          <w:sz w:val="24"/>
          <w:szCs w:val="24"/>
        </w:rPr>
        <w:t xml:space="preserve">. The fit of Model 2a was not a significant improvement in comparison to </w:t>
      </w:r>
      <w:r w:rsidRPr="00FB138A">
        <w:rPr>
          <w:rFonts w:ascii="Calibri" w:eastAsia="Calibri" w:hAnsi="Calibri" w:cs="Times New Roman"/>
          <w:sz w:val="24"/>
          <w:szCs w:val="24"/>
        </w:rPr>
        <w:lastRenderedPageBreak/>
        <w:t>Model 1, confirming partial metric invariance. Lastly, residual invariance was confirmed through Model 3.</w:t>
      </w:r>
    </w:p>
    <w:p w14:paraId="2A50E665" w14:textId="77777777" w:rsidR="00403B07" w:rsidRDefault="00403B07" w:rsidP="00403B07">
      <w:pPr>
        <w:rPr>
          <w:rFonts w:ascii="Calibri" w:eastAsia="Calibri" w:hAnsi="Calibri" w:cs="Times New Roman"/>
          <w:i/>
          <w:sz w:val="24"/>
          <w:szCs w:val="24"/>
        </w:rPr>
      </w:pPr>
    </w:p>
    <w:p w14:paraId="7CA38475" w14:textId="1472CBD8" w:rsidR="00403B07" w:rsidRPr="00D16A05" w:rsidRDefault="00403B07" w:rsidP="00403B07">
      <w:pPr>
        <w:rPr>
          <w:rFonts w:ascii="Calibri" w:eastAsia="Calibri" w:hAnsi="Calibri" w:cs="Times New Roman"/>
          <w:b/>
          <w:sz w:val="24"/>
          <w:szCs w:val="24"/>
        </w:rPr>
      </w:pPr>
      <w:r w:rsidRPr="00D16A05">
        <w:rPr>
          <w:rFonts w:ascii="Calibri" w:eastAsia="Calibri" w:hAnsi="Calibri" w:cs="Times New Roman"/>
          <w:b/>
          <w:sz w:val="24"/>
          <w:szCs w:val="24"/>
        </w:rPr>
        <w:t xml:space="preserve">TABLE </w:t>
      </w:r>
      <w:r w:rsidR="003934F8" w:rsidRPr="00D16A05">
        <w:rPr>
          <w:rFonts w:ascii="Calibri" w:eastAsia="Calibri" w:hAnsi="Calibri" w:cs="Times New Roman"/>
          <w:b/>
          <w:sz w:val="24"/>
          <w:szCs w:val="24"/>
        </w:rPr>
        <w:t>5</w:t>
      </w:r>
      <w:r w:rsidR="00B14404">
        <w:rPr>
          <w:rFonts w:ascii="Calibri" w:eastAsia="Calibri" w:hAnsi="Calibri" w:cs="Times New Roman"/>
          <w:b/>
          <w:sz w:val="24"/>
          <w:szCs w:val="24"/>
        </w:rPr>
        <w:t>6</w:t>
      </w:r>
      <w:r w:rsidRPr="00D16A05">
        <w:rPr>
          <w:rFonts w:ascii="Calibri" w:eastAsia="Calibri" w:hAnsi="Calibri" w:cs="Times New Roman"/>
          <w:b/>
          <w:sz w:val="24"/>
          <w:szCs w:val="24"/>
        </w:rPr>
        <w:t xml:space="preserve"> Summary of the results from the measurement invariance test of the Confidence &amp; Motivation sub-scale. </w:t>
      </w:r>
    </w:p>
    <w:tbl>
      <w:tblPr>
        <w:tblStyle w:val="TableGrid"/>
        <w:tblW w:w="0" w:type="auto"/>
        <w:tblLook w:val="04A0" w:firstRow="1" w:lastRow="0" w:firstColumn="1" w:lastColumn="0" w:noHBand="0" w:noVBand="1"/>
      </w:tblPr>
      <w:tblGrid>
        <w:gridCol w:w="2235"/>
        <w:gridCol w:w="1701"/>
        <w:gridCol w:w="1500"/>
        <w:gridCol w:w="1710"/>
        <w:gridCol w:w="1710"/>
      </w:tblGrid>
      <w:tr w:rsidR="00403B07" w:rsidRPr="00FB138A" w14:paraId="26121A63" w14:textId="77777777" w:rsidTr="00B01272">
        <w:tc>
          <w:tcPr>
            <w:tcW w:w="2235" w:type="dxa"/>
          </w:tcPr>
          <w:p w14:paraId="281D7F8E"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 xml:space="preserve">Model </w:t>
            </w:r>
          </w:p>
        </w:tc>
        <w:tc>
          <w:tcPr>
            <w:tcW w:w="1701" w:type="dxa"/>
          </w:tcPr>
          <w:p w14:paraId="0EB33897" w14:textId="77777777" w:rsidR="00403B07" w:rsidRPr="00FB138A" w:rsidRDefault="00403B07" w:rsidP="00B01272">
            <w:pPr>
              <w:rPr>
                <w:rFonts w:ascii="Calibri" w:eastAsia="Calibri" w:hAnsi="Calibri" w:cs="Times New Roman"/>
              </w:rPr>
            </w:pPr>
            <w:r w:rsidRPr="00FB138A">
              <w:rPr>
                <w:rFonts w:ascii="Calibri" w:eastAsia="Calibri" w:hAnsi="Calibri" w:cs="Times New Roman"/>
                <w:i/>
              </w:rPr>
              <w:t>χ</w:t>
            </w:r>
            <w:r w:rsidRPr="00FB138A">
              <w:rPr>
                <w:rFonts w:ascii="Calibri" w:eastAsia="Calibri" w:hAnsi="Calibri" w:cs="Times New Roman"/>
                <w:vertAlign w:val="superscript"/>
              </w:rPr>
              <w:t>2</w:t>
            </w:r>
            <w:r w:rsidRPr="00FB138A">
              <w:rPr>
                <w:rFonts w:ascii="Calibri" w:eastAsia="Calibri" w:hAnsi="Calibri" w:cs="Times New Roman"/>
              </w:rPr>
              <w:t>(df)</w:t>
            </w:r>
          </w:p>
        </w:tc>
        <w:tc>
          <w:tcPr>
            <w:tcW w:w="1500" w:type="dxa"/>
          </w:tcPr>
          <w:p w14:paraId="0C8EAFB5" w14:textId="77777777" w:rsidR="00403B07" w:rsidRPr="00FB138A" w:rsidRDefault="00403B07" w:rsidP="00B01272">
            <w:pPr>
              <w:rPr>
                <w:rFonts w:ascii="Calibri" w:eastAsia="Calibri" w:hAnsi="Calibri" w:cs="Times New Roman"/>
              </w:rPr>
            </w:pPr>
            <w:r w:rsidRPr="00FB138A">
              <w:rPr>
                <w:rFonts w:ascii="Calibri" w:eastAsia="Calibri" w:hAnsi="Calibri" w:cs="Times New Roman"/>
                <w:lang w:val="en-NZ"/>
              </w:rPr>
              <w:t>Model comparison</w:t>
            </w:r>
          </w:p>
        </w:tc>
        <w:tc>
          <w:tcPr>
            <w:tcW w:w="1710" w:type="dxa"/>
          </w:tcPr>
          <w:p w14:paraId="58F764BB" w14:textId="77777777" w:rsidR="00403B07" w:rsidRPr="00FB138A" w:rsidRDefault="00403B07" w:rsidP="00B01272">
            <w:pPr>
              <w:rPr>
                <w:rFonts w:ascii="Calibri" w:eastAsia="Calibri" w:hAnsi="Calibri" w:cs="Times New Roman"/>
              </w:rPr>
            </w:pPr>
            <w:r w:rsidRPr="00FB138A">
              <w:rPr>
                <w:rFonts w:ascii="Calibri" w:eastAsia="Calibri" w:hAnsi="Calibri" w:cs="Times New Roman"/>
                <w:lang w:val="en-NZ"/>
              </w:rPr>
              <w:t>Δ</w:t>
            </w:r>
            <w:r w:rsidRPr="00FB138A">
              <w:rPr>
                <w:rFonts w:ascii="Calibri" w:eastAsia="Calibri" w:hAnsi="Calibri" w:cs="Times New Roman"/>
                <w:i/>
              </w:rPr>
              <w:t>χ</w:t>
            </w:r>
            <w:r w:rsidRPr="00FB138A">
              <w:rPr>
                <w:rFonts w:ascii="Calibri" w:eastAsia="Calibri" w:hAnsi="Calibri" w:cs="Times New Roman"/>
                <w:vertAlign w:val="superscript"/>
              </w:rPr>
              <w:t>2</w:t>
            </w:r>
            <w:r w:rsidRPr="00FB138A">
              <w:rPr>
                <w:rFonts w:ascii="Calibri" w:eastAsia="Calibri" w:hAnsi="Calibri" w:cs="Times New Roman"/>
              </w:rPr>
              <w:t>(</w:t>
            </w:r>
            <w:r w:rsidRPr="00FB138A">
              <w:rPr>
                <w:rFonts w:ascii="Calibri" w:eastAsia="Calibri" w:hAnsi="Calibri" w:cs="Times New Roman"/>
                <w:lang w:val="en-NZ"/>
              </w:rPr>
              <w:t>Δ</w:t>
            </w:r>
            <w:r w:rsidRPr="00FB138A">
              <w:rPr>
                <w:rFonts w:ascii="Calibri" w:eastAsia="Calibri" w:hAnsi="Calibri" w:cs="Times New Roman"/>
              </w:rPr>
              <w:t>df)</w:t>
            </w:r>
          </w:p>
        </w:tc>
        <w:tc>
          <w:tcPr>
            <w:tcW w:w="1710" w:type="dxa"/>
          </w:tcPr>
          <w:p w14:paraId="25E039B2" w14:textId="77777777" w:rsidR="00403B07" w:rsidRPr="00FB138A" w:rsidRDefault="00403B07" w:rsidP="00B01272">
            <w:pPr>
              <w:rPr>
                <w:rFonts w:ascii="Calibri" w:eastAsia="Calibri" w:hAnsi="Calibri" w:cs="Times New Roman"/>
              </w:rPr>
            </w:pPr>
            <w:r w:rsidRPr="00FB138A">
              <w:rPr>
                <w:rFonts w:ascii="Calibri" w:eastAsia="Calibri" w:hAnsi="Calibri" w:cs="Times New Roman"/>
                <w:i/>
              </w:rPr>
              <w:t>p</w:t>
            </w:r>
            <w:r w:rsidRPr="00FB138A">
              <w:rPr>
                <w:rFonts w:ascii="Calibri" w:eastAsia="Calibri" w:hAnsi="Calibri" w:cs="Times New Roman"/>
              </w:rPr>
              <w:t>-value</w:t>
            </w:r>
          </w:p>
        </w:tc>
      </w:tr>
      <w:tr w:rsidR="00403B07" w:rsidRPr="00FB138A" w14:paraId="6824E392" w14:textId="77777777" w:rsidTr="00B01272">
        <w:tc>
          <w:tcPr>
            <w:tcW w:w="2235" w:type="dxa"/>
          </w:tcPr>
          <w:p w14:paraId="1F8B0EB3"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1 (configural invar.)</w:t>
            </w:r>
          </w:p>
        </w:tc>
        <w:tc>
          <w:tcPr>
            <w:tcW w:w="1701" w:type="dxa"/>
          </w:tcPr>
          <w:p w14:paraId="34BFAE7D"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132.280 (46)</w:t>
            </w:r>
          </w:p>
        </w:tc>
        <w:tc>
          <w:tcPr>
            <w:tcW w:w="1500" w:type="dxa"/>
          </w:tcPr>
          <w:p w14:paraId="3895B37F"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w:t>
            </w:r>
          </w:p>
        </w:tc>
        <w:tc>
          <w:tcPr>
            <w:tcW w:w="1710" w:type="dxa"/>
          </w:tcPr>
          <w:p w14:paraId="6213F0EB" w14:textId="77777777" w:rsidR="00403B07" w:rsidRPr="00FB138A" w:rsidRDefault="00403B07" w:rsidP="00B01272">
            <w:pPr>
              <w:rPr>
                <w:rFonts w:ascii="Calibri" w:eastAsia="Calibri" w:hAnsi="Calibri" w:cs="Times New Roman"/>
              </w:rPr>
            </w:pPr>
          </w:p>
        </w:tc>
        <w:tc>
          <w:tcPr>
            <w:tcW w:w="1710" w:type="dxa"/>
          </w:tcPr>
          <w:p w14:paraId="320E42C9" w14:textId="77777777" w:rsidR="00403B07" w:rsidRPr="00FB138A" w:rsidRDefault="00403B07" w:rsidP="00B01272">
            <w:pPr>
              <w:rPr>
                <w:rFonts w:ascii="Calibri" w:eastAsia="Calibri" w:hAnsi="Calibri" w:cs="Times New Roman"/>
              </w:rPr>
            </w:pPr>
          </w:p>
        </w:tc>
      </w:tr>
      <w:tr w:rsidR="00403B07" w:rsidRPr="00FB138A" w14:paraId="46AB8F71" w14:textId="77777777" w:rsidTr="00B01272">
        <w:tc>
          <w:tcPr>
            <w:tcW w:w="2235" w:type="dxa"/>
          </w:tcPr>
          <w:p w14:paraId="6A3B4DF9"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2 (metric invar.)</w:t>
            </w:r>
          </w:p>
        </w:tc>
        <w:tc>
          <w:tcPr>
            <w:tcW w:w="1701" w:type="dxa"/>
          </w:tcPr>
          <w:p w14:paraId="002B45EB"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151.421 (55)</w:t>
            </w:r>
          </w:p>
        </w:tc>
        <w:tc>
          <w:tcPr>
            <w:tcW w:w="1500" w:type="dxa"/>
          </w:tcPr>
          <w:p w14:paraId="1725F089"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1</w:t>
            </w:r>
          </w:p>
        </w:tc>
        <w:tc>
          <w:tcPr>
            <w:tcW w:w="1710" w:type="dxa"/>
          </w:tcPr>
          <w:p w14:paraId="25897909"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19.141 (9)</w:t>
            </w:r>
          </w:p>
        </w:tc>
        <w:tc>
          <w:tcPr>
            <w:tcW w:w="1710" w:type="dxa"/>
          </w:tcPr>
          <w:p w14:paraId="25F51822"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0.024*</w:t>
            </w:r>
          </w:p>
        </w:tc>
      </w:tr>
      <w:tr w:rsidR="00403B07" w:rsidRPr="00FB138A" w14:paraId="60637FE3" w14:textId="77777777" w:rsidTr="00B01272">
        <w:tc>
          <w:tcPr>
            <w:tcW w:w="2235" w:type="dxa"/>
          </w:tcPr>
          <w:p w14:paraId="3EAAB9A4"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2a (partial metric invar.)</w:t>
            </w:r>
          </w:p>
        </w:tc>
        <w:tc>
          <w:tcPr>
            <w:tcW w:w="1701" w:type="dxa"/>
          </w:tcPr>
          <w:p w14:paraId="36A0AF61"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147.492 (54)</w:t>
            </w:r>
          </w:p>
        </w:tc>
        <w:tc>
          <w:tcPr>
            <w:tcW w:w="1500" w:type="dxa"/>
          </w:tcPr>
          <w:p w14:paraId="4D74FE2B"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1</w:t>
            </w:r>
          </w:p>
        </w:tc>
        <w:tc>
          <w:tcPr>
            <w:tcW w:w="1710" w:type="dxa"/>
          </w:tcPr>
          <w:p w14:paraId="1C47A0F9"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15.212 (8)</w:t>
            </w:r>
          </w:p>
        </w:tc>
        <w:tc>
          <w:tcPr>
            <w:tcW w:w="1710" w:type="dxa"/>
          </w:tcPr>
          <w:p w14:paraId="02F732C6"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0.055</w:t>
            </w:r>
          </w:p>
        </w:tc>
      </w:tr>
      <w:tr w:rsidR="00403B07" w:rsidRPr="00FB138A" w14:paraId="1BD1C604" w14:textId="77777777" w:rsidTr="00B01272">
        <w:tc>
          <w:tcPr>
            <w:tcW w:w="2235" w:type="dxa"/>
          </w:tcPr>
          <w:p w14:paraId="642E1CE1"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3 (residual invar.)</w:t>
            </w:r>
          </w:p>
        </w:tc>
        <w:tc>
          <w:tcPr>
            <w:tcW w:w="1701" w:type="dxa"/>
          </w:tcPr>
          <w:p w14:paraId="5816C66B"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153.544 (63)</w:t>
            </w:r>
          </w:p>
        </w:tc>
        <w:tc>
          <w:tcPr>
            <w:tcW w:w="1500" w:type="dxa"/>
          </w:tcPr>
          <w:p w14:paraId="7CC6D92C"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2a</w:t>
            </w:r>
          </w:p>
        </w:tc>
        <w:tc>
          <w:tcPr>
            <w:tcW w:w="1710" w:type="dxa"/>
          </w:tcPr>
          <w:p w14:paraId="7386792C"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6.052 (9)</w:t>
            </w:r>
          </w:p>
        </w:tc>
        <w:tc>
          <w:tcPr>
            <w:tcW w:w="1710" w:type="dxa"/>
          </w:tcPr>
          <w:p w14:paraId="08E3877F"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0.735</w:t>
            </w:r>
          </w:p>
        </w:tc>
      </w:tr>
    </w:tbl>
    <w:p w14:paraId="59A647BE" w14:textId="77777777" w:rsidR="00403B07" w:rsidRPr="00FB138A" w:rsidRDefault="00403B07" w:rsidP="00403B07">
      <w:pPr>
        <w:rPr>
          <w:rFonts w:ascii="Calibri" w:eastAsia="Calibri" w:hAnsi="Calibri" w:cs="Times New Roman"/>
          <w:sz w:val="24"/>
          <w:szCs w:val="24"/>
        </w:rPr>
      </w:pPr>
      <w:r w:rsidRPr="00FB138A">
        <w:rPr>
          <w:rFonts w:ascii="Calibri" w:eastAsia="Calibri" w:hAnsi="Calibri" w:cs="Times New Roman"/>
          <w:sz w:val="24"/>
          <w:szCs w:val="24"/>
        </w:rPr>
        <w:t>*</w:t>
      </w:r>
      <w:r w:rsidRPr="00FB138A">
        <w:rPr>
          <w:rFonts w:ascii="Calibri" w:eastAsia="Calibri" w:hAnsi="Calibri" w:cs="Times New Roman"/>
          <w:i/>
          <w:sz w:val="24"/>
          <w:szCs w:val="24"/>
        </w:rPr>
        <w:t>p</w:t>
      </w:r>
      <w:r w:rsidRPr="00FB138A">
        <w:rPr>
          <w:rFonts w:ascii="Calibri" w:eastAsia="Calibri" w:hAnsi="Calibri" w:cs="Times New Roman"/>
          <w:sz w:val="24"/>
          <w:szCs w:val="24"/>
        </w:rPr>
        <w:t>&lt;0.05, **</w:t>
      </w:r>
      <w:r w:rsidRPr="00FB138A">
        <w:rPr>
          <w:rFonts w:ascii="Calibri" w:eastAsia="Calibri" w:hAnsi="Calibri" w:cs="Times New Roman"/>
          <w:i/>
          <w:sz w:val="24"/>
          <w:szCs w:val="24"/>
        </w:rPr>
        <w:t>p</w:t>
      </w:r>
      <w:r w:rsidRPr="00FB138A">
        <w:rPr>
          <w:rFonts w:ascii="Calibri" w:eastAsia="Calibri" w:hAnsi="Calibri" w:cs="Times New Roman"/>
          <w:sz w:val="24"/>
          <w:szCs w:val="24"/>
        </w:rPr>
        <w:t>&lt;0.01</w:t>
      </w:r>
    </w:p>
    <w:p w14:paraId="5B1B1804" w14:textId="77777777" w:rsidR="00403B07" w:rsidRPr="00FB138A" w:rsidRDefault="00403B07" w:rsidP="00403B07">
      <w:pPr>
        <w:rPr>
          <w:rFonts w:ascii="Calibri" w:eastAsia="Calibri" w:hAnsi="Calibri" w:cs="Times New Roman"/>
          <w:i/>
          <w:sz w:val="24"/>
          <w:szCs w:val="24"/>
        </w:rPr>
      </w:pPr>
      <w:r>
        <w:rPr>
          <w:rFonts w:ascii="Calibri" w:eastAsia="Calibri" w:hAnsi="Calibri" w:cs="Times New Roman"/>
          <w:i/>
          <w:sz w:val="24"/>
          <w:szCs w:val="24"/>
        </w:rPr>
        <w:t>P</w:t>
      </w:r>
      <w:r w:rsidRPr="00FB138A">
        <w:rPr>
          <w:rFonts w:ascii="Calibri" w:eastAsia="Calibri" w:hAnsi="Calibri" w:cs="Times New Roman"/>
          <w:i/>
          <w:sz w:val="24"/>
          <w:szCs w:val="24"/>
        </w:rPr>
        <w:t xml:space="preserve">eer </w:t>
      </w:r>
      <w:r>
        <w:rPr>
          <w:rFonts w:ascii="Calibri" w:eastAsia="Calibri" w:hAnsi="Calibri" w:cs="Times New Roman"/>
          <w:i/>
          <w:sz w:val="24"/>
          <w:szCs w:val="24"/>
        </w:rPr>
        <w:t>N</w:t>
      </w:r>
      <w:r w:rsidRPr="00FB138A">
        <w:rPr>
          <w:rFonts w:ascii="Calibri" w:eastAsia="Calibri" w:hAnsi="Calibri" w:cs="Times New Roman"/>
          <w:i/>
          <w:sz w:val="24"/>
          <w:szCs w:val="24"/>
        </w:rPr>
        <w:t>orms</w:t>
      </w:r>
      <w:r>
        <w:rPr>
          <w:rFonts w:ascii="Calibri" w:eastAsia="Calibri" w:hAnsi="Calibri" w:cs="Times New Roman"/>
          <w:i/>
          <w:sz w:val="24"/>
          <w:szCs w:val="24"/>
        </w:rPr>
        <w:t xml:space="preserve"> (PN) (</w:t>
      </w:r>
      <w:r w:rsidRPr="00FB138A">
        <w:rPr>
          <w:rFonts w:ascii="Calibri" w:eastAsia="Calibri" w:hAnsi="Calibri" w:cs="Times New Roman"/>
          <w:i/>
          <w:sz w:val="24"/>
          <w:szCs w:val="24"/>
        </w:rPr>
        <w:t>Items 15-22):</w:t>
      </w:r>
    </w:p>
    <w:p w14:paraId="3975430C" w14:textId="6DC34955" w:rsidR="00403B07" w:rsidRPr="00FB138A" w:rsidRDefault="00403B07" w:rsidP="00403B07">
      <w:pPr>
        <w:rPr>
          <w:rFonts w:ascii="Calibri" w:eastAsia="Calibri" w:hAnsi="Calibri" w:cs="Times New Roman"/>
          <w:sz w:val="24"/>
          <w:szCs w:val="24"/>
        </w:rPr>
      </w:pPr>
      <w:r w:rsidRPr="00FB138A">
        <w:rPr>
          <w:rFonts w:ascii="Calibri" w:eastAsia="Calibri" w:hAnsi="Calibri" w:cs="Times New Roman"/>
          <w:sz w:val="24"/>
          <w:szCs w:val="24"/>
        </w:rPr>
        <w:t xml:space="preserve">The metric invariance test for the </w:t>
      </w:r>
      <w:r w:rsidRPr="001B3FAC">
        <w:rPr>
          <w:rFonts w:ascii="Calibri" w:eastAsia="Calibri" w:hAnsi="Calibri" w:cs="Times New Roman"/>
          <w:b/>
          <w:sz w:val="24"/>
          <w:szCs w:val="24"/>
        </w:rPr>
        <w:t>Peer Norms</w:t>
      </w:r>
      <w:r>
        <w:rPr>
          <w:rFonts w:ascii="Calibri" w:eastAsia="Calibri" w:hAnsi="Calibri" w:cs="Times New Roman"/>
          <w:sz w:val="24"/>
          <w:szCs w:val="24"/>
        </w:rPr>
        <w:t xml:space="preserve"> </w:t>
      </w:r>
      <w:r w:rsidRPr="00FB138A">
        <w:rPr>
          <w:rFonts w:ascii="Calibri" w:eastAsia="Calibri" w:hAnsi="Calibri" w:cs="Times New Roman"/>
          <w:sz w:val="24"/>
          <w:szCs w:val="24"/>
        </w:rPr>
        <w:t>sub-scale also failed to demonstrate full metric invariance since Model 2 provided a significant improvement in comparison to Model 1 (Table</w:t>
      </w:r>
      <w:r w:rsidR="003934F8">
        <w:rPr>
          <w:rFonts w:ascii="Calibri" w:eastAsia="Calibri" w:hAnsi="Calibri" w:cs="Times New Roman"/>
          <w:sz w:val="24"/>
          <w:szCs w:val="24"/>
        </w:rPr>
        <w:t xml:space="preserve"> 5</w:t>
      </w:r>
      <w:r w:rsidR="00B14404">
        <w:rPr>
          <w:rFonts w:ascii="Calibri" w:eastAsia="Calibri" w:hAnsi="Calibri" w:cs="Times New Roman"/>
          <w:sz w:val="24"/>
          <w:szCs w:val="24"/>
        </w:rPr>
        <w:t>7</w:t>
      </w:r>
      <w:r w:rsidRPr="00FB138A">
        <w:rPr>
          <w:rFonts w:ascii="Calibri" w:eastAsia="Calibri" w:hAnsi="Calibri" w:cs="Times New Roman"/>
          <w:sz w:val="24"/>
          <w:szCs w:val="24"/>
        </w:rPr>
        <w:t>). Inspection of the results of the CFA with the two datasets separately revealed a clear difference in the factor loading for Item 15. For the Baseline Dataset B, the factor loading of Item 15 was 0.34, and for the 12 months Dataset B it was 0.10. As a result, partial invariance was testing whereby only the factor loading of Item 15 was allowed to vary between samples</w:t>
      </w:r>
      <w:r>
        <w:rPr>
          <w:rFonts w:ascii="Calibri" w:eastAsia="Calibri" w:hAnsi="Calibri" w:cs="Times New Roman"/>
          <w:sz w:val="24"/>
          <w:szCs w:val="24"/>
        </w:rPr>
        <w:t xml:space="preserve"> (Model 2a)</w:t>
      </w:r>
      <w:r w:rsidRPr="00FB138A">
        <w:rPr>
          <w:rFonts w:ascii="Calibri" w:eastAsia="Calibri" w:hAnsi="Calibri" w:cs="Times New Roman"/>
          <w:sz w:val="24"/>
          <w:szCs w:val="24"/>
        </w:rPr>
        <w:t xml:space="preserve">. The fit of Model 2a </w:t>
      </w:r>
      <w:r>
        <w:rPr>
          <w:rFonts w:ascii="Calibri" w:eastAsia="Calibri" w:hAnsi="Calibri" w:cs="Times New Roman"/>
          <w:sz w:val="24"/>
          <w:szCs w:val="24"/>
        </w:rPr>
        <w:t xml:space="preserve">did not provide </w:t>
      </w:r>
      <w:r w:rsidRPr="00FB138A">
        <w:rPr>
          <w:rFonts w:ascii="Calibri" w:eastAsia="Calibri" w:hAnsi="Calibri" w:cs="Times New Roman"/>
          <w:sz w:val="24"/>
          <w:szCs w:val="24"/>
        </w:rPr>
        <w:t xml:space="preserve">a significant improvement in comparison to Model 1, </w:t>
      </w:r>
      <w:r>
        <w:rPr>
          <w:rFonts w:ascii="Calibri" w:eastAsia="Calibri" w:hAnsi="Calibri" w:cs="Times New Roman"/>
          <w:sz w:val="24"/>
          <w:szCs w:val="24"/>
        </w:rPr>
        <w:t xml:space="preserve">thereby </w:t>
      </w:r>
      <w:r w:rsidRPr="00FB138A">
        <w:rPr>
          <w:rFonts w:ascii="Calibri" w:eastAsia="Calibri" w:hAnsi="Calibri" w:cs="Times New Roman"/>
          <w:sz w:val="24"/>
          <w:szCs w:val="24"/>
        </w:rPr>
        <w:t>confirming partial metric invariance. Lastly, residual invariance was confirmed through Model 3.</w:t>
      </w:r>
    </w:p>
    <w:p w14:paraId="6299E4EB" w14:textId="77777777" w:rsidR="00403B07" w:rsidRPr="00FB138A" w:rsidRDefault="00403B07" w:rsidP="00403B07">
      <w:pPr>
        <w:rPr>
          <w:rFonts w:ascii="Calibri" w:eastAsia="Calibri" w:hAnsi="Calibri" w:cs="Times New Roman"/>
          <w:sz w:val="24"/>
          <w:szCs w:val="24"/>
        </w:rPr>
      </w:pPr>
      <w:r>
        <w:rPr>
          <w:rFonts w:ascii="Calibri" w:eastAsia="Calibri" w:hAnsi="Calibri" w:cs="Times New Roman"/>
          <w:sz w:val="24"/>
          <w:szCs w:val="24"/>
        </w:rPr>
        <w:t xml:space="preserve">As </w:t>
      </w:r>
      <w:r w:rsidRPr="00FB138A">
        <w:rPr>
          <w:rFonts w:ascii="Calibri" w:eastAsia="Calibri" w:hAnsi="Calibri" w:cs="Times New Roman"/>
          <w:sz w:val="24"/>
          <w:szCs w:val="24"/>
        </w:rPr>
        <w:t xml:space="preserve">in the above </w:t>
      </w:r>
      <w:r>
        <w:rPr>
          <w:rFonts w:ascii="Calibri" w:eastAsia="Calibri" w:hAnsi="Calibri" w:cs="Times New Roman"/>
          <w:sz w:val="24"/>
          <w:szCs w:val="24"/>
        </w:rPr>
        <w:t xml:space="preserve">CFA </w:t>
      </w:r>
      <w:r w:rsidRPr="00FB138A">
        <w:rPr>
          <w:rFonts w:ascii="Calibri" w:eastAsia="Calibri" w:hAnsi="Calibri" w:cs="Times New Roman"/>
          <w:sz w:val="24"/>
          <w:szCs w:val="24"/>
        </w:rPr>
        <w:t>conducted separately for the two datasets</w:t>
      </w:r>
      <w:r>
        <w:rPr>
          <w:rFonts w:ascii="Calibri" w:eastAsia="Calibri" w:hAnsi="Calibri" w:cs="Times New Roman"/>
          <w:sz w:val="24"/>
          <w:szCs w:val="24"/>
        </w:rPr>
        <w:t xml:space="preserve">, the regression weight for item 15 was also low here, suggesting that </w:t>
      </w:r>
      <w:r w:rsidRPr="00FB138A">
        <w:rPr>
          <w:rFonts w:ascii="Calibri" w:eastAsia="Calibri" w:hAnsi="Calibri" w:cs="Times New Roman"/>
          <w:sz w:val="24"/>
          <w:szCs w:val="24"/>
        </w:rPr>
        <w:t xml:space="preserve">it may be advisable to </w:t>
      </w:r>
      <w:r>
        <w:rPr>
          <w:rFonts w:ascii="Calibri" w:eastAsia="Calibri" w:hAnsi="Calibri" w:cs="Times New Roman"/>
          <w:sz w:val="24"/>
          <w:szCs w:val="24"/>
        </w:rPr>
        <w:t xml:space="preserve">consider </w:t>
      </w:r>
      <w:r w:rsidRPr="00FB138A">
        <w:rPr>
          <w:rFonts w:ascii="Calibri" w:eastAsia="Calibri" w:hAnsi="Calibri" w:cs="Times New Roman"/>
          <w:sz w:val="24"/>
          <w:szCs w:val="24"/>
        </w:rPr>
        <w:t>remov</w:t>
      </w:r>
      <w:r>
        <w:rPr>
          <w:rFonts w:ascii="Calibri" w:eastAsia="Calibri" w:hAnsi="Calibri" w:cs="Times New Roman"/>
          <w:sz w:val="24"/>
          <w:szCs w:val="24"/>
        </w:rPr>
        <w:t>ing</w:t>
      </w:r>
      <w:r w:rsidRPr="00FB138A">
        <w:rPr>
          <w:rFonts w:ascii="Calibri" w:eastAsia="Calibri" w:hAnsi="Calibri" w:cs="Times New Roman"/>
          <w:sz w:val="24"/>
          <w:szCs w:val="24"/>
        </w:rPr>
        <w:t xml:space="preserve"> Item 15 from the scale.</w:t>
      </w:r>
    </w:p>
    <w:p w14:paraId="44F0091A" w14:textId="77E1460D" w:rsidR="00403B07" w:rsidRPr="00D16A05" w:rsidRDefault="00403B07" w:rsidP="00403B07">
      <w:pPr>
        <w:rPr>
          <w:rFonts w:ascii="Calibri" w:eastAsia="Calibri" w:hAnsi="Calibri" w:cs="Times New Roman"/>
          <w:b/>
          <w:sz w:val="24"/>
          <w:szCs w:val="24"/>
        </w:rPr>
      </w:pPr>
      <w:r w:rsidRPr="00D16A05">
        <w:rPr>
          <w:rFonts w:ascii="Calibri" w:eastAsia="Calibri" w:hAnsi="Calibri" w:cs="Times New Roman"/>
          <w:b/>
          <w:sz w:val="24"/>
          <w:szCs w:val="24"/>
        </w:rPr>
        <w:t xml:space="preserve">Table </w:t>
      </w:r>
      <w:r w:rsidR="003934F8" w:rsidRPr="00D16A05">
        <w:rPr>
          <w:rFonts w:ascii="Calibri" w:eastAsia="Calibri" w:hAnsi="Calibri" w:cs="Times New Roman"/>
          <w:b/>
          <w:sz w:val="24"/>
          <w:szCs w:val="24"/>
        </w:rPr>
        <w:t>5</w:t>
      </w:r>
      <w:r w:rsidR="00B14404">
        <w:rPr>
          <w:rFonts w:ascii="Calibri" w:eastAsia="Calibri" w:hAnsi="Calibri" w:cs="Times New Roman"/>
          <w:b/>
          <w:sz w:val="24"/>
          <w:szCs w:val="24"/>
        </w:rPr>
        <w:t>7</w:t>
      </w:r>
      <w:r w:rsidRPr="00D16A05">
        <w:rPr>
          <w:rFonts w:ascii="Calibri" w:eastAsia="Calibri" w:hAnsi="Calibri" w:cs="Times New Roman"/>
          <w:b/>
          <w:sz w:val="24"/>
          <w:szCs w:val="24"/>
        </w:rPr>
        <w:t xml:space="preserve"> Summary of the results from the measurement invariance test of the Peer Norms sub-scale. </w:t>
      </w:r>
    </w:p>
    <w:tbl>
      <w:tblPr>
        <w:tblStyle w:val="TableGrid"/>
        <w:tblW w:w="0" w:type="auto"/>
        <w:tblLook w:val="04A0" w:firstRow="1" w:lastRow="0" w:firstColumn="1" w:lastColumn="0" w:noHBand="0" w:noVBand="1"/>
      </w:tblPr>
      <w:tblGrid>
        <w:gridCol w:w="2235"/>
        <w:gridCol w:w="1838"/>
        <w:gridCol w:w="1363"/>
        <w:gridCol w:w="1710"/>
        <w:gridCol w:w="1710"/>
      </w:tblGrid>
      <w:tr w:rsidR="00403B07" w:rsidRPr="00FB138A" w14:paraId="28A43E65" w14:textId="77777777" w:rsidTr="00B01272">
        <w:tc>
          <w:tcPr>
            <w:tcW w:w="2235" w:type="dxa"/>
          </w:tcPr>
          <w:p w14:paraId="4799FC58"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 xml:space="preserve">Model </w:t>
            </w:r>
          </w:p>
        </w:tc>
        <w:tc>
          <w:tcPr>
            <w:tcW w:w="1838" w:type="dxa"/>
          </w:tcPr>
          <w:p w14:paraId="797283E6" w14:textId="77777777" w:rsidR="00403B07" w:rsidRPr="00FB138A" w:rsidRDefault="00403B07" w:rsidP="00B01272">
            <w:pPr>
              <w:rPr>
                <w:rFonts w:ascii="Calibri" w:eastAsia="Calibri" w:hAnsi="Calibri" w:cs="Times New Roman"/>
              </w:rPr>
            </w:pPr>
            <w:r w:rsidRPr="00FB138A">
              <w:rPr>
                <w:rFonts w:ascii="Calibri" w:eastAsia="Calibri" w:hAnsi="Calibri" w:cs="Times New Roman"/>
                <w:i/>
              </w:rPr>
              <w:t>χ</w:t>
            </w:r>
            <w:r w:rsidRPr="00FB138A">
              <w:rPr>
                <w:rFonts w:ascii="Calibri" w:eastAsia="Calibri" w:hAnsi="Calibri" w:cs="Times New Roman"/>
                <w:vertAlign w:val="superscript"/>
              </w:rPr>
              <w:t>2</w:t>
            </w:r>
            <w:r w:rsidRPr="00FB138A">
              <w:rPr>
                <w:rFonts w:ascii="Calibri" w:eastAsia="Calibri" w:hAnsi="Calibri" w:cs="Times New Roman"/>
              </w:rPr>
              <w:t>(df)</w:t>
            </w:r>
          </w:p>
        </w:tc>
        <w:tc>
          <w:tcPr>
            <w:tcW w:w="1363" w:type="dxa"/>
          </w:tcPr>
          <w:p w14:paraId="393AF6C8" w14:textId="77777777" w:rsidR="00403B07" w:rsidRPr="00FB138A" w:rsidRDefault="00403B07" w:rsidP="00B01272">
            <w:pPr>
              <w:rPr>
                <w:rFonts w:ascii="Calibri" w:eastAsia="Calibri" w:hAnsi="Calibri" w:cs="Times New Roman"/>
              </w:rPr>
            </w:pPr>
            <w:r w:rsidRPr="00FB138A">
              <w:rPr>
                <w:rFonts w:ascii="Calibri" w:eastAsia="Calibri" w:hAnsi="Calibri" w:cs="Times New Roman"/>
                <w:lang w:val="en-NZ"/>
              </w:rPr>
              <w:t>Model comparison</w:t>
            </w:r>
          </w:p>
        </w:tc>
        <w:tc>
          <w:tcPr>
            <w:tcW w:w="1710" w:type="dxa"/>
          </w:tcPr>
          <w:p w14:paraId="261A239C" w14:textId="77777777" w:rsidR="00403B07" w:rsidRPr="00FB138A" w:rsidRDefault="00403B07" w:rsidP="00B01272">
            <w:pPr>
              <w:rPr>
                <w:rFonts w:ascii="Calibri" w:eastAsia="Calibri" w:hAnsi="Calibri" w:cs="Times New Roman"/>
              </w:rPr>
            </w:pPr>
            <w:r w:rsidRPr="00FB138A">
              <w:rPr>
                <w:rFonts w:ascii="Calibri" w:eastAsia="Calibri" w:hAnsi="Calibri" w:cs="Times New Roman"/>
                <w:lang w:val="en-NZ"/>
              </w:rPr>
              <w:t>Δ</w:t>
            </w:r>
            <w:r w:rsidRPr="00FB138A">
              <w:rPr>
                <w:rFonts w:ascii="Calibri" w:eastAsia="Calibri" w:hAnsi="Calibri" w:cs="Times New Roman"/>
                <w:i/>
              </w:rPr>
              <w:t>χ</w:t>
            </w:r>
            <w:r w:rsidRPr="00FB138A">
              <w:rPr>
                <w:rFonts w:ascii="Calibri" w:eastAsia="Calibri" w:hAnsi="Calibri" w:cs="Times New Roman"/>
                <w:vertAlign w:val="superscript"/>
              </w:rPr>
              <w:t>2</w:t>
            </w:r>
            <w:r w:rsidRPr="00FB138A">
              <w:rPr>
                <w:rFonts w:ascii="Calibri" w:eastAsia="Calibri" w:hAnsi="Calibri" w:cs="Times New Roman"/>
              </w:rPr>
              <w:t>(</w:t>
            </w:r>
            <w:r w:rsidRPr="00FB138A">
              <w:rPr>
                <w:rFonts w:ascii="Calibri" w:eastAsia="Calibri" w:hAnsi="Calibri" w:cs="Times New Roman"/>
                <w:lang w:val="en-NZ"/>
              </w:rPr>
              <w:t>Δ</w:t>
            </w:r>
            <w:r w:rsidRPr="00FB138A">
              <w:rPr>
                <w:rFonts w:ascii="Calibri" w:eastAsia="Calibri" w:hAnsi="Calibri" w:cs="Times New Roman"/>
              </w:rPr>
              <w:t>df)</w:t>
            </w:r>
          </w:p>
        </w:tc>
        <w:tc>
          <w:tcPr>
            <w:tcW w:w="1710" w:type="dxa"/>
          </w:tcPr>
          <w:p w14:paraId="53D4E00D" w14:textId="77777777" w:rsidR="00403B07" w:rsidRPr="00FB138A" w:rsidRDefault="00403B07" w:rsidP="00B01272">
            <w:pPr>
              <w:rPr>
                <w:rFonts w:ascii="Calibri" w:eastAsia="Calibri" w:hAnsi="Calibri" w:cs="Times New Roman"/>
              </w:rPr>
            </w:pPr>
            <w:r w:rsidRPr="00FB138A">
              <w:rPr>
                <w:rFonts w:ascii="Calibri" w:eastAsia="Calibri" w:hAnsi="Calibri" w:cs="Times New Roman"/>
                <w:i/>
              </w:rPr>
              <w:t>p</w:t>
            </w:r>
            <w:r w:rsidRPr="00FB138A">
              <w:rPr>
                <w:rFonts w:ascii="Calibri" w:eastAsia="Calibri" w:hAnsi="Calibri" w:cs="Times New Roman"/>
              </w:rPr>
              <w:t>-value</w:t>
            </w:r>
          </w:p>
        </w:tc>
      </w:tr>
      <w:tr w:rsidR="00403B07" w:rsidRPr="00FB138A" w14:paraId="5C2DE6F0" w14:textId="77777777" w:rsidTr="00B01272">
        <w:tc>
          <w:tcPr>
            <w:tcW w:w="2235" w:type="dxa"/>
          </w:tcPr>
          <w:p w14:paraId="3FFA8335"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1 (configural invar.)</w:t>
            </w:r>
          </w:p>
        </w:tc>
        <w:tc>
          <w:tcPr>
            <w:tcW w:w="1838" w:type="dxa"/>
          </w:tcPr>
          <w:p w14:paraId="08884BEB"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101.612 (34)</w:t>
            </w:r>
          </w:p>
        </w:tc>
        <w:tc>
          <w:tcPr>
            <w:tcW w:w="1363" w:type="dxa"/>
          </w:tcPr>
          <w:p w14:paraId="6FD52AAB"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w:t>
            </w:r>
          </w:p>
        </w:tc>
        <w:tc>
          <w:tcPr>
            <w:tcW w:w="1710" w:type="dxa"/>
          </w:tcPr>
          <w:p w14:paraId="5FD2DA14" w14:textId="77777777" w:rsidR="00403B07" w:rsidRPr="00FB138A" w:rsidRDefault="00403B07" w:rsidP="00B01272">
            <w:pPr>
              <w:rPr>
                <w:rFonts w:ascii="Calibri" w:eastAsia="Calibri" w:hAnsi="Calibri" w:cs="Times New Roman"/>
              </w:rPr>
            </w:pPr>
          </w:p>
        </w:tc>
        <w:tc>
          <w:tcPr>
            <w:tcW w:w="1710" w:type="dxa"/>
          </w:tcPr>
          <w:p w14:paraId="37052A20" w14:textId="77777777" w:rsidR="00403B07" w:rsidRPr="00FB138A" w:rsidRDefault="00403B07" w:rsidP="00B01272">
            <w:pPr>
              <w:rPr>
                <w:rFonts w:ascii="Calibri" w:eastAsia="Calibri" w:hAnsi="Calibri" w:cs="Times New Roman"/>
              </w:rPr>
            </w:pPr>
          </w:p>
        </w:tc>
      </w:tr>
      <w:tr w:rsidR="00403B07" w:rsidRPr="00FB138A" w14:paraId="2FA111DD" w14:textId="77777777" w:rsidTr="00B01272">
        <w:tc>
          <w:tcPr>
            <w:tcW w:w="2235" w:type="dxa"/>
          </w:tcPr>
          <w:p w14:paraId="680172CE"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2 (metric invar.)</w:t>
            </w:r>
          </w:p>
        </w:tc>
        <w:tc>
          <w:tcPr>
            <w:tcW w:w="1838" w:type="dxa"/>
          </w:tcPr>
          <w:p w14:paraId="1A9E3F13"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119.083 (42)</w:t>
            </w:r>
          </w:p>
        </w:tc>
        <w:tc>
          <w:tcPr>
            <w:tcW w:w="1363" w:type="dxa"/>
          </w:tcPr>
          <w:p w14:paraId="43E68781"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1</w:t>
            </w:r>
          </w:p>
        </w:tc>
        <w:tc>
          <w:tcPr>
            <w:tcW w:w="1710" w:type="dxa"/>
          </w:tcPr>
          <w:p w14:paraId="7DE94444"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17.471 (8)</w:t>
            </w:r>
          </w:p>
        </w:tc>
        <w:tc>
          <w:tcPr>
            <w:tcW w:w="1710" w:type="dxa"/>
          </w:tcPr>
          <w:p w14:paraId="78ECCDD3"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0.026*</w:t>
            </w:r>
          </w:p>
        </w:tc>
      </w:tr>
      <w:tr w:rsidR="00403B07" w:rsidRPr="00FB138A" w14:paraId="70A1832E" w14:textId="77777777" w:rsidTr="00B01272">
        <w:tc>
          <w:tcPr>
            <w:tcW w:w="2235" w:type="dxa"/>
          </w:tcPr>
          <w:p w14:paraId="513708A7"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2a (partial metric invar.)</w:t>
            </w:r>
          </w:p>
        </w:tc>
        <w:tc>
          <w:tcPr>
            <w:tcW w:w="1838" w:type="dxa"/>
          </w:tcPr>
          <w:p w14:paraId="4753BF71"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111.697 (41)</w:t>
            </w:r>
          </w:p>
        </w:tc>
        <w:tc>
          <w:tcPr>
            <w:tcW w:w="1363" w:type="dxa"/>
          </w:tcPr>
          <w:p w14:paraId="72E4248B"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1</w:t>
            </w:r>
          </w:p>
        </w:tc>
        <w:tc>
          <w:tcPr>
            <w:tcW w:w="1710" w:type="dxa"/>
          </w:tcPr>
          <w:p w14:paraId="355AE82D"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10.085 (7)</w:t>
            </w:r>
          </w:p>
        </w:tc>
        <w:tc>
          <w:tcPr>
            <w:tcW w:w="1710" w:type="dxa"/>
          </w:tcPr>
          <w:p w14:paraId="7B89CD9A"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0.184</w:t>
            </w:r>
          </w:p>
        </w:tc>
      </w:tr>
      <w:tr w:rsidR="00403B07" w:rsidRPr="00FB138A" w14:paraId="33F889CD" w14:textId="77777777" w:rsidTr="00B01272">
        <w:tc>
          <w:tcPr>
            <w:tcW w:w="2235" w:type="dxa"/>
          </w:tcPr>
          <w:p w14:paraId="7F326DD3"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3 (residual invar.)</w:t>
            </w:r>
          </w:p>
        </w:tc>
        <w:tc>
          <w:tcPr>
            <w:tcW w:w="1838" w:type="dxa"/>
          </w:tcPr>
          <w:p w14:paraId="4CAC2A11"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116.319 (49)</w:t>
            </w:r>
          </w:p>
        </w:tc>
        <w:tc>
          <w:tcPr>
            <w:tcW w:w="1363" w:type="dxa"/>
          </w:tcPr>
          <w:p w14:paraId="03D6B61B"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2a</w:t>
            </w:r>
          </w:p>
        </w:tc>
        <w:tc>
          <w:tcPr>
            <w:tcW w:w="1710" w:type="dxa"/>
          </w:tcPr>
          <w:p w14:paraId="5F14DACF"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4.622 (8)</w:t>
            </w:r>
          </w:p>
        </w:tc>
        <w:tc>
          <w:tcPr>
            <w:tcW w:w="1710" w:type="dxa"/>
          </w:tcPr>
          <w:p w14:paraId="3E1B2F76"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0.797</w:t>
            </w:r>
          </w:p>
        </w:tc>
      </w:tr>
    </w:tbl>
    <w:p w14:paraId="60CB3F55" w14:textId="77777777" w:rsidR="00403B07" w:rsidRDefault="00403B07" w:rsidP="00403B07">
      <w:pPr>
        <w:rPr>
          <w:rFonts w:ascii="Calibri" w:eastAsia="Calibri" w:hAnsi="Calibri" w:cs="Times New Roman"/>
          <w:sz w:val="24"/>
          <w:szCs w:val="24"/>
        </w:rPr>
      </w:pPr>
      <w:r w:rsidRPr="00FB138A">
        <w:rPr>
          <w:rFonts w:ascii="Calibri" w:eastAsia="Calibri" w:hAnsi="Calibri" w:cs="Times New Roman"/>
          <w:sz w:val="24"/>
          <w:szCs w:val="24"/>
        </w:rPr>
        <w:t>*</w:t>
      </w:r>
      <w:r w:rsidRPr="00FB138A">
        <w:rPr>
          <w:rFonts w:ascii="Calibri" w:eastAsia="Calibri" w:hAnsi="Calibri" w:cs="Times New Roman"/>
          <w:i/>
          <w:sz w:val="24"/>
          <w:szCs w:val="24"/>
        </w:rPr>
        <w:t>p</w:t>
      </w:r>
      <w:r w:rsidRPr="00FB138A">
        <w:rPr>
          <w:rFonts w:ascii="Calibri" w:eastAsia="Calibri" w:hAnsi="Calibri" w:cs="Times New Roman"/>
          <w:sz w:val="24"/>
          <w:szCs w:val="24"/>
        </w:rPr>
        <w:t>&lt;0.05, **</w:t>
      </w:r>
      <w:r w:rsidRPr="00FB138A">
        <w:rPr>
          <w:rFonts w:ascii="Calibri" w:eastAsia="Calibri" w:hAnsi="Calibri" w:cs="Times New Roman"/>
          <w:i/>
          <w:sz w:val="24"/>
          <w:szCs w:val="24"/>
        </w:rPr>
        <w:t>p</w:t>
      </w:r>
      <w:r w:rsidRPr="00FB138A">
        <w:rPr>
          <w:rFonts w:ascii="Calibri" w:eastAsia="Calibri" w:hAnsi="Calibri" w:cs="Times New Roman"/>
          <w:sz w:val="24"/>
          <w:szCs w:val="24"/>
        </w:rPr>
        <w:t>&lt;0.01</w:t>
      </w:r>
    </w:p>
    <w:p w14:paraId="2C6D7CDA" w14:textId="77777777" w:rsidR="00E365FB" w:rsidRDefault="00E365FB" w:rsidP="00403B07">
      <w:pPr>
        <w:rPr>
          <w:rFonts w:ascii="Calibri" w:eastAsia="Calibri" w:hAnsi="Calibri" w:cs="Times New Roman"/>
          <w:sz w:val="24"/>
          <w:szCs w:val="24"/>
        </w:rPr>
      </w:pPr>
    </w:p>
    <w:p w14:paraId="5D181439" w14:textId="77777777" w:rsidR="00E365FB" w:rsidRDefault="00E365FB" w:rsidP="00403B07">
      <w:pPr>
        <w:rPr>
          <w:rFonts w:ascii="Calibri" w:eastAsia="Calibri" w:hAnsi="Calibri" w:cs="Times New Roman"/>
          <w:sz w:val="24"/>
          <w:szCs w:val="24"/>
        </w:rPr>
      </w:pPr>
    </w:p>
    <w:p w14:paraId="7049931E" w14:textId="77777777" w:rsidR="00403B07" w:rsidRPr="00FB138A" w:rsidRDefault="00403B07" w:rsidP="00403B07">
      <w:pPr>
        <w:rPr>
          <w:rFonts w:ascii="Calibri" w:eastAsia="Calibri" w:hAnsi="Calibri" w:cs="Times New Roman"/>
          <w:i/>
          <w:sz w:val="24"/>
          <w:szCs w:val="24"/>
        </w:rPr>
      </w:pPr>
      <w:r>
        <w:rPr>
          <w:rFonts w:ascii="Calibri" w:eastAsia="Calibri" w:hAnsi="Calibri" w:cs="Times New Roman"/>
          <w:i/>
          <w:sz w:val="24"/>
          <w:szCs w:val="24"/>
        </w:rPr>
        <w:lastRenderedPageBreak/>
        <w:t>F</w:t>
      </w:r>
      <w:r w:rsidRPr="00FB138A">
        <w:rPr>
          <w:rFonts w:ascii="Calibri" w:eastAsia="Calibri" w:hAnsi="Calibri" w:cs="Times New Roman"/>
          <w:i/>
          <w:sz w:val="24"/>
          <w:szCs w:val="24"/>
        </w:rPr>
        <w:t xml:space="preserve">amily </w:t>
      </w:r>
      <w:r>
        <w:rPr>
          <w:rFonts w:ascii="Calibri" w:eastAsia="Calibri" w:hAnsi="Calibri" w:cs="Times New Roman"/>
          <w:i/>
          <w:sz w:val="24"/>
          <w:szCs w:val="24"/>
        </w:rPr>
        <w:t>A</w:t>
      </w:r>
      <w:r w:rsidRPr="00FB138A">
        <w:rPr>
          <w:rFonts w:ascii="Calibri" w:eastAsia="Calibri" w:hAnsi="Calibri" w:cs="Times New Roman"/>
          <w:i/>
          <w:sz w:val="24"/>
          <w:szCs w:val="24"/>
        </w:rPr>
        <w:t>pproval</w:t>
      </w:r>
      <w:r>
        <w:rPr>
          <w:rFonts w:ascii="Calibri" w:eastAsia="Calibri" w:hAnsi="Calibri" w:cs="Times New Roman"/>
          <w:i/>
          <w:sz w:val="24"/>
          <w:szCs w:val="24"/>
        </w:rPr>
        <w:t>/Behaviours</w:t>
      </w:r>
      <w:r w:rsidRPr="00FB138A">
        <w:rPr>
          <w:rFonts w:ascii="Calibri" w:eastAsia="Calibri" w:hAnsi="Calibri" w:cs="Times New Roman"/>
          <w:i/>
          <w:sz w:val="24"/>
          <w:szCs w:val="24"/>
        </w:rPr>
        <w:t xml:space="preserve"> and </w:t>
      </w:r>
      <w:r>
        <w:rPr>
          <w:rFonts w:ascii="Calibri" w:eastAsia="Calibri" w:hAnsi="Calibri" w:cs="Times New Roman"/>
          <w:i/>
          <w:sz w:val="24"/>
          <w:szCs w:val="24"/>
        </w:rPr>
        <w:t>Child A</w:t>
      </w:r>
      <w:r w:rsidRPr="00FB138A">
        <w:rPr>
          <w:rFonts w:ascii="Calibri" w:eastAsia="Calibri" w:hAnsi="Calibri" w:cs="Times New Roman"/>
          <w:i/>
          <w:sz w:val="24"/>
          <w:szCs w:val="24"/>
        </w:rPr>
        <w:t>ttitude</w:t>
      </w:r>
      <w:r>
        <w:rPr>
          <w:rFonts w:ascii="Calibri" w:eastAsia="Calibri" w:hAnsi="Calibri" w:cs="Times New Roman"/>
          <w:i/>
          <w:sz w:val="24"/>
          <w:szCs w:val="24"/>
        </w:rPr>
        <w:t>s (FAB&amp;CA) (</w:t>
      </w:r>
      <w:r w:rsidRPr="00FB138A">
        <w:rPr>
          <w:rFonts w:ascii="Calibri" w:eastAsia="Calibri" w:hAnsi="Calibri" w:cs="Times New Roman"/>
          <w:i/>
          <w:sz w:val="24"/>
          <w:szCs w:val="24"/>
        </w:rPr>
        <w:t>Items 23-32 without Item 31):</w:t>
      </w:r>
    </w:p>
    <w:p w14:paraId="519DCDAC" w14:textId="18494A73" w:rsidR="00403B07" w:rsidRPr="00FB138A" w:rsidRDefault="00403B07" w:rsidP="00403B07">
      <w:pPr>
        <w:rPr>
          <w:rFonts w:ascii="Calibri" w:eastAsia="Calibri" w:hAnsi="Calibri" w:cs="Times New Roman"/>
          <w:sz w:val="24"/>
          <w:szCs w:val="24"/>
        </w:rPr>
      </w:pPr>
      <w:r w:rsidRPr="00FB138A">
        <w:rPr>
          <w:rFonts w:ascii="Calibri" w:eastAsia="Calibri" w:hAnsi="Calibri" w:cs="Times New Roman"/>
          <w:sz w:val="24"/>
          <w:szCs w:val="24"/>
        </w:rPr>
        <w:t xml:space="preserve">As with </w:t>
      </w:r>
      <w:r>
        <w:rPr>
          <w:rFonts w:ascii="Calibri" w:eastAsia="Calibri" w:hAnsi="Calibri" w:cs="Times New Roman"/>
          <w:sz w:val="24"/>
          <w:szCs w:val="24"/>
        </w:rPr>
        <w:t xml:space="preserve">Confidence &amp; </w:t>
      </w:r>
      <w:r w:rsidRPr="00FB138A">
        <w:rPr>
          <w:rFonts w:ascii="Calibri" w:eastAsia="Calibri" w:hAnsi="Calibri" w:cs="Times New Roman"/>
          <w:sz w:val="24"/>
          <w:szCs w:val="24"/>
        </w:rPr>
        <w:t>Motivation</w:t>
      </w:r>
      <w:r>
        <w:rPr>
          <w:rFonts w:ascii="Calibri" w:eastAsia="Calibri" w:hAnsi="Calibri" w:cs="Times New Roman"/>
          <w:sz w:val="24"/>
          <w:szCs w:val="24"/>
        </w:rPr>
        <w:t xml:space="preserve"> </w:t>
      </w:r>
      <w:r w:rsidRPr="00FB138A">
        <w:rPr>
          <w:rFonts w:ascii="Calibri" w:eastAsia="Calibri" w:hAnsi="Calibri" w:cs="Times New Roman"/>
          <w:sz w:val="24"/>
          <w:szCs w:val="24"/>
        </w:rPr>
        <w:t xml:space="preserve">and </w:t>
      </w:r>
      <w:r>
        <w:rPr>
          <w:rFonts w:ascii="Calibri" w:eastAsia="Calibri" w:hAnsi="Calibri" w:cs="Times New Roman"/>
          <w:sz w:val="24"/>
          <w:szCs w:val="24"/>
        </w:rPr>
        <w:t>Peer Norms</w:t>
      </w:r>
      <w:r w:rsidRPr="00FB138A">
        <w:rPr>
          <w:rFonts w:ascii="Calibri" w:eastAsia="Calibri" w:hAnsi="Calibri" w:cs="Times New Roman"/>
          <w:sz w:val="24"/>
          <w:szCs w:val="24"/>
        </w:rPr>
        <w:t xml:space="preserve">, the metric invariance test for the </w:t>
      </w:r>
      <w:r>
        <w:rPr>
          <w:rFonts w:ascii="Calibri" w:eastAsia="Calibri" w:hAnsi="Calibri" w:cs="Times New Roman"/>
          <w:sz w:val="24"/>
          <w:szCs w:val="24"/>
        </w:rPr>
        <w:t xml:space="preserve">Family Approval/Behaviours &amp; Child Attitudes </w:t>
      </w:r>
      <w:r w:rsidRPr="00FB138A">
        <w:rPr>
          <w:rFonts w:ascii="Calibri" w:eastAsia="Calibri" w:hAnsi="Calibri" w:cs="Times New Roman"/>
          <w:sz w:val="24"/>
          <w:szCs w:val="24"/>
        </w:rPr>
        <w:t xml:space="preserve">sub-scale failed to demonstrate full metric invariance. As shown in Table </w:t>
      </w:r>
      <w:r w:rsidR="00835D1E">
        <w:rPr>
          <w:rFonts w:ascii="Calibri" w:eastAsia="Calibri" w:hAnsi="Calibri" w:cs="Times New Roman"/>
          <w:sz w:val="24"/>
          <w:szCs w:val="24"/>
        </w:rPr>
        <w:t>5</w:t>
      </w:r>
      <w:r w:rsidR="00B14404">
        <w:rPr>
          <w:rFonts w:ascii="Calibri" w:eastAsia="Calibri" w:hAnsi="Calibri" w:cs="Times New Roman"/>
          <w:sz w:val="24"/>
          <w:szCs w:val="24"/>
        </w:rPr>
        <w:t>8</w:t>
      </w:r>
      <w:r w:rsidRPr="00FB138A">
        <w:rPr>
          <w:rFonts w:ascii="Calibri" w:eastAsia="Calibri" w:hAnsi="Calibri" w:cs="Times New Roman"/>
          <w:sz w:val="24"/>
          <w:szCs w:val="24"/>
        </w:rPr>
        <w:t>, Model 2 provided a significant improvement in comparison to Model 1. Inspection of the results of the CFA with the two datasets separately revealed a clear difference in the factor loading for Item 24. For the Baseline Dataset B, the factor loading of Item 24 was 0.61, and for the 12 months Dataset B it was 0.70. As a result, partial invariance was testing whereby only the factor loading of Item 24 was allowed to vary between samples</w:t>
      </w:r>
      <w:r>
        <w:rPr>
          <w:rFonts w:ascii="Calibri" w:eastAsia="Calibri" w:hAnsi="Calibri" w:cs="Times New Roman"/>
          <w:sz w:val="24"/>
          <w:szCs w:val="24"/>
        </w:rPr>
        <w:t xml:space="preserve"> (model 2a)</w:t>
      </w:r>
      <w:r w:rsidRPr="00FB138A">
        <w:rPr>
          <w:rFonts w:ascii="Calibri" w:eastAsia="Calibri" w:hAnsi="Calibri" w:cs="Times New Roman"/>
          <w:sz w:val="24"/>
          <w:szCs w:val="24"/>
        </w:rPr>
        <w:t>. The fit of Model 2a was not a significant improvement in comparison to Model 1, confirming partial metric invariance. Lastly, residual invariance was confirmed through Model 3.</w:t>
      </w:r>
    </w:p>
    <w:p w14:paraId="2DE82F5B" w14:textId="4EB9DCA4" w:rsidR="00403B07" w:rsidRPr="00D16A05" w:rsidRDefault="00403B07" w:rsidP="00403B07">
      <w:pPr>
        <w:rPr>
          <w:rFonts w:ascii="Calibri" w:eastAsia="Calibri" w:hAnsi="Calibri" w:cs="Times New Roman"/>
          <w:b/>
          <w:sz w:val="24"/>
          <w:szCs w:val="24"/>
        </w:rPr>
      </w:pPr>
      <w:r w:rsidRPr="00D16A05">
        <w:rPr>
          <w:rFonts w:ascii="Calibri" w:eastAsia="Calibri" w:hAnsi="Calibri" w:cs="Times New Roman"/>
          <w:b/>
          <w:sz w:val="24"/>
          <w:szCs w:val="24"/>
        </w:rPr>
        <w:t xml:space="preserve">Table </w:t>
      </w:r>
      <w:r w:rsidR="003934F8" w:rsidRPr="00D16A05">
        <w:rPr>
          <w:rFonts w:ascii="Calibri" w:eastAsia="Calibri" w:hAnsi="Calibri" w:cs="Times New Roman"/>
          <w:b/>
          <w:sz w:val="24"/>
          <w:szCs w:val="24"/>
        </w:rPr>
        <w:t>5</w:t>
      </w:r>
      <w:r w:rsidR="00B14404">
        <w:rPr>
          <w:rFonts w:ascii="Calibri" w:eastAsia="Calibri" w:hAnsi="Calibri" w:cs="Times New Roman"/>
          <w:b/>
          <w:sz w:val="24"/>
          <w:szCs w:val="24"/>
        </w:rPr>
        <w:t>8</w:t>
      </w:r>
      <w:r w:rsidRPr="00D16A05">
        <w:rPr>
          <w:rFonts w:ascii="Calibri" w:eastAsia="Calibri" w:hAnsi="Calibri" w:cs="Times New Roman"/>
          <w:b/>
          <w:sz w:val="24"/>
          <w:szCs w:val="24"/>
        </w:rPr>
        <w:t xml:space="preserve"> Summary of the results from the measurement invariance test of the Family Approval/Behaviours &amp; Child Attitudes sub-scale. </w:t>
      </w:r>
    </w:p>
    <w:tbl>
      <w:tblPr>
        <w:tblStyle w:val="TableGrid"/>
        <w:tblW w:w="0" w:type="auto"/>
        <w:tblLook w:val="04A0" w:firstRow="1" w:lastRow="0" w:firstColumn="1" w:lastColumn="0" w:noHBand="0" w:noVBand="1"/>
      </w:tblPr>
      <w:tblGrid>
        <w:gridCol w:w="2235"/>
        <w:gridCol w:w="1701"/>
        <w:gridCol w:w="1500"/>
        <w:gridCol w:w="1710"/>
        <w:gridCol w:w="1710"/>
      </w:tblGrid>
      <w:tr w:rsidR="00403B07" w:rsidRPr="00FB138A" w14:paraId="62049EC2" w14:textId="77777777" w:rsidTr="00B01272">
        <w:tc>
          <w:tcPr>
            <w:tcW w:w="2235" w:type="dxa"/>
          </w:tcPr>
          <w:p w14:paraId="3F6D70CE"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 xml:space="preserve">Model </w:t>
            </w:r>
          </w:p>
        </w:tc>
        <w:tc>
          <w:tcPr>
            <w:tcW w:w="1701" w:type="dxa"/>
          </w:tcPr>
          <w:p w14:paraId="648D51E5" w14:textId="77777777" w:rsidR="00403B07" w:rsidRPr="00FB138A" w:rsidRDefault="00403B07" w:rsidP="00B01272">
            <w:pPr>
              <w:rPr>
                <w:rFonts w:ascii="Calibri" w:eastAsia="Calibri" w:hAnsi="Calibri" w:cs="Times New Roman"/>
              </w:rPr>
            </w:pPr>
            <w:r w:rsidRPr="00FB138A">
              <w:rPr>
                <w:rFonts w:ascii="Calibri" w:eastAsia="Calibri" w:hAnsi="Calibri" w:cs="Times New Roman"/>
                <w:i/>
              </w:rPr>
              <w:t>χ</w:t>
            </w:r>
            <w:r w:rsidRPr="00FB138A">
              <w:rPr>
                <w:rFonts w:ascii="Calibri" w:eastAsia="Calibri" w:hAnsi="Calibri" w:cs="Times New Roman"/>
                <w:vertAlign w:val="superscript"/>
              </w:rPr>
              <w:t>2</w:t>
            </w:r>
            <w:r w:rsidRPr="00FB138A">
              <w:rPr>
                <w:rFonts w:ascii="Calibri" w:eastAsia="Calibri" w:hAnsi="Calibri" w:cs="Times New Roman"/>
              </w:rPr>
              <w:t>(df)</w:t>
            </w:r>
          </w:p>
        </w:tc>
        <w:tc>
          <w:tcPr>
            <w:tcW w:w="1500" w:type="dxa"/>
          </w:tcPr>
          <w:p w14:paraId="1C8BADD6" w14:textId="77777777" w:rsidR="00403B07" w:rsidRPr="00FB138A" w:rsidRDefault="00403B07" w:rsidP="00B01272">
            <w:pPr>
              <w:rPr>
                <w:rFonts w:ascii="Calibri" w:eastAsia="Calibri" w:hAnsi="Calibri" w:cs="Times New Roman"/>
              </w:rPr>
            </w:pPr>
            <w:r w:rsidRPr="00FB138A">
              <w:rPr>
                <w:rFonts w:ascii="Calibri" w:eastAsia="Calibri" w:hAnsi="Calibri" w:cs="Times New Roman"/>
                <w:lang w:val="en-NZ"/>
              </w:rPr>
              <w:t>Model comparison</w:t>
            </w:r>
          </w:p>
        </w:tc>
        <w:tc>
          <w:tcPr>
            <w:tcW w:w="1710" w:type="dxa"/>
          </w:tcPr>
          <w:p w14:paraId="3598B6F2" w14:textId="77777777" w:rsidR="00403B07" w:rsidRPr="00FB138A" w:rsidRDefault="00403B07" w:rsidP="00B01272">
            <w:pPr>
              <w:rPr>
                <w:rFonts w:ascii="Calibri" w:eastAsia="Calibri" w:hAnsi="Calibri" w:cs="Times New Roman"/>
              </w:rPr>
            </w:pPr>
            <w:r w:rsidRPr="00FB138A">
              <w:rPr>
                <w:rFonts w:ascii="Calibri" w:eastAsia="Calibri" w:hAnsi="Calibri" w:cs="Times New Roman"/>
                <w:lang w:val="en-NZ"/>
              </w:rPr>
              <w:t>Δ</w:t>
            </w:r>
            <w:r w:rsidRPr="00FB138A">
              <w:rPr>
                <w:rFonts w:ascii="Calibri" w:eastAsia="Calibri" w:hAnsi="Calibri" w:cs="Times New Roman"/>
                <w:i/>
              </w:rPr>
              <w:t>χ</w:t>
            </w:r>
            <w:r w:rsidRPr="00FB138A">
              <w:rPr>
                <w:rFonts w:ascii="Calibri" w:eastAsia="Calibri" w:hAnsi="Calibri" w:cs="Times New Roman"/>
                <w:vertAlign w:val="superscript"/>
              </w:rPr>
              <w:t>2</w:t>
            </w:r>
            <w:r w:rsidRPr="00FB138A">
              <w:rPr>
                <w:rFonts w:ascii="Calibri" w:eastAsia="Calibri" w:hAnsi="Calibri" w:cs="Times New Roman"/>
              </w:rPr>
              <w:t>(</w:t>
            </w:r>
            <w:r w:rsidRPr="00FB138A">
              <w:rPr>
                <w:rFonts w:ascii="Calibri" w:eastAsia="Calibri" w:hAnsi="Calibri" w:cs="Times New Roman"/>
                <w:lang w:val="en-NZ"/>
              </w:rPr>
              <w:t>Δ</w:t>
            </w:r>
            <w:r w:rsidRPr="00FB138A">
              <w:rPr>
                <w:rFonts w:ascii="Calibri" w:eastAsia="Calibri" w:hAnsi="Calibri" w:cs="Times New Roman"/>
              </w:rPr>
              <w:t>df)</w:t>
            </w:r>
          </w:p>
        </w:tc>
        <w:tc>
          <w:tcPr>
            <w:tcW w:w="1710" w:type="dxa"/>
          </w:tcPr>
          <w:p w14:paraId="3EAF3157" w14:textId="77777777" w:rsidR="00403B07" w:rsidRPr="00FB138A" w:rsidRDefault="00403B07" w:rsidP="00B01272">
            <w:pPr>
              <w:rPr>
                <w:rFonts w:ascii="Calibri" w:eastAsia="Calibri" w:hAnsi="Calibri" w:cs="Times New Roman"/>
              </w:rPr>
            </w:pPr>
            <w:r w:rsidRPr="00FB138A">
              <w:rPr>
                <w:rFonts w:ascii="Calibri" w:eastAsia="Calibri" w:hAnsi="Calibri" w:cs="Times New Roman"/>
                <w:i/>
              </w:rPr>
              <w:t>p</w:t>
            </w:r>
            <w:r w:rsidRPr="00FB138A">
              <w:rPr>
                <w:rFonts w:ascii="Calibri" w:eastAsia="Calibri" w:hAnsi="Calibri" w:cs="Times New Roman"/>
              </w:rPr>
              <w:t>-value</w:t>
            </w:r>
          </w:p>
        </w:tc>
      </w:tr>
      <w:tr w:rsidR="00403B07" w:rsidRPr="00FB138A" w14:paraId="19BDBEEE" w14:textId="77777777" w:rsidTr="00B01272">
        <w:tc>
          <w:tcPr>
            <w:tcW w:w="2235" w:type="dxa"/>
          </w:tcPr>
          <w:p w14:paraId="664B759B"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1 (configural invar.)</w:t>
            </w:r>
          </w:p>
        </w:tc>
        <w:tc>
          <w:tcPr>
            <w:tcW w:w="1701" w:type="dxa"/>
          </w:tcPr>
          <w:p w14:paraId="77EBA22F"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100.026 (40)</w:t>
            </w:r>
          </w:p>
        </w:tc>
        <w:tc>
          <w:tcPr>
            <w:tcW w:w="1500" w:type="dxa"/>
          </w:tcPr>
          <w:p w14:paraId="25B9CDFA"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w:t>
            </w:r>
          </w:p>
        </w:tc>
        <w:tc>
          <w:tcPr>
            <w:tcW w:w="1710" w:type="dxa"/>
          </w:tcPr>
          <w:p w14:paraId="641FAEAF" w14:textId="77777777" w:rsidR="00403B07" w:rsidRPr="00FB138A" w:rsidRDefault="00403B07" w:rsidP="00B01272">
            <w:pPr>
              <w:rPr>
                <w:rFonts w:ascii="Calibri" w:eastAsia="Calibri" w:hAnsi="Calibri" w:cs="Times New Roman"/>
              </w:rPr>
            </w:pPr>
          </w:p>
        </w:tc>
        <w:tc>
          <w:tcPr>
            <w:tcW w:w="1710" w:type="dxa"/>
          </w:tcPr>
          <w:p w14:paraId="2E7D58A0" w14:textId="77777777" w:rsidR="00403B07" w:rsidRPr="00FB138A" w:rsidRDefault="00403B07" w:rsidP="00B01272">
            <w:pPr>
              <w:rPr>
                <w:rFonts w:ascii="Calibri" w:eastAsia="Calibri" w:hAnsi="Calibri" w:cs="Times New Roman"/>
              </w:rPr>
            </w:pPr>
          </w:p>
        </w:tc>
      </w:tr>
      <w:tr w:rsidR="00403B07" w:rsidRPr="00FB138A" w14:paraId="084D087F" w14:textId="77777777" w:rsidTr="00B01272">
        <w:tc>
          <w:tcPr>
            <w:tcW w:w="2235" w:type="dxa"/>
          </w:tcPr>
          <w:p w14:paraId="1F526AE8"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2 (metric invar.)</w:t>
            </w:r>
          </w:p>
        </w:tc>
        <w:tc>
          <w:tcPr>
            <w:tcW w:w="1701" w:type="dxa"/>
          </w:tcPr>
          <w:p w14:paraId="37DC13D5"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117.789 (49)</w:t>
            </w:r>
          </w:p>
        </w:tc>
        <w:tc>
          <w:tcPr>
            <w:tcW w:w="1500" w:type="dxa"/>
          </w:tcPr>
          <w:p w14:paraId="10F1AC25"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1</w:t>
            </w:r>
          </w:p>
        </w:tc>
        <w:tc>
          <w:tcPr>
            <w:tcW w:w="1710" w:type="dxa"/>
          </w:tcPr>
          <w:p w14:paraId="2265D226"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17.763 (9)</w:t>
            </w:r>
          </w:p>
        </w:tc>
        <w:tc>
          <w:tcPr>
            <w:tcW w:w="1710" w:type="dxa"/>
          </w:tcPr>
          <w:p w14:paraId="373BB2F4"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0.038*</w:t>
            </w:r>
          </w:p>
        </w:tc>
      </w:tr>
      <w:tr w:rsidR="00403B07" w:rsidRPr="00FB138A" w14:paraId="56ECDF8B" w14:textId="77777777" w:rsidTr="00B01272">
        <w:tc>
          <w:tcPr>
            <w:tcW w:w="2235" w:type="dxa"/>
          </w:tcPr>
          <w:p w14:paraId="0E4B990D"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2a (partial metric invar.)</w:t>
            </w:r>
          </w:p>
        </w:tc>
        <w:tc>
          <w:tcPr>
            <w:tcW w:w="1701" w:type="dxa"/>
          </w:tcPr>
          <w:p w14:paraId="053B41F2"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114.793 (48)</w:t>
            </w:r>
          </w:p>
        </w:tc>
        <w:tc>
          <w:tcPr>
            <w:tcW w:w="1500" w:type="dxa"/>
          </w:tcPr>
          <w:p w14:paraId="4D5D998F"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1</w:t>
            </w:r>
          </w:p>
        </w:tc>
        <w:tc>
          <w:tcPr>
            <w:tcW w:w="1710" w:type="dxa"/>
          </w:tcPr>
          <w:p w14:paraId="1AD8E914"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14.767 (8)</w:t>
            </w:r>
          </w:p>
        </w:tc>
        <w:tc>
          <w:tcPr>
            <w:tcW w:w="1710" w:type="dxa"/>
          </w:tcPr>
          <w:p w14:paraId="0E726DD9"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0.064</w:t>
            </w:r>
          </w:p>
        </w:tc>
      </w:tr>
      <w:tr w:rsidR="00403B07" w:rsidRPr="00FB138A" w14:paraId="7B021A16" w14:textId="77777777" w:rsidTr="00B01272">
        <w:tc>
          <w:tcPr>
            <w:tcW w:w="2235" w:type="dxa"/>
          </w:tcPr>
          <w:p w14:paraId="5848BCCC"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3 (residual invar.)</w:t>
            </w:r>
          </w:p>
        </w:tc>
        <w:tc>
          <w:tcPr>
            <w:tcW w:w="1701" w:type="dxa"/>
          </w:tcPr>
          <w:p w14:paraId="797FCE20"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119.690 (57)</w:t>
            </w:r>
          </w:p>
        </w:tc>
        <w:tc>
          <w:tcPr>
            <w:tcW w:w="1500" w:type="dxa"/>
          </w:tcPr>
          <w:p w14:paraId="371390AB"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2a</w:t>
            </w:r>
          </w:p>
        </w:tc>
        <w:tc>
          <w:tcPr>
            <w:tcW w:w="1710" w:type="dxa"/>
          </w:tcPr>
          <w:p w14:paraId="04A1D175"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4.897 (9)</w:t>
            </w:r>
          </w:p>
        </w:tc>
        <w:tc>
          <w:tcPr>
            <w:tcW w:w="1710" w:type="dxa"/>
          </w:tcPr>
          <w:p w14:paraId="4EED271B"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0.843</w:t>
            </w:r>
          </w:p>
        </w:tc>
      </w:tr>
    </w:tbl>
    <w:p w14:paraId="1AAFB1AF" w14:textId="77777777" w:rsidR="00403B07" w:rsidRPr="00FB138A" w:rsidRDefault="00403B07" w:rsidP="00403B07">
      <w:pPr>
        <w:rPr>
          <w:rFonts w:ascii="Calibri" w:eastAsia="Calibri" w:hAnsi="Calibri" w:cs="Times New Roman"/>
          <w:sz w:val="24"/>
          <w:szCs w:val="24"/>
        </w:rPr>
      </w:pPr>
      <w:r w:rsidRPr="00FB138A">
        <w:rPr>
          <w:rFonts w:ascii="Calibri" w:eastAsia="Calibri" w:hAnsi="Calibri" w:cs="Times New Roman"/>
          <w:sz w:val="24"/>
          <w:szCs w:val="24"/>
        </w:rPr>
        <w:t>*</w:t>
      </w:r>
      <w:r w:rsidRPr="00FB138A">
        <w:rPr>
          <w:rFonts w:ascii="Calibri" w:eastAsia="Calibri" w:hAnsi="Calibri" w:cs="Times New Roman"/>
          <w:i/>
          <w:sz w:val="24"/>
          <w:szCs w:val="24"/>
        </w:rPr>
        <w:t>p</w:t>
      </w:r>
      <w:r w:rsidRPr="00FB138A">
        <w:rPr>
          <w:rFonts w:ascii="Calibri" w:eastAsia="Calibri" w:hAnsi="Calibri" w:cs="Times New Roman"/>
          <w:sz w:val="24"/>
          <w:szCs w:val="24"/>
        </w:rPr>
        <w:t>&lt;0.05, **</w:t>
      </w:r>
      <w:r w:rsidRPr="00FB138A">
        <w:rPr>
          <w:rFonts w:ascii="Calibri" w:eastAsia="Calibri" w:hAnsi="Calibri" w:cs="Times New Roman"/>
          <w:i/>
          <w:sz w:val="24"/>
          <w:szCs w:val="24"/>
        </w:rPr>
        <w:t>p</w:t>
      </w:r>
      <w:r w:rsidRPr="00FB138A">
        <w:rPr>
          <w:rFonts w:ascii="Calibri" w:eastAsia="Calibri" w:hAnsi="Calibri" w:cs="Times New Roman"/>
          <w:sz w:val="24"/>
          <w:szCs w:val="24"/>
        </w:rPr>
        <w:t>&lt;0.01</w:t>
      </w:r>
    </w:p>
    <w:p w14:paraId="61404B6E" w14:textId="77777777" w:rsidR="00403B07" w:rsidRPr="00FB138A" w:rsidRDefault="00403B07" w:rsidP="00403B07">
      <w:pPr>
        <w:rPr>
          <w:rFonts w:ascii="Calibri" w:eastAsia="Calibri" w:hAnsi="Calibri" w:cs="Times New Roman"/>
          <w:sz w:val="24"/>
          <w:szCs w:val="24"/>
        </w:rPr>
      </w:pPr>
    </w:p>
    <w:p w14:paraId="7A9AB863" w14:textId="77777777" w:rsidR="00403B07" w:rsidRPr="00FB138A" w:rsidRDefault="00403B07" w:rsidP="00403B07">
      <w:pPr>
        <w:rPr>
          <w:rFonts w:ascii="Calibri" w:eastAsia="Calibri" w:hAnsi="Calibri" w:cs="Times New Roman"/>
          <w:i/>
          <w:sz w:val="24"/>
          <w:szCs w:val="24"/>
        </w:rPr>
      </w:pPr>
      <w:r>
        <w:rPr>
          <w:rFonts w:ascii="Calibri" w:eastAsia="Calibri" w:hAnsi="Calibri" w:cs="Times New Roman"/>
          <w:i/>
          <w:sz w:val="24"/>
          <w:szCs w:val="24"/>
        </w:rPr>
        <w:t>Behaviours &amp; Strategies (B&amp;S) (</w:t>
      </w:r>
      <w:r w:rsidRPr="00FB138A">
        <w:rPr>
          <w:rFonts w:ascii="Calibri" w:eastAsia="Calibri" w:hAnsi="Calibri" w:cs="Times New Roman"/>
          <w:i/>
          <w:sz w:val="24"/>
          <w:szCs w:val="24"/>
        </w:rPr>
        <w:t>Items 33-50):</w:t>
      </w:r>
    </w:p>
    <w:p w14:paraId="1CA0B0B8" w14:textId="4B5268A1" w:rsidR="00403B07" w:rsidRDefault="00403B07" w:rsidP="00403B07">
      <w:pPr>
        <w:rPr>
          <w:rFonts w:ascii="Calibri" w:eastAsia="Calibri" w:hAnsi="Calibri" w:cs="Times New Roman"/>
          <w:sz w:val="24"/>
          <w:szCs w:val="24"/>
        </w:rPr>
      </w:pPr>
      <w:r w:rsidRPr="00FB138A">
        <w:rPr>
          <w:rFonts w:ascii="Calibri" w:eastAsia="Calibri" w:hAnsi="Calibri" w:cs="Times New Roman"/>
          <w:sz w:val="24"/>
          <w:szCs w:val="24"/>
        </w:rPr>
        <w:t xml:space="preserve">As with the other sub-scales, full metric invariance could not be established for the </w:t>
      </w:r>
      <w:r>
        <w:rPr>
          <w:rFonts w:ascii="Calibri" w:eastAsia="Calibri" w:hAnsi="Calibri" w:cs="Times New Roman"/>
          <w:sz w:val="24"/>
          <w:szCs w:val="24"/>
        </w:rPr>
        <w:t xml:space="preserve">Behaviours &amp; Strategies </w:t>
      </w:r>
      <w:r w:rsidRPr="00FB138A">
        <w:rPr>
          <w:rFonts w:ascii="Calibri" w:eastAsia="Calibri" w:hAnsi="Calibri" w:cs="Times New Roman"/>
          <w:sz w:val="24"/>
          <w:szCs w:val="24"/>
        </w:rPr>
        <w:t xml:space="preserve">sub-scale (Table </w:t>
      </w:r>
      <w:r w:rsidR="003934F8">
        <w:rPr>
          <w:rFonts w:ascii="Calibri" w:eastAsia="Calibri" w:hAnsi="Calibri" w:cs="Times New Roman"/>
          <w:sz w:val="24"/>
          <w:szCs w:val="24"/>
        </w:rPr>
        <w:t>5</w:t>
      </w:r>
      <w:r w:rsidR="00B67827">
        <w:rPr>
          <w:rFonts w:ascii="Calibri" w:eastAsia="Calibri" w:hAnsi="Calibri" w:cs="Times New Roman"/>
          <w:sz w:val="24"/>
          <w:szCs w:val="24"/>
        </w:rPr>
        <w:t>9</w:t>
      </w:r>
      <w:r w:rsidRPr="00FB138A">
        <w:rPr>
          <w:rFonts w:ascii="Calibri" w:eastAsia="Calibri" w:hAnsi="Calibri" w:cs="Times New Roman"/>
          <w:sz w:val="24"/>
          <w:szCs w:val="24"/>
        </w:rPr>
        <w:t>). Inspection of the results of the CFA with the two datasets separately revealed no very large difference in factor loadings, and for that reason inspection of modification indices guided the selection of factor loadings that were going to be allowed to be vary in a subsequent partial invariance test</w:t>
      </w:r>
      <w:r>
        <w:rPr>
          <w:rFonts w:ascii="Calibri" w:eastAsia="Calibri" w:hAnsi="Calibri" w:cs="Times New Roman"/>
          <w:sz w:val="24"/>
          <w:szCs w:val="24"/>
        </w:rPr>
        <w:t xml:space="preserve"> (Model 2 a)</w:t>
      </w:r>
      <w:r w:rsidRPr="00FB138A">
        <w:rPr>
          <w:rFonts w:ascii="Calibri" w:eastAsia="Calibri" w:hAnsi="Calibri" w:cs="Times New Roman"/>
          <w:sz w:val="24"/>
          <w:szCs w:val="24"/>
        </w:rPr>
        <w:t xml:space="preserve">. However, even when eight factor loadings were allowed to vary freely in the second sample, the fit of Model 2a was significantly different to that of Model 1. </w:t>
      </w:r>
    </w:p>
    <w:p w14:paraId="5BA834F8" w14:textId="3384B54A" w:rsidR="00403B07" w:rsidRPr="00D16A05" w:rsidRDefault="00403B07" w:rsidP="00403B07">
      <w:pPr>
        <w:rPr>
          <w:rFonts w:ascii="Calibri" w:eastAsia="Calibri" w:hAnsi="Calibri" w:cs="Times New Roman"/>
          <w:b/>
          <w:sz w:val="24"/>
          <w:szCs w:val="24"/>
        </w:rPr>
      </w:pPr>
      <w:r w:rsidRPr="00D16A05">
        <w:rPr>
          <w:rFonts w:ascii="Calibri" w:eastAsia="Calibri" w:hAnsi="Calibri" w:cs="Times New Roman"/>
          <w:b/>
          <w:sz w:val="24"/>
          <w:szCs w:val="24"/>
        </w:rPr>
        <w:t>Table</w:t>
      </w:r>
      <w:r w:rsidR="003934F8" w:rsidRPr="00D16A05">
        <w:rPr>
          <w:rFonts w:ascii="Calibri" w:eastAsia="Calibri" w:hAnsi="Calibri" w:cs="Times New Roman"/>
          <w:b/>
          <w:sz w:val="24"/>
          <w:szCs w:val="24"/>
        </w:rPr>
        <w:t xml:space="preserve"> 5</w:t>
      </w:r>
      <w:r w:rsidR="00B67827">
        <w:rPr>
          <w:rFonts w:ascii="Calibri" w:eastAsia="Calibri" w:hAnsi="Calibri" w:cs="Times New Roman"/>
          <w:b/>
          <w:sz w:val="24"/>
          <w:szCs w:val="24"/>
        </w:rPr>
        <w:t>9</w:t>
      </w:r>
      <w:r w:rsidRPr="00D16A05">
        <w:rPr>
          <w:rFonts w:ascii="Calibri" w:eastAsia="Calibri" w:hAnsi="Calibri" w:cs="Times New Roman"/>
          <w:b/>
          <w:sz w:val="24"/>
          <w:szCs w:val="24"/>
        </w:rPr>
        <w:t xml:space="preserve"> Summary of the results from the measurement invariance test of the Behaviours &amp; Strategies sub-scale. </w:t>
      </w:r>
    </w:p>
    <w:tbl>
      <w:tblPr>
        <w:tblStyle w:val="TableGrid"/>
        <w:tblW w:w="0" w:type="auto"/>
        <w:tblLook w:val="04A0" w:firstRow="1" w:lastRow="0" w:firstColumn="1" w:lastColumn="0" w:noHBand="0" w:noVBand="1"/>
      </w:tblPr>
      <w:tblGrid>
        <w:gridCol w:w="2376"/>
        <w:gridCol w:w="1697"/>
        <w:gridCol w:w="1363"/>
        <w:gridCol w:w="1710"/>
        <w:gridCol w:w="1710"/>
      </w:tblGrid>
      <w:tr w:rsidR="00403B07" w:rsidRPr="00FB138A" w14:paraId="348A5358" w14:textId="77777777" w:rsidTr="00B01272">
        <w:tc>
          <w:tcPr>
            <w:tcW w:w="2376" w:type="dxa"/>
          </w:tcPr>
          <w:p w14:paraId="5F04FBCA"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 xml:space="preserve">Model </w:t>
            </w:r>
          </w:p>
        </w:tc>
        <w:tc>
          <w:tcPr>
            <w:tcW w:w="1697" w:type="dxa"/>
          </w:tcPr>
          <w:p w14:paraId="5D3C4B39" w14:textId="77777777" w:rsidR="00403B07" w:rsidRPr="00FB138A" w:rsidRDefault="00403B07" w:rsidP="00B01272">
            <w:pPr>
              <w:rPr>
                <w:rFonts w:ascii="Calibri" w:eastAsia="Calibri" w:hAnsi="Calibri" w:cs="Times New Roman"/>
              </w:rPr>
            </w:pPr>
            <w:r w:rsidRPr="00FB138A">
              <w:rPr>
                <w:rFonts w:ascii="Calibri" w:eastAsia="Calibri" w:hAnsi="Calibri" w:cs="Times New Roman"/>
                <w:i/>
              </w:rPr>
              <w:t>χ</w:t>
            </w:r>
            <w:r w:rsidRPr="00FB138A">
              <w:rPr>
                <w:rFonts w:ascii="Calibri" w:eastAsia="Calibri" w:hAnsi="Calibri" w:cs="Times New Roman"/>
                <w:vertAlign w:val="superscript"/>
              </w:rPr>
              <w:t>2</w:t>
            </w:r>
            <w:r w:rsidRPr="00FB138A">
              <w:rPr>
                <w:rFonts w:ascii="Calibri" w:eastAsia="Calibri" w:hAnsi="Calibri" w:cs="Times New Roman"/>
              </w:rPr>
              <w:t>(df)</w:t>
            </w:r>
          </w:p>
        </w:tc>
        <w:tc>
          <w:tcPr>
            <w:tcW w:w="1363" w:type="dxa"/>
          </w:tcPr>
          <w:p w14:paraId="6D1EB78D" w14:textId="77777777" w:rsidR="00403B07" w:rsidRPr="00FB138A" w:rsidRDefault="00403B07" w:rsidP="00B01272">
            <w:pPr>
              <w:rPr>
                <w:rFonts w:ascii="Calibri" w:eastAsia="Calibri" w:hAnsi="Calibri" w:cs="Times New Roman"/>
              </w:rPr>
            </w:pPr>
            <w:r w:rsidRPr="00FB138A">
              <w:rPr>
                <w:rFonts w:ascii="Calibri" w:eastAsia="Calibri" w:hAnsi="Calibri" w:cs="Times New Roman"/>
                <w:lang w:val="en-NZ"/>
              </w:rPr>
              <w:t>Model comparison</w:t>
            </w:r>
          </w:p>
        </w:tc>
        <w:tc>
          <w:tcPr>
            <w:tcW w:w="1710" w:type="dxa"/>
          </w:tcPr>
          <w:p w14:paraId="4E748100" w14:textId="77777777" w:rsidR="00403B07" w:rsidRPr="00FB138A" w:rsidRDefault="00403B07" w:rsidP="00B01272">
            <w:pPr>
              <w:rPr>
                <w:rFonts w:ascii="Calibri" w:eastAsia="Calibri" w:hAnsi="Calibri" w:cs="Times New Roman"/>
              </w:rPr>
            </w:pPr>
            <w:r w:rsidRPr="00FB138A">
              <w:rPr>
                <w:rFonts w:ascii="Calibri" w:eastAsia="Calibri" w:hAnsi="Calibri" w:cs="Times New Roman"/>
                <w:lang w:val="en-NZ"/>
              </w:rPr>
              <w:t>Δ</w:t>
            </w:r>
            <w:r w:rsidRPr="00FB138A">
              <w:rPr>
                <w:rFonts w:ascii="Calibri" w:eastAsia="Calibri" w:hAnsi="Calibri" w:cs="Times New Roman"/>
                <w:i/>
              </w:rPr>
              <w:t>χ</w:t>
            </w:r>
            <w:r w:rsidRPr="00FB138A">
              <w:rPr>
                <w:rFonts w:ascii="Calibri" w:eastAsia="Calibri" w:hAnsi="Calibri" w:cs="Times New Roman"/>
                <w:vertAlign w:val="superscript"/>
              </w:rPr>
              <w:t>2</w:t>
            </w:r>
            <w:r w:rsidRPr="00FB138A">
              <w:rPr>
                <w:rFonts w:ascii="Calibri" w:eastAsia="Calibri" w:hAnsi="Calibri" w:cs="Times New Roman"/>
              </w:rPr>
              <w:t>(</w:t>
            </w:r>
            <w:r w:rsidRPr="00FB138A">
              <w:rPr>
                <w:rFonts w:ascii="Calibri" w:eastAsia="Calibri" w:hAnsi="Calibri" w:cs="Times New Roman"/>
                <w:lang w:val="en-NZ"/>
              </w:rPr>
              <w:t>Δ</w:t>
            </w:r>
            <w:r w:rsidRPr="00FB138A">
              <w:rPr>
                <w:rFonts w:ascii="Calibri" w:eastAsia="Calibri" w:hAnsi="Calibri" w:cs="Times New Roman"/>
              </w:rPr>
              <w:t>df)</w:t>
            </w:r>
          </w:p>
        </w:tc>
        <w:tc>
          <w:tcPr>
            <w:tcW w:w="1710" w:type="dxa"/>
          </w:tcPr>
          <w:p w14:paraId="6685C2AD" w14:textId="77777777" w:rsidR="00403B07" w:rsidRPr="00FB138A" w:rsidRDefault="00403B07" w:rsidP="00B01272">
            <w:pPr>
              <w:rPr>
                <w:rFonts w:ascii="Calibri" w:eastAsia="Calibri" w:hAnsi="Calibri" w:cs="Times New Roman"/>
              </w:rPr>
            </w:pPr>
            <w:r w:rsidRPr="00FB138A">
              <w:rPr>
                <w:rFonts w:ascii="Calibri" w:eastAsia="Calibri" w:hAnsi="Calibri" w:cs="Times New Roman"/>
                <w:i/>
              </w:rPr>
              <w:t>p</w:t>
            </w:r>
            <w:r w:rsidRPr="00FB138A">
              <w:rPr>
                <w:rFonts w:ascii="Calibri" w:eastAsia="Calibri" w:hAnsi="Calibri" w:cs="Times New Roman"/>
              </w:rPr>
              <w:t>-value</w:t>
            </w:r>
          </w:p>
        </w:tc>
      </w:tr>
      <w:tr w:rsidR="00403B07" w:rsidRPr="00FB138A" w14:paraId="34813FE5" w14:textId="77777777" w:rsidTr="00B01272">
        <w:tc>
          <w:tcPr>
            <w:tcW w:w="2376" w:type="dxa"/>
          </w:tcPr>
          <w:p w14:paraId="39AC3168"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1</w:t>
            </w:r>
            <w:r>
              <w:rPr>
                <w:rFonts w:ascii="Calibri" w:eastAsia="Calibri" w:hAnsi="Calibri" w:cs="Times New Roman"/>
              </w:rPr>
              <w:t xml:space="preserve"> (</w:t>
            </w:r>
            <w:r w:rsidRPr="00FB138A">
              <w:rPr>
                <w:rFonts w:ascii="Calibri" w:eastAsia="Calibri" w:hAnsi="Calibri" w:cs="Times New Roman"/>
              </w:rPr>
              <w:t>configural invar.)</w:t>
            </w:r>
          </w:p>
        </w:tc>
        <w:tc>
          <w:tcPr>
            <w:tcW w:w="1697" w:type="dxa"/>
          </w:tcPr>
          <w:p w14:paraId="1DF045D7"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931.872 (252)</w:t>
            </w:r>
          </w:p>
        </w:tc>
        <w:tc>
          <w:tcPr>
            <w:tcW w:w="1363" w:type="dxa"/>
          </w:tcPr>
          <w:p w14:paraId="25B40187"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w:t>
            </w:r>
          </w:p>
        </w:tc>
        <w:tc>
          <w:tcPr>
            <w:tcW w:w="1710" w:type="dxa"/>
          </w:tcPr>
          <w:p w14:paraId="05AB6945" w14:textId="77777777" w:rsidR="00403B07" w:rsidRPr="00FB138A" w:rsidRDefault="00403B07" w:rsidP="00B01272">
            <w:pPr>
              <w:rPr>
                <w:rFonts w:ascii="Calibri" w:eastAsia="Calibri" w:hAnsi="Calibri" w:cs="Times New Roman"/>
              </w:rPr>
            </w:pPr>
          </w:p>
        </w:tc>
        <w:tc>
          <w:tcPr>
            <w:tcW w:w="1710" w:type="dxa"/>
          </w:tcPr>
          <w:p w14:paraId="1BF22BA6" w14:textId="77777777" w:rsidR="00403B07" w:rsidRPr="00FB138A" w:rsidRDefault="00403B07" w:rsidP="00B01272">
            <w:pPr>
              <w:rPr>
                <w:rFonts w:ascii="Calibri" w:eastAsia="Calibri" w:hAnsi="Calibri" w:cs="Times New Roman"/>
              </w:rPr>
            </w:pPr>
          </w:p>
        </w:tc>
      </w:tr>
      <w:tr w:rsidR="00403B07" w:rsidRPr="00FB138A" w14:paraId="2ACAD8E2" w14:textId="77777777" w:rsidTr="00B01272">
        <w:tc>
          <w:tcPr>
            <w:tcW w:w="2376" w:type="dxa"/>
          </w:tcPr>
          <w:p w14:paraId="5D7CFDB2"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2 (metric invar.)</w:t>
            </w:r>
          </w:p>
        </w:tc>
        <w:tc>
          <w:tcPr>
            <w:tcW w:w="1697" w:type="dxa"/>
          </w:tcPr>
          <w:p w14:paraId="1F1D76C6"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988.929 (270)</w:t>
            </w:r>
          </w:p>
        </w:tc>
        <w:tc>
          <w:tcPr>
            <w:tcW w:w="1363" w:type="dxa"/>
          </w:tcPr>
          <w:p w14:paraId="48624CFE"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1</w:t>
            </w:r>
          </w:p>
        </w:tc>
        <w:tc>
          <w:tcPr>
            <w:tcW w:w="1710" w:type="dxa"/>
          </w:tcPr>
          <w:p w14:paraId="7E30758D"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57.057 (18)</w:t>
            </w:r>
          </w:p>
        </w:tc>
        <w:tc>
          <w:tcPr>
            <w:tcW w:w="1710" w:type="dxa"/>
          </w:tcPr>
          <w:p w14:paraId="241A94CA"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&lt;0.001**</w:t>
            </w:r>
          </w:p>
        </w:tc>
      </w:tr>
      <w:tr w:rsidR="00403B07" w:rsidRPr="00FB138A" w14:paraId="2E3BC76E" w14:textId="77777777" w:rsidTr="00B01272">
        <w:tc>
          <w:tcPr>
            <w:tcW w:w="2376" w:type="dxa"/>
          </w:tcPr>
          <w:p w14:paraId="42EF253A"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2a (partial metric invar.)</w:t>
            </w:r>
          </w:p>
        </w:tc>
        <w:tc>
          <w:tcPr>
            <w:tcW w:w="1697" w:type="dxa"/>
          </w:tcPr>
          <w:p w14:paraId="6B73F4B7"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958.43 (262)</w:t>
            </w:r>
          </w:p>
        </w:tc>
        <w:tc>
          <w:tcPr>
            <w:tcW w:w="1363" w:type="dxa"/>
          </w:tcPr>
          <w:p w14:paraId="5A7FF7BB"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1</w:t>
            </w:r>
          </w:p>
        </w:tc>
        <w:tc>
          <w:tcPr>
            <w:tcW w:w="1710" w:type="dxa"/>
          </w:tcPr>
          <w:p w14:paraId="7A4FA675"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26.558 (10)</w:t>
            </w:r>
          </w:p>
        </w:tc>
        <w:tc>
          <w:tcPr>
            <w:tcW w:w="1710" w:type="dxa"/>
          </w:tcPr>
          <w:p w14:paraId="5CB1DB6D" w14:textId="77777777" w:rsidR="00403B07" w:rsidRPr="00FB138A" w:rsidRDefault="00403B07" w:rsidP="00B01272">
            <w:pPr>
              <w:rPr>
                <w:rFonts w:ascii="Calibri" w:eastAsia="Calibri" w:hAnsi="Calibri" w:cs="Times New Roman"/>
              </w:rPr>
            </w:pPr>
            <w:r w:rsidRPr="00FB138A">
              <w:rPr>
                <w:rFonts w:ascii="Calibri" w:eastAsia="Calibri" w:hAnsi="Calibri" w:cs="Times New Roman"/>
              </w:rPr>
              <w:t>0.003**</w:t>
            </w:r>
          </w:p>
        </w:tc>
      </w:tr>
    </w:tbl>
    <w:p w14:paraId="465E90D7" w14:textId="77777777" w:rsidR="00403B07" w:rsidRPr="00FB138A" w:rsidRDefault="00403B07" w:rsidP="00403B07">
      <w:pPr>
        <w:rPr>
          <w:rFonts w:ascii="Calibri" w:eastAsia="Calibri" w:hAnsi="Calibri" w:cs="Times New Roman"/>
          <w:sz w:val="24"/>
          <w:szCs w:val="24"/>
        </w:rPr>
      </w:pPr>
      <w:r w:rsidRPr="00FB138A">
        <w:rPr>
          <w:rFonts w:ascii="Calibri" w:eastAsia="Calibri" w:hAnsi="Calibri" w:cs="Times New Roman"/>
          <w:sz w:val="24"/>
          <w:szCs w:val="24"/>
        </w:rPr>
        <w:t>*</w:t>
      </w:r>
      <w:r w:rsidRPr="00FB138A">
        <w:rPr>
          <w:rFonts w:ascii="Calibri" w:eastAsia="Calibri" w:hAnsi="Calibri" w:cs="Times New Roman"/>
          <w:i/>
          <w:sz w:val="24"/>
          <w:szCs w:val="24"/>
        </w:rPr>
        <w:t>p</w:t>
      </w:r>
      <w:r w:rsidRPr="00FB138A">
        <w:rPr>
          <w:rFonts w:ascii="Calibri" w:eastAsia="Calibri" w:hAnsi="Calibri" w:cs="Times New Roman"/>
          <w:sz w:val="24"/>
          <w:szCs w:val="24"/>
        </w:rPr>
        <w:t>&lt;0.05, **</w:t>
      </w:r>
      <w:r w:rsidRPr="00FB138A">
        <w:rPr>
          <w:rFonts w:ascii="Calibri" w:eastAsia="Calibri" w:hAnsi="Calibri" w:cs="Times New Roman"/>
          <w:i/>
          <w:sz w:val="24"/>
          <w:szCs w:val="24"/>
        </w:rPr>
        <w:t>p</w:t>
      </w:r>
      <w:r w:rsidRPr="00FB138A">
        <w:rPr>
          <w:rFonts w:ascii="Calibri" w:eastAsia="Calibri" w:hAnsi="Calibri" w:cs="Times New Roman"/>
          <w:sz w:val="24"/>
          <w:szCs w:val="24"/>
        </w:rPr>
        <w:t>&lt;0.01</w:t>
      </w:r>
    </w:p>
    <w:p w14:paraId="34E765B1" w14:textId="72DC30E0" w:rsidR="00403B07" w:rsidRDefault="00D16A05" w:rsidP="00403B07">
      <w:pPr>
        <w:rPr>
          <w:rFonts w:ascii="Calibri" w:eastAsia="Times New Roman" w:hAnsi="Calibri" w:cs="Times New Roman"/>
          <w:b/>
          <w:bCs/>
          <w:sz w:val="24"/>
          <w:szCs w:val="24"/>
        </w:rPr>
      </w:pPr>
      <w:r>
        <w:rPr>
          <w:rFonts w:ascii="Calibri" w:eastAsia="Times New Roman" w:hAnsi="Calibri" w:cs="Times New Roman"/>
          <w:b/>
          <w:bCs/>
          <w:sz w:val="24"/>
          <w:szCs w:val="24"/>
        </w:rPr>
        <w:br w:type="page"/>
      </w:r>
      <w:r w:rsidR="00403B07" w:rsidRPr="00186586">
        <w:rPr>
          <w:rFonts w:ascii="Calibri" w:eastAsia="Times New Roman" w:hAnsi="Calibri" w:cs="Times New Roman"/>
          <w:b/>
          <w:bCs/>
          <w:sz w:val="24"/>
          <w:szCs w:val="24"/>
        </w:rPr>
        <w:lastRenderedPageBreak/>
        <w:t>Discussion</w:t>
      </w:r>
    </w:p>
    <w:p w14:paraId="2C350C1F" w14:textId="30F6BB65" w:rsidR="00403B07" w:rsidRPr="00FB138A" w:rsidRDefault="00403B07" w:rsidP="00403B07">
      <w:pPr>
        <w:rPr>
          <w:sz w:val="24"/>
          <w:szCs w:val="24"/>
        </w:rPr>
      </w:pPr>
      <w:r w:rsidRPr="00FB138A">
        <w:rPr>
          <w:sz w:val="24"/>
          <w:szCs w:val="24"/>
        </w:rPr>
        <w:t xml:space="preserve">The HeLP trial </w:t>
      </w:r>
      <w:r>
        <w:rPr>
          <w:sz w:val="24"/>
          <w:szCs w:val="24"/>
        </w:rPr>
        <w:t xml:space="preserve">provided </w:t>
      </w:r>
      <w:r w:rsidRPr="00FB138A">
        <w:rPr>
          <w:sz w:val="24"/>
          <w:szCs w:val="24"/>
        </w:rPr>
        <w:t>the opportunity to develop a self-report tool to assess children’s views on what factors influenced them in making healthy lifestyle choices. The development phases were an important starting point but had limited resource</w:t>
      </w:r>
      <w:r>
        <w:rPr>
          <w:sz w:val="24"/>
          <w:szCs w:val="24"/>
        </w:rPr>
        <w:t>s, and</w:t>
      </w:r>
      <w:r w:rsidRPr="00FB138A">
        <w:rPr>
          <w:sz w:val="24"/>
          <w:szCs w:val="24"/>
        </w:rPr>
        <w:t xml:space="preserve"> therefore much of psychometric evaluation took place with the main trial dataset. Whist it would have been better to have an established questionnaire prior to commencing the trial</w:t>
      </w:r>
      <w:r>
        <w:rPr>
          <w:sz w:val="24"/>
          <w:szCs w:val="24"/>
        </w:rPr>
        <w:t>,</w:t>
      </w:r>
      <w:r w:rsidRPr="00FB138A">
        <w:rPr>
          <w:sz w:val="24"/>
          <w:szCs w:val="24"/>
        </w:rPr>
        <w:t xml:space="preserve"> the process that has been undertaken still exceeds the evaluation normally afforded to new trial measures in child health research</w:t>
      </w:r>
      <w:r>
        <w:rPr>
          <w:sz w:val="24"/>
          <w:szCs w:val="24"/>
        </w:rPr>
        <w:t xml:space="preserve"> </w:t>
      </w:r>
      <w:r>
        <w:rPr>
          <w:sz w:val="24"/>
          <w:szCs w:val="24"/>
        </w:rPr>
        <w:fldChar w:fldCharType="begin">
          <w:fldData xml:space="preserve">PEVuZE5vdGU+PENpdGU+PEF1dGhvcj5GbGV0Y2hlcjwvQXV0aG9yPjxZZWFyPjIwMTM8L1llYXI+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=
</w:fldData>
        </w:fldChar>
      </w:r>
      <w:r w:rsidR="006B3301">
        <w:rPr>
          <w:sz w:val="24"/>
          <w:szCs w:val="24"/>
        </w:rPr>
        <w:instrText xml:space="preserve"> ADDIN EN.CITE </w:instrText>
      </w:r>
      <w:r w:rsidR="006B3301">
        <w:rPr>
          <w:sz w:val="24"/>
          <w:szCs w:val="24"/>
        </w:rPr>
        <w:fldChar w:fldCharType="begin">
          <w:fldData xml:space="preserve">PEVuZE5vdGU+PENpdGU+PEF1dGhvcj5GbGV0Y2hlcjwvQXV0aG9yPjxZZWFyPjIwMTM8L1llYXI+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=
</w:fldData>
        </w:fldChar>
      </w:r>
      <w:r w:rsidR="006B3301">
        <w:rPr>
          <w:sz w:val="24"/>
          <w:szCs w:val="24"/>
        </w:rPr>
        <w:instrText xml:space="preserve"> ADDIN EN.CITE.DATA </w:instrText>
      </w:r>
      <w:r w:rsidR="006B3301">
        <w:rPr>
          <w:sz w:val="24"/>
          <w:szCs w:val="24"/>
        </w:rPr>
      </w:r>
      <w:r w:rsidR="006B3301">
        <w:rPr>
          <w:sz w:val="24"/>
          <w:szCs w:val="24"/>
        </w:rPr>
        <w:fldChar w:fldCharType="end"/>
      </w:r>
      <w:r>
        <w:rPr>
          <w:sz w:val="24"/>
          <w:szCs w:val="24"/>
        </w:rPr>
      </w:r>
      <w:r>
        <w:rPr>
          <w:sz w:val="24"/>
          <w:szCs w:val="24"/>
        </w:rPr>
        <w:fldChar w:fldCharType="separate"/>
      </w:r>
      <w:r w:rsidR="006B3301" w:rsidRPr="006B3301">
        <w:rPr>
          <w:noProof/>
          <w:sz w:val="24"/>
          <w:szCs w:val="24"/>
          <w:vertAlign w:val="superscript"/>
        </w:rPr>
        <w:t>155</w:t>
      </w:r>
      <w:r>
        <w:rPr>
          <w:sz w:val="24"/>
          <w:szCs w:val="24"/>
        </w:rPr>
        <w:fldChar w:fldCharType="end"/>
      </w:r>
      <w:r w:rsidRPr="00D74B49">
        <w:rPr>
          <w:sz w:val="24"/>
          <w:szCs w:val="24"/>
        </w:rPr>
        <w:t>.</w:t>
      </w:r>
      <w:r w:rsidRPr="00FB138A">
        <w:rPr>
          <w:sz w:val="24"/>
          <w:szCs w:val="24"/>
        </w:rPr>
        <w:t xml:space="preserve"> The large sample size and the low proportion of missing data further enhance our confidence in the data obtained for our analysis, and demonstrate we have met our first objective: that the MLQ contains items that are relevant, acceptable and feasible for 9-10 year olds to complete.  </w:t>
      </w:r>
    </w:p>
    <w:p w14:paraId="0A1ECC6B" w14:textId="77777777" w:rsidR="00403B07" w:rsidRPr="00FB138A" w:rsidRDefault="00403B07" w:rsidP="00403B07">
      <w:pPr>
        <w:rPr>
          <w:sz w:val="24"/>
          <w:szCs w:val="24"/>
        </w:rPr>
      </w:pPr>
    </w:p>
    <w:p w14:paraId="5A94DF77" w14:textId="77777777" w:rsidR="00403B07" w:rsidRPr="00FB138A" w:rsidRDefault="00403B07" w:rsidP="00403B07">
      <w:pPr>
        <w:rPr>
          <w:sz w:val="24"/>
          <w:szCs w:val="24"/>
        </w:rPr>
      </w:pPr>
      <w:r w:rsidRPr="00FB138A">
        <w:rPr>
          <w:sz w:val="24"/>
          <w:szCs w:val="24"/>
        </w:rPr>
        <w:t>For the second objective, we have gone some way towards establishing that the MLQ has psychometrically robust elements. The 45 Likert scale items have been comprehensively examined and the four-factor solution identified through the EFAs was subsequently tested separately on the Baseline and 12 months Datasets B. With some minor modifications (correlation of error variance based on shared meaning and structure), very good to excellent fits could be obtained for all sub-scales. Testing of multi</w:t>
      </w:r>
      <w:r>
        <w:rPr>
          <w:sz w:val="24"/>
          <w:szCs w:val="24"/>
        </w:rPr>
        <w:t>-</w:t>
      </w:r>
      <w:r w:rsidRPr="00FB138A">
        <w:rPr>
          <w:sz w:val="24"/>
          <w:szCs w:val="24"/>
        </w:rPr>
        <w:t xml:space="preserve">group invariance revealed some </w:t>
      </w:r>
      <w:r w:rsidRPr="00134A25">
        <w:rPr>
          <w:sz w:val="24"/>
          <w:szCs w:val="24"/>
        </w:rPr>
        <w:t xml:space="preserve">very minor differences between the baseline and 12 months datasets. For the </w:t>
      </w:r>
      <w:r>
        <w:rPr>
          <w:sz w:val="24"/>
          <w:szCs w:val="24"/>
        </w:rPr>
        <w:t xml:space="preserve">three of the </w:t>
      </w:r>
      <w:r w:rsidRPr="00134A25">
        <w:rPr>
          <w:sz w:val="24"/>
          <w:szCs w:val="24"/>
        </w:rPr>
        <w:t>sub-scales</w:t>
      </w:r>
      <w:r>
        <w:rPr>
          <w:sz w:val="24"/>
          <w:szCs w:val="24"/>
        </w:rPr>
        <w:t xml:space="preserve"> (C&amp;M, PN and FAB&amp;CA)</w:t>
      </w:r>
      <w:r w:rsidRPr="00134A25">
        <w:rPr>
          <w:sz w:val="24"/>
          <w:szCs w:val="24"/>
        </w:rPr>
        <w:t xml:space="preserve">, the factor loading of one item each was required to vary in the </w:t>
      </w:r>
      <w:r w:rsidRPr="00922AB3">
        <w:rPr>
          <w:sz w:val="24"/>
          <w:szCs w:val="24"/>
        </w:rPr>
        <w:t>replication sample, thus establishing at least partial metric invariance. The regression weight for Item 15 was very low, though, indicating that it was a candidate for removal from the scale, however we agreed to retain the item due to its conceptual importance and function together with the other two Peer Norm items (16 &amp; 17). Unfortunately, neither metric nor</w:t>
      </w:r>
      <w:r w:rsidRPr="00FB138A">
        <w:rPr>
          <w:sz w:val="24"/>
          <w:szCs w:val="24"/>
        </w:rPr>
        <w:t xml:space="preserve"> partial metric invariance could be established for the </w:t>
      </w:r>
      <w:r>
        <w:rPr>
          <w:sz w:val="24"/>
          <w:szCs w:val="24"/>
        </w:rPr>
        <w:t>B&amp;S</w:t>
      </w:r>
      <w:r w:rsidRPr="00FB138A">
        <w:rPr>
          <w:sz w:val="24"/>
          <w:szCs w:val="24"/>
        </w:rPr>
        <w:t xml:space="preserve"> sub-scale. However, the fits for the individual CFAs were very good, so the sub-scale can still be used. The lack of metric invariance indicates that the </w:t>
      </w:r>
      <w:r>
        <w:rPr>
          <w:sz w:val="24"/>
          <w:szCs w:val="24"/>
        </w:rPr>
        <w:t>B&amp;S</w:t>
      </w:r>
      <w:r w:rsidRPr="00FB138A">
        <w:rPr>
          <w:sz w:val="24"/>
          <w:szCs w:val="24"/>
        </w:rPr>
        <w:t xml:space="preserve"> sub-scale </w:t>
      </w:r>
      <w:r>
        <w:rPr>
          <w:sz w:val="24"/>
          <w:szCs w:val="24"/>
        </w:rPr>
        <w:t>will need to be used with caution when</w:t>
      </w:r>
      <w:r w:rsidRPr="00FB138A">
        <w:rPr>
          <w:sz w:val="24"/>
          <w:szCs w:val="24"/>
        </w:rPr>
        <w:t xml:space="preserve"> making comparisons across time points. </w:t>
      </w:r>
      <w:r>
        <w:rPr>
          <w:sz w:val="24"/>
          <w:szCs w:val="24"/>
        </w:rPr>
        <w:t>Furthermore</w:t>
      </w:r>
      <w:r w:rsidRPr="00FB138A">
        <w:rPr>
          <w:sz w:val="24"/>
          <w:szCs w:val="24"/>
        </w:rPr>
        <w:t xml:space="preserve"> we have not, as yet, undertaken </w:t>
      </w:r>
      <w:r>
        <w:rPr>
          <w:sz w:val="24"/>
          <w:szCs w:val="24"/>
        </w:rPr>
        <w:t xml:space="preserve">additional </w:t>
      </w:r>
      <w:r w:rsidRPr="00FB138A">
        <w:rPr>
          <w:sz w:val="24"/>
          <w:szCs w:val="24"/>
        </w:rPr>
        <w:t xml:space="preserve">testing of the Knowledge variable, which remains a simple summary score of children’s responses to five questions. There are some additional limitations </w:t>
      </w:r>
      <w:r>
        <w:rPr>
          <w:sz w:val="24"/>
          <w:szCs w:val="24"/>
        </w:rPr>
        <w:t xml:space="preserve">to the work </w:t>
      </w:r>
      <w:r w:rsidRPr="00FB138A">
        <w:rPr>
          <w:sz w:val="24"/>
          <w:szCs w:val="24"/>
        </w:rPr>
        <w:t>undertaken in that whilst a parallel test re-test study was considered it proved not possible to undertake within the resources available</w:t>
      </w:r>
      <w:r>
        <w:rPr>
          <w:sz w:val="24"/>
          <w:szCs w:val="24"/>
        </w:rPr>
        <w:t>,</w:t>
      </w:r>
      <w:r w:rsidRPr="00FB138A">
        <w:rPr>
          <w:sz w:val="24"/>
          <w:szCs w:val="24"/>
        </w:rPr>
        <w:t xml:space="preserve"> and as yet we have not tested the MLQ for associations with other similar published questionnaires in order to further establish the construct validity of the MLQ.</w:t>
      </w:r>
    </w:p>
    <w:p w14:paraId="1C4DB3B8" w14:textId="77777777" w:rsidR="00403B07" w:rsidRDefault="00403B07" w:rsidP="00403B07">
      <w:pPr>
        <w:rPr>
          <w:sz w:val="24"/>
          <w:szCs w:val="24"/>
        </w:rPr>
      </w:pPr>
    </w:p>
    <w:p w14:paraId="6BF46B5D" w14:textId="77777777" w:rsidR="00403B07" w:rsidRPr="00FB138A" w:rsidRDefault="00403B07" w:rsidP="00403B07">
      <w:pPr>
        <w:rPr>
          <w:sz w:val="24"/>
          <w:szCs w:val="24"/>
        </w:rPr>
      </w:pPr>
      <w:r w:rsidRPr="00FB138A">
        <w:rPr>
          <w:sz w:val="24"/>
          <w:szCs w:val="24"/>
        </w:rPr>
        <w:t xml:space="preserve">The overall strength of the MLQ evaluation is the emergence of five variables (Knowledge; </w:t>
      </w:r>
      <w:r>
        <w:rPr>
          <w:sz w:val="24"/>
          <w:szCs w:val="24"/>
        </w:rPr>
        <w:t xml:space="preserve">Confidence &amp; </w:t>
      </w:r>
      <w:r w:rsidRPr="00FB138A">
        <w:rPr>
          <w:sz w:val="24"/>
          <w:szCs w:val="24"/>
        </w:rPr>
        <w:t>Motivation</w:t>
      </w:r>
      <w:r>
        <w:rPr>
          <w:sz w:val="24"/>
          <w:szCs w:val="24"/>
        </w:rPr>
        <w:t>; Peer Norms; Family Approval/Behaviours &amp; Child Attitudes; Behaviours &amp; Strategies)</w:t>
      </w:r>
      <w:r w:rsidRPr="00FB138A">
        <w:rPr>
          <w:sz w:val="24"/>
          <w:szCs w:val="24"/>
        </w:rPr>
        <w:t xml:space="preserve"> which </w:t>
      </w:r>
      <w:r>
        <w:rPr>
          <w:sz w:val="24"/>
          <w:szCs w:val="24"/>
        </w:rPr>
        <w:t xml:space="preserve">link </w:t>
      </w:r>
      <w:r w:rsidRPr="00FB138A">
        <w:rPr>
          <w:sz w:val="24"/>
          <w:szCs w:val="24"/>
        </w:rPr>
        <w:t>to the underpinning model</w:t>
      </w:r>
      <w:r>
        <w:rPr>
          <w:sz w:val="24"/>
          <w:szCs w:val="24"/>
        </w:rPr>
        <w:t>s</w:t>
      </w:r>
      <w:r w:rsidRPr="00FB138A">
        <w:rPr>
          <w:sz w:val="24"/>
          <w:szCs w:val="24"/>
        </w:rPr>
        <w:t xml:space="preserve"> for the intervention (the </w:t>
      </w:r>
      <w:r w:rsidRPr="00FB138A">
        <w:rPr>
          <w:sz w:val="24"/>
          <w:szCs w:val="24"/>
        </w:rPr>
        <w:lastRenderedPageBreak/>
        <w:t>IMB model</w:t>
      </w:r>
      <w:r>
        <w:rPr>
          <w:sz w:val="24"/>
          <w:szCs w:val="24"/>
        </w:rPr>
        <w:t xml:space="preserve"> and the trial logic model</w:t>
      </w:r>
      <w:r w:rsidRPr="00FB138A">
        <w:rPr>
          <w:sz w:val="24"/>
          <w:szCs w:val="24"/>
        </w:rPr>
        <w:t xml:space="preserve">). </w:t>
      </w:r>
      <w:r>
        <w:rPr>
          <w:sz w:val="24"/>
          <w:szCs w:val="24"/>
        </w:rPr>
        <w:t xml:space="preserve">A further limitation of this work is that the predominantly statistically driven approach and the </w:t>
      </w:r>
      <w:r w:rsidRPr="00FB138A">
        <w:rPr>
          <w:sz w:val="24"/>
          <w:szCs w:val="24"/>
        </w:rPr>
        <w:t xml:space="preserve">relatively small number of </w:t>
      </w:r>
      <w:r>
        <w:rPr>
          <w:sz w:val="24"/>
          <w:szCs w:val="24"/>
        </w:rPr>
        <w:t xml:space="preserve">composite </w:t>
      </w:r>
      <w:r w:rsidRPr="00FB138A">
        <w:rPr>
          <w:sz w:val="24"/>
          <w:szCs w:val="24"/>
        </w:rPr>
        <w:t>variables mean</w:t>
      </w:r>
      <w:r>
        <w:rPr>
          <w:sz w:val="24"/>
          <w:szCs w:val="24"/>
        </w:rPr>
        <w:t>s</w:t>
      </w:r>
      <w:r w:rsidRPr="00FB138A">
        <w:rPr>
          <w:sz w:val="24"/>
          <w:szCs w:val="24"/>
        </w:rPr>
        <w:t xml:space="preserve"> the theoretical detail underpinning some individual items </w:t>
      </w:r>
      <w:r>
        <w:rPr>
          <w:sz w:val="24"/>
          <w:szCs w:val="24"/>
        </w:rPr>
        <w:t xml:space="preserve">has been </w:t>
      </w:r>
      <w:r w:rsidRPr="00FB138A">
        <w:rPr>
          <w:sz w:val="24"/>
          <w:szCs w:val="24"/>
        </w:rPr>
        <w:t>lost</w:t>
      </w:r>
      <w:r>
        <w:rPr>
          <w:sz w:val="24"/>
          <w:szCs w:val="24"/>
        </w:rPr>
        <w:t>. However, t</w:t>
      </w:r>
      <w:r w:rsidRPr="00FB138A">
        <w:rPr>
          <w:sz w:val="24"/>
          <w:szCs w:val="24"/>
        </w:rPr>
        <w:t>hese five provide a useful parsimonious set of variables for the trial mediational analysis</w:t>
      </w:r>
      <w:r>
        <w:rPr>
          <w:sz w:val="24"/>
          <w:szCs w:val="24"/>
        </w:rPr>
        <w:t xml:space="preserve">, suggesting </w:t>
      </w:r>
      <w:r w:rsidRPr="00FB138A">
        <w:rPr>
          <w:sz w:val="24"/>
          <w:szCs w:val="24"/>
        </w:rPr>
        <w:t>we have met our third objective of demonstrating that the MLQ is fit for purpose to use in a mediational analysis as part of the process evaluation of the HeLP trial.</w:t>
      </w:r>
    </w:p>
    <w:p w14:paraId="1AC7C09B" w14:textId="77777777" w:rsidR="00403B07" w:rsidRDefault="00403B07" w:rsidP="00403B07">
      <w:pPr>
        <w:rPr>
          <w:b/>
          <w:sz w:val="24"/>
          <w:szCs w:val="24"/>
        </w:rPr>
      </w:pPr>
    </w:p>
    <w:p w14:paraId="7C34AA7C" w14:textId="77777777" w:rsidR="00403B07" w:rsidRDefault="00403B07" w:rsidP="00403B07">
      <w:pPr>
        <w:rPr>
          <w:sz w:val="24"/>
          <w:szCs w:val="24"/>
        </w:rPr>
      </w:pPr>
      <w:r w:rsidRPr="00FB138A">
        <w:rPr>
          <w:b/>
          <w:sz w:val="24"/>
          <w:szCs w:val="24"/>
        </w:rPr>
        <w:t xml:space="preserve">Conclusion </w:t>
      </w:r>
      <w:r w:rsidRPr="00FB138A">
        <w:rPr>
          <w:sz w:val="24"/>
          <w:szCs w:val="24"/>
        </w:rPr>
        <w:t>We have developed and evaluated a self-report tool, called the My Lifestyle Questionnaire (MLQ), which assesses the components of the HeLP trial intervention. The MLQ contains items that are relevant, acceptable and feasible for 9-10 year olds to complete in a timely manner</w:t>
      </w:r>
      <w:r>
        <w:rPr>
          <w:sz w:val="24"/>
          <w:szCs w:val="24"/>
        </w:rPr>
        <w:t>,</w:t>
      </w:r>
      <w:r w:rsidRPr="00FB138A">
        <w:rPr>
          <w:sz w:val="24"/>
          <w:szCs w:val="24"/>
        </w:rPr>
        <w:t xml:space="preserve"> and </w:t>
      </w:r>
      <w:r>
        <w:rPr>
          <w:sz w:val="24"/>
          <w:szCs w:val="24"/>
        </w:rPr>
        <w:t xml:space="preserve">much of </w:t>
      </w:r>
      <w:r w:rsidRPr="00FB138A">
        <w:rPr>
          <w:sz w:val="24"/>
          <w:szCs w:val="24"/>
        </w:rPr>
        <w:t xml:space="preserve">the MLQ </w:t>
      </w:r>
      <w:r>
        <w:rPr>
          <w:sz w:val="24"/>
          <w:szCs w:val="24"/>
        </w:rPr>
        <w:t xml:space="preserve">has been assessed for its </w:t>
      </w:r>
      <w:r w:rsidRPr="00FB138A">
        <w:rPr>
          <w:sz w:val="24"/>
          <w:szCs w:val="24"/>
        </w:rPr>
        <w:t>psychometric</w:t>
      </w:r>
      <w:r>
        <w:rPr>
          <w:sz w:val="24"/>
          <w:szCs w:val="24"/>
        </w:rPr>
        <w:t xml:space="preserve"> properties</w:t>
      </w:r>
      <w:r w:rsidRPr="00FB138A">
        <w:rPr>
          <w:sz w:val="24"/>
          <w:szCs w:val="24"/>
        </w:rPr>
        <w:t xml:space="preserve">. Five </w:t>
      </w:r>
      <w:r>
        <w:rPr>
          <w:sz w:val="24"/>
          <w:szCs w:val="24"/>
        </w:rPr>
        <w:t xml:space="preserve">composite </w:t>
      </w:r>
      <w:r w:rsidRPr="00FB138A">
        <w:rPr>
          <w:sz w:val="24"/>
          <w:szCs w:val="24"/>
        </w:rPr>
        <w:t xml:space="preserve">variables have emerged </w:t>
      </w:r>
      <w:r>
        <w:rPr>
          <w:sz w:val="24"/>
          <w:szCs w:val="24"/>
        </w:rPr>
        <w:t xml:space="preserve">from the statistical analysis </w:t>
      </w:r>
      <w:r w:rsidRPr="00FB138A">
        <w:rPr>
          <w:sz w:val="24"/>
          <w:szCs w:val="24"/>
        </w:rPr>
        <w:t>and have been deemed fit for use in a mediational analysis as part of the process evaluation of the HeLP trial. Future additional evaluation of the MLQ could include further tests for reliability and construct validity</w:t>
      </w:r>
      <w:r>
        <w:rPr>
          <w:sz w:val="24"/>
          <w:szCs w:val="24"/>
        </w:rPr>
        <w:t xml:space="preserve"> and further examination and use of the MLQ items that have a strong theoretical basis</w:t>
      </w:r>
      <w:r w:rsidRPr="00FB138A">
        <w:rPr>
          <w:sz w:val="24"/>
          <w:szCs w:val="24"/>
        </w:rPr>
        <w:t>.</w:t>
      </w:r>
    </w:p>
    <w:bookmarkEnd w:id="693"/>
    <w:p w14:paraId="65CC37A0" w14:textId="18462C9C" w:rsidR="00382E56" w:rsidRDefault="00382E56">
      <w:r>
        <w:br w:type="page"/>
      </w:r>
    </w:p>
    <w:p w14:paraId="572A0D60" w14:textId="4258A147" w:rsidR="00403B07" w:rsidRDefault="00382E56" w:rsidP="00AB4D98">
      <w:pPr>
        <w:pStyle w:val="Heading1"/>
      </w:pPr>
      <w:bookmarkStart w:id="695" w:name="_Toc475974427"/>
      <w:r>
        <w:lastRenderedPageBreak/>
        <w:t>References</w:t>
      </w:r>
      <w:bookmarkEnd w:id="695"/>
      <w:r>
        <w:t xml:space="preserve"> </w:t>
      </w:r>
    </w:p>
    <w:p w14:paraId="5C13F465" w14:textId="77777777" w:rsidR="00382E56" w:rsidRDefault="00382E56" w:rsidP="00861557">
      <w:pPr>
        <w:rPr>
          <w:rFonts w:cstheme="minorHAnsi"/>
        </w:rPr>
      </w:pPr>
    </w:p>
    <w:p w14:paraId="6B2A0A58" w14:textId="7A7E7590" w:rsidR="00D91A26" w:rsidRPr="00D91A26" w:rsidRDefault="00382E56" w:rsidP="00D91A26">
      <w:pPr>
        <w:pStyle w:val="EndNoteBibliography"/>
        <w:spacing w:after="0"/>
      </w:pPr>
      <w:r>
        <w:rPr>
          <w:rFonts w:cstheme="minorHAnsi"/>
        </w:rPr>
        <w:fldChar w:fldCharType="begin"/>
      </w:r>
      <w:r>
        <w:rPr>
          <w:rFonts w:cstheme="minorHAnsi"/>
        </w:rPr>
        <w:instrText xml:space="preserve"> ADDIN EN.REFLIST </w:instrText>
      </w:r>
      <w:r>
        <w:rPr>
          <w:rFonts w:cstheme="minorHAnsi"/>
        </w:rPr>
        <w:fldChar w:fldCharType="separate"/>
      </w:r>
      <w:r w:rsidR="00D91A26" w:rsidRPr="00D91A26">
        <w:t>1.</w:t>
      </w:r>
      <w:r w:rsidR="00D91A26" w:rsidRPr="00D91A26">
        <w:tab/>
        <w:t xml:space="preserve">National Child Measurement Programme England, 2015/16 school year, : NHS Digital; 2016 Available from: </w:t>
      </w:r>
      <w:hyperlink r:id="rId57" w:history="1">
        <w:r w:rsidR="00D91A26" w:rsidRPr="00D91A26">
          <w:rPr>
            <w:rStyle w:val="Hyperlink"/>
          </w:rPr>
          <w:t>http://content.digital.nhs.uk/catalogue/PUB22269/nati-chil-meas-prog-eng-2015-2016-rep.pdf</w:t>
        </w:r>
      </w:hyperlink>
      <w:r w:rsidR="00D91A26" w:rsidRPr="00D91A26">
        <w:t>. Accessed 01 Oct 2016</w:t>
      </w:r>
    </w:p>
    <w:p w14:paraId="3E532E7A" w14:textId="433800DF" w:rsidR="00D91A26" w:rsidRPr="00D91A26" w:rsidRDefault="00D91A26" w:rsidP="00D91A26">
      <w:pPr>
        <w:pStyle w:val="EndNoteBibliography"/>
        <w:spacing w:after="0"/>
      </w:pPr>
      <w:r w:rsidRPr="00D91A26">
        <w:t>2.</w:t>
      </w:r>
      <w:r w:rsidRPr="00D91A26">
        <w:tab/>
        <w:t xml:space="preserve">NOO National Obesity Observatory. Child Obesity and Socioeconomic Status 2012 Available from: </w:t>
      </w:r>
      <w:hyperlink r:id="rId58" w:history="1">
        <w:r w:rsidRPr="00D91A26">
          <w:rPr>
            <w:rStyle w:val="Hyperlink"/>
          </w:rPr>
          <w:t>http://www.noo.org.uk/uploads/doc/vid_16967_ChildSocioeconSep2012.pdf</w:t>
        </w:r>
      </w:hyperlink>
      <w:r w:rsidRPr="00D91A26">
        <w:t>. Accessed 03 Sept 2016</w:t>
      </w:r>
    </w:p>
    <w:p w14:paraId="0CBD8EC0" w14:textId="77777777" w:rsidR="00D91A26" w:rsidRPr="00D91A26" w:rsidRDefault="00D91A26" w:rsidP="00D91A26">
      <w:pPr>
        <w:pStyle w:val="EndNoteBibliography"/>
        <w:spacing w:after="0"/>
      </w:pPr>
      <w:r w:rsidRPr="00D91A26">
        <w:t>3.</w:t>
      </w:r>
      <w:r w:rsidRPr="00D91A26">
        <w:tab/>
        <w:t>Simmonds M, Llewellyn A, Owen CG, Woolacott N. Predicting adult obesity from childhood obesity: a systematic review and meta-analysis. Obes Rev. 2016;17(2):95-107.</w:t>
      </w:r>
    </w:p>
    <w:p w14:paraId="0905B05F" w14:textId="77777777" w:rsidR="00D91A26" w:rsidRPr="00D91A26" w:rsidRDefault="00D91A26" w:rsidP="00D91A26">
      <w:pPr>
        <w:pStyle w:val="EndNoteBibliography"/>
        <w:spacing w:after="0"/>
      </w:pPr>
      <w:r w:rsidRPr="00D91A26">
        <w:t>4.</w:t>
      </w:r>
      <w:r w:rsidRPr="00D91A26">
        <w:tab/>
        <w:t>Wang Y, Cai L, Wu Y, Wilson RF, Weston C, Fawole O, et al. What childhood obesity prevention programmes work? A systematic review and meta-analysis. Obes Rev. 2015;16(7):547-65.</w:t>
      </w:r>
    </w:p>
    <w:p w14:paraId="308E34B1" w14:textId="77777777" w:rsidR="00D91A26" w:rsidRPr="00D91A26" w:rsidRDefault="00D91A26" w:rsidP="00D91A26">
      <w:pPr>
        <w:pStyle w:val="EndNoteBibliography"/>
        <w:spacing w:after="0"/>
      </w:pPr>
      <w:r w:rsidRPr="00D91A26">
        <w:t>5.</w:t>
      </w:r>
      <w:r w:rsidRPr="00D91A26">
        <w:tab/>
        <w:t>Wang Y, Wu Y, Wilson RF, Bleich S, Cheskin L, Weston C, et al. Childhood Obesity Prevention Programs: Comparative Effectiveness Review and Meta-Analysis. In. Rockville (MD); 2013.</w:t>
      </w:r>
    </w:p>
    <w:p w14:paraId="557889F1" w14:textId="77777777" w:rsidR="00D91A26" w:rsidRPr="00D91A26" w:rsidRDefault="00D91A26" w:rsidP="00D91A26">
      <w:pPr>
        <w:pStyle w:val="EndNoteBibliography"/>
        <w:spacing w:after="0"/>
      </w:pPr>
      <w:r w:rsidRPr="00D91A26">
        <w:t>6.</w:t>
      </w:r>
      <w:r w:rsidRPr="00D91A26">
        <w:tab/>
        <w:t>Summerbell CD, Waters E, Edmunds LD, Kelly S, Brown T, Campbell KJ. Interventions for preventing obesity in children. Cochrane Database of Systematic Reviews: Reviews. 2005;Issue 3.</w:t>
      </w:r>
    </w:p>
    <w:p w14:paraId="5C2F1266" w14:textId="77777777" w:rsidR="00D91A26" w:rsidRPr="00D91A26" w:rsidRDefault="00D91A26" w:rsidP="00D91A26">
      <w:pPr>
        <w:pStyle w:val="EndNoteBibliography"/>
        <w:spacing w:after="0"/>
      </w:pPr>
      <w:r w:rsidRPr="00D91A26">
        <w:t>7.</w:t>
      </w:r>
      <w:r w:rsidRPr="00D91A26">
        <w:tab/>
        <w:t>Khambalia AZ, Dickinson S, Hardy LL, Gill T, Baur LA. A synthesis of existing systematic reviews and meta-analyses of school-based behavioural interventions for controlling and preventing obesity. Obes Rev. 2012;13(3):214-33.</w:t>
      </w:r>
    </w:p>
    <w:p w14:paraId="33C63B6E" w14:textId="77777777" w:rsidR="00D91A26" w:rsidRPr="00D91A26" w:rsidRDefault="00D91A26" w:rsidP="00D91A26">
      <w:pPr>
        <w:pStyle w:val="EndNoteBibliography"/>
        <w:spacing w:after="0"/>
      </w:pPr>
      <w:r w:rsidRPr="00D91A26">
        <w:t>8.</w:t>
      </w:r>
      <w:r w:rsidRPr="00D91A26">
        <w:tab/>
        <w:t>Cook-Cottone C, Casey CM, Feeley TH. A meta-analytic review of obesity prevention in the schools 1997-2008. Psychol Sch. 2009;46:695-719.</w:t>
      </w:r>
    </w:p>
    <w:p w14:paraId="18691BC3" w14:textId="77777777" w:rsidR="00D91A26" w:rsidRPr="00D91A26" w:rsidRDefault="00D91A26" w:rsidP="00D91A26">
      <w:pPr>
        <w:pStyle w:val="EndNoteBibliography"/>
        <w:spacing w:after="0"/>
      </w:pPr>
      <w:r w:rsidRPr="00D91A26">
        <w:t>9.</w:t>
      </w:r>
      <w:r w:rsidRPr="00D91A26">
        <w:tab/>
        <w:t>Gonzalez-Suarez C, Worley A, Grimmer-Somers K, Dones V. School-based interventions on childhood obesity: a meta-analysis. Am J Prev Med. 2009;37(5):418-27.</w:t>
      </w:r>
    </w:p>
    <w:p w14:paraId="2B151C1F" w14:textId="77777777" w:rsidR="00D91A26" w:rsidRPr="00D91A26" w:rsidRDefault="00D91A26" w:rsidP="00D91A26">
      <w:pPr>
        <w:pStyle w:val="EndNoteBibliography"/>
        <w:spacing w:after="0"/>
      </w:pPr>
      <w:r w:rsidRPr="00D91A26">
        <w:t>10.</w:t>
      </w:r>
      <w:r w:rsidRPr="00D91A26">
        <w:tab/>
        <w:t>Katz D. School-based interventions for health promotion and weight control: not just waiting on the world to change. Annu Rev Public Health. 2009;30:253-72.</w:t>
      </w:r>
    </w:p>
    <w:p w14:paraId="743DD771" w14:textId="77777777" w:rsidR="00D91A26" w:rsidRPr="00D91A26" w:rsidRDefault="00D91A26" w:rsidP="00D91A26">
      <w:pPr>
        <w:pStyle w:val="EndNoteBibliography"/>
        <w:spacing w:after="0"/>
      </w:pPr>
      <w:r w:rsidRPr="00D91A26">
        <w:t>11.</w:t>
      </w:r>
      <w:r w:rsidRPr="00D91A26">
        <w:tab/>
        <w:t>Brown T, Summerbell C. Systematic review of school-based interventions that focus on changing dietary intake and physical activity levels to prevent childhood obesity: an update to the obesity guidance produced by the National Institute for Health and Clinical Excellence. Obes Rev. 2009;10(1):110-41.</w:t>
      </w:r>
    </w:p>
    <w:p w14:paraId="3B7154AB" w14:textId="77777777" w:rsidR="00D91A26" w:rsidRPr="00D91A26" w:rsidRDefault="00D91A26" w:rsidP="00D91A26">
      <w:pPr>
        <w:pStyle w:val="EndNoteBibliography"/>
        <w:spacing w:after="0"/>
      </w:pPr>
      <w:r w:rsidRPr="00D91A26">
        <w:t>12.</w:t>
      </w:r>
      <w:r w:rsidRPr="00D91A26">
        <w:tab/>
        <w:t>Kropski JA, Keckley PH, Jensen GL. School-based obesity prevention programs: an evidence-based review. Obesity. 2008;16(5):1009-18.</w:t>
      </w:r>
    </w:p>
    <w:p w14:paraId="79AF6CF1" w14:textId="77777777" w:rsidR="00D91A26" w:rsidRPr="00D91A26" w:rsidRDefault="00D91A26" w:rsidP="00D91A26">
      <w:pPr>
        <w:pStyle w:val="EndNoteBibliography"/>
        <w:spacing w:after="0"/>
      </w:pPr>
      <w:r w:rsidRPr="00D91A26">
        <w:t>13.</w:t>
      </w:r>
      <w:r w:rsidRPr="00D91A26">
        <w:tab/>
        <w:t>Foster GD, Linder B, Baranowski T, Cooper DM, Goldberg L, Harrell JS, et al. A school-based intervention for diabetes risk reduction. N Engl J Med. 2010;363(5):443-53.</w:t>
      </w:r>
    </w:p>
    <w:p w14:paraId="02AA90D8" w14:textId="77777777" w:rsidR="00D91A26" w:rsidRPr="00D91A26" w:rsidRDefault="00D91A26" w:rsidP="00D91A26">
      <w:pPr>
        <w:pStyle w:val="EndNoteBibliography"/>
        <w:spacing w:after="0"/>
      </w:pPr>
      <w:r w:rsidRPr="00D91A26">
        <w:t>14.</w:t>
      </w:r>
      <w:r w:rsidRPr="00D91A26">
        <w:tab/>
        <w:t>Grydeland M, Bjelland M, Anderssen SA, Klepp KI, Bergh IH, Andersen LF, et al. Effects of a 20-month cluster randomised controlled school-based intervention trial on BMI of school-aged boys and girls: the HEIA study. Br J Sports Med. 2014;48(9):768-73.</w:t>
      </w:r>
    </w:p>
    <w:p w14:paraId="6A6708AA" w14:textId="77777777" w:rsidR="00D91A26" w:rsidRPr="00D91A26" w:rsidRDefault="00D91A26" w:rsidP="00D91A26">
      <w:pPr>
        <w:pStyle w:val="EndNoteBibliography"/>
        <w:spacing w:after="0"/>
      </w:pPr>
      <w:r w:rsidRPr="00D91A26">
        <w:t>15.</w:t>
      </w:r>
      <w:r w:rsidRPr="00D91A26">
        <w:tab/>
        <w:t>Jansen W, Borsboom G, Meima A, Zwanenburg EJ, Mackenbach JP, Raat H, et al. Effectiveness of a primary school-based intervention to reduce overweight. Int J Pediatr Obes. 2011;6(2-2):e70-7.</w:t>
      </w:r>
    </w:p>
    <w:p w14:paraId="70B80E1A" w14:textId="77777777" w:rsidR="00D91A26" w:rsidRPr="00D91A26" w:rsidRDefault="00D91A26" w:rsidP="00D91A26">
      <w:pPr>
        <w:pStyle w:val="EndNoteBibliography"/>
        <w:spacing w:after="0"/>
      </w:pPr>
      <w:r w:rsidRPr="00D91A26">
        <w:t>16.</w:t>
      </w:r>
      <w:r w:rsidRPr="00D91A26">
        <w:tab/>
        <w:t>Kipping RR, Howe LD, Jago R, Campbell R, Wells S, Chittleborough CR, et al. Effect of intervention aimed at increasing physical activity, reducing sedentary behaviour, and increasing fruit and vegetable consumption in children: active for Life Year 5 (AFLY5) school based cluster randomised controlled trial. BMJ. 2014;348:g3256.</w:t>
      </w:r>
    </w:p>
    <w:p w14:paraId="25138860" w14:textId="77777777" w:rsidR="00D91A26" w:rsidRPr="00D91A26" w:rsidRDefault="00D91A26" w:rsidP="00D91A26">
      <w:pPr>
        <w:pStyle w:val="EndNoteBibliography"/>
        <w:spacing w:after="0"/>
      </w:pPr>
      <w:r w:rsidRPr="00D91A26">
        <w:t>17.</w:t>
      </w:r>
      <w:r w:rsidRPr="00D91A26">
        <w:tab/>
        <w:t>Gortmaker SL, Peterson K, Wiecha J, Sobol AM, Dixit S, Fox MK, et al. Reducing obesity via a school-based interdisciplinary intervention among youth: Planet Health. Arch Pediatr Adolesc Med. 1999;153(4):409-18.</w:t>
      </w:r>
    </w:p>
    <w:p w14:paraId="5E74D8A6" w14:textId="77777777" w:rsidR="00D91A26" w:rsidRPr="00D91A26" w:rsidRDefault="00D91A26" w:rsidP="00D91A26">
      <w:pPr>
        <w:pStyle w:val="EndNoteBibliography"/>
        <w:spacing w:after="0"/>
      </w:pPr>
      <w:r w:rsidRPr="00D91A26">
        <w:t>18.</w:t>
      </w:r>
      <w:r w:rsidRPr="00D91A26">
        <w:tab/>
        <w:t xml:space="preserve">Bartholomew LK, Markham, C. M., Ruiter, R., Fernández, M. E,, Kok, G. &amp; Parcel, G.S. . </w:t>
      </w:r>
      <w:r w:rsidRPr="00D91A26">
        <w:rPr>
          <w:i/>
        </w:rPr>
        <w:t>Planning Health Promotion Programmes An Intervention mapping Approach (4th Ed)</w:t>
      </w:r>
      <w:r w:rsidRPr="00D91A26">
        <w:t>; 2016.</w:t>
      </w:r>
    </w:p>
    <w:p w14:paraId="2A0DDF48" w14:textId="77777777" w:rsidR="00D91A26" w:rsidRPr="00D91A26" w:rsidRDefault="00D91A26" w:rsidP="00D91A26">
      <w:pPr>
        <w:pStyle w:val="EndNoteBibliography"/>
        <w:spacing w:after="0"/>
      </w:pPr>
      <w:r w:rsidRPr="00D91A26">
        <w:lastRenderedPageBreak/>
        <w:t>19.</w:t>
      </w:r>
      <w:r w:rsidRPr="00D91A26">
        <w:tab/>
        <w:t>Craig P, Dieppe P, Macintyre S, Michie S, Nazareth I, Petticrew M. Developing and evaluating complex interventions: the new Medical Research Council guidance. Br Med J. 2008;337:a1655.</w:t>
      </w:r>
    </w:p>
    <w:p w14:paraId="51753F8E" w14:textId="77777777" w:rsidR="00D91A26" w:rsidRPr="00D91A26" w:rsidRDefault="00D91A26" w:rsidP="00D91A26">
      <w:pPr>
        <w:pStyle w:val="EndNoteBibliography"/>
        <w:spacing w:after="0"/>
      </w:pPr>
      <w:r w:rsidRPr="00D91A26">
        <w:t>20.</w:t>
      </w:r>
      <w:r w:rsidRPr="00D91A26">
        <w:tab/>
        <w:t>Baranowski Y, Cerin, E., Baranowski, J. Steps in the design, development and formative evaluation of obesity prevention-related behavior change trials. Int J Behav Nutr Phys Act. 2009;6(6).</w:t>
      </w:r>
    </w:p>
    <w:p w14:paraId="1C91C1C2" w14:textId="77777777" w:rsidR="00D91A26" w:rsidRPr="00D91A26" w:rsidRDefault="00D91A26" w:rsidP="00D91A26">
      <w:pPr>
        <w:pStyle w:val="EndNoteBibliography"/>
        <w:spacing w:after="0"/>
      </w:pPr>
      <w:r w:rsidRPr="00D91A26">
        <w:t>21.</w:t>
      </w:r>
      <w:r w:rsidRPr="00D91A26">
        <w:tab/>
        <w:t>Langford R, Campbell R, Magnus D, Bonell CP, Murphy SM, Waters E, et al. The WHO Health Promoting School framework for improving the health and well‐being of students and staff. The Cochrane Library. 2011;10.1002/14651858.CD008958.</w:t>
      </w:r>
    </w:p>
    <w:p w14:paraId="26F810E8" w14:textId="77777777" w:rsidR="00D91A26" w:rsidRPr="00D91A26" w:rsidRDefault="00D91A26" w:rsidP="00D91A26">
      <w:pPr>
        <w:pStyle w:val="EndNoteBibliography"/>
        <w:spacing w:after="0"/>
      </w:pPr>
      <w:r w:rsidRPr="00D91A26">
        <w:t>22.</w:t>
      </w:r>
      <w:r w:rsidRPr="00D91A26">
        <w:tab/>
        <w:t>Hesketh K, Waters E, Green J, Salmon L, Williams J. Healthy eating, activity and obesity prevention: a qualitative study of parent and child perceptions in Australia. Health Promot Int. 2005;20(1):19 - 26.</w:t>
      </w:r>
    </w:p>
    <w:p w14:paraId="24169158" w14:textId="77777777" w:rsidR="00D91A26" w:rsidRPr="00D91A26" w:rsidRDefault="00D91A26" w:rsidP="00D91A26">
      <w:pPr>
        <w:pStyle w:val="EndNoteBibliography"/>
        <w:spacing w:after="0"/>
      </w:pPr>
      <w:r w:rsidRPr="00D91A26">
        <w:t>23.</w:t>
      </w:r>
      <w:r w:rsidRPr="00D91A26">
        <w:tab/>
        <w:t>Sonneville K, La Pelle N, Taveras E, Gillman M, Prosser L. Economic and other barriers to adopting recommendations to prevent childhood obesity: results of a focus group study with parents. BMC Pediatr. 2009;9(1):81.</w:t>
      </w:r>
    </w:p>
    <w:p w14:paraId="7D3AC633" w14:textId="77777777" w:rsidR="00D91A26" w:rsidRPr="00D91A26" w:rsidRDefault="00D91A26" w:rsidP="00D91A26">
      <w:pPr>
        <w:pStyle w:val="EndNoteBibliography"/>
        <w:spacing w:after="0"/>
      </w:pPr>
      <w:r w:rsidRPr="00D91A26">
        <w:t>24.</w:t>
      </w:r>
      <w:r w:rsidRPr="00D91A26">
        <w:tab/>
        <w:t>Joronen K, Rankin SH, Astedt-Kurkip P. School-based drama interventions in health promotion for children and adolescents; systematic review. J Adv Nurs. 2008;63(2):116-31.</w:t>
      </w:r>
    </w:p>
    <w:p w14:paraId="551AFB1E" w14:textId="77777777" w:rsidR="00D91A26" w:rsidRPr="00D91A26" w:rsidRDefault="00D91A26" w:rsidP="00D91A26">
      <w:pPr>
        <w:pStyle w:val="EndNoteBibliography"/>
        <w:spacing w:after="0"/>
      </w:pPr>
      <w:r w:rsidRPr="00D91A26">
        <w:t>25.</w:t>
      </w:r>
      <w:r w:rsidRPr="00D91A26">
        <w:tab/>
        <w:t xml:space="preserve">Fisher J, Fisher W. The information-motivation-behavioral skills model. In: DiClemente R, Crosby R, Kegler M, editors. </w:t>
      </w:r>
      <w:r w:rsidRPr="00D91A26">
        <w:rPr>
          <w:i/>
        </w:rPr>
        <w:t>Emerging theories in health promotion practice and research</w:t>
      </w:r>
      <w:r w:rsidRPr="00D91A26">
        <w:t>. San Fransisco: Jossy-Bass; 2002:40-70.</w:t>
      </w:r>
    </w:p>
    <w:p w14:paraId="691C34D7" w14:textId="77777777" w:rsidR="00D91A26" w:rsidRPr="00D91A26" w:rsidRDefault="00D91A26" w:rsidP="00D91A26">
      <w:pPr>
        <w:pStyle w:val="EndNoteBibliography"/>
        <w:spacing w:after="0"/>
      </w:pPr>
      <w:r w:rsidRPr="00D91A26">
        <w:t>26.</w:t>
      </w:r>
      <w:r w:rsidRPr="00D91A26">
        <w:tab/>
        <w:t xml:space="preserve">Schwarzer R. Self-efficacy in the adoption and maintenance of health behaviors: Theoretical approaches and a new model. In: R S, editor. </w:t>
      </w:r>
      <w:r w:rsidRPr="00D91A26">
        <w:rPr>
          <w:i/>
        </w:rPr>
        <w:t>Self-efficacy: thought control of action</w:t>
      </w:r>
      <w:r w:rsidRPr="00D91A26">
        <w:t>. London: Hemisphere; 1992:217-43.</w:t>
      </w:r>
    </w:p>
    <w:p w14:paraId="217A5EBB" w14:textId="68DC77F7" w:rsidR="00D91A26" w:rsidRPr="00D91A26" w:rsidRDefault="00D91A26" w:rsidP="00D91A26">
      <w:pPr>
        <w:pStyle w:val="EndNoteBibliography"/>
        <w:spacing w:after="0"/>
      </w:pPr>
      <w:r w:rsidRPr="00D91A26">
        <w:t>27.</w:t>
      </w:r>
      <w:r w:rsidRPr="00D91A26">
        <w:tab/>
        <w:t xml:space="preserve">Wyatt KM, Lloyd JJ, Creanor S, Logan S. The development, feasibility and acceptability of a school-based obesity prevention programme: results from three phases of piloting. BMJ Open [Internet]. 2011 13 September 2011; 1(1):[e000026 p.]. Available from: </w:t>
      </w:r>
      <w:hyperlink r:id="rId59" w:history="1">
        <w:r w:rsidRPr="00D91A26">
          <w:rPr>
            <w:rStyle w:val="Hyperlink"/>
          </w:rPr>
          <w:t>http://bmjopen.bmj.com/content/early/2011/05/23/bmjopen-2010-000026.abstract</w:t>
        </w:r>
      </w:hyperlink>
      <w:r w:rsidRPr="00D91A26">
        <w:t>.</w:t>
      </w:r>
    </w:p>
    <w:p w14:paraId="31624E00" w14:textId="77777777" w:rsidR="00D91A26" w:rsidRPr="00D91A26" w:rsidRDefault="00D91A26" w:rsidP="00D91A26">
      <w:pPr>
        <w:pStyle w:val="EndNoteBibliography"/>
        <w:spacing w:after="0"/>
      </w:pPr>
      <w:r w:rsidRPr="00D91A26">
        <w:t>28.</w:t>
      </w:r>
      <w:r w:rsidRPr="00D91A26">
        <w:tab/>
        <w:t>Lloyd JJ, Wyatt KM, Creanor S. Behavioural and weight status outcomes from an exploratory trial of the Healthy Lifestyles Programme (HeLP): a novel school-based obesity prevention programme. BMJ Open. 2012;2(3).</w:t>
      </w:r>
    </w:p>
    <w:p w14:paraId="67984F83" w14:textId="77777777" w:rsidR="00D91A26" w:rsidRPr="00D91A26" w:rsidRDefault="00D91A26" w:rsidP="00D91A26">
      <w:pPr>
        <w:pStyle w:val="EndNoteBibliography"/>
        <w:spacing w:after="0"/>
      </w:pPr>
      <w:r w:rsidRPr="00D91A26">
        <w:t>29.</w:t>
      </w:r>
      <w:r w:rsidRPr="00D91A26">
        <w:tab/>
        <w:t>Fairclough SJ, Noonan R, Rowlands AV, V VANH, Knowles Z, Boddy LM. Wear Compliance and Activity in Children Wearing Wrist- and Hip-Mounted Accelerometers. Med Sci Sports Exerc. 2016;48(2):245-53.</w:t>
      </w:r>
    </w:p>
    <w:p w14:paraId="047D715A" w14:textId="77777777" w:rsidR="00D91A26" w:rsidRPr="00D91A26" w:rsidRDefault="00D91A26" w:rsidP="00D91A26">
      <w:pPr>
        <w:pStyle w:val="EndNoteBibliography"/>
        <w:spacing w:after="0"/>
      </w:pPr>
      <w:r w:rsidRPr="00D91A26">
        <w:t>30.</w:t>
      </w:r>
      <w:r w:rsidRPr="00D91A26">
        <w:tab/>
        <w:t>Phillips LRS, Parfitt G, Rowlands AV. Calibration of the GENEA accelerometer for assessment of physical activity intensity in children. J Sci Med Sport. 2013;16(2):124-8.</w:t>
      </w:r>
    </w:p>
    <w:p w14:paraId="3CBBBDD6" w14:textId="77777777" w:rsidR="00D91A26" w:rsidRPr="00D91A26" w:rsidRDefault="00D91A26" w:rsidP="00D91A26">
      <w:pPr>
        <w:pStyle w:val="EndNoteBibliography"/>
        <w:spacing w:after="0"/>
      </w:pPr>
      <w:r w:rsidRPr="00D91A26">
        <w:t>31.</w:t>
      </w:r>
      <w:r w:rsidRPr="00D91A26">
        <w:tab/>
        <w:t>Wyatt KM, Lloyd JJ, Abraham C, Creanor S, Dean S, Densham E, et al. The Healthy Lifestyles Programme (HeLP), a novel school-based intervention to prevent obesity in school children: study protocol for a randomised controlled trial. BMC Trials. 2013;14:95.</w:t>
      </w:r>
    </w:p>
    <w:p w14:paraId="4AA00CEE" w14:textId="77777777" w:rsidR="00D91A26" w:rsidRPr="00D91A26" w:rsidRDefault="00D91A26" w:rsidP="00D91A26">
      <w:pPr>
        <w:pStyle w:val="EndNoteBibliography"/>
        <w:spacing w:after="0"/>
      </w:pPr>
      <w:r w:rsidRPr="00D91A26">
        <w:t>32.</w:t>
      </w:r>
      <w:r w:rsidRPr="00D91A26">
        <w:tab/>
        <w:t>Caille A, Kerry S, Tavernier E, Leyrat C, Eldridge S, Giraudeau B. Timeline cluster: a graphical tool to identify risk of bias in cluster randomised trials. BMJ. 2016;354:i4291.</w:t>
      </w:r>
    </w:p>
    <w:p w14:paraId="659067BA" w14:textId="77777777" w:rsidR="00D91A26" w:rsidRPr="00D91A26" w:rsidRDefault="00D91A26" w:rsidP="00D91A26">
      <w:pPr>
        <w:pStyle w:val="EndNoteBibliography"/>
        <w:spacing w:after="0"/>
      </w:pPr>
      <w:r w:rsidRPr="00D91A26">
        <w:t>33.</w:t>
      </w:r>
      <w:r w:rsidRPr="00D91A26">
        <w:tab/>
        <w:t>Lloyd JJ, Logan S, Greaves CJ, Wyatt KM. Evidence, theory and context - using intervention mapping to develop a school-based intervention to prevent obesity in children. Int J Behav Nutr Phys Act. 2011;8(1):73.</w:t>
      </w:r>
    </w:p>
    <w:p w14:paraId="0407F78A" w14:textId="77777777" w:rsidR="00D91A26" w:rsidRPr="00D91A26" w:rsidRDefault="00D91A26" w:rsidP="00D91A26">
      <w:pPr>
        <w:pStyle w:val="EndNoteBibliography"/>
        <w:spacing w:after="0"/>
      </w:pPr>
      <w:r w:rsidRPr="00D91A26">
        <w:t>34.</w:t>
      </w:r>
      <w:r w:rsidRPr="00D91A26">
        <w:tab/>
        <w:t xml:space="preserve">Boal A. </w:t>
      </w:r>
      <w:r w:rsidRPr="00D91A26">
        <w:rPr>
          <w:i/>
        </w:rPr>
        <w:t>Theatre of the oppressed</w:t>
      </w:r>
      <w:r w:rsidRPr="00D91A26">
        <w:t>. London: Pluto; 1979.</w:t>
      </w:r>
    </w:p>
    <w:p w14:paraId="40ECEB55" w14:textId="77777777" w:rsidR="00D91A26" w:rsidRPr="00D91A26" w:rsidRDefault="00D91A26" w:rsidP="00D91A26">
      <w:pPr>
        <w:pStyle w:val="EndNoteBibliography"/>
        <w:spacing w:after="0"/>
      </w:pPr>
      <w:r w:rsidRPr="00D91A26">
        <w:t>35.</w:t>
      </w:r>
      <w:r w:rsidRPr="00D91A26">
        <w:tab/>
        <w:t>Williams AJ, Wyatt KM, Williams CA, Logan S, Henley WE. A repeated cross-sectional study examining the school impact on child weight status. Prev Med. 2014;64:103-7.</w:t>
      </w:r>
    </w:p>
    <w:p w14:paraId="1B7A194D" w14:textId="34E3A470" w:rsidR="00D91A26" w:rsidRPr="00D91A26" w:rsidRDefault="00D91A26" w:rsidP="00D91A26">
      <w:pPr>
        <w:pStyle w:val="EndNoteBibliography"/>
        <w:spacing w:after="0"/>
      </w:pPr>
      <w:r w:rsidRPr="00D91A26">
        <w:t>36.</w:t>
      </w:r>
      <w:r w:rsidRPr="00D91A26">
        <w:tab/>
        <w:t xml:space="preserve">ActivInsights Ltd. Kimboton U. URL: </w:t>
      </w:r>
      <w:hyperlink r:id="rId60" w:history="1">
        <w:r w:rsidRPr="00D91A26">
          <w:rPr>
            <w:rStyle w:val="Hyperlink"/>
          </w:rPr>
          <w:t>http://www.geneactiv.org/</w:t>
        </w:r>
      </w:hyperlink>
      <w:r w:rsidRPr="00D91A26">
        <w:t xml:space="preserve"> (Accessed 10 Sept 2016). </w:t>
      </w:r>
    </w:p>
    <w:p w14:paraId="6E40A9ED" w14:textId="77777777" w:rsidR="00D91A26" w:rsidRPr="00D91A26" w:rsidRDefault="00D91A26" w:rsidP="00D91A26">
      <w:pPr>
        <w:pStyle w:val="EndNoteBibliography"/>
        <w:spacing w:after="0"/>
      </w:pPr>
      <w:r w:rsidRPr="00D91A26">
        <w:t>37.</w:t>
      </w:r>
      <w:r w:rsidRPr="00D91A26">
        <w:tab/>
        <w:t>Trost SG, McIver KL, Pate RR. Conducting accelerometer-based activity assessments in field-based research. Med Sci Sports Exerc. 2005;37(11 Suppl):S531-43.</w:t>
      </w:r>
    </w:p>
    <w:p w14:paraId="6547E557" w14:textId="77777777" w:rsidR="00D91A26" w:rsidRPr="00D91A26" w:rsidRDefault="00D91A26" w:rsidP="00D91A26">
      <w:pPr>
        <w:pStyle w:val="EndNoteBibliography"/>
        <w:spacing w:after="0"/>
      </w:pPr>
      <w:r w:rsidRPr="00D91A26">
        <w:t>38.</w:t>
      </w:r>
      <w:r w:rsidRPr="00D91A26">
        <w:tab/>
        <w:t>van Hees VT, Gorzelniak L, Dean Leon EC, Eder M, Pias M, Taherian S, et al. Separating movement and gravity components in an acceleration signal and implications for the assessment of human daily physical activity. PLoS One. 2013;8(4):e61691.</w:t>
      </w:r>
    </w:p>
    <w:p w14:paraId="6C740A23" w14:textId="77777777" w:rsidR="00D91A26" w:rsidRPr="00D91A26" w:rsidRDefault="00D91A26" w:rsidP="00D91A26">
      <w:pPr>
        <w:pStyle w:val="EndNoteBibliography"/>
        <w:spacing w:after="0"/>
      </w:pPr>
      <w:r w:rsidRPr="00D91A26">
        <w:lastRenderedPageBreak/>
        <w:t>39.</w:t>
      </w:r>
      <w:r w:rsidRPr="00D91A26">
        <w:tab/>
        <w:t>Johnson B, Hackett AF. Eating habits of 11–14-year-old schoolchildren living in less affluent areas of Liverpool, UK. J Hum Nutr Diet. 1997;10(2):135-44.</w:t>
      </w:r>
    </w:p>
    <w:p w14:paraId="27CB5417" w14:textId="1829F24E" w:rsidR="00D91A26" w:rsidRPr="00D91A26" w:rsidRDefault="00D91A26" w:rsidP="00D91A26">
      <w:pPr>
        <w:pStyle w:val="EndNoteBibliography"/>
        <w:spacing w:after="0"/>
      </w:pPr>
      <w:r w:rsidRPr="00D91A26">
        <w:t>40.</w:t>
      </w:r>
      <w:r w:rsidRPr="00D91A26">
        <w:tab/>
        <w:t xml:space="preserve">The English indices of deprivation 2010. London: Department for Communities and Local Government 2011 Available from: </w:t>
      </w:r>
      <w:hyperlink r:id="rId61" w:history="1">
        <w:r w:rsidRPr="00D91A26">
          <w:rPr>
            <w:rStyle w:val="Hyperlink"/>
          </w:rPr>
          <w:t>http://www.communities.gov.uk/documents/statistics/pdf/1871208.pdf</w:t>
        </w:r>
      </w:hyperlink>
      <w:r w:rsidRPr="00D91A26">
        <w:t>. Accessed 12 Sept 2016</w:t>
      </w:r>
    </w:p>
    <w:p w14:paraId="20941362" w14:textId="77777777" w:rsidR="00D91A26" w:rsidRPr="00D91A26" w:rsidRDefault="00D91A26" w:rsidP="00D91A26">
      <w:pPr>
        <w:pStyle w:val="EndNoteBibliography"/>
        <w:spacing w:after="0"/>
      </w:pPr>
      <w:r w:rsidRPr="00D91A26">
        <w:t>41.</w:t>
      </w:r>
      <w:r w:rsidRPr="00D91A26">
        <w:tab/>
        <w:t>Creanor S, Lloyd J, Hillsdon M, Dean S, Green C, Taylor RS, et al. Detailed statistical analysis plan for a cluster randomised controlled trial of the Healthy Lifestyles Programme (HeLP), a novel school-based intervention to prevent obesity in school children. Trials. 2016;17(1):599.</w:t>
      </w:r>
    </w:p>
    <w:p w14:paraId="194F03CF" w14:textId="53054C7F" w:rsidR="00D91A26" w:rsidRPr="00D91A26" w:rsidRDefault="00D91A26" w:rsidP="00D91A26">
      <w:pPr>
        <w:pStyle w:val="EndNoteBibliography"/>
        <w:spacing w:after="0"/>
      </w:pPr>
      <w:r w:rsidRPr="00D91A26">
        <w:t>42.</w:t>
      </w:r>
      <w:r w:rsidRPr="00D91A26">
        <w:tab/>
      </w:r>
      <w:r w:rsidRPr="00D91A26">
        <w:rPr>
          <w:i/>
        </w:rPr>
        <w:t xml:space="preserve">National Institute for Health Research Project PHR - 10/3010/01 </w:t>
      </w:r>
      <w:r w:rsidRPr="00D91A26">
        <w:t xml:space="preserve">URL: </w:t>
      </w:r>
      <w:hyperlink r:id="rId62" w:history="1">
        <w:r w:rsidRPr="00D91A26">
          <w:rPr>
            <w:rStyle w:val="Hyperlink"/>
          </w:rPr>
          <w:t>http://www.nets.nihr.ac.uk/projects/phr/10301001</w:t>
        </w:r>
      </w:hyperlink>
      <w:r w:rsidRPr="00D91A26">
        <w:t xml:space="preserve"> (Accessed 01 Mar 2016). </w:t>
      </w:r>
    </w:p>
    <w:p w14:paraId="59DFAD16" w14:textId="77777777" w:rsidR="00D91A26" w:rsidRPr="00D91A26" w:rsidRDefault="00D91A26" w:rsidP="00D91A26">
      <w:pPr>
        <w:pStyle w:val="EndNoteBibliography"/>
        <w:spacing w:after="0"/>
      </w:pPr>
      <w:r w:rsidRPr="00D91A26">
        <w:t>43.</w:t>
      </w:r>
      <w:r w:rsidRPr="00D91A26">
        <w:tab/>
        <w:t>Campbell M, Elbourne D, Altman D. CONSORT statement: extension to cluster randomised trials. Br Med J. 2004;328:702 - 8.</w:t>
      </w:r>
    </w:p>
    <w:p w14:paraId="51C121D9" w14:textId="77777777" w:rsidR="00D91A26" w:rsidRPr="00D91A26" w:rsidRDefault="00D91A26" w:rsidP="00D91A26">
      <w:pPr>
        <w:pStyle w:val="EndNoteBibliography"/>
        <w:spacing w:after="0"/>
      </w:pPr>
      <w:r w:rsidRPr="00D91A26">
        <w:t>44.</w:t>
      </w:r>
      <w:r w:rsidRPr="00D91A26">
        <w:tab/>
        <w:t>Products CftPoM. Points to consider on adjustment for baseline covariates In. London: The European Agency for the Evaluation of Medicinal Products; 2003.</w:t>
      </w:r>
    </w:p>
    <w:p w14:paraId="1A17585C" w14:textId="77777777" w:rsidR="00D91A26" w:rsidRPr="00D91A26" w:rsidRDefault="00D91A26" w:rsidP="00D91A26">
      <w:pPr>
        <w:pStyle w:val="EndNoteBibliography"/>
        <w:spacing w:after="0"/>
      </w:pPr>
      <w:r w:rsidRPr="00D91A26">
        <w:t>45.</w:t>
      </w:r>
      <w:r w:rsidRPr="00D91A26">
        <w:tab/>
        <w:t>Senn S. Testing for baseline balance in clinical trials. Stat Med. 1994;13(17):1715-26.</w:t>
      </w:r>
    </w:p>
    <w:p w14:paraId="441A9ADD" w14:textId="77777777" w:rsidR="00D91A26" w:rsidRPr="00D91A26" w:rsidRDefault="00D91A26" w:rsidP="00D91A26">
      <w:pPr>
        <w:pStyle w:val="EndNoteBibliography"/>
        <w:spacing w:after="0"/>
      </w:pPr>
      <w:r w:rsidRPr="00D91A26">
        <w:t>46.</w:t>
      </w:r>
      <w:r w:rsidRPr="00D91A26">
        <w:tab/>
        <w:t>Peterson B, and F. E. Harrell, Jr. Partial proportional odds models for ordinal response variables. Applied Statistics. 1990;39:205 -17.</w:t>
      </w:r>
    </w:p>
    <w:p w14:paraId="5268BEDE" w14:textId="77777777" w:rsidR="00D91A26" w:rsidRPr="00D91A26" w:rsidRDefault="00D91A26" w:rsidP="00D91A26">
      <w:pPr>
        <w:pStyle w:val="EndNoteBibliography"/>
        <w:spacing w:after="0"/>
      </w:pPr>
      <w:r w:rsidRPr="00D91A26">
        <w:t>47.</w:t>
      </w:r>
      <w:r w:rsidRPr="00D91A26">
        <w:tab/>
        <w:t>Catellier D, Hannan P, Murray D, Addy C, Conway T, Yang S, et al. Imputation of missing data when measuring physical activity by accelerometry. Med Sci Sports Exerc. 2005;37(11 Suppl):S555.</w:t>
      </w:r>
    </w:p>
    <w:p w14:paraId="5E47A95A" w14:textId="77777777" w:rsidR="00D91A26" w:rsidRPr="00D91A26" w:rsidRDefault="00D91A26" w:rsidP="00D91A26">
      <w:pPr>
        <w:pStyle w:val="EndNoteBibliography"/>
        <w:spacing w:after="0"/>
      </w:pPr>
      <w:r w:rsidRPr="00D91A26">
        <w:t>48.</w:t>
      </w:r>
      <w:r w:rsidRPr="00D91A26">
        <w:tab/>
        <w:t>White IR, Horton NJ, Carpenter J, statistics rim, social, Pocock SJ. Strategy for intention to treat analysis in randomised trials with missing outcome data. BMJ. 2011;342:d40.</w:t>
      </w:r>
    </w:p>
    <w:p w14:paraId="649E647D" w14:textId="77777777" w:rsidR="00D91A26" w:rsidRPr="00D91A26" w:rsidRDefault="00D91A26" w:rsidP="00D91A26">
      <w:pPr>
        <w:pStyle w:val="EndNoteBibliography"/>
        <w:spacing w:after="0"/>
      </w:pPr>
      <w:r w:rsidRPr="00D91A26">
        <w:t>49.</w:t>
      </w:r>
      <w:r w:rsidRPr="00D91A26">
        <w:tab/>
        <w:t>Cole TJ. The LMS method for constructing normalized growth standards. Eur J Clin Nutr. 1990;44(1):45-60.</w:t>
      </w:r>
    </w:p>
    <w:p w14:paraId="40636920" w14:textId="77777777" w:rsidR="00D91A26" w:rsidRPr="00D91A26" w:rsidRDefault="00D91A26" w:rsidP="00D91A26">
      <w:pPr>
        <w:pStyle w:val="EndNoteBibliography"/>
        <w:spacing w:after="0"/>
      </w:pPr>
      <w:r w:rsidRPr="00D91A26">
        <w:t>50.</w:t>
      </w:r>
      <w:r w:rsidRPr="00D91A26">
        <w:tab/>
        <w:t>Cole TJ, Freeman JV, Preece MA. Body mass index reference curves for the UK, 1990. Arch Dis Child. 1995;73(1):25-9.</w:t>
      </w:r>
    </w:p>
    <w:p w14:paraId="5A725390" w14:textId="77777777" w:rsidR="00D91A26" w:rsidRPr="00D91A26" w:rsidRDefault="00D91A26" w:rsidP="00D91A26">
      <w:pPr>
        <w:pStyle w:val="EndNoteBibliography"/>
        <w:spacing w:after="0"/>
      </w:pPr>
      <w:r w:rsidRPr="00D91A26">
        <w:t>51.</w:t>
      </w:r>
      <w:r w:rsidRPr="00D91A26">
        <w:tab/>
        <w:t>McCarthy HD, Jarrett KV, Crawley HF. The development of waist circumference percentiles in British children aged 5.0-16.9 y. Eur J Clin Nutr. 2001;55(10):902-7.</w:t>
      </w:r>
    </w:p>
    <w:p w14:paraId="267E4AD0" w14:textId="77777777" w:rsidR="00D91A26" w:rsidRPr="00D91A26" w:rsidRDefault="00D91A26" w:rsidP="00D91A26">
      <w:pPr>
        <w:pStyle w:val="EndNoteBibliography"/>
        <w:spacing w:after="0"/>
      </w:pPr>
      <w:r w:rsidRPr="00D91A26">
        <w:t>52.</w:t>
      </w:r>
      <w:r w:rsidRPr="00D91A26">
        <w:tab/>
        <w:t>McCarthy HD, Cole TJ, Fry T, Jebb SA, Prentice AM. Body fat reference curves for children. Int J Obes. 2006;30(4):598-602.</w:t>
      </w:r>
    </w:p>
    <w:p w14:paraId="01BCB094" w14:textId="3241CA83" w:rsidR="00D91A26" w:rsidRPr="00D91A26" w:rsidRDefault="00D91A26" w:rsidP="00D91A26">
      <w:pPr>
        <w:pStyle w:val="EndNoteBibliography"/>
        <w:spacing w:after="0"/>
      </w:pPr>
      <w:r w:rsidRPr="00D91A26">
        <w:t>53.</w:t>
      </w:r>
      <w:r w:rsidRPr="00D91A26">
        <w:tab/>
        <w:t xml:space="preserve">UK Government. </w:t>
      </w:r>
      <w:r w:rsidRPr="00D91A26">
        <w:rPr>
          <w:i/>
        </w:rPr>
        <w:t>Compare school and college performance</w:t>
      </w:r>
      <w:r w:rsidRPr="00D91A26">
        <w:t xml:space="preserve">. Government Website. URL: </w:t>
      </w:r>
      <w:hyperlink r:id="rId63" w:history="1">
        <w:r w:rsidRPr="00D91A26">
          <w:rPr>
            <w:rStyle w:val="Hyperlink"/>
          </w:rPr>
          <w:t>https://www.compare-school-performance.service.gov.uk/download-data</w:t>
        </w:r>
      </w:hyperlink>
      <w:r w:rsidRPr="00D91A26">
        <w:t xml:space="preserve"> (Accessed 24 Oct 2016). </w:t>
      </w:r>
    </w:p>
    <w:p w14:paraId="1D7ABD81" w14:textId="6AF2FFF4" w:rsidR="00D91A26" w:rsidRPr="00D91A26" w:rsidRDefault="00D91A26" w:rsidP="00D91A26">
      <w:pPr>
        <w:pStyle w:val="EndNoteBibliography"/>
        <w:spacing w:after="0"/>
      </w:pPr>
      <w:r w:rsidRPr="00D91A26">
        <w:t>54.</w:t>
      </w:r>
      <w:r w:rsidRPr="00D91A26">
        <w:tab/>
        <w:t xml:space="preserve">Public Health England. </w:t>
      </w:r>
      <w:r w:rsidRPr="00D91A26">
        <w:rPr>
          <w:i/>
        </w:rPr>
        <w:t>Measuring and interpreting BMI in Children</w:t>
      </w:r>
      <w:r w:rsidRPr="00D91A26">
        <w:t xml:space="preserve">. URL: </w:t>
      </w:r>
      <w:hyperlink r:id="rId64" w:history="1">
        <w:r w:rsidRPr="00D91A26">
          <w:rPr>
            <w:rStyle w:val="Hyperlink"/>
          </w:rPr>
          <w:t>www.noo.org.uk/NOO_about_obesity/measurement/children</w:t>
        </w:r>
      </w:hyperlink>
      <w:r w:rsidRPr="00D91A26">
        <w:t xml:space="preserve"> (Accessed 10 March 2016). </w:t>
      </w:r>
    </w:p>
    <w:p w14:paraId="61E9FBD1" w14:textId="77777777" w:rsidR="00D91A26" w:rsidRPr="00D91A26" w:rsidRDefault="00D91A26" w:rsidP="00D91A26">
      <w:pPr>
        <w:pStyle w:val="EndNoteBibliography"/>
        <w:spacing w:after="0"/>
      </w:pPr>
      <w:r w:rsidRPr="00D91A26">
        <w:t>55.</w:t>
      </w:r>
      <w:r w:rsidRPr="00D91A26">
        <w:tab/>
        <w:t>Eldridge SM, Ukoumunne OC, Carlin JB. The Intra-Cluster Correlation Coefficient in Cluster Randomized Trials: A Review of Definitions. International Statistical Review. 2009;77(3).</w:t>
      </w:r>
    </w:p>
    <w:p w14:paraId="18C512BC" w14:textId="77777777" w:rsidR="00D91A26" w:rsidRPr="00D91A26" w:rsidRDefault="00D91A26" w:rsidP="00D91A26">
      <w:pPr>
        <w:pStyle w:val="EndNoteBibliography"/>
        <w:spacing w:after="0"/>
      </w:pPr>
      <w:r w:rsidRPr="00D91A26">
        <w:t>56.</w:t>
      </w:r>
      <w:r w:rsidRPr="00D91A26">
        <w:tab/>
        <w:t xml:space="preserve">Curtis L, Burns A. </w:t>
      </w:r>
      <w:r w:rsidRPr="00D91A26">
        <w:rPr>
          <w:i/>
        </w:rPr>
        <w:t>Unit Costs of Health and Social Care 2015</w:t>
      </w:r>
      <w:r w:rsidRPr="00D91A26">
        <w:t xml:space="preserve">. Personal Social Services Research Unit: University of Canterbury; 2015.(Accessed </w:t>
      </w:r>
    </w:p>
    <w:p w14:paraId="6C24FFF1" w14:textId="6E85E346" w:rsidR="00D91A26" w:rsidRPr="00D91A26" w:rsidRDefault="00D91A26" w:rsidP="00D91A26">
      <w:pPr>
        <w:pStyle w:val="EndNoteBibliography"/>
        <w:spacing w:after="0"/>
      </w:pPr>
      <w:r w:rsidRPr="00D91A26">
        <w:t>57.</w:t>
      </w:r>
      <w:r w:rsidRPr="00D91A26">
        <w:tab/>
        <w:t xml:space="preserve">NASUWT The Teachers' Union. URL: </w:t>
      </w:r>
      <w:hyperlink r:id="rId65" w:history="1">
        <w:r w:rsidRPr="00D91A26">
          <w:rPr>
            <w:rStyle w:val="Hyperlink"/>
          </w:rPr>
          <w:t>https://www.nasuwt.org.uk/</w:t>
        </w:r>
      </w:hyperlink>
      <w:r w:rsidRPr="00D91A26">
        <w:t xml:space="preserve"> (Accessed 3 June 2016). </w:t>
      </w:r>
    </w:p>
    <w:p w14:paraId="7E89AA1B" w14:textId="77777777" w:rsidR="00D91A26" w:rsidRPr="00D91A26" w:rsidRDefault="00D91A26" w:rsidP="00D91A26">
      <w:pPr>
        <w:pStyle w:val="EndNoteBibliography"/>
        <w:spacing w:after="0"/>
      </w:pPr>
      <w:r w:rsidRPr="00D91A26">
        <w:t>58.</w:t>
      </w:r>
      <w:r w:rsidRPr="00D91A26">
        <w:tab/>
        <w:t>Philips Z, Bojke L, Sculpher M, Claxton K, Golder S. Good practice guidelines for decision-analytic modelling in health technology assessment: a review and consolidation of quality assessment. Pharmacoeconomics. 2006;24(4):355-71.</w:t>
      </w:r>
    </w:p>
    <w:p w14:paraId="0285B349" w14:textId="77777777" w:rsidR="00D91A26" w:rsidRPr="00D91A26" w:rsidRDefault="00D91A26" w:rsidP="00D91A26">
      <w:pPr>
        <w:pStyle w:val="EndNoteBibliography"/>
        <w:spacing w:after="0"/>
      </w:pPr>
      <w:r w:rsidRPr="00D91A26">
        <w:t>59.</w:t>
      </w:r>
      <w:r w:rsidRPr="00D91A26">
        <w:tab/>
        <w:t>Caro JJ, Briggs AH, Siebert U, Kuntz KM, Force I-SMGRPT. Modeling good research practices--overview: a report of the ISPOR-SMDM Modeling Good Research Practices Task Force-1. Med Decis Making. 2012;32(5):667-77.</w:t>
      </w:r>
    </w:p>
    <w:p w14:paraId="35F4646C" w14:textId="1511A595" w:rsidR="00D91A26" w:rsidRPr="00D91A26" w:rsidRDefault="00D91A26" w:rsidP="00D91A26">
      <w:pPr>
        <w:pStyle w:val="EndNoteBibliography"/>
        <w:spacing w:after="0"/>
      </w:pPr>
      <w:r w:rsidRPr="00D91A26">
        <w:t>60.</w:t>
      </w:r>
      <w:r w:rsidRPr="00D91A26">
        <w:tab/>
        <w:t xml:space="preserve">National Institute for Health and Care Excellence. NICE Guidelines [PH47] Managing overweight and obesity among children and young people: lifestyle weight management services 2013 Available from: </w:t>
      </w:r>
      <w:hyperlink r:id="rId66" w:history="1">
        <w:r w:rsidRPr="00D91A26">
          <w:rPr>
            <w:rStyle w:val="Hyperlink"/>
          </w:rPr>
          <w:t>http://guidance.nice.org.uk/PH47/Guidance/pdf/English</w:t>
        </w:r>
      </w:hyperlink>
      <w:r w:rsidRPr="00D91A26">
        <w:t xml:space="preserve"> Accessed 14 June 2016</w:t>
      </w:r>
    </w:p>
    <w:p w14:paraId="2AFBCFD3" w14:textId="77777777" w:rsidR="00D91A26" w:rsidRPr="00D91A26" w:rsidRDefault="00D91A26" w:rsidP="00D91A26">
      <w:pPr>
        <w:pStyle w:val="EndNoteBibliography"/>
        <w:spacing w:after="0"/>
      </w:pPr>
      <w:r w:rsidRPr="00D91A26">
        <w:t>61.</w:t>
      </w:r>
      <w:r w:rsidRPr="00D91A26">
        <w:tab/>
        <w:t>Wang LY, Yang Q, Lowry R, Wechsler H. Economic analysis of a school-based obesity prevention program. Obes Res. 2003;11(11):1313-24.</w:t>
      </w:r>
    </w:p>
    <w:p w14:paraId="78BEBFCC" w14:textId="77777777" w:rsidR="00D91A26" w:rsidRPr="00D91A26" w:rsidRDefault="00D91A26" w:rsidP="00D91A26">
      <w:pPr>
        <w:pStyle w:val="EndNoteBibliography"/>
        <w:spacing w:after="0"/>
      </w:pPr>
      <w:r w:rsidRPr="00D91A26">
        <w:lastRenderedPageBreak/>
        <w:t>62.</w:t>
      </w:r>
      <w:r w:rsidRPr="00D91A26">
        <w:tab/>
        <w:t>Brown HS, 3rd, Perez A, Li YP, Hoelscher DM, Kelder SH, Rivera R. The cost-effectiveness of a school-based overweight program. Int J Behav Nutr Phys Act. 2007;4:47.</w:t>
      </w:r>
    </w:p>
    <w:p w14:paraId="4DDE86A4" w14:textId="77777777" w:rsidR="00D91A26" w:rsidRPr="00D91A26" w:rsidRDefault="00D91A26" w:rsidP="00D91A26">
      <w:pPr>
        <w:pStyle w:val="EndNoteBibliography"/>
        <w:spacing w:after="0"/>
      </w:pPr>
      <w:r w:rsidRPr="00D91A26">
        <w:t>63.</w:t>
      </w:r>
      <w:r w:rsidRPr="00D91A26">
        <w:tab/>
        <w:t>Hollingworth W, Hawkins J, Lawlor DA, Brown M, Marsh T, Kipping RR. Economic evaluation of lifestyle interventions to treat overweight or obesity in children. Int J Obes (Lond). 2012;36(4):559-66.</w:t>
      </w:r>
    </w:p>
    <w:p w14:paraId="3E1D7B9B" w14:textId="77777777" w:rsidR="00D91A26" w:rsidRPr="00D91A26" w:rsidRDefault="00D91A26" w:rsidP="00D91A26">
      <w:pPr>
        <w:pStyle w:val="EndNoteBibliography"/>
        <w:spacing w:after="0"/>
      </w:pPr>
      <w:r w:rsidRPr="00D91A26">
        <w:t>64.</w:t>
      </w:r>
      <w:r w:rsidRPr="00D91A26">
        <w:tab/>
        <w:t>Pil L, Putman K, Cardon G, De Bourdeaudhuij I, Manios Y, Androutsos O, et al. Establishing a method to estimate the cost-effectiveness of a kindergarten-based, family-involved intervention to prevent obesity in early childhood. The ToyBox-study. Obes Rev. 2014;15 Suppl 3:81-9.</w:t>
      </w:r>
    </w:p>
    <w:p w14:paraId="74F42C25" w14:textId="77777777" w:rsidR="00D91A26" w:rsidRPr="00D91A26" w:rsidRDefault="00D91A26" w:rsidP="00D91A26">
      <w:pPr>
        <w:pStyle w:val="EndNoteBibliography"/>
        <w:spacing w:after="0"/>
      </w:pPr>
      <w:r w:rsidRPr="00D91A26">
        <w:t>65.</w:t>
      </w:r>
      <w:r w:rsidRPr="00D91A26">
        <w:tab/>
        <w:t>Rush E, Obolonkin V, McLennan S, Graham D, Harris JD, Mernagh P, et al. Lifetime cost effectiveness of a through-school nutrition and physical programme: Project Energize. Obes Res Clin Pract. 2014;8(2):e115-22.</w:t>
      </w:r>
    </w:p>
    <w:p w14:paraId="1BBF8D3F" w14:textId="77777777" w:rsidR="00D91A26" w:rsidRPr="00D91A26" w:rsidRDefault="00D91A26" w:rsidP="00D91A26">
      <w:pPr>
        <w:pStyle w:val="EndNoteBibliography"/>
        <w:spacing w:after="0"/>
      </w:pPr>
      <w:r w:rsidRPr="00D91A26">
        <w:t>66.</w:t>
      </w:r>
      <w:r w:rsidRPr="00D91A26">
        <w:tab/>
        <w:t>Tran BX, Ohinmaa A, Kuhle S, Johnson JA, Veugelers PJ. Life course impact of school-based promotion of healthy eating and active living to prevent childhood obesity. PLoS One. 2014;9(7):e102242.</w:t>
      </w:r>
    </w:p>
    <w:p w14:paraId="663135D4" w14:textId="77777777" w:rsidR="00D91A26" w:rsidRPr="00D91A26" w:rsidRDefault="00D91A26" w:rsidP="00D91A26">
      <w:pPr>
        <w:pStyle w:val="EndNoteBibliography"/>
        <w:spacing w:after="0"/>
      </w:pPr>
      <w:r w:rsidRPr="00D91A26">
        <w:t>67.</w:t>
      </w:r>
      <w:r w:rsidRPr="00D91A26">
        <w:tab/>
        <w:t>Barrett JL, Gortmaker SL, Long MW, Ward ZJ, Resch SC, Moodie ML, et al. Cost Effectiveness of an Elementary School Active Physical Education Policy. Am J Prev Med. 2015;49(1):148-59.</w:t>
      </w:r>
    </w:p>
    <w:p w14:paraId="1A060367" w14:textId="77777777" w:rsidR="00D91A26" w:rsidRPr="00D91A26" w:rsidRDefault="00D91A26" w:rsidP="00D91A26">
      <w:pPr>
        <w:pStyle w:val="EndNoteBibliography"/>
        <w:spacing w:after="0"/>
      </w:pPr>
      <w:r w:rsidRPr="00D91A26">
        <w:t>68.</w:t>
      </w:r>
      <w:r w:rsidRPr="00D91A26">
        <w:tab/>
        <w:t>Gortmaker SL, Long MW, Resch SC, Ward ZJ, Cradock AL, Barrett JL, et al. Cost Effectiveness of Childhood Obesity Interventions: Evidence and Methods for CHOICES. Am J Prev Med. 2015;49(1):102-11.</w:t>
      </w:r>
    </w:p>
    <w:p w14:paraId="7E78B482" w14:textId="77777777" w:rsidR="00D91A26" w:rsidRPr="00D91A26" w:rsidRDefault="00D91A26" w:rsidP="00D91A26">
      <w:pPr>
        <w:pStyle w:val="EndNoteBibliography"/>
        <w:spacing w:after="0"/>
      </w:pPr>
      <w:r w:rsidRPr="00D91A26">
        <w:t>69.</w:t>
      </w:r>
      <w:r w:rsidRPr="00D91A26">
        <w:tab/>
        <w:t>Long MW, Gortmaker SL, Ward ZJ, Resch SC, Moodie ML, Sacks G, et al. Cost Effectiveness of a Sugar-Sweetened Beverage Excise Tax in the U.S. Am J Prev Med. 2015;49(1):112-23.</w:t>
      </w:r>
    </w:p>
    <w:p w14:paraId="67AA3BAB" w14:textId="77777777" w:rsidR="00D91A26" w:rsidRPr="00D91A26" w:rsidRDefault="00D91A26" w:rsidP="00D91A26">
      <w:pPr>
        <w:pStyle w:val="EndNoteBibliography"/>
        <w:spacing w:after="0"/>
      </w:pPr>
      <w:r w:rsidRPr="00D91A26">
        <w:t>70.</w:t>
      </w:r>
      <w:r w:rsidRPr="00D91A26">
        <w:tab/>
        <w:t>Sonneville KR, Long MW, Ward ZJ, Resch SC, Wang YC, Pomeranz JL, et al. BMI and Healthcare Cost Impact of Eliminating Tax Subsidy for Advertising Unhealthy Food to Youth. Am J Prev Med. 2015;49(1):124-34.</w:t>
      </w:r>
    </w:p>
    <w:p w14:paraId="48C2CFB9" w14:textId="77777777" w:rsidR="00D91A26" w:rsidRPr="00D91A26" w:rsidRDefault="00D91A26" w:rsidP="00D91A26">
      <w:pPr>
        <w:pStyle w:val="EndNoteBibliography"/>
        <w:spacing w:after="0"/>
      </w:pPr>
      <w:r w:rsidRPr="00D91A26">
        <w:t>71.</w:t>
      </w:r>
      <w:r w:rsidRPr="00D91A26">
        <w:tab/>
        <w:t>Wright CM, Parker L, Lamont D, Craft AW. Implications of childhood obesity for adult health: findings from thousand families cohort study. BMJ. 2001;323(7324):1280-4.</w:t>
      </w:r>
    </w:p>
    <w:p w14:paraId="047C39B6" w14:textId="77777777" w:rsidR="00D91A26" w:rsidRPr="00D91A26" w:rsidRDefault="00D91A26" w:rsidP="00D91A26">
      <w:pPr>
        <w:pStyle w:val="EndNoteBibliography"/>
        <w:spacing w:after="0"/>
      </w:pPr>
      <w:r w:rsidRPr="00D91A26">
        <w:t>72.</w:t>
      </w:r>
      <w:r w:rsidRPr="00D91A26">
        <w:tab/>
        <w:t>Wright DR, Kenney EL, Giles CM, Long MW, Ward ZJ, Resch SC, et al. Modeling the Cost Effectiveness of Child Care Policy Changes in the U.S. Am J Prev Med. 2015;49(1):135-47.</w:t>
      </w:r>
    </w:p>
    <w:p w14:paraId="2C4AD73A" w14:textId="77777777" w:rsidR="00D91A26" w:rsidRPr="00D91A26" w:rsidRDefault="00D91A26" w:rsidP="00D91A26">
      <w:pPr>
        <w:pStyle w:val="EndNoteBibliography"/>
        <w:spacing w:after="0"/>
      </w:pPr>
      <w:r w:rsidRPr="00D91A26">
        <w:t>73.</w:t>
      </w:r>
      <w:r w:rsidRPr="00D91A26">
        <w:tab/>
        <w:t>Whitaker RC, Wright JA, Pepe MSea. Predicting obesity in young adulthood from childhood and parental obesity. N Engl J Med. 1997;337:869 - 73.</w:t>
      </w:r>
    </w:p>
    <w:p w14:paraId="7C39F550" w14:textId="77777777" w:rsidR="00D91A26" w:rsidRPr="00D91A26" w:rsidRDefault="00D91A26" w:rsidP="00D91A26">
      <w:pPr>
        <w:pStyle w:val="EndNoteBibliography"/>
        <w:spacing w:after="0"/>
      </w:pPr>
      <w:r w:rsidRPr="00D91A26">
        <w:t>74.</w:t>
      </w:r>
      <w:r w:rsidRPr="00D91A26">
        <w:tab/>
        <w:t>Cox CS, Rothwell ST, Madans JH, Finucane FF, Freid VM, Kleinman JC, et al. Plan and operation of the NHANES I Epidemiologic Followup Study, 1987. Vital Health Stat 1. 1992(27):1-190.</w:t>
      </w:r>
    </w:p>
    <w:p w14:paraId="29ACE4AD" w14:textId="77777777" w:rsidR="00D91A26" w:rsidRPr="00D91A26" w:rsidRDefault="00D91A26" w:rsidP="00D91A26">
      <w:pPr>
        <w:pStyle w:val="EndNoteBibliography"/>
        <w:spacing w:after="0"/>
      </w:pPr>
      <w:r w:rsidRPr="00D91A26">
        <w:t>75.</w:t>
      </w:r>
      <w:r w:rsidRPr="00D91A26">
        <w:tab/>
        <w:t>Venn AJ, Thomson RJ, Schmidt MD, Cleland VJ, Curry BA, Gennat HC, et al. Overweight and obesity from childhood to adulthood: a follow-up of participants in the 1985 Australian Schools Health and Fitness Survey. Med J Aust. 2007;186(9):458-60.</w:t>
      </w:r>
    </w:p>
    <w:p w14:paraId="1528A6AD" w14:textId="77777777" w:rsidR="00D91A26" w:rsidRPr="00D91A26" w:rsidRDefault="00D91A26" w:rsidP="00D91A26">
      <w:pPr>
        <w:pStyle w:val="EndNoteBibliography"/>
        <w:spacing w:after="0"/>
      </w:pPr>
      <w:r w:rsidRPr="00D91A26">
        <w:t>76.</w:t>
      </w:r>
      <w:r w:rsidRPr="00D91A26">
        <w:tab/>
        <w:t>Power C, Hertzman C, Matthews S, Manor O. Social differences in health: life-cycle effects between ages 23 and 33 in the 1958 British birth cohort. Am J Public Health. 1997;87(9):1499-503.</w:t>
      </w:r>
    </w:p>
    <w:p w14:paraId="2F4B0174" w14:textId="77777777" w:rsidR="00D91A26" w:rsidRPr="00D91A26" w:rsidRDefault="00D91A26" w:rsidP="00D91A26">
      <w:pPr>
        <w:pStyle w:val="EndNoteBibliography"/>
        <w:spacing w:after="0"/>
      </w:pPr>
      <w:r w:rsidRPr="00D91A26">
        <w:t>77.</w:t>
      </w:r>
      <w:r w:rsidRPr="00D91A26">
        <w:tab/>
        <w:t xml:space="preserve">National Institute for Health and Care Excellence. </w:t>
      </w:r>
      <w:r w:rsidRPr="00D91A26">
        <w:rPr>
          <w:i/>
        </w:rPr>
        <w:t>Guide to the method of technology appraisal 2013</w:t>
      </w:r>
      <w:r w:rsidRPr="00D91A26">
        <w:t>; 2013.(Accessed 01 Nov 2016)</w:t>
      </w:r>
    </w:p>
    <w:p w14:paraId="1079D060" w14:textId="77777777" w:rsidR="00D91A26" w:rsidRPr="00D91A26" w:rsidRDefault="00D91A26" w:rsidP="00D91A26">
      <w:pPr>
        <w:pStyle w:val="EndNoteBibliography"/>
        <w:spacing w:after="0"/>
      </w:pPr>
      <w:r w:rsidRPr="00D91A26">
        <w:t>78.</w:t>
      </w:r>
      <w:r w:rsidRPr="00D91A26">
        <w:tab/>
        <w:t>Singh AS, Mulder C, Twisk JW, van Mechelen W, Chinapaw MJ. Tracking of childhood overweight into adulthood: a systematic review of the literature. Obes Rev. 2008;9(5):474-88.</w:t>
      </w:r>
    </w:p>
    <w:p w14:paraId="0199831E" w14:textId="77777777" w:rsidR="00D91A26" w:rsidRPr="00D91A26" w:rsidRDefault="00D91A26" w:rsidP="00D91A26">
      <w:pPr>
        <w:pStyle w:val="EndNoteBibliography"/>
        <w:spacing w:after="0"/>
      </w:pPr>
      <w:r w:rsidRPr="00D91A26">
        <w:t>79.</w:t>
      </w:r>
      <w:r w:rsidRPr="00D91A26">
        <w:tab/>
        <w:t>Brisbois TD, Farmer AP, McCargar LJ. Early markers of adult obesity: a review. Obes Rev. 2012;13(4):347-67.</w:t>
      </w:r>
    </w:p>
    <w:p w14:paraId="532A6C5B" w14:textId="77777777" w:rsidR="00D91A26" w:rsidRPr="00D91A26" w:rsidRDefault="00D91A26" w:rsidP="00D91A26">
      <w:pPr>
        <w:pStyle w:val="EndNoteBibliography"/>
        <w:spacing w:after="0"/>
      </w:pPr>
      <w:r w:rsidRPr="00D91A26">
        <w:t>80.</w:t>
      </w:r>
      <w:r w:rsidRPr="00D91A26">
        <w:tab/>
        <w:t>Simmonds M, Llewellyn A, Owen CG, Woolacott N. Predicting adult obesity from childhood obesity: a systematic review and meta-analysis. Obes Rev. 2016;17(2):95-107.</w:t>
      </w:r>
    </w:p>
    <w:p w14:paraId="5C66D8DF" w14:textId="77777777" w:rsidR="00D91A26" w:rsidRPr="00D91A26" w:rsidRDefault="00D91A26" w:rsidP="00D91A26">
      <w:pPr>
        <w:pStyle w:val="EndNoteBibliography"/>
        <w:spacing w:after="0"/>
      </w:pPr>
      <w:r w:rsidRPr="00D91A26">
        <w:t>81.</w:t>
      </w:r>
      <w:r w:rsidRPr="00D91A26">
        <w:tab/>
        <w:t>Hawk LJ, Brook CG. Influence of body fatness in childhood on fatness in adult life. Br Med J. 1979;1(6157):151-2.</w:t>
      </w:r>
    </w:p>
    <w:p w14:paraId="7D59D132" w14:textId="77777777" w:rsidR="00D91A26" w:rsidRPr="00D91A26" w:rsidRDefault="00D91A26" w:rsidP="00D91A26">
      <w:pPr>
        <w:pStyle w:val="EndNoteBibliography"/>
        <w:spacing w:after="0"/>
      </w:pPr>
      <w:r w:rsidRPr="00D91A26">
        <w:t>82.</w:t>
      </w:r>
      <w:r w:rsidRPr="00D91A26">
        <w:tab/>
        <w:t>Whitaker RC, Wright JA, Pepe MS, Seidel KD, Dietz WH. Predicting obesity in young adulthood from childhood and parental obesity. N Engl J Med. 1997;337(13):869-73.</w:t>
      </w:r>
    </w:p>
    <w:p w14:paraId="74277109" w14:textId="77777777" w:rsidR="00D91A26" w:rsidRPr="00D91A26" w:rsidRDefault="00D91A26" w:rsidP="00D91A26">
      <w:pPr>
        <w:pStyle w:val="EndNoteBibliography"/>
        <w:spacing w:after="0"/>
      </w:pPr>
      <w:r w:rsidRPr="00D91A26">
        <w:t>83.</w:t>
      </w:r>
      <w:r w:rsidRPr="00D91A26">
        <w:tab/>
        <w:t>Cheung YB, Machin D, Karlberg J, Khoo KS. A longitudinal study of pediatric body mass index values predicted health in middle age. J Clin Epidemiol. 2004;57(12):1316-22.</w:t>
      </w:r>
    </w:p>
    <w:p w14:paraId="2870F8B2" w14:textId="77777777" w:rsidR="00D91A26" w:rsidRPr="00D91A26" w:rsidRDefault="00D91A26" w:rsidP="00D91A26">
      <w:pPr>
        <w:pStyle w:val="EndNoteBibliography"/>
        <w:spacing w:after="0"/>
      </w:pPr>
      <w:r w:rsidRPr="00D91A26">
        <w:lastRenderedPageBreak/>
        <w:t>84.</w:t>
      </w:r>
      <w:r w:rsidRPr="00D91A26">
        <w:tab/>
        <w:t>McCarthy A, Hughes R, Tilling K, Davies D, Smith GD, Ben-Shlomo Y. Birth weight; postnatal, infant, and childhood growth; and obesity in young adulthood: evidence from the Barry Caerphilly Growth Study. Am J Clin Nutr. 2007;86(4):907-13.</w:t>
      </w:r>
    </w:p>
    <w:p w14:paraId="4903A140" w14:textId="77777777" w:rsidR="00D91A26" w:rsidRPr="00D91A26" w:rsidRDefault="00D91A26" w:rsidP="00D91A26">
      <w:pPr>
        <w:pStyle w:val="EndNoteBibliography"/>
        <w:spacing w:after="0"/>
      </w:pPr>
      <w:r w:rsidRPr="00D91A26">
        <w:t>85.</w:t>
      </w:r>
      <w:r w:rsidRPr="00D91A26">
        <w:tab/>
        <w:t>Reilly JJ, Bonataki M, Leary SD, Wells JC, Davey-Smith G, Emmett P, et al. Progression from childhood overweight to adolescent obesity in a large contemporary cohort. Int J Pediatr Obes. 2011;6(2-2):e138-43.</w:t>
      </w:r>
    </w:p>
    <w:p w14:paraId="5B61175A" w14:textId="77777777" w:rsidR="00D91A26" w:rsidRPr="00D91A26" w:rsidRDefault="00D91A26" w:rsidP="00D91A26">
      <w:pPr>
        <w:pStyle w:val="EndNoteBibliography"/>
        <w:spacing w:after="0"/>
      </w:pPr>
      <w:r w:rsidRPr="00D91A26">
        <w:t>86.</w:t>
      </w:r>
      <w:r w:rsidRPr="00D91A26">
        <w:tab/>
        <w:t>Laitinen J, Power C, Jarvelin MR. Family social class, maternal body mass index, childhood body mass index, and age at menarche as predictors of adult obesity. Am J Clin Nutr. 2001;74(3):287-94.</w:t>
      </w:r>
    </w:p>
    <w:p w14:paraId="75F400AD" w14:textId="77777777" w:rsidR="00D91A26" w:rsidRPr="00D91A26" w:rsidRDefault="00D91A26" w:rsidP="00D91A26">
      <w:pPr>
        <w:pStyle w:val="EndNoteBibliography"/>
        <w:spacing w:after="0"/>
      </w:pPr>
      <w:r w:rsidRPr="00D91A26">
        <w:t>87.</w:t>
      </w:r>
      <w:r w:rsidRPr="00D91A26">
        <w:tab/>
        <w:t>Cole TJ, Freeman JV, Preece MA. Body mass index reference curves for the UK, 1990. Arch Dis Child. 1995;73(1):25-9.</w:t>
      </w:r>
    </w:p>
    <w:p w14:paraId="5E84E629" w14:textId="77777777" w:rsidR="00D91A26" w:rsidRPr="00D91A26" w:rsidRDefault="00D91A26" w:rsidP="00D91A26">
      <w:pPr>
        <w:pStyle w:val="EndNoteBibliography"/>
        <w:spacing w:after="0"/>
      </w:pPr>
      <w:r w:rsidRPr="00D91A26">
        <w:t>88.</w:t>
      </w:r>
      <w:r w:rsidRPr="00D91A26">
        <w:tab/>
        <w:t>Guh DP, Zhang W, Bansback N, Amarsi Z, Birmingham CL, Anis AH. The incidence of co-morbidities related to obesity and overweight: a systematic review and meta-analysis. BMC Public Health. 2009;9:88.</w:t>
      </w:r>
    </w:p>
    <w:p w14:paraId="7047198F" w14:textId="31133935" w:rsidR="00D91A26" w:rsidRPr="00D91A26" w:rsidRDefault="00D91A26" w:rsidP="00D91A26">
      <w:pPr>
        <w:pStyle w:val="EndNoteBibliography"/>
        <w:spacing w:after="0"/>
      </w:pPr>
      <w:r w:rsidRPr="00D91A26">
        <w:t>89.</w:t>
      </w:r>
      <w:r w:rsidRPr="00D91A26">
        <w:tab/>
        <w:t xml:space="preserve">Office for National Statistics. </w:t>
      </w:r>
      <w:r w:rsidRPr="00D91A26">
        <w:rPr>
          <w:i/>
        </w:rPr>
        <w:t>National Life Tables, United Kingdom: 2012 - 2014</w:t>
      </w:r>
      <w:r w:rsidRPr="00D91A26">
        <w:t xml:space="preserve">. URL: </w:t>
      </w:r>
      <w:hyperlink r:id="rId67" w:history="1">
        <w:r w:rsidRPr="00D91A26">
          <w:rPr>
            <w:rStyle w:val="Hyperlink"/>
          </w:rPr>
          <w:t>https://www.ons.gov.uk/peoplepopulationandcommunity/birthsdeathsandmarriages/lifeexpectancies/bulletins/nationallifetablesunitedkingdom/2015-09-23</w:t>
        </w:r>
      </w:hyperlink>
      <w:r w:rsidRPr="00D91A26">
        <w:t xml:space="preserve"> (Accessed 3 April 2016). </w:t>
      </w:r>
    </w:p>
    <w:p w14:paraId="22DB59D2" w14:textId="77777777" w:rsidR="00D91A26" w:rsidRPr="00D91A26" w:rsidRDefault="00D91A26" w:rsidP="00D91A26">
      <w:pPr>
        <w:pStyle w:val="EndNoteBibliography"/>
        <w:spacing w:after="0"/>
      </w:pPr>
      <w:r w:rsidRPr="00D91A26">
        <w:t>90.</w:t>
      </w:r>
      <w:r w:rsidRPr="00D91A26">
        <w:tab/>
        <w:t>Sigurdsson E, Sigfusson N, Agnarsson U, Sigvaldason H, Thorgeirsson G. Long-term prognosis of different forms of coronary heart disease: the Reykjavik Study. Int J Epidemiol. 1995;24(1):58-68.</w:t>
      </w:r>
    </w:p>
    <w:p w14:paraId="2537C6E4" w14:textId="77777777" w:rsidR="00D91A26" w:rsidRPr="00D91A26" w:rsidRDefault="00D91A26" w:rsidP="00D91A26">
      <w:pPr>
        <w:pStyle w:val="EndNoteBibliography"/>
        <w:spacing w:after="0"/>
      </w:pPr>
      <w:r w:rsidRPr="00D91A26">
        <w:t>91.</w:t>
      </w:r>
      <w:r w:rsidRPr="00D91A26">
        <w:tab/>
        <w:t>Roper NA, Bilous RW, Kelly WF, Unwin NC, Connolly VM, South Tees Diabetes Mortality S. Cause-specific mortality in a population with diabetes: South Tees Diabetes Mortality Study. Diabetes Care. 2002;25(1):43-8.</w:t>
      </w:r>
    </w:p>
    <w:p w14:paraId="128F810B" w14:textId="77777777" w:rsidR="00D91A26" w:rsidRPr="00D91A26" w:rsidRDefault="00D91A26" w:rsidP="00D91A26">
      <w:pPr>
        <w:pStyle w:val="EndNoteBibliography"/>
        <w:spacing w:after="0"/>
      </w:pPr>
      <w:r w:rsidRPr="00D91A26">
        <w:t>92.</w:t>
      </w:r>
      <w:r w:rsidRPr="00D91A26">
        <w:tab/>
        <w:t>Hankey GJ, Jamrozik K, Broadhurst RJ, Forbes S, Burvill PW, Anderson CS, et al. Five-year survival after first-ever stroke and related prognostic factors in the Perth Community Stroke Study. Stroke. 2000;31(9):2080-6.</w:t>
      </w:r>
    </w:p>
    <w:p w14:paraId="388FEF09" w14:textId="79298CF5" w:rsidR="00D91A26" w:rsidRPr="00D91A26" w:rsidRDefault="00D91A26" w:rsidP="00D91A26">
      <w:pPr>
        <w:pStyle w:val="EndNoteBibliography"/>
        <w:spacing w:after="0"/>
      </w:pPr>
      <w:r w:rsidRPr="00D91A26">
        <w:t>93.</w:t>
      </w:r>
      <w:r w:rsidRPr="00D91A26">
        <w:tab/>
        <w:t xml:space="preserve">Bowel Cancer UK. </w:t>
      </w:r>
      <w:r w:rsidRPr="00D91A26">
        <w:rPr>
          <w:i/>
        </w:rPr>
        <w:t>Bowel cancer survival statistics</w:t>
      </w:r>
      <w:r w:rsidRPr="00D91A26">
        <w:t xml:space="preserve">. 2012. URL: </w:t>
      </w:r>
      <w:hyperlink r:id="rId68" w:history="1">
        <w:r w:rsidRPr="00D91A26">
          <w:rPr>
            <w:rStyle w:val="Hyperlink"/>
          </w:rPr>
          <w:t>http://www.cancerresearchuk.org/health-professional/cancer-statistics/statistics-by-cancer-type/bowel-cancer/survival</w:t>
        </w:r>
      </w:hyperlink>
      <w:r w:rsidRPr="00D91A26">
        <w:t xml:space="preserve"> (Accessed 20 June 2016). </w:t>
      </w:r>
    </w:p>
    <w:p w14:paraId="2B3D5095" w14:textId="77777777" w:rsidR="00D91A26" w:rsidRPr="00D91A26" w:rsidRDefault="00D91A26" w:rsidP="00D91A26">
      <w:pPr>
        <w:pStyle w:val="EndNoteBibliography"/>
        <w:spacing w:after="0"/>
      </w:pPr>
      <w:r w:rsidRPr="00D91A26">
        <w:t>94.</w:t>
      </w:r>
      <w:r w:rsidRPr="00D91A26">
        <w:tab/>
        <w:t xml:space="preserve">Kind P, Hardman G, Macran S. </w:t>
      </w:r>
      <w:r w:rsidRPr="00D91A26">
        <w:rPr>
          <w:i/>
        </w:rPr>
        <w:t>UK Population Norms for EQ-5D</w:t>
      </w:r>
      <w:r w:rsidRPr="00D91A26">
        <w:t xml:space="preserve">. York: University of York; 1999.(Accessed </w:t>
      </w:r>
    </w:p>
    <w:p w14:paraId="12FE5142" w14:textId="77777777" w:rsidR="00D91A26" w:rsidRPr="00D91A26" w:rsidRDefault="00D91A26" w:rsidP="00D91A26">
      <w:pPr>
        <w:pStyle w:val="EndNoteBibliography"/>
        <w:spacing w:after="0"/>
      </w:pPr>
      <w:r w:rsidRPr="00D91A26">
        <w:t>95.</w:t>
      </w:r>
      <w:r w:rsidRPr="00D91A26">
        <w:tab/>
        <w:t>Clarke P, Gray A, Holman R. Estimating utility values for health states of type 2 diabetic patients using the EQ-5D (UKPDS 62). Med Decis Making. 2002;22(4):340-9.</w:t>
      </w:r>
    </w:p>
    <w:p w14:paraId="70ED473B" w14:textId="77777777" w:rsidR="00D91A26" w:rsidRPr="00D91A26" w:rsidRDefault="00D91A26" w:rsidP="00D91A26">
      <w:pPr>
        <w:pStyle w:val="EndNoteBibliography"/>
        <w:spacing w:after="0"/>
      </w:pPr>
      <w:r w:rsidRPr="00D91A26">
        <w:t>96.</w:t>
      </w:r>
      <w:r w:rsidRPr="00D91A26">
        <w:tab/>
        <w:t>Matza LS, Stewart KD, Gandra SR, Delio PR, Fenster BE, Davies EW, et al. Acute and chronic impact of cardiovascular events on health state utilities. BMC Health Serv Res. 2015;15:173.</w:t>
      </w:r>
    </w:p>
    <w:p w14:paraId="03072CF3" w14:textId="77777777" w:rsidR="00D91A26" w:rsidRPr="00D91A26" w:rsidRDefault="00D91A26" w:rsidP="00D91A26">
      <w:pPr>
        <w:pStyle w:val="EndNoteBibliography"/>
        <w:spacing w:after="0"/>
      </w:pPr>
      <w:r w:rsidRPr="00D91A26">
        <w:t>97.</w:t>
      </w:r>
      <w:r w:rsidRPr="00D91A26">
        <w:tab/>
        <w:t>Djalalov S, Rabeneck L, Tomlinson G, Bremner KE, Hilsden R, Hoch JS. A Review and Meta-analysis of Colorectal Cancer Utilities. Med Decis Making. 2014;34(6):809-18.</w:t>
      </w:r>
    </w:p>
    <w:p w14:paraId="43987361" w14:textId="77777777" w:rsidR="00D91A26" w:rsidRPr="00D91A26" w:rsidRDefault="00D91A26" w:rsidP="00D91A26">
      <w:pPr>
        <w:pStyle w:val="EndNoteBibliography"/>
        <w:spacing w:after="0"/>
      </w:pPr>
      <w:r w:rsidRPr="00D91A26">
        <w:t>98.</w:t>
      </w:r>
      <w:r w:rsidRPr="00D91A26">
        <w:tab/>
        <w:t>Beaudet A, Clegg J, Thuresson PO, Lloyd A, McEwan P. Review of utility values for economic modeling in type 2 diabetes. Value Health. 2014;17(4):462-70.</w:t>
      </w:r>
    </w:p>
    <w:p w14:paraId="7916F7B5" w14:textId="77777777" w:rsidR="00D91A26" w:rsidRPr="00D91A26" w:rsidRDefault="00D91A26" w:rsidP="00D91A26">
      <w:pPr>
        <w:pStyle w:val="EndNoteBibliography"/>
        <w:spacing w:after="0"/>
      </w:pPr>
      <w:r w:rsidRPr="00D91A26">
        <w:t>99.</w:t>
      </w:r>
      <w:r w:rsidRPr="00D91A26">
        <w:tab/>
        <w:t xml:space="preserve">NICE. </w:t>
      </w:r>
      <w:r w:rsidRPr="00D91A26">
        <w:rPr>
          <w:rFonts w:ascii="Times New Roman" w:hAnsi="Times New Roman" w:cs="Times New Roman"/>
        </w:rPr>
        <w:t>Section 6 Health Economics; Economic Modelling</w:t>
      </w:r>
      <w:r w:rsidRPr="00D91A26">
        <w:t xml:space="preserve">. London: NICE; 2006. Accessed </w:t>
      </w:r>
    </w:p>
    <w:p w14:paraId="3DB63B45" w14:textId="77777777" w:rsidR="00D91A26" w:rsidRPr="00D91A26" w:rsidRDefault="00D91A26" w:rsidP="00D91A26">
      <w:pPr>
        <w:pStyle w:val="EndNoteBibliography"/>
        <w:spacing w:after="0"/>
      </w:pPr>
      <w:r w:rsidRPr="00D91A26">
        <w:t>100.</w:t>
      </w:r>
      <w:r w:rsidRPr="00D91A26">
        <w:tab/>
        <w:t>Dyer MT, Goldsmith KA, Sharples LS, Buxton MJ. A review of health utilities using the EQ-5D in studies of cardiovascular disease. Health Qual Life Outcomes. 2010;8:13.</w:t>
      </w:r>
    </w:p>
    <w:p w14:paraId="263962A9" w14:textId="77777777" w:rsidR="00D91A26" w:rsidRPr="00D91A26" w:rsidRDefault="00D91A26" w:rsidP="00D91A26">
      <w:pPr>
        <w:pStyle w:val="EndNoteBibliography"/>
        <w:spacing w:after="0"/>
      </w:pPr>
      <w:r w:rsidRPr="00D91A26">
        <w:t>101.</w:t>
      </w:r>
      <w:r w:rsidRPr="00D91A26">
        <w:tab/>
        <w:t>Anokye NK, Trueman P, Green C, Pavey TG, Hillsdon M, Taylor RS. The cost-effectiveness of exercise referral schemes. BMC Public Health. 2011;11:954.</w:t>
      </w:r>
    </w:p>
    <w:p w14:paraId="5967826C" w14:textId="77777777" w:rsidR="00D91A26" w:rsidRPr="00D91A26" w:rsidRDefault="00D91A26" w:rsidP="00D91A26">
      <w:pPr>
        <w:pStyle w:val="EndNoteBibliography"/>
        <w:spacing w:after="0"/>
      </w:pPr>
      <w:r w:rsidRPr="00D91A26">
        <w:t>102.</w:t>
      </w:r>
      <w:r w:rsidRPr="00D91A26">
        <w:tab/>
        <w:t>Pavey TG, Anokye N, Taylor AH, Trueman P, Moxham T, Fox KR, et al. The clinical effectiveness and cost-effectiveness of exercise referral schemes: a systematic review and economic evaluation. Health Technol Assess. 2011;15(44):i-xii, 1-254.</w:t>
      </w:r>
    </w:p>
    <w:p w14:paraId="57FA6685" w14:textId="77777777" w:rsidR="00D91A26" w:rsidRPr="00D91A26" w:rsidRDefault="00D91A26" w:rsidP="00D91A26">
      <w:pPr>
        <w:pStyle w:val="EndNoteBibliography"/>
        <w:spacing w:after="0"/>
      </w:pPr>
      <w:r w:rsidRPr="00D91A26">
        <w:t>103.</w:t>
      </w:r>
      <w:r w:rsidRPr="00D91A26">
        <w:tab/>
        <w:t xml:space="preserve">National Institute for Health and Care Excellence. </w:t>
      </w:r>
      <w:r w:rsidRPr="00D91A26">
        <w:rPr>
          <w:i/>
        </w:rPr>
        <w:t>Apixaban for the Prevention of Stroke and Systemic Embolism in People with Non-valvular Atrial Fibrillation: STA Report</w:t>
      </w:r>
      <w:r w:rsidRPr="00D91A26">
        <w:t xml:space="preserve">. London: NICE; 2012.(Accessed </w:t>
      </w:r>
    </w:p>
    <w:p w14:paraId="5DC1B7A4" w14:textId="77777777" w:rsidR="00D91A26" w:rsidRPr="00D91A26" w:rsidRDefault="00D91A26" w:rsidP="00D91A26">
      <w:pPr>
        <w:pStyle w:val="EndNoteBibliography"/>
        <w:spacing w:after="0"/>
      </w:pPr>
      <w:r w:rsidRPr="00D91A26">
        <w:t>104.</w:t>
      </w:r>
      <w:r w:rsidRPr="00D91A26">
        <w:tab/>
        <w:t>Post PN, Stiggelbout AM, Wakker PP. The utility of health states after stroke: a systematic review of the literature. Stroke. 2001;32(6):1425-9.</w:t>
      </w:r>
    </w:p>
    <w:p w14:paraId="157AD37F" w14:textId="77777777" w:rsidR="00D91A26" w:rsidRPr="00D91A26" w:rsidRDefault="00D91A26" w:rsidP="00D91A26">
      <w:pPr>
        <w:pStyle w:val="EndNoteBibliography"/>
        <w:spacing w:after="0"/>
      </w:pPr>
      <w:r w:rsidRPr="00D91A26">
        <w:lastRenderedPageBreak/>
        <w:t>105.</w:t>
      </w:r>
      <w:r w:rsidRPr="00D91A26">
        <w:tab/>
        <w:t>Adar R, Adar R, Cohen E, Kreitler S. Carotid endarterectomy for symptom-free stenosis: the patient's point of view. Cardiovasc Surg. 1994;2(5):582-5.</w:t>
      </w:r>
    </w:p>
    <w:p w14:paraId="59C31781" w14:textId="77777777" w:rsidR="00D91A26" w:rsidRPr="00D91A26" w:rsidRDefault="00D91A26" w:rsidP="00D91A26">
      <w:pPr>
        <w:pStyle w:val="EndNoteBibliography"/>
        <w:spacing w:after="0"/>
      </w:pPr>
      <w:r w:rsidRPr="00D91A26">
        <w:t>106.</w:t>
      </w:r>
      <w:r w:rsidRPr="00D91A26">
        <w:tab/>
        <w:t>Hallan S, Asberg A, Indredavik B, Wideroe TE. Quality of life after cerebrovascular stroke: a systematic study of patients' preferences for different functional outcomes. J Intern Med. 1999;246(3):309-16.</w:t>
      </w:r>
    </w:p>
    <w:p w14:paraId="66EE9A68" w14:textId="77777777" w:rsidR="00D91A26" w:rsidRPr="00D91A26" w:rsidRDefault="00D91A26" w:rsidP="00D91A26">
      <w:pPr>
        <w:pStyle w:val="EndNoteBibliography"/>
        <w:spacing w:after="0"/>
      </w:pPr>
      <w:r w:rsidRPr="00D91A26">
        <w:t>107.</w:t>
      </w:r>
      <w:r w:rsidRPr="00D91A26">
        <w:tab/>
        <w:t>Lenert LA, Soetikno RM. Automated computer interviews to elicit utilities: potential applications in the treatment of deep venous thrombosis. J Am Med Inform Assoc. 1997;4(1):49-56.</w:t>
      </w:r>
    </w:p>
    <w:p w14:paraId="2893B822" w14:textId="77777777" w:rsidR="00D91A26" w:rsidRPr="00D91A26" w:rsidRDefault="00D91A26" w:rsidP="00D91A26">
      <w:pPr>
        <w:pStyle w:val="EndNoteBibliography"/>
        <w:spacing w:after="0"/>
      </w:pPr>
      <w:r w:rsidRPr="00D91A26">
        <w:t>108.</w:t>
      </w:r>
      <w:r w:rsidRPr="00D91A26">
        <w:tab/>
        <w:t>Man-Son-Hing M, Laupacis A, O'Connor AM, Coyle D, Berquist R, McAlister F. Patient preference-based treatment thresholds and recommendations: a comparison of decision-analytic modeling with the probability-tradeoff technique. Med Decis Making. 2000;20(4):394-403.</w:t>
      </w:r>
    </w:p>
    <w:p w14:paraId="4930FB53" w14:textId="77777777" w:rsidR="00D91A26" w:rsidRPr="00D91A26" w:rsidRDefault="00D91A26" w:rsidP="00D91A26">
      <w:pPr>
        <w:pStyle w:val="EndNoteBibliography"/>
        <w:spacing w:after="0"/>
      </w:pPr>
      <w:r w:rsidRPr="00D91A26">
        <w:t>109.</w:t>
      </w:r>
      <w:r w:rsidRPr="00D91A26">
        <w:tab/>
        <w:t xml:space="preserve">Edwards SJ, ., Hamilton V, Trevor N, Nherera L, Karner C, Thurgar E. </w:t>
      </w:r>
      <w:r w:rsidRPr="00D91A26">
        <w:rPr>
          <w:i/>
        </w:rPr>
        <w:t>Apixaban for the prevention of stroke and systemic embolism in people with non-valvular atrial fibrillation: A Single Technology Appraisal</w:t>
      </w:r>
      <w:r w:rsidRPr="00D91A26">
        <w:t xml:space="preserve">. London: BMJ-TAG; 2012.(Accessed </w:t>
      </w:r>
    </w:p>
    <w:p w14:paraId="7076D152" w14:textId="77777777" w:rsidR="00D91A26" w:rsidRPr="00D91A26" w:rsidRDefault="00D91A26" w:rsidP="00D91A26">
      <w:pPr>
        <w:pStyle w:val="EndNoteBibliography"/>
        <w:spacing w:after="0"/>
      </w:pPr>
      <w:r w:rsidRPr="00D91A26">
        <w:t>110.</w:t>
      </w:r>
      <w:r w:rsidRPr="00D91A26">
        <w:tab/>
        <w:t xml:space="preserve">National Institute for Health and Care Excellence (NICE). </w:t>
      </w:r>
      <w:r w:rsidRPr="00D91A26">
        <w:rPr>
          <w:i/>
        </w:rPr>
        <w:t>Modelling the cost effectiveness of physical activity interventions</w:t>
      </w:r>
      <w:r w:rsidRPr="00D91A26">
        <w:t>; 2006 (Accessed 15 May 2016)</w:t>
      </w:r>
    </w:p>
    <w:p w14:paraId="37C35506" w14:textId="77777777" w:rsidR="00D91A26" w:rsidRPr="00D91A26" w:rsidRDefault="00D91A26" w:rsidP="00D91A26">
      <w:pPr>
        <w:pStyle w:val="EndNoteBibliography"/>
        <w:spacing w:after="0"/>
      </w:pPr>
      <w:r w:rsidRPr="00D91A26">
        <w:t>111.</w:t>
      </w:r>
      <w:r w:rsidRPr="00D91A26">
        <w:tab/>
        <w:t xml:space="preserve">National Institute for Health and Care Excellence (NICE). </w:t>
      </w:r>
      <w:r w:rsidRPr="00D91A26">
        <w:rPr>
          <w:i/>
        </w:rPr>
        <w:t>Cetuximab for the first-line treatment of metastatic colorectal cancer</w:t>
      </w:r>
      <w:r w:rsidRPr="00D91A26">
        <w:t>; 2009.(Accessed 15 May 2016)</w:t>
      </w:r>
    </w:p>
    <w:p w14:paraId="637FC4EB" w14:textId="77777777" w:rsidR="00D91A26" w:rsidRPr="00D91A26" w:rsidRDefault="00D91A26" w:rsidP="00D91A26">
      <w:pPr>
        <w:pStyle w:val="EndNoteBibliography"/>
        <w:spacing w:after="0"/>
      </w:pPr>
      <w:r w:rsidRPr="00D91A26">
        <w:t>112.</w:t>
      </w:r>
      <w:r w:rsidRPr="00D91A26">
        <w:tab/>
        <w:t xml:space="preserve">Kanavos P, van den Aardweg S, Schurer W. </w:t>
      </w:r>
      <w:r w:rsidRPr="00D91A26">
        <w:rPr>
          <w:i/>
        </w:rPr>
        <w:t>Diabetes expenditure, burden of disease and management in 5 EU countries</w:t>
      </w:r>
      <w:r w:rsidRPr="00D91A26">
        <w:t xml:space="preserve">. London: London School of Economics (Health); 2012.(Accessed </w:t>
      </w:r>
    </w:p>
    <w:p w14:paraId="7CB00815" w14:textId="77777777" w:rsidR="00D91A26" w:rsidRPr="00D91A26" w:rsidRDefault="00D91A26" w:rsidP="00D91A26">
      <w:pPr>
        <w:pStyle w:val="EndNoteBibliography"/>
        <w:spacing w:after="0"/>
      </w:pPr>
      <w:r w:rsidRPr="00D91A26">
        <w:t>113.</w:t>
      </w:r>
      <w:r w:rsidRPr="00D91A26">
        <w:tab/>
        <w:t xml:space="preserve">NHS Scotland. </w:t>
      </w:r>
      <w:r w:rsidRPr="00D91A26">
        <w:rPr>
          <w:i/>
        </w:rPr>
        <w:t>Management of coronary heart disease: A national clinical and resource impact assessment</w:t>
      </w:r>
      <w:r w:rsidRPr="00D91A26">
        <w:t xml:space="preserve">. Edinburgh: NHS Scotland; 2007.(Accessed </w:t>
      </w:r>
    </w:p>
    <w:p w14:paraId="29085D2A" w14:textId="77777777" w:rsidR="00D91A26" w:rsidRPr="00D91A26" w:rsidRDefault="00D91A26" w:rsidP="00D91A26">
      <w:pPr>
        <w:pStyle w:val="EndNoteBibliography"/>
        <w:spacing w:after="0"/>
      </w:pPr>
      <w:r w:rsidRPr="00D91A26">
        <w:t>114.</w:t>
      </w:r>
      <w:r w:rsidRPr="00D91A26">
        <w:tab/>
        <w:t>Saka O, McGuire A, Wolfe C. Cost of stroke in the United Kingdom. Age Ageing. 2009;38(1):27-32.</w:t>
      </w:r>
    </w:p>
    <w:p w14:paraId="0D25074D" w14:textId="77777777" w:rsidR="00D91A26" w:rsidRPr="00D91A26" w:rsidRDefault="00D91A26" w:rsidP="00D91A26">
      <w:pPr>
        <w:pStyle w:val="EndNoteBibliography"/>
        <w:spacing w:after="0"/>
      </w:pPr>
      <w:r w:rsidRPr="00D91A26">
        <w:t>115.</w:t>
      </w:r>
      <w:r w:rsidRPr="00D91A26">
        <w:tab/>
        <w:t xml:space="preserve">Cancer Research UK (CRUK). </w:t>
      </w:r>
      <w:r w:rsidRPr="00D91A26">
        <w:rPr>
          <w:i/>
        </w:rPr>
        <w:t>Saving Lives through Research</w:t>
      </w:r>
      <w:r w:rsidRPr="00D91A26">
        <w:t>; 2014.(Accessed 17 June 2016)</w:t>
      </w:r>
    </w:p>
    <w:p w14:paraId="2E86E41C" w14:textId="77777777" w:rsidR="00D91A26" w:rsidRPr="00D91A26" w:rsidRDefault="00D91A26" w:rsidP="00D91A26">
      <w:pPr>
        <w:pStyle w:val="EndNoteBibliography"/>
        <w:spacing w:after="0"/>
      </w:pPr>
      <w:r w:rsidRPr="00D91A26">
        <w:t>116.</w:t>
      </w:r>
      <w:r w:rsidRPr="00D91A26">
        <w:tab/>
        <w:t>Currie CJ, Gale EA, Poole CD. Estimation of primary care treatment costs and treatment efficacy for people with Type 1 and Type 2 diabetes in the United Kingdom from 1997 to 2007*. Diabet Med. 2010;27(8):938-48.</w:t>
      </w:r>
    </w:p>
    <w:p w14:paraId="2B6B70C1" w14:textId="77777777" w:rsidR="00D91A26" w:rsidRPr="00D91A26" w:rsidRDefault="00D91A26" w:rsidP="00D91A26">
      <w:pPr>
        <w:pStyle w:val="EndNoteBibliography"/>
        <w:spacing w:after="0"/>
      </w:pPr>
      <w:r w:rsidRPr="00D91A26">
        <w:t>117.</w:t>
      </w:r>
      <w:r w:rsidRPr="00D91A26">
        <w:tab/>
        <w:t>Morgan CL, Peters JR, Dixon S, Currie CJ. Estimated costs of acute hospital care for people with diabetes in the United Kingdom: a routine record linkage study in a large region. Diabet Med. 2010;27(9):1066-73.</w:t>
      </w:r>
    </w:p>
    <w:p w14:paraId="23D81823" w14:textId="77777777" w:rsidR="00D91A26" w:rsidRPr="00D91A26" w:rsidRDefault="00D91A26" w:rsidP="00D91A26">
      <w:pPr>
        <w:pStyle w:val="EndNoteBibliography"/>
        <w:spacing w:after="0"/>
      </w:pPr>
      <w:r w:rsidRPr="00D91A26">
        <w:t>118.</w:t>
      </w:r>
      <w:r w:rsidRPr="00D91A26">
        <w:tab/>
        <w:t>Bosanquet N, Franks P.</w:t>
      </w:r>
      <w:r w:rsidRPr="00D91A26">
        <w:rPr>
          <w:i/>
        </w:rPr>
        <w:t xml:space="preserve"> Stroke care: reducing the burden of disease</w:t>
      </w:r>
      <w:r w:rsidRPr="00D91A26">
        <w:t xml:space="preserve">. London: The Stroke Association; 1998.(Accessed </w:t>
      </w:r>
    </w:p>
    <w:p w14:paraId="4223547E" w14:textId="77777777" w:rsidR="00D91A26" w:rsidRPr="00D91A26" w:rsidRDefault="00D91A26" w:rsidP="00D91A26">
      <w:pPr>
        <w:pStyle w:val="EndNoteBibliography"/>
        <w:spacing w:after="0"/>
      </w:pPr>
      <w:r w:rsidRPr="00D91A26">
        <w:t>119.</w:t>
      </w:r>
      <w:r w:rsidRPr="00D91A26">
        <w:tab/>
        <w:t xml:space="preserve">Trueman P, Lowson K, Bending M, Ganderton M, Chaplin S, Wright DH, et al. </w:t>
      </w:r>
      <w:r w:rsidRPr="00D91A26">
        <w:rPr>
          <w:i/>
        </w:rPr>
        <w:t>Bowel Cancer Services: Costs and Benefits (Summary Report to the Department of Health)</w:t>
      </w:r>
      <w:r w:rsidRPr="00D91A26">
        <w:t xml:space="preserve">. York (UK): York Health Economics Consortium and School of Health and Related Research (University of Sheffield); 2007.(Accessed </w:t>
      </w:r>
    </w:p>
    <w:p w14:paraId="36A965CD" w14:textId="77777777" w:rsidR="00D91A26" w:rsidRPr="00D91A26" w:rsidRDefault="00D91A26" w:rsidP="00D91A26">
      <w:pPr>
        <w:pStyle w:val="EndNoteBibliography"/>
        <w:spacing w:after="0"/>
      </w:pPr>
      <w:r w:rsidRPr="00D91A26">
        <w:t>120.</w:t>
      </w:r>
      <w:r w:rsidRPr="00D91A26">
        <w:tab/>
        <w:t>Power C, Lake JK, Cole TJ. Body mass index and height from childhood to adulthood in the 1958 British born cohort. Am J Clin Nutr. 1997;66:1094-101.</w:t>
      </w:r>
    </w:p>
    <w:p w14:paraId="5E184DED" w14:textId="77777777" w:rsidR="00D91A26" w:rsidRPr="00D91A26" w:rsidRDefault="00D91A26" w:rsidP="00D91A26">
      <w:pPr>
        <w:pStyle w:val="EndNoteBibliography"/>
        <w:spacing w:after="0"/>
      </w:pPr>
      <w:r w:rsidRPr="00D91A26">
        <w:t>121.</w:t>
      </w:r>
      <w:r w:rsidRPr="00D91A26">
        <w:tab/>
        <w:t>Bonell C, Fletcher A, Jamal F, Wells H, Harden A, Murphy S, et al. Theories of how the school environment impacts on student health: Systematic review and synthesis. Health &amp; Place. 2013;24:242-9.</w:t>
      </w:r>
    </w:p>
    <w:p w14:paraId="6E9505D2" w14:textId="77777777" w:rsidR="00D91A26" w:rsidRPr="00D91A26" w:rsidRDefault="00D91A26" w:rsidP="00D91A26">
      <w:pPr>
        <w:pStyle w:val="EndNoteBibliography"/>
        <w:spacing w:after="0"/>
      </w:pPr>
      <w:r w:rsidRPr="00D91A26">
        <w:t>122.</w:t>
      </w:r>
      <w:r w:rsidRPr="00D91A26">
        <w:tab/>
        <w:t>Fisher J, Fisher W. Modifiable determinants of behaviour: information, motivation, behaviour skills model. Psychol Bull. 1992.</w:t>
      </w:r>
    </w:p>
    <w:p w14:paraId="7EB17374" w14:textId="77777777" w:rsidR="00D91A26" w:rsidRPr="00D91A26" w:rsidRDefault="00D91A26" w:rsidP="00D91A26">
      <w:pPr>
        <w:pStyle w:val="EndNoteBibliography"/>
        <w:spacing w:after="0"/>
      </w:pPr>
      <w:r w:rsidRPr="00D91A26">
        <w:t>123.</w:t>
      </w:r>
      <w:r w:rsidRPr="00D91A26">
        <w:tab/>
        <w:t>Braun V, Clarke V. Using thematic analysis in psychology. Qualitative research in psychology. 2006;3(2):77-101.</w:t>
      </w:r>
    </w:p>
    <w:p w14:paraId="4142D732" w14:textId="77777777" w:rsidR="00D91A26" w:rsidRPr="00D91A26" w:rsidRDefault="00D91A26" w:rsidP="00D91A26">
      <w:pPr>
        <w:pStyle w:val="EndNoteBibliography"/>
        <w:spacing w:after="0"/>
      </w:pPr>
      <w:r w:rsidRPr="00D91A26">
        <w:t>124.</w:t>
      </w:r>
      <w:r w:rsidRPr="00D91A26">
        <w:tab/>
        <w:t xml:space="preserve">Richie J, Spencer L. Qualitative data analysis for applied policy research. In: Bryman, Burgess, editors. </w:t>
      </w:r>
      <w:r w:rsidRPr="00D91A26">
        <w:rPr>
          <w:i/>
        </w:rPr>
        <w:t xml:space="preserve">Analysing Qualitative Data, </w:t>
      </w:r>
      <w:r w:rsidRPr="00D91A26">
        <w:t>. London: Routledge; 1994:173-94.</w:t>
      </w:r>
    </w:p>
    <w:p w14:paraId="066725EB" w14:textId="77777777" w:rsidR="00D91A26" w:rsidRPr="00D91A26" w:rsidRDefault="00D91A26" w:rsidP="00D91A26">
      <w:pPr>
        <w:pStyle w:val="EndNoteBibliography"/>
        <w:spacing w:after="0"/>
      </w:pPr>
      <w:r w:rsidRPr="00D91A26">
        <w:t>125.</w:t>
      </w:r>
      <w:r w:rsidRPr="00D91A26">
        <w:tab/>
        <w:t>Baron RM, Kenny DA. The moderator-mediator variable distinction in social psychological research: conceptual, strategic, and statistical considerations. J Pers Soc Psychol. 1986;51(6):1173-82.</w:t>
      </w:r>
    </w:p>
    <w:p w14:paraId="7A833558" w14:textId="77777777" w:rsidR="00D91A26" w:rsidRPr="00D91A26" w:rsidRDefault="00D91A26" w:rsidP="00D91A26">
      <w:pPr>
        <w:pStyle w:val="EndNoteBibliography"/>
        <w:spacing w:after="0"/>
      </w:pPr>
      <w:r w:rsidRPr="00D91A26">
        <w:lastRenderedPageBreak/>
        <w:t>126.</w:t>
      </w:r>
      <w:r w:rsidRPr="00D91A26">
        <w:tab/>
        <w:t>Cole DA, Maxwell SE. Testing mediational models with longitudinal data: questions and tips in the use of structural equation modeling. J Abnorm Psychol. 2003;112(4):558-77.</w:t>
      </w:r>
    </w:p>
    <w:p w14:paraId="5E683596" w14:textId="77777777" w:rsidR="00D91A26" w:rsidRPr="00D91A26" w:rsidRDefault="00D91A26" w:rsidP="00D91A26">
      <w:pPr>
        <w:pStyle w:val="EndNoteBibliography"/>
        <w:spacing w:after="0"/>
      </w:pPr>
      <w:r w:rsidRPr="00D91A26">
        <w:t>127.</w:t>
      </w:r>
      <w:r w:rsidRPr="00D91A26">
        <w:tab/>
        <w:t>Pyper E, Harrington D, Manson H. The impact of different types of parental support behaviours on child physical activity, healthy eating, and screen time: a cross-sectional study. BMC Public Health. 2016;16(1):568.</w:t>
      </w:r>
    </w:p>
    <w:p w14:paraId="52DA8733" w14:textId="77777777" w:rsidR="00D91A26" w:rsidRPr="00D91A26" w:rsidRDefault="00D91A26" w:rsidP="00D91A26">
      <w:pPr>
        <w:pStyle w:val="EndNoteBibliography"/>
        <w:spacing w:after="0"/>
      </w:pPr>
      <w:r w:rsidRPr="00D91A26">
        <w:t>128.</w:t>
      </w:r>
      <w:r w:rsidRPr="00D91A26">
        <w:tab/>
        <w:t xml:space="preserve">Aneshensel CS. </w:t>
      </w:r>
      <w:r w:rsidRPr="00D91A26">
        <w:rPr>
          <w:i/>
        </w:rPr>
        <w:t>Theory-based data analysis for the social sciences</w:t>
      </w:r>
      <w:r w:rsidRPr="00D91A26">
        <w:t>: Sage; 2012.</w:t>
      </w:r>
    </w:p>
    <w:p w14:paraId="33A5E738" w14:textId="77777777" w:rsidR="00D91A26" w:rsidRPr="00D91A26" w:rsidRDefault="00D91A26" w:rsidP="00D91A26">
      <w:pPr>
        <w:pStyle w:val="EndNoteBibliography"/>
        <w:spacing w:after="0"/>
      </w:pPr>
      <w:r w:rsidRPr="00D91A26">
        <w:t>129.</w:t>
      </w:r>
      <w:r w:rsidRPr="00D91A26">
        <w:tab/>
        <w:t>Tennant AH, M. Pallant, J., editor An Introduction to Structural Equation Modelling (SEM) using AMOS. An Introduction to Structural Equation Modelling (SEM) using AMOS; 2013; Psychometric Laboratory for Health Sciences, University of Leeds.</w:t>
      </w:r>
    </w:p>
    <w:p w14:paraId="7B25DDBC" w14:textId="77777777" w:rsidR="00D91A26" w:rsidRPr="00D91A26" w:rsidRDefault="00D91A26" w:rsidP="00D91A26">
      <w:pPr>
        <w:pStyle w:val="EndNoteBibliography"/>
        <w:spacing w:after="0"/>
      </w:pPr>
      <w:r w:rsidRPr="00D91A26">
        <w:t>130.</w:t>
      </w:r>
      <w:r w:rsidRPr="00D91A26">
        <w:tab/>
        <w:t>Marsh HW, Balla, J. R., &amp; McDonald, R. P. Goodness-of-fit indices in confirmatory factor analysis: The effect of sample size. Psychol Bull. 1988;103:391-410.</w:t>
      </w:r>
    </w:p>
    <w:p w14:paraId="720F3557" w14:textId="77777777" w:rsidR="00D91A26" w:rsidRPr="00D91A26" w:rsidRDefault="00D91A26" w:rsidP="00D91A26">
      <w:pPr>
        <w:pStyle w:val="EndNoteBibliography"/>
        <w:spacing w:after="0"/>
      </w:pPr>
      <w:r w:rsidRPr="00D91A26">
        <w:t>131.</w:t>
      </w:r>
      <w:r w:rsidRPr="00D91A26">
        <w:tab/>
        <w:t>Hu LB, P. Fit Indices in Covariance Structure Modeling: Sensitivity to Underparameterized Model Misspecification. Psychol Methods. 1998;3(4):424-53.</w:t>
      </w:r>
    </w:p>
    <w:p w14:paraId="6DD66A5A" w14:textId="77777777" w:rsidR="00D91A26" w:rsidRPr="00D91A26" w:rsidRDefault="00D91A26" w:rsidP="00D91A26">
      <w:pPr>
        <w:pStyle w:val="EndNoteBibliography"/>
        <w:spacing w:after="0"/>
      </w:pPr>
      <w:r w:rsidRPr="00D91A26">
        <w:t>132.</w:t>
      </w:r>
      <w:r w:rsidRPr="00D91A26">
        <w:tab/>
        <w:t>Wheaton B. Assessment of fit in overidentified models with latent variables. Sociological Methods &amp; Research. 1987;16:118-54.</w:t>
      </w:r>
    </w:p>
    <w:p w14:paraId="0227CB6D" w14:textId="77777777" w:rsidR="00D91A26" w:rsidRPr="00D91A26" w:rsidRDefault="00D91A26" w:rsidP="00D91A26">
      <w:pPr>
        <w:pStyle w:val="EndNoteBibliography"/>
        <w:spacing w:after="0"/>
      </w:pPr>
      <w:r w:rsidRPr="00D91A26">
        <w:t>133.</w:t>
      </w:r>
      <w:r w:rsidRPr="00D91A26">
        <w:tab/>
        <w:t>Kock N, Gaskins, L. Simpson’s paradox, moderation, and the emergence of quadratic relationships in path models: An information systems illustration. . Int J Appl Nonlinear Sci. 2016;2(3):200-34.</w:t>
      </w:r>
    </w:p>
    <w:p w14:paraId="047296C0" w14:textId="77777777" w:rsidR="00D91A26" w:rsidRPr="00D91A26" w:rsidRDefault="00D91A26" w:rsidP="00D91A26">
      <w:pPr>
        <w:pStyle w:val="EndNoteBibliography"/>
        <w:spacing w:after="0"/>
      </w:pPr>
      <w:r w:rsidRPr="00D91A26">
        <w:t>134.</w:t>
      </w:r>
      <w:r w:rsidRPr="00D91A26">
        <w:tab/>
        <w:t>Snell DL, Surgenor LJ, Hay-Smith EJ, Williman J, Siegert RJ. The contribution of psychological factors to recovery after mild traumatic brain injury: is cluster analysis a useful approach? Brain Inj. 2015;29(3):291-9.</w:t>
      </w:r>
    </w:p>
    <w:p w14:paraId="1B5F425F" w14:textId="77777777" w:rsidR="00D91A26" w:rsidRPr="00D91A26" w:rsidRDefault="00D91A26" w:rsidP="00D91A26">
      <w:pPr>
        <w:pStyle w:val="EndNoteBibliography"/>
        <w:spacing w:after="0"/>
      </w:pPr>
      <w:r w:rsidRPr="00D91A26">
        <w:t>135.</w:t>
      </w:r>
      <w:r w:rsidRPr="00D91A26">
        <w:tab/>
        <w:t>Williamson DA, Champagne CM, Harsha D, Han H, Martin CK, Newton R, Jr., et al. Louisiana (LA) Health: design and methods for a childhood obesity prevention program in rural schools. Contemp Clin Trials. 2008;29(5):783-95.</w:t>
      </w:r>
    </w:p>
    <w:p w14:paraId="1E9CD341" w14:textId="77777777" w:rsidR="00D91A26" w:rsidRPr="00D91A26" w:rsidRDefault="00D91A26" w:rsidP="00D91A26">
      <w:pPr>
        <w:pStyle w:val="EndNoteBibliography"/>
        <w:spacing w:after="0"/>
      </w:pPr>
      <w:r w:rsidRPr="00D91A26">
        <w:t>136.</w:t>
      </w:r>
      <w:r w:rsidRPr="00D91A26">
        <w:tab/>
        <w:t>Doolen J, Alpert PT, Miller SK. Parental disconnect between perceived and actual weight status of children: a metasynthesis of the current research. J Am Acad Nurse Pract. 2009;21(3):160-6.</w:t>
      </w:r>
    </w:p>
    <w:p w14:paraId="703CD97B" w14:textId="77777777" w:rsidR="00D91A26" w:rsidRPr="00D91A26" w:rsidRDefault="00D91A26" w:rsidP="00D91A26">
      <w:pPr>
        <w:pStyle w:val="EndNoteBibliography"/>
        <w:spacing w:after="0"/>
      </w:pPr>
      <w:r w:rsidRPr="00D91A26">
        <w:t>137.</w:t>
      </w:r>
      <w:r w:rsidRPr="00D91A26">
        <w:tab/>
        <w:t xml:space="preserve">Williams AJ. </w:t>
      </w:r>
      <w:r w:rsidRPr="00D91A26">
        <w:rPr>
          <w:i/>
        </w:rPr>
        <w:t>Determination of school-based contextual factors and their associations with the prevalence of overweight and obese children</w:t>
      </w:r>
      <w:r w:rsidRPr="00D91A26">
        <w:t>: Exeter; 2014.</w:t>
      </w:r>
    </w:p>
    <w:p w14:paraId="1074EB81" w14:textId="77777777" w:rsidR="00D91A26" w:rsidRPr="00D91A26" w:rsidRDefault="00D91A26" w:rsidP="00D91A26">
      <w:pPr>
        <w:pStyle w:val="EndNoteBibliography"/>
        <w:spacing w:after="0"/>
      </w:pPr>
      <w:r w:rsidRPr="00D91A26">
        <w:t>138.</w:t>
      </w:r>
      <w:r w:rsidRPr="00D91A26">
        <w:tab/>
        <w:t>Waters E, de Silva-Sanigorski A, Hall BJ, Brown T, Campbell KJ, Gao Y, et al. Interventions for preventing obesity in children. Cochrane Database Syst Rev. 2011;10.1002/14651858.CD001871.pub3(12):CD001871.</w:t>
      </w:r>
    </w:p>
    <w:p w14:paraId="49CE59C7" w14:textId="77777777" w:rsidR="00D91A26" w:rsidRPr="00D91A26" w:rsidRDefault="00D91A26" w:rsidP="00D91A26">
      <w:pPr>
        <w:pStyle w:val="EndNoteBibliography"/>
        <w:spacing w:after="0"/>
      </w:pPr>
      <w:r w:rsidRPr="00D91A26">
        <w:t>139.</w:t>
      </w:r>
      <w:r w:rsidRPr="00D91A26">
        <w:tab/>
        <w:t>The Healthy Study Group, Foster GD, Linder B, Baranowski T, Cooper D, Goldberg L, et al. A school-based intervention for Diabetes risk reduction. N Engl J Med. 2010;363:443-53.</w:t>
      </w:r>
    </w:p>
    <w:p w14:paraId="28DE45EE" w14:textId="77777777" w:rsidR="00D91A26" w:rsidRPr="00D91A26" w:rsidRDefault="00D91A26" w:rsidP="00D91A26">
      <w:pPr>
        <w:pStyle w:val="EndNoteBibliography"/>
        <w:spacing w:after="0"/>
      </w:pPr>
      <w:r w:rsidRPr="00D91A26">
        <w:t>140.</w:t>
      </w:r>
      <w:r w:rsidRPr="00D91A26">
        <w:tab/>
        <w:t>Te Velde SJ, Brug J, Wind M, Hildonen C, Bjelland M, Perez-Rodrigo C, et al. Effects of a comprehensive fruit- and vegetable-promoting school-based intervention in three European countries: the Pro Children Study. Br J Nutr. 2008;99(4):893-903.</w:t>
      </w:r>
    </w:p>
    <w:p w14:paraId="3C6E1263" w14:textId="77777777" w:rsidR="00D91A26" w:rsidRPr="00D91A26" w:rsidRDefault="00D91A26" w:rsidP="00D91A26">
      <w:pPr>
        <w:pStyle w:val="EndNoteBibliography"/>
        <w:spacing w:after="0"/>
      </w:pPr>
      <w:r w:rsidRPr="00D91A26">
        <w:t>141.</w:t>
      </w:r>
      <w:r w:rsidRPr="00D91A26">
        <w:tab/>
        <w:t>Lytle LA, Murray DM, Perry CL, Story M, Birnbaum AS, Kubik MY, et al. School-based approaches to affect adolescents' diets: results from the TEENS study. Health Educ Behav. 2004;31(2):270-87.</w:t>
      </w:r>
    </w:p>
    <w:p w14:paraId="71FB55F7" w14:textId="2631A4E9" w:rsidR="00D91A26" w:rsidRPr="00D91A26" w:rsidRDefault="00D91A26" w:rsidP="00D91A26">
      <w:pPr>
        <w:pStyle w:val="EndNoteBibliography"/>
        <w:spacing w:after="0"/>
      </w:pPr>
      <w:r w:rsidRPr="00D91A26">
        <w:t>142.</w:t>
      </w:r>
      <w:r w:rsidRPr="00D91A26">
        <w:tab/>
        <w:t xml:space="preserve">Public Health England. </w:t>
      </w:r>
      <w:r w:rsidRPr="00D91A26">
        <w:rPr>
          <w:i/>
        </w:rPr>
        <w:t>NCMP Local Authority Profile</w:t>
      </w:r>
      <w:r w:rsidRPr="00D91A26">
        <w:t xml:space="preserve">. URL: </w:t>
      </w:r>
      <w:hyperlink r:id="rId69" w:anchor="page/0/gid/8000011/pat/6/par/E12000009/ati/102/are/E10000008" w:history="1">
        <w:r w:rsidRPr="00D91A26">
          <w:rPr>
            <w:rStyle w:val="Hyperlink"/>
          </w:rPr>
          <w:t>http://fingertips.phe.org.uk/profile/national-child-measurement-programme/data#page/0/gid/8000011/pat/6/par/E12000009/ati/102/are/E10000008</w:t>
        </w:r>
      </w:hyperlink>
      <w:r w:rsidRPr="00D91A26">
        <w:t xml:space="preserve"> (Accessed 1 Nov 2016). </w:t>
      </w:r>
    </w:p>
    <w:p w14:paraId="1E3AA423" w14:textId="13821F8A" w:rsidR="00D91A26" w:rsidRPr="00D91A26" w:rsidRDefault="00D91A26" w:rsidP="00D91A26">
      <w:pPr>
        <w:pStyle w:val="EndNoteBibliography"/>
        <w:spacing w:after="0"/>
      </w:pPr>
      <w:r w:rsidRPr="00D91A26">
        <w:t>143.</w:t>
      </w:r>
      <w:r w:rsidRPr="00D91A26">
        <w:tab/>
        <w:t xml:space="preserve">National Statistics. Schools, pupils and their characteristics: January 2012. England2012 Available from: </w:t>
      </w:r>
      <w:hyperlink r:id="rId70" w:history="1">
        <w:r w:rsidRPr="00D91A26">
          <w:rPr>
            <w:rStyle w:val="Hyperlink"/>
          </w:rPr>
          <w:t>https://www.gov.uk/government/statistics/schools-pupils-and-their-characteristics-january-2012</w:t>
        </w:r>
      </w:hyperlink>
      <w:r w:rsidRPr="00D91A26">
        <w:t>. Accessed 1 Nov 2016</w:t>
      </w:r>
    </w:p>
    <w:p w14:paraId="21037113" w14:textId="77777777" w:rsidR="00D91A26" w:rsidRPr="00D91A26" w:rsidRDefault="00D91A26" w:rsidP="00D91A26">
      <w:pPr>
        <w:pStyle w:val="EndNoteBibliography"/>
        <w:spacing w:after="0"/>
      </w:pPr>
      <w:r w:rsidRPr="00D91A26">
        <w:t>144.</w:t>
      </w:r>
      <w:r w:rsidRPr="00D91A26">
        <w:tab/>
        <w:t>Williams AJ, Henley WE, Williams CA, Hurst AJ, Logan S, Wyatt KM. Systematic review and meta-analysis of the association between childhood overweight and obesity and primary school diet and physical activity policies. Int J Behav Nutr Phys Act. 2013;10(1):101.</w:t>
      </w:r>
    </w:p>
    <w:p w14:paraId="050E5FE1" w14:textId="77777777" w:rsidR="00D91A26" w:rsidRPr="00D91A26" w:rsidRDefault="00D91A26" w:rsidP="00D91A26">
      <w:pPr>
        <w:pStyle w:val="EndNoteBibliography"/>
        <w:spacing w:after="0"/>
      </w:pPr>
      <w:r w:rsidRPr="00D91A26">
        <w:lastRenderedPageBreak/>
        <w:t>145.</w:t>
      </w:r>
      <w:r w:rsidRPr="00D91A26">
        <w:tab/>
        <w:t xml:space="preserve">Lloyd J. </w:t>
      </w:r>
      <w:r w:rsidRPr="00D91A26">
        <w:rPr>
          <w:i/>
        </w:rPr>
        <w:t>Preventing childhood obesity: Developing complex interventions for behaviour change</w:t>
      </w:r>
      <w:r w:rsidRPr="00D91A26">
        <w:t>. Exeter: University of Exeter; 2013.</w:t>
      </w:r>
    </w:p>
    <w:p w14:paraId="6934DFA4" w14:textId="77777777" w:rsidR="00D91A26" w:rsidRPr="00D91A26" w:rsidRDefault="00D91A26" w:rsidP="00D91A26">
      <w:pPr>
        <w:pStyle w:val="EndNoteBibliography"/>
        <w:spacing w:after="0"/>
      </w:pPr>
      <w:r w:rsidRPr="00D91A26">
        <w:t>146.</w:t>
      </w:r>
      <w:r w:rsidRPr="00D91A26">
        <w:tab/>
        <w:t xml:space="preserve">De Vet HCW, Terwee CB, Mokkink LB, Knol DL. </w:t>
      </w:r>
      <w:r w:rsidRPr="00D91A26">
        <w:rPr>
          <w:i/>
        </w:rPr>
        <w:t>Measurement in medicine: a practical guide</w:t>
      </w:r>
      <w:r w:rsidRPr="00D91A26">
        <w:t>: Cambridge University Press; 2011.</w:t>
      </w:r>
    </w:p>
    <w:p w14:paraId="0FFFE5E0" w14:textId="77777777" w:rsidR="00D91A26" w:rsidRPr="00D91A26" w:rsidRDefault="00D91A26" w:rsidP="00D91A26">
      <w:pPr>
        <w:pStyle w:val="EndNoteBibliography"/>
        <w:spacing w:after="0"/>
      </w:pPr>
      <w:r w:rsidRPr="00D91A26">
        <w:t>147.</w:t>
      </w:r>
      <w:r w:rsidRPr="00D91A26">
        <w:tab/>
        <w:t>Parcel GS, Edmundson E, Perry CL, Feldman HA, O'Hara-Tompkins N, Nader PR, et al. Measurement of self-efficacy for diet-related behaviors among elementary school children. J Sch Health. 1995;65(1):23-7.</w:t>
      </w:r>
    </w:p>
    <w:p w14:paraId="4F1DDBFD" w14:textId="77777777" w:rsidR="00D91A26" w:rsidRPr="00D91A26" w:rsidRDefault="00D91A26" w:rsidP="00D91A26">
      <w:pPr>
        <w:pStyle w:val="EndNoteBibliography"/>
        <w:spacing w:after="0"/>
      </w:pPr>
      <w:r w:rsidRPr="00D91A26">
        <w:t>148.</w:t>
      </w:r>
      <w:r w:rsidRPr="00D91A26">
        <w:tab/>
        <w:t>Sallis JF, Grossman RM, Pinski RB, Patterson TL, Nader PR. The development of scales to measure social support for diet and exercise behaviors. Prev Med. 1987;16(6):825-36.</w:t>
      </w:r>
    </w:p>
    <w:p w14:paraId="78321959" w14:textId="77777777" w:rsidR="00D91A26" w:rsidRPr="00D91A26" w:rsidRDefault="00D91A26" w:rsidP="00D91A26">
      <w:pPr>
        <w:pStyle w:val="EndNoteBibliography"/>
        <w:spacing w:after="0"/>
      </w:pPr>
      <w:r w:rsidRPr="00D91A26">
        <w:t>149.</w:t>
      </w:r>
      <w:r w:rsidRPr="00D91A26">
        <w:tab/>
        <w:t>Schutz R, Smoll F, Carre F, Mosher R. Inventories and norms for children's attitudes toward physical activity. Res Q Exerc Sport. 1985;56:256-65.</w:t>
      </w:r>
    </w:p>
    <w:p w14:paraId="2B2A55BA" w14:textId="77777777" w:rsidR="00D91A26" w:rsidRPr="00D91A26" w:rsidRDefault="00D91A26" w:rsidP="00D91A26">
      <w:pPr>
        <w:pStyle w:val="EndNoteBibliography"/>
        <w:spacing w:after="0"/>
      </w:pPr>
      <w:r w:rsidRPr="00D91A26">
        <w:t>150.</w:t>
      </w:r>
      <w:r w:rsidRPr="00D91A26">
        <w:tab/>
        <w:t>Biddle S, Akande D, Armstrong N, Ashcroft M, Brooke R, Goudas M. The self-motivation inventory modified for children: evidence on psychometric properties and its use in physical exercise. Int J Sport Psychol. 1996;27(3):237-50.</w:t>
      </w:r>
    </w:p>
    <w:p w14:paraId="1341CC7E" w14:textId="77777777" w:rsidR="00D91A26" w:rsidRPr="00D91A26" w:rsidRDefault="00D91A26" w:rsidP="00D91A26">
      <w:pPr>
        <w:pStyle w:val="EndNoteBibliography"/>
        <w:spacing w:after="0"/>
      </w:pPr>
      <w:r w:rsidRPr="00D91A26">
        <w:t>151.</w:t>
      </w:r>
      <w:r w:rsidRPr="00D91A26">
        <w:tab/>
        <w:t>Fisher JD, Fisher WA, Bryan A, Misovich SJ. Information-Motivation-Behavioral Skills Model-Based HIV Risk Behavior Change Intervention for Inner-City School Youth. Health Psychol. 2002;21(2):177-86.</w:t>
      </w:r>
    </w:p>
    <w:p w14:paraId="31D72B43" w14:textId="77777777" w:rsidR="00D91A26" w:rsidRPr="00D91A26" w:rsidRDefault="00D91A26" w:rsidP="00D91A26">
      <w:pPr>
        <w:pStyle w:val="EndNoteBibliography"/>
        <w:spacing w:after="0"/>
      </w:pPr>
      <w:r w:rsidRPr="00D91A26">
        <w:t>152.</w:t>
      </w:r>
      <w:r w:rsidRPr="00D91A26">
        <w:tab/>
        <w:t xml:space="preserve">Jöreskog KG, &amp; Sörbom, D. . </w:t>
      </w:r>
      <w:r w:rsidRPr="00D91A26">
        <w:rPr>
          <w:i/>
        </w:rPr>
        <w:t>LISREL 8: Structural equation modelling with the SIMPLIS command language.</w:t>
      </w:r>
      <w:r w:rsidRPr="00D91A26">
        <w:t xml:space="preserve"> Hillsdale, NJ: Erlbaum Associates; 1993.</w:t>
      </w:r>
    </w:p>
    <w:p w14:paraId="59560C8E" w14:textId="77777777" w:rsidR="00D91A26" w:rsidRPr="00D91A26" w:rsidRDefault="00D91A26" w:rsidP="00D91A26">
      <w:pPr>
        <w:pStyle w:val="EndNoteBibliography"/>
        <w:spacing w:after="0"/>
      </w:pPr>
      <w:r w:rsidRPr="00D91A26">
        <w:t>153.</w:t>
      </w:r>
      <w:r w:rsidRPr="00D91A26">
        <w:tab/>
        <w:t>Jöreskog KG. New developments in LISREL: Analysis of ordinal variables using polychoric correlations and weighted least squares. Qual Quant. 1990;24(4):387-404.</w:t>
      </w:r>
    </w:p>
    <w:p w14:paraId="2741CB5B" w14:textId="77777777" w:rsidR="00D91A26" w:rsidRPr="00D91A26" w:rsidRDefault="00D91A26" w:rsidP="00D91A26">
      <w:pPr>
        <w:pStyle w:val="EndNoteBibliography"/>
        <w:spacing w:after="0"/>
      </w:pPr>
      <w:r w:rsidRPr="00D91A26">
        <w:t>154.</w:t>
      </w:r>
      <w:r w:rsidRPr="00D91A26">
        <w:tab/>
        <w:t>Milfont TL, &amp; Fischer, R. . Testing measurement invariance across groups: Applications in cross-cultural research. Int J Psychol Res. 2010;3:111-21.</w:t>
      </w:r>
    </w:p>
    <w:p w14:paraId="281D87B6" w14:textId="77777777" w:rsidR="00D91A26" w:rsidRPr="00D91A26" w:rsidRDefault="00D91A26" w:rsidP="00D91A26">
      <w:pPr>
        <w:pStyle w:val="EndNoteBibliography"/>
      </w:pPr>
      <w:r w:rsidRPr="00D91A26">
        <w:t>155.</w:t>
      </w:r>
      <w:r w:rsidRPr="00D91A26">
        <w:tab/>
        <w:t>Fletcher A, Wolfenden L, Wyse R, Bowman J, McElduff P, Duncan S. A randomised controlled trial and mediation analysis of the 'Healthy Habits', telephone-based dietary intervention for preschool children. Int J Behav Nutr Phys Act. 2013;10:43.</w:t>
      </w:r>
    </w:p>
    <w:p w14:paraId="77032150" w14:textId="3C33BE6F" w:rsidR="00543AA5" w:rsidRPr="00543AA5" w:rsidRDefault="00382E56" w:rsidP="00861557">
      <w:pPr>
        <w:rPr>
          <w:rFonts w:cstheme="minorHAnsi"/>
        </w:rPr>
      </w:pPr>
      <w:r>
        <w:rPr>
          <w:rFonts w:cstheme="minorHAnsi"/>
        </w:rPr>
        <w:fldChar w:fldCharType="end"/>
      </w:r>
    </w:p>
    <w:sectPr w:rsidR="00543AA5" w:rsidRPr="00543AA5" w:rsidSect="00E85074">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BB2623" w14:textId="77777777" w:rsidR="00DE3537" w:rsidRDefault="00DE3537" w:rsidP="00DA70AB">
      <w:pPr>
        <w:spacing w:after="0" w:line="240" w:lineRule="auto"/>
      </w:pPr>
      <w:r>
        <w:separator/>
      </w:r>
    </w:p>
  </w:endnote>
  <w:endnote w:type="continuationSeparator" w:id="0">
    <w:p w14:paraId="06E13DB2" w14:textId="77777777" w:rsidR="00DE3537" w:rsidRDefault="00DE3537" w:rsidP="00DA70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10022FF" w:usb1="C000E47F" w:usb2="00000029" w:usb3="00000000" w:csb0="000001DF" w:csb1="00000000"/>
  </w:font>
  <w:font w:name="Arial Bold">
    <w:panose1 w:val="020B0704020202020204"/>
    <w:charset w:val="00"/>
    <w:family w:val="roman"/>
    <w:notTrueType/>
    <w:pitch w:val="default"/>
  </w:font>
  <w:font w:name="Myriad Pro">
    <w:panose1 w:val="00000000000000000000"/>
    <w:charset w:val="00"/>
    <w:family w:val="auto"/>
    <w:notTrueType/>
    <w:pitch w:val="variable"/>
    <w:sig w:usb0="00000003" w:usb1="00000000" w:usb2="00000000" w:usb3="00000000" w:csb0="00000001" w:csb1="00000000"/>
  </w:font>
  <w:font w:name="AdvTTebabd7da">
    <w:altName w:val="Times New Roman"/>
    <w:charset w:val="00"/>
    <w:family w:val="auto"/>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arlett">
    <w:panose1 w:val="00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1606206"/>
      <w:docPartObj>
        <w:docPartGallery w:val="Page Numbers (Bottom of Page)"/>
        <w:docPartUnique/>
      </w:docPartObj>
    </w:sdtPr>
    <w:sdtEndPr>
      <w:rPr>
        <w:noProof/>
      </w:rPr>
    </w:sdtEndPr>
    <w:sdtContent>
      <w:p w14:paraId="021AD76E" w14:textId="77777777" w:rsidR="00DE3537" w:rsidRDefault="00DE3537">
        <w:pPr>
          <w:pStyle w:val="Footer"/>
          <w:jc w:val="right"/>
        </w:pPr>
        <w:r>
          <w:fldChar w:fldCharType="begin"/>
        </w:r>
        <w:r>
          <w:instrText xml:space="preserve"> PAGE   \* MERGEFORMAT </w:instrText>
        </w:r>
        <w:r>
          <w:fldChar w:fldCharType="separate"/>
        </w:r>
        <w:r w:rsidR="00DA1C42">
          <w:rPr>
            <w:noProof/>
          </w:rPr>
          <w:t>1</w:t>
        </w:r>
        <w:r>
          <w:rPr>
            <w:noProof/>
          </w:rPr>
          <w:fldChar w:fldCharType="end"/>
        </w:r>
      </w:p>
    </w:sdtContent>
  </w:sdt>
  <w:p w14:paraId="5AC74989" w14:textId="77777777" w:rsidR="00DE3537" w:rsidRDefault="00DE353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9830065"/>
      <w:docPartObj>
        <w:docPartGallery w:val="Page Numbers (Bottom of Page)"/>
        <w:docPartUnique/>
      </w:docPartObj>
    </w:sdtPr>
    <w:sdtEndPr>
      <w:rPr>
        <w:noProof/>
      </w:rPr>
    </w:sdtEndPr>
    <w:sdtContent>
      <w:p w14:paraId="4C85CF20" w14:textId="77777777" w:rsidR="00DE3537" w:rsidRDefault="00DE3537">
        <w:pPr>
          <w:pStyle w:val="Footer"/>
          <w:jc w:val="right"/>
        </w:pPr>
        <w:r>
          <w:fldChar w:fldCharType="begin"/>
        </w:r>
        <w:r>
          <w:instrText xml:space="preserve"> PAGE   \* MERGEFORMAT </w:instrText>
        </w:r>
        <w:r>
          <w:fldChar w:fldCharType="separate"/>
        </w:r>
        <w:r w:rsidR="00DA1C42">
          <w:rPr>
            <w:noProof/>
          </w:rPr>
          <w:t>75</w:t>
        </w:r>
        <w:r>
          <w:rPr>
            <w:noProof/>
          </w:rPr>
          <w:fldChar w:fldCharType="end"/>
        </w:r>
      </w:p>
    </w:sdtContent>
  </w:sdt>
  <w:p w14:paraId="4467E5A7" w14:textId="77777777" w:rsidR="00DE3537" w:rsidRDefault="00DE353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2606506"/>
      <w:docPartObj>
        <w:docPartGallery w:val="Page Numbers (Bottom of Page)"/>
        <w:docPartUnique/>
      </w:docPartObj>
    </w:sdtPr>
    <w:sdtEndPr>
      <w:rPr>
        <w:noProof/>
      </w:rPr>
    </w:sdtEndPr>
    <w:sdtContent>
      <w:p w14:paraId="5A5F2A10" w14:textId="77777777" w:rsidR="00DE3537" w:rsidRDefault="00DE3537">
        <w:pPr>
          <w:pStyle w:val="Footer"/>
          <w:jc w:val="right"/>
        </w:pPr>
        <w:r>
          <w:fldChar w:fldCharType="begin"/>
        </w:r>
        <w:r>
          <w:instrText xml:space="preserve"> PAGE   \* MERGEFORMAT </w:instrText>
        </w:r>
        <w:r>
          <w:fldChar w:fldCharType="separate"/>
        </w:r>
        <w:r w:rsidR="00DA1C42">
          <w:rPr>
            <w:noProof/>
          </w:rPr>
          <w:t>78</w:t>
        </w:r>
        <w:r>
          <w:rPr>
            <w:noProof/>
          </w:rPr>
          <w:fldChar w:fldCharType="end"/>
        </w:r>
      </w:p>
    </w:sdtContent>
  </w:sdt>
  <w:p w14:paraId="0FDD919D" w14:textId="77777777" w:rsidR="00DE3537" w:rsidRDefault="00DE353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3519777"/>
      <w:docPartObj>
        <w:docPartGallery w:val="Page Numbers (Bottom of Page)"/>
        <w:docPartUnique/>
      </w:docPartObj>
    </w:sdtPr>
    <w:sdtEndPr>
      <w:rPr>
        <w:noProof/>
      </w:rPr>
    </w:sdtEndPr>
    <w:sdtContent>
      <w:p w14:paraId="6C0A3100" w14:textId="40F06FC8" w:rsidR="00DE3537" w:rsidRDefault="00DE3537">
        <w:pPr>
          <w:pStyle w:val="Footer"/>
          <w:jc w:val="right"/>
        </w:pPr>
        <w:r>
          <w:fldChar w:fldCharType="begin"/>
        </w:r>
        <w:r>
          <w:instrText xml:space="preserve"> PAGE   \* MERGEFORMAT </w:instrText>
        </w:r>
        <w:r>
          <w:fldChar w:fldCharType="separate"/>
        </w:r>
        <w:r w:rsidR="00DA1C42">
          <w:rPr>
            <w:noProof/>
          </w:rPr>
          <w:t>107</w:t>
        </w:r>
        <w:r>
          <w:rPr>
            <w:noProof/>
          </w:rPr>
          <w:fldChar w:fldCharType="end"/>
        </w:r>
      </w:p>
    </w:sdtContent>
  </w:sdt>
  <w:p w14:paraId="12A6BEB6" w14:textId="3CE9AFCD" w:rsidR="00DE3537" w:rsidRPr="00B91E5D" w:rsidRDefault="00DE3537" w:rsidP="0077247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3924896"/>
      <w:docPartObj>
        <w:docPartGallery w:val="Page Numbers (Bottom of Page)"/>
        <w:docPartUnique/>
      </w:docPartObj>
    </w:sdtPr>
    <w:sdtEndPr>
      <w:rPr>
        <w:noProof/>
      </w:rPr>
    </w:sdtEndPr>
    <w:sdtContent>
      <w:p w14:paraId="16397479" w14:textId="74E52F84" w:rsidR="00DE3537" w:rsidRDefault="00DE3537">
        <w:pPr>
          <w:pStyle w:val="Footer"/>
          <w:jc w:val="right"/>
        </w:pPr>
        <w:r>
          <w:fldChar w:fldCharType="begin"/>
        </w:r>
        <w:r>
          <w:instrText xml:space="preserve"> PAGE   \* MERGEFORMAT </w:instrText>
        </w:r>
        <w:r>
          <w:fldChar w:fldCharType="separate"/>
        </w:r>
        <w:r w:rsidR="00DA1C42">
          <w:rPr>
            <w:noProof/>
          </w:rPr>
          <w:t>121</w:t>
        </w:r>
        <w:r>
          <w:rPr>
            <w:noProof/>
          </w:rPr>
          <w:fldChar w:fldCharType="end"/>
        </w:r>
      </w:p>
    </w:sdtContent>
  </w:sdt>
  <w:p w14:paraId="7C3B4BAE" w14:textId="77777777" w:rsidR="00DE3537" w:rsidRDefault="00DE3537" w:rsidP="0077247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0237609"/>
      <w:docPartObj>
        <w:docPartGallery w:val="Page Numbers (Bottom of Page)"/>
        <w:docPartUnique/>
      </w:docPartObj>
    </w:sdtPr>
    <w:sdtEndPr>
      <w:rPr>
        <w:noProof/>
      </w:rPr>
    </w:sdtEndPr>
    <w:sdtContent>
      <w:p w14:paraId="3D3EB409" w14:textId="77777777" w:rsidR="00DE3537" w:rsidRDefault="00DE3537">
        <w:pPr>
          <w:pStyle w:val="Footer"/>
          <w:jc w:val="right"/>
        </w:pPr>
        <w:r>
          <w:fldChar w:fldCharType="begin"/>
        </w:r>
        <w:r>
          <w:instrText xml:space="preserve"> PAGE   \* MERGEFORMAT </w:instrText>
        </w:r>
        <w:r>
          <w:fldChar w:fldCharType="separate"/>
        </w:r>
        <w:r w:rsidR="00DA1C42">
          <w:rPr>
            <w:noProof/>
          </w:rPr>
          <w:t>128</w:t>
        </w:r>
        <w:r>
          <w:rPr>
            <w:noProof/>
          </w:rPr>
          <w:fldChar w:fldCharType="end"/>
        </w:r>
      </w:p>
    </w:sdtContent>
  </w:sdt>
  <w:p w14:paraId="298D861A" w14:textId="77777777" w:rsidR="00DE3537" w:rsidRDefault="00DE353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6902970"/>
      <w:docPartObj>
        <w:docPartGallery w:val="Page Numbers (Bottom of Page)"/>
        <w:docPartUnique/>
      </w:docPartObj>
    </w:sdtPr>
    <w:sdtEndPr>
      <w:rPr>
        <w:noProof/>
      </w:rPr>
    </w:sdtEndPr>
    <w:sdtContent>
      <w:p w14:paraId="2108AC0C" w14:textId="77777777" w:rsidR="00DE3537" w:rsidRDefault="00DE3537">
        <w:pPr>
          <w:pStyle w:val="Footer"/>
          <w:jc w:val="right"/>
        </w:pPr>
        <w:r>
          <w:fldChar w:fldCharType="begin"/>
        </w:r>
        <w:r>
          <w:instrText xml:space="preserve"> PAGE   \* MERGEFORMAT </w:instrText>
        </w:r>
        <w:r>
          <w:fldChar w:fldCharType="separate"/>
        </w:r>
        <w:r w:rsidR="00DA1C42">
          <w:rPr>
            <w:noProof/>
          </w:rPr>
          <w:t>181</w:t>
        </w:r>
        <w:r>
          <w:rPr>
            <w:noProof/>
          </w:rPr>
          <w:fldChar w:fldCharType="end"/>
        </w:r>
      </w:p>
    </w:sdtContent>
  </w:sdt>
  <w:p w14:paraId="64BD1CCD" w14:textId="77777777" w:rsidR="00DE3537" w:rsidRDefault="00DE3537">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4393899"/>
      <w:docPartObj>
        <w:docPartGallery w:val="Page Numbers (Bottom of Page)"/>
        <w:docPartUnique/>
      </w:docPartObj>
    </w:sdtPr>
    <w:sdtEndPr>
      <w:rPr>
        <w:noProof/>
      </w:rPr>
    </w:sdtEndPr>
    <w:sdtContent>
      <w:p w14:paraId="46F03FAC" w14:textId="48E5B7B7" w:rsidR="00DE3537" w:rsidRDefault="00DE3537">
        <w:pPr>
          <w:pStyle w:val="Footer"/>
          <w:jc w:val="right"/>
        </w:pPr>
        <w:r>
          <w:fldChar w:fldCharType="begin"/>
        </w:r>
        <w:r>
          <w:instrText xml:space="preserve"> PAGE   \* MERGEFORMAT </w:instrText>
        </w:r>
        <w:r>
          <w:fldChar w:fldCharType="separate"/>
        </w:r>
        <w:r w:rsidR="00DA1C42">
          <w:rPr>
            <w:noProof/>
          </w:rPr>
          <w:t>187</w:t>
        </w:r>
        <w:r>
          <w:rPr>
            <w:noProof/>
          </w:rPr>
          <w:fldChar w:fldCharType="end"/>
        </w:r>
      </w:p>
    </w:sdtContent>
  </w:sdt>
  <w:p w14:paraId="01C35A45" w14:textId="77777777" w:rsidR="00DE3537" w:rsidRDefault="00DE3537" w:rsidP="00B01272">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4116186"/>
      <w:docPartObj>
        <w:docPartGallery w:val="Page Numbers (Bottom of Page)"/>
        <w:docPartUnique/>
      </w:docPartObj>
    </w:sdtPr>
    <w:sdtEndPr>
      <w:rPr>
        <w:noProof/>
      </w:rPr>
    </w:sdtEndPr>
    <w:sdtContent>
      <w:p w14:paraId="23E783D4" w14:textId="77777777" w:rsidR="00DE3537" w:rsidRDefault="00DE3537">
        <w:pPr>
          <w:pStyle w:val="Footer"/>
          <w:jc w:val="center"/>
        </w:pPr>
        <w:r>
          <w:fldChar w:fldCharType="begin"/>
        </w:r>
        <w:r>
          <w:instrText xml:space="preserve"> PAGE   \* MERGEFORMAT </w:instrText>
        </w:r>
        <w:r>
          <w:fldChar w:fldCharType="separate"/>
        </w:r>
        <w:r w:rsidR="00DA1C42">
          <w:rPr>
            <w:noProof/>
          </w:rPr>
          <w:t>257</w:t>
        </w:r>
        <w:r>
          <w:rPr>
            <w:noProof/>
          </w:rPr>
          <w:fldChar w:fldCharType="end"/>
        </w:r>
      </w:p>
    </w:sdtContent>
  </w:sdt>
  <w:p w14:paraId="03B934E2" w14:textId="77777777" w:rsidR="00DE3537" w:rsidRDefault="00DE35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AA7555" w14:textId="77777777" w:rsidR="00DE3537" w:rsidRDefault="00DE3537" w:rsidP="00DA70AB">
      <w:pPr>
        <w:spacing w:after="0" w:line="240" w:lineRule="auto"/>
      </w:pPr>
      <w:r>
        <w:separator/>
      </w:r>
    </w:p>
  </w:footnote>
  <w:footnote w:type="continuationSeparator" w:id="0">
    <w:p w14:paraId="4E94C9F9" w14:textId="77777777" w:rsidR="00DE3537" w:rsidRDefault="00DE3537" w:rsidP="00DA70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1EA5C1" w14:textId="090D52C1" w:rsidR="00DE3537" w:rsidRDefault="00DE353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AB936" w14:textId="77777777" w:rsidR="00DE3537" w:rsidRDefault="00DE3537">
    <w:pPr>
      <w:pStyle w:val="Header"/>
    </w:pPr>
  </w:p>
  <w:p w14:paraId="2AA020EA" w14:textId="77777777" w:rsidR="00DE3537" w:rsidRDefault="00DE35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164C2"/>
    <w:multiLevelType w:val="hybridMultilevel"/>
    <w:tmpl w:val="598CBE76"/>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09E6ABD"/>
    <w:multiLevelType w:val="hybridMultilevel"/>
    <w:tmpl w:val="3766B1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2761FD1"/>
    <w:multiLevelType w:val="hybridMultilevel"/>
    <w:tmpl w:val="8910B7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3870855"/>
    <w:multiLevelType w:val="hybridMultilevel"/>
    <w:tmpl w:val="9754F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4F5899"/>
    <w:multiLevelType w:val="hybridMultilevel"/>
    <w:tmpl w:val="48FC6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27469E"/>
    <w:multiLevelType w:val="hybridMultilevel"/>
    <w:tmpl w:val="D6CE4C1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0FC5199D"/>
    <w:multiLevelType w:val="hybridMultilevel"/>
    <w:tmpl w:val="89AE3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377CA3"/>
    <w:multiLevelType w:val="hybridMultilevel"/>
    <w:tmpl w:val="D23865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8" w15:restartNumberingAfterBreak="0">
    <w:nsid w:val="130E3101"/>
    <w:multiLevelType w:val="hybridMultilevel"/>
    <w:tmpl w:val="41B2B28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17F54E4F"/>
    <w:multiLevelType w:val="hybridMultilevel"/>
    <w:tmpl w:val="E1F2C5B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 w15:restartNumberingAfterBreak="0">
    <w:nsid w:val="1A887D57"/>
    <w:multiLevelType w:val="hybridMultilevel"/>
    <w:tmpl w:val="76E49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F25BC2"/>
    <w:multiLevelType w:val="hybridMultilevel"/>
    <w:tmpl w:val="F0BC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192A39"/>
    <w:multiLevelType w:val="hybridMultilevel"/>
    <w:tmpl w:val="F4F064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2A971BC"/>
    <w:multiLevelType w:val="hybridMultilevel"/>
    <w:tmpl w:val="08E0D0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BF87F69"/>
    <w:multiLevelType w:val="hybridMultilevel"/>
    <w:tmpl w:val="5CA817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06C5217"/>
    <w:multiLevelType w:val="hybridMultilevel"/>
    <w:tmpl w:val="2C3675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1570D93"/>
    <w:multiLevelType w:val="hybridMultilevel"/>
    <w:tmpl w:val="750A73FA"/>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5CC0F01"/>
    <w:multiLevelType w:val="hybridMultilevel"/>
    <w:tmpl w:val="9ABEE02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79627A1"/>
    <w:multiLevelType w:val="hybridMultilevel"/>
    <w:tmpl w:val="29A28A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D6B04FC"/>
    <w:multiLevelType w:val="hybridMultilevel"/>
    <w:tmpl w:val="C8227210"/>
    <w:lvl w:ilvl="0" w:tplc="C7CA1FD2">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52BD710E"/>
    <w:multiLevelType w:val="hybridMultilevel"/>
    <w:tmpl w:val="CCAEA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993BA8"/>
    <w:multiLevelType w:val="hybridMultilevel"/>
    <w:tmpl w:val="AC0E2F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AA40088"/>
    <w:multiLevelType w:val="hybridMultilevel"/>
    <w:tmpl w:val="79343EA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3" w15:restartNumberingAfterBreak="0">
    <w:nsid w:val="5B1B6D51"/>
    <w:multiLevelType w:val="hybridMultilevel"/>
    <w:tmpl w:val="10A613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 w15:restartNumberingAfterBreak="0">
    <w:nsid w:val="679634B9"/>
    <w:multiLevelType w:val="hybridMultilevel"/>
    <w:tmpl w:val="AB6AA6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5" w15:restartNumberingAfterBreak="0">
    <w:nsid w:val="69CB643F"/>
    <w:multiLevelType w:val="hybridMultilevel"/>
    <w:tmpl w:val="F5929F8A"/>
    <w:lvl w:ilvl="0" w:tplc="C7CA1FD2">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6E3834DC"/>
    <w:multiLevelType w:val="hybridMultilevel"/>
    <w:tmpl w:val="1B641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4744612"/>
    <w:multiLevelType w:val="hybridMultilevel"/>
    <w:tmpl w:val="19E6FF3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93B1961"/>
    <w:multiLevelType w:val="hybridMultilevel"/>
    <w:tmpl w:val="6ED68E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9" w15:restartNumberingAfterBreak="0">
    <w:nsid w:val="7B8201D4"/>
    <w:multiLevelType w:val="hybridMultilevel"/>
    <w:tmpl w:val="9AFE9F9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F680500"/>
    <w:multiLevelType w:val="hybridMultilevel"/>
    <w:tmpl w:val="06B25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23"/>
  </w:num>
  <w:num w:numId="3">
    <w:abstractNumId w:val="12"/>
  </w:num>
  <w:num w:numId="4">
    <w:abstractNumId w:val="8"/>
  </w:num>
  <w:num w:numId="5">
    <w:abstractNumId w:val="2"/>
  </w:num>
  <w:num w:numId="6">
    <w:abstractNumId w:val="9"/>
  </w:num>
  <w:num w:numId="7">
    <w:abstractNumId w:val="1"/>
  </w:num>
  <w:num w:numId="8">
    <w:abstractNumId w:val="24"/>
  </w:num>
  <w:num w:numId="9">
    <w:abstractNumId w:val="13"/>
  </w:num>
  <w:num w:numId="10">
    <w:abstractNumId w:val="11"/>
  </w:num>
  <w:num w:numId="11">
    <w:abstractNumId w:val="10"/>
  </w:num>
  <w:num w:numId="12">
    <w:abstractNumId w:val="6"/>
  </w:num>
  <w:num w:numId="13">
    <w:abstractNumId w:val="3"/>
  </w:num>
  <w:num w:numId="14">
    <w:abstractNumId w:val="29"/>
  </w:num>
  <w:num w:numId="15">
    <w:abstractNumId w:val="4"/>
  </w:num>
  <w:num w:numId="16">
    <w:abstractNumId w:val="27"/>
  </w:num>
  <w:num w:numId="17">
    <w:abstractNumId w:val="26"/>
  </w:num>
  <w:num w:numId="18">
    <w:abstractNumId w:val="15"/>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5"/>
  </w:num>
  <w:num w:numId="24">
    <w:abstractNumId w:val="30"/>
  </w:num>
  <w:num w:numId="25">
    <w:abstractNumId w:val="17"/>
  </w:num>
  <w:num w:numId="26">
    <w:abstractNumId w:val="21"/>
  </w:num>
  <w:num w:numId="27">
    <w:abstractNumId w:val="18"/>
  </w:num>
  <w:num w:numId="28">
    <w:abstractNumId w:val="28"/>
  </w:num>
  <w:num w:numId="29">
    <w:abstractNumId w:val="7"/>
  </w:num>
  <w:num w:numId="30">
    <w:abstractNumId w:val="0"/>
  </w:num>
  <w:num w:numId="31">
    <w:abstractNumId w:val="22"/>
  </w:num>
  <w:num w:numId="32">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843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ewa9rrvjsdsawep2vpx5x97eedzzvxx5rta&quot;&gt;Obesity Copy-Saved&lt;record-ids&gt;&lt;item&gt;62&lt;/item&gt;&lt;item&gt;125&lt;/item&gt;&lt;item&gt;215&lt;/item&gt;&lt;item&gt;246&lt;/item&gt;&lt;item&gt;249&lt;/item&gt;&lt;item&gt;1536&lt;/item&gt;&lt;item&gt;1801&lt;/item&gt;&lt;item&gt;2635&lt;/item&gt;&lt;item&gt;3036&lt;/item&gt;&lt;item&gt;3060&lt;/item&gt;&lt;item&gt;3130&lt;/item&gt;&lt;item&gt;3132&lt;/item&gt;&lt;item&gt;3149&lt;/item&gt;&lt;item&gt;3162&lt;/item&gt;&lt;item&gt;3214&lt;/item&gt;&lt;item&gt;3217&lt;/item&gt;&lt;item&gt;3261&lt;/item&gt;&lt;item&gt;3265&lt;/item&gt;&lt;item&gt;3266&lt;/item&gt;&lt;item&gt;3285&lt;/item&gt;&lt;item&gt;3287&lt;/item&gt;&lt;item&gt;3486&lt;/item&gt;&lt;item&gt;3528&lt;/item&gt;&lt;item&gt;3572&lt;/item&gt;&lt;item&gt;3573&lt;/item&gt;&lt;item&gt;3602&lt;/item&gt;&lt;item&gt;3608&lt;/item&gt;&lt;item&gt;3646&lt;/item&gt;&lt;item&gt;3664&lt;/item&gt;&lt;item&gt;3667&lt;/item&gt;&lt;item&gt;3674&lt;/item&gt;&lt;item&gt;3691&lt;/item&gt;&lt;item&gt;3816&lt;/item&gt;&lt;item&gt;3835&lt;/item&gt;&lt;item&gt;3836&lt;/item&gt;&lt;item&gt;4625&lt;/item&gt;&lt;item&gt;4780&lt;/item&gt;&lt;item&gt;5266&lt;/item&gt;&lt;item&gt;5267&lt;/item&gt;&lt;item&gt;5313&lt;/item&gt;&lt;item&gt;5338&lt;/item&gt;&lt;item&gt;5501&lt;/item&gt;&lt;item&gt;5502&lt;/item&gt;&lt;item&gt;5504&lt;/item&gt;&lt;item&gt;5509&lt;/item&gt;&lt;item&gt;5547&lt;/item&gt;&lt;item&gt;5549&lt;/item&gt;&lt;item&gt;5552&lt;/item&gt;&lt;item&gt;5568&lt;/item&gt;&lt;item&gt;5570&lt;/item&gt;&lt;item&gt;5590&lt;/item&gt;&lt;item&gt;5597&lt;/item&gt;&lt;item&gt;5598&lt;/item&gt;&lt;item&gt;5607&lt;/item&gt;&lt;item&gt;5616&lt;/item&gt;&lt;item&gt;5619&lt;/item&gt;&lt;item&gt;5634&lt;/item&gt;&lt;item&gt;5642&lt;/item&gt;&lt;item&gt;5645&lt;/item&gt;&lt;item&gt;5674&lt;/item&gt;&lt;item&gt;5675&lt;/item&gt;&lt;item&gt;5681&lt;/item&gt;&lt;item&gt;5684&lt;/item&gt;&lt;item&gt;5687&lt;/item&gt;&lt;item&gt;5690&lt;/item&gt;&lt;item&gt;5708&lt;/item&gt;&lt;item&gt;5711&lt;/item&gt;&lt;item&gt;5712&lt;/item&gt;&lt;item&gt;5714&lt;/item&gt;&lt;item&gt;5715&lt;/item&gt;&lt;item&gt;5716&lt;/item&gt;&lt;item&gt;5718&lt;/item&gt;&lt;item&gt;5719&lt;/item&gt;&lt;item&gt;5720&lt;/item&gt;&lt;item&gt;5721&lt;/item&gt;&lt;item&gt;5722&lt;/item&gt;&lt;item&gt;5723&lt;/item&gt;&lt;item&gt;5724&lt;/item&gt;&lt;item&gt;5725&lt;/item&gt;&lt;item&gt;5726&lt;/item&gt;&lt;item&gt;5727&lt;/item&gt;&lt;item&gt;5728&lt;/item&gt;&lt;item&gt;5730&lt;/item&gt;&lt;item&gt;5731&lt;/item&gt;&lt;item&gt;5732&lt;/item&gt;&lt;item&gt;5733&lt;/item&gt;&lt;item&gt;5734&lt;/item&gt;&lt;item&gt;5736&lt;/item&gt;&lt;item&gt;5737&lt;/item&gt;&lt;item&gt;5738&lt;/item&gt;&lt;item&gt;5739&lt;/item&gt;&lt;item&gt;5740&lt;/item&gt;&lt;item&gt;5742&lt;/item&gt;&lt;item&gt;5743&lt;/item&gt;&lt;item&gt;5744&lt;/item&gt;&lt;item&gt;5746&lt;/item&gt;&lt;item&gt;5747&lt;/item&gt;&lt;item&gt;5748&lt;/item&gt;&lt;item&gt;5750&lt;/item&gt;&lt;item&gt;5752&lt;/item&gt;&lt;item&gt;5753&lt;/item&gt;&lt;item&gt;5754&lt;/item&gt;&lt;item&gt;5755&lt;/item&gt;&lt;item&gt;5756&lt;/item&gt;&lt;item&gt;5757&lt;/item&gt;&lt;item&gt;5758&lt;/item&gt;&lt;item&gt;5760&lt;/item&gt;&lt;item&gt;5761&lt;/item&gt;&lt;item&gt;5762&lt;/item&gt;&lt;item&gt;5763&lt;/item&gt;&lt;item&gt;5764&lt;/item&gt;&lt;item&gt;5769&lt;/item&gt;&lt;item&gt;5771&lt;/item&gt;&lt;item&gt;5772&lt;/item&gt;&lt;item&gt;5773&lt;/item&gt;&lt;item&gt;5775&lt;/item&gt;&lt;item&gt;5776&lt;/item&gt;&lt;item&gt;5777&lt;/item&gt;&lt;item&gt;5778&lt;/item&gt;&lt;item&gt;5779&lt;/item&gt;&lt;item&gt;5781&lt;/item&gt;&lt;item&gt;5782&lt;/item&gt;&lt;item&gt;5783&lt;/item&gt;&lt;item&gt;5784&lt;/item&gt;&lt;item&gt;5785&lt;/item&gt;&lt;item&gt;5786&lt;/item&gt;&lt;item&gt;5787&lt;/item&gt;&lt;item&gt;5788&lt;/item&gt;&lt;item&gt;5790&lt;/item&gt;&lt;item&gt;5791&lt;/item&gt;&lt;item&gt;5793&lt;/item&gt;&lt;item&gt;5794&lt;/item&gt;&lt;item&gt;5795&lt;/item&gt;&lt;item&gt;5796&lt;/item&gt;&lt;item&gt;5797&lt;/item&gt;&lt;item&gt;5798&lt;/item&gt;&lt;item&gt;5799&lt;/item&gt;&lt;item&gt;5801&lt;/item&gt;&lt;item&gt;5802&lt;/item&gt;&lt;item&gt;5803&lt;/item&gt;&lt;item&gt;5806&lt;/item&gt;&lt;item&gt;5807&lt;/item&gt;&lt;item&gt;5808&lt;/item&gt;&lt;item&gt;5809&lt;/item&gt;&lt;item&gt;5810&lt;/item&gt;&lt;item&gt;5811&lt;/item&gt;&lt;item&gt;5812&lt;/item&gt;&lt;item&gt;5814&lt;/item&gt;&lt;item&gt;5815&lt;/item&gt;&lt;item&gt;5816&lt;/item&gt;&lt;item&gt;5817&lt;/item&gt;&lt;item&gt;5835&lt;/item&gt;&lt;/record-ids&gt;&lt;/item&gt;&lt;/Libraries&gt;"/>
  </w:docVars>
  <w:rsids>
    <w:rsidRoot w:val="00B16AE4"/>
    <w:rsid w:val="000005A6"/>
    <w:rsid w:val="000009C6"/>
    <w:rsid w:val="000020DD"/>
    <w:rsid w:val="00003A4F"/>
    <w:rsid w:val="00003B83"/>
    <w:rsid w:val="00003ED6"/>
    <w:rsid w:val="00003F04"/>
    <w:rsid w:val="000044E9"/>
    <w:rsid w:val="000051C1"/>
    <w:rsid w:val="0000592F"/>
    <w:rsid w:val="000063C3"/>
    <w:rsid w:val="0000658D"/>
    <w:rsid w:val="00006D09"/>
    <w:rsid w:val="000075CE"/>
    <w:rsid w:val="000103DC"/>
    <w:rsid w:val="0001081B"/>
    <w:rsid w:val="00012282"/>
    <w:rsid w:val="0001254D"/>
    <w:rsid w:val="00015DFC"/>
    <w:rsid w:val="00015F60"/>
    <w:rsid w:val="00016DDF"/>
    <w:rsid w:val="000173BE"/>
    <w:rsid w:val="00020C42"/>
    <w:rsid w:val="00020D85"/>
    <w:rsid w:val="00022313"/>
    <w:rsid w:val="0002263F"/>
    <w:rsid w:val="000226AC"/>
    <w:rsid w:val="00023466"/>
    <w:rsid w:val="000235E2"/>
    <w:rsid w:val="00023FC3"/>
    <w:rsid w:val="00024213"/>
    <w:rsid w:val="0002594F"/>
    <w:rsid w:val="000264C1"/>
    <w:rsid w:val="000266B9"/>
    <w:rsid w:val="00027BF1"/>
    <w:rsid w:val="0003078F"/>
    <w:rsid w:val="00031043"/>
    <w:rsid w:val="000316BA"/>
    <w:rsid w:val="00031F78"/>
    <w:rsid w:val="00032562"/>
    <w:rsid w:val="0003312E"/>
    <w:rsid w:val="00034798"/>
    <w:rsid w:val="00035114"/>
    <w:rsid w:val="00035556"/>
    <w:rsid w:val="000364A9"/>
    <w:rsid w:val="00036A72"/>
    <w:rsid w:val="00036C87"/>
    <w:rsid w:val="00037A52"/>
    <w:rsid w:val="00037D40"/>
    <w:rsid w:val="00040E21"/>
    <w:rsid w:val="0004285E"/>
    <w:rsid w:val="000430F8"/>
    <w:rsid w:val="0004395C"/>
    <w:rsid w:val="00043E90"/>
    <w:rsid w:val="000443A6"/>
    <w:rsid w:val="000448D6"/>
    <w:rsid w:val="00046981"/>
    <w:rsid w:val="00046B8E"/>
    <w:rsid w:val="00047688"/>
    <w:rsid w:val="00051DC2"/>
    <w:rsid w:val="000523D2"/>
    <w:rsid w:val="000524B7"/>
    <w:rsid w:val="0005335F"/>
    <w:rsid w:val="00053DCB"/>
    <w:rsid w:val="00054EEE"/>
    <w:rsid w:val="00055A28"/>
    <w:rsid w:val="00055B69"/>
    <w:rsid w:val="00056733"/>
    <w:rsid w:val="0006079F"/>
    <w:rsid w:val="00060C6B"/>
    <w:rsid w:val="00060D76"/>
    <w:rsid w:val="0006115C"/>
    <w:rsid w:val="00062A21"/>
    <w:rsid w:val="000633E1"/>
    <w:rsid w:val="00063492"/>
    <w:rsid w:val="0006397C"/>
    <w:rsid w:val="00063FAB"/>
    <w:rsid w:val="0006414B"/>
    <w:rsid w:val="000654D9"/>
    <w:rsid w:val="000654E6"/>
    <w:rsid w:val="00065EEE"/>
    <w:rsid w:val="0006702E"/>
    <w:rsid w:val="000701CF"/>
    <w:rsid w:val="00071442"/>
    <w:rsid w:val="0007164D"/>
    <w:rsid w:val="00073790"/>
    <w:rsid w:val="00077A75"/>
    <w:rsid w:val="00077A94"/>
    <w:rsid w:val="00080BF8"/>
    <w:rsid w:val="0008146B"/>
    <w:rsid w:val="00082686"/>
    <w:rsid w:val="00083385"/>
    <w:rsid w:val="00083BF6"/>
    <w:rsid w:val="000912F1"/>
    <w:rsid w:val="000968A2"/>
    <w:rsid w:val="000A064D"/>
    <w:rsid w:val="000A07EE"/>
    <w:rsid w:val="000A0A38"/>
    <w:rsid w:val="000A13E3"/>
    <w:rsid w:val="000A1DB7"/>
    <w:rsid w:val="000A307D"/>
    <w:rsid w:val="000A4327"/>
    <w:rsid w:val="000A5462"/>
    <w:rsid w:val="000A73B7"/>
    <w:rsid w:val="000B073D"/>
    <w:rsid w:val="000B1F7D"/>
    <w:rsid w:val="000B2F4C"/>
    <w:rsid w:val="000B31E9"/>
    <w:rsid w:val="000B3612"/>
    <w:rsid w:val="000B3CEC"/>
    <w:rsid w:val="000B692E"/>
    <w:rsid w:val="000B6E8E"/>
    <w:rsid w:val="000C0108"/>
    <w:rsid w:val="000C1DEB"/>
    <w:rsid w:val="000C2812"/>
    <w:rsid w:val="000C3885"/>
    <w:rsid w:val="000C3B14"/>
    <w:rsid w:val="000C3DC3"/>
    <w:rsid w:val="000C4570"/>
    <w:rsid w:val="000C5610"/>
    <w:rsid w:val="000C702A"/>
    <w:rsid w:val="000C704B"/>
    <w:rsid w:val="000D0114"/>
    <w:rsid w:val="000D1254"/>
    <w:rsid w:val="000D17A2"/>
    <w:rsid w:val="000D2449"/>
    <w:rsid w:val="000D4ACC"/>
    <w:rsid w:val="000D5CDE"/>
    <w:rsid w:val="000D60C4"/>
    <w:rsid w:val="000E0639"/>
    <w:rsid w:val="000E0D7C"/>
    <w:rsid w:val="000E13AF"/>
    <w:rsid w:val="000E14C7"/>
    <w:rsid w:val="000E1D61"/>
    <w:rsid w:val="000E1F4C"/>
    <w:rsid w:val="000E22B7"/>
    <w:rsid w:val="000E2780"/>
    <w:rsid w:val="000E458F"/>
    <w:rsid w:val="000E45E5"/>
    <w:rsid w:val="000E5095"/>
    <w:rsid w:val="000E53C2"/>
    <w:rsid w:val="000E564B"/>
    <w:rsid w:val="000E5AD3"/>
    <w:rsid w:val="000E62DF"/>
    <w:rsid w:val="000E6BCF"/>
    <w:rsid w:val="000F04BC"/>
    <w:rsid w:val="000F2656"/>
    <w:rsid w:val="000F304C"/>
    <w:rsid w:val="000F3EE4"/>
    <w:rsid w:val="000F4A2A"/>
    <w:rsid w:val="000F65C0"/>
    <w:rsid w:val="000F6C5A"/>
    <w:rsid w:val="000F6DA1"/>
    <w:rsid w:val="000F76EE"/>
    <w:rsid w:val="000F7CF5"/>
    <w:rsid w:val="0010115A"/>
    <w:rsid w:val="00103EFF"/>
    <w:rsid w:val="00105198"/>
    <w:rsid w:val="00106965"/>
    <w:rsid w:val="00106D0F"/>
    <w:rsid w:val="00106E3E"/>
    <w:rsid w:val="001071F2"/>
    <w:rsid w:val="00107714"/>
    <w:rsid w:val="00110342"/>
    <w:rsid w:val="00112748"/>
    <w:rsid w:val="00113486"/>
    <w:rsid w:val="00113F40"/>
    <w:rsid w:val="00114D2F"/>
    <w:rsid w:val="00116420"/>
    <w:rsid w:val="00116975"/>
    <w:rsid w:val="00116FEC"/>
    <w:rsid w:val="0012013B"/>
    <w:rsid w:val="00121253"/>
    <w:rsid w:val="00121A21"/>
    <w:rsid w:val="0012297E"/>
    <w:rsid w:val="00122A42"/>
    <w:rsid w:val="00123CB2"/>
    <w:rsid w:val="001251FD"/>
    <w:rsid w:val="00125367"/>
    <w:rsid w:val="00125996"/>
    <w:rsid w:val="00127504"/>
    <w:rsid w:val="00130C40"/>
    <w:rsid w:val="00131490"/>
    <w:rsid w:val="00131D49"/>
    <w:rsid w:val="001329D8"/>
    <w:rsid w:val="00134672"/>
    <w:rsid w:val="0013487D"/>
    <w:rsid w:val="001352FB"/>
    <w:rsid w:val="00136C05"/>
    <w:rsid w:val="00137CBC"/>
    <w:rsid w:val="00137E1C"/>
    <w:rsid w:val="001406AB"/>
    <w:rsid w:val="001407D3"/>
    <w:rsid w:val="0014103E"/>
    <w:rsid w:val="0014107C"/>
    <w:rsid w:val="0014276E"/>
    <w:rsid w:val="00142802"/>
    <w:rsid w:val="001435C6"/>
    <w:rsid w:val="00145DB0"/>
    <w:rsid w:val="00146E5F"/>
    <w:rsid w:val="001471B6"/>
    <w:rsid w:val="0014743F"/>
    <w:rsid w:val="00150F19"/>
    <w:rsid w:val="001519FD"/>
    <w:rsid w:val="00152D4A"/>
    <w:rsid w:val="00154BA5"/>
    <w:rsid w:val="001555D9"/>
    <w:rsid w:val="00157751"/>
    <w:rsid w:val="00157AF4"/>
    <w:rsid w:val="00157B1F"/>
    <w:rsid w:val="0016101E"/>
    <w:rsid w:val="00162B37"/>
    <w:rsid w:val="00162BEC"/>
    <w:rsid w:val="00162E2F"/>
    <w:rsid w:val="00164143"/>
    <w:rsid w:val="0016425E"/>
    <w:rsid w:val="00165DE8"/>
    <w:rsid w:val="00165E59"/>
    <w:rsid w:val="00166861"/>
    <w:rsid w:val="00166D0B"/>
    <w:rsid w:val="001676F2"/>
    <w:rsid w:val="00167AED"/>
    <w:rsid w:val="00167E07"/>
    <w:rsid w:val="00170A64"/>
    <w:rsid w:val="00170CFE"/>
    <w:rsid w:val="00171364"/>
    <w:rsid w:val="00171875"/>
    <w:rsid w:val="00175D7E"/>
    <w:rsid w:val="0017670E"/>
    <w:rsid w:val="00181790"/>
    <w:rsid w:val="00182655"/>
    <w:rsid w:val="0018275D"/>
    <w:rsid w:val="0018326B"/>
    <w:rsid w:val="00183A45"/>
    <w:rsid w:val="00183F3D"/>
    <w:rsid w:val="001846D4"/>
    <w:rsid w:val="001850F6"/>
    <w:rsid w:val="001868FB"/>
    <w:rsid w:val="00186D92"/>
    <w:rsid w:val="00186DB8"/>
    <w:rsid w:val="00187C5F"/>
    <w:rsid w:val="0019059C"/>
    <w:rsid w:val="001908F8"/>
    <w:rsid w:val="00191C05"/>
    <w:rsid w:val="00192807"/>
    <w:rsid w:val="001929A7"/>
    <w:rsid w:val="001932FD"/>
    <w:rsid w:val="001938CB"/>
    <w:rsid w:val="00194D92"/>
    <w:rsid w:val="00195C92"/>
    <w:rsid w:val="00196842"/>
    <w:rsid w:val="001970F6"/>
    <w:rsid w:val="001A0D3D"/>
    <w:rsid w:val="001A16FE"/>
    <w:rsid w:val="001A2304"/>
    <w:rsid w:val="001A2575"/>
    <w:rsid w:val="001A345A"/>
    <w:rsid w:val="001A3746"/>
    <w:rsid w:val="001A4EDE"/>
    <w:rsid w:val="001A5280"/>
    <w:rsid w:val="001A55B7"/>
    <w:rsid w:val="001A7326"/>
    <w:rsid w:val="001A74A8"/>
    <w:rsid w:val="001B1F16"/>
    <w:rsid w:val="001B2B83"/>
    <w:rsid w:val="001B2FDE"/>
    <w:rsid w:val="001B33A0"/>
    <w:rsid w:val="001B3B1E"/>
    <w:rsid w:val="001B3FFD"/>
    <w:rsid w:val="001B42DF"/>
    <w:rsid w:val="001B481E"/>
    <w:rsid w:val="001B55EB"/>
    <w:rsid w:val="001B5A2E"/>
    <w:rsid w:val="001B6106"/>
    <w:rsid w:val="001C158B"/>
    <w:rsid w:val="001C18E6"/>
    <w:rsid w:val="001C1CFB"/>
    <w:rsid w:val="001C21F9"/>
    <w:rsid w:val="001C26C4"/>
    <w:rsid w:val="001C3246"/>
    <w:rsid w:val="001C3A83"/>
    <w:rsid w:val="001C3FC4"/>
    <w:rsid w:val="001C46DE"/>
    <w:rsid w:val="001C4F55"/>
    <w:rsid w:val="001C5FE3"/>
    <w:rsid w:val="001C69C5"/>
    <w:rsid w:val="001C7D74"/>
    <w:rsid w:val="001D0409"/>
    <w:rsid w:val="001D34D8"/>
    <w:rsid w:val="001D4F1F"/>
    <w:rsid w:val="001D55CF"/>
    <w:rsid w:val="001D5ABE"/>
    <w:rsid w:val="001D7370"/>
    <w:rsid w:val="001E0ED1"/>
    <w:rsid w:val="001E34C5"/>
    <w:rsid w:val="001E551C"/>
    <w:rsid w:val="001E6390"/>
    <w:rsid w:val="001F18A3"/>
    <w:rsid w:val="001F20B4"/>
    <w:rsid w:val="001F2FFE"/>
    <w:rsid w:val="001F3593"/>
    <w:rsid w:val="001F36EC"/>
    <w:rsid w:val="001F4D8B"/>
    <w:rsid w:val="001F5800"/>
    <w:rsid w:val="001F5C85"/>
    <w:rsid w:val="0020022D"/>
    <w:rsid w:val="00201C21"/>
    <w:rsid w:val="00202488"/>
    <w:rsid w:val="00203057"/>
    <w:rsid w:val="002036DE"/>
    <w:rsid w:val="00204AB5"/>
    <w:rsid w:val="00204C3D"/>
    <w:rsid w:val="0020648E"/>
    <w:rsid w:val="00206576"/>
    <w:rsid w:val="00206969"/>
    <w:rsid w:val="00207586"/>
    <w:rsid w:val="00207A92"/>
    <w:rsid w:val="00207D18"/>
    <w:rsid w:val="0021085E"/>
    <w:rsid w:val="00212294"/>
    <w:rsid w:val="002136CC"/>
    <w:rsid w:val="002137CF"/>
    <w:rsid w:val="0021763B"/>
    <w:rsid w:val="00220626"/>
    <w:rsid w:val="00221775"/>
    <w:rsid w:val="00221D61"/>
    <w:rsid w:val="00223F95"/>
    <w:rsid w:val="0022532D"/>
    <w:rsid w:val="002258BB"/>
    <w:rsid w:val="00226016"/>
    <w:rsid w:val="00230360"/>
    <w:rsid w:val="00230594"/>
    <w:rsid w:val="00230DAA"/>
    <w:rsid w:val="002321CD"/>
    <w:rsid w:val="00232BA5"/>
    <w:rsid w:val="0023566F"/>
    <w:rsid w:val="0023575C"/>
    <w:rsid w:val="00237D84"/>
    <w:rsid w:val="00237E08"/>
    <w:rsid w:val="002407A5"/>
    <w:rsid w:val="00243DDE"/>
    <w:rsid w:val="00244209"/>
    <w:rsid w:val="002445E9"/>
    <w:rsid w:val="0024472F"/>
    <w:rsid w:val="00245476"/>
    <w:rsid w:val="00245FDE"/>
    <w:rsid w:val="002468D7"/>
    <w:rsid w:val="0025129E"/>
    <w:rsid w:val="00251FF8"/>
    <w:rsid w:val="002523FB"/>
    <w:rsid w:val="002528C1"/>
    <w:rsid w:val="00253369"/>
    <w:rsid w:val="002537D3"/>
    <w:rsid w:val="0025727A"/>
    <w:rsid w:val="00257373"/>
    <w:rsid w:val="0025784A"/>
    <w:rsid w:val="00257D24"/>
    <w:rsid w:val="00262E4E"/>
    <w:rsid w:val="002634E4"/>
    <w:rsid w:val="00264728"/>
    <w:rsid w:val="002649E9"/>
    <w:rsid w:val="00265466"/>
    <w:rsid w:val="00265720"/>
    <w:rsid w:val="00265B8A"/>
    <w:rsid w:val="00267325"/>
    <w:rsid w:val="0026785C"/>
    <w:rsid w:val="00270535"/>
    <w:rsid w:val="00271C87"/>
    <w:rsid w:val="0027466B"/>
    <w:rsid w:val="002751E3"/>
    <w:rsid w:val="00275ED5"/>
    <w:rsid w:val="00276816"/>
    <w:rsid w:val="00277E82"/>
    <w:rsid w:val="00283CBA"/>
    <w:rsid w:val="00283E54"/>
    <w:rsid w:val="00284803"/>
    <w:rsid w:val="0028657F"/>
    <w:rsid w:val="00287052"/>
    <w:rsid w:val="002875A3"/>
    <w:rsid w:val="002912F6"/>
    <w:rsid w:val="00291518"/>
    <w:rsid w:val="00292D08"/>
    <w:rsid w:val="00293EEA"/>
    <w:rsid w:val="00295F0F"/>
    <w:rsid w:val="00296D0C"/>
    <w:rsid w:val="00297C0B"/>
    <w:rsid w:val="002A0BC0"/>
    <w:rsid w:val="002A244C"/>
    <w:rsid w:val="002A295B"/>
    <w:rsid w:val="002A2A48"/>
    <w:rsid w:val="002A40D2"/>
    <w:rsid w:val="002A526A"/>
    <w:rsid w:val="002A5E28"/>
    <w:rsid w:val="002A5EFC"/>
    <w:rsid w:val="002A666E"/>
    <w:rsid w:val="002A6B23"/>
    <w:rsid w:val="002A6EF9"/>
    <w:rsid w:val="002A702C"/>
    <w:rsid w:val="002B0018"/>
    <w:rsid w:val="002B0794"/>
    <w:rsid w:val="002B1AB1"/>
    <w:rsid w:val="002B215B"/>
    <w:rsid w:val="002B26EC"/>
    <w:rsid w:val="002B27DF"/>
    <w:rsid w:val="002B3A6D"/>
    <w:rsid w:val="002B55CB"/>
    <w:rsid w:val="002B5626"/>
    <w:rsid w:val="002B5DDA"/>
    <w:rsid w:val="002C0878"/>
    <w:rsid w:val="002C2B98"/>
    <w:rsid w:val="002C35CC"/>
    <w:rsid w:val="002C44D7"/>
    <w:rsid w:val="002C45B1"/>
    <w:rsid w:val="002C741D"/>
    <w:rsid w:val="002D0625"/>
    <w:rsid w:val="002D0EF3"/>
    <w:rsid w:val="002D2C8D"/>
    <w:rsid w:val="002D3864"/>
    <w:rsid w:val="002D44B3"/>
    <w:rsid w:val="002D5772"/>
    <w:rsid w:val="002D6575"/>
    <w:rsid w:val="002D6A63"/>
    <w:rsid w:val="002D7A1E"/>
    <w:rsid w:val="002E0A18"/>
    <w:rsid w:val="002E24E3"/>
    <w:rsid w:val="002E2EBB"/>
    <w:rsid w:val="002E2F60"/>
    <w:rsid w:val="002E3323"/>
    <w:rsid w:val="002E3D0B"/>
    <w:rsid w:val="002E503A"/>
    <w:rsid w:val="002E5E4E"/>
    <w:rsid w:val="002E6C1F"/>
    <w:rsid w:val="002E7876"/>
    <w:rsid w:val="002F07AE"/>
    <w:rsid w:val="002F0A01"/>
    <w:rsid w:val="002F0A1D"/>
    <w:rsid w:val="002F19E8"/>
    <w:rsid w:val="002F398E"/>
    <w:rsid w:val="002F3D51"/>
    <w:rsid w:val="002F56DF"/>
    <w:rsid w:val="002F6173"/>
    <w:rsid w:val="002F64C2"/>
    <w:rsid w:val="002F7A89"/>
    <w:rsid w:val="00300599"/>
    <w:rsid w:val="0030236C"/>
    <w:rsid w:val="00302790"/>
    <w:rsid w:val="00302F57"/>
    <w:rsid w:val="003033E0"/>
    <w:rsid w:val="00304A7B"/>
    <w:rsid w:val="00304B3D"/>
    <w:rsid w:val="0030562E"/>
    <w:rsid w:val="00305C76"/>
    <w:rsid w:val="00306105"/>
    <w:rsid w:val="003100B6"/>
    <w:rsid w:val="003101D1"/>
    <w:rsid w:val="0031025F"/>
    <w:rsid w:val="00310D96"/>
    <w:rsid w:val="00310DCA"/>
    <w:rsid w:val="00311A05"/>
    <w:rsid w:val="00312529"/>
    <w:rsid w:val="00313602"/>
    <w:rsid w:val="0031477A"/>
    <w:rsid w:val="00314B68"/>
    <w:rsid w:val="00317040"/>
    <w:rsid w:val="00321596"/>
    <w:rsid w:val="00323D61"/>
    <w:rsid w:val="00323E35"/>
    <w:rsid w:val="0032567E"/>
    <w:rsid w:val="00327000"/>
    <w:rsid w:val="00327EE8"/>
    <w:rsid w:val="00327F8C"/>
    <w:rsid w:val="00330C4D"/>
    <w:rsid w:val="003324CB"/>
    <w:rsid w:val="00332868"/>
    <w:rsid w:val="00333C0B"/>
    <w:rsid w:val="00334496"/>
    <w:rsid w:val="00334990"/>
    <w:rsid w:val="00334B62"/>
    <w:rsid w:val="00335154"/>
    <w:rsid w:val="00335458"/>
    <w:rsid w:val="00337CF6"/>
    <w:rsid w:val="003409B7"/>
    <w:rsid w:val="00340F05"/>
    <w:rsid w:val="00341B57"/>
    <w:rsid w:val="00341FB4"/>
    <w:rsid w:val="003422BB"/>
    <w:rsid w:val="00342C75"/>
    <w:rsid w:val="00342C99"/>
    <w:rsid w:val="00342FBD"/>
    <w:rsid w:val="00343200"/>
    <w:rsid w:val="00343764"/>
    <w:rsid w:val="003438D5"/>
    <w:rsid w:val="00343EBB"/>
    <w:rsid w:val="0034402E"/>
    <w:rsid w:val="003440F3"/>
    <w:rsid w:val="003443D8"/>
    <w:rsid w:val="00345B82"/>
    <w:rsid w:val="00345F09"/>
    <w:rsid w:val="00346158"/>
    <w:rsid w:val="003464C9"/>
    <w:rsid w:val="00346AF3"/>
    <w:rsid w:val="00346B31"/>
    <w:rsid w:val="00347B8A"/>
    <w:rsid w:val="00347F9B"/>
    <w:rsid w:val="00350D2B"/>
    <w:rsid w:val="0035152A"/>
    <w:rsid w:val="00351CC2"/>
    <w:rsid w:val="00351E38"/>
    <w:rsid w:val="0035263B"/>
    <w:rsid w:val="0035372E"/>
    <w:rsid w:val="00355334"/>
    <w:rsid w:val="003558A8"/>
    <w:rsid w:val="003570AF"/>
    <w:rsid w:val="00357961"/>
    <w:rsid w:val="0036024B"/>
    <w:rsid w:val="00360827"/>
    <w:rsid w:val="003616BB"/>
    <w:rsid w:val="003616C5"/>
    <w:rsid w:val="0036267C"/>
    <w:rsid w:val="0036427E"/>
    <w:rsid w:val="003661F7"/>
    <w:rsid w:val="003662C2"/>
    <w:rsid w:val="003665E3"/>
    <w:rsid w:val="00366EFC"/>
    <w:rsid w:val="00367F87"/>
    <w:rsid w:val="00371125"/>
    <w:rsid w:val="00371286"/>
    <w:rsid w:val="0037128B"/>
    <w:rsid w:val="00371366"/>
    <w:rsid w:val="003723AE"/>
    <w:rsid w:val="0037328C"/>
    <w:rsid w:val="00373509"/>
    <w:rsid w:val="003743E0"/>
    <w:rsid w:val="00374ACB"/>
    <w:rsid w:val="003752F4"/>
    <w:rsid w:val="0037597A"/>
    <w:rsid w:val="00376174"/>
    <w:rsid w:val="003766CF"/>
    <w:rsid w:val="00377AC9"/>
    <w:rsid w:val="00380904"/>
    <w:rsid w:val="003814F1"/>
    <w:rsid w:val="00381830"/>
    <w:rsid w:val="00381CF5"/>
    <w:rsid w:val="00382E56"/>
    <w:rsid w:val="00383B6B"/>
    <w:rsid w:val="003852B2"/>
    <w:rsid w:val="003867B3"/>
    <w:rsid w:val="00386B4A"/>
    <w:rsid w:val="00387DF4"/>
    <w:rsid w:val="003910C7"/>
    <w:rsid w:val="0039177F"/>
    <w:rsid w:val="003919B9"/>
    <w:rsid w:val="003934F8"/>
    <w:rsid w:val="0039654F"/>
    <w:rsid w:val="003976B0"/>
    <w:rsid w:val="003A073A"/>
    <w:rsid w:val="003A0CA3"/>
    <w:rsid w:val="003A2069"/>
    <w:rsid w:val="003A38AA"/>
    <w:rsid w:val="003A3EC7"/>
    <w:rsid w:val="003A5DDA"/>
    <w:rsid w:val="003A5EF0"/>
    <w:rsid w:val="003A63D5"/>
    <w:rsid w:val="003A66BA"/>
    <w:rsid w:val="003A6EBA"/>
    <w:rsid w:val="003A7C0E"/>
    <w:rsid w:val="003B074F"/>
    <w:rsid w:val="003B14FE"/>
    <w:rsid w:val="003B37E7"/>
    <w:rsid w:val="003B46E5"/>
    <w:rsid w:val="003B4B2D"/>
    <w:rsid w:val="003B78B6"/>
    <w:rsid w:val="003C0B7C"/>
    <w:rsid w:val="003C0C3B"/>
    <w:rsid w:val="003C0D0E"/>
    <w:rsid w:val="003C1516"/>
    <w:rsid w:val="003C2DBE"/>
    <w:rsid w:val="003C2DDF"/>
    <w:rsid w:val="003C6F27"/>
    <w:rsid w:val="003C7228"/>
    <w:rsid w:val="003C7806"/>
    <w:rsid w:val="003D28DA"/>
    <w:rsid w:val="003D3560"/>
    <w:rsid w:val="003D3569"/>
    <w:rsid w:val="003D5A0D"/>
    <w:rsid w:val="003D6ABE"/>
    <w:rsid w:val="003D7166"/>
    <w:rsid w:val="003D7172"/>
    <w:rsid w:val="003D7F77"/>
    <w:rsid w:val="003E00E2"/>
    <w:rsid w:val="003E0C6F"/>
    <w:rsid w:val="003E10D0"/>
    <w:rsid w:val="003E13D9"/>
    <w:rsid w:val="003E15AB"/>
    <w:rsid w:val="003E186B"/>
    <w:rsid w:val="003E41F0"/>
    <w:rsid w:val="003E5690"/>
    <w:rsid w:val="003E6093"/>
    <w:rsid w:val="003E631D"/>
    <w:rsid w:val="003E7F93"/>
    <w:rsid w:val="003F10B5"/>
    <w:rsid w:val="003F13E2"/>
    <w:rsid w:val="003F1D72"/>
    <w:rsid w:val="003F31E4"/>
    <w:rsid w:val="003F3D41"/>
    <w:rsid w:val="003F3F83"/>
    <w:rsid w:val="003F4388"/>
    <w:rsid w:val="003F502E"/>
    <w:rsid w:val="003F50D5"/>
    <w:rsid w:val="003F684E"/>
    <w:rsid w:val="003F6A88"/>
    <w:rsid w:val="003F70B1"/>
    <w:rsid w:val="003F7E43"/>
    <w:rsid w:val="00401042"/>
    <w:rsid w:val="0040218B"/>
    <w:rsid w:val="004021FD"/>
    <w:rsid w:val="00403B07"/>
    <w:rsid w:val="004055E0"/>
    <w:rsid w:val="0040613B"/>
    <w:rsid w:val="00406B63"/>
    <w:rsid w:val="0040735F"/>
    <w:rsid w:val="00407545"/>
    <w:rsid w:val="004115E9"/>
    <w:rsid w:val="00412E7A"/>
    <w:rsid w:val="0041427C"/>
    <w:rsid w:val="0041472B"/>
    <w:rsid w:val="00414C3C"/>
    <w:rsid w:val="0041502B"/>
    <w:rsid w:val="0041658F"/>
    <w:rsid w:val="00422B4F"/>
    <w:rsid w:val="00422F6A"/>
    <w:rsid w:val="00424163"/>
    <w:rsid w:val="00425312"/>
    <w:rsid w:val="004257BD"/>
    <w:rsid w:val="004261D6"/>
    <w:rsid w:val="0042716E"/>
    <w:rsid w:val="0042717F"/>
    <w:rsid w:val="00427741"/>
    <w:rsid w:val="0043295B"/>
    <w:rsid w:val="0043475D"/>
    <w:rsid w:val="0043794F"/>
    <w:rsid w:val="004403A1"/>
    <w:rsid w:val="0044181B"/>
    <w:rsid w:val="004431B4"/>
    <w:rsid w:val="00445176"/>
    <w:rsid w:val="0044553B"/>
    <w:rsid w:val="00445DCD"/>
    <w:rsid w:val="00447187"/>
    <w:rsid w:val="00450B86"/>
    <w:rsid w:val="0045141C"/>
    <w:rsid w:val="004519F2"/>
    <w:rsid w:val="00451AA8"/>
    <w:rsid w:val="00453814"/>
    <w:rsid w:val="0045433E"/>
    <w:rsid w:val="00454C08"/>
    <w:rsid w:val="00454C69"/>
    <w:rsid w:val="004550BF"/>
    <w:rsid w:val="00455318"/>
    <w:rsid w:val="004606DA"/>
    <w:rsid w:val="004608F6"/>
    <w:rsid w:val="004621E9"/>
    <w:rsid w:val="004622D9"/>
    <w:rsid w:val="00462606"/>
    <w:rsid w:val="00462652"/>
    <w:rsid w:val="00462EF1"/>
    <w:rsid w:val="00466D16"/>
    <w:rsid w:val="0046764B"/>
    <w:rsid w:val="00470782"/>
    <w:rsid w:val="0047087A"/>
    <w:rsid w:val="00471B8B"/>
    <w:rsid w:val="00471E2A"/>
    <w:rsid w:val="00472BD5"/>
    <w:rsid w:val="004734BC"/>
    <w:rsid w:val="00473741"/>
    <w:rsid w:val="00477341"/>
    <w:rsid w:val="00480148"/>
    <w:rsid w:val="0048082A"/>
    <w:rsid w:val="004809EC"/>
    <w:rsid w:val="00483635"/>
    <w:rsid w:val="00486507"/>
    <w:rsid w:val="004868CB"/>
    <w:rsid w:val="00487625"/>
    <w:rsid w:val="004878D6"/>
    <w:rsid w:val="00487F8C"/>
    <w:rsid w:val="00491FC7"/>
    <w:rsid w:val="00492BAA"/>
    <w:rsid w:val="00493166"/>
    <w:rsid w:val="00495A24"/>
    <w:rsid w:val="004962CA"/>
    <w:rsid w:val="00496B1F"/>
    <w:rsid w:val="00497156"/>
    <w:rsid w:val="004971FF"/>
    <w:rsid w:val="00497416"/>
    <w:rsid w:val="004A02A0"/>
    <w:rsid w:val="004A1F8E"/>
    <w:rsid w:val="004A2175"/>
    <w:rsid w:val="004A3EB3"/>
    <w:rsid w:val="004A3EEF"/>
    <w:rsid w:val="004A4694"/>
    <w:rsid w:val="004A483D"/>
    <w:rsid w:val="004A4D48"/>
    <w:rsid w:val="004A5797"/>
    <w:rsid w:val="004A5960"/>
    <w:rsid w:val="004A65D5"/>
    <w:rsid w:val="004A74B9"/>
    <w:rsid w:val="004A750B"/>
    <w:rsid w:val="004B0486"/>
    <w:rsid w:val="004B1882"/>
    <w:rsid w:val="004B4430"/>
    <w:rsid w:val="004B46C2"/>
    <w:rsid w:val="004B6949"/>
    <w:rsid w:val="004B6C48"/>
    <w:rsid w:val="004B6CBF"/>
    <w:rsid w:val="004B740C"/>
    <w:rsid w:val="004C004B"/>
    <w:rsid w:val="004C02FB"/>
    <w:rsid w:val="004C0687"/>
    <w:rsid w:val="004C09B3"/>
    <w:rsid w:val="004C13F3"/>
    <w:rsid w:val="004C1BB5"/>
    <w:rsid w:val="004C1EF7"/>
    <w:rsid w:val="004C27AD"/>
    <w:rsid w:val="004C2A01"/>
    <w:rsid w:val="004C2B88"/>
    <w:rsid w:val="004C3048"/>
    <w:rsid w:val="004C3670"/>
    <w:rsid w:val="004C6369"/>
    <w:rsid w:val="004C65C5"/>
    <w:rsid w:val="004C7072"/>
    <w:rsid w:val="004C770C"/>
    <w:rsid w:val="004C7E31"/>
    <w:rsid w:val="004D09AD"/>
    <w:rsid w:val="004D0A07"/>
    <w:rsid w:val="004D1213"/>
    <w:rsid w:val="004D236A"/>
    <w:rsid w:val="004D2D6D"/>
    <w:rsid w:val="004D382E"/>
    <w:rsid w:val="004D3DC7"/>
    <w:rsid w:val="004D59FF"/>
    <w:rsid w:val="004D6BED"/>
    <w:rsid w:val="004D6F09"/>
    <w:rsid w:val="004D7C02"/>
    <w:rsid w:val="004E08D5"/>
    <w:rsid w:val="004E0D59"/>
    <w:rsid w:val="004E16F4"/>
    <w:rsid w:val="004E1735"/>
    <w:rsid w:val="004E307B"/>
    <w:rsid w:val="004E3397"/>
    <w:rsid w:val="004E3FA2"/>
    <w:rsid w:val="004E440B"/>
    <w:rsid w:val="004E457C"/>
    <w:rsid w:val="004E46A5"/>
    <w:rsid w:val="004E47F8"/>
    <w:rsid w:val="004E559B"/>
    <w:rsid w:val="004F0064"/>
    <w:rsid w:val="004F0F5A"/>
    <w:rsid w:val="004F35DF"/>
    <w:rsid w:val="004F398F"/>
    <w:rsid w:val="004F3CC5"/>
    <w:rsid w:val="004F5380"/>
    <w:rsid w:val="004F6362"/>
    <w:rsid w:val="004F6A38"/>
    <w:rsid w:val="004F787F"/>
    <w:rsid w:val="004F7D07"/>
    <w:rsid w:val="005004B9"/>
    <w:rsid w:val="005010B3"/>
    <w:rsid w:val="00502A5F"/>
    <w:rsid w:val="005053FC"/>
    <w:rsid w:val="00505750"/>
    <w:rsid w:val="00505FD7"/>
    <w:rsid w:val="0050634A"/>
    <w:rsid w:val="0050635D"/>
    <w:rsid w:val="005075F1"/>
    <w:rsid w:val="00507835"/>
    <w:rsid w:val="00507D7B"/>
    <w:rsid w:val="00507EB5"/>
    <w:rsid w:val="005125E5"/>
    <w:rsid w:val="005126C2"/>
    <w:rsid w:val="00512C72"/>
    <w:rsid w:val="00513334"/>
    <w:rsid w:val="00513764"/>
    <w:rsid w:val="0051379A"/>
    <w:rsid w:val="005143D8"/>
    <w:rsid w:val="00514712"/>
    <w:rsid w:val="00514CBE"/>
    <w:rsid w:val="00515F4B"/>
    <w:rsid w:val="005163A5"/>
    <w:rsid w:val="0051668E"/>
    <w:rsid w:val="0051715E"/>
    <w:rsid w:val="005213D8"/>
    <w:rsid w:val="00522D4E"/>
    <w:rsid w:val="0052304B"/>
    <w:rsid w:val="005235CF"/>
    <w:rsid w:val="00523925"/>
    <w:rsid w:val="0052406F"/>
    <w:rsid w:val="00524530"/>
    <w:rsid w:val="0052575D"/>
    <w:rsid w:val="005257EF"/>
    <w:rsid w:val="005278A7"/>
    <w:rsid w:val="005305F1"/>
    <w:rsid w:val="00530883"/>
    <w:rsid w:val="00531437"/>
    <w:rsid w:val="00532B50"/>
    <w:rsid w:val="00532EBF"/>
    <w:rsid w:val="00533348"/>
    <w:rsid w:val="00533DCD"/>
    <w:rsid w:val="005348FA"/>
    <w:rsid w:val="005350D8"/>
    <w:rsid w:val="0053565F"/>
    <w:rsid w:val="00535673"/>
    <w:rsid w:val="00535B4E"/>
    <w:rsid w:val="005402B8"/>
    <w:rsid w:val="00540913"/>
    <w:rsid w:val="00540C06"/>
    <w:rsid w:val="00541E5A"/>
    <w:rsid w:val="005439AB"/>
    <w:rsid w:val="00543AA5"/>
    <w:rsid w:val="00544544"/>
    <w:rsid w:val="00544922"/>
    <w:rsid w:val="00546636"/>
    <w:rsid w:val="00546826"/>
    <w:rsid w:val="005478FE"/>
    <w:rsid w:val="005501B9"/>
    <w:rsid w:val="00550287"/>
    <w:rsid w:val="00550754"/>
    <w:rsid w:val="0055181E"/>
    <w:rsid w:val="00551FD0"/>
    <w:rsid w:val="00552C0B"/>
    <w:rsid w:val="00552FE8"/>
    <w:rsid w:val="00554493"/>
    <w:rsid w:val="005544B1"/>
    <w:rsid w:val="00555401"/>
    <w:rsid w:val="00556279"/>
    <w:rsid w:val="00557418"/>
    <w:rsid w:val="00557909"/>
    <w:rsid w:val="00557B81"/>
    <w:rsid w:val="00562BA7"/>
    <w:rsid w:val="005635B7"/>
    <w:rsid w:val="005638A8"/>
    <w:rsid w:val="005642B9"/>
    <w:rsid w:val="00564E58"/>
    <w:rsid w:val="00565081"/>
    <w:rsid w:val="005653A5"/>
    <w:rsid w:val="00565DC7"/>
    <w:rsid w:val="0056627C"/>
    <w:rsid w:val="00566A1B"/>
    <w:rsid w:val="0056709B"/>
    <w:rsid w:val="005673FB"/>
    <w:rsid w:val="00570490"/>
    <w:rsid w:val="005707F0"/>
    <w:rsid w:val="00570EC7"/>
    <w:rsid w:val="00572076"/>
    <w:rsid w:val="005722C8"/>
    <w:rsid w:val="0057343B"/>
    <w:rsid w:val="00573555"/>
    <w:rsid w:val="005736E2"/>
    <w:rsid w:val="00574571"/>
    <w:rsid w:val="00574A48"/>
    <w:rsid w:val="00576BE5"/>
    <w:rsid w:val="0057762C"/>
    <w:rsid w:val="00577A39"/>
    <w:rsid w:val="00582B9B"/>
    <w:rsid w:val="00583322"/>
    <w:rsid w:val="00583DC2"/>
    <w:rsid w:val="00584D9E"/>
    <w:rsid w:val="005867AF"/>
    <w:rsid w:val="00586B44"/>
    <w:rsid w:val="00586BD9"/>
    <w:rsid w:val="005871E0"/>
    <w:rsid w:val="005903B5"/>
    <w:rsid w:val="00590CB8"/>
    <w:rsid w:val="005911C1"/>
    <w:rsid w:val="00591F49"/>
    <w:rsid w:val="00593105"/>
    <w:rsid w:val="005933B4"/>
    <w:rsid w:val="005940FB"/>
    <w:rsid w:val="00594223"/>
    <w:rsid w:val="00594688"/>
    <w:rsid w:val="00596799"/>
    <w:rsid w:val="005A0974"/>
    <w:rsid w:val="005A1035"/>
    <w:rsid w:val="005A1444"/>
    <w:rsid w:val="005A203C"/>
    <w:rsid w:val="005A361E"/>
    <w:rsid w:val="005B0D16"/>
    <w:rsid w:val="005B125A"/>
    <w:rsid w:val="005B14EC"/>
    <w:rsid w:val="005B3C77"/>
    <w:rsid w:val="005B3D5F"/>
    <w:rsid w:val="005B42AB"/>
    <w:rsid w:val="005B493C"/>
    <w:rsid w:val="005B52E6"/>
    <w:rsid w:val="005B6817"/>
    <w:rsid w:val="005C05B4"/>
    <w:rsid w:val="005C136E"/>
    <w:rsid w:val="005C1660"/>
    <w:rsid w:val="005C3553"/>
    <w:rsid w:val="005C3A8A"/>
    <w:rsid w:val="005C5F62"/>
    <w:rsid w:val="005C66DA"/>
    <w:rsid w:val="005D0FF7"/>
    <w:rsid w:val="005D1B60"/>
    <w:rsid w:val="005D2123"/>
    <w:rsid w:val="005D3D94"/>
    <w:rsid w:val="005D4686"/>
    <w:rsid w:val="005D489A"/>
    <w:rsid w:val="005D5D3E"/>
    <w:rsid w:val="005D61BC"/>
    <w:rsid w:val="005E028B"/>
    <w:rsid w:val="005E05B7"/>
    <w:rsid w:val="005E06B3"/>
    <w:rsid w:val="005E0FAD"/>
    <w:rsid w:val="005E158C"/>
    <w:rsid w:val="005E2194"/>
    <w:rsid w:val="005E342B"/>
    <w:rsid w:val="005E534E"/>
    <w:rsid w:val="005E5BA8"/>
    <w:rsid w:val="005E68DF"/>
    <w:rsid w:val="005E73AD"/>
    <w:rsid w:val="005E77E7"/>
    <w:rsid w:val="005F1688"/>
    <w:rsid w:val="005F1983"/>
    <w:rsid w:val="005F3786"/>
    <w:rsid w:val="005F3AF3"/>
    <w:rsid w:val="005F4090"/>
    <w:rsid w:val="005F418B"/>
    <w:rsid w:val="005F4C23"/>
    <w:rsid w:val="005F5CDB"/>
    <w:rsid w:val="005F6263"/>
    <w:rsid w:val="005F67C8"/>
    <w:rsid w:val="005F6B15"/>
    <w:rsid w:val="005F6CFE"/>
    <w:rsid w:val="005F7F26"/>
    <w:rsid w:val="006012EC"/>
    <w:rsid w:val="00601A06"/>
    <w:rsid w:val="00605A44"/>
    <w:rsid w:val="00606864"/>
    <w:rsid w:val="00607DEA"/>
    <w:rsid w:val="00612339"/>
    <w:rsid w:val="0061242F"/>
    <w:rsid w:val="00612D72"/>
    <w:rsid w:val="00613FD4"/>
    <w:rsid w:val="00615FBF"/>
    <w:rsid w:val="0061788A"/>
    <w:rsid w:val="00617E75"/>
    <w:rsid w:val="00621B0E"/>
    <w:rsid w:val="006223C8"/>
    <w:rsid w:val="006229D8"/>
    <w:rsid w:val="00625CD5"/>
    <w:rsid w:val="00627D23"/>
    <w:rsid w:val="006303D5"/>
    <w:rsid w:val="00630C26"/>
    <w:rsid w:val="00631AD0"/>
    <w:rsid w:val="00632308"/>
    <w:rsid w:val="00632684"/>
    <w:rsid w:val="006326D4"/>
    <w:rsid w:val="00632C75"/>
    <w:rsid w:val="006338E8"/>
    <w:rsid w:val="00634566"/>
    <w:rsid w:val="006347BE"/>
    <w:rsid w:val="006355AA"/>
    <w:rsid w:val="00635BBB"/>
    <w:rsid w:val="00636377"/>
    <w:rsid w:val="0063685C"/>
    <w:rsid w:val="006418BC"/>
    <w:rsid w:val="0064206B"/>
    <w:rsid w:val="00643E1F"/>
    <w:rsid w:val="00645172"/>
    <w:rsid w:val="00645231"/>
    <w:rsid w:val="0064688E"/>
    <w:rsid w:val="00646AEF"/>
    <w:rsid w:val="00647981"/>
    <w:rsid w:val="00651F40"/>
    <w:rsid w:val="00652AC6"/>
    <w:rsid w:val="00652E3E"/>
    <w:rsid w:val="006532B1"/>
    <w:rsid w:val="006533E2"/>
    <w:rsid w:val="0065484A"/>
    <w:rsid w:val="00654A12"/>
    <w:rsid w:val="00655C77"/>
    <w:rsid w:val="006573CD"/>
    <w:rsid w:val="0066005F"/>
    <w:rsid w:val="00662BC7"/>
    <w:rsid w:val="00662F04"/>
    <w:rsid w:val="00663B7F"/>
    <w:rsid w:val="0066674F"/>
    <w:rsid w:val="00667652"/>
    <w:rsid w:val="00667C77"/>
    <w:rsid w:val="0067015D"/>
    <w:rsid w:val="006704E1"/>
    <w:rsid w:val="006720B6"/>
    <w:rsid w:val="0067284D"/>
    <w:rsid w:val="0067390F"/>
    <w:rsid w:val="00675AB4"/>
    <w:rsid w:val="00677504"/>
    <w:rsid w:val="00677B47"/>
    <w:rsid w:val="006806BF"/>
    <w:rsid w:val="006809E2"/>
    <w:rsid w:val="00681E4B"/>
    <w:rsid w:val="00683508"/>
    <w:rsid w:val="0068360B"/>
    <w:rsid w:val="00684D16"/>
    <w:rsid w:val="00684FBA"/>
    <w:rsid w:val="006854CF"/>
    <w:rsid w:val="00685F9F"/>
    <w:rsid w:val="00686F2A"/>
    <w:rsid w:val="00690A6A"/>
    <w:rsid w:val="00692701"/>
    <w:rsid w:val="0069394B"/>
    <w:rsid w:val="00693A43"/>
    <w:rsid w:val="0069538C"/>
    <w:rsid w:val="00695496"/>
    <w:rsid w:val="00696BC0"/>
    <w:rsid w:val="006A0D49"/>
    <w:rsid w:val="006A1F6C"/>
    <w:rsid w:val="006A20B7"/>
    <w:rsid w:val="006A379C"/>
    <w:rsid w:val="006A4907"/>
    <w:rsid w:val="006A49B5"/>
    <w:rsid w:val="006A5A04"/>
    <w:rsid w:val="006A5B28"/>
    <w:rsid w:val="006A5F55"/>
    <w:rsid w:val="006A62B6"/>
    <w:rsid w:val="006A7004"/>
    <w:rsid w:val="006A7C59"/>
    <w:rsid w:val="006B0081"/>
    <w:rsid w:val="006B02E3"/>
    <w:rsid w:val="006B0E5F"/>
    <w:rsid w:val="006B1B15"/>
    <w:rsid w:val="006B2920"/>
    <w:rsid w:val="006B3301"/>
    <w:rsid w:val="006B37A0"/>
    <w:rsid w:val="006C0879"/>
    <w:rsid w:val="006C2049"/>
    <w:rsid w:val="006C2CAE"/>
    <w:rsid w:val="006C4289"/>
    <w:rsid w:val="006C472A"/>
    <w:rsid w:val="006C59DD"/>
    <w:rsid w:val="006C5A72"/>
    <w:rsid w:val="006C73B3"/>
    <w:rsid w:val="006D08A1"/>
    <w:rsid w:val="006D1E93"/>
    <w:rsid w:val="006D291A"/>
    <w:rsid w:val="006D30F8"/>
    <w:rsid w:val="006D45C2"/>
    <w:rsid w:val="006D4937"/>
    <w:rsid w:val="006D4D1F"/>
    <w:rsid w:val="006D4DA9"/>
    <w:rsid w:val="006D547B"/>
    <w:rsid w:val="006D559E"/>
    <w:rsid w:val="006D7DA7"/>
    <w:rsid w:val="006D7F9C"/>
    <w:rsid w:val="006E29AA"/>
    <w:rsid w:val="006E2DD4"/>
    <w:rsid w:val="006E30C7"/>
    <w:rsid w:val="006E4525"/>
    <w:rsid w:val="006E48C3"/>
    <w:rsid w:val="006E4917"/>
    <w:rsid w:val="006E5729"/>
    <w:rsid w:val="006E598D"/>
    <w:rsid w:val="006E5EEE"/>
    <w:rsid w:val="006E658C"/>
    <w:rsid w:val="006E65CA"/>
    <w:rsid w:val="006E6EFA"/>
    <w:rsid w:val="006E7949"/>
    <w:rsid w:val="006E7B32"/>
    <w:rsid w:val="006F0C4A"/>
    <w:rsid w:val="006F2C46"/>
    <w:rsid w:val="006F2DE5"/>
    <w:rsid w:val="006F4560"/>
    <w:rsid w:val="006F49C7"/>
    <w:rsid w:val="006F5A2A"/>
    <w:rsid w:val="006F6212"/>
    <w:rsid w:val="006F6A87"/>
    <w:rsid w:val="006F6CAF"/>
    <w:rsid w:val="006F7488"/>
    <w:rsid w:val="006F7521"/>
    <w:rsid w:val="0070051B"/>
    <w:rsid w:val="007023FE"/>
    <w:rsid w:val="00702B93"/>
    <w:rsid w:val="00703176"/>
    <w:rsid w:val="00703FD9"/>
    <w:rsid w:val="0070416E"/>
    <w:rsid w:val="00704184"/>
    <w:rsid w:val="00704644"/>
    <w:rsid w:val="0070514A"/>
    <w:rsid w:val="00705B64"/>
    <w:rsid w:val="007074DE"/>
    <w:rsid w:val="007077F5"/>
    <w:rsid w:val="00710951"/>
    <w:rsid w:val="00710EBE"/>
    <w:rsid w:val="0071107D"/>
    <w:rsid w:val="00712BAF"/>
    <w:rsid w:val="00713612"/>
    <w:rsid w:val="00716228"/>
    <w:rsid w:val="00716588"/>
    <w:rsid w:val="0071691D"/>
    <w:rsid w:val="00716972"/>
    <w:rsid w:val="0071798E"/>
    <w:rsid w:val="00717F5C"/>
    <w:rsid w:val="00720A76"/>
    <w:rsid w:val="00722021"/>
    <w:rsid w:val="00723587"/>
    <w:rsid w:val="00724329"/>
    <w:rsid w:val="00724581"/>
    <w:rsid w:val="0072476A"/>
    <w:rsid w:val="00725C97"/>
    <w:rsid w:val="007273EA"/>
    <w:rsid w:val="00730A80"/>
    <w:rsid w:val="00732C5D"/>
    <w:rsid w:val="0073326B"/>
    <w:rsid w:val="0073367D"/>
    <w:rsid w:val="00733A2A"/>
    <w:rsid w:val="00736A18"/>
    <w:rsid w:val="00736C35"/>
    <w:rsid w:val="00736DCE"/>
    <w:rsid w:val="0073767E"/>
    <w:rsid w:val="007409A0"/>
    <w:rsid w:val="00741633"/>
    <w:rsid w:val="007424C3"/>
    <w:rsid w:val="00742781"/>
    <w:rsid w:val="00742A78"/>
    <w:rsid w:val="0074587F"/>
    <w:rsid w:val="00745A4D"/>
    <w:rsid w:val="00745B48"/>
    <w:rsid w:val="007468C0"/>
    <w:rsid w:val="00747215"/>
    <w:rsid w:val="00747C8E"/>
    <w:rsid w:val="00750977"/>
    <w:rsid w:val="00750E41"/>
    <w:rsid w:val="007510A8"/>
    <w:rsid w:val="00751D29"/>
    <w:rsid w:val="00753A03"/>
    <w:rsid w:val="00753C4E"/>
    <w:rsid w:val="007556C4"/>
    <w:rsid w:val="0075672D"/>
    <w:rsid w:val="00756F9D"/>
    <w:rsid w:val="00757266"/>
    <w:rsid w:val="0075776E"/>
    <w:rsid w:val="007630F4"/>
    <w:rsid w:val="00764A81"/>
    <w:rsid w:val="00767F05"/>
    <w:rsid w:val="007709F7"/>
    <w:rsid w:val="00771F9D"/>
    <w:rsid w:val="0077247E"/>
    <w:rsid w:val="00772822"/>
    <w:rsid w:val="00774A0D"/>
    <w:rsid w:val="00776432"/>
    <w:rsid w:val="0078041A"/>
    <w:rsid w:val="0078043F"/>
    <w:rsid w:val="00780AF9"/>
    <w:rsid w:val="00780F13"/>
    <w:rsid w:val="00781A46"/>
    <w:rsid w:val="00781DD3"/>
    <w:rsid w:val="00784BA2"/>
    <w:rsid w:val="00784BFD"/>
    <w:rsid w:val="00785037"/>
    <w:rsid w:val="00785D28"/>
    <w:rsid w:val="00786B07"/>
    <w:rsid w:val="00787B82"/>
    <w:rsid w:val="00792AE1"/>
    <w:rsid w:val="0079378E"/>
    <w:rsid w:val="0079533E"/>
    <w:rsid w:val="00796D98"/>
    <w:rsid w:val="00797C4B"/>
    <w:rsid w:val="007A2186"/>
    <w:rsid w:val="007A3D73"/>
    <w:rsid w:val="007A4083"/>
    <w:rsid w:val="007A4661"/>
    <w:rsid w:val="007A4708"/>
    <w:rsid w:val="007A4835"/>
    <w:rsid w:val="007A4E82"/>
    <w:rsid w:val="007A55E9"/>
    <w:rsid w:val="007A5A21"/>
    <w:rsid w:val="007A68D4"/>
    <w:rsid w:val="007B09B0"/>
    <w:rsid w:val="007B0BEF"/>
    <w:rsid w:val="007B0D0E"/>
    <w:rsid w:val="007B350F"/>
    <w:rsid w:val="007B3A2C"/>
    <w:rsid w:val="007B4EF9"/>
    <w:rsid w:val="007B70F3"/>
    <w:rsid w:val="007C0206"/>
    <w:rsid w:val="007C3D57"/>
    <w:rsid w:val="007C550E"/>
    <w:rsid w:val="007C5601"/>
    <w:rsid w:val="007C6934"/>
    <w:rsid w:val="007D030F"/>
    <w:rsid w:val="007D2061"/>
    <w:rsid w:val="007D232F"/>
    <w:rsid w:val="007D2E51"/>
    <w:rsid w:val="007D3055"/>
    <w:rsid w:val="007D47F0"/>
    <w:rsid w:val="007D49D7"/>
    <w:rsid w:val="007D736F"/>
    <w:rsid w:val="007E047D"/>
    <w:rsid w:val="007E06CE"/>
    <w:rsid w:val="007E26AD"/>
    <w:rsid w:val="007E2D07"/>
    <w:rsid w:val="007E3DBC"/>
    <w:rsid w:val="007E50CB"/>
    <w:rsid w:val="007E540F"/>
    <w:rsid w:val="007E5CBE"/>
    <w:rsid w:val="007E5E30"/>
    <w:rsid w:val="007E638C"/>
    <w:rsid w:val="007E654E"/>
    <w:rsid w:val="007E6935"/>
    <w:rsid w:val="007E73CE"/>
    <w:rsid w:val="007E791B"/>
    <w:rsid w:val="007F0AD3"/>
    <w:rsid w:val="007F480C"/>
    <w:rsid w:val="008002F8"/>
    <w:rsid w:val="008024DA"/>
    <w:rsid w:val="00803BDE"/>
    <w:rsid w:val="00805045"/>
    <w:rsid w:val="008056BB"/>
    <w:rsid w:val="00806718"/>
    <w:rsid w:val="00806B04"/>
    <w:rsid w:val="008078C1"/>
    <w:rsid w:val="00811194"/>
    <w:rsid w:val="0081290C"/>
    <w:rsid w:val="00812E37"/>
    <w:rsid w:val="008131B5"/>
    <w:rsid w:val="00813268"/>
    <w:rsid w:val="008147C5"/>
    <w:rsid w:val="0081497D"/>
    <w:rsid w:val="00816E7D"/>
    <w:rsid w:val="0081730F"/>
    <w:rsid w:val="008208C1"/>
    <w:rsid w:val="00820A16"/>
    <w:rsid w:val="00821744"/>
    <w:rsid w:val="00822A88"/>
    <w:rsid w:val="008234FF"/>
    <w:rsid w:val="008248D9"/>
    <w:rsid w:val="00825135"/>
    <w:rsid w:val="0082570B"/>
    <w:rsid w:val="008262D6"/>
    <w:rsid w:val="008327BA"/>
    <w:rsid w:val="00833B3F"/>
    <w:rsid w:val="0083454A"/>
    <w:rsid w:val="008359FD"/>
    <w:rsid w:val="00835D1E"/>
    <w:rsid w:val="0083626C"/>
    <w:rsid w:val="008364E2"/>
    <w:rsid w:val="008369EB"/>
    <w:rsid w:val="00837AE9"/>
    <w:rsid w:val="00837EB4"/>
    <w:rsid w:val="00840B1A"/>
    <w:rsid w:val="0084211A"/>
    <w:rsid w:val="00842D35"/>
    <w:rsid w:val="008435D8"/>
    <w:rsid w:val="0084375D"/>
    <w:rsid w:val="008439E3"/>
    <w:rsid w:val="00850C2E"/>
    <w:rsid w:val="00852DCE"/>
    <w:rsid w:val="008534CB"/>
    <w:rsid w:val="0085521F"/>
    <w:rsid w:val="008566BE"/>
    <w:rsid w:val="00857C8D"/>
    <w:rsid w:val="00860949"/>
    <w:rsid w:val="00860D38"/>
    <w:rsid w:val="00861557"/>
    <w:rsid w:val="00863956"/>
    <w:rsid w:val="00864045"/>
    <w:rsid w:val="0086422E"/>
    <w:rsid w:val="0086480E"/>
    <w:rsid w:val="00865E75"/>
    <w:rsid w:val="008665E7"/>
    <w:rsid w:val="008675C8"/>
    <w:rsid w:val="00867D53"/>
    <w:rsid w:val="00871AE5"/>
    <w:rsid w:val="00871FB4"/>
    <w:rsid w:val="00872C55"/>
    <w:rsid w:val="008730B6"/>
    <w:rsid w:val="00874C41"/>
    <w:rsid w:val="008755E2"/>
    <w:rsid w:val="00876563"/>
    <w:rsid w:val="008771B2"/>
    <w:rsid w:val="00877459"/>
    <w:rsid w:val="008808C7"/>
    <w:rsid w:val="00883369"/>
    <w:rsid w:val="00883374"/>
    <w:rsid w:val="00883FEF"/>
    <w:rsid w:val="0088531D"/>
    <w:rsid w:val="00890008"/>
    <w:rsid w:val="008906D4"/>
    <w:rsid w:val="0089268D"/>
    <w:rsid w:val="00892CFC"/>
    <w:rsid w:val="008944D8"/>
    <w:rsid w:val="008949BF"/>
    <w:rsid w:val="0089526A"/>
    <w:rsid w:val="008953F0"/>
    <w:rsid w:val="008954C8"/>
    <w:rsid w:val="00897933"/>
    <w:rsid w:val="008A0038"/>
    <w:rsid w:val="008A0461"/>
    <w:rsid w:val="008A2F87"/>
    <w:rsid w:val="008A35A5"/>
    <w:rsid w:val="008A3CE8"/>
    <w:rsid w:val="008A4767"/>
    <w:rsid w:val="008A614A"/>
    <w:rsid w:val="008A6466"/>
    <w:rsid w:val="008A66B5"/>
    <w:rsid w:val="008A6F7A"/>
    <w:rsid w:val="008A7AC0"/>
    <w:rsid w:val="008B0064"/>
    <w:rsid w:val="008B2792"/>
    <w:rsid w:val="008B2F34"/>
    <w:rsid w:val="008B7873"/>
    <w:rsid w:val="008C033B"/>
    <w:rsid w:val="008C0A08"/>
    <w:rsid w:val="008C43BF"/>
    <w:rsid w:val="008C582C"/>
    <w:rsid w:val="008C780E"/>
    <w:rsid w:val="008D0215"/>
    <w:rsid w:val="008D14D2"/>
    <w:rsid w:val="008D14FE"/>
    <w:rsid w:val="008D1CCB"/>
    <w:rsid w:val="008D2745"/>
    <w:rsid w:val="008D2F6D"/>
    <w:rsid w:val="008D5139"/>
    <w:rsid w:val="008D5550"/>
    <w:rsid w:val="008D56C2"/>
    <w:rsid w:val="008D5ADB"/>
    <w:rsid w:val="008D661F"/>
    <w:rsid w:val="008D7079"/>
    <w:rsid w:val="008E2F6A"/>
    <w:rsid w:val="008E3D34"/>
    <w:rsid w:val="008E4297"/>
    <w:rsid w:val="008E4A0E"/>
    <w:rsid w:val="008F0006"/>
    <w:rsid w:val="008F0B1B"/>
    <w:rsid w:val="008F1096"/>
    <w:rsid w:val="008F1809"/>
    <w:rsid w:val="008F2305"/>
    <w:rsid w:val="008F3F63"/>
    <w:rsid w:val="008F49B4"/>
    <w:rsid w:val="008F4B1E"/>
    <w:rsid w:val="008F4B78"/>
    <w:rsid w:val="008F5F64"/>
    <w:rsid w:val="008F6832"/>
    <w:rsid w:val="008F6C17"/>
    <w:rsid w:val="008F7004"/>
    <w:rsid w:val="008F728C"/>
    <w:rsid w:val="0090133A"/>
    <w:rsid w:val="009022D4"/>
    <w:rsid w:val="0090390A"/>
    <w:rsid w:val="00903FFE"/>
    <w:rsid w:val="00904299"/>
    <w:rsid w:val="009049D1"/>
    <w:rsid w:val="009050BA"/>
    <w:rsid w:val="00907291"/>
    <w:rsid w:val="00910622"/>
    <w:rsid w:val="00910EA7"/>
    <w:rsid w:val="0091249F"/>
    <w:rsid w:val="009129D1"/>
    <w:rsid w:val="009142A2"/>
    <w:rsid w:val="00914980"/>
    <w:rsid w:val="00915DFA"/>
    <w:rsid w:val="00916192"/>
    <w:rsid w:val="00922D6D"/>
    <w:rsid w:val="00924AD9"/>
    <w:rsid w:val="00924EA6"/>
    <w:rsid w:val="009250EB"/>
    <w:rsid w:val="0092521C"/>
    <w:rsid w:val="00926DE8"/>
    <w:rsid w:val="009319A9"/>
    <w:rsid w:val="00931E9F"/>
    <w:rsid w:val="00932647"/>
    <w:rsid w:val="0093290E"/>
    <w:rsid w:val="009338CC"/>
    <w:rsid w:val="00936379"/>
    <w:rsid w:val="00937579"/>
    <w:rsid w:val="009376B9"/>
    <w:rsid w:val="00940DB4"/>
    <w:rsid w:val="009423B2"/>
    <w:rsid w:val="00942A86"/>
    <w:rsid w:val="00944D25"/>
    <w:rsid w:val="009457D4"/>
    <w:rsid w:val="00945903"/>
    <w:rsid w:val="00945D40"/>
    <w:rsid w:val="009463BC"/>
    <w:rsid w:val="00951760"/>
    <w:rsid w:val="00951971"/>
    <w:rsid w:val="00951FF2"/>
    <w:rsid w:val="009544DE"/>
    <w:rsid w:val="009545B7"/>
    <w:rsid w:val="00954E57"/>
    <w:rsid w:val="00955CDB"/>
    <w:rsid w:val="0095735A"/>
    <w:rsid w:val="00960295"/>
    <w:rsid w:val="009611A4"/>
    <w:rsid w:val="00961640"/>
    <w:rsid w:val="009618AE"/>
    <w:rsid w:val="00963604"/>
    <w:rsid w:val="00963F1D"/>
    <w:rsid w:val="00965738"/>
    <w:rsid w:val="00971453"/>
    <w:rsid w:val="00971F8D"/>
    <w:rsid w:val="00972BB0"/>
    <w:rsid w:val="00973795"/>
    <w:rsid w:val="00974606"/>
    <w:rsid w:val="00974B3D"/>
    <w:rsid w:val="00976A4F"/>
    <w:rsid w:val="0097763A"/>
    <w:rsid w:val="00980870"/>
    <w:rsid w:val="009822F6"/>
    <w:rsid w:val="009823D9"/>
    <w:rsid w:val="009839CD"/>
    <w:rsid w:val="00984CF4"/>
    <w:rsid w:val="009856D0"/>
    <w:rsid w:val="009924F0"/>
    <w:rsid w:val="0099340D"/>
    <w:rsid w:val="0099375E"/>
    <w:rsid w:val="00994139"/>
    <w:rsid w:val="009944BF"/>
    <w:rsid w:val="0099466E"/>
    <w:rsid w:val="00994E61"/>
    <w:rsid w:val="009961ED"/>
    <w:rsid w:val="00996BB7"/>
    <w:rsid w:val="00997F02"/>
    <w:rsid w:val="009A0CA8"/>
    <w:rsid w:val="009A2C4F"/>
    <w:rsid w:val="009A5EA7"/>
    <w:rsid w:val="009B1366"/>
    <w:rsid w:val="009B28DB"/>
    <w:rsid w:val="009B2A17"/>
    <w:rsid w:val="009B4613"/>
    <w:rsid w:val="009B4AEE"/>
    <w:rsid w:val="009B4F5A"/>
    <w:rsid w:val="009B613D"/>
    <w:rsid w:val="009B6214"/>
    <w:rsid w:val="009B6B45"/>
    <w:rsid w:val="009B6F2A"/>
    <w:rsid w:val="009B7364"/>
    <w:rsid w:val="009B7B8E"/>
    <w:rsid w:val="009B7C33"/>
    <w:rsid w:val="009C0971"/>
    <w:rsid w:val="009C0AB3"/>
    <w:rsid w:val="009C1300"/>
    <w:rsid w:val="009C1D53"/>
    <w:rsid w:val="009C2391"/>
    <w:rsid w:val="009C291C"/>
    <w:rsid w:val="009C2987"/>
    <w:rsid w:val="009C3120"/>
    <w:rsid w:val="009C372B"/>
    <w:rsid w:val="009C5B2B"/>
    <w:rsid w:val="009C6E6D"/>
    <w:rsid w:val="009D1789"/>
    <w:rsid w:val="009D1C7F"/>
    <w:rsid w:val="009D284C"/>
    <w:rsid w:val="009D4063"/>
    <w:rsid w:val="009D4948"/>
    <w:rsid w:val="009D5760"/>
    <w:rsid w:val="009D57AD"/>
    <w:rsid w:val="009D5818"/>
    <w:rsid w:val="009D64DF"/>
    <w:rsid w:val="009D6F85"/>
    <w:rsid w:val="009D7969"/>
    <w:rsid w:val="009E0DEF"/>
    <w:rsid w:val="009E19C3"/>
    <w:rsid w:val="009E1E70"/>
    <w:rsid w:val="009E21DB"/>
    <w:rsid w:val="009E307A"/>
    <w:rsid w:val="009E30FA"/>
    <w:rsid w:val="009E3301"/>
    <w:rsid w:val="009E4785"/>
    <w:rsid w:val="009E6110"/>
    <w:rsid w:val="009E6221"/>
    <w:rsid w:val="009E712E"/>
    <w:rsid w:val="009E757D"/>
    <w:rsid w:val="009F147D"/>
    <w:rsid w:val="009F2339"/>
    <w:rsid w:val="009F32F0"/>
    <w:rsid w:val="009F3F30"/>
    <w:rsid w:val="009F41F5"/>
    <w:rsid w:val="009F47EC"/>
    <w:rsid w:val="009F4829"/>
    <w:rsid w:val="009F5532"/>
    <w:rsid w:val="009F5BF3"/>
    <w:rsid w:val="009F716B"/>
    <w:rsid w:val="009F7189"/>
    <w:rsid w:val="009F7FEF"/>
    <w:rsid w:val="00A00706"/>
    <w:rsid w:val="00A01B9C"/>
    <w:rsid w:val="00A0337E"/>
    <w:rsid w:val="00A04431"/>
    <w:rsid w:val="00A04CB0"/>
    <w:rsid w:val="00A05047"/>
    <w:rsid w:val="00A0506F"/>
    <w:rsid w:val="00A0558B"/>
    <w:rsid w:val="00A06193"/>
    <w:rsid w:val="00A11111"/>
    <w:rsid w:val="00A12293"/>
    <w:rsid w:val="00A125D3"/>
    <w:rsid w:val="00A12794"/>
    <w:rsid w:val="00A12FE5"/>
    <w:rsid w:val="00A141C2"/>
    <w:rsid w:val="00A14524"/>
    <w:rsid w:val="00A150BD"/>
    <w:rsid w:val="00A1739E"/>
    <w:rsid w:val="00A17BE8"/>
    <w:rsid w:val="00A17CB2"/>
    <w:rsid w:val="00A21B4E"/>
    <w:rsid w:val="00A22A08"/>
    <w:rsid w:val="00A22B95"/>
    <w:rsid w:val="00A2367A"/>
    <w:rsid w:val="00A26062"/>
    <w:rsid w:val="00A26AD1"/>
    <w:rsid w:val="00A27F84"/>
    <w:rsid w:val="00A32D90"/>
    <w:rsid w:val="00A32FC9"/>
    <w:rsid w:val="00A3344B"/>
    <w:rsid w:val="00A3353D"/>
    <w:rsid w:val="00A348B9"/>
    <w:rsid w:val="00A34951"/>
    <w:rsid w:val="00A34BFC"/>
    <w:rsid w:val="00A36D0F"/>
    <w:rsid w:val="00A41DDC"/>
    <w:rsid w:val="00A41FF7"/>
    <w:rsid w:val="00A42B3F"/>
    <w:rsid w:val="00A47868"/>
    <w:rsid w:val="00A504E6"/>
    <w:rsid w:val="00A50E87"/>
    <w:rsid w:val="00A5119C"/>
    <w:rsid w:val="00A52630"/>
    <w:rsid w:val="00A52645"/>
    <w:rsid w:val="00A52738"/>
    <w:rsid w:val="00A5416C"/>
    <w:rsid w:val="00A54A53"/>
    <w:rsid w:val="00A552FF"/>
    <w:rsid w:val="00A55D23"/>
    <w:rsid w:val="00A56138"/>
    <w:rsid w:val="00A56C48"/>
    <w:rsid w:val="00A60D1B"/>
    <w:rsid w:val="00A6162D"/>
    <w:rsid w:val="00A61828"/>
    <w:rsid w:val="00A63B5B"/>
    <w:rsid w:val="00A677E8"/>
    <w:rsid w:val="00A70CC6"/>
    <w:rsid w:val="00A71A59"/>
    <w:rsid w:val="00A72606"/>
    <w:rsid w:val="00A72676"/>
    <w:rsid w:val="00A72983"/>
    <w:rsid w:val="00A7386D"/>
    <w:rsid w:val="00A741B8"/>
    <w:rsid w:val="00A745AC"/>
    <w:rsid w:val="00A75858"/>
    <w:rsid w:val="00A76214"/>
    <w:rsid w:val="00A765A1"/>
    <w:rsid w:val="00A77DAF"/>
    <w:rsid w:val="00A82502"/>
    <w:rsid w:val="00A83748"/>
    <w:rsid w:val="00A84CC0"/>
    <w:rsid w:val="00A85000"/>
    <w:rsid w:val="00A85640"/>
    <w:rsid w:val="00A869A0"/>
    <w:rsid w:val="00A86BB4"/>
    <w:rsid w:val="00A90294"/>
    <w:rsid w:val="00A90974"/>
    <w:rsid w:val="00A91E39"/>
    <w:rsid w:val="00A92759"/>
    <w:rsid w:val="00A93631"/>
    <w:rsid w:val="00A93E46"/>
    <w:rsid w:val="00A94400"/>
    <w:rsid w:val="00A948FD"/>
    <w:rsid w:val="00A94E5C"/>
    <w:rsid w:val="00A959D1"/>
    <w:rsid w:val="00A961C8"/>
    <w:rsid w:val="00AA0645"/>
    <w:rsid w:val="00AA0B2E"/>
    <w:rsid w:val="00AA1721"/>
    <w:rsid w:val="00AA2A81"/>
    <w:rsid w:val="00AA36BA"/>
    <w:rsid w:val="00AA40E4"/>
    <w:rsid w:val="00AA43DE"/>
    <w:rsid w:val="00AA5BDC"/>
    <w:rsid w:val="00AA5D61"/>
    <w:rsid w:val="00AA723A"/>
    <w:rsid w:val="00AA7A6D"/>
    <w:rsid w:val="00AA7A7C"/>
    <w:rsid w:val="00AB0D0E"/>
    <w:rsid w:val="00AB2A23"/>
    <w:rsid w:val="00AB2C2E"/>
    <w:rsid w:val="00AB3D54"/>
    <w:rsid w:val="00AB48F9"/>
    <w:rsid w:val="00AB4D98"/>
    <w:rsid w:val="00AB558E"/>
    <w:rsid w:val="00AB5A7B"/>
    <w:rsid w:val="00AB5C78"/>
    <w:rsid w:val="00AB652F"/>
    <w:rsid w:val="00AB6CCF"/>
    <w:rsid w:val="00AB75A3"/>
    <w:rsid w:val="00AB7764"/>
    <w:rsid w:val="00AB7FD1"/>
    <w:rsid w:val="00AC0031"/>
    <w:rsid w:val="00AC190C"/>
    <w:rsid w:val="00AC1953"/>
    <w:rsid w:val="00AC359D"/>
    <w:rsid w:val="00AC51B0"/>
    <w:rsid w:val="00AC5E07"/>
    <w:rsid w:val="00AC672C"/>
    <w:rsid w:val="00AC7CF0"/>
    <w:rsid w:val="00AC7E13"/>
    <w:rsid w:val="00AD0B05"/>
    <w:rsid w:val="00AD2849"/>
    <w:rsid w:val="00AD3E9D"/>
    <w:rsid w:val="00AD4303"/>
    <w:rsid w:val="00AD45E8"/>
    <w:rsid w:val="00AD5AA0"/>
    <w:rsid w:val="00AD6778"/>
    <w:rsid w:val="00AD758B"/>
    <w:rsid w:val="00AE0D1B"/>
    <w:rsid w:val="00AE2481"/>
    <w:rsid w:val="00AE2F3D"/>
    <w:rsid w:val="00AE3A7A"/>
    <w:rsid w:val="00AE57B1"/>
    <w:rsid w:val="00AE5858"/>
    <w:rsid w:val="00AE5FEA"/>
    <w:rsid w:val="00AE6727"/>
    <w:rsid w:val="00AE74C2"/>
    <w:rsid w:val="00AE7526"/>
    <w:rsid w:val="00AF0FF6"/>
    <w:rsid w:val="00AF1356"/>
    <w:rsid w:val="00AF1F76"/>
    <w:rsid w:val="00AF241E"/>
    <w:rsid w:val="00AF2D02"/>
    <w:rsid w:val="00AF4B75"/>
    <w:rsid w:val="00AF54EF"/>
    <w:rsid w:val="00AF5C79"/>
    <w:rsid w:val="00AF5C8D"/>
    <w:rsid w:val="00AF77E9"/>
    <w:rsid w:val="00AF7AAC"/>
    <w:rsid w:val="00B00F25"/>
    <w:rsid w:val="00B01272"/>
    <w:rsid w:val="00B02F8E"/>
    <w:rsid w:val="00B046E3"/>
    <w:rsid w:val="00B04C54"/>
    <w:rsid w:val="00B101D2"/>
    <w:rsid w:val="00B10BE9"/>
    <w:rsid w:val="00B12FFF"/>
    <w:rsid w:val="00B1372B"/>
    <w:rsid w:val="00B13880"/>
    <w:rsid w:val="00B13AA9"/>
    <w:rsid w:val="00B13E07"/>
    <w:rsid w:val="00B14404"/>
    <w:rsid w:val="00B14455"/>
    <w:rsid w:val="00B14A08"/>
    <w:rsid w:val="00B14C07"/>
    <w:rsid w:val="00B14E12"/>
    <w:rsid w:val="00B1621A"/>
    <w:rsid w:val="00B16AE4"/>
    <w:rsid w:val="00B16F70"/>
    <w:rsid w:val="00B22A36"/>
    <w:rsid w:val="00B25B45"/>
    <w:rsid w:val="00B25C3D"/>
    <w:rsid w:val="00B25E95"/>
    <w:rsid w:val="00B2605D"/>
    <w:rsid w:val="00B27642"/>
    <w:rsid w:val="00B27B51"/>
    <w:rsid w:val="00B32A57"/>
    <w:rsid w:val="00B33955"/>
    <w:rsid w:val="00B35CF8"/>
    <w:rsid w:val="00B35D9B"/>
    <w:rsid w:val="00B37AA7"/>
    <w:rsid w:val="00B37B9D"/>
    <w:rsid w:val="00B400FA"/>
    <w:rsid w:val="00B403A0"/>
    <w:rsid w:val="00B4091D"/>
    <w:rsid w:val="00B42A88"/>
    <w:rsid w:val="00B4362D"/>
    <w:rsid w:val="00B43EB9"/>
    <w:rsid w:val="00B44792"/>
    <w:rsid w:val="00B44B57"/>
    <w:rsid w:val="00B44F01"/>
    <w:rsid w:val="00B460BE"/>
    <w:rsid w:val="00B51C8A"/>
    <w:rsid w:val="00B52C41"/>
    <w:rsid w:val="00B52F1E"/>
    <w:rsid w:val="00B5432E"/>
    <w:rsid w:val="00B5526E"/>
    <w:rsid w:val="00B555FC"/>
    <w:rsid w:val="00B55856"/>
    <w:rsid w:val="00B57A15"/>
    <w:rsid w:val="00B6478A"/>
    <w:rsid w:val="00B6524B"/>
    <w:rsid w:val="00B66103"/>
    <w:rsid w:val="00B6671E"/>
    <w:rsid w:val="00B67827"/>
    <w:rsid w:val="00B67B46"/>
    <w:rsid w:val="00B707A3"/>
    <w:rsid w:val="00B74B30"/>
    <w:rsid w:val="00B74CC1"/>
    <w:rsid w:val="00B74FC9"/>
    <w:rsid w:val="00B75FB7"/>
    <w:rsid w:val="00B7702A"/>
    <w:rsid w:val="00B7743E"/>
    <w:rsid w:val="00B77A28"/>
    <w:rsid w:val="00B80570"/>
    <w:rsid w:val="00B81B94"/>
    <w:rsid w:val="00B82396"/>
    <w:rsid w:val="00B82A57"/>
    <w:rsid w:val="00B84FB0"/>
    <w:rsid w:val="00B87653"/>
    <w:rsid w:val="00B87C4D"/>
    <w:rsid w:val="00B90354"/>
    <w:rsid w:val="00B9103D"/>
    <w:rsid w:val="00B9143B"/>
    <w:rsid w:val="00B91521"/>
    <w:rsid w:val="00B915E0"/>
    <w:rsid w:val="00B91750"/>
    <w:rsid w:val="00B92AA5"/>
    <w:rsid w:val="00B92C14"/>
    <w:rsid w:val="00B958DE"/>
    <w:rsid w:val="00B967B7"/>
    <w:rsid w:val="00B971E0"/>
    <w:rsid w:val="00BA12B1"/>
    <w:rsid w:val="00BA15D1"/>
    <w:rsid w:val="00BA1DA2"/>
    <w:rsid w:val="00BA2989"/>
    <w:rsid w:val="00BA2E1E"/>
    <w:rsid w:val="00BA4E44"/>
    <w:rsid w:val="00BA4FD9"/>
    <w:rsid w:val="00BA71B7"/>
    <w:rsid w:val="00BA770C"/>
    <w:rsid w:val="00BA7C6B"/>
    <w:rsid w:val="00BB07E6"/>
    <w:rsid w:val="00BB1C6A"/>
    <w:rsid w:val="00BB1F5D"/>
    <w:rsid w:val="00BB2EED"/>
    <w:rsid w:val="00BB3630"/>
    <w:rsid w:val="00BB62CB"/>
    <w:rsid w:val="00BB68C5"/>
    <w:rsid w:val="00BB6996"/>
    <w:rsid w:val="00BB6A3E"/>
    <w:rsid w:val="00BB6BFB"/>
    <w:rsid w:val="00BB6E60"/>
    <w:rsid w:val="00BB73DD"/>
    <w:rsid w:val="00BB7636"/>
    <w:rsid w:val="00BB7E82"/>
    <w:rsid w:val="00BC064C"/>
    <w:rsid w:val="00BC39D9"/>
    <w:rsid w:val="00BC3E60"/>
    <w:rsid w:val="00BC42BE"/>
    <w:rsid w:val="00BC693B"/>
    <w:rsid w:val="00BC71CB"/>
    <w:rsid w:val="00BC78D4"/>
    <w:rsid w:val="00BD2C46"/>
    <w:rsid w:val="00BD36AC"/>
    <w:rsid w:val="00BD50F6"/>
    <w:rsid w:val="00BE19FB"/>
    <w:rsid w:val="00BE1C14"/>
    <w:rsid w:val="00BE3B67"/>
    <w:rsid w:val="00BE3E48"/>
    <w:rsid w:val="00BE4374"/>
    <w:rsid w:val="00BE49E6"/>
    <w:rsid w:val="00BE5AAA"/>
    <w:rsid w:val="00BE60C7"/>
    <w:rsid w:val="00BE7C5B"/>
    <w:rsid w:val="00BE7E9E"/>
    <w:rsid w:val="00BF1454"/>
    <w:rsid w:val="00BF16CD"/>
    <w:rsid w:val="00BF240C"/>
    <w:rsid w:val="00BF4FC8"/>
    <w:rsid w:val="00BF56CF"/>
    <w:rsid w:val="00BF5BEE"/>
    <w:rsid w:val="00BF6BAF"/>
    <w:rsid w:val="00BF78CD"/>
    <w:rsid w:val="00C011F1"/>
    <w:rsid w:val="00C02D45"/>
    <w:rsid w:val="00C032C8"/>
    <w:rsid w:val="00C03D5F"/>
    <w:rsid w:val="00C0456F"/>
    <w:rsid w:val="00C045BD"/>
    <w:rsid w:val="00C053BB"/>
    <w:rsid w:val="00C06448"/>
    <w:rsid w:val="00C06FE1"/>
    <w:rsid w:val="00C072DA"/>
    <w:rsid w:val="00C077E1"/>
    <w:rsid w:val="00C11736"/>
    <w:rsid w:val="00C1277A"/>
    <w:rsid w:val="00C12DF6"/>
    <w:rsid w:val="00C14DFC"/>
    <w:rsid w:val="00C15A4F"/>
    <w:rsid w:val="00C15D7C"/>
    <w:rsid w:val="00C15E4A"/>
    <w:rsid w:val="00C15FFE"/>
    <w:rsid w:val="00C214F6"/>
    <w:rsid w:val="00C22C0F"/>
    <w:rsid w:val="00C22D3D"/>
    <w:rsid w:val="00C23936"/>
    <w:rsid w:val="00C243D5"/>
    <w:rsid w:val="00C2631C"/>
    <w:rsid w:val="00C268D9"/>
    <w:rsid w:val="00C274C8"/>
    <w:rsid w:val="00C30211"/>
    <w:rsid w:val="00C3128D"/>
    <w:rsid w:val="00C32F7C"/>
    <w:rsid w:val="00C3378D"/>
    <w:rsid w:val="00C33CC4"/>
    <w:rsid w:val="00C33EDE"/>
    <w:rsid w:val="00C34401"/>
    <w:rsid w:val="00C34511"/>
    <w:rsid w:val="00C37585"/>
    <w:rsid w:val="00C4162E"/>
    <w:rsid w:val="00C435AE"/>
    <w:rsid w:val="00C43C32"/>
    <w:rsid w:val="00C43EA7"/>
    <w:rsid w:val="00C44283"/>
    <w:rsid w:val="00C508E0"/>
    <w:rsid w:val="00C50AEA"/>
    <w:rsid w:val="00C52579"/>
    <w:rsid w:val="00C52D81"/>
    <w:rsid w:val="00C54911"/>
    <w:rsid w:val="00C55EE7"/>
    <w:rsid w:val="00C57511"/>
    <w:rsid w:val="00C5775C"/>
    <w:rsid w:val="00C57DD1"/>
    <w:rsid w:val="00C62020"/>
    <w:rsid w:val="00C6234C"/>
    <w:rsid w:val="00C63BCB"/>
    <w:rsid w:val="00C658F8"/>
    <w:rsid w:val="00C66CFF"/>
    <w:rsid w:val="00C66FE0"/>
    <w:rsid w:val="00C678CB"/>
    <w:rsid w:val="00C67FA7"/>
    <w:rsid w:val="00C70B60"/>
    <w:rsid w:val="00C70B88"/>
    <w:rsid w:val="00C70DDE"/>
    <w:rsid w:val="00C71026"/>
    <w:rsid w:val="00C730E1"/>
    <w:rsid w:val="00C74B86"/>
    <w:rsid w:val="00C752D5"/>
    <w:rsid w:val="00C75714"/>
    <w:rsid w:val="00C77BE0"/>
    <w:rsid w:val="00C77E9E"/>
    <w:rsid w:val="00C77EDD"/>
    <w:rsid w:val="00C800FF"/>
    <w:rsid w:val="00C80904"/>
    <w:rsid w:val="00C8126B"/>
    <w:rsid w:val="00C816F1"/>
    <w:rsid w:val="00C82166"/>
    <w:rsid w:val="00C82499"/>
    <w:rsid w:val="00C8303F"/>
    <w:rsid w:val="00C83DA3"/>
    <w:rsid w:val="00C85AC0"/>
    <w:rsid w:val="00C86E45"/>
    <w:rsid w:val="00C87558"/>
    <w:rsid w:val="00C90AC3"/>
    <w:rsid w:val="00C90C41"/>
    <w:rsid w:val="00C914C0"/>
    <w:rsid w:val="00C9240C"/>
    <w:rsid w:val="00C93249"/>
    <w:rsid w:val="00C93C87"/>
    <w:rsid w:val="00C950D3"/>
    <w:rsid w:val="00C95961"/>
    <w:rsid w:val="00C9675F"/>
    <w:rsid w:val="00C96EC2"/>
    <w:rsid w:val="00C97BA4"/>
    <w:rsid w:val="00C97F51"/>
    <w:rsid w:val="00CA17AF"/>
    <w:rsid w:val="00CA272A"/>
    <w:rsid w:val="00CA39DA"/>
    <w:rsid w:val="00CA3A88"/>
    <w:rsid w:val="00CA61E1"/>
    <w:rsid w:val="00CA7353"/>
    <w:rsid w:val="00CA73F3"/>
    <w:rsid w:val="00CA7519"/>
    <w:rsid w:val="00CA789F"/>
    <w:rsid w:val="00CB2580"/>
    <w:rsid w:val="00CB260F"/>
    <w:rsid w:val="00CB2DBD"/>
    <w:rsid w:val="00CB33A3"/>
    <w:rsid w:val="00CB3AE4"/>
    <w:rsid w:val="00CB3CA2"/>
    <w:rsid w:val="00CB3D4B"/>
    <w:rsid w:val="00CB57E6"/>
    <w:rsid w:val="00CB7468"/>
    <w:rsid w:val="00CC0529"/>
    <w:rsid w:val="00CC0687"/>
    <w:rsid w:val="00CC0B40"/>
    <w:rsid w:val="00CC1247"/>
    <w:rsid w:val="00CC2169"/>
    <w:rsid w:val="00CC24F0"/>
    <w:rsid w:val="00CC4A60"/>
    <w:rsid w:val="00CC5138"/>
    <w:rsid w:val="00CC5FDF"/>
    <w:rsid w:val="00CC797B"/>
    <w:rsid w:val="00CC7A5D"/>
    <w:rsid w:val="00CD00FF"/>
    <w:rsid w:val="00CD02A2"/>
    <w:rsid w:val="00CD0E89"/>
    <w:rsid w:val="00CD6FF3"/>
    <w:rsid w:val="00CD7D51"/>
    <w:rsid w:val="00CE0764"/>
    <w:rsid w:val="00CE1777"/>
    <w:rsid w:val="00CE2A31"/>
    <w:rsid w:val="00CE3202"/>
    <w:rsid w:val="00CE3291"/>
    <w:rsid w:val="00CE39B2"/>
    <w:rsid w:val="00CE4281"/>
    <w:rsid w:val="00CE4350"/>
    <w:rsid w:val="00CE492C"/>
    <w:rsid w:val="00CE547A"/>
    <w:rsid w:val="00CE5B55"/>
    <w:rsid w:val="00CE7510"/>
    <w:rsid w:val="00CE7C8B"/>
    <w:rsid w:val="00CF0E18"/>
    <w:rsid w:val="00CF2C2A"/>
    <w:rsid w:val="00CF4A9B"/>
    <w:rsid w:val="00CF4F31"/>
    <w:rsid w:val="00CF5236"/>
    <w:rsid w:val="00CF5815"/>
    <w:rsid w:val="00CF5971"/>
    <w:rsid w:val="00CF59D5"/>
    <w:rsid w:val="00CF6138"/>
    <w:rsid w:val="00CF64AE"/>
    <w:rsid w:val="00CF6549"/>
    <w:rsid w:val="00CF79B5"/>
    <w:rsid w:val="00D004F8"/>
    <w:rsid w:val="00D00567"/>
    <w:rsid w:val="00D0278F"/>
    <w:rsid w:val="00D04046"/>
    <w:rsid w:val="00D04AF9"/>
    <w:rsid w:val="00D04F4A"/>
    <w:rsid w:val="00D04F58"/>
    <w:rsid w:val="00D0598A"/>
    <w:rsid w:val="00D05C2C"/>
    <w:rsid w:val="00D0651E"/>
    <w:rsid w:val="00D06897"/>
    <w:rsid w:val="00D074B9"/>
    <w:rsid w:val="00D07AE4"/>
    <w:rsid w:val="00D07B53"/>
    <w:rsid w:val="00D102B7"/>
    <w:rsid w:val="00D11427"/>
    <w:rsid w:val="00D1226D"/>
    <w:rsid w:val="00D122B8"/>
    <w:rsid w:val="00D125B4"/>
    <w:rsid w:val="00D12A05"/>
    <w:rsid w:val="00D13128"/>
    <w:rsid w:val="00D13219"/>
    <w:rsid w:val="00D135D1"/>
    <w:rsid w:val="00D16099"/>
    <w:rsid w:val="00D1648A"/>
    <w:rsid w:val="00D16A05"/>
    <w:rsid w:val="00D16B8E"/>
    <w:rsid w:val="00D170B0"/>
    <w:rsid w:val="00D170F9"/>
    <w:rsid w:val="00D176D9"/>
    <w:rsid w:val="00D17A0F"/>
    <w:rsid w:val="00D20C12"/>
    <w:rsid w:val="00D22F6C"/>
    <w:rsid w:val="00D2302F"/>
    <w:rsid w:val="00D2310E"/>
    <w:rsid w:val="00D23923"/>
    <w:rsid w:val="00D24D4E"/>
    <w:rsid w:val="00D26833"/>
    <w:rsid w:val="00D30E19"/>
    <w:rsid w:val="00D32A32"/>
    <w:rsid w:val="00D32D43"/>
    <w:rsid w:val="00D331C1"/>
    <w:rsid w:val="00D34C5A"/>
    <w:rsid w:val="00D35972"/>
    <w:rsid w:val="00D3648B"/>
    <w:rsid w:val="00D36964"/>
    <w:rsid w:val="00D36DF5"/>
    <w:rsid w:val="00D4119A"/>
    <w:rsid w:val="00D41B61"/>
    <w:rsid w:val="00D42955"/>
    <w:rsid w:val="00D43215"/>
    <w:rsid w:val="00D438B3"/>
    <w:rsid w:val="00D4481D"/>
    <w:rsid w:val="00D44A25"/>
    <w:rsid w:val="00D44A8F"/>
    <w:rsid w:val="00D44E2C"/>
    <w:rsid w:val="00D46A55"/>
    <w:rsid w:val="00D4767C"/>
    <w:rsid w:val="00D50509"/>
    <w:rsid w:val="00D528FE"/>
    <w:rsid w:val="00D5390E"/>
    <w:rsid w:val="00D53E59"/>
    <w:rsid w:val="00D55DAB"/>
    <w:rsid w:val="00D57FC6"/>
    <w:rsid w:val="00D60017"/>
    <w:rsid w:val="00D60DC2"/>
    <w:rsid w:val="00D6194C"/>
    <w:rsid w:val="00D627CF"/>
    <w:rsid w:val="00D662F7"/>
    <w:rsid w:val="00D6644B"/>
    <w:rsid w:val="00D66C2A"/>
    <w:rsid w:val="00D6767A"/>
    <w:rsid w:val="00D700C1"/>
    <w:rsid w:val="00D703CE"/>
    <w:rsid w:val="00D70662"/>
    <w:rsid w:val="00D70DCC"/>
    <w:rsid w:val="00D72533"/>
    <w:rsid w:val="00D735AD"/>
    <w:rsid w:val="00D73936"/>
    <w:rsid w:val="00D76772"/>
    <w:rsid w:val="00D77B44"/>
    <w:rsid w:val="00D804B9"/>
    <w:rsid w:val="00D80862"/>
    <w:rsid w:val="00D80A59"/>
    <w:rsid w:val="00D80D52"/>
    <w:rsid w:val="00D80E90"/>
    <w:rsid w:val="00D82417"/>
    <w:rsid w:val="00D8295B"/>
    <w:rsid w:val="00D82C95"/>
    <w:rsid w:val="00D83128"/>
    <w:rsid w:val="00D832FC"/>
    <w:rsid w:val="00D83533"/>
    <w:rsid w:val="00D836BB"/>
    <w:rsid w:val="00D87851"/>
    <w:rsid w:val="00D91526"/>
    <w:rsid w:val="00D91A26"/>
    <w:rsid w:val="00D928C1"/>
    <w:rsid w:val="00D928FD"/>
    <w:rsid w:val="00D93066"/>
    <w:rsid w:val="00D930EB"/>
    <w:rsid w:val="00D93A20"/>
    <w:rsid w:val="00D95978"/>
    <w:rsid w:val="00D96502"/>
    <w:rsid w:val="00D97F4B"/>
    <w:rsid w:val="00DA04BD"/>
    <w:rsid w:val="00DA09EC"/>
    <w:rsid w:val="00DA1C42"/>
    <w:rsid w:val="00DA314F"/>
    <w:rsid w:val="00DA4214"/>
    <w:rsid w:val="00DA4B3D"/>
    <w:rsid w:val="00DA4F0A"/>
    <w:rsid w:val="00DA52F2"/>
    <w:rsid w:val="00DA58C3"/>
    <w:rsid w:val="00DA5DC0"/>
    <w:rsid w:val="00DA70AB"/>
    <w:rsid w:val="00DB0D5B"/>
    <w:rsid w:val="00DB1083"/>
    <w:rsid w:val="00DB2B15"/>
    <w:rsid w:val="00DB4086"/>
    <w:rsid w:val="00DB448C"/>
    <w:rsid w:val="00DB4F17"/>
    <w:rsid w:val="00DB5BA7"/>
    <w:rsid w:val="00DB5C27"/>
    <w:rsid w:val="00DB60DB"/>
    <w:rsid w:val="00DB7285"/>
    <w:rsid w:val="00DB73CB"/>
    <w:rsid w:val="00DB7FEA"/>
    <w:rsid w:val="00DC0096"/>
    <w:rsid w:val="00DC0FEA"/>
    <w:rsid w:val="00DC137F"/>
    <w:rsid w:val="00DC1DBA"/>
    <w:rsid w:val="00DC261E"/>
    <w:rsid w:val="00DC3B03"/>
    <w:rsid w:val="00DC5A2A"/>
    <w:rsid w:val="00DD0360"/>
    <w:rsid w:val="00DD0379"/>
    <w:rsid w:val="00DD0B4C"/>
    <w:rsid w:val="00DD3A59"/>
    <w:rsid w:val="00DD53B2"/>
    <w:rsid w:val="00DD5621"/>
    <w:rsid w:val="00DE0045"/>
    <w:rsid w:val="00DE0BD4"/>
    <w:rsid w:val="00DE11CA"/>
    <w:rsid w:val="00DE3537"/>
    <w:rsid w:val="00DE5466"/>
    <w:rsid w:val="00DE5BAD"/>
    <w:rsid w:val="00DE781A"/>
    <w:rsid w:val="00DE7E86"/>
    <w:rsid w:val="00DE7EBD"/>
    <w:rsid w:val="00DF15F6"/>
    <w:rsid w:val="00DF18E3"/>
    <w:rsid w:val="00DF1CF3"/>
    <w:rsid w:val="00DF3445"/>
    <w:rsid w:val="00DF3EF6"/>
    <w:rsid w:val="00DF4172"/>
    <w:rsid w:val="00DF4490"/>
    <w:rsid w:val="00E0046B"/>
    <w:rsid w:val="00E0055B"/>
    <w:rsid w:val="00E0417D"/>
    <w:rsid w:val="00E04E82"/>
    <w:rsid w:val="00E04F19"/>
    <w:rsid w:val="00E04FF3"/>
    <w:rsid w:val="00E05327"/>
    <w:rsid w:val="00E05DB7"/>
    <w:rsid w:val="00E0630B"/>
    <w:rsid w:val="00E11439"/>
    <w:rsid w:val="00E12E2A"/>
    <w:rsid w:val="00E13275"/>
    <w:rsid w:val="00E13688"/>
    <w:rsid w:val="00E142BF"/>
    <w:rsid w:val="00E14A72"/>
    <w:rsid w:val="00E14A8C"/>
    <w:rsid w:val="00E15479"/>
    <w:rsid w:val="00E155EB"/>
    <w:rsid w:val="00E15891"/>
    <w:rsid w:val="00E1593E"/>
    <w:rsid w:val="00E165A0"/>
    <w:rsid w:val="00E1793D"/>
    <w:rsid w:val="00E17F3A"/>
    <w:rsid w:val="00E201E2"/>
    <w:rsid w:val="00E210C2"/>
    <w:rsid w:val="00E216B8"/>
    <w:rsid w:val="00E22C01"/>
    <w:rsid w:val="00E2412C"/>
    <w:rsid w:val="00E24DFF"/>
    <w:rsid w:val="00E25066"/>
    <w:rsid w:val="00E274C8"/>
    <w:rsid w:val="00E31D9C"/>
    <w:rsid w:val="00E3205A"/>
    <w:rsid w:val="00E3234A"/>
    <w:rsid w:val="00E32D40"/>
    <w:rsid w:val="00E34A3B"/>
    <w:rsid w:val="00E35588"/>
    <w:rsid w:val="00E35BD4"/>
    <w:rsid w:val="00E365FB"/>
    <w:rsid w:val="00E36790"/>
    <w:rsid w:val="00E37838"/>
    <w:rsid w:val="00E3792D"/>
    <w:rsid w:val="00E40309"/>
    <w:rsid w:val="00E40526"/>
    <w:rsid w:val="00E40E01"/>
    <w:rsid w:val="00E41170"/>
    <w:rsid w:val="00E415A4"/>
    <w:rsid w:val="00E41B03"/>
    <w:rsid w:val="00E420A3"/>
    <w:rsid w:val="00E440F9"/>
    <w:rsid w:val="00E45450"/>
    <w:rsid w:val="00E45626"/>
    <w:rsid w:val="00E4577B"/>
    <w:rsid w:val="00E45D7D"/>
    <w:rsid w:val="00E46176"/>
    <w:rsid w:val="00E46F77"/>
    <w:rsid w:val="00E50772"/>
    <w:rsid w:val="00E511D3"/>
    <w:rsid w:val="00E51E66"/>
    <w:rsid w:val="00E52E74"/>
    <w:rsid w:val="00E53CCC"/>
    <w:rsid w:val="00E606C5"/>
    <w:rsid w:val="00E613AA"/>
    <w:rsid w:val="00E62077"/>
    <w:rsid w:val="00E621B4"/>
    <w:rsid w:val="00E6252C"/>
    <w:rsid w:val="00E62DF7"/>
    <w:rsid w:val="00E63DC5"/>
    <w:rsid w:val="00E64694"/>
    <w:rsid w:val="00E64E85"/>
    <w:rsid w:val="00E6558B"/>
    <w:rsid w:val="00E65663"/>
    <w:rsid w:val="00E656CC"/>
    <w:rsid w:val="00E65F4B"/>
    <w:rsid w:val="00E67F18"/>
    <w:rsid w:val="00E70D65"/>
    <w:rsid w:val="00E7170B"/>
    <w:rsid w:val="00E73775"/>
    <w:rsid w:val="00E7406A"/>
    <w:rsid w:val="00E7534E"/>
    <w:rsid w:val="00E76D70"/>
    <w:rsid w:val="00E80883"/>
    <w:rsid w:val="00E82494"/>
    <w:rsid w:val="00E83322"/>
    <w:rsid w:val="00E840E4"/>
    <w:rsid w:val="00E84355"/>
    <w:rsid w:val="00E85074"/>
    <w:rsid w:val="00E85675"/>
    <w:rsid w:val="00E929A1"/>
    <w:rsid w:val="00E92C3D"/>
    <w:rsid w:val="00E92DC7"/>
    <w:rsid w:val="00E947B0"/>
    <w:rsid w:val="00E9559D"/>
    <w:rsid w:val="00E976CD"/>
    <w:rsid w:val="00EA08B8"/>
    <w:rsid w:val="00EA091F"/>
    <w:rsid w:val="00EA3106"/>
    <w:rsid w:val="00EA3499"/>
    <w:rsid w:val="00EA37F2"/>
    <w:rsid w:val="00EA3A1C"/>
    <w:rsid w:val="00EA4443"/>
    <w:rsid w:val="00EA454C"/>
    <w:rsid w:val="00EA5015"/>
    <w:rsid w:val="00EA501F"/>
    <w:rsid w:val="00EA6020"/>
    <w:rsid w:val="00EA7E79"/>
    <w:rsid w:val="00EB0EAC"/>
    <w:rsid w:val="00EB3727"/>
    <w:rsid w:val="00EB3AAC"/>
    <w:rsid w:val="00EB43E4"/>
    <w:rsid w:val="00EB45D1"/>
    <w:rsid w:val="00EB49BF"/>
    <w:rsid w:val="00EB50AD"/>
    <w:rsid w:val="00EB5158"/>
    <w:rsid w:val="00EB6B56"/>
    <w:rsid w:val="00EB7F7E"/>
    <w:rsid w:val="00EC0AD3"/>
    <w:rsid w:val="00EC12DA"/>
    <w:rsid w:val="00EC218D"/>
    <w:rsid w:val="00EC325A"/>
    <w:rsid w:val="00EC353A"/>
    <w:rsid w:val="00EC3847"/>
    <w:rsid w:val="00EC3D0A"/>
    <w:rsid w:val="00EC3EB4"/>
    <w:rsid w:val="00EC426C"/>
    <w:rsid w:val="00EC4A6F"/>
    <w:rsid w:val="00EC4DBA"/>
    <w:rsid w:val="00EC524C"/>
    <w:rsid w:val="00EC7133"/>
    <w:rsid w:val="00EC7212"/>
    <w:rsid w:val="00EC743D"/>
    <w:rsid w:val="00ED0F74"/>
    <w:rsid w:val="00ED1C66"/>
    <w:rsid w:val="00ED1F9E"/>
    <w:rsid w:val="00ED2695"/>
    <w:rsid w:val="00ED282A"/>
    <w:rsid w:val="00ED2FC2"/>
    <w:rsid w:val="00ED5B5A"/>
    <w:rsid w:val="00ED5E7D"/>
    <w:rsid w:val="00ED5E8C"/>
    <w:rsid w:val="00ED6530"/>
    <w:rsid w:val="00ED7E42"/>
    <w:rsid w:val="00EE036F"/>
    <w:rsid w:val="00EE0C6B"/>
    <w:rsid w:val="00EE264E"/>
    <w:rsid w:val="00EE32CC"/>
    <w:rsid w:val="00EE341E"/>
    <w:rsid w:val="00EE580A"/>
    <w:rsid w:val="00EE5B39"/>
    <w:rsid w:val="00EE6FEB"/>
    <w:rsid w:val="00EE7BEC"/>
    <w:rsid w:val="00EF01F8"/>
    <w:rsid w:val="00EF0339"/>
    <w:rsid w:val="00EF1EE9"/>
    <w:rsid w:val="00EF479C"/>
    <w:rsid w:val="00EF4DB9"/>
    <w:rsid w:val="00EF4F19"/>
    <w:rsid w:val="00EF78B8"/>
    <w:rsid w:val="00EF7F92"/>
    <w:rsid w:val="00F0041F"/>
    <w:rsid w:val="00F00560"/>
    <w:rsid w:val="00F00CF6"/>
    <w:rsid w:val="00F01A09"/>
    <w:rsid w:val="00F03E84"/>
    <w:rsid w:val="00F04AC9"/>
    <w:rsid w:val="00F05DF6"/>
    <w:rsid w:val="00F060C0"/>
    <w:rsid w:val="00F06FE7"/>
    <w:rsid w:val="00F0786F"/>
    <w:rsid w:val="00F1069D"/>
    <w:rsid w:val="00F10DC6"/>
    <w:rsid w:val="00F11969"/>
    <w:rsid w:val="00F119E4"/>
    <w:rsid w:val="00F136FC"/>
    <w:rsid w:val="00F13A24"/>
    <w:rsid w:val="00F1481D"/>
    <w:rsid w:val="00F15647"/>
    <w:rsid w:val="00F16310"/>
    <w:rsid w:val="00F16ED0"/>
    <w:rsid w:val="00F17EF1"/>
    <w:rsid w:val="00F17FE0"/>
    <w:rsid w:val="00F201C2"/>
    <w:rsid w:val="00F21429"/>
    <w:rsid w:val="00F21C70"/>
    <w:rsid w:val="00F2210C"/>
    <w:rsid w:val="00F2351E"/>
    <w:rsid w:val="00F24085"/>
    <w:rsid w:val="00F240BE"/>
    <w:rsid w:val="00F24C56"/>
    <w:rsid w:val="00F24F77"/>
    <w:rsid w:val="00F27002"/>
    <w:rsid w:val="00F2752D"/>
    <w:rsid w:val="00F27AF8"/>
    <w:rsid w:val="00F303B8"/>
    <w:rsid w:val="00F313E0"/>
    <w:rsid w:val="00F31FB9"/>
    <w:rsid w:val="00F331F5"/>
    <w:rsid w:val="00F33D71"/>
    <w:rsid w:val="00F3410E"/>
    <w:rsid w:val="00F341EC"/>
    <w:rsid w:val="00F35274"/>
    <w:rsid w:val="00F358C0"/>
    <w:rsid w:val="00F36450"/>
    <w:rsid w:val="00F400E3"/>
    <w:rsid w:val="00F4137F"/>
    <w:rsid w:val="00F41C64"/>
    <w:rsid w:val="00F43299"/>
    <w:rsid w:val="00F43C97"/>
    <w:rsid w:val="00F4451B"/>
    <w:rsid w:val="00F44ABC"/>
    <w:rsid w:val="00F44C63"/>
    <w:rsid w:val="00F4503D"/>
    <w:rsid w:val="00F45C55"/>
    <w:rsid w:val="00F467CE"/>
    <w:rsid w:val="00F47941"/>
    <w:rsid w:val="00F51353"/>
    <w:rsid w:val="00F51495"/>
    <w:rsid w:val="00F51899"/>
    <w:rsid w:val="00F51A84"/>
    <w:rsid w:val="00F54A49"/>
    <w:rsid w:val="00F57886"/>
    <w:rsid w:val="00F61B30"/>
    <w:rsid w:val="00F62B0C"/>
    <w:rsid w:val="00F62C51"/>
    <w:rsid w:val="00F6300C"/>
    <w:rsid w:val="00F657D9"/>
    <w:rsid w:val="00F66137"/>
    <w:rsid w:val="00F70480"/>
    <w:rsid w:val="00F721D0"/>
    <w:rsid w:val="00F7500D"/>
    <w:rsid w:val="00F75DF9"/>
    <w:rsid w:val="00F7662E"/>
    <w:rsid w:val="00F80505"/>
    <w:rsid w:val="00F80523"/>
    <w:rsid w:val="00F80766"/>
    <w:rsid w:val="00F808A4"/>
    <w:rsid w:val="00F81317"/>
    <w:rsid w:val="00F81633"/>
    <w:rsid w:val="00F8172F"/>
    <w:rsid w:val="00F8190F"/>
    <w:rsid w:val="00F82994"/>
    <w:rsid w:val="00F8483C"/>
    <w:rsid w:val="00F84E36"/>
    <w:rsid w:val="00F85AB2"/>
    <w:rsid w:val="00F85F5C"/>
    <w:rsid w:val="00F85F94"/>
    <w:rsid w:val="00F87F13"/>
    <w:rsid w:val="00F87F51"/>
    <w:rsid w:val="00F90845"/>
    <w:rsid w:val="00F913E6"/>
    <w:rsid w:val="00F92033"/>
    <w:rsid w:val="00F92F8F"/>
    <w:rsid w:val="00F93ADA"/>
    <w:rsid w:val="00F94FF7"/>
    <w:rsid w:val="00F96AEB"/>
    <w:rsid w:val="00FA02F9"/>
    <w:rsid w:val="00FA06FB"/>
    <w:rsid w:val="00FA0DA3"/>
    <w:rsid w:val="00FA120D"/>
    <w:rsid w:val="00FA13F9"/>
    <w:rsid w:val="00FA2878"/>
    <w:rsid w:val="00FA4B0D"/>
    <w:rsid w:val="00FA5040"/>
    <w:rsid w:val="00FA7959"/>
    <w:rsid w:val="00FB0E74"/>
    <w:rsid w:val="00FB18A1"/>
    <w:rsid w:val="00FB1B51"/>
    <w:rsid w:val="00FB1C3B"/>
    <w:rsid w:val="00FB26BB"/>
    <w:rsid w:val="00FB275C"/>
    <w:rsid w:val="00FB28A8"/>
    <w:rsid w:val="00FB2C49"/>
    <w:rsid w:val="00FB3440"/>
    <w:rsid w:val="00FB391C"/>
    <w:rsid w:val="00FB4D5B"/>
    <w:rsid w:val="00FB5FF8"/>
    <w:rsid w:val="00FB7AEE"/>
    <w:rsid w:val="00FB7CE9"/>
    <w:rsid w:val="00FC15FB"/>
    <w:rsid w:val="00FC22DD"/>
    <w:rsid w:val="00FC24F4"/>
    <w:rsid w:val="00FC2EBE"/>
    <w:rsid w:val="00FC6482"/>
    <w:rsid w:val="00FC6E85"/>
    <w:rsid w:val="00FD1DAA"/>
    <w:rsid w:val="00FD2083"/>
    <w:rsid w:val="00FD343D"/>
    <w:rsid w:val="00FD34DF"/>
    <w:rsid w:val="00FD38FA"/>
    <w:rsid w:val="00FD3F4A"/>
    <w:rsid w:val="00FD42DF"/>
    <w:rsid w:val="00FD472C"/>
    <w:rsid w:val="00FD5CB0"/>
    <w:rsid w:val="00FD5E8A"/>
    <w:rsid w:val="00FD5F89"/>
    <w:rsid w:val="00FD7098"/>
    <w:rsid w:val="00FD7E39"/>
    <w:rsid w:val="00FE032D"/>
    <w:rsid w:val="00FE0449"/>
    <w:rsid w:val="00FE17E2"/>
    <w:rsid w:val="00FE1F72"/>
    <w:rsid w:val="00FE2E33"/>
    <w:rsid w:val="00FE6C55"/>
    <w:rsid w:val="00FE6FD2"/>
    <w:rsid w:val="00FE7B5A"/>
    <w:rsid w:val="00FF0067"/>
    <w:rsid w:val="00FF0B6A"/>
    <w:rsid w:val="00FF0B79"/>
    <w:rsid w:val="00FF21C2"/>
    <w:rsid w:val="00FF579C"/>
    <w:rsid w:val="00FF60A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84321"/>
    <o:shapelayout v:ext="edit">
      <o:idmap v:ext="edit" data="1"/>
    </o:shapelayout>
  </w:shapeDefaults>
  <w:decimalSymbol w:val="."/>
  <w:listSeparator w:val=","/>
  <w14:docId w14:val="1B479A88"/>
  <w15:docId w15:val="{AE972B06-A3DB-4E43-BE53-4EFE6CB17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767E"/>
  </w:style>
  <w:style w:type="paragraph" w:styleId="Heading1">
    <w:name w:val="heading 1"/>
    <w:basedOn w:val="Normal"/>
    <w:next w:val="Normal"/>
    <w:link w:val="Heading1Char"/>
    <w:autoRedefine/>
    <w:uiPriority w:val="9"/>
    <w:qFormat/>
    <w:rsid w:val="00AB4D98"/>
    <w:pPr>
      <w:keepNext/>
      <w:keepLines/>
      <w:spacing w:before="480" w:after="0" w:line="360" w:lineRule="auto"/>
      <w:outlineLvl w:val="0"/>
    </w:pPr>
    <w:rPr>
      <w:rFonts w:eastAsiaTheme="majorEastAsia" w:cs="Arial"/>
      <w:b/>
      <w:sz w:val="24"/>
      <w:szCs w:val="24"/>
    </w:rPr>
  </w:style>
  <w:style w:type="paragraph" w:styleId="Heading2">
    <w:name w:val="heading 2"/>
    <w:aliases w:val="section 4 subheading"/>
    <w:basedOn w:val="Normal"/>
    <w:next w:val="Normal"/>
    <w:link w:val="Heading2Char"/>
    <w:uiPriority w:val="9"/>
    <w:unhideWhenUsed/>
    <w:qFormat/>
    <w:rsid w:val="00E7170B"/>
    <w:pPr>
      <w:keepNext/>
      <w:keepLines/>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E7170B"/>
    <w:pPr>
      <w:keepNext/>
      <w:keepLines/>
      <w:spacing w:before="200" w:after="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2B1AB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3B46E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3B46E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3B46E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3B46E5"/>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3B46E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4D98"/>
    <w:rPr>
      <w:rFonts w:eastAsiaTheme="majorEastAsia" w:cs="Arial"/>
      <w:b/>
      <w:sz w:val="24"/>
      <w:szCs w:val="24"/>
    </w:rPr>
  </w:style>
  <w:style w:type="character" w:customStyle="1" w:styleId="Heading2Char">
    <w:name w:val="Heading 2 Char"/>
    <w:aliases w:val="section 4 subheading Char"/>
    <w:basedOn w:val="DefaultParagraphFont"/>
    <w:link w:val="Heading2"/>
    <w:uiPriority w:val="9"/>
    <w:rsid w:val="00E7170B"/>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E7170B"/>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2B1AB1"/>
    <w:rPr>
      <w:rFonts w:asciiTheme="majorHAnsi" w:eastAsiaTheme="majorEastAsia" w:hAnsiTheme="majorHAnsi" w:cstheme="majorBidi"/>
      <w:b/>
      <w:bCs/>
      <w:i/>
      <w:iCs/>
      <w:color w:val="4F81BD" w:themeColor="accent1"/>
    </w:rPr>
  </w:style>
  <w:style w:type="paragraph" w:styleId="TOCHeading">
    <w:name w:val="TOC Heading"/>
    <w:basedOn w:val="Heading1"/>
    <w:next w:val="Normal"/>
    <w:uiPriority w:val="39"/>
    <w:unhideWhenUsed/>
    <w:qFormat/>
    <w:rsid w:val="00E142BF"/>
    <w:pPr>
      <w:outlineLvl w:val="9"/>
    </w:pPr>
    <w:rPr>
      <w:lang w:val="en-US" w:eastAsia="ja-JP"/>
    </w:rPr>
  </w:style>
  <w:style w:type="paragraph" w:styleId="TOC1">
    <w:name w:val="toc 1"/>
    <w:basedOn w:val="Normal"/>
    <w:next w:val="Normal"/>
    <w:autoRedefine/>
    <w:uiPriority w:val="39"/>
    <w:unhideWhenUsed/>
    <w:rsid w:val="004055E0"/>
    <w:pPr>
      <w:tabs>
        <w:tab w:val="right" w:leader="dot" w:pos="9016"/>
      </w:tabs>
      <w:spacing w:after="100"/>
    </w:pPr>
  </w:style>
  <w:style w:type="paragraph" w:styleId="TOC2">
    <w:name w:val="toc 2"/>
    <w:basedOn w:val="Normal"/>
    <w:next w:val="Normal"/>
    <w:autoRedefine/>
    <w:uiPriority w:val="39"/>
    <w:unhideWhenUsed/>
    <w:rsid w:val="00310D96"/>
    <w:pPr>
      <w:tabs>
        <w:tab w:val="right" w:leader="dot" w:pos="9016"/>
      </w:tabs>
      <w:spacing w:after="100"/>
      <w:ind w:left="220"/>
    </w:pPr>
  </w:style>
  <w:style w:type="paragraph" w:styleId="TOC3">
    <w:name w:val="toc 3"/>
    <w:basedOn w:val="Normal"/>
    <w:next w:val="Normal"/>
    <w:autoRedefine/>
    <w:uiPriority w:val="39"/>
    <w:unhideWhenUsed/>
    <w:rsid w:val="00A60D1B"/>
    <w:pPr>
      <w:tabs>
        <w:tab w:val="right" w:leader="dot" w:pos="9016"/>
      </w:tabs>
      <w:spacing w:after="100"/>
      <w:ind w:left="440"/>
    </w:pPr>
  </w:style>
  <w:style w:type="character" w:styleId="Hyperlink">
    <w:name w:val="Hyperlink"/>
    <w:basedOn w:val="DefaultParagraphFont"/>
    <w:uiPriority w:val="99"/>
    <w:unhideWhenUsed/>
    <w:rsid w:val="00E142BF"/>
    <w:rPr>
      <w:color w:val="0000FF" w:themeColor="hyperlink"/>
      <w:u w:val="single"/>
    </w:rPr>
  </w:style>
  <w:style w:type="character" w:styleId="IntenseEmphasis">
    <w:name w:val="Intense Emphasis"/>
    <w:basedOn w:val="DefaultParagraphFont"/>
    <w:uiPriority w:val="21"/>
    <w:qFormat/>
    <w:rsid w:val="00E7170B"/>
    <w:rPr>
      <w:b/>
      <w:bCs/>
      <w:i/>
      <w:iCs/>
      <w:color w:val="auto"/>
    </w:rPr>
  </w:style>
  <w:style w:type="character" w:styleId="Emphasis">
    <w:name w:val="Emphasis"/>
    <w:basedOn w:val="DefaultParagraphFont"/>
    <w:uiPriority w:val="20"/>
    <w:qFormat/>
    <w:rsid w:val="00E7170B"/>
    <w:rPr>
      <w:i/>
      <w:iCs/>
      <w:color w:val="auto"/>
    </w:rPr>
  </w:style>
  <w:style w:type="paragraph" w:customStyle="1" w:styleId="Level4">
    <w:name w:val="Level 4"/>
    <w:basedOn w:val="Heading4"/>
    <w:qFormat/>
    <w:rsid w:val="00E7170B"/>
    <w:rPr>
      <w:color w:val="auto"/>
    </w:rPr>
  </w:style>
  <w:style w:type="character" w:styleId="CommentReference">
    <w:name w:val="annotation reference"/>
    <w:basedOn w:val="DefaultParagraphFont"/>
    <w:unhideWhenUsed/>
    <w:rsid w:val="00507835"/>
    <w:rPr>
      <w:sz w:val="16"/>
      <w:szCs w:val="16"/>
    </w:rPr>
  </w:style>
  <w:style w:type="paragraph" w:styleId="CommentText">
    <w:name w:val="annotation text"/>
    <w:basedOn w:val="Normal"/>
    <w:link w:val="CommentTextChar"/>
    <w:uiPriority w:val="99"/>
    <w:unhideWhenUsed/>
    <w:rsid w:val="00507835"/>
    <w:pPr>
      <w:spacing w:line="240" w:lineRule="auto"/>
    </w:pPr>
    <w:rPr>
      <w:sz w:val="20"/>
      <w:szCs w:val="20"/>
    </w:rPr>
  </w:style>
  <w:style w:type="character" w:customStyle="1" w:styleId="CommentTextChar">
    <w:name w:val="Comment Text Char"/>
    <w:basedOn w:val="DefaultParagraphFont"/>
    <w:link w:val="CommentText"/>
    <w:uiPriority w:val="99"/>
    <w:rsid w:val="00507835"/>
    <w:rPr>
      <w:sz w:val="20"/>
      <w:szCs w:val="20"/>
    </w:rPr>
  </w:style>
  <w:style w:type="paragraph" w:styleId="CommentSubject">
    <w:name w:val="annotation subject"/>
    <w:basedOn w:val="CommentText"/>
    <w:next w:val="CommentText"/>
    <w:link w:val="CommentSubjectChar"/>
    <w:uiPriority w:val="99"/>
    <w:semiHidden/>
    <w:unhideWhenUsed/>
    <w:rsid w:val="00507835"/>
    <w:rPr>
      <w:b/>
      <w:bCs/>
    </w:rPr>
  </w:style>
  <w:style w:type="character" w:customStyle="1" w:styleId="CommentSubjectChar">
    <w:name w:val="Comment Subject Char"/>
    <w:basedOn w:val="CommentTextChar"/>
    <w:link w:val="CommentSubject"/>
    <w:uiPriority w:val="99"/>
    <w:semiHidden/>
    <w:rsid w:val="00507835"/>
    <w:rPr>
      <w:b/>
      <w:bCs/>
      <w:sz w:val="20"/>
      <w:szCs w:val="20"/>
    </w:rPr>
  </w:style>
  <w:style w:type="paragraph" w:styleId="BalloonText">
    <w:name w:val="Balloon Text"/>
    <w:basedOn w:val="Normal"/>
    <w:link w:val="BalloonTextChar"/>
    <w:uiPriority w:val="99"/>
    <w:semiHidden/>
    <w:unhideWhenUsed/>
    <w:rsid w:val="005078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7835"/>
    <w:rPr>
      <w:rFonts w:ascii="Tahoma" w:hAnsi="Tahoma" w:cs="Tahoma"/>
      <w:sz w:val="16"/>
      <w:szCs w:val="16"/>
    </w:rPr>
  </w:style>
  <w:style w:type="character" w:customStyle="1" w:styleId="A9">
    <w:name w:val="A9"/>
    <w:uiPriority w:val="99"/>
    <w:rsid w:val="000005A6"/>
    <w:rPr>
      <w:color w:val="000000"/>
      <w:sz w:val="22"/>
      <w:szCs w:val="22"/>
    </w:rPr>
  </w:style>
  <w:style w:type="paragraph" w:styleId="ListParagraph">
    <w:name w:val="List Paragraph"/>
    <w:basedOn w:val="Normal"/>
    <w:uiPriority w:val="34"/>
    <w:qFormat/>
    <w:rsid w:val="00BC39D9"/>
    <w:pPr>
      <w:ind w:left="720"/>
      <w:contextualSpacing/>
    </w:pPr>
  </w:style>
  <w:style w:type="character" w:customStyle="1" w:styleId="Heading5Char">
    <w:name w:val="Heading 5 Char"/>
    <w:basedOn w:val="DefaultParagraphFont"/>
    <w:link w:val="Heading5"/>
    <w:uiPriority w:val="9"/>
    <w:rsid w:val="003B46E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B46E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B46E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B46E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3B46E5"/>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F313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D30E19"/>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D30E19"/>
    <w:rPr>
      <w:rFonts w:ascii="Calibri" w:hAnsi="Calibri"/>
      <w:noProof/>
      <w:lang w:val="en-US"/>
    </w:rPr>
  </w:style>
  <w:style w:type="paragraph" w:styleId="Revision">
    <w:name w:val="Revision"/>
    <w:hidden/>
    <w:uiPriority w:val="99"/>
    <w:semiHidden/>
    <w:rsid w:val="0035263B"/>
    <w:pPr>
      <w:spacing w:after="0" w:line="240" w:lineRule="auto"/>
    </w:pPr>
  </w:style>
  <w:style w:type="paragraph" w:styleId="NormalWeb">
    <w:name w:val="Normal (Web)"/>
    <w:basedOn w:val="Normal"/>
    <w:uiPriority w:val="99"/>
    <w:unhideWhenUsed/>
    <w:rsid w:val="0071798E"/>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simple">
    <w:name w:val="simple"/>
    <w:rsid w:val="0071798E"/>
  </w:style>
  <w:style w:type="paragraph" w:styleId="Header">
    <w:name w:val="header"/>
    <w:basedOn w:val="Normal"/>
    <w:link w:val="HeaderChar"/>
    <w:uiPriority w:val="99"/>
    <w:unhideWhenUsed/>
    <w:rsid w:val="00DA70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70AB"/>
  </w:style>
  <w:style w:type="paragraph" w:styleId="Footer">
    <w:name w:val="footer"/>
    <w:basedOn w:val="Normal"/>
    <w:link w:val="FooterChar"/>
    <w:uiPriority w:val="99"/>
    <w:unhideWhenUsed/>
    <w:rsid w:val="00DA70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70AB"/>
  </w:style>
  <w:style w:type="paragraph" w:customStyle="1" w:styleId="Default">
    <w:name w:val="Default"/>
    <w:rsid w:val="00186D92"/>
    <w:pPr>
      <w:autoSpaceDE w:val="0"/>
      <w:autoSpaceDN w:val="0"/>
      <w:adjustRightInd w:val="0"/>
      <w:spacing w:after="0" w:line="240" w:lineRule="auto"/>
    </w:pPr>
    <w:rPr>
      <w:rFonts w:ascii="Calibri" w:hAnsi="Calibri" w:cs="Calibri"/>
      <w:color w:val="000000"/>
      <w:sz w:val="24"/>
      <w:szCs w:val="24"/>
    </w:rPr>
  </w:style>
  <w:style w:type="character" w:customStyle="1" w:styleId="highlight2">
    <w:name w:val="highlight2"/>
    <w:basedOn w:val="DefaultParagraphFont"/>
    <w:rsid w:val="00F54A49"/>
  </w:style>
  <w:style w:type="paragraph" w:styleId="Caption">
    <w:name w:val="caption"/>
    <w:basedOn w:val="Normal"/>
    <w:next w:val="Normal"/>
    <w:uiPriority w:val="35"/>
    <w:unhideWhenUsed/>
    <w:qFormat/>
    <w:rsid w:val="00A93E46"/>
    <w:pPr>
      <w:spacing w:line="240" w:lineRule="auto"/>
    </w:pPr>
    <w:rPr>
      <w:i/>
      <w:iCs/>
      <w:color w:val="1F497D" w:themeColor="text2"/>
      <w:sz w:val="18"/>
      <w:szCs w:val="18"/>
    </w:rPr>
  </w:style>
  <w:style w:type="table" w:customStyle="1" w:styleId="LightShading1">
    <w:name w:val="Light Shading1"/>
    <w:basedOn w:val="TableNormal"/>
    <w:uiPriority w:val="60"/>
    <w:rsid w:val="00861557"/>
    <w:pPr>
      <w:spacing w:after="0" w:line="240" w:lineRule="auto"/>
    </w:pPr>
    <w:rPr>
      <w:rFonts w:eastAsiaTheme="minorHAns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FootnoteText">
    <w:name w:val="footnote text"/>
    <w:basedOn w:val="Normal"/>
    <w:link w:val="FootnoteTextChar"/>
    <w:uiPriority w:val="99"/>
    <w:rsid w:val="00861557"/>
    <w:pPr>
      <w:spacing w:after="0" w:line="240" w:lineRule="auto"/>
    </w:pPr>
    <w:rPr>
      <w:rFonts w:ascii="Times New Roman" w:eastAsia="Times New Roman" w:hAnsi="Times New Roman" w:cs="Times New Roman"/>
      <w:sz w:val="20"/>
      <w:szCs w:val="20"/>
      <w:lang w:val="en-US" w:eastAsia="en-US"/>
    </w:rPr>
  </w:style>
  <w:style w:type="character" w:customStyle="1" w:styleId="FootnoteTextChar">
    <w:name w:val="Footnote Text Char"/>
    <w:basedOn w:val="DefaultParagraphFont"/>
    <w:link w:val="FootnoteText"/>
    <w:uiPriority w:val="99"/>
    <w:rsid w:val="00861557"/>
    <w:rPr>
      <w:rFonts w:ascii="Times New Roman" w:eastAsia="Times New Roman" w:hAnsi="Times New Roman" w:cs="Times New Roman"/>
      <w:sz w:val="20"/>
      <w:szCs w:val="20"/>
      <w:lang w:val="en-US" w:eastAsia="en-US"/>
    </w:rPr>
  </w:style>
  <w:style w:type="character" w:styleId="FootnoteReference">
    <w:name w:val="footnote reference"/>
    <w:basedOn w:val="DefaultParagraphFont"/>
    <w:uiPriority w:val="99"/>
    <w:rsid w:val="00861557"/>
    <w:rPr>
      <w:vertAlign w:val="superscript"/>
    </w:rPr>
  </w:style>
  <w:style w:type="table" w:styleId="TableList3">
    <w:name w:val="Table List 3"/>
    <w:basedOn w:val="TableNormal"/>
    <w:rsid w:val="00861557"/>
    <w:pPr>
      <w:spacing w:after="0" w:line="240" w:lineRule="auto"/>
    </w:pPr>
    <w:rPr>
      <w:rFonts w:ascii="Times New Roman" w:eastAsia="Times New Roman" w:hAnsi="Times New Roman" w:cs="Times New Roman"/>
      <w:sz w:val="20"/>
      <w:szCs w:val="20"/>
      <w:lang w:val="en-US"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TOC4">
    <w:name w:val="toc 4"/>
    <w:basedOn w:val="Normal"/>
    <w:next w:val="Normal"/>
    <w:autoRedefine/>
    <w:uiPriority w:val="39"/>
    <w:unhideWhenUsed/>
    <w:rsid w:val="00861557"/>
    <w:pPr>
      <w:spacing w:after="100" w:line="360" w:lineRule="auto"/>
      <w:ind w:left="660"/>
    </w:pPr>
    <w:rPr>
      <w:rFonts w:ascii="Gill Sans MT" w:eastAsia="Times New Roman" w:hAnsi="Gill Sans MT" w:cs="Segoe UI"/>
      <w:lang w:val="en-US" w:eastAsia="en-US"/>
    </w:rPr>
  </w:style>
  <w:style w:type="paragraph" w:styleId="TOC5">
    <w:name w:val="toc 5"/>
    <w:basedOn w:val="Normal"/>
    <w:next w:val="Normal"/>
    <w:autoRedefine/>
    <w:uiPriority w:val="39"/>
    <w:unhideWhenUsed/>
    <w:rsid w:val="00861557"/>
    <w:pPr>
      <w:spacing w:after="100" w:line="360" w:lineRule="auto"/>
      <w:ind w:left="880"/>
    </w:pPr>
    <w:rPr>
      <w:rFonts w:ascii="Gill Sans MT" w:eastAsia="Times New Roman" w:hAnsi="Gill Sans MT" w:cs="Segoe UI"/>
      <w:lang w:val="en-US" w:eastAsia="en-US"/>
    </w:rPr>
  </w:style>
  <w:style w:type="character" w:styleId="FollowedHyperlink">
    <w:name w:val="FollowedHyperlink"/>
    <w:basedOn w:val="DefaultParagraphFont"/>
    <w:uiPriority w:val="99"/>
    <w:semiHidden/>
    <w:unhideWhenUsed/>
    <w:rsid w:val="00861557"/>
    <w:rPr>
      <w:color w:val="800080" w:themeColor="followedHyperlink"/>
      <w:u w:val="single"/>
    </w:rPr>
  </w:style>
  <w:style w:type="paragraph" w:customStyle="1" w:styleId="TableHeading1">
    <w:name w:val="TableHeading1"/>
    <w:basedOn w:val="Normal"/>
    <w:link w:val="TableHeading1Char"/>
    <w:rsid w:val="00861557"/>
    <w:pPr>
      <w:spacing w:after="0" w:line="240" w:lineRule="auto"/>
    </w:pPr>
    <w:rPr>
      <w:rFonts w:ascii="Arial Bold" w:eastAsia="Times New Roman" w:hAnsi="Arial Bold" w:cs="Times New Roman"/>
      <w:b/>
      <w:sz w:val="16"/>
      <w:szCs w:val="20"/>
      <w:lang w:val="en-US" w:eastAsia="en-US"/>
    </w:rPr>
  </w:style>
  <w:style w:type="table" w:customStyle="1" w:styleId="zTableNICE">
    <w:name w:val="zTableNICE"/>
    <w:basedOn w:val="TableNormal"/>
    <w:rsid w:val="00861557"/>
    <w:pPr>
      <w:keepNext/>
      <w:spacing w:beforeLines="25" w:afterLines="25" w:line="240" w:lineRule="auto"/>
    </w:pPr>
    <w:rPr>
      <w:rFonts w:ascii="Times New Roman" w:eastAsia="Times New Roman" w:hAnsi="Times New Roman" w:cs="Times New Roman"/>
      <w:sz w:val="20"/>
      <w:szCs w:val="20"/>
    </w:rPr>
    <w:tblPr>
      <w:tblBorders>
        <w:top w:val="single" w:sz="24" w:space="0" w:color="C0C0C0"/>
        <w:left w:val="single" w:sz="24" w:space="0" w:color="C0C0C0"/>
        <w:bottom w:val="single" w:sz="24" w:space="0" w:color="C0C0C0"/>
        <w:right w:val="single" w:sz="24" w:space="0" w:color="C0C0C0"/>
      </w:tblBorders>
      <w:tblCellMar>
        <w:top w:w="11" w:type="dxa"/>
        <w:bottom w:w="11" w:type="dxa"/>
      </w:tblCellMar>
    </w:tblPr>
    <w:tblStylePr w:type="firstRow">
      <w:pPr>
        <w:wordWrap/>
        <w:spacing w:beforeLines="25" w:beforeAutospacing="0" w:afterLines="25" w:afterAutospacing="0" w:line="240" w:lineRule="auto"/>
        <w:ind w:firstLineChars="0" w:firstLine="0"/>
      </w:pPr>
      <w:rPr>
        <w:b/>
      </w:rPr>
      <w:tblPr/>
      <w:tcPr>
        <w:tcBorders>
          <w:top w:val="single" w:sz="24" w:space="0" w:color="C0C0C0"/>
          <w:left w:val="single" w:sz="24" w:space="0" w:color="C0C0C0"/>
          <w:bottom w:val="single" w:sz="24" w:space="0" w:color="C0C0C0"/>
          <w:right w:val="single" w:sz="24" w:space="0" w:color="C0C0C0"/>
        </w:tcBorders>
        <w:tcMar>
          <w:top w:w="142" w:type="dxa"/>
          <w:left w:w="0" w:type="nil"/>
          <w:bottom w:w="142" w:type="dxa"/>
          <w:right w:w="0" w:type="nil"/>
        </w:tcMar>
      </w:tcPr>
    </w:tblStylePr>
    <w:tblStylePr w:type="lastRow">
      <w:pPr>
        <w:keepNext w:val="0"/>
        <w:wordWrap/>
        <w:spacing w:beforeLines="25" w:beforeAutospacing="0" w:afterLines="25" w:afterAutospacing="0" w:line="240" w:lineRule="auto"/>
      </w:pPr>
      <w:tblPr/>
      <w:tcPr>
        <w:tcMar>
          <w:top w:w="0" w:type="nil"/>
          <w:left w:w="0" w:type="nil"/>
          <w:bottom w:w="142" w:type="dxa"/>
          <w:right w:w="0" w:type="nil"/>
        </w:tcMar>
      </w:tcPr>
    </w:tblStylePr>
  </w:style>
  <w:style w:type="character" w:customStyle="1" w:styleId="TableHeading1Char">
    <w:name w:val="TableHeading1 Char"/>
    <w:basedOn w:val="DefaultParagraphFont"/>
    <w:link w:val="TableHeading1"/>
    <w:rsid w:val="00861557"/>
    <w:rPr>
      <w:rFonts w:ascii="Arial Bold" w:eastAsia="Times New Roman" w:hAnsi="Arial Bold" w:cs="Times New Roman"/>
      <w:b/>
      <w:sz w:val="16"/>
      <w:szCs w:val="20"/>
      <w:lang w:val="en-US" w:eastAsia="en-US"/>
    </w:rPr>
  </w:style>
  <w:style w:type="paragraph" w:customStyle="1" w:styleId="Tabletext">
    <w:name w:val="Table text"/>
    <w:basedOn w:val="Normal"/>
    <w:link w:val="TabletextChar"/>
    <w:rsid w:val="00861557"/>
    <w:pPr>
      <w:spacing w:after="120" w:line="240" w:lineRule="auto"/>
    </w:pPr>
    <w:rPr>
      <w:rFonts w:ascii="Arial" w:eastAsia="Times New Roman" w:hAnsi="Arial" w:cs="Times New Roman"/>
      <w:bCs/>
      <w:sz w:val="20"/>
      <w:szCs w:val="24"/>
      <w:lang w:val="en-US" w:eastAsia="en-US"/>
    </w:rPr>
  </w:style>
  <w:style w:type="character" w:customStyle="1" w:styleId="TabletextChar">
    <w:name w:val="Table text Char"/>
    <w:basedOn w:val="DefaultParagraphFont"/>
    <w:link w:val="Tabletext"/>
    <w:rsid w:val="00861557"/>
    <w:rPr>
      <w:rFonts w:ascii="Arial" w:eastAsia="Times New Roman" w:hAnsi="Arial" w:cs="Times New Roman"/>
      <w:bCs/>
      <w:sz w:val="20"/>
      <w:szCs w:val="24"/>
      <w:lang w:val="en-US" w:eastAsia="en-US"/>
    </w:rPr>
  </w:style>
  <w:style w:type="paragraph" w:customStyle="1" w:styleId="NICEnormal">
    <w:name w:val="NICE normal"/>
    <w:link w:val="NICEnormalChar"/>
    <w:qFormat/>
    <w:rsid w:val="00861557"/>
    <w:pPr>
      <w:spacing w:after="240" w:line="360" w:lineRule="auto"/>
    </w:pPr>
    <w:rPr>
      <w:rFonts w:ascii="Arial" w:eastAsia="Times New Roman" w:hAnsi="Arial" w:cs="Times New Roman"/>
      <w:lang w:val="en-US" w:eastAsia="en-US"/>
    </w:rPr>
  </w:style>
  <w:style w:type="character" w:customStyle="1" w:styleId="NICEnormalChar">
    <w:name w:val="NICE normal Char"/>
    <w:link w:val="NICEnormal"/>
    <w:rsid w:val="00861557"/>
    <w:rPr>
      <w:rFonts w:ascii="Arial" w:eastAsia="Times New Roman" w:hAnsi="Arial" w:cs="Times New Roman"/>
      <w:lang w:val="en-US" w:eastAsia="en-US"/>
    </w:rPr>
  </w:style>
  <w:style w:type="paragraph" w:styleId="TOC6">
    <w:name w:val="toc 6"/>
    <w:basedOn w:val="Normal"/>
    <w:next w:val="Normal"/>
    <w:autoRedefine/>
    <w:uiPriority w:val="39"/>
    <w:unhideWhenUsed/>
    <w:rsid w:val="00DC3B03"/>
    <w:pPr>
      <w:tabs>
        <w:tab w:val="right" w:leader="dot" w:pos="9016"/>
      </w:tabs>
      <w:spacing w:after="100"/>
    </w:pPr>
    <w:rPr>
      <w:rFonts w:ascii="Gill Sans MT" w:eastAsia="Times New Roman" w:hAnsi="Gill Sans MT" w:cs="Segoe UI"/>
      <w:lang w:val="en-US" w:eastAsia="en-US"/>
    </w:rPr>
  </w:style>
  <w:style w:type="paragraph" w:styleId="TOC7">
    <w:name w:val="toc 7"/>
    <w:basedOn w:val="Normal"/>
    <w:next w:val="Normal"/>
    <w:autoRedefine/>
    <w:uiPriority w:val="39"/>
    <w:unhideWhenUsed/>
    <w:rsid w:val="00861557"/>
    <w:pPr>
      <w:tabs>
        <w:tab w:val="right" w:leader="dot" w:pos="9350"/>
      </w:tabs>
      <w:spacing w:after="100" w:line="360" w:lineRule="auto"/>
      <w:ind w:left="1320"/>
    </w:pPr>
    <w:rPr>
      <w:rFonts w:ascii="Gill Sans MT" w:eastAsia="Times New Roman" w:hAnsi="Gill Sans MT" w:cs="Segoe UI"/>
      <w:noProof/>
      <w:lang w:val="en-US" w:eastAsia="en-US"/>
    </w:rPr>
  </w:style>
  <w:style w:type="paragraph" w:customStyle="1" w:styleId="TableText0">
    <w:name w:val="TableText"/>
    <w:basedOn w:val="Normal"/>
    <w:link w:val="TableTextCharChar"/>
    <w:qFormat/>
    <w:rsid w:val="00861557"/>
    <w:pPr>
      <w:spacing w:after="0" w:line="240" w:lineRule="auto"/>
    </w:pPr>
    <w:rPr>
      <w:rFonts w:ascii="Arial" w:eastAsia="Times New Roman" w:hAnsi="Arial" w:cs="Times New Roman"/>
      <w:sz w:val="18"/>
      <w:szCs w:val="20"/>
      <w:lang w:eastAsia="en-US"/>
    </w:rPr>
  </w:style>
  <w:style w:type="character" w:customStyle="1" w:styleId="TableTextCharChar">
    <w:name w:val="TableText Char Char"/>
    <w:link w:val="TableText0"/>
    <w:rsid w:val="00861557"/>
    <w:rPr>
      <w:rFonts w:ascii="Arial" w:eastAsia="Times New Roman" w:hAnsi="Arial" w:cs="Times New Roman"/>
      <w:sz w:val="18"/>
      <w:szCs w:val="20"/>
      <w:lang w:eastAsia="en-US"/>
    </w:rPr>
  </w:style>
  <w:style w:type="table" w:customStyle="1" w:styleId="zTableNorm">
    <w:name w:val="zTableNorm"/>
    <w:basedOn w:val="TableNormal"/>
    <w:rsid w:val="00861557"/>
    <w:pPr>
      <w:spacing w:after="120" w:line="240" w:lineRule="auto"/>
    </w:pPr>
    <w:rPr>
      <w:rFonts w:ascii="Times New Roman" w:eastAsia="Times New Roman" w:hAnsi="Times New Roman" w:cs="Times New Roman"/>
      <w:sz w:val="20"/>
      <w:szCs w:val="20"/>
    </w:rPr>
    <w:tblPr>
      <w:tblBorders>
        <w:top w:val="single" w:sz="4" w:space="0" w:color="auto"/>
        <w:bottom w:val="single" w:sz="4" w:space="0" w:color="auto"/>
      </w:tblBorders>
      <w:tblCellMar>
        <w:top w:w="28" w:type="dxa"/>
        <w:bottom w:w="28" w:type="dxa"/>
      </w:tblCellMar>
    </w:tblPr>
    <w:tblStylePr w:type="firstRow">
      <w:pPr>
        <w:wordWrap/>
        <w:spacing w:beforeLines="0" w:beforeAutospacing="0" w:afterLines="0" w:afterAutospacing="0"/>
        <w:contextualSpacing w:val="0"/>
      </w:pPr>
      <w:rPr>
        <w:rFonts w:ascii="Arial" w:hAnsi="Arial"/>
        <w:b/>
        <w:i w:val="0"/>
        <w:sz w:val="20"/>
        <w:szCs w:val="20"/>
      </w:rPr>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TableNoteText">
    <w:name w:val="TableNoteText"/>
    <w:basedOn w:val="TableText0"/>
    <w:link w:val="TableNoteTextChar"/>
    <w:rsid w:val="00861557"/>
    <w:pPr>
      <w:ind w:left="142" w:hanging="142"/>
    </w:pPr>
  </w:style>
  <w:style w:type="character" w:customStyle="1" w:styleId="TableNoteTextChar">
    <w:name w:val="TableNoteText Char"/>
    <w:link w:val="TableNoteText"/>
    <w:rsid w:val="00861557"/>
    <w:rPr>
      <w:rFonts w:ascii="Arial" w:eastAsia="Times New Roman" w:hAnsi="Arial" w:cs="Times New Roman"/>
      <w:sz w:val="18"/>
      <w:szCs w:val="20"/>
      <w:lang w:eastAsia="en-US"/>
    </w:rPr>
  </w:style>
  <w:style w:type="paragraph" w:customStyle="1" w:styleId="EndNoteBibliography">
    <w:name w:val="EndNote Bibliography"/>
    <w:basedOn w:val="Normal"/>
    <w:link w:val="EndNoteBibliographyChar"/>
    <w:rsid w:val="00861557"/>
    <w:pPr>
      <w:spacing w:after="240" w:line="240" w:lineRule="auto"/>
    </w:pPr>
    <w:rPr>
      <w:rFonts w:ascii="Calibri" w:eastAsia="Times New Roman" w:hAnsi="Calibri" w:cs="Segoe UI"/>
      <w:noProof/>
      <w:lang w:val="en-US" w:eastAsia="en-US"/>
    </w:rPr>
  </w:style>
  <w:style w:type="character" w:customStyle="1" w:styleId="EndNoteBibliographyChar">
    <w:name w:val="EndNote Bibliography Char"/>
    <w:basedOn w:val="DefaultParagraphFont"/>
    <w:link w:val="EndNoteBibliography"/>
    <w:rsid w:val="00861557"/>
    <w:rPr>
      <w:rFonts w:ascii="Calibri" w:eastAsia="Times New Roman" w:hAnsi="Calibri" w:cs="Segoe UI"/>
      <w:noProof/>
      <w:lang w:val="en-US" w:eastAsia="en-US"/>
    </w:rPr>
  </w:style>
  <w:style w:type="character" w:styleId="HTMLCite">
    <w:name w:val="HTML Cite"/>
    <w:basedOn w:val="DefaultParagraphFont"/>
    <w:uiPriority w:val="99"/>
    <w:semiHidden/>
    <w:unhideWhenUsed/>
    <w:rsid w:val="00861557"/>
    <w:rPr>
      <w:i/>
      <w:iCs/>
    </w:rPr>
  </w:style>
  <w:style w:type="table" w:customStyle="1" w:styleId="TableGrid1">
    <w:name w:val="Table Grid1"/>
    <w:basedOn w:val="TableNormal"/>
    <w:next w:val="TableGrid"/>
    <w:uiPriority w:val="59"/>
    <w:rsid w:val="00D44E2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4E0D59"/>
  </w:style>
  <w:style w:type="table" w:customStyle="1" w:styleId="TableGrid2">
    <w:name w:val="Table Grid2"/>
    <w:basedOn w:val="TableNormal"/>
    <w:next w:val="TableGrid"/>
    <w:uiPriority w:val="59"/>
    <w:rsid w:val="004E0D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4E0D59"/>
    <w:pPr>
      <w:spacing w:after="0" w:line="240" w:lineRule="auto"/>
    </w:pPr>
    <w:rPr>
      <w:rFonts w:eastAsiaTheme="minorHAns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List31">
    <w:name w:val="Table List 31"/>
    <w:basedOn w:val="TableNormal"/>
    <w:next w:val="TableList3"/>
    <w:rsid w:val="004E0D59"/>
    <w:pPr>
      <w:spacing w:after="0" w:line="240" w:lineRule="auto"/>
    </w:pPr>
    <w:rPr>
      <w:rFonts w:ascii="Times New Roman" w:eastAsia="Times New Roman" w:hAnsi="Times New Roman" w:cs="Times New Roman"/>
      <w:sz w:val="20"/>
      <w:szCs w:val="20"/>
      <w:lang w:val="en-US"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zTableNICE1">
    <w:name w:val="zTableNICE1"/>
    <w:basedOn w:val="TableNormal"/>
    <w:rsid w:val="004E0D59"/>
    <w:pPr>
      <w:keepNext/>
      <w:spacing w:beforeLines="25" w:afterLines="25" w:line="240" w:lineRule="auto"/>
    </w:pPr>
    <w:rPr>
      <w:rFonts w:ascii="Times New Roman" w:eastAsia="Times New Roman" w:hAnsi="Times New Roman" w:cs="Times New Roman"/>
      <w:sz w:val="20"/>
      <w:szCs w:val="20"/>
    </w:rPr>
    <w:tblPr>
      <w:tblBorders>
        <w:top w:val="single" w:sz="24" w:space="0" w:color="C0C0C0"/>
        <w:left w:val="single" w:sz="24" w:space="0" w:color="C0C0C0"/>
        <w:bottom w:val="single" w:sz="24" w:space="0" w:color="C0C0C0"/>
        <w:right w:val="single" w:sz="24" w:space="0" w:color="C0C0C0"/>
      </w:tblBorders>
      <w:tblCellMar>
        <w:top w:w="11" w:type="dxa"/>
        <w:bottom w:w="11" w:type="dxa"/>
      </w:tblCellMar>
    </w:tblPr>
    <w:tblStylePr w:type="firstRow">
      <w:pPr>
        <w:wordWrap/>
        <w:spacing w:beforeLines="25" w:beforeAutospacing="0" w:afterLines="25" w:afterAutospacing="0" w:line="240" w:lineRule="auto"/>
        <w:ind w:firstLineChars="0" w:firstLine="0"/>
      </w:pPr>
      <w:rPr>
        <w:b/>
      </w:rPr>
      <w:tblPr/>
      <w:tcPr>
        <w:tcBorders>
          <w:top w:val="single" w:sz="24" w:space="0" w:color="C0C0C0"/>
          <w:left w:val="single" w:sz="24" w:space="0" w:color="C0C0C0"/>
          <w:bottom w:val="single" w:sz="24" w:space="0" w:color="C0C0C0"/>
          <w:right w:val="single" w:sz="24" w:space="0" w:color="C0C0C0"/>
        </w:tcBorders>
        <w:tcMar>
          <w:top w:w="142" w:type="dxa"/>
          <w:left w:w="0" w:type="nil"/>
          <w:bottom w:w="142" w:type="dxa"/>
          <w:right w:w="0" w:type="nil"/>
        </w:tcMar>
      </w:tcPr>
    </w:tblStylePr>
    <w:tblStylePr w:type="lastRow">
      <w:pPr>
        <w:keepNext w:val="0"/>
        <w:wordWrap/>
        <w:spacing w:beforeLines="25" w:beforeAutospacing="0" w:afterLines="25" w:afterAutospacing="0" w:line="240" w:lineRule="auto"/>
      </w:pPr>
      <w:tblPr/>
      <w:tcPr>
        <w:tcMar>
          <w:top w:w="0" w:type="nil"/>
          <w:left w:w="0" w:type="nil"/>
          <w:bottom w:w="142" w:type="dxa"/>
          <w:right w:w="0" w:type="nil"/>
        </w:tcMar>
      </w:tcPr>
    </w:tblStylePr>
  </w:style>
  <w:style w:type="table" w:customStyle="1" w:styleId="zTableNorm1">
    <w:name w:val="zTableNorm1"/>
    <w:basedOn w:val="TableNormal"/>
    <w:rsid w:val="004E0D59"/>
    <w:pPr>
      <w:spacing w:after="120" w:line="240" w:lineRule="auto"/>
    </w:pPr>
    <w:rPr>
      <w:rFonts w:ascii="Times New Roman" w:eastAsia="Times New Roman" w:hAnsi="Times New Roman" w:cs="Times New Roman"/>
      <w:sz w:val="20"/>
      <w:szCs w:val="20"/>
    </w:rPr>
    <w:tblPr>
      <w:tblBorders>
        <w:top w:val="single" w:sz="4" w:space="0" w:color="auto"/>
        <w:bottom w:val="single" w:sz="4" w:space="0" w:color="auto"/>
      </w:tblBorders>
      <w:tblCellMar>
        <w:top w:w="28" w:type="dxa"/>
        <w:bottom w:w="28" w:type="dxa"/>
      </w:tblCellMar>
    </w:tblPr>
    <w:tblStylePr w:type="firstRow">
      <w:pPr>
        <w:wordWrap/>
        <w:spacing w:beforeLines="0" w:beforeAutospacing="0" w:afterLines="0" w:afterAutospacing="0"/>
        <w:contextualSpacing w:val="0"/>
      </w:pPr>
      <w:rPr>
        <w:rFonts w:ascii="Arial" w:hAnsi="Arial"/>
        <w:b/>
        <w:i w:val="0"/>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TableGrid11">
    <w:name w:val="Table Grid11"/>
    <w:basedOn w:val="TableNormal"/>
    <w:next w:val="TableGrid"/>
    <w:uiPriority w:val="59"/>
    <w:rsid w:val="004E0D5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DB5BA7"/>
  </w:style>
  <w:style w:type="numbering" w:customStyle="1" w:styleId="NoList11">
    <w:name w:val="No List11"/>
    <w:next w:val="NoList"/>
    <w:uiPriority w:val="99"/>
    <w:semiHidden/>
    <w:unhideWhenUsed/>
    <w:rsid w:val="00DB5BA7"/>
  </w:style>
  <w:style w:type="numbering" w:customStyle="1" w:styleId="NoList111">
    <w:name w:val="No List111"/>
    <w:next w:val="NoList"/>
    <w:uiPriority w:val="99"/>
    <w:semiHidden/>
    <w:unhideWhenUsed/>
    <w:rsid w:val="00DB5BA7"/>
  </w:style>
  <w:style w:type="paragraph" w:styleId="PlainText">
    <w:name w:val="Plain Text"/>
    <w:basedOn w:val="Normal"/>
    <w:link w:val="PlainTextChar"/>
    <w:uiPriority w:val="99"/>
    <w:semiHidden/>
    <w:unhideWhenUsed/>
    <w:rsid w:val="00DB5BA7"/>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semiHidden/>
    <w:rsid w:val="00DB5BA7"/>
    <w:rPr>
      <w:rFonts w:ascii="Calibri" w:eastAsiaTheme="minorHAnsi" w:hAnsi="Calibri"/>
      <w:szCs w:val="21"/>
      <w:lang w:eastAsia="en-US"/>
    </w:rPr>
  </w:style>
  <w:style w:type="paragraph" w:styleId="TOC8">
    <w:name w:val="toc 8"/>
    <w:basedOn w:val="Normal"/>
    <w:next w:val="Normal"/>
    <w:autoRedefine/>
    <w:uiPriority w:val="39"/>
    <w:unhideWhenUsed/>
    <w:rsid w:val="007A68D4"/>
    <w:pPr>
      <w:spacing w:after="100" w:line="259" w:lineRule="auto"/>
      <w:ind w:left="1540"/>
    </w:pPr>
  </w:style>
  <w:style w:type="paragraph" w:styleId="TOC9">
    <w:name w:val="toc 9"/>
    <w:basedOn w:val="Normal"/>
    <w:next w:val="Normal"/>
    <w:autoRedefine/>
    <w:uiPriority w:val="39"/>
    <w:unhideWhenUsed/>
    <w:rsid w:val="007A68D4"/>
    <w:pPr>
      <w:spacing w:after="100" w:line="259" w:lineRule="auto"/>
      <w:ind w:left="1760"/>
    </w:pPr>
  </w:style>
  <w:style w:type="character" w:customStyle="1" w:styleId="st1">
    <w:name w:val="st1"/>
    <w:basedOn w:val="DefaultParagraphFont"/>
    <w:rsid w:val="001932FD"/>
  </w:style>
  <w:style w:type="paragraph" w:styleId="DocumentMap">
    <w:name w:val="Document Map"/>
    <w:basedOn w:val="Normal"/>
    <w:link w:val="DocumentMapChar"/>
    <w:uiPriority w:val="99"/>
    <w:semiHidden/>
    <w:unhideWhenUsed/>
    <w:rsid w:val="00403B0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03B07"/>
    <w:rPr>
      <w:rFonts w:ascii="Tahoma" w:hAnsi="Tahoma" w:cs="Tahoma"/>
      <w:sz w:val="16"/>
      <w:szCs w:val="16"/>
    </w:rPr>
  </w:style>
  <w:style w:type="table" w:customStyle="1" w:styleId="TableGrid3">
    <w:name w:val="Table Grid3"/>
    <w:basedOn w:val="TableNormal"/>
    <w:next w:val="TableGrid"/>
    <w:uiPriority w:val="59"/>
    <w:rsid w:val="00403B0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03B0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403B0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basedOn w:val="DefaultParagraphFont"/>
    <w:uiPriority w:val="99"/>
    <w:semiHidden/>
    <w:rsid w:val="00403B07"/>
    <w:rPr>
      <w:sz w:val="20"/>
      <w:szCs w:val="20"/>
    </w:rPr>
  </w:style>
  <w:style w:type="character" w:customStyle="1" w:styleId="BalloonTextChar1">
    <w:name w:val="Balloon Text Char1"/>
    <w:basedOn w:val="DefaultParagraphFont"/>
    <w:uiPriority w:val="99"/>
    <w:semiHidden/>
    <w:rsid w:val="00403B07"/>
    <w:rPr>
      <w:rFonts w:ascii="Tahoma" w:hAnsi="Tahoma" w:cs="Tahoma"/>
      <w:sz w:val="16"/>
      <w:szCs w:val="16"/>
    </w:rPr>
  </w:style>
  <w:style w:type="character" w:styleId="LineNumber">
    <w:name w:val="line number"/>
    <w:basedOn w:val="DefaultParagraphFont"/>
    <w:uiPriority w:val="99"/>
    <w:semiHidden/>
    <w:unhideWhenUsed/>
    <w:rsid w:val="00AA5B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71131">
      <w:bodyDiv w:val="1"/>
      <w:marLeft w:val="0"/>
      <w:marRight w:val="0"/>
      <w:marTop w:val="0"/>
      <w:marBottom w:val="0"/>
      <w:divBdr>
        <w:top w:val="none" w:sz="0" w:space="0" w:color="auto"/>
        <w:left w:val="none" w:sz="0" w:space="0" w:color="auto"/>
        <w:bottom w:val="none" w:sz="0" w:space="0" w:color="auto"/>
        <w:right w:val="none" w:sz="0" w:space="0" w:color="auto"/>
      </w:divBdr>
    </w:div>
    <w:div w:id="221529870">
      <w:bodyDiv w:val="1"/>
      <w:marLeft w:val="0"/>
      <w:marRight w:val="0"/>
      <w:marTop w:val="0"/>
      <w:marBottom w:val="0"/>
      <w:divBdr>
        <w:top w:val="none" w:sz="0" w:space="0" w:color="auto"/>
        <w:left w:val="none" w:sz="0" w:space="0" w:color="auto"/>
        <w:bottom w:val="none" w:sz="0" w:space="0" w:color="auto"/>
        <w:right w:val="none" w:sz="0" w:space="0" w:color="auto"/>
      </w:divBdr>
    </w:div>
    <w:div w:id="297296184">
      <w:bodyDiv w:val="1"/>
      <w:marLeft w:val="0"/>
      <w:marRight w:val="0"/>
      <w:marTop w:val="0"/>
      <w:marBottom w:val="0"/>
      <w:divBdr>
        <w:top w:val="none" w:sz="0" w:space="0" w:color="auto"/>
        <w:left w:val="none" w:sz="0" w:space="0" w:color="auto"/>
        <w:bottom w:val="none" w:sz="0" w:space="0" w:color="auto"/>
        <w:right w:val="none" w:sz="0" w:space="0" w:color="auto"/>
      </w:divBdr>
    </w:div>
    <w:div w:id="571546993">
      <w:bodyDiv w:val="1"/>
      <w:marLeft w:val="0"/>
      <w:marRight w:val="0"/>
      <w:marTop w:val="0"/>
      <w:marBottom w:val="0"/>
      <w:divBdr>
        <w:top w:val="none" w:sz="0" w:space="0" w:color="auto"/>
        <w:left w:val="none" w:sz="0" w:space="0" w:color="auto"/>
        <w:bottom w:val="none" w:sz="0" w:space="0" w:color="auto"/>
        <w:right w:val="none" w:sz="0" w:space="0" w:color="auto"/>
      </w:divBdr>
    </w:div>
    <w:div w:id="610743484">
      <w:bodyDiv w:val="1"/>
      <w:marLeft w:val="0"/>
      <w:marRight w:val="0"/>
      <w:marTop w:val="0"/>
      <w:marBottom w:val="0"/>
      <w:divBdr>
        <w:top w:val="none" w:sz="0" w:space="0" w:color="auto"/>
        <w:left w:val="none" w:sz="0" w:space="0" w:color="auto"/>
        <w:bottom w:val="none" w:sz="0" w:space="0" w:color="auto"/>
        <w:right w:val="none" w:sz="0" w:space="0" w:color="auto"/>
      </w:divBdr>
      <w:divsChild>
        <w:div w:id="184558602">
          <w:marLeft w:val="0"/>
          <w:marRight w:val="1"/>
          <w:marTop w:val="0"/>
          <w:marBottom w:val="0"/>
          <w:divBdr>
            <w:top w:val="none" w:sz="0" w:space="0" w:color="auto"/>
            <w:left w:val="none" w:sz="0" w:space="0" w:color="auto"/>
            <w:bottom w:val="none" w:sz="0" w:space="0" w:color="auto"/>
            <w:right w:val="none" w:sz="0" w:space="0" w:color="auto"/>
          </w:divBdr>
          <w:divsChild>
            <w:div w:id="1331055645">
              <w:marLeft w:val="0"/>
              <w:marRight w:val="0"/>
              <w:marTop w:val="0"/>
              <w:marBottom w:val="0"/>
              <w:divBdr>
                <w:top w:val="none" w:sz="0" w:space="0" w:color="auto"/>
                <w:left w:val="none" w:sz="0" w:space="0" w:color="auto"/>
                <w:bottom w:val="none" w:sz="0" w:space="0" w:color="auto"/>
                <w:right w:val="none" w:sz="0" w:space="0" w:color="auto"/>
              </w:divBdr>
              <w:divsChild>
                <w:div w:id="662776457">
                  <w:marLeft w:val="0"/>
                  <w:marRight w:val="1"/>
                  <w:marTop w:val="0"/>
                  <w:marBottom w:val="0"/>
                  <w:divBdr>
                    <w:top w:val="none" w:sz="0" w:space="0" w:color="auto"/>
                    <w:left w:val="none" w:sz="0" w:space="0" w:color="auto"/>
                    <w:bottom w:val="none" w:sz="0" w:space="0" w:color="auto"/>
                    <w:right w:val="none" w:sz="0" w:space="0" w:color="auto"/>
                  </w:divBdr>
                  <w:divsChild>
                    <w:div w:id="1219971425">
                      <w:marLeft w:val="0"/>
                      <w:marRight w:val="0"/>
                      <w:marTop w:val="0"/>
                      <w:marBottom w:val="0"/>
                      <w:divBdr>
                        <w:top w:val="none" w:sz="0" w:space="0" w:color="auto"/>
                        <w:left w:val="none" w:sz="0" w:space="0" w:color="auto"/>
                        <w:bottom w:val="none" w:sz="0" w:space="0" w:color="auto"/>
                        <w:right w:val="none" w:sz="0" w:space="0" w:color="auto"/>
                      </w:divBdr>
                      <w:divsChild>
                        <w:div w:id="611396700">
                          <w:marLeft w:val="0"/>
                          <w:marRight w:val="0"/>
                          <w:marTop w:val="0"/>
                          <w:marBottom w:val="0"/>
                          <w:divBdr>
                            <w:top w:val="none" w:sz="0" w:space="0" w:color="auto"/>
                            <w:left w:val="none" w:sz="0" w:space="0" w:color="auto"/>
                            <w:bottom w:val="none" w:sz="0" w:space="0" w:color="auto"/>
                            <w:right w:val="none" w:sz="0" w:space="0" w:color="auto"/>
                          </w:divBdr>
                          <w:divsChild>
                            <w:div w:id="413668598">
                              <w:marLeft w:val="0"/>
                              <w:marRight w:val="0"/>
                              <w:marTop w:val="120"/>
                              <w:marBottom w:val="360"/>
                              <w:divBdr>
                                <w:top w:val="none" w:sz="0" w:space="0" w:color="auto"/>
                                <w:left w:val="none" w:sz="0" w:space="0" w:color="auto"/>
                                <w:bottom w:val="none" w:sz="0" w:space="0" w:color="auto"/>
                                <w:right w:val="none" w:sz="0" w:space="0" w:color="auto"/>
                              </w:divBdr>
                              <w:divsChild>
                                <w:div w:id="216553609">
                                  <w:marLeft w:val="0"/>
                                  <w:marRight w:val="0"/>
                                  <w:marTop w:val="0"/>
                                  <w:marBottom w:val="0"/>
                                  <w:divBdr>
                                    <w:top w:val="none" w:sz="0" w:space="0" w:color="auto"/>
                                    <w:left w:val="none" w:sz="0" w:space="0" w:color="auto"/>
                                    <w:bottom w:val="none" w:sz="0" w:space="0" w:color="auto"/>
                                    <w:right w:val="none" w:sz="0" w:space="0" w:color="auto"/>
                                  </w:divBdr>
                                </w:div>
                                <w:div w:id="58341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9001951">
      <w:bodyDiv w:val="1"/>
      <w:marLeft w:val="0"/>
      <w:marRight w:val="0"/>
      <w:marTop w:val="0"/>
      <w:marBottom w:val="0"/>
      <w:divBdr>
        <w:top w:val="none" w:sz="0" w:space="0" w:color="auto"/>
        <w:left w:val="none" w:sz="0" w:space="0" w:color="auto"/>
        <w:bottom w:val="none" w:sz="0" w:space="0" w:color="auto"/>
        <w:right w:val="none" w:sz="0" w:space="0" w:color="auto"/>
      </w:divBdr>
    </w:div>
    <w:div w:id="787893443">
      <w:bodyDiv w:val="1"/>
      <w:marLeft w:val="0"/>
      <w:marRight w:val="0"/>
      <w:marTop w:val="0"/>
      <w:marBottom w:val="0"/>
      <w:divBdr>
        <w:top w:val="none" w:sz="0" w:space="0" w:color="auto"/>
        <w:left w:val="none" w:sz="0" w:space="0" w:color="auto"/>
        <w:bottom w:val="none" w:sz="0" w:space="0" w:color="auto"/>
        <w:right w:val="none" w:sz="0" w:space="0" w:color="auto"/>
      </w:divBdr>
    </w:div>
    <w:div w:id="874971776">
      <w:bodyDiv w:val="1"/>
      <w:marLeft w:val="0"/>
      <w:marRight w:val="0"/>
      <w:marTop w:val="0"/>
      <w:marBottom w:val="0"/>
      <w:divBdr>
        <w:top w:val="none" w:sz="0" w:space="0" w:color="auto"/>
        <w:left w:val="none" w:sz="0" w:space="0" w:color="auto"/>
        <w:bottom w:val="none" w:sz="0" w:space="0" w:color="auto"/>
        <w:right w:val="none" w:sz="0" w:space="0" w:color="auto"/>
      </w:divBdr>
    </w:div>
    <w:div w:id="977540057">
      <w:bodyDiv w:val="1"/>
      <w:marLeft w:val="0"/>
      <w:marRight w:val="0"/>
      <w:marTop w:val="0"/>
      <w:marBottom w:val="0"/>
      <w:divBdr>
        <w:top w:val="none" w:sz="0" w:space="0" w:color="auto"/>
        <w:left w:val="none" w:sz="0" w:space="0" w:color="auto"/>
        <w:bottom w:val="none" w:sz="0" w:space="0" w:color="auto"/>
        <w:right w:val="none" w:sz="0" w:space="0" w:color="auto"/>
      </w:divBdr>
    </w:div>
    <w:div w:id="989602468">
      <w:bodyDiv w:val="1"/>
      <w:marLeft w:val="0"/>
      <w:marRight w:val="0"/>
      <w:marTop w:val="0"/>
      <w:marBottom w:val="0"/>
      <w:divBdr>
        <w:top w:val="none" w:sz="0" w:space="0" w:color="auto"/>
        <w:left w:val="none" w:sz="0" w:space="0" w:color="auto"/>
        <w:bottom w:val="none" w:sz="0" w:space="0" w:color="auto"/>
        <w:right w:val="none" w:sz="0" w:space="0" w:color="auto"/>
      </w:divBdr>
    </w:div>
    <w:div w:id="1081373099">
      <w:bodyDiv w:val="1"/>
      <w:marLeft w:val="0"/>
      <w:marRight w:val="0"/>
      <w:marTop w:val="0"/>
      <w:marBottom w:val="0"/>
      <w:divBdr>
        <w:top w:val="none" w:sz="0" w:space="0" w:color="auto"/>
        <w:left w:val="none" w:sz="0" w:space="0" w:color="auto"/>
        <w:bottom w:val="none" w:sz="0" w:space="0" w:color="auto"/>
        <w:right w:val="none" w:sz="0" w:space="0" w:color="auto"/>
      </w:divBdr>
    </w:div>
    <w:div w:id="1093665779">
      <w:bodyDiv w:val="1"/>
      <w:marLeft w:val="0"/>
      <w:marRight w:val="0"/>
      <w:marTop w:val="0"/>
      <w:marBottom w:val="0"/>
      <w:divBdr>
        <w:top w:val="none" w:sz="0" w:space="0" w:color="auto"/>
        <w:left w:val="none" w:sz="0" w:space="0" w:color="auto"/>
        <w:bottom w:val="none" w:sz="0" w:space="0" w:color="auto"/>
        <w:right w:val="none" w:sz="0" w:space="0" w:color="auto"/>
      </w:divBdr>
    </w:div>
    <w:div w:id="1185442154">
      <w:bodyDiv w:val="1"/>
      <w:marLeft w:val="0"/>
      <w:marRight w:val="0"/>
      <w:marTop w:val="0"/>
      <w:marBottom w:val="0"/>
      <w:divBdr>
        <w:top w:val="none" w:sz="0" w:space="0" w:color="auto"/>
        <w:left w:val="none" w:sz="0" w:space="0" w:color="auto"/>
        <w:bottom w:val="none" w:sz="0" w:space="0" w:color="auto"/>
        <w:right w:val="none" w:sz="0" w:space="0" w:color="auto"/>
      </w:divBdr>
    </w:div>
    <w:div w:id="1233203286">
      <w:bodyDiv w:val="1"/>
      <w:marLeft w:val="0"/>
      <w:marRight w:val="0"/>
      <w:marTop w:val="0"/>
      <w:marBottom w:val="0"/>
      <w:divBdr>
        <w:top w:val="none" w:sz="0" w:space="0" w:color="auto"/>
        <w:left w:val="none" w:sz="0" w:space="0" w:color="auto"/>
        <w:bottom w:val="none" w:sz="0" w:space="0" w:color="auto"/>
        <w:right w:val="none" w:sz="0" w:space="0" w:color="auto"/>
      </w:divBdr>
    </w:div>
    <w:div w:id="1275937966">
      <w:bodyDiv w:val="1"/>
      <w:marLeft w:val="0"/>
      <w:marRight w:val="0"/>
      <w:marTop w:val="0"/>
      <w:marBottom w:val="0"/>
      <w:divBdr>
        <w:top w:val="none" w:sz="0" w:space="0" w:color="auto"/>
        <w:left w:val="none" w:sz="0" w:space="0" w:color="auto"/>
        <w:bottom w:val="none" w:sz="0" w:space="0" w:color="auto"/>
        <w:right w:val="none" w:sz="0" w:space="0" w:color="auto"/>
      </w:divBdr>
    </w:div>
    <w:div w:id="1459907038">
      <w:bodyDiv w:val="1"/>
      <w:marLeft w:val="0"/>
      <w:marRight w:val="0"/>
      <w:marTop w:val="0"/>
      <w:marBottom w:val="0"/>
      <w:divBdr>
        <w:top w:val="none" w:sz="0" w:space="0" w:color="auto"/>
        <w:left w:val="none" w:sz="0" w:space="0" w:color="auto"/>
        <w:bottom w:val="none" w:sz="0" w:space="0" w:color="auto"/>
        <w:right w:val="none" w:sz="0" w:space="0" w:color="auto"/>
      </w:divBdr>
    </w:div>
    <w:div w:id="1566138879">
      <w:bodyDiv w:val="1"/>
      <w:marLeft w:val="0"/>
      <w:marRight w:val="0"/>
      <w:marTop w:val="0"/>
      <w:marBottom w:val="0"/>
      <w:divBdr>
        <w:top w:val="none" w:sz="0" w:space="0" w:color="auto"/>
        <w:left w:val="none" w:sz="0" w:space="0" w:color="auto"/>
        <w:bottom w:val="none" w:sz="0" w:space="0" w:color="auto"/>
        <w:right w:val="none" w:sz="0" w:space="0" w:color="auto"/>
      </w:divBdr>
    </w:div>
    <w:div w:id="1573395196">
      <w:bodyDiv w:val="1"/>
      <w:marLeft w:val="0"/>
      <w:marRight w:val="0"/>
      <w:marTop w:val="0"/>
      <w:marBottom w:val="0"/>
      <w:divBdr>
        <w:top w:val="none" w:sz="0" w:space="0" w:color="auto"/>
        <w:left w:val="none" w:sz="0" w:space="0" w:color="auto"/>
        <w:bottom w:val="none" w:sz="0" w:space="0" w:color="auto"/>
        <w:right w:val="none" w:sz="0" w:space="0" w:color="auto"/>
      </w:divBdr>
    </w:div>
    <w:div w:id="1591542589">
      <w:bodyDiv w:val="1"/>
      <w:marLeft w:val="0"/>
      <w:marRight w:val="0"/>
      <w:marTop w:val="0"/>
      <w:marBottom w:val="0"/>
      <w:divBdr>
        <w:top w:val="none" w:sz="0" w:space="0" w:color="auto"/>
        <w:left w:val="none" w:sz="0" w:space="0" w:color="auto"/>
        <w:bottom w:val="none" w:sz="0" w:space="0" w:color="auto"/>
        <w:right w:val="none" w:sz="0" w:space="0" w:color="auto"/>
      </w:divBdr>
    </w:div>
    <w:div w:id="1629705432">
      <w:bodyDiv w:val="1"/>
      <w:marLeft w:val="0"/>
      <w:marRight w:val="0"/>
      <w:marTop w:val="0"/>
      <w:marBottom w:val="0"/>
      <w:divBdr>
        <w:top w:val="none" w:sz="0" w:space="0" w:color="auto"/>
        <w:left w:val="none" w:sz="0" w:space="0" w:color="auto"/>
        <w:bottom w:val="none" w:sz="0" w:space="0" w:color="auto"/>
        <w:right w:val="none" w:sz="0" w:space="0" w:color="auto"/>
      </w:divBdr>
    </w:div>
    <w:div w:id="1694770458">
      <w:bodyDiv w:val="1"/>
      <w:marLeft w:val="0"/>
      <w:marRight w:val="0"/>
      <w:marTop w:val="0"/>
      <w:marBottom w:val="0"/>
      <w:divBdr>
        <w:top w:val="none" w:sz="0" w:space="0" w:color="auto"/>
        <w:left w:val="none" w:sz="0" w:space="0" w:color="auto"/>
        <w:bottom w:val="none" w:sz="0" w:space="0" w:color="auto"/>
        <w:right w:val="none" w:sz="0" w:space="0" w:color="auto"/>
      </w:divBdr>
      <w:divsChild>
        <w:div w:id="168755443">
          <w:marLeft w:val="0"/>
          <w:marRight w:val="0"/>
          <w:marTop w:val="0"/>
          <w:marBottom w:val="0"/>
          <w:divBdr>
            <w:top w:val="none" w:sz="0" w:space="0" w:color="auto"/>
            <w:left w:val="single" w:sz="6" w:space="0" w:color="E5E5E5"/>
            <w:bottom w:val="none" w:sz="0" w:space="0" w:color="auto"/>
            <w:right w:val="single" w:sz="6" w:space="0" w:color="E5E5E5"/>
          </w:divBdr>
          <w:divsChild>
            <w:div w:id="360591827">
              <w:marLeft w:val="0"/>
              <w:marRight w:val="0"/>
              <w:marTop w:val="0"/>
              <w:marBottom w:val="0"/>
              <w:divBdr>
                <w:top w:val="none" w:sz="0" w:space="0" w:color="auto"/>
                <w:left w:val="none" w:sz="0" w:space="0" w:color="auto"/>
                <w:bottom w:val="none" w:sz="0" w:space="0" w:color="auto"/>
                <w:right w:val="none" w:sz="0" w:space="0" w:color="auto"/>
              </w:divBdr>
              <w:divsChild>
                <w:div w:id="285241152">
                  <w:marLeft w:val="0"/>
                  <w:marRight w:val="300"/>
                  <w:marTop w:val="0"/>
                  <w:marBottom w:val="0"/>
                  <w:divBdr>
                    <w:top w:val="none" w:sz="0" w:space="0" w:color="auto"/>
                    <w:left w:val="none" w:sz="0" w:space="0" w:color="auto"/>
                    <w:bottom w:val="none" w:sz="0" w:space="0" w:color="auto"/>
                    <w:right w:val="none" w:sz="0" w:space="0" w:color="auto"/>
                  </w:divBdr>
                  <w:divsChild>
                    <w:div w:id="173068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264917">
      <w:bodyDiv w:val="1"/>
      <w:marLeft w:val="0"/>
      <w:marRight w:val="0"/>
      <w:marTop w:val="0"/>
      <w:marBottom w:val="0"/>
      <w:divBdr>
        <w:top w:val="none" w:sz="0" w:space="0" w:color="auto"/>
        <w:left w:val="none" w:sz="0" w:space="0" w:color="auto"/>
        <w:bottom w:val="none" w:sz="0" w:space="0" w:color="auto"/>
        <w:right w:val="none" w:sz="0" w:space="0" w:color="auto"/>
      </w:divBdr>
    </w:div>
    <w:div w:id="1842576317">
      <w:bodyDiv w:val="1"/>
      <w:marLeft w:val="0"/>
      <w:marRight w:val="0"/>
      <w:marTop w:val="0"/>
      <w:marBottom w:val="0"/>
      <w:divBdr>
        <w:top w:val="none" w:sz="0" w:space="0" w:color="auto"/>
        <w:left w:val="none" w:sz="0" w:space="0" w:color="auto"/>
        <w:bottom w:val="none" w:sz="0" w:space="0" w:color="auto"/>
        <w:right w:val="none" w:sz="0" w:space="0" w:color="auto"/>
      </w:divBdr>
    </w:div>
    <w:div w:id="1861434900">
      <w:bodyDiv w:val="1"/>
      <w:marLeft w:val="0"/>
      <w:marRight w:val="0"/>
      <w:marTop w:val="0"/>
      <w:marBottom w:val="0"/>
      <w:divBdr>
        <w:top w:val="none" w:sz="0" w:space="0" w:color="auto"/>
        <w:left w:val="none" w:sz="0" w:space="0" w:color="auto"/>
        <w:bottom w:val="none" w:sz="0" w:space="0" w:color="auto"/>
        <w:right w:val="none" w:sz="0" w:space="0" w:color="auto"/>
      </w:divBdr>
    </w:div>
    <w:div w:id="1871606551">
      <w:bodyDiv w:val="1"/>
      <w:marLeft w:val="0"/>
      <w:marRight w:val="0"/>
      <w:marTop w:val="0"/>
      <w:marBottom w:val="0"/>
      <w:divBdr>
        <w:top w:val="none" w:sz="0" w:space="0" w:color="auto"/>
        <w:left w:val="none" w:sz="0" w:space="0" w:color="auto"/>
        <w:bottom w:val="none" w:sz="0" w:space="0" w:color="auto"/>
        <w:right w:val="none" w:sz="0" w:space="0" w:color="auto"/>
      </w:divBdr>
    </w:div>
    <w:div w:id="1880438314">
      <w:bodyDiv w:val="1"/>
      <w:marLeft w:val="0"/>
      <w:marRight w:val="0"/>
      <w:marTop w:val="0"/>
      <w:marBottom w:val="0"/>
      <w:divBdr>
        <w:top w:val="none" w:sz="0" w:space="0" w:color="auto"/>
        <w:left w:val="none" w:sz="0" w:space="0" w:color="auto"/>
        <w:bottom w:val="none" w:sz="0" w:space="0" w:color="auto"/>
        <w:right w:val="none" w:sz="0" w:space="0" w:color="auto"/>
      </w:divBdr>
    </w:div>
    <w:div w:id="1921870800">
      <w:bodyDiv w:val="1"/>
      <w:marLeft w:val="0"/>
      <w:marRight w:val="0"/>
      <w:marTop w:val="0"/>
      <w:marBottom w:val="0"/>
      <w:divBdr>
        <w:top w:val="none" w:sz="0" w:space="0" w:color="auto"/>
        <w:left w:val="none" w:sz="0" w:space="0" w:color="auto"/>
        <w:bottom w:val="none" w:sz="0" w:space="0" w:color="auto"/>
        <w:right w:val="none" w:sz="0" w:space="0" w:color="auto"/>
      </w:divBdr>
      <w:divsChild>
        <w:div w:id="2080782109">
          <w:marLeft w:val="0"/>
          <w:marRight w:val="0"/>
          <w:marTop w:val="0"/>
          <w:marBottom w:val="0"/>
          <w:divBdr>
            <w:top w:val="none" w:sz="0" w:space="0" w:color="auto"/>
            <w:left w:val="single" w:sz="6" w:space="0" w:color="E5E5E5"/>
            <w:bottom w:val="none" w:sz="0" w:space="0" w:color="auto"/>
            <w:right w:val="single" w:sz="6" w:space="0" w:color="E5E5E5"/>
          </w:divBdr>
          <w:divsChild>
            <w:div w:id="1144539358">
              <w:marLeft w:val="0"/>
              <w:marRight w:val="0"/>
              <w:marTop w:val="0"/>
              <w:marBottom w:val="0"/>
              <w:divBdr>
                <w:top w:val="none" w:sz="0" w:space="0" w:color="auto"/>
                <w:left w:val="none" w:sz="0" w:space="0" w:color="auto"/>
                <w:bottom w:val="none" w:sz="0" w:space="0" w:color="auto"/>
                <w:right w:val="none" w:sz="0" w:space="0" w:color="auto"/>
              </w:divBdr>
              <w:divsChild>
                <w:div w:id="924413938">
                  <w:marLeft w:val="0"/>
                  <w:marRight w:val="300"/>
                  <w:marTop w:val="0"/>
                  <w:marBottom w:val="0"/>
                  <w:divBdr>
                    <w:top w:val="none" w:sz="0" w:space="0" w:color="auto"/>
                    <w:left w:val="none" w:sz="0" w:space="0" w:color="auto"/>
                    <w:bottom w:val="none" w:sz="0" w:space="0" w:color="auto"/>
                    <w:right w:val="none" w:sz="0" w:space="0" w:color="auto"/>
                  </w:divBdr>
                  <w:divsChild>
                    <w:div w:id="73921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840984">
      <w:bodyDiv w:val="1"/>
      <w:marLeft w:val="0"/>
      <w:marRight w:val="0"/>
      <w:marTop w:val="0"/>
      <w:marBottom w:val="0"/>
      <w:divBdr>
        <w:top w:val="none" w:sz="0" w:space="0" w:color="auto"/>
        <w:left w:val="none" w:sz="0" w:space="0" w:color="auto"/>
        <w:bottom w:val="none" w:sz="0" w:space="0" w:color="auto"/>
        <w:right w:val="none" w:sz="0" w:space="0" w:color="auto"/>
      </w:divBdr>
    </w:div>
    <w:div w:id="1972974405">
      <w:bodyDiv w:val="1"/>
      <w:marLeft w:val="0"/>
      <w:marRight w:val="0"/>
      <w:marTop w:val="0"/>
      <w:marBottom w:val="0"/>
      <w:divBdr>
        <w:top w:val="none" w:sz="0" w:space="0" w:color="auto"/>
        <w:left w:val="none" w:sz="0" w:space="0" w:color="auto"/>
        <w:bottom w:val="none" w:sz="0" w:space="0" w:color="auto"/>
        <w:right w:val="none" w:sz="0" w:space="0" w:color="auto"/>
      </w:divBdr>
    </w:div>
    <w:div w:id="1993749735">
      <w:bodyDiv w:val="1"/>
      <w:marLeft w:val="0"/>
      <w:marRight w:val="0"/>
      <w:marTop w:val="0"/>
      <w:marBottom w:val="0"/>
      <w:divBdr>
        <w:top w:val="none" w:sz="0" w:space="0" w:color="auto"/>
        <w:left w:val="none" w:sz="0" w:space="0" w:color="auto"/>
        <w:bottom w:val="none" w:sz="0" w:space="0" w:color="auto"/>
        <w:right w:val="none" w:sz="0" w:space="0" w:color="auto"/>
      </w:divBdr>
    </w:div>
    <w:div w:id="2018266663">
      <w:bodyDiv w:val="1"/>
      <w:marLeft w:val="0"/>
      <w:marRight w:val="0"/>
      <w:marTop w:val="0"/>
      <w:marBottom w:val="0"/>
      <w:divBdr>
        <w:top w:val="none" w:sz="0" w:space="0" w:color="auto"/>
        <w:left w:val="none" w:sz="0" w:space="0" w:color="auto"/>
        <w:bottom w:val="none" w:sz="0" w:space="0" w:color="auto"/>
        <w:right w:val="none" w:sz="0" w:space="0" w:color="auto"/>
      </w:divBdr>
    </w:div>
    <w:div w:id="2044819549">
      <w:bodyDiv w:val="1"/>
      <w:marLeft w:val="0"/>
      <w:marRight w:val="0"/>
      <w:marTop w:val="0"/>
      <w:marBottom w:val="0"/>
      <w:divBdr>
        <w:top w:val="none" w:sz="0" w:space="0" w:color="auto"/>
        <w:left w:val="none" w:sz="0" w:space="0" w:color="auto"/>
        <w:bottom w:val="none" w:sz="0" w:space="0" w:color="auto"/>
        <w:right w:val="none" w:sz="0" w:space="0" w:color="auto"/>
      </w:divBdr>
    </w:div>
    <w:div w:id="2097701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emf"/><Relationship Id="rId26" Type="http://schemas.openxmlformats.org/officeDocument/2006/relationships/image" Target="media/image11.png"/><Relationship Id="rId39" Type="http://schemas.openxmlformats.org/officeDocument/2006/relationships/image" Target="media/image22.emf"/><Relationship Id="rId21" Type="http://schemas.openxmlformats.org/officeDocument/2006/relationships/footer" Target="footer6.xml"/><Relationship Id="rId34" Type="http://schemas.openxmlformats.org/officeDocument/2006/relationships/image" Target="media/image18.png"/><Relationship Id="rId42" Type="http://schemas.openxmlformats.org/officeDocument/2006/relationships/oleObject" Target="embeddings/oleObject3.bin"/><Relationship Id="rId47" Type="http://schemas.openxmlformats.org/officeDocument/2006/relationships/image" Target="media/image26.emf"/><Relationship Id="rId50" Type="http://schemas.openxmlformats.org/officeDocument/2006/relationships/oleObject" Target="embeddings/oleObject7.bin"/><Relationship Id="rId55" Type="http://schemas.openxmlformats.org/officeDocument/2006/relationships/footer" Target="footer9.xml"/><Relationship Id="rId63" Type="http://schemas.openxmlformats.org/officeDocument/2006/relationships/hyperlink" Target="https://www.compare-school-performance.service.gov.uk/download-data" TargetMode="External"/><Relationship Id="rId68" Type="http://schemas.openxmlformats.org/officeDocument/2006/relationships/hyperlink" Target="http://www.cancerresearchuk.org/health-professional/cancer-statistics/statistics-by-cancer-type/bowel-cancer/survival"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1.emf"/><Relationship Id="rId40" Type="http://schemas.openxmlformats.org/officeDocument/2006/relationships/oleObject" Target="embeddings/oleObject2.bin"/><Relationship Id="rId45" Type="http://schemas.openxmlformats.org/officeDocument/2006/relationships/image" Target="media/image25.emf"/><Relationship Id="rId53" Type="http://schemas.openxmlformats.org/officeDocument/2006/relationships/image" Target="media/image30.png"/><Relationship Id="rId58" Type="http://schemas.openxmlformats.org/officeDocument/2006/relationships/hyperlink" Target="http://www.noo.org.uk/uploads/doc/vid_16967_ChildSocioeconSep2012.pdf" TargetMode="External"/><Relationship Id="rId66" Type="http://schemas.openxmlformats.org/officeDocument/2006/relationships/hyperlink" Target="http://guidance.nice.org.uk/PH47/Guidance/pdf/English"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footer" Target="footer8.xml"/><Relationship Id="rId36" Type="http://schemas.openxmlformats.org/officeDocument/2006/relationships/image" Target="media/image20.png"/><Relationship Id="rId49" Type="http://schemas.openxmlformats.org/officeDocument/2006/relationships/image" Target="media/image27.emf"/><Relationship Id="rId57" Type="http://schemas.openxmlformats.org/officeDocument/2006/relationships/hyperlink" Target="http://content.digital.nhs.uk/catalogue/PUB22269/nati-chil-meas-prog-eng-2015-2016-rep.pdf" TargetMode="External"/><Relationship Id="rId61" Type="http://schemas.openxmlformats.org/officeDocument/2006/relationships/hyperlink" Target="http://www.communities.gov.uk/documents/statistics/pdf/1871208.pdf" TargetMode="External"/><Relationship Id="rId10" Type="http://schemas.openxmlformats.org/officeDocument/2006/relationships/image" Target="media/image3.png"/><Relationship Id="rId19" Type="http://schemas.openxmlformats.org/officeDocument/2006/relationships/image" Target="media/image7.emf"/><Relationship Id="rId31" Type="http://schemas.openxmlformats.org/officeDocument/2006/relationships/image" Target="media/image15.png"/><Relationship Id="rId44" Type="http://schemas.openxmlformats.org/officeDocument/2006/relationships/oleObject" Target="embeddings/oleObject4.bin"/><Relationship Id="rId52" Type="http://schemas.openxmlformats.org/officeDocument/2006/relationships/image" Target="media/image29.png"/><Relationship Id="rId60" Type="http://schemas.openxmlformats.org/officeDocument/2006/relationships/hyperlink" Target="http://www.geneactiv.org/" TargetMode="External"/><Relationship Id="rId65" Type="http://schemas.openxmlformats.org/officeDocument/2006/relationships/hyperlink" Target="https://www.nasuwt.org.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tiff"/><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4.emf"/><Relationship Id="rId48" Type="http://schemas.openxmlformats.org/officeDocument/2006/relationships/oleObject" Target="embeddings/oleObject6.bin"/><Relationship Id="rId56" Type="http://schemas.openxmlformats.org/officeDocument/2006/relationships/hyperlink" Target="https://readability-score.com/text/" TargetMode="External"/><Relationship Id="rId64" Type="http://schemas.openxmlformats.org/officeDocument/2006/relationships/hyperlink" Target="http://www.noo.org.uk/NOO_about_obesity/measurement/children" TargetMode="External"/><Relationship Id="rId69" Type="http://schemas.openxmlformats.org/officeDocument/2006/relationships/hyperlink" Target="http://fingertips.phe.org.uk/profile/national-child-measurement-programme/data" TargetMode="External"/><Relationship Id="rId8" Type="http://schemas.openxmlformats.org/officeDocument/2006/relationships/image" Target="media/image1.png"/><Relationship Id="rId51" Type="http://schemas.openxmlformats.org/officeDocument/2006/relationships/image" Target="media/image28.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image" Target="media/image17.png"/><Relationship Id="rId38" Type="http://schemas.openxmlformats.org/officeDocument/2006/relationships/oleObject" Target="embeddings/oleObject1.bin"/><Relationship Id="rId46" Type="http://schemas.openxmlformats.org/officeDocument/2006/relationships/oleObject" Target="embeddings/oleObject5.bin"/><Relationship Id="rId59" Type="http://schemas.openxmlformats.org/officeDocument/2006/relationships/hyperlink" Target="http://bmjopen.bmj.com/content/early/2011/05/23/bmjopen-2010-000026.abstract" TargetMode="External"/><Relationship Id="rId67" Type="http://schemas.openxmlformats.org/officeDocument/2006/relationships/hyperlink" Target="https://www.ons.gov.uk/peoplepopulationandcommunity/birthsdeathsandmarriages/lifeexpectancies/bulletins/nationallifetablesunitedkingdom/2015-09-23" TargetMode="External"/><Relationship Id="rId20" Type="http://schemas.openxmlformats.org/officeDocument/2006/relationships/footer" Target="footer5.xml"/><Relationship Id="rId41" Type="http://schemas.openxmlformats.org/officeDocument/2006/relationships/image" Target="media/image23.emf"/><Relationship Id="rId54" Type="http://schemas.openxmlformats.org/officeDocument/2006/relationships/header" Target="header2.xml"/><Relationship Id="rId62" Type="http://schemas.openxmlformats.org/officeDocument/2006/relationships/hyperlink" Target="http://www.nets.nihr.ac.uk/projects/phr/10301001" TargetMode="External"/><Relationship Id="rId70" Type="http://schemas.openxmlformats.org/officeDocument/2006/relationships/hyperlink" Target="https://www.gov.uk/government/statistics/schools-pupils-and-their-characteristics-january-20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D90F0D-4C9B-4C45-91A8-FCB3D60F5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272</Pages>
  <Words>123096</Words>
  <Characters>701653</Characters>
  <Application>Microsoft Office Word</Application>
  <DocSecurity>0</DocSecurity>
  <Lines>5847</Lines>
  <Paragraphs>1646</Paragraphs>
  <ScaleCrop>false</ScaleCrop>
  <HeadingPairs>
    <vt:vector size="2" baseType="variant">
      <vt:variant>
        <vt:lpstr>Title</vt:lpstr>
      </vt:variant>
      <vt:variant>
        <vt:i4>1</vt:i4>
      </vt:variant>
    </vt:vector>
  </HeadingPairs>
  <TitlesOfParts>
    <vt:vector size="1" baseType="lpstr">
      <vt:lpstr/>
    </vt:vector>
  </TitlesOfParts>
  <Company>University of Exeter</Company>
  <LinksUpToDate>false</LinksUpToDate>
  <CharactersWithSpaces>823103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Cook, Gen</dc:creator>
  <cp:lastModifiedBy>Revan J.B.</cp:lastModifiedBy>
  <cp:revision>3</cp:revision>
  <cp:lastPrinted>2017-01-27T12:02:00Z</cp:lastPrinted>
  <dcterms:created xsi:type="dcterms:W3CDTF">2017-02-28T10:08:00Z</dcterms:created>
  <dcterms:modified xsi:type="dcterms:W3CDTF">2017-03-02T15:29:00Z</dcterms:modified>
</cp:coreProperties>
</file>